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hint="eastAsia" w:ascii="黑体" w:hAnsi="黑体" w:eastAsia="黑体"/>
          <w:bCs w:val="0"/>
          <w:color w:val="auto"/>
          <w:kern w:val="21"/>
          <w:sz w:val="36"/>
          <w:szCs w:val="24"/>
        </w:rPr>
      </w:pPr>
      <w:bookmarkStart w:id="0" w:name="_Toc7144_WPSOffice_Level1"/>
      <w:bookmarkStart w:id="1" w:name="_Toc1398_WPSOffice_Level1"/>
    </w:p>
    <w:p>
      <w:pPr>
        <w:pStyle w:val="56"/>
        <w:tabs>
          <w:tab w:val="right" w:leader="dot" w:pos="8296"/>
        </w:tabs>
        <w:jc w:val="center"/>
        <w:rPr>
          <w:rFonts w:hint="eastAsia" w:ascii="黑体" w:hAnsi="黑体" w:eastAsia="黑体"/>
          <w:bCs w:val="0"/>
          <w:color w:val="auto"/>
          <w:kern w:val="21"/>
          <w:sz w:val="36"/>
          <w:szCs w:val="24"/>
          <w:lang w:eastAsia="zh-CN"/>
        </w:rPr>
      </w:pPr>
      <w:bookmarkStart w:id="498" w:name="_GoBack"/>
      <w:r>
        <w:rPr>
          <w:rFonts w:hint="eastAsia" w:ascii="黑体" w:hAnsi="黑体" w:eastAsia="黑体"/>
          <w:bCs w:val="0"/>
          <w:color w:val="auto"/>
          <w:kern w:val="21"/>
          <w:sz w:val="36"/>
          <w:szCs w:val="24"/>
          <w:lang w:eastAsia="zh-CN"/>
        </w:rPr>
        <w:drawing>
          <wp:anchor distT="0" distB="0" distL="114300" distR="114300" simplePos="0" relativeHeight="251795456" behindDoc="0" locked="0" layoutInCell="1" allowOverlap="1">
            <wp:simplePos x="0" y="0"/>
            <wp:positionH relativeFrom="column">
              <wp:posOffset>-409575</wp:posOffset>
            </wp:positionH>
            <wp:positionV relativeFrom="paragraph">
              <wp:posOffset>-9525</wp:posOffset>
            </wp:positionV>
            <wp:extent cx="6184265" cy="8872220"/>
            <wp:effectExtent l="0" t="0" r="6985" b="5080"/>
            <wp:wrapNone/>
            <wp:docPr id="131" name="图片 131" descr="封面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封面副本"/>
                    <pic:cNvPicPr>
                      <a:picLocks noChangeAspect="1"/>
                    </pic:cNvPicPr>
                  </pic:nvPicPr>
                  <pic:blipFill>
                    <a:blip r:embed="rId36"/>
                    <a:stretch>
                      <a:fillRect/>
                    </a:stretch>
                  </pic:blipFill>
                  <pic:spPr>
                    <a:xfrm>
                      <a:off x="0" y="0"/>
                      <a:ext cx="6184265" cy="8872220"/>
                    </a:xfrm>
                    <a:prstGeom prst="rect">
                      <a:avLst/>
                    </a:prstGeom>
                  </pic:spPr>
                </pic:pic>
              </a:graphicData>
            </a:graphic>
          </wp:anchor>
        </w:drawing>
      </w:r>
      <w:bookmarkEnd w:id="498"/>
    </w:p>
    <w:p>
      <w:pPr>
        <w:bidi w:val="0"/>
        <w:rPr>
          <w:rFonts w:hint="eastAsia"/>
        </w:rPr>
      </w:pPr>
    </w:p>
    <w:p>
      <w:pPr>
        <w:bidi w:val="0"/>
        <w:rPr>
          <w:rFonts w:hint="eastAsia"/>
        </w:rPr>
      </w:pPr>
      <w:r>
        <w:rPr>
          <w:rFonts w:hint="eastAsia"/>
          <w:lang w:eastAsia="zh-CN"/>
        </w:rPr>
        <w:drawing>
          <wp:anchor distT="0" distB="0" distL="114300" distR="114300" simplePos="0" relativeHeight="251791360" behindDoc="0" locked="0" layoutInCell="1" allowOverlap="1">
            <wp:simplePos x="0" y="0"/>
            <wp:positionH relativeFrom="column">
              <wp:posOffset>-175895</wp:posOffset>
            </wp:positionH>
            <wp:positionV relativeFrom="paragraph">
              <wp:posOffset>59690</wp:posOffset>
            </wp:positionV>
            <wp:extent cx="5839460" cy="8260080"/>
            <wp:effectExtent l="0" t="0" r="8890" b="7620"/>
            <wp:wrapNone/>
            <wp:docPr id="107" name="图片 107" descr="SKM_C2262301181743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SKM_C22623011817431_0001"/>
                    <pic:cNvPicPr>
                      <a:picLocks noChangeAspect="1"/>
                    </pic:cNvPicPr>
                  </pic:nvPicPr>
                  <pic:blipFill>
                    <a:blip r:embed="rId37"/>
                    <a:stretch>
                      <a:fillRect/>
                    </a:stretch>
                  </pic:blipFill>
                  <pic:spPr>
                    <a:xfrm>
                      <a:off x="0" y="0"/>
                      <a:ext cx="5839460" cy="8260080"/>
                    </a:xfrm>
                    <a:prstGeom prst="rect">
                      <a:avLst/>
                    </a:prstGeom>
                  </pic:spPr>
                </pic:pic>
              </a:graphicData>
            </a:graphic>
          </wp:anchor>
        </w:drawing>
      </w: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bidi w:val="0"/>
        <w:rPr>
          <w:rFonts w:hint="eastAsia"/>
        </w:rPr>
      </w:pPr>
    </w:p>
    <w:p>
      <w:pPr>
        <w:pStyle w:val="2"/>
        <w:ind w:left="0" w:leftChars="0" w:firstLine="0" w:firstLineChars="0"/>
        <w:rPr>
          <w:rFonts w:hint="eastAsia"/>
        </w:rPr>
      </w:pPr>
    </w:p>
    <w:p>
      <w:pPr>
        <w:rPr>
          <w:rFonts w:hint="eastAsia"/>
        </w:rPr>
      </w:pPr>
      <w:r>
        <w:rPr>
          <w:rFonts w:hint="eastAsia"/>
          <w:lang w:eastAsia="zh-CN"/>
        </w:rPr>
        <w:drawing>
          <wp:anchor distT="0" distB="0" distL="114300" distR="114300" simplePos="0" relativeHeight="251798528" behindDoc="1" locked="0" layoutInCell="1" allowOverlap="1">
            <wp:simplePos x="0" y="0"/>
            <wp:positionH relativeFrom="column">
              <wp:posOffset>-819150</wp:posOffset>
            </wp:positionH>
            <wp:positionV relativeFrom="paragraph">
              <wp:posOffset>-758825</wp:posOffset>
            </wp:positionV>
            <wp:extent cx="7073265" cy="10003155"/>
            <wp:effectExtent l="0" t="0" r="13335" b="17145"/>
            <wp:wrapTight wrapText="bothSides">
              <wp:wrapPolygon>
                <wp:start x="0" y="0"/>
                <wp:lineTo x="0" y="21555"/>
                <wp:lineTo x="21524" y="21555"/>
                <wp:lineTo x="21524" y="0"/>
                <wp:lineTo x="0" y="0"/>
              </wp:wrapPolygon>
            </wp:wrapTight>
            <wp:docPr id="15" name="图片 15" descr="SKM_C2262301181743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KM_C22623011817431_0001"/>
                    <pic:cNvPicPr>
                      <a:picLocks noChangeAspect="1"/>
                    </pic:cNvPicPr>
                  </pic:nvPicPr>
                  <pic:blipFill>
                    <a:blip r:embed="rId38"/>
                    <a:stretch>
                      <a:fillRect/>
                    </a:stretch>
                  </pic:blipFill>
                  <pic:spPr>
                    <a:xfrm>
                      <a:off x="0" y="0"/>
                      <a:ext cx="7073265" cy="10003155"/>
                    </a:xfrm>
                    <a:prstGeom prst="rect">
                      <a:avLst/>
                    </a:prstGeom>
                  </pic:spPr>
                </pic:pic>
              </a:graphicData>
            </a:graphic>
          </wp:anchor>
        </w:drawing>
      </w:r>
    </w:p>
    <w:p>
      <w:pPr>
        <w:tabs>
          <w:tab w:val="left" w:pos="628"/>
        </w:tabs>
        <w:bidi w:val="0"/>
        <w:jc w:val="left"/>
        <w:rPr>
          <w:rFonts w:hint="eastAsia"/>
          <w:lang w:eastAsia="zh-CN"/>
        </w:rPr>
      </w:pPr>
      <w:r>
        <w:rPr>
          <w:rFonts w:hint="eastAsia"/>
          <w:lang w:eastAsia="zh-CN"/>
        </w:rPr>
        <w:tab/>
      </w: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r>
        <w:rPr>
          <w:rFonts w:hint="eastAsia" w:ascii="黑体" w:hAnsi="黑体" w:eastAsia="黑体"/>
          <w:bCs w:val="0"/>
          <w:color w:val="auto"/>
          <w:kern w:val="21"/>
          <w:sz w:val="36"/>
          <w:szCs w:val="24"/>
          <w:lang w:eastAsia="zh-CN"/>
        </w:rPr>
        <w:drawing>
          <wp:anchor distT="0" distB="0" distL="114300" distR="114300" simplePos="0" relativeHeight="251792384" behindDoc="1" locked="0" layoutInCell="1" allowOverlap="1">
            <wp:simplePos x="0" y="0"/>
            <wp:positionH relativeFrom="column">
              <wp:posOffset>-234950</wp:posOffset>
            </wp:positionH>
            <wp:positionV relativeFrom="paragraph">
              <wp:posOffset>38735</wp:posOffset>
            </wp:positionV>
            <wp:extent cx="5997575" cy="8251190"/>
            <wp:effectExtent l="0" t="0" r="3175" b="16510"/>
            <wp:wrapNone/>
            <wp:docPr id="78" name="图片 78" descr="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环2"/>
                    <pic:cNvPicPr>
                      <a:picLocks noChangeAspect="1"/>
                    </pic:cNvPicPr>
                  </pic:nvPicPr>
                  <pic:blipFill>
                    <a:blip r:embed="rId39">
                      <a:lum bright="12000"/>
                    </a:blip>
                    <a:srcRect/>
                    <a:stretch>
                      <a:fillRect/>
                    </a:stretch>
                  </pic:blipFill>
                  <pic:spPr>
                    <a:xfrm>
                      <a:off x="0" y="0"/>
                      <a:ext cx="5997575" cy="8251190"/>
                    </a:xfrm>
                    <a:prstGeom prst="rect">
                      <a:avLst/>
                    </a:prstGeom>
                  </pic:spPr>
                </pic:pic>
              </a:graphicData>
            </a:graphic>
          </wp:anchor>
        </w:drawing>
      </w:r>
    </w:p>
    <w:p>
      <w:pPr>
        <w:pStyle w:val="2"/>
        <w:rPr>
          <w:rFonts w:hint="eastAsia"/>
          <w:lang w:eastAsia="zh-CN"/>
        </w:rPr>
      </w:pPr>
    </w:p>
    <w:p>
      <w:pPr>
        <w:pStyle w:val="2"/>
        <w:rPr>
          <w:rFonts w:hint="eastAsia"/>
          <w:lang w:eastAsia="zh-CN"/>
        </w:rPr>
      </w:pPr>
    </w:p>
    <w:p>
      <w:pPr>
        <w:pStyle w:val="2"/>
        <w:rPr>
          <w:rFonts w:hint="eastAsia" w:ascii="黑体" w:hAnsi="黑体" w:eastAsia="黑体"/>
          <w:bCs w:val="0"/>
          <w:color w:val="auto"/>
          <w:kern w:val="21"/>
          <w:sz w:val="36"/>
          <w:szCs w:val="24"/>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tabs>
          <w:tab w:val="left" w:pos="643"/>
        </w:tabs>
        <w:bidi w:val="0"/>
        <w:jc w:val="left"/>
        <w:rPr>
          <w:rFonts w:hint="eastAsia"/>
          <w:lang w:eastAsia="zh-CN"/>
        </w:rPr>
      </w:pPr>
      <w:r>
        <w:rPr>
          <w:rFonts w:hint="eastAsia"/>
          <w:lang w:eastAsia="zh-CN"/>
        </w:rPr>
        <w:tab/>
      </w:r>
      <w:r>
        <w:rPr>
          <w:rFonts w:hint="eastAsia" w:eastAsia="宋体"/>
          <w:lang w:eastAsia="zh-CN"/>
        </w:rPr>
        <w:drawing>
          <wp:anchor distT="0" distB="0" distL="114300" distR="114300" simplePos="0" relativeHeight="251793408" behindDoc="1" locked="0" layoutInCell="1" allowOverlap="1">
            <wp:simplePos x="0" y="0"/>
            <wp:positionH relativeFrom="column">
              <wp:posOffset>-344170</wp:posOffset>
            </wp:positionH>
            <wp:positionV relativeFrom="paragraph">
              <wp:posOffset>-8538845</wp:posOffset>
            </wp:positionV>
            <wp:extent cx="6142355" cy="8450580"/>
            <wp:effectExtent l="0" t="0" r="10795" b="7620"/>
            <wp:wrapTight wrapText="bothSides">
              <wp:wrapPolygon>
                <wp:start x="0" y="0"/>
                <wp:lineTo x="0" y="21571"/>
                <wp:lineTo x="21504" y="21571"/>
                <wp:lineTo x="21504" y="0"/>
                <wp:lineTo x="0" y="0"/>
              </wp:wrapPolygon>
            </wp:wrapTight>
            <wp:docPr id="108" name="图片 108" descr="环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环3"/>
                    <pic:cNvPicPr>
                      <a:picLocks noChangeAspect="1"/>
                    </pic:cNvPicPr>
                  </pic:nvPicPr>
                  <pic:blipFill>
                    <a:blip r:embed="rId40">
                      <a:lum bright="12000"/>
                    </a:blip>
                    <a:srcRect/>
                    <a:stretch>
                      <a:fillRect/>
                    </a:stretch>
                  </pic:blipFill>
                  <pic:spPr>
                    <a:xfrm>
                      <a:off x="0" y="0"/>
                      <a:ext cx="6142355" cy="8450580"/>
                    </a:xfrm>
                    <a:prstGeom prst="rect">
                      <a:avLst/>
                    </a:prstGeom>
                  </pic:spPr>
                </pic:pic>
              </a:graphicData>
            </a:graphic>
          </wp:anchor>
        </w:drawing>
      </w:r>
    </w:p>
    <w:p>
      <w:pPr>
        <w:pStyle w:val="2"/>
        <w:rPr>
          <w:rFonts w:hint="eastAsia"/>
          <w:lang w:eastAsia="zh-CN"/>
        </w:rPr>
      </w:pPr>
    </w:p>
    <w:p>
      <w:pPr>
        <w:pStyle w:val="2"/>
        <w:rPr>
          <w:rFonts w:hint="eastAsia"/>
          <w:lang w:eastAsia="zh-CN"/>
        </w:rPr>
      </w:pPr>
      <w:r>
        <w:rPr>
          <w:rFonts w:hint="eastAsia" w:eastAsia="宋体"/>
          <w:lang w:eastAsia="zh-CN"/>
        </w:rPr>
        <w:drawing>
          <wp:anchor distT="0" distB="0" distL="114300" distR="114300" simplePos="0" relativeHeight="251794432" behindDoc="1" locked="0" layoutInCell="1" allowOverlap="1">
            <wp:simplePos x="0" y="0"/>
            <wp:positionH relativeFrom="column">
              <wp:posOffset>43815</wp:posOffset>
            </wp:positionH>
            <wp:positionV relativeFrom="page">
              <wp:posOffset>1137920</wp:posOffset>
            </wp:positionV>
            <wp:extent cx="5680710" cy="8035290"/>
            <wp:effectExtent l="0" t="0" r="15240" b="3810"/>
            <wp:wrapTight wrapText="bothSides">
              <wp:wrapPolygon>
                <wp:start x="0" y="0"/>
                <wp:lineTo x="0" y="21559"/>
                <wp:lineTo x="21513" y="21559"/>
                <wp:lineTo x="21513" y="0"/>
                <wp:lineTo x="0" y="0"/>
              </wp:wrapPolygon>
            </wp:wrapTight>
            <wp:docPr id="130" name="图片 130" descr="SKM_C22623011817431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SKM_C22623011817431_0003"/>
                    <pic:cNvPicPr>
                      <a:picLocks noChangeAspect="1"/>
                    </pic:cNvPicPr>
                  </pic:nvPicPr>
                  <pic:blipFill>
                    <a:blip r:embed="rId41"/>
                    <a:stretch>
                      <a:fillRect/>
                    </a:stretch>
                  </pic:blipFill>
                  <pic:spPr>
                    <a:xfrm>
                      <a:off x="0" y="0"/>
                      <a:ext cx="5680710" cy="8035290"/>
                    </a:xfrm>
                    <a:prstGeom prst="rect">
                      <a:avLst/>
                    </a:prstGeom>
                  </pic:spPr>
                </pic:pic>
              </a:graphicData>
            </a:graphic>
          </wp:anchor>
        </w:drawing>
      </w:r>
    </w:p>
    <w:p>
      <w:pPr>
        <w:pStyle w:val="2"/>
        <w:rPr>
          <w:rFonts w:hint="eastAsia"/>
          <w:lang w:eastAsia="zh-CN"/>
        </w:rPr>
      </w:pPr>
    </w:p>
    <w:p>
      <w:pPr>
        <w:pStyle w:val="2"/>
        <w:rPr>
          <w:rFonts w:hint="eastAsia"/>
          <w:lang w:eastAsia="zh-CN"/>
        </w:rPr>
      </w:pPr>
    </w:p>
    <w:p>
      <w:pPr>
        <w:pStyle w:val="2"/>
        <w:rPr>
          <w:rFonts w:hint="eastAsia"/>
          <w:lang w:eastAsia="zh-CN"/>
        </w:rPr>
      </w:pPr>
    </w:p>
    <w:p>
      <w:pPr>
        <w:pStyle w:val="2"/>
        <w:ind w:firstLine="988" w:firstLineChars="0"/>
        <w:rPr>
          <w:rFonts w:hint="eastAsia"/>
          <w:lang w:eastAsia="zh-CN"/>
        </w:rPr>
      </w:pPr>
      <w:r>
        <w:rPr>
          <w:rFonts w:hint="eastAsia"/>
          <w:lang w:val="en-US" w:eastAsia="zh-CN"/>
        </w:rPr>
        <w:drawing>
          <wp:anchor distT="0" distB="0" distL="114300" distR="114300" simplePos="0" relativeHeight="251796480" behindDoc="0" locked="0" layoutInCell="1" allowOverlap="1">
            <wp:simplePos x="0" y="0"/>
            <wp:positionH relativeFrom="column">
              <wp:posOffset>-227965</wp:posOffset>
            </wp:positionH>
            <wp:positionV relativeFrom="paragraph">
              <wp:posOffset>10700385</wp:posOffset>
            </wp:positionV>
            <wp:extent cx="5684520" cy="8045450"/>
            <wp:effectExtent l="0" t="0" r="11430" b="12700"/>
            <wp:wrapNone/>
            <wp:docPr id="162" name="图片 162" descr="社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社保"/>
                    <pic:cNvPicPr>
                      <a:picLocks noChangeAspect="1"/>
                    </pic:cNvPicPr>
                  </pic:nvPicPr>
                  <pic:blipFill>
                    <a:blip r:embed="rId42"/>
                    <a:stretch>
                      <a:fillRect/>
                    </a:stretch>
                  </pic:blipFill>
                  <pic:spPr>
                    <a:xfrm>
                      <a:off x="0" y="0"/>
                      <a:ext cx="5684520" cy="8045450"/>
                    </a:xfrm>
                    <a:prstGeom prst="rect">
                      <a:avLst/>
                    </a:prstGeom>
                  </pic:spPr>
                </pic:pic>
              </a:graphicData>
            </a:graphic>
          </wp:anchor>
        </w:drawing>
      </w:r>
    </w:p>
    <w:p>
      <w:pPr>
        <w:rPr>
          <w:rFonts w:hint="eastAsia"/>
          <w:lang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eastAsia"/>
          <w:lang w:val="en-US" w:eastAsia="zh-CN"/>
        </w:rPr>
      </w:pPr>
    </w:p>
    <w:p>
      <w:pPr>
        <w:pStyle w:val="2"/>
        <w:rPr>
          <w:rFonts w:hint="eastAsia"/>
          <w:lang w:val="en-US" w:eastAsia="zh-CN"/>
        </w:rPr>
      </w:pPr>
    </w:p>
    <w:p>
      <w:pPr>
        <w:rPr>
          <w:rFonts w:hint="default"/>
          <w:lang w:val="en-US"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p>
    <w:p>
      <w:pPr>
        <w:pStyle w:val="2"/>
        <w:rPr>
          <w:rFonts w:hint="eastAsia"/>
          <w:lang w:eastAsia="zh-CN"/>
        </w:rPr>
      </w:pPr>
      <w:r>
        <w:rPr>
          <w:rFonts w:hint="eastAsia" w:eastAsia="宋体"/>
          <w:lang w:eastAsia="zh-CN"/>
        </w:rPr>
        <w:drawing>
          <wp:anchor distT="0" distB="0" distL="114300" distR="114300" simplePos="0" relativeHeight="251797504" behindDoc="1" locked="0" layoutInCell="1" allowOverlap="1">
            <wp:simplePos x="0" y="0"/>
            <wp:positionH relativeFrom="column">
              <wp:posOffset>-198120</wp:posOffset>
            </wp:positionH>
            <wp:positionV relativeFrom="page">
              <wp:posOffset>1252220</wp:posOffset>
            </wp:positionV>
            <wp:extent cx="5882640" cy="8328025"/>
            <wp:effectExtent l="0" t="0" r="3810" b="15875"/>
            <wp:wrapNone/>
            <wp:docPr id="132" name="图片 132" descr="SKM_C22623011817431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SKM_C22623011817431_0002"/>
                    <pic:cNvPicPr>
                      <a:picLocks noChangeAspect="1"/>
                    </pic:cNvPicPr>
                  </pic:nvPicPr>
                  <pic:blipFill>
                    <a:blip r:embed="rId43"/>
                    <a:stretch>
                      <a:fillRect/>
                    </a:stretch>
                  </pic:blipFill>
                  <pic:spPr>
                    <a:xfrm>
                      <a:off x="0" y="0"/>
                      <a:ext cx="5882640" cy="8328025"/>
                    </a:xfrm>
                    <a:prstGeom prst="rect">
                      <a:avLst/>
                    </a:prstGeom>
                  </pic:spPr>
                </pic:pic>
              </a:graphicData>
            </a:graphic>
          </wp:anchor>
        </w:drawing>
      </w:r>
    </w:p>
    <w:p>
      <w:pPr>
        <w:pStyle w:val="2"/>
        <w:rPr>
          <w:rFonts w:hint="eastAsia"/>
          <w:lang w:eastAsia="zh-CN"/>
        </w:rPr>
        <w:sectPr>
          <w:headerReference r:id="rId3" w:type="default"/>
          <w:pgSz w:w="11906" w:h="16838"/>
          <w:pgMar w:top="1440" w:right="1800" w:bottom="1440" w:left="1800" w:header="1134" w:footer="1134" w:gutter="0"/>
          <w:pgNumType w:fmt="upperRoman" w:start="1"/>
          <w:cols w:space="720" w:num="1"/>
          <w:docGrid w:linePitch="312" w:charSpace="0"/>
        </w:sectPr>
      </w:pPr>
    </w:p>
    <w:p>
      <w:pPr>
        <w:pStyle w:val="56"/>
        <w:tabs>
          <w:tab w:val="right" w:leader="dot" w:pos="8296"/>
        </w:tabs>
        <w:jc w:val="center"/>
        <w:rPr>
          <w:rFonts w:ascii="黑体" w:hAnsi="黑体" w:eastAsia="黑体"/>
          <w:bCs w:val="0"/>
          <w:color w:val="auto"/>
          <w:kern w:val="21"/>
          <w:sz w:val="36"/>
          <w:szCs w:val="24"/>
        </w:rPr>
      </w:pPr>
      <w:r>
        <w:rPr>
          <w:rFonts w:hint="eastAsia" w:ascii="黑体" w:hAnsi="黑体" w:eastAsia="黑体"/>
          <w:bCs w:val="0"/>
          <w:color w:val="auto"/>
          <w:kern w:val="21"/>
          <w:sz w:val="36"/>
          <w:szCs w:val="24"/>
        </w:rPr>
        <w:t>目  录</w:t>
      </w:r>
    </w:p>
    <w:p>
      <w:pPr>
        <w:pStyle w:val="56"/>
        <w:tabs>
          <w:tab w:val="right" w:leader="dot" w:pos="8296"/>
        </w:tabs>
        <w:rPr>
          <w:rFonts w:ascii="黑体" w:hAnsi="黑体" w:eastAsia="黑体" w:cstheme="minorBidi"/>
          <w:b w:val="0"/>
          <w:bCs w:val="0"/>
          <w:caps w:val="0"/>
          <w:color w:val="auto"/>
          <w:sz w:val="24"/>
          <w:szCs w:val="24"/>
        </w:rPr>
      </w:pPr>
      <w:r>
        <w:rPr>
          <w:rFonts w:ascii="黑体" w:hAnsi="黑体" w:eastAsia="黑体"/>
          <w:b w:val="0"/>
          <w:bCs w:val="0"/>
          <w:color w:val="auto"/>
          <w:kern w:val="21"/>
          <w:sz w:val="24"/>
          <w:szCs w:val="24"/>
        </w:rPr>
        <w:fldChar w:fldCharType="begin"/>
      </w:r>
      <w:r>
        <w:rPr>
          <w:rFonts w:ascii="黑体" w:hAnsi="黑体" w:eastAsia="黑体"/>
          <w:b w:val="0"/>
          <w:bCs w:val="0"/>
          <w:color w:val="auto"/>
          <w:kern w:val="21"/>
          <w:sz w:val="24"/>
          <w:szCs w:val="24"/>
        </w:rPr>
        <w:instrText xml:space="preserve"> TOC \o "1-2" \h \z \u </w:instrText>
      </w:r>
      <w:r>
        <w:rPr>
          <w:rFonts w:ascii="黑体" w:hAnsi="黑体" w:eastAsia="黑体"/>
          <w:b w:val="0"/>
          <w:bCs w:val="0"/>
          <w:color w:val="auto"/>
          <w:kern w:val="21"/>
          <w:sz w:val="24"/>
          <w:szCs w:val="24"/>
        </w:rPr>
        <w:fldChar w:fldCharType="separate"/>
      </w:r>
      <w:r>
        <w:rPr>
          <w:color w:val="auto"/>
        </w:rPr>
        <w:fldChar w:fldCharType="begin"/>
      </w:r>
      <w:r>
        <w:rPr>
          <w:color w:val="auto"/>
        </w:rPr>
        <w:instrText xml:space="preserve"> HYPERLINK \l "_Toc112338920" </w:instrText>
      </w:r>
      <w:r>
        <w:rPr>
          <w:color w:val="auto"/>
        </w:rPr>
        <w:fldChar w:fldCharType="separate"/>
      </w:r>
      <w:r>
        <w:rPr>
          <w:rStyle w:val="138"/>
          <w:rFonts w:hint="default" w:ascii="黑体" w:hAnsi="黑体" w:eastAsia="黑体"/>
          <w:b w:val="0"/>
          <w:color w:val="auto"/>
          <w:sz w:val="24"/>
          <w:szCs w:val="24"/>
        </w:rPr>
        <w:t>第一章  概述</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_Toc112338920 \h </w:instrText>
      </w:r>
      <w:r>
        <w:rPr>
          <w:rFonts w:ascii="黑体" w:hAnsi="黑体" w:eastAsia="黑体"/>
          <w:b w:val="0"/>
          <w:color w:val="auto"/>
          <w:sz w:val="24"/>
          <w:szCs w:val="24"/>
        </w:rPr>
        <w:fldChar w:fldCharType="separate"/>
      </w:r>
      <w:r>
        <w:rPr>
          <w:rFonts w:ascii="黑体" w:hAnsi="黑体" w:eastAsia="黑体"/>
          <w:b w:val="0"/>
          <w:color w:val="auto"/>
          <w:sz w:val="24"/>
          <w:szCs w:val="24"/>
        </w:rPr>
        <w:t>1</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"_Toc112338921" </w:instrText>
      </w:r>
      <w:r>
        <w:rPr>
          <w:color w:val="auto"/>
        </w:rPr>
        <w:fldChar w:fldCharType="separate"/>
      </w:r>
      <w:r>
        <w:rPr>
          <w:rStyle w:val="138"/>
          <w:rFonts w:hint="default" w:ascii="黑体" w:hAnsi="黑体" w:eastAsia="黑体"/>
          <w:color w:val="auto"/>
          <w:kern w:val="0"/>
          <w:sz w:val="24"/>
          <w:szCs w:val="24"/>
        </w:rPr>
        <w:t>1.1建设项目背景及任务由来</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_Toc112338921 \h </w:instrText>
      </w:r>
      <w:r>
        <w:rPr>
          <w:rFonts w:ascii="黑体" w:hAnsi="黑体" w:eastAsia="黑体"/>
          <w:color w:val="auto"/>
          <w:sz w:val="24"/>
          <w:szCs w:val="24"/>
        </w:rPr>
        <w:fldChar w:fldCharType="separate"/>
      </w:r>
      <w:r>
        <w:rPr>
          <w:rFonts w:ascii="黑体" w:hAnsi="黑体" w:eastAsia="黑体"/>
          <w:color w:val="auto"/>
          <w:sz w:val="24"/>
          <w:szCs w:val="24"/>
        </w:rPr>
        <w:t>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"_Toc112338922" </w:instrText>
      </w:r>
      <w:r>
        <w:rPr>
          <w:color w:val="auto"/>
        </w:rPr>
        <w:fldChar w:fldCharType="separate"/>
      </w:r>
      <w:r>
        <w:rPr>
          <w:rStyle w:val="138"/>
          <w:rFonts w:hint="default" w:ascii="黑体" w:hAnsi="黑体" w:eastAsia="黑体"/>
          <w:color w:val="auto"/>
          <w:kern w:val="0"/>
          <w:sz w:val="24"/>
          <w:szCs w:val="24"/>
        </w:rPr>
        <w:t>1.2项目特点</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_Toc112338922 \h </w:instrText>
      </w:r>
      <w:r>
        <w:rPr>
          <w:rFonts w:ascii="黑体" w:hAnsi="黑体" w:eastAsia="黑体"/>
          <w:color w:val="auto"/>
          <w:sz w:val="24"/>
          <w:szCs w:val="24"/>
        </w:rPr>
        <w:fldChar w:fldCharType="separate"/>
      </w:r>
      <w:r>
        <w:rPr>
          <w:rFonts w:ascii="黑体" w:hAnsi="黑体" w:eastAsia="黑体"/>
          <w:color w:val="auto"/>
          <w:sz w:val="24"/>
          <w:szCs w:val="24"/>
        </w:rPr>
        <w:t>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"_Toc112338923" </w:instrText>
      </w:r>
      <w:r>
        <w:rPr>
          <w:color w:val="auto"/>
        </w:rPr>
        <w:fldChar w:fldCharType="separate"/>
      </w:r>
      <w:r>
        <w:rPr>
          <w:rStyle w:val="138"/>
          <w:rFonts w:hint="default" w:ascii="黑体" w:hAnsi="黑体" w:eastAsia="黑体"/>
          <w:color w:val="auto"/>
          <w:kern w:val="0"/>
          <w:sz w:val="24"/>
          <w:szCs w:val="24"/>
        </w:rPr>
        <w:t>1.3环境影响评价的工作过程</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_Toc112338923 \h </w:instrText>
      </w:r>
      <w:r>
        <w:rPr>
          <w:rFonts w:ascii="黑体" w:hAnsi="黑体" w:eastAsia="黑体"/>
          <w:color w:val="auto"/>
          <w:sz w:val="24"/>
          <w:szCs w:val="24"/>
        </w:rPr>
        <w:fldChar w:fldCharType="separate"/>
      </w:r>
      <w:r>
        <w:rPr>
          <w:rFonts w:ascii="黑体" w:hAnsi="黑体" w:eastAsia="黑体"/>
          <w:color w:val="auto"/>
          <w:sz w:val="24"/>
          <w:szCs w:val="24"/>
        </w:rPr>
        <w:t>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"_Toc112338924" </w:instrText>
      </w:r>
      <w:r>
        <w:rPr>
          <w:color w:val="auto"/>
        </w:rPr>
        <w:fldChar w:fldCharType="separate"/>
      </w:r>
      <w:r>
        <w:rPr>
          <w:rStyle w:val="138"/>
          <w:rFonts w:hint="default" w:ascii="黑体" w:hAnsi="黑体" w:eastAsia="黑体"/>
          <w:color w:val="auto"/>
          <w:kern w:val="0"/>
          <w:sz w:val="24"/>
          <w:szCs w:val="24"/>
        </w:rPr>
        <w:t>1.4分析判定情况</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_Toc112338924 \h </w:instrText>
      </w:r>
      <w:r>
        <w:rPr>
          <w:rFonts w:ascii="黑体" w:hAnsi="黑体" w:eastAsia="黑体"/>
          <w:color w:val="auto"/>
          <w:sz w:val="24"/>
          <w:szCs w:val="24"/>
        </w:rPr>
        <w:fldChar w:fldCharType="separate"/>
      </w:r>
      <w:r>
        <w:rPr>
          <w:rFonts w:ascii="黑体" w:hAnsi="黑体" w:eastAsia="黑体"/>
          <w:color w:val="auto"/>
          <w:sz w:val="24"/>
          <w:szCs w:val="24"/>
        </w:rPr>
        <w:t>5</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"_Toc112338925" </w:instrText>
      </w:r>
      <w:r>
        <w:rPr>
          <w:color w:val="auto"/>
        </w:rPr>
        <w:fldChar w:fldCharType="separate"/>
      </w:r>
      <w:r>
        <w:rPr>
          <w:rStyle w:val="138"/>
          <w:rFonts w:hint="default" w:ascii="黑体" w:hAnsi="黑体" w:eastAsia="黑体"/>
          <w:color w:val="auto"/>
          <w:kern w:val="0"/>
          <w:sz w:val="24"/>
          <w:szCs w:val="24"/>
        </w:rPr>
        <w:t>1.5关注的环境问题及环境影响</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_Toc112338925 \h </w:instrText>
      </w:r>
      <w:r>
        <w:rPr>
          <w:rFonts w:ascii="黑体" w:hAnsi="黑体" w:eastAsia="黑体"/>
          <w:color w:val="auto"/>
          <w:sz w:val="24"/>
          <w:szCs w:val="24"/>
        </w:rPr>
        <w:fldChar w:fldCharType="separate"/>
      </w:r>
      <w:r>
        <w:rPr>
          <w:rFonts w:ascii="黑体" w:hAnsi="黑体" w:eastAsia="黑体"/>
          <w:color w:val="auto"/>
          <w:sz w:val="24"/>
          <w:szCs w:val="24"/>
        </w:rPr>
        <w:t>7</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"_Toc112338926" </w:instrText>
      </w:r>
      <w:r>
        <w:rPr>
          <w:color w:val="auto"/>
        </w:rPr>
        <w:fldChar w:fldCharType="separate"/>
      </w:r>
      <w:r>
        <w:rPr>
          <w:rStyle w:val="138"/>
          <w:rFonts w:hint="default" w:ascii="黑体" w:hAnsi="黑体" w:eastAsia="黑体"/>
          <w:color w:val="auto"/>
          <w:kern w:val="0"/>
          <w:sz w:val="24"/>
          <w:szCs w:val="24"/>
        </w:rPr>
        <w:t>1.6环境影响评价的主要结论</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_Toc112338926 \h </w:instrText>
      </w:r>
      <w:r>
        <w:rPr>
          <w:rFonts w:ascii="黑体" w:hAnsi="黑体" w:eastAsia="黑体"/>
          <w:color w:val="auto"/>
          <w:sz w:val="24"/>
          <w:szCs w:val="24"/>
        </w:rPr>
        <w:fldChar w:fldCharType="separate"/>
      </w:r>
      <w:r>
        <w:rPr>
          <w:rFonts w:ascii="黑体" w:hAnsi="黑体" w:eastAsia="黑体"/>
          <w:color w:val="auto"/>
          <w:sz w:val="24"/>
          <w:szCs w:val="24"/>
        </w:rPr>
        <w:t>9</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"_Toc112338927" </w:instrText>
      </w:r>
      <w:r>
        <w:rPr>
          <w:color w:val="auto"/>
        </w:rPr>
        <w:fldChar w:fldCharType="separate"/>
      </w:r>
      <w:r>
        <w:rPr>
          <w:rStyle w:val="138"/>
          <w:rFonts w:hint="default" w:ascii="黑体" w:hAnsi="黑体" w:eastAsia="黑体"/>
          <w:b w:val="0"/>
          <w:color w:val="auto"/>
          <w:sz w:val="24"/>
          <w:szCs w:val="24"/>
        </w:rPr>
        <w:t>第二章  总则</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_Toc112338927 \h </w:instrText>
      </w:r>
      <w:r>
        <w:rPr>
          <w:rFonts w:ascii="黑体" w:hAnsi="黑体" w:eastAsia="黑体"/>
          <w:b w:val="0"/>
          <w:color w:val="auto"/>
          <w:sz w:val="24"/>
          <w:szCs w:val="24"/>
        </w:rPr>
        <w:fldChar w:fldCharType="separate"/>
      </w:r>
      <w:r>
        <w:rPr>
          <w:rFonts w:ascii="黑体" w:hAnsi="黑体" w:eastAsia="黑体"/>
          <w:b w:val="0"/>
          <w:color w:val="auto"/>
          <w:sz w:val="24"/>
          <w:szCs w:val="24"/>
        </w:rPr>
        <w:t>10</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"_Toc112338928" </w:instrText>
      </w:r>
      <w:r>
        <w:rPr>
          <w:color w:val="auto"/>
        </w:rPr>
        <w:fldChar w:fldCharType="separate"/>
      </w:r>
      <w:r>
        <w:rPr>
          <w:rStyle w:val="138"/>
          <w:rFonts w:hint="default" w:ascii="黑体" w:hAnsi="黑体" w:eastAsia="黑体"/>
          <w:color w:val="auto"/>
          <w:kern w:val="0"/>
          <w:sz w:val="24"/>
          <w:szCs w:val="24"/>
        </w:rPr>
        <w:t>2.1编制依据</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_Toc112338928 \h </w:instrText>
      </w:r>
      <w:r>
        <w:rPr>
          <w:rFonts w:ascii="黑体" w:hAnsi="黑体" w:eastAsia="黑体"/>
          <w:color w:val="auto"/>
          <w:sz w:val="24"/>
          <w:szCs w:val="24"/>
        </w:rPr>
        <w:fldChar w:fldCharType="separate"/>
      </w:r>
      <w:r>
        <w:rPr>
          <w:rFonts w:ascii="黑体" w:hAnsi="黑体" w:eastAsia="黑体"/>
          <w:color w:val="auto"/>
          <w:sz w:val="24"/>
          <w:szCs w:val="24"/>
        </w:rPr>
        <w:t>10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"_Toc112338929" </w:instrText>
      </w:r>
      <w:r>
        <w:rPr>
          <w:color w:val="auto"/>
        </w:rPr>
        <w:fldChar w:fldCharType="separate"/>
      </w:r>
      <w:r>
        <w:rPr>
          <w:rStyle w:val="138"/>
          <w:rFonts w:hint="default" w:ascii="黑体" w:hAnsi="黑体" w:eastAsia="黑体"/>
          <w:color w:val="auto"/>
          <w:kern w:val="0"/>
          <w:sz w:val="24"/>
          <w:szCs w:val="24"/>
        </w:rPr>
        <w:t>2.2评价对象、目的</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_Toc112338929 \h </w:instrText>
      </w:r>
      <w:r>
        <w:rPr>
          <w:rFonts w:ascii="黑体" w:hAnsi="黑体" w:eastAsia="黑体"/>
          <w:color w:val="auto"/>
          <w:sz w:val="24"/>
          <w:szCs w:val="24"/>
        </w:rPr>
        <w:fldChar w:fldCharType="separate"/>
      </w:r>
      <w:r>
        <w:rPr>
          <w:rFonts w:ascii="黑体" w:hAnsi="黑体" w:eastAsia="黑体"/>
          <w:color w:val="auto"/>
          <w:sz w:val="24"/>
          <w:szCs w:val="24"/>
        </w:rPr>
        <w:t>13</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"_Toc112338930" </w:instrText>
      </w:r>
      <w:r>
        <w:rPr>
          <w:color w:val="auto"/>
        </w:rPr>
        <w:fldChar w:fldCharType="separate"/>
      </w:r>
      <w:r>
        <w:rPr>
          <w:rStyle w:val="138"/>
          <w:rFonts w:hint="default" w:ascii="黑体" w:hAnsi="黑体" w:eastAsia="黑体"/>
          <w:color w:val="auto"/>
          <w:kern w:val="0"/>
          <w:sz w:val="24"/>
          <w:szCs w:val="24"/>
        </w:rPr>
        <w:t>2.3环境影响因素识别与评价因子筛选</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_Toc112338930 \h </w:instrText>
      </w:r>
      <w:r>
        <w:rPr>
          <w:rFonts w:ascii="黑体" w:hAnsi="黑体" w:eastAsia="黑体"/>
          <w:color w:val="auto"/>
          <w:sz w:val="24"/>
          <w:szCs w:val="24"/>
        </w:rPr>
        <w:fldChar w:fldCharType="separate"/>
      </w:r>
      <w:r>
        <w:rPr>
          <w:rFonts w:ascii="黑体" w:hAnsi="黑体" w:eastAsia="黑体"/>
          <w:color w:val="auto"/>
          <w:sz w:val="24"/>
          <w:szCs w:val="24"/>
        </w:rPr>
        <w:t>14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"_Toc112338931" </w:instrText>
      </w:r>
      <w:r>
        <w:rPr>
          <w:color w:val="auto"/>
        </w:rPr>
        <w:fldChar w:fldCharType="separate"/>
      </w:r>
      <w:r>
        <w:rPr>
          <w:rStyle w:val="138"/>
          <w:rFonts w:hint="default" w:ascii="黑体" w:hAnsi="黑体" w:eastAsia="黑体"/>
          <w:color w:val="auto"/>
          <w:kern w:val="0"/>
          <w:sz w:val="24"/>
          <w:szCs w:val="24"/>
        </w:rPr>
        <w:t>2.4评价标准</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_Toc112338931 \h </w:instrText>
      </w:r>
      <w:r>
        <w:rPr>
          <w:rFonts w:ascii="黑体" w:hAnsi="黑体" w:eastAsia="黑体"/>
          <w:color w:val="auto"/>
          <w:sz w:val="24"/>
          <w:szCs w:val="24"/>
        </w:rPr>
        <w:fldChar w:fldCharType="separate"/>
      </w:r>
      <w:r>
        <w:rPr>
          <w:rFonts w:ascii="黑体" w:hAnsi="黑体" w:eastAsia="黑体"/>
          <w:color w:val="auto"/>
          <w:sz w:val="24"/>
          <w:szCs w:val="24"/>
        </w:rPr>
        <w:t>17</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"_Toc112338932" </w:instrText>
      </w:r>
      <w:r>
        <w:rPr>
          <w:color w:val="auto"/>
        </w:rPr>
        <w:fldChar w:fldCharType="separate"/>
      </w:r>
      <w:r>
        <w:rPr>
          <w:rStyle w:val="138"/>
          <w:rFonts w:hint="default" w:ascii="黑体" w:hAnsi="黑体" w:eastAsia="黑体"/>
          <w:color w:val="auto"/>
          <w:kern w:val="0"/>
          <w:sz w:val="24"/>
          <w:szCs w:val="24"/>
        </w:rPr>
        <w:t>2.5评价等级及评价范围</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_Toc112338932 \h </w:instrText>
      </w:r>
      <w:r>
        <w:rPr>
          <w:rFonts w:ascii="黑体" w:hAnsi="黑体" w:eastAsia="黑体"/>
          <w:color w:val="auto"/>
          <w:sz w:val="24"/>
          <w:szCs w:val="24"/>
        </w:rPr>
        <w:fldChar w:fldCharType="separate"/>
      </w:r>
      <w:r>
        <w:rPr>
          <w:rFonts w:ascii="黑体" w:hAnsi="黑体" w:eastAsia="黑体"/>
          <w:color w:val="auto"/>
          <w:sz w:val="24"/>
          <w:szCs w:val="24"/>
        </w:rPr>
        <w:t>22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"_Toc112338933" </w:instrText>
      </w:r>
      <w:r>
        <w:rPr>
          <w:color w:val="auto"/>
        </w:rPr>
        <w:fldChar w:fldCharType="separate"/>
      </w:r>
      <w:r>
        <w:rPr>
          <w:rStyle w:val="138"/>
          <w:rFonts w:hint="default" w:ascii="黑体" w:hAnsi="黑体" w:eastAsia="黑体"/>
          <w:color w:val="auto"/>
          <w:kern w:val="0"/>
          <w:sz w:val="24"/>
          <w:szCs w:val="24"/>
        </w:rPr>
        <w:t>2.6环境保护目标</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_Toc112338933 \h </w:instrText>
      </w:r>
      <w:r>
        <w:rPr>
          <w:rFonts w:ascii="黑体" w:hAnsi="黑体" w:eastAsia="黑体"/>
          <w:color w:val="auto"/>
          <w:sz w:val="24"/>
          <w:szCs w:val="24"/>
        </w:rPr>
        <w:fldChar w:fldCharType="separate"/>
      </w:r>
      <w:r>
        <w:rPr>
          <w:rFonts w:ascii="黑体" w:hAnsi="黑体" w:eastAsia="黑体"/>
          <w:color w:val="auto"/>
          <w:sz w:val="24"/>
          <w:szCs w:val="24"/>
        </w:rPr>
        <w:t>30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"_Toc112338934" </w:instrText>
      </w:r>
      <w:r>
        <w:rPr>
          <w:color w:val="auto"/>
        </w:rPr>
        <w:fldChar w:fldCharType="separate"/>
      </w:r>
      <w:r>
        <w:rPr>
          <w:rStyle w:val="138"/>
          <w:rFonts w:hint="default" w:ascii="黑体" w:hAnsi="黑体" w:eastAsia="黑体"/>
          <w:color w:val="auto"/>
          <w:kern w:val="0"/>
          <w:sz w:val="24"/>
          <w:szCs w:val="24"/>
        </w:rPr>
        <w:t>2.7相关政策相符性分析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_Toc112338934 \h </w:instrText>
      </w:r>
      <w:r>
        <w:rPr>
          <w:rFonts w:ascii="黑体" w:hAnsi="黑体" w:eastAsia="黑体"/>
          <w:color w:val="auto"/>
          <w:sz w:val="24"/>
          <w:szCs w:val="24"/>
        </w:rPr>
        <w:fldChar w:fldCharType="separate"/>
      </w:r>
      <w:r>
        <w:rPr>
          <w:rFonts w:ascii="黑体" w:hAnsi="黑体" w:eastAsia="黑体"/>
          <w:color w:val="auto"/>
          <w:sz w:val="24"/>
          <w:szCs w:val="24"/>
        </w:rPr>
        <w:t>32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"_Toc112338935" </w:instrText>
      </w:r>
      <w:r>
        <w:rPr>
          <w:color w:val="auto"/>
        </w:rPr>
        <w:fldChar w:fldCharType="separate"/>
      </w:r>
      <w:r>
        <w:rPr>
          <w:rStyle w:val="138"/>
          <w:rFonts w:hint="default" w:ascii="黑体" w:hAnsi="黑体" w:eastAsia="黑体"/>
          <w:color w:val="auto"/>
          <w:kern w:val="0"/>
          <w:sz w:val="24"/>
          <w:szCs w:val="24"/>
        </w:rPr>
        <w:t>2.8项目相关规划及要求符合性分析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_Toc112338935 \h </w:instrText>
      </w:r>
      <w:r>
        <w:rPr>
          <w:rFonts w:ascii="黑体" w:hAnsi="黑体" w:eastAsia="黑体"/>
          <w:color w:val="auto"/>
          <w:sz w:val="24"/>
          <w:szCs w:val="24"/>
        </w:rPr>
        <w:fldChar w:fldCharType="separate"/>
      </w:r>
      <w:r>
        <w:rPr>
          <w:rFonts w:ascii="黑体" w:hAnsi="黑体" w:eastAsia="黑体"/>
          <w:color w:val="auto"/>
          <w:sz w:val="24"/>
          <w:szCs w:val="24"/>
        </w:rPr>
        <w:t>50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"_Toc112338936" </w:instrText>
      </w:r>
      <w:r>
        <w:rPr>
          <w:color w:val="auto"/>
        </w:rPr>
        <w:fldChar w:fldCharType="separate"/>
      </w:r>
      <w:r>
        <w:rPr>
          <w:rStyle w:val="138"/>
          <w:rFonts w:hint="default" w:ascii="黑体" w:hAnsi="黑体" w:eastAsia="黑体"/>
          <w:color w:val="auto"/>
          <w:kern w:val="0"/>
          <w:sz w:val="24"/>
          <w:szCs w:val="24"/>
        </w:rPr>
        <w:t>2.9项目选址合理性分析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_Toc112338936 \h </w:instrText>
      </w:r>
      <w:r>
        <w:rPr>
          <w:rFonts w:ascii="黑体" w:hAnsi="黑体" w:eastAsia="黑体"/>
          <w:color w:val="auto"/>
          <w:sz w:val="24"/>
          <w:szCs w:val="24"/>
        </w:rPr>
        <w:fldChar w:fldCharType="separate"/>
      </w:r>
      <w:r>
        <w:rPr>
          <w:rFonts w:ascii="黑体" w:hAnsi="黑体" w:eastAsia="黑体"/>
          <w:color w:val="auto"/>
          <w:sz w:val="24"/>
          <w:szCs w:val="24"/>
        </w:rPr>
        <w:t>68</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"_Toc112338937" </w:instrText>
      </w:r>
      <w:r>
        <w:rPr>
          <w:color w:val="auto"/>
        </w:rPr>
        <w:fldChar w:fldCharType="separate"/>
      </w:r>
      <w:r>
        <w:rPr>
          <w:rStyle w:val="138"/>
          <w:rFonts w:hint="default" w:ascii="黑体" w:hAnsi="黑体" w:eastAsia="黑体"/>
          <w:b w:val="0"/>
          <w:color w:val="auto"/>
          <w:sz w:val="24"/>
          <w:szCs w:val="24"/>
        </w:rPr>
        <w:t>第三章  建设项目工程分析</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_Toc112338937 \h </w:instrText>
      </w:r>
      <w:r>
        <w:rPr>
          <w:rFonts w:ascii="黑体" w:hAnsi="黑体" w:eastAsia="黑体"/>
          <w:b w:val="0"/>
          <w:color w:val="auto"/>
          <w:sz w:val="24"/>
          <w:szCs w:val="24"/>
        </w:rPr>
        <w:fldChar w:fldCharType="separate"/>
      </w:r>
      <w:r>
        <w:rPr>
          <w:rFonts w:ascii="黑体" w:hAnsi="黑体" w:eastAsia="黑体"/>
          <w:b w:val="0"/>
          <w:color w:val="auto"/>
          <w:sz w:val="24"/>
          <w:szCs w:val="24"/>
        </w:rPr>
        <w:t>70</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"_Toc112338938" </w:instrText>
      </w:r>
      <w:r>
        <w:rPr>
          <w:color w:val="auto"/>
        </w:rPr>
        <w:fldChar w:fldCharType="separate"/>
      </w:r>
      <w:r>
        <w:rPr>
          <w:rStyle w:val="138"/>
          <w:rFonts w:hint="default" w:ascii="黑体" w:hAnsi="黑体" w:eastAsia="黑体"/>
          <w:color w:val="auto"/>
          <w:kern w:val="0"/>
          <w:sz w:val="24"/>
          <w:szCs w:val="24"/>
        </w:rPr>
        <w:t>3.1建设项目概况</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_Toc112338938 \h </w:instrText>
      </w:r>
      <w:r>
        <w:rPr>
          <w:rFonts w:ascii="黑体" w:hAnsi="黑体" w:eastAsia="黑体"/>
          <w:color w:val="auto"/>
          <w:sz w:val="24"/>
          <w:szCs w:val="24"/>
        </w:rPr>
        <w:fldChar w:fldCharType="separate"/>
      </w:r>
      <w:r>
        <w:rPr>
          <w:rFonts w:ascii="黑体" w:hAnsi="黑体" w:eastAsia="黑体"/>
          <w:color w:val="auto"/>
          <w:sz w:val="24"/>
          <w:szCs w:val="24"/>
        </w:rPr>
        <w:t>70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"_Toc112338939" </w:instrText>
      </w:r>
      <w:r>
        <w:rPr>
          <w:color w:val="auto"/>
        </w:rPr>
        <w:fldChar w:fldCharType="separate"/>
      </w:r>
      <w:r>
        <w:rPr>
          <w:rStyle w:val="138"/>
          <w:rFonts w:hint="default" w:ascii="黑体" w:hAnsi="黑体" w:eastAsia="黑体"/>
          <w:color w:val="auto"/>
          <w:kern w:val="0"/>
          <w:sz w:val="24"/>
          <w:szCs w:val="24"/>
        </w:rPr>
        <w:t>3.2项目主要建设内容</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_Toc112338939 \h </w:instrText>
      </w:r>
      <w:r>
        <w:rPr>
          <w:rFonts w:ascii="黑体" w:hAnsi="黑体" w:eastAsia="黑体"/>
          <w:color w:val="auto"/>
          <w:sz w:val="24"/>
          <w:szCs w:val="24"/>
        </w:rPr>
        <w:fldChar w:fldCharType="separate"/>
      </w:r>
      <w:r>
        <w:rPr>
          <w:rFonts w:ascii="黑体" w:hAnsi="黑体" w:eastAsia="黑体"/>
          <w:color w:val="auto"/>
          <w:sz w:val="24"/>
          <w:szCs w:val="24"/>
        </w:rPr>
        <w:t>72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"_Toc112338940" </w:instrText>
      </w:r>
      <w:r>
        <w:rPr>
          <w:color w:val="auto"/>
        </w:rPr>
        <w:fldChar w:fldCharType="separate"/>
      </w:r>
      <w:r>
        <w:rPr>
          <w:rStyle w:val="138"/>
          <w:rFonts w:hint="default" w:ascii="黑体" w:hAnsi="黑体" w:eastAsia="黑体"/>
          <w:color w:val="auto"/>
          <w:kern w:val="0"/>
          <w:sz w:val="24"/>
          <w:szCs w:val="24"/>
        </w:rPr>
        <w:t>3.3生产工艺流程及产污环节分析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_Toc112338940 \h </w:instrText>
      </w:r>
      <w:r>
        <w:rPr>
          <w:rFonts w:ascii="黑体" w:hAnsi="黑体" w:eastAsia="黑体"/>
          <w:color w:val="auto"/>
          <w:sz w:val="24"/>
          <w:szCs w:val="24"/>
        </w:rPr>
        <w:fldChar w:fldCharType="separate"/>
      </w:r>
      <w:r>
        <w:rPr>
          <w:rFonts w:ascii="黑体" w:hAnsi="黑体" w:eastAsia="黑体"/>
          <w:color w:val="auto"/>
          <w:sz w:val="24"/>
          <w:szCs w:val="24"/>
        </w:rPr>
        <w:t>82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"_Toc112338941" </w:instrText>
      </w:r>
      <w:r>
        <w:rPr>
          <w:color w:val="auto"/>
        </w:rPr>
        <w:fldChar w:fldCharType="separate"/>
      </w:r>
      <w:r>
        <w:rPr>
          <w:rStyle w:val="138"/>
          <w:rFonts w:hint="default" w:ascii="黑体" w:hAnsi="黑体" w:eastAsia="黑体"/>
          <w:color w:val="auto"/>
          <w:kern w:val="0"/>
          <w:sz w:val="24"/>
          <w:szCs w:val="24"/>
        </w:rPr>
        <w:t>3.4污染源源强分析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_Toc112338941 \h </w:instrText>
      </w:r>
      <w:r>
        <w:rPr>
          <w:rFonts w:ascii="黑体" w:hAnsi="黑体" w:eastAsia="黑体"/>
          <w:color w:val="auto"/>
          <w:sz w:val="24"/>
          <w:szCs w:val="24"/>
        </w:rPr>
        <w:fldChar w:fldCharType="separate"/>
      </w:r>
      <w:r>
        <w:rPr>
          <w:rFonts w:ascii="黑体" w:hAnsi="黑体" w:eastAsia="黑体"/>
          <w:color w:val="auto"/>
          <w:sz w:val="24"/>
          <w:szCs w:val="24"/>
        </w:rPr>
        <w:t>111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"_Toc112338942" </w:instrText>
      </w:r>
      <w:r>
        <w:rPr>
          <w:color w:val="auto"/>
        </w:rPr>
        <w:fldChar w:fldCharType="separate"/>
      </w:r>
      <w:r>
        <w:rPr>
          <w:rStyle w:val="138"/>
          <w:rFonts w:hint="default" w:ascii="黑体" w:hAnsi="黑体" w:eastAsia="黑体"/>
          <w:color w:val="auto"/>
          <w:kern w:val="0"/>
          <w:sz w:val="24"/>
          <w:szCs w:val="24"/>
        </w:rPr>
        <w:t>3.5清洁生产分析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_Toc112338942 \h </w:instrText>
      </w:r>
      <w:r>
        <w:rPr>
          <w:rFonts w:ascii="黑体" w:hAnsi="黑体" w:eastAsia="黑体"/>
          <w:color w:val="auto"/>
          <w:sz w:val="24"/>
          <w:szCs w:val="24"/>
        </w:rPr>
        <w:fldChar w:fldCharType="separate"/>
      </w:r>
      <w:r>
        <w:rPr>
          <w:rFonts w:ascii="黑体" w:hAnsi="黑体" w:eastAsia="黑体"/>
          <w:color w:val="auto"/>
          <w:sz w:val="24"/>
          <w:szCs w:val="24"/>
        </w:rPr>
        <w:t>151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"_Toc112338943" </w:instrText>
      </w:r>
      <w:r>
        <w:rPr>
          <w:color w:val="auto"/>
        </w:rPr>
        <w:fldChar w:fldCharType="separate"/>
      </w:r>
      <w:r>
        <w:rPr>
          <w:rStyle w:val="138"/>
          <w:rFonts w:hint="default" w:ascii="黑体" w:hAnsi="黑体" w:eastAsia="黑体"/>
          <w:color w:val="auto"/>
          <w:kern w:val="0"/>
          <w:sz w:val="24"/>
          <w:szCs w:val="24"/>
        </w:rPr>
        <w:t>3.6项目污染物排放汇总</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_Toc112338943 \h </w:instrText>
      </w:r>
      <w:r>
        <w:rPr>
          <w:rFonts w:ascii="黑体" w:hAnsi="黑体" w:eastAsia="黑体"/>
          <w:color w:val="auto"/>
          <w:sz w:val="24"/>
          <w:szCs w:val="24"/>
        </w:rPr>
        <w:fldChar w:fldCharType="separate"/>
      </w:r>
      <w:r>
        <w:rPr>
          <w:rFonts w:ascii="黑体" w:hAnsi="黑体" w:eastAsia="黑体"/>
          <w:color w:val="auto"/>
          <w:sz w:val="24"/>
          <w:szCs w:val="24"/>
        </w:rPr>
        <w:t>161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"_Toc112338944" </w:instrText>
      </w:r>
      <w:r>
        <w:rPr>
          <w:color w:val="auto"/>
        </w:rPr>
        <w:fldChar w:fldCharType="separate"/>
      </w:r>
      <w:r>
        <w:rPr>
          <w:rStyle w:val="138"/>
          <w:rFonts w:hint="default" w:ascii="黑体" w:hAnsi="黑体" w:eastAsia="黑体"/>
          <w:b w:val="0"/>
          <w:color w:val="auto"/>
          <w:sz w:val="24"/>
          <w:szCs w:val="24"/>
        </w:rPr>
        <w:t>第四章 环境现状调查与评价</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_Toc112338944 \h </w:instrText>
      </w:r>
      <w:r>
        <w:rPr>
          <w:rFonts w:ascii="黑体" w:hAnsi="黑体" w:eastAsia="黑体"/>
          <w:b w:val="0"/>
          <w:color w:val="auto"/>
          <w:sz w:val="24"/>
          <w:szCs w:val="24"/>
        </w:rPr>
        <w:fldChar w:fldCharType="separate"/>
      </w:r>
      <w:r>
        <w:rPr>
          <w:rFonts w:ascii="黑体" w:hAnsi="黑体" w:eastAsia="黑体"/>
          <w:b w:val="0"/>
          <w:color w:val="auto"/>
          <w:sz w:val="24"/>
          <w:szCs w:val="24"/>
        </w:rPr>
        <w:t>165</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"_Toc112338945" </w:instrText>
      </w:r>
      <w:r>
        <w:rPr>
          <w:color w:val="auto"/>
        </w:rPr>
        <w:fldChar w:fldCharType="separate"/>
      </w:r>
      <w:r>
        <w:rPr>
          <w:rStyle w:val="138"/>
          <w:rFonts w:hint="default" w:ascii="黑体" w:hAnsi="黑体" w:eastAsia="黑体"/>
          <w:color w:val="auto"/>
          <w:sz w:val="24"/>
          <w:szCs w:val="24"/>
        </w:rPr>
        <w:t>4.1自然环境概况</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_Toc112338945 \h </w:instrText>
      </w:r>
      <w:r>
        <w:rPr>
          <w:rFonts w:ascii="黑体" w:hAnsi="黑体" w:eastAsia="黑体"/>
          <w:color w:val="auto"/>
          <w:sz w:val="24"/>
          <w:szCs w:val="24"/>
        </w:rPr>
        <w:fldChar w:fldCharType="separate"/>
      </w:r>
      <w:r>
        <w:rPr>
          <w:rFonts w:ascii="黑体" w:hAnsi="黑体" w:eastAsia="黑体"/>
          <w:color w:val="auto"/>
          <w:sz w:val="24"/>
          <w:szCs w:val="24"/>
        </w:rPr>
        <w:t>165</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"_Toc112338946" </w:instrText>
      </w:r>
      <w:r>
        <w:rPr>
          <w:color w:val="auto"/>
        </w:rPr>
        <w:fldChar w:fldCharType="separate"/>
      </w:r>
      <w:r>
        <w:rPr>
          <w:rStyle w:val="138"/>
          <w:rFonts w:hint="default" w:ascii="黑体" w:hAnsi="黑体" w:eastAsia="黑体"/>
          <w:color w:val="auto"/>
          <w:sz w:val="24"/>
          <w:szCs w:val="24"/>
        </w:rPr>
        <w:t>4.2环境质量现状监测与评价</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_Toc112338946 \h </w:instrText>
      </w:r>
      <w:r>
        <w:rPr>
          <w:rFonts w:ascii="黑体" w:hAnsi="黑体" w:eastAsia="黑体"/>
          <w:color w:val="auto"/>
          <w:sz w:val="24"/>
          <w:szCs w:val="24"/>
        </w:rPr>
        <w:fldChar w:fldCharType="separate"/>
      </w:r>
      <w:r>
        <w:rPr>
          <w:rFonts w:ascii="黑体" w:hAnsi="黑体" w:eastAsia="黑体"/>
          <w:color w:val="auto"/>
          <w:sz w:val="24"/>
          <w:szCs w:val="24"/>
        </w:rPr>
        <w:t>168</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"_Toc112338947" </w:instrText>
      </w:r>
      <w:r>
        <w:rPr>
          <w:color w:val="auto"/>
        </w:rPr>
        <w:fldChar w:fldCharType="separate"/>
      </w:r>
      <w:r>
        <w:rPr>
          <w:rStyle w:val="138"/>
          <w:rFonts w:hint="default" w:ascii="黑体" w:hAnsi="黑体" w:eastAsia="黑体"/>
          <w:b w:val="0"/>
          <w:color w:val="auto"/>
          <w:sz w:val="24"/>
          <w:szCs w:val="24"/>
        </w:rPr>
        <w:t>第五章 环境影响预测与评价</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_Toc112338947 \h </w:instrText>
      </w:r>
      <w:r>
        <w:rPr>
          <w:rFonts w:ascii="黑体" w:hAnsi="黑体" w:eastAsia="黑体"/>
          <w:b w:val="0"/>
          <w:color w:val="auto"/>
          <w:sz w:val="24"/>
          <w:szCs w:val="24"/>
        </w:rPr>
        <w:fldChar w:fldCharType="separate"/>
      </w:r>
      <w:r>
        <w:rPr>
          <w:rFonts w:ascii="黑体" w:hAnsi="黑体" w:eastAsia="黑体"/>
          <w:b w:val="0"/>
          <w:color w:val="auto"/>
          <w:sz w:val="24"/>
          <w:szCs w:val="24"/>
        </w:rPr>
        <w:t>194</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"_Toc112338948" </w:instrText>
      </w:r>
      <w:r>
        <w:rPr>
          <w:color w:val="auto"/>
        </w:rPr>
        <w:fldChar w:fldCharType="separate"/>
      </w:r>
      <w:r>
        <w:rPr>
          <w:rStyle w:val="138"/>
          <w:rFonts w:hint="default" w:ascii="黑体" w:hAnsi="黑体" w:eastAsia="黑体"/>
          <w:color w:val="auto"/>
          <w:sz w:val="24"/>
          <w:szCs w:val="24"/>
        </w:rPr>
        <w:t>5.1环境空气质量影响预测与评价</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_Toc112338948 \h </w:instrText>
      </w:r>
      <w:r>
        <w:rPr>
          <w:rFonts w:ascii="黑体" w:hAnsi="黑体" w:eastAsia="黑体"/>
          <w:color w:val="auto"/>
          <w:sz w:val="24"/>
          <w:szCs w:val="24"/>
        </w:rPr>
        <w:fldChar w:fldCharType="separate"/>
      </w:r>
      <w:r>
        <w:rPr>
          <w:rFonts w:ascii="黑体" w:hAnsi="黑体" w:eastAsia="黑体"/>
          <w:color w:val="auto"/>
          <w:sz w:val="24"/>
          <w:szCs w:val="24"/>
        </w:rPr>
        <w:t>194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"_Toc112338949" </w:instrText>
      </w:r>
      <w:r>
        <w:rPr>
          <w:color w:val="auto"/>
        </w:rPr>
        <w:fldChar w:fldCharType="separate"/>
      </w:r>
      <w:r>
        <w:rPr>
          <w:rStyle w:val="138"/>
          <w:rFonts w:hint="default" w:ascii="黑体" w:hAnsi="黑体" w:eastAsia="黑体"/>
          <w:color w:val="auto"/>
          <w:sz w:val="24"/>
          <w:szCs w:val="24"/>
        </w:rPr>
        <w:t>5.2地表水环境影响分析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_Toc112338949 \h </w:instrText>
      </w:r>
      <w:r>
        <w:rPr>
          <w:rFonts w:ascii="黑体" w:hAnsi="黑体" w:eastAsia="黑体"/>
          <w:color w:val="auto"/>
          <w:sz w:val="24"/>
          <w:szCs w:val="24"/>
        </w:rPr>
        <w:fldChar w:fldCharType="separate"/>
      </w:r>
      <w:r>
        <w:rPr>
          <w:rFonts w:ascii="黑体" w:hAnsi="黑体" w:eastAsia="黑体"/>
          <w:color w:val="auto"/>
          <w:sz w:val="24"/>
          <w:szCs w:val="24"/>
        </w:rPr>
        <w:t>220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"_Toc112338950" </w:instrText>
      </w:r>
      <w:r>
        <w:rPr>
          <w:color w:val="auto"/>
        </w:rPr>
        <w:fldChar w:fldCharType="separate"/>
      </w:r>
      <w:r>
        <w:rPr>
          <w:rStyle w:val="138"/>
          <w:rFonts w:hint="default" w:ascii="黑体" w:hAnsi="黑体" w:eastAsia="黑体"/>
          <w:color w:val="auto"/>
          <w:sz w:val="24"/>
          <w:szCs w:val="24"/>
        </w:rPr>
        <w:t>5.3声环境影响预测</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_Toc112338950 \h </w:instrText>
      </w:r>
      <w:r>
        <w:rPr>
          <w:rFonts w:ascii="黑体" w:hAnsi="黑体" w:eastAsia="黑体"/>
          <w:color w:val="auto"/>
          <w:sz w:val="24"/>
          <w:szCs w:val="24"/>
        </w:rPr>
        <w:fldChar w:fldCharType="separate"/>
      </w:r>
      <w:r>
        <w:rPr>
          <w:rFonts w:ascii="黑体" w:hAnsi="黑体" w:eastAsia="黑体"/>
          <w:color w:val="auto"/>
          <w:sz w:val="24"/>
          <w:szCs w:val="24"/>
        </w:rPr>
        <w:t>227</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"_Toc112338951" </w:instrText>
      </w:r>
      <w:r>
        <w:rPr>
          <w:color w:val="auto"/>
        </w:rPr>
        <w:fldChar w:fldCharType="separate"/>
      </w:r>
      <w:r>
        <w:rPr>
          <w:rStyle w:val="138"/>
          <w:rFonts w:hint="default" w:ascii="黑体" w:hAnsi="黑体" w:eastAsia="黑体"/>
          <w:color w:val="auto"/>
          <w:sz w:val="24"/>
          <w:szCs w:val="24"/>
        </w:rPr>
        <w:t>5.4固体废物环境影响分析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_Toc112338951 \h </w:instrText>
      </w:r>
      <w:r>
        <w:rPr>
          <w:rFonts w:ascii="黑体" w:hAnsi="黑体" w:eastAsia="黑体"/>
          <w:color w:val="auto"/>
          <w:sz w:val="24"/>
          <w:szCs w:val="24"/>
        </w:rPr>
        <w:fldChar w:fldCharType="separate"/>
      </w:r>
      <w:r>
        <w:rPr>
          <w:rFonts w:ascii="黑体" w:hAnsi="黑体" w:eastAsia="黑体"/>
          <w:color w:val="auto"/>
          <w:sz w:val="24"/>
          <w:szCs w:val="24"/>
        </w:rPr>
        <w:t>232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"_Toc112338952" </w:instrText>
      </w:r>
      <w:r>
        <w:rPr>
          <w:color w:val="auto"/>
        </w:rPr>
        <w:fldChar w:fldCharType="separate"/>
      </w:r>
      <w:r>
        <w:rPr>
          <w:rStyle w:val="138"/>
          <w:rFonts w:hint="default" w:ascii="黑体" w:hAnsi="黑体" w:eastAsia="黑体"/>
          <w:color w:val="auto"/>
          <w:sz w:val="24"/>
          <w:szCs w:val="24"/>
        </w:rPr>
        <w:t>5.5地下水环境影响预测</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_Toc112338952 \h </w:instrText>
      </w:r>
      <w:r>
        <w:rPr>
          <w:rFonts w:ascii="黑体" w:hAnsi="黑体" w:eastAsia="黑体"/>
          <w:color w:val="auto"/>
          <w:sz w:val="24"/>
          <w:szCs w:val="24"/>
        </w:rPr>
        <w:fldChar w:fldCharType="separate"/>
      </w:r>
      <w:r>
        <w:rPr>
          <w:rFonts w:ascii="黑体" w:hAnsi="黑体" w:eastAsia="黑体"/>
          <w:color w:val="auto"/>
          <w:sz w:val="24"/>
          <w:szCs w:val="24"/>
        </w:rPr>
        <w:t>237</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"_Toc112338953" </w:instrText>
      </w:r>
      <w:r>
        <w:rPr>
          <w:color w:val="auto"/>
        </w:rPr>
        <w:fldChar w:fldCharType="separate"/>
      </w:r>
      <w:r>
        <w:rPr>
          <w:rStyle w:val="138"/>
          <w:rFonts w:hint="default" w:ascii="黑体" w:hAnsi="黑体" w:eastAsia="黑体"/>
          <w:color w:val="auto"/>
          <w:sz w:val="24"/>
          <w:szCs w:val="24"/>
        </w:rPr>
        <w:t>5.6土壤环境影响预测与分析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_Toc112338953 \h </w:instrText>
      </w:r>
      <w:r>
        <w:rPr>
          <w:rFonts w:ascii="黑体" w:hAnsi="黑体" w:eastAsia="黑体"/>
          <w:color w:val="auto"/>
          <w:sz w:val="24"/>
          <w:szCs w:val="24"/>
        </w:rPr>
        <w:fldChar w:fldCharType="separate"/>
      </w:r>
      <w:r>
        <w:rPr>
          <w:rFonts w:ascii="黑体" w:hAnsi="黑体" w:eastAsia="黑体"/>
          <w:color w:val="auto"/>
          <w:sz w:val="24"/>
          <w:szCs w:val="24"/>
        </w:rPr>
        <w:t>255</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"_Toc112338954" </w:instrText>
      </w:r>
      <w:r>
        <w:rPr>
          <w:color w:val="auto"/>
        </w:rPr>
        <w:fldChar w:fldCharType="separate"/>
      </w:r>
      <w:r>
        <w:rPr>
          <w:rStyle w:val="138"/>
          <w:rFonts w:hint="default" w:ascii="黑体" w:hAnsi="黑体" w:eastAsia="黑体"/>
          <w:b w:val="0"/>
          <w:color w:val="auto"/>
          <w:sz w:val="24"/>
          <w:szCs w:val="24"/>
        </w:rPr>
        <w:t>第六章  环境风险分析</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_Toc112338954 \h </w:instrText>
      </w:r>
      <w:r>
        <w:rPr>
          <w:rFonts w:ascii="黑体" w:hAnsi="黑体" w:eastAsia="黑体"/>
          <w:b w:val="0"/>
          <w:color w:val="auto"/>
          <w:sz w:val="24"/>
          <w:szCs w:val="24"/>
        </w:rPr>
        <w:fldChar w:fldCharType="separate"/>
      </w:r>
      <w:r>
        <w:rPr>
          <w:rFonts w:ascii="黑体" w:hAnsi="黑体" w:eastAsia="黑体"/>
          <w:b w:val="0"/>
          <w:color w:val="auto"/>
          <w:sz w:val="24"/>
          <w:szCs w:val="24"/>
        </w:rPr>
        <w:t>273</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"_Toc112338955" </w:instrText>
      </w:r>
      <w:r>
        <w:rPr>
          <w:color w:val="auto"/>
        </w:rPr>
        <w:fldChar w:fldCharType="separate"/>
      </w:r>
      <w:r>
        <w:rPr>
          <w:rStyle w:val="138"/>
          <w:rFonts w:hint="default" w:ascii="黑体" w:hAnsi="黑体" w:eastAsia="黑体"/>
          <w:color w:val="auto"/>
          <w:kern w:val="0"/>
          <w:sz w:val="24"/>
          <w:szCs w:val="24"/>
        </w:rPr>
        <w:t>6.1环境风险分析的目的及工作流程</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_Toc112338955 \h </w:instrText>
      </w:r>
      <w:r>
        <w:rPr>
          <w:rFonts w:ascii="黑体" w:hAnsi="黑体" w:eastAsia="黑体"/>
          <w:color w:val="auto"/>
          <w:sz w:val="24"/>
          <w:szCs w:val="24"/>
        </w:rPr>
        <w:fldChar w:fldCharType="separate"/>
      </w:r>
      <w:r>
        <w:rPr>
          <w:rFonts w:ascii="黑体" w:hAnsi="黑体" w:eastAsia="黑体"/>
          <w:color w:val="auto"/>
          <w:sz w:val="24"/>
          <w:szCs w:val="24"/>
        </w:rPr>
        <w:t>273</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"_Toc112338956" </w:instrText>
      </w:r>
      <w:r>
        <w:rPr>
          <w:color w:val="auto"/>
        </w:rPr>
        <w:fldChar w:fldCharType="separate"/>
      </w:r>
      <w:r>
        <w:rPr>
          <w:rStyle w:val="138"/>
          <w:rFonts w:hint="default" w:ascii="黑体" w:hAnsi="黑体" w:eastAsia="黑体"/>
          <w:color w:val="auto"/>
          <w:kern w:val="0"/>
          <w:sz w:val="24"/>
          <w:szCs w:val="24"/>
        </w:rPr>
        <w:t>6.2风险调查及环境风险潜势初判</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_Toc112338956 \h </w:instrText>
      </w:r>
      <w:r>
        <w:rPr>
          <w:rFonts w:ascii="黑体" w:hAnsi="黑体" w:eastAsia="黑体"/>
          <w:color w:val="auto"/>
          <w:sz w:val="24"/>
          <w:szCs w:val="24"/>
        </w:rPr>
        <w:fldChar w:fldCharType="separate"/>
      </w:r>
      <w:r>
        <w:rPr>
          <w:rFonts w:ascii="黑体" w:hAnsi="黑体" w:eastAsia="黑体"/>
          <w:color w:val="auto"/>
          <w:sz w:val="24"/>
          <w:szCs w:val="24"/>
        </w:rPr>
        <w:t>274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"_Toc112338957" </w:instrText>
      </w:r>
      <w:r>
        <w:rPr>
          <w:color w:val="auto"/>
        </w:rPr>
        <w:fldChar w:fldCharType="separate"/>
      </w:r>
      <w:r>
        <w:rPr>
          <w:rStyle w:val="138"/>
          <w:rFonts w:hint="default" w:ascii="黑体" w:hAnsi="黑体" w:eastAsia="黑体"/>
          <w:color w:val="auto"/>
          <w:kern w:val="0"/>
          <w:sz w:val="24"/>
          <w:szCs w:val="24"/>
        </w:rPr>
        <w:t>6.3环境敏感目标调查</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_Toc112338957 \h </w:instrText>
      </w:r>
      <w:r>
        <w:rPr>
          <w:rFonts w:ascii="黑体" w:hAnsi="黑体" w:eastAsia="黑体"/>
          <w:color w:val="auto"/>
          <w:sz w:val="24"/>
          <w:szCs w:val="24"/>
        </w:rPr>
        <w:fldChar w:fldCharType="separate"/>
      </w:r>
      <w:r>
        <w:rPr>
          <w:rFonts w:ascii="黑体" w:hAnsi="黑体" w:eastAsia="黑体"/>
          <w:color w:val="auto"/>
          <w:sz w:val="24"/>
          <w:szCs w:val="24"/>
        </w:rPr>
        <w:t>279</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"_Toc112338958" </w:instrText>
      </w:r>
      <w:r>
        <w:rPr>
          <w:color w:val="auto"/>
        </w:rPr>
        <w:fldChar w:fldCharType="separate"/>
      </w:r>
      <w:r>
        <w:rPr>
          <w:rStyle w:val="138"/>
          <w:rFonts w:hint="default" w:ascii="黑体" w:hAnsi="黑体" w:eastAsia="黑体"/>
          <w:color w:val="auto"/>
          <w:kern w:val="0"/>
          <w:sz w:val="24"/>
          <w:szCs w:val="24"/>
        </w:rPr>
        <w:t>6.4风险识别</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_Toc112338958 \h </w:instrText>
      </w:r>
      <w:r>
        <w:rPr>
          <w:rFonts w:ascii="黑体" w:hAnsi="黑体" w:eastAsia="黑体"/>
          <w:color w:val="auto"/>
          <w:sz w:val="24"/>
          <w:szCs w:val="24"/>
        </w:rPr>
        <w:fldChar w:fldCharType="separate"/>
      </w:r>
      <w:r>
        <w:rPr>
          <w:rFonts w:ascii="黑体" w:hAnsi="黑体" w:eastAsia="黑体"/>
          <w:color w:val="auto"/>
          <w:sz w:val="24"/>
          <w:szCs w:val="24"/>
        </w:rPr>
        <w:t>280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"_Toc112338959" </w:instrText>
      </w:r>
      <w:r>
        <w:rPr>
          <w:color w:val="auto"/>
        </w:rPr>
        <w:fldChar w:fldCharType="separate"/>
      </w:r>
      <w:r>
        <w:rPr>
          <w:rStyle w:val="138"/>
          <w:rFonts w:hint="default" w:ascii="黑体" w:hAnsi="黑体" w:eastAsia="黑体"/>
          <w:color w:val="auto"/>
          <w:kern w:val="0"/>
          <w:sz w:val="24"/>
          <w:szCs w:val="24"/>
        </w:rPr>
        <w:t>6.5源项分析和最大可信事故</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_Toc112338959 \h </w:instrText>
      </w:r>
      <w:r>
        <w:rPr>
          <w:rFonts w:ascii="黑体" w:hAnsi="黑体" w:eastAsia="黑体"/>
          <w:color w:val="auto"/>
          <w:sz w:val="24"/>
          <w:szCs w:val="24"/>
        </w:rPr>
        <w:fldChar w:fldCharType="separate"/>
      </w:r>
      <w:r>
        <w:rPr>
          <w:rFonts w:ascii="黑体" w:hAnsi="黑体" w:eastAsia="黑体"/>
          <w:color w:val="auto"/>
          <w:sz w:val="24"/>
          <w:szCs w:val="24"/>
        </w:rPr>
        <w:t>281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"_Toc112338960" </w:instrText>
      </w:r>
      <w:r>
        <w:rPr>
          <w:color w:val="auto"/>
        </w:rPr>
        <w:fldChar w:fldCharType="separate"/>
      </w:r>
      <w:r>
        <w:rPr>
          <w:rStyle w:val="138"/>
          <w:rFonts w:hint="default" w:ascii="黑体" w:hAnsi="黑体" w:eastAsia="黑体"/>
          <w:color w:val="auto"/>
          <w:kern w:val="0"/>
          <w:sz w:val="24"/>
          <w:szCs w:val="24"/>
        </w:rPr>
        <w:t>6.6风险影响分析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_Toc112338960 \h </w:instrText>
      </w:r>
      <w:r>
        <w:rPr>
          <w:rFonts w:ascii="黑体" w:hAnsi="黑体" w:eastAsia="黑体"/>
          <w:color w:val="auto"/>
          <w:sz w:val="24"/>
          <w:szCs w:val="24"/>
        </w:rPr>
        <w:fldChar w:fldCharType="separate"/>
      </w:r>
      <w:r>
        <w:rPr>
          <w:rFonts w:ascii="黑体" w:hAnsi="黑体" w:eastAsia="黑体"/>
          <w:color w:val="auto"/>
          <w:sz w:val="24"/>
          <w:szCs w:val="24"/>
        </w:rPr>
        <w:t>283</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"_Toc112338961" </w:instrText>
      </w:r>
      <w:r>
        <w:rPr>
          <w:color w:val="auto"/>
        </w:rPr>
        <w:fldChar w:fldCharType="separate"/>
      </w:r>
      <w:r>
        <w:rPr>
          <w:rStyle w:val="138"/>
          <w:rFonts w:hint="default" w:ascii="黑体" w:hAnsi="黑体" w:eastAsia="黑体"/>
          <w:color w:val="auto"/>
          <w:kern w:val="0"/>
          <w:sz w:val="24"/>
          <w:szCs w:val="24"/>
        </w:rPr>
        <w:t>6.7环境风险防范措施</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_Toc112338961 \h </w:instrText>
      </w:r>
      <w:r>
        <w:rPr>
          <w:rFonts w:ascii="黑体" w:hAnsi="黑体" w:eastAsia="黑体"/>
          <w:color w:val="auto"/>
          <w:sz w:val="24"/>
          <w:szCs w:val="24"/>
        </w:rPr>
        <w:fldChar w:fldCharType="separate"/>
      </w:r>
      <w:r>
        <w:rPr>
          <w:rFonts w:ascii="黑体" w:hAnsi="黑体" w:eastAsia="黑体"/>
          <w:color w:val="auto"/>
          <w:sz w:val="24"/>
          <w:szCs w:val="24"/>
        </w:rPr>
        <w:t>284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"_Toc112338962" </w:instrText>
      </w:r>
      <w:r>
        <w:rPr>
          <w:color w:val="auto"/>
        </w:rPr>
        <w:fldChar w:fldCharType="separate"/>
      </w:r>
      <w:r>
        <w:rPr>
          <w:rStyle w:val="138"/>
          <w:rFonts w:hint="default" w:ascii="黑体" w:hAnsi="黑体" w:eastAsia="黑体"/>
          <w:color w:val="auto"/>
          <w:kern w:val="0"/>
          <w:sz w:val="24"/>
          <w:szCs w:val="24"/>
        </w:rPr>
        <w:t>6.8事故应急预案</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_Toc112338962 \h </w:instrText>
      </w:r>
      <w:r>
        <w:rPr>
          <w:rFonts w:ascii="黑体" w:hAnsi="黑体" w:eastAsia="黑体"/>
          <w:color w:val="auto"/>
          <w:sz w:val="24"/>
          <w:szCs w:val="24"/>
        </w:rPr>
        <w:fldChar w:fldCharType="separate"/>
      </w:r>
      <w:r>
        <w:rPr>
          <w:rFonts w:ascii="黑体" w:hAnsi="黑体" w:eastAsia="黑体"/>
          <w:color w:val="auto"/>
          <w:sz w:val="24"/>
          <w:szCs w:val="24"/>
        </w:rPr>
        <w:t>288</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"_Toc112338963" </w:instrText>
      </w:r>
      <w:r>
        <w:rPr>
          <w:color w:val="auto"/>
        </w:rPr>
        <w:fldChar w:fldCharType="separate"/>
      </w:r>
      <w:r>
        <w:rPr>
          <w:rStyle w:val="138"/>
          <w:rFonts w:hint="default" w:ascii="黑体" w:hAnsi="黑体" w:eastAsia="黑体"/>
          <w:color w:val="auto"/>
          <w:kern w:val="0"/>
          <w:sz w:val="24"/>
          <w:szCs w:val="24"/>
        </w:rPr>
        <w:t>6.9环境风险评价结论</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_Toc112338963 \h </w:instrText>
      </w:r>
      <w:r>
        <w:rPr>
          <w:rFonts w:ascii="黑体" w:hAnsi="黑体" w:eastAsia="黑体"/>
          <w:color w:val="auto"/>
          <w:sz w:val="24"/>
          <w:szCs w:val="24"/>
        </w:rPr>
        <w:fldChar w:fldCharType="separate"/>
      </w:r>
      <w:r>
        <w:rPr>
          <w:rFonts w:ascii="黑体" w:hAnsi="黑体" w:eastAsia="黑体"/>
          <w:color w:val="auto"/>
          <w:sz w:val="24"/>
          <w:szCs w:val="24"/>
        </w:rPr>
        <w:t>291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"_Toc112338964" </w:instrText>
      </w:r>
      <w:r>
        <w:rPr>
          <w:color w:val="auto"/>
        </w:rPr>
        <w:fldChar w:fldCharType="separate"/>
      </w:r>
      <w:r>
        <w:rPr>
          <w:rStyle w:val="138"/>
          <w:rFonts w:hint="default" w:ascii="黑体" w:hAnsi="黑体" w:eastAsia="黑体"/>
          <w:color w:val="auto"/>
          <w:kern w:val="0"/>
          <w:sz w:val="24"/>
          <w:szCs w:val="24"/>
        </w:rPr>
        <w:t>6.10环境风险评价自查表</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_Toc112338964 \h </w:instrText>
      </w:r>
      <w:r>
        <w:rPr>
          <w:rFonts w:ascii="黑体" w:hAnsi="黑体" w:eastAsia="黑体"/>
          <w:color w:val="auto"/>
          <w:sz w:val="24"/>
          <w:szCs w:val="24"/>
        </w:rPr>
        <w:fldChar w:fldCharType="separate"/>
      </w:r>
      <w:r>
        <w:rPr>
          <w:rFonts w:ascii="黑体" w:hAnsi="黑体" w:eastAsia="黑体"/>
          <w:color w:val="auto"/>
          <w:sz w:val="24"/>
          <w:szCs w:val="24"/>
        </w:rPr>
        <w:t>291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"_Toc112338965" </w:instrText>
      </w:r>
      <w:r>
        <w:rPr>
          <w:color w:val="auto"/>
        </w:rPr>
        <w:fldChar w:fldCharType="separate"/>
      </w:r>
      <w:r>
        <w:rPr>
          <w:rStyle w:val="138"/>
          <w:rFonts w:hint="default" w:ascii="黑体" w:hAnsi="黑体" w:eastAsia="黑体"/>
          <w:b w:val="0"/>
          <w:color w:val="auto"/>
          <w:sz w:val="24"/>
          <w:szCs w:val="24"/>
        </w:rPr>
        <w:t>第七章  环境保护措施可行性分析</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_Toc112338965 \h </w:instrText>
      </w:r>
      <w:r>
        <w:rPr>
          <w:rFonts w:ascii="黑体" w:hAnsi="黑体" w:eastAsia="黑体"/>
          <w:b w:val="0"/>
          <w:color w:val="auto"/>
          <w:sz w:val="24"/>
          <w:szCs w:val="24"/>
        </w:rPr>
        <w:fldChar w:fldCharType="separate"/>
      </w:r>
      <w:r>
        <w:rPr>
          <w:rFonts w:ascii="黑体" w:hAnsi="黑体" w:eastAsia="黑体"/>
          <w:b w:val="0"/>
          <w:color w:val="auto"/>
          <w:sz w:val="24"/>
          <w:szCs w:val="24"/>
        </w:rPr>
        <w:t>294</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"_Toc112338966" </w:instrText>
      </w:r>
      <w:r>
        <w:rPr>
          <w:color w:val="auto"/>
        </w:rPr>
        <w:fldChar w:fldCharType="separate"/>
      </w:r>
      <w:r>
        <w:rPr>
          <w:rStyle w:val="138"/>
          <w:rFonts w:hint="default" w:ascii="黑体" w:hAnsi="黑体" w:eastAsia="黑体"/>
          <w:color w:val="auto"/>
          <w:kern w:val="0"/>
          <w:sz w:val="24"/>
          <w:szCs w:val="24"/>
        </w:rPr>
        <w:t>7.1废气污染防治措施可行性分析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_Toc112338966 \h </w:instrText>
      </w:r>
      <w:r>
        <w:rPr>
          <w:rFonts w:ascii="黑体" w:hAnsi="黑体" w:eastAsia="黑体"/>
          <w:color w:val="auto"/>
          <w:sz w:val="24"/>
          <w:szCs w:val="24"/>
        </w:rPr>
        <w:fldChar w:fldCharType="separate"/>
      </w:r>
      <w:r>
        <w:rPr>
          <w:rFonts w:ascii="黑体" w:hAnsi="黑体" w:eastAsia="黑体"/>
          <w:color w:val="auto"/>
          <w:sz w:val="24"/>
          <w:szCs w:val="24"/>
        </w:rPr>
        <w:t>294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"_Toc112338967" </w:instrText>
      </w:r>
      <w:r>
        <w:rPr>
          <w:color w:val="auto"/>
        </w:rPr>
        <w:fldChar w:fldCharType="separate"/>
      </w:r>
      <w:r>
        <w:rPr>
          <w:rStyle w:val="138"/>
          <w:rFonts w:hint="default" w:ascii="黑体" w:hAnsi="黑体" w:eastAsia="黑体"/>
          <w:color w:val="auto"/>
          <w:kern w:val="0"/>
          <w:sz w:val="24"/>
          <w:szCs w:val="24"/>
        </w:rPr>
        <w:t>7.2废水污染防治措施可行性分析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_Toc112338967 \h </w:instrText>
      </w:r>
      <w:r>
        <w:rPr>
          <w:rFonts w:ascii="黑体" w:hAnsi="黑体" w:eastAsia="黑体"/>
          <w:color w:val="auto"/>
          <w:sz w:val="24"/>
          <w:szCs w:val="24"/>
        </w:rPr>
        <w:fldChar w:fldCharType="separate"/>
      </w:r>
      <w:r>
        <w:rPr>
          <w:rFonts w:ascii="黑体" w:hAnsi="黑体" w:eastAsia="黑体"/>
          <w:color w:val="auto"/>
          <w:sz w:val="24"/>
          <w:szCs w:val="24"/>
        </w:rPr>
        <w:t>300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"_Toc112338968" </w:instrText>
      </w:r>
      <w:r>
        <w:rPr>
          <w:color w:val="auto"/>
        </w:rPr>
        <w:fldChar w:fldCharType="separate"/>
      </w:r>
      <w:r>
        <w:rPr>
          <w:rStyle w:val="138"/>
          <w:rFonts w:hint="default" w:ascii="黑体" w:hAnsi="黑体" w:eastAsia="黑体"/>
          <w:color w:val="auto"/>
          <w:kern w:val="0"/>
          <w:sz w:val="24"/>
          <w:szCs w:val="24"/>
        </w:rPr>
        <w:t>7.3地下水污染防治措施分析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_Toc112338968 \h </w:instrText>
      </w:r>
      <w:r>
        <w:rPr>
          <w:rFonts w:ascii="黑体" w:hAnsi="黑体" w:eastAsia="黑体"/>
          <w:color w:val="auto"/>
          <w:sz w:val="24"/>
          <w:szCs w:val="24"/>
        </w:rPr>
        <w:fldChar w:fldCharType="separate"/>
      </w:r>
      <w:r>
        <w:rPr>
          <w:rFonts w:ascii="黑体" w:hAnsi="黑体" w:eastAsia="黑体"/>
          <w:color w:val="auto"/>
          <w:sz w:val="24"/>
          <w:szCs w:val="24"/>
        </w:rPr>
        <w:t>341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"_Toc112338969" </w:instrText>
      </w:r>
      <w:r>
        <w:rPr>
          <w:color w:val="auto"/>
        </w:rPr>
        <w:fldChar w:fldCharType="separate"/>
      </w:r>
      <w:r>
        <w:rPr>
          <w:rStyle w:val="138"/>
          <w:rFonts w:hint="default" w:ascii="黑体" w:hAnsi="黑体" w:eastAsia="黑体"/>
          <w:color w:val="auto"/>
          <w:kern w:val="0"/>
          <w:sz w:val="24"/>
          <w:szCs w:val="24"/>
        </w:rPr>
        <w:t>7.4噪声污染防治措施可行性分析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_Toc112338969 \h </w:instrText>
      </w:r>
      <w:r>
        <w:rPr>
          <w:rFonts w:ascii="黑体" w:hAnsi="黑体" w:eastAsia="黑体"/>
          <w:color w:val="auto"/>
          <w:sz w:val="24"/>
          <w:szCs w:val="24"/>
        </w:rPr>
        <w:fldChar w:fldCharType="separate"/>
      </w:r>
      <w:r>
        <w:rPr>
          <w:rFonts w:ascii="黑体" w:hAnsi="黑体" w:eastAsia="黑体"/>
          <w:color w:val="auto"/>
          <w:sz w:val="24"/>
          <w:szCs w:val="24"/>
        </w:rPr>
        <w:t>343</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"_Toc112338970" </w:instrText>
      </w:r>
      <w:r>
        <w:rPr>
          <w:color w:val="auto"/>
        </w:rPr>
        <w:fldChar w:fldCharType="separate"/>
      </w:r>
      <w:r>
        <w:rPr>
          <w:rStyle w:val="138"/>
          <w:rFonts w:hint="default" w:ascii="黑体" w:hAnsi="黑体" w:eastAsia="黑体"/>
          <w:color w:val="auto"/>
          <w:kern w:val="0"/>
          <w:sz w:val="24"/>
          <w:szCs w:val="24"/>
        </w:rPr>
        <w:t>7.5固体废物污染防治措施可行性分析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_Toc112338970 \h </w:instrText>
      </w:r>
      <w:r>
        <w:rPr>
          <w:rFonts w:ascii="黑体" w:hAnsi="黑体" w:eastAsia="黑体"/>
          <w:color w:val="auto"/>
          <w:sz w:val="24"/>
          <w:szCs w:val="24"/>
        </w:rPr>
        <w:fldChar w:fldCharType="separate"/>
      </w:r>
      <w:r>
        <w:rPr>
          <w:rFonts w:ascii="黑体" w:hAnsi="黑体" w:eastAsia="黑体"/>
          <w:color w:val="auto"/>
          <w:sz w:val="24"/>
          <w:szCs w:val="24"/>
        </w:rPr>
        <w:t>344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"_Toc112338971" </w:instrText>
      </w:r>
      <w:r>
        <w:rPr>
          <w:color w:val="auto"/>
        </w:rPr>
        <w:fldChar w:fldCharType="separate"/>
      </w:r>
      <w:r>
        <w:rPr>
          <w:rStyle w:val="138"/>
          <w:rFonts w:hint="default" w:ascii="黑体" w:hAnsi="黑体" w:eastAsia="黑体"/>
          <w:color w:val="auto"/>
          <w:kern w:val="0"/>
          <w:sz w:val="24"/>
          <w:szCs w:val="24"/>
        </w:rPr>
        <w:t>7.6土壤污染防治措施可行性分析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_Toc112338971 \h </w:instrText>
      </w:r>
      <w:r>
        <w:rPr>
          <w:rFonts w:ascii="黑体" w:hAnsi="黑体" w:eastAsia="黑体"/>
          <w:color w:val="auto"/>
          <w:sz w:val="24"/>
          <w:szCs w:val="24"/>
        </w:rPr>
        <w:fldChar w:fldCharType="separate"/>
      </w:r>
      <w:r>
        <w:rPr>
          <w:rFonts w:ascii="黑体" w:hAnsi="黑体" w:eastAsia="黑体"/>
          <w:color w:val="auto"/>
          <w:sz w:val="24"/>
          <w:szCs w:val="24"/>
        </w:rPr>
        <w:t>348</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"_Toc112338972" </w:instrText>
      </w:r>
      <w:r>
        <w:rPr>
          <w:color w:val="auto"/>
        </w:rPr>
        <w:fldChar w:fldCharType="separate"/>
      </w:r>
      <w:r>
        <w:rPr>
          <w:rStyle w:val="138"/>
          <w:rFonts w:hint="default" w:ascii="黑体" w:hAnsi="黑体" w:eastAsia="黑体"/>
          <w:color w:val="auto"/>
          <w:kern w:val="0"/>
          <w:sz w:val="24"/>
          <w:szCs w:val="24"/>
        </w:rPr>
        <w:t>7.7污染防治措施投资估算</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_Toc112338972 \h </w:instrText>
      </w:r>
      <w:r>
        <w:rPr>
          <w:rFonts w:ascii="黑体" w:hAnsi="黑体" w:eastAsia="黑体"/>
          <w:color w:val="auto"/>
          <w:sz w:val="24"/>
          <w:szCs w:val="24"/>
        </w:rPr>
        <w:fldChar w:fldCharType="separate"/>
      </w:r>
      <w:r>
        <w:rPr>
          <w:rFonts w:ascii="黑体" w:hAnsi="黑体" w:eastAsia="黑体"/>
          <w:color w:val="auto"/>
          <w:sz w:val="24"/>
          <w:szCs w:val="24"/>
        </w:rPr>
        <w:t>349</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"_Toc112338973" </w:instrText>
      </w:r>
      <w:r>
        <w:rPr>
          <w:color w:val="auto"/>
        </w:rPr>
        <w:fldChar w:fldCharType="separate"/>
      </w:r>
      <w:r>
        <w:rPr>
          <w:rStyle w:val="138"/>
          <w:rFonts w:hint="default" w:ascii="黑体" w:hAnsi="黑体" w:eastAsia="黑体"/>
          <w:color w:val="auto"/>
          <w:kern w:val="0"/>
          <w:sz w:val="24"/>
          <w:szCs w:val="24"/>
        </w:rPr>
        <w:t>7.8 环保投资竣工验收内容</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_Toc112338973 \h </w:instrText>
      </w:r>
      <w:r>
        <w:rPr>
          <w:rFonts w:ascii="黑体" w:hAnsi="黑体" w:eastAsia="黑体"/>
          <w:color w:val="auto"/>
          <w:sz w:val="24"/>
          <w:szCs w:val="24"/>
        </w:rPr>
        <w:fldChar w:fldCharType="separate"/>
      </w:r>
      <w:r>
        <w:rPr>
          <w:rFonts w:ascii="黑体" w:hAnsi="黑体" w:eastAsia="黑体"/>
          <w:color w:val="auto"/>
          <w:sz w:val="24"/>
          <w:szCs w:val="24"/>
        </w:rPr>
        <w:t>349</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"_Toc112338974" </w:instrText>
      </w:r>
      <w:r>
        <w:rPr>
          <w:color w:val="auto"/>
        </w:rPr>
        <w:fldChar w:fldCharType="separate"/>
      </w:r>
      <w:r>
        <w:rPr>
          <w:rStyle w:val="138"/>
          <w:rFonts w:hint="default" w:ascii="黑体" w:hAnsi="黑体" w:eastAsia="黑体"/>
          <w:b w:val="0"/>
          <w:color w:val="auto"/>
          <w:kern w:val="21"/>
          <w:sz w:val="24"/>
          <w:szCs w:val="24"/>
        </w:rPr>
        <w:t>第八章  环境影响经济损益分析</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_Toc112338974 \h </w:instrText>
      </w:r>
      <w:r>
        <w:rPr>
          <w:rFonts w:ascii="黑体" w:hAnsi="黑体" w:eastAsia="黑体"/>
          <w:b w:val="0"/>
          <w:color w:val="auto"/>
          <w:sz w:val="24"/>
          <w:szCs w:val="24"/>
        </w:rPr>
        <w:fldChar w:fldCharType="separate"/>
      </w:r>
      <w:r>
        <w:rPr>
          <w:rFonts w:ascii="黑体" w:hAnsi="黑体" w:eastAsia="黑体"/>
          <w:b w:val="0"/>
          <w:color w:val="auto"/>
          <w:sz w:val="24"/>
          <w:szCs w:val="24"/>
        </w:rPr>
        <w:t>352</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"_Toc112338975" </w:instrText>
      </w:r>
      <w:r>
        <w:rPr>
          <w:color w:val="auto"/>
        </w:rPr>
        <w:fldChar w:fldCharType="separate"/>
      </w:r>
      <w:r>
        <w:rPr>
          <w:rStyle w:val="138"/>
          <w:rFonts w:hint="default" w:ascii="黑体" w:hAnsi="黑体" w:eastAsia="黑体"/>
          <w:color w:val="auto"/>
          <w:kern w:val="0"/>
          <w:sz w:val="24"/>
          <w:szCs w:val="24"/>
        </w:rPr>
        <w:t>8.1社会效益分析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_Toc112338975 \h </w:instrText>
      </w:r>
      <w:r>
        <w:rPr>
          <w:rFonts w:ascii="黑体" w:hAnsi="黑体" w:eastAsia="黑体"/>
          <w:color w:val="auto"/>
          <w:sz w:val="24"/>
          <w:szCs w:val="24"/>
        </w:rPr>
        <w:fldChar w:fldCharType="separate"/>
      </w:r>
      <w:r>
        <w:rPr>
          <w:rFonts w:ascii="黑体" w:hAnsi="黑体" w:eastAsia="黑体"/>
          <w:color w:val="auto"/>
          <w:sz w:val="24"/>
          <w:szCs w:val="24"/>
        </w:rPr>
        <w:t>352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"_Toc112338976" </w:instrText>
      </w:r>
      <w:r>
        <w:rPr>
          <w:color w:val="auto"/>
        </w:rPr>
        <w:fldChar w:fldCharType="separate"/>
      </w:r>
      <w:r>
        <w:rPr>
          <w:rStyle w:val="138"/>
          <w:rFonts w:hint="default" w:ascii="黑体" w:hAnsi="黑体" w:eastAsia="黑体"/>
          <w:color w:val="auto"/>
          <w:kern w:val="0"/>
          <w:sz w:val="24"/>
          <w:szCs w:val="24"/>
        </w:rPr>
        <w:t>8.2经济效益分析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_Toc112338976 \h </w:instrText>
      </w:r>
      <w:r>
        <w:rPr>
          <w:rFonts w:ascii="黑体" w:hAnsi="黑体" w:eastAsia="黑体"/>
          <w:color w:val="auto"/>
          <w:sz w:val="24"/>
          <w:szCs w:val="24"/>
        </w:rPr>
        <w:fldChar w:fldCharType="separate"/>
      </w:r>
      <w:r>
        <w:rPr>
          <w:rFonts w:ascii="黑体" w:hAnsi="黑体" w:eastAsia="黑体"/>
          <w:color w:val="auto"/>
          <w:sz w:val="24"/>
          <w:szCs w:val="24"/>
        </w:rPr>
        <w:t>352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"_Toc112338977" </w:instrText>
      </w:r>
      <w:r>
        <w:rPr>
          <w:color w:val="auto"/>
        </w:rPr>
        <w:fldChar w:fldCharType="separate"/>
      </w:r>
      <w:r>
        <w:rPr>
          <w:rStyle w:val="138"/>
          <w:rFonts w:hint="default" w:ascii="黑体" w:hAnsi="黑体" w:eastAsia="黑体"/>
          <w:color w:val="auto"/>
          <w:kern w:val="0"/>
          <w:sz w:val="24"/>
          <w:szCs w:val="24"/>
        </w:rPr>
        <w:t>8.3环境损益分析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_Toc112338977 \h </w:instrText>
      </w:r>
      <w:r>
        <w:rPr>
          <w:rFonts w:ascii="黑体" w:hAnsi="黑体" w:eastAsia="黑体"/>
          <w:color w:val="auto"/>
          <w:sz w:val="24"/>
          <w:szCs w:val="24"/>
        </w:rPr>
        <w:fldChar w:fldCharType="separate"/>
      </w:r>
      <w:r>
        <w:rPr>
          <w:rFonts w:ascii="黑体" w:hAnsi="黑体" w:eastAsia="黑体"/>
          <w:color w:val="auto"/>
          <w:sz w:val="24"/>
          <w:szCs w:val="24"/>
        </w:rPr>
        <w:t>353</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"_Toc112338978" </w:instrText>
      </w:r>
      <w:r>
        <w:rPr>
          <w:color w:val="auto"/>
        </w:rPr>
        <w:fldChar w:fldCharType="separate"/>
      </w:r>
      <w:r>
        <w:rPr>
          <w:rStyle w:val="138"/>
          <w:rFonts w:hint="default" w:ascii="黑体" w:hAnsi="黑体" w:eastAsia="黑体"/>
          <w:b w:val="0"/>
          <w:color w:val="auto"/>
          <w:sz w:val="24"/>
          <w:szCs w:val="24"/>
        </w:rPr>
        <w:t>第九章  环境管理与监控计划</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_Toc112338978 \h </w:instrText>
      </w:r>
      <w:r>
        <w:rPr>
          <w:rFonts w:ascii="黑体" w:hAnsi="黑体" w:eastAsia="黑体"/>
          <w:b w:val="0"/>
          <w:color w:val="auto"/>
          <w:sz w:val="24"/>
          <w:szCs w:val="24"/>
        </w:rPr>
        <w:fldChar w:fldCharType="separate"/>
      </w:r>
      <w:r>
        <w:rPr>
          <w:rFonts w:ascii="黑体" w:hAnsi="黑体" w:eastAsia="黑体"/>
          <w:b w:val="0"/>
          <w:color w:val="auto"/>
          <w:sz w:val="24"/>
          <w:szCs w:val="24"/>
        </w:rPr>
        <w:t>360</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"_Toc112338979" </w:instrText>
      </w:r>
      <w:r>
        <w:rPr>
          <w:color w:val="auto"/>
        </w:rPr>
        <w:fldChar w:fldCharType="separate"/>
      </w:r>
      <w:r>
        <w:rPr>
          <w:rStyle w:val="138"/>
          <w:rFonts w:hint="default" w:ascii="黑体" w:hAnsi="黑体" w:eastAsia="黑体"/>
          <w:color w:val="auto"/>
          <w:kern w:val="0"/>
          <w:sz w:val="24"/>
          <w:szCs w:val="24"/>
        </w:rPr>
        <w:t>9.1环境管理</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_Toc112338979 \h </w:instrText>
      </w:r>
      <w:r>
        <w:rPr>
          <w:rFonts w:ascii="黑体" w:hAnsi="黑体" w:eastAsia="黑体"/>
          <w:color w:val="auto"/>
          <w:sz w:val="24"/>
          <w:szCs w:val="24"/>
        </w:rPr>
        <w:fldChar w:fldCharType="separate"/>
      </w:r>
      <w:r>
        <w:rPr>
          <w:rFonts w:ascii="黑体" w:hAnsi="黑体" w:eastAsia="黑体"/>
          <w:color w:val="auto"/>
          <w:sz w:val="24"/>
          <w:szCs w:val="24"/>
        </w:rPr>
        <w:t>360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"_Toc112338980" </w:instrText>
      </w:r>
      <w:r>
        <w:rPr>
          <w:color w:val="auto"/>
        </w:rPr>
        <w:fldChar w:fldCharType="separate"/>
      </w:r>
      <w:r>
        <w:rPr>
          <w:rStyle w:val="138"/>
          <w:rFonts w:hint="default" w:ascii="黑体" w:hAnsi="黑体" w:eastAsia="黑体"/>
          <w:color w:val="auto"/>
          <w:kern w:val="0"/>
          <w:sz w:val="24"/>
          <w:szCs w:val="24"/>
        </w:rPr>
        <w:t>9.2环境监控计划</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_Toc112338980 \h </w:instrText>
      </w:r>
      <w:r>
        <w:rPr>
          <w:rFonts w:ascii="黑体" w:hAnsi="黑体" w:eastAsia="黑体"/>
          <w:color w:val="auto"/>
          <w:sz w:val="24"/>
          <w:szCs w:val="24"/>
        </w:rPr>
        <w:fldChar w:fldCharType="separate"/>
      </w:r>
      <w:r>
        <w:rPr>
          <w:rFonts w:ascii="黑体" w:hAnsi="黑体" w:eastAsia="黑体"/>
          <w:color w:val="auto"/>
          <w:sz w:val="24"/>
          <w:szCs w:val="24"/>
        </w:rPr>
        <w:t>361</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"_Toc112338981" </w:instrText>
      </w:r>
      <w:r>
        <w:rPr>
          <w:color w:val="auto"/>
        </w:rPr>
        <w:fldChar w:fldCharType="separate"/>
      </w:r>
      <w:r>
        <w:rPr>
          <w:rStyle w:val="138"/>
          <w:rFonts w:hint="default" w:ascii="黑体" w:hAnsi="黑体" w:eastAsia="黑体"/>
          <w:color w:val="auto"/>
          <w:kern w:val="0"/>
          <w:sz w:val="24"/>
          <w:szCs w:val="24"/>
        </w:rPr>
        <w:t>9.3环境管理台账</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_Toc112338981 \h </w:instrText>
      </w:r>
      <w:r>
        <w:rPr>
          <w:rFonts w:ascii="黑体" w:hAnsi="黑体" w:eastAsia="黑体"/>
          <w:color w:val="auto"/>
          <w:sz w:val="24"/>
          <w:szCs w:val="24"/>
        </w:rPr>
        <w:fldChar w:fldCharType="separate"/>
      </w:r>
      <w:r>
        <w:rPr>
          <w:rFonts w:ascii="黑体" w:hAnsi="黑体" w:eastAsia="黑体"/>
          <w:color w:val="auto"/>
          <w:sz w:val="24"/>
          <w:szCs w:val="24"/>
        </w:rPr>
        <w:t>364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"_Toc112338982" </w:instrText>
      </w:r>
      <w:r>
        <w:rPr>
          <w:color w:val="auto"/>
        </w:rPr>
        <w:fldChar w:fldCharType="separate"/>
      </w:r>
      <w:r>
        <w:rPr>
          <w:rStyle w:val="138"/>
          <w:rFonts w:hint="default" w:ascii="黑体" w:hAnsi="黑体" w:eastAsia="黑体"/>
          <w:color w:val="auto"/>
          <w:kern w:val="0"/>
          <w:sz w:val="24"/>
          <w:szCs w:val="24"/>
        </w:rPr>
        <w:t>9.4工程概况及信息公开内容</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_Toc112338982 \h </w:instrText>
      </w:r>
      <w:r>
        <w:rPr>
          <w:rFonts w:ascii="黑体" w:hAnsi="黑体" w:eastAsia="黑体"/>
          <w:color w:val="auto"/>
          <w:sz w:val="24"/>
          <w:szCs w:val="24"/>
        </w:rPr>
        <w:fldChar w:fldCharType="separate"/>
      </w:r>
      <w:r>
        <w:rPr>
          <w:rFonts w:ascii="黑体" w:hAnsi="黑体" w:eastAsia="黑体"/>
          <w:color w:val="auto"/>
          <w:sz w:val="24"/>
          <w:szCs w:val="24"/>
        </w:rPr>
        <w:t>364</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"_Toc112338983" </w:instrText>
      </w:r>
      <w:r>
        <w:rPr>
          <w:color w:val="auto"/>
        </w:rPr>
        <w:fldChar w:fldCharType="separate"/>
      </w:r>
      <w:r>
        <w:rPr>
          <w:rStyle w:val="138"/>
          <w:rFonts w:hint="default" w:ascii="黑体" w:hAnsi="黑体" w:eastAsia="黑体"/>
          <w:color w:val="auto"/>
          <w:kern w:val="0"/>
          <w:sz w:val="24"/>
          <w:szCs w:val="24"/>
        </w:rPr>
        <w:t>9.5工程污染物总量控制分析</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_Toc112338983 \h </w:instrText>
      </w:r>
      <w:r>
        <w:rPr>
          <w:rFonts w:ascii="黑体" w:hAnsi="黑体" w:eastAsia="黑体"/>
          <w:color w:val="auto"/>
          <w:sz w:val="24"/>
          <w:szCs w:val="24"/>
        </w:rPr>
        <w:fldChar w:fldCharType="separate"/>
      </w:r>
      <w:r>
        <w:rPr>
          <w:rFonts w:ascii="黑体" w:hAnsi="黑体" w:eastAsia="黑体"/>
          <w:color w:val="auto"/>
          <w:sz w:val="24"/>
          <w:szCs w:val="24"/>
        </w:rPr>
        <w:t>372</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"_Toc112338984" </w:instrText>
      </w:r>
      <w:r>
        <w:rPr>
          <w:color w:val="auto"/>
        </w:rPr>
        <w:fldChar w:fldCharType="separate"/>
      </w:r>
      <w:r>
        <w:rPr>
          <w:rStyle w:val="138"/>
          <w:rFonts w:hint="default" w:ascii="黑体" w:hAnsi="黑体" w:eastAsia="黑体"/>
          <w:color w:val="auto"/>
          <w:kern w:val="0"/>
          <w:sz w:val="24"/>
          <w:szCs w:val="24"/>
        </w:rPr>
        <w:t>9.6排污口标志管理</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_Toc112338984 \h </w:instrText>
      </w:r>
      <w:r>
        <w:rPr>
          <w:rFonts w:ascii="黑体" w:hAnsi="黑体" w:eastAsia="黑体"/>
          <w:color w:val="auto"/>
          <w:sz w:val="24"/>
          <w:szCs w:val="24"/>
        </w:rPr>
        <w:fldChar w:fldCharType="separate"/>
      </w:r>
      <w:r>
        <w:rPr>
          <w:rFonts w:ascii="黑体" w:hAnsi="黑体" w:eastAsia="黑体"/>
          <w:color w:val="auto"/>
          <w:sz w:val="24"/>
          <w:szCs w:val="24"/>
        </w:rPr>
        <w:t>373</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56"/>
        <w:tabs>
          <w:tab w:val="right" w:leader="dot" w:pos="8296"/>
        </w:tabs>
        <w:rPr>
          <w:rFonts w:ascii="黑体" w:hAnsi="黑体" w:eastAsia="黑体" w:cstheme="minorBidi"/>
          <w:b w:val="0"/>
          <w:bCs w:val="0"/>
          <w:caps w:val="0"/>
          <w:color w:val="auto"/>
          <w:sz w:val="24"/>
          <w:szCs w:val="24"/>
        </w:rPr>
      </w:pPr>
      <w:r>
        <w:rPr>
          <w:color w:val="auto"/>
        </w:rPr>
        <w:fldChar w:fldCharType="begin"/>
      </w:r>
      <w:r>
        <w:rPr>
          <w:color w:val="auto"/>
        </w:rPr>
        <w:instrText xml:space="preserve"> HYPERLINK \l "_Toc112338985" </w:instrText>
      </w:r>
      <w:r>
        <w:rPr>
          <w:color w:val="auto"/>
        </w:rPr>
        <w:fldChar w:fldCharType="separate"/>
      </w:r>
      <w:r>
        <w:rPr>
          <w:rStyle w:val="138"/>
          <w:rFonts w:hint="default" w:ascii="黑体" w:hAnsi="黑体" w:eastAsia="黑体"/>
          <w:b w:val="0"/>
          <w:color w:val="auto"/>
          <w:sz w:val="24"/>
          <w:szCs w:val="24"/>
        </w:rPr>
        <w:t>第十章  环境影响评价结论</w:t>
      </w:r>
      <w:r>
        <w:rPr>
          <w:rFonts w:ascii="黑体" w:hAnsi="黑体" w:eastAsia="黑体"/>
          <w:b w:val="0"/>
          <w:color w:val="auto"/>
          <w:sz w:val="24"/>
          <w:szCs w:val="24"/>
        </w:rPr>
        <w:tab/>
      </w:r>
      <w:r>
        <w:rPr>
          <w:rFonts w:ascii="黑体" w:hAnsi="黑体" w:eastAsia="黑体"/>
          <w:b w:val="0"/>
          <w:color w:val="auto"/>
          <w:sz w:val="24"/>
          <w:szCs w:val="24"/>
        </w:rPr>
        <w:fldChar w:fldCharType="begin"/>
      </w:r>
      <w:r>
        <w:rPr>
          <w:rFonts w:ascii="黑体" w:hAnsi="黑体" w:eastAsia="黑体"/>
          <w:b w:val="0"/>
          <w:color w:val="auto"/>
          <w:sz w:val="24"/>
          <w:szCs w:val="24"/>
        </w:rPr>
        <w:instrText xml:space="preserve"> PAGEREF _Toc112338985 \h </w:instrText>
      </w:r>
      <w:r>
        <w:rPr>
          <w:rFonts w:ascii="黑体" w:hAnsi="黑体" w:eastAsia="黑体"/>
          <w:b w:val="0"/>
          <w:color w:val="auto"/>
          <w:sz w:val="24"/>
          <w:szCs w:val="24"/>
        </w:rPr>
        <w:fldChar w:fldCharType="separate"/>
      </w:r>
      <w:r>
        <w:rPr>
          <w:rFonts w:ascii="黑体" w:hAnsi="黑体" w:eastAsia="黑体"/>
          <w:b w:val="0"/>
          <w:color w:val="auto"/>
          <w:sz w:val="24"/>
          <w:szCs w:val="24"/>
        </w:rPr>
        <w:t>375</w:t>
      </w:r>
      <w:r>
        <w:rPr>
          <w:rFonts w:ascii="黑体" w:hAnsi="黑体" w:eastAsia="黑体"/>
          <w:b w:val="0"/>
          <w:color w:val="auto"/>
          <w:sz w:val="24"/>
          <w:szCs w:val="24"/>
        </w:rPr>
        <w:fldChar w:fldCharType="end"/>
      </w:r>
      <w:r>
        <w:rPr>
          <w:rFonts w:ascii="黑体" w:hAnsi="黑体" w:eastAsia="黑体"/>
          <w:b w:val="0"/>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"_Toc112338986" </w:instrText>
      </w:r>
      <w:r>
        <w:rPr>
          <w:color w:val="auto"/>
        </w:rPr>
        <w:fldChar w:fldCharType="separate"/>
      </w:r>
      <w:r>
        <w:rPr>
          <w:rStyle w:val="138"/>
          <w:rFonts w:hint="default" w:ascii="黑体" w:hAnsi="黑体" w:eastAsia="黑体"/>
          <w:color w:val="auto"/>
          <w:kern w:val="0"/>
          <w:sz w:val="24"/>
          <w:szCs w:val="24"/>
        </w:rPr>
        <w:t>10.1评价结论</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_Toc112338986 \h </w:instrText>
      </w:r>
      <w:r>
        <w:rPr>
          <w:rFonts w:ascii="黑体" w:hAnsi="黑体" w:eastAsia="黑体"/>
          <w:color w:val="auto"/>
          <w:sz w:val="24"/>
          <w:szCs w:val="24"/>
        </w:rPr>
        <w:fldChar w:fldCharType="separate"/>
      </w:r>
      <w:r>
        <w:rPr>
          <w:rFonts w:ascii="黑体" w:hAnsi="黑体" w:eastAsia="黑体"/>
          <w:color w:val="auto"/>
          <w:sz w:val="24"/>
          <w:szCs w:val="24"/>
        </w:rPr>
        <w:t>375</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"_Toc112338987" </w:instrText>
      </w:r>
      <w:r>
        <w:rPr>
          <w:color w:val="auto"/>
        </w:rPr>
        <w:fldChar w:fldCharType="separate"/>
      </w:r>
      <w:r>
        <w:rPr>
          <w:rStyle w:val="138"/>
          <w:rFonts w:hint="default" w:ascii="黑体" w:hAnsi="黑体" w:eastAsia="黑体"/>
          <w:color w:val="auto"/>
          <w:kern w:val="0"/>
          <w:sz w:val="24"/>
          <w:szCs w:val="24"/>
        </w:rPr>
        <w:t>10.2要求和建议</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_Toc112338987 \h </w:instrText>
      </w:r>
      <w:r>
        <w:rPr>
          <w:rFonts w:ascii="黑体" w:hAnsi="黑体" w:eastAsia="黑体"/>
          <w:color w:val="auto"/>
          <w:sz w:val="24"/>
          <w:szCs w:val="24"/>
        </w:rPr>
        <w:fldChar w:fldCharType="separate"/>
      </w:r>
      <w:r>
        <w:rPr>
          <w:rFonts w:ascii="黑体" w:hAnsi="黑体" w:eastAsia="黑体"/>
          <w:color w:val="auto"/>
          <w:sz w:val="24"/>
          <w:szCs w:val="24"/>
        </w:rPr>
        <w:t>380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70"/>
        <w:tabs>
          <w:tab w:val="right" w:leader="dot" w:pos="8296"/>
        </w:tabs>
        <w:rPr>
          <w:rFonts w:ascii="黑体" w:hAnsi="黑体" w:eastAsia="黑体" w:cstheme="minorBidi"/>
          <w:smallCaps w:val="0"/>
          <w:color w:val="auto"/>
          <w:sz w:val="24"/>
          <w:szCs w:val="24"/>
        </w:rPr>
      </w:pPr>
      <w:r>
        <w:rPr>
          <w:color w:val="auto"/>
        </w:rPr>
        <w:fldChar w:fldCharType="begin"/>
      </w:r>
      <w:r>
        <w:rPr>
          <w:color w:val="auto"/>
        </w:rPr>
        <w:instrText xml:space="preserve"> HYPERLINK \l "_Toc112338988" </w:instrText>
      </w:r>
      <w:r>
        <w:rPr>
          <w:color w:val="auto"/>
        </w:rPr>
        <w:fldChar w:fldCharType="separate"/>
      </w:r>
      <w:r>
        <w:rPr>
          <w:rStyle w:val="138"/>
          <w:rFonts w:hint="default" w:ascii="黑体" w:hAnsi="黑体" w:eastAsia="黑体"/>
          <w:color w:val="auto"/>
          <w:kern w:val="0"/>
          <w:sz w:val="24"/>
          <w:szCs w:val="24"/>
        </w:rPr>
        <w:t>10.3总结论</w:t>
      </w:r>
      <w:r>
        <w:rPr>
          <w:rFonts w:ascii="黑体" w:hAnsi="黑体" w:eastAsia="黑体"/>
          <w:color w:val="auto"/>
          <w:sz w:val="24"/>
          <w:szCs w:val="24"/>
        </w:rPr>
        <w:tab/>
      </w:r>
      <w:r>
        <w:rPr>
          <w:rFonts w:ascii="黑体" w:hAnsi="黑体" w:eastAsia="黑体"/>
          <w:color w:val="auto"/>
          <w:sz w:val="24"/>
          <w:szCs w:val="24"/>
        </w:rPr>
        <w:fldChar w:fldCharType="begin"/>
      </w:r>
      <w:r>
        <w:rPr>
          <w:rFonts w:ascii="黑体" w:hAnsi="黑体" w:eastAsia="黑体"/>
          <w:color w:val="auto"/>
          <w:sz w:val="24"/>
          <w:szCs w:val="24"/>
        </w:rPr>
        <w:instrText xml:space="preserve"> PAGEREF _Toc112338988 \h </w:instrText>
      </w:r>
      <w:r>
        <w:rPr>
          <w:rFonts w:ascii="黑体" w:hAnsi="黑体" w:eastAsia="黑体"/>
          <w:color w:val="auto"/>
          <w:sz w:val="24"/>
          <w:szCs w:val="24"/>
        </w:rPr>
        <w:fldChar w:fldCharType="separate"/>
      </w:r>
      <w:r>
        <w:rPr>
          <w:rFonts w:ascii="黑体" w:hAnsi="黑体" w:eastAsia="黑体"/>
          <w:color w:val="auto"/>
          <w:sz w:val="24"/>
          <w:szCs w:val="24"/>
        </w:rPr>
        <w:t>380</w:t>
      </w:r>
      <w:r>
        <w:rPr>
          <w:rFonts w:ascii="黑体" w:hAnsi="黑体" w:eastAsia="黑体"/>
          <w:color w:val="auto"/>
          <w:sz w:val="24"/>
          <w:szCs w:val="24"/>
        </w:rPr>
        <w:fldChar w:fldCharType="end"/>
      </w:r>
      <w:r>
        <w:rPr>
          <w:rFonts w:ascii="黑体" w:hAnsi="黑体" w:eastAsia="黑体"/>
          <w:color w:val="auto"/>
          <w:sz w:val="24"/>
          <w:szCs w:val="24"/>
        </w:rPr>
        <w:fldChar w:fldCharType="end"/>
      </w:r>
    </w:p>
    <w:p>
      <w:pPr>
        <w:pStyle w:val="3"/>
        <w:keepNext w:val="0"/>
        <w:keepLines w:val="0"/>
        <w:snapToGrid w:val="0"/>
        <w:spacing w:before="0" w:after="0" w:line="240" w:lineRule="auto"/>
        <w:jc w:val="both"/>
        <w:rPr>
          <w:rFonts w:ascii="黑体" w:hAnsi="黑体"/>
          <w:bCs w:val="0"/>
          <w:color w:val="auto"/>
          <w:kern w:val="21"/>
          <w:sz w:val="24"/>
          <w:szCs w:val="24"/>
        </w:rPr>
      </w:pPr>
      <w:r>
        <w:rPr>
          <w:rFonts w:ascii="黑体" w:hAnsi="黑体"/>
          <w:bCs w:val="0"/>
          <w:color w:val="auto"/>
          <w:kern w:val="21"/>
          <w:sz w:val="24"/>
          <w:szCs w:val="24"/>
        </w:rPr>
        <w:fldChar w:fldCharType="end"/>
      </w:r>
    </w:p>
    <w:p>
      <w:pPr>
        <w:spacing w:line="360" w:lineRule="auto"/>
        <w:ind w:firstLine="420" w:firstLineChars="200"/>
        <w:rPr>
          <w:rFonts w:ascii="黑体" w:hAnsi="黑体" w:eastAsia="黑体"/>
          <w:color w:val="auto"/>
          <w:sz w:val="24"/>
        </w:rPr>
      </w:pPr>
      <w:r>
        <w:rPr>
          <w:color w:val="auto"/>
        </w:rPr>
        <w:br w:type="page"/>
      </w:r>
      <w:r>
        <w:rPr>
          <w:rFonts w:ascii="黑体" w:hAnsi="黑体" w:eastAsia="黑体"/>
          <w:color w:val="auto"/>
          <w:sz w:val="24"/>
        </w:rPr>
        <w:t>附图：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附图一：项目地理位置图；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附图二（1）：项目北车间平面布置图；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附图二（2）：项目南车间平面布置图；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附图三：项目周边环境示意图；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附图四：获嘉县产业集聚区规划图；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附图五：获嘉县产业集聚区控规图；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附图六：获嘉县产业集聚区污水工程图；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附图七：获嘉县产业集聚区产业空间分布图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附图八：项目分区防渗图；</w:t>
      </w:r>
    </w:p>
    <w:p>
      <w:pPr>
        <w:pStyle w:val="43"/>
        <w:spacing w:line="360" w:lineRule="auto"/>
        <w:rPr>
          <w:rFonts w:eastAsia="黑体"/>
          <w:b/>
          <w:bCs/>
          <w:color w:val="auto"/>
          <w:u w:val="single"/>
        </w:rPr>
      </w:pPr>
      <w:r>
        <w:rPr>
          <w:rFonts w:hint="eastAsia" w:ascii="黑体" w:hAnsi="黑体" w:eastAsia="黑体"/>
          <w:b/>
          <w:bCs/>
          <w:color w:val="auto"/>
          <w:sz w:val="24"/>
        </w:rPr>
        <w:t xml:space="preserve">    </w:t>
      </w:r>
      <w:r>
        <w:rPr>
          <w:rFonts w:hint="eastAsia" w:ascii="黑体" w:hAnsi="黑体" w:eastAsia="黑体"/>
          <w:b/>
          <w:bCs/>
          <w:color w:val="auto"/>
          <w:sz w:val="24"/>
          <w:u w:val="single"/>
        </w:rPr>
        <w:t>附图九：污水处理站平面布置图；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附图十（1）：厂区内土壤、包气带检测点位图；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附图十（2）：大气、地下水、噪声、厂区外土壤检测点位图；</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附图十一：车间现状及周边环境照片。</w:t>
      </w:r>
    </w:p>
    <w:p>
      <w:pPr>
        <w:ind w:firstLine="480" w:firstLineChars="200"/>
        <w:rPr>
          <w:rFonts w:ascii="黑体" w:hAnsi="黑体" w:eastAsia="黑体"/>
          <w:color w:val="auto"/>
          <w:sz w:val="24"/>
        </w:rPr>
      </w:pPr>
    </w:p>
    <w:p>
      <w:pPr>
        <w:spacing w:line="360" w:lineRule="auto"/>
        <w:rPr>
          <w:rFonts w:ascii="黑体" w:hAnsi="黑体" w:eastAsia="黑体"/>
          <w:color w:val="auto"/>
          <w:sz w:val="24"/>
        </w:rPr>
      </w:pPr>
      <w:r>
        <w:rPr>
          <w:rFonts w:hint="eastAsia" w:ascii="黑体" w:hAnsi="黑体" w:eastAsia="黑体"/>
          <w:color w:val="auto"/>
          <w:sz w:val="24"/>
        </w:rPr>
        <w:t>附件：</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附件1：委托书；</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附件2：河南省企业投资项目备案证明；</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附件3：产业集聚区入驻证明；</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附件4：污水处理厂纳管协议；</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附件5：租赁合同；</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附件6：《河南奔茨新能源有限公司年产10万辆电动车建设项目环境影响报告表》批复；</w:t>
      </w:r>
    </w:p>
    <w:p>
      <w:pPr>
        <w:spacing w:line="360" w:lineRule="auto"/>
        <w:ind w:firstLine="480" w:firstLineChars="200"/>
        <w:rPr>
          <w:rFonts w:ascii="黑体" w:hAnsi="黑体" w:eastAsia="黑体"/>
          <w:color w:val="auto"/>
          <w:spacing w:val="-6"/>
          <w:sz w:val="24"/>
        </w:rPr>
      </w:pPr>
      <w:r>
        <w:rPr>
          <w:rFonts w:hint="eastAsia" w:ascii="黑体" w:hAnsi="黑体" w:eastAsia="黑体"/>
          <w:color w:val="auto"/>
          <w:sz w:val="24"/>
        </w:rPr>
        <w:t>附件7：</w:t>
      </w:r>
      <w:r>
        <w:rPr>
          <w:rFonts w:hint="eastAsia" w:ascii="黑体" w:hAnsi="黑体" w:eastAsia="黑体"/>
          <w:color w:val="auto"/>
          <w:spacing w:val="-6"/>
          <w:sz w:val="24"/>
        </w:rPr>
        <w:t>《河南奔茨新能源有限公司年产10万辆电动车建设项目》验收意见；</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附件8：《关于获嘉县产业集聚区总体发展规划（2016</w:t>
      </w:r>
      <w:r>
        <w:rPr>
          <w:rFonts w:eastAsia="黑体"/>
          <w:color w:val="auto"/>
          <w:sz w:val="24"/>
        </w:rPr>
        <w:t>~</w:t>
      </w:r>
      <w:r>
        <w:rPr>
          <w:rFonts w:hint="eastAsia" w:ascii="黑体" w:hAnsi="黑体" w:eastAsia="黑体"/>
          <w:color w:val="auto"/>
          <w:sz w:val="24"/>
        </w:rPr>
        <w:t>2020）调整方案环境影响报告书的审查意见》；</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附件9：检测报告；</w:t>
      </w:r>
    </w:p>
    <w:p>
      <w:pPr>
        <w:spacing w:line="360" w:lineRule="auto"/>
        <w:ind w:firstLine="480" w:firstLineChars="200"/>
        <w:rPr>
          <w:rFonts w:ascii="黑体" w:hAnsi="黑体" w:eastAsia="黑体"/>
          <w:color w:val="auto"/>
          <w:sz w:val="24"/>
        </w:rPr>
      </w:pPr>
      <w:r>
        <w:rPr>
          <w:rFonts w:hint="eastAsia" w:ascii="黑体" w:hAnsi="黑体" w:eastAsia="黑体"/>
          <w:color w:val="auto"/>
          <w:sz w:val="24"/>
        </w:rPr>
        <w:t>附件10：营业执照；</w:t>
      </w:r>
    </w:p>
    <w:p>
      <w:pPr>
        <w:spacing w:line="360" w:lineRule="auto"/>
        <w:ind w:firstLine="480" w:firstLineChars="200"/>
        <w:rPr>
          <w:rFonts w:hint="eastAsia" w:ascii="黑体" w:hAnsi="黑体" w:eastAsia="黑体"/>
          <w:color w:val="auto"/>
          <w:sz w:val="24"/>
          <w:lang w:eastAsia="zh-CN"/>
        </w:rPr>
      </w:pPr>
      <w:r>
        <w:rPr>
          <w:rFonts w:hint="eastAsia" w:ascii="黑体" w:hAnsi="黑体" w:eastAsia="黑体"/>
          <w:color w:val="auto"/>
          <w:sz w:val="24"/>
        </w:rPr>
        <w:t>附件11：法人身份证</w:t>
      </w:r>
      <w:r>
        <w:rPr>
          <w:rFonts w:hint="eastAsia" w:ascii="黑体" w:hAnsi="黑体" w:eastAsia="黑体"/>
          <w:color w:val="auto"/>
          <w:sz w:val="24"/>
          <w:lang w:eastAsia="zh-CN"/>
        </w:rPr>
        <w:t>；</w:t>
      </w:r>
    </w:p>
    <w:p>
      <w:pPr>
        <w:pStyle w:val="2"/>
        <w:rPr>
          <w:rFonts w:hint="default"/>
          <w:u w:val="single"/>
          <w:lang w:val="en-US" w:eastAsia="zh-CN"/>
        </w:rPr>
      </w:pPr>
      <w:r>
        <w:rPr>
          <w:rFonts w:hint="eastAsia" w:ascii="黑体" w:hAnsi="黑体" w:eastAsia="黑体"/>
          <w:color w:val="auto"/>
          <w:sz w:val="24"/>
          <w:u w:val="single"/>
          <w:lang w:val="en-US" w:eastAsia="zh-CN"/>
        </w:rPr>
        <w:t>附件12：总量文件。</w:t>
      </w:r>
    </w:p>
    <w:p>
      <w:pPr>
        <w:spacing w:line="360" w:lineRule="auto"/>
        <w:rPr>
          <w:rFonts w:ascii="黑体" w:hAnsi="黑体" w:eastAsia="黑体"/>
          <w:color w:val="auto"/>
          <w:sz w:val="24"/>
        </w:rPr>
      </w:pPr>
    </w:p>
    <w:p>
      <w:pPr>
        <w:rPr>
          <w:color w:val="auto"/>
        </w:rPr>
      </w:pPr>
      <w:r>
        <w:rPr>
          <w:color w:val="auto"/>
        </w:rPr>
        <w:br w:type="page"/>
      </w:r>
    </w:p>
    <w:p>
      <w:pPr>
        <w:rPr>
          <w:color w:val="auto"/>
          <w:szCs w:val="36"/>
        </w:rPr>
        <w:sectPr>
          <w:footerReference r:id="rId4" w:type="default"/>
          <w:pgSz w:w="11906" w:h="16838"/>
          <w:pgMar w:top="1440" w:right="1800" w:bottom="1440" w:left="1800" w:header="1134" w:footer="1134" w:gutter="0"/>
          <w:pgNumType w:fmt="upperRoman" w:start="1"/>
          <w:cols w:space="720" w:num="1"/>
          <w:docGrid w:linePitch="312" w:charSpace="0"/>
        </w:sectPr>
      </w:pPr>
    </w:p>
    <w:p>
      <w:pPr>
        <w:pStyle w:val="3"/>
        <w:pageBreakBefore/>
        <w:widowControl w:val="0"/>
        <w:tabs>
          <w:tab w:val="left" w:pos="360"/>
        </w:tabs>
        <w:adjustRightInd/>
        <w:spacing w:before="240" w:beforeLines="100" w:after="240" w:afterLines="100" w:line="360" w:lineRule="auto"/>
        <w:contextualSpacing/>
        <w:textAlignment w:val="baseline"/>
        <w:rPr>
          <w:bCs w:val="0"/>
          <w:color w:val="auto"/>
          <w:szCs w:val="20"/>
        </w:rPr>
      </w:pPr>
      <w:bookmarkStart w:id="2" w:name="_Toc112338920"/>
      <w:bookmarkStart w:id="3" w:name="_Toc7263"/>
      <w:r>
        <w:rPr>
          <w:bCs w:val="0"/>
          <w:color w:val="auto"/>
          <w:szCs w:val="20"/>
        </w:rPr>
        <w:t>第一章  概述</w:t>
      </w:r>
      <w:bookmarkEnd w:id="2"/>
      <w:bookmarkEnd w:id="3"/>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 w:name="_Toc264113669"/>
      <w:bookmarkStart w:id="5" w:name="_Toc27136"/>
      <w:bookmarkStart w:id="6" w:name="_Toc2470"/>
      <w:bookmarkStart w:id="7" w:name="_Toc24372_WPSOffice_Level2"/>
      <w:bookmarkStart w:id="8" w:name="_Toc112338921"/>
      <w:bookmarkStart w:id="9" w:name="_Toc6067"/>
      <w:r>
        <w:rPr>
          <w:bCs w:val="0"/>
          <w:color w:val="auto"/>
          <w:kern w:val="0"/>
          <w:szCs w:val="20"/>
          <w:lang w:val="en-US"/>
        </w:rPr>
        <w:t>1.1</w:t>
      </w:r>
      <w:bookmarkEnd w:id="4"/>
      <w:bookmarkEnd w:id="5"/>
      <w:bookmarkEnd w:id="6"/>
      <w:r>
        <w:rPr>
          <w:bCs w:val="0"/>
          <w:color w:val="auto"/>
          <w:kern w:val="0"/>
          <w:szCs w:val="20"/>
          <w:lang w:val="en-US"/>
        </w:rPr>
        <w:t>建设项目背景及任务由来</w:t>
      </w:r>
      <w:bookmarkEnd w:id="7"/>
      <w:bookmarkEnd w:id="8"/>
      <w:bookmarkEnd w:id="9"/>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锂离子电池是20世纪90年代初被正式实用化的新兴二次充电电池。相比于传统的铅酸电池、镍氢电池等，锂离子电池的优势特点显著，包括单体电池工作电压高、比能量大、无记忆效应、环境友好等。目前已</w:t>
      </w:r>
      <w:r>
        <w:rPr>
          <w:rFonts w:hint="eastAsia"/>
          <w:bCs/>
          <w:color w:val="auto"/>
          <w:sz w:val="24"/>
          <w:szCs w:val="24"/>
          <w:lang w:eastAsia="zh-CN" w:bidi="en-US"/>
        </w:rPr>
        <w:t>被广泛地应用</w:t>
      </w:r>
      <w:r>
        <w:rPr>
          <w:rFonts w:hint="eastAsia"/>
          <w:bCs/>
          <w:color w:val="auto"/>
          <w:sz w:val="24"/>
          <w:szCs w:val="24"/>
          <w:lang w:bidi="en-US"/>
        </w:rPr>
        <w:t>在移动通讯、手表、照相机、计算器、计算机存储后备电源、心脏起搏器、安全报警器、电动自行车、电动汽车电源等领域。</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河南</w:t>
      </w:r>
      <w:r>
        <w:rPr>
          <w:bCs/>
          <w:color w:val="auto"/>
          <w:sz w:val="24"/>
          <w:szCs w:val="24"/>
          <w:lang w:bidi="en-US"/>
        </w:rPr>
        <w:t>中能锂动电源有限公司注册于</w:t>
      </w:r>
      <w:r>
        <w:rPr>
          <w:rFonts w:hint="eastAsia"/>
          <w:bCs/>
          <w:color w:val="auto"/>
          <w:sz w:val="24"/>
          <w:szCs w:val="24"/>
          <w:lang w:bidi="en-US"/>
        </w:rPr>
        <w:t>2021年5月，</w:t>
      </w:r>
      <w:r>
        <w:rPr>
          <w:rFonts w:hint="eastAsia"/>
          <w:bCs/>
          <w:color w:val="auto"/>
          <w:sz w:val="24"/>
          <w:szCs w:val="24"/>
          <w:lang w:eastAsia="zh-CN" w:bidi="en-US"/>
        </w:rPr>
        <w:t>主要</w:t>
      </w:r>
      <w:r>
        <w:rPr>
          <w:rFonts w:hint="eastAsia"/>
          <w:bCs/>
          <w:color w:val="auto"/>
          <w:sz w:val="24"/>
          <w:szCs w:val="24"/>
          <w:lang w:bidi="en-US"/>
        </w:rPr>
        <w:t>从事电池制造及销售，</w:t>
      </w:r>
      <w:r>
        <w:rPr>
          <w:bCs/>
          <w:color w:val="auto"/>
          <w:sz w:val="24"/>
          <w:szCs w:val="24"/>
          <w:lang w:bidi="en-US"/>
        </w:rPr>
        <w:t>拟投资</w:t>
      </w:r>
      <w:r>
        <w:rPr>
          <w:rFonts w:hint="eastAsia"/>
          <w:bCs/>
          <w:color w:val="auto"/>
          <w:sz w:val="24"/>
          <w:szCs w:val="24"/>
          <w:lang w:bidi="en-US"/>
        </w:rPr>
        <w:t>56000万元</w:t>
      </w:r>
      <w:r>
        <w:rPr>
          <w:rFonts w:hint="eastAsia"/>
          <w:bCs/>
          <w:color w:val="auto"/>
          <w:sz w:val="24"/>
          <w:szCs w:val="24"/>
          <w:lang w:eastAsia="zh-CN" w:bidi="en-US"/>
        </w:rPr>
        <w:t>在新乡</w:t>
      </w:r>
      <w:r>
        <w:rPr>
          <w:bCs/>
          <w:color w:val="auto"/>
          <w:sz w:val="24"/>
          <w:szCs w:val="24"/>
          <w:lang w:bidi="en-US"/>
        </w:rPr>
        <w:t>市</w:t>
      </w:r>
      <w:r>
        <w:rPr>
          <w:rFonts w:hint="eastAsia"/>
          <w:bCs/>
          <w:color w:val="auto"/>
          <w:sz w:val="24"/>
          <w:szCs w:val="24"/>
          <w:lang w:bidi="en-US"/>
        </w:rPr>
        <w:t>获嘉县</w:t>
      </w:r>
      <w:r>
        <w:rPr>
          <w:bCs/>
          <w:color w:val="auto"/>
          <w:sz w:val="24"/>
          <w:szCs w:val="24"/>
          <w:lang w:bidi="en-US"/>
        </w:rPr>
        <w:t>产业集聚区</w:t>
      </w:r>
      <w:r>
        <w:rPr>
          <w:rFonts w:hint="eastAsia"/>
          <w:bCs/>
          <w:color w:val="auto"/>
          <w:sz w:val="24"/>
          <w:szCs w:val="24"/>
          <w:lang w:bidi="en-US"/>
        </w:rPr>
        <w:t>北区城东片区</w:t>
      </w:r>
      <w:r>
        <w:rPr>
          <w:bCs/>
          <w:color w:val="auto"/>
          <w:sz w:val="24"/>
          <w:szCs w:val="24"/>
          <w:lang w:bidi="en-US"/>
        </w:rPr>
        <w:t>安王路与梧桐路交叉口西北角建设年产79.2198亿只电池配件项目</w:t>
      </w:r>
      <w:r>
        <w:rPr>
          <w:rFonts w:hint="eastAsia"/>
          <w:bCs/>
          <w:color w:val="auto"/>
          <w:sz w:val="24"/>
          <w:szCs w:val="24"/>
          <w:lang w:bidi="en-US"/>
        </w:rPr>
        <w:t>，产品为</w:t>
      </w:r>
      <w:r>
        <w:rPr>
          <w:rFonts w:hint="eastAsia"/>
          <w:bCs/>
          <w:color w:val="auto"/>
          <w:sz w:val="24"/>
          <w:szCs w:val="24"/>
          <w:lang w:eastAsia="zh-CN" w:bidi="en-US"/>
        </w:rPr>
        <w:t>锂</w:t>
      </w:r>
      <w:r>
        <w:rPr>
          <w:rFonts w:hint="eastAsia"/>
          <w:bCs/>
          <w:color w:val="auto"/>
          <w:sz w:val="24"/>
          <w:szCs w:val="24"/>
          <w:lang w:bidi="en-US"/>
        </w:rPr>
        <w:t>电</w:t>
      </w:r>
      <w:r>
        <w:rPr>
          <w:rFonts w:hint="eastAsia"/>
          <w:bCs/>
          <w:color w:val="auto"/>
          <w:sz w:val="24"/>
          <w:szCs w:val="24"/>
          <w:lang w:eastAsia="zh-CN" w:bidi="en-US"/>
        </w:rPr>
        <w:t>池</w:t>
      </w:r>
      <w:r>
        <w:rPr>
          <w:rFonts w:hint="eastAsia"/>
          <w:bCs/>
          <w:color w:val="auto"/>
          <w:sz w:val="24"/>
          <w:szCs w:val="24"/>
          <w:lang w:bidi="en-US"/>
        </w:rPr>
        <w:t>钢壳、</w:t>
      </w:r>
      <w:r>
        <w:rPr>
          <w:rFonts w:hint="eastAsia"/>
          <w:bCs/>
          <w:color w:val="auto"/>
          <w:sz w:val="24"/>
          <w:szCs w:val="24"/>
          <w:lang w:eastAsia="zh-CN" w:bidi="en-US"/>
        </w:rPr>
        <w:t>锂</w:t>
      </w:r>
      <w:r>
        <w:rPr>
          <w:rFonts w:hint="eastAsia"/>
          <w:bCs/>
          <w:color w:val="auto"/>
          <w:sz w:val="24"/>
          <w:szCs w:val="24"/>
          <w:lang w:bidi="en-US"/>
        </w:rPr>
        <w:t>电</w:t>
      </w:r>
      <w:r>
        <w:rPr>
          <w:rFonts w:hint="eastAsia"/>
          <w:bCs/>
          <w:color w:val="auto"/>
          <w:sz w:val="24"/>
          <w:szCs w:val="24"/>
          <w:lang w:eastAsia="zh-CN" w:bidi="en-US"/>
        </w:rPr>
        <w:t>池</w:t>
      </w:r>
      <w:r>
        <w:rPr>
          <w:rFonts w:hint="eastAsia"/>
          <w:bCs/>
          <w:color w:val="auto"/>
          <w:sz w:val="24"/>
          <w:szCs w:val="24"/>
          <w:lang w:bidi="en-US"/>
        </w:rPr>
        <w:t>盖帽</w:t>
      </w:r>
      <w:r>
        <w:rPr>
          <w:rFonts w:hint="eastAsia"/>
          <w:bCs/>
          <w:color w:val="auto"/>
          <w:sz w:val="24"/>
          <w:szCs w:val="24"/>
          <w:lang w:eastAsia="zh-CN" w:bidi="en-US"/>
        </w:rPr>
        <w:t>和锂</w:t>
      </w:r>
      <w:r>
        <w:rPr>
          <w:rFonts w:hint="eastAsia"/>
          <w:bCs/>
          <w:color w:val="auto"/>
          <w:sz w:val="24"/>
          <w:szCs w:val="24"/>
          <w:lang w:bidi="en-US"/>
        </w:rPr>
        <w:t>电池箱，主要用于18650型锂电池使用，市场前景广阔，经济效益显著。</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河南中能锂动电源有限公司</w:t>
      </w:r>
      <w:r>
        <w:rPr>
          <w:color w:val="auto"/>
        </w:rPr>
        <w:fldChar w:fldCharType="begin"/>
      </w:r>
      <w:r>
        <w:rPr>
          <w:color w:val="auto"/>
        </w:rPr>
        <w:instrText xml:space="preserve"> HYPERLINK "http://www.so.com/link?m=a5405iwGSCXmiP8M0UiCaoGZcpPQG4eAC0fldF0Upl8YLDHTqznkdIUG51Uj4RE4T4NjDpJmvLtEpZ9x3a+M/X1hE3mVqTn1O6QHi5a0fB+YEKo8aPSmr5xNF88nejFMJHj5t/yA9u/ZalvIeig5i9WT//J7dN61/RtuKbmqTiZT0Y6dWlkJWSo43qqBC/jVunoYOwg==" \t "https://www.so.com/_blank" </w:instrText>
      </w:r>
      <w:r>
        <w:rPr>
          <w:color w:val="auto"/>
        </w:rPr>
        <w:fldChar w:fldCharType="separate"/>
      </w:r>
      <w:r>
        <w:rPr>
          <w:bCs/>
          <w:color w:val="auto"/>
          <w:sz w:val="24"/>
          <w:szCs w:val="24"/>
          <w:lang w:bidi="en-US"/>
        </w:rPr>
        <w:t>统一社会信用代码</w:t>
      </w:r>
      <w:r>
        <w:rPr>
          <w:bCs/>
          <w:color w:val="auto"/>
          <w:sz w:val="24"/>
          <w:szCs w:val="24"/>
          <w:lang w:bidi="en-US"/>
        </w:rPr>
        <w:fldChar w:fldCharType="end"/>
      </w:r>
      <w:r>
        <w:rPr>
          <w:bCs/>
          <w:color w:val="auto"/>
          <w:sz w:val="24"/>
          <w:szCs w:val="24"/>
          <w:lang w:bidi="en-US"/>
        </w:rPr>
        <w:t>为，</w:t>
      </w:r>
      <w:r>
        <w:rPr>
          <w:rFonts w:hint="eastAsia"/>
          <w:bCs/>
          <w:color w:val="auto"/>
          <w:sz w:val="24"/>
          <w:szCs w:val="24"/>
          <w:lang w:eastAsia="zh-CN" w:bidi="en-US"/>
        </w:rPr>
        <w:t>法定代表人为</w:t>
      </w:r>
      <w:r>
        <w:rPr>
          <w:rFonts w:hint="eastAsia"/>
          <w:bCs/>
          <w:color w:val="auto"/>
          <w:sz w:val="24"/>
          <w:szCs w:val="24"/>
          <w:lang w:bidi="en-US"/>
        </w:rPr>
        <w:t>孟庆涛</w:t>
      </w:r>
      <w:r>
        <w:rPr>
          <w:bCs/>
          <w:color w:val="auto"/>
          <w:sz w:val="24"/>
          <w:szCs w:val="24"/>
          <w:lang w:bidi="en-US"/>
        </w:rPr>
        <w:t>。本项目于20</w:t>
      </w:r>
      <w:r>
        <w:rPr>
          <w:rFonts w:hint="eastAsia"/>
          <w:bCs/>
          <w:color w:val="auto"/>
          <w:sz w:val="24"/>
          <w:szCs w:val="24"/>
          <w:lang w:bidi="en-US"/>
        </w:rPr>
        <w:t>21</w:t>
      </w:r>
      <w:r>
        <w:rPr>
          <w:bCs/>
          <w:color w:val="auto"/>
          <w:sz w:val="24"/>
          <w:szCs w:val="24"/>
          <w:lang w:bidi="en-US"/>
        </w:rPr>
        <w:t>年</w:t>
      </w:r>
      <w:r>
        <w:rPr>
          <w:rFonts w:hint="eastAsia"/>
          <w:bCs/>
          <w:color w:val="auto"/>
          <w:sz w:val="24"/>
          <w:szCs w:val="24"/>
          <w:lang w:bidi="en-US"/>
        </w:rPr>
        <w:t>8</w:t>
      </w:r>
      <w:r>
        <w:rPr>
          <w:bCs/>
          <w:color w:val="auto"/>
          <w:sz w:val="24"/>
          <w:szCs w:val="24"/>
          <w:lang w:bidi="en-US"/>
        </w:rPr>
        <w:t>月</w:t>
      </w:r>
      <w:r>
        <w:rPr>
          <w:rFonts w:hint="eastAsia"/>
          <w:bCs/>
          <w:color w:val="auto"/>
          <w:sz w:val="24"/>
          <w:szCs w:val="24"/>
          <w:lang w:bidi="en-US"/>
        </w:rPr>
        <w:t>31</w:t>
      </w:r>
      <w:r>
        <w:rPr>
          <w:bCs/>
          <w:color w:val="auto"/>
          <w:sz w:val="24"/>
          <w:szCs w:val="24"/>
          <w:lang w:bidi="en-US"/>
        </w:rPr>
        <w:t>日在</w:t>
      </w:r>
      <w:r>
        <w:rPr>
          <w:rFonts w:hint="eastAsia"/>
          <w:bCs/>
          <w:color w:val="auto"/>
          <w:sz w:val="24"/>
          <w:szCs w:val="24"/>
          <w:lang w:bidi="en-US"/>
        </w:rPr>
        <w:t>获嘉</w:t>
      </w:r>
      <w:r>
        <w:rPr>
          <w:bCs/>
          <w:color w:val="auto"/>
          <w:sz w:val="24"/>
          <w:szCs w:val="24"/>
          <w:lang w:bidi="en-US"/>
        </w:rPr>
        <w:t>县发展和改革委员会进行了备案，项目代码为。对照《国民经济行业分类》（GB/T4754-2017 及 2019年修正）及《</w:t>
      </w:r>
      <w:r>
        <w:rPr>
          <w:rFonts w:hint="eastAsia"/>
          <w:bCs/>
          <w:color w:val="auto"/>
          <w:sz w:val="24"/>
          <w:szCs w:val="24"/>
          <w:lang w:bidi="en-US"/>
        </w:rPr>
        <w:t>2017年国民经济行业分类注释</w:t>
      </w:r>
      <w:r>
        <w:rPr>
          <w:bCs/>
          <w:color w:val="auto"/>
          <w:sz w:val="24"/>
          <w:szCs w:val="24"/>
          <w:lang w:bidi="en-US"/>
        </w:rPr>
        <w:t>》</w:t>
      </w:r>
      <w:r>
        <w:rPr>
          <w:rFonts w:hint="eastAsia"/>
          <w:bCs/>
          <w:color w:val="auto"/>
          <w:sz w:val="24"/>
          <w:szCs w:val="24"/>
          <w:lang w:bidi="en-US"/>
        </w:rPr>
        <w:t>锂离子电池零部件及材料制造属于“</w:t>
      </w:r>
      <w:r>
        <w:rPr>
          <w:bCs/>
          <w:color w:val="auto"/>
          <w:sz w:val="24"/>
          <w:szCs w:val="24"/>
          <w:lang w:bidi="en-US"/>
        </w:rPr>
        <w:t>C</w:t>
      </w:r>
      <w:r>
        <w:rPr>
          <w:rFonts w:hint="eastAsia"/>
          <w:bCs/>
          <w:color w:val="auto"/>
          <w:sz w:val="24"/>
          <w:szCs w:val="24"/>
          <w:lang w:bidi="en-US"/>
        </w:rPr>
        <w:t>3849</w:t>
      </w:r>
      <w:r>
        <w:rPr>
          <w:bCs/>
          <w:color w:val="auto"/>
          <w:sz w:val="24"/>
          <w:szCs w:val="24"/>
          <w:lang w:bidi="en-US"/>
        </w:rPr>
        <w:t xml:space="preserve"> 其他电池制造</w:t>
      </w:r>
      <w:r>
        <w:rPr>
          <w:rFonts w:hint="eastAsia"/>
          <w:bCs/>
          <w:color w:val="auto"/>
          <w:sz w:val="24"/>
          <w:szCs w:val="24"/>
          <w:lang w:bidi="en-US"/>
        </w:rPr>
        <w:t>”。</w:t>
      </w:r>
      <w:r>
        <w:rPr>
          <w:bCs/>
          <w:color w:val="auto"/>
          <w:sz w:val="24"/>
          <w:szCs w:val="24"/>
          <w:lang w:bidi="en-US"/>
        </w:rPr>
        <w:t>本项目产品为锂电</w:t>
      </w:r>
      <w:r>
        <w:rPr>
          <w:rFonts w:hint="eastAsia"/>
          <w:bCs/>
          <w:color w:val="auto"/>
          <w:sz w:val="24"/>
          <w:szCs w:val="24"/>
          <w:lang w:eastAsia="zh-CN" w:bidi="en-US"/>
        </w:rPr>
        <w:t>池</w:t>
      </w:r>
      <w:r>
        <w:rPr>
          <w:bCs/>
          <w:color w:val="auto"/>
          <w:sz w:val="24"/>
          <w:szCs w:val="24"/>
          <w:lang w:bidi="en-US"/>
        </w:rPr>
        <w:t>钢壳、盖帽及电池箱，因此归类为</w:t>
      </w:r>
      <w:r>
        <w:rPr>
          <w:rFonts w:hint="eastAsia"/>
          <w:bCs/>
          <w:color w:val="auto"/>
          <w:sz w:val="24"/>
          <w:szCs w:val="24"/>
          <w:lang w:bidi="en-US"/>
        </w:rPr>
        <w:t>“</w:t>
      </w:r>
      <w:r>
        <w:rPr>
          <w:bCs/>
          <w:color w:val="auto"/>
          <w:sz w:val="24"/>
          <w:szCs w:val="24"/>
          <w:lang w:bidi="en-US"/>
        </w:rPr>
        <w:t>C</w:t>
      </w:r>
      <w:r>
        <w:rPr>
          <w:rFonts w:hint="eastAsia"/>
          <w:bCs/>
          <w:color w:val="auto"/>
          <w:sz w:val="24"/>
          <w:szCs w:val="24"/>
          <w:lang w:bidi="en-US"/>
        </w:rPr>
        <w:t>3849</w:t>
      </w:r>
      <w:r>
        <w:rPr>
          <w:bCs/>
          <w:color w:val="auto"/>
          <w:sz w:val="24"/>
          <w:szCs w:val="24"/>
          <w:lang w:bidi="en-US"/>
        </w:rPr>
        <w:t xml:space="preserve"> 其他电池制造</w:t>
      </w:r>
      <w:r>
        <w:rPr>
          <w:rFonts w:hint="eastAsia"/>
          <w:bCs/>
          <w:color w:val="auto"/>
          <w:sz w:val="24"/>
          <w:szCs w:val="24"/>
          <w:lang w:bidi="en-US"/>
        </w:rPr>
        <w:t>”</w:t>
      </w:r>
      <w:r>
        <w:rPr>
          <w:bCs/>
          <w:color w:val="auto"/>
          <w:sz w:val="24"/>
          <w:szCs w:val="24"/>
          <w:lang w:bidi="en-US"/>
        </w:rPr>
        <w:t>。对照《产业结构调整指导目录（2019 年本）》，本项目不属于鼓励类、限制类、淘汰类，属于允许类。项目建设符合</w:t>
      </w:r>
      <w:r>
        <w:rPr>
          <w:rFonts w:hint="eastAsia"/>
          <w:bCs/>
          <w:color w:val="auto"/>
          <w:sz w:val="24"/>
          <w:szCs w:val="24"/>
          <w:lang w:eastAsia="zh-CN" w:bidi="en-US"/>
        </w:rPr>
        <w:t>国家</w:t>
      </w:r>
      <w:r>
        <w:rPr>
          <w:bCs/>
          <w:color w:val="auto"/>
          <w:sz w:val="24"/>
          <w:szCs w:val="24"/>
          <w:lang w:bidi="en-US"/>
        </w:rPr>
        <w:t>产业政策要求。</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经查阅《建设项目环境影响评价分类管理名录》（2021年版），本项目属于第三十五电气机械和器材制造业，第77条电池制造384，名录规定：“铅蓄电池制造；太阳能电池片生产；有电镀工艺的；年用溶剂型涂料（含稀释剂）10吨及以上的”项目应编制环境影响报告书。本项目属于其他电池制造，生产过程有电镀工艺，因此应编制环境影响报告书。</w:t>
      </w:r>
    </w:p>
    <w:p>
      <w:pPr>
        <w:adjustRightInd w:val="0"/>
        <w:snapToGrid w:val="0"/>
        <w:spacing w:line="360" w:lineRule="auto"/>
        <w:ind w:firstLine="480" w:firstLineChars="200"/>
        <w:rPr>
          <w:bCs/>
          <w:color w:val="auto"/>
          <w:sz w:val="24"/>
          <w:szCs w:val="24"/>
          <w:lang w:bidi="en-US"/>
        </w:rPr>
      </w:pPr>
      <w:r>
        <w:rPr>
          <w:bCs/>
          <w:color w:val="auto"/>
          <w:sz w:val="24"/>
          <w:szCs w:val="24"/>
          <w:lang w:bidi="en-US"/>
        </w:rPr>
        <w:t>受</w:t>
      </w:r>
      <w:r>
        <w:rPr>
          <w:rFonts w:hint="eastAsia"/>
          <w:bCs/>
          <w:color w:val="auto"/>
          <w:sz w:val="24"/>
          <w:szCs w:val="24"/>
          <w:lang w:bidi="en-US"/>
        </w:rPr>
        <w:t>河南中能锂动电源有限公司</w:t>
      </w:r>
      <w:r>
        <w:rPr>
          <w:bCs/>
          <w:color w:val="auto"/>
          <w:sz w:val="24"/>
          <w:szCs w:val="24"/>
          <w:lang w:bidi="en-US"/>
        </w:rPr>
        <w:t>委托，</w:t>
      </w:r>
      <w:r>
        <w:rPr>
          <w:rFonts w:hint="eastAsia"/>
          <w:bCs/>
          <w:color w:val="auto"/>
          <w:sz w:val="24"/>
          <w:szCs w:val="24"/>
          <w:lang w:bidi="en-US"/>
        </w:rPr>
        <w:t>郑州</w:t>
      </w:r>
      <w:r>
        <w:rPr>
          <w:bCs/>
          <w:color w:val="auto"/>
          <w:sz w:val="24"/>
          <w:szCs w:val="24"/>
          <w:lang w:bidi="en-US"/>
        </w:rPr>
        <w:t>泓腾环保咨询有限公司承担了本项目环境影响报告书的编制工作。根据《中华人民共和国环境影响评价法</w:t>
      </w:r>
      <w:r>
        <w:rPr>
          <w:rFonts w:hint="eastAsia"/>
          <w:bCs/>
          <w:color w:val="auto"/>
          <w:sz w:val="24"/>
          <w:szCs w:val="24"/>
          <w:lang w:eastAsia="zh-CN" w:bidi="en-US"/>
        </w:rPr>
        <w:t>》《</w:t>
      </w:r>
      <w:r>
        <w:rPr>
          <w:bCs/>
          <w:color w:val="auto"/>
          <w:sz w:val="24"/>
          <w:szCs w:val="24"/>
          <w:lang w:bidi="en-US"/>
        </w:rPr>
        <w:t>河南省建设项目环境保护管理条例》等相关法律、法规及规章要求，并依据环评导则和有关技术规范，认真贯彻清洁生产、达标排放、总量控制的原则，在对项目生产工艺、排污特征、综合治理技术及项目所在地环境现状等分析的基础上，</w:t>
      </w:r>
      <w:r>
        <w:rPr>
          <w:rFonts w:hint="eastAsia"/>
          <w:bCs/>
          <w:color w:val="auto"/>
          <w:sz w:val="24"/>
          <w:szCs w:val="24"/>
          <w:lang w:eastAsia="zh-CN" w:bidi="en-US"/>
        </w:rPr>
        <w:t>完成了</w:t>
      </w:r>
      <w:r>
        <w:rPr>
          <w:bCs/>
          <w:color w:val="auto"/>
          <w:sz w:val="24"/>
          <w:szCs w:val="24"/>
          <w:lang w:bidi="en-US"/>
        </w:rPr>
        <w:t>本项目环境影响报告书</w:t>
      </w:r>
      <w:r>
        <w:rPr>
          <w:rFonts w:hint="eastAsia"/>
          <w:bCs/>
          <w:color w:val="auto"/>
          <w:sz w:val="24"/>
          <w:szCs w:val="24"/>
          <w:lang w:eastAsia="zh-CN" w:bidi="en-US"/>
        </w:rPr>
        <w:t>的编制</w:t>
      </w:r>
      <w:r>
        <w:rPr>
          <w:bCs/>
          <w:color w:val="auto"/>
          <w:sz w:val="24"/>
          <w:szCs w:val="24"/>
          <w:lang w:bidi="en-US"/>
        </w:rPr>
        <w:t>。</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0" w:name="_Toc9419"/>
      <w:bookmarkStart w:id="11" w:name="_Toc2872_WPSOffice_Level2"/>
      <w:bookmarkStart w:id="12" w:name="_Toc112338922"/>
      <w:r>
        <w:rPr>
          <w:bCs w:val="0"/>
          <w:color w:val="auto"/>
          <w:kern w:val="0"/>
          <w:szCs w:val="20"/>
          <w:lang w:val="en-US"/>
        </w:rPr>
        <w:t>1.2项目特点</w:t>
      </w:r>
      <w:bookmarkEnd w:id="10"/>
      <w:bookmarkEnd w:id="11"/>
      <w:bookmarkEnd w:id="12"/>
    </w:p>
    <w:p>
      <w:pPr>
        <w:pStyle w:val="271"/>
        <w:keepNext w:val="0"/>
        <w:keepLines w:val="0"/>
        <w:snapToGrid w:val="0"/>
        <w:spacing w:before="0" w:beforeLines="0" w:after="0" w:afterLines="0"/>
        <w:rPr>
          <w:rFonts w:cs="Times New Roman"/>
          <w:color w:val="auto"/>
          <w:kern w:val="21"/>
          <w:sz w:val="28"/>
          <w:szCs w:val="28"/>
        </w:rPr>
      </w:pPr>
      <w:r>
        <w:rPr>
          <w:rFonts w:hint="eastAsia" w:cs="Times New Roman"/>
          <w:color w:val="auto"/>
          <w:kern w:val="21"/>
          <w:sz w:val="28"/>
          <w:szCs w:val="28"/>
        </w:rPr>
        <w:t>1.2.1工程特点</w:t>
      </w:r>
    </w:p>
    <w:p>
      <w:pPr>
        <w:adjustRightInd w:val="0"/>
        <w:snapToGrid w:val="0"/>
        <w:spacing w:line="360" w:lineRule="auto"/>
        <w:ind w:firstLine="480" w:firstLineChars="200"/>
        <w:rPr>
          <w:bCs/>
          <w:color w:val="auto"/>
          <w:sz w:val="24"/>
          <w:szCs w:val="24"/>
          <w:lang w:bidi="en-US"/>
        </w:rPr>
      </w:pPr>
      <w:r>
        <w:rPr>
          <w:bCs/>
          <w:color w:val="auto"/>
          <w:sz w:val="24"/>
          <w:szCs w:val="24"/>
          <w:lang w:bidi="en-US"/>
        </w:rPr>
        <w:t>本项目废气主要</w:t>
      </w:r>
      <w:r>
        <w:rPr>
          <w:rFonts w:hint="eastAsia"/>
          <w:bCs/>
          <w:color w:val="auto"/>
          <w:sz w:val="24"/>
          <w:szCs w:val="24"/>
          <w:lang w:eastAsia="zh-CN" w:bidi="en-US"/>
        </w:rPr>
        <w:t>为</w:t>
      </w:r>
      <w:r>
        <w:rPr>
          <w:bCs/>
          <w:color w:val="auto"/>
          <w:sz w:val="24"/>
          <w:szCs w:val="24"/>
          <w:lang w:bidi="en-US"/>
        </w:rPr>
        <w:t>生产线酸雾、酸储罐酸雾、燃气锅炉废气、污水站恶臭</w:t>
      </w:r>
      <w:r>
        <w:rPr>
          <w:rFonts w:hint="eastAsia"/>
          <w:bCs/>
          <w:color w:val="auto"/>
          <w:sz w:val="24"/>
          <w:szCs w:val="24"/>
          <w:lang w:eastAsia="zh-CN" w:bidi="en-US"/>
        </w:rPr>
        <w:t>和</w:t>
      </w:r>
      <w:r>
        <w:rPr>
          <w:bCs/>
          <w:color w:val="auto"/>
          <w:sz w:val="24"/>
          <w:szCs w:val="24"/>
          <w:lang w:bidi="en-US"/>
        </w:rPr>
        <w:t>焊接烟尘，项目废气采用成熟可靠的处理措施，各类污染物均可实现达标排放，对周边环境影响较小；</w:t>
      </w:r>
      <w:r>
        <w:rPr>
          <w:color w:val="auto"/>
          <w:kern w:val="21"/>
          <w:sz w:val="24"/>
          <w:szCs w:val="22"/>
        </w:rPr>
        <w:t>本项目废</w:t>
      </w:r>
      <w:r>
        <w:rPr>
          <w:color w:val="auto"/>
          <w:kern w:val="21"/>
          <w:sz w:val="24"/>
          <w:szCs w:val="22"/>
          <w:highlight w:val="none"/>
        </w:rPr>
        <w:t>水主要</w:t>
      </w:r>
      <w:r>
        <w:rPr>
          <w:rFonts w:hint="eastAsia"/>
          <w:color w:val="auto"/>
          <w:kern w:val="21"/>
          <w:sz w:val="24"/>
          <w:szCs w:val="22"/>
          <w:highlight w:val="none"/>
          <w:lang w:eastAsia="zh-CN"/>
        </w:rPr>
        <w:t>为综合废水（</w:t>
      </w:r>
      <w:r>
        <w:rPr>
          <w:color w:val="auto"/>
          <w:kern w:val="21"/>
          <w:sz w:val="24"/>
          <w:szCs w:val="22"/>
          <w:highlight w:val="none"/>
        </w:rPr>
        <w:t>含油废水、酸性废水</w:t>
      </w:r>
      <w:r>
        <w:rPr>
          <w:rFonts w:hint="eastAsia"/>
          <w:color w:val="auto"/>
          <w:kern w:val="21"/>
          <w:sz w:val="24"/>
          <w:szCs w:val="22"/>
          <w:highlight w:val="none"/>
          <w:lang w:eastAsia="zh-CN"/>
        </w:rPr>
        <w:t>）</w:t>
      </w:r>
      <w:r>
        <w:rPr>
          <w:color w:val="auto"/>
          <w:kern w:val="21"/>
          <w:sz w:val="24"/>
          <w:szCs w:val="22"/>
          <w:highlight w:val="none"/>
        </w:rPr>
        <w:t>、含镍废水、含锌废水、含铬废水、地面废水、锅炉浓水、纯水制备浓水及生活污水，</w:t>
      </w:r>
      <w:r>
        <w:rPr>
          <w:rFonts w:hint="eastAsia"/>
          <w:color w:val="auto"/>
          <w:kern w:val="21"/>
          <w:sz w:val="24"/>
          <w:szCs w:val="22"/>
          <w:highlight w:val="none"/>
          <w:lang w:eastAsia="zh-CN"/>
        </w:rPr>
        <w:t>综合废水（</w:t>
      </w:r>
      <w:r>
        <w:rPr>
          <w:color w:val="auto"/>
          <w:kern w:val="21"/>
          <w:sz w:val="24"/>
          <w:szCs w:val="22"/>
          <w:highlight w:val="none"/>
        </w:rPr>
        <w:t>含油废水、酸性废水</w:t>
      </w:r>
      <w:r>
        <w:rPr>
          <w:rFonts w:hint="eastAsia"/>
          <w:color w:val="auto"/>
          <w:kern w:val="21"/>
          <w:sz w:val="24"/>
          <w:szCs w:val="22"/>
          <w:highlight w:val="none"/>
          <w:lang w:eastAsia="zh-CN"/>
        </w:rPr>
        <w:t>）</w:t>
      </w:r>
      <w:r>
        <w:rPr>
          <w:color w:val="auto"/>
          <w:kern w:val="21"/>
          <w:sz w:val="24"/>
          <w:szCs w:val="22"/>
          <w:highlight w:val="none"/>
        </w:rPr>
        <w:t>、含镍废</w:t>
      </w:r>
      <w:r>
        <w:rPr>
          <w:color w:val="auto"/>
          <w:kern w:val="21"/>
          <w:sz w:val="24"/>
          <w:szCs w:val="22"/>
        </w:rPr>
        <w:t>水、含锌废水、含铬废水、地面废水分别经各自的预处理系统处理后进入零排放处理系统</w:t>
      </w:r>
      <w:r>
        <w:rPr>
          <w:rFonts w:hint="eastAsia"/>
          <w:color w:val="auto"/>
          <w:kern w:val="21"/>
          <w:sz w:val="24"/>
          <w:szCs w:val="22"/>
          <w:lang w:eastAsia="zh-CN"/>
        </w:rPr>
        <w:t>进行深度处理</w:t>
      </w:r>
      <w:r>
        <w:rPr>
          <w:color w:val="auto"/>
          <w:kern w:val="21"/>
          <w:sz w:val="24"/>
          <w:szCs w:val="22"/>
        </w:rPr>
        <w:t>，</w:t>
      </w:r>
      <w:r>
        <w:rPr>
          <w:rFonts w:hint="eastAsia"/>
          <w:color w:val="auto"/>
          <w:kern w:val="21"/>
          <w:sz w:val="24"/>
          <w:szCs w:val="22"/>
          <w:lang w:eastAsia="zh-CN"/>
        </w:rPr>
        <w:t>深度处理后</w:t>
      </w:r>
      <w:r>
        <w:rPr>
          <w:color w:val="auto"/>
          <w:kern w:val="21"/>
          <w:sz w:val="24"/>
          <w:szCs w:val="22"/>
        </w:rPr>
        <w:t>全部回用</w:t>
      </w:r>
      <w:r>
        <w:rPr>
          <w:rFonts w:hint="eastAsia"/>
          <w:color w:val="auto"/>
          <w:kern w:val="21"/>
          <w:sz w:val="24"/>
          <w:szCs w:val="22"/>
          <w:lang w:eastAsia="zh-CN"/>
        </w:rPr>
        <w:t>于生产线，</w:t>
      </w:r>
      <w:r>
        <w:rPr>
          <w:color w:val="auto"/>
          <w:kern w:val="21"/>
          <w:sz w:val="24"/>
          <w:szCs w:val="22"/>
        </w:rPr>
        <w:t>不外排</w:t>
      </w:r>
      <w:r>
        <w:rPr>
          <w:rFonts w:hint="eastAsia"/>
          <w:color w:val="auto"/>
          <w:kern w:val="21"/>
          <w:sz w:val="24"/>
          <w:szCs w:val="22"/>
          <w:lang w:eastAsia="zh-CN"/>
        </w:rPr>
        <w:t>；</w:t>
      </w:r>
      <w:r>
        <w:rPr>
          <w:color w:val="auto"/>
          <w:kern w:val="21"/>
          <w:sz w:val="24"/>
          <w:szCs w:val="22"/>
        </w:rPr>
        <w:t>锅炉浓水、纯水制备浓水及生活污水经厂区总排口</w:t>
      </w:r>
      <w:r>
        <w:rPr>
          <w:rFonts w:hint="eastAsia"/>
          <w:color w:val="auto"/>
          <w:kern w:val="21"/>
          <w:sz w:val="24"/>
          <w:szCs w:val="22"/>
        </w:rPr>
        <w:t>排入城发水务（获嘉）有限公司获嘉县同盟污水处理厂（以下简称</w:t>
      </w:r>
      <w:r>
        <w:rPr>
          <w:rFonts w:hint="eastAsia"/>
          <w:color w:val="auto"/>
          <w:kern w:val="21"/>
          <w:sz w:val="24"/>
          <w:szCs w:val="22"/>
          <w:lang w:eastAsia="zh-CN"/>
        </w:rPr>
        <w:t>“</w:t>
      </w:r>
      <w:r>
        <w:rPr>
          <w:rFonts w:hint="eastAsia"/>
          <w:color w:val="auto"/>
          <w:kern w:val="21"/>
          <w:sz w:val="24"/>
          <w:szCs w:val="22"/>
        </w:rPr>
        <w:t>同盟污水处理厂</w:t>
      </w:r>
      <w:r>
        <w:rPr>
          <w:rFonts w:hint="eastAsia"/>
          <w:color w:val="auto"/>
          <w:kern w:val="21"/>
          <w:sz w:val="24"/>
          <w:szCs w:val="22"/>
          <w:lang w:eastAsia="zh-CN"/>
        </w:rPr>
        <w:t>”</w:t>
      </w:r>
      <w:r>
        <w:rPr>
          <w:rFonts w:hint="eastAsia"/>
          <w:color w:val="auto"/>
          <w:kern w:val="21"/>
          <w:sz w:val="24"/>
          <w:szCs w:val="22"/>
        </w:rPr>
        <w:t>）</w:t>
      </w:r>
      <w:r>
        <w:rPr>
          <w:rFonts w:hint="eastAsia"/>
          <w:bCs/>
          <w:color w:val="auto"/>
          <w:sz w:val="24"/>
          <w:szCs w:val="24"/>
          <w:lang w:bidi="en-US"/>
        </w:rPr>
        <w:t>；</w:t>
      </w:r>
      <w:r>
        <w:rPr>
          <w:bCs/>
          <w:color w:val="auto"/>
          <w:sz w:val="24"/>
          <w:szCs w:val="24"/>
          <w:lang w:bidi="en-US"/>
        </w:rPr>
        <w:t>本项目噪声源</w:t>
      </w:r>
      <w:r>
        <w:rPr>
          <w:rFonts w:hint="eastAsia"/>
          <w:bCs/>
          <w:color w:val="auto"/>
          <w:sz w:val="24"/>
          <w:szCs w:val="24"/>
          <w:lang w:eastAsia="zh-CN" w:bidi="en-US"/>
        </w:rPr>
        <w:t>主要</w:t>
      </w:r>
      <w:r>
        <w:rPr>
          <w:bCs/>
          <w:color w:val="auto"/>
          <w:sz w:val="24"/>
          <w:szCs w:val="24"/>
          <w:lang w:bidi="en-US"/>
        </w:rPr>
        <w:t>为冲床、空压机</w:t>
      </w:r>
      <w:r>
        <w:rPr>
          <w:rFonts w:hint="eastAsia"/>
          <w:bCs/>
          <w:color w:val="auto"/>
          <w:sz w:val="24"/>
          <w:szCs w:val="24"/>
          <w:lang w:eastAsia="zh-CN" w:bidi="en-US"/>
        </w:rPr>
        <w:t>及</w:t>
      </w:r>
      <w:r>
        <w:rPr>
          <w:bCs/>
          <w:color w:val="auto"/>
          <w:sz w:val="24"/>
          <w:szCs w:val="24"/>
          <w:lang w:bidi="en-US"/>
        </w:rPr>
        <w:t>风机等，经设备基础减振、厂房隔声</w:t>
      </w:r>
      <w:r>
        <w:rPr>
          <w:rFonts w:hint="eastAsia"/>
          <w:bCs/>
          <w:color w:val="auto"/>
          <w:sz w:val="24"/>
          <w:szCs w:val="24"/>
          <w:lang w:eastAsia="zh-CN" w:bidi="en-US"/>
        </w:rPr>
        <w:t>等措施后</w:t>
      </w:r>
      <w:r>
        <w:rPr>
          <w:bCs/>
          <w:color w:val="auto"/>
          <w:sz w:val="24"/>
          <w:szCs w:val="24"/>
          <w:lang w:bidi="en-US"/>
        </w:rPr>
        <w:t>，对周边环境影响较小；本项目固体废物均得到综合利用或妥善处置。本项目符合国家清洁生产和循环经济要求。</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（1）本项目为新建项目，属于《产业结构调整指导目录（2019年本）》允许类项目，符合国家产业政策；</w:t>
      </w:r>
    </w:p>
    <w:p>
      <w:pPr>
        <w:adjustRightInd w:val="0"/>
        <w:snapToGrid w:val="0"/>
        <w:spacing w:line="360" w:lineRule="auto"/>
        <w:ind w:firstLine="480" w:firstLineChars="200"/>
        <w:jc w:val="both"/>
        <w:rPr>
          <w:bCs/>
          <w:color w:val="auto"/>
          <w:sz w:val="24"/>
          <w:szCs w:val="24"/>
          <w:lang w:bidi="en-US"/>
        </w:rPr>
      </w:pPr>
      <w:r>
        <w:rPr>
          <w:rFonts w:hint="eastAsia"/>
          <w:bCs/>
          <w:color w:val="auto"/>
          <w:sz w:val="24"/>
          <w:szCs w:val="24"/>
          <w:lang w:bidi="en-US"/>
        </w:rPr>
        <w:t>（2）本项目为二类工业项目，位于新乡市获嘉县产业集聚区北区城东片区</w:t>
      </w:r>
      <w:r>
        <w:rPr>
          <w:bCs/>
          <w:color w:val="auto"/>
          <w:sz w:val="24"/>
          <w:szCs w:val="24"/>
          <w:lang w:bidi="en-US"/>
        </w:rPr>
        <w:t>安王路与梧桐路交叉口西北角</w:t>
      </w:r>
      <w:r>
        <w:rPr>
          <w:rFonts w:hint="eastAsia"/>
          <w:bCs/>
          <w:color w:val="auto"/>
          <w:sz w:val="24"/>
          <w:szCs w:val="24"/>
          <w:lang w:bidi="en-US"/>
        </w:rPr>
        <w:t>，根据《获嘉县产业集聚区总体发展规划（2016~2020）》北部用地布局规划图</w:t>
      </w:r>
      <w:r>
        <w:rPr>
          <w:rFonts w:hint="eastAsia"/>
          <w:bCs/>
          <w:color w:val="auto"/>
          <w:sz w:val="24"/>
          <w:szCs w:val="24"/>
          <w:lang w:eastAsia="zh-CN" w:bidi="en-US"/>
        </w:rPr>
        <w:t>可知</w:t>
      </w:r>
      <w:r>
        <w:rPr>
          <w:rFonts w:hint="eastAsia"/>
          <w:bCs/>
          <w:color w:val="auto"/>
          <w:sz w:val="24"/>
          <w:szCs w:val="24"/>
          <w:lang w:bidi="en-US"/>
        </w:rPr>
        <w:t>，项目用地属于二类工业用地，符合获嘉县产业集聚区总体发展规划和土地性质规划；</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（3）本项目供水、排水均依托市政供应；</w:t>
      </w:r>
    </w:p>
    <w:p>
      <w:pPr>
        <w:adjustRightInd w:val="0"/>
        <w:snapToGrid w:val="0"/>
        <w:spacing w:line="360" w:lineRule="auto"/>
        <w:ind w:firstLine="480" w:firstLineChars="200"/>
        <w:rPr>
          <w:rFonts w:hint="eastAsia"/>
          <w:bCs/>
          <w:color w:val="auto"/>
          <w:sz w:val="24"/>
          <w:szCs w:val="24"/>
          <w:lang w:eastAsia="zh-CN" w:bidi="en-US"/>
        </w:rPr>
      </w:pPr>
      <w:r>
        <w:rPr>
          <w:rFonts w:hint="eastAsia"/>
          <w:bCs/>
          <w:color w:val="auto"/>
          <w:sz w:val="24"/>
          <w:szCs w:val="24"/>
          <w:lang w:bidi="en-US"/>
        </w:rPr>
        <w:t>（4）本项目属于C3849 其他电池制造项目，</w:t>
      </w:r>
      <w:r>
        <w:rPr>
          <w:rFonts w:hint="eastAsia"/>
          <w:bCs/>
          <w:color w:val="auto"/>
          <w:sz w:val="24"/>
          <w:szCs w:val="24"/>
          <w:lang w:eastAsia="zh-CN" w:bidi="en-US"/>
        </w:rPr>
        <w:t>锂</w:t>
      </w:r>
      <w:r>
        <w:rPr>
          <w:rFonts w:hint="eastAsia"/>
          <w:bCs/>
          <w:color w:val="auto"/>
          <w:sz w:val="24"/>
          <w:szCs w:val="24"/>
          <w:lang w:bidi="en-US"/>
        </w:rPr>
        <w:t>电池钢壳、</w:t>
      </w:r>
      <w:r>
        <w:rPr>
          <w:rFonts w:hint="eastAsia"/>
          <w:bCs/>
          <w:color w:val="auto"/>
          <w:sz w:val="24"/>
          <w:szCs w:val="24"/>
          <w:lang w:eastAsia="zh-CN" w:bidi="en-US"/>
        </w:rPr>
        <w:t>锂</w:t>
      </w:r>
      <w:r>
        <w:rPr>
          <w:rFonts w:hint="eastAsia"/>
          <w:bCs/>
          <w:color w:val="auto"/>
          <w:sz w:val="24"/>
          <w:szCs w:val="24"/>
          <w:lang w:bidi="en-US"/>
        </w:rPr>
        <w:t>电池盖帽、</w:t>
      </w:r>
      <w:r>
        <w:rPr>
          <w:rFonts w:hint="eastAsia"/>
          <w:bCs/>
          <w:color w:val="auto"/>
          <w:sz w:val="24"/>
          <w:szCs w:val="24"/>
          <w:lang w:eastAsia="zh-CN" w:bidi="en-US"/>
        </w:rPr>
        <w:t>锂</w:t>
      </w:r>
      <w:r>
        <w:rPr>
          <w:rFonts w:hint="eastAsia"/>
          <w:bCs/>
          <w:color w:val="auto"/>
          <w:sz w:val="24"/>
          <w:szCs w:val="24"/>
          <w:lang w:bidi="en-US"/>
        </w:rPr>
        <w:t>电池箱表面处理加工过程中采用电镀工艺技术，生产过程中会产生一些酸性有害气体、</w:t>
      </w:r>
      <w:r>
        <w:rPr>
          <w:rFonts w:hint="eastAsia"/>
          <w:bCs/>
          <w:color w:val="auto"/>
          <w:sz w:val="24"/>
          <w:szCs w:val="24"/>
          <w:lang w:eastAsia="zh-CN" w:bidi="en-US"/>
        </w:rPr>
        <w:t>含</w:t>
      </w:r>
      <w:r>
        <w:rPr>
          <w:rFonts w:hint="eastAsia"/>
          <w:bCs/>
          <w:color w:val="auto"/>
          <w:sz w:val="24"/>
          <w:szCs w:val="24"/>
          <w:lang w:bidi="en-US"/>
        </w:rPr>
        <w:t>重金属的酸性废水和固体废物，</w:t>
      </w:r>
      <w:r>
        <w:rPr>
          <w:rFonts w:hint="eastAsia"/>
          <w:bCs/>
          <w:color w:val="auto"/>
          <w:sz w:val="24"/>
          <w:szCs w:val="24"/>
          <w:lang w:eastAsia="zh-CN" w:bidi="en-US"/>
        </w:rPr>
        <w:t>废水污染物</w:t>
      </w:r>
      <w:r>
        <w:rPr>
          <w:rFonts w:hint="eastAsia"/>
          <w:bCs/>
          <w:color w:val="auto"/>
          <w:sz w:val="24"/>
          <w:szCs w:val="24"/>
          <w:lang w:val="en-US" w:eastAsia="zh-CN" w:bidi="en-US"/>
        </w:rPr>
        <w:t>中</w:t>
      </w:r>
      <w:r>
        <w:rPr>
          <w:rFonts w:hint="eastAsia"/>
          <w:bCs/>
          <w:color w:val="auto"/>
          <w:sz w:val="24"/>
          <w:szCs w:val="24"/>
          <w:lang w:bidi="en-US"/>
        </w:rPr>
        <w:t>涉及到第一类</w:t>
      </w:r>
      <w:r>
        <w:rPr>
          <w:rFonts w:hint="eastAsia"/>
          <w:bCs/>
          <w:color w:val="auto"/>
          <w:sz w:val="24"/>
          <w:szCs w:val="24"/>
          <w:lang w:eastAsia="zh-CN" w:bidi="en-US"/>
        </w:rPr>
        <w:t>水</w:t>
      </w:r>
      <w:r>
        <w:rPr>
          <w:rFonts w:hint="eastAsia"/>
          <w:bCs/>
          <w:color w:val="auto"/>
          <w:sz w:val="24"/>
          <w:szCs w:val="24"/>
          <w:lang w:bidi="en-US"/>
        </w:rPr>
        <w:t>污染物，</w:t>
      </w:r>
      <w:r>
        <w:rPr>
          <w:rFonts w:hint="eastAsia"/>
          <w:bCs/>
          <w:color w:val="auto"/>
          <w:sz w:val="24"/>
          <w:szCs w:val="24"/>
          <w:lang w:eastAsia="zh-CN" w:bidi="en-US"/>
        </w:rPr>
        <w:t>但全厂含重金属的废水经厂区污水处理站处理达标后全部回用，不外排。</w:t>
      </w:r>
    </w:p>
    <w:p>
      <w:pPr>
        <w:adjustRightInd w:val="0"/>
        <w:snapToGrid w:val="0"/>
        <w:spacing w:line="360" w:lineRule="auto"/>
        <w:ind w:firstLine="480" w:firstLineChars="200"/>
        <w:rPr>
          <w:rFonts w:hint="eastAsia"/>
          <w:bCs/>
          <w:color w:val="auto"/>
          <w:sz w:val="24"/>
          <w:szCs w:val="24"/>
          <w:lang w:bidi="en-US"/>
        </w:rPr>
      </w:pPr>
      <w:r>
        <w:rPr>
          <w:rFonts w:hint="eastAsia"/>
          <w:bCs/>
          <w:color w:val="auto"/>
          <w:sz w:val="24"/>
          <w:szCs w:val="24"/>
          <w:lang w:bidi="en-US"/>
        </w:rPr>
        <w:t>根据项目排污特点，工程具有成熟的治理技术，可以保证废气、废水、噪声达标排放。工程固废在综合利用</w:t>
      </w:r>
      <w:r>
        <w:rPr>
          <w:rFonts w:hint="eastAsia"/>
          <w:bCs/>
          <w:color w:val="auto"/>
          <w:sz w:val="24"/>
          <w:szCs w:val="24"/>
          <w:lang w:eastAsia="zh-CN" w:bidi="en-US"/>
        </w:rPr>
        <w:t>的</w:t>
      </w:r>
      <w:r>
        <w:rPr>
          <w:rFonts w:hint="eastAsia"/>
          <w:bCs/>
          <w:color w:val="auto"/>
          <w:sz w:val="24"/>
          <w:szCs w:val="24"/>
          <w:lang w:bidi="en-US"/>
        </w:rPr>
        <w:t>基础上，均能实现妥善处置。</w:t>
      </w:r>
    </w:p>
    <w:p>
      <w:pPr>
        <w:pStyle w:val="43"/>
        <w:rPr>
          <w:rFonts w:hint="eastAsia"/>
          <w:bCs/>
          <w:color w:val="auto"/>
          <w:sz w:val="24"/>
          <w:szCs w:val="24"/>
          <w:lang w:bidi="en-US"/>
        </w:rPr>
      </w:pPr>
    </w:p>
    <w:p>
      <w:pPr>
        <w:pStyle w:val="43"/>
        <w:rPr>
          <w:rFonts w:hint="eastAsia"/>
          <w:bCs/>
          <w:color w:val="auto"/>
          <w:sz w:val="24"/>
          <w:szCs w:val="24"/>
          <w:lang w:bidi="en-US"/>
        </w:rPr>
      </w:pPr>
    </w:p>
    <w:p>
      <w:pPr>
        <w:pStyle w:val="271"/>
        <w:keepNext w:val="0"/>
        <w:keepLines w:val="0"/>
        <w:snapToGrid w:val="0"/>
        <w:spacing w:before="0" w:beforeLines="0" w:after="0" w:afterLines="0"/>
        <w:rPr>
          <w:rFonts w:cs="Times New Roman"/>
          <w:color w:val="auto"/>
          <w:kern w:val="21"/>
          <w:sz w:val="28"/>
          <w:szCs w:val="28"/>
        </w:rPr>
      </w:pPr>
      <w:r>
        <w:rPr>
          <w:rFonts w:hint="eastAsia" w:cs="Times New Roman"/>
          <w:color w:val="auto"/>
          <w:kern w:val="21"/>
          <w:sz w:val="28"/>
          <w:szCs w:val="28"/>
        </w:rPr>
        <w:t>1.2.2环境特点</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（1）项目</w:t>
      </w:r>
      <w:r>
        <w:rPr>
          <w:rFonts w:hint="eastAsia"/>
          <w:bCs/>
          <w:color w:val="auto"/>
          <w:sz w:val="24"/>
          <w:szCs w:val="24"/>
          <w:lang w:val="en-US" w:eastAsia="zh-CN" w:bidi="en-US"/>
        </w:rPr>
        <w:t>厂址</w:t>
      </w:r>
      <w:r>
        <w:rPr>
          <w:rFonts w:hint="eastAsia"/>
          <w:bCs/>
          <w:color w:val="auto"/>
          <w:sz w:val="24"/>
          <w:szCs w:val="24"/>
          <w:lang w:bidi="en-US"/>
        </w:rPr>
        <w:t>位于新乡市获嘉县产业集聚区北区城东片区安王路与梧桐路交叉口西北角，</w:t>
      </w:r>
      <w:r>
        <w:rPr>
          <w:bCs/>
          <w:color w:val="auto"/>
          <w:sz w:val="24"/>
          <w:szCs w:val="24"/>
          <w:lang w:bidi="en-US"/>
        </w:rPr>
        <w:t>厂区四周环境为：东临</w:t>
      </w:r>
      <w:r>
        <w:rPr>
          <w:color w:val="auto"/>
          <w:kern w:val="21"/>
          <w:sz w:val="24"/>
        </w:rPr>
        <w:t>河南奔茨新能源有限公司</w:t>
      </w:r>
      <w:r>
        <w:rPr>
          <w:rFonts w:hint="eastAsia"/>
          <w:color w:val="auto"/>
          <w:kern w:val="21"/>
          <w:sz w:val="24"/>
          <w:lang w:eastAsia="zh-CN"/>
        </w:rPr>
        <w:t>和</w:t>
      </w:r>
      <w:r>
        <w:rPr>
          <w:rFonts w:hint="eastAsia"/>
          <w:bCs/>
          <w:color w:val="auto"/>
          <w:sz w:val="24"/>
          <w:szCs w:val="24"/>
          <w:lang w:bidi="en-US"/>
        </w:rPr>
        <w:t>河南华圣曦铝业有限公司；西临获嘉县华夏建材有限公司；南临新乡沅嘉汽车制造有限公司及梧桐路，隔梧桐路南侧为壹仓优品、东南侧为新乡天鑫新能源机械有限公司；北临力邦电器；东北276m为前李村，北侧740m为后李村。西侧1323m为共产主义渠；（</w:t>
      </w:r>
      <w:r>
        <w:rPr>
          <w:rFonts w:hint="eastAsia"/>
          <w:bCs/>
          <w:color w:val="auto"/>
          <w:sz w:val="24"/>
          <w:szCs w:val="24"/>
          <w:lang w:eastAsia="zh-CN" w:bidi="en-US"/>
        </w:rPr>
        <w:t>详见附图三</w:t>
      </w:r>
      <w:r>
        <w:rPr>
          <w:rFonts w:hint="eastAsia"/>
          <w:bCs/>
          <w:color w:val="auto"/>
          <w:sz w:val="24"/>
          <w:szCs w:val="24"/>
          <w:lang w:bidi="en-US"/>
        </w:rPr>
        <w:t>）。</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（2）工程厂址周围均为工业企业，噪声环境质量现状较好；空气质量属于非达标区。</w:t>
      </w:r>
    </w:p>
    <w:p>
      <w:pPr>
        <w:adjustRightInd w:val="0"/>
        <w:snapToGrid w:val="0"/>
        <w:spacing w:before="156" w:beforeLines="50" w:line="360" w:lineRule="auto"/>
        <w:ind w:firstLine="480" w:firstLineChars="200"/>
        <w:textAlignment w:val="baseline"/>
        <w:rPr>
          <w:rFonts w:hint="default" w:ascii="Times New Roman" w:hAnsi="Times New Roman" w:cs="Times New Roman"/>
          <w:b/>
          <w:bCs w:val="0"/>
          <w:u w:val="single"/>
        </w:rPr>
      </w:pPr>
      <w:r>
        <w:rPr>
          <w:rFonts w:hint="eastAsia"/>
          <w:bCs/>
          <w:color w:val="auto"/>
          <w:sz w:val="24"/>
          <w:szCs w:val="24"/>
          <w:lang w:bidi="en-US"/>
        </w:rPr>
        <w:t>（3）</w:t>
      </w:r>
      <w:r>
        <w:rPr>
          <w:bCs/>
          <w:color w:val="auto"/>
          <w:sz w:val="24"/>
          <w:szCs w:val="24"/>
          <w:lang w:bidi="en-US"/>
        </w:rPr>
        <w:t>项目所在地属于海河流域，根据新乡市生态环境局《关于下达</w:t>
      </w:r>
      <w:r>
        <w:rPr>
          <w:rFonts w:hint="eastAsia"/>
          <w:bCs/>
          <w:color w:val="auto"/>
          <w:sz w:val="24"/>
          <w:szCs w:val="24"/>
          <w:lang w:bidi="en-US"/>
        </w:rPr>
        <w:t>2022年地表水环境质量暂定目标的函</w:t>
      </w:r>
      <w:r>
        <w:rPr>
          <w:bCs/>
          <w:color w:val="auto"/>
          <w:sz w:val="24"/>
          <w:szCs w:val="24"/>
          <w:lang w:bidi="en-US"/>
        </w:rPr>
        <w:t xml:space="preserve">》，本项目纳污水体共产主义渠规划水体功能为《地表水环境质量标准》(GB3838-2002) </w:t>
      </w:r>
      <w:r>
        <w:rPr>
          <w:bCs/>
          <w:color w:val="auto"/>
          <w:sz w:val="24"/>
          <w:szCs w:val="24"/>
          <w:lang w:bidi="en-US"/>
        </w:rPr>
        <w:fldChar w:fldCharType="begin"/>
      </w:r>
      <w:r>
        <w:rPr>
          <w:bCs/>
          <w:color w:val="auto"/>
          <w:sz w:val="24"/>
          <w:szCs w:val="24"/>
          <w:lang w:bidi="en-US"/>
        </w:rPr>
        <w:instrText xml:space="preserve"> </w:instrText>
      </w:r>
      <w:r>
        <w:rPr>
          <w:rFonts w:hint="eastAsia"/>
          <w:bCs/>
          <w:color w:val="auto"/>
          <w:sz w:val="24"/>
          <w:szCs w:val="24"/>
          <w:lang w:bidi="en-US"/>
        </w:rPr>
        <w:instrText xml:space="preserve">= 4 \* ROMAN</w:instrText>
      </w:r>
      <w:r>
        <w:rPr>
          <w:bCs/>
          <w:color w:val="auto"/>
          <w:sz w:val="24"/>
          <w:szCs w:val="24"/>
          <w:lang w:bidi="en-US"/>
        </w:rPr>
        <w:instrText xml:space="preserve"> </w:instrText>
      </w:r>
      <w:r>
        <w:rPr>
          <w:bCs/>
          <w:color w:val="auto"/>
          <w:sz w:val="24"/>
          <w:szCs w:val="24"/>
          <w:lang w:bidi="en-US"/>
        </w:rPr>
        <w:fldChar w:fldCharType="separate"/>
      </w:r>
      <w:r>
        <w:rPr>
          <w:bCs/>
          <w:color w:val="auto"/>
          <w:sz w:val="24"/>
          <w:szCs w:val="24"/>
          <w:lang w:bidi="en-US"/>
        </w:rPr>
        <w:t>IV</w:t>
      </w:r>
      <w:r>
        <w:rPr>
          <w:bCs/>
          <w:color w:val="auto"/>
          <w:sz w:val="24"/>
          <w:szCs w:val="24"/>
          <w:lang w:bidi="en-US"/>
        </w:rPr>
        <w:fldChar w:fldCharType="end"/>
      </w:r>
      <w:r>
        <w:rPr>
          <w:bCs/>
          <w:color w:val="auto"/>
          <w:sz w:val="24"/>
          <w:szCs w:val="24"/>
          <w:lang w:bidi="en-US"/>
        </w:rPr>
        <w:t>类，</w:t>
      </w:r>
      <w:r>
        <w:rPr>
          <w:b/>
          <w:bCs w:val="0"/>
          <w:color w:val="auto"/>
          <w:sz w:val="24"/>
          <w:szCs w:val="24"/>
          <w:u w:val="single"/>
          <w:lang w:bidi="en-US"/>
        </w:rPr>
        <w:t>本项目所在区域地表水体共产主义渠市控</w:t>
      </w:r>
      <w:r>
        <w:rPr>
          <w:rFonts w:hint="eastAsia"/>
          <w:b/>
          <w:bCs w:val="0"/>
          <w:color w:val="auto"/>
          <w:sz w:val="24"/>
          <w:szCs w:val="24"/>
          <w:u w:val="single"/>
          <w:lang w:bidi="en-US"/>
        </w:rPr>
        <w:t>西永康</w:t>
      </w:r>
      <w:r>
        <w:rPr>
          <w:b/>
          <w:bCs w:val="0"/>
          <w:color w:val="auto"/>
          <w:sz w:val="24"/>
          <w:szCs w:val="24"/>
          <w:u w:val="single"/>
          <w:lang w:bidi="en-US"/>
        </w:rPr>
        <w:t>断面</w:t>
      </w:r>
      <w:r>
        <w:rPr>
          <w:rFonts w:hint="eastAsia"/>
          <w:b/>
          <w:bCs w:val="0"/>
          <w:color w:val="auto"/>
          <w:sz w:val="24"/>
          <w:szCs w:val="24"/>
          <w:u w:val="single"/>
          <w:lang w:val="en-US" w:eastAsia="zh-CN" w:bidi="en-US"/>
        </w:rPr>
        <w:t>2022年1-12月</w:t>
      </w:r>
      <w:r>
        <w:rPr>
          <w:b/>
          <w:bCs w:val="0"/>
          <w:color w:val="auto"/>
          <w:sz w:val="24"/>
          <w:szCs w:val="24"/>
          <w:u w:val="single"/>
          <w:lang w:bidi="en-US"/>
        </w:rPr>
        <w:t>的常规自动监测</w:t>
      </w:r>
      <w:r>
        <w:rPr>
          <w:rFonts w:hint="eastAsia"/>
          <w:b/>
          <w:bCs w:val="0"/>
          <w:color w:val="auto"/>
          <w:sz w:val="24"/>
          <w:szCs w:val="24"/>
          <w:u w:val="single"/>
          <w:lang w:val="en-US" w:eastAsia="zh-CN" w:bidi="en-US"/>
        </w:rPr>
        <w:t>平均</w:t>
      </w:r>
      <w:r>
        <w:rPr>
          <w:b/>
          <w:bCs w:val="0"/>
          <w:color w:val="auto"/>
          <w:sz w:val="24"/>
          <w:szCs w:val="24"/>
          <w:u w:val="single"/>
          <w:lang w:bidi="en-US"/>
        </w:rPr>
        <w:t>数据显示，</w:t>
      </w:r>
      <w:r>
        <w:rPr>
          <w:rFonts w:hint="eastAsia"/>
          <w:b/>
          <w:bCs w:val="0"/>
          <w:color w:val="auto"/>
          <w:sz w:val="24"/>
          <w:szCs w:val="24"/>
          <w:u w:val="single"/>
          <w:lang w:bidi="en-US"/>
        </w:rPr>
        <w:t xml:space="preserve">COD、氨氮、TP </w:t>
      </w:r>
      <w:r>
        <w:rPr>
          <w:rFonts w:hint="eastAsia"/>
          <w:b/>
          <w:bCs w:val="0"/>
          <w:color w:val="auto"/>
          <w:sz w:val="24"/>
          <w:szCs w:val="24"/>
          <w:u w:val="single"/>
          <w:lang w:val="en-US" w:eastAsia="zh-CN" w:bidi="en-US"/>
        </w:rPr>
        <w:t>均能够满足</w:t>
      </w:r>
      <w:r>
        <w:rPr>
          <w:rFonts w:hint="default" w:ascii="Times New Roman" w:hAnsi="Times New Roman" w:eastAsia="宋体" w:cs="Times New Roman"/>
          <w:b/>
          <w:bCs w:val="0"/>
          <w:sz w:val="24"/>
          <w:szCs w:val="24"/>
          <w:u w:val="single"/>
        </w:rPr>
        <w:t>《地表水环境质量标准》（GB3838-2002）IV类标准限值。</w:t>
      </w:r>
      <w:r>
        <w:rPr>
          <w:rFonts w:hint="default" w:ascii="Times New Roman" w:hAnsi="Times New Roman" w:eastAsia="宋体" w:cs="Times New Roman"/>
          <w:b/>
          <w:bCs w:val="0"/>
          <w:sz w:val="24"/>
          <w:szCs w:val="24"/>
          <w:u w:val="single"/>
          <w:lang w:val="en-US" w:eastAsia="zh-CN"/>
        </w:rPr>
        <w:t>同时</w:t>
      </w:r>
      <w:r>
        <w:rPr>
          <w:rFonts w:hint="default" w:ascii="Times New Roman" w:hAnsi="Times New Roman" w:eastAsia="宋体" w:cs="Times New Roman"/>
          <w:b/>
          <w:bCs w:val="0"/>
          <w:sz w:val="24"/>
          <w:szCs w:val="24"/>
          <w:u w:val="single"/>
        </w:rPr>
        <w:t>新乡市</w:t>
      </w:r>
      <w:r>
        <w:rPr>
          <w:rFonts w:hint="default" w:ascii="Times New Roman" w:hAnsi="Times New Roman" w:eastAsia="宋体" w:cs="Times New Roman"/>
          <w:b/>
          <w:bCs w:val="0"/>
          <w:sz w:val="24"/>
          <w:szCs w:val="24"/>
          <w:u w:val="single"/>
          <w:lang w:val="en-US" w:eastAsia="zh-CN"/>
        </w:rPr>
        <w:t>目前</w:t>
      </w:r>
      <w:r>
        <w:rPr>
          <w:rFonts w:hint="default" w:ascii="Times New Roman" w:hAnsi="Times New Roman" w:eastAsia="宋体" w:cs="Times New Roman"/>
          <w:b/>
          <w:bCs w:val="0"/>
          <w:sz w:val="24"/>
          <w:szCs w:val="24"/>
          <w:u w:val="single"/>
        </w:rPr>
        <w:t>正在推进实施《新乡市2023年碧水保卫战实施方案》（新环攻坚办[2023] 66号），将继续改善新乡市水环境质量。</w:t>
      </w:r>
    </w:p>
    <w:p>
      <w:pPr>
        <w:adjustRightInd w:val="0"/>
        <w:snapToGrid w:val="0"/>
        <w:spacing w:line="360" w:lineRule="auto"/>
        <w:ind w:firstLine="480" w:firstLineChars="200"/>
        <w:rPr>
          <w:rFonts w:hint="eastAsia"/>
          <w:bCs/>
          <w:color w:val="auto"/>
          <w:sz w:val="24"/>
          <w:szCs w:val="24"/>
          <w:lang w:bidi="en-US"/>
        </w:rPr>
      </w:pPr>
      <w:r>
        <w:rPr>
          <w:rFonts w:hint="eastAsia"/>
          <w:bCs/>
          <w:color w:val="auto"/>
          <w:sz w:val="24"/>
          <w:szCs w:val="24"/>
          <w:lang w:bidi="en-US"/>
        </w:rPr>
        <w:t>（4）项目所在地环境空气功能</w:t>
      </w:r>
      <w:r>
        <w:rPr>
          <w:rFonts w:hint="eastAsia"/>
          <w:bCs/>
          <w:color w:val="auto"/>
          <w:sz w:val="24"/>
          <w:szCs w:val="24"/>
          <w:lang w:eastAsia="zh-CN" w:bidi="en-US"/>
        </w:rPr>
        <w:t>区划</w:t>
      </w:r>
      <w:r>
        <w:rPr>
          <w:rFonts w:hint="eastAsia"/>
          <w:bCs/>
          <w:color w:val="auto"/>
          <w:sz w:val="24"/>
          <w:szCs w:val="24"/>
          <w:lang w:bidi="en-US"/>
        </w:rPr>
        <w:t>属环境空气二类区，</w:t>
      </w:r>
      <w:r>
        <w:rPr>
          <w:rFonts w:hint="eastAsia"/>
          <w:b/>
          <w:bCs w:val="0"/>
          <w:color w:val="auto"/>
          <w:sz w:val="24"/>
          <w:szCs w:val="24"/>
          <w:u w:val="single"/>
          <w:lang w:bidi="en-US"/>
        </w:rPr>
        <w:t>根据新乡市发布的</w:t>
      </w:r>
      <w:r>
        <w:rPr>
          <w:rFonts w:hint="eastAsia"/>
          <w:b/>
          <w:bCs w:val="0"/>
          <w:color w:val="auto"/>
          <w:sz w:val="24"/>
          <w:szCs w:val="24"/>
          <w:u w:val="single"/>
          <w:lang w:val="en-US" w:eastAsia="zh-CN" w:bidi="en-US"/>
        </w:rPr>
        <w:t>2022</w:t>
      </w:r>
      <w:r>
        <w:rPr>
          <w:rFonts w:hint="eastAsia"/>
          <w:b/>
          <w:bCs w:val="0"/>
          <w:color w:val="auto"/>
          <w:sz w:val="24"/>
          <w:szCs w:val="24"/>
          <w:u w:val="single"/>
          <w:lang w:bidi="en-US"/>
        </w:rPr>
        <w:t>年新乡市环境状况公报中的数据，本项目所在区域属于城市环境空气不达标区，不达标因子主要为 PM</w:t>
      </w:r>
      <w:r>
        <w:rPr>
          <w:rFonts w:hint="eastAsia"/>
          <w:b/>
          <w:bCs w:val="0"/>
          <w:color w:val="auto"/>
          <w:sz w:val="24"/>
          <w:szCs w:val="24"/>
          <w:u w:val="single"/>
          <w:vertAlign w:val="subscript"/>
          <w:lang w:bidi="en-US"/>
        </w:rPr>
        <w:t>2.5</w:t>
      </w:r>
      <w:r>
        <w:rPr>
          <w:rFonts w:hint="eastAsia"/>
          <w:b/>
          <w:bCs w:val="0"/>
          <w:color w:val="auto"/>
          <w:sz w:val="24"/>
          <w:szCs w:val="24"/>
          <w:u w:val="single"/>
          <w:lang w:bidi="en-US"/>
        </w:rPr>
        <w:t>、PM</w:t>
      </w:r>
      <w:r>
        <w:rPr>
          <w:rFonts w:hint="eastAsia"/>
          <w:b/>
          <w:bCs w:val="0"/>
          <w:color w:val="auto"/>
          <w:sz w:val="24"/>
          <w:szCs w:val="24"/>
          <w:u w:val="single"/>
          <w:vertAlign w:val="subscript"/>
          <w:lang w:bidi="en-US"/>
        </w:rPr>
        <w:t>10</w:t>
      </w:r>
      <w:r>
        <w:rPr>
          <w:rFonts w:hint="eastAsia"/>
          <w:b/>
          <w:bCs w:val="0"/>
          <w:color w:val="auto"/>
          <w:sz w:val="24"/>
          <w:szCs w:val="24"/>
          <w:u w:val="single"/>
          <w:lang w:bidi="en-US"/>
        </w:rPr>
        <w:t>、和O</w:t>
      </w:r>
      <w:r>
        <w:rPr>
          <w:rFonts w:hint="eastAsia"/>
          <w:b/>
          <w:bCs w:val="0"/>
          <w:color w:val="auto"/>
          <w:sz w:val="24"/>
          <w:szCs w:val="24"/>
          <w:u w:val="single"/>
          <w:vertAlign w:val="subscript"/>
          <w:lang w:bidi="en-US"/>
        </w:rPr>
        <w:t>3</w:t>
      </w:r>
      <w:r>
        <w:rPr>
          <w:rFonts w:hint="eastAsia"/>
          <w:b/>
          <w:bCs w:val="0"/>
          <w:color w:val="auto"/>
          <w:sz w:val="24"/>
          <w:szCs w:val="24"/>
          <w:u w:val="single"/>
          <w:lang w:bidi="en-US"/>
        </w:rPr>
        <w:t>(日最大小时平均)。</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项目所选取的各监测点位的特征因子HCL、硫酸雾、氨、硫化氢小时值及HCL、硫酸雾的日均值均能满足《环境影响评价技术导则 大气环境》（HJ2.2-2018）附录 D 要求；铬酸雾小时值能满足《大气污染物综合排放标准》（GB16297-1996）详解要求。</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（5）根据《河南大成包装材料有限公司年产15万吨工业钢丝（非普通松弛级别）建设项目环境影响评价报告书》（报批版2020.12），陈孝村和前李村2 个点位的各监测因子均能满足《地下水质量标准》（GB/T14848-2017） Ⅲ类标准要求。本次补充监测点位本项目厂区，各监测因子均能满足《地下水质量标准》（GB/T14848-2017）</w:t>
      </w:r>
      <w:r>
        <w:rPr>
          <w:rFonts w:hint="eastAsia"/>
          <w:bCs/>
          <w:color w:val="auto"/>
          <w:sz w:val="24"/>
          <w:szCs w:val="24"/>
          <w:lang w:bidi="en-US"/>
        </w:rPr>
        <w:fldChar w:fldCharType="begin"/>
      </w:r>
      <w:r>
        <w:rPr>
          <w:rFonts w:hint="eastAsia"/>
          <w:bCs/>
          <w:color w:val="auto"/>
          <w:sz w:val="24"/>
          <w:szCs w:val="24"/>
          <w:lang w:bidi="en-US"/>
        </w:rPr>
        <w:instrText xml:space="preserve"> = 3 \* ROMAN \* MERGEFORMAT </w:instrText>
      </w:r>
      <w:r>
        <w:rPr>
          <w:rFonts w:hint="eastAsia"/>
          <w:bCs/>
          <w:color w:val="auto"/>
          <w:sz w:val="24"/>
          <w:szCs w:val="24"/>
          <w:lang w:bidi="en-US"/>
        </w:rPr>
        <w:fldChar w:fldCharType="separate"/>
      </w:r>
      <w:r>
        <w:t>III</w:t>
      </w:r>
      <w:r>
        <w:rPr>
          <w:rFonts w:hint="eastAsia"/>
          <w:bCs/>
          <w:color w:val="auto"/>
          <w:sz w:val="24"/>
          <w:szCs w:val="24"/>
          <w:lang w:bidi="en-US"/>
        </w:rPr>
        <w:fldChar w:fldCharType="end"/>
      </w:r>
      <w:r>
        <w:rPr>
          <w:rFonts w:hint="eastAsia"/>
          <w:bCs/>
          <w:color w:val="auto"/>
          <w:sz w:val="24"/>
          <w:szCs w:val="24"/>
          <w:lang w:bidi="en-US"/>
        </w:rPr>
        <w:t>类标准要求。说明区域地下水质量较好。</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（6）</w:t>
      </w:r>
      <w:r>
        <w:rPr>
          <w:bCs/>
          <w:color w:val="auto"/>
          <w:sz w:val="24"/>
          <w:szCs w:val="24"/>
          <w:lang w:bidi="en-US"/>
        </w:rPr>
        <w:t>厂区内外各</w:t>
      </w:r>
      <w:r>
        <w:rPr>
          <w:rFonts w:hint="eastAsia"/>
          <w:bCs/>
          <w:color w:val="auto"/>
          <w:sz w:val="24"/>
          <w:szCs w:val="24"/>
          <w:lang w:eastAsia="zh-CN" w:bidi="en-US"/>
        </w:rPr>
        <w:t>土壤</w:t>
      </w:r>
      <w:r>
        <w:rPr>
          <w:bCs/>
          <w:color w:val="auto"/>
          <w:sz w:val="24"/>
          <w:szCs w:val="24"/>
          <w:lang w:bidi="en-US"/>
        </w:rPr>
        <w:t>监测点位监测因子的柱状样及表层样均能满足《土壤环境质量</w:t>
      </w:r>
      <w:r>
        <w:rPr>
          <w:rFonts w:hint="eastAsia"/>
          <w:bCs/>
          <w:color w:val="auto"/>
          <w:sz w:val="24"/>
          <w:szCs w:val="24"/>
          <w:lang w:val="en-US" w:eastAsia="zh-CN" w:bidi="en-US"/>
        </w:rPr>
        <w:t xml:space="preserve"> </w:t>
      </w:r>
      <w:r>
        <w:rPr>
          <w:bCs/>
          <w:color w:val="auto"/>
          <w:sz w:val="24"/>
          <w:szCs w:val="24"/>
          <w:lang w:bidi="en-US"/>
        </w:rPr>
        <w:t xml:space="preserve"> 建设用地土壤污染风险管控标准（试行）》（GB36600-2018）二级标准要求。</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（7）本项目</w:t>
      </w:r>
      <w:r>
        <w:rPr>
          <w:color w:val="auto"/>
          <w:kern w:val="21"/>
          <w:sz w:val="24"/>
          <w:szCs w:val="22"/>
        </w:rPr>
        <w:t>锅炉浓水、纯水制备浓水及生活污水</w:t>
      </w:r>
      <w:r>
        <w:rPr>
          <w:rFonts w:hint="eastAsia"/>
          <w:bCs/>
          <w:color w:val="auto"/>
          <w:sz w:val="24"/>
          <w:szCs w:val="24"/>
          <w:lang w:bidi="en-US"/>
        </w:rPr>
        <w:t>经厂区总排口排入同盟污水处理厂，经进一步处理后排入共产主义渠，</w:t>
      </w:r>
      <w:r>
        <w:rPr>
          <w:rFonts w:hint="eastAsia"/>
          <w:bCs/>
          <w:color w:val="auto"/>
          <w:sz w:val="24"/>
          <w:szCs w:val="24"/>
          <w:lang w:eastAsia="zh-CN" w:bidi="en-US"/>
        </w:rPr>
        <w:t>项目含</w:t>
      </w:r>
      <w:r>
        <w:rPr>
          <w:rFonts w:hint="eastAsia"/>
          <w:bCs/>
          <w:color w:val="auto"/>
          <w:sz w:val="24"/>
          <w:szCs w:val="24"/>
          <w:lang w:bidi="en-US"/>
        </w:rPr>
        <w:t>重废水</w:t>
      </w:r>
      <w:r>
        <w:rPr>
          <w:rFonts w:hint="eastAsia"/>
          <w:bCs/>
          <w:color w:val="auto"/>
          <w:sz w:val="24"/>
          <w:szCs w:val="24"/>
          <w:lang w:eastAsia="zh-CN" w:bidi="en-US"/>
        </w:rPr>
        <w:t>经厂区污水处理站</w:t>
      </w:r>
      <w:r>
        <w:rPr>
          <w:rFonts w:hint="eastAsia"/>
          <w:bCs/>
          <w:color w:val="auto"/>
          <w:sz w:val="24"/>
          <w:szCs w:val="24"/>
          <w:lang w:bidi="en-US"/>
        </w:rPr>
        <w:t>处理后全部回用，不外排。</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（8）项目厂址不在新乡市饮用水源保护区范围内。</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（9）项目厂址1km范围内暂未发现文物保护单位。</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3" w:name="_Toc17764_WPSOffice_Level2"/>
      <w:bookmarkStart w:id="14" w:name="_Toc112338923"/>
      <w:bookmarkStart w:id="15" w:name="_Toc24030"/>
      <w:bookmarkStart w:id="16" w:name="_Toc23866"/>
      <w:r>
        <w:rPr>
          <w:bCs w:val="0"/>
          <w:color w:val="auto"/>
          <w:kern w:val="0"/>
          <w:szCs w:val="20"/>
          <w:lang w:val="en-US"/>
        </w:rPr>
        <w:t>1.3环境影响评价的工作过程</w:t>
      </w:r>
      <w:bookmarkEnd w:id="13"/>
      <w:bookmarkEnd w:id="14"/>
      <w:bookmarkEnd w:id="15"/>
      <w:bookmarkEnd w:id="16"/>
    </w:p>
    <w:p>
      <w:pPr>
        <w:adjustRightInd w:val="0"/>
        <w:snapToGrid w:val="0"/>
        <w:spacing w:line="360" w:lineRule="auto"/>
        <w:ind w:firstLine="480" w:firstLineChars="200"/>
        <w:rPr>
          <w:bCs/>
          <w:color w:val="auto"/>
          <w:sz w:val="24"/>
          <w:szCs w:val="24"/>
          <w:lang w:bidi="en-US"/>
        </w:rPr>
      </w:pPr>
      <w:r>
        <w:rPr>
          <w:bCs/>
          <w:color w:val="auto"/>
          <w:sz w:val="24"/>
          <w:szCs w:val="24"/>
          <w:lang w:bidi="en-US"/>
        </w:rPr>
        <w:t>接受委托后</w:t>
      </w:r>
      <w:r>
        <w:rPr>
          <w:rFonts w:hint="eastAsia"/>
          <w:bCs/>
          <w:color w:val="auto"/>
          <w:sz w:val="24"/>
          <w:szCs w:val="24"/>
          <w:lang w:bidi="en-US"/>
        </w:rPr>
        <w:t>，</w:t>
      </w:r>
      <w:r>
        <w:rPr>
          <w:bCs/>
          <w:color w:val="auto"/>
          <w:sz w:val="24"/>
          <w:szCs w:val="24"/>
          <w:lang w:bidi="en-US"/>
        </w:rPr>
        <w:t>评价单位在多次实地踏勘、调研和收集分析资料的基础上，开展了该项目环境影响评价工作，评价工作中对厂址区域</w:t>
      </w:r>
      <w:r>
        <w:rPr>
          <w:rFonts w:hint="eastAsia"/>
          <w:bCs/>
          <w:color w:val="auto"/>
          <w:sz w:val="24"/>
          <w:szCs w:val="24"/>
          <w:lang w:eastAsia="zh-CN" w:bidi="en-US"/>
        </w:rPr>
        <w:t>大气环境</w:t>
      </w:r>
      <w:r>
        <w:rPr>
          <w:bCs/>
          <w:color w:val="auto"/>
          <w:sz w:val="24"/>
          <w:szCs w:val="24"/>
          <w:lang w:bidi="en-US"/>
        </w:rPr>
        <w:t>质量现状、地表水</w:t>
      </w:r>
      <w:r>
        <w:rPr>
          <w:rFonts w:hint="eastAsia"/>
          <w:bCs/>
          <w:color w:val="auto"/>
          <w:sz w:val="24"/>
          <w:szCs w:val="24"/>
          <w:lang w:eastAsia="zh-CN" w:bidi="en-US"/>
        </w:rPr>
        <w:t>环境</w:t>
      </w:r>
      <w:r>
        <w:rPr>
          <w:bCs/>
          <w:color w:val="auto"/>
          <w:sz w:val="24"/>
          <w:szCs w:val="24"/>
          <w:lang w:bidi="en-US"/>
        </w:rPr>
        <w:t>质量现状、地下水</w:t>
      </w:r>
      <w:r>
        <w:rPr>
          <w:rFonts w:hint="eastAsia"/>
          <w:bCs/>
          <w:color w:val="auto"/>
          <w:sz w:val="24"/>
          <w:szCs w:val="24"/>
          <w:lang w:eastAsia="zh-CN" w:bidi="en-US"/>
        </w:rPr>
        <w:t>环境</w:t>
      </w:r>
      <w:r>
        <w:rPr>
          <w:bCs/>
          <w:color w:val="auto"/>
          <w:sz w:val="24"/>
          <w:szCs w:val="24"/>
          <w:lang w:bidi="en-US"/>
        </w:rPr>
        <w:t>质量现状、土壤</w:t>
      </w:r>
      <w:r>
        <w:rPr>
          <w:rFonts w:hint="eastAsia"/>
          <w:bCs/>
          <w:color w:val="auto"/>
          <w:sz w:val="24"/>
          <w:szCs w:val="24"/>
          <w:lang w:eastAsia="zh-CN" w:bidi="en-US"/>
        </w:rPr>
        <w:t>环境质量现状及声环境质量现状</w:t>
      </w:r>
      <w:r>
        <w:rPr>
          <w:bCs/>
          <w:color w:val="auto"/>
          <w:sz w:val="24"/>
          <w:szCs w:val="24"/>
          <w:lang w:bidi="en-US"/>
        </w:rPr>
        <w:t>进行了调查和监测，对工程污染因素、污染防治措施、环境风险等进行了分析，编制完成了河南中能锂动有限公司《</w:t>
      </w:r>
      <w:r>
        <w:rPr>
          <w:rFonts w:hint="eastAsia"/>
          <w:bCs/>
          <w:color w:val="auto"/>
          <w:sz w:val="24"/>
          <w:szCs w:val="24"/>
          <w:lang w:bidi="en-US"/>
        </w:rPr>
        <w:t>年产79.2198亿只电池配件项目</w:t>
      </w:r>
      <w:r>
        <w:rPr>
          <w:bCs/>
          <w:color w:val="auto"/>
          <w:sz w:val="24"/>
          <w:szCs w:val="24"/>
          <w:lang w:bidi="en-US"/>
        </w:rPr>
        <w:t>环境影响报告书》，同时建设单位按照《环境影响评价公众参与办法》的相关程序和要求，组织开展了公众参与相关工作。</w:t>
      </w:r>
    </w:p>
    <w:p>
      <w:pPr>
        <w:adjustRightInd w:val="0"/>
        <w:snapToGrid w:val="0"/>
        <w:spacing w:line="360" w:lineRule="auto"/>
        <w:ind w:firstLine="480" w:firstLineChars="200"/>
        <w:rPr>
          <w:bCs/>
          <w:color w:val="auto"/>
          <w:sz w:val="24"/>
          <w:szCs w:val="24"/>
          <w:lang w:bidi="en-US"/>
        </w:rPr>
      </w:pPr>
      <w:r>
        <w:rPr>
          <w:bCs/>
          <w:color w:val="auto"/>
          <w:sz w:val="24"/>
          <w:szCs w:val="24"/>
          <w:lang w:bidi="en-US"/>
        </w:rPr>
        <w:t>根据《建设项目环境影响评价技术导则-总纲》（HJ2.1-2016）的要求，本项目的环境影响评价工作技术路线及工作程序见图1.3-1。</w:t>
      </w:r>
      <w:bookmarkStart w:id="17" w:name="_Toc5671"/>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pStyle w:val="43"/>
        <w:rPr>
          <w:bCs/>
          <w:color w:val="auto"/>
          <w:sz w:val="24"/>
          <w:szCs w:val="24"/>
          <w:lang w:bidi="en-US"/>
        </w:rPr>
      </w:pPr>
    </w:p>
    <w:p>
      <w:pPr>
        <w:adjustRightInd w:val="0"/>
        <w:snapToGrid w:val="0"/>
        <w:spacing w:line="360" w:lineRule="auto"/>
        <w:rPr>
          <w:rFonts w:eastAsia="黑体"/>
          <w:color w:val="auto"/>
          <w:kern w:val="21"/>
          <w:sz w:val="24"/>
        </w:rPr>
      </w:pPr>
      <w:r>
        <w:rPr>
          <w:rFonts w:eastAsia="黑体"/>
          <w:color w:val="auto"/>
          <w:kern w:val="21"/>
          <w:sz w:val="24"/>
        </w:rPr>
        <w:drawing>
          <wp:inline distT="0" distB="0" distL="0" distR="0">
            <wp:extent cx="5657850" cy="5410200"/>
            <wp:effectExtent l="0" t="0" r="0" b="0"/>
            <wp:docPr id="14" name="图片 1" descr="说明: 1513152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说明: 1513152820(1)"/>
                    <pic:cNvPicPr>
                      <a:picLocks noChangeAspect="1" noChangeArrowheads="1"/>
                    </pic:cNvPicPr>
                  </pic:nvPicPr>
                  <pic:blipFill>
                    <a:blip r:embed="rId44"/>
                    <a:srcRect/>
                    <a:stretch>
                      <a:fillRect/>
                    </a:stretch>
                  </pic:blipFill>
                  <pic:spPr>
                    <a:xfrm>
                      <a:off x="0" y="0"/>
                      <a:ext cx="5657850" cy="5410200"/>
                    </a:xfrm>
                    <a:prstGeom prst="rect">
                      <a:avLst/>
                    </a:prstGeom>
                    <a:noFill/>
                    <a:ln>
                      <a:noFill/>
                    </a:ln>
                  </pic:spPr>
                </pic:pic>
              </a:graphicData>
            </a:graphic>
          </wp:inline>
        </w:drawing>
      </w:r>
      <w:bookmarkEnd w:id="17"/>
    </w:p>
    <w:p>
      <w:pPr>
        <w:adjustRightInd w:val="0"/>
        <w:snapToGrid w:val="0"/>
        <w:spacing w:line="360" w:lineRule="auto"/>
        <w:jc w:val="center"/>
        <w:rPr>
          <w:rFonts w:eastAsia="黑体"/>
          <w:color w:val="auto"/>
          <w:kern w:val="21"/>
          <w:sz w:val="24"/>
          <w:szCs w:val="24"/>
        </w:rPr>
      </w:pPr>
      <w:r>
        <w:rPr>
          <w:rFonts w:eastAsia="黑体"/>
          <w:color w:val="auto"/>
          <w:kern w:val="21"/>
          <w:sz w:val="24"/>
          <w:szCs w:val="24"/>
        </w:rPr>
        <w:t>图1.3-1  环境影响评价工作技术路线及工作流程图</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8" w:name="_Toc15860"/>
      <w:bookmarkStart w:id="19" w:name="_Toc15458_WPSOffice_Level2"/>
      <w:bookmarkStart w:id="20" w:name="_Toc112338924"/>
      <w:bookmarkStart w:id="21" w:name="_Toc9010"/>
      <w:r>
        <w:rPr>
          <w:bCs w:val="0"/>
          <w:color w:val="auto"/>
          <w:kern w:val="0"/>
          <w:szCs w:val="20"/>
          <w:lang w:val="en-US"/>
        </w:rPr>
        <w:t>1.4分析判定情况</w:t>
      </w:r>
      <w:bookmarkEnd w:id="18"/>
      <w:bookmarkEnd w:id="19"/>
      <w:bookmarkEnd w:id="20"/>
    </w:p>
    <w:p>
      <w:pPr>
        <w:pStyle w:val="271"/>
        <w:keepNext w:val="0"/>
        <w:keepLines w:val="0"/>
        <w:snapToGrid w:val="0"/>
        <w:spacing w:before="0" w:beforeLines="0" w:after="0" w:afterLines="0"/>
        <w:rPr>
          <w:rFonts w:cs="Times New Roman"/>
          <w:color w:val="auto"/>
          <w:kern w:val="21"/>
          <w:sz w:val="28"/>
          <w:szCs w:val="28"/>
        </w:rPr>
      </w:pPr>
      <w:r>
        <w:rPr>
          <w:rFonts w:hint="eastAsia" w:cs="Times New Roman"/>
          <w:color w:val="auto"/>
          <w:kern w:val="21"/>
          <w:sz w:val="28"/>
          <w:szCs w:val="28"/>
        </w:rPr>
        <w:t>1.4.1</w:t>
      </w:r>
      <w:r>
        <w:rPr>
          <w:rFonts w:cs="Times New Roman"/>
          <w:color w:val="auto"/>
          <w:kern w:val="21"/>
          <w:sz w:val="28"/>
          <w:szCs w:val="28"/>
        </w:rPr>
        <w:t>产业政策及相关文件判定情况</w:t>
      </w:r>
    </w:p>
    <w:p>
      <w:pPr>
        <w:adjustRightInd w:val="0"/>
        <w:snapToGrid w:val="0"/>
        <w:spacing w:line="360" w:lineRule="auto"/>
        <w:ind w:firstLine="480" w:firstLineChars="200"/>
        <w:rPr>
          <w:bCs/>
          <w:color w:val="auto"/>
          <w:sz w:val="24"/>
          <w:szCs w:val="24"/>
          <w:lang w:bidi="en-US"/>
        </w:rPr>
      </w:pPr>
      <w:r>
        <w:rPr>
          <w:bCs/>
          <w:color w:val="auto"/>
          <w:sz w:val="24"/>
          <w:szCs w:val="24"/>
          <w:lang w:bidi="en-US"/>
        </w:rPr>
        <w:t>对照《产业结构调整指导目录﹙2019 年本﹚》，</w:t>
      </w:r>
      <w:r>
        <w:rPr>
          <w:rFonts w:hint="eastAsia"/>
          <w:bCs/>
          <w:color w:val="auto"/>
          <w:sz w:val="24"/>
          <w:szCs w:val="24"/>
          <w:lang w:eastAsia="zh-CN" w:bidi="en-US"/>
        </w:rPr>
        <w:t>本</w:t>
      </w:r>
      <w:r>
        <w:rPr>
          <w:bCs/>
          <w:color w:val="auto"/>
          <w:sz w:val="24"/>
          <w:szCs w:val="24"/>
          <w:lang w:bidi="en-US"/>
        </w:rPr>
        <w:t>项目不属于鼓励类、限制类、淘汰类，属于允许类</w:t>
      </w:r>
      <w:r>
        <w:rPr>
          <w:rFonts w:hint="eastAsia"/>
          <w:bCs/>
          <w:color w:val="auto"/>
          <w:sz w:val="24"/>
          <w:szCs w:val="24"/>
          <w:lang w:eastAsia="zh-CN" w:bidi="en-US"/>
        </w:rPr>
        <w:t>。本项目</w:t>
      </w:r>
      <w:r>
        <w:rPr>
          <w:bCs/>
          <w:color w:val="auto"/>
          <w:sz w:val="24"/>
          <w:szCs w:val="24"/>
          <w:lang w:bidi="en-US"/>
        </w:rPr>
        <w:t>于</w:t>
      </w:r>
      <w:r>
        <w:rPr>
          <w:rFonts w:hint="eastAsia"/>
          <w:bCs/>
          <w:color w:val="auto"/>
          <w:sz w:val="24"/>
          <w:szCs w:val="24"/>
          <w:lang w:bidi="en-US"/>
        </w:rPr>
        <w:t>2021</w:t>
      </w:r>
      <w:r>
        <w:rPr>
          <w:bCs/>
          <w:color w:val="auto"/>
          <w:sz w:val="24"/>
          <w:szCs w:val="24"/>
          <w:lang w:bidi="en-US"/>
        </w:rPr>
        <w:t xml:space="preserve">年 </w:t>
      </w:r>
      <w:r>
        <w:rPr>
          <w:rFonts w:hint="eastAsia"/>
          <w:bCs/>
          <w:color w:val="auto"/>
          <w:sz w:val="24"/>
          <w:szCs w:val="24"/>
          <w:lang w:bidi="en-US"/>
        </w:rPr>
        <w:t>8</w:t>
      </w:r>
      <w:r>
        <w:rPr>
          <w:bCs/>
          <w:color w:val="auto"/>
          <w:sz w:val="24"/>
          <w:szCs w:val="24"/>
          <w:lang w:bidi="en-US"/>
        </w:rPr>
        <w:t xml:space="preserve"> 月 </w:t>
      </w:r>
      <w:r>
        <w:rPr>
          <w:rFonts w:hint="eastAsia"/>
          <w:bCs/>
          <w:color w:val="auto"/>
          <w:sz w:val="24"/>
          <w:szCs w:val="24"/>
          <w:lang w:bidi="en-US"/>
        </w:rPr>
        <w:t>31</w:t>
      </w:r>
      <w:r>
        <w:rPr>
          <w:bCs/>
          <w:color w:val="auto"/>
          <w:sz w:val="24"/>
          <w:szCs w:val="24"/>
          <w:lang w:bidi="en-US"/>
        </w:rPr>
        <w:t>日在</w:t>
      </w:r>
      <w:r>
        <w:rPr>
          <w:rFonts w:hint="eastAsia"/>
          <w:bCs/>
          <w:color w:val="auto"/>
          <w:sz w:val="24"/>
          <w:szCs w:val="24"/>
          <w:lang w:bidi="en-US"/>
        </w:rPr>
        <w:t>获嘉县</w:t>
      </w:r>
      <w:r>
        <w:rPr>
          <w:bCs/>
          <w:color w:val="auto"/>
          <w:sz w:val="24"/>
          <w:szCs w:val="24"/>
          <w:lang w:bidi="en-US"/>
        </w:rPr>
        <w:t>发展和改革委员会备案（项目代码：）</w:t>
      </w:r>
      <w:r>
        <w:rPr>
          <w:rFonts w:hint="eastAsia"/>
          <w:bCs/>
          <w:color w:val="auto"/>
          <w:sz w:val="24"/>
          <w:szCs w:val="24"/>
          <w:lang w:eastAsia="zh-CN" w:bidi="en-US"/>
        </w:rPr>
        <w:t>，因此</w:t>
      </w:r>
      <w:r>
        <w:rPr>
          <w:bCs/>
          <w:color w:val="auto"/>
          <w:sz w:val="24"/>
          <w:szCs w:val="24"/>
          <w:lang w:bidi="en-US"/>
        </w:rPr>
        <w:t>项目</w:t>
      </w:r>
      <w:r>
        <w:rPr>
          <w:rFonts w:hint="eastAsia"/>
          <w:bCs/>
          <w:color w:val="auto"/>
          <w:sz w:val="24"/>
          <w:szCs w:val="24"/>
          <w:lang w:eastAsia="zh-CN" w:bidi="en-US"/>
        </w:rPr>
        <w:t>的</w:t>
      </w:r>
      <w:r>
        <w:rPr>
          <w:bCs/>
          <w:color w:val="auto"/>
          <w:sz w:val="24"/>
          <w:szCs w:val="24"/>
          <w:lang w:bidi="en-US"/>
        </w:rPr>
        <w:t>建设符合国家</w:t>
      </w:r>
      <w:r>
        <w:rPr>
          <w:rFonts w:hint="eastAsia"/>
          <w:bCs/>
          <w:color w:val="auto"/>
          <w:sz w:val="24"/>
          <w:szCs w:val="24"/>
          <w:lang w:eastAsia="zh-CN" w:bidi="en-US"/>
        </w:rPr>
        <w:t>相关</w:t>
      </w:r>
      <w:r>
        <w:rPr>
          <w:bCs/>
          <w:color w:val="auto"/>
          <w:sz w:val="24"/>
          <w:szCs w:val="24"/>
          <w:lang w:bidi="en-US"/>
        </w:rPr>
        <w:t>产业政策。</w:t>
      </w:r>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项目建设符合</w:t>
      </w:r>
      <w:r>
        <w:rPr>
          <w:rFonts w:ascii="宋体" w:hAnsi="宋体" w:cs="宋体"/>
          <w:color w:val="auto"/>
          <w:kern w:val="21"/>
          <w:sz w:val="24"/>
          <w:szCs w:val="24"/>
        </w:rPr>
        <w:t>《关于加强涉重金属行业污染防控的意见》（环土壤</w:t>
      </w:r>
      <w:r>
        <w:rPr>
          <w:rFonts w:hint="eastAsia" w:ascii="宋体" w:hAnsi="宋体" w:cs="宋体"/>
          <w:color w:val="auto"/>
          <w:kern w:val="21"/>
          <w:sz w:val="24"/>
          <w:szCs w:val="24"/>
          <w:lang w:val="en-US" w:eastAsia="zh-CN"/>
        </w:rPr>
        <w:t>[</w:t>
      </w:r>
      <w:r>
        <w:rPr>
          <w:rFonts w:eastAsia="Times New Roman"/>
          <w:color w:val="auto"/>
          <w:kern w:val="21"/>
          <w:sz w:val="24"/>
          <w:szCs w:val="24"/>
        </w:rPr>
        <w:t>2018]22</w:t>
      </w:r>
      <w:r>
        <w:rPr>
          <w:rFonts w:hint="eastAsia"/>
          <w:bCs/>
          <w:color w:val="auto"/>
          <w:sz w:val="24"/>
          <w:szCs w:val="24"/>
          <w:lang w:bidi="en-US"/>
        </w:rPr>
        <w:t>号）、《重点区域2021-2022年秋冬季大气污染综合治理攻坚方案</w:t>
      </w:r>
      <w:r>
        <w:rPr>
          <w:rFonts w:hint="eastAsia"/>
          <w:bCs/>
          <w:color w:val="auto"/>
          <w:sz w:val="24"/>
          <w:szCs w:val="24"/>
          <w:lang w:eastAsia="zh-CN" w:bidi="en-US"/>
        </w:rPr>
        <w:t>》《</w:t>
      </w:r>
      <w:r>
        <w:rPr>
          <w:rFonts w:hint="eastAsia"/>
          <w:bCs/>
          <w:color w:val="auto"/>
          <w:sz w:val="24"/>
          <w:szCs w:val="24"/>
          <w:lang w:bidi="en-US"/>
        </w:rPr>
        <w:t>河南省涉重金属重点行业污染防控工作方案》（豫环文（2018）262号</w:t>
      </w:r>
      <w:r>
        <w:rPr>
          <w:rFonts w:hint="eastAsia"/>
          <w:bCs/>
          <w:color w:val="auto"/>
          <w:sz w:val="24"/>
          <w:szCs w:val="24"/>
          <w:lang w:eastAsia="zh-CN" w:bidi="en-US"/>
        </w:rPr>
        <w:t>）</w:t>
      </w:r>
      <w:r>
        <w:rPr>
          <w:rFonts w:hint="eastAsia"/>
          <w:bCs/>
          <w:color w:val="auto"/>
          <w:sz w:val="24"/>
          <w:szCs w:val="24"/>
          <w:lang w:bidi="en-US"/>
        </w:rPr>
        <w:t>、《关于进一步加强重金属污染防控的意见》（环固体【2022】17号）</w:t>
      </w:r>
      <w:r>
        <w:rPr>
          <w:rFonts w:hint="eastAsia"/>
          <w:bCs/>
          <w:color w:val="auto"/>
          <w:sz w:val="24"/>
          <w:szCs w:val="24"/>
          <w:lang w:eastAsia="zh-CN" w:bidi="en-US"/>
        </w:rPr>
        <w:t>、</w:t>
      </w:r>
      <w:r>
        <w:rPr>
          <w:rFonts w:hint="eastAsia"/>
          <w:bCs/>
          <w:color w:val="auto"/>
          <w:sz w:val="24"/>
          <w:szCs w:val="24"/>
          <w:lang w:bidi="en-US"/>
        </w:rPr>
        <w:t>《河南省进一步加强重金属污染防控工作方案的通知》（豫环文[2022]90号）、《关于建立“两高”项目会商联审机制的通知》（豫发改环资[2021]977 号）、《关于印发河南省重金属污染防治工作指导意见的通知》（豫环文[2017]277号）、《河南省重污染天气重点行业应急减排措施制定技术指南（2021）年修订</w:t>
      </w:r>
      <w:r>
        <w:rPr>
          <w:rFonts w:hint="eastAsia"/>
          <w:bCs/>
          <w:color w:val="auto"/>
          <w:sz w:val="24"/>
          <w:szCs w:val="24"/>
          <w:lang w:eastAsia="zh-CN" w:bidi="en-US"/>
        </w:rPr>
        <w:t>》、《</w:t>
      </w:r>
      <w:r>
        <w:rPr>
          <w:rFonts w:hint="eastAsia"/>
          <w:bCs/>
          <w:color w:val="auto"/>
          <w:sz w:val="24"/>
          <w:szCs w:val="24"/>
          <w:lang w:bidi="en-US"/>
        </w:rPr>
        <w:t>关于印发河南省“十四五”生态环境保护和生态经济发展规划的通知》（豫政[2021]44 号）、《新乡市“十四五”生态环境保护和生态经济发展规划》、《关于印发新乡市2019年工业企业无组织排放治理方案的通知》、《新乡市2022年大气、水、土壤污染防治攻坚战及农业农村污染治理攻坚战实施方案》（新环攻坚办〔2022〕60号）、《新乡市“十四五”重金属污染防治工作方案》（新环[2022]110号）</w:t>
      </w:r>
      <w:r>
        <w:rPr>
          <w:rFonts w:hint="eastAsia"/>
          <w:color w:val="auto"/>
          <w:kern w:val="21"/>
          <w:sz w:val="24"/>
          <w:szCs w:val="24"/>
        </w:rPr>
        <w:t>、</w:t>
      </w:r>
      <w:r>
        <w:rPr>
          <w:color w:val="auto"/>
          <w:kern w:val="21"/>
          <w:sz w:val="24"/>
          <w:szCs w:val="24"/>
        </w:rPr>
        <w:t>《河南省电镀建设项目环境影响评价文件审查审批原则（修订）》</w:t>
      </w:r>
      <w:r>
        <w:rPr>
          <w:bCs/>
          <w:color w:val="auto"/>
          <w:sz w:val="24"/>
          <w:szCs w:val="24"/>
          <w:lang w:bidi="en-US"/>
        </w:rPr>
        <w:t>及河南省、新乡市</w:t>
      </w:r>
      <w:r>
        <w:rPr>
          <w:rFonts w:asciiTheme="minorEastAsia" w:hAnsiTheme="minorEastAsia" w:eastAsiaTheme="minorEastAsia"/>
          <w:bCs/>
          <w:color w:val="auto"/>
          <w:sz w:val="24"/>
          <w:szCs w:val="24"/>
          <w:lang w:bidi="en-US"/>
        </w:rPr>
        <w:t>“</w:t>
      </w:r>
      <w:r>
        <w:rPr>
          <w:bCs/>
          <w:color w:val="auto"/>
          <w:sz w:val="24"/>
          <w:szCs w:val="24"/>
          <w:lang w:bidi="en-US"/>
        </w:rPr>
        <w:t>三线一单</w:t>
      </w:r>
      <w:r>
        <w:rPr>
          <w:rFonts w:asciiTheme="minorEastAsia" w:hAnsiTheme="minorEastAsia" w:eastAsiaTheme="minorEastAsia"/>
          <w:bCs/>
          <w:color w:val="auto"/>
          <w:sz w:val="24"/>
          <w:szCs w:val="24"/>
          <w:lang w:bidi="en-US"/>
        </w:rPr>
        <w:t>”</w:t>
      </w:r>
      <w:r>
        <w:rPr>
          <w:bCs/>
          <w:color w:val="auto"/>
          <w:sz w:val="24"/>
          <w:szCs w:val="24"/>
          <w:lang w:bidi="en-US"/>
        </w:rPr>
        <w:t>管控要求。</w:t>
      </w:r>
    </w:p>
    <w:p>
      <w:pPr>
        <w:pStyle w:val="271"/>
        <w:keepNext w:val="0"/>
        <w:keepLines w:val="0"/>
        <w:snapToGrid w:val="0"/>
        <w:spacing w:before="0" w:beforeLines="0" w:after="0" w:afterLines="0"/>
        <w:rPr>
          <w:rFonts w:cs="Times New Roman"/>
          <w:color w:val="auto"/>
          <w:kern w:val="21"/>
          <w:sz w:val="28"/>
          <w:szCs w:val="28"/>
        </w:rPr>
      </w:pPr>
      <w:r>
        <w:rPr>
          <w:rFonts w:hint="eastAsia" w:cs="Times New Roman"/>
          <w:color w:val="auto"/>
          <w:kern w:val="21"/>
          <w:sz w:val="28"/>
          <w:szCs w:val="28"/>
        </w:rPr>
        <w:t>1.4.2相关规划及规划环评</w:t>
      </w:r>
      <w:r>
        <w:rPr>
          <w:rFonts w:cs="Times New Roman"/>
          <w:color w:val="auto"/>
          <w:kern w:val="21"/>
          <w:sz w:val="28"/>
          <w:szCs w:val="28"/>
        </w:rPr>
        <w:t>判定情况</w:t>
      </w:r>
    </w:p>
    <w:p>
      <w:pPr>
        <w:autoSpaceDE w:val="0"/>
        <w:autoSpaceDN w:val="0"/>
        <w:spacing w:line="360" w:lineRule="auto"/>
        <w:ind w:firstLine="480" w:firstLineChars="200"/>
        <w:rPr>
          <w:rFonts w:ascii="宋体" w:hAnsi="宋体" w:cs="宋体"/>
          <w:color w:val="auto"/>
          <w:kern w:val="0"/>
          <w:sz w:val="24"/>
          <w:szCs w:val="24"/>
          <w:lang w:val="zh-CN" w:bidi="zh-CN"/>
        </w:rPr>
      </w:pPr>
      <w:r>
        <w:rPr>
          <w:rFonts w:hint="eastAsia" w:ascii="宋体" w:hAnsi="宋体" w:cs="宋体"/>
          <w:color w:val="auto"/>
          <w:kern w:val="0"/>
          <w:sz w:val="24"/>
          <w:szCs w:val="24"/>
          <w:lang w:val="zh-CN" w:bidi="zh-CN"/>
        </w:rPr>
        <w:t>拟建项目位于获嘉县产业集聚区北区城东片区安王路与梧桐路交叉口西北角</w:t>
      </w:r>
      <w:r>
        <w:rPr>
          <w:color w:val="auto"/>
          <w:kern w:val="0"/>
          <w:sz w:val="24"/>
          <w:szCs w:val="24"/>
          <w:lang w:val="zh-CN" w:bidi="zh-CN"/>
        </w:rPr>
        <w:t>，所在园区的《获嘉县产业集聚区总体发展规划（2016-2020）调整方案环境影响报告书》于2019年通过</w:t>
      </w:r>
      <w:r>
        <w:rPr>
          <w:color w:val="auto"/>
          <w:kern w:val="21"/>
          <w:sz w:val="24"/>
        </w:rPr>
        <w:t>河南省生态环境厅</w:t>
      </w:r>
      <w:r>
        <w:rPr>
          <w:color w:val="auto"/>
          <w:kern w:val="0"/>
          <w:sz w:val="24"/>
          <w:szCs w:val="24"/>
          <w:lang w:val="zh-CN" w:bidi="zh-CN"/>
        </w:rPr>
        <w:t>的审查，审查意见文号：豫环函[2019]53号。</w:t>
      </w:r>
    </w:p>
    <w:p>
      <w:pPr>
        <w:autoSpaceDE w:val="0"/>
        <w:autoSpaceDN w:val="0"/>
        <w:spacing w:line="360" w:lineRule="auto"/>
        <w:ind w:firstLine="480" w:firstLineChars="200"/>
        <w:rPr>
          <w:rFonts w:ascii="宋体" w:hAnsi="宋体" w:cs="宋体"/>
          <w:color w:val="auto"/>
          <w:kern w:val="0"/>
          <w:sz w:val="24"/>
          <w:szCs w:val="24"/>
          <w:highlight w:val="yellow"/>
          <w:lang w:val="zh-CN" w:bidi="zh-CN"/>
        </w:rPr>
      </w:pPr>
      <w:r>
        <w:rPr>
          <w:rFonts w:hint="eastAsia" w:ascii="宋体" w:hAnsi="宋体" w:cs="宋体"/>
          <w:color w:val="auto"/>
          <w:kern w:val="0"/>
          <w:sz w:val="24"/>
          <w:szCs w:val="24"/>
          <w:lang w:val="zh-CN" w:bidi="zh-CN"/>
        </w:rPr>
        <w:t>根据已经审查的规划环评可知，该园区功能定位是：“新焦济</w:t>
      </w:r>
      <w:r>
        <w:rPr>
          <w:rFonts w:hint="eastAsia" w:ascii="宋体" w:hAnsi="宋体" w:cs="宋体"/>
          <w:color w:val="auto"/>
          <w:kern w:val="0"/>
          <w:sz w:val="24"/>
          <w:szCs w:val="24"/>
          <w:lang w:val="en-US" w:bidi="zh-CN"/>
        </w:rPr>
        <w:t>-</w:t>
      </w:r>
      <w:r>
        <w:rPr>
          <w:rFonts w:hint="eastAsia" w:ascii="宋体" w:hAnsi="宋体" w:cs="宋体"/>
          <w:color w:val="auto"/>
          <w:kern w:val="0"/>
          <w:sz w:val="24"/>
          <w:szCs w:val="24"/>
          <w:lang w:val="zh-CN" w:bidi="zh-CN"/>
        </w:rPr>
        <w:t>豫北工业走廊”上强有力的支撑点；新乡市都市区现代化建设先行区的重要经济增长极，我国中部地区的煤化工产业自主创新技术示范基地；获嘉县实现跨越式发展、带动县域经济快速发展和城乡一体化的先导区；获嘉县中心城市功能的重要组成部分，以煤化工、机械装备制造为主导的产业集聚区。</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拟建项目</w:t>
      </w:r>
      <w:r>
        <w:rPr>
          <w:rFonts w:hint="eastAsia"/>
          <w:bCs/>
          <w:color w:val="auto"/>
          <w:kern w:val="21"/>
          <w:sz w:val="24"/>
        </w:rPr>
        <w:t>位于获嘉县产业集聚区的城东片区，属二类工业项目</w:t>
      </w:r>
      <w:r>
        <w:rPr>
          <w:rFonts w:hint="eastAsia"/>
          <w:bCs/>
          <w:color w:val="auto"/>
          <w:kern w:val="21"/>
          <w:sz w:val="24"/>
          <w:lang w:eastAsia="zh-CN"/>
        </w:rPr>
        <w:t>，</w:t>
      </w:r>
      <w:r>
        <w:rPr>
          <w:rFonts w:hint="eastAsia"/>
          <w:color w:val="auto"/>
          <w:kern w:val="0"/>
          <w:sz w:val="24"/>
          <w:szCs w:val="20"/>
        </w:rPr>
        <w:t>根据《获嘉县产业集聚区总体发展规划（2016~2020）》北部产业空间布局图</w:t>
      </w:r>
      <w:r>
        <w:rPr>
          <w:rFonts w:hint="eastAsia"/>
          <w:color w:val="auto"/>
          <w:kern w:val="0"/>
          <w:sz w:val="24"/>
          <w:szCs w:val="20"/>
          <w:lang w:eastAsia="zh-CN"/>
        </w:rPr>
        <w:t>可知，项目占地规划为二类工业用地</w:t>
      </w:r>
      <w:r>
        <w:rPr>
          <w:rFonts w:hint="eastAsia"/>
          <w:bCs/>
          <w:color w:val="auto"/>
          <w:kern w:val="21"/>
          <w:sz w:val="24"/>
        </w:rPr>
        <w:t>，</w:t>
      </w:r>
      <w:r>
        <w:rPr>
          <w:rFonts w:hint="eastAsia"/>
          <w:bCs/>
          <w:color w:val="auto"/>
          <w:kern w:val="21"/>
          <w:sz w:val="24"/>
          <w:lang w:eastAsia="zh-CN"/>
        </w:rPr>
        <w:t>根据项目</w:t>
      </w:r>
      <w:r>
        <w:rPr>
          <w:rFonts w:hint="eastAsia"/>
          <w:bCs/>
          <w:color w:val="auto"/>
          <w:kern w:val="21"/>
          <w:sz w:val="24"/>
        </w:rPr>
        <w:t>入驻</w:t>
      </w:r>
      <w:r>
        <w:rPr>
          <w:rFonts w:hint="eastAsia"/>
          <w:bCs/>
          <w:color w:val="auto"/>
          <w:kern w:val="21"/>
          <w:sz w:val="24"/>
          <w:lang w:eastAsia="zh-CN"/>
        </w:rPr>
        <w:t>产业集聚区的</w:t>
      </w:r>
      <w:r>
        <w:rPr>
          <w:rFonts w:hint="eastAsia"/>
          <w:bCs/>
          <w:color w:val="auto"/>
          <w:kern w:val="21"/>
          <w:sz w:val="24"/>
        </w:rPr>
        <w:t>证明</w:t>
      </w:r>
      <w:r>
        <w:rPr>
          <w:rFonts w:hint="eastAsia"/>
          <w:bCs/>
          <w:color w:val="auto"/>
          <w:kern w:val="21"/>
          <w:sz w:val="24"/>
          <w:lang w:eastAsia="zh-CN"/>
        </w:rPr>
        <w:t>（附件</w:t>
      </w:r>
      <w:r>
        <w:rPr>
          <w:rFonts w:hint="eastAsia"/>
          <w:bCs/>
          <w:color w:val="auto"/>
          <w:kern w:val="21"/>
          <w:sz w:val="24"/>
          <w:lang w:val="en-US" w:eastAsia="zh-CN"/>
        </w:rPr>
        <w:t>3</w:t>
      </w:r>
      <w:r>
        <w:rPr>
          <w:rFonts w:hint="eastAsia"/>
          <w:bCs/>
          <w:color w:val="auto"/>
          <w:kern w:val="21"/>
          <w:sz w:val="24"/>
          <w:lang w:eastAsia="zh-CN"/>
        </w:rPr>
        <w:t>）</w:t>
      </w:r>
      <w:r>
        <w:rPr>
          <w:rFonts w:hint="eastAsia"/>
          <w:bCs/>
          <w:color w:val="auto"/>
          <w:kern w:val="21"/>
          <w:sz w:val="24"/>
        </w:rPr>
        <w:t>可知，项目选址符合获嘉县产业集聚区相关规划</w:t>
      </w:r>
      <w:r>
        <w:rPr>
          <w:rFonts w:hint="eastAsia"/>
          <w:color w:val="auto"/>
          <w:kern w:val="0"/>
          <w:sz w:val="24"/>
          <w:szCs w:val="20"/>
        </w:rPr>
        <w:t>。</w:t>
      </w:r>
    </w:p>
    <w:p>
      <w:pPr>
        <w:adjustRightInd w:val="0"/>
        <w:snapToGrid w:val="0"/>
        <w:spacing w:line="360" w:lineRule="auto"/>
        <w:ind w:firstLine="480" w:firstLineChars="200"/>
        <w:rPr>
          <w:bCs/>
          <w:color w:val="auto"/>
          <w:sz w:val="24"/>
          <w:szCs w:val="24"/>
          <w:lang w:bidi="en-US"/>
        </w:rPr>
      </w:pPr>
      <w:r>
        <w:rPr>
          <w:bCs/>
          <w:color w:val="auto"/>
          <w:sz w:val="24"/>
          <w:szCs w:val="24"/>
          <w:lang w:bidi="en-US"/>
        </w:rPr>
        <w:t>本项目不在</w:t>
      </w:r>
      <w:r>
        <w:rPr>
          <w:rFonts w:hint="eastAsia"/>
          <w:bCs/>
          <w:color w:val="auto"/>
          <w:sz w:val="24"/>
          <w:szCs w:val="24"/>
          <w:lang w:bidi="en-US"/>
        </w:rPr>
        <w:t>《</w:t>
      </w:r>
      <w:r>
        <w:rPr>
          <w:bCs/>
          <w:color w:val="auto"/>
          <w:sz w:val="24"/>
          <w:szCs w:val="24"/>
          <w:lang w:bidi="en-US"/>
        </w:rPr>
        <w:t>河南省人民政府办公厅关于印发河南省县级集中式饮用水水源保护区划的通知</w:t>
      </w:r>
      <w:r>
        <w:rPr>
          <w:rFonts w:hint="eastAsia"/>
          <w:bCs/>
          <w:color w:val="auto"/>
          <w:sz w:val="24"/>
          <w:szCs w:val="24"/>
          <w:lang w:bidi="en-US"/>
        </w:rPr>
        <w:t>》</w:t>
      </w:r>
      <w:r>
        <w:rPr>
          <w:bCs/>
          <w:color w:val="auto"/>
          <w:sz w:val="24"/>
          <w:szCs w:val="24"/>
          <w:lang w:bidi="en-US"/>
        </w:rPr>
        <w:t>（豫政办〔2013〕107号）、《新乡市城市饮用水水源地保护区划分报告》（2007.5）和《河南省乡镇集中式饮用水水源保护区划》（豫政办[2016]23 号）等规划的饮用水</w:t>
      </w:r>
      <w:r>
        <w:rPr>
          <w:bCs/>
          <w:color w:val="auto"/>
          <w:sz w:val="24"/>
          <w:szCs w:val="24"/>
          <w:highlight w:val="none"/>
          <w:lang w:bidi="en-US"/>
        </w:rPr>
        <w:t>源保护区范围内。</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22" w:name="_Toc16931"/>
      <w:bookmarkStart w:id="23" w:name="_Toc1622_WPSOffice_Level2"/>
      <w:bookmarkStart w:id="24" w:name="_Toc112338925"/>
      <w:r>
        <w:rPr>
          <w:bCs w:val="0"/>
          <w:color w:val="auto"/>
          <w:kern w:val="0"/>
          <w:szCs w:val="20"/>
          <w:lang w:val="en-US"/>
        </w:rPr>
        <w:t>1.5关注的环境问题</w:t>
      </w:r>
      <w:bookmarkEnd w:id="21"/>
      <w:r>
        <w:rPr>
          <w:bCs w:val="0"/>
          <w:color w:val="auto"/>
          <w:kern w:val="0"/>
          <w:szCs w:val="20"/>
          <w:lang w:val="en-US"/>
        </w:rPr>
        <w:t>及环境影响</w:t>
      </w:r>
      <w:bookmarkEnd w:id="22"/>
      <w:bookmarkEnd w:id="23"/>
      <w:bookmarkEnd w:id="24"/>
    </w:p>
    <w:p>
      <w:pPr>
        <w:pStyle w:val="271"/>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cs="Times New Roman"/>
          <w:color w:val="auto"/>
          <w:kern w:val="21"/>
          <w:sz w:val="28"/>
          <w:szCs w:val="28"/>
        </w:rPr>
      </w:pPr>
      <w:r>
        <w:rPr>
          <w:rFonts w:hint="eastAsia" w:cs="Times New Roman"/>
          <w:color w:val="auto"/>
          <w:kern w:val="21"/>
          <w:sz w:val="28"/>
          <w:szCs w:val="28"/>
        </w:rPr>
        <w:t>1.5.1</w:t>
      </w:r>
      <w:r>
        <w:rPr>
          <w:rFonts w:cs="Times New Roman"/>
          <w:color w:val="auto"/>
          <w:kern w:val="21"/>
          <w:sz w:val="28"/>
          <w:szCs w:val="28"/>
        </w:rPr>
        <w:t>主要关注的环境问题</w:t>
      </w:r>
    </w:p>
    <w:p>
      <w:pPr>
        <w:autoSpaceDE w:val="0"/>
        <w:autoSpaceDN w:val="0"/>
        <w:spacing w:line="360" w:lineRule="auto"/>
        <w:ind w:firstLine="480" w:firstLineChars="200"/>
        <w:rPr>
          <w:rFonts w:ascii="宋体" w:hAnsi="宋体" w:cs="宋体"/>
          <w:color w:val="auto"/>
          <w:kern w:val="0"/>
          <w:sz w:val="24"/>
          <w:szCs w:val="24"/>
          <w:lang w:val="zh-CN" w:bidi="zh-CN"/>
        </w:rPr>
      </w:pPr>
      <w:r>
        <w:rPr>
          <w:rFonts w:ascii="宋体" w:hAnsi="宋体" w:cs="宋体"/>
          <w:color w:val="auto"/>
          <w:kern w:val="0"/>
          <w:sz w:val="24"/>
          <w:szCs w:val="24"/>
          <w:lang w:val="zh-CN" w:bidi="zh-CN"/>
        </w:rPr>
        <w:t>结合项目工程特点和环境</w:t>
      </w:r>
      <w:r>
        <w:rPr>
          <w:rFonts w:hint="eastAsia" w:ascii="宋体" w:hAnsi="宋体" w:cs="宋体"/>
          <w:color w:val="auto"/>
          <w:kern w:val="0"/>
          <w:sz w:val="24"/>
          <w:szCs w:val="24"/>
          <w:lang w:val="zh-CN" w:bidi="zh-CN"/>
        </w:rPr>
        <w:t>特征</w:t>
      </w:r>
      <w:r>
        <w:rPr>
          <w:rFonts w:ascii="宋体" w:hAnsi="宋体" w:cs="宋体"/>
          <w:color w:val="auto"/>
          <w:kern w:val="0"/>
          <w:sz w:val="24"/>
          <w:szCs w:val="24"/>
          <w:lang w:val="zh-CN" w:bidi="zh-CN"/>
        </w:rPr>
        <w:t>，本次环评工作应重点关注以下环境问题：</w:t>
      </w:r>
    </w:p>
    <w:p>
      <w:pPr>
        <w:tabs>
          <w:tab w:val="left" w:pos="1371"/>
        </w:tabs>
        <w:autoSpaceDE w:val="0"/>
        <w:autoSpaceDN w:val="0"/>
        <w:spacing w:line="360" w:lineRule="auto"/>
        <w:ind w:firstLine="476" w:firstLineChars="200"/>
        <w:rPr>
          <w:rFonts w:ascii="宋体" w:hAnsi="宋体" w:cs="宋体"/>
          <w:color w:val="auto"/>
          <w:kern w:val="0"/>
          <w:sz w:val="24"/>
          <w:lang w:val="zh-CN" w:bidi="zh-CN"/>
        </w:rPr>
      </w:pPr>
      <w:r>
        <w:rPr>
          <w:rFonts w:hint="eastAsia" w:ascii="宋体" w:hAnsi="宋体" w:cs="宋体"/>
          <w:color w:val="auto"/>
          <w:spacing w:val="-1"/>
          <w:kern w:val="0"/>
          <w:sz w:val="24"/>
          <w:lang w:val="zh-CN" w:bidi="zh-CN"/>
        </w:rPr>
        <w:t>（1）</w:t>
      </w:r>
      <w:r>
        <w:rPr>
          <w:rFonts w:ascii="宋体" w:hAnsi="宋体" w:cs="宋体"/>
          <w:color w:val="auto"/>
          <w:spacing w:val="-1"/>
          <w:kern w:val="0"/>
          <w:sz w:val="24"/>
          <w:lang w:val="zh-CN" w:bidi="zh-CN"/>
        </w:rPr>
        <w:t>根据新乡市环境空气质量监测站发布的长期监测数据，</w:t>
      </w:r>
      <w:r>
        <w:rPr>
          <w:rFonts w:hint="eastAsia" w:hAnsi="宋体" w:cs="宋体"/>
          <w:color w:val="auto"/>
          <w:spacing w:val="-9"/>
          <w:kern w:val="0"/>
          <w:sz w:val="24"/>
          <w:lang w:val="en-US" w:bidi="zh-CN"/>
        </w:rPr>
        <w:t>2022</w:t>
      </w:r>
      <w:r>
        <w:rPr>
          <w:rFonts w:ascii="宋体" w:hAnsi="宋体" w:cs="宋体"/>
          <w:color w:val="auto"/>
          <w:kern w:val="0"/>
          <w:sz w:val="24"/>
          <w:lang w:val="zh-CN" w:bidi="zh-CN"/>
        </w:rPr>
        <w:t>年新乡市六</w:t>
      </w:r>
      <w:r>
        <w:rPr>
          <w:rFonts w:ascii="宋体" w:hAnsi="宋体" w:cs="宋体"/>
          <w:color w:val="auto"/>
          <w:spacing w:val="-4"/>
          <w:kern w:val="0"/>
          <w:sz w:val="24"/>
          <w:lang w:val="zh-CN" w:bidi="zh-CN"/>
        </w:rPr>
        <w:t>项污染物并未全部达标，所以判定本项目所在区域为不达标区。本次评价监测污染物</w:t>
      </w:r>
      <w:r>
        <w:rPr>
          <w:rFonts w:hint="eastAsia" w:hAnsi="宋体" w:cs="宋体"/>
          <w:color w:val="auto"/>
          <w:kern w:val="0"/>
          <w:position w:val="2"/>
          <w:sz w:val="24"/>
          <w:lang w:val="zh-CN" w:bidi="zh-CN"/>
        </w:rPr>
        <w:t>HCL</w:t>
      </w:r>
      <w:r>
        <w:rPr>
          <w:rFonts w:ascii="宋体" w:hAnsi="宋体" w:cs="宋体"/>
          <w:color w:val="auto"/>
          <w:kern w:val="0"/>
          <w:position w:val="2"/>
          <w:sz w:val="24"/>
          <w:lang w:val="zh-CN" w:bidi="zh-CN"/>
        </w:rPr>
        <w:t>、</w:t>
      </w:r>
      <w:r>
        <w:rPr>
          <w:rFonts w:hint="eastAsia" w:hAnsi="宋体" w:cs="宋体"/>
          <w:color w:val="auto"/>
          <w:kern w:val="0"/>
          <w:position w:val="2"/>
          <w:sz w:val="24"/>
          <w:lang w:val="zh-CN" w:bidi="zh-CN"/>
        </w:rPr>
        <w:t>硫酸雾</w:t>
      </w:r>
      <w:r>
        <w:rPr>
          <w:rFonts w:ascii="宋体" w:hAnsi="宋体" w:cs="宋体"/>
          <w:color w:val="auto"/>
          <w:spacing w:val="-1"/>
          <w:kern w:val="0"/>
          <w:position w:val="2"/>
          <w:sz w:val="24"/>
          <w:lang w:val="zh-CN" w:bidi="zh-CN"/>
        </w:rPr>
        <w:t>、铬酸雾、硫化氢、氨气、臭气浓度等</w:t>
      </w:r>
      <w:r>
        <w:rPr>
          <w:rFonts w:ascii="宋体" w:hAnsi="宋体" w:cs="宋体"/>
          <w:color w:val="auto"/>
          <w:kern w:val="0"/>
          <w:position w:val="2"/>
          <w:sz w:val="24"/>
          <w:lang w:val="zh-CN" w:bidi="zh-CN"/>
        </w:rPr>
        <w:t>均能够满足相应标准要求。根据新乡市</w:t>
      </w:r>
      <w:r>
        <w:rPr>
          <w:rFonts w:ascii="宋体" w:hAnsi="宋体" w:cs="宋体"/>
          <w:color w:val="auto"/>
          <w:kern w:val="0"/>
          <w:sz w:val="24"/>
          <w:lang w:val="zh-CN" w:bidi="zh-CN"/>
        </w:rPr>
        <w:t>大气污染防治攻坚战方案，通过调整产业布局、推进城市建成区重污染企业搬迁改造、加大过剩和落后产能压减力度、开展传统产业集群升级改造等一系列措施的有力实施，区域环境空气质量有效改善。项目废气采取严格的污染防护措施，在确保稳定达标排放的基础上，最大限度减少污染物的排放量。</w:t>
      </w:r>
    </w:p>
    <w:p>
      <w:pPr>
        <w:adjustRightInd w:val="0"/>
        <w:snapToGrid w:val="0"/>
        <w:spacing w:before="156" w:beforeLines="50" w:line="360" w:lineRule="auto"/>
        <w:ind w:firstLine="468" w:firstLineChars="200"/>
        <w:textAlignment w:val="baseline"/>
        <w:rPr>
          <w:rFonts w:hint="default" w:ascii="Times New Roman" w:hAnsi="Times New Roman" w:cs="Times New Roman"/>
          <w:b/>
          <w:bCs w:val="0"/>
          <w:u w:val="single"/>
        </w:rPr>
      </w:pPr>
      <w:r>
        <w:rPr>
          <w:rFonts w:hint="eastAsia" w:ascii="宋体" w:hAnsi="宋体" w:cs="宋体"/>
          <w:color w:val="auto"/>
          <w:spacing w:val="-3"/>
          <w:kern w:val="0"/>
          <w:sz w:val="24"/>
          <w:lang w:val="zh-CN" w:bidi="zh-CN"/>
        </w:rPr>
        <w:t>（2）</w:t>
      </w:r>
      <w:r>
        <w:rPr>
          <w:rFonts w:ascii="宋体" w:hAnsi="宋体" w:cs="宋体"/>
          <w:color w:val="auto"/>
          <w:spacing w:val="-3"/>
          <w:kern w:val="0"/>
          <w:sz w:val="24"/>
          <w:lang w:val="zh-CN" w:bidi="zh-CN"/>
        </w:rPr>
        <w:t>项目纳污水体为共产主义渠，水体规划功能为地表水</w:t>
      </w:r>
      <w:r>
        <w:rPr>
          <w:rFonts w:ascii="宋体" w:hAnsi="宋体" w:cs="宋体"/>
          <w:color w:val="auto"/>
          <w:spacing w:val="-3"/>
          <w:kern w:val="0"/>
          <w:sz w:val="24"/>
          <w:lang w:val="zh-CN" w:bidi="zh-CN"/>
        </w:rPr>
        <w:fldChar w:fldCharType="begin"/>
      </w:r>
      <w:r>
        <w:rPr>
          <w:rFonts w:ascii="宋体" w:hAnsi="宋体" w:cs="宋体"/>
          <w:color w:val="auto"/>
          <w:spacing w:val="-3"/>
          <w:kern w:val="0"/>
          <w:sz w:val="24"/>
          <w:lang w:val="zh-CN" w:bidi="zh-CN"/>
        </w:rPr>
        <w:instrText xml:space="preserve"> = 4 \* ROMAN \* MERGEFORMAT </w:instrText>
      </w:r>
      <w:r>
        <w:rPr>
          <w:rFonts w:ascii="宋体" w:hAnsi="宋体" w:cs="宋体"/>
          <w:color w:val="auto"/>
          <w:spacing w:val="-3"/>
          <w:kern w:val="0"/>
          <w:sz w:val="24"/>
          <w:lang w:val="zh-CN" w:bidi="zh-CN"/>
        </w:rPr>
        <w:fldChar w:fldCharType="separate"/>
      </w:r>
      <w:r>
        <w:rPr>
          <w:color w:val="auto"/>
        </w:rPr>
        <w:t>IV</w:t>
      </w:r>
      <w:r>
        <w:rPr>
          <w:rFonts w:ascii="宋体" w:hAnsi="宋体" w:cs="宋体"/>
          <w:color w:val="auto"/>
          <w:spacing w:val="-3"/>
          <w:kern w:val="0"/>
          <w:sz w:val="24"/>
          <w:lang w:val="zh-CN" w:bidi="zh-CN"/>
        </w:rPr>
        <w:fldChar w:fldCharType="end"/>
      </w:r>
      <w:r>
        <w:rPr>
          <w:rFonts w:hint="eastAsia" w:ascii="宋体" w:hAnsi="宋体" w:cs="宋体"/>
          <w:color w:val="auto"/>
          <w:spacing w:val="-3"/>
          <w:kern w:val="0"/>
          <w:sz w:val="24"/>
          <w:lang w:val="zh-CN" w:bidi="zh-CN"/>
        </w:rPr>
        <w:t>类</w:t>
      </w:r>
      <w:r>
        <w:rPr>
          <w:rFonts w:ascii="宋体" w:hAnsi="宋体" w:cs="宋体"/>
          <w:color w:val="auto"/>
          <w:spacing w:val="-3"/>
          <w:kern w:val="0"/>
          <w:sz w:val="24"/>
          <w:lang w:val="zh-CN" w:bidi="zh-CN"/>
        </w:rPr>
        <w:t>。根据共产主义</w:t>
      </w:r>
      <w:r>
        <w:rPr>
          <w:rFonts w:ascii="宋体" w:hAnsi="宋体" w:cs="宋体"/>
          <w:color w:val="auto"/>
          <w:kern w:val="0"/>
          <w:sz w:val="24"/>
          <w:lang w:val="zh-CN" w:bidi="zh-CN"/>
        </w:rPr>
        <w:t>渠</w:t>
      </w:r>
      <w:r>
        <w:rPr>
          <w:rFonts w:hint="eastAsia" w:ascii="宋体" w:hAnsi="宋体" w:cs="宋体"/>
          <w:color w:val="auto"/>
          <w:kern w:val="0"/>
          <w:sz w:val="24"/>
          <w:lang w:val="zh-CN" w:bidi="zh-CN"/>
        </w:rPr>
        <w:t>西永康</w:t>
      </w:r>
      <w:r>
        <w:rPr>
          <w:rFonts w:ascii="宋体" w:hAnsi="宋体" w:cs="宋体"/>
          <w:color w:val="auto"/>
          <w:kern w:val="0"/>
          <w:sz w:val="24"/>
          <w:lang w:val="zh-CN" w:bidi="zh-CN"/>
        </w:rPr>
        <w:t>断面调查数据，共产主义渠水质</w:t>
      </w:r>
      <w:r>
        <w:rPr>
          <w:rFonts w:hint="eastAsia" w:ascii="宋体" w:hAnsi="宋体" w:cs="宋体"/>
          <w:color w:val="auto"/>
          <w:kern w:val="0"/>
          <w:sz w:val="24"/>
          <w:lang w:val="en-US" w:bidi="zh-CN"/>
        </w:rPr>
        <w:t>能够满足</w:t>
      </w:r>
      <w:r>
        <w:rPr>
          <w:rFonts w:hint="default" w:ascii="Times New Roman" w:hAnsi="Times New Roman" w:eastAsia="宋体" w:cs="Times New Roman"/>
          <w:b/>
          <w:bCs w:val="0"/>
          <w:sz w:val="24"/>
          <w:szCs w:val="24"/>
          <w:u w:val="single"/>
        </w:rPr>
        <w:t>《地表水环境质量标准》（GB3838-2002）IV类标准限值。</w:t>
      </w:r>
      <w:r>
        <w:rPr>
          <w:rFonts w:hint="default" w:ascii="Times New Roman" w:hAnsi="Times New Roman" w:eastAsia="宋体" w:cs="Times New Roman"/>
          <w:b/>
          <w:bCs w:val="0"/>
          <w:sz w:val="24"/>
          <w:szCs w:val="24"/>
          <w:u w:val="single"/>
          <w:lang w:val="en-US" w:eastAsia="zh-CN"/>
        </w:rPr>
        <w:t>同时</w:t>
      </w:r>
      <w:r>
        <w:rPr>
          <w:rFonts w:hint="default" w:ascii="Times New Roman" w:hAnsi="Times New Roman" w:eastAsia="宋体" w:cs="Times New Roman"/>
          <w:b/>
          <w:bCs w:val="0"/>
          <w:sz w:val="24"/>
          <w:szCs w:val="24"/>
          <w:u w:val="single"/>
        </w:rPr>
        <w:t>新乡市</w:t>
      </w:r>
      <w:r>
        <w:rPr>
          <w:rFonts w:hint="default" w:ascii="Times New Roman" w:hAnsi="Times New Roman" w:eastAsia="宋体" w:cs="Times New Roman"/>
          <w:b/>
          <w:bCs w:val="0"/>
          <w:sz w:val="24"/>
          <w:szCs w:val="24"/>
          <w:u w:val="single"/>
          <w:lang w:val="en-US" w:eastAsia="zh-CN"/>
        </w:rPr>
        <w:t>目前</w:t>
      </w:r>
      <w:r>
        <w:rPr>
          <w:rFonts w:hint="default" w:ascii="Times New Roman" w:hAnsi="Times New Roman" w:eastAsia="宋体" w:cs="Times New Roman"/>
          <w:b/>
          <w:bCs w:val="0"/>
          <w:sz w:val="24"/>
          <w:szCs w:val="24"/>
          <w:u w:val="single"/>
        </w:rPr>
        <w:t>正在推进实施《新乡市2023年碧水保卫战实施方案》（新环攻坚办[2023] 66号），将继续改善新乡市水环境质量。</w:t>
      </w:r>
    </w:p>
    <w:p>
      <w:pPr>
        <w:pStyle w:val="271"/>
        <w:keepNext w:val="0"/>
        <w:keepLines w:val="0"/>
        <w:snapToGrid w:val="0"/>
        <w:spacing w:before="0" w:beforeLines="0" w:after="0" w:afterLines="0"/>
        <w:rPr>
          <w:rFonts w:cs="Times New Roman"/>
          <w:color w:val="auto"/>
          <w:kern w:val="21"/>
          <w:sz w:val="28"/>
          <w:szCs w:val="28"/>
        </w:rPr>
      </w:pPr>
      <w:r>
        <w:rPr>
          <w:rFonts w:hint="eastAsia" w:cs="Times New Roman"/>
          <w:color w:val="auto"/>
          <w:kern w:val="21"/>
          <w:sz w:val="28"/>
          <w:szCs w:val="28"/>
        </w:rPr>
        <w:t>1.5.2运营期主要环境影响</w:t>
      </w:r>
    </w:p>
    <w:p>
      <w:pPr>
        <w:pStyle w:val="6"/>
        <w:spacing w:before="0" w:after="0" w:line="360" w:lineRule="auto"/>
        <w:rPr>
          <w:b w:val="0"/>
          <w:color w:val="auto"/>
          <w:sz w:val="24"/>
          <w:szCs w:val="24"/>
        </w:rPr>
      </w:pPr>
      <w:r>
        <w:rPr>
          <w:rFonts w:hint="eastAsia"/>
          <w:b w:val="0"/>
          <w:color w:val="auto"/>
          <w:sz w:val="24"/>
          <w:szCs w:val="24"/>
        </w:rPr>
        <w:t>1.5.2.1</w:t>
      </w:r>
      <w:r>
        <w:rPr>
          <w:b w:val="0"/>
          <w:color w:val="auto"/>
          <w:sz w:val="24"/>
          <w:szCs w:val="24"/>
        </w:rPr>
        <w:t>大气环境</w:t>
      </w:r>
    </w:p>
    <w:p>
      <w:pPr>
        <w:tabs>
          <w:tab w:val="left" w:pos="1371"/>
        </w:tabs>
        <w:autoSpaceDE w:val="0"/>
        <w:autoSpaceDN w:val="0"/>
        <w:spacing w:line="360" w:lineRule="auto"/>
        <w:ind w:firstLine="472" w:firstLineChars="200"/>
        <w:rPr>
          <w:rFonts w:ascii="宋体" w:hAnsi="宋体" w:cs="宋体"/>
          <w:color w:val="auto"/>
          <w:kern w:val="0"/>
          <w:sz w:val="24"/>
          <w:lang w:val="zh-CN" w:bidi="zh-CN"/>
        </w:rPr>
      </w:pPr>
      <w:r>
        <w:rPr>
          <w:rFonts w:hint="eastAsia" w:ascii="宋体" w:hAnsi="宋体" w:cs="宋体"/>
          <w:color w:val="auto"/>
          <w:spacing w:val="-2"/>
          <w:kern w:val="0"/>
          <w:sz w:val="24"/>
          <w:lang w:val="zh-CN" w:bidi="zh-CN"/>
        </w:rPr>
        <w:t>（1）</w:t>
      </w:r>
      <w:r>
        <w:rPr>
          <w:rFonts w:ascii="宋体" w:hAnsi="宋体" w:cs="宋体"/>
          <w:color w:val="auto"/>
          <w:spacing w:val="-2"/>
          <w:kern w:val="0"/>
          <w:sz w:val="24"/>
          <w:lang w:val="zh-CN" w:bidi="zh-CN"/>
        </w:rPr>
        <w:t>项目所在区域属于环境空气质量不达标区，本项目大气环境影响评价等级</w:t>
      </w:r>
      <w:r>
        <w:rPr>
          <w:rFonts w:ascii="宋体" w:hAnsi="宋体" w:cs="宋体"/>
          <w:color w:val="auto"/>
          <w:kern w:val="0"/>
          <w:sz w:val="24"/>
          <w:lang w:val="zh-CN" w:bidi="zh-CN"/>
        </w:rPr>
        <w:t>为</w:t>
      </w:r>
      <w:r>
        <w:rPr>
          <w:rFonts w:hint="eastAsia" w:ascii="宋体" w:hAnsi="宋体" w:cs="宋体"/>
          <w:color w:val="auto"/>
          <w:kern w:val="0"/>
          <w:sz w:val="24"/>
          <w:lang w:val="zh-CN" w:bidi="zh-CN"/>
        </w:rPr>
        <w:t>二</w:t>
      </w:r>
      <w:r>
        <w:rPr>
          <w:rFonts w:ascii="宋体" w:hAnsi="宋体" w:cs="宋体"/>
          <w:color w:val="auto"/>
          <w:kern w:val="0"/>
          <w:sz w:val="24"/>
          <w:lang w:val="zh-CN" w:bidi="zh-CN"/>
        </w:rPr>
        <w:t>级。</w:t>
      </w:r>
    </w:p>
    <w:p>
      <w:pPr>
        <w:tabs>
          <w:tab w:val="left" w:pos="1384"/>
        </w:tabs>
        <w:autoSpaceDE w:val="0"/>
        <w:autoSpaceDN w:val="0"/>
        <w:spacing w:line="360" w:lineRule="auto"/>
        <w:ind w:firstLine="484" w:firstLineChars="200"/>
        <w:rPr>
          <w:rFonts w:ascii="宋体" w:hAnsi="宋体" w:cs="宋体"/>
          <w:color w:val="auto"/>
          <w:kern w:val="0"/>
          <w:sz w:val="24"/>
          <w:lang w:val="zh-CN" w:bidi="zh-CN"/>
        </w:rPr>
      </w:pPr>
      <w:r>
        <w:rPr>
          <w:rFonts w:hint="eastAsia" w:ascii="宋体" w:hAnsi="宋体" w:cs="宋体"/>
          <w:color w:val="auto"/>
          <w:spacing w:val="1"/>
          <w:kern w:val="0"/>
          <w:position w:val="2"/>
          <w:sz w:val="24"/>
          <w:lang w:val="zh-CN" w:bidi="zh-CN"/>
        </w:rPr>
        <w:t>（2）</w:t>
      </w:r>
      <w:r>
        <w:rPr>
          <w:rFonts w:ascii="宋体" w:hAnsi="宋体" w:cs="宋体"/>
          <w:color w:val="auto"/>
          <w:spacing w:val="1"/>
          <w:kern w:val="0"/>
          <w:position w:val="2"/>
          <w:sz w:val="24"/>
          <w:lang w:val="zh-CN" w:bidi="zh-CN"/>
        </w:rPr>
        <w:t>项目主要大气污染物因</w:t>
      </w:r>
      <w:r>
        <w:rPr>
          <w:color w:val="auto"/>
          <w:spacing w:val="1"/>
          <w:kern w:val="0"/>
          <w:position w:val="2"/>
          <w:sz w:val="24"/>
          <w:lang w:val="zh-CN" w:bidi="zh-CN"/>
        </w:rPr>
        <w:t>子颗粒物、SO</w:t>
      </w:r>
      <w:r>
        <w:rPr>
          <w:color w:val="auto"/>
          <w:spacing w:val="1"/>
          <w:kern w:val="0"/>
          <w:position w:val="2"/>
          <w:sz w:val="24"/>
          <w:vertAlign w:val="subscript"/>
          <w:lang w:val="zh-CN" w:bidi="zh-CN"/>
        </w:rPr>
        <w:t>2</w:t>
      </w:r>
      <w:r>
        <w:rPr>
          <w:color w:val="auto"/>
          <w:spacing w:val="1"/>
          <w:kern w:val="0"/>
          <w:position w:val="2"/>
          <w:sz w:val="24"/>
          <w:lang w:val="zh-CN" w:bidi="zh-CN"/>
        </w:rPr>
        <w:t>、NO</w:t>
      </w:r>
      <w:r>
        <w:rPr>
          <w:color w:val="auto"/>
          <w:spacing w:val="1"/>
          <w:kern w:val="0"/>
          <w:position w:val="2"/>
          <w:sz w:val="24"/>
          <w:vertAlign w:val="subscript"/>
          <w:lang w:val="zh-CN" w:bidi="zh-CN"/>
        </w:rPr>
        <w:t>X</w:t>
      </w:r>
      <w:r>
        <w:rPr>
          <w:color w:val="auto"/>
          <w:spacing w:val="1"/>
          <w:kern w:val="0"/>
          <w:position w:val="2"/>
          <w:sz w:val="24"/>
          <w:lang w:val="zh-CN" w:bidi="zh-CN"/>
        </w:rPr>
        <w:t>、</w:t>
      </w:r>
      <w:r>
        <w:rPr>
          <w:color w:val="auto"/>
          <w:kern w:val="0"/>
          <w:position w:val="2"/>
          <w:sz w:val="24"/>
          <w:lang w:val="zh-CN" w:bidi="zh-CN"/>
        </w:rPr>
        <w:t>HCL、</w:t>
      </w:r>
      <w:r>
        <w:rPr>
          <w:rFonts w:hint="eastAsia"/>
          <w:color w:val="auto"/>
          <w:kern w:val="0"/>
          <w:position w:val="2"/>
          <w:sz w:val="24"/>
          <w:lang w:val="zh-CN" w:bidi="zh-CN"/>
        </w:rPr>
        <w:t>NH</w:t>
      </w:r>
      <w:r>
        <w:rPr>
          <w:rFonts w:hint="eastAsia"/>
          <w:color w:val="auto"/>
          <w:kern w:val="0"/>
          <w:position w:val="2"/>
          <w:sz w:val="24"/>
          <w:vertAlign w:val="subscript"/>
          <w:lang w:val="zh-CN" w:bidi="zh-CN"/>
        </w:rPr>
        <w:t>3</w:t>
      </w:r>
      <w:r>
        <w:rPr>
          <w:rFonts w:hint="eastAsia"/>
          <w:color w:val="auto"/>
          <w:kern w:val="0"/>
          <w:position w:val="2"/>
          <w:sz w:val="24"/>
          <w:lang w:val="zh-CN" w:bidi="zh-CN"/>
        </w:rPr>
        <w:t>、H</w:t>
      </w:r>
      <w:r>
        <w:rPr>
          <w:rFonts w:hint="eastAsia"/>
          <w:color w:val="auto"/>
          <w:kern w:val="0"/>
          <w:position w:val="2"/>
          <w:sz w:val="24"/>
          <w:vertAlign w:val="subscript"/>
          <w:lang w:val="zh-CN" w:bidi="zh-CN"/>
        </w:rPr>
        <w:t>2</w:t>
      </w:r>
      <w:r>
        <w:rPr>
          <w:rFonts w:hint="eastAsia"/>
          <w:color w:val="auto"/>
          <w:kern w:val="0"/>
          <w:position w:val="2"/>
          <w:sz w:val="24"/>
          <w:lang w:val="zh-CN" w:bidi="zh-CN"/>
        </w:rPr>
        <w:t>S</w:t>
      </w:r>
      <w:r>
        <w:rPr>
          <w:rFonts w:ascii="宋体" w:hAnsi="宋体" w:cs="宋体"/>
          <w:color w:val="auto"/>
          <w:kern w:val="0"/>
          <w:sz w:val="24"/>
          <w:lang w:val="zh-CN" w:bidi="zh-CN"/>
        </w:rPr>
        <w:t>经预测计算，各项污染</w:t>
      </w:r>
      <w:r>
        <w:rPr>
          <w:rFonts w:hint="eastAsia" w:ascii="宋体" w:hAnsi="宋体" w:cs="宋体"/>
          <w:color w:val="auto"/>
          <w:kern w:val="0"/>
          <w:sz w:val="24"/>
          <w:lang w:val="zh-CN" w:bidi="zh-CN"/>
        </w:rPr>
        <w:t>因子的</w:t>
      </w:r>
      <w:r>
        <w:rPr>
          <w:rFonts w:ascii="宋体" w:hAnsi="宋体" w:cs="宋体"/>
          <w:color w:val="auto"/>
          <w:kern w:val="0"/>
          <w:sz w:val="24"/>
          <w:lang w:val="zh-CN" w:bidi="zh-CN"/>
        </w:rPr>
        <w:t>质量浓度均能满足相应</w:t>
      </w:r>
      <w:r>
        <w:rPr>
          <w:rFonts w:hint="eastAsia" w:ascii="宋体" w:hAnsi="宋体" w:cs="宋体"/>
          <w:color w:val="auto"/>
          <w:kern w:val="0"/>
          <w:sz w:val="24"/>
          <w:lang w:val="en-US" w:bidi="zh-CN"/>
        </w:rPr>
        <w:t>的</w:t>
      </w:r>
      <w:r>
        <w:rPr>
          <w:rFonts w:ascii="宋体" w:hAnsi="宋体" w:cs="宋体"/>
          <w:color w:val="auto"/>
          <w:kern w:val="0"/>
          <w:sz w:val="24"/>
          <w:lang w:val="zh-CN" w:bidi="zh-CN"/>
        </w:rPr>
        <w:t>环境质量要求。</w:t>
      </w:r>
    </w:p>
    <w:p>
      <w:pPr>
        <w:tabs>
          <w:tab w:val="left" w:pos="1371"/>
        </w:tabs>
        <w:autoSpaceDE w:val="0"/>
        <w:autoSpaceDN w:val="0"/>
        <w:spacing w:line="360" w:lineRule="auto"/>
        <w:ind w:firstLine="472" w:firstLineChars="200"/>
        <w:rPr>
          <w:rFonts w:ascii="宋体" w:hAnsi="宋体" w:cs="宋体"/>
          <w:color w:val="auto"/>
          <w:kern w:val="0"/>
          <w:sz w:val="24"/>
          <w:lang w:val="zh-CN" w:bidi="zh-CN"/>
        </w:rPr>
      </w:pPr>
      <w:r>
        <w:rPr>
          <w:rFonts w:hint="eastAsia" w:ascii="宋体" w:hAnsi="宋体" w:cs="宋体"/>
          <w:color w:val="auto"/>
          <w:spacing w:val="-2"/>
          <w:kern w:val="0"/>
          <w:sz w:val="24"/>
          <w:lang w:val="zh-CN" w:bidi="zh-CN"/>
        </w:rPr>
        <w:t>（3）</w:t>
      </w:r>
      <w:r>
        <w:rPr>
          <w:rFonts w:ascii="宋体" w:hAnsi="宋体" w:cs="宋体"/>
          <w:color w:val="auto"/>
          <w:spacing w:val="-2"/>
          <w:kern w:val="0"/>
          <w:sz w:val="24"/>
          <w:lang w:val="zh-CN" w:bidi="zh-CN"/>
        </w:rPr>
        <w:t>项目在各项污染防治措施落实的前提下，从环境空气现状及预测分析结</w:t>
      </w:r>
      <w:r>
        <w:rPr>
          <w:rFonts w:ascii="宋体" w:hAnsi="宋体" w:cs="宋体"/>
          <w:color w:val="auto"/>
          <w:kern w:val="0"/>
          <w:sz w:val="24"/>
          <w:lang w:val="zh-CN" w:bidi="zh-CN"/>
        </w:rPr>
        <w:t>论来看，项目区域环境空气影响可以接受。</w:t>
      </w:r>
    </w:p>
    <w:p>
      <w:pPr>
        <w:pStyle w:val="6"/>
        <w:spacing w:before="0" w:after="0" w:line="360" w:lineRule="auto"/>
        <w:rPr>
          <w:b w:val="0"/>
          <w:color w:val="auto"/>
          <w:sz w:val="24"/>
          <w:szCs w:val="24"/>
        </w:rPr>
      </w:pPr>
      <w:r>
        <w:rPr>
          <w:rFonts w:hint="eastAsia"/>
          <w:b w:val="0"/>
          <w:color w:val="auto"/>
          <w:sz w:val="24"/>
          <w:szCs w:val="24"/>
        </w:rPr>
        <w:t>1.5.2.2</w:t>
      </w:r>
      <w:r>
        <w:rPr>
          <w:b w:val="0"/>
          <w:color w:val="auto"/>
          <w:sz w:val="24"/>
          <w:szCs w:val="24"/>
        </w:rPr>
        <w:t>地表水环境</w:t>
      </w:r>
    </w:p>
    <w:p>
      <w:pPr>
        <w:adjustRightInd w:val="0"/>
        <w:snapToGrid w:val="0"/>
        <w:spacing w:line="360" w:lineRule="auto"/>
        <w:ind w:firstLine="480" w:firstLineChars="200"/>
        <w:rPr>
          <w:color w:val="auto"/>
          <w:kern w:val="21"/>
          <w:sz w:val="24"/>
          <w:szCs w:val="24"/>
        </w:rPr>
      </w:pPr>
      <w:r>
        <w:rPr>
          <w:rFonts w:ascii="宋体" w:hAnsi="宋体" w:cs="宋体"/>
          <w:color w:val="auto"/>
          <w:kern w:val="0"/>
          <w:sz w:val="24"/>
          <w:szCs w:val="24"/>
          <w:lang w:val="zh-CN" w:bidi="zh-CN"/>
        </w:rPr>
        <w:t>本项目建设</w:t>
      </w:r>
      <w:r>
        <w:rPr>
          <w:rFonts w:hint="eastAsia" w:ascii="宋体" w:hAnsi="宋体" w:cs="宋体"/>
          <w:color w:val="auto"/>
          <w:kern w:val="0"/>
          <w:sz w:val="24"/>
          <w:szCs w:val="24"/>
          <w:lang w:val="en-US" w:bidi="zh-CN"/>
        </w:rPr>
        <w:t>1座</w:t>
      </w:r>
      <w:r>
        <w:rPr>
          <w:rFonts w:hint="eastAsia" w:hAnsi="宋体" w:cs="宋体"/>
          <w:color w:val="auto"/>
          <w:kern w:val="0"/>
          <w:sz w:val="24"/>
          <w:szCs w:val="24"/>
          <w:lang w:val="zh-CN" w:bidi="zh-CN"/>
        </w:rPr>
        <w:t>450m</w:t>
      </w:r>
      <w:r>
        <w:rPr>
          <w:rFonts w:hint="eastAsia" w:hAnsi="宋体" w:cs="宋体"/>
          <w:color w:val="auto"/>
          <w:kern w:val="0"/>
          <w:sz w:val="24"/>
          <w:szCs w:val="24"/>
          <w:vertAlign w:val="superscript"/>
          <w:lang w:val="zh-CN" w:bidi="zh-CN"/>
        </w:rPr>
        <w:t>3</w:t>
      </w:r>
      <w:r>
        <w:rPr>
          <w:rFonts w:hint="eastAsia" w:hAnsi="宋体" w:cs="宋体"/>
          <w:color w:val="auto"/>
          <w:kern w:val="0"/>
          <w:sz w:val="24"/>
          <w:szCs w:val="24"/>
          <w:lang w:val="zh-CN" w:bidi="zh-CN"/>
        </w:rPr>
        <w:t>/d</w:t>
      </w:r>
      <w:r>
        <w:rPr>
          <w:rFonts w:ascii="宋体" w:hAnsi="宋体" w:cs="宋体"/>
          <w:color w:val="auto"/>
          <w:kern w:val="0"/>
          <w:sz w:val="24"/>
          <w:szCs w:val="24"/>
          <w:lang w:val="zh-CN" w:bidi="zh-CN"/>
        </w:rPr>
        <w:t>的污水处理</w:t>
      </w:r>
      <w:r>
        <w:rPr>
          <w:color w:val="auto"/>
          <w:kern w:val="21"/>
          <w:sz w:val="24"/>
        </w:rPr>
        <w:t>站，</w:t>
      </w:r>
      <w:r>
        <w:rPr>
          <w:color w:val="auto"/>
          <w:kern w:val="21"/>
          <w:sz w:val="24"/>
          <w:szCs w:val="24"/>
        </w:rPr>
        <w:t>含镍废水进入含镍废水预处理系统（</w:t>
      </w:r>
      <w:r>
        <w:rPr>
          <w:rFonts w:hint="eastAsia"/>
          <w:color w:val="auto"/>
          <w:kern w:val="21"/>
          <w:sz w:val="24"/>
          <w:szCs w:val="24"/>
        </w:rPr>
        <w:t>pH调节→混凝沉淀→回调→多介质过滤</w:t>
      </w:r>
      <w:r>
        <w:rPr>
          <w:color w:val="auto"/>
          <w:kern w:val="21"/>
          <w:sz w:val="24"/>
          <w:szCs w:val="24"/>
        </w:rPr>
        <w:t>）；含锌废水进入含锌废水预处理系统（</w:t>
      </w:r>
      <w:r>
        <w:rPr>
          <w:rFonts w:hint="eastAsia"/>
          <w:color w:val="auto"/>
          <w:kern w:val="21"/>
          <w:sz w:val="24"/>
          <w:szCs w:val="24"/>
        </w:rPr>
        <w:t>pH调节→混凝沉淀→回调→多介质过滤</w:t>
      </w:r>
      <w:r>
        <w:rPr>
          <w:color w:val="auto"/>
          <w:kern w:val="21"/>
          <w:sz w:val="24"/>
          <w:szCs w:val="24"/>
        </w:rPr>
        <w:t>）；含铬废水进入含铬废水预处理系统（</w:t>
      </w:r>
      <w:r>
        <w:rPr>
          <w:rFonts w:hint="eastAsia"/>
          <w:color w:val="auto"/>
          <w:kern w:val="21"/>
          <w:sz w:val="24"/>
          <w:szCs w:val="24"/>
        </w:rPr>
        <w:t>还原→pH调节→混凝沉淀→回调→多介质过滤</w:t>
      </w:r>
      <w:r>
        <w:rPr>
          <w:color w:val="auto"/>
          <w:kern w:val="21"/>
          <w:sz w:val="24"/>
          <w:szCs w:val="24"/>
        </w:rPr>
        <w:t>）；地面清洗废水进入地面清洗废水预处理系统（</w:t>
      </w:r>
      <w:r>
        <w:rPr>
          <w:rFonts w:hint="eastAsia"/>
          <w:color w:val="auto"/>
          <w:kern w:val="21"/>
          <w:sz w:val="24"/>
          <w:szCs w:val="24"/>
        </w:rPr>
        <w:t>氧化→pH调节→混凝沉淀→还原→混凝沉淀→回调→多介质过滤</w:t>
      </w:r>
      <w:r>
        <w:rPr>
          <w:color w:val="auto"/>
          <w:kern w:val="21"/>
          <w:sz w:val="24"/>
          <w:szCs w:val="24"/>
        </w:rPr>
        <w:t>）；</w:t>
      </w:r>
      <w:r>
        <w:rPr>
          <w:rFonts w:hint="eastAsia"/>
          <w:color w:val="auto"/>
          <w:kern w:val="21"/>
          <w:sz w:val="24"/>
        </w:rPr>
        <w:t>含油废水进入含油废水预处理系统（经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→混凝→气浮）预处理后，再与酸性废水一同进入酸性废水预处理系统（pH调节→混凝沉淀→回调→多介质过滤）。</w:t>
      </w:r>
    </w:p>
    <w:p>
      <w:pPr>
        <w:autoSpaceDE w:val="0"/>
        <w:autoSpaceDN w:val="0"/>
        <w:spacing w:line="360" w:lineRule="auto"/>
        <w:ind w:right="142" w:firstLine="476"/>
        <w:rPr>
          <w:rFonts w:ascii="宋体" w:hAnsi="宋体" w:cs="宋体"/>
          <w:color w:val="auto"/>
          <w:kern w:val="0"/>
          <w:sz w:val="24"/>
          <w:szCs w:val="24"/>
          <w:highlight w:val="yellow"/>
          <w:lang w:val="zh-CN" w:bidi="zh-CN"/>
        </w:rPr>
      </w:pPr>
      <w:r>
        <w:rPr>
          <w:color w:val="auto"/>
          <w:kern w:val="21"/>
          <w:sz w:val="24"/>
          <w:szCs w:val="24"/>
        </w:rPr>
        <w:t>经预处理后的各股废水一</w:t>
      </w:r>
      <w:r>
        <w:rPr>
          <w:rFonts w:hint="eastAsia"/>
          <w:color w:val="auto"/>
          <w:kern w:val="21"/>
          <w:sz w:val="24"/>
          <w:szCs w:val="24"/>
          <w:lang w:eastAsia="zh-CN"/>
        </w:rPr>
        <w:t>同</w:t>
      </w:r>
      <w:r>
        <w:rPr>
          <w:color w:val="auto"/>
          <w:kern w:val="21"/>
          <w:sz w:val="24"/>
          <w:szCs w:val="24"/>
        </w:rPr>
        <w:t>进入零排放处理系统</w:t>
      </w:r>
      <w:r>
        <w:rPr>
          <w:rFonts w:hint="eastAsia"/>
          <w:color w:val="auto"/>
          <w:kern w:val="21"/>
          <w:sz w:val="24"/>
          <w:szCs w:val="24"/>
          <w:lang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rPr>
        <w:t>处理</w:t>
      </w:r>
      <w:r>
        <w:rPr>
          <w:color w:val="auto"/>
          <w:kern w:val="21"/>
          <w:sz w:val="24"/>
          <w:szCs w:val="24"/>
        </w:rPr>
        <w:t>，</w:t>
      </w:r>
      <w:r>
        <w:rPr>
          <w:rFonts w:hint="eastAsia"/>
          <w:color w:val="auto"/>
          <w:kern w:val="21"/>
          <w:sz w:val="24"/>
          <w:szCs w:val="24"/>
          <w:lang w:eastAsia="zh-CN"/>
        </w:rPr>
        <w:t>深度处理后</w:t>
      </w:r>
      <w:r>
        <w:rPr>
          <w:color w:val="auto"/>
          <w:kern w:val="21"/>
          <w:sz w:val="24"/>
          <w:szCs w:val="22"/>
        </w:rPr>
        <w:t>全部回用</w:t>
      </w:r>
      <w:r>
        <w:rPr>
          <w:rFonts w:hint="eastAsia"/>
          <w:color w:val="auto"/>
          <w:kern w:val="21"/>
          <w:sz w:val="24"/>
          <w:szCs w:val="22"/>
          <w:lang w:eastAsia="zh-CN"/>
        </w:rPr>
        <w:t>于生产线</w:t>
      </w:r>
      <w:r>
        <w:rPr>
          <w:color w:val="auto"/>
          <w:kern w:val="21"/>
          <w:sz w:val="24"/>
          <w:szCs w:val="24"/>
        </w:rPr>
        <w:t>，结晶盐</w:t>
      </w:r>
      <w:r>
        <w:rPr>
          <w:rFonts w:hint="eastAsia"/>
          <w:color w:val="auto"/>
          <w:kern w:val="21"/>
          <w:sz w:val="24"/>
          <w:szCs w:val="24"/>
          <w:lang w:eastAsia="zh-CN"/>
        </w:rPr>
        <w:t>作为</w:t>
      </w:r>
      <w:r>
        <w:rPr>
          <w:color w:val="auto"/>
          <w:kern w:val="21"/>
          <w:sz w:val="24"/>
          <w:szCs w:val="24"/>
        </w:rPr>
        <w:t>危废处置。纯水制备浓水、</w:t>
      </w:r>
      <w:r>
        <w:rPr>
          <w:rFonts w:hint="eastAsia"/>
          <w:color w:val="auto"/>
          <w:kern w:val="21"/>
          <w:sz w:val="24"/>
          <w:szCs w:val="24"/>
          <w:lang w:eastAsia="zh-CN"/>
        </w:rPr>
        <w:t>锅炉浓水</w:t>
      </w:r>
      <w:r>
        <w:rPr>
          <w:color w:val="auto"/>
          <w:kern w:val="21"/>
          <w:sz w:val="24"/>
          <w:szCs w:val="24"/>
        </w:rPr>
        <w:t>及生活污水经市政管网</w:t>
      </w:r>
      <w:r>
        <w:rPr>
          <w:rFonts w:hint="eastAsia"/>
          <w:color w:val="auto"/>
          <w:kern w:val="21"/>
          <w:sz w:val="24"/>
          <w:szCs w:val="24"/>
        </w:rPr>
        <w:t>排入同盟污水处理厂。</w:t>
      </w:r>
      <w:r>
        <w:rPr>
          <w:rFonts w:ascii="宋体" w:hAnsi="宋体" w:cs="宋体"/>
          <w:color w:val="auto"/>
          <w:kern w:val="0"/>
          <w:sz w:val="24"/>
          <w:szCs w:val="24"/>
          <w:lang w:val="zh-CN" w:bidi="zh-CN"/>
        </w:rPr>
        <w:t>经过评价分析，本项目外排废水中不含重金属</w:t>
      </w:r>
      <w:r>
        <w:rPr>
          <w:rFonts w:hint="eastAsia" w:ascii="宋体" w:hAnsi="宋体" w:cs="宋体"/>
          <w:color w:val="auto"/>
          <w:kern w:val="0"/>
          <w:sz w:val="24"/>
          <w:szCs w:val="24"/>
          <w:lang w:val="zh-CN" w:bidi="zh-CN"/>
        </w:rPr>
        <w:t>，且</w:t>
      </w:r>
      <w:r>
        <w:rPr>
          <w:rFonts w:ascii="宋体" w:hAnsi="宋体" w:cs="宋体"/>
          <w:color w:val="auto"/>
          <w:kern w:val="0"/>
          <w:sz w:val="24"/>
          <w:szCs w:val="24"/>
          <w:lang w:val="zh-CN" w:bidi="zh-CN"/>
        </w:rPr>
        <w:t>水质、水量不会对</w:t>
      </w:r>
      <w:r>
        <w:rPr>
          <w:rFonts w:hint="eastAsia" w:ascii="宋体" w:hAnsi="宋体" w:cs="宋体"/>
          <w:color w:val="auto"/>
          <w:kern w:val="0"/>
          <w:sz w:val="24"/>
          <w:szCs w:val="24"/>
          <w:lang w:val="zh-CN" w:bidi="zh-CN"/>
        </w:rPr>
        <w:t>同盟</w:t>
      </w:r>
      <w:r>
        <w:rPr>
          <w:rFonts w:ascii="宋体" w:hAnsi="宋体" w:cs="宋体"/>
          <w:color w:val="auto"/>
          <w:kern w:val="0"/>
          <w:sz w:val="24"/>
          <w:szCs w:val="24"/>
          <w:lang w:val="zh-CN" w:bidi="zh-CN"/>
        </w:rPr>
        <w:t>污水处理厂造成冲击。因此，评价认为本项目外排水对区域地表水环境影响较小，项目排水方案可行。</w:t>
      </w:r>
    </w:p>
    <w:p>
      <w:pPr>
        <w:pStyle w:val="6"/>
        <w:spacing w:before="0" w:after="0" w:line="360" w:lineRule="auto"/>
        <w:rPr>
          <w:b w:val="0"/>
          <w:color w:val="auto"/>
          <w:sz w:val="24"/>
          <w:szCs w:val="24"/>
        </w:rPr>
      </w:pPr>
      <w:r>
        <w:rPr>
          <w:rFonts w:hint="eastAsia"/>
          <w:b w:val="0"/>
          <w:color w:val="auto"/>
          <w:sz w:val="24"/>
          <w:szCs w:val="24"/>
        </w:rPr>
        <w:t>1.5.2.3</w:t>
      </w:r>
      <w:r>
        <w:rPr>
          <w:b w:val="0"/>
          <w:color w:val="auto"/>
          <w:sz w:val="24"/>
          <w:szCs w:val="24"/>
        </w:rPr>
        <w:t>声环境</w:t>
      </w:r>
    </w:p>
    <w:p>
      <w:pPr>
        <w:autoSpaceDE w:val="0"/>
        <w:autoSpaceDN w:val="0"/>
        <w:spacing w:line="360" w:lineRule="auto"/>
        <w:ind w:right="142" w:firstLine="476"/>
        <w:rPr>
          <w:rFonts w:ascii="宋体" w:hAnsi="宋体" w:cs="宋体"/>
          <w:color w:val="auto"/>
          <w:kern w:val="0"/>
          <w:sz w:val="24"/>
          <w:szCs w:val="24"/>
          <w:lang w:val="zh-CN" w:bidi="zh-CN"/>
        </w:rPr>
      </w:pPr>
      <w:r>
        <w:rPr>
          <w:rFonts w:hint="eastAsia" w:ascii="宋体" w:hAnsi="宋体" w:cs="宋体"/>
          <w:color w:val="auto"/>
          <w:kern w:val="0"/>
          <w:sz w:val="24"/>
          <w:szCs w:val="24"/>
          <w:lang w:bidi="zh-CN"/>
        </w:rPr>
        <w:t>本</w:t>
      </w:r>
      <w:r>
        <w:rPr>
          <w:rFonts w:ascii="宋体" w:hAnsi="宋体" w:cs="宋体"/>
          <w:color w:val="auto"/>
          <w:kern w:val="0"/>
          <w:sz w:val="24"/>
          <w:szCs w:val="24"/>
          <w:lang w:val="zh-CN" w:bidi="zh-CN"/>
        </w:rPr>
        <w:t>工程高噪声设备主要为</w:t>
      </w:r>
      <w:r>
        <w:rPr>
          <w:rFonts w:hint="eastAsia" w:ascii="宋体" w:hAnsi="宋体" w:cs="宋体"/>
          <w:color w:val="auto"/>
          <w:kern w:val="0"/>
          <w:sz w:val="24"/>
          <w:szCs w:val="24"/>
          <w:lang w:val="zh-CN" w:bidi="zh-CN"/>
        </w:rPr>
        <w:t>冲床、</w:t>
      </w:r>
      <w:r>
        <w:rPr>
          <w:rFonts w:ascii="宋体" w:hAnsi="宋体" w:cs="宋体"/>
          <w:color w:val="auto"/>
          <w:kern w:val="0"/>
          <w:sz w:val="24"/>
          <w:szCs w:val="24"/>
          <w:lang w:val="zh-CN" w:bidi="zh-CN"/>
        </w:rPr>
        <w:t>风机</w:t>
      </w:r>
      <w:r>
        <w:rPr>
          <w:rFonts w:hint="eastAsia" w:ascii="宋体" w:hAnsi="宋体" w:cs="宋体"/>
          <w:color w:val="auto"/>
          <w:kern w:val="0"/>
          <w:sz w:val="24"/>
          <w:szCs w:val="24"/>
          <w:lang w:val="zh-CN" w:bidi="zh-CN"/>
        </w:rPr>
        <w:t>及空压机</w:t>
      </w:r>
      <w:r>
        <w:rPr>
          <w:rFonts w:ascii="宋体" w:hAnsi="宋体" w:cs="宋体"/>
          <w:color w:val="auto"/>
          <w:kern w:val="0"/>
          <w:sz w:val="24"/>
          <w:szCs w:val="24"/>
          <w:lang w:val="zh-CN" w:bidi="zh-CN"/>
        </w:rPr>
        <w:t>等。经采取相关治理措施后，项目各厂界噪声均满足《工业企业厂界环境噪声排放标准》（GB12348-2008）3 类标准要求，不会出现噪声扰民现象。</w:t>
      </w:r>
    </w:p>
    <w:p>
      <w:pPr>
        <w:pStyle w:val="6"/>
        <w:spacing w:before="0" w:after="0" w:line="360" w:lineRule="auto"/>
        <w:rPr>
          <w:b w:val="0"/>
          <w:color w:val="auto"/>
          <w:sz w:val="24"/>
          <w:szCs w:val="24"/>
        </w:rPr>
      </w:pPr>
      <w:r>
        <w:rPr>
          <w:rFonts w:hint="eastAsia"/>
          <w:b w:val="0"/>
          <w:color w:val="auto"/>
          <w:sz w:val="24"/>
          <w:szCs w:val="24"/>
        </w:rPr>
        <w:t>1.5.2.4</w:t>
      </w:r>
      <w:r>
        <w:rPr>
          <w:b w:val="0"/>
          <w:color w:val="auto"/>
          <w:sz w:val="24"/>
          <w:szCs w:val="24"/>
        </w:rPr>
        <w:t>固体废物</w:t>
      </w:r>
    </w:p>
    <w:p>
      <w:pPr>
        <w:adjustRightInd w:val="0"/>
        <w:snapToGrid w:val="0"/>
        <w:spacing w:line="360" w:lineRule="auto"/>
        <w:ind w:firstLine="480" w:firstLineChars="200"/>
        <w:rPr>
          <w:bCs/>
          <w:color w:val="auto"/>
          <w:sz w:val="24"/>
          <w:szCs w:val="24"/>
          <w:lang w:bidi="en-US"/>
        </w:rPr>
      </w:pPr>
      <w:r>
        <w:rPr>
          <w:bCs/>
          <w:color w:val="auto"/>
          <w:sz w:val="24"/>
          <w:szCs w:val="24"/>
          <w:lang w:bidi="en-US"/>
        </w:rPr>
        <w:t>本工程所产生的固体废物包括一般固废和危险固废。一般固废经厂内暂存后，外送综合利用或</w:t>
      </w:r>
      <w:r>
        <w:rPr>
          <w:rFonts w:hint="eastAsia"/>
          <w:color w:val="auto"/>
          <w:kern w:val="21"/>
          <w:sz w:val="24"/>
        </w:rPr>
        <w:t>定期运往垃圾中转站</w:t>
      </w:r>
      <w:r>
        <w:rPr>
          <w:bCs/>
          <w:color w:val="auto"/>
          <w:sz w:val="24"/>
          <w:szCs w:val="24"/>
          <w:lang w:bidi="en-US"/>
        </w:rPr>
        <w:t>。危险固废交由具有处理资质的单位处理。本项目固体废物均能得到安全、合理处置，不会对环境造成不利影响。</w:t>
      </w:r>
    </w:p>
    <w:p>
      <w:pPr>
        <w:pStyle w:val="6"/>
        <w:spacing w:before="0" w:after="0" w:line="360" w:lineRule="auto"/>
        <w:rPr>
          <w:b w:val="0"/>
          <w:color w:val="auto"/>
          <w:sz w:val="24"/>
          <w:szCs w:val="24"/>
        </w:rPr>
      </w:pPr>
      <w:r>
        <w:rPr>
          <w:rFonts w:hint="eastAsia"/>
          <w:b w:val="0"/>
          <w:color w:val="auto"/>
          <w:sz w:val="24"/>
          <w:szCs w:val="24"/>
        </w:rPr>
        <w:t>1.5.2.5</w:t>
      </w:r>
      <w:r>
        <w:rPr>
          <w:b w:val="0"/>
          <w:color w:val="auto"/>
          <w:sz w:val="24"/>
          <w:szCs w:val="24"/>
        </w:rPr>
        <w:t>环境风险</w:t>
      </w:r>
    </w:p>
    <w:p>
      <w:pPr>
        <w:adjustRightInd w:val="0"/>
        <w:snapToGrid w:val="0"/>
        <w:spacing w:line="360" w:lineRule="auto"/>
        <w:ind w:firstLine="480" w:firstLineChars="200"/>
        <w:rPr>
          <w:bCs/>
          <w:color w:val="auto"/>
          <w:sz w:val="24"/>
          <w:szCs w:val="24"/>
          <w:lang w:bidi="en-US"/>
        </w:rPr>
      </w:pPr>
      <w:r>
        <w:rPr>
          <w:bCs/>
          <w:color w:val="auto"/>
          <w:sz w:val="24"/>
          <w:szCs w:val="24"/>
          <w:lang w:bidi="en-US"/>
        </w:rPr>
        <w:t>本项目原辅材料中涉及的盐酸、硫酸、氢氧化钠、铬酸、氯化镍、硫酸镍、镍板等物质属于危险化学品。经源项分析，</w:t>
      </w:r>
      <w:r>
        <w:rPr>
          <w:color w:val="auto"/>
          <w:kern w:val="21"/>
          <w:sz w:val="24"/>
          <w:lang w:val="en-US"/>
        </w:rPr>
        <w:t>本项目</w:t>
      </w:r>
      <w:r>
        <w:rPr>
          <w:rFonts w:hint="eastAsia"/>
          <w:color w:val="auto"/>
          <w:kern w:val="21"/>
          <w:sz w:val="24"/>
          <w:lang w:val="en-US" w:eastAsia="zh-CN"/>
        </w:rPr>
        <w:t>的</w:t>
      </w:r>
      <w:r>
        <w:rPr>
          <w:color w:val="auto"/>
          <w:kern w:val="21"/>
          <w:sz w:val="24"/>
          <w:lang w:val="en-US"/>
        </w:rPr>
        <w:t>最大可信事故</w:t>
      </w:r>
      <w:r>
        <w:rPr>
          <w:rFonts w:hint="eastAsia"/>
          <w:color w:val="auto"/>
          <w:kern w:val="21"/>
          <w:sz w:val="24"/>
          <w:lang w:val="en-US" w:eastAsia="zh-CN"/>
        </w:rPr>
        <w:t>为盐酸等危险化学品储存设施破裂造成危化品泄漏</w:t>
      </w:r>
      <w:r>
        <w:rPr>
          <w:bCs/>
          <w:color w:val="auto"/>
          <w:sz w:val="24"/>
          <w:szCs w:val="24"/>
          <w:lang w:bidi="en-US"/>
        </w:rPr>
        <w:t>。项目通过在电镀区设置围堰，危化品储存区设置漫坡</w:t>
      </w:r>
      <w:r>
        <w:rPr>
          <w:rFonts w:hint="eastAsia"/>
          <w:bCs/>
          <w:color w:val="auto"/>
          <w:sz w:val="24"/>
          <w:szCs w:val="24"/>
          <w:lang w:eastAsia="zh-CN" w:bidi="en-US"/>
        </w:rPr>
        <w:t>及围堰</w:t>
      </w:r>
      <w:r>
        <w:rPr>
          <w:bCs/>
          <w:color w:val="auto"/>
          <w:sz w:val="24"/>
          <w:szCs w:val="24"/>
          <w:lang w:bidi="en-US"/>
        </w:rPr>
        <w:t>，落实与园区风险防范联防措施，可有效降低环境风险的发生概率，尽量避免储存、装卸和生产过程电镀液和原材料泄漏事故对附近水体造成威胁，其环境风险是可控的。如出现泄漏事故，应立即停止生产，立即报告相关部门，启动环境风险应急预案，将事故影响降到最低。</w:t>
      </w:r>
    </w:p>
    <w:p>
      <w:pPr>
        <w:autoSpaceDE w:val="0"/>
        <w:autoSpaceDN w:val="0"/>
        <w:rPr>
          <w:rFonts w:ascii="宋体" w:hAnsi="宋体" w:cs="宋体"/>
          <w:color w:val="auto"/>
          <w:kern w:val="0"/>
          <w:sz w:val="22"/>
          <w:lang w:val="zh-CN" w:bidi="zh-CN"/>
        </w:rPr>
        <w:sectPr>
          <w:footerReference r:id="rId5" w:type="default"/>
          <w:pgSz w:w="11910" w:h="16840"/>
          <w:pgMar w:top="1440" w:right="1800" w:bottom="1440" w:left="1800" w:header="1098" w:footer="1207" w:gutter="0"/>
          <w:pgNumType w:start="1"/>
          <w:cols w:space="720" w:num="1"/>
          <w:docGrid w:linePitch="286" w:charSpace="0"/>
        </w:sectPr>
      </w:pP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25" w:name="_Toc27921"/>
      <w:bookmarkStart w:id="26" w:name="_Toc13617"/>
      <w:bookmarkStart w:id="27" w:name="_Toc32100_WPSOffice_Level2"/>
      <w:bookmarkStart w:id="28" w:name="_Toc112338926"/>
      <w:r>
        <w:rPr>
          <w:bCs w:val="0"/>
          <w:color w:val="auto"/>
          <w:kern w:val="0"/>
          <w:szCs w:val="20"/>
          <w:lang w:val="en-US"/>
        </w:rPr>
        <w:t>1.6环境影响评价的主要结论</w:t>
      </w:r>
      <w:bookmarkEnd w:id="25"/>
      <w:bookmarkEnd w:id="26"/>
      <w:bookmarkEnd w:id="27"/>
      <w:bookmarkEnd w:id="28"/>
    </w:p>
    <w:p>
      <w:pPr>
        <w:adjustRightInd w:val="0"/>
        <w:snapToGrid w:val="0"/>
        <w:spacing w:line="360" w:lineRule="auto"/>
        <w:ind w:firstLine="480" w:firstLineChars="200"/>
        <w:rPr>
          <w:bCs/>
          <w:color w:val="auto"/>
          <w:sz w:val="24"/>
          <w:szCs w:val="24"/>
          <w:lang w:bidi="en-US"/>
        </w:rPr>
      </w:pPr>
      <w:r>
        <w:rPr>
          <w:rFonts w:hint="eastAsia"/>
          <w:bCs/>
          <w:color w:val="auto"/>
          <w:sz w:val="24"/>
          <w:szCs w:val="24"/>
          <w:lang w:bidi="en-US"/>
        </w:rPr>
        <w:t>河南中能锂动电源</w:t>
      </w:r>
      <w:r>
        <w:rPr>
          <w:bCs/>
          <w:color w:val="auto"/>
          <w:sz w:val="24"/>
          <w:szCs w:val="24"/>
          <w:lang w:bidi="en-US"/>
        </w:rPr>
        <w:t>有限公司</w:t>
      </w:r>
      <w:r>
        <w:rPr>
          <w:rFonts w:hint="eastAsia"/>
          <w:bCs/>
          <w:color w:val="auto"/>
          <w:sz w:val="24"/>
          <w:szCs w:val="24"/>
          <w:lang w:bidi="en-US"/>
        </w:rPr>
        <w:t>年产79.2198亿只电池配件项目属于《产业结构调整指导目录（2019年本）》中的允许类项目，符合国家产业政策</w:t>
      </w:r>
      <w:r>
        <w:rPr>
          <w:rFonts w:hint="eastAsia"/>
          <w:bCs/>
          <w:color w:val="auto"/>
          <w:sz w:val="24"/>
          <w:szCs w:val="24"/>
          <w:lang w:eastAsia="zh-CN" w:bidi="en-US"/>
        </w:rPr>
        <w:t>；</w:t>
      </w:r>
      <w:r>
        <w:rPr>
          <w:bCs/>
          <w:color w:val="auto"/>
          <w:sz w:val="24"/>
          <w:szCs w:val="24"/>
          <w:lang w:bidi="en-US"/>
        </w:rPr>
        <w:t>工艺技术成熟可靠，符合清洁生产相关要求；废水和废气经采取有效的措施治理后，能够实现达标排放</w:t>
      </w:r>
      <w:r>
        <w:rPr>
          <w:rFonts w:hint="eastAsia"/>
          <w:bCs/>
          <w:color w:val="auto"/>
          <w:sz w:val="24"/>
          <w:szCs w:val="24"/>
          <w:lang w:eastAsia="zh-CN" w:bidi="en-US"/>
        </w:rPr>
        <w:t>；</w:t>
      </w:r>
      <w:r>
        <w:rPr>
          <w:bCs/>
          <w:color w:val="auto"/>
          <w:sz w:val="24"/>
          <w:szCs w:val="24"/>
          <w:lang w:bidi="en-US"/>
        </w:rPr>
        <w:t>工程产生的固体废物可得到妥善处置，不会产生二次污染</w:t>
      </w:r>
      <w:r>
        <w:rPr>
          <w:rFonts w:hint="eastAsia"/>
          <w:bCs/>
          <w:color w:val="auto"/>
          <w:sz w:val="24"/>
          <w:szCs w:val="24"/>
          <w:lang w:eastAsia="zh-CN" w:bidi="en-US"/>
        </w:rPr>
        <w:t>；</w:t>
      </w:r>
      <w:r>
        <w:rPr>
          <w:bCs/>
          <w:color w:val="auto"/>
          <w:sz w:val="24"/>
          <w:szCs w:val="24"/>
          <w:lang w:bidi="en-US"/>
        </w:rPr>
        <w:t>工程高噪声设备经治理后不会产生噪声扰民现象。</w:t>
      </w:r>
    </w:p>
    <w:p>
      <w:pPr>
        <w:adjustRightInd w:val="0"/>
        <w:snapToGrid w:val="0"/>
        <w:spacing w:line="360" w:lineRule="auto"/>
        <w:ind w:firstLine="480" w:firstLineChars="200"/>
        <w:rPr>
          <w:bCs/>
          <w:color w:val="auto"/>
          <w:sz w:val="24"/>
          <w:szCs w:val="24"/>
          <w:lang w:bidi="en-US"/>
        </w:rPr>
      </w:pPr>
      <w:r>
        <w:rPr>
          <w:bCs/>
          <w:color w:val="auto"/>
          <w:sz w:val="24"/>
          <w:szCs w:val="24"/>
          <w:lang w:bidi="en-US"/>
        </w:rPr>
        <w:t>从环境影响预测结果可知：工程废气对各关心点的环境空气质量影响较小，不会改变区域环境功能；工程排水不会改变区域地表水环境功能</w:t>
      </w:r>
      <w:r>
        <w:rPr>
          <w:rFonts w:hint="eastAsia"/>
          <w:bCs/>
          <w:color w:val="auto"/>
          <w:sz w:val="24"/>
          <w:szCs w:val="24"/>
          <w:lang w:eastAsia="zh-CN" w:bidi="en-US"/>
        </w:rPr>
        <w:t>；</w:t>
      </w:r>
      <w:r>
        <w:rPr>
          <w:bCs/>
          <w:color w:val="auto"/>
          <w:sz w:val="24"/>
          <w:szCs w:val="24"/>
          <w:lang w:bidi="en-US"/>
        </w:rPr>
        <w:t>工程噪声满足标准要求</w:t>
      </w:r>
      <w:r>
        <w:rPr>
          <w:rFonts w:hint="eastAsia"/>
          <w:bCs/>
          <w:color w:val="auto"/>
          <w:sz w:val="24"/>
          <w:szCs w:val="24"/>
          <w:lang w:eastAsia="zh-CN" w:bidi="en-US"/>
        </w:rPr>
        <w:t>；</w:t>
      </w:r>
      <w:r>
        <w:rPr>
          <w:bCs/>
          <w:color w:val="auto"/>
          <w:sz w:val="24"/>
          <w:szCs w:val="24"/>
          <w:lang w:bidi="en-US"/>
        </w:rPr>
        <w:t>工程固体废物可以得到妥善处置。</w:t>
      </w:r>
    </w:p>
    <w:p>
      <w:pPr>
        <w:adjustRightInd w:val="0"/>
        <w:snapToGrid w:val="0"/>
        <w:spacing w:line="360" w:lineRule="auto"/>
        <w:ind w:firstLine="480" w:firstLineChars="200"/>
        <w:rPr>
          <w:bCs/>
          <w:color w:val="auto"/>
          <w:sz w:val="24"/>
          <w:szCs w:val="24"/>
          <w:lang w:bidi="en-US"/>
        </w:rPr>
      </w:pPr>
      <w:r>
        <w:rPr>
          <w:bCs/>
          <w:color w:val="auto"/>
          <w:sz w:val="24"/>
          <w:szCs w:val="24"/>
          <w:lang w:bidi="en-US"/>
        </w:rPr>
        <w:t>经过评价论证分析，建设单位在严格落实环评报告提出的各项污染防治措施及风险防范措施基础上，项目建设期和营运期对周围环境影响较小，环境风险可控，</w:t>
      </w:r>
      <w:r>
        <w:rPr>
          <w:rFonts w:hint="eastAsia"/>
          <w:bCs/>
          <w:color w:val="auto"/>
          <w:sz w:val="24"/>
          <w:szCs w:val="24"/>
          <w:lang w:bidi="en-US"/>
        </w:rPr>
        <w:t>公众参与调查结果表明，公众对项目的建设无反对意见。从环保角度而言，该项目建设可行。</w:t>
      </w:r>
    </w:p>
    <w:p>
      <w:pPr>
        <w:rPr>
          <w:color w:val="auto"/>
        </w:rPr>
      </w:pPr>
    </w:p>
    <w:p>
      <w:pPr>
        <w:rPr>
          <w:color w:val="auto"/>
          <w:kern w:val="21"/>
        </w:rPr>
        <w:sectPr>
          <w:pgSz w:w="11906" w:h="16838"/>
          <w:pgMar w:top="1440" w:right="1800" w:bottom="1440" w:left="1800" w:header="1134" w:footer="1134" w:gutter="0"/>
          <w:cols w:space="720" w:num="1"/>
          <w:docGrid w:linePitch="312" w:charSpace="0"/>
        </w:sectPr>
      </w:pPr>
    </w:p>
    <w:p>
      <w:pPr>
        <w:pStyle w:val="3"/>
        <w:pageBreakBefore/>
        <w:widowControl w:val="0"/>
        <w:tabs>
          <w:tab w:val="left" w:pos="360"/>
        </w:tabs>
        <w:adjustRightInd/>
        <w:spacing w:before="240" w:beforeLines="100" w:after="240" w:afterLines="100" w:line="360" w:lineRule="auto"/>
        <w:contextualSpacing/>
        <w:textAlignment w:val="baseline"/>
        <w:rPr>
          <w:bCs w:val="0"/>
          <w:color w:val="auto"/>
          <w:szCs w:val="20"/>
        </w:rPr>
      </w:pPr>
      <w:bookmarkStart w:id="29" w:name="_Toc17706"/>
      <w:bookmarkStart w:id="30" w:name="_Toc12439_WPSOffice_Level1"/>
      <w:bookmarkStart w:id="31" w:name="_Toc13419_WPSOffice_Level1"/>
      <w:bookmarkStart w:id="32" w:name="_Toc112338927"/>
      <w:bookmarkStart w:id="33" w:name="_Toc17505"/>
      <w:bookmarkStart w:id="34" w:name="_Toc225498048"/>
      <w:bookmarkStart w:id="35" w:name="_Toc221598999"/>
      <w:bookmarkStart w:id="36" w:name="_Toc225497836"/>
      <w:bookmarkStart w:id="37" w:name="_Toc264113670"/>
      <w:bookmarkStart w:id="38" w:name="_Toc225498515"/>
      <w:bookmarkStart w:id="39" w:name="_Toc225489758"/>
      <w:bookmarkStart w:id="40" w:name="_Toc221594743"/>
      <w:bookmarkStart w:id="41" w:name="_Toc12073"/>
      <w:bookmarkStart w:id="42" w:name="_Toc225497987"/>
      <w:r>
        <w:rPr>
          <w:bCs w:val="0"/>
          <w:color w:val="auto"/>
          <w:szCs w:val="20"/>
        </w:rPr>
        <w:t>第二章  总则</w:t>
      </w:r>
      <w:bookmarkEnd w:id="29"/>
      <w:bookmarkEnd w:id="30"/>
      <w:bookmarkEnd w:id="31"/>
      <w:bookmarkEnd w:id="32"/>
      <w:bookmarkEnd w:id="33"/>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3" w:name="_Toc18396"/>
      <w:bookmarkStart w:id="44" w:name="_Toc112338928"/>
      <w:bookmarkStart w:id="45" w:name="_Toc10736_WPSOffice_Level2"/>
      <w:bookmarkStart w:id="46" w:name="_Toc25091"/>
      <w:r>
        <w:rPr>
          <w:bCs w:val="0"/>
          <w:color w:val="auto"/>
          <w:kern w:val="0"/>
          <w:szCs w:val="20"/>
          <w:lang w:val="en-US"/>
        </w:rPr>
        <w:t>2.1编制依据</w:t>
      </w:r>
      <w:bookmarkEnd w:id="34"/>
      <w:bookmarkEnd w:id="35"/>
      <w:bookmarkEnd w:id="36"/>
      <w:bookmarkEnd w:id="37"/>
      <w:bookmarkEnd w:id="38"/>
      <w:bookmarkEnd w:id="39"/>
      <w:bookmarkEnd w:id="40"/>
      <w:bookmarkEnd w:id="41"/>
      <w:bookmarkEnd w:id="42"/>
      <w:bookmarkEnd w:id="43"/>
      <w:bookmarkEnd w:id="44"/>
      <w:bookmarkEnd w:id="45"/>
      <w:bookmarkEnd w:id="46"/>
    </w:p>
    <w:p>
      <w:pPr>
        <w:pStyle w:val="271"/>
        <w:keepNext w:val="0"/>
        <w:keepLines w:val="0"/>
        <w:snapToGrid w:val="0"/>
        <w:spacing w:before="0" w:beforeLines="0" w:after="0" w:afterLines="0"/>
        <w:rPr>
          <w:rFonts w:cs="Times New Roman"/>
          <w:color w:val="auto"/>
          <w:kern w:val="21"/>
          <w:sz w:val="28"/>
          <w:szCs w:val="28"/>
        </w:rPr>
      </w:pPr>
      <w:bookmarkStart w:id="47" w:name="_Toc26776"/>
      <w:bookmarkStart w:id="48" w:name="_Toc225497988"/>
      <w:bookmarkStart w:id="49" w:name="_Toc169323576"/>
      <w:bookmarkStart w:id="50" w:name="_Toc168997005"/>
      <w:bookmarkStart w:id="51" w:name="_Toc225498516"/>
      <w:bookmarkStart w:id="52" w:name="_Toc221594745"/>
      <w:bookmarkStart w:id="53" w:name="_Toc219026192"/>
      <w:bookmarkStart w:id="54" w:name="_Toc167790186"/>
      <w:bookmarkStart w:id="55" w:name="_Toc221599001"/>
      <w:bookmarkStart w:id="56" w:name="_Toc167790581"/>
      <w:bookmarkStart w:id="57" w:name="_Toc264113671"/>
      <w:bookmarkStart w:id="58" w:name="_Toc225489759"/>
      <w:bookmarkStart w:id="59" w:name="_Toc105300147"/>
      <w:bookmarkStart w:id="60" w:name="_Toc225498049"/>
      <w:bookmarkStart w:id="61" w:name="_Toc225497837"/>
      <w:bookmarkStart w:id="62" w:name="_Toc37151144"/>
      <w:bookmarkStart w:id="63" w:name="_Toc215214436"/>
      <w:r>
        <w:rPr>
          <w:rFonts w:cs="Times New Roman"/>
          <w:color w:val="auto"/>
          <w:kern w:val="21"/>
          <w:sz w:val="28"/>
          <w:szCs w:val="28"/>
        </w:rPr>
        <w:t>2.1.1国家法律、法规</w:t>
      </w:r>
      <w:bookmarkEnd w:id="47"/>
      <w:r>
        <w:rPr>
          <w:rFonts w:cs="Times New Roman"/>
          <w:color w:val="auto"/>
          <w:kern w:val="21"/>
          <w:sz w:val="28"/>
          <w:szCs w:val="28"/>
        </w:rPr>
        <w:t>、规章和规范性文件</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）《中华人民共和国环境保护法》（</w:t>
      </w:r>
      <w:r>
        <w:rPr>
          <w:color w:val="auto"/>
          <w:kern w:val="21"/>
          <w:sz w:val="24"/>
        </w:rPr>
        <w:t>2015.1.1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）《中华人民共和国环境影响评价法》（</w:t>
      </w:r>
      <w:r>
        <w:rPr>
          <w:color w:val="auto"/>
          <w:kern w:val="21"/>
          <w:sz w:val="24"/>
        </w:rPr>
        <w:t>2018.12.29</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3</w:t>
      </w:r>
      <w:r>
        <w:rPr>
          <w:rFonts w:hint="eastAsia"/>
          <w:color w:val="auto"/>
          <w:kern w:val="21"/>
          <w:sz w:val="24"/>
        </w:rPr>
        <w:t>）《中华人民共和国水污染防治法》（</w:t>
      </w:r>
      <w:r>
        <w:rPr>
          <w:color w:val="auto"/>
          <w:kern w:val="21"/>
          <w:sz w:val="24"/>
        </w:rPr>
        <w:t>2018.1.1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4</w:t>
      </w:r>
      <w:r>
        <w:rPr>
          <w:rFonts w:hint="eastAsia"/>
          <w:color w:val="auto"/>
          <w:kern w:val="21"/>
          <w:sz w:val="24"/>
        </w:rPr>
        <w:t>）《中华人民共和国大气污染防治法》（</w:t>
      </w:r>
      <w:r>
        <w:rPr>
          <w:color w:val="auto"/>
          <w:kern w:val="21"/>
          <w:sz w:val="24"/>
        </w:rPr>
        <w:t>2018.10.26</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5</w:t>
      </w:r>
      <w:r>
        <w:rPr>
          <w:rFonts w:hint="eastAsia"/>
          <w:color w:val="auto"/>
          <w:kern w:val="21"/>
          <w:sz w:val="24"/>
        </w:rPr>
        <w:t>）《中华人民共和国环境噪声污染防治法》（</w:t>
      </w:r>
      <w:r>
        <w:rPr>
          <w:color w:val="auto"/>
          <w:kern w:val="21"/>
          <w:sz w:val="24"/>
        </w:rPr>
        <w:t>20</w:t>
      </w:r>
      <w:r>
        <w:rPr>
          <w:rFonts w:hint="eastAsia"/>
          <w:color w:val="auto"/>
          <w:kern w:val="21"/>
          <w:sz w:val="24"/>
        </w:rPr>
        <w:t>22.6</w:t>
      </w:r>
      <w:r>
        <w:rPr>
          <w:color w:val="auto"/>
          <w:kern w:val="21"/>
          <w:sz w:val="24"/>
        </w:rPr>
        <w:t>.</w:t>
      </w:r>
      <w:r>
        <w:rPr>
          <w:rFonts w:hint="eastAsia"/>
          <w:color w:val="auto"/>
          <w:kern w:val="21"/>
          <w:sz w:val="24"/>
        </w:rPr>
        <w:t>5）；</w:t>
      </w:r>
    </w:p>
    <w:p>
      <w:pPr>
        <w:adjustRightInd w:val="0"/>
        <w:snapToGrid w:val="0"/>
        <w:spacing w:line="360" w:lineRule="auto"/>
        <w:ind w:firstLine="480" w:firstLineChars="200"/>
        <w:rPr>
          <w:color w:val="auto"/>
          <w:kern w:val="21"/>
          <w:sz w:val="24"/>
        </w:rPr>
      </w:pPr>
      <w:r>
        <w:rPr>
          <w:rFonts w:hint="eastAsia"/>
          <w:color w:val="auto"/>
          <w:kern w:val="21"/>
          <w:sz w:val="24"/>
        </w:rPr>
        <w:t>（6）《中华人民共和国土壤污染防治法》（</w:t>
      </w:r>
      <w:r>
        <w:rPr>
          <w:color w:val="auto"/>
          <w:kern w:val="21"/>
          <w:sz w:val="24"/>
        </w:rPr>
        <w:t>201</w:t>
      </w:r>
      <w:r>
        <w:rPr>
          <w:rFonts w:hint="eastAsia"/>
          <w:color w:val="auto"/>
          <w:kern w:val="21"/>
          <w:sz w:val="24"/>
        </w:rPr>
        <w:t>9</w:t>
      </w:r>
      <w:r>
        <w:rPr>
          <w:color w:val="auto"/>
          <w:kern w:val="21"/>
          <w:sz w:val="24"/>
        </w:rPr>
        <w:t>.1.</w:t>
      </w:r>
      <w:r>
        <w:rPr>
          <w:rFonts w:hint="eastAsia"/>
          <w:color w:val="auto"/>
          <w:kern w:val="21"/>
          <w:sz w:val="24"/>
        </w:rPr>
        <w:t>1）；</w:t>
      </w:r>
    </w:p>
    <w:p>
      <w:pPr>
        <w:adjustRightInd w:val="0"/>
        <w:snapToGrid w:val="0"/>
        <w:spacing w:line="360" w:lineRule="auto"/>
        <w:ind w:firstLine="480" w:firstLineChars="200"/>
        <w:rPr>
          <w:color w:val="auto"/>
          <w:kern w:val="21"/>
          <w:sz w:val="24"/>
        </w:rPr>
      </w:pPr>
      <w:r>
        <w:rPr>
          <w:rFonts w:hint="eastAsia"/>
          <w:color w:val="auto"/>
          <w:kern w:val="21"/>
          <w:sz w:val="24"/>
        </w:rPr>
        <w:t>（7）《中华人民共和国固体废物污染环境防治法》（</w:t>
      </w:r>
      <w:r>
        <w:rPr>
          <w:color w:val="auto"/>
          <w:kern w:val="21"/>
          <w:sz w:val="24"/>
        </w:rPr>
        <w:t>2020.9.1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（8）《中华人民共和国节约能源法》（</w:t>
      </w:r>
      <w:r>
        <w:rPr>
          <w:color w:val="auto"/>
          <w:kern w:val="21"/>
          <w:sz w:val="24"/>
        </w:rPr>
        <w:t>2018.10.26</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（9）《中华人民共和国清洁生产促进法》（</w:t>
      </w:r>
      <w:r>
        <w:rPr>
          <w:color w:val="auto"/>
          <w:kern w:val="21"/>
          <w:sz w:val="24"/>
        </w:rPr>
        <w:t>2012.7.1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（10）《中华人民共和国土地管理法》（</w:t>
      </w:r>
      <w:r>
        <w:rPr>
          <w:color w:val="auto"/>
          <w:kern w:val="21"/>
          <w:sz w:val="24"/>
        </w:rPr>
        <w:t>2020.1.1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1）《水污染防治行动计划》（国发</w:t>
      </w:r>
      <w:r>
        <w:rPr>
          <w:color w:val="auto"/>
          <w:kern w:val="21"/>
          <w:sz w:val="24"/>
        </w:rPr>
        <w:t xml:space="preserve">[2015]17 </w:t>
      </w:r>
      <w:r>
        <w:rPr>
          <w:rFonts w:hint="eastAsia"/>
          <w:color w:val="auto"/>
          <w:kern w:val="21"/>
          <w:sz w:val="24"/>
        </w:rPr>
        <w:t>号，</w:t>
      </w:r>
      <w:r>
        <w:rPr>
          <w:color w:val="auto"/>
          <w:kern w:val="21"/>
          <w:sz w:val="24"/>
        </w:rPr>
        <w:t>2015.4.2</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2）《土壤污染防治行动计划》（国发</w:t>
      </w:r>
      <w:r>
        <w:rPr>
          <w:color w:val="auto"/>
          <w:kern w:val="21"/>
          <w:sz w:val="24"/>
        </w:rPr>
        <w:t xml:space="preserve">[2016]31 </w:t>
      </w:r>
      <w:r>
        <w:rPr>
          <w:rFonts w:hint="eastAsia"/>
          <w:color w:val="auto"/>
          <w:kern w:val="21"/>
          <w:sz w:val="24"/>
        </w:rPr>
        <w:t>号，</w:t>
      </w:r>
      <w:r>
        <w:rPr>
          <w:color w:val="auto"/>
          <w:kern w:val="21"/>
          <w:sz w:val="24"/>
        </w:rPr>
        <w:t>2016.5.28</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3）《建设项目环境保护管理条例》（国务院令第</w:t>
      </w:r>
      <w:r>
        <w:rPr>
          <w:color w:val="auto"/>
          <w:kern w:val="21"/>
          <w:sz w:val="24"/>
        </w:rPr>
        <w:t xml:space="preserve">253 </w:t>
      </w:r>
      <w:r>
        <w:rPr>
          <w:rFonts w:hint="eastAsia"/>
          <w:color w:val="auto"/>
          <w:kern w:val="21"/>
          <w:sz w:val="24"/>
        </w:rPr>
        <w:t>号，</w:t>
      </w:r>
      <w:r>
        <w:rPr>
          <w:color w:val="auto"/>
          <w:kern w:val="21"/>
          <w:sz w:val="24"/>
        </w:rPr>
        <w:t>2017.10.1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4）《建设项目环境影响评价分类管理名录</w:t>
      </w:r>
      <w:r>
        <w:rPr>
          <w:rFonts w:hint="eastAsia"/>
          <w:color w:val="auto"/>
          <w:kern w:val="21"/>
          <w:sz w:val="24"/>
          <w:lang w:eastAsia="zh-CN"/>
        </w:rPr>
        <w:t>（</w:t>
      </w:r>
      <w:r>
        <w:rPr>
          <w:color w:val="auto"/>
          <w:kern w:val="21"/>
          <w:sz w:val="24"/>
        </w:rPr>
        <w:t xml:space="preserve">2021 </w:t>
      </w:r>
      <w:r>
        <w:rPr>
          <w:rFonts w:hint="eastAsia"/>
          <w:color w:val="auto"/>
          <w:kern w:val="21"/>
          <w:sz w:val="24"/>
        </w:rPr>
        <w:t>年版</w:t>
      </w:r>
      <w:r>
        <w:rPr>
          <w:rFonts w:hint="eastAsia"/>
          <w:color w:val="auto"/>
          <w:kern w:val="21"/>
          <w:sz w:val="24"/>
          <w:lang w:eastAsia="zh-CN"/>
        </w:rPr>
        <w:t>）</w:t>
      </w:r>
      <w:r>
        <w:rPr>
          <w:rFonts w:hint="eastAsia"/>
          <w:color w:val="auto"/>
          <w:kern w:val="21"/>
          <w:sz w:val="24"/>
        </w:rPr>
        <w:t>》（生态环境部令第</w:t>
      </w:r>
      <w:r>
        <w:rPr>
          <w:color w:val="auto"/>
          <w:kern w:val="21"/>
          <w:sz w:val="24"/>
        </w:rPr>
        <w:t xml:space="preserve">16 </w:t>
      </w:r>
      <w:r>
        <w:rPr>
          <w:rFonts w:hint="eastAsia"/>
          <w:color w:val="auto"/>
          <w:kern w:val="21"/>
          <w:sz w:val="24"/>
        </w:rPr>
        <w:t>号，</w:t>
      </w:r>
      <w:r>
        <w:rPr>
          <w:color w:val="auto"/>
          <w:kern w:val="21"/>
          <w:sz w:val="24"/>
        </w:rPr>
        <w:t>2021.1.1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5）《产业结构调整指导目录（</w:t>
      </w:r>
      <w:r>
        <w:rPr>
          <w:color w:val="auto"/>
          <w:kern w:val="21"/>
          <w:sz w:val="24"/>
        </w:rPr>
        <w:t xml:space="preserve">2019 </w:t>
      </w:r>
      <w:r>
        <w:rPr>
          <w:rFonts w:hint="eastAsia"/>
          <w:color w:val="auto"/>
          <w:kern w:val="21"/>
          <w:sz w:val="24"/>
        </w:rPr>
        <w:t>年本）》（</w:t>
      </w:r>
      <w:r>
        <w:rPr>
          <w:color w:val="auto"/>
          <w:kern w:val="21"/>
          <w:sz w:val="24"/>
        </w:rPr>
        <w:t>2020.1.1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6）《环境影响评价公众参与办法》（生态环境部令第</w:t>
      </w:r>
      <w:r>
        <w:rPr>
          <w:color w:val="auto"/>
          <w:kern w:val="21"/>
          <w:sz w:val="24"/>
        </w:rPr>
        <w:t xml:space="preserve">4 </w:t>
      </w:r>
      <w:r>
        <w:rPr>
          <w:rFonts w:hint="eastAsia"/>
          <w:color w:val="auto"/>
          <w:kern w:val="21"/>
          <w:sz w:val="24"/>
        </w:rPr>
        <w:t>号，</w:t>
      </w:r>
      <w:r>
        <w:rPr>
          <w:color w:val="auto"/>
          <w:kern w:val="21"/>
          <w:sz w:val="24"/>
        </w:rPr>
        <w:t>2019.1.1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7）《国家危险废物名录</w:t>
      </w:r>
      <w:r>
        <w:rPr>
          <w:rFonts w:hint="eastAsia"/>
          <w:color w:val="auto"/>
          <w:kern w:val="21"/>
          <w:sz w:val="24"/>
          <w:lang w:eastAsia="zh-CN"/>
        </w:rPr>
        <w:t>（</w:t>
      </w:r>
      <w:r>
        <w:rPr>
          <w:color w:val="auto"/>
          <w:kern w:val="21"/>
          <w:sz w:val="24"/>
        </w:rPr>
        <w:t xml:space="preserve">2021 </w:t>
      </w:r>
      <w:r>
        <w:rPr>
          <w:rFonts w:hint="eastAsia"/>
          <w:color w:val="auto"/>
          <w:kern w:val="21"/>
          <w:sz w:val="24"/>
        </w:rPr>
        <w:t>年版</w:t>
      </w:r>
      <w:r>
        <w:rPr>
          <w:rFonts w:hint="eastAsia"/>
          <w:color w:val="auto"/>
          <w:kern w:val="21"/>
          <w:sz w:val="24"/>
          <w:lang w:eastAsia="zh-CN"/>
        </w:rPr>
        <w:t>）</w:t>
      </w:r>
      <w:r>
        <w:rPr>
          <w:rFonts w:hint="eastAsia"/>
          <w:color w:val="auto"/>
          <w:kern w:val="21"/>
          <w:sz w:val="24"/>
        </w:rPr>
        <w:t>》（生态环境部令第</w:t>
      </w:r>
      <w:r>
        <w:rPr>
          <w:color w:val="auto"/>
          <w:kern w:val="21"/>
          <w:sz w:val="24"/>
        </w:rPr>
        <w:t xml:space="preserve">15 </w:t>
      </w:r>
      <w:r>
        <w:rPr>
          <w:rFonts w:hint="eastAsia"/>
          <w:color w:val="auto"/>
          <w:kern w:val="21"/>
          <w:sz w:val="24"/>
        </w:rPr>
        <w:t>号，</w:t>
      </w:r>
      <w:r>
        <w:rPr>
          <w:color w:val="auto"/>
          <w:kern w:val="21"/>
          <w:sz w:val="24"/>
        </w:rPr>
        <w:t>2021.1.1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8）关于印发《突发环境事件应急预案管理暂行办法》的通知（环发</w:t>
      </w:r>
    </w:p>
    <w:p>
      <w:pPr>
        <w:adjustRightInd w:val="0"/>
        <w:snapToGrid w:val="0"/>
        <w:spacing w:line="360" w:lineRule="auto"/>
        <w:ind w:firstLine="480" w:firstLineChars="200"/>
        <w:rPr>
          <w:color w:val="auto"/>
          <w:kern w:val="21"/>
          <w:sz w:val="24"/>
        </w:rPr>
      </w:pPr>
      <w:r>
        <w:rPr>
          <w:color w:val="auto"/>
          <w:kern w:val="21"/>
          <w:sz w:val="24"/>
        </w:rPr>
        <w:t xml:space="preserve">[2010]113 </w:t>
      </w:r>
      <w:r>
        <w:rPr>
          <w:rFonts w:hint="eastAsia"/>
          <w:color w:val="auto"/>
          <w:kern w:val="21"/>
          <w:sz w:val="24"/>
        </w:rPr>
        <w:t>号，</w:t>
      </w:r>
      <w:r>
        <w:rPr>
          <w:color w:val="auto"/>
          <w:kern w:val="21"/>
          <w:sz w:val="24"/>
        </w:rPr>
        <w:t>2010.9.28</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9）《关于进一步加强环境影响评价管理防范环境风险的通知》（环发</w:t>
      </w:r>
    </w:p>
    <w:p>
      <w:pPr>
        <w:adjustRightInd w:val="0"/>
        <w:snapToGrid w:val="0"/>
        <w:spacing w:line="360" w:lineRule="auto"/>
        <w:ind w:firstLine="480" w:firstLineChars="200"/>
        <w:rPr>
          <w:color w:val="auto"/>
          <w:kern w:val="21"/>
          <w:sz w:val="24"/>
        </w:rPr>
      </w:pPr>
      <w:r>
        <w:rPr>
          <w:color w:val="auto"/>
          <w:kern w:val="21"/>
          <w:sz w:val="24"/>
        </w:rPr>
        <w:t xml:space="preserve">[2012]77 </w:t>
      </w:r>
      <w:r>
        <w:rPr>
          <w:rFonts w:hint="eastAsia"/>
          <w:color w:val="auto"/>
          <w:kern w:val="21"/>
          <w:sz w:val="24"/>
        </w:rPr>
        <w:t>号，</w:t>
      </w:r>
      <w:r>
        <w:rPr>
          <w:color w:val="auto"/>
          <w:kern w:val="21"/>
          <w:sz w:val="24"/>
        </w:rPr>
        <w:t>2012.7.3</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（20）《关于切实加强风险防范严格环境影响评价管理的通知》，环发</w:t>
      </w:r>
    </w:p>
    <w:p>
      <w:pPr>
        <w:adjustRightInd w:val="0"/>
        <w:snapToGrid w:val="0"/>
        <w:spacing w:line="360" w:lineRule="auto"/>
        <w:ind w:firstLine="480" w:firstLineChars="200"/>
        <w:rPr>
          <w:color w:val="auto"/>
          <w:kern w:val="21"/>
          <w:sz w:val="24"/>
        </w:rPr>
      </w:pPr>
      <w:r>
        <w:rPr>
          <w:color w:val="auto"/>
          <w:kern w:val="21"/>
          <w:sz w:val="24"/>
        </w:rPr>
        <w:t xml:space="preserve">[2012]98 </w:t>
      </w:r>
      <w:r>
        <w:rPr>
          <w:rFonts w:hint="eastAsia"/>
          <w:color w:val="auto"/>
          <w:kern w:val="21"/>
          <w:sz w:val="24"/>
        </w:rPr>
        <w:t>号（</w:t>
      </w:r>
      <w:r>
        <w:rPr>
          <w:color w:val="auto"/>
          <w:kern w:val="21"/>
          <w:sz w:val="24"/>
        </w:rPr>
        <w:t>2012.8.7</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1）《建设项目环境影响评价信息公开机制方案》（环发</w:t>
      </w:r>
      <w:r>
        <w:rPr>
          <w:color w:val="auto"/>
          <w:kern w:val="21"/>
          <w:sz w:val="24"/>
        </w:rPr>
        <w:t xml:space="preserve">[2015]162 </w:t>
      </w:r>
      <w:r>
        <w:rPr>
          <w:rFonts w:hint="eastAsia"/>
          <w:color w:val="auto"/>
          <w:kern w:val="21"/>
          <w:sz w:val="24"/>
        </w:rPr>
        <w:t>号，</w:t>
      </w:r>
    </w:p>
    <w:p>
      <w:pPr>
        <w:adjustRightInd w:val="0"/>
        <w:snapToGrid w:val="0"/>
        <w:spacing w:line="360" w:lineRule="auto"/>
        <w:ind w:firstLine="480" w:firstLineChars="200"/>
        <w:rPr>
          <w:color w:val="auto"/>
          <w:kern w:val="21"/>
          <w:sz w:val="24"/>
        </w:rPr>
      </w:pPr>
      <w:r>
        <w:rPr>
          <w:color w:val="auto"/>
          <w:kern w:val="21"/>
          <w:sz w:val="24"/>
        </w:rPr>
        <w:t>2015.12.10</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2）《市场准入负面清单（</w:t>
      </w:r>
      <w:r>
        <w:rPr>
          <w:color w:val="auto"/>
          <w:kern w:val="21"/>
          <w:sz w:val="24"/>
        </w:rPr>
        <w:t xml:space="preserve">2020 </w:t>
      </w:r>
      <w:r>
        <w:rPr>
          <w:rFonts w:hint="eastAsia"/>
          <w:color w:val="auto"/>
          <w:kern w:val="21"/>
          <w:sz w:val="24"/>
        </w:rPr>
        <w:t>年版）》（</w:t>
      </w:r>
      <w:r>
        <w:rPr>
          <w:color w:val="auto"/>
          <w:kern w:val="21"/>
          <w:sz w:val="24"/>
        </w:rPr>
        <w:t>2020.12.10</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3）《河南省淘汰落后产能综合标准体系》（</w:t>
      </w:r>
      <w:r>
        <w:rPr>
          <w:color w:val="auto"/>
          <w:kern w:val="21"/>
          <w:sz w:val="24"/>
        </w:rPr>
        <w:t>20</w:t>
      </w:r>
      <w:r>
        <w:rPr>
          <w:rFonts w:hint="eastAsia"/>
          <w:color w:val="auto"/>
          <w:kern w:val="21"/>
          <w:sz w:val="24"/>
        </w:rPr>
        <w:t>20年本）；</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4）《河南省建设项目环境保护条例》（</w:t>
      </w:r>
      <w:r>
        <w:rPr>
          <w:color w:val="auto"/>
          <w:kern w:val="21"/>
          <w:sz w:val="24"/>
        </w:rPr>
        <w:t>2016.3.29</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25</w:t>
      </w:r>
      <w:r>
        <w:rPr>
          <w:rFonts w:hint="eastAsia"/>
          <w:color w:val="auto"/>
          <w:kern w:val="21"/>
          <w:sz w:val="24"/>
        </w:rPr>
        <w:t>）《关于加强建设项目环境影响评价信息公开工作的公告》（原河南省</w:t>
      </w:r>
    </w:p>
    <w:p>
      <w:pPr>
        <w:adjustRightInd w:val="0"/>
        <w:snapToGrid w:val="0"/>
        <w:spacing w:line="360" w:lineRule="auto"/>
        <w:ind w:firstLine="480" w:firstLineChars="200"/>
        <w:rPr>
          <w:color w:val="auto"/>
          <w:kern w:val="21"/>
          <w:sz w:val="24"/>
        </w:rPr>
      </w:pPr>
      <w:r>
        <w:rPr>
          <w:rFonts w:hint="eastAsia"/>
          <w:color w:val="auto"/>
          <w:kern w:val="21"/>
          <w:sz w:val="24"/>
        </w:rPr>
        <w:t>环境保护厅公告</w:t>
      </w:r>
      <w:r>
        <w:rPr>
          <w:color w:val="auto"/>
          <w:kern w:val="21"/>
          <w:sz w:val="24"/>
        </w:rPr>
        <w:t xml:space="preserve">2016 </w:t>
      </w:r>
      <w:r>
        <w:rPr>
          <w:rFonts w:hint="eastAsia"/>
          <w:color w:val="auto"/>
          <w:kern w:val="21"/>
          <w:sz w:val="24"/>
        </w:rPr>
        <w:t>年第</w:t>
      </w:r>
      <w:r>
        <w:rPr>
          <w:color w:val="auto"/>
          <w:kern w:val="21"/>
          <w:sz w:val="24"/>
        </w:rPr>
        <w:t xml:space="preserve">7 </w:t>
      </w:r>
      <w:r>
        <w:rPr>
          <w:rFonts w:hint="eastAsia"/>
          <w:color w:val="auto"/>
          <w:kern w:val="21"/>
          <w:sz w:val="24"/>
        </w:rPr>
        <w:t>号，</w:t>
      </w:r>
      <w:r>
        <w:rPr>
          <w:color w:val="auto"/>
          <w:kern w:val="21"/>
          <w:sz w:val="24"/>
        </w:rPr>
        <w:t>2016.3.13</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6）</w:t>
      </w:r>
      <w:r>
        <w:rPr>
          <w:color w:val="auto"/>
          <w:kern w:val="21"/>
          <w:sz w:val="24"/>
        </w:rPr>
        <w:t>《关于加强涉重金属行业污染防控的意见》（环土壤[2018]22号）</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（27）</w:t>
      </w:r>
      <w:r>
        <w:rPr>
          <w:color w:val="auto"/>
          <w:kern w:val="21"/>
          <w:sz w:val="24"/>
        </w:rPr>
        <w:t>《排污许可管理办法（试行）》（2017</w:t>
      </w:r>
      <w:r>
        <w:rPr>
          <w:rFonts w:hint="eastAsia"/>
          <w:color w:val="auto"/>
          <w:kern w:val="21"/>
          <w:sz w:val="24"/>
        </w:rPr>
        <w:t>.</w:t>
      </w:r>
      <w:r>
        <w:rPr>
          <w:color w:val="auto"/>
          <w:kern w:val="21"/>
          <w:sz w:val="24"/>
        </w:rPr>
        <w:t>11</w:t>
      </w:r>
      <w:r>
        <w:rPr>
          <w:rFonts w:hint="eastAsia"/>
          <w:color w:val="auto"/>
          <w:kern w:val="21"/>
          <w:sz w:val="24"/>
        </w:rPr>
        <w:t>.</w:t>
      </w:r>
      <w:r>
        <w:rPr>
          <w:color w:val="auto"/>
          <w:kern w:val="21"/>
          <w:sz w:val="24"/>
        </w:rPr>
        <w:t>6）；</w:t>
      </w:r>
    </w:p>
    <w:p>
      <w:pPr>
        <w:adjustRightInd w:val="0"/>
        <w:snapToGrid w:val="0"/>
        <w:spacing w:line="360" w:lineRule="auto"/>
        <w:ind w:firstLine="480" w:firstLineChars="200"/>
        <w:rPr>
          <w:color w:val="auto"/>
          <w:kern w:val="0"/>
          <w:sz w:val="24"/>
          <w:szCs w:val="20"/>
        </w:rPr>
      </w:pPr>
      <w:r>
        <w:rPr>
          <w:rFonts w:hint="eastAsia"/>
          <w:color w:val="auto"/>
          <w:kern w:val="21"/>
          <w:sz w:val="24"/>
        </w:rPr>
        <w:t>（28）</w:t>
      </w:r>
      <w:r>
        <w:rPr>
          <w:rFonts w:hint="eastAsia"/>
          <w:color w:val="auto"/>
          <w:kern w:val="0"/>
          <w:sz w:val="24"/>
          <w:szCs w:val="20"/>
        </w:rPr>
        <w:t>《关于做好“十四五”主要污染物总量减排工作的通知》（环办综合函</w:t>
      </w:r>
      <w:r>
        <w:rPr>
          <w:color w:val="auto"/>
          <w:kern w:val="0"/>
          <w:sz w:val="24"/>
          <w:szCs w:val="20"/>
        </w:rPr>
        <w:t xml:space="preserve">[2021]323 </w:t>
      </w:r>
      <w:r>
        <w:rPr>
          <w:rFonts w:hint="eastAsia"/>
          <w:color w:val="auto"/>
          <w:kern w:val="0"/>
          <w:sz w:val="24"/>
          <w:szCs w:val="20"/>
        </w:rPr>
        <w:t>号）</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29</w:t>
      </w:r>
      <w:r>
        <w:rPr>
          <w:rFonts w:hint="eastAsia"/>
          <w:color w:val="auto"/>
          <w:kern w:val="21"/>
          <w:sz w:val="24"/>
        </w:rPr>
        <w:t>）《河南省固体废物污染环境防治条例》（</w:t>
      </w:r>
      <w:r>
        <w:rPr>
          <w:color w:val="auto"/>
          <w:kern w:val="21"/>
          <w:sz w:val="24"/>
        </w:rPr>
        <w:t>2012.1.1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30</w:t>
      </w:r>
      <w:r>
        <w:rPr>
          <w:rFonts w:hint="eastAsia"/>
          <w:color w:val="auto"/>
          <w:kern w:val="21"/>
          <w:sz w:val="24"/>
        </w:rPr>
        <w:t>）《河南省大气污染防治条例》（</w:t>
      </w:r>
      <w:r>
        <w:rPr>
          <w:color w:val="auto"/>
          <w:kern w:val="21"/>
          <w:sz w:val="24"/>
        </w:rPr>
        <w:t>2018.3.1</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31</w:t>
      </w:r>
      <w:r>
        <w:rPr>
          <w:rFonts w:hint="eastAsia"/>
          <w:color w:val="auto"/>
          <w:kern w:val="21"/>
          <w:sz w:val="24"/>
        </w:rPr>
        <w:t>）《河南省涉重金属重点行业污染防控工作方案的通知》（豫环文</w:t>
      </w:r>
    </w:p>
    <w:p>
      <w:pPr>
        <w:adjustRightInd w:val="0"/>
        <w:snapToGrid w:val="0"/>
        <w:spacing w:line="360" w:lineRule="auto"/>
        <w:ind w:firstLine="480" w:firstLineChars="200"/>
        <w:rPr>
          <w:color w:val="auto"/>
          <w:kern w:val="21"/>
          <w:sz w:val="24"/>
        </w:rPr>
      </w:pPr>
      <w:r>
        <w:rPr>
          <w:color w:val="auto"/>
          <w:kern w:val="21"/>
          <w:sz w:val="24"/>
        </w:rPr>
        <w:t xml:space="preserve">[2018]262 </w:t>
      </w:r>
      <w:r>
        <w:rPr>
          <w:rFonts w:hint="eastAsia"/>
          <w:color w:val="auto"/>
          <w:kern w:val="21"/>
          <w:sz w:val="24"/>
        </w:rPr>
        <w:t>号，</w:t>
      </w:r>
      <w:r>
        <w:rPr>
          <w:color w:val="auto"/>
          <w:kern w:val="21"/>
          <w:sz w:val="24"/>
        </w:rPr>
        <w:t>2018.10.8</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32</w:t>
      </w:r>
      <w:r>
        <w:rPr>
          <w:rFonts w:hint="eastAsia"/>
          <w:color w:val="auto"/>
          <w:kern w:val="21"/>
          <w:sz w:val="24"/>
        </w:rPr>
        <w:t>）《河南省生态环境厅关于印发河南省工业大气污染防治</w:t>
      </w:r>
      <w:r>
        <w:rPr>
          <w:color w:val="auto"/>
          <w:kern w:val="21"/>
          <w:sz w:val="24"/>
        </w:rPr>
        <w:t xml:space="preserve">6 </w:t>
      </w:r>
      <w:r>
        <w:rPr>
          <w:rFonts w:hint="eastAsia"/>
          <w:color w:val="auto"/>
          <w:kern w:val="21"/>
          <w:sz w:val="24"/>
        </w:rPr>
        <w:t>个专项方案的通知》（豫环文</w:t>
      </w:r>
      <w:r>
        <w:rPr>
          <w:color w:val="auto"/>
          <w:kern w:val="21"/>
          <w:sz w:val="24"/>
        </w:rPr>
        <w:t xml:space="preserve">[2019]84 </w:t>
      </w:r>
      <w:r>
        <w:rPr>
          <w:rFonts w:hint="eastAsia"/>
          <w:color w:val="auto"/>
          <w:kern w:val="21"/>
          <w:sz w:val="24"/>
        </w:rPr>
        <w:t>号，</w:t>
      </w:r>
      <w:r>
        <w:rPr>
          <w:color w:val="auto"/>
          <w:kern w:val="21"/>
          <w:sz w:val="24"/>
        </w:rPr>
        <w:t>2019.04.09</w:t>
      </w:r>
      <w:r>
        <w:rPr>
          <w:rFonts w:hint="eastAsia"/>
          <w:color w:val="auto"/>
          <w:kern w:val="21"/>
          <w:sz w:val="24"/>
        </w:rPr>
        <w:t>）；</w:t>
      </w:r>
    </w:p>
    <w:p>
      <w:pPr>
        <w:adjustRightInd w:val="0"/>
        <w:snapToGrid w:val="0"/>
        <w:spacing w:line="360" w:lineRule="auto"/>
        <w:ind w:firstLine="480" w:firstLineChars="200"/>
        <w:rPr>
          <w:color w:val="auto"/>
          <w:kern w:val="21"/>
          <w:sz w:val="24"/>
        </w:rPr>
      </w:pPr>
      <w:r>
        <w:rPr>
          <w:color w:val="auto"/>
          <w:kern w:val="21"/>
          <w:sz w:val="24"/>
        </w:rPr>
        <w:t>（</w:t>
      </w:r>
      <w:r>
        <w:rPr>
          <w:rFonts w:hint="eastAsia"/>
          <w:color w:val="auto"/>
          <w:kern w:val="21"/>
          <w:sz w:val="24"/>
          <w:lang w:val="en-US" w:eastAsia="zh-CN"/>
        </w:rPr>
        <w:t>33</w:t>
      </w:r>
      <w:r>
        <w:rPr>
          <w:color w:val="auto"/>
          <w:kern w:val="21"/>
          <w:sz w:val="24"/>
        </w:rPr>
        <w:t>）</w:t>
      </w:r>
      <w:r>
        <w:rPr>
          <w:rFonts w:hint="eastAsia"/>
          <w:color w:val="auto"/>
          <w:kern w:val="21"/>
          <w:sz w:val="24"/>
        </w:rPr>
        <w:t>《河南省2022年大气、水、土壤污染防治攻坚战及农业农村污染治理攻坚战实施方案》（豫环委办</w:t>
      </w:r>
      <w:r>
        <w:rPr>
          <w:rFonts w:hint="eastAsia"/>
          <w:color w:val="auto"/>
          <w:kern w:val="21"/>
          <w:sz w:val="24"/>
          <w:lang w:eastAsia="zh-CN"/>
        </w:rPr>
        <w:t>〔</w:t>
      </w:r>
      <w:r>
        <w:rPr>
          <w:rFonts w:hint="eastAsia"/>
          <w:color w:val="auto"/>
          <w:kern w:val="21"/>
          <w:sz w:val="24"/>
        </w:rPr>
        <w:t>2022</w:t>
      </w:r>
      <w:r>
        <w:rPr>
          <w:rFonts w:hint="eastAsia"/>
          <w:color w:val="auto"/>
          <w:kern w:val="21"/>
          <w:sz w:val="24"/>
          <w:lang w:eastAsia="zh-CN"/>
        </w:rPr>
        <w:t>〕</w:t>
      </w:r>
      <w:r>
        <w:rPr>
          <w:rFonts w:hint="eastAsia"/>
          <w:color w:val="auto"/>
          <w:kern w:val="21"/>
          <w:sz w:val="24"/>
        </w:rPr>
        <w:t>9号）</w:t>
      </w:r>
      <w:r>
        <w:rPr>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34</w:t>
      </w:r>
      <w:r>
        <w:rPr>
          <w:rFonts w:hint="eastAsia"/>
          <w:color w:val="auto"/>
          <w:kern w:val="21"/>
          <w:sz w:val="24"/>
        </w:rPr>
        <w:t>）</w:t>
      </w:r>
      <w:r>
        <w:rPr>
          <w:bCs/>
          <w:color w:val="auto"/>
          <w:sz w:val="24"/>
        </w:rPr>
        <w:t>《关于印发河南省重金属污染防治工作指导意见的通知》（豫环文[2017]277号）</w:t>
      </w:r>
      <w:r>
        <w:rPr>
          <w:color w:val="auto"/>
          <w:kern w:val="21"/>
          <w:sz w:val="24"/>
        </w:rPr>
        <w:t>；</w:t>
      </w:r>
    </w:p>
    <w:p>
      <w:pPr>
        <w:adjustRightInd w:val="0"/>
        <w:snapToGrid w:val="0"/>
        <w:spacing w:line="360" w:lineRule="auto"/>
        <w:ind w:firstLine="480" w:firstLineChars="200"/>
        <w:rPr>
          <w:color w:val="auto"/>
          <w:kern w:val="21"/>
          <w:sz w:val="24"/>
        </w:rPr>
      </w:pPr>
      <w:r>
        <w:rPr>
          <w:color w:val="auto"/>
          <w:kern w:val="21"/>
          <w:sz w:val="24"/>
        </w:rPr>
        <w:t>（</w:t>
      </w:r>
      <w:r>
        <w:rPr>
          <w:rFonts w:hint="eastAsia"/>
          <w:color w:val="auto"/>
          <w:kern w:val="21"/>
          <w:sz w:val="24"/>
          <w:lang w:val="en-US" w:eastAsia="zh-CN"/>
        </w:rPr>
        <w:t>35</w:t>
      </w:r>
      <w:r>
        <w:rPr>
          <w:color w:val="auto"/>
          <w:kern w:val="21"/>
          <w:sz w:val="24"/>
        </w:rPr>
        <w:t>）《重点区域20</w:t>
      </w:r>
      <w:r>
        <w:rPr>
          <w:rFonts w:hint="eastAsia"/>
          <w:color w:val="auto"/>
          <w:kern w:val="21"/>
          <w:sz w:val="24"/>
        </w:rPr>
        <w:t>21</w:t>
      </w:r>
      <w:r>
        <w:rPr>
          <w:rFonts w:hint="eastAsia"/>
          <w:color w:val="auto"/>
          <w:kern w:val="21"/>
          <w:sz w:val="24"/>
          <w:lang w:eastAsia="zh-CN"/>
        </w:rPr>
        <w:t>—</w:t>
      </w:r>
      <w:r>
        <w:rPr>
          <w:color w:val="auto"/>
          <w:kern w:val="21"/>
          <w:sz w:val="24"/>
        </w:rPr>
        <w:t>20</w:t>
      </w:r>
      <w:r>
        <w:rPr>
          <w:rFonts w:hint="eastAsia"/>
          <w:color w:val="auto"/>
          <w:kern w:val="21"/>
          <w:sz w:val="24"/>
        </w:rPr>
        <w:t>22</w:t>
      </w:r>
      <w:r>
        <w:rPr>
          <w:color w:val="auto"/>
          <w:kern w:val="21"/>
          <w:sz w:val="24"/>
        </w:rPr>
        <w:t>年秋冬季大气污染综合治理攻坚方案》；</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36</w:t>
      </w:r>
      <w:r>
        <w:rPr>
          <w:rFonts w:hint="eastAsia"/>
          <w:color w:val="auto"/>
          <w:kern w:val="21"/>
          <w:sz w:val="24"/>
        </w:rPr>
        <w:t>）《关于建立“两高”项目会商联审机制的通知》（豫发改环资〔</w:t>
      </w:r>
      <w:r>
        <w:rPr>
          <w:color w:val="auto"/>
          <w:kern w:val="21"/>
          <w:sz w:val="24"/>
        </w:rPr>
        <w:t>2021</w:t>
      </w:r>
      <w:r>
        <w:rPr>
          <w:rFonts w:hint="eastAsia"/>
          <w:color w:val="auto"/>
          <w:kern w:val="21"/>
          <w:sz w:val="24"/>
        </w:rPr>
        <w:t>〕</w:t>
      </w:r>
      <w:r>
        <w:rPr>
          <w:color w:val="auto"/>
          <w:kern w:val="21"/>
          <w:sz w:val="24"/>
        </w:rPr>
        <w:t xml:space="preserve">977 </w:t>
      </w:r>
      <w:r>
        <w:rPr>
          <w:rFonts w:hint="eastAsia"/>
          <w:color w:val="auto"/>
          <w:kern w:val="21"/>
          <w:sz w:val="24"/>
        </w:rPr>
        <w:t>号）；</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37</w:t>
      </w:r>
      <w:r>
        <w:rPr>
          <w:color w:val="auto"/>
          <w:kern w:val="21"/>
          <w:sz w:val="24"/>
        </w:rPr>
        <w:t>）《新乡市2022年大气、水、土壤污染防治攻坚战及农业农村污染治理实施方案》（新环攻坚办〔2022〕60号）；</w:t>
      </w:r>
    </w:p>
    <w:p>
      <w:pPr>
        <w:adjustRightInd w:val="0"/>
        <w:snapToGrid w:val="0"/>
        <w:spacing w:line="360" w:lineRule="auto"/>
        <w:ind w:firstLine="480" w:firstLineChars="200"/>
        <w:rPr>
          <w:color w:val="auto"/>
          <w:kern w:val="21"/>
          <w:sz w:val="24"/>
        </w:rPr>
      </w:pPr>
      <w:r>
        <w:rPr>
          <w:color w:val="auto"/>
          <w:kern w:val="21"/>
          <w:sz w:val="24"/>
        </w:rPr>
        <w:t>（</w:t>
      </w:r>
      <w:r>
        <w:rPr>
          <w:rFonts w:hint="eastAsia"/>
          <w:color w:val="auto"/>
          <w:kern w:val="21"/>
          <w:sz w:val="24"/>
          <w:lang w:val="en-US" w:eastAsia="zh-CN"/>
        </w:rPr>
        <w:t>38</w:t>
      </w:r>
      <w:r>
        <w:rPr>
          <w:color w:val="auto"/>
          <w:kern w:val="21"/>
          <w:sz w:val="24"/>
        </w:rPr>
        <w:t>）《关于印发新乡市2019年工业企业无组织排放治理方案的通知》；</w:t>
      </w:r>
    </w:p>
    <w:p>
      <w:pPr>
        <w:pStyle w:val="43"/>
        <w:ind w:firstLine="480" w:firstLineChars="200"/>
        <w:rPr>
          <w:rFonts w:hint="eastAsia" w:ascii="Times New Roman" w:hAnsi="Times New Roman"/>
          <w:bCs/>
          <w:color w:val="auto"/>
          <w:sz w:val="24"/>
          <w:szCs w:val="24"/>
          <w:lang w:eastAsia="zh-CN" w:bidi="en-US"/>
        </w:rPr>
      </w:pPr>
      <w:r>
        <w:rPr>
          <w:rFonts w:ascii="Times New Roman" w:hAnsi="Times New Roman"/>
          <w:color w:val="auto"/>
          <w:kern w:val="21"/>
          <w:sz w:val="24"/>
        </w:rPr>
        <w:t>（</w:t>
      </w:r>
      <w:r>
        <w:rPr>
          <w:rFonts w:hint="eastAsia" w:ascii="Times New Roman" w:hAnsi="Times New Roman"/>
          <w:color w:val="auto"/>
          <w:kern w:val="21"/>
          <w:sz w:val="24"/>
          <w:lang w:val="en-US" w:eastAsia="zh-CN"/>
        </w:rPr>
        <w:t>39</w:t>
      </w:r>
      <w:r>
        <w:rPr>
          <w:rFonts w:ascii="Times New Roman" w:hAnsi="Times New Roman"/>
          <w:color w:val="auto"/>
          <w:kern w:val="21"/>
          <w:sz w:val="24"/>
        </w:rPr>
        <w:t>）</w:t>
      </w:r>
      <w:r>
        <w:rPr>
          <w:rFonts w:ascii="Times New Roman" w:hAnsi="Times New Roman"/>
          <w:bCs/>
          <w:color w:val="auto"/>
          <w:sz w:val="24"/>
          <w:szCs w:val="24"/>
          <w:lang w:bidi="en-US"/>
        </w:rPr>
        <w:t>《新乡市</w:t>
      </w:r>
      <w:r>
        <w:rPr>
          <w:rFonts w:hint="eastAsia" w:ascii="Times New Roman" w:hAnsi="Times New Roman"/>
          <w:bCs/>
          <w:color w:val="auto"/>
          <w:sz w:val="24"/>
          <w:szCs w:val="24"/>
          <w:lang w:bidi="en-US"/>
        </w:rPr>
        <w:t>“</w:t>
      </w:r>
      <w:r>
        <w:rPr>
          <w:rFonts w:ascii="Times New Roman" w:hAnsi="Times New Roman"/>
          <w:bCs/>
          <w:color w:val="auto"/>
          <w:sz w:val="24"/>
          <w:szCs w:val="24"/>
          <w:lang w:bidi="en-US"/>
        </w:rPr>
        <w:t>十四五</w:t>
      </w:r>
      <w:r>
        <w:rPr>
          <w:rFonts w:hint="eastAsia" w:ascii="Times New Roman" w:hAnsi="Times New Roman"/>
          <w:bCs/>
          <w:color w:val="auto"/>
          <w:sz w:val="24"/>
          <w:szCs w:val="24"/>
          <w:lang w:bidi="en-US"/>
        </w:rPr>
        <w:t>”</w:t>
      </w:r>
      <w:r>
        <w:rPr>
          <w:rFonts w:ascii="Times New Roman" w:hAnsi="Times New Roman"/>
          <w:bCs/>
          <w:color w:val="auto"/>
          <w:sz w:val="24"/>
          <w:szCs w:val="24"/>
          <w:lang w:bidi="en-US"/>
        </w:rPr>
        <w:t>重金属污染防治工作方案》（新环[2022]110号）</w:t>
      </w:r>
      <w:r>
        <w:rPr>
          <w:rFonts w:hint="eastAsia" w:ascii="Times New Roman" w:hAnsi="Times New Roman"/>
          <w:bCs/>
          <w:color w:val="auto"/>
          <w:sz w:val="24"/>
          <w:szCs w:val="24"/>
          <w:lang w:eastAsia="zh-CN" w:bidi="en-US"/>
        </w:rPr>
        <w:t>。</w:t>
      </w:r>
    </w:p>
    <w:p>
      <w:pPr>
        <w:pStyle w:val="43"/>
        <w:ind w:firstLine="480" w:firstLineChars="200"/>
        <w:rPr>
          <w:rFonts w:hint="eastAsia" w:ascii="Times New Roman" w:hAnsi="Times New Roman"/>
          <w:bCs/>
          <w:color w:val="auto"/>
          <w:sz w:val="24"/>
          <w:szCs w:val="24"/>
          <w:lang w:eastAsia="zh-CN" w:bidi="en-US"/>
        </w:rPr>
      </w:pPr>
    </w:p>
    <w:p>
      <w:pPr>
        <w:pStyle w:val="5"/>
        <w:keepNext w:val="0"/>
        <w:keepLines w:val="0"/>
        <w:snapToGrid w:val="0"/>
        <w:spacing w:before="0" w:beforeLines="0" w:after="0" w:afterLines="0"/>
        <w:rPr>
          <w:color w:val="auto"/>
          <w:kern w:val="21"/>
          <w:sz w:val="28"/>
          <w:szCs w:val="28"/>
        </w:rPr>
      </w:pPr>
      <w:r>
        <w:rPr>
          <w:color w:val="auto"/>
          <w:kern w:val="21"/>
          <w:sz w:val="28"/>
          <w:szCs w:val="28"/>
        </w:rPr>
        <w:t>2.1.2规划文件</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w:t>
      </w:r>
      <w:r>
        <w:rPr>
          <w:rFonts w:hint="eastAsia"/>
          <w:color w:val="auto"/>
          <w:kern w:val="21"/>
          <w:sz w:val="24"/>
          <w:szCs w:val="24"/>
        </w:rPr>
        <w:t>《关于印发河南省“十四五”生态环境保护和生态经济发展规划的通知》（豫政</w:t>
      </w:r>
      <w:r>
        <w:rPr>
          <w:color w:val="auto"/>
          <w:kern w:val="21"/>
          <w:sz w:val="24"/>
          <w:szCs w:val="24"/>
        </w:rPr>
        <w:t xml:space="preserve">[2021]44 </w:t>
      </w:r>
      <w:r>
        <w:rPr>
          <w:rFonts w:hint="eastAsia"/>
          <w:color w:val="auto"/>
          <w:kern w:val="21"/>
          <w:sz w:val="24"/>
          <w:szCs w:val="24"/>
        </w:rPr>
        <w:t>号）</w:t>
      </w:r>
      <w:r>
        <w:rPr>
          <w:rFonts w:hint="eastAsia"/>
          <w:color w:val="auto"/>
          <w:kern w:val="21"/>
          <w:sz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rPr>
      </w:pPr>
      <w:r>
        <w:rPr>
          <w:rFonts w:hint="eastAsia"/>
          <w:color w:val="auto"/>
          <w:kern w:val="21"/>
          <w:sz w:val="24"/>
        </w:rPr>
        <w:t>（</w:t>
      </w:r>
      <w:r>
        <w:rPr>
          <w:color w:val="auto"/>
          <w:kern w:val="21"/>
          <w:sz w:val="24"/>
        </w:rPr>
        <w:t>2</w:t>
      </w:r>
      <w:r>
        <w:rPr>
          <w:rFonts w:hint="eastAsia"/>
          <w:color w:val="auto"/>
          <w:kern w:val="21"/>
          <w:sz w:val="24"/>
        </w:rPr>
        <w:t>）《</w:t>
      </w:r>
      <w:r>
        <w:rPr>
          <w:color w:val="auto"/>
          <w:kern w:val="21"/>
          <w:sz w:val="24"/>
          <w:szCs w:val="24"/>
        </w:rPr>
        <w:t>新乡市</w:t>
      </w:r>
      <w:r>
        <w:rPr>
          <w:rFonts w:hint="eastAsia"/>
          <w:color w:val="auto"/>
          <w:kern w:val="21"/>
          <w:sz w:val="24"/>
          <w:szCs w:val="24"/>
        </w:rPr>
        <w:t>“</w:t>
      </w:r>
      <w:r>
        <w:rPr>
          <w:color w:val="auto"/>
          <w:kern w:val="21"/>
          <w:sz w:val="24"/>
          <w:szCs w:val="24"/>
        </w:rPr>
        <w:t>十四五</w:t>
      </w:r>
      <w:r>
        <w:rPr>
          <w:rFonts w:hint="eastAsia"/>
          <w:color w:val="auto"/>
          <w:kern w:val="21"/>
          <w:sz w:val="24"/>
          <w:szCs w:val="24"/>
        </w:rPr>
        <w:t>”</w:t>
      </w:r>
      <w:r>
        <w:rPr>
          <w:color w:val="auto"/>
          <w:kern w:val="21"/>
          <w:sz w:val="24"/>
          <w:szCs w:val="24"/>
        </w:rPr>
        <w:t>生态环境保护和生态经济发展规划</w:t>
      </w:r>
      <w:r>
        <w:rPr>
          <w:rFonts w:hint="eastAsia"/>
          <w:color w:val="auto"/>
          <w:kern w:val="21"/>
          <w:sz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lang w:val="en-US" w:eastAsia="zh-CN"/>
        </w:rPr>
      </w:pPr>
      <w:r>
        <w:rPr>
          <w:rFonts w:hint="eastAsia"/>
          <w:color w:val="auto"/>
          <w:kern w:val="21"/>
          <w:sz w:val="24"/>
        </w:rPr>
        <w:t>（3）</w:t>
      </w:r>
      <w:r>
        <w:rPr>
          <w:snapToGrid w:val="0"/>
          <w:color w:val="auto"/>
          <w:kern w:val="21"/>
          <w:sz w:val="24"/>
        </w:rPr>
        <w:t>《新乡市城市饮用水水源地保护区划分报告》（2007.5）</w:t>
      </w:r>
      <w:r>
        <w:rPr>
          <w:rFonts w:hint="eastAsia"/>
          <w:snapToGrid w:val="0"/>
          <w:color w:val="auto"/>
          <w:kern w:val="21"/>
          <w:sz w:val="24"/>
          <w:lang w:eastAsia="zh-CN"/>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rPr>
      </w:pPr>
      <w:r>
        <w:rPr>
          <w:rFonts w:hint="eastAsia"/>
          <w:color w:val="auto"/>
          <w:kern w:val="21"/>
          <w:sz w:val="24"/>
        </w:rPr>
        <w:t>（</w:t>
      </w:r>
      <w:r>
        <w:rPr>
          <w:rFonts w:hint="eastAsia"/>
          <w:color w:val="auto"/>
          <w:kern w:val="21"/>
          <w:sz w:val="24"/>
          <w:lang w:val="en-US" w:eastAsia="zh-CN"/>
        </w:rPr>
        <w:t>4</w:t>
      </w:r>
      <w:r>
        <w:rPr>
          <w:rFonts w:hint="eastAsia"/>
          <w:b/>
          <w:bCs/>
          <w:color w:val="auto"/>
          <w:kern w:val="21"/>
          <w:sz w:val="24"/>
          <w:u w:val="single"/>
        </w:rPr>
        <w:t>）《河南省县级集中式饮用水水源保护区划》</w:t>
      </w:r>
      <w:r>
        <w:rPr>
          <w:rFonts w:ascii="Times New Roman" w:hAnsi="Times New Roman"/>
          <w:b/>
          <w:bCs/>
          <w:color w:val="auto"/>
          <w:u w:val="single"/>
        </w:rPr>
        <w:t>（豫政办〔2013〕107号）</w:t>
      </w:r>
      <w:r>
        <w:rPr>
          <w:rFonts w:hint="eastAsia"/>
          <w:color w:val="auto"/>
          <w:kern w:val="21"/>
          <w:sz w:val="24"/>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rPr>
      </w:pPr>
      <w:r>
        <w:rPr>
          <w:rFonts w:hint="eastAsia"/>
          <w:color w:val="auto"/>
          <w:kern w:val="21"/>
          <w:sz w:val="24"/>
        </w:rPr>
        <w:t>（</w:t>
      </w:r>
      <w:r>
        <w:rPr>
          <w:rFonts w:hint="eastAsia"/>
          <w:color w:val="auto"/>
          <w:kern w:val="21"/>
          <w:sz w:val="24"/>
          <w:lang w:val="en-US" w:eastAsia="zh-CN"/>
        </w:rPr>
        <w:t>5</w:t>
      </w:r>
      <w:r>
        <w:rPr>
          <w:rFonts w:hint="eastAsia"/>
          <w:color w:val="auto"/>
          <w:kern w:val="21"/>
          <w:sz w:val="24"/>
        </w:rPr>
        <w:t>）《河南省乡镇集中式饮用水源保护区划》</w:t>
      </w:r>
      <w:r>
        <w:rPr>
          <w:rFonts w:hint="eastAsia"/>
          <w:color w:val="auto"/>
          <w:kern w:val="21"/>
          <w:sz w:val="24"/>
          <w:szCs w:val="24"/>
        </w:rPr>
        <w:t>（豫政</w:t>
      </w:r>
      <w:r>
        <w:rPr>
          <w:rFonts w:hint="eastAsia"/>
          <w:color w:val="auto"/>
          <w:kern w:val="21"/>
          <w:sz w:val="24"/>
          <w:szCs w:val="24"/>
          <w:lang w:eastAsia="zh-CN"/>
        </w:rPr>
        <w:t>办</w:t>
      </w:r>
      <w:r>
        <w:rPr>
          <w:color w:val="auto"/>
          <w:kern w:val="21"/>
          <w:sz w:val="24"/>
          <w:szCs w:val="24"/>
        </w:rPr>
        <w:t>[</w:t>
      </w:r>
      <w:r>
        <w:rPr>
          <w:rFonts w:hint="eastAsia"/>
          <w:color w:val="auto"/>
          <w:kern w:val="21"/>
          <w:sz w:val="24"/>
          <w:szCs w:val="24"/>
          <w:lang w:val="en-US" w:eastAsia="zh-CN"/>
        </w:rPr>
        <w:t>2016</w:t>
      </w:r>
      <w:r>
        <w:rPr>
          <w:color w:val="auto"/>
          <w:kern w:val="21"/>
          <w:sz w:val="24"/>
          <w:szCs w:val="24"/>
        </w:rPr>
        <w:t>]</w:t>
      </w:r>
      <w:r>
        <w:rPr>
          <w:rFonts w:hint="eastAsia"/>
          <w:color w:val="auto"/>
          <w:kern w:val="21"/>
          <w:sz w:val="24"/>
          <w:szCs w:val="24"/>
          <w:lang w:val="en-US" w:eastAsia="zh-CN"/>
        </w:rPr>
        <w:t>23</w:t>
      </w:r>
      <w:r>
        <w:rPr>
          <w:color w:val="auto"/>
          <w:kern w:val="21"/>
          <w:sz w:val="24"/>
          <w:szCs w:val="24"/>
        </w:rPr>
        <w:t xml:space="preserve"> </w:t>
      </w:r>
      <w:r>
        <w:rPr>
          <w:rFonts w:hint="eastAsia"/>
          <w:color w:val="auto"/>
          <w:kern w:val="21"/>
          <w:sz w:val="24"/>
          <w:szCs w:val="24"/>
        </w:rPr>
        <w:t>号）</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6</w:t>
      </w:r>
      <w:r>
        <w:rPr>
          <w:rFonts w:hint="eastAsia"/>
          <w:color w:val="auto"/>
          <w:kern w:val="21"/>
          <w:sz w:val="24"/>
        </w:rPr>
        <w:t>）《获嘉县</w:t>
      </w:r>
      <w:r>
        <w:rPr>
          <w:color w:val="auto"/>
          <w:kern w:val="21"/>
          <w:sz w:val="24"/>
        </w:rPr>
        <w:t>城市总体规划</w:t>
      </w:r>
      <w:r>
        <w:rPr>
          <w:rFonts w:hint="eastAsia"/>
          <w:color w:val="auto"/>
          <w:kern w:val="21"/>
          <w:sz w:val="24"/>
          <w:lang w:eastAsia="zh-CN"/>
        </w:rPr>
        <w:t>（</w:t>
      </w:r>
      <w:r>
        <w:rPr>
          <w:color w:val="auto"/>
          <w:kern w:val="21"/>
          <w:sz w:val="24"/>
        </w:rPr>
        <w:t>201</w:t>
      </w:r>
      <w:r>
        <w:rPr>
          <w:rFonts w:hint="eastAsia"/>
          <w:color w:val="auto"/>
          <w:kern w:val="21"/>
          <w:sz w:val="24"/>
        </w:rPr>
        <w:t>2</w:t>
      </w:r>
      <w:r>
        <w:rPr>
          <w:color w:val="auto"/>
          <w:kern w:val="21"/>
          <w:sz w:val="24"/>
        </w:rPr>
        <w:t>—2020年</w:t>
      </w:r>
      <w:r>
        <w:rPr>
          <w:rFonts w:hint="eastAsia"/>
          <w:color w:val="auto"/>
          <w:kern w:val="21"/>
          <w:sz w:val="24"/>
          <w:lang w:eastAsia="zh-CN"/>
        </w:rPr>
        <w:t>）</w:t>
      </w:r>
      <w:r>
        <w:rPr>
          <w:rFonts w:hint="eastAsia"/>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7</w:t>
      </w:r>
      <w:r>
        <w:rPr>
          <w:rFonts w:hint="eastAsia"/>
          <w:color w:val="auto"/>
          <w:kern w:val="21"/>
          <w:sz w:val="24"/>
        </w:rPr>
        <w:t>）《获嘉县产业集聚区总体发展规划（2016-2020）调整方案》；</w:t>
      </w:r>
    </w:p>
    <w:p>
      <w:pPr>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eastAsia="zh-CN"/>
        </w:rPr>
        <w:t>8</w:t>
      </w:r>
      <w:r>
        <w:rPr>
          <w:rFonts w:hint="eastAsia"/>
          <w:color w:val="auto"/>
          <w:kern w:val="21"/>
          <w:sz w:val="24"/>
        </w:rPr>
        <w:t>）《获嘉县产业集聚区总体发展规划（2016-2020）调整方案环境影响报告书》及审查意见。</w:t>
      </w:r>
    </w:p>
    <w:p>
      <w:pPr>
        <w:pStyle w:val="5"/>
        <w:keepNext w:val="0"/>
        <w:keepLines w:val="0"/>
        <w:snapToGrid w:val="0"/>
        <w:spacing w:before="0" w:beforeLines="0" w:after="0" w:afterLines="0"/>
        <w:rPr>
          <w:color w:val="auto"/>
          <w:kern w:val="21"/>
          <w:sz w:val="28"/>
          <w:szCs w:val="28"/>
        </w:rPr>
      </w:pPr>
      <w:bookmarkStart w:id="64" w:name="_Toc10040"/>
      <w:bookmarkStart w:id="65" w:name="_Toc232840292"/>
      <w:r>
        <w:rPr>
          <w:color w:val="auto"/>
          <w:kern w:val="21"/>
          <w:sz w:val="28"/>
          <w:szCs w:val="28"/>
        </w:rPr>
        <w:t>2.1.</w:t>
      </w:r>
      <w:r>
        <w:rPr>
          <w:rFonts w:hint="eastAsia"/>
          <w:color w:val="auto"/>
          <w:kern w:val="21"/>
          <w:sz w:val="28"/>
          <w:szCs w:val="28"/>
        </w:rPr>
        <w:t>3</w:t>
      </w:r>
      <w:r>
        <w:rPr>
          <w:color w:val="auto"/>
          <w:kern w:val="21"/>
          <w:sz w:val="28"/>
          <w:szCs w:val="28"/>
        </w:rPr>
        <w:t>技术规范</w:t>
      </w:r>
      <w:bookmarkEnd w:id="64"/>
    </w:p>
    <w:p>
      <w:pPr>
        <w:adjustRightInd w:val="0"/>
        <w:snapToGrid w:val="0"/>
        <w:spacing w:line="360" w:lineRule="auto"/>
        <w:ind w:firstLine="480" w:firstLineChars="200"/>
        <w:rPr>
          <w:color w:val="auto"/>
          <w:kern w:val="21"/>
          <w:sz w:val="24"/>
        </w:rPr>
      </w:pPr>
      <w:r>
        <w:rPr>
          <w:color w:val="auto"/>
          <w:kern w:val="21"/>
          <w:sz w:val="24"/>
        </w:rPr>
        <w:t>（1）《建设项目环境影响评价技术导则 总纲》（HJ2.1-2016）；</w:t>
      </w:r>
    </w:p>
    <w:p>
      <w:pPr>
        <w:adjustRightInd w:val="0"/>
        <w:snapToGrid w:val="0"/>
        <w:spacing w:line="360" w:lineRule="auto"/>
        <w:ind w:firstLine="480" w:firstLineChars="200"/>
        <w:rPr>
          <w:color w:val="auto"/>
          <w:kern w:val="21"/>
          <w:sz w:val="24"/>
        </w:rPr>
      </w:pPr>
      <w:r>
        <w:rPr>
          <w:color w:val="auto"/>
          <w:kern w:val="21"/>
          <w:sz w:val="24"/>
        </w:rPr>
        <w:t>（2）《环境影响评价技术导则 大气环境》（HJ2.2-2018）；</w:t>
      </w:r>
    </w:p>
    <w:p>
      <w:pPr>
        <w:adjustRightInd w:val="0"/>
        <w:snapToGrid w:val="0"/>
        <w:spacing w:line="360" w:lineRule="auto"/>
        <w:ind w:firstLine="480" w:firstLineChars="200"/>
        <w:rPr>
          <w:color w:val="auto"/>
          <w:kern w:val="21"/>
          <w:sz w:val="24"/>
        </w:rPr>
      </w:pPr>
      <w:r>
        <w:rPr>
          <w:color w:val="auto"/>
          <w:kern w:val="21"/>
          <w:sz w:val="24"/>
        </w:rPr>
        <w:t>（3）《环境影响评价技术导则 地表水环境》（HJ2.3-2018）；</w:t>
      </w:r>
    </w:p>
    <w:p>
      <w:pPr>
        <w:adjustRightInd w:val="0"/>
        <w:snapToGrid w:val="0"/>
        <w:spacing w:line="360" w:lineRule="auto"/>
        <w:ind w:firstLine="480" w:firstLineChars="200"/>
        <w:rPr>
          <w:color w:val="auto"/>
          <w:kern w:val="21"/>
          <w:sz w:val="24"/>
        </w:rPr>
      </w:pPr>
      <w:r>
        <w:rPr>
          <w:color w:val="auto"/>
          <w:kern w:val="21"/>
          <w:sz w:val="24"/>
        </w:rPr>
        <w:t>（4）《环境影响评价技术导则 地下水》（HJ610-2016）；</w:t>
      </w:r>
    </w:p>
    <w:p>
      <w:pPr>
        <w:adjustRightInd w:val="0"/>
        <w:snapToGrid w:val="0"/>
        <w:spacing w:line="360" w:lineRule="auto"/>
        <w:ind w:firstLine="480" w:firstLineChars="200"/>
        <w:rPr>
          <w:color w:val="auto"/>
          <w:kern w:val="21"/>
          <w:sz w:val="24"/>
        </w:rPr>
      </w:pPr>
      <w:r>
        <w:rPr>
          <w:color w:val="auto"/>
          <w:kern w:val="21"/>
          <w:sz w:val="24"/>
        </w:rPr>
        <w:t>（5）《环境影响评价技术导则 声环境》（HJ2.4-20</w:t>
      </w:r>
      <w:r>
        <w:rPr>
          <w:rFonts w:hint="eastAsia"/>
          <w:color w:val="auto"/>
          <w:kern w:val="21"/>
          <w:sz w:val="24"/>
        </w:rPr>
        <w:t>21</w:t>
      </w:r>
      <w:r>
        <w:rPr>
          <w:color w:val="auto"/>
          <w:kern w:val="21"/>
          <w:sz w:val="24"/>
        </w:rPr>
        <w:t>）；</w:t>
      </w:r>
    </w:p>
    <w:p>
      <w:pPr>
        <w:adjustRightInd w:val="0"/>
        <w:snapToGrid w:val="0"/>
        <w:spacing w:line="360" w:lineRule="auto"/>
        <w:ind w:firstLine="480" w:firstLineChars="200"/>
        <w:rPr>
          <w:color w:val="auto"/>
          <w:kern w:val="21"/>
          <w:sz w:val="24"/>
        </w:rPr>
      </w:pPr>
      <w:r>
        <w:rPr>
          <w:color w:val="auto"/>
          <w:kern w:val="21"/>
          <w:sz w:val="24"/>
        </w:rPr>
        <w:t>（6）《环境影响评价技术导则 生态环境》（HJ19-20</w:t>
      </w:r>
      <w:r>
        <w:rPr>
          <w:rFonts w:hint="eastAsia"/>
          <w:color w:val="auto"/>
          <w:kern w:val="21"/>
          <w:sz w:val="24"/>
        </w:rPr>
        <w:t>2</w:t>
      </w:r>
      <w:r>
        <w:rPr>
          <w:color w:val="auto"/>
          <w:kern w:val="21"/>
          <w:sz w:val="24"/>
        </w:rPr>
        <w:t>1）</w:t>
      </w:r>
    </w:p>
    <w:p>
      <w:pPr>
        <w:adjustRightInd w:val="0"/>
        <w:snapToGrid w:val="0"/>
        <w:spacing w:line="360" w:lineRule="auto"/>
        <w:ind w:firstLine="480" w:firstLineChars="200"/>
        <w:rPr>
          <w:color w:val="auto"/>
          <w:kern w:val="21"/>
          <w:sz w:val="24"/>
        </w:rPr>
      </w:pPr>
      <w:r>
        <w:rPr>
          <w:color w:val="auto"/>
          <w:kern w:val="21"/>
          <w:sz w:val="24"/>
        </w:rPr>
        <w:t>（7）《环境影响评价技术导则 土壤环境（试行）》（GB964-2018）；</w:t>
      </w:r>
    </w:p>
    <w:p>
      <w:pPr>
        <w:pStyle w:val="49"/>
        <w:adjustRightInd w:val="0"/>
        <w:snapToGrid w:val="0"/>
        <w:spacing w:line="360" w:lineRule="auto"/>
        <w:ind w:firstLine="480" w:firstLineChars="200"/>
        <w:rPr>
          <w:color w:val="auto"/>
          <w:kern w:val="21"/>
          <w:sz w:val="24"/>
        </w:rPr>
      </w:pPr>
      <w:r>
        <w:rPr>
          <w:color w:val="auto"/>
          <w:kern w:val="21"/>
          <w:sz w:val="24"/>
        </w:rPr>
        <w:t>（</w:t>
      </w:r>
      <w:r>
        <w:rPr>
          <w:color w:val="auto"/>
          <w:kern w:val="21"/>
          <w:sz w:val="24"/>
          <w:lang w:val="en-US"/>
        </w:rPr>
        <w:t>8</w:t>
      </w:r>
      <w:r>
        <w:rPr>
          <w:color w:val="auto"/>
          <w:kern w:val="21"/>
          <w:sz w:val="24"/>
        </w:rPr>
        <w:t>）《建设项目环境风险评价技术导则》（HJ1</w:t>
      </w:r>
      <w:r>
        <w:rPr>
          <w:color w:val="auto"/>
          <w:kern w:val="21"/>
          <w:sz w:val="24"/>
          <w:lang w:val="en-US"/>
        </w:rPr>
        <w:t>6</w:t>
      </w:r>
      <w:r>
        <w:rPr>
          <w:color w:val="auto"/>
          <w:kern w:val="21"/>
          <w:sz w:val="24"/>
        </w:rPr>
        <w:t>9-20</w:t>
      </w:r>
      <w:r>
        <w:rPr>
          <w:color w:val="auto"/>
          <w:kern w:val="21"/>
          <w:sz w:val="24"/>
          <w:lang w:val="en-US"/>
        </w:rPr>
        <w:t>18</w:t>
      </w:r>
      <w:r>
        <w:rPr>
          <w:color w:val="auto"/>
          <w:kern w:val="21"/>
          <w:sz w:val="24"/>
        </w:rPr>
        <w:t>）</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rPr>
        <w:t>9</w:t>
      </w:r>
      <w:r>
        <w:rPr>
          <w:rFonts w:hint="eastAsia"/>
          <w:color w:val="auto"/>
          <w:kern w:val="21"/>
          <w:sz w:val="24"/>
        </w:rPr>
        <w:t>）</w:t>
      </w:r>
      <w:r>
        <w:rPr>
          <w:color w:val="auto"/>
          <w:kern w:val="21"/>
          <w:sz w:val="24"/>
        </w:rPr>
        <w:t>《国家危险废物名录》（20</w:t>
      </w:r>
      <w:r>
        <w:rPr>
          <w:rFonts w:hint="eastAsia"/>
          <w:color w:val="auto"/>
          <w:kern w:val="21"/>
          <w:sz w:val="24"/>
        </w:rPr>
        <w:t>21版</w:t>
      </w:r>
      <w:r>
        <w:rPr>
          <w:color w:val="auto"/>
          <w:kern w:val="21"/>
          <w:sz w:val="24"/>
        </w:rPr>
        <w:t>）</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rPr>
        <w:t>10</w:t>
      </w:r>
      <w:r>
        <w:rPr>
          <w:rFonts w:hint="eastAsia"/>
          <w:color w:val="auto"/>
          <w:kern w:val="21"/>
          <w:sz w:val="24"/>
        </w:rPr>
        <w:t>）</w:t>
      </w:r>
      <w:r>
        <w:rPr>
          <w:color w:val="auto"/>
          <w:kern w:val="21"/>
          <w:sz w:val="24"/>
        </w:rPr>
        <w:t>《排污单位自行监测技术指南总则》（HJ819-2017）</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rPr>
        <w:t>11</w:t>
      </w:r>
      <w:r>
        <w:rPr>
          <w:rFonts w:hint="eastAsia"/>
          <w:color w:val="auto"/>
          <w:kern w:val="21"/>
          <w:sz w:val="24"/>
        </w:rPr>
        <w:t>）</w:t>
      </w:r>
      <w:r>
        <w:rPr>
          <w:color w:val="auto"/>
          <w:kern w:val="21"/>
          <w:sz w:val="24"/>
        </w:rPr>
        <w:t>《排污单位自行监测技术指南 电镀工业》（HJ985-2018）</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rPr>
        <w:t>12</w:t>
      </w:r>
      <w:r>
        <w:rPr>
          <w:rFonts w:hint="eastAsia"/>
          <w:color w:val="auto"/>
          <w:kern w:val="21"/>
          <w:sz w:val="24"/>
        </w:rPr>
        <w:t>）《建设项目危险废物环境影响评价指南》（公告2017年第43号）；</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rFonts w:hint="eastAsia"/>
          <w:color w:val="auto"/>
          <w:kern w:val="21"/>
          <w:sz w:val="24"/>
          <w:lang w:val="en-US"/>
        </w:rPr>
        <w:t>13</w:t>
      </w:r>
      <w:r>
        <w:rPr>
          <w:rFonts w:hint="eastAsia"/>
          <w:color w:val="auto"/>
          <w:kern w:val="21"/>
          <w:sz w:val="24"/>
        </w:rPr>
        <w:t>）《电镀行业规范条件》（中华人民共和国工业和信息化部公告 2015年第64号）</w:t>
      </w:r>
      <w:r>
        <w:rPr>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（14）</w:t>
      </w:r>
      <w:r>
        <w:rPr>
          <w:color w:val="auto"/>
          <w:kern w:val="21"/>
          <w:sz w:val="24"/>
        </w:rPr>
        <w:t>《河南省电镀建设项目环境影响评价文件审查审批原则（修订）》</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5）《电镀废水治理工程技术规范》（</w:t>
      </w:r>
      <w:r>
        <w:rPr>
          <w:color w:val="auto"/>
          <w:kern w:val="21"/>
          <w:sz w:val="24"/>
        </w:rPr>
        <w:t>GB2002-2010</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6）《电镀污染防治最佳可行技术指南（试行）》（</w:t>
      </w:r>
      <w:r>
        <w:rPr>
          <w:color w:val="auto"/>
          <w:kern w:val="21"/>
          <w:sz w:val="24"/>
        </w:rPr>
        <w:t>HJ-BAT-11</w:t>
      </w:r>
      <w:r>
        <w:rPr>
          <w:rFonts w:hint="eastAsia"/>
          <w:color w:val="auto"/>
          <w:kern w:val="21"/>
          <w:sz w:val="24"/>
        </w:rPr>
        <w:t>）；</w:t>
      </w:r>
    </w:p>
    <w:p>
      <w:pPr>
        <w:pStyle w:val="49"/>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7）《污染源源强核算技术指南电镀》（</w:t>
      </w:r>
      <w:r>
        <w:rPr>
          <w:color w:val="auto"/>
          <w:kern w:val="21"/>
          <w:sz w:val="24"/>
        </w:rPr>
        <w:t>HJ984-2018</w:t>
      </w:r>
      <w:r>
        <w:rPr>
          <w:rFonts w:hint="eastAsia"/>
          <w:color w:val="auto"/>
          <w:kern w:val="21"/>
          <w:sz w:val="24"/>
        </w:rPr>
        <w:t>）。</w:t>
      </w:r>
    </w:p>
    <w:p>
      <w:pPr>
        <w:rPr>
          <w:color w:val="auto"/>
          <w:lang w:val="zh-CN"/>
        </w:rPr>
      </w:pPr>
    </w:p>
    <w:p>
      <w:pPr>
        <w:pStyle w:val="271"/>
        <w:keepNext w:val="0"/>
        <w:keepLines w:val="0"/>
        <w:snapToGrid w:val="0"/>
        <w:spacing w:before="0" w:beforeLines="0" w:after="0" w:afterLines="0"/>
        <w:rPr>
          <w:rFonts w:cs="Times New Roman"/>
          <w:color w:val="auto"/>
          <w:kern w:val="21"/>
          <w:sz w:val="28"/>
          <w:szCs w:val="28"/>
        </w:rPr>
      </w:pPr>
      <w:bookmarkStart w:id="66" w:name="_Toc21712"/>
      <w:r>
        <w:rPr>
          <w:rFonts w:cs="Times New Roman"/>
          <w:color w:val="auto"/>
          <w:kern w:val="21"/>
          <w:sz w:val="28"/>
          <w:szCs w:val="28"/>
        </w:rPr>
        <w:t>2.1.</w:t>
      </w:r>
      <w:bookmarkEnd w:id="65"/>
      <w:r>
        <w:rPr>
          <w:rFonts w:cs="Times New Roman"/>
          <w:color w:val="auto"/>
          <w:kern w:val="21"/>
          <w:sz w:val="28"/>
          <w:szCs w:val="28"/>
        </w:rPr>
        <w:t>3项目依据</w:t>
      </w:r>
      <w:bookmarkEnd w:id="66"/>
    </w:p>
    <w:p>
      <w:pPr>
        <w:adjustRightInd w:val="0"/>
        <w:snapToGrid w:val="0"/>
        <w:spacing w:line="360" w:lineRule="auto"/>
        <w:ind w:firstLine="480" w:firstLineChars="200"/>
        <w:rPr>
          <w:color w:val="auto"/>
          <w:kern w:val="21"/>
          <w:sz w:val="24"/>
        </w:rPr>
      </w:pPr>
      <w:r>
        <w:rPr>
          <w:color w:val="auto"/>
          <w:kern w:val="21"/>
          <w:sz w:val="24"/>
        </w:rPr>
        <w:t>（1）河南中能锂动电源有限公司年产79.2198亿只电池配件项目环境影响评价委托书（附件</w:t>
      </w:r>
      <w:r>
        <w:rPr>
          <w:rFonts w:hint="eastAsia"/>
          <w:color w:val="auto"/>
          <w:kern w:val="21"/>
          <w:sz w:val="24"/>
        </w:rPr>
        <w:t>1</w:t>
      </w:r>
      <w:r>
        <w:rPr>
          <w:color w:val="auto"/>
          <w:kern w:val="21"/>
          <w:sz w:val="24"/>
        </w:rPr>
        <w:t>）；</w:t>
      </w:r>
    </w:p>
    <w:p>
      <w:pPr>
        <w:adjustRightInd w:val="0"/>
        <w:snapToGrid w:val="0"/>
        <w:spacing w:line="360" w:lineRule="auto"/>
        <w:ind w:firstLine="480" w:firstLineChars="200"/>
        <w:rPr>
          <w:color w:val="auto"/>
          <w:kern w:val="21"/>
          <w:sz w:val="24"/>
        </w:rPr>
      </w:pPr>
      <w:r>
        <w:rPr>
          <w:color w:val="auto"/>
          <w:kern w:val="21"/>
          <w:sz w:val="24"/>
        </w:rPr>
        <w:t>（2）河南中能锂动电源有限公司年产79.2198亿只电池配件项目备案证明（附件</w:t>
      </w:r>
      <w:r>
        <w:rPr>
          <w:rFonts w:hint="eastAsia"/>
          <w:color w:val="auto"/>
          <w:kern w:val="21"/>
          <w:sz w:val="24"/>
        </w:rPr>
        <w:t>2</w:t>
      </w:r>
      <w:r>
        <w:rPr>
          <w:color w:val="auto"/>
          <w:kern w:val="21"/>
          <w:sz w:val="24"/>
        </w:rPr>
        <w:t>）；</w:t>
      </w:r>
    </w:p>
    <w:p>
      <w:pPr>
        <w:adjustRightInd w:val="0"/>
        <w:snapToGrid w:val="0"/>
        <w:spacing w:line="360" w:lineRule="auto"/>
        <w:ind w:firstLine="480" w:firstLineChars="200"/>
        <w:rPr>
          <w:color w:val="auto"/>
          <w:kern w:val="21"/>
          <w:sz w:val="24"/>
        </w:rPr>
      </w:pPr>
      <w:r>
        <w:rPr>
          <w:rFonts w:hint="eastAsia"/>
          <w:color w:val="auto"/>
          <w:kern w:val="21"/>
          <w:sz w:val="24"/>
        </w:rPr>
        <w:t>（3）产业集聚区入驻证明（附件3）；</w:t>
      </w:r>
    </w:p>
    <w:p>
      <w:pPr>
        <w:adjustRightInd w:val="0"/>
        <w:snapToGrid w:val="0"/>
        <w:spacing w:line="360" w:lineRule="auto"/>
        <w:ind w:firstLine="480" w:firstLineChars="200"/>
        <w:rPr>
          <w:color w:val="auto"/>
          <w:kern w:val="21"/>
          <w:sz w:val="24"/>
        </w:rPr>
      </w:pPr>
      <w:r>
        <w:rPr>
          <w:rFonts w:hint="eastAsia"/>
          <w:color w:val="auto"/>
          <w:kern w:val="21"/>
          <w:sz w:val="24"/>
        </w:rPr>
        <w:t>（4）污水处理厂纳管协议（附件4）；</w:t>
      </w:r>
    </w:p>
    <w:p>
      <w:pPr>
        <w:adjustRightInd w:val="0"/>
        <w:snapToGrid w:val="0"/>
        <w:spacing w:line="360" w:lineRule="auto"/>
        <w:ind w:firstLine="480" w:firstLineChars="200"/>
        <w:rPr>
          <w:color w:val="auto"/>
          <w:kern w:val="21"/>
          <w:sz w:val="24"/>
        </w:rPr>
      </w:pPr>
      <w:r>
        <w:rPr>
          <w:rFonts w:hint="eastAsia"/>
          <w:color w:val="auto"/>
          <w:kern w:val="21"/>
          <w:sz w:val="24"/>
        </w:rPr>
        <w:t>（5）《河南奔茨新能源有限公司年产10万辆电动车建设项目》相关材料</w:t>
      </w:r>
    </w:p>
    <w:p>
      <w:pPr>
        <w:adjustRightInd w:val="0"/>
        <w:snapToGrid w:val="0"/>
        <w:spacing w:line="360" w:lineRule="auto"/>
        <w:ind w:firstLine="480" w:firstLineChars="200"/>
        <w:rPr>
          <w:color w:val="auto"/>
          <w:kern w:val="21"/>
          <w:szCs w:val="30"/>
        </w:rPr>
      </w:pPr>
      <w:r>
        <w:rPr>
          <w:color w:val="auto"/>
          <w:kern w:val="21"/>
          <w:sz w:val="24"/>
        </w:rPr>
        <w:t>（</w:t>
      </w:r>
      <w:r>
        <w:rPr>
          <w:rFonts w:hint="eastAsia"/>
          <w:color w:val="auto"/>
          <w:kern w:val="21"/>
          <w:sz w:val="24"/>
        </w:rPr>
        <w:t>6</w:t>
      </w:r>
      <w:r>
        <w:rPr>
          <w:color w:val="auto"/>
          <w:kern w:val="21"/>
          <w:sz w:val="24"/>
        </w:rPr>
        <w:t>）其他生产资料。</w:t>
      </w:r>
      <w:bookmarkStart w:id="67" w:name="_Toc1342"/>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68" w:name="_Toc112338929"/>
      <w:bookmarkStart w:id="69" w:name="_Toc19615"/>
      <w:bookmarkStart w:id="70" w:name="_Toc27650_WPSOffice_Level2"/>
      <w:bookmarkStart w:id="71" w:name="_Toc24460"/>
      <w:r>
        <w:rPr>
          <w:bCs w:val="0"/>
          <w:color w:val="auto"/>
          <w:kern w:val="0"/>
          <w:szCs w:val="20"/>
          <w:lang w:val="en-US"/>
        </w:rPr>
        <w:t>2.2</w:t>
      </w:r>
      <w:bookmarkStart w:id="72" w:name="_Toc530946647"/>
      <w:r>
        <w:rPr>
          <w:bCs w:val="0"/>
          <w:color w:val="auto"/>
          <w:kern w:val="0"/>
          <w:szCs w:val="20"/>
          <w:lang w:val="en-US"/>
        </w:rPr>
        <w:t>评价对象、目的</w:t>
      </w:r>
      <w:bookmarkEnd w:id="68"/>
      <w:bookmarkEnd w:id="69"/>
      <w:bookmarkEnd w:id="70"/>
      <w:bookmarkEnd w:id="72"/>
    </w:p>
    <w:p>
      <w:pPr>
        <w:adjustRightInd w:val="0"/>
        <w:snapToGrid w:val="0"/>
        <w:spacing w:line="360" w:lineRule="auto"/>
        <w:rPr>
          <w:color w:val="auto"/>
          <w:kern w:val="21"/>
          <w:sz w:val="28"/>
          <w:szCs w:val="28"/>
        </w:rPr>
      </w:pPr>
      <w:r>
        <w:rPr>
          <w:rFonts w:eastAsia="黑体"/>
          <w:color w:val="auto"/>
          <w:kern w:val="21"/>
          <w:sz w:val="28"/>
          <w:szCs w:val="28"/>
        </w:rPr>
        <w:t>2.2.1评价对象</w:t>
      </w:r>
    </w:p>
    <w:p>
      <w:pPr>
        <w:adjustRightInd w:val="0"/>
        <w:snapToGrid w:val="0"/>
        <w:spacing w:line="360" w:lineRule="auto"/>
        <w:ind w:firstLine="480" w:firstLineChars="200"/>
        <w:rPr>
          <w:color w:val="auto"/>
          <w:kern w:val="21"/>
          <w:sz w:val="24"/>
          <w:szCs w:val="24"/>
        </w:rPr>
      </w:pPr>
      <w:r>
        <w:rPr>
          <w:color w:val="auto"/>
          <w:kern w:val="21"/>
          <w:sz w:val="24"/>
          <w:szCs w:val="24"/>
        </w:rPr>
        <w:t>本次评价对象为河南中能锂动电源有限公司年产79.2198亿只电池配件项目。</w:t>
      </w:r>
    </w:p>
    <w:p>
      <w:pPr>
        <w:adjustRightInd w:val="0"/>
        <w:snapToGrid w:val="0"/>
        <w:spacing w:line="360" w:lineRule="auto"/>
        <w:rPr>
          <w:rFonts w:eastAsia="黑体"/>
          <w:color w:val="auto"/>
          <w:kern w:val="21"/>
          <w:sz w:val="28"/>
          <w:szCs w:val="28"/>
        </w:rPr>
      </w:pPr>
      <w:r>
        <w:rPr>
          <w:rFonts w:eastAsia="黑体"/>
          <w:color w:val="auto"/>
          <w:kern w:val="21"/>
          <w:sz w:val="28"/>
          <w:szCs w:val="28"/>
        </w:rPr>
        <w:t>2.2.2评价目的</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环境影响评价工作是对工程实施后对环境造成的不良影响可起到积极的预防作用，本次环境评价的根本目的是做到事前预防污染，为主管部门审批决策、监督管理，为工程设计、工程建设及日后的生产管理提供科学依据和基础资料。</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根据项目的具体情况，结合项目厂址周围的环境状况，本次环境评价工作拟达到以下目的：</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w:t>
      </w:r>
      <w:r>
        <w:rPr>
          <w:color w:val="auto"/>
          <w:kern w:val="21"/>
          <w:sz w:val="24"/>
          <w:szCs w:val="24"/>
        </w:rPr>
        <w:t>1</w:t>
      </w:r>
      <w:r>
        <w:rPr>
          <w:rFonts w:hint="eastAsia"/>
          <w:color w:val="auto"/>
          <w:kern w:val="21"/>
          <w:sz w:val="24"/>
          <w:szCs w:val="24"/>
        </w:rPr>
        <w:t>）从国家产业政策的角度出发，结合当地总体规划要求，确定项目的建设是否符合</w:t>
      </w:r>
      <w:r>
        <w:rPr>
          <w:rFonts w:hint="eastAsia"/>
          <w:color w:val="auto"/>
          <w:kern w:val="21"/>
          <w:sz w:val="24"/>
          <w:szCs w:val="24"/>
          <w:lang w:eastAsia="zh-CN"/>
        </w:rPr>
        <w:t>国家</w:t>
      </w:r>
      <w:r>
        <w:rPr>
          <w:rFonts w:hint="eastAsia"/>
          <w:color w:val="auto"/>
          <w:kern w:val="21"/>
          <w:sz w:val="24"/>
          <w:szCs w:val="24"/>
        </w:rPr>
        <w:t>产业政策及</w:t>
      </w:r>
      <w:r>
        <w:rPr>
          <w:rFonts w:hint="eastAsia"/>
          <w:color w:val="auto"/>
          <w:kern w:val="21"/>
          <w:sz w:val="24"/>
          <w:szCs w:val="24"/>
          <w:lang w:eastAsia="zh-CN"/>
        </w:rPr>
        <w:t>当地</w:t>
      </w:r>
      <w:r>
        <w:rPr>
          <w:rFonts w:hint="eastAsia"/>
          <w:color w:val="auto"/>
          <w:kern w:val="21"/>
          <w:sz w:val="24"/>
          <w:szCs w:val="24"/>
        </w:rPr>
        <w:t>规划要求。</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w:t>
      </w:r>
      <w:r>
        <w:rPr>
          <w:color w:val="auto"/>
          <w:kern w:val="21"/>
          <w:sz w:val="24"/>
          <w:szCs w:val="24"/>
        </w:rPr>
        <w:t>2</w:t>
      </w:r>
      <w:r>
        <w:rPr>
          <w:rFonts w:hint="eastAsia"/>
          <w:color w:val="auto"/>
          <w:kern w:val="21"/>
          <w:sz w:val="24"/>
          <w:szCs w:val="24"/>
        </w:rPr>
        <w:t>）在对工程厂址周边自然、社会、经济环境状况进行调查分析的基础上，掌握评价区域内主要环境保护目标；充分利用已有资料并进行现场踏勘和必要的现状监测，查清评价区域环境现状（环境空气、地表水环境、地下水环境、声环境</w:t>
      </w:r>
      <w:r>
        <w:rPr>
          <w:rFonts w:hint="eastAsia"/>
          <w:color w:val="auto"/>
          <w:kern w:val="21"/>
          <w:sz w:val="24"/>
          <w:szCs w:val="24"/>
          <w:lang w:eastAsia="zh-CN"/>
        </w:rPr>
        <w:t>和</w:t>
      </w:r>
      <w:r>
        <w:rPr>
          <w:rFonts w:hint="eastAsia"/>
          <w:color w:val="auto"/>
          <w:kern w:val="21"/>
          <w:sz w:val="24"/>
          <w:szCs w:val="24"/>
        </w:rPr>
        <w:t>土壤环境），并做出现状评价；调查并明确区域内的主要污染源及环境特征。</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w:t>
      </w:r>
      <w:r>
        <w:rPr>
          <w:color w:val="auto"/>
          <w:kern w:val="21"/>
          <w:sz w:val="24"/>
          <w:szCs w:val="24"/>
        </w:rPr>
        <w:t>3</w:t>
      </w:r>
      <w:r>
        <w:rPr>
          <w:rFonts w:hint="eastAsia"/>
          <w:color w:val="auto"/>
          <w:kern w:val="21"/>
          <w:sz w:val="24"/>
          <w:szCs w:val="24"/>
        </w:rPr>
        <w:t>）全面分析工程建设内容，掌握生产设备及设施主要污染物的产生特征，分析计算污染物产生量和排放量，根据区域环境特征和工程污染物排放特点，预测工程建成投产后对周围环境影响的程度和范围，采用预测、分析项目投产后排放污染物的影响范围以及引起的周围环境质量变化情况，从环境保护角度分析论证建设工程的可行性。</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w:t>
      </w:r>
      <w:r>
        <w:rPr>
          <w:color w:val="auto"/>
          <w:kern w:val="21"/>
          <w:sz w:val="24"/>
          <w:szCs w:val="24"/>
        </w:rPr>
        <w:t>4</w:t>
      </w:r>
      <w:r>
        <w:rPr>
          <w:rFonts w:hint="eastAsia"/>
          <w:color w:val="auto"/>
          <w:kern w:val="21"/>
          <w:sz w:val="24"/>
          <w:szCs w:val="24"/>
        </w:rPr>
        <w:t>）按照“雨污分流、清污分流、污污分治、深度处理、全部回用”的原则，详细论证各类废水收集及处理处置方案的技术可行性、经济合理性、环境可接受性，重点对含重金属的电镀废水</w:t>
      </w:r>
      <w:r>
        <w:rPr>
          <w:rFonts w:hint="eastAsia"/>
          <w:color w:val="auto"/>
          <w:kern w:val="21"/>
          <w:sz w:val="24"/>
          <w:szCs w:val="24"/>
          <w:lang w:eastAsia="zh-CN"/>
        </w:rPr>
        <w:t>按要求分类收集、分类预处理再合并进行深度处理后</w:t>
      </w:r>
      <w:r>
        <w:rPr>
          <w:rFonts w:hint="eastAsia"/>
          <w:color w:val="auto"/>
          <w:kern w:val="21"/>
          <w:sz w:val="24"/>
          <w:szCs w:val="24"/>
        </w:rPr>
        <w:t>回用，不外排。</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w:t>
      </w:r>
      <w:r>
        <w:rPr>
          <w:color w:val="auto"/>
          <w:kern w:val="21"/>
          <w:sz w:val="24"/>
          <w:szCs w:val="24"/>
        </w:rPr>
        <w:t>5</w:t>
      </w:r>
      <w:r>
        <w:rPr>
          <w:rFonts w:hint="eastAsia"/>
          <w:color w:val="auto"/>
          <w:kern w:val="21"/>
          <w:sz w:val="24"/>
          <w:szCs w:val="24"/>
        </w:rPr>
        <w:t>）以建设单位为主体进行广泛的公众参与调查，在此调查的基础上，对项目建设所引起的环境污染，提出切实可行的减缓或补偿措施建议，并及时反馈于工程设计与施工各阶段，最大限度降低或减缓项目建设对环境带来的负面影响。</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w:t>
      </w:r>
      <w:r>
        <w:rPr>
          <w:color w:val="auto"/>
          <w:kern w:val="21"/>
          <w:sz w:val="24"/>
          <w:szCs w:val="24"/>
        </w:rPr>
        <w:t>6</w:t>
      </w:r>
      <w:r>
        <w:rPr>
          <w:rFonts w:hint="eastAsia"/>
          <w:color w:val="auto"/>
          <w:kern w:val="21"/>
          <w:sz w:val="24"/>
          <w:szCs w:val="24"/>
        </w:rPr>
        <w:t>）根据国家对企业在“清洁生产、达标排放、节能减排、总量控制”等方面的要求，多方面论述建设项目产品、生产工艺与技术装备的先进性。通过对工程环保设施的技术经济合理性、达标水平的可靠性分析，进一步提出减缓污染的对策建议，为优化环境工程设计、合理施工和工程投产后的环境管理提供科学依据和措施建议，更好地达到社会经济与环境保护协调发展的目的。</w:t>
      </w:r>
    </w:p>
    <w:p>
      <w:pPr>
        <w:adjustRightInd w:val="0"/>
        <w:snapToGrid w:val="0"/>
        <w:spacing w:line="360" w:lineRule="auto"/>
        <w:rPr>
          <w:color w:val="auto"/>
          <w:kern w:val="21"/>
          <w:sz w:val="24"/>
          <w:szCs w:val="24"/>
        </w:rPr>
      </w:pPr>
      <w:r>
        <w:rPr>
          <w:rFonts w:eastAsia="黑体"/>
          <w:color w:val="auto"/>
          <w:kern w:val="21"/>
          <w:sz w:val="28"/>
          <w:szCs w:val="28"/>
        </w:rPr>
        <w:t>2.2.3评价原则</w:t>
      </w:r>
      <w:r>
        <w:rPr>
          <w:color w:val="auto"/>
          <w:kern w:val="21"/>
          <w:sz w:val="24"/>
          <w:szCs w:val="24"/>
        </w:rPr>
        <w:t xml:space="preserve">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突出环境影响评价的源头预防作用，坚持保护和改善环境质量。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（1）依法评价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贯彻执行我国环境保护相关法律法规、标准、政策和规划等，优化项目建设，服务环境管理。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（2）科学评价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规范环境影响评价方法，科学分析项目建设对环境质量的影响。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（3）突出重点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根据建设项目的工程内容及其特点，明确与环境要素间的作用效应关系，根据规划环境影响评价结论和审查意见，充分利用符合时效的数据资料及成果，对建设项目主要环境影响予以重点分析和评价。 </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73" w:name="_Toc112338930"/>
      <w:bookmarkStart w:id="74" w:name="_Toc4871"/>
      <w:bookmarkStart w:id="75" w:name="_Toc9878_WPSOffice_Level2"/>
      <w:r>
        <w:rPr>
          <w:bCs w:val="0"/>
          <w:color w:val="auto"/>
          <w:kern w:val="0"/>
          <w:szCs w:val="20"/>
          <w:lang w:val="en-US"/>
        </w:rPr>
        <w:t>2.3</w:t>
      </w:r>
      <w:bookmarkEnd w:id="71"/>
      <w:bookmarkStart w:id="76" w:name="_Toc530946648"/>
      <w:bookmarkStart w:id="77" w:name="_Toc418334020"/>
      <w:r>
        <w:rPr>
          <w:bCs w:val="0"/>
          <w:color w:val="auto"/>
          <w:kern w:val="0"/>
          <w:szCs w:val="20"/>
          <w:lang w:val="en-US"/>
        </w:rPr>
        <w:t>环境影响因素识别与评价因子筛选</w:t>
      </w:r>
      <w:bookmarkEnd w:id="73"/>
      <w:bookmarkEnd w:id="74"/>
      <w:bookmarkEnd w:id="75"/>
      <w:bookmarkEnd w:id="76"/>
      <w:bookmarkEnd w:id="77"/>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2.3.1环境影响因素识别</w:t>
      </w:r>
    </w:p>
    <w:p>
      <w:pPr>
        <w:adjustRightInd w:val="0"/>
        <w:snapToGrid w:val="0"/>
        <w:spacing w:line="360" w:lineRule="auto"/>
        <w:ind w:firstLine="480" w:firstLineChars="200"/>
        <w:rPr>
          <w:snapToGrid w:val="0"/>
          <w:color w:val="auto"/>
          <w:kern w:val="21"/>
          <w:sz w:val="24"/>
        </w:rPr>
      </w:pPr>
      <w:r>
        <w:rPr>
          <w:rFonts w:hint="eastAsia"/>
          <w:snapToGrid w:val="0"/>
          <w:color w:val="auto"/>
          <w:kern w:val="21"/>
          <w:sz w:val="24"/>
        </w:rPr>
        <w:t>（</w:t>
      </w:r>
      <w:r>
        <w:rPr>
          <w:snapToGrid w:val="0"/>
          <w:color w:val="auto"/>
          <w:kern w:val="21"/>
          <w:sz w:val="24"/>
        </w:rPr>
        <w:t>1</w:t>
      </w:r>
      <w:r>
        <w:rPr>
          <w:rFonts w:hint="eastAsia"/>
          <w:snapToGrid w:val="0"/>
          <w:color w:val="auto"/>
          <w:kern w:val="21"/>
          <w:sz w:val="24"/>
        </w:rPr>
        <w:t>）施工期环境影响识别</w:t>
      </w:r>
    </w:p>
    <w:p>
      <w:pPr>
        <w:adjustRightInd w:val="0"/>
        <w:snapToGrid w:val="0"/>
        <w:spacing w:line="360" w:lineRule="auto"/>
        <w:ind w:firstLine="480" w:firstLineChars="200"/>
        <w:rPr>
          <w:snapToGrid w:val="0"/>
          <w:color w:val="auto"/>
          <w:kern w:val="21"/>
          <w:sz w:val="24"/>
        </w:rPr>
      </w:pPr>
      <w:r>
        <w:rPr>
          <w:rFonts w:hint="eastAsia"/>
          <w:snapToGrid w:val="0"/>
          <w:color w:val="auto"/>
          <w:kern w:val="21"/>
          <w:sz w:val="24"/>
        </w:rPr>
        <w:t>本项目租赁现有厂房进行建设，无土建施工，施工期仅为设备入厂，因此不再进行施工期的影响识别。</w:t>
      </w:r>
    </w:p>
    <w:p>
      <w:pPr>
        <w:adjustRightInd w:val="0"/>
        <w:snapToGrid w:val="0"/>
        <w:spacing w:line="360" w:lineRule="auto"/>
        <w:ind w:firstLine="480" w:firstLineChars="200"/>
        <w:rPr>
          <w:snapToGrid w:val="0"/>
          <w:color w:val="auto"/>
          <w:kern w:val="21"/>
          <w:sz w:val="24"/>
        </w:rPr>
      </w:pPr>
      <w:r>
        <w:rPr>
          <w:rFonts w:hint="eastAsia"/>
          <w:snapToGrid w:val="0"/>
          <w:color w:val="auto"/>
          <w:kern w:val="21"/>
          <w:sz w:val="24"/>
        </w:rPr>
        <w:t>（</w:t>
      </w:r>
      <w:r>
        <w:rPr>
          <w:snapToGrid w:val="0"/>
          <w:color w:val="auto"/>
          <w:kern w:val="21"/>
          <w:sz w:val="24"/>
        </w:rPr>
        <w:t>2</w:t>
      </w:r>
      <w:r>
        <w:rPr>
          <w:rFonts w:hint="eastAsia"/>
          <w:snapToGrid w:val="0"/>
          <w:color w:val="auto"/>
          <w:kern w:val="21"/>
          <w:sz w:val="24"/>
        </w:rPr>
        <w:t>）运营期环境影响识别</w:t>
      </w:r>
    </w:p>
    <w:p>
      <w:pPr>
        <w:adjustRightInd w:val="0"/>
        <w:snapToGrid w:val="0"/>
        <w:spacing w:line="360" w:lineRule="auto"/>
        <w:ind w:firstLine="480" w:firstLineChars="200"/>
        <w:rPr>
          <w:rFonts w:eastAsia="黑体"/>
          <w:snapToGrid w:val="0"/>
          <w:color w:val="auto"/>
          <w:kern w:val="21"/>
          <w:sz w:val="24"/>
        </w:rPr>
      </w:pPr>
      <w:r>
        <w:rPr>
          <w:rFonts w:hint="eastAsia"/>
          <w:snapToGrid w:val="0"/>
          <w:color w:val="auto"/>
          <w:kern w:val="21"/>
          <w:sz w:val="24"/>
        </w:rPr>
        <w:t>根据工程的排污特点及所处自然环境特征，运营期环境影响因素识别见表</w:t>
      </w:r>
      <w:r>
        <w:rPr>
          <w:snapToGrid w:val="0"/>
          <w:color w:val="auto"/>
          <w:kern w:val="21"/>
          <w:sz w:val="24"/>
        </w:rPr>
        <w:t>2.3-1。</w:t>
      </w:r>
    </w:p>
    <w:p>
      <w:pPr>
        <w:adjustRightInd w:val="0"/>
        <w:snapToGrid w:val="0"/>
        <w:jc w:val="center"/>
        <w:rPr>
          <w:rFonts w:eastAsia="黑体"/>
          <w:snapToGrid w:val="0"/>
          <w:color w:val="auto"/>
          <w:kern w:val="21"/>
          <w:sz w:val="24"/>
        </w:rPr>
      </w:pPr>
      <w:r>
        <w:rPr>
          <w:rFonts w:eastAsia="黑体"/>
          <w:snapToGrid w:val="0"/>
          <w:color w:val="auto"/>
          <w:kern w:val="21"/>
          <w:sz w:val="24"/>
        </w:rPr>
        <w:t>表2.3-1  环境影响因子识别表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6"/>
        <w:gridCol w:w="1067"/>
        <w:gridCol w:w="1064"/>
        <w:gridCol w:w="1066"/>
        <w:gridCol w:w="1064"/>
        <w:gridCol w:w="1064"/>
        <w:gridCol w:w="1064"/>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51" w:type="pct"/>
            <w:gridSpan w:val="2"/>
            <w:vMerge w:val="restart"/>
            <w:vAlign w:val="center"/>
          </w:tcPr>
          <w:p>
            <w:pPr>
              <w:adjustRightInd w:val="0"/>
              <w:snapToGrid w:val="0"/>
              <w:jc w:val="center"/>
              <w:rPr>
                <w:b/>
                <w:bCs/>
                <w:color w:val="auto"/>
                <w:sz w:val="21"/>
                <w:szCs w:val="21"/>
              </w:rPr>
            </w:pPr>
            <w:r>
              <w:rPr>
                <w:b/>
                <w:bCs/>
                <w:color w:val="auto"/>
                <w:sz w:val="21"/>
                <w:szCs w:val="21"/>
              </w:rPr>
              <w:t>项目</w:t>
            </w:r>
          </w:p>
        </w:tc>
        <w:tc>
          <w:tcPr>
            <w:tcW w:w="1249" w:type="pct"/>
            <w:gridSpan w:val="2"/>
            <w:vAlign w:val="center"/>
          </w:tcPr>
          <w:p>
            <w:pPr>
              <w:adjustRightInd w:val="0"/>
              <w:snapToGrid w:val="0"/>
              <w:jc w:val="center"/>
              <w:rPr>
                <w:b/>
                <w:bCs/>
                <w:color w:val="auto"/>
                <w:sz w:val="21"/>
                <w:szCs w:val="21"/>
              </w:rPr>
            </w:pPr>
            <w:r>
              <w:rPr>
                <w:b/>
                <w:bCs/>
                <w:color w:val="auto"/>
                <w:sz w:val="21"/>
                <w:szCs w:val="21"/>
              </w:rPr>
              <w:t>施工期</w:t>
            </w:r>
          </w:p>
        </w:tc>
        <w:tc>
          <w:tcPr>
            <w:tcW w:w="2498" w:type="pct"/>
            <w:gridSpan w:val="4"/>
            <w:vAlign w:val="center"/>
          </w:tcPr>
          <w:p>
            <w:pPr>
              <w:adjustRightInd w:val="0"/>
              <w:snapToGrid w:val="0"/>
              <w:jc w:val="center"/>
              <w:rPr>
                <w:b/>
                <w:bCs/>
                <w:color w:val="auto"/>
                <w:sz w:val="21"/>
                <w:szCs w:val="21"/>
              </w:rPr>
            </w:pPr>
            <w:r>
              <w:rPr>
                <w:b/>
                <w:bCs/>
                <w:color w:val="auto"/>
                <w:sz w:val="21"/>
                <w:szCs w:val="21"/>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251" w:type="pct"/>
            <w:gridSpan w:val="2"/>
            <w:vMerge w:val="continue"/>
            <w:vAlign w:val="center"/>
          </w:tcPr>
          <w:p>
            <w:pPr>
              <w:adjustRightInd w:val="0"/>
              <w:snapToGrid w:val="0"/>
              <w:jc w:val="center"/>
              <w:rPr>
                <w:b/>
                <w:bCs/>
                <w:color w:val="auto"/>
                <w:sz w:val="21"/>
                <w:szCs w:val="21"/>
              </w:rPr>
            </w:pPr>
          </w:p>
        </w:tc>
        <w:tc>
          <w:tcPr>
            <w:tcW w:w="624" w:type="pct"/>
            <w:vAlign w:val="center"/>
          </w:tcPr>
          <w:p>
            <w:pPr>
              <w:adjustRightInd w:val="0"/>
              <w:snapToGrid w:val="0"/>
              <w:jc w:val="center"/>
              <w:rPr>
                <w:b/>
                <w:bCs/>
                <w:color w:val="auto"/>
                <w:sz w:val="21"/>
                <w:szCs w:val="21"/>
              </w:rPr>
            </w:pPr>
            <w:r>
              <w:rPr>
                <w:b/>
                <w:bCs/>
                <w:color w:val="auto"/>
                <w:sz w:val="21"/>
                <w:szCs w:val="21"/>
              </w:rPr>
              <w:t>施工</w:t>
            </w:r>
          </w:p>
        </w:tc>
        <w:tc>
          <w:tcPr>
            <w:tcW w:w="624" w:type="pct"/>
            <w:vAlign w:val="center"/>
          </w:tcPr>
          <w:p>
            <w:pPr>
              <w:adjustRightInd w:val="0"/>
              <w:snapToGrid w:val="0"/>
              <w:jc w:val="center"/>
              <w:rPr>
                <w:b/>
                <w:bCs/>
                <w:color w:val="auto"/>
                <w:sz w:val="21"/>
                <w:szCs w:val="21"/>
              </w:rPr>
            </w:pPr>
            <w:r>
              <w:rPr>
                <w:b/>
                <w:bCs/>
                <w:color w:val="auto"/>
                <w:sz w:val="21"/>
                <w:szCs w:val="21"/>
              </w:rPr>
              <w:t>运输</w:t>
            </w:r>
          </w:p>
        </w:tc>
        <w:tc>
          <w:tcPr>
            <w:tcW w:w="624" w:type="pct"/>
            <w:vAlign w:val="center"/>
          </w:tcPr>
          <w:p>
            <w:pPr>
              <w:adjustRightInd w:val="0"/>
              <w:snapToGrid w:val="0"/>
              <w:jc w:val="center"/>
              <w:rPr>
                <w:b/>
                <w:bCs/>
                <w:color w:val="auto"/>
                <w:sz w:val="21"/>
                <w:szCs w:val="21"/>
              </w:rPr>
            </w:pPr>
            <w:r>
              <w:rPr>
                <w:b/>
                <w:bCs/>
                <w:color w:val="auto"/>
                <w:sz w:val="21"/>
                <w:szCs w:val="21"/>
              </w:rPr>
              <w:t>废水</w:t>
            </w:r>
          </w:p>
        </w:tc>
        <w:tc>
          <w:tcPr>
            <w:tcW w:w="624" w:type="pct"/>
            <w:vAlign w:val="center"/>
          </w:tcPr>
          <w:p>
            <w:pPr>
              <w:adjustRightInd w:val="0"/>
              <w:snapToGrid w:val="0"/>
              <w:jc w:val="center"/>
              <w:rPr>
                <w:b/>
                <w:bCs/>
                <w:color w:val="auto"/>
                <w:sz w:val="21"/>
                <w:szCs w:val="21"/>
              </w:rPr>
            </w:pPr>
            <w:r>
              <w:rPr>
                <w:b/>
                <w:bCs/>
                <w:color w:val="auto"/>
                <w:sz w:val="21"/>
                <w:szCs w:val="21"/>
              </w:rPr>
              <w:t>废气</w:t>
            </w:r>
          </w:p>
        </w:tc>
        <w:tc>
          <w:tcPr>
            <w:tcW w:w="624" w:type="pct"/>
            <w:vAlign w:val="center"/>
          </w:tcPr>
          <w:p>
            <w:pPr>
              <w:adjustRightInd w:val="0"/>
              <w:snapToGrid w:val="0"/>
              <w:jc w:val="center"/>
              <w:rPr>
                <w:b/>
                <w:bCs/>
                <w:color w:val="auto"/>
                <w:sz w:val="21"/>
                <w:szCs w:val="21"/>
              </w:rPr>
            </w:pPr>
            <w:r>
              <w:rPr>
                <w:b/>
                <w:bCs/>
                <w:color w:val="auto"/>
                <w:sz w:val="21"/>
                <w:szCs w:val="21"/>
              </w:rPr>
              <w:t>固废</w:t>
            </w:r>
          </w:p>
        </w:tc>
        <w:tc>
          <w:tcPr>
            <w:tcW w:w="624" w:type="pct"/>
            <w:vAlign w:val="center"/>
          </w:tcPr>
          <w:p>
            <w:pPr>
              <w:adjustRightInd w:val="0"/>
              <w:snapToGrid w:val="0"/>
              <w:jc w:val="center"/>
              <w:rPr>
                <w:b/>
                <w:bCs/>
                <w:color w:val="auto"/>
                <w:sz w:val="21"/>
                <w:szCs w:val="21"/>
              </w:rPr>
            </w:pPr>
            <w:r>
              <w:rPr>
                <w:b/>
                <w:bCs/>
                <w:color w:val="auto"/>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pPr>
              <w:adjustRightInd w:val="0"/>
              <w:snapToGrid w:val="0"/>
              <w:jc w:val="center"/>
              <w:rPr>
                <w:color w:val="auto"/>
                <w:sz w:val="21"/>
                <w:szCs w:val="21"/>
              </w:rPr>
            </w:pPr>
            <w:r>
              <w:rPr>
                <w:color w:val="auto"/>
                <w:sz w:val="21"/>
                <w:szCs w:val="21"/>
              </w:rPr>
              <w:t>自然环境</w:t>
            </w:r>
          </w:p>
        </w:tc>
        <w:tc>
          <w:tcPr>
            <w:tcW w:w="626" w:type="pct"/>
            <w:vAlign w:val="center"/>
          </w:tcPr>
          <w:p>
            <w:pPr>
              <w:adjustRightInd w:val="0"/>
              <w:snapToGrid w:val="0"/>
              <w:jc w:val="center"/>
              <w:rPr>
                <w:color w:val="auto"/>
                <w:sz w:val="21"/>
                <w:szCs w:val="21"/>
              </w:rPr>
            </w:pPr>
            <w:r>
              <w:rPr>
                <w:color w:val="auto"/>
                <w:sz w:val="21"/>
                <w:szCs w:val="21"/>
              </w:rPr>
              <w:t>大气</w:t>
            </w:r>
          </w:p>
        </w:tc>
        <w:tc>
          <w:tcPr>
            <w:tcW w:w="624" w:type="pct"/>
            <w:vAlign w:val="center"/>
          </w:tcPr>
          <w:p>
            <w:pPr>
              <w:adjustRightInd w:val="0"/>
              <w:snapToGrid w:val="0"/>
              <w:jc w:val="center"/>
              <w:rPr>
                <w:color w:val="auto"/>
                <w:sz w:val="21"/>
                <w:szCs w:val="21"/>
              </w:rPr>
            </w:pPr>
            <w:r>
              <w:rPr>
                <w:color w:val="auto"/>
                <w:sz w:val="21"/>
                <w:szCs w:val="21"/>
              </w:rPr>
              <w:t>-1S</w:t>
            </w:r>
          </w:p>
        </w:tc>
        <w:tc>
          <w:tcPr>
            <w:tcW w:w="624" w:type="pct"/>
            <w:vAlign w:val="center"/>
          </w:tcPr>
          <w:p>
            <w:pPr>
              <w:adjustRightInd w:val="0"/>
              <w:snapToGrid w:val="0"/>
              <w:jc w:val="center"/>
              <w:rPr>
                <w:color w:val="auto"/>
                <w:sz w:val="21"/>
                <w:szCs w:val="21"/>
              </w:rPr>
            </w:pPr>
            <w:r>
              <w:rPr>
                <w:color w:val="auto"/>
                <w:sz w:val="21"/>
                <w:szCs w:val="21"/>
              </w:rPr>
              <w:t>-1S</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-2L</w:t>
            </w:r>
          </w:p>
        </w:tc>
        <w:tc>
          <w:tcPr>
            <w:tcW w:w="624" w:type="pct"/>
            <w:vAlign w:val="center"/>
          </w:tcPr>
          <w:p>
            <w:pPr>
              <w:adjustRightInd w:val="0"/>
              <w:snapToGrid w:val="0"/>
              <w:jc w:val="center"/>
              <w:rPr>
                <w:color w:val="auto"/>
                <w:sz w:val="21"/>
                <w:szCs w:val="21"/>
              </w:rPr>
            </w:pPr>
            <w:r>
              <w:rPr>
                <w:rFonts w:hint="eastAsia"/>
                <w:color w:val="auto"/>
                <w:sz w:val="21"/>
                <w:szCs w:val="21"/>
              </w:rPr>
              <w:t>0</w:t>
            </w:r>
            <w:r>
              <w:rPr>
                <w:color w:val="auto"/>
                <w:sz w:val="21"/>
                <w:szCs w:val="21"/>
              </w:rPr>
              <w:t>L</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地表水</w:t>
            </w:r>
          </w:p>
        </w:tc>
        <w:tc>
          <w:tcPr>
            <w:tcW w:w="624" w:type="pct"/>
            <w:vAlign w:val="center"/>
          </w:tcPr>
          <w:p>
            <w:pPr>
              <w:adjustRightInd w:val="0"/>
              <w:snapToGrid w:val="0"/>
              <w:jc w:val="center"/>
              <w:rPr>
                <w:color w:val="auto"/>
                <w:sz w:val="21"/>
                <w:szCs w:val="21"/>
              </w:rPr>
            </w:pPr>
            <w:r>
              <w:rPr>
                <w:color w:val="auto"/>
                <w:sz w:val="21"/>
                <w:szCs w:val="21"/>
              </w:rPr>
              <w:t>-1S</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-1S</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-1L</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土壤</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w:t>
            </w:r>
            <w:r>
              <w:rPr>
                <w:rFonts w:hint="eastAsia"/>
                <w:color w:val="auto"/>
                <w:sz w:val="21"/>
                <w:szCs w:val="21"/>
              </w:rPr>
              <w:t>1</w:t>
            </w:r>
            <w:r>
              <w:rPr>
                <w:color w:val="auto"/>
                <w:sz w:val="21"/>
                <w:szCs w:val="21"/>
              </w:rPr>
              <w:t>L</w:t>
            </w:r>
          </w:p>
        </w:tc>
        <w:tc>
          <w:tcPr>
            <w:tcW w:w="624" w:type="pct"/>
            <w:vAlign w:val="center"/>
          </w:tcPr>
          <w:p>
            <w:pPr>
              <w:adjustRightInd w:val="0"/>
              <w:snapToGrid w:val="0"/>
              <w:jc w:val="center"/>
              <w:rPr>
                <w:color w:val="auto"/>
                <w:sz w:val="21"/>
                <w:szCs w:val="21"/>
              </w:rPr>
            </w:pPr>
            <w:r>
              <w:rPr>
                <w:color w:val="auto"/>
                <w:sz w:val="21"/>
                <w:szCs w:val="21"/>
              </w:rPr>
              <w:t>-</w:t>
            </w:r>
            <w:r>
              <w:rPr>
                <w:rFonts w:hint="eastAsia"/>
                <w:color w:val="auto"/>
                <w:sz w:val="21"/>
                <w:szCs w:val="21"/>
              </w:rPr>
              <w:t>1</w:t>
            </w:r>
            <w:r>
              <w:rPr>
                <w:color w:val="auto"/>
                <w:sz w:val="21"/>
                <w:szCs w:val="21"/>
              </w:rPr>
              <w:t>L</w:t>
            </w:r>
          </w:p>
        </w:tc>
        <w:tc>
          <w:tcPr>
            <w:tcW w:w="624" w:type="pct"/>
            <w:vAlign w:val="center"/>
          </w:tcPr>
          <w:p>
            <w:pPr>
              <w:adjustRightInd w:val="0"/>
              <w:snapToGrid w:val="0"/>
              <w:jc w:val="center"/>
              <w:rPr>
                <w:color w:val="auto"/>
                <w:sz w:val="21"/>
                <w:szCs w:val="21"/>
              </w:rPr>
            </w:pPr>
            <w:r>
              <w:rPr>
                <w:color w:val="auto"/>
                <w:sz w:val="21"/>
                <w:szCs w:val="21"/>
              </w:rPr>
              <w:t>-1L</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地下水</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w:t>
            </w:r>
            <w:r>
              <w:rPr>
                <w:rFonts w:hint="eastAsia"/>
                <w:color w:val="auto"/>
                <w:sz w:val="21"/>
                <w:szCs w:val="21"/>
              </w:rPr>
              <w:t>1</w:t>
            </w:r>
            <w:r>
              <w:rPr>
                <w:color w:val="auto"/>
                <w:sz w:val="21"/>
                <w:szCs w:val="21"/>
              </w:rPr>
              <w:t>L</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-1L</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声环境</w:t>
            </w:r>
          </w:p>
        </w:tc>
        <w:tc>
          <w:tcPr>
            <w:tcW w:w="624" w:type="pct"/>
            <w:vAlign w:val="center"/>
          </w:tcPr>
          <w:p>
            <w:pPr>
              <w:adjustRightInd w:val="0"/>
              <w:snapToGrid w:val="0"/>
              <w:jc w:val="center"/>
              <w:rPr>
                <w:color w:val="auto"/>
                <w:sz w:val="21"/>
                <w:szCs w:val="21"/>
              </w:rPr>
            </w:pPr>
            <w:r>
              <w:rPr>
                <w:color w:val="auto"/>
                <w:sz w:val="21"/>
                <w:szCs w:val="21"/>
              </w:rPr>
              <w:t>-1S</w:t>
            </w:r>
          </w:p>
        </w:tc>
        <w:tc>
          <w:tcPr>
            <w:tcW w:w="624" w:type="pct"/>
            <w:vAlign w:val="center"/>
          </w:tcPr>
          <w:p>
            <w:pPr>
              <w:adjustRightInd w:val="0"/>
              <w:snapToGrid w:val="0"/>
              <w:jc w:val="center"/>
              <w:rPr>
                <w:color w:val="auto"/>
                <w:sz w:val="21"/>
                <w:szCs w:val="21"/>
              </w:rPr>
            </w:pPr>
            <w:r>
              <w:rPr>
                <w:color w:val="auto"/>
                <w:sz w:val="21"/>
                <w:szCs w:val="21"/>
              </w:rPr>
              <w:t>-1S</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restart"/>
            <w:vAlign w:val="center"/>
          </w:tcPr>
          <w:p>
            <w:pPr>
              <w:adjustRightInd w:val="0"/>
              <w:snapToGrid w:val="0"/>
              <w:jc w:val="center"/>
              <w:rPr>
                <w:color w:val="auto"/>
                <w:sz w:val="21"/>
                <w:szCs w:val="21"/>
              </w:rPr>
            </w:pPr>
            <w:r>
              <w:rPr>
                <w:color w:val="auto"/>
                <w:sz w:val="21"/>
                <w:szCs w:val="21"/>
              </w:rPr>
              <w:t>生态环境</w:t>
            </w:r>
          </w:p>
        </w:tc>
        <w:tc>
          <w:tcPr>
            <w:tcW w:w="626" w:type="pct"/>
            <w:vAlign w:val="center"/>
          </w:tcPr>
          <w:p>
            <w:pPr>
              <w:adjustRightInd w:val="0"/>
              <w:snapToGrid w:val="0"/>
              <w:jc w:val="center"/>
              <w:rPr>
                <w:color w:val="auto"/>
                <w:sz w:val="21"/>
                <w:szCs w:val="21"/>
              </w:rPr>
            </w:pPr>
            <w:r>
              <w:rPr>
                <w:color w:val="auto"/>
                <w:sz w:val="21"/>
                <w:szCs w:val="21"/>
              </w:rPr>
              <w:t>植被</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-1L</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土壤</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-1L</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-1L</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农作物</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Merge w:val="continue"/>
            <w:vAlign w:val="center"/>
          </w:tcPr>
          <w:p>
            <w:pPr>
              <w:adjustRightInd w:val="0"/>
              <w:snapToGrid w:val="0"/>
              <w:jc w:val="center"/>
              <w:rPr>
                <w:color w:val="auto"/>
                <w:sz w:val="21"/>
                <w:szCs w:val="21"/>
              </w:rPr>
            </w:pPr>
          </w:p>
        </w:tc>
        <w:tc>
          <w:tcPr>
            <w:tcW w:w="626" w:type="pct"/>
            <w:vAlign w:val="center"/>
          </w:tcPr>
          <w:p>
            <w:pPr>
              <w:adjustRightInd w:val="0"/>
              <w:snapToGrid w:val="0"/>
              <w:jc w:val="center"/>
              <w:rPr>
                <w:color w:val="auto"/>
                <w:sz w:val="21"/>
                <w:szCs w:val="21"/>
              </w:rPr>
            </w:pPr>
            <w:r>
              <w:rPr>
                <w:color w:val="auto"/>
                <w:sz w:val="21"/>
                <w:szCs w:val="21"/>
              </w:rPr>
              <w:t>水土流失</w:t>
            </w:r>
          </w:p>
        </w:tc>
        <w:tc>
          <w:tcPr>
            <w:tcW w:w="624" w:type="pct"/>
            <w:vAlign w:val="center"/>
          </w:tcPr>
          <w:p>
            <w:pPr>
              <w:adjustRightInd w:val="0"/>
              <w:snapToGrid w:val="0"/>
              <w:jc w:val="center"/>
              <w:rPr>
                <w:color w:val="auto"/>
                <w:sz w:val="21"/>
                <w:szCs w:val="21"/>
              </w:rPr>
            </w:pPr>
            <w:r>
              <w:rPr>
                <w:rFonts w:hint="eastAsia"/>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c>
          <w:tcPr>
            <w:tcW w:w="624" w:type="pct"/>
            <w:vAlign w:val="center"/>
          </w:tcPr>
          <w:p>
            <w:pPr>
              <w:adjustRightInd w:val="0"/>
              <w:snapToGrid w:val="0"/>
              <w:jc w:val="center"/>
              <w:rPr>
                <w:color w:val="auto"/>
                <w:sz w:val="21"/>
                <w:szCs w:val="21"/>
              </w:rPr>
            </w:pPr>
            <w:r>
              <w:rPr>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5" w:type="pct"/>
            <w:vAlign w:val="center"/>
          </w:tcPr>
          <w:p>
            <w:pPr>
              <w:adjustRightInd w:val="0"/>
              <w:snapToGrid w:val="0"/>
              <w:jc w:val="center"/>
              <w:rPr>
                <w:color w:val="auto"/>
                <w:sz w:val="21"/>
                <w:szCs w:val="21"/>
              </w:rPr>
            </w:pPr>
            <w:r>
              <w:rPr>
                <w:color w:val="auto"/>
                <w:sz w:val="21"/>
                <w:szCs w:val="21"/>
              </w:rPr>
              <w:t>备注</w:t>
            </w:r>
          </w:p>
        </w:tc>
        <w:tc>
          <w:tcPr>
            <w:tcW w:w="4374" w:type="pct"/>
            <w:gridSpan w:val="7"/>
            <w:vAlign w:val="center"/>
          </w:tcPr>
          <w:p>
            <w:pPr>
              <w:adjustRightInd w:val="0"/>
              <w:snapToGrid w:val="0"/>
              <w:rPr>
                <w:color w:val="auto"/>
                <w:sz w:val="21"/>
                <w:szCs w:val="21"/>
              </w:rPr>
            </w:pPr>
            <w:r>
              <w:rPr>
                <w:color w:val="auto"/>
                <w:sz w:val="21"/>
                <w:szCs w:val="21"/>
              </w:rPr>
              <w:t>+、-分别表示工程的影响属于正、负效应</w:t>
            </w:r>
          </w:p>
          <w:p>
            <w:pPr>
              <w:adjustRightInd w:val="0"/>
              <w:snapToGrid w:val="0"/>
              <w:rPr>
                <w:color w:val="auto"/>
                <w:sz w:val="21"/>
                <w:szCs w:val="21"/>
              </w:rPr>
            </w:pPr>
            <w:r>
              <w:rPr>
                <w:color w:val="auto"/>
                <w:sz w:val="21"/>
                <w:szCs w:val="21"/>
              </w:rPr>
              <w:t>S、L分别表示暂时、长期影响</w:t>
            </w:r>
          </w:p>
          <w:p>
            <w:pPr>
              <w:adjustRightInd w:val="0"/>
              <w:snapToGrid w:val="0"/>
              <w:rPr>
                <w:color w:val="auto"/>
                <w:sz w:val="21"/>
                <w:szCs w:val="21"/>
              </w:rPr>
            </w:pPr>
            <w:r>
              <w:rPr>
                <w:color w:val="auto"/>
                <w:sz w:val="21"/>
                <w:szCs w:val="21"/>
              </w:rPr>
              <w:t>0——无影响、1——影响较小、2——影响中等、3——影响显著</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21"/>
          <w:sz w:val="24"/>
          <w:szCs w:val="24"/>
        </w:rPr>
        <w:t>（</w:t>
      </w:r>
      <w:r>
        <w:rPr>
          <w:rFonts w:eastAsia="Times New Roman"/>
          <w:color w:val="auto"/>
          <w:kern w:val="21"/>
          <w:sz w:val="24"/>
          <w:szCs w:val="24"/>
        </w:rPr>
        <w:t>1</w:t>
      </w:r>
      <w:r>
        <w:rPr>
          <w:color w:val="auto"/>
          <w:kern w:val="21"/>
          <w:sz w:val="24"/>
          <w:szCs w:val="24"/>
        </w:rPr>
        <w:t>）拟建</w:t>
      </w:r>
      <w:r>
        <w:rPr>
          <w:rFonts w:hint="eastAsia"/>
          <w:color w:val="auto"/>
          <w:kern w:val="21"/>
          <w:sz w:val="24"/>
          <w:szCs w:val="24"/>
          <w:lang w:eastAsia="zh-CN"/>
        </w:rPr>
        <w:t>项目</w:t>
      </w:r>
      <w:r>
        <w:rPr>
          <w:color w:val="auto"/>
          <w:kern w:val="21"/>
          <w:sz w:val="24"/>
          <w:szCs w:val="24"/>
        </w:rPr>
        <w:t>位于获嘉县产业集聚区北区城东片区，城东片区主导产业为在</w:t>
      </w:r>
      <w:r>
        <w:rPr>
          <w:rFonts w:hint="eastAsia"/>
          <w:color w:val="auto"/>
          <w:kern w:val="21"/>
          <w:sz w:val="24"/>
          <w:szCs w:val="24"/>
        </w:rPr>
        <w:t>原装备制造产业基础上，优先引进科技含量高、污染小、能耗低，生产工艺、设备处于先进水平的项目，</w:t>
      </w:r>
      <w:r>
        <w:rPr>
          <w:color w:val="auto"/>
          <w:kern w:val="21"/>
          <w:sz w:val="24"/>
          <w:szCs w:val="24"/>
        </w:rPr>
        <w:t>根据</w:t>
      </w:r>
      <w:r>
        <w:rPr>
          <w:rFonts w:hint="eastAsia"/>
          <w:color w:val="auto"/>
          <w:kern w:val="21"/>
          <w:sz w:val="24"/>
          <w:szCs w:val="24"/>
          <w:lang w:eastAsia="zh-CN"/>
        </w:rPr>
        <w:t>项目</w:t>
      </w:r>
      <w:r>
        <w:rPr>
          <w:color w:val="auto"/>
          <w:kern w:val="21"/>
          <w:sz w:val="24"/>
          <w:szCs w:val="24"/>
        </w:rPr>
        <w:t>入驻</w:t>
      </w:r>
      <w:r>
        <w:rPr>
          <w:rFonts w:hint="eastAsia"/>
          <w:color w:val="auto"/>
          <w:kern w:val="21"/>
          <w:sz w:val="24"/>
          <w:szCs w:val="24"/>
          <w:lang w:eastAsia="zh-CN"/>
        </w:rPr>
        <w:t>集聚区的</w:t>
      </w:r>
      <w:r>
        <w:rPr>
          <w:color w:val="auto"/>
          <w:kern w:val="21"/>
          <w:sz w:val="24"/>
          <w:szCs w:val="24"/>
        </w:rPr>
        <w:t>证明</w:t>
      </w:r>
      <w:r>
        <w:rPr>
          <w:rFonts w:hint="eastAsia"/>
          <w:color w:val="auto"/>
          <w:kern w:val="21"/>
          <w:sz w:val="24"/>
          <w:szCs w:val="24"/>
          <w:lang w:eastAsia="zh-CN"/>
        </w:rPr>
        <w:t>可知</w:t>
      </w:r>
      <w:r>
        <w:rPr>
          <w:rFonts w:hint="eastAsia"/>
          <w:color w:val="auto"/>
          <w:kern w:val="21"/>
          <w:sz w:val="24"/>
          <w:szCs w:val="24"/>
        </w:rPr>
        <w:t>，</w:t>
      </w:r>
      <w:r>
        <w:rPr>
          <w:color w:val="auto"/>
          <w:kern w:val="21"/>
          <w:sz w:val="24"/>
          <w:szCs w:val="24"/>
        </w:rPr>
        <w:t xml:space="preserve">项目建设符合园区总体规划、土地利用规划及经济发展规划要求。 </w:t>
      </w:r>
    </w:p>
    <w:p>
      <w:pPr>
        <w:adjustRightInd w:val="0"/>
        <w:snapToGrid w:val="0"/>
        <w:spacing w:line="360" w:lineRule="auto"/>
        <w:ind w:firstLine="480" w:firstLineChars="200"/>
        <w:rPr>
          <w:color w:val="auto"/>
          <w:kern w:val="21"/>
          <w:sz w:val="24"/>
          <w:szCs w:val="24"/>
        </w:rPr>
      </w:pPr>
      <w:r>
        <w:rPr>
          <w:color w:val="auto"/>
          <w:kern w:val="21"/>
          <w:sz w:val="24"/>
          <w:szCs w:val="24"/>
        </w:rPr>
        <w:t>（2）</w:t>
      </w:r>
      <w:r>
        <w:rPr>
          <w:bCs/>
          <w:color w:val="auto"/>
          <w:sz w:val="24"/>
          <w:szCs w:val="24"/>
          <w:lang w:bidi="en-US"/>
        </w:rPr>
        <w:t>对照《国民经济行业分类》（GB/T4754-2017 及 2019年修正）及《</w:t>
      </w:r>
      <w:r>
        <w:rPr>
          <w:rFonts w:hint="eastAsia"/>
          <w:bCs/>
          <w:color w:val="auto"/>
          <w:sz w:val="24"/>
          <w:szCs w:val="24"/>
          <w:lang w:bidi="en-US"/>
        </w:rPr>
        <w:t>2017年国民经济行业分类注释</w:t>
      </w:r>
      <w:r>
        <w:rPr>
          <w:bCs/>
          <w:color w:val="auto"/>
          <w:sz w:val="24"/>
          <w:szCs w:val="24"/>
          <w:lang w:bidi="en-US"/>
        </w:rPr>
        <w:t>》</w:t>
      </w:r>
      <w:r>
        <w:rPr>
          <w:rFonts w:hint="eastAsia"/>
          <w:bCs/>
          <w:color w:val="auto"/>
          <w:sz w:val="24"/>
          <w:szCs w:val="24"/>
          <w:lang w:bidi="en-US"/>
        </w:rPr>
        <w:t>锂离子电池零部件及材料制造属于“</w:t>
      </w:r>
      <w:r>
        <w:rPr>
          <w:bCs/>
          <w:color w:val="auto"/>
          <w:sz w:val="24"/>
          <w:szCs w:val="24"/>
          <w:lang w:bidi="en-US"/>
        </w:rPr>
        <w:t>C</w:t>
      </w:r>
      <w:r>
        <w:rPr>
          <w:rFonts w:hint="eastAsia"/>
          <w:bCs/>
          <w:color w:val="auto"/>
          <w:sz w:val="24"/>
          <w:szCs w:val="24"/>
          <w:lang w:bidi="en-US"/>
        </w:rPr>
        <w:t>3849</w:t>
      </w:r>
      <w:r>
        <w:rPr>
          <w:bCs/>
          <w:color w:val="auto"/>
          <w:sz w:val="24"/>
          <w:szCs w:val="24"/>
          <w:lang w:bidi="en-US"/>
        </w:rPr>
        <w:t xml:space="preserve"> 其他电池制造</w:t>
      </w:r>
      <w:r>
        <w:rPr>
          <w:rFonts w:hint="eastAsia"/>
          <w:bCs/>
          <w:color w:val="auto"/>
          <w:sz w:val="24"/>
          <w:szCs w:val="24"/>
          <w:lang w:bidi="en-US"/>
        </w:rPr>
        <w:t>”。</w:t>
      </w:r>
      <w:r>
        <w:rPr>
          <w:bCs/>
          <w:color w:val="auto"/>
          <w:sz w:val="24"/>
          <w:szCs w:val="24"/>
          <w:lang w:bidi="en-US"/>
        </w:rPr>
        <w:t>本项目产品为锂电池钢壳、盖帽</w:t>
      </w:r>
      <w:r>
        <w:rPr>
          <w:rFonts w:hint="eastAsia"/>
          <w:bCs/>
          <w:color w:val="auto"/>
          <w:sz w:val="24"/>
          <w:szCs w:val="24"/>
          <w:lang w:eastAsia="zh-CN" w:bidi="en-US"/>
        </w:rPr>
        <w:t>及</w:t>
      </w:r>
      <w:r>
        <w:rPr>
          <w:bCs/>
          <w:color w:val="auto"/>
          <w:sz w:val="24"/>
          <w:szCs w:val="24"/>
          <w:lang w:bidi="en-US"/>
        </w:rPr>
        <w:t>电池箱，因此归类为</w:t>
      </w:r>
      <w:r>
        <w:rPr>
          <w:rFonts w:hint="eastAsia"/>
          <w:bCs/>
          <w:color w:val="auto"/>
          <w:sz w:val="24"/>
          <w:szCs w:val="24"/>
          <w:lang w:bidi="en-US"/>
        </w:rPr>
        <w:t>“</w:t>
      </w:r>
      <w:r>
        <w:rPr>
          <w:bCs/>
          <w:color w:val="auto"/>
          <w:sz w:val="24"/>
          <w:szCs w:val="24"/>
          <w:lang w:bidi="en-US"/>
        </w:rPr>
        <w:t>C</w:t>
      </w:r>
      <w:r>
        <w:rPr>
          <w:rFonts w:hint="eastAsia"/>
          <w:bCs/>
          <w:color w:val="auto"/>
          <w:sz w:val="24"/>
          <w:szCs w:val="24"/>
          <w:lang w:bidi="en-US"/>
        </w:rPr>
        <w:t>3849</w:t>
      </w:r>
      <w:r>
        <w:rPr>
          <w:bCs/>
          <w:color w:val="auto"/>
          <w:sz w:val="24"/>
          <w:szCs w:val="24"/>
          <w:lang w:bidi="en-US"/>
        </w:rPr>
        <w:t xml:space="preserve"> 其他电池制造</w:t>
      </w:r>
      <w:r>
        <w:rPr>
          <w:rFonts w:hint="eastAsia"/>
          <w:bCs/>
          <w:color w:val="auto"/>
          <w:sz w:val="24"/>
          <w:szCs w:val="24"/>
          <w:lang w:bidi="en-US"/>
        </w:rPr>
        <w:t>”</w:t>
      </w:r>
      <w:r>
        <w:rPr>
          <w:rFonts w:hint="eastAsia"/>
          <w:bCs/>
          <w:color w:val="auto"/>
          <w:sz w:val="24"/>
          <w:szCs w:val="24"/>
          <w:lang w:eastAsia="zh-CN" w:bidi="en-US"/>
        </w:rPr>
        <w:t>，</w:t>
      </w:r>
      <w:r>
        <w:rPr>
          <w:bCs/>
          <w:color w:val="auto"/>
          <w:sz w:val="24"/>
          <w:szCs w:val="24"/>
          <w:lang w:bidi="en-US"/>
        </w:rPr>
        <w:t>对照《产业结构调整指导目录（2019 年本）》，本项目不属于鼓励类、限制类、淘汰类，属于允许类。项目建设符合</w:t>
      </w:r>
      <w:r>
        <w:rPr>
          <w:rFonts w:hint="eastAsia"/>
          <w:bCs/>
          <w:color w:val="auto"/>
          <w:sz w:val="24"/>
          <w:szCs w:val="24"/>
          <w:lang w:eastAsia="zh-CN" w:bidi="en-US"/>
        </w:rPr>
        <w:t>国家</w:t>
      </w:r>
      <w:r>
        <w:rPr>
          <w:bCs/>
          <w:color w:val="auto"/>
          <w:sz w:val="24"/>
          <w:szCs w:val="24"/>
          <w:lang w:bidi="en-US"/>
        </w:rPr>
        <w:t>产业政策要求。</w:t>
      </w:r>
      <w:r>
        <w:rPr>
          <w:color w:val="auto"/>
          <w:kern w:val="21"/>
          <w:sz w:val="24"/>
          <w:szCs w:val="24"/>
        </w:rPr>
        <w:t xml:space="preserve"> </w:t>
      </w:r>
    </w:p>
    <w:p>
      <w:pPr>
        <w:adjustRightInd w:val="0"/>
        <w:snapToGrid w:val="0"/>
        <w:spacing w:line="360" w:lineRule="auto"/>
        <w:ind w:firstLine="480" w:firstLineChars="200"/>
        <w:rPr>
          <w:color w:val="auto"/>
          <w:kern w:val="21"/>
          <w:sz w:val="24"/>
          <w:szCs w:val="24"/>
        </w:rPr>
      </w:pPr>
      <w:r>
        <w:rPr>
          <w:color w:val="auto"/>
          <w:kern w:val="21"/>
          <w:sz w:val="24"/>
          <w:szCs w:val="24"/>
        </w:rPr>
        <w:t>（</w:t>
      </w:r>
      <w:r>
        <w:rPr>
          <w:rFonts w:eastAsia="Times New Roman"/>
          <w:color w:val="auto"/>
          <w:kern w:val="21"/>
          <w:sz w:val="24"/>
          <w:szCs w:val="24"/>
        </w:rPr>
        <w:t>3</w:t>
      </w:r>
      <w:r>
        <w:rPr>
          <w:color w:val="auto"/>
          <w:kern w:val="21"/>
          <w:sz w:val="24"/>
          <w:szCs w:val="24"/>
        </w:rPr>
        <w:t>）本项目租用现有厂房进行建设，施工期较短，对环境影响较小。</w:t>
      </w:r>
    </w:p>
    <w:p>
      <w:pPr>
        <w:adjustRightInd w:val="0"/>
        <w:snapToGrid w:val="0"/>
        <w:spacing w:line="360" w:lineRule="auto"/>
        <w:ind w:firstLine="480" w:firstLineChars="200"/>
        <w:rPr>
          <w:color w:val="auto"/>
          <w:kern w:val="21"/>
          <w:sz w:val="24"/>
          <w:szCs w:val="24"/>
        </w:rPr>
      </w:pPr>
      <w:r>
        <w:rPr>
          <w:color w:val="auto"/>
          <w:kern w:val="21"/>
          <w:sz w:val="24"/>
          <w:szCs w:val="24"/>
        </w:rPr>
        <w:t>（</w:t>
      </w:r>
      <w:r>
        <w:rPr>
          <w:rFonts w:eastAsia="Times New Roman"/>
          <w:color w:val="auto"/>
          <w:kern w:val="21"/>
          <w:sz w:val="24"/>
          <w:szCs w:val="24"/>
        </w:rPr>
        <w:t>4</w:t>
      </w:r>
      <w:r>
        <w:rPr>
          <w:color w:val="auto"/>
          <w:kern w:val="21"/>
          <w:sz w:val="24"/>
          <w:szCs w:val="24"/>
        </w:rPr>
        <w:t>）本项目正常工况下排放的大气污染物</w:t>
      </w:r>
      <w:r>
        <w:rPr>
          <w:rFonts w:hint="eastAsia"/>
          <w:color w:val="auto"/>
          <w:kern w:val="21"/>
          <w:sz w:val="24"/>
          <w:szCs w:val="24"/>
          <w:lang w:eastAsia="zh-CN"/>
        </w:rPr>
        <w:t>为</w:t>
      </w:r>
      <w:r>
        <w:rPr>
          <w:color w:val="auto"/>
          <w:kern w:val="21"/>
          <w:sz w:val="24"/>
          <w:szCs w:val="24"/>
        </w:rPr>
        <w:t>电镀生产线酸雾</w:t>
      </w:r>
      <w:r>
        <w:rPr>
          <w:rFonts w:hint="eastAsia"/>
          <w:color w:val="auto"/>
          <w:kern w:val="21"/>
          <w:sz w:val="24"/>
          <w:szCs w:val="24"/>
        </w:rPr>
        <w:t>、酸储罐</w:t>
      </w:r>
      <w:r>
        <w:rPr>
          <w:rFonts w:hint="eastAsia"/>
          <w:color w:val="auto"/>
          <w:kern w:val="21"/>
          <w:sz w:val="24"/>
          <w:szCs w:val="24"/>
          <w:lang w:eastAsia="zh-CN"/>
        </w:rPr>
        <w:t>酸雾、</w:t>
      </w:r>
      <w:r>
        <w:rPr>
          <w:rFonts w:hint="eastAsia"/>
          <w:color w:val="auto"/>
          <w:kern w:val="21"/>
          <w:sz w:val="24"/>
          <w:szCs w:val="24"/>
        </w:rPr>
        <w:t>燃气锅炉废气、焊接烟尘</w:t>
      </w:r>
      <w:r>
        <w:rPr>
          <w:rFonts w:hint="eastAsia"/>
          <w:color w:val="auto"/>
          <w:kern w:val="21"/>
          <w:sz w:val="24"/>
          <w:szCs w:val="24"/>
          <w:lang w:eastAsia="zh-CN"/>
        </w:rPr>
        <w:t>及</w:t>
      </w:r>
      <w:r>
        <w:rPr>
          <w:rFonts w:hint="eastAsia"/>
          <w:color w:val="auto"/>
          <w:kern w:val="21"/>
          <w:sz w:val="24"/>
          <w:szCs w:val="24"/>
        </w:rPr>
        <w:t>污水站恶臭</w:t>
      </w:r>
      <w:r>
        <w:rPr>
          <w:color w:val="auto"/>
          <w:kern w:val="21"/>
          <w:sz w:val="24"/>
          <w:szCs w:val="24"/>
        </w:rPr>
        <w:t>，经预测，</w:t>
      </w:r>
      <w:r>
        <w:rPr>
          <w:rFonts w:hint="eastAsia"/>
          <w:color w:val="auto"/>
          <w:kern w:val="21"/>
          <w:sz w:val="24"/>
          <w:szCs w:val="24"/>
          <w:lang w:eastAsia="zh-CN"/>
        </w:rPr>
        <w:t>运营期大气污染物</w:t>
      </w:r>
      <w:r>
        <w:rPr>
          <w:color w:val="auto"/>
          <w:kern w:val="21"/>
          <w:sz w:val="24"/>
          <w:szCs w:val="24"/>
        </w:rPr>
        <w:t xml:space="preserve">对建设地区环境空气质量的影响较小。 </w:t>
      </w:r>
    </w:p>
    <w:p>
      <w:pPr>
        <w:pStyle w:val="32"/>
        <w:adjustRightInd w:val="0"/>
        <w:snapToGrid w:val="0"/>
        <w:spacing w:after="0" w:line="360" w:lineRule="auto"/>
        <w:ind w:firstLine="480" w:firstLineChars="200"/>
        <w:rPr>
          <w:color w:val="auto"/>
          <w:kern w:val="21"/>
          <w:sz w:val="24"/>
        </w:rPr>
      </w:pPr>
      <w:r>
        <w:rPr>
          <w:color w:val="auto"/>
          <w:kern w:val="21"/>
          <w:sz w:val="24"/>
        </w:rPr>
        <w:t>（</w:t>
      </w:r>
      <w:r>
        <w:rPr>
          <w:rFonts w:eastAsia="Times New Roman"/>
          <w:color w:val="auto"/>
          <w:kern w:val="21"/>
          <w:sz w:val="24"/>
        </w:rPr>
        <w:t>5</w:t>
      </w:r>
      <w:r>
        <w:rPr>
          <w:color w:val="auto"/>
          <w:kern w:val="21"/>
          <w:sz w:val="24"/>
        </w:rPr>
        <w:t>）</w:t>
      </w:r>
      <w:r>
        <w:rPr>
          <w:rFonts w:hint="eastAsia"/>
          <w:color w:val="auto"/>
          <w:kern w:val="21"/>
          <w:sz w:val="24"/>
          <w:lang w:eastAsia="zh-CN"/>
        </w:rPr>
        <w:t>综合废水（</w:t>
      </w:r>
      <w:r>
        <w:rPr>
          <w:color w:val="auto"/>
          <w:kern w:val="21"/>
          <w:sz w:val="24"/>
        </w:rPr>
        <w:t>含</w:t>
      </w:r>
      <w:r>
        <w:rPr>
          <w:color w:val="auto"/>
          <w:kern w:val="21"/>
          <w:sz w:val="24"/>
          <w:szCs w:val="22"/>
        </w:rPr>
        <w:t>油废水、酸性废水</w:t>
      </w:r>
      <w:r>
        <w:rPr>
          <w:rFonts w:hint="eastAsia"/>
          <w:color w:val="auto"/>
          <w:kern w:val="21"/>
          <w:sz w:val="24"/>
          <w:lang w:eastAsia="zh-CN"/>
        </w:rPr>
        <w:t>）</w:t>
      </w:r>
      <w:r>
        <w:rPr>
          <w:color w:val="auto"/>
          <w:kern w:val="21"/>
          <w:sz w:val="24"/>
          <w:szCs w:val="22"/>
        </w:rPr>
        <w:t>、含镍废水、含锌废水、含铬废水、地面废水分别经各自的预处理系统处理后进入零排放处理系统，经处理后全部回用不外排，锅炉浓水、纯水制备浓水及生活污水经厂区总排口</w:t>
      </w:r>
      <w:r>
        <w:rPr>
          <w:rFonts w:hint="eastAsia"/>
          <w:color w:val="auto"/>
          <w:kern w:val="21"/>
          <w:sz w:val="24"/>
          <w:szCs w:val="22"/>
        </w:rPr>
        <w:t>排入同盟污水处理厂</w:t>
      </w:r>
      <w:r>
        <w:rPr>
          <w:rFonts w:hint="eastAsia"/>
          <w:color w:val="auto"/>
          <w:kern w:val="21"/>
          <w:sz w:val="24"/>
          <w:szCs w:val="22"/>
          <w:lang w:eastAsia="zh-CN"/>
        </w:rPr>
        <w:t>，本项目外排废水</w:t>
      </w:r>
      <w:r>
        <w:rPr>
          <w:color w:val="auto"/>
          <w:kern w:val="21"/>
          <w:sz w:val="24"/>
        </w:rPr>
        <w:t>对周围水环境</w:t>
      </w:r>
      <w:r>
        <w:rPr>
          <w:color w:val="auto"/>
          <w:kern w:val="21"/>
          <w:sz w:val="24"/>
          <w:lang w:val="en-US"/>
        </w:rPr>
        <w:t>产生</w:t>
      </w:r>
      <w:r>
        <w:rPr>
          <w:color w:val="auto"/>
          <w:kern w:val="21"/>
          <w:sz w:val="24"/>
        </w:rPr>
        <w:t>影响</w:t>
      </w:r>
      <w:r>
        <w:rPr>
          <w:color w:val="auto"/>
          <w:kern w:val="21"/>
          <w:sz w:val="24"/>
          <w:lang w:val="en-US"/>
        </w:rPr>
        <w:t>较小</w:t>
      </w:r>
      <w:r>
        <w:rPr>
          <w:color w:val="auto"/>
          <w:kern w:val="21"/>
          <w:sz w:val="24"/>
        </w:rPr>
        <w:t xml:space="preserve">。 </w:t>
      </w:r>
    </w:p>
    <w:p>
      <w:pPr>
        <w:adjustRightInd w:val="0"/>
        <w:snapToGrid w:val="0"/>
        <w:spacing w:line="360" w:lineRule="auto"/>
        <w:ind w:firstLine="480" w:firstLineChars="200"/>
        <w:rPr>
          <w:color w:val="auto"/>
          <w:kern w:val="21"/>
          <w:sz w:val="24"/>
          <w:szCs w:val="24"/>
        </w:rPr>
      </w:pPr>
      <w:r>
        <w:rPr>
          <w:color w:val="auto"/>
          <w:kern w:val="21"/>
          <w:sz w:val="24"/>
          <w:szCs w:val="24"/>
        </w:rPr>
        <w:t>（</w:t>
      </w:r>
      <w:r>
        <w:rPr>
          <w:rFonts w:eastAsia="Times New Roman"/>
          <w:color w:val="auto"/>
          <w:kern w:val="21"/>
          <w:sz w:val="24"/>
          <w:szCs w:val="24"/>
        </w:rPr>
        <w:t>6</w:t>
      </w:r>
      <w:r>
        <w:rPr>
          <w:color w:val="auto"/>
          <w:kern w:val="21"/>
          <w:sz w:val="24"/>
          <w:szCs w:val="24"/>
        </w:rPr>
        <w:t>）本项目噪声源主要为冲床</w:t>
      </w:r>
      <w:r>
        <w:rPr>
          <w:rFonts w:hint="eastAsia"/>
          <w:color w:val="auto"/>
          <w:kern w:val="21"/>
          <w:sz w:val="24"/>
          <w:szCs w:val="24"/>
          <w:lang w:eastAsia="zh-CN"/>
        </w:rPr>
        <w:t>、</w:t>
      </w:r>
      <w:r>
        <w:rPr>
          <w:color w:val="auto"/>
          <w:kern w:val="21"/>
          <w:sz w:val="24"/>
          <w:szCs w:val="24"/>
        </w:rPr>
        <w:t>风机</w:t>
      </w:r>
      <w:r>
        <w:rPr>
          <w:rFonts w:hint="eastAsia"/>
          <w:color w:val="auto"/>
          <w:kern w:val="21"/>
          <w:sz w:val="24"/>
          <w:szCs w:val="24"/>
          <w:lang w:eastAsia="zh-CN"/>
        </w:rPr>
        <w:t>和</w:t>
      </w:r>
      <w:r>
        <w:rPr>
          <w:color w:val="auto"/>
          <w:kern w:val="21"/>
          <w:sz w:val="24"/>
          <w:szCs w:val="24"/>
        </w:rPr>
        <w:t>空压机等空气动力噪声，经基础减震、</w:t>
      </w:r>
      <w:r>
        <w:rPr>
          <w:rFonts w:hint="eastAsia"/>
          <w:color w:val="auto"/>
          <w:kern w:val="21"/>
          <w:sz w:val="24"/>
          <w:szCs w:val="24"/>
        </w:rPr>
        <w:t>厂房</w:t>
      </w:r>
      <w:r>
        <w:rPr>
          <w:color w:val="auto"/>
          <w:kern w:val="21"/>
          <w:sz w:val="24"/>
          <w:szCs w:val="24"/>
        </w:rPr>
        <w:t>隔声后，厂界</w:t>
      </w:r>
      <w:r>
        <w:rPr>
          <w:rFonts w:hint="eastAsia"/>
          <w:color w:val="auto"/>
          <w:kern w:val="21"/>
          <w:sz w:val="24"/>
          <w:szCs w:val="24"/>
        </w:rPr>
        <w:t>四周</w:t>
      </w:r>
      <w:r>
        <w:rPr>
          <w:color w:val="auto"/>
          <w:kern w:val="21"/>
          <w:sz w:val="24"/>
          <w:szCs w:val="24"/>
        </w:rPr>
        <w:t>噪声</w:t>
      </w:r>
      <w:r>
        <w:rPr>
          <w:rFonts w:hint="eastAsia"/>
          <w:color w:val="auto"/>
          <w:kern w:val="21"/>
          <w:sz w:val="24"/>
          <w:szCs w:val="24"/>
          <w:lang w:eastAsia="zh-CN"/>
        </w:rPr>
        <w:t>能</w:t>
      </w:r>
      <w:r>
        <w:rPr>
          <w:color w:val="auto"/>
          <w:kern w:val="21"/>
          <w:sz w:val="24"/>
          <w:szCs w:val="24"/>
        </w:rPr>
        <w:t xml:space="preserve">满足《工业企业厂界环境噪声排放标准》3类标准限值要求，本项目周围200m范围内没有常住居民等环境敏感点，本项目噪声对周围声环境影响较小。 </w:t>
      </w:r>
    </w:p>
    <w:p>
      <w:pPr>
        <w:adjustRightInd w:val="0"/>
        <w:snapToGrid w:val="0"/>
        <w:spacing w:line="360" w:lineRule="auto"/>
        <w:ind w:firstLine="480" w:firstLineChars="200"/>
        <w:rPr>
          <w:color w:val="auto"/>
          <w:kern w:val="21"/>
          <w:sz w:val="24"/>
          <w:szCs w:val="24"/>
        </w:rPr>
      </w:pPr>
      <w:r>
        <w:rPr>
          <w:color w:val="auto"/>
          <w:kern w:val="21"/>
          <w:sz w:val="24"/>
          <w:szCs w:val="24"/>
        </w:rPr>
        <w:t>（7）</w:t>
      </w:r>
      <w:r>
        <w:rPr>
          <w:color w:val="auto"/>
          <w:kern w:val="21"/>
          <w:sz w:val="24"/>
        </w:rPr>
        <w:t>本项目产生的一般固废主要为边角料、不合格镀件、纯水制备</w:t>
      </w:r>
      <w:r>
        <w:rPr>
          <w:rFonts w:hint="eastAsia"/>
          <w:color w:val="auto"/>
          <w:kern w:val="21"/>
          <w:sz w:val="24"/>
          <w:lang w:eastAsia="zh-CN"/>
        </w:rPr>
        <w:t>废</w:t>
      </w:r>
      <w:r>
        <w:rPr>
          <w:rFonts w:hint="eastAsia"/>
          <w:color w:val="auto"/>
          <w:kern w:val="21"/>
          <w:sz w:val="24"/>
        </w:rPr>
        <w:t>RO膜暂存于一般固废暂存间，综合利用；危险废物镀镍槽液、镀锌槽液每5年更换一次，由危废处置单位直接拉走，不暂存，含镍废物、含锌废物、含铬废物、气浮污油、废机油、反渗透膜及生化处理污泥脱水后</w:t>
      </w:r>
      <w:r>
        <w:rPr>
          <w:rFonts w:hint="eastAsia"/>
          <w:color w:val="auto"/>
          <w:kern w:val="21"/>
          <w:sz w:val="24"/>
          <w:lang w:eastAsia="zh-CN"/>
        </w:rPr>
        <w:t>暂</w:t>
      </w:r>
      <w:r>
        <w:rPr>
          <w:rFonts w:hint="eastAsia"/>
          <w:color w:val="auto"/>
          <w:kern w:val="21"/>
          <w:sz w:val="24"/>
        </w:rPr>
        <w:t>存于危废暂存间，定期交有资质单位处理处置；</w:t>
      </w:r>
      <w:r>
        <w:rPr>
          <w:color w:val="auto"/>
          <w:kern w:val="21"/>
          <w:sz w:val="24"/>
        </w:rPr>
        <w:t>生活垃圾</w:t>
      </w:r>
      <w:r>
        <w:rPr>
          <w:rFonts w:hint="eastAsia"/>
          <w:color w:val="auto"/>
          <w:kern w:val="21"/>
          <w:sz w:val="24"/>
          <w:lang w:eastAsia="zh-CN"/>
        </w:rPr>
        <w:t>用</w:t>
      </w:r>
      <w:r>
        <w:rPr>
          <w:color w:val="auto"/>
          <w:kern w:val="21"/>
          <w:sz w:val="24"/>
        </w:rPr>
        <w:t>垃圾桶收集，</w:t>
      </w:r>
      <w:r>
        <w:rPr>
          <w:rFonts w:hint="eastAsia"/>
          <w:color w:val="auto"/>
          <w:kern w:val="21"/>
          <w:sz w:val="24"/>
        </w:rPr>
        <w:t>定期运往垃圾中转站</w:t>
      </w:r>
      <w:r>
        <w:rPr>
          <w:color w:val="auto"/>
          <w:kern w:val="21"/>
          <w:sz w:val="24"/>
        </w:rPr>
        <w:t>。项目产生的固体废弃物均可得到妥善处置，对周边环境的影响较小</w:t>
      </w:r>
      <w:r>
        <w:rPr>
          <w:color w:val="auto"/>
          <w:kern w:val="21"/>
          <w:sz w:val="24"/>
          <w:szCs w:val="24"/>
        </w:rPr>
        <w:t xml:space="preserve">。 </w:t>
      </w:r>
    </w:p>
    <w:p>
      <w:pPr>
        <w:adjustRightInd w:val="0"/>
        <w:snapToGrid w:val="0"/>
        <w:spacing w:line="360" w:lineRule="auto"/>
        <w:ind w:firstLine="480" w:firstLineChars="200"/>
        <w:rPr>
          <w:color w:val="auto"/>
          <w:kern w:val="21"/>
          <w:sz w:val="24"/>
          <w:szCs w:val="24"/>
        </w:rPr>
      </w:pPr>
      <w:r>
        <w:rPr>
          <w:color w:val="auto"/>
          <w:kern w:val="21"/>
          <w:sz w:val="24"/>
          <w:szCs w:val="24"/>
        </w:rPr>
        <w:t>（8）本项目原辅材料中涉及的盐酸、硫酸、氢氧化钠、铬酸、氯化镍、硫酸镍、镍板等物质属于危险化学品。经源项分析，</w:t>
      </w:r>
      <w:r>
        <w:rPr>
          <w:color w:val="auto"/>
          <w:kern w:val="21"/>
          <w:sz w:val="24"/>
          <w:szCs w:val="24"/>
          <w:lang w:val="en-US"/>
        </w:rPr>
        <w:t>本项目</w:t>
      </w:r>
      <w:r>
        <w:rPr>
          <w:rFonts w:hint="eastAsia"/>
          <w:color w:val="auto"/>
          <w:kern w:val="21"/>
          <w:sz w:val="24"/>
          <w:szCs w:val="24"/>
          <w:lang w:val="en-US" w:eastAsia="zh-CN"/>
        </w:rPr>
        <w:t>的</w:t>
      </w:r>
      <w:r>
        <w:rPr>
          <w:color w:val="auto"/>
          <w:kern w:val="21"/>
          <w:sz w:val="24"/>
          <w:szCs w:val="24"/>
          <w:lang w:val="en-US"/>
        </w:rPr>
        <w:t>最大可信事故</w:t>
      </w:r>
      <w:r>
        <w:rPr>
          <w:rFonts w:hint="eastAsia"/>
          <w:color w:val="auto"/>
          <w:kern w:val="21"/>
          <w:sz w:val="24"/>
          <w:szCs w:val="24"/>
          <w:lang w:val="en-US" w:eastAsia="zh-CN"/>
        </w:rPr>
        <w:t>为盐酸等危险化学品储存设施破裂造成危化品泄漏</w:t>
      </w:r>
      <w:r>
        <w:rPr>
          <w:color w:val="auto"/>
          <w:kern w:val="21"/>
          <w:sz w:val="24"/>
          <w:szCs w:val="24"/>
        </w:rPr>
        <w:t>。项目通过在电镀区设置围堰，危化品储存区设置漫坡</w:t>
      </w:r>
      <w:r>
        <w:rPr>
          <w:rFonts w:hint="eastAsia"/>
          <w:color w:val="auto"/>
          <w:kern w:val="21"/>
          <w:sz w:val="24"/>
          <w:szCs w:val="24"/>
          <w:lang w:eastAsia="zh-CN"/>
        </w:rPr>
        <w:t>及围堰</w:t>
      </w:r>
      <w:r>
        <w:rPr>
          <w:color w:val="auto"/>
          <w:kern w:val="21"/>
          <w:sz w:val="24"/>
          <w:szCs w:val="24"/>
        </w:rPr>
        <w:t>，落实与园区风险防范联防措施，可有效降低环境风险的发生概率，尽量避免储存、装卸和生产过程电镀液和原材料泄漏事故对附近水体造成威胁，其环境风险是可控的。如出现泄漏事故，应立即停止生产，立即报告相关部门，启动环境风险应急预案，将事故影响降到最低。</w:t>
      </w:r>
    </w:p>
    <w:p>
      <w:pPr>
        <w:adjustRightInd w:val="0"/>
        <w:snapToGrid w:val="0"/>
        <w:spacing w:line="360" w:lineRule="auto"/>
        <w:ind w:firstLine="480" w:firstLineChars="200"/>
        <w:rPr>
          <w:color w:val="auto"/>
          <w:kern w:val="21"/>
          <w:sz w:val="24"/>
          <w:szCs w:val="24"/>
        </w:rPr>
      </w:pPr>
      <w:r>
        <w:rPr>
          <w:color w:val="auto"/>
          <w:kern w:val="21"/>
          <w:sz w:val="24"/>
          <w:szCs w:val="24"/>
        </w:rPr>
        <w:t>（9）本项目主要进行电池</w:t>
      </w:r>
      <w:r>
        <w:rPr>
          <w:rFonts w:hint="eastAsia"/>
          <w:color w:val="auto"/>
          <w:kern w:val="21"/>
          <w:sz w:val="24"/>
          <w:szCs w:val="24"/>
        </w:rPr>
        <w:t>配件</w:t>
      </w:r>
      <w:r>
        <w:rPr>
          <w:color w:val="auto"/>
          <w:kern w:val="21"/>
          <w:sz w:val="24"/>
          <w:szCs w:val="24"/>
        </w:rPr>
        <w:t xml:space="preserve">的生产，能够解决部分当地人口就业，并增加地方税收，具有一定经济社会效益。 </w:t>
      </w:r>
    </w:p>
    <w:p>
      <w:pPr>
        <w:adjustRightInd w:val="0"/>
        <w:snapToGrid w:val="0"/>
        <w:spacing w:line="360" w:lineRule="auto"/>
        <w:ind w:firstLine="480" w:firstLineChars="200"/>
        <w:rPr>
          <w:color w:val="auto"/>
          <w:kern w:val="21"/>
          <w:sz w:val="24"/>
          <w:szCs w:val="24"/>
        </w:rPr>
      </w:pPr>
      <w:r>
        <w:rPr>
          <w:color w:val="auto"/>
          <w:kern w:val="21"/>
          <w:sz w:val="24"/>
          <w:szCs w:val="24"/>
        </w:rPr>
        <w:t>（10）建设单位应严格环境管理、落实监测计划的制定和实施，控制污染、保障环境质量、促进持续发展。</w:t>
      </w:r>
    </w:p>
    <w:p>
      <w:pPr>
        <w:pStyle w:val="5"/>
        <w:keepNext w:val="0"/>
        <w:keepLines w:val="0"/>
        <w:snapToGrid w:val="0"/>
        <w:spacing w:before="0" w:beforeLines="0" w:after="0" w:afterLines="0"/>
        <w:jc w:val="both"/>
        <w:rPr>
          <w:bCs w:val="0"/>
          <w:color w:val="auto"/>
          <w:kern w:val="21"/>
          <w:sz w:val="28"/>
          <w:szCs w:val="28"/>
        </w:rPr>
      </w:pPr>
      <w:r>
        <w:rPr>
          <w:rFonts w:hint="eastAsia"/>
          <w:bCs w:val="0"/>
          <w:color w:val="auto"/>
          <w:kern w:val="21"/>
          <w:sz w:val="28"/>
          <w:szCs w:val="28"/>
          <w:lang w:eastAsia="zh-CN"/>
        </w:rPr>
        <w:tab/>
      </w:r>
      <w:r>
        <w:rPr>
          <w:bCs w:val="0"/>
          <w:color w:val="auto"/>
          <w:kern w:val="21"/>
          <w:sz w:val="28"/>
          <w:szCs w:val="28"/>
        </w:rPr>
        <w:t>2.3.2评价因子筛选</w:t>
      </w:r>
    </w:p>
    <w:p>
      <w:pPr>
        <w:pStyle w:val="299"/>
        <w:adjustRightInd w:val="0"/>
        <w:snapToGrid w:val="0"/>
        <w:spacing w:line="360" w:lineRule="auto"/>
        <w:ind w:firstLine="480"/>
        <w:rPr>
          <w:color w:val="auto"/>
          <w:kern w:val="21"/>
        </w:rPr>
      </w:pPr>
      <w:r>
        <w:rPr>
          <w:color w:val="auto"/>
          <w:kern w:val="21"/>
        </w:rPr>
        <w:t>根据区域环境状况及项目各类特征污染物产排情况，筛选本次评价工作的评价因子见表2.3-2。</w:t>
      </w:r>
    </w:p>
    <w:p>
      <w:pPr>
        <w:pStyle w:val="43"/>
        <w:rPr>
          <w:color w:val="auto"/>
          <w:kern w:val="21"/>
          <w:sz w:val="24"/>
          <w:szCs w:val="24"/>
          <w:lang w:val="zh-CN"/>
        </w:rPr>
        <w:sectPr>
          <w:footerReference r:id="rId6" w:type="default"/>
          <w:pgSz w:w="11910" w:h="16840"/>
          <w:pgMar w:top="1440" w:right="1800" w:bottom="1440" w:left="1800" w:header="1098" w:footer="1207" w:gutter="0"/>
          <w:cols w:space="720" w:num="1"/>
          <w:docGrid w:linePitch="286" w:charSpace="0"/>
        </w:sectPr>
      </w:pPr>
    </w:p>
    <w:p>
      <w:pPr>
        <w:pStyle w:val="299"/>
        <w:keepNext w:val="0"/>
        <w:keepLines w:val="0"/>
        <w:pageBreakBefore w:val="0"/>
        <w:widowControl/>
        <w:tabs>
          <w:tab w:val="left" w:pos="1573"/>
        </w:tabs>
        <w:kinsoku/>
        <w:wordWrap/>
        <w:overflowPunct/>
        <w:topLinePunct w:val="0"/>
        <w:autoSpaceDE/>
        <w:autoSpaceDN/>
        <w:bidi w:val="0"/>
        <w:adjustRightInd w:val="0"/>
        <w:snapToGrid w:val="0"/>
        <w:spacing w:line="240" w:lineRule="auto"/>
        <w:jc w:val="center"/>
        <w:textAlignment w:val="auto"/>
        <w:rPr>
          <w:rFonts w:eastAsia="黑体"/>
          <w:bCs/>
          <w:color w:val="auto"/>
          <w:kern w:val="21"/>
          <w:sz w:val="24"/>
        </w:rPr>
      </w:pPr>
    </w:p>
    <w:p>
      <w:pPr>
        <w:pStyle w:val="299"/>
        <w:keepNext w:val="0"/>
        <w:keepLines w:val="0"/>
        <w:pageBreakBefore w:val="0"/>
        <w:widowControl/>
        <w:tabs>
          <w:tab w:val="left" w:pos="1573"/>
        </w:tabs>
        <w:kinsoku/>
        <w:wordWrap/>
        <w:overflowPunct/>
        <w:topLinePunct w:val="0"/>
        <w:autoSpaceDE/>
        <w:autoSpaceDN/>
        <w:bidi w:val="0"/>
        <w:adjustRightInd w:val="0"/>
        <w:snapToGrid w:val="0"/>
        <w:spacing w:line="240" w:lineRule="auto"/>
        <w:jc w:val="center"/>
        <w:textAlignment w:val="auto"/>
        <w:rPr>
          <w:rFonts w:eastAsia="黑体"/>
          <w:bCs/>
          <w:color w:val="auto"/>
          <w:kern w:val="21"/>
          <w:sz w:val="24"/>
        </w:rPr>
      </w:pPr>
      <w:r>
        <w:rPr>
          <w:rFonts w:eastAsia="黑体"/>
          <w:bCs/>
          <w:color w:val="auto"/>
          <w:kern w:val="21"/>
          <w:sz w:val="24"/>
        </w:rPr>
        <w:t xml:space="preserve">表2.3-2  </w:t>
      </w:r>
      <w:r>
        <w:rPr>
          <w:rFonts w:hint="eastAsia" w:eastAsia="黑体"/>
          <w:bCs/>
          <w:color w:val="auto"/>
          <w:kern w:val="21"/>
          <w:sz w:val="24"/>
          <w:lang w:eastAsia="zh-CN"/>
        </w:rPr>
        <w:t>本</w:t>
      </w:r>
      <w:r>
        <w:rPr>
          <w:rFonts w:eastAsia="黑体"/>
          <w:bCs/>
          <w:color w:val="auto"/>
          <w:kern w:val="21"/>
          <w:sz w:val="24"/>
        </w:rPr>
        <w:t>项目环境</w:t>
      </w:r>
      <w:r>
        <w:rPr>
          <w:rFonts w:hint="eastAsia" w:eastAsia="黑体"/>
          <w:bCs/>
          <w:color w:val="auto"/>
          <w:kern w:val="21"/>
          <w:sz w:val="24"/>
          <w:lang w:eastAsia="zh-CN"/>
        </w:rPr>
        <w:t>影响</w:t>
      </w:r>
      <w:r>
        <w:rPr>
          <w:rFonts w:eastAsia="黑体"/>
          <w:bCs/>
          <w:color w:val="auto"/>
          <w:kern w:val="21"/>
          <w:sz w:val="24"/>
        </w:rPr>
        <w:t>评价因子筛选</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3345"/>
        <w:gridCol w:w="3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adjustRightInd w:val="0"/>
              <w:snapToGrid w:val="0"/>
              <w:jc w:val="center"/>
              <w:rPr>
                <w:b/>
                <w:bCs/>
                <w:color w:val="auto"/>
                <w:kern w:val="21"/>
              </w:rPr>
            </w:pPr>
            <w:r>
              <w:rPr>
                <w:b/>
                <w:bCs/>
                <w:color w:val="auto"/>
                <w:kern w:val="21"/>
              </w:rPr>
              <w:t>类型</w:t>
            </w:r>
          </w:p>
        </w:tc>
        <w:tc>
          <w:tcPr>
            <w:tcW w:w="3345" w:type="dxa"/>
            <w:vAlign w:val="center"/>
          </w:tcPr>
          <w:p>
            <w:pPr>
              <w:pStyle w:val="251"/>
              <w:textAlignment w:val="auto"/>
              <w:rPr>
                <w:b/>
                <w:bCs/>
                <w:color w:val="auto"/>
                <w:kern w:val="21"/>
                <w:szCs w:val="21"/>
                <w:lang w:val="en-US"/>
              </w:rPr>
            </w:pPr>
            <w:r>
              <w:rPr>
                <w:b/>
                <w:bCs/>
                <w:color w:val="auto"/>
                <w:kern w:val="21"/>
                <w:szCs w:val="21"/>
                <w:lang w:val="en-US"/>
              </w:rPr>
              <w:t>现状评价因子</w:t>
            </w:r>
          </w:p>
        </w:tc>
        <w:tc>
          <w:tcPr>
            <w:tcW w:w="3494" w:type="dxa"/>
            <w:vAlign w:val="center"/>
          </w:tcPr>
          <w:p>
            <w:pPr>
              <w:adjustRightInd w:val="0"/>
              <w:snapToGrid w:val="0"/>
              <w:jc w:val="center"/>
              <w:rPr>
                <w:b/>
                <w:bCs/>
                <w:color w:val="auto"/>
                <w:kern w:val="21"/>
              </w:rPr>
            </w:pPr>
            <w:r>
              <w:rPr>
                <w:b/>
                <w:bCs/>
                <w:color w:val="auto"/>
                <w:kern w:val="21"/>
              </w:rPr>
              <w:t>运营期预测评价因子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pStyle w:val="251"/>
              <w:textAlignment w:val="auto"/>
              <w:rPr>
                <w:color w:val="auto"/>
                <w:kern w:val="21"/>
                <w:szCs w:val="21"/>
                <w:lang w:val="en-US"/>
              </w:rPr>
            </w:pPr>
            <w:r>
              <w:rPr>
                <w:color w:val="auto"/>
                <w:kern w:val="21"/>
                <w:szCs w:val="21"/>
                <w:lang w:val="en-US"/>
              </w:rPr>
              <w:t>大气环境</w:t>
            </w:r>
          </w:p>
        </w:tc>
        <w:tc>
          <w:tcPr>
            <w:tcW w:w="3345" w:type="dxa"/>
            <w:vAlign w:val="center"/>
          </w:tcPr>
          <w:p>
            <w:pPr>
              <w:pStyle w:val="251"/>
              <w:textAlignment w:val="auto"/>
              <w:rPr>
                <w:color w:val="auto"/>
                <w:kern w:val="21"/>
                <w:szCs w:val="21"/>
                <w:lang w:val="en-US"/>
              </w:rPr>
            </w:pPr>
            <w:r>
              <w:rPr>
                <w:color w:val="auto"/>
                <w:kern w:val="21"/>
                <w:szCs w:val="21"/>
                <w:lang w:val="en-US"/>
              </w:rPr>
              <w:t>SO</w:t>
            </w:r>
            <w:r>
              <w:rPr>
                <w:color w:val="auto"/>
                <w:kern w:val="21"/>
                <w:szCs w:val="21"/>
                <w:vertAlign w:val="subscript"/>
                <w:lang w:val="en-US"/>
              </w:rPr>
              <w:t>2</w:t>
            </w:r>
            <w:r>
              <w:rPr>
                <w:color w:val="auto"/>
                <w:kern w:val="21"/>
                <w:szCs w:val="21"/>
                <w:lang w:val="en-US"/>
              </w:rPr>
              <w:t>、NO</w:t>
            </w:r>
            <w:r>
              <w:rPr>
                <w:color w:val="auto"/>
                <w:kern w:val="21"/>
                <w:szCs w:val="21"/>
                <w:vertAlign w:val="subscript"/>
                <w:lang w:val="en-US"/>
              </w:rPr>
              <w:t>2</w:t>
            </w:r>
            <w:r>
              <w:rPr>
                <w:color w:val="auto"/>
                <w:kern w:val="21"/>
                <w:szCs w:val="21"/>
                <w:lang w:val="en-US"/>
              </w:rPr>
              <w:t>、PM</w:t>
            </w:r>
            <w:r>
              <w:rPr>
                <w:color w:val="auto"/>
                <w:kern w:val="21"/>
                <w:szCs w:val="21"/>
                <w:vertAlign w:val="subscript"/>
                <w:lang w:val="en-US"/>
              </w:rPr>
              <w:t>10</w:t>
            </w:r>
            <w:r>
              <w:rPr>
                <w:color w:val="auto"/>
                <w:kern w:val="21"/>
                <w:szCs w:val="21"/>
                <w:lang w:val="en-US"/>
              </w:rPr>
              <w:t>、PM</w:t>
            </w:r>
            <w:r>
              <w:rPr>
                <w:color w:val="auto"/>
                <w:kern w:val="21"/>
                <w:szCs w:val="21"/>
                <w:vertAlign w:val="subscript"/>
                <w:lang w:val="en-US"/>
              </w:rPr>
              <w:t>2.5</w:t>
            </w:r>
            <w:r>
              <w:rPr>
                <w:color w:val="auto"/>
                <w:kern w:val="21"/>
                <w:szCs w:val="21"/>
                <w:lang w:val="en-US"/>
              </w:rPr>
              <w:t>、</w:t>
            </w:r>
            <w:r>
              <w:rPr>
                <w:rFonts w:hint="eastAsia"/>
                <w:color w:val="auto"/>
                <w:kern w:val="21"/>
                <w:szCs w:val="21"/>
                <w:lang w:val="en-US"/>
              </w:rPr>
              <w:t>O</w:t>
            </w:r>
            <w:r>
              <w:rPr>
                <w:rFonts w:hint="eastAsia"/>
                <w:color w:val="auto"/>
                <w:kern w:val="21"/>
                <w:szCs w:val="21"/>
                <w:vertAlign w:val="subscript"/>
                <w:lang w:val="en-US"/>
              </w:rPr>
              <w:t>3</w:t>
            </w:r>
            <w:r>
              <w:rPr>
                <w:rFonts w:hint="eastAsia"/>
                <w:color w:val="auto"/>
                <w:kern w:val="21"/>
                <w:szCs w:val="21"/>
                <w:lang w:val="en-US"/>
              </w:rPr>
              <w:t>、CO、</w:t>
            </w:r>
            <w:r>
              <w:rPr>
                <w:color w:val="auto"/>
                <w:kern w:val="21"/>
                <w:szCs w:val="21"/>
                <w:lang w:val="en-US"/>
              </w:rPr>
              <w:t>氯化氢、</w:t>
            </w:r>
            <w:r>
              <w:rPr>
                <w:rFonts w:hint="eastAsia"/>
                <w:color w:val="auto"/>
                <w:kern w:val="21"/>
                <w:szCs w:val="21"/>
                <w:lang w:val="en-US"/>
              </w:rPr>
              <w:t>H</w:t>
            </w:r>
            <w:r>
              <w:rPr>
                <w:rFonts w:hint="eastAsia"/>
                <w:color w:val="auto"/>
                <w:kern w:val="21"/>
                <w:szCs w:val="21"/>
                <w:vertAlign w:val="subscript"/>
                <w:lang w:val="en-US"/>
              </w:rPr>
              <w:t>2</w:t>
            </w:r>
            <w:r>
              <w:rPr>
                <w:rFonts w:hint="eastAsia"/>
                <w:color w:val="auto"/>
                <w:kern w:val="21"/>
                <w:szCs w:val="21"/>
                <w:lang w:val="en-US"/>
              </w:rPr>
              <w:t>S、NH</w:t>
            </w:r>
            <w:r>
              <w:rPr>
                <w:rFonts w:hint="eastAsia"/>
                <w:color w:val="auto"/>
                <w:kern w:val="21"/>
                <w:szCs w:val="21"/>
                <w:vertAlign w:val="subscript"/>
                <w:lang w:val="en-US"/>
              </w:rPr>
              <w:t>3</w:t>
            </w:r>
            <w:r>
              <w:rPr>
                <w:rFonts w:hint="eastAsia"/>
                <w:color w:val="auto"/>
                <w:kern w:val="21"/>
                <w:szCs w:val="21"/>
                <w:lang w:val="en-US"/>
              </w:rPr>
              <w:t>、臭气浓度、硫酸雾、铬酸雾</w:t>
            </w:r>
          </w:p>
        </w:tc>
        <w:tc>
          <w:tcPr>
            <w:tcW w:w="3494" w:type="dxa"/>
            <w:vAlign w:val="center"/>
          </w:tcPr>
          <w:p>
            <w:pPr>
              <w:pStyle w:val="251"/>
              <w:textAlignment w:val="auto"/>
              <w:rPr>
                <w:color w:val="auto"/>
                <w:kern w:val="21"/>
                <w:szCs w:val="21"/>
                <w:lang w:val="en-US"/>
              </w:rPr>
            </w:pPr>
            <w:r>
              <w:rPr>
                <w:color w:val="auto"/>
                <w:kern w:val="21"/>
                <w:szCs w:val="21"/>
                <w:lang w:val="en-US"/>
              </w:rPr>
              <w:t>SO</w:t>
            </w:r>
            <w:r>
              <w:rPr>
                <w:color w:val="auto"/>
                <w:kern w:val="21"/>
                <w:szCs w:val="21"/>
                <w:vertAlign w:val="subscript"/>
                <w:lang w:val="en-US"/>
              </w:rPr>
              <w:t>2</w:t>
            </w:r>
            <w:r>
              <w:rPr>
                <w:color w:val="auto"/>
                <w:kern w:val="21"/>
                <w:szCs w:val="21"/>
                <w:lang w:val="en-US"/>
              </w:rPr>
              <w:t>、NO</w:t>
            </w:r>
            <w:r>
              <w:rPr>
                <w:color w:val="auto"/>
                <w:kern w:val="21"/>
                <w:szCs w:val="21"/>
                <w:vertAlign w:val="subscript"/>
                <w:lang w:val="en-US"/>
              </w:rPr>
              <w:t>2</w:t>
            </w:r>
            <w:r>
              <w:rPr>
                <w:color w:val="auto"/>
                <w:kern w:val="21"/>
                <w:szCs w:val="21"/>
                <w:lang w:val="en-US"/>
              </w:rPr>
              <w:t>、PM</w:t>
            </w:r>
            <w:r>
              <w:rPr>
                <w:color w:val="auto"/>
                <w:kern w:val="21"/>
                <w:szCs w:val="21"/>
                <w:vertAlign w:val="subscript"/>
                <w:lang w:val="en-US"/>
              </w:rPr>
              <w:t>10</w:t>
            </w:r>
            <w:r>
              <w:rPr>
                <w:color w:val="auto"/>
                <w:kern w:val="21"/>
                <w:szCs w:val="21"/>
                <w:lang w:val="en-US"/>
              </w:rPr>
              <w:t>、氯化氢、</w:t>
            </w:r>
            <w:r>
              <w:rPr>
                <w:rFonts w:hint="eastAsia"/>
                <w:color w:val="auto"/>
                <w:kern w:val="21"/>
                <w:szCs w:val="21"/>
                <w:lang w:val="en-US"/>
              </w:rPr>
              <w:t>H</w:t>
            </w:r>
            <w:r>
              <w:rPr>
                <w:rFonts w:hint="eastAsia"/>
                <w:color w:val="auto"/>
                <w:kern w:val="21"/>
                <w:szCs w:val="21"/>
                <w:vertAlign w:val="subscript"/>
                <w:lang w:val="en-US"/>
              </w:rPr>
              <w:t>2</w:t>
            </w:r>
            <w:r>
              <w:rPr>
                <w:rFonts w:hint="eastAsia"/>
                <w:color w:val="auto"/>
                <w:kern w:val="21"/>
                <w:szCs w:val="21"/>
                <w:lang w:val="en-US"/>
              </w:rPr>
              <w:t>S、NH</w:t>
            </w:r>
            <w:r>
              <w:rPr>
                <w:rFonts w:hint="eastAsia"/>
                <w:color w:val="auto"/>
                <w:kern w:val="21"/>
                <w:szCs w:val="21"/>
                <w:vertAlign w:val="subscript"/>
                <w:lang w:val="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pStyle w:val="251"/>
              <w:textAlignment w:val="auto"/>
              <w:rPr>
                <w:color w:val="auto"/>
                <w:kern w:val="21"/>
                <w:szCs w:val="21"/>
                <w:lang w:val="en-US"/>
              </w:rPr>
            </w:pPr>
            <w:r>
              <w:rPr>
                <w:color w:val="auto"/>
                <w:kern w:val="21"/>
                <w:szCs w:val="21"/>
                <w:lang w:val="en-US"/>
              </w:rPr>
              <w:t>地表水环境</w:t>
            </w:r>
          </w:p>
        </w:tc>
        <w:tc>
          <w:tcPr>
            <w:tcW w:w="3345" w:type="dxa"/>
            <w:vAlign w:val="center"/>
          </w:tcPr>
          <w:p>
            <w:pPr>
              <w:pStyle w:val="251"/>
              <w:textAlignment w:val="auto"/>
              <w:rPr>
                <w:color w:val="auto"/>
                <w:kern w:val="21"/>
                <w:szCs w:val="21"/>
                <w:lang w:val="en-US"/>
              </w:rPr>
            </w:pPr>
            <w:r>
              <w:rPr>
                <w:color w:val="auto"/>
                <w:kern w:val="21"/>
                <w:szCs w:val="21"/>
                <w:lang w:val="en-US"/>
              </w:rPr>
              <w:t>COD、NH</w:t>
            </w:r>
            <w:r>
              <w:rPr>
                <w:color w:val="auto"/>
                <w:kern w:val="21"/>
                <w:szCs w:val="21"/>
                <w:vertAlign w:val="subscript"/>
                <w:lang w:val="en-US"/>
              </w:rPr>
              <w:t>3</w:t>
            </w:r>
            <w:r>
              <w:rPr>
                <w:color w:val="auto"/>
                <w:kern w:val="21"/>
                <w:szCs w:val="21"/>
                <w:lang w:val="en-US"/>
              </w:rPr>
              <w:t>-N、TP</w:t>
            </w:r>
          </w:p>
        </w:tc>
        <w:tc>
          <w:tcPr>
            <w:tcW w:w="3494" w:type="dxa"/>
            <w:vAlign w:val="center"/>
          </w:tcPr>
          <w:p>
            <w:pPr>
              <w:pStyle w:val="251"/>
              <w:textAlignment w:val="auto"/>
              <w:rPr>
                <w:color w:val="auto"/>
                <w:kern w:val="21"/>
                <w:szCs w:val="21"/>
                <w:lang w:val="en-US"/>
              </w:rPr>
            </w:pPr>
            <w:r>
              <w:rPr>
                <w:rFonts w:hint="eastAsia"/>
                <w:color w:val="auto"/>
                <w:kern w:val="21"/>
                <w:szCs w:val="21"/>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pStyle w:val="251"/>
              <w:textAlignment w:val="auto"/>
              <w:rPr>
                <w:color w:val="auto"/>
                <w:kern w:val="21"/>
                <w:szCs w:val="21"/>
                <w:lang w:val="en-US"/>
              </w:rPr>
            </w:pPr>
            <w:r>
              <w:rPr>
                <w:color w:val="auto"/>
                <w:kern w:val="21"/>
                <w:szCs w:val="21"/>
                <w:lang w:val="en-US"/>
              </w:rPr>
              <w:t>地下水环境</w:t>
            </w:r>
          </w:p>
        </w:tc>
        <w:tc>
          <w:tcPr>
            <w:tcW w:w="3345" w:type="dxa"/>
            <w:vAlign w:val="center"/>
          </w:tcPr>
          <w:p>
            <w:pPr>
              <w:adjustRightInd w:val="0"/>
              <w:snapToGrid w:val="0"/>
              <w:jc w:val="center"/>
              <w:rPr>
                <w:color w:val="auto"/>
                <w:kern w:val="21"/>
              </w:rPr>
            </w:pPr>
            <w:r>
              <w:rPr>
                <w:color w:val="auto"/>
                <w:kern w:val="0"/>
              </w:rPr>
              <w:t>pH、</w:t>
            </w:r>
            <w:r>
              <w:rPr>
                <w:color w:val="auto"/>
                <w:kern w:val="21"/>
              </w:rPr>
              <w:t>K</w:t>
            </w:r>
            <w:r>
              <w:rPr>
                <w:color w:val="auto"/>
                <w:kern w:val="21"/>
                <w:vertAlign w:val="superscript"/>
              </w:rPr>
              <w:t>+</w:t>
            </w:r>
            <w:r>
              <w:rPr>
                <w:rFonts w:hint="eastAsia"/>
                <w:color w:val="auto"/>
                <w:kern w:val="21"/>
              </w:rPr>
              <w:t>、</w:t>
            </w:r>
            <w:r>
              <w:rPr>
                <w:color w:val="auto"/>
                <w:kern w:val="21"/>
              </w:rPr>
              <w:t>Na</w:t>
            </w:r>
            <w:r>
              <w:rPr>
                <w:color w:val="auto"/>
                <w:kern w:val="21"/>
                <w:vertAlign w:val="superscript"/>
              </w:rPr>
              <w:t>+</w:t>
            </w:r>
            <w:r>
              <w:rPr>
                <w:rFonts w:hint="eastAsia"/>
                <w:color w:val="auto"/>
                <w:kern w:val="21"/>
              </w:rPr>
              <w:t>、</w:t>
            </w:r>
            <w:r>
              <w:rPr>
                <w:color w:val="auto"/>
                <w:kern w:val="21"/>
              </w:rPr>
              <w:t>Ca</w:t>
            </w:r>
            <w:r>
              <w:rPr>
                <w:color w:val="auto"/>
                <w:kern w:val="21"/>
                <w:vertAlign w:val="superscript"/>
              </w:rPr>
              <w:t>2+</w:t>
            </w:r>
            <w:r>
              <w:rPr>
                <w:rFonts w:hint="eastAsia"/>
                <w:color w:val="auto"/>
                <w:kern w:val="21"/>
              </w:rPr>
              <w:t>、</w:t>
            </w:r>
            <w:r>
              <w:rPr>
                <w:color w:val="auto"/>
                <w:kern w:val="21"/>
              </w:rPr>
              <w:t>Mg</w:t>
            </w:r>
            <w:r>
              <w:rPr>
                <w:color w:val="auto"/>
                <w:kern w:val="21"/>
                <w:vertAlign w:val="superscript"/>
              </w:rPr>
              <w:t>2+</w:t>
            </w:r>
            <w:r>
              <w:rPr>
                <w:rFonts w:hint="eastAsia"/>
                <w:color w:val="auto"/>
                <w:kern w:val="21"/>
              </w:rPr>
              <w:t>、</w:t>
            </w:r>
            <w:r>
              <w:rPr>
                <w:color w:val="auto"/>
                <w:kern w:val="21"/>
              </w:rPr>
              <w:t>CO</w:t>
            </w:r>
            <w:r>
              <w:rPr>
                <w:color w:val="auto"/>
                <w:kern w:val="21"/>
                <w:vertAlign w:val="subscript"/>
              </w:rPr>
              <w:t>3</w:t>
            </w:r>
            <w:r>
              <w:rPr>
                <w:color w:val="auto"/>
                <w:kern w:val="21"/>
                <w:vertAlign w:val="superscript"/>
              </w:rPr>
              <w:t>2-</w:t>
            </w:r>
            <w:r>
              <w:rPr>
                <w:rFonts w:hint="eastAsia"/>
                <w:color w:val="auto"/>
                <w:kern w:val="21"/>
              </w:rPr>
              <w:t>、</w:t>
            </w:r>
            <w:r>
              <w:rPr>
                <w:color w:val="auto"/>
                <w:kern w:val="21"/>
              </w:rPr>
              <w:t>HCO</w:t>
            </w:r>
            <w:r>
              <w:rPr>
                <w:color w:val="auto"/>
                <w:kern w:val="21"/>
                <w:vertAlign w:val="superscript"/>
              </w:rPr>
              <w:t>3-</w:t>
            </w:r>
            <w:r>
              <w:rPr>
                <w:rFonts w:hint="eastAsia"/>
                <w:color w:val="auto"/>
                <w:kern w:val="21"/>
              </w:rPr>
              <w:t>、</w:t>
            </w:r>
            <w:r>
              <w:rPr>
                <w:color w:val="auto"/>
                <w:kern w:val="21"/>
              </w:rPr>
              <w:t>Cl</w:t>
            </w:r>
            <w:r>
              <w:rPr>
                <w:color w:val="auto"/>
                <w:kern w:val="21"/>
                <w:vertAlign w:val="superscript"/>
              </w:rPr>
              <w:t>-</w:t>
            </w:r>
            <w:r>
              <w:rPr>
                <w:rFonts w:hint="eastAsia"/>
                <w:color w:val="auto"/>
                <w:kern w:val="21"/>
              </w:rPr>
              <w:t>、</w:t>
            </w:r>
            <w:r>
              <w:rPr>
                <w:color w:val="auto"/>
                <w:kern w:val="21"/>
              </w:rPr>
              <w:t>SO</w:t>
            </w:r>
            <w:r>
              <w:rPr>
                <w:color w:val="auto"/>
                <w:kern w:val="21"/>
                <w:vertAlign w:val="subscript"/>
              </w:rPr>
              <w:t>4</w:t>
            </w:r>
            <w:r>
              <w:rPr>
                <w:color w:val="auto"/>
                <w:kern w:val="21"/>
                <w:vertAlign w:val="superscript"/>
              </w:rPr>
              <w:t>2-</w:t>
            </w:r>
            <w:r>
              <w:rPr>
                <w:color w:val="auto"/>
                <w:kern w:val="0"/>
              </w:rPr>
              <w:t>、氨氮、亚硝酸盐、挥发性酚类、砷、汞、铬（六价）、总硬度、铅、铁、锌、镍、溶解性总固体、总大肠菌群、阴离子合成洗涤剂、耗氧量</w:t>
            </w:r>
          </w:p>
        </w:tc>
        <w:tc>
          <w:tcPr>
            <w:tcW w:w="3494" w:type="dxa"/>
            <w:vAlign w:val="center"/>
          </w:tcPr>
          <w:p>
            <w:pPr>
              <w:pStyle w:val="251"/>
              <w:textAlignment w:val="auto"/>
              <w:rPr>
                <w:color w:val="auto"/>
                <w:kern w:val="21"/>
              </w:rPr>
            </w:pPr>
            <w:r>
              <w:rPr>
                <w:color w:val="auto"/>
                <w:kern w:val="21"/>
                <w:szCs w:val="21"/>
                <w:lang w:val="en-US"/>
              </w:rPr>
              <w:t>耗氧量、氨氮、总镍、六价铬、锌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pStyle w:val="251"/>
              <w:textAlignment w:val="auto"/>
              <w:rPr>
                <w:color w:val="auto"/>
                <w:kern w:val="21"/>
                <w:szCs w:val="21"/>
                <w:lang w:val="en-US"/>
              </w:rPr>
            </w:pPr>
            <w:r>
              <w:rPr>
                <w:color w:val="auto"/>
                <w:kern w:val="21"/>
                <w:szCs w:val="21"/>
                <w:lang w:val="en-US"/>
              </w:rPr>
              <w:t>声环境</w:t>
            </w:r>
          </w:p>
        </w:tc>
        <w:tc>
          <w:tcPr>
            <w:tcW w:w="3345" w:type="dxa"/>
            <w:vAlign w:val="center"/>
          </w:tcPr>
          <w:p>
            <w:pPr>
              <w:pStyle w:val="251"/>
              <w:textAlignment w:val="auto"/>
              <w:rPr>
                <w:color w:val="auto"/>
                <w:kern w:val="21"/>
                <w:szCs w:val="21"/>
                <w:lang w:val="en-US"/>
              </w:rPr>
            </w:pPr>
            <w:r>
              <w:rPr>
                <w:color w:val="auto"/>
                <w:kern w:val="21"/>
                <w:szCs w:val="21"/>
                <w:lang w:val="en-US"/>
              </w:rPr>
              <w:t>等效连续A声级</w:t>
            </w:r>
          </w:p>
        </w:tc>
        <w:tc>
          <w:tcPr>
            <w:tcW w:w="3494" w:type="dxa"/>
            <w:vAlign w:val="center"/>
          </w:tcPr>
          <w:p>
            <w:pPr>
              <w:pStyle w:val="251"/>
              <w:textAlignment w:val="auto"/>
              <w:rPr>
                <w:color w:val="auto"/>
                <w:kern w:val="21"/>
                <w:szCs w:val="21"/>
                <w:lang w:val="en-US"/>
              </w:rPr>
            </w:pPr>
            <w:r>
              <w:rPr>
                <w:color w:val="auto"/>
                <w:kern w:val="21"/>
                <w:szCs w:val="21"/>
                <w:lang w:val="en-US"/>
              </w:rPr>
              <w:t>等效连续A声级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pStyle w:val="251"/>
              <w:textAlignment w:val="auto"/>
              <w:rPr>
                <w:color w:val="auto"/>
                <w:kern w:val="21"/>
                <w:szCs w:val="21"/>
                <w:lang w:val="en-US"/>
              </w:rPr>
            </w:pPr>
            <w:r>
              <w:rPr>
                <w:color w:val="auto"/>
                <w:kern w:val="21"/>
                <w:szCs w:val="21"/>
                <w:lang w:val="en-US"/>
              </w:rPr>
              <w:t>土壤</w:t>
            </w:r>
          </w:p>
        </w:tc>
        <w:tc>
          <w:tcPr>
            <w:tcW w:w="3345" w:type="dxa"/>
            <w:vAlign w:val="center"/>
          </w:tcPr>
          <w:p>
            <w:pPr>
              <w:pStyle w:val="251"/>
              <w:textAlignment w:val="auto"/>
              <w:rPr>
                <w:color w:val="auto"/>
                <w:kern w:val="21"/>
                <w:szCs w:val="21"/>
                <w:lang w:val="en-US"/>
              </w:rPr>
            </w:pPr>
            <w:r>
              <w:rPr>
                <w:color w:val="auto"/>
                <w:kern w:val="21"/>
                <w:szCs w:val="21"/>
                <w:lang w:val="en-US"/>
              </w:rPr>
              <w:t>《土壤环境质量 建设用地土壤污染风险管控标准（试行）》（GB36600-2018）表1基本项目第二类用地筛选值45项、p</w:t>
            </w:r>
            <w:r>
              <w:rPr>
                <w:rFonts w:hint="eastAsia"/>
                <w:color w:val="auto"/>
                <w:kern w:val="21"/>
                <w:szCs w:val="21"/>
                <w:lang w:val="en-US"/>
              </w:rPr>
              <w:t>H、锌</w:t>
            </w:r>
          </w:p>
        </w:tc>
        <w:tc>
          <w:tcPr>
            <w:tcW w:w="3494" w:type="dxa"/>
            <w:vAlign w:val="center"/>
          </w:tcPr>
          <w:p>
            <w:pPr>
              <w:pStyle w:val="251"/>
              <w:textAlignment w:val="auto"/>
              <w:rPr>
                <w:color w:val="auto"/>
                <w:kern w:val="21"/>
                <w:szCs w:val="21"/>
                <w:lang w:val="en-US"/>
              </w:rPr>
            </w:pPr>
            <w:r>
              <w:rPr>
                <w:color w:val="auto"/>
                <w:kern w:val="21"/>
                <w:szCs w:val="21"/>
                <w:lang w:val="en-US"/>
              </w:rPr>
              <w:t>总镍、总铬、六价铬、锌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65" w:type="dxa"/>
            <w:vAlign w:val="center"/>
          </w:tcPr>
          <w:p>
            <w:pPr>
              <w:pStyle w:val="251"/>
              <w:textAlignment w:val="auto"/>
              <w:rPr>
                <w:color w:val="auto"/>
                <w:kern w:val="21"/>
                <w:szCs w:val="21"/>
                <w:lang w:val="en-US"/>
              </w:rPr>
            </w:pPr>
            <w:r>
              <w:rPr>
                <w:color w:val="auto"/>
                <w:kern w:val="21"/>
                <w:szCs w:val="21"/>
                <w:lang w:val="en-US"/>
              </w:rPr>
              <w:t>固体废物</w:t>
            </w:r>
          </w:p>
        </w:tc>
        <w:tc>
          <w:tcPr>
            <w:tcW w:w="3345" w:type="dxa"/>
            <w:vAlign w:val="center"/>
          </w:tcPr>
          <w:p>
            <w:pPr>
              <w:pStyle w:val="251"/>
              <w:textAlignment w:val="auto"/>
              <w:rPr>
                <w:color w:val="auto"/>
                <w:kern w:val="21"/>
                <w:szCs w:val="21"/>
                <w:lang w:val="en-US"/>
              </w:rPr>
            </w:pPr>
            <w:r>
              <w:rPr>
                <w:color w:val="auto"/>
                <w:kern w:val="21"/>
                <w:szCs w:val="21"/>
                <w:lang w:val="en-US"/>
              </w:rPr>
              <w:t>/</w:t>
            </w:r>
          </w:p>
        </w:tc>
        <w:tc>
          <w:tcPr>
            <w:tcW w:w="3494" w:type="dxa"/>
            <w:vAlign w:val="center"/>
          </w:tcPr>
          <w:p>
            <w:pPr>
              <w:pStyle w:val="251"/>
              <w:textAlignment w:val="auto"/>
              <w:rPr>
                <w:color w:val="auto"/>
                <w:kern w:val="21"/>
                <w:szCs w:val="21"/>
                <w:lang w:val="en-US"/>
              </w:rPr>
            </w:pPr>
            <w:r>
              <w:rPr>
                <w:color w:val="auto"/>
                <w:kern w:val="21"/>
                <w:szCs w:val="21"/>
                <w:lang w:val="en-US"/>
              </w:rPr>
              <w:t>一般工业固废、危险固废</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78" w:name="_Toc112338931"/>
      <w:r>
        <w:rPr>
          <w:bCs w:val="0"/>
          <w:color w:val="auto"/>
          <w:kern w:val="0"/>
          <w:szCs w:val="20"/>
          <w:lang w:val="en-US"/>
        </w:rPr>
        <w:t>2.</w:t>
      </w:r>
      <w:r>
        <w:rPr>
          <w:rFonts w:hint="eastAsia"/>
          <w:bCs w:val="0"/>
          <w:color w:val="auto"/>
          <w:kern w:val="0"/>
          <w:szCs w:val="20"/>
          <w:lang w:val="en-US"/>
        </w:rPr>
        <w:t>4</w:t>
      </w:r>
      <w:r>
        <w:rPr>
          <w:bCs w:val="0"/>
          <w:color w:val="auto"/>
          <w:kern w:val="0"/>
          <w:szCs w:val="20"/>
          <w:lang w:val="en-US"/>
        </w:rPr>
        <w:t>评价标准</w:t>
      </w:r>
      <w:bookmarkEnd w:id="78"/>
    </w:p>
    <w:p>
      <w:pPr>
        <w:adjustRightInd w:val="0"/>
        <w:snapToGrid w:val="0"/>
        <w:spacing w:line="360" w:lineRule="auto"/>
        <w:ind w:firstLine="480" w:firstLineChars="200"/>
        <w:rPr>
          <w:color w:val="auto"/>
          <w:kern w:val="21"/>
          <w:sz w:val="24"/>
          <w:szCs w:val="24"/>
        </w:rPr>
      </w:pPr>
      <w:r>
        <w:rPr>
          <w:color w:val="auto"/>
          <w:kern w:val="21"/>
          <w:sz w:val="24"/>
        </w:rPr>
        <w:t>根据环境功能区划分本次评价执行以下环境质量标准，其标准值见表2.</w:t>
      </w:r>
      <w:r>
        <w:rPr>
          <w:rFonts w:hint="eastAsia"/>
          <w:color w:val="auto"/>
          <w:kern w:val="21"/>
          <w:sz w:val="24"/>
        </w:rPr>
        <w:t>4</w:t>
      </w:r>
      <w:r>
        <w:rPr>
          <w:color w:val="auto"/>
          <w:kern w:val="21"/>
          <w:sz w:val="24"/>
        </w:rPr>
        <w:t>-</w:t>
      </w:r>
      <w:r>
        <w:rPr>
          <w:rFonts w:hint="eastAsia"/>
          <w:color w:val="auto"/>
          <w:kern w:val="21"/>
          <w:sz w:val="24"/>
        </w:rPr>
        <w:t>1</w:t>
      </w:r>
      <w:r>
        <w:rPr>
          <w:color w:val="auto"/>
          <w:kern w:val="21"/>
          <w:sz w:val="24"/>
        </w:rPr>
        <w:t>。</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2.</w:t>
      </w:r>
      <w:r>
        <w:rPr>
          <w:rFonts w:hint="eastAsia"/>
          <w:bCs w:val="0"/>
          <w:color w:val="auto"/>
          <w:kern w:val="21"/>
          <w:sz w:val="28"/>
          <w:szCs w:val="28"/>
        </w:rPr>
        <w:t>4</w:t>
      </w:r>
      <w:r>
        <w:rPr>
          <w:bCs w:val="0"/>
          <w:color w:val="auto"/>
          <w:kern w:val="21"/>
          <w:sz w:val="28"/>
          <w:szCs w:val="28"/>
        </w:rPr>
        <w:t>.1环境质量标准</w:t>
      </w:r>
    </w:p>
    <w:p>
      <w:pPr>
        <w:adjustRightInd w:val="0"/>
        <w:snapToGrid w:val="0"/>
        <w:jc w:val="center"/>
        <w:rPr>
          <w:rFonts w:eastAsia="黑体"/>
          <w:bCs/>
          <w:color w:val="auto"/>
          <w:kern w:val="21"/>
          <w:sz w:val="24"/>
        </w:rPr>
      </w:pPr>
      <w:r>
        <w:rPr>
          <w:rFonts w:eastAsia="黑体"/>
          <w:bCs/>
          <w:color w:val="auto"/>
          <w:kern w:val="21"/>
          <w:sz w:val="24"/>
        </w:rPr>
        <w:t>表2.</w:t>
      </w:r>
      <w:r>
        <w:rPr>
          <w:rFonts w:hint="eastAsia" w:eastAsia="黑体"/>
          <w:bCs/>
          <w:color w:val="auto"/>
          <w:kern w:val="21"/>
          <w:sz w:val="24"/>
        </w:rPr>
        <w:t>4</w:t>
      </w:r>
      <w:r>
        <w:rPr>
          <w:rFonts w:eastAsia="黑体"/>
          <w:bCs/>
          <w:color w:val="auto"/>
          <w:kern w:val="21"/>
          <w:sz w:val="24"/>
        </w:rPr>
        <w:t>-</w:t>
      </w:r>
      <w:r>
        <w:rPr>
          <w:rFonts w:hint="eastAsia" w:eastAsia="黑体"/>
          <w:bCs/>
          <w:color w:val="auto"/>
          <w:kern w:val="21"/>
          <w:sz w:val="24"/>
        </w:rPr>
        <w:t>1</w:t>
      </w:r>
      <w:r>
        <w:rPr>
          <w:rFonts w:eastAsia="黑体"/>
          <w:bCs/>
          <w:color w:val="auto"/>
          <w:kern w:val="21"/>
          <w:sz w:val="24"/>
        </w:rPr>
        <w:t xml:space="preserve">  环境质量标准一览表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7"/>
        <w:gridCol w:w="2617"/>
        <w:gridCol w:w="1980"/>
        <w:gridCol w:w="1101"/>
        <w:gridCol w:w="1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Align w:val="center"/>
          </w:tcPr>
          <w:p>
            <w:pPr>
              <w:adjustRightInd w:val="0"/>
              <w:snapToGrid w:val="0"/>
              <w:jc w:val="center"/>
              <w:rPr>
                <w:b/>
                <w:bCs/>
                <w:color w:val="auto"/>
                <w:kern w:val="21"/>
              </w:rPr>
            </w:pPr>
            <w:r>
              <w:rPr>
                <w:b/>
                <w:bCs/>
                <w:color w:val="auto"/>
                <w:kern w:val="21"/>
              </w:rPr>
              <w:t>环境要素</w:t>
            </w:r>
          </w:p>
        </w:tc>
        <w:tc>
          <w:tcPr>
            <w:tcW w:w="2617" w:type="dxa"/>
            <w:vAlign w:val="center"/>
          </w:tcPr>
          <w:p>
            <w:pPr>
              <w:adjustRightInd w:val="0"/>
              <w:snapToGrid w:val="0"/>
              <w:jc w:val="center"/>
              <w:rPr>
                <w:b/>
                <w:bCs/>
                <w:color w:val="auto"/>
                <w:kern w:val="21"/>
              </w:rPr>
            </w:pPr>
            <w:r>
              <w:rPr>
                <w:b/>
                <w:bCs/>
                <w:color w:val="auto"/>
                <w:kern w:val="21"/>
              </w:rPr>
              <w:t>执行标准及级别</w:t>
            </w:r>
          </w:p>
        </w:tc>
        <w:tc>
          <w:tcPr>
            <w:tcW w:w="1980" w:type="dxa"/>
            <w:vAlign w:val="center"/>
          </w:tcPr>
          <w:p>
            <w:pPr>
              <w:adjustRightInd w:val="0"/>
              <w:snapToGrid w:val="0"/>
              <w:jc w:val="center"/>
              <w:rPr>
                <w:b/>
                <w:bCs/>
                <w:color w:val="auto"/>
                <w:kern w:val="21"/>
              </w:rPr>
            </w:pPr>
            <w:r>
              <w:rPr>
                <w:b/>
                <w:bCs/>
                <w:color w:val="auto"/>
                <w:kern w:val="21"/>
              </w:rPr>
              <w:t>项目</w:t>
            </w:r>
          </w:p>
        </w:tc>
        <w:tc>
          <w:tcPr>
            <w:tcW w:w="2602" w:type="dxa"/>
            <w:gridSpan w:val="2"/>
            <w:vAlign w:val="center"/>
          </w:tcPr>
          <w:p>
            <w:pPr>
              <w:adjustRightInd w:val="0"/>
              <w:snapToGrid w:val="0"/>
              <w:jc w:val="center"/>
              <w:rPr>
                <w:b/>
                <w:bCs/>
                <w:color w:val="auto"/>
                <w:kern w:val="21"/>
              </w:rPr>
            </w:pPr>
            <w:r>
              <w:rPr>
                <w:b/>
                <w:bCs/>
                <w:color w:val="auto"/>
                <w:kern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restart"/>
            <w:vAlign w:val="center"/>
          </w:tcPr>
          <w:p>
            <w:pPr>
              <w:adjustRightInd w:val="0"/>
              <w:snapToGrid w:val="0"/>
              <w:jc w:val="center"/>
              <w:rPr>
                <w:color w:val="auto"/>
                <w:kern w:val="21"/>
              </w:rPr>
            </w:pPr>
            <w:r>
              <w:rPr>
                <w:color w:val="auto"/>
                <w:kern w:val="21"/>
              </w:rPr>
              <w:t>环境空气</w:t>
            </w:r>
          </w:p>
        </w:tc>
        <w:tc>
          <w:tcPr>
            <w:tcW w:w="2617" w:type="dxa"/>
            <w:vMerge w:val="restart"/>
            <w:vAlign w:val="center"/>
          </w:tcPr>
          <w:p>
            <w:pPr>
              <w:adjustRightInd w:val="0"/>
              <w:snapToGrid w:val="0"/>
              <w:jc w:val="center"/>
              <w:rPr>
                <w:color w:val="auto"/>
                <w:kern w:val="21"/>
              </w:rPr>
            </w:pPr>
            <w:r>
              <w:rPr>
                <w:color w:val="auto"/>
                <w:kern w:val="21"/>
              </w:rPr>
              <w:t>《环境空气质量标准》（GB3095-2012）</w:t>
            </w:r>
            <w:r>
              <w:rPr>
                <w:rFonts w:hint="eastAsia"/>
                <w:color w:val="auto"/>
                <w:kern w:val="21"/>
              </w:rPr>
              <w:t>表1</w:t>
            </w:r>
            <w:r>
              <w:rPr>
                <w:color w:val="auto"/>
                <w:kern w:val="21"/>
              </w:rPr>
              <w:t>二级标准</w:t>
            </w:r>
          </w:p>
        </w:tc>
        <w:tc>
          <w:tcPr>
            <w:tcW w:w="1980" w:type="dxa"/>
            <w:vMerge w:val="restart"/>
            <w:vAlign w:val="center"/>
          </w:tcPr>
          <w:p>
            <w:pPr>
              <w:adjustRightInd w:val="0"/>
              <w:snapToGrid w:val="0"/>
              <w:jc w:val="center"/>
              <w:rPr>
                <w:color w:val="auto"/>
                <w:kern w:val="21"/>
              </w:rPr>
            </w:pPr>
            <w:r>
              <w:rPr>
                <w:color w:val="auto"/>
                <w:kern w:val="21"/>
              </w:rPr>
              <w:t>SO</w:t>
            </w:r>
            <w:r>
              <w:rPr>
                <w:color w:val="auto"/>
                <w:kern w:val="21"/>
                <w:vertAlign w:val="subscript"/>
              </w:rPr>
              <w:t>2</w:t>
            </w:r>
          </w:p>
        </w:tc>
        <w:tc>
          <w:tcPr>
            <w:tcW w:w="2602" w:type="dxa"/>
            <w:gridSpan w:val="2"/>
            <w:vAlign w:val="center"/>
          </w:tcPr>
          <w:p>
            <w:pPr>
              <w:adjustRightInd w:val="0"/>
              <w:snapToGrid w:val="0"/>
              <w:jc w:val="center"/>
              <w:rPr>
                <w:color w:val="auto"/>
                <w:kern w:val="21"/>
              </w:rPr>
            </w:pPr>
            <w:r>
              <w:rPr>
                <w:color w:val="auto"/>
                <w:kern w:val="21"/>
              </w:rPr>
              <w:t>年平均：60μg/m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24小时平均：150μg/m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1小时平均：500μg/m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restart"/>
            <w:vAlign w:val="center"/>
          </w:tcPr>
          <w:p>
            <w:pPr>
              <w:adjustRightInd w:val="0"/>
              <w:snapToGrid w:val="0"/>
              <w:jc w:val="center"/>
              <w:rPr>
                <w:color w:val="auto"/>
                <w:kern w:val="21"/>
              </w:rPr>
            </w:pPr>
            <w:r>
              <w:rPr>
                <w:color w:val="auto"/>
                <w:kern w:val="21"/>
              </w:rPr>
              <w:t>NO</w:t>
            </w:r>
            <w:r>
              <w:rPr>
                <w:color w:val="auto"/>
                <w:kern w:val="21"/>
                <w:vertAlign w:val="subscript"/>
              </w:rPr>
              <w:t>2</w:t>
            </w:r>
          </w:p>
        </w:tc>
        <w:tc>
          <w:tcPr>
            <w:tcW w:w="2602" w:type="dxa"/>
            <w:gridSpan w:val="2"/>
            <w:vAlign w:val="center"/>
          </w:tcPr>
          <w:p>
            <w:pPr>
              <w:adjustRightInd w:val="0"/>
              <w:snapToGrid w:val="0"/>
              <w:jc w:val="center"/>
              <w:rPr>
                <w:color w:val="auto"/>
                <w:kern w:val="21"/>
              </w:rPr>
            </w:pPr>
            <w:r>
              <w:rPr>
                <w:color w:val="auto"/>
                <w:kern w:val="21"/>
              </w:rPr>
              <w:t>年平均：40μg/m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24小时平均：80μg/m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1小时平均：200μg/m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restart"/>
            <w:vAlign w:val="center"/>
          </w:tcPr>
          <w:p>
            <w:pPr>
              <w:adjustRightInd w:val="0"/>
              <w:snapToGrid w:val="0"/>
              <w:jc w:val="center"/>
              <w:rPr>
                <w:color w:val="auto"/>
                <w:kern w:val="21"/>
              </w:rPr>
            </w:pPr>
            <w:r>
              <w:rPr>
                <w:color w:val="auto"/>
                <w:kern w:val="21"/>
              </w:rPr>
              <w:t>CO</w:t>
            </w:r>
          </w:p>
        </w:tc>
        <w:tc>
          <w:tcPr>
            <w:tcW w:w="2602" w:type="dxa"/>
            <w:gridSpan w:val="2"/>
            <w:vAlign w:val="center"/>
          </w:tcPr>
          <w:p>
            <w:pPr>
              <w:adjustRightInd w:val="0"/>
              <w:snapToGrid w:val="0"/>
              <w:jc w:val="center"/>
              <w:rPr>
                <w:color w:val="auto"/>
                <w:kern w:val="21"/>
              </w:rPr>
            </w:pPr>
            <w:r>
              <w:rPr>
                <w:color w:val="auto"/>
                <w:kern w:val="21"/>
              </w:rPr>
              <w:t>24小时平均：4mg/m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1小时平均：10mg/m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restart"/>
            <w:vAlign w:val="center"/>
          </w:tcPr>
          <w:p>
            <w:pPr>
              <w:adjustRightInd w:val="0"/>
              <w:snapToGrid w:val="0"/>
              <w:jc w:val="center"/>
              <w:rPr>
                <w:color w:val="auto"/>
                <w:kern w:val="21"/>
              </w:rPr>
            </w:pPr>
            <w:r>
              <w:rPr>
                <w:color w:val="auto"/>
                <w:kern w:val="21"/>
              </w:rPr>
              <w:t>O</w:t>
            </w:r>
            <w:r>
              <w:rPr>
                <w:color w:val="auto"/>
                <w:kern w:val="21"/>
                <w:vertAlign w:val="subscript"/>
              </w:rPr>
              <w:t>3</w:t>
            </w:r>
          </w:p>
        </w:tc>
        <w:tc>
          <w:tcPr>
            <w:tcW w:w="2602" w:type="dxa"/>
            <w:gridSpan w:val="2"/>
            <w:vAlign w:val="center"/>
          </w:tcPr>
          <w:p>
            <w:pPr>
              <w:adjustRightInd w:val="0"/>
              <w:snapToGrid w:val="0"/>
              <w:jc w:val="center"/>
              <w:rPr>
                <w:color w:val="auto"/>
                <w:kern w:val="21"/>
              </w:rPr>
            </w:pPr>
            <w:r>
              <w:rPr>
                <w:color w:val="auto"/>
                <w:kern w:val="21"/>
              </w:rPr>
              <w:t>日最大8小时平均：160μg/m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1小时平均：200μg/m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restart"/>
            <w:vAlign w:val="center"/>
          </w:tcPr>
          <w:p>
            <w:pPr>
              <w:adjustRightInd w:val="0"/>
              <w:snapToGrid w:val="0"/>
              <w:jc w:val="center"/>
              <w:rPr>
                <w:color w:val="auto"/>
                <w:kern w:val="21"/>
              </w:rPr>
            </w:pPr>
            <w:r>
              <w:rPr>
                <w:color w:val="auto"/>
                <w:kern w:val="21"/>
              </w:rPr>
              <w:t>PM</w:t>
            </w:r>
            <w:r>
              <w:rPr>
                <w:color w:val="auto"/>
                <w:kern w:val="21"/>
                <w:vertAlign w:val="subscript"/>
              </w:rPr>
              <w:t>10</w:t>
            </w:r>
          </w:p>
        </w:tc>
        <w:tc>
          <w:tcPr>
            <w:tcW w:w="2602" w:type="dxa"/>
            <w:gridSpan w:val="2"/>
            <w:vAlign w:val="center"/>
          </w:tcPr>
          <w:p>
            <w:pPr>
              <w:adjustRightInd w:val="0"/>
              <w:snapToGrid w:val="0"/>
              <w:jc w:val="center"/>
              <w:rPr>
                <w:color w:val="auto"/>
                <w:kern w:val="21"/>
              </w:rPr>
            </w:pPr>
            <w:r>
              <w:rPr>
                <w:color w:val="auto"/>
                <w:kern w:val="21"/>
              </w:rPr>
              <w:t>年平均：70μg/m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24小时平均：150μg/m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restart"/>
            <w:vAlign w:val="center"/>
          </w:tcPr>
          <w:p>
            <w:pPr>
              <w:adjustRightInd w:val="0"/>
              <w:snapToGrid w:val="0"/>
              <w:jc w:val="center"/>
              <w:rPr>
                <w:color w:val="auto"/>
                <w:kern w:val="21"/>
              </w:rPr>
            </w:pPr>
            <w:r>
              <w:rPr>
                <w:color w:val="auto"/>
                <w:kern w:val="21"/>
              </w:rPr>
              <w:t>PM</w:t>
            </w:r>
            <w:r>
              <w:rPr>
                <w:color w:val="auto"/>
                <w:kern w:val="21"/>
                <w:vertAlign w:val="subscript"/>
              </w:rPr>
              <w:t>2.5</w:t>
            </w:r>
          </w:p>
        </w:tc>
        <w:tc>
          <w:tcPr>
            <w:tcW w:w="2602" w:type="dxa"/>
            <w:gridSpan w:val="2"/>
            <w:vAlign w:val="center"/>
          </w:tcPr>
          <w:p>
            <w:pPr>
              <w:adjustRightInd w:val="0"/>
              <w:snapToGrid w:val="0"/>
              <w:jc w:val="center"/>
              <w:rPr>
                <w:color w:val="auto"/>
                <w:kern w:val="21"/>
              </w:rPr>
            </w:pPr>
            <w:r>
              <w:rPr>
                <w:color w:val="auto"/>
                <w:kern w:val="21"/>
              </w:rPr>
              <w:t>年平均：35μg/m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24小时平均：75μg/m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restart"/>
            <w:vAlign w:val="center"/>
          </w:tcPr>
          <w:p>
            <w:pPr>
              <w:adjustRightInd w:val="0"/>
              <w:snapToGrid w:val="0"/>
              <w:jc w:val="center"/>
              <w:rPr>
                <w:color w:val="auto"/>
                <w:kern w:val="21"/>
              </w:rPr>
            </w:pPr>
            <w:r>
              <w:rPr>
                <w:color w:val="auto"/>
                <w:kern w:val="21"/>
              </w:rPr>
              <w:t>《环境空气质量标准》（GB3095-2012）</w:t>
            </w:r>
            <w:r>
              <w:rPr>
                <w:rFonts w:hint="eastAsia"/>
                <w:color w:val="auto"/>
                <w:kern w:val="21"/>
              </w:rPr>
              <w:t>表2</w:t>
            </w:r>
            <w:r>
              <w:rPr>
                <w:color w:val="auto"/>
                <w:kern w:val="21"/>
              </w:rPr>
              <w:t>二级标准</w:t>
            </w:r>
          </w:p>
        </w:tc>
        <w:tc>
          <w:tcPr>
            <w:tcW w:w="1980" w:type="dxa"/>
            <w:vMerge w:val="restart"/>
            <w:vAlign w:val="center"/>
          </w:tcPr>
          <w:p>
            <w:pPr>
              <w:adjustRightInd w:val="0"/>
              <w:snapToGrid w:val="0"/>
              <w:jc w:val="center"/>
              <w:rPr>
                <w:color w:val="auto"/>
                <w:kern w:val="21"/>
              </w:rPr>
            </w:pPr>
            <w:r>
              <w:rPr>
                <w:rFonts w:hint="eastAsia"/>
                <w:color w:val="auto"/>
                <w:kern w:val="21"/>
              </w:rPr>
              <w:t>NOx</w:t>
            </w:r>
          </w:p>
        </w:tc>
        <w:tc>
          <w:tcPr>
            <w:tcW w:w="2602" w:type="dxa"/>
            <w:gridSpan w:val="2"/>
            <w:vAlign w:val="center"/>
          </w:tcPr>
          <w:p>
            <w:pPr>
              <w:adjustRightInd w:val="0"/>
              <w:snapToGrid w:val="0"/>
              <w:jc w:val="center"/>
              <w:rPr>
                <w:color w:val="auto"/>
                <w:kern w:val="21"/>
              </w:rPr>
            </w:pPr>
            <w:r>
              <w:rPr>
                <w:color w:val="auto"/>
                <w:kern w:val="21"/>
              </w:rPr>
              <w:t>年平均：</w:t>
            </w:r>
            <w:r>
              <w:rPr>
                <w:rFonts w:hint="eastAsia"/>
                <w:color w:val="auto"/>
                <w:kern w:val="21"/>
              </w:rPr>
              <w:t>50</w:t>
            </w:r>
            <w:r>
              <w:rPr>
                <w:color w:val="auto"/>
                <w:kern w:val="21"/>
              </w:rPr>
              <w:t>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24小时平均：</w:t>
            </w:r>
            <w:r>
              <w:rPr>
                <w:rFonts w:hint="eastAsia"/>
                <w:color w:val="auto"/>
                <w:kern w:val="21"/>
              </w:rPr>
              <w:t>100</w:t>
            </w:r>
            <w:r>
              <w:rPr>
                <w:color w:val="auto"/>
                <w:kern w:val="21"/>
              </w:rPr>
              <w:t>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1小时平均：2</w:t>
            </w:r>
            <w:r>
              <w:rPr>
                <w:rFonts w:hint="eastAsia"/>
                <w:color w:val="auto"/>
                <w:kern w:val="21"/>
              </w:rPr>
              <w:t>5</w:t>
            </w:r>
            <w:r>
              <w:rPr>
                <w:color w:val="auto"/>
                <w:kern w:val="21"/>
              </w:rPr>
              <w:t>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restart"/>
            <w:vAlign w:val="center"/>
          </w:tcPr>
          <w:p>
            <w:pPr>
              <w:adjustRightInd w:val="0"/>
              <w:snapToGrid w:val="0"/>
              <w:jc w:val="center"/>
              <w:rPr>
                <w:color w:val="auto"/>
                <w:kern w:val="21"/>
              </w:rPr>
            </w:pPr>
            <w:r>
              <w:rPr>
                <w:color w:val="auto"/>
                <w:kern w:val="21"/>
              </w:rPr>
              <w:t>《环境影响评价技术导则 大气环境》（HJ2.2-2018）附录D其他污染物空气质量浓度参考限值</w:t>
            </w:r>
          </w:p>
        </w:tc>
        <w:tc>
          <w:tcPr>
            <w:tcW w:w="1980" w:type="dxa"/>
            <w:vMerge w:val="restart"/>
            <w:vAlign w:val="center"/>
          </w:tcPr>
          <w:p>
            <w:pPr>
              <w:adjustRightInd w:val="0"/>
              <w:snapToGrid w:val="0"/>
              <w:jc w:val="center"/>
              <w:rPr>
                <w:color w:val="auto"/>
                <w:kern w:val="21"/>
              </w:rPr>
            </w:pPr>
            <w:r>
              <w:rPr>
                <w:color w:val="auto"/>
                <w:kern w:val="21"/>
              </w:rPr>
              <w:t>硫酸</w:t>
            </w:r>
          </w:p>
        </w:tc>
        <w:tc>
          <w:tcPr>
            <w:tcW w:w="2602" w:type="dxa"/>
            <w:gridSpan w:val="2"/>
            <w:vAlign w:val="center"/>
          </w:tcPr>
          <w:p>
            <w:pPr>
              <w:adjustRightInd w:val="0"/>
              <w:snapToGrid w:val="0"/>
              <w:jc w:val="center"/>
              <w:rPr>
                <w:color w:val="auto"/>
                <w:kern w:val="21"/>
              </w:rPr>
            </w:pPr>
            <w:r>
              <w:rPr>
                <w:color w:val="auto"/>
                <w:kern w:val="21"/>
              </w:rPr>
              <w:t>日均值：100μg/m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1小时平均：300μg/m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restart"/>
            <w:vAlign w:val="center"/>
          </w:tcPr>
          <w:p>
            <w:pPr>
              <w:adjustRightInd w:val="0"/>
              <w:snapToGrid w:val="0"/>
              <w:jc w:val="center"/>
              <w:rPr>
                <w:color w:val="auto"/>
                <w:kern w:val="21"/>
              </w:rPr>
            </w:pPr>
            <w:r>
              <w:rPr>
                <w:color w:val="auto"/>
                <w:kern w:val="21"/>
              </w:rPr>
              <w:t>氯化氢</w:t>
            </w:r>
          </w:p>
        </w:tc>
        <w:tc>
          <w:tcPr>
            <w:tcW w:w="2602" w:type="dxa"/>
            <w:gridSpan w:val="2"/>
            <w:vAlign w:val="center"/>
          </w:tcPr>
          <w:p>
            <w:pPr>
              <w:adjustRightInd w:val="0"/>
              <w:snapToGrid w:val="0"/>
              <w:jc w:val="center"/>
              <w:rPr>
                <w:color w:val="auto"/>
                <w:kern w:val="21"/>
              </w:rPr>
            </w:pPr>
            <w:r>
              <w:rPr>
                <w:color w:val="auto"/>
                <w:kern w:val="21"/>
              </w:rPr>
              <w:t>日均值：15μg/m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Merge w:val="continue"/>
            <w:vAlign w:val="center"/>
          </w:tcPr>
          <w:p>
            <w:pPr>
              <w:adjustRightInd w:val="0"/>
              <w:snapToGrid w:val="0"/>
              <w:jc w:val="center"/>
              <w:rPr>
                <w:color w:val="auto"/>
                <w:kern w:val="21"/>
              </w:rPr>
            </w:pPr>
          </w:p>
        </w:tc>
        <w:tc>
          <w:tcPr>
            <w:tcW w:w="2602" w:type="dxa"/>
            <w:gridSpan w:val="2"/>
            <w:vAlign w:val="center"/>
          </w:tcPr>
          <w:p>
            <w:pPr>
              <w:adjustRightInd w:val="0"/>
              <w:snapToGrid w:val="0"/>
              <w:jc w:val="center"/>
              <w:rPr>
                <w:color w:val="auto"/>
                <w:kern w:val="21"/>
              </w:rPr>
            </w:pPr>
            <w:r>
              <w:rPr>
                <w:color w:val="auto"/>
                <w:kern w:val="21"/>
              </w:rPr>
              <w:t>1小时平均：50μg/m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Align w:val="center"/>
          </w:tcPr>
          <w:p>
            <w:pPr>
              <w:adjustRightInd w:val="0"/>
              <w:snapToGrid w:val="0"/>
              <w:jc w:val="center"/>
              <w:rPr>
                <w:color w:val="auto"/>
                <w:kern w:val="21"/>
              </w:rPr>
            </w:pPr>
            <w:r>
              <w:rPr>
                <w:rFonts w:hint="eastAsia"/>
                <w:color w:val="auto"/>
                <w:kern w:val="21"/>
              </w:rPr>
              <w:t>H</w:t>
            </w:r>
            <w:r>
              <w:rPr>
                <w:rFonts w:hint="eastAsia"/>
                <w:color w:val="auto"/>
                <w:kern w:val="21"/>
                <w:vertAlign w:val="subscript"/>
              </w:rPr>
              <w:t>2</w:t>
            </w:r>
            <w:r>
              <w:rPr>
                <w:rFonts w:hint="eastAsia"/>
                <w:color w:val="auto"/>
                <w:kern w:val="21"/>
              </w:rPr>
              <w:t>S</w:t>
            </w:r>
          </w:p>
        </w:tc>
        <w:tc>
          <w:tcPr>
            <w:tcW w:w="2602" w:type="dxa"/>
            <w:gridSpan w:val="2"/>
            <w:vAlign w:val="center"/>
          </w:tcPr>
          <w:p>
            <w:pPr>
              <w:adjustRightInd w:val="0"/>
              <w:snapToGrid w:val="0"/>
              <w:jc w:val="center"/>
              <w:rPr>
                <w:color w:val="auto"/>
                <w:kern w:val="21"/>
              </w:rPr>
            </w:pPr>
            <w:r>
              <w:rPr>
                <w:color w:val="auto"/>
                <w:kern w:val="21"/>
              </w:rPr>
              <w:t>1小时平均：</w:t>
            </w:r>
            <w:r>
              <w:rPr>
                <w:rFonts w:hint="eastAsia"/>
                <w:color w:val="auto"/>
                <w:kern w:val="21"/>
              </w:rPr>
              <w:t>10u</w:t>
            </w:r>
            <w:r>
              <w:rPr>
                <w:color w:val="auto"/>
                <w:kern w:val="21"/>
              </w:rPr>
              <w:t>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Align w:val="center"/>
          </w:tcPr>
          <w:p>
            <w:pPr>
              <w:adjustRightInd w:val="0"/>
              <w:snapToGrid w:val="0"/>
              <w:jc w:val="center"/>
              <w:rPr>
                <w:color w:val="auto"/>
                <w:kern w:val="21"/>
              </w:rPr>
            </w:pPr>
            <w:r>
              <w:rPr>
                <w:rFonts w:hint="eastAsia"/>
                <w:color w:val="auto"/>
                <w:kern w:val="21"/>
              </w:rPr>
              <w:t>NH</w:t>
            </w:r>
            <w:r>
              <w:rPr>
                <w:rFonts w:hint="eastAsia"/>
                <w:color w:val="auto"/>
                <w:kern w:val="21"/>
                <w:vertAlign w:val="subscript"/>
              </w:rPr>
              <w:t>3</w:t>
            </w:r>
          </w:p>
        </w:tc>
        <w:tc>
          <w:tcPr>
            <w:tcW w:w="2602" w:type="dxa"/>
            <w:gridSpan w:val="2"/>
            <w:vAlign w:val="center"/>
          </w:tcPr>
          <w:p>
            <w:pPr>
              <w:adjustRightInd w:val="0"/>
              <w:snapToGrid w:val="0"/>
              <w:jc w:val="center"/>
              <w:rPr>
                <w:color w:val="auto"/>
                <w:kern w:val="21"/>
              </w:rPr>
            </w:pPr>
            <w:r>
              <w:rPr>
                <w:color w:val="auto"/>
                <w:kern w:val="21"/>
              </w:rPr>
              <w:t>1小时平均：</w:t>
            </w:r>
            <w:r>
              <w:rPr>
                <w:rFonts w:hint="eastAsia"/>
                <w:color w:val="auto"/>
                <w:kern w:val="21"/>
              </w:rPr>
              <w:t>200u</w:t>
            </w:r>
            <w:r>
              <w:rPr>
                <w:color w:val="auto"/>
                <w:kern w:val="21"/>
              </w:rPr>
              <w:t>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Align w:val="center"/>
          </w:tcPr>
          <w:p>
            <w:pPr>
              <w:adjustRightInd w:val="0"/>
              <w:snapToGrid w:val="0"/>
              <w:jc w:val="center"/>
              <w:rPr>
                <w:color w:val="auto"/>
                <w:kern w:val="21"/>
              </w:rPr>
            </w:pPr>
            <w:r>
              <w:rPr>
                <w:color w:val="auto"/>
                <w:kern w:val="21"/>
              </w:rPr>
              <w:t>《大气综合污染物排放标准详解》</w:t>
            </w:r>
          </w:p>
        </w:tc>
        <w:tc>
          <w:tcPr>
            <w:tcW w:w="1980" w:type="dxa"/>
            <w:vAlign w:val="center"/>
          </w:tcPr>
          <w:p>
            <w:pPr>
              <w:adjustRightInd w:val="0"/>
              <w:snapToGrid w:val="0"/>
              <w:jc w:val="center"/>
              <w:rPr>
                <w:color w:val="auto"/>
                <w:kern w:val="21"/>
              </w:rPr>
            </w:pPr>
            <w:r>
              <w:rPr>
                <w:color w:val="auto"/>
                <w:kern w:val="21"/>
              </w:rPr>
              <w:t>铬酸雾</w:t>
            </w:r>
          </w:p>
        </w:tc>
        <w:tc>
          <w:tcPr>
            <w:tcW w:w="2602" w:type="dxa"/>
            <w:gridSpan w:val="2"/>
            <w:vAlign w:val="center"/>
          </w:tcPr>
          <w:p>
            <w:pPr>
              <w:adjustRightInd w:val="0"/>
              <w:snapToGrid w:val="0"/>
              <w:jc w:val="center"/>
              <w:rPr>
                <w:color w:val="auto"/>
                <w:kern w:val="21"/>
              </w:rPr>
            </w:pPr>
            <w:r>
              <w:rPr>
                <w:color w:val="auto"/>
                <w:kern w:val="21"/>
              </w:rPr>
              <w:t>1小时平均：0.006mg/m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restart"/>
            <w:vAlign w:val="center"/>
          </w:tcPr>
          <w:p>
            <w:pPr>
              <w:adjustRightInd w:val="0"/>
              <w:snapToGrid w:val="0"/>
              <w:jc w:val="center"/>
              <w:rPr>
                <w:color w:val="auto"/>
                <w:kern w:val="21"/>
              </w:rPr>
            </w:pPr>
            <w:r>
              <w:rPr>
                <w:color w:val="auto"/>
                <w:kern w:val="21"/>
              </w:rPr>
              <w:t>地表水</w:t>
            </w:r>
          </w:p>
        </w:tc>
        <w:tc>
          <w:tcPr>
            <w:tcW w:w="2617" w:type="dxa"/>
            <w:vMerge w:val="restart"/>
            <w:vAlign w:val="center"/>
          </w:tcPr>
          <w:p>
            <w:pPr>
              <w:adjustRightInd w:val="0"/>
              <w:snapToGrid w:val="0"/>
              <w:jc w:val="center"/>
              <w:rPr>
                <w:color w:val="auto"/>
                <w:kern w:val="21"/>
              </w:rPr>
            </w:pPr>
            <w:r>
              <w:rPr>
                <w:color w:val="auto"/>
                <w:kern w:val="21"/>
              </w:rPr>
              <w:t>《地表水环境质量标准》（GB3838-2002）表1中 IV类标准</w:t>
            </w:r>
          </w:p>
        </w:tc>
        <w:tc>
          <w:tcPr>
            <w:tcW w:w="1980" w:type="dxa"/>
            <w:vAlign w:val="center"/>
          </w:tcPr>
          <w:p>
            <w:pPr>
              <w:jc w:val="center"/>
              <w:rPr>
                <w:color w:val="auto"/>
                <w:kern w:val="21"/>
              </w:rPr>
            </w:pPr>
            <w:r>
              <w:rPr>
                <w:color w:val="auto"/>
                <w:kern w:val="21"/>
              </w:rPr>
              <w:t>COD</w:t>
            </w:r>
            <w:r>
              <w:rPr>
                <w:color w:val="auto"/>
                <w:kern w:val="21"/>
                <w:vertAlign w:val="subscript"/>
              </w:rPr>
              <w:t>Cr</w:t>
            </w:r>
          </w:p>
        </w:tc>
        <w:tc>
          <w:tcPr>
            <w:tcW w:w="2602" w:type="dxa"/>
            <w:gridSpan w:val="2"/>
            <w:vAlign w:val="center"/>
          </w:tcPr>
          <w:p>
            <w:pPr>
              <w:jc w:val="center"/>
              <w:rPr>
                <w:color w:val="auto"/>
                <w:kern w:val="21"/>
              </w:rPr>
            </w:pPr>
            <w:r>
              <w:rPr>
                <w:rFonts w:hint="eastAsia"/>
                <w:color w:val="auto"/>
                <w:kern w:val="21"/>
              </w:rPr>
              <w:t>3</w:t>
            </w:r>
            <w:r>
              <w:rPr>
                <w:color w:val="auto"/>
                <w:kern w:val="21"/>
              </w:rPr>
              <w:t>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Align w:val="center"/>
          </w:tcPr>
          <w:p>
            <w:pPr>
              <w:jc w:val="center"/>
              <w:rPr>
                <w:bCs/>
                <w:color w:val="auto"/>
                <w:kern w:val="21"/>
              </w:rPr>
            </w:pPr>
            <w:r>
              <w:rPr>
                <w:color w:val="auto"/>
                <w:kern w:val="21"/>
              </w:rPr>
              <w:t>TP</w:t>
            </w:r>
          </w:p>
        </w:tc>
        <w:tc>
          <w:tcPr>
            <w:tcW w:w="2602" w:type="dxa"/>
            <w:gridSpan w:val="2"/>
            <w:vAlign w:val="center"/>
          </w:tcPr>
          <w:p>
            <w:pPr>
              <w:jc w:val="center"/>
              <w:rPr>
                <w:color w:val="auto"/>
                <w:kern w:val="21"/>
              </w:rPr>
            </w:pPr>
            <w:r>
              <w:rPr>
                <w:color w:val="auto"/>
                <w:kern w:val="21"/>
              </w:rPr>
              <w:t>0.</w:t>
            </w:r>
            <w:r>
              <w:rPr>
                <w:rFonts w:hint="eastAsia"/>
                <w:color w:val="auto"/>
                <w:kern w:val="21"/>
              </w:rPr>
              <w:t>3</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5" w:type="dxa"/>
            <w:gridSpan w:val="2"/>
            <w:vMerge w:val="continue"/>
            <w:vAlign w:val="center"/>
          </w:tcPr>
          <w:p>
            <w:pPr>
              <w:adjustRightInd w:val="0"/>
              <w:snapToGrid w:val="0"/>
              <w:jc w:val="center"/>
              <w:rPr>
                <w:color w:val="auto"/>
                <w:kern w:val="21"/>
              </w:rPr>
            </w:pPr>
          </w:p>
        </w:tc>
        <w:tc>
          <w:tcPr>
            <w:tcW w:w="2617" w:type="dxa"/>
            <w:vMerge w:val="continue"/>
            <w:vAlign w:val="center"/>
          </w:tcPr>
          <w:p>
            <w:pPr>
              <w:adjustRightInd w:val="0"/>
              <w:snapToGrid w:val="0"/>
              <w:jc w:val="center"/>
              <w:rPr>
                <w:color w:val="auto"/>
                <w:kern w:val="21"/>
              </w:rPr>
            </w:pPr>
          </w:p>
        </w:tc>
        <w:tc>
          <w:tcPr>
            <w:tcW w:w="1980" w:type="dxa"/>
            <w:vAlign w:val="center"/>
          </w:tcPr>
          <w:p>
            <w:pPr>
              <w:jc w:val="center"/>
              <w:rPr>
                <w:bCs/>
                <w:color w:val="auto"/>
                <w:kern w:val="21"/>
              </w:rPr>
            </w:pPr>
            <w:r>
              <w:rPr>
                <w:color w:val="auto"/>
                <w:kern w:val="21"/>
              </w:rPr>
              <w:t>NH</w:t>
            </w:r>
            <w:r>
              <w:rPr>
                <w:color w:val="auto"/>
                <w:kern w:val="21"/>
                <w:vertAlign w:val="subscript"/>
              </w:rPr>
              <w:t>3</w:t>
            </w:r>
            <w:r>
              <w:rPr>
                <w:color w:val="auto"/>
                <w:kern w:val="21"/>
              </w:rPr>
              <w:t>-N</w:t>
            </w:r>
          </w:p>
        </w:tc>
        <w:tc>
          <w:tcPr>
            <w:tcW w:w="2602" w:type="dxa"/>
            <w:gridSpan w:val="2"/>
            <w:vAlign w:val="center"/>
          </w:tcPr>
          <w:p>
            <w:pPr>
              <w:jc w:val="center"/>
              <w:rPr>
                <w:color w:val="auto"/>
                <w:kern w:val="21"/>
              </w:rPr>
            </w:pPr>
            <w:r>
              <w:rPr>
                <w:rFonts w:hint="eastAsia"/>
                <w:color w:val="auto"/>
                <w:kern w:val="21"/>
              </w:rPr>
              <w:t>1.5</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restart"/>
            <w:vAlign w:val="center"/>
          </w:tcPr>
          <w:p>
            <w:pPr>
              <w:adjustRightInd w:val="0"/>
              <w:snapToGrid w:val="0"/>
              <w:jc w:val="center"/>
              <w:rPr>
                <w:color w:val="auto"/>
                <w:kern w:val="21"/>
              </w:rPr>
            </w:pPr>
            <w:r>
              <w:rPr>
                <w:color w:val="auto"/>
                <w:kern w:val="21"/>
              </w:rPr>
              <w:t>地下水</w:t>
            </w:r>
          </w:p>
        </w:tc>
        <w:tc>
          <w:tcPr>
            <w:tcW w:w="2624" w:type="dxa"/>
            <w:gridSpan w:val="2"/>
            <w:vMerge w:val="restart"/>
            <w:vAlign w:val="center"/>
          </w:tcPr>
          <w:p>
            <w:pPr>
              <w:adjustRightInd w:val="0"/>
              <w:snapToGrid w:val="0"/>
              <w:jc w:val="center"/>
              <w:textAlignment w:val="baseline"/>
              <w:rPr>
                <w:color w:val="auto"/>
                <w:kern w:val="21"/>
              </w:rPr>
            </w:pPr>
            <w:r>
              <w:rPr>
                <w:color w:val="auto"/>
                <w:kern w:val="21"/>
              </w:rPr>
              <w:t>《地下水质量标准》（GB/T14848-2017）表1、表2中III类标准</w:t>
            </w:r>
          </w:p>
        </w:tc>
        <w:tc>
          <w:tcPr>
            <w:tcW w:w="1980" w:type="dxa"/>
            <w:vAlign w:val="center"/>
          </w:tcPr>
          <w:p>
            <w:pPr>
              <w:adjustRightInd w:val="0"/>
              <w:snapToGrid w:val="0"/>
              <w:spacing w:line="240" w:lineRule="exact"/>
              <w:jc w:val="center"/>
              <w:rPr>
                <w:color w:val="auto"/>
              </w:rPr>
            </w:pPr>
            <w:r>
              <w:rPr>
                <w:color w:val="auto"/>
              </w:rPr>
              <w:t>氯化物</w:t>
            </w:r>
          </w:p>
        </w:tc>
        <w:tc>
          <w:tcPr>
            <w:tcW w:w="2602" w:type="dxa"/>
            <w:gridSpan w:val="2"/>
            <w:vAlign w:val="center"/>
          </w:tcPr>
          <w:p>
            <w:pPr>
              <w:adjustRightInd w:val="0"/>
              <w:snapToGrid w:val="0"/>
              <w:spacing w:line="240" w:lineRule="exact"/>
              <w:jc w:val="center"/>
              <w:rPr>
                <w:color w:val="auto"/>
              </w:rPr>
            </w:pPr>
            <w:r>
              <w:rPr>
                <w:color w:val="auto"/>
              </w:rPr>
              <w:t>≤250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硫酸盐</w:t>
            </w:r>
          </w:p>
        </w:tc>
        <w:tc>
          <w:tcPr>
            <w:tcW w:w="2602" w:type="dxa"/>
            <w:gridSpan w:val="2"/>
            <w:vAlign w:val="center"/>
          </w:tcPr>
          <w:p>
            <w:pPr>
              <w:adjustRightInd w:val="0"/>
              <w:snapToGrid w:val="0"/>
              <w:spacing w:line="240" w:lineRule="exact"/>
              <w:jc w:val="center"/>
              <w:rPr>
                <w:color w:val="auto"/>
              </w:rPr>
            </w:pPr>
            <w:r>
              <w:rPr>
                <w:color w:val="auto"/>
              </w:rPr>
              <w:t>≤250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pH</w:t>
            </w:r>
          </w:p>
        </w:tc>
        <w:tc>
          <w:tcPr>
            <w:tcW w:w="2602" w:type="dxa"/>
            <w:gridSpan w:val="2"/>
            <w:vAlign w:val="center"/>
          </w:tcPr>
          <w:p>
            <w:pPr>
              <w:adjustRightInd w:val="0"/>
              <w:snapToGrid w:val="0"/>
              <w:spacing w:line="240" w:lineRule="exact"/>
              <w:jc w:val="center"/>
              <w:rPr>
                <w:color w:val="auto"/>
              </w:rPr>
            </w:pPr>
            <w:r>
              <w:rPr>
                <w:color w:val="auto"/>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氨氮</w:t>
            </w:r>
          </w:p>
        </w:tc>
        <w:tc>
          <w:tcPr>
            <w:tcW w:w="2602" w:type="dxa"/>
            <w:gridSpan w:val="2"/>
            <w:vAlign w:val="center"/>
          </w:tcPr>
          <w:p>
            <w:pPr>
              <w:adjustRightInd w:val="0"/>
              <w:snapToGrid w:val="0"/>
              <w:spacing w:line="240" w:lineRule="exact"/>
              <w:jc w:val="center"/>
              <w:rPr>
                <w:color w:val="auto"/>
              </w:rPr>
            </w:pPr>
            <w:r>
              <w:rPr>
                <w:color w:val="auto"/>
              </w:rPr>
              <w:t>≤0.5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硝酸盐（以N计）</w:t>
            </w:r>
          </w:p>
        </w:tc>
        <w:tc>
          <w:tcPr>
            <w:tcW w:w="2602" w:type="dxa"/>
            <w:gridSpan w:val="2"/>
            <w:vAlign w:val="center"/>
          </w:tcPr>
          <w:p>
            <w:pPr>
              <w:adjustRightInd w:val="0"/>
              <w:snapToGrid w:val="0"/>
              <w:spacing w:line="240" w:lineRule="exact"/>
              <w:jc w:val="center"/>
              <w:rPr>
                <w:color w:val="auto"/>
              </w:rPr>
            </w:pPr>
            <w:r>
              <w:rPr>
                <w:color w:val="auto"/>
              </w:rPr>
              <w:t>≤20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挥发酚</w:t>
            </w:r>
          </w:p>
        </w:tc>
        <w:tc>
          <w:tcPr>
            <w:tcW w:w="2602" w:type="dxa"/>
            <w:gridSpan w:val="2"/>
            <w:vAlign w:val="center"/>
          </w:tcPr>
          <w:p>
            <w:pPr>
              <w:adjustRightInd w:val="0"/>
              <w:snapToGrid w:val="0"/>
              <w:spacing w:line="240" w:lineRule="exact"/>
              <w:jc w:val="center"/>
              <w:rPr>
                <w:color w:val="auto"/>
              </w:rPr>
            </w:pPr>
            <w:r>
              <w:rPr>
                <w:color w:val="auto"/>
              </w:rPr>
              <w:t>≤0.002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砷</w:t>
            </w:r>
          </w:p>
        </w:tc>
        <w:tc>
          <w:tcPr>
            <w:tcW w:w="2602" w:type="dxa"/>
            <w:gridSpan w:val="2"/>
            <w:vAlign w:val="center"/>
          </w:tcPr>
          <w:p>
            <w:pPr>
              <w:adjustRightInd w:val="0"/>
              <w:snapToGrid w:val="0"/>
              <w:spacing w:line="240" w:lineRule="exact"/>
              <w:jc w:val="center"/>
              <w:rPr>
                <w:color w:val="auto"/>
              </w:rPr>
            </w:pPr>
            <w:r>
              <w:rPr>
                <w:color w:val="auto"/>
              </w:rPr>
              <w:t>≤0.01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汞</w:t>
            </w:r>
          </w:p>
        </w:tc>
        <w:tc>
          <w:tcPr>
            <w:tcW w:w="2602" w:type="dxa"/>
            <w:gridSpan w:val="2"/>
            <w:vAlign w:val="center"/>
          </w:tcPr>
          <w:p>
            <w:pPr>
              <w:adjustRightInd w:val="0"/>
              <w:snapToGrid w:val="0"/>
              <w:spacing w:line="240" w:lineRule="exact"/>
              <w:jc w:val="center"/>
              <w:rPr>
                <w:color w:val="auto"/>
              </w:rPr>
            </w:pPr>
            <w:r>
              <w:rPr>
                <w:color w:val="auto"/>
              </w:rPr>
              <w:t>≤0.001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铬（六价）</w:t>
            </w:r>
          </w:p>
        </w:tc>
        <w:tc>
          <w:tcPr>
            <w:tcW w:w="2602" w:type="dxa"/>
            <w:gridSpan w:val="2"/>
            <w:vAlign w:val="center"/>
          </w:tcPr>
          <w:p>
            <w:pPr>
              <w:adjustRightInd w:val="0"/>
              <w:snapToGrid w:val="0"/>
              <w:spacing w:line="240" w:lineRule="exact"/>
              <w:jc w:val="center"/>
              <w:rPr>
                <w:color w:val="auto"/>
              </w:rPr>
            </w:pPr>
            <w:r>
              <w:rPr>
                <w:color w:val="auto"/>
              </w:rPr>
              <w:t>≤0.05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总硬度</w:t>
            </w:r>
          </w:p>
        </w:tc>
        <w:tc>
          <w:tcPr>
            <w:tcW w:w="2602" w:type="dxa"/>
            <w:gridSpan w:val="2"/>
            <w:vAlign w:val="center"/>
          </w:tcPr>
          <w:p>
            <w:pPr>
              <w:adjustRightInd w:val="0"/>
              <w:snapToGrid w:val="0"/>
              <w:spacing w:line="240" w:lineRule="exact"/>
              <w:jc w:val="center"/>
              <w:rPr>
                <w:color w:val="auto"/>
              </w:rPr>
            </w:pPr>
            <w:r>
              <w:rPr>
                <w:color w:val="auto"/>
              </w:rPr>
              <w:t>≤450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铅</w:t>
            </w:r>
          </w:p>
        </w:tc>
        <w:tc>
          <w:tcPr>
            <w:tcW w:w="2602" w:type="dxa"/>
            <w:gridSpan w:val="2"/>
            <w:vAlign w:val="center"/>
          </w:tcPr>
          <w:p>
            <w:pPr>
              <w:adjustRightInd w:val="0"/>
              <w:snapToGrid w:val="0"/>
              <w:spacing w:line="240" w:lineRule="exact"/>
              <w:jc w:val="center"/>
              <w:rPr>
                <w:color w:val="auto"/>
              </w:rPr>
            </w:pPr>
            <w:r>
              <w:rPr>
                <w:color w:val="auto"/>
              </w:rPr>
              <w:t>≤0.01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铁</w:t>
            </w:r>
          </w:p>
        </w:tc>
        <w:tc>
          <w:tcPr>
            <w:tcW w:w="2602" w:type="dxa"/>
            <w:gridSpan w:val="2"/>
            <w:vAlign w:val="center"/>
          </w:tcPr>
          <w:p>
            <w:pPr>
              <w:adjustRightInd w:val="0"/>
              <w:snapToGrid w:val="0"/>
              <w:spacing w:line="240" w:lineRule="exact"/>
              <w:jc w:val="center"/>
              <w:rPr>
                <w:color w:val="auto"/>
              </w:rPr>
            </w:pPr>
            <w:r>
              <w:rPr>
                <w:color w:val="auto"/>
              </w:rPr>
              <w:t>≤0.3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锰</w:t>
            </w:r>
          </w:p>
        </w:tc>
        <w:tc>
          <w:tcPr>
            <w:tcW w:w="2602" w:type="dxa"/>
            <w:gridSpan w:val="2"/>
            <w:vAlign w:val="center"/>
          </w:tcPr>
          <w:p>
            <w:pPr>
              <w:adjustRightInd w:val="0"/>
              <w:snapToGrid w:val="0"/>
              <w:spacing w:line="240" w:lineRule="exact"/>
              <w:jc w:val="center"/>
              <w:rPr>
                <w:color w:val="auto"/>
              </w:rPr>
            </w:pPr>
            <w:r>
              <w:rPr>
                <w:color w:val="auto"/>
              </w:rPr>
              <w:t>≤0.1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溶解性总固体</w:t>
            </w:r>
          </w:p>
        </w:tc>
        <w:tc>
          <w:tcPr>
            <w:tcW w:w="2602" w:type="dxa"/>
            <w:gridSpan w:val="2"/>
            <w:vAlign w:val="center"/>
          </w:tcPr>
          <w:p>
            <w:pPr>
              <w:adjustRightInd w:val="0"/>
              <w:snapToGrid w:val="0"/>
              <w:spacing w:line="240" w:lineRule="exact"/>
              <w:jc w:val="center"/>
              <w:rPr>
                <w:color w:val="auto"/>
              </w:rPr>
            </w:pPr>
            <w:r>
              <w:rPr>
                <w:color w:val="auto"/>
              </w:rPr>
              <w:t>≤1000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耗氧量</w:t>
            </w:r>
          </w:p>
        </w:tc>
        <w:tc>
          <w:tcPr>
            <w:tcW w:w="2602" w:type="dxa"/>
            <w:gridSpan w:val="2"/>
            <w:vAlign w:val="center"/>
          </w:tcPr>
          <w:p>
            <w:pPr>
              <w:adjustRightInd w:val="0"/>
              <w:snapToGrid w:val="0"/>
              <w:spacing w:line="240" w:lineRule="exact"/>
              <w:jc w:val="center"/>
              <w:rPr>
                <w:color w:val="auto"/>
              </w:rPr>
            </w:pPr>
            <w:r>
              <w:rPr>
                <w:color w:val="auto"/>
              </w:rPr>
              <w:t>≤3.0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总大肠菌群</w:t>
            </w:r>
          </w:p>
        </w:tc>
        <w:tc>
          <w:tcPr>
            <w:tcW w:w="2602" w:type="dxa"/>
            <w:gridSpan w:val="2"/>
            <w:vAlign w:val="center"/>
          </w:tcPr>
          <w:p>
            <w:pPr>
              <w:adjustRightInd w:val="0"/>
              <w:snapToGrid w:val="0"/>
              <w:spacing w:line="240" w:lineRule="exact"/>
              <w:jc w:val="center"/>
              <w:rPr>
                <w:color w:val="auto"/>
              </w:rPr>
            </w:pPr>
            <w:r>
              <w:rPr>
                <w:color w:val="auto"/>
              </w:rPr>
              <w:t>≤3.0 CFU/100mL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rFonts w:hint="eastAsia" w:eastAsia="宋体"/>
                <w:color w:val="auto"/>
                <w:lang w:eastAsia="zh-CN"/>
              </w:rPr>
            </w:pPr>
            <w:r>
              <w:rPr>
                <w:rFonts w:hint="eastAsia"/>
                <w:color w:val="auto"/>
                <w:lang w:eastAsia="zh-CN"/>
              </w:rPr>
              <w:t>阴离子表面活性剂</w:t>
            </w:r>
          </w:p>
        </w:tc>
        <w:tc>
          <w:tcPr>
            <w:tcW w:w="2602" w:type="dxa"/>
            <w:gridSpan w:val="2"/>
            <w:vAlign w:val="center"/>
          </w:tcPr>
          <w:p>
            <w:pPr>
              <w:adjustRightInd w:val="0"/>
              <w:snapToGrid w:val="0"/>
              <w:spacing w:line="240" w:lineRule="exact"/>
              <w:jc w:val="center"/>
              <w:rPr>
                <w:color w:val="auto"/>
              </w:rPr>
            </w:pPr>
            <w:r>
              <w:rPr>
                <w:color w:val="auto"/>
              </w:rPr>
              <w:t>≤</w:t>
            </w:r>
            <w:r>
              <w:rPr>
                <w:rFonts w:hint="eastAsia"/>
                <w:color w:val="auto"/>
                <w:lang w:val="en-US" w:eastAsia="zh-CN"/>
              </w:rPr>
              <w:t>3</w:t>
            </w:r>
            <w:r>
              <w:rPr>
                <w:color w:val="auto"/>
              </w:rPr>
              <w:t>.00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rFonts w:ascii="Times New Roman" w:hAnsi="Times New Roman" w:eastAsia="宋体" w:cs="Times New Roman"/>
                <w:color w:val="auto"/>
                <w:kern w:val="2"/>
                <w:sz w:val="21"/>
                <w:szCs w:val="21"/>
                <w:lang w:val="en-US" w:eastAsia="zh-CN" w:bidi="ar-SA"/>
              </w:rPr>
            </w:pPr>
            <w:r>
              <w:rPr>
                <w:color w:val="auto"/>
              </w:rPr>
              <w:t>锌</w:t>
            </w:r>
          </w:p>
        </w:tc>
        <w:tc>
          <w:tcPr>
            <w:tcW w:w="2602" w:type="dxa"/>
            <w:gridSpan w:val="2"/>
            <w:vAlign w:val="center"/>
          </w:tcPr>
          <w:p>
            <w:pPr>
              <w:adjustRightInd w:val="0"/>
              <w:snapToGrid w:val="0"/>
              <w:spacing w:line="240" w:lineRule="exact"/>
              <w:jc w:val="center"/>
              <w:rPr>
                <w:rFonts w:ascii="Times New Roman" w:hAnsi="Times New Roman" w:eastAsia="宋体" w:cs="Times New Roman"/>
                <w:color w:val="auto"/>
                <w:kern w:val="2"/>
                <w:sz w:val="21"/>
                <w:szCs w:val="21"/>
                <w:lang w:val="en-US" w:eastAsia="zh-CN" w:bidi="ar-SA"/>
              </w:rPr>
            </w:pPr>
            <w:r>
              <w:rPr>
                <w:color w:val="auto"/>
              </w:rPr>
              <w:t>≤1.00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adjustRightInd w:val="0"/>
              <w:snapToGrid w:val="0"/>
              <w:jc w:val="center"/>
              <w:rPr>
                <w:color w:val="auto"/>
                <w:kern w:val="21"/>
              </w:rPr>
            </w:pPr>
          </w:p>
        </w:tc>
        <w:tc>
          <w:tcPr>
            <w:tcW w:w="2624" w:type="dxa"/>
            <w:gridSpan w:val="2"/>
            <w:vMerge w:val="continue"/>
            <w:vAlign w:val="center"/>
          </w:tcPr>
          <w:p>
            <w:pPr>
              <w:adjustRightInd w:val="0"/>
              <w:snapToGrid w:val="0"/>
              <w:jc w:val="center"/>
              <w:textAlignment w:val="baseline"/>
              <w:rPr>
                <w:color w:val="auto"/>
                <w:kern w:val="21"/>
              </w:rPr>
            </w:pPr>
          </w:p>
        </w:tc>
        <w:tc>
          <w:tcPr>
            <w:tcW w:w="1980" w:type="dxa"/>
            <w:vAlign w:val="center"/>
          </w:tcPr>
          <w:p>
            <w:pPr>
              <w:adjustRightInd w:val="0"/>
              <w:snapToGrid w:val="0"/>
              <w:spacing w:line="240" w:lineRule="exact"/>
              <w:jc w:val="center"/>
              <w:rPr>
                <w:color w:val="auto"/>
              </w:rPr>
            </w:pPr>
            <w:r>
              <w:rPr>
                <w:color w:val="auto"/>
              </w:rPr>
              <w:t>总镍</w:t>
            </w:r>
          </w:p>
        </w:tc>
        <w:tc>
          <w:tcPr>
            <w:tcW w:w="2602" w:type="dxa"/>
            <w:gridSpan w:val="2"/>
            <w:vAlign w:val="center"/>
          </w:tcPr>
          <w:p>
            <w:pPr>
              <w:adjustRightInd w:val="0"/>
              <w:snapToGrid w:val="0"/>
              <w:spacing w:line="240" w:lineRule="exact"/>
              <w:jc w:val="center"/>
              <w:rPr>
                <w:color w:val="auto"/>
              </w:rPr>
            </w:pPr>
            <w:r>
              <w:rPr>
                <w:color w:val="auto"/>
              </w:rPr>
              <w:t>≤0.02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restart"/>
            <w:vAlign w:val="center"/>
          </w:tcPr>
          <w:p>
            <w:pPr>
              <w:jc w:val="center"/>
              <w:rPr>
                <w:color w:val="auto"/>
                <w:kern w:val="21"/>
              </w:rPr>
            </w:pPr>
            <w:r>
              <w:rPr>
                <w:color w:val="auto"/>
                <w:kern w:val="21"/>
                <w:lang w:eastAsia="en-US"/>
              </w:rPr>
              <w:t>声环境</w:t>
            </w:r>
          </w:p>
        </w:tc>
        <w:tc>
          <w:tcPr>
            <w:tcW w:w="2624" w:type="dxa"/>
            <w:gridSpan w:val="2"/>
            <w:vMerge w:val="restart"/>
            <w:vAlign w:val="center"/>
          </w:tcPr>
          <w:p>
            <w:pPr>
              <w:jc w:val="center"/>
              <w:rPr>
                <w:color w:val="auto"/>
                <w:kern w:val="21"/>
              </w:rPr>
            </w:pPr>
            <w:r>
              <w:rPr>
                <w:color w:val="auto"/>
                <w:kern w:val="21"/>
              </w:rPr>
              <w:t>《声环境质量标准》</w:t>
            </w:r>
            <w:r>
              <w:rPr>
                <w:rFonts w:hint="eastAsia"/>
                <w:color w:val="auto"/>
                <w:kern w:val="21"/>
                <w:lang w:eastAsia="zh-CN"/>
              </w:rPr>
              <w:t>（</w:t>
            </w:r>
            <w:r>
              <w:rPr>
                <w:color w:val="auto"/>
                <w:kern w:val="21"/>
              </w:rPr>
              <w:t>GB3096-2008</w:t>
            </w:r>
            <w:r>
              <w:rPr>
                <w:rFonts w:hint="eastAsia"/>
                <w:color w:val="auto"/>
                <w:kern w:val="21"/>
                <w:lang w:eastAsia="zh-CN"/>
              </w:rPr>
              <w:t>）</w:t>
            </w:r>
            <w:r>
              <w:rPr>
                <w:color w:val="auto"/>
                <w:kern w:val="21"/>
              </w:rPr>
              <w:t>表1中3类标准</w:t>
            </w:r>
          </w:p>
        </w:tc>
        <w:tc>
          <w:tcPr>
            <w:tcW w:w="1980" w:type="dxa"/>
            <w:vMerge w:val="restart"/>
            <w:vAlign w:val="center"/>
          </w:tcPr>
          <w:p>
            <w:pPr>
              <w:jc w:val="center"/>
              <w:rPr>
                <w:color w:val="auto"/>
                <w:kern w:val="21"/>
              </w:rPr>
            </w:pPr>
            <w:r>
              <w:rPr>
                <w:color w:val="auto"/>
                <w:kern w:val="21"/>
                <w:lang w:eastAsia="en-US"/>
              </w:rPr>
              <w:t>噪声</w:t>
            </w:r>
          </w:p>
        </w:tc>
        <w:tc>
          <w:tcPr>
            <w:tcW w:w="1101" w:type="dxa"/>
            <w:vAlign w:val="center"/>
          </w:tcPr>
          <w:p>
            <w:pPr>
              <w:jc w:val="center"/>
              <w:rPr>
                <w:color w:val="auto"/>
                <w:kern w:val="21"/>
              </w:rPr>
            </w:pPr>
            <w:r>
              <w:rPr>
                <w:color w:val="auto"/>
                <w:kern w:val="21"/>
                <w:lang w:eastAsia="en-US"/>
              </w:rPr>
              <w:t>昼</w:t>
            </w:r>
          </w:p>
        </w:tc>
        <w:tc>
          <w:tcPr>
            <w:tcW w:w="1501" w:type="dxa"/>
            <w:vAlign w:val="center"/>
          </w:tcPr>
          <w:p>
            <w:pPr>
              <w:jc w:val="center"/>
              <w:rPr>
                <w:color w:val="auto"/>
                <w:kern w:val="21"/>
                <w:lang w:eastAsia="en-US"/>
              </w:rPr>
            </w:pPr>
            <w:r>
              <w:rPr>
                <w:color w:val="auto"/>
                <w:kern w:val="21"/>
                <w:lang w:eastAsia="en-US"/>
              </w:rPr>
              <w:t>6</w:t>
            </w:r>
            <w:r>
              <w:rPr>
                <w:color w:val="auto"/>
                <w:kern w:val="21"/>
              </w:rPr>
              <w:t>5</w:t>
            </w:r>
            <w:r>
              <w:rPr>
                <w:color w:val="auto"/>
                <w:kern w:val="21"/>
                <w:lang w:eastAsia="en-U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Merge w:val="continue"/>
            <w:vAlign w:val="center"/>
          </w:tcPr>
          <w:p>
            <w:pPr>
              <w:jc w:val="center"/>
              <w:rPr>
                <w:color w:val="auto"/>
                <w:kern w:val="21"/>
              </w:rPr>
            </w:pPr>
          </w:p>
        </w:tc>
        <w:tc>
          <w:tcPr>
            <w:tcW w:w="1101" w:type="dxa"/>
            <w:vAlign w:val="center"/>
          </w:tcPr>
          <w:p>
            <w:pPr>
              <w:jc w:val="center"/>
              <w:rPr>
                <w:color w:val="auto"/>
                <w:kern w:val="21"/>
              </w:rPr>
            </w:pPr>
            <w:r>
              <w:rPr>
                <w:color w:val="auto"/>
                <w:kern w:val="21"/>
                <w:lang w:eastAsia="en-US"/>
              </w:rPr>
              <w:t>夜</w:t>
            </w:r>
          </w:p>
        </w:tc>
        <w:tc>
          <w:tcPr>
            <w:tcW w:w="1501" w:type="dxa"/>
            <w:vAlign w:val="center"/>
          </w:tcPr>
          <w:p>
            <w:pPr>
              <w:jc w:val="center"/>
              <w:rPr>
                <w:color w:val="auto"/>
                <w:kern w:val="21"/>
                <w:lang w:eastAsia="en-US"/>
              </w:rPr>
            </w:pPr>
            <w:r>
              <w:rPr>
                <w:color w:val="auto"/>
                <w:kern w:val="21"/>
                <w:lang w:eastAsia="en-US"/>
              </w:rPr>
              <w:t>5</w:t>
            </w:r>
            <w:r>
              <w:rPr>
                <w:color w:val="auto"/>
                <w:kern w:val="21"/>
              </w:rPr>
              <w:t>5</w:t>
            </w:r>
            <w:r>
              <w:rPr>
                <w:color w:val="auto"/>
                <w:kern w:val="21"/>
                <w:lang w:eastAsia="en-US"/>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restart"/>
            <w:vAlign w:val="center"/>
          </w:tcPr>
          <w:p>
            <w:pPr>
              <w:jc w:val="center"/>
              <w:rPr>
                <w:color w:val="auto"/>
                <w:kern w:val="21"/>
              </w:rPr>
            </w:pPr>
            <w:r>
              <w:rPr>
                <w:color w:val="auto"/>
                <w:kern w:val="21"/>
              </w:rPr>
              <w:t>土壤环境</w:t>
            </w:r>
          </w:p>
        </w:tc>
        <w:tc>
          <w:tcPr>
            <w:tcW w:w="2624" w:type="dxa"/>
            <w:gridSpan w:val="2"/>
            <w:vMerge w:val="restart"/>
            <w:vAlign w:val="center"/>
          </w:tcPr>
          <w:p>
            <w:pPr>
              <w:jc w:val="center"/>
              <w:rPr>
                <w:color w:val="auto"/>
                <w:kern w:val="21"/>
              </w:rPr>
            </w:pPr>
            <w:r>
              <w:rPr>
                <w:color w:val="auto"/>
                <w:kern w:val="21"/>
              </w:rPr>
              <w:t>《土壤环境质量 建设用地土壤污染风险管控标准（试行）》（GB36600-2018）表1</w:t>
            </w:r>
            <w:r>
              <w:rPr>
                <w:rFonts w:hint="eastAsia"/>
                <w:color w:val="auto"/>
                <w:kern w:val="21"/>
              </w:rPr>
              <w:t>中</w:t>
            </w:r>
            <w:r>
              <w:rPr>
                <w:color w:val="auto"/>
                <w:kern w:val="21"/>
              </w:rPr>
              <w:t>第二类用地筛选值</w:t>
            </w: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镉</w:t>
            </w:r>
          </w:p>
        </w:tc>
        <w:tc>
          <w:tcPr>
            <w:tcW w:w="2602" w:type="dxa"/>
            <w:gridSpan w:val="2"/>
            <w:vAlign w:val="center"/>
          </w:tcPr>
          <w:p>
            <w:pPr>
              <w:pStyle w:val="33"/>
              <w:adjustRightInd w:val="0"/>
              <w:snapToGrid w:val="0"/>
              <w:spacing w:after="0"/>
              <w:ind w:left="0" w:leftChars="0"/>
              <w:jc w:val="center"/>
              <w:rPr>
                <w:color w:val="auto"/>
                <w:kern w:val="21"/>
                <w:szCs w:val="21"/>
              </w:rPr>
            </w:pPr>
            <w:r>
              <w:rPr>
                <w:color w:val="auto"/>
                <w:kern w:val="21"/>
                <w:szCs w:val="21"/>
              </w:rPr>
              <w:t>65mg/kg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汞</w:t>
            </w:r>
          </w:p>
        </w:tc>
        <w:tc>
          <w:tcPr>
            <w:tcW w:w="2602" w:type="dxa"/>
            <w:gridSpan w:val="2"/>
            <w:vAlign w:val="center"/>
          </w:tcPr>
          <w:p>
            <w:pPr>
              <w:jc w:val="center"/>
              <w:rPr>
                <w:color w:val="auto"/>
                <w:kern w:val="21"/>
              </w:rPr>
            </w:pPr>
            <w:r>
              <w:rPr>
                <w:color w:val="auto"/>
                <w:kern w:val="21"/>
              </w:rPr>
              <w:t>38mg/kg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砷</w:t>
            </w:r>
          </w:p>
        </w:tc>
        <w:tc>
          <w:tcPr>
            <w:tcW w:w="2602" w:type="dxa"/>
            <w:gridSpan w:val="2"/>
            <w:vAlign w:val="center"/>
          </w:tcPr>
          <w:p>
            <w:pPr>
              <w:jc w:val="center"/>
              <w:rPr>
                <w:color w:val="auto"/>
                <w:kern w:val="21"/>
              </w:rPr>
            </w:pPr>
            <w:r>
              <w:rPr>
                <w:color w:val="auto"/>
                <w:kern w:val="21"/>
              </w:rPr>
              <w:t>60mg/kg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铜</w:t>
            </w:r>
          </w:p>
        </w:tc>
        <w:tc>
          <w:tcPr>
            <w:tcW w:w="2602" w:type="dxa"/>
            <w:gridSpan w:val="2"/>
            <w:vAlign w:val="center"/>
          </w:tcPr>
          <w:p>
            <w:pPr>
              <w:adjustRightInd w:val="0"/>
              <w:snapToGrid w:val="0"/>
              <w:jc w:val="center"/>
              <w:rPr>
                <w:color w:val="auto"/>
                <w:kern w:val="21"/>
              </w:rPr>
            </w:pPr>
            <w:r>
              <w:rPr>
                <w:color w:val="auto"/>
                <w:kern w:val="21"/>
              </w:rPr>
              <w:t>18000mg/kg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铅</w:t>
            </w:r>
          </w:p>
        </w:tc>
        <w:tc>
          <w:tcPr>
            <w:tcW w:w="2602" w:type="dxa"/>
            <w:gridSpan w:val="2"/>
            <w:vAlign w:val="center"/>
          </w:tcPr>
          <w:p>
            <w:pPr>
              <w:jc w:val="center"/>
              <w:rPr>
                <w:color w:val="auto"/>
                <w:kern w:val="21"/>
              </w:rPr>
            </w:pPr>
            <w:r>
              <w:rPr>
                <w:color w:val="auto"/>
                <w:kern w:val="21"/>
              </w:rPr>
              <w:t>800mg/kg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镍</w:t>
            </w:r>
          </w:p>
        </w:tc>
        <w:tc>
          <w:tcPr>
            <w:tcW w:w="2602" w:type="dxa"/>
            <w:gridSpan w:val="2"/>
            <w:vAlign w:val="center"/>
          </w:tcPr>
          <w:p>
            <w:pPr>
              <w:jc w:val="center"/>
              <w:rPr>
                <w:color w:val="auto"/>
                <w:kern w:val="21"/>
              </w:rPr>
            </w:pPr>
            <w:r>
              <w:rPr>
                <w:color w:val="auto"/>
                <w:kern w:val="21"/>
              </w:rPr>
              <w:t>900mg/kg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pStyle w:val="33"/>
              <w:adjustRightInd w:val="0"/>
              <w:snapToGrid w:val="0"/>
              <w:spacing w:after="0"/>
              <w:ind w:left="0" w:leftChars="0"/>
              <w:jc w:val="center"/>
              <w:rPr>
                <w:color w:val="auto"/>
                <w:kern w:val="21"/>
                <w:szCs w:val="21"/>
              </w:rPr>
            </w:pPr>
            <w:r>
              <w:rPr>
                <w:color w:val="auto"/>
                <w:kern w:val="21"/>
                <w:szCs w:val="21"/>
              </w:rPr>
              <w:t>六价铬</w:t>
            </w:r>
          </w:p>
        </w:tc>
        <w:tc>
          <w:tcPr>
            <w:tcW w:w="2602" w:type="dxa"/>
            <w:gridSpan w:val="2"/>
            <w:vAlign w:val="center"/>
          </w:tcPr>
          <w:p>
            <w:pPr>
              <w:adjustRightInd w:val="0"/>
              <w:snapToGrid w:val="0"/>
              <w:jc w:val="center"/>
              <w:rPr>
                <w:color w:val="auto"/>
                <w:kern w:val="21"/>
              </w:rPr>
            </w:pPr>
            <w:r>
              <w:rPr>
                <w:color w:val="auto"/>
                <w:kern w:val="21"/>
              </w:rPr>
              <w:t>5.7mg/kg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四氯化碳</w:t>
            </w:r>
          </w:p>
        </w:tc>
        <w:tc>
          <w:tcPr>
            <w:tcW w:w="2602" w:type="dxa"/>
            <w:gridSpan w:val="2"/>
            <w:vAlign w:val="center"/>
          </w:tcPr>
          <w:p>
            <w:pPr>
              <w:jc w:val="center"/>
              <w:rPr>
                <w:color w:val="auto"/>
                <w:kern w:val="21"/>
              </w:rPr>
            </w:pPr>
            <w:r>
              <w:rPr>
                <w:color w:val="auto"/>
                <w:kern w:val="21"/>
              </w:rPr>
              <w:t>2.8μg/kg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氯仿</w:t>
            </w:r>
          </w:p>
        </w:tc>
        <w:tc>
          <w:tcPr>
            <w:tcW w:w="2602" w:type="dxa"/>
            <w:gridSpan w:val="2"/>
            <w:vAlign w:val="center"/>
          </w:tcPr>
          <w:p>
            <w:pPr>
              <w:jc w:val="center"/>
              <w:rPr>
                <w:color w:val="auto"/>
                <w:kern w:val="21"/>
              </w:rPr>
            </w:pPr>
            <w:r>
              <w:rPr>
                <w:color w:val="auto"/>
                <w:kern w:val="21"/>
              </w:rPr>
              <w:t>0.9μg/kg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氯甲烷</w:t>
            </w:r>
          </w:p>
        </w:tc>
        <w:tc>
          <w:tcPr>
            <w:tcW w:w="2602" w:type="dxa"/>
            <w:gridSpan w:val="2"/>
            <w:vAlign w:val="center"/>
          </w:tcPr>
          <w:p>
            <w:pPr>
              <w:jc w:val="center"/>
              <w:rPr>
                <w:color w:val="auto"/>
                <w:kern w:val="21"/>
              </w:rPr>
            </w:pPr>
            <w:r>
              <w:rPr>
                <w:color w:val="auto"/>
                <w:kern w:val="21"/>
              </w:rPr>
              <w:t>37μg/kg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1，1-二氯乙烷</w:t>
            </w:r>
          </w:p>
        </w:tc>
        <w:tc>
          <w:tcPr>
            <w:tcW w:w="2602" w:type="dxa"/>
            <w:gridSpan w:val="2"/>
            <w:vAlign w:val="center"/>
          </w:tcPr>
          <w:p>
            <w:pPr>
              <w:jc w:val="center"/>
              <w:rPr>
                <w:color w:val="auto"/>
                <w:kern w:val="21"/>
              </w:rPr>
            </w:pPr>
            <w:r>
              <w:rPr>
                <w:color w:val="auto"/>
                <w:kern w:val="21"/>
              </w:rPr>
              <w:t>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1，2-二氯乙烷</w:t>
            </w:r>
          </w:p>
        </w:tc>
        <w:tc>
          <w:tcPr>
            <w:tcW w:w="2602" w:type="dxa"/>
            <w:gridSpan w:val="2"/>
            <w:vAlign w:val="center"/>
          </w:tcPr>
          <w:p>
            <w:pPr>
              <w:jc w:val="center"/>
              <w:rPr>
                <w:color w:val="auto"/>
                <w:kern w:val="21"/>
              </w:rPr>
            </w:pPr>
            <w:r>
              <w:rPr>
                <w:color w:val="auto"/>
                <w:kern w:val="21"/>
              </w:rPr>
              <w:t>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1，1-二氯乙烯</w:t>
            </w:r>
          </w:p>
        </w:tc>
        <w:tc>
          <w:tcPr>
            <w:tcW w:w="2602" w:type="dxa"/>
            <w:gridSpan w:val="2"/>
            <w:vAlign w:val="center"/>
          </w:tcPr>
          <w:p>
            <w:pPr>
              <w:jc w:val="center"/>
              <w:rPr>
                <w:color w:val="auto"/>
                <w:kern w:val="21"/>
              </w:rPr>
            </w:pPr>
            <w:r>
              <w:rPr>
                <w:color w:val="auto"/>
                <w:kern w:val="21"/>
              </w:rPr>
              <w:t>66μg/kg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顺-1，2-二氯乙烯</w:t>
            </w:r>
          </w:p>
        </w:tc>
        <w:tc>
          <w:tcPr>
            <w:tcW w:w="2602" w:type="dxa"/>
            <w:gridSpan w:val="2"/>
            <w:vAlign w:val="center"/>
          </w:tcPr>
          <w:p>
            <w:pPr>
              <w:jc w:val="center"/>
              <w:rPr>
                <w:color w:val="auto"/>
                <w:kern w:val="21"/>
              </w:rPr>
            </w:pPr>
            <w:r>
              <w:rPr>
                <w:color w:val="auto"/>
                <w:kern w:val="21"/>
              </w:rPr>
              <w:t>596μg/kg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反-1，2-二氯乙烯</w:t>
            </w:r>
          </w:p>
        </w:tc>
        <w:tc>
          <w:tcPr>
            <w:tcW w:w="2602" w:type="dxa"/>
            <w:gridSpan w:val="2"/>
            <w:vAlign w:val="center"/>
          </w:tcPr>
          <w:p>
            <w:pPr>
              <w:jc w:val="center"/>
              <w:rPr>
                <w:color w:val="auto"/>
                <w:kern w:val="21"/>
              </w:rPr>
            </w:pPr>
            <w:r>
              <w:rPr>
                <w:color w:val="auto"/>
                <w:kern w:val="21"/>
              </w:rPr>
              <w:t>54μg/kg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二氯甲烷</w:t>
            </w:r>
          </w:p>
        </w:tc>
        <w:tc>
          <w:tcPr>
            <w:tcW w:w="2602" w:type="dxa"/>
            <w:gridSpan w:val="2"/>
            <w:vAlign w:val="center"/>
          </w:tcPr>
          <w:p>
            <w:pPr>
              <w:jc w:val="center"/>
              <w:rPr>
                <w:color w:val="auto"/>
                <w:kern w:val="21"/>
              </w:rPr>
            </w:pPr>
            <w:r>
              <w:rPr>
                <w:color w:val="auto"/>
                <w:kern w:val="21"/>
              </w:rPr>
              <w:t>616μg/kg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1，2-二氯丙烷</w:t>
            </w:r>
          </w:p>
        </w:tc>
        <w:tc>
          <w:tcPr>
            <w:tcW w:w="2602" w:type="dxa"/>
            <w:gridSpan w:val="2"/>
            <w:vAlign w:val="center"/>
          </w:tcPr>
          <w:p>
            <w:pPr>
              <w:jc w:val="center"/>
              <w:rPr>
                <w:color w:val="auto"/>
                <w:kern w:val="21"/>
              </w:rPr>
            </w:pPr>
            <w:r>
              <w:rPr>
                <w:color w:val="auto"/>
                <w:kern w:val="21"/>
              </w:rPr>
              <w:t>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1，1，1，2-四氯乙烷</w:t>
            </w:r>
          </w:p>
        </w:tc>
        <w:tc>
          <w:tcPr>
            <w:tcW w:w="2602" w:type="dxa"/>
            <w:gridSpan w:val="2"/>
            <w:vAlign w:val="center"/>
          </w:tcPr>
          <w:p>
            <w:pPr>
              <w:jc w:val="center"/>
              <w:rPr>
                <w:color w:val="auto"/>
                <w:kern w:val="21"/>
              </w:rPr>
            </w:pPr>
            <w:r>
              <w:rPr>
                <w:color w:val="auto"/>
                <w:kern w:val="21"/>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1，1，2，2-四氯乙烷</w:t>
            </w:r>
          </w:p>
        </w:tc>
        <w:tc>
          <w:tcPr>
            <w:tcW w:w="2602" w:type="dxa"/>
            <w:gridSpan w:val="2"/>
            <w:vAlign w:val="center"/>
          </w:tcPr>
          <w:p>
            <w:pPr>
              <w:jc w:val="center"/>
              <w:rPr>
                <w:color w:val="auto"/>
                <w:kern w:val="21"/>
              </w:rPr>
            </w:pPr>
            <w:r>
              <w:rPr>
                <w:color w:val="auto"/>
                <w:kern w:val="21"/>
              </w:rPr>
              <w:t>6.8μg/kg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四氯乙烯</w:t>
            </w:r>
          </w:p>
        </w:tc>
        <w:tc>
          <w:tcPr>
            <w:tcW w:w="2602" w:type="dxa"/>
            <w:gridSpan w:val="2"/>
            <w:vAlign w:val="center"/>
          </w:tcPr>
          <w:p>
            <w:pPr>
              <w:jc w:val="center"/>
              <w:rPr>
                <w:color w:val="auto"/>
                <w:kern w:val="21"/>
              </w:rPr>
            </w:pPr>
            <w:r>
              <w:rPr>
                <w:color w:val="auto"/>
                <w:kern w:val="21"/>
              </w:rPr>
              <w:t>53μg/kg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1，1，1-三氯乙烷</w:t>
            </w:r>
          </w:p>
        </w:tc>
        <w:tc>
          <w:tcPr>
            <w:tcW w:w="2602" w:type="dxa"/>
            <w:gridSpan w:val="2"/>
            <w:vAlign w:val="center"/>
          </w:tcPr>
          <w:p>
            <w:pPr>
              <w:jc w:val="center"/>
              <w:rPr>
                <w:color w:val="auto"/>
                <w:kern w:val="21"/>
              </w:rPr>
            </w:pPr>
            <w:r>
              <w:rPr>
                <w:color w:val="auto"/>
                <w:kern w:val="21"/>
              </w:rPr>
              <w:t>840μg/kg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1，1，2-三氯乙烷</w:t>
            </w:r>
          </w:p>
        </w:tc>
        <w:tc>
          <w:tcPr>
            <w:tcW w:w="2602" w:type="dxa"/>
            <w:gridSpan w:val="2"/>
            <w:vAlign w:val="center"/>
          </w:tcPr>
          <w:p>
            <w:pPr>
              <w:jc w:val="center"/>
              <w:rPr>
                <w:color w:val="auto"/>
                <w:kern w:val="21"/>
              </w:rPr>
            </w:pPr>
            <w:r>
              <w:rPr>
                <w:color w:val="auto"/>
                <w:kern w:val="21"/>
              </w:rPr>
              <w:t>2.8μg/kg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三氯乙烯</w:t>
            </w:r>
          </w:p>
        </w:tc>
        <w:tc>
          <w:tcPr>
            <w:tcW w:w="2602" w:type="dxa"/>
            <w:gridSpan w:val="2"/>
            <w:vAlign w:val="center"/>
          </w:tcPr>
          <w:p>
            <w:pPr>
              <w:jc w:val="center"/>
              <w:rPr>
                <w:color w:val="auto"/>
                <w:kern w:val="21"/>
              </w:rPr>
            </w:pPr>
            <w:r>
              <w:rPr>
                <w:color w:val="auto"/>
                <w:kern w:val="21"/>
              </w:rPr>
              <w:t>2.8μg/kg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1，2，3-三氯丙烷</w:t>
            </w:r>
          </w:p>
        </w:tc>
        <w:tc>
          <w:tcPr>
            <w:tcW w:w="2602" w:type="dxa"/>
            <w:gridSpan w:val="2"/>
            <w:vAlign w:val="center"/>
          </w:tcPr>
          <w:p>
            <w:pPr>
              <w:jc w:val="center"/>
              <w:rPr>
                <w:color w:val="auto"/>
                <w:kern w:val="21"/>
              </w:rPr>
            </w:pPr>
            <w:r>
              <w:rPr>
                <w:color w:val="auto"/>
                <w:kern w:val="21"/>
              </w:rPr>
              <w:t>0.5μg/kg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氯乙烯</w:t>
            </w:r>
          </w:p>
        </w:tc>
        <w:tc>
          <w:tcPr>
            <w:tcW w:w="2602" w:type="dxa"/>
            <w:gridSpan w:val="2"/>
            <w:vAlign w:val="center"/>
          </w:tcPr>
          <w:p>
            <w:pPr>
              <w:jc w:val="center"/>
              <w:rPr>
                <w:color w:val="auto"/>
                <w:kern w:val="21"/>
              </w:rPr>
            </w:pPr>
            <w:r>
              <w:rPr>
                <w:color w:val="auto"/>
                <w:kern w:val="21"/>
              </w:rPr>
              <w:t>0.43μg/kg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kern w:val="21"/>
              </w:rPr>
              <w:t>苯</w:t>
            </w:r>
          </w:p>
        </w:tc>
        <w:tc>
          <w:tcPr>
            <w:tcW w:w="2602" w:type="dxa"/>
            <w:gridSpan w:val="2"/>
            <w:vAlign w:val="center"/>
          </w:tcPr>
          <w:p>
            <w:pPr>
              <w:jc w:val="center"/>
              <w:rPr>
                <w:color w:val="auto"/>
                <w:kern w:val="21"/>
              </w:rPr>
            </w:pPr>
            <w:r>
              <w:rPr>
                <w:color w:val="auto"/>
                <w:kern w:val="21"/>
              </w:rPr>
              <w:t>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氯苯</w:t>
            </w:r>
          </w:p>
        </w:tc>
        <w:tc>
          <w:tcPr>
            <w:tcW w:w="2602" w:type="dxa"/>
            <w:gridSpan w:val="2"/>
            <w:vAlign w:val="center"/>
          </w:tcPr>
          <w:p>
            <w:pPr>
              <w:jc w:val="center"/>
              <w:rPr>
                <w:color w:val="auto"/>
                <w:kern w:val="21"/>
              </w:rPr>
            </w:pPr>
            <w:r>
              <w:rPr>
                <w:color w:val="auto"/>
                <w:kern w:val="21"/>
              </w:rPr>
              <w:t>270μg/kg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1，2-二氯苯</w:t>
            </w:r>
          </w:p>
        </w:tc>
        <w:tc>
          <w:tcPr>
            <w:tcW w:w="2602" w:type="dxa"/>
            <w:gridSpan w:val="2"/>
            <w:vAlign w:val="center"/>
          </w:tcPr>
          <w:p>
            <w:pPr>
              <w:jc w:val="center"/>
              <w:rPr>
                <w:color w:val="auto"/>
                <w:kern w:val="21"/>
              </w:rPr>
            </w:pPr>
            <w:r>
              <w:rPr>
                <w:color w:val="auto"/>
                <w:kern w:val="21"/>
              </w:rPr>
              <w:t>560μg/kg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1，4-二氯苯</w:t>
            </w:r>
          </w:p>
        </w:tc>
        <w:tc>
          <w:tcPr>
            <w:tcW w:w="2602" w:type="dxa"/>
            <w:gridSpan w:val="2"/>
            <w:vAlign w:val="center"/>
          </w:tcPr>
          <w:p>
            <w:pPr>
              <w:jc w:val="center"/>
              <w:rPr>
                <w:color w:val="auto"/>
                <w:kern w:val="21"/>
              </w:rPr>
            </w:pPr>
            <w:r>
              <w:rPr>
                <w:color w:val="auto"/>
                <w:kern w:val="21"/>
              </w:rPr>
              <w:t>20μg/kg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乙苯</w:t>
            </w:r>
          </w:p>
        </w:tc>
        <w:tc>
          <w:tcPr>
            <w:tcW w:w="2602" w:type="dxa"/>
            <w:gridSpan w:val="2"/>
            <w:vAlign w:val="center"/>
          </w:tcPr>
          <w:p>
            <w:pPr>
              <w:jc w:val="center"/>
              <w:rPr>
                <w:color w:val="auto"/>
                <w:kern w:val="21"/>
              </w:rPr>
            </w:pPr>
            <w:r>
              <w:rPr>
                <w:color w:val="auto"/>
                <w:kern w:val="21"/>
              </w:rPr>
              <w:t>28μg/kg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苯乙烯</w:t>
            </w:r>
          </w:p>
        </w:tc>
        <w:tc>
          <w:tcPr>
            <w:tcW w:w="2602" w:type="dxa"/>
            <w:gridSpan w:val="2"/>
            <w:vAlign w:val="center"/>
          </w:tcPr>
          <w:p>
            <w:pPr>
              <w:jc w:val="center"/>
              <w:rPr>
                <w:color w:val="auto"/>
                <w:kern w:val="21"/>
              </w:rPr>
            </w:pPr>
            <w:r>
              <w:rPr>
                <w:color w:val="auto"/>
                <w:kern w:val="21"/>
              </w:rPr>
              <w:t>1290μg/kg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甲苯</w:t>
            </w:r>
          </w:p>
        </w:tc>
        <w:tc>
          <w:tcPr>
            <w:tcW w:w="2602" w:type="dxa"/>
            <w:gridSpan w:val="2"/>
            <w:vAlign w:val="center"/>
          </w:tcPr>
          <w:p>
            <w:pPr>
              <w:jc w:val="center"/>
              <w:rPr>
                <w:color w:val="auto"/>
                <w:kern w:val="21"/>
              </w:rPr>
            </w:pPr>
            <w:r>
              <w:rPr>
                <w:color w:val="auto"/>
                <w:kern w:val="21"/>
              </w:rPr>
              <w:t>1200μg/kg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邻二甲苯</w:t>
            </w:r>
          </w:p>
        </w:tc>
        <w:tc>
          <w:tcPr>
            <w:tcW w:w="2602" w:type="dxa"/>
            <w:gridSpan w:val="2"/>
            <w:vAlign w:val="center"/>
          </w:tcPr>
          <w:p>
            <w:pPr>
              <w:jc w:val="center"/>
              <w:rPr>
                <w:color w:val="auto"/>
                <w:kern w:val="21"/>
              </w:rPr>
            </w:pPr>
            <w:r>
              <w:rPr>
                <w:color w:val="auto"/>
                <w:kern w:val="21"/>
              </w:rPr>
              <w:t>570μg/kg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间+对二甲苯</w:t>
            </w:r>
          </w:p>
        </w:tc>
        <w:tc>
          <w:tcPr>
            <w:tcW w:w="2602" w:type="dxa"/>
            <w:gridSpan w:val="2"/>
            <w:vAlign w:val="center"/>
          </w:tcPr>
          <w:p>
            <w:pPr>
              <w:jc w:val="center"/>
              <w:rPr>
                <w:color w:val="auto"/>
                <w:kern w:val="21"/>
              </w:rPr>
            </w:pPr>
            <w:r>
              <w:rPr>
                <w:color w:val="auto"/>
                <w:kern w:val="21"/>
              </w:rPr>
              <w:t>640μg/kg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硝基苯</w:t>
            </w:r>
          </w:p>
        </w:tc>
        <w:tc>
          <w:tcPr>
            <w:tcW w:w="2602" w:type="dxa"/>
            <w:gridSpan w:val="2"/>
            <w:vAlign w:val="center"/>
          </w:tcPr>
          <w:p>
            <w:pPr>
              <w:jc w:val="center"/>
              <w:rPr>
                <w:color w:val="auto"/>
                <w:kern w:val="21"/>
              </w:rPr>
            </w:pPr>
            <w:r>
              <w:rPr>
                <w:color w:val="auto"/>
                <w:kern w:val="21"/>
              </w:rPr>
              <w:t>76mg/kg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苯胺</w:t>
            </w:r>
          </w:p>
        </w:tc>
        <w:tc>
          <w:tcPr>
            <w:tcW w:w="2602" w:type="dxa"/>
            <w:gridSpan w:val="2"/>
            <w:vAlign w:val="center"/>
          </w:tcPr>
          <w:p>
            <w:pPr>
              <w:jc w:val="center"/>
              <w:rPr>
                <w:color w:val="auto"/>
                <w:kern w:val="21"/>
              </w:rPr>
            </w:pPr>
            <w:r>
              <w:rPr>
                <w:color w:val="auto"/>
                <w:kern w:val="21"/>
              </w:rPr>
              <w:t>92mg/kg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2-氯酚</w:t>
            </w:r>
          </w:p>
        </w:tc>
        <w:tc>
          <w:tcPr>
            <w:tcW w:w="2602" w:type="dxa"/>
            <w:gridSpan w:val="2"/>
            <w:vAlign w:val="center"/>
          </w:tcPr>
          <w:p>
            <w:pPr>
              <w:jc w:val="center"/>
              <w:rPr>
                <w:color w:val="auto"/>
                <w:kern w:val="21"/>
              </w:rPr>
            </w:pPr>
            <w:r>
              <w:rPr>
                <w:color w:val="auto"/>
                <w:kern w:val="21"/>
              </w:rPr>
              <w:t>2256mg/kg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苯并[a]蒽</w:t>
            </w:r>
          </w:p>
        </w:tc>
        <w:tc>
          <w:tcPr>
            <w:tcW w:w="2602" w:type="dxa"/>
            <w:gridSpan w:val="2"/>
            <w:vAlign w:val="center"/>
          </w:tcPr>
          <w:p>
            <w:pPr>
              <w:jc w:val="center"/>
              <w:rPr>
                <w:color w:val="auto"/>
                <w:kern w:val="21"/>
              </w:rPr>
            </w:pPr>
            <w:r>
              <w:rPr>
                <w:color w:val="auto"/>
                <w:kern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苯并[a]芘</w:t>
            </w:r>
          </w:p>
        </w:tc>
        <w:tc>
          <w:tcPr>
            <w:tcW w:w="2602" w:type="dxa"/>
            <w:gridSpan w:val="2"/>
            <w:vAlign w:val="center"/>
          </w:tcPr>
          <w:p>
            <w:pPr>
              <w:jc w:val="center"/>
              <w:rPr>
                <w:color w:val="auto"/>
                <w:kern w:val="21"/>
              </w:rPr>
            </w:pPr>
            <w:r>
              <w:rPr>
                <w:color w:val="auto"/>
                <w:kern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苯并[b]荧蒽</w:t>
            </w:r>
          </w:p>
        </w:tc>
        <w:tc>
          <w:tcPr>
            <w:tcW w:w="2602" w:type="dxa"/>
            <w:gridSpan w:val="2"/>
            <w:vAlign w:val="center"/>
          </w:tcPr>
          <w:p>
            <w:pPr>
              <w:jc w:val="center"/>
              <w:rPr>
                <w:color w:val="auto"/>
                <w:kern w:val="21"/>
              </w:rPr>
            </w:pPr>
            <w:r>
              <w:rPr>
                <w:color w:val="auto"/>
                <w:kern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苯并[k]荧蒽</w:t>
            </w:r>
          </w:p>
        </w:tc>
        <w:tc>
          <w:tcPr>
            <w:tcW w:w="2602" w:type="dxa"/>
            <w:gridSpan w:val="2"/>
            <w:vAlign w:val="center"/>
          </w:tcPr>
          <w:p>
            <w:pPr>
              <w:jc w:val="center"/>
              <w:rPr>
                <w:color w:val="auto"/>
                <w:kern w:val="21"/>
              </w:rPr>
            </w:pPr>
            <w:r>
              <w:rPr>
                <w:color w:val="auto"/>
                <w:kern w:val="21"/>
              </w:rPr>
              <w:t>151μg/kg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kern w:val="21"/>
              </w:rPr>
              <w:t>䓛</w:t>
            </w:r>
          </w:p>
        </w:tc>
        <w:tc>
          <w:tcPr>
            <w:tcW w:w="2602" w:type="dxa"/>
            <w:gridSpan w:val="2"/>
            <w:vAlign w:val="center"/>
          </w:tcPr>
          <w:p>
            <w:pPr>
              <w:jc w:val="center"/>
              <w:rPr>
                <w:color w:val="auto"/>
                <w:kern w:val="21"/>
              </w:rPr>
            </w:pPr>
            <w:r>
              <w:rPr>
                <w:color w:val="auto"/>
                <w:kern w:val="21"/>
              </w:rPr>
              <w:t>1293μg/kg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二苯并[a，h]蒽</w:t>
            </w:r>
          </w:p>
        </w:tc>
        <w:tc>
          <w:tcPr>
            <w:tcW w:w="2602" w:type="dxa"/>
            <w:gridSpan w:val="2"/>
            <w:vAlign w:val="center"/>
          </w:tcPr>
          <w:p>
            <w:pPr>
              <w:jc w:val="center"/>
              <w:rPr>
                <w:color w:val="auto"/>
                <w:kern w:val="21"/>
              </w:rPr>
            </w:pPr>
            <w:r>
              <w:rPr>
                <w:color w:val="auto"/>
                <w:kern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jc w:val="center"/>
              <w:rPr>
                <w:color w:val="auto"/>
                <w:kern w:val="21"/>
              </w:rPr>
            </w:pPr>
            <w:r>
              <w:rPr>
                <w:color w:val="auto"/>
                <w:kern w:val="21"/>
              </w:rPr>
              <w:t>茚并[1，2，3-cd]芘</w:t>
            </w:r>
          </w:p>
        </w:tc>
        <w:tc>
          <w:tcPr>
            <w:tcW w:w="2602" w:type="dxa"/>
            <w:gridSpan w:val="2"/>
            <w:vAlign w:val="center"/>
          </w:tcPr>
          <w:p>
            <w:pPr>
              <w:jc w:val="center"/>
              <w:rPr>
                <w:color w:val="auto"/>
                <w:kern w:val="21"/>
              </w:rPr>
            </w:pPr>
            <w:r>
              <w:rPr>
                <w:color w:val="auto"/>
                <w:kern w:val="21"/>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kern w:val="21"/>
              </w:rPr>
              <w:t>萘</w:t>
            </w:r>
          </w:p>
        </w:tc>
        <w:tc>
          <w:tcPr>
            <w:tcW w:w="2602" w:type="dxa"/>
            <w:gridSpan w:val="2"/>
            <w:vAlign w:val="center"/>
          </w:tcPr>
          <w:p>
            <w:pPr>
              <w:jc w:val="center"/>
              <w:rPr>
                <w:color w:val="auto"/>
                <w:kern w:val="21"/>
              </w:rPr>
            </w:pPr>
            <w:r>
              <w:rPr>
                <w:color w:val="auto"/>
                <w:kern w:val="21"/>
              </w:rPr>
              <w:t>70μg/kg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kern w:val="21"/>
              </w:rPr>
              <w:t>p</w:t>
            </w:r>
            <w:r>
              <w:rPr>
                <w:rFonts w:hint="eastAsia"/>
                <w:color w:val="auto"/>
                <w:kern w:val="21"/>
              </w:rPr>
              <w:t>H</w:t>
            </w:r>
          </w:p>
        </w:tc>
        <w:tc>
          <w:tcPr>
            <w:tcW w:w="2602" w:type="dxa"/>
            <w:gridSpan w:val="2"/>
            <w:vAlign w:val="center"/>
          </w:tcPr>
          <w:p>
            <w:pPr>
              <w:jc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kern w:val="21"/>
              </w:rPr>
              <w:t>锌</w:t>
            </w:r>
          </w:p>
        </w:tc>
        <w:tc>
          <w:tcPr>
            <w:tcW w:w="2602" w:type="dxa"/>
            <w:gridSpan w:val="2"/>
            <w:vAlign w:val="center"/>
          </w:tcPr>
          <w:p>
            <w:pPr>
              <w:jc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restart"/>
            <w:vAlign w:val="center"/>
          </w:tcPr>
          <w:p>
            <w:pPr>
              <w:pStyle w:val="421"/>
              <w:spacing w:before="120"/>
              <w:rPr>
                <w:color w:val="auto"/>
              </w:rPr>
            </w:pPr>
            <w:r>
              <w:rPr>
                <w:color w:val="auto"/>
              </w:rPr>
              <w:t>《土壤环境质量-农用地土壤污染风险管控标准（试行）》（GB15618-2018）表1基本项目pH≥7.5其他</w:t>
            </w:r>
          </w:p>
        </w:tc>
        <w:tc>
          <w:tcPr>
            <w:tcW w:w="1980" w:type="dxa"/>
            <w:vAlign w:val="center"/>
          </w:tcPr>
          <w:p>
            <w:pPr>
              <w:adjustRightInd w:val="0"/>
              <w:snapToGrid w:val="0"/>
              <w:jc w:val="center"/>
              <w:rPr>
                <w:color w:val="auto"/>
                <w:kern w:val="21"/>
              </w:rPr>
            </w:pPr>
            <w:r>
              <w:rPr>
                <w:color w:val="auto"/>
              </w:rPr>
              <w:t>铬</w:t>
            </w:r>
          </w:p>
        </w:tc>
        <w:tc>
          <w:tcPr>
            <w:tcW w:w="2602" w:type="dxa"/>
            <w:gridSpan w:val="2"/>
            <w:vAlign w:val="center"/>
          </w:tcPr>
          <w:p>
            <w:pPr>
              <w:jc w:val="center"/>
              <w:rPr>
                <w:color w:val="auto"/>
                <w:kern w:val="21"/>
              </w:rPr>
            </w:pPr>
            <w:r>
              <w:rPr>
                <w:color w:val="auto"/>
              </w:rPr>
              <w:t>250mg/kg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rPr>
              <w:t>镍</w:t>
            </w:r>
          </w:p>
        </w:tc>
        <w:tc>
          <w:tcPr>
            <w:tcW w:w="2602" w:type="dxa"/>
            <w:gridSpan w:val="2"/>
            <w:vAlign w:val="center"/>
          </w:tcPr>
          <w:p>
            <w:pPr>
              <w:jc w:val="center"/>
              <w:rPr>
                <w:color w:val="auto"/>
                <w:kern w:val="21"/>
              </w:rPr>
            </w:pPr>
            <w:r>
              <w:rPr>
                <w:color w:val="auto"/>
              </w:rPr>
              <w:t>190mg/kg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98" w:type="dxa"/>
            <w:vMerge w:val="continue"/>
            <w:vAlign w:val="center"/>
          </w:tcPr>
          <w:p>
            <w:pPr>
              <w:jc w:val="center"/>
              <w:rPr>
                <w:color w:val="auto"/>
                <w:kern w:val="21"/>
              </w:rPr>
            </w:pPr>
          </w:p>
        </w:tc>
        <w:tc>
          <w:tcPr>
            <w:tcW w:w="2624" w:type="dxa"/>
            <w:gridSpan w:val="2"/>
            <w:vMerge w:val="continue"/>
            <w:vAlign w:val="center"/>
          </w:tcPr>
          <w:p>
            <w:pPr>
              <w:jc w:val="center"/>
              <w:rPr>
                <w:color w:val="auto"/>
                <w:kern w:val="21"/>
              </w:rPr>
            </w:pPr>
          </w:p>
        </w:tc>
        <w:tc>
          <w:tcPr>
            <w:tcW w:w="1980" w:type="dxa"/>
            <w:vAlign w:val="center"/>
          </w:tcPr>
          <w:p>
            <w:pPr>
              <w:adjustRightInd w:val="0"/>
              <w:snapToGrid w:val="0"/>
              <w:jc w:val="center"/>
              <w:rPr>
                <w:color w:val="auto"/>
                <w:kern w:val="21"/>
              </w:rPr>
            </w:pPr>
            <w:r>
              <w:rPr>
                <w:color w:val="auto"/>
              </w:rPr>
              <w:t>锌</w:t>
            </w:r>
          </w:p>
        </w:tc>
        <w:tc>
          <w:tcPr>
            <w:tcW w:w="2602" w:type="dxa"/>
            <w:gridSpan w:val="2"/>
            <w:vAlign w:val="center"/>
          </w:tcPr>
          <w:p>
            <w:pPr>
              <w:jc w:val="center"/>
              <w:rPr>
                <w:color w:val="auto"/>
                <w:kern w:val="21"/>
              </w:rPr>
            </w:pPr>
            <w:r>
              <w:rPr>
                <w:color w:val="auto"/>
              </w:rPr>
              <w:t>300mg/kg</w:t>
            </w:r>
          </w:p>
        </w:tc>
      </w:tr>
    </w:tbl>
    <w:p>
      <w:pPr>
        <w:pStyle w:val="33"/>
        <w:ind w:left="0" w:leftChars="0"/>
        <w:rPr>
          <w:color w:val="auto"/>
          <w:kern w:val="21"/>
        </w:rPr>
      </w:pP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2.</w:t>
      </w:r>
      <w:r>
        <w:rPr>
          <w:rFonts w:hint="eastAsia"/>
          <w:bCs w:val="0"/>
          <w:color w:val="auto"/>
          <w:kern w:val="21"/>
          <w:sz w:val="28"/>
          <w:szCs w:val="28"/>
        </w:rPr>
        <w:t>4</w:t>
      </w:r>
      <w:r>
        <w:rPr>
          <w:bCs w:val="0"/>
          <w:color w:val="auto"/>
          <w:kern w:val="21"/>
          <w:sz w:val="28"/>
          <w:szCs w:val="28"/>
        </w:rPr>
        <w:t>.2污染物排放标准</w:t>
      </w:r>
    </w:p>
    <w:p>
      <w:pPr>
        <w:adjustRightInd w:val="0"/>
        <w:snapToGrid w:val="0"/>
        <w:jc w:val="center"/>
        <w:rPr>
          <w:rFonts w:eastAsia="黑体"/>
          <w:bCs/>
          <w:color w:val="auto"/>
          <w:kern w:val="21"/>
          <w:sz w:val="24"/>
        </w:rPr>
      </w:pPr>
      <w:r>
        <w:rPr>
          <w:rFonts w:eastAsia="黑体"/>
          <w:bCs/>
          <w:color w:val="auto"/>
          <w:kern w:val="21"/>
          <w:sz w:val="24"/>
        </w:rPr>
        <w:t>表2.</w:t>
      </w:r>
      <w:r>
        <w:rPr>
          <w:rFonts w:hint="eastAsia" w:eastAsia="黑体"/>
          <w:bCs/>
          <w:color w:val="auto"/>
          <w:kern w:val="21"/>
          <w:sz w:val="24"/>
        </w:rPr>
        <w:t>4</w:t>
      </w:r>
      <w:r>
        <w:rPr>
          <w:rFonts w:eastAsia="黑体"/>
          <w:bCs/>
          <w:color w:val="auto"/>
          <w:kern w:val="21"/>
          <w:sz w:val="24"/>
        </w:rPr>
        <w:t>-</w:t>
      </w:r>
      <w:r>
        <w:rPr>
          <w:rFonts w:hint="eastAsia" w:eastAsia="黑体"/>
          <w:bCs/>
          <w:color w:val="auto"/>
          <w:kern w:val="21"/>
          <w:sz w:val="24"/>
        </w:rPr>
        <w:t>2</w:t>
      </w:r>
      <w:r>
        <w:rPr>
          <w:rFonts w:eastAsia="黑体"/>
          <w:bCs/>
          <w:color w:val="auto"/>
          <w:kern w:val="21"/>
          <w:sz w:val="24"/>
        </w:rPr>
        <w:t xml:space="preserve">  污染物排放标准一览表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2961"/>
        <w:gridCol w:w="2313"/>
        <w:gridCol w:w="24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Align w:val="center"/>
          </w:tcPr>
          <w:p>
            <w:pPr>
              <w:adjustRightInd w:val="0"/>
              <w:snapToGrid w:val="0"/>
              <w:jc w:val="center"/>
              <w:rPr>
                <w:b/>
                <w:bCs/>
                <w:color w:val="auto"/>
                <w:kern w:val="21"/>
              </w:rPr>
            </w:pPr>
            <w:r>
              <w:rPr>
                <w:b/>
                <w:bCs/>
                <w:color w:val="auto"/>
                <w:kern w:val="21"/>
              </w:rPr>
              <w:t>污染因素</w:t>
            </w:r>
          </w:p>
        </w:tc>
        <w:tc>
          <w:tcPr>
            <w:tcW w:w="2961" w:type="dxa"/>
            <w:vAlign w:val="center"/>
          </w:tcPr>
          <w:p>
            <w:pPr>
              <w:adjustRightInd w:val="0"/>
              <w:snapToGrid w:val="0"/>
              <w:jc w:val="center"/>
              <w:rPr>
                <w:b/>
                <w:bCs/>
                <w:color w:val="auto"/>
                <w:kern w:val="21"/>
              </w:rPr>
            </w:pPr>
            <w:r>
              <w:rPr>
                <w:b/>
                <w:bCs/>
                <w:color w:val="auto"/>
                <w:kern w:val="21"/>
              </w:rPr>
              <w:t>执行标准及级别</w:t>
            </w:r>
          </w:p>
        </w:tc>
        <w:tc>
          <w:tcPr>
            <w:tcW w:w="2313" w:type="dxa"/>
            <w:vAlign w:val="center"/>
          </w:tcPr>
          <w:p>
            <w:pPr>
              <w:adjustRightInd w:val="0"/>
              <w:snapToGrid w:val="0"/>
              <w:jc w:val="center"/>
              <w:rPr>
                <w:b/>
                <w:bCs/>
                <w:color w:val="auto"/>
                <w:kern w:val="21"/>
              </w:rPr>
            </w:pPr>
            <w:r>
              <w:rPr>
                <w:b/>
                <w:bCs/>
                <w:color w:val="auto"/>
                <w:kern w:val="21"/>
              </w:rPr>
              <w:t>项目</w:t>
            </w:r>
          </w:p>
        </w:tc>
        <w:tc>
          <w:tcPr>
            <w:tcW w:w="2409" w:type="dxa"/>
            <w:vAlign w:val="center"/>
          </w:tcPr>
          <w:p>
            <w:pPr>
              <w:adjustRightInd w:val="0"/>
              <w:snapToGrid w:val="0"/>
              <w:jc w:val="center"/>
              <w:rPr>
                <w:b/>
                <w:bCs/>
                <w:color w:val="auto"/>
                <w:kern w:val="21"/>
              </w:rPr>
            </w:pPr>
            <w:r>
              <w:rPr>
                <w:b/>
                <w:bCs/>
                <w:color w:val="auto"/>
                <w:kern w:val="21"/>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restart"/>
            <w:vAlign w:val="center"/>
          </w:tcPr>
          <w:p>
            <w:pPr>
              <w:adjustRightInd w:val="0"/>
              <w:snapToGrid w:val="0"/>
              <w:jc w:val="center"/>
              <w:rPr>
                <w:color w:val="auto"/>
                <w:kern w:val="21"/>
              </w:rPr>
            </w:pPr>
            <w:r>
              <w:rPr>
                <w:color w:val="auto"/>
                <w:kern w:val="21"/>
              </w:rPr>
              <w:t>大气</w:t>
            </w:r>
          </w:p>
        </w:tc>
        <w:tc>
          <w:tcPr>
            <w:tcW w:w="2961" w:type="dxa"/>
            <w:vAlign w:val="center"/>
          </w:tcPr>
          <w:p>
            <w:pPr>
              <w:pStyle w:val="377"/>
              <w:adjustRightInd w:val="0"/>
              <w:snapToGrid w:val="0"/>
              <w:jc w:val="center"/>
              <w:rPr>
                <w:color w:val="auto"/>
                <w:kern w:val="21"/>
              </w:rPr>
            </w:pPr>
            <w:r>
              <w:rPr>
                <w:color w:val="auto"/>
                <w:kern w:val="21"/>
              </w:rPr>
              <w:t>《电镀污染物排放标准》（GB21900-2008）表5 排</w:t>
            </w:r>
          </w:p>
          <w:p>
            <w:pPr>
              <w:pStyle w:val="377"/>
              <w:adjustRightInd w:val="0"/>
              <w:snapToGrid w:val="0"/>
              <w:jc w:val="center"/>
              <w:rPr>
                <w:color w:val="auto"/>
                <w:kern w:val="21"/>
              </w:rPr>
            </w:pPr>
            <w:r>
              <w:rPr>
                <w:color w:val="auto"/>
                <w:kern w:val="21"/>
              </w:rPr>
              <w:t>放浓度限值</w:t>
            </w:r>
          </w:p>
        </w:tc>
        <w:tc>
          <w:tcPr>
            <w:tcW w:w="2313" w:type="dxa"/>
            <w:vAlign w:val="center"/>
          </w:tcPr>
          <w:p>
            <w:pPr>
              <w:pStyle w:val="377"/>
              <w:adjustRightInd w:val="0"/>
              <w:snapToGrid w:val="0"/>
              <w:jc w:val="center"/>
              <w:rPr>
                <w:color w:val="auto"/>
                <w:kern w:val="21"/>
              </w:rPr>
            </w:pPr>
            <w:r>
              <w:rPr>
                <w:color w:val="auto"/>
                <w:kern w:val="21"/>
              </w:rPr>
              <w:t>氯化氢</w:t>
            </w:r>
          </w:p>
        </w:tc>
        <w:tc>
          <w:tcPr>
            <w:tcW w:w="2409" w:type="dxa"/>
            <w:vAlign w:val="center"/>
          </w:tcPr>
          <w:p>
            <w:pPr>
              <w:adjustRightInd w:val="0"/>
              <w:snapToGrid w:val="0"/>
              <w:jc w:val="center"/>
              <w:rPr>
                <w:color w:val="auto"/>
                <w:kern w:val="21"/>
              </w:rPr>
            </w:pPr>
            <w:r>
              <w:rPr>
                <w:color w:val="auto"/>
                <w:kern w:val="21"/>
              </w:rPr>
              <w:t xml:space="preserve"> 30mg/m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restart"/>
            <w:vAlign w:val="center"/>
          </w:tcPr>
          <w:p>
            <w:pPr>
              <w:pStyle w:val="377"/>
              <w:adjustRightInd w:val="0"/>
              <w:snapToGrid w:val="0"/>
              <w:jc w:val="center"/>
              <w:rPr>
                <w:color w:val="auto"/>
                <w:kern w:val="21"/>
              </w:rPr>
            </w:pPr>
            <w:r>
              <w:rPr>
                <w:color w:val="auto"/>
                <w:kern w:val="21"/>
              </w:rPr>
              <w:t>《电镀污染物排放标准》（GB21900-2008）表6单位产品基准排气量</w:t>
            </w:r>
          </w:p>
        </w:tc>
        <w:tc>
          <w:tcPr>
            <w:tcW w:w="2313" w:type="dxa"/>
            <w:vAlign w:val="center"/>
          </w:tcPr>
          <w:p>
            <w:pPr>
              <w:pStyle w:val="377"/>
              <w:adjustRightInd w:val="0"/>
              <w:snapToGrid w:val="0"/>
              <w:jc w:val="center"/>
              <w:rPr>
                <w:color w:val="auto"/>
                <w:kern w:val="21"/>
              </w:rPr>
            </w:pPr>
            <w:r>
              <w:rPr>
                <w:color w:val="auto"/>
                <w:kern w:val="21"/>
              </w:rPr>
              <w:t>镀锌</w:t>
            </w:r>
          </w:p>
        </w:tc>
        <w:tc>
          <w:tcPr>
            <w:tcW w:w="2409" w:type="dxa"/>
            <w:vAlign w:val="center"/>
          </w:tcPr>
          <w:p>
            <w:pPr>
              <w:adjustRightInd w:val="0"/>
              <w:snapToGrid w:val="0"/>
              <w:jc w:val="center"/>
              <w:rPr>
                <w:color w:val="auto"/>
                <w:kern w:val="21"/>
              </w:rPr>
            </w:pPr>
            <w:r>
              <w:rPr>
                <w:color w:val="auto"/>
                <w:kern w:val="21"/>
              </w:rPr>
              <w:t>基准排气量</w:t>
            </w:r>
            <w:r>
              <w:rPr>
                <w:rFonts w:hint="eastAsia"/>
                <w:color w:val="auto"/>
                <w:kern w:val="21"/>
              </w:rPr>
              <w:t>18.6</w:t>
            </w:r>
            <w:r>
              <w:rPr>
                <w:color w:val="auto"/>
                <w:kern w:val="21"/>
              </w:rPr>
              <w:t>m</w:t>
            </w:r>
            <w:r>
              <w:rPr>
                <w:color w:val="auto"/>
                <w:kern w:val="21"/>
                <w:vertAlign w:val="superscript"/>
              </w:rPr>
              <w:t>3</w:t>
            </w:r>
            <w:r>
              <w:rPr>
                <w:color w:val="auto"/>
                <w:kern w:val="21"/>
              </w:rPr>
              <w:t>/m</w:t>
            </w:r>
            <w:r>
              <w:rPr>
                <w:color w:val="auto"/>
                <w:kern w:val="21"/>
                <w:vertAlign w:val="superscript"/>
              </w:rPr>
              <w:t>2</w:t>
            </w:r>
            <w:r>
              <w:rPr>
                <w:color w:val="auto"/>
                <w:kern w:val="21"/>
              </w:rPr>
              <w:t>（镀件镀层）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kern w:val="21"/>
              </w:rPr>
            </w:pPr>
          </w:p>
        </w:tc>
        <w:tc>
          <w:tcPr>
            <w:tcW w:w="2313" w:type="dxa"/>
            <w:vAlign w:val="center"/>
          </w:tcPr>
          <w:p>
            <w:pPr>
              <w:pStyle w:val="377"/>
              <w:adjustRightInd w:val="0"/>
              <w:snapToGrid w:val="0"/>
              <w:jc w:val="center"/>
              <w:rPr>
                <w:color w:val="auto"/>
                <w:kern w:val="21"/>
              </w:rPr>
            </w:pPr>
            <w:r>
              <w:rPr>
                <w:color w:val="auto"/>
                <w:kern w:val="21"/>
              </w:rPr>
              <w:t>其他镀种（镀镍）</w:t>
            </w:r>
          </w:p>
        </w:tc>
        <w:tc>
          <w:tcPr>
            <w:tcW w:w="2409" w:type="dxa"/>
            <w:vAlign w:val="center"/>
          </w:tcPr>
          <w:p>
            <w:pPr>
              <w:adjustRightInd w:val="0"/>
              <w:snapToGrid w:val="0"/>
              <w:jc w:val="center"/>
              <w:rPr>
                <w:color w:val="auto"/>
                <w:kern w:val="21"/>
              </w:rPr>
            </w:pPr>
            <w:r>
              <w:rPr>
                <w:color w:val="auto"/>
                <w:kern w:val="21"/>
              </w:rPr>
              <w:t>基准排气量37.3m</w:t>
            </w:r>
            <w:r>
              <w:rPr>
                <w:color w:val="auto"/>
                <w:kern w:val="21"/>
                <w:vertAlign w:val="superscript"/>
              </w:rPr>
              <w:t>3</w:t>
            </w:r>
            <w:r>
              <w:rPr>
                <w:color w:val="auto"/>
                <w:kern w:val="21"/>
              </w:rPr>
              <w:t>/m</w:t>
            </w:r>
            <w:r>
              <w:rPr>
                <w:color w:val="auto"/>
                <w:kern w:val="21"/>
                <w:vertAlign w:val="superscript"/>
              </w:rPr>
              <w:t>2</w:t>
            </w:r>
            <w:r>
              <w:rPr>
                <w:color w:val="auto"/>
                <w:kern w:val="21"/>
              </w:rPr>
              <w:t>（镀件镀层）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restart"/>
            <w:vAlign w:val="center"/>
          </w:tcPr>
          <w:p>
            <w:pPr>
              <w:pStyle w:val="377"/>
              <w:adjustRightInd w:val="0"/>
              <w:snapToGrid w:val="0"/>
              <w:jc w:val="center"/>
              <w:rPr>
                <w:color w:val="auto"/>
                <w:kern w:val="21"/>
              </w:rPr>
            </w:pPr>
            <w:r>
              <w:rPr>
                <w:color w:val="auto"/>
                <w:kern w:val="21"/>
              </w:rPr>
              <w:t>《大气污染物综合排放标准》（GB16297-1996）表</w:t>
            </w:r>
            <w:r>
              <w:rPr>
                <w:rFonts w:hint="eastAsia"/>
                <w:color w:val="auto"/>
                <w:kern w:val="21"/>
              </w:rPr>
              <w:t>2</w:t>
            </w:r>
          </w:p>
        </w:tc>
        <w:tc>
          <w:tcPr>
            <w:tcW w:w="2313" w:type="dxa"/>
            <w:vAlign w:val="center"/>
          </w:tcPr>
          <w:p>
            <w:pPr>
              <w:pStyle w:val="377"/>
              <w:adjustRightInd w:val="0"/>
              <w:snapToGrid w:val="0"/>
              <w:jc w:val="center"/>
              <w:rPr>
                <w:color w:val="auto"/>
                <w:kern w:val="21"/>
              </w:rPr>
            </w:pPr>
            <w:r>
              <w:rPr>
                <w:color w:val="auto"/>
                <w:kern w:val="21"/>
              </w:rPr>
              <w:t>氯化氢（无组织）</w:t>
            </w:r>
          </w:p>
        </w:tc>
        <w:tc>
          <w:tcPr>
            <w:tcW w:w="2409" w:type="dxa"/>
            <w:vAlign w:val="center"/>
          </w:tcPr>
          <w:p>
            <w:pPr>
              <w:adjustRightInd w:val="0"/>
              <w:snapToGrid w:val="0"/>
              <w:jc w:val="center"/>
              <w:rPr>
                <w:color w:val="auto"/>
                <w:kern w:val="21"/>
              </w:rPr>
            </w:pPr>
            <w:r>
              <w:rPr>
                <w:rFonts w:hint="eastAsia"/>
                <w:color w:val="auto"/>
                <w:kern w:val="21"/>
              </w:rPr>
              <w:t>0.2</w:t>
            </w:r>
            <w:r>
              <w:rPr>
                <w:color w:val="auto"/>
                <w:kern w:val="21"/>
              </w:rPr>
              <w:t>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kern w:val="21"/>
              </w:rPr>
            </w:pPr>
          </w:p>
        </w:tc>
        <w:tc>
          <w:tcPr>
            <w:tcW w:w="2313" w:type="dxa"/>
            <w:vAlign w:val="center"/>
          </w:tcPr>
          <w:p>
            <w:pPr>
              <w:pStyle w:val="377"/>
              <w:adjustRightInd w:val="0"/>
              <w:snapToGrid w:val="0"/>
              <w:jc w:val="center"/>
              <w:rPr>
                <w:color w:val="auto"/>
                <w:kern w:val="21"/>
              </w:rPr>
            </w:pPr>
            <w:r>
              <w:rPr>
                <w:color w:val="auto"/>
                <w:kern w:val="21"/>
              </w:rPr>
              <w:t>颗粒物（无组织）</w:t>
            </w:r>
          </w:p>
        </w:tc>
        <w:tc>
          <w:tcPr>
            <w:tcW w:w="2409" w:type="dxa"/>
            <w:vAlign w:val="center"/>
          </w:tcPr>
          <w:p>
            <w:pPr>
              <w:adjustRightInd w:val="0"/>
              <w:snapToGrid w:val="0"/>
              <w:jc w:val="center"/>
              <w:rPr>
                <w:color w:val="auto"/>
                <w:kern w:val="21"/>
              </w:rPr>
            </w:pPr>
            <w:r>
              <w:rPr>
                <w:rFonts w:hint="eastAsia"/>
                <w:color w:val="auto"/>
                <w:kern w:val="21"/>
              </w:rPr>
              <w:t>1.0</w:t>
            </w:r>
            <w:r>
              <w:rPr>
                <w:color w:val="auto"/>
                <w:kern w:val="21"/>
              </w:rPr>
              <w:t>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restart"/>
            <w:vAlign w:val="center"/>
          </w:tcPr>
          <w:p>
            <w:pPr>
              <w:pStyle w:val="377"/>
              <w:adjustRightInd w:val="0"/>
              <w:snapToGrid w:val="0"/>
              <w:jc w:val="center"/>
              <w:rPr>
                <w:color w:val="auto"/>
                <w:kern w:val="21"/>
              </w:rPr>
            </w:pPr>
            <w:r>
              <w:rPr>
                <w:color w:val="auto"/>
                <w:kern w:val="21"/>
              </w:rPr>
              <w:t xml:space="preserve">《锅炉大气污染物排放标准》（DB41/2089-2021）表1 </w:t>
            </w:r>
          </w:p>
        </w:tc>
        <w:tc>
          <w:tcPr>
            <w:tcW w:w="2313" w:type="dxa"/>
            <w:vAlign w:val="center"/>
          </w:tcPr>
          <w:p>
            <w:pPr>
              <w:pStyle w:val="377"/>
              <w:adjustRightInd w:val="0"/>
              <w:snapToGrid w:val="0"/>
              <w:jc w:val="center"/>
              <w:rPr>
                <w:color w:val="auto"/>
                <w:kern w:val="21"/>
              </w:rPr>
            </w:pPr>
            <w:r>
              <w:rPr>
                <w:color w:val="auto"/>
                <w:kern w:val="21"/>
              </w:rPr>
              <w:t>烟尘</w:t>
            </w:r>
          </w:p>
        </w:tc>
        <w:tc>
          <w:tcPr>
            <w:tcW w:w="2409" w:type="dxa"/>
            <w:vAlign w:val="center"/>
          </w:tcPr>
          <w:p>
            <w:pPr>
              <w:adjustRightInd w:val="0"/>
              <w:snapToGrid w:val="0"/>
              <w:jc w:val="center"/>
              <w:rPr>
                <w:color w:val="auto"/>
                <w:kern w:val="21"/>
              </w:rPr>
            </w:pPr>
            <w:r>
              <w:rPr>
                <w:color w:val="auto"/>
                <w:kern w:val="21"/>
              </w:rPr>
              <w:t>5mg/m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kern w:val="21"/>
              </w:rPr>
            </w:pPr>
          </w:p>
        </w:tc>
        <w:tc>
          <w:tcPr>
            <w:tcW w:w="2313" w:type="dxa"/>
            <w:vAlign w:val="center"/>
          </w:tcPr>
          <w:p>
            <w:pPr>
              <w:pStyle w:val="377"/>
              <w:adjustRightInd w:val="0"/>
              <w:snapToGrid w:val="0"/>
              <w:jc w:val="center"/>
              <w:rPr>
                <w:color w:val="auto"/>
                <w:kern w:val="21"/>
              </w:rPr>
            </w:pPr>
            <w:r>
              <w:rPr>
                <w:color w:val="auto"/>
                <w:kern w:val="21"/>
              </w:rPr>
              <w:t>二氧化硫</w:t>
            </w:r>
          </w:p>
        </w:tc>
        <w:tc>
          <w:tcPr>
            <w:tcW w:w="2409" w:type="dxa"/>
            <w:vAlign w:val="center"/>
          </w:tcPr>
          <w:p>
            <w:pPr>
              <w:adjustRightInd w:val="0"/>
              <w:snapToGrid w:val="0"/>
              <w:jc w:val="center"/>
              <w:rPr>
                <w:snapToGrid w:val="0"/>
                <w:color w:val="auto"/>
                <w:kern w:val="21"/>
              </w:rPr>
            </w:pPr>
            <w:r>
              <w:rPr>
                <w:color w:val="auto"/>
                <w:kern w:val="21"/>
              </w:rPr>
              <w:t>10mg/m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kern w:val="21"/>
              </w:rPr>
            </w:pPr>
          </w:p>
        </w:tc>
        <w:tc>
          <w:tcPr>
            <w:tcW w:w="2313" w:type="dxa"/>
            <w:vAlign w:val="center"/>
          </w:tcPr>
          <w:p>
            <w:pPr>
              <w:pStyle w:val="377"/>
              <w:adjustRightInd w:val="0"/>
              <w:snapToGrid w:val="0"/>
              <w:jc w:val="center"/>
              <w:rPr>
                <w:color w:val="auto"/>
                <w:kern w:val="21"/>
              </w:rPr>
            </w:pPr>
            <w:r>
              <w:rPr>
                <w:color w:val="auto"/>
                <w:kern w:val="21"/>
              </w:rPr>
              <w:t>氮氧化物</w:t>
            </w:r>
          </w:p>
        </w:tc>
        <w:tc>
          <w:tcPr>
            <w:tcW w:w="2409" w:type="dxa"/>
            <w:vAlign w:val="center"/>
          </w:tcPr>
          <w:p>
            <w:pPr>
              <w:adjustRightInd w:val="0"/>
              <w:snapToGrid w:val="0"/>
              <w:jc w:val="center"/>
              <w:rPr>
                <w:snapToGrid w:val="0"/>
                <w:color w:val="auto"/>
                <w:kern w:val="21"/>
              </w:rPr>
            </w:pPr>
            <w:r>
              <w:rPr>
                <w:color w:val="auto"/>
                <w:kern w:val="21"/>
              </w:rPr>
              <w:t>30mg/m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Align w:val="center"/>
          </w:tcPr>
          <w:p>
            <w:pPr>
              <w:pStyle w:val="377"/>
              <w:adjustRightInd w:val="0"/>
              <w:snapToGrid w:val="0"/>
              <w:jc w:val="center"/>
              <w:rPr>
                <w:color w:val="auto"/>
                <w:kern w:val="21"/>
              </w:rPr>
            </w:pPr>
            <w:r>
              <w:rPr>
                <w:color w:val="auto"/>
                <w:szCs w:val="24"/>
              </w:rPr>
              <w:t>《新乡市生态环境局关于进一步规范工业企业颗粒物排放限值的通知》</w:t>
            </w:r>
          </w:p>
        </w:tc>
        <w:tc>
          <w:tcPr>
            <w:tcW w:w="2313" w:type="dxa"/>
            <w:vAlign w:val="center"/>
          </w:tcPr>
          <w:p>
            <w:pPr>
              <w:pStyle w:val="377"/>
              <w:adjustRightInd w:val="0"/>
              <w:snapToGrid w:val="0"/>
              <w:jc w:val="center"/>
              <w:rPr>
                <w:color w:val="auto"/>
                <w:kern w:val="21"/>
              </w:rPr>
            </w:pPr>
            <w:r>
              <w:rPr>
                <w:color w:val="auto"/>
                <w:kern w:val="21"/>
              </w:rPr>
              <w:t>颗粒物</w:t>
            </w:r>
          </w:p>
        </w:tc>
        <w:tc>
          <w:tcPr>
            <w:tcW w:w="2409" w:type="dxa"/>
            <w:vAlign w:val="center"/>
          </w:tcPr>
          <w:p>
            <w:pPr>
              <w:adjustRightInd w:val="0"/>
              <w:snapToGrid w:val="0"/>
              <w:jc w:val="center"/>
              <w:rPr>
                <w:color w:val="auto"/>
                <w:kern w:val="21"/>
              </w:rPr>
            </w:pPr>
            <w:r>
              <w:rPr>
                <w:rFonts w:hint="eastAsia"/>
                <w:color w:val="auto"/>
                <w:kern w:val="21"/>
              </w:rPr>
              <w:t>1</w:t>
            </w:r>
            <w:r>
              <w:rPr>
                <w:color w:val="auto"/>
                <w:kern w:val="21"/>
              </w:rPr>
              <w:t>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restart"/>
            <w:vAlign w:val="center"/>
          </w:tcPr>
          <w:p>
            <w:pPr>
              <w:pStyle w:val="377"/>
              <w:adjustRightInd w:val="0"/>
              <w:snapToGrid w:val="0"/>
              <w:jc w:val="center"/>
              <w:rPr>
                <w:color w:val="auto"/>
                <w:szCs w:val="24"/>
              </w:rPr>
            </w:pPr>
            <w:r>
              <w:rPr>
                <w:rFonts w:hint="eastAsia"/>
                <w:color w:val="auto"/>
                <w:szCs w:val="24"/>
              </w:rPr>
              <w:t>《河南省重污染天气重点行业应急减排措施制定技术指南（</w:t>
            </w:r>
            <w:r>
              <w:rPr>
                <w:color w:val="auto"/>
                <w:szCs w:val="24"/>
              </w:rPr>
              <w:t>2021</w:t>
            </w:r>
            <w:r>
              <w:rPr>
                <w:rFonts w:hint="eastAsia"/>
                <w:color w:val="auto"/>
                <w:szCs w:val="24"/>
              </w:rPr>
              <w:t>年修订）》</w:t>
            </w:r>
          </w:p>
        </w:tc>
        <w:tc>
          <w:tcPr>
            <w:tcW w:w="2313" w:type="dxa"/>
            <w:vAlign w:val="center"/>
          </w:tcPr>
          <w:p>
            <w:pPr>
              <w:pStyle w:val="377"/>
              <w:adjustRightInd w:val="0"/>
              <w:snapToGrid w:val="0"/>
              <w:jc w:val="center"/>
              <w:rPr>
                <w:color w:val="auto"/>
                <w:kern w:val="21"/>
              </w:rPr>
            </w:pPr>
            <w:r>
              <w:rPr>
                <w:color w:val="auto"/>
              </w:rPr>
              <w:t>氯化氢</w:t>
            </w:r>
          </w:p>
        </w:tc>
        <w:tc>
          <w:tcPr>
            <w:tcW w:w="2409" w:type="dxa"/>
            <w:vAlign w:val="center"/>
          </w:tcPr>
          <w:p>
            <w:pPr>
              <w:adjustRightInd w:val="0"/>
              <w:snapToGrid w:val="0"/>
              <w:jc w:val="center"/>
              <w:rPr>
                <w:color w:val="auto"/>
                <w:kern w:val="21"/>
              </w:rPr>
            </w:pPr>
            <w:r>
              <w:rPr>
                <w:rFonts w:hint="eastAsia"/>
                <w:color w:val="auto"/>
                <w:kern w:val="21"/>
              </w:rPr>
              <w:t>1</w:t>
            </w:r>
            <w:r>
              <w:rPr>
                <w:color w:val="auto"/>
                <w:kern w:val="21"/>
              </w:rPr>
              <w:t>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szCs w:val="24"/>
              </w:rPr>
            </w:pPr>
          </w:p>
        </w:tc>
        <w:tc>
          <w:tcPr>
            <w:tcW w:w="2313" w:type="dxa"/>
            <w:vAlign w:val="center"/>
          </w:tcPr>
          <w:p>
            <w:pPr>
              <w:pStyle w:val="377"/>
              <w:adjustRightInd w:val="0"/>
              <w:snapToGrid w:val="0"/>
              <w:jc w:val="center"/>
              <w:rPr>
                <w:color w:val="auto"/>
                <w:kern w:val="21"/>
              </w:rPr>
            </w:pPr>
            <w:r>
              <w:rPr>
                <w:color w:val="auto"/>
              </w:rPr>
              <w:t>PM</w:t>
            </w:r>
          </w:p>
        </w:tc>
        <w:tc>
          <w:tcPr>
            <w:tcW w:w="2409" w:type="dxa"/>
            <w:vAlign w:val="center"/>
          </w:tcPr>
          <w:p>
            <w:pPr>
              <w:adjustRightInd w:val="0"/>
              <w:snapToGrid w:val="0"/>
              <w:jc w:val="center"/>
              <w:rPr>
                <w:color w:val="auto"/>
                <w:kern w:val="21"/>
              </w:rPr>
            </w:pPr>
            <w:r>
              <w:rPr>
                <w:color w:val="auto"/>
                <w:kern w:val="21"/>
              </w:rPr>
              <w:t>5mg/m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szCs w:val="24"/>
              </w:rPr>
            </w:pPr>
          </w:p>
        </w:tc>
        <w:tc>
          <w:tcPr>
            <w:tcW w:w="2313" w:type="dxa"/>
            <w:vAlign w:val="center"/>
          </w:tcPr>
          <w:p>
            <w:pPr>
              <w:pStyle w:val="377"/>
              <w:adjustRightInd w:val="0"/>
              <w:snapToGrid w:val="0"/>
              <w:jc w:val="center"/>
              <w:rPr>
                <w:color w:val="auto"/>
                <w:kern w:val="21"/>
              </w:rPr>
            </w:pPr>
            <w:r>
              <w:rPr>
                <w:color w:val="auto"/>
              </w:rPr>
              <w:t>SO</w:t>
            </w:r>
            <w:r>
              <w:rPr>
                <w:color w:val="auto"/>
                <w:vertAlign w:val="subscript"/>
              </w:rPr>
              <w:t>2</w:t>
            </w:r>
          </w:p>
        </w:tc>
        <w:tc>
          <w:tcPr>
            <w:tcW w:w="2409" w:type="dxa"/>
            <w:vAlign w:val="center"/>
          </w:tcPr>
          <w:p>
            <w:pPr>
              <w:adjustRightInd w:val="0"/>
              <w:snapToGrid w:val="0"/>
              <w:jc w:val="center"/>
              <w:rPr>
                <w:snapToGrid w:val="0"/>
                <w:color w:val="auto"/>
                <w:kern w:val="21"/>
              </w:rPr>
            </w:pPr>
            <w:r>
              <w:rPr>
                <w:color w:val="auto"/>
                <w:kern w:val="21"/>
              </w:rPr>
              <w:t>10mg/m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szCs w:val="24"/>
              </w:rPr>
            </w:pPr>
          </w:p>
        </w:tc>
        <w:tc>
          <w:tcPr>
            <w:tcW w:w="2313" w:type="dxa"/>
            <w:vAlign w:val="center"/>
          </w:tcPr>
          <w:p>
            <w:pPr>
              <w:pStyle w:val="377"/>
              <w:adjustRightInd w:val="0"/>
              <w:snapToGrid w:val="0"/>
              <w:jc w:val="center"/>
              <w:rPr>
                <w:color w:val="auto"/>
                <w:kern w:val="21"/>
              </w:rPr>
            </w:pPr>
            <w:r>
              <w:rPr>
                <w:color w:val="auto"/>
              </w:rPr>
              <w:t>NOx</w:t>
            </w:r>
          </w:p>
        </w:tc>
        <w:tc>
          <w:tcPr>
            <w:tcW w:w="2409" w:type="dxa"/>
            <w:vAlign w:val="center"/>
          </w:tcPr>
          <w:p>
            <w:pPr>
              <w:adjustRightInd w:val="0"/>
              <w:snapToGrid w:val="0"/>
              <w:jc w:val="center"/>
              <w:rPr>
                <w:snapToGrid w:val="0"/>
                <w:color w:val="auto"/>
                <w:kern w:val="21"/>
              </w:rPr>
            </w:pPr>
            <w:r>
              <w:rPr>
                <w:color w:val="auto"/>
                <w:kern w:val="21"/>
              </w:rPr>
              <w:t>30mg/m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restart"/>
            <w:vAlign w:val="center"/>
          </w:tcPr>
          <w:p>
            <w:pPr>
              <w:pStyle w:val="377"/>
              <w:adjustRightInd w:val="0"/>
              <w:snapToGrid w:val="0"/>
              <w:jc w:val="center"/>
              <w:rPr>
                <w:color w:val="auto"/>
                <w:kern w:val="21"/>
              </w:rPr>
            </w:pPr>
            <w:r>
              <w:rPr>
                <w:color w:val="auto"/>
                <w:kern w:val="21"/>
              </w:rPr>
              <w:t>《</w:t>
            </w:r>
            <w:r>
              <w:rPr>
                <w:rFonts w:hint="eastAsia"/>
                <w:color w:val="auto"/>
                <w:kern w:val="21"/>
              </w:rPr>
              <w:t>恶臭</w:t>
            </w:r>
            <w:r>
              <w:rPr>
                <w:color w:val="auto"/>
                <w:kern w:val="21"/>
              </w:rPr>
              <w:t>污染物排放标准》</w:t>
            </w:r>
          </w:p>
          <w:p>
            <w:pPr>
              <w:pStyle w:val="377"/>
              <w:adjustRightInd w:val="0"/>
              <w:snapToGrid w:val="0"/>
              <w:jc w:val="center"/>
              <w:rPr>
                <w:color w:val="auto"/>
                <w:kern w:val="21"/>
              </w:rPr>
            </w:pPr>
            <w:r>
              <w:rPr>
                <w:rFonts w:hint="eastAsia"/>
                <w:color w:val="auto"/>
                <w:kern w:val="21"/>
              </w:rPr>
              <w:t>（</w:t>
            </w:r>
            <w:r>
              <w:rPr>
                <w:color w:val="auto"/>
                <w:kern w:val="21"/>
              </w:rPr>
              <w:t>GB14554</w:t>
            </w:r>
            <w:r>
              <w:rPr>
                <w:rFonts w:hint="eastAsia"/>
                <w:color w:val="auto"/>
                <w:kern w:val="21"/>
              </w:rPr>
              <w:t>-</w:t>
            </w:r>
            <w:r>
              <w:rPr>
                <w:color w:val="auto"/>
                <w:kern w:val="21"/>
              </w:rPr>
              <w:t>93</w:t>
            </w:r>
            <w:r>
              <w:rPr>
                <w:rFonts w:hint="eastAsia"/>
                <w:color w:val="auto"/>
                <w:kern w:val="21"/>
              </w:rPr>
              <w:t>）</w:t>
            </w:r>
          </w:p>
        </w:tc>
        <w:tc>
          <w:tcPr>
            <w:tcW w:w="2313" w:type="dxa"/>
            <w:vAlign w:val="center"/>
          </w:tcPr>
          <w:p>
            <w:pPr>
              <w:pStyle w:val="377"/>
              <w:adjustRightInd w:val="0"/>
              <w:snapToGrid w:val="0"/>
              <w:jc w:val="center"/>
              <w:rPr>
                <w:color w:val="auto"/>
                <w:kern w:val="21"/>
              </w:rPr>
            </w:pPr>
            <w:r>
              <w:rPr>
                <w:rFonts w:hint="eastAsia"/>
                <w:color w:val="auto"/>
                <w:kern w:val="21"/>
              </w:rPr>
              <w:t>NH</w:t>
            </w:r>
            <w:r>
              <w:rPr>
                <w:rFonts w:hint="eastAsia"/>
                <w:color w:val="auto"/>
                <w:kern w:val="21"/>
                <w:vertAlign w:val="subscript"/>
              </w:rPr>
              <w:t>3</w:t>
            </w:r>
            <w:r>
              <w:rPr>
                <w:rFonts w:hint="eastAsia"/>
                <w:color w:val="auto"/>
                <w:kern w:val="21"/>
              </w:rPr>
              <w:t>（15m）</w:t>
            </w:r>
          </w:p>
        </w:tc>
        <w:tc>
          <w:tcPr>
            <w:tcW w:w="2409" w:type="dxa"/>
            <w:vAlign w:val="center"/>
          </w:tcPr>
          <w:p>
            <w:pPr>
              <w:pStyle w:val="175"/>
              <w:rPr>
                <w:bCs/>
                <w:color w:val="auto"/>
                <w:sz w:val="21"/>
                <w:szCs w:val="21"/>
              </w:rPr>
            </w:pPr>
            <w:r>
              <w:rPr>
                <w:bCs/>
                <w:color w:val="auto"/>
                <w:sz w:val="21"/>
                <w:szCs w:val="21"/>
              </w:rPr>
              <w:t>4.9kg/h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pStyle w:val="377"/>
              <w:adjustRightInd w:val="0"/>
              <w:snapToGrid w:val="0"/>
              <w:jc w:val="center"/>
              <w:rPr>
                <w:color w:val="auto"/>
                <w:kern w:val="21"/>
              </w:rPr>
            </w:pPr>
          </w:p>
        </w:tc>
        <w:tc>
          <w:tcPr>
            <w:tcW w:w="2313" w:type="dxa"/>
            <w:vAlign w:val="center"/>
          </w:tcPr>
          <w:p>
            <w:pPr>
              <w:pStyle w:val="377"/>
              <w:adjustRightInd w:val="0"/>
              <w:snapToGrid w:val="0"/>
              <w:jc w:val="center"/>
              <w:rPr>
                <w:color w:val="auto"/>
                <w:kern w:val="21"/>
              </w:rPr>
            </w:pPr>
            <w:r>
              <w:rPr>
                <w:rFonts w:hint="eastAsia"/>
                <w:color w:val="auto"/>
                <w:kern w:val="21"/>
              </w:rPr>
              <w:t>H</w:t>
            </w:r>
            <w:r>
              <w:rPr>
                <w:rFonts w:hint="eastAsia"/>
                <w:color w:val="auto"/>
                <w:kern w:val="21"/>
                <w:vertAlign w:val="subscript"/>
              </w:rPr>
              <w:t>2</w:t>
            </w:r>
            <w:r>
              <w:rPr>
                <w:rFonts w:hint="eastAsia"/>
                <w:color w:val="auto"/>
                <w:kern w:val="21"/>
              </w:rPr>
              <w:t>S（15m）</w:t>
            </w:r>
          </w:p>
        </w:tc>
        <w:tc>
          <w:tcPr>
            <w:tcW w:w="2409" w:type="dxa"/>
            <w:vAlign w:val="center"/>
          </w:tcPr>
          <w:p>
            <w:pPr>
              <w:pStyle w:val="175"/>
              <w:rPr>
                <w:bCs/>
                <w:color w:val="auto"/>
                <w:sz w:val="21"/>
                <w:szCs w:val="21"/>
              </w:rPr>
            </w:pPr>
            <w:r>
              <w:rPr>
                <w:bCs/>
                <w:color w:val="auto"/>
                <w:sz w:val="21"/>
                <w:szCs w:val="21"/>
              </w:rPr>
              <w:t>0.33kg/h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821" w:type="dxa"/>
            <w:vMerge w:val="restart"/>
            <w:tcBorders>
              <w:bottom w:val="single" w:color="auto" w:sz="4" w:space="0"/>
            </w:tcBorders>
            <w:vAlign w:val="center"/>
          </w:tcPr>
          <w:p>
            <w:pPr>
              <w:adjustRightInd w:val="0"/>
              <w:snapToGrid w:val="0"/>
              <w:jc w:val="center"/>
              <w:rPr>
                <w:color w:val="auto"/>
                <w:kern w:val="21"/>
              </w:rPr>
            </w:pPr>
            <w:r>
              <w:rPr>
                <w:bCs/>
                <w:color w:val="auto"/>
                <w:kern w:val="21"/>
              </w:rPr>
              <w:t>水污染物</w:t>
            </w:r>
          </w:p>
        </w:tc>
        <w:tc>
          <w:tcPr>
            <w:tcW w:w="2961" w:type="dxa"/>
            <w:vMerge w:val="restart"/>
            <w:tcBorders>
              <w:bottom w:val="single" w:color="auto" w:sz="4" w:space="0"/>
            </w:tcBorders>
            <w:vAlign w:val="center"/>
          </w:tcPr>
          <w:p>
            <w:pPr>
              <w:jc w:val="center"/>
              <w:rPr>
                <w:color w:val="auto"/>
                <w:kern w:val="21"/>
              </w:rPr>
            </w:pPr>
            <w:r>
              <w:rPr>
                <w:color w:val="auto"/>
                <w:kern w:val="21"/>
              </w:rPr>
              <w:t>《电镀污染物排放标准》（GB21900-2008）表2新建企业水污染物排放限值</w:t>
            </w:r>
          </w:p>
        </w:tc>
        <w:tc>
          <w:tcPr>
            <w:tcW w:w="2313" w:type="dxa"/>
            <w:tcBorders>
              <w:bottom w:val="single" w:color="auto" w:sz="4" w:space="0"/>
            </w:tcBorders>
            <w:vAlign w:val="center"/>
          </w:tcPr>
          <w:p>
            <w:pPr>
              <w:jc w:val="center"/>
              <w:rPr>
                <w:color w:val="auto"/>
                <w:kern w:val="21"/>
              </w:rPr>
            </w:pPr>
            <w:r>
              <w:rPr>
                <w:rFonts w:hint="eastAsia"/>
                <w:color w:val="auto"/>
                <w:kern w:val="21"/>
              </w:rPr>
              <w:t>pH</w:t>
            </w:r>
          </w:p>
        </w:tc>
        <w:tc>
          <w:tcPr>
            <w:tcW w:w="2409" w:type="dxa"/>
            <w:tcBorders>
              <w:bottom w:val="single" w:color="auto" w:sz="4" w:space="0"/>
            </w:tcBorders>
            <w:vAlign w:val="center"/>
          </w:tcPr>
          <w:p>
            <w:pPr>
              <w:adjustRightInd w:val="0"/>
              <w:snapToGrid w:val="0"/>
              <w:jc w:val="center"/>
              <w:rPr>
                <w:color w:val="auto"/>
                <w:kern w:val="21"/>
              </w:rPr>
            </w:pPr>
            <w:r>
              <w:rPr>
                <w:color w:val="auto"/>
                <w:kern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CODcr</w:t>
            </w:r>
          </w:p>
        </w:tc>
        <w:tc>
          <w:tcPr>
            <w:tcW w:w="2409" w:type="dxa"/>
            <w:vAlign w:val="center"/>
          </w:tcPr>
          <w:p>
            <w:pPr>
              <w:adjustRightInd w:val="0"/>
              <w:snapToGrid w:val="0"/>
              <w:jc w:val="center"/>
              <w:rPr>
                <w:color w:val="auto"/>
                <w:kern w:val="21"/>
              </w:rPr>
            </w:pPr>
            <w:r>
              <w:rPr>
                <w:color w:val="auto"/>
                <w:kern w:val="21"/>
              </w:rPr>
              <w:t>80mg/m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NH</w:t>
            </w:r>
            <w:r>
              <w:rPr>
                <w:color w:val="auto"/>
                <w:kern w:val="21"/>
                <w:vertAlign w:val="subscript"/>
              </w:rPr>
              <w:t>3</w:t>
            </w:r>
            <w:r>
              <w:rPr>
                <w:color w:val="auto"/>
                <w:kern w:val="21"/>
              </w:rPr>
              <w:t>-N</w:t>
            </w:r>
          </w:p>
        </w:tc>
        <w:tc>
          <w:tcPr>
            <w:tcW w:w="2409" w:type="dxa"/>
            <w:vAlign w:val="center"/>
          </w:tcPr>
          <w:p>
            <w:pPr>
              <w:adjustRightInd w:val="0"/>
              <w:snapToGrid w:val="0"/>
              <w:jc w:val="center"/>
              <w:rPr>
                <w:color w:val="auto"/>
                <w:kern w:val="21"/>
              </w:rPr>
            </w:pPr>
            <w:r>
              <w:rPr>
                <w:color w:val="auto"/>
                <w:kern w:val="21"/>
              </w:rPr>
              <w:t>15mg/m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SS</w:t>
            </w:r>
          </w:p>
        </w:tc>
        <w:tc>
          <w:tcPr>
            <w:tcW w:w="2409" w:type="dxa"/>
            <w:vAlign w:val="center"/>
          </w:tcPr>
          <w:p>
            <w:pPr>
              <w:adjustRightInd w:val="0"/>
              <w:snapToGrid w:val="0"/>
              <w:jc w:val="center"/>
              <w:rPr>
                <w:color w:val="auto"/>
                <w:kern w:val="21"/>
              </w:rPr>
            </w:pPr>
            <w:r>
              <w:rPr>
                <w:color w:val="auto"/>
                <w:kern w:val="21"/>
              </w:rPr>
              <w:t>50mg/m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TP</w:t>
            </w:r>
          </w:p>
        </w:tc>
        <w:tc>
          <w:tcPr>
            <w:tcW w:w="2409" w:type="dxa"/>
            <w:vAlign w:val="center"/>
          </w:tcPr>
          <w:p>
            <w:pPr>
              <w:adjustRightInd w:val="0"/>
              <w:snapToGrid w:val="0"/>
              <w:jc w:val="center"/>
              <w:rPr>
                <w:color w:val="auto"/>
                <w:kern w:val="21"/>
              </w:rPr>
            </w:pPr>
            <w:r>
              <w:rPr>
                <w:color w:val="auto"/>
                <w:kern w:val="21"/>
              </w:rPr>
              <w:t>1.0mg/m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TN</w:t>
            </w:r>
          </w:p>
        </w:tc>
        <w:tc>
          <w:tcPr>
            <w:tcW w:w="2409" w:type="dxa"/>
            <w:vAlign w:val="center"/>
          </w:tcPr>
          <w:p>
            <w:pPr>
              <w:adjustRightInd w:val="0"/>
              <w:snapToGrid w:val="0"/>
              <w:jc w:val="center"/>
              <w:rPr>
                <w:color w:val="auto"/>
                <w:kern w:val="21"/>
              </w:rPr>
            </w:pPr>
            <w:r>
              <w:rPr>
                <w:color w:val="auto"/>
                <w:kern w:val="21"/>
              </w:rPr>
              <w:t>20mg/m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石油类</w:t>
            </w:r>
          </w:p>
        </w:tc>
        <w:tc>
          <w:tcPr>
            <w:tcW w:w="2409" w:type="dxa"/>
            <w:vAlign w:val="center"/>
          </w:tcPr>
          <w:p>
            <w:pPr>
              <w:adjustRightInd w:val="0"/>
              <w:snapToGrid w:val="0"/>
              <w:jc w:val="center"/>
              <w:rPr>
                <w:color w:val="auto"/>
                <w:kern w:val="21"/>
              </w:rPr>
            </w:pPr>
            <w:r>
              <w:rPr>
                <w:color w:val="auto"/>
                <w:kern w:val="21"/>
              </w:rPr>
              <w:t>3.0mg/m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总铬</w:t>
            </w:r>
          </w:p>
        </w:tc>
        <w:tc>
          <w:tcPr>
            <w:tcW w:w="2409" w:type="dxa"/>
            <w:vAlign w:val="center"/>
          </w:tcPr>
          <w:p>
            <w:pPr>
              <w:adjustRightInd w:val="0"/>
              <w:snapToGrid w:val="0"/>
              <w:jc w:val="center"/>
              <w:rPr>
                <w:color w:val="auto"/>
                <w:kern w:val="21"/>
              </w:rPr>
            </w:pPr>
            <w:r>
              <w:rPr>
                <w:color w:val="auto"/>
                <w:kern w:val="21"/>
              </w:rPr>
              <w:t>1.0mg/m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六价铬</w:t>
            </w:r>
          </w:p>
        </w:tc>
        <w:tc>
          <w:tcPr>
            <w:tcW w:w="2409" w:type="dxa"/>
            <w:vAlign w:val="center"/>
          </w:tcPr>
          <w:p>
            <w:pPr>
              <w:adjustRightInd w:val="0"/>
              <w:snapToGrid w:val="0"/>
              <w:jc w:val="center"/>
              <w:rPr>
                <w:color w:val="auto"/>
                <w:kern w:val="21"/>
              </w:rPr>
            </w:pPr>
            <w:r>
              <w:rPr>
                <w:color w:val="auto"/>
                <w:kern w:val="21"/>
              </w:rPr>
              <w:t>0.2mg/m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总镍</w:t>
            </w:r>
          </w:p>
        </w:tc>
        <w:tc>
          <w:tcPr>
            <w:tcW w:w="2409" w:type="dxa"/>
            <w:vAlign w:val="center"/>
          </w:tcPr>
          <w:p>
            <w:pPr>
              <w:adjustRightInd w:val="0"/>
              <w:snapToGrid w:val="0"/>
              <w:jc w:val="center"/>
              <w:rPr>
                <w:color w:val="auto"/>
                <w:kern w:val="21"/>
              </w:rPr>
            </w:pPr>
            <w:r>
              <w:rPr>
                <w:color w:val="auto"/>
                <w:kern w:val="21"/>
              </w:rPr>
              <w:t>0.5mg/m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rFonts w:hint="eastAsia"/>
                <w:color w:val="auto"/>
                <w:kern w:val="21"/>
              </w:rPr>
              <w:t>总锌</w:t>
            </w:r>
          </w:p>
        </w:tc>
        <w:tc>
          <w:tcPr>
            <w:tcW w:w="2409" w:type="dxa"/>
            <w:vAlign w:val="center"/>
          </w:tcPr>
          <w:p>
            <w:pPr>
              <w:adjustRightInd w:val="0"/>
              <w:snapToGrid w:val="0"/>
              <w:jc w:val="center"/>
              <w:rPr>
                <w:color w:val="auto"/>
                <w:kern w:val="21"/>
              </w:rPr>
            </w:pPr>
            <w:r>
              <w:rPr>
                <w:rFonts w:hint="eastAsia"/>
                <w:color w:val="auto"/>
                <w:kern w:val="21"/>
              </w:rPr>
              <w:t>1</w:t>
            </w:r>
            <w:r>
              <w:rPr>
                <w:color w:val="auto"/>
                <w:kern w:val="21"/>
              </w:rPr>
              <w:t>.5mg/m</w:t>
            </w:r>
            <w:r>
              <w:rPr>
                <w:color w:val="auto"/>
                <w:kern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单位产品基准排水量</w:t>
            </w:r>
          </w:p>
        </w:tc>
        <w:tc>
          <w:tcPr>
            <w:tcW w:w="2409" w:type="dxa"/>
            <w:vAlign w:val="center"/>
          </w:tcPr>
          <w:p>
            <w:pPr>
              <w:adjustRightInd w:val="0"/>
              <w:snapToGrid w:val="0"/>
              <w:jc w:val="center"/>
              <w:rPr>
                <w:color w:val="auto"/>
                <w:kern w:val="21"/>
              </w:rPr>
            </w:pPr>
            <w:r>
              <w:rPr>
                <w:color w:val="auto"/>
                <w:kern w:val="21"/>
              </w:rPr>
              <w:t>单镀层：200L/m</w:t>
            </w:r>
            <w:r>
              <w:rPr>
                <w:color w:val="auto"/>
                <w:kern w:val="21"/>
                <w:vertAlign w:val="superscript"/>
              </w:rPr>
              <w:t>2</w:t>
            </w:r>
            <w:r>
              <w:rPr>
                <w:color w:val="auto"/>
                <w:kern w:val="21"/>
              </w:rPr>
              <w:t>（镀件镀层）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restart"/>
            <w:vAlign w:val="center"/>
          </w:tcPr>
          <w:p>
            <w:pPr>
              <w:jc w:val="center"/>
              <w:rPr>
                <w:color w:val="auto"/>
                <w:kern w:val="21"/>
              </w:rPr>
            </w:pPr>
            <w:r>
              <w:rPr>
                <w:color w:val="auto"/>
                <w:kern w:val="21"/>
              </w:rPr>
              <w:t>获嘉县同盟污水处理厂收水标准</w:t>
            </w:r>
          </w:p>
        </w:tc>
        <w:tc>
          <w:tcPr>
            <w:tcW w:w="2313" w:type="dxa"/>
            <w:vAlign w:val="center"/>
          </w:tcPr>
          <w:p>
            <w:pPr>
              <w:jc w:val="center"/>
              <w:rPr>
                <w:color w:val="auto"/>
                <w:kern w:val="21"/>
              </w:rPr>
            </w:pPr>
            <w:r>
              <w:rPr>
                <w:color w:val="auto"/>
                <w:kern w:val="21"/>
              </w:rPr>
              <w:t>CODcr</w:t>
            </w:r>
          </w:p>
        </w:tc>
        <w:tc>
          <w:tcPr>
            <w:tcW w:w="2409" w:type="dxa"/>
            <w:vAlign w:val="center"/>
          </w:tcPr>
          <w:p>
            <w:pPr>
              <w:adjustRightInd w:val="0"/>
              <w:snapToGrid w:val="0"/>
              <w:jc w:val="center"/>
              <w:rPr>
                <w:color w:val="auto"/>
                <w:kern w:val="21"/>
              </w:rPr>
            </w:pPr>
            <w:r>
              <w:rPr>
                <w:rFonts w:hint="eastAsia"/>
                <w:color w:val="auto"/>
                <w:kern w:val="21"/>
              </w:rPr>
              <w:t>350</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bCs/>
                <w:color w:val="auto"/>
                <w:kern w:val="21"/>
              </w:rPr>
            </w:pPr>
          </w:p>
        </w:tc>
        <w:tc>
          <w:tcPr>
            <w:tcW w:w="2961" w:type="dxa"/>
            <w:vMerge w:val="continue"/>
            <w:vAlign w:val="center"/>
          </w:tcPr>
          <w:p>
            <w:pPr>
              <w:jc w:val="center"/>
              <w:rPr>
                <w:color w:val="auto"/>
                <w:kern w:val="21"/>
              </w:rPr>
            </w:pPr>
          </w:p>
        </w:tc>
        <w:tc>
          <w:tcPr>
            <w:tcW w:w="2313" w:type="dxa"/>
            <w:vAlign w:val="center"/>
          </w:tcPr>
          <w:p>
            <w:pPr>
              <w:jc w:val="center"/>
              <w:rPr>
                <w:color w:val="auto"/>
                <w:kern w:val="21"/>
              </w:rPr>
            </w:pPr>
            <w:r>
              <w:rPr>
                <w:color w:val="auto"/>
                <w:kern w:val="21"/>
              </w:rPr>
              <w:t>BOD</w:t>
            </w:r>
            <w:r>
              <w:rPr>
                <w:color w:val="auto"/>
                <w:kern w:val="21"/>
                <w:vertAlign w:val="subscript"/>
              </w:rPr>
              <w:t>5</w:t>
            </w:r>
          </w:p>
        </w:tc>
        <w:tc>
          <w:tcPr>
            <w:tcW w:w="2409" w:type="dxa"/>
            <w:vAlign w:val="center"/>
          </w:tcPr>
          <w:p>
            <w:pPr>
              <w:adjustRightInd w:val="0"/>
              <w:snapToGrid w:val="0"/>
              <w:jc w:val="center"/>
              <w:rPr>
                <w:color w:val="auto"/>
                <w:kern w:val="21"/>
              </w:rPr>
            </w:pPr>
            <w:r>
              <w:rPr>
                <w:rFonts w:hint="eastAsia"/>
                <w:color w:val="auto"/>
                <w:kern w:val="21"/>
              </w:rPr>
              <w:t>140</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rPr>
                <w:color w:val="auto"/>
                <w:kern w:val="21"/>
              </w:rPr>
            </w:pPr>
          </w:p>
        </w:tc>
        <w:tc>
          <w:tcPr>
            <w:tcW w:w="2313" w:type="dxa"/>
            <w:vAlign w:val="center"/>
          </w:tcPr>
          <w:p>
            <w:pPr>
              <w:jc w:val="center"/>
              <w:rPr>
                <w:color w:val="auto"/>
                <w:kern w:val="21"/>
              </w:rPr>
            </w:pPr>
            <w:r>
              <w:rPr>
                <w:color w:val="auto"/>
                <w:kern w:val="21"/>
              </w:rPr>
              <w:t>SS</w:t>
            </w:r>
          </w:p>
        </w:tc>
        <w:tc>
          <w:tcPr>
            <w:tcW w:w="2409" w:type="dxa"/>
            <w:vAlign w:val="center"/>
          </w:tcPr>
          <w:p>
            <w:pPr>
              <w:adjustRightInd w:val="0"/>
              <w:snapToGrid w:val="0"/>
              <w:jc w:val="center"/>
              <w:rPr>
                <w:color w:val="auto"/>
                <w:kern w:val="21"/>
              </w:rPr>
            </w:pPr>
            <w:r>
              <w:rPr>
                <w:rFonts w:hint="eastAsia"/>
                <w:color w:val="auto"/>
                <w:kern w:val="21"/>
              </w:rPr>
              <w:t>230</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rPr>
                <w:color w:val="auto"/>
                <w:kern w:val="21"/>
              </w:rPr>
            </w:pPr>
          </w:p>
        </w:tc>
        <w:tc>
          <w:tcPr>
            <w:tcW w:w="2313" w:type="dxa"/>
            <w:vAlign w:val="center"/>
          </w:tcPr>
          <w:p>
            <w:pPr>
              <w:jc w:val="center"/>
              <w:rPr>
                <w:color w:val="auto"/>
                <w:kern w:val="21"/>
              </w:rPr>
            </w:pPr>
            <w:r>
              <w:rPr>
                <w:color w:val="auto"/>
                <w:kern w:val="21"/>
              </w:rPr>
              <w:t>NH</w:t>
            </w:r>
            <w:r>
              <w:rPr>
                <w:color w:val="auto"/>
                <w:kern w:val="21"/>
                <w:vertAlign w:val="subscript"/>
              </w:rPr>
              <w:t>3</w:t>
            </w:r>
            <w:r>
              <w:rPr>
                <w:color w:val="auto"/>
                <w:kern w:val="21"/>
              </w:rPr>
              <w:t>-N</w:t>
            </w:r>
          </w:p>
        </w:tc>
        <w:tc>
          <w:tcPr>
            <w:tcW w:w="2409" w:type="dxa"/>
            <w:vAlign w:val="center"/>
          </w:tcPr>
          <w:p>
            <w:pPr>
              <w:adjustRightInd w:val="0"/>
              <w:snapToGrid w:val="0"/>
              <w:jc w:val="center"/>
              <w:rPr>
                <w:color w:val="auto"/>
                <w:kern w:val="21"/>
              </w:rPr>
            </w:pPr>
            <w:r>
              <w:rPr>
                <w:rFonts w:hint="eastAsia"/>
                <w:color w:val="auto"/>
                <w:kern w:val="21"/>
              </w:rPr>
              <w:t>35</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rPr>
                <w:color w:val="auto"/>
                <w:kern w:val="21"/>
              </w:rPr>
            </w:pPr>
          </w:p>
        </w:tc>
        <w:tc>
          <w:tcPr>
            <w:tcW w:w="2313" w:type="dxa"/>
            <w:vAlign w:val="center"/>
          </w:tcPr>
          <w:p>
            <w:pPr>
              <w:jc w:val="center"/>
              <w:rPr>
                <w:color w:val="auto"/>
                <w:kern w:val="21"/>
              </w:rPr>
            </w:pPr>
            <w:r>
              <w:rPr>
                <w:color w:val="auto"/>
                <w:kern w:val="21"/>
              </w:rPr>
              <w:t>TP</w:t>
            </w:r>
          </w:p>
        </w:tc>
        <w:tc>
          <w:tcPr>
            <w:tcW w:w="2409" w:type="dxa"/>
            <w:vAlign w:val="center"/>
          </w:tcPr>
          <w:p>
            <w:pPr>
              <w:adjustRightInd w:val="0"/>
              <w:snapToGrid w:val="0"/>
              <w:jc w:val="center"/>
              <w:rPr>
                <w:color w:val="auto"/>
                <w:kern w:val="21"/>
              </w:rPr>
            </w:pPr>
            <w:r>
              <w:rPr>
                <w:rFonts w:hint="eastAsia"/>
                <w:color w:val="auto"/>
                <w:kern w:val="21"/>
              </w:rPr>
              <w:t>3.5</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rPr>
                <w:color w:val="auto"/>
                <w:kern w:val="21"/>
              </w:rPr>
            </w:pPr>
          </w:p>
        </w:tc>
        <w:tc>
          <w:tcPr>
            <w:tcW w:w="2313" w:type="dxa"/>
            <w:vAlign w:val="center"/>
          </w:tcPr>
          <w:p>
            <w:pPr>
              <w:jc w:val="center"/>
              <w:rPr>
                <w:color w:val="auto"/>
                <w:kern w:val="21"/>
              </w:rPr>
            </w:pPr>
            <w:r>
              <w:rPr>
                <w:rFonts w:hint="eastAsia"/>
                <w:color w:val="auto"/>
                <w:kern w:val="21"/>
              </w:rPr>
              <w:t>TN</w:t>
            </w:r>
          </w:p>
        </w:tc>
        <w:tc>
          <w:tcPr>
            <w:tcW w:w="2409" w:type="dxa"/>
            <w:vAlign w:val="center"/>
          </w:tcPr>
          <w:p>
            <w:pPr>
              <w:adjustRightInd w:val="0"/>
              <w:snapToGrid w:val="0"/>
              <w:jc w:val="center"/>
              <w:rPr>
                <w:color w:val="auto"/>
                <w:kern w:val="21"/>
              </w:rPr>
            </w:pPr>
            <w:r>
              <w:rPr>
                <w:rFonts w:hint="eastAsia"/>
                <w:color w:val="auto"/>
                <w:kern w:val="21"/>
              </w:rPr>
              <w:t>50</w:t>
            </w:r>
            <w:r>
              <w:rPr>
                <w:color w:val="auto"/>
                <w:kern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restart"/>
            <w:vAlign w:val="center"/>
          </w:tcPr>
          <w:p>
            <w:pPr>
              <w:adjustRightInd w:val="0"/>
              <w:snapToGrid w:val="0"/>
              <w:jc w:val="center"/>
              <w:rPr>
                <w:color w:val="auto"/>
                <w:kern w:val="21"/>
              </w:rPr>
            </w:pPr>
            <w:r>
              <w:rPr>
                <w:color w:val="auto"/>
                <w:kern w:val="21"/>
              </w:rPr>
              <w:t>噪声</w:t>
            </w:r>
          </w:p>
        </w:tc>
        <w:tc>
          <w:tcPr>
            <w:tcW w:w="2961" w:type="dxa"/>
            <w:vMerge w:val="restart"/>
            <w:vAlign w:val="center"/>
          </w:tcPr>
          <w:p>
            <w:pPr>
              <w:adjustRightInd w:val="0"/>
              <w:snapToGrid w:val="0"/>
              <w:jc w:val="center"/>
              <w:rPr>
                <w:color w:val="auto"/>
                <w:kern w:val="21"/>
              </w:rPr>
            </w:pPr>
            <w:r>
              <w:rPr>
                <w:color w:val="auto"/>
                <w:kern w:val="21"/>
              </w:rPr>
              <w:t>《工业企业厂界环境噪声排放标准》（GB12348-2008）</w:t>
            </w:r>
            <w:r>
              <w:rPr>
                <w:rFonts w:hint="eastAsia"/>
                <w:color w:val="auto"/>
                <w:kern w:val="21"/>
              </w:rPr>
              <w:t>表1中</w:t>
            </w:r>
            <w:r>
              <w:rPr>
                <w:color w:val="auto"/>
                <w:kern w:val="21"/>
              </w:rPr>
              <w:t>3类标准</w:t>
            </w:r>
          </w:p>
        </w:tc>
        <w:tc>
          <w:tcPr>
            <w:tcW w:w="2313" w:type="dxa"/>
            <w:vAlign w:val="center"/>
          </w:tcPr>
          <w:p>
            <w:pPr>
              <w:adjustRightInd w:val="0"/>
              <w:snapToGrid w:val="0"/>
              <w:jc w:val="center"/>
              <w:rPr>
                <w:color w:val="auto"/>
                <w:kern w:val="21"/>
              </w:rPr>
            </w:pPr>
            <w:r>
              <w:rPr>
                <w:color w:val="auto"/>
                <w:kern w:val="21"/>
              </w:rPr>
              <w:t>昼间</w:t>
            </w:r>
          </w:p>
        </w:tc>
        <w:tc>
          <w:tcPr>
            <w:tcW w:w="2409" w:type="dxa"/>
            <w:vAlign w:val="center"/>
          </w:tcPr>
          <w:p>
            <w:pPr>
              <w:adjustRightInd w:val="0"/>
              <w:snapToGrid w:val="0"/>
              <w:jc w:val="center"/>
              <w:rPr>
                <w:color w:val="auto"/>
                <w:kern w:val="21"/>
              </w:rPr>
            </w:pPr>
            <w:r>
              <w:rPr>
                <w:color w:val="auto"/>
                <w:kern w:val="21"/>
              </w:rPr>
              <w:t>65dB（A）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2961" w:type="dxa"/>
            <w:vMerge w:val="continue"/>
            <w:vAlign w:val="center"/>
          </w:tcPr>
          <w:p>
            <w:pPr>
              <w:adjustRightInd w:val="0"/>
              <w:snapToGrid w:val="0"/>
              <w:jc w:val="center"/>
              <w:rPr>
                <w:color w:val="auto"/>
                <w:kern w:val="21"/>
              </w:rPr>
            </w:pPr>
          </w:p>
        </w:tc>
        <w:tc>
          <w:tcPr>
            <w:tcW w:w="2313" w:type="dxa"/>
            <w:vAlign w:val="center"/>
          </w:tcPr>
          <w:p>
            <w:pPr>
              <w:adjustRightInd w:val="0"/>
              <w:snapToGrid w:val="0"/>
              <w:jc w:val="center"/>
              <w:rPr>
                <w:color w:val="auto"/>
                <w:kern w:val="21"/>
              </w:rPr>
            </w:pPr>
            <w:r>
              <w:rPr>
                <w:color w:val="auto"/>
                <w:kern w:val="21"/>
              </w:rPr>
              <w:t>夜间</w:t>
            </w:r>
          </w:p>
        </w:tc>
        <w:tc>
          <w:tcPr>
            <w:tcW w:w="2409" w:type="dxa"/>
            <w:vAlign w:val="center"/>
          </w:tcPr>
          <w:p>
            <w:pPr>
              <w:adjustRightInd w:val="0"/>
              <w:snapToGrid w:val="0"/>
              <w:jc w:val="center"/>
              <w:rPr>
                <w:color w:val="auto"/>
                <w:kern w:val="21"/>
              </w:rPr>
            </w:pPr>
            <w:r>
              <w:rPr>
                <w:color w:val="auto"/>
                <w:kern w:val="21"/>
              </w:rPr>
              <w:t>55dB（A）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restart"/>
            <w:vAlign w:val="center"/>
          </w:tcPr>
          <w:p>
            <w:pPr>
              <w:adjustRightInd w:val="0"/>
              <w:snapToGrid w:val="0"/>
              <w:jc w:val="center"/>
              <w:rPr>
                <w:color w:val="auto"/>
                <w:kern w:val="21"/>
              </w:rPr>
            </w:pPr>
            <w:r>
              <w:rPr>
                <w:color w:val="auto"/>
                <w:kern w:val="21"/>
              </w:rPr>
              <w:t>固废污染物</w:t>
            </w:r>
          </w:p>
        </w:tc>
        <w:tc>
          <w:tcPr>
            <w:tcW w:w="7683" w:type="dxa"/>
            <w:gridSpan w:val="3"/>
            <w:vAlign w:val="center"/>
          </w:tcPr>
          <w:p>
            <w:pPr>
              <w:adjustRightInd w:val="0"/>
              <w:snapToGrid w:val="0"/>
              <w:jc w:val="center"/>
              <w:rPr>
                <w:color w:val="auto"/>
                <w:kern w:val="21"/>
              </w:rPr>
            </w:pPr>
            <w:r>
              <w:rPr>
                <w:b/>
                <w:bCs/>
                <w:color w:val="auto"/>
                <w:u w:val="single"/>
              </w:rPr>
              <w:t>参照执行《</w:t>
            </w:r>
            <w:r>
              <w:rPr>
                <w:rFonts w:hint="eastAsia"/>
                <w:b/>
                <w:bCs/>
                <w:color w:val="auto"/>
                <w:u w:val="single"/>
              </w:rPr>
              <w:t>一般工业固体废物贮存和填埋污染控制标准</w:t>
            </w:r>
            <w:r>
              <w:rPr>
                <w:b/>
                <w:bCs/>
                <w:color w:val="auto"/>
                <w:u w:val="single"/>
              </w:rPr>
              <w:t>》（</w:t>
            </w:r>
            <w:r>
              <w:rPr>
                <w:rFonts w:hint="eastAsia"/>
                <w:b/>
                <w:bCs/>
                <w:color w:val="auto"/>
                <w:u w:val="single"/>
              </w:rPr>
              <w:t>GB18599-2020</w:t>
            </w: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1" w:type="dxa"/>
            <w:vMerge w:val="continue"/>
            <w:vAlign w:val="center"/>
          </w:tcPr>
          <w:p>
            <w:pPr>
              <w:adjustRightInd w:val="0"/>
              <w:snapToGrid w:val="0"/>
              <w:jc w:val="center"/>
              <w:rPr>
                <w:color w:val="auto"/>
                <w:kern w:val="21"/>
              </w:rPr>
            </w:pPr>
          </w:p>
        </w:tc>
        <w:tc>
          <w:tcPr>
            <w:tcW w:w="7683" w:type="dxa"/>
            <w:gridSpan w:val="3"/>
            <w:vAlign w:val="center"/>
          </w:tcPr>
          <w:p>
            <w:pPr>
              <w:adjustRightInd w:val="0"/>
              <w:snapToGrid w:val="0"/>
              <w:jc w:val="center"/>
              <w:rPr>
                <w:color w:val="auto"/>
                <w:kern w:val="21"/>
              </w:rPr>
            </w:pPr>
            <w:r>
              <w:rPr>
                <w:color w:val="auto"/>
                <w:kern w:val="21"/>
              </w:rPr>
              <w:t>《危险废物贮存污染控制标准》（GB18597-2001）</w:t>
            </w:r>
            <w:r>
              <w:rPr>
                <w:color w:val="auto"/>
                <w:kern w:val="21"/>
                <w:shd w:val="clear" w:color="auto" w:fill="FFFFFF"/>
              </w:rPr>
              <w:t>及修改单</w:t>
            </w:r>
          </w:p>
        </w:tc>
      </w:t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7"/>
    </w:tbl>
    <w:p>
      <w:pPr>
        <w:pStyle w:val="341"/>
        <w:keepNext w:val="0"/>
        <w:keepLines w:val="0"/>
        <w:pageBreakBefore w:val="0"/>
        <w:widowControl w:val="0"/>
        <w:kinsoku/>
        <w:wordWrap/>
        <w:overflowPunct/>
        <w:topLinePunct w:val="0"/>
        <w:autoSpaceDE/>
        <w:autoSpaceDN/>
        <w:bidi w:val="0"/>
        <w:adjustRightInd/>
        <w:snapToGrid/>
        <w:spacing w:before="157" w:beforeLines="50"/>
        <w:ind w:firstLine="480"/>
        <w:textAlignment w:val="auto"/>
        <w:rPr>
          <w:color w:val="auto"/>
          <w:kern w:val="21"/>
        </w:rPr>
      </w:pPr>
      <w:bookmarkStart w:id="79" w:name="_Toc323114375"/>
      <w:bookmarkStart w:id="80" w:name="_Toc13249"/>
      <w:bookmarkStart w:id="81" w:name="_Toc112338932"/>
      <w:bookmarkStart w:id="82" w:name="_Toc4107"/>
      <w:bookmarkStart w:id="83" w:name="_Toc489254628"/>
      <w:bookmarkStart w:id="84" w:name="_Toc31345_WPSOffice_Level2"/>
      <w:bookmarkStart w:id="85" w:name="_Toc30077"/>
      <w:bookmarkStart w:id="86" w:name="_Toc225497842"/>
      <w:bookmarkStart w:id="87" w:name="_Toc225498054"/>
      <w:bookmarkStart w:id="88" w:name="_Toc225489764"/>
      <w:bookmarkStart w:id="89" w:name="_Toc225497993"/>
      <w:bookmarkStart w:id="90" w:name="_Toc264113675"/>
      <w:bookmarkStart w:id="91" w:name="_Toc225498521"/>
      <w:bookmarkStart w:id="92" w:name="_Toc219026197"/>
      <w:r>
        <w:rPr>
          <w:color w:val="auto"/>
          <w:kern w:val="21"/>
        </w:rPr>
        <w:t>根据《电镀污染物排放标准》（GB21900-2008）：企业向设置污水处理厂的城镇排水系统排放废水时，有毒污染物总铬、六价铬、总镍、总镉、总银、总铅、总汞在本标准规定的监控位置执行相应的排放限值，其他污染物的排放控制要求由企业与城镇污水处理厂根据其污水处理能力商定或执行相关标准。</w:t>
      </w:r>
    </w:p>
    <w:p>
      <w:pPr>
        <w:pStyle w:val="341"/>
        <w:ind w:firstLine="480"/>
        <w:rPr>
          <w:color w:val="auto"/>
        </w:rPr>
      </w:pPr>
      <w:r>
        <w:rPr>
          <w:color w:val="auto"/>
          <w:kern w:val="21"/>
        </w:rPr>
        <w:t>本项目全部生产线废水经</w:t>
      </w:r>
      <w:r>
        <w:rPr>
          <w:rFonts w:hint="eastAsia"/>
          <w:color w:val="auto"/>
          <w:kern w:val="21"/>
          <w:lang w:eastAsia="zh-CN"/>
        </w:rPr>
        <w:t>“</w:t>
      </w:r>
      <w:r>
        <w:rPr>
          <w:color w:val="auto"/>
          <w:kern w:val="21"/>
        </w:rPr>
        <w:t>预处理</w:t>
      </w:r>
      <w:r>
        <w:rPr>
          <w:rFonts w:hint="eastAsia"/>
          <w:color w:val="auto"/>
          <w:kern w:val="21"/>
          <w:lang w:val="en-US" w:eastAsia="zh-CN"/>
        </w:rPr>
        <w:t>+</w:t>
      </w:r>
      <w:r>
        <w:rPr>
          <w:rFonts w:hint="eastAsia"/>
          <w:color w:val="auto"/>
          <w:kern w:val="21"/>
          <w:lang w:eastAsia="zh-CN"/>
        </w:rPr>
        <w:t>零排放处理系统</w:t>
      </w:r>
      <w:r>
        <w:rPr>
          <w:rFonts w:hint="eastAsia"/>
          <w:color w:val="auto"/>
          <w:kern w:val="21"/>
        </w:rPr>
        <w:t>深度处理</w:t>
      </w:r>
      <w:r>
        <w:rPr>
          <w:rFonts w:hint="eastAsia"/>
          <w:color w:val="auto"/>
          <w:kern w:val="21"/>
          <w:lang w:eastAsia="zh-CN"/>
        </w:rPr>
        <w:t>”</w:t>
      </w:r>
      <w:r>
        <w:rPr>
          <w:rFonts w:hint="eastAsia"/>
          <w:color w:val="auto"/>
          <w:kern w:val="21"/>
        </w:rPr>
        <w:t>后全部回用，仅将锅炉及纯水制备浓水以及生活污水外排，同时建设单位与城发水务（获嘉）有限公司达成收水协议（附件4）</w:t>
      </w:r>
      <w:r>
        <w:rPr>
          <w:rFonts w:hint="eastAsia"/>
          <w:color w:val="auto"/>
          <w:kern w:val="21"/>
          <w:lang w:eastAsia="zh-CN"/>
        </w:rPr>
        <w:t>，</w:t>
      </w:r>
      <w:r>
        <w:rPr>
          <w:rFonts w:hint="eastAsia"/>
          <w:color w:val="auto"/>
          <w:kern w:val="21"/>
        </w:rPr>
        <w:t>明确了纳管标准</w:t>
      </w:r>
      <w:r>
        <w:rPr>
          <w:rFonts w:hint="eastAsia"/>
          <w:color w:val="auto"/>
          <w:kern w:val="21"/>
          <w:lang w:eastAsia="zh-CN"/>
        </w:rPr>
        <w:t>要求</w:t>
      </w:r>
      <w:r>
        <w:rPr>
          <w:rFonts w:hint="eastAsia"/>
          <w:color w:val="auto"/>
          <w:kern w:val="21"/>
        </w:rPr>
        <w:t>，因此本项目外排</w:t>
      </w:r>
      <w:r>
        <w:rPr>
          <w:rFonts w:hint="eastAsia"/>
          <w:color w:val="auto"/>
          <w:kern w:val="21"/>
          <w:lang w:eastAsia="zh-CN"/>
        </w:rPr>
        <w:t>废</w:t>
      </w:r>
      <w:r>
        <w:rPr>
          <w:rFonts w:hint="eastAsia"/>
          <w:color w:val="auto"/>
          <w:kern w:val="21"/>
        </w:rPr>
        <w:t>水按纳管协议执行</w:t>
      </w:r>
      <w:r>
        <w:rPr>
          <w:color w:val="auto"/>
          <w:kern w:val="21"/>
        </w:rPr>
        <w:t>同盟污水处理厂收水标准。</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r>
        <w:rPr>
          <w:bCs w:val="0"/>
          <w:color w:val="auto"/>
          <w:kern w:val="0"/>
          <w:szCs w:val="20"/>
          <w:lang w:val="en-US"/>
        </w:rPr>
        <w:t>2.</w:t>
      </w:r>
      <w:r>
        <w:rPr>
          <w:rFonts w:hint="eastAsia"/>
          <w:bCs w:val="0"/>
          <w:color w:val="auto"/>
          <w:kern w:val="0"/>
          <w:szCs w:val="20"/>
          <w:lang w:val="en-US"/>
        </w:rPr>
        <w:t>5</w:t>
      </w:r>
      <w:r>
        <w:rPr>
          <w:bCs w:val="0"/>
          <w:color w:val="auto"/>
          <w:kern w:val="0"/>
          <w:szCs w:val="20"/>
          <w:lang w:val="en-US"/>
        </w:rPr>
        <w:t>评价等级及评价范围</w:t>
      </w:r>
      <w:bookmarkEnd w:id="79"/>
      <w:bookmarkEnd w:id="80"/>
      <w:bookmarkEnd w:id="81"/>
      <w:bookmarkEnd w:id="82"/>
      <w:bookmarkEnd w:id="83"/>
      <w:bookmarkEnd w:id="84"/>
      <w:bookmarkEnd w:id="85"/>
    </w:p>
    <w:p>
      <w:pPr>
        <w:pStyle w:val="5"/>
        <w:keepNext w:val="0"/>
        <w:keepLines w:val="0"/>
        <w:snapToGrid w:val="0"/>
        <w:spacing w:before="0" w:beforeLines="0" w:after="0" w:afterLines="0"/>
        <w:jc w:val="both"/>
        <w:rPr>
          <w:color w:val="auto"/>
          <w:kern w:val="21"/>
          <w:sz w:val="28"/>
          <w:szCs w:val="28"/>
        </w:rPr>
      </w:pPr>
      <w:r>
        <w:rPr>
          <w:bCs w:val="0"/>
          <w:color w:val="auto"/>
          <w:kern w:val="21"/>
          <w:sz w:val="28"/>
          <w:szCs w:val="28"/>
        </w:rPr>
        <w:t>2.</w:t>
      </w:r>
      <w:r>
        <w:rPr>
          <w:rFonts w:hint="eastAsia"/>
          <w:bCs w:val="0"/>
          <w:color w:val="auto"/>
          <w:kern w:val="21"/>
          <w:sz w:val="28"/>
          <w:szCs w:val="28"/>
        </w:rPr>
        <w:t>5</w:t>
      </w:r>
      <w:r>
        <w:rPr>
          <w:bCs w:val="0"/>
          <w:color w:val="auto"/>
          <w:kern w:val="21"/>
          <w:sz w:val="28"/>
          <w:szCs w:val="28"/>
        </w:rPr>
        <w:t>.1大气环境评价等级及评价范围</w:t>
      </w:r>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.1.1评价等级</w:t>
      </w:r>
    </w:p>
    <w:p>
      <w:pPr>
        <w:adjustRightInd w:val="0"/>
        <w:snapToGrid w:val="0"/>
        <w:spacing w:line="360" w:lineRule="auto"/>
        <w:ind w:firstLine="480" w:firstLineChars="200"/>
        <w:rPr>
          <w:color w:val="auto"/>
          <w:kern w:val="21"/>
          <w:sz w:val="24"/>
        </w:rPr>
      </w:pPr>
      <w:r>
        <w:rPr>
          <w:color w:val="auto"/>
          <w:kern w:val="21"/>
          <w:sz w:val="24"/>
        </w:rPr>
        <w:t>根据《环境影响评价技术导则-大气环境》（HJ2.2-2018）的规定，根据项目污染源初步调查结果，分别计算每一种污染物的最大地面空气质量浓度占标率Pi（第i个污染物，简称</w:t>
      </w:r>
      <w:r>
        <w:rPr>
          <w:rFonts w:hint="eastAsia"/>
          <w:color w:val="auto"/>
          <w:kern w:val="21"/>
          <w:sz w:val="24"/>
        </w:rPr>
        <w:t>“</w:t>
      </w:r>
      <w:r>
        <w:rPr>
          <w:color w:val="auto"/>
          <w:kern w:val="21"/>
          <w:sz w:val="24"/>
        </w:rPr>
        <w:t>最大浓度占标率</w:t>
      </w:r>
      <w:r>
        <w:rPr>
          <w:rFonts w:hint="eastAsia"/>
          <w:color w:val="auto"/>
          <w:kern w:val="21"/>
          <w:sz w:val="24"/>
        </w:rPr>
        <w:t>”</w:t>
      </w:r>
      <w:r>
        <w:rPr>
          <w:color w:val="auto"/>
          <w:kern w:val="21"/>
          <w:sz w:val="24"/>
        </w:rPr>
        <w:t>）及第i个污染物的地面空气质量浓度达到标准限值的10%时所对应的最远距离D10%。其中Pi定义为：</w:t>
      </w:r>
    </w:p>
    <w:p>
      <w:pPr>
        <w:adjustRightInd w:val="0"/>
        <w:snapToGrid w:val="0"/>
        <w:spacing w:line="360" w:lineRule="auto"/>
        <w:jc w:val="center"/>
        <w:rPr>
          <w:color w:val="auto"/>
          <w:kern w:val="21"/>
          <w:sz w:val="24"/>
        </w:rPr>
      </w:pPr>
      <w:r>
        <w:rPr>
          <w:color w:val="auto"/>
          <w:kern w:val="21"/>
          <w:sz w:val="24"/>
        </w:rPr>
        <w:drawing>
          <wp:inline distT="0" distB="0" distL="0" distR="0">
            <wp:extent cx="1228725" cy="476250"/>
            <wp:effectExtent l="0" t="0" r="9525" b="0"/>
            <wp:docPr id="13" name="图片 28" descr="154210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 descr="1542103095"/>
                    <pic:cNvPicPr>
                      <a:picLocks noChangeAspect="1" noChangeArrowheads="1"/>
                    </pic:cNvPicPr>
                  </pic:nvPicPr>
                  <pic:blipFill>
                    <a:blip r:embed="rId45"/>
                    <a:srcRect/>
                    <a:stretch>
                      <a:fillRect/>
                    </a:stretch>
                  </pic:blipFill>
                  <pic:spPr>
                    <a:xfrm>
                      <a:off x="0" y="0"/>
                      <a:ext cx="1228725" cy="476250"/>
                    </a:xfrm>
                    <a:prstGeom prst="rect">
                      <a:avLst/>
                    </a:prstGeom>
                    <a:noFill/>
                    <a:ln>
                      <a:noFill/>
                    </a:ln>
                  </pic:spPr>
                </pic:pic>
              </a:graphicData>
            </a:graphic>
          </wp:inline>
        </w:drawing>
      </w:r>
    </w:p>
    <w:p>
      <w:pPr>
        <w:adjustRightInd w:val="0"/>
        <w:snapToGrid w:val="0"/>
        <w:spacing w:line="360" w:lineRule="auto"/>
        <w:ind w:firstLine="480" w:firstLineChars="200"/>
        <w:rPr>
          <w:color w:val="auto"/>
          <w:kern w:val="21"/>
          <w:sz w:val="24"/>
        </w:rPr>
      </w:pPr>
      <w:r>
        <w:rPr>
          <w:color w:val="auto"/>
          <w:kern w:val="21"/>
          <w:sz w:val="24"/>
        </w:rPr>
        <w:t>式中：</w:t>
      </w:r>
    </w:p>
    <w:p>
      <w:pPr>
        <w:adjustRightInd w:val="0"/>
        <w:snapToGrid w:val="0"/>
        <w:spacing w:line="360" w:lineRule="auto"/>
        <w:ind w:firstLine="480" w:firstLineChars="200"/>
        <w:rPr>
          <w:color w:val="auto"/>
          <w:kern w:val="21"/>
          <w:sz w:val="24"/>
        </w:rPr>
      </w:pPr>
      <w:r>
        <w:rPr>
          <w:color w:val="auto"/>
          <w:kern w:val="21"/>
          <w:sz w:val="24"/>
        </w:rPr>
        <w:t>P</w:t>
      </w:r>
      <w:r>
        <w:rPr>
          <w:color w:val="auto"/>
          <w:kern w:val="21"/>
          <w:sz w:val="24"/>
          <w:vertAlign w:val="subscript"/>
        </w:rPr>
        <w:t>i</w:t>
      </w:r>
      <w:r>
        <w:rPr>
          <w:color w:val="auto"/>
          <w:kern w:val="21"/>
          <w:sz w:val="24"/>
        </w:rPr>
        <w:t>—第i个污染物的最大地面浓度占标率，%；</w:t>
      </w:r>
    </w:p>
    <w:p>
      <w:pPr>
        <w:adjustRightInd w:val="0"/>
        <w:snapToGrid w:val="0"/>
        <w:spacing w:line="360" w:lineRule="auto"/>
        <w:ind w:firstLine="480" w:firstLineChars="200"/>
        <w:rPr>
          <w:color w:val="auto"/>
          <w:kern w:val="21"/>
          <w:sz w:val="24"/>
        </w:rPr>
      </w:pPr>
      <w:r>
        <w:rPr>
          <w:color w:val="auto"/>
          <w:kern w:val="21"/>
          <w:sz w:val="24"/>
        </w:rPr>
        <w:t>C</w:t>
      </w:r>
      <w:r>
        <w:rPr>
          <w:color w:val="auto"/>
          <w:kern w:val="21"/>
          <w:sz w:val="24"/>
          <w:vertAlign w:val="subscript"/>
        </w:rPr>
        <w:t>i</w:t>
      </w:r>
      <w:r>
        <w:rPr>
          <w:color w:val="auto"/>
          <w:kern w:val="21"/>
          <w:sz w:val="24"/>
        </w:rPr>
        <w:t>—采用估算模式计算出的第i 个污染物的最大地面浓度，mg/m</w:t>
      </w:r>
      <w:r>
        <w:rPr>
          <w:color w:val="auto"/>
          <w:kern w:val="21"/>
          <w:sz w:val="24"/>
          <w:vertAlign w:val="superscript"/>
        </w:rPr>
        <w:t>3</w:t>
      </w:r>
      <w:r>
        <w:rPr>
          <w:color w:val="auto"/>
          <w:kern w:val="21"/>
          <w:sz w:val="24"/>
        </w:rPr>
        <w:t>；</w:t>
      </w:r>
    </w:p>
    <w:p>
      <w:pPr>
        <w:adjustRightInd w:val="0"/>
        <w:snapToGrid w:val="0"/>
        <w:spacing w:line="360" w:lineRule="auto"/>
        <w:ind w:firstLine="480" w:firstLineChars="200"/>
        <w:rPr>
          <w:color w:val="auto"/>
          <w:kern w:val="21"/>
          <w:sz w:val="24"/>
        </w:rPr>
      </w:pPr>
      <w:r>
        <w:rPr>
          <w:color w:val="auto"/>
          <w:kern w:val="21"/>
          <w:sz w:val="24"/>
        </w:rPr>
        <w:t>C</w:t>
      </w:r>
      <w:r>
        <w:rPr>
          <w:color w:val="auto"/>
          <w:kern w:val="21"/>
          <w:sz w:val="24"/>
          <w:vertAlign w:val="subscript"/>
        </w:rPr>
        <w:t>0i</w:t>
      </w:r>
      <w:r>
        <w:rPr>
          <w:color w:val="auto"/>
          <w:kern w:val="21"/>
          <w:sz w:val="24"/>
        </w:rPr>
        <w:t>—第i个污染物的环境空气质量标准，mg/m</w:t>
      </w:r>
      <w:r>
        <w:rPr>
          <w:color w:val="auto"/>
          <w:kern w:val="21"/>
          <w:sz w:val="24"/>
          <w:vertAlign w:val="superscript"/>
        </w:rPr>
        <w:t>3</w:t>
      </w:r>
      <w:r>
        <w:rPr>
          <w:color w:val="auto"/>
          <w:kern w:val="21"/>
          <w:sz w:val="24"/>
        </w:rPr>
        <w:t>。</w:t>
      </w:r>
    </w:p>
    <w:p>
      <w:pPr>
        <w:adjustRightInd w:val="0"/>
        <w:snapToGrid w:val="0"/>
        <w:spacing w:line="360" w:lineRule="auto"/>
        <w:ind w:firstLine="480" w:firstLineChars="200"/>
        <w:rPr>
          <w:color w:val="auto"/>
          <w:kern w:val="21"/>
          <w:sz w:val="24"/>
        </w:rPr>
      </w:pPr>
      <w:r>
        <w:rPr>
          <w:color w:val="auto"/>
          <w:kern w:val="21"/>
          <w:sz w:val="24"/>
        </w:rPr>
        <w:t>本项目废气预测因子为颗粒物、</w:t>
      </w:r>
      <w:r>
        <w:rPr>
          <w:rFonts w:hint="eastAsia"/>
          <w:color w:val="auto"/>
          <w:kern w:val="21"/>
          <w:sz w:val="24"/>
        </w:rPr>
        <w:t>氯化氢、NH</w:t>
      </w:r>
      <w:r>
        <w:rPr>
          <w:rFonts w:hint="eastAsia"/>
          <w:color w:val="auto"/>
          <w:kern w:val="21"/>
          <w:sz w:val="24"/>
          <w:vertAlign w:val="subscript"/>
        </w:rPr>
        <w:t>3</w:t>
      </w:r>
      <w:r>
        <w:rPr>
          <w:rFonts w:hint="eastAsia"/>
          <w:color w:val="auto"/>
          <w:kern w:val="21"/>
          <w:sz w:val="24"/>
        </w:rPr>
        <w:t>、H</w:t>
      </w:r>
      <w:r>
        <w:rPr>
          <w:rFonts w:hint="eastAsia"/>
          <w:color w:val="auto"/>
          <w:kern w:val="21"/>
          <w:sz w:val="24"/>
          <w:vertAlign w:val="subscript"/>
        </w:rPr>
        <w:t>2</w:t>
      </w:r>
      <w:r>
        <w:rPr>
          <w:rFonts w:hint="eastAsia"/>
          <w:color w:val="auto"/>
          <w:kern w:val="21"/>
          <w:sz w:val="24"/>
        </w:rPr>
        <w:t>S、SO</w:t>
      </w:r>
      <w:r>
        <w:rPr>
          <w:rFonts w:hint="eastAsia"/>
          <w:color w:val="auto"/>
          <w:kern w:val="21"/>
          <w:sz w:val="24"/>
          <w:vertAlign w:val="subscript"/>
        </w:rPr>
        <w:t>2</w:t>
      </w:r>
      <w:r>
        <w:rPr>
          <w:rFonts w:hint="eastAsia"/>
          <w:color w:val="auto"/>
          <w:kern w:val="21"/>
          <w:sz w:val="24"/>
        </w:rPr>
        <w:t>、NOx</w:t>
      </w:r>
      <w:r>
        <w:rPr>
          <w:color w:val="auto"/>
          <w:kern w:val="21"/>
          <w:sz w:val="24"/>
        </w:rPr>
        <w:t>等。根据《环境影响评价技术导则</w:t>
      </w:r>
      <w:r>
        <w:rPr>
          <w:rFonts w:hint="eastAsia"/>
          <w:color w:val="auto"/>
          <w:kern w:val="21"/>
          <w:sz w:val="24"/>
          <w:lang w:eastAsia="zh-CN"/>
        </w:rPr>
        <w:t>—</w:t>
      </w:r>
      <w:r>
        <w:rPr>
          <w:color w:val="auto"/>
          <w:kern w:val="21"/>
          <w:sz w:val="24"/>
        </w:rPr>
        <w:t>大气环境》（HJ2.2-2018）确定评价等级，评价等级划分表见2.</w:t>
      </w:r>
      <w:r>
        <w:rPr>
          <w:rFonts w:hint="eastAsia"/>
          <w:color w:val="auto"/>
          <w:kern w:val="21"/>
          <w:sz w:val="24"/>
        </w:rPr>
        <w:t>5</w:t>
      </w:r>
      <w:r>
        <w:rPr>
          <w:color w:val="auto"/>
          <w:kern w:val="21"/>
          <w:sz w:val="24"/>
        </w:rPr>
        <w:t>-1。</w:t>
      </w:r>
    </w:p>
    <w:p>
      <w:pPr>
        <w:adjustRightInd w:val="0"/>
        <w:snapToGrid w:val="0"/>
        <w:ind w:firstLine="480" w:firstLineChars="200"/>
        <w:jc w:val="center"/>
        <w:rPr>
          <w:rFonts w:eastAsia="黑体"/>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-1  大气评价工作等级的划分</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95"/>
        <w:gridCol w:w="5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5" w:type="dxa"/>
            <w:vAlign w:val="center"/>
          </w:tcPr>
          <w:p>
            <w:pPr>
              <w:adjustRightInd w:val="0"/>
              <w:snapToGrid w:val="0"/>
              <w:ind w:firstLine="422" w:firstLineChars="200"/>
              <w:jc w:val="center"/>
              <w:rPr>
                <w:b/>
                <w:bCs/>
                <w:color w:val="auto"/>
                <w:kern w:val="21"/>
              </w:rPr>
            </w:pPr>
            <w:r>
              <w:rPr>
                <w:b/>
                <w:bCs/>
                <w:color w:val="auto"/>
                <w:kern w:val="21"/>
              </w:rPr>
              <w:t>评价工作等级</w:t>
            </w:r>
          </w:p>
        </w:tc>
        <w:tc>
          <w:tcPr>
            <w:tcW w:w="5909" w:type="dxa"/>
            <w:vAlign w:val="center"/>
          </w:tcPr>
          <w:p>
            <w:pPr>
              <w:adjustRightInd w:val="0"/>
              <w:snapToGrid w:val="0"/>
              <w:ind w:firstLine="422" w:firstLineChars="200"/>
              <w:jc w:val="center"/>
              <w:rPr>
                <w:b/>
                <w:bCs/>
                <w:color w:val="auto"/>
                <w:kern w:val="21"/>
              </w:rPr>
            </w:pPr>
            <w:r>
              <w:rPr>
                <w:b/>
                <w:bCs/>
                <w:color w:val="auto"/>
                <w:kern w:val="21"/>
              </w:rPr>
              <w:t>评价工作分级依据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5" w:type="dxa"/>
            <w:vAlign w:val="center"/>
          </w:tcPr>
          <w:p>
            <w:pPr>
              <w:adjustRightInd w:val="0"/>
              <w:snapToGrid w:val="0"/>
              <w:ind w:firstLine="420" w:firstLineChars="200"/>
              <w:jc w:val="center"/>
              <w:rPr>
                <w:color w:val="auto"/>
                <w:kern w:val="21"/>
              </w:rPr>
            </w:pPr>
            <w:r>
              <w:rPr>
                <w:color w:val="auto"/>
                <w:kern w:val="21"/>
              </w:rPr>
              <w:t>一级</w:t>
            </w:r>
          </w:p>
        </w:tc>
        <w:tc>
          <w:tcPr>
            <w:tcW w:w="5909" w:type="dxa"/>
            <w:vAlign w:val="center"/>
          </w:tcPr>
          <w:p>
            <w:pPr>
              <w:adjustRightInd w:val="0"/>
              <w:snapToGrid w:val="0"/>
              <w:ind w:firstLine="420" w:firstLineChars="200"/>
              <w:jc w:val="center"/>
              <w:rPr>
                <w:color w:val="auto"/>
                <w:kern w:val="21"/>
              </w:rPr>
            </w:pPr>
            <w:r>
              <w:rPr>
                <w:color w:val="auto"/>
                <w:kern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5" w:type="dxa"/>
            <w:vAlign w:val="center"/>
          </w:tcPr>
          <w:p>
            <w:pPr>
              <w:adjustRightInd w:val="0"/>
              <w:snapToGrid w:val="0"/>
              <w:ind w:firstLine="420" w:firstLineChars="200"/>
              <w:jc w:val="center"/>
              <w:rPr>
                <w:color w:val="auto"/>
                <w:kern w:val="21"/>
              </w:rPr>
            </w:pPr>
            <w:r>
              <w:rPr>
                <w:color w:val="auto"/>
                <w:kern w:val="21"/>
              </w:rPr>
              <w:t>二级</w:t>
            </w:r>
          </w:p>
        </w:tc>
        <w:tc>
          <w:tcPr>
            <w:tcW w:w="5909" w:type="dxa"/>
            <w:vAlign w:val="center"/>
          </w:tcPr>
          <w:p>
            <w:pPr>
              <w:adjustRightInd w:val="0"/>
              <w:snapToGrid w:val="0"/>
              <w:ind w:firstLine="420" w:firstLineChars="200"/>
              <w:jc w:val="center"/>
              <w:rPr>
                <w:color w:val="auto"/>
                <w:kern w:val="21"/>
              </w:rPr>
            </w:pPr>
            <w:r>
              <w:rPr>
                <w:color w:val="auto"/>
                <w:kern w:val="21"/>
              </w:rPr>
              <w:t>1%≤Pmax＜10%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95" w:type="dxa"/>
            <w:vAlign w:val="center"/>
          </w:tcPr>
          <w:p>
            <w:pPr>
              <w:adjustRightInd w:val="0"/>
              <w:snapToGrid w:val="0"/>
              <w:ind w:firstLine="420" w:firstLineChars="200"/>
              <w:jc w:val="center"/>
              <w:rPr>
                <w:color w:val="auto"/>
                <w:kern w:val="21"/>
              </w:rPr>
            </w:pPr>
            <w:r>
              <w:rPr>
                <w:color w:val="auto"/>
                <w:kern w:val="21"/>
              </w:rPr>
              <w:t>三级</w:t>
            </w:r>
          </w:p>
        </w:tc>
        <w:tc>
          <w:tcPr>
            <w:tcW w:w="5909" w:type="dxa"/>
            <w:vAlign w:val="center"/>
          </w:tcPr>
          <w:p>
            <w:pPr>
              <w:adjustRightInd w:val="0"/>
              <w:snapToGrid w:val="0"/>
              <w:ind w:firstLine="420" w:firstLineChars="200"/>
              <w:jc w:val="center"/>
              <w:rPr>
                <w:color w:val="auto"/>
                <w:kern w:val="21"/>
              </w:rPr>
            </w:pPr>
            <w:r>
              <w:rPr>
                <w:color w:val="auto"/>
                <w:kern w:val="21"/>
              </w:rPr>
              <w:t>Pmax＜1%</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rPr>
      </w:pPr>
      <w:r>
        <w:rPr>
          <w:color w:val="auto"/>
          <w:kern w:val="21"/>
          <w:sz w:val="24"/>
        </w:rPr>
        <w:t>根据《环境影响评价技术导则-大气环境》（HJ2.2-2018）中推荐模式计算各种大气污染物的最大地面浓度和达到最大地面浓度时的落地距离，并计算各个污染物的占标率。项目预测结果及评价等级确定一览表见表2.</w:t>
      </w:r>
      <w:r>
        <w:rPr>
          <w:rFonts w:hint="eastAsia"/>
          <w:color w:val="auto"/>
          <w:kern w:val="21"/>
          <w:sz w:val="24"/>
        </w:rPr>
        <w:t>5</w:t>
      </w:r>
      <w:r>
        <w:rPr>
          <w:color w:val="auto"/>
          <w:kern w:val="21"/>
          <w:sz w:val="24"/>
        </w:rPr>
        <w:t>-2。</w:t>
      </w:r>
    </w:p>
    <w:p>
      <w:pPr>
        <w:adjustRightInd w:val="0"/>
        <w:snapToGrid w:val="0"/>
        <w:ind w:firstLine="480" w:firstLineChars="200"/>
        <w:jc w:val="center"/>
        <w:rPr>
          <w:rFonts w:eastAsia="黑体"/>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-2 大气预测及评价等级确定一览表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098"/>
        <w:gridCol w:w="1415"/>
        <w:gridCol w:w="1323"/>
        <w:gridCol w:w="1369"/>
        <w:gridCol w:w="1417"/>
        <w:gridCol w:w="849"/>
        <w:gridCol w:w="105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8" w:space="0"/>
              <w:left w:val="single" w:color="auto" w:sz="8" w:space="0"/>
              <w:bottom w:val="single" w:color="auto" w:sz="6" w:space="0"/>
              <w:right w:val="single" w:color="auto" w:sz="6" w:space="0"/>
            </w:tcBorders>
            <w:vAlign w:val="center"/>
          </w:tcPr>
          <w:p>
            <w:pPr>
              <w:jc w:val="center"/>
              <w:rPr>
                <w:b/>
                <w:bCs/>
                <w:color w:val="auto"/>
              </w:rPr>
            </w:pPr>
            <w:r>
              <w:rPr>
                <w:b/>
                <w:bCs/>
                <w:color w:val="auto"/>
              </w:rPr>
              <w:t>排放源</w:t>
            </w:r>
          </w:p>
        </w:tc>
        <w:tc>
          <w:tcPr>
            <w:tcW w:w="830"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污染因子</w:t>
            </w:r>
          </w:p>
        </w:tc>
        <w:tc>
          <w:tcPr>
            <w:tcW w:w="776"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最大地面浓度出现距离（m）</w:t>
            </w:r>
          </w:p>
        </w:tc>
        <w:tc>
          <w:tcPr>
            <w:tcW w:w="803"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最大落地浓度mg/m</w:t>
            </w:r>
            <w:r>
              <w:rPr>
                <w:b/>
                <w:bCs/>
                <w:color w:val="auto"/>
                <w:vertAlign w:val="superscript"/>
              </w:rPr>
              <w:t>3</w:t>
            </w:r>
          </w:p>
        </w:tc>
        <w:tc>
          <w:tcPr>
            <w:tcW w:w="831"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最大占标率</w:t>
            </w:r>
          </w:p>
          <w:p>
            <w:pPr>
              <w:jc w:val="center"/>
              <w:rPr>
                <w:b/>
                <w:bCs/>
                <w:color w:val="auto"/>
              </w:rPr>
            </w:pPr>
            <w:r>
              <w:rPr>
                <w:b/>
                <w:bCs/>
                <w:color w:val="auto"/>
              </w:rPr>
              <w:t>P</w:t>
            </w:r>
            <w:r>
              <w:rPr>
                <w:b/>
                <w:bCs/>
                <w:color w:val="auto"/>
                <w:vertAlign w:val="subscript"/>
              </w:rPr>
              <w:t>max</w:t>
            </w:r>
            <w:r>
              <w:rPr>
                <w:b/>
                <w:bCs/>
                <w:color w:val="auto"/>
              </w:rPr>
              <w:t>%</w:t>
            </w:r>
          </w:p>
        </w:tc>
        <w:tc>
          <w:tcPr>
            <w:tcW w:w="498" w:type="pct"/>
            <w:tcBorders>
              <w:top w:val="single" w:color="auto" w:sz="8" w:space="0"/>
              <w:left w:val="single" w:color="auto" w:sz="6" w:space="0"/>
              <w:bottom w:val="single" w:color="auto" w:sz="6" w:space="0"/>
              <w:right w:val="single" w:color="auto" w:sz="6" w:space="0"/>
            </w:tcBorders>
            <w:vAlign w:val="center"/>
          </w:tcPr>
          <w:p>
            <w:pPr>
              <w:jc w:val="center"/>
              <w:rPr>
                <w:b/>
                <w:bCs/>
                <w:color w:val="auto"/>
                <w:vertAlign w:val="subscript"/>
              </w:rPr>
            </w:pPr>
            <w:r>
              <w:rPr>
                <w:b/>
                <w:bCs/>
                <w:color w:val="auto"/>
              </w:rPr>
              <w:t>D</w:t>
            </w:r>
            <w:r>
              <w:rPr>
                <w:b/>
                <w:bCs/>
                <w:color w:val="auto"/>
                <w:vertAlign w:val="subscript"/>
              </w:rPr>
              <w:t>10%</w:t>
            </w:r>
          </w:p>
        </w:tc>
        <w:tc>
          <w:tcPr>
            <w:tcW w:w="616" w:type="pct"/>
            <w:tcBorders>
              <w:top w:val="single" w:color="auto" w:sz="8" w:space="0"/>
              <w:left w:val="single" w:color="auto" w:sz="6" w:space="0"/>
              <w:bottom w:val="single" w:color="auto" w:sz="6" w:space="0"/>
              <w:right w:val="single" w:color="auto" w:sz="8" w:space="0"/>
            </w:tcBorders>
            <w:vAlign w:val="center"/>
          </w:tcPr>
          <w:p>
            <w:pPr>
              <w:jc w:val="center"/>
              <w:rPr>
                <w:b/>
                <w:bCs/>
                <w:color w:val="auto"/>
              </w:rPr>
            </w:pPr>
            <w:r>
              <w:rPr>
                <w:b/>
                <w:bCs/>
                <w:color w:val="auto"/>
              </w:rPr>
              <w:t>评价</w:t>
            </w:r>
          </w:p>
          <w:p>
            <w:pPr>
              <w:jc w:val="center"/>
              <w:rPr>
                <w:b/>
                <w:bCs/>
                <w:color w:val="auto"/>
              </w:rPr>
            </w:pPr>
            <w:r>
              <w:rPr>
                <w:b/>
                <w:bCs/>
                <w:color w:val="auto"/>
              </w:rPr>
              <w:t>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bottom w:val="single" w:color="auto" w:sz="6" w:space="0"/>
              <w:right w:val="single" w:color="auto" w:sz="6" w:space="0"/>
            </w:tcBorders>
            <w:vAlign w:val="center"/>
          </w:tcPr>
          <w:p>
            <w:pPr>
              <w:jc w:val="center"/>
              <w:rPr>
                <w:b/>
                <w:bCs/>
                <w:color w:val="auto"/>
                <w:u w:val="single"/>
              </w:rPr>
            </w:pPr>
            <w:r>
              <w:rPr>
                <w:b/>
                <w:bCs/>
                <w:color w:val="auto"/>
                <w:kern w:val="0"/>
                <w:u w:val="single"/>
              </w:rPr>
              <w:t>DA001</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HCl</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300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5.49×10</w:t>
            </w:r>
            <w:r>
              <w:rPr>
                <w:rFonts w:hint="eastAsia"/>
                <w:b/>
                <w:bCs/>
                <w:color w:val="auto"/>
                <w:kern w:val="0"/>
                <w:u w:val="single"/>
                <w:vertAlign w:val="superscript"/>
              </w:rPr>
              <w:t>-4</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b/>
                <w:bCs/>
                <w:color w:val="auto"/>
                <w:kern w:val="0"/>
                <w:u w:val="single"/>
                <w:lang w:val="en-US" w:eastAsia="zh-CN"/>
              </w:rPr>
            </w:pPr>
            <w:r>
              <w:rPr>
                <w:rFonts w:hint="eastAsia"/>
                <w:b/>
                <w:bCs/>
                <w:color w:val="auto"/>
                <w:kern w:val="0"/>
                <w:u w:val="single"/>
              </w:rPr>
              <w:t>1.1</w:t>
            </w:r>
            <w:r>
              <w:rPr>
                <w:rFonts w:hint="eastAsia"/>
                <w:b/>
                <w:bCs/>
                <w:color w:val="auto"/>
                <w:kern w:val="0"/>
                <w:u w:val="single"/>
                <w:lang w:val="en-US" w:eastAsia="zh-CN"/>
              </w:rPr>
              <w:t>0</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restart"/>
            <w:tcBorders>
              <w:top w:val="single" w:color="auto" w:sz="6" w:space="0"/>
              <w:left w:val="single" w:color="auto" w:sz="8" w:space="0"/>
              <w:right w:val="single" w:color="auto" w:sz="6" w:space="0"/>
            </w:tcBorders>
            <w:vAlign w:val="center"/>
          </w:tcPr>
          <w:p>
            <w:pPr>
              <w:jc w:val="center"/>
              <w:rPr>
                <w:bCs/>
                <w:color w:val="auto"/>
              </w:rPr>
            </w:pPr>
            <w:r>
              <w:rPr>
                <w:bCs/>
                <w:color w:val="auto"/>
                <w:kern w:val="0"/>
              </w:rPr>
              <w:t>DA00</w:t>
            </w:r>
            <w:r>
              <w:rPr>
                <w:rFonts w:hint="eastAsia"/>
                <w:bCs/>
                <w:color w:val="auto"/>
                <w:kern w:val="0"/>
              </w:rPr>
              <w:t>2</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bCs/>
                <w:color w:val="auto"/>
                <w:kern w:val="0"/>
              </w:rPr>
              <w:t>PM10</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320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1.443×10</w:t>
            </w:r>
            <w:r>
              <w:rPr>
                <w:rFonts w:hint="eastAsia"/>
                <w:bCs/>
                <w:color w:val="auto"/>
                <w:kern w:val="0"/>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0.32</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Cs/>
                <w:color w:val="auto"/>
                <w:kern w:val="0"/>
              </w:rPr>
            </w:pPr>
            <w:r>
              <w:rPr>
                <w:rFonts w:hint="eastAsia"/>
                <w:bCs/>
                <w:color w:val="auto"/>
                <w:kern w:val="0"/>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continue"/>
            <w:tcBorders>
              <w:left w:val="single" w:color="auto" w:sz="8" w:space="0"/>
              <w:right w:val="single" w:color="auto" w:sz="6" w:space="0"/>
            </w:tcBorders>
            <w:vAlign w:val="center"/>
          </w:tcPr>
          <w:p>
            <w:pPr>
              <w:jc w:val="center"/>
              <w:rPr>
                <w:bCs/>
                <w:color w:val="auto"/>
                <w:kern w:val="0"/>
              </w:rPr>
            </w:pP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bCs/>
                <w:color w:val="auto"/>
                <w:kern w:val="0"/>
              </w:rPr>
              <w:t>SO</w:t>
            </w:r>
            <w:r>
              <w:rPr>
                <w:bCs/>
                <w:color w:val="auto"/>
                <w:kern w:val="0"/>
                <w:vertAlign w:val="subscript"/>
              </w:rPr>
              <w:t>2</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320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2.84×10</w:t>
            </w:r>
            <w:r>
              <w:rPr>
                <w:rFonts w:hint="eastAsia"/>
                <w:bCs/>
                <w:color w:val="auto"/>
                <w:kern w:val="0"/>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0.57</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Cs/>
                <w:color w:val="auto"/>
                <w:kern w:val="0"/>
              </w:rPr>
            </w:pPr>
            <w:r>
              <w:rPr>
                <w:rFonts w:hint="eastAsia"/>
                <w:bCs/>
                <w:color w:val="auto"/>
                <w:kern w:val="0"/>
              </w:rPr>
              <w:t>三</w:t>
            </w:r>
            <w:r>
              <w:rPr>
                <w:bCs/>
                <w:color w:val="auto"/>
                <w:kern w:val="0"/>
              </w:rPr>
              <w:t>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continue"/>
            <w:tcBorders>
              <w:left w:val="single" w:color="auto" w:sz="8" w:space="0"/>
              <w:right w:val="single" w:color="auto" w:sz="6" w:space="0"/>
            </w:tcBorders>
            <w:vAlign w:val="center"/>
          </w:tcPr>
          <w:p>
            <w:pPr>
              <w:jc w:val="center"/>
              <w:rPr>
                <w:bCs/>
                <w:color w:val="auto"/>
              </w:rPr>
            </w:pP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bCs/>
                <w:color w:val="auto"/>
                <w:kern w:val="0"/>
              </w:rPr>
              <w:t>NO</w:t>
            </w:r>
            <w:r>
              <w:rPr>
                <w:bCs/>
                <w:color w:val="auto"/>
                <w:kern w:val="0"/>
                <w:vertAlign w:val="subscript"/>
              </w:rPr>
              <w:t>X</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320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8.62×10</w:t>
            </w:r>
            <w:r>
              <w:rPr>
                <w:rFonts w:hint="eastAsia"/>
                <w:bCs/>
                <w:color w:val="auto"/>
                <w:kern w:val="0"/>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4.31</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Cs/>
                <w:color w:val="auto"/>
                <w:kern w:val="0"/>
              </w:rPr>
            </w:pPr>
            <w:r>
              <w:rPr>
                <w:bCs/>
                <w:color w:val="auto"/>
                <w:kern w:val="0"/>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restart"/>
            <w:tcBorders>
              <w:top w:val="single" w:color="auto" w:sz="6" w:space="0"/>
              <w:left w:val="single" w:color="auto" w:sz="8" w:space="0"/>
              <w:right w:val="single" w:color="auto" w:sz="6" w:space="0"/>
            </w:tcBorders>
            <w:vAlign w:val="center"/>
          </w:tcPr>
          <w:p>
            <w:pPr>
              <w:jc w:val="center"/>
              <w:rPr>
                <w:b/>
                <w:bCs/>
                <w:color w:val="auto"/>
                <w:u w:val="single"/>
              </w:rPr>
            </w:pPr>
            <w:r>
              <w:rPr>
                <w:b/>
                <w:bCs/>
                <w:color w:val="auto"/>
                <w:kern w:val="0"/>
                <w:u w:val="single"/>
              </w:rPr>
              <w:t>DA00</w:t>
            </w:r>
            <w:r>
              <w:rPr>
                <w:rFonts w:hint="eastAsia"/>
                <w:b/>
                <w:bCs/>
                <w:color w:val="auto"/>
                <w:kern w:val="0"/>
                <w:u w:val="single"/>
              </w:rPr>
              <w:t>3</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NH</w:t>
            </w:r>
            <w:r>
              <w:rPr>
                <w:rFonts w:hint="eastAsia"/>
                <w:b/>
                <w:bCs/>
                <w:color w:val="auto"/>
                <w:kern w:val="0"/>
                <w:u w:val="single"/>
                <w:vertAlign w:val="subscript"/>
              </w:rPr>
              <w:t>3</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286</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3.35×10</w:t>
            </w:r>
            <w:r>
              <w:rPr>
                <w:rFonts w:hint="eastAsia"/>
                <w:b/>
                <w:bCs/>
                <w:color w:val="auto"/>
                <w:kern w:val="0"/>
                <w:u w:val="single"/>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1.68</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二</w:t>
            </w:r>
            <w:r>
              <w:rPr>
                <w:b/>
                <w:bCs/>
                <w:color w:val="auto"/>
                <w:kern w:val="0"/>
                <w:u w:val="single"/>
              </w:rPr>
              <w:t>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continue"/>
            <w:tcBorders>
              <w:left w:val="single" w:color="auto" w:sz="8" w:space="0"/>
              <w:right w:val="single" w:color="auto" w:sz="6" w:space="0"/>
            </w:tcBorders>
            <w:vAlign w:val="center"/>
          </w:tcPr>
          <w:p>
            <w:pPr>
              <w:jc w:val="center"/>
              <w:rPr>
                <w:b/>
                <w:bCs/>
                <w:color w:val="auto"/>
                <w:kern w:val="0"/>
                <w:u w:val="single"/>
              </w:rPr>
            </w:pP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H</w:t>
            </w:r>
            <w:r>
              <w:rPr>
                <w:rFonts w:hint="eastAsia"/>
                <w:b/>
                <w:bCs/>
                <w:color w:val="auto"/>
                <w:kern w:val="0"/>
                <w:u w:val="single"/>
                <w:vertAlign w:val="subscript"/>
              </w:rPr>
              <w:t>2</w:t>
            </w:r>
            <w:r>
              <w:rPr>
                <w:rFonts w:hint="eastAsia"/>
                <w:b/>
                <w:bCs/>
                <w:color w:val="auto"/>
                <w:kern w:val="0"/>
                <w:u w:val="single"/>
              </w:rPr>
              <w:t>S</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286</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2.40×10</w:t>
            </w:r>
            <w:r>
              <w:rPr>
                <w:rFonts w:hint="eastAsia"/>
                <w:b/>
                <w:bCs/>
                <w:color w:val="auto"/>
                <w:kern w:val="0"/>
                <w:u w:val="single"/>
                <w:vertAlign w:val="superscript"/>
              </w:rPr>
              <w:t>-5</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0.24</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right w:val="single" w:color="auto" w:sz="6" w:space="0"/>
            </w:tcBorders>
            <w:vAlign w:val="center"/>
          </w:tcPr>
          <w:p>
            <w:pPr>
              <w:jc w:val="center"/>
              <w:rPr>
                <w:b/>
                <w:bCs/>
                <w:color w:val="auto"/>
                <w:u w:val="single"/>
              </w:rPr>
            </w:pPr>
            <w:r>
              <w:rPr>
                <w:b/>
                <w:bCs/>
                <w:color w:val="auto"/>
                <w:kern w:val="0"/>
                <w:u w:val="single"/>
              </w:rPr>
              <w:t>DA00</w:t>
            </w:r>
            <w:r>
              <w:rPr>
                <w:rFonts w:hint="eastAsia"/>
                <w:b/>
                <w:bCs/>
                <w:color w:val="auto"/>
                <w:kern w:val="0"/>
                <w:u w:val="single"/>
              </w:rPr>
              <w:t>4</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颗粒物</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254</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1.30×10</w:t>
            </w:r>
            <w:r>
              <w:rPr>
                <w:rFonts w:hint="eastAsia"/>
                <w:b/>
                <w:bCs/>
                <w:color w:val="auto"/>
                <w:kern w:val="0"/>
                <w:u w:val="single"/>
                <w:vertAlign w:val="superscript"/>
              </w:rPr>
              <w:t>-2</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b/>
                <w:bCs/>
                <w:color w:val="auto"/>
                <w:kern w:val="0"/>
                <w:u w:val="single"/>
                <w:lang w:val="en-US" w:eastAsia="zh-CN"/>
              </w:rPr>
            </w:pPr>
            <w:r>
              <w:rPr>
                <w:rFonts w:hint="eastAsia"/>
                <w:b/>
                <w:bCs/>
                <w:color w:val="auto"/>
                <w:kern w:val="0"/>
                <w:u w:val="single"/>
              </w:rPr>
              <w:t>2.9</w:t>
            </w:r>
            <w:r>
              <w:rPr>
                <w:rFonts w:hint="eastAsia"/>
                <w:b/>
                <w:bCs/>
                <w:color w:val="auto"/>
                <w:kern w:val="0"/>
                <w:u w:val="single"/>
                <w:lang w:val="en-US" w:eastAsia="zh-CN"/>
              </w:rPr>
              <w:t>0</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lang w:eastAsia="zh-CN"/>
              </w:rPr>
              <w:t>二</w:t>
            </w:r>
            <w:r>
              <w:rPr>
                <w:b/>
                <w:bCs/>
                <w:color w:val="auto"/>
                <w:kern w:val="0"/>
                <w:u w:val="single"/>
              </w:rPr>
              <w:t>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right w:val="single" w:color="auto" w:sz="6" w:space="0"/>
            </w:tcBorders>
            <w:vAlign w:val="center"/>
          </w:tcPr>
          <w:p>
            <w:pPr>
              <w:jc w:val="center"/>
              <w:rPr>
                <w:bCs/>
                <w:color w:val="auto"/>
                <w:kern w:val="0"/>
              </w:rPr>
            </w:pPr>
            <w:r>
              <w:rPr>
                <w:bCs/>
                <w:snapToGrid w:val="0"/>
                <w:color w:val="auto"/>
              </w:rPr>
              <w:t>北车间</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b/>
                <w:color w:val="auto"/>
                <w:kern w:val="0"/>
                <w:u w:val="single"/>
              </w:rPr>
              <w:t>HCl</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177</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3.25×10</w:t>
            </w:r>
            <w:r>
              <w:rPr>
                <w:rFonts w:hint="eastAsia"/>
                <w:b/>
                <w:color w:val="auto"/>
                <w:kern w:val="0"/>
                <w:u w:val="single"/>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6.50</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color w:val="auto"/>
                <w:kern w:val="0"/>
                <w:u w:val="single"/>
              </w:rPr>
            </w:pPr>
            <w:r>
              <w:rPr>
                <w:b/>
                <w:color w:val="auto"/>
                <w:kern w:val="0"/>
                <w:u w:val="single"/>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bottom w:val="single" w:color="auto" w:sz="6" w:space="0"/>
              <w:right w:val="single" w:color="auto" w:sz="6" w:space="0"/>
            </w:tcBorders>
            <w:vAlign w:val="center"/>
          </w:tcPr>
          <w:p>
            <w:pPr>
              <w:jc w:val="center"/>
              <w:rPr>
                <w:color w:val="auto"/>
                <w:kern w:val="0"/>
              </w:rPr>
            </w:pPr>
            <w:r>
              <w:rPr>
                <w:color w:val="auto"/>
                <w:kern w:val="0"/>
              </w:rPr>
              <w:t>南车间</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颗粒物</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255</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2.82×10</w:t>
            </w:r>
            <w:r>
              <w:rPr>
                <w:rFonts w:hint="eastAsia"/>
                <w:b/>
                <w:bCs/>
                <w:color w:val="auto"/>
                <w:kern w:val="0"/>
                <w:u w:val="single"/>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0.63</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三级</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rPr>
      </w:pPr>
      <w:r>
        <w:rPr>
          <w:color w:val="auto"/>
          <w:kern w:val="21"/>
          <w:sz w:val="24"/>
        </w:rPr>
        <w:t>由上表可知</w:t>
      </w:r>
      <w:r>
        <w:rPr>
          <w:b/>
          <w:bCs/>
          <w:color w:val="auto"/>
          <w:kern w:val="21"/>
          <w:sz w:val="24"/>
          <w:u w:val="single"/>
        </w:rPr>
        <w:t>，</w:t>
      </w:r>
      <w:r>
        <w:rPr>
          <w:b/>
          <w:bCs/>
          <w:color w:val="auto"/>
          <w:sz w:val="24"/>
          <w:szCs w:val="24"/>
          <w:u w:val="single"/>
        </w:rPr>
        <w:t>本项目排放污染物最大地面浓度占标率为</w:t>
      </w:r>
      <w:r>
        <w:rPr>
          <w:rFonts w:hint="eastAsia"/>
          <w:b/>
          <w:bCs/>
          <w:color w:val="auto"/>
          <w:sz w:val="24"/>
          <w:szCs w:val="24"/>
          <w:u w:val="single"/>
          <w:lang w:val="en-US" w:eastAsia="zh-CN"/>
        </w:rPr>
        <w:t>P</w:t>
      </w:r>
      <w:r>
        <w:rPr>
          <w:b/>
          <w:bCs/>
          <w:color w:val="auto"/>
          <w:sz w:val="24"/>
          <w:szCs w:val="24"/>
          <w:u w:val="single"/>
          <w:vertAlign w:val="subscript"/>
        </w:rPr>
        <w:t>max=</w:t>
      </w:r>
      <w:r>
        <w:rPr>
          <w:rFonts w:hint="eastAsia"/>
          <w:b/>
          <w:bCs/>
          <w:color w:val="auto"/>
          <w:sz w:val="24"/>
          <w:szCs w:val="24"/>
          <w:u w:val="single"/>
          <w:vertAlign w:val="baseline"/>
          <w:lang w:val="en-US" w:eastAsia="zh-CN"/>
        </w:rPr>
        <w:t>6.50</w:t>
      </w:r>
      <w:r>
        <w:rPr>
          <w:b/>
          <w:bCs/>
          <w:color w:val="auto"/>
          <w:sz w:val="24"/>
          <w:szCs w:val="24"/>
          <w:u w:val="single"/>
        </w:rPr>
        <w:t>%</w:t>
      </w:r>
      <w:r>
        <w:rPr>
          <w:color w:val="auto"/>
          <w:sz w:val="24"/>
          <w:szCs w:val="24"/>
        </w:rPr>
        <w:t>，属于</w:t>
      </w:r>
      <w:r>
        <w:rPr>
          <w:color w:val="auto"/>
          <w:sz w:val="24"/>
        </w:rPr>
        <w:t>1%≤P</w:t>
      </w:r>
      <w:r>
        <w:rPr>
          <w:color w:val="auto"/>
          <w:sz w:val="24"/>
          <w:vertAlign w:val="subscript"/>
        </w:rPr>
        <w:t>max</w:t>
      </w:r>
      <w:r>
        <w:rPr>
          <w:color w:val="auto"/>
          <w:sz w:val="24"/>
        </w:rPr>
        <w:t>＜10%，最远影响距离D</w:t>
      </w:r>
      <w:r>
        <w:rPr>
          <w:color w:val="auto"/>
          <w:sz w:val="24"/>
          <w:vertAlign w:val="subscript"/>
        </w:rPr>
        <w:t>10%</w:t>
      </w:r>
      <w:r>
        <w:rPr>
          <w:color w:val="auto"/>
          <w:sz w:val="24"/>
        </w:rPr>
        <w:t>未出现。根据评价等级判断标准，确定该项目评价等级为二级</w:t>
      </w:r>
      <w:r>
        <w:rPr>
          <w:color w:val="auto"/>
          <w:kern w:val="21"/>
          <w:sz w:val="24"/>
        </w:rPr>
        <w:t>。</w:t>
      </w:r>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.1.2评价范围</w:t>
      </w:r>
    </w:p>
    <w:p>
      <w:pPr>
        <w:adjustRightInd w:val="0"/>
        <w:snapToGrid w:val="0"/>
        <w:spacing w:line="360" w:lineRule="auto"/>
        <w:ind w:firstLine="480" w:firstLineChars="200"/>
        <w:rPr>
          <w:color w:val="auto"/>
          <w:kern w:val="21"/>
          <w:sz w:val="24"/>
        </w:rPr>
      </w:pPr>
      <w:r>
        <w:rPr>
          <w:color w:val="auto"/>
          <w:kern w:val="21"/>
          <w:sz w:val="24"/>
        </w:rPr>
        <w:t>根据《环境影响评价技术导则-大气环境》（HJ2.2-2018）中关于二级大气环境影响评价的要求</w:t>
      </w:r>
      <w:r>
        <w:rPr>
          <w:color w:val="auto"/>
          <w:kern w:val="21"/>
          <w:sz w:val="24"/>
          <w:szCs w:val="24"/>
        </w:rPr>
        <w:t>和项目本身特点，确定本项目评价范围为：</w:t>
      </w:r>
      <w:r>
        <w:rPr>
          <w:bCs/>
          <w:color w:val="auto"/>
          <w:kern w:val="21"/>
          <w:sz w:val="24"/>
          <w:szCs w:val="24"/>
        </w:rPr>
        <w:t>以项目厂区为中心，边长5km的矩形区域，总评价范围25km</w:t>
      </w:r>
      <w:r>
        <w:rPr>
          <w:bCs/>
          <w:color w:val="auto"/>
          <w:kern w:val="21"/>
          <w:sz w:val="24"/>
          <w:szCs w:val="24"/>
          <w:vertAlign w:val="superscript"/>
        </w:rPr>
        <w:t>2</w:t>
      </w:r>
      <w:r>
        <w:rPr>
          <w:color w:val="auto"/>
          <w:kern w:val="21"/>
          <w:sz w:val="24"/>
        </w:rPr>
        <w:t>。</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2.</w:t>
      </w:r>
      <w:r>
        <w:rPr>
          <w:rFonts w:hint="eastAsia"/>
          <w:bCs w:val="0"/>
          <w:color w:val="auto"/>
          <w:kern w:val="21"/>
          <w:sz w:val="28"/>
          <w:szCs w:val="28"/>
        </w:rPr>
        <w:t>5</w:t>
      </w:r>
      <w:r>
        <w:rPr>
          <w:bCs w:val="0"/>
          <w:color w:val="auto"/>
          <w:kern w:val="21"/>
          <w:sz w:val="28"/>
          <w:szCs w:val="28"/>
        </w:rPr>
        <w:t>.2地表水环境评价等级</w:t>
      </w:r>
    </w:p>
    <w:p>
      <w:pPr>
        <w:adjustRightInd w:val="0"/>
        <w:snapToGrid w:val="0"/>
        <w:spacing w:line="360" w:lineRule="auto"/>
        <w:ind w:firstLine="480" w:firstLineChars="200"/>
        <w:rPr>
          <w:bCs/>
          <w:color w:val="auto"/>
          <w:kern w:val="21"/>
          <w:sz w:val="24"/>
          <w:szCs w:val="24"/>
        </w:rPr>
      </w:pPr>
      <w:r>
        <w:rPr>
          <w:bCs/>
          <w:color w:val="auto"/>
          <w:kern w:val="21"/>
          <w:sz w:val="24"/>
          <w:szCs w:val="24"/>
        </w:rPr>
        <w:t>按《环境影响评价技术导则</w:t>
      </w:r>
      <w:r>
        <w:rPr>
          <w:rFonts w:hint="eastAsia"/>
          <w:bCs/>
          <w:color w:val="auto"/>
          <w:kern w:val="21"/>
          <w:sz w:val="24"/>
          <w:szCs w:val="24"/>
        </w:rPr>
        <w:t xml:space="preserve"> </w:t>
      </w:r>
      <w:r>
        <w:rPr>
          <w:bCs/>
          <w:color w:val="auto"/>
          <w:kern w:val="21"/>
          <w:sz w:val="24"/>
          <w:szCs w:val="24"/>
        </w:rPr>
        <w:t>地表水环境》（HJ2.3-2018）要求，地表水评价工作等级划分见表2.</w:t>
      </w:r>
      <w:r>
        <w:rPr>
          <w:rFonts w:hint="eastAsia"/>
          <w:bCs/>
          <w:color w:val="auto"/>
          <w:kern w:val="21"/>
          <w:sz w:val="24"/>
          <w:szCs w:val="24"/>
        </w:rPr>
        <w:t>5</w:t>
      </w:r>
      <w:r>
        <w:rPr>
          <w:bCs/>
          <w:color w:val="auto"/>
          <w:kern w:val="21"/>
          <w:sz w:val="24"/>
          <w:szCs w:val="24"/>
        </w:rPr>
        <w:t>-3。</w:t>
      </w:r>
    </w:p>
    <w:p>
      <w:pPr>
        <w:adjustRightInd w:val="0"/>
        <w:snapToGrid w:val="0"/>
        <w:ind w:firstLine="480" w:firstLineChars="200"/>
        <w:jc w:val="center"/>
        <w:rPr>
          <w:rFonts w:eastAsia="黑体"/>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-3 地表水评价工作等级判定</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7"/>
        <w:gridCol w:w="3242"/>
        <w:gridCol w:w="3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7" w:type="dxa"/>
            <w:vMerge w:val="restart"/>
            <w:vAlign w:val="center"/>
          </w:tcPr>
          <w:p>
            <w:pPr>
              <w:adjustRightInd w:val="0"/>
              <w:snapToGrid w:val="0"/>
              <w:jc w:val="center"/>
              <w:rPr>
                <w:b/>
                <w:bCs/>
                <w:color w:val="auto"/>
                <w:kern w:val="21"/>
              </w:rPr>
            </w:pPr>
            <w:r>
              <w:rPr>
                <w:b/>
                <w:bCs/>
                <w:color w:val="auto"/>
                <w:kern w:val="21"/>
              </w:rPr>
              <w:t>评价等级</w:t>
            </w:r>
          </w:p>
        </w:tc>
        <w:tc>
          <w:tcPr>
            <w:tcW w:w="6967" w:type="dxa"/>
            <w:gridSpan w:val="2"/>
            <w:vAlign w:val="center"/>
          </w:tcPr>
          <w:p>
            <w:pPr>
              <w:adjustRightInd w:val="0"/>
              <w:snapToGrid w:val="0"/>
              <w:jc w:val="center"/>
              <w:rPr>
                <w:b/>
                <w:bCs/>
                <w:color w:val="auto"/>
                <w:kern w:val="21"/>
              </w:rPr>
            </w:pPr>
            <w:r>
              <w:rPr>
                <w:b/>
                <w:bCs/>
                <w:color w:val="auto"/>
                <w:kern w:val="21"/>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7" w:type="dxa"/>
            <w:vMerge w:val="continue"/>
            <w:vAlign w:val="center"/>
          </w:tcPr>
          <w:p>
            <w:pPr>
              <w:adjustRightInd w:val="0"/>
              <w:snapToGrid w:val="0"/>
              <w:jc w:val="center"/>
              <w:rPr>
                <w:b/>
                <w:bCs/>
                <w:color w:val="auto"/>
                <w:kern w:val="21"/>
              </w:rPr>
            </w:pPr>
          </w:p>
        </w:tc>
        <w:tc>
          <w:tcPr>
            <w:tcW w:w="3242" w:type="dxa"/>
            <w:vAlign w:val="center"/>
          </w:tcPr>
          <w:p>
            <w:pPr>
              <w:adjustRightInd w:val="0"/>
              <w:snapToGrid w:val="0"/>
              <w:jc w:val="center"/>
              <w:rPr>
                <w:b/>
                <w:bCs/>
                <w:color w:val="auto"/>
                <w:kern w:val="21"/>
              </w:rPr>
            </w:pPr>
            <w:r>
              <w:rPr>
                <w:b/>
                <w:bCs/>
                <w:color w:val="auto"/>
                <w:kern w:val="21"/>
              </w:rPr>
              <w:t>排放方式</w:t>
            </w:r>
          </w:p>
        </w:tc>
        <w:tc>
          <w:tcPr>
            <w:tcW w:w="3725" w:type="dxa"/>
            <w:vAlign w:val="center"/>
          </w:tcPr>
          <w:p>
            <w:pPr>
              <w:adjustRightInd w:val="0"/>
              <w:snapToGrid w:val="0"/>
              <w:jc w:val="center"/>
              <w:rPr>
                <w:b/>
                <w:bCs/>
                <w:color w:val="auto"/>
                <w:kern w:val="21"/>
              </w:rPr>
            </w:pPr>
            <w:r>
              <w:rPr>
                <w:b/>
                <w:bCs/>
                <w:color w:val="auto"/>
                <w:kern w:val="21"/>
              </w:rPr>
              <w:t>废水排放量Q/（m</w:t>
            </w:r>
            <w:r>
              <w:rPr>
                <w:b/>
                <w:bCs/>
                <w:color w:val="auto"/>
                <w:kern w:val="21"/>
                <w:vertAlign w:val="superscript"/>
              </w:rPr>
              <w:t>3</w:t>
            </w:r>
            <w:r>
              <w:rPr>
                <w:b/>
                <w:bCs/>
                <w:color w:val="auto"/>
                <w:kern w:val="21"/>
              </w:rPr>
              <w:t>/d）；</w:t>
            </w:r>
          </w:p>
          <w:p>
            <w:pPr>
              <w:adjustRightInd w:val="0"/>
              <w:snapToGrid w:val="0"/>
              <w:jc w:val="center"/>
              <w:rPr>
                <w:b/>
                <w:bCs/>
                <w:color w:val="auto"/>
                <w:kern w:val="21"/>
              </w:rPr>
            </w:pPr>
            <w:r>
              <w:rPr>
                <w:b/>
                <w:bCs/>
                <w:color w:val="auto"/>
                <w:kern w:val="21"/>
              </w:rPr>
              <w:t>水污染物当量数W/（无量纲）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7" w:type="dxa"/>
            <w:vAlign w:val="center"/>
          </w:tcPr>
          <w:p>
            <w:pPr>
              <w:adjustRightInd w:val="0"/>
              <w:snapToGrid w:val="0"/>
              <w:jc w:val="center"/>
              <w:rPr>
                <w:color w:val="auto"/>
                <w:kern w:val="21"/>
              </w:rPr>
            </w:pPr>
            <w:r>
              <w:rPr>
                <w:color w:val="auto"/>
                <w:kern w:val="21"/>
              </w:rPr>
              <w:t>一级</w:t>
            </w:r>
          </w:p>
        </w:tc>
        <w:tc>
          <w:tcPr>
            <w:tcW w:w="3242" w:type="dxa"/>
            <w:vAlign w:val="center"/>
          </w:tcPr>
          <w:p>
            <w:pPr>
              <w:adjustRightInd w:val="0"/>
              <w:snapToGrid w:val="0"/>
              <w:jc w:val="center"/>
              <w:rPr>
                <w:color w:val="auto"/>
                <w:kern w:val="21"/>
              </w:rPr>
            </w:pPr>
            <w:r>
              <w:rPr>
                <w:color w:val="auto"/>
                <w:kern w:val="21"/>
              </w:rPr>
              <w:t>直接排放</w:t>
            </w:r>
          </w:p>
        </w:tc>
        <w:tc>
          <w:tcPr>
            <w:tcW w:w="3725" w:type="dxa"/>
            <w:vAlign w:val="center"/>
          </w:tcPr>
          <w:p>
            <w:pPr>
              <w:adjustRightInd w:val="0"/>
              <w:snapToGrid w:val="0"/>
              <w:jc w:val="center"/>
              <w:rPr>
                <w:color w:val="auto"/>
                <w:kern w:val="21"/>
              </w:rPr>
            </w:pPr>
            <w:r>
              <w:rPr>
                <w:color w:val="auto"/>
                <w:kern w:val="21"/>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7" w:type="dxa"/>
            <w:vAlign w:val="center"/>
          </w:tcPr>
          <w:p>
            <w:pPr>
              <w:adjustRightInd w:val="0"/>
              <w:snapToGrid w:val="0"/>
              <w:jc w:val="center"/>
              <w:rPr>
                <w:color w:val="auto"/>
                <w:kern w:val="21"/>
              </w:rPr>
            </w:pPr>
            <w:r>
              <w:rPr>
                <w:color w:val="auto"/>
                <w:kern w:val="21"/>
              </w:rPr>
              <w:t>二级</w:t>
            </w:r>
          </w:p>
        </w:tc>
        <w:tc>
          <w:tcPr>
            <w:tcW w:w="3242" w:type="dxa"/>
            <w:vAlign w:val="center"/>
          </w:tcPr>
          <w:p>
            <w:pPr>
              <w:adjustRightInd w:val="0"/>
              <w:snapToGrid w:val="0"/>
              <w:jc w:val="center"/>
              <w:rPr>
                <w:color w:val="auto"/>
                <w:kern w:val="21"/>
              </w:rPr>
            </w:pPr>
            <w:r>
              <w:rPr>
                <w:color w:val="auto"/>
                <w:kern w:val="21"/>
              </w:rPr>
              <w:t>直接排放</w:t>
            </w:r>
          </w:p>
        </w:tc>
        <w:tc>
          <w:tcPr>
            <w:tcW w:w="3725" w:type="dxa"/>
            <w:vAlign w:val="center"/>
          </w:tcPr>
          <w:p>
            <w:pPr>
              <w:adjustRightInd w:val="0"/>
              <w:snapToGrid w:val="0"/>
              <w:jc w:val="center"/>
              <w:rPr>
                <w:color w:val="auto"/>
                <w:kern w:val="21"/>
              </w:rPr>
            </w:pPr>
            <w:r>
              <w:rPr>
                <w:color w:val="auto"/>
                <w:kern w:val="21"/>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7" w:type="dxa"/>
            <w:vAlign w:val="center"/>
          </w:tcPr>
          <w:p>
            <w:pPr>
              <w:adjustRightInd w:val="0"/>
              <w:snapToGrid w:val="0"/>
              <w:jc w:val="center"/>
              <w:rPr>
                <w:color w:val="auto"/>
                <w:kern w:val="21"/>
              </w:rPr>
            </w:pPr>
            <w:r>
              <w:rPr>
                <w:color w:val="auto"/>
                <w:kern w:val="21"/>
              </w:rPr>
              <w:t>三级A</w:t>
            </w:r>
          </w:p>
        </w:tc>
        <w:tc>
          <w:tcPr>
            <w:tcW w:w="3242" w:type="dxa"/>
            <w:vAlign w:val="center"/>
          </w:tcPr>
          <w:p>
            <w:pPr>
              <w:adjustRightInd w:val="0"/>
              <w:snapToGrid w:val="0"/>
              <w:jc w:val="center"/>
              <w:rPr>
                <w:color w:val="auto"/>
                <w:kern w:val="21"/>
              </w:rPr>
            </w:pPr>
            <w:r>
              <w:rPr>
                <w:color w:val="auto"/>
                <w:kern w:val="21"/>
              </w:rPr>
              <w:t>直接排放</w:t>
            </w:r>
          </w:p>
        </w:tc>
        <w:tc>
          <w:tcPr>
            <w:tcW w:w="3725" w:type="dxa"/>
            <w:vAlign w:val="center"/>
          </w:tcPr>
          <w:p>
            <w:pPr>
              <w:adjustRightInd w:val="0"/>
              <w:snapToGrid w:val="0"/>
              <w:jc w:val="center"/>
              <w:rPr>
                <w:color w:val="auto"/>
                <w:kern w:val="21"/>
              </w:rPr>
            </w:pPr>
            <w:r>
              <w:rPr>
                <w:color w:val="auto"/>
                <w:kern w:val="21"/>
              </w:rPr>
              <w:t>Q&lt;200或W&lt;6000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37" w:type="dxa"/>
            <w:vAlign w:val="center"/>
          </w:tcPr>
          <w:p>
            <w:pPr>
              <w:adjustRightInd w:val="0"/>
              <w:snapToGrid w:val="0"/>
              <w:jc w:val="center"/>
              <w:rPr>
                <w:color w:val="auto"/>
                <w:kern w:val="21"/>
              </w:rPr>
            </w:pPr>
            <w:r>
              <w:rPr>
                <w:color w:val="auto"/>
                <w:kern w:val="21"/>
              </w:rPr>
              <w:t>三级B</w:t>
            </w:r>
          </w:p>
        </w:tc>
        <w:tc>
          <w:tcPr>
            <w:tcW w:w="3242" w:type="dxa"/>
            <w:vAlign w:val="center"/>
          </w:tcPr>
          <w:p>
            <w:pPr>
              <w:adjustRightInd w:val="0"/>
              <w:snapToGrid w:val="0"/>
              <w:jc w:val="center"/>
              <w:rPr>
                <w:color w:val="auto"/>
                <w:kern w:val="21"/>
              </w:rPr>
            </w:pPr>
            <w:r>
              <w:rPr>
                <w:color w:val="auto"/>
                <w:kern w:val="21"/>
              </w:rPr>
              <w:t>间接排放</w:t>
            </w:r>
          </w:p>
        </w:tc>
        <w:tc>
          <w:tcPr>
            <w:tcW w:w="3725" w:type="dxa"/>
            <w:vAlign w:val="center"/>
          </w:tcPr>
          <w:p>
            <w:pPr>
              <w:adjustRightInd w:val="0"/>
              <w:snapToGrid w:val="0"/>
              <w:jc w:val="center"/>
              <w:rPr>
                <w:color w:val="auto"/>
                <w:kern w:val="21"/>
              </w:rPr>
            </w:pPr>
            <w:r>
              <w:rPr>
                <w:color w:val="auto"/>
                <w:kern w:val="21"/>
              </w:rPr>
              <w:t>—</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bCs/>
          <w:color w:val="auto"/>
          <w:kern w:val="21"/>
          <w:sz w:val="24"/>
        </w:rPr>
      </w:pPr>
      <w:r>
        <w:rPr>
          <w:bCs/>
          <w:color w:val="auto"/>
          <w:kern w:val="21"/>
          <w:sz w:val="24"/>
          <w:szCs w:val="24"/>
        </w:rPr>
        <w:t>本项目运营期产生的</w:t>
      </w:r>
      <w:r>
        <w:rPr>
          <w:rFonts w:hint="eastAsia"/>
          <w:bCs/>
          <w:color w:val="auto"/>
          <w:kern w:val="21"/>
          <w:sz w:val="24"/>
          <w:szCs w:val="24"/>
          <w:lang w:eastAsia="zh-CN"/>
        </w:rPr>
        <w:t>涉</w:t>
      </w:r>
      <w:r>
        <w:rPr>
          <w:bCs/>
          <w:color w:val="auto"/>
          <w:kern w:val="21"/>
          <w:sz w:val="24"/>
          <w:szCs w:val="24"/>
        </w:rPr>
        <w:t>重废水</w:t>
      </w:r>
      <w:r>
        <w:rPr>
          <w:rFonts w:hint="eastAsia"/>
          <w:bCs/>
          <w:color w:val="auto"/>
          <w:kern w:val="21"/>
          <w:sz w:val="24"/>
          <w:szCs w:val="24"/>
          <w:lang w:eastAsia="zh-CN"/>
        </w:rPr>
        <w:t>经厂区污水处理站处理后</w:t>
      </w:r>
      <w:r>
        <w:rPr>
          <w:bCs/>
          <w:color w:val="auto"/>
          <w:kern w:val="21"/>
          <w:sz w:val="24"/>
          <w:szCs w:val="24"/>
        </w:rPr>
        <w:t>全部回用，不外排。</w:t>
      </w:r>
      <w:r>
        <w:rPr>
          <w:rFonts w:hint="eastAsia"/>
          <w:bCs/>
          <w:color w:val="auto"/>
          <w:kern w:val="21"/>
          <w:sz w:val="24"/>
          <w:szCs w:val="24"/>
        </w:rPr>
        <w:t>锅炉浓水、纯水制备浓水</w:t>
      </w:r>
      <w:r>
        <w:rPr>
          <w:bCs/>
          <w:color w:val="auto"/>
          <w:kern w:val="21"/>
          <w:sz w:val="24"/>
          <w:szCs w:val="24"/>
        </w:rPr>
        <w:t>和生活污水，经市政管网排入同盟污水处理厂，</w:t>
      </w:r>
      <w:r>
        <w:rPr>
          <w:bCs/>
          <w:color w:val="auto"/>
          <w:kern w:val="21"/>
          <w:sz w:val="24"/>
        </w:rPr>
        <w:t>属于间接排放，因此地表水环境影响评价工作等级定为三级B。</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2.</w:t>
      </w:r>
      <w:r>
        <w:rPr>
          <w:rFonts w:hint="eastAsia"/>
          <w:bCs w:val="0"/>
          <w:color w:val="auto"/>
          <w:kern w:val="21"/>
          <w:sz w:val="28"/>
          <w:szCs w:val="28"/>
        </w:rPr>
        <w:t>5</w:t>
      </w:r>
      <w:r>
        <w:rPr>
          <w:bCs w:val="0"/>
          <w:color w:val="auto"/>
          <w:kern w:val="21"/>
          <w:sz w:val="28"/>
          <w:szCs w:val="28"/>
        </w:rPr>
        <w:t>.3地下水环境评价等级及评价范围</w:t>
      </w:r>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.3.1评价等级</w:t>
      </w:r>
    </w:p>
    <w:p>
      <w:pPr>
        <w:adjustRightInd w:val="0"/>
        <w:snapToGrid w:val="0"/>
        <w:spacing w:line="360" w:lineRule="auto"/>
        <w:ind w:firstLine="480" w:firstLineChars="200"/>
        <w:rPr>
          <w:rFonts w:eastAsia="黑体"/>
          <w:color w:val="auto"/>
          <w:kern w:val="21"/>
          <w:sz w:val="24"/>
          <w:szCs w:val="24"/>
        </w:rPr>
      </w:pPr>
      <w:r>
        <w:rPr>
          <w:color w:val="auto"/>
          <w:kern w:val="21"/>
          <w:sz w:val="24"/>
          <w:szCs w:val="24"/>
        </w:rPr>
        <w:t>根据《环境影响评价技术导则-地下水环境》（HJ610-2016）规定，地下水评价工作等级的划分依据建设项目行业分类和地下水环境敏感程度分级进行判定。评价工作等级分级表如下：</w:t>
      </w:r>
    </w:p>
    <w:p>
      <w:pPr>
        <w:jc w:val="center"/>
        <w:rPr>
          <w:rFonts w:eastAsia="黑体"/>
          <w:color w:val="auto"/>
          <w:kern w:val="21"/>
          <w:sz w:val="24"/>
          <w:szCs w:val="24"/>
        </w:rPr>
      </w:pPr>
      <w:r>
        <w:rPr>
          <w:rFonts w:eastAsia="黑体"/>
          <w:color w:val="auto"/>
          <w:kern w:val="21"/>
          <w:sz w:val="24"/>
          <w:szCs w:val="24"/>
        </w:rPr>
        <w:t>表2.5-4  地下水环境评价工作等级分级表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2"/>
        <w:gridCol w:w="1555"/>
        <w:gridCol w:w="1693"/>
        <w:gridCol w:w="1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72" w:type="dxa"/>
            <w:tcBorders>
              <w:top w:val="single" w:color="auto" w:sz="4" w:space="0"/>
              <w:left w:val="single" w:color="auto" w:sz="4" w:space="0"/>
              <w:tl2br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rPr>
            </w:pPr>
            <w:r>
              <w:rPr>
                <w:rFonts w:hint="eastAsia"/>
                <w:b/>
                <w:bCs/>
                <w:color w:val="auto"/>
                <w:kern w:val="21"/>
              </w:rPr>
              <w:t xml:space="preserve">                </w:t>
            </w:r>
            <w:r>
              <w:rPr>
                <w:b/>
                <w:bCs/>
                <w:color w:val="auto"/>
                <w:kern w:val="21"/>
              </w:rPr>
              <w:t>项目类别</w:t>
            </w:r>
          </w:p>
          <w:p>
            <w:pPr>
              <w:keepNext w:val="0"/>
              <w:keepLines w:val="0"/>
              <w:pageBreakBefore w:val="0"/>
              <w:widowControl/>
              <w:kinsoku/>
              <w:wordWrap/>
              <w:overflowPunct/>
              <w:topLinePunct w:val="0"/>
              <w:autoSpaceDE/>
              <w:autoSpaceDN/>
              <w:bidi w:val="0"/>
              <w:adjustRightInd w:val="0"/>
              <w:snapToGrid w:val="0"/>
              <w:textAlignment w:val="auto"/>
              <w:rPr>
                <w:b/>
                <w:bCs/>
                <w:color w:val="auto"/>
                <w:kern w:val="21"/>
              </w:rPr>
            </w:pPr>
            <w:r>
              <w:rPr>
                <w:b/>
                <w:bCs/>
                <w:color w:val="auto"/>
                <w:kern w:val="21"/>
              </w:rPr>
              <w:t>环境敏感程度</w:t>
            </w:r>
          </w:p>
        </w:tc>
        <w:tc>
          <w:tcPr>
            <w:tcW w:w="1555" w:type="dxa"/>
            <w:tcBorders>
              <w:top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rPr>
            </w:pPr>
            <w:r>
              <w:rPr>
                <w:b/>
                <w:bCs/>
                <w:color w:val="auto"/>
                <w:kern w:val="21"/>
              </w:rPr>
              <w:fldChar w:fldCharType="begin"/>
            </w:r>
            <w:r>
              <w:rPr>
                <w:b/>
                <w:bCs/>
                <w:color w:val="auto"/>
                <w:kern w:val="21"/>
              </w:rPr>
              <w:instrText xml:space="preserve"> = 1 \* ROMAN \* MERGEFORMAT </w:instrText>
            </w:r>
            <w:r>
              <w:rPr>
                <w:b/>
                <w:bCs/>
                <w:color w:val="auto"/>
                <w:kern w:val="21"/>
              </w:rPr>
              <w:fldChar w:fldCharType="separate"/>
            </w:r>
            <w:r>
              <w:rPr>
                <w:b/>
                <w:bCs/>
                <w:color w:val="auto"/>
                <w:kern w:val="21"/>
              </w:rPr>
              <w:t>I</w:t>
            </w:r>
            <w:r>
              <w:rPr>
                <w:b/>
                <w:bCs/>
                <w:color w:val="auto"/>
                <w:kern w:val="21"/>
              </w:rPr>
              <w:fldChar w:fldCharType="end"/>
            </w:r>
            <w:r>
              <w:rPr>
                <w:b/>
                <w:bCs/>
                <w:color w:val="auto"/>
                <w:kern w:val="21"/>
              </w:rPr>
              <w:t>类项目</w:t>
            </w:r>
          </w:p>
        </w:tc>
        <w:tc>
          <w:tcPr>
            <w:tcW w:w="1693" w:type="dxa"/>
            <w:tcBorders>
              <w:top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rPr>
            </w:pPr>
            <w:r>
              <w:rPr>
                <w:b/>
                <w:bCs/>
                <w:color w:val="auto"/>
                <w:kern w:val="21"/>
              </w:rPr>
              <w:fldChar w:fldCharType="begin"/>
            </w:r>
            <w:r>
              <w:rPr>
                <w:b/>
                <w:bCs/>
                <w:color w:val="auto"/>
                <w:kern w:val="21"/>
              </w:rPr>
              <w:instrText xml:space="preserve"> = 2 \* ROMAN \* MERGEFORMAT </w:instrText>
            </w:r>
            <w:r>
              <w:rPr>
                <w:b/>
                <w:bCs/>
                <w:color w:val="auto"/>
                <w:kern w:val="21"/>
              </w:rPr>
              <w:fldChar w:fldCharType="separate"/>
            </w:r>
            <w:r>
              <w:rPr>
                <w:b/>
                <w:bCs/>
                <w:color w:val="auto"/>
                <w:kern w:val="21"/>
              </w:rPr>
              <w:t>II</w:t>
            </w:r>
            <w:r>
              <w:rPr>
                <w:b/>
                <w:bCs/>
                <w:color w:val="auto"/>
                <w:kern w:val="21"/>
              </w:rPr>
              <w:fldChar w:fldCharType="end"/>
            </w:r>
            <w:r>
              <w:rPr>
                <w:b/>
                <w:bCs/>
                <w:color w:val="auto"/>
                <w:kern w:val="21"/>
              </w:rPr>
              <w:t>类项目</w:t>
            </w:r>
          </w:p>
        </w:tc>
        <w:tc>
          <w:tcPr>
            <w:tcW w:w="1884" w:type="dxa"/>
            <w:tcBorders>
              <w:top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rPr>
            </w:pPr>
            <w:r>
              <w:rPr>
                <w:b/>
                <w:bCs/>
                <w:color w:val="auto"/>
                <w:kern w:val="21"/>
              </w:rPr>
              <w:fldChar w:fldCharType="begin"/>
            </w:r>
            <w:r>
              <w:rPr>
                <w:b/>
                <w:bCs/>
                <w:color w:val="auto"/>
                <w:kern w:val="21"/>
              </w:rPr>
              <w:instrText xml:space="preserve"> = 3 \* ROMAN \* MERGEFORMAT </w:instrText>
            </w:r>
            <w:r>
              <w:rPr>
                <w:b/>
                <w:bCs/>
                <w:color w:val="auto"/>
                <w:kern w:val="21"/>
              </w:rPr>
              <w:fldChar w:fldCharType="separate"/>
            </w:r>
            <w:r>
              <w:rPr>
                <w:b/>
                <w:bCs/>
                <w:color w:val="auto"/>
                <w:kern w:val="21"/>
              </w:rPr>
              <w:t>III</w:t>
            </w:r>
            <w:r>
              <w:rPr>
                <w:b/>
                <w:bCs/>
                <w:color w:val="auto"/>
                <w:kern w:val="21"/>
              </w:rPr>
              <w:fldChar w:fldCharType="end"/>
            </w:r>
            <w:r>
              <w:rPr>
                <w:b/>
                <w:bCs/>
                <w:color w:val="auto"/>
                <w:kern w:val="21"/>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72" w:type="dxa"/>
            <w:tcBorders>
              <w:lef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敏感</w:t>
            </w:r>
          </w:p>
        </w:tc>
        <w:tc>
          <w:tcPr>
            <w:tcW w:w="1555"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一</w:t>
            </w:r>
          </w:p>
        </w:tc>
        <w:tc>
          <w:tcPr>
            <w:tcW w:w="1693"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一</w:t>
            </w:r>
          </w:p>
        </w:tc>
        <w:tc>
          <w:tcPr>
            <w:tcW w:w="1884"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72" w:type="dxa"/>
            <w:tcBorders>
              <w:lef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较敏感</w:t>
            </w:r>
          </w:p>
        </w:tc>
        <w:tc>
          <w:tcPr>
            <w:tcW w:w="1555"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一</w:t>
            </w:r>
          </w:p>
        </w:tc>
        <w:tc>
          <w:tcPr>
            <w:tcW w:w="1693"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二</w:t>
            </w:r>
          </w:p>
        </w:tc>
        <w:tc>
          <w:tcPr>
            <w:tcW w:w="1884" w:type="dxa"/>
            <w:tcBorders>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372" w:type="dxa"/>
            <w:tcBorders>
              <w:left w:val="single" w:color="auto" w:sz="4" w:space="0"/>
              <w:bottom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不敏感</w:t>
            </w:r>
          </w:p>
        </w:tc>
        <w:tc>
          <w:tcPr>
            <w:tcW w:w="1555" w:type="dxa"/>
            <w:tcBorders>
              <w:bottom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二</w:t>
            </w:r>
          </w:p>
        </w:tc>
        <w:tc>
          <w:tcPr>
            <w:tcW w:w="1693" w:type="dxa"/>
            <w:tcBorders>
              <w:bottom w:val="single" w:color="auto" w:sz="4" w:space="0"/>
            </w:tcBorders>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三</w:t>
            </w:r>
          </w:p>
        </w:tc>
        <w:tc>
          <w:tcPr>
            <w:tcW w:w="1884" w:type="dxa"/>
            <w:tcBorders>
              <w:bottom w:val="single" w:color="auto" w:sz="4" w:space="0"/>
              <w:right w:val="single" w:color="auto" w:sz="4" w:space="0"/>
            </w:tcBorders>
            <w:shd w:val="pct10" w:color="auto" w:fill="auto"/>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rPr>
            </w:pPr>
            <w:r>
              <w:rPr>
                <w:color w:val="auto"/>
                <w:kern w:val="21"/>
              </w:rPr>
              <w:t>三</w:t>
            </w: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ind w:firstLine="480" w:firstLineChars="200"/>
        <w:textAlignment w:val="auto"/>
        <w:rPr>
          <w:color w:val="auto"/>
          <w:kern w:val="21"/>
          <w:sz w:val="24"/>
          <w:lang w:val="en-US"/>
        </w:rPr>
      </w:pPr>
      <w:r>
        <w:rPr>
          <w:color w:val="auto"/>
          <w:kern w:val="21"/>
          <w:sz w:val="24"/>
        </w:rPr>
        <w:t>根据《环境影响评价技术导则</w:t>
      </w:r>
      <w:r>
        <w:rPr>
          <w:color w:val="auto"/>
          <w:kern w:val="21"/>
          <w:sz w:val="24"/>
          <w:lang w:val="en-US"/>
        </w:rPr>
        <w:t>-</w:t>
      </w:r>
      <w:r>
        <w:rPr>
          <w:color w:val="auto"/>
          <w:kern w:val="21"/>
          <w:sz w:val="24"/>
        </w:rPr>
        <w:t>地下水环境》（HJ 610-2016）附录A，</w:t>
      </w:r>
      <w:r>
        <w:rPr>
          <w:rFonts w:hint="eastAsia"/>
          <w:color w:val="auto"/>
          <w:kern w:val="21"/>
          <w:sz w:val="24"/>
          <w:lang w:eastAsia="zh-CN"/>
        </w:rPr>
        <w:t>项目属于</w:t>
      </w:r>
      <w:r>
        <w:rPr>
          <w:rFonts w:hint="eastAsia"/>
          <w:color w:val="auto"/>
          <w:kern w:val="21"/>
          <w:sz w:val="24"/>
        </w:rPr>
        <w:t>78、电气机械及器材制造中“</w:t>
      </w:r>
      <w:r>
        <w:rPr>
          <w:color w:val="auto"/>
          <w:kern w:val="21"/>
          <w:sz w:val="24"/>
          <w:lang w:val="en-US"/>
        </w:rPr>
        <w:t>有电镀或喷漆工艺的</w:t>
      </w:r>
      <w:r>
        <w:rPr>
          <w:rFonts w:hint="eastAsia"/>
          <w:color w:val="auto"/>
          <w:kern w:val="21"/>
          <w:sz w:val="24"/>
        </w:rPr>
        <w:t>”</w:t>
      </w:r>
      <w:r>
        <w:rPr>
          <w:color w:val="auto"/>
          <w:kern w:val="21"/>
          <w:sz w:val="24"/>
          <w:lang w:val="en-US"/>
        </w:rPr>
        <w:t>报告书项目，</w:t>
      </w:r>
      <w:r>
        <w:rPr>
          <w:color w:val="auto"/>
          <w:kern w:val="21"/>
          <w:sz w:val="24"/>
        </w:rPr>
        <w:t>地下水环境影响评价项目类别为II</w:t>
      </w:r>
      <w:r>
        <w:rPr>
          <w:color w:val="auto"/>
          <w:kern w:val="21"/>
          <w:sz w:val="24"/>
          <w:lang w:val="en-US"/>
        </w:rPr>
        <w:t>I</w:t>
      </w:r>
      <w:r>
        <w:rPr>
          <w:color w:val="auto"/>
          <w:kern w:val="21"/>
          <w:sz w:val="24"/>
        </w:rPr>
        <w:t>类。</w:t>
      </w:r>
    </w:p>
    <w:p>
      <w:pPr>
        <w:pStyle w:val="32"/>
        <w:adjustRightInd w:val="0"/>
        <w:snapToGrid w:val="0"/>
        <w:spacing w:after="0" w:line="360" w:lineRule="auto"/>
        <w:ind w:firstLine="480" w:firstLineChars="200"/>
        <w:rPr>
          <w:color w:val="auto"/>
          <w:kern w:val="21"/>
          <w:sz w:val="24"/>
        </w:rPr>
      </w:pPr>
      <w:r>
        <w:rPr>
          <w:color w:val="auto"/>
          <w:kern w:val="21"/>
          <w:sz w:val="24"/>
        </w:rPr>
        <w:t>根据《环境影响评价技术导则地下水环境》（HJ 610-2016）建设项目的地下水环境敏感程度分级原则见表2.</w:t>
      </w:r>
      <w:r>
        <w:rPr>
          <w:rFonts w:hint="eastAsia"/>
          <w:color w:val="auto"/>
          <w:kern w:val="21"/>
          <w:sz w:val="24"/>
          <w:lang w:val="en-US"/>
        </w:rPr>
        <w:t>5</w:t>
      </w:r>
      <w:r>
        <w:rPr>
          <w:color w:val="auto"/>
          <w:kern w:val="21"/>
          <w:sz w:val="24"/>
        </w:rPr>
        <w:t>-</w:t>
      </w:r>
      <w:r>
        <w:rPr>
          <w:color w:val="auto"/>
          <w:kern w:val="21"/>
          <w:sz w:val="24"/>
          <w:lang w:val="en-US"/>
        </w:rPr>
        <w:t>5</w:t>
      </w:r>
      <w:r>
        <w:rPr>
          <w:color w:val="auto"/>
          <w:kern w:val="21"/>
          <w:sz w:val="24"/>
        </w:rPr>
        <w:t>。</w:t>
      </w: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表2.</w:t>
      </w:r>
      <w:r>
        <w:rPr>
          <w:rFonts w:hint="eastAsia" w:eastAsia="黑体"/>
          <w:color w:val="auto"/>
          <w:kern w:val="21"/>
          <w:sz w:val="24"/>
          <w:lang w:val="en-US"/>
        </w:rPr>
        <w:t>5</w:t>
      </w:r>
      <w:r>
        <w:rPr>
          <w:rFonts w:eastAsia="黑体"/>
          <w:color w:val="auto"/>
          <w:kern w:val="21"/>
          <w:sz w:val="24"/>
          <w:lang w:val="en-US"/>
        </w:rPr>
        <w:t>-5  本项目地下水评价工作等级分级对照表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4258"/>
        <w:gridCol w:w="2242"/>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8"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敏感程度</w:t>
            </w:r>
          </w:p>
        </w:tc>
        <w:tc>
          <w:tcPr>
            <w:tcW w:w="4258"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地下水环境敏感特征</w:t>
            </w:r>
          </w:p>
        </w:tc>
        <w:tc>
          <w:tcPr>
            <w:tcW w:w="2242"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本项目情况</w:t>
            </w:r>
          </w:p>
        </w:tc>
        <w:tc>
          <w:tcPr>
            <w:tcW w:w="806"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8" w:type="dxa"/>
            <w:vAlign w:val="center"/>
          </w:tcPr>
          <w:p>
            <w:pPr>
              <w:pStyle w:val="32"/>
              <w:adjustRightInd w:val="0"/>
              <w:snapToGrid w:val="0"/>
              <w:spacing w:after="0"/>
              <w:jc w:val="center"/>
              <w:rPr>
                <w:color w:val="auto"/>
                <w:kern w:val="21"/>
                <w:szCs w:val="21"/>
                <w:lang w:val="en-US"/>
              </w:rPr>
            </w:pPr>
            <w:r>
              <w:rPr>
                <w:color w:val="auto"/>
                <w:kern w:val="21"/>
                <w:szCs w:val="21"/>
                <w:lang w:val="en-US"/>
              </w:rPr>
              <w:t>敏感</w:t>
            </w:r>
          </w:p>
        </w:tc>
        <w:tc>
          <w:tcPr>
            <w:tcW w:w="4258" w:type="dxa"/>
            <w:vAlign w:val="center"/>
          </w:tcPr>
          <w:p>
            <w:pPr>
              <w:pStyle w:val="32"/>
              <w:adjustRightInd w:val="0"/>
              <w:snapToGrid w:val="0"/>
              <w:spacing w:after="0"/>
              <w:jc w:val="center"/>
              <w:rPr>
                <w:color w:val="auto"/>
                <w:kern w:val="21"/>
                <w:szCs w:val="21"/>
                <w:lang w:val="en-US"/>
              </w:rPr>
            </w:pPr>
            <w:r>
              <w:rPr>
                <w:color w:val="auto"/>
                <w:kern w:val="21"/>
                <w:szCs w:val="21"/>
                <w:lang w:val="en-US"/>
              </w:rPr>
              <w:t>集中式饮用水水源（包括已建成的在用、备用、应急水源，在建和规划的饮用水水源）准保护区；除集中式饮用水水源以外的国家或地方政府设定的与地下水环境相关的其他保护区，如热水、矿泉水、温泉等特殊地下水</w:t>
            </w:r>
            <w:r>
              <w:rPr>
                <w:rFonts w:hint="eastAsia"/>
                <w:color w:val="auto"/>
                <w:kern w:val="21"/>
                <w:szCs w:val="21"/>
                <w:lang w:val="en-US" w:eastAsia="zh-CN"/>
              </w:rPr>
              <w:t>资源</w:t>
            </w:r>
            <w:r>
              <w:rPr>
                <w:color w:val="auto"/>
                <w:kern w:val="21"/>
                <w:szCs w:val="21"/>
                <w:lang w:val="en-US"/>
              </w:rPr>
              <w:t>保护区</w:t>
            </w:r>
          </w:p>
        </w:tc>
        <w:tc>
          <w:tcPr>
            <w:tcW w:w="2242" w:type="dxa"/>
            <w:vMerge w:val="restart"/>
            <w:vAlign w:val="center"/>
          </w:tcPr>
          <w:p>
            <w:pPr>
              <w:pStyle w:val="32"/>
              <w:adjustRightInd w:val="0"/>
              <w:snapToGrid w:val="0"/>
              <w:spacing w:after="0"/>
              <w:jc w:val="center"/>
              <w:rPr>
                <w:color w:val="auto"/>
                <w:kern w:val="21"/>
                <w:szCs w:val="21"/>
                <w:lang w:val="en-US"/>
              </w:rPr>
            </w:pPr>
            <w:r>
              <w:rPr>
                <w:color w:val="auto"/>
                <w:kern w:val="21"/>
                <w:szCs w:val="21"/>
                <w:lang w:val="en-US"/>
              </w:rPr>
              <w:t>本项目所在区域地下水流向为由西南向东北，项目位于获嘉县产业集聚区北区城东片区内，不涉及饮用水源保护区，周边彦当村、前李村等均已实现集中供水，</w:t>
            </w:r>
            <w:r>
              <w:rPr>
                <w:rFonts w:hint="eastAsia"/>
                <w:color w:val="auto"/>
                <w:kern w:val="21"/>
                <w:szCs w:val="21"/>
                <w:lang w:val="en-US" w:eastAsia="zh-CN"/>
              </w:rPr>
              <w:t>不再</w:t>
            </w:r>
            <w:r>
              <w:rPr>
                <w:color w:val="auto"/>
                <w:kern w:val="21"/>
                <w:szCs w:val="21"/>
                <w:lang w:val="en-US"/>
              </w:rPr>
              <w:t>使用分散式地下取水井水源，因此项目厂址属于不敏感区</w:t>
            </w:r>
            <w:r>
              <w:rPr>
                <w:rFonts w:hint="eastAsia"/>
                <w:color w:val="auto"/>
                <w:kern w:val="21"/>
                <w:szCs w:val="21"/>
                <w:lang w:val="en-US"/>
              </w:rPr>
              <w:t>。</w:t>
            </w:r>
          </w:p>
        </w:tc>
        <w:tc>
          <w:tcPr>
            <w:tcW w:w="806" w:type="dxa"/>
            <w:vMerge w:val="restart"/>
            <w:vAlign w:val="center"/>
          </w:tcPr>
          <w:p>
            <w:pPr>
              <w:pStyle w:val="32"/>
              <w:adjustRightInd w:val="0"/>
              <w:snapToGrid w:val="0"/>
              <w:spacing w:after="0"/>
              <w:jc w:val="center"/>
              <w:rPr>
                <w:color w:val="auto"/>
                <w:kern w:val="21"/>
                <w:szCs w:val="21"/>
                <w:lang w:val="en-US"/>
              </w:rPr>
            </w:pPr>
            <w:r>
              <w:rPr>
                <w:color w:val="auto"/>
                <w:kern w:val="21"/>
                <w:szCs w:val="21"/>
                <w:lang w:val="en-US"/>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8" w:type="dxa"/>
            <w:vAlign w:val="center"/>
          </w:tcPr>
          <w:p>
            <w:pPr>
              <w:pStyle w:val="32"/>
              <w:adjustRightInd w:val="0"/>
              <w:snapToGrid w:val="0"/>
              <w:spacing w:after="0"/>
              <w:jc w:val="center"/>
              <w:rPr>
                <w:color w:val="auto"/>
                <w:kern w:val="21"/>
                <w:szCs w:val="21"/>
                <w:lang w:val="en-US"/>
              </w:rPr>
            </w:pPr>
            <w:r>
              <w:rPr>
                <w:color w:val="auto"/>
                <w:kern w:val="21"/>
                <w:szCs w:val="21"/>
                <w:lang w:val="en-US"/>
              </w:rPr>
              <w:t>较敏感</w:t>
            </w:r>
          </w:p>
        </w:tc>
        <w:tc>
          <w:tcPr>
            <w:tcW w:w="4258" w:type="dxa"/>
            <w:vAlign w:val="center"/>
          </w:tcPr>
          <w:p>
            <w:pPr>
              <w:pStyle w:val="32"/>
              <w:adjustRightInd w:val="0"/>
              <w:snapToGrid w:val="0"/>
              <w:spacing w:after="0"/>
              <w:jc w:val="center"/>
              <w:rPr>
                <w:color w:val="auto"/>
                <w:kern w:val="21"/>
                <w:szCs w:val="21"/>
                <w:lang w:val="en-US"/>
              </w:rPr>
            </w:pPr>
            <w:r>
              <w:rPr>
                <w:color w:val="auto"/>
                <w:kern w:val="21"/>
                <w:szCs w:val="21"/>
                <w:lang w:val="en-US"/>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a。</w:t>
            </w:r>
          </w:p>
        </w:tc>
        <w:tc>
          <w:tcPr>
            <w:tcW w:w="2242" w:type="dxa"/>
            <w:vMerge w:val="continue"/>
            <w:vAlign w:val="center"/>
          </w:tcPr>
          <w:p>
            <w:pPr>
              <w:pStyle w:val="32"/>
              <w:adjustRightInd w:val="0"/>
              <w:snapToGrid w:val="0"/>
              <w:spacing w:after="0"/>
              <w:jc w:val="center"/>
              <w:rPr>
                <w:color w:val="auto"/>
                <w:kern w:val="21"/>
                <w:szCs w:val="21"/>
                <w:lang w:val="en-US"/>
              </w:rPr>
            </w:pPr>
          </w:p>
        </w:tc>
        <w:tc>
          <w:tcPr>
            <w:tcW w:w="806" w:type="dxa"/>
            <w:vMerge w:val="continue"/>
            <w:vAlign w:val="center"/>
          </w:tcPr>
          <w:p>
            <w:pPr>
              <w:pStyle w:val="32"/>
              <w:adjustRightInd w:val="0"/>
              <w:snapToGrid w:val="0"/>
              <w:spacing w:after="0"/>
              <w:jc w:val="center"/>
              <w:rPr>
                <w:color w:val="auto"/>
                <w:kern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98" w:type="dxa"/>
            <w:vAlign w:val="center"/>
          </w:tcPr>
          <w:p>
            <w:pPr>
              <w:pStyle w:val="32"/>
              <w:adjustRightInd w:val="0"/>
              <w:snapToGrid w:val="0"/>
              <w:spacing w:after="0"/>
              <w:jc w:val="center"/>
              <w:rPr>
                <w:color w:val="auto"/>
                <w:kern w:val="21"/>
                <w:szCs w:val="21"/>
                <w:lang w:val="en-US"/>
              </w:rPr>
            </w:pPr>
            <w:r>
              <w:rPr>
                <w:color w:val="auto"/>
                <w:kern w:val="21"/>
                <w:szCs w:val="21"/>
                <w:lang w:val="en-US"/>
              </w:rPr>
              <w:t>不敏感</w:t>
            </w:r>
          </w:p>
        </w:tc>
        <w:tc>
          <w:tcPr>
            <w:tcW w:w="4258" w:type="dxa"/>
            <w:vAlign w:val="center"/>
          </w:tcPr>
          <w:p>
            <w:pPr>
              <w:pStyle w:val="32"/>
              <w:adjustRightInd w:val="0"/>
              <w:snapToGrid w:val="0"/>
              <w:spacing w:after="0"/>
              <w:jc w:val="center"/>
              <w:rPr>
                <w:color w:val="auto"/>
                <w:kern w:val="21"/>
                <w:szCs w:val="21"/>
                <w:lang w:val="en-US"/>
              </w:rPr>
            </w:pPr>
            <w:r>
              <w:rPr>
                <w:color w:val="auto"/>
                <w:kern w:val="21"/>
                <w:szCs w:val="21"/>
                <w:lang w:val="en-US"/>
              </w:rPr>
              <w:t>上述地区之外的其他地区。</w:t>
            </w:r>
          </w:p>
        </w:tc>
        <w:tc>
          <w:tcPr>
            <w:tcW w:w="2242" w:type="dxa"/>
            <w:vMerge w:val="continue"/>
            <w:vAlign w:val="center"/>
          </w:tcPr>
          <w:p>
            <w:pPr>
              <w:pStyle w:val="32"/>
              <w:adjustRightInd w:val="0"/>
              <w:snapToGrid w:val="0"/>
              <w:spacing w:after="0"/>
              <w:jc w:val="center"/>
              <w:rPr>
                <w:color w:val="auto"/>
                <w:kern w:val="21"/>
                <w:szCs w:val="21"/>
                <w:lang w:val="en-US"/>
              </w:rPr>
            </w:pPr>
          </w:p>
        </w:tc>
        <w:tc>
          <w:tcPr>
            <w:tcW w:w="806" w:type="dxa"/>
            <w:vMerge w:val="continue"/>
            <w:vAlign w:val="center"/>
          </w:tcPr>
          <w:p>
            <w:pPr>
              <w:pStyle w:val="32"/>
              <w:adjustRightInd w:val="0"/>
              <w:snapToGrid w:val="0"/>
              <w:spacing w:after="0"/>
              <w:jc w:val="center"/>
              <w:rPr>
                <w:color w:val="auto"/>
                <w:kern w:val="21"/>
                <w:szCs w:val="21"/>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698" w:type="dxa"/>
            <w:gridSpan w:val="3"/>
            <w:vAlign w:val="center"/>
          </w:tcPr>
          <w:p>
            <w:pPr>
              <w:pStyle w:val="32"/>
              <w:adjustRightInd w:val="0"/>
              <w:snapToGrid w:val="0"/>
              <w:spacing w:after="0"/>
              <w:jc w:val="center"/>
              <w:rPr>
                <w:color w:val="auto"/>
                <w:kern w:val="21"/>
                <w:szCs w:val="21"/>
                <w:lang w:val="en-US"/>
              </w:rPr>
            </w:pPr>
            <w:r>
              <w:rPr>
                <w:color w:val="auto"/>
                <w:kern w:val="21"/>
                <w:szCs w:val="21"/>
                <w:lang w:val="en-US"/>
              </w:rPr>
              <w:t>注：a</w:t>
            </w:r>
            <w:r>
              <w:rPr>
                <w:rFonts w:hint="eastAsia"/>
                <w:color w:val="auto"/>
                <w:kern w:val="21"/>
                <w:szCs w:val="21"/>
                <w:lang w:val="en-US"/>
              </w:rPr>
              <w:t>“</w:t>
            </w:r>
            <w:r>
              <w:rPr>
                <w:color w:val="auto"/>
                <w:kern w:val="21"/>
                <w:szCs w:val="21"/>
                <w:lang w:val="en-US"/>
              </w:rPr>
              <w:t>环境敏感程度</w:t>
            </w:r>
            <w:r>
              <w:rPr>
                <w:rFonts w:hint="eastAsia"/>
                <w:color w:val="auto"/>
                <w:kern w:val="21"/>
                <w:szCs w:val="21"/>
                <w:lang w:val="en-US"/>
              </w:rPr>
              <w:t>”</w:t>
            </w:r>
            <w:r>
              <w:rPr>
                <w:color w:val="auto"/>
                <w:kern w:val="21"/>
                <w:szCs w:val="21"/>
                <w:lang w:val="en-US"/>
              </w:rPr>
              <w:t>是指《建设项目环境影响评价分类管理名录》中所界定的涉及地下水的环境敏感区</w:t>
            </w:r>
          </w:p>
        </w:tc>
        <w:tc>
          <w:tcPr>
            <w:tcW w:w="806" w:type="dxa"/>
            <w:vMerge w:val="continue"/>
            <w:vAlign w:val="center"/>
          </w:tcPr>
          <w:p>
            <w:pPr>
              <w:pStyle w:val="32"/>
              <w:adjustRightInd w:val="0"/>
              <w:snapToGrid w:val="0"/>
              <w:spacing w:after="0"/>
              <w:jc w:val="center"/>
              <w:rPr>
                <w:color w:val="auto"/>
                <w:kern w:val="21"/>
                <w:szCs w:val="21"/>
                <w:lang w:val="en-US"/>
              </w:rPr>
            </w:pP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ind w:firstLine="480" w:firstLineChars="200"/>
        <w:textAlignment w:val="auto"/>
        <w:rPr>
          <w:color w:val="auto"/>
          <w:kern w:val="21"/>
          <w:sz w:val="24"/>
        </w:rPr>
      </w:pPr>
      <w:r>
        <w:rPr>
          <w:color w:val="auto"/>
          <w:kern w:val="21"/>
          <w:sz w:val="24"/>
        </w:rPr>
        <w:t>综上，本次评价最终确定地下水环境评价</w:t>
      </w:r>
      <w:r>
        <w:rPr>
          <w:rFonts w:hint="eastAsia"/>
          <w:color w:val="auto"/>
          <w:kern w:val="21"/>
          <w:sz w:val="24"/>
          <w:lang w:eastAsia="zh-CN"/>
        </w:rPr>
        <w:t>工作</w:t>
      </w:r>
      <w:r>
        <w:rPr>
          <w:color w:val="auto"/>
          <w:kern w:val="21"/>
          <w:sz w:val="24"/>
        </w:rPr>
        <w:t>等级为三级。</w:t>
      </w:r>
    </w:p>
    <w:p>
      <w:pPr>
        <w:pStyle w:val="6"/>
        <w:spacing w:before="0" w:after="0" w:line="360" w:lineRule="auto"/>
        <w:rPr>
          <w:b w:val="0"/>
          <w:color w:val="auto"/>
          <w:sz w:val="24"/>
          <w:szCs w:val="24"/>
        </w:rPr>
      </w:pPr>
      <w:r>
        <w:rPr>
          <w:b w:val="0"/>
          <w:color w:val="auto"/>
          <w:sz w:val="24"/>
          <w:szCs w:val="24"/>
        </w:rPr>
        <w:t>2.4.3.2评价范围</w:t>
      </w:r>
    </w:p>
    <w:p>
      <w:pPr>
        <w:spacing w:line="360" w:lineRule="auto"/>
        <w:ind w:firstLine="480" w:firstLineChars="200"/>
        <w:rPr>
          <w:color w:val="auto"/>
          <w:kern w:val="21"/>
          <w:sz w:val="24"/>
        </w:rPr>
      </w:pPr>
      <w:r>
        <w:rPr>
          <w:color w:val="auto"/>
          <w:kern w:val="21"/>
          <w:sz w:val="24"/>
        </w:rPr>
        <w:t>根据《地下水环境影响评价技术导则地下水环境》（</w:t>
      </w:r>
      <w:r>
        <w:rPr>
          <w:rFonts w:eastAsia="TimesNewRomanPSMT"/>
          <w:color w:val="auto"/>
          <w:kern w:val="21"/>
          <w:sz w:val="24"/>
        </w:rPr>
        <w:t>HJ610-2016</w:t>
      </w:r>
      <w:r>
        <w:rPr>
          <w:color w:val="auto"/>
          <w:kern w:val="21"/>
          <w:sz w:val="24"/>
        </w:rPr>
        <w:t>），地下水</w:t>
      </w:r>
    </w:p>
    <w:p>
      <w:pPr>
        <w:spacing w:line="360" w:lineRule="auto"/>
        <w:rPr>
          <w:color w:val="auto"/>
          <w:kern w:val="21"/>
          <w:sz w:val="24"/>
        </w:rPr>
      </w:pPr>
      <w:r>
        <w:rPr>
          <w:color w:val="auto"/>
          <w:kern w:val="21"/>
          <w:sz w:val="24"/>
        </w:rPr>
        <w:t>环境现状调查评价范围应结合本项目周边的区域地质条件、水文地质条件、地形地貌特征和与建设项目相关的地下水环境保护目标，以能说明地下水环境的现状，反映调查评价区地下水基本流场特征，满足地下水环境影响预测和评价为基本原则。建设项目地下水环境调查评价范围的确定可采用公式计算法、查表法及自定义法。</w:t>
      </w:r>
    </w:p>
    <w:p>
      <w:pPr>
        <w:spacing w:line="360" w:lineRule="auto"/>
        <w:ind w:firstLine="480" w:firstLineChars="200"/>
        <w:rPr>
          <w:color w:val="auto"/>
          <w:kern w:val="21"/>
          <w:sz w:val="24"/>
        </w:rPr>
      </w:pPr>
      <w:r>
        <w:rPr>
          <w:color w:val="auto"/>
          <w:kern w:val="21"/>
          <w:sz w:val="24"/>
        </w:rPr>
        <w:t>通过区域水文地质资料，采用公式计算法</w:t>
      </w:r>
      <w:r>
        <w:rPr>
          <w:rFonts w:hint="eastAsia"/>
          <w:color w:val="auto"/>
          <w:kern w:val="21"/>
          <w:sz w:val="24"/>
        </w:rPr>
        <w:t>，经计算</w:t>
      </w:r>
      <w:r>
        <w:rPr>
          <w:rFonts w:hint="eastAsia"/>
          <w:color w:val="auto"/>
          <w:kern w:val="21"/>
          <w:sz w:val="24"/>
          <w:highlight w:val="none"/>
        </w:rPr>
        <w:t>，L=</w:t>
      </w:r>
      <w:r>
        <w:rPr>
          <w:rFonts w:hint="eastAsia"/>
          <w:color w:val="auto"/>
          <w:kern w:val="21"/>
          <w:sz w:val="24"/>
          <w:highlight w:val="none"/>
          <w:lang w:val="en-US" w:eastAsia="zh-CN"/>
        </w:rPr>
        <w:t>53.13</w:t>
      </w:r>
      <w:r>
        <w:rPr>
          <w:rFonts w:hint="eastAsia"/>
          <w:color w:val="auto"/>
          <w:kern w:val="21"/>
          <w:sz w:val="24"/>
          <w:highlight w:val="none"/>
        </w:rPr>
        <w:t>m，评价范围面积为0.00</w:t>
      </w:r>
      <w:r>
        <w:rPr>
          <w:rFonts w:hint="eastAsia"/>
          <w:color w:val="auto"/>
          <w:kern w:val="21"/>
          <w:sz w:val="24"/>
          <w:highlight w:val="none"/>
          <w:lang w:val="en-US" w:eastAsia="zh-CN"/>
        </w:rPr>
        <w:t>42</w:t>
      </w:r>
      <w:r>
        <w:rPr>
          <w:rFonts w:hint="eastAsia"/>
          <w:color w:val="auto"/>
          <w:kern w:val="21"/>
          <w:sz w:val="24"/>
          <w:highlight w:val="none"/>
        </w:rPr>
        <w:t>km</w:t>
      </w:r>
      <w:r>
        <w:rPr>
          <w:rFonts w:hint="eastAsia"/>
          <w:color w:val="auto"/>
          <w:kern w:val="21"/>
          <w:sz w:val="24"/>
          <w:highlight w:val="none"/>
          <w:vertAlign w:val="superscript"/>
        </w:rPr>
        <w:t>2</w:t>
      </w:r>
      <w:r>
        <w:rPr>
          <w:rFonts w:hint="eastAsia"/>
          <w:color w:val="auto"/>
          <w:kern w:val="21"/>
          <w:sz w:val="24"/>
          <w:highlight w:val="none"/>
        </w:rPr>
        <w:t>。考虑评价范围应包含主要地下水环境保护目</w:t>
      </w:r>
      <w:r>
        <w:rPr>
          <w:rFonts w:hint="eastAsia"/>
          <w:color w:val="auto"/>
          <w:kern w:val="21"/>
          <w:sz w:val="24"/>
        </w:rPr>
        <w:t>标，结合地下水环境现状调查评价范围参照表中的相关要求（评价等级为三级，调查评价面积≤6km</w:t>
      </w:r>
      <w:r>
        <w:rPr>
          <w:rFonts w:hint="eastAsia"/>
          <w:color w:val="auto"/>
          <w:kern w:val="21"/>
          <w:sz w:val="24"/>
          <w:vertAlign w:val="superscript"/>
        </w:rPr>
        <w:t>2</w:t>
      </w:r>
      <w:r>
        <w:rPr>
          <w:rFonts w:hint="eastAsia"/>
          <w:color w:val="auto"/>
          <w:kern w:val="21"/>
          <w:sz w:val="24"/>
        </w:rPr>
        <w:t>），本项目综合考虑确定评价范围为6km</w:t>
      </w:r>
      <w:r>
        <w:rPr>
          <w:rFonts w:hint="eastAsia"/>
          <w:color w:val="auto"/>
          <w:kern w:val="21"/>
          <w:sz w:val="24"/>
          <w:vertAlign w:val="superscript"/>
        </w:rPr>
        <w:t>2</w:t>
      </w:r>
      <w:r>
        <w:rPr>
          <w:rFonts w:hint="eastAsia"/>
          <w:color w:val="auto"/>
          <w:kern w:val="21"/>
          <w:sz w:val="24"/>
        </w:rPr>
        <w:t>。</w:t>
      </w:r>
    </w:p>
    <w:p>
      <w:pPr>
        <w:jc w:val="center"/>
        <w:rPr>
          <w:rFonts w:eastAsia="黑体"/>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-6  地下水环境评价工作等级分级表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77"/>
        <w:gridCol w:w="2805"/>
        <w:gridCol w:w="3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7" w:type="dxa"/>
            <w:vAlign w:val="center"/>
          </w:tcPr>
          <w:p>
            <w:pPr>
              <w:adjustRightInd w:val="0"/>
              <w:snapToGrid w:val="0"/>
              <w:jc w:val="center"/>
              <w:rPr>
                <w:color w:val="auto"/>
                <w:kern w:val="21"/>
              </w:rPr>
            </w:pPr>
            <w:r>
              <w:rPr>
                <w:color w:val="auto"/>
                <w:kern w:val="21"/>
              </w:rPr>
              <w:t>评价等级</w:t>
            </w:r>
          </w:p>
        </w:tc>
        <w:tc>
          <w:tcPr>
            <w:tcW w:w="2805" w:type="dxa"/>
            <w:vAlign w:val="center"/>
          </w:tcPr>
          <w:p>
            <w:pPr>
              <w:adjustRightInd w:val="0"/>
              <w:snapToGrid w:val="0"/>
              <w:jc w:val="center"/>
              <w:rPr>
                <w:color w:val="auto"/>
                <w:kern w:val="21"/>
              </w:rPr>
            </w:pPr>
            <w:r>
              <w:rPr>
                <w:color w:val="auto"/>
                <w:kern w:val="21"/>
              </w:rPr>
              <w:t>调查评价面积（km</w:t>
            </w:r>
            <w:r>
              <w:rPr>
                <w:color w:val="auto"/>
                <w:kern w:val="21"/>
                <w:vertAlign w:val="superscript"/>
              </w:rPr>
              <w:t>2</w:t>
            </w:r>
            <w:r>
              <w:rPr>
                <w:color w:val="auto"/>
                <w:kern w:val="21"/>
              </w:rPr>
              <w:t>）</w:t>
            </w:r>
          </w:p>
        </w:tc>
        <w:tc>
          <w:tcPr>
            <w:tcW w:w="3122" w:type="dxa"/>
            <w:vAlign w:val="center"/>
          </w:tcPr>
          <w:p>
            <w:pPr>
              <w:adjustRightInd w:val="0"/>
              <w:snapToGrid w:val="0"/>
              <w:jc w:val="center"/>
              <w:rPr>
                <w:color w:val="auto"/>
                <w:kern w:val="21"/>
              </w:rPr>
            </w:pPr>
            <w:r>
              <w:rPr>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7" w:type="dxa"/>
            <w:vAlign w:val="center"/>
          </w:tcPr>
          <w:p>
            <w:pPr>
              <w:adjustRightInd w:val="0"/>
              <w:snapToGrid w:val="0"/>
              <w:jc w:val="center"/>
              <w:rPr>
                <w:color w:val="auto"/>
                <w:kern w:val="21"/>
              </w:rPr>
            </w:pPr>
            <w:r>
              <w:rPr>
                <w:color w:val="auto"/>
                <w:kern w:val="21"/>
              </w:rPr>
              <w:t>一级</w:t>
            </w:r>
          </w:p>
        </w:tc>
        <w:tc>
          <w:tcPr>
            <w:tcW w:w="2805" w:type="dxa"/>
            <w:vAlign w:val="center"/>
          </w:tcPr>
          <w:p>
            <w:pPr>
              <w:adjustRightInd w:val="0"/>
              <w:snapToGrid w:val="0"/>
              <w:jc w:val="center"/>
              <w:rPr>
                <w:color w:val="auto"/>
                <w:kern w:val="21"/>
              </w:rPr>
            </w:pPr>
            <w:r>
              <w:rPr>
                <w:color w:val="auto"/>
                <w:kern w:val="21"/>
              </w:rPr>
              <w:t>≥20</w:t>
            </w:r>
          </w:p>
        </w:tc>
        <w:tc>
          <w:tcPr>
            <w:tcW w:w="3122" w:type="dxa"/>
            <w:vMerge w:val="restart"/>
            <w:vAlign w:val="center"/>
          </w:tcPr>
          <w:p>
            <w:pPr>
              <w:adjustRightInd w:val="0"/>
              <w:snapToGrid w:val="0"/>
              <w:jc w:val="center"/>
              <w:rPr>
                <w:color w:val="auto"/>
                <w:kern w:val="21"/>
              </w:rPr>
            </w:pPr>
            <w:r>
              <w:rPr>
                <w:color w:val="auto"/>
                <w:kern w:val="21"/>
              </w:rPr>
              <w:t>应包括重要的地下水环境保护目标，必要时适当扩大范围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7" w:type="dxa"/>
            <w:vAlign w:val="center"/>
          </w:tcPr>
          <w:p>
            <w:pPr>
              <w:adjustRightInd w:val="0"/>
              <w:snapToGrid w:val="0"/>
              <w:jc w:val="center"/>
              <w:rPr>
                <w:color w:val="auto"/>
                <w:kern w:val="21"/>
              </w:rPr>
            </w:pPr>
            <w:r>
              <w:rPr>
                <w:color w:val="auto"/>
                <w:kern w:val="21"/>
              </w:rPr>
              <w:t>二级</w:t>
            </w:r>
          </w:p>
        </w:tc>
        <w:tc>
          <w:tcPr>
            <w:tcW w:w="2805" w:type="dxa"/>
            <w:vAlign w:val="center"/>
          </w:tcPr>
          <w:p>
            <w:pPr>
              <w:adjustRightInd w:val="0"/>
              <w:snapToGrid w:val="0"/>
              <w:jc w:val="center"/>
              <w:rPr>
                <w:color w:val="auto"/>
                <w:kern w:val="21"/>
              </w:rPr>
            </w:pPr>
            <w:r>
              <w:rPr>
                <w:color w:val="auto"/>
                <w:kern w:val="21"/>
              </w:rPr>
              <w:t>6-20</w:t>
            </w:r>
          </w:p>
        </w:tc>
        <w:tc>
          <w:tcPr>
            <w:tcW w:w="3122" w:type="dxa"/>
            <w:vMerge w:val="continue"/>
            <w:vAlign w:val="center"/>
          </w:tcPr>
          <w:p>
            <w:pPr>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77" w:type="dxa"/>
            <w:vAlign w:val="center"/>
          </w:tcPr>
          <w:p>
            <w:pPr>
              <w:adjustRightInd w:val="0"/>
              <w:snapToGrid w:val="0"/>
              <w:jc w:val="center"/>
              <w:rPr>
                <w:color w:val="auto"/>
                <w:kern w:val="21"/>
              </w:rPr>
            </w:pPr>
            <w:r>
              <w:rPr>
                <w:color w:val="auto"/>
                <w:kern w:val="21"/>
              </w:rPr>
              <w:t>三级</w:t>
            </w:r>
          </w:p>
        </w:tc>
        <w:tc>
          <w:tcPr>
            <w:tcW w:w="2805" w:type="dxa"/>
            <w:vAlign w:val="center"/>
          </w:tcPr>
          <w:p>
            <w:pPr>
              <w:adjustRightInd w:val="0"/>
              <w:snapToGrid w:val="0"/>
              <w:jc w:val="center"/>
              <w:rPr>
                <w:color w:val="auto"/>
                <w:kern w:val="21"/>
              </w:rPr>
            </w:pPr>
            <w:r>
              <w:rPr>
                <w:color w:val="auto"/>
                <w:kern w:val="21"/>
              </w:rPr>
              <w:t>≤6</w:t>
            </w:r>
          </w:p>
        </w:tc>
        <w:tc>
          <w:tcPr>
            <w:tcW w:w="3122" w:type="dxa"/>
            <w:vMerge w:val="continue"/>
            <w:vAlign w:val="center"/>
          </w:tcPr>
          <w:p>
            <w:pPr>
              <w:adjustRightInd w:val="0"/>
              <w:snapToGrid w:val="0"/>
              <w:jc w:val="center"/>
              <w:rPr>
                <w:color w:val="auto"/>
                <w:kern w:val="21"/>
              </w:rPr>
            </w:pPr>
          </w:p>
        </w:tc>
      </w:tr>
    </w:tbl>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drawing>
          <wp:inline distT="0" distB="0" distL="0" distR="0">
            <wp:extent cx="3056890" cy="2727325"/>
            <wp:effectExtent l="0" t="0" r="10160" b="15875"/>
            <wp:docPr id="12" name="图片 123" descr="1553481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3" descr="1553481060(1)"/>
                    <pic:cNvPicPr>
                      <a:picLocks noChangeAspect="1" noChangeArrowheads="1"/>
                    </pic:cNvPicPr>
                  </pic:nvPicPr>
                  <pic:blipFill>
                    <a:blip r:embed="rId46"/>
                    <a:srcRect/>
                    <a:stretch>
                      <a:fillRect/>
                    </a:stretch>
                  </pic:blipFill>
                  <pic:spPr>
                    <a:xfrm>
                      <a:off x="0" y="0"/>
                      <a:ext cx="3056890" cy="2727325"/>
                    </a:xfrm>
                    <a:prstGeom prst="rect">
                      <a:avLst/>
                    </a:prstGeom>
                    <a:noFill/>
                    <a:ln>
                      <a:noFill/>
                    </a:ln>
                    <a:effectLst/>
                  </pic:spPr>
                </pic:pic>
              </a:graphicData>
            </a:graphic>
          </wp:inline>
        </w:drawing>
      </w:r>
    </w:p>
    <w:p>
      <w:pPr>
        <w:adjustRightInd w:val="0"/>
        <w:snapToGrid w:val="0"/>
        <w:spacing w:line="360" w:lineRule="auto"/>
        <w:jc w:val="center"/>
        <w:rPr>
          <w:rFonts w:eastAsia="黑体"/>
          <w:color w:val="auto"/>
          <w:kern w:val="21"/>
          <w:sz w:val="24"/>
          <w:szCs w:val="24"/>
        </w:rPr>
      </w:pPr>
      <w:r>
        <w:rPr>
          <w:rFonts w:eastAsia="黑体"/>
          <w:color w:val="auto"/>
          <w:kern w:val="21"/>
          <w:sz w:val="24"/>
          <w:szCs w:val="24"/>
        </w:rPr>
        <w:t>图2.</w:t>
      </w:r>
      <w:r>
        <w:rPr>
          <w:rFonts w:hint="eastAsia" w:eastAsia="黑体"/>
          <w:color w:val="auto"/>
          <w:kern w:val="21"/>
          <w:sz w:val="24"/>
          <w:szCs w:val="24"/>
        </w:rPr>
        <w:t>5</w:t>
      </w:r>
      <w:r>
        <w:rPr>
          <w:rFonts w:eastAsia="黑体"/>
          <w:color w:val="auto"/>
          <w:kern w:val="21"/>
          <w:sz w:val="24"/>
          <w:szCs w:val="24"/>
        </w:rPr>
        <w:t>-1    调查评价范围示意图</w:t>
      </w:r>
    </w:p>
    <w:p>
      <w:pPr>
        <w:adjustRightInd w:val="0"/>
        <w:snapToGrid w:val="0"/>
        <w:spacing w:line="360" w:lineRule="auto"/>
        <w:ind w:firstLine="480" w:firstLineChars="200"/>
        <w:rPr>
          <w:color w:val="auto"/>
          <w:kern w:val="21"/>
          <w:sz w:val="24"/>
          <w:szCs w:val="24"/>
        </w:rPr>
      </w:pPr>
      <w:r>
        <w:rPr>
          <w:color w:val="auto"/>
          <w:kern w:val="21"/>
          <w:sz w:val="24"/>
          <w:szCs w:val="24"/>
        </w:rPr>
        <w:t>注：虚线表示等水位线；空心箭头表示地下水流向；场地上游距离根据评价需求确定，场地两侧不小于L/2。</w:t>
      </w:r>
    </w:p>
    <w:p>
      <w:pPr>
        <w:adjustRightInd w:val="0"/>
        <w:snapToGrid w:val="0"/>
        <w:spacing w:line="360" w:lineRule="auto"/>
        <w:ind w:firstLine="480" w:firstLineChars="200"/>
        <w:rPr>
          <w:color w:val="auto"/>
          <w:kern w:val="21"/>
          <w:sz w:val="24"/>
          <w:szCs w:val="24"/>
        </w:rPr>
      </w:pPr>
      <w:r>
        <w:rPr>
          <w:color w:val="auto"/>
          <w:kern w:val="21"/>
          <w:sz w:val="24"/>
          <w:szCs w:val="24"/>
        </w:rPr>
        <w:t>按照《环境影响评价技术导则-地下水环境》（HJ610-2016）相关要求，顺地下水流向的两侧调查界线原则上不小于地下水下游侧质点迁移5000d 的距离L的一半，项目区上游位置可根据评价要求进行确定。本项目地下水环境影响评价范围6km</w:t>
      </w:r>
      <w:r>
        <w:rPr>
          <w:color w:val="auto"/>
          <w:kern w:val="21"/>
          <w:sz w:val="24"/>
          <w:szCs w:val="24"/>
          <w:vertAlign w:val="superscript"/>
        </w:rPr>
        <w:t>2</w:t>
      </w:r>
      <w:r>
        <w:rPr>
          <w:color w:val="auto"/>
          <w:kern w:val="21"/>
          <w:sz w:val="24"/>
          <w:szCs w:val="24"/>
        </w:rPr>
        <w:t>，下游L为2km，上游和两侧设置L/2，即1km。</w:t>
      </w:r>
    </w:p>
    <w:p>
      <w:pPr>
        <w:pStyle w:val="5"/>
        <w:keepNext w:val="0"/>
        <w:keepLines w:val="0"/>
        <w:snapToGrid w:val="0"/>
        <w:spacing w:before="0" w:beforeLines="0" w:after="0" w:afterLines="0"/>
        <w:jc w:val="both"/>
        <w:rPr>
          <w:bCs w:val="0"/>
          <w:color w:val="auto"/>
          <w:kern w:val="21"/>
          <w:sz w:val="28"/>
          <w:szCs w:val="28"/>
        </w:rPr>
      </w:pPr>
      <w:bookmarkStart w:id="93" w:name="_Toc32562"/>
      <w:r>
        <w:rPr>
          <w:bCs w:val="0"/>
          <w:color w:val="auto"/>
          <w:kern w:val="21"/>
          <w:sz w:val="28"/>
          <w:szCs w:val="28"/>
        </w:rPr>
        <w:t>2.</w:t>
      </w:r>
      <w:r>
        <w:rPr>
          <w:rFonts w:hint="eastAsia"/>
          <w:bCs w:val="0"/>
          <w:color w:val="auto"/>
          <w:kern w:val="21"/>
          <w:sz w:val="28"/>
          <w:szCs w:val="28"/>
        </w:rPr>
        <w:t>5</w:t>
      </w:r>
      <w:r>
        <w:rPr>
          <w:bCs w:val="0"/>
          <w:color w:val="auto"/>
          <w:kern w:val="21"/>
          <w:sz w:val="28"/>
          <w:szCs w:val="28"/>
        </w:rPr>
        <w:t>.4声环境</w:t>
      </w:r>
      <w:r>
        <w:rPr>
          <w:color w:val="auto"/>
          <w:kern w:val="21"/>
          <w:sz w:val="28"/>
          <w:szCs w:val="28"/>
        </w:rPr>
        <w:t>评价等级及评价范围</w:t>
      </w:r>
      <w:bookmarkEnd w:id="93"/>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.4.1评价等级</w:t>
      </w:r>
    </w:p>
    <w:p>
      <w:pPr>
        <w:adjustRightInd w:val="0"/>
        <w:snapToGrid w:val="0"/>
        <w:spacing w:line="360" w:lineRule="auto"/>
        <w:ind w:firstLine="480" w:firstLineChars="200"/>
        <w:rPr>
          <w:rFonts w:eastAsia="黑体"/>
          <w:color w:val="auto"/>
          <w:kern w:val="21"/>
          <w:sz w:val="24"/>
          <w:szCs w:val="24"/>
        </w:rPr>
      </w:pPr>
      <w:r>
        <w:rPr>
          <w:color w:val="auto"/>
          <w:kern w:val="21"/>
          <w:sz w:val="24"/>
          <w:szCs w:val="24"/>
        </w:rPr>
        <w:t>本项目位于获嘉县产业集聚区</w:t>
      </w:r>
      <w:r>
        <w:rPr>
          <w:rFonts w:hint="eastAsia"/>
          <w:color w:val="auto"/>
          <w:kern w:val="21"/>
          <w:sz w:val="24"/>
          <w:szCs w:val="24"/>
          <w:lang w:eastAsia="zh-CN"/>
        </w:rPr>
        <w:t>北区城东片区</w:t>
      </w:r>
      <w:r>
        <w:rPr>
          <w:color w:val="auto"/>
          <w:kern w:val="21"/>
          <w:sz w:val="24"/>
          <w:szCs w:val="24"/>
        </w:rPr>
        <w:t>，所在地属于《声环境质量标准》（GB3096-2008）规定的3类声环境功能区。根据《环境影响评价技术导则-声环境》（HJ2.4-2021）中关于声环境评价工作等级的划分原则，结合环境敏感区的分布等综合考虑，声环境影响评价工作等级确定为三级。评价分级判据见表2.</w:t>
      </w:r>
      <w:r>
        <w:rPr>
          <w:rFonts w:hint="eastAsia"/>
          <w:color w:val="auto"/>
          <w:kern w:val="21"/>
          <w:sz w:val="24"/>
          <w:szCs w:val="24"/>
        </w:rPr>
        <w:t>5</w:t>
      </w:r>
      <w:r>
        <w:rPr>
          <w:color w:val="auto"/>
          <w:kern w:val="21"/>
          <w:sz w:val="24"/>
          <w:szCs w:val="24"/>
        </w:rPr>
        <w:t>-7。</w:t>
      </w:r>
    </w:p>
    <w:p>
      <w:pPr>
        <w:jc w:val="center"/>
        <w:rPr>
          <w:rFonts w:eastAsia="黑体"/>
          <w:color w:val="auto"/>
          <w:kern w:val="21"/>
          <w:sz w:val="24"/>
          <w:szCs w:val="24"/>
        </w:rPr>
      </w:pPr>
    </w:p>
    <w:p>
      <w:pPr>
        <w:jc w:val="center"/>
        <w:rPr>
          <w:rFonts w:eastAsia="黑体"/>
          <w:color w:val="auto"/>
          <w:kern w:val="21"/>
          <w:sz w:val="24"/>
          <w:szCs w:val="24"/>
        </w:rPr>
      </w:pPr>
    </w:p>
    <w:p>
      <w:pPr>
        <w:jc w:val="center"/>
        <w:rPr>
          <w:rFonts w:eastAsia="黑体"/>
          <w:color w:val="auto"/>
          <w:kern w:val="21"/>
          <w:sz w:val="24"/>
          <w:szCs w:val="24"/>
        </w:rPr>
      </w:pPr>
    </w:p>
    <w:p>
      <w:pPr>
        <w:jc w:val="center"/>
        <w:rPr>
          <w:rFonts w:eastAsia="黑体"/>
          <w:b/>
          <w:bCs/>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-7  声环境评价等级</w:t>
      </w:r>
    </w:p>
    <w:tbl>
      <w:tblPr>
        <w:tblStyle w:val="8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9"/>
        <w:gridCol w:w="36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6" w:type="pct"/>
            <w:vAlign w:val="center"/>
          </w:tcPr>
          <w:p>
            <w:pPr>
              <w:jc w:val="center"/>
              <w:rPr>
                <w:b/>
                <w:bCs/>
                <w:color w:val="auto"/>
                <w:kern w:val="21"/>
              </w:rPr>
            </w:pPr>
            <w:r>
              <w:rPr>
                <w:b/>
                <w:bCs/>
                <w:color w:val="auto"/>
                <w:kern w:val="21"/>
              </w:rPr>
              <w:t>项目</w:t>
            </w:r>
          </w:p>
        </w:tc>
        <w:tc>
          <w:tcPr>
            <w:tcW w:w="2113" w:type="pct"/>
            <w:vAlign w:val="center"/>
          </w:tcPr>
          <w:p>
            <w:pPr>
              <w:jc w:val="center"/>
              <w:rPr>
                <w:b/>
                <w:bCs/>
                <w:color w:val="auto"/>
                <w:kern w:val="21"/>
              </w:rPr>
            </w:pPr>
            <w:r>
              <w:rPr>
                <w:b/>
                <w:bCs/>
                <w:color w:val="auto"/>
                <w:kern w:val="21"/>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6" w:type="pct"/>
            <w:vAlign w:val="center"/>
          </w:tcPr>
          <w:p>
            <w:pPr>
              <w:jc w:val="center"/>
              <w:rPr>
                <w:color w:val="auto"/>
                <w:kern w:val="21"/>
              </w:rPr>
            </w:pPr>
            <w:r>
              <w:rPr>
                <w:color w:val="auto"/>
                <w:kern w:val="21"/>
              </w:rPr>
              <w:t>建设项目所在声环境功能区</w:t>
            </w:r>
          </w:p>
        </w:tc>
        <w:tc>
          <w:tcPr>
            <w:tcW w:w="2113" w:type="pct"/>
            <w:vAlign w:val="center"/>
          </w:tcPr>
          <w:p>
            <w:pPr>
              <w:jc w:val="center"/>
              <w:rPr>
                <w:color w:val="auto"/>
                <w:kern w:val="21"/>
              </w:rPr>
            </w:pPr>
            <w:r>
              <w:rPr>
                <w:color w:val="auto"/>
                <w:kern w:val="21"/>
              </w:rPr>
              <w:t>3类功能区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6" w:type="pct"/>
            <w:vAlign w:val="center"/>
          </w:tcPr>
          <w:p>
            <w:pPr>
              <w:adjustRightInd w:val="0"/>
              <w:snapToGrid w:val="0"/>
              <w:jc w:val="center"/>
              <w:rPr>
                <w:color w:val="auto"/>
                <w:kern w:val="21"/>
              </w:rPr>
            </w:pPr>
            <w:r>
              <w:rPr>
                <w:color w:val="auto"/>
                <w:kern w:val="21"/>
              </w:rPr>
              <w:t>建设前后噪声级增加量</w:t>
            </w:r>
          </w:p>
        </w:tc>
        <w:tc>
          <w:tcPr>
            <w:tcW w:w="2113" w:type="pct"/>
            <w:vAlign w:val="center"/>
          </w:tcPr>
          <w:p>
            <w:pPr>
              <w:jc w:val="center"/>
              <w:rPr>
                <w:color w:val="auto"/>
                <w:kern w:val="21"/>
              </w:rPr>
            </w:pPr>
            <w:r>
              <w:rPr>
                <w:color w:val="auto"/>
                <w:kern w:val="21"/>
              </w:rPr>
              <w:t>预计</w:t>
            </w:r>
            <w:r>
              <w:rPr>
                <w:rFonts w:hint="eastAsia"/>
                <w:color w:val="auto"/>
                <w:kern w:val="21"/>
              </w:rPr>
              <w:t>＜</w:t>
            </w:r>
            <w:r>
              <w:rPr>
                <w:color w:val="auto"/>
                <w:kern w:val="21"/>
              </w:rPr>
              <w:t>3dB（A）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6" w:type="pct"/>
            <w:vAlign w:val="center"/>
          </w:tcPr>
          <w:p>
            <w:pPr>
              <w:jc w:val="center"/>
              <w:rPr>
                <w:color w:val="auto"/>
                <w:kern w:val="21"/>
              </w:rPr>
            </w:pPr>
            <w:r>
              <w:rPr>
                <w:color w:val="auto"/>
                <w:kern w:val="21"/>
              </w:rPr>
              <w:t>建设前后受影响人口变化情况</w:t>
            </w:r>
          </w:p>
        </w:tc>
        <w:tc>
          <w:tcPr>
            <w:tcW w:w="2113" w:type="pct"/>
            <w:vAlign w:val="center"/>
          </w:tcPr>
          <w:p>
            <w:pPr>
              <w:jc w:val="center"/>
              <w:rPr>
                <w:color w:val="auto"/>
                <w:kern w:val="21"/>
              </w:rPr>
            </w:pPr>
            <w:r>
              <w:rPr>
                <w:color w:val="auto"/>
                <w:kern w:val="21"/>
              </w:rPr>
              <w:t>变化不大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86" w:type="pct"/>
            <w:vAlign w:val="center"/>
          </w:tcPr>
          <w:p>
            <w:pPr>
              <w:jc w:val="center"/>
              <w:rPr>
                <w:color w:val="auto"/>
                <w:kern w:val="21"/>
              </w:rPr>
            </w:pPr>
            <w:r>
              <w:rPr>
                <w:color w:val="auto"/>
                <w:kern w:val="21"/>
              </w:rPr>
              <w:t>评价等级</w:t>
            </w:r>
          </w:p>
        </w:tc>
        <w:tc>
          <w:tcPr>
            <w:tcW w:w="2113" w:type="pct"/>
            <w:vAlign w:val="center"/>
          </w:tcPr>
          <w:p>
            <w:pPr>
              <w:jc w:val="center"/>
              <w:rPr>
                <w:color w:val="auto"/>
                <w:kern w:val="21"/>
              </w:rPr>
            </w:pPr>
            <w:r>
              <w:rPr>
                <w:color w:val="auto"/>
                <w:kern w:val="21"/>
              </w:rPr>
              <w:t>三级</w:t>
            </w:r>
          </w:p>
        </w:tc>
      </w:tr>
    </w:tbl>
    <w:p>
      <w:pPr>
        <w:pStyle w:val="6"/>
        <w:spacing w:before="0" w:after="0" w:line="360" w:lineRule="auto"/>
        <w:rPr>
          <w:b w:val="0"/>
          <w:color w:val="auto"/>
          <w:sz w:val="24"/>
          <w:szCs w:val="24"/>
        </w:rPr>
      </w:pPr>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.4.2评价范围</w:t>
      </w:r>
    </w:p>
    <w:p>
      <w:pPr>
        <w:adjustRightInd w:val="0"/>
        <w:snapToGrid w:val="0"/>
        <w:spacing w:line="360" w:lineRule="auto"/>
        <w:ind w:firstLine="480" w:firstLineChars="200"/>
        <w:rPr>
          <w:color w:val="auto"/>
          <w:kern w:val="21"/>
          <w:sz w:val="24"/>
          <w:szCs w:val="24"/>
        </w:rPr>
      </w:pPr>
      <w:r>
        <w:rPr>
          <w:color w:val="auto"/>
          <w:kern w:val="21"/>
          <w:sz w:val="24"/>
          <w:szCs w:val="24"/>
        </w:rPr>
        <w:t>该项目声环境影响评价等级为三级，声环境影响评价范围为厂界外200m。</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2.</w:t>
      </w:r>
      <w:r>
        <w:rPr>
          <w:rFonts w:hint="eastAsia"/>
          <w:bCs w:val="0"/>
          <w:color w:val="auto"/>
          <w:kern w:val="21"/>
          <w:sz w:val="28"/>
          <w:szCs w:val="28"/>
        </w:rPr>
        <w:t>5</w:t>
      </w:r>
      <w:r>
        <w:rPr>
          <w:bCs w:val="0"/>
          <w:color w:val="auto"/>
          <w:kern w:val="21"/>
          <w:sz w:val="28"/>
          <w:szCs w:val="28"/>
        </w:rPr>
        <w:t>.5土壤环境评价等级及评价范围</w:t>
      </w:r>
    </w:p>
    <w:p>
      <w:pPr>
        <w:adjustRightInd w:val="0"/>
        <w:snapToGrid w:val="0"/>
        <w:spacing w:line="360" w:lineRule="auto"/>
        <w:rPr>
          <w:color w:val="auto"/>
          <w:kern w:val="21"/>
          <w:sz w:val="24"/>
          <w:szCs w:val="24"/>
          <w:u w:val="single"/>
        </w:rPr>
      </w:pPr>
      <w:bookmarkStart w:id="94" w:name="_Toc30122"/>
      <w:r>
        <w:rPr>
          <w:color w:val="auto"/>
          <w:kern w:val="21"/>
          <w:sz w:val="24"/>
        </w:rPr>
        <w:t>2.</w:t>
      </w:r>
      <w:r>
        <w:rPr>
          <w:rFonts w:hint="eastAsia"/>
          <w:color w:val="auto"/>
          <w:kern w:val="21"/>
          <w:sz w:val="24"/>
        </w:rPr>
        <w:t>5</w:t>
      </w:r>
      <w:r>
        <w:rPr>
          <w:color w:val="auto"/>
          <w:kern w:val="21"/>
          <w:sz w:val="24"/>
        </w:rPr>
        <w:t>.5.1土壤环境影响评价类别</w:t>
      </w:r>
    </w:p>
    <w:p>
      <w:pPr>
        <w:pStyle w:val="33"/>
        <w:adjustRightInd w:val="0"/>
        <w:snapToGrid w:val="0"/>
        <w:spacing w:after="0" w:line="360" w:lineRule="auto"/>
        <w:ind w:left="0" w:leftChars="0" w:firstLine="480" w:firstLineChars="200"/>
        <w:rPr>
          <w:color w:val="auto"/>
          <w:kern w:val="21"/>
          <w:sz w:val="24"/>
        </w:rPr>
      </w:pPr>
      <w:r>
        <w:rPr>
          <w:color w:val="auto"/>
          <w:kern w:val="21"/>
          <w:sz w:val="24"/>
        </w:rPr>
        <w:t>根据《环境影响评价技术导则 土壤环境（试行）》（HJ964-2018）附录A表A.1土壤环境影响评价类别，本项目属于制造业</w:t>
      </w:r>
      <w:r>
        <w:rPr>
          <w:rFonts w:ascii="宋体" w:hAnsi="宋体"/>
          <w:color w:val="auto"/>
          <w:kern w:val="21"/>
          <w:sz w:val="24"/>
        </w:rPr>
        <w:t>中“有电镀工艺的”项</w:t>
      </w:r>
      <w:r>
        <w:rPr>
          <w:color w:val="auto"/>
          <w:kern w:val="21"/>
          <w:sz w:val="24"/>
        </w:rPr>
        <w:t>目，为</w:t>
      </w:r>
      <w:r>
        <w:rPr>
          <w:color w:val="auto"/>
          <w:kern w:val="21"/>
          <w:sz w:val="24"/>
        </w:rPr>
        <w:fldChar w:fldCharType="begin"/>
      </w:r>
      <w:r>
        <w:rPr>
          <w:color w:val="auto"/>
          <w:kern w:val="21"/>
          <w:sz w:val="24"/>
        </w:rPr>
        <w:instrText xml:space="preserve"> = 3 \* ROMAN \* MERGEFORMAT </w:instrText>
      </w:r>
      <w:r>
        <w:rPr>
          <w:color w:val="auto"/>
          <w:kern w:val="21"/>
          <w:sz w:val="24"/>
        </w:rPr>
        <w:fldChar w:fldCharType="separate"/>
      </w:r>
      <w:r>
        <w:rPr>
          <w:color w:val="auto"/>
          <w:kern w:val="21"/>
          <w:sz w:val="24"/>
        </w:rPr>
        <w:fldChar w:fldCharType="begin"/>
      </w:r>
      <w:r>
        <w:rPr>
          <w:color w:val="auto"/>
          <w:kern w:val="21"/>
          <w:sz w:val="24"/>
        </w:rPr>
        <w:instrText xml:space="preserve"> = 1 \* ROMAN \* MERGEFORMAT </w:instrText>
      </w:r>
      <w:r>
        <w:rPr>
          <w:color w:val="auto"/>
          <w:kern w:val="21"/>
          <w:sz w:val="24"/>
        </w:rPr>
        <w:fldChar w:fldCharType="separate"/>
      </w:r>
      <w:r>
        <w:rPr>
          <w:color w:val="auto"/>
          <w:kern w:val="21"/>
          <w:sz w:val="24"/>
        </w:rPr>
        <w:t>I</w:t>
      </w:r>
      <w:r>
        <w:rPr>
          <w:color w:val="auto"/>
          <w:kern w:val="21"/>
          <w:sz w:val="24"/>
        </w:rPr>
        <w:fldChar w:fldCharType="end"/>
      </w:r>
      <w:r>
        <w:rPr>
          <w:color w:val="auto"/>
          <w:kern w:val="21"/>
          <w:sz w:val="24"/>
        </w:rPr>
        <w:fldChar w:fldCharType="end"/>
      </w:r>
      <w:r>
        <w:rPr>
          <w:color w:val="auto"/>
          <w:kern w:val="21"/>
          <w:sz w:val="24"/>
        </w:rPr>
        <w:t>类项目。</w:t>
      </w:r>
    </w:p>
    <w:p>
      <w:pPr>
        <w:adjustRightInd w:val="0"/>
        <w:snapToGrid w:val="0"/>
        <w:spacing w:line="360" w:lineRule="auto"/>
        <w:rPr>
          <w:color w:val="auto"/>
          <w:kern w:val="21"/>
          <w:sz w:val="24"/>
          <w:szCs w:val="24"/>
        </w:rPr>
      </w:pPr>
      <w:r>
        <w:rPr>
          <w:color w:val="auto"/>
          <w:kern w:val="21"/>
          <w:sz w:val="24"/>
        </w:rPr>
        <w:t>2.</w:t>
      </w:r>
      <w:r>
        <w:rPr>
          <w:rFonts w:hint="eastAsia"/>
          <w:color w:val="auto"/>
          <w:kern w:val="21"/>
          <w:sz w:val="24"/>
        </w:rPr>
        <w:t>5</w:t>
      </w:r>
      <w:r>
        <w:rPr>
          <w:color w:val="auto"/>
          <w:kern w:val="21"/>
          <w:sz w:val="24"/>
        </w:rPr>
        <w:t>.5.2建设项目占地规模</w:t>
      </w:r>
    </w:p>
    <w:p>
      <w:pPr>
        <w:pStyle w:val="32"/>
        <w:adjustRightInd w:val="0"/>
        <w:snapToGrid w:val="0"/>
        <w:spacing w:after="0" w:line="360" w:lineRule="auto"/>
        <w:ind w:firstLine="480" w:firstLineChars="200"/>
        <w:rPr>
          <w:color w:val="auto"/>
          <w:kern w:val="21"/>
          <w:sz w:val="24"/>
          <w:lang w:val="en-US"/>
        </w:rPr>
      </w:pPr>
      <w:r>
        <w:rPr>
          <w:color w:val="auto"/>
          <w:kern w:val="21"/>
          <w:sz w:val="24"/>
        </w:rPr>
        <w:t>建设项目占地规模分为大型（≥</w:t>
      </w:r>
      <w:r>
        <w:rPr>
          <w:color w:val="auto"/>
          <w:kern w:val="21"/>
          <w:sz w:val="24"/>
          <w:lang w:val="en-US"/>
        </w:rPr>
        <w:t>50hm</w:t>
      </w:r>
      <w:r>
        <w:rPr>
          <w:color w:val="auto"/>
          <w:kern w:val="21"/>
          <w:sz w:val="24"/>
          <w:vertAlign w:val="superscript"/>
          <w:lang w:val="en-US"/>
        </w:rPr>
        <w:t>2</w:t>
      </w:r>
      <w:r>
        <w:rPr>
          <w:color w:val="auto"/>
          <w:kern w:val="21"/>
          <w:sz w:val="24"/>
        </w:rPr>
        <w:t>）、中型（</w:t>
      </w:r>
      <w:r>
        <w:rPr>
          <w:color w:val="auto"/>
          <w:kern w:val="21"/>
          <w:sz w:val="24"/>
          <w:lang w:val="en-US"/>
        </w:rPr>
        <w:t>5-50hm</w:t>
      </w:r>
      <w:r>
        <w:rPr>
          <w:color w:val="auto"/>
          <w:kern w:val="21"/>
          <w:sz w:val="24"/>
          <w:vertAlign w:val="superscript"/>
          <w:lang w:val="en-US"/>
        </w:rPr>
        <w:t>2</w:t>
      </w:r>
      <w:r>
        <w:rPr>
          <w:color w:val="auto"/>
          <w:kern w:val="21"/>
          <w:sz w:val="24"/>
        </w:rPr>
        <w:t>）、小型</w:t>
      </w:r>
      <w:r>
        <w:rPr>
          <w:color w:val="auto"/>
          <w:kern w:val="21"/>
          <w:sz w:val="24"/>
          <w:lang w:val="en-US"/>
        </w:rPr>
        <w:t>（≤5hm</w:t>
      </w:r>
      <w:r>
        <w:rPr>
          <w:color w:val="auto"/>
          <w:kern w:val="21"/>
          <w:sz w:val="24"/>
          <w:vertAlign w:val="superscript"/>
          <w:lang w:val="en-US"/>
        </w:rPr>
        <w:t>2</w:t>
      </w:r>
      <w:r>
        <w:rPr>
          <w:color w:val="auto"/>
          <w:kern w:val="21"/>
          <w:sz w:val="24"/>
          <w:lang w:val="en-US"/>
        </w:rPr>
        <w:t>），</w:t>
      </w:r>
      <w:r>
        <w:rPr>
          <w:color w:val="auto"/>
          <w:kern w:val="21"/>
          <w:sz w:val="24"/>
        </w:rPr>
        <w:t>本项目占地面积为</w:t>
      </w:r>
      <w:r>
        <w:rPr>
          <w:rFonts w:hint="eastAsia"/>
          <w:color w:val="auto"/>
          <w:kern w:val="21"/>
          <w:sz w:val="24"/>
          <w:lang w:val="en-US"/>
        </w:rPr>
        <w:t>2.8hm</w:t>
      </w:r>
      <w:r>
        <w:rPr>
          <w:rFonts w:hint="eastAsia"/>
          <w:color w:val="auto"/>
          <w:kern w:val="21"/>
          <w:sz w:val="24"/>
          <w:vertAlign w:val="superscript"/>
          <w:lang w:val="en-US"/>
        </w:rPr>
        <w:t>2</w:t>
      </w:r>
      <w:r>
        <w:rPr>
          <w:color w:val="auto"/>
          <w:kern w:val="21"/>
          <w:sz w:val="24"/>
          <w:lang w:val="en-US"/>
        </w:rPr>
        <w:t>（</w:t>
      </w:r>
      <w:r>
        <w:rPr>
          <w:rFonts w:hint="eastAsia"/>
          <w:color w:val="auto"/>
          <w:kern w:val="21"/>
          <w:sz w:val="24"/>
          <w:lang w:val="en-US"/>
        </w:rPr>
        <w:t>28000</w:t>
      </w:r>
      <w:r>
        <w:rPr>
          <w:color w:val="auto"/>
          <w:kern w:val="21"/>
          <w:sz w:val="24"/>
          <w:lang w:val="en-US"/>
        </w:rPr>
        <w:t>m</w:t>
      </w:r>
      <w:r>
        <w:rPr>
          <w:color w:val="auto"/>
          <w:kern w:val="21"/>
          <w:sz w:val="24"/>
          <w:vertAlign w:val="superscript"/>
          <w:lang w:val="en-US"/>
        </w:rPr>
        <w:t>2</w:t>
      </w:r>
      <w:r>
        <w:rPr>
          <w:color w:val="auto"/>
          <w:kern w:val="21"/>
          <w:sz w:val="24"/>
          <w:lang w:val="en-US"/>
        </w:rPr>
        <w:t>），属于小型占地规模。</w:t>
      </w:r>
    </w:p>
    <w:p>
      <w:pPr>
        <w:adjustRightInd w:val="0"/>
        <w:snapToGrid w:val="0"/>
        <w:spacing w:line="360" w:lineRule="auto"/>
        <w:rPr>
          <w:color w:val="auto"/>
          <w:kern w:val="21"/>
          <w:sz w:val="24"/>
          <w:szCs w:val="24"/>
        </w:rPr>
      </w:pPr>
      <w:r>
        <w:rPr>
          <w:color w:val="auto"/>
          <w:kern w:val="21"/>
          <w:sz w:val="24"/>
        </w:rPr>
        <w:t>2.</w:t>
      </w:r>
      <w:r>
        <w:rPr>
          <w:rFonts w:hint="eastAsia"/>
          <w:color w:val="auto"/>
          <w:kern w:val="21"/>
          <w:sz w:val="24"/>
        </w:rPr>
        <w:t>5</w:t>
      </w:r>
      <w:r>
        <w:rPr>
          <w:color w:val="auto"/>
          <w:kern w:val="21"/>
          <w:sz w:val="24"/>
        </w:rPr>
        <w:t>.5.3建设项目周边土壤环境敏感程度</w:t>
      </w:r>
    </w:p>
    <w:p>
      <w:pPr>
        <w:pStyle w:val="32"/>
        <w:adjustRightInd w:val="0"/>
        <w:snapToGrid w:val="0"/>
        <w:spacing w:after="0" w:line="360" w:lineRule="auto"/>
        <w:ind w:firstLine="480" w:firstLineChars="200"/>
        <w:rPr>
          <w:color w:val="auto"/>
          <w:kern w:val="21"/>
          <w:lang w:val="en-US"/>
        </w:rPr>
      </w:pPr>
      <w:r>
        <w:rPr>
          <w:color w:val="auto"/>
          <w:kern w:val="21"/>
          <w:sz w:val="24"/>
          <w:lang w:val="en-US"/>
        </w:rPr>
        <w:t>建设项目所在地周边的土壤环境敏感程度分为敏感、较敏感、不敏感，判断依据见表2.</w:t>
      </w:r>
      <w:r>
        <w:rPr>
          <w:rFonts w:hint="eastAsia"/>
          <w:color w:val="auto"/>
          <w:kern w:val="21"/>
          <w:sz w:val="24"/>
          <w:lang w:val="en-US"/>
        </w:rPr>
        <w:t>5</w:t>
      </w:r>
      <w:r>
        <w:rPr>
          <w:color w:val="auto"/>
          <w:kern w:val="21"/>
          <w:sz w:val="24"/>
          <w:lang w:val="en-US"/>
        </w:rPr>
        <w:t>-8。</w:t>
      </w:r>
    </w:p>
    <w:p>
      <w:pPr>
        <w:jc w:val="center"/>
        <w:rPr>
          <w:rFonts w:eastAsia="黑体"/>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-8  污染影响型敏感程度分级表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5"/>
        <w:gridCol w:w="69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5" w:type="dxa"/>
            <w:vAlign w:val="center"/>
          </w:tcPr>
          <w:p>
            <w:pPr>
              <w:jc w:val="center"/>
              <w:rPr>
                <w:b/>
                <w:bCs/>
                <w:color w:val="auto"/>
                <w:kern w:val="21"/>
              </w:rPr>
            </w:pPr>
            <w:r>
              <w:rPr>
                <w:b/>
                <w:bCs/>
                <w:color w:val="auto"/>
                <w:kern w:val="21"/>
              </w:rPr>
              <w:t>敏感程度</w:t>
            </w:r>
          </w:p>
        </w:tc>
        <w:tc>
          <w:tcPr>
            <w:tcW w:w="6989" w:type="dxa"/>
            <w:vAlign w:val="center"/>
          </w:tcPr>
          <w:p>
            <w:pPr>
              <w:jc w:val="center"/>
              <w:rPr>
                <w:b/>
                <w:bCs/>
                <w:color w:val="auto"/>
                <w:kern w:val="21"/>
              </w:rPr>
            </w:pPr>
            <w:r>
              <w:rPr>
                <w:b/>
                <w:bCs/>
                <w:color w:val="auto"/>
                <w:kern w:val="21"/>
              </w:rPr>
              <w:t>判断依据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5" w:type="dxa"/>
            <w:vAlign w:val="center"/>
          </w:tcPr>
          <w:p>
            <w:pPr>
              <w:jc w:val="center"/>
              <w:rPr>
                <w:color w:val="auto"/>
                <w:kern w:val="21"/>
              </w:rPr>
            </w:pPr>
            <w:r>
              <w:rPr>
                <w:color w:val="auto"/>
                <w:kern w:val="21"/>
              </w:rPr>
              <w:t>敏感</w:t>
            </w:r>
          </w:p>
        </w:tc>
        <w:tc>
          <w:tcPr>
            <w:tcW w:w="6989" w:type="dxa"/>
            <w:vAlign w:val="center"/>
          </w:tcPr>
          <w:p>
            <w:pPr>
              <w:jc w:val="center"/>
              <w:rPr>
                <w:color w:val="auto"/>
                <w:kern w:val="21"/>
              </w:rPr>
            </w:pPr>
            <w:r>
              <w:rPr>
                <w:color w:val="auto"/>
                <w:kern w:val="21"/>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5" w:type="dxa"/>
            <w:vAlign w:val="center"/>
          </w:tcPr>
          <w:p>
            <w:pPr>
              <w:adjustRightInd w:val="0"/>
              <w:snapToGrid w:val="0"/>
              <w:jc w:val="center"/>
              <w:rPr>
                <w:color w:val="auto"/>
                <w:kern w:val="21"/>
              </w:rPr>
            </w:pPr>
            <w:r>
              <w:rPr>
                <w:color w:val="auto"/>
                <w:kern w:val="21"/>
              </w:rPr>
              <w:t>较敏感</w:t>
            </w:r>
          </w:p>
        </w:tc>
        <w:tc>
          <w:tcPr>
            <w:tcW w:w="6989" w:type="dxa"/>
            <w:vAlign w:val="center"/>
          </w:tcPr>
          <w:p>
            <w:pPr>
              <w:jc w:val="center"/>
              <w:rPr>
                <w:color w:val="auto"/>
                <w:kern w:val="21"/>
              </w:rPr>
            </w:pPr>
            <w:r>
              <w:rPr>
                <w:color w:val="auto"/>
                <w:kern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15" w:type="dxa"/>
            <w:vAlign w:val="center"/>
          </w:tcPr>
          <w:p>
            <w:pPr>
              <w:jc w:val="center"/>
              <w:rPr>
                <w:color w:val="auto"/>
                <w:kern w:val="21"/>
              </w:rPr>
            </w:pPr>
            <w:r>
              <w:rPr>
                <w:color w:val="auto"/>
                <w:kern w:val="21"/>
              </w:rPr>
              <w:t>不敏感</w:t>
            </w:r>
          </w:p>
        </w:tc>
        <w:tc>
          <w:tcPr>
            <w:tcW w:w="6989" w:type="dxa"/>
            <w:vAlign w:val="center"/>
          </w:tcPr>
          <w:p>
            <w:pPr>
              <w:jc w:val="center"/>
              <w:rPr>
                <w:color w:val="auto"/>
                <w:kern w:val="21"/>
              </w:rPr>
            </w:pPr>
            <w:r>
              <w:rPr>
                <w:color w:val="auto"/>
                <w:kern w:val="21"/>
              </w:rPr>
              <w:t>其他情况</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0"/>
          <w:sz w:val="24"/>
          <w:szCs w:val="20"/>
        </w:rPr>
        <w:t>本项目位于获嘉县产业集聚区北区城东片区，租用河南奔茨新能源有限公司闲置厂房进行建设，根据《获嘉县产业集聚区总体发展规划图》</w:t>
      </w:r>
      <w:r>
        <w:rPr>
          <w:rFonts w:hint="eastAsia"/>
          <w:color w:val="auto"/>
          <w:kern w:val="0"/>
          <w:sz w:val="24"/>
          <w:szCs w:val="20"/>
          <w:lang w:eastAsia="zh-CN"/>
        </w:rPr>
        <w:t>可知，项目</w:t>
      </w:r>
      <w:r>
        <w:rPr>
          <w:color w:val="auto"/>
          <w:kern w:val="0"/>
          <w:sz w:val="24"/>
          <w:szCs w:val="20"/>
        </w:rPr>
        <w:t>占地类型为工业用地，且周边土地</w:t>
      </w:r>
      <w:r>
        <w:rPr>
          <w:rFonts w:hint="eastAsia"/>
          <w:color w:val="auto"/>
          <w:kern w:val="0"/>
          <w:sz w:val="24"/>
          <w:szCs w:val="20"/>
          <w:lang w:eastAsia="zh-CN"/>
        </w:rPr>
        <w:t>规划</w:t>
      </w:r>
      <w:r>
        <w:rPr>
          <w:color w:val="auto"/>
          <w:kern w:val="0"/>
          <w:sz w:val="24"/>
          <w:szCs w:val="20"/>
        </w:rPr>
        <w:t>用途也均为工业用地，故项目</w:t>
      </w:r>
      <w:r>
        <w:rPr>
          <w:rFonts w:hint="eastAsia"/>
          <w:color w:val="auto"/>
          <w:kern w:val="0"/>
          <w:sz w:val="24"/>
          <w:szCs w:val="20"/>
          <w:lang w:eastAsia="zh-CN"/>
        </w:rPr>
        <w:t>周边</w:t>
      </w:r>
      <w:r>
        <w:rPr>
          <w:color w:val="auto"/>
          <w:kern w:val="0"/>
          <w:sz w:val="24"/>
          <w:szCs w:val="20"/>
        </w:rPr>
        <w:t>土壤环境敏感程度为</w:t>
      </w:r>
      <w:r>
        <w:rPr>
          <w:rFonts w:hint="eastAsia"/>
          <w:color w:val="auto"/>
          <w:kern w:val="0"/>
          <w:sz w:val="24"/>
          <w:szCs w:val="20"/>
        </w:rPr>
        <w:t>“不</w:t>
      </w:r>
      <w:r>
        <w:rPr>
          <w:color w:val="auto"/>
          <w:kern w:val="0"/>
          <w:sz w:val="24"/>
          <w:szCs w:val="20"/>
        </w:rPr>
        <w:t>敏感</w:t>
      </w:r>
      <w:r>
        <w:rPr>
          <w:rFonts w:hint="eastAsia"/>
          <w:color w:val="auto"/>
          <w:kern w:val="0"/>
          <w:sz w:val="24"/>
          <w:szCs w:val="20"/>
        </w:rPr>
        <w:t>”</w:t>
      </w:r>
      <w:r>
        <w:rPr>
          <w:color w:val="auto"/>
          <w:kern w:val="21"/>
          <w:sz w:val="24"/>
          <w:szCs w:val="24"/>
        </w:rPr>
        <w:t>。</w:t>
      </w:r>
    </w:p>
    <w:p>
      <w:pPr>
        <w:adjustRightInd w:val="0"/>
        <w:snapToGrid w:val="0"/>
        <w:spacing w:line="360" w:lineRule="auto"/>
        <w:rPr>
          <w:b/>
          <w:bCs/>
          <w:color w:val="auto"/>
          <w:kern w:val="21"/>
          <w:sz w:val="24"/>
          <w:szCs w:val="24"/>
          <w:u w:val="single"/>
        </w:rPr>
      </w:pPr>
      <w:r>
        <w:rPr>
          <w:color w:val="auto"/>
          <w:kern w:val="21"/>
          <w:sz w:val="24"/>
        </w:rPr>
        <w:t>2.</w:t>
      </w:r>
      <w:r>
        <w:rPr>
          <w:rFonts w:hint="eastAsia"/>
          <w:color w:val="auto"/>
          <w:kern w:val="21"/>
          <w:sz w:val="24"/>
        </w:rPr>
        <w:t>5</w:t>
      </w:r>
      <w:r>
        <w:rPr>
          <w:color w:val="auto"/>
          <w:kern w:val="21"/>
          <w:sz w:val="24"/>
        </w:rPr>
        <w:t>.5.4建设项目土壤环境评价工作等级</w:t>
      </w:r>
    </w:p>
    <w:p>
      <w:pPr>
        <w:pStyle w:val="33"/>
        <w:adjustRightInd w:val="0"/>
        <w:snapToGrid w:val="0"/>
        <w:spacing w:after="0" w:line="360" w:lineRule="auto"/>
        <w:ind w:left="0" w:leftChars="0" w:firstLine="480" w:firstLineChars="200"/>
        <w:rPr>
          <w:rFonts w:eastAsia="黑体"/>
          <w:color w:val="auto"/>
          <w:kern w:val="21"/>
          <w:sz w:val="24"/>
        </w:rPr>
      </w:pPr>
      <w:r>
        <w:rPr>
          <w:color w:val="auto"/>
          <w:kern w:val="21"/>
          <w:sz w:val="24"/>
        </w:rPr>
        <w:t>本项目土壤环境影响评价工作划分需根据土壤环境影响评价项目类别、占地规模与敏感程度综合评判，评价工作等级</w:t>
      </w:r>
      <w:r>
        <w:rPr>
          <w:rFonts w:hint="eastAsia"/>
          <w:color w:val="auto"/>
          <w:kern w:val="21"/>
          <w:sz w:val="24"/>
          <w:lang w:eastAsia="zh-CN"/>
        </w:rPr>
        <w:t>划分表</w:t>
      </w:r>
      <w:r>
        <w:rPr>
          <w:color w:val="auto"/>
          <w:kern w:val="21"/>
          <w:sz w:val="24"/>
        </w:rPr>
        <w:t>详见表</w:t>
      </w:r>
      <w:r>
        <w:rPr>
          <w:rFonts w:hint="eastAsia"/>
          <w:color w:val="auto"/>
          <w:kern w:val="21"/>
          <w:sz w:val="24"/>
          <w:lang w:val="en-US" w:eastAsia="zh-CN"/>
        </w:rPr>
        <w:t>2.5</w:t>
      </w:r>
      <w:r>
        <w:rPr>
          <w:color w:val="auto"/>
          <w:kern w:val="21"/>
          <w:sz w:val="24"/>
        </w:rPr>
        <w:t>-</w:t>
      </w:r>
      <w:r>
        <w:rPr>
          <w:rFonts w:hint="eastAsia"/>
          <w:color w:val="auto"/>
          <w:kern w:val="21"/>
          <w:sz w:val="24"/>
          <w:lang w:val="en-US" w:eastAsia="zh-CN"/>
        </w:rPr>
        <w:t>9</w:t>
      </w:r>
      <w:r>
        <w:rPr>
          <w:color w:val="auto"/>
          <w:kern w:val="21"/>
          <w:sz w:val="24"/>
        </w:rPr>
        <w:t>。</w:t>
      </w:r>
    </w:p>
    <w:p>
      <w:pPr>
        <w:jc w:val="center"/>
        <w:rPr>
          <w:rFonts w:eastAsia="黑体"/>
          <w:color w:val="auto"/>
          <w:kern w:val="21"/>
          <w:sz w:val="24"/>
          <w:szCs w:val="24"/>
        </w:rPr>
      </w:pPr>
      <w:r>
        <w:rPr>
          <w:rFonts w:eastAsia="黑体"/>
          <w:color w:val="auto"/>
          <w:kern w:val="21"/>
          <w:sz w:val="24"/>
          <w:szCs w:val="24"/>
        </w:rPr>
        <w:t>表2.</w:t>
      </w:r>
      <w:r>
        <w:rPr>
          <w:rFonts w:hint="eastAsia" w:eastAsia="黑体"/>
          <w:color w:val="auto"/>
          <w:kern w:val="21"/>
          <w:sz w:val="24"/>
          <w:szCs w:val="24"/>
        </w:rPr>
        <w:t>5</w:t>
      </w:r>
      <w:r>
        <w:rPr>
          <w:rFonts w:eastAsia="黑体"/>
          <w:color w:val="auto"/>
          <w:kern w:val="21"/>
          <w:sz w:val="24"/>
          <w:szCs w:val="24"/>
        </w:rPr>
        <w:t>-</w:t>
      </w:r>
      <w:r>
        <w:rPr>
          <w:rFonts w:hint="eastAsia" w:eastAsia="黑体"/>
          <w:color w:val="auto"/>
          <w:kern w:val="21"/>
          <w:sz w:val="24"/>
          <w:szCs w:val="24"/>
          <w:lang w:val="en-US" w:eastAsia="zh-CN"/>
        </w:rPr>
        <w:t>9</w:t>
      </w:r>
      <w:r>
        <w:rPr>
          <w:rFonts w:eastAsia="黑体"/>
          <w:color w:val="auto"/>
          <w:kern w:val="21"/>
          <w:sz w:val="24"/>
          <w:szCs w:val="24"/>
        </w:rPr>
        <w:t xml:space="preserve">  污染影响型评价工作等级划分表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950"/>
        <w:gridCol w:w="850"/>
        <w:gridCol w:w="704"/>
        <w:gridCol w:w="707"/>
        <w:gridCol w:w="709"/>
        <w:gridCol w:w="709"/>
        <w:gridCol w:w="711"/>
        <w:gridCol w:w="709"/>
        <w:gridCol w:w="706"/>
        <w:gridCol w:w="76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Merge w:val="restart"/>
            <w:vAlign w:val="center"/>
          </w:tcPr>
          <w:p>
            <w:pPr>
              <w:jc w:val="center"/>
              <w:rPr>
                <w:b/>
                <w:color w:val="auto"/>
                <w:szCs w:val="20"/>
              </w:rPr>
            </w:pPr>
            <w:r>
              <w:rPr>
                <w:color w:val="auto"/>
              </w:rPr>
              <mc:AlternateContent>
                <mc:Choice Requires="wps">
                  <w:drawing>
                    <wp:anchor distT="0" distB="0" distL="114300" distR="114300" simplePos="0" relativeHeight="251765760" behindDoc="0" locked="0" layoutInCell="1" allowOverlap="1">
                      <wp:simplePos x="0" y="0"/>
                      <wp:positionH relativeFrom="column">
                        <wp:posOffset>354965</wp:posOffset>
                      </wp:positionH>
                      <wp:positionV relativeFrom="paragraph">
                        <wp:posOffset>3175</wp:posOffset>
                      </wp:positionV>
                      <wp:extent cx="831215" cy="633095"/>
                      <wp:effectExtent l="3175" t="3810" r="3810" b="10795"/>
                      <wp:wrapNone/>
                      <wp:docPr id="2562" name="直接箭头连接符 112"/>
                      <wp:cNvGraphicFramePr/>
                      <a:graphic xmlns:a="http://schemas.openxmlformats.org/drawingml/2006/main">
                        <a:graphicData uri="http://schemas.microsoft.com/office/word/2010/wordprocessingShape">
                          <wps:wsp>
                            <wps:cNvCnPr>
                              <a:cxnSpLocks noChangeShapeType="1"/>
                            </wps:cNvCnPr>
                            <wps:spPr bwMode="auto">
                              <a:xfrm>
                                <a:off x="0" y="0"/>
                                <a:ext cx="831215" cy="633095"/>
                              </a:xfrm>
                              <a:prstGeom prst="straightConnector1">
                                <a:avLst/>
                              </a:prstGeom>
                              <a:noFill/>
                              <a:ln w="6350">
                                <a:solidFill>
                                  <a:srgbClr val="000000"/>
                                </a:solidFill>
                                <a:round/>
                              </a:ln>
                            </wps:spPr>
                            <wps:bodyPr/>
                          </wps:wsp>
                        </a:graphicData>
                      </a:graphic>
                    </wp:anchor>
                  </w:drawing>
                </mc:Choice>
                <mc:Fallback>
                  <w:pict>
                    <v:shape id="直接箭头连接符 112" o:spid="_x0000_s1026" o:spt="32" type="#_x0000_t32" style="position:absolute;left:0pt;margin-left:27.95pt;margin-top:0.25pt;height:49.85pt;width:65.45pt;z-index:251765760;mso-width-relative:page;mso-height-relative:page;" filled="f" stroked="t" coordsize="21600,21600" o:gfxdata="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40mIcNUAAAAHAQAADwAAAAAAAAABACAAAAAiAAAAZHJzL2Rvd25yZXYueG1s&#10;UEsBAhQAFAAAAAgAh07iQNdqBs37AQAAxwMAAA4AAAAAAAAAAQAgAAAAJAEAAGRycy9lMm9Eb2Mu&#10;eG1sUEsFBgAAAAAGAAYAWQEAAJEFAAAAAA==&#10;">
                      <v:fill on="f" focussize="0,0"/>
                      <v:stroke weight="0.5pt" color="#000000" joinstyle="round"/>
                      <v:imagedata o:title=""/>
                      <o:lock v:ext="edit" aspectratio="f"/>
                    </v:shape>
                  </w:pict>
                </mc:Fallback>
              </mc:AlternateContent>
            </w:r>
            <w:r>
              <w:rPr>
                <w:color w:val="auto"/>
              </w:rPr>
              <mc:AlternateContent>
                <mc:Choice Requires="wps">
                  <w:drawing>
                    <wp:anchor distT="0" distB="0" distL="114300" distR="114300" simplePos="0" relativeHeight="251766784" behindDoc="0" locked="0" layoutInCell="1" allowOverlap="1">
                      <wp:simplePos x="0" y="0"/>
                      <wp:positionH relativeFrom="column">
                        <wp:posOffset>-70485</wp:posOffset>
                      </wp:positionH>
                      <wp:positionV relativeFrom="paragraph">
                        <wp:posOffset>321945</wp:posOffset>
                      </wp:positionV>
                      <wp:extent cx="1256665" cy="314960"/>
                      <wp:effectExtent l="1270" t="4445" r="18415" b="23495"/>
                      <wp:wrapNone/>
                      <wp:docPr id="2561" name="直接箭头连接符 111"/>
                      <wp:cNvGraphicFramePr/>
                      <a:graphic xmlns:a="http://schemas.openxmlformats.org/drawingml/2006/main">
                        <a:graphicData uri="http://schemas.microsoft.com/office/word/2010/wordprocessingShape">
                          <wps:wsp>
                            <wps:cNvCnPr>
                              <a:cxnSpLocks noChangeShapeType="1"/>
                            </wps:cNvCnPr>
                            <wps:spPr bwMode="auto">
                              <a:xfrm flipH="1" flipV="1">
                                <a:off x="0" y="0"/>
                                <a:ext cx="1256665" cy="314960"/>
                              </a:xfrm>
                              <a:prstGeom prst="straightConnector1">
                                <a:avLst/>
                              </a:prstGeom>
                              <a:noFill/>
                              <a:ln w="6350">
                                <a:solidFill>
                                  <a:srgbClr val="000000"/>
                                </a:solidFill>
                                <a:round/>
                              </a:ln>
                            </wps:spPr>
                            <wps:bodyPr/>
                          </wps:wsp>
                        </a:graphicData>
                      </a:graphic>
                    </wp:anchor>
                  </w:drawing>
                </mc:Choice>
                <mc:Fallback>
                  <w:pict>
                    <v:shape id="直接箭头连接符 111" o:spid="_x0000_s1026" o:spt="32" type="#_x0000_t32" style="position:absolute;left:0pt;flip:x y;margin-left:-5.55pt;margin-top:25.35pt;height:24.8pt;width:98.95pt;z-index:251766784;mso-width-relative:page;mso-height-relative:page;" filled="f" stroked="t" coordsize="21600,21600" o:gfxdata="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mjMI7YAAAACgEAAA8AAAAAAAAAAQAgAAAAIgAA&#10;AGRycy9kb3ducmV2LnhtbFBLAQIUABQAAAAIAIdO4kBnwjp+CAIAANwDAAAOAAAAAAAAAAEAIAAA&#10;ACcBAABkcnMvZTJvRG9jLnhtbFBLBQYAAAAABgAGAFkBAAChBQAAAAA=&#10;">
                      <v:fill on="f" focussize="0,0"/>
                      <v:stroke weight="0.5pt" color="#000000" joinstyle="round"/>
                      <v:imagedata o:title=""/>
                      <o:lock v:ext="edit" aspectratio="f"/>
                    </v:shape>
                  </w:pict>
                </mc:Fallback>
              </mc:AlternateContent>
            </w:r>
            <w:r>
              <w:rPr>
                <w:color w:val="auto"/>
              </w:rPr>
              <mc:AlternateContent>
                <mc:Choice Requires="wps">
                  <w:drawing>
                    <wp:anchor distT="0" distB="0" distL="114300" distR="114300" simplePos="0" relativeHeight="251767808" behindDoc="0" locked="0" layoutInCell="1" allowOverlap="1">
                      <wp:simplePos x="0" y="0"/>
                      <wp:positionH relativeFrom="column">
                        <wp:posOffset>488950</wp:posOffset>
                      </wp:positionH>
                      <wp:positionV relativeFrom="paragraph">
                        <wp:posOffset>-17780</wp:posOffset>
                      </wp:positionV>
                      <wp:extent cx="775970" cy="262890"/>
                      <wp:effectExtent l="0" t="0" r="0" b="0"/>
                      <wp:wrapNone/>
                      <wp:docPr id="2560" name="文本框 110"/>
                      <wp:cNvGraphicFramePr/>
                      <a:graphic xmlns:a="http://schemas.openxmlformats.org/drawingml/2006/main">
                        <a:graphicData uri="http://schemas.microsoft.com/office/word/2010/wordprocessingShape">
                          <wps:wsp>
                            <wps:cNvSpPr txBox="1">
                              <a:spLocks noChangeArrowheads="1"/>
                            </wps:cNvSpPr>
                            <wps:spPr bwMode="auto">
                              <a:xfrm>
                                <a:off x="0" y="0"/>
                                <a:ext cx="775970" cy="262890"/>
                              </a:xfrm>
                              <a:prstGeom prst="rect">
                                <a:avLst/>
                              </a:prstGeom>
                              <a:noFill/>
                              <a:ln>
                                <a:noFill/>
                              </a:ln>
                            </wps:spPr>
                            <wps:txbx>
                              <w:txbxContent>
                                <w:p>
                                  <w:pPr>
                                    <w:pStyle w:val="421"/>
                                    <w:rPr>
                                      <w:b/>
                                    </w:rPr>
                                  </w:pPr>
                                  <w:r>
                                    <w:rPr>
                                      <w:rFonts w:hint="eastAsia"/>
                                      <w:b/>
                                    </w:rPr>
                                    <w:t>占地规模</w:t>
                                  </w:r>
                                </w:p>
                              </w:txbxContent>
                            </wps:txbx>
                            <wps:bodyPr rot="0" vert="horz" wrap="square" lIns="91440" tIns="45720" rIns="91440" bIns="45720" anchor="t" anchorCtr="0" upright="1">
                              <a:noAutofit/>
                            </wps:bodyPr>
                          </wps:wsp>
                        </a:graphicData>
                      </a:graphic>
                    </wp:anchor>
                  </w:drawing>
                </mc:Choice>
                <mc:Fallback>
                  <w:pict>
                    <v:shape id="文本框 110" o:spid="_x0000_s1026" o:spt="202" type="#_x0000_t202" style="position:absolute;left:0pt;margin-left:38.5pt;margin-top:-1.4pt;height:20.7pt;width:61.1pt;z-index:251767808;mso-width-relative:page;mso-height-relative:page;" filled="f" stroked="f" coordsize="21600,21600" o:gfxdata="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vFB9NYAAAAIAQAA&#10;DwAAAAAAAAABACAAAAAiAAAAZHJzL2Rvd25yZXYueG1sUEsBAhQAFAAAAAgAh07iQIhpWB4bAgAA&#10;GQQAAA4AAAAAAAAAAQAgAAAAJQEAAGRycy9lMm9Eb2MueG1sUEsFBgAAAAAGAAYAWQEAALIFAAAA&#10;AA==&#10;">
                      <v:fill on="f" focussize="0,0"/>
                      <v:stroke on="f"/>
                      <v:imagedata o:title=""/>
                      <o:lock v:ext="edit" aspectratio="f"/>
                      <v:textbox>
                        <w:txbxContent>
                          <w:p>
                            <w:pPr>
                              <w:pStyle w:val="421"/>
                              <w:rPr>
                                <w:b/>
                              </w:rPr>
                            </w:pPr>
                            <w:r>
                              <w:rPr>
                                <w:rFonts w:hint="eastAsia"/>
                                <w:b/>
                              </w:rPr>
                              <w:t>占地规模</w:t>
                            </w:r>
                          </w:p>
                        </w:txbxContent>
                      </v:textbox>
                    </v:shape>
                  </w:pict>
                </mc:Fallback>
              </mc:AlternateContent>
            </w:r>
            <w:r>
              <w:rPr>
                <w:color w:val="auto"/>
              </w:rPr>
              <mc:AlternateContent>
                <mc:Choice Requires="wps">
                  <w:drawing>
                    <wp:anchor distT="0" distB="0" distL="114300" distR="114300" simplePos="0" relativeHeight="251769856" behindDoc="0" locked="0" layoutInCell="1" allowOverlap="1">
                      <wp:simplePos x="0" y="0"/>
                      <wp:positionH relativeFrom="column">
                        <wp:posOffset>-126365</wp:posOffset>
                      </wp:positionH>
                      <wp:positionV relativeFrom="paragraph">
                        <wp:posOffset>374650</wp:posOffset>
                      </wp:positionV>
                      <wp:extent cx="775970" cy="262890"/>
                      <wp:effectExtent l="0" t="0" r="0" b="0"/>
                      <wp:wrapNone/>
                      <wp:docPr id="2559" name="文本框 109"/>
                      <wp:cNvGraphicFramePr/>
                      <a:graphic xmlns:a="http://schemas.openxmlformats.org/drawingml/2006/main">
                        <a:graphicData uri="http://schemas.microsoft.com/office/word/2010/wordprocessingShape">
                          <wps:wsp>
                            <wps:cNvSpPr txBox="1">
                              <a:spLocks noChangeArrowheads="1"/>
                            </wps:cNvSpPr>
                            <wps:spPr bwMode="auto">
                              <a:xfrm>
                                <a:off x="0" y="0"/>
                                <a:ext cx="775970" cy="262890"/>
                              </a:xfrm>
                              <a:prstGeom prst="rect">
                                <a:avLst/>
                              </a:prstGeom>
                              <a:noFill/>
                              <a:ln>
                                <a:noFill/>
                              </a:ln>
                            </wps:spPr>
                            <wps:txbx>
                              <w:txbxContent>
                                <w:p>
                                  <w:pPr>
                                    <w:pStyle w:val="421"/>
                                    <w:rPr>
                                      <w:b/>
                                    </w:rPr>
                                  </w:pPr>
                                  <w:r>
                                    <w:rPr>
                                      <w:rFonts w:hint="eastAsia"/>
                                      <w:b/>
                                    </w:rPr>
                                    <w:t>敏感程度</w:t>
                                  </w:r>
                                </w:p>
                              </w:txbxContent>
                            </wps:txbx>
                            <wps:bodyPr rot="0" vert="horz" wrap="square" lIns="91440" tIns="45720" rIns="91440" bIns="45720" anchor="t" anchorCtr="0" upright="1">
                              <a:noAutofit/>
                            </wps:bodyPr>
                          </wps:wsp>
                        </a:graphicData>
                      </a:graphic>
                    </wp:anchor>
                  </w:drawing>
                </mc:Choice>
                <mc:Fallback>
                  <w:pict>
                    <v:shape id="文本框 109" o:spid="_x0000_s1026" o:spt="202" type="#_x0000_t202" style="position:absolute;left:0pt;margin-left:-9.95pt;margin-top:29.5pt;height:20.7pt;width:61.1pt;z-index:251769856;mso-width-relative:page;mso-height-relative:page;" filled="f" stroked="f" coordsize="21600,21600" o:gfxdata="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3DeJbXAAAACgEA&#10;AA8AAAAAAAAAAQAgAAAAIgAAAGRycy9kb3ducmV2LnhtbFBLAQIUABQAAAAIAIdO4kBAYn1nGwIA&#10;ABkEAAAOAAAAAAAAAAEAIAAAACYBAABkcnMvZTJvRG9jLnhtbFBLBQYAAAAABgAGAFkBAACzBQAA&#10;AAA=&#10;">
                      <v:fill on="f" focussize="0,0"/>
                      <v:stroke on="f"/>
                      <v:imagedata o:title=""/>
                      <o:lock v:ext="edit" aspectratio="f"/>
                      <v:textbox>
                        <w:txbxContent>
                          <w:p>
                            <w:pPr>
                              <w:pStyle w:val="421"/>
                              <w:rPr>
                                <w:b/>
                              </w:rPr>
                            </w:pPr>
                            <w:r>
                              <w:rPr>
                                <w:rFonts w:hint="eastAsia"/>
                                <w:b/>
                              </w:rPr>
                              <w:t>敏感程度</w:t>
                            </w:r>
                          </w:p>
                        </w:txbxContent>
                      </v:textbox>
                    </v:shape>
                  </w:pict>
                </mc:Fallback>
              </mc:AlternateContent>
            </w:r>
            <w:r>
              <w:rPr>
                <w:color w:val="auto"/>
              </w:rPr>
              <mc:AlternateContent>
                <mc:Choice Requires="wps">
                  <w:drawing>
                    <wp:anchor distT="0" distB="0" distL="114300" distR="114300" simplePos="0" relativeHeight="251768832" behindDoc="0" locked="0" layoutInCell="1" allowOverlap="1">
                      <wp:simplePos x="0" y="0"/>
                      <wp:positionH relativeFrom="column">
                        <wp:posOffset>-170180</wp:posOffset>
                      </wp:positionH>
                      <wp:positionV relativeFrom="paragraph">
                        <wp:posOffset>145415</wp:posOffset>
                      </wp:positionV>
                      <wp:extent cx="1036955" cy="262890"/>
                      <wp:effectExtent l="0" t="0" r="0" b="0"/>
                      <wp:wrapNone/>
                      <wp:docPr id="2558" name="文本框 108"/>
                      <wp:cNvGraphicFramePr/>
                      <a:graphic xmlns:a="http://schemas.openxmlformats.org/drawingml/2006/main">
                        <a:graphicData uri="http://schemas.microsoft.com/office/word/2010/wordprocessingShape">
                          <wps:wsp>
                            <wps:cNvSpPr txBox="1">
                              <a:spLocks noChangeArrowheads="1"/>
                            </wps:cNvSpPr>
                            <wps:spPr bwMode="auto">
                              <a:xfrm>
                                <a:off x="0" y="0"/>
                                <a:ext cx="1036955" cy="262890"/>
                              </a:xfrm>
                              <a:prstGeom prst="rect">
                                <a:avLst/>
                              </a:prstGeom>
                              <a:noFill/>
                              <a:ln>
                                <a:noFill/>
                              </a:ln>
                            </wps:spPr>
                            <wps:txbx>
                              <w:txbxContent>
                                <w:p>
                                  <w:pPr>
                                    <w:pStyle w:val="421"/>
                                    <w:jc w:val="both"/>
                                    <w:rPr>
                                      <w:b/>
                                    </w:rPr>
                                  </w:pPr>
                                  <w:r>
                                    <w:rPr>
                                      <w:rFonts w:hint="eastAsia"/>
                                      <w:b/>
                                    </w:rPr>
                                    <w:t>评价工作等级</w:t>
                                  </w:r>
                                </w:p>
                              </w:txbxContent>
                            </wps:txbx>
                            <wps:bodyPr rot="0" vert="horz" wrap="square" lIns="91440" tIns="45720" rIns="91440" bIns="45720" anchor="t" anchorCtr="0" upright="1">
                              <a:noAutofit/>
                            </wps:bodyPr>
                          </wps:wsp>
                        </a:graphicData>
                      </a:graphic>
                    </wp:anchor>
                  </w:drawing>
                </mc:Choice>
                <mc:Fallback>
                  <w:pict>
                    <v:shape id="文本框 108" o:spid="_x0000_s1026" o:spt="202" type="#_x0000_t202" style="position:absolute;left:0pt;margin-left:-13.4pt;margin-top:11.45pt;height:20.7pt;width:81.65pt;z-index:251768832;mso-width-relative:page;mso-height-relative:page;" filled="f" stroked="f" coordsize="21600,21600" o:gfxdata="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zYncW1wAAAAkB&#10;AAAPAAAAAAAAAAEAIAAAACIAAABkcnMvZG93bnJldi54bWxQSwECFAAUAAAACACHTuJAPydA6hwC&#10;AAAaBAAADgAAAAAAAAABACAAAAAmAQAAZHJzL2Uyb0RvYy54bWxQSwUGAAAAAAYABgBZAQAAtAUA&#10;AAAA&#10;">
                      <v:fill on="f" focussize="0,0"/>
                      <v:stroke on="f"/>
                      <v:imagedata o:title=""/>
                      <o:lock v:ext="edit" aspectratio="f"/>
                      <v:textbox>
                        <w:txbxContent>
                          <w:p>
                            <w:pPr>
                              <w:pStyle w:val="421"/>
                              <w:jc w:val="both"/>
                              <w:rPr>
                                <w:b/>
                              </w:rPr>
                            </w:pPr>
                            <w:r>
                              <w:rPr>
                                <w:rFonts w:hint="eastAsia"/>
                                <w:b/>
                              </w:rPr>
                              <w:t>评价工作等级</w:t>
                            </w:r>
                          </w:p>
                        </w:txbxContent>
                      </v:textbox>
                    </v:shape>
                  </w:pict>
                </mc:Fallback>
              </mc:AlternateContent>
            </w:r>
          </w:p>
        </w:tc>
        <w:tc>
          <w:tcPr>
            <w:tcW w:w="1327" w:type="pct"/>
            <w:gridSpan w:val="3"/>
            <w:tcBorders>
              <w:top w:val="single" w:color="auto" w:sz="8" w:space="0"/>
              <w:bottom w:val="single" w:color="auto" w:sz="6" w:space="0"/>
            </w:tcBorders>
            <w:shd w:val="pct20" w:color="auto" w:fill="auto"/>
            <w:vAlign w:val="center"/>
          </w:tcPr>
          <w:p>
            <w:pPr>
              <w:jc w:val="center"/>
              <w:rPr>
                <w:b/>
                <w:color w:val="auto"/>
                <w:szCs w:val="20"/>
              </w:rPr>
            </w:pPr>
            <w:r>
              <w:rPr>
                <w:b/>
                <w:color w:val="auto"/>
                <w:szCs w:val="20"/>
              </w:rPr>
              <w:t>Ⅰ类</w:t>
            </w:r>
          </w:p>
        </w:tc>
        <w:tc>
          <w:tcPr>
            <w:tcW w:w="1249" w:type="pct"/>
            <w:gridSpan w:val="3"/>
            <w:vAlign w:val="center"/>
          </w:tcPr>
          <w:p>
            <w:pPr>
              <w:jc w:val="center"/>
              <w:rPr>
                <w:b/>
                <w:color w:val="auto"/>
                <w:szCs w:val="20"/>
              </w:rPr>
            </w:pPr>
            <w:r>
              <w:rPr>
                <w:b/>
                <w:color w:val="auto"/>
                <w:szCs w:val="20"/>
              </w:rPr>
              <w:t>Ⅱ类</w:t>
            </w:r>
          </w:p>
        </w:tc>
        <w:tc>
          <w:tcPr>
            <w:tcW w:w="1280" w:type="pct"/>
            <w:gridSpan w:val="3"/>
            <w:vAlign w:val="center"/>
          </w:tcPr>
          <w:p>
            <w:pPr>
              <w:jc w:val="center"/>
              <w:rPr>
                <w:b/>
                <w:color w:val="auto"/>
                <w:szCs w:val="20"/>
              </w:rPr>
            </w:pPr>
            <w:r>
              <w:rPr>
                <w:b/>
                <w:color w:val="auto"/>
                <w:szCs w:val="20"/>
              </w:rPr>
              <w:t>Ⅲ类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Merge w:val="continue"/>
            <w:vAlign w:val="center"/>
          </w:tcPr>
          <w:p>
            <w:pPr>
              <w:jc w:val="center"/>
              <w:rPr>
                <w:b/>
                <w:color w:val="auto"/>
                <w:szCs w:val="20"/>
              </w:rPr>
            </w:pPr>
          </w:p>
        </w:tc>
        <w:tc>
          <w:tcPr>
            <w:tcW w:w="499" w:type="pct"/>
            <w:tcBorders>
              <w:top w:val="single" w:color="auto" w:sz="6" w:space="0"/>
            </w:tcBorders>
            <w:vAlign w:val="center"/>
          </w:tcPr>
          <w:p>
            <w:pPr>
              <w:jc w:val="center"/>
              <w:rPr>
                <w:b/>
                <w:color w:val="auto"/>
                <w:szCs w:val="20"/>
              </w:rPr>
            </w:pPr>
            <w:r>
              <w:rPr>
                <w:b/>
                <w:color w:val="auto"/>
                <w:szCs w:val="20"/>
              </w:rPr>
              <w:t>大</w:t>
            </w:r>
          </w:p>
        </w:tc>
        <w:tc>
          <w:tcPr>
            <w:tcW w:w="413" w:type="pct"/>
            <w:tcBorders>
              <w:top w:val="single" w:color="auto" w:sz="6" w:space="0"/>
            </w:tcBorders>
            <w:vAlign w:val="center"/>
          </w:tcPr>
          <w:p>
            <w:pPr>
              <w:jc w:val="center"/>
              <w:rPr>
                <w:b/>
                <w:color w:val="auto"/>
                <w:szCs w:val="20"/>
              </w:rPr>
            </w:pPr>
            <w:r>
              <w:rPr>
                <w:b/>
                <w:color w:val="auto"/>
                <w:szCs w:val="20"/>
              </w:rPr>
              <w:t>中</w:t>
            </w:r>
          </w:p>
        </w:tc>
        <w:tc>
          <w:tcPr>
            <w:tcW w:w="415" w:type="pct"/>
            <w:tcBorders>
              <w:top w:val="single" w:color="auto" w:sz="6" w:space="0"/>
              <w:bottom w:val="single" w:color="auto" w:sz="6" w:space="0"/>
            </w:tcBorders>
            <w:shd w:val="pct20" w:color="auto" w:fill="auto"/>
            <w:vAlign w:val="center"/>
          </w:tcPr>
          <w:p>
            <w:pPr>
              <w:jc w:val="center"/>
              <w:rPr>
                <w:b/>
                <w:color w:val="auto"/>
                <w:szCs w:val="20"/>
              </w:rPr>
            </w:pPr>
            <w:r>
              <w:rPr>
                <w:b/>
                <w:color w:val="auto"/>
                <w:szCs w:val="20"/>
              </w:rPr>
              <w:t>小</w:t>
            </w:r>
          </w:p>
        </w:tc>
        <w:tc>
          <w:tcPr>
            <w:tcW w:w="416" w:type="pct"/>
            <w:vAlign w:val="center"/>
          </w:tcPr>
          <w:p>
            <w:pPr>
              <w:jc w:val="center"/>
              <w:rPr>
                <w:b/>
                <w:color w:val="auto"/>
                <w:szCs w:val="20"/>
              </w:rPr>
            </w:pPr>
            <w:r>
              <w:rPr>
                <w:b/>
                <w:color w:val="auto"/>
                <w:szCs w:val="20"/>
              </w:rPr>
              <w:t>大</w:t>
            </w:r>
          </w:p>
        </w:tc>
        <w:tc>
          <w:tcPr>
            <w:tcW w:w="416" w:type="pct"/>
            <w:vAlign w:val="center"/>
          </w:tcPr>
          <w:p>
            <w:pPr>
              <w:jc w:val="center"/>
              <w:rPr>
                <w:b/>
                <w:color w:val="auto"/>
                <w:szCs w:val="20"/>
              </w:rPr>
            </w:pPr>
            <w:r>
              <w:rPr>
                <w:b/>
                <w:color w:val="auto"/>
                <w:szCs w:val="20"/>
              </w:rPr>
              <w:t>中</w:t>
            </w:r>
          </w:p>
        </w:tc>
        <w:tc>
          <w:tcPr>
            <w:tcW w:w="417" w:type="pct"/>
            <w:vAlign w:val="center"/>
          </w:tcPr>
          <w:p>
            <w:pPr>
              <w:jc w:val="center"/>
              <w:rPr>
                <w:b/>
                <w:color w:val="auto"/>
                <w:szCs w:val="20"/>
              </w:rPr>
            </w:pPr>
            <w:r>
              <w:rPr>
                <w:b/>
                <w:color w:val="auto"/>
                <w:szCs w:val="20"/>
              </w:rPr>
              <w:t>小</w:t>
            </w:r>
          </w:p>
        </w:tc>
        <w:tc>
          <w:tcPr>
            <w:tcW w:w="416" w:type="pct"/>
            <w:vAlign w:val="center"/>
          </w:tcPr>
          <w:p>
            <w:pPr>
              <w:jc w:val="center"/>
              <w:rPr>
                <w:b/>
                <w:color w:val="auto"/>
                <w:szCs w:val="20"/>
              </w:rPr>
            </w:pPr>
            <w:r>
              <w:rPr>
                <w:b/>
                <w:color w:val="auto"/>
                <w:szCs w:val="20"/>
              </w:rPr>
              <w:t>大</w:t>
            </w:r>
          </w:p>
        </w:tc>
        <w:tc>
          <w:tcPr>
            <w:tcW w:w="414" w:type="pct"/>
            <w:vAlign w:val="center"/>
          </w:tcPr>
          <w:p>
            <w:pPr>
              <w:jc w:val="center"/>
              <w:rPr>
                <w:b/>
                <w:color w:val="auto"/>
                <w:szCs w:val="20"/>
              </w:rPr>
            </w:pPr>
            <w:r>
              <w:rPr>
                <w:b/>
                <w:color w:val="auto"/>
                <w:szCs w:val="20"/>
              </w:rPr>
              <w:t>中</w:t>
            </w:r>
          </w:p>
        </w:tc>
        <w:tc>
          <w:tcPr>
            <w:tcW w:w="450" w:type="pct"/>
            <w:vAlign w:val="center"/>
          </w:tcPr>
          <w:p>
            <w:pPr>
              <w:jc w:val="center"/>
              <w:rPr>
                <w:b/>
                <w:color w:val="auto"/>
                <w:szCs w:val="20"/>
              </w:rPr>
            </w:pPr>
            <w:r>
              <w:rPr>
                <w:b/>
                <w:color w:val="auto"/>
                <w:szCs w:val="20"/>
              </w:rPr>
              <w:t>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Align w:val="center"/>
          </w:tcPr>
          <w:p>
            <w:pPr>
              <w:contextualSpacing/>
              <w:jc w:val="center"/>
              <w:textAlignment w:val="baseline"/>
              <w:rPr>
                <w:color w:val="auto"/>
                <w:kern w:val="0"/>
              </w:rPr>
            </w:pPr>
            <w:r>
              <w:rPr>
                <w:color w:val="auto"/>
                <w:kern w:val="0"/>
              </w:rPr>
              <w:t>敏感</w:t>
            </w:r>
          </w:p>
        </w:tc>
        <w:tc>
          <w:tcPr>
            <w:tcW w:w="499" w:type="pct"/>
            <w:vAlign w:val="center"/>
          </w:tcPr>
          <w:p>
            <w:pPr>
              <w:contextualSpacing/>
              <w:jc w:val="center"/>
              <w:textAlignment w:val="baseline"/>
              <w:rPr>
                <w:color w:val="auto"/>
                <w:kern w:val="0"/>
              </w:rPr>
            </w:pPr>
            <w:r>
              <w:rPr>
                <w:color w:val="auto"/>
                <w:kern w:val="0"/>
              </w:rPr>
              <w:t>一级</w:t>
            </w:r>
          </w:p>
        </w:tc>
        <w:tc>
          <w:tcPr>
            <w:tcW w:w="413" w:type="pct"/>
            <w:vAlign w:val="center"/>
          </w:tcPr>
          <w:p>
            <w:pPr>
              <w:contextualSpacing/>
              <w:jc w:val="center"/>
              <w:textAlignment w:val="baseline"/>
              <w:rPr>
                <w:color w:val="auto"/>
                <w:kern w:val="0"/>
              </w:rPr>
            </w:pPr>
            <w:r>
              <w:rPr>
                <w:color w:val="auto"/>
                <w:kern w:val="0"/>
              </w:rPr>
              <w:t>一级</w:t>
            </w:r>
          </w:p>
        </w:tc>
        <w:tc>
          <w:tcPr>
            <w:tcW w:w="415" w:type="pct"/>
            <w:tcBorders>
              <w:top w:val="single" w:color="auto" w:sz="6" w:space="0"/>
              <w:bottom w:val="single" w:color="auto" w:sz="6" w:space="0"/>
            </w:tcBorders>
            <w:shd w:val="clear" w:color="auto" w:fill="auto"/>
            <w:vAlign w:val="center"/>
          </w:tcPr>
          <w:p>
            <w:pPr>
              <w:contextualSpacing/>
              <w:jc w:val="center"/>
              <w:textAlignment w:val="baseline"/>
              <w:rPr>
                <w:color w:val="auto"/>
                <w:kern w:val="0"/>
              </w:rPr>
            </w:pPr>
            <w:r>
              <w:rPr>
                <w:color w:val="auto"/>
                <w:kern w:val="0"/>
              </w:rPr>
              <w:t>一级</w:t>
            </w:r>
          </w:p>
        </w:tc>
        <w:tc>
          <w:tcPr>
            <w:tcW w:w="416" w:type="pct"/>
            <w:tcBorders>
              <w:bottom w:val="single" w:color="auto" w:sz="6" w:space="0"/>
            </w:tcBorders>
            <w:vAlign w:val="center"/>
          </w:tcPr>
          <w:p>
            <w:pPr>
              <w:contextualSpacing/>
              <w:jc w:val="center"/>
              <w:textAlignment w:val="baseline"/>
              <w:rPr>
                <w:color w:val="auto"/>
                <w:kern w:val="0"/>
              </w:rPr>
            </w:pPr>
            <w:r>
              <w:rPr>
                <w:color w:val="auto"/>
                <w:kern w:val="0"/>
              </w:rPr>
              <w:t>二级</w:t>
            </w:r>
          </w:p>
        </w:tc>
        <w:tc>
          <w:tcPr>
            <w:tcW w:w="416" w:type="pct"/>
            <w:vAlign w:val="center"/>
          </w:tcPr>
          <w:p>
            <w:pPr>
              <w:contextualSpacing/>
              <w:jc w:val="center"/>
              <w:textAlignment w:val="baseline"/>
              <w:rPr>
                <w:color w:val="auto"/>
                <w:kern w:val="0"/>
              </w:rPr>
            </w:pPr>
            <w:r>
              <w:rPr>
                <w:color w:val="auto"/>
                <w:kern w:val="0"/>
              </w:rPr>
              <w:t>二级</w:t>
            </w:r>
          </w:p>
        </w:tc>
        <w:tc>
          <w:tcPr>
            <w:tcW w:w="417" w:type="pct"/>
            <w:vAlign w:val="center"/>
          </w:tcPr>
          <w:p>
            <w:pPr>
              <w:contextualSpacing/>
              <w:jc w:val="center"/>
              <w:textAlignment w:val="baseline"/>
              <w:rPr>
                <w:color w:val="auto"/>
                <w:kern w:val="0"/>
              </w:rPr>
            </w:pPr>
            <w:r>
              <w:rPr>
                <w:color w:val="auto"/>
                <w:kern w:val="0"/>
              </w:rPr>
              <w:t>二级</w:t>
            </w:r>
          </w:p>
        </w:tc>
        <w:tc>
          <w:tcPr>
            <w:tcW w:w="416" w:type="pct"/>
            <w:vAlign w:val="center"/>
          </w:tcPr>
          <w:p>
            <w:pPr>
              <w:contextualSpacing/>
              <w:jc w:val="center"/>
              <w:textAlignment w:val="baseline"/>
              <w:rPr>
                <w:color w:val="auto"/>
                <w:kern w:val="0"/>
              </w:rPr>
            </w:pPr>
            <w:r>
              <w:rPr>
                <w:color w:val="auto"/>
                <w:kern w:val="0"/>
              </w:rPr>
              <w:t>三级</w:t>
            </w:r>
          </w:p>
        </w:tc>
        <w:tc>
          <w:tcPr>
            <w:tcW w:w="414" w:type="pct"/>
            <w:vAlign w:val="center"/>
          </w:tcPr>
          <w:p>
            <w:pPr>
              <w:contextualSpacing/>
              <w:jc w:val="center"/>
              <w:textAlignment w:val="baseline"/>
              <w:rPr>
                <w:color w:val="auto"/>
                <w:kern w:val="0"/>
              </w:rPr>
            </w:pPr>
            <w:r>
              <w:rPr>
                <w:color w:val="auto"/>
                <w:kern w:val="0"/>
              </w:rPr>
              <w:t>三级</w:t>
            </w:r>
          </w:p>
        </w:tc>
        <w:tc>
          <w:tcPr>
            <w:tcW w:w="450" w:type="pct"/>
            <w:vAlign w:val="center"/>
          </w:tcPr>
          <w:p>
            <w:pPr>
              <w:contextualSpacing/>
              <w:jc w:val="center"/>
              <w:textAlignment w:val="baseline"/>
              <w:rPr>
                <w:color w:val="auto"/>
                <w:kern w:val="0"/>
              </w:rPr>
            </w:pPr>
            <w:r>
              <w:rPr>
                <w:color w:val="auto"/>
                <w:kern w:val="0"/>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Align w:val="center"/>
          </w:tcPr>
          <w:p>
            <w:pPr>
              <w:contextualSpacing/>
              <w:jc w:val="center"/>
              <w:textAlignment w:val="baseline"/>
              <w:rPr>
                <w:color w:val="auto"/>
                <w:kern w:val="0"/>
              </w:rPr>
            </w:pPr>
            <w:r>
              <w:rPr>
                <w:color w:val="auto"/>
                <w:kern w:val="0"/>
              </w:rPr>
              <w:t>较敏感</w:t>
            </w:r>
          </w:p>
        </w:tc>
        <w:tc>
          <w:tcPr>
            <w:tcW w:w="499" w:type="pct"/>
            <w:vAlign w:val="center"/>
          </w:tcPr>
          <w:p>
            <w:pPr>
              <w:contextualSpacing/>
              <w:jc w:val="center"/>
              <w:textAlignment w:val="baseline"/>
              <w:rPr>
                <w:color w:val="auto"/>
                <w:kern w:val="0"/>
              </w:rPr>
            </w:pPr>
            <w:r>
              <w:rPr>
                <w:color w:val="auto"/>
                <w:kern w:val="0"/>
              </w:rPr>
              <w:t>一级</w:t>
            </w:r>
          </w:p>
        </w:tc>
        <w:tc>
          <w:tcPr>
            <w:tcW w:w="413" w:type="pct"/>
            <w:vAlign w:val="center"/>
          </w:tcPr>
          <w:p>
            <w:pPr>
              <w:contextualSpacing/>
              <w:jc w:val="center"/>
              <w:textAlignment w:val="baseline"/>
              <w:rPr>
                <w:color w:val="auto"/>
                <w:kern w:val="0"/>
              </w:rPr>
            </w:pPr>
            <w:r>
              <w:rPr>
                <w:color w:val="auto"/>
                <w:kern w:val="0"/>
              </w:rPr>
              <w:t>一级</w:t>
            </w:r>
          </w:p>
        </w:tc>
        <w:tc>
          <w:tcPr>
            <w:tcW w:w="415" w:type="pct"/>
            <w:tcBorders>
              <w:top w:val="single" w:color="auto" w:sz="6" w:space="0"/>
              <w:bottom w:val="single" w:color="auto" w:sz="6" w:space="0"/>
            </w:tcBorders>
            <w:shd w:val="clear" w:color="auto" w:fill="auto"/>
            <w:vAlign w:val="center"/>
          </w:tcPr>
          <w:p>
            <w:pPr>
              <w:contextualSpacing/>
              <w:jc w:val="center"/>
              <w:textAlignment w:val="baseline"/>
              <w:rPr>
                <w:color w:val="auto"/>
                <w:kern w:val="0"/>
              </w:rPr>
            </w:pPr>
            <w:r>
              <w:rPr>
                <w:color w:val="auto"/>
                <w:kern w:val="0"/>
              </w:rPr>
              <w:t>二级</w:t>
            </w:r>
          </w:p>
        </w:tc>
        <w:tc>
          <w:tcPr>
            <w:tcW w:w="416" w:type="pct"/>
            <w:tcBorders>
              <w:top w:val="single" w:color="auto" w:sz="6" w:space="0"/>
              <w:bottom w:val="single" w:color="auto" w:sz="6" w:space="0"/>
            </w:tcBorders>
            <w:vAlign w:val="center"/>
          </w:tcPr>
          <w:p>
            <w:pPr>
              <w:contextualSpacing/>
              <w:jc w:val="center"/>
              <w:textAlignment w:val="baseline"/>
              <w:rPr>
                <w:color w:val="auto"/>
                <w:kern w:val="0"/>
              </w:rPr>
            </w:pPr>
            <w:r>
              <w:rPr>
                <w:color w:val="auto"/>
                <w:kern w:val="0"/>
              </w:rPr>
              <w:t>二级</w:t>
            </w:r>
          </w:p>
        </w:tc>
        <w:tc>
          <w:tcPr>
            <w:tcW w:w="416" w:type="pct"/>
            <w:vAlign w:val="center"/>
          </w:tcPr>
          <w:p>
            <w:pPr>
              <w:contextualSpacing/>
              <w:jc w:val="center"/>
              <w:textAlignment w:val="baseline"/>
              <w:rPr>
                <w:color w:val="auto"/>
                <w:kern w:val="0"/>
              </w:rPr>
            </w:pPr>
            <w:r>
              <w:rPr>
                <w:color w:val="auto"/>
                <w:kern w:val="0"/>
              </w:rPr>
              <w:t>二级</w:t>
            </w:r>
          </w:p>
        </w:tc>
        <w:tc>
          <w:tcPr>
            <w:tcW w:w="417" w:type="pct"/>
            <w:vAlign w:val="center"/>
          </w:tcPr>
          <w:p>
            <w:pPr>
              <w:contextualSpacing/>
              <w:jc w:val="center"/>
              <w:textAlignment w:val="baseline"/>
              <w:rPr>
                <w:color w:val="auto"/>
                <w:kern w:val="0"/>
              </w:rPr>
            </w:pPr>
            <w:r>
              <w:rPr>
                <w:color w:val="auto"/>
                <w:kern w:val="0"/>
              </w:rPr>
              <w:t>三级</w:t>
            </w:r>
          </w:p>
        </w:tc>
        <w:tc>
          <w:tcPr>
            <w:tcW w:w="416" w:type="pct"/>
            <w:vAlign w:val="center"/>
          </w:tcPr>
          <w:p>
            <w:pPr>
              <w:contextualSpacing/>
              <w:jc w:val="center"/>
              <w:textAlignment w:val="baseline"/>
              <w:rPr>
                <w:color w:val="auto"/>
                <w:kern w:val="0"/>
              </w:rPr>
            </w:pPr>
            <w:r>
              <w:rPr>
                <w:color w:val="auto"/>
                <w:kern w:val="0"/>
              </w:rPr>
              <w:t>三级</w:t>
            </w:r>
          </w:p>
        </w:tc>
        <w:tc>
          <w:tcPr>
            <w:tcW w:w="414" w:type="pct"/>
            <w:vAlign w:val="center"/>
          </w:tcPr>
          <w:p>
            <w:pPr>
              <w:contextualSpacing/>
              <w:jc w:val="center"/>
              <w:textAlignment w:val="baseline"/>
              <w:rPr>
                <w:color w:val="auto"/>
                <w:kern w:val="0"/>
              </w:rPr>
            </w:pPr>
            <w:r>
              <w:rPr>
                <w:color w:val="auto"/>
                <w:kern w:val="0"/>
              </w:rPr>
              <w:t>三级</w:t>
            </w:r>
          </w:p>
        </w:tc>
        <w:tc>
          <w:tcPr>
            <w:tcW w:w="450" w:type="pct"/>
            <w:vAlign w:val="center"/>
          </w:tcPr>
          <w:p>
            <w:pPr>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Align w:val="center"/>
          </w:tcPr>
          <w:p>
            <w:pPr>
              <w:contextualSpacing/>
              <w:jc w:val="center"/>
              <w:textAlignment w:val="baseline"/>
              <w:rPr>
                <w:color w:val="auto"/>
                <w:kern w:val="0"/>
              </w:rPr>
            </w:pPr>
            <w:r>
              <w:rPr>
                <w:color w:val="auto"/>
                <w:kern w:val="0"/>
              </w:rPr>
              <w:t>不敏感</w:t>
            </w:r>
          </w:p>
        </w:tc>
        <w:tc>
          <w:tcPr>
            <w:tcW w:w="499" w:type="pct"/>
            <w:vAlign w:val="center"/>
          </w:tcPr>
          <w:p>
            <w:pPr>
              <w:contextualSpacing/>
              <w:jc w:val="center"/>
              <w:textAlignment w:val="baseline"/>
              <w:rPr>
                <w:color w:val="auto"/>
                <w:kern w:val="0"/>
              </w:rPr>
            </w:pPr>
            <w:r>
              <w:rPr>
                <w:color w:val="auto"/>
                <w:kern w:val="0"/>
              </w:rPr>
              <w:t>一级</w:t>
            </w:r>
          </w:p>
        </w:tc>
        <w:tc>
          <w:tcPr>
            <w:tcW w:w="413" w:type="pct"/>
            <w:vAlign w:val="center"/>
          </w:tcPr>
          <w:p>
            <w:pPr>
              <w:contextualSpacing/>
              <w:jc w:val="center"/>
              <w:textAlignment w:val="baseline"/>
              <w:rPr>
                <w:color w:val="auto"/>
                <w:kern w:val="0"/>
              </w:rPr>
            </w:pPr>
            <w:r>
              <w:rPr>
                <w:color w:val="auto"/>
                <w:kern w:val="0"/>
              </w:rPr>
              <w:t>二级</w:t>
            </w:r>
          </w:p>
        </w:tc>
        <w:tc>
          <w:tcPr>
            <w:tcW w:w="415" w:type="pct"/>
            <w:tcBorders>
              <w:top w:val="single" w:color="auto" w:sz="6" w:space="0"/>
              <w:bottom w:val="single" w:color="auto" w:sz="6" w:space="0"/>
            </w:tcBorders>
            <w:shd w:val="pct20" w:color="auto" w:fill="auto"/>
            <w:vAlign w:val="center"/>
          </w:tcPr>
          <w:p>
            <w:pPr>
              <w:contextualSpacing/>
              <w:jc w:val="center"/>
              <w:textAlignment w:val="baseline"/>
              <w:rPr>
                <w:color w:val="auto"/>
                <w:kern w:val="0"/>
              </w:rPr>
            </w:pPr>
            <w:r>
              <w:rPr>
                <w:color w:val="auto"/>
                <w:kern w:val="0"/>
              </w:rPr>
              <w:t>二级</w:t>
            </w:r>
          </w:p>
        </w:tc>
        <w:tc>
          <w:tcPr>
            <w:tcW w:w="416" w:type="pct"/>
            <w:tcBorders>
              <w:top w:val="single" w:color="auto" w:sz="6" w:space="0"/>
            </w:tcBorders>
            <w:vAlign w:val="center"/>
          </w:tcPr>
          <w:p>
            <w:pPr>
              <w:contextualSpacing/>
              <w:jc w:val="center"/>
              <w:textAlignment w:val="baseline"/>
              <w:rPr>
                <w:color w:val="auto"/>
                <w:kern w:val="0"/>
              </w:rPr>
            </w:pPr>
            <w:r>
              <w:rPr>
                <w:color w:val="auto"/>
                <w:kern w:val="0"/>
              </w:rPr>
              <w:t>二级</w:t>
            </w:r>
          </w:p>
        </w:tc>
        <w:tc>
          <w:tcPr>
            <w:tcW w:w="416" w:type="pct"/>
            <w:vAlign w:val="center"/>
          </w:tcPr>
          <w:p>
            <w:pPr>
              <w:contextualSpacing/>
              <w:jc w:val="center"/>
              <w:textAlignment w:val="baseline"/>
              <w:rPr>
                <w:color w:val="auto"/>
                <w:kern w:val="0"/>
              </w:rPr>
            </w:pPr>
            <w:r>
              <w:rPr>
                <w:color w:val="auto"/>
                <w:kern w:val="0"/>
              </w:rPr>
              <w:t>三级</w:t>
            </w:r>
          </w:p>
        </w:tc>
        <w:tc>
          <w:tcPr>
            <w:tcW w:w="417" w:type="pct"/>
            <w:vAlign w:val="center"/>
          </w:tcPr>
          <w:p>
            <w:pPr>
              <w:contextualSpacing/>
              <w:jc w:val="center"/>
              <w:textAlignment w:val="baseline"/>
              <w:rPr>
                <w:color w:val="auto"/>
                <w:kern w:val="0"/>
              </w:rPr>
            </w:pPr>
            <w:r>
              <w:rPr>
                <w:color w:val="auto"/>
                <w:kern w:val="0"/>
              </w:rPr>
              <w:t>三级</w:t>
            </w:r>
          </w:p>
        </w:tc>
        <w:tc>
          <w:tcPr>
            <w:tcW w:w="416" w:type="pct"/>
            <w:vAlign w:val="center"/>
          </w:tcPr>
          <w:p>
            <w:pPr>
              <w:contextualSpacing/>
              <w:jc w:val="center"/>
              <w:textAlignment w:val="baseline"/>
              <w:rPr>
                <w:color w:val="auto"/>
                <w:kern w:val="0"/>
              </w:rPr>
            </w:pPr>
            <w:r>
              <w:rPr>
                <w:color w:val="auto"/>
                <w:kern w:val="0"/>
              </w:rPr>
              <w:t>三级</w:t>
            </w:r>
          </w:p>
        </w:tc>
        <w:tc>
          <w:tcPr>
            <w:tcW w:w="414" w:type="pct"/>
            <w:vAlign w:val="center"/>
          </w:tcPr>
          <w:p>
            <w:pPr>
              <w:contextualSpacing/>
              <w:jc w:val="center"/>
              <w:textAlignment w:val="baseline"/>
              <w:rPr>
                <w:color w:val="auto"/>
                <w:kern w:val="0"/>
              </w:rPr>
            </w:pPr>
            <w:r>
              <w:rPr>
                <w:color w:val="auto"/>
                <w:kern w:val="0"/>
              </w:rPr>
              <w:t>-</w:t>
            </w:r>
          </w:p>
        </w:tc>
        <w:tc>
          <w:tcPr>
            <w:tcW w:w="450" w:type="pct"/>
            <w:vAlign w:val="center"/>
          </w:tcPr>
          <w:p>
            <w:pPr>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5000" w:type="pct"/>
            <w:gridSpan w:val="10"/>
            <w:vAlign w:val="center"/>
          </w:tcPr>
          <w:p>
            <w:pPr>
              <w:contextualSpacing/>
              <w:textAlignment w:val="baseline"/>
              <w:rPr>
                <w:color w:val="auto"/>
                <w:kern w:val="0"/>
              </w:rPr>
            </w:pPr>
            <w:r>
              <w:rPr>
                <w:color w:val="auto"/>
                <w:kern w:val="0"/>
              </w:rPr>
              <w:t>注：“-”表示可不开展土壤环境影响评价工作。</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21"/>
          <w:sz w:val="24"/>
          <w:szCs w:val="24"/>
        </w:rPr>
        <w:t>本项目为</w:t>
      </w:r>
      <w:r>
        <w:rPr>
          <w:color w:val="auto"/>
          <w:kern w:val="21"/>
          <w:sz w:val="24"/>
          <w:szCs w:val="24"/>
        </w:rPr>
        <w:fldChar w:fldCharType="begin"/>
      </w:r>
      <w:r>
        <w:rPr>
          <w:color w:val="auto"/>
          <w:kern w:val="21"/>
          <w:sz w:val="24"/>
          <w:szCs w:val="24"/>
        </w:rPr>
        <w:instrText xml:space="preserve"> = 3 \* ROMAN \* MERGEFORMAT </w:instrText>
      </w:r>
      <w:r>
        <w:rPr>
          <w:color w:val="auto"/>
          <w:kern w:val="21"/>
          <w:sz w:val="24"/>
          <w:szCs w:val="24"/>
        </w:rPr>
        <w:fldChar w:fldCharType="separate"/>
      </w:r>
      <w:r>
        <w:rPr>
          <w:color w:val="auto"/>
          <w:kern w:val="21"/>
          <w:sz w:val="24"/>
          <w:szCs w:val="24"/>
        </w:rPr>
        <w:t>I</w:t>
      </w:r>
      <w:r>
        <w:rPr>
          <w:color w:val="auto"/>
          <w:kern w:val="21"/>
          <w:sz w:val="24"/>
          <w:szCs w:val="24"/>
        </w:rPr>
        <w:fldChar w:fldCharType="end"/>
      </w:r>
      <w:r>
        <w:rPr>
          <w:color w:val="auto"/>
          <w:kern w:val="21"/>
          <w:sz w:val="24"/>
          <w:szCs w:val="24"/>
        </w:rPr>
        <w:t>类项目，小型占地规模，土壤敏感程度为不敏感，根据《环境影响评价技术导则</w:t>
      </w:r>
      <w:r>
        <w:rPr>
          <w:rFonts w:hint="eastAsia"/>
          <w:color w:val="auto"/>
          <w:kern w:val="21"/>
          <w:sz w:val="24"/>
          <w:szCs w:val="24"/>
          <w:lang w:val="en-US" w:eastAsia="zh-CN"/>
        </w:rPr>
        <w:t xml:space="preserve"> </w:t>
      </w:r>
      <w:r>
        <w:rPr>
          <w:color w:val="auto"/>
          <w:kern w:val="21"/>
          <w:sz w:val="24"/>
          <w:szCs w:val="24"/>
        </w:rPr>
        <w:t>土壤环境（试行）》（HJ964-2018）</w:t>
      </w:r>
      <w:r>
        <w:rPr>
          <w:color w:val="auto"/>
          <w:kern w:val="21"/>
          <w:sz w:val="24"/>
        </w:rPr>
        <w:t>表</w:t>
      </w:r>
      <w:r>
        <w:rPr>
          <w:rFonts w:hint="eastAsia"/>
          <w:color w:val="auto"/>
          <w:kern w:val="21"/>
          <w:sz w:val="24"/>
          <w:lang w:val="en-US" w:eastAsia="zh-CN"/>
        </w:rPr>
        <w:t>2.5</w:t>
      </w:r>
      <w:r>
        <w:rPr>
          <w:color w:val="auto"/>
          <w:kern w:val="21"/>
          <w:sz w:val="24"/>
        </w:rPr>
        <w:t>-</w:t>
      </w:r>
      <w:r>
        <w:rPr>
          <w:rFonts w:hint="eastAsia"/>
          <w:color w:val="auto"/>
          <w:kern w:val="21"/>
          <w:sz w:val="24"/>
          <w:lang w:val="en-US" w:eastAsia="zh-CN"/>
        </w:rPr>
        <w:t>9</w:t>
      </w:r>
      <w:r>
        <w:rPr>
          <w:color w:val="auto"/>
          <w:kern w:val="21"/>
          <w:sz w:val="24"/>
          <w:szCs w:val="24"/>
        </w:rPr>
        <w:t>污染影响型评价工作等级划分表，确定本项目土壤环境影响评价工作为</w:t>
      </w:r>
      <w:r>
        <w:rPr>
          <w:rFonts w:hint="eastAsia"/>
          <w:color w:val="auto"/>
          <w:kern w:val="21"/>
          <w:sz w:val="24"/>
          <w:szCs w:val="24"/>
        </w:rPr>
        <w:t>二</w:t>
      </w:r>
      <w:r>
        <w:rPr>
          <w:color w:val="auto"/>
          <w:kern w:val="21"/>
          <w:sz w:val="24"/>
          <w:szCs w:val="24"/>
        </w:rPr>
        <w:t>级。</w:t>
      </w:r>
    </w:p>
    <w:p>
      <w:pPr>
        <w:pStyle w:val="6"/>
        <w:spacing w:before="0" w:after="0" w:line="360" w:lineRule="auto"/>
        <w:rPr>
          <w:rFonts w:hint="eastAsia"/>
          <w:b w:val="0"/>
          <w:color w:val="auto"/>
          <w:sz w:val="24"/>
          <w:szCs w:val="24"/>
          <w:lang w:val="en-US" w:eastAsia="zh-CN"/>
        </w:rPr>
      </w:pPr>
      <w:r>
        <w:rPr>
          <w:rFonts w:hint="eastAsia"/>
          <w:b w:val="0"/>
          <w:color w:val="auto"/>
          <w:sz w:val="24"/>
          <w:szCs w:val="24"/>
          <w:lang w:val="en-US" w:eastAsia="zh-CN"/>
        </w:rPr>
        <w:t>2.5.5.5评价范围</w:t>
      </w:r>
    </w:p>
    <w:p>
      <w:pPr>
        <w:pStyle w:val="43"/>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21"/>
          <w:sz w:val="24"/>
          <w:szCs w:val="24"/>
          <w:lang w:val="en-US" w:eastAsia="zh-CN" w:bidi="ar-SA"/>
        </w:rPr>
      </w:pPr>
      <w:r>
        <w:rPr>
          <w:rFonts w:ascii="Times New Roman" w:hAnsi="Times New Roman" w:eastAsia="宋体" w:cs="Times New Roman"/>
          <w:color w:val="auto"/>
          <w:kern w:val="21"/>
          <w:sz w:val="24"/>
          <w:szCs w:val="24"/>
          <w:lang w:val="en-US" w:eastAsia="zh-CN" w:bidi="ar-SA"/>
        </w:rPr>
        <w:t>根据《环境影响评价技术导则</w:t>
      </w:r>
      <w:r>
        <w:rPr>
          <w:rFonts w:hint="eastAsia" w:ascii="Times New Roman" w:hAnsi="Times New Roman" w:eastAsia="宋体" w:cs="Times New Roman"/>
          <w:color w:val="auto"/>
          <w:kern w:val="21"/>
          <w:sz w:val="24"/>
          <w:szCs w:val="24"/>
          <w:lang w:val="en-US" w:eastAsia="zh-CN" w:bidi="ar-SA"/>
        </w:rPr>
        <w:t xml:space="preserve"> </w:t>
      </w:r>
      <w:r>
        <w:rPr>
          <w:rFonts w:ascii="Times New Roman" w:hAnsi="Times New Roman" w:eastAsia="宋体" w:cs="Times New Roman"/>
          <w:color w:val="auto"/>
          <w:kern w:val="21"/>
          <w:sz w:val="24"/>
          <w:szCs w:val="24"/>
          <w:lang w:val="en-US" w:eastAsia="zh-CN" w:bidi="ar-SA"/>
        </w:rPr>
        <w:t>土壤环境（试行）》（HJ964-2018）中关于</w:t>
      </w:r>
      <w:r>
        <w:rPr>
          <w:rFonts w:hint="eastAsia" w:ascii="Times New Roman" w:hAnsi="Times New Roman" w:eastAsia="宋体" w:cs="Times New Roman"/>
          <w:color w:val="auto"/>
          <w:kern w:val="21"/>
          <w:sz w:val="24"/>
          <w:szCs w:val="24"/>
          <w:lang w:val="en-US" w:eastAsia="zh-CN" w:bidi="ar-SA"/>
        </w:rPr>
        <w:t>污染影响型项目</w:t>
      </w:r>
      <w:r>
        <w:rPr>
          <w:rFonts w:ascii="Times New Roman" w:hAnsi="Times New Roman" w:eastAsia="宋体" w:cs="Times New Roman"/>
          <w:color w:val="auto"/>
          <w:kern w:val="21"/>
          <w:sz w:val="24"/>
          <w:szCs w:val="24"/>
          <w:lang w:val="en-US" w:eastAsia="zh-CN" w:bidi="ar-SA"/>
        </w:rPr>
        <w:t>二级</w:t>
      </w:r>
      <w:r>
        <w:rPr>
          <w:rFonts w:hint="eastAsia" w:ascii="Times New Roman" w:hAnsi="Times New Roman" w:eastAsia="宋体" w:cs="Times New Roman"/>
          <w:color w:val="auto"/>
          <w:kern w:val="21"/>
          <w:sz w:val="24"/>
          <w:szCs w:val="24"/>
          <w:lang w:val="en-US" w:eastAsia="zh-CN" w:bidi="ar-SA"/>
        </w:rPr>
        <w:t>评价调查范围</w:t>
      </w:r>
      <w:r>
        <w:rPr>
          <w:rFonts w:hint="eastAsia" w:ascii="Times New Roman" w:hAnsi="Times New Roman" w:cs="Times New Roman"/>
          <w:color w:val="auto"/>
          <w:kern w:val="21"/>
          <w:sz w:val="24"/>
          <w:szCs w:val="24"/>
          <w:lang w:val="en-US" w:eastAsia="zh-CN" w:bidi="ar-SA"/>
        </w:rPr>
        <w:t>的</w:t>
      </w:r>
      <w:r>
        <w:rPr>
          <w:rFonts w:hint="eastAsia" w:ascii="Times New Roman" w:hAnsi="Times New Roman" w:eastAsia="宋体" w:cs="Times New Roman"/>
          <w:color w:val="auto"/>
          <w:kern w:val="21"/>
          <w:sz w:val="24"/>
          <w:szCs w:val="24"/>
          <w:lang w:val="en-US" w:eastAsia="zh-CN" w:bidi="ar-SA"/>
        </w:rPr>
        <w:t>规定，确定本项目土壤环境影响评价范围为：</w:t>
      </w:r>
      <w:r>
        <w:rPr>
          <w:rFonts w:ascii="Times New Roman" w:hAnsi="Times New Roman" w:eastAsia="宋体" w:cs="Times New Roman"/>
          <w:color w:val="auto"/>
          <w:kern w:val="21"/>
          <w:sz w:val="24"/>
          <w:szCs w:val="24"/>
          <w:lang w:val="en-US" w:eastAsia="zh-CN" w:bidi="ar-SA"/>
        </w:rPr>
        <w:t>项目厂址及厂界外</w:t>
      </w:r>
      <w:r>
        <w:rPr>
          <w:rFonts w:hint="eastAsia" w:ascii="Times New Roman" w:hAnsi="Times New Roman" w:eastAsia="宋体" w:cs="Times New Roman"/>
          <w:color w:val="auto"/>
          <w:kern w:val="21"/>
          <w:sz w:val="24"/>
          <w:szCs w:val="24"/>
          <w:lang w:val="en-US" w:eastAsia="zh-CN" w:bidi="ar-SA"/>
        </w:rPr>
        <w:t>200</w:t>
      </w:r>
      <w:r>
        <w:rPr>
          <w:rFonts w:ascii="Times New Roman" w:hAnsi="Times New Roman" w:eastAsia="宋体" w:cs="Times New Roman"/>
          <w:color w:val="auto"/>
          <w:kern w:val="21"/>
          <w:sz w:val="24"/>
          <w:szCs w:val="24"/>
          <w:lang w:val="en-US" w:eastAsia="zh-CN" w:bidi="ar-SA"/>
        </w:rPr>
        <w:t>m范围</w:t>
      </w:r>
      <w:r>
        <w:rPr>
          <w:rFonts w:hint="eastAsia" w:ascii="Times New Roman" w:hAnsi="Times New Roman" w:eastAsia="宋体" w:cs="Times New Roman"/>
          <w:color w:val="auto"/>
          <w:kern w:val="21"/>
          <w:sz w:val="24"/>
          <w:szCs w:val="24"/>
          <w:lang w:val="en-US" w:eastAsia="zh-CN" w:bidi="ar-SA"/>
        </w:rPr>
        <w:t>。</w:t>
      </w:r>
    </w:p>
    <w:p>
      <w:pPr>
        <w:pStyle w:val="5"/>
        <w:keepNext w:val="0"/>
        <w:keepLines w:val="0"/>
        <w:snapToGrid w:val="0"/>
        <w:spacing w:before="0" w:beforeLines="0" w:after="0" w:afterLines="0"/>
        <w:jc w:val="both"/>
        <w:rPr>
          <w:color w:val="auto"/>
          <w:kern w:val="21"/>
        </w:rPr>
      </w:pPr>
      <w:r>
        <w:rPr>
          <w:bCs w:val="0"/>
          <w:color w:val="auto"/>
          <w:kern w:val="21"/>
          <w:sz w:val="28"/>
          <w:szCs w:val="28"/>
        </w:rPr>
        <w:t>2.</w:t>
      </w:r>
      <w:r>
        <w:rPr>
          <w:rFonts w:hint="eastAsia"/>
          <w:bCs w:val="0"/>
          <w:color w:val="auto"/>
          <w:kern w:val="21"/>
          <w:sz w:val="28"/>
          <w:szCs w:val="28"/>
        </w:rPr>
        <w:t>5</w:t>
      </w:r>
      <w:r>
        <w:rPr>
          <w:bCs w:val="0"/>
          <w:color w:val="auto"/>
          <w:kern w:val="21"/>
          <w:sz w:val="28"/>
          <w:szCs w:val="28"/>
        </w:rPr>
        <w:t>.6环境风险</w:t>
      </w:r>
      <w:r>
        <w:rPr>
          <w:color w:val="auto"/>
          <w:kern w:val="21"/>
          <w:sz w:val="28"/>
          <w:szCs w:val="28"/>
        </w:rPr>
        <w:t>评价等级及评价范围</w:t>
      </w:r>
      <w:bookmarkEnd w:id="94"/>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.6.1评价等级</w:t>
      </w:r>
    </w:p>
    <w:p>
      <w:pPr>
        <w:pStyle w:val="32"/>
        <w:adjustRightInd w:val="0"/>
        <w:snapToGrid w:val="0"/>
        <w:spacing w:after="0" w:line="360" w:lineRule="auto"/>
        <w:ind w:firstLine="480" w:firstLineChars="200"/>
        <w:rPr>
          <w:snapToGrid w:val="0"/>
          <w:color w:val="auto"/>
          <w:kern w:val="21"/>
          <w:sz w:val="24"/>
          <w:szCs w:val="22"/>
          <w:lang w:val="en-US"/>
        </w:rPr>
      </w:pPr>
      <w:r>
        <w:rPr>
          <w:color w:val="auto"/>
          <w:kern w:val="21"/>
          <w:sz w:val="24"/>
        </w:rPr>
        <w:t>按照《建设项目环境风险评价技术导则》（HJ169-2018）中的有关规定，</w:t>
      </w:r>
      <w:r>
        <w:rPr>
          <w:snapToGrid w:val="0"/>
          <w:color w:val="auto"/>
          <w:kern w:val="21"/>
          <w:sz w:val="24"/>
          <w:szCs w:val="22"/>
          <w:lang w:val="en-US"/>
        </w:rPr>
        <w:t>当只涉及一种危险物质时，计算该物质的总量与临界量的比值，即为Q；当存在多种危险物质时，则按式（C.1）计算物质总量与临界量比值（Q）：</w:t>
      </w:r>
    </w:p>
    <w:p>
      <w:pPr>
        <w:pStyle w:val="32"/>
        <w:adjustRightInd w:val="0"/>
        <w:snapToGrid w:val="0"/>
        <w:spacing w:after="0" w:line="360" w:lineRule="auto"/>
        <w:jc w:val="center"/>
        <w:rPr>
          <w:color w:val="auto"/>
          <w:kern w:val="21"/>
          <w:lang w:val="en-US"/>
        </w:rPr>
      </w:pPr>
      <w:r>
        <w:rPr>
          <w:color w:val="auto"/>
          <w:kern w:val="21"/>
          <w:lang w:val="en-US"/>
        </w:rPr>
        <w:object>
          <v:shape id="_x0000_i1025" o:spt="75" alt="" type="#_x0000_t75" style="height:33.5pt;width:110.55pt;" o:ole="t" filled="f" o:preferrelative="t" stroked="f" coordsize="21600,21600">
            <v:path/>
            <v:fill on="f" focussize="0,0"/>
            <v:stroke on="f"/>
            <v:imagedata r:id="rId48" o:title=""/>
            <o:lock v:ext="edit" aspectratio="t"/>
            <w10:wrap type="none"/>
            <w10:anchorlock/>
          </v:shape>
          <o:OLEObject Type="Embed" ProgID="Equation.3" ShapeID="_x0000_i1025" DrawAspect="Content" ObjectID="_1468075725" r:id="rId47">
            <o:LockedField>false</o:LockedField>
          </o:OLEObject>
        </w:object>
      </w:r>
      <w:r>
        <w:rPr>
          <w:color w:val="auto"/>
          <w:kern w:val="21"/>
          <w:lang w:val="en-US"/>
        </w:rPr>
        <w:t>（C.1）</w:t>
      </w:r>
    </w:p>
    <w:p>
      <w:pPr>
        <w:pStyle w:val="32"/>
        <w:adjustRightInd w:val="0"/>
        <w:snapToGrid w:val="0"/>
        <w:spacing w:after="0" w:line="360" w:lineRule="auto"/>
        <w:ind w:firstLine="480" w:firstLineChars="200"/>
        <w:rPr>
          <w:snapToGrid w:val="0"/>
          <w:color w:val="auto"/>
          <w:kern w:val="21"/>
          <w:sz w:val="24"/>
          <w:szCs w:val="22"/>
          <w:lang w:val="en-US"/>
        </w:rPr>
      </w:pPr>
      <w:r>
        <w:rPr>
          <w:snapToGrid w:val="0"/>
          <w:color w:val="auto"/>
          <w:kern w:val="21"/>
          <w:sz w:val="24"/>
          <w:szCs w:val="22"/>
          <w:lang w:val="en-US"/>
        </w:rPr>
        <w:t>式中：q1，q2，qn—每种危险物质的最大存在总量，t；Q1，Q2，Qn—每种危险物质的临界量，t；</w:t>
      </w:r>
    </w:p>
    <w:p>
      <w:pPr>
        <w:pStyle w:val="32"/>
        <w:adjustRightInd w:val="0"/>
        <w:snapToGrid w:val="0"/>
        <w:spacing w:after="0" w:line="360" w:lineRule="auto"/>
        <w:ind w:firstLine="480" w:firstLineChars="200"/>
        <w:rPr>
          <w:snapToGrid w:val="0"/>
          <w:color w:val="auto"/>
          <w:kern w:val="21"/>
          <w:sz w:val="24"/>
          <w:szCs w:val="22"/>
          <w:lang w:val="en-US"/>
        </w:rPr>
      </w:pPr>
      <w:r>
        <w:rPr>
          <w:snapToGrid w:val="0"/>
          <w:color w:val="auto"/>
          <w:kern w:val="21"/>
          <w:sz w:val="24"/>
          <w:szCs w:val="22"/>
          <w:lang w:val="en-US"/>
        </w:rPr>
        <w:t>当Q&lt;1时，该项目环境风险潜势为</w:t>
      </w:r>
      <w:r>
        <w:rPr>
          <w:snapToGrid w:val="0"/>
          <w:color w:val="auto"/>
          <w:kern w:val="21"/>
          <w:sz w:val="24"/>
          <w:szCs w:val="22"/>
          <w:lang w:val="en-US"/>
        </w:rPr>
        <w:fldChar w:fldCharType="begin"/>
      </w:r>
      <w:r>
        <w:rPr>
          <w:snapToGrid w:val="0"/>
          <w:color w:val="auto"/>
          <w:kern w:val="21"/>
          <w:sz w:val="24"/>
          <w:szCs w:val="22"/>
          <w:lang w:val="en-US"/>
        </w:rPr>
        <w:instrText xml:space="preserve"> = 1 \* ROMAN \* MERGEFORMAT </w:instrText>
      </w:r>
      <w:r>
        <w:rPr>
          <w:snapToGrid w:val="0"/>
          <w:color w:val="auto"/>
          <w:kern w:val="21"/>
          <w:sz w:val="24"/>
          <w:szCs w:val="22"/>
          <w:lang w:val="en-US"/>
        </w:rPr>
        <w:fldChar w:fldCharType="separate"/>
      </w:r>
      <w:r>
        <w:rPr>
          <w:color w:val="auto"/>
          <w:kern w:val="21"/>
        </w:rPr>
        <w:t>I</w:t>
      </w:r>
      <w:r>
        <w:rPr>
          <w:snapToGrid w:val="0"/>
          <w:color w:val="auto"/>
          <w:kern w:val="21"/>
          <w:sz w:val="24"/>
          <w:szCs w:val="22"/>
          <w:lang w:val="en-US"/>
        </w:rPr>
        <w:fldChar w:fldCharType="end"/>
      </w:r>
      <w:r>
        <w:rPr>
          <w:snapToGrid w:val="0"/>
          <w:color w:val="auto"/>
          <w:kern w:val="21"/>
          <w:sz w:val="24"/>
          <w:szCs w:val="22"/>
          <w:lang w:val="en-US"/>
        </w:rPr>
        <w:t>；当Q≥1时，将Q值划分为：（1）1≤Q&lt;10；（2）10≤Q&lt;100；（3）Q≥100。</w:t>
      </w:r>
    </w:p>
    <w:p>
      <w:pPr>
        <w:adjustRightInd w:val="0"/>
        <w:snapToGrid w:val="0"/>
        <w:spacing w:line="360" w:lineRule="auto"/>
        <w:ind w:firstLine="480" w:firstLineChars="200"/>
        <w:rPr>
          <w:color w:val="auto"/>
          <w:kern w:val="21"/>
          <w:sz w:val="24"/>
          <w:szCs w:val="24"/>
        </w:rPr>
      </w:pPr>
      <w:r>
        <w:rPr>
          <w:snapToGrid w:val="0"/>
          <w:color w:val="auto"/>
          <w:kern w:val="21"/>
          <w:sz w:val="24"/>
          <w:szCs w:val="24"/>
        </w:rPr>
        <w:t>本项目环境风险潜势为</w:t>
      </w:r>
      <w:r>
        <w:rPr>
          <w:snapToGrid w:val="0"/>
          <w:color w:val="auto"/>
          <w:kern w:val="21"/>
          <w:sz w:val="24"/>
          <w:szCs w:val="24"/>
        </w:rPr>
        <w:fldChar w:fldCharType="begin"/>
      </w:r>
      <w:r>
        <w:rPr>
          <w:snapToGrid w:val="0"/>
          <w:color w:val="auto"/>
          <w:kern w:val="21"/>
          <w:sz w:val="24"/>
          <w:szCs w:val="24"/>
        </w:rPr>
        <w:instrText xml:space="preserve"> = 2 \* ROMAN \* MERGEFORMAT </w:instrText>
      </w:r>
      <w:r>
        <w:rPr>
          <w:snapToGrid w:val="0"/>
          <w:color w:val="auto"/>
          <w:kern w:val="21"/>
          <w:sz w:val="24"/>
          <w:szCs w:val="24"/>
        </w:rPr>
        <w:fldChar w:fldCharType="separate"/>
      </w:r>
      <w:r>
        <w:rPr>
          <w:color w:val="auto"/>
          <w:kern w:val="21"/>
          <w:sz w:val="24"/>
          <w:szCs w:val="24"/>
        </w:rPr>
        <w:t>II</w:t>
      </w:r>
      <w:r>
        <w:rPr>
          <w:snapToGrid w:val="0"/>
          <w:color w:val="auto"/>
          <w:kern w:val="21"/>
          <w:sz w:val="24"/>
          <w:szCs w:val="24"/>
        </w:rPr>
        <w:fldChar w:fldCharType="end"/>
      </w:r>
      <w:r>
        <w:rPr>
          <w:snapToGrid w:val="0"/>
          <w:color w:val="auto"/>
          <w:kern w:val="21"/>
          <w:sz w:val="24"/>
          <w:szCs w:val="24"/>
        </w:rPr>
        <w:t>（具体分析见风险分析章节）。本项目</w:t>
      </w:r>
      <w:r>
        <w:rPr>
          <w:rFonts w:hint="eastAsia"/>
          <w:snapToGrid w:val="0"/>
          <w:color w:val="auto"/>
          <w:kern w:val="21"/>
          <w:sz w:val="24"/>
          <w:szCs w:val="24"/>
        </w:rPr>
        <w:t>风险评价为三级</w:t>
      </w:r>
      <w:r>
        <w:rPr>
          <w:color w:val="auto"/>
          <w:kern w:val="21"/>
          <w:sz w:val="24"/>
          <w:szCs w:val="24"/>
        </w:rPr>
        <w:t>。</w:t>
      </w:r>
    </w:p>
    <w:p>
      <w:pPr>
        <w:pStyle w:val="6"/>
        <w:spacing w:before="0" w:after="0" w:line="360" w:lineRule="auto"/>
        <w:rPr>
          <w:b w:val="0"/>
          <w:color w:val="auto"/>
          <w:sz w:val="24"/>
          <w:szCs w:val="24"/>
        </w:rPr>
      </w:pPr>
      <w:r>
        <w:rPr>
          <w:b w:val="0"/>
          <w:color w:val="auto"/>
          <w:sz w:val="24"/>
          <w:szCs w:val="24"/>
        </w:rPr>
        <w:t>2.</w:t>
      </w:r>
      <w:r>
        <w:rPr>
          <w:rFonts w:hint="eastAsia"/>
          <w:b w:val="0"/>
          <w:color w:val="auto"/>
          <w:sz w:val="24"/>
          <w:szCs w:val="24"/>
        </w:rPr>
        <w:t>5</w:t>
      </w:r>
      <w:r>
        <w:rPr>
          <w:b w:val="0"/>
          <w:color w:val="auto"/>
          <w:sz w:val="24"/>
          <w:szCs w:val="24"/>
        </w:rPr>
        <w:t>.6.2评价范围</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 xml:space="preserve">按《建设项目环境风险评价技术导则》（HJ 169-2018）的规定，本项目的环境风险评价范围为以本项目风险源为中心，半径为3km的范围。 </w:t>
      </w:r>
    </w:p>
    <w:p>
      <w:pPr>
        <w:adjustRightInd w:val="0"/>
        <w:snapToGrid w:val="0"/>
        <w:spacing w:line="360" w:lineRule="auto"/>
        <w:ind w:firstLine="480" w:firstLineChars="200"/>
        <w:rPr>
          <w:color w:val="auto"/>
          <w:kern w:val="21"/>
          <w:sz w:val="24"/>
          <w:szCs w:val="24"/>
        </w:rPr>
      </w:pPr>
      <w:r>
        <w:rPr>
          <w:color w:val="auto"/>
          <w:kern w:val="21"/>
          <w:sz w:val="24"/>
          <w:szCs w:val="24"/>
        </w:rPr>
        <w:t>根据项目评价等级、项目污染物控制及保护范围，结合项目所在区域环境特征，确定各单项环境要素评价范围，详见表2.5-1</w:t>
      </w:r>
      <w:r>
        <w:rPr>
          <w:rFonts w:hint="eastAsia"/>
          <w:color w:val="auto"/>
          <w:kern w:val="21"/>
          <w:sz w:val="24"/>
          <w:szCs w:val="24"/>
          <w:lang w:val="en-US" w:eastAsia="zh-CN"/>
        </w:rPr>
        <w:t>0</w:t>
      </w:r>
      <w:r>
        <w:rPr>
          <w:color w:val="auto"/>
          <w:kern w:val="21"/>
          <w:sz w:val="24"/>
          <w:szCs w:val="24"/>
        </w:rPr>
        <w:t>。</w:t>
      </w:r>
    </w:p>
    <w:p>
      <w:pPr>
        <w:jc w:val="center"/>
        <w:rPr>
          <w:rFonts w:eastAsia="黑体"/>
          <w:color w:val="auto"/>
          <w:kern w:val="21"/>
          <w:sz w:val="24"/>
          <w:szCs w:val="24"/>
        </w:rPr>
      </w:pPr>
      <w:r>
        <w:rPr>
          <w:rFonts w:eastAsia="黑体"/>
          <w:color w:val="auto"/>
          <w:kern w:val="21"/>
          <w:sz w:val="24"/>
          <w:szCs w:val="24"/>
        </w:rPr>
        <w:t>表2.5-1</w:t>
      </w:r>
      <w:r>
        <w:rPr>
          <w:rFonts w:hint="eastAsia" w:eastAsia="黑体"/>
          <w:color w:val="auto"/>
          <w:kern w:val="21"/>
          <w:sz w:val="24"/>
          <w:szCs w:val="24"/>
          <w:lang w:val="en-US" w:eastAsia="zh-CN"/>
        </w:rPr>
        <w:t>0</w:t>
      </w:r>
      <w:r>
        <w:rPr>
          <w:rFonts w:eastAsia="黑体"/>
          <w:color w:val="auto"/>
          <w:kern w:val="21"/>
          <w:sz w:val="24"/>
          <w:szCs w:val="24"/>
        </w:rPr>
        <w:t xml:space="preserve">  评价范围</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11"/>
        <w:gridCol w:w="1213"/>
        <w:gridCol w:w="6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
                <w:bCs w:val="0"/>
                <w:color w:val="auto"/>
                <w:kern w:val="21"/>
              </w:rPr>
            </w:pPr>
            <w:bookmarkStart w:id="95" w:name="_Toc12885"/>
            <w:r>
              <w:rPr>
                <w:b/>
                <w:bCs w:val="0"/>
                <w:color w:val="auto"/>
                <w:kern w:val="21"/>
              </w:rPr>
              <w:t>序号</w:t>
            </w:r>
          </w:p>
        </w:tc>
        <w:tc>
          <w:tcPr>
            <w:tcW w:w="1213" w:type="dxa"/>
            <w:vAlign w:val="center"/>
          </w:tcPr>
          <w:p>
            <w:pPr>
              <w:adjustRightInd w:val="0"/>
              <w:snapToGrid w:val="0"/>
              <w:jc w:val="center"/>
              <w:rPr>
                <w:b/>
                <w:bCs w:val="0"/>
                <w:color w:val="auto"/>
                <w:kern w:val="21"/>
              </w:rPr>
            </w:pPr>
            <w:r>
              <w:rPr>
                <w:b/>
                <w:bCs w:val="0"/>
                <w:color w:val="auto"/>
                <w:kern w:val="21"/>
              </w:rPr>
              <w:t>环境要素</w:t>
            </w:r>
          </w:p>
        </w:tc>
        <w:tc>
          <w:tcPr>
            <w:tcW w:w="6480" w:type="dxa"/>
            <w:vAlign w:val="center"/>
          </w:tcPr>
          <w:p>
            <w:pPr>
              <w:adjustRightInd w:val="0"/>
              <w:snapToGrid w:val="0"/>
              <w:jc w:val="center"/>
              <w:rPr>
                <w:b/>
                <w:bCs w:val="0"/>
                <w:color w:val="auto"/>
                <w:kern w:val="21"/>
              </w:rPr>
            </w:pPr>
            <w:r>
              <w:rPr>
                <w:b/>
                <w:bCs w:val="0"/>
                <w:color w:val="auto"/>
                <w:kern w:val="21"/>
              </w:rPr>
              <w:t>评价范围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Cs/>
                <w:color w:val="auto"/>
                <w:kern w:val="21"/>
              </w:rPr>
            </w:pPr>
            <w:r>
              <w:rPr>
                <w:bCs/>
                <w:color w:val="auto"/>
                <w:kern w:val="21"/>
              </w:rPr>
              <w:t>1</w:t>
            </w:r>
          </w:p>
        </w:tc>
        <w:tc>
          <w:tcPr>
            <w:tcW w:w="1213" w:type="dxa"/>
            <w:vAlign w:val="center"/>
          </w:tcPr>
          <w:p>
            <w:pPr>
              <w:adjustRightInd w:val="0"/>
              <w:snapToGrid w:val="0"/>
              <w:jc w:val="center"/>
              <w:rPr>
                <w:bCs/>
                <w:color w:val="auto"/>
                <w:kern w:val="21"/>
              </w:rPr>
            </w:pPr>
            <w:r>
              <w:rPr>
                <w:bCs/>
                <w:color w:val="auto"/>
                <w:kern w:val="21"/>
              </w:rPr>
              <w:t>环境空气</w:t>
            </w:r>
          </w:p>
        </w:tc>
        <w:tc>
          <w:tcPr>
            <w:tcW w:w="6480" w:type="dxa"/>
            <w:vAlign w:val="center"/>
          </w:tcPr>
          <w:p>
            <w:pPr>
              <w:adjustRightInd w:val="0"/>
              <w:snapToGrid w:val="0"/>
              <w:jc w:val="center"/>
              <w:rPr>
                <w:rFonts w:hint="eastAsia" w:eastAsia="宋体"/>
                <w:bCs/>
                <w:color w:val="auto"/>
                <w:kern w:val="21"/>
                <w:vertAlign w:val="baseline"/>
                <w:lang w:eastAsia="zh-CN"/>
              </w:rPr>
            </w:pPr>
            <w:r>
              <w:rPr>
                <w:bCs/>
                <w:color w:val="auto"/>
                <w:kern w:val="21"/>
              </w:rPr>
              <w:t>以项目厂区为中心，边长5km的矩形区域，总评价范围25km</w:t>
            </w:r>
            <w:r>
              <w:rPr>
                <w:bCs/>
                <w:color w:val="auto"/>
                <w:kern w:val="21"/>
                <w:vertAlign w:val="superscript"/>
              </w:rPr>
              <w:t>2</w:t>
            </w:r>
            <w:r>
              <w:rPr>
                <w:rFonts w:hint="eastAsia"/>
                <w:bCs/>
                <w:color w:val="auto"/>
                <w:kern w:val="21"/>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Cs/>
                <w:color w:val="auto"/>
                <w:kern w:val="21"/>
              </w:rPr>
            </w:pPr>
            <w:r>
              <w:rPr>
                <w:bCs/>
                <w:color w:val="auto"/>
                <w:kern w:val="21"/>
              </w:rPr>
              <w:t>2</w:t>
            </w:r>
          </w:p>
        </w:tc>
        <w:tc>
          <w:tcPr>
            <w:tcW w:w="1213" w:type="dxa"/>
            <w:vAlign w:val="center"/>
          </w:tcPr>
          <w:p>
            <w:pPr>
              <w:adjustRightInd w:val="0"/>
              <w:snapToGrid w:val="0"/>
              <w:jc w:val="center"/>
              <w:rPr>
                <w:bCs/>
                <w:color w:val="auto"/>
                <w:kern w:val="21"/>
              </w:rPr>
            </w:pPr>
            <w:r>
              <w:rPr>
                <w:bCs/>
                <w:color w:val="auto"/>
                <w:kern w:val="21"/>
              </w:rPr>
              <w:t>声环境</w:t>
            </w:r>
          </w:p>
        </w:tc>
        <w:tc>
          <w:tcPr>
            <w:tcW w:w="6480" w:type="dxa"/>
            <w:vAlign w:val="center"/>
          </w:tcPr>
          <w:p>
            <w:pPr>
              <w:adjustRightInd w:val="0"/>
              <w:snapToGrid w:val="0"/>
              <w:jc w:val="center"/>
              <w:rPr>
                <w:rFonts w:hint="eastAsia" w:eastAsia="宋体"/>
                <w:bCs/>
                <w:color w:val="auto"/>
                <w:kern w:val="21"/>
                <w:lang w:eastAsia="zh-CN"/>
              </w:rPr>
            </w:pPr>
            <w:r>
              <w:rPr>
                <w:bCs/>
                <w:color w:val="auto"/>
                <w:kern w:val="21"/>
              </w:rPr>
              <w:t>厂界外200m</w:t>
            </w:r>
            <w:r>
              <w:rPr>
                <w:rFonts w:hint="eastAsia"/>
                <w:bCs/>
                <w:color w:val="auto"/>
                <w:kern w:val="21"/>
                <w:lang w:eastAsia="zh-CN"/>
              </w:rPr>
              <w:t>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Cs/>
                <w:color w:val="auto"/>
                <w:kern w:val="21"/>
              </w:rPr>
            </w:pPr>
            <w:r>
              <w:rPr>
                <w:bCs/>
                <w:color w:val="auto"/>
                <w:kern w:val="21"/>
              </w:rPr>
              <w:t>3</w:t>
            </w:r>
          </w:p>
        </w:tc>
        <w:tc>
          <w:tcPr>
            <w:tcW w:w="1213" w:type="dxa"/>
            <w:vAlign w:val="center"/>
          </w:tcPr>
          <w:p>
            <w:pPr>
              <w:adjustRightInd w:val="0"/>
              <w:snapToGrid w:val="0"/>
              <w:jc w:val="center"/>
              <w:rPr>
                <w:bCs/>
                <w:color w:val="auto"/>
                <w:kern w:val="21"/>
              </w:rPr>
            </w:pPr>
            <w:r>
              <w:rPr>
                <w:bCs/>
                <w:color w:val="auto"/>
                <w:kern w:val="21"/>
              </w:rPr>
              <w:t>地表水</w:t>
            </w:r>
          </w:p>
        </w:tc>
        <w:tc>
          <w:tcPr>
            <w:tcW w:w="6480" w:type="dxa"/>
            <w:vAlign w:val="center"/>
          </w:tcPr>
          <w:p>
            <w:pPr>
              <w:adjustRightInd w:val="0"/>
              <w:snapToGrid w:val="0"/>
              <w:jc w:val="center"/>
              <w:rPr>
                <w:rFonts w:hint="eastAsia" w:eastAsia="宋体"/>
                <w:bCs/>
                <w:color w:val="auto"/>
                <w:kern w:val="21"/>
                <w:lang w:eastAsia="zh-CN"/>
              </w:rPr>
            </w:pPr>
            <w:r>
              <w:rPr>
                <w:color w:val="auto"/>
              </w:rPr>
              <w:t>本项目地表水评价等级为三级B，进行依托污水处理设施可行性分析</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Cs/>
                <w:color w:val="auto"/>
                <w:kern w:val="21"/>
              </w:rPr>
            </w:pPr>
            <w:r>
              <w:rPr>
                <w:bCs/>
                <w:color w:val="auto"/>
                <w:kern w:val="21"/>
              </w:rPr>
              <w:t>4</w:t>
            </w:r>
          </w:p>
        </w:tc>
        <w:tc>
          <w:tcPr>
            <w:tcW w:w="1213" w:type="dxa"/>
            <w:vAlign w:val="center"/>
          </w:tcPr>
          <w:p>
            <w:pPr>
              <w:adjustRightInd w:val="0"/>
              <w:snapToGrid w:val="0"/>
              <w:jc w:val="center"/>
              <w:rPr>
                <w:bCs/>
                <w:color w:val="auto"/>
                <w:kern w:val="21"/>
              </w:rPr>
            </w:pPr>
            <w:r>
              <w:rPr>
                <w:bCs/>
                <w:color w:val="auto"/>
                <w:kern w:val="21"/>
              </w:rPr>
              <w:t>地下水</w:t>
            </w:r>
          </w:p>
        </w:tc>
        <w:tc>
          <w:tcPr>
            <w:tcW w:w="6480" w:type="dxa"/>
            <w:vAlign w:val="center"/>
          </w:tcPr>
          <w:p>
            <w:pPr>
              <w:adjustRightInd w:val="0"/>
              <w:snapToGrid w:val="0"/>
              <w:jc w:val="center"/>
              <w:rPr>
                <w:rFonts w:hint="eastAsia" w:eastAsia="宋体"/>
                <w:bCs/>
                <w:color w:val="auto"/>
                <w:kern w:val="21"/>
                <w:lang w:eastAsia="zh-CN"/>
              </w:rPr>
            </w:pPr>
            <w:r>
              <w:rPr>
                <w:bCs/>
                <w:color w:val="auto"/>
                <w:kern w:val="21"/>
              </w:rPr>
              <w:t>以厂址为中心6km</w:t>
            </w:r>
            <w:r>
              <w:rPr>
                <w:bCs/>
                <w:color w:val="auto"/>
                <w:kern w:val="21"/>
                <w:vertAlign w:val="superscript"/>
              </w:rPr>
              <w:t>2</w:t>
            </w:r>
            <w:r>
              <w:rPr>
                <w:bCs/>
                <w:color w:val="auto"/>
                <w:kern w:val="21"/>
              </w:rPr>
              <w:t>的范围（项目地下水评价范围以厂址区域为中心，以地下水流向为轴向的上游及两侧外延1.0 km，下游外延2.0 km。）</w:t>
            </w:r>
            <w:r>
              <w:rPr>
                <w:rFonts w:hint="eastAsia"/>
                <w:bCs/>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Cs/>
                <w:color w:val="auto"/>
                <w:kern w:val="21"/>
              </w:rPr>
            </w:pPr>
            <w:r>
              <w:rPr>
                <w:bCs/>
                <w:color w:val="auto"/>
                <w:kern w:val="21"/>
              </w:rPr>
              <w:t>5</w:t>
            </w:r>
          </w:p>
        </w:tc>
        <w:tc>
          <w:tcPr>
            <w:tcW w:w="1213" w:type="dxa"/>
            <w:vAlign w:val="center"/>
          </w:tcPr>
          <w:p>
            <w:pPr>
              <w:adjustRightInd w:val="0"/>
              <w:snapToGrid w:val="0"/>
              <w:jc w:val="center"/>
              <w:rPr>
                <w:rFonts w:eastAsia="Calibri"/>
                <w:bCs/>
                <w:color w:val="auto"/>
                <w:kern w:val="21"/>
              </w:rPr>
            </w:pPr>
            <w:r>
              <w:rPr>
                <w:rFonts w:hint="eastAsia"/>
                <w:bCs/>
                <w:color w:val="auto"/>
                <w:kern w:val="21"/>
              </w:rPr>
              <w:t>土壤</w:t>
            </w:r>
          </w:p>
        </w:tc>
        <w:tc>
          <w:tcPr>
            <w:tcW w:w="6480" w:type="dxa"/>
            <w:vAlign w:val="center"/>
          </w:tcPr>
          <w:p>
            <w:pPr>
              <w:adjustRightInd w:val="0"/>
              <w:snapToGrid w:val="0"/>
              <w:jc w:val="center"/>
              <w:rPr>
                <w:rFonts w:hint="eastAsia" w:eastAsia="宋体"/>
                <w:bCs/>
                <w:color w:val="auto"/>
                <w:kern w:val="21"/>
                <w:lang w:eastAsia="zh-CN"/>
              </w:rPr>
            </w:pPr>
            <w:r>
              <w:rPr>
                <w:rFonts w:hint="eastAsia"/>
                <w:bCs/>
                <w:color w:val="auto"/>
                <w:kern w:val="21"/>
              </w:rPr>
              <w:t>厂址占地和厂界外200m</w:t>
            </w:r>
            <w:r>
              <w:rPr>
                <w:rFonts w:hint="eastAsia"/>
                <w:bCs/>
                <w:color w:val="auto"/>
                <w:kern w:val="21"/>
                <w:lang w:eastAsia="zh-CN"/>
              </w:rPr>
              <w:t>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dxa"/>
            <w:vAlign w:val="center"/>
          </w:tcPr>
          <w:p>
            <w:pPr>
              <w:adjustRightInd w:val="0"/>
              <w:snapToGrid w:val="0"/>
              <w:jc w:val="center"/>
              <w:rPr>
                <w:bCs/>
                <w:color w:val="auto"/>
                <w:kern w:val="21"/>
              </w:rPr>
            </w:pPr>
            <w:r>
              <w:rPr>
                <w:rFonts w:hint="eastAsia"/>
                <w:bCs/>
                <w:color w:val="auto"/>
                <w:kern w:val="21"/>
              </w:rPr>
              <w:t>6</w:t>
            </w:r>
          </w:p>
        </w:tc>
        <w:tc>
          <w:tcPr>
            <w:tcW w:w="1213" w:type="dxa"/>
            <w:vAlign w:val="center"/>
          </w:tcPr>
          <w:p>
            <w:pPr>
              <w:adjustRightInd w:val="0"/>
              <w:snapToGrid w:val="0"/>
              <w:jc w:val="center"/>
              <w:rPr>
                <w:bCs/>
                <w:color w:val="auto"/>
                <w:kern w:val="21"/>
              </w:rPr>
            </w:pPr>
            <w:r>
              <w:rPr>
                <w:bCs/>
                <w:color w:val="auto"/>
                <w:kern w:val="21"/>
              </w:rPr>
              <w:t>环境风险</w:t>
            </w:r>
          </w:p>
        </w:tc>
        <w:tc>
          <w:tcPr>
            <w:tcW w:w="6480" w:type="dxa"/>
            <w:vAlign w:val="center"/>
          </w:tcPr>
          <w:p>
            <w:pPr>
              <w:adjustRightInd w:val="0"/>
              <w:snapToGrid w:val="0"/>
              <w:jc w:val="center"/>
              <w:rPr>
                <w:rFonts w:hint="eastAsia" w:eastAsia="宋体"/>
                <w:bCs/>
                <w:color w:val="auto"/>
                <w:kern w:val="21"/>
                <w:lang w:eastAsia="zh-CN"/>
              </w:rPr>
            </w:pPr>
            <w:r>
              <w:rPr>
                <w:rFonts w:hint="eastAsia"/>
                <w:bCs/>
                <w:color w:val="auto"/>
                <w:kern w:val="21"/>
              </w:rPr>
              <w:t>以本项目风险源为中心，半径为3km的范围</w:t>
            </w:r>
            <w:r>
              <w:rPr>
                <w:rFonts w:hint="eastAsia"/>
                <w:bCs/>
                <w:color w:val="auto"/>
                <w:kern w:val="21"/>
                <w:lang w:eastAsia="zh-CN"/>
              </w:rPr>
              <w:t>。</w:t>
            </w:r>
          </w:p>
        </w:tc>
      </w:tr>
      <w:bookmarkEnd w:id="95"/>
    </w:tbl>
    <w:p>
      <w:pPr>
        <w:adjustRightInd w:val="0"/>
        <w:snapToGrid w:val="0"/>
        <w:spacing w:line="360" w:lineRule="auto"/>
        <w:rPr>
          <w:color w:val="auto"/>
          <w:kern w:val="21"/>
          <w:sz w:val="24"/>
          <w:szCs w:val="24"/>
        </w:rPr>
      </w:pPr>
      <w:bookmarkStart w:id="96" w:name="_Toc13544"/>
      <w:bookmarkStart w:id="97" w:name="_Toc323114378"/>
      <w:bookmarkStart w:id="98" w:name="_Toc32337"/>
      <w:bookmarkStart w:id="99" w:name="_Toc489254629"/>
    </w:p>
    <w:p>
      <w:pPr>
        <w:pStyle w:val="4"/>
        <w:keepNext w:val="0"/>
        <w:keepLines w:val="0"/>
        <w:snapToGrid w:val="0"/>
        <w:spacing w:before="0" w:beforeLines="0" w:after="0" w:afterLines="0" w:line="480" w:lineRule="auto"/>
        <w:jc w:val="both"/>
        <w:rPr>
          <w:bCs w:val="0"/>
          <w:color w:val="auto"/>
          <w:kern w:val="21"/>
          <w:szCs w:val="30"/>
          <w:lang w:val="en-US"/>
        </w:rPr>
        <w:sectPr>
          <w:footerReference r:id="rId7" w:type="default"/>
          <w:pgSz w:w="11906" w:h="16838"/>
          <w:pgMar w:top="1440" w:right="1800" w:bottom="1440" w:left="1800" w:header="1134" w:footer="1134" w:gutter="0"/>
          <w:cols w:space="720" w:num="1"/>
          <w:docGrid w:linePitch="312" w:charSpace="0"/>
        </w:sectPr>
      </w:pP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00" w:name="_Toc16250"/>
      <w:bookmarkStart w:id="101" w:name="_Toc112338933"/>
      <w:r>
        <w:rPr>
          <w:bCs w:val="0"/>
          <w:color w:val="auto"/>
          <w:kern w:val="0"/>
          <w:szCs w:val="20"/>
          <w:lang w:val="en-US"/>
        </w:rPr>
        <w:t>2.</w:t>
      </w:r>
      <w:r>
        <w:rPr>
          <w:rFonts w:hint="eastAsia"/>
          <w:bCs w:val="0"/>
          <w:color w:val="auto"/>
          <w:kern w:val="0"/>
          <w:szCs w:val="20"/>
          <w:lang w:val="en-US"/>
        </w:rPr>
        <w:t>6</w:t>
      </w:r>
      <w:r>
        <w:rPr>
          <w:bCs w:val="0"/>
          <w:color w:val="auto"/>
          <w:kern w:val="0"/>
          <w:szCs w:val="20"/>
          <w:lang w:val="en-US"/>
        </w:rPr>
        <w:t>环境保护目标</w:t>
      </w:r>
      <w:bookmarkEnd w:id="100"/>
      <w:bookmarkEnd w:id="101"/>
    </w:p>
    <w:p>
      <w:pPr>
        <w:adjustRightInd w:val="0"/>
        <w:snapToGrid w:val="0"/>
        <w:spacing w:line="360" w:lineRule="auto"/>
        <w:ind w:firstLine="480" w:firstLineChars="200"/>
        <w:rPr>
          <w:rFonts w:eastAsia="黑体"/>
          <w:bCs/>
          <w:color w:val="auto"/>
          <w:kern w:val="21"/>
          <w:sz w:val="24"/>
        </w:rPr>
      </w:pPr>
      <w:r>
        <w:rPr>
          <w:color w:val="auto"/>
          <w:kern w:val="21"/>
          <w:sz w:val="24"/>
        </w:rPr>
        <w:t>本项目环境保护目标为附近村庄及特殊保护目标。环境保护目标情况详见表2.</w:t>
      </w:r>
      <w:r>
        <w:rPr>
          <w:rFonts w:hint="eastAsia"/>
          <w:color w:val="auto"/>
          <w:kern w:val="21"/>
          <w:sz w:val="24"/>
        </w:rPr>
        <w:t>6</w:t>
      </w:r>
      <w:r>
        <w:rPr>
          <w:color w:val="auto"/>
          <w:kern w:val="21"/>
          <w:sz w:val="24"/>
        </w:rPr>
        <w:t>-1，环境保护目标分布图见附图三。</w:t>
      </w:r>
    </w:p>
    <w:p>
      <w:pPr>
        <w:adjustRightInd w:val="0"/>
        <w:snapToGrid w:val="0"/>
        <w:jc w:val="center"/>
        <w:rPr>
          <w:rFonts w:eastAsia="黑体"/>
          <w:bCs/>
          <w:color w:val="auto"/>
          <w:kern w:val="21"/>
          <w:sz w:val="24"/>
        </w:rPr>
      </w:pPr>
      <w:r>
        <w:rPr>
          <w:rFonts w:eastAsia="黑体"/>
          <w:bCs/>
          <w:color w:val="auto"/>
          <w:kern w:val="21"/>
          <w:sz w:val="24"/>
        </w:rPr>
        <w:t>表2.</w:t>
      </w:r>
      <w:r>
        <w:rPr>
          <w:rFonts w:hint="eastAsia" w:eastAsia="黑体"/>
          <w:bCs/>
          <w:color w:val="auto"/>
          <w:kern w:val="21"/>
          <w:sz w:val="24"/>
        </w:rPr>
        <w:t>6</w:t>
      </w:r>
      <w:r>
        <w:rPr>
          <w:rFonts w:eastAsia="黑体"/>
          <w:bCs/>
          <w:color w:val="auto"/>
          <w:kern w:val="21"/>
          <w:sz w:val="24"/>
        </w:rPr>
        <w:t>-1  拟建项目环境保护目标分布情况一览表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57" w:type="dxa"/>
          <w:right w:w="108" w:type="dxa"/>
        </w:tblCellMar>
      </w:tblPr>
      <w:tblGrid>
        <w:gridCol w:w="608"/>
        <w:gridCol w:w="980"/>
        <w:gridCol w:w="1214"/>
        <w:gridCol w:w="1134"/>
        <w:gridCol w:w="850"/>
        <w:gridCol w:w="931"/>
        <w:gridCol w:w="737"/>
        <w:gridCol w:w="600"/>
        <w:gridCol w:w="726"/>
        <w:gridCol w:w="1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restart"/>
            <w:vAlign w:val="center"/>
          </w:tcPr>
          <w:p>
            <w:pPr>
              <w:adjustRightInd w:val="0"/>
              <w:snapToGrid w:val="0"/>
              <w:jc w:val="center"/>
              <w:rPr>
                <w:b/>
                <w:bCs/>
                <w:color w:val="auto"/>
              </w:rPr>
            </w:pPr>
            <w:r>
              <w:rPr>
                <w:b/>
                <w:bCs/>
                <w:color w:val="auto"/>
              </w:rPr>
              <w:t>项目</w:t>
            </w:r>
          </w:p>
        </w:tc>
        <w:tc>
          <w:tcPr>
            <w:tcW w:w="980" w:type="dxa"/>
            <w:vMerge w:val="restart"/>
            <w:vAlign w:val="center"/>
          </w:tcPr>
          <w:p>
            <w:pPr>
              <w:adjustRightInd w:val="0"/>
              <w:snapToGrid w:val="0"/>
              <w:jc w:val="center"/>
              <w:rPr>
                <w:b/>
                <w:bCs/>
                <w:color w:val="auto"/>
              </w:rPr>
            </w:pPr>
            <w:r>
              <w:rPr>
                <w:b/>
                <w:bCs/>
                <w:color w:val="auto"/>
              </w:rPr>
              <w:t>环境敏感目标名称</w:t>
            </w:r>
          </w:p>
        </w:tc>
        <w:tc>
          <w:tcPr>
            <w:tcW w:w="2348" w:type="dxa"/>
            <w:gridSpan w:val="2"/>
            <w:vAlign w:val="center"/>
          </w:tcPr>
          <w:p>
            <w:pPr>
              <w:adjustRightInd w:val="0"/>
              <w:snapToGrid w:val="0"/>
              <w:jc w:val="center"/>
              <w:rPr>
                <w:b/>
                <w:bCs/>
                <w:color w:val="auto"/>
              </w:rPr>
            </w:pPr>
            <w:r>
              <w:rPr>
                <w:b/>
                <w:bCs/>
                <w:color w:val="auto"/>
              </w:rPr>
              <w:t>坐标</w:t>
            </w:r>
          </w:p>
        </w:tc>
        <w:tc>
          <w:tcPr>
            <w:tcW w:w="850" w:type="dxa"/>
            <w:vMerge w:val="restart"/>
            <w:vAlign w:val="center"/>
          </w:tcPr>
          <w:p>
            <w:pPr>
              <w:adjustRightInd w:val="0"/>
              <w:snapToGrid w:val="0"/>
              <w:jc w:val="center"/>
              <w:rPr>
                <w:b/>
                <w:bCs/>
                <w:color w:val="auto"/>
              </w:rPr>
            </w:pPr>
            <w:r>
              <w:rPr>
                <w:b/>
                <w:bCs/>
                <w:color w:val="auto"/>
              </w:rPr>
              <w:t>保护</w:t>
            </w:r>
          </w:p>
          <w:p>
            <w:pPr>
              <w:adjustRightInd w:val="0"/>
              <w:snapToGrid w:val="0"/>
              <w:jc w:val="center"/>
              <w:rPr>
                <w:b/>
                <w:bCs/>
                <w:color w:val="auto"/>
              </w:rPr>
            </w:pPr>
            <w:r>
              <w:rPr>
                <w:b/>
                <w:bCs/>
                <w:color w:val="auto"/>
              </w:rPr>
              <w:t>对象</w:t>
            </w:r>
          </w:p>
        </w:tc>
        <w:tc>
          <w:tcPr>
            <w:tcW w:w="931" w:type="dxa"/>
            <w:vMerge w:val="restart"/>
            <w:vAlign w:val="center"/>
          </w:tcPr>
          <w:p>
            <w:pPr>
              <w:adjustRightInd w:val="0"/>
              <w:snapToGrid w:val="0"/>
              <w:jc w:val="center"/>
              <w:rPr>
                <w:b/>
                <w:bCs/>
                <w:color w:val="auto"/>
              </w:rPr>
            </w:pPr>
            <w:r>
              <w:rPr>
                <w:b/>
                <w:bCs/>
                <w:color w:val="auto"/>
              </w:rPr>
              <w:t>保护</w:t>
            </w:r>
          </w:p>
          <w:p>
            <w:pPr>
              <w:adjustRightInd w:val="0"/>
              <w:snapToGrid w:val="0"/>
              <w:jc w:val="center"/>
              <w:rPr>
                <w:b/>
                <w:bCs/>
                <w:color w:val="auto"/>
              </w:rPr>
            </w:pPr>
            <w:r>
              <w:rPr>
                <w:b/>
                <w:bCs/>
                <w:color w:val="auto"/>
              </w:rPr>
              <w:t>内容</w:t>
            </w:r>
          </w:p>
        </w:tc>
        <w:tc>
          <w:tcPr>
            <w:tcW w:w="737" w:type="dxa"/>
            <w:vMerge w:val="restart"/>
            <w:vAlign w:val="center"/>
          </w:tcPr>
          <w:p>
            <w:pPr>
              <w:adjustRightInd w:val="0"/>
              <w:snapToGrid w:val="0"/>
              <w:jc w:val="center"/>
              <w:rPr>
                <w:b/>
                <w:bCs/>
                <w:color w:val="auto"/>
              </w:rPr>
            </w:pPr>
            <w:r>
              <w:rPr>
                <w:b/>
                <w:bCs/>
                <w:color w:val="auto"/>
              </w:rPr>
              <w:t>环境功能区</w:t>
            </w:r>
          </w:p>
        </w:tc>
        <w:tc>
          <w:tcPr>
            <w:tcW w:w="600" w:type="dxa"/>
            <w:vMerge w:val="restart"/>
            <w:vAlign w:val="center"/>
          </w:tcPr>
          <w:p>
            <w:pPr>
              <w:adjustRightInd w:val="0"/>
              <w:snapToGrid w:val="0"/>
              <w:jc w:val="center"/>
              <w:rPr>
                <w:b/>
                <w:bCs/>
                <w:color w:val="auto"/>
              </w:rPr>
            </w:pPr>
            <w:r>
              <w:rPr>
                <w:b/>
                <w:bCs/>
                <w:color w:val="auto"/>
              </w:rPr>
              <w:t>方位</w:t>
            </w:r>
          </w:p>
        </w:tc>
        <w:tc>
          <w:tcPr>
            <w:tcW w:w="726" w:type="dxa"/>
            <w:vMerge w:val="restart"/>
            <w:vAlign w:val="center"/>
          </w:tcPr>
          <w:p>
            <w:pPr>
              <w:adjustRightInd w:val="0"/>
              <w:snapToGrid w:val="0"/>
              <w:jc w:val="center"/>
              <w:rPr>
                <w:b/>
                <w:bCs/>
                <w:color w:val="auto"/>
              </w:rPr>
            </w:pPr>
            <w:r>
              <w:rPr>
                <w:b/>
                <w:bCs/>
                <w:color w:val="auto"/>
              </w:rPr>
              <w:t>距离（m）</w:t>
            </w:r>
          </w:p>
        </w:tc>
        <w:tc>
          <w:tcPr>
            <w:tcW w:w="1462" w:type="dxa"/>
            <w:vMerge w:val="restart"/>
            <w:vAlign w:val="center"/>
          </w:tcPr>
          <w:p>
            <w:pPr>
              <w:adjustRightInd w:val="0"/>
              <w:snapToGrid w:val="0"/>
              <w:jc w:val="center"/>
              <w:rPr>
                <w:b/>
                <w:bCs/>
                <w:color w:val="auto"/>
              </w:rPr>
            </w:pPr>
            <w:r>
              <w:rPr>
                <w:b/>
                <w:bCs/>
                <w:color w:val="auto"/>
              </w:rPr>
              <w:t>环境级别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adjustRightInd w:val="0"/>
              <w:snapToGrid w:val="0"/>
              <w:jc w:val="center"/>
              <w:rPr>
                <w:b/>
                <w:bCs/>
                <w:color w:val="auto"/>
              </w:rPr>
            </w:pPr>
          </w:p>
        </w:tc>
        <w:tc>
          <w:tcPr>
            <w:tcW w:w="980" w:type="dxa"/>
            <w:vMerge w:val="continue"/>
            <w:vAlign w:val="center"/>
          </w:tcPr>
          <w:p>
            <w:pPr>
              <w:adjustRightInd w:val="0"/>
              <w:snapToGrid w:val="0"/>
              <w:jc w:val="center"/>
              <w:rPr>
                <w:b/>
                <w:bCs/>
                <w:color w:val="auto"/>
              </w:rPr>
            </w:pPr>
          </w:p>
        </w:tc>
        <w:tc>
          <w:tcPr>
            <w:tcW w:w="1214" w:type="dxa"/>
            <w:vAlign w:val="center"/>
          </w:tcPr>
          <w:p>
            <w:pPr>
              <w:adjustRightInd w:val="0"/>
              <w:snapToGrid w:val="0"/>
              <w:jc w:val="center"/>
              <w:rPr>
                <w:b/>
                <w:bCs/>
                <w:color w:val="auto"/>
              </w:rPr>
            </w:pPr>
            <w:r>
              <w:rPr>
                <w:rFonts w:hint="eastAsia"/>
                <w:b/>
                <w:bCs/>
                <w:color w:val="auto"/>
              </w:rPr>
              <w:t>X</w:t>
            </w:r>
          </w:p>
        </w:tc>
        <w:tc>
          <w:tcPr>
            <w:tcW w:w="1134" w:type="dxa"/>
            <w:vAlign w:val="center"/>
          </w:tcPr>
          <w:p>
            <w:pPr>
              <w:adjustRightInd w:val="0"/>
              <w:snapToGrid w:val="0"/>
              <w:jc w:val="center"/>
              <w:rPr>
                <w:b/>
                <w:bCs/>
                <w:color w:val="auto"/>
              </w:rPr>
            </w:pPr>
            <w:r>
              <w:rPr>
                <w:rFonts w:hint="eastAsia"/>
                <w:b/>
                <w:bCs/>
                <w:color w:val="auto"/>
              </w:rPr>
              <w:t>Y</w:t>
            </w:r>
          </w:p>
        </w:tc>
        <w:tc>
          <w:tcPr>
            <w:tcW w:w="850" w:type="dxa"/>
            <w:vMerge w:val="continue"/>
            <w:vAlign w:val="center"/>
          </w:tcPr>
          <w:p>
            <w:pPr>
              <w:adjustRightInd w:val="0"/>
              <w:snapToGrid w:val="0"/>
              <w:jc w:val="center"/>
              <w:rPr>
                <w:b/>
                <w:bCs/>
                <w:color w:val="auto"/>
              </w:rPr>
            </w:pPr>
          </w:p>
        </w:tc>
        <w:tc>
          <w:tcPr>
            <w:tcW w:w="931" w:type="dxa"/>
            <w:vMerge w:val="continue"/>
            <w:vAlign w:val="center"/>
          </w:tcPr>
          <w:p>
            <w:pPr>
              <w:adjustRightInd w:val="0"/>
              <w:snapToGrid w:val="0"/>
              <w:jc w:val="center"/>
              <w:rPr>
                <w:b/>
                <w:bCs/>
                <w:color w:val="auto"/>
              </w:rPr>
            </w:pPr>
          </w:p>
        </w:tc>
        <w:tc>
          <w:tcPr>
            <w:tcW w:w="737" w:type="dxa"/>
            <w:vMerge w:val="continue"/>
            <w:vAlign w:val="center"/>
          </w:tcPr>
          <w:p>
            <w:pPr>
              <w:adjustRightInd w:val="0"/>
              <w:snapToGrid w:val="0"/>
              <w:jc w:val="center"/>
              <w:rPr>
                <w:b/>
                <w:bCs/>
                <w:color w:val="auto"/>
              </w:rPr>
            </w:pPr>
          </w:p>
        </w:tc>
        <w:tc>
          <w:tcPr>
            <w:tcW w:w="600" w:type="dxa"/>
            <w:vMerge w:val="continue"/>
            <w:vAlign w:val="center"/>
          </w:tcPr>
          <w:p>
            <w:pPr>
              <w:jc w:val="center"/>
              <w:rPr>
                <w:b/>
                <w:bCs/>
                <w:color w:val="auto"/>
              </w:rPr>
            </w:pPr>
          </w:p>
        </w:tc>
        <w:tc>
          <w:tcPr>
            <w:tcW w:w="726" w:type="dxa"/>
            <w:vMerge w:val="continue"/>
            <w:vAlign w:val="center"/>
          </w:tcPr>
          <w:p>
            <w:pPr>
              <w:jc w:val="center"/>
              <w:rPr>
                <w:b/>
                <w:bCs/>
                <w:color w:val="auto"/>
              </w:rPr>
            </w:pPr>
          </w:p>
        </w:tc>
        <w:tc>
          <w:tcPr>
            <w:tcW w:w="1462" w:type="dxa"/>
            <w:vMerge w:val="continue"/>
            <w:vAlign w:val="center"/>
          </w:tcPr>
          <w:p>
            <w:pPr>
              <w:adjustRightInd w:val="0"/>
              <w:snapToGrid w:val="0"/>
              <w:jc w:val="center"/>
              <w:rPr>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restart"/>
            <w:vAlign w:val="center"/>
          </w:tcPr>
          <w:p>
            <w:pPr>
              <w:pStyle w:val="342"/>
              <w:jc w:val="center"/>
              <w:rPr>
                <w:color w:val="auto"/>
                <w:sz w:val="21"/>
                <w:szCs w:val="21"/>
              </w:rPr>
            </w:pPr>
            <w:r>
              <w:rPr>
                <w:color w:val="auto"/>
                <w:sz w:val="21"/>
                <w:szCs w:val="21"/>
              </w:rPr>
              <w:t>环境空气</w:t>
            </w:r>
          </w:p>
        </w:tc>
        <w:tc>
          <w:tcPr>
            <w:tcW w:w="980" w:type="dxa"/>
            <w:vAlign w:val="center"/>
          </w:tcPr>
          <w:p>
            <w:pPr>
              <w:pStyle w:val="342"/>
              <w:jc w:val="center"/>
              <w:rPr>
                <w:color w:val="auto"/>
                <w:sz w:val="21"/>
                <w:szCs w:val="21"/>
              </w:rPr>
            </w:pPr>
            <w:r>
              <w:rPr>
                <w:color w:val="auto"/>
                <w:sz w:val="21"/>
                <w:szCs w:val="21"/>
              </w:rPr>
              <w:t>获嘉县中专</w:t>
            </w:r>
          </w:p>
        </w:tc>
        <w:tc>
          <w:tcPr>
            <w:tcW w:w="1214" w:type="dxa"/>
            <w:vAlign w:val="center"/>
          </w:tcPr>
          <w:p>
            <w:pPr>
              <w:pStyle w:val="342"/>
              <w:jc w:val="center"/>
              <w:rPr>
                <w:color w:val="auto"/>
                <w:sz w:val="21"/>
                <w:szCs w:val="21"/>
              </w:rPr>
            </w:pPr>
            <w:r>
              <w:rPr>
                <w:rFonts w:hint="eastAsia"/>
                <w:color w:val="auto"/>
                <w:sz w:val="21"/>
                <w:szCs w:val="21"/>
              </w:rPr>
              <w:t>113.685756</w:t>
            </w:r>
          </w:p>
        </w:tc>
        <w:tc>
          <w:tcPr>
            <w:tcW w:w="1134" w:type="dxa"/>
            <w:vAlign w:val="center"/>
          </w:tcPr>
          <w:p>
            <w:pPr>
              <w:pStyle w:val="342"/>
              <w:jc w:val="center"/>
              <w:rPr>
                <w:color w:val="auto"/>
                <w:sz w:val="21"/>
                <w:szCs w:val="21"/>
              </w:rPr>
            </w:pPr>
            <w:r>
              <w:rPr>
                <w:rFonts w:hint="eastAsia"/>
                <w:color w:val="auto"/>
                <w:sz w:val="21"/>
                <w:szCs w:val="21"/>
              </w:rPr>
              <w:t>35.264878</w:t>
            </w:r>
          </w:p>
        </w:tc>
        <w:tc>
          <w:tcPr>
            <w:tcW w:w="850" w:type="dxa"/>
            <w:vAlign w:val="center"/>
          </w:tcPr>
          <w:p>
            <w:pPr>
              <w:adjustRightInd w:val="0"/>
              <w:snapToGrid w:val="0"/>
              <w:jc w:val="center"/>
              <w:rPr>
                <w:color w:val="auto"/>
              </w:rPr>
            </w:pPr>
            <w:r>
              <w:rPr>
                <w:color w:val="auto"/>
              </w:rPr>
              <w:t>学校</w:t>
            </w:r>
          </w:p>
        </w:tc>
        <w:tc>
          <w:tcPr>
            <w:tcW w:w="931" w:type="dxa"/>
            <w:vAlign w:val="center"/>
          </w:tcPr>
          <w:p>
            <w:pPr>
              <w:adjustRightInd w:val="0"/>
              <w:snapToGrid w:val="0"/>
              <w:jc w:val="center"/>
              <w:rPr>
                <w:color w:val="auto"/>
              </w:rPr>
            </w:pPr>
            <w:r>
              <w:rPr>
                <w:color w:val="auto"/>
              </w:rPr>
              <w:t>师生</w:t>
            </w:r>
            <w:r>
              <w:rPr>
                <w:rFonts w:hint="eastAsia"/>
                <w:color w:val="auto"/>
              </w:rPr>
              <w:t>1627人</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W</w:t>
            </w:r>
          </w:p>
        </w:tc>
        <w:tc>
          <w:tcPr>
            <w:tcW w:w="726" w:type="dxa"/>
            <w:vAlign w:val="center"/>
          </w:tcPr>
          <w:p>
            <w:pPr>
              <w:pStyle w:val="342"/>
              <w:jc w:val="center"/>
              <w:rPr>
                <w:color w:val="auto"/>
                <w:sz w:val="21"/>
                <w:szCs w:val="21"/>
              </w:rPr>
            </w:pPr>
            <w:r>
              <w:rPr>
                <w:rFonts w:hint="eastAsia"/>
                <w:color w:val="auto"/>
                <w:sz w:val="21"/>
                <w:szCs w:val="21"/>
              </w:rPr>
              <w:t>1824</w:t>
            </w:r>
          </w:p>
        </w:tc>
        <w:tc>
          <w:tcPr>
            <w:tcW w:w="1462" w:type="dxa"/>
            <w:vMerge w:val="restart"/>
            <w:vAlign w:val="center"/>
          </w:tcPr>
          <w:p>
            <w:pPr>
              <w:adjustRightInd w:val="0"/>
              <w:snapToGrid w:val="0"/>
              <w:jc w:val="center"/>
              <w:rPr>
                <w:color w:val="auto"/>
              </w:rPr>
            </w:pPr>
            <w:r>
              <w:rPr>
                <w:color w:val="auto"/>
                <w:kern w:val="21"/>
              </w:rPr>
              <w:t>《环境空气质量标准》</w:t>
            </w:r>
            <w:r>
              <w:rPr>
                <w:rFonts w:hint="eastAsia"/>
                <w:color w:val="auto"/>
                <w:kern w:val="21"/>
                <w:lang w:eastAsia="zh-CN"/>
              </w:rPr>
              <w:t>（</w:t>
            </w:r>
            <w:r>
              <w:rPr>
                <w:color w:val="auto"/>
                <w:kern w:val="21"/>
              </w:rPr>
              <w:t>GB3095-2012</w:t>
            </w:r>
            <w:r>
              <w:rPr>
                <w:rFonts w:hint="eastAsia"/>
                <w:color w:val="auto"/>
                <w:kern w:val="21"/>
                <w:lang w:eastAsia="zh-CN"/>
              </w:rPr>
              <w:t>）</w:t>
            </w:r>
            <w:r>
              <w:rPr>
                <w:color w:val="auto"/>
                <w:kern w:val="21"/>
              </w:rPr>
              <w:t>二级、《环境影响评价技术导则 大气环境》（HJ2.2-2018）附录D其他污染物空气质量浓度参考限值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彦当村</w:t>
            </w:r>
          </w:p>
        </w:tc>
        <w:tc>
          <w:tcPr>
            <w:tcW w:w="1214" w:type="dxa"/>
            <w:vAlign w:val="center"/>
          </w:tcPr>
          <w:p>
            <w:pPr>
              <w:pStyle w:val="342"/>
              <w:jc w:val="center"/>
              <w:rPr>
                <w:color w:val="auto"/>
                <w:sz w:val="21"/>
                <w:szCs w:val="21"/>
              </w:rPr>
            </w:pPr>
            <w:r>
              <w:rPr>
                <w:rFonts w:hint="eastAsia"/>
                <w:color w:val="auto"/>
                <w:sz w:val="21"/>
                <w:szCs w:val="21"/>
              </w:rPr>
              <w:t>113.692450</w:t>
            </w:r>
          </w:p>
        </w:tc>
        <w:tc>
          <w:tcPr>
            <w:tcW w:w="1134" w:type="dxa"/>
            <w:vAlign w:val="center"/>
          </w:tcPr>
          <w:p>
            <w:pPr>
              <w:pStyle w:val="342"/>
              <w:jc w:val="center"/>
              <w:rPr>
                <w:color w:val="auto"/>
                <w:sz w:val="21"/>
                <w:szCs w:val="21"/>
              </w:rPr>
            </w:pPr>
            <w:r>
              <w:rPr>
                <w:rFonts w:hint="eastAsia"/>
                <w:color w:val="auto"/>
                <w:sz w:val="21"/>
                <w:szCs w:val="21"/>
              </w:rPr>
              <w:t>35.268569</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2288人</w:t>
            </w:r>
          </w:p>
          <w:p>
            <w:pPr>
              <w:adjustRightInd w:val="0"/>
              <w:snapToGrid w:val="0"/>
              <w:jc w:val="center"/>
              <w:rPr>
                <w:color w:val="auto"/>
              </w:rPr>
            </w:pPr>
            <w:r>
              <w:rPr>
                <w:rFonts w:hint="eastAsia"/>
                <w:color w:val="auto"/>
              </w:rPr>
              <w:t>580户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W</w:t>
            </w:r>
          </w:p>
        </w:tc>
        <w:tc>
          <w:tcPr>
            <w:tcW w:w="726" w:type="dxa"/>
            <w:vAlign w:val="center"/>
          </w:tcPr>
          <w:p>
            <w:pPr>
              <w:pStyle w:val="342"/>
              <w:jc w:val="center"/>
              <w:rPr>
                <w:color w:val="auto"/>
                <w:sz w:val="21"/>
                <w:szCs w:val="21"/>
              </w:rPr>
            </w:pPr>
            <w:r>
              <w:rPr>
                <w:rFonts w:hint="eastAsia"/>
                <w:color w:val="auto"/>
                <w:sz w:val="21"/>
                <w:szCs w:val="21"/>
              </w:rPr>
              <w:t>1441</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桑庄村</w:t>
            </w:r>
          </w:p>
        </w:tc>
        <w:tc>
          <w:tcPr>
            <w:tcW w:w="1214" w:type="dxa"/>
            <w:vAlign w:val="center"/>
          </w:tcPr>
          <w:p>
            <w:pPr>
              <w:pStyle w:val="342"/>
              <w:jc w:val="center"/>
              <w:rPr>
                <w:color w:val="auto"/>
                <w:sz w:val="21"/>
                <w:szCs w:val="21"/>
              </w:rPr>
            </w:pPr>
            <w:r>
              <w:rPr>
                <w:rFonts w:hint="eastAsia"/>
                <w:color w:val="auto"/>
                <w:sz w:val="21"/>
                <w:szCs w:val="21"/>
              </w:rPr>
              <w:t>113.691764</w:t>
            </w:r>
          </w:p>
        </w:tc>
        <w:tc>
          <w:tcPr>
            <w:tcW w:w="1134" w:type="dxa"/>
            <w:vAlign w:val="center"/>
          </w:tcPr>
          <w:p>
            <w:pPr>
              <w:pStyle w:val="342"/>
              <w:jc w:val="center"/>
              <w:rPr>
                <w:color w:val="auto"/>
                <w:sz w:val="21"/>
                <w:szCs w:val="21"/>
              </w:rPr>
            </w:pPr>
            <w:r>
              <w:rPr>
                <w:rFonts w:hint="eastAsia"/>
                <w:color w:val="auto"/>
                <w:sz w:val="21"/>
                <w:szCs w:val="21"/>
              </w:rPr>
              <w:t>35.281272</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936人</w:t>
            </w:r>
          </w:p>
          <w:p>
            <w:pPr>
              <w:adjustRightInd w:val="0"/>
              <w:snapToGrid w:val="0"/>
              <w:jc w:val="center"/>
              <w:rPr>
                <w:color w:val="auto"/>
              </w:rPr>
            </w:pPr>
            <w:r>
              <w:rPr>
                <w:rFonts w:hint="eastAsia"/>
                <w:color w:val="auto"/>
              </w:rPr>
              <w:t>260户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NW</w:t>
            </w:r>
          </w:p>
        </w:tc>
        <w:tc>
          <w:tcPr>
            <w:tcW w:w="726" w:type="dxa"/>
            <w:vAlign w:val="center"/>
          </w:tcPr>
          <w:p>
            <w:pPr>
              <w:pStyle w:val="342"/>
              <w:jc w:val="center"/>
              <w:rPr>
                <w:color w:val="auto"/>
                <w:sz w:val="21"/>
                <w:szCs w:val="21"/>
              </w:rPr>
            </w:pPr>
            <w:r>
              <w:rPr>
                <w:rFonts w:hint="eastAsia"/>
                <w:color w:val="auto"/>
                <w:sz w:val="21"/>
                <w:szCs w:val="21"/>
              </w:rPr>
              <w:t>2014</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获嘉县气象站</w:t>
            </w:r>
          </w:p>
        </w:tc>
        <w:tc>
          <w:tcPr>
            <w:tcW w:w="1214" w:type="dxa"/>
            <w:vAlign w:val="center"/>
          </w:tcPr>
          <w:p>
            <w:pPr>
              <w:pStyle w:val="342"/>
              <w:jc w:val="center"/>
              <w:rPr>
                <w:color w:val="auto"/>
                <w:sz w:val="21"/>
                <w:szCs w:val="21"/>
              </w:rPr>
            </w:pPr>
            <w:r>
              <w:rPr>
                <w:color w:val="auto"/>
                <w:sz w:val="21"/>
                <w:szCs w:val="21"/>
              </w:rPr>
              <w:t>113.71848</w:t>
            </w:r>
            <w:r>
              <w:rPr>
                <w:rFonts w:hint="eastAsia"/>
                <w:color w:val="auto"/>
                <w:sz w:val="21"/>
                <w:szCs w:val="21"/>
              </w:rPr>
              <w:t>8</w:t>
            </w:r>
          </w:p>
        </w:tc>
        <w:tc>
          <w:tcPr>
            <w:tcW w:w="1134" w:type="dxa"/>
            <w:vAlign w:val="center"/>
          </w:tcPr>
          <w:p>
            <w:pPr>
              <w:pStyle w:val="342"/>
              <w:jc w:val="center"/>
              <w:rPr>
                <w:color w:val="auto"/>
                <w:sz w:val="21"/>
                <w:szCs w:val="21"/>
              </w:rPr>
            </w:pPr>
            <w:r>
              <w:rPr>
                <w:color w:val="auto"/>
                <w:sz w:val="21"/>
                <w:szCs w:val="21"/>
              </w:rPr>
              <w:t>35.266094</w:t>
            </w:r>
          </w:p>
        </w:tc>
        <w:tc>
          <w:tcPr>
            <w:tcW w:w="850" w:type="dxa"/>
            <w:vAlign w:val="center"/>
          </w:tcPr>
          <w:p>
            <w:pPr>
              <w:adjustRightInd w:val="0"/>
              <w:snapToGrid w:val="0"/>
              <w:jc w:val="center"/>
              <w:rPr>
                <w:color w:val="auto"/>
              </w:rPr>
            </w:pPr>
            <w:r>
              <w:rPr>
                <w:color w:val="auto"/>
              </w:rPr>
              <w:t>科研单位</w:t>
            </w:r>
          </w:p>
        </w:tc>
        <w:tc>
          <w:tcPr>
            <w:tcW w:w="931" w:type="dxa"/>
            <w:vAlign w:val="center"/>
          </w:tcPr>
          <w:p>
            <w:pPr>
              <w:adjustRightInd w:val="0"/>
              <w:snapToGrid w:val="0"/>
              <w:jc w:val="center"/>
              <w:rPr>
                <w:color w:val="auto"/>
              </w:rPr>
            </w:pPr>
            <w:r>
              <w:rPr>
                <w:rFonts w:hint="eastAsia"/>
                <w:color w:val="auto"/>
              </w:rPr>
              <w:t>气象站</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u w:val="single"/>
              </w:rPr>
              <w:t>SE</w:t>
            </w:r>
          </w:p>
        </w:tc>
        <w:tc>
          <w:tcPr>
            <w:tcW w:w="726" w:type="dxa"/>
            <w:vAlign w:val="center"/>
          </w:tcPr>
          <w:p>
            <w:pPr>
              <w:pStyle w:val="342"/>
              <w:jc w:val="center"/>
              <w:rPr>
                <w:color w:val="auto"/>
                <w:sz w:val="21"/>
                <w:szCs w:val="21"/>
              </w:rPr>
            </w:pPr>
            <w:r>
              <w:rPr>
                <w:rFonts w:hint="eastAsia"/>
                <w:color w:val="auto"/>
                <w:sz w:val="21"/>
                <w:szCs w:val="21"/>
              </w:rPr>
              <w:t>700</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照镜镇</w:t>
            </w:r>
          </w:p>
        </w:tc>
        <w:tc>
          <w:tcPr>
            <w:tcW w:w="1214" w:type="dxa"/>
            <w:vAlign w:val="center"/>
          </w:tcPr>
          <w:p>
            <w:pPr>
              <w:pStyle w:val="342"/>
              <w:jc w:val="center"/>
              <w:rPr>
                <w:color w:val="auto"/>
                <w:sz w:val="21"/>
                <w:szCs w:val="21"/>
              </w:rPr>
            </w:pPr>
            <w:r>
              <w:rPr>
                <w:rFonts w:hint="eastAsia"/>
                <w:color w:val="auto"/>
                <w:sz w:val="21"/>
                <w:szCs w:val="21"/>
              </w:rPr>
              <w:t>113.691249</w:t>
            </w:r>
          </w:p>
        </w:tc>
        <w:tc>
          <w:tcPr>
            <w:tcW w:w="1134" w:type="dxa"/>
            <w:vAlign w:val="center"/>
          </w:tcPr>
          <w:p>
            <w:pPr>
              <w:pStyle w:val="342"/>
              <w:jc w:val="center"/>
              <w:rPr>
                <w:color w:val="auto"/>
                <w:sz w:val="21"/>
                <w:szCs w:val="21"/>
              </w:rPr>
            </w:pPr>
            <w:r>
              <w:rPr>
                <w:rFonts w:hint="eastAsia"/>
                <w:color w:val="auto"/>
                <w:sz w:val="21"/>
                <w:szCs w:val="21"/>
              </w:rPr>
              <w:t>35.290284</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2948人</w:t>
            </w:r>
          </w:p>
          <w:p>
            <w:pPr>
              <w:adjustRightInd w:val="0"/>
              <w:snapToGrid w:val="0"/>
              <w:jc w:val="center"/>
              <w:rPr>
                <w:color w:val="auto"/>
              </w:rPr>
            </w:pPr>
            <w:r>
              <w:rPr>
                <w:rFonts w:hint="eastAsia"/>
                <w:color w:val="auto"/>
              </w:rPr>
              <w:t>850户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NW</w:t>
            </w:r>
          </w:p>
        </w:tc>
        <w:tc>
          <w:tcPr>
            <w:tcW w:w="726" w:type="dxa"/>
            <w:vAlign w:val="center"/>
          </w:tcPr>
          <w:p>
            <w:pPr>
              <w:pStyle w:val="342"/>
              <w:jc w:val="center"/>
              <w:rPr>
                <w:color w:val="auto"/>
                <w:sz w:val="21"/>
                <w:szCs w:val="21"/>
              </w:rPr>
            </w:pPr>
            <w:r>
              <w:rPr>
                <w:rFonts w:hint="eastAsia"/>
                <w:color w:val="auto"/>
                <w:sz w:val="21"/>
                <w:szCs w:val="21"/>
              </w:rPr>
              <w:t>2771</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前李村</w:t>
            </w:r>
          </w:p>
        </w:tc>
        <w:tc>
          <w:tcPr>
            <w:tcW w:w="1214" w:type="dxa"/>
            <w:vAlign w:val="center"/>
          </w:tcPr>
          <w:p>
            <w:pPr>
              <w:pStyle w:val="342"/>
              <w:jc w:val="center"/>
              <w:rPr>
                <w:color w:val="auto"/>
                <w:sz w:val="21"/>
                <w:szCs w:val="21"/>
              </w:rPr>
            </w:pPr>
            <w:r>
              <w:rPr>
                <w:rFonts w:hint="eastAsia"/>
                <w:color w:val="auto"/>
                <w:sz w:val="21"/>
                <w:szCs w:val="21"/>
              </w:rPr>
              <w:t>113.710475</w:t>
            </w:r>
          </w:p>
        </w:tc>
        <w:tc>
          <w:tcPr>
            <w:tcW w:w="1134" w:type="dxa"/>
            <w:vAlign w:val="center"/>
          </w:tcPr>
          <w:p>
            <w:pPr>
              <w:pStyle w:val="342"/>
              <w:jc w:val="center"/>
              <w:rPr>
                <w:color w:val="auto"/>
                <w:sz w:val="21"/>
                <w:szCs w:val="21"/>
              </w:rPr>
            </w:pPr>
            <w:r>
              <w:rPr>
                <w:rFonts w:hint="eastAsia"/>
                <w:color w:val="auto"/>
                <w:sz w:val="21"/>
                <w:szCs w:val="21"/>
              </w:rPr>
              <w:t>35.271573</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900人</w:t>
            </w:r>
          </w:p>
          <w:p>
            <w:pPr>
              <w:adjustRightInd w:val="0"/>
              <w:snapToGrid w:val="0"/>
              <w:jc w:val="center"/>
              <w:rPr>
                <w:color w:val="auto"/>
              </w:rPr>
            </w:pPr>
            <w:r>
              <w:rPr>
                <w:rFonts w:hint="eastAsia"/>
                <w:color w:val="auto"/>
              </w:rPr>
              <w:t>250户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rFonts w:hint="eastAsia" w:eastAsia="宋体"/>
                <w:b/>
                <w:bCs/>
                <w:color w:val="auto"/>
                <w:sz w:val="21"/>
                <w:szCs w:val="21"/>
                <w:u w:val="single"/>
                <w:lang w:val="en-US" w:eastAsia="zh-CN"/>
              </w:rPr>
            </w:pPr>
            <w:r>
              <w:rPr>
                <w:rFonts w:hint="eastAsia"/>
                <w:b/>
                <w:bCs/>
                <w:color w:val="auto"/>
                <w:sz w:val="21"/>
                <w:szCs w:val="21"/>
                <w:u w:val="single"/>
              </w:rPr>
              <w:t>N</w:t>
            </w:r>
            <w:r>
              <w:rPr>
                <w:rFonts w:hint="eastAsia"/>
                <w:b/>
                <w:bCs/>
                <w:color w:val="auto"/>
                <w:sz w:val="21"/>
                <w:szCs w:val="21"/>
                <w:u w:val="single"/>
                <w:lang w:val="en-US" w:eastAsia="zh-CN"/>
              </w:rPr>
              <w:t>E</w:t>
            </w:r>
          </w:p>
        </w:tc>
        <w:tc>
          <w:tcPr>
            <w:tcW w:w="726" w:type="dxa"/>
            <w:vAlign w:val="center"/>
          </w:tcPr>
          <w:p>
            <w:pPr>
              <w:pStyle w:val="342"/>
              <w:jc w:val="center"/>
              <w:rPr>
                <w:color w:val="auto"/>
                <w:sz w:val="21"/>
                <w:szCs w:val="21"/>
              </w:rPr>
            </w:pPr>
            <w:r>
              <w:rPr>
                <w:rFonts w:hint="eastAsia"/>
                <w:color w:val="auto"/>
                <w:sz w:val="21"/>
                <w:szCs w:val="21"/>
              </w:rPr>
              <w:t>276</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后李村</w:t>
            </w:r>
          </w:p>
        </w:tc>
        <w:tc>
          <w:tcPr>
            <w:tcW w:w="1214" w:type="dxa"/>
            <w:vAlign w:val="center"/>
          </w:tcPr>
          <w:p>
            <w:pPr>
              <w:pStyle w:val="342"/>
              <w:jc w:val="center"/>
              <w:rPr>
                <w:color w:val="auto"/>
                <w:sz w:val="21"/>
                <w:szCs w:val="21"/>
              </w:rPr>
            </w:pPr>
            <w:r>
              <w:rPr>
                <w:rFonts w:hint="eastAsia"/>
                <w:color w:val="auto"/>
                <w:sz w:val="21"/>
                <w:szCs w:val="21"/>
              </w:rPr>
              <w:t>113.710904</w:t>
            </w:r>
          </w:p>
        </w:tc>
        <w:tc>
          <w:tcPr>
            <w:tcW w:w="1134" w:type="dxa"/>
            <w:vAlign w:val="center"/>
          </w:tcPr>
          <w:p>
            <w:pPr>
              <w:pStyle w:val="342"/>
              <w:jc w:val="center"/>
              <w:rPr>
                <w:color w:val="auto"/>
                <w:sz w:val="21"/>
                <w:szCs w:val="21"/>
              </w:rPr>
            </w:pPr>
            <w:r>
              <w:rPr>
                <w:rFonts w:hint="eastAsia"/>
                <w:color w:val="auto"/>
                <w:sz w:val="21"/>
                <w:szCs w:val="21"/>
              </w:rPr>
              <w:t>35.275435</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2000人</w:t>
            </w:r>
          </w:p>
          <w:p>
            <w:pPr>
              <w:adjustRightInd w:val="0"/>
              <w:snapToGrid w:val="0"/>
              <w:jc w:val="center"/>
              <w:rPr>
                <w:color w:val="auto"/>
              </w:rPr>
            </w:pPr>
            <w:r>
              <w:rPr>
                <w:rFonts w:hint="eastAsia"/>
                <w:color w:val="auto"/>
              </w:rPr>
              <w:t>570户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N</w:t>
            </w:r>
          </w:p>
        </w:tc>
        <w:tc>
          <w:tcPr>
            <w:tcW w:w="726" w:type="dxa"/>
            <w:vAlign w:val="center"/>
          </w:tcPr>
          <w:p>
            <w:pPr>
              <w:pStyle w:val="342"/>
              <w:jc w:val="center"/>
              <w:rPr>
                <w:color w:val="auto"/>
                <w:sz w:val="21"/>
                <w:szCs w:val="21"/>
              </w:rPr>
            </w:pPr>
            <w:r>
              <w:rPr>
                <w:rFonts w:hint="eastAsia"/>
                <w:color w:val="auto"/>
                <w:sz w:val="21"/>
                <w:szCs w:val="21"/>
              </w:rPr>
              <w:t>740</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东仓村</w:t>
            </w:r>
          </w:p>
        </w:tc>
        <w:tc>
          <w:tcPr>
            <w:tcW w:w="1214" w:type="dxa"/>
            <w:vAlign w:val="center"/>
          </w:tcPr>
          <w:p>
            <w:pPr>
              <w:pStyle w:val="342"/>
              <w:jc w:val="center"/>
              <w:rPr>
                <w:color w:val="auto"/>
                <w:sz w:val="21"/>
                <w:szCs w:val="21"/>
              </w:rPr>
            </w:pPr>
            <w:r>
              <w:rPr>
                <w:rFonts w:hint="eastAsia"/>
                <w:color w:val="auto"/>
                <w:sz w:val="21"/>
                <w:szCs w:val="21"/>
              </w:rPr>
              <w:t>113.711505</w:t>
            </w:r>
          </w:p>
        </w:tc>
        <w:tc>
          <w:tcPr>
            <w:tcW w:w="1134" w:type="dxa"/>
            <w:vAlign w:val="center"/>
          </w:tcPr>
          <w:p>
            <w:pPr>
              <w:pStyle w:val="342"/>
              <w:jc w:val="center"/>
              <w:rPr>
                <w:color w:val="auto"/>
                <w:sz w:val="21"/>
                <w:szCs w:val="21"/>
              </w:rPr>
            </w:pPr>
            <w:r>
              <w:rPr>
                <w:rFonts w:hint="eastAsia"/>
                <w:color w:val="auto"/>
                <w:sz w:val="21"/>
                <w:szCs w:val="21"/>
              </w:rPr>
              <w:t>35.288567</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1485人</w:t>
            </w:r>
          </w:p>
          <w:p>
            <w:pPr>
              <w:adjustRightInd w:val="0"/>
              <w:snapToGrid w:val="0"/>
              <w:jc w:val="center"/>
              <w:rPr>
                <w:color w:val="auto"/>
              </w:rPr>
            </w:pPr>
            <w:r>
              <w:rPr>
                <w:rFonts w:hint="eastAsia"/>
                <w:color w:val="auto"/>
              </w:rPr>
              <w:t>425户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N</w:t>
            </w:r>
          </w:p>
        </w:tc>
        <w:tc>
          <w:tcPr>
            <w:tcW w:w="726" w:type="dxa"/>
            <w:vAlign w:val="center"/>
          </w:tcPr>
          <w:p>
            <w:pPr>
              <w:pStyle w:val="342"/>
              <w:jc w:val="center"/>
              <w:rPr>
                <w:color w:val="auto"/>
                <w:sz w:val="21"/>
                <w:szCs w:val="21"/>
              </w:rPr>
            </w:pPr>
            <w:r>
              <w:rPr>
                <w:rFonts w:hint="eastAsia"/>
                <w:color w:val="auto"/>
                <w:sz w:val="21"/>
                <w:szCs w:val="21"/>
              </w:rPr>
              <w:t>2126</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后寺庄村</w:t>
            </w:r>
          </w:p>
        </w:tc>
        <w:tc>
          <w:tcPr>
            <w:tcW w:w="1214" w:type="dxa"/>
            <w:vAlign w:val="center"/>
          </w:tcPr>
          <w:p>
            <w:pPr>
              <w:pStyle w:val="342"/>
              <w:jc w:val="center"/>
              <w:rPr>
                <w:color w:val="auto"/>
                <w:sz w:val="21"/>
                <w:szCs w:val="21"/>
              </w:rPr>
            </w:pPr>
            <w:r>
              <w:rPr>
                <w:rFonts w:hint="eastAsia"/>
                <w:color w:val="auto"/>
                <w:sz w:val="21"/>
                <w:szCs w:val="21"/>
              </w:rPr>
              <w:t>113.727126</w:t>
            </w:r>
          </w:p>
        </w:tc>
        <w:tc>
          <w:tcPr>
            <w:tcW w:w="1134" w:type="dxa"/>
            <w:vAlign w:val="center"/>
          </w:tcPr>
          <w:p>
            <w:pPr>
              <w:pStyle w:val="342"/>
              <w:jc w:val="center"/>
              <w:rPr>
                <w:color w:val="auto"/>
                <w:sz w:val="21"/>
                <w:szCs w:val="21"/>
              </w:rPr>
            </w:pPr>
            <w:r>
              <w:rPr>
                <w:rFonts w:hint="eastAsia"/>
                <w:color w:val="auto"/>
                <w:sz w:val="21"/>
                <w:szCs w:val="21"/>
              </w:rPr>
              <w:t>35.282130</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940人</w:t>
            </w:r>
          </w:p>
          <w:p>
            <w:pPr>
              <w:adjustRightInd w:val="0"/>
              <w:snapToGrid w:val="0"/>
              <w:jc w:val="center"/>
              <w:rPr>
                <w:color w:val="auto"/>
              </w:rPr>
            </w:pPr>
            <w:r>
              <w:rPr>
                <w:rFonts w:hint="eastAsia"/>
                <w:color w:val="auto"/>
              </w:rPr>
              <w:t>260户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NE</w:t>
            </w:r>
          </w:p>
        </w:tc>
        <w:tc>
          <w:tcPr>
            <w:tcW w:w="726" w:type="dxa"/>
            <w:vAlign w:val="center"/>
          </w:tcPr>
          <w:p>
            <w:pPr>
              <w:pStyle w:val="342"/>
              <w:jc w:val="center"/>
              <w:rPr>
                <w:color w:val="auto"/>
                <w:sz w:val="21"/>
                <w:szCs w:val="21"/>
              </w:rPr>
            </w:pPr>
            <w:r>
              <w:rPr>
                <w:rFonts w:hint="eastAsia"/>
                <w:color w:val="auto"/>
                <w:sz w:val="21"/>
                <w:szCs w:val="21"/>
              </w:rPr>
              <w:t>2043</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前寺庄村</w:t>
            </w:r>
          </w:p>
        </w:tc>
        <w:tc>
          <w:tcPr>
            <w:tcW w:w="1214" w:type="dxa"/>
            <w:vAlign w:val="center"/>
          </w:tcPr>
          <w:p>
            <w:pPr>
              <w:pStyle w:val="342"/>
              <w:jc w:val="center"/>
              <w:rPr>
                <w:color w:val="auto"/>
                <w:sz w:val="21"/>
                <w:szCs w:val="21"/>
              </w:rPr>
            </w:pPr>
            <w:r>
              <w:rPr>
                <w:rFonts w:hint="eastAsia"/>
                <w:color w:val="auto"/>
                <w:sz w:val="21"/>
                <w:szCs w:val="21"/>
              </w:rPr>
              <w:t>113.724379</w:t>
            </w:r>
          </w:p>
        </w:tc>
        <w:tc>
          <w:tcPr>
            <w:tcW w:w="1134" w:type="dxa"/>
            <w:vAlign w:val="center"/>
          </w:tcPr>
          <w:p>
            <w:pPr>
              <w:pStyle w:val="342"/>
              <w:jc w:val="center"/>
              <w:rPr>
                <w:color w:val="auto"/>
                <w:sz w:val="21"/>
                <w:szCs w:val="21"/>
              </w:rPr>
            </w:pPr>
            <w:r>
              <w:rPr>
                <w:rFonts w:hint="eastAsia"/>
                <w:color w:val="auto"/>
                <w:sz w:val="21"/>
                <w:szCs w:val="21"/>
              </w:rPr>
              <w:t>35.277066</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1076人</w:t>
            </w:r>
          </w:p>
          <w:p>
            <w:pPr>
              <w:adjustRightInd w:val="0"/>
              <w:snapToGrid w:val="0"/>
              <w:jc w:val="center"/>
              <w:rPr>
                <w:color w:val="auto"/>
              </w:rPr>
            </w:pPr>
            <w:r>
              <w:rPr>
                <w:rFonts w:hint="eastAsia"/>
                <w:color w:val="auto"/>
              </w:rPr>
              <w:t>309户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NE</w:t>
            </w:r>
          </w:p>
        </w:tc>
        <w:tc>
          <w:tcPr>
            <w:tcW w:w="726" w:type="dxa"/>
            <w:vAlign w:val="center"/>
          </w:tcPr>
          <w:p>
            <w:pPr>
              <w:pStyle w:val="342"/>
              <w:jc w:val="center"/>
              <w:rPr>
                <w:color w:val="auto"/>
                <w:sz w:val="21"/>
                <w:szCs w:val="21"/>
              </w:rPr>
            </w:pPr>
            <w:r>
              <w:rPr>
                <w:rFonts w:hint="eastAsia"/>
                <w:color w:val="auto"/>
                <w:sz w:val="21"/>
                <w:szCs w:val="21"/>
              </w:rPr>
              <w:t>1475</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武贾洲村</w:t>
            </w:r>
          </w:p>
        </w:tc>
        <w:tc>
          <w:tcPr>
            <w:tcW w:w="1214" w:type="dxa"/>
            <w:vAlign w:val="center"/>
          </w:tcPr>
          <w:p>
            <w:pPr>
              <w:pStyle w:val="342"/>
              <w:jc w:val="center"/>
              <w:rPr>
                <w:color w:val="auto"/>
                <w:sz w:val="21"/>
                <w:szCs w:val="21"/>
              </w:rPr>
            </w:pPr>
            <w:r>
              <w:rPr>
                <w:rFonts w:hint="eastAsia"/>
                <w:color w:val="auto"/>
                <w:sz w:val="21"/>
                <w:szCs w:val="21"/>
              </w:rPr>
              <w:t>113.724294</w:t>
            </w:r>
          </w:p>
        </w:tc>
        <w:tc>
          <w:tcPr>
            <w:tcW w:w="1134" w:type="dxa"/>
            <w:vAlign w:val="center"/>
          </w:tcPr>
          <w:p>
            <w:pPr>
              <w:pStyle w:val="342"/>
              <w:jc w:val="center"/>
              <w:rPr>
                <w:color w:val="auto"/>
                <w:sz w:val="21"/>
                <w:szCs w:val="21"/>
              </w:rPr>
            </w:pPr>
            <w:r>
              <w:rPr>
                <w:rFonts w:hint="eastAsia"/>
                <w:color w:val="auto"/>
                <w:sz w:val="21"/>
                <w:szCs w:val="21"/>
              </w:rPr>
              <w:t>35.243849</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580人</w:t>
            </w:r>
          </w:p>
          <w:p>
            <w:pPr>
              <w:adjustRightInd w:val="0"/>
              <w:snapToGrid w:val="0"/>
              <w:jc w:val="center"/>
              <w:rPr>
                <w:color w:val="auto"/>
              </w:rPr>
            </w:pPr>
            <w:r>
              <w:rPr>
                <w:rFonts w:hint="eastAsia"/>
                <w:color w:val="auto"/>
              </w:rPr>
              <w:t>165户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SE</w:t>
            </w:r>
          </w:p>
        </w:tc>
        <w:tc>
          <w:tcPr>
            <w:tcW w:w="726" w:type="dxa"/>
            <w:vAlign w:val="center"/>
          </w:tcPr>
          <w:p>
            <w:pPr>
              <w:pStyle w:val="342"/>
              <w:jc w:val="center"/>
              <w:rPr>
                <w:color w:val="auto"/>
                <w:sz w:val="21"/>
                <w:szCs w:val="21"/>
              </w:rPr>
            </w:pPr>
            <w:r>
              <w:rPr>
                <w:rFonts w:hint="eastAsia"/>
                <w:color w:val="auto"/>
                <w:sz w:val="21"/>
                <w:szCs w:val="21"/>
              </w:rPr>
              <w:t>2680</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孝合村</w:t>
            </w:r>
          </w:p>
        </w:tc>
        <w:tc>
          <w:tcPr>
            <w:tcW w:w="1214" w:type="dxa"/>
            <w:vAlign w:val="center"/>
          </w:tcPr>
          <w:p>
            <w:pPr>
              <w:pStyle w:val="342"/>
              <w:jc w:val="center"/>
              <w:rPr>
                <w:color w:val="auto"/>
                <w:sz w:val="21"/>
                <w:szCs w:val="21"/>
              </w:rPr>
            </w:pPr>
            <w:r>
              <w:rPr>
                <w:rFonts w:hint="eastAsia"/>
                <w:color w:val="auto"/>
                <w:sz w:val="21"/>
                <w:szCs w:val="21"/>
              </w:rPr>
              <w:t>113.705068</w:t>
            </w:r>
          </w:p>
        </w:tc>
        <w:tc>
          <w:tcPr>
            <w:tcW w:w="1134" w:type="dxa"/>
            <w:vAlign w:val="center"/>
          </w:tcPr>
          <w:p>
            <w:pPr>
              <w:pStyle w:val="342"/>
              <w:jc w:val="center"/>
              <w:rPr>
                <w:color w:val="auto"/>
                <w:sz w:val="21"/>
                <w:szCs w:val="21"/>
              </w:rPr>
            </w:pPr>
            <w:r>
              <w:rPr>
                <w:rFonts w:hint="eastAsia"/>
                <w:color w:val="auto"/>
                <w:sz w:val="21"/>
                <w:szCs w:val="21"/>
              </w:rPr>
              <w:t>35.246510</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905人</w:t>
            </w:r>
          </w:p>
          <w:p>
            <w:pPr>
              <w:adjustRightInd w:val="0"/>
              <w:snapToGrid w:val="0"/>
              <w:jc w:val="center"/>
              <w:rPr>
                <w:color w:val="auto"/>
              </w:rPr>
            </w:pPr>
            <w:r>
              <w:rPr>
                <w:rFonts w:hint="eastAsia"/>
                <w:color w:val="auto"/>
              </w:rPr>
              <w:t>250户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S</w:t>
            </w:r>
          </w:p>
        </w:tc>
        <w:tc>
          <w:tcPr>
            <w:tcW w:w="726" w:type="dxa"/>
            <w:vAlign w:val="center"/>
          </w:tcPr>
          <w:p>
            <w:pPr>
              <w:pStyle w:val="342"/>
              <w:jc w:val="center"/>
              <w:rPr>
                <w:color w:val="auto"/>
                <w:sz w:val="21"/>
                <w:szCs w:val="21"/>
              </w:rPr>
            </w:pPr>
            <w:r>
              <w:rPr>
                <w:rFonts w:hint="eastAsia"/>
                <w:color w:val="auto"/>
                <w:sz w:val="21"/>
                <w:szCs w:val="21"/>
              </w:rPr>
              <w:t>2068</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陈孝村</w:t>
            </w:r>
          </w:p>
        </w:tc>
        <w:tc>
          <w:tcPr>
            <w:tcW w:w="1214" w:type="dxa"/>
            <w:vAlign w:val="center"/>
          </w:tcPr>
          <w:p>
            <w:pPr>
              <w:pStyle w:val="342"/>
              <w:jc w:val="center"/>
              <w:rPr>
                <w:color w:val="auto"/>
                <w:sz w:val="21"/>
                <w:szCs w:val="21"/>
              </w:rPr>
            </w:pPr>
            <w:r>
              <w:rPr>
                <w:rFonts w:hint="eastAsia"/>
                <w:color w:val="auto"/>
                <w:sz w:val="21"/>
                <w:szCs w:val="21"/>
              </w:rPr>
              <w:t>113.695369</w:t>
            </w:r>
          </w:p>
        </w:tc>
        <w:tc>
          <w:tcPr>
            <w:tcW w:w="1134" w:type="dxa"/>
            <w:vAlign w:val="center"/>
          </w:tcPr>
          <w:p>
            <w:pPr>
              <w:pStyle w:val="342"/>
              <w:jc w:val="center"/>
              <w:rPr>
                <w:color w:val="auto"/>
                <w:sz w:val="21"/>
                <w:szCs w:val="21"/>
              </w:rPr>
            </w:pPr>
            <w:r>
              <w:rPr>
                <w:rFonts w:hint="eastAsia"/>
                <w:color w:val="auto"/>
                <w:sz w:val="21"/>
                <w:szCs w:val="21"/>
              </w:rPr>
              <w:t>35.244536</w:t>
            </w:r>
          </w:p>
        </w:tc>
        <w:tc>
          <w:tcPr>
            <w:tcW w:w="850" w:type="dxa"/>
            <w:vAlign w:val="center"/>
          </w:tcPr>
          <w:p>
            <w:pPr>
              <w:adjustRightInd w:val="0"/>
              <w:snapToGrid w:val="0"/>
              <w:jc w:val="center"/>
              <w:rPr>
                <w:color w:val="auto"/>
              </w:rPr>
            </w:pPr>
            <w:r>
              <w:rPr>
                <w:color w:val="auto"/>
              </w:rPr>
              <w:t>居民区</w:t>
            </w:r>
          </w:p>
        </w:tc>
        <w:tc>
          <w:tcPr>
            <w:tcW w:w="931" w:type="dxa"/>
            <w:vAlign w:val="center"/>
          </w:tcPr>
          <w:p>
            <w:pPr>
              <w:adjustRightInd w:val="0"/>
              <w:snapToGrid w:val="0"/>
              <w:jc w:val="center"/>
              <w:rPr>
                <w:color w:val="auto"/>
              </w:rPr>
            </w:pPr>
            <w:r>
              <w:rPr>
                <w:rFonts w:hint="eastAsia"/>
                <w:color w:val="auto"/>
              </w:rPr>
              <w:t>1080人</w:t>
            </w:r>
          </w:p>
          <w:p>
            <w:pPr>
              <w:adjustRightInd w:val="0"/>
              <w:snapToGrid w:val="0"/>
              <w:jc w:val="center"/>
              <w:rPr>
                <w:color w:val="auto"/>
              </w:rPr>
            </w:pPr>
            <w:r>
              <w:rPr>
                <w:rFonts w:hint="eastAsia"/>
                <w:color w:val="auto"/>
              </w:rPr>
              <w:t>310户</w:t>
            </w:r>
          </w:p>
        </w:tc>
        <w:tc>
          <w:tcPr>
            <w:tcW w:w="737" w:type="dxa"/>
            <w:vAlign w:val="center"/>
          </w:tcPr>
          <w:p>
            <w:pPr>
              <w:jc w:val="center"/>
              <w:rPr>
                <w:color w:val="auto"/>
              </w:rPr>
            </w:pPr>
            <w:r>
              <w:rPr>
                <w:rFonts w:hint="eastAsia"/>
                <w:color w:val="auto"/>
              </w:rPr>
              <w:t>2类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SW</w:t>
            </w:r>
          </w:p>
        </w:tc>
        <w:tc>
          <w:tcPr>
            <w:tcW w:w="726" w:type="dxa"/>
            <w:vAlign w:val="center"/>
          </w:tcPr>
          <w:p>
            <w:pPr>
              <w:pStyle w:val="342"/>
              <w:jc w:val="center"/>
              <w:rPr>
                <w:color w:val="auto"/>
                <w:sz w:val="21"/>
                <w:szCs w:val="21"/>
              </w:rPr>
            </w:pPr>
            <w:r>
              <w:rPr>
                <w:rFonts w:hint="eastAsia"/>
                <w:color w:val="auto"/>
                <w:sz w:val="21"/>
                <w:szCs w:val="21"/>
              </w:rPr>
              <w:t>2548</w:t>
            </w:r>
          </w:p>
        </w:tc>
        <w:tc>
          <w:tcPr>
            <w:tcW w:w="1462" w:type="dxa"/>
            <w:vMerge w:val="continue"/>
            <w:vAlign w:val="center"/>
          </w:tcPr>
          <w:p>
            <w:pPr>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Align w:val="center"/>
          </w:tcPr>
          <w:p>
            <w:pPr>
              <w:pStyle w:val="342"/>
              <w:jc w:val="center"/>
              <w:rPr>
                <w:color w:val="auto"/>
                <w:sz w:val="21"/>
                <w:szCs w:val="21"/>
              </w:rPr>
            </w:pPr>
            <w:r>
              <w:rPr>
                <w:color w:val="auto"/>
                <w:sz w:val="21"/>
                <w:szCs w:val="21"/>
              </w:rPr>
              <w:t>声环境</w:t>
            </w:r>
          </w:p>
        </w:tc>
        <w:tc>
          <w:tcPr>
            <w:tcW w:w="980" w:type="dxa"/>
            <w:vAlign w:val="center"/>
          </w:tcPr>
          <w:p>
            <w:pPr>
              <w:pStyle w:val="342"/>
              <w:jc w:val="center"/>
              <w:rPr>
                <w:color w:val="auto"/>
                <w:sz w:val="21"/>
                <w:szCs w:val="21"/>
              </w:rPr>
            </w:pPr>
            <w:r>
              <w:rPr>
                <w:color w:val="auto"/>
                <w:sz w:val="21"/>
                <w:szCs w:val="21"/>
              </w:rPr>
              <w:t>厂界四周</w:t>
            </w:r>
          </w:p>
        </w:tc>
        <w:tc>
          <w:tcPr>
            <w:tcW w:w="2348" w:type="dxa"/>
            <w:gridSpan w:val="2"/>
            <w:vAlign w:val="center"/>
          </w:tcPr>
          <w:p>
            <w:pPr>
              <w:pStyle w:val="342"/>
              <w:jc w:val="center"/>
              <w:rPr>
                <w:color w:val="auto"/>
                <w:sz w:val="21"/>
                <w:szCs w:val="21"/>
              </w:rPr>
            </w:pPr>
            <w:r>
              <w:rPr>
                <w:rFonts w:hint="eastAsia"/>
                <w:color w:val="auto"/>
                <w:sz w:val="21"/>
                <w:szCs w:val="21"/>
              </w:rPr>
              <w:t>/</w:t>
            </w:r>
          </w:p>
        </w:tc>
        <w:tc>
          <w:tcPr>
            <w:tcW w:w="1781" w:type="dxa"/>
            <w:gridSpan w:val="2"/>
            <w:vAlign w:val="center"/>
          </w:tcPr>
          <w:p>
            <w:pPr>
              <w:pStyle w:val="342"/>
              <w:jc w:val="center"/>
              <w:rPr>
                <w:color w:val="auto"/>
                <w:sz w:val="21"/>
                <w:szCs w:val="21"/>
              </w:rPr>
            </w:pPr>
            <w:r>
              <w:rPr>
                <w:color w:val="auto"/>
                <w:sz w:val="21"/>
                <w:szCs w:val="21"/>
              </w:rPr>
              <w:t>/</w:t>
            </w:r>
          </w:p>
        </w:tc>
        <w:tc>
          <w:tcPr>
            <w:tcW w:w="737" w:type="dxa"/>
            <w:vAlign w:val="center"/>
          </w:tcPr>
          <w:p>
            <w:pPr>
              <w:pStyle w:val="342"/>
              <w:jc w:val="center"/>
              <w:rPr>
                <w:color w:val="auto"/>
                <w:sz w:val="21"/>
                <w:szCs w:val="21"/>
              </w:rPr>
            </w:pPr>
            <w:r>
              <w:rPr>
                <w:rFonts w:hint="eastAsia"/>
                <w:color w:val="auto"/>
                <w:sz w:val="21"/>
                <w:szCs w:val="21"/>
              </w:rPr>
              <w:t>3类</w:t>
            </w:r>
          </w:p>
        </w:tc>
        <w:tc>
          <w:tcPr>
            <w:tcW w:w="600" w:type="dxa"/>
            <w:vAlign w:val="center"/>
          </w:tcPr>
          <w:p>
            <w:pPr>
              <w:pStyle w:val="342"/>
              <w:jc w:val="center"/>
              <w:rPr>
                <w:b/>
                <w:bCs/>
                <w:color w:val="auto"/>
                <w:sz w:val="21"/>
                <w:szCs w:val="21"/>
                <w:u w:val="single"/>
              </w:rPr>
            </w:pPr>
            <w:r>
              <w:rPr>
                <w:b/>
                <w:bCs/>
                <w:color w:val="auto"/>
                <w:sz w:val="21"/>
                <w:szCs w:val="21"/>
                <w:u w:val="single"/>
              </w:rPr>
              <w:t>/</w:t>
            </w:r>
          </w:p>
        </w:tc>
        <w:tc>
          <w:tcPr>
            <w:tcW w:w="726" w:type="dxa"/>
            <w:vAlign w:val="center"/>
          </w:tcPr>
          <w:p>
            <w:pPr>
              <w:pStyle w:val="342"/>
              <w:jc w:val="center"/>
              <w:rPr>
                <w:color w:val="auto"/>
                <w:sz w:val="21"/>
                <w:szCs w:val="21"/>
              </w:rPr>
            </w:pPr>
            <w:r>
              <w:rPr>
                <w:rFonts w:hint="eastAsia"/>
                <w:color w:val="auto"/>
                <w:sz w:val="21"/>
                <w:szCs w:val="21"/>
              </w:rPr>
              <w:t>200</w:t>
            </w:r>
          </w:p>
        </w:tc>
        <w:tc>
          <w:tcPr>
            <w:tcW w:w="1462" w:type="dxa"/>
            <w:vAlign w:val="center"/>
          </w:tcPr>
          <w:p>
            <w:pPr>
              <w:adjustRightInd w:val="0"/>
              <w:snapToGrid w:val="0"/>
              <w:jc w:val="center"/>
              <w:rPr>
                <w:color w:val="auto"/>
              </w:rPr>
            </w:pPr>
            <w:r>
              <w:rPr>
                <w:color w:val="auto"/>
              </w:rPr>
              <w:t>《声环境质量标准》（GB3096-2008）3类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Align w:val="center"/>
          </w:tcPr>
          <w:p>
            <w:pPr>
              <w:pStyle w:val="342"/>
              <w:jc w:val="center"/>
              <w:rPr>
                <w:color w:val="auto"/>
                <w:sz w:val="21"/>
                <w:szCs w:val="21"/>
              </w:rPr>
            </w:pPr>
            <w:r>
              <w:rPr>
                <w:color w:val="auto"/>
                <w:sz w:val="21"/>
                <w:szCs w:val="21"/>
              </w:rPr>
              <w:t>地表水</w:t>
            </w:r>
          </w:p>
        </w:tc>
        <w:tc>
          <w:tcPr>
            <w:tcW w:w="980" w:type="dxa"/>
            <w:vAlign w:val="center"/>
          </w:tcPr>
          <w:p>
            <w:pPr>
              <w:pStyle w:val="342"/>
              <w:jc w:val="center"/>
              <w:rPr>
                <w:color w:val="auto"/>
                <w:sz w:val="21"/>
                <w:szCs w:val="21"/>
              </w:rPr>
            </w:pPr>
            <w:r>
              <w:rPr>
                <w:color w:val="auto"/>
                <w:sz w:val="21"/>
                <w:szCs w:val="21"/>
              </w:rPr>
              <w:t>共产主义渠</w:t>
            </w:r>
          </w:p>
        </w:tc>
        <w:tc>
          <w:tcPr>
            <w:tcW w:w="2348" w:type="dxa"/>
            <w:gridSpan w:val="2"/>
            <w:vAlign w:val="center"/>
          </w:tcPr>
          <w:p>
            <w:pPr>
              <w:pStyle w:val="342"/>
              <w:jc w:val="center"/>
              <w:rPr>
                <w:color w:val="auto"/>
                <w:sz w:val="21"/>
                <w:szCs w:val="21"/>
              </w:rPr>
            </w:pPr>
            <w:r>
              <w:rPr>
                <w:rFonts w:hint="eastAsia"/>
                <w:color w:val="auto"/>
                <w:sz w:val="21"/>
                <w:szCs w:val="21"/>
              </w:rPr>
              <w:t>/</w:t>
            </w:r>
          </w:p>
        </w:tc>
        <w:tc>
          <w:tcPr>
            <w:tcW w:w="1781" w:type="dxa"/>
            <w:gridSpan w:val="2"/>
            <w:vAlign w:val="center"/>
          </w:tcPr>
          <w:p>
            <w:pPr>
              <w:pStyle w:val="342"/>
              <w:jc w:val="center"/>
              <w:rPr>
                <w:color w:val="auto"/>
                <w:sz w:val="21"/>
                <w:szCs w:val="21"/>
              </w:rPr>
            </w:pPr>
            <w:r>
              <w:rPr>
                <w:color w:val="auto"/>
                <w:sz w:val="21"/>
                <w:szCs w:val="21"/>
              </w:rPr>
              <w:t>地表水水质</w:t>
            </w:r>
          </w:p>
        </w:tc>
        <w:tc>
          <w:tcPr>
            <w:tcW w:w="737" w:type="dxa"/>
            <w:vAlign w:val="center"/>
          </w:tcPr>
          <w:p>
            <w:pPr>
              <w:pStyle w:val="342"/>
              <w:jc w:val="center"/>
              <w:rPr>
                <w:color w:val="auto"/>
                <w:sz w:val="21"/>
                <w:szCs w:val="21"/>
              </w:rPr>
            </w:pPr>
            <w:r>
              <w:rPr>
                <w:color w:val="auto"/>
                <w:kern w:val="21"/>
                <w:sz w:val="21"/>
                <w:szCs w:val="21"/>
              </w:rPr>
              <w:t>IV</w:t>
            </w:r>
            <w:r>
              <w:rPr>
                <w:color w:val="auto"/>
                <w:sz w:val="21"/>
                <w:szCs w:val="21"/>
              </w:rPr>
              <w:t>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E</w:t>
            </w:r>
          </w:p>
        </w:tc>
        <w:tc>
          <w:tcPr>
            <w:tcW w:w="726" w:type="dxa"/>
            <w:vAlign w:val="center"/>
          </w:tcPr>
          <w:p>
            <w:pPr>
              <w:pStyle w:val="342"/>
              <w:jc w:val="center"/>
              <w:rPr>
                <w:color w:val="auto"/>
                <w:sz w:val="21"/>
                <w:szCs w:val="21"/>
              </w:rPr>
            </w:pPr>
            <w:r>
              <w:rPr>
                <w:rFonts w:hint="eastAsia"/>
                <w:color w:val="auto"/>
                <w:sz w:val="21"/>
                <w:szCs w:val="21"/>
              </w:rPr>
              <w:t>1323</w:t>
            </w:r>
          </w:p>
        </w:tc>
        <w:tc>
          <w:tcPr>
            <w:tcW w:w="1462" w:type="dxa"/>
            <w:vAlign w:val="center"/>
          </w:tcPr>
          <w:p>
            <w:pPr>
              <w:autoSpaceDE w:val="0"/>
              <w:autoSpaceDN w:val="0"/>
              <w:adjustRightInd w:val="0"/>
              <w:snapToGrid w:val="0"/>
              <w:jc w:val="center"/>
              <w:rPr>
                <w:color w:val="auto"/>
              </w:rPr>
            </w:pPr>
            <w:r>
              <w:rPr>
                <w:color w:val="auto"/>
                <w:kern w:val="21"/>
              </w:rPr>
              <w:t>《地表水环境质量标准》（GB3838-2002）IV类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1482" w:hRule="atLeast"/>
          <w:tblHeader/>
          <w:jc w:val="center"/>
        </w:trPr>
        <w:tc>
          <w:tcPr>
            <w:tcW w:w="608" w:type="dxa"/>
            <w:vAlign w:val="center"/>
          </w:tcPr>
          <w:p>
            <w:pPr>
              <w:pStyle w:val="342"/>
              <w:jc w:val="center"/>
              <w:rPr>
                <w:color w:val="auto"/>
                <w:sz w:val="21"/>
                <w:szCs w:val="21"/>
              </w:rPr>
            </w:pPr>
            <w:r>
              <w:rPr>
                <w:color w:val="auto"/>
                <w:sz w:val="21"/>
                <w:szCs w:val="21"/>
              </w:rPr>
              <w:t>地下水</w:t>
            </w:r>
          </w:p>
        </w:tc>
        <w:tc>
          <w:tcPr>
            <w:tcW w:w="980" w:type="dxa"/>
            <w:vAlign w:val="center"/>
          </w:tcPr>
          <w:p>
            <w:pPr>
              <w:pStyle w:val="342"/>
              <w:jc w:val="center"/>
              <w:rPr>
                <w:color w:val="auto"/>
                <w:sz w:val="21"/>
                <w:szCs w:val="21"/>
              </w:rPr>
            </w:pPr>
            <w:r>
              <w:rPr>
                <w:color w:val="auto"/>
                <w:sz w:val="21"/>
                <w:szCs w:val="21"/>
              </w:rPr>
              <w:t>区域地下水</w:t>
            </w:r>
          </w:p>
        </w:tc>
        <w:tc>
          <w:tcPr>
            <w:tcW w:w="2348" w:type="dxa"/>
            <w:gridSpan w:val="2"/>
            <w:vAlign w:val="center"/>
          </w:tcPr>
          <w:p>
            <w:pPr>
              <w:pStyle w:val="342"/>
              <w:jc w:val="center"/>
              <w:rPr>
                <w:color w:val="auto"/>
                <w:sz w:val="21"/>
                <w:szCs w:val="21"/>
              </w:rPr>
            </w:pPr>
            <w:r>
              <w:rPr>
                <w:rFonts w:hint="eastAsia"/>
                <w:color w:val="auto"/>
                <w:sz w:val="21"/>
                <w:szCs w:val="21"/>
              </w:rPr>
              <w:t>/</w:t>
            </w:r>
          </w:p>
        </w:tc>
        <w:tc>
          <w:tcPr>
            <w:tcW w:w="1781" w:type="dxa"/>
            <w:gridSpan w:val="2"/>
            <w:vAlign w:val="center"/>
          </w:tcPr>
          <w:p>
            <w:pPr>
              <w:pStyle w:val="342"/>
              <w:jc w:val="center"/>
              <w:rPr>
                <w:color w:val="auto"/>
                <w:sz w:val="21"/>
                <w:szCs w:val="21"/>
              </w:rPr>
            </w:pPr>
            <w:r>
              <w:rPr>
                <w:color w:val="auto"/>
                <w:sz w:val="21"/>
                <w:szCs w:val="21"/>
              </w:rPr>
              <w:t>地下水水质</w:t>
            </w:r>
          </w:p>
        </w:tc>
        <w:tc>
          <w:tcPr>
            <w:tcW w:w="737" w:type="dxa"/>
            <w:vAlign w:val="center"/>
          </w:tcPr>
          <w:p>
            <w:pPr>
              <w:pStyle w:val="342"/>
              <w:jc w:val="center"/>
              <w:rPr>
                <w:color w:val="auto"/>
                <w:sz w:val="21"/>
                <w:szCs w:val="21"/>
              </w:rPr>
            </w:pPr>
            <w:r>
              <w:rPr>
                <w:color w:val="auto"/>
                <w:kern w:val="21"/>
                <w:sz w:val="21"/>
                <w:szCs w:val="21"/>
              </w:rPr>
              <w:t>III类</w:t>
            </w:r>
          </w:p>
        </w:tc>
        <w:tc>
          <w:tcPr>
            <w:tcW w:w="600" w:type="dxa"/>
            <w:vAlign w:val="center"/>
          </w:tcPr>
          <w:p>
            <w:pPr>
              <w:pStyle w:val="342"/>
              <w:jc w:val="center"/>
              <w:rPr>
                <w:b/>
                <w:bCs/>
                <w:color w:val="auto"/>
                <w:sz w:val="21"/>
                <w:szCs w:val="21"/>
                <w:u w:val="single"/>
              </w:rPr>
            </w:pPr>
            <w:r>
              <w:rPr>
                <w:rFonts w:hint="eastAsia"/>
                <w:b/>
                <w:bCs/>
                <w:color w:val="auto"/>
                <w:sz w:val="21"/>
                <w:szCs w:val="21"/>
                <w:u w:val="single"/>
              </w:rPr>
              <w:t>/</w:t>
            </w:r>
          </w:p>
        </w:tc>
        <w:tc>
          <w:tcPr>
            <w:tcW w:w="726" w:type="dxa"/>
            <w:vAlign w:val="center"/>
          </w:tcPr>
          <w:p>
            <w:pPr>
              <w:pStyle w:val="342"/>
              <w:jc w:val="center"/>
              <w:rPr>
                <w:color w:val="auto"/>
                <w:sz w:val="21"/>
                <w:szCs w:val="21"/>
              </w:rPr>
            </w:pPr>
            <w:r>
              <w:rPr>
                <w:rFonts w:hint="eastAsia"/>
                <w:color w:val="auto"/>
                <w:sz w:val="21"/>
                <w:szCs w:val="21"/>
              </w:rPr>
              <w:t>/</w:t>
            </w:r>
          </w:p>
        </w:tc>
        <w:tc>
          <w:tcPr>
            <w:tcW w:w="1462" w:type="dxa"/>
            <w:vAlign w:val="center"/>
          </w:tcPr>
          <w:p>
            <w:pPr>
              <w:autoSpaceDE w:val="0"/>
              <w:autoSpaceDN w:val="0"/>
              <w:adjustRightInd w:val="0"/>
              <w:snapToGrid w:val="0"/>
              <w:jc w:val="center"/>
              <w:rPr>
                <w:color w:val="auto"/>
              </w:rPr>
            </w:pPr>
            <w:r>
              <w:rPr>
                <w:color w:val="auto"/>
                <w:kern w:val="21"/>
              </w:rPr>
              <w:t>《地下水质量标准》（GB/T14848-2017）表1、表2中III类标准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restart"/>
            <w:vAlign w:val="center"/>
          </w:tcPr>
          <w:p>
            <w:pPr>
              <w:pStyle w:val="342"/>
              <w:jc w:val="center"/>
              <w:rPr>
                <w:color w:val="auto"/>
                <w:sz w:val="21"/>
                <w:szCs w:val="21"/>
              </w:rPr>
            </w:pPr>
            <w:r>
              <w:rPr>
                <w:color w:val="auto"/>
                <w:sz w:val="21"/>
                <w:szCs w:val="21"/>
              </w:rPr>
              <w:t>土壤</w:t>
            </w:r>
          </w:p>
        </w:tc>
        <w:tc>
          <w:tcPr>
            <w:tcW w:w="980" w:type="dxa"/>
            <w:vAlign w:val="center"/>
          </w:tcPr>
          <w:p>
            <w:pPr>
              <w:pStyle w:val="342"/>
              <w:jc w:val="center"/>
              <w:rPr>
                <w:color w:val="auto"/>
                <w:sz w:val="21"/>
                <w:szCs w:val="21"/>
              </w:rPr>
            </w:pPr>
            <w:r>
              <w:rPr>
                <w:color w:val="auto"/>
                <w:sz w:val="21"/>
                <w:szCs w:val="21"/>
              </w:rPr>
              <w:t>占地范围内土壤</w:t>
            </w:r>
          </w:p>
        </w:tc>
        <w:tc>
          <w:tcPr>
            <w:tcW w:w="2348" w:type="dxa"/>
            <w:gridSpan w:val="2"/>
            <w:vAlign w:val="center"/>
          </w:tcPr>
          <w:p>
            <w:pPr>
              <w:pStyle w:val="342"/>
              <w:jc w:val="center"/>
              <w:rPr>
                <w:color w:val="auto"/>
                <w:sz w:val="21"/>
                <w:szCs w:val="21"/>
              </w:rPr>
            </w:pPr>
            <w:r>
              <w:rPr>
                <w:rFonts w:hint="eastAsia"/>
                <w:color w:val="auto"/>
                <w:sz w:val="21"/>
                <w:szCs w:val="21"/>
              </w:rPr>
              <w:t>/</w:t>
            </w:r>
          </w:p>
        </w:tc>
        <w:tc>
          <w:tcPr>
            <w:tcW w:w="1781" w:type="dxa"/>
            <w:gridSpan w:val="2"/>
            <w:vAlign w:val="center"/>
          </w:tcPr>
          <w:p>
            <w:pPr>
              <w:pStyle w:val="342"/>
              <w:jc w:val="center"/>
              <w:rPr>
                <w:color w:val="auto"/>
                <w:sz w:val="21"/>
                <w:szCs w:val="21"/>
              </w:rPr>
            </w:pPr>
            <w:r>
              <w:rPr>
                <w:rFonts w:hint="eastAsia"/>
                <w:color w:val="auto"/>
                <w:kern w:val="21"/>
                <w:sz w:val="21"/>
                <w:szCs w:val="21"/>
              </w:rPr>
              <w:t>厂址占地范围内土壤环境</w:t>
            </w:r>
          </w:p>
        </w:tc>
        <w:tc>
          <w:tcPr>
            <w:tcW w:w="737" w:type="dxa"/>
            <w:vMerge w:val="restart"/>
            <w:vAlign w:val="center"/>
          </w:tcPr>
          <w:p>
            <w:pPr>
              <w:pStyle w:val="342"/>
              <w:jc w:val="center"/>
              <w:rPr>
                <w:color w:val="auto"/>
                <w:sz w:val="21"/>
                <w:szCs w:val="21"/>
              </w:rPr>
            </w:pPr>
            <w:r>
              <w:rPr>
                <w:color w:val="auto"/>
                <w:kern w:val="21"/>
                <w:sz w:val="21"/>
                <w:szCs w:val="21"/>
              </w:rPr>
              <w:t>表1</w:t>
            </w:r>
            <w:r>
              <w:rPr>
                <w:rFonts w:hint="eastAsia"/>
                <w:color w:val="auto"/>
                <w:kern w:val="21"/>
                <w:sz w:val="21"/>
                <w:szCs w:val="21"/>
              </w:rPr>
              <w:t>中</w:t>
            </w:r>
            <w:r>
              <w:rPr>
                <w:color w:val="auto"/>
                <w:kern w:val="21"/>
                <w:sz w:val="21"/>
                <w:szCs w:val="21"/>
              </w:rPr>
              <w:t>第二类用地筛选值</w:t>
            </w:r>
          </w:p>
        </w:tc>
        <w:tc>
          <w:tcPr>
            <w:tcW w:w="600" w:type="dxa"/>
            <w:vMerge w:val="restart"/>
            <w:vAlign w:val="center"/>
          </w:tcPr>
          <w:p>
            <w:pPr>
              <w:pStyle w:val="342"/>
              <w:jc w:val="center"/>
              <w:rPr>
                <w:b/>
                <w:bCs/>
                <w:color w:val="auto"/>
                <w:sz w:val="21"/>
                <w:szCs w:val="21"/>
                <w:u w:val="single"/>
              </w:rPr>
            </w:pPr>
            <w:r>
              <w:rPr>
                <w:rFonts w:hint="eastAsia"/>
                <w:b/>
                <w:bCs/>
                <w:color w:val="auto"/>
                <w:sz w:val="21"/>
                <w:szCs w:val="21"/>
                <w:u w:val="single"/>
              </w:rPr>
              <w:t>/</w:t>
            </w:r>
          </w:p>
        </w:tc>
        <w:tc>
          <w:tcPr>
            <w:tcW w:w="726" w:type="dxa"/>
            <w:vMerge w:val="restart"/>
            <w:vAlign w:val="center"/>
          </w:tcPr>
          <w:p>
            <w:pPr>
              <w:pStyle w:val="342"/>
              <w:jc w:val="center"/>
              <w:rPr>
                <w:color w:val="auto"/>
                <w:sz w:val="21"/>
                <w:szCs w:val="21"/>
              </w:rPr>
            </w:pPr>
            <w:r>
              <w:rPr>
                <w:rFonts w:hint="eastAsia"/>
                <w:color w:val="auto"/>
                <w:sz w:val="21"/>
                <w:szCs w:val="21"/>
              </w:rPr>
              <w:t>/</w:t>
            </w:r>
          </w:p>
        </w:tc>
        <w:tc>
          <w:tcPr>
            <w:tcW w:w="1462" w:type="dxa"/>
            <w:vMerge w:val="restart"/>
            <w:vAlign w:val="center"/>
          </w:tcPr>
          <w:p>
            <w:pPr>
              <w:autoSpaceDE w:val="0"/>
              <w:autoSpaceDN w:val="0"/>
              <w:adjustRightInd w:val="0"/>
              <w:snapToGrid w:val="0"/>
              <w:jc w:val="center"/>
              <w:rPr>
                <w:color w:val="auto"/>
              </w:rPr>
            </w:pPr>
            <w:r>
              <w:rPr>
                <w:color w:val="auto"/>
                <w:kern w:val="21"/>
              </w:rPr>
              <w:t>《土壤环境质量 建设用地土壤污染风险管控标准（试行）》（GB36600-2018）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608" w:type="dxa"/>
            <w:vMerge w:val="continue"/>
            <w:vAlign w:val="center"/>
          </w:tcPr>
          <w:p>
            <w:pPr>
              <w:pStyle w:val="342"/>
              <w:jc w:val="center"/>
              <w:rPr>
                <w:color w:val="auto"/>
                <w:sz w:val="21"/>
                <w:szCs w:val="21"/>
              </w:rPr>
            </w:pPr>
          </w:p>
        </w:tc>
        <w:tc>
          <w:tcPr>
            <w:tcW w:w="980" w:type="dxa"/>
            <w:vAlign w:val="center"/>
          </w:tcPr>
          <w:p>
            <w:pPr>
              <w:pStyle w:val="342"/>
              <w:jc w:val="center"/>
              <w:rPr>
                <w:color w:val="auto"/>
                <w:sz w:val="21"/>
                <w:szCs w:val="21"/>
              </w:rPr>
            </w:pPr>
            <w:r>
              <w:rPr>
                <w:color w:val="auto"/>
                <w:sz w:val="21"/>
                <w:szCs w:val="21"/>
              </w:rPr>
              <w:t>占地范围外土壤</w:t>
            </w:r>
          </w:p>
        </w:tc>
        <w:tc>
          <w:tcPr>
            <w:tcW w:w="2348" w:type="dxa"/>
            <w:gridSpan w:val="2"/>
            <w:vAlign w:val="center"/>
          </w:tcPr>
          <w:p>
            <w:pPr>
              <w:pStyle w:val="342"/>
              <w:jc w:val="center"/>
              <w:rPr>
                <w:color w:val="auto"/>
                <w:sz w:val="21"/>
                <w:szCs w:val="21"/>
              </w:rPr>
            </w:pPr>
            <w:r>
              <w:rPr>
                <w:rFonts w:hint="eastAsia"/>
                <w:color w:val="auto"/>
                <w:sz w:val="21"/>
                <w:szCs w:val="21"/>
              </w:rPr>
              <w:t>/</w:t>
            </w:r>
          </w:p>
        </w:tc>
        <w:tc>
          <w:tcPr>
            <w:tcW w:w="1781" w:type="dxa"/>
            <w:gridSpan w:val="2"/>
            <w:vAlign w:val="center"/>
          </w:tcPr>
          <w:p>
            <w:pPr>
              <w:pStyle w:val="342"/>
              <w:jc w:val="center"/>
              <w:rPr>
                <w:color w:val="auto"/>
                <w:kern w:val="21"/>
                <w:sz w:val="21"/>
                <w:szCs w:val="21"/>
              </w:rPr>
            </w:pPr>
            <w:r>
              <w:rPr>
                <w:rFonts w:hint="eastAsia"/>
                <w:color w:val="auto"/>
                <w:kern w:val="21"/>
                <w:sz w:val="21"/>
                <w:szCs w:val="21"/>
              </w:rPr>
              <w:t>厂址外200m范围内土壤环境</w:t>
            </w:r>
          </w:p>
        </w:tc>
        <w:tc>
          <w:tcPr>
            <w:tcW w:w="737" w:type="dxa"/>
            <w:vMerge w:val="continue"/>
            <w:vAlign w:val="center"/>
          </w:tcPr>
          <w:p>
            <w:pPr>
              <w:pStyle w:val="342"/>
              <w:jc w:val="center"/>
              <w:rPr>
                <w:color w:val="auto"/>
                <w:sz w:val="21"/>
                <w:szCs w:val="21"/>
              </w:rPr>
            </w:pPr>
          </w:p>
        </w:tc>
        <w:tc>
          <w:tcPr>
            <w:tcW w:w="600" w:type="dxa"/>
            <w:vMerge w:val="continue"/>
            <w:vAlign w:val="center"/>
          </w:tcPr>
          <w:p>
            <w:pPr>
              <w:pStyle w:val="342"/>
              <w:jc w:val="center"/>
              <w:rPr>
                <w:color w:val="auto"/>
                <w:sz w:val="21"/>
                <w:szCs w:val="21"/>
              </w:rPr>
            </w:pPr>
          </w:p>
        </w:tc>
        <w:tc>
          <w:tcPr>
            <w:tcW w:w="726" w:type="dxa"/>
            <w:vMerge w:val="continue"/>
            <w:vAlign w:val="center"/>
          </w:tcPr>
          <w:p>
            <w:pPr>
              <w:pStyle w:val="342"/>
              <w:jc w:val="center"/>
              <w:rPr>
                <w:color w:val="auto"/>
                <w:sz w:val="21"/>
                <w:szCs w:val="21"/>
              </w:rPr>
            </w:pPr>
          </w:p>
        </w:tc>
        <w:tc>
          <w:tcPr>
            <w:tcW w:w="1462" w:type="dxa"/>
            <w:vMerge w:val="continue"/>
            <w:vAlign w:val="center"/>
          </w:tcPr>
          <w:p>
            <w:pPr>
              <w:autoSpaceDE w:val="0"/>
              <w:autoSpaceDN w:val="0"/>
              <w:adjustRightInd w:val="0"/>
              <w:snapToGrid w:val="0"/>
              <w:jc w:val="center"/>
              <w:rPr>
                <w:color w:val="auto"/>
              </w:rPr>
            </w:pPr>
          </w:p>
        </w:tc>
      </w:tr>
    </w:tbl>
    <w:p>
      <w:pPr>
        <w:adjustRightInd w:val="0"/>
        <w:snapToGrid w:val="0"/>
        <w:jc w:val="center"/>
        <w:rPr>
          <w:rFonts w:eastAsia="黑体"/>
          <w:bCs/>
          <w:color w:val="auto"/>
          <w:kern w:val="21"/>
          <w:sz w:val="24"/>
        </w:rPr>
      </w:pPr>
    </w:p>
    <w:p>
      <w:pPr>
        <w:adjustRightInd w:val="0"/>
        <w:snapToGrid w:val="0"/>
        <w:rPr>
          <w:rFonts w:eastAsia="黑体"/>
          <w:color w:val="auto"/>
          <w:kern w:val="21"/>
          <w:sz w:val="24"/>
          <w:szCs w:val="24"/>
        </w:rPr>
        <w:sectPr>
          <w:pgSz w:w="11906" w:h="16838"/>
          <w:pgMar w:top="1800" w:right="1440" w:bottom="1800" w:left="1440" w:header="992" w:footer="992" w:gutter="0"/>
          <w:cols w:space="720" w:num="1"/>
          <w:docGrid w:linePitch="312" w:charSpace="0"/>
        </w:sectPr>
      </w:pPr>
    </w:p>
    <w:bookmarkEnd w:id="96"/>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02" w:name="_Toc112338934"/>
      <w:bookmarkStart w:id="103" w:name="_Toc2517"/>
      <w:r>
        <w:rPr>
          <w:bCs w:val="0"/>
          <w:color w:val="auto"/>
          <w:kern w:val="0"/>
          <w:szCs w:val="20"/>
          <w:lang w:val="en-US"/>
        </w:rPr>
        <w:t>2.</w:t>
      </w:r>
      <w:r>
        <w:rPr>
          <w:rFonts w:hint="eastAsia"/>
          <w:bCs w:val="0"/>
          <w:color w:val="auto"/>
          <w:kern w:val="0"/>
          <w:szCs w:val="20"/>
          <w:lang w:val="en-US"/>
        </w:rPr>
        <w:t>7相关</w:t>
      </w:r>
      <w:r>
        <w:rPr>
          <w:bCs w:val="0"/>
          <w:color w:val="auto"/>
          <w:kern w:val="0"/>
          <w:szCs w:val="20"/>
          <w:lang w:val="en-US"/>
        </w:rPr>
        <w:t>政策相符性分析</w:t>
      </w:r>
      <w:bookmarkEnd w:id="102"/>
      <w:bookmarkEnd w:id="103"/>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2.</w:t>
      </w:r>
      <w:r>
        <w:rPr>
          <w:rFonts w:hint="eastAsia" w:eastAsia="黑体"/>
          <w:color w:val="auto"/>
          <w:kern w:val="21"/>
          <w:sz w:val="28"/>
          <w:szCs w:val="28"/>
        </w:rPr>
        <w:t>7</w:t>
      </w:r>
      <w:r>
        <w:rPr>
          <w:rFonts w:eastAsia="黑体"/>
          <w:color w:val="auto"/>
          <w:kern w:val="21"/>
          <w:sz w:val="28"/>
          <w:szCs w:val="28"/>
        </w:rPr>
        <w:t>.1《产业结构调整指导目录（201</w:t>
      </w:r>
      <w:r>
        <w:rPr>
          <w:rFonts w:hint="eastAsia" w:eastAsia="黑体"/>
          <w:color w:val="auto"/>
          <w:kern w:val="21"/>
          <w:sz w:val="28"/>
          <w:szCs w:val="28"/>
        </w:rPr>
        <w:t>9</w:t>
      </w:r>
      <w:r>
        <w:rPr>
          <w:rFonts w:eastAsia="黑体"/>
          <w:color w:val="auto"/>
          <w:kern w:val="21"/>
          <w:sz w:val="28"/>
          <w:szCs w:val="28"/>
        </w:rPr>
        <w:t>年本）》</w:t>
      </w:r>
    </w:p>
    <w:p>
      <w:pPr>
        <w:pStyle w:val="33"/>
        <w:adjustRightInd w:val="0"/>
        <w:snapToGrid w:val="0"/>
        <w:spacing w:after="0" w:line="360" w:lineRule="auto"/>
        <w:ind w:left="0" w:leftChars="0" w:firstLine="480" w:firstLineChars="200"/>
        <w:rPr>
          <w:color w:val="auto"/>
          <w:kern w:val="21"/>
          <w:sz w:val="24"/>
        </w:rPr>
      </w:pPr>
      <w:r>
        <w:rPr>
          <w:bCs/>
          <w:color w:val="auto"/>
          <w:sz w:val="24"/>
          <w:lang w:bidi="en-US"/>
        </w:rPr>
        <w:t>对照《国民经济行业分类》（GB/T4754-2017 及 2019年修正）及《</w:t>
      </w:r>
      <w:r>
        <w:rPr>
          <w:rFonts w:hint="eastAsia"/>
          <w:bCs/>
          <w:color w:val="auto"/>
          <w:sz w:val="24"/>
          <w:lang w:bidi="en-US"/>
        </w:rPr>
        <w:t>2017年国民经济行业分类注释</w:t>
      </w:r>
      <w:r>
        <w:rPr>
          <w:bCs/>
          <w:color w:val="auto"/>
          <w:sz w:val="24"/>
          <w:lang w:bidi="en-US"/>
        </w:rPr>
        <w:t>》</w:t>
      </w:r>
      <w:r>
        <w:rPr>
          <w:rFonts w:hint="eastAsia"/>
          <w:bCs/>
          <w:color w:val="auto"/>
          <w:sz w:val="24"/>
          <w:lang w:bidi="en-US"/>
        </w:rPr>
        <w:t>锂离子电池零部件及材料制造属于“</w:t>
      </w:r>
      <w:r>
        <w:rPr>
          <w:bCs/>
          <w:color w:val="auto"/>
          <w:sz w:val="24"/>
          <w:lang w:bidi="en-US"/>
        </w:rPr>
        <w:t>C</w:t>
      </w:r>
      <w:r>
        <w:rPr>
          <w:rFonts w:hint="eastAsia"/>
          <w:bCs/>
          <w:color w:val="auto"/>
          <w:sz w:val="24"/>
          <w:lang w:bidi="en-US"/>
        </w:rPr>
        <w:t>3849</w:t>
      </w:r>
      <w:r>
        <w:rPr>
          <w:bCs/>
          <w:color w:val="auto"/>
          <w:sz w:val="24"/>
          <w:lang w:bidi="en-US"/>
        </w:rPr>
        <w:t xml:space="preserve"> 其他电池制造</w:t>
      </w:r>
      <w:r>
        <w:rPr>
          <w:rFonts w:hint="eastAsia"/>
          <w:bCs/>
          <w:color w:val="auto"/>
          <w:sz w:val="24"/>
          <w:lang w:bidi="en-US"/>
        </w:rPr>
        <w:t>”。</w:t>
      </w:r>
      <w:r>
        <w:rPr>
          <w:bCs/>
          <w:color w:val="auto"/>
          <w:sz w:val="24"/>
          <w:lang w:bidi="en-US"/>
        </w:rPr>
        <w:t>本项目产品为锂电池钢壳、盖帽</w:t>
      </w:r>
      <w:r>
        <w:rPr>
          <w:rFonts w:hint="eastAsia"/>
          <w:bCs/>
          <w:color w:val="auto"/>
          <w:sz w:val="24"/>
          <w:lang w:eastAsia="zh-CN" w:bidi="en-US"/>
        </w:rPr>
        <w:t>及</w:t>
      </w:r>
      <w:r>
        <w:rPr>
          <w:bCs/>
          <w:color w:val="auto"/>
          <w:sz w:val="24"/>
          <w:lang w:bidi="en-US"/>
        </w:rPr>
        <w:t>电池箱，因此归类为</w:t>
      </w:r>
      <w:r>
        <w:rPr>
          <w:rFonts w:hint="eastAsia"/>
          <w:bCs/>
          <w:color w:val="auto"/>
          <w:sz w:val="24"/>
          <w:lang w:bidi="en-US"/>
        </w:rPr>
        <w:t>“</w:t>
      </w:r>
      <w:r>
        <w:rPr>
          <w:bCs/>
          <w:color w:val="auto"/>
          <w:sz w:val="24"/>
          <w:lang w:bidi="en-US"/>
        </w:rPr>
        <w:t>C</w:t>
      </w:r>
      <w:r>
        <w:rPr>
          <w:rFonts w:hint="eastAsia"/>
          <w:bCs/>
          <w:color w:val="auto"/>
          <w:sz w:val="24"/>
          <w:lang w:bidi="en-US"/>
        </w:rPr>
        <w:t>3849</w:t>
      </w:r>
      <w:r>
        <w:rPr>
          <w:bCs/>
          <w:color w:val="auto"/>
          <w:sz w:val="24"/>
          <w:lang w:bidi="en-US"/>
        </w:rPr>
        <w:t xml:space="preserve"> 其他电池制造</w:t>
      </w:r>
      <w:r>
        <w:rPr>
          <w:rFonts w:hint="eastAsia"/>
          <w:bCs/>
          <w:color w:val="auto"/>
          <w:sz w:val="24"/>
          <w:lang w:bidi="en-US"/>
        </w:rPr>
        <w:t>”</w:t>
      </w:r>
      <w:r>
        <w:rPr>
          <w:rFonts w:hint="eastAsia"/>
          <w:bCs/>
          <w:color w:val="auto"/>
          <w:sz w:val="24"/>
          <w:lang w:eastAsia="zh-CN" w:bidi="en-US"/>
        </w:rPr>
        <w:t>，</w:t>
      </w:r>
      <w:r>
        <w:rPr>
          <w:bCs/>
          <w:color w:val="auto"/>
          <w:sz w:val="24"/>
          <w:lang w:bidi="en-US"/>
        </w:rPr>
        <w:t>对照《产业结构调整指导目录（2019 年本）》，本项目不属于鼓励类、限制类、淘汰类，属于允许类；项目于</w:t>
      </w:r>
      <w:r>
        <w:rPr>
          <w:rFonts w:hint="eastAsia"/>
          <w:bCs/>
          <w:color w:val="auto"/>
          <w:sz w:val="24"/>
          <w:lang w:bidi="en-US"/>
        </w:rPr>
        <w:t>2021</w:t>
      </w:r>
      <w:r>
        <w:rPr>
          <w:bCs/>
          <w:color w:val="auto"/>
          <w:sz w:val="24"/>
          <w:lang w:bidi="en-US"/>
        </w:rPr>
        <w:t xml:space="preserve">年 </w:t>
      </w:r>
      <w:r>
        <w:rPr>
          <w:rFonts w:hint="eastAsia"/>
          <w:bCs/>
          <w:color w:val="auto"/>
          <w:sz w:val="24"/>
          <w:lang w:bidi="en-US"/>
        </w:rPr>
        <w:t>8</w:t>
      </w:r>
      <w:r>
        <w:rPr>
          <w:bCs/>
          <w:color w:val="auto"/>
          <w:sz w:val="24"/>
          <w:lang w:bidi="en-US"/>
        </w:rPr>
        <w:t xml:space="preserve"> 月 </w:t>
      </w:r>
      <w:r>
        <w:rPr>
          <w:rFonts w:hint="eastAsia"/>
          <w:bCs/>
          <w:color w:val="auto"/>
          <w:sz w:val="24"/>
          <w:lang w:bidi="en-US"/>
        </w:rPr>
        <w:t>31</w:t>
      </w:r>
      <w:r>
        <w:rPr>
          <w:bCs/>
          <w:color w:val="auto"/>
          <w:sz w:val="24"/>
          <w:lang w:bidi="en-US"/>
        </w:rPr>
        <w:t>日在</w:t>
      </w:r>
      <w:r>
        <w:rPr>
          <w:rFonts w:hint="eastAsia"/>
          <w:bCs/>
          <w:color w:val="auto"/>
          <w:sz w:val="24"/>
          <w:lang w:bidi="en-US"/>
        </w:rPr>
        <w:t>获嘉县</w:t>
      </w:r>
      <w:r>
        <w:rPr>
          <w:bCs/>
          <w:color w:val="auto"/>
          <w:sz w:val="24"/>
          <w:lang w:bidi="en-US"/>
        </w:rPr>
        <w:t>发展和改革委员会备案（项目代码：）</w:t>
      </w:r>
      <w:r>
        <w:rPr>
          <w:rFonts w:hint="eastAsia"/>
          <w:bCs/>
          <w:color w:val="auto"/>
          <w:sz w:val="24"/>
          <w:lang w:eastAsia="zh-CN" w:bidi="en-US"/>
        </w:rPr>
        <w:t>，因此</w:t>
      </w:r>
      <w:r>
        <w:rPr>
          <w:bCs/>
          <w:color w:val="auto"/>
          <w:sz w:val="24"/>
          <w:lang w:bidi="en-US"/>
        </w:rPr>
        <w:t>项目建设符合国家</w:t>
      </w:r>
      <w:r>
        <w:rPr>
          <w:rFonts w:hint="eastAsia"/>
          <w:bCs/>
          <w:color w:val="auto"/>
          <w:sz w:val="24"/>
          <w:lang w:eastAsia="zh-CN" w:bidi="en-US"/>
        </w:rPr>
        <w:t>相关</w:t>
      </w:r>
      <w:r>
        <w:rPr>
          <w:bCs/>
          <w:color w:val="auto"/>
          <w:sz w:val="24"/>
          <w:lang w:bidi="en-US"/>
        </w:rPr>
        <w:t>产业政策</w:t>
      </w:r>
      <w:r>
        <w:rPr>
          <w:color w:val="auto"/>
          <w:kern w:val="21"/>
          <w:sz w:val="24"/>
        </w:rPr>
        <w:t>。</w:t>
      </w:r>
    </w:p>
    <w:p>
      <w:pPr>
        <w:pStyle w:val="32"/>
        <w:adjustRightInd w:val="0"/>
        <w:snapToGrid w:val="0"/>
        <w:spacing w:after="0" w:line="360" w:lineRule="auto"/>
        <w:outlineLvl w:val="2"/>
        <w:rPr>
          <w:rFonts w:eastAsia="黑体"/>
          <w:color w:val="auto"/>
          <w:kern w:val="21"/>
          <w:sz w:val="28"/>
          <w:szCs w:val="28"/>
          <w:lang w:val="en-US"/>
        </w:rPr>
      </w:pPr>
      <w:r>
        <w:rPr>
          <w:rFonts w:hint="eastAsia" w:eastAsia="黑体"/>
          <w:color w:val="auto"/>
          <w:kern w:val="21"/>
          <w:sz w:val="28"/>
          <w:szCs w:val="28"/>
          <w:lang w:val="en-US"/>
        </w:rPr>
        <w:t>2.7.2</w:t>
      </w:r>
      <w:r>
        <w:rPr>
          <w:rFonts w:eastAsia="黑体"/>
          <w:color w:val="auto"/>
          <w:kern w:val="21"/>
          <w:sz w:val="28"/>
          <w:szCs w:val="28"/>
          <w:lang w:val="en-US"/>
        </w:rPr>
        <w:t>《关于加强涉重金属行业污染防控的意见》（环土壤[2018]22号）</w:t>
      </w:r>
    </w:p>
    <w:p>
      <w:pPr>
        <w:adjustRightInd w:val="0"/>
        <w:snapToGrid w:val="0"/>
        <w:spacing w:line="360" w:lineRule="auto"/>
        <w:ind w:firstLine="480" w:firstLineChars="200"/>
        <w:rPr>
          <w:rFonts w:ascii="宋体" w:hAnsi="宋体" w:cs="宋体"/>
          <w:color w:val="auto"/>
          <w:kern w:val="21"/>
          <w:sz w:val="24"/>
          <w:szCs w:val="24"/>
        </w:rPr>
      </w:pPr>
      <w:r>
        <w:rPr>
          <w:rFonts w:ascii="宋体" w:hAnsi="宋体" w:cs="宋体"/>
          <w:color w:val="auto"/>
          <w:kern w:val="21"/>
          <w:sz w:val="24"/>
          <w:szCs w:val="24"/>
        </w:rPr>
        <w:t>本项目为电镀行业，属于《关于加强涉重金属行业污染防控的意见》（环土壤</w:t>
      </w:r>
      <w:r>
        <w:rPr>
          <w:rFonts w:hint="eastAsia" w:ascii="宋体" w:hAnsi="宋体" w:cs="宋体"/>
          <w:color w:val="auto"/>
          <w:kern w:val="21"/>
          <w:sz w:val="24"/>
          <w:szCs w:val="24"/>
          <w:lang w:val="en-US" w:eastAsia="zh-CN"/>
        </w:rPr>
        <w:t>[</w:t>
      </w:r>
      <w:r>
        <w:rPr>
          <w:rFonts w:eastAsia="Times New Roman"/>
          <w:color w:val="auto"/>
          <w:kern w:val="21"/>
          <w:sz w:val="24"/>
          <w:szCs w:val="24"/>
        </w:rPr>
        <w:t>2018]22</w:t>
      </w:r>
      <w:r>
        <w:rPr>
          <w:rFonts w:ascii="宋体" w:hAnsi="宋体" w:cs="宋体"/>
          <w:color w:val="auto"/>
          <w:kern w:val="21"/>
          <w:sz w:val="24"/>
          <w:szCs w:val="24"/>
        </w:rPr>
        <w:t>号</w:t>
      </w:r>
      <w:r>
        <w:rPr>
          <w:rFonts w:hint="eastAsia" w:ascii="宋体" w:hAnsi="宋体" w:cs="宋体"/>
          <w:color w:val="auto"/>
          <w:kern w:val="21"/>
          <w:sz w:val="24"/>
          <w:szCs w:val="24"/>
        </w:rPr>
        <w:t>）</w:t>
      </w:r>
      <w:r>
        <w:rPr>
          <w:rFonts w:ascii="宋体" w:hAnsi="宋体" w:cs="宋体"/>
          <w:color w:val="auto"/>
          <w:kern w:val="21"/>
          <w:sz w:val="24"/>
          <w:szCs w:val="24"/>
        </w:rPr>
        <w:t>中的重点行业，项目与上述文件相符性分析见下表</w:t>
      </w:r>
      <w:r>
        <w:rPr>
          <w:rFonts w:hint="default" w:ascii="Times New Roman" w:hAnsi="Times New Roman" w:cs="Times New Roman"/>
          <w:color w:val="auto"/>
          <w:kern w:val="21"/>
          <w:sz w:val="24"/>
          <w:szCs w:val="24"/>
          <w:lang w:val="en-US" w:eastAsia="zh-CN"/>
        </w:rPr>
        <w:t>2.7-1</w:t>
      </w:r>
      <w:r>
        <w:rPr>
          <w:rFonts w:hint="default" w:ascii="Times New Roman" w:hAnsi="Times New Roman" w:cs="Times New Roman"/>
          <w:color w:val="auto"/>
          <w:kern w:val="21"/>
          <w:sz w:val="24"/>
          <w:szCs w:val="24"/>
        </w:rPr>
        <w:t>。</w:t>
      </w:r>
    </w:p>
    <w:p>
      <w:pPr>
        <w:adjustRightInd w:val="0"/>
        <w:snapToGrid w:val="0"/>
        <w:jc w:val="center"/>
        <w:rPr>
          <w:rFonts w:eastAsia="黑体"/>
          <w:color w:val="auto"/>
          <w:kern w:val="21"/>
          <w:sz w:val="24"/>
          <w:szCs w:val="24"/>
        </w:rPr>
      </w:pPr>
      <w:r>
        <w:rPr>
          <w:rFonts w:hint="eastAsia" w:eastAsia="黑体"/>
          <w:color w:val="auto"/>
          <w:kern w:val="21"/>
          <w:sz w:val="24"/>
          <w:szCs w:val="24"/>
        </w:rPr>
        <w:t xml:space="preserve">表2.7-1  </w:t>
      </w:r>
      <w:r>
        <w:rPr>
          <w:rFonts w:eastAsia="黑体"/>
          <w:color w:val="auto"/>
          <w:kern w:val="21"/>
          <w:sz w:val="24"/>
          <w:szCs w:val="24"/>
        </w:rPr>
        <w:t>项目与环土壤[2018]22号文相符性分析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8"/>
        <w:gridCol w:w="2836"/>
        <w:gridCol w:w="3641"/>
        <w:gridCol w:w="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9" w:hRule="atLeast"/>
          <w:jc w:val="center"/>
        </w:trPr>
        <w:tc>
          <w:tcPr>
            <w:tcW w:w="3984" w:type="dxa"/>
            <w:gridSpan w:val="2"/>
            <w:vAlign w:val="center"/>
          </w:tcPr>
          <w:p>
            <w:pPr>
              <w:pStyle w:val="377"/>
              <w:adjustRightInd w:val="0"/>
              <w:snapToGrid w:val="0"/>
              <w:jc w:val="center"/>
              <w:rPr>
                <w:rFonts w:ascii="宋体" w:hAnsi="宋体" w:cs="宋体"/>
                <w:b/>
                <w:bCs/>
                <w:color w:val="auto"/>
                <w:kern w:val="21"/>
              </w:rPr>
            </w:pPr>
            <w:r>
              <w:rPr>
                <w:rFonts w:ascii="宋体" w:hAnsi="宋体" w:cs="宋体"/>
                <w:b/>
                <w:bCs/>
                <w:color w:val="auto"/>
                <w:kern w:val="21"/>
              </w:rPr>
              <w:t>文件要求</w:t>
            </w:r>
          </w:p>
        </w:tc>
        <w:tc>
          <w:tcPr>
            <w:tcW w:w="3641" w:type="dxa"/>
            <w:vAlign w:val="center"/>
          </w:tcPr>
          <w:p>
            <w:pPr>
              <w:pStyle w:val="377"/>
              <w:adjustRightInd w:val="0"/>
              <w:snapToGrid w:val="0"/>
              <w:jc w:val="center"/>
              <w:rPr>
                <w:rFonts w:ascii="宋体" w:hAnsi="宋体" w:cs="宋体"/>
                <w:b/>
                <w:bCs/>
                <w:color w:val="auto"/>
                <w:kern w:val="21"/>
              </w:rPr>
            </w:pPr>
            <w:r>
              <w:rPr>
                <w:rFonts w:ascii="宋体" w:hAnsi="宋体" w:cs="宋体"/>
                <w:b/>
                <w:bCs/>
                <w:color w:val="auto"/>
                <w:kern w:val="21"/>
              </w:rPr>
              <w:t>本项目</w:t>
            </w:r>
          </w:p>
        </w:tc>
        <w:tc>
          <w:tcPr>
            <w:tcW w:w="879" w:type="dxa"/>
            <w:vAlign w:val="center"/>
          </w:tcPr>
          <w:p>
            <w:pPr>
              <w:pStyle w:val="377"/>
              <w:adjustRightInd w:val="0"/>
              <w:snapToGrid w:val="0"/>
              <w:jc w:val="center"/>
              <w:rPr>
                <w:rFonts w:hint="eastAsia" w:ascii="宋体" w:hAnsi="宋体" w:eastAsia="宋体" w:cs="宋体"/>
                <w:b/>
                <w:bCs/>
                <w:color w:val="auto"/>
                <w:kern w:val="21"/>
                <w:lang w:val="en-US" w:eastAsia="zh-CN"/>
              </w:rPr>
            </w:pPr>
            <w:r>
              <w:rPr>
                <w:rFonts w:hint="eastAsia" w:ascii="宋体" w:hAnsi="宋体" w:cs="宋体"/>
                <w:b/>
                <w:bCs/>
                <w:color w:val="auto"/>
                <w:kern w:val="21"/>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48" w:type="dxa"/>
            <w:vMerge w:val="restart"/>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三、分解落实减排指标和措施</w:t>
            </w:r>
          </w:p>
        </w:tc>
        <w:tc>
          <w:tcPr>
            <w:tcW w:w="2836" w:type="dxa"/>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减排措施和工程包括淘汰落后产能、工艺提升改造、清洁生产技术改造、实行特别排放限值等</w:t>
            </w:r>
          </w:p>
        </w:tc>
        <w:tc>
          <w:tcPr>
            <w:tcW w:w="3641" w:type="dxa"/>
            <w:vMerge w:val="restart"/>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本项目</w:t>
            </w:r>
            <w:r>
              <w:rPr>
                <w:rFonts w:hint="eastAsia" w:ascii="宋体" w:hAnsi="宋体" w:cs="宋体"/>
                <w:color w:val="auto"/>
                <w:kern w:val="21"/>
              </w:rPr>
              <w:t>电镀生产线为</w:t>
            </w:r>
            <w:r>
              <w:rPr>
                <w:rFonts w:ascii="宋体" w:hAnsi="宋体" w:cs="宋体"/>
                <w:color w:val="auto"/>
                <w:kern w:val="21"/>
              </w:rPr>
              <w:t>全自动电镀生产线；清洁生产限定性指标均满足《电镀行业清洁生产评价指标体系》Ⅰ级基准值要求，即达到国际清洁生产先进水平；废水排放执行《电镀水污染物排放标准》（</w:t>
            </w:r>
            <w:r>
              <w:rPr>
                <w:color w:val="auto"/>
                <w:kern w:val="21"/>
              </w:rPr>
              <w:t>GB21900-2008</w:t>
            </w:r>
            <w:r>
              <w:rPr>
                <w:rFonts w:ascii="宋体" w:hAnsi="宋体" w:cs="宋体"/>
                <w:color w:val="auto"/>
                <w:kern w:val="21"/>
              </w:rPr>
              <w:t>）中新建项目水污染物排放限值及单位产品基准排水量</w:t>
            </w:r>
          </w:p>
        </w:tc>
        <w:tc>
          <w:tcPr>
            <w:tcW w:w="879" w:type="dxa"/>
            <w:vAlign w:val="center"/>
          </w:tcPr>
          <w:p>
            <w:pPr>
              <w:pStyle w:val="377"/>
              <w:adjustRightInd w:val="0"/>
              <w:snapToGrid w:val="0"/>
              <w:jc w:val="center"/>
              <w:rPr>
                <w:color w:val="auto"/>
                <w:kern w:val="21"/>
                <w:sz w:val="12"/>
                <w:szCs w:val="12"/>
              </w:rPr>
            </w:pPr>
          </w:p>
          <w:p>
            <w:pPr>
              <w:pStyle w:val="377"/>
              <w:adjustRightInd w:val="0"/>
              <w:snapToGrid w:val="0"/>
              <w:jc w:val="center"/>
              <w:rPr>
                <w:rFonts w:hint="default" w:ascii="宋体" w:hAnsi="宋体" w:eastAsia="宋体" w:cs="宋体"/>
                <w:color w:val="auto"/>
                <w:kern w:val="21"/>
                <w:lang w:val="en-US" w:eastAsia="zh-CN"/>
              </w:rPr>
            </w:pPr>
            <w:r>
              <w:rPr>
                <w:rFonts w:hint="eastAsia" w:ascii="宋体" w:hAnsi="宋体" w:cs="宋体"/>
                <w:color w:val="auto"/>
                <w:kern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48" w:type="dxa"/>
            <w:vMerge w:val="continue"/>
            <w:vAlign w:val="center"/>
          </w:tcPr>
          <w:p>
            <w:pPr>
              <w:adjustRightInd w:val="0"/>
              <w:snapToGrid w:val="0"/>
              <w:jc w:val="center"/>
              <w:rPr>
                <w:color w:val="auto"/>
                <w:kern w:val="21"/>
              </w:rPr>
            </w:pPr>
          </w:p>
        </w:tc>
        <w:tc>
          <w:tcPr>
            <w:tcW w:w="2836" w:type="dxa"/>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依法全面取缔不符合国家产业政策的制革、炼碎、电镀等严重污染水环境的生产项目</w:t>
            </w:r>
          </w:p>
        </w:tc>
        <w:tc>
          <w:tcPr>
            <w:tcW w:w="3641" w:type="dxa"/>
            <w:vAlign w:val="center"/>
          </w:tcPr>
          <w:p>
            <w:pPr>
              <w:pStyle w:val="377"/>
              <w:adjustRightInd w:val="0"/>
              <w:snapToGrid w:val="0"/>
              <w:jc w:val="both"/>
              <w:rPr>
                <w:rFonts w:hint="eastAsia" w:ascii="宋体" w:hAnsi="宋体" w:eastAsia="宋体" w:cs="宋体"/>
                <w:color w:val="auto"/>
                <w:kern w:val="21"/>
                <w:lang w:eastAsia="zh-CN"/>
              </w:rPr>
            </w:pPr>
            <w:r>
              <w:rPr>
                <w:rFonts w:hint="eastAsia" w:ascii="宋体" w:hAnsi="宋体" w:cs="宋体"/>
                <w:color w:val="auto"/>
                <w:kern w:val="21"/>
                <w:lang w:eastAsia="zh-CN"/>
              </w:rPr>
              <w:t>本项目已备案符合国家产业政策，项目涉重废水经厂区污水处理站处理后全部回用不外排，对水环境影响较小。</w:t>
            </w:r>
          </w:p>
        </w:tc>
        <w:tc>
          <w:tcPr>
            <w:tcW w:w="879" w:type="dxa"/>
            <w:vAlign w:val="center"/>
          </w:tcPr>
          <w:p>
            <w:pPr>
              <w:adjustRightInd w:val="0"/>
              <w:snapToGrid w:val="0"/>
              <w:jc w:val="center"/>
              <w:rPr>
                <w:rFonts w:ascii="宋体" w:hAnsi="宋体" w:cs="宋体"/>
                <w:color w:val="auto"/>
                <w:kern w:val="21"/>
              </w:rPr>
            </w:pPr>
            <w:r>
              <w:rPr>
                <w:rFonts w:hint="eastAsia" w:ascii="宋体" w:hAnsi="宋体" w:cs="宋体"/>
                <w:color w:val="auto"/>
                <w:kern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48" w:type="dxa"/>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四、严格环境准入</w:t>
            </w:r>
          </w:p>
        </w:tc>
        <w:tc>
          <w:tcPr>
            <w:tcW w:w="2836" w:type="dxa"/>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新、改、扩建涉重金属重点行业建设项目必须遵循重点重金属污染物排放</w:t>
            </w:r>
            <w:r>
              <w:rPr>
                <w:rFonts w:hint="eastAsia" w:ascii="宋体" w:hAnsi="宋体" w:cs="宋体"/>
                <w:color w:val="auto"/>
                <w:kern w:val="21"/>
                <w:lang w:eastAsia="zh-CN"/>
              </w:rPr>
              <w:t>“</w:t>
            </w:r>
            <w:r>
              <w:rPr>
                <w:rFonts w:ascii="宋体" w:hAnsi="宋体" w:cs="宋体"/>
                <w:color w:val="auto"/>
                <w:kern w:val="21"/>
              </w:rPr>
              <w:t>减量置换</w:t>
            </w:r>
            <w:r>
              <w:rPr>
                <w:rFonts w:hint="eastAsia" w:ascii="宋体" w:hAnsi="宋体" w:cs="宋体"/>
                <w:color w:val="auto"/>
                <w:kern w:val="21"/>
                <w:lang w:eastAsia="zh-CN"/>
              </w:rPr>
              <w:t>”</w:t>
            </w:r>
            <w:r>
              <w:rPr>
                <w:rFonts w:ascii="宋体" w:hAnsi="宋体" w:cs="宋体"/>
                <w:color w:val="auto"/>
                <w:kern w:val="21"/>
              </w:rPr>
              <w:t>或</w:t>
            </w:r>
            <w:r>
              <w:rPr>
                <w:rFonts w:hint="eastAsia" w:ascii="宋体" w:hAnsi="宋体" w:cs="宋体"/>
                <w:color w:val="auto"/>
                <w:kern w:val="21"/>
                <w:lang w:eastAsia="zh-CN"/>
              </w:rPr>
              <w:t>“</w:t>
            </w:r>
            <w:r>
              <w:rPr>
                <w:rFonts w:ascii="宋体" w:hAnsi="宋体" w:cs="宋体"/>
                <w:color w:val="auto"/>
                <w:kern w:val="21"/>
              </w:rPr>
              <w:t>等量替换</w:t>
            </w:r>
            <w:r>
              <w:rPr>
                <w:rFonts w:hint="eastAsia" w:ascii="宋体" w:hAnsi="宋体" w:cs="宋体"/>
                <w:color w:val="auto"/>
                <w:kern w:val="21"/>
                <w:lang w:eastAsia="zh-CN"/>
              </w:rPr>
              <w:t>”</w:t>
            </w:r>
            <w:r>
              <w:rPr>
                <w:rFonts w:ascii="宋体" w:hAnsi="宋体" w:cs="宋体"/>
                <w:color w:val="auto"/>
                <w:kern w:val="21"/>
              </w:rPr>
              <w:t>的原则，应在本省（区、市）行政区域内有明确具体的重金属污染物排放总量来源。无明确具体总量来源的，各级环保部门不得批准相关环境影响评价文件</w:t>
            </w:r>
          </w:p>
        </w:tc>
        <w:tc>
          <w:tcPr>
            <w:tcW w:w="3641" w:type="dxa"/>
            <w:vAlign w:val="center"/>
          </w:tcPr>
          <w:p>
            <w:pPr>
              <w:pStyle w:val="377"/>
              <w:adjustRightInd w:val="0"/>
              <w:snapToGrid w:val="0"/>
              <w:jc w:val="center"/>
              <w:rPr>
                <w:rFonts w:hint="eastAsia" w:ascii="宋体" w:hAnsi="宋体" w:eastAsia="宋体" w:cs="宋体"/>
                <w:color w:val="auto"/>
                <w:kern w:val="21"/>
                <w:lang w:eastAsia="zh-CN"/>
              </w:rPr>
            </w:pPr>
            <w:r>
              <w:rPr>
                <w:rFonts w:ascii="宋体" w:hAnsi="宋体" w:cs="宋体"/>
                <w:color w:val="auto"/>
                <w:kern w:val="21"/>
              </w:rPr>
              <w:t>本项目</w:t>
            </w:r>
            <w:r>
              <w:rPr>
                <w:rFonts w:hint="eastAsia" w:ascii="宋体" w:hAnsi="宋体" w:cs="宋体"/>
                <w:color w:val="auto"/>
                <w:kern w:val="21"/>
              </w:rPr>
              <w:t>涉及镍、锌、铬重金属的废水经处理后</w:t>
            </w:r>
            <w:r>
              <w:rPr>
                <w:rFonts w:hint="eastAsia" w:ascii="宋体" w:hAnsi="宋体" w:cs="宋体"/>
                <w:color w:val="auto"/>
                <w:kern w:val="21"/>
                <w:lang w:eastAsia="zh-CN"/>
              </w:rPr>
              <w:t>全部</w:t>
            </w:r>
            <w:r>
              <w:rPr>
                <w:rFonts w:hint="eastAsia" w:ascii="宋体" w:hAnsi="宋体" w:cs="宋体"/>
                <w:color w:val="auto"/>
                <w:kern w:val="21"/>
              </w:rPr>
              <w:t>回用，不外排</w:t>
            </w:r>
            <w:r>
              <w:rPr>
                <w:rFonts w:hint="eastAsia" w:ascii="宋体" w:hAnsi="宋体" w:cs="宋体"/>
                <w:color w:val="auto"/>
                <w:kern w:val="21"/>
                <w:lang w:eastAsia="zh-CN"/>
              </w:rPr>
              <w:t>，不涉及重金属总量控制指标。</w:t>
            </w:r>
          </w:p>
        </w:tc>
        <w:tc>
          <w:tcPr>
            <w:tcW w:w="879" w:type="dxa"/>
            <w:vAlign w:val="center"/>
          </w:tcPr>
          <w:p>
            <w:pPr>
              <w:adjustRightInd w:val="0"/>
              <w:snapToGrid w:val="0"/>
              <w:jc w:val="center"/>
              <w:rPr>
                <w:rFonts w:ascii="宋体" w:hAnsi="宋体" w:cs="宋体"/>
                <w:color w:val="auto"/>
                <w:kern w:val="21"/>
              </w:rPr>
            </w:pPr>
            <w:r>
              <w:rPr>
                <w:rFonts w:hint="eastAsia" w:ascii="宋体" w:hAnsi="宋体" w:cs="宋体"/>
                <w:color w:val="auto"/>
                <w:kern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48" w:type="dxa"/>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五、开展重金属污染整治</w:t>
            </w:r>
          </w:p>
        </w:tc>
        <w:tc>
          <w:tcPr>
            <w:tcW w:w="2836" w:type="dxa"/>
            <w:vAlign w:val="center"/>
          </w:tcPr>
          <w:p>
            <w:pPr>
              <w:pStyle w:val="377"/>
              <w:adjustRightInd w:val="0"/>
              <w:snapToGrid w:val="0"/>
              <w:jc w:val="center"/>
              <w:rPr>
                <w:rFonts w:ascii="宋体" w:hAnsi="宋体" w:cs="宋体"/>
                <w:color w:val="auto"/>
                <w:kern w:val="21"/>
              </w:rPr>
            </w:pPr>
            <w:r>
              <w:rPr>
                <w:rFonts w:ascii="宋体" w:hAnsi="宋体" w:cs="宋体"/>
                <w:color w:val="auto"/>
                <w:kern w:val="21"/>
              </w:rPr>
              <w:t>督促涉重金属企业按照排污单位自行监测技术指南总则和分行业指南，开展自行监测，包括对所属涉重金属尾矿库排污口和周边环境进行监测，依法向社会公开重金属污染物排放数据，并对数据真实性负责</w:t>
            </w:r>
          </w:p>
        </w:tc>
        <w:tc>
          <w:tcPr>
            <w:tcW w:w="3641" w:type="dxa"/>
            <w:vAlign w:val="center"/>
          </w:tcPr>
          <w:p>
            <w:pPr>
              <w:pStyle w:val="377"/>
              <w:adjustRightInd w:val="0"/>
              <w:snapToGrid w:val="0"/>
              <w:jc w:val="center"/>
              <w:rPr>
                <w:rFonts w:hint="eastAsia" w:ascii="宋体" w:hAnsi="宋体" w:eastAsia="宋体" w:cs="宋体"/>
                <w:color w:val="auto"/>
                <w:kern w:val="21"/>
                <w:lang w:eastAsia="zh-CN"/>
              </w:rPr>
            </w:pPr>
            <w:r>
              <w:rPr>
                <w:rFonts w:ascii="宋体" w:hAnsi="宋体" w:cs="宋体"/>
                <w:color w:val="auto"/>
                <w:kern w:val="21"/>
              </w:rPr>
              <w:t>本项目建设单位</w:t>
            </w:r>
            <w:r>
              <w:rPr>
                <w:rFonts w:hint="eastAsia" w:ascii="宋体" w:hAnsi="宋体" w:cs="宋体"/>
                <w:color w:val="auto"/>
                <w:kern w:val="21"/>
              </w:rPr>
              <w:t>定期</w:t>
            </w:r>
            <w:r>
              <w:rPr>
                <w:rFonts w:ascii="宋体" w:hAnsi="宋体" w:cs="宋体"/>
                <w:color w:val="auto"/>
                <w:kern w:val="21"/>
              </w:rPr>
              <w:t>进行废水、废气的自行检查，并依法向社会公开重金属污染物排放数据</w:t>
            </w:r>
            <w:r>
              <w:rPr>
                <w:rFonts w:hint="eastAsia" w:ascii="宋体" w:hAnsi="宋体" w:cs="宋体"/>
                <w:color w:val="auto"/>
                <w:kern w:val="21"/>
                <w:lang w:eastAsia="zh-CN"/>
              </w:rPr>
              <w:t>。</w:t>
            </w:r>
          </w:p>
        </w:tc>
        <w:tc>
          <w:tcPr>
            <w:tcW w:w="879" w:type="dxa"/>
            <w:vAlign w:val="center"/>
          </w:tcPr>
          <w:p>
            <w:pPr>
              <w:adjustRightInd w:val="0"/>
              <w:snapToGrid w:val="0"/>
              <w:jc w:val="center"/>
              <w:rPr>
                <w:rFonts w:ascii="宋体" w:hAnsi="宋体" w:cs="宋体"/>
                <w:color w:val="auto"/>
                <w:kern w:val="21"/>
              </w:rPr>
            </w:pPr>
            <w:r>
              <w:rPr>
                <w:rFonts w:hint="eastAsia" w:ascii="宋体" w:hAnsi="宋体" w:cs="宋体"/>
                <w:color w:val="auto"/>
                <w:kern w:val="21"/>
                <w:lang w:val="en-US" w:eastAsia="zh-CN"/>
              </w:rPr>
              <w:t>符合</w:t>
            </w:r>
          </w:p>
        </w:tc>
      </w:tr>
    </w:tbl>
    <w:p>
      <w:pPr>
        <w:pStyle w:val="32"/>
        <w:keepNext w:val="0"/>
        <w:keepLines w:val="0"/>
        <w:pageBreakBefore w:val="0"/>
        <w:widowControl/>
        <w:kinsoku/>
        <w:wordWrap/>
        <w:overflowPunct/>
        <w:topLinePunct w:val="0"/>
        <w:autoSpaceDE/>
        <w:autoSpaceDN/>
        <w:bidi w:val="0"/>
        <w:adjustRightInd/>
        <w:snapToGrid/>
        <w:spacing w:before="157" w:beforeLines="50" w:after="0" w:line="360" w:lineRule="auto"/>
        <w:ind w:firstLine="480" w:firstLineChars="200"/>
        <w:textAlignment w:val="auto"/>
        <w:rPr>
          <w:color w:val="auto"/>
          <w:lang w:val="en-US"/>
        </w:rPr>
      </w:pPr>
      <w:r>
        <w:rPr>
          <w:rFonts w:ascii="宋体" w:hAnsi="宋体" w:cs="宋体"/>
          <w:color w:val="auto"/>
          <w:kern w:val="21"/>
          <w:sz w:val="24"/>
        </w:rPr>
        <w:t>经分析，本项目符合《关于加强涉重金属行业污染防控的意见》（环土壤</w:t>
      </w:r>
      <w:r>
        <w:rPr>
          <w:rFonts w:hint="eastAsia" w:ascii="宋体" w:hAnsi="宋体" w:cs="宋体"/>
          <w:color w:val="auto"/>
          <w:kern w:val="21"/>
          <w:sz w:val="24"/>
          <w:lang w:val="en-US" w:eastAsia="zh-CN"/>
        </w:rPr>
        <w:t>[</w:t>
      </w:r>
      <w:r>
        <w:rPr>
          <w:rFonts w:eastAsia="Times New Roman"/>
          <w:color w:val="auto"/>
          <w:kern w:val="21"/>
          <w:sz w:val="24"/>
        </w:rPr>
        <w:t>2018]22</w:t>
      </w:r>
      <w:r>
        <w:rPr>
          <w:rFonts w:ascii="宋体" w:hAnsi="宋体" w:cs="宋体"/>
          <w:color w:val="auto"/>
          <w:kern w:val="21"/>
          <w:sz w:val="24"/>
        </w:rPr>
        <w:t>号</w:t>
      </w:r>
      <w:r>
        <w:rPr>
          <w:rFonts w:hint="eastAsia" w:ascii="宋体" w:hAnsi="宋体" w:cs="宋体"/>
          <w:color w:val="auto"/>
          <w:kern w:val="21"/>
          <w:sz w:val="24"/>
        </w:rPr>
        <w:t>）</w:t>
      </w:r>
      <w:r>
        <w:rPr>
          <w:rFonts w:ascii="宋体" w:hAnsi="宋体" w:cs="宋体"/>
          <w:color w:val="auto"/>
          <w:kern w:val="21"/>
          <w:sz w:val="24"/>
        </w:rPr>
        <w:t>文件</w:t>
      </w:r>
      <w:r>
        <w:rPr>
          <w:rFonts w:hint="eastAsia" w:ascii="宋体" w:hAnsi="宋体" w:cs="宋体"/>
          <w:color w:val="auto"/>
          <w:kern w:val="21"/>
          <w:sz w:val="24"/>
          <w:lang w:eastAsia="zh-CN"/>
        </w:rPr>
        <w:t>重相关内容的</w:t>
      </w:r>
      <w:r>
        <w:rPr>
          <w:rFonts w:ascii="宋体" w:hAnsi="宋体" w:cs="宋体"/>
          <w:color w:val="auto"/>
          <w:kern w:val="21"/>
          <w:sz w:val="24"/>
        </w:rPr>
        <w:t>要求。</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2.</w:t>
      </w:r>
      <w:r>
        <w:rPr>
          <w:rFonts w:hint="eastAsia" w:eastAsia="黑体"/>
          <w:color w:val="auto"/>
          <w:kern w:val="21"/>
          <w:sz w:val="28"/>
          <w:szCs w:val="28"/>
        </w:rPr>
        <w:t>7.3</w:t>
      </w:r>
      <w:r>
        <w:rPr>
          <w:rFonts w:eastAsia="黑体"/>
          <w:color w:val="auto"/>
          <w:kern w:val="21"/>
          <w:sz w:val="28"/>
          <w:szCs w:val="28"/>
        </w:rPr>
        <w:t>《重点区域20</w:t>
      </w:r>
      <w:r>
        <w:rPr>
          <w:rFonts w:hint="eastAsia" w:eastAsia="黑体"/>
          <w:color w:val="auto"/>
          <w:kern w:val="21"/>
          <w:sz w:val="28"/>
          <w:szCs w:val="28"/>
        </w:rPr>
        <w:t>21</w:t>
      </w:r>
      <w:r>
        <w:rPr>
          <w:rFonts w:eastAsia="黑体"/>
          <w:color w:val="auto"/>
          <w:kern w:val="21"/>
          <w:sz w:val="28"/>
          <w:szCs w:val="28"/>
        </w:rPr>
        <w:t>-20</w:t>
      </w:r>
      <w:r>
        <w:rPr>
          <w:rFonts w:hint="eastAsia" w:eastAsia="黑体"/>
          <w:color w:val="auto"/>
          <w:kern w:val="21"/>
          <w:sz w:val="28"/>
          <w:szCs w:val="28"/>
        </w:rPr>
        <w:t>22</w:t>
      </w:r>
      <w:r>
        <w:rPr>
          <w:rFonts w:eastAsia="黑体"/>
          <w:color w:val="auto"/>
          <w:kern w:val="21"/>
          <w:sz w:val="28"/>
          <w:szCs w:val="28"/>
        </w:rPr>
        <w:t>年秋冬季大气污染综合治理攻坚方案》</w:t>
      </w:r>
    </w:p>
    <w:p>
      <w:pPr>
        <w:adjustRightInd w:val="0"/>
        <w:snapToGrid w:val="0"/>
        <w:spacing w:line="360" w:lineRule="auto"/>
        <w:ind w:firstLine="480" w:firstLineChars="200"/>
        <w:rPr>
          <w:color w:val="auto"/>
          <w:kern w:val="21"/>
          <w:sz w:val="24"/>
          <w:szCs w:val="24"/>
        </w:rPr>
      </w:pPr>
      <w:r>
        <w:rPr>
          <w:color w:val="auto"/>
          <w:kern w:val="21"/>
          <w:sz w:val="24"/>
          <w:szCs w:val="24"/>
        </w:rPr>
        <w:t>根据《重点区域20</w:t>
      </w:r>
      <w:r>
        <w:rPr>
          <w:rFonts w:hint="eastAsia"/>
          <w:color w:val="auto"/>
          <w:kern w:val="21"/>
          <w:sz w:val="24"/>
          <w:szCs w:val="24"/>
        </w:rPr>
        <w:t>21</w:t>
      </w:r>
      <w:r>
        <w:rPr>
          <w:color w:val="auto"/>
          <w:kern w:val="21"/>
          <w:sz w:val="24"/>
          <w:szCs w:val="24"/>
        </w:rPr>
        <w:t>-20</w:t>
      </w:r>
      <w:r>
        <w:rPr>
          <w:rFonts w:hint="eastAsia"/>
          <w:color w:val="auto"/>
          <w:kern w:val="21"/>
          <w:sz w:val="24"/>
          <w:szCs w:val="24"/>
        </w:rPr>
        <w:t>22</w:t>
      </w:r>
      <w:r>
        <w:rPr>
          <w:color w:val="auto"/>
          <w:kern w:val="21"/>
          <w:sz w:val="24"/>
          <w:szCs w:val="24"/>
        </w:rPr>
        <w:t>年秋冬季大气污染综合治理攻坚方案》，</w:t>
      </w:r>
      <w:r>
        <w:rPr>
          <w:rFonts w:hint="eastAsia"/>
          <w:color w:val="auto"/>
          <w:kern w:val="21"/>
          <w:sz w:val="24"/>
          <w:szCs w:val="24"/>
        </w:rPr>
        <w:t>结合本项目的情况，该方案中涉及到本项目的内容有：</w:t>
      </w:r>
    </w:p>
    <w:p>
      <w:pPr>
        <w:adjustRightInd w:val="0"/>
        <w:snapToGrid w:val="0"/>
        <w:spacing w:line="360" w:lineRule="auto"/>
        <w:ind w:firstLine="480" w:firstLineChars="200"/>
        <w:rPr>
          <w:color w:val="auto"/>
          <w:kern w:val="21"/>
          <w:sz w:val="24"/>
          <w:szCs w:val="24"/>
        </w:rPr>
      </w:pPr>
      <w:r>
        <w:rPr>
          <w:color w:val="auto"/>
          <w:kern w:val="21"/>
          <w:sz w:val="24"/>
          <w:szCs w:val="24"/>
        </w:rPr>
        <w:t>实施范围：考虑各地秋冬季大气环境状况和区域传输影响，重点区域秋冬季攻坚范围在京津冀及周边地区</w:t>
      </w:r>
      <w:r>
        <w:rPr>
          <w:rFonts w:ascii="宋体" w:hAnsi="宋体"/>
          <w:color w:val="auto"/>
          <w:kern w:val="21"/>
          <w:sz w:val="24"/>
          <w:szCs w:val="24"/>
        </w:rPr>
        <w:t>“</w:t>
      </w:r>
      <w:r>
        <w:rPr>
          <w:color w:val="auto"/>
          <w:kern w:val="21"/>
          <w:sz w:val="24"/>
          <w:szCs w:val="24"/>
        </w:rPr>
        <w:t>2+26</w:t>
      </w:r>
      <w:r>
        <w:rPr>
          <w:rFonts w:ascii="宋体" w:hAnsi="宋体"/>
          <w:color w:val="auto"/>
          <w:kern w:val="21"/>
          <w:sz w:val="24"/>
          <w:szCs w:val="24"/>
        </w:rPr>
        <w:t>”</w:t>
      </w:r>
      <w:r>
        <w:rPr>
          <w:color w:val="auto"/>
          <w:kern w:val="21"/>
          <w:sz w:val="24"/>
          <w:szCs w:val="24"/>
        </w:rPr>
        <w:t>城市和汾渭平原城市基础上，增加河北北部，山西北部，山东东</w:t>
      </w:r>
      <w:r>
        <w:rPr>
          <w:rFonts w:hint="eastAsia"/>
          <w:color w:val="auto"/>
          <w:kern w:val="21"/>
          <w:sz w:val="24"/>
          <w:szCs w:val="24"/>
          <w:lang w:eastAsia="zh-CN"/>
        </w:rPr>
        <w:t>部</w:t>
      </w:r>
      <w:r>
        <w:rPr>
          <w:color w:val="auto"/>
          <w:kern w:val="21"/>
          <w:sz w:val="24"/>
          <w:szCs w:val="24"/>
        </w:rPr>
        <w:t>、南部，河南南部部分城市。具体为：北京市，天津市，河北省石家庄、唐山、秦皇岛、邯郸、邢台、保定、张家口、承德、沧州、廊坊、衡水市，雄安新区，定州、辛集市；山西省太原、阳泉、长治、晋城、大同、朔州、晋中、运城、忻州、临汾、吕梁市；山东省济南、淄博、枣庄、东营、潍坊、济宁、泰安、日照、临沂、德州、聊城、滨州、菏泽市</w:t>
      </w:r>
      <w:r>
        <w:rPr>
          <w:rFonts w:hint="eastAsia"/>
          <w:color w:val="auto"/>
          <w:kern w:val="21"/>
          <w:sz w:val="24"/>
          <w:szCs w:val="24"/>
        </w:rPr>
        <w:t>；</w:t>
      </w:r>
      <w:r>
        <w:rPr>
          <w:color w:val="auto"/>
          <w:kern w:val="21"/>
          <w:sz w:val="24"/>
          <w:szCs w:val="24"/>
        </w:rPr>
        <w:t>河南省郑州、开封、洛阳、平顶山、安阳、鹤壁、新乡、焦作、濮阳、许昌、漯河、三门峡、南阳、商丘、信阳、周口、驻马店、济源市；陕西省西安、铜川、宝鸡、咸阳、渭南市</w:t>
      </w:r>
      <w:r>
        <w:rPr>
          <w:rFonts w:hint="eastAsia"/>
          <w:color w:val="auto"/>
          <w:kern w:val="21"/>
          <w:sz w:val="24"/>
          <w:szCs w:val="24"/>
          <w:lang w:eastAsia="zh-CN"/>
        </w:rPr>
        <w:t>（</w:t>
      </w:r>
      <w:r>
        <w:rPr>
          <w:color w:val="auto"/>
          <w:kern w:val="21"/>
          <w:sz w:val="24"/>
          <w:szCs w:val="24"/>
        </w:rPr>
        <w:t>含韩城市</w:t>
      </w:r>
      <w:r>
        <w:rPr>
          <w:rFonts w:hint="eastAsia"/>
          <w:color w:val="auto"/>
          <w:kern w:val="21"/>
          <w:sz w:val="24"/>
          <w:szCs w:val="24"/>
          <w:lang w:eastAsia="zh-CN"/>
        </w:rPr>
        <w:t>）</w:t>
      </w:r>
      <w:r>
        <w:rPr>
          <w:color w:val="auto"/>
          <w:kern w:val="21"/>
          <w:sz w:val="24"/>
          <w:szCs w:val="24"/>
        </w:rPr>
        <w:t>及杨凌示范区。主要目标：秋冬季期间</w:t>
      </w:r>
      <w:r>
        <w:rPr>
          <w:rFonts w:hint="eastAsia"/>
          <w:color w:val="auto"/>
          <w:kern w:val="21"/>
          <w:sz w:val="24"/>
          <w:szCs w:val="24"/>
          <w:lang w:eastAsia="zh-CN"/>
        </w:rPr>
        <w:t>（</w:t>
      </w:r>
      <w:r>
        <w:rPr>
          <w:color w:val="auto"/>
          <w:kern w:val="21"/>
          <w:sz w:val="24"/>
          <w:szCs w:val="24"/>
        </w:rPr>
        <w:t>2021年10月1日至2022年3月31日</w:t>
      </w:r>
      <w:r>
        <w:rPr>
          <w:rFonts w:hint="eastAsia"/>
          <w:color w:val="auto"/>
          <w:kern w:val="21"/>
          <w:sz w:val="24"/>
          <w:szCs w:val="24"/>
          <w:lang w:eastAsia="zh-CN"/>
        </w:rPr>
        <w:t>）</w:t>
      </w:r>
      <w:r>
        <w:rPr>
          <w:color w:val="auto"/>
          <w:kern w:val="21"/>
          <w:sz w:val="24"/>
          <w:szCs w:val="24"/>
        </w:rPr>
        <w:t>各城市完成PM2.5平均浓度和重度及以上污染天数控制目标。</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（十）有效应对重污染天气 </w:t>
      </w:r>
    </w:p>
    <w:p>
      <w:pPr>
        <w:adjustRightInd w:val="0"/>
        <w:snapToGrid w:val="0"/>
        <w:spacing w:line="360" w:lineRule="auto"/>
        <w:ind w:firstLine="480" w:firstLineChars="200"/>
        <w:rPr>
          <w:color w:val="auto"/>
          <w:kern w:val="21"/>
          <w:sz w:val="24"/>
          <w:szCs w:val="24"/>
        </w:rPr>
      </w:pPr>
      <w:r>
        <w:rPr>
          <w:color w:val="auto"/>
          <w:kern w:val="21"/>
          <w:sz w:val="24"/>
          <w:szCs w:val="24"/>
        </w:rPr>
        <w:t>持续优化绩效分级应急减排工作。各地应严格按照《重污染天气重点行业绩效分级及减排措施》及其补充说明的相关要求，持续推进重点行业绩效分级工作，并针对地方特色行业，结合实际污染排放水平自行制定统一的绩效分级标准，实施差异化减排措施。在此基础上，进一步完善应急减排清单，梳理保障民生、保障城市正常运转或涉及国家战略性产业等保障类企业名单，细化除小微涉气企业外的非保障类企业管控措施。做到减排清单涉气企业覆盖全、保障类企业名单真实有效、非保障类企业管控措施可落地、可核查。各地须进一步规范应急减排措施。对于单独发放排污许可证的企业，须作为独立企业制定应急减排措施，不得将多个独立排污许可证企业生产工序合并共同制定应急减排措施。应急减排措施应按生产线计，不得以降低生产负荷、缩短生产时长等难以核查的方式制定应急减排措施。各地在绩效分级过程中，应加强中控数据记录的管理，重点行业关键数据均应纳入中控数据记录。加强空气质量预测预报能力建设。各地应持续提升空气质量预测预报准确性，依法及时启动重污染天气预警，采取应急减排措施。同时，加大监督执法力度，确保减排措施落地有效。同时，当预测到区域将出现大范围重污染天气时，各省</w:t>
      </w:r>
      <w:r>
        <w:rPr>
          <w:rFonts w:hint="eastAsia"/>
          <w:color w:val="auto"/>
          <w:kern w:val="21"/>
          <w:sz w:val="24"/>
          <w:szCs w:val="24"/>
          <w:lang w:eastAsia="zh-CN"/>
        </w:rPr>
        <w:t>（</w:t>
      </w:r>
      <w:r>
        <w:rPr>
          <w:color w:val="auto"/>
          <w:kern w:val="21"/>
          <w:sz w:val="24"/>
          <w:szCs w:val="24"/>
        </w:rPr>
        <w:t>市</w:t>
      </w:r>
      <w:r>
        <w:rPr>
          <w:rFonts w:hint="eastAsia"/>
          <w:color w:val="auto"/>
          <w:kern w:val="21"/>
          <w:sz w:val="24"/>
          <w:szCs w:val="24"/>
          <w:lang w:eastAsia="zh-CN"/>
        </w:rPr>
        <w:t>）</w:t>
      </w:r>
      <w:r>
        <w:rPr>
          <w:color w:val="auto"/>
          <w:kern w:val="21"/>
          <w:sz w:val="24"/>
          <w:szCs w:val="24"/>
        </w:rPr>
        <w:t>及时发布相应级别预警，组织相关城市开展区域应急联动。</w:t>
      </w:r>
    </w:p>
    <w:p>
      <w:pPr>
        <w:adjustRightInd w:val="0"/>
        <w:snapToGrid w:val="0"/>
        <w:spacing w:line="360" w:lineRule="auto"/>
        <w:ind w:firstLine="480" w:firstLineChars="200"/>
        <w:rPr>
          <w:color w:val="auto"/>
          <w:kern w:val="21"/>
          <w:sz w:val="24"/>
          <w:szCs w:val="24"/>
        </w:rPr>
      </w:pPr>
      <w:r>
        <w:rPr>
          <w:color w:val="auto"/>
          <w:kern w:val="21"/>
          <w:sz w:val="24"/>
          <w:szCs w:val="24"/>
        </w:rPr>
        <w:t>（十三）完善监测监控体系。加强环境质量监测能力建设，各地要按照《</w:t>
      </w:r>
      <w:r>
        <w:rPr>
          <w:rFonts w:ascii="宋体" w:hAnsi="宋体"/>
          <w:color w:val="auto"/>
          <w:kern w:val="21"/>
          <w:sz w:val="24"/>
          <w:szCs w:val="24"/>
        </w:rPr>
        <w:t>“十四五”</w:t>
      </w:r>
      <w:r>
        <w:rPr>
          <w:color w:val="auto"/>
          <w:kern w:val="21"/>
          <w:sz w:val="24"/>
          <w:szCs w:val="24"/>
        </w:rPr>
        <w:t>全国细颗粒物与臭氧协同控制监测网络能力建设方案》要求加强秋冬季颗粒物组分监测和VOCs 监测，颗粒物组分监测结果要及时报送中国环境监测总站，并在区域内共享。加强污染源监测监控，将涉VOCs和氮氧化物的重点企业纳入重点排污单位名录，覆盖率不低于工业源VOCs、氮氧化物排放量的65%，完成重点污染源大气主要排放口自动监控设施安装并与生态环境部门联网；对已安装自动监测设备运行情况开展检查，对自动监测设备不正常运行、监测数据造假等违法问题要及时严肃查处。鼓励企业安装治理设施工况监控、用电</w:t>
      </w:r>
      <w:r>
        <w:rPr>
          <w:rFonts w:hint="eastAsia"/>
          <w:color w:val="auto"/>
          <w:kern w:val="21"/>
          <w:sz w:val="24"/>
          <w:szCs w:val="24"/>
          <w:lang w:eastAsia="zh-CN"/>
        </w:rPr>
        <w:t>（</w:t>
      </w:r>
      <w:r>
        <w:rPr>
          <w:color w:val="auto"/>
          <w:kern w:val="21"/>
          <w:sz w:val="24"/>
          <w:szCs w:val="24"/>
        </w:rPr>
        <w:t>用能</w:t>
      </w:r>
      <w:r>
        <w:rPr>
          <w:rFonts w:hint="eastAsia"/>
          <w:color w:val="auto"/>
          <w:kern w:val="21"/>
          <w:sz w:val="24"/>
          <w:szCs w:val="24"/>
          <w:lang w:eastAsia="zh-CN"/>
        </w:rPr>
        <w:t>）</w:t>
      </w:r>
      <w:r>
        <w:rPr>
          <w:color w:val="auto"/>
          <w:kern w:val="21"/>
          <w:sz w:val="24"/>
          <w:szCs w:val="24"/>
        </w:rPr>
        <w:t>监控、视频监控等。加快提升移动源监测监管能力，建立以机动车排放为重点，涵盖非道路移动机械、船舶等的移动源监测体系，2021年12月底前，各地在划定的低排放控制区开展非道路移动机械排放监测，完成交通空气质量监测站点规划，推进交通空气质量和流量监测。</w:t>
      </w:r>
    </w:p>
    <w:p>
      <w:pPr>
        <w:adjustRightInd w:val="0"/>
        <w:snapToGrid w:val="0"/>
        <w:spacing w:line="360" w:lineRule="auto"/>
        <w:ind w:firstLine="480" w:firstLineChars="200"/>
        <w:rPr>
          <w:rFonts w:ascii="宋体" w:hAnsi="宋体" w:cs="宋体"/>
          <w:color w:val="auto"/>
          <w:kern w:val="21"/>
          <w:sz w:val="24"/>
          <w:szCs w:val="24"/>
        </w:rPr>
      </w:pPr>
      <w:r>
        <w:rPr>
          <w:rFonts w:ascii="宋体" w:hAnsi="宋体" w:cs="宋体"/>
          <w:color w:val="auto"/>
          <w:kern w:val="21"/>
          <w:sz w:val="24"/>
          <w:szCs w:val="24"/>
        </w:rPr>
        <w:t>本项目按照</w:t>
      </w:r>
      <w:r>
        <w:rPr>
          <w:color w:val="auto"/>
          <w:kern w:val="21"/>
          <w:sz w:val="24"/>
          <w:szCs w:val="24"/>
        </w:rPr>
        <w:t>《重污染天气重点行业绩效分级及减排措施》及</w:t>
      </w:r>
      <w:r>
        <w:rPr>
          <w:rFonts w:hint="eastAsia"/>
          <w:color w:val="auto"/>
          <w:sz w:val="24"/>
          <w:szCs w:val="24"/>
        </w:rPr>
        <w:t>《河南省重污染天气重点行业应急减排措施制定技术指南（</w:t>
      </w:r>
      <w:r>
        <w:rPr>
          <w:bCs/>
          <w:color w:val="auto"/>
          <w:sz w:val="24"/>
          <w:szCs w:val="24"/>
        </w:rPr>
        <w:t>2021</w:t>
      </w:r>
      <w:r>
        <w:rPr>
          <w:rFonts w:hint="eastAsia"/>
          <w:color w:val="auto"/>
          <w:sz w:val="24"/>
          <w:szCs w:val="24"/>
        </w:rPr>
        <w:t>年修订）》中金属表面处理及热处理加工的要求进行建设，满足A级企业要求。</w:t>
      </w:r>
      <w:r>
        <w:rPr>
          <w:rFonts w:hint="eastAsia" w:ascii="宋体" w:hAnsi="宋体" w:cs="宋体"/>
          <w:color w:val="auto"/>
          <w:kern w:val="21"/>
          <w:sz w:val="24"/>
          <w:szCs w:val="24"/>
        </w:rPr>
        <w:t>同时评价要求建设单位在废气</w:t>
      </w:r>
      <w:r>
        <w:rPr>
          <w:rFonts w:ascii="宋体" w:hAnsi="宋体" w:cs="宋体"/>
          <w:color w:val="auto"/>
          <w:kern w:val="21"/>
          <w:sz w:val="24"/>
          <w:szCs w:val="24"/>
        </w:rPr>
        <w:t>排放口安装自动监控设施并与生态环境部门联网</w:t>
      </w:r>
      <w:r>
        <w:rPr>
          <w:rFonts w:hint="eastAsia" w:ascii="宋体" w:hAnsi="宋体" w:cs="宋体"/>
          <w:color w:val="auto"/>
          <w:kern w:val="21"/>
          <w:sz w:val="24"/>
          <w:szCs w:val="24"/>
        </w:rPr>
        <w:t>。因此项目符合</w:t>
      </w:r>
      <w:r>
        <w:rPr>
          <w:rFonts w:ascii="宋体" w:hAnsi="宋体" w:cs="宋体"/>
          <w:color w:val="auto"/>
          <w:kern w:val="21"/>
          <w:sz w:val="24"/>
          <w:szCs w:val="24"/>
        </w:rPr>
        <w:t>《重点区域20</w:t>
      </w:r>
      <w:r>
        <w:rPr>
          <w:rFonts w:hint="eastAsia" w:ascii="宋体" w:hAnsi="宋体" w:cs="宋体"/>
          <w:color w:val="auto"/>
          <w:kern w:val="21"/>
          <w:sz w:val="24"/>
          <w:szCs w:val="24"/>
        </w:rPr>
        <w:t>21</w:t>
      </w:r>
      <w:r>
        <w:rPr>
          <w:rFonts w:ascii="宋体" w:hAnsi="宋体" w:cs="宋体"/>
          <w:color w:val="auto"/>
          <w:kern w:val="21"/>
          <w:sz w:val="24"/>
          <w:szCs w:val="24"/>
        </w:rPr>
        <w:t>-20</w:t>
      </w:r>
      <w:r>
        <w:rPr>
          <w:rFonts w:hint="eastAsia" w:ascii="宋体" w:hAnsi="宋体" w:cs="宋体"/>
          <w:color w:val="auto"/>
          <w:kern w:val="21"/>
          <w:sz w:val="24"/>
          <w:szCs w:val="24"/>
        </w:rPr>
        <w:t>22</w:t>
      </w:r>
      <w:r>
        <w:rPr>
          <w:rFonts w:ascii="宋体" w:hAnsi="宋体" w:cs="宋体"/>
          <w:color w:val="auto"/>
          <w:kern w:val="21"/>
          <w:sz w:val="24"/>
          <w:szCs w:val="24"/>
        </w:rPr>
        <w:t>年秋冬季大气污染综合治理攻坚方案》。</w:t>
      </w:r>
    </w:p>
    <w:p>
      <w:pPr>
        <w:adjustRightInd w:val="0"/>
        <w:snapToGrid w:val="0"/>
        <w:spacing w:line="360" w:lineRule="auto"/>
        <w:rPr>
          <w:rFonts w:hint="eastAsia" w:eastAsia="黑体"/>
          <w:color w:val="auto"/>
          <w:kern w:val="21"/>
          <w:sz w:val="28"/>
          <w:szCs w:val="28"/>
          <w:lang w:eastAsia="zh-CN"/>
        </w:rPr>
      </w:pPr>
      <w:bookmarkStart w:id="104" w:name="_Toc30629"/>
      <w:r>
        <w:rPr>
          <w:rFonts w:eastAsia="黑体"/>
          <w:color w:val="auto"/>
          <w:kern w:val="21"/>
          <w:sz w:val="28"/>
          <w:szCs w:val="28"/>
        </w:rPr>
        <w:t>2.</w:t>
      </w:r>
      <w:r>
        <w:rPr>
          <w:rFonts w:hint="eastAsia" w:eastAsia="黑体"/>
          <w:color w:val="auto"/>
          <w:kern w:val="21"/>
          <w:sz w:val="28"/>
          <w:szCs w:val="28"/>
        </w:rPr>
        <w:t>7.4《河南省涉重金属重点行业污染防控工作方案》（豫环文</w:t>
      </w:r>
      <w:r>
        <w:rPr>
          <w:rFonts w:hint="eastAsia" w:eastAsia="黑体"/>
          <w:color w:val="auto"/>
          <w:kern w:val="21"/>
          <w:sz w:val="28"/>
          <w:szCs w:val="28"/>
          <w:lang w:val="en-US" w:eastAsia="zh-CN"/>
        </w:rPr>
        <w:t>[</w:t>
      </w:r>
      <w:r>
        <w:rPr>
          <w:rFonts w:eastAsia="黑体"/>
          <w:color w:val="auto"/>
          <w:kern w:val="21"/>
          <w:sz w:val="28"/>
          <w:szCs w:val="28"/>
        </w:rPr>
        <w:t>2018</w:t>
      </w:r>
      <w:r>
        <w:rPr>
          <w:rFonts w:hint="eastAsia" w:eastAsia="黑体"/>
          <w:color w:val="auto"/>
          <w:kern w:val="21"/>
          <w:sz w:val="28"/>
          <w:szCs w:val="28"/>
          <w:lang w:val="en-US" w:eastAsia="zh-CN"/>
        </w:rPr>
        <w:t>]</w:t>
      </w:r>
      <w:r>
        <w:rPr>
          <w:rFonts w:eastAsia="黑体"/>
          <w:color w:val="auto"/>
          <w:kern w:val="21"/>
          <w:sz w:val="28"/>
          <w:szCs w:val="28"/>
        </w:rPr>
        <w:t>262</w:t>
      </w:r>
      <w:r>
        <w:rPr>
          <w:rFonts w:hint="eastAsia" w:eastAsia="黑体"/>
          <w:color w:val="auto"/>
          <w:kern w:val="21"/>
          <w:sz w:val="28"/>
          <w:szCs w:val="28"/>
        </w:rPr>
        <w:t>号</w:t>
      </w:r>
      <w:r>
        <w:rPr>
          <w:rFonts w:hint="eastAsia" w:eastAsia="黑体"/>
          <w:color w:val="auto"/>
          <w:kern w:val="21"/>
          <w:sz w:val="28"/>
          <w:szCs w:val="28"/>
          <w:lang w:eastAsia="zh-CN"/>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根据《河南省涉重金属重点行业污染防控工作方案》（豫环文</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2018</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262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号的内容，结合本项目的情况，该工作方案中涉及到本项目的内容与本项目实际情况的对比情况见下表：</w:t>
      </w:r>
    </w:p>
    <w:p>
      <w:pPr>
        <w:adjustRightInd w:val="0"/>
        <w:snapToGrid w:val="0"/>
        <w:jc w:val="center"/>
        <w:rPr>
          <w:rFonts w:eastAsia="黑体"/>
          <w:color w:val="auto"/>
          <w:kern w:val="21"/>
          <w:sz w:val="24"/>
          <w:szCs w:val="24"/>
        </w:rPr>
      </w:pPr>
      <w:r>
        <w:rPr>
          <w:rFonts w:hint="eastAsia" w:eastAsia="黑体"/>
          <w:color w:val="auto"/>
          <w:kern w:val="21"/>
          <w:sz w:val="24"/>
          <w:szCs w:val="24"/>
        </w:rPr>
        <w:t xml:space="preserve">表2.7-2  </w:t>
      </w:r>
      <w:r>
        <w:rPr>
          <w:rFonts w:eastAsia="黑体"/>
          <w:color w:val="auto"/>
          <w:kern w:val="21"/>
          <w:sz w:val="24"/>
          <w:szCs w:val="24"/>
        </w:rPr>
        <w:t>项目与</w:t>
      </w:r>
      <w:r>
        <w:rPr>
          <w:rFonts w:hint="eastAsia" w:eastAsia="黑体"/>
          <w:color w:val="auto"/>
          <w:kern w:val="21"/>
          <w:sz w:val="24"/>
          <w:szCs w:val="24"/>
        </w:rPr>
        <w:t>豫环文</w:t>
      </w:r>
      <w:r>
        <w:rPr>
          <w:rFonts w:hint="eastAsia" w:eastAsia="黑体"/>
          <w:color w:val="auto"/>
          <w:kern w:val="21"/>
          <w:sz w:val="24"/>
          <w:szCs w:val="24"/>
          <w:lang w:val="en-US" w:eastAsia="zh-CN"/>
        </w:rPr>
        <w:t>[</w:t>
      </w:r>
      <w:r>
        <w:rPr>
          <w:rFonts w:eastAsia="黑体"/>
          <w:color w:val="auto"/>
          <w:kern w:val="21"/>
          <w:sz w:val="24"/>
          <w:szCs w:val="24"/>
        </w:rPr>
        <w:t>2018</w:t>
      </w:r>
      <w:r>
        <w:rPr>
          <w:rFonts w:hint="eastAsia" w:eastAsia="黑体"/>
          <w:color w:val="auto"/>
          <w:kern w:val="21"/>
          <w:sz w:val="24"/>
          <w:szCs w:val="24"/>
          <w:lang w:val="en-US" w:eastAsia="zh-CN"/>
        </w:rPr>
        <w:t>]</w:t>
      </w:r>
      <w:r>
        <w:rPr>
          <w:rFonts w:eastAsia="黑体"/>
          <w:color w:val="auto"/>
          <w:kern w:val="21"/>
          <w:sz w:val="24"/>
          <w:szCs w:val="24"/>
        </w:rPr>
        <w:t>262</w:t>
      </w:r>
      <w:r>
        <w:rPr>
          <w:rFonts w:hint="eastAsia" w:eastAsia="黑体"/>
          <w:color w:val="auto"/>
          <w:kern w:val="21"/>
          <w:sz w:val="24"/>
          <w:szCs w:val="24"/>
        </w:rPr>
        <w:t>号</w:t>
      </w:r>
      <w:r>
        <w:rPr>
          <w:rFonts w:hint="eastAsia" w:eastAsia="黑体"/>
          <w:color w:val="auto"/>
          <w:kern w:val="21"/>
          <w:sz w:val="24"/>
          <w:szCs w:val="24"/>
          <w:lang w:eastAsia="zh-CN"/>
        </w:rPr>
        <w:t>文</w:t>
      </w:r>
      <w:r>
        <w:rPr>
          <w:rFonts w:eastAsia="黑体"/>
          <w:color w:val="auto"/>
          <w:kern w:val="21"/>
          <w:sz w:val="24"/>
          <w:szCs w:val="24"/>
        </w:rPr>
        <w:t>相符性分析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3648"/>
        <w:gridCol w:w="1701"/>
        <w:gridCol w:w="1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130" w:type="dxa"/>
            <w:shd w:val="clear" w:color="auto" w:fill="auto"/>
            <w:vAlign w:val="center"/>
          </w:tcPr>
          <w:p>
            <w:pPr>
              <w:pStyle w:val="377"/>
              <w:widowControl w:val="0"/>
              <w:adjustRightInd w:val="0"/>
              <w:snapToGrid w:val="0"/>
              <w:jc w:val="center"/>
              <w:rPr>
                <w:rFonts w:ascii="宋体" w:hAnsi="宋体" w:cs="宋体"/>
                <w:b/>
                <w:bCs/>
                <w:color w:val="auto"/>
                <w:kern w:val="21"/>
              </w:rPr>
            </w:pPr>
            <w:r>
              <w:rPr>
                <w:rFonts w:hint="eastAsia" w:ascii="宋体" w:hAnsi="宋体" w:cs="宋体"/>
                <w:b/>
                <w:bCs/>
                <w:color w:val="auto"/>
                <w:kern w:val="21"/>
              </w:rPr>
              <w:t>项目</w:t>
            </w:r>
          </w:p>
        </w:tc>
        <w:tc>
          <w:tcPr>
            <w:tcW w:w="3648" w:type="dxa"/>
            <w:shd w:val="clear" w:color="auto" w:fill="auto"/>
            <w:vAlign w:val="center"/>
          </w:tcPr>
          <w:p>
            <w:pPr>
              <w:pStyle w:val="377"/>
              <w:widowControl w:val="0"/>
              <w:adjustRightInd w:val="0"/>
              <w:snapToGrid w:val="0"/>
              <w:jc w:val="center"/>
              <w:rPr>
                <w:rFonts w:ascii="宋体" w:hAnsi="宋体" w:cs="宋体"/>
                <w:b/>
                <w:bCs/>
                <w:color w:val="auto"/>
                <w:kern w:val="21"/>
              </w:rPr>
            </w:pPr>
            <w:r>
              <w:rPr>
                <w:rFonts w:hint="eastAsia" w:ascii="宋体" w:hAnsi="宋体" w:cs="宋体"/>
                <w:b/>
                <w:bCs/>
                <w:color w:val="auto"/>
                <w:kern w:val="21"/>
              </w:rPr>
              <w:t>方案要求</w:t>
            </w:r>
          </w:p>
        </w:tc>
        <w:tc>
          <w:tcPr>
            <w:tcW w:w="1701" w:type="dxa"/>
            <w:shd w:val="clear" w:color="auto" w:fill="auto"/>
            <w:vAlign w:val="center"/>
          </w:tcPr>
          <w:p>
            <w:pPr>
              <w:pStyle w:val="377"/>
              <w:widowControl w:val="0"/>
              <w:adjustRightInd w:val="0"/>
              <w:snapToGrid w:val="0"/>
              <w:jc w:val="center"/>
              <w:rPr>
                <w:rFonts w:ascii="宋体" w:hAnsi="宋体" w:cs="宋体"/>
                <w:b/>
                <w:bCs/>
                <w:color w:val="auto"/>
                <w:kern w:val="21"/>
              </w:rPr>
            </w:pPr>
            <w:r>
              <w:rPr>
                <w:rFonts w:hint="eastAsia" w:ascii="宋体" w:hAnsi="宋体" w:cs="宋体"/>
                <w:b/>
                <w:bCs/>
                <w:color w:val="auto"/>
                <w:kern w:val="21"/>
              </w:rPr>
              <w:t>本项目建设情况</w:t>
            </w:r>
          </w:p>
        </w:tc>
        <w:tc>
          <w:tcPr>
            <w:tcW w:w="1043" w:type="dxa"/>
            <w:shd w:val="clear" w:color="auto" w:fill="auto"/>
            <w:vAlign w:val="center"/>
          </w:tcPr>
          <w:p>
            <w:pPr>
              <w:pStyle w:val="377"/>
              <w:widowControl w:val="0"/>
              <w:adjustRightInd w:val="0"/>
              <w:snapToGrid w:val="0"/>
              <w:jc w:val="center"/>
              <w:rPr>
                <w:rFonts w:hint="eastAsia" w:ascii="宋体" w:hAnsi="宋体" w:eastAsia="宋体" w:cs="宋体"/>
                <w:b/>
                <w:bCs/>
                <w:color w:val="auto"/>
                <w:kern w:val="21"/>
                <w:lang w:val="en-US" w:eastAsia="zh-CN"/>
              </w:rPr>
            </w:pPr>
            <w:r>
              <w:rPr>
                <w:rFonts w:hint="eastAsia" w:ascii="宋体" w:hAnsi="宋体" w:cs="宋体"/>
                <w:b/>
                <w:bCs/>
                <w:color w:val="auto"/>
                <w:kern w:val="21"/>
                <w:lang w:val="en-US" w:eastAsia="zh-CN"/>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（二）严格涉重金属行业项目环境准入，实施总量控制制度</w:t>
            </w:r>
          </w:p>
        </w:tc>
        <w:tc>
          <w:tcPr>
            <w:tcW w:w="3648" w:type="dxa"/>
            <w:shd w:val="clear" w:color="auto" w:fill="auto"/>
            <w:vAlign w:val="center"/>
          </w:tcPr>
          <w:p>
            <w:pPr>
              <w:pStyle w:val="377"/>
              <w:widowControl w:val="0"/>
              <w:adjustRightInd w:val="0"/>
              <w:snapToGrid w:val="0"/>
              <w:jc w:val="center"/>
              <w:rPr>
                <w:rFonts w:ascii="宋体" w:hAnsi="宋体" w:cs="宋体"/>
                <w:color w:val="auto"/>
                <w:kern w:val="21"/>
              </w:rPr>
            </w:pPr>
            <w:r>
              <w:rPr>
                <w:rFonts w:ascii="宋体" w:hAnsi="宋体" w:cs="宋体"/>
                <w:color w:val="auto"/>
                <w:kern w:val="21"/>
              </w:rPr>
              <w:t xml:space="preserve">2018 </w:t>
            </w:r>
            <w:r>
              <w:rPr>
                <w:rFonts w:hint="eastAsia" w:ascii="宋体" w:hAnsi="宋体" w:cs="宋体"/>
                <w:color w:val="auto"/>
                <w:kern w:val="21"/>
              </w:rPr>
              <w:t>年起，新建项目审批实施</w:t>
            </w:r>
            <w:r>
              <w:rPr>
                <w:rFonts w:ascii="宋体" w:hAnsi="宋体" w:cs="宋体"/>
                <w:color w:val="auto"/>
                <w:kern w:val="21"/>
              </w:rPr>
              <w:t>“</w:t>
            </w:r>
            <w:r>
              <w:rPr>
                <w:rFonts w:hint="eastAsia" w:ascii="宋体" w:hAnsi="宋体" w:cs="宋体"/>
                <w:color w:val="auto"/>
                <w:kern w:val="21"/>
              </w:rPr>
              <w:t>增产不增污</w:t>
            </w:r>
            <w:r>
              <w:rPr>
                <w:rFonts w:ascii="宋体" w:hAnsi="宋体" w:cs="宋体"/>
                <w:color w:val="auto"/>
                <w:kern w:val="21"/>
              </w:rPr>
              <w:t>”</w:t>
            </w:r>
            <w:r>
              <w:rPr>
                <w:rFonts w:hint="eastAsia" w:ascii="宋体" w:hAnsi="宋体" w:cs="宋体"/>
                <w:color w:val="auto"/>
                <w:kern w:val="21"/>
              </w:rPr>
              <w:t>或</w:t>
            </w:r>
            <w:r>
              <w:rPr>
                <w:rFonts w:ascii="宋体" w:hAnsi="宋体" w:cs="宋体"/>
                <w:color w:val="auto"/>
                <w:kern w:val="21"/>
              </w:rPr>
              <w:t>“</w:t>
            </w:r>
            <w:r>
              <w:rPr>
                <w:rFonts w:hint="eastAsia" w:ascii="宋体" w:hAnsi="宋体" w:cs="宋体"/>
                <w:color w:val="auto"/>
                <w:kern w:val="21"/>
              </w:rPr>
              <w:t>增产减污</w:t>
            </w:r>
            <w:r>
              <w:rPr>
                <w:rFonts w:ascii="宋体" w:hAnsi="宋体" w:cs="宋体"/>
                <w:color w:val="auto"/>
                <w:kern w:val="21"/>
              </w:rPr>
              <w:t>”</w:t>
            </w:r>
            <w:r>
              <w:rPr>
                <w:rFonts w:hint="eastAsia" w:ascii="宋体" w:hAnsi="宋体" w:cs="宋体"/>
                <w:color w:val="auto"/>
                <w:kern w:val="21"/>
              </w:rPr>
              <w:t>。全省新建、改建、扩建重点行业重金属污染物排放项目，通过</w:t>
            </w:r>
            <w:r>
              <w:rPr>
                <w:rFonts w:ascii="宋体" w:hAnsi="宋体" w:cs="宋体"/>
                <w:color w:val="auto"/>
                <w:kern w:val="21"/>
              </w:rPr>
              <w:t>“</w:t>
            </w:r>
            <w:r>
              <w:rPr>
                <w:rFonts w:hint="eastAsia" w:ascii="宋体" w:hAnsi="宋体" w:cs="宋体"/>
                <w:color w:val="auto"/>
                <w:kern w:val="21"/>
              </w:rPr>
              <w:t>以新代老</w:t>
            </w:r>
            <w:r>
              <w:rPr>
                <w:rFonts w:ascii="宋体" w:hAnsi="宋体" w:cs="宋体"/>
                <w:color w:val="auto"/>
                <w:kern w:val="21"/>
              </w:rPr>
              <w:t>”</w:t>
            </w:r>
            <w:r>
              <w:rPr>
                <w:rFonts w:hint="eastAsia" w:ascii="宋体" w:hAnsi="宋体" w:cs="宋体"/>
                <w:color w:val="auto"/>
                <w:kern w:val="21"/>
              </w:rPr>
              <w:t>治理、淘汰落后产能、区域替代等</w:t>
            </w:r>
            <w:r>
              <w:rPr>
                <w:rFonts w:ascii="宋体" w:hAnsi="宋体" w:cs="宋体"/>
                <w:color w:val="auto"/>
                <w:kern w:val="21"/>
              </w:rPr>
              <w:t>“</w:t>
            </w:r>
            <w:r>
              <w:rPr>
                <w:rFonts w:hint="eastAsia" w:ascii="宋体" w:hAnsi="宋体" w:cs="宋体"/>
                <w:color w:val="auto"/>
                <w:kern w:val="21"/>
              </w:rPr>
              <w:t>等量置换</w:t>
            </w:r>
            <w:r>
              <w:rPr>
                <w:rFonts w:ascii="宋体" w:hAnsi="宋体" w:cs="宋体"/>
                <w:color w:val="auto"/>
                <w:kern w:val="21"/>
              </w:rPr>
              <w:t xml:space="preserve">” </w:t>
            </w:r>
            <w:r>
              <w:rPr>
                <w:rFonts w:hint="eastAsia" w:ascii="宋体" w:hAnsi="宋体" w:cs="宋体"/>
                <w:color w:val="auto"/>
                <w:kern w:val="21"/>
              </w:rPr>
              <w:t>或</w:t>
            </w:r>
            <w:r>
              <w:rPr>
                <w:rFonts w:ascii="宋体" w:hAnsi="宋体" w:cs="宋体"/>
                <w:color w:val="auto"/>
                <w:kern w:val="21"/>
              </w:rPr>
              <w:t>“</w:t>
            </w:r>
            <w:r>
              <w:rPr>
                <w:rFonts w:hint="eastAsia" w:ascii="宋体" w:hAnsi="宋体" w:cs="宋体"/>
                <w:color w:val="auto"/>
                <w:kern w:val="21"/>
              </w:rPr>
              <w:t>减量置换</w:t>
            </w:r>
            <w:r>
              <w:rPr>
                <w:rFonts w:ascii="宋体" w:hAnsi="宋体" w:cs="宋体"/>
                <w:color w:val="auto"/>
                <w:kern w:val="21"/>
              </w:rPr>
              <w:t>”</w:t>
            </w:r>
            <w:r>
              <w:rPr>
                <w:rFonts w:hint="eastAsia" w:ascii="宋体" w:hAnsi="宋体" w:cs="宋体"/>
                <w:color w:val="auto"/>
                <w:kern w:val="21"/>
              </w:rPr>
              <w:t>措施，实现所在区域内重点重金属污染物排放总量零增长或进一步削减。对全口径清单内的企业落实减排措施和工程削减的重点重金属污染物排放量，经监测并可核实的，可作为涉重金属行业新、改、扩建企业重金属污染物排放总量等量来源。</w:t>
            </w:r>
          </w:p>
        </w:tc>
        <w:tc>
          <w:tcPr>
            <w:tcW w:w="1701"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本项目为新建项目，不涉及重金属污染物排放。</w:t>
            </w:r>
          </w:p>
        </w:tc>
        <w:tc>
          <w:tcPr>
            <w:tcW w:w="1043" w:type="dxa"/>
            <w:shd w:val="clear" w:color="auto" w:fill="auto"/>
            <w:vAlign w:val="center"/>
          </w:tcPr>
          <w:p>
            <w:pPr>
              <w:pStyle w:val="377"/>
              <w:widowControl w:val="0"/>
              <w:adjustRightInd w:val="0"/>
              <w:snapToGrid w:val="0"/>
              <w:jc w:val="center"/>
              <w:rPr>
                <w:rFonts w:hint="eastAsia" w:ascii="宋体" w:hAnsi="宋体" w:cs="宋体"/>
                <w:color w:val="auto"/>
                <w:kern w:val="21"/>
                <w:lang w:val="en-US" w:eastAsia="zh-CN"/>
              </w:rPr>
            </w:pPr>
          </w:p>
          <w:p>
            <w:pPr>
              <w:pStyle w:val="377"/>
              <w:widowControl w:val="0"/>
              <w:adjustRightInd w:val="0"/>
              <w:snapToGrid w:val="0"/>
              <w:jc w:val="center"/>
              <w:rPr>
                <w:rFonts w:hint="default" w:ascii="宋体" w:hAnsi="宋体" w:eastAsia="宋体" w:cs="宋体"/>
                <w:color w:val="auto"/>
                <w:kern w:val="21"/>
                <w:lang w:val="en-US" w:eastAsia="zh-CN"/>
              </w:rPr>
            </w:pPr>
            <w:r>
              <w:rPr>
                <w:rFonts w:hint="eastAsia" w:ascii="宋体" w:hAnsi="宋体" w:cs="宋体"/>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lang w:eastAsia="zh-CN"/>
              </w:rPr>
              <w:t>（</w:t>
            </w:r>
            <w:r>
              <w:rPr>
                <w:rFonts w:hint="eastAsia" w:ascii="宋体" w:hAnsi="宋体" w:cs="宋体"/>
                <w:color w:val="auto"/>
                <w:kern w:val="21"/>
              </w:rPr>
              <w:t>三</w:t>
            </w:r>
            <w:r>
              <w:rPr>
                <w:rFonts w:hint="eastAsia" w:ascii="宋体" w:hAnsi="宋体" w:cs="宋体"/>
                <w:color w:val="auto"/>
                <w:kern w:val="21"/>
                <w:lang w:eastAsia="zh-CN"/>
              </w:rPr>
              <w:t>）</w:t>
            </w:r>
            <w:r>
              <w:rPr>
                <w:rFonts w:hint="eastAsia" w:ascii="宋体" w:hAnsi="宋体" w:cs="宋体"/>
                <w:color w:val="auto"/>
                <w:kern w:val="21"/>
              </w:rPr>
              <w:t>严格执行行业政策，强化涉重金属行业监管</w:t>
            </w:r>
          </w:p>
        </w:tc>
        <w:tc>
          <w:tcPr>
            <w:tcW w:w="3648"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坚决淘汰铅锌冶炼行业的烧结</w:t>
            </w:r>
            <w:r>
              <w:rPr>
                <w:rFonts w:ascii="宋体" w:hAnsi="宋体" w:cs="宋体"/>
                <w:color w:val="auto"/>
                <w:kern w:val="21"/>
              </w:rPr>
              <w:t>—</w:t>
            </w:r>
            <w:r>
              <w:rPr>
                <w:rFonts w:hint="eastAsia" w:ascii="宋体" w:hAnsi="宋体" w:cs="宋体"/>
                <w:color w:val="auto"/>
                <w:kern w:val="21"/>
              </w:rPr>
              <w:t>鼓风炉炼铅工艺等不符合国家产业政策的落后生产工艺装备，依法全面取缔不符合国家产业政策的制革、炼砷、炼汞、电镀、铅酸蓄电池、再生铅等生产企业和生产设施，坚决打击并取缔非法手工和小规模采金、炼金活动。对产能严重过剩的行业，各地要认真执行准入要求，鼓励涉重金属排放企业主动退出市场。</w:t>
            </w:r>
          </w:p>
        </w:tc>
        <w:tc>
          <w:tcPr>
            <w:tcW w:w="1701" w:type="dxa"/>
            <w:shd w:val="clear" w:color="auto" w:fill="auto"/>
            <w:vAlign w:val="center"/>
          </w:tcPr>
          <w:p>
            <w:pPr>
              <w:pStyle w:val="377"/>
              <w:widowControl w:val="0"/>
              <w:adjustRightInd w:val="0"/>
              <w:snapToGrid w:val="0"/>
              <w:jc w:val="center"/>
              <w:rPr>
                <w:rFonts w:hint="eastAsia" w:ascii="宋体" w:hAnsi="宋体" w:eastAsia="宋体" w:cs="宋体"/>
                <w:color w:val="auto"/>
                <w:kern w:val="21"/>
                <w:lang w:eastAsia="zh-CN"/>
              </w:rPr>
            </w:pPr>
            <w:r>
              <w:rPr>
                <w:rFonts w:hint="eastAsia" w:ascii="宋体" w:hAnsi="宋体" w:cs="宋体"/>
                <w:color w:val="auto"/>
                <w:kern w:val="21"/>
              </w:rPr>
              <w:t>本项目涉及电镀工序，符合国家产业政策，不属于产能严重过剩行业，且不涉及重金属污染物排放</w:t>
            </w:r>
            <w:r>
              <w:rPr>
                <w:rFonts w:hint="eastAsia" w:ascii="宋体" w:hAnsi="宋体" w:cs="宋体"/>
                <w:color w:val="auto"/>
                <w:kern w:val="21"/>
                <w:lang w:eastAsia="zh-CN"/>
              </w:rPr>
              <w:t>。</w:t>
            </w:r>
          </w:p>
          <w:p>
            <w:pPr>
              <w:pStyle w:val="377"/>
              <w:widowControl w:val="0"/>
              <w:adjustRightInd w:val="0"/>
              <w:snapToGrid w:val="0"/>
              <w:jc w:val="center"/>
              <w:rPr>
                <w:rFonts w:ascii="宋体" w:hAnsi="宋体" w:cs="宋体"/>
                <w:color w:val="auto"/>
                <w:kern w:val="21"/>
              </w:rPr>
            </w:pPr>
          </w:p>
        </w:tc>
        <w:tc>
          <w:tcPr>
            <w:tcW w:w="1043"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（四）全面提升涉重金属行业清洁生产水平。</w:t>
            </w:r>
          </w:p>
        </w:tc>
        <w:tc>
          <w:tcPr>
            <w:tcW w:w="3648"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落实清洁生产审核制度，依法开展重点行业企业清洁生产审核，组织清洁生产审核评估验收。重金属污染重点行业企业每五年完成一次强制性清洁生产审核，并将审核评估结果向有关部门报告。对不实施清洁生产审核，或虽经审核但未如实报告审核结果，以及结果未公示，或者未按照规定公开重金属污染物排放情况的企业，有关部门应依法进行行政处罚，确保重金属污染防控重点行业企业清洁生产审核率达到</w:t>
            </w:r>
            <w:r>
              <w:rPr>
                <w:rFonts w:ascii="宋体" w:hAnsi="宋体" w:cs="宋体"/>
                <w:color w:val="auto"/>
                <w:kern w:val="21"/>
              </w:rPr>
              <w:t xml:space="preserve"> 100%</w:t>
            </w:r>
            <w:r>
              <w:rPr>
                <w:rFonts w:hint="eastAsia" w:ascii="宋体" w:hAnsi="宋体" w:cs="宋体"/>
                <w:color w:val="auto"/>
                <w:kern w:val="21"/>
              </w:rPr>
              <w:t>。</w:t>
            </w:r>
          </w:p>
        </w:tc>
        <w:tc>
          <w:tcPr>
            <w:tcW w:w="1701"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本项目建成后将严格落实清洁生产审核制度，依法开展清洁生产，组织清洁生产审核评估验收。</w:t>
            </w:r>
          </w:p>
          <w:p>
            <w:pPr>
              <w:pStyle w:val="377"/>
              <w:widowControl w:val="0"/>
              <w:adjustRightInd w:val="0"/>
              <w:snapToGrid w:val="0"/>
              <w:jc w:val="center"/>
              <w:rPr>
                <w:rFonts w:ascii="宋体" w:hAnsi="宋体" w:cs="宋体"/>
                <w:color w:val="auto"/>
                <w:kern w:val="21"/>
              </w:rPr>
            </w:pPr>
          </w:p>
        </w:tc>
        <w:tc>
          <w:tcPr>
            <w:tcW w:w="1043"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lang w:eastAsia="zh-CN"/>
              </w:rPr>
              <w:t>（</w:t>
            </w:r>
            <w:r>
              <w:rPr>
                <w:rFonts w:hint="eastAsia" w:ascii="宋体" w:hAnsi="宋体" w:cs="宋体"/>
                <w:color w:val="auto"/>
                <w:kern w:val="21"/>
              </w:rPr>
              <w:t>六</w:t>
            </w:r>
            <w:r>
              <w:rPr>
                <w:rFonts w:hint="eastAsia" w:ascii="宋体" w:hAnsi="宋体" w:cs="宋体"/>
                <w:color w:val="auto"/>
                <w:kern w:val="21"/>
                <w:lang w:eastAsia="zh-CN"/>
              </w:rPr>
              <w:t>）</w:t>
            </w:r>
            <w:r>
              <w:rPr>
                <w:rFonts w:hint="eastAsia" w:ascii="宋体" w:hAnsi="宋体" w:cs="宋体"/>
                <w:color w:val="auto"/>
                <w:kern w:val="21"/>
              </w:rPr>
              <w:t>严格管控新增重金属污染。加大结构调整力度。</w:t>
            </w:r>
          </w:p>
        </w:tc>
        <w:tc>
          <w:tcPr>
            <w:tcW w:w="3648"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根据国家及有关部门要求，加大重金属污染重点行业产业结构调整力度，优化空间布局。积极引导、支持皮革及毛皮鞣制加工、铅酸蓄电池制造、电镀加工及其生产线等重点行业企业进入相应工业集聚区、园区，集约化、专业化集聚发展。</w:t>
            </w:r>
          </w:p>
        </w:tc>
        <w:tc>
          <w:tcPr>
            <w:tcW w:w="1701"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本项目涉及电镀工序，位于新乡市获嘉县产业集聚区</w:t>
            </w:r>
          </w:p>
          <w:p>
            <w:pPr>
              <w:pStyle w:val="377"/>
              <w:widowControl w:val="0"/>
              <w:adjustRightInd w:val="0"/>
              <w:snapToGrid w:val="0"/>
              <w:jc w:val="center"/>
              <w:rPr>
                <w:rFonts w:ascii="宋体" w:hAnsi="宋体" w:cs="宋体"/>
                <w:color w:val="auto"/>
                <w:kern w:val="21"/>
              </w:rPr>
            </w:pPr>
          </w:p>
        </w:tc>
        <w:tc>
          <w:tcPr>
            <w:tcW w:w="1043"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lang w:eastAsia="zh-CN"/>
              </w:rPr>
              <w:t>（</w:t>
            </w:r>
            <w:r>
              <w:rPr>
                <w:rFonts w:hint="eastAsia" w:ascii="宋体" w:hAnsi="宋体" w:cs="宋体"/>
                <w:color w:val="auto"/>
                <w:kern w:val="21"/>
              </w:rPr>
              <w:t>七</w:t>
            </w:r>
            <w:r>
              <w:rPr>
                <w:rFonts w:hint="eastAsia" w:ascii="宋体" w:hAnsi="宋体" w:cs="宋体"/>
                <w:color w:val="auto"/>
                <w:kern w:val="21"/>
                <w:lang w:eastAsia="zh-CN"/>
              </w:rPr>
              <w:t>）</w:t>
            </w:r>
            <w:r>
              <w:rPr>
                <w:rFonts w:hint="eastAsia" w:ascii="宋体" w:hAnsi="宋体" w:cs="宋体"/>
                <w:color w:val="auto"/>
                <w:kern w:val="21"/>
              </w:rPr>
              <w:t>开展涉镉等重金属行业企业排查整治</w:t>
            </w:r>
          </w:p>
        </w:tc>
        <w:tc>
          <w:tcPr>
            <w:tcW w:w="3648"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全省涉重金属行业企业生产废水应按照</w:t>
            </w:r>
            <w:r>
              <w:rPr>
                <w:rFonts w:ascii="宋体" w:hAnsi="宋体" w:cs="宋体"/>
                <w:color w:val="auto"/>
                <w:kern w:val="21"/>
              </w:rPr>
              <w:t>“</w:t>
            </w:r>
            <w:r>
              <w:rPr>
                <w:rFonts w:hint="eastAsia" w:ascii="宋体" w:hAnsi="宋体" w:cs="宋体"/>
                <w:color w:val="auto"/>
                <w:kern w:val="21"/>
              </w:rPr>
              <w:t>清污分流、污污分流</w:t>
            </w:r>
            <w:r>
              <w:rPr>
                <w:rFonts w:hint="eastAsia" w:ascii="宋体" w:hAnsi="宋体" w:cs="宋体"/>
                <w:color w:val="auto"/>
                <w:kern w:val="21"/>
                <w:lang w:eastAsia="zh-CN"/>
              </w:rPr>
              <w:t>”“</w:t>
            </w:r>
            <w:r>
              <w:rPr>
                <w:rFonts w:hint="eastAsia" w:ascii="宋体" w:hAnsi="宋体" w:cs="宋体"/>
                <w:color w:val="auto"/>
                <w:kern w:val="21"/>
              </w:rPr>
              <w:t>循环套用、再生利用</w:t>
            </w:r>
            <w:r>
              <w:rPr>
                <w:rFonts w:ascii="宋体" w:hAnsi="宋体" w:cs="宋体"/>
                <w:color w:val="auto"/>
                <w:kern w:val="21"/>
              </w:rPr>
              <w:t>”</w:t>
            </w:r>
            <w:r>
              <w:rPr>
                <w:rFonts w:hint="eastAsia" w:ascii="宋体" w:hAnsi="宋体" w:cs="宋体"/>
                <w:color w:val="auto"/>
                <w:kern w:val="21"/>
              </w:rPr>
              <w:t>等原则进行达标处理及循环利用。企业废水处理设施的建设及改造应严格按照相应行业废水治理工程技术规范、污染防治技术指南及其它废水治理工程技术要求实施，厂区初期雨水经收集后应与厂区生活废水进入企业综合废水处理设施。综合废水排放口重金属污染物应达到国家污染物排放标准限值要求。凡执行河南省特别排放标准限值及区域、流域内有地方标准的涉重金属排放行业企业，污染物排放应严格执行相应标准要求。</w:t>
            </w:r>
          </w:p>
        </w:tc>
        <w:tc>
          <w:tcPr>
            <w:tcW w:w="1701"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本项目建成后严格按照</w:t>
            </w:r>
            <w:r>
              <w:rPr>
                <w:rFonts w:ascii="宋体" w:hAnsi="宋体" w:cs="宋体"/>
                <w:color w:val="auto"/>
                <w:kern w:val="21"/>
              </w:rPr>
              <w:t>“</w:t>
            </w:r>
            <w:r>
              <w:rPr>
                <w:rFonts w:hint="eastAsia" w:ascii="宋体" w:hAnsi="宋体" w:cs="宋体"/>
                <w:color w:val="auto"/>
                <w:kern w:val="21"/>
              </w:rPr>
              <w:t>清污分流、污污分流</w:t>
            </w:r>
            <w:r>
              <w:rPr>
                <w:rFonts w:hint="eastAsia" w:ascii="宋体" w:hAnsi="宋体" w:cs="宋体"/>
                <w:color w:val="auto"/>
                <w:kern w:val="21"/>
                <w:lang w:eastAsia="zh-CN"/>
              </w:rPr>
              <w:t>”“</w:t>
            </w:r>
            <w:r>
              <w:rPr>
                <w:rFonts w:hint="eastAsia" w:ascii="宋体" w:hAnsi="宋体" w:cs="宋体"/>
                <w:color w:val="auto"/>
                <w:kern w:val="21"/>
              </w:rPr>
              <w:t>循环套用、再生利用</w:t>
            </w:r>
            <w:r>
              <w:rPr>
                <w:rFonts w:ascii="宋体" w:hAnsi="宋体" w:cs="宋体"/>
                <w:color w:val="auto"/>
                <w:kern w:val="21"/>
              </w:rPr>
              <w:t>”</w:t>
            </w:r>
            <w:r>
              <w:rPr>
                <w:rFonts w:hint="eastAsia" w:ascii="宋体" w:hAnsi="宋体" w:cs="宋体"/>
                <w:color w:val="auto"/>
                <w:kern w:val="21"/>
              </w:rPr>
              <w:t>等原则进行达标处理及循环利用。废水处理设施的建设严格按照相应行业废水治理工程技术规范、污染防治技术指南及其它废水治理工程技术要求实施。</w:t>
            </w:r>
            <w:r>
              <w:rPr>
                <w:rFonts w:hint="eastAsia" w:ascii="宋体" w:hAnsi="宋体" w:cs="宋体"/>
                <w:color w:val="auto"/>
                <w:kern w:val="21"/>
                <w:lang w:eastAsia="zh-CN"/>
              </w:rPr>
              <w:t>本项目所有生产设施全部在车间内，不露天，故不再设置初期雨水收集池。</w:t>
            </w:r>
            <w:r>
              <w:rPr>
                <w:rFonts w:hint="eastAsia" w:ascii="宋体" w:hAnsi="宋体" w:cs="宋体"/>
                <w:color w:val="auto"/>
                <w:kern w:val="21"/>
              </w:rPr>
              <w:t>涉重废水全部回用，不外排。</w:t>
            </w:r>
          </w:p>
          <w:p>
            <w:pPr>
              <w:pStyle w:val="377"/>
              <w:widowControl w:val="0"/>
              <w:adjustRightInd w:val="0"/>
              <w:snapToGrid w:val="0"/>
              <w:jc w:val="center"/>
              <w:rPr>
                <w:rFonts w:ascii="宋体" w:hAnsi="宋体" w:cs="宋体"/>
                <w:color w:val="auto"/>
                <w:kern w:val="21"/>
              </w:rPr>
            </w:pPr>
          </w:p>
        </w:tc>
        <w:tc>
          <w:tcPr>
            <w:tcW w:w="1043"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lang w:eastAsia="zh-CN"/>
              </w:rPr>
              <w:t>（</w:t>
            </w:r>
            <w:r>
              <w:rPr>
                <w:rFonts w:hint="eastAsia" w:ascii="宋体" w:hAnsi="宋体" w:cs="宋体"/>
                <w:color w:val="auto"/>
                <w:kern w:val="21"/>
              </w:rPr>
              <w:t>八</w:t>
            </w:r>
            <w:r>
              <w:rPr>
                <w:rFonts w:hint="eastAsia" w:ascii="宋体" w:hAnsi="宋体" w:cs="宋体"/>
                <w:color w:val="auto"/>
                <w:kern w:val="21"/>
                <w:lang w:eastAsia="zh-CN"/>
              </w:rPr>
              <w:t>）</w:t>
            </w:r>
            <w:r>
              <w:rPr>
                <w:rFonts w:hint="eastAsia" w:ascii="宋体" w:hAnsi="宋体" w:cs="宋体"/>
                <w:color w:val="auto"/>
                <w:kern w:val="21"/>
              </w:rPr>
              <w:t>全面实施环境风险防控。</w:t>
            </w:r>
          </w:p>
        </w:tc>
        <w:tc>
          <w:tcPr>
            <w:tcW w:w="3648"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新建、改建、扩建涉重金属污染物排放以及可能对土壤环境造成累积性影响的建设项目，在开展环境影响评价时，建设单位应对建设用地及其周边土壤和地下水环境质量状况进行调查和环境风险评估。</w:t>
            </w:r>
          </w:p>
        </w:tc>
        <w:tc>
          <w:tcPr>
            <w:tcW w:w="1701"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本项目属于新建项目，</w:t>
            </w:r>
            <w:r>
              <w:rPr>
                <w:rFonts w:hint="eastAsia" w:ascii="宋体" w:hAnsi="宋体" w:cs="宋体"/>
                <w:color w:val="auto"/>
                <w:kern w:val="21"/>
                <w:lang w:eastAsia="zh-CN"/>
              </w:rPr>
              <w:t>项目涉重废水经处理后全部回用，不外排。</w:t>
            </w:r>
            <w:r>
              <w:rPr>
                <w:rFonts w:hint="eastAsia" w:ascii="宋体" w:hAnsi="宋体" w:cs="宋体"/>
                <w:color w:val="auto"/>
                <w:kern w:val="21"/>
              </w:rPr>
              <w:t>在</w:t>
            </w:r>
            <w:r>
              <w:rPr>
                <w:rFonts w:hint="eastAsia" w:ascii="宋体" w:hAnsi="宋体" w:cs="宋体"/>
                <w:color w:val="auto"/>
                <w:kern w:val="21"/>
                <w:lang w:eastAsia="zh-CN"/>
              </w:rPr>
              <w:t>环评期间</w:t>
            </w:r>
            <w:r>
              <w:rPr>
                <w:rFonts w:hint="eastAsia" w:ascii="宋体" w:hAnsi="宋体" w:cs="宋体"/>
                <w:color w:val="auto"/>
                <w:kern w:val="21"/>
              </w:rPr>
              <w:t>，建设单位对建设用地及其周边土壤和地下水环境质量状况进行</w:t>
            </w:r>
            <w:r>
              <w:rPr>
                <w:rFonts w:hint="eastAsia" w:ascii="宋体" w:hAnsi="宋体" w:cs="宋体"/>
                <w:color w:val="auto"/>
                <w:kern w:val="21"/>
                <w:lang w:eastAsia="zh-CN"/>
              </w:rPr>
              <w:t>了现状监测</w:t>
            </w:r>
            <w:r>
              <w:rPr>
                <w:rFonts w:hint="eastAsia" w:ascii="宋体" w:hAnsi="宋体" w:cs="宋体"/>
                <w:color w:val="auto"/>
                <w:kern w:val="21"/>
              </w:rPr>
              <w:t>。</w:t>
            </w:r>
          </w:p>
        </w:tc>
        <w:tc>
          <w:tcPr>
            <w:tcW w:w="1043" w:type="dxa"/>
            <w:shd w:val="clear" w:color="auto" w:fill="auto"/>
            <w:vAlign w:val="center"/>
          </w:tcPr>
          <w:p>
            <w:pPr>
              <w:pStyle w:val="377"/>
              <w:widowControl w:val="0"/>
              <w:adjustRightInd w:val="0"/>
              <w:snapToGrid w:val="0"/>
              <w:jc w:val="center"/>
              <w:rPr>
                <w:rFonts w:ascii="宋体" w:hAnsi="宋体" w:cs="宋体"/>
                <w:color w:val="auto"/>
                <w:kern w:val="21"/>
              </w:rPr>
            </w:pPr>
            <w:r>
              <w:rPr>
                <w:rFonts w:hint="eastAsia" w:ascii="宋体" w:hAnsi="宋体" w:cs="宋体"/>
                <w:color w:val="auto"/>
                <w:kern w:val="21"/>
              </w:rPr>
              <w:t>符合</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sz w:val="24"/>
          <w:szCs w:val="24"/>
        </w:rPr>
      </w:pPr>
      <w:r>
        <w:rPr>
          <w:rFonts w:hint="eastAsia"/>
          <w:color w:val="auto"/>
          <w:sz w:val="24"/>
          <w:szCs w:val="24"/>
        </w:rPr>
        <w:t>综上对比，本项目建设符合《河南省涉重金属重点行业污染防控工作方案》（豫环文</w:t>
      </w:r>
      <w:r>
        <w:rPr>
          <w:rFonts w:hint="eastAsia"/>
          <w:color w:val="auto"/>
          <w:sz w:val="24"/>
          <w:szCs w:val="24"/>
          <w:lang w:val="en-US" w:eastAsia="zh-CN"/>
        </w:rPr>
        <w:t>[</w:t>
      </w:r>
      <w:r>
        <w:rPr>
          <w:rFonts w:hint="eastAsia"/>
          <w:color w:val="auto"/>
          <w:sz w:val="24"/>
          <w:szCs w:val="24"/>
        </w:rPr>
        <w:t>2018</w:t>
      </w:r>
      <w:r>
        <w:rPr>
          <w:rFonts w:hint="eastAsia"/>
          <w:color w:val="auto"/>
          <w:sz w:val="24"/>
          <w:szCs w:val="24"/>
          <w:lang w:val="en-US" w:eastAsia="zh-CN"/>
        </w:rPr>
        <w:t>]</w:t>
      </w:r>
      <w:r>
        <w:rPr>
          <w:rFonts w:hint="eastAsia"/>
          <w:color w:val="auto"/>
          <w:sz w:val="24"/>
          <w:szCs w:val="24"/>
        </w:rPr>
        <w:t>262</w:t>
      </w:r>
      <w:r>
        <w:rPr>
          <w:rFonts w:hint="eastAsia"/>
          <w:color w:val="auto"/>
          <w:sz w:val="24"/>
          <w:szCs w:val="24"/>
          <w:lang w:eastAsia="zh-CN"/>
        </w:rPr>
        <w:t>）</w:t>
      </w:r>
      <w:r>
        <w:rPr>
          <w:rFonts w:hint="eastAsia"/>
          <w:color w:val="auto"/>
          <w:sz w:val="24"/>
          <w:szCs w:val="24"/>
        </w:rPr>
        <w:t>号的符合相关要求。</w:t>
      </w:r>
    </w:p>
    <w:p>
      <w:pPr>
        <w:adjustRightInd w:val="0"/>
        <w:snapToGrid w:val="0"/>
        <w:spacing w:line="360" w:lineRule="auto"/>
        <w:outlineLvl w:val="2"/>
        <w:rPr>
          <w:rFonts w:hint="eastAsia" w:eastAsia="黑体"/>
          <w:b/>
          <w:bCs/>
          <w:color w:val="auto"/>
          <w:kern w:val="21"/>
          <w:sz w:val="28"/>
          <w:szCs w:val="28"/>
          <w:u w:val="single"/>
        </w:rPr>
      </w:pPr>
      <w:r>
        <w:rPr>
          <w:rFonts w:eastAsia="黑体"/>
          <w:b/>
          <w:bCs/>
          <w:color w:val="auto"/>
          <w:kern w:val="21"/>
          <w:sz w:val="28"/>
          <w:szCs w:val="28"/>
          <w:u w:val="single"/>
        </w:rPr>
        <w:t>2.</w:t>
      </w:r>
      <w:r>
        <w:rPr>
          <w:rFonts w:hint="eastAsia" w:eastAsia="黑体"/>
          <w:b/>
          <w:bCs/>
          <w:color w:val="auto"/>
          <w:kern w:val="21"/>
          <w:sz w:val="28"/>
          <w:szCs w:val="28"/>
          <w:u w:val="single"/>
        </w:rPr>
        <w:t>7.5《关于进一步加强重金属污染防控的意见》（环固体【2022】17号）</w:t>
      </w:r>
    </w:p>
    <w:p>
      <w:pPr>
        <w:pStyle w:val="43"/>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sz w:val="24"/>
          <w:szCs w:val="24"/>
          <w:lang w:val="en-US" w:eastAsia="zh-CN"/>
        </w:rPr>
      </w:pPr>
      <w:r>
        <w:rPr>
          <w:rFonts w:hint="eastAsia" w:eastAsia="黑体"/>
          <w:b/>
          <w:bCs/>
          <w:color w:val="auto"/>
          <w:kern w:val="21"/>
          <w:sz w:val="28"/>
          <w:szCs w:val="28"/>
          <w:u w:val="none"/>
          <w:lang w:val="en-US" w:eastAsia="zh-CN"/>
        </w:rPr>
        <w:t xml:space="preserve">  </w:t>
      </w:r>
      <w:r>
        <w:rPr>
          <w:rFonts w:hint="eastAsia" w:eastAsia="黑体"/>
          <w:b/>
          <w:bCs/>
          <w:color w:val="auto"/>
          <w:kern w:val="21"/>
          <w:sz w:val="24"/>
          <w:szCs w:val="24"/>
          <w:u w:val="none"/>
          <w:lang w:val="en-US" w:eastAsia="zh-CN"/>
        </w:rPr>
        <w:t xml:space="preserve">  </w:t>
      </w:r>
      <w:r>
        <w:rPr>
          <w:rFonts w:hint="default" w:ascii="Times New Roman" w:hAnsi="Times New Roman" w:eastAsia="宋体" w:cs="Times New Roman"/>
          <w:b/>
          <w:bCs/>
          <w:color w:val="auto"/>
          <w:kern w:val="21"/>
          <w:sz w:val="24"/>
          <w:szCs w:val="24"/>
          <w:u w:val="none"/>
          <w:lang w:val="en-US" w:eastAsia="zh-CN"/>
        </w:rPr>
        <w:t xml:space="preserve"> 本项目与《关于进一步加强重金属污染防控的意见》</w:t>
      </w:r>
      <w:r>
        <w:rPr>
          <w:rFonts w:hint="default" w:ascii="Times New Roman" w:hAnsi="Times New Roman" w:eastAsia="宋体" w:cs="Times New Roman"/>
          <w:b/>
          <w:bCs/>
          <w:color w:val="auto"/>
          <w:kern w:val="21"/>
          <w:sz w:val="24"/>
          <w:szCs w:val="24"/>
          <w:u w:val="single"/>
        </w:rPr>
        <w:t>环固体【2022】17号）</w:t>
      </w:r>
      <w:r>
        <w:rPr>
          <w:rFonts w:hint="default" w:ascii="Times New Roman" w:hAnsi="Times New Roman" w:eastAsia="宋体" w:cs="Times New Roman"/>
          <w:b/>
          <w:bCs/>
          <w:color w:val="auto"/>
          <w:kern w:val="21"/>
          <w:sz w:val="24"/>
          <w:szCs w:val="24"/>
          <w:u w:val="single"/>
          <w:lang w:val="en-US" w:eastAsia="zh-CN"/>
        </w:rPr>
        <w:t>文相关内容的相符性分析见下表2.7-3。</w:t>
      </w:r>
    </w:p>
    <w:p>
      <w:pPr>
        <w:spacing w:line="440" w:lineRule="exact"/>
        <w:ind w:firstLine="1205" w:firstLineChars="500"/>
        <w:textAlignment w:val="baseline"/>
        <w:rPr>
          <w:rFonts w:hint="eastAsia" w:hAnsi="黑体" w:eastAsia="黑体"/>
          <w:b/>
          <w:bCs/>
          <w:color w:val="auto"/>
          <w:sz w:val="24"/>
          <w:u w:val="single"/>
          <w:lang w:eastAsia="zh-CN"/>
        </w:rPr>
      </w:pPr>
      <w:r>
        <w:rPr>
          <w:rFonts w:hAnsi="黑体" w:eastAsia="黑体"/>
          <w:b/>
          <w:bCs/>
          <w:color w:val="auto"/>
          <w:sz w:val="24"/>
          <w:u w:val="single"/>
        </w:rPr>
        <w:t>表</w:t>
      </w:r>
      <w:r>
        <w:rPr>
          <w:rFonts w:hint="eastAsia" w:eastAsia="黑体"/>
          <w:b/>
          <w:bCs/>
          <w:color w:val="auto"/>
          <w:sz w:val="24"/>
          <w:u w:val="single"/>
        </w:rPr>
        <w:t xml:space="preserve">2.7-3   </w:t>
      </w:r>
      <w:r>
        <w:rPr>
          <w:rFonts w:hint="eastAsia" w:eastAsia="黑体"/>
          <w:b/>
          <w:bCs/>
          <w:color w:val="auto"/>
          <w:sz w:val="24"/>
          <w:u w:val="single"/>
          <w:lang w:eastAsia="zh-CN"/>
        </w:rPr>
        <w:t>项目</w:t>
      </w:r>
      <w:r>
        <w:rPr>
          <w:rFonts w:hAnsi="黑体" w:eastAsia="黑体"/>
          <w:b/>
          <w:bCs/>
          <w:color w:val="auto"/>
          <w:sz w:val="24"/>
          <w:u w:val="single"/>
        </w:rPr>
        <w:t>与环固体【</w:t>
      </w:r>
      <w:r>
        <w:rPr>
          <w:rFonts w:eastAsia="黑体"/>
          <w:b/>
          <w:bCs/>
          <w:color w:val="auto"/>
          <w:sz w:val="24"/>
          <w:u w:val="single"/>
        </w:rPr>
        <w:t>20</w:t>
      </w:r>
      <w:r>
        <w:rPr>
          <w:rFonts w:hint="eastAsia" w:eastAsia="黑体"/>
          <w:b/>
          <w:bCs/>
          <w:color w:val="auto"/>
          <w:sz w:val="24"/>
          <w:u w:val="single"/>
        </w:rPr>
        <w:t>22</w:t>
      </w:r>
      <w:r>
        <w:rPr>
          <w:rFonts w:hAnsi="黑体" w:eastAsia="黑体"/>
          <w:b/>
          <w:bCs/>
          <w:color w:val="auto"/>
          <w:sz w:val="24"/>
          <w:u w:val="single"/>
        </w:rPr>
        <w:t>】</w:t>
      </w:r>
      <w:r>
        <w:rPr>
          <w:rFonts w:hint="eastAsia" w:eastAsia="黑体"/>
          <w:b/>
          <w:bCs/>
          <w:color w:val="auto"/>
          <w:sz w:val="24"/>
          <w:u w:val="single"/>
        </w:rPr>
        <w:t>17</w:t>
      </w:r>
      <w:r>
        <w:rPr>
          <w:rFonts w:hAnsi="黑体" w:eastAsia="黑体"/>
          <w:b/>
          <w:bCs/>
          <w:color w:val="auto"/>
          <w:sz w:val="24"/>
          <w:u w:val="single"/>
        </w:rPr>
        <w:t>号文</w:t>
      </w:r>
      <w:r>
        <w:rPr>
          <w:rFonts w:hint="eastAsia" w:hAnsi="黑体" w:eastAsia="黑体"/>
          <w:b/>
          <w:bCs/>
          <w:color w:val="auto"/>
          <w:sz w:val="24"/>
          <w:u w:val="single"/>
          <w:lang w:eastAsia="zh-CN"/>
        </w:rPr>
        <w:t>相符性分析</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73"/>
        <w:gridCol w:w="4433"/>
        <w:gridCol w:w="2362"/>
        <w:gridCol w:w="85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06" w:type="dxa"/>
            <w:gridSpan w:val="2"/>
            <w:vAlign w:val="center"/>
          </w:tcPr>
          <w:p>
            <w:pPr>
              <w:pStyle w:val="424"/>
              <w:rPr>
                <w:b/>
                <w:bCs/>
                <w:color w:val="auto"/>
                <w:u w:val="single"/>
              </w:rPr>
            </w:pPr>
            <w:r>
              <w:rPr>
                <w:b/>
                <w:bCs/>
                <w:color w:val="auto"/>
                <w:u w:val="single"/>
              </w:rPr>
              <w:t>环固体【20</w:t>
            </w:r>
            <w:r>
              <w:rPr>
                <w:rFonts w:hint="eastAsia"/>
                <w:b/>
                <w:bCs/>
                <w:color w:val="auto"/>
                <w:u w:val="single"/>
              </w:rPr>
              <w:t>22</w:t>
            </w:r>
            <w:r>
              <w:rPr>
                <w:b/>
                <w:bCs/>
                <w:color w:val="auto"/>
                <w:u w:val="single"/>
              </w:rPr>
              <w:t>】</w:t>
            </w:r>
            <w:r>
              <w:rPr>
                <w:rFonts w:hint="eastAsia"/>
                <w:b/>
                <w:bCs/>
                <w:color w:val="auto"/>
                <w:u w:val="single"/>
              </w:rPr>
              <w:t>17</w:t>
            </w:r>
            <w:r>
              <w:rPr>
                <w:b/>
                <w:bCs/>
                <w:color w:val="auto"/>
                <w:u w:val="single"/>
              </w:rPr>
              <w:t>号相关要求</w:t>
            </w:r>
          </w:p>
        </w:tc>
        <w:tc>
          <w:tcPr>
            <w:tcW w:w="2362" w:type="dxa"/>
            <w:vAlign w:val="center"/>
          </w:tcPr>
          <w:p>
            <w:pPr>
              <w:pStyle w:val="424"/>
              <w:rPr>
                <w:b/>
                <w:bCs/>
                <w:color w:val="auto"/>
                <w:u w:val="single"/>
              </w:rPr>
            </w:pPr>
            <w:r>
              <w:rPr>
                <w:b/>
                <w:bCs/>
                <w:color w:val="auto"/>
                <w:u w:val="single"/>
              </w:rPr>
              <w:t>本项目情况</w:t>
            </w:r>
          </w:p>
        </w:tc>
        <w:tc>
          <w:tcPr>
            <w:tcW w:w="854" w:type="dxa"/>
            <w:vAlign w:val="center"/>
          </w:tcPr>
          <w:p>
            <w:pPr>
              <w:pStyle w:val="424"/>
              <w:rPr>
                <w:rFonts w:hint="default" w:eastAsia="宋体"/>
                <w:b/>
                <w:bCs/>
                <w:color w:val="auto"/>
                <w:u w:val="single"/>
                <w:lang w:val="en-US" w:eastAsia="zh-CN"/>
              </w:rPr>
            </w:pPr>
            <w:r>
              <w:rPr>
                <w:rFonts w:hint="eastAsia"/>
                <w:b/>
                <w:bCs/>
                <w:color w:val="auto"/>
                <w:u w:val="single"/>
                <w:lang w:val="en-US" w:eastAsia="zh-CN"/>
              </w:rPr>
              <w:t>符合性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重点重金属污染物</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重点防控的重金属污染物是铅、汞、镉、铬、砷、铊和锑，并对铅、汞、镉、铬和砷五种重点重金属污染物排放量实施总量控制。</w:t>
            </w:r>
          </w:p>
        </w:tc>
        <w:tc>
          <w:tcPr>
            <w:tcW w:w="2362" w:type="dxa"/>
            <w:vAlign w:val="center"/>
          </w:tcPr>
          <w:p>
            <w:pPr>
              <w:pStyle w:val="421"/>
              <w:rPr>
                <w:b/>
                <w:bCs/>
                <w:color w:val="auto"/>
                <w:u w:val="single"/>
              </w:rPr>
            </w:pPr>
            <w:r>
              <w:rPr>
                <w:b/>
                <w:bCs/>
                <w:color w:val="auto"/>
                <w:u w:val="single"/>
              </w:rPr>
              <w:t>本项目涉及的重点重金属污染物为铬。项目含铬废水全部</w:t>
            </w:r>
            <w:r>
              <w:rPr>
                <w:rFonts w:hint="eastAsia"/>
                <w:b/>
                <w:bCs/>
                <w:color w:val="auto"/>
                <w:u w:val="single"/>
                <w:lang w:eastAsia="zh-CN"/>
              </w:rPr>
              <w:t>回用，</w:t>
            </w:r>
            <w:r>
              <w:rPr>
                <w:b/>
                <w:bCs/>
                <w:color w:val="auto"/>
                <w:u w:val="single"/>
              </w:rPr>
              <w:t>不外排。</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重点行业</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包括重有色金属矿采选业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铜、铅锌、镍钴、锡、锑和汞矿采选</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，重有色金属冶炼业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铜、铅锌、镍钴、锡、锑和汞冶炼等</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，铅蓄电池制造业，电镀行业，化学原料及化学制品制造业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电石法（聚）氯乙烯制造、铬盐制造、以工业固体废物为原料的锌无机化合物工业），皮革鞣制加工业等</w:t>
            </w:r>
            <w:r>
              <w:rPr>
                <w:rFonts w:ascii="宋体" w:hAnsi="宋体" w:cs="宋体"/>
                <w:b/>
                <w:bCs/>
                <w:color w:val="auto"/>
                <w:kern w:val="21"/>
                <w:u w:val="single"/>
              </w:rPr>
              <w:t>6</w:t>
            </w:r>
            <w:r>
              <w:rPr>
                <w:rFonts w:hint="eastAsia" w:ascii="宋体" w:hAnsi="宋体" w:cs="宋体"/>
                <w:b/>
                <w:bCs/>
                <w:color w:val="auto"/>
                <w:kern w:val="21"/>
                <w:u w:val="single"/>
              </w:rPr>
              <w:t>个行业</w:t>
            </w:r>
          </w:p>
        </w:tc>
        <w:tc>
          <w:tcPr>
            <w:tcW w:w="2362" w:type="dxa"/>
            <w:vAlign w:val="center"/>
          </w:tcPr>
          <w:p>
            <w:pPr>
              <w:pStyle w:val="421"/>
              <w:rPr>
                <w:b/>
                <w:bCs/>
                <w:color w:val="auto"/>
                <w:u w:val="single"/>
              </w:rPr>
            </w:pPr>
            <w:r>
              <w:rPr>
                <w:b/>
                <w:bCs/>
                <w:color w:val="auto"/>
                <w:u w:val="single"/>
              </w:rPr>
              <w:t>本项目包含电镀工段，属于重点行业。</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重点区域</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依据重金属污染物排放状况、环境质量改善和环境风险防控需求，划定重金属污染防控重点区域</w:t>
            </w:r>
            <w:r>
              <w:rPr>
                <w:rFonts w:ascii="宋体" w:hAnsi="宋体" w:cs="宋体"/>
                <w:b/>
                <w:bCs/>
                <w:color w:val="auto"/>
                <w:kern w:val="21"/>
                <w:u w:val="single"/>
              </w:rPr>
              <w:t>45</w:t>
            </w:r>
            <w:r>
              <w:rPr>
                <w:rFonts w:hint="eastAsia" w:ascii="宋体" w:hAnsi="宋体" w:cs="宋体"/>
                <w:b/>
                <w:bCs/>
                <w:color w:val="auto"/>
                <w:kern w:val="21"/>
                <w:u w:val="single"/>
              </w:rPr>
              <w:t>个。</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文件附件</w:t>
            </w:r>
            <w:r>
              <w:rPr>
                <w:rFonts w:ascii="宋体" w:hAnsi="宋体" w:cs="宋体"/>
                <w:b/>
                <w:bCs/>
                <w:color w:val="auto"/>
                <w:kern w:val="21"/>
                <w:u w:val="single"/>
              </w:rPr>
              <w:t>2</w:t>
            </w:r>
            <w:r>
              <w:rPr>
                <w:rFonts w:hint="eastAsia" w:ascii="宋体" w:hAnsi="宋体" w:cs="宋体"/>
                <w:b/>
                <w:bCs/>
                <w:color w:val="auto"/>
                <w:kern w:val="21"/>
                <w:u w:val="single"/>
              </w:rPr>
              <w:t>“十四五”重金属污染防控重点区域有济源市、安阳市龙安区、焦作市沁阳市</w:t>
            </w:r>
          </w:p>
        </w:tc>
        <w:tc>
          <w:tcPr>
            <w:tcW w:w="2362" w:type="dxa"/>
            <w:vAlign w:val="center"/>
          </w:tcPr>
          <w:p>
            <w:pPr>
              <w:widowControl w:val="0"/>
              <w:autoSpaceDE w:val="0"/>
              <w:autoSpaceDN w:val="0"/>
              <w:adjustRightInd w:val="0"/>
              <w:jc w:val="center"/>
              <w:rPr>
                <w:b/>
                <w:bCs/>
                <w:color w:val="auto"/>
                <w:u w:val="single"/>
              </w:rPr>
            </w:pPr>
            <w:r>
              <w:rPr>
                <w:rFonts w:hint="eastAsia" w:ascii="宋体" w:cs="宋体"/>
                <w:b/>
                <w:bCs/>
                <w:color w:val="auto"/>
                <w:kern w:val="0"/>
                <w:u w:val="single"/>
              </w:rPr>
              <w:t>本项目位于新乡获嘉，不属于国家重金属污染防控重点区域。</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严格准入，优化涉重金属产业结构和布局</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严格重点行业企业准入管理。新、改、扩建重点行业建设项目应符合“三线一单”、产业政策、区域环评、规划环评和行业环境准入管控要求。重点区域的新、改、扩建重点行业建设项目应遵循重点重金属污染物排放“减量替代”原则，减量替代不低于</w:t>
            </w:r>
            <w:r>
              <w:rPr>
                <w:rFonts w:ascii="宋体" w:hAnsi="宋体" w:cs="宋体"/>
                <w:b/>
                <w:bCs/>
                <w:color w:val="auto"/>
                <w:kern w:val="21"/>
                <w:u w:val="single"/>
              </w:rPr>
              <w:t>1.2</w:t>
            </w:r>
            <w:r>
              <w:rPr>
                <w:rFonts w:hint="eastAsia" w:ascii="宋体" w:hAnsi="宋体" w:cs="宋体"/>
                <w:b/>
                <w:bCs/>
                <w:color w:val="auto"/>
                <w:kern w:val="21"/>
                <w:u w:val="single"/>
              </w:rPr>
              <w:t>：</w:t>
            </w:r>
            <w:r>
              <w:rPr>
                <w:rFonts w:ascii="宋体" w:hAnsi="宋体" w:cs="宋体"/>
                <w:b/>
                <w:bCs/>
                <w:color w:val="auto"/>
                <w:kern w:val="21"/>
                <w:u w:val="single"/>
              </w:rPr>
              <w:t>1</w:t>
            </w:r>
            <w:r>
              <w:rPr>
                <w:rFonts w:hint="eastAsia" w:ascii="宋体" w:hAnsi="宋体" w:cs="宋体"/>
                <w:b/>
                <w:bCs/>
                <w:color w:val="auto"/>
                <w:kern w:val="21"/>
                <w:u w:val="single"/>
              </w:rPr>
              <w:t>；其他区域遵循“等量替代”原则。</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建设单位在提交环评文件时应明确重点重金属污染物排放总量及来源。无明确具体总量来源的，各级生态环境部门不得批准相关环境影响评价文件。总量来源原则上应是同一重点行业内企业削减的重点重金属污染物排放量，当同一重点行业内企业削减量无法满足可从其他重点行业调剂。</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新建、扩建的重有色金属冶炼、电镀、制革企业优先选择布设在依法合规设立并经规划环评的产业园区。</w:t>
            </w:r>
          </w:p>
        </w:tc>
        <w:tc>
          <w:tcPr>
            <w:tcW w:w="2362"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根据本项目“三线一单”符合性分析、与产业政策相符性分析、与区域城乡总体规划相符性分析及规划环评相符性分析、与电镀行业审批原则相符性分析结果，项目符合以上政策及规划相关要求。项目</w:t>
            </w:r>
            <w:r>
              <w:rPr>
                <w:rFonts w:hint="eastAsia" w:ascii="宋体" w:hAnsi="宋体" w:cs="宋体"/>
                <w:b/>
                <w:bCs/>
                <w:color w:val="auto"/>
                <w:kern w:val="21"/>
                <w:u w:val="single"/>
                <w:lang w:eastAsia="zh-CN"/>
              </w:rPr>
              <w:t>涉重废水</w:t>
            </w:r>
            <w:r>
              <w:rPr>
                <w:rFonts w:hint="eastAsia" w:ascii="宋体" w:hAnsi="宋体" w:cs="宋体"/>
                <w:b/>
                <w:bCs/>
                <w:color w:val="auto"/>
                <w:kern w:val="21"/>
                <w:u w:val="single"/>
              </w:rPr>
              <w:t>全部回用</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不排放</w:t>
            </w:r>
            <w:r>
              <w:rPr>
                <w:rFonts w:hint="eastAsia" w:ascii="宋体" w:hAnsi="宋体" w:cs="宋体"/>
                <w:b/>
                <w:bCs/>
                <w:color w:val="auto"/>
                <w:kern w:val="21"/>
                <w:u w:val="single"/>
                <w:lang w:eastAsia="zh-CN"/>
              </w:rPr>
              <w:t>，项目不涉及重金属总量控制指标</w:t>
            </w:r>
            <w:r>
              <w:rPr>
                <w:rFonts w:hint="eastAsia" w:ascii="宋体" w:hAnsi="宋体" w:cs="宋体"/>
                <w:b/>
                <w:bCs/>
                <w:color w:val="auto"/>
                <w:kern w:val="21"/>
                <w:u w:val="single"/>
              </w:rPr>
              <w:t>。项目选址位于获嘉县产业集聚区</w:t>
            </w:r>
            <w:r>
              <w:rPr>
                <w:rFonts w:hint="eastAsia" w:ascii="宋体" w:hAnsi="宋体" w:cs="宋体"/>
                <w:b/>
                <w:bCs/>
                <w:color w:val="auto"/>
                <w:kern w:val="21"/>
                <w:u w:val="single"/>
                <w:lang w:eastAsia="zh-CN"/>
              </w:rPr>
              <w:t>北部城东片区，规划环评审批文号：豫环函</w:t>
            </w:r>
            <w:r>
              <w:rPr>
                <w:rFonts w:hint="eastAsia" w:ascii="宋体" w:hAnsi="宋体" w:cs="宋体"/>
                <w:b/>
                <w:bCs/>
                <w:color w:val="auto"/>
                <w:kern w:val="21"/>
                <w:u w:val="single"/>
                <w:lang w:val="en-US" w:eastAsia="zh-CN"/>
              </w:rPr>
              <w:t>[2019]53号</w:t>
            </w:r>
            <w:r>
              <w:rPr>
                <w:rFonts w:hint="eastAsia" w:ascii="宋体" w:hAnsi="宋体" w:cs="宋体"/>
                <w:b/>
                <w:bCs/>
                <w:color w:val="auto"/>
                <w:kern w:val="21"/>
                <w:u w:val="single"/>
              </w:rPr>
              <w:t>。</w:t>
            </w:r>
          </w:p>
        </w:tc>
        <w:tc>
          <w:tcPr>
            <w:tcW w:w="854" w:type="dxa"/>
            <w:vAlign w:val="center"/>
          </w:tcPr>
          <w:p>
            <w:pPr>
              <w:pStyle w:val="421"/>
              <w:rPr>
                <w:b/>
                <w:bCs/>
                <w:color w:val="auto"/>
                <w:u w:val="single"/>
              </w:rPr>
            </w:pPr>
            <w:r>
              <w:rPr>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突出重点，深化重点行业重金属污染治理</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加强重点行业企业清洁生产改造。加强重点行业清洁生产工艺的开发和应用。重点行业企业“十四五”期间依法至少开展一轮强制性清洁生产审核。到</w:t>
            </w:r>
            <w:r>
              <w:rPr>
                <w:rFonts w:ascii="宋体" w:hAnsi="宋体" w:cs="宋体"/>
                <w:b/>
                <w:bCs/>
                <w:color w:val="auto"/>
                <w:kern w:val="21"/>
                <w:u w:val="single"/>
              </w:rPr>
              <w:t xml:space="preserve">2025 </w:t>
            </w:r>
            <w:r>
              <w:rPr>
                <w:rFonts w:hint="eastAsia" w:ascii="宋体" w:hAnsi="宋体" w:cs="宋体"/>
                <w:b/>
                <w:bCs/>
                <w:color w:val="auto"/>
                <w:kern w:val="21"/>
                <w:u w:val="single"/>
              </w:rPr>
              <w:t>年底，重点行业企业基本</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达到国内清洁生产先进水平。加强重金属污染源头防控，减少使用高镉、高砷或高铊的矿石原料。</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推动重金属污染深度治理。</w:t>
            </w:r>
            <w:r>
              <w:rPr>
                <w:rFonts w:ascii="宋体" w:hAnsi="宋体" w:cs="宋体"/>
                <w:b/>
                <w:bCs/>
                <w:color w:val="auto"/>
                <w:kern w:val="21"/>
                <w:u w:val="single"/>
              </w:rPr>
              <w:t>......</w:t>
            </w:r>
            <w:r>
              <w:rPr>
                <w:rFonts w:hint="eastAsia" w:ascii="宋体" w:hAnsi="宋体" w:cs="宋体"/>
                <w:b/>
                <w:bCs/>
                <w:color w:val="auto"/>
                <w:kern w:val="21"/>
                <w:u w:val="single"/>
              </w:rPr>
              <w:t>开展电镀行业重金属污染综合整治，推进专业电镀园区、专业电镀企业重金属污染深度治理。</w:t>
            </w:r>
          </w:p>
        </w:tc>
        <w:tc>
          <w:tcPr>
            <w:tcW w:w="2362"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本项目</w:t>
            </w:r>
            <w:r>
              <w:rPr>
                <w:rFonts w:hint="eastAsia" w:ascii="宋体" w:hAnsi="宋体" w:cs="宋体"/>
                <w:b/>
                <w:bCs/>
                <w:color w:val="auto"/>
                <w:kern w:val="21"/>
                <w:u w:val="single"/>
                <w:lang w:eastAsia="zh-CN"/>
              </w:rPr>
              <w:t>为</w:t>
            </w:r>
            <w:r>
              <w:rPr>
                <w:rFonts w:hint="eastAsia" w:ascii="宋体" w:hAnsi="宋体" w:cs="宋体"/>
                <w:b/>
                <w:bCs/>
                <w:color w:val="auto"/>
                <w:kern w:val="21"/>
                <w:u w:val="single"/>
              </w:rPr>
              <w:t>新建</w:t>
            </w:r>
            <w:r>
              <w:rPr>
                <w:rFonts w:hint="eastAsia" w:ascii="宋体" w:hAnsi="宋体" w:cs="宋体"/>
                <w:b/>
                <w:bCs/>
                <w:color w:val="auto"/>
                <w:kern w:val="21"/>
                <w:u w:val="single"/>
                <w:lang w:eastAsia="zh-CN"/>
              </w:rPr>
              <w:t>项目</w:t>
            </w:r>
            <w:r>
              <w:rPr>
                <w:rFonts w:hint="eastAsia" w:ascii="宋体" w:hAnsi="宋体" w:cs="宋体"/>
                <w:b/>
                <w:bCs/>
                <w:color w:val="auto"/>
                <w:kern w:val="21"/>
                <w:u w:val="single"/>
              </w:rPr>
              <w:t>，严格河南省电镀审批原则对于清洁生产水平的要求建设，经对照《电镀行业清洁生产评价标准指标体系》，项目建成后可达到国际清洁生产先进水平。</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项目各类涉重废水在厂内处理后全部回用，不外排。</w:t>
            </w:r>
          </w:p>
        </w:tc>
        <w:tc>
          <w:tcPr>
            <w:tcW w:w="854" w:type="dxa"/>
            <w:vAlign w:val="center"/>
          </w:tcPr>
          <w:p>
            <w:pPr>
              <w:pStyle w:val="421"/>
              <w:rPr>
                <w:b/>
                <w:bCs/>
                <w:color w:val="auto"/>
                <w:u w:val="single"/>
              </w:rPr>
            </w:pPr>
            <w:r>
              <w:rPr>
                <w:b/>
                <w:bCs/>
                <w:color w:val="auto"/>
                <w:u w:val="single"/>
              </w:rPr>
              <w:t>符合</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2" w:firstLineChars="200"/>
        <w:textAlignment w:val="auto"/>
        <w:rPr>
          <w:b/>
          <w:bCs/>
          <w:color w:val="auto"/>
          <w:kern w:val="21"/>
          <w:sz w:val="24"/>
          <w:szCs w:val="24"/>
          <w:u w:val="single"/>
        </w:rPr>
      </w:pPr>
      <w:r>
        <w:rPr>
          <w:rFonts w:hint="eastAsia"/>
          <w:b/>
          <w:bCs/>
          <w:color w:val="auto"/>
          <w:kern w:val="21"/>
          <w:sz w:val="24"/>
          <w:szCs w:val="24"/>
          <w:u w:val="single"/>
        </w:rPr>
        <w:t>由上表可知，本项目符合《关于进一步加强重金属污染防控的意见》（环固体【2022】17号）中的相关规定。</w:t>
      </w:r>
    </w:p>
    <w:p>
      <w:pPr>
        <w:pStyle w:val="5"/>
        <w:keepNext w:val="0"/>
        <w:keepLines w:val="0"/>
        <w:tabs>
          <w:tab w:val="left" w:pos="540"/>
        </w:tabs>
        <w:snapToGrid w:val="0"/>
        <w:spacing w:before="0" w:beforeLines="0" w:after="0" w:afterLines="0"/>
        <w:jc w:val="both"/>
        <w:rPr>
          <w:rStyle w:val="236"/>
          <w:rFonts w:eastAsia="黑体"/>
          <w:b/>
          <w:bCs/>
          <w:color w:val="auto"/>
          <w:kern w:val="21"/>
          <w:szCs w:val="28"/>
          <w:u w:val="single"/>
        </w:rPr>
      </w:pPr>
      <w:r>
        <w:rPr>
          <w:rStyle w:val="236"/>
          <w:rFonts w:eastAsia="黑体"/>
          <w:b/>
          <w:bCs/>
          <w:color w:val="auto"/>
          <w:kern w:val="21"/>
          <w:szCs w:val="28"/>
          <w:u w:val="single"/>
        </w:rPr>
        <w:t>2.</w:t>
      </w:r>
      <w:r>
        <w:rPr>
          <w:rStyle w:val="236"/>
          <w:rFonts w:hint="eastAsia" w:eastAsia="黑体"/>
          <w:b/>
          <w:bCs/>
          <w:color w:val="auto"/>
          <w:kern w:val="21"/>
          <w:szCs w:val="28"/>
          <w:u w:val="single"/>
        </w:rPr>
        <w:t>7.6《</w:t>
      </w:r>
      <w:r>
        <w:rPr>
          <w:rStyle w:val="236"/>
          <w:rFonts w:eastAsia="黑体"/>
          <w:b/>
          <w:bCs/>
          <w:color w:val="auto"/>
          <w:kern w:val="21"/>
          <w:szCs w:val="28"/>
          <w:u w:val="single"/>
        </w:rPr>
        <w:t>河南省进一步加强重金属污染防控工作方案的通知</w:t>
      </w:r>
      <w:r>
        <w:rPr>
          <w:rStyle w:val="236"/>
          <w:rFonts w:hint="eastAsia" w:eastAsia="黑体"/>
          <w:b/>
          <w:bCs/>
          <w:color w:val="auto"/>
          <w:kern w:val="21"/>
          <w:szCs w:val="28"/>
          <w:u w:val="single"/>
        </w:rPr>
        <w:t>》</w:t>
      </w:r>
      <w:r>
        <w:rPr>
          <w:rStyle w:val="236"/>
          <w:rFonts w:eastAsia="黑体"/>
          <w:b/>
          <w:bCs/>
          <w:color w:val="auto"/>
          <w:kern w:val="21"/>
          <w:szCs w:val="28"/>
          <w:u w:val="single"/>
        </w:rPr>
        <w:t>（豫环文[2022]90号）</w:t>
      </w:r>
    </w:p>
    <w:p>
      <w:pPr>
        <w:spacing w:line="440" w:lineRule="exact"/>
        <w:jc w:val="center"/>
        <w:textAlignment w:val="baseline"/>
        <w:rPr>
          <w:rFonts w:hAnsi="黑体" w:eastAsia="黑体"/>
          <w:b/>
          <w:bCs/>
          <w:color w:val="auto"/>
          <w:sz w:val="24"/>
          <w:u w:val="single"/>
        </w:rPr>
      </w:pPr>
      <w:r>
        <w:rPr>
          <w:rFonts w:hAnsi="黑体" w:eastAsia="黑体"/>
          <w:b/>
          <w:bCs/>
          <w:color w:val="auto"/>
          <w:sz w:val="24"/>
          <w:u w:val="single"/>
        </w:rPr>
        <w:t>表</w:t>
      </w:r>
      <w:r>
        <w:rPr>
          <w:rFonts w:hint="eastAsia" w:eastAsia="黑体"/>
          <w:b/>
          <w:bCs/>
          <w:color w:val="auto"/>
          <w:sz w:val="24"/>
          <w:u w:val="single"/>
        </w:rPr>
        <w:t xml:space="preserve">2.7-4   </w:t>
      </w:r>
      <w:r>
        <w:rPr>
          <w:rFonts w:hint="eastAsia" w:eastAsia="黑体"/>
          <w:b/>
          <w:bCs/>
          <w:color w:val="auto"/>
          <w:sz w:val="24"/>
          <w:u w:val="single"/>
          <w:lang w:eastAsia="zh-CN"/>
        </w:rPr>
        <w:t>项目</w:t>
      </w:r>
      <w:r>
        <w:rPr>
          <w:rFonts w:hAnsi="黑体" w:eastAsia="黑体"/>
          <w:b/>
          <w:bCs/>
          <w:color w:val="auto"/>
          <w:sz w:val="24"/>
          <w:u w:val="single"/>
        </w:rPr>
        <w:t>与豫环文【</w:t>
      </w:r>
      <w:r>
        <w:rPr>
          <w:rFonts w:eastAsia="黑体"/>
          <w:b/>
          <w:bCs/>
          <w:color w:val="auto"/>
          <w:sz w:val="24"/>
          <w:u w:val="single"/>
        </w:rPr>
        <w:t>20</w:t>
      </w:r>
      <w:r>
        <w:rPr>
          <w:rFonts w:hint="eastAsia" w:eastAsia="黑体"/>
          <w:b/>
          <w:bCs/>
          <w:color w:val="auto"/>
          <w:sz w:val="24"/>
          <w:u w:val="single"/>
        </w:rPr>
        <w:t>22</w:t>
      </w:r>
      <w:r>
        <w:rPr>
          <w:rFonts w:hAnsi="黑体" w:eastAsia="黑体"/>
          <w:b/>
          <w:bCs/>
          <w:color w:val="auto"/>
          <w:sz w:val="24"/>
          <w:u w:val="single"/>
        </w:rPr>
        <w:t>】</w:t>
      </w:r>
      <w:r>
        <w:rPr>
          <w:rFonts w:hint="eastAsia" w:eastAsia="黑体"/>
          <w:b/>
          <w:bCs/>
          <w:color w:val="auto"/>
          <w:sz w:val="24"/>
          <w:u w:val="single"/>
        </w:rPr>
        <w:t>90</w:t>
      </w:r>
      <w:r>
        <w:rPr>
          <w:rFonts w:hAnsi="黑体" w:eastAsia="黑体"/>
          <w:b/>
          <w:bCs/>
          <w:color w:val="auto"/>
          <w:sz w:val="24"/>
          <w:u w:val="single"/>
        </w:rPr>
        <w:t>号文</w:t>
      </w:r>
      <w:r>
        <w:rPr>
          <w:rFonts w:hint="eastAsia" w:hAnsi="黑体" w:eastAsia="黑体"/>
          <w:b/>
          <w:bCs/>
          <w:color w:val="auto"/>
          <w:sz w:val="24"/>
          <w:u w:val="single"/>
          <w:lang w:eastAsia="zh-CN"/>
        </w:rPr>
        <w:t>相符性</w:t>
      </w:r>
      <w:r>
        <w:rPr>
          <w:rFonts w:hAnsi="黑体" w:eastAsia="黑体"/>
          <w:b/>
          <w:bCs/>
          <w:color w:val="auto"/>
          <w:sz w:val="24"/>
          <w:u w:val="single"/>
        </w:rPr>
        <w:t>分析</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73"/>
        <w:gridCol w:w="4433"/>
        <w:gridCol w:w="2362"/>
        <w:gridCol w:w="85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06" w:type="dxa"/>
            <w:gridSpan w:val="2"/>
            <w:vAlign w:val="center"/>
          </w:tcPr>
          <w:p>
            <w:pPr>
              <w:pStyle w:val="424"/>
              <w:rPr>
                <w:b/>
                <w:bCs/>
                <w:color w:val="auto"/>
                <w:u w:val="single"/>
              </w:rPr>
            </w:pPr>
            <w:r>
              <w:rPr>
                <w:b/>
                <w:bCs/>
                <w:color w:val="auto"/>
                <w:u w:val="single"/>
              </w:rPr>
              <w:t>豫环文【20</w:t>
            </w:r>
            <w:r>
              <w:rPr>
                <w:rFonts w:hint="eastAsia"/>
                <w:b/>
                <w:bCs/>
                <w:color w:val="auto"/>
                <w:u w:val="single"/>
              </w:rPr>
              <w:t>22</w:t>
            </w:r>
            <w:r>
              <w:rPr>
                <w:b/>
                <w:bCs/>
                <w:color w:val="auto"/>
                <w:u w:val="single"/>
              </w:rPr>
              <w:t>】</w:t>
            </w:r>
            <w:r>
              <w:rPr>
                <w:rFonts w:hint="eastAsia"/>
                <w:b/>
                <w:bCs/>
                <w:color w:val="auto"/>
                <w:u w:val="single"/>
              </w:rPr>
              <w:t>90</w:t>
            </w:r>
            <w:r>
              <w:rPr>
                <w:b/>
                <w:bCs/>
                <w:color w:val="auto"/>
                <w:u w:val="single"/>
              </w:rPr>
              <w:t>号相关要求</w:t>
            </w:r>
          </w:p>
        </w:tc>
        <w:tc>
          <w:tcPr>
            <w:tcW w:w="2362" w:type="dxa"/>
            <w:vAlign w:val="center"/>
          </w:tcPr>
          <w:p>
            <w:pPr>
              <w:pStyle w:val="424"/>
              <w:rPr>
                <w:b/>
                <w:bCs/>
                <w:color w:val="auto"/>
                <w:u w:val="single"/>
              </w:rPr>
            </w:pPr>
            <w:r>
              <w:rPr>
                <w:b/>
                <w:bCs/>
                <w:color w:val="auto"/>
                <w:u w:val="single"/>
              </w:rPr>
              <w:t>本项目情况</w:t>
            </w:r>
          </w:p>
        </w:tc>
        <w:tc>
          <w:tcPr>
            <w:tcW w:w="854" w:type="dxa"/>
            <w:vAlign w:val="center"/>
          </w:tcPr>
          <w:p>
            <w:pPr>
              <w:pStyle w:val="424"/>
              <w:rPr>
                <w:rFonts w:hint="default" w:eastAsia="宋体"/>
                <w:b/>
                <w:bCs/>
                <w:color w:val="auto"/>
                <w:u w:val="single"/>
                <w:lang w:val="en-US" w:eastAsia="zh-CN"/>
              </w:rPr>
            </w:pPr>
            <w:r>
              <w:rPr>
                <w:rFonts w:hint="eastAsia"/>
                <w:b/>
                <w:bCs/>
                <w:color w:val="auto"/>
                <w:u w:val="single"/>
                <w:lang w:val="en-US" w:eastAsia="zh-CN"/>
              </w:rPr>
              <w:t>符合性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重点重金属污染物</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重点防控的重金属污染物是铅、汞、镉、铬、砷、铊和锑，并对铅、汞、镉、铬和砷五种重点重金属污染物排放量实施总量控制。</w:t>
            </w:r>
          </w:p>
        </w:tc>
        <w:tc>
          <w:tcPr>
            <w:tcW w:w="2362" w:type="dxa"/>
            <w:vAlign w:val="center"/>
          </w:tcPr>
          <w:p>
            <w:pPr>
              <w:pStyle w:val="421"/>
              <w:rPr>
                <w:b/>
                <w:bCs/>
                <w:color w:val="auto"/>
                <w:u w:val="single"/>
              </w:rPr>
            </w:pPr>
            <w:r>
              <w:rPr>
                <w:b/>
                <w:bCs/>
                <w:color w:val="auto"/>
                <w:u w:val="single"/>
              </w:rPr>
              <w:t>本项目涉及的重点重金属污染物为铬。项目含铬废水全部</w:t>
            </w:r>
            <w:r>
              <w:rPr>
                <w:rFonts w:hint="eastAsia"/>
                <w:b/>
                <w:bCs/>
                <w:color w:val="auto"/>
                <w:u w:val="single"/>
                <w:lang w:eastAsia="zh-CN"/>
              </w:rPr>
              <w:t>回</w:t>
            </w:r>
            <w:r>
              <w:rPr>
                <w:b/>
                <w:bCs/>
                <w:color w:val="auto"/>
                <w:u w:val="single"/>
              </w:rPr>
              <w:t>用</w:t>
            </w:r>
            <w:r>
              <w:rPr>
                <w:rFonts w:hint="eastAsia"/>
                <w:b/>
                <w:bCs/>
                <w:color w:val="auto"/>
                <w:u w:val="single"/>
                <w:lang w:eastAsia="zh-CN"/>
              </w:rPr>
              <w:t>，</w:t>
            </w:r>
            <w:r>
              <w:rPr>
                <w:b/>
                <w:bCs/>
                <w:color w:val="auto"/>
                <w:u w:val="single"/>
              </w:rPr>
              <w:t>不外排。</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重点行业</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包括重有色金属矿采选业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铜、铅锌、镍钴、锡、锑和汞矿采选</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，重有色金属冶炼业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铜、铅锌、镍钴、锡、锑和汞冶炼等</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，铅蓄电池制造业，电镀行业，化学原料及化学制品制造业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电石法（聚）氯乙烯制造、铬盐制造、以工业固体废物为原料的锌无机化合物工业），皮革鞣制加工业等</w:t>
            </w:r>
            <w:r>
              <w:rPr>
                <w:rFonts w:ascii="宋体" w:hAnsi="宋体" w:cs="宋体"/>
                <w:b/>
                <w:bCs/>
                <w:color w:val="auto"/>
                <w:kern w:val="21"/>
                <w:u w:val="single"/>
              </w:rPr>
              <w:t>6</w:t>
            </w:r>
            <w:r>
              <w:rPr>
                <w:rFonts w:hint="eastAsia" w:ascii="宋体" w:hAnsi="宋体" w:cs="宋体"/>
                <w:b/>
                <w:bCs/>
                <w:color w:val="auto"/>
                <w:kern w:val="21"/>
                <w:u w:val="single"/>
              </w:rPr>
              <w:t>个行业</w:t>
            </w:r>
          </w:p>
        </w:tc>
        <w:tc>
          <w:tcPr>
            <w:tcW w:w="2362" w:type="dxa"/>
            <w:vAlign w:val="center"/>
          </w:tcPr>
          <w:p>
            <w:pPr>
              <w:pStyle w:val="421"/>
              <w:rPr>
                <w:b/>
                <w:bCs/>
                <w:color w:val="auto"/>
                <w:u w:val="single"/>
              </w:rPr>
            </w:pPr>
            <w:r>
              <w:rPr>
                <w:b/>
                <w:bCs/>
                <w:color w:val="auto"/>
                <w:u w:val="single"/>
              </w:rPr>
              <w:t>本项目包含电镀工段，属于重点行业。</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重点区域</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ascii="宋体" w:hAnsi="宋体" w:cs="宋体"/>
                <w:b/>
                <w:bCs/>
                <w:color w:val="auto"/>
                <w:kern w:val="21"/>
                <w:u w:val="single"/>
              </w:rPr>
              <w:t>省重金属污染防控重点区域：三门峡灵宝市、洛阳洛宁县、洛阳栾川县、洛阳汝阳县、焦作修武县、许昌长葛市、新乡获嘉县、三门峡城乡一体化示范区、新乡凤泉区、平顶山汝州市。</w:t>
            </w:r>
          </w:p>
        </w:tc>
        <w:tc>
          <w:tcPr>
            <w:tcW w:w="2362" w:type="dxa"/>
            <w:vAlign w:val="center"/>
          </w:tcPr>
          <w:p>
            <w:pPr>
              <w:widowControl w:val="0"/>
              <w:autoSpaceDE w:val="0"/>
              <w:autoSpaceDN w:val="0"/>
              <w:adjustRightInd w:val="0"/>
              <w:jc w:val="center"/>
              <w:rPr>
                <w:b/>
                <w:bCs/>
                <w:color w:val="auto"/>
                <w:u w:val="single"/>
              </w:rPr>
            </w:pPr>
            <w:r>
              <w:rPr>
                <w:rFonts w:hint="eastAsia" w:ascii="宋体" w:cs="宋体"/>
                <w:b/>
                <w:bCs/>
                <w:color w:val="auto"/>
                <w:kern w:val="0"/>
                <w:u w:val="single"/>
              </w:rPr>
              <w:t>本项目位于新乡获嘉，属于省重金属污染防控重点区域。</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ascii="宋体" w:hAnsi="宋体" w:cs="宋体"/>
                <w:b/>
                <w:bCs/>
                <w:color w:val="auto"/>
                <w:kern w:val="21"/>
                <w:u w:val="single"/>
              </w:rPr>
              <w:t>严格涉重金属重点行业项目环境准入管理</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ascii="宋体" w:hAnsi="宋体" w:cs="宋体"/>
                <w:b/>
                <w:bCs/>
                <w:color w:val="auto"/>
                <w:kern w:val="21"/>
                <w:u w:val="single"/>
              </w:rPr>
              <w:t>新、改、扩建涉重金属重点行业建设项目应符合“三线一单”、产业政策、区域环评、规划环评和行业环境准入管控要求。新、改、扩建涉重金属重点行业建设项目应遵循重点重金属污染物排放“减量替代”原则，国家重点区域的减量替代比例不低于1.5：1，省级重点区域的减量替代比例不低于1.2：1，其他区域的减量替代比例不低于1.1：1。</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建设单位在提交环评文件时应明确重点重金属污染物排放总量及来源。无明确具体总量来源的，各级生态环境部门不得批准相关环境影响评价文件。总量来源原则上应是同一重点行业内企业削减的重点重金属污染物排放量，当同一重点行业内企业削减量无法满足可从其他重点行业调剂。</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新建、扩建的重有色金属冶炼、电镀、制革企业优先选择布设在依法合规设立并经规划环评的产业园区。</w:t>
            </w:r>
          </w:p>
        </w:tc>
        <w:tc>
          <w:tcPr>
            <w:tcW w:w="2362"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根据本项目“三线一单”符合性分析、与产业政策相符性分析、与区域城乡总体规划相符性分析及规划环评相符性分析、与电镀行业审批原则相符性分析结果，项目符合以上政策及规划相关要求。项目</w:t>
            </w:r>
            <w:r>
              <w:rPr>
                <w:rFonts w:hint="eastAsia" w:ascii="宋体" w:hAnsi="宋体" w:cs="宋体"/>
                <w:b/>
                <w:bCs/>
                <w:color w:val="auto"/>
                <w:kern w:val="21"/>
                <w:u w:val="single"/>
                <w:lang w:eastAsia="zh-CN"/>
              </w:rPr>
              <w:t>涉重废水</w:t>
            </w:r>
            <w:r>
              <w:rPr>
                <w:rFonts w:hint="eastAsia" w:ascii="宋体" w:hAnsi="宋体" w:cs="宋体"/>
                <w:b/>
                <w:bCs/>
                <w:color w:val="auto"/>
                <w:kern w:val="21"/>
                <w:u w:val="single"/>
              </w:rPr>
              <w:t>全部回用</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不排放</w:t>
            </w:r>
            <w:r>
              <w:rPr>
                <w:rFonts w:hint="eastAsia" w:ascii="宋体" w:hAnsi="宋体" w:cs="宋体"/>
                <w:b/>
                <w:bCs/>
                <w:color w:val="auto"/>
                <w:kern w:val="21"/>
                <w:u w:val="single"/>
                <w:lang w:eastAsia="zh-CN"/>
              </w:rPr>
              <w:t>，项目不涉及重金属总量控制指标</w:t>
            </w:r>
            <w:r>
              <w:rPr>
                <w:rFonts w:hint="eastAsia" w:ascii="宋体" w:hAnsi="宋体" w:cs="宋体"/>
                <w:b/>
                <w:bCs/>
                <w:color w:val="auto"/>
                <w:kern w:val="21"/>
                <w:u w:val="single"/>
              </w:rPr>
              <w:t>。项目选址位于获嘉县产业集聚区</w:t>
            </w:r>
            <w:r>
              <w:rPr>
                <w:rFonts w:hint="eastAsia" w:ascii="宋体" w:hAnsi="宋体" w:cs="宋体"/>
                <w:b/>
                <w:bCs/>
                <w:color w:val="auto"/>
                <w:kern w:val="21"/>
                <w:u w:val="single"/>
                <w:lang w:eastAsia="zh-CN"/>
              </w:rPr>
              <w:t>北部城东片区，规划环评审批文号：豫环函</w:t>
            </w:r>
            <w:r>
              <w:rPr>
                <w:rFonts w:hint="eastAsia" w:ascii="宋体" w:hAnsi="宋体" w:cs="宋体"/>
                <w:b/>
                <w:bCs/>
                <w:color w:val="auto"/>
                <w:kern w:val="21"/>
                <w:u w:val="single"/>
                <w:lang w:val="en-US" w:eastAsia="zh-CN"/>
              </w:rPr>
              <w:t>[2019]53号</w:t>
            </w:r>
            <w:r>
              <w:rPr>
                <w:rFonts w:hint="eastAsia" w:ascii="宋体" w:hAnsi="宋体" w:cs="宋体"/>
                <w:b/>
                <w:bCs/>
                <w:color w:val="auto"/>
                <w:kern w:val="21"/>
                <w:u w:val="single"/>
              </w:rPr>
              <w:t>。</w:t>
            </w:r>
          </w:p>
        </w:tc>
        <w:tc>
          <w:tcPr>
            <w:tcW w:w="854" w:type="dxa"/>
            <w:vAlign w:val="center"/>
          </w:tcPr>
          <w:p>
            <w:pPr>
              <w:pStyle w:val="421"/>
              <w:rPr>
                <w:b/>
                <w:bCs/>
                <w:color w:val="auto"/>
                <w:u w:val="single"/>
              </w:rPr>
            </w:pPr>
            <w:r>
              <w:rPr>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rPr>
                <w:rFonts w:ascii="宋体" w:hAnsi="宋体" w:cs="宋体"/>
                <w:b/>
                <w:bCs/>
                <w:color w:val="auto"/>
                <w:kern w:val="21"/>
                <w:u w:val="single"/>
              </w:rPr>
            </w:pPr>
            <w:r>
              <w:rPr>
                <w:rFonts w:ascii="宋体" w:hAnsi="宋体" w:cs="宋体"/>
                <w:b/>
                <w:bCs/>
                <w:color w:val="auto"/>
                <w:kern w:val="21"/>
                <w:u w:val="single"/>
              </w:rPr>
              <w:t>加强涉重金属重点行业企业清洁生产改造</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加强重点行业企业清洁生产改造。加强重点行业清洁生产工艺的开发和应用。重点行业企业“十四五”期间依法至少开展一轮强制性清洁生产审核。到</w:t>
            </w:r>
            <w:r>
              <w:rPr>
                <w:rFonts w:ascii="宋体" w:hAnsi="宋体" w:cs="宋体"/>
                <w:b/>
                <w:bCs/>
                <w:color w:val="auto"/>
                <w:kern w:val="21"/>
                <w:u w:val="single"/>
              </w:rPr>
              <w:t xml:space="preserve">2025 </w:t>
            </w:r>
            <w:r>
              <w:rPr>
                <w:rFonts w:hint="eastAsia" w:ascii="宋体" w:hAnsi="宋体" w:cs="宋体"/>
                <w:b/>
                <w:bCs/>
                <w:color w:val="auto"/>
                <w:kern w:val="21"/>
                <w:u w:val="single"/>
              </w:rPr>
              <w:t>年底，重点行业企业基本</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达到国内清洁生产先进水平。</w:t>
            </w:r>
          </w:p>
        </w:tc>
        <w:tc>
          <w:tcPr>
            <w:tcW w:w="2362"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本项目属于新建，严格河南省电镀审批原则对于清洁生产水平的要求建设，经对照《电镀行业清洁生产评价标准指标体系》，项目建成后可达到国际清洁生产先进水平。</w:t>
            </w:r>
          </w:p>
        </w:tc>
        <w:tc>
          <w:tcPr>
            <w:tcW w:w="854" w:type="dxa"/>
            <w:vAlign w:val="center"/>
          </w:tcPr>
          <w:p>
            <w:pPr>
              <w:pStyle w:val="421"/>
              <w:rPr>
                <w:b/>
                <w:bCs/>
                <w:color w:val="auto"/>
                <w:u w:val="single"/>
              </w:rPr>
            </w:pPr>
            <w:r>
              <w:rPr>
                <w:b/>
                <w:bCs/>
                <w:color w:val="auto"/>
                <w:u w:val="single"/>
              </w:rPr>
              <w:t>符合</w:t>
            </w:r>
          </w:p>
        </w:tc>
      </w:tr>
    </w:tbl>
    <w:p>
      <w:pPr>
        <w:pStyle w:val="367"/>
        <w:keepNext w:val="0"/>
        <w:keepLines w:val="0"/>
        <w:pageBreakBefore w:val="0"/>
        <w:widowControl/>
        <w:kinsoku/>
        <w:wordWrap/>
        <w:overflowPunct/>
        <w:topLinePunct w:val="0"/>
        <w:autoSpaceDE/>
        <w:autoSpaceDN/>
        <w:bidi w:val="0"/>
        <w:adjustRightInd w:val="0"/>
        <w:snapToGrid w:val="0"/>
        <w:spacing w:before="157" w:beforeLines="50" w:line="360" w:lineRule="auto"/>
        <w:ind w:firstLine="482" w:firstLineChars="200"/>
        <w:textAlignment w:val="auto"/>
        <w:rPr>
          <w:rFonts w:ascii="Times New Roman" w:hAnsi="Times New Roman"/>
          <w:b/>
          <w:bCs/>
          <w:color w:val="auto"/>
          <w:kern w:val="21"/>
          <w:sz w:val="24"/>
          <w:szCs w:val="24"/>
          <w:u w:val="single"/>
        </w:rPr>
      </w:pPr>
      <w:r>
        <w:rPr>
          <w:rFonts w:hint="eastAsia" w:ascii="Times New Roman" w:hAnsi="Times New Roman"/>
          <w:b/>
          <w:bCs/>
          <w:color w:val="auto"/>
          <w:kern w:val="21"/>
          <w:sz w:val="24"/>
          <w:szCs w:val="24"/>
          <w:u w:val="single"/>
        </w:rPr>
        <w:t>由</w:t>
      </w:r>
      <w:r>
        <w:rPr>
          <w:rFonts w:hint="eastAsia" w:asciiTheme="minorEastAsia" w:hAnsiTheme="minorEastAsia" w:eastAsiaTheme="minorEastAsia"/>
          <w:b/>
          <w:bCs/>
          <w:color w:val="auto"/>
          <w:kern w:val="21"/>
          <w:sz w:val="24"/>
          <w:szCs w:val="24"/>
          <w:u w:val="single"/>
        </w:rPr>
        <w:t>上表可知，本项目符合</w:t>
      </w:r>
      <w:r>
        <w:rPr>
          <w:rFonts w:hint="eastAsia" w:asciiTheme="minorEastAsia" w:hAnsiTheme="minorEastAsia" w:eastAsiaTheme="minorEastAsia"/>
          <w:b/>
          <w:bCs/>
          <w:color w:val="auto"/>
          <w:sz w:val="24"/>
          <w:szCs w:val="24"/>
          <w:u w:val="single"/>
        </w:rPr>
        <w:t>《</w:t>
      </w:r>
      <w:r>
        <w:rPr>
          <w:rFonts w:asciiTheme="minorEastAsia" w:hAnsiTheme="minorEastAsia" w:eastAsiaTheme="minorEastAsia"/>
          <w:b/>
          <w:bCs/>
          <w:color w:val="auto"/>
          <w:sz w:val="24"/>
          <w:szCs w:val="24"/>
          <w:u w:val="single"/>
        </w:rPr>
        <w:t>河南省进一步加强重金属污染防控工作方案的通知</w:t>
      </w:r>
      <w:r>
        <w:rPr>
          <w:rFonts w:hint="eastAsia" w:asciiTheme="minorEastAsia" w:hAnsiTheme="minorEastAsia" w:eastAsiaTheme="minorEastAsia"/>
          <w:b/>
          <w:bCs/>
          <w:color w:val="auto"/>
          <w:sz w:val="24"/>
          <w:szCs w:val="24"/>
          <w:u w:val="single"/>
        </w:rPr>
        <w:t>》</w:t>
      </w:r>
      <w:r>
        <w:rPr>
          <w:rFonts w:asciiTheme="minorEastAsia" w:hAnsiTheme="minorEastAsia" w:eastAsiaTheme="minorEastAsia"/>
          <w:b/>
          <w:bCs/>
          <w:color w:val="auto"/>
          <w:sz w:val="24"/>
          <w:szCs w:val="24"/>
          <w:u w:val="single"/>
        </w:rPr>
        <w:t>（豫环文[2022]90号）</w:t>
      </w:r>
      <w:r>
        <w:rPr>
          <w:rFonts w:hint="eastAsia" w:asciiTheme="minorEastAsia" w:hAnsiTheme="minorEastAsia" w:eastAsiaTheme="minorEastAsia"/>
          <w:b/>
          <w:bCs/>
          <w:color w:val="auto"/>
          <w:kern w:val="21"/>
          <w:sz w:val="24"/>
          <w:szCs w:val="24"/>
          <w:u w:val="single"/>
        </w:rPr>
        <w:t>中的相</w:t>
      </w:r>
      <w:r>
        <w:rPr>
          <w:rFonts w:hint="eastAsia" w:ascii="Times New Roman" w:hAnsi="Times New Roman"/>
          <w:b/>
          <w:bCs/>
          <w:color w:val="auto"/>
          <w:kern w:val="21"/>
          <w:sz w:val="24"/>
          <w:szCs w:val="24"/>
          <w:u w:val="single"/>
        </w:rPr>
        <w:t>关规定。</w:t>
      </w:r>
    </w:p>
    <w:p>
      <w:pPr>
        <w:pStyle w:val="5"/>
        <w:keepNext w:val="0"/>
        <w:keepLines w:val="0"/>
        <w:tabs>
          <w:tab w:val="left" w:pos="540"/>
        </w:tabs>
        <w:snapToGrid w:val="0"/>
        <w:spacing w:before="0" w:beforeLines="0" w:after="0" w:afterLines="0"/>
        <w:jc w:val="both"/>
        <w:rPr>
          <w:rStyle w:val="236"/>
          <w:rFonts w:eastAsia="黑体"/>
          <w:b w:val="0"/>
          <w:bCs w:val="0"/>
          <w:color w:val="auto"/>
          <w:kern w:val="21"/>
          <w:szCs w:val="28"/>
        </w:rPr>
      </w:pPr>
      <w:r>
        <w:rPr>
          <w:rStyle w:val="236"/>
          <w:rFonts w:eastAsia="黑体"/>
          <w:b w:val="0"/>
          <w:bCs w:val="0"/>
          <w:color w:val="auto"/>
          <w:kern w:val="21"/>
          <w:szCs w:val="28"/>
        </w:rPr>
        <w:t>2.</w:t>
      </w:r>
      <w:r>
        <w:rPr>
          <w:rStyle w:val="236"/>
          <w:rFonts w:hint="eastAsia" w:eastAsia="黑体"/>
          <w:b w:val="0"/>
          <w:bCs w:val="0"/>
          <w:color w:val="auto"/>
          <w:kern w:val="21"/>
          <w:szCs w:val="28"/>
        </w:rPr>
        <w:t>7.6《关于建立“两高”项目会商联审机制的通知》（豫发改环资</w:t>
      </w:r>
      <w:r>
        <w:rPr>
          <w:rStyle w:val="236"/>
          <w:rFonts w:eastAsia="黑体"/>
          <w:b w:val="0"/>
          <w:bCs w:val="0"/>
          <w:color w:val="auto"/>
          <w:kern w:val="21"/>
          <w:szCs w:val="28"/>
        </w:rPr>
        <w:t xml:space="preserve">[2021]977 </w:t>
      </w:r>
      <w:r>
        <w:rPr>
          <w:rStyle w:val="236"/>
          <w:rFonts w:hint="eastAsia" w:eastAsia="黑体"/>
          <w:b w:val="0"/>
          <w:bCs w:val="0"/>
          <w:color w:val="auto"/>
          <w:kern w:val="21"/>
          <w:szCs w:val="28"/>
        </w:rPr>
        <w:t>号）</w:t>
      </w:r>
    </w:p>
    <w:p>
      <w:pPr>
        <w:pStyle w:val="367"/>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根据《关于建立“两高”项目会商联审机制的通知》（豫发改环资</w:t>
      </w:r>
      <w:r>
        <w:rPr>
          <w:rFonts w:ascii="Times New Roman" w:hAnsi="Times New Roman"/>
          <w:color w:val="auto"/>
          <w:kern w:val="21"/>
          <w:sz w:val="24"/>
          <w:szCs w:val="24"/>
        </w:rPr>
        <w:t xml:space="preserve">[2021]977 </w:t>
      </w:r>
      <w:r>
        <w:rPr>
          <w:rFonts w:hint="eastAsia" w:ascii="Times New Roman" w:hAnsi="Times New Roman"/>
          <w:color w:val="auto"/>
          <w:kern w:val="21"/>
          <w:sz w:val="24"/>
          <w:szCs w:val="24"/>
        </w:rPr>
        <w:t>号）要求：河南省“两高”项目管理目录。主要包括两类：一是煤电、石化、化工、煤化工、钢铁、焦化、建材（非金属矿物制品）、有色等8个行业年综合能耗（等价值）</w:t>
      </w:r>
      <w:r>
        <w:rPr>
          <w:rFonts w:ascii="Times New Roman" w:hAnsi="Times New Roman"/>
          <w:color w:val="auto"/>
          <w:kern w:val="21"/>
          <w:sz w:val="24"/>
          <w:szCs w:val="24"/>
        </w:rPr>
        <w:t>5</w:t>
      </w:r>
      <w:r>
        <w:rPr>
          <w:rFonts w:hint="eastAsia" w:ascii="Times New Roman" w:hAnsi="Times New Roman"/>
          <w:color w:val="auto"/>
          <w:kern w:val="21"/>
          <w:sz w:val="24"/>
          <w:szCs w:val="24"/>
        </w:rPr>
        <w:t>万吨标准煤及以上的项目；二是</w:t>
      </w:r>
      <w:r>
        <w:rPr>
          <w:rFonts w:ascii="Times New Roman" w:hAnsi="Times New Roman"/>
          <w:color w:val="auto"/>
          <w:kern w:val="21"/>
          <w:sz w:val="24"/>
          <w:szCs w:val="24"/>
        </w:rPr>
        <w:t>8</w:t>
      </w:r>
      <w:r>
        <w:rPr>
          <w:rFonts w:hint="eastAsia" w:ascii="Times New Roman" w:hAnsi="Times New Roman"/>
          <w:color w:val="auto"/>
          <w:kern w:val="21"/>
          <w:sz w:val="24"/>
          <w:szCs w:val="24"/>
        </w:rPr>
        <w:t>个行业中</w:t>
      </w:r>
      <w:r>
        <w:rPr>
          <w:rFonts w:ascii="Times New Roman" w:hAnsi="Times New Roman"/>
          <w:color w:val="auto"/>
          <w:kern w:val="21"/>
          <w:sz w:val="24"/>
          <w:szCs w:val="24"/>
        </w:rPr>
        <w:t>22</w:t>
      </w:r>
      <w:r>
        <w:rPr>
          <w:rFonts w:hint="eastAsia" w:ascii="Times New Roman" w:hAnsi="Times New Roman"/>
          <w:color w:val="auto"/>
          <w:kern w:val="21"/>
          <w:sz w:val="24"/>
          <w:szCs w:val="24"/>
        </w:rPr>
        <w:t>个细分行业高耗能高排放环节年综合能耗（等价值）</w:t>
      </w:r>
      <w:r>
        <w:rPr>
          <w:rFonts w:hint="eastAsia" w:ascii="Times New Roman" w:hAnsi="Times New Roman"/>
          <w:color w:val="auto"/>
          <w:kern w:val="21"/>
          <w:sz w:val="24"/>
          <w:szCs w:val="24"/>
          <w:lang w:eastAsia="zh-CN"/>
        </w:rPr>
        <w:t>1万-5万</w:t>
      </w:r>
      <w:r>
        <w:rPr>
          <w:rFonts w:hint="eastAsia" w:ascii="Times New Roman" w:hAnsi="Times New Roman"/>
          <w:color w:val="auto"/>
          <w:kern w:val="21"/>
          <w:sz w:val="24"/>
          <w:szCs w:val="24"/>
        </w:rPr>
        <w:t>吨标准煤的项目，主要包括钢铁（长流程钢铁）、铁合金、氧化铝、电解铝、铝用碳素、铜铅锌硅冶炼（含原生和再生冶炼）、水泥、石灰、陶瓷、砖瓦（有烧结工序的）、耐火材料（有烧结工序的）、刚玉、平板玻璃、煤电、炼化、焦化（含兰炭）、甲醇、氮肥、醋酸、氯碱、电石、沥青防水材料等。其中，“十四五”新建“两高”项目按新增能耗量计算，改建、扩建“两高”项目（不含不涉及主体工程、未增加产能的技术改造项目）能耗量按改扩建后的年设计综合能耗计算。</w:t>
      </w:r>
    </w:p>
    <w:p>
      <w:pPr>
        <w:pStyle w:val="367"/>
        <w:adjustRightInd w:val="0"/>
        <w:snapToGrid w:val="0"/>
        <w:spacing w:line="360" w:lineRule="auto"/>
        <w:ind w:firstLine="480" w:firstLineChars="200"/>
        <w:rPr>
          <w:color w:val="auto"/>
          <w:kern w:val="21"/>
          <w:sz w:val="24"/>
        </w:rPr>
      </w:pPr>
      <w:r>
        <w:rPr>
          <w:rFonts w:hint="eastAsia" w:ascii="Times New Roman" w:hAnsi="Times New Roman"/>
          <w:color w:val="auto"/>
          <w:kern w:val="21"/>
          <w:sz w:val="24"/>
          <w:szCs w:val="24"/>
        </w:rPr>
        <w:t>本项目行业为C3849 其他电池制造，不属于上述的两类“两高”项目。</w:t>
      </w:r>
    </w:p>
    <w:p>
      <w:pPr>
        <w:pStyle w:val="5"/>
        <w:keepNext w:val="0"/>
        <w:keepLines w:val="0"/>
        <w:tabs>
          <w:tab w:val="left" w:pos="540"/>
        </w:tabs>
        <w:snapToGrid w:val="0"/>
        <w:spacing w:before="0" w:beforeLines="0" w:after="0" w:afterLines="0"/>
        <w:jc w:val="both"/>
        <w:rPr>
          <w:rStyle w:val="236"/>
          <w:rFonts w:eastAsia="黑体"/>
          <w:b w:val="0"/>
          <w:bCs w:val="0"/>
          <w:color w:val="auto"/>
          <w:kern w:val="21"/>
          <w:szCs w:val="28"/>
        </w:rPr>
      </w:pPr>
      <w:r>
        <w:rPr>
          <w:rStyle w:val="236"/>
          <w:rFonts w:eastAsia="黑体"/>
          <w:b w:val="0"/>
          <w:bCs w:val="0"/>
          <w:color w:val="auto"/>
          <w:kern w:val="21"/>
          <w:szCs w:val="28"/>
        </w:rPr>
        <w:t>2.</w:t>
      </w:r>
      <w:r>
        <w:rPr>
          <w:rStyle w:val="236"/>
          <w:rFonts w:hint="eastAsia"/>
          <w:b w:val="0"/>
          <w:bCs w:val="0"/>
          <w:color w:val="auto"/>
          <w:kern w:val="21"/>
          <w:szCs w:val="28"/>
        </w:rPr>
        <w:t>7</w:t>
      </w:r>
      <w:r>
        <w:rPr>
          <w:rStyle w:val="236"/>
          <w:rFonts w:eastAsia="黑体"/>
          <w:b w:val="0"/>
          <w:bCs w:val="0"/>
          <w:color w:val="auto"/>
          <w:kern w:val="21"/>
          <w:szCs w:val="28"/>
        </w:rPr>
        <w:t>.</w:t>
      </w:r>
      <w:r>
        <w:rPr>
          <w:rStyle w:val="236"/>
          <w:rFonts w:hint="eastAsia" w:eastAsia="黑体"/>
          <w:b w:val="0"/>
          <w:bCs w:val="0"/>
          <w:color w:val="auto"/>
          <w:kern w:val="21"/>
          <w:szCs w:val="28"/>
        </w:rPr>
        <w:t>7</w:t>
      </w:r>
      <w:r>
        <w:rPr>
          <w:rStyle w:val="236"/>
          <w:rFonts w:eastAsia="黑体"/>
          <w:b w:val="0"/>
          <w:bCs w:val="0"/>
          <w:color w:val="auto"/>
          <w:kern w:val="21"/>
          <w:szCs w:val="28"/>
        </w:rPr>
        <w:t>《关于印发河南省重金属污染防治工作指导意见的通知》（豫环文[2017]277号）</w:t>
      </w:r>
    </w:p>
    <w:p>
      <w:pPr>
        <w:pStyle w:val="367"/>
        <w:adjustRightInd w:val="0"/>
        <w:snapToGrid w:val="0"/>
        <w:spacing w:line="360" w:lineRule="auto"/>
        <w:ind w:firstLine="480" w:firstLineChars="200"/>
        <w:rPr>
          <w:rFonts w:ascii="Times New Roman" w:hAnsi="Times New Roman"/>
          <w:color w:val="auto"/>
          <w:kern w:val="21"/>
          <w:u w:val="single"/>
        </w:rPr>
      </w:pPr>
      <w:r>
        <w:rPr>
          <w:rFonts w:ascii="Times New Roman" w:hAnsi="Times New Roman"/>
          <w:color w:val="auto"/>
          <w:kern w:val="21"/>
          <w:sz w:val="24"/>
          <w:szCs w:val="24"/>
        </w:rPr>
        <w:t>根据《河南省环保厅关于印发河南省重金属污染防治工作指导意见的通知》（</w:t>
      </w:r>
      <w:r>
        <w:rPr>
          <w:rFonts w:ascii="Times New Roman" w:hAnsi="Times New Roman"/>
          <w:bCs/>
          <w:color w:val="auto"/>
          <w:kern w:val="21"/>
          <w:sz w:val="24"/>
          <w:szCs w:val="24"/>
        </w:rPr>
        <w:t>豫环文[2017]277号</w:t>
      </w:r>
      <w:r>
        <w:rPr>
          <w:rFonts w:ascii="Times New Roman" w:hAnsi="Times New Roman"/>
          <w:color w:val="auto"/>
          <w:kern w:val="21"/>
          <w:sz w:val="24"/>
          <w:szCs w:val="24"/>
        </w:rPr>
        <w:t>），对照本项目建设内容，涉及相关条款</w:t>
      </w:r>
      <w:r>
        <w:rPr>
          <w:rFonts w:hint="eastAsia" w:ascii="Times New Roman" w:hAnsi="Times New Roman"/>
          <w:color w:val="auto"/>
          <w:kern w:val="21"/>
          <w:sz w:val="24"/>
          <w:szCs w:val="24"/>
          <w:lang w:eastAsia="zh-CN"/>
        </w:rPr>
        <w:t>对比分析</w:t>
      </w:r>
      <w:r>
        <w:rPr>
          <w:rFonts w:ascii="Times New Roman" w:hAnsi="Times New Roman"/>
          <w:color w:val="auto"/>
          <w:kern w:val="21"/>
          <w:sz w:val="24"/>
          <w:szCs w:val="24"/>
        </w:rPr>
        <w:t>如下：</w:t>
      </w:r>
    </w:p>
    <w:p>
      <w:pPr>
        <w:pStyle w:val="262"/>
        <w:jc w:val="center"/>
        <w:rPr>
          <w:color w:val="auto"/>
          <w:kern w:val="21"/>
          <w:sz w:val="24"/>
          <w:szCs w:val="24"/>
        </w:rPr>
      </w:pPr>
      <w:r>
        <w:rPr>
          <w:color w:val="auto"/>
          <w:kern w:val="21"/>
          <w:sz w:val="24"/>
          <w:szCs w:val="24"/>
        </w:rPr>
        <w:t>表2.</w:t>
      </w:r>
      <w:r>
        <w:rPr>
          <w:rFonts w:hint="eastAsia"/>
          <w:color w:val="auto"/>
          <w:kern w:val="21"/>
          <w:sz w:val="24"/>
          <w:szCs w:val="24"/>
        </w:rPr>
        <w:t>7-5</w:t>
      </w:r>
      <w:r>
        <w:rPr>
          <w:color w:val="auto"/>
          <w:kern w:val="21"/>
          <w:sz w:val="24"/>
          <w:szCs w:val="24"/>
        </w:rPr>
        <w:t xml:space="preserve">  </w:t>
      </w:r>
      <w:r>
        <w:rPr>
          <w:rFonts w:hint="eastAsia"/>
          <w:color w:val="auto"/>
          <w:kern w:val="21"/>
          <w:sz w:val="24"/>
          <w:szCs w:val="24"/>
          <w:lang w:eastAsia="zh-CN"/>
        </w:rPr>
        <w:t>项目</w:t>
      </w:r>
      <w:r>
        <w:rPr>
          <w:color w:val="auto"/>
          <w:kern w:val="21"/>
          <w:sz w:val="24"/>
          <w:szCs w:val="24"/>
        </w:rPr>
        <w:t>与豫环文[2017]277号文件对比分析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4140"/>
        <w:gridCol w:w="2125"/>
        <w:gridCol w:w="1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62" w:type="dxa"/>
            <w:gridSpan w:val="2"/>
            <w:vAlign w:val="center"/>
          </w:tcPr>
          <w:p>
            <w:pPr>
              <w:pStyle w:val="323"/>
              <w:rPr>
                <w:b/>
                <w:bCs w:val="0"/>
                <w:color w:val="auto"/>
                <w:kern w:val="21"/>
              </w:rPr>
            </w:pPr>
            <w:r>
              <w:rPr>
                <w:b/>
                <w:bCs w:val="0"/>
                <w:color w:val="auto"/>
                <w:kern w:val="21"/>
              </w:rPr>
              <w:t>与本项目相关条文</w:t>
            </w:r>
          </w:p>
        </w:tc>
        <w:tc>
          <w:tcPr>
            <w:tcW w:w="2125" w:type="dxa"/>
            <w:vAlign w:val="center"/>
          </w:tcPr>
          <w:p>
            <w:pPr>
              <w:pStyle w:val="323"/>
              <w:rPr>
                <w:b/>
                <w:bCs w:val="0"/>
                <w:color w:val="auto"/>
                <w:kern w:val="21"/>
              </w:rPr>
            </w:pPr>
            <w:r>
              <w:rPr>
                <w:b/>
                <w:bCs w:val="0"/>
                <w:color w:val="auto"/>
                <w:kern w:val="21"/>
              </w:rPr>
              <w:t>本项目情况</w:t>
            </w:r>
          </w:p>
        </w:tc>
        <w:tc>
          <w:tcPr>
            <w:tcW w:w="1317" w:type="dxa"/>
            <w:vAlign w:val="center"/>
          </w:tcPr>
          <w:p>
            <w:pPr>
              <w:pStyle w:val="323"/>
              <w:rPr>
                <w:b/>
                <w:bCs w:val="0"/>
                <w:color w:val="auto"/>
                <w:kern w:val="21"/>
              </w:rPr>
            </w:pPr>
            <w:r>
              <w:rPr>
                <w:b/>
                <w:bCs w:val="0"/>
                <w:color w:val="auto"/>
                <w:kern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dxa"/>
            <w:vMerge w:val="restart"/>
            <w:vAlign w:val="center"/>
          </w:tcPr>
          <w:p>
            <w:pPr>
              <w:pStyle w:val="323"/>
              <w:rPr>
                <w:bCs/>
                <w:color w:val="auto"/>
                <w:kern w:val="21"/>
              </w:rPr>
            </w:pPr>
            <w:r>
              <w:rPr>
                <w:bCs/>
                <w:color w:val="auto"/>
                <w:kern w:val="21"/>
              </w:rPr>
              <w:t>三、防控重点</w:t>
            </w:r>
          </w:p>
        </w:tc>
        <w:tc>
          <w:tcPr>
            <w:tcW w:w="4140" w:type="dxa"/>
            <w:vAlign w:val="center"/>
          </w:tcPr>
          <w:p>
            <w:pPr>
              <w:pStyle w:val="323"/>
              <w:jc w:val="left"/>
              <w:rPr>
                <w:bCs/>
                <w:color w:val="auto"/>
                <w:kern w:val="21"/>
              </w:rPr>
            </w:pPr>
            <w:r>
              <w:rPr>
                <w:bCs/>
                <w:color w:val="auto"/>
                <w:kern w:val="21"/>
              </w:rPr>
              <w:t>（一）重点污染物：铅、汞、镉、铬和类金属砷，兼顾铊、镍、锰、锑、铜、锌、银、钒、钴、钼等</w:t>
            </w:r>
          </w:p>
        </w:tc>
        <w:tc>
          <w:tcPr>
            <w:tcW w:w="2125" w:type="dxa"/>
            <w:vAlign w:val="center"/>
          </w:tcPr>
          <w:p>
            <w:pPr>
              <w:pStyle w:val="323"/>
              <w:rPr>
                <w:bCs/>
                <w:color w:val="auto"/>
                <w:kern w:val="21"/>
              </w:rPr>
            </w:pPr>
            <w:r>
              <w:rPr>
                <w:bCs/>
                <w:color w:val="auto"/>
                <w:kern w:val="21"/>
              </w:rPr>
              <w:t>本项目涉及重点污染物中的镍、锌、铬</w:t>
            </w:r>
            <w:r>
              <w:rPr>
                <w:rFonts w:hint="eastAsia"/>
                <w:bCs/>
                <w:color w:val="auto"/>
                <w:kern w:val="21"/>
              </w:rPr>
              <w:t>，涉及重金属废水经处理后回用，不外排</w:t>
            </w:r>
            <w:r>
              <w:rPr>
                <w:bCs/>
                <w:color w:val="auto"/>
                <w:kern w:val="21"/>
              </w:rPr>
              <w:t>。</w:t>
            </w:r>
          </w:p>
        </w:tc>
        <w:tc>
          <w:tcPr>
            <w:tcW w:w="1317" w:type="dxa"/>
            <w:vAlign w:val="center"/>
          </w:tcPr>
          <w:p>
            <w:pPr>
              <w:pStyle w:val="323"/>
              <w:rPr>
                <w:bCs/>
                <w:color w:val="auto"/>
                <w:kern w:val="21"/>
              </w:rPr>
            </w:pPr>
            <w:r>
              <w:rPr>
                <w:bCs/>
                <w:color w:val="auto"/>
                <w:kern w:val="21"/>
              </w:rPr>
              <w:t>镍、锌、铬属于重点污染物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dxa"/>
            <w:vMerge w:val="continue"/>
            <w:vAlign w:val="center"/>
          </w:tcPr>
          <w:p>
            <w:pPr>
              <w:pStyle w:val="323"/>
              <w:rPr>
                <w:bCs/>
                <w:color w:val="auto"/>
                <w:kern w:val="21"/>
              </w:rPr>
            </w:pPr>
          </w:p>
        </w:tc>
        <w:tc>
          <w:tcPr>
            <w:tcW w:w="4140" w:type="dxa"/>
            <w:vAlign w:val="center"/>
          </w:tcPr>
          <w:p>
            <w:pPr>
              <w:pStyle w:val="323"/>
              <w:jc w:val="left"/>
              <w:rPr>
                <w:bCs/>
                <w:color w:val="auto"/>
                <w:kern w:val="21"/>
              </w:rPr>
            </w:pPr>
            <w:r>
              <w:rPr>
                <w:bCs/>
                <w:color w:val="auto"/>
                <w:kern w:val="21"/>
              </w:rPr>
              <w:t>（二）重点行业：铅、锌、铜、钨、钼、金、银等有色金属矿采选及冶炼，皮革及毛皮鞣制加工，铬盐、颜料、电石法聚氯乙烯树脂等涉重化工原料制造，铅酸蓄电池制造，电镀加工制造。</w:t>
            </w:r>
          </w:p>
        </w:tc>
        <w:tc>
          <w:tcPr>
            <w:tcW w:w="2125" w:type="dxa"/>
            <w:vAlign w:val="center"/>
          </w:tcPr>
          <w:p>
            <w:pPr>
              <w:pStyle w:val="323"/>
              <w:rPr>
                <w:bCs/>
                <w:color w:val="auto"/>
                <w:kern w:val="21"/>
              </w:rPr>
            </w:pPr>
            <w:r>
              <w:rPr>
                <w:bCs/>
                <w:color w:val="auto"/>
                <w:kern w:val="21"/>
              </w:rPr>
              <w:t>本项目属于锂电池配件制造业，包含电镀加工工序。</w:t>
            </w:r>
          </w:p>
        </w:tc>
        <w:tc>
          <w:tcPr>
            <w:tcW w:w="1317" w:type="dxa"/>
            <w:vAlign w:val="center"/>
          </w:tcPr>
          <w:p>
            <w:pPr>
              <w:pStyle w:val="323"/>
              <w:rPr>
                <w:bCs/>
                <w:color w:val="auto"/>
                <w:kern w:val="21"/>
              </w:rPr>
            </w:pPr>
            <w:r>
              <w:rPr>
                <w:bCs/>
                <w:color w:val="auto"/>
                <w:kern w:val="21"/>
              </w:rPr>
              <w:t>属于重点行业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dxa"/>
            <w:vMerge w:val="continue"/>
            <w:vAlign w:val="center"/>
          </w:tcPr>
          <w:p>
            <w:pPr>
              <w:pStyle w:val="323"/>
              <w:rPr>
                <w:bCs/>
                <w:color w:val="auto"/>
                <w:kern w:val="21"/>
              </w:rPr>
            </w:pPr>
          </w:p>
        </w:tc>
        <w:tc>
          <w:tcPr>
            <w:tcW w:w="4140" w:type="dxa"/>
            <w:vAlign w:val="center"/>
          </w:tcPr>
          <w:p>
            <w:pPr>
              <w:pStyle w:val="323"/>
              <w:jc w:val="left"/>
              <w:rPr>
                <w:bCs/>
                <w:color w:val="auto"/>
                <w:kern w:val="21"/>
              </w:rPr>
            </w:pPr>
            <w:r>
              <w:rPr>
                <w:bCs/>
                <w:color w:val="auto"/>
                <w:kern w:val="21"/>
              </w:rPr>
              <w:t>（三）：省重金属污染防控重点区域：尉氏县、洛宁县、新乡县、新乡市凤泉区。</w:t>
            </w:r>
          </w:p>
          <w:p>
            <w:pPr>
              <w:pStyle w:val="323"/>
              <w:jc w:val="left"/>
              <w:rPr>
                <w:bCs/>
                <w:color w:val="auto"/>
                <w:kern w:val="21"/>
              </w:rPr>
            </w:pPr>
            <w:r>
              <w:rPr>
                <w:bCs/>
                <w:color w:val="auto"/>
                <w:kern w:val="21"/>
              </w:rPr>
              <w:t>其中新乡县、新乡市凤泉区为</w:t>
            </w:r>
            <w:r>
              <w:rPr>
                <w:rFonts w:hint="eastAsia"/>
                <w:bCs/>
                <w:color w:val="auto"/>
                <w:kern w:val="21"/>
              </w:rPr>
              <w:t>“</w:t>
            </w:r>
            <w:r>
              <w:rPr>
                <w:bCs/>
                <w:color w:val="auto"/>
                <w:kern w:val="21"/>
              </w:rPr>
              <w:t>控制类</w:t>
            </w:r>
            <w:r>
              <w:rPr>
                <w:rFonts w:hint="eastAsia"/>
                <w:bCs/>
                <w:color w:val="auto"/>
                <w:kern w:val="21"/>
              </w:rPr>
              <w:t>”</w:t>
            </w:r>
            <w:r>
              <w:rPr>
                <w:bCs/>
                <w:color w:val="auto"/>
                <w:kern w:val="21"/>
              </w:rPr>
              <w:t>重点区域。</w:t>
            </w:r>
          </w:p>
        </w:tc>
        <w:tc>
          <w:tcPr>
            <w:tcW w:w="2125" w:type="dxa"/>
            <w:vAlign w:val="center"/>
          </w:tcPr>
          <w:p>
            <w:pPr>
              <w:pStyle w:val="323"/>
              <w:rPr>
                <w:bCs/>
                <w:color w:val="auto"/>
                <w:kern w:val="21"/>
              </w:rPr>
            </w:pPr>
            <w:r>
              <w:rPr>
                <w:bCs/>
                <w:color w:val="auto"/>
                <w:kern w:val="21"/>
              </w:rPr>
              <w:t>本项目位于新乡市获嘉县</w:t>
            </w:r>
          </w:p>
        </w:tc>
        <w:tc>
          <w:tcPr>
            <w:tcW w:w="1317" w:type="dxa"/>
            <w:vAlign w:val="center"/>
          </w:tcPr>
          <w:p>
            <w:pPr>
              <w:pStyle w:val="323"/>
              <w:rPr>
                <w:bCs/>
                <w:color w:val="auto"/>
                <w:kern w:val="21"/>
              </w:rPr>
            </w:pPr>
            <w:r>
              <w:rPr>
                <w:bCs/>
                <w:color w:val="auto"/>
                <w:kern w:val="21"/>
              </w:rPr>
              <w:t>不属于重点区域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dxa"/>
            <w:vMerge w:val="restart"/>
            <w:vAlign w:val="center"/>
          </w:tcPr>
          <w:p>
            <w:pPr>
              <w:pStyle w:val="323"/>
              <w:rPr>
                <w:bCs/>
                <w:color w:val="auto"/>
                <w:kern w:val="21"/>
              </w:rPr>
            </w:pPr>
            <w:r>
              <w:rPr>
                <w:bCs/>
                <w:color w:val="auto"/>
                <w:kern w:val="21"/>
              </w:rPr>
              <w:t>五、主要防控任务及其要求</w:t>
            </w:r>
          </w:p>
        </w:tc>
        <w:tc>
          <w:tcPr>
            <w:tcW w:w="4140" w:type="dxa"/>
            <w:vAlign w:val="center"/>
          </w:tcPr>
          <w:p>
            <w:pPr>
              <w:pStyle w:val="323"/>
              <w:jc w:val="left"/>
              <w:rPr>
                <w:bCs/>
                <w:color w:val="auto"/>
                <w:kern w:val="21"/>
              </w:rPr>
            </w:pPr>
            <w:r>
              <w:rPr>
                <w:bCs/>
                <w:color w:val="auto"/>
                <w:kern w:val="21"/>
              </w:rPr>
              <w:t>（二）深入推进全过程污染防控</w:t>
            </w:r>
          </w:p>
          <w:p>
            <w:pPr>
              <w:pStyle w:val="323"/>
              <w:jc w:val="left"/>
              <w:rPr>
                <w:bCs/>
                <w:color w:val="auto"/>
                <w:kern w:val="21"/>
              </w:rPr>
            </w:pPr>
            <w:r>
              <w:rPr>
                <w:bCs/>
                <w:color w:val="auto"/>
                <w:kern w:val="21"/>
              </w:rPr>
              <w:t>按履约和标准要求，严控新增污染源。新建、改建、扩建含汞类扣式碱锰电池、糊式锌锰电池、体温计和血压计等生产项目必须使用无汞原材料。对未编制涉重金属行业发展规划，未开展规划环评或规划环评未通过审查的区域，环保部门不予受理审批该区域涉重金属排放的建设项目。</w:t>
            </w:r>
          </w:p>
        </w:tc>
        <w:tc>
          <w:tcPr>
            <w:tcW w:w="2125" w:type="dxa"/>
            <w:vAlign w:val="center"/>
          </w:tcPr>
          <w:p>
            <w:pPr>
              <w:pStyle w:val="323"/>
              <w:jc w:val="left"/>
              <w:rPr>
                <w:bCs/>
                <w:color w:val="auto"/>
                <w:kern w:val="21"/>
              </w:rPr>
            </w:pPr>
            <w:r>
              <w:rPr>
                <w:bCs/>
                <w:color w:val="auto"/>
                <w:kern w:val="21"/>
              </w:rPr>
              <w:t>本项目不属于扣式碱锰电池、糊式锌锰电池、体温计和血压计等生产项目，</w:t>
            </w:r>
            <w:r>
              <w:rPr>
                <w:rFonts w:hint="eastAsia"/>
                <w:bCs/>
                <w:color w:val="auto"/>
                <w:kern w:val="21"/>
                <w:lang w:eastAsia="zh-CN"/>
              </w:rPr>
              <w:t>且项目所在园区</w:t>
            </w:r>
            <w:r>
              <w:rPr>
                <w:bCs/>
                <w:color w:val="auto"/>
                <w:kern w:val="21"/>
              </w:rPr>
              <w:t>开展了规划环评并通过审查。</w:t>
            </w:r>
          </w:p>
        </w:tc>
        <w:tc>
          <w:tcPr>
            <w:tcW w:w="1317" w:type="dxa"/>
            <w:vAlign w:val="center"/>
          </w:tcPr>
          <w:p>
            <w:pPr>
              <w:pStyle w:val="323"/>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dxa"/>
            <w:vMerge w:val="continue"/>
            <w:vAlign w:val="center"/>
          </w:tcPr>
          <w:p>
            <w:pPr>
              <w:pStyle w:val="323"/>
              <w:rPr>
                <w:bCs/>
                <w:color w:val="auto"/>
                <w:kern w:val="21"/>
              </w:rPr>
            </w:pPr>
          </w:p>
        </w:tc>
        <w:tc>
          <w:tcPr>
            <w:tcW w:w="4140" w:type="dxa"/>
            <w:vAlign w:val="center"/>
          </w:tcPr>
          <w:p>
            <w:pPr>
              <w:pStyle w:val="323"/>
              <w:jc w:val="left"/>
              <w:rPr>
                <w:bCs/>
                <w:color w:val="auto"/>
                <w:kern w:val="21"/>
              </w:rPr>
            </w:pPr>
            <w:r>
              <w:rPr>
                <w:bCs/>
                <w:color w:val="auto"/>
                <w:kern w:val="21"/>
              </w:rPr>
              <w:t>（三）全面实施环境风险防控</w:t>
            </w:r>
          </w:p>
          <w:p>
            <w:pPr>
              <w:pStyle w:val="323"/>
              <w:jc w:val="left"/>
              <w:rPr>
                <w:bCs/>
                <w:color w:val="auto"/>
                <w:kern w:val="21"/>
              </w:rPr>
            </w:pPr>
            <w:r>
              <w:rPr>
                <w:bCs/>
                <w:color w:val="auto"/>
                <w:kern w:val="21"/>
              </w:rPr>
              <w:t>新建、改建、扩建涉重金属污染物排放以及可能对土壤环境造成累积性影响的建设项目，在开展环境影响评价时，应对建设用地及其周边土壤和地下水环境质量状况进行调查和环境风险评估。</w:t>
            </w:r>
          </w:p>
        </w:tc>
        <w:tc>
          <w:tcPr>
            <w:tcW w:w="2125" w:type="dxa"/>
            <w:vAlign w:val="center"/>
          </w:tcPr>
          <w:p>
            <w:pPr>
              <w:pStyle w:val="323"/>
              <w:jc w:val="left"/>
              <w:rPr>
                <w:bCs/>
                <w:color w:val="auto"/>
                <w:kern w:val="21"/>
              </w:rPr>
            </w:pPr>
            <w:r>
              <w:rPr>
                <w:rFonts w:hint="eastAsia" w:ascii="宋体" w:hAnsi="宋体" w:cs="宋体"/>
                <w:color w:val="auto"/>
                <w:kern w:val="21"/>
              </w:rPr>
              <w:t>本项目</w:t>
            </w:r>
            <w:r>
              <w:rPr>
                <w:rFonts w:hint="eastAsia" w:ascii="宋体" w:hAnsi="宋体" w:cs="宋体"/>
                <w:color w:val="auto"/>
                <w:kern w:val="21"/>
                <w:lang w:eastAsia="zh-CN"/>
              </w:rPr>
              <w:t>为</w:t>
            </w:r>
            <w:r>
              <w:rPr>
                <w:rFonts w:hint="eastAsia" w:ascii="宋体" w:hAnsi="宋体" w:cs="宋体"/>
                <w:color w:val="auto"/>
                <w:kern w:val="21"/>
              </w:rPr>
              <w:t>新建项目，</w:t>
            </w:r>
            <w:r>
              <w:rPr>
                <w:rFonts w:hint="eastAsia" w:ascii="宋体" w:hAnsi="宋体" w:cs="宋体"/>
                <w:color w:val="auto"/>
                <w:kern w:val="21"/>
                <w:lang w:eastAsia="zh-CN"/>
              </w:rPr>
              <w:t>项目涉重废水经处理后全部回用，不外排。</w:t>
            </w:r>
            <w:r>
              <w:rPr>
                <w:rFonts w:hint="eastAsia" w:ascii="宋体" w:hAnsi="宋体" w:cs="宋体"/>
                <w:color w:val="auto"/>
                <w:kern w:val="21"/>
              </w:rPr>
              <w:t>在</w:t>
            </w:r>
            <w:r>
              <w:rPr>
                <w:rFonts w:hint="eastAsia" w:ascii="宋体" w:hAnsi="宋体" w:cs="宋体"/>
                <w:color w:val="auto"/>
                <w:kern w:val="21"/>
                <w:lang w:eastAsia="zh-CN"/>
              </w:rPr>
              <w:t>环评期间</w:t>
            </w:r>
            <w:r>
              <w:rPr>
                <w:rFonts w:hint="eastAsia" w:ascii="宋体" w:hAnsi="宋体" w:cs="宋体"/>
                <w:color w:val="auto"/>
                <w:kern w:val="21"/>
              </w:rPr>
              <w:t>，建设单位对建设用地及其周边土壤和地下水环境质量状况进行</w:t>
            </w:r>
            <w:r>
              <w:rPr>
                <w:rFonts w:hint="eastAsia" w:ascii="宋体" w:hAnsi="宋体" w:cs="宋体"/>
                <w:color w:val="auto"/>
                <w:kern w:val="21"/>
                <w:lang w:eastAsia="zh-CN"/>
              </w:rPr>
              <w:t>了现状监测</w:t>
            </w:r>
            <w:r>
              <w:rPr>
                <w:rFonts w:hint="eastAsia" w:ascii="宋体" w:hAnsi="宋体" w:cs="宋体"/>
                <w:color w:val="auto"/>
                <w:kern w:val="21"/>
              </w:rPr>
              <w:t>。</w:t>
            </w:r>
          </w:p>
        </w:tc>
        <w:tc>
          <w:tcPr>
            <w:tcW w:w="1317" w:type="dxa"/>
            <w:vAlign w:val="center"/>
          </w:tcPr>
          <w:p>
            <w:pPr>
              <w:pStyle w:val="323"/>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dxa"/>
            <w:vMerge w:val="continue"/>
            <w:vAlign w:val="center"/>
          </w:tcPr>
          <w:p>
            <w:pPr>
              <w:pStyle w:val="323"/>
              <w:rPr>
                <w:bCs/>
                <w:color w:val="auto"/>
                <w:kern w:val="21"/>
              </w:rPr>
            </w:pPr>
          </w:p>
        </w:tc>
        <w:tc>
          <w:tcPr>
            <w:tcW w:w="4140" w:type="dxa"/>
            <w:vAlign w:val="center"/>
          </w:tcPr>
          <w:p>
            <w:pPr>
              <w:pStyle w:val="323"/>
              <w:jc w:val="left"/>
              <w:rPr>
                <w:bCs/>
                <w:color w:val="auto"/>
                <w:kern w:val="21"/>
              </w:rPr>
            </w:pPr>
            <w:r>
              <w:rPr>
                <w:bCs/>
                <w:color w:val="auto"/>
                <w:kern w:val="21"/>
              </w:rPr>
              <w:t>（五）加强环境监管与基础能力建设</w:t>
            </w:r>
          </w:p>
          <w:p>
            <w:pPr>
              <w:pStyle w:val="323"/>
              <w:jc w:val="left"/>
              <w:rPr>
                <w:bCs/>
                <w:color w:val="auto"/>
                <w:kern w:val="21"/>
              </w:rPr>
            </w:pPr>
            <w:r>
              <w:rPr>
                <w:bCs/>
                <w:color w:val="auto"/>
                <w:kern w:val="21"/>
              </w:rPr>
              <w:t>企业自行或委托专业检测机构，每月开展一次对车间（或车间处理设施排放口）、排污口及厂界无组织排放情况的监测，结果向当地环保部门报告并向社会公开。各地环保部门应对重金属排放重点监管企业污染治理设施运行情况、污染物排放情况及企业周边环境空气、水体和土壤等环境状况，每年至少开展一次检查和监督性监测，公布重金属污染物排放和企业环境管理情况，结果作为环境执法和风险预警的重要参考。</w:t>
            </w:r>
          </w:p>
        </w:tc>
        <w:tc>
          <w:tcPr>
            <w:tcW w:w="2125" w:type="dxa"/>
            <w:vAlign w:val="center"/>
          </w:tcPr>
          <w:p>
            <w:pPr>
              <w:pStyle w:val="323"/>
              <w:jc w:val="left"/>
              <w:rPr>
                <w:bCs/>
                <w:color w:val="auto"/>
                <w:kern w:val="21"/>
              </w:rPr>
            </w:pPr>
            <w:r>
              <w:rPr>
                <w:bCs/>
                <w:color w:val="auto"/>
                <w:kern w:val="21"/>
              </w:rPr>
              <w:t>评价已对企业定期监测进行要求，每月对车间、排污口及厂界无组织排放</w:t>
            </w:r>
            <w:r>
              <w:rPr>
                <w:rFonts w:hint="eastAsia"/>
                <w:bCs/>
                <w:color w:val="auto"/>
                <w:kern w:val="21"/>
                <w:lang w:eastAsia="zh-CN"/>
              </w:rPr>
              <w:t>进行</w:t>
            </w:r>
            <w:r>
              <w:rPr>
                <w:bCs/>
                <w:color w:val="auto"/>
                <w:kern w:val="21"/>
              </w:rPr>
              <w:t>监测，</w:t>
            </w:r>
            <w:r>
              <w:rPr>
                <w:rFonts w:hint="eastAsia"/>
                <w:bCs/>
                <w:color w:val="auto"/>
                <w:kern w:val="21"/>
                <w:lang w:eastAsia="zh-CN"/>
              </w:rPr>
              <w:t>监测</w:t>
            </w:r>
            <w:r>
              <w:rPr>
                <w:bCs/>
                <w:color w:val="auto"/>
                <w:kern w:val="21"/>
              </w:rPr>
              <w:t>结果向当地环保部门报告并向社会公开。</w:t>
            </w:r>
          </w:p>
        </w:tc>
        <w:tc>
          <w:tcPr>
            <w:tcW w:w="1317" w:type="dxa"/>
            <w:vAlign w:val="center"/>
          </w:tcPr>
          <w:p>
            <w:pPr>
              <w:pStyle w:val="323"/>
              <w:rPr>
                <w:bCs/>
                <w:color w:val="auto"/>
                <w:kern w:val="21"/>
              </w:rPr>
            </w:pPr>
            <w:r>
              <w:rPr>
                <w:bCs/>
                <w:color w:val="auto"/>
                <w:kern w:val="21"/>
              </w:rPr>
              <w:t>符合</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rPr>
      </w:pPr>
      <w:r>
        <w:rPr>
          <w:color w:val="auto"/>
          <w:kern w:val="21"/>
          <w:sz w:val="24"/>
          <w:szCs w:val="24"/>
        </w:rPr>
        <w:t>由上表可知，本项目符合《河南省环保厅关于印发河南省重金属污染防治工作指导意见的通知》（</w:t>
      </w:r>
      <w:r>
        <w:rPr>
          <w:bCs/>
          <w:color w:val="auto"/>
          <w:kern w:val="21"/>
          <w:sz w:val="24"/>
          <w:szCs w:val="24"/>
        </w:rPr>
        <w:t>豫环文[2017]277号</w:t>
      </w:r>
      <w:r>
        <w:rPr>
          <w:color w:val="auto"/>
          <w:kern w:val="21"/>
          <w:sz w:val="24"/>
          <w:szCs w:val="24"/>
        </w:rPr>
        <w:t>）相关要求。</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2.</w:t>
      </w:r>
      <w:r>
        <w:rPr>
          <w:rFonts w:hint="eastAsia" w:eastAsia="黑体"/>
          <w:color w:val="auto"/>
          <w:kern w:val="21"/>
          <w:sz w:val="28"/>
          <w:szCs w:val="28"/>
        </w:rPr>
        <w:t>7.8《河南省重污染天气重点行业应急减排措施制定技术指南（</w:t>
      </w:r>
      <w:r>
        <w:rPr>
          <w:rFonts w:eastAsia="黑体"/>
          <w:color w:val="auto"/>
          <w:kern w:val="21"/>
          <w:sz w:val="28"/>
          <w:szCs w:val="28"/>
        </w:rPr>
        <w:t>2021</w:t>
      </w:r>
      <w:r>
        <w:rPr>
          <w:rFonts w:hint="eastAsia" w:eastAsia="黑体"/>
          <w:color w:val="auto"/>
          <w:kern w:val="21"/>
          <w:sz w:val="28"/>
          <w:szCs w:val="28"/>
        </w:rPr>
        <w:t>年修订）》</w:t>
      </w:r>
    </w:p>
    <w:p>
      <w:pPr>
        <w:adjustRightInd w:val="0"/>
        <w:snapToGrid w:val="0"/>
        <w:spacing w:line="360" w:lineRule="auto"/>
        <w:ind w:firstLine="480" w:firstLineChars="200"/>
        <w:rPr>
          <w:color w:val="auto"/>
          <w:kern w:val="21"/>
          <w:sz w:val="28"/>
          <w:szCs w:val="24"/>
        </w:rPr>
      </w:pPr>
      <w:r>
        <w:rPr>
          <w:rFonts w:hint="eastAsia"/>
          <w:color w:val="auto"/>
          <w:sz w:val="24"/>
          <w:szCs w:val="23"/>
          <w:lang w:eastAsia="zh-CN"/>
        </w:rPr>
        <w:t>本项目主要生产锂电池钢壳、盖帽和电池箱，表面处理工段涉及电镀工艺，故本项目参考</w:t>
      </w:r>
      <w:r>
        <w:rPr>
          <w:rFonts w:hint="eastAsia"/>
          <w:color w:val="auto"/>
          <w:sz w:val="24"/>
          <w:szCs w:val="23"/>
        </w:rPr>
        <w:t>《河南省重污染天气重点行业应急减排措施制定技术指南（</w:t>
      </w:r>
      <w:r>
        <w:rPr>
          <w:bCs/>
          <w:color w:val="auto"/>
          <w:sz w:val="24"/>
          <w:szCs w:val="23"/>
        </w:rPr>
        <w:t>2021</w:t>
      </w:r>
      <w:r>
        <w:rPr>
          <w:rFonts w:hint="eastAsia"/>
          <w:color w:val="auto"/>
          <w:sz w:val="24"/>
          <w:szCs w:val="23"/>
        </w:rPr>
        <w:t>年修订）》中金属表面处理及热处理加工的要求</w:t>
      </w:r>
      <w:r>
        <w:rPr>
          <w:rFonts w:hint="eastAsia"/>
          <w:color w:val="auto"/>
          <w:sz w:val="24"/>
          <w:szCs w:val="23"/>
          <w:lang w:eastAsia="zh-CN"/>
        </w:rPr>
        <w:t>，对比分析本项目与《技术指南》中相关内容的相符性。本项目实际建设情况与《技术指南》中相关内容的对比分析如下表</w:t>
      </w:r>
      <w:r>
        <w:rPr>
          <w:rFonts w:hint="eastAsia"/>
          <w:color w:val="auto"/>
          <w:sz w:val="24"/>
          <w:szCs w:val="23"/>
        </w:rPr>
        <w:t>：</w:t>
      </w:r>
    </w:p>
    <w:p>
      <w:pPr>
        <w:keepNext w:val="0"/>
        <w:keepLines w:val="0"/>
        <w:pageBreakBefore w:val="0"/>
        <w:widowControl/>
        <w:kinsoku/>
        <w:wordWrap/>
        <w:overflowPunct/>
        <w:topLinePunct w:val="0"/>
        <w:autoSpaceDE/>
        <w:autoSpaceDN/>
        <w:bidi w:val="0"/>
        <w:adjustRightInd w:val="0"/>
        <w:snapToGrid w:val="0"/>
        <w:spacing w:line="240" w:lineRule="auto"/>
        <w:ind w:firstLine="480" w:firstLineChars="200"/>
        <w:jc w:val="center"/>
        <w:textAlignment w:val="auto"/>
        <w:rPr>
          <w:rFonts w:hint="eastAsia" w:eastAsia="黑体"/>
          <w:color w:val="auto"/>
          <w:kern w:val="21"/>
          <w:sz w:val="24"/>
          <w:szCs w:val="24"/>
          <w:lang w:eastAsia="zh-CN"/>
        </w:rPr>
      </w:pPr>
      <w:r>
        <w:rPr>
          <w:rFonts w:hint="eastAsia" w:eastAsia="黑体"/>
          <w:color w:val="auto"/>
          <w:kern w:val="21"/>
          <w:sz w:val="24"/>
          <w:szCs w:val="24"/>
        </w:rPr>
        <w:t xml:space="preserve">表2.7-6  </w:t>
      </w:r>
      <w:r>
        <w:rPr>
          <w:rFonts w:eastAsia="黑体"/>
          <w:color w:val="auto"/>
          <w:kern w:val="21"/>
          <w:sz w:val="24"/>
          <w:szCs w:val="24"/>
        </w:rPr>
        <w:t>项目与《技术指南》</w:t>
      </w:r>
      <w:r>
        <w:rPr>
          <w:rFonts w:hint="eastAsia" w:eastAsia="黑体"/>
          <w:color w:val="auto"/>
          <w:kern w:val="21"/>
          <w:sz w:val="24"/>
          <w:szCs w:val="24"/>
          <w:lang w:eastAsia="zh-CN"/>
        </w:rPr>
        <w:t>对比分析</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2449"/>
        <w:gridCol w:w="1803"/>
        <w:gridCol w:w="2268"/>
        <w:gridCol w:w="1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959" w:type="dxa"/>
            <w:shd w:val="clear" w:color="auto" w:fill="auto"/>
            <w:vAlign w:val="center"/>
          </w:tcPr>
          <w:p>
            <w:pPr>
              <w:widowControl w:val="0"/>
              <w:adjustRightInd w:val="0"/>
              <w:snapToGrid w:val="0"/>
              <w:jc w:val="center"/>
              <w:rPr>
                <w:b/>
                <w:bCs/>
                <w:color w:val="auto"/>
                <w:kern w:val="21"/>
              </w:rPr>
            </w:pPr>
            <w:r>
              <w:rPr>
                <w:b/>
                <w:bCs/>
                <w:color w:val="auto"/>
                <w:kern w:val="21"/>
              </w:rPr>
              <w:t>项目</w:t>
            </w:r>
          </w:p>
        </w:tc>
        <w:tc>
          <w:tcPr>
            <w:tcW w:w="2449" w:type="dxa"/>
            <w:shd w:val="clear" w:color="auto" w:fill="auto"/>
            <w:vAlign w:val="center"/>
          </w:tcPr>
          <w:p>
            <w:pPr>
              <w:widowControl w:val="0"/>
              <w:adjustRightInd w:val="0"/>
              <w:snapToGrid w:val="0"/>
              <w:jc w:val="center"/>
              <w:rPr>
                <w:b/>
                <w:bCs/>
                <w:color w:val="auto"/>
                <w:kern w:val="21"/>
              </w:rPr>
            </w:pPr>
            <w:r>
              <w:rPr>
                <w:b/>
                <w:bCs/>
                <w:color w:val="auto"/>
                <w:kern w:val="21"/>
              </w:rPr>
              <w:t>A级要求</w:t>
            </w:r>
          </w:p>
        </w:tc>
        <w:tc>
          <w:tcPr>
            <w:tcW w:w="1803" w:type="dxa"/>
            <w:shd w:val="clear" w:color="auto" w:fill="auto"/>
            <w:vAlign w:val="center"/>
          </w:tcPr>
          <w:p>
            <w:pPr>
              <w:widowControl w:val="0"/>
              <w:adjustRightInd w:val="0"/>
              <w:snapToGrid w:val="0"/>
              <w:jc w:val="center"/>
              <w:rPr>
                <w:b/>
                <w:bCs/>
                <w:color w:val="auto"/>
                <w:kern w:val="21"/>
              </w:rPr>
            </w:pPr>
            <w:r>
              <w:rPr>
                <w:b/>
                <w:bCs/>
                <w:color w:val="auto"/>
                <w:kern w:val="21"/>
              </w:rPr>
              <w:t>B级要求</w:t>
            </w:r>
          </w:p>
        </w:tc>
        <w:tc>
          <w:tcPr>
            <w:tcW w:w="2268" w:type="dxa"/>
            <w:shd w:val="clear" w:color="auto" w:fill="auto"/>
            <w:vAlign w:val="center"/>
          </w:tcPr>
          <w:p>
            <w:pPr>
              <w:widowControl w:val="0"/>
              <w:adjustRightInd w:val="0"/>
              <w:snapToGrid w:val="0"/>
              <w:jc w:val="center"/>
              <w:rPr>
                <w:b/>
                <w:bCs/>
                <w:color w:val="auto"/>
                <w:kern w:val="21"/>
              </w:rPr>
            </w:pPr>
            <w:r>
              <w:rPr>
                <w:b/>
                <w:bCs/>
                <w:color w:val="auto"/>
                <w:kern w:val="21"/>
              </w:rPr>
              <w:t>本项目拟建情况</w:t>
            </w:r>
          </w:p>
        </w:tc>
        <w:tc>
          <w:tcPr>
            <w:tcW w:w="1043" w:type="dxa"/>
            <w:shd w:val="clear" w:color="auto" w:fill="auto"/>
            <w:vAlign w:val="center"/>
          </w:tcPr>
          <w:p>
            <w:pPr>
              <w:widowControl w:val="0"/>
              <w:adjustRightInd w:val="0"/>
              <w:snapToGrid w:val="0"/>
              <w:jc w:val="center"/>
              <w:rPr>
                <w:b/>
                <w:bCs/>
                <w:color w:val="auto"/>
                <w:kern w:val="21"/>
              </w:rPr>
            </w:pPr>
            <w:r>
              <w:rPr>
                <w:b/>
                <w:bCs/>
                <w:color w:val="auto"/>
                <w:kern w:val="21"/>
              </w:rPr>
              <w:t>对比</w:t>
            </w:r>
          </w:p>
          <w:p>
            <w:pPr>
              <w:widowControl w:val="0"/>
              <w:adjustRightInd w:val="0"/>
              <w:snapToGrid w:val="0"/>
              <w:jc w:val="center"/>
              <w:rPr>
                <w:b/>
                <w:bCs/>
                <w:color w:val="auto"/>
                <w:kern w:val="21"/>
              </w:rPr>
            </w:pPr>
            <w:r>
              <w:rPr>
                <w:b/>
                <w:bCs/>
                <w:color w:val="auto"/>
                <w:kern w:val="21"/>
              </w:rPr>
              <w:t>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能源类型 </w:t>
            </w:r>
          </w:p>
        </w:tc>
        <w:tc>
          <w:tcPr>
            <w:tcW w:w="4252" w:type="dxa"/>
            <w:gridSpan w:val="2"/>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热处理加工采用电、天然气或其他清洁能源。 </w:t>
            </w:r>
          </w:p>
        </w:tc>
        <w:tc>
          <w:tcPr>
            <w:tcW w:w="2268"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本项目不涉及热处理加工，烘干炉使用电，属于清洁能源。 </w:t>
            </w:r>
          </w:p>
        </w:tc>
        <w:tc>
          <w:tcPr>
            <w:tcW w:w="1043" w:type="dxa"/>
            <w:shd w:val="clear" w:color="auto" w:fill="auto"/>
            <w:vAlign w:val="center"/>
          </w:tcPr>
          <w:p>
            <w:pPr>
              <w:widowControl w:val="0"/>
              <w:adjustRightInd w:val="0"/>
              <w:snapToGrid w:val="0"/>
              <w:jc w:val="center"/>
              <w:rPr>
                <w:color w:val="auto"/>
                <w:kern w:val="21"/>
              </w:rPr>
            </w:pPr>
            <w:r>
              <w:rPr>
                <w:color w:val="auto"/>
                <w:kern w:val="21"/>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工艺过程 </w:t>
            </w:r>
          </w:p>
        </w:tc>
        <w:tc>
          <w:tcPr>
            <w:tcW w:w="244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电镀、电铸等金属表面热处理采用自动化设备。</w:t>
            </w:r>
          </w:p>
        </w:tc>
        <w:tc>
          <w:tcPr>
            <w:tcW w:w="1803"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未达到A级要求。 </w:t>
            </w:r>
          </w:p>
        </w:tc>
        <w:tc>
          <w:tcPr>
            <w:tcW w:w="2268"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本项目不涉及电铸，</w:t>
            </w:r>
            <w:r>
              <w:rPr>
                <w:rFonts w:hint="eastAsia" w:ascii="Times New Roman" w:cs="Times New Roman"/>
                <w:color w:val="auto"/>
                <w:sz w:val="21"/>
                <w:szCs w:val="21"/>
                <w:lang w:eastAsia="zh-CN"/>
              </w:rPr>
              <w:t>电镀不涉及热处理</w:t>
            </w:r>
            <w:r>
              <w:rPr>
                <w:rFonts w:ascii="Times New Roman" w:cs="Times New Roman"/>
                <w:color w:val="auto"/>
                <w:sz w:val="21"/>
                <w:szCs w:val="21"/>
              </w:rPr>
              <w:t xml:space="preserve">。 </w:t>
            </w:r>
          </w:p>
        </w:tc>
        <w:tc>
          <w:tcPr>
            <w:tcW w:w="1043" w:type="dxa"/>
            <w:shd w:val="clear" w:color="auto" w:fill="auto"/>
            <w:vAlign w:val="center"/>
          </w:tcPr>
          <w:p>
            <w:pPr>
              <w:widowControl w:val="0"/>
              <w:adjustRightInd w:val="0"/>
              <w:snapToGrid w:val="0"/>
              <w:jc w:val="center"/>
              <w:rPr>
                <w:rFonts w:hint="default" w:eastAsia="宋体"/>
                <w:color w:val="auto"/>
                <w:kern w:val="21"/>
                <w:lang w:val="en-US" w:eastAsia="zh-CN"/>
              </w:rPr>
            </w:pPr>
            <w:r>
              <w:rPr>
                <w:rFonts w:hint="eastAsia"/>
                <w:color w:val="auto"/>
                <w:kern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污染收集及治理技术 </w:t>
            </w:r>
          </w:p>
          <w:p>
            <w:pPr>
              <w:widowControl w:val="0"/>
              <w:adjustRightInd w:val="0"/>
              <w:snapToGrid w:val="0"/>
              <w:jc w:val="both"/>
              <w:rPr>
                <w:color w:val="auto"/>
                <w:kern w:val="21"/>
              </w:rPr>
            </w:pPr>
          </w:p>
        </w:tc>
        <w:tc>
          <w:tcPr>
            <w:tcW w:w="2449"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金属表面处理： </w:t>
            </w:r>
          </w:p>
          <w:p>
            <w:pPr>
              <w:pStyle w:val="283"/>
              <w:jc w:val="both"/>
              <w:rPr>
                <w:rFonts w:ascii="Times New Roman" w:cs="Times New Roman"/>
                <w:color w:val="auto"/>
                <w:sz w:val="21"/>
                <w:szCs w:val="21"/>
              </w:rPr>
            </w:pPr>
            <w:r>
              <w:rPr>
                <w:rFonts w:ascii="Times New Roman" w:cs="Times New Roman"/>
                <w:color w:val="auto"/>
                <w:sz w:val="21"/>
                <w:szCs w:val="21"/>
              </w:rPr>
              <w:t xml:space="preserve">1.酸碱废气采用两级及以上喷淋吸收处理工艺，采用pH计控制，实现自动加药，药液液位自动控制； </w:t>
            </w:r>
          </w:p>
          <w:p>
            <w:pPr>
              <w:pStyle w:val="283"/>
              <w:jc w:val="both"/>
              <w:rPr>
                <w:rFonts w:ascii="Times New Roman" w:cs="Times New Roman"/>
                <w:color w:val="auto"/>
                <w:sz w:val="21"/>
                <w:szCs w:val="21"/>
              </w:rPr>
            </w:pPr>
            <w:r>
              <w:rPr>
                <w:rFonts w:ascii="Times New Roman" w:cs="Times New Roman"/>
                <w:color w:val="auto"/>
                <w:sz w:val="21"/>
                <w:szCs w:val="21"/>
              </w:rPr>
              <w:t xml:space="preserve">2.油雾废气采用油雾多级回收+VOCs治理技术；VOCs废气采用燃烧方式（包括直接燃烧、催化燃烧和蓄热燃烧）进行最终处理，或采用活性炭吸附（采用一次性活性炭吸附的，活性炭碘值800mg/g及以上）等高效处理工艺； </w:t>
            </w:r>
          </w:p>
          <w:p>
            <w:pPr>
              <w:widowControl w:val="0"/>
              <w:adjustRightInd w:val="0"/>
              <w:snapToGrid w:val="0"/>
              <w:jc w:val="both"/>
              <w:rPr>
                <w:color w:val="auto"/>
                <w:kern w:val="21"/>
              </w:rPr>
            </w:pPr>
            <w:r>
              <w:rPr>
                <w:color w:val="auto"/>
              </w:rPr>
              <w:t xml:space="preserve">3.废气收集采用侧吸式集气罩、槽边排风等高效集气技术，实现微负压收集。 </w:t>
            </w:r>
          </w:p>
        </w:tc>
        <w:tc>
          <w:tcPr>
            <w:tcW w:w="1803"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金属表面处理：</w:t>
            </w:r>
          </w:p>
          <w:p>
            <w:pPr>
              <w:pStyle w:val="283"/>
              <w:jc w:val="both"/>
              <w:rPr>
                <w:rFonts w:ascii="Times New Roman" w:cs="Times New Roman"/>
                <w:color w:val="auto"/>
                <w:sz w:val="21"/>
                <w:szCs w:val="21"/>
              </w:rPr>
            </w:pPr>
            <w:r>
              <w:rPr>
                <w:rFonts w:ascii="Times New Roman" w:cs="Times New Roman"/>
                <w:color w:val="auto"/>
                <w:sz w:val="21"/>
                <w:szCs w:val="21"/>
              </w:rPr>
              <w:t>1.同A级第1条要求；</w:t>
            </w:r>
          </w:p>
          <w:p>
            <w:pPr>
              <w:pStyle w:val="283"/>
              <w:jc w:val="both"/>
              <w:rPr>
                <w:rFonts w:ascii="Times New Roman" w:cs="Times New Roman"/>
                <w:color w:val="auto"/>
                <w:sz w:val="21"/>
                <w:szCs w:val="21"/>
              </w:rPr>
            </w:pPr>
            <w:r>
              <w:rPr>
                <w:rFonts w:ascii="Times New Roman" w:cs="Times New Roman"/>
                <w:color w:val="auto"/>
                <w:sz w:val="21"/>
                <w:szCs w:val="21"/>
              </w:rPr>
              <w:t>2.油雾废气采用油雾多级回收+VOCs治理技术；VOCs治理采用喷淋、吸附、低温等离子、生物法等两级及以上组合工艺处理；</w:t>
            </w:r>
          </w:p>
          <w:p>
            <w:pPr>
              <w:widowControl w:val="0"/>
              <w:adjustRightInd w:val="0"/>
              <w:snapToGrid w:val="0"/>
              <w:jc w:val="both"/>
              <w:rPr>
                <w:color w:val="auto"/>
                <w:kern w:val="21"/>
              </w:rPr>
            </w:pPr>
            <w:r>
              <w:rPr>
                <w:color w:val="auto"/>
              </w:rPr>
              <w:t>3.同A级第3条要求。</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1.电镀酸碱废气采用两级喷淋吸收处理工艺，采用pH计控制，实现自动加药，药液液位自动控制； </w:t>
            </w:r>
          </w:p>
          <w:p>
            <w:pPr>
              <w:pStyle w:val="283"/>
              <w:jc w:val="both"/>
              <w:rPr>
                <w:rFonts w:ascii="Times New Roman" w:cs="Times New Roman"/>
                <w:color w:val="auto"/>
                <w:sz w:val="21"/>
                <w:szCs w:val="21"/>
              </w:rPr>
            </w:pPr>
            <w:r>
              <w:rPr>
                <w:rFonts w:ascii="Times New Roman" w:cs="Times New Roman"/>
                <w:color w:val="auto"/>
                <w:sz w:val="21"/>
                <w:szCs w:val="21"/>
              </w:rPr>
              <w:t xml:space="preserve">2.本项目不涉及油雾及VOC； </w:t>
            </w:r>
          </w:p>
          <w:p>
            <w:pPr>
              <w:widowControl w:val="0"/>
              <w:adjustRightInd w:val="0"/>
              <w:snapToGrid w:val="0"/>
              <w:jc w:val="both"/>
              <w:rPr>
                <w:color w:val="auto"/>
                <w:kern w:val="21"/>
              </w:rPr>
            </w:pPr>
            <w:r>
              <w:rPr>
                <w:color w:val="auto"/>
              </w:rPr>
              <w:t xml:space="preserve">3.废气收集采用生产线封闭+侧吸+顶吸式集气罩等高效集气技术，实现微负压收集。 </w:t>
            </w:r>
          </w:p>
        </w:tc>
        <w:tc>
          <w:tcPr>
            <w:tcW w:w="1043" w:type="dxa"/>
            <w:shd w:val="clear" w:color="auto" w:fill="auto"/>
            <w:vAlign w:val="center"/>
          </w:tcPr>
          <w:p>
            <w:pPr>
              <w:widowControl w:val="0"/>
              <w:adjustRightInd w:val="0"/>
              <w:snapToGrid w:val="0"/>
              <w:jc w:val="center"/>
              <w:rPr>
                <w:rFonts w:hint="eastAsia" w:eastAsia="宋体"/>
                <w:color w:val="auto"/>
                <w:kern w:val="21"/>
                <w:lang w:eastAsia="zh-CN"/>
              </w:rPr>
            </w:pPr>
            <w:r>
              <w:rPr>
                <w:color w:val="auto"/>
                <w:kern w:val="21"/>
              </w:rPr>
              <w:t>满足A级</w:t>
            </w:r>
            <w:r>
              <w:rPr>
                <w:rFonts w:hint="eastAsia"/>
                <w:color w:val="auto"/>
                <w:kern w:val="21"/>
                <w:lang w:eastAsia="zh-CN"/>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widowControl w:val="0"/>
              <w:adjustRightInd w:val="0"/>
              <w:snapToGrid w:val="0"/>
              <w:jc w:val="both"/>
              <w:rPr>
                <w:color w:val="auto"/>
                <w:kern w:val="21"/>
              </w:rPr>
            </w:pP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热处理加工：</w:t>
            </w:r>
          </w:p>
          <w:p>
            <w:pPr>
              <w:pStyle w:val="283"/>
              <w:jc w:val="both"/>
              <w:rPr>
                <w:rFonts w:ascii="Times New Roman" w:cs="Times New Roman"/>
                <w:color w:val="auto"/>
                <w:sz w:val="21"/>
                <w:szCs w:val="21"/>
              </w:rPr>
            </w:pPr>
            <w:r>
              <w:rPr>
                <w:rFonts w:ascii="Times New Roman" w:cs="Times New Roman"/>
                <w:color w:val="auto"/>
                <w:sz w:val="21"/>
                <w:szCs w:val="21"/>
              </w:rPr>
              <w:t>1.除尘采用高效袋式除尘或其他高效过滤式除尘设施；</w:t>
            </w:r>
          </w:p>
          <w:p>
            <w:pPr>
              <w:pStyle w:val="283"/>
              <w:jc w:val="both"/>
              <w:rPr>
                <w:rFonts w:ascii="Times New Roman" w:cs="Times New Roman"/>
                <w:color w:val="auto"/>
                <w:sz w:val="21"/>
                <w:szCs w:val="21"/>
              </w:rPr>
            </w:pPr>
            <w:r>
              <w:rPr>
                <w:rFonts w:ascii="Times New Roman" w:cs="Times New Roman"/>
                <w:color w:val="auto"/>
                <w:sz w:val="21"/>
                <w:szCs w:val="21"/>
              </w:rPr>
              <w:t xml:space="preserve">2.热处理炉与锅炉烟气采用低氮燃烧或其他等效技术； </w:t>
            </w:r>
          </w:p>
          <w:p>
            <w:pPr>
              <w:pStyle w:val="283"/>
              <w:jc w:val="both"/>
              <w:rPr>
                <w:rFonts w:ascii="Times New Roman" w:cs="Times New Roman"/>
                <w:color w:val="auto"/>
                <w:sz w:val="21"/>
                <w:szCs w:val="21"/>
              </w:rPr>
            </w:pPr>
            <w:r>
              <w:rPr>
                <w:rFonts w:ascii="Times New Roman" w:cs="Times New Roman"/>
                <w:color w:val="auto"/>
                <w:sz w:val="21"/>
                <w:szCs w:val="21"/>
              </w:rPr>
              <w:t xml:space="preserve">废水收集及处理环节： </w:t>
            </w:r>
          </w:p>
          <w:p>
            <w:pPr>
              <w:widowControl w:val="0"/>
              <w:adjustRightInd w:val="0"/>
              <w:snapToGrid w:val="0"/>
              <w:jc w:val="both"/>
              <w:rPr>
                <w:color w:val="auto"/>
                <w:kern w:val="21"/>
              </w:rPr>
            </w:pPr>
            <w:r>
              <w:rPr>
                <w:color w:val="auto"/>
              </w:rPr>
              <w:t xml:space="preserve">废水储存、处理设施，在曝气池之前加盖密闭或采取其他等效措施，并密闭收集至废气处理设备。 </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本项目不涉及热处理加工，锅炉烟气采用低氮燃烧</w:t>
            </w:r>
            <w:r>
              <w:rPr>
                <w:rFonts w:hint="eastAsia" w:ascii="Times New Roman" w:cs="Times New Roman"/>
                <w:color w:val="auto"/>
                <w:sz w:val="21"/>
                <w:szCs w:val="21"/>
              </w:rPr>
              <w:t>+烟气再循环</w:t>
            </w:r>
            <w:r>
              <w:rPr>
                <w:rFonts w:ascii="Times New Roman" w:cs="Times New Roman"/>
                <w:color w:val="auto"/>
                <w:sz w:val="21"/>
                <w:szCs w:val="21"/>
              </w:rPr>
              <w:t xml:space="preserve">。 </w:t>
            </w:r>
          </w:p>
          <w:p>
            <w:pPr>
              <w:widowControl w:val="0"/>
              <w:adjustRightInd w:val="0"/>
              <w:snapToGrid w:val="0"/>
              <w:jc w:val="both"/>
              <w:rPr>
                <w:color w:val="auto"/>
                <w:kern w:val="21"/>
              </w:rPr>
            </w:pPr>
            <w:r>
              <w:rPr>
                <w:color w:val="auto"/>
              </w:rPr>
              <w:t>污水站加盖密闭，并密闭收集至</w:t>
            </w:r>
            <w:r>
              <w:rPr>
                <w:rFonts w:hint="eastAsia"/>
                <w:color w:val="auto"/>
                <w:lang w:eastAsia="zh-CN"/>
              </w:rPr>
              <w:t>生物除臭装置</w:t>
            </w:r>
            <w:r>
              <w:rPr>
                <w:color w:val="auto"/>
              </w:rPr>
              <w:t xml:space="preserve">。 </w:t>
            </w:r>
          </w:p>
        </w:tc>
        <w:tc>
          <w:tcPr>
            <w:tcW w:w="1043" w:type="dxa"/>
            <w:shd w:val="clear" w:color="auto" w:fill="auto"/>
            <w:vAlign w:val="center"/>
          </w:tcPr>
          <w:p>
            <w:pPr>
              <w:widowControl w:val="0"/>
              <w:adjustRightInd w:val="0"/>
              <w:snapToGrid w:val="0"/>
              <w:jc w:val="center"/>
              <w:rPr>
                <w:rFonts w:hint="eastAsia" w:eastAsia="宋体"/>
                <w:color w:val="auto"/>
                <w:kern w:val="21"/>
                <w:lang w:eastAsia="zh-CN"/>
              </w:rPr>
            </w:pPr>
            <w:r>
              <w:rPr>
                <w:color w:val="auto"/>
                <w:kern w:val="21"/>
              </w:rPr>
              <w:t>满足A级</w:t>
            </w:r>
            <w:r>
              <w:rPr>
                <w:rFonts w:hint="eastAsia"/>
                <w:color w:val="auto"/>
                <w:kern w:val="21"/>
                <w:lang w:eastAsia="zh-CN"/>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排放</w:t>
            </w:r>
          </w:p>
          <w:p>
            <w:pPr>
              <w:pStyle w:val="283"/>
              <w:jc w:val="both"/>
              <w:rPr>
                <w:rFonts w:ascii="Times New Roman" w:cs="Times New Roman"/>
                <w:color w:val="auto"/>
                <w:kern w:val="21"/>
                <w:sz w:val="21"/>
                <w:szCs w:val="21"/>
              </w:rPr>
            </w:pPr>
            <w:r>
              <w:rPr>
                <w:rFonts w:ascii="Times New Roman" w:cs="Times New Roman"/>
                <w:color w:val="auto"/>
                <w:sz w:val="21"/>
                <w:szCs w:val="21"/>
              </w:rPr>
              <w:t xml:space="preserve">限值 </w:t>
            </w: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1.PM排放限值要求（不涉及）； </w:t>
            </w:r>
          </w:p>
          <w:p>
            <w:pPr>
              <w:pStyle w:val="283"/>
              <w:jc w:val="both"/>
              <w:rPr>
                <w:rFonts w:ascii="Times New Roman" w:cs="Times New Roman"/>
                <w:color w:val="auto"/>
                <w:sz w:val="21"/>
                <w:szCs w:val="21"/>
              </w:rPr>
            </w:pPr>
            <w:r>
              <w:rPr>
                <w:rFonts w:ascii="Times New Roman" w:cs="Times New Roman"/>
                <w:color w:val="auto"/>
                <w:sz w:val="21"/>
                <w:szCs w:val="21"/>
              </w:rPr>
              <w:t>2.电镀生产线氯化氢、硫酸雾排放浓度不超过10mg/m</w:t>
            </w:r>
            <w:r>
              <w:rPr>
                <w:rFonts w:ascii="Times New Roman" w:cs="Times New Roman"/>
                <w:color w:val="auto"/>
                <w:sz w:val="21"/>
                <w:szCs w:val="21"/>
                <w:vertAlign w:val="superscript"/>
              </w:rPr>
              <w:t>3</w:t>
            </w:r>
            <w:r>
              <w:rPr>
                <w:rFonts w:ascii="Times New Roman" w:cs="Times New Roman"/>
                <w:color w:val="auto"/>
                <w:sz w:val="21"/>
                <w:szCs w:val="21"/>
              </w:rPr>
              <w:t>；铬酸雾排放浓度不超过0.05mg/m</w:t>
            </w:r>
            <w:r>
              <w:rPr>
                <w:rFonts w:ascii="Times New Roman" w:cs="Times New Roman"/>
                <w:color w:val="auto"/>
                <w:sz w:val="21"/>
                <w:szCs w:val="21"/>
                <w:vertAlign w:val="superscript"/>
              </w:rPr>
              <w:t>3</w:t>
            </w:r>
            <w:r>
              <w:rPr>
                <w:rFonts w:ascii="Times New Roman" w:cs="Times New Roman"/>
                <w:color w:val="auto"/>
                <w:sz w:val="21"/>
                <w:szCs w:val="21"/>
              </w:rPr>
              <w:t>；氰化氢排放浓度不超过0.5mg/m</w:t>
            </w:r>
            <w:r>
              <w:rPr>
                <w:rFonts w:ascii="Times New Roman" w:cs="Times New Roman"/>
                <w:color w:val="auto"/>
                <w:sz w:val="21"/>
                <w:szCs w:val="21"/>
                <w:vertAlign w:val="superscript"/>
              </w:rPr>
              <w:t>3</w:t>
            </w:r>
            <w:r>
              <w:rPr>
                <w:rFonts w:ascii="Times New Roman" w:cs="Times New Roman"/>
                <w:color w:val="auto"/>
                <w:sz w:val="21"/>
                <w:szCs w:val="21"/>
              </w:rPr>
              <w:t xml:space="preserve">；氟化物排放浓度不超过5mg/m3；NOx排放浓度不超过100mg/m3； </w:t>
            </w:r>
          </w:p>
          <w:p>
            <w:pPr>
              <w:widowControl w:val="0"/>
              <w:adjustRightInd w:val="0"/>
              <w:snapToGrid w:val="0"/>
              <w:jc w:val="both"/>
              <w:rPr>
                <w:color w:val="auto"/>
                <w:kern w:val="21"/>
              </w:rPr>
            </w:pPr>
            <w:r>
              <w:rPr>
                <w:color w:val="auto"/>
              </w:rPr>
              <w:t>3.PM、SO</w:t>
            </w:r>
            <w:r>
              <w:rPr>
                <w:color w:val="auto"/>
                <w:vertAlign w:val="subscript"/>
              </w:rPr>
              <w:t>2</w:t>
            </w:r>
            <w:r>
              <w:rPr>
                <w:color w:val="auto"/>
              </w:rPr>
              <w:t>、NOx排放浓度分别不高于：5、10、30mg/m</w:t>
            </w:r>
            <w:r>
              <w:rPr>
                <w:color w:val="auto"/>
                <w:vertAlign w:val="superscript"/>
              </w:rPr>
              <w:t>3</w:t>
            </w:r>
            <w:r>
              <w:rPr>
                <w:color w:val="auto"/>
              </w:rPr>
              <w:t>（基准含氧量：燃气3.5%）。</w:t>
            </w:r>
          </w:p>
        </w:tc>
        <w:tc>
          <w:tcPr>
            <w:tcW w:w="2268" w:type="dxa"/>
            <w:shd w:val="clear" w:color="auto" w:fill="auto"/>
            <w:vAlign w:val="center"/>
          </w:tcPr>
          <w:p>
            <w:pPr>
              <w:widowControl w:val="0"/>
              <w:adjustRightInd w:val="0"/>
              <w:snapToGrid w:val="0"/>
              <w:jc w:val="both"/>
              <w:rPr>
                <w:rFonts w:hint="eastAsia" w:eastAsia="宋体"/>
                <w:color w:val="auto"/>
                <w:kern w:val="21"/>
                <w:vertAlign w:val="baseline"/>
                <w:lang w:eastAsia="zh-CN"/>
              </w:rPr>
            </w:pPr>
            <w:r>
              <w:rPr>
                <w:color w:val="auto"/>
                <w:kern w:val="21"/>
              </w:rPr>
              <w:t>根据工程分析，本项目排放的氯化氢浓度不超过10mg/m</w:t>
            </w:r>
            <w:r>
              <w:rPr>
                <w:color w:val="auto"/>
                <w:kern w:val="21"/>
                <w:vertAlign w:val="superscript"/>
              </w:rPr>
              <w:t>3</w:t>
            </w:r>
            <w:r>
              <w:rPr>
                <w:color w:val="auto"/>
                <w:kern w:val="21"/>
              </w:rPr>
              <w:t>；</w:t>
            </w:r>
            <w:r>
              <w:rPr>
                <w:color w:val="auto"/>
              </w:rPr>
              <w:t>PM</w:t>
            </w:r>
            <w:r>
              <w:rPr>
                <w:rFonts w:hint="eastAsia"/>
                <w:color w:val="auto"/>
                <w:lang w:val="en-US" w:eastAsia="zh-CN"/>
              </w:rPr>
              <w:t>10</w:t>
            </w:r>
            <w:r>
              <w:rPr>
                <w:color w:val="auto"/>
              </w:rPr>
              <w:t>、SO</w:t>
            </w:r>
            <w:r>
              <w:rPr>
                <w:color w:val="auto"/>
                <w:vertAlign w:val="subscript"/>
              </w:rPr>
              <w:t>2</w:t>
            </w:r>
            <w:r>
              <w:rPr>
                <w:color w:val="auto"/>
              </w:rPr>
              <w:t>、NOx排放浓度分别不高于：5mg/m</w:t>
            </w:r>
            <w:r>
              <w:rPr>
                <w:color w:val="auto"/>
                <w:vertAlign w:val="superscript"/>
              </w:rPr>
              <w:t>3</w:t>
            </w:r>
            <w:r>
              <w:rPr>
                <w:color w:val="auto"/>
              </w:rPr>
              <w:t>、10mg/m</w:t>
            </w:r>
            <w:r>
              <w:rPr>
                <w:color w:val="auto"/>
                <w:vertAlign w:val="superscript"/>
              </w:rPr>
              <w:t>3</w:t>
            </w:r>
            <w:r>
              <w:rPr>
                <w:color w:val="auto"/>
              </w:rPr>
              <w:t>、30mg/m</w:t>
            </w:r>
            <w:r>
              <w:rPr>
                <w:color w:val="auto"/>
                <w:vertAlign w:val="superscript"/>
              </w:rPr>
              <w:t>3</w:t>
            </w:r>
            <w:r>
              <w:rPr>
                <w:rFonts w:hint="eastAsia"/>
                <w:color w:val="auto"/>
                <w:vertAlign w:val="baseline"/>
                <w:lang w:eastAsia="zh-CN"/>
              </w:rPr>
              <w:t>。</w:t>
            </w:r>
          </w:p>
        </w:tc>
        <w:tc>
          <w:tcPr>
            <w:tcW w:w="1043" w:type="dxa"/>
            <w:shd w:val="clear" w:color="auto" w:fill="auto"/>
            <w:vAlign w:val="center"/>
          </w:tcPr>
          <w:p>
            <w:pPr>
              <w:widowControl w:val="0"/>
              <w:adjustRightInd w:val="0"/>
              <w:snapToGrid w:val="0"/>
              <w:jc w:val="center"/>
              <w:rPr>
                <w:color w:val="auto"/>
                <w:kern w:val="21"/>
              </w:rPr>
            </w:pPr>
            <w:r>
              <w:rPr>
                <w:color w:val="auto"/>
                <w:kern w:val="21"/>
              </w:rPr>
              <w:t>满足A级</w:t>
            </w:r>
            <w:r>
              <w:rPr>
                <w:rFonts w:hint="eastAsia"/>
                <w:color w:val="auto"/>
                <w:kern w:val="21"/>
                <w:lang w:eastAsia="zh-CN"/>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无组织管控</w:t>
            </w: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1.所有物料（包括原辅料、半成品、成品）进封闭仓库分区存放，厂内无露天堆放物料；</w:t>
            </w:r>
          </w:p>
          <w:p>
            <w:pPr>
              <w:pStyle w:val="283"/>
              <w:jc w:val="both"/>
              <w:rPr>
                <w:rFonts w:ascii="Times New Roman" w:cs="Times New Roman"/>
                <w:color w:val="auto"/>
                <w:sz w:val="21"/>
                <w:szCs w:val="21"/>
              </w:rPr>
            </w:pPr>
            <w:r>
              <w:rPr>
                <w:rFonts w:ascii="Times New Roman" w:cs="Times New Roman"/>
                <w:color w:val="auto"/>
                <w:sz w:val="21"/>
                <w:szCs w:val="21"/>
              </w:rPr>
              <w:t>2.车间、料库四面封闭，通道口安装卷帘门、推拉门等封闭性良好且便于开关的硬质门；</w:t>
            </w:r>
          </w:p>
          <w:p>
            <w:pPr>
              <w:pStyle w:val="283"/>
              <w:jc w:val="both"/>
              <w:rPr>
                <w:rFonts w:ascii="Times New Roman" w:cs="Times New Roman"/>
                <w:color w:val="auto"/>
                <w:sz w:val="21"/>
                <w:szCs w:val="21"/>
              </w:rPr>
            </w:pPr>
            <w:r>
              <w:rPr>
                <w:rFonts w:ascii="Times New Roman" w:cs="Times New Roman"/>
                <w:color w:val="auto"/>
                <w:sz w:val="21"/>
                <w:szCs w:val="21"/>
              </w:rPr>
              <w:t>3.易挥发原辅料应采用密闭容器盛装，并采用吸附交换法等技术回收废酸液；运输应采用密闭容器或罐车进行物料转移，调配、使用等过程采用密闭设备或在封闭空间内操作，废气收集至相应处理系统；</w:t>
            </w:r>
          </w:p>
          <w:p>
            <w:pPr>
              <w:widowControl w:val="0"/>
              <w:adjustRightInd w:val="0"/>
              <w:snapToGrid w:val="0"/>
              <w:jc w:val="both"/>
              <w:rPr>
                <w:color w:val="auto"/>
              </w:rPr>
            </w:pPr>
            <w:r>
              <w:rPr>
                <w:color w:val="auto"/>
              </w:rPr>
              <w:t>4.转移和输送VOCs物料以及VOCs废料（渣、液）时，应采用密闭管道或密闭容器；</w:t>
            </w:r>
          </w:p>
          <w:p>
            <w:pPr>
              <w:pStyle w:val="283"/>
              <w:jc w:val="both"/>
              <w:rPr>
                <w:rFonts w:ascii="Times New Roman" w:cs="Times New Roman"/>
                <w:color w:val="auto"/>
                <w:sz w:val="21"/>
                <w:szCs w:val="21"/>
              </w:rPr>
            </w:pPr>
            <w:r>
              <w:rPr>
                <w:rFonts w:ascii="Times New Roman" w:cs="Times New Roman"/>
                <w:color w:val="auto"/>
                <w:sz w:val="21"/>
                <w:szCs w:val="21"/>
              </w:rPr>
              <w:t xml:space="preserve">镀槽、镀件提升转运装置、电器控制装置、电源设备、过滤设备、检测仪器、加热与冷却装置、滚筒驱动装置、空气搅拌设备及线上污染控制设施等采用一体自动化成套装置；化学抛光槽、镀铬槽应加入酸雾抑制剂，有效减少废气产生； </w:t>
            </w:r>
          </w:p>
          <w:p>
            <w:pPr>
              <w:pStyle w:val="283"/>
              <w:jc w:val="both"/>
              <w:rPr>
                <w:rFonts w:ascii="Times New Roman" w:cs="Times New Roman"/>
                <w:color w:val="auto"/>
                <w:sz w:val="21"/>
                <w:szCs w:val="21"/>
              </w:rPr>
            </w:pPr>
            <w:r>
              <w:rPr>
                <w:rFonts w:ascii="Times New Roman" w:cs="Times New Roman"/>
                <w:color w:val="auto"/>
                <w:sz w:val="21"/>
                <w:szCs w:val="21"/>
              </w:rPr>
              <w:t>6.金属表面处理及热处理工序应在密闭车间内进行，或在封闭车间内采取二次封闭措施，并对工序产生的酸雾、油雾及VOCs废气进行密闭收集处理。采用外部罩的，距集气罩开口面最远处的废气无组织排放位置，风速应不低于0.3米/秒；</w:t>
            </w:r>
          </w:p>
          <w:p>
            <w:pPr>
              <w:widowControl w:val="0"/>
              <w:adjustRightInd w:val="0"/>
              <w:snapToGrid w:val="0"/>
              <w:jc w:val="both"/>
              <w:rPr>
                <w:color w:val="auto"/>
                <w:kern w:val="21"/>
              </w:rPr>
            </w:pPr>
            <w:r>
              <w:rPr>
                <w:color w:val="auto"/>
              </w:rPr>
              <w:t>7.厂区地面全部绿化或硬化，无成片裸露土地。车间规范平整，无物料洒落和“跑、冒、滴、漏”现象。</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1.所有物料（包括原辅料、半成品、成品）进封闭仓库分区存放，厂内无露天堆放物料； </w:t>
            </w:r>
          </w:p>
          <w:p>
            <w:pPr>
              <w:pStyle w:val="283"/>
              <w:jc w:val="both"/>
              <w:rPr>
                <w:rFonts w:ascii="Times New Roman" w:cs="Times New Roman"/>
                <w:color w:val="auto"/>
                <w:sz w:val="21"/>
                <w:szCs w:val="21"/>
              </w:rPr>
            </w:pPr>
            <w:r>
              <w:rPr>
                <w:rFonts w:ascii="Times New Roman" w:cs="Times New Roman"/>
                <w:color w:val="auto"/>
                <w:sz w:val="21"/>
                <w:szCs w:val="21"/>
              </w:rPr>
              <w:t xml:space="preserve">2.车间、料库四面封闭，通道口安装卷帘门、推拉门等封闭性良好且便于开关的硬质门； </w:t>
            </w:r>
          </w:p>
          <w:p>
            <w:pPr>
              <w:pStyle w:val="283"/>
              <w:jc w:val="both"/>
              <w:rPr>
                <w:rFonts w:ascii="Times New Roman" w:cs="Times New Roman"/>
                <w:color w:val="auto"/>
                <w:sz w:val="21"/>
                <w:szCs w:val="21"/>
              </w:rPr>
            </w:pPr>
            <w:r>
              <w:rPr>
                <w:rFonts w:ascii="Times New Roman" w:cs="Times New Roman"/>
                <w:color w:val="auto"/>
                <w:sz w:val="21"/>
                <w:szCs w:val="21"/>
              </w:rPr>
              <w:t>3.易挥发原辅料采用密闭容器盛装，无需进行废酸液回收；运输采用密闭容器或罐车进行物料转移</w:t>
            </w:r>
            <w:r>
              <w:rPr>
                <w:rFonts w:ascii="Times New Roman" w:cs="Times New Roman"/>
                <w:color w:val="auto"/>
                <w:sz w:val="21"/>
                <w:szCs w:val="21"/>
                <w:highlight w:val="none"/>
              </w:rPr>
              <w:t>，</w:t>
            </w:r>
            <w:r>
              <w:rPr>
                <w:rFonts w:ascii="Times New Roman" w:cs="Times New Roman"/>
                <w:b/>
                <w:bCs/>
                <w:color w:val="auto"/>
                <w:sz w:val="21"/>
                <w:szCs w:val="21"/>
                <w:highlight w:val="none"/>
                <w:u w:val="single"/>
              </w:rPr>
              <w:t>调配、使用等过程采用密闭设备，</w:t>
            </w:r>
            <w:r>
              <w:rPr>
                <w:rFonts w:ascii="Times New Roman" w:cs="Times New Roman"/>
                <w:color w:val="auto"/>
                <w:sz w:val="21"/>
                <w:szCs w:val="21"/>
              </w:rPr>
              <w:t>废气收集至相应处理系统；</w:t>
            </w:r>
          </w:p>
          <w:p>
            <w:pPr>
              <w:pStyle w:val="283"/>
              <w:jc w:val="both"/>
              <w:rPr>
                <w:rFonts w:ascii="Times New Roman" w:cs="Times New Roman"/>
                <w:color w:val="auto"/>
                <w:sz w:val="21"/>
                <w:szCs w:val="21"/>
              </w:rPr>
            </w:pPr>
            <w:r>
              <w:rPr>
                <w:rFonts w:ascii="Times New Roman" w:cs="Times New Roman"/>
                <w:color w:val="auto"/>
                <w:sz w:val="21"/>
                <w:szCs w:val="21"/>
              </w:rPr>
              <w:t xml:space="preserve">4.本项目不涉及VOCs物料以及VOCs废料； </w:t>
            </w:r>
          </w:p>
          <w:p>
            <w:pPr>
              <w:pStyle w:val="283"/>
              <w:jc w:val="both"/>
              <w:rPr>
                <w:rFonts w:ascii="Times New Roman" w:cs="Times New Roman"/>
                <w:color w:val="auto"/>
                <w:sz w:val="21"/>
                <w:szCs w:val="21"/>
              </w:rPr>
            </w:pPr>
            <w:r>
              <w:rPr>
                <w:rFonts w:ascii="Times New Roman" w:cs="Times New Roman"/>
                <w:color w:val="auto"/>
                <w:sz w:val="21"/>
                <w:szCs w:val="21"/>
              </w:rPr>
              <w:t xml:space="preserve">5.镀槽、镀件提升转运装置、电器控制装置、电源设备、过滤设备、检测仪器、加热与冷却装置、滚筒驱动装置、空气搅拌设备及线上污染控制设施等采用一体自动化成套装置，无镀铬槽； </w:t>
            </w:r>
          </w:p>
          <w:p>
            <w:pPr>
              <w:pStyle w:val="283"/>
              <w:jc w:val="both"/>
              <w:rPr>
                <w:rFonts w:ascii="Times New Roman" w:cs="Times New Roman"/>
                <w:color w:val="auto"/>
                <w:sz w:val="21"/>
                <w:szCs w:val="21"/>
              </w:rPr>
            </w:pPr>
            <w:r>
              <w:rPr>
                <w:rFonts w:ascii="Times New Roman" w:cs="Times New Roman"/>
                <w:color w:val="auto"/>
                <w:sz w:val="21"/>
                <w:szCs w:val="21"/>
              </w:rPr>
              <w:t xml:space="preserve">6.电镀线在封闭车间内采取二次封闭措施，并对工序产生的酸雾进行密闭收集处理。 </w:t>
            </w:r>
          </w:p>
          <w:p>
            <w:pPr>
              <w:widowControl w:val="0"/>
              <w:adjustRightInd w:val="0"/>
              <w:snapToGrid w:val="0"/>
              <w:jc w:val="both"/>
              <w:rPr>
                <w:color w:val="auto"/>
              </w:rPr>
            </w:pPr>
            <w:r>
              <w:rPr>
                <w:color w:val="auto"/>
              </w:rPr>
              <w:t xml:space="preserve">7.厂区地面全部绿化或硬化，无成片裸露土地。车间规范平整，无物料洒落和“跑、冒、滴、漏”现象。 </w:t>
            </w:r>
          </w:p>
        </w:tc>
        <w:tc>
          <w:tcPr>
            <w:tcW w:w="1043" w:type="dxa"/>
            <w:shd w:val="clear" w:color="auto" w:fill="auto"/>
            <w:vAlign w:val="center"/>
          </w:tcPr>
          <w:p>
            <w:pPr>
              <w:widowControl w:val="0"/>
              <w:adjustRightInd w:val="0"/>
              <w:snapToGrid w:val="0"/>
              <w:jc w:val="center"/>
              <w:rPr>
                <w:color w:val="auto"/>
              </w:rPr>
            </w:pPr>
            <w:r>
              <w:rPr>
                <w:color w:val="auto"/>
              </w:rPr>
              <w:t>按A级要求进行建设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监测监控水平</w:t>
            </w:r>
          </w:p>
        </w:tc>
        <w:tc>
          <w:tcPr>
            <w:tcW w:w="4252" w:type="dxa"/>
            <w:gridSpan w:val="2"/>
            <w:shd w:val="clear" w:color="auto" w:fill="auto"/>
            <w:vAlign w:val="center"/>
          </w:tcPr>
          <w:p>
            <w:pPr>
              <w:pStyle w:val="283"/>
              <w:jc w:val="both"/>
              <w:rPr>
                <w:rFonts w:ascii="Times New Roman" w:cs="Times New Roman"/>
                <w:color w:val="auto"/>
                <w:sz w:val="21"/>
                <w:szCs w:val="21"/>
              </w:rPr>
            </w:pPr>
            <w:r>
              <w:rPr>
                <w:rFonts w:hint="eastAsia" w:ascii="Times New Roman" w:cs="Times New Roman"/>
                <w:color w:val="auto"/>
                <w:sz w:val="21"/>
                <w:szCs w:val="21"/>
              </w:rPr>
              <w:t>1.</w:t>
            </w:r>
            <w:r>
              <w:rPr>
                <w:rFonts w:ascii="Times New Roman" w:cs="Times New Roman"/>
                <w:color w:val="auto"/>
                <w:sz w:val="21"/>
                <w:szCs w:val="21"/>
              </w:rPr>
              <w:t>有组织排放口按生态环境部门要求安装烟气排放自动监控设施（CEMS），并按要求联网；</w:t>
            </w:r>
          </w:p>
          <w:p>
            <w:pPr>
              <w:pStyle w:val="283"/>
              <w:jc w:val="both"/>
              <w:rPr>
                <w:rFonts w:ascii="Times New Roman" w:cs="Times New Roman"/>
                <w:color w:val="auto"/>
                <w:sz w:val="21"/>
                <w:szCs w:val="21"/>
              </w:rPr>
            </w:pPr>
            <w:r>
              <w:rPr>
                <w:rFonts w:ascii="Times New Roman" w:cs="Times New Roman"/>
                <w:color w:val="auto"/>
                <w:sz w:val="21"/>
                <w:szCs w:val="21"/>
              </w:rPr>
              <w:t>2.有组织排放口按照排污许可证要求开展自行监测；</w:t>
            </w:r>
          </w:p>
          <w:p>
            <w:pPr>
              <w:pStyle w:val="283"/>
              <w:jc w:val="both"/>
              <w:rPr>
                <w:rFonts w:ascii="Times New Roman" w:cs="Times New Roman"/>
                <w:color w:val="auto"/>
                <w:sz w:val="21"/>
                <w:szCs w:val="21"/>
              </w:rPr>
            </w:pPr>
            <w:r>
              <w:rPr>
                <w:rFonts w:ascii="Times New Roman" w:cs="Times New Roman"/>
                <w:color w:val="auto"/>
                <w:sz w:val="21"/>
                <w:szCs w:val="21"/>
              </w:rPr>
              <w:t>3.涉气生产工序、生产装置及污染治理设施按生态环境部门要求安装用电监管设备，用电监管设备与省、市生态环境部门用电监管平台联网；</w:t>
            </w:r>
          </w:p>
          <w:p>
            <w:pPr>
              <w:widowControl w:val="0"/>
              <w:adjustRightInd w:val="0"/>
              <w:snapToGrid w:val="0"/>
              <w:jc w:val="both"/>
              <w:rPr>
                <w:color w:val="auto"/>
                <w:kern w:val="21"/>
              </w:rPr>
            </w:pPr>
            <w:r>
              <w:rPr>
                <w:color w:val="auto"/>
              </w:rPr>
              <w:t>4.厂内未安装在线监控的涉气生产设施主要投料口安装高清视频监控系统，视频能够保存三个月以上。</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1.有组织排放口按生态环境部门要求按时安装烟气排放自动监控设施（CEMS），并</w:t>
            </w:r>
          </w:p>
          <w:p>
            <w:pPr>
              <w:pStyle w:val="283"/>
              <w:jc w:val="both"/>
              <w:rPr>
                <w:rFonts w:ascii="Times New Roman" w:cs="Times New Roman"/>
                <w:color w:val="auto"/>
                <w:sz w:val="21"/>
                <w:szCs w:val="21"/>
              </w:rPr>
            </w:pPr>
            <w:r>
              <w:rPr>
                <w:rFonts w:ascii="Times New Roman" w:cs="Times New Roman"/>
                <w:color w:val="auto"/>
                <w:sz w:val="21"/>
                <w:szCs w:val="21"/>
              </w:rPr>
              <w:t xml:space="preserve">按要求联网； </w:t>
            </w:r>
          </w:p>
          <w:p>
            <w:pPr>
              <w:pStyle w:val="283"/>
              <w:jc w:val="both"/>
              <w:rPr>
                <w:rFonts w:ascii="Times New Roman" w:cs="Times New Roman"/>
                <w:color w:val="auto"/>
                <w:sz w:val="21"/>
                <w:szCs w:val="21"/>
              </w:rPr>
            </w:pPr>
            <w:r>
              <w:rPr>
                <w:rFonts w:ascii="Times New Roman" w:cs="Times New Roman"/>
                <w:color w:val="auto"/>
                <w:sz w:val="21"/>
                <w:szCs w:val="21"/>
              </w:rPr>
              <w:t xml:space="preserve">2.有组织排放口将按照排污许可证要求开展自行监测； </w:t>
            </w:r>
          </w:p>
          <w:p>
            <w:pPr>
              <w:pStyle w:val="283"/>
              <w:jc w:val="both"/>
              <w:rPr>
                <w:rFonts w:ascii="Times New Roman" w:cs="Times New Roman"/>
                <w:color w:val="auto"/>
                <w:sz w:val="21"/>
                <w:szCs w:val="21"/>
              </w:rPr>
            </w:pPr>
            <w:r>
              <w:rPr>
                <w:rFonts w:ascii="Times New Roman" w:cs="Times New Roman"/>
                <w:color w:val="auto"/>
                <w:sz w:val="21"/>
                <w:szCs w:val="21"/>
              </w:rPr>
              <w:t xml:space="preserve">3.涉气生产工序、生产装置及污染治理设施按生态环境部门要求安装用电监管设备，用电监管设备与省、市生态环境部门用电监管平台联网； </w:t>
            </w:r>
          </w:p>
          <w:p>
            <w:pPr>
              <w:pStyle w:val="283"/>
              <w:jc w:val="both"/>
              <w:rPr>
                <w:rFonts w:ascii="Times New Roman" w:cs="Times New Roman"/>
                <w:color w:val="auto"/>
                <w:sz w:val="21"/>
                <w:szCs w:val="21"/>
              </w:rPr>
            </w:pPr>
            <w:r>
              <w:rPr>
                <w:rFonts w:ascii="Times New Roman" w:cs="Times New Roman"/>
                <w:color w:val="auto"/>
                <w:sz w:val="21"/>
                <w:szCs w:val="21"/>
              </w:rPr>
              <w:t xml:space="preserve">4.厂内涉气生产设施主要投料口安装高清视频监控系统，视频能够保存三个月以上。 </w:t>
            </w:r>
          </w:p>
        </w:tc>
        <w:tc>
          <w:tcPr>
            <w:tcW w:w="1043" w:type="dxa"/>
            <w:shd w:val="clear" w:color="auto" w:fill="auto"/>
            <w:vAlign w:val="center"/>
          </w:tcPr>
          <w:p>
            <w:pPr>
              <w:pStyle w:val="283"/>
              <w:jc w:val="center"/>
              <w:rPr>
                <w:rFonts w:ascii="Times New Roman" w:cs="Times New Roman"/>
                <w:color w:val="auto"/>
                <w:kern w:val="21"/>
                <w:sz w:val="21"/>
                <w:szCs w:val="21"/>
              </w:rPr>
            </w:pPr>
            <w:r>
              <w:rPr>
                <w:rFonts w:ascii="Times New Roman" w:cs="Times New Roman"/>
                <w:color w:val="auto"/>
                <w:sz w:val="21"/>
                <w:szCs w:val="21"/>
              </w:rPr>
              <w:t>按A级要求进行建设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restart"/>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环境管理水平</w:t>
            </w: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环保档案 </w:t>
            </w:r>
          </w:p>
          <w:p>
            <w:pPr>
              <w:pStyle w:val="283"/>
              <w:jc w:val="both"/>
              <w:rPr>
                <w:rFonts w:ascii="Times New Roman" w:cs="Times New Roman"/>
                <w:color w:val="auto"/>
                <w:sz w:val="21"/>
                <w:szCs w:val="21"/>
              </w:rPr>
            </w:pPr>
            <w:r>
              <w:rPr>
                <w:rFonts w:ascii="Times New Roman" w:cs="Times New Roman"/>
                <w:color w:val="auto"/>
                <w:sz w:val="21"/>
                <w:szCs w:val="21"/>
              </w:rPr>
              <w:t xml:space="preserve">1.环评批复文件和竣工环保验收文件或环境现状评估备案证明； </w:t>
            </w:r>
          </w:p>
          <w:p>
            <w:pPr>
              <w:pStyle w:val="283"/>
              <w:jc w:val="both"/>
              <w:rPr>
                <w:rFonts w:ascii="Times New Roman" w:cs="Times New Roman"/>
                <w:color w:val="auto"/>
                <w:sz w:val="21"/>
                <w:szCs w:val="21"/>
              </w:rPr>
            </w:pPr>
            <w:r>
              <w:rPr>
                <w:rFonts w:ascii="Times New Roman" w:cs="Times New Roman"/>
                <w:color w:val="auto"/>
                <w:sz w:val="21"/>
                <w:szCs w:val="21"/>
              </w:rPr>
              <w:t xml:space="preserve">2.国家版排污许可证； </w:t>
            </w:r>
          </w:p>
          <w:p>
            <w:pPr>
              <w:pStyle w:val="283"/>
              <w:jc w:val="both"/>
              <w:rPr>
                <w:rFonts w:ascii="Times New Roman" w:cs="Times New Roman"/>
                <w:color w:val="auto"/>
                <w:sz w:val="21"/>
                <w:szCs w:val="21"/>
              </w:rPr>
            </w:pPr>
            <w:r>
              <w:rPr>
                <w:rFonts w:ascii="Times New Roman" w:cs="Times New Roman"/>
                <w:color w:val="auto"/>
                <w:sz w:val="21"/>
                <w:szCs w:val="21"/>
              </w:rPr>
              <w:t xml:space="preserve">3.环境管理制度（有组织、无组织排放长效管理机制，主要包括岗位责任制度、达标公示制度和定期巡查维护制度等）； </w:t>
            </w:r>
          </w:p>
          <w:p>
            <w:pPr>
              <w:pStyle w:val="283"/>
              <w:jc w:val="both"/>
              <w:rPr>
                <w:rFonts w:ascii="Times New Roman" w:cs="Times New Roman"/>
                <w:color w:val="auto"/>
                <w:sz w:val="21"/>
                <w:szCs w:val="21"/>
              </w:rPr>
            </w:pPr>
            <w:r>
              <w:rPr>
                <w:rFonts w:ascii="Times New Roman" w:cs="Times New Roman"/>
                <w:color w:val="auto"/>
                <w:sz w:val="21"/>
                <w:szCs w:val="21"/>
              </w:rPr>
              <w:t xml:space="preserve">4.废气治理设施运行管理规程； </w:t>
            </w:r>
          </w:p>
          <w:p>
            <w:pPr>
              <w:widowControl w:val="0"/>
              <w:adjustRightInd w:val="0"/>
              <w:snapToGrid w:val="0"/>
              <w:jc w:val="both"/>
              <w:rPr>
                <w:color w:val="auto"/>
                <w:kern w:val="21"/>
              </w:rPr>
            </w:pPr>
            <w:r>
              <w:rPr>
                <w:color w:val="auto"/>
              </w:rPr>
              <w:t xml:space="preserve">5.一年内废气监测报告（符合排污许可证监测项目及频次要求）。 </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1.本项目环评批复文件和竣工环保验收文件将按要求存档备查； </w:t>
            </w:r>
          </w:p>
          <w:p>
            <w:pPr>
              <w:pStyle w:val="283"/>
              <w:jc w:val="both"/>
              <w:rPr>
                <w:rFonts w:ascii="Times New Roman" w:cs="Times New Roman"/>
                <w:color w:val="auto"/>
                <w:sz w:val="21"/>
                <w:szCs w:val="21"/>
              </w:rPr>
            </w:pPr>
            <w:r>
              <w:rPr>
                <w:rFonts w:ascii="Times New Roman" w:cs="Times New Roman"/>
                <w:color w:val="auto"/>
                <w:sz w:val="21"/>
                <w:szCs w:val="21"/>
              </w:rPr>
              <w:t xml:space="preserve">2.本项目将按要求按时完成国家版排污许可证； </w:t>
            </w:r>
          </w:p>
          <w:p>
            <w:pPr>
              <w:pStyle w:val="283"/>
              <w:jc w:val="both"/>
              <w:rPr>
                <w:rFonts w:ascii="Times New Roman" w:cs="Times New Roman"/>
                <w:color w:val="auto"/>
                <w:sz w:val="21"/>
                <w:szCs w:val="21"/>
              </w:rPr>
            </w:pPr>
            <w:r>
              <w:rPr>
                <w:rFonts w:ascii="Times New Roman" w:cs="Times New Roman"/>
                <w:color w:val="auto"/>
                <w:sz w:val="21"/>
                <w:szCs w:val="21"/>
              </w:rPr>
              <w:t xml:space="preserve">3.本项目将建立合格的环境管理制度； </w:t>
            </w:r>
          </w:p>
          <w:p>
            <w:pPr>
              <w:pStyle w:val="283"/>
              <w:jc w:val="both"/>
              <w:rPr>
                <w:rFonts w:ascii="Times New Roman" w:cs="Times New Roman"/>
                <w:color w:val="auto"/>
                <w:sz w:val="21"/>
                <w:szCs w:val="21"/>
              </w:rPr>
            </w:pPr>
            <w:r>
              <w:rPr>
                <w:rFonts w:ascii="Times New Roman" w:cs="Times New Roman"/>
                <w:color w:val="auto"/>
                <w:sz w:val="21"/>
                <w:szCs w:val="21"/>
              </w:rPr>
              <w:t xml:space="preserve">4.本项目将建立合格的废气治理设施运行管理规程； </w:t>
            </w:r>
          </w:p>
          <w:p>
            <w:pPr>
              <w:widowControl w:val="0"/>
              <w:adjustRightInd w:val="0"/>
              <w:snapToGrid w:val="0"/>
              <w:jc w:val="both"/>
              <w:rPr>
                <w:color w:val="auto"/>
              </w:rPr>
            </w:pPr>
            <w:r>
              <w:rPr>
                <w:color w:val="auto"/>
              </w:rPr>
              <w:t xml:space="preserve">5.本项目建成后将按要求对一年内废气监测报告（符合排污许可证监测项目及频次要求）进行存档备查。 </w:t>
            </w:r>
          </w:p>
        </w:tc>
        <w:tc>
          <w:tcPr>
            <w:tcW w:w="1043" w:type="dxa"/>
            <w:shd w:val="clear" w:color="auto" w:fill="auto"/>
            <w:vAlign w:val="center"/>
          </w:tcPr>
          <w:p>
            <w:pPr>
              <w:pStyle w:val="283"/>
              <w:jc w:val="center"/>
              <w:rPr>
                <w:rFonts w:ascii="Times New Roman" w:cs="Times New Roman"/>
                <w:color w:val="auto"/>
                <w:sz w:val="21"/>
                <w:szCs w:val="21"/>
              </w:rPr>
            </w:pPr>
            <w:r>
              <w:rPr>
                <w:rFonts w:ascii="Times New Roman" w:cs="Times New Roman"/>
                <w:color w:val="auto"/>
                <w:sz w:val="21"/>
                <w:szCs w:val="21"/>
              </w:rPr>
              <w:t>按A级要求进行建设</w:t>
            </w:r>
          </w:p>
          <w:p>
            <w:pPr>
              <w:widowControl w:val="0"/>
              <w:adjustRightInd w:val="0"/>
              <w:snapToGrid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widowControl w:val="0"/>
              <w:adjustRightInd w:val="0"/>
              <w:snapToGrid w:val="0"/>
              <w:jc w:val="both"/>
              <w:rPr>
                <w:color w:val="auto"/>
                <w:kern w:val="21"/>
              </w:rPr>
            </w:pP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台账记录 </w:t>
            </w:r>
          </w:p>
          <w:p>
            <w:pPr>
              <w:pStyle w:val="283"/>
              <w:jc w:val="both"/>
              <w:rPr>
                <w:rFonts w:ascii="Times New Roman" w:cs="Times New Roman"/>
                <w:color w:val="auto"/>
                <w:sz w:val="21"/>
                <w:szCs w:val="21"/>
              </w:rPr>
            </w:pPr>
            <w:r>
              <w:rPr>
                <w:rFonts w:ascii="Times New Roman" w:cs="Times New Roman"/>
                <w:color w:val="auto"/>
                <w:sz w:val="21"/>
                <w:szCs w:val="21"/>
              </w:rPr>
              <w:t xml:space="preserve">1.生产设施运行管理信息（生产时间、运行负荷、产品产量等）； </w:t>
            </w:r>
          </w:p>
          <w:p>
            <w:pPr>
              <w:pStyle w:val="283"/>
              <w:jc w:val="both"/>
              <w:rPr>
                <w:rFonts w:ascii="Times New Roman" w:cs="Times New Roman"/>
                <w:color w:val="auto"/>
                <w:sz w:val="21"/>
                <w:szCs w:val="21"/>
              </w:rPr>
            </w:pPr>
            <w:r>
              <w:rPr>
                <w:rFonts w:ascii="Times New Roman" w:cs="Times New Roman"/>
                <w:color w:val="auto"/>
                <w:sz w:val="21"/>
                <w:szCs w:val="21"/>
              </w:rPr>
              <w:t xml:space="preserve">2.废气污染治理设施运行管理信息； </w:t>
            </w:r>
          </w:p>
          <w:p>
            <w:pPr>
              <w:pStyle w:val="283"/>
              <w:jc w:val="both"/>
              <w:rPr>
                <w:rFonts w:ascii="Times New Roman" w:cs="Times New Roman"/>
                <w:color w:val="auto"/>
                <w:sz w:val="21"/>
                <w:szCs w:val="21"/>
              </w:rPr>
            </w:pPr>
            <w:r>
              <w:rPr>
                <w:rFonts w:ascii="Times New Roman" w:cs="Times New Roman"/>
                <w:color w:val="auto"/>
                <w:sz w:val="21"/>
                <w:szCs w:val="21"/>
              </w:rPr>
              <w:t xml:space="preserve">3.监测记录信息（主要污染排放口废气排放记录等）； </w:t>
            </w:r>
          </w:p>
          <w:p>
            <w:pPr>
              <w:pStyle w:val="283"/>
              <w:jc w:val="both"/>
              <w:rPr>
                <w:rFonts w:ascii="Times New Roman" w:cs="Times New Roman"/>
                <w:color w:val="auto"/>
                <w:sz w:val="21"/>
                <w:szCs w:val="21"/>
              </w:rPr>
            </w:pPr>
            <w:r>
              <w:rPr>
                <w:rFonts w:ascii="Times New Roman" w:cs="Times New Roman"/>
                <w:color w:val="auto"/>
                <w:sz w:val="21"/>
                <w:szCs w:val="21"/>
              </w:rPr>
              <w:t xml:space="preserve">4.主要原辅材料消耗记录； </w:t>
            </w:r>
          </w:p>
          <w:p>
            <w:pPr>
              <w:pStyle w:val="283"/>
              <w:jc w:val="both"/>
              <w:rPr>
                <w:rFonts w:ascii="Times New Roman" w:cs="Times New Roman"/>
                <w:color w:val="auto"/>
                <w:sz w:val="21"/>
                <w:szCs w:val="21"/>
              </w:rPr>
            </w:pPr>
            <w:r>
              <w:rPr>
                <w:rFonts w:ascii="Times New Roman" w:cs="Times New Roman"/>
                <w:color w:val="auto"/>
                <w:sz w:val="21"/>
                <w:szCs w:val="21"/>
              </w:rPr>
              <w:t xml:space="preserve">5.燃料消耗记录； </w:t>
            </w:r>
          </w:p>
          <w:p>
            <w:pPr>
              <w:widowControl w:val="0"/>
              <w:adjustRightInd w:val="0"/>
              <w:snapToGrid w:val="0"/>
              <w:jc w:val="both"/>
              <w:rPr>
                <w:color w:val="auto"/>
                <w:kern w:val="21"/>
              </w:rPr>
            </w:pPr>
            <w:r>
              <w:rPr>
                <w:color w:val="auto"/>
              </w:rPr>
              <w:t xml:space="preserve">6.固废、危废处理记录。 </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评价要求项目建成后建设单位应按要求记录</w:t>
            </w:r>
            <w:r>
              <w:rPr>
                <w:rFonts w:hint="eastAsia" w:ascii="Times New Roman" w:cs="Times New Roman"/>
                <w:color w:val="auto"/>
                <w:sz w:val="21"/>
                <w:szCs w:val="21"/>
                <w:lang w:eastAsia="zh-CN"/>
              </w:rPr>
              <w:t>台账</w:t>
            </w:r>
            <w:r>
              <w:rPr>
                <w:rFonts w:ascii="Times New Roman" w:cs="Times New Roman"/>
                <w:color w:val="auto"/>
                <w:sz w:val="21"/>
                <w:szCs w:val="21"/>
              </w:rPr>
              <w:t xml:space="preserve">，内容如下：1.生产设施运行管理信息（生产时间、运行负荷、产品产量等）； </w:t>
            </w:r>
          </w:p>
          <w:p>
            <w:pPr>
              <w:pStyle w:val="283"/>
              <w:jc w:val="both"/>
              <w:rPr>
                <w:rFonts w:ascii="Times New Roman" w:cs="Times New Roman"/>
                <w:color w:val="auto"/>
                <w:sz w:val="21"/>
                <w:szCs w:val="21"/>
              </w:rPr>
            </w:pPr>
            <w:r>
              <w:rPr>
                <w:rFonts w:ascii="Times New Roman" w:cs="Times New Roman"/>
                <w:color w:val="auto"/>
                <w:sz w:val="21"/>
                <w:szCs w:val="21"/>
              </w:rPr>
              <w:t xml:space="preserve">2.废气污染治理设施运行管理信息； </w:t>
            </w:r>
          </w:p>
          <w:p>
            <w:pPr>
              <w:pStyle w:val="283"/>
              <w:jc w:val="both"/>
              <w:rPr>
                <w:rFonts w:ascii="Times New Roman" w:cs="Times New Roman"/>
                <w:color w:val="auto"/>
                <w:sz w:val="21"/>
                <w:szCs w:val="21"/>
              </w:rPr>
            </w:pPr>
            <w:r>
              <w:rPr>
                <w:rFonts w:ascii="Times New Roman" w:cs="Times New Roman"/>
                <w:color w:val="auto"/>
                <w:sz w:val="21"/>
                <w:szCs w:val="21"/>
              </w:rPr>
              <w:t xml:space="preserve">3.监测记录信息（主要污染排放口废气排放记录等）； </w:t>
            </w:r>
          </w:p>
          <w:p>
            <w:pPr>
              <w:pStyle w:val="283"/>
              <w:jc w:val="both"/>
              <w:rPr>
                <w:rFonts w:ascii="Times New Roman" w:cs="Times New Roman"/>
                <w:color w:val="auto"/>
                <w:sz w:val="21"/>
                <w:szCs w:val="21"/>
              </w:rPr>
            </w:pPr>
            <w:r>
              <w:rPr>
                <w:rFonts w:ascii="Times New Roman" w:cs="Times New Roman"/>
                <w:color w:val="auto"/>
                <w:sz w:val="21"/>
                <w:szCs w:val="21"/>
              </w:rPr>
              <w:t xml:space="preserve">4.主要原辅材料消耗记录； </w:t>
            </w:r>
          </w:p>
          <w:p>
            <w:pPr>
              <w:pStyle w:val="283"/>
              <w:jc w:val="both"/>
              <w:rPr>
                <w:rFonts w:ascii="Times New Roman" w:cs="Times New Roman"/>
                <w:color w:val="auto"/>
                <w:sz w:val="21"/>
                <w:szCs w:val="21"/>
              </w:rPr>
            </w:pPr>
            <w:r>
              <w:rPr>
                <w:rFonts w:ascii="Times New Roman" w:cs="Times New Roman"/>
                <w:color w:val="auto"/>
                <w:sz w:val="21"/>
                <w:szCs w:val="21"/>
              </w:rPr>
              <w:t xml:space="preserve">5.燃料消耗记录； </w:t>
            </w:r>
          </w:p>
          <w:p>
            <w:pPr>
              <w:widowControl w:val="0"/>
              <w:adjustRightInd w:val="0"/>
              <w:snapToGrid w:val="0"/>
              <w:jc w:val="both"/>
              <w:rPr>
                <w:color w:val="auto"/>
              </w:rPr>
            </w:pPr>
            <w:r>
              <w:rPr>
                <w:color w:val="auto"/>
              </w:rPr>
              <w:t>6.固废、危废处理记录。</w:t>
            </w:r>
          </w:p>
        </w:tc>
        <w:tc>
          <w:tcPr>
            <w:tcW w:w="1043" w:type="dxa"/>
            <w:shd w:val="clear" w:color="auto" w:fill="auto"/>
            <w:vAlign w:val="center"/>
          </w:tcPr>
          <w:p>
            <w:pPr>
              <w:pStyle w:val="283"/>
              <w:jc w:val="center"/>
              <w:rPr>
                <w:rFonts w:ascii="Times New Roman" w:cs="Times New Roman"/>
                <w:color w:val="auto"/>
                <w:kern w:val="21"/>
                <w:sz w:val="21"/>
                <w:szCs w:val="21"/>
              </w:rPr>
            </w:pPr>
            <w:r>
              <w:rPr>
                <w:rFonts w:ascii="Times New Roman" w:cs="Times New Roman"/>
                <w:color w:val="auto"/>
                <w:sz w:val="21"/>
                <w:szCs w:val="21"/>
              </w:rPr>
              <w:t>按A级要求进行建设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vMerge w:val="continue"/>
            <w:shd w:val="clear" w:color="auto" w:fill="auto"/>
            <w:vAlign w:val="center"/>
          </w:tcPr>
          <w:p>
            <w:pPr>
              <w:widowControl w:val="0"/>
              <w:adjustRightInd w:val="0"/>
              <w:snapToGrid w:val="0"/>
              <w:jc w:val="both"/>
              <w:rPr>
                <w:color w:val="auto"/>
                <w:kern w:val="21"/>
              </w:rPr>
            </w:pP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人员配置：配备专职环保人员，并具备相应的环境管理能力（学历、培训、从业经验等）。 </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本项目将配备专职环保人员，并具备相应的环境管理能力。 </w:t>
            </w:r>
          </w:p>
          <w:p>
            <w:pPr>
              <w:widowControl w:val="0"/>
              <w:adjustRightInd w:val="0"/>
              <w:snapToGrid w:val="0"/>
              <w:jc w:val="both"/>
              <w:rPr>
                <w:color w:val="auto"/>
              </w:rPr>
            </w:pPr>
          </w:p>
        </w:tc>
        <w:tc>
          <w:tcPr>
            <w:tcW w:w="1043" w:type="dxa"/>
            <w:shd w:val="clear" w:color="auto" w:fill="auto"/>
            <w:vAlign w:val="center"/>
          </w:tcPr>
          <w:p>
            <w:pPr>
              <w:pStyle w:val="283"/>
              <w:jc w:val="center"/>
              <w:rPr>
                <w:rFonts w:ascii="Times New Roman" w:cs="Times New Roman"/>
                <w:color w:val="auto"/>
                <w:kern w:val="21"/>
                <w:sz w:val="21"/>
                <w:szCs w:val="21"/>
              </w:rPr>
            </w:pPr>
            <w:r>
              <w:rPr>
                <w:rFonts w:ascii="Times New Roman" w:cs="Times New Roman"/>
                <w:color w:val="auto"/>
                <w:sz w:val="21"/>
                <w:szCs w:val="21"/>
              </w:rPr>
              <w:t>按A级要求进行建设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运输方式 </w:t>
            </w:r>
          </w:p>
        </w:tc>
        <w:tc>
          <w:tcPr>
            <w:tcW w:w="2449"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1.物料、产品公路运输全部使用国五及以上排放标准的重型载货车辆（含燃气）或新能源车辆； </w:t>
            </w:r>
          </w:p>
          <w:p>
            <w:pPr>
              <w:pStyle w:val="283"/>
              <w:jc w:val="both"/>
              <w:rPr>
                <w:rFonts w:ascii="Times New Roman" w:cs="Times New Roman"/>
                <w:color w:val="auto"/>
                <w:sz w:val="21"/>
                <w:szCs w:val="21"/>
              </w:rPr>
            </w:pPr>
            <w:r>
              <w:rPr>
                <w:rFonts w:ascii="Times New Roman" w:cs="Times New Roman"/>
                <w:color w:val="auto"/>
                <w:sz w:val="21"/>
                <w:szCs w:val="21"/>
              </w:rPr>
              <w:t xml:space="preserve">2.厂区车辆全部达国五及以上排放标准（含燃气）或使用新能源车辆； </w:t>
            </w:r>
          </w:p>
          <w:p>
            <w:pPr>
              <w:widowControl w:val="0"/>
              <w:adjustRightInd w:val="0"/>
              <w:snapToGrid w:val="0"/>
              <w:jc w:val="both"/>
              <w:rPr>
                <w:color w:val="auto"/>
              </w:rPr>
            </w:pPr>
            <w:r>
              <w:rPr>
                <w:color w:val="auto"/>
              </w:rPr>
              <w:t>3.厂内非道路移动机械达到国三及以上排放标准或使用新能源机械</w:t>
            </w:r>
          </w:p>
          <w:p>
            <w:pPr>
              <w:widowControl w:val="0"/>
              <w:adjustRightInd w:val="0"/>
              <w:snapToGrid w:val="0"/>
              <w:jc w:val="both"/>
              <w:rPr>
                <w:color w:val="auto"/>
                <w:kern w:val="21"/>
              </w:rPr>
            </w:pPr>
          </w:p>
        </w:tc>
        <w:tc>
          <w:tcPr>
            <w:tcW w:w="1803"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1.公路运输使用国五及以上排放标准的重型载货车辆（含燃气）或新能源车辆比例不低于80%，其他车辆达到国四排放标准； </w:t>
            </w:r>
          </w:p>
          <w:p>
            <w:pPr>
              <w:widowControl w:val="0"/>
              <w:adjustRightInd w:val="0"/>
              <w:snapToGrid w:val="0"/>
              <w:jc w:val="both"/>
              <w:rPr>
                <w:color w:val="auto"/>
                <w:kern w:val="21"/>
              </w:rPr>
            </w:pPr>
            <w:r>
              <w:rPr>
                <w:color w:val="auto"/>
              </w:rPr>
              <w:t>2.厂内运输车辆达到国五及以上排放标准（含燃</w:t>
            </w:r>
          </w:p>
          <w:p>
            <w:pPr>
              <w:pStyle w:val="283"/>
              <w:jc w:val="both"/>
              <w:rPr>
                <w:rFonts w:ascii="Times New Roman" w:cs="Times New Roman"/>
                <w:color w:val="auto"/>
                <w:sz w:val="21"/>
                <w:szCs w:val="21"/>
              </w:rPr>
            </w:pPr>
            <w:r>
              <w:rPr>
                <w:rFonts w:ascii="Times New Roman" w:cs="Times New Roman"/>
                <w:color w:val="auto"/>
                <w:sz w:val="21"/>
                <w:szCs w:val="21"/>
              </w:rPr>
              <w:t xml:space="preserve">气）或使用新能源车辆比例不低于80%，其他车辆达到国四排放标准； </w:t>
            </w:r>
          </w:p>
          <w:p>
            <w:pPr>
              <w:widowControl w:val="0"/>
              <w:adjustRightInd w:val="0"/>
              <w:snapToGrid w:val="0"/>
              <w:jc w:val="both"/>
              <w:rPr>
                <w:color w:val="auto"/>
                <w:kern w:val="21"/>
              </w:rPr>
            </w:pPr>
            <w:r>
              <w:rPr>
                <w:color w:val="auto"/>
              </w:rPr>
              <w:t xml:space="preserve">3.厂内非道路移动机械达到国三及以上排放标准或使用新能源机械比例不低于 80%。 </w:t>
            </w: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评价要求建设项目物料、产品公路运输全部使用国五及以上排放标准的重型载货车辆（含燃气）或新能源车辆； </w:t>
            </w:r>
          </w:p>
          <w:p>
            <w:pPr>
              <w:pStyle w:val="283"/>
              <w:jc w:val="both"/>
              <w:rPr>
                <w:rFonts w:ascii="Times New Roman" w:cs="Times New Roman"/>
                <w:color w:val="auto"/>
                <w:sz w:val="21"/>
                <w:szCs w:val="21"/>
              </w:rPr>
            </w:pPr>
            <w:r>
              <w:rPr>
                <w:rFonts w:ascii="Times New Roman" w:cs="Times New Roman"/>
                <w:color w:val="auto"/>
                <w:sz w:val="21"/>
                <w:szCs w:val="21"/>
              </w:rPr>
              <w:t xml:space="preserve">厂区车辆全部达国五及以上排放标准（含燃气）或使用新能源车辆； </w:t>
            </w:r>
          </w:p>
          <w:p>
            <w:pPr>
              <w:pStyle w:val="283"/>
              <w:jc w:val="both"/>
              <w:rPr>
                <w:rFonts w:ascii="Times New Roman" w:cs="Times New Roman"/>
                <w:color w:val="auto"/>
                <w:kern w:val="21"/>
                <w:sz w:val="21"/>
                <w:szCs w:val="21"/>
              </w:rPr>
            </w:pPr>
            <w:r>
              <w:rPr>
                <w:rFonts w:ascii="Times New Roman" w:cs="Times New Roman"/>
                <w:color w:val="auto"/>
                <w:sz w:val="21"/>
                <w:szCs w:val="21"/>
              </w:rPr>
              <w:t>厂内非道路移动机械达到国三及以上排放标准或使用新能源机械</w:t>
            </w:r>
          </w:p>
        </w:tc>
        <w:tc>
          <w:tcPr>
            <w:tcW w:w="1043" w:type="dxa"/>
            <w:shd w:val="clear" w:color="auto" w:fill="auto"/>
            <w:vAlign w:val="center"/>
          </w:tcPr>
          <w:p>
            <w:pPr>
              <w:pStyle w:val="283"/>
              <w:jc w:val="center"/>
              <w:rPr>
                <w:rFonts w:ascii="Times New Roman" w:cs="Times New Roman"/>
                <w:color w:val="auto"/>
                <w:kern w:val="21"/>
                <w:sz w:val="21"/>
                <w:szCs w:val="21"/>
              </w:rPr>
            </w:pPr>
            <w:r>
              <w:rPr>
                <w:rFonts w:ascii="Times New Roman" w:cs="Times New Roman"/>
                <w:color w:val="auto"/>
                <w:sz w:val="21"/>
                <w:szCs w:val="21"/>
              </w:rPr>
              <w:t>按A级要求进行建设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shd w:val="clear" w:color="auto" w:fill="auto"/>
            <w:vAlign w:val="center"/>
          </w:tcPr>
          <w:p>
            <w:pPr>
              <w:pStyle w:val="283"/>
              <w:jc w:val="both"/>
              <w:rPr>
                <w:rFonts w:ascii="Times New Roman" w:cs="Times New Roman"/>
                <w:color w:val="auto"/>
                <w:kern w:val="21"/>
                <w:sz w:val="21"/>
                <w:szCs w:val="21"/>
              </w:rPr>
            </w:pPr>
            <w:r>
              <w:rPr>
                <w:rFonts w:ascii="Times New Roman" w:cs="Times New Roman"/>
                <w:color w:val="auto"/>
                <w:sz w:val="21"/>
                <w:szCs w:val="21"/>
              </w:rPr>
              <w:t xml:space="preserve">运输监管 </w:t>
            </w:r>
          </w:p>
        </w:tc>
        <w:tc>
          <w:tcPr>
            <w:tcW w:w="4252" w:type="dxa"/>
            <w:gridSpan w:val="2"/>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日均进出货物150吨（或载货车辆日进出10辆次）及以上（货物包括原料、辅料、燃料、产品和其他与生产相关物料）的企业，或纳入我省重点行业年产值1000 万及以上的企业，应参照《重污染天气重点行业移动源应急管理技术指南》建立门禁视频监控系统和电子台账；其他企业建立门禁视频监控系统和台账。 </w:t>
            </w:r>
          </w:p>
          <w:p>
            <w:pPr>
              <w:widowControl w:val="0"/>
              <w:adjustRightInd w:val="0"/>
              <w:snapToGrid w:val="0"/>
              <w:jc w:val="both"/>
              <w:rPr>
                <w:color w:val="auto"/>
                <w:kern w:val="21"/>
              </w:rPr>
            </w:pPr>
          </w:p>
        </w:tc>
        <w:tc>
          <w:tcPr>
            <w:tcW w:w="2268" w:type="dxa"/>
            <w:shd w:val="clear" w:color="auto" w:fill="auto"/>
            <w:vAlign w:val="center"/>
          </w:tcPr>
          <w:p>
            <w:pPr>
              <w:pStyle w:val="283"/>
              <w:jc w:val="both"/>
              <w:rPr>
                <w:rFonts w:ascii="Times New Roman" w:cs="Times New Roman"/>
                <w:color w:val="auto"/>
                <w:sz w:val="21"/>
                <w:szCs w:val="21"/>
              </w:rPr>
            </w:pPr>
            <w:r>
              <w:rPr>
                <w:rFonts w:ascii="Times New Roman" w:cs="Times New Roman"/>
                <w:color w:val="auto"/>
                <w:sz w:val="21"/>
                <w:szCs w:val="21"/>
              </w:rPr>
              <w:t xml:space="preserve">本项目将按生态环境管理部门要求建立门禁视频监控系统和电子台账。 </w:t>
            </w:r>
          </w:p>
          <w:p>
            <w:pPr>
              <w:widowControl w:val="0"/>
              <w:adjustRightInd w:val="0"/>
              <w:snapToGrid w:val="0"/>
              <w:jc w:val="both"/>
              <w:rPr>
                <w:color w:val="auto"/>
                <w:kern w:val="21"/>
              </w:rPr>
            </w:pPr>
          </w:p>
        </w:tc>
        <w:tc>
          <w:tcPr>
            <w:tcW w:w="1043" w:type="dxa"/>
            <w:shd w:val="clear" w:color="auto" w:fill="auto"/>
            <w:vAlign w:val="center"/>
          </w:tcPr>
          <w:p>
            <w:pPr>
              <w:pStyle w:val="283"/>
              <w:jc w:val="center"/>
              <w:rPr>
                <w:rFonts w:ascii="Times New Roman" w:cs="Times New Roman"/>
                <w:color w:val="auto"/>
                <w:kern w:val="21"/>
                <w:sz w:val="21"/>
                <w:szCs w:val="21"/>
              </w:rPr>
            </w:pPr>
            <w:r>
              <w:rPr>
                <w:rFonts w:ascii="Times New Roman" w:cs="Times New Roman"/>
                <w:color w:val="auto"/>
                <w:sz w:val="21"/>
                <w:szCs w:val="21"/>
              </w:rPr>
              <w:t>按A级要求进行建设</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rFonts w:hint="eastAsia"/>
          <w:color w:val="auto"/>
          <w:kern w:val="21"/>
          <w:sz w:val="24"/>
          <w:szCs w:val="24"/>
        </w:rPr>
        <w:t>综上，本项目建设符合《河南省重污染天气重点行业应急减排措施制定技术指南（</w:t>
      </w:r>
      <w:r>
        <w:rPr>
          <w:color w:val="auto"/>
          <w:kern w:val="21"/>
          <w:sz w:val="24"/>
          <w:szCs w:val="24"/>
        </w:rPr>
        <w:t>2021</w:t>
      </w:r>
      <w:r>
        <w:rPr>
          <w:rFonts w:hint="eastAsia"/>
          <w:color w:val="auto"/>
          <w:kern w:val="21"/>
          <w:sz w:val="24"/>
          <w:szCs w:val="24"/>
        </w:rPr>
        <w:t>年修订）》中金属表面处理及热处理加工行业A级企业标准。</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2.7.9《关于印发河南省“十四五”生态环境保护和生态经济发展规划的通知》（豫政</w:t>
      </w:r>
      <w:r>
        <w:rPr>
          <w:rFonts w:eastAsia="黑体"/>
          <w:color w:val="auto"/>
          <w:kern w:val="21"/>
          <w:sz w:val="28"/>
          <w:szCs w:val="28"/>
        </w:rPr>
        <w:t xml:space="preserve">[2021]44 </w:t>
      </w:r>
      <w:r>
        <w:rPr>
          <w:rFonts w:hint="eastAsia" w:eastAsia="黑体"/>
          <w:color w:val="auto"/>
          <w:kern w:val="21"/>
          <w:sz w:val="28"/>
          <w:szCs w:val="28"/>
        </w:rPr>
        <w:t>号）</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根据《关于印发河南省“十四五”生态环境保护和生态经济发展规划的通知》（豫政</w:t>
      </w:r>
      <w:r>
        <w:rPr>
          <w:color w:val="auto"/>
          <w:kern w:val="21"/>
          <w:sz w:val="24"/>
          <w:szCs w:val="24"/>
        </w:rPr>
        <w:t xml:space="preserve">[2021]44 </w:t>
      </w:r>
      <w:r>
        <w:rPr>
          <w:rFonts w:hint="eastAsia"/>
          <w:color w:val="auto"/>
          <w:kern w:val="21"/>
          <w:sz w:val="24"/>
          <w:szCs w:val="24"/>
        </w:rPr>
        <w:t>号）文件要求：</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推进产业体系优化升级。坚决遏制“两高”项目盲目发展，严把准入关口，严格分类处置，落实产能置换、煤炭消费减量替代和污染物排放区域削减等要求，对不符合规定的项目坚决停批停建。依法依规淘汰落后产能和化解过剩产能，支持钢铁、水泥、电解铝、玻璃等重点行业进行产能置换、装备大型化改造、重组整合，鼓励高炉—转炉长流程钢铁企业转型为电炉短流程企业。原则上禁止新增钢铁、电解铝、水泥、平板玻璃、传统煤化工（甲醇、合成氨）、焦化、铝用炭素、砖瓦窑、耐火材料、铅锌冶炼（含再生铅）等行业产能，合理控制煤制油气产能，严控新增炼油产能。以钢铁、焦化、铸造、建材、有色、石化、化工、工业涂装、包装印刷、电镀、制革、石油开采、造纸、纺织印染、农副食品加工等行业为重点，开展全流程清洁化、循环化、低碳化改造。加快推进工业产品生态设计和绿色制造研发应用，在重点行业推广先进、适用的绿色生产技术和装备。加快建立以资源节约、环境友好为导向的采购、生产、销售、回收和物流体系，发挥汽车、电子电器、通信、大型成套装备等行业龙头企业、大型零售商及网络平台的示范带头作用，积极应用物联网、大数据和云计算等信息技术，加快构建绿色产业链供应链。</w:t>
      </w:r>
    </w:p>
    <w:p>
      <w:pPr>
        <w:adjustRightInd w:val="0"/>
        <w:snapToGrid w:val="0"/>
        <w:spacing w:line="360" w:lineRule="auto"/>
        <w:ind w:firstLine="482" w:firstLineChars="200"/>
        <w:rPr>
          <w:color w:val="auto"/>
          <w:kern w:val="21"/>
          <w:sz w:val="24"/>
          <w:szCs w:val="24"/>
        </w:rPr>
      </w:pPr>
      <w:r>
        <w:rPr>
          <w:rFonts w:hint="eastAsia"/>
          <w:b/>
          <w:bCs/>
          <w:color w:val="auto"/>
          <w:kern w:val="21"/>
          <w:sz w:val="24"/>
          <w:szCs w:val="24"/>
        </w:rPr>
        <w:t>深入打好蓝天保卫战：</w:t>
      </w:r>
      <w:r>
        <w:rPr>
          <w:rFonts w:hint="eastAsia"/>
          <w:color w:val="auto"/>
          <w:kern w:val="21"/>
          <w:sz w:val="24"/>
          <w:szCs w:val="24"/>
        </w:rPr>
        <w:t>深化重点工业点源污染治理。巩固钢铁、水泥行业超低排放改造成效，推动焦化等重点行业超低排放改造。深化重点行业工业炉窑大气污染综合治理，深化垃圾焚烧发电、生物质发电废气提标治理。严格控制铸造、铁合金、焦化、水泥、建材、耐火材料、有色金属等行业物料存储、运输及生产工艺过程无组织排放。重点涉气排放企业原则上不得设置烟气旁路，因安全生产无法取消的，安装旁路在线监管系统。制修订重点行业大气污染物排放标准及监测、控制技术规范，有效控制烟气脱硝和氨法脱硫过程中氨逃逸。推进工业烟气中三氧化硫、汞、铅、砷、镉、二噁英、苯并芘等非常规污染物强效脱除技术研发应用。加强生物质锅炉燃料品质及排放管控，淘汰污染物排放不符合要求的生物质锅炉。</w:t>
      </w:r>
    </w:p>
    <w:p>
      <w:pPr>
        <w:adjustRightInd w:val="0"/>
        <w:snapToGrid w:val="0"/>
        <w:spacing w:line="360" w:lineRule="auto"/>
        <w:ind w:firstLine="482" w:firstLineChars="200"/>
        <w:rPr>
          <w:color w:val="auto"/>
          <w:kern w:val="21"/>
          <w:sz w:val="24"/>
          <w:szCs w:val="24"/>
        </w:rPr>
      </w:pPr>
      <w:r>
        <w:rPr>
          <w:rFonts w:hint="eastAsia"/>
          <w:b/>
          <w:bCs/>
          <w:color w:val="auto"/>
          <w:kern w:val="21"/>
          <w:sz w:val="24"/>
          <w:szCs w:val="24"/>
        </w:rPr>
        <w:t>深入打好碧水保卫战：</w:t>
      </w:r>
      <w:r>
        <w:rPr>
          <w:rFonts w:hint="eastAsia"/>
          <w:color w:val="auto"/>
          <w:kern w:val="21"/>
          <w:sz w:val="24"/>
          <w:szCs w:val="24"/>
        </w:rPr>
        <w:t>持续深化水污染治理。加强入河排污口排查整治，明确责任主体，建立</w:t>
      </w:r>
      <w:r>
        <w:rPr>
          <w:rFonts w:hint="eastAsia"/>
          <w:color w:val="auto"/>
          <w:kern w:val="21"/>
          <w:sz w:val="24"/>
          <w:szCs w:val="24"/>
          <w:lang w:eastAsia="zh-CN"/>
        </w:rPr>
        <w:t>信息台账</w:t>
      </w:r>
      <w:r>
        <w:rPr>
          <w:rFonts w:hint="eastAsia"/>
          <w:color w:val="auto"/>
          <w:kern w:val="21"/>
          <w:sz w:val="24"/>
          <w:szCs w:val="24"/>
        </w:rPr>
        <w:t>，实施分类整治。到2025年，完成所有排污口排查。全面推进省级开发区污水处理设施建设和污水管网排查整治。持续开展涉水“散乱污”企业排查整治，加强化工、有色、纺织印染、造纸、皮革、农副食品加工等行业综合治理，促进行业转型升级。以各流域重要干支流氮磷超标河段、重要湖库、重要饮用水水源地等敏感区域为重点，持续推进农业污染防治。加快补齐医疗机构污水处理设施短板，提高污染治理能力。深入开展交通运输业水污染防治，推动船舶污染物港口接收设施与城市公共转运处置设施有效衔接，完善船舶污染物“船—港—城”“收集—接收—转运—处置”全过程衔接和协作。</w:t>
      </w:r>
    </w:p>
    <w:p>
      <w:pPr>
        <w:adjustRightInd w:val="0"/>
        <w:snapToGrid w:val="0"/>
        <w:spacing w:line="360" w:lineRule="auto"/>
        <w:ind w:firstLine="482" w:firstLineChars="200"/>
        <w:rPr>
          <w:color w:val="auto"/>
          <w:kern w:val="21"/>
          <w:sz w:val="24"/>
          <w:szCs w:val="24"/>
        </w:rPr>
      </w:pPr>
      <w:r>
        <w:rPr>
          <w:rFonts w:hint="eastAsia"/>
          <w:b/>
          <w:bCs/>
          <w:color w:val="auto"/>
          <w:kern w:val="21"/>
          <w:sz w:val="24"/>
          <w:szCs w:val="24"/>
        </w:rPr>
        <w:t>深入打好净土保卫战：</w:t>
      </w:r>
      <w:r>
        <w:rPr>
          <w:rFonts w:hint="eastAsia"/>
          <w:color w:val="auto"/>
          <w:kern w:val="21"/>
          <w:sz w:val="24"/>
          <w:szCs w:val="24"/>
        </w:rPr>
        <w:t>强化重点监管单位监管。结合重点行业企业用地调查成果，动态更新土壤污染重点监管单位名录，定期开展周边土壤环境监测，在排污许可证中载明土壤污染防治要求。督促土壤污染重点监管单位定期开展土壤及地下水环境自行监测，鼓励实施绿色化提标改造。将涉镉等重金属行业企业纳入大气、水污染物重点排污单位名录，安装大气、水污染物排放自动监测设备并联网使用。</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根据《关于建立“两高”项目会商联审机制的通知》（豫发改环资</w:t>
      </w:r>
      <w:r>
        <w:rPr>
          <w:color w:val="auto"/>
          <w:kern w:val="21"/>
          <w:sz w:val="24"/>
          <w:szCs w:val="24"/>
        </w:rPr>
        <w:t xml:space="preserve">[2021]977 </w:t>
      </w:r>
      <w:r>
        <w:rPr>
          <w:rFonts w:hint="eastAsia"/>
          <w:color w:val="auto"/>
          <w:kern w:val="21"/>
          <w:sz w:val="24"/>
          <w:szCs w:val="24"/>
        </w:rPr>
        <w:t>号）本项目不属于“两高”项目，且不属于产能过剩项目。项目</w:t>
      </w:r>
      <w:r>
        <w:rPr>
          <w:rFonts w:hint="eastAsia"/>
          <w:color w:val="auto"/>
          <w:kern w:val="21"/>
          <w:sz w:val="24"/>
        </w:rPr>
        <w:t>电镀生产线为全自动生产线，并进行二次密封，使用低铬钝化液，清洁生产水平为</w:t>
      </w:r>
      <w:r>
        <w:rPr>
          <w:rFonts w:ascii="宋体" w:hAnsi="宋体" w:cs="宋体"/>
          <w:color w:val="auto"/>
          <w:kern w:val="21"/>
          <w:sz w:val="24"/>
        </w:rPr>
        <w:fldChar w:fldCharType="begin"/>
      </w:r>
      <w:r>
        <w:rPr>
          <w:rFonts w:ascii="宋体" w:hAnsi="宋体" w:cs="宋体"/>
          <w:color w:val="auto"/>
          <w:kern w:val="21"/>
          <w:sz w:val="24"/>
        </w:rPr>
        <w:instrText xml:space="preserve"> </w:instrText>
      </w:r>
      <w:r>
        <w:rPr>
          <w:rFonts w:hint="eastAsia" w:ascii="宋体" w:hAnsi="宋体" w:cs="宋体"/>
          <w:color w:val="auto"/>
          <w:kern w:val="21"/>
          <w:sz w:val="24"/>
        </w:rPr>
        <w:instrText xml:space="preserve">= 1 \* ROMAN</w:instrText>
      </w:r>
      <w:r>
        <w:rPr>
          <w:rFonts w:ascii="宋体" w:hAnsi="宋体" w:cs="宋体"/>
          <w:color w:val="auto"/>
          <w:kern w:val="21"/>
          <w:sz w:val="24"/>
        </w:rPr>
        <w:instrText xml:space="preserve"> </w:instrText>
      </w:r>
      <w:r>
        <w:rPr>
          <w:rFonts w:ascii="宋体" w:hAnsi="宋体" w:cs="宋体"/>
          <w:color w:val="auto"/>
          <w:kern w:val="21"/>
          <w:sz w:val="24"/>
        </w:rPr>
        <w:fldChar w:fldCharType="separate"/>
      </w:r>
      <w:r>
        <w:rPr>
          <w:rFonts w:ascii="宋体" w:hAnsi="宋体" w:cs="宋体"/>
          <w:color w:val="auto"/>
          <w:kern w:val="21"/>
          <w:sz w:val="24"/>
        </w:rPr>
        <w:t>I</w:t>
      </w:r>
      <w:r>
        <w:rPr>
          <w:rFonts w:ascii="宋体" w:hAnsi="宋体" w:cs="宋体"/>
          <w:color w:val="auto"/>
          <w:kern w:val="21"/>
          <w:sz w:val="24"/>
        </w:rPr>
        <w:fldChar w:fldCharType="end"/>
      </w:r>
      <w:r>
        <w:rPr>
          <w:rFonts w:hint="eastAsia"/>
          <w:color w:val="auto"/>
          <w:kern w:val="21"/>
          <w:sz w:val="24"/>
        </w:rPr>
        <w:t>级。</w:t>
      </w:r>
      <w:r>
        <w:rPr>
          <w:rFonts w:hint="eastAsia"/>
          <w:color w:val="auto"/>
          <w:kern w:val="21"/>
          <w:sz w:val="24"/>
          <w:szCs w:val="24"/>
        </w:rPr>
        <w:t>项目将严格按照国家、省绩效分级A级绩效水平要求进行建设。项目使用锅炉燃料为管道天然气，且采用低氮燃烧+烟气再循环进一步减少氮氧化物排放；项目涉重废水全部回用，综合废水处理达标后排入同盟污水处理厂，并按要求安装大气、水污染物排放自动监测设备并联网使用；项目制定了符合要求的地下水及土壤跟踪监测计划，长期监测土壤及地下水质量变化。综上，项目建设符合《关于印发河南省“十四五”生态环境保护和生态经济发展规划的通知》（豫政</w:t>
      </w:r>
      <w:r>
        <w:rPr>
          <w:color w:val="auto"/>
          <w:kern w:val="21"/>
          <w:sz w:val="24"/>
          <w:szCs w:val="24"/>
        </w:rPr>
        <w:t xml:space="preserve">[2021]44 </w:t>
      </w:r>
      <w:r>
        <w:rPr>
          <w:rFonts w:hint="eastAsia"/>
          <w:color w:val="auto"/>
          <w:kern w:val="21"/>
          <w:sz w:val="24"/>
          <w:szCs w:val="24"/>
        </w:rPr>
        <w:t>号）要求。</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2.7.10《</w:t>
      </w:r>
      <w:r>
        <w:rPr>
          <w:rFonts w:eastAsia="黑体"/>
          <w:color w:val="auto"/>
          <w:kern w:val="21"/>
          <w:sz w:val="28"/>
          <w:szCs w:val="28"/>
        </w:rPr>
        <w:t>新乡市</w:t>
      </w:r>
      <w:r>
        <w:rPr>
          <w:rFonts w:hint="eastAsia" w:eastAsia="黑体"/>
          <w:color w:val="auto"/>
          <w:kern w:val="21"/>
          <w:sz w:val="28"/>
          <w:szCs w:val="28"/>
        </w:rPr>
        <w:t>“</w:t>
      </w:r>
      <w:r>
        <w:rPr>
          <w:rFonts w:eastAsia="黑体"/>
          <w:color w:val="auto"/>
          <w:kern w:val="21"/>
          <w:sz w:val="28"/>
          <w:szCs w:val="28"/>
        </w:rPr>
        <w:t>十四五</w:t>
      </w:r>
      <w:r>
        <w:rPr>
          <w:rFonts w:hint="eastAsia" w:eastAsia="黑体"/>
          <w:color w:val="auto"/>
          <w:kern w:val="21"/>
          <w:sz w:val="28"/>
          <w:szCs w:val="28"/>
        </w:rPr>
        <w:t>”</w:t>
      </w:r>
      <w:r>
        <w:rPr>
          <w:rFonts w:eastAsia="黑体"/>
          <w:color w:val="auto"/>
          <w:kern w:val="21"/>
          <w:sz w:val="28"/>
          <w:szCs w:val="28"/>
        </w:rPr>
        <w:t>生态环境保护和生态经济发展规划</w:t>
      </w:r>
      <w:r>
        <w:rPr>
          <w:rFonts w:hint="eastAsia" w:eastAsia="黑体"/>
          <w:color w:val="auto"/>
          <w:kern w:val="21"/>
          <w:sz w:val="28"/>
          <w:szCs w:val="28"/>
        </w:rPr>
        <w:t>》</w:t>
      </w:r>
    </w:p>
    <w:p>
      <w:pPr>
        <w:adjustRightInd w:val="0"/>
        <w:snapToGrid w:val="0"/>
        <w:spacing w:line="360" w:lineRule="auto"/>
        <w:ind w:firstLine="480" w:firstLineChars="200"/>
        <w:rPr>
          <w:color w:val="auto"/>
          <w:kern w:val="21"/>
          <w:sz w:val="24"/>
          <w:szCs w:val="24"/>
        </w:rPr>
      </w:pPr>
      <w:bookmarkStart w:id="105" w:name="_Toc488333494"/>
      <w:r>
        <w:rPr>
          <w:color w:val="auto"/>
          <w:kern w:val="21"/>
          <w:sz w:val="24"/>
          <w:szCs w:val="24"/>
        </w:rPr>
        <w:t>摘取《新乡市</w:t>
      </w:r>
      <w:r>
        <w:rPr>
          <w:rFonts w:hint="eastAsia"/>
          <w:color w:val="auto"/>
          <w:kern w:val="21"/>
          <w:sz w:val="24"/>
          <w:szCs w:val="24"/>
        </w:rPr>
        <w:t>“</w:t>
      </w:r>
      <w:r>
        <w:rPr>
          <w:color w:val="auto"/>
          <w:kern w:val="21"/>
          <w:sz w:val="24"/>
          <w:szCs w:val="24"/>
        </w:rPr>
        <w:t>十四五</w:t>
      </w:r>
      <w:r>
        <w:rPr>
          <w:rFonts w:hint="eastAsia"/>
          <w:color w:val="auto"/>
          <w:kern w:val="21"/>
          <w:sz w:val="24"/>
          <w:szCs w:val="24"/>
        </w:rPr>
        <w:t>”</w:t>
      </w:r>
      <w:r>
        <w:rPr>
          <w:color w:val="auto"/>
          <w:kern w:val="21"/>
          <w:sz w:val="24"/>
          <w:szCs w:val="24"/>
        </w:rPr>
        <w:t>生态环境保护和生态经济发展规划》中与本项目相关内容如下：</w:t>
      </w:r>
    </w:p>
    <w:p>
      <w:pPr>
        <w:adjustRightInd w:val="0"/>
        <w:snapToGrid w:val="0"/>
        <w:spacing w:line="360" w:lineRule="auto"/>
        <w:ind w:firstLine="482" w:firstLineChars="200"/>
        <w:rPr>
          <w:b/>
          <w:color w:val="auto"/>
          <w:kern w:val="21"/>
          <w:sz w:val="24"/>
          <w:szCs w:val="24"/>
        </w:rPr>
      </w:pPr>
      <w:bookmarkStart w:id="106" w:name="_Toc488333498"/>
      <w:r>
        <w:rPr>
          <w:b/>
          <w:color w:val="auto"/>
          <w:kern w:val="21"/>
          <w:sz w:val="24"/>
          <w:szCs w:val="24"/>
        </w:rPr>
        <w:t>培育打造绿色新兴产业：</w:t>
      </w:r>
    </w:p>
    <w:p>
      <w:pPr>
        <w:adjustRightInd w:val="0"/>
        <w:snapToGrid w:val="0"/>
        <w:spacing w:line="360" w:lineRule="auto"/>
        <w:ind w:firstLine="480" w:firstLineChars="200"/>
        <w:rPr>
          <w:color w:val="auto"/>
          <w:kern w:val="21"/>
          <w:sz w:val="24"/>
          <w:szCs w:val="24"/>
        </w:rPr>
      </w:pPr>
      <w:r>
        <w:rPr>
          <w:color w:val="auto"/>
          <w:kern w:val="21"/>
          <w:sz w:val="24"/>
          <w:szCs w:val="24"/>
        </w:rPr>
        <w:t>加快绿色制造体系建设。推进绿色技术创新成果应用，定期筛选并发布适应新乡发展的绿色技术清单。鼓励企业开展绿色设计、选择绿色材料、实施绿色采购、打造绿色制造工艺、推行绿色包装、开展绿色运输、做好废弃产品回收处理，实现产品全周期的绿色环保。严格实施节能审查制度，加强节能审查事中事后监管。持续推动重点行业、重点园区、重点用能单位节能降耗，推广合同能源管理、能源梯级利用等综合能源服务模式，加快市、县、园区和重点用能单位智慧节能综合服务平台建设。以有色、建材、化工、造纸、印染、食品等行业为重点，持续实施强制性清洁生产审核和水效、能效“领跑者”行动，构建高效、清洁、低碳、循环的绿色制造体系。</w:t>
      </w:r>
    </w:p>
    <w:p>
      <w:pPr>
        <w:adjustRightInd w:val="0"/>
        <w:snapToGrid w:val="0"/>
        <w:spacing w:line="360" w:lineRule="auto"/>
        <w:ind w:firstLine="482" w:firstLineChars="200"/>
        <w:rPr>
          <w:b/>
          <w:color w:val="auto"/>
          <w:kern w:val="21"/>
          <w:sz w:val="24"/>
          <w:szCs w:val="24"/>
        </w:rPr>
      </w:pPr>
      <w:r>
        <w:rPr>
          <w:b/>
          <w:color w:val="auto"/>
          <w:kern w:val="21"/>
          <w:sz w:val="24"/>
          <w:szCs w:val="24"/>
        </w:rPr>
        <w:t>持续深化水污染治理：</w:t>
      </w:r>
    </w:p>
    <w:p>
      <w:pPr>
        <w:adjustRightInd w:val="0"/>
        <w:snapToGrid w:val="0"/>
        <w:spacing w:line="360" w:lineRule="auto"/>
        <w:ind w:firstLine="480" w:firstLineChars="200"/>
        <w:rPr>
          <w:color w:val="auto"/>
          <w:kern w:val="21"/>
          <w:sz w:val="24"/>
          <w:szCs w:val="24"/>
        </w:rPr>
      </w:pPr>
      <w:r>
        <w:rPr>
          <w:color w:val="auto"/>
          <w:kern w:val="21"/>
          <w:sz w:val="24"/>
          <w:szCs w:val="24"/>
        </w:rPr>
        <w:t>深入开展工业污染防治。推进涉水工业企业全面达标排放，实现工业污染全过程持续控制。加快推进化工、制药等重污染行业专项治理，分类实施关停取缔、整合搬迁、提升改造等措施，依法淘汰涉及污染的落后产能，促使行业转型升级。实现工业污染全过程持续控制，对污染物排放超标或者重点污染物排放超总量的企业予以综合整治。全面落实排污许可证管理制度，加强对涉及危险废物、高浓度废液等排放的工业企业的日常监管。</w:t>
      </w:r>
    </w:p>
    <w:p>
      <w:pPr>
        <w:adjustRightInd w:val="0"/>
        <w:snapToGrid w:val="0"/>
        <w:spacing w:line="360" w:lineRule="auto"/>
        <w:ind w:firstLine="482" w:firstLineChars="200"/>
        <w:rPr>
          <w:b/>
          <w:color w:val="auto"/>
          <w:kern w:val="21"/>
          <w:sz w:val="24"/>
          <w:szCs w:val="24"/>
        </w:rPr>
      </w:pPr>
      <w:r>
        <w:rPr>
          <w:b/>
          <w:color w:val="auto"/>
          <w:kern w:val="21"/>
          <w:sz w:val="24"/>
          <w:szCs w:val="24"/>
        </w:rPr>
        <w:t>严防重金属及矿山风险：</w:t>
      </w:r>
    </w:p>
    <w:p>
      <w:pPr>
        <w:adjustRightInd w:val="0"/>
        <w:snapToGrid w:val="0"/>
        <w:spacing w:line="360" w:lineRule="auto"/>
        <w:ind w:firstLine="480" w:firstLineChars="200"/>
        <w:rPr>
          <w:color w:val="auto"/>
          <w:kern w:val="21"/>
          <w:sz w:val="24"/>
          <w:szCs w:val="24"/>
        </w:rPr>
      </w:pPr>
      <w:r>
        <w:rPr>
          <w:color w:val="auto"/>
          <w:kern w:val="21"/>
          <w:sz w:val="24"/>
          <w:szCs w:val="24"/>
        </w:rPr>
        <w:t>加强重金属排放总量控制。严格涉重金属企业环境准入管理。完善区域涉重金属重点行业企业清单，严格落实新（改、扩）建涉重金属行业建设实施“减量替代”。重点以区域产业结构调整、行业企业生产工艺提升改造和污染深度治理等为主要手段，持续减少重金属污染物排放。</w:t>
      </w:r>
    </w:p>
    <w:p>
      <w:pPr>
        <w:adjustRightInd w:val="0"/>
        <w:snapToGrid w:val="0"/>
        <w:spacing w:line="360" w:lineRule="auto"/>
        <w:ind w:firstLine="480" w:firstLineChars="200"/>
        <w:rPr>
          <w:color w:val="auto"/>
          <w:kern w:val="21"/>
          <w:sz w:val="24"/>
          <w:szCs w:val="24"/>
        </w:rPr>
      </w:pPr>
      <w:r>
        <w:rPr>
          <w:color w:val="auto"/>
          <w:kern w:val="21"/>
          <w:sz w:val="24"/>
          <w:szCs w:val="24"/>
        </w:rPr>
        <w:t>开展重金属污染综合治理。加大有色金属行业企业生产工艺提升改造力度，协同推进减污降碳，减少重金属污染物排放和碳排放。开展电镀行业综合整治，排查取缔非法电镀企业，提高电镀企业入园率，推动园区外专业电镀企业纳管排污。开展专业电镀园区、专业电镀企业重金属污染深度治理。深入推进重点河流湖库、饮用水水源地、农田等环境敏感区域周边涉重金属企业污染综合治理。</w:t>
      </w:r>
    </w:p>
    <w:p>
      <w:pPr>
        <w:adjustRightInd w:val="0"/>
        <w:snapToGrid w:val="0"/>
        <w:spacing w:line="360" w:lineRule="auto"/>
        <w:ind w:firstLine="482" w:firstLineChars="200"/>
        <w:rPr>
          <w:b/>
          <w:color w:val="auto"/>
          <w:kern w:val="21"/>
          <w:sz w:val="24"/>
          <w:szCs w:val="24"/>
        </w:rPr>
      </w:pPr>
      <w:r>
        <w:rPr>
          <w:b/>
          <w:color w:val="auto"/>
          <w:kern w:val="21"/>
          <w:sz w:val="24"/>
          <w:szCs w:val="24"/>
        </w:rPr>
        <w:t>土壤污染源头管控工程：</w:t>
      </w:r>
    </w:p>
    <w:p>
      <w:pPr>
        <w:adjustRightInd w:val="0"/>
        <w:snapToGrid w:val="0"/>
        <w:spacing w:line="360" w:lineRule="auto"/>
        <w:ind w:firstLine="480" w:firstLineChars="200"/>
        <w:rPr>
          <w:color w:val="auto"/>
          <w:kern w:val="21"/>
          <w:sz w:val="24"/>
          <w:szCs w:val="24"/>
        </w:rPr>
      </w:pPr>
      <w:r>
        <w:rPr>
          <w:color w:val="auto"/>
          <w:kern w:val="21"/>
          <w:sz w:val="24"/>
          <w:szCs w:val="24"/>
        </w:rPr>
        <w:t>以土壤污染重点监管企业、涉镉等重金属行业企业为重点，开展在产企业防渗漏、重金属减排等绿色化提标改造。</w:t>
      </w:r>
    </w:p>
    <w:p>
      <w:pPr>
        <w:adjustRightInd w:val="0"/>
        <w:snapToGrid w:val="0"/>
        <w:spacing w:line="360" w:lineRule="auto"/>
        <w:ind w:firstLine="480" w:firstLineChars="200"/>
        <w:rPr>
          <w:color w:val="auto"/>
          <w:kern w:val="21"/>
          <w:sz w:val="24"/>
          <w:szCs w:val="24"/>
        </w:rPr>
      </w:pPr>
      <w:r>
        <w:rPr>
          <w:rFonts w:hint="eastAsia"/>
          <w:color w:val="auto"/>
          <w:kern w:val="21"/>
          <w:sz w:val="24"/>
          <w:szCs w:val="24"/>
          <w:lang w:eastAsia="zh-CN"/>
        </w:rPr>
        <w:t>本项目</w:t>
      </w:r>
      <w:r>
        <w:rPr>
          <w:color w:val="auto"/>
          <w:kern w:val="21"/>
          <w:sz w:val="24"/>
          <w:szCs w:val="24"/>
        </w:rPr>
        <w:t>位于获嘉县产业集聚区北区城东片区安王路与梧桐路西北角，园区基础配套完善。对比</w:t>
      </w:r>
      <w:r>
        <w:rPr>
          <w:rFonts w:hint="eastAsia"/>
          <w:color w:val="auto"/>
          <w:kern w:val="21"/>
          <w:sz w:val="24"/>
          <w:szCs w:val="24"/>
        </w:rPr>
        <w:t>《电镀行业清洁生产评价标准指标体系》，项目建成后可达到国际清洁生产先进水平，</w:t>
      </w:r>
      <w:r>
        <w:rPr>
          <w:color w:val="auto"/>
          <w:kern w:val="21"/>
          <w:sz w:val="24"/>
          <w:szCs w:val="24"/>
        </w:rPr>
        <w:t>项目镀镍、钝化等</w:t>
      </w:r>
      <w:r>
        <w:rPr>
          <w:rFonts w:hint="eastAsia"/>
          <w:color w:val="auto"/>
          <w:kern w:val="21"/>
          <w:sz w:val="24"/>
          <w:szCs w:val="24"/>
        </w:rPr>
        <w:t>工序废水经处理后全部回用，综合废水处理达标后优先回用，剩余废水经管网排至同盟污水处理厂进一步处理，</w:t>
      </w:r>
      <w:bookmarkEnd w:id="106"/>
      <w:r>
        <w:rPr>
          <w:color w:val="auto"/>
          <w:kern w:val="21"/>
          <w:sz w:val="24"/>
          <w:szCs w:val="24"/>
        </w:rPr>
        <w:t>符合《新乡市</w:t>
      </w:r>
      <w:r>
        <w:rPr>
          <w:rFonts w:hint="eastAsia"/>
          <w:color w:val="auto"/>
          <w:kern w:val="21"/>
          <w:sz w:val="24"/>
          <w:szCs w:val="24"/>
        </w:rPr>
        <w:t>“</w:t>
      </w:r>
      <w:r>
        <w:rPr>
          <w:color w:val="auto"/>
          <w:kern w:val="21"/>
          <w:sz w:val="24"/>
          <w:szCs w:val="24"/>
        </w:rPr>
        <w:t>十四五</w:t>
      </w:r>
      <w:r>
        <w:rPr>
          <w:rFonts w:hint="eastAsia"/>
          <w:color w:val="auto"/>
          <w:kern w:val="21"/>
          <w:sz w:val="24"/>
          <w:szCs w:val="24"/>
        </w:rPr>
        <w:t>”</w:t>
      </w:r>
      <w:r>
        <w:rPr>
          <w:color w:val="auto"/>
          <w:kern w:val="21"/>
          <w:sz w:val="24"/>
          <w:szCs w:val="24"/>
        </w:rPr>
        <w:t>生态环境保护和生态经济发展规划》要求。</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2.</w:t>
      </w:r>
      <w:r>
        <w:rPr>
          <w:rFonts w:hint="eastAsia" w:eastAsia="黑体"/>
          <w:color w:val="auto"/>
          <w:kern w:val="21"/>
          <w:sz w:val="28"/>
          <w:szCs w:val="28"/>
        </w:rPr>
        <w:t>7.11</w:t>
      </w:r>
      <w:r>
        <w:rPr>
          <w:rFonts w:eastAsia="黑体"/>
          <w:color w:val="auto"/>
          <w:kern w:val="21"/>
          <w:sz w:val="28"/>
          <w:szCs w:val="28"/>
        </w:rPr>
        <w:t>《</w:t>
      </w:r>
      <w:r>
        <w:rPr>
          <w:rFonts w:hint="eastAsia" w:eastAsia="黑体"/>
          <w:color w:val="auto"/>
          <w:kern w:val="21"/>
          <w:sz w:val="28"/>
          <w:szCs w:val="28"/>
        </w:rPr>
        <w:t>关于印发新乡市2019年工业企业无组织排放治理方案的通知</w:t>
      </w:r>
      <w:r>
        <w:rPr>
          <w:rFonts w:eastAsia="黑体"/>
          <w:color w:val="auto"/>
          <w:kern w:val="21"/>
          <w:sz w:val="28"/>
          <w:szCs w:val="28"/>
        </w:rPr>
        <w:t>》</w:t>
      </w:r>
    </w:p>
    <w:p>
      <w:pPr>
        <w:pStyle w:val="33"/>
        <w:adjustRightInd w:val="0"/>
        <w:snapToGrid w:val="0"/>
        <w:spacing w:after="0" w:line="360" w:lineRule="auto"/>
        <w:ind w:left="0" w:leftChars="0" w:firstLine="480" w:firstLineChars="200"/>
        <w:rPr>
          <w:color w:val="auto"/>
          <w:kern w:val="21"/>
          <w:sz w:val="24"/>
        </w:rPr>
      </w:pPr>
      <w:r>
        <w:rPr>
          <w:color w:val="auto"/>
          <w:kern w:val="21"/>
          <w:sz w:val="24"/>
        </w:rPr>
        <w:t>工作目标：针对原料运输、贮存、装卸、混合、转运、加装、工艺过程、产品出料、包装等各个生产环节存在的无组织排放污染问题，进行全流程控制、收集、净化处理，同步安装视频监控和相应的污染物监测设备，2019年10月底前，全市工业企业完成物料运输、生产工艺、堆场环境的无组织排放深度治理，全面实现</w:t>
      </w:r>
      <w:r>
        <w:rPr>
          <w:rFonts w:hint="eastAsia"/>
          <w:color w:val="auto"/>
          <w:kern w:val="21"/>
          <w:sz w:val="24"/>
        </w:rPr>
        <w:t>“</w:t>
      </w:r>
      <w:r>
        <w:rPr>
          <w:color w:val="auto"/>
          <w:kern w:val="21"/>
          <w:sz w:val="24"/>
        </w:rPr>
        <w:t>五到位、一密闭</w:t>
      </w:r>
      <w:r>
        <w:rPr>
          <w:rFonts w:hint="eastAsia"/>
          <w:color w:val="auto"/>
          <w:kern w:val="21"/>
          <w:sz w:val="24"/>
        </w:rPr>
        <w:t>”</w:t>
      </w:r>
      <w:r>
        <w:rPr>
          <w:color w:val="auto"/>
          <w:kern w:val="21"/>
          <w:sz w:val="24"/>
        </w:rPr>
        <w:t>（生产过程收尘到位，物料运输抑尘到位，厂区道路除尘到位，裸露土地绿化到位，无组织监控到位；厂区内贮存的各类易产生粉尘的物料及燃料全部密闭）。全面提升污染治理水平，污染物排放总量显著减少，打造行业标杆，全面提升企业形象，促进全市经济高质量发展。</w:t>
      </w:r>
    </w:p>
    <w:p>
      <w:pPr>
        <w:pStyle w:val="33"/>
        <w:adjustRightInd w:val="0"/>
        <w:snapToGrid w:val="0"/>
        <w:spacing w:after="0" w:line="360" w:lineRule="auto"/>
        <w:ind w:left="0" w:leftChars="0" w:firstLine="480" w:firstLineChars="200"/>
        <w:rPr>
          <w:color w:val="auto"/>
          <w:kern w:val="21"/>
          <w:sz w:val="24"/>
        </w:rPr>
      </w:pPr>
      <w:r>
        <w:rPr>
          <w:color w:val="auto"/>
          <w:kern w:val="21"/>
          <w:sz w:val="24"/>
        </w:rPr>
        <w:t>本项目生产过程产生的颗粒物全部收集，分装原料运输采取抑尘措施，厂区道路定期洒水确保无扬尘，裸露土地全部绿化到位，各类废气均进行收集后集中处理，处理后于</w:t>
      </w:r>
      <w:r>
        <w:rPr>
          <w:rFonts w:hint="eastAsia"/>
          <w:color w:val="auto"/>
          <w:kern w:val="21"/>
          <w:sz w:val="24"/>
        </w:rPr>
        <w:t>15</w:t>
      </w:r>
      <w:r>
        <w:rPr>
          <w:color w:val="auto"/>
          <w:kern w:val="21"/>
          <w:sz w:val="24"/>
        </w:rPr>
        <w:t>m高排气筒排放</w:t>
      </w:r>
      <w:r>
        <w:rPr>
          <w:rFonts w:hint="eastAsia"/>
          <w:color w:val="auto"/>
          <w:kern w:val="21"/>
          <w:sz w:val="24"/>
        </w:rPr>
        <w:t>，符合《关于印发新乡市2019年工业企业无组织排放治理方案的通知》要求</w:t>
      </w:r>
    </w:p>
    <w:bookmarkEnd w:id="105"/>
    <w:p>
      <w:pPr>
        <w:adjustRightInd w:val="0"/>
        <w:snapToGrid w:val="0"/>
        <w:spacing w:line="360" w:lineRule="auto"/>
        <w:outlineLvl w:val="2"/>
        <w:rPr>
          <w:rFonts w:eastAsia="黑体"/>
          <w:color w:val="auto"/>
          <w:kern w:val="21"/>
          <w:sz w:val="28"/>
          <w:szCs w:val="28"/>
        </w:rPr>
      </w:pPr>
      <w:bookmarkStart w:id="107" w:name="_Toc17481"/>
      <w:r>
        <w:rPr>
          <w:rFonts w:eastAsia="黑体"/>
          <w:color w:val="auto"/>
          <w:kern w:val="21"/>
          <w:sz w:val="28"/>
          <w:szCs w:val="28"/>
        </w:rPr>
        <w:t>2.</w:t>
      </w:r>
      <w:r>
        <w:rPr>
          <w:rFonts w:hint="eastAsia" w:eastAsia="黑体"/>
          <w:color w:val="auto"/>
          <w:kern w:val="21"/>
          <w:sz w:val="28"/>
          <w:szCs w:val="28"/>
        </w:rPr>
        <w:t>7.12《新乡市2022年大气、水、土壤污染防治攻坚战及农业农村污染治理攻坚战实施方案》（新环攻坚办〔2022〕60号）</w:t>
      </w:r>
      <w:bookmarkEnd w:id="107"/>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本项目应符合</w:t>
      </w:r>
      <w:r>
        <w:rPr>
          <w:rFonts w:hint="eastAsia"/>
          <w:color w:val="auto"/>
          <w:kern w:val="21"/>
          <w:sz w:val="24"/>
        </w:rPr>
        <w:t>《新乡市2022年大气、水、土壤污染防治攻坚战及农业农村污染治理实施方案》（新环攻坚办〔2022〕60号）</w:t>
      </w:r>
      <w:r>
        <w:rPr>
          <w:rFonts w:hint="eastAsia"/>
          <w:color w:val="auto"/>
          <w:kern w:val="21"/>
          <w:sz w:val="24"/>
          <w:szCs w:val="24"/>
        </w:rPr>
        <w:t>的相关要求，具体分析如下：</w:t>
      </w:r>
    </w:p>
    <w:p>
      <w:pPr>
        <w:spacing w:line="440" w:lineRule="exact"/>
        <w:jc w:val="center"/>
        <w:textAlignment w:val="baseline"/>
        <w:rPr>
          <w:rFonts w:hint="eastAsia" w:hAnsi="黑体" w:eastAsia="黑体"/>
          <w:color w:val="auto"/>
          <w:sz w:val="24"/>
          <w:lang w:eastAsia="zh-CN"/>
        </w:rPr>
      </w:pPr>
      <w:r>
        <w:rPr>
          <w:rFonts w:hint="eastAsia" w:hAnsi="黑体" w:eastAsia="黑体"/>
          <w:color w:val="auto"/>
          <w:sz w:val="24"/>
        </w:rPr>
        <w:t>表2.7-7       项目与《实施方案》</w:t>
      </w:r>
      <w:r>
        <w:rPr>
          <w:rFonts w:hint="eastAsia" w:hAnsi="黑体" w:eastAsia="黑体"/>
          <w:color w:val="auto"/>
          <w:sz w:val="24"/>
          <w:lang w:eastAsia="zh-CN"/>
        </w:rPr>
        <w:t>相符性分析</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73"/>
        <w:gridCol w:w="4433"/>
        <w:gridCol w:w="2362"/>
        <w:gridCol w:w="85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06" w:type="dxa"/>
            <w:gridSpan w:val="2"/>
            <w:vAlign w:val="center"/>
          </w:tcPr>
          <w:p>
            <w:pPr>
              <w:pStyle w:val="424"/>
              <w:rPr>
                <w:color w:val="auto"/>
              </w:rPr>
            </w:pPr>
            <w:r>
              <w:rPr>
                <w:color w:val="auto"/>
              </w:rPr>
              <w:t>《</w:t>
            </w:r>
            <w:r>
              <w:rPr>
                <w:rFonts w:hint="eastAsia"/>
                <w:color w:val="auto"/>
              </w:rPr>
              <w:t>实施方案</w:t>
            </w:r>
            <w:r>
              <w:rPr>
                <w:color w:val="auto"/>
              </w:rPr>
              <w:t>》中与本项目有关的</w:t>
            </w:r>
            <w:r>
              <w:rPr>
                <w:rFonts w:hint="eastAsia"/>
                <w:color w:val="auto"/>
              </w:rPr>
              <w:t>内</w:t>
            </w:r>
            <w:r>
              <w:rPr>
                <w:color w:val="auto"/>
              </w:rPr>
              <w:t>容</w:t>
            </w:r>
          </w:p>
        </w:tc>
        <w:tc>
          <w:tcPr>
            <w:tcW w:w="2362" w:type="dxa"/>
            <w:vAlign w:val="center"/>
          </w:tcPr>
          <w:p>
            <w:pPr>
              <w:pStyle w:val="424"/>
              <w:rPr>
                <w:color w:val="auto"/>
              </w:rPr>
            </w:pPr>
            <w:r>
              <w:rPr>
                <w:color w:val="auto"/>
              </w:rPr>
              <w:t>本项目情况</w:t>
            </w:r>
          </w:p>
        </w:tc>
        <w:tc>
          <w:tcPr>
            <w:tcW w:w="854" w:type="dxa"/>
            <w:vAlign w:val="center"/>
          </w:tcPr>
          <w:p>
            <w:pPr>
              <w:pStyle w:val="424"/>
              <w:rPr>
                <w:rFonts w:hint="eastAsia" w:eastAsia="宋体"/>
                <w:color w:val="auto"/>
                <w:lang w:val="en-US" w:eastAsia="zh-CN"/>
              </w:rPr>
            </w:pPr>
            <w:r>
              <w:rPr>
                <w:rFonts w:hint="eastAsia"/>
                <w:color w:val="auto"/>
                <w:lang w:val="en-US" w:eastAsia="zh-CN"/>
              </w:rPr>
              <w:t>符合性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2" w:type="dxa"/>
            <w:gridSpan w:val="4"/>
            <w:vAlign w:val="center"/>
          </w:tcPr>
          <w:p>
            <w:pPr>
              <w:pStyle w:val="424"/>
              <w:rPr>
                <w:color w:val="auto"/>
              </w:rPr>
            </w:pPr>
            <w:r>
              <w:rPr>
                <w:rFonts w:hint="eastAsia"/>
                <w:color w:val="auto"/>
              </w:rPr>
              <w:t>《</w:t>
            </w:r>
            <w:r>
              <w:rPr>
                <w:color w:val="auto"/>
              </w:rPr>
              <w:t>新乡市202</w:t>
            </w:r>
            <w:r>
              <w:rPr>
                <w:rFonts w:hint="eastAsia"/>
                <w:color w:val="auto"/>
              </w:rPr>
              <w:t>2</w:t>
            </w:r>
            <w:r>
              <w:rPr>
                <w:color w:val="auto"/>
              </w:rPr>
              <w:t>年大气污染防治攻坚战实施方案</w:t>
            </w: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421"/>
              <w:jc w:val="left"/>
              <w:rPr>
                <w:color w:val="auto"/>
              </w:rPr>
            </w:pPr>
            <w:r>
              <w:rPr>
                <w:rFonts w:hint="eastAsia"/>
                <w:color w:val="auto"/>
              </w:rPr>
              <w:t>3</w:t>
            </w:r>
            <w:r>
              <w:rPr>
                <w:color w:val="auto"/>
              </w:rPr>
              <w:t>.</w:t>
            </w:r>
            <w:r>
              <w:rPr>
                <w:rFonts w:hint="eastAsia"/>
                <w:color w:val="auto"/>
              </w:rPr>
              <w:t>严格环境准入</w:t>
            </w:r>
            <w:r>
              <w:rPr>
                <w:color w:val="auto"/>
              </w:rPr>
              <w:t>，推进绿色低碳产业发展</w:t>
            </w:r>
          </w:p>
        </w:tc>
        <w:tc>
          <w:tcPr>
            <w:tcW w:w="4433" w:type="dxa"/>
            <w:vAlign w:val="center"/>
          </w:tcPr>
          <w:p>
            <w:pPr>
              <w:pStyle w:val="421"/>
              <w:jc w:val="left"/>
              <w:rPr>
                <w:color w:val="auto"/>
              </w:rPr>
            </w:pPr>
            <w:r>
              <w:rPr>
                <w:rFonts w:hint="eastAsia"/>
                <w:color w:val="auto"/>
              </w:rPr>
              <w:t>项目准入严格落实国家产业规划、产业政策、“三线一单”、规划环评，以及产能置换、煤炭消费减量替代、区域污染物削减等相关要求，积极支持节能环保、新能源等战略性新兴产业发展，坚决遏制高耗能、高排放项目盲目建设，“两高”项目由省级相关部门实施联合会商联审机制。严禁新增钢铁、电解铝、水泥熟料、平板玻璃、传统煤化工（甲醇、合成氨）、氧化铝、焦化、铸造、铝用碳素、烧结砖瓦、铁合金等行业产能。禁止耐火材料、铅锌冶炼（含再生铅）行业单纯新增产能。水泥行业产能置换项目应实现矿石皮带廊密闭运输、大宗物料产品清洁运输。强化项目环评及“三同时”管理，国家、省绩效分级重点行业企业新建、扩建项目达到</w:t>
            </w:r>
            <w:r>
              <w:rPr>
                <w:color w:val="auto"/>
              </w:rPr>
              <w:t xml:space="preserve">A </w:t>
            </w:r>
            <w:r>
              <w:rPr>
                <w:rFonts w:hint="eastAsia"/>
                <w:color w:val="auto"/>
              </w:rPr>
              <w:t>级绩效水平，改建项目达到</w:t>
            </w:r>
            <w:r>
              <w:rPr>
                <w:color w:val="auto"/>
              </w:rPr>
              <w:t xml:space="preserve">B </w:t>
            </w:r>
            <w:r>
              <w:rPr>
                <w:rFonts w:hint="eastAsia"/>
                <w:color w:val="auto"/>
              </w:rPr>
              <w:t>级以上绩效水平。</w:t>
            </w:r>
            <w:r>
              <w:rPr>
                <w:color w:val="auto"/>
              </w:rPr>
              <w:t xml:space="preserve"> </w:t>
            </w:r>
          </w:p>
        </w:tc>
        <w:tc>
          <w:tcPr>
            <w:tcW w:w="2362" w:type="dxa"/>
            <w:vAlign w:val="center"/>
          </w:tcPr>
          <w:p>
            <w:pPr>
              <w:pStyle w:val="421"/>
              <w:jc w:val="left"/>
              <w:rPr>
                <w:color w:val="auto"/>
              </w:rPr>
            </w:pPr>
            <w:r>
              <w:rPr>
                <w:rFonts w:hint="eastAsia"/>
                <w:color w:val="auto"/>
              </w:rPr>
              <w:t>本项目为新建项目，不属于钢铁、电解铝、水泥、平板玻璃、传统煤化工（甲醇、合成氨）、焦化、铸造、铝用炭素、砖瓦窑、铅锌冶炼（含再生铅）等高耗能、高排放和产能过剩的产业项目。</w:t>
            </w:r>
            <w:r>
              <w:rPr>
                <w:color w:val="auto"/>
              </w:rPr>
              <w:t xml:space="preserve"> </w:t>
            </w:r>
            <w:r>
              <w:rPr>
                <w:rFonts w:hint="eastAsia"/>
                <w:color w:val="auto"/>
              </w:rPr>
              <w:t>本项目将严格按照生态环境准入要求建设，按要求进行环评及“三同时”建设，将按国家、省绩效分级A级绩效水平要求进行建设。</w:t>
            </w:r>
            <w:r>
              <w:rPr>
                <w:color w:val="auto"/>
              </w:rPr>
              <w:t xml:space="preserve"> </w:t>
            </w:r>
          </w:p>
        </w:tc>
        <w:tc>
          <w:tcPr>
            <w:tcW w:w="854" w:type="dxa"/>
            <w:vAlign w:val="center"/>
          </w:tcPr>
          <w:p>
            <w:pPr>
              <w:pStyle w:val="421"/>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421"/>
              <w:jc w:val="left"/>
              <w:rPr>
                <w:color w:val="auto"/>
              </w:rPr>
            </w:pPr>
            <w:r>
              <w:rPr>
                <w:rFonts w:hint="eastAsia"/>
                <w:color w:val="auto"/>
              </w:rPr>
              <w:t>6、实施清洁能源替代</w:t>
            </w:r>
          </w:p>
        </w:tc>
        <w:tc>
          <w:tcPr>
            <w:tcW w:w="4433" w:type="dxa"/>
            <w:vAlign w:val="center"/>
          </w:tcPr>
          <w:p>
            <w:pPr>
              <w:pStyle w:val="421"/>
              <w:jc w:val="left"/>
              <w:rPr>
                <w:color w:val="auto"/>
              </w:rPr>
            </w:pPr>
            <w:r>
              <w:rPr>
                <w:rFonts w:hint="eastAsia"/>
                <w:color w:val="auto"/>
              </w:rPr>
              <w:t>大力推进清洁能源应用，鼓励支持现有使用高污染燃料的工业炉窑改用工业余热、电能、天然气等，对</w:t>
            </w:r>
            <w:r>
              <w:rPr>
                <w:color w:val="auto"/>
              </w:rPr>
              <w:t xml:space="preserve">2024 </w:t>
            </w:r>
            <w:r>
              <w:rPr>
                <w:rFonts w:hint="eastAsia"/>
                <w:color w:val="auto"/>
              </w:rPr>
              <w:t>年</w:t>
            </w:r>
            <w:r>
              <w:rPr>
                <w:color w:val="auto"/>
              </w:rPr>
              <w:t xml:space="preserve">10 </w:t>
            </w:r>
            <w:r>
              <w:rPr>
                <w:rFonts w:hint="eastAsia"/>
                <w:color w:val="auto"/>
              </w:rPr>
              <w:t>月底前完成拆改任务的工业炉窑，优先给予大气污染防治专项资金支持。新、改、扩建加热炉、热处理炉、干燥炉、熔化炉等工业窑炉，应采用清洁能源。全市禁止新建企业自备燃煤锅炉。</w:t>
            </w:r>
          </w:p>
        </w:tc>
        <w:tc>
          <w:tcPr>
            <w:tcW w:w="2362" w:type="dxa"/>
            <w:vAlign w:val="center"/>
          </w:tcPr>
          <w:p>
            <w:pPr>
              <w:pStyle w:val="421"/>
              <w:jc w:val="left"/>
              <w:rPr>
                <w:color w:val="auto"/>
              </w:rPr>
            </w:pPr>
            <w:r>
              <w:rPr>
                <w:rFonts w:hint="eastAsia"/>
                <w:color w:val="auto"/>
              </w:rPr>
              <w:t>本项目不涉及工业窑炉，所用锅炉为天然气锅炉。</w:t>
            </w:r>
          </w:p>
        </w:tc>
        <w:tc>
          <w:tcPr>
            <w:tcW w:w="854" w:type="dxa"/>
            <w:vAlign w:val="center"/>
          </w:tcPr>
          <w:p>
            <w:pPr>
              <w:pStyle w:val="421"/>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421"/>
              <w:jc w:val="left"/>
              <w:rPr>
                <w:color w:val="auto"/>
              </w:rPr>
            </w:pPr>
            <w:r>
              <w:rPr>
                <w:rFonts w:hint="eastAsia"/>
                <w:color w:val="auto"/>
              </w:rPr>
              <w:t>7、持续排查整治“散乱污”企业</w:t>
            </w:r>
            <w:r>
              <w:rPr>
                <w:color w:val="auto"/>
              </w:rPr>
              <w:t xml:space="preserve"> </w:t>
            </w:r>
          </w:p>
        </w:tc>
        <w:tc>
          <w:tcPr>
            <w:tcW w:w="4433" w:type="dxa"/>
            <w:vAlign w:val="center"/>
          </w:tcPr>
          <w:p>
            <w:pPr>
              <w:pStyle w:val="421"/>
              <w:jc w:val="left"/>
              <w:rPr>
                <w:color w:val="auto"/>
              </w:rPr>
            </w:pPr>
            <w:r>
              <w:rPr>
                <w:rFonts w:hint="eastAsia"/>
                <w:color w:val="auto"/>
              </w:rPr>
              <w:t>健全落实省、市、县、乡四级联动监管机制，压实县（市、区）、乡镇（街道）主体责任，加强环境监管和巡查检查，实行拉网式排查和清单式、台账式、网格化管理，坚决杜绝</w:t>
            </w:r>
            <w:r>
              <w:rPr>
                <w:color w:val="auto"/>
              </w:rPr>
              <w:t>“</w:t>
            </w:r>
            <w:r>
              <w:rPr>
                <w:rFonts w:hint="eastAsia"/>
                <w:color w:val="auto"/>
              </w:rPr>
              <w:t>散乱污</w:t>
            </w:r>
            <w:r>
              <w:rPr>
                <w:color w:val="auto"/>
              </w:rPr>
              <w:t>”</w:t>
            </w:r>
            <w:r>
              <w:rPr>
                <w:rFonts w:hint="eastAsia"/>
                <w:color w:val="auto"/>
              </w:rPr>
              <w:t>企业项目建设和已取缔的</w:t>
            </w:r>
            <w:r>
              <w:rPr>
                <w:color w:val="auto"/>
              </w:rPr>
              <w:t>“</w:t>
            </w:r>
            <w:r>
              <w:rPr>
                <w:rFonts w:hint="eastAsia"/>
                <w:color w:val="auto"/>
              </w:rPr>
              <w:t>散乱污</w:t>
            </w:r>
            <w:r>
              <w:rPr>
                <w:color w:val="auto"/>
              </w:rPr>
              <w:t>”</w:t>
            </w:r>
            <w:r>
              <w:rPr>
                <w:rFonts w:hint="eastAsia"/>
                <w:color w:val="auto"/>
              </w:rPr>
              <w:t>企业死灰复燃、异地转移。</w:t>
            </w:r>
            <w:r>
              <w:rPr>
                <w:color w:val="auto"/>
              </w:rPr>
              <w:t xml:space="preserve"> </w:t>
            </w:r>
          </w:p>
        </w:tc>
        <w:tc>
          <w:tcPr>
            <w:tcW w:w="2362" w:type="dxa"/>
            <w:vAlign w:val="center"/>
          </w:tcPr>
          <w:p>
            <w:pPr>
              <w:pStyle w:val="421"/>
              <w:jc w:val="left"/>
              <w:rPr>
                <w:color w:val="auto"/>
              </w:rPr>
            </w:pPr>
            <w:r>
              <w:rPr>
                <w:rFonts w:hint="eastAsia"/>
                <w:color w:val="auto"/>
              </w:rPr>
              <w:t>本项目不属于“散乱污”企业，将严格按照管理要求进行建设及生产。</w:t>
            </w:r>
          </w:p>
        </w:tc>
        <w:tc>
          <w:tcPr>
            <w:tcW w:w="854" w:type="dxa"/>
            <w:vAlign w:val="center"/>
          </w:tcPr>
          <w:p>
            <w:pPr>
              <w:pStyle w:val="421"/>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421"/>
              <w:jc w:val="left"/>
              <w:rPr>
                <w:color w:val="auto"/>
              </w:rPr>
            </w:pPr>
            <w:r>
              <w:rPr>
                <w:rFonts w:hint="eastAsia"/>
                <w:color w:val="auto"/>
              </w:rPr>
              <w:t>18、综合治理恶臭突出环境问题</w:t>
            </w:r>
          </w:p>
        </w:tc>
        <w:tc>
          <w:tcPr>
            <w:tcW w:w="4433" w:type="dxa"/>
            <w:vAlign w:val="center"/>
          </w:tcPr>
          <w:p>
            <w:pPr>
              <w:pStyle w:val="421"/>
              <w:jc w:val="left"/>
              <w:rPr>
                <w:color w:val="auto"/>
              </w:rPr>
            </w:pPr>
            <w:r>
              <w:rPr>
                <w:rFonts w:hint="eastAsia"/>
                <w:color w:val="auto"/>
              </w:rPr>
              <w:t>加强污水处理、垃圾处理、畜禽养殖、橡胶、塑料制品、食品加工等行业恶臭污染治理。对</w:t>
            </w:r>
          </w:p>
          <w:p>
            <w:pPr>
              <w:pStyle w:val="421"/>
              <w:jc w:val="left"/>
              <w:rPr>
                <w:color w:val="auto"/>
              </w:rPr>
            </w:pPr>
            <w:r>
              <w:rPr>
                <w:rFonts w:hint="eastAsia"/>
                <w:color w:val="auto"/>
              </w:rPr>
              <w:t>垃圾、污水集中式处理设施，加大装置密闭和废气收集力度，采取除臭措施；</w:t>
            </w:r>
          </w:p>
        </w:tc>
        <w:tc>
          <w:tcPr>
            <w:tcW w:w="2362" w:type="dxa"/>
            <w:vAlign w:val="center"/>
          </w:tcPr>
          <w:p>
            <w:pPr>
              <w:pStyle w:val="283"/>
              <w:rPr>
                <w:rFonts w:ascii="Times New Roman" w:cs="Times New Roman"/>
                <w:color w:val="auto"/>
                <w:sz w:val="21"/>
                <w:szCs w:val="21"/>
              </w:rPr>
            </w:pPr>
            <w:r>
              <w:rPr>
                <w:rFonts w:hint="eastAsia" w:ascii="Times New Roman" w:cs="Times New Roman"/>
                <w:color w:val="auto"/>
                <w:sz w:val="21"/>
                <w:szCs w:val="21"/>
              </w:rPr>
              <w:t>本项目污水站恶臭采用加盖密闭+生物除臭措施进行治理后通过</w:t>
            </w:r>
            <w:r>
              <w:rPr>
                <w:rFonts w:hint="eastAsia" w:ascii="Times New Roman" w:cs="Times New Roman"/>
                <w:color w:val="auto"/>
                <w:sz w:val="21"/>
                <w:szCs w:val="21"/>
                <w:lang w:eastAsia="zh-CN"/>
              </w:rPr>
              <w:t>15m高排气筒</w:t>
            </w:r>
            <w:r>
              <w:rPr>
                <w:rFonts w:hint="eastAsia" w:ascii="Times New Roman" w:cs="Times New Roman"/>
                <w:color w:val="auto"/>
                <w:sz w:val="21"/>
                <w:szCs w:val="21"/>
              </w:rPr>
              <w:t>排放。</w:t>
            </w:r>
          </w:p>
        </w:tc>
        <w:tc>
          <w:tcPr>
            <w:tcW w:w="854" w:type="dxa"/>
            <w:vAlign w:val="center"/>
          </w:tcPr>
          <w:p>
            <w:pPr>
              <w:pStyle w:val="421"/>
              <w:rPr>
                <w:color w:val="auto"/>
              </w:rPr>
            </w:pPr>
            <w:r>
              <w:rPr>
                <w:rFonts w:hint="eastAsia"/>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2" w:type="dxa"/>
            <w:gridSpan w:val="4"/>
            <w:vAlign w:val="center"/>
          </w:tcPr>
          <w:p>
            <w:pPr>
              <w:pStyle w:val="424"/>
              <w:rPr>
                <w:color w:val="auto"/>
              </w:rPr>
            </w:pPr>
            <w:r>
              <w:rPr>
                <w:rFonts w:hint="eastAsia"/>
                <w:color w:val="auto"/>
              </w:rPr>
              <w:t>《</w:t>
            </w:r>
            <w:r>
              <w:rPr>
                <w:color w:val="auto"/>
              </w:rPr>
              <w:t>新乡市202</w:t>
            </w:r>
            <w:r>
              <w:rPr>
                <w:rFonts w:hint="eastAsia"/>
                <w:color w:val="auto"/>
              </w:rPr>
              <w:t>2</w:t>
            </w:r>
            <w:r>
              <w:rPr>
                <w:color w:val="auto"/>
              </w:rPr>
              <w:t>水污染防治攻坚战实施方案</w:t>
            </w:r>
            <w:r>
              <w:rPr>
                <w:rFonts w:hint="eastAsia"/>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283"/>
              <w:jc w:val="center"/>
              <w:rPr>
                <w:color w:val="auto"/>
              </w:rPr>
            </w:pPr>
            <w:r>
              <w:rPr>
                <w:rFonts w:hint="eastAsia"/>
                <w:color w:val="auto"/>
                <w:sz w:val="21"/>
                <w:szCs w:val="21"/>
              </w:rPr>
              <w:t>14、调整优化产业结构</w:t>
            </w:r>
            <w:r>
              <w:rPr>
                <w:color w:val="auto"/>
                <w:sz w:val="21"/>
                <w:szCs w:val="21"/>
              </w:rPr>
              <w:t xml:space="preserve"> </w:t>
            </w:r>
          </w:p>
        </w:tc>
        <w:tc>
          <w:tcPr>
            <w:tcW w:w="4433" w:type="dxa"/>
            <w:vAlign w:val="center"/>
          </w:tcPr>
          <w:p>
            <w:pPr>
              <w:pStyle w:val="283"/>
              <w:rPr>
                <w:color w:val="auto"/>
                <w:sz w:val="21"/>
                <w:szCs w:val="21"/>
              </w:rPr>
            </w:pPr>
            <w:r>
              <w:rPr>
                <w:rFonts w:hint="eastAsia"/>
                <w:color w:val="auto"/>
                <w:sz w:val="21"/>
                <w:szCs w:val="21"/>
              </w:rPr>
              <w:t>严格执行“三线一单”生态环境分区管控要求，对重点区域、重点流域、重点行业和产业布局开展规划环评。持续推进化工、电镀、皮革、造纸、印染、农副食品加工等行业绿色化改造转型升级，推进化工、印染、电镀等产业集群提升改造。推动重点行业、重点区域产业布局调整，实施传统产业兼并重组、城市建成区高污染企业退城入园和敏感区域、水污染严重地区高污染企业布局优化，制定实施落后产能淘汰方案。严禁在黄河干流及主要支流临岸一定范围内新建“两高一资”项目及相关产业园区。</w:t>
            </w:r>
            <w:r>
              <w:rPr>
                <w:color w:val="auto"/>
                <w:sz w:val="21"/>
                <w:szCs w:val="21"/>
              </w:rPr>
              <w:t xml:space="preserve"> </w:t>
            </w:r>
          </w:p>
        </w:tc>
        <w:tc>
          <w:tcPr>
            <w:tcW w:w="2362" w:type="dxa"/>
            <w:vAlign w:val="center"/>
          </w:tcPr>
          <w:p>
            <w:pPr>
              <w:pStyle w:val="421"/>
              <w:jc w:val="left"/>
              <w:rPr>
                <w:color w:val="auto"/>
              </w:rPr>
            </w:pPr>
            <w:r>
              <w:rPr>
                <w:rFonts w:hint="eastAsia" w:hAnsi="宋体"/>
                <w:color w:val="auto"/>
              </w:rPr>
              <w:t>本项目含有电镀工序， 项目建设符合相关管控要求，项目位于产业园区内，生产线为全自动生产线，使用低铬钝化液。</w:t>
            </w:r>
          </w:p>
        </w:tc>
        <w:tc>
          <w:tcPr>
            <w:tcW w:w="854" w:type="dxa"/>
            <w:vAlign w:val="center"/>
          </w:tcPr>
          <w:p>
            <w:pPr>
              <w:pStyle w:val="421"/>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283"/>
              <w:jc w:val="center"/>
              <w:rPr>
                <w:color w:val="auto"/>
              </w:rPr>
            </w:pPr>
            <w:r>
              <w:rPr>
                <w:rFonts w:hint="eastAsia"/>
                <w:color w:val="auto"/>
                <w:sz w:val="21"/>
                <w:szCs w:val="21"/>
              </w:rPr>
              <w:t>20、提升水生态环境监测监控能力</w:t>
            </w:r>
          </w:p>
        </w:tc>
        <w:tc>
          <w:tcPr>
            <w:tcW w:w="4433" w:type="dxa"/>
            <w:vAlign w:val="center"/>
          </w:tcPr>
          <w:p>
            <w:pPr>
              <w:pStyle w:val="283"/>
              <w:rPr>
                <w:color w:val="auto"/>
              </w:rPr>
            </w:pPr>
            <w:r>
              <w:rPr>
                <w:rFonts w:hint="eastAsia"/>
                <w:color w:val="auto"/>
                <w:sz w:val="21"/>
                <w:szCs w:val="21"/>
              </w:rPr>
              <w:t>开展涉水污染源自动监控设施建设情况排查，强化在线监控设施运行和日常监督检查，确保数据真实有效。</w:t>
            </w:r>
          </w:p>
        </w:tc>
        <w:tc>
          <w:tcPr>
            <w:tcW w:w="2362" w:type="dxa"/>
            <w:vAlign w:val="center"/>
          </w:tcPr>
          <w:p>
            <w:pPr>
              <w:pStyle w:val="283"/>
              <w:rPr>
                <w:rFonts w:hAnsi="宋体"/>
                <w:color w:val="auto"/>
              </w:rPr>
            </w:pPr>
            <w:r>
              <w:rPr>
                <w:rFonts w:hint="eastAsia"/>
                <w:color w:val="auto"/>
                <w:sz w:val="21"/>
                <w:szCs w:val="21"/>
              </w:rPr>
              <w:t>本项目建成后将</w:t>
            </w:r>
            <w:r>
              <w:rPr>
                <w:rFonts w:hint="eastAsia"/>
                <w:color w:val="auto"/>
                <w:sz w:val="21"/>
                <w:szCs w:val="21"/>
                <w:lang w:eastAsia="zh-CN"/>
              </w:rPr>
              <w:t>进行</w:t>
            </w:r>
            <w:r>
              <w:rPr>
                <w:rFonts w:hint="eastAsia"/>
                <w:color w:val="auto"/>
                <w:sz w:val="21"/>
                <w:szCs w:val="21"/>
              </w:rPr>
              <w:t>安装污水在线监控设施，并与生态环境主管部门进行联网。</w:t>
            </w:r>
          </w:p>
        </w:tc>
        <w:tc>
          <w:tcPr>
            <w:tcW w:w="854" w:type="dxa"/>
            <w:vAlign w:val="center"/>
          </w:tcPr>
          <w:p>
            <w:pPr>
              <w:pStyle w:val="421"/>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522" w:type="dxa"/>
            <w:gridSpan w:val="4"/>
            <w:vAlign w:val="center"/>
          </w:tcPr>
          <w:p>
            <w:pPr>
              <w:pStyle w:val="424"/>
              <w:rPr>
                <w:color w:val="auto"/>
              </w:rPr>
            </w:pPr>
            <w:r>
              <w:rPr>
                <w:color w:val="auto"/>
              </w:rPr>
              <w:t>《新乡市202</w:t>
            </w:r>
            <w:r>
              <w:rPr>
                <w:rFonts w:hint="eastAsia"/>
                <w:color w:val="auto"/>
              </w:rPr>
              <w:t>2</w:t>
            </w:r>
            <w:r>
              <w:rPr>
                <w:color w:val="auto"/>
              </w:rPr>
              <w:t>年土壤污染防治攻坚战实施方案》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421"/>
              <w:jc w:val="left"/>
              <w:rPr>
                <w:rFonts w:hAnsi="宋体"/>
                <w:color w:val="auto"/>
              </w:rPr>
            </w:pPr>
            <w:r>
              <w:rPr>
                <w:rFonts w:hint="eastAsia" w:hAnsi="宋体"/>
                <w:color w:val="auto"/>
              </w:rPr>
              <w:t>6、鼓励重点行业企业实施绿色化改造</w:t>
            </w:r>
          </w:p>
        </w:tc>
        <w:tc>
          <w:tcPr>
            <w:tcW w:w="4433" w:type="dxa"/>
            <w:vAlign w:val="center"/>
          </w:tcPr>
          <w:p>
            <w:pPr>
              <w:pStyle w:val="421"/>
              <w:jc w:val="left"/>
              <w:rPr>
                <w:rFonts w:hAnsi="宋体"/>
                <w:color w:val="auto"/>
              </w:rPr>
            </w:pPr>
            <w:r>
              <w:rPr>
                <w:rFonts w:hint="eastAsia" w:hAnsi="宋体"/>
                <w:color w:val="auto"/>
              </w:rPr>
              <w:t>推进企业绿色升级，土壤污染重点监管单位因地制宜实施管道化、密闭化改造，重点区域防腐防渗改造，物料、污水、废气管线架空建设和改造，从源头上防范土壤污染。聚焦重有色金属冶炼、涉重金属无机化工等重点行业，严格按照省级部署实施清洁生产审核，进一步减少污染物排放。</w:t>
            </w:r>
          </w:p>
        </w:tc>
        <w:tc>
          <w:tcPr>
            <w:tcW w:w="2362" w:type="dxa"/>
            <w:vAlign w:val="center"/>
          </w:tcPr>
          <w:p>
            <w:pPr>
              <w:pStyle w:val="421"/>
              <w:jc w:val="left"/>
              <w:rPr>
                <w:rFonts w:hAnsi="宋体"/>
                <w:color w:val="auto"/>
              </w:rPr>
            </w:pPr>
            <w:r>
              <w:rPr>
                <w:rFonts w:hint="eastAsia" w:hAnsi="宋体"/>
                <w:color w:val="auto"/>
              </w:rPr>
              <w:t>本项目对电镀线进行封闭，并进行分区防渗，管道采用</w:t>
            </w:r>
            <w:r>
              <w:rPr>
                <w:bCs/>
                <w:color w:val="auto"/>
                <w:kern w:val="21"/>
              </w:rPr>
              <w:t>明渠明管</w:t>
            </w:r>
            <w:r>
              <w:rPr>
                <w:rFonts w:hint="eastAsia"/>
                <w:bCs/>
                <w:color w:val="auto"/>
                <w:kern w:val="21"/>
              </w:rPr>
              <w:t>和</w:t>
            </w:r>
            <w:r>
              <w:rPr>
                <w:bCs/>
                <w:color w:val="auto"/>
                <w:kern w:val="21"/>
              </w:rPr>
              <w:t>架空敷设，废水管道</w:t>
            </w:r>
            <w:r>
              <w:rPr>
                <w:rFonts w:hint="eastAsia"/>
                <w:bCs/>
                <w:color w:val="auto"/>
                <w:kern w:val="21"/>
              </w:rPr>
              <w:t>采取</w:t>
            </w:r>
            <w:r>
              <w:rPr>
                <w:bCs/>
                <w:color w:val="auto"/>
                <w:kern w:val="21"/>
              </w:rPr>
              <w:t>防腐、防渗漏</w:t>
            </w:r>
            <w:r>
              <w:rPr>
                <w:rFonts w:hint="eastAsia"/>
                <w:bCs/>
                <w:color w:val="auto"/>
                <w:kern w:val="21"/>
              </w:rPr>
              <w:t>设置</w:t>
            </w:r>
            <w:r>
              <w:rPr>
                <w:bCs/>
                <w:color w:val="auto"/>
                <w:kern w:val="21"/>
              </w:rPr>
              <w:t>，生产装置、罐区等易污染区地面应进行防渗处理</w:t>
            </w:r>
          </w:p>
        </w:tc>
        <w:tc>
          <w:tcPr>
            <w:tcW w:w="854" w:type="dxa"/>
            <w:vAlign w:val="center"/>
          </w:tcPr>
          <w:p>
            <w:pPr>
              <w:pStyle w:val="421"/>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283"/>
              <w:jc w:val="center"/>
              <w:rPr>
                <w:color w:val="auto"/>
              </w:rPr>
            </w:pPr>
            <w:r>
              <w:rPr>
                <w:rFonts w:hint="eastAsia"/>
                <w:color w:val="auto"/>
                <w:sz w:val="21"/>
                <w:szCs w:val="21"/>
              </w:rPr>
              <w:t>7、严格控制涉重金属企业污染物排放</w:t>
            </w:r>
            <w:r>
              <w:rPr>
                <w:color w:val="auto"/>
                <w:sz w:val="21"/>
                <w:szCs w:val="21"/>
              </w:rPr>
              <w:t xml:space="preserve"> </w:t>
            </w:r>
          </w:p>
        </w:tc>
        <w:tc>
          <w:tcPr>
            <w:tcW w:w="4433" w:type="dxa"/>
            <w:vAlign w:val="center"/>
          </w:tcPr>
          <w:p>
            <w:pPr>
              <w:pStyle w:val="421"/>
              <w:jc w:val="left"/>
              <w:rPr>
                <w:color w:val="auto"/>
              </w:rPr>
            </w:pPr>
            <w:r>
              <w:rPr>
                <w:rFonts w:hint="eastAsia" w:hAnsi="宋体"/>
                <w:color w:val="auto"/>
              </w:rPr>
              <w:t>持续开展涉镉等重金属行业企业排查整治活动，坚持边排查边整治，新乡县、封丘县相关企业完成“回头看”整改任务。按照全口径涉重金属重点行业企业清单动态调整机制，及时完善更新全口径清单企业信息及生产状态。进一步严格排放控制要求，对新、改、扩建重点行业建设项目重金属污染物排放实施“减量替代”，有效削减排放总量。持续推进涉镉等重金属企业纳入重点排污单位名录，对纳入大气重点排污单位名录或实行排污许可重点管理的涉镉等重金属排放企业，相关自动监测要求应当依法载入排污许可证，督促其按照规定安装颗粒物排放自动监测设备，并与市生态环境局监控平台联网。</w:t>
            </w:r>
            <w:r>
              <w:rPr>
                <w:color w:val="auto"/>
              </w:rPr>
              <w:t xml:space="preserve"> </w:t>
            </w:r>
          </w:p>
        </w:tc>
        <w:tc>
          <w:tcPr>
            <w:tcW w:w="2362" w:type="dxa"/>
            <w:vAlign w:val="center"/>
          </w:tcPr>
          <w:p>
            <w:pPr>
              <w:pStyle w:val="421"/>
              <w:jc w:val="left"/>
              <w:rPr>
                <w:rFonts w:hAnsi="宋体"/>
                <w:color w:val="auto"/>
              </w:rPr>
            </w:pPr>
            <w:r>
              <w:rPr>
                <w:rFonts w:hint="eastAsia" w:hAnsi="宋体"/>
                <w:color w:val="auto"/>
              </w:rPr>
              <w:t>本项目不涉镉；重金属污染物实施“减量替代”，项目建成后安装废水、废气在线监测设备，并</w:t>
            </w:r>
            <w:r>
              <w:rPr>
                <w:rFonts w:hint="eastAsia"/>
                <w:color w:val="auto"/>
              </w:rPr>
              <w:t>与生态环境部门的数据平台联网；</w:t>
            </w:r>
            <w:r>
              <w:rPr>
                <w:rFonts w:hint="eastAsia" w:hAnsi="宋体"/>
                <w:color w:val="auto"/>
              </w:rPr>
              <w:t>项目排污前应按要求取得排污许可证后方可排污。</w:t>
            </w:r>
          </w:p>
        </w:tc>
        <w:tc>
          <w:tcPr>
            <w:tcW w:w="854" w:type="dxa"/>
            <w:vAlign w:val="center"/>
          </w:tcPr>
          <w:p>
            <w:pPr>
              <w:pStyle w:val="421"/>
              <w:rPr>
                <w:color w:val="auto"/>
              </w:rPr>
            </w:pPr>
            <w:r>
              <w:rPr>
                <w:color w:val="auto"/>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283"/>
              <w:jc w:val="center"/>
              <w:rPr>
                <w:color w:val="auto"/>
              </w:rPr>
            </w:pPr>
            <w:r>
              <w:rPr>
                <w:rFonts w:hint="eastAsia"/>
                <w:color w:val="auto"/>
                <w:sz w:val="21"/>
                <w:szCs w:val="21"/>
              </w:rPr>
              <w:t>8、严格危险废物管理</w:t>
            </w:r>
            <w:r>
              <w:rPr>
                <w:color w:val="auto"/>
                <w:sz w:val="21"/>
                <w:szCs w:val="21"/>
              </w:rPr>
              <w:t xml:space="preserve"> </w:t>
            </w:r>
          </w:p>
        </w:tc>
        <w:tc>
          <w:tcPr>
            <w:tcW w:w="4433" w:type="dxa"/>
            <w:vAlign w:val="center"/>
          </w:tcPr>
          <w:p>
            <w:pPr>
              <w:pStyle w:val="421"/>
              <w:jc w:val="left"/>
              <w:rPr>
                <w:color w:val="auto"/>
              </w:rPr>
            </w:pPr>
            <w:r>
              <w:rPr>
                <w:rFonts w:hint="eastAsia" w:hAnsi="宋体"/>
                <w:color w:val="auto"/>
              </w:rPr>
              <w:t>全面提升危险废物环境监管、利用处置和环境风险防范“三个能力”，推进医疗废物和危险废物集中处置项目建设，开展铅酸蓄电池收集试点工作。动态更新危险废物“四个清单”，有序推进固废信息化建设。</w:t>
            </w:r>
            <w:r>
              <w:rPr>
                <w:rFonts w:hAnsi="宋体"/>
                <w:color w:val="auto"/>
              </w:rPr>
              <w:t xml:space="preserve"> </w:t>
            </w:r>
          </w:p>
        </w:tc>
        <w:tc>
          <w:tcPr>
            <w:tcW w:w="2362" w:type="dxa"/>
            <w:vAlign w:val="center"/>
          </w:tcPr>
          <w:p>
            <w:pPr>
              <w:pStyle w:val="283"/>
              <w:rPr>
                <w:color w:val="auto"/>
              </w:rPr>
            </w:pPr>
            <w:r>
              <w:rPr>
                <w:rFonts w:hint="eastAsia"/>
                <w:color w:val="auto"/>
                <w:sz w:val="21"/>
                <w:szCs w:val="21"/>
              </w:rPr>
              <w:t>本项目产生所有危废均暂存于危废暂存间并做好</w:t>
            </w:r>
            <w:r>
              <w:rPr>
                <w:rFonts w:hint="eastAsia"/>
                <w:color w:val="auto"/>
                <w:sz w:val="21"/>
                <w:szCs w:val="21"/>
                <w:lang w:eastAsia="zh-CN"/>
              </w:rPr>
              <w:t>台账记录</w:t>
            </w:r>
            <w:r>
              <w:rPr>
                <w:rFonts w:hint="eastAsia"/>
                <w:color w:val="auto"/>
                <w:sz w:val="21"/>
                <w:szCs w:val="21"/>
              </w:rPr>
              <w:t>，定期交危废单位处置。将严格按照要求进行危险废物的规范化管理。</w:t>
            </w:r>
          </w:p>
        </w:tc>
        <w:tc>
          <w:tcPr>
            <w:tcW w:w="854" w:type="dxa"/>
            <w:vAlign w:val="center"/>
          </w:tcPr>
          <w:p>
            <w:pPr>
              <w:pStyle w:val="421"/>
              <w:rPr>
                <w:color w:val="auto"/>
              </w:rPr>
            </w:pPr>
            <w:r>
              <w:rPr>
                <w:color w:val="auto"/>
              </w:rPr>
              <w:t>符合</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21"/>
          <w:sz w:val="24"/>
          <w:szCs w:val="24"/>
        </w:rPr>
        <w:t>由上表可知，本项目符合《</w:t>
      </w:r>
      <w:r>
        <w:rPr>
          <w:rFonts w:hint="eastAsia"/>
          <w:color w:val="auto"/>
          <w:kern w:val="21"/>
          <w:sz w:val="24"/>
          <w:szCs w:val="24"/>
        </w:rPr>
        <w:t>实施方案</w:t>
      </w:r>
      <w:r>
        <w:rPr>
          <w:color w:val="auto"/>
          <w:kern w:val="21"/>
          <w:sz w:val="24"/>
          <w:szCs w:val="24"/>
        </w:rPr>
        <w:t>》中相关要求。</w:t>
      </w:r>
    </w:p>
    <w:p>
      <w:pPr>
        <w:adjustRightInd w:val="0"/>
        <w:snapToGrid w:val="0"/>
        <w:spacing w:line="360" w:lineRule="auto"/>
        <w:outlineLvl w:val="2"/>
        <w:rPr>
          <w:rFonts w:eastAsia="黑体"/>
          <w:b/>
          <w:bCs/>
          <w:color w:val="auto"/>
          <w:kern w:val="21"/>
          <w:sz w:val="28"/>
          <w:szCs w:val="28"/>
          <w:u w:val="single"/>
        </w:rPr>
      </w:pPr>
      <w:r>
        <w:rPr>
          <w:rFonts w:eastAsia="黑体"/>
          <w:b/>
          <w:bCs/>
          <w:color w:val="auto"/>
          <w:kern w:val="21"/>
          <w:sz w:val="28"/>
          <w:szCs w:val="28"/>
          <w:u w:val="single"/>
        </w:rPr>
        <w:t>2.</w:t>
      </w:r>
      <w:r>
        <w:rPr>
          <w:rFonts w:hint="eastAsia" w:eastAsia="黑体"/>
          <w:b/>
          <w:bCs/>
          <w:color w:val="auto"/>
          <w:kern w:val="21"/>
          <w:sz w:val="28"/>
          <w:szCs w:val="28"/>
          <w:u w:val="single"/>
        </w:rPr>
        <w:t>7.13《新乡市“十四五”重金属污染防治工作方案》（新环[2022]110号）</w:t>
      </w:r>
    </w:p>
    <w:p>
      <w:pPr>
        <w:adjustRightInd w:val="0"/>
        <w:snapToGrid w:val="0"/>
        <w:spacing w:line="360" w:lineRule="auto"/>
        <w:ind w:firstLine="482" w:firstLineChars="200"/>
        <w:rPr>
          <w:b/>
          <w:bCs/>
          <w:color w:val="auto"/>
          <w:kern w:val="21"/>
          <w:sz w:val="24"/>
          <w:szCs w:val="24"/>
          <w:u w:val="single"/>
        </w:rPr>
      </w:pPr>
      <w:r>
        <w:rPr>
          <w:rFonts w:hint="eastAsia"/>
          <w:b/>
          <w:bCs/>
          <w:color w:val="auto"/>
          <w:kern w:val="21"/>
          <w:sz w:val="24"/>
          <w:szCs w:val="24"/>
          <w:u w:val="single"/>
        </w:rPr>
        <w:t>根据《新乡市“十四五”重金属污染防治工作方案》（新环[2022]110号），本项目与其相符性见下表。</w:t>
      </w:r>
    </w:p>
    <w:p>
      <w:pPr>
        <w:spacing w:line="440" w:lineRule="exact"/>
        <w:ind w:firstLine="723" w:firstLineChars="300"/>
        <w:textAlignment w:val="baseline"/>
        <w:rPr>
          <w:rFonts w:hint="eastAsia" w:hAnsi="黑体" w:eastAsia="黑体"/>
          <w:b/>
          <w:bCs/>
          <w:color w:val="auto"/>
          <w:sz w:val="24"/>
          <w:u w:val="single"/>
          <w:lang w:eastAsia="zh-CN"/>
        </w:rPr>
      </w:pPr>
      <w:r>
        <w:rPr>
          <w:rFonts w:hint="eastAsia" w:hAnsi="黑体" w:eastAsia="黑体"/>
          <w:b/>
          <w:bCs/>
          <w:color w:val="auto"/>
          <w:sz w:val="24"/>
          <w:u w:val="single"/>
        </w:rPr>
        <w:t>表2.7-7       本项目与（新环【2022】110号）</w:t>
      </w:r>
      <w:r>
        <w:rPr>
          <w:rFonts w:hint="eastAsia" w:hAnsi="黑体" w:eastAsia="黑体"/>
          <w:b/>
          <w:bCs/>
          <w:color w:val="auto"/>
          <w:sz w:val="24"/>
          <w:u w:val="single"/>
          <w:lang w:eastAsia="zh-CN"/>
        </w:rPr>
        <w:t>相符性分析</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73"/>
        <w:gridCol w:w="4433"/>
        <w:gridCol w:w="2362"/>
        <w:gridCol w:w="85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06" w:type="dxa"/>
            <w:gridSpan w:val="2"/>
            <w:vAlign w:val="center"/>
          </w:tcPr>
          <w:p>
            <w:pPr>
              <w:pStyle w:val="424"/>
              <w:rPr>
                <w:b/>
                <w:bCs/>
                <w:color w:val="auto"/>
                <w:u w:val="single"/>
              </w:rPr>
            </w:pPr>
            <w:r>
              <w:rPr>
                <w:rFonts w:hint="eastAsia"/>
                <w:b/>
                <w:bCs/>
                <w:color w:val="auto"/>
                <w:u w:val="single"/>
              </w:rPr>
              <w:t>新环【2022】110号</w:t>
            </w:r>
            <w:r>
              <w:rPr>
                <w:b/>
                <w:bCs/>
                <w:color w:val="auto"/>
                <w:u w:val="single"/>
              </w:rPr>
              <w:t>相关要求</w:t>
            </w:r>
          </w:p>
        </w:tc>
        <w:tc>
          <w:tcPr>
            <w:tcW w:w="2362" w:type="dxa"/>
            <w:vAlign w:val="center"/>
          </w:tcPr>
          <w:p>
            <w:pPr>
              <w:pStyle w:val="424"/>
              <w:rPr>
                <w:b/>
                <w:bCs/>
                <w:color w:val="auto"/>
                <w:u w:val="single"/>
              </w:rPr>
            </w:pPr>
            <w:r>
              <w:rPr>
                <w:b/>
                <w:bCs/>
                <w:color w:val="auto"/>
                <w:u w:val="single"/>
              </w:rPr>
              <w:t>本项目情况</w:t>
            </w:r>
          </w:p>
        </w:tc>
        <w:tc>
          <w:tcPr>
            <w:tcW w:w="854" w:type="dxa"/>
            <w:vAlign w:val="center"/>
          </w:tcPr>
          <w:p>
            <w:pPr>
              <w:pStyle w:val="424"/>
              <w:rPr>
                <w:rFonts w:hint="eastAsia" w:eastAsia="宋体"/>
                <w:b/>
                <w:bCs/>
                <w:color w:val="auto"/>
                <w:u w:val="single"/>
                <w:lang w:val="en-US" w:eastAsia="zh-CN"/>
              </w:rPr>
            </w:pPr>
            <w:r>
              <w:rPr>
                <w:rFonts w:hint="eastAsia"/>
                <w:b/>
                <w:bCs/>
                <w:color w:val="auto"/>
                <w:u w:val="single"/>
                <w:lang w:val="en-US" w:eastAsia="zh-CN"/>
              </w:rPr>
              <w:t>符合性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重点重金属污染物</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重点防控的重金属污染物是铅、汞、镉、铬、砷、铊和锑，并对铅、汞、镉、铬和砷五种重点重金属污染物排放量实施总量控制。</w:t>
            </w:r>
          </w:p>
        </w:tc>
        <w:tc>
          <w:tcPr>
            <w:tcW w:w="2362" w:type="dxa"/>
            <w:vAlign w:val="center"/>
          </w:tcPr>
          <w:p>
            <w:pPr>
              <w:pStyle w:val="421"/>
              <w:rPr>
                <w:b/>
                <w:bCs/>
                <w:color w:val="auto"/>
                <w:u w:val="single"/>
              </w:rPr>
            </w:pPr>
            <w:r>
              <w:rPr>
                <w:b/>
                <w:bCs/>
                <w:color w:val="auto"/>
                <w:u w:val="single"/>
              </w:rPr>
              <w:t>本项目涉及的重点重金属污染物为铬。项目含铬废水全部</w:t>
            </w:r>
            <w:r>
              <w:rPr>
                <w:rFonts w:hint="eastAsia"/>
                <w:b/>
                <w:bCs/>
                <w:color w:val="auto"/>
                <w:u w:val="single"/>
              </w:rPr>
              <w:t>回</w:t>
            </w:r>
            <w:r>
              <w:rPr>
                <w:b/>
                <w:bCs/>
                <w:color w:val="auto"/>
                <w:u w:val="single"/>
              </w:rPr>
              <w:t>用</w:t>
            </w:r>
            <w:r>
              <w:rPr>
                <w:rFonts w:hint="eastAsia"/>
                <w:b/>
                <w:bCs/>
                <w:color w:val="auto"/>
                <w:u w:val="single"/>
              </w:rPr>
              <w:t>不外排。</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重点行业</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重有色金属冶炼业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铜、铅锌冶炼</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，铅蓄电池制造业，电镀行业，化学原料及化学制品制造业</w:t>
            </w:r>
            <w:r>
              <w:rPr>
                <w:rFonts w:hint="eastAsia" w:ascii="宋体" w:hAnsi="宋体" w:cs="宋体"/>
                <w:b/>
                <w:bCs/>
                <w:color w:val="auto"/>
                <w:kern w:val="21"/>
                <w:u w:val="single"/>
                <w:lang w:eastAsia="zh-CN"/>
              </w:rPr>
              <w:t>（</w:t>
            </w:r>
            <w:r>
              <w:rPr>
                <w:rFonts w:hint="eastAsia" w:ascii="宋体" w:hAnsi="宋体" w:cs="宋体"/>
                <w:b/>
                <w:bCs/>
                <w:color w:val="auto"/>
                <w:kern w:val="21"/>
                <w:u w:val="single"/>
              </w:rPr>
              <w:t>铬盐制造、以工业固体废物为原料的锌无机化合物工业），皮革鞣制加工业等5个行业</w:t>
            </w:r>
          </w:p>
        </w:tc>
        <w:tc>
          <w:tcPr>
            <w:tcW w:w="2362" w:type="dxa"/>
            <w:vAlign w:val="center"/>
          </w:tcPr>
          <w:p>
            <w:pPr>
              <w:pStyle w:val="421"/>
              <w:rPr>
                <w:b/>
                <w:bCs/>
                <w:color w:val="auto"/>
                <w:u w:val="single"/>
              </w:rPr>
            </w:pPr>
            <w:r>
              <w:rPr>
                <w:b/>
                <w:bCs/>
                <w:color w:val="auto"/>
                <w:u w:val="single"/>
              </w:rPr>
              <w:t>本项目包含电镀工段，属于重点行业。</w:t>
            </w:r>
          </w:p>
        </w:tc>
        <w:tc>
          <w:tcPr>
            <w:tcW w:w="854" w:type="dxa"/>
            <w:vAlign w:val="center"/>
          </w:tcPr>
          <w:p>
            <w:pPr>
              <w:pStyle w:val="421"/>
              <w:rPr>
                <w:b/>
                <w:bCs/>
                <w:color w:val="auto"/>
                <w:u w:val="single"/>
              </w:rPr>
            </w:pPr>
            <w:r>
              <w:rPr>
                <w:rFonts w:hint="eastAsia"/>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jc w:val="center"/>
              <w:rPr>
                <w:rFonts w:ascii="宋体" w:hAnsi="宋体" w:cs="宋体"/>
                <w:b/>
                <w:bCs/>
                <w:color w:val="auto"/>
                <w:kern w:val="21"/>
                <w:u w:val="single"/>
              </w:rPr>
            </w:pPr>
            <w:r>
              <w:rPr>
                <w:rFonts w:ascii="宋体" w:hAnsi="宋体" w:cs="宋体"/>
                <w:b/>
                <w:bCs/>
                <w:color w:val="auto"/>
                <w:kern w:val="21"/>
                <w:u w:val="single"/>
              </w:rPr>
              <w:t>严格涉重金属重点行业项目环境准入管理</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ascii="宋体" w:hAnsi="宋体" w:cs="宋体"/>
                <w:b/>
                <w:bCs/>
                <w:color w:val="auto"/>
                <w:kern w:val="21"/>
                <w:u w:val="single"/>
              </w:rPr>
              <w:t>新、改、扩建涉重金属重点行业建设项目应符合“三线一单”、产业政策、区域环评、规划环评和行业环境准入管控要求。新、改、扩建涉重金属重点行业建设项目应遵循重点重金属污染物排放“减量替代”原则，省级重点区域的减量替代比例不低于1.2：1，其他区域的减量替代比例不低于1.1：1。</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建设单位在提交环评文件时应明确重点重金属污染物排放总量及来源。无明确具体总量来源的，各级生态环境部门不得批准相关环境影响评价文件。总量来源原则上应应是本市内同一重点行业内企业削减的重点重金属污染物排放量，当同一重点行业内企业削减量无法满足可从其他重点行业调剂。</w:t>
            </w:r>
          </w:p>
        </w:tc>
        <w:tc>
          <w:tcPr>
            <w:tcW w:w="2362" w:type="dxa"/>
            <w:vAlign w:val="center"/>
          </w:tcPr>
          <w:p>
            <w:pPr>
              <w:pStyle w:val="377"/>
              <w:widowControl w:val="0"/>
              <w:adjustRightInd w:val="0"/>
              <w:snapToGrid w:val="0"/>
              <w:jc w:val="center"/>
              <w:rPr>
                <w:rFonts w:ascii="宋体" w:hAnsi="宋体" w:cs="宋体"/>
                <w:b/>
                <w:bCs/>
                <w:color w:val="auto"/>
                <w:kern w:val="21"/>
                <w:u w:val="single"/>
              </w:rPr>
            </w:pPr>
            <w:r>
              <w:rPr>
                <w:rFonts w:hint="eastAsia" w:ascii="宋体" w:hAnsi="宋体" w:cs="宋体"/>
                <w:b/>
                <w:bCs/>
                <w:color w:val="auto"/>
                <w:kern w:val="21"/>
                <w:u w:val="single"/>
              </w:rPr>
              <w:t>根据本项目“三线一单”符合性分析、与产业政策相符性分析、与区域城乡总体规划相符性分析及规划环评相符性分析、与电镀行业审批原则相符性分析结果，项目符合以上政策及规划相关要求。项目</w:t>
            </w:r>
            <w:r>
              <w:rPr>
                <w:rFonts w:hint="eastAsia" w:ascii="宋体" w:hAnsi="宋体" w:cs="宋体"/>
                <w:b/>
                <w:bCs/>
                <w:color w:val="auto"/>
                <w:kern w:val="21"/>
                <w:u w:val="single"/>
                <w:lang w:eastAsia="zh-CN"/>
              </w:rPr>
              <w:t>涉重废水全部回用，不外排，不涉及重金属总量控制指标。</w:t>
            </w:r>
          </w:p>
        </w:tc>
        <w:tc>
          <w:tcPr>
            <w:tcW w:w="854" w:type="dxa"/>
            <w:vAlign w:val="center"/>
          </w:tcPr>
          <w:p>
            <w:pPr>
              <w:pStyle w:val="421"/>
              <w:rPr>
                <w:b/>
                <w:bCs/>
                <w:color w:val="auto"/>
                <w:u w:val="single"/>
              </w:rPr>
            </w:pPr>
            <w:r>
              <w:rPr>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rPr>
                <w:rFonts w:ascii="宋体" w:hAnsi="宋体" w:cs="宋体"/>
                <w:b/>
                <w:bCs/>
                <w:color w:val="auto"/>
                <w:kern w:val="21"/>
                <w:u w:val="single"/>
              </w:rPr>
            </w:pPr>
            <w:r>
              <w:rPr>
                <w:rFonts w:ascii="宋体" w:hAnsi="宋体" w:cs="宋体"/>
                <w:b/>
                <w:bCs/>
                <w:color w:val="auto"/>
                <w:kern w:val="21"/>
                <w:u w:val="single"/>
              </w:rPr>
              <w:t>加强涉重金属重点行业企业清洁生产改造</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加强重点行业企业清洁生产改造。加强重点行业清洁生产工艺的开发和应用。重点行业企业“十四五”期间依法至少开展一轮强制性清洁生产审核。到</w:t>
            </w:r>
            <w:r>
              <w:rPr>
                <w:rFonts w:ascii="宋体" w:hAnsi="宋体" w:cs="宋体"/>
                <w:b/>
                <w:bCs/>
                <w:color w:val="auto"/>
                <w:kern w:val="21"/>
                <w:u w:val="single"/>
              </w:rPr>
              <w:t xml:space="preserve">2025 </w:t>
            </w:r>
            <w:r>
              <w:rPr>
                <w:rFonts w:hint="eastAsia" w:ascii="宋体" w:hAnsi="宋体" w:cs="宋体"/>
                <w:b/>
                <w:bCs/>
                <w:color w:val="auto"/>
                <w:kern w:val="21"/>
                <w:u w:val="single"/>
              </w:rPr>
              <w:t>年底，重点行业企业基本</w:t>
            </w:r>
          </w:p>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达到国内清洁生产先进水平。</w:t>
            </w:r>
          </w:p>
        </w:tc>
        <w:tc>
          <w:tcPr>
            <w:tcW w:w="2362"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本项目属于新建，严格河南省电镀审批原则对于清洁生产水平的要求建设，经对照《电镀行业清洁生产评价标准指标体系》，项目建成后可达到国际清洁生产先进水平。</w:t>
            </w:r>
          </w:p>
        </w:tc>
        <w:tc>
          <w:tcPr>
            <w:tcW w:w="854" w:type="dxa"/>
            <w:vAlign w:val="center"/>
          </w:tcPr>
          <w:p>
            <w:pPr>
              <w:pStyle w:val="421"/>
              <w:rPr>
                <w:b/>
                <w:bCs/>
                <w:color w:val="auto"/>
                <w:u w:val="single"/>
              </w:rPr>
            </w:pPr>
            <w:r>
              <w:rPr>
                <w:b/>
                <w:bCs/>
                <w:color w:val="auto"/>
                <w:u w:val="single"/>
              </w:rPr>
              <w:t>符合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873" w:type="dxa"/>
            <w:vAlign w:val="center"/>
          </w:tcPr>
          <w:p>
            <w:pPr>
              <w:pStyle w:val="377"/>
              <w:widowControl w:val="0"/>
              <w:adjustRightInd w:val="0"/>
              <w:snapToGrid w:val="0"/>
              <w:rPr>
                <w:rFonts w:ascii="宋体" w:hAnsi="宋体" w:cs="宋体"/>
                <w:b/>
                <w:bCs/>
                <w:color w:val="auto"/>
                <w:kern w:val="21"/>
                <w:u w:val="single"/>
              </w:rPr>
            </w:pPr>
            <w:r>
              <w:rPr>
                <w:rFonts w:ascii="宋体" w:hAnsi="宋体" w:cs="宋体"/>
                <w:b/>
                <w:bCs/>
                <w:color w:val="auto"/>
                <w:kern w:val="21"/>
                <w:u w:val="single"/>
              </w:rPr>
              <w:t>强化涉重金属污染应急管理</w:t>
            </w:r>
          </w:p>
        </w:tc>
        <w:tc>
          <w:tcPr>
            <w:tcW w:w="4433"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重点行业企业应依法依规完善环境风险防范和环境安全隐患排查治理措施，制定环境应急预案，储备相关应急物资，定期开展应急演练。</w:t>
            </w:r>
          </w:p>
        </w:tc>
        <w:tc>
          <w:tcPr>
            <w:tcW w:w="2362" w:type="dxa"/>
            <w:vAlign w:val="center"/>
          </w:tcPr>
          <w:p>
            <w:pPr>
              <w:pStyle w:val="377"/>
              <w:widowControl w:val="0"/>
              <w:adjustRightInd w:val="0"/>
              <w:snapToGrid w:val="0"/>
              <w:rPr>
                <w:rFonts w:ascii="宋体" w:hAnsi="宋体" w:cs="宋体"/>
                <w:b/>
                <w:bCs/>
                <w:color w:val="auto"/>
                <w:kern w:val="21"/>
                <w:u w:val="single"/>
              </w:rPr>
            </w:pPr>
            <w:r>
              <w:rPr>
                <w:rFonts w:hint="eastAsia" w:ascii="宋体" w:hAnsi="宋体" w:cs="宋体"/>
                <w:b/>
                <w:bCs/>
                <w:color w:val="auto"/>
                <w:kern w:val="21"/>
                <w:u w:val="single"/>
              </w:rPr>
              <w:t>评价已要求建设单位制定环境应急预案，并列出了应急物资及投资，要求按规定开展应急演练</w:t>
            </w:r>
          </w:p>
        </w:tc>
        <w:tc>
          <w:tcPr>
            <w:tcW w:w="854" w:type="dxa"/>
            <w:vAlign w:val="center"/>
          </w:tcPr>
          <w:p>
            <w:pPr>
              <w:pStyle w:val="421"/>
              <w:rPr>
                <w:b/>
                <w:bCs/>
                <w:color w:val="auto"/>
                <w:u w:val="single"/>
              </w:rPr>
            </w:pPr>
            <w:r>
              <w:rPr>
                <w:b/>
                <w:bCs/>
                <w:color w:val="auto"/>
                <w:u w:val="single"/>
              </w:rPr>
              <w:t>符合</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2" w:firstLineChars="200"/>
        <w:textAlignment w:val="auto"/>
        <w:rPr>
          <w:b/>
          <w:bCs/>
          <w:color w:val="auto"/>
          <w:u w:val="single"/>
        </w:rPr>
      </w:pPr>
      <w:r>
        <w:rPr>
          <w:rFonts w:hint="eastAsia"/>
          <w:b/>
          <w:bCs/>
          <w:color w:val="auto"/>
          <w:kern w:val="21"/>
          <w:sz w:val="24"/>
          <w:szCs w:val="24"/>
          <w:u w:val="single"/>
        </w:rPr>
        <w:t>综上，本项目与《新乡市“十四五”重金属污染防治工作方案》（新环[2022]110号）相关要求相符。</w:t>
      </w:r>
    </w:p>
    <w:p>
      <w:pPr>
        <w:pStyle w:val="4"/>
        <w:keepNext/>
        <w:keepLines/>
        <w:pageBreakBefore w:val="0"/>
        <w:widowControl w:val="0"/>
        <w:tabs>
          <w:tab w:val="left" w:pos="1200"/>
          <w:tab w:val="left" w:pos="1571"/>
          <w:tab w:val="left" w:pos="1680"/>
        </w:tabs>
        <w:kinsoku/>
        <w:wordWrap/>
        <w:overflowPunct/>
        <w:topLinePunct w:val="0"/>
        <w:autoSpaceDE/>
        <w:autoSpaceDN/>
        <w:bidi w:val="0"/>
        <w:adjustRightInd w:val="0"/>
        <w:snapToGrid w:val="0"/>
        <w:spacing w:before="60" w:beforeLines="0" w:after="120" w:afterLines="0" w:line="520" w:lineRule="exact"/>
        <w:textAlignment w:val="baseline"/>
        <w:rPr>
          <w:bCs w:val="0"/>
          <w:color w:val="auto"/>
          <w:kern w:val="0"/>
          <w:szCs w:val="20"/>
          <w:lang w:val="en-US"/>
        </w:rPr>
      </w:pPr>
      <w:bookmarkStart w:id="108" w:name="_Toc12741"/>
      <w:bookmarkStart w:id="109" w:name="_Toc112338935"/>
      <w:bookmarkStart w:id="110" w:name="_Toc5336_WPSOffice_Level2"/>
      <w:r>
        <w:rPr>
          <w:bCs w:val="0"/>
          <w:color w:val="auto"/>
          <w:kern w:val="0"/>
          <w:szCs w:val="20"/>
          <w:lang w:val="en-US"/>
        </w:rPr>
        <w:t>2.</w:t>
      </w:r>
      <w:r>
        <w:rPr>
          <w:rFonts w:hint="eastAsia"/>
          <w:bCs w:val="0"/>
          <w:color w:val="auto"/>
          <w:kern w:val="0"/>
          <w:szCs w:val="20"/>
          <w:lang w:val="en-US"/>
        </w:rPr>
        <w:t>8</w:t>
      </w:r>
      <w:r>
        <w:rPr>
          <w:bCs w:val="0"/>
          <w:color w:val="auto"/>
          <w:kern w:val="0"/>
          <w:szCs w:val="20"/>
          <w:lang w:val="en-US"/>
        </w:rPr>
        <w:t>项目相关规划及要求符合性分析</w:t>
      </w:r>
      <w:bookmarkEnd w:id="104"/>
      <w:bookmarkEnd w:id="108"/>
      <w:bookmarkEnd w:id="109"/>
      <w:bookmarkEnd w:id="110"/>
    </w:p>
    <w:p>
      <w:pPr>
        <w:adjustRightInd w:val="0"/>
        <w:snapToGrid w:val="0"/>
        <w:spacing w:line="360" w:lineRule="auto"/>
        <w:outlineLvl w:val="2"/>
        <w:rPr>
          <w:rFonts w:eastAsia="黑体"/>
          <w:color w:val="auto"/>
          <w:kern w:val="21"/>
          <w:sz w:val="28"/>
          <w:szCs w:val="28"/>
        </w:rPr>
      </w:pPr>
      <w:bookmarkStart w:id="111" w:name="_Toc30920"/>
      <w:r>
        <w:rPr>
          <w:rFonts w:eastAsia="黑体"/>
          <w:color w:val="auto"/>
          <w:kern w:val="21"/>
          <w:sz w:val="28"/>
          <w:szCs w:val="28"/>
        </w:rPr>
        <w:t>2.</w:t>
      </w:r>
      <w:r>
        <w:rPr>
          <w:rFonts w:hint="eastAsia" w:eastAsia="黑体"/>
          <w:color w:val="auto"/>
          <w:kern w:val="21"/>
          <w:sz w:val="28"/>
          <w:szCs w:val="28"/>
        </w:rPr>
        <w:t>8</w:t>
      </w:r>
      <w:r>
        <w:rPr>
          <w:rFonts w:eastAsia="黑体"/>
          <w:color w:val="auto"/>
          <w:kern w:val="21"/>
          <w:sz w:val="28"/>
          <w:szCs w:val="28"/>
        </w:rPr>
        <w:t>.1</w:t>
      </w:r>
      <w:bookmarkEnd w:id="111"/>
      <w:r>
        <w:rPr>
          <w:rFonts w:eastAsia="黑体"/>
          <w:color w:val="auto"/>
          <w:kern w:val="21"/>
          <w:sz w:val="28"/>
          <w:szCs w:val="28"/>
        </w:rPr>
        <w:t>《新乡市城市总体规划（2011-2020年）》（2016年修改）</w:t>
      </w:r>
    </w:p>
    <w:p>
      <w:pPr>
        <w:adjustRightInd w:val="0"/>
        <w:snapToGrid w:val="0"/>
        <w:spacing w:line="360" w:lineRule="auto"/>
        <w:rPr>
          <w:color w:val="auto"/>
          <w:kern w:val="21"/>
          <w:sz w:val="24"/>
          <w:szCs w:val="24"/>
        </w:rPr>
      </w:pPr>
      <w:r>
        <w:rPr>
          <w:rFonts w:hint="eastAsia"/>
          <w:color w:val="auto"/>
          <w:kern w:val="21"/>
          <w:sz w:val="24"/>
          <w:szCs w:val="24"/>
        </w:rPr>
        <w:t>1、</w:t>
      </w:r>
      <w:r>
        <w:rPr>
          <w:color w:val="auto"/>
          <w:kern w:val="21"/>
          <w:sz w:val="24"/>
          <w:szCs w:val="24"/>
        </w:rPr>
        <w:t>规划目标</w:t>
      </w:r>
    </w:p>
    <w:p>
      <w:pPr>
        <w:adjustRightInd w:val="0"/>
        <w:snapToGrid w:val="0"/>
        <w:spacing w:line="360" w:lineRule="auto"/>
        <w:ind w:firstLine="480" w:firstLineChars="200"/>
        <w:rPr>
          <w:color w:val="auto"/>
          <w:kern w:val="21"/>
          <w:sz w:val="24"/>
          <w:szCs w:val="24"/>
        </w:rPr>
      </w:pPr>
      <w:r>
        <w:rPr>
          <w:color w:val="auto"/>
          <w:kern w:val="21"/>
          <w:sz w:val="24"/>
          <w:szCs w:val="24"/>
        </w:rPr>
        <w:t>把新乡市建设成为具有区域性中心城市职能和产业特色的制造业基地；建成功能完善，布局合理，生态友好的中原宜居城市；建成具有文化特色，享有良好知名度的文明城市；努力搞好社会主义新农村建设，实现区域内城乡协调发展，全面建设小康社会。</w:t>
      </w:r>
    </w:p>
    <w:p>
      <w:pPr>
        <w:adjustRightInd w:val="0"/>
        <w:snapToGrid w:val="0"/>
        <w:spacing w:line="360" w:lineRule="auto"/>
        <w:rPr>
          <w:color w:val="auto"/>
          <w:kern w:val="21"/>
          <w:sz w:val="24"/>
          <w:szCs w:val="24"/>
        </w:rPr>
      </w:pPr>
      <w:r>
        <w:rPr>
          <w:rFonts w:hint="eastAsia"/>
          <w:color w:val="auto"/>
          <w:kern w:val="21"/>
          <w:sz w:val="24"/>
          <w:szCs w:val="24"/>
        </w:rPr>
        <w:t>2、</w:t>
      </w:r>
      <w:r>
        <w:rPr>
          <w:color w:val="auto"/>
          <w:kern w:val="21"/>
          <w:sz w:val="24"/>
          <w:szCs w:val="24"/>
        </w:rPr>
        <w:t>城市性质</w:t>
      </w:r>
    </w:p>
    <w:p>
      <w:pPr>
        <w:adjustRightInd w:val="0"/>
        <w:snapToGrid w:val="0"/>
        <w:spacing w:line="360" w:lineRule="auto"/>
        <w:ind w:firstLine="480" w:firstLineChars="200"/>
        <w:rPr>
          <w:color w:val="auto"/>
          <w:kern w:val="21"/>
          <w:sz w:val="24"/>
          <w:szCs w:val="24"/>
        </w:rPr>
      </w:pPr>
      <w:r>
        <w:rPr>
          <w:color w:val="auto"/>
          <w:kern w:val="21"/>
          <w:sz w:val="24"/>
          <w:szCs w:val="24"/>
        </w:rPr>
        <w:t>中原城市群重要城市、区域中心城市、豫北地区重要节点城市。打造以一谷五基地（新乡冷谷、生物制药与新医药、电池及新型电池材料、特色装备、煤化工、汽车及零部件）为主体的河南省高新技术产业基地和先进制造业基地的城市职能。</w:t>
      </w:r>
    </w:p>
    <w:p>
      <w:pPr>
        <w:adjustRightInd w:val="0"/>
        <w:snapToGrid w:val="0"/>
        <w:spacing w:line="360" w:lineRule="auto"/>
        <w:rPr>
          <w:color w:val="auto"/>
          <w:kern w:val="21"/>
          <w:sz w:val="24"/>
          <w:szCs w:val="24"/>
        </w:rPr>
      </w:pPr>
      <w:r>
        <w:rPr>
          <w:rFonts w:hint="eastAsia"/>
          <w:color w:val="auto"/>
          <w:kern w:val="21"/>
          <w:sz w:val="24"/>
          <w:szCs w:val="24"/>
        </w:rPr>
        <w:t>3、</w:t>
      </w:r>
      <w:r>
        <w:rPr>
          <w:color w:val="auto"/>
          <w:kern w:val="21"/>
          <w:sz w:val="24"/>
          <w:szCs w:val="24"/>
        </w:rPr>
        <w:t>人口规模</w:t>
      </w:r>
    </w:p>
    <w:p>
      <w:pPr>
        <w:adjustRightInd w:val="0"/>
        <w:snapToGrid w:val="0"/>
        <w:spacing w:line="360" w:lineRule="auto"/>
        <w:ind w:firstLine="480" w:firstLineChars="200"/>
        <w:rPr>
          <w:color w:val="auto"/>
          <w:kern w:val="21"/>
          <w:sz w:val="24"/>
          <w:szCs w:val="24"/>
        </w:rPr>
      </w:pPr>
      <w:r>
        <w:rPr>
          <w:color w:val="auto"/>
          <w:kern w:val="21"/>
          <w:sz w:val="24"/>
          <w:szCs w:val="24"/>
        </w:rPr>
        <w:t>到2020年市域人口630万人，城镇人口365万人。</w:t>
      </w:r>
    </w:p>
    <w:p>
      <w:pPr>
        <w:adjustRightInd w:val="0"/>
        <w:snapToGrid w:val="0"/>
        <w:spacing w:line="360" w:lineRule="auto"/>
        <w:rPr>
          <w:color w:val="auto"/>
          <w:kern w:val="21"/>
          <w:sz w:val="24"/>
          <w:szCs w:val="24"/>
        </w:rPr>
      </w:pPr>
      <w:r>
        <w:rPr>
          <w:rFonts w:hint="eastAsia"/>
          <w:color w:val="auto"/>
          <w:kern w:val="21"/>
          <w:sz w:val="24"/>
          <w:szCs w:val="24"/>
        </w:rPr>
        <w:t>4、</w:t>
      </w:r>
      <w:r>
        <w:rPr>
          <w:color w:val="auto"/>
          <w:kern w:val="21"/>
          <w:sz w:val="24"/>
          <w:szCs w:val="24"/>
        </w:rPr>
        <w:t>用地规模</w:t>
      </w:r>
    </w:p>
    <w:p>
      <w:pPr>
        <w:adjustRightInd w:val="0"/>
        <w:snapToGrid w:val="0"/>
        <w:spacing w:line="360" w:lineRule="auto"/>
        <w:ind w:firstLine="480" w:firstLineChars="200"/>
        <w:rPr>
          <w:color w:val="auto"/>
          <w:kern w:val="21"/>
          <w:sz w:val="24"/>
          <w:szCs w:val="24"/>
        </w:rPr>
      </w:pPr>
      <w:r>
        <w:rPr>
          <w:color w:val="auto"/>
          <w:kern w:val="21"/>
          <w:sz w:val="24"/>
          <w:szCs w:val="24"/>
        </w:rPr>
        <w:t>规划2020年市域城镇建设总用地面积规模为388km</w:t>
      </w:r>
      <w:r>
        <w:rPr>
          <w:color w:val="auto"/>
          <w:kern w:val="21"/>
          <w:sz w:val="24"/>
          <w:szCs w:val="24"/>
          <w:vertAlign w:val="superscript"/>
        </w:rPr>
        <w:t>2</w:t>
      </w:r>
      <w:r>
        <w:rPr>
          <w:color w:val="auto"/>
          <w:kern w:val="21"/>
          <w:sz w:val="24"/>
          <w:szCs w:val="24"/>
        </w:rPr>
        <w:t>。</w:t>
      </w:r>
    </w:p>
    <w:p>
      <w:pPr>
        <w:adjustRightInd w:val="0"/>
        <w:snapToGrid w:val="0"/>
        <w:spacing w:line="360" w:lineRule="auto"/>
        <w:rPr>
          <w:color w:val="auto"/>
          <w:kern w:val="21"/>
          <w:sz w:val="24"/>
          <w:szCs w:val="24"/>
        </w:rPr>
      </w:pPr>
      <w:r>
        <w:rPr>
          <w:rStyle w:val="140"/>
          <w:color w:val="auto"/>
          <w:lang w:val="zh-CN"/>
        </w:rPr>
        <w:t xml:space="preserve"> </w:t>
      </w:r>
      <w:r>
        <w:rPr>
          <w:rFonts w:hint="eastAsia"/>
          <w:color w:val="auto"/>
          <w:kern w:val="21"/>
          <w:sz w:val="24"/>
          <w:szCs w:val="24"/>
        </w:rPr>
        <w:t>5、</w:t>
      </w:r>
      <w:r>
        <w:rPr>
          <w:color w:val="auto"/>
          <w:kern w:val="21"/>
          <w:sz w:val="24"/>
          <w:szCs w:val="24"/>
        </w:rPr>
        <w:t>中心城区总体结构布局</w:t>
      </w:r>
    </w:p>
    <w:p>
      <w:pPr>
        <w:adjustRightInd w:val="0"/>
        <w:snapToGrid w:val="0"/>
        <w:spacing w:line="360" w:lineRule="auto"/>
        <w:ind w:firstLine="480" w:firstLineChars="200"/>
        <w:rPr>
          <w:color w:val="auto"/>
          <w:kern w:val="21"/>
          <w:sz w:val="24"/>
          <w:szCs w:val="24"/>
        </w:rPr>
      </w:pPr>
      <w:r>
        <w:rPr>
          <w:color w:val="auto"/>
          <w:kern w:val="21"/>
          <w:sz w:val="24"/>
          <w:szCs w:val="24"/>
        </w:rPr>
        <w:t>依托金穗大道，跨越京广客运专线和京港澳高速公路向东发展。中心城区的空间增长边界控制为：北至共产主义渠至南水北调干渠，南至新菏铁路，西至西环路，东至小店镇东边界。规划</w:t>
      </w:r>
      <w:r>
        <w:rPr>
          <w:rFonts w:hint="eastAsia"/>
          <w:color w:val="auto"/>
          <w:kern w:val="21"/>
          <w:sz w:val="24"/>
          <w:szCs w:val="24"/>
        </w:rPr>
        <w:t>“</w:t>
      </w:r>
      <w:r>
        <w:rPr>
          <w:color w:val="auto"/>
          <w:kern w:val="21"/>
          <w:sz w:val="24"/>
          <w:szCs w:val="24"/>
        </w:rPr>
        <w:t>一城一区，轴向生长，多心同轴</w:t>
      </w:r>
      <w:r>
        <w:rPr>
          <w:rFonts w:hint="eastAsia"/>
          <w:color w:val="auto"/>
          <w:kern w:val="21"/>
          <w:sz w:val="24"/>
          <w:szCs w:val="24"/>
        </w:rPr>
        <w:t>”</w:t>
      </w:r>
      <w:r>
        <w:rPr>
          <w:color w:val="auto"/>
          <w:kern w:val="21"/>
          <w:sz w:val="24"/>
          <w:szCs w:val="24"/>
        </w:rPr>
        <w:t>的城市空间增长形态。即形成由主城区和凤泉片区构成，以东西向的平原路和金穗大道为主要功能拓展轴，沿功能拓展轴集中布置城市综合性公共服务功能，形成服务效能较高的带形城市服务走廊，促使城市用地首先沿服务走廊作轴向推进，然后向两侧拓展；带形城市服务走廊及周边作为城市核心区聚集城市功能中心。</w:t>
      </w:r>
    </w:p>
    <w:p>
      <w:pPr>
        <w:adjustRightInd w:val="0"/>
        <w:snapToGrid w:val="0"/>
        <w:spacing w:line="360" w:lineRule="auto"/>
        <w:ind w:firstLine="480" w:firstLineChars="200"/>
        <w:rPr>
          <w:color w:val="auto"/>
          <w:kern w:val="21"/>
          <w:sz w:val="24"/>
          <w:szCs w:val="24"/>
        </w:rPr>
      </w:pPr>
      <w:r>
        <w:rPr>
          <w:color w:val="auto"/>
          <w:kern w:val="21"/>
          <w:sz w:val="24"/>
          <w:szCs w:val="24"/>
        </w:rPr>
        <w:t>中心城区：指规划的城市建成区。是城市的核心功能聚集区，承担了城市主要商贸、居住和文化服务功能。</w:t>
      </w:r>
    </w:p>
    <w:p>
      <w:pPr>
        <w:adjustRightInd w:val="0"/>
        <w:snapToGrid w:val="0"/>
        <w:spacing w:line="360" w:lineRule="auto"/>
        <w:ind w:firstLine="480" w:firstLineChars="200"/>
        <w:rPr>
          <w:color w:val="auto"/>
          <w:kern w:val="21"/>
          <w:sz w:val="24"/>
          <w:szCs w:val="24"/>
        </w:rPr>
      </w:pPr>
      <w:r>
        <w:rPr>
          <w:color w:val="auto"/>
          <w:kern w:val="21"/>
          <w:sz w:val="24"/>
          <w:szCs w:val="24"/>
        </w:rPr>
        <w:t>东部新区：是规划期内重点发展的市级行政中心、商业和文化娱乐中心以及综合客运交通枢纽的所在区域。该区域是城市的重点建设区域，随着城市的发展，东部新区将逐渐承接并完善提升主要的城市中心功能，到规划期末，东部新区将与中心片区一起共同构成城市的核心功能区。</w:t>
      </w:r>
    </w:p>
    <w:p>
      <w:pPr>
        <w:adjustRightInd w:val="0"/>
        <w:snapToGrid w:val="0"/>
        <w:spacing w:line="360" w:lineRule="auto"/>
        <w:ind w:firstLine="480" w:firstLineChars="200"/>
        <w:rPr>
          <w:color w:val="auto"/>
          <w:kern w:val="21"/>
          <w:sz w:val="24"/>
          <w:szCs w:val="24"/>
        </w:rPr>
      </w:pPr>
      <w:r>
        <w:rPr>
          <w:color w:val="auto"/>
          <w:kern w:val="21"/>
          <w:sz w:val="24"/>
          <w:szCs w:val="24"/>
        </w:rPr>
        <w:t>卫北片区：规划保留该区域为主城区内主要的集中工业用地，通过推动国企现代化改造，促进产业结构升级和产品档次提高，将卫北片区改造为具有新乡特色的现代化工业园区。</w:t>
      </w:r>
    </w:p>
    <w:p>
      <w:pPr>
        <w:adjustRightInd w:val="0"/>
        <w:snapToGrid w:val="0"/>
        <w:spacing w:line="360" w:lineRule="auto"/>
        <w:ind w:firstLine="480" w:firstLineChars="200"/>
        <w:rPr>
          <w:color w:val="auto"/>
          <w:kern w:val="21"/>
          <w:sz w:val="24"/>
          <w:szCs w:val="24"/>
        </w:rPr>
      </w:pPr>
      <w:r>
        <w:rPr>
          <w:color w:val="auto"/>
          <w:kern w:val="21"/>
          <w:sz w:val="24"/>
          <w:szCs w:val="24"/>
        </w:rPr>
        <w:t>铁西片区：规划用该片区靠近铁路货场，相对独立的地理位置，大力发展物流园建设，在充分利用现代交通优势的同时减少货运车辆对中心片区的干扰。</w:t>
      </w:r>
    </w:p>
    <w:p>
      <w:pPr>
        <w:adjustRightInd w:val="0"/>
        <w:snapToGrid w:val="0"/>
        <w:spacing w:line="360" w:lineRule="auto"/>
        <w:ind w:firstLine="480" w:firstLineChars="200"/>
        <w:rPr>
          <w:color w:val="auto"/>
          <w:kern w:val="21"/>
          <w:sz w:val="24"/>
          <w:szCs w:val="24"/>
        </w:rPr>
      </w:pPr>
      <w:r>
        <w:rPr>
          <w:color w:val="auto"/>
          <w:kern w:val="21"/>
          <w:sz w:val="24"/>
          <w:szCs w:val="24"/>
        </w:rPr>
        <w:t>南部新区：规划期内利用该区域的交通、环境和基础设施等优势条件，使开发区保持良好的发展势头，注重居住区和片区公共服务设施建设，为开发区提供完善的居住及公共服务配套。</w:t>
      </w:r>
    </w:p>
    <w:p>
      <w:pPr>
        <w:adjustRightInd w:val="0"/>
        <w:snapToGrid w:val="0"/>
        <w:spacing w:line="360" w:lineRule="auto"/>
        <w:ind w:firstLine="480" w:firstLineChars="200"/>
        <w:rPr>
          <w:color w:val="auto"/>
          <w:kern w:val="21"/>
          <w:sz w:val="24"/>
          <w:szCs w:val="24"/>
        </w:rPr>
      </w:pPr>
      <w:r>
        <w:rPr>
          <w:color w:val="auto"/>
          <w:kern w:val="21"/>
          <w:sz w:val="24"/>
          <w:szCs w:val="24"/>
        </w:rPr>
        <w:t>小店新城：是主城区重点发展片区，该区域位于城市的主要发展方向，是规划期内承接城市功能传递的重要节点。新城定位为综合配套服务片区，接纳部分中心片区分离和新建的工业项目，同时为工业园区提供综合配套服务，最终形成以工业、物流、商贸服务、居住配套为主的综合性城市拓展区，逐步承担新乡城市的副中心功能。</w:t>
      </w:r>
    </w:p>
    <w:p>
      <w:pPr>
        <w:adjustRightInd w:val="0"/>
        <w:snapToGrid w:val="0"/>
        <w:spacing w:line="360" w:lineRule="auto"/>
        <w:ind w:firstLine="480" w:firstLineChars="200"/>
        <w:rPr>
          <w:bCs/>
          <w:color w:val="auto"/>
          <w:kern w:val="21"/>
          <w:sz w:val="24"/>
          <w:szCs w:val="24"/>
        </w:rPr>
      </w:pPr>
      <w:r>
        <w:rPr>
          <w:bCs/>
          <w:color w:val="auto"/>
          <w:kern w:val="21"/>
          <w:sz w:val="24"/>
          <w:szCs w:val="24"/>
        </w:rPr>
        <w:t>凤泉组团：规划确定该片区的主要任务是传统制造业的技术更新和原有企业的产业升级，原则上不再扩大工业用地规模，依托现状和资源特点，布置化纤纺织产业园、新型材料产业园。规划期内逐渐降低凤泉片区对主城区的依赖，提高片区公共服务水平，改善居住用地的环境品质，同时配合凤凰山森林公园的建设补充都市旅游服务功能。本项目所在地属于凤泉组团区。</w:t>
      </w:r>
    </w:p>
    <w:p>
      <w:pPr>
        <w:adjustRightInd w:val="0"/>
        <w:snapToGrid w:val="0"/>
        <w:spacing w:line="360" w:lineRule="auto"/>
        <w:ind w:firstLine="480" w:firstLineChars="200"/>
        <w:rPr>
          <w:color w:val="auto"/>
          <w:kern w:val="21"/>
          <w:sz w:val="24"/>
          <w:szCs w:val="24"/>
        </w:rPr>
      </w:pPr>
      <w:r>
        <w:rPr>
          <w:color w:val="auto"/>
          <w:kern w:val="21"/>
          <w:sz w:val="24"/>
          <w:szCs w:val="24"/>
        </w:rPr>
        <w:t>新乡工业园区（新乡经济技术开发区）— 以园区现有工业为基础，优化产业结构，提升产业等级，发展高新技术和先进制造业，主要引导产业为化纤纺织、汽车配件、机械加工、现代物流业，形成以工业为主导生产性服务业和高新技术产业为支撑，房地产、商业于一体的园区产业体系。建成产业特色鲜明、投资环境优良、经济具有活力的现代工业园区。成为新乡市经济社会又好又快发展的重要增长极和新乡城市产业功能的重要载体。</w:t>
      </w:r>
    </w:p>
    <w:p>
      <w:pPr>
        <w:adjustRightInd w:val="0"/>
        <w:snapToGrid w:val="0"/>
        <w:spacing w:line="360" w:lineRule="auto"/>
        <w:rPr>
          <w:color w:val="auto"/>
          <w:kern w:val="21"/>
          <w:sz w:val="24"/>
          <w:szCs w:val="24"/>
        </w:rPr>
      </w:pPr>
      <w:r>
        <w:rPr>
          <w:rFonts w:hint="eastAsia"/>
          <w:color w:val="auto"/>
          <w:kern w:val="21"/>
          <w:sz w:val="24"/>
          <w:szCs w:val="24"/>
        </w:rPr>
        <w:t>6、</w:t>
      </w:r>
      <w:r>
        <w:rPr>
          <w:color w:val="auto"/>
          <w:kern w:val="21"/>
          <w:sz w:val="24"/>
          <w:szCs w:val="24"/>
        </w:rPr>
        <w:t>工业发展布局</w:t>
      </w:r>
    </w:p>
    <w:p>
      <w:pPr>
        <w:adjustRightInd w:val="0"/>
        <w:snapToGrid w:val="0"/>
        <w:spacing w:line="360" w:lineRule="auto"/>
        <w:ind w:firstLine="480" w:firstLineChars="200"/>
        <w:rPr>
          <w:color w:val="auto"/>
          <w:kern w:val="21"/>
          <w:sz w:val="24"/>
          <w:szCs w:val="24"/>
        </w:rPr>
      </w:pPr>
      <w:r>
        <w:rPr>
          <w:color w:val="auto"/>
          <w:kern w:val="21"/>
          <w:sz w:val="24"/>
          <w:szCs w:val="24"/>
        </w:rPr>
        <w:t>发展壮大三级产业聚集区。</w:t>
      </w:r>
    </w:p>
    <w:p>
      <w:pPr>
        <w:adjustRightInd w:val="0"/>
        <w:snapToGrid w:val="0"/>
        <w:spacing w:line="360" w:lineRule="auto"/>
        <w:ind w:firstLine="480" w:firstLineChars="200"/>
        <w:rPr>
          <w:color w:val="auto"/>
          <w:kern w:val="21"/>
          <w:sz w:val="24"/>
          <w:szCs w:val="24"/>
        </w:rPr>
      </w:pPr>
      <w:r>
        <w:rPr>
          <w:color w:val="auto"/>
          <w:kern w:val="21"/>
          <w:sz w:val="24"/>
          <w:szCs w:val="24"/>
        </w:rPr>
        <w:t>一级产业聚集区：新乡市区。</w:t>
      </w:r>
    </w:p>
    <w:p>
      <w:pPr>
        <w:adjustRightInd w:val="0"/>
        <w:snapToGrid w:val="0"/>
        <w:spacing w:line="360" w:lineRule="auto"/>
        <w:ind w:firstLine="480" w:firstLineChars="200"/>
        <w:rPr>
          <w:color w:val="auto"/>
          <w:kern w:val="21"/>
          <w:sz w:val="24"/>
          <w:szCs w:val="24"/>
        </w:rPr>
      </w:pPr>
      <w:r>
        <w:rPr>
          <w:color w:val="auto"/>
          <w:kern w:val="21"/>
          <w:sz w:val="24"/>
          <w:szCs w:val="24"/>
        </w:rPr>
        <w:t>二级产业聚集区：辉县、卫辉、凤泉、获嘉、新乡县小冀、延津、原阳、桥北新区、新乡</w:t>
      </w:r>
      <w:r>
        <w:rPr>
          <w:rFonts w:hint="eastAsia"/>
          <w:color w:val="auto"/>
          <w:kern w:val="21"/>
          <w:sz w:val="24"/>
          <w:szCs w:val="24"/>
          <w:lang w:eastAsia="zh-CN"/>
        </w:rPr>
        <w:t>（</w:t>
      </w:r>
      <w:r>
        <w:rPr>
          <w:color w:val="auto"/>
          <w:kern w:val="21"/>
          <w:sz w:val="24"/>
          <w:szCs w:val="24"/>
        </w:rPr>
        <w:t>小店</w:t>
      </w:r>
      <w:r>
        <w:rPr>
          <w:rFonts w:hint="eastAsia"/>
          <w:color w:val="auto"/>
          <w:kern w:val="21"/>
          <w:sz w:val="24"/>
          <w:szCs w:val="24"/>
          <w:lang w:eastAsia="zh-CN"/>
        </w:rPr>
        <w:t>）</w:t>
      </w:r>
      <w:r>
        <w:rPr>
          <w:color w:val="auto"/>
          <w:kern w:val="21"/>
          <w:sz w:val="24"/>
          <w:szCs w:val="24"/>
        </w:rPr>
        <w:t>工业园区。</w:t>
      </w:r>
    </w:p>
    <w:p>
      <w:pPr>
        <w:adjustRightInd w:val="0"/>
        <w:snapToGrid w:val="0"/>
        <w:spacing w:line="360" w:lineRule="auto"/>
        <w:ind w:firstLine="480" w:firstLineChars="200"/>
        <w:rPr>
          <w:color w:val="auto"/>
          <w:kern w:val="21"/>
          <w:sz w:val="24"/>
          <w:szCs w:val="24"/>
        </w:rPr>
      </w:pPr>
      <w:r>
        <w:rPr>
          <w:color w:val="auto"/>
          <w:kern w:val="21"/>
          <w:sz w:val="24"/>
          <w:szCs w:val="24"/>
        </w:rPr>
        <w:t>三级产业聚集区：孟庄、唐庄、孙杏村、大召营、古固寨、福宁集、七里营等。</w:t>
      </w:r>
    </w:p>
    <w:p>
      <w:pPr>
        <w:adjustRightInd w:val="0"/>
        <w:snapToGrid w:val="0"/>
        <w:spacing w:line="360" w:lineRule="auto"/>
        <w:ind w:firstLine="480" w:firstLineChars="200"/>
        <w:rPr>
          <w:color w:val="auto"/>
          <w:kern w:val="21"/>
          <w:sz w:val="24"/>
          <w:szCs w:val="24"/>
        </w:rPr>
      </w:pPr>
      <w:r>
        <w:rPr>
          <w:color w:val="auto"/>
          <w:kern w:val="21"/>
          <w:sz w:val="24"/>
          <w:szCs w:val="24"/>
        </w:rPr>
        <w:t>对于中心片区内的污染严重及安全性较差的二、三类工业，应积极推进用地置换，引导工业企业向城区外围工业组团、工业园区聚集。</w:t>
      </w:r>
    </w:p>
    <w:p>
      <w:pPr>
        <w:pStyle w:val="32"/>
        <w:adjustRightInd w:val="0"/>
        <w:snapToGrid w:val="0"/>
        <w:spacing w:after="0" w:line="360" w:lineRule="auto"/>
        <w:ind w:firstLine="480" w:firstLineChars="200"/>
        <w:rPr>
          <w:color w:val="auto"/>
          <w:kern w:val="21"/>
          <w:sz w:val="24"/>
          <w:lang w:val="en-US"/>
        </w:rPr>
      </w:pPr>
      <w:r>
        <w:rPr>
          <w:bCs/>
          <w:color w:val="auto"/>
          <w:kern w:val="21"/>
          <w:sz w:val="24"/>
          <w:lang w:val="en-US"/>
        </w:rPr>
        <w:t>本项目位于获嘉县产业集聚区北区城东片区安王路与梧桐路西北角，建设</w:t>
      </w:r>
      <w:r>
        <w:rPr>
          <w:rFonts w:hint="eastAsia"/>
          <w:bCs/>
          <w:color w:val="auto"/>
          <w:kern w:val="21"/>
          <w:sz w:val="24"/>
          <w:lang w:val="en-US"/>
        </w:rPr>
        <w:t>年产79.2198亿只电池配件项目</w:t>
      </w:r>
      <w:r>
        <w:rPr>
          <w:bCs/>
          <w:color w:val="auto"/>
          <w:kern w:val="21"/>
          <w:sz w:val="24"/>
          <w:lang w:val="en-US"/>
        </w:rPr>
        <w:t>，属于新乡市重点发展的</w:t>
      </w:r>
      <w:r>
        <w:rPr>
          <w:color w:val="auto"/>
          <w:kern w:val="21"/>
          <w:sz w:val="24"/>
          <w:lang w:val="en-US"/>
        </w:rPr>
        <w:t>电池及新型电池材料行业</w:t>
      </w:r>
      <w:r>
        <w:rPr>
          <w:bCs/>
          <w:color w:val="auto"/>
          <w:kern w:val="21"/>
          <w:sz w:val="24"/>
          <w:lang w:val="en-US"/>
        </w:rPr>
        <w:t>，符合新乡市城市总体发展规划要求</w:t>
      </w:r>
      <w:r>
        <w:rPr>
          <w:bCs/>
          <w:color w:val="auto"/>
          <w:kern w:val="21"/>
          <w:sz w:val="24"/>
        </w:rPr>
        <w:t>。</w:t>
      </w:r>
    </w:p>
    <w:p>
      <w:pPr>
        <w:pStyle w:val="32"/>
        <w:adjustRightInd w:val="0"/>
        <w:snapToGrid w:val="0"/>
        <w:spacing w:after="0" w:line="360" w:lineRule="auto"/>
        <w:outlineLvl w:val="2"/>
        <w:rPr>
          <w:rFonts w:eastAsia="黑体"/>
          <w:color w:val="auto"/>
          <w:kern w:val="21"/>
          <w:sz w:val="28"/>
          <w:szCs w:val="28"/>
          <w:lang w:val="en-US"/>
        </w:rPr>
      </w:pPr>
      <w:bookmarkStart w:id="112" w:name="_Toc23316"/>
      <w:r>
        <w:rPr>
          <w:rFonts w:eastAsia="黑体"/>
          <w:color w:val="auto"/>
          <w:kern w:val="21"/>
          <w:sz w:val="28"/>
          <w:szCs w:val="28"/>
          <w:lang w:val="en-US"/>
        </w:rPr>
        <w:t>2.</w:t>
      </w:r>
      <w:bookmarkEnd w:id="112"/>
      <w:r>
        <w:rPr>
          <w:rFonts w:hint="eastAsia" w:eastAsia="黑体"/>
          <w:color w:val="auto"/>
          <w:kern w:val="21"/>
          <w:sz w:val="28"/>
          <w:szCs w:val="28"/>
          <w:lang w:val="en-US"/>
        </w:rPr>
        <w:t>8.2</w:t>
      </w:r>
      <w:bookmarkStart w:id="113" w:name="_Toc428287190"/>
      <w:bookmarkStart w:id="114" w:name="_Toc428287542"/>
      <w:bookmarkStart w:id="115" w:name="_Toc428286796"/>
      <w:r>
        <w:rPr>
          <w:rFonts w:hint="eastAsia" w:eastAsia="黑体"/>
          <w:color w:val="auto"/>
          <w:kern w:val="21"/>
          <w:sz w:val="28"/>
          <w:szCs w:val="28"/>
          <w:lang w:val="en-US"/>
        </w:rPr>
        <w:t>《获嘉县城市总体规划（2012-2020）》</w:t>
      </w:r>
      <w:bookmarkEnd w:id="113"/>
      <w:bookmarkEnd w:id="114"/>
      <w:bookmarkEnd w:id="115"/>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（1）规划期限：</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规划期限为2012-2020年。</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（2）规划范围</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本规划的城市规划区东至获嘉县界，西到史庄镇界，南至六支排，北到获嘉县界，主要包括城关镇、照镜镇、位庄乡全部和太山乡、史庄镇部分村庄，总</w:t>
      </w:r>
      <w:r>
        <w:rPr>
          <w:rFonts w:hint="eastAsia"/>
          <w:bCs/>
          <w:color w:val="auto"/>
          <w:kern w:val="21"/>
          <w:sz w:val="24"/>
          <w:lang w:val="en-US" w:eastAsia="zh-CN"/>
        </w:rPr>
        <w:t>面积</w:t>
      </w:r>
      <w:r>
        <w:rPr>
          <w:rFonts w:hint="eastAsia"/>
          <w:bCs/>
          <w:color w:val="auto"/>
          <w:kern w:val="21"/>
          <w:sz w:val="24"/>
          <w:lang w:val="en-US"/>
        </w:rPr>
        <w:t>137平方公里。</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（3）产业结构空间布局规划</w:t>
      </w:r>
    </w:p>
    <w:p>
      <w:pPr>
        <w:pStyle w:val="32"/>
        <w:adjustRightInd w:val="0"/>
        <w:snapToGrid w:val="0"/>
        <w:spacing w:after="0" w:line="360" w:lineRule="auto"/>
        <w:ind w:firstLine="480" w:firstLineChars="200"/>
        <w:rPr>
          <w:bCs/>
          <w:color w:val="auto"/>
          <w:kern w:val="21"/>
          <w:sz w:val="24"/>
          <w:lang w:val="en-US"/>
        </w:rPr>
      </w:pPr>
      <w:bookmarkStart w:id="116" w:name="_Toc508096626"/>
      <w:bookmarkStart w:id="117" w:name="_Toc508551562"/>
      <w:r>
        <w:rPr>
          <w:rFonts w:hint="eastAsia"/>
          <w:bCs/>
          <w:color w:val="auto"/>
          <w:kern w:val="21"/>
          <w:sz w:val="24"/>
          <w:lang w:val="en-US"/>
        </w:rPr>
        <w:t>①优势特色农业布局规划</w:t>
      </w:r>
      <w:bookmarkEnd w:id="116"/>
      <w:bookmarkEnd w:id="117"/>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培育形成高效农业和生态旅游基地，调整种植业内部结构，依托省农科院实验基地和国家农科院万亩实验基地，建设高效经济作物面积15万亩，发展高效农业示范园区10个，大力发展优质蔬菜、花卉苗木、中药材等特色经济作物。</w:t>
      </w:r>
    </w:p>
    <w:p>
      <w:pPr>
        <w:pStyle w:val="32"/>
        <w:adjustRightInd w:val="0"/>
        <w:snapToGrid w:val="0"/>
        <w:spacing w:after="0" w:line="360" w:lineRule="auto"/>
        <w:ind w:firstLine="480" w:firstLineChars="200"/>
        <w:rPr>
          <w:bCs/>
          <w:color w:val="auto"/>
          <w:kern w:val="21"/>
          <w:sz w:val="24"/>
          <w:lang w:val="en-US"/>
        </w:rPr>
      </w:pPr>
      <w:bookmarkStart w:id="118" w:name="_Toc508096627"/>
      <w:bookmarkStart w:id="119" w:name="_Toc508551563"/>
      <w:r>
        <w:rPr>
          <w:rFonts w:hint="eastAsia"/>
          <w:bCs/>
          <w:color w:val="auto"/>
          <w:kern w:val="21"/>
          <w:sz w:val="24"/>
          <w:lang w:val="en-US"/>
        </w:rPr>
        <w:t>②产业集聚区布局规划</w:t>
      </w:r>
      <w:bookmarkEnd w:id="118"/>
      <w:bookmarkEnd w:id="119"/>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依托现有的基础，紧密结合“新-焦-济”产业发展带，把工业布局与产业带发展和城乡发展结合起来，落实产业带动城乡协调发展的战略，形成“三区、三带、一轴”产业空间布局结构。</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“三区”：即获嘉县产业集聚区、楼村精细化工新材料专业园区，亢村机械精密加工和新能源装备专业园区。</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“三带”：以S230（薄口县）为依托，加快发展获-亢产业发展带。以丁楼公路为依托，加快发展获</w:t>
      </w:r>
      <w:r>
        <w:rPr>
          <w:rFonts w:hint="eastAsia"/>
          <w:bCs/>
          <w:color w:val="auto"/>
          <w:kern w:val="21"/>
          <w:sz w:val="24"/>
          <w:lang w:val="en-US" w:eastAsia="zh-CN"/>
        </w:rPr>
        <w:t>一楼</w:t>
      </w:r>
      <w:r>
        <w:rPr>
          <w:rFonts w:hint="eastAsia"/>
          <w:bCs/>
          <w:color w:val="auto"/>
          <w:kern w:val="21"/>
          <w:sz w:val="24"/>
          <w:lang w:val="en-US"/>
        </w:rPr>
        <w:t>产业发展带。以S309（获轵线）为依托，积极培育获-徐产业发展带。</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“一轴”：即沿新焦公路（S308）延伸至黄堤镇为轴线，以获嘉产业集聚区为依托，重点发展现代煤化工、机械装备制造、汽车零配件、电力设备、电器制造、优质食品加工等产业。</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本项目</w:t>
      </w:r>
      <w:r>
        <w:rPr>
          <w:bCs/>
          <w:color w:val="auto"/>
          <w:kern w:val="21"/>
          <w:sz w:val="24"/>
          <w:lang w:val="en-US"/>
        </w:rPr>
        <w:t>位于城市规划的</w:t>
      </w:r>
      <w:r>
        <w:rPr>
          <w:rFonts w:hint="eastAsia"/>
          <w:bCs/>
          <w:color w:val="auto"/>
          <w:kern w:val="21"/>
          <w:sz w:val="24"/>
          <w:lang w:val="en-US"/>
        </w:rPr>
        <w:t>获嘉县产业集聚区</w:t>
      </w:r>
      <w:r>
        <w:rPr>
          <w:bCs/>
          <w:color w:val="auto"/>
          <w:kern w:val="21"/>
          <w:sz w:val="24"/>
          <w:lang w:val="en-US"/>
        </w:rPr>
        <w:t>，符合获嘉县城市总体规划。</w:t>
      </w:r>
    </w:p>
    <w:p>
      <w:pPr>
        <w:pStyle w:val="32"/>
        <w:adjustRightInd w:val="0"/>
        <w:snapToGrid w:val="0"/>
        <w:spacing w:after="0" w:line="360" w:lineRule="auto"/>
        <w:outlineLvl w:val="2"/>
        <w:rPr>
          <w:rFonts w:eastAsia="黑体"/>
          <w:color w:val="auto"/>
          <w:kern w:val="21"/>
          <w:sz w:val="28"/>
          <w:szCs w:val="28"/>
          <w:lang w:val="en-US"/>
        </w:rPr>
      </w:pPr>
      <w:r>
        <w:rPr>
          <w:rFonts w:eastAsia="黑体"/>
          <w:color w:val="auto"/>
          <w:kern w:val="21"/>
          <w:sz w:val="28"/>
          <w:szCs w:val="28"/>
          <w:lang w:val="en-US"/>
        </w:rPr>
        <w:t>2.</w:t>
      </w:r>
      <w:r>
        <w:rPr>
          <w:rFonts w:hint="eastAsia" w:eastAsia="黑体"/>
          <w:color w:val="auto"/>
          <w:kern w:val="21"/>
          <w:sz w:val="28"/>
          <w:szCs w:val="28"/>
          <w:lang w:val="en-US"/>
        </w:rPr>
        <w:t>8.3《</w:t>
      </w:r>
      <w:r>
        <w:rPr>
          <w:rFonts w:eastAsia="黑体"/>
          <w:color w:val="auto"/>
          <w:kern w:val="21"/>
          <w:sz w:val="28"/>
          <w:szCs w:val="28"/>
          <w:lang w:val="en-US"/>
        </w:rPr>
        <w:t>获嘉县产业集聚区总体发展规划（2016-2020）调整方案</w:t>
      </w:r>
      <w:r>
        <w:rPr>
          <w:rFonts w:hint="eastAsia" w:eastAsia="黑体"/>
          <w:color w:val="auto"/>
          <w:kern w:val="21"/>
          <w:sz w:val="28"/>
          <w:szCs w:val="28"/>
          <w:lang w:val="en-US"/>
        </w:rPr>
        <w:t>》</w:t>
      </w:r>
    </w:p>
    <w:p>
      <w:pPr>
        <w:pStyle w:val="32"/>
        <w:adjustRightInd w:val="0"/>
        <w:snapToGrid w:val="0"/>
        <w:spacing w:after="0" w:line="360" w:lineRule="auto"/>
        <w:ind w:firstLine="482" w:firstLineChars="200"/>
        <w:rPr>
          <w:rFonts w:hint="default" w:eastAsia="宋体"/>
          <w:b/>
          <w:bCs w:val="0"/>
          <w:color w:val="auto"/>
          <w:kern w:val="21"/>
          <w:sz w:val="24"/>
          <w:u w:val="single"/>
          <w:lang w:val="en-US" w:eastAsia="zh-CN"/>
        </w:rPr>
      </w:pPr>
      <w:r>
        <w:rPr>
          <w:rFonts w:hint="eastAsia"/>
          <w:b/>
          <w:bCs w:val="0"/>
          <w:color w:val="auto"/>
          <w:kern w:val="21"/>
          <w:sz w:val="24"/>
          <w:u w:val="single"/>
          <w:lang w:val="en-US" w:eastAsia="zh-CN"/>
        </w:rPr>
        <w:t>经咨询获嘉县产业集聚区管理委员会知获嘉县产业集聚区总体发展规划目前没有进行新的调整，新的规划（2020-2025）没有开始编制，没有开展新的规划环评，目前扔执行已审批过的《获嘉县产业集聚区总体发展规划（2016-2020）调整方案》。</w:t>
      </w:r>
    </w:p>
    <w:p>
      <w:pPr>
        <w:pStyle w:val="32"/>
        <w:adjustRightInd w:val="0"/>
        <w:snapToGrid w:val="0"/>
        <w:spacing w:after="0" w:line="360" w:lineRule="auto"/>
        <w:ind w:firstLine="480" w:firstLineChars="200"/>
        <w:rPr>
          <w:bCs/>
          <w:color w:val="auto"/>
          <w:kern w:val="21"/>
          <w:sz w:val="24"/>
          <w:lang w:val="en-US"/>
        </w:rPr>
      </w:pPr>
      <w:r>
        <w:rPr>
          <w:bCs/>
          <w:color w:val="auto"/>
          <w:kern w:val="21"/>
          <w:sz w:val="24"/>
          <w:lang w:val="en-US"/>
        </w:rPr>
        <w:t>《河南省获嘉县产业集聚区发展规划（2009-2020）》于2010年12月31日经河南省发展和改革委员会批复，批复文号为</w:t>
      </w:r>
      <w:r>
        <w:rPr>
          <w:rFonts w:hint="eastAsia"/>
          <w:bCs/>
          <w:color w:val="auto"/>
          <w:kern w:val="21"/>
          <w:sz w:val="24"/>
          <w:lang w:val="en-US"/>
        </w:rPr>
        <w:t>：</w:t>
      </w:r>
      <w:r>
        <w:rPr>
          <w:bCs/>
          <w:color w:val="auto"/>
          <w:kern w:val="21"/>
          <w:sz w:val="24"/>
          <w:lang w:val="en-US"/>
        </w:rPr>
        <w:t>豫发改工业〔2010〕2077号；《河南省获嘉县产业集聚区发展规划环境影响报告书》已通过河南省环保厅审查，批复文号为</w:t>
      </w:r>
      <w:r>
        <w:rPr>
          <w:rFonts w:hint="eastAsia"/>
          <w:bCs/>
          <w:color w:val="auto"/>
          <w:kern w:val="21"/>
          <w:sz w:val="24"/>
          <w:lang w:val="en-US"/>
        </w:rPr>
        <w:t>：</w:t>
      </w:r>
      <w:r>
        <w:rPr>
          <w:bCs/>
          <w:color w:val="auto"/>
          <w:kern w:val="21"/>
          <w:sz w:val="24"/>
          <w:lang w:val="en-US"/>
        </w:rPr>
        <w:t>豫环审〔2010〕283号。</w:t>
      </w:r>
    </w:p>
    <w:p>
      <w:pPr>
        <w:pStyle w:val="32"/>
        <w:adjustRightInd w:val="0"/>
        <w:snapToGrid w:val="0"/>
        <w:spacing w:after="0" w:line="360" w:lineRule="auto"/>
        <w:ind w:firstLine="480" w:firstLineChars="200"/>
        <w:rPr>
          <w:bCs/>
          <w:color w:val="auto"/>
          <w:kern w:val="21"/>
          <w:sz w:val="24"/>
          <w:lang w:val="en-US"/>
        </w:rPr>
      </w:pPr>
      <w:r>
        <w:rPr>
          <w:bCs/>
          <w:color w:val="auto"/>
          <w:kern w:val="21"/>
          <w:sz w:val="24"/>
          <w:lang w:val="en-US"/>
        </w:rPr>
        <w:t>根据《河南省发展和改革委员会关于获嘉县产业集聚区总体发展规划的批复》（豫发改工业〔201</w:t>
      </w:r>
      <w:r>
        <w:rPr>
          <w:rFonts w:hint="eastAsia"/>
          <w:bCs/>
          <w:color w:val="auto"/>
          <w:kern w:val="21"/>
          <w:sz w:val="24"/>
          <w:lang w:val="en-US"/>
        </w:rPr>
        <w:t>6</w:t>
      </w:r>
      <w:r>
        <w:rPr>
          <w:bCs/>
          <w:color w:val="auto"/>
          <w:kern w:val="21"/>
          <w:sz w:val="24"/>
          <w:lang w:val="en-US"/>
        </w:rPr>
        <w:t>〕594号），同意《获嘉县产业集聚区总体发展规划（2016-2020）调整方案》组织实施，《河南省发展和改革委员会关于获嘉县产业集聚区总体发展规划（2009-2020）的批复》（豫发改工业〔201</w:t>
      </w:r>
      <w:r>
        <w:rPr>
          <w:rFonts w:hint="eastAsia"/>
          <w:bCs/>
          <w:color w:val="auto"/>
          <w:kern w:val="21"/>
          <w:sz w:val="24"/>
          <w:lang w:val="en-US"/>
        </w:rPr>
        <w:t>0</w:t>
      </w:r>
      <w:r>
        <w:rPr>
          <w:bCs/>
          <w:color w:val="auto"/>
          <w:kern w:val="21"/>
          <w:sz w:val="24"/>
          <w:lang w:val="en-US"/>
        </w:rPr>
        <w:t>〕2077号）废止；《获嘉县产业集聚区总体发展规划（2016-2020）调整方案环境影响报告书》经河南省生态环境厅审查</w:t>
      </w:r>
      <w:r>
        <w:rPr>
          <w:rFonts w:hint="eastAsia"/>
          <w:bCs/>
          <w:color w:val="auto"/>
          <w:kern w:val="21"/>
          <w:sz w:val="24"/>
          <w:lang w:val="en-US"/>
        </w:rPr>
        <w:t>，审查意见</w:t>
      </w:r>
      <w:r>
        <w:rPr>
          <w:bCs/>
          <w:color w:val="auto"/>
          <w:kern w:val="21"/>
          <w:sz w:val="24"/>
          <w:lang w:val="en-US"/>
        </w:rPr>
        <w:t>文号</w:t>
      </w:r>
      <w:r>
        <w:rPr>
          <w:rFonts w:hint="eastAsia"/>
          <w:bCs/>
          <w:color w:val="auto"/>
          <w:kern w:val="21"/>
          <w:sz w:val="24"/>
          <w:lang w:val="en-US"/>
        </w:rPr>
        <w:t>：豫环函[2019]53号。</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根据</w:t>
      </w:r>
      <w:r>
        <w:rPr>
          <w:bCs/>
          <w:color w:val="auto"/>
          <w:kern w:val="21"/>
          <w:sz w:val="24"/>
          <w:lang w:val="en-US"/>
        </w:rPr>
        <w:t>《获嘉县产业集聚区总体发展规划（2016-2020）调整方案》，规划概况如下：</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（一）集聚区组成：</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调整后的获嘉县产业集聚区分为两个片区：一是北区（主导产业为化学工业和机械制造，即原获嘉县产业集聚区），位于获嘉县城东部和南部；二是南区（主导产业为现代家居，即原亢村工业园），位于亢村镇区南部。</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（二）集聚区位置及规划范围：</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按照获嘉县城市总体规划，产业集聚区位于县城城区南部，分南、北两区，规划面积15.99平方公里（建成区7.44平方公里、发展区4.97平方公里、控制区3.58平方公里）。北区东至东二路、西至信义路、南至仁爱路、北至新焦公路，规划面积10.04平方公里（建成区2.89平方公里、发展区3.57平方公里、控制区3.58平方公里）；南区东至东外环、西至西外环、南至纬九路、北至京广铁路，规划面积5.95平方公里（建成区4.55平方公里、发展区1.40平方公里）。</w:t>
      </w:r>
    </w:p>
    <w:p>
      <w:pPr>
        <w:pStyle w:val="32"/>
        <w:adjustRightInd w:val="0"/>
        <w:snapToGrid w:val="0"/>
        <w:spacing w:after="0" w:line="480" w:lineRule="exact"/>
        <w:ind w:firstLine="480" w:firstLineChars="200"/>
        <w:rPr>
          <w:bCs/>
          <w:color w:val="auto"/>
          <w:kern w:val="21"/>
          <w:sz w:val="24"/>
          <w:lang w:val="en-US"/>
        </w:rPr>
      </w:pPr>
      <w:bookmarkStart w:id="120" w:name="_Toc508096629"/>
      <w:bookmarkStart w:id="121" w:name="_Toc508551565"/>
      <w:r>
        <w:rPr>
          <w:rFonts w:hint="eastAsia"/>
          <w:bCs/>
          <w:color w:val="auto"/>
          <w:kern w:val="21"/>
          <w:sz w:val="24"/>
          <w:lang w:val="en-US"/>
        </w:rPr>
        <w:t>（三）规划年限</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2016~2020 年。</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（四）集聚区发展定位</w:t>
      </w:r>
      <w:bookmarkEnd w:id="120"/>
      <w:bookmarkEnd w:id="121"/>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北区主要发展新型建材、南区主要发展现代家居，配套产业为电子商务、现代物流、机械制造、食品加工，形成“一区两部，南北齐飞，产廊联动，全域一体”的产业空间总体布局，规划到2020年主营业收入达到300亿元，其中新型建材和现代家居产业规模集群规模分别超过100亿元</w:t>
      </w:r>
      <w:r>
        <w:rPr>
          <w:rFonts w:hint="eastAsia"/>
          <w:bCs/>
          <w:color w:val="auto"/>
          <w:kern w:val="21"/>
          <w:sz w:val="24"/>
          <w:lang w:val="en-US"/>
        </w:rPr>
        <w:t>。</w:t>
      </w:r>
    </w:p>
    <w:p>
      <w:pPr>
        <w:pStyle w:val="32"/>
        <w:adjustRightInd w:val="0"/>
        <w:snapToGrid w:val="0"/>
        <w:spacing w:after="0" w:line="480" w:lineRule="exact"/>
        <w:ind w:firstLine="480" w:firstLineChars="200"/>
        <w:rPr>
          <w:bCs/>
          <w:color w:val="auto"/>
          <w:kern w:val="21"/>
          <w:sz w:val="24"/>
          <w:lang w:val="en-US"/>
        </w:rPr>
      </w:pPr>
      <w:bookmarkStart w:id="122" w:name="_Toc508096630"/>
      <w:bookmarkStart w:id="123" w:name="_Toc508551566"/>
      <w:r>
        <w:rPr>
          <w:rFonts w:hint="eastAsia"/>
          <w:bCs/>
          <w:color w:val="auto"/>
          <w:kern w:val="21"/>
          <w:sz w:val="24"/>
          <w:lang w:val="en-US"/>
        </w:rPr>
        <w:t>（五）集聚区主导产业</w:t>
      </w:r>
      <w:bookmarkEnd w:id="122"/>
      <w:bookmarkEnd w:id="123"/>
    </w:p>
    <w:p>
      <w:pPr>
        <w:pStyle w:val="32"/>
        <w:adjustRightInd w:val="0"/>
        <w:snapToGrid w:val="0"/>
        <w:spacing w:after="0" w:line="480" w:lineRule="exact"/>
        <w:ind w:firstLine="480" w:firstLineChars="200"/>
        <w:rPr>
          <w:bCs/>
          <w:color w:val="auto"/>
          <w:kern w:val="21"/>
          <w:sz w:val="24"/>
          <w:lang w:val="en-US"/>
        </w:rPr>
      </w:pPr>
      <w:bookmarkStart w:id="124" w:name="_Toc508551567"/>
      <w:bookmarkStart w:id="125" w:name="_Toc508096631"/>
      <w:r>
        <w:rPr>
          <w:bCs/>
          <w:color w:val="auto"/>
          <w:kern w:val="21"/>
          <w:sz w:val="24"/>
          <w:lang w:val="en-US"/>
        </w:rPr>
        <w:t>北区主导产业为化学工业和机械制造，南区主导产业为现代家居</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（六）集聚区产业空间布局</w:t>
      </w:r>
      <w:bookmarkEnd w:id="124"/>
      <w:bookmarkEnd w:id="125"/>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（1）集聚区的布局结构</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按照五规合一、四集一转、产城互动的要求，北区以凤凰大道和新获路为发展轴，规划建设城南商贸服务和新型建材、城东商贸服务和城东机械制造等功能园区，形成“两轴四园”的空间结构；南区以薄口公路为发展轴，规划建设现代家居和配套服务等功能园区，形成“一轴两园”的空间结构（附图七）。</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（2）发展目标</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利用现状雄厚的资源禀赋和工业基础，整合资源，统筹城乡，区域协调主导产业，加快产业转型与产业结构调整，建设中原地区化工产业基地和中原机械装备制造基地为新乡市西部工业未形成奠定基础，成为新乡市西部产业强有力的支撑。</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（七）用地规划布局</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依据获嘉县产业集聚区主导产业特点，北区城南片区工业用地主要以二类工业用地和三类工业用地为主，三类工业用地主要分布在铁路专线以东、华龙街以西区域，二类工业用地分布于行政大道以西、三类工业两侧；北区城东片区全部为二类工业用地。</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本</w:t>
      </w:r>
      <w:r>
        <w:rPr>
          <w:rFonts w:hint="eastAsia"/>
          <w:bCs/>
          <w:color w:val="auto"/>
          <w:kern w:val="21"/>
          <w:sz w:val="24"/>
          <w:lang w:val="en-US" w:eastAsia="zh-CN"/>
        </w:rPr>
        <w:t>项目</w:t>
      </w:r>
      <w:r>
        <w:rPr>
          <w:rFonts w:hint="eastAsia"/>
          <w:bCs/>
          <w:color w:val="auto"/>
          <w:kern w:val="21"/>
          <w:sz w:val="24"/>
          <w:lang w:val="en-US"/>
        </w:rPr>
        <w:t>位于北区城东片区二类工业用地，符合集聚区用地规划布局。</w:t>
      </w:r>
    </w:p>
    <w:p>
      <w:pPr>
        <w:pStyle w:val="32"/>
        <w:adjustRightInd w:val="0"/>
        <w:snapToGrid w:val="0"/>
        <w:spacing w:after="0" w:line="480" w:lineRule="exact"/>
        <w:ind w:firstLine="480" w:firstLineChars="200"/>
        <w:rPr>
          <w:bCs/>
          <w:color w:val="auto"/>
          <w:kern w:val="21"/>
          <w:sz w:val="24"/>
          <w:lang w:val="en-US"/>
        </w:rPr>
      </w:pPr>
      <w:bookmarkStart w:id="126" w:name="_Toc508551568"/>
      <w:bookmarkStart w:id="127" w:name="_Toc508096632"/>
      <w:r>
        <w:rPr>
          <w:rFonts w:hint="eastAsia"/>
          <w:bCs/>
          <w:color w:val="auto"/>
          <w:kern w:val="21"/>
          <w:sz w:val="24"/>
          <w:lang w:val="en-US"/>
        </w:rPr>
        <w:t>（八）市政基础设施规划</w:t>
      </w:r>
      <w:bookmarkEnd w:id="126"/>
      <w:bookmarkEnd w:id="127"/>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本次评价主要介绍与环保相关的给水工程、污水工程、供电工程、燃气工程、环卫工程和供热工程。</w:t>
      </w:r>
    </w:p>
    <w:p>
      <w:pPr>
        <w:pStyle w:val="32"/>
        <w:adjustRightInd w:val="0"/>
        <w:snapToGrid w:val="0"/>
        <w:spacing w:after="0" w:line="480" w:lineRule="exact"/>
        <w:ind w:firstLine="480" w:firstLineChars="200"/>
        <w:rPr>
          <w:bCs/>
          <w:color w:val="auto"/>
          <w:kern w:val="21"/>
          <w:sz w:val="24"/>
          <w:lang w:val="en-US"/>
        </w:rPr>
      </w:pPr>
      <w:bookmarkStart w:id="128" w:name="_Toc508551569"/>
      <w:bookmarkStart w:id="129" w:name="_Toc508096633"/>
      <w:r>
        <w:rPr>
          <w:rFonts w:hint="eastAsia"/>
          <w:bCs/>
          <w:color w:val="auto"/>
          <w:kern w:val="21"/>
          <w:sz w:val="24"/>
          <w:lang w:val="en-US"/>
        </w:rPr>
        <w:t>（1）给水工程规划</w:t>
      </w:r>
      <w:bookmarkEnd w:id="128"/>
      <w:bookmarkEnd w:id="129"/>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北区城南片区以地下水作为主水源，生活用水与城区对接、采用城区现状水厂供水，工业用水以引黄调蓄水为主（中新化工和金天化工），规划在城南区片外西北部建设</w:t>
      </w:r>
      <w:r>
        <w:rPr>
          <w:rFonts w:hint="eastAsia"/>
          <w:bCs/>
          <w:color w:val="auto"/>
          <w:kern w:val="21"/>
          <w:sz w:val="24"/>
          <w:lang w:val="en-US"/>
        </w:rPr>
        <w:t>1</w:t>
      </w:r>
      <w:r>
        <w:rPr>
          <w:bCs/>
          <w:color w:val="auto"/>
          <w:kern w:val="21"/>
          <w:sz w:val="24"/>
          <w:lang w:val="en-US"/>
        </w:rPr>
        <w:t>座专用工业水厂、供水规模为</w:t>
      </w:r>
      <w:r>
        <w:rPr>
          <w:rFonts w:hint="eastAsia"/>
          <w:bCs/>
          <w:color w:val="auto"/>
          <w:kern w:val="21"/>
          <w:sz w:val="24"/>
          <w:lang w:val="en-US"/>
        </w:rPr>
        <w:t>10</w:t>
      </w:r>
      <w:r>
        <w:rPr>
          <w:bCs/>
          <w:color w:val="auto"/>
          <w:kern w:val="21"/>
          <w:sz w:val="24"/>
          <w:lang w:val="en-US"/>
        </w:rPr>
        <w:t>万 m</w:t>
      </w:r>
      <w:r>
        <w:rPr>
          <w:rFonts w:hint="eastAsia"/>
          <w:bCs/>
          <w:color w:val="auto"/>
          <w:kern w:val="21"/>
          <w:sz w:val="24"/>
          <w:vertAlign w:val="superscript"/>
          <w:lang w:val="en-US"/>
        </w:rPr>
        <w:t>3</w:t>
      </w:r>
      <w:r>
        <w:rPr>
          <w:bCs/>
          <w:color w:val="auto"/>
          <w:kern w:val="21"/>
          <w:sz w:val="24"/>
          <w:lang w:val="en-US"/>
        </w:rPr>
        <w:t>/d。北区城南片区除凤凰大道、行政大街和薄口公路有生活用水管网，水源来自主城区水厂，管径为150或200mm。其余大部分地区无公共供水设施及市政给水管网，其中用水量较大的企业金天化工用水量为2万m</w:t>
      </w:r>
      <w:r>
        <w:rPr>
          <w:bCs/>
          <w:color w:val="auto"/>
          <w:kern w:val="21"/>
          <w:sz w:val="24"/>
          <w:vertAlign w:val="superscript"/>
          <w:lang w:val="en-US"/>
        </w:rPr>
        <w:t>3</w:t>
      </w:r>
      <w:r>
        <w:rPr>
          <w:bCs/>
          <w:color w:val="auto"/>
          <w:kern w:val="21"/>
          <w:sz w:val="24"/>
          <w:lang w:val="en-US"/>
        </w:rPr>
        <w:t>/d、中新化工用水量</w:t>
      </w:r>
      <w:r>
        <w:rPr>
          <w:rFonts w:hint="eastAsia"/>
          <w:bCs/>
          <w:color w:val="auto"/>
          <w:kern w:val="21"/>
          <w:sz w:val="24"/>
          <w:lang w:val="en-US"/>
        </w:rPr>
        <w:t>3</w:t>
      </w:r>
      <w:r>
        <w:rPr>
          <w:bCs/>
          <w:color w:val="auto"/>
          <w:kern w:val="21"/>
          <w:sz w:val="24"/>
          <w:lang w:val="en-US"/>
        </w:rPr>
        <w:t>万m</w:t>
      </w:r>
      <w:r>
        <w:rPr>
          <w:bCs/>
          <w:color w:val="auto"/>
          <w:kern w:val="21"/>
          <w:sz w:val="24"/>
          <w:vertAlign w:val="superscript"/>
          <w:lang w:val="en-US"/>
        </w:rPr>
        <w:t>3</w:t>
      </w:r>
      <w:r>
        <w:rPr>
          <w:bCs/>
          <w:color w:val="auto"/>
          <w:kern w:val="21"/>
          <w:sz w:val="24"/>
          <w:lang w:val="en-US"/>
        </w:rPr>
        <w:t xml:space="preserve"> /d，水源主要来自县城西部的引黄调水。</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北区城东东片区生活区和工业水源仍采用东区水厂，规划保留现状水厂，并对水厂进行扩建。</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本项目位于城东片区，所需水源依托集聚区，由集聚区统一供给。</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（2）污水工程规划</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获嘉县产业集聚区排水工程规划采用雨污分流的排水体制。</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城南片区废水进入现有获嘉县香山家园污水处理厂进行处理，该污水处理厂设计处理污水能力1万m</w:t>
      </w:r>
      <w:r>
        <w:rPr>
          <w:bCs/>
          <w:color w:val="auto"/>
          <w:kern w:val="21"/>
          <w:sz w:val="24"/>
          <w:vertAlign w:val="superscript"/>
          <w:lang w:val="en-US"/>
        </w:rPr>
        <w:t>3</w:t>
      </w:r>
      <w:r>
        <w:rPr>
          <w:bCs/>
          <w:color w:val="auto"/>
          <w:kern w:val="21"/>
          <w:sz w:val="24"/>
          <w:lang w:val="en-US"/>
        </w:rPr>
        <w:t xml:space="preserve"> /d、目前实际处理规模约0.8万m</w:t>
      </w:r>
      <w:r>
        <w:rPr>
          <w:bCs/>
          <w:color w:val="auto"/>
          <w:kern w:val="21"/>
          <w:sz w:val="24"/>
          <w:vertAlign w:val="superscript"/>
          <w:lang w:val="en-US"/>
        </w:rPr>
        <w:t>3</w:t>
      </w:r>
      <w:r>
        <w:rPr>
          <w:bCs/>
          <w:color w:val="auto"/>
          <w:kern w:val="21"/>
          <w:sz w:val="24"/>
          <w:lang w:val="en-US"/>
        </w:rPr>
        <w:t xml:space="preserve"> /d。 获嘉县产业集聚区香山家园污水处理厂已于2016年</w:t>
      </w:r>
      <w:r>
        <w:rPr>
          <w:rFonts w:hint="eastAsia"/>
          <w:bCs/>
          <w:color w:val="auto"/>
          <w:kern w:val="21"/>
          <w:sz w:val="24"/>
          <w:lang w:val="en-US"/>
        </w:rPr>
        <w:t>1</w:t>
      </w:r>
      <w:r>
        <w:rPr>
          <w:bCs/>
          <w:color w:val="auto"/>
          <w:kern w:val="21"/>
          <w:sz w:val="24"/>
          <w:lang w:val="en-US"/>
        </w:rPr>
        <w:t>月</w:t>
      </w:r>
      <w:r>
        <w:rPr>
          <w:rFonts w:hint="eastAsia"/>
          <w:bCs/>
          <w:color w:val="auto"/>
          <w:kern w:val="21"/>
          <w:sz w:val="24"/>
          <w:lang w:val="en-US"/>
        </w:rPr>
        <w:t>1</w:t>
      </w:r>
      <w:r>
        <w:rPr>
          <w:bCs/>
          <w:color w:val="auto"/>
          <w:kern w:val="21"/>
          <w:sz w:val="24"/>
          <w:lang w:val="en-US"/>
        </w:rPr>
        <w:t>日正式投入运行， 目前污水处理厂实际收水量为0.8万m</w:t>
      </w:r>
      <w:r>
        <w:rPr>
          <w:bCs/>
          <w:color w:val="auto"/>
          <w:kern w:val="21"/>
          <w:sz w:val="24"/>
          <w:vertAlign w:val="superscript"/>
          <w:lang w:val="en-US"/>
        </w:rPr>
        <w:t>3</w:t>
      </w:r>
      <w:r>
        <w:rPr>
          <w:bCs/>
          <w:color w:val="auto"/>
          <w:kern w:val="21"/>
          <w:sz w:val="24"/>
          <w:lang w:val="en-US"/>
        </w:rPr>
        <w:t>/d 左右，目前剩余处理能力为0.2万m</w:t>
      </w:r>
      <w:r>
        <w:rPr>
          <w:bCs/>
          <w:color w:val="auto"/>
          <w:kern w:val="21"/>
          <w:sz w:val="24"/>
          <w:vertAlign w:val="superscript"/>
          <w:lang w:val="en-US"/>
        </w:rPr>
        <w:t>3</w:t>
      </w:r>
      <w:r>
        <w:rPr>
          <w:bCs/>
          <w:color w:val="auto"/>
          <w:kern w:val="21"/>
          <w:sz w:val="24"/>
          <w:lang w:val="en-US"/>
        </w:rPr>
        <w:t>/d。</w:t>
      </w:r>
    </w:p>
    <w:p>
      <w:pPr>
        <w:pStyle w:val="32"/>
        <w:adjustRightInd w:val="0"/>
        <w:snapToGrid w:val="0"/>
        <w:spacing w:after="0" w:line="480" w:lineRule="exact"/>
        <w:ind w:firstLine="482" w:firstLineChars="200"/>
        <w:rPr>
          <w:bCs/>
          <w:color w:val="auto"/>
          <w:kern w:val="21"/>
          <w:sz w:val="24"/>
          <w:lang w:val="en-US"/>
        </w:rPr>
      </w:pPr>
      <w:r>
        <w:rPr>
          <w:rFonts w:hint="eastAsia"/>
          <w:b/>
          <w:bCs w:val="0"/>
          <w:color w:val="auto"/>
          <w:kern w:val="21"/>
          <w:sz w:val="24"/>
          <w:u w:val="single"/>
          <w:lang w:val="en-US"/>
        </w:rPr>
        <w:t>城东片区新获路以北有现状污水处理厂1座，</w:t>
      </w:r>
      <w:r>
        <w:rPr>
          <w:rFonts w:hint="eastAsia"/>
          <w:b/>
          <w:bCs w:val="0"/>
          <w:color w:val="auto"/>
          <w:kern w:val="21"/>
          <w:sz w:val="24"/>
          <w:u w:val="single"/>
          <w:lang w:val="en-US" w:eastAsia="zh-CN"/>
        </w:rPr>
        <w:t>即</w:t>
      </w:r>
      <w:r>
        <w:rPr>
          <w:rFonts w:hint="eastAsia"/>
          <w:b/>
          <w:bCs w:val="0"/>
          <w:color w:val="auto"/>
          <w:kern w:val="21"/>
          <w:sz w:val="24"/>
          <w:u w:val="single"/>
          <w:lang w:val="en-US"/>
        </w:rPr>
        <w:t>获嘉县同盟污水处理厂，处理主城区的生活污水和工业区内生活区的生活污水</w:t>
      </w:r>
      <w:r>
        <w:rPr>
          <w:rFonts w:hint="eastAsia"/>
          <w:b/>
          <w:bCs w:val="0"/>
          <w:color w:val="auto"/>
          <w:kern w:val="21"/>
          <w:sz w:val="24"/>
          <w:u w:val="single"/>
          <w:lang w:val="en-US" w:eastAsia="zh-CN"/>
        </w:rPr>
        <w:t>及工业废水</w:t>
      </w:r>
      <w:r>
        <w:rPr>
          <w:rFonts w:hint="eastAsia"/>
          <w:bCs/>
          <w:color w:val="auto"/>
          <w:kern w:val="21"/>
          <w:sz w:val="24"/>
          <w:lang w:val="en-US"/>
        </w:rPr>
        <w:t>，污水处理能力为3万m</w:t>
      </w:r>
      <w:r>
        <w:rPr>
          <w:rFonts w:hint="eastAsia"/>
          <w:bCs/>
          <w:color w:val="auto"/>
          <w:kern w:val="21"/>
          <w:sz w:val="24"/>
          <w:vertAlign w:val="superscript"/>
          <w:lang w:val="en-US"/>
        </w:rPr>
        <w:t>3</w:t>
      </w:r>
      <w:r>
        <w:rPr>
          <w:rFonts w:hint="eastAsia"/>
          <w:bCs/>
          <w:color w:val="auto"/>
          <w:kern w:val="21"/>
          <w:sz w:val="24"/>
          <w:lang w:val="en-US"/>
        </w:rPr>
        <w:t>/d，总占地面积2.89公顷，规划远期扩建城市污水处理厂，处理能力增加到7.5万m</w:t>
      </w:r>
      <w:r>
        <w:rPr>
          <w:rFonts w:hint="eastAsia"/>
          <w:bCs/>
          <w:color w:val="auto"/>
          <w:kern w:val="21"/>
          <w:sz w:val="24"/>
          <w:vertAlign w:val="superscript"/>
          <w:lang w:val="en-US"/>
        </w:rPr>
        <w:t>3</w:t>
      </w:r>
      <w:r>
        <w:rPr>
          <w:rFonts w:hint="eastAsia"/>
          <w:bCs/>
          <w:color w:val="auto"/>
          <w:kern w:val="21"/>
          <w:sz w:val="24"/>
          <w:lang w:val="en-US"/>
        </w:rPr>
        <w:t>/d，扩建后占地10.65公顷。新获路以南新建1座集聚区污水处理厂，位于西三路以东、梧桐路以北区域，收集处理城东片区的工业废水，近期日处理污水能力1万m</w:t>
      </w:r>
      <w:r>
        <w:rPr>
          <w:rFonts w:hint="eastAsia"/>
          <w:bCs/>
          <w:color w:val="auto"/>
          <w:kern w:val="21"/>
          <w:sz w:val="24"/>
          <w:vertAlign w:val="superscript"/>
          <w:lang w:val="en-US"/>
        </w:rPr>
        <w:t>3</w:t>
      </w:r>
      <w:r>
        <w:rPr>
          <w:rFonts w:hint="eastAsia"/>
          <w:bCs/>
          <w:color w:val="auto"/>
          <w:kern w:val="21"/>
          <w:sz w:val="24"/>
          <w:lang w:val="en-US"/>
        </w:rPr>
        <w:t>/d，远期日处理能力达到1.5万m</w:t>
      </w:r>
      <w:r>
        <w:rPr>
          <w:rFonts w:hint="eastAsia"/>
          <w:bCs/>
          <w:color w:val="auto"/>
          <w:kern w:val="21"/>
          <w:sz w:val="24"/>
          <w:vertAlign w:val="superscript"/>
          <w:lang w:val="en-US"/>
        </w:rPr>
        <w:t>3</w:t>
      </w:r>
      <w:r>
        <w:rPr>
          <w:rFonts w:hint="eastAsia"/>
          <w:bCs/>
          <w:color w:val="auto"/>
          <w:kern w:val="21"/>
          <w:sz w:val="24"/>
          <w:lang w:val="en-US"/>
        </w:rPr>
        <w:t>/d，占地面积2.33公顷。</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本项目</w:t>
      </w:r>
      <w:r>
        <w:rPr>
          <w:rFonts w:hint="eastAsia"/>
          <w:bCs/>
          <w:color w:val="auto"/>
          <w:kern w:val="21"/>
          <w:sz w:val="24"/>
          <w:lang w:val="en-US" w:eastAsia="zh-CN"/>
        </w:rPr>
        <w:t>涉重废水经厂区污水处理站处理后全部回用，不外排。外排废水主要为锅炉浓水、软水制备浓水和生活污水，外排废水通过厂区总排口，经市政管网排入</w:t>
      </w:r>
      <w:r>
        <w:rPr>
          <w:rFonts w:hint="eastAsia"/>
          <w:bCs/>
          <w:color w:val="auto"/>
          <w:kern w:val="21"/>
          <w:sz w:val="24"/>
          <w:lang w:val="en-US"/>
        </w:rPr>
        <w:t>同盟污水处理厂处理，最终排入共产主义渠。</w:t>
      </w:r>
    </w:p>
    <w:p>
      <w:pPr>
        <w:pStyle w:val="32"/>
        <w:adjustRightInd w:val="0"/>
        <w:snapToGrid w:val="0"/>
        <w:spacing w:after="0" w:line="480" w:lineRule="exact"/>
        <w:ind w:firstLine="480" w:firstLineChars="200"/>
        <w:rPr>
          <w:bCs/>
          <w:color w:val="auto"/>
          <w:kern w:val="21"/>
          <w:sz w:val="24"/>
          <w:lang w:val="en-US"/>
        </w:rPr>
      </w:pPr>
      <w:bookmarkStart w:id="130" w:name="_Toc508096634"/>
      <w:bookmarkStart w:id="131" w:name="_Toc508551570"/>
      <w:r>
        <w:rPr>
          <w:rFonts w:hint="eastAsia"/>
          <w:bCs/>
          <w:color w:val="auto"/>
          <w:kern w:val="21"/>
          <w:sz w:val="24"/>
          <w:lang w:val="en-US"/>
        </w:rPr>
        <w:t>（3）供电工程规划</w:t>
      </w:r>
      <w:bookmarkEnd w:id="130"/>
      <w:bookmarkEnd w:id="131"/>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根据规划文本，规划区内用电负荷约为10.8万</w:t>
      </w:r>
      <w:r>
        <w:rPr>
          <w:rFonts w:hint="eastAsia"/>
          <w:bCs/>
          <w:color w:val="auto"/>
          <w:kern w:val="21"/>
          <w:sz w:val="24"/>
          <w:lang w:val="en-US" w:eastAsia="zh-CN"/>
        </w:rPr>
        <w:t>kW</w:t>
      </w:r>
      <w:r>
        <w:rPr>
          <w:rFonts w:hint="eastAsia"/>
          <w:bCs/>
          <w:color w:val="auto"/>
          <w:kern w:val="21"/>
          <w:sz w:val="24"/>
          <w:lang w:val="en-US"/>
        </w:rPr>
        <w:t>。本次规划4座变电站，其中3座为保留扩建，1座为新建变电站。开贺变、永安变和武王变为保留变电站，将武王变电站增容扩建，主变容量为1×50MVA。新建110KVA用户变电站1座，与煤化工基地热电中心配套，主变容量为3×63MVA。</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本项目所需供电依托集聚区，由集聚区统一供给。</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（4）供热规划</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 xml:space="preserve">供热热源：根据规划，产业集聚区规划总热力负荷为25.29万 </w:t>
      </w:r>
      <w:r>
        <w:rPr>
          <w:rFonts w:hint="eastAsia"/>
          <w:bCs/>
          <w:color w:val="auto"/>
          <w:kern w:val="21"/>
          <w:sz w:val="24"/>
          <w:lang w:val="en-US" w:eastAsia="zh-CN"/>
        </w:rPr>
        <w:t>kW</w:t>
      </w:r>
      <w:r>
        <w:rPr>
          <w:bCs/>
          <w:color w:val="auto"/>
          <w:kern w:val="21"/>
          <w:sz w:val="24"/>
          <w:lang w:val="en-US"/>
        </w:rPr>
        <w:t xml:space="preserve">。其中北区热力负荷15.57万 </w:t>
      </w:r>
      <w:r>
        <w:rPr>
          <w:rFonts w:hint="eastAsia"/>
          <w:bCs/>
          <w:color w:val="auto"/>
          <w:kern w:val="21"/>
          <w:sz w:val="24"/>
          <w:lang w:val="en-US" w:eastAsia="zh-CN"/>
        </w:rPr>
        <w:t>kW</w:t>
      </w:r>
      <w:r>
        <w:rPr>
          <w:bCs/>
          <w:color w:val="auto"/>
          <w:kern w:val="21"/>
          <w:sz w:val="24"/>
          <w:lang w:val="en-US"/>
        </w:rPr>
        <w:t>，规划利用现有中新化工和金天化工的</w:t>
      </w:r>
      <w:r>
        <w:rPr>
          <w:rFonts w:hint="eastAsia"/>
          <w:bCs/>
          <w:color w:val="auto"/>
          <w:kern w:val="21"/>
          <w:sz w:val="24"/>
          <w:lang w:val="en-US" w:eastAsia="zh-CN"/>
        </w:rPr>
        <w:t>富余</w:t>
      </w:r>
      <w:r>
        <w:rPr>
          <w:bCs/>
          <w:color w:val="auto"/>
          <w:kern w:val="21"/>
          <w:sz w:val="24"/>
          <w:lang w:val="en-US"/>
        </w:rPr>
        <w:t>蒸汽和工业余热（同时为产业集聚区北区以及获嘉县城供热），规划在产业集聚区北区城南片区设置</w:t>
      </w:r>
      <w:r>
        <w:rPr>
          <w:rFonts w:hint="eastAsia"/>
          <w:bCs/>
          <w:color w:val="auto"/>
          <w:kern w:val="21"/>
          <w:sz w:val="24"/>
          <w:lang w:val="en-US"/>
        </w:rPr>
        <w:t>5</w:t>
      </w:r>
      <w:r>
        <w:rPr>
          <w:bCs/>
          <w:color w:val="auto"/>
          <w:kern w:val="21"/>
          <w:sz w:val="24"/>
          <w:lang w:val="en-US"/>
        </w:rPr>
        <w:t>个热交换站、北区城东片区设置</w:t>
      </w:r>
      <w:r>
        <w:rPr>
          <w:rFonts w:hint="eastAsia"/>
          <w:bCs/>
          <w:color w:val="auto"/>
          <w:kern w:val="21"/>
          <w:sz w:val="24"/>
          <w:lang w:val="en-US"/>
        </w:rPr>
        <w:t>3</w:t>
      </w:r>
      <w:r>
        <w:rPr>
          <w:bCs/>
          <w:color w:val="auto"/>
          <w:kern w:val="21"/>
          <w:sz w:val="24"/>
          <w:lang w:val="en-US"/>
        </w:rPr>
        <w:t>个热交换站。</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供热现状：目前除科邦化工利用中新化工锅炉</w:t>
      </w:r>
      <w:r>
        <w:rPr>
          <w:rFonts w:hint="eastAsia"/>
          <w:bCs/>
          <w:color w:val="auto"/>
          <w:kern w:val="21"/>
          <w:sz w:val="24"/>
          <w:lang w:val="en-US" w:eastAsia="zh-CN"/>
        </w:rPr>
        <w:t>富余</w:t>
      </w:r>
      <w:r>
        <w:rPr>
          <w:bCs/>
          <w:color w:val="auto"/>
          <w:kern w:val="21"/>
          <w:sz w:val="24"/>
          <w:lang w:val="en-US"/>
        </w:rPr>
        <w:t>蒸汽供热外，中新化工工业循环水为居民供热工程正在建设，即获嘉县产业集聚区尚未实现集中供热，目前部分工业生产用热及部分企事业单位、机关、公共设施的采暖均采用分散锅炉自供，无集中供热设施；产业集聚区南区工业企业用热需求很少、尚无规模化供热设施。</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本项目位于城东片区，片区尚未完成集中供热，厂区采用燃气锅炉供热，用于生产。</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（5）燃气规划</w:t>
      </w:r>
    </w:p>
    <w:p>
      <w:pPr>
        <w:pStyle w:val="32"/>
        <w:adjustRightInd w:val="0"/>
        <w:snapToGrid w:val="0"/>
        <w:spacing w:after="0" w:line="480" w:lineRule="exact"/>
        <w:ind w:firstLine="480" w:firstLineChars="200"/>
        <w:rPr>
          <w:bCs/>
          <w:color w:val="auto"/>
          <w:kern w:val="21"/>
          <w:sz w:val="24"/>
          <w:lang w:val="en-US"/>
        </w:rPr>
      </w:pPr>
      <w:r>
        <w:rPr>
          <w:bCs/>
          <w:color w:val="auto"/>
          <w:kern w:val="21"/>
          <w:sz w:val="24"/>
          <w:lang w:val="en-US"/>
        </w:rPr>
        <w:t>气源：国家投资建设的西气东输输气管线工程途经获嘉县，为集聚区提供可靠的供气气源。规划确定获嘉县气源采用西气东输一线天然气和西气东输二线天然气。燃气管网规划：规划城南片区燃气接入管网由城区新华街和中山路一级输气管网引入，城东片区由城区S308新获快速公路一级输气管网引入，在区内各自形成环状管网系统、管径DN200，再由配气管网 DN150 送至用户，最后经箱式调压器调至低压后送入户内管道。</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本项目所在区域已铺设燃气管网，能够正常供应天然气。</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（九）环境保护规划</w:t>
      </w:r>
    </w:p>
    <w:p>
      <w:pPr>
        <w:pStyle w:val="32"/>
        <w:adjustRightInd w:val="0"/>
        <w:snapToGrid w:val="0"/>
        <w:spacing w:after="0" w:line="480" w:lineRule="exact"/>
        <w:ind w:firstLine="480" w:firstLineChars="200"/>
        <w:rPr>
          <w:bCs/>
          <w:color w:val="auto"/>
          <w:kern w:val="21"/>
          <w:sz w:val="24"/>
          <w:lang w:val="en-US"/>
        </w:rPr>
      </w:pPr>
      <w:bookmarkStart w:id="132" w:name="_Toc508096638"/>
      <w:bookmarkStart w:id="133" w:name="_Toc509935457"/>
      <w:bookmarkStart w:id="134" w:name="_Toc516492294"/>
      <w:bookmarkStart w:id="135" w:name="_Toc508551574"/>
      <w:r>
        <w:rPr>
          <w:rFonts w:hint="eastAsia"/>
          <w:bCs/>
          <w:color w:val="auto"/>
          <w:kern w:val="21"/>
          <w:sz w:val="24"/>
          <w:lang w:val="en-US"/>
        </w:rPr>
        <w:t>1、空气环境质量指标</w:t>
      </w:r>
      <w:bookmarkEnd w:id="132"/>
      <w:bookmarkEnd w:id="133"/>
      <w:bookmarkEnd w:id="134"/>
      <w:bookmarkEnd w:id="135"/>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集聚区设置常规大气监测点位监督控制环境空气质量，并参照新乡市“创建国家环境保护模范城市”的要求建议规划区大气环境质量达到《环境空气质量标准》（GB3095-2012）二级标准的天数确定为300天。</w:t>
      </w:r>
    </w:p>
    <w:p>
      <w:pPr>
        <w:pStyle w:val="32"/>
        <w:adjustRightInd w:val="0"/>
        <w:snapToGrid w:val="0"/>
        <w:spacing w:after="0" w:line="480" w:lineRule="exact"/>
        <w:ind w:firstLine="480" w:firstLineChars="200"/>
        <w:rPr>
          <w:bCs/>
          <w:color w:val="auto"/>
          <w:kern w:val="21"/>
          <w:sz w:val="24"/>
          <w:lang w:val="en-US"/>
        </w:rPr>
      </w:pPr>
      <w:bookmarkStart w:id="136" w:name="_Toc509935458"/>
      <w:bookmarkStart w:id="137" w:name="_Toc508096639"/>
      <w:bookmarkStart w:id="138" w:name="_Toc508551575"/>
      <w:bookmarkStart w:id="139" w:name="_Toc516492295"/>
      <w:r>
        <w:rPr>
          <w:rFonts w:hint="eastAsia"/>
          <w:bCs/>
          <w:color w:val="auto"/>
          <w:kern w:val="21"/>
          <w:sz w:val="24"/>
          <w:lang w:val="en-US"/>
        </w:rPr>
        <w:t>2、水环境质量指标</w:t>
      </w:r>
      <w:bookmarkEnd w:id="136"/>
      <w:bookmarkEnd w:id="137"/>
      <w:bookmarkEnd w:id="138"/>
      <w:bookmarkEnd w:id="139"/>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集聚区范围内的地表水为共产主义渠，共产主义渠</w:t>
      </w:r>
      <w:r>
        <w:rPr>
          <w:rFonts w:hint="eastAsia"/>
          <w:bCs/>
          <w:color w:val="auto"/>
          <w:kern w:val="21"/>
          <w:sz w:val="24"/>
          <w:lang w:val="en-US" w:eastAsia="zh-CN"/>
        </w:rPr>
        <w:t>水环境质量指标</w:t>
      </w:r>
      <w:r>
        <w:rPr>
          <w:rFonts w:hint="eastAsia"/>
          <w:bCs/>
          <w:color w:val="auto"/>
          <w:kern w:val="21"/>
          <w:sz w:val="24"/>
          <w:lang w:val="en-US"/>
        </w:rPr>
        <w:t>执行《地表水环境质量标准》（GB3838-2002）</w:t>
      </w:r>
      <w:r>
        <w:rPr>
          <w:rFonts w:hint="eastAsia"/>
          <w:bCs/>
          <w:color w:val="auto"/>
          <w:kern w:val="21"/>
          <w:sz w:val="24"/>
          <w:lang w:val="en-US"/>
        </w:rPr>
        <w:fldChar w:fldCharType="begin"/>
      </w:r>
      <w:r>
        <w:rPr>
          <w:rFonts w:hint="eastAsia"/>
          <w:bCs/>
          <w:color w:val="auto"/>
          <w:kern w:val="21"/>
          <w:sz w:val="24"/>
          <w:lang w:val="en-US"/>
        </w:rPr>
        <w:instrText xml:space="preserve"> = 4 \* ROMAN \* MERGEFORMAT </w:instrText>
      </w:r>
      <w:r>
        <w:rPr>
          <w:rFonts w:hint="eastAsia"/>
          <w:bCs/>
          <w:color w:val="auto"/>
          <w:kern w:val="21"/>
          <w:sz w:val="24"/>
          <w:lang w:val="en-US"/>
        </w:rPr>
        <w:fldChar w:fldCharType="separate"/>
      </w:r>
      <w:r>
        <w:rPr>
          <w:color w:val="auto"/>
        </w:rPr>
        <w:t>IV</w:t>
      </w:r>
      <w:r>
        <w:rPr>
          <w:rFonts w:hint="eastAsia"/>
          <w:bCs/>
          <w:color w:val="auto"/>
          <w:kern w:val="21"/>
          <w:sz w:val="24"/>
          <w:lang w:val="en-US"/>
        </w:rPr>
        <w:fldChar w:fldCharType="end"/>
      </w:r>
      <w:r>
        <w:rPr>
          <w:rFonts w:hint="eastAsia"/>
          <w:bCs/>
          <w:color w:val="auto"/>
          <w:kern w:val="21"/>
          <w:sz w:val="24"/>
          <w:lang w:val="en-US"/>
        </w:rPr>
        <w:t>类标准。</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集聚区地下水环境</w:t>
      </w:r>
      <w:r>
        <w:rPr>
          <w:rFonts w:hint="eastAsia"/>
          <w:bCs/>
          <w:color w:val="auto"/>
          <w:kern w:val="21"/>
          <w:sz w:val="24"/>
          <w:lang w:val="en-US" w:eastAsia="zh-CN"/>
        </w:rPr>
        <w:t>质量指标</w:t>
      </w:r>
      <w:r>
        <w:rPr>
          <w:rFonts w:hint="eastAsia"/>
          <w:bCs/>
          <w:color w:val="auto"/>
          <w:kern w:val="21"/>
          <w:sz w:val="24"/>
          <w:lang w:val="en-US"/>
        </w:rPr>
        <w:t>执行《地下水环境质量标准》（GB/T14848-93）</w:t>
      </w:r>
      <w:r>
        <w:rPr>
          <w:rFonts w:hint="eastAsia"/>
          <w:bCs/>
          <w:color w:val="auto"/>
          <w:kern w:val="21"/>
          <w:sz w:val="24"/>
          <w:lang w:val="en-US"/>
        </w:rPr>
        <w:fldChar w:fldCharType="begin"/>
      </w:r>
      <w:r>
        <w:rPr>
          <w:rFonts w:hint="eastAsia"/>
          <w:bCs/>
          <w:color w:val="auto"/>
          <w:kern w:val="21"/>
          <w:sz w:val="24"/>
          <w:lang w:val="en-US"/>
        </w:rPr>
        <w:instrText xml:space="preserve"> = 3 \* ROMAN \* MERGEFORMAT </w:instrText>
      </w:r>
      <w:r>
        <w:rPr>
          <w:rFonts w:hint="eastAsia"/>
          <w:bCs/>
          <w:color w:val="auto"/>
          <w:kern w:val="21"/>
          <w:sz w:val="24"/>
          <w:lang w:val="en-US"/>
        </w:rPr>
        <w:fldChar w:fldCharType="separate"/>
      </w:r>
      <w:r>
        <w:rPr>
          <w:color w:val="auto"/>
        </w:rPr>
        <w:t>III</w:t>
      </w:r>
      <w:r>
        <w:rPr>
          <w:rFonts w:hint="eastAsia"/>
          <w:bCs/>
          <w:color w:val="auto"/>
          <w:kern w:val="21"/>
          <w:sz w:val="24"/>
          <w:lang w:val="en-US"/>
        </w:rPr>
        <w:fldChar w:fldCharType="end"/>
      </w:r>
      <w:r>
        <w:rPr>
          <w:rFonts w:hint="eastAsia"/>
          <w:bCs/>
          <w:color w:val="auto"/>
          <w:kern w:val="21"/>
          <w:sz w:val="24"/>
          <w:lang w:val="en-US"/>
        </w:rPr>
        <w:t>类标准。</w:t>
      </w:r>
    </w:p>
    <w:p>
      <w:pPr>
        <w:pStyle w:val="32"/>
        <w:adjustRightInd w:val="0"/>
        <w:snapToGrid w:val="0"/>
        <w:spacing w:after="0" w:line="480" w:lineRule="exact"/>
        <w:ind w:firstLine="480" w:firstLineChars="200"/>
        <w:rPr>
          <w:bCs/>
          <w:color w:val="auto"/>
          <w:kern w:val="21"/>
          <w:sz w:val="24"/>
          <w:lang w:val="en-US"/>
        </w:rPr>
      </w:pPr>
      <w:bookmarkStart w:id="140" w:name="_Toc508096640"/>
      <w:bookmarkStart w:id="141" w:name="_Toc516492296"/>
      <w:bookmarkStart w:id="142" w:name="_Toc509935459"/>
      <w:bookmarkStart w:id="143" w:name="_Toc508551576"/>
      <w:r>
        <w:rPr>
          <w:rFonts w:hint="eastAsia"/>
          <w:bCs/>
          <w:color w:val="auto"/>
          <w:kern w:val="21"/>
          <w:sz w:val="24"/>
          <w:lang w:val="en-US"/>
        </w:rPr>
        <w:t>3、噪声环境指标</w:t>
      </w:r>
      <w:bookmarkEnd w:id="140"/>
      <w:bookmarkEnd w:id="141"/>
      <w:bookmarkEnd w:id="142"/>
      <w:bookmarkEnd w:id="143"/>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规划将集聚区划分为</w:t>
      </w:r>
      <w:r>
        <w:rPr>
          <w:rFonts w:hint="eastAsia"/>
          <w:bCs/>
          <w:color w:val="auto"/>
          <w:kern w:val="21"/>
          <w:sz w:val="24"/>
          <w:lang w:val="en-US" w:eastAsia="zh-CN"/>
        </w:rPr>
        <w:t>3</w:t>
      </w:r>
      <w:r>
        <w:rPr>
          <w:rFonts w:hint="eastAsia"/>
          <w:bCs/>
          <w:color w:val="auto"/>
          <w:kern w:val="21"/>
          <w:sz w:val="24"/>
          <w:lang w:val="en-US"/>
        </w:rPr>
        <w:t>类噪声功能区：</w:t>
      </w:r>
    </w:p>
    <w:p>
      <w:pPr>
        <w:pStyle w:val="32"/>
        <w:adjustRightInd w:val="0"/>
        <w:snapToGrid w:val="0"/>
        <w:spacing w:after="0" w:line="480" w:lineRule="exact"/>
        <w:ind w:firstLine="480" w:firstLineChars="200"/>
        <w:jc w:val="both"/>
        <w:rPr>
          <w:bCs/>
          <w:color w:val="auto"/>
          <w:kern w:val="21"/>
          <w:sz w:val="24"/>
          <w:lang w:val="en-US"/>
        </w:rPr>
      </w:pPr>
      <w:r>
        <w:rPr>
          <w:rFonts w:hint="eastAsia"/>
          <w:bCs/>
          <w:color w:val="auto"/>
          <w:kern w:val="21"/>
          <w:sz w:val="24"/>
          <w:lang w:val="en-US"/>
        </w:rPr>
        <w:t>居住和商业办公片区为</w:t>
      </w:r>
      <w:r>
        <w:rPr>
          <w:rFonts w:hint="eastAsia"/>
          <w:bCs/>
          <w:color w:val="auto"/>
          <w:kern w:val="21"/>
          <w:sz w:val="24"/>
          <w:lang w:val="en-US" w:eastAsia="zh-CN"/>
        </w:rPr>
        <w:t>2</w:t>
      </w:r>
      <w:r>
        <w:rPr>
          <w:rFonts w:hint="eastAsia"/>
          <w:bCs/>
          <w:color w:val="auto"/>
          <w:kern w:val="21"/>
          <w:sz w:val="24"/>
          <w:lang w:val="en-US"/>
        </w:rPr>
        <w:t>类噪声功能区，执行《声环境噪声标准》（GB3096-2008）</w:t>
      </w:r>
      <w:r>
        <w:rPr>
          <w:rFonts w:hint="eastAsia"/>
          <w:bCs/>
          <w:color w:val="auto"/>
          <w:kern w:val="21"/>
          <w:sz w:val="24"/>
          <w:lang w:val="en-US" w:eastAsia="zh-CN"/>
        </w:rPr>
        <w:t>2</w:t>
      </w:r>
      <w:r>
        <w:rPr>
          <w:rFonts w:hint="eastAsia"/>
          <w:bCs/>
          <w:color w:val="auto"/>
          <w:kern w:val="21"/>
          <w:sz w:val="24"/>
          <w:lang w:val="en-US"/>
        </w:rPr>
        <w:t>类标准（昼间60dB，夜间50dB）；</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工业和仓储片区为</w:t>
      </w:r>
      <w:r>
        <w:rPr>
          <w:rFonts w:hint="eastAsia"/>
          <w:bCs/>
          <w:color w:val="auto"/>
          <w:kern w:val="21"/>
          <w:sz w:val="24"/>
          <w:lang w:val="en-US" w:eastAsia="zh-CN"/>
        </w:rPr>
        <w:t>3</w:t>
      </w:r>
      <w:r>
        <w:rPr>
          <w:rFonts w:hint="eastAsia"/>
          <w:bCs/>
          <w:color w:val="auto"/>
          <w:kern w:val="21"/>
          <w:sz w:val="24"/>
          <w:lang w:val="en-US"/>
        </w:rPr>
        <w:t>类噪声功能区，执行《声环境质量标准》（GB3096-2008）</w:t>
      </w:r>
      <w:r>
        <w:rPr>
          <w:rFonts w:hint="eastAsia"/>
          <w:bCs/>
          <w:color w:val="auto"/>
          <w:kern w:val="21"/>
          <w:sz w:val="24"/>
          <w:lang w:val="en-US" w:eastAsia="zh-CN"/>
        </w:rPr>
        <w:t>3</w:t>
      </w:r>
      <w:r>
        <w:rPr>
          <w:rFonts w:hint="eastAsia"/>
          <w:bCs/>
          <w:color w:val="auto"/>
          <w:kern w:val="21"/>
          <w:sz w:val="24"/>
          <w:lang w:val="en-US"/>
        </w:rPr>
        <w:t>类标准（昼间65dB，夜间55dB）；</w:t>
      </w:r>
    </w:p>
    <w:p>
      <w:pPr>
        <w:pStyle w:val="32"/>
        <w:adjustRightInd w:val="0"/>
        <w:snapToGrid w:val="0"/>
        <w:spacing w:after="0" w:line="480" w:lineRule="exact"/>
        <w:ind w:firstLine="480" w:firstLineChars="200"/>
        <w:jc w:val="both"/>
        <w:rPr>
          <w:bCs/>
          <w:color w:val="auto"/>
          <w:kern w:val="21"/>
          <w:sz w:val="24"/>
          <w:lang w:val="en-US"/>
        </w:rPr>
      </w:pPr>
      <w:r>
        <w:rPr>
          <w:rFonts w:hint="eastAsia"/>
          <w:bCs/>
          <w:color w:val="auto"/>
          <w:kern w:val="21"/>
          <w:sz w:val="24"/>
          <w:lang w:val="en-US"/>
        </w:rPr>
        <w:t>主要交通干线两侧区域为</w:t>
      </w:r>
      <w:r>
        <w:rPr>
          <w:rFonts w:hint="eastAsia"/>
          <w:bCs/>
          <w:color w:val="auto"/>
          <w:kern w:val="21"/>
          <w:sz w:val="24"/>
          <w:lang w:val="en-US" w:eastAsia="zh-CN"/>
        </w:rPr>
        <w:t>4</w:t>
      </w:r>
      <w:r>
        <w:rPr>
          <w:rFonts w:hint="eastAsia"/>
          <w:bCs/>
          <w:color w:val="auto"/>
          <w:kern w:val="21"/>
          <w:sz w:val="24"/>
          <w:lang w:val="en-US"/>
        </w:rPr>
        <w:t>类噪声功能区，执行《声环境质量标准》（GB3096-2008）</w:t>
      </w:r>
      <w:r>
        <w:rPr>
          <w:rFonts w:hint="eastAsia"/>
          <w:bCs/>
          <w:color w:val="auto"/>
          <w:kern w:val="21"/>
          <w:sz w:val="24"/>
          <w:lang w:val="en-US" w:eastAsia="zh-CN"/>
        </w:rPr>
        <w:t>4</w:t>
      </w:r>
      <w:r>
        <w:rPr>
          <w:rFonts w:hint="eastAsia"/>
          <w:bCs/>
          <w:color w:val="auto"/>
          <w:kern w:val="21"/>
          <w:sz w:val="24"/>
          <w:lang w:val="en-US"/>
        </w:rPr>
        <w:t xml:space="preserve">类标准（昼间70dB，夜间55dB）。 </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集聚区近中期和远期区域噪声控制达标率均应达到100%。</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集聚区规划实施过程中，应加强区内交通管理。要求入区企业在选择设备时首选低噪声设备，其次针对不同设备的噪声性质，分别采取相应的防治措施。特别是对机械加工企业，要严格控制噪声排放情况。采取上述措施后，环境噪声达标覆盖率是可以实现的。</w:t>
      </w:r>
    </w:p>
    <w:p>
      <w:pPr>
        <w:pStyle w:val="32"/>
        <w:adjustRightInd w:val="0"/>
        <w:snapToGrid w:val="0"/>
        <w:spacing w:after="0" w:line="480" w:lineRule="exact"/>
        <w:ind w:firstLine="480" w:firstLineChars="200"/>
        <w:rPr>
          <w:bCs/>
          <w:color w:val="auto"/>
          <w:kern w:val="21"/>
          <w:sz w:val="24"/>
          <w:lang w:val="en-US"/>
        </w:rPr>
      </w:pPr>
      <w:bookmarkStart w:id="144" w:name="_Toc516492297"/>
      <w:bookmarkStart w:id="145" w:name="_Toc508551577"/>
      <w:bookmarkStart w:id="146" w:name="_Toc509935460"/>
      <w:bookmarkStart w:id="147" w:name="_Toc508096641"/>
      <w:r>
        <w:rPr>
          <w:rFonts w:hint="eastAsia"/>
          <w:bCs/>
          <w:color w:val="auto"/>
          <w:kern w:val="21"/>
          <w:sz w:val="24"/>
          <w:lang w:val="en-US"/>
        </w:rPr>
        <w:t>4、固体废弃物指标</w:t>
      </w:r>
      <w:bookmarkEnd w:id="144"/>
      <w:bookmarkEnd w:id="145"/>
      <w:bookmarkEnd w:id="146"/>
      <w:bookmarkEnd w:id="147"/>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集聚区生活垃圾送至获嘉县生活垃圾处理厂和填埋场，保证无害化处理率应达到100%。</w:t>
      </w:r>
    </w:p>
    <w:p>
      <w:pPr>
        <w:pStyle w:val="32"/>
        <w:adjustRightInd w:val="0"/>
        <w:snapToGrid w:val="0"/>
        <w:spacing w:after="0" w:line="480" w:lineRule="exact"/>
        <w:ind w:firstLine="480" w:firstLineChars="200"/>
        <w:rPr>
          <w:bCs/>
          <w:color w:val="auto"/>
          <w:kern w:val="21"/>
          <w:sz w:val="24"/>
          <w:lang w:val="en-US"/>
        </w:rPr>
      </w:pPr>
      <w:r>
        <w:rPr>
          <w:rFonts w:hint="eastAsia"/>
          <w:bCs/>
          <w:color w:val="auto"/>
          <w:kern w:val="21"/>
          <w:sz w:val="24"/>
          <w:lang w:val="en-US"/>
        </w:rPr>
        <w:t>工业固体废弃物处置率、综合利用率应达到100%，危险废弃物收集率、处置率应达到100%。</w:t>
      </w:r>
    </w:p>
    <w:p>
      <w:pPr>
        <w:pStyle w:val="32"/>
        <w:adjustRightInd w:val="0"/>
        <w:snapToGrid w:val="0"/>
        <w:spacing w:after="0" w:line="360" w:lineRule="auto"/>
        <w:ind w:firstLine="480" w:firstLineChars="200"/>
        <w:rPr>
          <w:b w:val="0"/>
          <w:bCs/>
          <w:color w:val="auto"/>
          <w:kern w:val="21"/>
          <w:sz w:val="24"/>
          <w:u w:val="none"/>
          <w:lang w:val="en-US"/>
        </w:rPr>
      </w:pPr>
      <w:r>
        <w:rPr>
          <w:rFonts w:hint="eastAsia"/>
          <w:b w:val="0"/>
          <w:bCs/>
          <w:color w:val="auto"/>
          <w:kern w:val="21"/>
          <w:sz w:val="24"/>
          <w:u w:val="none"/>
          <w:lang w:val="en-US"/>
        </w:rPr>
        <w:t>（十）与规划相符性分析</w:t>
      </w:r>
    </w:p>
    <w:p>
      <w:pPr>
        <w:pStyle w:val="32"/>
        <w:adjustRightInd w:val="0"/>
        <w:snapToGrid w:val="0"/>
        <w:spacing w:after="0" w:line="360" w:lineRule="auto"/>
        <w:ind w:firstLine="480" w:firstLineChars="200"/>
        <w:rPr>
          <w:b w:val="0"/>
          <w:bCs/>
          <w:color w:val="auto"/>
          <w:kern w:val="21"/>
          <w:sz w:val="24"/>
          <w:highlight w:val="yellow"/>
          <w:u w:val="none"/>
          <w:lang w:val="en-US"/>
        </w:rPr>
      </w:pPr>
      <w:r>
        <w:rPr>
          <w:rFonts w:hint="eastAsia"/>
          <w:b w:val="0"/>
          <w:bCs/>
          <w:color w:val="auto"/>
          <w:kern w:val="21"/>
          <w:sz w:val="24"/>
          <w:u w:val="none"/>
          <w:lang w:val="en-US"/>
        </w:rPr>
        <w:t>根据规划内容对照，本项目位于获嘉县产业集聚区的北区城东片区，项目所在区域规划用地属于二类工业用地，项目选址符合获嘉县产业集聚区总体发展规划。</w:t>
      </w:r>
    </w:p>
    <w:p>
      <w:pPr>
        <w:pStyle w:val="32"/>
        <w:adjustRightInd w:val="0"/>
        <w:snapToGrid w:val="0"/>
        <w:spacing w:after="0" w:line="360" w:lineRule="auto"/>
        <w:outlineLvl w:val="2"/>
        <w:rPr>
          <w:rFonts w:eastAsia="黑体"/>
          <w:color w:val="auto"/>
          <w:kern w:val="21"/>
          <w:sz w:val="28"/>
          <w:szCs w:val="28"/>
          <w:lang w:val="en-US"/>
        </w:rPr>
      </w:pPr>
      <w:r>
        <w:rPr>
          <w:rFonts w:hint="eastAsia" w:eastAsia="黑体"/>
          <w:color w:val="auto"/>
          <w:kern w:val="21"/>
          <w:sz w:val="28"/>
          <w:szCs w:val="28"/>
          <w:lang w:val="en-US"/>
        </w:rPr>
        <w:t>2.8.4《</w:t>
      </w:r>
      <w:r>
        <w:rPr>
          <w:rFonts w:eastAsia="黑体"/>
          <w:color w:val="auto"/>
          <w:kern w:val="21"/>
          <w:sz w:val="28"/>
          <w:szCs w:val="28"/>
          <w:lang w:val="en-US"/>
        </w:rPr>
        <w:t>获嘉县产业集聚区总体发展规划（2016-2020）调整方案环境影响报告书</w:t>
      </w:r>
      <w:r>
        <w:rPr>
          <w:rFonts w:hint="eastAsia" w:eastAsia="黑体"/>
          <w:color w:val="auto"/>
          <w:kern w:val="21"/>
          <w:sz w:val="28"/>
          <w:szCs w:val="28"/>
          <w:lang w:val="en-US"/>
        </w:rPr>
        <w:t>》及《审查意见》</w:t>
      </w:r>
    </w:p>
    <w:p>
      <w:pPr>
        <w:pStyle w:val="32"/>
        <w:adjustRightInd w:val="0"/>
        <w:snapToGrid w:val="0"/>
        <w:spacing w:after="0" w:line="360" w:lineRule="auto"/>
        <w:ind w:firstLine="480" w:firstLineChars="200"/>
        <w:rPr>
          <w:bCs/>
          <w:color w:val="auto"/>
          <w:kern w:val="21"/>
          <w:sz w:val="24"/>
          <w:lang w:val="en-US"/>
        </w:rPr>
      </w:pPr>
      <w:r>
        <w:rPr>
          <w:bCs/>
          <w:color w:val="auto"/>
          <w:kern w:val="21"/>
          <w:sz w:val="24"/>
          <w:lang w:val="en-US"/>
        </w:rPr>
        <w:t>获嘉县产业集聚区于</w:t>
      </w:r>
      <w:r>
        <w:rPr>
          <w:rFonts w:hint="eastAsia"/>
          <w:bCs/>
          <w:color w:val="auto"/>
          <w:kern w:val="21"/>
          <w:sz w:val="24"/>
          <w:lang w:val="en-US"/>
        </w:rPr>
        <w:t>2016年对规划进行调整，</w:t>
      </w:r>
      <w:r>
        <w:rPr>
          <w:bCs/>
          <w:color w:val="auto"/>
          <w:kern w:val="21"/>
          <w:sz w:val="24"/>
          <w:lang w:val="en-US"/>
        </w:rPr>
        <w:t>根据《河南省发展和改革委员会关于获嘉县产业集聚区总体发展规划的批复》（豫发改工业〔201</w:t>
      </w:r>
      <w:r>
        <w:rPr>
          <w:rFonts w:hint="eastAsia"/>
          <w:bCs/>
          <w:color w:val="auto"/>
          <w:kern w:val="21"/>
          <w:sz w:val="24"/>
          <w:lang w:val="en-US"/>
        </w:rPr>
        <w:t>6</w:t>
      </w:r>
      <w:r>
        <w:rPr>
          <w:bCs/>
          <w:color w:val="auto"/>
          <w:kern w:val="21"/>
          <w:sz w:val="24"/>
          <w:lang w:val="en-US"/>
        </w:rPr>
        <w:t>〕594号），同意《获嘉县产业集聚区总体发展规划（2016-2020）调整方案》组织实施，《获嘉县产业集聚区总体发展规划（2016-2020）调整方案环境影响报告书》经河南省生态环境厅审查</w:t>
      </w:r>
      <w:r>
        <w:rPr>
          <w:rFonts w:hint="eastAsia"/>
          <w:bCs/>
          <w:color w:val="auto"/>
          <w:kern w:val="21"/>
          <w:sz w:val="24"/>
          <w:lang w:val="en-US"/>
        </w:rPr>
        <w:t>，审查意见</w:t>
      </w:r>
      <w:r>
        <w:rPr>
          <w:bCs/>
          <w:color w:val="auto"/>
          <w:kern w:val="21"/>
          <w:sz w:val="24"/>
          <w:lang w:val="en-US"/>
        </w:rPr>
        <w:t>文号</w:t>
      </w:r>
      <w:r>
        <w:rPr>
          <w:rFonts w:hint="eastAsia"/>
          <w:bCs/>
          <w:color w:val="auto"/>
          <w:kern w:val="21"/>
          <w:sz w:val="24"/>
          <w:lang w:val="en-US"/>
        </w:rPr>
        <w:t>：豫环函[2019]53号。</w:t>
      </w:r>
    </w:p>
    <w:p>
      <w:pPr>
        <w:pStyle w:val="32"/>
        <w:adjustRightInd w:val="0"/>
        <w:snapToGrid w:val="0"/>
        <w:spacing w:after="0" w:line="360" w:lineRule="auto"/>
        <w:ind w:firstLine="480" w:firstLineChars="200"/>
        <w:rPr>
          <w:bCs/>
          <w:color w:val="auto"/>
          <w:kern w:val="21"/>
          <w:sz w:val="24"/>
          <w:lang w:val="en-US"/>
        </w:rPr>
      </w:pPr>
      <w:r>
        <w:rPr>
          <w:rFonts w:hint="eastAsia"/>
          <w:bCs/>
          <w:color w:val="auto"/>
          <w:kern w:val="21"/>
          <w:sz w:val="24"/>
          <w:lang w:val="en-US"/>
        </w:rPr>
        <w:t>本项目位于集聚区北区城东片区，本项目与集聚区准入条件及环境准入负面清单对比分析如下</w:t>
      </w:r>
      <w:r>
        <w:rPr>
          <w:rFonts w:hint="eastAsia"/>
          <w:bCs/>
          <w:color w:val="auto"/>
          <w:kern w:val="21"/>
          <w:sz w:val="24"/>
          <w:lang w:val="en-US" w:eastAsia="zh-CN"/>
        </w:rPr>
        <w:t>表</w:t>
      </w:r>
      <w:r>
        <w:rPr>
          <w:rFonts w:hint="eastAsia"/>
          <w:bCs/>
          <w:color w:val="auto"/>
          <w:kern w:val="21"/>
          <w:sz w:val="24"/>
          <w:lang w:val="en-US"/>
        </w:rPr>
        <w:t>。</w:t>
      </w:r>
    </w:p>
    <w:p>
      <w:pPr>
        <w:pStyle w:val="32"/>
        <w:keepNext w:val="0"/>
        <w:keepLines w:val="0"/>
        <w:pageBreakBefore w:val="0"/>
        <w:widowControl/>
        <w:kinsoku/>
        <w:wordWrap/>
        <w:overflowPunct/>
        <w:topLinePunct w:val="0"/>
        <w:autoSpaceDE/>
        <w:autoSpaceDN/>
        <w:bidi w:val="0"/>
        <w:adjustRightInd w:val="0"/>
        <w:snapToGrid w:val="0"/>
        <w:spacing w:after="0" w:line="240" w:lineRule="auto"/>
        <w:ind w:firstLine="480" w:firstLineChars="200"/>
        <w:textAlignment w:val="auto"/>
        <w:rPr>
          <w:rFonts w:ascii="黑体" w:hAnsi="黑体" w:eastAsia="黑体"/>
          <w:color w:val="auto"/>
          <w:sz w:val="24"/>
        </w:rPr>
      </w:pPr>
      <w:r>
        <w:rPr>
          <w:rFonts w:hint="eastAsia" w:ascii="黑体" w:hAnsi="黑体" w:eastAsia="黑体"/>
          <w:color w:val="auto"/>
          <w:sz w:val="24"/>
        </w:rPr>
        <w:t>表</w:t>
      </w:r>
      <w:r>
        <w:rPr>
          <w:rFonts w:ascii="黑体" w:hAnsi="黑体" w:eastAsia="黑体"/>
          <w:color w:val="auto"/>
          <w:sz w:val="24"/>
        </w:rPr>
        <w:t>2</w:t>
      </w:r>
      <w:r>
        <w:rPr>
          <w:rFonts w:hint="eastAsia" w:ascii="黑体" w:hAnsi="黑体" w:eastAsia="黑体"/>
          <w:color w:val="auto"/>
          <w:sz w:val="24"/>
        </w:rPr>
        <w:t>.8-2    项目集聚区准入条件及环境准入负面清单</w:t>
      </w:r>
      <w:r>
        <w:rPr>
          <w:rFonts w:hint="eastAsia" w:ascii="黑体" w:hAnsi="黑体" w:eastAsia="黑体"/>
          <w:color w:val="auto"/>
          <w:sz w:val="24"/>
          <w:lang w:eastAsia="zh-CN"/>
        </w:rPr>
        <w:t>对比</w:t>
      </w:r>
      <w:r>
        <w:rPr>
          <w:rFonts w:hint="eastAsia" w:ascii="黑体" w:hAnsi="黑体" w:eastAsia="黑体"/>
          <w:color w:val="auto"/>
          <w:sz w:val="24"/>
        </w:rPr>
        <w:t>分析一览表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723"/>
        <w:gridCol w:w="982"/>
        <w:gridCol w:w="1260"/>
        <w:gridCol w:w="2104"/>
        <w:gridCol w:w="2763"/>
        <w:gridCol w:w="69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Align w:val="center"/>
          </w:tcPr>
          <w:p>
            <w:pPr>
              <w:pStyle w:val="424"/>
              <w:rPr>
                <w:color w:val="auto"/>
              </w:rPr>
            </w:pPr>
            <w:r>
              <w:rPr>
                <w:rFonts w:hint="eastAsia"/>
                <w:color w:val="auto"/>
              </w:rPr>
              <w:t>类别</w:t>
            </w:r>
          </w:p>
        </w:tc>
        <w:tc>
          <w:tcPr>
            <w:tcW w:w="2549" w:type="pct"/>
            <w:gridSpan w:val="3"/>
            <w:vAlign w:val="center"/>
          </w:tcPr>
          <w:p>
            <w:pPr>
              <w:pStyle w:val="424"/>
              <w:rPr>
                <w:color w:val="auto"/>
              </w:rPr>
            </w:pPr>
            <w:r>
              <w:rPr>
                <w:rFonts w:hint="eastAsia"/>
                <w:color w:val="auto"/>
              </w:rPr>
              <w:t>相关条文</w:t>
            </w:r>
          </w:p>
        </w:tc>
        <w:tc>
          <w:tcPr>
            <w:tcW w:w="1621" w:type="pct"/>
            <w:vAlign w:val="center"/>
          </w:tcPr>
          <w:p>
            <w:pPr>
              <w:pStyle w:val="424"/>
              <w:rPr>
                <w:color w:val="auto"/>
              </w:rPr>
            </w:pPr>
            <w:r>
              <w:rPr>
                <w:rFonts w:hint="eastAsia"/>
                <w:color w:val="auto"/>
              </w:rPr>
              <w:t>本项目情况</w:t>
            </w:r>
          </w:p>
        </w:tc>
        <w:tc>
          <w:tcPr>
            <w:tcW w:w="405" w:type="pct"/>
            <w:vAlign w:val="center"/>
          </w:tcPr>
          <w:p>
            <w:pPr>
              <w:pStyle w:val="424"/>
              <w:rPr>
                <w:color w:val="auto"/>
              </w:rPr>
            </w:pPr>
            <w:r>
              <w:rPr>
                <w:rFonts w:hint="eastAsia"/>
                <w:color w:val="auto"/>
              </w:rPr>
              <w:t>相符性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361" w:hRule="atLeast"/>
          <w:jc w:val="center"/>
        </w:trPr>
        <w:tc>
          <w:tcPr>
            <w:tcW w:w="424" w:type="pct"/>
            <w:vMerge w:val="restart"/>
            <w:vAlign w:val="center"/>
          </w:tcPr>
          <w:p>
            <w:pPr>
              <w:pStyle w:val="421"/>
              <w:rPr>
                <w:color w:val="auto"/>
              </w:rPr>
            </w:pPr>
            <w:r>
              <w:rPr>
                <w:rFonts w:hint="eastAsia"/>
                <w:color w:val="auto"/>
              </w:rPr>
              <w:t>环境准入条件</w:t>
            </w:r>
          </w:p>
        </w:tc>
        <w:tc>
          <w:tcPr>
            <w:tcW w:w="2549" w:type="pct"/>
            <w:gridSpan w:val="3"/>
            <w:vAlign w:val="center"/>
          </w:tcPr>
          <w:p>
            <w:pPr>
              <w:pStyle w:val="421"/>
              <w:ind w:firstLine="105" w:firstLineChars="50"/>
              <w:jc w:val="left"/>
              <w:rPr>
                <w:color w:val="auto"/>
              </w:rPr>
            </w:pPr>
            <w:r>
              <w:rPr>
                <w:rFonts w:hint="eastAsia"/>
                <w:color w:val="auto"/>
              </w:rPr>
              <w:t>（1）鼓励产业集聚区北区城南片区发展以新材料为主要发展方向的化工项目，在原化工产业的基础上，积极发展高分子粘合剂、涂料、环保基料，以及先进陶瓷材料。</w:t>
            </w:r>
          </w:p>
          <w:p>
            <w:pPr>
              <w:pStyle w:val="421"/>
              <w:jc w:val="left"/>
              <w:rPr>
                <w:b/>
                <w:bCs/>
                <w:color w:val="auto"/>
                <w:u w:val="single"/>
              </w:rPr>
            </w:pPr>
            <w:r>
              <w:rPr>
                <w:rFonts w:hint="eastAsia"/>
                <w:color w:val="auto"/>
              </w:rPr>
              <w:t xml:space="preserve">  北区城东片区在原装备制造产业基础上，优先引进科技含量高、污染小、能耗低，生产工艺、设备处于先进水平的项目入区，</w:t>
            </w:r>
            <w:r>
              <w:rPr>
                <w:rFonts w:hint="eastAsia"/>
                <w:b/>
                <w:bCs/>
                <w:color w:val="auto"/>
                <w:u w:val="single"/>
              </w:rPr>
              <w:t>鼓励集聚区引进以集中喷涂、集中电镀为发展方向的项目入驻（建议集中喷涂、集中电镀项目个数分别控制在1</w:t>
            </w:r>
            <w:r>
              <w:rPr>
                <w:rFonts w:hint="eastAsia"/>
                <w:b/>
                <w:bCs/>
                <w:color w:val="auto"/>
                <w:u w:val="single"/>
                <w:lang w:eastAsia="zh-CN"/>
              </w:rPr>
              <w:t>～</w:t>
            </w:r>
            <w:r>
              <w:rPr>
                <w:rFonts w:hint="eastAsia"/>
                <w:b/>
                <w:bCs/>
                <w:color w:val="auto"/>
                <w:u w:val="single"/>
              </w:rPr>
              <w:t>2个）。</w:t>
            </w:r>
          </w:p>
          <w:p>
            <w:pPr>
              <w:pStyle w:val="421"/>
              <w:ind w:firstLine="210" w:firstLineChars="100"/>
              <w:jc w:val="left"/>
              <w:rPr>
                <w:color w:val="auto"/>
              </w:rPr>
            </w:pPr>
            <w:r>
              <w:rPr>
                <w:rFonts w:hint="eastAsia"/>
                <w:color w:val="auto"/>
              </w:rPr>
              <w:t>南区以现代家居产业为主导，带动发展纺织服装产业。</w:t>
            </w:r>
          </w:p>
        </w:tc>
        <w:tc>
          <w:tcPr>
            <w:tcW w:w="1621" w:type="pct"/>
            <w:vAlign w:val="center"/>
          </w:tcPr>
          <w:p>
            <w:pPr>
              <w:pStyle w:val="421"/>
              <w:ind w:firstLine="105" w:firstLineChars="50"/>
              <w:jc w:val="left"/>
              <w:rPr>
                <w:color w:val="auto"/>
              </w:rPr>
            </w:pPr>
            <w:r>
              <w:rPr>
                <w:color w:val="auto"/>
              </w:rPr>
              <w:t>本项目位于</w:t>
            </w:r>
            <w:r>
              <w:rPr>
                <w:rFonts w:hint="eastAsia"/>
                <w:color w:val="auto"/>
              </w:rPr>
              <w:t>北区城东片区，项目属于锂电池制造业，可为机械装备提供电能。且电镀工艺及设备较为先进，产生的污染物经治理后污染较小，能耗较低。</w:t>
            </w:r>
            <w:r>
              <w:rPr>
                <w:rFonts w:hint="eastAsia"/>
                <w:b/>
                <w:bCs/>
                <w:color w:val="auto"/>
                <w:u w:val="single"/>
                <w:lang w:val="en-US" w:eastAsia="zh-CN"/>
              </w:rPr>
              <w:t>经调查</w:t>
            </w:r>
            <w:r>
              <w:rPr>
                <w:rFonts w:hint="eastAsia"/>
                <w:b/>
                <w:bCs/>
                <w:color w:val="auto"/>
                <w:u w:val="single"/>
              </w:rPr>
              <w:t>本区域内暂无集中喷涂、集中电镀企业入驻，并咨询管委会</w:t>
            </w:r>
            <w:r>
              <w:rPr>
                <w:rFonts w:hint="eastAsia"/>
                <w:b/>
                <w:bCs/>
                <w:color w:val="auto"/>
                <w:u w:val="single"/>
                <w:lang w:val="en-US" w:eastAsia="zh-CN"/>
              </w:rPr>
              <w:t>知</w:t>
            </w:r>
            <w:r>
              <w:rPr>
                <w:rFonts w:hint="eastAsia"/>
                <w:b/>
                <w:bCs/>
                <w:color w:val="auto"/>
                <w:u w:val="single"/>
              </w:rPr>
              <w:t>，园区暂无集中喷涂、集中电镀企业入驻意向。</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80" w:hRule="atLeast"/>
          <w:jc w:val="center"/>
        </w:trPr>
        <w:tc>
          <w:tcPr>
            <w:tcW w:w="424" w:type="pct"/>
            <w:vMerge w:val="continue"/>
            <w:vAlign w:val="center"/>
          </w:tcPr>
          <w:p>
            <w:pPr>
              <w:pStyle w:val="421"/>
              <w:rPr>
                <w:color w:val="auto"/>
              </w:rPr>
            </w:pPr>
          </w:p>
        </w:tc>
        <w:tc>
          <w:tcPr>
            <w:tcW w:w="2549" w:type="pct"/>
            <w:gridSpan w:val="3"/>
            <w:vAlign w:val="center"/>
          </w:tcPr>
          <w:p>
            <w:pPr>
              <w:pStyle w:val="421"/>
              <w:ind w:firstLine="105" w:firstLineChars="50"/>
              <w:jc w:val="left"/>
              <w:rPr>
                <w:color w:val="auto"/>
              </w:rPr>
            </w:pPr>
            <w:r>
              <w:rPr>
                <w:rFonts w:hint="eastAsia"/>
                <w:color w:val="auto"/>
              </w:rPr>
              <w:t>（2）鼓励集聚区北区城南片区现有煤化工企业对现有项目实施提标改造、节能减排，提升改造应严格落实《河南省传统煤化工行业转型发展行动方案（2018-2020年）》（豫政办[2018]82号）要求；鼓励引进以集聚区北区城南片区现有煤化工产品为原料的具有高附加值、低环境污染的下游产品生产项目。</w:t>
            </w:r>
          </w:p>
        </w:tc>
        <w:tc>
          <w:tcPr>
            <w:tcW w:w="1621" w:type="pct"/>
            <w:vAlign w:val="center"/>
          </w:tcPr>
          <w:p>
            <w:pPr>
              <w:pStyle w:val="421"/>
              <w:ind w:firstLine="105" w:firstLineChars="50"/>
              <w:jc w:val="left"/>
              <w:rPr>
                <w:color w:val="auto"/>
              </w:rPr>
            </w:pPr>
            <w:r>
              <w:rPr>
                <w:color w:val="auto"/>
              </w:rPr>
              <w:t>本项目位于</w:t>
            </w:r>
            <w:r>
              <w:rPr>
                <w:rFonts w:hint="eastAsia"/>
                <w:color w:val="auto"/>
              </w:rPr>
              <w:t>北区城东片区。</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2549" w:type="pct"/>
            <w:gridSpan w:val="3"/>
            <w:vAlign w:val="center"/>
          </w:tcPr>
          <w:p>
            <w:pPr>
              <w:pStyle w:val="421"/>
              <w:jc w:val="left"/>
              <w:rPr>
                <w:color w:val="auto"/>
              </w:rPr>
            </w:pPr>
            <w:r>
              <w:rPr>
                <w:rFonts w:hint="eastAsia"/>
                <w:color w:val="auto"/>
              </w:rPr>
              <w:t xml:space="preserve"> （3）新、改扩建项目必须符合国家、省市产业政策及相关行业准入要求，清洁生产水平达到国内先进水平。</w:t>
            </w:r>
          </w:p>
        </w:tc>
        <w:tc>
          <w:tcPr>
            <w:tcW w:w="1621" w:type="pct"/>
            <w:vAlign w:val="center"/>
          </w:tcPr>
          <w:p>
            <w:pPr>
              <w:pStyle w:val="421"/>
              <w:ind w:firstLine="105" w:firstLineChars="50"/>
              <w:jc w:val="left"/>
              <w:rPr>
                <w:color w:val="auto"/>
              </w:rPr>
            </w:pPr>
            <w:r>
              <w:rPr>
                <w:rFonts w:hint="eastAsia"/>
                <w:color w:val="auto"/>
              </w:rPr>
              <w:t>本项目符合国家、省市产业政策及相关行业准入要求，清洁生产水平为</w:t>
            </w:r>
            <w:r>
              <w:rPr>
                <w:rFonts w:hint="eastAsia" w:ascii="宋体" w:hAnsi="宋体" w:cs="宋体"/>
                <w:color w:val="auto"/>
              </w:rPr>
              <w:t>Ⅰ</w:t>
            </w:r>
            <w:r>
              <w:rPr>
                <w:color w:val="auto"/>
              </w:rPr>
              <w:t>级（国际清洁生产领先水平）</w:t>
            </w:r>
            <w:r>
              <w:rPr>
                <w:rFonts w:hint="eastAsia"/>
                <w:color w:val="auto"/>
              </w:rPr>
              <w:t>。</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2549" w:type="pct"/>
            <w:gridSpan w:val="3"/>
            <w:vAlign w:val="center"/>
          </w:tcPr>
          <w:p>
            <w:pPr>
              <w:pStyle w:val="421"/>
              <w:ind w:firstLine="105" w:firstLineChars="50"/>
              <w:jc w:val="left"/>
              <w:rPr>
                <w:color w:val="auto"/>
              </w:rPr>
            </w:pPr>
            <w:r>
              <w:rPr>
                <w:rFonts w:hint="eastAsia"/>
                <w:color w:val="auto"/>
              </w:rPr>
              <w:t>（4）鼓励发展符合集聚区功能布局和产业规划，采用先进生产工艺和设备、自动化程度高，具有可靠的污染治理技术或轻污染项目。</w:t>
            </w:r>
          </w:p>
        </w:tc>
        <w:tc>
          <w:tcPr>
            <w:tcW w:w="1621" w:type="pct"/>
            <w:vAlign w:val="center"/>
          </w:tcPr>
          <w:p>
            <w:pPr>
              <w:pStyle w:val="421"/>
              <w:jc w:val="left"/>
              <w:rPr>
                <w:color w:val="auto"/>
              </w:rPr>
            </w:pPr>
            <w:r>
              <w:rPr>
                <w:rFonts w:hint="eastAsia"/>
                <w:color w:val="auto"/>
              </w:rPr>
              <w:t xml:space="preserve"> 本项目符合集聚区功能布局和产业规划，项目采用先进的生产工艺和设备、自动化程度较高，且具有可靠的污染治理技术。</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2549" w:type="pct"/>
            <w:gridSpan w:val="3"/>
            <w:vAlign w:val="center"/>
          </w:tcPr>
          <w:p>
            <w:pPr>
              <w:pStyle w:val="421"/>
              <w:ind w:firstLine="105" w:firstLineChars="50"/>
              <w:jc w:val="left"/>
              <w:rPr>
                <w:color w:val="auto"/>
              </w:rPr>
            </w:pPr>
            <w:r>
              <w:rPr>
                <w:rFonts w:hint="eastAsia"/>
                <w:color w:val="auto"/>
              </w:rPr>
              <w:t>（5）鼓励污水深度治理、中水回用项目、资源综合利用项目入驻。</w:t>
            </w:r>
          </w:p>
        </w:tc>
        <w:tc>
          <w:tcPr>
            <w:tcW w:w="1621" w:type="pct"/>
            <w:vAlign w:val="center"/>
          </w:tcPr>
          <w:p>
            <w:pPr>
              <w:pStyle w:val="421"/>
              <w:jc w:val="left"/>
              <w:rPr>
                <w:color w:val="auto"/>
              </w:rPr>
            </w:pPr>
            <w:r>
              <w:rPr>
                <w:rFonts w:hint="eastAsia"/>
                <w:color w:val="auto"/>
              </w:rPr>
              <w:t xml:space="preserve"> 本项目不属于污水深度治理、中水回用项目、资源综合利用项目。</w:t>
            </w:r>
          </w:p>
        </w:tc>
        <w:tc>
          <w:tcPr>
            <w:tcW w:w="405" w:type="pct"/>
            <w:vAlign w:val="center"/>
          </w:tcPr>
          <w:p>
            <w:pPr>
              <w:pStyle w:val="421"/>
              <w:rPr>
                <w:color w:val="auto"/>
              </w:rPr>
            </w:pPr>
            <w:r>
              <w:rPr>
                <w:color w:val="auto"/>
              </w:rPr>
              <w:t>不涉及</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2549" w:type="pct"/>
            <w:gridSpan w:val="3"/>
            <w:vAlign w:val="center"/>
          </w:tcPr>
          <w:p>
            <w:pPr>
              <w:pStyle w:val="421"/>
              <w:ind w:firstLine="105" w:firstLineChars="50"/>
              <w:jc w:val="left"/>
              <w:rPr>
                <w:color w:val="auto"/>
              </w:rPr>
            </w:pPr>
            <w:r>
              <w:rPr>
                <w:rFonts w:hint="eastAsia"/>
                <w:color w:val="auto"/>
              </w:rPr>
              <w:t>（6）建设项目用地应满足集聚区土地利用规划要求，投资强度满足《河南省工业项目建设用地控制指标》的要求。</w:t>
            </w:r>
          </w:p>
        </w:tc>
        <w:tc>
          <w:tcPr>
            <w:tcW w:w="1621" w:type="pct"/>
            <w:vAlign w:val="center"/>
          </w:tcPr>
          <w:p>
            <w:pPr>
              <w:pStyle w:val="421"/>
              <w:ind w:firstLine="105" w:firstLineChars="50"/>
              <w:jc w:val="left"/>
              <w:rPr>
                <w:color w:val="auto"/>
              </w:rPr>
            </w:pPr>
            <w:r>
              <w:rPr>
                <w:rFonts w:hint="eastAsia"/>
                <w:color w:val="auto"/>
              </w:rPr>
              <w:t>本项目为二类项目，厂址用地性质为二类工业用地，投资强度满足</w:t>
            </w:r>
            <w:r>
              <w:rPr>
                <w:color w:val="auto"/>
              </w:rPr>
              <w:t>《河南省工业项目建设用地控制指标》的要求</w:t>
            </w:r>
            <w:r>
              <w:rPr>
                <w:rFonts w:hint="eastAsia"/>
                <w:color w:val="auto"/>
              </w:rPr>
              <w:t>。</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168" w:hRule="atLeast"/>
          <w:jc w:val="center"/>
        </w:trPr>
        <w:tc>
          <w:tcPr>
            <w:tcW w:w="424" w:type="pct"/>
            <w:vMerge w:val="restart"/>
            <w:vAlign w:val="center"/>
          </w:tcPr>
          <w:p>
            <w:pPr>
              <w:pStyle w:val="421"/>
              <w:rPr>
                <w:color w:val="auto"/>
              </w:rPr>
            </w:pPr>
            <w:r>
              <w:rPr>
                <w:rFonts w:hint="eastAsia"/>
                <w:color w:val="auto"/>
              </w:rPr>
              <w:t>环境准入负面清单</w:t>
            </w:r>
          </w:p>
        </w:tc>
        <w:tc>
          <w:tcPr>
            <w:tcW w:w="576" w:type="pct"/>
            <w:vMerge w:val="restart"/>
            <w:vAlign w:val="center"/>
          </w:tcPr>
          <w:p>
            <w:pPr>
              <w:pStyle w:val="421"/>
              <w:rPr>
                <w:color w:val="auto"/>
              </w:rPr>
            </w:pPr>
            <w:r>
              <w:rPr>
                <w:rFonts w:hint="eastAsia"/>
                <w:color w:val="auto"/>
              </w:rPr>
              <w:t>限制类（北区城东片区）</w:t>
            </w:r>
          </w:p>
        </w:tc>
        <w:tc>
          <w:tcPr>
            <w:tcW w:w="739" w:type="pct"/>
            <w:vAlign w:val="center"/>
          </w:tcPr>
          <w:p>
            <w:pPr>
              <w:pStyle w:val="421"/>
              <w:rPr>
                <w:color w:val="auto"/>
              </w:rPr>
            </w:pPr>
            <w:r>
              <w:rPr>
                <w:color w:val="auto"/>
              </w:rPr>
              <w:t>空间布局及土地规划</w:t>
            </w:r>
          </w:p>
        </w:tc>
        <w:tc>
          <w:tcPr>
            <w:tcW w:w="1233" w:type="pct"/>
            <w:vAlign w:val="center"/>
          </w:tcPr>
          <w:p>
            <w:pPr>
              <w:pStyle w:val="421"/>
              <w:ind w:firstLine="105" w:firstLineChars="50"/>
              <w:jc w:val="left"/>
              <w:rPr>
                <w:color w:val="auto"/>
              </w:rPr>
            </w:pPr>
            <w:r>
              <w:rPr>
                <w:color w:val="auto"/>
              </w:rPr>
              <w:t>限制与集聚区土地利用规划不相符的现有企业进行扩建。</w:t>
            </w:r>
          </w:p>
        </w:tc>
        <w:tc>
          <w:tcPr>
            <w:tcW w:w="1621" w:type="pct"/>
            <w:vAlign w:val="center"/>
          </w:tcPr>
          <w:p>
            <w:pPr>
              <w:pStyle w:val="421"/>
              <w:ind w:firstLine="105" w:firstLineChars="50"/>
              <w:jc w:val="left"/>
              <w:rPr>
                <w:color w:val="auto"/>
              </w:rPr>
            </w:pPr>
            <w:r>
              <w:rPr>
                <w:rFonts w:hint="eastAsia"/>
                <w:color w:val="auto"/>
              </w:rPr>
              <w:t>本项目为新建项目。</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114" w:hRule="atLeast"/>
          <w:jc w:val="center"/>
        </w:trPr>
        <w:tc>
          <w:tcPr>
            <w:tcW w:w="424" w:type="pct"/>
            <w:vMerge w:val="continue"/>
            <w:vAlign w:val="center"/>
          </w:tcPr>
          <w:p>
            <w:pPr>
              <w:pStyle w:val="421"/>
              <w:rPr>
                <w:color w:val="auto"/>
              </w:rPr>
            </w:pPr>
          </w:p>
        </w:tc>
        <w:tc>
          <w:tcPr>
            <w:tcW w:w="576" w:type="pct"/>
            <w:vMerge w:val="continue"/>
            <w:vAlign w:val="center"/>
          </w:tcPr>
          <w:p>
            <w:pPr>
              <w:pStyle w:val="421"/>
              <w:rPr>
                <w:color w:val="auto"/>
              </w:rPr>
            </w:pPr>
          </w:p>
        </w:tc>
        <w:tc>
          <w:tcPr>
            <w:tcW w:w="739" w:type="pct"/>
            <w:vAlign w:val="center"/>
          </w:tcPr>
          <w:p>
            <w:pPr>
              <w:pStyle w:val="421"/>
              <w:rPr>
                <w:color w:val="auto"/>
              </w:rPr>
            </w:pPr>
            <w:r>
              <w:rPr>
                <w:color w:val="auto"/>
              </w:rPr>
              <w:t>产业政策及行业准入</w:t>
            </w:r>
          </w:p>
        </w:tc>
        <w:tc>
          <w:tcPr>
            <w:tcW w:w="1233" w:type="pct"/>
            <w:vAlign w:val="center"/>
          </w:tcPr>
          <w:p>
            <w:pPr>
              <w:pStyle w:val="421"/>
              <w:ind w:firstLine="105" w:firstLineChars="50"/>
              <w:jc w:val="left"/>
              <w:rPr>
                <w:color w:val="auto"/>
              </w:rPr>
            </w:pPr>
            <w:r>
              <w:rPr>
                <w:color w:val="auto"/>
              </w:rPr>
              <w:t>限制发展原料和产品为非环境友好型的项目</w:t>
            </w:r>
            <w:r>
              <w:rPr>
                <w:rFonts w:hint="eastAsia"/>
                <w:color w:val="auto"/>
              </w:rPr>
              <w:t>。</w:t>
            </w:r>
          </w:p>
        </w:tc>
        <w:tc>
          <w:tcPr>
            <w:tcW w:w="1621" w:type="pct"/>
            <w:vAlign w:val="center"/>
          </w:tcPr>
          <w:p>
            <w:pPr>
              <w:pStyle w:val="421"/>
              <w:ind w:firstLine="105" w:firstLineChars="50"/>
              <w:jc w:val="left"/>
              <w:rPr>
                <w:color w:val="auto"/>
              </w:rPr>
            </w:pPr>
            <w:r>
              <w:rPr>
                <w:rFonts w:hint="eastAsia"/>
                <w:color w:val="auto"/>
              </w:rPr>
              <w:t>本项目的原料、产品均为环境友好型。</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576" w:type="pct"/>
            <w:vMerge w:val="continue"/>
            <w:vAlign w:val="center"/>
          </w:tcPr>
          <w:p>
            <w:pPr>
              <w:pStyle w:val="421"/>
              <w:rPr>
                <w:color w:val="auto"/>
              </w:rPr>
            </w:pPr>
          </w:p>
        </w:tc>
        <w:tc>
          <w:tcPr>
            <w:tcW w:w="739" w:type="pct"/>
            <w:vAlign w:val="center"/>
          </w:tcPr>
          <w:p>
            <w:pPr>
              <w:pStyle w:val="421"/>
              <w:rPr>
                <w:color w:val="auto"/>
              </w:rPr>
            </w:pPr>
            <w:r>
              <w:rPr>
                <w:color w:val="auto"/>
              </w:rPr>
              <w:t>污染物排放及资源利用</w:t>
            </w:r>
          </w:p>
        </w:tc>
        <w:tc>
          <w:tcPr>
            <w:tcW w:w="1233" w:type="pct"/>
            <w:vAlign w:val="center"/>
          </w:tcPr>
          <w:p>
            <w:pPr>
              <w:pStyle w:val="421"/>
              <w:ind w:firstLine="105" w:firstLineChars="50"/>
              <w:jc w:val="left"/>
              <w:rPr>
                <w:color w:val="auto"/>
              </w:rPr>
            </w:pPr>
            <w:r>
              <w:rPr>
                <w:color w:val="auto"/>
              </w:rPr>
              <w:t>限制</w:t>
            </w:r>
            <w:r>
              <w:rPr>
                <w:rFonts w:hint="eastAsia"/>
                <w:color w:val="auto"/>
              </w:rPr>
              <w:t>污染防治</w:t>
            </w:r>
            <w:r>
              <w:rPr>
                <w:color w:val="auto"/>
              </w:rPr>
              <w:t>和资源利用技术不成熟</w:t>
            </w:r>
            <w:r>
              <w:rPr>
                <w:rFonts w:hint="eastAsia"/>
                <w:color w:val="auto"/>
              </w:rPr>
              <w:t>、</w:t>
            </w:r>
            <w:r>
              <w:rPr>
                <w:color w:val="auto"/>
              </w:rPr>
              <w:t>污染物不能达标排放的项目</w:t>
            </w:r>
            <w:r>
              <w:rPr>
                <w:rFonts w:hint="eastAsia"/>
                <w:color w:val="auto"/>
              </w:rPr>
              <w:t>。</w:t>
            </w:r>
          </w:p>
        </w:tc>
        <w:tc>
          <w:tcPr>
            <w:tcW w:w="1621" w:type="pct"/>
            <w:vAlign w:val="center"/>
          </w:tcPr>
          <w:p>
            <w:pPr>
              <w:pStyle w:val="421"/>
              <w:ind w:firstLine="105" w:firstLineChars="50"/>
              <w:jc w:val="left"/>
              <w:rPr>
                <w:color w:val="auto"/>
              </w:rPr>
            </w:pPr>
            <w:r>
              <w:rPr>
                <w:rFonts w:hint="eastAsia"/>
                <w:color w:val="auto"/>
              </w:rPr>
              <w:t>项目污染防治</w:t>
            </w:r>
            <w:r>
              <w:rPr>
                <w:color w:val="auto"/>
              </w:rPr>
              <w:t>和资源利用技术成熟</w:t>
            </w:r>
            <w:r>
              <w:rPr>
                <w:rFonts w:hint="eastAsia"/>
                <w:color w:val="auto"/>
              </w:rPr>
              <w:t>，</w:t>
            </w:r>
            <w:r>
              <w:rPr>
                <w:color w:val="auto"/>
              </w:rPr>
              <w:t>污染物能够做到达标排放</w:t>
            </w:r>
            <w:r>
              <w:rPr>
                <w:rFonts w:hint="eastAsia"/>
                <w:color w:val="auto"/>
              </w:rPr>
              <w:t>。</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302" w:hRule="atLeast"/>
          <w:jc w:val="center"/>
        </w:trPr>
        <w:tc>
          <w:tcPr>
            <w:tcW w:w="424" w:type="pct"/>
            <w:vMerge w:val="continue"/>
            <w:vAlign w:val="center"/>
          </w:tcPr>
          <w:p>
            <w:pPr>
              <w:pStyle w:val="421"/>
              <w:rPr>
                <w:color w:val="auto"/>
              </w:rPr>
            </w:pPr>
          </w:p>
        </w:tc>
        <w:tc>
          <w:tcPr>
            <w:tcW w:w="576" w:type="pct"/>
            <w:vMerge w:val="continue"/>
            <w:vAlign w:val="center"/>
          </w:tcPr>
          <w:p>
            <w:pPr>
              <w:pStyle w:val="421"/>
              <w:rPr>
                <w:color w:val="auto"/>
              </w:rPr>
            </w:pPr>
          </w:p>
        </w:tc>
        <w:tc>
          <w:tcPr>
            <w:tcW w:w="739" w:type="pct"/>
            <w:vAlign w:val="center"/>
          </w:tcPr>
          <w:p>
            <w:pPr>
              <w:pStyle w:val="421"/>
              <w:rPr>
                <w:color w:val="auto"/>
              </w:rPr>
            </w:pPr>
            <w:r>
              <w:rPr>
                <w:color w:val="auto"/>
              </w:rPr>
              <w:t>环境风险</w:t>
            </w:r>
          </w:p>
        </w:tc>
        <w:tc>
          <w:tcPr>
            <w:tcW w:w="1233" w:type="pct"/>
            <w:vAlign w:val="center"/>
          </w:tcPr>
          <w:p>
            <w:pPr>
              <w:pStyle w:val="421"/>
              <w:ind w:firstLine="105" w:firstLineChars="50"/>
              <w:jc w:val="left"/>
              <w:rPr>
                <w:color w:val="auto"/>
              </w:rPr>
            </w:pPr>
            <w:r>
              <w:rPr>
                <w:color w:val="auto"/>
              </w:rPr>
              <w:t>限制新建无可靠风险防范措施且存在加大危险源项目</w:t>
            </w:r>
            <w:r>
              <w:rPr>
                <w:rFonts w:hint="eastAsia"/>
                <w:color w:val="auto"/>
              </w:rPr>
              <w:t>。</w:t>
            </w:r>
          </w:p>
        </w:tc>
        <w:tc>
          <w:tcPr>
            <w:tcW w:w="1621" w:type="pct"/>
            <w:vAlign w:val="center"/>
          </w:tcPr>
          <w:p>
            <w:pPr>
              <w:pStyle w:val="421"/>
              <w:ind w:firstLine="105" w:firstLineChars="50"/>
              <w:jc w:val="left"/>
              <w:rPr>
                <w:color w:val="auto"/>
              </w:rPr>
            </w:pPr>
            <w:r>
              <w:rPr>
                <w:rFonts w:hint="eastAsia"/>
                <w:color w:val="auto"/>
              </w:rPr>
              <w:t>本项目不存在重大风险源，环境风险可控，拟建设有风险防范措施。</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34" w:hRule="atLeast"/>
          <w:jc w:val="center"/>
        </w:trPr>
        <w:tc>
          <w:tcPr>
            <w:tcW w:w="424" w:type="pct"/>
            <w:vMerge w:val="continue"/>
            <w:vAlign w:val="center"/>
          </w:tcPr>
          <w:p>
            <w:pPr>
              <w:pStyle w:val="421"/>
              <w:rPr>
                <w:color w:val="auto"/>
              </w:rPr>
            </w:pPr>
          </w:p>
        </w:tc>
        <w:tc>
          <w:tcPr>
            <w:tcW w:w="576" w:type="pct"/>
            <w:vMerge w:val="restart"/>
            <w:vAlign w:val="center"/>
          </w:tcPr>
          <w:p>
            <w:pPr>
              <w:pStyle w:val="421"/>
              <w:rPr>
                <w:color w:val="auto"/>
              </w:rPr>
            </w:pPr>
            <w:r>
              <w:rPr>
                <w:rFonts w:hint="eastAsia"/>
                <w:color w:val="auto"/>
              </w:rPr>
              <w:t>禁止类（北区城东片区）</w:t>
            </w:r>
          </w:p>
        </w:tc>
        <w:tc>
          <w:tcPr>
            <w:tcW w:w="739" w:type="pct"/>
            <w:vAlign w:val="center"/>
          </w:tcPr>
          <w:p>
            <w:pPr>
              <w:pStyle w:val="421"/>
              <w:rPr>
                <w:color w:val="auto"/>
              </w:rPr>
            </w:pPr>
            <w:r>
              <w:rPr>
                <w:color w:val="auto"/>
              </w:rPr>
              <w:t>空间布局及土地规划</w:t>
            </w:r>
          </w:p>
        </w:tc>
        <w:tc>
          <w:tcPr>
            <w:tcW w:w="1233" w:type="pct"/>
            <w:vAlign w:val="center"/>
          </w:tcPr>
          <w:p>
            <w:pPr>
              <w:pStyle w:val="421"/>
              <w:ind w:firstLine="105" w:firstLineChars="50"/>
              <w:jc w:val="left"/>
              <w:rPr>
                <w:color w:val="auto"/>
              </w:rPr>
            </w:pPr>
            <w:r>
              <w:rPr>
                <w:color w:val="auto"/>
              </w:rPr>
              <w:t>1.禁止入驻不符合土地利用规划的项目</w:t>
            </w:r>
            <w:r>
              <w:rPr>
                <w:rFonts w:hint="eastAsia"/>
                <w:color w:val="auto"/>
              </w:rPr>
              <w:t>；</w:t>
            </w:r>
          </w:p>
          <w:p>
            <w:pPr>
              <w:pStyle w:val="421"/>
              <w:ind w:firstLine="105" w:firstLineChars="50"/>
              <w:jc w:val="left"/>
              <w:rPr>
                <w:color w:val="auto"/>
              </w:rPr>
            </w:pPr>
            <w:r>
              <w:rPr>
                <w:rFonts w:hint="eastAsia"/>
                <w:color w:val="auto"/>
              </w:rPr>
              <w:t>2.禁止入驻化工项目。</w:t>
            </w:r>
          </w:p>
        </w:tc>
        <w:tc>
          <w:tcPr>
            <w:tcW w:w="1621" w:type="pct"/>
            <w:vAlign w:val="center"/>
          </w:tcPr>
          <w:p>
            <w:pPr>
              <w:pStyle w:val="421"/>
              <w:ind w:firstLine="105" w:firstLineChars="50"/>
              <w:jc w:val="left"/>
              <w:rPr>
                <w:color w:val="auto"/>
              </w:rPr>
            </w:pPr>
            <w:r>
              <w:rPr>
                <w:rFonts w:hint="eastAsia"/>
                <w:color w:val="auto"/>
              </w:rPr>
              <w:t>项目厂址土地性质为二类工业用地，符合土地利用规划；本项目不属于化工项目。</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576" w:type="pct"/>
            <w:vMerge w:val="continue"/>
            <w:vAlign w:val="center"/>
          </w:tcPr>
          <w:p>
            <w:pPr>
              <w:pStyle w:val="421"/>
              <w:rPr>
                <w:color w:val="auto"/>
              </w:rPr>
            </w:pPr>
          </w:p>
        </w:tc>
        <w:tc>
          <w:tcPr>
            <w:tcW w:w="739" w:type="pct"/>
            <w:vAlign w:val="center"/>
          </w:tcPr>
          <w:p>
            <w:pPr>
              <w:pStyle w:val="421"/>
              <w:rPr>
                <w:color w:val="auto"/>
              </w:rPr>
            </w:pPr>
            <w:r>
              <w:rPr>
                <w:color w:val="auto"/>
              </w:rPr>
              <w:t>产业政策及行业准入</w:t>
            </w:r>
          </w:p>
        </w:tc>
        <w:tc>
          <w:tcPr>
            <w:tcW w:w="1233" w:type="pct"/>
            <w:vAlign w:val="center"/>
          </w:tcPr>
          <w:p>
            <w:pPr>
              <w:pStyle w:val="421"/>
              <w:ind w:firstLine="105" w:firstLineChars="50"/>
              <w:jc w:val="left"/>
              <w:rPr>
                <w:color w:val="auto"/>
              </w:rPr>
            </w:pPr>
            <w:r>
              <w:rPr>
                <w:color w:val="auto"/>
              </w:rPr>
              <w:t>1.禁止新建国家《产业结构调整指导目录（2011年本）》（2013年修正）中限制、淘汰类的建设项目；</w:t>
            </w:r>
          </w:p>
          <w:p>
            <w:pPr>
              <w:pStyle w:val="421"/>
              <w:ind w:firstLine="105" w:firstLineChars="50"/>
              <w:jc w:val="left"/>
              <w:rPr>
                <w:color w:val="auto"/>
              </w:rPr>
            </w:pPr>
            <w:r>
              <w:rPr>
                <w:color w:val="auto"/>
              </w:rPr>
              <w:t>2.禁止建设使用高VOCs含量的溶剂型涂料、油墨和胶黏剂等项目。</w:t>
            </w:r>
          </w:p>
        </w:tc>
        <w:tc>
          <w:tcPr>
            <w:tcW w:w="1621" w:type="pct"/>
            <w:vAlign w:val="center"/>
          </w:tcPr>
          <w:p>
            <w:pPr>
              <w:pStyle w:val="421"/>
              <w:jc w:val="left"/>
              <w:rPr>
                <w:color w:val="auto"/>
              </w:rPr>
            </w:pPr>
            <w:r>
              <w:rPr>
                <w:rFonts w:hint="eastAsia"/>
                <w:color w:val="auto"/>
              </w:rPr>
              <w:t>本项目属于</w:t>
            </w:r>
            <w:r>
              <w:rPr>
                <w:color w:val="auto"/>
              </w:rPr>
              <w:t>《</w:t>
            </w:r>
            <w:r>
              <w:rPr>
                <w:rFonts w:hint="eastAsia"/>
                <w:color w:val="auto"/>
              </w:rPr>
              <w:t>国家</w:t>
            </w:r>
            <w:r>
              <w:rPr>
                <w:color w:val="auto"/>
              </w:rPr>
              <w:t>产业结构调整指导目录（201</w:t>
            </w:r>
            <w:r>
              <w:rPr>
                <w:rFonts w:hint="eastAsia"/>
                <w:color w:val="auto"/>
              </w:rPr>
              <w:t>9</w:t>
            </w:r>
            <w:r>
              <w:rPr>
                <w:color w:val="auto"/>
              </w:rPr>
              <w:t>年本）》允许类项目</w:t>
            </w:r>
            <w:r>
              <w:rPr>
                <w:rFonts w:hint="eastAsia"/>
                <w:color w:val="auto"/>
              </w:rPr>
              <w:t>。不涉及使用</w:t>
            </w:r>
            <w:r>
              <w:rPr>
                <w:color w:val="auto"/>
              </w:rPr>
              <w:t>高VOCs含量的溶剂型涂料、油墨和胶黏剂等</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576" w:type="pct"/>
            <w:vMerge w:val="continue"/>
            <w:vAlign w:val="center"/>
          </w:tcPr>
          <w:p>
            <w:pPr>
              <w:pStyle w:val="421"/>
              <w:rPr>
                <w:color w:val="auto"/>
              </w:rPr>
            </w:pPr>
          </w:p>
        </w:tc>
        <w:tc>
          <w:tcPr>
            <w:tcW w:w="739" w:type="pct"/>
            <w:vAlign w:val="center"/>
          </w:tcPr>
          <w:p>
            <w:pPr>
              <w:pStyle w:val="421"/>
              <w:rPr>
                <w:color w:val="auto"/>
              </w:rPr>
            </w:pPr>
            <w:r>
              <w:rPr>
                <w:color w:val="auto"/>
              </w:rPr>
              <w:t>污染物排放及资源利用</w:t>
            </w:r>
          </w:p>
        </w:tc>
        <w:tc>
          <w:tcPr>
            <w:tcW w:w="1233" w:type="pct"/>
            <w:vAlign w:val="center"/>
          </w:tcPr>
          <w:p>
            <w:pPr>
              <w:pStyle w:val="421"/>
              <w:ind w:firstLine="105" w:firstLineChars="50"/>
              <w:jc w:val="left"/>
              <w:rPr>
                <w:color w:val="auto"/>
              </w:rPr>
            </w:pPr>
            <w:r>
              <w:rPr>
                <w:color w:val="auto"/>
              </w:rPr>
              <w:t>1.禁止新建燃煤锅炉项目</w:t>
            </w:r>
            <w:r>
              <w:rPr>
                <w:rFonts w:hint="eastAsia"/>
                <w:color w:val="auto"/>
              </w:rPr>
              <w:t>；</w:t>
            </w:r>
          </w:p>
          <w:p>
            <w:pPr>
              <w:pStyle w:val="421"/>
              <w:ind w:firstLine="105" w:firstLineChars="50"/>
              <w:jc w:val="left"/>
              <w:rPr>
                <w:color w:val="auto"/>
              </w:rPr>
            </w:pPr>
            <w:r>
              <w:rPr>
                <w:color w:val="auto"/>
              </w:rPr>
              <w:t>2.禁止</w:t>
            </w:r>
            <w:r>
              <w:rPr>
                <w:rFonts w:hint="eastAsia"/>
                <w:color w:val="auto"/>
              </w:rPr>
              <w:t>引入</w:t>
            </w:r>
            <w:r>
              <w:rPr>
                <w:color w:val="auto"/>
              </w:rPr>
              <w:t>排放</w:t>
            </w:r>
            <w:r>
              <w:rPr>
                <w:rFonts w:hint="eastAsia"/>
                <w:color w:val="auto"/>
              </w:rPr>
              <w:t>《污水综合排放标准》（GB8978-1996）中表1、第一类污染物的项目。</w:t>
            </w:r>
          </w:p>
        </w:tc>
        <w:tc>
          <w:tcPr>
            <w:tcW w:w="1621" w:type="pct"/>
            <w:vAlign w:val="center"/>
          </w:tcPr>
          <w:p>
            <w:pPr>
              <w:pStyle w:val="421"/>
              <w:jc w:val="left"/>
              <w:rPr>
                <w:color w:val="auto"/>
              </w:rPr>
            </w:pPr>
            <w:r>
              <w:rPr>
                <w:rFonts w:hint="eastAsia"/>
                <w:color w:val="auto"/>
              </w:rPr>
              <w:t>1、本项目不建设燃煤锅炉；</w:t>
            </w:r>
          </w:p>
          <w:p>
            <w:pPr>
              <w:pStyle w:val="421"/>
              <w:jc w:val="left"/>
              <w:rPr>
                <w:color w:val="auto"/>
              </w:rPr>
            </w:pPr>
            <w:r>
              <w:rPr>
                <w:rFonts w:hint="eastAsia"/>
                <w:color w:val="auto"/>
              </w:rPr>
              <w:t>2、项目涉及的第一类污染物为总铬、六价铬及总镍，含一类污染的废水经处理后全部回用不外排。不属于排放《污水综合排放标准》（GB8978- 1996）中表1、第一类污染物的项目。</w:t>
            </w:r>
          </w:p>
        </w:tc>
        <w:tc>
          <w:tcPr>
            <w:tcW w:w="405" w:type="pct"/>
            <w:vAlign w:val="center"/>
          </w:tcPr>
          <w:p>
            <w:pPr>
              <w:pStyle w:val="421"/>
              <w:rPr>
                <w:color w:val="auto"/>
              </w:rPr>
            </w:pPr>
            <w:r>
              <w:rPr>
                <w:rFonts w:hint="eastAsia"/>
                <w:color w:val="auto"/>
              </w:rPr>
              <w:t>相 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24" w:type="pct"/>
            <w:vMerge w:val="continue"/>
            <w:vAlign w:val="center"/>
          </w:tcPr>
          <w:p>
            <w:pPr>
              <w:pStyle w:val="421"/>
              <w:rPr>
                <w:color w:val="auto"/>
              </w:rPr>
            </w:pPr>
          </w:p>
        </w:tc>
        <w:tc>
          <w:tcPr>
            <w:tcW w:w="576" w:type="pct"/>
            <w:vMerge w:val="continue"/>
            <w:vAlign w:val="center"/>
          </w:tcPr>
          <w:p>
            <w:pPr>
              <w:pStyle w:val="421"/>
              <w:rPr>
                <w:color w:val="auto"/>
              </w:rPr>
            </w:pPr>
          </w:p>
        </w:tc>
        <w:tc>
          <w:tcPr>
            <w:tcW w:w="739" w:type="pct"/>
            <w:vAlign w:val="center"/>
          </w:tcPr>
          <w:p>
            <w:pPr>
              <w:pStyle w:val="421"/>
              <w:rPr>
                <w:color w:val="auto"/>
              </w:rPr>
            </w:pPr>
            <w:r>
              <w:rPr>
                <w:color w:val="auto"/>
              </w:rPr>
              <w:t>环境风险</w:t>
            </w:r>
          </w:p>
        </w:tc>
        <w:tc>
          <w:tcPr>
            <w:tcW w:w="1233" w:type="pct"/>
            <w:vAlign w:val="center"/>
          </w:tcPr>
          <w:p>
            <w:pPr>
              <w:pStyle w:val="421"/>
              <w:ind w:firstLine="105" w:firstLineChars="50"/>
              <w:jc w:val="left"/>
              <w:rPr>
                <w:color w:val="auto"/>
              </w:rPr>
            </w:pPr>
            <w:r>
              <w:rPr>
                <w:color w:val="auto"/>
              </w:rPr>
              <w:t>禁止新建</w:t>
            </w:r>
            <w:r>
              <w:rPr>
                <w:rFonts w:hint="eastAsia"/>
                <w:color w:val="auto"/>
              </w:rPr>
              <w:t>与环境敏感目标间距不能满足建设项目环评文件或者行业规定的防护距离要求的项目。</w:t>
            </w:r>
          </w:p>
        </w:tc>
        <w:tc>
          <w:tcPr>
            <w:tcW w:w="1621" w:type="pct"/>
            <w:vAlign w:val="center"/>
          </w:tcPr>
          <w:p>
            <w:pPr>
              <w:pStyle w:val="421"/>
              <w:jc w:val="left"/>
              <w:rPr>
                <w:color w:val="auto"/>
              </w:rPr>
            </w:pPr>
            <w:r>
              <w:rPr>
                <w:rFonts w:hint="eastAsia"/>
                <w:color w:val="auto"/>
              </w:rPr>
              <w:t>根据现有政策，本项目不再设置卫生防护距离，距离项目最近的环境敏感目标为厂界北侧276m的前李村，</w:t>
            </w:r>
            <w:r>
              <w:rPr>
                <w:rFonts w:hint="eastAsia"/>
                <w:b/>
                <w:bCs/>
                <w:color w:val="auto"/>
                <w:u w:val="single"/>
                <w:lang w:val="en-US" w:eastAsia="zh-CN"/>
              </w:rPr>
              <w:t>经分析本项目环境风险对该村庄影响较小</w:t>
            </w:r>
            <w:r>
              <w:rPr>
                <w:rFonts w:hint="eastAsia"/>
                <w:color w:val="auto"/>
              </w:rPr>
              <w:t>。</w:t>
            </w:r>
          </w:p>
        </w:tc>
        <w:tc>
          <w:tcPr>
            <w:tcW w:w="405" w:type="pct"/>
            <w:vAlign w:val="center"/>
          </w:tcPr>
          <w:p>
            <w:pPr>
              <w:pStyle w:val="421"/>
              <w:rPr>
                <w:color w:val="auto"/>
              </w:rPr>
            </w:pPr>
            <w:r>
              <w:rPr>
                <w:rFonts w:hint="eastAsia"/>
                <w:color w:val="auto"/>
              </w:rPr>
              <w:t>相 符</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2"/>
        <w:textAlignment w:val="auto"/>
        <w:rPr>
          <w:snapToGrid w:val="0"/>
          <w:color w:val="auto"/>
          <w:kern w:val="21"/>
          <w:sz w:val="24"/>
        </w:rPr>
      </w:pPr>
      <w:r>
        <w:rPr>
          <w:rFonts w:hint="eastAsia"/>
          <w:snapToGrid w:val="0"/>
          <w:color w:val="auto"/>
          <w:kern w:val="21"/>
          <w:sz w:val="24"/>
        </w:rPr>
        <w:t>由上表可知，</w:t>
      </w:r>
      <w:r>
        <w:rPr>
          <w:rFonts w:hint="eastAsia"/>
          <w:snapToGrid w:val="0"/>
          <w:color w:val="auto"/>
          <w:kern w:val="21"/>
          <w:sz w:val="24"/>
          <w:lang w:eastAsia="zh-CN"/>
        </w:rPr>
        <w:t>本</w:t>
      </w:r>
      <w:r>
        <w:rPr>
          <w:rFonts w:hint="eastAsia"/>
          <w:snapToGrid w:val="0"/>
          <w:color w:val="auto"/>
          <w:kern w:val="21"/>
          <w:sz w:val="24"/>
        </w:rPr>
        <w:t>项目位于集聚区北区城东片区，用地性质为二类工业用地，与规划环评环境准入条件相符，不在环境准入负面清单内，符合集聚区规划环评及审查意见要求。</w:t>
      </w:r>
    </w:p>
    <w:p>
      <w:pPr>
        <w:pStyle w:val="32"/>
        <w:adjustRightInd w:val="0"/>
        <w:snapToGrid w:val="0"/>
        <w:spacing w:after="0" w:line="360" w:lineRule="auto"/>
        <w:outlineLvl w:val="2"/>
        <w:rPr>
          <w:rFonts w:eastAsia="黑体"/>
          <w:color w:val="auto"/>
          <w:kern w:val="21"/>
          <w:sz w:val="28"/>
          <w:szCs w:val="28"/>
          <w:lang w:val="en-US"/>
        </w:rPr>
      </w:pPr>
      <w:r>
        <w:rPr>
          <w:rFonts w:eastAsia="黑体"/>
          <w:color w:val="auto"/>
          <w:kern w:val="21"/>
          <w:sz w:val="28"/>
          <w:szCs w:val="28"/>
          <w:lang w:val="en-US"/>
        </w:rPr>
        <w:t>2.</w:t>
      </w:r>
      <w:r>
        <w:rPr>
          <w:rFonts w:hint="eastAsia" w:eastAsia="黑体"/>
          <w:color w:val="auto"/>
          <w:kern w:val="21"/>
          <w:sz w:val="28"/>
          <w:szCs w:val="28"/>
          <w:lang w:val="en-US"/>
        </w:rPr>
        <w:t>8.5</w:t>
      </w:r>
      <w:r>
        <w:rPr>
          <w:rFonts w:eastAsia="黑体"/>
          <w:color w:val="auto"/>
          <w:kern w:val="21"/>
          <w:sz w:val="28"/>
          <w:szCs w:val="28"/>
          <w:lang w:val="en-US"/>
        </w:rPr>
        <w:t>饮用水水源地保护区</w:t>
      </w:r>
    </w:p>
    <w:bookmarkEnd w:id="86"/>
    <w:bookmarkEnd w:id="87"/>
    <w:bookmarkEnd w:id="88"/>
    <w:bookmarkEnd w:id="89"/>
    <w:bookmarkEnd w:id="90"/>
    <w:bookmarkEnd w:id="91"/>
    <w:bookmarkEnd w:id="92"/>
    <w:bookmarkEnd w:id="97"/>
    <w:bookmarkEnd w:id="98"/>
    <w:bookmarkEnd w:id="99"/>
    <w:p>
      <w:pPr>
        <w:adjustRightInd w:val="0"/>
        <w:snapToGrid w:val="0"/>
        <w:spacing w:line="360" w:lineRule="auto"/>
        <w:ind w:firstLine="482"/>
        <w:rPr>
          <w:snapToGrid w:val="0"/>
          <w:color w:val="auto"/>
          <w:kern w:val="21"/>
          <w:sz w:val="24"/>
        </w:rPr>
      </w:pPr>
      <w:bookmarkStart w:id="148" w:name="_Toc30812"/>
      <w:r>
        <w:rPr>
          <w:rFonts w:hint="eastAsia"/>
          <w:snapToGrid w:val="0"/>
          <w:color w:val="auto"/>
          <w:kern w:val="21"/>
          <w:sz w:val="24"/>
        </w:rPr>
        <w:t>1、</w:t>
      </w:r>
      <w:bookmarkStart w:id="149" w:name="_Toc428287201"/>
      <w:bookmarkStart w:id="150" w:name="_Toc428286807"/>
      <w:bookmarkStart w:id="151" w:name="_Toc428287553"/>
      <w:r>
        <w:rPr>
          <w:snapToGrid w:val="0"/>
          <w:color w:val="auto"/>
          <w:kern w:val="21"/>
          <w:sz w:val="24"/>
        </w:rPr>
        <w:t>新乡市级饮用水源</w:t>
      </w:r>
      <w:r>
        <w:rPr>
          <w:rFonts w:hint="eastAsia"/>
          <w:snapToGrid w:val="0"/>
          <w:color w:val="auto"/>
          <w:kern w:val="21"/>
          <w:sz w:val="24"/>
        </w:rPr>
        <w:t>保护区</w:t>
      </w:r>
      <w:bookmarkEnd w:id="149"/>
      <w:bookmarkEnd w:id="150"/>
      <w:bookmarkEnd w:id="151"/>
    </w:p>
    <w:p>
      <w:pPr>
        <w:adjustRightInd w:val="0"/>
        <w:snapToGrid w:val="0"/>
        <w:spacing w:line="360" w:lineRule="auto"/>
        <w:ind w:firstLine="482"/>
        <w:rPr>
          <w:snapToGrid w:val="0"/>
          <w:color w:val="auto"/>
          <w:kern w:val="21"/>
          <w:sz w:val="24"/>
        </w:rPr>
      </w:pPr>
      <w:r>
        <w:rPr>
          <w:snapToGrid w:val="0"/>
          <w:color w:val="auto"/>
          <w:kern w:val="21"/>
          <w:sz w:val="24"/>
        </w:rPr>
        <w:t>《新乡市城市饮用水水源地保护区划分报告》（2007.5）已由河南省人民政府以豫政办[2007]125号文批复，具体划分结果如下表。</w:t>
      </w:r>
    </w:p>
    <w:p>
      <w:pPr>
        <w:keepNext w:val="0"/>
        <w:keepLines w:val="0"/>
        <w:pageBreakBefore w:val="0"/>
        <w:widowControl/>
        <w:kinsoku/>
        <w:wordWrap/>
        <w:overflowPunct/>
        <w:topLinePunct w:val="0"/>
        <w:autoSpaceDE/>
        <w:autoSpaceDN/>
        <w:bidi w:val="0"/>
        <w:adjustRightInd w:val="0"/>
        <w:snapToGrid w:val="0"/>
        <w:spacing w:line="240" w:lineRule="auto"/>
        <w:ind w:firstLine="482"/>
        <w:jc w:val="center"/>
        <w:textAlignment w:val="auto"/>
        <w:rPr>
          <w:rFonts w:ascii="黑体" w:hAnsi="黑体" w:eastAsia="黑体"/>
          <w:snapToGrid w:val="0"/>
          <w:color w:val="auto"/>
          <w:kern w:val="21"/>
          <w:sz w:val="24"/>
          <w:szCs w:val="24"/>
        </w:rPr>
      </w:pPr>
      <w:r>
        <w:rPr>
          <w:rFonts w:ascii="黑体" w:hAnsi="黑体" w:eastAsia="黑体"/>
          <w:snapToGrid w:val="0"/>
          <w:color w:val="auto"/>
          <w:kern w:val="21"/>
          <w:sz w:val="24"/>
          <w:szCs w:val="24"/>
        </w:rPr>
        <w:t>表</w:t>
      </w:r>
      <w:r>
        <w:rPr>
          <w:rFonts w:hint="eastAsia" w:ascii="黑体" w:hAnsi="黑体" w:eastAsia="黑体"/>
          <w:snapToGrid w:val="0"/>
          <w:color w:val="auto"/>
          <w:kern w:val="21"/>
          <w:sz w:val="24"/>
          <w:szCs w:val="24"/>
        </w:rPr>
        <w:t xml:space="preserve">2.8-3   </w:t>
      </w:r>
      <w:r>
        <w:rPr>
          <w:rFonts w:ascii="黑体" w:hAnsi="黑体" w:eastAsia="黑体"/>
          <w:snapToGrid w:val="0"/>
          <w:color w:val="auto"/>
          <w:kern w:val="21"/>
          <w:sz w:val="24"/>
          <w:szCs w:val="24"/>
        </w:rPr>
        <w:t>新乡市城市集中饮用水源地</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89"/>
        <w:gridCol w:w="1969"/>
        <w:gridCol w:w="3117"/>
        <w:gridCol w:w="274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404" w:type="pct"/>
            <w:vAlign w:val="center"/>
          </w:tcPr>
          <w:p>
            <w:pPr>
              <w:pStyle w:val="424"/>
              <w:rPr>
                <w:color w:val="auto"/>
              </w:rPr>
            </w:pPr>
            <w:r>
              <w:rPr>
                <w:color w:val="auto"/>
              </w:rPr>
              <w:t>序号</w:t>
            </w:r>
          </w:p>
        </w:tc>
        <w:tc>
          <w:tcPr>
            <w:tcW w:w="1155" w:type="pct"/>
            <w:vAlign w:val="center"/>
          </w:tcPr>
          <w:p>
            <w:pPr>
              <w:pStyle w:val="424"/>
              <w:rPr>
                <w:color w:val="auto"/>
              </w:rPr>
            </w:pPr>
            <w:r>
              <w:rPr>
                <w:color w:val="auto"/>
              </w:rPr>
              <w:t>水源地名称</w:t>
            </w:r>
          </w:p>
        </w:tc>
        <w:tc>
          <w:tcPr>
            <w:tcW w:w="1828" w:type="pct"/>
            <w:vAlign w:val="center"/>
          </w:tcPr>
          <w:p>
            <w:pPr>
              <w:pStyle w:val="424"/>
              <w:rPr>
                <w:color w:val="auto"/>
              </w:rPr>
            </w:pPr>
            <w:r>
              <w:rPr>
                <w:color w:val="auto"/>
              </w:rPr>
              <w:t>一级保护区</w:t>
            </w:r>
          </w:p>
        </w:tc>
        <w:tc>
          <w:tcPr>
            <w:tcW w:w="1611" w:type="pct"/>
            <w:vAlign w:val="center"/>
          </w:tcPr>
          <w:p>
            <w:pPr>
              <w:pStyle w:val="424"/>
              <w:rPr>
                <w:color w:val="auto"/>
              </w:rPr>
            </w:pPr>
            <w:r>
              <w:rPr>
                <w:color w:val="auto"/>
              </w:rPr>
              <w:t>二级保护区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color w:val="auto"/>
              </w:rPr>
              <w:t>1</w:t>
            </w:r>
          </w:p>
        </w:tc>
        <w:tc>
          <w:tcPr>
            <w:tcW w:w="1155" w:type="pct"/>
            <w:vAlign w:val="center"/>
          </w:tcPr>
          <w:p>
            <w:pPr>
              <w:pStyle w:val="421"/>
              <w:rPr>
                <w:color w:val="auto"/>
              </w:rPr>
            </w:pPr>
            <w:r>
              <w:rPr>
                <w:color w:val="auto"/>
              </w:rPr>
              <w:t>黄河贾太湖地表水饮用水源保护区</w:t>
            </w:r>
          </w:p>
        </w:tc>
        <w:tc>
          <w:tcPr>
            <w:tcW w:w="3439" w:type="pct"/>
            <w:gridSpan w:val="2"/>
            <w:vAlign w:val="center"/>
          </w:tcPr>
          <w:p>
            <w:pPr>
              <w:pStyle w:val="421"/>
              <w:rPr>
                <w:color w:val="auto"/>
              </w:rPr>
            </w:pPr>
            <w:r>
              <w:rPr>
                <w:rFonts w:hint="eastAsia"/>
                <w:color w:val="auto"/>
              </w:rPr>
              <w:t>豫政文[2018]114号文将其取消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color w:val="auto"/>
              </w:rPr>
              <w:t>2</w:t>
            </w:r>
          </w:p>
        </w:tc>
        <w:tc>
          <w:tcPr>
            <w:tcW w:w="1155" w:type="pct"/>
            <w:vAlign w:val="center"/>
          </w:tcPr>
          <w:p>
            <w:pPr>
              <w:pStyle w:val="421"/>
              <w:rPr>
                <w:color w:val="auto"/>
              </w:rPr>
            </w:pPr>
            <w:r>
              <w:rPr>
                <w:color w:val="auto"/>
              </w:rPr>
              <w:t>黄河原阳中岳地表水饮用水源保护区</w:t>
            </w:r>
          </w:p>
        </w:tc>
        <w:tc>
          <w:tcPr>
            <w:tcW w:w="3439" w:type="pct"/>
            <w:gridSpan w:val="2"/>
            <w:vAlign w:val="center"/>
          </w:tcPr>
          <w:p>
            <w:pPr>
              <w:pStyle w:val="421"/>
              <w:rPr>
                <w:color w:val="auto"/>
              </w:rPr>
            </w:pPr>
            <w:r>
              <w:rPr>
                <w:rFonts w:hint="eastAsia"/>
                <w:color w:val="auto"/>
              </w:rPr>
              <w:t>豫政文[2018]114号文将其取消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color w:val="auto"/>
              </w:rPr>
              <w:t>3</w:t>
            </w:r>
          </w:p>
        </w:tc>
        <w:tc>
          <w:tcPr>
            <w:tcW w:w="1155" w:type="pct"/>
            <w:vAlign w:val="center"/>
          </w:tcPr>
          <w:p>
            <w:pPr>
              <w:pStyle w:val="421"/>
              <w:rPr>
                <w:color w:val="auto"/>
              </w:rPr>
            </w:pPr>
            <w:r>
              <w:rPr>
                <w:color w:val="auto"/>
              </w:rPr>
              <w:t>三水厂地下水饮用水源保护区</w:t>
            </w:r>
          </w:p>
        </w:tc>
        <w:tc>
          <w:tcPr>
            <w:tcW w:w="3439" w:type="pct"/>
            <w:gridSpan w:val="2"/>
            <w:vAlign w:val="center"/>
          </w:tcPr>
          <w:p>
            <w:pPr>
              <w:pStyle w:val="421"/>
              <w:rPr>
                <w:color w:val="auto"/>
              </w:rPr>
            </w:pPr>
            <w:r>
              <w:rPr>
                <w:rFonts w:hint="eastAsia"/>
                <w:color w:val="auto"/>
              </w:rPr>
              <w:t>豫政文[2018]114号文将其取消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color w:val="auto"/>
              </w:rPr>
              <w:t>4</w:t>
            </w:r>
          </w:p>
        </w:tc>
        <w:tc>
          <w:tcPr>
            <w:tcW w:w="1155" w:type="pct"/>
            <w:vAlign w:val="center"/>
          </w:tcPr>
          <w:p>
            <w:pPr>
              <w:pStyle w:val="421"/>
              <w:rPr>
                <w:color w:val="auto"/>
              </w:rPr>
            </w:pPr>
            <w:r>
              <w:rPr>
                <w:color w:val="auto"/>
              </w:rPr>
              <w:t>四水厂地下水饮用水源保护区</w:t>
            </w:r>
          </w:p>
        </w:tc>
        <w:tc>
          <w:tcPr>
            <w:tcW w:w="3439" w:type="pct"/>
            <w:gridSpan w:val="2"/>
            <w:vAlign w:val="center"/>
          </w:tcPr>
          <w:p>
            <w:pPr>
              <w:pStyle w:val="421"/>
              <w:rPr>
                <w:color w:val="auto"/>
              </w:rPr>
            </w:pPr>
            <w:r>
              <w:rPr>
                <w:rFonts w:hint="eastAsia"/>
                <w:color w:val="auto"/>
              </w:rPr>
              <w:t>豫政文[2018]114号文将其取消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138" w:hRule="atLeast"/>
          <w:jc w:val="center"/>
        </w:trPr>
        <w:tc>
          <w:tcPr>
            <w:tcW w:w="404" w:type="pct"/>
            <w:vAlign w:val="center"/>
          </w:tcPr>
          <w:p>
            <w:pPr>
              <w:pStyle w:val="421"/>
              <w:rPr>
                <w:color w:val="auto"/>
              </w:rPr>
            </w:pPr>
            <w:r>
              <w:rPr>
                <w:color w:val="auto"/>
              </w:rPr>
              <w:t>5</w:t>
            </w:r>
          </w:p>
        </w:tc>
        <w:tc>
          <w:tcPr>
            <w:tcW w:w="1155" w:type="pct"/>
            <w:vAlign w:val="center"/>
          </w:tcPr>
          <w:p>
            <w:pPr>
              <w:pStyle w:val="421"/>
              <w:rPr>
                <w:color w:val="auto"/>
              </w:rPr>
            </w:pPr>
            <w:r>
              <w:rPr>
                <w:color w:val="auto"/>
              </w:rPr>
              <w:t>凤泉水厂地下水饮用水源保护区</w:t>
            </w:r>
          </w:p>
        </w:tc>
        <w:tc>
          <w:tcPr>
            <w:tcW w:w="1828" w:type="pct"/>
            <w:vAlign w:val="center"/>
          </w:tcPr>
          <w:p>
            <w:pPr>
              <w:pStyle w:val="421"/>
              <w:rPr>
                <w:color w:val="auto"/>
              </w:rPr>
            </w:pPr>
            <w:r>
              <w:rPr>
                <w:color w:val="auto"/>
              </w:rPr>
              <w:t>以水厂东、西两院的院墙为界向外10米以及输水管线两侧10米的区域。</w:t>
            </w:r>
          </w:p>
        </w:tc>
        <w:tc>
          <w:tcPr>
            <w:tcW w:w="1611" w:type="pct"/>
            <w:vAlign w:val="center"/>
          </w:tcPr>
          <w:p>
            <w:pPr>
              <w:pStyle w:val="421"/>
              <w:rPr>
                <w:color w:val="auto"/>
              </w:rPr>
            </w:pPr>
            <w:r>
              <w:rPr>
                <w:color w:val="auto"/>
              </w:rPr>
              <w:t>东以团结路为界，其他三面以水厂院墙为界，向外100米的区域。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color w:val="auto"/>
              </w:rPr>
              <w:t>6</w:t>
            </w:r>
          </w:p>
        </w:tc>
        <w:tc>
          <w:tcPr>
            <w:tcW w:w="1155" w:type="pct"/>
            <w:vAlign w:val="center"/>
          </w:tcPr>
          <w:p>
            <w:pPr>
              <w:pStyle w:val="421"/>
              <w:rPr>
                <w:color w:val="auto"/>
              </w:rPr>
            </w:pPr>
            <w:r>
              <w:rPr>
                <w:color w:val="auto"/>
              </w:rPr>
              <w:t>卫辉市塔岗水库地表水饮用水源保护区</w:t>
            </w:r>
          </w:p>
        </w:tc>
        <w:tc>
          <w:tcPr>
            <w:tcW w:w="1828" w:type="pct"/>
            <w:vAlign w:val="center"/>
          </w:tcPr>
          <w:p>
            <w:pPr>
              <w:pStyle w:val="421"/>
              <w:rPr>
                <w:color w:val="auto"/>
              </w:rPr>
            </w:pPr>
            <w:r>
              <w:rPr>
                <w:color w:val="auto"/>
              </w:rPr>
              <w:t>取水口外围300米的水域、正常水位线取水口一侧200米的陆域及输水管道两侧10米的陆域。</w:t>
            </w:r>
          </w:p>
        </w:tc>
        <w:tc>
          <w:tcPr>
            <w:tcW w:w="1611" w:type="pct"/>
            <w:vAlign w:val="center"/>
          </w:tcPr>
          <w:p>
            <w:pPr>
              <w:pStyle w:val="421"/>
              <w:rPr>
                <w:color w:val="auto"/>
              </w:rPr>
            </w:pPr>
            <w:r>
              <w:rPr>
                <w:color w:val="auto"/>
              </w:rPr>
              <w:t>一级保护区外的水域及山脊线内、入库河流上游3000米的陆域。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color w:val="auto"/>
              </w:rPr>
              <w:t>7</w:t>
            </w:r>
          </w:p>
        </w:tc>
        <w:tc>
          <w:tcPr>
            <w:tcW w:w="1155" w:type="pct"/>
            <w:vAlign w:val="center"/>
          </w:tcPr>
          <w:p>
            <w:pPr>
              <w:pStyle w:val="421"/>
              <w:rPr>
                <w:color w:val="auto"/>
              </w:rPr>
            </w:pPr>
            <w:r>
              <w:rPr>
                <w:color w:val="auto"/>
              </w:rPr>
              <w:t>辉县市段屯地下水饮用水源保护区</w:t>
            </w:r>
          </w:p>
        </w:tc>
        <w:tc>
          <w:tcPr>
            <w:tcW w:w="1828" w:type="pct"/>
            <w:vAlign w:val="center"/>
          </w:tcPr>
          <w:p>
            <w:pPr>
              <w:pStyle w:val="421"/>
              <w:rPr>
                <w:color w:val="auto"/>
              </w:rPr>
            </w:pPr>
            <w:r>
              <w:rPr>
                <w:color w:val="auto"/>
              </w:rPr>
              <w:t>井群外围线以外30米的区域及输水管道两侧10米的陆域。</w:t>
            </w:r>
          </w:p>
        </w:tc>
        <w:tc>
          <w:tcPr>
            <w:tcW w:w="1611" w:type="pct"/>
            <w:vAlign w:val="center"/>
          </w:tcPr>
          <w:p>
            <w:pPr>
              <w:pStyle w:val="421"/>
              <w:rPr>
                <w:color w:val="auto"/>
              </w:rPr>
            </w:pPr>
            <w:r>
              <w:rPr>
                <w:color w:val="auto"/>
              </w:rPr>
              <w:t>卫柿路以北，东外环路以东，井群外围线外300米以西和以南的区域。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Align w:val="center"/>
          </w:tcPr>
          <w:p>
            <w:pPr>
              <w:pStyle w:val="421"/>
              <w:rPr>
                <w:color w:val="auto"/>
              </w:rPr>
            </w:pPr>
            <w:r>
              <w:rPr>
                <w:rFonts w:hint="eastAsia"/>
                <w:color w:val="auto"/>
              </w:rPr>
              <w:t>8</w:t>
            </w:r>
          </w:p>
        </w:tc>
        <w:tc>
          <w:tcPr>
            <w:tcW w:w="1155" w:type="pct"/>
            <w:vAlign w:val="center"/>
          </w:tcPr>
          <w:p>
            <w:pPr>
              <w:pStyle w:val="421"/>
              <w:rPr>
                <w:color w:val="auto"/>
              </w:rPr>
            </w:pPr>
            <w:r>
              <w:rPr>
                <w:color w:val="auto"/>
              </w:rPr>
              <w:t>七里营引黄水源地饮用水水源保护区</w:t>
            </w:r>
          </w:p>
        </w:tc>
        <w:tc>
          <w:tcPr>
            <w:tcW w:w="3439" w:type="pct"/>
            <w:gridSpan w:val="2"/>
            <w:vAlign w:val="center"/>
          </w:tcPr>
          <w:p>
            <w:pPr>
              <w:pStyle w:val="421"/>
              <w:rPr>
                <w:color w:val="auto"/>
              </w:rPr>
            </w:pPr>
            <w:r>
              <w:rPr>
                <w:rFonts w:hint="eastAsia"/>
                <w:color w:val="auto"/>
              </w:rPr>
              <w:t>水域：人民胜利渠新乡市界至本源水厂东厂界的30m明渠区域；本源水厂厂区范围内七里营蓄水池及沉砂池的水域。陆域：人民胜利渠新乡市界至本源水厂东厂界渠道外两侧20m的工程管理陆域；本源水厂厂区范围内的陆域。</w:t>
            </w:r>
          </w:p>
        </w:tc>
      </w:tr>
    </w:tbl>
    <w:p>
      <w:pPr>
        <w:pStyle w:val="341"/>
        <w:ind w:firstLine="480"/>
        <w:rPr>
          <w:rStyle w:val="236"/>
          <w:rFonts w:ascii="Times New Roman" w:hAnsi="Times New Roman" w:eastAsia="黑体"/>
          <w:b w:val="0"/>
          <w:color w:val="auto"/>
          <w:kern w:val="21"/>
          <w:szCs w:val="28"/>
        </w:rPr>
      </w:pPr>
      <w:r>
        <w:rPr>
          <w:rFonts w:ascii="Times New Roman" w:hAnsi="Times New Roman"/>
          <w:color w:val="auto"/>
        </w:rPr>
        <w:t>经比对，距本项目最近的保护区为</w:t>
      </w:r>
      <w:r>
        <w:rPr>
          <w:color w:val="auto"/>
        </w:rPr>
        <w:t>七里营引黄水源地饮用水水源保护区</w:t>
      </w:r>
      <w:r>
        <w:rPr>
          <w:rFonts w:ascii="Times New Roman" w:hAnsi="Times New Roman"/>
          <w:color w:val="auto"/>
        </w:rPr>
        <w:t>，本项目距离其保护区边界约为11.3km，不在其保护区范围内。</w:t>
      </w:r>
    </w:p>
    <w:p>
      <w:pPr>
        <w:adjustRightInd w:val="0"/>
        <w:snapToGrid w:val="0"/>
        <w:spacing w:line="360" w:lineRule="auto"/>
        <w:ind w:firstLine="482"/>
        <w:rPr>
          <w:b/>
          <w:bCs/>
          <w:snapToGrid w:val="0"/>
          <w:color w:val="auto"/>
          <w:kern w:val="21"/>
          <w:sz w:val="24"/>
          <w:u w:val="single"/>
        </w:rPr>
      </w:pPr>
      <w:r>
        <w:rPr>
          <w:rFonts w:hint="eastAsia"/>
          <w:b/>
          <w:bCs/>
          <w:snapToGrid w:val="0"/>
          <w:color w:val="auto"/>
          <w:kern w:val="21"/>
          <w:sz w:val="24"/>
          <w:u w:val="single"/>
        </w:rPr>
        <w:t>2、</w:t>
      </w:r>
      <w:r>
        <w:rPr>
          <w:b/>
          <w:bCs/>
          <w:snapToGrid w:val="0"/>
          <w:color w:val="auto"/>
          <w:kern w:val="21"/>
          <w:sz w:val="24"/>
          <w:u w:val="single"/>
        </w:rPr>
        <w:t>新乡市获嘉县饮用水源</w:t>
      </w:r>
      <w:r>
        <w:rPr>
          <w:rFonts w:hint="eastAsia"/>
          <w:b/>
          <w:bCs/>
          <w:snapToGrid w:val="0"/>
          <w:color w:val="auto"/>
          <w:kern w:val="21"/>
          <w:sz w:val="24"/>
          <w:u w:val="single"/>
        </w:rPr>
        <w:t>保护区</w:t>
      </w:r>
    </w:p>
    <w:p>
      <w:pPr>
        <w:pStyle w:val="341"/>
        <w:ind w:firstLine="480"/>
        <w:rPr>
          <w:rFonts w:ascii="Times New Roman" w:hAnsi="Times New Roman"/>
          <w:b/>
          <w:bCs/>
          <w:color w:val="auto"/>
          <w:u w:val="single"/>
        </w:rPr>
      </w:pPr>
      <w:r>
        <w:rPr>
          <w:rFonts w:hint="eastAsia" w:ascii="Times New Roman" w:hAnsi="Times New Roman"/>
          <w:b/>
          <w:bCs/>
          <w:color w:val="auto"/>
          <w:u w:val="single"/>
        </w:rPr>
        <w:t>根据《</w:t>
      </w:r>
      <w:r>
        <w:rPr>
          <w:rFonts w:ascii="Times New Roman" w:hAnsi="Times New Roman"/>
          <w:b/>
          <w:bCs/>
          <w:color w:val="auto"/>
          <w:u w:val="single"/>
        </w:rPr>
        <w:t>河南省人民政府办公厅关于印发河南省县级集中式饮用水水源保护区划的通知</w:t>
      </w:r>
      <w:r>
        <w:rPr>
          <w:rFonts w:hint="eastAsia" w:ascii="Times New Roman" w:hAnsi="Times New Roman"/>
          <w:b/>
          <w:bCs/>
          <w:color w:val="auto"/>
          <w:u w:val="single"/>
        </w:rPr>
        <w:t>》</w:t>
      </w:r>
      <w:r>
        <w:rPr>
          <w:rFonts w:ascii="Times New Roman" w:hAnsi="Times New Roman"/>
          <w:b/>
          <w:bCs/>
          <w:color w:val="auto"/>
          <w:u w:val="single"/>
        </w:rPr>
        <w:t>（豫政办〔2013〕107号）新乡市获嘉县集中式饮用水水源地保护区见下表。</w:t>
      </w:r>
    </w:p>
    <w:p>
      <w:pPr>
        <w:keepNext w:val="0"/>
        <w:keepLines w:val="0"/>
        <w:pageBreakBefore w:val="0"/>
        <w:widowControl/>
        <w:kinsoku/>
        <w:wordWrap/>
        <w:overflowPunct/>
        <w:topLinePunct w:val="0"/>
        <w:autoSpaceDE/>
        <w:autoSpaceDN/>
        <w:bidi w:val="0"/>
        <w:adjustRightInd w:val="0"/>
        <w:snapToGrid w:val="0"/>
        <w:spacing w:line="240" w:lineRule="auto"/>
        <w:ind w:firstLine="482"/>
        <w:jc w:val="center"/>
        <w:textAlignment w:val="auto"/>
        <w:rPr>
          <w:rFonts w:ascii="黑体" w:hAnsi="黑体" w:eastAsia="黑体"/>
          <w:b/>
          <w:bCs/>
          <w:snapToGrid w:val="0"/>
          <w:color w:val="auto"/>
          <w:kern w:val="21"/>
          <w:sz w:val="24"/>
          <w:szCs w:val="24"/>
          <w:u w:val="single"/>
        </w:rPr>
      </w:pPr>
      <w:r>
        <w:rPr>
          <w:rFonts w:ascii="黑体" w:hAnsi="黑体" w:eastAsia="黑体"/>
          <w:b/>
          <w:bCs/>
          <w:snapToGrid w:val="0"/>
          <w:color w:val="auto"/>
          <w:kern w:val="21"/>
          <w:sz w:val="24"/>
          <w:szCs w:val="24"/>
          <w:u w:val="single"/>
        </w:rPr>
        <w:t>表</w:t>
      </w:r>
      <w:r>
        <w:rPr>
          <w:rFonts w:hint="eastAsia" w:ascii="黑体" w:hAnsi="黑体" w:eastAsia="黑体"/>
          <w:b/>
          <w:bCs/>
          <w:snapToGrid w:val="0"/>
          <w:color w:val="auto"/>
          <w:kern w:val="21"/>
          <w:sz w:val="24"/>
          <w:szCs w:val="24"/>
          <w:u w:val="single"/>
        </w:rPr>
        <w:t>2.8-4</w:t>
      </w:r>
      <w:r>
        <w:rPr>
          <w:rFonts w:ascii="黑体" w:hAnsi="黑体" w:eastAsia="黑体"/>
          <w:b/>
          <w:bCs/>
          <w:snapToGrid w:val="0"/>
          <w:color w:val="auto"/>
          <w:kern w:val="21"/>
          <w:sz w:val="24"/>
          <w:szCs w:val="24"/>
          <w:u w:val="single"/>
        </w:rPr>
        <w:t xml:space="preserve">     </w:t>
      </w:r>
      <w:r>
        <w:rPr>
          <w:rFonts w:hint="eastAsia" w:ascii="黑体" w:hAnsi="黑体" w:eastAsia="黑体"/>
          <w:b/>
          <w:bCs/>
          <w:snapToGrid w:val="0"/>
          <w:color w:val="auto"/>
          <w:kern w:val="21"/>
          <w:sz w:val="24"/>
          <w:szCs w:val="24"/>
          <w:u w:val="single"/>
        </w:rPr>
        <w:t>厂区</w:t>
      </w:r>
      <w:r>
        <w:rPr>
          <w:rFonts w:ascii="黑体" w:hAnsi="黑体" w:eastAsia="黑体"/>
          <w:b/>
          <w:bCs/>
          <w:snapToGrid w:val="0"/>
          <w:color w:val="auto"/>
          <w:kern w:val="21"/>
          <w:sz w:val="24"/>
          <w:szCs w:val="24"/>
          <w:u w:val="single"/>
        </w:rPr>
        <w:t>位置与县级饮用水源保护区范围一览表</w:t>
      </w:r>
    </w:p>
    <w:tbl>
      <w:tblPr>
        <w:tblStyle w:val="8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2673"/>
        <w:gridCol w:w="4028"/>
        <w:gridCol w:w="1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c>
          <w:tcPr>
            <w:tcW w:w="1588" w:type="pct"/>
            <w:vAlign w:val="center"/>
          </w:tcPr>
          <w:p>
            <w:pPr>
              <w:pStyle w:val="492"/>
              <w:spacing w:line="240" w:lineRule="auto"/>
              <w:rPr>
                <w:b/>
                <w:bCs/>
                <w:color w:val="auto"/>
                <w:u w:val="single"/>
              </w:rPr>
            </w:pPr>
            <w:r>
              <w:rPr>
                <w:b/>
                <w:bCs/>
                <w:color w:val="auto"/>
                <w:u w:val="single"/>
              </w:rPr>
              <w:t>饮用水源地</w:t>
            </w:r>
          </w:p>
        </w:tc>
        <w:tc>
          <w:tcPr>
            <w:tcW w:w="2392" w:type="pct"/>
            <w:vAlign w:val="center"/>
          </w:tcPr>
          <w:p>
            <w:pPr>
              <w:pStyle w:val="492"/>
              <w:spacing w:line="240" w:lineRule="auto"/>
              <w:rPr>
                <w:b/>
                <w:bCs/>
                <w:color w:val="auto"/>
                <w:u w:val="single"/>
              </w:rPr>
            </w:pPr>
            <w:r>
              <w:rPr>
                <w:b/>
                <w:bCs/>
                <w:color w:val="auto"/>
                <w:u w:val="single"/>
              </w:rPr>
              <w:t>保护范围</w:t>
            </w:r>
          </w:p>
        </w:tc>
        <w:tc>
          <w:tcPr>
            <w:tcW w:w="1019" w:type="pct"/>
            <w:vAlign w:val="center"/>
          </w:tcPr>
          <w:p>
            <w:pPr>
              <w:pStyle w:val="492"/>
              <w:spacing w:line="240" w:lineRule="auto"/>
              <w:rPr>
                <w:b/>
                <w:bCs/>
                <w:color w:val="auto"/>
                <w:u w:val="single"/>
              </w:rPr>
            </w:pPr>
            <w:r>
              <w:rPr>
                <w:b/>
                <w:bCs/>
                <w:color w:val="auto"/>
                <w:u w:val="single"/>
              </w:rPr>
              <w:t>保护区边界距本项目距离及方位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c>
          <w:tcPr>
            <w:tcW w:w="1588" w:type="pct"/>
            <w:vAlign w:val="center"/>
          </w:tcPr>
          <w:p>
            <w:pPr>
              <w:pStyle w:val="492"/>
              <w:spacing w:line="240" w:lineRule="auto"/>
              <w:rPr>
                <w:b/>
                <w:bCs/>
                <w:color w:val="auto"/>
                <w:u w:val="single"/>
              </w:rPr>
            </w:pPr>
            <w:r>
              <w:rPr>
                <w:b/>
                <w:bCs/>
                <w:color w:val="auto"/>
                <w:u w:val="single"/>
              </w:rPr>
              <w:t>获嘉县史庄镇地下水井（共1眼井，位于史庄水厂）</w:t>
            </w:r>
          </w:p>
        </w:tc>
        <w:tc>
          <w:tcPr>
            <w:tcW w:w="2392" w:type="pct"/>
            <w:vAlign w:val="center"/>
          </w:tcPr>
          <w:p>
            <w:pPr>
              <w:pStyle w:val="492"/>
              <w:spacing w:line="240" w:lineRule="auto"/>
              <w:rPr>
                <w:b/>
                <w:bCs/>
                <w:color w:val="auto"/>
                <w:u w:val="single"/>
              </w:rPr>
            </w:pPr>
            <w:r>
              <w:rPr>
                <w:b/>
                <w:bCs/>
                <w:color w:val="auto"/>
                <w:u w:val="single"/>
              </w:rPr>
              <w:t>一级保护区范围：取水井外围30米的区域；二级保护区范围：一级保护区外，取水井外围500米的区域</w:t>
            </w:r>
          </w:p>
        </w:tc>
        <w:tc>
          <w:tcPr>
            <w:tcW w:w="1019" w:type="pct"/>
            <w:vAlign w:val="center"/>
          </w:tcPr>
          <w:p>
            <w:pPr>
              <w:pStyle w:val="492"/>
              <w:spacing w:line="240" w:lineRule="auto"/>
              <w:rPr>
                <w:b/>
                <w:bCs/>
                <w:color w:val="auto"/>
                <w:highlight w:val="yellow"/>
                <w:u w:val="single"/>
              </w:rPr>
            </w:pPr>
            <w:r>
              <w:rPr>
                <w:rFonts w:hint="eastAsia"/>
                <w:b/>
                <w:bCs/>
                <w:color w:val="auto"/>
                <w:u w:val="single"/>
              </w:rPr>
              <w:t>8254</w:t>
            </w:r>
            <w:r>
              <w:rPr>
                <w:b/>
                <w:bCs/>
                <w:color w:val="auto"/>
                <w:u w:val="single"/>
              </w:rPr>
              <w:t>m， 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c>
          <w:tcPr>
            <w:tcW w:w="1588" w:type="pct"/>
            <w:vAlign w:val="center"/>
          </w:tcPr>
          <w:p>
            <w:pPr>
              <w:pStyle w:val="492"/>
              <w:spacing w:line="240" w:lineRule="auto"/>
              <w:rPr>
                <w:b/>
                <w:bCs/>
                <w:color w:val="auto"/>
                <w:u w:val="single"/>
              </w:rPr>
            </w:pPr>
            <w:r>
              <w:rPr>
                <w:b/>
                <w:bCs/>
                <w:color w:val="auto"/>
                <w:u w:val="single"/>
              </w:rPr>
              <w:t>获嘉县位庄乡地下水井（共3眼井，位于陈位乡）</w:t>
            </w:r>
          </w:p>
        </w:tc>
        <w:tc>
          <w:tcPr>
            <w:tcW w:w="2392" w:type="pct"/>
            <w:vAlign w:val="center"/>
          </w:tcPr>
          <w:p>
            <w:pPr>
              <w:pStyle w:val="492"/>
              <w:spacing w:line="240" w:lineRule="auto"/>
              <w:rPr>
                <w:b/>
                <w:bCs/>
                <w:color w:val="auto"/>
                <w:u w:val="single"/>
              </w:rPr>
            </w:pPr>
            <w:r>
              <w:rPr>
                <w:b/>
                <w:bCs/>
                <w:color w:val="auto"/>
                <w:u w:val="single"/>
              </w:rPr>
              <w:t>一级保护区范围：取水井外围50米的区域；二级保护区范围：一级保护区外，取水井外围500米的区域</w:t>
            </w:r>
          </w:p>
        </w:tc>
        <w:tc>
          <w:tcPr>
            <w:tcW w:w="1019" w:type="pct"/>
            <w:vAlign w:val="center"/>
          </w:tcPr>
          <w:p>
            <w:pPr>
              <w:pStyle w:val="492"/>
              <w:spacing w:line="240" w:lineRule="auto"/>
              <w:rPr>
                <w:b/>
                <w:bCs/>
                <w:color w:val="auto"/>
                <w:highlight w:val="yellow"/>
                <w:u w:val="single"/>
              </w:rPr>
            </w:pPr>
            <w:r>
              <w:rPr>
                <w:rFonts w:hint="eastAsia"/>
                <w:b/>
                <w:bCs/>
                <w:color w:val="auto"/>
                <w:u w:val="single"/>
              </w:rPr>
              <w:t>4919</w:t>
            </w:r>
            <w:r>
              <w:rPr>
                <w:b/>
                <w:bCs/>
                <w:color w:val="auto"/>
                <w:u w:val="single"/>
              </w:rPr>
              <w:t>m，</w:t>
            </w:r>
            <w:r>
              <w:rPr>
                <w:rFonts w:hint="eastAsia"/>
                <w:b/>
                <w:bCs/>
                <w:color w:val="auto"/>
                <w:u w:val="single"/>
              </w:rPr>
              <w:t>W</w:t>
            </w:r>
          </w:p>
        </w:tc>
      </w:tr>
    </w:tbl>
    <w:p>
      <w:pPr>
        <w:pStyle w:val="341"/>
        <w:ind w:firstLine="480"/>
        <w:rPr>
          <w:rFonts w:ascii="Times New Roman" w:hAnsi="Times New Roman"/>
          <w:b/>
          <w:bCs/>
          <w:color w:val="auto"/>
          <w:u w:val="single"/>
        </w:rPr>
      </w:pPr>
      <w:r>
        <w:rPr>
          <w:rFonts w:ascii="Times New Roman" w:hAnsi="Times New Roman"/>
          <w:b/>
          <w:bCs/>
          <w:color w:val="auto"/>
          <w:u w:val="single"/>
        </w:rPr>
        <w:t>由上表可知，本项目距史庄镇、位庄乡集中式饮用水源地地下水井二级保护区边界的距离分别为</w:t>
      </w:r>
      <w:r>
        <w:rPr>
          <w:rFonts w:hint="eastAsia" w:ascii="Times New Roman" w:hAnsi="Times New Roman"/>
          <w:b/>
          <w:bCs/>
          <w:color w:val="auto"/>
          <w:u w:val="single"/>
        </w:rPr>
        <w:t>8254</w:t>
      </w:r>
      <w:r>
        <w:rPr>
          <w:rFonts w:ascii="Times New Roman" w:hAnsi="Times New Roman"/>
          <w:b/>
          <w:bCs/>
          <w:color w:val="auto"/>
          <w:u w:val="single"/>
        </w:rPr>
        <w:t>m、</w:t>
      </w:r>
      <w:r>
        <w:rPr>
          <w:rFonts w:hint="eastAsia" w:ascii="Times New Roman" w:hAnsi="Times New Roman"/>
          <w:b/>
          <w:bCs/>
          <w:color w:val="auto"/>
          <w:u w:val="single"/>
        </w:rPr>
        <w:t>4919</w:t>
      </w:r>
      <w:r>
        <w:rPr>
          <w:rFonts w:ascii="Times New Roman" w:hAnsi="Times New Roman"/>
          <w:b/>
          <w:bCs/>
          <w:color w:val="auto"/>
          <w:u w:val="single"/>
        </w:rPr>
        <w:t>m，不在饮用水源保护区的范围内。</w:t>
      </w:r>
    </w:p>
    <w:p>
      <w:pPr>
        <w:pStyle w:val="341"/>
        <w:ind w:firstLine="480"/>
        <w:rPr>
          <w:rFonts w:ascii="Times New Roman" w:hAnsi="Times New Roman"/>
          <w:color w:val="auto"/>
        </w:rPr>
      </w:pPr>
      <w:r>
        <w:rPr>
          <w:rFonts w:hint="eastAsia" w:ascii="Times New Roman" w:hAnsi="Times New Roman"/>
          <w:bCs/>
          <w:color w:val="auto"/>
        </w:rPr>
        <w:t>3</w:t>
      </w:r>
      <w:r>
        <w:rPr>
          <w:rFonts w:ascii="Times New Roman" w:hAnsi="Times New Roman"/>
          <w:bCs/>
          <w:color w:val="auto"/>
        </w:rPr>
        <w:t>、</w:t>
      </w:r>
      <w:bookmarkStart w:id="152" w:name="_Toc428287202"/>
      <w:bookmarkStart w:id="153" w:name="_Toc428286808"/>
      <w:bookmarkStart w:id="154" w:name="_Toc428287554"/>
      <w:r>
        <w:rPr>
          <w:rFonts w:ascii="Times New Roman" w:hAnsi="Times New Roman"/>
          <w:color w:val="auto"/>
        </w:rPr>
        <w:t>新乡市乡镇饮用水源保护区</w:t>
      </w:r>
      <w:bookmarkEnd w:id="152"/>
      <w:bookmarkEnd w:id="153"/>
      <w:bookmarkEnd w:id="154"/>
    </w:p>
    <w:p>
      <w:pPr>
        <w:pStyle w:val="341"/>
        <w:ind w:firstLine="480"/>
        <w:rPr>
          <w:rFonts w:ascii="Times New Roman" w:hAnsi="Times New Roman"/>
          <w:bCs/>
          <w:color w:val="auto"/>
        </w:rPr>
      </w:pPr>
      <w:r>
        <w:rPr>
          <w:rFonts w:ascii="Times New Roman" w:hAnsi="Times New Roman"/>
          <w:color w:val="auto"/>
        </w:rPr>
        <w:t>根据现场调查，距离本项目最近的新乡市乡镇饮用水源为厂址西北</w:t>
      </w:r>
      <w:r>
        <w:rPr>
          <w:rFonts w:hint="eastAsia" w:ascii="Times New Roman" w:hAnsi="Times New Roman"/>
          <w:color w:val="auto"/>
        </w:rPr>
        <w:t>2565</w:t>
      </w:r>
      <w:r>
        <w:rPr>
          <w:rFonts w:ascii="Times New Roman" w:hAnsi="Times New Roman"/>
          <w:color w:val="auto"/>
        </w:rPr>
        <w:t>m处的照镜镇地下水井群保护区。该保护区范围为：一级保护区：2眼井，分别以取水口为圆心半径50m围成的区域；二级保护区：以取水口为圆心半径550m围成的外切矩形区域，1609938m</w:t>
      </w:r>
      <w:r>
        <w:rPr>
          <w:rFonts w:ascii="Times New Roman" w:hAnsi="Times New Roman"/>
          <w:color w:val="auto"/>
          <w:vertAlign w:val="superscript"/>
        </w:rPr>
        <w:t>2</w:t>
      </w:r>
      <w:r>
        <w:rPr>
          <w:rFonts w:ascii="Times New Roman" w:hAnsi="Times New Roman"/>
          <w:color w:val="auto"/>
        </w:rPr>
        <w:t>，项目</w:t>
      </w:r>
      <w:r>
        <w:rPr>
          <w:rFonts w:hint="eastAsia"/>
          <w:color w:val="auto"/>
        </w:rPr>
        <w:t>不在照镜镇地下水井群保护区范围内。</w:t>
      </w:r>
    </w:p>
    <w:p>
      <w:pPr>
        <w:adjustRightInd w:val="0"/>
        <w:snapToGrid w:val="0"/>
        <w:spacing w:line="360" w:lineRule="auto"/>
        <w:ind w:firstLine="560" w:firstLineChars="200"/>
        <w:rPr>
          <w:rFonts w:eastAsia="黑体"/>
          <w:color w:val="auto"/>
          <w:kern w:val="21"/>
          <w:sz w:val="28"/>
          <w:szCs w:val="28"/>
        </w:rPr>
      </w:pPr>
    </w:p>
    <w:p>
      <w:pPr>
        <w:adjustRightInd w:val="0"/>
        <w:snapToGrid w:val="0"/>
        <w:spacing w:line="360" w:lineRule="auto"/>
        <w:ind w:firstLine="480" w:firstLineChars="200"/>
        <w:rPr>
          <w:color w:val="auto"/>
          <w:kern w:val="21"/>
          <w:sz w:val="24"/>
          <w:szCs w:val="24"/>
        </w:rPr>
        <w:sectPr>
          <w:pgSz w:w="11906" w:h="16838"/>
          <w:pgMar w:top="1440" w:right="1800" w:bottom="1440" w:left="1800" w:header="1134" w:footer="1134" w:gutter="0"/>
          <w:cols w:space="720" w:num="1"/>
          <w:docGrid w:linePitch="312" w:charSpace="0"/>
        </w:sectPr>
      </w:pP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2.</w:t>
      </w:r>
      <w:r>
        <w:rPr>
          <w:rFonts w:hint="eastAsia" w:eastAsia="黑体"/>
          <w:color w:val="auto"/>
          <w:kern w:val="21"/>
          <w:sz w:val="28"/>
          <w:szCs w:val="28"/>
        </w:rPr>
        <w:t>8</w:t>
      </w:r>
      <w:r>
        <w:rPr>
          <w:rFonts w:eastAsia="黑体"/>
          <w:color w:val="auto"/>
          <w:kern w:val="21"/>
          <w:sz w:val="28"/>
          <w:szCs w:val="28"/>
        </w:rPr>
        <w:t>.</w:t>
      </w:r>
      <w:r>
        <w:rPr>
          <w:rFonts w:hint="eastAsia" w:eastAsia="黑体"/>
          <w:color w:val="auto"/>
          <w:kern w:val="21"/>
          <w:sz w:val="28"/>
          <w:szCs w:val="28"/>
        </w:rPr>
        <w:t xml:space="preserve">6河南省电镀建设项目环境影响评价文件审查审批原则（修订） </w:t>
      </w:r>
      <w:r>
        <w:rPr>
          <w:rFonts w:eastAsia="黑体"/>
          <w:color w:val="auto"/>
          <w:kern w:val="21"/>
          <w:sz w:val="28"/>
          <w:szCs w:val="28"/>
        </w:rPr>
        <w:t xml:space="preserve"> </w:t>
      </w:r>
    </w:p>
    <w:p>
      <w:pPr>
        <w:pStyle w:val="367"/>
        <w:adjustRightInd w:val="0"/>
        <w:snapToGrid w:val="0"/>
        <w:spacing w:line="360" w:lineRule="auto"/>
        <w:ind w:firstLine="480" w:firstLineChars="200"/>
        <w:rPr>
          <w:rFonts w:ascii="Times New Roman" w:hAnsi="Times New Roman"/>
          <w:color w:val="auto"/>
          <w:kern w:val="21"/>
        </w:rPr>
      </w:pPr>
      <w:r>
        <w:rPr>
          <w:rFonts w:ascii="Times New Roman" w:hAnsi="Times New Roman"/>
          <w:color w:val="auto"/>
          <w:kern w:val="21"/>
          <w:sz w:val="24"/>
          <w:szCs w:val="24"/>
        </w:rPr>
        <w:t>根据《河南省电镀建设项目环境影响评价文件审查审批原则（修订）》，对照本项目建设内容</w:t>
      </w:r>
      <w:r>
        <w:rPr>
          <w:rFonts w:hint="eastAsia" w:ascii="Times New Roman" w:hAnsi="Times New Roman"/>
          <w:color w:val="auto"/>
          <w:kern w:val="21"/>
          <w:sz w:val="24"/>
          <w:szCs w:val="24"/>
        </w:rPr>
        <w:t>分析如下</w:t>
      </w:r>
      <w:r>
        <w:rPr>
          <w:rFonts w:ascii="Times New Roman" w:hAnsi="Times New Roman"/>
          <w:color w:val="auto"/>
          <w:kern w:val="21"/>
          <w:sz w:val="24"/>
          <w:szCs w:val="24"/>
        </w:rPr>
        <w:t>：</w:t>
      </w:r>
    </w:p>
    <w:p>
      <w:pPr>
        <w:pStyle w:val="262"/>
        <w:jc w:val="center"/>
        <w:rPr>
          <w:color w:val="auto"/>
          <w:kern w:val="21"/>
          <w:sz w:val="24"/>
          <w:szCs w:val="24"/>
        </w:rPr>
      </w:pPr>
      <w:r>
        <w:rPr>
          <w:color w:val="auto"/>
          <w:kern w:val="21"/>
          <w:sz w:val="24"/>
          <w:szCs w:val="24"/>
        </w:rPr>
        <w:t>表2.</w:t>
      </w:r>
      <w:r>
        <w:rPr>
          <w:rFonts w:hint="eastAsia"/>
          <w:color w:val="auto"/>
          <w:kern w:val="21"/>
          <w:sz w:val="24"/>
          <w:szCs w:val="24"/>
        </w:rPr>
        <w:t>8-4</w:t>
      </w:r>
      <w:r>
        <w:rPr>
          <w:color w:val="auto"/>
          <w:kern w:val="21"/>
          <w:sz w:val="24"/>
          <w:szCs w:val="24"/>
        </w:rPr>
        <w:t xml:space="preserve">  与</w:t>
      </w:r>
      <w:r>
        <w:rPr>
          <w:rFonts w:hint="eastAsia"/>
          <w:color w:val="auto"/>
          <w:kern w:val="21"/>
          <w:sz w:val="24"/>
          <w:szCs w:val="24"/>
        </w:rPr>
        <w:t>审查审批原则要求</w:t>
      </w:r>
      <w:r>
        <w:rPr>
          <w:color w:val="auto"/>
          <w:kern w:val="21"/>
          <w:sz w:val="24"/>
          <w:szCs w:val="24"/>
        </w:rPr>
        <w:t>对比分析</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5474"/>
        <w:gridCol w:w="4961"/>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8" w:type="dxa"/>
            <w:gridSpan w:val="2"/>
            <w:vAlign w:val="center"/>
          </w:tcPr>
          <w:p>
            <w:pPr>
              <w:pStyle w:val="323"/>
              <w:rPr>
                <w:b/>
                <w:bCs w:val="0"/>
                <w:color w:val="auto"/>
                <w:kern w:val="21"/>
              </w:rPr>
            </w:pPr>
            <w:r>
              <w:rPr>
                <w:b/>
                <w:bCs w:val="0"/>
                <w:color w:val="auto"/>
                <w:kern w:val="21"/>
              </w:rPr>
              <w:t>审查审批原则要求</w:t>
            </w:r>
          </w:p>
        </w:tc>
        <w:tc>
          <w:tcPr>
            <w:tcW w:w="4961" w:type="dxa"/>
            <w:vAlign w:val="center"/>
          </w:tcPr>
          <w:p>
            <w:pPr>
              <w:pStyle w:val="323"/>
              <w:rPr>
                <w:b/>
                <w:bCs w:val="0"/>
                <w:color w:val="auto"/>
                <w:kern w:val="21"/>
              </w:rPr>
            </w:pPr>
            <w:r>
              <w:rPr>
                <w:b/>
                <w:bCs w:val="0"/>
                <w:color w:val="auto"/>
                <w:kern w:val="21"/>
              </w:rPr>
              <w:t>本项目情况</w:t>
            </w:r>
          </w:p>
        </w:tc>
        <w:tc>
          <w:tcPr>
            <w:tcW w:w="1170" w:type="dxa"/>
            <w:vAlign w:val="center"/>
          </w:tcPr>
          <w:p>
            <w:pPr>
              <w:pStyle w:val="323"/>
              <w:rPr>
                <w:b/>
                <w:bCs w:val="0"/>
                <w:color w:val="auto"/>
                <w:kern w:val="21"/>
              </w:rPr>
            </w:pPr>
            <w:r>
              <w:rPr>
                <w:b/>
                <w:bCs w:val="0"/>
                <w:color w:val="auto"/>
                <w:kern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一、总体要求</w:t>
            </w:r>
          </w:p>
        </w:tc>
        <w:tc>
          <w:tcPr>
            <w:tcW w:w="5474" w:type="dxa"/>
            <w:vAlign w:val="center"/>
          </w:tcPr>
          <w:p>
            <w:pPr>
              <w:pStyle w:val="323"/>
              <w:jc w:val="left"/>
              <w:rPr>
                <w:bCs/>
                <w:color w:val="auto"/>
                <w:kern w:val="21"/>
              </w:rPr>
            </w:pPr>
            <w:r>
              <w:rPr>
                <w:bCs/>
                <w:color w:val="auto"/>
                <w:kern w:val="21"/>
              </w:rPr>
              <w:t xml:space="preserve">电镀项目应严格执行《产业结构调整指导目录（2019年本）》及《电镀污染物排放标准》（GB 21900）的相关要求。 </w:t>
            </w:r>
          </w:p>
        </w:tc>
        <w:tc>
          <w:tcPr>
            <w:tcW w:w="4961" w:type="dxa"/>
            <w:vAlign w:val="center"/>
          </w:tcPr>
          <w:p>
            <w:pPr>
              <w:pStyle w:val="323"/>
              <w:rPr>
                <w:bCs/>
                <w:color w:val="auto"/>
                <w:kern w:val="21"/>
              </w:rPr>
            </w:pPr>
            <w:r>
              <w:rPr>
                <w:rFonts w:hint="eastAsia"/>
                <w:bCs/>
                <w:color w:val="auto"/>
                <w:kern w:val="21"/>
              </w:rPr>
              <w:t>本项目符合</w:t>
            </w:r>
            <w:r>
              <w:rPr>
                <w:bCs/>
                <w:color w:val="auto"/>
                <w:kern w:val="21"/>
              </w:rPr>
              <w:t>《产业结构调整指导目录（201</w:t>
            </w:r>
            <w:r>
              <w:rPr>
                <w:rFonts w:hint="eastAsia"/>
                <w:bCs/>
                <w:color w:val="auto"/>
                <w:kern w:val="21"/>
              </w:rPr>
              <w:t>9</w:t>
            </w:r>
            <w:r>
              <w:rPr>
                <w:bCs/>
                <w:color w:val="auto"/>
                <w:kern w:val="21"/>
              </w:rPr>
              <w:t>年本）》）</w:t>
            </w:r>
            <w:r>
              <w:rPr>
                <w:rFonts w:hint="eastAsia"/>
                <w:bCs/>
                <w:color w:val="auto"/>
                <w:kern w:val="21"/>
              </w:rPr>
              <w:t>、</w:t>
            </w:r>
            <w:r>
              <w:rPr>
                <w:bCs/>
                <w:color w:val="auto"/>
                <w:kern w:val="21"/>
              </w:rPr>
              <w:t xml:space="preserve">《电镀污染物排放标准》（GB 21900-2008）的相关要求。 </w:t>
            </w:r>
          </w:p>
        </w:tc>
        <w:tc>
          <w:tcPr>
            <w:tcW w:w="1170" w:type="dxa"/>
            <w:vAlign w:val="center"/>
          </w:tcPr>
          <w:p>
            <w:pPr>
              <w:autoSpaceDE w:val="0"/>
              <w:autoSpaceDN w:val="0"/>
              <w:adjustRightInd w:val="0"/>
              <w:snapToGrid w:val="0"/>
              <w:jc w:val="center"/>
              <w:textAlignment w:val="baseline"/>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二、环境质量要求</w:t>
            </w:r>
          </w:p>
        </w:tc>
        <w:tc>
          <w:tcPr>
            <w:tcW w:w="5474" w:type="dxa"/>
            <w:vAlign w:val="center"/>
          </w:tcPr>
          <w:p>
            <w:pPr>
              <w:pStyle w:val="323"/>
              <w:jc w:val="left"/>
              <w:rPr>
                <w:bCs/>
                <w:color w:val="auto"/>
                <w:kern w:val="21"/>
              </w:rPr>
            </w:pPr>
            <w:r>
              <w:rPr>
                <w:bCs/>
                <w:color w:val="auto"/>
                <w:kern w:val="21"/>
              </w:rPr>
              <w:t>环境质量现状满足环境功能区划和环境质量目标要求的区域，项目实施后环境质量仍满足相关要求；环境质量现状不能满足要求的区域，应通过强化项目污染防治措施，并提出有效的区域削减措施，改善区域环境质量。</w:t>
            </w:r>
          </w:p>
        </w:tc>
        <w:tc>
          <w:tcPr>
            <w:tcW w:w="4961" w:type="dxa"/>
            <w:vAlign w:val="center"/>
          </w:tcPr>
          <w:p>
            <w:pPr>
              <w:pStyle w:val="323"/>
              <w:rPr>
                <w:bCs/>
                <w:color w:val="auto"/>
                <w:kern w:val="21"/>
              </w:rPr>
            </w:pPr>
            <w:r>
              <w:rPr>
                <w:rFonts w:hint="eastAsia"/>
                <w:bCs/>
                <w:color w:val="auto"/>
                <w:kern w:val="21"/>
              </w:rPr>
              <w:t>本项目位于环境质量不达标区，项目污染物经治理后可实现达标排放，污染物排放量进行区域替代</w:t>
            </w:r>
            <w:r>
              <w:rPr>
                <w:bCs/>
                <w:color w:val="auto"/>
                <w:kern w:val="21"/>
              </w:rPr>
              <w:t>，</w:t>
            </w:r>
            <w:r>
              <w:rPr>
                <w:rFonts w:hint="eastAsia"/>
                <w:bCs/>
                <w:color w:val="auto"/>
                <w:kern w:val="21"/>
              </w:rPr>
              <w:t>可</w:t>
            </w:r>
            <w:r>
              <w:rPr>
                <w:bCs/>
                <w:color w:val="auto"/>
                <w:kern w:val="21"/>
              </w:rPr>
              <w:t>改善区域环境质量。</w:t>
            </w:r>
          </w:p>
        </w:tc>
        <w:tc>
          <w:tcPr>
            <w:tcW w:w="1170" w:type="dxa"/>
            <w:vAlign w:val="center"/>
          </w:tcPr>
          <w:p>
            <w:pPr>
              <w:autoSpaceDE w:val="0"/>
              <w:autoSpaceDN w:val="0"/>
              <w:adjustRightInd w:val="0"/>
              <w:snapToGrid w:val="0"/>
              <w:jc w:val="center"/>
              <w:textAlignment w:val="baseline"/>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三、建设布局要求</w:t>
            </w:r>
          </w:p>
        </w:tc>
        <w:tc>
          <w:tcPr>
            <w:tcW w:w="5474" w:type="dxa"/>
            <w:vAlign w:val="center"/>
          </w:tcPr>
          <w:p>
            <w:pPr>
              <w:pStyle w:val="323"/>
              <w:jc w:val="left"/>
              <w:rPr>
                <w:bCs/>
                <w:color w:val="auto"/>
                <w:kern w:val="21"/>
              </w:rPr>
            </w:pPr>
            <w:r>
              <w:rPr>
                <w:bCs/>
                <w:color w:val="auto"/>
                <w:kern w:val="21"/>
              </w:rPr>
              <w:t>新建（改、扩建）电镀项目应符合国家和地方的主体功能区规划、生态环境保护规划、城市总体规划、土地利用规划、“三线一单”生态环境分区管控和环境目标等相关要求，新建电镀项目应建设在污水集中处理等环保基础设施齐备的产业集聚区或专业园区，并符合园区发展规划及规划环境影响评价要求。电镀项目应满足我省及当地重金属污染控制要求，重金属排放指标实行区域减量替代。</w:t>
            </w:r>
          </w:p>
        </w:tc>
        <w:tc>
          <w:tcPr>
            <w:tcW w:w="4961" w:type="dxa"/>
            <w:vAlign w:val="center"/>
          </w:tcPr>
          <w:p>
            <w:pPr>
              <w:pStyle w:val="323"/>
              <w:rPr>
                <w:bCs/>
                <w:color w:val="auto"/>
                <w:kern w:val="21"/>
              </w:rPr>
            </w:pPr>
            <w:r>
              <w:rPr>
                <w:rFonts w:hint="eastAsia"/>
                <w:bCs/>
                <w:color w:val="auto"/>
                <w:kern w:val="21"/>
              </w:rPr>
              <w:t>本项目属于新建含电镀工段的项目，位于获嘉县产业集聚区北区城东片区，符合相关</w:t>
            </w:r>
            <w:r>
              <w:rPr>
                <w:bCs/>
                <w:color w:val="auto"/>
                <w:kern w:val="21"/>
              </w:rPr>
              <w:t>城市总体规划、土地利用规划、“三线一单”生态环境分区管控</w:t>
            </w:r>
            <w:r>
              <w:rPr>
                <w:rFonts w:hint="eastAsia"/>
                <w:bCs/>
                <w:color w:val="auto"/>
                <w:kern w:val="21"/>
              </w:rPr>
              <w:t>园区的要求，项目建设符合园区主导产业规划</w:t>
            </w:r>
            <w:r>
              <w:rPr>
                <w:bCs/>
                <w:color w:val="auto"/>
                <w:kern w:val="21"/>
              </w:rPr>
              <w:t>。</w:t>
            </w:r>
            <w:r>
              <w:rPr>
                <w:rFonts w:hint="eastAsia"/>
                <w:bCs/>
                <w:color w:val="auto"/>
                <w:kern w:val="21"/>
              </w:rPr>
              <w:t>园区可实现</w:t>
            </w:r>
            <w:r>
              <w:rPr>
                <w:bCs/>
                <w:color w:val="auto"/>
                <w:kern w:val="21"/>
              </w:rPr>
              <w:t>集中供水、污水集中处理</w:t>
            </w:r>
            <w:r>
              <w:rPr>
                <w:rFonts w:hint="eastAsia"/>
                <w:bCs/>
                <w:color w:val="auto"/>
                <w:kern w:val="21"/>
              </w:rPr>
              <w:t>。项目不排放重金属。</w:t>
            </w:r>
          </w:p>
        </w:tc>
        <w:tc>
          <w:tcPr>
            <w:tcW w:w="1170" w:type="dxa"/>
            <w:vAlign w:val="center"/>
          </w:tcPr>
          <w:p>
            <w:pPr>
              <w:autoSpaceDE w:val="0"/>
              <w:autoSpaceDN w:val="0"/>
              <w:adjustRightInd w:val="0"/>
              <w:snapToGrid w:val="0"/>
              <w:jc w:val="center"/>
              <w:textAlignment w:val="baseline"/>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四、工艺装备要求</w:t>
            </w:r>
          </w:p>
        </w:tc>
        <w:tc>
          <w:tcPr>
            <w:tcW w:w="5474" w:type="dxa"/>
            <w:vAlign w:val="center"/>
          </w:tcPr>
          <w:p>
            <w:pPr>
              <w:pStyle w:val="323"/>
              <w:jc w:val="left"/>
              <w:rPr>
                <w:bCs/>
                <w:color w:val="auto"/>
                <w:kern w:val="21"/>
              </w:rPr>
            </w:pPr>
            <w:r>
              <w:rPr>
                <w:bCs/>
                <w:color w:val="auto"/>
                <w:kern w:val="21"/>
              </w:rPr>
              <w:t>除在技术上不能实现自动控制的复杂结构件等有特殊要求的电镀外，电镀项目应采用自动化电镀生产线。</w:t>
            </w:r>
          </w:p>
        </w:tc>
        <w:tc>
          <w:tcPr>
            <w:tcW w:w="4961" w:type="dxa"/>
            <w:vAlign w:val="center"/>
          </w:tcPr>
          <w:p>
            <w:pPr>
              <w:pStyle w:val="323"/>
              <w:jc w:val="left"/>
              <w:rPr>
                <w:bCs/>
                <w:color w:val="auto"/>
                <w:kern w:val="21"/>
              </w:rPr>
            </w:pPr>
            <w:r>
              <w:rPr>
                <w:rFonts w:hint="eastAsia"/>
                <w:bCs/>
                <w:color w:val="auto"/>
                <w:kern w:val="21"/>
              </w:rPr>
              <w:t>本项目为自动化电镀生产线。</w:t>
            </w:r>
          </w:p>
        </w:tc>
        <w:tc>
          <w:tcPr>
            <w:tcW w:w="1170" w:type="dxa"/>
            <w:vAlign w:val="center"/>
          </w:tcPr>
          <w:p>
            <w:pPr>
              <w:pStyle w:val="323"/>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五、清洁生产要求</w:t>
            </w:r>
          </w:p>
        </w:tc>
        <w:tc>
          <w:tcPr>
            <w:tcW w:w="5474" w:type="dxa"/>
            <w:vAlign w:val="center"/>
          </w:tcPr>
          <w:p>
            <w:pPr>
              <w:pStyle w:val="323"/>
              <w:jc w:val="left"/>
              <w:rPr>
                <w:bCs/>
                <w:color w:val="auto"/>
                <w:kern w:val="21"/>
              </w:rPr>
            </w:pPr>
            <w:r>
              <w:rPr>
                <w:bCs/>
                <w:color w:val="auto"/>
                <w:kern w:val="21"/>
              </w:rPr>
              <w:t>新建、扩建的电镀项目原则上应达到《电镀行业清洁生产评价指标体系》（国家发改委、环保部、工信部公告2015年第25号）综合评价指数</w:t>
            </w:r>
            <w:r>
              <w:rPr>
                <w:rFonts w:hint="eastAsia"/>
                <w:bCs/>
                <w:color w:val="auto"/>
                <w:kern w:val="21"/>
              </w:rPr>
              <w:t>Ⅰ</w:t>
            </w:r>
            <w:r>
              <w:rPr>
                <w:bCs/>
                <w:color w:val="auto"/>
                <w:kern w:val="21"/>
              </w:rPr>
              <w:t>级要求。</w:t>
            </w:r>
          </w:p>
        </w:tc>
        <w:tc>
          <w:tcPr>
            <w:tcW w:w="4961" w:type="dxa"/>
            <w:vAlign w:val="center"/>
          </w:tcPr>
          <w:p>
            <w:pPr>
              <w:pStyle w:val="323"/>
              <w:jc w:val="left"/>
              <w:rPr>
                <w:bCs/>
                <w:color w:val="auto"/>
                <w:kern w:val="21"/>
              </w:rPr>
            </w:pPr>
            <w:r>
              <w:rPr>
                <w:rFonts w:hint="eastAsia"/>
                <w:bCs/>
                <w:color w:val="auto"/>
                <w:kern w:val="21"/>
              </w:rPr>
              <w:t>根据</w:t>
            </w:r>
            <w:r>
              <w:rPr>
                <w:bCs/>
                <w:color w:val="auto"/>
                <w:kern w:val="21"/>
              </w:rPr>
              <w:t>《电镀行业清洁生产评价指标体系》</w:t>
            </w:r>
            <w:r>
              <w:rPr>
                <w:rFonts w:hint="eastAsia"/>
                <w:bCs/>
                <w:color w:val="auto"/>
                <w:kern w:val="21"/>
              </w:rPr>
              <w:t>，本项目</w:t>
            </w:r>
            <w:r>
              <w:rPr>
                <w:rFonts w:hint="eastAsia"/>
                <w:bCs/>
                <w:color w:val="auto"/>
                <w:kern w:val="21"/>
                <w:lang w:eastAsia="zh-CN"/>
              </w:rPr>
              <w:t>清洁生产能达到</w:t>
            </w:r>
            <w:r>
              <w:rPr>
                <w:bCs/>
                <w:color w:val="auto"/>
                <w:kern w:val="21"/>
              </w:rPr>
              <w:t>综合评价指数</w:t>
            </w:r>
            <w:r>
              <w:rPr>
                <w:rFonts w:asciiTheme="minorEastAsia" w:hAnsiTheme="minorEastAsia" w:eastAsiaTheme="minorEastAsia"/>
                <w:bCs/>
                <w:color w:val="auto"/>
                <w:kern w:val="21"/>
              </w:rPr>
              <w:t>Ⅰ</w:t>
            </w:r>
            <w:r>
              <w:rPr>
                <w:bCs/>
                <w:color w:val="auto"/>
                <w:kern w:val="21"/>
              </w:rPr>
              <w:t>级要</w:t>
            </w:r>
            <w:r>
              <w:rPr>
                <w:rFonts w:hint="eastAsia"/>
                <w:bCs/>
                <w:color w:val="auto"/>
                <w:kern w:val="21"/>
              </w:rPr>
              <w:t>求。</w:t>
            </w:r>
          </w:p>
        </w:tc>
        <w:tc>
          <w:tcPr>
            <w:tcW w:w="1170" w:type="dxa"/>
            <w:vAlign w:val="center"/>
          </w:tcPr>
          <w:p>
            <w:pPr>
              <w:pStyle w:val="323"/>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六、大气污染防治要求</w:t>
            </w:r>
          </w:p>
        </w:tc>
        <w:tc>
          <w:tcPr>
            <w:tcW w:w="5474" w:type="dxa"/>
            <w:vAlign w:val="center"/>
          </w:tcPr>
          <w:p>
            <w:pPr>
              <w:pStyle w:val="323"/>
              <w:jc w:val="left"/>
              <w:rPr>
                <w:bCs/>
                <w:color w:val="auto"/>
                <w:kern w:val="21"/>
              </w:rPr>
            </w:pPr>
            <w:r>
              <w:rPr>
                <w:bCs/>
                <w:color w:val="auto"/>
                <w:kern w:val="21"/>
              </w:rPr>
              <w:t>电镀项目产生大气污染物的生产工艺装置应设立局部气体收集系统和净化处理装置。原则上，电镀生产线应封闭设置，采用上吸式或侧吸式集气罩收集电镀废气，经处理后应满足《电镀污染物排放标准》（GB 21900）中表5要求。</w:t>
            </w:r>
          </w:p>
          <w:p>
            <w:pPr>
              <w:pStyle w:val="323"/>
              <w:jc w:val="left"/>
              <w:rPr>
                <w:bCs/>
                <w:color w:val="auto"/>
                <w:kern w:val="21"/>
              </w:rPr>
            </w:pPr>
            <w:r>
              <w:rPr>
                <w:bCs/>
                <w:color w:val="auto"/>
                <w:kern w:val="21"/>
              </w:rPr>
              <w:t>电镀项目供热原则上采用区域集中供热，暂不具备集中供热条件的，自备锅炉应采用天然气、电等清洁能源，锅炉废气排放应满足《锅炉大气污染物排放标准》（DB 41/2089）要求及我省大气污染防治的管理要求。</w:t>
            </w:r>
          </w:p>
        </w:tc>
        <w:tc>
          <w:tcPr>
            <w:tcW w:w="4961" w:type="dxa"/>
            <w:vAlign w:val="center"/>
          </w:tcPr>
          <w:p>
            <w:pPr>
              <w:pStyle w:val="323"/>
              <w:jc w:val="left"/>
              <w:rPr>
                <w:bCs/>
                <w:color w:val="auto"/>
                <w:kern w:val="21"/>
              </w:rPr>
            </w:pPr>
            <w:r>
              <w:rPr>
                <w:rFonts w:hint="eastAsia"/>
                <w:bCs/>
                <w:color w:val="auto"/>
                <w:kern w:val="21"/>
              </w:rPr>
              <w:t>本项目电镀生产线设置为全封闭式，酸洗槽废气采用侧吸+顶吸式集气罩，收集后集中处理，</w:t>
            </w:r>
            <w:r>
              <w:rPr>
                <w:bCs/>
                <w:color w:val="auto"/>
                <w:kern w:val="21"/>
              </w:rPr>
              <w:t>处理后满足《电镀污染物排放标准》（GB 21900）中表5要求</w:t>
            </w:r>
            <w:r>
              <w:rPr>
                <w:rFonts w:hint="eastAsia"/>
                <w:bCs/>
                <w:color w:val="auto"/>
                <w:kern w:val="21"/>
              </w:rPr>
              <w:t>；自备燃气锅炉废气可满足</w:t>
            </w:r>
            <w:r>
              <w:rPr>
                <w:bCs/>
                <w:color w:val="auto"/>
                <w:kern w:val="21"/>
              </w:rPr>
              <w:t>《锅炉大气污染物排放标准》（</w:t>
            </w:r>
            <w:r>
              <w:rPr>
                <w:rFonts w:hint="eastAsia"/>
                <w:bCs/>
                <w:color w:val="auto"/>
                <w:kern w:val="21"/>
              </w:rPr>
              <w:t>DB41/2089-2021</w:t>
            </w:r>
            <w:r>
              <w:rPr>
                <w:bCs/>
                <w:color w:val="auto"/>
                <w:kern w:val="21"/>
              </w:rPr>
              <w:t>）中颗</w:t>
            </w:r>
            <w:r>
              <w:rPr>
                <w:color w:val="auto"/>
                <w:kern w:val="21"/>
              </w:rPr>
              <w:t>粒物5mg/m</w:t>
            </w:r>
            <w:r>
              <w:rPr>
                <w:color w:val="auto"/>
                <w:kern w:val="21"/>
                <w:vertAlign w:val="superscript"/>
              </w:rPr>
              <w:t>3</w:t>
            </w:r>
            <w:r>
              <w:rPr>
                <w:color w:val="auto"/>
                <w:kern w:val="21"/>
              </w:rPr>
              <w:t>、SO</w:t>
            </w:r>
            <w:r>
              <w:rPr>
                <w:color w:val="auto"/>
                <w:kern w:val="21"/>
                <w:vertAlign w:val="subscript"/>
              </w:rPr>
              <w:t>2</w:t>
            </w:r>
            <w:r>
              <w:rPr>
                <w:color w:val="auto"/>
                <w:kern w:val="21"/>
              </w:rPr>
              <w:t xml:space="preserve"> 10mg/m</w:t>
            </w:r>
            <w:r>
              <w:rPr>
                <w:color w:val="auto"/>
                <w:kern w:val="21"/>
                <w:vertAlign w:val="superscript"/>
              </w:rPr>
              <w:t>3</w:t>
            </w:r>
            <w:r>
              <w:rPr>
                <w:color w:val="auto"/>
                <w:kern w:val="21"/>
              </w:rPr>
              <w:t>、NOx 30mg/m</w:t>
            </w:r>
            <w:r>
              <w:rPr>
                <w:color w:val="auto"/>
                <w:kern w:val="21"/>
                <w:vertAlign w:val="superscript"/>
              </w:rPr>
              <w:t>3</w:t>
            </w:r>
            <w:r>
              <w:rPr>
                <w:color w:val="auto"/>
                <w:kern w:val="21"/>
              </w:rPr>
              <w:t>要求。</w:t>
            </w:r>
          </w:p>
        </w:tc>
        <w:tc>
          <w:tcPr>
            <w:tcW w:w="1170" w:type="dxa"/>
            <w:vAlign w:val="center"/>
          </w:tcPr>
          <w:p>
            <w:pPr>
              <w:pStyle w:val="323"/>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Merge w:val="restart"/>
            <w:vAlign w:val="center"/>
          </w:tcPr>
          <w:p>
            <w:pPr>
              <w:pStyle w:val="323"/>
              <w:rPr>
                <w:bCs/>
                <w:color w:val="auto"/>
                <w:kern w:val="21"/>
              </w:rPr>
            </w:pPr>
            <w:r>
              <w:rPr>
                <w:bCs/>
                <w:color w:val="auto"/>
                <w:kern w:val="21"/>
              </w:rPr>
              <w:t>七、水污染防治要求</w:t>
            </w:r>
          </w:p>
        </w:tc>
        <w:tc>
          <w:tcPr>
            <w:tcW w:w="5474" w:type="dxa"/>
            <w:vAlign w:val="center"/>
          </w:tcPr>
          <w:p>
            <w:pPr>
              <w:pStyle w:val="323"/>
              <w:jc w:val="left"/>
              <w:rPr>
                <w:bCs/>
                <w:color w:val="auto"/>
                <w:kern w:val="21"/>
              </w:rPr>
            </w:pPr>
            <w:r>
              <w:rPr>
                <w:bCs/>
                <w:color w:val="auto"/>
                <w:kern w:val="21"/>
              </w:rPr>
              <w:t>按照“雨污分流、清污分流、污污分治、深度处理、分质回用”的原则，设计全厂排水系统及废水处理处置方案。电镀企业应推行电镀废水分类收集、分质处理，含氰废水、含六价铬废水、含配位化合物废水须单独收集、单独预处理后才可排入电镀混合废水处理系统进一步处理，非电镀废水不得混入电镀废水处理系统。</w:t>
            </w:r>
          </w:p>
        </w:tc>
        <w:tc>
          <w:tcPr>
            <w:tcW w:w="4961" w:type="dxa"/>
            <w:vAlign w:val="center"/>
          </w:tcPr>
          <w:p>
            <w:pPr>
              <w:pStyle w:val="323"/>
              <w:jc w:val="left"/>
              <w:rPr>
                <w:bCs/>
                <w:color w:val="auto"/>
                <w:kern w:val="21"/>
              </w:rPr>
            </w:pPr>
            <w:r>
              <w:rPr>
                <w:rFonts w:hint="eastAsia"/>
                <w:bCs/>
                <w:color w:val="auto"/>
                <w:kern w:val="21"/>
              </w:rPr>
              <w:t>本项目污水处理单元设计按照</w:t>
            </w:r>
            <w:r>
              <w:rPr>
                <w:rFonts w:ascii="宋体" w:hAnsi="宋体"/>
                <w:bCs/>
                <w:color w:val="auto"/>
                <w:kern w:val="21"/>
              </w:rPr>
              <w:t>“</w:t>
            </w:r>
            <w:r>
              <w:rPr>
                <w:bCs/>
                <w:color w:val="auto"/>
                <w:kern w:val="21"/>
              </w:rPr>
              <w:t>雨污分流、清污分流、污污分治、深度处理、分质回用</w:t>
            </w:r>
            <w:r>
              <w:rPr>
                <w:rFonts w:asciiTheme="minorEastAsia" w:hAnsiTheme="minorEastAsia" w:eastAsiaTheme="minorEastAsia"/>
                <w:bCs/>
                <w:color w:val="auto"/>
                <w:kern w:val="21"/>
              </w:rPr>
              <w:t>”</w:t>
            </w:r>
            <w:r>
              <w:rPr>
                <w:bCs/>
                <w:color w:val="auto"/>
                <w:kern w:val="21"/>
              </w:rPr>
              <w:t>的原则，含镍、含锌、含铬废水分类收集、</w:t>
            </w:r>
            <w:r>
              <w:rPr>
                <w:rFonts w:hint="eastAsia"/>
                <w:bCs/>
                <w:color w:val="auto"/>
                <w:kern w:val="21"/>
                <w:lang w:eastAsia="zh-CN"/>
              </w:rPr>
              <w:t>分类预处理后统一进行深度处理，经深度处理后全部回用于生产线水洗单元</w:t>
            </w:r>
            <w:r>
              <w:rPr>
                <w:bCs/>
                <w:color w:val="auto"/>
                <w:kern w:val="21"/>
              </w:rPr>
              <w:t>。电镀废水处理系统无非电镀废水混入。</w:t>
            </w:r>
          </w:p>
        </w:tc>
        <w:tc>
          <w:tcPr>
            <w:tcW w:w="1170" w:type="dxa"/>
            <w:vAlign w:val="center"/>
          </w:tcPr>
          <w:p>
            <w:pPr>
              <w:pStyle w:val="323"/>
              <w:rPr>
                <w:bCs/>
                <w:color w:val="auto"/>
                <w:kern w:val="21"/>
              </w:rPr>
            </w:pPr>
            <w:r>
              <w:rPr>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Merge w:val="continue"/>
            <w:vAlign w:val="center"/>
          </w:tcPr>
          <w:p>
            <w:pPr>
              <w:pStyle w:val="323"/>
              <w:rPr>
                <w:bCs/>
                <w:color w:val="auto"/>
                <w:kern w:val="21"/>
              </w:rPr>
            </w:pPr>
          </w:p>
        </w:tc>
        <w:tc>
          <w:tcPr>
            <w:tcW w:w="5474" w:type="dxa"/>
            <w:vAlign w:val="center"/>
          </w:tcPr>
          <w:p>
            <w:pPr>
              <w:pStyle w:val="323"/>
              <w:jc w:val="left"/>
              <w:rPr>
                <w:bCs/>
                <w:color w:val="auto"/>
                <w:kern w:val="21"/>
              </w:rPr>
            </w:pPr>
            <w:r>
              <w:rPr>
                <w:bCs/>
                <w:color w:val="auto"/>
                <w:kern w:val="21"/>
              </w:rPr>
              <w:t>镀铬、镍、铅、镉的电镀工段废水（包括含铬钝化、镍封、退镀工序等）及相应清洗废水应全部回用，实施零排放；其他废水经厂内污水处理设施处理后尽可能回用，优先回用于清洗等水质要求不高的工段。外排废水原则上应纳入区域废水集中处理厂处理，现有企业改扩建且废水确不具备排入区域集中污水处理厂须排入外环境的，应满足地方流域污染物排放标准、《电镀污染物排放标准》（GB 21900）排放限值要求及水环境目标要求，并规范化设置入河排污口，履行入河排污口审核程序，规模以上排污口应设置视频监控系统。</w:t>
            </w:r>
          </w:p>
        </w:tc>
        <w:tc>
          <w:tcPr>
            <w:tcW w:w="4961" w:type="dxa"/>
            <w:vAlign w:val="center"/>
          </w:tcPr>
          <w:p>
            <w:pPr>
              <w:pStyle w:val="323"/>
              <w:jc w:val="left"/>
              <w:rPr>
                <w:bCs/>
                <w:color w:val="auto"/>
                <w:kern w:val="21"/>
              </w:rPr>
            </w:pPr>
            <w:r>
              <w:rPr>
                <w:bCs/>
                <w:color w:val="auto"/>
                <w:kern w:val="21"/>
              </w:rPr>
              <w:t>项目涉重废水</w:t>
            </w:r>
            <w:r>
              <w:rPr>
                <w:rFonts w:hint="eastAsia"/>
                <w:bCs/>
                <w:color w:val="auto"/>
                <w:kern w:val="21"/>
              </w:rPr>
              <w:t>经处理后回用，实现零排放</w:t>
            </w:r>
            <w:r>
              <w:rPr>
                <w:bCs/>
                <w:color w:val="auto"/>
                <w:kern w:val="21"/>
              </w:rPr>
              <w:t>。</w:t>
            </w:r>
            <w:r>
              <w:rPr>
                <w:rFonts w:hint="eastAsia"/>
                <w:bCs/>
                <w:color w:val="auto"/>
                <w:kern w:val="21"/>
                <w:lang w:eastAsia="zh-CN"/>
              </w:rPr>
              <w:t>外排废水主要为锅炉浓水、纯水制备浓水和生活污水，通过厂区总排口，经市政管网排入</w:t>
            </w:r>
            <w:r>
              <w:rPr>
                <w:bCs/>
                <w:color w:val="auto"/>
                <w:kern w:val="21"/>
              </w:rPr>
              <w:t>同盟污水处理厂。</w:t>
            </w:r>
            <w:r>
              <w:rPr>
                <w:rFonts w:hint="eastAsia"/>
                <w:bCs/>
                <w:color w:val="auto"/>
                <w:kern w:val="21"/>
              </w:rPr>
              <w:t>本项目废水</w:t>
            </w:r>
            <w:r>
              <w:rPr>
                <w:bCs/>
                <w:color w:val="auto"/>
                <w:kern w:val="21"/>
              </w:rPr>
              <w:t>排放</w:t>
            </w:r>
            <w:r>
              <w:rPr>
                <w:rFonts w:hint="eastAsia"/>
                <w:bCs/>
                <w:color w:val="auto"/>
                <w:kern w:val="21"/>
              </w:rPr>
              <w:t>满足</w:t>
            </w:r>
            <w:r>
              <w:rPr>
                <w:rFonts w:hint="eastAsia"/>
                <w:bCs/>
                <w:color w:val="auto"/>
                <w:kern w:val="21"/>
                <w:lang w:eastAsia="zh-CN"/>
              </w:rPr>
              <w:t>同盟污水处理厂收水指标要求</w:t>
            </w:r>
            <w:r>
              <w:rPr>
                <w:bCs/>
                <w:color w:val="auto"/>
                <w:kern w:val="21"/>
              </w:rPr>
              <w:t>。全厂</w:t>
            </w:r>
            <w:r>
              <w:rPr>
                <w:rFonts w:hint="eastAsia"/>
                <w:bCs/>
                <w:color w:val="auto"/>
                <w:kern w:val="21"/>
              </w:rPr>
              <w:t>设置</w:t>
            </w:r>
            <w:r>
              <w:rPr>
                <w:bCs/>
                <w:color w:val="auto"/>
                <w:kern w:val="21"/>
              </w:rPr>
              <w:t>一个规范化污水排放口，安装在线监测监控设施并与环保部门联网。</w:t>
            </w:r>
          </w:p>
        </w:tc>
        <w:tc>
          <w:tcPr>
            <w:tcW w:w="1170" w:type="dxa"/>
            <w:vAlign w:val="center"/>
          </w:tcPr>
          <w:p>
            <w:pPr>
              <w:pStyle w:val="323"/>
              <w:rPr>
                <w:bCs/>
                <w:color w:val="auto"/>
                <w:kern w:val="21"/>
              </w:rPr>
            </w:pPr>
            <w:r>
              <w:rPr>
                <w:rFonts w:hint="eastAsia"/>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八、土壤污染防治要求</w:t>
            </w:r>
          </w:p>
        </w:tc>
        <w:tc>
          <w:tcPr>
            <w:tcW w:w="5474" w:type="dxa"/>
            <w:vAlign w:val="center"/>
          </w:tcPr>
          <w:p>
            <w:pPr>
              <w:pStyle w:val="323"/>
              <w:jc w:val="left"/>
              <w:rPr>
                <w:bCs/>
                <w:color w:val="auto"/>
                <w:kern w:val="21"/>
              </w:rPr>
            </w:pPr>
            <w:r>
              <w:rPr>
                <w:bCs/>
                <w:color w:val="auto"/>
                <w:kern w:val="21"/>
              </w:rPr>
              <w:t>新建的各类槽体要按照“生产设施不落地”原则进行建设，生产线应有槽液回收、逆流漂洗及必要的喷淋装置，并使用托盘、围堰等设施，防止生产过程中废水、镀液滴落地面。从事电镀作业的生产厂房、地面、生产设施必须符合《工业建筑防腐蚀设计规范》（GB 50046）的要求，车间内实行干湿区分离，湿区地面应敷设网格板，湿镀件上下挂具作业必须在湿区内进行。车间地坪自下而上至少设垫层、防水层和防腐层三层。项目工艺废水管线按可视、可控原则排布，应采取地上明渠明管或架空敷设，废水管道应满足防腐、防渗漏要求，生产装置、罐区等易污染区地面应进行防渗处理，从源头预防土壤环境污染。</w:t>
            </w:r>
          </w:p>
        </w:tc>
        <w:tc>
          <w:tcPr>
            <w:tcW w:w="4961" w:type="dxa"/>
            <w:vAlign w:val="center"/>
          </w:tcPr>
          <w:p>
            <w:pPr>
              <w:pStyle w:val="323"/>
              <w:jc w:val="left"/>
              <w:rPr>
                <w:bCs/>
                <w:color w:val="auto"/>
                <w:kern w:val="21"/>
              </w:rPr>
            </w:pPr>
            <w:r>
              <w:rPr>
                <w:rFonts w:hint="eastAsia"/>
                <w:bCs/>
                <w:color w:val="auto"/>
                <w:kern w:val="21"/>
              </w:rPr>
              <w:t>本项目设置电镀线全部采用架空布局，槽体不落地，电镀线设置</w:t>
            </w:r>
            <w:r>
              <w:rPr>
                <w:bCs/>
                <w:color w:val="auto"/>
                <w:kern w:val="21"/>
              </w:rPr>
              <w:t>槽液回收、逆流漂洗及碱液喷淋装置，生产线下方设置托盘、地面设置围堰。电镀厂房、地面、生产设施</w:t>
            </w:r>
            <w:r>
              <w:rPr>
                <w:rFonts w:hint="eastAsia"/>
                <w:bCs/>
                <w:color w:val="auto"/>
                <w:kern w:val="21"/>
              </w:rPr>
              <w:t>严格</w:t>
            </w:r>
            <w:r>
              <w:rPr>
                <w:bCs/>
                <w:color w:val="auto"/>
                <w:kern w:val="21"/>
              </w:rPr>
              <w:t>《工业建筑防腐蚀设计规范》（GB 50046</w:t>
            </w:r>
            <w:r>
              <w:rPr>
                <w:rFonts w:hint="eastAsia"/>
                <w:bCs/>
                <w:color w:val="auto"/>
                <w:kern w:val="21"/>
              </w:rPr>
              <w:t>-</w:t>
            </w:r>
            <w:r>
              <w:rPr>
                <w:bCs/>
                <w:color w:val="auto"/>
                <w:kern w:val="21"/>
              </w:rPr>
              <w:t>2008）的要求，车间内实行干湿区分离，湿区地面敷设网格板，湿镀件上下挂具作业在湿区内进行。车间地坪自下而上</w:t>
            </w:r>
            <w:r>
              <w:rPr>
                <w:rFonts w:hint="eastAsia"/>
                <w:bCs/>
                <w:color w:val="auto"/>
                <w:kern w:val="21"/>
              </w:rPr>
              <w:t>设置</w:t>
            </w:r>
            <w:r>
              <w:rPr>
                <w:bCs/>
                <w:color w:val="auto"/>
                <w:kern w:val="21"/>
              </w:rPr>
              <w:t>垫</w:t>
            </w:r>
            <w:r>
              <w:rPr>
                <w:rFonts w:hint="eastAsia"/>
                <w:bCs/>
                <w:color w:val="auto"/>
                <w:kern w:val="21"/>
                <w:lang w:val="en-US" w:eastAsia="zh-CN"/>
              </w:rPr>
              <w:t>.</w:t>
            </w:r>
            <w:r>
              <w:rPr>
                <w:bCs/>
                <w:color w:val="auto"/>
                <w:kern w:val="21"/>
              </w:rPr>
              <w:t>层、防水层和防腐层三层。项目工艺废水管线应采取地上明渠明管</w:t>
            </w:r>
            <w:r>
              <w:rPr>
                <w:rFonts w:hint="eastAsia"/>
                <w:bCs/>
                <w:color w:val="auto"/>
                <w:kern w:val="21"/>
              </w:rPr>
              <w:t>和</w:t>
            </w:r>
            <w:r>
              <w:rPr>
                <w:bCs/>
                <w:color w:val="auto"/>
                <w:kern w:val="21"/>
              </w:rPr>
              <w:t>架空敷设，废水管道</w:t>
            </w:r>
            <w:r>
              <w:rPr>
                <w:rFonts w:hint="eastAsia"/>
                <w:bCs/>
                <w:color w:val="auto"/>
                <w:kern w:val="21"/>
              </w:rPr>
              <w:t>采取</w:t>
            </w:r>
            <w:r>
              <w:rPr>
                <w:bCs/>
                <w:color w:val="auto"/>
                <w:kern w:val="21"/>
              </w:rPr>
              <w:t>防腐、防渗漏</w:t>
            </w:r>
            <w:r>
              <w:rPr>
                <w:rFonts w:hint="eastAsia"/>
                <w:bCs/>
                <w:color w:val="auto"/>
                <w:kern w:val="21"/>
              </w:rPr>
              <w:t>设置</w:t>
            </w:r>
            <w:r>
              <w:rPr>
                <w:bCs/>
                <w:color w:val="auto"/>
                <w:kern w:val="21"/>
              </w:rPr>
              <w:t>，生产装置、罐区等易污染区地面应进行防渗处理。</w:t>
            </w:r>
          </w:p>
        </w:tc>
        <w:tc>
          <w:tcPr>
            <w:tcW w:w="1170" w:type="dxa"/>
            <w:vAlign w:val="center"/>
          </w:tcPr>
          <w:p>
            <w:pPr>
              <w:autoSpaceDE w:val="0"/>
              <w:autoSpaceDN w:val="0"/>
              <w:adjustRightInd w:val="0"/>
              <w:snapToGrid w:val="0"/>
              <w:jc w:val="center"/>
              <w:textAlignment w:val="baseline"/>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九、固体废物污染防治要求</w:t>
            </w:r>
          </w:p>
        </w:tc>
        <w:tc>
          <w:tcPr>
            <w:tcW w:w="5474" w:type="dxa"/>
            <w:vAlign w:val="center"/>
          </w:tcPr>
          <w:p>
            <w:pPr>
              <w:pStyle w:val="323"/>
              <w:jc w:val="left"/>
              <w:rPr>
                <w:bCs/>
                <w:color w:val="auto"/>
                <w:kern w:val="21"/>
              </w:rPr>
            </w:pPr>
            <w:r>
              <w:rPr>
                <w:bCs/>
                <w:color w:val="auto"/>
                <w:kern w:val="21"/>
              </w:rPr>
              <w:t>按照“减量化、资源化、无害化”的原则，对固体废物妥善处置。镀槽废液、废渣及废水处理站污泥等危险废物应由有资质的单位进行处置，转移处置应遵守国家和河南省相关规定。危险废物厂区内临时贮存设施应符合《危险废物贮存污染控制标准》（GB 18597）要求。</w:t>
            </w:r>
          </w:p>
        </w:tc>
        <w:tc>
          <w:tcPr>
            <w:tcW w:w="4961" w:type="dxa"/>
            <w:vAlign w:val="center"/>
          </w:tcPr>
          <w:p>
            <w:pPr>
              <w:adjustRightInd w:val="0"/>
              <w:snapToGrid w:val="0"/>
              <w:jc w:val="both"/>
              <w:rPr>
                <w:bCs/>
                <w:color w:val="auto"/>
                <w:kern w:val="21"/>
              </w:rPr>
            </w:pPr>
            <w:r>
              <w:rPr>
                <w:bCs/>
                <w:color w:val="auto"/>
                <w:kern w:val="21"/>
              </w:rPr>
              <w:t>本项目一般固体废物中边角料、不合格品经厂区一般固废暂存间收集后，综合外售</w:t>
            </w:r>
            <w:r>
              <w:rPr>
                <w:rFonts w:hint="eastAsia"/>
                <w:bCs/>
                <w:color w:val="auto"/>
                <w:kern w:val="21"/>
                <w:lang w:eastAsia="zh-CN"/>
              </w:rPr>
              <w:t>，纯水制备废</w:t>
            </w:r>
            <w:r>
              <w:rPr>
                <w:rFonts w:hint="eastAsia"/>
                <w:bCs/>
                <w:color w:val="auto"/>
                <w:kern w:val="21"/>
                <w:lang w:val="en-US" w:eastAsia="zh-CN"/>
              </w:rPr>
              <w:t>RO膜由更换厂家回收</w:t>
            </w:r>
            <w:r>
              <w:rPr>
                <w:bCs/>
                <w:color w:val="auto"/>
                <w:kern w:val="21"/>
              </w:rPr>
              <w:t>；</w:t>
            </w:r>
            <w:r>
              <w:rPr>
                <w:rFonts w:hint="eastAsia"/>
                <w:bCs/>
                <w:color w:val="auto"/>
                <w:kern w:val="21"/>
                <w:lang w:eastAsia="zh-CN"/>
              </w:rPr>
              <w:t>镀镍槽液、镀锌槽液、</w:t>
            </w:r>
            <w:r>
              <w:rPr>
                <w:rFonts w:hint="eastAsia"/>
                <w:bCs/>
                <w:color w:val="auto"/>
                <w:kern w:val="21"/>
              </w:rPr>
              <w:t>含镍废物、含锌废物、含铬废物、气浮池污油、废机油</w:t>
            </w:r>
            <w:r>
              <w:rPr>
                <w:rFonts w:hint="eastAsia"/>
                <w:bCs/>
                <w:color w:val="auto"/>
                <w:kern w:val="21"/>
                <w:lang w:eastAsia="zh-CN"/>
              </w:rPr>
              <w:t>、污水反渗透膜及生化污泥</w:t>
            </w:r>
            <w:r>
              <w:rPr>
                <w:bCs/>
                <w:color w:val="auto"/>
                <w:kern w:val="21"/>
              </w:rPr>
              <w:t>等危险废物在厂区内危废暂存间暂存，定期委托有资质单位安全处置</w:t>
            </w:r>
            <w:r>
              <w:rPr>
                <w:rFonts w:hint="eastAsia"/>
                <w:bCs/>
                <w:color w:val="auto"/>
                <w:kern w:val="21"/>
              </w:rPr>
              <w:t>，危险废物在</w:t>
            </w:r>
            <w:r>
              <w:rPr>
                <w:bCs/>
                <w:color w:val="auto"/>
                <w:kern w:val="21"/>
              </w:rPr>
              <w:t>厂区内临时贮存设施应符合</w:t>
            </w:r>
            <w:r>
              <w:rPr>
                <w:color w:val="auto"/>
                <w:kern w:val="21"/>
              </w:rPr>
              <w:t>《危险废物贮存污染物控制标准》（GB18597-2001）及其修改单</w:t>
            </w:r>
            <w:r>
              <w:rPr>
                <w:bCs/>
                <w:color w:val="auto"/>
                <w:kern w:val="21"/>
              </w:rPr>
              <w:t>。项目产生的固体废弃物均可得到妥善处置。</w:t>
            </w:r>
          </w:p>
        </w:tc>
        <w:tc>
          <w:tcPr>
            <w:tcW w:w="1170" w:type="dxa"/>
            <w:vAlign w:val="center"/>
          </w:tcPr>
          <w:p>
            <w:pPr>
              <w:autoSpaceDE w:val="0"/>
              <w:autoSpaceDN w:val="0"/>
              <w:adjustRightInd w:val="0"/>
              <w:snapToGrid w:val="0"/>
              <w:jc w:val="center"/>
              <w:textAlignment w:val="baseline"/>
              <w:rPr>
                <w:bCs/>
                <w:color w:val="auto"/>
                <w:kern w:val="21"/>
              </w:rPr>
            </w:pPr>
            <w:r>
              <w:rPr>
                <w:rFonts w:hint="eastAsia"/>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1434" w:type="dxa"/>
            <w:vMerge w:val="restart"/>
            <w:vAlign w:val="center"/>
          </w:tcPr>
          <w:p>
            <w:pPr>
              <w:pStyle w:val="323"/>
              <w:rPr>
                <w:bCs/>
                <w:color w:val="auto"/>
                <w:kern w:val="21"/>
              </w:rPr>
            </w:pPr>
            <w:r>
              <w:rPr>
                <w:bCs/>
                <w:color w:val="auto"/>
                <w:kern w:val="21"/>
              </w:rPr>
              <w:t>十、环境风险防范要求</w:t>
            </w:r>
          </w:p>
        </w:tc>
        <w:tc>
          <w:tcPr>
            <w:tcW w:w="5474" w:type="dxa"/>
            <w:vMerge w:val="restart"/>
            <w:vAlign w:val="center"/>
          </w:tcPr>
          <w:p>
            <w:pPr>
              <w:pStyle w:val="323"/>
              <w:jc w:val="left"/>
              <w:rPr>
                <w:bCs/>
                <w:color w:val="auto"/>
                <w:kern w:val="21"/>
              </w:rPr>
            </w:pPr>
            <w:r>
              <w:rPr>
                <w:bCs/>
                <w:color w:val="auto"/>
                <w:kern w:val="21"/>
              </w:rPr>
              <w:t>项目应提出有效的环境风险防范和应急措施。项目含有的危险化学品应实行专库储存，危险化学品的运输、储存、使用应符合相关规定；同时加强环境风险防范，设置一定储存能力的初期雨水、事故废水收集池，初期雨水、事故废水须进行有效处置，严禁直接外排；收集池宜采取地下式并布置在厂区地势最低处。</w:t>
            </w:r>
          </w:p>
        </w:tc>
        <w:tc>
          <w:tcPr>
            <w:tcW w:w="4961" w:type="dxa"/>
            <w:vAlign w:val="center"/>
          </w:tcPr>
          <w:p>
            <w:pPr>
              <w:adjustRightInd w:val="0"/>
              <w:snapToGrid w:val="0"/>
              <w:jc w:val="both"/>
              <w:rPr>
                <w:bCs/>
                <w:color w:val="auto"/>
                <w:kern w:val="21"/>
              </w:rPr>
            </w:pPr>
            <w:r>
              <w:rPr>
                <w:rFonts w:hint="eastAsia"/>
                <w:bCs/>
                <w:color w:val="auto"/>
                <w:kern w:val="21"/>
              </w:rPr>
              <w:t>本项目</w:t>
            </w:r>
            <w:r>
              <w:rPr>
                <w:bCs/>
                <w:color w:val="auto"/>
                <w:kern w:val="21"/>
              </w:rPr>
              <w:t>危险化学品应实行专库储存</w:t>
            </w:r>
            <w:r>
              <w:rPr>
                <w:rFonts w:hint="eastAsia"/>
                <w:bCs/>
                <w:color w:val="auto"/>
                <w:kern w:val="21"/>
              </w:rPr>
              <w:t>，并由专人进行管理</w:t>
            </w:r>
            <w:r>
              <w:rPr>
                <w:bCs/>
                <w:color w:val="auto"/>
                <w:kern w:val="21"/>
              </w:rPr>
              <w:t>，危险化学品的运输、储存、使用</w:t>
            </w:r>
            <w:r>
              <w:rPr>
                <w:rFonts w:hint="eastAsia"/>
                <w:bCs/>
                <w:color w:val="auto"/>
                <w:kern w:val="21"/>
              </w:rPr>
              <w:t>按</w:t>
            </w:r>
            <w:r>
              <w:rPr>
                <w:bCs/>
                <w:color w:val="auto"/>
                <w:kern w:val="21"/>
              </w:rPr>
              <w:t>照</w:t>
            </w:r>
            <w:r>
              <w:rPr>
                <w:rFonts w:hint="eastAsia"/>
                <w:bCs/>
                <w:color w:val="auto"/>
                <w:kern w:val="21"/>
              </w:rPr>
              <w:t>《危险化学品安全管理条例》</w:t>
            </w:r>
            <w:r>
              <w:rPr>
                <w:bCs/>
                <w:color w:val="auto"/>
                <w:kern w:val="21"/>
              </w:rPr>
              <w:t>规定</w:t>
            </w:r>
            <w:r>
              <w:rPr>
                <w:rFonts w:hint="eastAsia"/>
                <w:bCs/>
                <w:color w:val="auto"/>
                <w:kern w:val="21"/>
              </w:rPr>
              <w:t>进行</w:t>
            </w:r>
            <w:r>
              <w:rPr>
                <w:bCs/>
                <w:color w:val="auto"/>
                <w:kern w:val="21"/>
              </w:rPr>
              <w:t>，加强环境风险防范，编制环境风险应急预案。</w:t>
            </w:r>
          </w:p>
        </w:tc>
        <w:tc>
          <w:tcPr>
            <w:tcW w:w="1170" w:type="dxa"/>
            <w:vAlign w:val="center"/>
          </w:tcPr>
          <w:p>
            <w:pPr>
              <w:autoSpaceDE w:val="0"/>
              <w:autoSpaceDN w:val="0"/>
              <w:adjustRightInd w:val="0"/>
              <w:snapToGrid w:val="0"/>
              <w:jc w:val="center"/>
              <w:textAlignment w:val="baseline"/>
              <w:rPr>
                <w:bCs/>
                <w:color w:val="auto"/>
                <w:kern w:val="21"/>
              </w:rPr>
            </w:pPr>
            <w:r>
              <w:rPr>
                <w:rFonts w:hint="eastAsia"/>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434" w:type="dxa"/>
            <w:vMerge w:val="continue"/>
            <w:vAlign w:val="center"/>
          </w:tcPr>
          <w:p>
            <w:pPr>
              <w:pStyle w:val="323"/>
              <w:rPr>
                <w:bCs/>
                <w:color w:val="auto"/>
                <w:kern w:val="21"/>
              </w:rPr>
            </w:pPr>
          </w:p>
        </w:tc>
        <w:tc>
          <w:tcPr>
            <w:tcW w:w="5474" w:type="dxa"/>
            <w:vMerge w:val="continue"/>
            <w:vAlign w:val="center"/>
          </w:tcPr>
          <w:p>
            <w:pPr>
              <w:pStyle w:val="323"/>
              <w:jc w:val="left"/>
              <w:rPr>
                <w:bCs/>
                <w:color w:val="auto"/>
                <w:kern w:val="21"/>
              </w:rPr>
            </w:pPr>
          </w:p>
        </w:tc>
        <w:tc>
          <w:tcPr>
            <w:tcW w:w="4961" w:type="dxa"/>
            <w:vAlign w:val="center"/>
          </w:tcPr>
          <w:p>
            <w:pPr>
              <w:adjustRightInd w:val="0"/>
              <w:snapToGrid w:val="0"/>
              <w:jc w:val="both"/>
              <w:rPr>
                <w:bCs/>
                <w:color w:val="auto"/>
                <w:kern w:val="21"/>
              </w:rPr>
            </w:pPr>
            <w:r>
              <w:rPr>
                <w:rFonts w:hint="eastAsia"/>
                <w:bCs/>
                <w:color w:val="auto"/>
                <w:kern w:val="21"/>
              </w:rPr>
              <w:t>项目租用</w:t>
            </w:r>
            <w:r>
              <w:rPr>
                <w:bCs/>
                <w:color w:val="auto"/>
                <w:kern w:val="21"/>
              </w:rPr>
              <w:t>河南奔茨新能源有限公司的原有</w:t>
            </w:r>
            <w:r>
              <w:rPr>
                <w:rFonts w:hint="eastAsia"/>
                <w:bCs/>
                <w:color w:val="auto"/>
                <w:kern w:val="21"/>
              </w:rPr>
              <w:t>车间，且所有物料、设备均在车间内</w:t>
            </w:r>
            <w:r>
              <w:rPr>
                <w:rFonts w:hint="eastAsia"/>
                <w:bCs/>
                <w:color w:val="auto"/>
                <w:kern w:val="21"/>
                <w:lang w:eastAsia="zh-CN"/>
              </w:rPr>
              <w:t>，故不再设初期雨水收集池</w:t>
            </w:r>
            <w:r>
              <w:rPr>
                <w:rFonts w:hint="eastAsia"/>
                <w:bCs/>
                <w:color w:val="auto"/>
                <w:kern w:val="21"/>
              </w:rPr>
              <w:t>；厂区内设置事故废水收集池，</w:t>
            </w:r>
            <w:r>
              <w:rPr>
                <w:bCs/>
                <w:color w:val="auto"/>
                <w:kern w:val="21"/>
              </w:rPr>
              <w:t>收集池采取地下式并布置在厂区地势最低处，事故废水</w:t>
            </w:r>
            <w:r>
              <w:rPr>
                <w:rFonts w:hint="eastAsia"/>
                <w:bCs/>
                <w:color w:val="auto"/>
                <w:kern w:val="21"/>
              </w:rPr>
              <w:t>经污水处理站处理后</w:t>
            </w:r>
            <w:r>
              <w:rPr>
                <w:bCs/>
                <w:color w:val="auto"/>
                <w:kern w:val="21"/>
              </w:rPr>
              <w:t>外排。</w:t>
            </w:r>
          </w:p>
        </w:tc>
        <w:tc>
          <w:tcPr>
            <w:tcW w:w="1170" w:type="dxa"/>
            <w:vAlign w:val="center"/>
          </w:tcPr>
          <w:p>
            <w:pPr>
              <w:pStyle w:val="323"/>
              <w:rPr>
                <w:bCs/>
                <w:color w:val="auto"/>
                <w:kern w:val="21"/>
              </w:rPr>
            </w:pPr>
            <w:r>
              <w:rPr>
                <w:rFonts w:hint="eastAsia"/>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十一、公众参与要求</w:t>
            </w:r>
          </w:p>
        </w:tc>
        <w:tc>
          <w:tcPr>
            <w:tcW w:w="5474" w:type="dxa"/>
            <w:vAlign w:val="center"/>
          </w:tcPr>
          <w:p>
            <w:pPr>
              <w:pStyle w:val="323"/>
              <w:jc w:val="left"/>
              <w:rPr>
                <w:bCs/>
                <w:color w:val="auto"/>
                <w:kern w:val="21"/>
              </w:rPr>
            </w:pPr>
            <w:r>
              <w:rPr>
                <w:bCs/>
                <w:color w:val="auto"/>
                <w:kern w:val="21"/>
              </w:rPr>
              <w:t>严格按照国家和河南省相关规定开展信息公开和公众参与。</w:t>
            </w:r>
          </w:p>
        </w:tc>
        <w:tc>
          <w:tcPr>
            <w:tcW w:w="4961" w:type="dxa"/>
            <w:vAlign w:val="center"/>
          </w:tcPr>
          <w:p>
            <w:pPr>
              <w:pStyle w:val="323"/>
              <w:jc w:val="left"/>
              <w:rPr>
                <w:bCs/>
                <w:color w:val="auto"/>
                <w:kern w:val="21"/>
              </w:rPr>
            </w:pPr>
            <w:r>
              <w:rPr>
                <w:rFonts w:hint="eastAsia"/>
                <w:bCs/>
                <w:color w:val="auto"/>
                <w:kern w:val="21"/>
              </w:rPr>
              <w:t>已严格按照《环境影响评价公众参与办法》（生态环境部令第4号）及关于发布《环境影响评价公众参与办法》配套文件的公告的要求</w:t>
            </w:r>
            <w:r>
              <w:rPr>
                <w:rFonts w:hint="eastAsia"/>
                <w:bCs/>
                <w:color w:val="auto"/>
                <w:kern w:val="21"/>
                <w:lang w:eastAsia="zh-CN"/>
              </w:rPr>
              <w:t>开展</w:t>
            </w:r>
            <w:r>
              <w:rPr>
                <w:rFonts w:hint="eastAsia"/>
                <w:bCs/>
                <w:color w:val="auto"/>
                <w:kern w:val="21"/>
              </w:rPr>
              <w:t>公众参与调查。</w:t>
            </w:r>
          </w:p>
        </w:tc>
        <w:tc>
          <w:tcPr>
            <w:tcW w:w="1170" w:type="dxa"/>
            <w:vAlign w:val="center"/>
          </w:tcPr>
          <w:p>
            <w:pPr>
              <w:pStyle w:val="323"/>
              <w:rPr>
                <w:bCs/>
                <w:color w:val="auto"/>
                <w:kern w:val="21"/>
              </w:rPr>
            </w:pPr>
            <w:r>
              <w:rPr>
                <w:rFonts w:hint="eastAsia"/>
                <w:bCs/>
                <w:color w:val="auto"/>
                <w:kern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4" w:type="dxa"/>
            <w:vAlign w:val="center"/>
          </w:tcPr>
          <w:p>
            <w:pPr>
              <w:pStyle w:val="323"/>
              <w:rPr>
                <w:bCs/>
                <w:color w:val="auto"/>
                <w:kern w:val="21"/>
              </w:rPr>
            </w:pPr>
            <w:r>
              <w:rPr>
                <w:bCs/>
                <w:color w:val="auto"/>
                <w:kern w:val="21"/>
              </w:rPr>
              <w:t>十二、适用范围</w:t>
            </w:r>
          </w:p>
        </w:tc>
        <w:tc>
          <w:tcPr>
            <w:tcW w:w="5474" w:type="dxa"/>
            <w:vAlign w:val="center"/>
          </w:tcPr>
          <w:p>
            <w:pPr>
              <w:pStyle w:val="323"/>
              <w:jc w:val="left"/>
              <w:rPr>
                <w:bCs/>
                <w:color w:val="auto"/>
                <w:kern w:val="21"/>
              </w:rPr>
            </w:pPr>
            <w:r>
              <w:rPr>
                <w:bCs/>
                <w:color w:val="auto"/>
                <w:kern w:val="21"/>
              </w:rPr>
              <w:t>以上要求适用于河南省境内新建、改建、扩建电镀项目（含电镀、化学镀、阳极氧化的项目）环境影响评价文件的审查审批，包括专业从事电镀的独立电镀项目和有电镀工序的项目。</w:t>
            </w:r>
          </w:p>
        </w:tc>
        <w:tc>
          <w:tcPr>
            <w:tcW w:w="4961" w:type="dxa"/>
            <w:vAlign w:val="center"/>
          </w:tcPr>
          <w:p>
            <w:pPr>
              <w:pStyle w:val="323"/>
              <w:jc w:val="left"/>
              <w:rPr>
                <w:bCs/>
                <w:color w:val="auto"/>
                <w:kern w:val="21"/>
              </w:rPr>
            </w:pPr>
            <w:r>
              <w:rPr>
                <w:rFonts w:hint="eastAsia"/>
                <w:bCs/>
                <w:color w:val="auto"/>
                <w:kern w:val="21"/>
              </w:rPr>
              <w:t>本项目为河南省新乡市</w:t>
            </w:r>
            <w:r>
              <w:rPr>
                <w:rFonts w:hint="eastAsia"/>
                <w:bCs/>
                <w:color w:val="auto"/>
                <w:kern w:val="21"/>
                <w:lang w:eastAsia="zh-CN"/>
              </w:rPr>
              <w:t>获嘉县</w:t>
            </w:r>
            <w:r>
              <w:rPr>
                <w:bCs/>
                <w:color w:val="auto"/>
                <w:kern w:val="21"/>
              </w:rPr>
              <w:t>含电镀工段的项目。</w:t>
            </w:r>
          </w:p>
        </w:tc>
        <w:tc>
          <w:tcPr>
            <w:tcW w:w="1170" w:type="dxa"/>
            <w:vAlign w:val="center"/>
          </w:tcPr>
          <w:p>
            <w:pPr>
              <w:pStyle w:val="323"/>
              <w:rPr>
                <w:bCs/>
                <w:color w:val="auto"/>
                <w:kern w:val="21"/>
              </w:rPr>
            </w:pPr>
            <w:r>
              <w:rPr>
                <w:rFonts w:hint="eastAsia"/>
                <w:bCs/>
                <w:color w:val="auto"/>
                <w:kern w:val="21"/>
              </w:rPr>
              <w:t>符合</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sectPr>
          <w:pgSz w:w="16838" w:h="11906" w:orient="landscape"/>
          <w:pgMar w:top="1440" w:right="1800" w:bottom="1440" w:left="1800" w:header="1134" w:footer="1134" w:gutter="0"/>
          <w:cols w:space="720" w:num="1"/>
          <w:docGrid w:linePitch="312" w:charSpace="0"/>
        </w:sectPr>
      </w:pPr>
      <w:r>
        <w:rPr>
          <w:color w:val="auto"/>
          <w:kern w:val="21"/>
          <w:sz w:val="24"/>
          <w:szCs w:val="24"/>
        </w:rPr>
        <w:t>由上表可知，本项目符合《河南省电镀建设项目环境影响评价文件审查审批原则（修订）》</w:t>
      </w:r>
      <w:r>
        <w:rPr>
          <w:rFonts w:hint="eastAsia"/>
          <w:color w:val="auto"/>
          <w:kern w:val="21"/>
          <w:sz w:val="24"/>
          <w:szCs w:val="24"/>
          <w:lang w:eastAsia="zh-CN"/>
        </w:rPr>
        <w:t>的</w:t>
      </w:r>
      <w:r>
        <w:rPr>
          <w:color w:val="auto"/>
          <w:kern w:val="21"/>
          <w:sz w:val="24"/>
          <w:szCs w:val="24"/>
        </w:rPr>
        <w:t>相关要求。</w:t>
      </w:r>
    </w:p>
    <w:p>
      <w:pPr>
        <w:pStyle w:val="32"/>
        <w:adjustRightInd w:val="0"/>
        <w:snapToGrid w:val="0"/>
        <w:spacing w:after="0" w:line="360" w:lineRule="auto"/>
        <w:ind w:firstLine="560"/>
        <w:outlineLvl w:val="2"/>
        <w:rPr>
          <w:b/>
          <w:color w:val="auto"/>
          <w:kern w:val="21"/>
          <w:sz w:val="28"/>
          <w:szCs w:val="28"/>
        </w:rPr>
      </w:pPr>
      <w:bookmarkStart w:id="155" w:name="_Toc5893"/>
      <w:r>
        <w:rPr>
          <w:rFonts w:eastAsia="黑体"/>
          <w:color w:val="auto"/>
          <w:kern w:val="21"/>
          <w:sz w:val="28"/>
          <w:szCs w:val="28"/>
          <w:lang w:val="en-US"/>
        </w:rPr>
        <w:t>2.</w:t>
      </w:r>
      <w:r>
        <w:rPr>
          <w:rFonts w:hint="eastAsia" w:eastAsia="黑体"/>
          <w:color w:val="auto"/>
          <w:kern w:val="21"/>
          <w:sz w:val="28"/>
          <w:szCs w:val="28"/>
          <w:lang w:val="en-US"/>
        </w:rPr>
        <w:t>8</w:t>
      </w:r>
      <w:r>
        <w:rPr>
          <w:rFonts w:eastAsia="黑体"/>
          <w:color w:val="auto"/>
          <w:kern w:val="21"/>
          <w:sz w:val="28"/>
          <w:szCs w:val="28"/>
          <w:lang w:val="en-US"/>
        </w:rPr>
        <w:t>.</w:t>
      </w:r>
      <w:r>
        <w:rPr>
          <w:rFonts w:hint="eastAsia" w:eastAsia="黑体"/>
          <w:color w:val="auto"/>
          <w:kern w:val="21"/>
          <w:sz w:val="28"/>
          <w:szCs w:val="28"/>
          <w:lang w:val="en-US"/>
        </w:rPr>
        <w:t>7</w:t>
      </w:r>
      <w:r>
        <w:rPr>
          <w:rFonts w:eastAsia="黑体"/>
          <w:color w:val="auto"/>
          <w:kern w:val="21"/>
          <w:sz w:val="28"/>
          <w:szCs w:val="28"/>
          <w:lang w:val="en-US"/>
        </w:rPr>
        <w:t>与河南省</w:t>
      </w:r>
      <w:r>
        <w:rPr>
          <w:rFonts w:hint="eastAsia" w:eastAsia="黑体"/>
          <w:color w:val="auto"/>
          <w:kern w:val="21"/>
          <w:sz w:val="28"/>
          <w:szCs w:val="28"/>
          <w:lang w:val="en-US"/>
        </w:rPr>
        <w:t>“</w:t>
      </w:r>
      <w:r>
        <w:rPr>
          <w:rFonts w:eastAsia="黑体"/>
          <w:color w:val="auto"/>
          <w:kern w:val="21"/>
          <w:sz w:val="28"/>
          <w:szCs w:val="28"/>
          <w:lang w:val="en-US"/>
        </w:rPr>
        <w:t>三线一单</w:t>
      </w:r>
      <w:r>
        <w:rPr>
          <w:rFonts w:hint="eastAsia" w:eastAsia="黑体"/>
          <w:color w:val="auto"/>
          <w:kern w:val="21"/>
          <w:sz w:val="28"/>
          <w:szCs w:val="28"/>
          <w:lang w:val="en-US"/>
        </w:rPr>
        <w:t>”</w:t>
      </w:r>
      <w:r>
        <w:rPr>
          <w:rFonts w:eastAsia="黑体"/>
          <w:color w:val="auto"/>
          <w:kern w:val="21"/>
          <w:sz w:val="28"/>
          <w:szCs w:val="28"/>
          <w:lang w:val="en-US"/>
        </w:rPr>
        <w:t>相符性</w:t>
      </w:r>
      <w:r>
        <w:rPr>
          <w:rFonts w:eastAsia="黑体"/>
          <w:color w:val="auto"/>
          <w:kern w:val="21"/>
          <w:sz w:val="28"/>
          <w:szCs w:val="28"/>
        </w:rPr>
        <w:t>分析</w:t>
      </w:r>
      <w:bookmarkEnd w:id="155"/>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）生态保护红线</w:t>
      </w:r>
    </w:p>
    <w:p>
      <w:pPr>
        <w:adjustRightInd w:val="0"/>
        <w:snapToGrid w:val="0"/>
        <w:spacing w:line="360" w:lineRule="auto"/>
        <w:ind w:firstLine="480" w:firstLineChars="200"/>
        <w:rPr>
          <w:color w:val="auto"/>
          <w:kern w:val="21"/>
          <w:sz w:val="24"/>
        </w:rPr>
      </w:pPr>
      <w:r>
        <w:rPr>
          <w:rFonts w:hint="eastAsia"/>
          <w:color w:val="auto"/>
          <w:kern w:val="21"/>
          <w:sz w:val="24"/>
        </w:rPr>
        <w:t>本项目位于获嘉县产业集聚区北区东片区内，不涉及自然保护区、风景名胜区及水源地保护区等生态红线区域。</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）环境质量底线</w:t>
      </w:r>
    </w:p>
    <w:p>
      <w:pPr>
        <w:adjustRightInd w:val="0"/>
        <w:snapToGrid w:val="0"/>
        <w:spacing w:line="360" w:lineRule="auto"/>
        <w:ind w:firstLine="480" w:firstLineChars="200"/>
        <w:rPr>
          <w:color w:val="auto"/>
          <w:kern w:val="21"/>
          <w:sz w:val="24"/>
        </w:rPr>
      </w:pPr>
      <w:r>
        <w:rPr>
          <w:rFonts w:hint="eastAsia"/>
          <w:color w:val="auto"/>
          <w:kern w:val="21"/>
          <w:sz w:val="24"/>
        </w:rPr>
        <w:t>根据《河南省“三线一单”研究报告》，获嘉县共产主义渠获嘉东碑村为国控断面，近、远期控制目标为</w:t>
      </w:r>
      <w:r>
        <w:rPr>
          <w:color w:val="auto"/>
          <w:kern w:val="21"/>
        </w:rPr>
        <w:t>IV</w:t>
      </w:r>
      <w:r>
        <w:rPr>
          <w:color w:val="auto"/>
          <w:kern w:val="21"/>
          <w:sz w:val="24"/>
        </w:rPr>
        <w:t>类水体，</w:t>
      </w:r>
      <w:r>
        <w:rPr>
          <w:rFonts w:hint="eastAsia"/>
          <w:color w:val="auto"/>
          <w:kern w:val="21"/>
          <w:sz w:val="24"/>
        </w:rPr>
        <w:t>本项目涉重废水</w:t>
      </w:r>
      <w:r>
        <w:rPr>
          <w:rFonts w:hint="eastAsia"/>
          <w:color w:val="auto"/>
          <w:kern w:val="21"/>
          <w:sz w:val="24"/>
          <w:lang w:eastAsia="zh-CN"/>
        </w:rPr>
        <w:t>经厂区污水处理站处理后全部回用，不外排，浓水及生活污水经</w:t>
      </w:r>
      <w:r>
        <w:rPr>
          <w:rFonts w:hint="eastAsia"/>
          <w:color w:val="auto"/>
          <w:kern w:val="21"/>
          <w:sz w:val="24"/>
          <w:highlight w:val="none"/>
        </w:rPr>
        <w:t>市政管网排入同盟污水处理厂，因此不会对地表水环境造成较大影响。大气</w:t>
      </w:r>
      <w:r>
        <w:rPr>
          <w:rFonts w:hint="eastAsia"/>
          <w:color w:val="auto"/>
          <w:kern w:val="21"/>
          <w:sz w:val="24"/>
        </w:rPr>
        <w:t>环境质量底线为二级标准，根据大气环境影响分析及预测结果，项目排放各类废气污染物经相应治理设施治理后，均可达标排放。土壤环境质量底线为建设用地土壤风险管控标准，根据土壤环境影响分析及预测评价，本项目土壤环境现状及预测值能满足建设用地土壤风险管控标准。因此本项目建成后各项污染物均可以做到达标排放，不会降低区域环境现有功能级别，满足环境质量底线控制要求。</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3</w:t>
      </w:r>
      <w:r>
        <w:rPr>
          <w:rFonts w:hint="eastAsia"/>
          <w:color w:val="auto"/>
          <w:kern w:val="21"/>
          <w:sz w:val="24"/>
        </w:rPr>
        <w:t>）资源利用上线</w:t>
      </w:r>
    </w:p>
    <w:p>
      <w:pPr>
        <w:adjustRightInd w:val="0"/>
        <w:snapToGrid w:val="0"/>
        <w:spacing w:line="360" w:lineRule="auto"/>
        <w:ind w:firstLine="480" w:firstLineChars="200"/>
        <w:rPr>
          <w:color w:val="auto"/>
          <w:kern w:val="21"/>
          <w:sz w:val="24"/>
        </w:rPr>
      </w:pPr>
      <w:r>
        <w:rPr>
          <w:rFonts w:hint="eastAsia"/>
          <w:color w:val="auto"/>
          <w:kern w:val="21"/>
          <w:sz w:val="24"/>
        </w:rPr>
        <w:t>本项目运营过程中消耗一次能源仅为水资源，且由管网统一供应，对区域资源利用总量较小，不会对区域资源利用造成负面影响，同时项目利用现有的标准化厂房进行建设，不新增占地，对土地资源影响较小，因此项目建设符合资源利用上线要求。</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4</w:t>
      </w:r>
      <w:r>
        <w:rPr>
          <w:rFonts w:hint="eastAsia"/>
          <w:color w:val="auto"/>
          <w:kern w:val="21"/>
          <w:sz w:val="24"/>
        </w:rPr>
        <w:t>）生态环境准入清单</w:t>
      </w:r>
    </w:p>
    <w:p>
      <w:pPr>
        <w:adjustRightInd w:val="0"/>
        <w:snapToGrid w:val="0"/>
        <w:spacing w:line="360" w:lineRule="auto"/>
        <w:ind w:firstLine="480" w:firstLineChars="200"/>
        <w:rPr>
          <w:b/>
          <w:color w:val="auto"/>
          <w:u w:val="single"/>
        </w:rPr>
      </w:pPr>
      <w:r>
        <w:rPr>
          <w:color w:val="auto"/>
          <w:kern w:val="21"/>
          <w:sz w:val="24"/>
        </w:rPr>
        <w:t>根据《河南省生态环境准入清单》中</w:t>
      </w:r>
      <w:r>
        <w:rPr>
          <w:rFonts w:hint="eastAsia"/>
          <w:color w:val="auto"/>
          <w:kern w:val="21"/>
          <w:sz w:val="24"/>
        </w:rPr>
        <w:t>“</w:t>
      </w:r>
      <w:r>
        <w:rPr>
          <w:color w:val="auto"/>
          <w:kern w:val="21"/>
          <w:sz w:val="24"/>
        </w:rPr>
        <w:t>新乡市获嘉县环境管控单元（ZH41072420001）生态环境准入清单</w:t>
      </w:r>
      <w:r>
        <w:rPr>
          <w:rFonts w:hint="eastAsia"/>
          <w:color w:val="auto"/>
          <w:kern w:val="21"/>
          <w:sz w:val="24"/>
        </w:rPr>
        <w:t>”</w:t>
      </w:r>
      <w:r>
        <w:rPr>
          <w:color w:val="auto"/>
          <w:kern w:val="21"/>
          <w:sz w:val="24"/>
        </w:rPr>
        <w:t>，本项目与其相符性</w:t>
      </w:r>
      <w:r>
        <w:rPr>
          <w:rFonts w:hint="eastAsia"/>
          <w:color w:val="auto"/>
          <w:kern w:val="21"/>
          <w:sz w:val="24"/>
          <w:lang w:eastAsia="zh-CN"/>
        </w:rPr>
        <w:t>分析</w:t>
      </w:r>
      <w:r>
        <w:rPr>
          <w:color w:val="auto"/>
          <w:kern w:val="21"/>
          <w:sz w:val="24"/>
        </w:rPr>
        <w:t>见下表。</w:t>
      </w:r>
    </w:p>
    <w:p>
      <w:pPr>
        <w:pStyle w:val="262"/>
        <w:jc w:val="center"/>
        <w:rPr>
          <w:rFonts w:hint="eastAsia" w:eastAsia="黑体"/>
          <w:color w:val="auto"/>
          <w:kern w:val="21"/>
          <w:sz w:val="24"/>
          <w:szCs w:val="24"/>
          <w:lang w:eastAsia="zh-CN"/>
        </w:rPr>
      </w:pPr>
      <w:r>
        <w:rPr>
          <w:color w:val="auto"/>
          <w:kern w:val="21"/>
          <w:sz w:val="24"/>
          <w:szCs w:val="24"/>
        </w:rPr>
        <w:t>表</w:t>
      </w:r>
      <w:r>
        <w:rPr>
          <w:rFonts w:hint="eastAsia"/>
          <w:color w:val="auto"/>
          <w:kern w:val="21"/>
          <w:sz w:val="24"/>
          <w:szCs w:val="24"/>
        </w:rPr>
        <w:t>2.8-5</w:t>
      </w:r>
      <w:r>
        <w:rPr>
          <w:color w:val="auto"/>
          <w:kern w:val="21"/>
          <w:sz w:val="24"/>
          <w:szCs w:val="24"/>
        </w:rPr>
        <w:t xml:space="preserve">   项目与河南省生态环境准入清单相符性</w:t>
      </w:r>
      <w:r>
        <w:rPr>
          <w:rFonts w:hint="eastAsia"/>
          <w:color w:val="auto"/>
          <w:kern w:val="21"/>
          <w:sz w:val="24"/>
          <w:szCs w:val="24"/>
          <w:lang w:eastAsia="zh-CN"/>
        </w:rPr>
        <w:t>分析</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5381"/>
        <w:gridCol w:w="1845"/>
        <w:gridCol w:w="1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3390" w:type="pct"/>
            <w:gridSpan w:val="2"/>
            <w:shd w:val="clear" w:color="auto" w:fill="auto"/>
            <w:vAlign w:val="center"/>
          </w:tcPr>
          <w:p>
            <w:pPr>
              <w:pStyle w:val="32"/>
              <w:spacing w:after="0"/>
              <w:jc w:val="center"/>
              <w:rPr>
                <w:b/>
                <w:bCs/>
                <w:color w:val="auto"/>
                <w:szCs w:val="21"/>
              </w:rPr>
            </w:pPr>
            <w:r>
              <w:rPr>
                <w:b/>
                <w:bCs/>
                <w:color w:val="auto"/>
                <w:szCs w:val="21"/>
              </w:rPr>
              <w:t>管控要求</w:t>
            </w:r>
          </w:p>
        </w:tc>
        <w:tc>
          <w:tcPr>
            <w:tcW w:w="998" w:type="pct"/>
            <w:shd w:val="clear" w:color="auto" w:fill="auto"/>
            <w:vAlign w:val="center"/>
          </w:tcPr>
          <w:p>
            <w:pPr>
              <w:pStyle w:val="32"/>
              <w:spacing w:after="0"/>
              <w:jc w:val="center"/>
              <w:rPr>
                <w:b/>
                <w:bCs/>
                <w:color w:val="auto"/>
                <w:szCs w:val="21"/>
              </w:rPr>
            </w:pPr>
            <w:r>
              <w:rPr>
                <w:b/>
                <w:bCs/>
                <w:color w:val="auto"/>
                <w:szCs w:val="21"/>
              </w:rPr>
              <w:t>本项目</w:t>
            </w:r>
          </w:p>
        </w:tc>
        <w:tc>
          <w:tcPr>
            <w:tcW w:w="612" w:type="pct"/>
            <w:shd w:val="clear" w:color="auto" w:fill="auto"/>
            <w:vAlign w:val="center"/>
          </w:tcPr>
          <w:p>
            <w:pPr>
              <w:pStyle w:val="32"/>
              <w:spacing w:after="0"/>
              <w:jc w:val="center"/>
              <w:rPr>
                <w:b/>
                <w:bCs/>
                <w:color w:val="auto"/>
                <w:szCs w:val="21"/>
              </w:rPr>
            </w:pPr>
            <w:r>
              <w:rPr>
                <w:b/>
                <w:bCs/>
                <w:color w:val="auto"/>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shd w:val="clear" w:color="auto" w:fill="auto"/>
            <w:vAlign w:val="center"/>
          </w:tcPr>
          <w:p>
            <w:pPr>
              <w:pStyle w:val="32"/>
              <w:spacing w:after="0"/>
              <w:jc w:val="center"/>
              <w:rPr>
                <w:color w:val="auto"/>
                <w:szCs w:val="21"/>
              </w:rPr>
            </w:pPr>
            <w:r>
              <w:rPr>
                <w:color w:val="auto"/>
                <w:szCs w:val="21"/>
              </w:rPr>
              <w:t>空间布局约束</w:t>
            </w:r>
          </w:p>
        </w:tc>
        <w:tc>
          <w:tcPr>
            <w:tcW w:w="2911" w:type="pct"/>
            <w:shd w:val="clear" w:color="auto" w:fill="auto"/>
            <w:vAlign w:val="center"/>
          </w:tcPr>
          <w:p>
            <w:pPr>
              <w:pStyle w:val="32"/>
              <w:spacing w:after="0"/>
              <w:rPr>
                <w:color w:val="auto"/>
                <w:szCs w:val="21"/>
              </w:rPr>
            </w:pPr>
            <w:r>
              <w:rPr>
                <w:color w:val="auto"/>
                <w:szCs w:val="21"/>
              </w:rPr>
              <w:t>1、北区城南片区严格限制精细有机化工合成产业发展。</w:t>
            </w:r>
          </w:p>
          <w:p>
            <w:pPr>
              <w:pStyle w:val="32"/>
              <w:spacing w:after="0"/>
              <w:rPr>
                <w:color w:val="auto"/>
                <w:szCs w:val="21"/>
              </w:rPr>
            </w:pPr>
            <w:r>
              <w:rPr>
                <w:color w:val="auto"/>
                <w:szCs w:val="21"/>
              </w:rPr>
              <w:t>2、现有煤化工企业维持现状、禁止扩大用地规模。提升改造应严格落实《河南省传统煤化工行业转型发展行动方案（2018-2020年）》要求。</w:t>
            </w:r>
          </w:p>
          <w:p>
            <w:pPr>
              <w:pStyle w:val="32"/>
              <w:spacing w:after="0"/>
              <w:rPr>
                <w:color w:val="auto"/>
                <w:szCs w:val="21"/>
              </w:rPr>
            </w:pPr>
            <w:r>
              <w:rPr>
                <w:color w:val="auto"/>
                <w:szCs w:val="21"/>
              </w:rPr>
              <w:t>3、禁止新建光气、氧化钠、氟乙酸</w:t>
            </w:r>
            <w:r>
              <w:rPr>
                <w:rFonts w:hint="eastAsia"/>
                <w:color w:val="auto"/>
                <w:szCs w:val="21"/>
                <w:lang w:eastAsia="zh-CN"/>
              </w:rPr>
              <w:t>甲酯</w:t>
            </w:r>
            <w:r>
              <w:rPr>
                <w:color w:val="auto"/>
                <w:szCs w:val="21"/>
              </w:rPr>
              <w:t>等剧毒化学品以及硝酸续、硝化棉等易制爆化学品；禁止新建农药原药、有机颜料、染料及中间体、印染助剂、橡胶助剂项目（鼓励类的产品和生产工艺除外）以及使用高VOCs含量的溶剂型涂料、油墨和胶和剂项目。</w:t>
            </w:r>
          </w:p>
          <w:p>
            <w:pPr>
              <w:pStyle w:val="32"/>
              <w:spacing w:after="0"/>
              <w:rPr>
                <w:color w:val="auto"/>
                <w:szCs w:val="21"/>
              </w:rPr>
            </w:pPr>
            <w:r>
              <w:rPr>
                <w:color w:val="auto"/>
                <w:szCs w:val="21"/>
              </w:rPr>
              <w:t>4、北区城东片区禁止入驻化工项目，在原装备制造业基础上，优先引进科技含量高、污染小、能耗低项目。</w:t>
            </w:r>
          </w:p>
          <w:p>
            <w:pPr>
              <w:pStyle w:val="32"/>
              <w:spacing w:after="0"/>
              <w:rPr>
                <w:color w:val="auto"/>
                <w:szCs w:val="21"/>
              </w:rPr>
            </w:pPr>
            <w:r>
              <w:rPr>
                <w:color w:val="auto"/>
                <w:szCs w:val="21"/>
              </w:rPr>
              <w:t>5、鼓励实施集中喷涂、集中电镀。</w:t>
            </w:r>
          </w:p>
          <w:p>
            <w:pPr>
              <w:pStyle w:val="32"/>
              <w:spacing w:after="0"/>
              <w:rPr>
                <w:color w:val="auto"/>
                <w:szCs w:val="21"/>
              </w:rPr>
            </w:pPr>
            <w:r>
              <w:rPr>
                <w:color w:val="auto"/>
                <w:szCs w:val="21"/>
              </w:rPr>
              <w:t>6、南区禁止入驻化工项目。</w:t>
            </w:r>
          </w:p>
          <w:p>
            <w:pPr>
              <w:pStyle w:val="32"/>
              <w:spacing w:after="0"/>
              <w:rPr>
                <w:color w:val="auto"/>
                <w:szCs w:val="21"/>
              </w:rPr>
            </w:pPr>
            <w:r>
              <w:rPr>
                <w:color w:val="auto"/>
                <w:szCs w:val="21"/>
              </w:rPr>
              <w:t>7、淘汰不符合国家产业政策的涉重排放行业企业生产工艺或生产设备装备。鼓励产能严重过剩行业的涉重金属排放企业主动退出市场。</w:t>
            </w:r>
          </w:p>
        </w:tc>
        <w:tc>
          <w:tcPr>
            <w:tcW w:w="998" w:type="pct"/>
            <w:shd w:val="clear" w:color="auto" w:fill="auto"/>
            <w:vAlign w:val="center"/>
          </w:tcPr>
          <w:p>
            <w:pPr>
              <w:pStyle w:val="32"/>
              <w:spacing w:after="0"/>
              <w:jc w:val="center"/>
              <w:rPr>
                <w:color w:val="auto"/>
                <w:szCs w:val="21"/>
              </w:rPr>
            </w:pPr>
            <w:r>
              <w:rPr>
                <w:color w:val="auto"/>
              </w:rPr>
              <w:t>本项目位于</w:t>
            </w:r>
            <w:r>
              <w:rPr>
                <w:rFonts w:hint="eastAsia"/>
                <w:color w:val="auto"/>
              </w:rPr>
              <w:t>北区城东片区，项目属于锂电池制造业，是机械装备的电能系统。且电镀工艺及设备较为先进，产生的污染物经治理后污染较小，能耗较低。本区域内暂无集中喷涂、集中电镀企业入驻。</w:t>
            </w:r>
          </w:p>
        </w:tc>
        <w:tc>
          <w:tcPr>
            <w:tcW w:w="612" w:type="pct"/>
            <w:shd w:val="clear" w:color="auto" w:fill="auto"/>
            <w:vAlign w:val="center"/>
          </w:tcPr>
          <w:p>
            <w:pPr>
              <w:pStyle w:val="32"/>
              <w:spacing w:after="0"/>
              <w:jc w:val="center"/>
              <w:rPr>
                <w:color w:val="auto"/>
                <w:szCs w:val="21"/>
              </w:rPr>
            </w:pPr>
            <w:r>
              <w:rPr>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shd w:val="clear" w:color="auto" w:fill="auto"/>
            <w:vAlign w:val="center"/>
          </w:tcPr>
          <w:p>
            <w:pPr>
              <w:pStyle w:val="32"/>
              <w:spacing w:after="0"/>
              <w:jc w:val="center"/>
              <w:rPr>
                <w:color w:val="auto"/>
                <w:szCs w:val="21"/>
              </w:rPr>
            </w:pPr>
            <w:r>
              <w:rPr>
                <w:color w:val="auto"/>
                <w:szCs w:val="21"/>
              </w:rPr>
              <w:t>污染物排放管控</w:t>
            </w:r>
          </w:p>
        </w:tc>
        <w:tc>
          <w:tcPr>
            <w:tcW w:w="2911" w:type="pct"/>
            <w:shd w:val="clear" w:color="auto" w:fill="auto"/>
            <w:vAlign w:val="center"/>
          </w:tcPr>
          <w:p>
            <w:pPr>
              <w:pStyle w:val="32"/>
              <w:spacing w:after="0"/>
              <w:rPr>
                <w:color w:val="auto"/>
                <w:szCs w:val="21"/>
              </w:rPr>
            </w:pPr>
            <w:r>
              <w:rPr>
                <w:color w:val="auto"/>
                <w:szCs w:val="21"/>
              </w:rPr>
              <w:t>1、大气：严格执行污染物排放总量控制制度，采取调整能源结构、加强污染治理等措施，严格控制烟粉尘、二氧化硫、氮氧化物、VOCs 等大气污染物的排放。</w:t>
            </w:r>
          </w:p>
          <w:p>
            <w:pPr>
              <w:pStyle w:val="32"/>
              <w:spacing w:after="0"/>
              <w:rPr>
                <w:color w:val="auto"/>
                <w:szCs w:val="21"/>
              </w:rPr>
            </w:pPr>
            <w:r>
              <w:rPr>
                <w:color w:val="auto"/>
                <w:szCs w:val="21"/>
              </w:rPr>
              <w:t>2、</w:t>
            </w:r>
            <w:r>
              <w:rPr>
                <w:rFonts w:hint="eastAsia"/>
                <w:color w:val="auto"/>
                <w:szCs w:val="21"/>
                <w:lang w:eastAsia="zh-CN"/>
              </w:rPr>
              <w:t>废</w:t>
            </w:r>
            <w:r>
              <w:rPr>
                <w:color w:val="auto"/>
                <w:szCs w:val="21"/>
              </w:rPr>
              <w:t>水：确保污水处理厂出水执行《城镇污水处理厂污染物排放标准》（GB18918-2002）一级A标准，并尽快对污水处理厂进行提标改（化学需氧量≤40毫克/升，氨氮≤2毫克/升），确保区域水环境质量达标。尽快实现集聚区集中供水，逐步关停企业自备水井。禁止含重金属废水进入城市生活污水处理厂。</w:t>
            </w:r>
          </w:p>
          <w:p>
            <w:pPr>
              <w:pStyle w:val="32"/>
              <w:spacing w:after="0"/>
              <w:rPr>
                <w:color w:val="auto"/>
                <w:szCs w:val="21"/>
              </w:rPr>
            </w:pPr>
            <w:r>
              <w:rPr>
                <w:color w:val="auto"/>
                <w:szCs w:val="21"/>
              </w:rPr>
              <w:t>3、定期对地下水质进行监测，发现问题，及时采取有效防治措施，避免对地下水造成污染。</w:t>
            </w:r>
          </w:p>
        </w:tc>
        <w:tc>
          <w:tcPr>
            <w:tcW w:w="998" w:type="pct"/>
            <w:shd w:val="clear" w:color="auto" w:fill="auto"/>
            <w:vAlign w:val="center"/>
          </w:tcPr>
          <w:p>
            <w:pPr>
              <w:pStyle w:val="32"/>
              <w:spacing w:after="0"/>
              <w:jc w:val="center"/>
              <w:rPr>
                <w:color w:val="auto"/>
                <w:szCs w:val="21"/>
              </w:rPr>
            </w:pPr>
            <w:r>
              <w:rPr>
                <w:color w:val="auto"/>
                <w:szCs w:val="21"/>
              </w:rPr>
              <w:t>本项目大气污染物经治理后均可做到总量、浓度双达标；涉重废水回用，其余废水达标排入同盟污水处理厂。用水为集聚区集中供水，并制定地下水、土壤跟踪监测计划</w:t>
            </w:r>
          </w:p>
        </w:tc>
        <w:tc>
          <w:tcPr>
            <w:tcW w:w="612" w:type="pct"/>
            <w:shd w:val="clear" w:color="auto" w:fill="auto"/>
            <w:vAlign w:val="center"/>
          </w:tcPr>
          <w:p>
            <w:pPr>
              <w:pStyle w:val="32"/>
              <w:spacing w:after="0"/>
              <w:jc w:val="center"/>
              <w:rPr>
                <w:color w:val="auto"/>
                <w:szCs w:val="21"/>
              </w:rPr>
            </w:pPr>
            <w:r>
              <w:rPr>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shd w:val="clear" w:color="auto" w:fill="auto"/>
            <w:vAlign w:val="center"/>
          </w:tcPr>
          <w:p>
            <w:pPr>
              <w:pStyle w:val="32"/>
              <w:spacing w:after="0"/>
              <w:jc w:val="center"/>
              <w:rPr>
                <w:color w:val="auto"/>
                <w:szCs w:val="21"/>
              </w:rPr>
            </w:pPr>
            <w:r>
              <w:rPr>
                <w:color w:val="auto"/>
                <w:szCs w:val="21"/>
              </w:rPr>
              <w:t>环境风险防控</w:t>
            </w:r>
          </w:p>
        </w:tc>
        <w:tc>
          <w:tcPr>
            <w:tcW w:w="2911" w:type="pct"/>
            <w:shd w:val="clear" w:color="auto" w:fill="auto"/>
            <w:vAlign w:val="center"/>
          </w:tcPr>
          <w:p>
            <w:pPr>
              <w:pStyle w:val="32"/>
              <w:spacing w:after="0"/>
              <w:rPr>
                <w:color w:val="auto"/>
                <w:szCs w:val="21"/>
              </w:rPr>
            </w:pPr>
            <w:r>
              <w:rPr>
                <w:color w:val="auto"/>
                <w:szCs w:val="21"/>
              </w:rPr>
              <w:t>1、加快区内现有项目大气环境防护距离内居民搬迁工作。</w:t>
            </w:r>
          </w:p>
          <w:p>
            <w:pPr>
              <w:pStyle w:val="32"/>
              <w:spacing w:after="0"/>
              <w:rPr>
                <w:color w:val="auto"/>
                <w:szCs w:val="21"/>
              </w:rPr>
            </w:pPr>
            <w:r>
              <w:rPr>
                <w:color w:val="auto"/>
                <w:szCs w:val="21"/>
              </w:rPr>
              <w:t>2、规范产业集聚区建设，对涉重行业企业加强管理，建立土壤和地下水污染隐患排查治理制度、风险防控体系和长效监管机制。</w:t>
            </w:r>
          </w:p>
          <w:p>
            <w:pPr>
              <w:pStyle w:val="32"/>
              <w:spacing w:after="0"/>
              <w:rPr>
                <w:color w:val="auto"/>
                <w:szCs w:val="21"/>
              </w:rPr>
            </w:pPr>
            <w:r>
              <w:rPr>
                <w:color w:val="auto"/>
                <w:szCs w:val="21"/>
              </w:rPr>
              <w:t>3、有色金属冶炼、铅酸蓄电池、石油加工、化工、电镀、制革和危险化学品生产、储存、使用等企业在拆除生产设施设备、污染治理设施时，要事先制定残留污染物清理和安全处置方案。</w:t>
            </w:r>
          </w:p>
          <w:p>
            <w:pPr>
              <w:pStyle w:val="32"/>
              <w:spacing w:after="0"/>
              <w:rPr>
                <w:color w:val="auto"/>
                <w:szCs w:val="21"/>
              </w:rPr>
            </w:pPr>
            <w:r>
              <w:rPr>
                <w:color w:val="auto"/>
                <w:szCs w:val="21"/>
              </w:rPr>
              <w:t>4、规范专业园区建设，对涉重行业企业加强管理，建立土壤和地下水污染隐患排查治理制度、风险防控体系和长效监管机制。</w:t>
            </w:r>
          </w:p>
          <w:p>
            <w:pPr>
              <w:pStyle w:val="32"/>
              <w:spacing w:after="0"/>
              <w:rPr>
                <w:color w:val="auto"/>
                <w:szCs w:val="21"/>
              </w:rPr>
            </w:pPr>
            <w:r>
              <w:rPr>
                <w:color w:val="auto"/>
                <w:szCs w:val="21"/>
              </w:rPr>
              <w:t>5、建立健全园区环境风险管理体系。加快环境风险预警体系建设，健全环境风险单位信息库，严格危险化学品管理</w:t>
            </w:r>
          </w:p>
          <w:p>
            <w:pPr>
              <w:pStyle w:val="32"/>
              <w:spacing w:after="0"/>
              <w:rPr>
                <w:color w:val="auto"/>
                <w:szCs w:val="21"/>
              </w:rPr>
            </w:pPr>
            <w:r>
              <w:rPr>
                <w:color w:val="auto"/>
                <w:szCs w:val="21"/>
              </w:rPr>
              <w:t>6、建立完善有效的环境风险防控设施和有效的拦截、降污、导流等措施，防止对地表水环境造成危害。</w:t>
            </w:r>
          </w:p>
        </w:tc>
        <w:tc>
          <w:tcPr>
            <w:tcW w:w="998" w:type="pct"/>
            <w:shd w:val="clear" w:color="auto" w:fill="auto"/>
            <w:vAlign w:val="center"/>
          </w:tcPr>
          <w:p>
            <w:pPr>
              <w:pStyle w:val="32"/>
              <w:spacing w:after="0"/>
              <w:jc w:val="center"/>
              <w:rPr>
                <w:color w:val="auto"/>
                <w:szCs w:val="21"/>
              </w:rPr>
            </w:pPr>
            <w:r>
              <w:rPr>
                <w:color w:val="auto"/>
                <w:szCs w:val="21"/>
              </w:rPr>
              <w:t>项目不涉及居民搬迁，并制定了地下水、土壤跟踪监测计划</w:t>
            </w:r>
          </w:p>
        </w:tc>
        <w:tc>
          <w:tcPr>
            <w:tcW w:w="612" w:type="pct"/>
            <w:shd w:val="clear" w:color="auto" w:fill="auto"/>
            <w:vAlign w:val="center"/>
          </w:tcPr>
          <w:p>
            <w:pPr>
              <w:pStyle w:val="32"/>
              <w:spacing w:after="0"/>
              <w:jc w:val="center"/>
              <w:rPr>
                <w:color w:val="auto"/>
                <w:szCs w:val="21"/>
              </w:rPr>
            </w:pPr>
            <w:r>
              <w:rPr>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9" w:type="pct"/>
            <w:shd w:val="clear" w:color="auto" w:fill="auto"/>
            <w:vAlign w:val="center"/>
          </w:tcPr>
          <w:p>
            <w:pPr>
              <w:pStyle w:val="32"/>
              <w:spacing w:after="0"/>
              <w:jc w:val="center"/>
              <w:rPr>
                <w:color w:val="auto"/>
                <w:szCs w:val="21"/>
              </w:rPr>
            </w:pPr>
            <w:r>
              <w:rPr>
                <w:color w:val="auto"/>
                <w:szCs w:val="21"/>
              </w:rPr>
              <w:t>资源利用效率要求</w:t>
            </w:r>
          </w:p>
        </w:tc>
        <w:tc>
          <w:tcPr>
            <w:tcW w:w="2911" w:type="pct"/>
            <w:shd w:val="clear" w:color="auto" w:fill="auto"/>
            <w:vAlign w:val="center"/>
          </w:tcPr>
          <w:p>
            <w:pPr>
              <w:pStyle w:val="32"/>
              <w:spacing w:after="0"/>
              <w:rPr>
                <w:color w:val="auto"/>
                <w:szCs w:val="21"/>
              </w:rPr>
            </w:pPr>
            <w:r>
              <w:rPr>
                <w:color w:val="auto"/>
                <w:szCs w:val="21"/>
              </w:rPr>
              <w:t>1、进一步优化能源结构，加快集中供热及配套管网建设，实现集中供热。</w:t>
            </w:r>
          </w:p>
          <w:p>
            <w:pPr>
              <w:pStyle w:val="32"/>
              <w:spacing w:after="0"/>
              <w:rPr>
                <w:color w:val="auto"/>
                <w:szCs w:val="21"/>
              </w:rPr>
            </w:pPr>
            <w:r>
              <w:rPr>
                <w:color w:val="auto"/>
                <w:szCs w:val="21"/>
              </w:rPr>
              <w:t>2、单位工业增加值新鲜水耗≤9立方米/万元、集中供热率100%、中水回用率40%、工业用地投资强度≥1815万元/公顷。</w:t>
            </w:r>
          </w:p>
          <w:p>
            <w:pPr>
              <w:pStyle w:val="32"/>
              <w:spacing w:after="0"/>
              <w:rPr>
                <w:color w:val="auto"/>
                <w:szCs w:val="21"/>
              </w:rPr>
            </w:pPr>
            <w:r>
              <w:rPr>
                <w:color w:val="auto"/>
                <w:szCs w:val="21"/>
              </w:rPr>
              <w:t>3、加快产业集聚区集中供热、供气建设，在实现集中供热供气后逐步淘汰区内企业自备锅炉。</w:t>
            </w:r>
          </w:p>
        </w:tc>
        <w:tc>
          <w:tcPr>
            <w:tcW w:w="998" w:type="pct"/>
            <w:shd w:val="clear" w:color="auto" w:fill="auto"/>
            <w:vAlign w:val="center"/>
          </w:tcPr>
          <w:p>
            <w:pPr>
              <w:pStyle w:val="32"/>
              <w:spacing w:after="0"/>
              <w:jc w:val="center"/>
              <w:rPr>
                <w:color w:val="auto"/>
                <w:szCs w:val="21"/>
              </w:rPr>
            </w:pPr>
            <w:r>
              <w:rPr>
                <w:color w:val="auto"/>
                <w:szCs w:val="21"/>
              </w:rPr>
              <w:t>项目配备燃气锅炉，待园区集中供热后停止使用。投资强度</w:t>
            </w:r>
            <w:r>
              <w:rPr>
                <w:rFonts w:hint="eastAsia"/>
                <w:color w:val="auto"/>
                <w:szCs w:val="21"/>
              </w:rPr>
              <w:t>4285万元/公顷，中水回用率93.42%</w:t>
            </w:r>
          </w:p>
        </w:tc>
        <w:tc>
          <w:tcPr>
            <w:tcW w:w="612" w:type="pct"/>
            <w:shd w:val="clear" w:color="auto" w:fill="auto"/>
            <w:vAlign w:val="center"/>
          </w:tcPr>
          <w:p>
            <w:pPr>
              <w:pStyle w:val="32"/>
              <w:spacing w:after="0"/>
              <w:jc w:val="center"/>
              <w:rPr>
                <w:color w:val="auto"/>
                <w:szCs w:val="21"/>
              </w:rPr>
            </w:pPr>
            <w:r>
              <w:rPr>
                <w:color w:val="auto"/>
                <w:szCs w:val="21"/>
              </w:rPr>
              <w:t>相符</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rFonts w:hint="eastAsia"/>
          <w:color w:val="auto"/>
          <w:kern w:val="21"/>
          <w:sz w:val="24"/>
          <w:szCs w:val="24"/>
        </w:rPr>
        <w:t>由上表可知，本项目建设符合</w:t>
      </w:r>
      <w:r>
        <w:rPr>
          <w:color w:val="auto"/>
          <w:kern w:val="21"/>
          <w:sz w:val="24"/>
          <w:szCs w:val="24"/>
        </w:rPr>
        <w:t>《河南省生态环境准入清单》中</w:t>
      </w:r>
      <w:r>
        <w:rPr>
          <w:rFonts w:hint="eastAsia"/>
          <w:color w:val="auto"/>
          <w:kern w:val="21"/>
          <w:sz w:val="24"/>
          <w:szCs w:val="24"/>
        </w:rPr>
        <w:t>“</w:t>
      </w:r>
      <w:r>
        <w:rPr>
          <w:color w:val="auto"/>
          <w:kern w:val="21"/>
          <w:sz w:val="24"/>
          <w:szCs w:val="24"/>
        </w:rPr>
        <w:t>新乡市获嘉县环境管控单元</w:t>
      </w:r>
      <w:r>
        <w:rPr>
          <w:color w:val="auto"/>
          <w:kern w:val="21"/>
          <w:sz w:val="24"/>
        </w:rPr>
        <w:t>（ZH41072420001）</w:t>
      </w:r>
      <w:r>
        <w:rPr>
          <w:color w:val="auto"/>
          <w:kern w:val="21"/>
          <w:sz w:val="24"/>
          <w:szCs w:val="24"/>
        </w:rPr>
        <w:t>生态环境准入清单</w:t>
      </w:r>
      <w:r>
        <w:rPr>
          <w:rFonts w:hint="eastAsia"/>
          <w:color w:val="auto"/>
          <w:kern w:val="21"/>
          <w:sz w:val="24"/>
          <w:szCs w:val="24"/>
        </w:rPr>
        <w:t>”</w:t>
      </w:r>
      <w:r>
        <w:rPr>
          <w:rFonts w:hint="eastAsia"/>
          <w:color w:val="auto"/>
          <w:kern w:val="21"/>
          <w:sz w:val="24"/>
          <w:szCs w:val="24"/>
          <w:lang w:eastAsia="zh-CN"/>
        </w:rPr>
        <w:t>的相关要求</w:t>
      </w:r>
      <w:r>
        <w:rPr>
          <w:color w:val="auto"/>
          <w:kern w:val="21"/>
          <w:sz w:val="24"/>
          <w:szCs w:val="24"/>
        </w:rPr>
        <w:t>。</w:t>
      </w:r>
    </w:p>
    <w:p>
      <w:pPr>
        <w:pStyle w:val="32"/>
        <w:adjustRightInd w:val="0"/>
        <w:snapToGrid w:val="0"/>
        <w:spacing w:after="0" w:line="360" w:lineRule="auto"/>
        <w:ind w:firstLine="560"/>
        <w:outlineLvl w:val="2"/>
        <w:rPr>
          <w:b/>
          <w:color w:val="auto"/>
          <w:kern w:val="21"/>
          <w:sz w:val="28"/>
          <w:szCs w:val="28"/>
        </w:rPr>
      </w:pPr>
      <w:r>
        <w:rPr>
          <w:rFonts w:eastAsia="黑体"/>
          <w:color w:val="auto"/>
          <w:kern w:val="21"/>
          <w:sz w:val="28"/>
          <w:szCs w:val="28"/>
          <w:lang w:val="en-US"/>
        </w:rPr>
        <w:t>2.</w:t>
      </w:r>
      <w:r>
        <w:rPr>
          <w:rFonts w:hint="eastAsia" w:eastAsia="黑体"/>
          <w:color w:val="auto"/>
          <w:kern w:val="21"/>
          <w:sz w:val="28"/>
          <w:szCs w:val="28"/>
          <w:lang w:val="en-US"/>
        </w:rPr>
        <w:t>8</w:t>
      </w:r>
      <w:r>
        <w:rPr>
          <w:rFonts w:eastAsia="黑体"/>
          <w:color w:val="auto"/>
          <w:kern w:val="21"/>
          <w:sz w:val="28"/>
          <w:szCs w:val="28"/>
          <w:lang w:val="en-US"/>
        </w:rPr>
        <w:t>.</w:t>
      </w:r>
      <w:r>
        <w:rPr>
          <w:rFonts w:hint="eastAsia" w:eastAsia="黑体"/>
          <w:color w:val="auto"/>
          <w:kern w:val="21"/>
          <w:sz w:val="28"/>
          <w:szCs w:val="28"/>
          <w:lang w:val="en-US"/>
        </w:rPr>
        <w:t>8</w:t>
      </w:r>
      <w:r>
        <w:rPr>
          <w:rFonts w:eastAsia="黑体"/>
          <w:color w:val="auto"/>
          <w:kern w:val="21"/>
          <w:sz w:val="28"/>
          <w:szCs w:val="28"/>
          <w:lang w:val="en-US"/>
        </w:rPr>
        <w:t>与新乡市</w:t>
      </w:r>
      <w:r>
        <w:rPr>
          <w:rFonts w:hint="eastAsia" w:eastAsia="黑体"/>
          <w:color w:val="auto"/>
          <w:kern w:val="21"/>
          <w:sz w:val="28"/>
          <w:szCs w:val="28"/>
          <w:lang w:val="en-US"/>
        </w:rPr>
        <w:t>“</w:t>
      </w:r>
      <w:r>
        <w:rPr>
          <w:rFonts w:eastAsia="黑体"/>
          <w:color w:val="auto"/>
          <w:kern w:val="21"/>
          <w:sz w:val="28"/>
          <w:szCs w:val="28"/>
          <w:lang w:val="en-US"/>
        </w:rPr>
        <w:t>三线一单</w:t>
      </w:r>
      <w:r>
        <w:rPr>
          <w:rFonts w:hint="eastAsia" w:eastAsia="黑体"/>
          <w:color w:val="auto"/>
          <w:kern w:val="21"/>
          <w:sz w:val="28"/>
          <w:szCs w:val="28"/>
          <w:lang w:val="en-US"/>
        </w:rPr>
        <w:t>”</w:t>
      </w:r>
      <w:r>
        <w:rPr>
          <w:rFonts w:eastAsia="黑体"/>
          <w:color w:val="auto"/>
          <w:kern w:val="21"/>
          <w:sz w:val="28"/>
          <w:szCs w:val="28"/>
          <w:lang w:val="en-US"/>
        </w:rPr>
        <w:t>生态准入清单相符性</w:t>
      </w:r>
      <w:r>
        <w:rPr>
          <w:rFonts w:eastAsia="黑体"/>
          <w:color w:val="auto"/>
          <w:kern w:val="21"/>
          <w:sz w:val="28"/>
          <w:szCs w:val="28"/>
        </w:rPr>
        <w:t>分析</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本项目位于获嘉县产业集聚区北区东部片区内，根据《新乡市“三线一单”生态环境准入清单</w:t>
      </w:r>
      <w:r>
        <w:rPr>
          <w:color w:val="auto"/>
          <w:kern w:val="21"/>
          <w:sz w:val="24"/>
          <w:szCs w:val="24"/>
        </w:rPr>
        <w:t>（试行）</w:t>
      </w:r>
      <w:r>
        <w:rPr>
          <w:rFonts w:hint="eastAsia"/>
          <w:color w:val="auto"/>
          <w:kern w:val="21"/>
          <w:sz w:val="24"/>
          <w:szCs w:val="24"/>
        </w:rPr>
        <w:t>》</w:t>
      </w:r>
      <w:r>
        <w:rPr>
          <w:color w:val="auto"/>
          <w:kern w:val="21"/>
          <w:sz w:val="24"/>
          <w:szCs w:val="24"/>
        </w:rPr>
        <w:t>中</w:t>
      </w:r>
      <w:r>
        <w:rPr>
          <w:rFonts w:hint="eastAsia"/>
          <w:color w:val="auto"/>
          <w:kern w:val="21"/>
          <w:sz w:val="24"/>
          <w:szCs w:val="24"/>
          <w:lang w:eastAsia="zh-CN"/>
        </w:rPr>
        <w:t>“</w:t>
      </w:r>
      <w:r>
        <w:rPr>
          <w:color w:val="auto"/>
          <w:kern w:val="21"/>
          <w:sz w:val="24"/>
          <w:szCs w:val="24"/>
        </w:rPr>
        <w:t>获嘉县产业集聚区环境管控单元（</w:t>
      </w:r>
      <w:r>
        <w:rPr>
          <w:rFonts w:eastAsia="仿宋"/>
          <w:color w:val="auto"/>
          <w:kern w:val="0"/>
          <w:sz w:val="24"/>
          <w:szCs w:val="24"/>
          <w:lang w:bidi="ar"/>
        </w:rPr>
        <w:t>ZH41072420001</w:t>
      </w:r>
      <w:r>
        <w:rPr>
          <w:color w:val="auto"/>
          <w:kern w:val="21"/>
          <w:sz w:val="24"/>
          <w:szCs w:val="24"/>
        </w:rPr>
        <w:t>）生态环境准入清单</w:t>
      </w:r>
      <w:r>
        <w:rPr>
          <w:rFonts w:hint="eastAsia"/>
          <w:color w:val="auto"/>
          <w:kern w:val="21"/>
          <w:sz w:val="24"/>
          <w:szCs w:val="24"/>
          <w:lang w:eastAsia="zh-CN"/>
        </w:rPr>
        <w:t>”</w:t>
      </w:r>
      <w:r>
        <w:rPr>
          <w:color w:val="auto"/>
          <w:kern w:val="21"/>
          <w:sz w:val="24"/>
          <w:szCs w:val="24"/>
        </w:rPr>
        <w:t>，</w:t>
      </w:r>
      <w:r>
        <w:rPr>
          <w:rFonts w:hint="eastAsia"/>
          <w:color w:val="auto"/>
          <w:kern w:val="21"/>
          <w:sz w:val="24"/>
          <w:szCs w:val="24"/>
        </w:rPr>
        <w:t>本项目与其</w:t>
      </w:r>
      <w:r>
        <w:rPr>
          <w:rFonts w:hint="eastAsia"/>
          <w:color w:val="auto"/>
          <w:kern w:val="21"/>
          <w:sz w:val="24"/>
          <w:szCs w:val="24"/>
          <w:lang w:eastAsia="zh-CN"/>
        </w:rPr>
        <w:t>相符性分析</w:t>
      </w:r>
      <w:r>
        <w:rPr>
          <w:rFonts w:hint="eastAsia"/>
          <w:color w:val="auto"/>
          <w:kern w:val="21"/>
          <w:sz w:val="24"/>
          <w:szCs w:val="24"/>
        </w:rPr>
        <w:t>见下表。</w:t>
      </w:r>
    </w:p>
    <w:p>
      <w:pPr>
        <w:pStyle w:val="262"/>
        <w:jc w:val="center"/>
        <w:rPr>
          <w:rFonts w:hint="eastAsia" w:eastAsia="黑体"/>
          <w:color w:val="auto"/>
          <w:kern w:val="21"/>
          <w:sz w:val="24"/>
          <w:szCs w:val="24"/>
          <w:lang w:eastAsia="zh-CN"/>
        </w:rPr>
      </w:pPr>
      <w:r>
        <w:rPr>
          <w:color w:val="auto"/>
          <w:kern w:val="21"/>
          <w:sz w:val="24"/>
          <w:szCs w:val="24"/>
        </w:rPr>
        <w:t>表</w:t>
      </w:r>
      <w:r>
        <w:rPr>
          <w:rFonts w:hint="eastAsia"/>
          <w:color w:val="auto"/>
          <w:kern w:val="21"/>
          <w:sz w:val="24"/>
          <w:szCs w:val="24"/>
        </w:rPr>
        <w:t>2.8-6</w:t>
      </w:r>
      <w:r>
        <w:rPr>
          <w:color w:val="auto"/>
          <w:kern w:val="21"/>
          <w:sz w:val="24"/>
          <w:szCs w:val="24"/>
        </w:rPr>
        <w:t xml:space="preserve">   项目与新乡市生态环境准入清单相符性</w:t>
      </w:r>
      <w:r>
        <w:rPr>
          <w:rFonts w:hint="eastAsia"/>
          <w:color w:val="auto"/>
          <w:kern w:val="21"/>
          <w:sz w:val="24"/>
          <w:szCs w:val="24"/>
          <w:lang w:eastAsia="zh-CN"/>
        </w:rPr>
        <w:t>分析</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851"/>
        <w:gridCol w:w="567"/>
        <w:gridCol w:w="4677"/>
        <w:gridCol w:w="1701"/>
        <w:gridCol w:w="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shd w:val="clear" w:color="auto" w:fill="auto"/>
            <w:vAlign w:val="center"/>
          </w:tcPr>
          <w:p>
            <w:pPr>
              <w:widowControl w:val="0"/>
              <w:adjustRightInd w:val="0"/>
              <w:snapToGrid w:val="0"/>
              <w:jc w:val="center"/>
              <w:rPr>
                <w:b/>
                <w:bCs/>
                <w:color w:val="auto"/>
                <w:kern w:val="21"/>
              </w:rPr>
            </w:pPr>
            <w:r>
              <w:rPr>
                <w:rFonts w:hint="eastAsia"/>
                <w:b/>
                <w:bCs/>
                <w:color w:val="auto"/>
                <w:kern w:val="21"/>
              </w:rPr>
              <w:t>管控单元分类</w:t>
            </w:r>
          </w:p>
        </w:tc>
        <w:tc>
          <w:tcPr>
            <w:tcW w:w="851" w:type="dxa"/>
            <w:shd w:val="clear" w:color="auto" w:fill="auto"/>
            <w:vAlign w:val="center"/>
          </w:tcPr>
          <w:p>
            <w:pPr>
              <w:widowControl w:val="0"/>
              <w:adjustRightInd w:val="0"/>
              <w:snapToGrid w:val="0"/>
              <w:jc w:val="center"/>
              <w:rPr>
                <w:b/>
                <w:bCs/>
                <w:color w:val="auto"/>
                <w:kern w:val="21"/>
              </w:rPr>
            </w:pPr>
            <w:r>
              <w:rPr>
                <w:rFonts w:hint="eastAsia"/>
                <w:b/>
                <w:bCs/>
                <w:color w:val="auto"/>
                <w:kern w:val="21"/>
              </w:rPr>
              <w:t>管控单元名称</w:t>
            </w:r>
          </w:p>
        </w:tc>
        <w:tc>
          <w:tcPr>
            <w:tcW w:w="5244" w:type="dxa"/>
            <w:gridSpan w:val="2"/>
            <w:shd w:val="clear" w:color="auto" w:fill="auto"/>
            <w:vAlign w:val="center"/>
          </w:tcPr>
          <w:p>
            <w:pPr>
              <w:widowControl w:val="0"/>
              <w:adjustRightInd w:val="0"/>
              <w:snapToGrid w:val="0"/>
              <w:jc w:val="center"/>
              <w:rPr>
                <w:b/>
                <w:bCs/>
                <w:color w:val="auto"/>
                <w:kern w:val="21"/>
              </w:rPr>
            </w:pPr>
            <w:r>
              <w:rPr>
                <w:rFonts w:hint="eastAsia"/>
                <w:b/>
                <w:bCs/>
                <w:color w:val="auto"/>
                <w:kern w:val="21"/>
              </w:rPr>
              <w:t>管控要求</w:t>
            </w:r>
          </w:p>
        </w:tc>
        <w:tc>
          <w:tcPr>
            <w:tcW w:w="1701" w:type="dxa"/>
            <w:shd w:val="clear" w:color="auto" w:fill="auto"/>
            <w:vAlign w:val="center"/>
          </w:tcPr>
          <w:p>
            <w:pPr>
              <w:widowControl w:val="0"/>
              <w:adjustRightInd w:val="0"/>
              <w:snapToGrid w:val="0"/>
              <w:jc w:val="center"/>
              <w:rPr>
                <w:b/>
                <w:bCs/>
                <w:color w:val="auto"/>
                <w:kern w:val="21"/>
              </w:rPr>
            </w:pPr>
            <w:r>
              <w:rPr>
                <w:b/>
                <w:bCs/>
                <w:color w:val="auto"/>
                <w:kern w:val="21"/>
              </w:rPr>
              <w:t>本项目</w:t>
            </w:r>
          </w:p>
        </w:tc>
        <w:tc>
          <w:tcPr>
            <w:tcW w:w="629" w:type="dxa"/>
            <w:shd w:val="clear" w:color="auto" w:fill="auto"/>
            <w:vAlign w:val="center"/>
          </w:tcPr>
          <w:p>
            <w:pPr>
              <w:widowControl w:val="0"/>
              <w:adjustRightInd w:val="0"/>
              <w:snapToGrid w:val="0"/>
              <w:jc w:val="center"/>
              <w:rPr>
                <w:b/>
                <w:bCs/>
                <w:color w:val="auto"/>
                <w:kern w:val="21"/>
              </w:rPr>
            </w:pPr>
            <w:r>
              <w:rPr>
                <w:b/>
                <w:bCs/>
                <w:color w:val="auto"/>
                <w:kern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shd w:val="clear" w:color="auto" w:fill="auto"/>
            <w:vAlign w:val="center"/>
          </w:tcPr>
          <w:p>
            <w:pPr>
              <w:pStyle w:val="32"/>
              <w:widowControl w:val="0"/>
              <w:spacing w:after="0"/>
              <w:jc w:val="center"/>
              <w:rPr>
                <w:color w:val="auto"/>
                <w:szCs w:val="21"/>
              </w:rPr>
            </w:pPr>
            <w:r>
              <w:rPr>
                <w:rFonts w:hint="eastAsia"/>
                <w:color w:val="auto"/>
                <w:szCs w:val="21"/>
              </w:rPr>
              <w:t>重点管控单元</w:t>
            </w:r>
          </w:p>
        </w:tc>
        <w:tc>
          <w:tcPr>
            <w:tcW w:w="851" w:type="dxa"/>
            <w:vMerge w:val="restart"/>
            <w:shd w:val="clear" w:color="auto" w:fill="auto"/>
            <w:vAlign w:val="center"/>
          </w:tcPr>
          <w:p>
            <w:pPr>
              <w:pStyle w:val="32"/>
              <w:widowControl w:val="0"/>
              <w:spacing w:after="0"/>
              <w:jc w:val="center"/>
              <w:rPr>
                <w:color w:val="auto"/>
                <w:szCs w:val="21"/>
              </w:rPr>
            </w:pPr>
            <w:r>
              <w:rPr>
                <w:rFonts w:hint="eastAsia"/>
                <w:color w:val="auto"/>
                <w:szCs w:val="21"/>
              </w:rPr>
              <w:t>获嘉县产业集聚区</w:t>
            </w:r>
          </w:p>
        </w:tc>
        <w:tc>
          <w:tcPr>
            <w:tcW w:w="567" w:type="dxa"/>
            <w:shd w:val="clear" w:color="auto" w:fill="auto"/>
            <w:vAlign w:val="center"/>
          </w:tcPr>
          <w:p>
            <w:pPr>
              <w:pStyle w:val="32"/>
              <w:widowControl w:val="0"/>
              <w:spacing w:after="0"/>
              <w:jc w:val="center"/>
              <w:rPr>
                <w:color w:val="auto"/>
                <w:szCs w:val="21"/>
              </w:rPr>
            </w:pPr>
            <w:r>
              <w:rPr>
                <w:rFonts w:hint="eastAsia"/>
                <w:color w:val="auto"/>
                <w:szCs w:val="21"/>
              </w:rPr>
              <w:t>空间布局约束</w:t>
            </w:r>
          </w:p>
        </w:tc>
        <w:tc>
          <w:tcPr>
            <w:tcW w:w="4677" w:type="dxa"/>
            <w:shd w:val="clear" w:color="auto" w:fill="auto"/>
            <w:vAlign w:val="center"/>
          </w:tcPr>
          <w:p>
            <w:pPr>
              <w:pStyle w:val="32"/>
              <w:widowControl w:val="0"/>
              <w:spacing w:after="0"/>
              <w:rPr>
                <w:color w:val="auto"/>
                <w:szCs w:val="21"/>
              </w:rPr>
            </w:pPr>
            <w:r>
              <w:rPr>
                <w:rFonts w:hint="eastAsia"/>
                <w:color w:val="auto"/>
                <w:szCs w:val="21"/>
              </w:rPr>
              <w:t>1、北区城南片区严格限制精细有机化工合成产业发展。</w:t>
            </w:r>
          </w:p>
          <w:p>
            <w:pPr>
              <w:pStyle w:val="32"/>
              <w:widowControl w:val="0"/>
              <w:spacing w:after="0"/>
              <w:rPr>
                <w:color w:val="auto"/>
                <w:szCs w:val="21"/>
              </w:rPr>
            </w:pPr>
            <w:r>
              <w:rPr>
                <w:rFonts w:hint="eastAsia"/>
                <w:color w:val="auto"/>
                <w:szCs w:val="21"/>
              </w:rPr>
              <w:t>2、现有煤化工企业维持现状、禁止扩大用地规模。提升改造应严格落实《河南省传统煤化工行业转型发展行动方案（2018-2020年）》要求。</w:t>
            </w:r>
          </w:p>
          <w:p>
            <w:pPr>
              <w:pStyle w:val="32"/>
              <w:widowControl w:val="0"/>
              <w:spacing w:after="0"/>
              <w:rPr>
                <w:color w:val="auto"/>
                <w:szCs w:val="21"/>
              </w:rPr>
            </w:pPr>
            <w:r>
              <w:rPr>
                <w:rFonts w:hint="eastAsia"/>
                <w:color w:val="auto"/>
                <w:szCs w:val="21"/>
              </w:rPr>
              <w:t>3、禁止新建光气、氧化钠、氟乙酸</w:t>
            </w:r>
            <w:r>
              <w:rPr>
                <w:rFonts w:hint="eastAsia"/>
                <w:color w:val="auto"/>
                <w:szCs w:val="21"/>
                <w:lang w:eastAsia="zh-CN"/>
              </w:rPr>
              <w:t>甲酯</w:t>
            </w:r>
            <w:r>
              <w:rPr>
                <w:rFonts w:hint="eastAsia"/>
                <w:color w:val="auto"/>
                <w:szCs w:val="21"/>
              </w:rPr>
              <w:t>等剧毒化学品以及硝酸铵、硝化棉等易制爆化学品；禁止新建农药原药、有机颜料、染料及中间体、印染助剂、橡胶助剂项目（鼓励类的产品和生产工艺除外）以及使用高VOCs含量的溶剂型涂料、油墨和胶黏剂项目。</w:t>
            </w:r>
          </w:p>
          <w:p>
            <w:pPr>
              <w:pStyle w:val="32"/>
              <w:widowControl w:val="0"/>
              <w:spacing w:after="0"/>
              <w:rPr>
                <w:color w:val="auto"/>
                <w:szCs w:val="21"/>
              </w:rPr>
            </w:pPr>
            <w:r>
              <w:rPr>
                <w:rFonts w:hint="eastAsia"/>
                <w:color w:val="auto"/>
                <w:szCs w:val="21"/>
              </w:rPr>
              <w:t>4、北区城东片区禁止入驻化工项目，在原装备制造业基础上，优先引进科技含量高、污染小能耗低项目。</w:t>
            </w:r>
          </w:p>
          <w:p>
            <w:pPr>
              <w:pStyle w:val="32"/>
              <w:widowControl w:val="0"/>
              <w:spacing w:after="0"/>
              <w:rPr>
                <w:color w:val="auto"/>
                <w:szCs w:val="21"/>
              </w:rPr>
            </w:pPr>
            <w:r>
              <w:rPr>
                <w:rFonts w:hint="eastAsia"/>
                <w:color w:val="auto"/>
                <w:szCs w:val="21"/>
              </w:rPr>
              <w:t>5、南区禁止入驻化工项目。</w:t>
            </w:r>
          </w:p>
          <w:p>
            <w:pPr>
              <w:pStyle w:val="32"/>
              <w:widowControl w:val="0"/>
              <w:spacing w:after="0"/>
              <w:rPr>
                <w:color w:val="auto"/>
                <w:szCs w:val="21"/>
              </w:rPr>
            </w:pPr>
            <w:r>
              <w:rPr>
                <w:rFonts w:hint="eastAsia"/>
                <w:color w:val="auto"/>
                <w:szCs w:val="21"/>
              </w:rPr>
              <w:t>6、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1701" w:type="dxa"/>
            <w:shd w:val="clear" w:color="auto" w:fill="auto"/>
            <w:vAlign w:val="center"/>
          </w:tcPr>
          <w:p>
            <w:pPr>
              <w:pStyle w:val="32"/>
              <w:widowControl w:val="0"/>
              <w:spacing w:after="0"/>
              <w:jc w:val="center"/>
              <w:rPr>
                <w:color w:val="auto"/>
              </w:rPr>
            </w:pPr>
            <w:r>
              <w:rPr>
                <w:color w:val="auto"/>
              </w:rPr>
              <w:t>本项目位于</w:t>
            </w:r>
            <w:r>
              <w:rPr>
                <w:rFonts w:hint="eastAsia"/>
                <w:color w:val="auto"/>
              </w:rPr>
              <w:t>北区城东片区，项目属于其他电池制造业。且电镀工艺及设备较为先进，产生的污染物经治理后污染较小，能耗较低。符合相关法律法规、管理要求及准入条件等。</w:t>
            </w:r>
          </w:p>
        </w:tc>
        <w:tc>
          <w:tcPr>
            <w:tcW w:w="629" w:type="dxa"/>
            <w:shd w:val="clear" w:color="auto" w:fill="auto"/>
            <w:vAlign w:val="center"/>
          </w:tcPr>
          <w:p>
            <w:pPr>
              <w:pStyle w:val="32"/>
              <w:widowControl w:val="0"/>
              <w:spacing w:after="0"/>
              <w:jc w:val="center"/>
              <w:rPr>
                <w:color w:val="auto"/>
                <w:szCs w:val="21"/>
              </w:rPr>
            </w:pPr>
            <w:r>
              <w:rPr>
                <w:color w:val="auto"/>
                <w:kern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shd w:val="clear" w:color="auto" w:fill="auto"/>
          </w:tcPr>
          <w:p>
            <w:pPr>
              <w:pStyle w:val="32"/>
              <w:widowControl w:val="0"/>
              <w:spacing w:after="0"/>
              <w:jc w:val="center"/>
              <w:rPr>
                <w:color w:val="auto"/>
                <w:szCs w:val="21"/>
              </w:rPr>
            </w:pPr>
          </w:p>
        </w:tc>
        <w:tc>
          <w:tcPr>
            <w:tcW w:w="851" w:type="dxa"/>
            <w:vMerge w:val="continue"/>
            <w:shd w:val="clear" w:color="auto" w:fill="auto"/>
          </w:tcPr>
          <w:p>
            <w:pPr>
              <w:pStyle w:val="32"/>
              <w:widowControl w:val="0"/>
              <w:spacing w:after="0"/>
              <w:jc w:val="center"/>
              <w:rPr>
                <w:color w:val="auto"/>
                <w:szCs w:val="21"/>
              </w:rPr>
            </w:pPr>
          </w:p>
        </w:tc>
        <w:tc>
          <w:tcPr>
            <w:tcW w:w="567" w:type="dxa"/>
            <w:shd w:val="clear" w:color="auto" w:fill="auto"/>
            <w:vAlign w:val="center"/>
          </w:tcPr>
          <w:p>
            <w:pPr>
              <w:pStyle w:val="32"/>
              <w:widowControl w:val="0"/>
              <w:spacing w:after="0"/>
              <w:jc w:val="center"/>
              <w:rPr>
                <w:color w:val="auto"/>
                <w:szCs w:val="21"/>
              </w:rPr>
            </w:pPr>
            <w:r>
              <w:rPr>
                <w:rFonts w:hint="eastAsia"/>
                <w:color w:val="auto"/>
                <w:szCs w:val="21"/>
              </w:rPr>
              <w:t>污染物排放管控</w:t>
            </w:r>
          </w:p>
        </w:tc>
        <w:tc>
          <w:tcPr>
            <w:tcW w:w="4677" w:type="dxa"/>
            <w:shd w:val="clear" w:color="auto" w:fill="auto"/>
            <w:vAlign w:val="center"/>
          </w:tcPr>
          <w:p>
            <w:pPr>
              <w:pStyle w:val="32"/>
              <w:widowControl w:val="0"/>
              <w:spacing w:after="0"/>
              <w:rPr>
                <w:color w:val="auto"/>
                <w:szCs w:val="21"/>
              </w:rPr>
            </w:pPr>
            <w:r>
              <w:rPr>
                <w:rFonts w:hint="eastAsia"/>
                <w:color w:val="auto"/>
                <w:szCs w:val="21"/>
              </w:rPr>
              <w:t>1、二氧化硫、氮氧化物、颗粒物、VOCs全面执行大气污染物特别排放限值。</w:t>
            </w:r>
          </w:p>
          <w:p>
            <w:pPr>
              <w:pStyle w:val="32"/>
              <w:widowControl w:val="0"/>
              <w:spacing w:after="0"/>
              <w:rPr>
                <w:color w:val="auto"/>
                <w:szCs w:val="21"/>
              </w:rPr>
            </w:pPr>
            <w:r>
              <w:rPr>
                <w:rFonts w:hint="eastAsia"/>
                <w:color w:val="auto"/>
                <w:szCs w:val="21"/>
              </w:rPr>
              <w:t>2、污水处理厂逐步实施技改，出水执行《地表水环境质量标准》（GB3838-2002）Ⅴ类标准要求，确保区域水环境质量达标。</w:t>
            </w:r>
          </w:p>
          <w:p>
            <w:pPr>
              <w:pStyle w:val="32"/>
              <w:widowControl w:val="0"/>
              <w:spacing w:after="0"/>
              <w:rPr>
                <w:color w:val="auto"/>
                <w:szCs w:val="21"/>
              </w:rPr>
            </w:pPr>
            <w:r>
              <w:rPr>
                <w:rFonts w:hint="eastAsia"/>
                <w:color w:val="auto"/>
                <w:szCs w:val="21"/>
              </w:rPr>
              <w:t>3、定期对地下水质进行监测，及时采取有效防治措施，避免对地下水造成污染。</w:t>
            </w:r>
          </w:p>
          <w:p>
            <w:pPr>
              <w:pStyle w:val="32"/>
              <w:widowControl w:val="0"/>
              <w:spacing w:after="0"/>
              <w:rPr>
                <w:color w:val="auto"/>
                <w:szCs w:val="21"/>
              </w:rPr>
            </w:pPr>
            <w:r>
              <w:rPr>
                <w:rFonts w:hint="eastAsia"/>
                <w:color w:val="auto"/>
                <w:szCs w:val="21"/>
              </w:rPr>
              <w:t>4、新建“两高”项目应按照《关于加强重点行业建设项目区域削减措施监督管理的通知》要求，依据区域环境质量改善目标，制定配套区域污染物削减方案，采取有效的污染物区域削减措施，腾出足够的环境容量。</w:t>
            </w:r>
          </w:p>
          <w:p>
            <w:pPr>
              <w:pStyle w:val="32"/>
              <w:widowControl w:val="0"/>
              <w:spacing w:after="0"/>
              <w:rPr>
                <w:color w:val="auto"/>
                <w:szCs w:val="21"/>
              </w:rPr>
            </w:pPr>
            <w:r>
              <w:rPr>
                <w:rFonts w:hint="eastAsia"/>
                <w:color w:val="auto"/>
                <w:szCs w:val="21"/>
              </w:rPr>
              <w:t>5、新建耗煤项目还应严格按规定采取煤炭消费减量替代措施，不得使用高污染燃料作为煤炭减量替代措施。</w:t>
            </w:r>
          </w:p>
          <w:p>
            <w:pPr>
              <w:pStyle w:val="32"/>
              <w:widowControl w:val="0"/>
              <w:spacing w:after="0"/>
              <w:rPr>
                <w:color w:val="auto"/>
                <w:szCs w:val="21"/>
              </w:rPr>
            </w:pPr>
            <w:r>
              <w:rPr>
                <w:rFonts w:hint="eastAsia"/>
                <w:color w:val="auto"/>
                <w:szCs w:val="21"/>
              </w:rPr>
              <w:t>6、已出台超低排放要求的“两高”行业建设项目应满足超低排放要求。</w:t>
            </w:r>
          </w:p>
        </w:tc>
        <w:tc>
          <w:tcPr>
            <w:tcW w:w="1701" w:type="dxa"/>
            <w:shd w:val="clear" w:color="auto" w:fill="auto"/>
            <w:vAlign w:val="center"/>
          </w:tcPr>
          <w:p>
            <w:pPr>
              <w:pStyle w:val="32"/>
              <w:widowControl w:val="0"/>
              <w:spacing w:after="0"/>
              <w:jc w:val="center"/>
              <w:rPr>
                <w:color w:val="auto"/>
                <w:szCs w:val="21"/>
              </w:rPr>
            </w:pPr>
            <w:r>
              <w:rPr>
                <w:rFonts w:hint="eastAsia"/>
                <w:color w:val="auto"/>
                <w:szCs w:val="21"/>
              </w:rPr>
              <w:t>本项目二氧化硫、氮氧化物、颗粒物全面执行大气污染物地方排放标准，</w:t>
            </w:r>
            <w:r>
              <w:rPr>
                <w:rFonts w:hint="eastAsia"/>
                <w:color w:val="auto"/>
                <w:szCs w:val="21"/>
                <w:lang w:eastAsia="zh-CN"/>
              </w:rPr>
              <w:t>制定了</w:t>
            </w:r>
            <w:r>
              <w:rPr>
                <w:rFonts w:hint="eastAsia"/>
                <w:color w:val="auto"/>
                <w:szCs w:val="21"/>
              </w:rPr>
              <w:t>地下水跟踪监测方案，各污染物经处理后可有效削减污染物排放总量。</w:t>
            </w:r>
          </w:p>
        </w:tc>
        <w:tc>
          <w:tcPr>
            <w:tcW w:w="629" w:type="dxa"/>
            <w:shd w:val="clear" w:color="auto" w:fill="auto"/>
            <w:vAlign w:val="center"/>
          </w:tcPr>
          <w:p>
            <w:pPr>
              <w:pStyle w:val="32"/>
              <w:widowControl w:val="0"/>
              <w:spacing w:after="0"/>
              <w:jc w:val="center"/>
              <w:rPr>
                <w:color w:val="auto"/>
                <w:szCs w:val="21"/>
              </w:rPr>
            </w:pPr>
            <w:r>
              <w:rPr>
                <w:rFonts w:hint="eastAsia"/>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shd w:val="clear" w:color="auto" w:fill="auto"/>
          </w:tcPr>
          <w:p>
            <w:pPr>
              <w:pStyle w:val="32"/>
              <w:widowControl w:val="0"/>
              <w:spacing w:after="0"/>
              <w:jc w:val="center"/>
              <w:rPr>
                <w:color w:val="auto"/>
                <w:szCs w:val="21"/>
              </w:rPr>
            </w:pPr>
          </w:p>
        </w:tc>
        <w:tc>
          <w:tcPr>
            <w:tcW w:w="851" w:type="dxa"/>
            <w:vMerge w:val="continue"/>
            <w:shd w:val="clear" w:color="auto" w:fill="auto"/>
          </w:tcPr>
          <w:p>
            <w:pPr>
              <w:pStyle w:val="32"/>
              <w:widowControl w:val="0"/>
              <w:spacing w:after="0"/>
              <w:jc w:val="center"/>
              <w:rPr>
                <w:color w:val="auto"/>
                <w:szCs w:val="21"/>
              </w:rPr>
            </w:pPr>
          </w:p>
        </w:tc>
        <w:tc>
          <w:tcPr>
            <w:tcW w:w="567" w:type="dxa"/>
            <w:shd w:val="clear" w:color="auto" w:fill="auto"/>
            <w:vAlign w:val="center"/>
          </w:tcPr>
          <w:p>
            <w:pPr>
              <w:pStyle w:val="32"/>
              <w:widowControl w:val="0"/>
              <w:spacing w:after="0"/>
              <w:jc w:val="center"/>
              <w:rPr>
                <w:color w:val="auto"/>
                <w:szCs w:val="21"/>
              </w:rPr>
            </w:pPr>
            <w:r>
              <w:rPr>
                <w:rFonts w:hint="eastAsia"/>
                <w:color w:val="auto"/>
                <w:szCs w:val="21"/>
              </w:rPr>
              <w:t>环境风险防控</w:t>
            </w:r>
          </w:p>
        </w:tc>
        <w:tc>
          <w:tcPr>
            <w:tcW w:w="4677" w:type="dxa"/>
            <w:shd w:val="clear" w:color="auto" w:fill="auto"/>
            <w:vAlign w:val="center"/>
          </w:tcPr>
          <w:p>
            <w:pPr>
              <w:pStyle w:val="32"/>
              <w:widowControl w:val="0"/>
              <w:spacing w:after="0"/>
              <w:rPr>
                <w:color w:val="auto"/>
                <w:szCs w:val="21"/>
              </w:rPr>
            </w:pPr>
            <w:r>
              <w:rPr>
                <w:rFonts w:hint="eastAsia"/>
                <w:color w:val="auto"/>
                <w:szCs w:val="21"/>
              </w:rPr>
              <w:t>1、规范产业集聚区建设，对涉重行业企业加强管理，建立土壤和地下水污染隐患排查治理制度、风险防控体系和长效监管机制。</w:t>
            </w:r>
          </w:p>
          <w:p>
            <w:pPr>
              <w:pStyle w:val="32"/>
              <w:widowControl w:val="0"/>
              <w:spacing w:after="0"/>
              <w:rPr>
                <w:color w:val="auto"/>
                <w:szCs w:val="21"/>
              </w:rPr>
            </w:pPr>
            <w:r>
              <w:rPr>
                <w:rFonts w:hint="eastAsia"/>
                <w:color w:val="auto"/>
                <w:szCs w:val="21"/>
              </w:rPr>
              <w:t>2、有色金属冶炼、铅酸蓄电池、石油加工、化工、电镀、制革和危险化学品生产、储存、使用等企业在拆除生产设施设备、污染治理设施时，要事先制定残留污染物清理和安全处置方案。</w:t>
            </w:r>
          </w:p>
          <w:p>
            <w:pPr>
              <w:pStyle w:val="32"/>
              <w:widowControl w:val="0"/>
              <w:spacing w:after="0"/>
              <w:rPr>
                <w:color w:val="auto"/>
                <w:szCs w:val="21"/>
              </w:rPr>
            </w:pPr>
            <w:r>
              <w:rPr>
                <w:rFonts w:hint="eastAsia"/>
                <w:color w:val="auto"/>
                <w:szCs w:val="21"/>
              </w:rPr>
              <w:t>3、规范专业园区建设，对涉重行业企业加强管理，建立土壤和地下水污染隐患排查治理制度、风险防控体系和长效监管机制。</w:t>
            </w:r>
          </w:p>
          <w:p>
            <w:pPr>
              <w:pStyle w:val="32"/>
              <w:widowControl w:val="0"/>
              <w:spacing w:after="0"/>
              <w:rPr>
                <w:color w:val="auto"/>
                <w:szCs w:val="21"/>
              </w:rPr>
            </w:pPr>
            <w:r>
              <w:rPr>
                <w:rFonts w:hint="eastAsia"/>
                <w:color w:val="auto"/>
                <w:szCs w:val="21"/>
              </w:rPr>
              <w:t>4、建立健全园区环境风险管理体系。加快环境风险预警体系建设，健全环境风险单位信息库，严格危险化学品管理</w:t>
            </w:r>
          </w:p>
          <w:p>
            <w:pPr>
              <w:pStyle w:val="32"/>
              <w:widowControl w:val="0"/>
              <w:spacing w:after="0"/>
              <w:rPr>
                <w:color w:val="auto"/>
                <w:szCs w:val="21"/>
              </w:rPr>
            </w:pPr>
            <w:r>
              <w:rPr>
                <w:rFonts w:hint="eastAsia"/>
                <w:color w:val="auto"/>
                <w:szCs w:val="21"/>
              </w:rPr>
              <w:t>5、建立完善有效的环境风险防控设施和有效的拦截、降污、导流等措施，防止对地表水环境造成危害。</w:t>
            </w:r>
          </w:p>
        </w:tc>
        <w:tc>
          <w:tcPr>
            <w:tcW w:w="1701" w:type="dxa"/>
            <w:shd w:val="clear" w:color="auto" w:fill="auto"/>
            <w:vAlign w:val="center"/>
          </w:tcPr>
          <w:p>
            <w:pPr>
              <w:pStyle w:val="32"/>
              <w:widowControl w:val="0"/>
              <w:spacing w:after="0"/>
              <w:jc w:val="center"/>
              <w:rPr>
                <w:color w:val="auto"/>
                <w:szCs w:val="21"/>
              </w:rPr>
            </w:pPr>
            <w:r>
              <w:rPr>
                <w:rFonts w:hint="eastAsia"/>
                <w:color w:val="auto"/>
                <w:szCs w:val="21"/>
              </w:rPr>
              <w:t>本项目已建立土壤和地下水的日常监测计划及环境管理方案，建设相应的风险防控及应急措施，并要求其在投产后编制应急预案。</w:t>
            </w:r>
          </w:p>
        </w:tc>
        <w:tc>
          <w:tcPr>
            <w:tcW w:w="629" w:type="dxa"/>
            <w:shd w:val="clear" w:color="auto" w:fill="auto"/>
            <w:vAlign w:val="center"/>
          </w:tcPr>
          <w:p>
            <w:pPr>
              <w:pStyle w:val="32"/>
              <w:widowControl w:val="0"/>
              <w:spacing w:after="0"/>
              <w:jc w:val="center"/>
              <w:rPr>
                <w:color w:val="auto"/>
                <w:szCs w:val="21"/>
              </w:rPr>
            </w:pPr>
            <w:r>
              <w:rPr>
                <w:rFonts w:hint="eastAsia"/>
                <w:color w:val="auto"/>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shd w:val="clear" w:color="auto" w:fill="auto"/>
          </w:tcPr>
          <w:p>
            <w:pPr>
              <w:pStyle w:val="32"/>
              <w:widowControl w:val="0"/>
              <w:spacing w:after="0"/>
              <w:jc w:val="center"/>
              <w:rPr>
                <w:color w:val="auto"/>
                <w:szCs w:val="21"/>
              </w:rPr>
            </w:pPr>
          </w:p>
        </w:tc>
        <w:tc>
          <w:tcPr>
            <w:tcW w:w="851" w:type="dxa"/>
            <w:vMerge w:val="continue"/>
            <w:shd w:val="clear" w:color="auto" w:fill="auto"/>
          </w:tcPr>
          <w:p>
            <w:pPr>
              <w:pStyle w:val="32"/>
              <w:widowControl w:val="0"/>
              <w:spacing w:after="0"/>
              <w:jc w:val="center"/>
              <w:rPr>
                <w:color w:val="auto"/>
                <w:szCs w:val="21"/>
              </w:rPr>
            </w:pPr>
          </w:p>
        </w:tc>
        <w:tc>
          <w:tcPr>
            <w:tcW w:w="567" w:type="dxa"/>
            <w:shd w:val="clear" w:color="auto" w:fill="auto"/>
            <w:vAlign w:val="center"/>
          </w:tcPr>
          <w:p>
            <w:pPr>
              <w:pStyle w:val="32"/>
              <w:widowControl w:val="0"/>
              <w:spacing w:after="0"/>
              <w:jc w:val="center"/>
              <w:rPr>
                <w:color w:val="auto"/>
                <w:szCs w:val="21"/>
              </w:rPr>
            </w:pPr>
            <w:r>
              <w:rPr>
                <w:rFonts w:hint="eastAsia"/>
                <w:color w:val="auto"/>
                <w:szCs w:val="21"/>
              </w:rPr>
              <w:t>资源利用效率要求</w:t>
            </w:r>
          </w:p>
        </w:tc>
        <w:tc>
          <w:tcPr>
            <w:tcW w:w="4677" w:type="dxa"/>
            <w:shd w:val="clear" w:color="auto" w:fill="auto"/>
            <w:vAlign w:val="center"/>
          </w:tcPr>
          <w:p>
            <w:pPr>
              <w:pStyle w:val="32"/>
              <w:widowControl w:val="0"/>
              <w:spacing w:after="0"/>
              <w:rPr>
                <w:color w:val="auto"/>
                <w:szCs w:val="21"/>
              </w:rPr>
            </w:pPr>
            <w:r>
              <w:rPr>
                <w:rFonts w:hint="eastAsia"/>
                <w:color w:val="auto"/>
                <w:szCs w:val="21"/>
              </w:rPr>
              <w:t>进一步优化能源结构，加快集中供热、供水等及配套管网建设，逐步关停企业自备水井。</w:t>
            </w:r>
          </w:p>
        </w:tc>
        <w:tc>
          <w:tcPr>
            <w:tcW w:w="1701" w:type="dxa"/>
            <w:shd w:val="clear" w:color="auto" w:fill="auto"/>
            <w:vAlign w:val="center"/>
          </w:tcPr>
          <w:p>
            <w:pPr>
              <w:pStyle w:val="32"/>
              <w:widowControl w:val="0"/>
              <w:spacing w:after="0"/>
              <w:jc w:val="center"/>
              <w:rPr>
                <w:color w:val="auto"/>
                <w:szCs w:val="21"/>
              </w:rPr>
            </w:pPr>
            <w:r>
              <w:rPr>
                <w:color w:val="auto"/>
                <w:szCs w:val="21"/>
              </w:rPr>
              <w:t>项目供水为集中个供水；目前园区尚未进行集中供热，暂时配备燃气锅炉，待园区集中供热后停止使</w:t>
            </w:r>
          </w:p>
        </w:tc>
        <w:tc>
          <w:tcPr>
            <w:tcW w:w="629" w:type="dxa"/>
            <w:shd w:val="clear" w:color="auto" w:fill="auto"/>
            <w:vAlign w:val="center"/>
          </w:tcPr>
          <w:p>
            <w:pPr>
              <w:pStyle w:val="32"/>
              <w:widowControl w:val="0"/>
              <w:spacing w:after="0"/>
              <w:jc w:val="center"/>
              <w:rPr>
                <w:color w:val="auto"/>
                <w:szCs w:val="21"/>
              </w:rPr>
            </w:pPr>
            <w:r>
              <w:rPr>
                <w:rFonts w:hint="eastAsia"/>
                <w:color w:val="auto"/>
                <w:szCs w:val="21"/>
              </w:rPr>
              <w:t>相符</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rFonts w:hint="eastAsia"/>
          <w:color w:val="auto"/>
          <w:kern w:val="21"/>
          <w:sz w:val="24"/>
          <w:szCs w:val="24"/>
        </w:rPr>
        <w:t>由上表可知，本项目建设符合《新乡市“三线一单”生态环境准入清单</w:t>
      </w:r>
      <w:r>
        <w:rPr>
          <w:color w:val="auto"/>
          <w:kern w:val="21"/>
          <w:sz w:val="24"/>
          <w:szCs w:val="24"/>
        </w:rPr>
        <w:t>（试行）</w:t>
      </w:r>
      <w:r>
        <w:rPr>
          <w:rFonts w:hint="eastAsia"/>
          <w:color w:val="auto"/>
          <w:kern w:val="21"/>
          <w:sz w:val="24"/>
          <w:szCs w:val="24"/>
        </w:rPr>
        <w:t>》</w:t>
      </w:r>
      <w:r>
        <w:rPr>
          <w:color w:val="auto"/>
          <w:kern w:val="21"/>
          <w:sz w:val="24"/>
          <w:szCs w:val="24"/>
        </w:rPr>
        <w:t>中</w:t>
      </w:r>
      <w:r>
        <w:rPr>
          <w:rFonts w:hint="eastAsia"/>
          <w:color w:val="auto"/>
          <w:kern w:val="21"/>
          <w:sz w:val="24"/>
          <w:szCs w:val="24"/>
        </w:rPr>
        <w:t>“</w:t>
      </w:r>
      <w:r>
        <w:rPr>
          <w:color w:val="auto"/>
          <w:kern w:val="21"/>
          <w:sz w:val="24"/>
          <w:szCs w:val="24"/>
        </w:rPr>
        <w:t>获嘉县产业集聚区环境管控单元（</w:t>
      </w:r>
      <w:r>
        <w:rPr>
          <w:rFonts w:eastAsia="仿宋"/>
          <w:color w:val="auto"/>
          <w:kern w:val="0"/>
          <w:sz w:val="24"/>
          <w:szCs w:val="24"/>
          <w:lang w:bidi="ar"/>
        </w:rPr>
        <w:t>ZH41072420001</w:t>
      </w:r>
      <w:r>
        <w:rPr>
          <w:color w:val="auto"/>
          <w:kern w:val="21"/>
          <w:sz w:val="24"/>
          <w:szCs w:val="24"/>
        </w:rPr>
        <w:t>）生态环境准入清单</w:t>
      </w:r>
      <w:r>
        <w:rPr>
          <w:rFonts w:hint="eastAsia"/>
          <w:color w:val="auto"/>
          <w:kern w:val="21"/>
          <w:sz w:val="24"/>
          <w:szCs w:val="24"/>
        </w:rPr>
        <w:t>”</w:t>
      </w:r>
      <w:r>
        <w:rPr>
          <w:rFonts w:hint="eastAsia"/>
          <w:color w:val="auto"/>
          <w:kern w:val="21"/>
          <w:sz w:val="24"/>
          <w:szCs w:val="24"/>
          <w:lang w:eastAsia="zh-CN"/>
        </w:rPr>
        <w:t>的相关要求</w:t>
      </w:r>
      <w:r>
        <w:rPr>
          <w:color w:val="auto"/>
          <w:kern w:val="21"/>
          <w:sz w:val="24"/>
          <w:szCs w:val="24"/>
        </w:rPr>
        <w:t>。</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56" w:name="_Toc112338936"/>
      <w:r>
        <w:rPr>
          <w:bCs w:val="0"/>
          <w:color w:val="auto"/>
          <w:kern w:val="0"/>
          <w:szCs w:val="20"/>
          <w:lang w:val="en-US"/>
        </w:rPr>
        <w:t>2.</w:t>
      </w:r>
      <w:r>
        <w:rPr>
          <w:rFonts w:hint="eastAsia"/>
          <w:bCs w:val="0"/>
          <w:color w:val="auto"/>
          <w:kern w:val="0"/>
          <w:szCs w:val="20"/>
          <w:lang w:val="en-US"/>
        </w:rPr>
        <w:t>9</w:t>
      </w:r>
      <w:r>
        <w:rPr>
          <w:bCs w:val="0"/>
          <w:color w:val="auto"/>
          <w:kern w:val="0"/>
          <w:szCs w:val="20"/>
          <w:lang w:val="en-US"/>
        </w:rPr>
        <w:t>项目选址合理性分析</w:t>
      </w:r>
      <w:bookmarkEnd w:id="156"/>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项目选址合理性分析如下。</w:t>
      </w:r>
    </w:p>
    <w:p>
      <w:pPr>
        <w:pStyle w:val="262"/>
        <w:jc w:val="center"/>
        <w:rPr>
          <w:color w:val="auto"/>
          <w:kern w:val="21"/>
          <w:sz w:val="24"/>
          <w:szCs w:val="24"/>
        </w:rPr>
      </w:pPr>
      <w:r>
        <w:rPr>
          <w:rFonts w:hint="eastAsia"/>
          <w:color w:val="auto"/>
          <w:kern w:val="21"/>
          <w:sz w:val="24"/>
          <w:szCs w:val="24"/>
        </w:rPr>
        <w:t>表2.9-1  项目选址合理性分析</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7" w:type="dxa"/>
          <w:left w:w="108" w:type="dxa"/>
          <w:bottom w:w="17" w:type="dxa"/>
          <w:right w:w="108" w:type="dxa"/>
        </w:tblCellMar>
      </w:tblPr>
      <w:tblGrid>
        <w:gridCol w:w="790"/>
        <w:gridCol w:w="730"/>
        <w:gridCol w:w="1037"/>
        <w:gridCol w:w="6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b/>
                <w:bCs/>
                <w:color w:val="auto"/>
              </w:rPr>
            </w:pPr>
            <w:r>
              <w:rPr>
                <w:b/>
                <w:bCs/>
                <w:color w:val="auto"/>
              </w:rPr>
              <w:t>序号</w:t>
            </w:r>
          </w:p>
        </w:tc>
        <w:tc>
          <w:tcPr>
            <w:tcW w:w="956" w:type="pct"/>
            <w:gridSpan w:val="2"/>
            <w:vAlign w:val="center"/>
          </w:tcPr>
          <w:p>
            <w:pPr>
              <w:jc w:val="center"/>
              <w:rPr>
                <w:b/>
                <w:bCs/>
                <w:color w:val="auto"/>
              </w:rPr>
            </w:pPr>
            <w:r>
              <w:rPr>
                <w:b/>
                <w:bCs/>
                <w:color w:val="auto"/>
              </w:rPr>
              <w:t>项  目</w:t>
            </w:r>
          </w:p>
        </w:tc>
        <w:tc>
          <w:tcPr>
            <w:tcW w:w="3615" w:type="pct"/>
            <w:vAlign w:val="center"/>
          </w:tcPr>
          <w:p>
            <w:pPr>
              <w:jc w:val="center"/>
              <w:rPr>
                <w:b/>
                <w:bCs/>
                <w:color w:val="auto"/>
              </w:rPr>
            </w:pPr>
            <w:r>
              <w:rPr>
                <w:b/>
                <w:bCs/>
                <w:color w:val="auto"/>
              </w:rPr>
              <w:t>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color w:val="auto"/>
              </w:rPr>
              <w:t>1</w:t>
            </w:r>
          </w:p>
        </w:tc>
        <w:tc>
          <w:tcPr>
            <w:tcW w:w="956" w:type="pct"/>
            <w:gridSpan w:val="2"/>
            <w:vAlign w:val="center"/>
          </w:tcPr>
          <w:p>
            <w:pPr>
              <w:jc w:val="center"/>
              <w:rPr>
                <w:color w:val="auto"/>
              </w:rPr>
            </w:pPr>
            <w:r>
              <w:rPr>
                <w:color w:val="auto"/>
              </w:rPr>
              <w:t>厂址</w:t>
            </w:r>
          </w:p>
        </w:tc>
        <w:tc>
          <w:tcPr>
            <w:tcW w:w="3615" w:type="pct"/>
            <w:vAlign w:val="center"/>
          </w:tcPr>
          <w:p>
            <w:pPr>
              <w:jc w:val="center"/>
              <w:rPr>
                <w:color w:val="auto"/>
              </w:rPr>
            </w:pPr>
            <w:r>
              <w:rPr>
                <w:color w:val="auto"/>
              </w:rPr>
              <w:t>项目位于获嘉县产业集聚区城东片区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2</w:t>
            </w:r>
          </w:p>
        </w:tc>
        <w:tc>
          <w:tcPr>
            <w:tcW w:w="956" w:type="pct"/>
            <w:gridSpan w:val="2"/>
            <w:vAlign w:val="center"/>
          </w:tcPr>
          <w:p>
            <w:pPr>
              <w:jc w:val="center"/>
              <w:rPr>
                <w:color w:val="auto"/>
              </w:rPr>
            </w:pPr>
            <w:r>
              <w:rPr>
                <w:color w:val="auto"/>
              </w:rPr>
              <w:t>占地类型</w:t>
            </w:r>
          </w:p>
        </w:tc>
        <w:tc>
          <w:tcPr>
            <w:tcW w:w="3615" w:type="pct"/>
            <w:vAlign w:val="center"/>
          </w:tcPr>
          <w:p>
            <w:pPr>
              <w:jc w:val="center"/>
              <w:rPr>
                <w:color w:val="auto"/>
              </w:rPr>
            </w:pPr>
            <w:r>
              <w:rPr>
                <w:color w:val="auto"/>
              </w:rPr>
              <w:t>二类工业用地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196" w:hRule="atLeast"/>
          <w:jc w:val="center"/>
        </w:trPr>
        <w:tc>
          <w:tcPr>
            <w:tcW w:w="428" w:type="pct"/>
            <w:vAlign w:val="center"/>
          </w:tcPr>
          <w:p>
            <w:pPr>
              <w:jc w:val="center"/>
              <w:rPr>
                <w:color w:val="auto"/>
              </w:rPr>
            </w:pPr>
            <w:r>
              <w:rPr>
                <w:rFonts w:hint="eastAsia"/>
                <w:color w:val="auto"/>
              </w:rPr>
              <w:t>3</w:t>
            </w:r>
          </w:p>
        </w:tc>
        <w:tc>
          <w:tcPr>
            <w:tcW w:w="956" w:type="pct"/>
            <w:gridSpan w:val="2"/>
            <w:vAlign w:val="center"/>
          </w:tcPr>
          <w:p>
            <w:pPr>
              <w:jc w:val="center"/>
              <w:rPr>
                <w:color w:val="auto"/>
              </w:rPr>
            </w:pPr>
            <w:r>
              <w:rPr>
                <w:color w:val="auto"/>
              </w:rPr>
              <w:t>与规划相符性</w:t>
            </w:r>
          </w:p>
        </w:tc>
        <w:tc>
          <w:tcPr>
            <w:tcW w:w="3615" w:type="pct"/>
            <w:vAlign w:val="center"/>
          </w:tcPr>
          <w:p>
            <w:pPr>
              <w:widowControl w:val="0"/>
              <w:ind w:firstLine="420" w:firstLineChars="200"/>
              <w:rPr>
                <w:color w:val="auto"/>
              </w:rPr>
            </w:pPr>
            <w:r>
              <w:rPr>
                <w:color w:val="auto"/>
              </w:rPr>
              <w:t>本项目国民经济代码为C3849其他电池制造，属于C38电气机械和器材制造业，</w:t>
            </w:r>
            <w:r>
              <w:rPr>
                <w:rFonts w:hint="eastAsia"/>
                <w:color w:val="auto"/>
              </w:rPr>
              <w:t>项目位于获嘉县产业集聚区的北区城东片区，</w:t>
            </w:r>
            <w:r>
              <w:rPr>
                <w:rFonts w:hint="eastAsia"/>
                <w:color w:val="auto"/>
                <w:highlight w:val="none"/>
              </w:rPr>
              <w:t>属于机械制造配套电子产品，根据获嘉县产业集聚区总体规划可知，项目所</w:t>
            </w:r>
            <w:r>
              <w:rPr>
                <w:rFonts w:hint="eastAsia"/>
                <w:color w:val="auto"/>
              </w:rPr>
              <w:t>在区域规划用地属于二类工业用地，项目选址符合获嘉县产业集聚区总体发展规划。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196" w:hRule="atLeast"/>
          <w:jc w:val="center"/>
        </w:trPr>
        <w:tc>
          <w:tcPr>
            <w:tcW w:w="428" w:type="pct"/>
            <w:vAlign w:val="center"/>
          </w:tcPr>
          <w:p>
            <w:pPr>
              <w:jc w:val="center"/>
              <w:rPr>
                <w:color w:val="auto"/>
              </w:rPr>
            </w:pPr>
            <w:r>
              <w:rPr>
                <w:rFonts w:hint="eastAsia"/>
                <w:color w:val="auto"/>
              </w:rPr>
              <w:t>4</w:t>
            </w:r>
          </w:p>
        </w:tc>
        <w:tc>
          <w:tcPr>
            <w:tcW w:w="956" w:type="pct"/>
            <w:gridSpan w:val="2"/>
            <w:vAlign w:val="center"/>
          </w:tcPr>
          <w:p>
            <w:pPr>
              <w:jc w:val="center"/>
              <w:rPr>
                <w:color w:val="auto"/>
              </w:rPr>
            </w:pPr>
            <w:r>
              <w:rPr>
                <w:color w:val="auto"/>
              </w:rPr>
              <w:t>与规划环评相符性</w:t>
            </w:r>
          </w:p>
        </w:tc>
        <w:tc>
          <w:tcPr>
            <w:tcW w:w="3615" w:type="pct"/>
            <w:vAlign w:val="center"/>
          </w:tcPr>
          <w:p>
            <w:pPr>
              <w:widowControl w:val="0"/>
              <w:ind w:firstLine="420" w:firstLineChars="200"/>
              <w:rPr>
                <w:color w:val="auto"/>
              </w:rPr>
            </w:pPr>
            <w:r>
              <w:rPr>
                <w:color w:val="auto"/>
              </w:rPr>
              <w:t>经对比《获嘉县产业集聚区总体发展规划（2016-2020）调整方案环境影响报告书》及审查意见，项目</w:t>
            </w:r>
            <w:r>
              <w:rPr>
                <w:rFonts w:hint="eastAsia"/>
                <w:color w:val="auto"/>
              </w:rPr>
              <w:t>与规划环评环境准入条件相符，不在环境准入负面清单内，符合集聚区规划环评及审查意见要求。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196" w:hRule="atLeast"/>
          <w:jc w:val="center"/>
        </w:trPr>
        <w:tc>
          <w:tcPr>
            <w:tcW w:w="428" w:type="pct"/>
            <w:vAlign w:val="center"/>
          </w:tcPr>
          <w:p>
            <w:pPr>
              <w:jc w:val="center"/>
              <w:rPr>
                <w:color w:val="auto"/>
              </w:rPr>
            </w:pPr>
            <w:r>
              <w:rPr>
                <w:rFonts w:hint="eastAsia"/>
                <w:color w:val="auto"/>
              </w:rPr>
              <w:t>5</w:t>
            </w:r>
          </w:p>
        </w:tc>
        <w:tc>
          <w:tcPr>
            <w:tcW w:w="956" w:type="pct"/>
            <w:gridSpan w:val="2"/>
            <w:vAlign w:val="center"/>
          </w:tcPr>
          <w:p>
            <w:pPr>
              <w:jc w:val="center"/>
              <w:rPr>
                <w:color w:val="auto"/>
              </w:rPr>
            </w:pPr>
            <w:r>
              <w:rPr>
                <w:color w:val="auto"/>
              </w:rPr>
              <w:t>与“三线一单”相符性</w:t>
            </w:r>
          </w:p>
        </w:tc>
        <w:tc>
          <w:tcPr>
            <w:tcW w:w="3615" w:type="pct"/>
            <w:vAlign w:val="center"/>
          </w:tcPr>
          <w:p>
            <w:pPr>
              <w:widowControl w:val="0"/>
              <w:ind w:firstLine="420" w:firstLineChars="200"/>
              <w:rPr>
                <w:color w:val="auto"/>
              </w:rPr>
            </w:pPr>
            <w:r>
              <w:rPr>
                <w:color w:val="auto"/>
              </w:rPr>
              <w:t>经对照河南省、新乡市</w:t>
            </w:r>
            <w:r>
              <w:rPr>
                <w:rFonts w:hint="eastAsia"/>
                <w:color w:val="auto"/>
              </w:rPr>
              <w:t>“</w:t>
            </w:r>
            <w:r>
              <w:rPr>
                <w:color w:val="auto"/>
              </w:rPr>
              <w:t>三线一单</w:t>
            </w:r>
            <w:r>
              <w:rPr>
                <w:rFonts w:hint="eastAsia"/>
                <w:color w:val="auto"/>
              </w:rPr>
              <w:t>”</w:t>
            </w:r>
            <w:r>
              <w:rPr>
                <w:color w:val="auto"/>
              </w:rPr>
              <w:t>，项目建设符</w:t>
            </w:r>
            <w:r>
              <w:rPr>
                <w:rFonts w:hint="eastAsia"/>
                <w:color w:val="auto"/>
              </w:rPr>
              <w:t>合</w:t>
            </w:r>
            <w:r>
              <w:rPr>
                <w:color w:val="auto"/>
              </w:rPr>
              <w:t>《河南省生态环境准入清单》中</w:t>
            </w:r>
            <w:r>
              <w:rPr>
                <w:rFonts w:hint="eastAsia"/>
                <w:color w:val="auto"/>
              </w:rPr>
              <w:t>“</w:t>
            </w:r>
            <w:r>
              <w:rPr>
                <w:color w:val="auto"/>
              </w:rPr>
              <w:t>新乡市获嘉县环境管控单元（ZH41072420001）生态环境准入清单</w:t>
            </w:r>
            <w:r>
              <w:rPr>
                <w:rFonts w:hint="eastAsia"/>
                <w:color w:val="auto"/>
              </w:rPr>
              <w:t>”</w:t>
            </w:r>
            <w:r>
              <w:rPr>
                <w:color w:val="auto"/>
              </w:rPr>
              <w:t>及</w:t>
            </w:r>
            <w:r>
              <w:rPr>
                <w:rFonts w:hint="eastAsia"/>
                <w:color w:val="auto"/>
              </w:rPr>
              <w:t>《新乡市“三线一单”生态环境准入清单</w:t>
            </w:r>
            <w:r>
              <w:rPr>
                <w:color w:val="auto"/>
              </w:rPr>
              <w:t>（试行）</w:t>
            </w:r>
            <w:r>
              <w:rPr>
                <w:rFonts w:hint="eastAsia"/>
                <w:color w:val="auto"/>
              </w:rPr>
              <w:t>》</w:t>
            </w:r>
            <w:r>
              <w:rPr>
                <w:color w:val="auto"/>
              </w:rPr>
              <w:t>中</w:t>
            </w:r>
            <w:r>
              <w:rPr>
                <w:rFonts w:hint="eastAsia"/>
                <w:color w:val="auto"/>
              </w:rPr>
              <w:t>“</w:t>
            </w:r>
            <w:r>
              <w:rPr>
                <w:color w:val="auto"/>
              </w:rPr>
              <w:t>获嘉县产业集聚区环境管控单元（ZH41072420001）生态环境准入清单</w:t>
            </w:r>
            <w:r>
              <w:rPr>
                <w:rFonts w:hint="eastAsia"/>
                <w:color w:val="auto"/>
              </w:rPr>
              <w:t>”</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5</w:t>
            </w:r>
          </w:p>
        </w:tc>
        <w:tc>
          <w:tcPr>
            <w:tcW w:w="956" w:type="pct"/>
            <w:gridSpan w:val="2"/>
            <w:vAlign w:val="center"/>
          </w:tcPr>
          <w:p>
            <w:pPr>
              <w:jc w:val="center"/>
              <w:rPr>
                <w:color w:val="auto"/>
              </w:rPr>
            </w:pPr>
            <w:r>
              <w:rPr>
                <w:color w:val="auto"/>
              </w:rPr>
              <w:t>选址的环境敏感性</w:t>
            </w:r>
          </w:p>
        </w:tc>
        <w:tc>
          <w:tcPr>
            <w:tcW w:w="3615" w:type="pct"/>
            <w:vAlign w:val="center"/>
          </w:tcPr>
          <w:p>
            <w:pPr>
              <w:widowControl w:val="0"/>
              <w:ind w:firstLine="420" w:firstLineChars="200"/>
              <w:rPr>
                <w:color w:val="auto"/>
              </w:rPr>
            </w:pPr>
            <w:r>
              <w:rPr>
                <w:color w:val="auto"/>
              </w:rPr>
              <w:t>项目</w:t>
            </w:r>
            <w:r>
              <w:rPr>
                <w:rFonts w:hint="eastAsia"/>
                <w:color w:val="auto"/>
                <w:lang w:eastAsia="zh-CN"/>
              </w:rPr>
              <w:t>租赁现有厂房进行</w:t>
            </w:r>
            <w:r>
              <w:rPr>
                <w:color w:val="auto"/>
              </w:rPr>
              <w:t>建设，项目周边较近的环境敏感点为项目</w:t>
            </w:r>
            <w:r>
              <w:rPr>
                <w:rFonts w:hint="eastAsia"/>
                <w:color w:val="auto"/>
              </w:rPr>
              <w:t>东北276m为前李村，北侧740m为后李村</w:t>
            </w:r>
            <w:r>
              <w:rPr>
                <w:color w:val="auto"/>
              </w:rPr>
              <w:t>。项目对周边环境影响不大，环境影响预测结果显示，项目建成后各环境要素可以满足环境功能区划要求。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6</w:t>
            </w:r>
          </w:p>
        </w:tc>
        <w:tc>
          <w:tcPr>
            <w:tcW w:w="956" w:type="pct"/>
            <w:gridSpan w:val="2"/>
            <w:vAlign w:val="center"/>
          </w:tcPr>
          <w:p>
            <w:pPr>
              <w:jc w:val="center"/>
              <w:rPr>
                <w:color w:val="auto"/>
              </w:rPr>
            </w:pPr>
            <w:r>
              <w:rPr>
                <w:rFonts w:hint="eastAsia"/>
                <w:color w:val="auto"/>
              </w:rPr>
              <w:t>园区基础设施依托</w:t>
            </w:r>
          </w:p>
        </w:tc>
        <w:tc>
          <w:tcPr>
            <w:tcW w:w="3615" w:type="pct"/>
            <w:vAlign w:val="center"/>
          </w:tcPr>
          <w:p>
            <w:pPr>
              <w:widowControl w:val="0"/>
              <w:ind w:firstLine="420" w:firstLineChars="200"/>
              <w:rPr>
                <w:color w:val="auto"/>
              </w:rPr>
            </w:pPr>
            <w:r>
              <w:rPr>
                <w:rFonts w:hint="eastAsia"/>
                <w:color w:val="auto"/>
              </w:rPr>
              <w:t>项目所在地给水管网、排水管网、供气管网均已建设完成。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Merge w:val="restart"/>
            <w:vAlign w:val="center"/>
          </w:tcPr>
          <w:p>
            <w:pPr>
              <w:jc w:val="center"/>
              <w:rPr>
                <w:color w:val="auto"/>
              </w:rPr>
            </w:pPr>
            <w:r>
              <w:rPr>
                <w:rFonts w:hint="eastAsia"/>
                <w:color w:val="auto"/>
              </w:rPr>
              <w:t>7</w:t>
            </w:r>
          </w:p>
        </w:tc>
        <w:tc>
          <w:tcPr>
            <w:tcW w:w="395" w:type="pct"/>
            <w:vMerge w:val="restart"/>
            <w:vAlign w:val="center"/>
          </w:tcPr>
          <w:p>
            <w:pPr>
              <w:jc w:val="center"/>
              <w:rPr>
                <w:color w:val="auto"/>
              </w:rPr>
            </w:pPr>
            <w:r>
              <w:rPr>
                <w:color w:val="auto"/>
              </w:rPr>
              <w:t>环境影响分析</w:t>
            </w:r>
          </w:p>
        </w:tc>
        <w:tc>
          <w:tcPr>
            <w:tcW w:w="561" w:type="pct"/>
            <w:vAlign w:val="center"/>
          </w:tcPr>
          <w:p>
            <w:pPr>
              <w:jc w:val="center"/>
              <w:rPr>
                <w:color w:val="auto"/>
              </w:rPr>
            </w:pPr>
            <w:r>
              <w:rPr>
                <w:color w:val="auto"/>
              </w:rPr>
              <w:t>环境</w:t>
            </w:r>
          </w:p>
          <w:p>
            <w:pPr>
              <w:jc w:val="center"/>
              <w:rPr>
                <w:color w:val="auto"/>
              </w:rPr>
            </w:pPr>
            <w:r>
              <w:rPr>
                <w:color w:val="auto"/>
              </w:rPr>
              <w:t>空气</w:t>
            </w:r>
          </w:p>
        </w:tc>
        <w:tc>
          <w:tcPr>
            <w:tcW w:w="3615" w:type="pct"/>
            <w:vAlign w:val="center"/>
          </w:tcPr>
          <w:p>
            <w:pPr>
              <w:widowControl w:val="0"/>
              <w:ind w:firstLine="420" w:firstLineChars="200"/>
              <w:rPr>
                <w:color w:val="auto"/>
              </w:rPr>
            </w:pPr>
            <w:r>
              <w:rPr>
                <w:color w:val="auto"/>
              </w:rPr>
              <w:t>根据环境空气</w:t>
            </w:r>
            <w:r>
              <w:rPr>
                <w:rFonts w:hint="eastAsia"/>
                <w:color w:val="auto"/>
              </w:rPr>
              <w:t>预测结果，项目污染物排放量较小，厂界外大气污染物短期贡献浓度均不超过环境质量浓度限值，对区域环境空气影响较小</w:t>
            </w: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Merge w:val="continue"/>
            <w:vAlign w:val="center"/>
          </w:tcPr>
          <w:p>
            <w:pPr>
              <w:jc w:val="center"/>
              <w:rPr>
                <w:color w:val="auto"/>
              </w:rPr>
            </w:pPr>
          </w:p>
        </w:tc>
        <w:tc>
          <w:tcPr>
            <w:tcW w:w="395" w:type="pct"/>
            <w:vMerge w:val="continue"/>
            <w:vAlign w:val="center"/>
          </w:tcPr>
          <w:p>
            <w:pPr>
              <w:jc w:val="center"/>
              <w:rPr>
                <w:color w:val="auto"/>
              </w:rPr>
            </w:pPr>
          </w:p>
        </w:tc>
        <w:tc>
          <w:tcPr>
            <w:tcW w:w="561" w:type="pct"/>
            <w:vAlign w:val="center"/>
          </w:tcPr>
          <w:p>
            <w:pPr>
              <w:jc w:val="center"/>
              <w:rPr>
                <w:color w:val="auto"/>
              </w:rPr>
            </w:pPr>
            <w:r>
              <w:rPr>
                <w:color w:val="auto"/>
              </w:rPr>
              <w:t>地表水</w:t>
            </w:r>
          </w:p>
        </w:tc>
        <w:tc>
          <w:tcPr>
            <w:tcW w:w="3615" w:type="pct"/>
            <w:vAlign w:val="center"/>
          </w:tcPr>
          <w:p>
            <w:pPr>
              <w:widowControl w:val="0"/>
              <w:ind w:firstLine="420" w:firstLineChars="200"/>
              <w:rPr>
                <w:color w:val="auto"/>
              </w:rPr>
            </w:pPr>
            <w:r>
              <w:rPr>
                <w:color w:val="auto"/>
              </w:rPr>
              <w:t>根据地表水影响分析，本项目涉重废水全部回用，</w:t>
            </w:r>
            <w:r>
              <w:rPr>
                <w:rFonts w:hint="eastAsia"/>
                <w:color w:val="auto"/>
                <w:lang w:eastAsia="zh-CN"/>
              </w:rPr>
              <w:t>浓水和生活污水</w:t>
            </w:r>
            <w:r>
              <w:rPr>
                <w:color w:val="auto"/>
              </w:rPr>
              <w:t>排入同盟污水处理厂，</w:t>
            </w:r>
            <w:r>
              <w:rPr>
                <w:rFonts w:hint="eastAsia"/>
                <w:color w:val="auto"/>
                <w:lang w:eastAsia="zh-CN"/>
              </w:rPr>
              <w:t>最终</w:t>
            </w:r>
            <w:r>
              <w:rPr>
                <w:color w:val="auto"/>
              </w:rPr>
              <w:t>排入共产主义渠，对纳污水体影响很小，不会改变水体现状。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Merge w:val="continue"/>
            <w:vAlign w:val="center"/>
          </w:tcPr>
          <w:p>
            <w:pPr>
              <w:jc w:val="center"/>
              <w:rPr>
                <w:color w:val="auto"/>
              </w:rPr>
            </w:pPr>
          </w:p>
        </w:tc>
        <w:tc>
          <w:tcPr>
            <w:tcW w:w="395" w:type="pct"/>
            <w:vMerge w:val="continue"/>
            <w:vAlign w:val="center"/>
          </w:tcPr>
          <w:p>
            <w:pPr>
              <w:jc w:val="center"/>
              <w:rPr>
                <w:color w:val="auto"/>
              </w:rPr>
            </w:pPr>
          </w:p>
        </w:tc>
        <w:tc>
          <w:tcPr>
            <w:tcW w:w="561" w:type="pct"/>
            <w:vAlign w:val="center"/>
          </w:tcPr>
          <w:p>
            <w:pPr>
              <w:jc w:val="center"/>
              <w:rPr>
                <w:color w:val="auto"/>
              </w:rPr>
            </w:pPr>
            <w:r>
              <w:rPr>
                <w:color w:val="auto"/>
              </w:rPr>
              <w:t>地下水</w:t>
            </w:r>
          </w:p>
        </w:tc>
        <w:tc>
          <w:tcPr>
            <w:tcW w:w="3615" w:type="pct"/>
            <w:vAlign w:val="center"/>
          </w:tcPr>
          <w:p>
            <w:pPr>
              <w:widowControl w:val="0"/>
              <w:ind w:firstLine="420" w:firstLineChars="200"/>
              <w:rPr>
                <w:color w:val="auto"/>
              </w:rPr>
            </w:pPr>
            <w:r>
              <w:rPr>
                <w:color w:val="auto"/>
              </w:rPr>
              <w:t>根据地下水环境影响分析，本项目在采取分区防渗等措施后，对地下水环境影响很小。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Merge w:val="continue"/>
            <w:vAlign w:val="center"/>
          </w:tcPr>
          <w:p>
            <w:pPr>
              <w:jc w:val="center"/>
              <w:rPr>
                <w:color w:val="auto"/>
              </w:rPr>
            </w:pPr>
          </w:p>
        </w:tc>
        <w:tc>
          <w:tcPr>
            <w:tcW w:w="395" w:type="pct"/>
            <w:vMerge w:val="continue"/>
            <w:vAlign w:val="center"/>
          </w:tcPr>
          <w:p>
            <w:pPr>
              <w:jc w:val="center"/>
              <w:rPr>
                <w:color w:val="auto"/>
              </w:rPr>
            </w:pPr>
          </w:p>
        </w:tc>
        <w:tc>
          <w:tcPr>
            <w:tcW w:w="561" w:type="pct"/>
            <w:vAlign w:val="center"/>
          </w:tcPr>
          <w:p>
            <w:pPr>
              <w:jc w:val="center"/>
              <w:rPr>
                <w:color w:val="auto"/>
              </w:rPr>
            </w:pPr>
            <w:r>
              <w:rPr>
                <w:color w:val="auto"/>
              </w:rPr>
              <w:t>土壤</w:t>
            </w:r>
          </w:p>
        </w:tc>
        <w:tc>
          <w:tcPr>
            <w:tcW w:w="3615" w:type="pct"/>
            <w:vAlign w:val="center"/>
          </w:tcPr>
          <w:p>
            <w:pPr>
              <w:widowControl w:val="0"/>
              <w:ind w:firstLine="420" w:firstLineChars="200"/>
              <w:rPr>
                <w:color w:val="auto"/>
              </w:rPr>
            </w:pPr>
            <w:r>
              <w:rPr>
                <w:color w:val="auto"/>
              </w:rPr>
              <w:t>根据土壤影响预测，评价认为，建设单位在施工期严格落实防渗技术规范，运营期内加强设施运维及检修的情况下，本项目对土壤环境影响很小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Merge w:val="continue"/>
            <w:vAlign w:val="center"/>
          </w:tcPr>
          <w:p>
            <w:pPr>
              <w:jc w:val="center"/>
              <w:rPr>
                <w:color w:val="auto"/>
              </w:rPr>
            </w:pPr>
          </w:p>
        </w:tc>
        <w:tc>
          <w:tcPr>
            <w:tcW w:w="395" w:type="pct"/>
            <w:vMerge w:val="continue"/>
            <w:vAlign w:val="center"/>
          </w:tcPr>
          <w:p>
            <w:pPr>
              <w:jc w:val="center"/>
              <w:rPr>
                <w:color w:val="auto"/>
              </w:rPr>
            </w:pPr>
          </w:p>
        </w:tc>
        <w:tc>
          <w:tcPr>
            <w:tcW w:w="561" w:type="pct"/>
            <w:vAlign w:val="center"/>
          </w:tcPr>
          <w:p>
            <w:pPr>
              <w:jc w:val="center"/>
              <w:rPr>
                <w:color w:val="auto"/>
              </w:rPr>
            </w:pPr>
            <w:r>
              <w:rPr>
                <w:color w:val="auto"/>
              </w:rPr>
              <w:t>声环境</w:t>
            </w:r>
          </w:p>
        </w:tc>
        <w:tc>
          <w:tcPr>
            <w:tcW w:w="3615" w:type="pct"/>
            <w:vAlign w:val="center"/>
          </w:tcPr>
          <w:p>
            <w:pPr>
              <w:widowControl w:val="0"/>
              <w:ind w:firstLine="420" w:firstLineChars="200"/>
              <w:rPr>
                <w:color w:val="auto"/>
              </w:rPr>
            </w:pPr>
            <w:r>
              <w:rPr>
                <w:color w:val="auto"/>
              </w:rPr>
              <w:t>根据声环境影响预测，项目运营期厂界噪声值可满足相应环境标准，不会扰民。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8</w:t>
            </w:r>
          </w:p>
        </w:tc>
        <w:tc>
          <w:tcPr>
            <w:tcW w:w="956" w:type="pct"/>
            <w:gridSpan w:val="2"/>
            <w:vAlign w:val="center"/>
          </w:tcPr>
          <w:p>
            <w:pPr>
              <w:jc w:val="center"/>
              <w:rPr>
                <w:color w:val="auto"/>
              </w:rPr>
            </w:pPr>
            <w:r>
              <w:rPr>
                <w:color w:val="auto"/>
              </w:rPr>
              <w:t>风险分析</w:t>
            </w:r>
          </w:p>
        </w:tc>
        <w:tc>
          <w:tcPr>
            <w:tcW w:w="3615" w:type="pct"/>
            <w:vAlign w:val="center"/>
          </w:tcPr>
          <w:p>
            <w:pPr>
              <w:widowControl w:val="0"/>
              <w:ind w:firstLine="420" w:firstLineChars="200"/>
              <w:rPr>
                <w:color w:val="auto"/>
              </w:rPr>
            </w:pPr>
            <w:r>
              <w:rPr>
                <w:color w:val="auto"/>
              </w:rPr>
              <w:t>根据风险分析可知，项目在严格落实环境影响评价中提出的各项风险防范措施及事故应急预案的基础上，项目风险在可承受范围之内。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9</w:t>
            </w:r>
          </w:p>
        </w:tc>
        <w:tc>
          <w:tcPr>
            <w:tcW w:w="956" w:type="pct"/>
            <w:gridSpan w:val="2"/>
            <w:vAlign w:val="center"/>
          </w:tcPr>
          <w:p>
            <w:pPr>
              <w:jc w:val="center"/>
              <w:rPr>
                <w:color w:val="auto"/>
              </w:rPr>
            </w:pPr>
            <w:r>
              <w:rPr>
                <w:color w:val="auto"/>
              </w:rPr>
              <w:t>公众意见</w:t>
            </w:r>
          </w:p>
        </w:tc>
        <w:tc>
          <w:tcPr>
            <w:tcW w:w="3615" w:type="pct"/>
            <w:vAlign w:val="center"/>
          </w:tcPr>
          <w:p>
            <w:pPr>
              <w:widowControl w:val="0"/>
              <w:ind w:firstLine="420" w:firstLineChars="200"/>
              <w:rPr>
                <w:color w:val="auto"/>
              </w:rPr>
            </w:pPr>
            <w:r>
              <w:rPr>
                <w:color w:val="auto"/>
              </w:rPr>
              <w:t>根据企业进行公众参与调查结果可知，被调查对象无反对意见。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10</w:t>
            </w:r>
          </w:p>
        </w:tc>
        <w:tc>
          <w:tcPr>
            <w:tcW w:w="956" w:type="pct"/>
            <w:gridSpan w:val="2"/>
            <w:vAlign w:val="center"/>
          </w:tcPr>
          <w:p>
            <w:pPr>
              <w:jc w:val="center"/>
              <w:rPr>
                <w:color w:val="auto"/>
              </w:rPr>
            </w:pPr>
            <w:r>
              <w:rPr>
                <w:color w:val="auto"/>
              </w:rPr>
              <w:t>集聚区管委会意见</w:t>
            </w:r>
          </w:p>
        </w:tc>
        <w:tc>
          <w:tcPr>
            <w:tcW w:w="3615" w:type="pct"/>
            <w:vAlign w:val="center"/>
          </w:tcPr>
          <w:p>
            <w:pPr>
              <w:widowControl w:val="0"/>
              <w:ind w:firstLine="420" w:firstLineChars="200"/>
              <w:rPr>
                <w:color w:val="auto"/>
              </w:rPr>
            </w:pPr>
            <w:r>
              <w:rPr>
                <w:color w:val="auto"/>
              </w:rPr>
              <w:t>符合产业集聚区总体规划、土地规划、经济规划，符合准入条件。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7" w:type="dxa"/>
            <w:left w:w="108" w:type="dxa"/>
            <w:bottom w:w="17" w:type="dxa"/>
            <w:right w:w="108" w:type="dxa"/>
          </w:tblCellMar>
        </w:tblPrEx>
        <w:trPr>
          <w:trHeight w:val="369" w:hRule="atLeast"/>
          <w:jc w:val="center"/>
        </w:trPr>
        <w:tc>
          <w:tcPr>
            <w:tcW w:w="428" w:type="pct"/>
            <w:vAlign w:val="center"/>
          </w:tcPr>
          <w:p>
            <w:pPr>
              <w:jc w:val="center"/>
              <w:rPr>
                <w:color w:val="auto"/>
              </w:rPr>
            </w:pPr>
            <w:r>
              <w:rPr>
                <w:rFonts w:hint="eastAsia"/>
                <w:color w:val="auto"/>
              </w:rPr>
              <w:t>11</w:t>
            </w:r>
          </w:p>
        </w:tc>
        <w:tc>
          <w:tcPr>
            <w:tcW w:w="956" w:type="pct"/>
            <w:gridSpan w:val="2"/>
            <w:vAlign w:val="center"/>
          </w:tcPr>
          <w:p>
            <w:pPr>
              <w:jc w:val="center"/>
              <w:rPr>
                <w:color w:val="auto"/>
              </w:rPr>
            </w:pPr>
            <w:r>
              <w:rPr>
                <w:color w:val="auto"/>
              </w:rPr>
              <w:t>分析结果</w:t>
            </w:r>
          </w:p>
        </w:tc>
        <w:tc>
          <w:tcPr>
            <w:tcW w:w="3615" w:type="pct"/>
            <w:vAlign w:val="center"/>
          </w:tcPr>
          <w:p>
            <w:pPr>
              <w:widowControl w:val="0"/>
              <w:ind w:firstLine="420" w:firstLineChars="200"/>
              <w:rPr>
                <w:color w:val="auto"/>
              </w:rPr>
            </w:pPr>
            <w:r>
              <w:rPr>
                <w:color w:val="auto"/>
              </w:rPr>
              <w:t>从环境保护角度综合分析，本项目厂址选择可行。</w:t>
            </w:r>
          </w:p>
        </w:tc>
      </w:tr>
    </w:tbl>
    <w:p>
      <w:pPr>
        <w:adjustRightInd w:val="0"/>
        <w:snapToGrid w:val="0"/>
        <w:spacing w:line="360" w:lineRule="auto"/>
        <w:ind w:firstLine="480" w:firstLineChars="200"/>
        <w:rPr>
          <w:color w:val="auto"/>
          <w:kern w:val="21"/>
          <w:sz w:val="24"/>
          <w:szCs w:val="24"/>
        </w:rPr>
      </w:pPr>
    </w:p>
    <w:p>
      <w:pPr>
        <w:adjustRightInd w:val="0"/>
        <w:snapToGrid w:val="0"/>
        <w:spacing w:line="360" w:lineRule="auto"/>
        <w:ind w:firstLine="480" w:firstLineChars="200"/>
        <w:rPr>
          <w:color w:val="auto"/>
          <w:kern w:val="21"/>
          <w:sz w:val="24"/>
          <w:szCs w:val="24"/>
        </w:rPr>
      </w:pPr>
    </w:p>
    <w:p>
      <w:pPr>
        <w:pStyle w:val="33"/>
        <w:adjustRightInd w:val="0"/>
        <w:snapToGrid w:val="0"/>
        <w:spacing w:after="0" w:line="360" w:lineRule="auto"/>
        <w:ind w:left="0" w:leftChars="0" w:firstLine="480" w:firstLineChars="200"/>
        <w:rPr>
          <w:color w:val="auto"/>
          <w:kern w:val="21"/>
          <w:sz w:val="24"/>
          <w:lang w:val="zh-CN"/>
        </w:rPr>
        <w:sectPr>
          <w:pgSz w:w="11906" w:h="16838"/>
          <w:pgMar w:top="1800" w:right="1440" w:bottom="1800" w:left="1440" w:header="1134" w:footer="1134" w:gutter="0"/>
          <w:cols w:space="720" w:num="1"/>
          <w:docGrid w:linePitch="312" w:charSpace="0"/>
        </w:sectPr>
      </w:pPr>
    </w:p>
    <w:p>
      <w:pPr>
        <w:pStyle w:val="3"/>
        <w:pageBreakBefore/>
        <w:widowControl w:val="0"/>
        <w:tabs>
          <w:tab w:val="left" w:pos="360"/>
        </w:tabs>
        <w:adjustRightInd/>
        <w:spacing w:before="240" w:beforeLines="100" w:after="240" w:afterLines="100" w:line="360" w:lineRule="auto"/>
        <w:contextualSpacing/>
        <w:textAlignment w:val="baseline"/>
        <w:rPr>
          <w:bCs w:val="0"/>
          <w:color w:val="auto"/>
          <w:szCs w:val="20"/>
        </w:rPr>
      </w:pPr>
      <w:bookmarkStart w:id="157" w:name="_Toc21160"/>
      <w:bookmarkStart w:id="158" w:name="_Toc11622_WPSOffice_Level1"/>
      <w:bookmarkStart w:id="159" w:name="_Toc22148_WPSOffice_Level1"/>
      <w:bookmarkStart w:id="160" w:name="_Toc112338937"/>
      <w:bookmarkStart w:id="161" w:name="_Toc28199"/>
      <w:r>
        <w:rPr>
          <w:bCs w:val="0"/>
          <w:color w:val="auto"/>
          <w:szCs w:val="20"/>
        </w:rPr>
        <w:t>第三章  建设项目工程分析</w:t>
      </w:r>
      <w:bookmarkEnd w:id="148"/>
      <w:bookmarkEnd w:id="157"/>
      <w:bookmarkEnd w:id="158"/>
      <w:bookmarkEnd w:id="159"/>
      <w:bookmarkEnd w:id="160"/>
      <w:bookmarkEnd w:id="161"/>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62" w:name="_Toc112338938"/>
      <w:bookmarkStart w:id="163" w:name="_Toc19436_WPSOffice_Level2"/>
      <w:bookmarkStart w:id="164" w:name="_Toc17164"/>
      <w:bookmarkStart w:id="165" w:name="_Toc21361"/>
      <w:bookmarkStart w:id="166" w:name="_Toc28882"/>
      <w:r>
        <w:rPr>
          <w:bCs w:val="0"/>
          <w:color w:val="auto"/>
          <w:kern w:val="0"/>
          <w:szCs w:val="20"/>
          <w:lang w:val="en-US"/>
        </w:rPr>
        <w:t>3.1建设项目概况</w:t>
      </w:r>
      <w:bookmarkEnd w:id="162"/>
      <w:bookmarkEnd w:id="163"/>
      <w:bookmarkEnd w:id="164"/>
      <w:bookmarkEnd w:id="165"/>
      <w:bookmarkEnd w:id="166"/>
    </w:p>
    <w:p>
      <w:pPr>
        <w:pStyle w:val="271"/>
        <w:keepNext w:val="0"/>
        <w:keepLines w:val="0"/>
        <w:snapToGrid w:val="0"/>
        <w:spacing w:before="0" w:beforeLines="0" w:after="0" w:afterLines="0"/>
        <w:rPr>
          <w:rFonts w:cs="Times New Roman"/>
          <w:color w:val="auto"/>
          <w:kern w:val="21"/>
          <w:sz w:val="28"/>
          <w:szCs w:val="28"/>
        </w:rPr>
      </w:pPr>
      <w:bookmarkStart w:id="167" w:name="_Toc17460"/>
      <w:r>
        <w:rPr>
          <w:rFonts w:cs="Times New Roman"/>
          <w:color w:val="auto"/>
          <w:kern w:val="21"/>
          <w:sz w:val="28"/>
          <w:szCs w:val="28"/>
        </w:rPr>
        <w:t>3.1.1建设项目名称、性质、建设地点</w:t>
      </w:r>
      <w:bookmarkEnd w:id="167"/>
    </w:p>
    <w:p>
      <w:pPr>
        <w:adjustRightInd w:val="0"/>
        <w:snapToGrid w:val="0"/>
        <w:spacing w:line="360" w:lineRule="auto"/>
        <w:ind w:firstLine="480" w:firstLineChars="200"/>
        <w:rPr>
          <w:color w:val="auto"/>
          <w:kern w:val="21"/>
          <w:sz w:val="24"/>
        </w:rPr>
      </w:pPr>
      <w:bookmarkStart w:id="168" w:name="_Toc13938"/>
      <w:r>
        <w:rPr>
          <w:color w:val="auto"/>
          <w:kern w:val="21"/>
          <w:sz w:val="24"/>
        </w:rPr>
        <w:t>河南中能锂动电源有限公司为新建企业，租赁河南奔茨新能源有限公司现有两座厂房及土地（租赁合同见附件</w:t>
      </w:r>
      <w:r>
        <w:rPr>
          <w:rFonts w:hint="eastAsia"/>
          <w:color w:val="auto"/>
          <w:kern w:val="21"/>
          <w:sz w:val="24"/>
        </w:rPr>
        <w:t>5</w:t>
      </w:r>
      <w:r>
        <w:rPr>
          <w:color w:val="auto"/>
          <w:kern w:val="21"/>
          <w:sz w:val="24"/>
        </w:rPr>
        <w:t>），现有厂房属于《河南奔茨新能源有限公司年产</w:t>
      </w:r>
      <w:r>
        <w:rPr>
          <w:rFonts w:hint="eastAsia"/>
          <w:color w:val="auto"/>
          <w:kern w:val="21"/>
          <w:sz w:val="24"/>
        </w:rPr>
        <w:t>10万辆电动车建设项目</w:t>
      </w:r>
      <w:r>
        <w:rPr>
          <w:color w:val="auto"/>
          <w:kern w:val="21"/>
          <w:sz w:val="24"/>
        </w:rPr>
        <w:t>》的建设内容，《河南奔茨新能源有限公司年产</w:t>
      </w:r>
      <w:r>
        <w:rPr>
          <w:rFonts w:hint="eastAsia"/>
          <w:color w:val="auto"/>
          <w:kern w:val="21"/>
          <w:sz w:val="24"/>
        </w:rPr>
        <w:t>10万辆电动车建设项目环境影响报告表</w:t>
      </w:r>
      <w:r>
        <w:rPr>
          <w:color w:val="auto"/>
          <w:kern w:val="21"/>
          <w:sz w:val="24"/>
        </w:rPr>
        <w:t>》于</w:t>
      </w:r>
      <w:r>
        <w:rPr>
          <w:rFonts w:hint="eastAsia"/>
          <w:color w:val="auto"/>
          <w:kern w:val="21"/>
          <w:sz w:val="24"/>
        </w:rPr>
        <w:t>2016年12月6日经获嘉县环保局批复（附件6），批复文号“获环监【2016】010号”，2019年10月26日建成投产并进行了竣工环境保护验收（附件7）。</w:t>
      </w:r>
    </w:p>
    <w:p>
      <w:pPr>
        <w:adjustRightInd w:val="0"/>
        <w:snapToGrid w:val="0"/>
        <w:spacing w:line="360" w:lineRule="auto"/>
        <w:ind w:firstLine="480" w:firstLineChars="200"/>
        <w:rPr>
          <w:color w:val="auto"/>
          <w:kern w:val="21"/>
          <w:sz w:val="24"/>
        </w:rPr>
      </w:pPr>
      <w:r>
        <w:rPr>
          <w:rFonts w:hint="eastAsia"/>
          <w:color w:val="auto"/>
          <w:kern w:val="21"/>
          <w:sz w:val="24"/>
        </w:rPr>
        <w:t>本项目所租用的两个车间，南车间原为</w:t>
      </w:r>
      <w:r>
        <w:rPr>
          <w:color w:val="auto"/>
          <w:kern w:val="21"/>
          <w:sz w:val="24"/>
        </w:rPr>
        <w:t>河南奔茨新能源有限公司展厅区域，北车间原为河南奔茨新能源有限公司总装车间。因市场形势原因，河南奔茨新能源有限公司销量逐渐减少，产能下降，因此将总装工序迁至东侧厂房，将展厅及总装车间空出租于本项目使用，本项目所租赁厂房不影响河南奔茨新能源有限公司的正常生产经营将环保治理设施的运行。</w:t>
      </w:r>
    </w:p>
    <w:p>
      <w:pPr>
        <w:adjustRightInd w:val="0"/>
        <w:snapToGrid w:val="0"/>
        <w:spacing w:line="360" w:lineRule="auto"/>
        <w:ind w:firstLine="480" w:firstLineChars="200"/>
        <w:rPr>
          <w:color w:val="auto"/>
          <w:kern w:val="21"/>
          <w:sz w:val="24"/>
        </w:rPr>
      </w:pPr>
      <w:r>
        <w:rPr>
          <w:rFonts w:hint="eastAsia"/>
          <w:color w:val="auto"/>
          <w:kern w:val="21"/>
          <w:sz w:val="24"/>
        </w:rPr>
        <w:t>本项目</w:t>
      </w:r>
      <w:r>
        <w:rPr>
          <w:color w:val="auto"/>
          <w:kern w:val="21"/>
          <w:sz w:val="24"/>
        </w:rPr>
        <w:t>建设内容项目基本情况见表3.1-1：</w:t>
      </w:r>
    </w:p>
    <w:p>
      <w:pPr>
        <w:adjustRightInd w:val="0"/>
        <w:snapToGrid w:val="0"/>
        <w:jc w:val="center"/>
        <w:rPr>
          <w:rFonts w:eastAsia="黑体"/>
          <w:color w:val="auto"/>
          <w:kern w:val="21"/>
          <w:sz w:val="24"/>
          <w:szCs w:val="24"/>
        </w:rPr>
      </w:pPr>
      <w:r>
        <w:rPr>
          <w:rFonts w:eastAsia="黑体"/>
          <w:color w:val="auto"/>
          <w:kern w:val="21"/>
          <w:sz w:val="24"/>
          <w:szCs w:val="24"/>
        </w:rPr>
        <w:t>表3.1-1 本项目</w:t>
      </w:r>
      <w:r>
        <w:rPr>
          <w:rFonts w:hint="eastAsia" w:eastAsia="黑体"/>
          <w:color w:val="auto"/>
          <w:kern w:val="21"/>
          <w:sz w:val="24"/>
          <w:szCs w:val="24"/>
          <w:lang w:eastAsia="zh-CN"/>
        </w:rPr>
        <w:t>建设内容</w:t>
      </w:r>
      <w:r>
        <w:rPr>
          <w:rFonts w:eastAsia="黑体"/>
          <w:color w:val="auto"/>
          <w:kern w:val="21"/>
          <w:sz w:val="24"/>
          <w:szCs w:val="24"/>
        </w:rPr>
        <w:t>基本情况</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2591"/>
        <w:gridCol w:w="5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b/>
                <w:bCs/>
                <w:color w:val="auto"/>
                <w:kern w:val="21"/>
              </w:rPr>
            </w:pPr>
            <w:r>
              <w:rPr>
                <w:b/>
                <w:bCs/>
                <w:color w:val="auto"/>
                <w:kern w:val="21"/>
              </w:rPr>
              <w:t>序号</w:t>
            </w:r>
          </w:p>
        </w:tc>
        <w:tc>
          <w:tcPr>
            <w:tcW w:w="2591" w:type="dxa"/>
            <w:vAlign w:val="center"/>
          </w:tcPr>
          <w:p>
            <w:pPr>
              <w:adjustRightInd w:val="0"/>
              <w:snapToGrid w:val="0"/>
              <w:jc w:val="center"/>
              <w:rPr>
                <w:b/>
                <w:bCs/>
                <w:color w:val="auto"/>
                <w:kern w:val="21"/>
              </w:rPr>
            </w:pPr>
            <w:r>
              <w:rPr>
                <w:b/>
                <w:bCs/>
                <w:color w:val="auto"/>
                <w:kern w:val="21"/>
              </w:rPr>
              <w:t>项目</w:t>
            </w:r>
          </w:p>
        </w:tc>
        <w:tc>
          <w:tcPr>
            <w:tcW w:w="5261" w:type="dxa"/>
            <w:vAlign w:val="center"/>
          </w:tcPr>
          <w:p>
            <w:pPr>
              <w:adjustRightInd w:val="0"/>
              <w:snapToGrid w:val="0"/>
              <w:jc w:val="center"/>
              <w:rPr>
                <w:b/>
                <w:bCs/>
                <w:color w:val="auto"/>
                <w:kern w:val="21"/>
              </w:rPr>
            </w:pPr>
            <w:r>
              <w:rPr>
                <w:b/>
                <w:bCs/>
                <w:color w:val="auto"/>
                <w:kern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1</w:t>
            </w:r>
          </w:p>
        </w:tc>
        <w:tc>
          <w:tcPr>
            <w:tcW w:w="2591" w:type="dxa"/>
            <w:vAlign w:val="center"/>
          </w:tcPr>
          <w:p>
            <w:pPr>
              <w:adjustRightInd w:val="0"/>
              <w:snapToGrid w:val="0"/>
              <w:jc w:val="center"/>
              <w:rPr>
                <w:color w:val="auto"/>
                <w:kern w:val="21"/>
              </w:rPr>
            </w:pPr>
            <w:r>
              <w:rPr>
                <w:color w:val="auto"/>
                <w:kern w:val="21"/>
              </w:rPr>
              <w:t>项目名称</w:t>
            </w:r>
          </w:p>
        </w:tc>
        <w:tc>
          <w:tcPr>
            <w:tcW w:w="5261" w:type="dxa"/>
            <w:vAlign w:val="center"/>
          </w:tcPr>
          <w:p>
            <w:pPr>
              <w:adjustRightInd w:val="0"/>
              <w:snapToGrid w:val="0"/>
              <w:jc w:val="center"/>
              <w:rPr>
                <w:color w:val="auto"/>
                <w:kern w:val="21"/>
              </w:rPr>
            </w:pPr>
            <w:r>
              <w:rPr>
                <w:rFonts w:hint="eastAsia"/>
                <w:color w:val="auto"/>
                <w:kern w:val="21"/>
              </w:rPr>
              <w:t>年产79.2198亿只电池配件项目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2</w:t>
            </w:r>
          </w:p>
        </w:tc>
        <w:tc>
          <w:tcPr>
            <w:tcW w:w="2591" w:type="dxa"/>
            <w:vAlign w:val="center"/>
          </w:tcPr>
          <w:p>
            <w:pPr>
              <w:adjustRightInd w:val="0"/>
              <w:snapToGrid w:val="0"/>
              <w:jc w:val="center"/>
              <w:rPr>
                <w:color w:val="auto"/>
                <w:kern w:val="21"/>
              </w:rPr>
            </w:pPr>
            <w:r>
              <w:rPr>
                <w:color w:val="auto"/>
                <w:kern w:val="21"/>
              </w:rPr>
              <w:t>建设性质</w:t>
            </w:r>
          </w:p>
        </w:tc>
        <w:tc>
          <w:tcPr>
            <w:tcW w:w="5261" w:type="dxa"/>
            <w:vAlign w:val="center"/>
          </w:tcPr>
          <w:p>
            <w:pPr>
              <w:adjustRightInd w:val="0"/>
              <w:snapToGrid w:val="0"/>
              <w:jc w:val="center"/>
              <w:rPr>
                <w:color w:val="auto"/>
                <w:kern w:val="21"/>
              </w:rPr>
            </w:pPr>
            <w:r>
              <w:rPr>
                <w:color w:val="auto"/>
                <w:kern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3</w:t>
            </w:r>
          </w:p>
        </w:tc>
        <w:tc>
          <w:tcPr>
            <w:tcW w:w="2591" w:type="dxa"/>
            <w:vAlign w:val="center"/>
          </w:tcPr>
          <w:p>
            <w:pPr>
              <w:adjustRightInd w:val="0"/>
              <w:snapToGrid w:val="0"/>
              <w:jc w:val="center"/>
              <w:rPr>
                <w:color w:val="auto"/>
                <w:kern w:val="21"/>
              </w:rPr>
            </w:pPr>
            <w:r>
              <w:rPr>
                <w:color w:val="auto"/>
                <w:kern w:val="21"/>
              </w:rPr>
              <w:t>建设单位</w:t>
            </w:r>
          </w:p>
        </w:tc>
        <w:tc>
          <w:tcPr>
            <w:tcW w:w="5261" w:type="dxa"/>
            <w:vAlign w:val="center"/>
          </w:tcPr>
          <w:p>
            <w:pPr>
              <w:adjustRightInd w:val="0"/>
              <w:snapToGrid w:val="0"/>
              <w:jc w:val="center"/>
              <w:rPr>
                <w:color w:val="auto"/>
                <w:kern w:val="21"/>
              </w:rPr>
            </w:pPr>
            <w:r>
              <w:rPr>
                <w:color w:val="auto"/>
                <w:kern w:val="21"/>
              </w:rPr>
              <w:t>河南中能锂动电源有限公司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4</w:t>
            </w:r>
          </w:p>
        </w:tc>
        <w:tc>
          <w:tcPr>
            <w:tcW w:w="2591" w:type="dxa"/>
            <w:vAlign w:val="center"/>
          </w:tcPr>
          <w:p>
            <w:pPr>
              <w:adjustRightInd w:val="0"/>
              <w:snapToGrid w:val="0"/>
              <w:jc w:val="center"/>
              <w:rPr>
                <w:color w:val="auto"/>
                <w:kern w:val="21"/>
              </w:rPr>
            </w:pPr>
            <w:r>
              <w:rPr>
                <w:rFonts w:hint="eastAsia"/>
                <w:color w:val="auto"/>
                <w:kern w:val="21"/>
                <w:lang w:eastAsia="zh-CN"/>
              </w:rPr>
              <w:t>法定代表人</w:t>
            </w:r>
            <w:r>
              <w:rPr>
                <w:color w:val="auto"/>
                <w:kern w:val="21"/>
              </w:rPr>
              <w:t>及身份证号</w:t>
            </w:r>
          </w:p>
        </w:tc>
        <w:tc>
          <w:tcPr>
            <w:tcW w:w="5261" w:type="dxa"/>
            <w:vAlign w:val="center"/>
          </w:tcPr>
          <w:p>
            <w:pPr>
              <w:adjustRightInd w:val="0"/>
              <w:snapToGrid w:val="0"/>
              <w:jc w:val="center"/>
              <w:rPr>
                <w:color w:val="auto"/>
                <w:kern w:val="21"/>
              </w:rPr>
            </w:pPr>
            <w:r>
              <w:rPr>
                <w:color w:val="auto"/>
                <w:kern w:val="21"/>
              </w:rPr>
              <w:t>孟庆涛（）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5</w:t>
            </w:r>
          </w:p>
        </w:tc>
        <w:tc>
          <w:tcPr>
            <w:tcW w:w="2591" w:type="dxa"/>
            <w:vAlign w:val="center"/>
          </w:tcPr>
          <w:p>
            <w:pPr>
              <w:adjustRightInd w:val="0"/>
              <w:snapToGrid w:val="0"/>
              <w:jc w:val="center"/>
              <w:rPr>
                <w:color w:val="auto"/>
                <w:kern w:val="21"/>
              </w:rPr>
            </w:pPr>
            <w:r>
              <w:rPr>
                <w:color w:val="auto"/>
                <w:kern w:val="21"/>
              </w:rPr>
              <w:t>联系人及联系电话</w:t>
            </w:r>
          </w:p>
        </w:tc>
        <w:tc>
          <w:tcPr>
            <w:tcW w:w="5261" w:type="dxa"/>
            <w:vAlign w:val="center"/>
          </w:tcPr>
          <w:p>
            <w:pPr>
              <w:adjustRightInd w:val="0"/>
              <w:snapToGrid w:val="0"/>
              <w:jc w:val="center"/>
              <w:rPr>
                <w:color w:val="auto"/>
                <w:kern w:val="21"/>
              </w:rPr>
            </w:pPr>
            <w:r>
              <w:rPr>
                <w:color w:val="auto"/>
                <w:kern w:val="21"/>
              </w:rPr>
              <w:t>张东升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6</w:t>
            </w:r>
          </w:p>
        </w:tc>
        <w:tc>
          <w:tcPr>
            <w:tcW w:w="2591" w:type="dxa"/>
            <w:vAlign w:val="center"/>
          </w:tcPr>
          <w:p>
            <w:pPr>
              <w:adjustRightInd w:val="0"/>
              <w:snapToGrid w:val="0"/>
              <w:jc w:val="center"/>
              <w:rPr>
                <w:color w:val="auto"/>
                <w:kern w:val="21"/>
              </w:rPr>
            </w:pPr>
            <w:r>
              <w:rPr>
                <w:color w:val="auto"/>
                <w:kern w:val="21"/>
              </w:rPr>
              <w:t>建设地点</w:t>
            </w:r>
          </w:p>
        </w:tc>
        <w:tc>
          <w:tcPr>
            <w:tcW w:w="5261" w:type="dxa"/>
            <w:vAlign w:val="center"/>
          </w:tcPr>
          <w:p>
            <w:pPr>
              <w:adjustRightInd w:val="0"/>
              <w:snapToGrid w:val="0"/>
              <w:jc w:val="center"/>
              <w:rPr>
                <w:color w:val="auto"/>
                <w:kern w:val="21"/>
              </w:rPr>
            </w:pPr>
            <w:r>
              <w:rPr>
                <w:color w:val="auto"/>
                <w:kern w:val="21"/>
              </w:rPr>
              <w:t>获嘉县产业集聚区北区城东片区安王路与梧桐路西北角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7</w:t>
            </w:r>
          </w:p>
        </w:tc>
        <w:tc>
          <w:tcPr>
            <w:tcW w:w="2591" w:type="dxa"/>
            <w:vAlign w:val="center"/>
          </w:tcPr>
          <w:p>
            <w:pPr>
              <w:adjustRightInd w:val="0"/>
              <w:snapToGrid w:val="0"/>
              <w:jc w:val="center"/>
              <w:rPr>
                <w:color w:val="auto"/>
                <w:kern w:val="21"/>
              </w:rPr>
            </w:pPr>
            <w:r>
              <w:rPr>
                <w:color w:val="auto"/>
                <w:kern w:val="21"/>
              </w:rPr>
              <w:t>占地面积</w:t>
            </w:r>
          </w:p>
        </w:tc>
        <w:tc>
          <w:tcPr>
            <w:tcW w:w="5261" w:type="dxa"/>
            <w:vAlign w:val="center"/>
          </w:tcPr>
          <w:p>
            <w:pPr>
              <w:adjustRightInd w:val="0"/>
              <w:snapToGrid w:val="0"/>
              <w:jc w:val="center"/>
              <w:rPr>
                <w:color w:val="auto"/>
                <w:kern w:val="21"/>
              </w:rPr>
            </w:pPr>
            <w:r>
              <w:rPr>
                <w:rFonts w:hint="eastAsia"/>
                <w:color w:val="auto"/>
                <w:kern w:val="21"/>
              </w:rPr>
              <w:t>28000</w:t>
            </w:r>
            <w:r>
              <w:rPr>
                <w:color w:val="auto"/>
                <w:kern w:val="21"/>
              </w:rPr>
              <w:t>m</w:t>
            </w:r>
            <w:r>
              <w:rPr>
                <w:color w:val="auto"/>
                <w:kern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8</w:t>
            </w:r>
          </w:p>
        </w:tc>
        <w:tc>
          <w:tcPr>
            <w:tcW w:w="2591" w:type="dxa"/>
            <w:vAlign w:val="center"/>
          </w:tcPr>
          <w:p>
            <w:pPr>
              <w:adjustRightInd w:val="0"/>
              <w:snapToGrid w:val="0"/>
              <w:jc w:val="center"/>
              <w:rPr>
                <w:color w:val="auto"/>
                <w:kern w:val="21"/>
              </w:rPr>
            </w:pPr>
            <w:r>
              <w:rPr>
                <w:color w:val="auto"/>
                <w:kern w:val="21"/>
              </w:rPr>
              <w:t>产品方案</w:t>
            </w:r>
          </w:p>
        </w:tc>
        <w:tc>
          <w:tcPr>
            <w:tcW w:w="5261" w:type="dxa"/>
            <w:vAlign w:val="center"/>
          </w:tcPr>
          <w:p>
            <w:pPr>
              <w:adjustRightInd w:val="0"/>
              <w:snapToGrid w:val="0"/>
              <w:jc w:val="center"/>
              <w:rPr>
                <w:color w:val="auto"/>
                <w:kern w:val="21"/>
              </w:rPr>
            </w:pPr>
            <w:r>
              <w:rPr>
                <w:rFonts w:hint="eastAsia"/>
                <w:color w:val="auto"/>
                <w:kern w:val="21"/>
              </w:rPr>
              <w:t>年产39.6亿只锂电池钢壳、39.6亿只锂电池盖帽、198万个</w:t>
            </w:r>
            <w:r>
              <w:rPr>
                <w:rFonts w:hint="eastAsia"/>
                <w:color w:val="auto"/>
                <w:kern w:val="21"/>
                <w:lang w:eastAsia="zh-CN"/>
              </w:rPr>
              <w:t>锂</w:t>
            </w:r>
            <w:r>
              <w:rPr>
                <w:rFonts w:hint="eastAsia"/>
                <w:color w:val="auto"/>
                <w:kern w:val="21"/>
              </w:rPr>
              <w:t>电池箱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9</w:t>
            </w:r>
          </w:p>
        </w:tc>
        <w:tc>
          <w:tcPr>
            <w:tcW w:w="2591" w:type="dxa"/>
            <w:vAlign w:val="center"/>
          </w:tcPr>
          <w:p>
            <w:pPr>
              <w:adjustRightInd w:val="0"/>
              <w:snapToGrid w:val="0"/>
              <w:jc w:val="center"/>
              <w:rPr>
                <w:color w:val="auto"/>
                <w:kern w:val="21"/>
              </w:rPr>
            </w:pPr>
            <w:r>
              <w:rPr>
                <w:color w:val="auto"/>
                <w:kern w:val="21"/>
              </w:rPr>
              <w:t>职工定员及工作制度</w:t>
            </w:r>
          </w:p>
        </w:tc>
        <w:tc>
          <w:tcPr>
            <w:tcW w:w="5261" w:type="dxa"/>
            <w:vAlign w:val="center"/>
          </w:tcPr>
          <w:p>
            <w:pPr>
              <w:adjustRightInd w:val="0"/>
              <w:snapToGrid w:val="0"/>
              <w:jc w:val="center"/>
              <w:rPr>
                <w:color w:val="auto"/>
                <w:kern w:val="21"/>
              </w:rPr>
            </w:pPr>
            <w:r>
              <w:rPr>
                <w:rFonts w:hint="eastAsia"/>
                <w:color w:val="auto"/>
                <w:kern w:val="21"/>
              </w:rPr>
              <w:t>1</w:t>
            </w:r>
            <w:r>
              <w:rPr>
                <w:color w:val="auto"/>
                <w:kern w:val="21"/>
              </w:rPr>
              <w:t>00人，三班制24小时生产，3</w:t>
            </w:r>
            <w:r>
              <w:rPr>
                <w:rFonts w:hint="eastAsia"/>
                <w:color w:val="auto"/>
                <w:kern w:val="21"/>
              </w:rPr>
              <w:t>3</w:t>
            </w:r>
            <w:r>
              <w:rPr>
                <w:color w:val="auto"/>
                <w:kern w:val="21"/>
              </w:rPr>
              <w:t>0天/年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2" w:type="dxa"/>
            <w:vAlign w:val="center"/>
          </w:tcPr>
          <w:p>
            <w:pPr>
              <w:adjustRightInd w:val="0"/>
              <w:snapToGrid w:val="0"/>
              <w:jc w:val="center"/>
              <w:rPr>
                <w:color w:val="auto"/>
                <w:kern w:val="21"/>
              </w:rPr>
            </w:pPr>
            <w:r>
              <w:rPr>
                <w:color w:val="auto"/>
                <w:kern w:val="21"/>
              </w:rPr>
              <w:t>10</w:t>
            </w:r>
          </w:p>
        </w:tc>
        <w:tc>
          <w:tcPr>
            <w:tcW w:w="2591" w:type="dxa"/>
            <w:vAlign w:val="center"/>
          </w:tcPr>
          <w:p>
            <w:pPr>
              <w:adjustRightInd w:val="0"/>
              <w:snapToGrid w:val="0"/>
              <w:jc w:val="center"/>
              <w:rPr>
                <w:color w:val="auto"/>
                <w:kern w:val="21"/>
              </w:rPr>
            </w:pPr>
            <w:r>
              <w:rPr>
                <w:color w:val="auto"/>
                <w:kern w:val="21"/>
              </w:rPr>
              <w:t>总投资及环保投资</w:t>
            </w:r>
          </w:p>
        </w:tc>
        <w:tc>
          <w:tcPr>
            <w:tcW w:w="5261" w:type="dxa"/>
            <w:vAlign w:val="center"/>
          </w:tcPr>
          <w:p>
            <w:pPr>
              <w:adjustRightInd w:val="0"/>
              <w:snapToGrid w:val="0"/>
              <w:jc w:val="center"/>
              <w:rPr>
                <w:color w:val="auto"/>
                <w:kern w:val="21"/>
                <w:highlight w:val="yellow"/>
              </w:rPr>
            </w:pPr>
            <w:r>
              <w:rPr>
                <w:rFonts w:hint="eastAsia"/>
                <w:color w:val="auto"/>
                <w:kern w:val="21"/>
              </w:rPr>
              <w:t>56000万元</w:t>
            </w:r>
            <w:r>
              <w:rPr>
                <w:color w:val="auto"/>
                <w:kern w:val="21"/>
              </w:rPr>
              <w:t>，其中环保投资</w:t>
            </w:r>
            <w:r>
              <w:rPr>
                <w:rFonts w:hint="eastAsia"/>
                <w:color w:val="auto"/>
                <w:kern w:val="21"/>
              </w:rPr>
              <w:t>1942</w:t>
            </w:r>
            <w:r>
              <w:rPr>
                <w:color w:val="auto"/>
                <w:kern w:val="21"/>
              </w:rPr>
              <w:t>万元，占总投资的</w:t>
            </w:r>
            <w:r>
              <w:rPr>
                <w:rFonts w:hint="eastAsia"/>
                <w:color w:val="auto"/>
                <w:kern w:val="21"/>
              </w:rPr>
              <w:t>3.5</w:t>
            </w:r>
            <w:r>
              <w:rPr>
                <w:color w:val="auto"/>
                <w:kern w:val="21"/>
              </w:rPr>
              <w:t>%</w:t>
            </w:r>
          </w:p>
        </w:tc>
      </w:tr>
    </w:tbl>
    <w:p>
      <w:pPr>
        <w:pStyle w:val="271"/>
        <w:keepNext w:val="0"/>
        <w:keepLines w:val="0"/>
        <w:snapToGrid w:val="0"/>
        <w:spacing w:before="0" w:beforeLines="0" w:after="0" w:afterLines="0"/>
        <w:rPr>
          <w:rFonts w:cs="Times New Roman"/>
          <w:color w:val="auto"/>
          <w:kern w:val="21"/>
          <w:sz w:val="28"/>
          <w:szCs w:val="28"/>
        </w:rPr>
      </w:pPr>
    </w:p>
    <w:p>
      <w:pPr>
        <w:pStyle w:val="271"/>
        <w:keepNext w:val="0"/>
        <w:keepLines w:val="0"/>
        <w:snapToGrid w:val="0"/>
        <w:spacing w:before="0" w:beforeLines="0" w:after="0" w:afterLines="0"/>
        <w:rPr>
          <w:rFonts w:eastAsia="宋体" w:cs="Times New Roman"/>
          <w:color w:val="auto"/>
          <w:kern w:val="21"/>
          <w:szCs w:val="24"/>
        </w:rPr>
      </w:pPr>
      <w:r>
        <w:rPr>
          <w:rFonts w:cs="Times New Roman"/>
          <w:color w:val="auto"/>
          <w:kern w:val="21"/>
          <w:sz w:val="28"/>
          <w:szCs w:val="28"/>
        </w:rPr>
        <w:t>3.1.2</w:t>
      </w:r>
      <w:bookmarkEnd w:id="168"/>
      <w:bookmarkStart w:id="169" w:name="_Toc324839257"/>
      <w:bookmarkStart w:id="170" w:name="_Toc324839554"/>
      <w:r>
        <w:rPr>
          <w:rFonts w:cs="Times New Roman"/>
          <w:color w:val="auto"/>
          <w:kern w:val="21"/>
          <w:sz w:val="28"/>
          <w:szCs w:val="28"/>
        </w:rPr>
        <w:t>项目地理位置</w:t>
      </w:r>
      <w:bookmarkEnd w:id="169"/>
      <w:bookmarkEnd w:id="170"/>
      <w:r>
        <w:rPr>
          <w:rFonts w:cs="Times New Roman"/>
          <w:color w:val="auto"/>
          <w:kern w:val="21"/>
          <w:sz w:val="28"/>
          <w:szCs w:val="28"/>
        </w:rPr>
        <w:t>及平面布局</w:t>
      </w:r>
    </w:p>
    <w:p>
      <w:pPr>
        <w:pStyle w:val="6"/>
        <w:spacing w:before="0" w:after="0" w:line="360" w:lineRule="auto"/>
        <w:rPr>
          <w:b w:val="0"/>
          <w:color w:val="auto"/>
          <w:sz w:val="24"/>
          <w:szCs w:val="24"/>
        </w:rPr>
      </w:pPr>
      <w:r>
        <w:rPr>
          <w:b w:val="0"/>
          <w:color w:val="auto"/>
          <w:sz w:val="24"/>
          <w:szCs w:val="24"/>
        </w:rPr>
        <w:t>3.1.2.1项目地理位置</w:t>
      </w:r>
    </w:p>
    <w:p>
      <w:pPr>
        <w:adjustRightInd w:val="0"/>
        <w:snapToGrid w:val="0"/>
        <w:spacing w:line="360" w:lineRule="auto"/>
        <w:ind w:firstLine="480" w:firstLineChars="200"/>
        <w:rPr>
          <w:color w:val="auto"/>
          <w:kern w:val="21"/>
          <w:sz w:val="24"/>
          <w:szCs w:val="24"/>
        </w:rPr>
      </w:pPr>
      <w:r>
        <w:rPr>
          <w:color w:val="auto"/>
          <w:kern w:val="21"/>
          <w:sz w:val="24"/>
          <w:szCs w:val="24"/>
        </w:rPr>
        <w:t>本项目拟建设在</w:t>
      </w:r>
      <w:r>
        <w:rPr>
          <w:color w:val="auto"/>
          <w:sz w:val="24"/>
          <w:szCs w:val="24"/>
        </w:rPr>
        <w:t>获嘉县产业集聚区安王路与梧桐路交叉口</w:t>
      </w:r>
      <w:r>
        <w:rPr>
          <w:color w:val="auto"/>
          <w:kern w:val="21"/>
          <w:sz w:val="24"/>
          <w:szCs w:val="24"/>
        </w:rPr>
        <w:t>，厂址中心坐标为东经113.710203881°，北纬35.267804278°。本项目四周环境为：</w:t>
      </w:r>
      <w:r>
        <w:rPr>
          <w:rFonts w:hint="eastAsia"/>
          <w:color w:val="auto"/>
          <w:kern w:val="21"/>
          <w:sz w:val="24"/>
          <w:szCs w:val="24"/>
        </w:rPr>
        <w:t>东临河南奔茨新能源有限公司和河南华圣曦铝业有限公司；西临获嘉县华夏建材有限公司；南临新乡沅嘉汽车制造有限公司及梧桐路，隔梧桐路为壹仓优品；北临邦力电器；东北276m为前李村，北侧740m为后李村，西侧1323m为共产主义渠</w:t>
      </w:r>
      <w:r>
        <w:rPr>
          <w:color w:val="auto"/>
          <w:kern w:val="21"/>
          <w:sz w:val="24"/>
          <w:szCs w:val="24"/>
        </w:rPr>
        <w:t>。本项目四周环境如图3.1-1所示。</w:t>
      </w:r>
    </w:p>
    <w:p>
      <w:pPr>
        <w:pStyle w:val="33"/>
        <w:ind w:left="0" w:leftChars="0"/>
        <w:rPr>
          <w:color w:val="auto"/>
          <w:kern w:val="21"/>
        </w:rPr>
      </w:pPr>
      <w:r>
        <w:rPr>
          <w:color w:val="auto"/>
        </w:rPr>
        <w:drawing>
          <wp:inline distT="0" distB="0" distL="0" distR="0">
            <wp:extent cx="5216525" cy="3430270"/>
            <wp:effectExtent l="9525" t="9525" r="12700" b="2730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noChangeArrowheads="1"/>
                    </pic:cNvPicPr>
                  </pic:nvPicPr>
                  <pic:blipFill>
                    <a:blip r:embed="rId49"/>
                    <a:srcRect/>
                    <a:stretch>
                      <a:fillRect/>
                    </a:stretch>
                  </pic:blipFill>
                  <pic:spPr>
                    <a:xfrm>
                      <a:off x="0" y="0"/>
                      <a:ext cx="5216525" cy="3430270"/>
                    </a:xfrm>
                    <a:prstGeom prst="rect">
                      <a:avLst/>
                    </a:prstGeom>
                    <a:noFill/>
                    <a:ln w="6350" cmpd="sng">
                      <a:solidFill>
                        <a:srgbClr val="000000"/>
                      </a:solidFill>
                      <a:miter lim="800000"/>
                      <a:headEnd/>
                      <a:tailEnd/>
                    </a:ln>
                    <a:effectLst/>
                  </pic:spPr>
                </pic:pic>
              </a:graphicData>
            </a:graphic>
          </wp:inline>
        </w:drawing>
      </w:r>
    </w:p>
    <w:p>
      <w:pPr>
        <w:adjustRightInd w:val="0"/>
        <w:snapToGrid w:val="0"/>
        <w:jc w:val="center"/>
        <w:rPr>
          <w:rFonts w:eastAsia="黑体"/>
          <w:color w:val="auto"/>
          <w:kern w:val="21"/>
          <w:sz w:val="24"/>
          <w:szCs w:val="24"/>
        </w:rPr>
      </w:pPr>
      <w:r>
        <w:rPr>
          <w:rFonts w:eastAsia="黑体"/>
          <w:color w:val="auto"/>
          <w:kern w:val="21"/>
          <w:sz w:val="24"/>
          <w:szCs w:val="24"/>
        </w:rPr>
        <w:t xml:space="preserve">图3.1-1  </w:t>
      </w:r>
      <w:r>
        <w:rPr>
          <w:rFonts w:hint="eastAsia" w:eastAsia="黑体"/>
          <w:color w:val="auto"/>
          <w:kern w:val="21"/>
          <w:sz w:val="24"/>
          <w:szCs w:val="24"/>
          <w:lang w:eastAsia="zh-CN"/>
        </w:rPr>
        <w:t>本</w:t>
      </w:r>
      <w:r>
        <w:rPr>
          <w:rFonts w:eastAsia="黑体"/>
          <w:color w:val="auto"/>
          <w:kern w:val="21"/>
          <w:sz w:val="24"/>
          <w:szCs w:val="24"/>
        </w:rPr>
        <w:t>项目四周环境示意图</w:t>
      </w:r>
    </w:p>
    <w:p>
      <w:pPr>
        <w:pStyle w:val="6"/>
        <w:spacing w:before="0" w:after="0" w:line="360" w:lineRule="auto"/>
        <w:rPr>
          <w:b w:val="0"/>
          <w:color w:val="auto"/>
          <w:sz w:val="24"/>
          <w:szCs w:val="24"/>
        </w:rPr>
      </w:pPr>
      <w:r>
        <w:rPr>
          <w:b w:val="0"/>
          <w:color w:val="auto"/>
          <w:sz w:val="24"/>
          <w:szCs w:val="24"/>
        </w:rPr>
        <w:t>3.1.2.2平面布局</w:t>
      </w:r>
    </w:p>
    <w:p>
      <w:pPr>
        <w:pStyle w:val="33"/>
        <w:adjustRightInd w:val="0"/>
        <w:snapToGrid w:val="0"/>
        <w:spacing w:after="0" w:line="360" w:lineRule="auto"/>
        <w:ind w:left="0" w:leftChars="0" w:firstLine="480" w:firstLineChars="200"/>
        <w:rPr>
          <w:color w:val="auto"/>
          <w:kern w:val="21"/>
          <w:sz w:val="24"/>
        </w:rPr>
      </w:pPr>
      <w:r>
        <w:rPr>
          <w:color w:val="auto"/>
          <w:kern w:val="21"/>
          <w:sz w:val="24"/>
        </w:rPr>
        <w:t>本项目租用河南奔茨新能源有限公司现有部分厂房进行建设，租用部分见图</w:t>
      </w:r>
      <w:r>
        <w:rPr>
          <w:rFonts w:hint="eastAsia"/>
          <w:color w:val="auto"/>
          <w:kern w:val="21"/>
          <w:sz w:val="24"/>
        </w:rPr>
        <w:t>3.1-1。</w:t>
      </w:r>
    </w:p>
    <w:p>
      <w:pPr>
        <w:pStyle w:val="33"/>
        <w:adjustRightInd w:val="0"/>
        <w:snapToGrid w:val="0"/>
        <w:spacing w:after="0" w:line="360" w:lineRule="auto"/>
        <w:ind w:left="0" w:leftChars="0" w:firstLine="480" w:firstLineChars="200"/>
        <w:rPr>
          <w:color w:val="auto"/>
          <w:kern w:val="21"/>
          <w:sz w:val="24"/>
        </w:rPr>
      </w:pPr>
      <w:r>
        <w:rPr>
          <w:color w:val="auto"/>
          <w:kern w:val="21"/>
          <w:sz w:val="24"/>
        </w:rPr>
        <w:t>生产区租用</w:t>
      </w:r>
      <w:r>
        <w:rPr>
          <w:rFonts w:hint="eastAsia"/>
          <w:color w:val="auto"/>
          <w:kern w:val="21"/>
          <w:sz w:val="24"/>
        </w:rPr>
        <w:t>2</w:t>
      </w:r>
      <w:r>
        <w:rPr>
          <w:color w:val="auto"/>
          <w:kern w:val="21"/>
          <w:sz w:val="24"/>
        </w:rPr>
        <w:t>栋厂房，北侧厂房为1层建筑，高</w:t>
      </w:r>
      <w:r>
        <w:rPr>
          <w:rFonts w:hint="eastAsia"/>
          <w:color w:val="auto"/>
          <w:kern w:val="21"/>
          <w:sz w:val="24"/>
        </w:rPr>
        <w:t>12</w:t>
      </w:r>
      <w:r>
        <w:rPr>
          <w:color w:val="auto"/>
          <w:kern w:val="21"/>
          <w:sz w:val="24"/>
        </w:rPr>
        <w:t>m，建筑面积为</w:t>
      </w:r>
      <w:r>
        <w:rPr>
          <w:snapToGrid w:val="0"/>
          <w:color w:val="auto"/>
          <w:kern w:val="21"/>
          <w:sz w:val="24"/>
        </w:rPr>
        <w:t>1</w:t>
      </w:r>
      <w:r>
        <w:rPr>
          <w:rFonts w:hint="eastAsia"/>
          <w:snapToGrid w:val="0"/>
          <w:color w:val="auto"/>
          <w:kern w:val="21"/>
          <w:sz w:val="24"/>
        </w:rPr>
        <w:t>3300</w:t>
      </w:r>
      <w:r>
        <w:rPr>
          <w:snapToGrid w:val="0"/>
          <w:color w:val="auto"/>
          <w:kern w:val="21"/>
          <w:sz w:val="24"/>
        </w:rPr>
        <w:t>m</w:t>
      </w:r>
      <w:r>
        <w:rPr>
          <w:snapToGrid w:val="0"/>
          <w:color w:val="auto"/>
          <w:kern w:val="21"/>
          <w:sz w:val="24"/>
          <w:vertAlign w:val="superscript"/>
        </w:rPr>
        <w:t>2</w:t>
      </w:r>
      <w:r>
        <w:rPr>
          <w:color w:val="auto"/>
          <w:kern w:val="21"/>
          <w:sz w:val="24"/>
        </w:rPr>
        <w:t>，内设</w:t>
      </w:r>
      <w:r>
        <w:rPr>
          <w:rFonts w:hint="eastAsia"/>
          <w:color w:val="auto"/>
          <w:kern w:val="21"/>
          <w:sz w:val="24"/>
        </w:rPr>
        <w:t>10条生产线，分别为6条电池壳镀镍线（200万只/天）、3条盖帽镀镍线（400万只/天），1条电池箱镀锌线（6000个/天），两台燃气锅炉位于厂房西侧，酸雾废气治理设施位于生产线西侧，设置电镀原料专库、包装区、成品区等；</w:t>
      </w:r>
      <w:r>
        <w:rPr>
          <w:color w:val="auto"/>
          <w:kern w:val="21"/>
          <w:sz w:val="24"/>
        </w:rPr>
        <w:t>南侧厂房为</w:t>
      </w:r>
      <w:r>
        <w:rPr>
          <w:rFonts w:hint="eastAsia"/>
          <w:color w:val="auto"/>
          <w:kern w:val="21"/>
          <w:sz w:val="24"/>
        </w:rPr>
        <w:t>1</w:t>
      </w:r>
      <w:r>
        <w:rPr>
          <w:color w:val="auto"/>
          <w:kern w:val="21"/>
          <w:sz w:val="24"/>
        </w:rPr>
        <w:t>层建筑，高</w:t>
      </w:r>
      <w:r>
        <w:rPr>
          <w:rFonts w:hint="eastAsia"/>
          <w:color w:val="auto"/>
          <w:kern w:val="21"/>
          <w:sz w:val="24"/>
        </w:rPr>
        <w:t>12</w:t>
      </w:r>
      <w:r>
        <w:rPr>
          <w:color w:val="auto"/>
          <w:kern w:val="21"/>
          <w:sz w:val="24"/>
        </w:rPr>
        <w:t>m，建筑面积为</w:t>
      </w:r>
      <w:r>
        <w:rPr>
          <w:rFonts w:hint="eastAsia"/>
          <w:snapToGrid w:val="0"/>
          <w:color w:val="auto"/>
          <w:kern w:val="21"/>
          <w:sz w:val="24"/>
        </w:rPr>
        <w:t>7400</w:t>
      </w:r>
      <w:r>
        <w:rPr>
          <w:snapToGrid w:val="0"/>
          <w:color w:val="auto"/>
          <w:kern w:val="21"/>
          <w:sz w:val="24"/>
        </w:rPr>
        <w:t>m</w:t>
      </w:r>
      <w:r>
        <w:rPr>
          <w:snapToGrid w:val="0"/>
          <w:color w:val="auto"/>
          <w:kern w:val="21"/>
          <w:sz w:val="24"/>
          <w:vertAlign w:val="superscript"/>
        </w:rPr>
        <w:t>2</w:t>
      </w:r>
      <w:r>
        <w:rPr>
          <w:color w:val="auto"/>
          <w:kern w:val="21"/>
          <w:sz w:val="24"/>
        </w:rPr>
        <w:t>，用于机加工，内设钢壳冲床区（</w:t>
      </w:r>
      <w:r>
        <w:rPr>
          <w:rFonts w:hint="eastAsia"/>
          <w:color w:val="auto"/>
          <w:kern w:val="21"/>
          <w:sz w:val="24"/>
        </w:rPr>
        <w:t>105台钢壳冲床（11.5万只/天/台）</w:t>
      </w:r>
      <w:r>
        <w:rPr>
          <w:color w:val="auto"/>
          <w:kern w:val="21"/>
          <w:sz w:val="24"/>
        </w:rPr>
        <w:t>）</w:t>
      </w:r>
      <w:r>
        <w:rPr>
          <w:rFonts w:hint="eastAsia"/>
          <w:color w:val="auto"/>
          <w:kern w:val="21"/>
          <w:sz w:val="24"/>
        </w:rPr>
        <w:t>、盖帽冲床区（30台盖帽冲床（40.3万只/天/台</w:t>
      </w:r>
      <w:r>
        <w:rPr>
          <w:color w:val="auto"/>
          <w:kern w:val="21"/>
          <w:sz w:val="24"/>
        </w:rPr>
        <w:t>）</w:t>
      </w:r>
      <w:r>
        <w:rPr>
          <w:rFonts w:hint="eastAsia"/>
          <w:color w:val="auto"/>
          <w:kern w:val="21"/>
          <w:sz w:val="24"/>
        </w:rPr>
        <w:t>）、电池箱加工区（4台数控平开下料机、10台折弯机、20台电焊机）</w:t>
      </w:r>
      <w:r>
        <w:rPr>
          <w:color w:val="auto"/>
          <w:kern w:val="21"/>
          <w:sz w:val="24"/>
        </w:rPr>
        <w:t>、</w:t>
      </w:r>
      <w:r>
        <w:rPr>
          <w:rFonts w:hint="eastAsia"/>
          <w:color w:val="auto"/>
          <w:kern w:val="21"/>
          <w:sz w:val="24"/>
        </w:rPr>
        <w:t>4台模修车床、原料区、半成品区。</w:t>
      </w:r>
      <w:r>
        <w:rPr>
          <w:color w:val="auto"/>
          <w:kern w:val="21"/>
          <w:sz w:val="24"/>
        </w:rPr>
        <w:t>办公区依托河南奔茨新能源有限公司现有办公楼，位于生产区的东侧，不提供宿舍及食堂。污水处理站位于厂区西北</w:t>
      </w:r>
      <w:r>
        <w:rPr>
          <w:rFonts w:hint="eastAsia"/>
          <w:color w:val="auto"/>
          <w:kern w:val="21"/>
          <w:sz w:val="24"/>
          <w:lang w:eastAsia="zh-CN"/>
        </w:rPr>
        <w:t>侧</w:t>
      </w:r>
      <w:r>
        <w:rPr>
          <w:color w:val="auto"/>
          <w:kern w:val="21"/>
          <w:sz w:val="24"/>
        </w:rPr>
        <w:t>，占地</w:t>
      </w:r>
      <w:r>
        <w:rPr>
          <w:rFonts w:hint="eastAsia"/>
          <w:color w:val="auto"/>
          <w:kern w:val="21"/>
          <w:sz w:val="24"/>
          <w:lang w:val="en-US" w:eastAsia="zh-CN"/>
        </w:rPr>
        <w:t>2156</w:t>
      </w:r>
      <w:r>
        <w:rPr>
          <w:rFonts w:hint="eastAsia"/>
          <w:color w:val="auto"/>
          <w:kern w:val="21"/>
          <w:sz w:val="24"/>
        </w:rPr>
        <w:t>m</w:t>
      </w:r>
      <w:r>
        <w:rPr>
          <w:rFonts w:hint="eastAsia"/>
          <w:color w:val="auto"/>
          <w:kern w:val="21"/>
          <w:sz w:val="24"/>
          <w:vertAlign w:val="superscript"/>
        </w:rPr>
        <w:t>2</w:t>
      </w:r>
      <w:r>
        <w:rPr>
          <w:rFonts w:hint="eastAsia"/>
          <w:color w:val="auto"/>
          <w:kern w:val="21"/>
          <w:sz w:val="24"/>
        </w:rPr>
        <w:t>，</w:t>
      </w:r>
      <w:r>
        <w:rPr>
          <w:color w:val="auto"/>
          <w:kern w:val="21"/>
          <w:sz w:val="24"/>
        </w:rPr>
        <w:t>位于主导风向的上风向，降低了大气污染物对办公区</w:t>
      </w:r>
      <w:r>
        <w:rPr>
          <w:rFonts w:hint="eastAsia"/>
          <w:color w:val="auto"/>
          <w:kern w:val="21"/>
          <w:sz w:val="24"/>
          <w:lang w:eastAsia="zh-CN"/>
        </w:rPr>
        <w:t>的</w:t>
      </w:r>
      <w:r>
        <w:rPr>
          <w:color w:val="auto"/>
          <w:kern w:val="21"/>
          <w:sz w:val="24"/>
        </w:rPr>
        <w:t>影响，平面布局总体较为合理。</w:t>
      </w:r>
    </w:p>
    <w:p>
      <w:pPr>
        <w:pStyle w:val="4"/>
        <w:keepNext/>
        <w:keepLines/>
        <w:pageBreakBefore w:val="0"/>
        <w:widowControl w:val="0"/>
        <w:tabs>
          <w:tab w:val="left" w:pos="1200"/>
          <w:tab w:val="left" w:pos="1571"/>
          <w:tab w:val="left" w:pos="1680"/>
        </w:tabs>
        <w:kinsoku/>
        <w:wordWrap/>
        <w:overflowPunct/>
        <w:topLinePunct w:val="0"/>
        <w:autoSpaceDE/>
        <w:autoSpaceDN/>
        <w:bidi w:val="0"/>
        <w:adjustRightInd w:val="0"/>
        <w:snapToGrid w:val="0"/>
        <w:spacing w:before="0" w:beforeLines="0" w:after="120" w:afterLines="0" w:line="560" w:lineRule="exact"/>
        <w:textAlignment w:val="baseline"/>
        <w:rPr>
          <w:bCs w:val="0"/>
          <w:color w:val="auto"/>
          <w:kern w:val="0"/>
          <w:szCs w:val="20"/>
          <w:lang w:val="en-US"/>
        </w:rPr>
      </w:pPr>
      <w:bookmarkStart w:id="171" w:name="_Toc6516"/>
      <w:bookmarkStart w:id="172" w:name="_Toc112338939"/>
      <w:r>
        <w:rPr>
          <w:bCs w:val="0"/>
          <w:color w:val="auto"/>
          <w:kern w:val="0"/>
          <w:szCs w:val="20"/>
          <w:lang w:val="en-US"/>
        </w:rPr>
        <w:t>3.2项目主要建设内容</w:t>
      </w:r>
      <w:bookmarkEnd w:id="171"/>
      <w:bookmarkEnd w:id="172"/>
    </w:p>
    <w:p>
      <w:pPr>
        <w:pStyle w:val="271"/>
        <w:keepNext w:val="0"/>
        <w:keepLines w:val="0"/>
        <w:snapToGrid w:val="0"/>
        <w:spacing w:before="0" w:beforeLines="0" w:after="0" w:afterLines="0"/>
        <w:rPr>
          <w:rFonts w:cs="Times New Roman"/>
          <w:color w:val="auto"/>
          <w:kern w:val="21"/>
        </w:rPr>
      </w:pPr>
      <w:r>
        <w:rPr>
          <w:rFonts w:cs="Times New Roman"/>
          <w:color w:val="auto"/>
          <w:kern w:val="21"/>
          <w:sz w:val="28"/>
          <w:szCs w:val="28"/>
        </w:rPr>
        <w:t>3.2.1项目建设内容</w:t>
      </w:r>
    </w:p>
    <w:p>
      <w:pPr>
        <w:adjustRightInd w:val="0"/>
        <w:snapToGrid w:val="0"/>
        <w:spacing w:line="360" w:lineRule="auto"/>
        <w:ind w:firstLine="480" w:firstLineChars="200"/>
        <w:rPr>
          <w:color w:val="auto"/>
          <w:kern w:val="21"/>
          <w:sz w:val="24"/>
        </w:rPr>
      </w:pPr>
      <w:r>
        <w:rPr>
          <w:color w:val="auto"/>
          <w:kern w:val="21"/>
          <w:sz w:val="24"/>
        </w:rPr>
        <w:t>本项目建设内容详细情况见表3.2-1。</w:t>
      </w:r>
    </w:p>
    <w:p>
      <w:pPr>
        <w:adjustRightInd w:val="0"/>
        <w:snapToGrid w:val="0"/>
        <w:jc w:val="center"/>
        <w:rPr>
          <w:rFonts w:eastAsia="黑体"/>
          <w:bCs/>
          <w:color w:val="auto"/>
          <w:kern w:val="21"/>
          <w:sz w:val="24"/>
        </w:rPr>
      </w:pPr>
      <w:r>
        <w:rPr>
          <w:rFonts w:eastAsia="黑体"/>
          <w:bCs/>
          <w:color w:val="auto"/>
          <w:kern w:val="21"/>
          <w:sz w:val="24"/>
        </w:rPr>
        <w:t>表3.2-1  本项目建设内容详细情况一览表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080"/>
        <w:gridCol w:w="1515"/>
        <w:gridCol w:w="3476"/>
        <w:gridCol w:w="17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Align w:val="center"/>
          </w:tcPr>
          <w:p>
            <w:pPr>
              <w:adjustRightInd w:val="0"/>
              <w:snapToGrid w:val="0"/>
              <w:jc w:val="center"/>
              <w:rPr>
                <w:snapToGrid w:val="0"/>
                <w:color w:val="auto"/>
                <w:kern w:val="21"/>
              </w:rPr>
            </w:pPr>
            <w:r>
              <w:rPr>
                <w:snapToGrid w:val="0"/>
                <w:color w:val="auto"/>
                <w:kern w:val="21"/>
              </w:rPr>
              <w:t>序号</w:t>
            </w:r>
          </w:p>
        </w:tc>
        <w:tc>
          <w:tcPr>
            <w:tcW w:w="1080" w:type="dxa"/>
            <w:vAlign w:val="center"/>
          </w:tcPr>
          <w:p>
            <w:pPr>
              <w:adjustRightInd w:val="0"/>
              <w:snapToGrid w:val="0"/>
              <w:jc w:val="center"/>
              <w:rPr>
                <w:snapToGrid w:val="0"/>
                <w:color w:val="auto"/>
                <w:kern w:val="21"/>
              </w:rPr>
            </w:pPr>
            <w:r>
              <w:rPr>
                <w:snapToGrid w:val="0"/>
                <w:color w:val="auto"/>
                <w:kern w:val="21"/>
              </w:rPr>
              <w:t>工程名称</w:t>
            </w:r>
          </w:p>
        </w:tc>
        <w:tc>
          <w:tcPr>
            <w:tcW w:w="1515" w:type="dxa"/>
            <w:vAlign w:val="center"/>
          </w:tcPr>
          <w:p>
            <w:pPr>
              <w:adjustRightInd w:val="0"/>
              <w:snapToGrid w:val="0"/>
              <w:jc w:val="center"/>
              <w:rPr>
                <w:snapToGrid w:val="0"/>
                <w:color w:val="auto"/>
                <w:kern w:val="21"/>
              </w:rPr>
            </w:pPr>
            <w:r>
              <w:rPr>
                <w:snapToGrid w:val="0"/>
                <w:color w:val="auto"/>
                <w:kern w:val="21"/>
              </w:rPr>
              <w:t>主要工程内容</w:t>
            </w:r>
          </w:p>
        </w:tc>
        <w:tc>
          <w:tcPr>
            <w:tcW w:w="5238" w:type="dxa"/>
            <w:gridSpan w:val="2"/>
            <w:vAlign w:val="center"/>
          </w:tcPr>
          <w:p>
            <w:pPr>
              <w:adjustRightInd w:val="0"/>
              <w:snapToGrid w:val="0"/>
              <w:jc w:val="center"/>
              <w:rPr>
                <w:snapToGrid w:val="0"/>
                <w:color w:val="auto"/>
                <w:kern w:val="21"/>
              </w:rPr>
            </w:pPr>
            <w:r>
              <w:rPr>
                <w:snapToGrid w:val="0"/>
                <w:color w:val="auto"/>
                <w:kern w:val="21"/>
              </w:rPr>
              <w:t>建设规模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snapToGrid w:val="0"/>
                <w:color w:val="auto"/>
                <w:kern w:val="21"/>
              </w:rPr>
              <w:t>1</w:t>
            </w:r>
          </w:p>
        </w:tc>
        <w:tc>
          <w:tcPr>
            <w:tcW w:w="1080" w:type="dxa"/>
            <w:vMerge w:val="restart"/>
            <w:vAlign w:val="center"/>
          </w:tcPr>
          <w:p>
            <w:pPr>
              <w:adjustRightInd w:val="0"/>
              <w:snapToGrid w:val="0"/>
              <w:jc w:val="center"/>
              <w:rPr>
                <w:snapToGrid w:val="0"/>
                <w:color w:val="auto"/>
                <w:kern w:val="21"/>
              </w:rPr>
            </w:pPr>
            <w:r>
              <w:rPr>
                <w:snapToGrid w:val="0"/>
                <w:color w:val="auto"/>
                <w:kern w:val="21"/>
              </w:rPr>
              <w:t>主体工程</w:t>
            </w:r>
          </w:p>
        </w:tc>
        <w:tc>
          <w:tcPr>
            <w:tcW w:w="1515" w:type="dxa"/>
            <w:vAlign w:val="center"/>
          </w:tcPr>
          <w:p>
            <w:pPr>
              <w:adjustRightInd w:val="0"/>
              <w:snapToGrid w:val="0"/>
              <w:jc w:val="center"/>
              <w:rPr>
                <w:snapToGrid w:val="0"/>
                <w:color w:val="auto"/>
                <w:kern w:val="21"/>
              </w:rPr>
            </w:pPr>
            <w:r>
              <w:rPr>
                <w:snapToGrid w:val="0"/>
                <w:color w:val="auto"/>
                <w:kern w:val="21"/>
              </w:rPr>
              <w:t>北厂房</w:t>
            </w:r>
          </w:p>
        </w:tc>
        <w:tc>
          <w:tcPr>
            <w:tcW w:w="5238" w:type="dxa"/>
            <w:gridSpan w:val="2"/>
            <w:vAlign w:val="center"/>
          </w:tcPr>
          <w:p>
            <w:pPr>
              <w:adjustRightInd w:val="0"/>
              <w:snapToGrid w:val="0"/>
              <w:rPr>
                <w:snapToGrid w:val="0"/>
                <w:color w:val="auto"/>
                <w:kern w:val="21"/>
              </w:rPr>
            </w:pPr>
            <w:r>
              <w:rPr>
                <w:color w:val="auto"/>
                <w:kern w:val="21"/>
              </w:rPr>
              <w:t>1层建筑，高</w:t>
            </w:r>
            <w:r>
              <w:rPr>
                <w:rFonts w:hint="eastAsia"/>
                <w:color w:val="auto"/>
                <w:kern w:val="21"/>
              </w:rPr>
              <w:t>12</w:t>
            </w:r>
            <w:r>
              <w:rPr>
                <w:color w:val="auto"/>
                <w:kern w:val="21"/>
              </w:rPr>
              <w:t>m，建筑面积为</w:t>
            </w:r>
            <w:r>
              <w:rPr>
                <w:snapToGrid w:val="0"/>
                <w:color w:val="auto"/>
                <w:kern w:val="21"/>
              </w:rPr>
              <w:t>1</w:t>
            </w:r>
            <w:r>
              <w:rPr>
                <w:rFonts w:hint="eastAsia"/>
                <w:snapToGrid w:val="0"/>
                <w:color w:val="auto"/>
                <w:kern w:val="21"/>
              </w:rPr>
              <w:t>3300</w:t>
            </w:r>
            <w:r>
              <w:rPr>
                <w:snapToGrid w:val="0"/>
                <w:color w:val="auto"/>
                <w:kern w:val="21"/>
              </w:rPr>
              <w:t>m</w:t>
            </w:r>
            <w:r>
              <w:rPr>
                <w:snapToGrid w:val="0"/>
                <w:color w:val="auto"/>
                <w:kern w:val="21"/>
                <w:vertAlign w:val="superscript"/>
              </w:rPr>
              <w:t>2</w:t>
            </w:r>
            <w:r>
              <w:rPr>
                <w:color w:val="auto"/>
                <w:kern w:val="21"/>
              </w:rPr>
              <w:t>，内设</w:t>
            </w:r>
            <w:r>
              <w:rPr>
                <w:rFonts w:hint="eastAsia"/>
                <w:color w:val="auto"/>
                <w:kern w:val="21"/>
              </w:rPr>
              <w:t>10条生产线，分别为6条电池壳镀镍线（200万只/天）、3条盖帽镀镍线（400万只/天），1条电池箱镀锌线（6000个/天），两台燃气锅炉位于厂房西侧，酸雾废气治理设施位于生产线西侧。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南厂房</w:t>
            </w:r>
          </w:p>
        </w:tc>
        <w:tc>
          <w:tcPr>
            <w:tcW w:w="5238" w:type="dxa"/>
            <w:gridSpan w:val="2"/>
            <w:vAlign w:val="center"/>
          </w:tcPr>
          <w:p>
            <w:pPr>
              <w:adjustRightInd w:val="0"/>
              <w:snapToGrid w:val="0"/>
              <w:rPr>
                <w:snapToGrid w:val="0"/>
                <w:color w:val="auto"/>
                <w:kern w:val="21"/>
              </w:rPr>
            </w:pPr>
            <w:r>
              <w:rPr>
                <w:rFonts w:hint="eastAsia"/>
                <w:color w:val="auto"/>
                <w:kern w:val="21"/>
              </w:rPr>
              <w:t>1</w:t>
            </w:r>
            <w:r>
              <w:rPr>
                <w:color w:val="auto"/>
                <w:kern w:val="21"/>
              </w:rPr>
              <w:t>层建筑，高</w:t>
            </w:r>
            <w:r>
              <w:rPr>
                <w:rFonts w:hint="eastAsia"/>
                <w:color w:val="auto"/>
                <w:kern w:val="21"/>
              </w:rPr>
              <w:t>12</w:t>
            </w:r>
            <w:r>
              <w:rPr>
                <w:color w:val="auto"/>
                <w:kern w:val="21"/>
              </w:rPr>
              <w:t>m，建筑面积为</w:t>
            </w:r>
            <w:r>
              <w:rPr>
                <w:rFonts w:hint="eastAsia"/>
                <w:snapToGrid w:val="0"/>
                <w:color w:val="auto"/>
                <w:kern w:val="21"/>
              </w:rPr>
              <w:t>7400</w:t>
            </w:r>
            <w:r>
              <w:rPr>
                <w:snapToGrid w:val="0"/>
                <w:color w:val="auto"/>
                <w:kern w:val="21"/>
              </w:rPr>
              <w:t>m</w:t>
            </w:r>
            <w:r>
              <w:rPr>
                <w:snapToGrid w:val="0"/>
                <w:color w:val="auto"/>
                <w:kern w:val="21"/>
                <w:vertAlign w:val="superscript"/>
              </w:rPr>
              <w:t>2</w:t>
            </w:r>
            <w:r>
              <w:rPr>
                <w:color w:val="auto"/>
                <w:kern w:val="21"/>
              </w:rPr>
              <w:t>，用于机加工，内设钢壳冲床区（</w:t>
            </w:r>
            <w:r>
              <w:rPr>
                <w:rFonts w:hint="eastAsia"/>
                <w:color w:val="auto"/>
                <w:kern w:val="21"/>
              </w:rPr>
              <w:t>105台钢壳冲床（11.5万只/天/台）</w:t>
            </w:r>
            <w:r>
              <w:rPr>
                <w:color w:val="auto"/>
                <w:kern w:val="21"/>
              </w:rPr>
              <w:t>）</w:t>
            </w:r>
            <w:r>
              <w:rPr>
                <w:rFonts w:hint="eastAsia"/>
                <w:color w:val="auto"/>
                <w:kern w:val="21"/>
              </w:rPr>
              <w:t>、盖帽冲床区（30台盖帽冲床（40.3万只/天/台</w:t>
            </w:r>
            <w:r>
              <w:rPr>
                <w:color w:val="auto"/>
                <w:kern w:val="21"/>
              </w:rPr>
              <w:t>）</w:t>
            </w:r>
            <w:r>
              <w:rPr>
                <w:rFonts w:hint="eastAsia"/>
                <w:color w:val="auto"/>
                <w:kern w:val="21"/>
              </w:rPr>
              <w:t>）、电池箱加工区（4台数控平开下料机、10台折弯机、20台电焊机）</w:t>
            </w:r>
            <w:r>
              <w:rPr>
                <w:color w:val="auto"/>
                <w:kern w:val="21"/>
              </w:rPr>
              <w:t>、</w:t>
            </w:r>
            <w:r>
              <w:rPr>
                <w:rFonts w:hint="eastAsia"/>
                <w:color w:val="auto"/>
                <w:kern w:val="21"/>
              </w:rPr>
              <w:t>4台模修车床。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Align w:val="center"/>
          </w:tcPr>
          <w:p>
            <w:pPr>
              <w:adjustRightInd w:val="0"/>
              <w:snapToGrid w:val="0"/>
              <w:jc w:val="center"/>
              <w:rPr>
                <w:snapToGrid w:val="0"/>
                <w:color w:val="auto"/>
                <w:kern w:val="21"/>
              </w:rPr>
            </w:pPr>
            <w:r>
              <w:rPr>
                <w:snapToGrid w:val="0"/>
                <w:color w:val="auto"/>
                <w:kern w:val="21"/>
              </w:rPr>
              <w:t>2</w:t>
            </w:r>
          </w:p>
        </w:tc>
        <w:tc>
          <w:tcPr>
            <w:tcW w:w="1080" w:type="dxa"/>
            <w:vAlign w:val="center"/>
          </w:tcPr>
          <w:p>
            <w:pPr>
              <w:adjustRightInd w:val="0"/>
              <w:snapToGrid w:val="0"/>
              <w:jc w:val="center"/>
              <w:rPr>
                <w:snapToGrid w:val="0"/>
                <w:color w:val="auto"/>
                <w:kern w:val="21"/>
              </w:rPr>
            </w:pPr>
            <w:r>
              <w:rPr>
                <w:snapToGrid w:val="0"/>
                <w:color w:val="auto"/>
                <w:kern w:val="21"/>
              </w:rPr>
              <w:t>辅助工程</w:t>
            </w:r>
          </w:p>
        </w:tc>
        <w:tc>
          <w:tcPr>
            <w:tcW w:w="1515" w:type="dxa"/>
            <w:vAlign w:val="center"/>
          </w:tcPr>
          <w:p>
            <w:pPr>
              <w:adjustRightInd w:val="0"/>
              <w:snapToGrid w:val="0"/>
              <w:jc w:val="center"/>
              <w:rPr>
                <w:snapToGrid w:val="0"/>
                <w:color w:val="auto"/>
                <w:kern w:val="21"/>
              </w:rPr>
            </w:pPr>
            <w:r>
              <w:rPr>
                <w:snapToGrid w:val="0"/>
                <w:color w:val="auto"/>
                <w:kern w:val="21"/>
              </w:rPr>
              <w:t>办公楼</w:t>
            </w:r>
          </w:p>
        </w:tc>
        <w:tc>
          <w:tcPr>
            <w:tcW w:w="5238" w:type="dxa"/>
            <w:gridSpan w:val="2"/>
            <w:vAlign w:val="center"/>
          </w:tcPr>
          <w:p>
            <w:pPr>
              <w:adjustRightInd w:val="0"/>
              <w:snapToGrid w:val="0"/>
              <w:rPr>
                <w:color w:val="auto"/>
                <w:kern w:val="21"/>
              </w:rPr>
            </w:pPr>
            <w:r>
              <w:rPr>
                <w:color w:val="auto"/>
                <w:kern w:val="21"/>
              </w:rPr>
              <w:t>依托河南奔茨新能源有限公司现有办公楼，位于生产区的东侧，不提供宿舍及食堂。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3</w:t>
            </w:r>
          </w:p>
        </w:tc>
        <w:tc>
          <w:tcPr>
            <w:tcW w:w="1080" w:type="dxa"/>
            <w:vMerge w:val="restart"/>
            <w:vAlign w:val="center"/>
          </w:tcPr>
          <w:p>
            <w:pPr>
              <w:adjustRightInd w:val="0"/>
              <w:snapToGrid w:val="0"/>
              <w:jc w:val="center"/>
              <w:rPr>
                <w:snapToGrid w:val="0"/>
                <w:color w:val="auto"/>
                <w:kern w:val="21"/>
              </w:rPr>
            </w:pPr>
            <w:r>
              <w:rPr>
                <w:snapToGrid w:val="0"/>
                <w:color w:val="auto"/>
                <w:kern w:val="21"/>
              </w:rPr>
              <w:t>公用工程</w:t>
            </w:r>
          </w:p>
        </w:tc>
        <w:tc>
          <w:tcPr>
            <w:tcW w:w="1515" w:type="dxa"/>
            <w:vAlign w:val="center"/>
          </w:tcPr>
          <w:p>
            <w:pPr>
              <w:adjustRightInd w:val="0"/>
              <w:snapToGrid w:val="0"/>
              <w:jc w:val="center"/>
              <w:rPr>
                <w:snapToGrid w:val="0"/>
                <w:color w:val="auto"/>
                <w:kern w:val="21"/>
              </w:rPr>
            </w:pPr>
            <w:r>
              <w:rPr>
                <w:snapToGrid w:val="0"/>
                <w:color w:val="auto"/>
                <w:kern w:val="21"/>
              </w:rPr>
              <w:t>供热</w:t>
            </w:r>
          </w:p>
        </w:tc>
        <w:tc>
          <w:tcPr>
            <w:tcW w:w="5238" w:type="dxa"/>
            <w:gridSpan w:val="2"/>
            <w:vAlign w:val="center"/>
          </w:tcPr>
          <w:p>
            <w:pPr>
              <w:adjustRightInd w:val="0"/>
              <w:snapToGrid w:val="0"/>
              <w:rPr>
                <w:color w:val="auto"/>
                <w:kern w:val="21"/>
              </w:rPr>
            </w:pPr>
            <w:r>
              <w:rPr>
                <w:color w:val="auto"/>
                <w:kern w:val="21"/>
              </w:rPr>
              <w:t>项目工业供热由</w:t>
            </w:r>
            <w:r>
              <w:rPr>
                <w:rFonts w:hint="eastAsia"/>
                <w:color w:val="auto"/>
                <w:kern w:val="21"/>
              </w:rPr>
              <w:t>1</w:t>
            </w:r>
            <w:r>
              <w:rPr>
                <w:color w:val="auto"/>
                <w:kern w:val="21"/>
              </w:rPr>
              <w:t>台</w:t>
            </w:r>
            <w:r>
              <w:rPr>
                <w:rFonts w:hint="eastAsia"/>
                <w:color w:val="auto"/>
                <w:kern w:val="21"/>
              </w:rPr>
              <w:t>4t/h和1台6t/h燃气锅炉供给。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天然气</w:t>
            </w:r>
          </w:p>
        </w:tc>
        <w:tc>
          <w:tcPr>
            <w:tcW w:w="5238" w:type="dxa"/>
            <w:gridSpan w:val="2"/>
            <w:vAlign w:val="center"/>
          </w:tcPr>
          <w:p>
            <w:pPr>
              <w:adjustRightInd w:val="0"/>
              <w:snapToGrid w:val="0"/>
              <w:rPr>
                <w:color w:val="auto"/>
                <w:kern w:val="21"/>
              </w:rPr>
            </w:pPr>
            <w:r>
              <w:rPr>
                <w:rFonts w:hint="eastAsia"/>
                <w:color w:val="auto"/>
              </w:rPr>
              <w:t>西气东输获嘉分输站。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排水</w:t>
            </w:r>
          </w:p>
        </w:tc>
        <w:tc>
          <w:tcPr>
            <w:tcW w:w="5238" w:type="dxa"/>
            <w:gridSpan w:val="2"/>
            <w:vAlign w:val="center"/>
          </w:tcPr>
          <w:p>
            <w:pPr>
              <w:adjustRightInd w:val="0"/>
              <w:snapToGrid w:val="0"/>
              <w:rPr>
                <w:rFonts w:hint="eastAsia" w:eastAsia="宋体"/>
                <w:color w:val="auto"/>
                <w:kern w:val="21"/>
                <w:lang w:eastAsia="zh-CN"/>
              </w:rPr>
            </w:pPr>
            <w:r>
              <w:rPr>
                <w:rFonts w:hint="eastAsia"/>
                <w:color w:val="auto"/>
                <w:kern w:val="21"/>
              </w:rPr>
              <w:t>所有生产线废水（包含地面清洗废水）经处理后全部回用于生产线，不外排，污染物最终通过污泥及结晶盐形式委外处理，实现含重金属废水零排放。浓水及生活污水排入同盟污水处理厂</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4</w:t>
            </w:r>
          </w:p>
        </w:tc>
        <w:tc>
          <w:tcPr>
            <w:tcW w:w="1080" w:type="dxa"/>
            <w:vMerge w:val="restart"/>
            <w:vAlign w:val="center"/>
          </w:tcPr>
          <w:p>
            <w:pPr>
              <w:adjustRightInd w:val="0"/>
              <w:snapToGrid w:val="0"/>
              <w:jc w:val="center"/>
              <w:rPr>
                <w:snapToGrid w:val="0"/>
                <w:color w:val="auto"/>
                <w:kern w:val="21"/>
              </w:rPr>
            </w:pPr>
            <w:r>
              <w:rPr>
                <w:snapToGrid w:val="0"/>
                <w:color w:val="auto"/>
                <w:kern w:val="21"/>
              </w:rPr>
              <w:t>储运工程</w:t>
            </w:r>
          </w:p>
        </w:tc>
        <w:tc>
          <w:tcPr>
            <w:tcW w:w="1515" w:type="dxa"/>
            <w:vAlign w:val="center"/>
          </w:tcPr>
          <w:p>
            <w:pPr>
              <w:adjustRightInd w:val="0"/>
              <w:snapToGrid w:val="0"/>
              <w:jc w:val="center"/>
              <w:rPr>
                <w:snapToGrid w:val="0"/>
                <w:color w:val="auto"/>
                <w:kern w:val="21"/>
              </w:rPr>
            </w:pPr>
            <w:r>
              <w:rPr>
                <w:snapToGrid w:val="0"/>
                <w:color w:val="auto"/>
                <w:kern w:val="21"/>
              </w:rPr>
              <w:t>原料区</w:t>
            </w:r>
          </w:p>
        </w:tc>
        <w:tc>
          <w:tcPr>
            <w:tcW w:w="5238" w:type="dxa"/>
            <w:gridSpan w:val="2"/>
            <w:vAlign w:val="center"/>
          </w:tcPr>
          <w:p>
            <w:pPr>
              <w:adjustRightInd w:val="0"/>
              <w:snapToGrid w:val="0"/>
              <w:rPr>
                <w:color w:val="auto"/>
                <w:kern w:val="21"/>
              </w:rPr>
            </w:pPr>
            <w:r>
              <w:rPr>
                <w:color w:val="auto"/>
                <w:kern w:val="21"/>
              </w:rPr>
              <w:t>北侧厂房：北侧厂房设置封闭的电镀线原料区（专库），位于车间东部，占地</w:t>
            </w:r>
            <w:r>
              <w:rPr>
                <w:rFonts w:hint="eastAsia"/>
                <w:color w:val="auto"/>
                <w:kern w:val="21"/>
              </w:rPr>
              <w:t>900m</w:t>
            </w:r>
            <w:r>
              <w:rPr>
                <w:rFonts w:hint="eastAsia"/>
                <w:color w:val="auto"/>
                <w:kern w:val="21"/>
                <w:vertAlign w:val="superscript"/>
              </w:rPr>
              <w:t>2</w:t>
            </w:r>
            <w:r>
              <w:rPr>
                <w:rFonts w:hint="eastAsia"/>
                <w:color w:val="auto"/>
                <w:kern w:val="21"/>
              </w:rPr>
              <w:t>，用于储存镍板、锌板、盐酸、硫酸、添加剂等电镀线所需原料。</w:t>
            </w:r>
          </w:p>
          <w:p>
            <w:pPr>
              <w:adjustRightInd w:val="0"/>
              <w:snapToGrid w:val="0"/>
              <w:rPr>
                <w:color w:val="auto"/>
                <w:kern w:val="21"/>
              </w:rPr>
            </w:pPr>
            <w:r>
              <w:rPr>
                <w:color w:val="auto"/>
                <w:kern w:val="21"/>
              </w:rPr>
              <w:t>南侧厂房：南侧厂房南部设置原料储区，占地面积</w:t>
            </w:r>
            <w:r>
              <w:rPr>
                <w:rFonts w:hint="eastAsia"/>
                <w:color w:val="auto"/>
                <w:kern w:val="21"/>
              </w:rPr>
              <w:t>1100m</w:t>
            </w:r>
            <w:r>
              <w:rPr>
                <w:rFonts w:hint="eastAsia"/>
                <w:color w:val="auto"/>
                <w:kern w:val="21"/>
                <w:vertAlign w:val="superscript"/>
              </w:rPr>
              <w:t>2</w:t>
            </w:r>
            <w:r>
              <w:rPr>
                <w:rFonts w:hint="eastAsia"/>
                <w:color w:val="auto"/>
                <w:kern w:val="21"/>
              </w:rPr>
              <w:t>，用于储存带钢。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半成品区</w:t>
            </w:r>
          </w:p>
        </w:tc>
        <w:tc>
          <w:tcPr>
            <w:tcW w:w="5238" w:type="dxa"/>
            <w:gridSpan w:val="2"/>
            <w:vAlign w:val="center"/>
          </w:tcPr>
          <w:p>
            <w:pPr>
              <w:adjustRightInd w:val="0"/>
              <w:snapToGrid w:val="0"/>
              <w:rPr>
                <w:color w:val="auto"/>
                <w:kern w:val="21"/>
              </w:rPr>
            </w:pPr>
            <w:r>
              <w:rPr>
                <w:color w:val="auto"/>
                <w:kern w:val="21"/>
              </w:rPr>
              <w:t>半成品为机加工完成的钢壳、盖帽及电池箱。</w:t>
            </w:r>
          </w:p>
          <w:p>
            <w:pPr>
              <w:adjustRightInd w:val="0"/>
              <w:snapToGrid w:val="0"/>
              <w:rPr>
                <w:color w:val="auto"/>
                <w:kern w:val="21"/>
              </w:rPr>
            </w:pPr>
            <w:r>
              <w:rPr>
                <w:rFonts w:hint="eastAsia"/>
                <w:color w:val="auto"/>
                <w:kern w:val="21"/>
              </w:rPr>
              <w:t>南厂房设置半成品区，占地2000m</w:t>
            </w:r>
            <w:r>
              <w:rPr>
                <w:rFonts w:hint="eastAsia"/>
                <w:color w:val="auto"/>
                <w:kern w:val="21"/>
                <w:vertAlign w:val="superscript"/>
              </w:rPr>
              <w:t>2</w:t>
            </w:r>
            <w:r>
              <w:rPr>
                <w:rFonts w:hint="eastAsia"/>
                <w:color w:val="auto"/>
                <w:kern w:val="21"/>
              </w:rPr>
              <w:t>。电镀线采用架空布置，架空层下可存放待镀的半成品。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成品区</w:t>
            </w:r>
          </w:p>
        </w:tc>
        <w:tc>
          <w:tcPr>
            <w:tcW w:w="5238" w:type="dxa"/>
            <w:gridSpan w:val="2"/>
            <w:vAlign w:val="center"/>
          </w:tcPr>
          <w:p>
            <w:pPr>
              <w:adjustRightInd w:val="0"/>
              <w:snapToGrid w:val="0"/>
              <w:rPr>
                <w:color w:val="auto"/>
                <w:kern w:val="21"/>
              </w:rPr>
            </w:pPr>
            <w:r>
              <w:rPr>
                <w:rFonts w:hint="eastAsia"/>
                <w:color w:val="auto"/>
                <w:kern w:val="21"/>
              </w:rPr>
              <w:t>北厂房设置包装区，布置8台包装机，占地230m</w:t>
            </w:r>
            <w:r>
              <w:rPr>
                <w:rFonts w:hint="eastAsia"/>
                <w:color w:val="auto"/>
                <w:kern w:val="21"/>
                <w:vertAlign w:val="superscript"/>
              </w:rPr>
              <w:t>2</w:t>
            </w:r>
            <w:r>
              <w:rPr>
                <w:rFonts w:hint="eastAsia"/>
                <w:color w:val="auto"/>
                <w:kern w:val="21"/>
              </w:rPr>
              <w:t>。</w:t>
            </w:r>
          </w:p>
          <w:p>
            <w:pPr>
              <w:adjustRightInd w:val="0"/>
              <w:snapToGrid w:val="0"/>
              <w:rPr>
                <w:color w:val="auto"/>
                <w:kern w:val="21"/>
              </w:rPr>
            </w:pPr>
            <w:r>
              <w:rPr>
                <w:color w:val="auto"/>
                <w:kern w:val="21"/>
              </w:rPr>
              <w:t>成品区位于北侧厂房南部，占地</w:t>
            </w:r>
            <w:r>
              <w:rPr>
                <w:rFonts w:hint="eastAsia"/>
                <w:color w:val="auto"/>
                <w:kern w:val="21"/>
              </w:rPr>
              <w:t>2500m</w:t>
            </w:r>
            <w:r>
              <w:rPr>
                <w:rFonts w:hint="eastAsia"/>
                <w:color w:val="auto"/>
                <w:kern w:val="21"/>
                <w:vertAlign w:val="superscript"/>
              </w:rPr>
              <w:t>2</w:t>
            </w:r>
            <w:r>
              <w:rPr>
                <w:rFonts w:hint="eastAsia"/>
                <w:color w:val="auto"/>
                <w:kern w:val="21"/>
              </w:rPr>
              <w:t>；</w:t>
            </w:r>
            <w:r>
              <w:rPr>
                <w:color w:val="auto"/>
                <w:kern w:val="21"/>
              </w:rPr>
              <w:t xml:space="preserve"> </w:t>
            </w:r>
            <w:r>
              <w:rPr>
                <w:rFonts w:hint="eastAsia"/>
                <w:color w:val="auto"/>
                <w:kern w:val="21"/>
              </w:rPr>
              <w:t>电镀线采用架空布置，架空层下可存放电镀成品。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5</w:t>
            </w:r>
          </w:p>
        </w:tc>
        <w:tc>
          <w:tcPr>
            <w:tcW w:w="1080" w:type="dxa"/>
            <w:vMerge w:val="restart"/>
            <w:vAlign w:val="center"/>
          </w:tcPr>
          <w:p>
            <w:pPr>
              <w:adjustRightInd w:val="0"/>
              <w:snapToGrid w:val="0"/>
              <w:jc w:val="center"/>
              <w:rPr>
                <w:snapToGrid w:val="0"/>
                <w:color w:val="auto"/>
                <w:kern w:val="21"/>
              </w:rPr>
            </w:pPr>
            <w:r>
              <w:rPr>
                <w:snapToGrid w:val="0"/>
                <w:color w:val="auto"/>
                <w:kern w:val="21"/>
              </w:rPr>
              <w:t>依托工程</w:t>
            </w:r>
          </w:p>
        </w:tc>
        <w:tc>
          <w:tcPr>
            <w:tcW w:w="1515" w:type="dxa"/>
            <w:vAlign w:val="center"/>
          </w:tcPr>
          <w:p>
            <w:pPr>
              <w:adjustRightInd w:val="0"/>
              <w:snapToGrid w:val="0"/>
              <w:jc w:val="center"/>
              <w:rPr>
                <w:snapToGrid w:val="0"/>
                <w:color w:val="auto"/>
                <w:kern w:val="21"/>
              </w:rPr>
            </w:pPr>
            <w:r>
              <w:rPr>
                <w:snapToGrid w:val="0"/>
                <w:color w:val="auto"/>
                <w:kern w:val="21"/>
              </w:rPr>
              <w:t>配电</w:t>
            </w:r>
          </w:p>
        </w:tc>
        <w:tc>
          <w:tcPr>
            <w:tcW w:w="5238" w:type="dxa"/>
            <w:gridSpan w:val="2"/>
            <w:vAlign w:val="center"/>
          </w:tcPr>
          <w:p>
            <w:pPr>
              <w:adjustRightInd w:val="0"/>
              <w:snapToGrid w:val="0"/>
              <w:rPr>
                <w:color w:val="auto"/>
                <w:kern w:val="21"/>
              </w:rPr>
            </w:pPr>
            <w:r>
              <w:rPr>
                <w:color w:val="auto"/>
                <w:kern w:val="21"/>
              </w:rPr>
              <w:t>项目依托河南奔茨新能源有限公司现有两台变电站，一台</w:t>
            </w:r>
            <w:r>
              <w:rPr>
                <w:rFonts w:hint="eastAsia"/>
                <w:color w:val="auto"/>
                <w:kern w:val="21"/>
              </w:rPr>
              <w:t>1000KVA、</w:t>
            </w:r>
            <w:r>
              <w:rPr>
                <w:color w:val="auto"/>
                <w:kern w:val="21"/>
              </w:rPr>
              <w:t>一台</w:t>
            </w:r>
            <w:r>
              <w:rPr>
                <w:rFonts w:hint="eastAsia"/>
                <w:color w:val="auto"/>
                <w:kern w:val="21"/>
              </w:rPr>
              <w:t>500KVA。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供水</w:t>
            </w:r>
          </w:p>
        </w:tc>
        <w:tc>
          <w:tcPr>
            <w:tcW w:w="5238" w:type="dxa"/>
            <w:gridSpan w:val="2"/>
            <w:vAlign w:val="center"/>
          </w:tcPr>
          <w:p>
            <w:pPr>
              <w:adjustRightInd w:val="0"/>
              <w:snapToGrid w:val="0"/>
              <w:rPr>
                <w:color w:val="auto"/>
                <w:kern w:val="21"/>
              </w:rPr>
            </w:pPr>
            <w:r>
              <w:rPr>
                <w:color w:val="auto"/>
                <w:kern w:val="21"/>
              </w:rPr>
              <w:t>项目供水依托河南奔茨新能源有限公司现有供水管网，由市政供给。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6</w:t>
            </w:r>
          </w:p>
        </w:tc>
        <w:tc>
          <w:tcPr>
            <w:tcW w:w="1080" w:type="dxa"/>
            <w:vMerge w:val="restart"/>
            <w:vAlign w:val="center"/>
          </w:tcPr>
          <w:p>
            <w:pPr>
              <w:adjustRightInd w:val="0"/>
              <w:snapToGrid w:val="0"/>
              <w:jc w:val="center"/>
              <w:rPr>
                <w:snapToGrid w:val="0"/>
                <w:color w:val="auto"/>
                <w:kern w:val="21"/>
              </w:rPr>
            </w:pPr>
            <w:r>
              <w:rPr>
                <w:snapToGrid w:val="0"/>
                <w:color w:val="auto"/>
                <w:kern w:val="21"/>
              </w:rPr>
              <w:t>环保工程</w:t>
            </w:r>
          </w:p>
        </w:tc>
        <w:tc>
          <w:tcPr>
            <w:tcW w:w="1515" w:type="dxa"/>
            <w:vAlign w:val="center"/>
          </w:tcPr>
          <w:p>
            <w:pPr>
              <w:adjustRightInd w:val="0"/>
              <w:snapToGrid w:val="0"/>
              <w:jc w:val="center"/>
              <w:rPr>
                <w:snapToGrid w:val="0"/>
                <w:color w:val="auto"/>
                <w:kern w:val="21"/>
              </w:rPr>
            </w:pPr>
            <w:r>
              <w:rPr>
                <w:rFonts w:hint="eastAsia"/>
                <w:snapToGrid w:val="0"/>
                <w:color w:val="auto"/>
                <w:kern w:val="21"/>
              </w:rPr>
              <w:t>废气</w:t>
            </w:r>
          </w:p>
        </w:tc>
        <w:tc>
          <w:tcPr>
            <w:tcW w:w="5238" w:type="dxa"/>
            <w:gridSpan w:val="2"/>
            <w:vAlign w:val="center"/>
          </w:tcPr>
          <w:p>
            <w:pPr>
              <w:adjustRightInd w:val="0"/>
              <w:snapToGrid w:val="0"/>
              <w:rPr>
                <w:color w:val="auto"/>
                <w:kern w:val="21"/>
              </w:rPr>
            </w:pPr>
            <w:r>
              <w:rPr>
                <w:rFonts w:hint="eastAsia"/>
                <w:color w:val="auto"/>
                <w:lang w:eastAsia="zh-CN"/>
              </w:rPr>
              <w:t>生产线</w:t>
            </w:r>
            <w:r>
              <w:rPr>
                <w:rFonts w:hint="eastAsia"/>
                <w:color w:val="auto"/>
              </w:rPr>
              <w:t>酸雾采用</w:t>
            </w:r>
            <w:r>
              <w:rPr>
                <w:color w:val="auto"/>
              </w:rPr>
              <w:t>密闭生产线</w:t>
            </w:r>
            <w:r>
              <w:rPr>
                <w:rFonts w:hint="eastAsia"/>
                <w:color w:val="auto"/>
              </w:rPr>
              <w:t>+顶吸罩</w:t>
            </w:r>
            <w:r>
              <w:rPr>
                <w:color w:val="auto"/>
              </w:rPr>
              <w:t>+</w:t>
            </w:r>
            <w:r>
              <w:rPr>
                <w:rFonts w:hint="eastAsia"/>
                <w:color w:val="auto"/>
              </w:rPr>
              <w:t>槽边双侧抽风</w:t>
            </w:r>
            <w:r>
              <w:rPr>
                <w:rFonts w:hint="eastAsia"/>
                <w:color w:val="auto"/>
                <w:lang w:eastAsia="zh-CN"/>
              </w:rPr>
              <w:t>收集，酸储罐酸雾采用集气罩收集，收集的酸雾经</w:t>
            </w:r>
            <w:r>
              <w:rPr>
                <w:rFonts w:hint="eastAsia"/>
                <w:color w:val="auto"/>
              </w:rPr>
              <w:t>二级碱液喷淋中和塔处理后由15m</w:t>
            </w:r>
            <w:r>
              <w:rPr>
                <w:rFonts w:hint="eastAsia"/>
                <w:color w:val="auto"/>
                <w:lang w:eastAsia="zh-CN"/>
              </w:rPr>
              <w:t>高</w:t>
            </w:r>
            <w:r>
              <w:rPr>
                <w:rFonts w:hint="eastAsia"/>
                <w:color w:val="auto"/>
              </w:rPr>
              <w:t>排气筒排放；燃气锅炉采用低氮燃烧器+烟气再循环；焊接烟尘采用袋式除尘器处理后由15m</w:t>
            </w:r>
            <w:r>
              <w:rPr>
                <w:rFonts w:hint="eastAsia"/>
                <w:color w:val="auto"/>
                <w:lang w:eastAsia="zh-CN"/>
              </w:rPr>
              <w:t>高</w:t>
            </w:r>
            <w:r>
              <w:rPr>
                <w:rFonts w:hint="eastAsia"/>
                <w:color w:val="auto"/>
              </w:rPr>
              <w:t>排气筒排放；污水站恶臭采用生物除臭处理后由15m</w:t>
            </w:r>
            <w:r>
              <w:rPr>
                <w:rFonts w:hint="eastAsia"/>
                <w:color w:val="auto"/>
                <w:lang w:eastAsia="zh-CN"/>
              </w:rPr>
              <w:t>高</w:t>
            </w:r>
            <w:r>
              <w:rPr>
                <w:rFonts w:hint="eastAsia"/>
                <w:color w:val="auto"/>
              </w:rPr>
              <w:t>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restart"/>
            <w:vAlign w:val="center"/>
          </w:tcPr>
          <w:p>
            <w:pPr>
              <w:adjustRightInd w:val="0"/>
              <w:snapToGrid w:val="0"/>
              <w:jc w:val="center"/>
              <w:rPr>
                <w:snapToGrid w:val="0"/>
                <w:color w:val="auto"/>
                <w:kern w:val="21"/>
              </w:rPr>
            </w:pPr>
            <w:r>
              <w:rPr>
                <w:rFonts w:hint="eastAsia"/>
                <w:snapToGrid w:val="0"/>
                <w:color w:val="auto"/>
                <w:kern w:val="21"/>
              </w:rPr>
              <w:t>废水</w:t>
            </w:r>
          </w:p>
        </w:tc>
        <w:tc>
          <w:tcPr>
            <w:tcW w:w="3476" w:type="dxa"/>
            <w:vAlign w:val="center"/>
          </w:tcPr>
          <w:p>
            <w:pPr>
              <w:adjustRightInd w:val="0"/>
              <w:snapToGrid w:val="0"/>
              <w:rPr>
                <w:color w:val="auto"/>
              </w:rPr>
            </w:pPr>
            <w:r>
              <w:rPr>
                <w:rFonts w:hint="eastAsia"/>
                <w:color w:val="auto"/>
              </w:rPr>
              <w:t>含镍废水预处理系统：pH调节→混凝沉淀→回调→多介质过滤</w:t>
            </w:r>
          </w:p>
        </w:tc>
        <w:tc>
          <w:tcPr>
            <w:tcW w:w="1762" w:type="dxa"/>
            <w:vMerge w:val="restart"/>
            <w:vAlign w:val="center"/>
          </w:tcPr>
          <w:p>
            <w:pPr>
              <w:adjustRightInd w:val="0"/>
              <w:snapToGrid w:val="0"/>
              <w:rPr>
                <w:color w:val="auto"/>
              </w:rPr>
            </w:pPr>
            <w:r>
              <w:rPr>
                <w:rFonts w:hint="eastAsia"/>
                <w:color w:val="auto"/>
              </w:rPr>
              <w:t>零排放处理系统：A</w:t>
            </w:r>
            <w:r>
              <w:rPr>
                <w:rFonts w:hint="eastAsia"/>
                <w:color w:val="auto"/>
                <w:vertAlign w:val="superscript"/>
              </w:rPr>
              <w:t>2</w:t>
            </w:r>
            <w:r>
              <w:rPr>
                <w:color w:val="auto"/>
              </w:rPr>
              <w:t>/O</w:t>
            </w:r>
            <w:r>
              <w:rPr>
                <w:rFonts w:hint="eastAsia"/>
                <w:color w:val="auto"/>
              </w:rPr>
              <w:t>→</w:t>
            </w:r>
            <w:r>
              <w:rPr>
                <w:color w:val="auto"/>
              </w:rPr>
              <w:t>MBR</w:t>
            </w:r>
            <w:r>
              <w:rPr>
                <w:rFonts w:hint="eastAsia"/>
                <w:color w:val="auto"/>
              </w:rPr>
              <w:t>→两级E</w:t>
            </w:r>
            <w:r>
              <w:rPr>
                <w:color w:val="auto"/>
              </w:rPr>
              <w:t>CRO</w:t>
            </w:r>
            <w:r>
              <w:rPr>
                <w:rFonts w:hint="eastAsia"/>
                <w:color w:val="auto"/>
              </w:rPr>
              <w:t>→</w:t>
            </w:r>
            <w:r>
              <w:rPr>
                <w:color w:val="auto"/>
              </w:rPr>
              <w:t>DTRO</w:t>
            </w:r>
            <w:r>
              <w:rPr>
                <w:rFonts w:hint="eastAsia"/>
                <w:color w:val="auto"/>
              </w:rPr>
              <w:t>→二级RO→MVR蒸发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3476" w:type="dxa"/>
            <w:vAlign w:val="center"/>
          </w:tcPr>
          <w:p>
            <w:pPr>
              <w:adjustRightInd w:val="0"/>
              <w:snapToGrid w:val="0"/>
              <w:rPr>
                <w:color w:val="auto"/>
              </w:rPr>
            </w:pPr>
            <w:r>
              <w:rPr>
                <w:rFonts w:hint="eastAsia"/>
                <w:color w:val="auto"/>
              </w:rPr>
              <w:t>含锌废水预处理系统：pH调节→混凝沉淀→回调→多介质过滤</w:t>
            </w:r>
          </w:p>
        </w:tc>
        <w:tc>
          <w:tcPr>
            <w:tcW w:w="1762"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3476" w:type="dxa"/>
            <w:vAlign w:val="center"/>
          </w:tcPr>
          <w:p>
            <w:pPr>
              <w:adjustRightInd w:val="0"/>
              <w:snapToGrid w:val="0"/>
              <w:rPr>
                <w:color w:val="auto"/>
              </w:rPr>
            </w:pPr>
            <w:r>
              <w:rPr>
                <w:rFonts w:hint="eastAsia"/>
                <w:color w:val="auto"/>
              </w:rPr>
              <w:t>含铬废水预处理系统：还原→pH调节→混凝沉淀→回调→多介质过滤</w:t>
            </w:r>
          </w:p>
        </w:tc>
        <w:tc>
          <w:tcPr>
            <w:tcW w:w="1762"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3476" w:type="dxa"/>
            <w:vAlign w:val="center"/>
          </w:tcPr>
          <w:p>
            <w:pPr>
              <w:adjustRightInd w:val="0"/>
              <w:snapToGrid w:val="0"/>
              <w:rPr>
                <w:color w:val="auto"/>
              </w:rPr>
            </w:pPr>
            <w:r>
              <w:rPr>
                <w:rFonts w:hint="eastAsia"/>
                <w:color w:val="auto"/>
              </w:rPr>
              <w:t>含油废水预处理系统：</w:t>
            </w:r>
            <w:r>
              <w:rPr>
                <w:color w:val="auto"/>
              </w:rPr>
              <w:t>破乳</w:t>
            </w:r>
            <w:r>
              <w:rPr>
                <w:rFonts w:hint="eastAsia"/>
                <w:color w:val="auto"/>
              </w:rPr>
              <w:t>→</w:t>
            </w:r>
            <w:r>
              <w:rPr>
                <w:color w:val="auto"/>
              </w:rPr>
              <w:t>pH调节</w:t>
            </w:r>
            <w:r>
              <w:rPr>
                <w:rFonts w:hint="eastAsia"/>
                <w:color w:val="auto"/>
              </w:rPr>
              <w:t>→混凝→气浮</w:t>
            </w:r>
          </w:p>
        </w:tc>
        <w:tc>
          <w:tcPr>
            <w:tcW w:w="1762"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3476" w:type="dxa"/>
            <w:vAlign w:val="center"/>
          </w:tcPr>
          <w:p>
            <w:pPr>
              <w:adjustRightInd w:val="0"/>
              <w:snapToGrid w:val="0"/>
              <w:rPr>
                <w:color w:val="auto"/>
              </w:rPr>
            </w:pPr>
            <w:r>
              <w:rPr>
                <w:rFonts w:hint="eastAsia"/>
                <w:color w:val="auto"/>
              </w:rPr>
              <w:t>酸性废水预处理系统：pH调节→混凝沉淀→回调→多介质过滤</w:t>
            </w:r>
          </w:p>
        </w:tc>
        <w:tc>
          <w:tcPr>
            <w:tcW w:w="1762"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3476" w:type="dxa"/>
            <w:vAlign w:val="center"/>
          </w:tcPr>
          <w:p>
            <w:pPr>
              <w:adjustRightInd w:val="0"/>
              <w:snapToGrid w:val="0"/>
              <w:rPr>
                <w:color w:val="auto"/>
              </w:rPr>
            </w:pPr>
            <w:r>
              <w:rPr>
                <w:rFonts w:hint="eastAsia"/>
                <w:color w:val="auto"/>
              </w:rPr>
              <w:t>地面废水预处理系统：氧化→pH调节→混凝沉淀→还原→混凝沉淀→回调→多介质过滤</w:t>
            </w:r>
          </w:p>
        </w:tc>
        <w:tc>
          <w:tcPr>
            <w:tcW w:w="1762"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rFonts w:hint="eastAsia"/>
                <w:snapToGrid w:val="0"/>
                <w:color w:val="auto"/>
                <w:kern w:val="21"/>
              </w:rPr>
              <w:t>噪声</w:t>
            </w:r>
          </w:p>
        </w:tc>
        <w:tc>
          <w:tcPr>
            <w:tcW w:w="5238" w:type="dxa"/>
            <w:gridSpan w:val="2"/>
            <w:vAlign w:val="center"/>
          </w:tcPr>
          <w:p>
            <w:pPr>
              <w:adjustRightInd w:val="0"/>
              <w:snapToGrid w:val="0"/>
              <w:rPr>
                <w:color w:val="auto"/>
                <w:kern w:val="21"/>
              </w:rPr>
            </w:pPr>
            <w:r>
              <w:rPr>
                <w:rFonts w:hint="eastAsia"/>
                <w:color w:val="auto"/>
                <w:kern w:val="21"/>
              </w:rPr>
              <w:t>设备减震、厂房隔声。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rFonts w:hint="eastAsia"/>
                <w:snapToGrid w:val="0"/>
                <w:color w:val="auto"/>
                <w:kern w:val="21"/>
              </w:rPr>
              <w:t>固废</w:t>
            </w:r>
          </w:p>
        </w:tc>
        <w:tc>
          <w:tcPr>
            <w:tcW w:w="5238" w:type="dxa"/>
            <w:gridSpan w:val="2"/>
            <w:vAlign w:val="center"/>
          </w:tcPr>
          <w:p>
            <w:pPr>
              <w:adjustRightInd w:val="0"/>
              <w:snapToGrid w:val="0"/>
              <w:rPr>
                <w:color w:val="auto"/>
                <w:kern w:val="21"/>
              </w:rPr>
            </w:pPr>
            <w:r>
              <w:rPr>
                <w:rFonts w:hint="eastAsia"/>
                <w:color w:val="auto"/>
                <w:kern w:val="21"/>
              </w:rPr>
              <w:t>设置</w:t>
            </w:r>
            <w:r>
              <w:rPr>
                <w:rFonts w:hint="eastAsia"/>
                <w:color w:val="auto"/>
                <w:kern w:val="21"/>
                <w:lang w:val="en-US" w:eastAsia="zh-CN"/>
              </w:rPr>
              <w:t>1座</w:t>
            </w:r>
            <w:r>
              <w:rPr>
                <w:rFonts w:hint="eastAsia"/>
                <w:color w:val="auto"/>
                <w:kern w:val="21"/>
              </w:rPr>
              <w:t>一般固废暂存间300m</w:t>
            </w:r>
            <w:r>
              <w:rPr>
                <w:rFonts w:hint="eastAsia"/>
                <w:color w:val="auto"/>
                <w:kern w:val="21"/>
                <w:vertAlign w:val="superscript"/>
              </w:rPr>
              <w:t>2</w:t>
            </w:r>
            <w:r>
              <w:rPr>
                <w:rFonts w:hint="eastAsia"/>
                <w:color w:val="auto"/>
                <w:kern w:val="21"/>
              </w:rPr>
              <w:t>，</w:t>
            </w:r>
            <w:r>
              <w:rPr>
                <w:rFonts w:hint="eastAsia"/>
                <w:color w:val="auto"/>
                <w:kern w:val="21"/>
                <w:lang w:val="en-US" w:eastAsia="zh-CN"/>
              </w:rPr>
              <w:t>1座</w:t>
            </w:r>
            <w:r>
              <w:rPr>
                <w:rFonts w:hint="eastAsia"/>
                <w:color w:val="auto"/>
                <w:kern w:val="21"/>
              </w:rPr>
              <w:t>危险固废暂存间150m</w:t>
            </w:r>
            <w:r>
              <w:rPr>
                <w:rFonts w:hint="eastAsia"/>
                <w:color w:val="auto"/>
                <w:kern w:val="21"/>
                <w:vertAlign w:val="superscript"/>
              </w:rPr>
              <w:t>2</w:t>
            </w:r>
            <w:r>
              <w:rPr>
                <w:rFonts w:hint="eastAsia"/>
                <w:color w:val="auto"/>
                <w:kern w:val="21"/>
              </w:rPr>
              <w:t>。</w:t>
            </w:r>
          </w:p>
        </w:tc>
      </w:tr>
    </w:tbl>
    <w:p>
      <w:pPr>
        <w:rPr>
          <w:b/>
          <w:color w:val="auto"/>
          <w:kern w:val="21"/>
        </w:rPr>
      </w:pPr>
    </w:p>
    <w:p>
      <w:pPr>
        <w:pStyle w:val="271"/>
        <w:keepNext w:val="0"/>
        <w:keepLines w:val="0"/>
        <w:snapToGrid w:val="0"/>
        <w:spacing w:before="0" w:beforeLines="0" w:after="0" w:afterLines="0"/>
        <w:rPr>
          <w:rFonts w:cs="Times New Roman"/>
          <w:color w:val="auto"/>
          <w:kern w:val="21"/>
        </w:rPr>
      </w:pPr>
      <w:r>
        <w:rPr>
          <w:rFonts w:cs="Times New Roman"/>
          <w:color w:val="auto"/>
          <w:kern w:val="21"/>
          <w:sz w:val="28"/>
          <w:szCs w:val="28"/>
        </w:rPr>
        <w:t>3.2.2项目产品方案</w:t>
      </w:r>
    </w:p>
    <w:p>
      <w:pPr>
        <w:adjustRightInd w:val="0"/>
        <w:snapToGrid w:val="0"/>
        <w:jc w:val="center"/>
        <w:rPr>
          <w:rFonts w:eastAsia="黑体"/>
          <w:bCs/>
          <w:color w:val="auto"/>
          <w:kern w:val="21"/>
          <w:sz w:val="24"/>
        </w:rPr>
      </w:pPr>
      <w:bookmarkStart w:id="173" w:name="_Toc30856"/>
      <w:r>
        <w:rPr>
          <w:rFonts w:eastAsia="黑体"/>
          <w:bCs/>
          <w:color w:val="auto"/>
          <w:kern w:val="21"/>
          <w:sz w:val="24"/>
        </w:rPr>
        <w:t>表3.2-2  本项目产品方案</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276"/>
        <w:gridCol w:w="1418"/>
        <w:gridCol w:w="1275"/>
        <w:gridCol w:w="1834"/>
        <w:gridCol w:w="2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6" w:type="dxa"/>
            <w:vAlign w:val="center"/>
          </w:tcPr>
          <w:p>
            <w:pPr>
              <w:adjustRightInd w:val="0"/>
              <w:snapToGrid w:val="0"/>
              <w:jc w:val="center"/>
              <w:textAlignment w:val="baseline"/>
              <w:rPr>
                <w:b/>
                <w:bCs/>
                <w:color w:val="auto"/>
                <w:kern w:val="21"/>
              </w:rPr>
            </w:pPr>
            <w:r>
              <w:rPr>
                <w:b/>
                <w:bCs/>
                <w:color w:val="auto"/>
                <w:kern w:val="21"/>
              </w:rPr>
              <w:t>序号</w:t>
            </w:r>
          </w:p>
        </w:tc>
        <w:tc>
          <w:tcPr>
            <w:tcW w:w="1276" w:type="dxa"/>
            <w:vAlign w:val="center"/>
          </w:tcPr>
          <w:p>
            <w:pPr>
              <w:adjustRightInd w:val="0"/>
              <w:snapToGrid w:val="0"/>
              <w:jc w:val="center"/>
              <w:textAlignment w:val="baseline"/>
              <w:rPr>
                <w:b/>
                <w:bCs/>
                <w:color w:val="auto"/>
                <w:kern w:val="21"/>
              </w:rPr>
            </w:pPr>
            <w:r>
              <w:rPr>
                <w:b/>
                <w:bCs/>
                <w:color w:val="auto"/>
                <w:kern w:val="21"/>
              </w:rPr>
              <w:t>产品名称</w:t>
            </w:r>
          </w:p>
        </w:tc>
        <w:tc>
          <w:tcPr>
            <w:tcW w:w="1418" w:type="dxa"/>
            <w:vAlign w:val="center"/>
          </w:tcPr>
          <w:p>
            <w:pPr>
              <w:adjustRightInd w:val="0"/>
              <w:snapToGrid w:val="0"/>
              <w:jc w:val="center"/>
              <w:textAlignment w:val="baseline"/>
              <w:rPr>
                <w:b/>
                <w:bCs/>
                <w:color w:val="auto"/>
                <w:kern w:val="21"/>
              </w:rPr>
            </w:pPr>
            <w:r>
              <w:rPr>
                <w:b/>
                <w:bCs/>
                <w:color w:val="auto"/>
                <w:kern w:val="21"/>
              </w:rPr>
              <w:t>产能</w:t>
            </w:r>
          </w:p>
        </w:tc>
        <w:tc>
          <w:tcPr>
            <w:tcW w:w="1275" w:type="dxa"/>
            <w:vAlign w:val="center"/>
          </w:tcPr>
          <w:p>
            <w:pPr>
              <w:adjustRightInd w:val="0"/>
              <w:snapToGrid w:val="0"/>
              <w:jc w:val="center"/>
              <w:textAlignment w:val="baseline"/>
              <w:rPr>
                <w:b/>
                <w:bCs/>
                <w:color w:val="auto"/>
                <w:kern w:val="21"/>
              </w:rPr>
            </w:pPr>
            <w:r>
              <w:rPr>
                <w:b/>
                <w:bCs/>
                <w:color w:val="auto"/>
                <w:kern w:val="21"/>
              </w:rPr>
              <w:t>单位</w:t>
            </w:r>
          </w:p>
        </w:tc>
        <w:tc>
          <w:tcPr>
            <w:tcW w:w="1834" w:type="dxa"/>
            <w:vAlign w:val="center"/>
          </w:tcPr>
          <w:p>
            <w:pPr>
              <w:adjustRightInd w:val="0"/>
              <w:snapToGrid w:val="0"/>
              <w:jc w:val="center"/>
              <w:textAlignment w:val="baseline"/>
              <w:rPr>
                <w:b/>
                <w:bCs/>
                <w:color w:val="auto"/>
                <w:kern w:val="21"/>
              </w:rPr>
            </w:pPr>
            <w:r>
              <w:rPr>
                <w:b/>
                <w:bCs/>
                <w:color w:val="auto"/>
                <w:kern w:val="21"/>
              </w:rPr>
              <w:t>规格</w:t>
            </w:r>
          </w:p>
        </w:tc>
        <w:tc>
          <w:tcPr>
            <w:tcW w:w="2035" w:type="dxa"/>
            <w:vAlign w:val="center"/>
          </w:tcPr>
          <w:p>
            <w:pPr>
              <w:adjustRightInd w:val="0"/>
              <w:snapToGrid w:val="0"/>
              <w:jc w:val="center"/>
              <w:textAlignment w:val="baseline"/>
              <w:rPr>
                <w:b/>
                <w:bCs/>
                <w:color w:val="auto"/>
                <w:kern w:val="21"/>
              </w:rPr>
            </w:pPr>
            <w:r>
              <w:rPr>
                <w:b/>
                <w:bCs/>
                <w:color w:val="auto"/>
                <w:kern w:val="21"/>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6" w:type="dxa"/>
            <w:vAlign w:val="center"/>
          </w:tcPr>
          <w:p>
            <w:pPr>
              <w:adjustRightInd w:val="0"/>
              <w:snapToGrid w:val="0"/>
              <w:jc w:val="center"/>
              <w:textAlignment w:val="baseline"/>
              <w:rPr>
                <w:color w:val="auto"/>
                <w:kern w:val="21"/>
              </w:rPr>
            </w:pPr>
            <w:r>
              <w:rPr>
                <w:color w:val="auto"/>
                <w:kern w:val="21"/>
              </w:rPr>
              <w:t>1</w:t>
            </w:r>
          </w:p>
        </w:tc>
        <w:tc>
          <w:tcPr>
            <w:tcW w:w="1276" w:type="dxa"/>
            <w:vAlign w:val="center"/>
          </w:tcPr>
          <w:p>
            <w:pPr>
              <w:adjustRightInd w:val="0"/>
              <w:snapToGrid w:val="0"/>
              <w:jc w:val="center"/>
              <w:textAlignment w:val="baseline"/>
              <w:rPr>
                <w:color w:val="auto"/>
                <w:kern w:val="21"/>
              </w:rPr>
            </w:pPr>
            <w:r>
              <w:rPr>
                <w:rFonts w:hint="eastAsia"/>
                <w:color w:val="auto"/>
                <w:kern w:val="21"/>
                <w:lang w:eastAsia="zh-CN"/>
              </w:rPr>
              <w:t>锂电池</w:t>
            </w:r>
            <w:r>
              <w:rPr>
                <w:color w:val="auto"/>
                <w:kern w:val="21"/>
              </w:rPr>
              <w:t>钢壳</w:t>
            </w:r>
          </w:p>
        </w:tc>
        <w:tc>
          <w:tcPr>
            <w:tcW w:w="1418" w:type="dxa"/>
            <w:vAlign w:val="center"/>
          </w:tcPr>
          <w:p>
            <w:pPr>
              <w:adjustRightInd w:val="0"/>
              <w:snapToGrid w:val="0"/>
              <w:jc w:val="center"/>
              <w:textAlignment w:val="baseline"/>
              <w:rPr>
                <w:color w:val="auto"/>
                <w:kern w:val="21"/>
              </w:rPr>
            </w:pPr>
            <w:r>
              <w:rPr>
                <w:rFonts w:hint="eastAsia"/>
                <w:color w:val="auto"/>
                <w:kern w:val="21"/>
              </w:rPr>
              <w:t>39.6</w:t>
            </w:r>
          </w:p>
        </w:tc>
        <w:tc>
          <w:tcPr>
            <w:tcW w:w="1275" w:type="dxa"/>
            <w:vAlign w:val="center"/>
          </w:tcPr>
          <w:p>
            <w:pPr>
              <w:adjustRightInd w:val="0"/>
              <w:snapToGrid w:val="0"/>
              <w:jc w:val="center"/>
              <w:textAlignment w:val="baseline"/>
              <w:rPr>
                <w:color w:val="auto"/>
                <w:kern w:val="21"/>
              </w:rPr>
            </w:pPr>
            <w:r>
              <w:rPr>
                <w:color w:val="auto"/>
                <w:kern w:val="21"/>
              </w:rPr>
              <w:t>亿只</w:t>
            </w:r>
            <w:r>
              <w:rPr>
                <w:rFonts w:hint="eastAsia"/>
                <w:color w:val="auto"/>
                <w:kern w:val="21"/>
              </w:rPr>
              <w:t>/年</w:t>
            </w:r>
          </w:p>
        </w:tc>
        <w:tc>
          <w:tcPr>
            <w:tcW w:w="1834" w:type="dxa"/>
            <w:vAlign w:val="center"/>
          </w:tcPr>
          <w:p>
            <w:pPr>
              <w:adjustRightInd w:val="0"/>
              <w:snapToGrid w:val="0"/>
              <w:jc w:val="center"/>
              <w:textAlignment w:val="baseline"/>
              <w:rPr>
                <w:color w:val="auto"/>
                <w:kern w:val="21"/>
              </w:rPr>
            </w:pPr>
            <w:r>
              <w:rPr>
                <w:color w:val="auto"/>
                <w:kern w:val="21"/>
              </w:rPr>
              <w:t>φ</w:t>
            </w:r>
            <w:r>
              <w:rPr>
                <w:rFonts w:hint="eastAsia"/>
                <w:color w:val="auto"/>
                <w:kern w:val="21"/>
              </w:rPr>
              <w:t>18*65mm</w:t>
            </w:r>
          </w:p>
        </w:tc>
        <w:tc>
          <w:tcPr>
            <w:tcW w:w="2035" w:type="dxa"/>
            <w:vAlign w:val="center"/>
          </w:tcPr>
          <w:p>
            <w:pPr>
              <w:adjustRightInd w:val="0"/>
              <w:snapToGrid w:val="0"/>
              <w:jc w:val="center"/>
              <w:textAlignment w:val="baseline"/>
              <w:rPr>
                <w:color w:val="auto"/>
                <w:kern w:val="21"/>
              </w:rPr>
            </w:pPr>
            <w:r>
              <w:rPr>
                <w:rFonts w:hint="eastAsia"/>
                <w:color w:val="auto"/>
                <w:kern w:val="21"/>
              </w:rPr>
              <w:t>18650型锂电池钢壳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66" w:type="dxa"/>
            <w:vAlign w:val="center"/>
          </w:tcPr>
          <w:p>
            <w:pPr>
              <w:adjustRightInd w:val="0"/>
              <w:snapToGrid w:val="0"/>
              <w:jc w:val="center"/>
              <w:textAlignment w:val="baseline"/>
              <w:rPr>
                <w:color w:val="auto"/>
                <w:kern w:val="21"/>
              </w:rPr>
            </w:pPr>
            <w:r>
              <w:rPr>
                <w:rFonts w:hint="eastAsia"/>
                <w:color w:val="auto"/>
                <w:kern w:val="21"/>
              </w:rPr>
              <w:t>2</w:t>
            </w:r>
          </w:p>
        </w:tc>
        <w:tc>
          <w:tcPr>
            <w:tcW w:w="1276" w:type="dxa"/>
            <w:vAlign w:val="center"/>
          </w:tcPr>
          <w:p>
            <w:pPr>
              <w:adjustRightInd w:val="0"/>
              <w:snapToGrid w:val="0"/>
              <w:jc w:val="center"/>
              <w:textAlignment w:val="baseline"/>
              <w:rPr>
                <w:color w:val="auto"/>
                <w:kern w:val="21"/>
              </w:rPr>
            </w:pPr>
            <w:r>
              <w:rPr>
                <w:rFonts w:hint="eastAsia"/>
                <w:color w:val="auto"/>
                <w:kern w:val="21"/>
                <w:lang w:eastAsia="zh-CN"/>
              </w:rPr>
              <w:t>锂电池</w:t>
            </w:r>
            <w:r>
              <w:rPr>
                <w:color w:val="auto"/>
                <w:kern w:val="21"/>
              </w:rPr>
              <w:t>盖帽</w:t>
            </w:r>
          </w:p>
        </w:tc>
        <w:tc>
          <w:tcPr>
            <w:tcW w:w="1418" w:type="dxa"/>
            <w:vAlign w:val="center"/>
          </w:tcPr>
          <w:p>
            <w:pPr>
              <w:adjustRightInd w:val="0"/>
              <w:snapToGrid w:val="0"/>
              <w:jc w:val="center"/>
              <w:textAlignment w:val="baseline"/>
              <w:rPr>
                <w:color w:val="auto"/>
                <w:kern w:val="21"/>
              </w:rPr>
            </w:pPr>
            <w:r>
              <w:rPr>
                <w:rFonts w:hint="eastAsia"/>
                <w:color w:val="auto"/>
                <w:kern w:val="21"/>
              </w:rPr>
              <w:t>39.6</w:t>
            </w:r>
          </w:p>
        </w:tc>
        <w:tc>
          <w:tcPr>
            <w:tcW w:w="1275" w:type="dxa"/>
            <w:vAlign w:val="center"/>
          </w:tcPr>
          <w:p>
            <w:pPr>
              <w:adjustRightInd w:val="0"/>
              <w:snapToGrid w:val="0"/>
              <w:jc w:val="center"/>
              <w:textAlignment w:val="baseline"/>
              <w:rPr>
                <w:color w:val="auto"/>
                <w:kern w:val="21"/>
              </w:rPr>
            </w:pPr>
            <w:r>
              <w:rPr>
                <w:color w:val="auto"/>
                <w:kern w:val="21"/>
              </w:rPr>
              <w:t>亿只</w:t>
            </w:r>
            <w:r>
              <w:rPr>
                <w:rFonts w:hint="eastAsia"/>
                <w:color w:val="auto"/>
                <w:kern w:val="21"/>
              </w:rPr>
              <w:t>/年</w:t>
            </w:r>
          </w:p>
        </w:tc>
        <w:tc>
          <w:tcPr>
            <w:tcW w:w="1834" w:type="dxa"/>
            <w:vAlign w:val="center"/>
          </w:tcPr>
          <w:p>
            <w:pPr>
              <w:adjustRightInd w:val="0"/>
              <w:snapToGrid w:val="0"/>
              <w:jc w:val="center"/>
              <w:textAlignment w:val="baseline"/>
              <w:rPr>
                <w:color w:val="auto"/>
                <w:kern w:val="21"/>
              </w:rPr>
            </w:pPr>
            <w:r>
              <w:rPr>
                <w:color w:val="auto"/>
                <w:kern w:val="21"/>
              </w:rPr>
              <w:t>φ</w:t>
            </w:r>
            <w:r>
              <w:rPr>
                <w:rFonts w:hint="eastAsia"/>
                <w:color w:val="auto"/>
                <w:kern w:val="21"/>
              </w:rPr>
              <w:t>18*0.3mm</w:t>
            </w:r>
          </w:p>
        </w:tc>
        <w:tc>
          <w:tcPr>
            <w:tcW w:w="2035" w:type="dxa"/>
            <w:vAlign w:val="center"/>
          </w:tcPr>
          <w:p>
            <w:pPr>
              <w:adjustRightInd w:val="0"/>
              <w:snapToGrid w:val="0"/>
              <w:jc w:val="center"/>
              <w:textAlignment w:val="baseline"/>
              <w:rPr>
                <w:color w:val="auto"/>
                <w:kern w:val="21"/>
              </w:rPr>
            </w:pPr>
            <w:r>
              <w:rPr>
                <w:rFonts w:hint="eastAsia"/>
                <w:color w:val="auto"/>
                <w:kern w:val="21"/>
              </w:rPr>
              <w:t>18650型锂电池盖帽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66" w:type="dxa"/>
            <w:vAlign w:val="center"/>
          </w:tcPr>
          <w:p>
            <w:pPr>
              <w:adjustRightInd w:val="0"/>
              <w:snapToGrid w:val="0"/>
              <w:jc w:val="center"/>
              <w:textAlignment w:val="baseline"/>
              <w:rPr>
                <w:color w:val="auto"/>
                <w:kern w:val="21"/>
              </w:rPr>
            </w:pPr>
            <w:r>
              <w:rPr>
                <w:rFonts w:hint="eastAsia"/>
                <w:color w:val="auto"/>
                <w:kern w:val="21"/>
              </w:rPr>
              <w:t>3</w:t>
            </w:r>
          </w:p>
        </w:tc>
        <w:tc>
          <w:tcPr>
            <w:tcW w:w="1276" w:type="dxa"/>
            <w:vAlign w:val="center"/>
          </w:tcPr>
          <w:p>
            <w:pPr>
              <w:adjustRightInd w:val="0"/>
              <w:snapToGrid w:val="0"/>
              <w:jc w:val="center"/>
              <w:textAlignment w:val="baseline"/>
              <w:rPr>
                <w:color w:val="auto"/>
                <w:kern w:val="21"/>
              </w:rPr>
            </w:pPr>
            <w:r>
              <w:rPr>
                <w:rFonts w:hint="eastAsia"/>
                <w:color w:val="auto"/>
                <w:kern w:val="21"/>
                <w:lang w:eastAsia="zh-CN"/>
              </w:rPr>
              <w:t>锂</w:t>
            </w:r>
            <w:r>
              <w:rPr>
                <w:color w:val="auto"/>
                <w:kern w:val="21"/>
              </w:rPr>
              <w:t>电池箱</w:t>
            </w:r>
          </w:p>
        </w:tc>
        <w:tc>
          <w:tcPr>
            <w:tcW w:w="1418" w:type="dxa"/>
            <w:vAlign w:val="center"/>
          </w:tcPr>
          <w:p>
            <w:pPr>
              <w:adjustRightInd w:val="0"/>
              <w:snapToGrid w:val="0"/>
              <w:jc w:val="center"/>
              <w:textAlignment w:val="baseline"/>
              <w:rPr>
                <w:color w:val="auto"/>
                <w:kern w:val="21"/>
              </w:rPr>
            </w:pPr>
            <w:r>
              <w:rPr>
                <w:rFonts w:hint="eastAsia"/>
                <w:color w:val="auto"/>
                <w:kern w:val="21"/>
              </w:rPr>
              <w:t>0.0198</w:t>
            </w:r>
          </w:p>
        </w:tc>
        <w:tc>
          <w:tcPr>
            <w:tcW w:w="1275" w:type="dxa"/>
            <w:vAlign w:val="center"/>
          </w:tcPr>
          <w:p>
            <w:pPr>
              <w:adjustRightInd w:val="0"/>
              <w:snapToGrid w:val="0"/>
              <w:jc w:val="center"/>
              <w:textAlignment w:val="baseline"/>
              <w:rPr>
                <w:color w:val="auto"/>
                <w:kern w:val="21"/>
              </w:rPr>
            </w:pPr>
            <w:r>
              <w:rPr>
                <w:color w:val="auto"/>
                <w:kern w:val="21"/>
              </w:rPr>
              <w:t>亿个</w:t>
            </w:r>
            <w:r>
              <w:rPr>
                <w:rFonts w:hint="eastAsia"/>
                <w:color w:val="auto"/>
                <w:kern w:val="21"/>
              </w:rPr>
              <w:t>/年</w:t>
            </w:r>
          </w:p>
        </w:tc>
        <w:tc>
          <w:tcPr>
            <w:tcW w:w="1834" w:type="dxa"/>
            <w:vAlign w:val="center"/>
          </w:tcPr>
          <w:p>
            <w:pPr>
              <w:adjustRightInd w:val="0"/>
              <w:snapToGrid w:val="0"/>
              <w:jc w:val="center"/>
              <w:textAlignment w:val="baseline"/>
              <w:rPr>
                <w:color w:val="auto"/>
                <w:kern w:val="21"/>
              </w:rPr>
            </w:pPr>
            <w:r>
              <w:rPr>
                <w:rFonts w:hint="eastAsia"/>
                <w:color w:val="auto"/>
                <w:kern w:val="21"/>
              </w:rPr>
              <w:t>380*280*290mm</w:t>
            </w:r>
          </w:p>
        </w:tc>
        <w:tc>
          <w:tcPr>
            <w:tcW w:w="2035" w:type="dxa"/>
            <w:vAlign w:val="center"/>
          </w:tcPr>
          <w:p>
            <w:pPr>
              <w:adjustRightInd w:val="0"/>
              <w:snapToGrid w:val="0"/>
              <w:jc w:val="center"/>
              <w:textAlignment w:val="baseline"/>
              <w:rPr>
                <w:color w:val="auto"/>
                <w:kern w:val="21"/>
              </w:rPr>
            </w:pPr>
            <w:r>
              <w:rPr>
                <w:rFonts w:hint="eastAsia"/>
                <w:color w:val="auto"/>
                <w:kern w:val="21"/>
              </w:rPr>
              <w:t>18650型锂电池组外壳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942" w:type="dxa"/>
            <w:gridSpan w:val="2"/>
            <w:vAlign w:val="center"/>
          </w:tcPr>
          <w:p>
            <w:pPr>
              <w:adjustRightInd w:val="0"/>
              <w:snapToGrid w:val="0"/>
              <w:jc w:val="center"/>
              <w:textAlignment w:val="baseline"/>
              <w:rPr>
                <w:color w:val="auto"/>
                <w:kern w:val="21"/>
              </w:rPr>
            </w:pPr>
            <w:r>
              <w:rPr>
                <w:color w:val="auto"/>
                <w:kern w:val="21"/>
              </w:rPr>
              <w:t>合计</w:t>
            </w:r>
          </w:p>
        </w:tc>
        <w:tc>
          <w:tcPr>
            <w:tcW w:w="1418" w:type="dxa"/>
            <w:vAlign w:val="center"/>
          </w:tcPr>
          <w:p>
            <w:pPr>
              <w:adjustRightInd w:val="0"/>
              <w:snapToGrid w:val="0"/>
              <w:jc w:val="center"/>
              <w:textAlignment w:val="baseline"/>
              <w:rPr>
                <w:color w:val="auto"/>
                <w:kern w:val="21"/>
              </w:rPr>
            </w:pPr>
            <w:r>
              <w:rPr>
                <w:rFonts w:hint="eastAsia"/>
                <w:color w:val="auto"/>
                <w:kern w:val="21"/>
              </w:rPr>
              <w:t>79.2198</w:t>
            </w:r>
          </w:p>
        </w:tc>
        <w:tc>
          <w:tcPr>
            <w:tcW w:w="1275" w:type="dxa"/>
            <w:vAlign w:val="center"/>
          </w:tcPr>
          <w:p>
            <w:pPr>
              <w:adjustRightInd w:val="0"/>
              <w:snapToGrid w:val="0"/>
              <w:jc w:val="center"/>
              <w:textAlignment w:val="baseline"/>
              <w:rPr>
                <w:color w:val="auto"/>
                <w:kern w:val="21"/>
              </w:rPr>
            </w:pPr>
            <w:r>
              <w:rPr>
                <w:color w:val="auto"/>
                <w:kern w:val="21"/>
              </w:rPr>
              <w:t>亿个</w:t>
            </w:r>
            <w:r>
              <w:rPr>
                <w:rFonts w:hint="eastAsia"/>
                <w:color w:val="auto"/>
                <w:kern w:val="21"/>
              </w:rPr>
              <w:t>/年</w:t>
            </w:r>
          </w:p>
        </w:tc>
        <w:tc>
          <w:tcPr>
            <w:tcW w:w="1834" w:type="dxa"/>
            <w:vAlign w:val="center"/>
          </w:tcPr>
          <w:p>
            <w:pPr>
              <w:adjustRightInd w:val="0"/>
              <w:snapToGrid w:val="0"/>
              <w:jc w:val="center"/>
              <w:textAlignment w:val="baseline"/>
              <w:rPr>
                <w:color w:val="auto"/>
                <w:kern w:val="21"/>
              </w:rPr>
            </w:pPr>
            <w:r>
              <w:rPr>
                <w:rFonts w:hint="eastAsia"/>
                <w:color w:val="auto"/>
                <w:kern w:val="21"/>
              </w:rPr>
              <w:t>/</w:t>
            </w:r>
          </w:p>
        </w:tc>
        <w:tc>
          <w:tcPr>
            <w:tcW w:w="2035" w:type="dxa"/>
            <w:vAlign w:val="center"/>
          </w:tcPr>
          <w:p>
            <w:pPr>
              <w:adjustRightInd w:val="0"/>
              <w:snapToGrid w:val="0"/>
              <w:jc w:val="center"/>
              <w:textAlignment w:val="baseline"/>
              <w:rPr>
                <w:color w:val="auto"/>
                <w:kern w:val="21"/>
              </w:rPr>
            </w:pPr>
            <w:r>
              <w:rPr>
                <w:rFonts w:hint="eastAsia"/>
                <w:color w:val="auto"/>
                <w:kern w:val="21"/>
              </w:rPr>
              <w:t>/</w:t>
            </w:r>
          </w:p>
        </w:tc>
      </w:tr>
    </w:tbl>
    <w:p>
      <w:pPr>
        <w:pStyle w:val="271"/>
        <w:keepNext w:val="0"/>
        <w:keepLines w:val="0"/>
        <w:snapToGrid w:val="0"/>
        <w:spacing w:after="0" w:afterLines="0"/>
        <w:ind w:firstLine="480" w:firstLineChars="200"/>
        <w:outlineLvl w:val="9"/>
        <w:rPr>
          <w:rFonts w:eastAsia="宋体" w:cs="Times New Roman"/>
          <w:color w:val="auto"/>
          <w:kern w:val="21"/>
          <w:szCs w:val="22"/>
        </w:rPr>
      </w:pPr>
      <w:r>
        <w:rPr>
          <w:rFonts w:eastAsia="宋体" w:cs="Times New Roman"/>
          <w:color w:val="auto"/>
          <w:kern w:val="21"/>
          <w:szCs w:val="22"/>
        </w:rPr>
        <w:t>项目产能核算见下表：</w:t>
      </w:r>
    </w:p>
    <w:p>
      <w:pPr>
        <w:adjustRightInd w:val="0"/>
        <w:snapToGrid w:val="0"/>
        <w:jc w:val="center"/>
        <w:rPr>
          <w:rFonts w:eastAsia="黑体"/>
          <w:bCs/>
          <w:color w:val="auto"/>
          <w:kern w:val="21"/>
          <w:sz w:val="24"/>
        </w:rPr>
      </w:pPr>
      <w:r>
        <w:rPr>
          <w:rFonts w:eastAsia="黑体"/>
          <w:bCs/>
          <w:color w:val="auto"/>
          <w:kern w:val="21"/>
          <w:sz w:val="24"/>
        </w:rPr>
        <w:t>表3.2-</w:t>
      </w:r>
      <w:r>
        <w:rPr>
          <w:rFonts w:hint="eastAsia" w:eastAsia="黑体"/>
          <w:bCs/>
          <w:color w:val="auto"/>
          <w:kern w:val="21"/>
          <w:sz w:val="24"/>
        </w:rPr>
        <w:t>3</w:t>
      </w:r>
      <w:r>
        <w:rPr>
          <w:rFonts w:eastAsia="黑体"/>
          <w:bCs/>
          <w:color w:val="auto"/>
          <w:kern w:val="21"/>
          <w:sz w:val="24"/>
        </w:rPr>
        <w:t xml:space="preserve">  本项目产能核算一览表</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276"/>
        <w:gridCol w:w="1843"/>
        <w:gridCol w:w="1134"/>
        <w:gridCol w:w="1134"/>
        <w:gridCol w:w="1134"/>
        <w:gridCol w:w="13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序号</w:t>
            </w:r>
          </w:p>
        </w:tc>
        <w:tc>
          <w:tcPr>
            <w:tcW w:w="1276" w:type="dxa"/>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生产线</w:t>
            </w:r>
          </w:p>
        </w:tc>
        <w:tc>
          <w:tcPr>
            <w:tcW w:w="1843" w:type="dxa"/>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单线每日产能</w:t>
            </w:r>
          </w:p>
        </w:tc>
        <w:tc>
          <w:tcPr>
            <w:tcW w:w="1134" w:type="dxa"/>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工作天数</w:t>
            </w:r>
          </w:p>
        </w:tc>
        <w:tc>
          <w:tcPr>
            <w:tcW w:w="1134" w:type="dxa"/>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设备数量</w:t>
            </w:r>
          </w:p>
        </w:tc>
        <w:tc>
          <w:tcPr>
            <w:tcW w:w="1134" w:type="dxa"/>
            <w:tcBorders>
              <w:right w:val="single" w:color="auto" w:sz="6" w:space="0"/>
            </w:tcBorders>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最大产能（亿只）</w:t>
            </w:r>
          </w:p>
        </w:tc>
        <w:tc>
          <w:tcPr>
            <w:tcW w:w="1326" w:type="dxa"/>
            <w:tcBorders>
              <w:left w:val="single" w:color="auto" w:sz="6" w:space="0"/>
            </w:tcBorders>
            <w:vAlign w:val="center"/>
          </w:tcPr>
          <w:p>
            <w:pPr>
              <w:widowControl/>
              <w:adjustRightInd w:val="0"/>
              <w:snapToGrid w:val="0"/>
              <w:spacing w:line="240" w:lineRule="auto"/>
              <w:ind w:firstLine="0" w:firstLineChars="0"/>
              <w:jc w:val="center"/>
              <w:textAlignment w:val="baseline"/>
              <w:rPr>
                <w:b/>
                <w:bCs/>
                <w:color w:val="auto"/>
                <w:kern w:val="21"/>
              </w:rPr>
            </w:pPr>
            <w:r>
              <w:rPr>
                <w:rFonts w:hint="eastAsia"/>
                <w:b/>
                <w:bCs/>
                <w:color w:val="auto"/>
                <w:kern w:val="21"/>
              </w:rPr>
              <w:t>核定产能（亿只）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1</w:t>
            </w:r>
          </w:p>
        </w:tc>
        <w:tc>
          <w:tcPr>
            <w:tcW w:w="1276"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钢壳冲床</w:t>
            </w:r>
          </w:p>
        </w:tc>
        <w:tc>
          <w:tcPr>
            <w:tcW w:w="1843"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11.5万只</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330</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105台</w:t>
            </w:r>
          </w:p>
        </w:tc>
        <w:tc>
          <w:tcPr>
            <w:tcW w:w="1134" w:type="dxa"/>
            <w:tcBorders>
              <w:righ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39.8475</w:t>
            </w:r>
          </w:p>
        </w:tc>
        <w:tc>
          <w:tcPr>
            <w:tcW w:w="1326" w:type="dxa"/>
            <w:tcBorders>
              <w:lef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2</w:t>
            </w:r>
          </w:p>
        </w:tc>
        <w:tc>
          <w:tcPr>
            <w:tcW w:w="1276"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盖帽冲床</w:t>
            </w:r>
          </w:p>
        </w:tc>
        <w:tc>
          <w:tcPr>
            <w:tcW w:w="1843"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40.3万只</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330</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30台</w:t>
            </w:r>
          </w:p>
        </w:tc>
        <w:tc>
          <w:tcPr>
            <w:tcW w:w="1134" w:type="dxa"/>
            <w:tcBorders>
              <w:righ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39.8970</w:t>
            </w:r>
          </w:p>
        </w:tc>
        <w:tc>
          <w:tcPr>
            <w:tcW w:w="1326" w:type="dxa"/>
            <w:tcBorders>
              <w:lef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w:t>
            </w:r>
          </w:p>
        </w:tc>
        <w:tc>
          <w:tcPr>
            <w:tcW w:w="1276"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钢壳镀镍线</w:t>
            </w:r>
          </w:p>
        </w:tc>
        <w:tc>
          <w:tcPr>
            <w:tcW w:w="1843"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200万只</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330</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6条</w:t>
            </w:r>
          </w:p>
        </w:tc>
        <w:tc>
          <w:tcPr>
            <w:tcW w:w="1134" w:type="dxa"/>
            <w:tcBorders>
              <w:righ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39.6</w:t>
            </w:r>
          </w:p>
        </w:tc>
        <w:tc>
          <w:tcPr>
            <w:tcW w:w="1326" w:type="dxa"/>
            <w:tcBorders>
              <w:lef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4</w:t>
            </w:r>
          </w:p>
        </w:tc>
        <w:tc>
          <w:tcPr>
            <w:tcW w:w="1276"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盖帽镀镍线</w:t>
            </w:r>
          </w:p>
        </w:tc>
        <w:tc>
          <w:tcPr>
            <w:tcW w:w="1843"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400万只</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330</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3条</w:t>
            </w:r>
          </w:p>
        </w:tc>
        <w:tc>
          <w:tcPr>
            <w:tcW w:w="1134" w:type="dxa"/>
            <w:tcBorders>
              <w:righ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39.6</w:t>
            </w:r>
          </w:p>
        </w:tc>
        <w:tc>
          <w:tcPr>
            <w:tcW w:w="1326" w:type="dxa"/>
            <w:tcBorders>
              <w:lef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5"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5</w:t>
            </w:r>
          </w:p>
        </w:tc>
        <w:tc>
          <w:tcPr>
            <w:tcW w:w="1276"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镀锌线</w:t>
            </w:r>
          </w:p>
        </w:tc>
        <w:tc>
          <w:tcPr>
            <w:tcW w:w="1843"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0.6万只</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330</w:t>
            </w:r>
          </w:p>
        </w:tc>
        <w:tc>
          <w:tcPr>
            <w:tcW w:w="1134" w:type="dxa"/>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1条</w:t>
            </w:r>
          </w:p>
        </w:tc>
        <w:tc>
          <w:tcPr>
            <w:tcW w:w="1134" w:type="dxa"/>
            <w:tcBorders>
              <w:righ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0.0198</w:t>
            </w:r>
          </w:p>
        </w:tc>
        <w:tc>
          <w:tcPr>
            <w:tcW w:w="1326" w:type="dxa"/>
            <w:tcBorders>
              <w:left w:val="single" w:color="auto" w:sz="6" w:space="0"/>
            </w:tcBorders>
            <w:vAlign w:val="center"/>
          </w:tcPr>
          <w:p>
            <w:pPr>
              <w:widowControl/>
              <w:adjustRightInd w:val="0"/>
              <w:snapToGrid w:val="0"/>
              <w:spacing w:line="240" w:lineRule="auto"/>
              <w:ind w:firstLine="0" w:firstLineChars="0"/>
              <w:jc w:val="center"/>
              <w:textAlignment w:val="baseline"/>
              <w:rPr>
                <w:color w:val="auto"/>
                <w:kern w:val="21"/>
              </w:rPr>
            </w:pPr>
            <w:r>
              <w:rPr>
                <w:rFonts w:hint="eastAsia"/>
                <w:color w:val="auto"/>
                <w:kern w:val="21"/>
              </w:rPr>
              <w:t>0.0198</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2"/>
        </w:rPr>
      </w:pPr>
      <w:r>
        <w:rPr>
          <w:rFonts w:hint="eastAsia"/>
          <w:color w:val="auto"/>
          <w:kern w:val="21"/>
          <w:sz w:val="24"/>
          <w:szCs w:val="22"/>
        </w:rPr>
        <w:t>由</w:t>
      </w:r>
      <w:r>
        <w:rPr>
          <w:rFonts w:hint="eastAsia"/>
          <w:color w:val="auto"/>
          <w:kern w:val="21"/>
          <w:sz w:val="24"/>
          <w:szCs w:val="22"/>
          <w:lang w:eastAsia="zh-CN"/>
        </w:rPr>
        <w:t>上</w:t>
      </w:r>
      <w:r>
        <w:rPr>
          <w:rFonts w:hint="eastAsia"/>
          <w:color w:val="auto"/>
          <w:kern w:val="21"/>
          <w:sz w:val="24"/>
          <w:szCs w:val="22"/>
        </w:rPr>
        <w:t>表可知，本项目</w:t>
      </w:r>
      <w:r>
        <w:rPr>
          <w:rFonts w:hint="eastAsia"/>
          <w:color w:val="auto"/>
          <w:kern w:val="21"/>
          <w:sz w:val="24"/>
          <w:szCs w:val="22"/>
          <w:lang w:eastAsia="zh-CN"/>
        </w:rPr>
        <w:t>锂电</w:t>
      </w:r>
      <w:r>
        <w:rPr>
          <w:rFonts w:hint="eastAsia"/>
          <w:color w:val="auto"/>
          <w:kern w:val="21"/>
          <w:sz w:val="24"/>
          <w:szCs w:val="22"/>
        </w:rPr>
        <w:t>钢壳、盖帽镀镍线最大产能均为39.6亿只/年，镀锌线最大产能为198万只/年，同时机加工工序产能大于电镀线产能，可满足最大电镀能力，因此本项目最终核定产能为</w:t>
      </w:r>
      <w:r>
        <w:rPr>
          <w:rFonts w:hint="eastAsia"/>
          <w:color w:val="auto"/>
          <w:kern w:val="21"/>
          <w:sz w:val="24"/>
          <w:szCs w:val="22"/>
          <w:lang w:eastAsia="zh-CN"/>
        </w:rPr>
        <w:t>锂电</w:t>
      </w:r>
      <w:r>
        <w:rPr>
          <w:rFonts w:hint="eastAsia"/>
          <w:color w:val="auto"/>
          <w:kern w:val="21"/>
          <w:sz w:val="24"/>
          <w:szCs w:val="22"/>
        </w:rPr>
        <w:t>钢壳39.6亿只/年、</w:t>
      </w:r>
      <w:r>
        <w:rPr>
          <w:rFonts w:hint="eastAsia"/>
          <w:color w:val="auto"/>
          <w:kern w:val="21"/>
          <w:sz w:val="24"/>
          <w:szCs w:val="22"/>
          <w:lang w:eastAsia="zh-CN"/>
        </w:rPr>
        <w:t>锂电</w:t>
      </w:r>
      <w:r>
        <w:rPr>
          <w:rFonts w:hint="eastAsia"/>
          <w:color w:val="auto"/>
          <w:kern w:val="21"/>
          <w:sz w:val="24"/>
          <w:szCs w:val="22"/>
        </w:rPr>
        <w:t>盖帽39.6亿只/年、</w:t>
      </w:r>
      <w:r>
        <w:rPr>
          <w:rFonts w:hint="eastAsia"/>
          <w:color w:val="auto"/>
          <w:kern w:val="21"/>
          <w:sz w:val="24"/>
          <w:szCs w:val="22"/>
          <w:lang w:eastAsia="zh-CN"/>
        </w:rPr>
        <w:t>锂</w:t>
      </w:r>
      <w:r>
        <w:rPr>
          <w:rFonts w:hint="eastAsia"/>
          <w:color w:val="auto"/>
          <w:kern w:val="21"/>
          <w:sz w:val="24"/>
          <w:szCs w:val="22"/>
        </w:rPr>
        <w:t>电池箱198万只/年。</w:t>
      </w:r>
    </w:p>
    <w:p>
      <w:pPr>
        <w:pStyle w:val="271"/>
        <w:keepNext w:val="0"/>
        <w:keepLines w:val="0"/>
        <w:snapToGrid w:val="0"/>
        <w:spacing w:before="0" w:beforeLines="0" w:after="0" w:afterLines="0"/>
        <w:rPr>
          <w:rFonts w:cs="Times New Roman"/>
          <w:color w:val="auto"/>
          <w:kern w:val="21"/>
          <w:sz w:val="28"/>
          <w:szCs w:val="28"/>
        </w:rPr>
      </w:pPr>
      <w:r>
        <w:rPr>
          <w:rFonts w:cs="Times New Roman"/>
          <w:color w:val="auto"/>
          <w:kern w:val="21"/>
          <w:sz w:val="28"/>
          <w:szCs w:val="28"/>
        </w:rPr>
        <w:t>3.2.3项目主要生产设备</w:t>
      </w:r>
      <w:bookmarkEnd w:id="173"/>
    </w:p>
    <w:p>
      <w:pPr>
        <w:adjustRightInd w:val="0"/>
        <w:snapToGrid w:val="0"/>
        <w:spacing w:line="360" w:lineRule="auto"/>
        <w:ind w:firstLine="480" w:firstLineChars="200"/>
        <w:rPr>
          <w:color w:val="auto"/>
          <w:kern w:val="21"/>
          <w:sz w:val="24"/>
          <w:szCs w:val="22"/>
        </w:rPr>
      </w:pPr>
      <w:r>
        <w:rPr>
          <w:color w:val="auto"/>
          <w:kern w:val="21"/>
          <w:sz w:val="24"/>
          <w:szCs w:val="22"/>
        </w:rPr>
        <w:t>本项目主要生产设备见表3.2-</w:t>
      </w:r>
      <w:r>
        <w:rPr>
          <w:rFonts w:hint="eastAsia"/>
          <w:color w:val="auto"/>
          <w:kern w:val="21"/>
          <w:sz w:val="24"/>
          <w:szCs w:val="22"/>
        </w:rPr>
        <w:t>4</w:t>
      </w:r>
      <w:r>
        <w:rPr>
          <w:color w:val="auto"/>
          <w:kern w:val="21"/>
          <w:sz w:val="24"/>
          <w:szCs w:val="22"/>
        </w:rPr>
        <w:t>。</w:t>
      </w:r>
    </w:p>
    <w:p>
      <w:pPr>
        <w:adjustRightInd w:val="0"/>
        <w:snapToGrid w:val="0"/>
        <w:jc w:val="center"/>
        <w:rPr>
          <w:rFonts w:eastAsia="黑体"/>
          <w:bCs/>
          <w:color w:val="auto"/>
          <w:kern w:val="21"/>
          <w:sz w:val="24"/>
        </w:rPr>
      </w:pPr>
      <w:r>
        <w:rPr>
          <w:rFonts w:eastAsia="黑体"/>
          <w:bCs/>
          <w:color w:val="auto"/>
          <w:kern w:val="21"/>
          <w:sz w:val="24"/>
        </w:rPr>
        <w:t>表3.2-</w:t>
      </w:r>
      <w:r>
        <w:rPr>
          <w:rFonts w:hint="eastAsia" w:eastAsia="黑体"/>
          <w:bCs/>
          <w:color w:val="auto"/>
          <w:kern w:val="21"/>
          <w:sz w:val="24"/>
        </w:rPr>
        <w:t>4</w:t>
      </w:r>
      <w:r>
        <w:rPr>
          <w:rFonts w:eastAsia="黑体"/>
          <w:bCs/>
          <w:color w:val="auto"/>
          <w:kern w:val="21"/>
          <w:sz w:val="24"/>
        </w:rPr>
        <w:t xml:space="preserve">    本项目主要生产设备一览表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917"/>
        <w:gridCol w:w="2194"/>
        <w:gridCol w:w="1560"/>
        <w:gridCol w:w="14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Align w:val="center"/>
          </w:tcPr>
          <w:p>
            <w:pPr>
              <w:adjustRightInd w:val="0"/>
              <w:snapToGrid w:val="0"/>
              <w:jc w:val="center"/>
              <w:textAlignment w:val="baseline"/>
              <w:rPr>
                <w:b/>
                <w:bCs/>
                <w:color w:val="auto"/>
                <w:kern w:val="21"/>
              </w:rPr>
            </w:pPr>
            <w:bookmarkStart w:id="174" w:name="_Toc418350900"/>
            <w:bookmarkStart w:id="175" w:name="_Toc14856"/>
            <w:r>
              <w:rPr>
                <w:b/>
                <w:bCs/>
                <w:color w:val="auto"/>
                <w:kern w:val="21"/>
              </w:rPr>
              <w:t>工序</w:t>
            </w:r>
          </w:p>
        </w:tc>
        <w:tc>
          <w:tcPr>
            <w:tcW w:w="1125" w:type="pct"/>
            <w:vAlign w:val="center"/>
          </w:tcPr>
          <w:p>
            <w:pPr>
              <w:adjustRightInd w:val="0"/>
              <w:snapToGrid w:val="0"/>
              <w:jc w:val="center"/>
              <w:textAlignment w:val="baseline"/>
              <w:rPr>
                <w:b/>
                <w:bCs/>
                <w:color w:val="auto"/>
                <w:kern w:val="21"/>
              </w:rPr>
            </w:pPr>
            <w:r>
              <w:rPr>
                <w:b/>
                <w:bCs/>
                <w:color w:val="auto"/>
                <w:kern w:val="21"/>
              </w:rPr>
              <w:t>设备名称</w:t>
            </w:r>
          </w:p>
        </w:tc>
        <w:tc>
          <w:tcPr>
            <w:tcW w:w="1287" w:type="pct"/>
            <w:vAlign w:val="center"/>
          </w:tcPr>
          <w:p>
            <w:pPr>
              <w:adjustRightInd w:val="0"/>
              <w:snapToGrid w:val="0"/>
              <w:jc w:val="center"/>
              <w:textAlignment w:val="baseline"/>
              <w:rPr>
                <w:b/>
                <w:bCs/>
                <w:color w:val="auto"/>
                <w:kern w:val="21"/>
              </w:rPr>
            </w:pPr>
            <w:r>
              <w:rPr>
                <w:b/>
                <w:bCs/>
                <w:color w:val="auto"/>
                <w:kern w:val="21"/>
              </w:rPr>
              <w:t>型号</w:t>
            </w:r>
          </w:p>
        </w:tc>
        <w:tc>
          <w:tcPr>
            <w:tcW w:w="915" w:type="pct"/>
            <w:vAlign w:val="center"/>
          </w:tcPr>
          <w:p>
            <w:pPr>
              <w:adjustRightInd w:val="0"/>
              <w:snapToGrid w:val="0"/>
              <w:jc w:val="center"/>
              <w:textAlignment w:val="baseline"/>
              <w:rPr>
                <w:b/>
                <w:bCs/>
                <w:color w:val="auto"/>
                <w:kern w:val="21"/>
              </w:rPr>
            </w:pPr>
            <w:r>
              <w:rPr>
                <w:b/>
                <w:bCs/>
                <w:color w:val="auto"/>
                <w:kern w:val="21"/>
              </w:rPr>
              <w:t>数量</w:t>
            </w:r>
          </w:p>
        </w:tc>
        <w:tc>
          <w:tcPr>
            <w:tcW w:w="861" w:type="pct"/>
            <w:vAlign w:val="center"/>
          </w:tcPr>
          <w:p>
            <w:pPr>
              <w:adjustRightInd w:val="0"/>
              <w:snapToGrid w:val="0"/>
              <w:jc w:val="center"/>
              <w:textAlignment w:val="baseline"/>
              <w:rPr>
                <w:b/>
                <w:bCs/>
                <w:color w:val="auto"/>
                <w:kern w:val="21"/>
              </w:rPr>
            </w:pPr>
            <w:r>
              <w:rPr>
                <w:b/>
                <w:bCs/>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restart"/>
            <w:vAlign w:val="center"/>
          </w:tcPr>
          <w:p>
            <w:pPr>
              <w:adjustRightInd w:val="0"/>
              <w:snapToGrid w:val="0"/>
              <w:jc w:val="center"/>
              <w:textAlignment w:val="baseline"/>
              <w:rPr>
                <w:color w:val="auto"/>
                <w:kern w:val="21"/>
              </w:rPr>
            </w:pPr>
            <w:r>
              <w:rPr>
                <w:color w:val="auto"/>
                <w:kern w:val="21"/>
              </w:rPr>
              <w:t>机加工工序</w:t>
            </w:r>
          </w:p>
        </w:tc>
        <w:tc>
          <w:tcPr>
            <w:tcW w:w="1125" w:type="pct"/>
            <w:vAlign w:val="center"/>
          </w:tcPr>
          <w:p>
            <w:pPr>
              <w:adjustRightInd w:val="0"/>
              <w:snapToGrid w:val="0"/>
              <w:jc w:val="center"/>
              <w:textAlignment w:val="baseline"/>
              <w:rPr>
                <w:color w:val="auto"/>
                <w:kern w:val="21"/>
              </w:rPr>
            </w:pPr>
            <w:r>
              <w:rPr>
                <w:color w:val="auto"/>
                <w:kern w:val="21"/>
              </w:rPr>
              <w:t>钢壳冲床</w:t>
            </w:r>
          </w:p>
        </w:tc>
        <w:tc>
          <w:tcPr>
            <w:tcW w:w="1287" w:type="pct"/>
            <w:vAlign w:val="center"/>
          </w:tcPr>
          <w:p>
            <w:pPr>
              <w:adjustRightInd w:val="0"/>
              <w:snapToGrid w:val="0"/>
              <w:jc w:val="center"/>
              <w:textAlignment w:val="baseline"/>
              <w:rPr>
                <w:color w:val="auto"/>
                <w:kern w:val="21"/>
              </w:rPr>
            </w:pPr>
            <w:r>
              <w:rPr>
                <w:color w:val="auto"/>
                <w:kern w:val="21"/>
                <w:lang w:bidi="ar"/>
              </w:rPr>
              <w:t>JZ21</w:t>
            </w:r>
            <w:r>
              <w:rPr>
                <w:rFonts w:hint="eastAsia"/>
                <w:color w:val="auto"/>
                <w:kern w:val="21"/>
                <w:lang w:bidi="ar"/>
              </w:rPr>
              <w:t>-80</w:t>
            </w:r>
          </w:p>
        </w:tc>
        <w:tc>
          <w:tcPr>
            <w:tcW w:w="915" w:type="pct"/>
            <w:vAlign w:val="center"/>
          </w:tcPr>
          <w:p>
            <w:pPr>
              <w:adjustRightInd w:val="0"/>
              <w:snapToGrid w:val="0"/>
              <w:jc w:val="center"/>
              <w:textAlignment w:val="baseline"/>
              <w:rPr>
                <w:color w:val="auto"/>
                <w:kern w:val="21"/>
              </w:rPr>
            </w:pPr>
            <w:r>
              <w:rPr>
                <w:rFonts w:hint="eastAsia"/>
                <w:color w:val="auto"/>
                <w:kern w:val="21"/>
              </w:rPr>
              <w:t>105台</w:t>
            </w:r>
          </w:p>
        </w:tc>
        <w:tc>
          <w:tcPr>
            <w:tcW w:w="861" w:type="pct"/>
            <w:vAlign w:val="center"/>
          </w:tcPr>
          <w:p>
            <w:pPr>
              <w:adjustRightInd w:val="0"/>
              <w:snapToGrid w:val="0"/>
              <w:jc w:val="center"/>
              <w:textAlignment w:val="baseline"/>
              <w:rPr>
                <w:color w:val="auto"/>
                <w:kern w:val="21"/>
              </w:rPr>
            </w:pPr>
            <w:r>
              <w:rPr>
                <w:color w:val="auto"/>
                <w:kern w:val="21"/>
              </w:rPr>
              <w:t>钢壳冲压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盖帽冲床</w:t>
            </w:r>
          </w:p>
        </w:tc>
        <w:tc>
          <w:tcPr>
            <w:tcW w:w="1287" w:type="pct"/>
            <w:vAlign w:val="center"/>
          </w:tcPr>
          <w:p>
            <w:pPr>
              <w:adjustRightInd w:val="0"/>
              <w:snapToGrid w:val="0"/>
              <w:jc w:val="center"/>
              <w:textAlignment w:val="baseline"/>
              <w:rPr>
                <w:color w:val="auto"/>
                <w:kern w:val="21"/>
              </w:rPr>
            </w:pPr>
            <w:r>
              <w:rPr>
                <w:color w:val="auto"/>
                <w:kern w:val="21"/>
                <w:lang w:bidi="ar"/>
              </w:rPr>
              <w:t>LTP-</w:t>
            </w:r>
            <w:r>
              <w:rPr>
                <w:rFonts w:hint="eastAsia"/>
                <w:color w:val="auto"/>
                <w:kern w:val="21"/>
                <w:lang w:bidi="ar"/>
              </w:rPr>
              <w:t>280</w:t>
            </w:r>
          </w:p>
        </w:tc>
        <w:tc>
          <w:tcPr>
            <w:tcW w:w="915" w:type="pct"/>
            <w:vAlign w:val="center"/>
          </w:tcPr>
          <w:p>
            <w:pPr>
              <w:adjustRightInd w:val="0"/>
              <w:snapToGrid w:val="0"/>
              <w:jc w:val="center"/>
              <w:textAlignment w:val="baseline"/>
              <w:rPr>
                <w:color w:val="auto"/>
                <w:kern w:val="21"/>
              </w:rPr>
            </w:pPr>
            <w:r>
              <w:rPr>
                <w:rFonts w:hint="eastAsia"/>
                <w:color w:val="auto"/>
                <w:kern w:val="21"/>
                <w:lang w:bidi="ar"/>
              </w:rPr>
              <w:t>30</w:t>
            </w:r>
            <w:r>
              <w:rPr>
                <w:color w:val="auto"/>
                <w:kern w:val="21"/>
                <w:lang w:bidi="ar"/>
              </w:rPr>
              <w:t>台</w:t>
            </w:r>
          </w:p>
        </w:tc>
        <w:tc>
          <w:tcPr>
            <w:tcW w:w="861" w:type="pct"/>
            <w:vAlign w:val="center"/>
          </w:tcPr>
          <w:p>
            <w:pPr>
              <w:adjustRightInd w:val="0"/>
              <w:snapToGrid w:val="0"/>
              <w:jc w:val="center"/>
              <w:textAlignment w:val="baseline"/>
              <w:rPr>
                <w:color w:val="auto"/>
                <w:kern w:val="21"/>
              </w:rPr>
            </w:pPr>
            <w:r>
              <w:rPr>
                <w:rFonts w:hint="eastAsia"/>
                <w:color w:val="auto"/>
                <w:kern w:val="21"/>
              </w:rPr>
              <w:t>盖帽冲压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模修车床</w:t>
            </w:r>
          </w:p>
        </w:tc>
        <w:tc>
          <w:tcPr>
            <w:tcW w:w="1287" w:type="pct"/>
            <w:vAlign w:val="center"/>
          </w:tcPr>
          <w:p>
            <w:pPr>
              <w:adjustRightInd w:val="0"/>
              <w:snapToGrid w:val="0"/>
              <w:jc w:val="center"/>
              <w:textAlignment w:val="baseline"/>
              <w:rPr>
                <w:color w:val="auto"/>
                <w:kern w:val="21"/>
              </w:rPr>
            </w:pPr>
            <w:r>
              <w:rPr>
                <w:color w:val="auto"/>
                <w:kern w:val="21"/>
                <w:lang w:bidi="ar"/>
              </w:rPr>
              <w:t>CA6136</w:t>
            </w:r>
          </w:p>
        </w:tc>
        <w:tc>
          <w:tcPr>
            <w:tcW w:w="915" w:type="pct"/>
            <w:vAlign w:val="center"/>
          </w:tcPr>
          <w:p>
            <w:pPr>
              <w:adjustRightInd w:val="0"/>
              <w:snapToGrid w:val="0"/>
              <w:jc w:val="center"/>
              <w:textAlignment w:val="baseline"/>
              <w:rPr>
                <w:color w:val="auto"/>
                <w:kern w:val="21"/>
              </w:rPr>
            </w:pPr>
            <w:r>
              <w:rPr>
                <w:color w:val="auto"/>
                <w:kern w:val="21"/>
                <w:lang w:bidi="ar"/>
              </w:rPr>
              <w:t>2台</w:t>
            </w:r>
          </w:p>
        </w:tc>
        <w:tc>
          <w:tcPr>
            <w:tcW w:w="861" w:type="pct"/>
            <w:vMerge w:val="restart"/>
            <w:vAlign w:val="center"/>
          </w:tcPr>
          <w:p>
            <w:pPr>
              <w:adjustRightInd w:val="0"/>
              <w:snapToGrid w:val="0"/>
              <w:jc w:val="center"/>
              <w:textAlignment w:val="baseline"/>
              <w:rPr>
                <w:color w:val="auto"/>
                <w:kern w:val="21"/>
              </w:rPr>
            </w:pPr>
            <w:r>
              <w:rPr>
                <w:rFonts w:hint="eastAsia"/>
                <w:color w:val="auto"/>
                <w:kern w:val="21"/>
              </w:rPr>
              <w:t>模具修理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Merge w:val="restart"/>
            <w:vAlign w:val="center"/>
          </w:tcPr>
          <w:p>
            <w:pPr>
              <w:adjustRightInd w:val="0"/>
              <w:snapToGrid w:val="0"/>
              <w:jc w:val="center"/>
              <w:textAlignment w:val="baseline"/>
              <w:rPr>
                <w:color w:val="auto"/>
                <w:kern w:val="21"/>
              </w:rPr>
            </w:pPr>
            <w:r>
              <w:rPr>
                <w:color w:val="auto"/>
                <w:kern w:val="21"/>
              </w:rPr>
              <w:t>模修磨床</w:t>
            </w:r>
          </w:p>
        </w:tc>
        <w:tc>
          <w:tcPr>
            <w:tcW w:w="1287" w:type="pct"/>
            <w:vAlign w:val="center"/>
          </w:tcPr>
          <w:p>
            <w:pPr>
              <w:adjustRightInd w:val="0"/>
              <w:snapToGrid w:val="0"/>
              <w:jc w:val="center"/>
              <w:textAlignment w:val="baseline"/>
              <w:rPr>
                <w:color w:val="auto"/>
                <w:kern w:val="21"/>
              </w:rPr>
            </w:pPr>
            <w:r>
              <w:rPr>
                <w:color w:val="auto"/>
                <w:kern w:val="21"/>
                <w:lang w:bidi="ar"/>
              </w:rPr>
              <w:t>M250</w:t>
            </w:r>
          </w:p>
        </w:tc>
        <w:tc>
          <w:tcPr>
            <w:tcW w:w="915" w:type="pct"/>
            <w:vAlign w:val="center"/>
          </w:tcPr>
          <w:p>
            <w:pPr>
              <w:adjustRightInd w:val="0"/>
              <w:snapToGrid w:val="0"/>
              <w:jc w:val="center"/>
              <w:textAlignment w:val="baseline"/>
              <w:rPr>
                <w:color w:val="auto"/>
                <w:kern w:val="21"/>
              </w:rPr>
            </w:pPr>
            <w:r>
              <w:rPr>
                <w:color w:val="auto"/>
                <w:kern w:val="21"/>
                <w:lang w:bidi="ar"/>
              </w:rPr>
              <w:t>1台</w:t>
            </w:r>
          </w:p>
        </w:tc>
        <w:tc>
          <w:tcPr>
            <w:tcW w:w="861" w:type="pct"/>
            <w:vMerge w:val="continue"/>
            <w:vAlign w:val="center"/>
          </w:tcPr>
          <w:p>
            <w:pPr>
              <w:adjustRightInd w:val="0"/>
              <w:snapToGrid w:val="0"/>
              <w:jc w:val="center"/>
              <w:textAlignment w:val="baseline"/>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Merge w:val="continue"/>
            <w:vAlign w:val="center"/>
          </w:tcPr>
          <w:p>
            <w:pPr>
              <w:adjustRightInd w:val="0"/>
              <w:snapToGrid w:val="0"/>
              <w:jc w:val="center"/>
              <w:textAlignment w:val="baseline"/>
              <w:rPr>
                <w:color w:val="auto"/>
                <w:kern w:val="21"/>
                <w:lang w:bidi="ar"/>
              </w:rPr>
            </w:pPr>
          </w:p>
        </w:tc>
        <w:tc>
          <w:tcPr>
            <w:tcW w:w="1287" w:type="pct"/>
            <w:vAlign w:val="center"/>
          </w:tcPr>
          <w:p>
            <w:pPr>
              <w:adjustRightInd w:val="0"/>
              <w:snapToGrid w:val="0"/>
              <w:jc w:val="center"/>
              <w:textAlignment w:val="baseline"/>
              <w:rPr>
                <w:color w:val="auto"/>
                <w:kern w:val="21"/>
              </w:rPr>
            </w:pPr>
            <w:r>
              <w:rPr>
                <w:color w:val="auto"/>
                <w:kern w:val="21"/>
                <w:lang w:bidi="ar"/>
              </w:rPr>
              <w:t>GS-818AHDK</w:t>
            </w:r>
          </w:p>
        </w:tc>
        <w:tc>
          <w:tcPr>
            <w:tcW w:w="915" w:type="pct"/>
            <w:vAlign w:val="center"/>
          </w:tcPr>
          <w:p>
            <w:pPr>
              <w:jc w:val="center"/>
              <w:textAlignment w:val="center"/>
              <w:rPr>
                <w:color w:val="auto"/>
                <w:kern w:val="21"/>
              </w:rPr>
            </w:pPr>
            <w:r>
              <w:rPr>
                <w:color w:val="auto"/>
                <w:kern w:val="21"/>
                <w:lang w:bidi="ar"/>
              </w:rPr>
              <w:t>1台</w:t>
            </w:r>
          </w:p>
        </w:tc>
        <w:tc>
          <w:tcPr>
            <w:tcW w:w="861" w:type="pct"/>
            <w:vMerge w:val="continue"/>
            <w:vAlign w:val="center"/>
          </w:tcPr>
          <w:p>
            <w:pPr>
              <w:jc w:val="center"/>
              <w:textAlignment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数控平开下料机</w:t>
            </w:r>
          </w:p>
        </w:tc>
        <w:tc>
          <w:tcPr>
            <w:tcW w:w="1287" w:type="pct"/>
            <w:vAlign w:val="center"/>
          </w:tcPr>
          <w:p>
            <w:pPr>
              <w:adjustRightInd w:val="0"/>
              <w:snapToGrid w:val="0"/>
              <w:jc w:val="center"/>
              <w:textAlignment w:val="baseline"/>
              <w:rPr>
                <w:color w:val="auto"/>
                <w:kern w:val="21"/>
              </w:rPr>
            </w:pPr>
            <w:r>
              <w:rPr>
                <w:rFonts w:hint="eastAsia"/>
                <w:color w:val="auto"/>
                <w:kern w:val="21"/>
              </w:rPr>
              <w:t>/</w:t>
            </w:r>
          </w:p>
        </w:tc>
        <w:tc>
          <w:tcPr>
            <w:tcW w:w="915" w:type="pct"/>
            <w:vAlign w:val="center"/>
          </w:tcPr>
          <w:p>
            <w:pPr>
              <w:adjustRightInd w:val="0"/>
              <w:snapToGrid w:val="0"/>
              <w:jc w:val="center"/>
              <w:textAlignment w:val="baseline"/>
              <w:rPr>
                <w:color w:val="auto"/>
                <w:kern w:val="21"/>
              </w:rPr>
            </w:pPr>
            <w:r>
              <w:rPr>
                <w:rFonts w:hint="eastAsia"/>
                <w:color w:val="auto"/>
                <w:kern w:val="21"/>
              </w:rPr>
              <w:t>4台</w:t>
            </w:r>
          </w:p>
        </w:tc>
        <w:tc>
          <w:tcPr>
            <w:tcW w:w="861" w:type="pct"/>
            <w:vAlign w:val="center"/>
          </w:tcPr>
          <w:p>
            <w:pPr>
              <w:adjustRightInd w:val="0"/>
              <w:snapToGrid w:val="0"/>
              <w:jc w:val="center"/>
              <w:textAlignment w:val="baseline"/>
              <w:rPr>
                <w:color w:val="auto"/>
                <w:kern w:val="21"/>
              </w:rPr>
            </w:pPr>
            <w:r>
              <w:rPr>
                <w:color w:val="auto"/>
                <w:kern w:val="21"/>
              </w:rPr>
              <w:t>钢板下料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折弯机</w:t>
            </w:r>
          </w:p>
        </w:tc>
        <w:tc>
          <w:tcPr>
            <w:tcW w:w="1287" w:type="pct"/>
            <w:vAlign w:val="center"/>
          </w:tcPr>
          <w:p>
            <w:pPr>
              <w:adjustRightInd w:val="0"/>
              <w:snapToGrid w:val="0"/>
              <w:jc w:val="center"/>
              <w:textAlignment w:val="baseline"/>
              <w:rPr>
                <w:color w:val="auto"/>
                <w:kern w:val="21"/>
              </w:rPr>
            </w:pPr>
            <w:r>
              <w:rPr>
                <w:rFonts w:hint="eastAsia"/>
                <w:color w:val="auto"/>
                <w:kern w:val="21"/>
              </w:rPr>
              <w:t>/</w:t>
            </w:r>
          </w:p>
        </w:tc>
        <w:tc>
          <w:tcPr>
            <w:tcW w:w="915" w:type="pct"/>
            <w:vAlign w:val="center"/>
          </w:tcPr>
          <w:p>
            <w:pPr>
              <w:adjustRightInd w:val="0"/>
              <w:snapToGrid w:val="0"/>
              <w:jc w:val="center"/>
              <w:textAlignment w:val="baseline"/>
              <w:rPr>
                <w:color w:val="auto"/>
                <w:kern w:val="21"/>
              </w:rPr>
            </w:pPr>
            <w:r>
              <w:rPr>
                <w:rFonts w:hint="eastAsia"/>
                <w:color w:val="auto"/>
                <w:kern w:val="21"/>
              </w:rPr>
              <w:t>10台</w:t>
            </w:r>
          </w:p>
        </w:tc>
        <w:tc>
          <w:tcPr>
            <w:tcW w:w="861" w:type="pct"/>
            <w:vAlign w:val="center"/>
          </w:tcPr>
          <w:p>
            <w:pPr>
              <w:adjustRightInd w:val="0"/>
              <w:snapToGrid w:val="0"/>
              <w:jc w:val="center"/>
              <w:textAlignment w:val="baseline"/>
              <w:rPr>
                <w:color w:val="auto"/>
                <w:kern w:val="21"/>
              </w:rPr>
            </w:pPr>
            <w:r>
              <w:rPr>
                <w:color w:val="auto"/>
                <w:kern w:val="21"/>
              </w:rPr>
              <w:t>钢板折弯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电焊机</w:t>
            </w:r>
          </w:p>
        </w:tc>
        <w:tc>
          <w:tcPr>
            <w:tcW w:w="1287" w:type="pct"/>
            <w:vAlign w:val="center"/>
          </w:tcPr>
          <w:p>
            <w:pPr>
              <w:adjustRightInd w:val="0"/>
              <w:snapToGrid w:val="0"/>
              <w:jc w:val="center"/>
              <w:textAlignment w:val="baseline"/>
              <w:rPr>
                <w:color w:val="auto"/>
                <w:kern w:val="21"/>
              </w:rPr>
            </w:pPr>
            <w:r>
              <w:rPr>
                <w:rFonts w:hint="eastAsia"/>
                <w:color w:val="auto"/>
                <w:kern w:val="21"/>
              </w:rPr>
              <w:t>/</w:t>
            </w:r>
          </w:p>
        </w:tc>
        <w:tc>
          <w:tcPr>
            <w:tcW w:w="915" w:type="pct"/>
            <w:vAlign w:val="center"/>
          </w:tcPr>
          <w:p>
            <w:pPr>
              <w:adjustRightInd w:val="0"/>
              <w:snapToGrid w:val="0"/>
              <w:jc w:val="center"/>
              <w:textAlignment w:val="baseline"/>
              <w:rPr>
                <w:color w:val="auto"/>
                <w:kern w:val="21"/>
              </w:rPr>
            </w:pPr>
            <w:r>
              <w:rPr>
                <w:rFonts w:hint="eastAsia"/>
                <w:color w:val="auto"/>
                <w:kern w:val="21"/>
              </w:rPr>
              <w:t>20台</w:t>
            </w:r>
          </w:p>
        </w:tc>
        <w:tc>
          <w:tcPr>
            <w:tcW w:w="861" w:type="pct"/>
            <w:vAlign w:val="center"/>
          </w:tcPr>
          <w:p>
            <w:pPr>
              <w:adjustRightInd w:val="0"/>
              <w:snapToGrid w:val="0"/>
              <w:jc w:val="center"/>
              <w:textAlignment w:val="baseline"/>
              <w:rPr>
                <w:color w:val="auto"/>
                <w:kern w:val="21"/>
              </w:rPr>
            </w:pPr>
            <w:r>
              <w:rPr>
                <w:color w:val="auto"/>
                <w:kern w:val="21"/>
              </w:rPr>
              <w:t>电池箱焊接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restart"/>
            <w:vAlign w:val="center"/>
          </w:tcPr>
          <w:p>
            <w:pPr>
              <w:adjustRightInd w:val="0"/>
              <w:snapToGrid w:val="0"/>
              <w:jc w:val="center"/>
              <w:textAlignment w:val="baseline"/>
              <w:rPr>
                <w:color w:val="auto"/>
                <w:kern w:val="21"/>
              </w:rPr>
            </w:pPr>
            <w:r>
              <w:rPr>
                <w:color w:val="auto"/>
                <w:kern w:val="21"/>
              </w:rPr>
              <w:t>盖帽镀镍线</w:t>
            </w:r>
            <w:r>
              <w:rPr>
                <w:rFonts w:hint="eastAsia"/>
                <w:color w:val="auto"/>
                <w:kern w:val="21"/>
              </w:rPr>
              <w:t>3条</w:t>
            </w:r>
            <w:r>
              <w:rPr>
                <w:color w:val="auto"/>
                <w:kern w:val="21"/>
              </w:rPr>
              <w:t>（</w:t>
            </w:r>
            <w:r>
              <w:rPr>
                <w:rFonts w:hint="eastAsia"/>
                <w:color w:val="auto"/>
                <w:kern w:val="21"/>
                <w:lang w:eastAsia="zh-CN"/>
              </w:rPr>
              <w:t>单条线</w:t>
            </w:r>
            <w:r>
              <w:rPr>
                <w:color w:val="auto"/>
                <w:kern w:val="21"/>
              </w:rPr>
              <w:t>）</w:t>
            </w:r>
          </w:p>
        </w:tc>
        <w:tc>
          <w:tcPr>
            <w:tcW w:w="1125" w:type="pct"/>
            <w:vAlign w:val="center"/>
          </w:tcPr>
          <w:p>
            <w:pPr>
              <w:adjustRightInd w:val="0"/>
              <w:snapToGrid w:val="0"/>
              <w:jc w:val="center"/>
              <w:textAlignment w:val="baseline"/>
              <w:rPr>
                <w:color w:val="auto"/>
                <w:kern w:val="21"/>
              </w:rPr>
            </w:pPr>
            <w:r>
              <w:rPr>
                <w:color w:val="auto"/>
                <w:kern w:val="21"/>
              </w:rPr>
              <w:t>电镀行车</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8台</w:t>
            </w:r>
          </w:p>
        </w:tc>
        <w:tc>
          <w:tcPr>
            <w:tcW w:w="861" w:type="pct"/>
            <w:vAlign w:val="center"/>
          </w:tcPr>
          <w:p>
            <w:pPr>
              <w:jc w:val="center"/>
              <w:textAlignment w:val="center"/>
              <w:rPr>
                <w:rFonts w:hint="eastAsia" w:eastAsia="宋体"/>
                <w:color w:val="auto"/>
                <w:kern w:val="21"/>
                <w:lang w:eastAsia="zh-CN" w:bidi="ar"/>
              </w:rPr>
            </w:pPr>
            <w:r>
              <w:rPr>
                <w:rFonts w:hint="eastAsia"/>
                <w:color w:val="auto"/>
                <w:kern w:val="21"/>
                <w:lang w:val="en-US" w:eastAsia="zh-CN" w:bidi="ar"/>
              </w:rPr>
              <w:t>3条线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除油槽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L2500*W700*H1200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3个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酸洗槽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纯水洗槽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活化槽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纯水槽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镀镍槽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L2500*W900*H1200</w:t>
            </w:r>
          </w:p>
        </w:tc>
        <w:tc>
          <w:tcPr>
            <w:tcW w:w="915" w:type="pct"/>
            <w:vAlign w:val="center"/>
          </w:tcPr>
          <w:p>
            <w:pPr>
              <w:adjustRightInd w:val="0"/>
              <w:snapToGrid w:val="0"/>
              <w:jc w:val="center"/>
              <w:rPr>
                <w:color w:val="auto"/>
                <w:kern w:val="21"/>
              </w:rPr>
            </w:pPr>
            <w:r>
              <w:rPr>
                <w:rFonts w:hint="eastAsia"/>
                <w:color w:val="auto"/>
                <w:kern w:val="21"/>
              </w:rPr>
              <w:t>10个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回收槽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rPr>
                <w:color w:val="auto"/>
                <w:kern w:val="21"/>
              </w:rPr>
            </w:pPr>
            <w:r>
              <w:rPr>
                <w:rFonts w:hint="eastAsia"/>
                <w:color w:val="auto"/>
                <w:kern w:val="21"/>
                <w:lang w:bidi="ar"/>
              </w:rPr>
              <w:t>1个</w:t>
            </w:r>
          </w:p>
        </w:tc>
        <w:tc>
          <w:tcPr>
            <w:tcW w:w="861" w:type="pct"/>
            <w:vAlign w:val="center"/>
          </w:tcPr>
          <w:p>
            <w:pPr>
              <w:jc w:val="center"/>
              <w:textAlignment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lang w:bidi="ar"/>
              </w:rPr>
            </w:pPr>
            <w:r>
              <w:rPr>
                <w:rFonts w:hint="eastAsia"/>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漂白槽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钝化槽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3个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中和槽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纯水洗槽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封闭槽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空水槽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烘干箱</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滚桶</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L2200*φ650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35个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restart"/>
            <w:vAlign w:val="center"/>
          </w:tcPr>
          <w:p>
            <w:pPr>
              <w:adjustRightInd w:val="0"/>
              <w:snapToGrid w:val="0"/>
              <w:jc w:val="center"/>
              <w:textAlignment w:val="baseline"/>
              <w:rPr>
                <w:color w:val="auto"/>
                <w:kern w:val="21"/>
              </w:rPr>
            </w:pPr>
            <w:r>
              <w:rPr>
                <w:color w:val="auto"/>
                <w:kern w:val="21"/>
              </w:rPr>
              <w:t>钢壳镀镍线</w:t>
            </w:r>
            <w:r>
              <w:rPr>
                <w:rFonts w:hint="eastAsia"/>
                <w:color w:val="auto"/>
                <w:kern w:val="21"/>
              </w:rPr>
              <w:t>6条</w:t>
            </w:r>
            <w:r>
              <w:rPr>
                <w:color w:val="auto"/>
                <w:kern w:val="21"/>
              </w:rPr>
              <w:t>（</w:t>
            </w:r>
            <w:r>
              <w:rPr>
                <w:rFonts w:hint="eastAsia"/>
                <w:color w:val="auto"/>
                <w:kern w:val="21"/>
                <w:lang w:eastAsia="zh-CN"/>
              </w:rPr>
              <w:t>单条线</w:t>
            </w:r>
            <w:r>
              <w:rPr>
                <w:color w:val="auto"/>
                <w:kern w:val="21"/>
              </w:rPr>
              <w:t>）</w:t>
            </w:r>
          </w:p>
        </w:tc>
        <w:tc>
          <w:tcPr>
            <w:tcW w:w="1125" w:type="pct"/>
            <w:vAlign w:val="center"/>
          </w:tcPr>
          <w:p>
            <w:pPr>
              <w:adjustRightInd w:val="0"/>
              <w:snapToGrid w:val="0"/>
              <w:jc w:val="center"/>
              <w:textAlignment w:val="baseline"/>
              <w:rPr>
                <w:color w:val="auto"/>
                <w:kern w:val="21"/>
              </w:rPr>
            </w:pPr>
            <w:r>
              <w:rPr>
                <w:color w:val="auto"/>
                <w:kern w:val="21"/>
              </w:rPr>
              <w:t>电镀行车</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12台</w:t>
            </w:r>
          </w:p>
        </w:tc>
        <w:tc>
          <w:tcPr>
            <w:tcW w:w="861" w:type="pct"/>
            <w:vAlign w:val="center"/>
          </w:tcPr>
          <w:p>
            <w:pPr>
              <w:jc w:val="center"/>
              <w:textAlignment w:val="center"/>
              <w:rPr>
                <w:rFonts w:hint="eastAsia" w:eastAsia="宋体"/>
                <w:color w:val="auto"/>
                <w:kern w:val="21"/>
                <w:lang w:eastAsia="zh-CN"/>
              </w:rPr>
            </w:pPr>
            <w:r>
              <w:rPr>
                <w:rFonts w:hint="eastAsia"/>
                <w:color w:val="auto"/>
                <w:kern w:val="21"/>
                <w:lang w:val="en-US" w:eastAsia="zh-CN"/>
              </w:rPr>
              <w:t>6条线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除油槽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L2500*W700*H1200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9个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热水洗槽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酸洗槽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纯水洗槽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活化槽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纯水槽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镀镍槽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L2500*W900*H1200</w:t>
            </w:r>
          </w:p>
        </w:tc>
        <w:tc>
          <w:tcPr>
            <w:tcW w:w="915" w:type="pct"/>
            <w:vAlign w:val="center"/>
          </w:tcPr>
          <w:p>
            <w:pPr>
              <w:adjustRightInd w:val="0"/>
              <w:snapToGrid w:val="0"/>
              <w:jc w:val="center"/>
              <w:rPr>
                <w:color w:val="auto"/>
                <w:kern w:val="21"/>
              </w:rPr>
            </w:pPr>
            <w:r>
              <w:rPr>
                <w:rFonts w:hint="eastAsia"/>
                <w:color w:val="auto"/>
                <w:kern w:val="21"/>
              </w:rPr>
              <w:t>40个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回收槽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漂白槽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钝化槽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3个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中和槽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纯水洗槽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封闭槽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空水槽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烘干箱</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L2500*W800*H1200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4个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滚桶</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L2200*φ650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60</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restart"/>
            <w:vAlign w:val="center"/>
          </w:tcPr>
          <w:p>
            <w:pPr>
              <w:adjustRightInd w:val="0"/>
              <w:snapToGrid w:val="0"/>
              <w:jc w:val="center"/>
              <w:textAlignment w:val="baseline"/>
              <w:rPr>
                <w:color w:val="auto"/>
                <w:kern w:val="21"/>
              </w:rPr>
            </w:pPr>
            <w:r>
              <w:rPr>
                <w:color w:val="auto"/>
                <w:kern w:val="21"/>
              </w:rPr>
              <w:t>电池箱镀锌线</w:t>
            </w:r>
          </w:p>
        </w:tc>
        <w:tc>
          <w:tcPr>
            <w:tcW w:w="1125" w:type="pct"/>
            <w:vAlign w:val="center"/>
          </w:tcPr>
          <w:p>
            <w:pPr>
              <w:adjustRightInd w:val="0"/>
              <w:snapToGrid w:val="0"/>
              <w:jc w:val="center"/>
              <w:textAlignment w:val="baseline"/>
              <w:rPr>
                <w:color w:val="auto"/>
                <w:kern w:val="21"/>
              </w:rPr>
            </w:pPr>
            <w:r>
              <w:rPr>
                <w:color w:val="auto"/>
                <w:kern w:val="21"/>
              </w:rPr>
              <w:t>电镀行车</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L2500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5台</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rPr>
            </w:pPr>
            <w:r>
              <w:rPr>
                <w:color w:val="auto"/>
                <w:kern w:val="21"/>
              </w:rPr>
              <w:t>除油槽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L7000*W900*H1700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3个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L7000*W700*H1700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酸电解槽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L7000*W900*H1700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酸洗槽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L7000*W900*H1700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活化槽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镀锌槽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L7000*W1000*H1700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出光槽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L7000*W1000*H1700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钝化槽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L7000*W1000*H1700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封闭槽</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热水洗</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烘干箱</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L7000*W800*H1700</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2个</w:t>
            </w:r>
          </w:p>
        </w:tc>
        <w:tc>
          <w:tcPr>
            <w:tcW w:w="861" w:type="pct"/>
            <w:vAlign w:val="center"/>
          </w:tcPr>
          <w:p>
            <w:pPr>
              <w:jc w:val="center"/>
              <w:textAlignment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baseline"/>
              <w:rPr>
                <w:color w:val="auto"/>
                <w:kern w:val="21"/>
              </w:rPr>
            </w:pPr>
          </w:p>
        </w:tc>
        <w:tc>
          <w:tcPr>
            <w:tcW w:w="1125" w:type="pct"/>
            <w:vAlign w:val="center"/>
          </w:tcPr>
          <w:p>
            <w:pPr>
              <w:adjustRightInd w:val="0"/>
              <w:snapToGrid w:val="0"/>
              <w:jc w:val="center"/>
              <w:textAlignment w:val="baseline"/>
              <w:rPr>
                <w:color w:val="auto"/>
                <w:kern w:val="21"/>
                <w:lang w:bidi="ar"/>
              </w:rPr>
            </w:pPr>
            <w:r>
              <w:rPr>
                <w:color w:val="auto"/>
                <w:kern w:val="21"/>
                <w:lang w:bidi="ar"/>
              </w:rPr>
              <w:t>挂具</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16个</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restart"/>
            <w:vAlign w:val="center"/>
          </w:tcPr>
          <w:p>
            <w:pPr>
              <w:adjustRightInd w:val="0"/>
              <w:snapToGrid w:val="0"/>
              <w:jc w:val="center"/>
              <w:textAlignment w:val="center"/>
              <w:rPr>
                <w:color w:val="auto"/>
                <w:kern w:val="21"/>
              </w:rPr>
            </w:pPr>
            <w:r>
              <w:rPr>
                <w:color w:val="auto"/>
                <w:kern w:val="21"/>
              </w:rPr>
              <w:t>公用工程</w:t>
            </w:r>
          </w:p>
        </w:tc>
        <w:tc>
          <w:tcPr>
            <w:tcW w:w="1125" w:type="pct"/>
            <w:vMerge w:val="restart"/>
            <w:vAlign w:val="center"/>
          </w:tcPr>
          <w:p>
            <w:pPr>
              <w:adjustRightInd w:val="0"/>
              <w:snapToGrid w:val="0"/>
              <w:jc w:val="center"/>
              <w:textAlignment w:val="center"/>
              <w:rPr>
                <w:color w:val="auto"/>
                <w:kern w:val="21"/>
                <w:lang w:bidi="ar"/>
              </w:rPr>
            </w:pPr>
            <w:r>
              <w:rPr>
                <w:color w:val="auto"/>
                <w:kern w:val="21"/>
                <w:lang w:bidi="ar"/>
              </w:rPr>
              <w:t>燃气锅炉</w:t>
            </w:r>
          </w:p>
        </w:tc>
        <w:tc>
          <w:tcPr>
            <w:tcW w:w="1287" w:type="pct"/>
            <w:vAlign w:val="center"/>
          </w:tcPr>
          <w:p>
            <w:pPr>
              <w:adjustRightInd w:val="0"/>
              <w:snapToGrid w:val="0"/>
              <w:jc w:val="center"/>
              <w:textAlignment w:val="center"/>
              <w:rPr>
                <w:color w:val="auto"/>
                <w:kern w:val="21"/>
              </w:rPr>
            </w:pPr>
            <w:r>
              <w:rPr>
                <w:rFonts w:hint="eastAsia"/>
                <w:color w:val="auto"/>
                <w:kern w:val="21"/>
                <w:lang w:bidi="ar"/>
              </w:rPr>
              <w:t>4</w:t>
            </w:r>
            <w:r>
              <w:rPr>
                <w:color w:val="auto"/>
                <w:kern w:val="21"/>
                <w:lang w:bidi="ar"/>
              </w:rPr>
              <w:t>t/h</w:t>
            </w:r>
          </w:p>
        </w:tc>
        <w:tc>
          <w:tcPr>
            <w:tcW w:w="915" w:type="pct"/>
            <w:vAlign w:val="center"/>
          </w:tcPr>
          <w:p>
            <w:pPr>
              <w:jc w:val="center"/>
              <w:textAlignment w:val="center"/>
              <w:rPr>
                <w:color w:val="auto"/>
                <w:kern w:val="21"/>
              </w:rPr>
            </w:pPr>
            <w:r>
              <w:rPr>
                <w:rFonts w:hint="eastAsia"/>
                <w:color w:val="auto"/>
                <w:kern w:val="21"/>
              </w:rPr>
              <w:t>1台</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Merge w:val="continue"/>
            <w:vAlign w:val="center"/>
          </w:tcPr>
          <w:p>
            <w:pPr>
              <w:adjustRightInd w:val="0"/>
              <w:snapToGrid w:val="0"/>
              <w:jc w:val="center"/>
              <w:textAlignment w:val="center"/>
              <w:rPr>
                <w:color w:val="auto"/>
                <w:kern w:val="21"/>
                <w:lang w:bidi="ar"/>
              </w:rPr>
            </w:pP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6</w:t>
            </w:r>
            <w:r>
              <w:rPr>
                <w:color w:val="auto"/>
                <w:kern w:val="21"/>
                <w:lang w:bidi="ar"/>
              </w:rPr>
              <w:t>t/h</w:t>
            </w:r>
          </w:p>
        </w:tc>
        <w:tc>
          <w:tcPr>
            <w:tcW w:w="915" w:type="pct"/>
            <w:vAlign w:val="center"/>
          </w:tcPr>
          <w:p>
            <w:pPr>
              <w:jc w:val="center"/>
              <w:textAlignment w:val="center"/>
              <w:rPr>
                <w:color w:val="auto"/>
                <w:kern w:val="21"/>
              </w:rPr>
            </w:pPr>
            <w:r>
              <w:rPr>
                <w:rFonts w:hint="eastAsia"/>
                <w:color w:val="auto"/>
                <w:kern w:val="21"/>
              </w:rPr>
              <w:t>1台</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Align w:val="center"/>
          </w:tcPr>
          <w:p>
            <w:pPr>
              <w:adjustRightInd w:val="0"/>
              <w:snapToGrid w:val="0"/>
              <w:jc w:val="center"/>
              <w:textAlignment w:val="baseline"/>
              <w:rPr>
                <w:color w:val="auto"/>
                <w:kern w:val="21"/>
                <w:lang w:bidi="ar"/>
              </w:rPr>
            </w:pPr>
            <w:r>
              <w:rPr>
                <w:rFonts w:hint="eastAsia"/>
                <w:color w:val="auto"/>
                <w:kern w:val="21"/>
                <w:lang w:bidi="ar"/>
              </w:rPr>
              <w:t>纯水制备设备</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30t/h</w:t>
            </w:r>
          </w:p>
        </w:tc>
        <w:tc>
          <w:tcPr>
            <w:tcW w:w="915" w:type="pct"/>
            <w:vAlign w:val="center"/>
          </w:tcPr>
          <w:p>
            <w:pPr>
              <w:adjustRightInd w:val="0"/>
              <w:snapToGrid w:val="0"/>
              <w:jc w:val="center"/>
              <w:textAlignment w:val="center"/>
              <w:rPr>
                <w:color w:val="auto"/>
                <w:kern w:val="21"/>
                <w:lang w:bidi="ar"/>
              </w:rPr>
            </w:pPr>
            <w:r>
              <w:rPr>
                <w:rFonts w:hint="eastAsia"/>
                <w:color w:val="auto"/>
                <w:kern w:val="21"/>
                <w:lang w:bidi="ar"/>
              </w:rPr>
              <w:t>1套</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Merge w:val="restart"/>
            <w:vAlign w:val="center"/>
          </w:tcPr>
          <w:p>
            <w:pPr>
              <w:adjustRightInd w:val="0"/>
              <w:snapToGrid w:val="0"/>
              <w:jc w:val="center"/>
              <w:textAlignment w:val="baseline"/>
              <w:rPr>
                <w:color w:val="auto"/>
                <w:kern w:val="21"/>
                <w:lang w:bidi="ar"/>
              </w:rPr>
            </w:pPr>
            <w:r>
              <w:rPr>
                <w:color w:val="auto"/>
                <w:kern w:val="21"/>
                <w:lang w:bidi="ar"/>
              </w:rPr>
              <w:t>变压器</w:t>
            </w:r>
          </w:p>
        </w:tc>
        <w:tc>
          <w:tcPr>
            <w:tcW w:w="1287" w:type="pct"/>
            <w:vAlign w:val="center"/>
          </w:tcPr>
          <w:p>
            <w:pPr>
              <w:adjustRightInd w:val="0"/>
              <w:snapToGrid w:val="0"/>
              <w:jc w:val="center"/>
              <w:textAlignment w:val="center"/>
              <w:rPr>
                <w:color w:val="auto"/>
                <w:kern w:val="21"/>
              </w:rPr>
            </w:pPr>
            <w:r>
              <w:rPr>
                <w:color w:val="auto"/>
                <w:kern w:val="21"/>
                <w:lang w:bidi="ar"/>
              </w:rPr>
              <w:t>1</w:t>
            </w:r>
            <w:r>
              <w:rPr>
                <w:rFonts w:hint="eastAsia"/>
                <w:color w:val="auto"/>
                <w:kern w:val="21"/>
                <w:lang w:bidi="ar"/>
              </w:rPr>
              <w:t>0</w:t>
            </w:r>
            <w:r>
              <w:rPr>
                <w:color w:val="auto"/>
                <w:kern w:val="21"/>
                <w:lang w:bidi="ar"/>
              </w:rPr>
              <w:t>00KVA</w:t>
            </w:r>
          </w:p>
        </w:tc>
        <w:tc>
          <w:tcPr>
            <w:tcW w:w="915" w:type="pct"/>
            <w:vAlign w:val="center"/>
          </w:tcPr>
          <w:p>
            <w:pPr>
              <w:jc w:val="center"/>
              <w:textAlignment w:val="center"/>
              <w:rPr>
                <w:color w:val="auto"/>
                <w:kern w:val="21"/>
              </w:rPr>
            </w:pPr>
            <w:r>
              <w:rPr>
                <w:rFonts w:hint="eastAsia"/>
                <w:color w:val="auto"/>
                <w:kern w:val="21"/>
                <w:lang w:bidi="ar"/>
              </w:rPr>
              <w:t>1</w:t>
            </w:r>
            <w:r>
              <w:rPr>
                <w:color w:val="auto"/>
                <w:kern w:val="21"/>
                <w:lang w:bidi="ar"/>
              </w:rPr>
              <w:t>套</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Merge w:val="continue"/>
            <w:vAlign w:val="center"/>
          </w:tcPr>
          <w:p>
            <w:pPr>
              <w:adjustRightInd w:val="0"/>
              <w:snapToGrid w:val="0"/>
              <w:jc w:val="center"/>
              <w:textAlignment w:val="baseline"/>
              <w:rPr>
                <w:color w:val="auto"/>
                <w:kern w:val="21"/>
                <w:lang w:bidi="ar"/>
              </w:rPr>
            </w:pPr>
          </w:p>
        </w:tc>
        <w:tc>
          <w:tcPr>
            <w:tcW w:w="1287" w:type="pct"/>
            <w:vAlign w:val="center"/>
          </w:tcPr>
          <w:p>
            <w:pPr>
              <w:adjustRightInd w:val="0"/>
              <w:snapToGrid w:val="0"/>
              <w:jc w:val="center"/>
              <w:textAlignment w:val="center"/>
              <w:rPr>
                <w:color w:val="auto"/>
                <w:kern w:val="21"/>
              </w:rPr>
            </w:pPr>
            <w:r>
              <w:rPr>
                <w:rFonts w:hint="eastAsia"/>
                <w:color w:val="auto"/>
                <w:kern w:val="21"/>
                <w:lang w:bidi="ar"/>
              </w:rPr>
              <w:t>5</w:t>
            </w:r>
            <w:r>
              <w:rPr>
                <w:color w:val="auto"/>
                <w:kern w:val="21"/>
                <w:lang w:bidi="ar"/>
              </w:rPr>
              <w:t>00KVA</w:t>
            </w:r>
          </w:p>
        </w:tc>
        <w:tc>
          <w:tcPr>
            <w:tcW w:w="915" w:type="pct"/>
            <w:vAlign w:val="center"/>
          </w:tcPr>
          <w:p>
            <w:pPr>
              <w:jc w:val="center"/>
              <w:textAlignment w:val="center"/>
              <w:rPr>
                <w:color w:val="auto"/>
                <w:kern w:val="21"/>
              </w:rPr>
            </w:pPr>
            <w:r>
              <w:rPr>
                <w:rFonts w:hint="eastAsia"/>
                <w:color w:val="auto"/>
                <w:kern w:val="21"/>
                <w:lang w:bidi="ar"/>
              </w:rPr>
              <w:t>1</w:t>
            </w:r>
            <w:r>
              <w:rPr>
                <w:color w:val="auto"/>
                <w:kern w:val="21"/>
                <w:lang w:bidi="ar"/>
              </w:rPr>
              <w:t>套</w:t>
            </w:r>
          </w:p>
        </w:tc>
        <w:tc>
          <w:tcPr>
            <w:tcW w:w="861" w:type="pct"/>
            <w:vAlign w:val="center"/>
          </w:tcPr>
          <w:p>
            <w:pPr>
              <w:jc w:val="center"/>
              <w:textAlignment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2" w:type="pct"/>
            <w:vMerge w:val="continue"/>
            <w:vAlign w:val="center"/>
          </w:tcPr>
          <w:p>
            <w:pPr>
              <w:adjustRightInd w:val="0"/>
              <w:snapToGrid w:val="0"/>
              <w:jc w:val="center"/>
              <w:textAlignment w:val="center"/>
              <w:rPr>
                <w:color w:val="auto"/>
                <w:kern w:val="21"/>
              </w:rPr>
            </w:pPr>
          </w:p>
        </w:tc>
        <w:tc>
          <w:tcPr>
            <w:tcW w:w="1125" w:type="pct"/>
            <w:vAlign w:val="center"/>
          </w:tcPr>
          <w:p>
            <w:pPr>
              <w:adjustRightInd w:val="0"/>
              <w:snapToGrid w:val="0"/>
              <w:jc w:val="center"/>
              <w:textAlignment w:val="baseline"/>
              <w:rPr>
                <w:color w:val="auto"/>
                <w:kern w:val="21"/>
                <w:lang w:bidi="ar"/>
              </w:rPr>
            </w:pPr>
            <w:r>
              <w:rPr>
                <w:rFonts w:hint="eastAsia"/>
                <w:color w:val="auto"/>
                <w:kern w:val="21"/>
                <w:lang w:bidi="ar"/>
              </w:rPr>
              <w:t>包装机</w:t>
            </w:r>
          </w:p>
        </w:tc>
        <w:tc>
          <w:tcPr>
            <w:tcW w:w="1287" w:type="pct"/>
            <w:vAlign w:val="center"/>
          </w:tcPr>
          <w:p>
            <w:pPr>
              <w:adjustRightInd w:val="0"/>
              <w:snapToGrid w:val="0"/>
              <w:jc w:val="center"/>
              <w:textAlignment w:val="center"/>
              <w:rPr>
                <w:color w:val="auto"/>
                <w:kern w:val="21"/>
                <w:lang w:bidi="ar"/>
              </w:rPr>
            </w:pPr>
            <w:r>
              <w:rPr>
                <w:rFonts w:hint="eastAsia"/>
                <w:color w:val="auto"/>
                <w:kern w:val="21"/>
                <w:lang w:bidi="ar"/>
              </w:rPr>
              <w:t>/</w:t>
            </w:r>
          </w:p>
        </w:tc>
        <w:tc>
          <w:tcPr>
            <w:tcW w:w="915" w:type="pct"/>
            <w:vAlign w:val="center"/>
          </w:tcPr>
          <w:p>
            <w:pPr>
              <w:jc w:val="center"/>
              <w:textAlignment w:val="center"/>
              <w:rPr>
                <w:color w:val="auto"/>
                <w:kern w:val="21"/>
                <w:lang w:bidi="ar"/>
              </w:rPr>
            </w:pPr>
            <w:r>
              <w:rPr>
                <w:rFonts w:hint="eastAsia"/>
                <w:color w:val="auto"/>
                <w:kern w:val="21"/>
                <w:lang w:bidi="ar"/>
              </w:rPr>
              <w:t>8台</w:t>
            </w:r>
          </w:p>
        </w:tc>
        <w:tc>
          <w:tcPr>
            <w:tcW w:w="861" w:type="pct"/>
            <w:vAlign w:val="center"/>
          </w:tcPr>
          <w:p>
            <w:pPr>
              <w:jc w:val="center"/>
              <w:textAlignment w:val="center"/>
              <w:rPr>
                <w:color w:val="auto"/>
                <w:kern w:val="21"/>
              </w:rPr>
            </w:pPr>
            <w:r>
              <w:rPr>
                <w:rFonts w:hint="eastAsia"/>
                <w:color w:val="auto"/>
                <w:kern w:val="21"/>
              </w:rPr>
              <w:t>/</w:t>
            </w:r>
          </w:p>
        </w:tc>
      </w:tr>
    </w:tbl>
    <w:p>
      <w:pPr>
        <w:pStyle w:val="5"/>
        <w:keepNext w:val="0"/>
        <w:keepLines w:val="0"/>
        <w:snapToGrid w:val="0"/>
        <w:spacing w:before="0" w:beforeLines="0" w:after="0" w:afterLines="0"/>
        <w:jc w:val="both"/>
        <w:rPr>
          <w:b/>
          <w:bCs/>
          <w:color w:val="auto"/>
          <w:kern w:val="21"/>
          <w:sz w:val="28"/>
          <w:szCs w:val="28"/>
          <w:u w:val="single"/>
        </w:rPr>
      </w:pPr>
      <w:r>
        <w:rPr>
          <w:b/>
          <w:bCs/>
          <w:color w:val="auto"/>
          <w:kern w:val="21"/>
          <w:sz w:val="28"/>
          <w:szCs w:val="28"/>
          <w:u w:val="single"/>
        </w:rPr>
        <w:t>3.2.</w:t>
      </w:r>
      <w:r>
        <w:rPr>
          <w:rFonts w:hint="eastAsia"/>
          <w:b/>
          <w:bCs/>
          <w:color w:val="auto"/>
          <w:kern w:val="21"/>
          <w:sz w:val="28"/>
          <w:szCs w:val="28"/>
          <w:u w:val="single"/>
        </w:rPr>
        <w:t>4</w:t>
      </w:r>
      <w:r>
        <w:rPr>
          <w:b/>
          <w:bCs/>
          <w:color w:val="auto"/>
          <w:kern w:val="21"/>
          <w:sz w:val="28"/>
          <w:szCs w:val="28"/>
          <w:u w:val="single"/>
        </w:rPr>
        <w:t>项目主要原辅材料</w:t>
      </w:r>
      <w:bookmarkEnd w:id="174"/>
      <w:bookmarkEnd w:id="175"/>
    </w:p>
    <w:p>
      <w:pPr>
        <w:pStyle w:val="313"/>
        <w:adjustRightInd w:val="0"/>
        <w:snapToGrid w:val="0"/>
        <w:ind w:firstLine="480"/>
        <w:rPr>
          <w:rFonts w:ascii="Times New Roman" w:hAnsi="Times New Roman" w:cs="Times New Roman"/>
          <w:b/>
          <w:bCs/>
          <w:color w:val="auto"/>
          <w:kern w:val="21"/>
          <w:u w:val="single"/>
        </w:rPr>
      </w:pPr>
      <w:r>
        <w:rPr>
          <w:rFonts w:ascii="Times New Roman" w:hAnsi="Times New Roman" w:cs="Times New Roman"/>
          <w:b/>
          <w:bCs/>
          <w:color w:val="auto"/>
          <w:kern w:val="21"/>
          <w:u w:val="single"/>
        </w:rPr>
        <w:t>本项目主要原辅材料见表3.2-</w:t>
      </w:r>
      <w:r>
        <w:rPr>
          <w:rFonts w:hint="eastAsia" w:ascii="Times New Roman" w:hAnsi="Times New Roman" w:cs="Times New Roman"/>
          <w:b/>
          <w:bCs/>
          <w:color w:val="auto"/>
          <w:kern w:val="21"/>
          <w:u w:val="single"/>
          <w:lang w:val="en-US" w:eastAsia="zh-CN"/>
        </w:rPr>
        <w:t>5</w:t>
      </w:r>
      <w:r>
        <w:rPr>
          <w:rFonts w:ascii="Times New Roman" w:hAnsi="Times New Roman" w:cs="Times New Roman"/>
          <w:b/>
          <w:bCs/>
          <w:color w:val="auto"/>
          <w:kern w:val="21"/>
          <w:u w:val="single"/>
        </w:rPr>
        <w:t>。</w:t>
      </w:r>
    </w:p>
    <w:p>
      <w:pPr>
        <w:adjustRightInd w:val="0"/>
        <w:snapToGrid w:val="0"/>
        <w:jc w:val="center"/>
        <w:rPr>
          <w:rFonts w:eastAsia="黑体"/>
          <w:b/>
          <w:bCs/>
          <w:color w:val="auto"/>
          <w:kern w:val="21"/>
          <w:sz w:val="24"/>
          <w:u w:val="single"/>
        </w:rPr>
      </w:pPr>
      <w:r>
        <w:rPr>
          <w:rFonts w:eastAsia="黑体"/>
          <w:b/>
          <w:bCs/>
          <w:color w:val="auto"/>
          <w:kern w:val="21"/>
          <w:sz w:val="24"/>
          <w:u w:val="single"/>
        </w:rPr>
        <w:t>表3.2-</w:t>
      </w:r>
      <w:r>
        <w:rPr>
          <w:rFonts w:hint="eastAsia" w:eastAsia="黑体"/>
          <w:b/>
          <w:bCs/>
          <w:color w:val="auto"/>
          <w:kern w:val="21"/>
          <w:sz w:val="24"/>
          <w:u w:val="single"/>
          <w:lang w:val="en-US" w:eastAsia="zh-CN"/>
        </w:rPr>
        <w:t>5</w:t>
      </w:r>
      <w:r>
        <w:rPr>
          <w:rFonts w:eastAsia="黑体"/>
          <w:b/>
          <w:bCs/>
          <w:color w:val="auto"/>
          <w:kern w:val="21"/>
          <w:sz w:val="24"/>
          <w:u w:val="single"/>
        </w:rPr>
        <w:t xml:space="preserve">  主要原辅材料一览表</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2"/>
        <w:gridCol w:w="1377"/>
        <w:gridCol w:w="1599"/>
        <w:gridCol w:w="992"/>
        <w:gridCol w:w="705"/>
        <w:gridCol w:w="1272"/>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85" w:type="dxa"/>
            <w:gridSpan w:val="2"/>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原料名称</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规格</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用量（t/a）</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状态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包装</w:t>
            </w:r>
          </w:p>
        </w:tc>
        <w:tc>
          <w:tcPr>
            <w:tcW w:w="901" w:type="dxa"/>
            <w:shd w:val="clear" w:color="auto" w:fill="auto"/>
            <w:vAlign w:val="center"/>
          </w:tcPr>
          <w:p>
            <w:pPr>
              <w:adjustRightInd w:val="0"/>
              <w:snapToGrid w:val="0"/>
              <w:jc w:val="center"/>
              <w:rPr>
                <w:rFonts w:hint="eastAsia"/>
                <w:b/>
                <w:bCs/>
                <w:color w:val="auto"/>
                <w:kern w:val="21"/>
                <w:u w:val="single"/>
              </w:rPr>
            </w:pPr>
            <w:r>
              <w:rPr>
                <w:rFonts w:hint="eastAsia"/>
                <w:b/>
                <w:bCs/>
                <w:color w:val="auto"/>
                <w:kern w:val="21"/>
                <w:u w:val="single"/>
              </w:rPr>
              <w:t>储存</w:t>
            </w:r>
          </w:p>
          <w:p>
            <w:pPr>
              <w:adjustRightInd w:val="0"/>
              <w:snapToGrid w:val="0"/>
              <w:jc w:val="center"/>
              <w:rPr>
                <w:b/>
                <w:bCs/>
                <w:color w:val="auto"/>
                <w:kern w:val="21"/>
                <w:u w:val="single"/>
              </w:rPr>
            </w:pPr>
            <w:r>
              <w:rPr>
                <w:rFonts w:hint="eastAsia"/>
                <w:b/>
                <w:bCs/>
                <w:color w:val="auto"/>
                <w:kern w:val="21"/>
                <w:u w:val="single"/>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机加工工序</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钢壳钢带</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0.3mm*130mm</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40917</w:t>
            </w:r>
          </w:p>
        </w:tc>
        <w:tc>
          <w:tcPr>
            <w:tcW w:w="708" w:type="dxa"/>
            <w:shd w:val="clear" w:color="auto" w:fill="auto"/>
            <w:vAlign w:val="center"/>
          </w:tcPr>
          <w:p>
            <w:pPr>
              <w:adjustRightInd w:val="0"/>
              <w:snapToGrid w:val="0"/>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1828kg/卷</w:t>
            </w:r>
          </w:p>
        </w:tc>
        <w:tc>
          <w:tcPr>
            <w:tcW w:w="901"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南车间原料区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盖帽钢带</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0.3mm*20mm</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3022</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70kg/卷</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电池箱钢卷</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1.0mm*800mm</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10943</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28t/卷</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焊丝</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0.8mm</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79.2</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15kg/卷</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齿轮油</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90</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180kg/桶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拉伸油</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350</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180kg/桶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前处理工序</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碱性脱脂剂</w:t>
            </w:r>
          </w:p>
        </w:tc>
        <w:tc>
          <w:tcPr>
            <w:tcW w:w="1559" w:type="dxa"/>
            <w:shd w:val="clear" w:color="auto" w:fill="auto"/>
            <w:vAlign w:val="center"/>
          </w:tcPr>
          <w:p>
            <w:pPr>
              <w:pStyle w:val="283"/>
              <w:jc w:val="center"/>
              <w:rPr>
                <w:rFonts w:ascii="Times New Roman" w:cs="Times New Roman"/>
                <w:b/>
                <w:bCs/>
                <w:color w:val="auto"/>
                <w:kern w:val="21"/>
                <w:sz w:val="21"/>
                <w:szCs w:val="21"/>
                <w:u w:val="single"/>
              </w:rPr>
            </w:pPr>
            <w:r>
              <w:rPr>
                <w:rFonts w:ascii="Times New Roman" w:cs="Times New Roman"/>
                <w:b/>
                <w:bCs/>
                <w:color w:val="auto"/>
                <w:kern w:val="21"/>
                <w:sz w:val="21"/>
                <w:szCs w:val="21"/>
                <w:u w:val="single"/>
              </w:rPr>
              <w:t>主要成分：氢氧化钠</w:t>
            </w:r>
            <w:r>
              <w:rPr>
                <w:rFonts w:hint="eastAsia" w:ascii="Times New Roman" w:cs="Times New Roman"/>
                <w:b/>
                <w:bCs/>
                <w:color w:val="auto"/>
                <w:kern w:val="21"/>
                <w:sz w:val="21"/>
                <w:szCs w:val="21"/>
                <w:u w:val="single"/>
              </w:rPr>
              <w:t>、</w:t>
            </w:r>
            <w:r>
              <w:rPr>
                <w:rFonts w:ascii="Times New Roman" w:cs="Times New Roman"/>
                <w:b/>
                <w:bCs/>
                <w:color w:val="auto"/>
                <w:kern w:val="21"/>
                <w:sz w:val="21"/>
                <w:szCs w:val="21"/>
                <w:u w:val="single"/>
              </w:rPr>
              <w:t>碳酸钠</w:t>
            </w:r>
            <w:r>
              <w:rPr>
                <w:rFonts w:hint="eastAsia" w:ascii="Times New Roman" w:cs="Times New Roman"/>
                <w:b/>
                <w:bCs/>
                <w:color w:val="auto"/>
                <w:kern w:val="21"/>
                <w:sz w:val="21"/>
                <w:szCs w:val="21"/>
                <w:u w:val="single"/>
              </w:rPr>
              <w:t>、表面活性剂；</w:t>
            </w:r>
            <w:r>
              <w:rPr>
                <w:rFonts w:ascii="Times New Roman" w:cs="Times New Roman"/>
                <w:b/>
                <w:bCs/>
                <w:color w:val="auto"/>
                <w:kern w:val="21"/>
                <w:sz w:val="21"/>
                <w:szCs w:val="21"/>
                <w:u w:val="single"/>
              </w:rPr>
              <w:t>含量50g/L</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77</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北车间原料区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盐酸</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35%</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359.17</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10T储罐</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电镀工序</w:t>
            </w:r>
          </w:p>
          <w:p>
            <w:pPr>
              <w:adjustRightInd w:val="0"/>
              <w:snapToGrid w:val="0"/>
              <w:jc w:val="center"/>
              <w:rPr>
                <w:b/>
                <w:bCs/>
                <w:color w:val="auto"/>
                <w:kern w:val="21"/>
                <w:u w:val="single"/>
              </w:rPr>
            </w:pPr>
            <w:r>
              <w:rPr>
                <w:rFonts w:hint="eastAsia"/>
                <w:b/>
                <w:bCs/>
                <w:color w:val="auto"/>
                <w:kern w:val="21"/>
                <w:u w:val="single"/>
              </w:rPr>
              <w:t>（镀镍、镀锌）</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镍板</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99.99%</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675.706</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5kg/块</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氯化镍</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95%</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109.926</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硫酸镍</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95%</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200.307</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氯化锌</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95%</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2.114</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锌板</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99.99%</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42.112</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5kg/块</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硼酸</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99%</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37</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柔软剂</w:t>
            </w:r>
          </w:p>
        </w:tc>
        <w:tc>
          <w:tcPr>
            <w:tcW w:w="1559" w:type="dxa"/>
            <w:shd w:val="clear" w:color="auto" w:fill="auto"/>
            <w:vAlign w:val="center"/>
          </w:tcPr>
          <w:p>
            <w:pPr>
              <w:widowControl w:val="0"/>
              <w:adjustRightInd w:val="0"/>
              <w:snapToGrid w:val="0"/>
              <w:jc w:val="center"/>
              <w:rPr>
                <w:b/>
                <w:bCs/>
                <w:color w:val="auto"/>
                <w:kern w:val="21"/>
                <w:u w:val="single"/>
              </w:rPr>
            </w:pPr>
            <w:r>
              <w:rPr>
                <w:rFonts w:hint="eastAsia"/>
                <w:b/>
                <w:bCs/>
                <w:color w:val="auto"/>
                <w:kern w:val="21"/>
                <w:u w:val="single"/>
              </w:rPr>
              <w:t>糖精钠</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92</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光亮剂</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丁炔二醇，糖精，丙烷磺酸吡啶嗡盐</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11</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漂白</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柠檬酸</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5g/L</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22</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葡萄糖酸钠</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5.5</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中和</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氢氧化钠</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99%</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66</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钝化</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铬酸酐</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99%</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257.966</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50kg/桶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b/>
                <w:bCs/>
                <w:color w:val="auto"/>
                <w:kern w:val="21"/>
                <w:u w:val="single"/>
              </w:rPr>
              <w:t>三价铬钝化剂</w:t>
            </w:r>
          </w:p>
        </w:tc>
        <w:tc>
          <w:tcPr>
            <w:tcW w:w="1559" w:type="dxa"/>
            <w:shd w:val="clear" w:color="auto" w:fill="auto"/>
            <w:vAlign w:val="center"/>
          </w:tcPr>
          <w:p>
            <w:pPr>
              <w:widowControl w:val="0"/>
              <w:autoSpaceDE w:val="0"/>
              <w:autoSpaceDN w:val="0"/>
              <w:adjustRightInd w:val="0"/>
              <w:rPr>
                <w:b/>
                <w:bCs/>
                <w:color w:val="auto"/>
                <w:kern w:val="21"/>
                <w:u w:val="single"/>
              </w:rPr>
            </w:pPr>
            <w:r>
              <w:rPr>
                <w:rFonts w:hint="eastAsia"/>
                <w:b/>
                <w:bCs/>
                <w:color w:val="auto"/>
                <w:kern w:val="21"/>
                <w:u w:val="single"/>
              </w:rPr>
              <w:t>硝酸铬及络合剂、促进剂等化学混合物</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10.277</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出光</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硫酸</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98%</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32</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5T储罐</w:t>
            </w:r>
          </w:p>
        </w:tc>
        <w:tc>
          <w:tcPr>
            <w:tcW w:w="901" w:type="dxa"/>
            <w:vMerge w:val="continue"/>
            <w:shd w:val="clear" w:color="auto" w:fill="auto"/>
            <w:vAlign w:val="center"/>
          </w:tcPr>
          <w:p>
            <w:pPr>
              <w:widowControl w:val="0"/>
              <w:adjustRightInd w:val="0"/>
              <w:snapToGrid w:val="0"/>
              <w:spacing w:line="480" w:lineRule="exact"/>
              <w:ind w:firstLine="422" w:firstLineChars="20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封闭</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封闭剂</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AES和甘油</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5.5</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50kg/桶</w:t>
            </w:r>
          </w:p>
        </w:tc>
        <w:tc>
          <w:tcPr>
            <w:tcW w:w="901" w:type="dxa"/>
            <w:vMerge w:val="continue"/>
            <w:shd w:val="clear" w:color="auto" w:fill="auto"/>
            <w:vAlign w:val="center"/>
          </w:tcPr>
          <w:p>
            <w:pPr>
              <w:adjustRightInd w:val="0"/>
              <w:snapToGrid w:val="0"/>
              <w:jc w:val="center"/>
              <w:rPr>
                <w:b/>
                <w:bCs/>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污水处理系统</w:t>
            </w: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硫酸</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98%</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4.5</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500L PE罐</w:t>
            </w:r>
          </w:p>
        </w:tc>
        <w:tc>
          <w:tcPr>
            <w:tcW w:w="901" w:type="dxa"/>
            <w:vMerge w:val="restart"/>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亚硫酸氢钠</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1.5</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widowControl w:val="0"/>
              <w:adjustRightInd w:val="0"/>
              <w:snapToGrid w:val="0"/>
              <w:spacing w:line="360" w:lineRule="auto"/>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双氧水</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5</w:t>
            </w:r>
          </w:p>
        </w:tc>
        <w:tc>
          <w:tcPr>
            <w:tcW w:w="708" w:type="dxa"/>
            <w:shd w:val="clear" w:color="auto" w:fill="auto"/>
            <w:vAlign w:val="center"/>
          </w:tcPr>
          <w:p>
            <w:pPr>
              <w:adjustRightInd w:val="0"/>
              <w:snapToGrid w:val="0"/>
              <w:jc w:val="center"/>
              <w:rPr>
                <w:rFonts w:hint="eastAsia" w:eastAsia="宋体"/>
                <w:b/>
                <w:bCs/>
                <w:color w:val="auto"/>
                <w:kern w:val="21"/>
                <w:u w:val="single"/>
                <w:lang w:val="en-US" w:eastAsia="zh-CN"/>
              </w:rPr>
            </w:pPr>
            <w:r>
              <w:rPr>
                <w:rFonts w:hint="eastAsia"/>
                <w:b/>
                <w:bCs/>
                <w:color w:val="auto"/>
                <w:kern w:val="21"/>
                <w:u w:val="single"/>
                <w:lang w:val="en-US" w:eastAsia="zh-CN"/>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1T储罐</w:t>
            </w:r>
          </w:p>
        </w:tc>
        <w:tc>
          <w:tcPr>
            <w:tcW w:w="901" w:type="dxa"/>
            <w:vMerge w:val="continue"/>
            <w:shd w:val="clear" w:color="auto" w:fill="auto"/>
            <w:vAlign w:val="center"/>
          </w:tcPr>
          <w:p>
            <w:pPr>
              <w:widowControl w:val="0"/>
              <w:adjustRightInd w:val="0"/>
              <w:snapToGrid w:val="0"/>
              <w:spacing w:line="360" w:lineRule="auto"/>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片碱</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NaoH</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0.75</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破乳剂</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成分：表面活性剂</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0.35</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混凝剂</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成分：PAM、PAC</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25.2</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氯化钙</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3.2</w:t>
            </w:r>
          </w:p>
        </w:tc>
        <w:tc>
          <w:tcPr>
            <w:tcW w:w="708"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固态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
                <w:bCs/>
                <w:color w:val="auto"/>
                <w:kern w:val="21"/>
                <w:u w:val="single"/>
              </w:rPr>
            </w:pPr>
          </w:p>
        </w:tc>
        <w:tc>
          <w:tcPr>
            <w:tcW w:w="138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阻垢剂</w:t>
            </w:r>
          </w:p>
        </w:tc>
        <w:tc>
          <w:tcPr>
            <w:tcW w:w="1559"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w:t>
            </w:r>
          </w:p>
        </w:tc>
        <w:tc>
          <w:tcPr>
            <w:tcW w:w="993"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0.05</w:t>
            </w:r>
          </w:p>
        </w:tc>
        <w:tc>
          <w:tcPr>
            <w:tcW w:w="708" w:type="dxa"/>
            <w:shd w:val="clear" w:color="auto" w:fill="auto"/>
            <w:vAlign w:val="center"/>
          </w:tcPr>
          <w:p>
            <w:pPr>
              <w:adjustRightInd w:val="0"/>
              <w:snapToGrid w:val="0"/>
              <w:jc w:val="center"/>
              <w:rPr>
                <w:b/>
                <w:bCs/>
                <w:color w:val="auto"/>
                <w:kern w:val="21"/>
                <w:u w:val="single"/>
              </w:rPr>
            </w:pPr>
            <w:r>
              <w:rPr>
                <w:b/>
                <w:bCs/>
                <w:color w:val="auto"/>
                <w:kern w:val="21"/>
                <w:u w:val="single"/>
              </w:rPr>
              <w:t>液态</w:t>
            </w:r>
          </w:p>
        </w:tc>
        <w:tc>
          <w:tcPr>
            <w:tcW w:w="1276" w:type="dxa"/>
            <w:shd w:val="clear" w:color="auto" w:fill="auto"/>
            <w:vAlign w:val="center"/>
          </w:tcPr>
          <w:p>
            <w:pPr>
              <w:adjustRightInd w:val="0"/>
              <w:snapToGrid w:val="0"/>
              <w:jc w:val="center"/>
              <w:rPr>
                <w:b/>
                <w:bCs/>
                <w:color w:val="auto"/>
                <w:kern w:val="21"/>
                <w:u w:val="single"/>
              </w:rPr>
            </w:pPr>
            <w:r>
              <w:rPr>
                <w:rFonts w:hint="eastAsia"/>
                <w:b/>
                <w:bCs/>
                <w:color w:val="auto"/>
                <w:kern w:val="21"/>
                <w:u w:val="single"/>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资源能源</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水</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1701" w:type="dxa"/>
            <w:gridSpan w:val="2"/>
            <w:shd w:val="clear" w:color="auto" w:fill="auto"/>
            <w:vAlign w:val="center"/>
          </w:tcPr>
          <w:p>
            <w:pPr>
              <w:adjustRightInd w:val="0"/>
              <w:snapToGrid w:val="0"/>
              <w:jc w:val="center"/>
              <w:rPr>
                <w:bCs/>
                <w:color w:val="auto"/>
                <w:kern w:val="21"/>
              </w:rPr>
            </w:pPr>
            <w:r>
              <w:rPr>
                <w:rFonts w:hint="eastAsia"/>
                <w:bCs/>
                <w:color w:val="auto"/>
                <w:kern w:val="21"/>
              </w:rPr>
              <w:t>31965.731</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01" w:type="dxa"/>
            <w:shd w:val="clear" w:color="auto" w:fill="auto"/>
            <w:vAlign w:val="center"/>
          </w:tcPr>
          <w:p>
            <w:pPr>
              <w:adjustRightInd w:val="0"/>
              <w:snapToGrid w:val="0"/>
              <w:jc w:val="center"/>
              <w:rPr>
                <w:rFonts w:hint="eastAsia"/>
                <w:bCs/>
                <w:color w:val="auto"/>
                <w:kern w:val="21"/>
              </w:rPr>
            </w:pPr>
            <w:r>
              <w:rPr>
                <w:rFonts w:hint="eastAsia"/>
                <w:bCs/>
                <w:color w:val="auto"/>
                <w:kern w:val="21"/>
              </w:rPr>
              <w:t>管网</w:t>
            </w:r>
          </w:p>
          <w:p>
            <w:pPr>
              <w:adjustRightInd w:val="0"/>
              <w:snapToGrid w:val="0"/>
              <w:jc w:val="center"/>
              <w:rPr>
                <w:bCs/>
                <w:color w:val="auto"/>
                <w:kern w:val="21"/>
              </w:rPr>
            </w:pPr>
            <w:r>
              <w:rPr>
                <w:rFonts w:hint="eastAsia"/>
                <w:bCs/>
                <w:color w:val="auto"/>
                <w:kern w:val="21"/>
              </w:rPr>
              <w:t>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电</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1701" w:type="dxa"/>
            <w:gridSpan w:val="2"/>
            <w:shd w:val="clear" w:color="auto" w:fill="auto"/>
            <w:vAlign w:val="center"/>
          </w:tcPr>
          <w:p>
            <w:pPr>
              <w:adjustRightInd w:val="0"/>
              <w:snapToGrid w:val="0"/>
              <w:jc w:val="center"/>
              <w:rPr>
                <w:bCs/>
                <w:color w:val="auto"/>
                <w:kern w:val="21"/>
              </w:rPr>
            </w:pPr>
            <w:r>
              <w:rPr>
                <w:rFonts w:hint="eastAsia"/>
                <w:bCs/>
                <w:color w:val="auto"/>
                <w:kern w:val="21"/>
              </w:rPr>
              <w:t>720万kwh</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01" w:type="dxa"/>
            <w:shd w:val="clear" w:color="auto" w:fill="auto"/>
            <w:vAlign w:val="center"/>
          </w:tcPr>
          <w:p>
            <w:pPr>
              <w:adjustRightInd w:val="0"/>
              <w:snapToGrid w:val="0"/>
              <w:jc w:val="center"/>
              <w:rPr>
                <w:rFonts w:hint="eastAsia"/>
                <w:bCs/>
                <w:color w:val="auto"/>
                <w:kern w:val="21"/>
              </w:rPr>
            </w:pPr>
            <w:r>
              <w:rPr>
                <w:rFonts w:hint="eastAsia"/>
                <w:bCs/>
                <w:color w:val="auto"/>
                <w:kern w:val="21"/>
              </w:rPr>
              <w:t>电网</w:t>
            </w:r>
          </w:p>
          <w:p>
            <w:pPr>
              <w:adjustRightInd w:val="0"/>
              <w:snapToGrid w:val="0"/>
              <w:jc w:val="center"/>
              <w:rPr>
                <w:bCs/>
                <w:color w:val="auto"/>
                <w:kern w:val="21"/>
              </w:rPr>
            </w:pPr>
            <w:r>
              <w:rPr>
                <w:rFonts w:hint="eastAsia"/>
                <w:bCs/>
                <w:color w:val="auto"/>
                <w:kern w:val="21"/>
              </w:rPr>
              <w:t>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天然气</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1701" w:type="dxa"/>
            <w:gridSpan w:val="2"/>
            <w:shd w:val="clear" w:color="auto" w:fill="auto"/>
            <w:vAlign w:val="center"/>
          </w:tcPr>
          <w:p>
            <w:pPr>
              <w:adjustRightInd w:val="0"/>
              <w:snapToGrid w:val="0"/>
              <w:jc w:val="center"/>
              <w:rPr>
                <w:bCs/>
                <w:color w:val="auto"/>
                <w:kern w:val="21"/>
              </w:rPr>
            </w:pPr>
            <w:r>
              <w:rPr>
                <w:rFonts w:hint="eastAsia"/>
                <w:bCs/>
                <w:color w:val="auto"/>
                <w:kern w:val="21"/>
              </w:rPr>
              <w:t>434.44万m</w:t>
            </w:r>
            <w:r>
              <w:rPr>
                <w:rFonts w:hint="eastAsia"/>
                <w:bCs/>
                <w:color w:val="auto"/>
                <w:kern w:val="21"/>
                <w:vertAlign w:val="superscript"/>
              </w:rPr>
              <w:t>3</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01" w:type="dxa"/>
            <w:shd w:val="clear" w:color="auto" w:fill="auto"/>
            <w:vAlign w:val="center"/>
          </w:tcPr>
          <w:p>
            <w:pPr>
              <w:adjustRightInd w:val="0"/>
              <w:snapToGrid w:val="0"/>
              <w:jc w:val="center"/>
              <w:rPr>
                <w:rFonts w:hint="eastAsia"/>
                <w:bCs/>
                <w:color w:val="auto"/>
                <w:kern w:val="21"/>
              </w:rPr>
            </w:pPr>
            <w:r>
              <w:rPr>
                <w:rFonts w:hint="eastAsia"/>
                <w:bCs/>
                <w:color w:val="auto"/>
                <w:kern w:val="21"/>
              </w:rPr>
              <w:t>管道</w:t>
            </w:r>
          </w:p>
          <w:p>
            <w:pPr>
              <w:adjustRightInd w:val="0"/>
              <w:snapToGrid w:val="0"/>
              <w:jc w:val="center"/>
              <w:rPr>
                <w:bCs/>
                <w:color w:val="auto"/>
                <w:kern w:val="21"/>
              </w:rPr>
            </w:pPr>
            <w:r>
              <w:rPr>
                <w:rFonts w:hint="eastAsia"/>
                <w:bCs/>
                <w:color w:val="auto"/>
                <w:kern w:val="21"/>
              </w:rPr>
              <w:t>供应</w:t>
            </w:r>
          </w:p>
        </w:tc>
      </w:tr>
    </w:tbl>
    <w:p>
      <w:pPr>
        <w:adjustRightInd w:val="0"/>
        <w:snapToGrid w:val="0"/>
        <w:rPr>
          <w:rFonts w:eastAsia="黑体"/>
          <w:bCs/>
          <w:color w:val="auto"/>
          <w:kern w:val="21"/>
          <w:sz w:val="24"/>
        </w:rPr>
        <w:sectPr>
          <w:headerReference r:id="rId8" w:type="default"/>
          <w:footerReference r:id="rId9" w:type="default"/>
          <w:pgSz w:w="11906" w:h="16838"/>
          <w:pgMar w:top="1440" w:right="1800" w:bottom="1440" w:left="1800" w:header="1134" w:footer="907" w:gutter="0"/>
          <w:cols w:space="720" w:num="1"/>
          <w:docGrid w:linePitch="312" w:charSpace="0"/>
        </w:sectPr>
      </w:pPr>
    </w:p>
    <w:p>
      <w:pPr>
        <w:adjustRightInd w:val="0"/>
        <w:snapToGrid w:val="0"/>
        <w:jc w:val="center"/>
        <w:rPr>
          <w:rFonts w:eastAsia="黑体"/>
          <w:bCs/>
          <w:color w:val="auto"/>
          <w:kern w:val="21"/>
          <w:sz w:val="24"/>
        </w:rPr>
      </w:pPr>
      <w:r>
        <w:rPr>
          <w:rFonts w:eastAsia="黑体"/>
          <w:bCs/>
          <w:color w:val="auto"/>
          <w:kern w:val="21"/>
          <w:sz w:val="24"/>
        </w:rPr>
        <w:t>表3.2-</w:t>
      </w:r>
      <w:r>
        <w:rPr>
          <w:rFonts w:hint="eastAsia" w:eastAsia="黑体"/>
          <w:bCs/>
          <w:color w:val="auto"/>
          <w:kern w:val="21"/>
          <w:sz w:val="24"/>
        </w:rPr>
        <w:t>5</w:t>
      </w:r>
      <w:r>
        <w:rPr>
          <w:rFonts w:eastAsia="黑体"/>
          <w:bCs/>
          <w:color w:val="auto"/>
          <w:kern w:val="21"/>
          <w:sz w:val="24"/>
        </w:rPr>
        <w:t xml:space="preserve">  主要材料理化性质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7"/>
        <w:gridCol w:w="1267"/>
        <w:gridCol w:w="1413"/>
        <w:gridCol w:w="3943"/>
        <w:gridCol w:w="2359"/>
        <w:gridCol w:w="3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637" w:type="dxa"/>
            <w:vAlign w:val="center"/>
          </w:tcPr>
          <w:p>
            <w:pPr>
              <w:adjustRightInd w:val="0"/>
              <w:snapToGrid w:val="0"/>
              <w:jc w:val="center"/>
              <w:rPr>
                <w:b/>
                <w:bCs w:val="0"/>
                <w:color w:val="auto"/>
                <w:kern w:val="21"/>
              </w:rPr>
            </w:pPr>
            <w:r>
              <w:rPr>
                <w:b/>
                <w:bCs w:val="0"/>
                <w:color w:val="auto"/>
                <w:kern w:val="21"/>
              </w:rPr>
              <w:t>序号</w:t>
            </w:r>
          </w:p>
        </w:tc>
        <w:tc>
          <w:tcPr>
            <w:tcW w:w="1267" w:type="dxa"/>
            <w:vAlign w:val="center"/>
          </w:tcPr>
          <w:p>
            <w:pPr>
              <w:adjustRightInd w:val="0"/>
              <w:snapToGrid w:val="0"/>
              <w:jc w:val="center"/>
              <w:rPr>
                <w:b/>
                <w:bCs w:val="0"/>
                <w:color w:val="auto"/>
                <w:kern w:val="21"/>
              </w:rPr>
            </w:pPr>
            <w:r>
              <w:rPr>
                <w:b/>
                <w:bCs w:val="0"/>
                <w:color w:val="auto"/>
                <w:kern w:val="21"/>
              </w:rPr>
              <w:t>名称</w:t>
            </w:r>
          </w:p>
        </w:tc>
        <w:tc>
          <w:tcPr>
            <w:tcW w:w="1413" w:type="dxa"/>
            <w:vAlign w:val="center"/>
          </w:tcPr>
          <w:p>
            <w:pPr>
              <w:adjustRightInd w:val="0"/>
              <w:snapToGrid w:val="0"/>
              <w:jc w:val="center"/>
              <w:rPr>
                <w:b/>
                <w:bCs w:val="0"/>
                <w:color w:val="auto"/>
                <w:kern w:val="21"/>
              </w:rPr>
            </w:pPr>
            <w:r>
              <w:rPr>
                <w:b/>
                <w:bCs w:val="0"/>
                <w:color w:val="auto"/>
                <w:kern w:val="21"/>
              </w:rPr>
              <w:t>分子式</w:t>
            </w:r>
          </w:p>
        </w:tc>
        <w:tc>
          <w:tcPr>
            <w:tcW w:w="3943" w:type="dxa"/>
            <w:vAlign w:val="center"/>
          </w:tcPr>
          <w:p>
            <w:pPr>
              <w:adjustRightInd w:val="0"/>
              <w:snapToGrid w:val="0"/>
              <w:jc w:val="center"/>
              <w:rPr>
                <w:b/>
                <w:bCs w:val="0"/>
                <w:color w:val="auto"/>
                <w:kern w:val="21"/>
              </w:rPr>
            </w:pPr>
            <w:r>
              <w:rPr>
                <w:b/>
                <w:bCs w:val="0"/>
                <w:color w:val="auto"/>
                <w:kern w:val="21"/>
              </w:rPr>
              <w:t>物化性质</w:t>
            </w:r>
          </w:p>
        </w:tc>
        <w:tc>
          <w:tcPr>
            <w:tcW w:w="2359" w:type="dxa"/>
            <w:vAlign w:val="center"/>
          </w:tcPr>
          <w:p>
            <w:pPr>
              <w:adjustRightInd w:val="0"/>
              <w:snapToGrid w:val="0"/>
              <w:jc w:val="center"/>
              <w:rPr>
                <w:b/>
                <w:bCs w:val="0"/>
                <w:color w:val="auto"/>
                <w:kern w:val="21"/>
              </w:rPr>
            </w:pPr>
            <w:r>
              <w:rPr>
                <w:b/>
                <w:bCs w:val="0"/>
                <w:color w:val="auto"/>
                <w:kern w:val="21"/>
              </w:rPr>
              <w:t>燃烧爆炸性</w:t>
            </w:r>
          </w:p>
        </w:tc>
        <w:tc>
          <w:tcPr>
            <w:tcW w:w="3420" w:type="dxa"/>
            <w:vAlign w:val="center"/>
          </w:tcPr>
          <w:p>
            <w:pPr>
              <w:adjustRightInd w:val="0"/>
              <w:snapToGrid w:val="0"/>
              <w:jc w:val="center"/>
              <w:rPr>
                <w:b/>
                <w:bCs w:val="0"/>
                <w:color w:val="auto"/>
                <w:kern w:val="21"/>
              </w:rPr>
            </w:pPr>
            <w:r>
              <w:rPr>
                <w:b/>
                <w:bCs w:val="0"/>
                <w:color w:val="auto"/>
                <w:kern w:val="21"/>
              </w:rPr>
              <w:t>毒性毒理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bCs/>
                <w:color w:val="auto"/>
                <w:kern w:val="21"/>
              </w:rPr>
              <w:t>1</w:t>
            </w:r>
          </w:p>
        </w:tc>
        <w:tc>
          <w:tcPr>
            <w:tcW w:w="1267" w:type="dxa"/>
            <w:vAlign w:val="center"/>
          </w:tcPr>
          <w:p>
            <w:pPr>
              <w:adjustRightInd w:val="0"/>
              <w:snapToGrid w:val="0"/>
              <w:jc w:val="center"/>
              <w:rPr>
                <w:bCs/>
                <w:color w:val="auto"/>
                <w:kern w:val="21"/>
              </w:rPr>
            </w:pPr>
            <w:r>
              <w:rPr>
                <w:bCs/>
                <w:color w:val="auto"/>
                <w:kern w:val="21"/>
              </w:rPr>
              <w:t>盐酸</w:t>
            </w:r>
          </w:p>
        </w:tc>
        <w:tc>
          <w:tcPr>
            <w:tcW w:w="1413" w:type="dxa"/>
            <w:vAlign w:val="center"/>
          </w:tcPr>
          <w:p>
            <w:pPr>
              <w:adjustRightInd w:val="0"/>
              <w:snapToGrid w:val="0"/>
              <w:jc w:val="center"/>
              <w:rPr>
                <w:bCs/>
                <w:color w:val="auto"/>
                <w:kern w:val="21"/>
              </w:rPr>
            </w:pPr>
            <w:r>
              <w:rPr>
                <w:bCs/>
                <w:color w:val="auto"/>
                <w:kern w:val="21"/>
              </w:rPr>
              <w:t>HCl</w:t>
            </w:r>
          </w:p>
        </w:tc>
        <w:tc>
          <w:tcPr>
            <w:tcW w:w="3943" w:type="dxa"/>
            <w:vAlign w:val="center"/>
          </w:tcPr>
          <w:p>
            <w:pPr>
              <w:adjustRightInd w:val="0"/>
              <w:snapToGrid w:val="0"/>
              <w:jc w:val="center"/>
              <w:rPr>
                <w:bCs/>
                <w:color w:val="auto"/>
                <w:kern w:val="21"/>
              </w:rPr>
            </w:pPr>
            <w:r>
              <w:rPr>
                <w:bCs/>
                <w:color w:val="auto"/>
                <w:kern w:val="21"/>
              </w:rPr>
              <w:t>分子量36.46，蒸汽压30.66kPa（21℃），熔点：-114.8℃/纯，沸点：108.6℃/20%，无色或微黄色发烟液体，有刺鼻的酸味；与水混溶，溶于碱液；稳定，相对密度（水=1）1.20；相对密度（空气=1）1.26</w:t>
            </w:r>
          </w:p>
        </w:tc>
        <w:tc>
          <w:tcPr>
            <w:tcW w:w="2359" w:type="dxa"/>
            <w:vAlign w:val="center"/>
          </w:tcPr>
          <w:p>
            <w:pPr>
              <w:rPr>
                <w:rFonts w:hint="eastAsia" w:eastAsia="宋体"/>
                <w:bCs/>
                <w:color w:val="auto"/>
                <w:kern w:val="21"/>
                <w:lang w:eastAsia="zh-CN"/>
              </w:rPr>
            </w:pPr>
            <w:r>
              <w:rPr>
                <w:color w:val="auto"/>
                <w:kern w:val="21"/>
              </w:rPr>
              <w:t>遇氰化物能产生剧毒的氰化氢气体。与碱发生中</w:t>
            </w:r>
            <w:r>
              <w:rPr>
                <w:rFonts w:hint="eastAsia"/>
                <w:color w:val="auto"/>
                <w:kern w:val="21"/>
                <w:lang w:eastAsia="zh-CN"/>
              </w:rPr>
              <w:t>和</w:t>
            </w:r>
            <w:r>
              <w:rPr>
                <w:color w:val="auto"/>
                <w:kern w:val="21"/>
              </w:rPr>
              <w:t>反应，并放出大量的热。具有强腐蚀性</w:t>
            </w:r>
            <w:r>
              <w:rPr>
                <w:rFonts w:hint="eastAsia"/>
                <w:color w:val="auto"/>
                <w:kern w:val="21"/>
                <w:lang w:eastAsia="zh-CN"/>
              </w:rPr>
              <w:t>。</w:t>
            </w:r>
          </w:p>
        </w:tc>
        <w:tc>
          <w:tcPr>
            <w:tcW w:w="3420" w:type="dxa"/>
            <w:vAlign w:val="center"/>
          </w:tcPr>
          <w:p>
            <w:pPr>
              <w:rPr>
                <w:rFonts w:hint="eastAsia" w:eastAsia="宋体"/>
                <w:bCs/>
                <w:color w:val="auto"/>
                <w:kern w:val="21"/>
                <w:lang w:val="en-US" w:eastAsia="zh-CN"/>
              </w:rPr>
            </w:pPr>
            <w:r>
              <w:rPr>
                <w:color w:val="auto"/>
                <w:kern w:val="21"/>
              </w:rPr>
              <w:t>接触其蒸气或烟雾，引起眼结膜炎，鼻及口腔粘膜有烧灼感，鼻衄、齿龈出血、气管炎；刺激皮肤发生皮炎，慢性支气管炎等病变</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bCs/>
                <w:color w:val="auto"/>
                <w:kern w:val="21"/>
              </w:rPr>
              <w:t>2</w:t>
            </w:r>
          </w:p>
        </w:tc>
        <w:tc>
          <w:tcPr>
            <w:tcW w:w="1267" w:type="dxa"/>
            <w:vAlign w:val="center"/>
          </w:tcPr>
          <w:p>
            <w:pPr>
              <w:adjustRightInd w:val="0"/>
              <w:snapToGrid w:val="0"/>
              <w:jc w:val="center"/>
              <w:rPr>
                <w:bCs/>
                <w:color w:val="auto"/>
                <w:kern w:val="21"/>
              </w:rPr>
            </w:pPr>
            <w:r>
              <w:rPr>
                <w:bCs/>
                <w:color w:val="auto"/>
                <w:kern w:val="21"/>
              </w:rPr>
              <w:t>硫酸镍</w:t>
            </w:r>
          </w:p>
        </w:tc>
        <w:tc>
          <w:tcPr>
            <w:tcW w:w="1413" w:type="dxa"/>
            <w:vAlign w:val="center"/>
          </w:tcPr>
          <w:p>
            <w:pPr>
              <w:adjustRightInd w:val="0"/>
              <w:snapToGrid w:val="0"/>
              <w:jc w:val="center"/>
              <w:rPr>
                <w:bCs/>
                <w:color w:val="auto"/>
                <w:kern w:val="21"/>
              </w:rPr>
            </w:pPr>
            <w:r>
              <w:rPr>
                <w:bCs/>
                <w:color w:val="auto"/>
                <w:kern w:val="21"/>
              </w:rPr>
              <w:t>NiSO</w:t>
            </w:r>
            <w:r>
              <w:rPr>
                <w:bCs/>
                <w:color w:val="auto"/>
                <w:kern w:val="21"/>
                <w:vertAlign w:val="subscript"/>
              </w:rPr>
              <w:t>4</w:t>
            </w:r>
            <w:r>
              <w:rPr>
                <w:bCs/>
                <w:color w:val="auto"/>
                <w:kern w:val="21"/>
              </w:rPr>
              <w:t>·7H</w:t>
            </w:r>
            <w:r>
              <w:rPr>
                <w:bCs/>
                <w:color w:val="auto"/>
                <w:kern w:val="21"/>
                <w:vertAlign w:val="subscript"/>
              </w:rPr>
              <w:t>2</w:t>
            </w:r>
            <w:r>
              <w:rPr>
                <w:bCs/>
                <w:color w:val="auto"/>
                <w:kern w:val="21"/>
              </w:rPr>
              <w:t>O</w:t>
            </w:r>
          </w:p>
        </w:tc>
        <w:tc>
          <w:tcPr>
            <w:tcW w:w="3943" w:type="dxa"/>
            <w:vAlign w:val="center"/>
          </w:tcPr>
          <w:p>
            <w:pPr>
              <w:adjustRightInd w:val="0"/>
              <w:snapToGrid w:val="0"/>
              <w:jc w:val="center"/>
              <w:rPr>
                <w:bCs/>
                <w:color w:val="auto"/>
                <w:kern w:val="21"/>
              </w:rPr>
            </w:pPr>
            <w:r>
              <w:rPr>
                <w:bCs/>
                <w:color w:val="auto"/>
                <w:kern w:val="21"/>
              </w:rPr>
              <w:t>分子量262.86；绿色结晶，正方晶系；沸点：840℃（无水）；相对密度（水=1）：2.07；易溶于水，溶于乙醇，微溶于酸、氨水；主要用于电镀工业及制镍镉电池和其他镍盐</w:t>
            </w:r>
          </w:p>
        </w:tc>
        <w:tc>
          <w:tcPr>
            <w:tcW w:w="2359" w:type="dxa"/>
            <w:vAlign w:val="center"/>
          </w:tcPr>
          <w:p>
            <w:pPr>
              <w:rPr>
                <w:rFonts w:hint="eastAsia" w:eastAsia="宋体"/>
                <w:bCs/>
                <w:color w:val="auto"/>
                <w:kern w:val="21"/>
                <w:lang w:eastAsia="zh-CN"/>
              </w:rPr>
            </w:pPr>
            <w:r>
              <w:rPr>
                <w:color w:val="auto"/>
                <w:kern w:val="21"/>
              </w:rPr>
              <w:t>受高热分解产生有毒的硫化物烟气</w:t>
            </w:r>
            <w:r>
              <w:rPr>
                <w:rFonts w:hint="eastAsia"/>
                <w:color w:val="auto"/>
                <w:kern w:val="21"/>
                <w:lang w:eastAsia="zh-CN"/>
              </w:rPr>
              <w:t>。</w:t>
            </w:r>
          </w:p>
        </w:tc>
        <w:tc>
          <w:tcPr>
            <w:tcW w:w="3420" w:type="dxa"/>
            <w:vAlign w:val="center"/>
          </w:tcPr>
          <w:p>
            <w:pPr>
              <w:rPr>
                <w:rFonts w:hint="eastAsia" w:eastAsia="宋体"/>
                <w:bCs/>
                <w:color w:val="auto"/>
                <w:kern w:val="21"/>
                <w:lang w:eastAsia="zh-CN"/>
              </w:rPr>
            </w:pPr>
            <w:r>
              <w:rPr>
                <w:color w:val="auto"/>
                <w:kern w:val="21"/>
              </w:rPr>
              <w:t>吸入后对呼吸道有刺激性。可引起哮喘和肺嗜酸细胞增多症，可致支气管炎。对眼有刺激性。皮肤接触可引起皮炎和湿疹，常伴有剧烈瘙痒。大量口服引起恶心、呕吐和眩晕</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bCs/>
                <w:color w:val="auto"/>
                <w:kern w:val="21"/>
              </w:rPr>
              <w:t>3</w:t>
            </w:r>
          </w:p>
        </w:tc>
        <w:tc>
          <w:tcPr>
            <w:tcW w:w="1267" w:type="dxa"/>
            <w:vAlign w:val="center"/>
          </w:tcPr>
          <w:p>
            <w:pPr>
              <w:adjustRightInd w:val="0"/>
              <w:snapToGrid w:val="0"/>
              <w:jc w:val="center"/>
              <w:rPr>
                <w:bCs/>
                <w:color w:val="auto"/>
                <w:kern w:val="21"/>
              </w:rPr>
            </w:pPr>
            <w:r>
              <w:rPr>
                <w:bCs/>
                <w:color w:val="auto"/>
                <w:kern w:val="21"/>
              </w:rPr>
              <w:t>氯化镍</w:t>
            </w:r>
          </w:p>
        </w:tc>
        <w:tc>
          <w:tcPr>
            <w:tcW w:w="1413" w:type="dxa"/>
            <w:vAlign w:val="center"/>
          </w:tcPr>
          <w:p>
            <w:pPr>
              <w:adjustRightInd w:val="0"/>
              <w:snapToGrid w:val="0"/>
              <w:jc w:val="center"/>
              <w:rPr>
                <w:bCs/>
                <w:color w:val="auto"/>
                <w:kern w:val="21"/>
              </w:rPr>
            </w:pPr>
            <w:r>
              <w:rPr>
                <w:bCs/>
                <w:color w:val="auto"/>
                <w:kern w:val="21"/>
              </w:rPr>
              <w:t>NiCl</w:t>
            </w:r>
            <w:r>
              <w:rPr>
                <w:bCs/>
                <w:color w:val="auto"/>
                <w:kern w:val="21"/>
                <w:vertAlign w:val="subscript"/>
              </w:rPr>
              <w:t>2</w:t>
            </w:r>
            <w:r>
              <w:rPr>
                <w:bCs/>
                <w:color w:val="auto"/>
                <w:kern w:val="21"/>
              </w:rPr>
              <w:t>·6H</w:t>
            </w:r>
            <w:r>
              <w:rPr>
                <w:bCs/>
                <w:color w:val="auto"/>
                <w:kern w:val="21"/>
                <w:vertAlign w:val="subscript"/>
              </w:rPr>
              <w:t>2</w:t>
            </w:r>
            <w:r>
              <w:rPr>
                <w:bCs/>
                <w:color w:val="auto"/>
                <w:kern w:val="21"/>
              </w:rPr>
              <w:t>O</w:t>
            </w:r>
          </w:p>
        </w:tc>
        <w:tc>
          <w:tcPr>
            <w:tcW w:w="3943" w:type="dxa"/>
            <w:vAlign w:val="center"/>
          </w:tcPr>
          <w:p>
            <w:pPr>
              <w:rPr>
                <w:bCs/>
                <w:color w:val="auto"/>
                <w:kern w:val="21"/>
              </w:rPr>
            </w:pPr>
            <w:r>
              <w:rPr>
                <w:color w:val="auto"/>
                <w:kern w:val="21"/>
              </w:rPr>
              <w:t>分子量</w:t>
            </w:r>
            <w:r>
              <w:rPr>
                <w:rFonts w:eastAsia="TimesNewRomanPSMT"/>
                <w:color w:val="auto"/>
                <w:kern w:val="21"/>
              </w:rPr>
              <w:t>237.69</w:t>
            </w:r>
            <w:r>
              <w:rPr>
                <w:color w:val="auto"/>
                <w:kern w:val="21"/>
              </w:rPr>
              <w:t>；绿色片状结晶，有潮解性；相对密度（水</w:t>
            </w:r>
            <w:r>
              <w:rPr>
                <w:rFonts w:eastAsia="TimesNewRomanPSMT"/>
                <w:color w:val="auto"/>
                <w:kern w:val="21"/>
              </w:rPr>
              <w:t>=1</w:t>
            </w:r>
            <w:r>
              <w:rPr>
                <w:color w:val="auto"/>
                <w:kern w:val="21"/>
              </w:rPr>
              <w:t>）：</w:t>
            </w:r>
            <w:r>
              <w:rPr>
                <w:rFonts w:eastAsia="TimesNewRomanPSMT"/>
                <w:color w:val="auto"/>
                <w:kern w:val="21"/>
              </w:rPr>
              <w:t>1.921</w:t>
            </w:r>
            <w:r>
              <w:rPr>
                <w:color w:val="auto"/>
                <w:kern w:val="21"/>
              </w:rPr>
              <w:t>；易溶于水、醇；用于镀镍和作氨吸收剂、催化剂等</w:t>
            </w:r>
          </w:p>
        </w:tc>
        <w:tc>
          <w:tcPr>
            <w:tcW w:w="2359" w:type="dxa"/>
            <w:vAlign w:val="center"/>
          </w:tcPr>
          <w:p>
            <w:pPr>
              <w:rPr>
                <w:rFonts w:hint="eastAsia" w:eastAsia="宋体"/>
                <w:bCs/>
                <w:color w:val="auto"/>
                <w:kern w:val="21"/>
                <w:lang w:eastAsia="zh-CN"/>
              </w:rPr>
            </w:pPr>
            <w:r>
              <w:rPr>
                <w:color w:val="auto"/>
                <w:kern w:val="21"/>
              </w:rPr>
              <w:t>遇钾、钠剧烈反应。受高热分解放出有毒的气体</w:t>
            </w:r>
            <w:r>
              <w:rPr>
                <w:rFonts w:hint="eastAsia"/>
                <w:color w:val="auto"/>
                <w:kern w:val="21"/>
                <w:lang w:eastAsia="zh-CN"/>
              </w:rPr>
              <w:t>。</w:t>
            </w:r>
          </w:p>
        </w:tc>
        <w:tc>
          <w:tcPr>
            <w:tcW w:w="3420" w:type="dxa"/>
            <w:vAlign w:val="center"/>
          </w:tcPr>
          <w:p>
            <w:pPr>
              <w:rPr>
                <w:bCs/>
                <w:color w:val="auto"/>
                <w:kern w:val="21"/>
              </w:rPr>
            </w:pPr>
            <w:r>
              <w:rPr>
                <w:rFonts w:eastAsia="TimesNewRomanPSMT"/>
                <w:color w:val="auto"/>
                <w:kern w:val="21"/>
              </w:rPr>
              <w:t>LD50</w:t>
            </w:r>
            <w:r>
              <w:rPr>
                <w:color w:val="auto"/>
                <w:kern w:val="21"/>
              </w:rPr>
              <w:t>：</w:t>
            </w:r>
            <w:r>
              <w:rPr>
                <w:rFonts w:eastAsia="TimesNewRomanPSMT"/>
                <w:color w:val="auto"/>
                <w:kern w:val="21"/>
              </w:rPr>
              <w:t>175mg/kg</w:t>
            </w:r>
            <w:r>
              <w:rPr>
                <w:color w:val="auto"/>
                <w:kern w:val="21"/>
              </w:rPr>
              <w:t>（大鼠经口），接触者可发生接触性皮炎或过敏性湿疹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bCs/>
                <w:color w:val="auto"/>
                <w:kern w:val="21"/>
              </w:rPr>
              <w:t>4</w:t>
            </w:r>
          </w:p>
        </w:tc>
        <w:tc>
          <w:tcPr>
            <w:tcW w:w="1267" w:type="dxa"/>
            <w:vAlign w:val="center"/>
          </w:tcPr>
          <w:p>
            <w:pPr>
              <w:adjustRightInd w:val="0"/>
              <w:snapToGrid w:val="0"/>
              <w:jc w:val="center"/>
              <w:rPr>
                <w:bCs/>
                <w:color w:val="auto"/>
                <w:kern w:val="21"/>
              </w:rPr>
            </w:pPr>
            <w:r>
              <w:rPr>
                <w:bCs/>
                <w:color w:val="auto"/>
                <w:kern w:val="21"/>
              </w:rPr>
              <w:t>硼酸</w:t>
            </w:r>
          </w:p>
        </w:tc>
        <w:tc>
          <w:tcPr>
            <w:tcW w:w="1413" w:type="dxa"/>
            <w:vAlign w:val="center"/>
          </w:tcPr>
          <w:p>
            <w:pPr>
              <w:adjustRightInd w:val="0"/>
              <w:snapToGrid w:val="0"/>
              <w:jc w:val="center"/>
              <w:rPr>
                <w:bCs/>
                <w:color w:val="auto"/>
                <w:kern w:val="21"/>
              </w:rPr>
            </w:pPr>
            <w:r>
              <w:rPr>
                <w:rFonts w:eastAsia="TimesNewRomanPSMT"/>
                <w:color w:val="auto"/>
                <w:kern w:val="21"/>
              </w:rPr>
              <w:t>H3BO3</w:t>
            </w:r>
          </w:p>
        </w:tc>
        <w:tc>
          <w:tcPr>
            <w:tcW w:w="3943" w:type="dxa"/>
            <w:vAlign w:val="center"/>
          </w:tcPr>
          <w:p>
            <w:pPr>
              <w:rPr>
                <w:bCs/>
                <w:color w:val="auto"/>
                <w:kern w:val="21"/>
              </w:rPr>
            </w:pPr>
            <w:r>
              <w:rPr>
                <w:bCs/>
                <w:color w:val="auto"/>
                <w:kern w:val="21"/>
              </w:rPr>
              <w:t>分子量61.83；</w:t>
            </w:r>
            <w:r>
              <w:rPr>
                <w:color w:val="auto"/>
                <w:kern w:val="21"/>
              </w:rPr>
              <w:t>白色粉末状结晶，无臭，熔点</w:t>
            </w:r>
            <w:r>
              <w:rPr>
                <w:rFonts w:eastAsia="TimesNewRomanPSMT"/>
                <w:color w:val="auto"/>
                <w:kern w:val="21"/>
              </w:rPr>
              <w:t>171</w:t>
            </w:r>
            <w:r>
              <w:rPr>
                <w:color w:val="auto"/>
                <w:kern w:val="21"/>
              </w:rPr>
              <w:t>℃，沸点</w:t>
            </w:r>
            <w:r>
              <w:rPr>
                <w:rFonts w:eastAsia="TimesNewRomanPSMT"/>
                <w:color w:val="auto"/>
                <w:kern w:val="21"/>
              </w:rPr>
              <w:t>300</w:t>
            </w:r>
            <w:r>
              <w:rPr>
                <w:color w:val="auto"/>
                <w:kern w:val="21"/>
              </w:rPr>
              <w:t>℃，相对密度</w:t>
            </w:r>
            <w:r>
              <w:rPr>
                <w:rFonts w:eastAsia="TimesNewRomanPSMT"/>
                <w:color w:val="auto"/>
                <w:kern w:val="21"/>
              </w:rPr>
              <w:t>1.43</w:t>
            </w:r>
            <w:r>
              <w:rPr>
                <w:color w:val="auto"/>
                <w:kern w:val="21"/>
              </w:rPr>
              <w:t>，溶于水、酒精、甘油、醚类及香精油</w:t>
            </w:r>
          </w:p>
        </w:tc>
        <w:tc>
          <w:tcPr>
            <w:tcW w:w="2359" w:type="dxa"/>
            <w:vAlign w:val="center"/>
          </w:tcPr>
          <w:p>
            <w:pPr>
              <w:adjustRightInd w:val="0"/>
              <w:snapToGrid w:val="0"/>
              <w:jc w:val="center"/>
              <w:rPr>
                <w:rFonts w:hint="eastAsia" w:eastAsia="宋体"/>
                <w:bCs/>
                <w:color w:val="auto"/>
                <w:kern w:val="21"/>
                <w:lang w:eastAsia="zh-CN"/>
              </w:rPr>
            </w:pPr>
            <w:r>
              <w:rPr>
                <w:color w:val="auto"/>
                <w:kern w:val="21"/>
              </w:rPr>
              <w:t>不燃</w:t>
            </w:r>
            <w:r>
              <w:rPr>
                <w:rFonts w:hint="eastAsia"/>
                <w:color w:val="auto"/>
                <w:kern w:val="21"/>
                <w:lang w:eastAsia="zh-CN"/>
              </w:rPr>
              <w:t>。</w:t>
            </w:r>
          </w:p>
        </w:tc>
        <w:tc>
          <w:tcPr>
            <w:tcW w:w="3420" w:type="dxa"/>
            <w:vAlign w:val="center"/>
          </w:tcPr>
          <w:p>
            <w:pPr>
              <w:adjustRightInd w:val="0"/>
              <w:snapToGrid w:val="0"/>
              <w:jc w:val="center"/>
              <w:rPr>
                <w:rFonts w:hint="eastAsia" w:eastAsia="宋体"/>
                <w:bCs/>
                <w:color w:val="auto"/>
                <w:kern w:val="21"/>
                <w:lang w:eastAsia="zh-CN"/>
              </w:rPr>
            </w:pPr>
            <w:r>
              <w:rPr>
                <w:bCs/>
                <w:color w:val="auto"/>
                <w:kern w:val="21"/>
              </w:rPr>
              <w:t>LD</w:t>
            </w:r>
            <w:r>
              <w:rPr>
                <w:bCs/>
                <w:color w:val="auto"/>
                <w:kern w:val="21"/>
                <w:vertAlign w:val="subscript"/>
              </w:rPr>
              <w:t>50</w:t>
            </w:r>
            <w:r>
              <w:rPr>
                <w:bCs/>
                <w:color w:val="auto"/>
                <w:kern w:val="21"/>
              </w:rPr>
              <w:t>：5.14g/kg（大鼠经口），有刺激性，有毒</w:t>
            </w:r>
            <w:r>
              <w:rPr>
                <w:rFonts w:hint="eastAsia"/>
                <w:bCs/>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bCs/>
                <w:color w:val="auto"/>
                <w:kern w:val="21"/>
              </w:rPr>
              <w:t>5</w:t>
            </w:r>
          </w:p>
        </w:tc>
        <w:tc>
          <w:tcPr>
            <w:tcW w:w="1267" w:type="dxa"/>
            <w:vAlign w:val="center"/>
          </w:tcPr>
          <w:p>
            <w:pPr>
              <w:adjustRightInd w:val="0"/>
              <w:snapToGrid w:val="0"/>
              <w:jc w:val="center"/>
              <w:rPr>
                <w:bCs/>
                <w:color w:val="auto"/>
                <w:kern w:val="21"/>
              </w:rPr>
            </w:pPr>
            <w:r>
              <w:rPr>
                <w:bCs/>
                <w:color w:val="auto"/>
                <w:kern w:val="21"/>
              </w:rPr>
              <w:t>硫酸</w:t>
            </w:r>
          </w:p>
        </w:tc>
        <w:tc>
          <w:tcPr>
            <w:tcW w:w="1413" w:type="dxa"/>
            <w:vAlign w:val="center"/>
          </w:tcPr>
          <w:p>
            <w:pPr>
              <w:adjustRightInd w:val="0"/>
              <w:snapToGrid w:val="0"/>
              <w:jc w:val="center"/>
              <w:rPr>
                <w:bCs/>
                <w:color w:val="auto"/>
                <w:kern w:val="21"/>
              </w:rPr>
            </w:pPr>
            <w:r>
              <w:rPr>
                <w:bCs/>
                <w:color w:val="auto"/>
                <w:kern w:val="21"/>
              </w:rPr>
              <w:t>H</w:t>
            </w:r>
            <w:r>
              <w:rPr>
                <w:bCs/>
                <w:color w:val="auto"/>
                <w:kern w:val="21"/>
                <w:vertAlign w:val="subscript"/>
              </w:rPr>
              <w:t>2</w:t>
            </w:r>
            <w:r>
              <w:rPr>
                <w:bCs/>
                <w:color w:val="auto"/>
                <w:kern w:val="21"/>
              </w:rPr>
              <w:t>SO</w:t>
            </w:r>
            <w:r>
              <w:rPr>
                <w:bCs/>
                <w:color w:val="auto"/>
                <w:kern w:val="21"/>
                <w:vertAlign w:val="subscript"/>
              </w:rPr>
              <w:t>4</w:t>
            </w:r>
          </w:p>
        </w:tc>
        <w:tc>
          <w:tcPr>
            <w:tcW w:w="3943" w:type="dxa"/>
            <w:vAlign w:val="center"/>
          </w:tcPr>
          <w:p>
            <w:pPr>
              <w:adjustRightInd w:val="0"/>
              <w:snapToGrid w:val="0"/>
              <w:jc w:val="center"/>
              <w:rPr>
                <w:bCs/>
                <w:color w:val="auto"/>
                <w:kern w:val="21"/>
              </w:rPr>
            </w:pPr>
            <w:r>
              <w:rPr>
                <w:bCs/>
                <w:color w:val="auto"/>
                <w:kern w:val="21"/>
              </w:rPr>
              <w:t>分子量98.078；无色透明油状液体，无臭，熔点10.5℃，沸点330.0℃，相对密度1.83，饱和蒸汽压0.13KPa（145.8℃）；与水混溶</w:t>
            </w:r>
          </w:p>
        </w:tc>
        <w:tc>
          <w:tcPr>
            <w:tcW w:w="2359" w:type="dxa"/>
            <w:vAlign w:val="center"/>
          </w:tcPr>
          <w:p>
            <w:pPr>
              <w:adjustRightInd w:val="0"/>
              <w:snapToGrid w:val="0"/>
              <w:jc w:val="center"/>
              <w:rPr>
                <w:rFonts w:hint="eastAsia" w:eastAsia="宋体"/>
                <w:bCs/>
                <w:color w:val="auto"/>
                <w:kern w:val="21"/>
                <w:lang w:eastAsia="zh-CN"/>
              </w:rPr>
            </w:pPr>
            <w:r>
              <w:rPr>
                <w:color w:val="auto"/>
                <w:kern w:val="21"/>
              </w:rPr>
              <w:t>助燃，火险分级：乙</w:t>
            </w:r>
            <w:r>
              <w:rPr>
                <w:rFonts w:hint="eastAsia"/>
                <w:color w:val="auto"/>
                <w:kern w:val="21"/>
                <w:lang w:eastAsia="zh-CN"/>
              </w:rPr>
              <w:t>。</w:t>
            </w:r>
          </w:p>
        </w:tc>
        <w:tc>
          <w:tcPr>
            <w:tcW w:w="3420" w:type="dxa"/>
            <w:vAlign w:val="center"/>
          </w:tcPr>
          <w:p>
            <w:pPr>
              <w:rPr>
                <w:rFonts w:hint="eastAsia" w:eastAsia="宋体"/>
                <w:bCs/>
                <w:color w:val="auto"/>
                <w:kern w:val="21"/>
                <w:lang w:eastAsia="zh-CN"/>
              </w:rPr>
            </w:pPr>
            <w:r>
              <w:rPr>
                <w:color w:val="auto"/>
                <w:kern w:val="21"/>
              </w:rPr>
              <w:t>属中等毒类。对皮肤、粘膜等组织有强烈的刺激和腐蚀作用</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bCs/>
                <w:color w:val="auto"/>
                <w:kern w:val="21"/>
              </w:rPr>
              <w:t>6</w:t>
            </w:r>
          </w:p>
        </w:tc>
        <w:tc>
          <w:tcPr>
            <w:tcW w:w="1267" w:type="dxa"/>
            <w:vAlign w:val="center"/>
          </w:tcPr>
          <w:p>
            <w:pPr>
              <w:adjustRightInd w:val="0"/>
              <w:snapToGrid w:val="0"/>
              <w:jc w:val="center"/>
              <w:rPr>
                <w:bCs/>
                <w:color w:val="auto"/>
                <w:kern w:val="21"/>
              </w:rPr>
            </w:pPr>
            <w:r>
              <w:rPr>
                <w:bCs/>
                <w:color w:val="auto"/>
                <w:kern w:val="21"/>
              </w:rPr>
              <w:t>铬酸酐</w:t>
            </w:r>
          </w:p>
        </w:tc>
        <w:tc>
          <w:tcPr>
            <w:tcW w:w="1413" w:type="dxa"/>
            <w:vAlign w:val="center"/>
          </w:tcPr>
          <w:p>
            <w:pPr>
              <w:adjustRightInd w:val="0"/>
              <w:snapToGrid w:val="0"/>
              <w:jc w:val="center"/>
              <w:rPr>
                <w:bCs/>
                <w:color w:val="auto"/>
                <w:kern w:val="21"/>
              </w:rPr>
            </w:pPr>
            <w:r>
              <w:rPr>
                <w:bCs/>
                <w:color w:val="auto"/>
                <w:kern w:val="21"/>
              </w:rPr>
              <w:t>CrO</w:t>
            </w:r>
            <w:r>
              <w:rPr>
                <w:bCs/>
                <w:color w:val="auto"/>
                <w:kern w:val="21"/>
                <w:vertAlign w:val="subscript"/>
              </w:rPr>
              <w:t>3</w:t>
            </w:r>
          </w:p>
        </w:tc>
        <w:tc>
          <w:tcPr>
            <w:tcW w:w="3943" w:type="dxa"/>
            <w:vAlign w:val="center"/>
          </w:tcPr>
          <w:p>
            <w:pPr>
              <w:rPr>
                <w:bCs/>
                <w:color w:val="auto"/>
                <w:kern w:val="21"/>
              </w:rPr>
            </w:pPr>
            <w:r>
              <w:rPr>
                <w:bCs/>
                <w:color w:val="auto"/>
                <w:kern w:val="21"/>
              </w:rPr>
              <w:t>分子量99.99，熔点196℃，熔融时稍有分解，195℃时分解生产氧化铬，200-250℃时分解释放氧，生成介于铬酸酐和三氧化二铬之间的中间化合物，暗红色斜方晶系结晶 ，遇臭氧形成过氧化物，遇过氧化氢形成氧化铬酸，遇氯化氢形成氯氧化铬。易溶于水、醇、硫酸和乙醚，不溶于丙酮</w:t>
            </w:r>
          </w:p>
        </w:tc>
        <w:tc>
          <w:tcPr>
            <w:tcW w:w="2359" w:type="dxa"/>
            <w:vAlign w:val="center"/>
          </w:tcPr>
          <w:p>
            <w:pPr>
              <w:adjustRightInd w:val="0"/>
              <w:snapToGrid w:val="0"/>
              <w:jc w:val="center"/>
              <w:rPr>
                <w:rFonts w:hint="eastAsia" w:eastAsia="宋体"/>
                <w:bCs/>
                <w:color w:val="auto"/>
                <w:kern w:val="21"/>
                <w:lang w:eastAsia="zh-CN"/>
              </w:rPr>
            </w:pPr>
            <w:r>
              <w:rPr>
                <w:bCs/>
                <w:color w:val="auto"/>
                <w:kern w:val="21"/>
              </w:rPr>
              <w:t>易潮解。为强氧剂，与有机物接触摩擦能</w:t>
            </w:r>
            <w:r>
              <w:rPr>
                <w:rFonts w:hint="eastAsia"/>
                <w:bCs/>
                <w:color w:val="auto"/>
                <w:kern w:val="21"/>
                <w:lang w:eastAsia="zh-CN"/>
              </w:rPr>
              <w:t>引起</w:t>
            </w:r>
            <w:r>
              <w:rPr>
                <w:bCs/>
                <w:color w:val="auto"/>
                <w:kern w:val="21"/>
              </w:rPr>
              <w:t>燃烧。遇酒精、苯即发生燃烧或爆炸</w:t>
            </w:r>
            <w:r>
              <w:rPr>
                <w:rFonts w:hint="eastAsia"/>
                <w:bCs/>
                <w:color w:val="auto"/>
                <w:kern w:val="21"/>
                <w:lang w:eastAsia="zh-CN"/>
              </w:rPr>
              <w:t>。</w:t>
            </w:r>
          </w:p>
        </w:tc>
        <w:tc>
          <w:tcPr>
            <w:tcW w:w="3420" w:type="dxa"/>
            <w:vAlign w:val="center"/>
          </w:tcPr>
          <w:p>
            <w:pPr>
              <w:jc w:val="center"/>
              <w:rPr>
                <w:rFonts w:hint="eastAsia" w:eastAsia="宋体"/>
                <w:bCs/>
                <w:color w:val="auto"/>
                <w:kern w:val="21"/>
                <w:lang w:eastAsia="zh-CN"/>
              </w:rPr>
            </w:pPr>
            <w:r>
              <w:rPr>
                <w:bCs/>
                <w:color w:val="auto"/>
                <w:kern w:val="21"/>
              </w:rPr>
              <w:t>腐蚀性强、有毒</w:t>
            </w:r>
            <w:r>
              <w:rPr>
                <w:rFonts w:hint="eastAsia"/>
                <w:bCs/>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7</w:t>
            </w:r>
          </w:p>
        </w:tc>
        <w:tc>
          <w:tcPr>
            <w:tcW w:w="1267" w:type="dxa"/>
            <w:vAlign w:val="center"/>
          </w:tcPr>
          <w:p>
            <w:pPr>
              <w:adjustRightInd w:val="0"/>
              <w:snapToGrid w:val="0"/>
              <w:jc w:val="center"/>
              <w:rPr>
                <w:bCs/>
                <w:color w:val="auto"/>
                <w:kern w:val="21"/>
              </w:rPr>
            </w:pPr>
            <w:r>
              <w:rPr>
                <w:bCs/>
                <w:color w:val="auto"/>
                <w:kern w:val="21"/>
              </w:rPr>
              <w:t>光亮剂</w:t>
            </w:r>
          </w:p>
        </w:tc>
        <w:tc>
          <w:tcPr>
            <w:tcW w:w="1413" w:type="dxa"/>
            <w:vAlign w:val="center"/>
          </w:tcPr>
          <w:p>
            <w:pPr>
              <w:adjustRightInd w:val="0"/>
              <w:snapToGrid w:val="0"/>
              <w:jc w:val="center"/>
              <w:rPr>
                <w:bCs/>
                <w:color w:val="auto"/>
                <w:kern w:val="21"/>
              </w:rPr>
            </w:pPr>
            <w:r>
              <w:rPr>
                <w:bCs/>
                <w:color w:val="auto"/>
                <w:kern w:val="21"/>
              </w:rPr>
              <w:t>/</w:t>
            </w:r>
          </w:p>
        </w:tc>
        <w:tc>
          <w:tcPr>
            <w:tcW w:w="3943" w:type="dxa"/>
            <w:vAlign w:val="center"/>
          </w:tcPr>
          <w:p>
            <w:pPr>
              <w:pStyle w:val="283"/>
              <w:rPr>
                <w:rFonts w:ascii="Times New Roman" w:cs="Times New Roman"/>
                <w:color w:val="auto"/>
              </w:rPr>
            </w:pPr>
            <w:r>
              <w:rPr>
                <w:rFonts w:ascii="Times New Roman" w:cs="Times New Roman"/>
                <w:color w:val="auto"/>
                <w:sz w:val="21"/>
                <w:szCs w:val="21"/>
              </w:rPr>
              <w:t>主要成分：丁炔二醇，糖精，丙烷磺酸吡啶嗡盐。其中，丁炔二醇为白色斜方结晶</w:t>
            </w:r>
            <w:r>
              <w:rPr>
                <w:rFonts w:hint="eastAsia" w:ascii="Times New Roman" w:cs="Times New Roman"/>
                <w:color w:val="auto"/>
                <w:sz w:val="21"/>
                <w:szCs w:val="21"/>
                <w:lang w:eastAsia="zh-CN"/>
              </w:rPr>
              <w:t>（</w:t>
            </w:r>
            <w:r>
              <w:rPr>
                <w:rFonts w:ascii="Times New Roman" w:cs="Times New Roman"/>
                <w:color w:val="auto"/>
                <w:sz w:val="21"/>
                <w:szCs w:val="21"/>
              </w:rPr>
              <w:t>吸潮后为淡黄色</w:t>
            </w:r>
            <w:r>
              <w:rPr>
                <w:rFonts w:hint="eastAsia" w:ascii="Times New Roman" w:cs="Times New Roman"/>
                <w:color w:val="auto"/>
                <w:sz w:val="21"/>
                <w:szCs w:val="21"/>
                <w:lang w:eastAsia="zh-CN"/>
              </w:rPr>
              <w:t>）</w:t>
            </w:r>
            <w:r>
              <w:rPr>
                <w:rFonts w:ascii="Times New Roman" w:cs="Times New Roman"/>
                <w:color w:val="auto"/>
                <w:sz w:val="21"/>
                <w:szCs w:val="21"/>
              </w:rPr>
              <w:t>熔点58</w:t>
            </w:r>
            <w:r>
              <w:rPr>
                <w:rFonts w:hint="eastAsia" w:hAnsi="宋体"/>
                <w:color w:val="auto"/>
                <w:sz w:val="21"/>
                <w:szCs w:val="21"/>
              </w:rPr>
              <w:t>℃</w:t>
            </w:r>
            <w:r>
              <w:rPr>
                <w:rFonts w:ascii="Times New Roman" w:cs="Times New Roman"/>
                <w:color w:val="auto"/>
                <w:sz w:val="21"/>
                <w:szCs w:val="21"/>
              </w:rPr>
              <w:t>，沸点238</w:t>
            </w:r>
            <w:r>
              <w:rPr>
                <w:rFonts w:hint="eastAsia" w:hAnsi="宋体"/>
                <w:color w:val="auto"/>
                <w:sz w:val="21"/>
                <w:szCs w:val="21"/>
              </w:rPr>
              <w:t>℃</w:t>
            </w:r>
            <w:r>
              <w:rPr>
                <w:rFonts w:ascii="Times New Roman" w:cs="Times New Roman"/>
                <w:color w:val="auto"/>
                <w:sz w:val="21"/>
                <w:szCs w:val="21"/>
              </w:rPr>
              <w:t>，145</w:t>
            </w:r>
            <w:r>
              <w:rPr>
                <w:rFonts w:hint="eastAsia" w:hAnsi="宋体"/>
                <w:color w:val="auto"/>
                <w:sz w:val="21"/>
                <w:szCs w:val="21"/>
              </w:rPr>
              <w:t>℃</w:t>
            </w:r>
            <w:r>
              <w:rPr>
                <w:rFonts w:ascii="Times New Roman" w:cs="Times New Roman"/>
                <w:color w:val="auto"/>
                <w:sz w:val="21"/>
                <w:szCs w:val="21"/>
              </w:rPr>
              <w:t>（2kPa），闪点152</w:t>
            </w:r>
            <w:r>
              <w:rPr>
                <w:rFonts w:hint="eastAsia" w:hAnsi="宋体"/>
                <w:color w:val="auto"/>
                <w:sz w:val="21"/>
                <w:szCs w:val="21"/>
              </w:rPr>
              <w:t>℃</w:t>
            </w:r>
            <w:r>
              <w:rPr>
                <w:rFonts w:ascii="Times New Roman" w:cs="Times New Roman"/>
                <w:color w:val="auto"/>
                <w:sz w:val="21"/>
                <w:szCs w:val="21"/>
              </w:rPr>
              <w:t xml:space="preserve">。 </w:t>
            </w:r>
          </w:p>
        </w:tc>
        <w:tc>
          <w:tcPr>
            <w:tcW w:w="2359" w:type="dxa"/>
            <w:vAlign w:val="center"/>
          </w:tcPr>
          <w:p>
            <w:pPr>
              <w:adjustRightInd w:val="0"/>
              <w:snapToGrid w:val="0"/>
              <w:jc w:val="center"/>
              <w:rPr>
                <w:bCs/>
                <w:color w:val="auto"/>
                <w:kern w:val="21"/>
              </w:rPr>
            </w:pPr>
            <w:r>
              <w:rPr>
                <w:rFonts w:hint="eastAsia"/>
                <w:bCs/>
                <w:color w:val="auto"/>
                <w:kern w:val="21"/>
              </w:rPr>
              <w:t>/</w:t>
            </w:r>
          </w:p>
        </w:tc>
        <w:tc>
          <w:tcPr>
            <w:tcW w:w="3420" w:type="dxa"/>
            <w:vAlign w:val="center"/>
          </w:tcPr>
          <w:p>
            <w:pPr>
              <w:pStyle w:val="283"/>
              <w:jc w:val="center"/>
              <w:rPr>
                <w:rFonts w:hint="eastAsia" w:ascii="Times New Roman" w:eastAsia="宋体" w:cs="Times New Roman"/>
                <w:color w:val="auto"/>
                <w:lang w:eastAsia="zh-CN"/>
              </w:rPr>
            </w:pPr>
            <w:r>
              <w:rPr>
                <w:rFonts w:ascii="Times New Roman" w:cs="Times New Roman"/>
                <w:color w:val="auto"/>
                <w:sz w:val="21"/>
                <w:szCs w:val="21"/>
              </w:rPr>
              <w:t>大鼠经口LD</w:t>
            </w:r>
            <w:r>
              <w:rPr>
                <w:rFonts w:ascii="Times New Roman" w:cs="Times New Roman"/>
                <w:color w:val="auto"/>
                <w:sz w:val="14"/>
                <w:szCs w:val="14"/>
              </w:rPr>
              <w:t>50</w:t>
            </w:r>
            <w:r>
              <w:rPr>
                <w:rFonts w:ascii="Times New Roman" w:cs="Times New Roman"/>
                <w:color w:val="auto"/>
                <w:sz w:val="21"/>
                <w:szCs w:val="21"/>
              </w:rPr>
              <w:t>：104mg/kg，小鼠经口LD</w:t>
            </w:r>
            <w:r>
              <w:rPr>
                <w:rFonts w:ascii="Times New Roman" w:cs="Times New Roman"/>
                <w:color w:val="auto"/>
                <w:sz w:val="14"/>
                <w:szCs w:val="14"/>
              </w:rPr>
              <w:t>50</w:t>
            </w:r>
            <w:r>
              <w:rPr>
                <w:rFonts w:ascii="Times New Roman" w:cs="Times New Roman"/>
                <w:color w:val="auto"/>
                <w:sz w:val="21"/>
                <w:szCs w:val="21"/>
              </w:rPr>
              <w:t xml:space="preserve">：105mg/kg </w:t>
            </w:r>
            <w:r>
              <w:rPr>
                <w:rFonts w:hint="eastAsia" w:ascii="Times New Roman" w:cs="Times New Roman"/>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8</w:t>
            </w:r>
          </w:p>
        </w:tc>
        <w:tc>
          <w:tcPr>
            <w:tcW w:w="1267" w:type="dxa"/>
            <w:vAlign w:val="center"/>
          </w:tcPr>
          <w:p>
            <w:pPr>
              <w:adjustRightInd w:val="0"/>
              <w:snapToGrid w:val="0"/>
              <w:jc w:val="center"/>
              <w:rPr>
                <w:bCs/>
                <w:color w:val="auto"/>
                <w:kern w:val="21"/>
              </w:rPr>
            </w:pPr>
            <w:r>
              <w:rPr>
                <w:bCs/>
                <w:color w:val="auto"/>
                <w:kern w:val="21"/>
              </w:rPr>
              <w:t>封闭剂</w:t>
            </w:r>
          </w:p>
        </w:tc>
        <w:tc>
          <w:tcPr>
            <w:tcW w:w="1413" w:type="dxa"/>
            <w:vAlign w:val="center"/>
          </w:tcPr>
          <w:p>
            <w:pPr>
              <w:pStyle w:val="283"/>
              <w:jc w:val="center"/>
              <w:rPr>
                <w:rFonts w:ascii="Times New Roman" w:cs="Times New Roman"/>
                <w:bCs/>
                <w:color w:val="auto"/>
                <w:kern w:val="21"/>
              </w:rPr>
            </w:pPr>
            <w:r>
              <w:rPr>
                <w:rFonts w:ascii="Times New Roman" w:cs="Times New Roman"/>
                <w:color w:val="auto"/>
                <w:sz w:val="21"/>
                <w:szCs w:val="21"/>
              </w:rPr>
              <w:t>RO(CH</w:t>
            </w:r>
            <w:r>
              <w:rPr>
                <w:rFonts w:ascii="Times New Roman" w:cs="Times New Roman"/>
                <w:color w:val="auto"/>
                <w:sz w:val="14"/>
                <w:szCs w:val="14"/>
              </w:rPr>
              <w:t>2</w:t>
            </w:r>
            <w:r>
              <w:rPr>
                <w:rFonts w:ascii="Times New Roman" w:cs="Times New Roman"/>
                <w:color w:val="auto"/>
                <w:sz w:val="21"/>
                <w:szCs w:val="21"/>
              </w:rPr>
              <w:t>CH</w:t>
            </w:r>
            <w:r>
              <w:rPr>
                <w:rFonts w:ascii="Times New Roman" w:cs="Times New Roman"/>
                <w:color w:val="auto"/>
                <w:sz w:val="14"/>
                <w:szCs w:val="14"/>
              </w:rPr>
              <w:t>2</w:t>
            </w:r>
            <w:r>
              <w:rPr>
                <w:rFonts w:ascii="Times New Roman" w:cs="Times New Roman"/>
                <w:color w:val="auto"/>
                <w:sz w:val="21"/>
                <w:szCs w:val="21"/>
              </w:rPr>
              <w:t>O)</w:t>
            </w:r>
            <w:r>
              <w:rPr>
                <w:rFonts w:ascii="Times New Roman" w:cs="Times New Roman"/>
                <w:color w:val="auto"/>
                <w:sz w:val="14"/>
                <w:szCs w:val="14"/>
              </w:rPr>
              <w:t>3</w:t>
            </w:r>
            <w:r>
              <w:rPr>
                <w:rFonts w:ascii="Times New Roman" w:cs="Times New Roman"/>
                <w:color w:val="auto"/>
                <w:sz w:val="21"/>
                <w:szCs w:val="21"/>
              </w:rPr>
              <w:t>SO</w:t>
            </w:r>
            <w:r>
              <w:rPr>
                <w:rFonts w:ascii="Times New Roman" w:cs="Times New Roman"/>
                <w:color w:val="auto"/>
                <w:sz w:val="14"/>
                <w:szCs w:val="14"/>
              </w:rPr>
              <w:t>3</w:t>
            </w:r>
            <w:r>
              <w:rPr>
                <w:rFonts w:ascii="Times New Roman" w:cs="Times New Roman"/>
                <w:color w:val="auto"/>
                <w:sz w:val="21"/>
                <w:szCs w:val="21"/>
              </w:rPr>
              <w:t>NaR=C12-14；R=C12-15</w:t>
            </w:r>
          </w:p>
        </w:tc>
        <w:tc>
          <w:tcPr>
            <w:tcW w:w="3943" w:type="dxa"/>
            <w:vAlign w:val="center"/>
          </w:tcPr>
          <w:p>
            <w:pPr>
              <w:pStyle w:val="283"/>
              <w:rPr>
                <w:rFonts w:ascii="Times New Roman" w:cs="Times New Roman"/>
                <w:color w:val="auto"/>
                <w:sz w:val="21"/>
                <w:szCs w:val="21"/>
              </w:rPr>
            </w:pPr>
            <w:r>
              <w:rPr>
                <w:rFonts w:ascii="Times New Roman" w:cs="Times New Roman"/>
                <w:color w:val="auto"/>
                <w:sz w:val="21"/>
                <w:szCs w:val="21"/>
              </w:rPr>
              <w:t xml:space="preserve">主要成分AES和甘油。 AES脂肪醇聚氧乙烯醚硫酸钠，沸点760mmHg，白色或浅黄色凝胶状膏体，易溶于水，具有优良的去污、乳化、发泡性能和抗硬水性能，温和的洗涤性质不会损伤皮肤。 </w:t>
            </w:r>
          </w:p>
          <w:p>
            <w:pPr>
              <w:rPr>
                <w:bCs/>
                <w:color w:val="auto"/>
                <w:kern w:val="21"/>
              </w:rPr>
            </w:pPr>
            <w:r>
              <w:rPr>
                <w:color w:val="auto"/>
              </w:rPr>
              <w:t>丙三醇俗称甘油，是无色味甜澄明黏稠液体，无臭，有暖甜味。难溶于苯、氯仿、四氯化碳、二硫化碳、石油醚和油类。相对密度1.26362。熔点17.8</w:t>
            </w:r>
            <w:r>
              <w:rPr>
                <w:rFonts w:hint="eastAsia" w:ascii="宋体" w:hAnsi="宋体" w:cs="宋体"/>
                <w:color w:val="auto"/>
              </w:rPr>
              <w:t>℃</w:t>
            </w:r>
            <w:r>
              <w:rPr>
                <w:color w:val="auto"/>
              </w:rPr>
              <w:t>。沸点290.0</w:t>
            </w:r>
            <w:r>
              <w:rPr>
                <w:rFonts w:hint="eastAsia" w:ascii="宋体" w:hAnsi="宋体" w:cs="宋体"/>
                <w:color w:val="auto"/>
              </w:rPr>
              <w:t>℃</w:t>
            </w:r>
            <w:r>
              <w:rPr>
                <w:rFonts w:hint="eastAsia" w:ascii="宋体" w:hAnsi="宋体" w:cs="宋体"/>
                <w:color w:val="auto"/>
                <w:lang w:eastAsia="zh-CN"/>
              </w:rPr>
              <w:t>（</w:t>
            </w:r>
            <w:r>
              <w:rPr>
                <w:color w:val="auto"/>
              </w:rPr>
              <w:t>分解</w:t>
            </w:r>
            <w:r>
              <w:rPr>
                <w:rFonts w:hint="eastAsia"/>
                <w:color w:val="auto"/>
                <w:lang w:eastAsia="zh-CN"/>
              </w:rPr>
              <w:t>）</w:t>
            </w:r>
            <w:r>
              <w:rPr>
                <w:color w:val="auto"/>
              </w:rPr>
              <w:t>。折光率1.4746。闪点</w:t>
            </w:r>
            <w:r>
              <w:rPr>
                <w:rFonts w:hint="eastAsia"/>
                <w:color w:val="auto"/>
                <w:lang w:eastAsia="zh-CN"/>
              </w:rPr>
              <w:t>（</w:t>
            </w:r>
            <w:r>
              <w:rPr>
                <w:color w:val="auto"/>
              </w:rPr>
              <w:t>开杯</w:t>
            </w:r>
            <w:r>
              <w:rPr>
                <w:rFonts w:hint="eastAsia"/>
                <w:color w:val="auto"/>
                <w:lang w:eastAsia="zh-CN"/>
              </w:rPr>
              <w:t>）</w:t>
            </w:r>
            <w:r>
              <w:rPr>
                <w:color w:val="auto"/>
              </w:rPr>
              <w:t>176</w:t>
            </w:r>
            <w:r>
              <w:rPr>
                <w:rFonts w:hint="eastAsia" w:ascii="宋体" w:hAnsi="宋体" w:cs="宋体"/>
                <w:color w:val="auto"/>
              </w:rPr>
              <w:t>℃</w:t>
            </w:r>
            <w:r>
              <w:rPr>
                <w:color w:val="auto"/>
              </w:rPr>
              <w:t xml:space="preserve">。 </w:t>
            </w:r>
          </w:p>
        </w:tc>
        <w:tc>
          <w:tcPr>
            <w:tcW w:w="2359" w:type="dxa"/>
            <w:vAlign w:val="center"/>
          </w:tcPr>
          <w:p>
            <w:pPr>
              <w:adjustRightInd w:val="0"/>
              <w:snapToGrid w:val="0"/>
              <w:jc w:val="center"/>
              <w:rPr>
                <w:rFonts w:hint="eastAsia" w:eastAsia="宋体"/>
                <w:bCs/>
                <w:color w:val="auto"/>
                <w:kern w:val="21"/>
                <w:lang w:eastAsia="zh-CN"/>
              </w:rPr>
            </w:pPr>
            <w:r>
              <w:rPr>
                <w:color w:val="auto"/>
              </w:rPr>
              <w:t>无毒物质</w:t>
            </w:r>
            <w:r>
              <w:rPr>
                <w:rFonts w:hint="eastAsia"/>
                <w:color w:val="auto"/>
                <w:lang w:eastAsia="zh-CN"/>
              </w:rPr>
              <w:t>。</w:t>
            </w:r>
          </w:p>
        </w:tc>
        <w:tc>
          <w:tcPr>
            <w:tcW w:w="3420" w:type="dxa"/>
            <w:vAlign w:val="center"/>
          </w:tcPr>
          <w:p>
            <w:pPr>
              <w:pStyle w:val="283"/>
              <w:jc w:val="center"/>
              <w:rPr>
                <w:rFonts w:ascii="Times New Roman" w:cs="Times New Roman"/>
                <w:bCs/>
                <w:color w:val="auto"/>
                <w:kern w:val="21"/>
              </w:rPr>
            </w:pPr>
            <w:r>
              <w:rPr>
                <w:rFonts w:ascii="Times New Roman" w:cs="Times New Roman"/>
                <w:color w:val="auto"/>
                <w:sz w:val="21"/>
                <w:szCs w:val="21"/>
              </w:rPr>
              <w:t>AES急性毒性</w:t>
            </w:r>
            <w:r>
              <w:rPr>
                <w:rFonts w:hint="eastAsia" w:ascii="Times New Roman" w:cs="Times New Roman"/>
                <w:color w:val="auto"/>
                <w:sz w:val="21"/>
                <w:szCs w:val="21"/>
                <w:lang w:eastAsia="zh-CN"/>
              </w:rPr>
              <w:t>：</w:t>
            </w:r>
            <w:r>
              <w:rPr>
                <w:rFonts w:ascii="Times New Roman" w:cs="Times New Roman"/>
                <w:color w:val="auto"/>
                <w:sz w:val="21"/>
                <w:szCs w:val="21"/>
              </w:rPr>
              <w:t>LD</w:t>
            </w:r>
            <w:r>
              <w:rPr>
                <w:rFonts w:ascii="Times New Roman" w:cs="Times New Roman"/>
                <w:color w:val="auto"/>
                <w:sz w:val="14"/>
                <w:szCs w:val="14"/>
              </w:rPr>
              <w:t>50</w:t>
            </w:r>
            <w:r>
              <w:rPr>
                <w:rFonts w:ascii="Times New Roman" w:cs="Times New Roman"/>
                <w:color w:val="auto"/>
                <w:sz w:val="21"/>
                <w:szCs w:val="21"/>
              </w:rPr>
              <w:t>为1.7-5.0g/kg。 甘油急性毒性：LD</w:t>
            </w:r>
            <w:r>
              <w:rPr>
                <w:rFonts w:ascii="Times New Roman" w:cs="Times New Roman"/>
                <w:color w:val="auto"/>
                <w:sz w:val="14"/>
                <w:szCs w:val="14"/>
              </w:rPr>
              <w:t>50</w:t>
            </w:r>
            <w:r>
              <w:rPr>
                <w:rFonts w:ascii="Times New Roman" w:cs="Times New Roman"/>
                <w:color w:val="auto"/>
                <w:sz w:val="21"/>
                <w:szCs w:val="21"/>
              </w:rPr>
              <w:t xml:space="preserve">31500 </w:t>
            </w:r>
          </w:p>
          <w:p>
            <w:pPr>
              <w:pStyle w:val="283"/>
              <w:jc w:val="center"/>
              <w:rPr>
                <w:rFonts w:ascii="Times New Roman" w:cs="Times New Roman"/>
                <w:bCs/>
                <w:color w:val="auto"/>
                <w:kern w:val="21"/>
              </w:rPr>
            </w:pPr>
            <w:r>
              <w:rPr>
                <w:rFonts w:ascii="Times New Roman" w:cs="Times New Roman"/>
                <w:color w:val="auto"/>
                <w:sz w:val="21"/>
                <w:szCs w:val="21"/>
              </w:rPr>
              <w:t>mg/kg</w:t>
            </w:r>
            <w:r>
              <w:rPr>
                <w:rFonts w:hint="eastAsia" w:ascii="Times New Roman" w:cs="Times New Roman"/>
                <w:color w:val="auto"/>
                <w:sz w:val="21"/>
                <w:szCs w:val="21"/>
                <w:lang w:eastAsia="zh-CN"/>
              </w:rPr>
              <w:t>（</w:t>
            </w:r>
            <w:r>
              <w:rPr>
                <w:rFonts w:ascii="Times New Roman" w:cs="Times New Roman"/>
                <w:color w:val="auto"/>
                <w:sz w:val="21"/>
                <w:szCs w:val="21"/>
              </w:rPr>
              <w:t>大鼠经口</w:t>
            </w:r>
            <w:r>
              <w:rPr>
                <w:rFonts w:hint="eastAsia" w:ascii="Times New Roman" w:cs="Times New Roman"/>
                <w:color w:val="auto"/>
                <w:sz w:val="21"/>
                <w:szCs w:val="21"/>
                <w:lang w:eastAsia="zh-CN"/>
              </w:rPr>
              <w:t>）</w:t>
            </w:r>
            <w:r>
              <w:rPr>
                <w:rFonts w:ascii="Times New Roman" w:cs="Times New Roman"/>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9</w:t>
            </w:r>
          </w:p>
        </w:tc>
        <w:tc>
          <w:tcPr>
            <w:tcW w:w="1267" w:type="dxa"/>
            <w:vAlign w:val="center"/>
          </w:tcPr>
          <w:p>
            <w:pPr>
              <w:adjustRightInd w:val="0"/>
              <w:snapToGrid w:val="0"/>
              <w:jc w:val="center"/>
              <w:rPr>
                <w:bCs/>
                <w:color w:val="auto"/>
                <w:kern w:val="21"/>
              </w:rPr>
            </w:pPr>
            <w:r>
              <w:rPr>
                <w:bCs/>
                <w:color w:val="auto"/>
                <w:kern w:val="21"/>
              </w:rPr>
              <w:t>氢氧化钠</w:t>
            </w:r>
          </w:p>
        </w:tc>
        <w:tc>
          <w:tcPr>
            <w:tcW w:w="1413" w:type="dxa"/>
            <w:vAlign w:val="center"/>
          </w:tcPr>
          <w:p>
            <w:pPr>
              <w:adjustRightInd w:val="0"/>
              <w:snapToGrid w:val="0"/>
              <w:jc w:val="center"/>
              <w:rPr>
                <w:bCs/>
                <w:color w:val="auto"/>
                <w:kern w:val="21"/>
              </w:rPr>
            </w:pPr>
            <w:r>
              <w:rPr>
                <w:rFonts w:eastAsia="TimesNewRomanPSMT"/>
                <w:color w:val="auto"/>
                <w:kern w:val="21"/>
              </w:rPr>
              <w:t>NaOH</w:t>
            </w:r>
          </w:p>
        </w:tc>
        <w:tc>
          <w:tcPr>
            <w:tcW w:w="3943" w:type="dxa"/>
            <w:vAlign w:val="center"/>
          </w:tcPr>
          <w:p>
            <w:pPr>
              <w:adjustRightInd w:val="0"/>
              <w:snapToGrid w:val="0"/>
              <w:jc w:val="center"/>
              <w:rPr>
                <w:rFonts w:hint="eastAsia" w:eastAsia="宋体"/>
                <w:bCs/>
                <w:color w:val="auto"/>
                <w:kern w:val="21"/>
                <w:lang w:eastAsia="zh-CN"/>
              </w:rPr>
            </w:pPr>
            <w:r>
              <w:rPr>
                <w:bCs/>
                <w:color w:val="auto"/>
                <w:kern w:val="21"/>
              </w:rPr>
              <w:t>分子量40.01，蒸汽压0.13kPa（739℃），熔点318.4℃，沸点：1390℃，易溶于水、乙醇、甘油，不溶于丙酮；相对密度（水=1）2.13</w:t>
            </w:r>
            <w:r>
              <w:rPr>
                <w:rFonts w:hint="eastAsia"/>
                <w:bCs/>
                <w:color w:val="auto"/>
                <w:kern w:val="21"/>
                <w:lang w:eastAsia="zh-CN"/>
              </w:rPr>
              <w:t>。</w:t>
            </w:r>
          </w:p>
        </w:tc>
        <w:tc>
          <w:tcPr>
            <w:tcW w:w="2359" w:type="dxa"/>
            <w:vAlign w:val="center"/>
          </w:tcPr>
          <w:p>
            <w:pPr>
              <w:rPr>
                <w:rFonts w:hint="eastAsia" w:eastAsia="宋体"/>
                <w:bCs/>
                <w:color w:val="auto"/>
                <w:kern w:val="21"/>
                <w:lang w:eastAsia="zh-CN"/>
              </w:rPr>
            </w:pPr>
            <w:r>
              <w:rPr>
                <w:color w:val="auto"/>
                <w:kern w:val="21"/>
              </w:rPr>
              <w:t>不燃，遇水和水蒸气大量放热，形成腐蚀性溶液。与酸发生</w:t>
            </w:r>
            <w:r>
              <w:rPr>
                <w:rFonts w:hint="eastAsia"/>
                <w:color w:val="auto"/>
                <w:kern w:val="21"/>
                <w:lang w:eastAsia="zh-CN"/>
              </w:rPr>
              <w:t>。</w:t>
            </w:r>
          </w:p>
        </w:tc>
        <w:tc>
          <w:tcPr>
            <w:tcW w:w="3420" w:type="dxa"/>
            <w:vAlign w:val="center"/>
          </w:tcPr>
          <w:p>
            <w:pPr>
              <w:adjustRightInd w:val="0"/>
              <w:snapToGrid w:val="0"/>
              <w:jc w:val="center"/>
              <w:rPr>
                <w:rFonts w:hint="eastAsia" w:eastAsia="宋体"/>
                <w:bCs/>
                <w:color w:val="auto"/>
                <w:kern w:val="21"/>
                <w:lang w:eastAsia="zh-CN"/>
              </w:rPr>
            </w:pPr>
            <w:r>
              <w:rPr>
                <w:color w:val="auto"/>
                <w:kern w:val="21"/>
              </w:rPr>
              <w:t>有强烈刺激和腐蚀性</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10</w:t>
            </w:r>
          </w:p>
        </w:tc>
        <w:tc>
          <w:tcPr>
            <w:tcW w:w="1267" w:type="dxa"/>
            <w:vAlign w:val="center"/>
          </w:tcPr>
          <w:p>
            <w:pPr>
              <w:adjustRightInd w:val="0"/>
              <w:snapToGrid w:val="0"/>
              <w:jc w:val="center"/>
              <w:rPr>
                <w:bCs/>
                <w:color w:val="auto"/>
                <w:kern w:val="21"/>
              </w:rPr>
            </w:pPr>
            <w:r>
              <w:rPr>
                <w:bCs/>
                <w:color w:val="auto"/>
                <w:kern w:val="21"/>
              </w:rPr>
              <w:t>柠檬酸</w:t>
            </w:r>
          </w:p>
        </w:tc>
        <w:tc>
          <w:tcPr>
            <w:tcW w:w="1413" w:type="dxa"/>
            <w:vAlign w:val="center"/>
          </w:tcPr>
          <w:p>
            <w:pPr>
              <w:adjustRightInd w:val="0"/>
              <w:snapToGrid w:val="0"/>
              <w:jc w:val="center"/>
              <w:rPr>
                <w:bCs/>
                <w:color w:val="auto"/>
                <w:kern w:val="21"/>
              </w:rPr>
            </w:pPr>
            <w:r>
              <w:rPr>
                <w:rFonts w:eastAsia="TimesNewRomanPSMT"/>
                <w:color w:val="auto"/>
                <w:kern w:val="21"/>
              </w:rPr>
              <w:t>C</w:t>
            </w:r>
            <w:r>
              <w:rPr>
                <w:color w:val="auto"/>
                <w:kern w:val="21"/>
                <w:vertAlign w:val="subscript"/>
              </w:rPr>
              <w:t>6</w:t>
            </w:r>
            <w:r>
              <w:rPr>
                <w:rFonts w:eastAsia="TimesNewRomanPSMT"/>
                <w:color w:val="auto"/>
                <w:kern w:val="21"/>
              </w:rPr>
              <w:t>H</w:t>
            </w:r>
            <w:r>
              <w:rPr>
                <w:color w:val="auto"/>
                <w:kern w:val="21"/>
                <w:vertAlign w:val="subscript"/>
              </w:rPr>
              <w:t>8</w:t>
            </w:r>
            <w:r>
              <w:rPr>
                <w:rFonts w:eastAsia="TimesNewRomanPSMT"/>
                <w:color w:val="auto"/>
                <w:kern w:val="21"/>
              </w:rPr>
              <w:t>O</w:t>
            </w:r>
            <w:r>
              <w:rPr>
                <w:color w:val="auto"/>
                <w:kern w:val="21"/>
                <w:vertAlign w:val="subscript"/>
              </w:rPr>
              <w:t>7</w:t>
            </w:r>
          </w:p>
        </w:tc>
        <w:tc>
          <w:tcPr>
            <w:tcW w:w="3943" w:type="dxa"/>
            <w:vAlign w:val="center"/>
          </w:tcPr>
          <w:p>
            <w:pPr>
              <w:adjustRightInd w:val="0"/>
              <w:snapToGrid w:val="0"/>
              <w:jc w:val="center"/>
              <w:rPr>
                <w:rFonts w:hint="eastAsia" w:eastAsia="宋体"/>
                <w:bCs/>
                <w:color w:val="auto"/>
                <w:kern w:val="21"/>
                <w:lang w:eastAsia="zh-CN"/>
              </w:rPr>
            </w:pPr>
            <w:r>
              <w:rPr>
                <w:bCs/>
                <w:color w:val="auto"/>
                <w:kern w:val="21"/>
              </w:rPr>
              <w:t>分子量192.14，白色结晶粉末，无臭，蒸汽压100kPa（21℃），熔点153℃，沸点：175℃，</w:t>
            </w:r>
            <w:r>
              <w:rPr>
                <w:color w:val="auto"/>
              </w:rPr>
              <w:fldChar w:fldCharType="begin"/>
            </w:r>
            <w:r>
              <w:rPr>
                <w:color w:val="auto"/>
              </w:rPr>
              <w:instrText xml:space="preserve"> HYPERLINK "https://baike.so.com/doc/2751462-2903816.html" \t "https://baike.so.com/doc/_blank" </w:instrText>
            </w:r>
            <w:r>
              <w:rPr>
                <w:color w:val="auto"/>
              </w:rPr>
              <w:fldChar w:fldCharType="separate"/>
            </w:r>
            <w:r>
              <w:rPr>
                <w:bCs/>
                <w:color w:val="auto"/>
                <w:kern w:val="21"/>
              </w:rPr>
              <w:t>相对密度</w:t>
            </w:r>
            <w:r>
              <w:rPr>
                <w:bCs/>
                <w:color w:val="auto"/>
                <w:kern w:val="21"/>
              </w:rPr>
              <w:fldChar w:fldCharType="end"/>
            </w:r>
            <w:r>
              <w:rPr>
                <w:bCs/>
                <w:color w:val="auto"/>
                <w:kern w:val="21"/>
              </w:rPr>
              <w:t>（水=1）：1.6650；</w:t>
            </w:r>
            <w:r>
              <w:rPr>
                <w:color w:val="auto"/>
              </w:rPr>
              <w:fldChar w:fldCharType="begin"/>
            </w:r>
            <w:r>
              <w:rPr>
                <w:color w:val="auto"/>
              </w:rPr>
              <w:instrText xml:space="preserve"> HYPERLINK "https://baike.so.com/doc/720555-762868.html" \t "https://baike.so.com/doc/_blank" </w:instrText>
            </w:r>
            <w:r>
              <w:rPr>
                <w:color w:val="auto"/>
              </w:rPr>
              <w:fldChar w:fldCharType="separate"/>
            </w:r>
            <w:r>
              <w:rPr>
                <w:bCs/>
                <w:color w:val="auto"/>
                <w:kern w:val="21"/>
              </w:rPr>
              <w:t>闪点</w:t>
            </w:r>
            <w:r>
              <w:rPr>
                <w:bCs/>
                <w:color w:val="auto"/>
                <w:kern w:val="21"/>
              </w:rPr>
              <w:fldChar w:fldCharType="end"/>
            </w:r>
            <w:r>
              <w:rPr>
                <w:bCs/>
                <w:color w:val="auto"/>
                <w:kern w:val="21"/>
              </w:rPr>
              <w:t>：100℃；引燃温度：1010.87℃（粉末）</w:t>
            </w:r>
            <w:r>
              <w:rPr>
                <w:rFonts w:hint="eastAsia"/>
                <w:bCs/>
                <w:color w:val="auto"/>
                <w:kern w:val="21"/>
                <w:lang w:eastAsia="zh-CN"/>
              </w:rPr>
              <w:t>。</w:t>
            </w:r>
          </w:p>
        </w:tc>
        <w:tc>
          <w:tcPr>
            <w:tcW w:w="2359" w:type="dxa"/>
            <w:vAlign w:val="center"/>
          </w:tcPr>
          <w:p>
            <w:pPr>
              <w:rPr>
                <w:bCs/>
                <w:color w:val="auto"/>
                <w:kern w:val="21"/>
              </w:rPr>
            </w:pPr>
            <w:r>
              <w:rPr>
                <w:color w:val="auto"/>
                <w:kern w:val="21"/>
              </w:rPr>
              <w:t>溶于水、乙醇、</w:t>
            </w:r>
            <w:r>
              <w:rPr>
                <w:color w:val="auto"/>
              </w:rPr>
              <w:fldChar w:fldCharType="begin"/>
            </w:r>
            <w:r>
              <w:rPr>
                <w:color w:val="auto"/>
              </w:rPr>
              <w:instrText xml:space="preserve"> HYPERLINK "https://baike.so.com/doc/252057-266820.html" \t "https://baike.so.com/doc/_blank" </w:instrText>
            </w:r>
            <w:r>
              <w:rPr>
                <w:color w:val="auto"/>
              </w:rPr>
              <w:fldChar w:fldCharType="separate"/>
            </w:r>
            <w:r>
              <w:rPr>
                <w:color w:val="auto"/>
                <w:kern w:val="21"/>
              </w:rPr>
              <w:t>丙酮</w:t>
            </w:r>
            <w:r>
              <w:rPr>
                <w:color w:val="auto"/>
                <w:kern w:val="21"/>
              </w:rPr>
              <w:fldChar w:fldCharType="end"/>
            </w:r>
            <w:r>
              <w:rPr>
                <w:color w:val="auto"/>
                <w:kern w:val="21"/>
              </w:rPr>
              <w:t>，不溶于乙醚、</w:t>
            </w:r>
            <w:r>
              <w:rPr>
                <w:color w:val="auto"/>
              </w:rPr>
              <w:fldChar w:fldCharType="begin"/>
            </w:r>
            <w:r>
              <w:rPr>
                <w:color w:val="auto"/>
              </w:rPr>
              <w:instrText xml:space="preserve"> HYPERLINK "https://baike.so.com/doc/3194557-3366490.html" \t "https://baike.so.com/doc/_blank" </w:instrText>
            </w:r>
            <w:r>
              <w:rPr>
                <w:color w:val="auto"/>
              </w:rPr>
              <w:fldChar w:fldCharType="separate"/>
            </w:r>
            <w:r>
              <w:rPr>
                <w:color w:val="auto"/>
                <w:kern w:val="21"/>
              </w:rPr>
              <w:t>苯</w:t>
            </w:r>
            <w:r>
              <w:rPr>
                <w:color w:val="auto"/>
                <w:kern w:val="21"/>
              </w:rPr>
              <w:fldChar w:fldCharType="end"/>
            </w:r>
            <w:r>
              <w:rPr>
                <w:color w:val="auto"/>
                <w:kern w:val="21"/>
              </w:rPr>
              <w:t>，微溶于氯仿。水溶液显酸性。</w:t>
            </w:r>
          </w:p>
        </w:tc>
        <w:tc>
          <w:tcPr>
            <w:tcW w:w="3420" w:type="dxa"/>
            <w:vAlign w:val="center"/>
          </w:tcPr>
          <w:p>
            <w:pPr>
              <w:adjustRightInd w:val="0"/>
              <w:snapToGrid w:val="0"/>
              <w:jc w:val="center"/>
              <w:rPr>
                <w:bCs/>
                <w:color w:val="auto"/>
                <w:kern w:val="21"/>
              </w:rPr>
            </w:pPr>
            <w:r>
              <w:rPr>
                <w:color w:val="auto"/>
                <w:kern w:val="21"/>
              </w:rPr>
              <w:t>健康危害：具刺激作用。在工业使用中，接触者可能引起湿疹。燃爆危险：本品可燃，具刺激性。 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11</w:t>
            </w:r>
          </w:p>
        </w:tc>
        <w:tc>
          <w:tcPr>
            <w:tcW w:w="1267" w:type="dxa"/>
            <w:vAlign w:val="center"/>
          </w:tcPr>
          <w:p>
            <w:pPr>
              <w:adjustRightInd w:val="0"/>
              <w:snapToGrid w:val="0"/>
              <w:jc w:val="center"/>
              <w:rPr>
                <w:bCs/>
                <w:color w:val="auto"/>
                <w:kern w:val="21"/>
              </w:rPr>
            </w:pPr>
            <w:r>
              <w:rPr>
                <w:bCs/>
                <w:color w:val="auto"/>
                <w:kern w:val="21"/>
              </w:rPr>
              <w:t>氯化锌</w:t>
            </w:r>
          </w:p>
        </w:tc>
        <w:tc>
          <w:tcPr>
            <w:tcW w:w="1413" w:type="dxa"/>
            <w:vAlign w:val="center"/>
          </w:tcPr>
          <w:p>
            <w:pPr>
              <w:jc w:val="center"/>
              <w:rPr>
                <w:color w:val="auto"/>
                <w:kern w:val="21"/>
              </w:rPr>
            </w:pPr>
            <w:r>
              <w:rPr>
                <w:color w:val="auto"/>
                <w:kern w:val="21"/>
              </w:rPr>
              <w:t>ZnCl</w:t>
            </w:r>
            <w:r>
              <w:rPr>
                <w:color w:val="auto"/>
                <w:kern w:val="21"/>
                <w:vertAlign w:val="subscript"/>
              </w:rPr>
              <w:t>2</w:t>
            </w:r>
          </w:p>
        </w:tc>
        <w:tc>
          <w:tcPr>
            <w:tcW w:w="3943" w:type="dxa"/>
            <w:vAlign w:val="center"/>
          </w:tcPr>
          <w:p>
            <w:pPr>
              <w:jc w:val="center"/>
              <w:rPr>
                <w:color w:val="auto"/>
                <w:kern w:val="21"/>
              </w:rPr>
            </w:pPr>
            <w:r>
              <w:rPr>
                <w:color w:val="auto"/>
                <w:kern w:val="21"/>
              </w:rPr>
              <w:t>性状</w:t>
            </w:r>
            <w:r>
              <w:rPr>
                <w:rFonts w:hint="eastAsia"/>
                <w:color w:val="auto"/>
                <w:kern w:val="21"/>
                <w:lang w:eastAsia="zh-CN"/>
              </w:rPr>
              <w:t>：</w:t>
            </w:r>
            <w:r>
              <w:rPr>
                <w:color w:val="auto"/>
                <w:kern w:val="21"/>
              </w:rPr>
              <w:t>白色粒状、棒状或粉末。无气味。易吸湿。水中溶解度25</w:t>
            </w:r>
            <w:r>
              <w:rPr>
                <w:rFonts w:hint="eastAsia"/>
                <w:color w:val="auto"/>
                <w:kern w:val="21"/>
              </w:rPr>
              <w:t>℃</w:t>
            </w:r>
            <w:r>
              <w:rPr>
                <w:color w:val="auto"/>
                <w:kern w:val="21"/>
              </w:rPr>
              <w:t>时为432g、100</w:t>
            </w:r>
            <w:r>
              <w:rPr>
                <w:rFonts w:hint="eastAsia"/>
                <w:color w:val="auto"/>
                <w:kern w:val="21"/>
              </w:rPr>
              <w:t>℃</w:t>
            </w:r>
            <w:r>
              <w:rPr>
                <w:color w:val="auto"/>
                <w:kern w:val="21"/>
              </w:rPr>
              <w:t>时为614g。1g溶于0.25ml 2%盐酸、1.3ml</w:t>
            </w:r>
            <w:r>
              <w:rPr>
                <w:color w:val="auto"/>
              </w:rPr>
              <w:fldChar w:fldCharType="begin"/>
            </w:r>
            <w:r>
              <w:rPr>
                <w:color w:val="auto"/>
              </w:rPr>
              <w:instrText xml:space="preserve"> HYPERLINK "https://baike.so.com/doc/3036121-3200992.html" \t "_blank" </w:instrText>
            </w:r>
            <w:r>
              <w:rPr>
                <w:color w:val="auto"/>
              </w:rPr>
              <w:fldChar w:fldCharType="separate"/>
            </w:r>
            <w:r>
              <w:rPr>
                <w:color w:val="auto"/>
                <w:kern w:val="21"/>
              </w:rPr>
              <w:t>乙醇</w:t>
            </w:r>
            <w:r>
              <w:rPr>
                <w:color w:val="auto"/>
                <w:kern w:val="21"/>
              </w:rPr>
              <w:fldChar w:fldCharType="end"/>
            </w:r>
            <w:r>
              <w:rPr>
                <w:color w:val="auto"/>
                <w:kern w:val="21"/>
              </w:rPr>
              <w:t>、2ml甘油。易溶于</w:t>
            </w:r>
            <w:r>
              <w:rPr>
                <w:color w:val="auto"/>
              </w:rPr>
              <w:fldChar w:fldCharType="begin"/>
            </w:r>
            <w:r>
              <w:rPr>
                <w:color w:val="auto"/>
              </w:rPr>
              <w:instrText xml:space="preserve"> HYPERLINK "https://baike.so.com/doc/252057-266820.html" \t "_blank" </w:instrText>
            </w:r>
            <w:r>
              <w:rPr>
                <w:color w:val="auto"/>
              </w:rPr>
              <w:fldChar w:fldCharType="separate"/>
            </w:r>
            <w:r>
              <w:rPr>
                <w:color w:val="auto"/>
                <w:kern w:val="21"/>
              </w:rPr>
              <w:t>丙酮</w:t>
            </w:r>
            <w:r>
              <w:rPr>
                <w:color w:val="auto"/>
                <w:kern w:val="21"/>
              </w:rPr>
              <w:fldChar w:fldCharType="end"/>
            </w:r>
            <w:r>
              <w:rPr>
                <w:color w:val="auto"/>
                <w:kern w:val="21"/>
              </w:rPr>
              <w:t>。加多量水有氧氯化锌产生。其水溶液对石蕊呈酸性，pH约为4。</w:t>
            </w:r>
            <w:r>
              <w:rPr>
                <w:color w:val="auto"/>
              </w:rPr>
              <w:fldChar w:fldCharType="begin"/>
            </w:r>
            <w:r>
              <w:rPr>
                <w:color w:val="auto"/>
              </w:rPr>
              <w:instrText xml:space="preserve"> HYPERLINK "https://baike.so.com/doc/2751462-2903816.html" \t "_blank" </w:instrText>
            </w:r>
            <w:r>
              <w:rPr>
                <w:color w:val="auto"/>
              </w:rPr>
              <w:fldChar w:fldCharType="separate"/>
            </w:r>
            <w:r>
              <w:rPr>
                <w:color w:val="auto"/>
                <w:kern w:val="21"/>
              </w:rPr>
              <w:t>相对密度</w:t>
            </w:r>
            <w:r>
              <w:rPr>
                <w:color w:val="auto"/>
                <w:kern w:val="21"/>
              </w:rPr>
              <w:fldChar w:fldCharType="end"/>
            </w:r>
            <w:r>
              <w:rPr>
                <w:color w:val="auto"/>
                <w:kern w:val="21"/>
              </w:rPr>
              <w:t>2.907。</w:t>
            </w:r>
            <w:r>
              <w:rPr>
                <w:color w:val="auto"/>
              </w:rPr>
              <w:fldChar w:fldCharType="begin"/>
            </w:r>
            <w:r>
              <w:rPr>
                <w:color w:val="auto"/>
              </w:rPr>
              <w:instrText xml:space="preserve"> HYPERLINK "https://baike.so.com/doc/367780-389604.html" \t "_blank" </w:instrText>
            </w:r>
            <w:r>
              <w:rPr>
                <w:color w:val="auto"/>
              </w:rPr>
              <w:fldChar w:fldCharType="separate"/>
            </w:r>
            <w:r>
              <w:rPr>
                <w:color w:val="auto"/>
                <w:kern w:val="21"/>
              </w:rPr>
              <w:t>熔点</w:t>
            </w:r>
            <w:r>
              <w:rPr>
                <w:color w:val="auto"/>
                <w:kern w:val="21"/>
              </w:rPr>
              <w:fldChar w:fldCharType="end"/>
            </w:r>
            <w:r>
              <w:rPr>
                <w:color w:val="auto"/>
                <w:kern w:val="21"/>
              </w:rPr>
              <w:t>约290</w:t>
            </w:r>
            <w:r>
              <w:rPr>
                <w:rFonts w:hint="eastAsia"/>
                <w:color w:val="auto"/>
                <w:kern w:val="21"/>
              </w:rPr>
              <w:t>℃</w:t>
            </w:r>
            <w:r>
              <w:rPr>
                <w:color w:val="auto"/>
                <w:kern w:val="21"/>
              </w:rPr>
              <w:t>。沸点 732</w:t>
            </w:r>
            <w:r>
              <w:rPr>
                <w:rFonts w:hint="eastAsia"/>
                <w:color w:val="auto"/>
                <w:kern w:val="21"/>
              </w:rPr>
              <w:t>℃</w:t>
            </w:r>
            <w:r>
              <w:rPr>
                <w:color w:val="auto"/>
                <w:kern w:val="21"/>
              </w:rPr>
              <w:t>。</w:t>
            </w:r>
          </w:p>
        </w:tc>
        <w:tc>
          <w:tcPr>
            <w:tcW w:w="2359" w:type="dxa"/>
            <w:vAlign w:val="center"/>
          </w:tcPr>
          <w:p>
            <w:pPr>
              <w:jc w:val="center"/>
              <w:rPr>
                <w:color w:val="auto"/>
                <w:kern w:val="21"/>
              </w:rPr>
            </w:pPr>
            <w:r>
              <w:rPr>
                <w:color w:val="auto"/>
                <w:kern w:val="21"/>
              </w:rPr>
              <w:t>氯化锌易溶于水，溶于</w:t>
            </w:r>
            <w:r>
              <w:rPr>
                <w:color w:val="auto"/>
              </w:rPr>
              <w:fldChar w:fldCharType="begin"/>
            </w:r>
            <w:r>
              <w:rPr>
                <w:color w:val="auto"/>
              </w:rPr>
              <w:instrText xml:space="preserve"> HYPERLINK "https://baike.so.com/doc/7021262-7244165.html" \t "_blank" </w:instrText>
            </w:r>
            <w:r>
              <w:rPr>
                <w:color w:val="auto"/>
              </w:rPr>
              <w:fldChar w:fldCharType="separate"/>
            </w:r>
            <w:r>
              <w:rPr>
                <w:color w:val="auto"/>
                <w:kern w:val="21"/>
              </w:rPr>
              <w:t>甲醇</w:t>
            </w:r>
            <w:r>
              <w:rPr>
                <w:color w:val="auto"/>
                <w:kern w:val="21"/>
              </w:rPr>
              <w:fldChar w:fldCharType="end"/>
            </w:r>
            <w:r>
              <w:rPr>
                <w:color w:val="auto"/>
                <w:kern w:val="21"/>
              </w:rPr>
              <w:t>、乙醇、甘油、丙酮、</w:t>
            </w:r>
            <w:r>
              <w:rPr>
                <w:color w:val="auto"/>
              </w:rPr>
              <w:fldChar w:fldCharType="begin"/>
            </w:r>
            <w:r>
              <w:rPr>
                <w:color w:val="auto"/>
              </w:rPr>
              <w:instrText xml:space="preserve"> HYPERLINK "https://baike.so.com/doc/1872265-1980372.html" \t "_blank" </w:instrText>
            </w:r>
            <w:r>
              <w:rPr>
                <w:color w:val="auto"/>
              </w:rPr>
              <w:fldChar w:fldCharType="separate"/>
            </w:r>
            <w:r>
              <w:rPr>
                <w:color w:val="auto"/>
                <w:kern w:val="21"/>
              </w:rPr>
              <w:t>乙醚</w:t>
            </w:r>
            <w:r>
              <w:rPr>
                <w:color w:val="auto"/>
                <w:kern w:val="21"/>
              </w:rPr>
              <w:fldChar w:fldCharType="end"/>
            </w:r>
            <w:r>
              <w:rPr>
                <w:color w:val="auto"/>
                <w:kern w:val="21"/>
              </w:rPr>
              <w:t>，不溶于</w:t>
            </w:r>
            <w:r>
              <w:rPr>
                <w:color w:val="auto"/>
              </w:rPr>
              <w:fldChar w:fldCharType="begin"/>
            </w:r>
            <w:r>
              <w:rPr>
                <w:color w:val="auto"/>
              </w:rPr>
              <w:instrText xml:space="preserve"> HYPERLINK "https://baike.so.com/doc/5401818-5639475.html" \t "_blank" </w:instrText>
            </w:r>
            <w:r>
              <w:rPr>
                <w:color w:val="auto"/>
              </w:rPr>
              <w:fldChar w:fldCharType="separate"/>
            </w:r>
            <w:r>
              <w:rPr>
                <w:color w:val="auto"/>
                <w:kern w:val="21"/>
              </w:rPr>
              <w:t>液氨</w:t>
            </w:r>
            <w:r>
              <w:rPr>
                <w:color w:val="auto"/>
                <w:kern w:val="21"/>
              </w:rPr>
              <w:fldChar w:fldCharType="end"/>
            </w:r>
            <w:r>
              <w:rPr>
                <w:color w:val="auto"/>
                <w:kern w:val="21"/>
              </w:rPr>
              <w:t>。潮解性强，能自空气中吸收水分而潮解。具有溶解</w:t>
            </w:r>
            <w:r>
              <w:rPr>
                <w:color w:val="auto"/>
              </w:rPr>
              <w:fldChar w:fldCharType="begin"/>
            </w:r>
            <w:r>
              <w:rPr>
                <w:color w:val="auto"/>
              </w:rPr>
              <w:instrText xml:space="preserve"> HYPERLINK "https://baike.so.com/doc/5654890-5867538.html" \t "_blank" </w:instrText>
            </w:r>
            <w:r>
              <w:rPr>
                <w:color w:val="auto"/>
              </w:rPr>
              <w:fldChar w:fldCharType="separate"/>
            </w:r>
            <w:r>
              <w:rPr>
                <w:color w:val="auto"/>
                <w:kern w:val="21"/>
              </w:rPr>
              <w:t>金属氧化物</w:t>
            </w:r>
            <w:r>
              <w:rPr>
                <w:color w:val="auto"/>
                <w:kern w:val="21"/>
              </w:rPr>
              <w:fldChar w:fldCharType="end"/>
            </w:r>
            <w:r>
              <w:rPr>
                <w:color w:val="auto"/>
                <w:kern w:val="21"/>
              </w:rPr>
              <w:t>和纤维素的特性。熔融氯化锌有很好的导电性能。灼热时有浓厚的白烟生成。氯化锌有</w:t>
            </w:r>
            <w:r>
              <w:rPr>
                <w:color w:val="auto"/>
              </w:rPr>
              <w:fldChar w:fldCharType="begin"/>
            </w:r>
            <w:r>
              <w:rPr>
                <w:color w:val="auto"/>
              </w:rPr>
              <w:instrText xml:space="preserve"> HYPERLINK "https://baike.so.com/doc/6094923-6308031.html" \t "_blank" </w:instrText>
            </w:r>
            <w:r>
              <w:rPr>
                <w:color w:val="auto"/>
              </w:rPr>
              <w:fldChar w:fldCharType="separate"/>
            </w:r>
            <w:r>
              <w:rPr>
                <w:color w:val="auto"/>
                <w:kern w:val="21"/>
              </w:rPr>
              <w:t>腐蚀性</w:t>
            </w:r>
            <w:r>
              <w:rPr>
                <w:color w:val="auto"/>
                <w:kern w:val="21"/>
              </w:rPr>
              <w:fldChar w:fldCharType="end"/>
            </w:r>
            <w:r>
              <w:rPr>
                <w:color w:val="auto"/>
                <w:kern w:val="21"/>
              </w:rPr>
              <w:t>，有毒</w:t>
            </w:r>
          </w:p>
        </w:tc>
        <w:tc>
          <w:tcPr>
            <w:tcW w:w="3420" w:type="dxa"/>
            <w:vAlign w:val="center"/>
          </w:tcPr>
          <w:p>
            <w:pPr>
              <w:adjustRightInd w:val="0"/>
              <w:snapToGrid w:val="0"/>
              <w:jc w:val="center"/>
              <w:rPr>
                <w:color w:val="auto"/>
                <w:kern w:val="21"/>
              </w:rPr>
            </w:pPr>
            <w:r>
              <w:rPr>
                <w:color w:val="auto"/>
                <w:kern w:val="21"/>
              </w:rPr>
              <w:t>有毒，半数致死量</w:t>
            </w:r>
            <w:r>
              <w:rPr>
                <w:rFonts w:hint="eastAsia"/>
                <w:color w:val="auto"/>
                <w:kern w:val="21"/>
                <w:lang w:eastAsia="zh-CN"/>
              </w:rPr>
              <w:t>（</w:t>
            </w:r>
            <w:r>
              <w:rPr>
                <w:color w:val="auto"/>
                <w:kern w:val="21"/>
              </w:rPr>
              <w:t>大鼠，静脉</w:t>
            </w:r>
            <w:r>
              <w:rPr>
                <w:rFonts w:hint="eastAsia"/>
                <w:color w:val="auto"/>
                <w:kern w:val="21"/>
                <w:lang w:eastAsia="zh-CN"/>
              </w:rPr>
              <w:t>）</w:t>
            </w:r>
            <w:r>
              <w:rPr>
                <w:color w:val="auto"/>
                <w:kern w:val="21"/>
              </w:rPr>
              <w:t>60</w:t>
            </w:r>
            <w:r>
              <w:rPr>
                <w:rFonts w:hint="eastAsia"/>
                <w:color w:val="auto"/>
                <w:kern w:val="21"/>
                <w:lang w:eastAsia="zh-CN"/>
              </w:rPr>
              <w:t>～</w:t>
            </w:r>
            <w:r>
              <w:rPr>
                <w:color w:val="auto"/>
                <w:kern w:val="21"/>
              </w:rPr>
              <w:t>90mg/kg。有腐蚀性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bookmarkStart w:id="176" w:name="_Toc10157"/>
            <w:r>
              <w:rPr>
                <w:rFonts w:hint="eastAsia"/>
                <w:bCs/>
                <w:color w:val="auto"/>
                <w:kern w:val="21"/>
              </w:rPr>
              <w:t>12</w:t>
            </w:r>
          </w:p>
        </w:tc>
        <w:tc>
          <w:tcPr>
            <w:tcW w:w="1267" w:type="dxa"/>
            <w:vAlign w:val="center"/>
          </w:tcPr>
          <w:p>
            <w:pPr>
              <w:adjustRightInd w:val="0"/>
              <w:snapToGrid w:val="0"/>
              <w:jc w:val="center"/>
              <w:rPr>
                <w:bCs/>
                <w:color w:val="auto"/>
                <w:kern w:val="21"/>
              </w:rPr>
            </w:pPr>
            <w:r>
              <w:rPr>
                <w:bCs/>
                <w:color w:val="auto"/>
                <w:kern w:val="21"/>
              </w:rPr>
              <w:t>三价铬钝化剂</w:t>
            </w:r>
          </w:p>
        </w:tc>
        <w:tc>
          <w:tcPr>
            <w:tcW w:w="1413" w:type="dxa"/>
            <w:vAlign w:val="center"/>
          </w:tcPr>
          <w:p>
            <w:pPr>
              <w:jc w:val="center"/>
              <w:rPr>
                <w:color w:val="auto"/>
                <w:kern w:val="21"/>
              </w:rPr>
            </w:pPr>
            <w:r>
              <w:rPr>
                <w:rFonts w:hint="eastAsia"/>
                <w:color w:val="auto"/>
                <w:kern w:val="21"/>
              </w:rPr>
              <w:t>硝酸铬及络合剂、促进剂等化学混合物</w:t>
            </w:r>
          </w:p>
        </w:tc>
        <w:tc>
          <w:tcPr>
            <w:tcW w:w="3943" w:type="dxa"/>
            <w:vAlign w:val="center"/>
          </w:tcPr>
          <w:p>
            <w:pPr>
              <w:jc w:val="center"/>
              <w:rPr>
                <w:rFonts w:hint="eastAsia" w:eastAsia="宋体"/>
                <w:color w:val="auto"/>
                <w:kern w:val="21"/>
                <w:lang w:eastAsia="zh-CN"/>
              </w:rPr>
            </w:pPr>
            <w:r>
              <w:rPr>
                <w:rFonts w:hint="eastAsia"/>
                <w:color w:val="auto"/>
                <w:kern w:val="21"/>
              </w:rPr>
              <w:t>液态，深红色，</w:t>
            </w:r>
            <w:r>
              <w:rPr>
                <w:color w:val="auto"/>
                <w:kern w:val="21"/>
              </w:rPr>
              <w:t xml:space="preserve">pH </w:t>
            </w:r>
            <w:r>
              <w:rPr>
                <w:rFonts w:hint="eastAsia"/>
                <w:color w:val="auto"/>
                <w:kern w:val="21"/>
              </w:rPr>
              <w:t>值</w:t>
            </w:r>
            <w:r>
              <w:rPr>
                <w:color w:val="auto"/>
                <w:kern w:val="21"/>
              </w:rPr>
              <w:t>&lt;1</w:t>
            </w:r>
            <w:r>
              <w:rPr>
                <w:rFonts w:hint="eastAsia"/>
                <w:color w:val="auto"/>
                <w:kern w:val="21"/>
              </w:rPr>
              <w:t>；完全溶解</w:t>
            </w:r>
            <w:r>
              <w:rPr>
                <w:rFonts w:hint="eastAsia"/>
                <w:color w:val="auto"/>
                <w:kern w:val="21"/>
                <w:lang w:eastAsia="zh-CN"/>
              </w:rPr>
              <w:t>。</w:t>
            </w:r>
          </w:p>
        </w:tc>
        <w:tc>
          <w:tcPr>
            <w:tcW w:w="2359" w:type="dxa"/>
            <w:vAlign w:val="center"/>
          </w:tcPr>
          <w:p>
            <w:pPr>
              <w:jc w:val="center"/>
              <w:rPr>
                <w:rFonts w:hint="eastAsia" w:eastAsia="宋体"/>
                <w:color w:val="auto"/>
                <w:kern w:val="21"/>
                <w:lang w:eastAsia="zh-CN"/>
              </w:rPr>
            </w:pPr>
            <w:r>
              <w:rPr>
                <w:color w:val="auto"/>
                <w:kern w:val="21"/>
              </w:rPr>
              <w:t>不燃</w:t>
            </w:r>
            <w:r>
              <w:rPr>
                <w:rFonts w:hint="eastAsia"/>
                <w:color w:val="auto"/>
                <w:kern w:val="21"/>
                <w:lang w:eastAsia="zh-CN"/>
              </w:rPr>
              <w:t>。</w:t>
            </w:r>
          </w:p>
        </w:tc>
        <w:tc>
          <w:tcPr>
            <w:tcW w:w="3420" w:type="dxa"/>
            <w:vAlign w:val="center"/>
          </w:tcPr>
          <w:p>
            <w:pPr>
              <w:jc w:val="center"/>
              <w:rPr>
                <w:rFonts w:hint="eastAsia" w:eastAsia="宋体"/>
                <w:color w:val="auto"/>
                <w:kern w:val="21"/>
                <w:lang w:eastAsia="zh-CN"/>
              </w:rPr>
            </w:pPr>
            <w:r>
              <w:rPr>
                <w:rFonts w:hint="eastAsia"/>
                <w:color w:val="auto"/>
                <w:kern w:val="21"/>
              </w:rPr>
              <w:t>微毒性，对皮肤和眼睛有刺激作用</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13</w:t>
            </w:r>
          </w:p>
        </w:tc>
        <w:tc>
          <w:tcPr>
            <w:tcW w:w="1267" w:type="dxa"/>
            <w:vAlign w:val="center"/>
          </w:tcPr>
          <w:p>
            <w:pPr>
              <w:adjustRightInd w:val="0"/>
              <w:snapToGrid w:val="0"/>
              <w:jc w:val="center"/>
              <w:rPr>
                <w:b/>
                <w:bCs/>
                <w:color w:val="auto"/>
                <w:kern w:val="21"/>
                <w:u w:val="single"/>
              </w:rPr>
            </w:pPr>
            <w:r>
              <w:rPr>
                <w:rFonts w:hint="eastAsia"/>
                <w:b/>
                <w:bCs/>
                <w:color w:val="auto"/>
                <w:kern w:val="21"/>
                <w:u w:val="single"/>
              </w:rPr>
              <w:t>亚硫酸氢钠</w:t>
            </w:r>
          </w:p>
        </w:tc>
        <w:tc>
          <w:tcPr>
            <w:tcW w:w="1413" w:type="dxa"/>
            <w:vAlign w:val="center"/>
          </w:tcPr>
          <w:p>
            <w:pPr>
              <w:jc w:val="center"/>
              <w:rPr>
                <w:b/>
                <w:color w:val="auto"/>
                <w:kern w:val="21"/>
                <w:u w:val="single"/>
              </w:rPr>
            </w:pPr>
            <w:r>
              <w:rPr>
                <w:rFonts w:ascii="Arial" w:hAnsi="Arial" w:cs="Arial"/>
                <w:b/>
                <w:color w:val="auto"/>
                <w:u w:val="single"/>
                <w:shd w:val="clear" w:color="auto" w:fill="FFFFFF"/>
              </w:rPr>
              <w:t>NaHSO</w:t>
            </w:r>
            <w:r>
              <w:rPr>
                <w:rFonts w:ascii="Arial" w:hAnsi="Arial" w:cs="Arial"/>
                <w:b/>
                <w:color w:val="auto"/>
                <w:u w:val="single"/>
                <w:shd w:val="clear" w:color="auto" w:fill="FFFFFF"/>
                <w:vertAlign w:val="subscript"/>
              </w:rPr>
              <w:t>3</w:t>
            </w:r>
          </w:p>
        </w:tc>
        <w:tc>
          <w:tcPr>
            <w:tcW w:w="3943" w:type="dxa"/>
            <w:vAlign w:val="center"/>
          </w:tcPr>
          <w:p>
            <w:pPr>
              <w:jc w:val="center"/>
              <w:rPr>
                <w:b/>
                <w:color w:val="auto"/>
                <w:kern w:val="21"/>
                <w:u w:val="single"/>
              </w:rPr>
            </w:pPr>
            <w:r>
              <w:rPr>
                <w:b/>
                <w:color w:val="auto"/>
                <w:kern w:val="21"/>
                <w:u w:val="single"/>
              </w:rPr>
              <w:t>白色结晶性粉末。有</w:t>
            </w:r>
            <w:r>
              <w:rPr>
                <w:color w:val="auto"/>
              </w:rPr>
              <w:fldChar w:fldCharType="begin"/>
            </w:r>
            <w:r>
              <w:rPr>
                <w:color w:val="auto"/>
              </w:rPr>
              <w:instrText xml:space="preserve"> HYPERLINK "https://baike.so.com/doc/2658400-2807224.html" \t "_blank" </w:instrText>
            </w:r>
            <w:r>
              <w:rPr>
                <w:color w:val="auto"/>
              </w:rPr>
              <w:fldChar w:fldCharType="separate"/>
            </w:r>
            <w:r>
              <w:rPr>
                <w:b/>
                <w:color w:val="auto"/>
                <w:kern w:val="21"/>
                <w:u w:val="single"/>
              </w:rPr>
              <w:t>二氧化硫</w:t>
            </w:r>
            <w:r>
              <w:rPr>
                <w:b/>
                <w:color w:val="auto"/>
                <w:kern w:val="21"/>
                <w:u w:val="single"/>
              </w:rPr>
              <w:fldChar w:fldCharType="end"/>
            </w:r>
            <w:r>
              <w:rPr>
                <w:b/>
                <w:color w:val="auto"/>
                <w:kern w:val="21"/>
                <w:u w:val="single"/>
              </w:rPr>
              <w:t>的气味。具不愉快味。暴露空气中失去部分</w:t>
            </w:r>
            <w:r>
              <w:rPr>
                <w:color w:val="auto"/>
              </w:rPr>
              <w:fldChar w:fldCharType="begin"/>
            </w:r>
            <w:r>
              <w:rPr>
                <w:color w:val="auto"/>
              </w:rPr>
              <w:instrText xml:space="preserve"> HYPERLINK "https://baike.so.com/doc/2658400-2807224.html" \t "_blank" </w:instrText>
            </w:r>
            <w:r>
              <w:rPr>
                <w:color w:val="auto"/>
              </w:rPr>
              <w:fldChar w:fldCharType="separate"/>
            </w:r>
            <w:r>
              <w:rPr>
                <w:b/>
                <w:color w:val="auto"/>
                <w:kern w:val="21"/>
                <w:u w:val="single"/>
              </w:rPr>
              <w:t>二氧化硫</w:t>
            </w:r>
            <w:r>
              <w:rPr>
                <w:b/>
                <w:color w:val="auto"/>
                <w:kern w:val="21"/>
                <w:u w:val="single"/>
              </w:rPr>
              <w:fldChar w:fldCharType="end"/>
            </w:r>
            <w:r>
              <w:rPr>
                <w:b/>
                <w:color w:val="auto"/>
                <w:kern w:val="21"/>
                <w:u w:val="single"/>
              </w:rPr>
              <w:t>，同时氧化成</w:t>
            </w:r>
            <w:r>
              <w:rPr>
                <w:color w:val="auto"/>
              </w:rPr>
              <w:fldChar w:fldCharType="begin"/>
            </w:r>
            <w:r>
              <w:rPr>
                <w:color w:val="auto"/>
              </w:rPr>
              <w:instrText xml:space="preserve"> HYPERLINK "https://baike.so.com/doc/5834528-6047356.html" \t "_blank" </w:instrText>
            </w:r>
            <w:r>
              <w:rPr>
                <w:color w:val="auto"/>
              </w:rPr>
              <w:fldChar w:fldCharType="separate"/>
            </w:r>
            <w:r>
              <w:rPr>
                <w:b/>
                <w:color w:val="auto"/>
                <w:kern w:val="21"/>
                <w:u w:val="single"/>
              </w:rPr>
              <w:t>硫酸盐</w:t>
            </w:r>
            <w:r>
              <w:rPr>
                <w:b/>
                <w:color w:val="auto"/>
                <w:kern w:val="21"/>
                <w:u w:val="single"/>
              </w:rPr>
              <w:fldChar w:fldCharType="end"/>
            </w:r>
            <w:r>
              <w:rPr>
                <w:b/>
                <w:color w:val="auto"/>
                <w:kern w:val="21"/>
                <w:u w:val="single"/>
              </w:rPr>
              <w:t>。溶于3.5份冷水、2份沸水、约70份</w:t>
            </w:r>
            <w:r>
              <w:rPr>
                <w:color w:val="auto"/>
              </w:rPr>
              <w:fldChar w:fldCharType="begin"/>
            </w:r>
            <w:r>
              <w:rPr>
                <w:color w:val="auto"/>
              </w:rPr>
              <w:instrText xml:space="preserve"> HYPERLINK "https://baike.so.com/doc/3036121-3200992.html" \t "_blank" </w:instrText>
            </w:r>
            <w:r>
              <w:rPr>
                <w:color w:val="auto"/>
              </w:rPr>
              <w:fldChar w:fldCharType="separate"/>
            </w:r>
            <w:r>
              <w:rPr>
                <w:b/>
                <w:color w:val="auto"/>
                <w:kern w:val="21"/>
                <w:u w:val="single"/>
              </w:rPr>
              <w:t>乙醇</w:t>
            </w:r>
            <w:r>
              <w:rPr>
                <w:b/>
                <w:color w:val="auto"/>
                <w:kern w:val="21"/>
                <w:u w:val="single"/>
              </w:rPr>
              <w:fldChar w:fldCharType="end"/>
            </w:r>
            <w:r>
              <w:rPr>
                <w:b/>
                <w:color w:val="auto"/>
                <w:kern w:val="21"/>
                <w:u w:val="single"/>
              </w:rPr>
              <w:t>，其水溶液呈酸性。熔点</w:t>
            </w:r>
          </w:p>
          <w:p>
            <w:pPr>
              <w:jc w:val="both"/>
              <w:rPr>
                <w:b/>
                <w:color w:val="auto"/>
                <w:kern w:val="21"/>
                <w:u w:val="single"/>
              </w:rPr>
            </w:pPr>
            <w:r>
              <w:rPr>
                <w:b/>
                <w:color w:val="auto"/>
                <w:kern w:val="21"/>
                <w:u w:val="single"/>
              </w:rPr>
              <w:t>分解</w:t>
            </w:r>
          </w:p>
        </w:tc>
        <w:tc>
          <w:tcPr>
            <w:tcW w:w="2359" w:type="dxa"/>
            <w:vAlign w:val="center"/>
          </w:tcPr>
          <w:p>
            <w:pPr>
              <w:jc w:val="center"/>
              <w:rPr>
                <w:b/>
                <w:color w:val="auto"/>
                <w:kern w:val="21"/>
                <w:u w:val="single"/>
              </w:rPr>
            </w:pPr>
            <w:r>
              <w:rPr>
                <w:b/>
                <w:color w:val="auto"/>
                <w:kern w:val="21"/>
                <w:u w:val="single"/>
              </w:rPr>
              <w:t>不燃，具腐蚀性</w:t>
            </w:r>
          </w:p>
        </w:tc>
        <w:tc>
          <w:tcPr>
            <w:tcW w:w="3420" w:type="dxa"/>
            <w:vAlign w:val="center"/>
          </w:tcPr>
          <w:p>
            <w:pPr>
              <w:jc w:val="center"/>
              <w:rPr>
                <w:rFonts w:hint="eastAsia" w:eastAsia="宋体"/>
                <w:b/>
                <w:color w:val="auto"/>
                <w:kern w:val="21"/>
                <w:u w:val="single"/>
                <w:lang w:eastAsia="zh-CN"/>
              </w:rPr>
            </w:pPr>
            <w:r>
              <w:rPr>
                <w:b/>
                <w:color w:val="auto"/>
                <w:kern w:val="21"/>
                <w:u w:val="single"/>
              </w:rPr>
              <w:t>低毒，半数致死量</w:t>
            </w:r>
            <w:r>
              <w:rPr>
                <w:rFonts w:hint="eastAsia"/>
                <w:b/>
                <w:color w:val="auto"/>
                <w:kern w:val="21"/>
                <w:u w:val="single"/>
                <w:lang w:eastAsia="zh-CN"/>
              </w:rPr>
              <w:t>（</w:t>
            </w:r>
            <w:r>
              <w:rPr>
                <w:b/>
                <w:color w:val="auto"/>
                <w:kern w:val="21"/>
                <w:u w:val="single"/>
              </w:rPr>
              <w:t>大鼠，经口</w:t>
            </w:r>
            <w:r>
              <w:rPr>
                <w:rFonts w:hint="eastAsia"/>
                <w:b/>
                <w:color w:val="auto"/>
                <w:kern w:val="21"/>
                <w:u w:val="single"/>
                <w:lang w:eastAsia="zh-CN"/>
              </w:rPr>
              <w:t>）</w:t>
            </w:r>
            <w:r>
              <w:rPr>
                <w:b/>
                <w:color w:val="auto"/>
                <w:kern w:val="21"/>
                <w:u w:val="single"/>
              </w:rPr>
              <w:t>2000mg/kg</w:t>
            </w:r>
            <w:r>
              <w:rPr>
                <w:rFonts w:hint="eastAsia"/>
                <w:b/>
                <w:color w:val="auto"/>
                <w:kern w:val="21"/>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14</w:t>
            </w:r>
          </w:p>
        </w:tc>
        <w:tc>
          <w:tcPr>
            <w:tcW w:w="1267" w:type="dxa"/>
            <w:vAlign w:val="center"/>
          </w:tcPr>
          <w:p>
            <w:pPr>
              <w:adjustRightInd w:val="0"/>
              <w:snapToGrid w:val="0"/>
              <w:jc w:val="center"/>
              <w:rPr>
                <w:b/>
                <w:bCs/>
                <w:color w:val="auto"/>
                <w:kern w:val="21"/>
                <w:u w:val="single"/>
              </w:rPr>
            </w:pPr>
            <w:r>
              <w:rPr>
                <w:rFonts w:hint="eastAsia"/>
                <w:b/>
                <w:bCs/>
                <w:color w:val="auto"/>
                <w:kern w:val="21"/>
                <w:u w:val="single"/>
              </w:rPr>
              <w:t>双氧水</w:t>
            </w:r>
          </w:p>
        </w:tc>
        <w:tc>
          <w:tcPr>
            <w:tcW w:w="1413" w:type="dxa"/>
            <w:vAlign w:val="center"/>
          </w:tcPr>
          <w:p>
            <w:pPr>
              <w:jc w:val="center"/>
              <w:rPr>
                <w:b/>
                <w:color w:val="auto"/>
                <w:kern w:val="21"/>
                <w:u w:val="single"/>
              </w:rPr>
            </w:pPr>
            <w:r>
              <w:rPr>
                <w:rFonts w:hint="eastAsia"/>
                <w:b/>
                <w:color w:val="auto"/>
                <w:kern w:val="21"/>
                <w:u w:val="single"/>
              </w:rPr>
              <w:t>H</w:t>
            </w:r>
            <w:r>
              <w:rPr>
                <w:rFonts w:hint="eastAsia"/>
                <w:b/>
                <w:color w:val="auto"/>
                <w:kern w:val="21"/>
                <w:u w:val="single"/>
                <w:vertAlign w:val="subscript"/>
              </w:rPr>
              <w:t>2</w:t>
            </w:r>
            <w:r>
              <w:rPr>
                <w:rFonts w:hint="eastAsia"/>
                <w:b/>
                <w:color w:val="auto"/>
                <w:kern w:val="21"/>
                <w:u w:val="single"/>
              </w:rPr>
              <w:t>O</w:t>
            </w:r>
            <w:r>
              <w:rPr>
                <w:rFonts w:hint="eastAsia"/>
                <w:b/>
                <w:color w:val="auto"/>
                <w:kern w:val="21"/>
                <w:u w:val="single"/>
                <w:vertAlign w:val="subscript"/>
              </w:rPr>
              <w:t>2</w:t>
            </w:r>
          </w:p>
        </w:tc>
        <w:tc>
          <w:tcPr>
            <w:tcW w:w="3943" w:type="dxa"/>
            <w:vAlign w:val="center"/>
          </w:tcPr>
          <w:p>
            <w:pPr>
              <w:jc w:val="center"/>
              <w:rPr>
                <w:b/>
                <w:color w:val="auto"/>
                <w:kern w:val="21"/>
                <w:u w:val="single"/>
              </w:rPr>
            </w:pPr>
            <w:r>
              <w:rPr>
                <w:b/>
                <w:color w:val="auto"/>
                <w:kern w:val="21"/>
                <w:u w:val="single"/>
              </w:rPr>
              <w:t>水溶液为无色透明液体，溶于水、</w:t>
            </w:r>
            <w:r>
              <w:rPr>
                <w:color w:val="auto"/>
              </w:rPr>
              <w:fldChar w:fldCharType="begin"/>
            </w:r>
            <w:r>
              <w:rPr>
                <w:color w:val="auto"/>
              </w:rPr>
              <w:instrText xml:space="preserve"> HYPERLINK "https://baike.so.com/doc/18539-19230.html" \t "_blank" </w:instrText>
            </w:r>
            <w:r>
              <w:rPr>
                <w:color w:val="auto"/>
              </w:rPr>
              <w:fldChar w:fldCharType="separate"/>
            </w:r>
            <w:r>
              <w:rPr>
                <w:b/>
                <w:color w:val="auto"/>
                <w:kern w:val="21"/>
                <w:u w:val="single"/>
              </w:rPr>
              <w:t>醇</w:t>
            </w:r>
            <w:r>
              <w:rPr>
                <w:b/>
                <w:color w:val="auto"/>
                <w:kern w:val="21"/>
                <w:u w:val="single"/>
              </w:rPr>
              <w:fldChar w:fldCharType="end"/>
            </w:r>
            <w:r>
              <w:rPr>
                <w:b/>
                <w:color w:val="auto"/>
                <w:kern w:val="21"/>
                <w:u w:val="single"/>
              </w:rPr>
              <w:t>、乙醚，不溶于</w:t>
            </w:r>
            <w:r>
              <w:rPr>
                <w:color w:val="auto"/>
              </w:rPr>
              <w:fldChar w:fldCharType="begin"/>
            </w:r>
            <w:r>
              <w:rPr>
                <w:color w:val="auto"/>
              </w:rPr>
              <w:instrText xml:space="preserve"> HYPERLINK "https://baike.so.com/doc/3194557-3366490.html" \t "_blank" </w:instrText>
            </w:r>
            <w:r>
              <w:rPr>
                <w:color w:val="auto"/>
              </w:rPr>
              <w:fldChar w:fldCharType="separate"/>
            </w:r>
            <w:r>
              <w:rPr>
                <w:b/>
                <w:color w:val="auto"/>
                <w:kern w:val="21"/>
                <w:u w:val="single"/>
              </w:rPr>
              <w:t>苯</w:t>
            </w:r>
            <w:r>
              <w:rPr>
                <w:b/>
                <w:color w:val="auto"/>
                <w:kern w:val="21"/>
                <w:u w:val="single"/>
              </w:rPr>
              <w:fldChar w:fldCharType="end"/>
            </w:r>
            <w:r>
              <w:rPr>
                <w:b/>
                <w:color w:val="auto"/>
                <w:kern w:val="21"/>
                <w:u w:val="single"/>
              </w:rPr>
              <w:t>、</w:t>
            </w:r>
            <w:r>
              <w:rPr>
                <w:color w:val="auto"/>
              </w:rPr>
              <w:fldChar w:fldCharType="begin"/>
            </w:r>
            <w:r>
              <w:rPr>
                <w:color w:val="auto"/>
              </w:rPr>
              <w:instrText xml:space="preserve"> HYPERLINK "https://baike.so.com/doc/721112-763466.html" \t "_blank" </w:instrText>
            </w:r>
            <w:r>
              <w:rPr>
                <w:color w:val="auto"/>
              </w:rPr>
              <w:fldChar w:fldCharType="separate"/>
            </w:r>
            <w:r>
              <w:rPr>
                <w:b/>
                <w:color w:val="auto"/>
                <w:kern w:val="21"/>
                <w:u w:val="single"/>
              </w:rPr>
              <w:t>石油醚</w:t>
            </w:r>
            <w:r>
              <w:rPr>
                <w:b/>
                <w:color w:val="auto"/>
                <w:kern w:val="21"/>
                <w:u w:val="single"/>
              </w:rPr>
              <w:fldChar w:fldCharType="end"/>
            </w:r>
            <w:r>
              <w:rPr>
                <w:b/>
                <w:color w:val="auto"/>
                <w:kern w:val="21"/>
                <w:u w:val="single"/>
              </w:rPr>
              <w:t>。纯过氧化氢是淡蓝色的粘稠液体，</w:t>
            </w:r>
            <w:r>
              <w:rPr>
                <w:color w:val="auto"/>
              </w:rPr>
              <w:fldChar w:fldCharType="begin"/>
            </w:r>
            <w:r>
              <w:rPr>
                <w:color w:val="auto"/>
              </w:rPr>
              <w:instrText xml:space="preserve"> HYPERLINK "https://baike.so.com/doc/367780-389604.html" \t "_blank" </w:instrText>
            </w:r>
            <w:r>
              <w:rPr>
                <w:color w:val="auto"/>
              </w:rPr>
              <w:fldChar w:fldCharType="separate"/>
            </w:r>
            <w:r>
              <w:rPr>
                <w:b/>
                <w:color w:val="auto"/>
                <w:kern w:val="21"/>
                <w:u w:val="single"/>
              </w:rPr>
              <w:t>熔点</w:t>
            </w:r>
            <w:r>
              <w:rPr>
                <w:b/>
                <w:color w:val="auto"/>
                <w:kern w:val="21"/>
                <w:u w:val="single"/>
              </w:rPr>
              <w:fldChar w:fldCharType="end"/>
            </w:r>
            <w:r>
              <w:rPr>
                <w:b/>
                <w:color w:val="auto"/>
                <w:kern w:val="21"/>
                <w:u w:val="single"/>
              </w:rPr>
              <w:t>-0.43 °C，</w:t>
            </w:r>
            <w:r>
              <w:rPr>
                <w:color w:val="auto"/>
              </w:rPr>
              <w:fldChar w:fldCharType="begin"/>
            </w:r>
            <w:r>
              <w:rPr>
                <w:color w:val="auto"/>
              </w:rPr>
              <w:instrText xml:space="preserve"> HYPERLINK "https://baike.so.com/doc/5567907-5783065.html" \t "_blank" </w:instrText>
            </w:r>
            <w:r>
              <w:rPr>
                <w:color w:val="auto"/>
              </w:rPr>
              <w:fldChar w:fldCharType="separate"/>
            </w:r>
            <w:r>
              <w:rPr>
                <w:b/>
                <w:color w:val="auto"/>
                <w:kern w:val="21"/>
                <w:u w:val="single"/>
              </w:rPr>
              <w:t>沸点</w:t>
            </w:r>
            <w:r>
              <w:rPr>
                <w:b/>
                <w:color w:val="auto"/>
                <w:kern w:val="21"/>
                <w:u w:val="single"/>
              </w:rPr>
              <w:fldChar w:fldCharType="end"/>
            </w:r>
            <w:r>
              <w:rPr>
                <w:b/>
                <w:color w:val="auto"/>
                <w:kern w:val="21"/>
                <w:u w:val="single"/>
              </w:rPr>
              <w:t>150.2 °C，纯的过氧化氢其分子构型会改变，所以熔沸点也会发生变化。凝固点时固体密度为1.71g/</w:t>
            </w:r>
            <w:r>
              <w:rPr>
                <w:rFonts w:hint="eastAsia"/>
                <w:b/>
                <w:color w:val="auto"/>
                <w:kern w:val="21"/>
                <w:u w:val="single"/>
                <w:lang w:val="en-US" w:eastAsia="zh-CN"/>
              </w:rPr>
              <w:t>m</w:t>
            </w:r>
            <w:r>
              <w:rPr>
                <w:rFonts w:hint="eastAsia"/>
                <w:b/>
                <w:color w:val="auto"/>
                <w:kern w:val="21"/>
                <w:u w:val="single"/>
                <w:vertAlign w:val="superscript"/>
                <w:lang w:val="en-US" w:eastAsia="zh-CN"/>
              </w:rPr>
              <w:t>3</w:t>
            </w:r>
            <w:r>
              <w:rPr>
                <w:b/>
                <w:color w:val="auto"/>
                <w:kern w:val="21"/>
                <w:u w:val="single"/>
              </w:rPr>
              <w:t>，密度随温度升高而减小。它的缔合程度比H</w:t>
            </w:r>
            <w:r>
              <w:rPr>
                <w:rFonts w:ascii="Cambria Math" w:hAnsi="Cambria Math" w:cs="Cambria Math"/>
                <w:b/>
                <w:color w:val="auto"/>
                <w:kern w:val="21"/>
                <w:u w:val="single"/>
              </w:rPr>
              <w:t>₂</w:t>
            </w:r>
            <w:r>
              <w:rPr>
                <w:b/>
                <w:color w:val="auto"/>
                <w:kern w:val="21"/>
                <w:u w:val="single"/>
              </w:rPr>
              <w:t>O大，所以它的</w:t>
            </w:r>
            <w:r>
              <w:rPr>
                <w:color w:val="auto"/>
              </w:rPr>
              <w:fldChar w:fldCharType="begin"/>
            </w:r>
            <w:r>
              <w:rPr>
                <w:color w:val="auto"/>
              </w:rPr>
              <w:instrText xml:space="preserve"> HYPERLINK "https://baike.so.com/doc/626546-663165.html" \t "_blank" </w:instrText>
            </w:r>
            <w:r>
              <w:rPr>
                <w:color w:val="auto"/>
              </w:rPr>
              <w:fldChar w:fldCharType="separate"/>
            </w:r>
            <w:r>
              <w:rPr>
                <w:b/>
                <w:color w:val="auto"/>
                <w:kern w:val="21"/>
                <w:u w:val="single"/>
              </w:rPr>
              <w:t>介电常数</w:t>
            </w:r>
            <w:r>
              <w:rPr>
                <w:b/>
                <w:color w:val="auto"/>
                <w:kern w:val="21"/>
                <w:u w:val="single"/>
              </w:rPr>
              <w:fldChar w:fldCharType="end"/>
            </w:r>
            <w:r>
              <w:rPr>
                <w:b/>
                <w:color w:val="auto"/>
                <w:kern w:val="21"/>
                <w:u w:val="single"/>
              </w:rPr>
              <w:t>和沸点比水高。纯过氧化氢比较稳定，加热到</w:t>
            </w:r>
          </w:p>
          <w:p>
            <w:pPr>
              <w:jc w:val="both"/>
              <w:rPr>
                <w:rFonts w:hint="eastAsia" w:eastAsia="宋体"/>
                <w:b/>
                <w:color w:val="auto"/>
                <w:kern w:val="21"/>
                <w:u w:val="single"/>
                <w:lang w:eastAsia="zh-CN"/>
              </w:rPr>
            </w:pPr>
            <w:r>
              <w:rPr>
                <w:b/>
                <w:color w:val="auto"/>
                <w:kern w:val="21"/>
                <w:u w:val="single"/>
              </w:rPr>
              <w:t>153 °C便</w:t>
            </w:r>
            <w:r>
              <w:rPr>
                <w:rFonts w:hint="eastAsia"/>
                <w:b/>
                <w:color w:val="auto"/>
                <w:kern w:val="21"/>
                <w:u w:val="single"/>
                <w:lang w:eastAsia="zh-CN"/>
              </w:rPr>
              <w:t>猛烈地分解</w:t>
            </w:r>
            <w:r>
              <w:rPr>
                <w:b/>
                <w:color w:val="auto"/>
                <w:kern w:val="21"/>
                <w:u w:val="single"/>
              </w:rPr>
              <w:t>为水和</w:t>
            </w:r>
            <w:r>
              <w:rPr>
                <w:color w:val="auto"/>
              </w:rPr>
              <w:fldChar w:fldCharType="begin"/>
            </w:r>
            <w:r>
              <w:rPr>
                <w:color w:val="auto"/>
              </w:rPr>
              <w:instrText xml:space="preserve"> HYPERLINK "https://baike.so.com/doc/5260078-5493672.html" \t "_blank" </w:instrText>
            </w:r>
            <w:r>
              <w:rPr>
                <w:color w:val="auto"/>
              </w:rPr>
              <w:fldChar w:fldCharType="separate"/>
            </w:r>
            <w:r>
              <w:rPr>
                <w:b/>
                <w:color w:val="auto"/>
                <w:kern w:val="21"/>
                <w:u w:val="single"/>
              </w:rPr>
              <w:t>氧气</w:t>
            </w:r>
            <w:r>
              <w:rPr>
                <w:b/>
                <w:color w:val="auto"/>
                <w:kern w:val="21"/>
                <w:u w:val="single"/>
              </w:rPr>
              <w:fldChar w:fldCharType="end"/>
            </w:r>
            <w:r>
              <w:rPr>
                <w:rFonts w:hint="eastAsia"/>
                <w:b/>
                <w:color w:val="auto"/>
                <w:kern w:val="21"/>
                <w:u w:val="single"/>
                <w:lang w:eastAsia="zh-CN"/>
              </w:rPr>
              <w:t>。</w:t>
            </w:r>
          </w:p>
        </w:tc>
        <w:tc>
          <w:tcPr>
            <w:tcW w:w="2359" w:type="dxa"/>
            <w:vAlign w:val="center"/>
          </w:tcPr>
          <w:p>
            <w:pPr>
              <w:jc w:val="center"/>
              <w:rPr>
                <w:rFonts w:hint="eastAsia" w:eastAsia="宋体"/>
                <w:b/>
                <w:color w:val="auto"/>
                <w:kern w:val="21"/>
                <w:u w:val="single"/>
                <w:lang w:eastAsia="zh-CN"/>
              </w:rPr>
            </w:pPr>
            <w:r>
              <w:rPr>
                <w:b/>
                <w:color w:val="auto"/>
                <w:kern w:val="21"/>
                <w:u w:val="single"/>
              </w:rPr>
              <w:t>爆炸性</w:t>
            </w:r>
            <w:r>
              <w:rPr>
                <w:color w:val="auto"/>
              </w:rPr>
              <w:fldChar w:fldCharType="begin"/>
            </w:r>
            <w:r>
              <w:rPr>
                <w:color w:val="auto"/>
              </w:rPr>
              <w:instrText xml:space="preserve"> HYPERLINK "https://baike.so.com/doc/6298092-6511615.html" \t "_blank" </w:instrText>
            </w:r>
            <w:r>
              <w:rPr>
                <w:color w:val="auto"/>
              </w:rPr>
              <w:fldChar w:fldCharType="separate"/>
            </w:r>
            <w:r>
              <w:rPr>
                <w:b/>
                <w:color w:val="auto"/>
                <w:kern w:val="21"/>
                <w:u w:val="single"/>
              </w:rPr>
              <w:t>强氧化剂</w:t>
            </w:r>
            <w:r>
              <w:rPr>
                <w:b/>
                <w:color w:val="auto"/>
                <w:kern w:val="21"/>
                <w:u w:val="single"/>
              </w:rPr>
              <w:fldChar w:fldCharType="end"/>
            </w:r>
            <w:r>
              <w:rPr>
                <w:b/>
                <w:color w:val="auto"/>
                <w:kern w:val="21"/>
                <w:u w:val="single"/>
              </w:rPr>
              <w:t>。过氧化氢自身不燃，但能与可燃物反应放出大量热量和气氛而引起着火爆炸</w:t>
            </w:r>
            <w:r>
              <w:rPr>
                <w:rFonts w:hint="eastAsia"/>
                <w:b/>
                <w:color w:val="auto"/>
                <w:kern w:val="21"/>
                <w:u w:val="single"/>
                <w:lang w:eastAsia="zh-CN"/>
              </w:rPr>
              <w:t>。</w:t>
            </w:r>
          </w:p>
        </w:tc>
        <w:tc>
          <w:tcPr>
            <w:tcW w:w="3420" w:type="dxa"/>
            <w:vAlign w:val="center"/>
          </w:tcPr>
          <w:p>
            <w:pPr>
              <w:jc w:val="center"/>
              <w:rPr>
                <w:rFonts w:hint="eastAsia" w:eastAsia="宋体"/>
                <w:b/>
                <w:color w:val="auto"/>
                <w:kern w:val="21"/>
                <w:u w:val="single"/>
                <w:lang w:eastAsia="zh-CN"/>
              </w:rPr>
            </w:pPr>
            <w:r>
              <w:rPr>
                <w:color w:val="auto"/>
              </w:rPr>
              <w:fldChar w:fldCharType="begin"/>
            </w:r>
            <w:r>
              <w:rPr>
                <w:color w:val="auto"/>
              </w:rPr>
              <w:instrText xml:space="preserve"> HYPERLINK "https://baike.so.com/doc/6921075-7143035.html" \t "_blank" </w:instrText>
            </w:r>
            <w:r>
              <w:rPr>
                <w:color w:val="auto"/>
              </w:rPr>
              <w:fldChar w:fldCharType="separate"/>
            </w:r>
            <w:r>
              <w:rPr>
                <w:b/>
                <w:color w:val="auto"/>
                <w:kern w:val="21"/>
                <w:u w:val="single"/>
              </w:rPr>
              <w:t>急性毒性</w:t>
            </w:r>
            <w:r>
              <w:rPr>
                <w:b/>
                <w:color w:val="auto"/>
                <w:kern w:val="21"/>
                <w:u w:val="single"/>
              </w:rPr>
              <w:fldChar w:fldCharType="end"/>
            </w:r>
            <w:r>
              <w:rPr>
                <w:b/>
                <w:color w:val="auto"/>
                <w:kern w:val="21"/>
                <w:u w:val="single"/>
              </w:rPr>
              <w:t>：LD50 4060mg/kg（大鼠经皮）；LC50 2000mg/m</w:t>
            </w:r>
            <w:r>
              <w:rPr>
                <w:b/>
                <w:color w:val="auto"/>
                <w:kern w:val="21"/>
                <w:u w:val="single"/>
                <w:vertAlign w:val="superscript"/>
              </w:rPr>
              <w:t>3</w:t>
            </w:r>
            <w:r>
              <w:rPr>
                <w:b/>
                <w:color w:val="auto"/>
                <w:kern w:val="21"/>
                <w:u w:val="single"/>
              </w:rPr>
              <w:t>，4小时（大鼠吸入）</w:t>
            </w:r>
            <w:r>
              <w:rPr>
                <w:rFonts w:hint="eastAsia"/>
                <w:b/>
                <w:color w:val="auto"/>
                <w:kern w:val="21"/>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15</w:t>
            </w:r>
          </w:p>
        </w:tc>
        <w:tc>
          <w:tcPr>
            <w:tcW w:w="1267" w:type="dxa"/>
            <w:vAlign w:val="center"/>
          </w:tcPr>
          <w:p>
            <w:pPr>
              <w:adjustRightInd w:val="0"/>
              <w:snapToGrid w:val="0"/>
              <w:jc w:val="center"/>
              <w:rPr>
                <w:b/>
                <w:bCs/>
                <w:color w:val="auto"/>
                <w:kern w:val="21"/>
                <w:u w:val="single"/>
              </w:rPr>
            </w:pPr>
            <w:r>
              <w:rPr>
                <w:rFonts w:hint="eastAsia"/>
                <w:b/>
                <w:bCs/>
                <w:color w:val="auto"/>
                <w:kern w:val="21"/>
                <w:u w:val="single"/>
              </w:rPr>
              <w:t>片碱</w:t>
            </w:r>
          </w:p>
        </w:tc>
        <w:tc>
          <w:tcPr>
            <w:tcW w:w="1413" w:type="dxa"/>
            <w:vAlign w:val="center"/>
          </w:tcPr>
          <w:p>
            <w:pPr>
              <w:jc w:val="center"/>
              <w:rPr>
                <w:b/>
                <w:color w:val="auto"/>
                <w:kern w:val="21"/>
                <w:u w:val="single"/>
              </w:rPr>
            </w:pPr>
            <w:r>
              <w:rPr>
                <w:b/>
                <w:color w:val="auto"/>
                <w:kern w:val="21"/>
                <w:u w:val="single"/>
              </w:rPr>
              <w:t>NaOH</w:t>
            </w:r>
          </w:p>
        </w:tc>
        <w:tc>
          <w:tcPr>
            <w:tcW w:w="3943" w:type="dxa"/>
            <w:vAlign w:val="center"/>
          </w:tcPr>
          <w:p>
            <w:pPr>
              <w:pStyle w:val="77"/>
              <w:spacing w:before="0" w:beforeAutospacing="0" w:after="0" w:afterAutospacing="0"/>
              <w:rPr>
                <w:b/>
                <w:color w:val="auto"/>
                <w:kern w:val="21"/>
                <w:u w:val="single"/>
              </w:rPr>
            </w:pPr>
            <w:r>
              <w:rPr>
                <w:rFonts w:ascii="Times New Roman" w:hAnsi="Times New Roman"/>
                <w:b/>
                <w:color w:val="auto"/>
                <w:kern w:val="21"/>
                <w:sz w:val="21"/>
                <w:u w:val="single"/>
              </w:rPr>
              <w:t>氢氧化钠为白色半透明结晶状固体。其水溶液有涩味和滑腻感。在空气中易潮解。固碱吸湿性很强，暴露在空气中，吸收空气中的水分子，最后会完全溶解成溶液， 但液态氢氧化钠没有吸湿性。极易溶于水，溶解时放出大量的热。易溶于乙醇、甘油。</w:t>
            </w:r>
          </w:p>
        </w:tc>
        <w:tc>
          <w:tcPr>
            <w:tcW w:w="2359" w:type="dxa"/>
            <w:vAlign w:val="center"/>
          </w:tcPr>
          <w:p>
            <w:pPr>
              <w:jc w:val="center"/>
              <w:rPr>
                <w:rFonts w:hint="eastAsia" w:eastAsia="宋体"/>
                <w:b/>
                <w:color w:val="auto"/>
                <w:kern w:val="21"/>
                <w:u w:val="single"/>
                <w:lang w:eastAsia="zh-CN"/>
              </w:rPr>
            </w:pPr>
            <w:r>
              <w:rPr>
                <w:b/>
                <w:bCs/>
                <w:color w:val="auto"/>
                <w:kern w:val="21"/>
                <w:u w:val="single"/>
              </w:rPr>
              <w:t>不会燃烧，遇水和水蒸气大量放热，形成腐蚀性溶液</w:t>
            </w:r>
            <w:r>
              <w:rPr>
                <w:rFonts w:hint="eastAsia"/>
                <w:b/>
                <w:bCs/>
                <w:color w:val="auto"/>
                <w:kern w:val="21"/>
                <w:u w:val="single"/>
                <w:lang w:eastAsia="zh-CN"/>
              </w:rPr>
              <w:t>。</w:t>
            </w:r>
          </w:p>
        </w:tc>
        <w:tc>
          <w:tcPr>
            <w:tcW w:w="3420" w:type="dxa"/>
            <w:vAlign w:val="center"/>
          </w:tcPr>
          <w:p>
            <w:pPr>
              <w:jc w:val="center"/>
              <w:rPr>
                <w:rFonts w:hint="eastAsia" w:eastAsia="宋体"/>
                <w:b/>
                <w:color w:val="auto"/>
                <w:kern w:val="21"/>
                <w:u w:val="single"/>
                <w:lang w:eastAsia="zh-CN"/>
              </w:rPr>
            </w:pPr>
            <w:r>
              <w:rPr>
                <w:b/>
                <w:bCs/>
                <w:color w:val="auto"/>
                <w:kern w:val="21"/>
                <w:u w:val="single"/>
              </w:rPr>
              <w:t>强烈刺激</w:t>
            </w:r>
            <w:r>
              <w:rPr>
                <w:b/>
                <w:color w:val="auto"/>
                <w:kern w:val="21"/>
                <w:u w:val="single"/>
              </w:rPr>
              <w:t>和</w:t>
            </w:r>
            <w:r>
              <w:rPr>
                <w:b/>
                <w:bCs/>
                <w:color w:val="auto"/>
                <w:kern w:val="21"/>
                <w:u w:val="single"/>
              </w:rPr>
              <w:t>腐蚀性</w:t>
            </w:r>
            <w:r>
              <w:rPr>
                <w:b/>
                <w:color w:val="auto"/>
                <w:kern w:val="21"/>
                <w:u w:val="single"/>
              </w:rPr>
              <w:t>。粉尘或烟雾</w:t>
            </w:r>
            <w:r>
              <w:rPr>
                <w:b/>
                <w:bCs/>
                <w:color w:val="auto"/>
                <w:kern w:val="21"/>
                <w:u w:val="single"/>
              </w:rPr>
              <w:t>会刺激眼和呼吸道</w:t>
            </w:r>
            <w:r>
              <w:rPr>
                <w:b/>
                <w:color w:val="auto"/>
                <w:kern w:val="21"/>
                <w:u w:val="single"/>
              </w:rPr>
              <w:t>，</w:t>
            </w:r>
            <w:r>
              <w:rPr>
                <w:b/>
                <w:bCs/>
                <w:color w:val="auto"/>
                <w:kern w:val="21"/>
                <w:u w:val="single"/>
              </w:rPr>
              <w:t>腐蚀鼻中隔</w:t>
            </w:r>
            <w:r>
              <w:rPr>
                <w:b/>
                <w:color w:val="auto"/>
                <w:kern w:val="21"/>
                <w:u w:val="single"/>
              </w:rPr>
              <w:t>，皮肤和眼与氢氧化钠</w:t>
            </w:r>
            <w:r>
              <w:rPr>
                <w:b/>
                <w:bCs/>
                <w:color w:val="auto"/>
                <w:kern w:val="21"/>
                <w:u w:val="single"/>
              </w:rPr>
              <w:t>直接接触会引起灼伤</w:t>
            </w:r>
            <w:r>
              <w:rPr>
                <w:b/>
                <w:color w:val="auto"/>
                <w:kern w:val="21"/>
                <w:u w:val="single"/>
              </w:rPr>
              <w:t>，误服可造成</w:t>
            </w:r>
            <w:r>
              <w:rPr>
                <w:b/>
                <w:bCs/>
                <w:color w:val="auto"/>
                <w:kern w:val="21"/>
                <w:u w:val="single"/>
              </w:rPr>
              <w:t>消化道灼伤，粘膜糜烂、出血和休克</w:t>
            </w:r>
            <w:r>
              <w:rPr>
                <w:rFonts w:hint="eastAsia"/>
                <w:b/>
                <w:bCs/>
                <w:color w:val="auto"/>
                <w:kern w:val="21"/>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16</w:t>
            </w:r>
          </w:p>
        </w:tc>
        <w:tc>
          <w:tcPr>
            <w:tcW w:w="1267" w:type="dxa"/>
            <w:vAlign w:val="center"/>
          </w:tcPr>
          <w:p>
            <w:pPr>
              <w:adjustRightInd w:val="0"/>
              <w:snapToGrid w:val="0"/>
              <w:jc w:val="center"/>
              <w:rPr>
                <w:b/>
                <w:bCs/>
                <w:color w:val="auto"/>
                <w:kern w:val="21"/>
                <w:u w:val="single"/>
              </w:rPr>
            </w:pPr>
            <w:r>
              <w:rPr>
                <w:rFonts w:hint="eastAsia"/>
                <w:b/>
                <w:bCs/>
                <w:color w:val="auto"/>
                <w:kern w:val="21"/>
                <w:u w:val="single"/>
              </w:rPr>
              <w:t>阻垢剂</w:t>
            </w:r>
          </w:p>
        </w:tc>
        <w:tc>
          <w:tcPr>
            <w:tcW w:w="1413" w:type="dxa"/>
            <w:vAlign w:val="center"/>
          </w:tcPr>
          <w:p>
            <w:pPr>
              <w:pStyle w:val="77"/>
              <w:spacing w:before="0" w:beforeAutospacing="0" w:after="0" w:afterAutospacing="0"/>
              <w:jc w:val="center"/>
              <w:rPr>
                <w:rFonts w:ascii="Times New Roman" w:hAnsi="Times New Roman"/>
                <w:b/>
                <w:color w:val="auto"/>
                <w:kern w:val="21"/>
                <w:sz w:val="21"/>
                <w:u w:val="single"/>
              </w:rPr>
            </w:pPr>
            <w:r>
              <w:rPr>
                <w:rFonts w:hint="eastAsia" w:ascii="Times New Roman" w:hAnsi="Times New Roman"/>
                <w:b/>
                <w:color w:val="auto"/>
                <w:kern w:val="21"/>
                <w:sz w:val="21"/>
                <w:u w:val="single"/>
              </w:rPr>
              <w:t>RO阻垢剂</w:t>
            </w:r>
          </w:p>
        </w:tc>
        <w:tc>
          <w:tcPr>
            <w:tcW w:w="3943" w:type="dxa"/>
            <w:vAlign w:val="center"/>
          </w:tcPr>
          <w:p>
            <w:pPr>
              <w:pStyle w:val="77"/>
              <w:spacing w:before="0" w:beforeAutospacing="0" w:after="0" w:afterAutospacing="0"/>
              <w:rPr>
                <w:rFonts w:hint="eastAsia" w:ascii="Times New Roman" w:hAnsi="Times New Roman" w:eastAsia="宋体"/>
                <w:b/>
                <w:color w:val="auto"/>
                <w:kern w:val="21"/>
                <w:sz w:val="21"/>
                <w:u w:val="single"/>
                <w:lang w:eastAsia="zh-CN"/>
              </w:rPr>
            </w:pPr>
            <w:r>
              <w:rPr>
                <w:color w:val="auto"/>
              </w:rPr>
              <w:fldChar w:fldCharType="begin"/>
            </w:r>
            <w:r>
              <w:rPr>
                <w:color w:val="auto"/>
              </w:rPr>
              <w:instrText xml:space="preserve"> HYPERLINK "https://baike.so.com/doc/297488-314912.html" \t "_blank" </w:instrText>
            </w:r>
            <w:r>
              <w:rPr>
                <w:color w:val="auto"/>
              </w:rPr>
              <w:fldChar w:fldCharType="separate"/>
            </w:r>
            <w:r>
              <w:rPr>
                <w:rFonts w:ascii="Times New Roman" w:hAnsi="Times New Roman"/>
                <w:b/>
                <w:color w:val="auto"/>
                <w:kern w:val="21"/>
                <w:sz w:val="21"/>
                <w:u w:val="single"/>
              </w:rPr>
              <w:t>阻垢</w:t>
            </w:r>
            <w:r>
              <w:rPr>
                <w:rFonts w:ascii="Times New Roman" w:hAnsi="Times New Roman"/>
                <w:b/>
                <w:color w:val="auto"/>
                <w:kern w:val="21"/>
                <w:sz w:val="21"/>
                <w:u w:val="single"/>
              </w:rPr>
              <w:fldChar w:fldCharType="end"/>
            </w:r>
            <w:r>
              <w:rPr>
                <w:rFonts w:ascii="Times New Roman" w:hAnsi="Times New Roman"/>
                <w:b/>
                <w:color w:val="auto"/>
                <w:kern w:val="21"/>
                <w:sz w:val="21"/>
                <w:u w:val="single"/>
              </w:rPr>
              <w:t>剂是具有能分散水中的难溶性无机盐、阻止或干扰难溶性无机盐在金属表面的沉淀、结垢功能，并维持金属设备有良好的传热效果的一类药剂</w:t>
            </w:r>
            <w:r>
              <w:rPr>
                <w:rFonts w:hint="eastAsia" w:ascii="Times New Roman" w:hAnsi="Times New Roman"/>
                <w:b/>
                <w:color w:val="auto"/>
                <w:kern w:val="21"/>
                <w:sz w:val="21"/>
                <w:u w:val="single"/>
                <w:lang w:eastAsia="zh-CN"/>
              </w:rPr>
              <w:t>。</w:t>
            </w:r>
          </w:p>
        </w:tc>
        <w:tc>
          <w:tcPr>
            <w:tcW w:w="2359" w:type="dxa"/>
            <w:vAlign w:val="center"/>
          </w:tcPr>
          <w:p>
            <w:pPr>
              <w:jc w:val="center"/>
              <w:rPr>
                <w:rFonts w:hint="eastAsia" w:eastAsia="宋体"/>
                <w:b/>
                <w:color w:val="auto"/>
                <w:kern w:val="21"/>
                <w:u w:val="single"/>
                <w:lang w:eastAsia="zh-CN"/>
              </w:rPr>
            </w:pPr>
            <w:r>
              <w:rPr>
                <w:b/>
                <w:color w:val="auto"/>
                <w:kern w:val="21"/>
                <w:u w:val="single"/>
              </w:rPr>
              <w:t>不燃</w:t>
            </w:r>
            <w:r>
              <w:rPr>
                <w:rFonts w:hint="eastAsia"/>
                <w:b/>
                <w:color w:val="auto"/>
                <w:kern w:val="21"/>
                <w:u w:val="single"/>
                <w:lang w:eastAsia="zh-CN"/>
              </w:rPr>
              <w:t>。</w:t>
            </w:r>
          </w:p>
        </w:tc>
        <w:tc>
          <w:tcPr>
            <w:tcW w:w="3420" w:type="dxa"/>
            <w:vAlign w:val="center"/>
          </w:tcPr>
          <w:p>
            <w:pPr>
              <w:jc w:val="center"/>
              <w:rPr>
                <w:rFonts w:hint="eastAsia" w:eastAsia="宋体"/>
                <w:b/>
                <w:color w:val="auto"/>
                <w:kern w:val="21"/>
                <w:u w:val="single"/>
                <w:lang w:eastAsia="zh-CN"/>
              </w:rPr>
            </w:pPr>
            <w:r>
              <w:rPr>
                <w:rFonts w:hint="eastAsia"/>
                <w:b/>
                <w:color w:val="auto"/>
                <w:kern w:val="21"/>
                <w:u w:val="single"/>
              </w:rPr>
              <w:t>无毒</w:t>
            </w:r>
            <w:r>
              <w:rPr>
                <w:rFonts w:hint="eastAsia"/>
                <w:b/>
                <w:color w:val="auto"/>
                <w:kern w:val="21"/>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37" w:type="dxa"/>
            <w:vAlign w:val="center"/>
          </w:tcPr>
          <w:p>
            <w:pPr>
              <w:adjustRightInd w:val="0"/>
              <w:snapToGrid w:val="0"/>
              <w:jc w:val="center"/>
              <w:rPr>
                <w:bCs/>
                <w:color w:val="auto"/>
                <w:kern w:val="21"/>
              </w:rPr>
            </w:pPr>
            <w:r>
              <w:rPr>
                <w:rFonts w:hint="eastAsia"/>
                <w:bCs/>
                <w:color w:val="auto"/>
                <w:kern w:val="21"/>
              </w:rPr>
              <w:t>17</w:t>
            </w:r>
          </w:p>
        </w:tc>
        <w:tc>
          <w:tcPr>
            <w:tcW w:w="1267" w:type="dxa"/>
            <w:vAlign w:val="center"/>
          </w:tcPr>
          <w:p>
            <w:pPr>
              <w:adjustRightInd w:val="0"/>
              <w:snapToGrid w:val="0"/>
              <w:jc w:val="center"/>
              <w:rPr>
                <w:b/>
                <w:bCs/>
                <w:color w:val="auto"/>
                <w:kern w:val="21"/>
                <w:u w:val="single"/>
              </w:rPr>
            </w:pPr>
            <w:r>
              <w:rPr>
                <w:rFonts w:hint="eastAsia"/>
                <w:b/>
                <w:bCs/>
                <w:color w:val="auto"/>
                <w:kern w:val="21"/>
                <w:u w:val="single"/>
              </w:rPr>
              <w:t>混凝剂</w:t>
            </w:r>
          </w:p>
        </w:tc>
        <w:tc>
          <w:tcPr>
            <w:tcW w:w="1413" w:type="dxa"/>
            <w:vAlign w:val="center"/>
          </w:tcPr>
          <w:p>
            <w:pPr>
              <w:pStyle w:val="77"/>
              <w:spacing w:before="0" w:beforeAutospacing="0" w:after="0" w:afterAutospacing="0"/>
              <w:jc w:val="center"/>
              <w:rPr>
                <w:rFonts w:ascii="Times New Roman" w:hAnsi="Times New Roman"/>
                <w:b/>
                <w:color w:val="auto"/>
                <w:kern w:val="21"/>
                <w:sz w:val="21"/>
                <w:u w:val="single"/>
              </w:rPr>
            </w:pPr>
            <w:r>
              <w:rPr>
                <w:rFonts w:hint="eastAsia" w:ascii="Times New Roman" w:hAnsi="Times New Roman"/>
                <w:b/>
                <w:color w:val="auto"/>
                <w:kern w:val="21"/>
                <w:sz w:val="21"/>
                <w:u w:val="single"/>
              </w:rPr>
              <w:t>PAM、PAC</w:t>
            </w:r>
          </w:p>
        </w:tc>
        <w:tc>
          <w:tcPr>
            <w:tcW w:w="3943" w:type="dxa"/>
            <w:vAlign w:val="center"/>
          </w:tcPr>
          <w:p>
            <w:pPr>
              <w:widowControl w:val="0"/>
              <w:autoSpaceDE w:val="0"/>
              <w:autoSpaceDN w:val="0"/>
              <w:adjustRightInd w:val="0"/>
              <w:rPr>
                <w:b/>
                <w:color w:val="auto"/>
                <w:kern w:val="21"/>
                <w:u w:val="single"/>
              </w:rPr>
            </w:pPr>
            <w:r>
              <w:rPr>
                <w:rFonts w:hint="eastAsia"/>
                <w:b/>
                <w:color w:val="auto"/>
                <w:kern w:val="21"/>
                <w:u w:val="single"/>
              </w:rPr>
              <w:t>絮凝剂（</w:t>
            </w:r>
            <w:r>
              <w:rPr>
                <w:b/>
                <w:color w:val="auto"/>
                <w:kern w:val="21"/>
                <w:u w:val="single"/>
              </w:rPr>
              <w:t>PAM</w:t>
            </w:r>
            <w:r>
              <w:rPr>
                <w:rFonts w:hint="eastAsia"/>
                <w:b/>
                <w:color w:val="auto"/>
                <w:kern w:val="21"/>
                <w:u w:val="single"/>
              </w:rPr>
              <w:t>）：化学式（</w:t>
            </w:r>
            <w:r>
              <w:rPr>
                <w:b/>
                <w:color w:val="auto"/>
                <w:kern w:val="21"/>
                <w:u w:val="single"/>
              </w:rPr>
              <w:t>CH</w:t>
            </w:r>
            <w:r>
              <w:rPr>
                <w:b/>
                <w:color w:val="auto"/>
                <w:kern w:val="21"/>
                <w:u w:val="single"/>
                <w:vertAlign w:val="subscript"/>
              </w:rPr>
              <w:t>2</w:t>
            </w:r>
            <w:r>
              <w:rPr>
                <w:b/>
                <w:color w:val="auto"/>
                <w:kern w:val="21"/>
                <w:u w:val="single"/>
              </w:rPr>
              <w:t>CHCONH</w:t>
            </w:r>
            <w:r>
              <w:rPr>
                <w:b/>
                <w:color w:val="auto"/>
                <w:kern w:val="21"/>
                <w:u w:val="single"/>
                <w:vertAlign w:val="subscript"/>
              </w:rPr>
              <w:t>2</w:t>
            </w:r>
            <w:r>
              <w:rPr>
                <w:rFonts w:hint="eastAsia"/>
                <w:b/>
                <w:color w:val="auto"/>
                <w:kern w:val="21"/>
                <w:u w:val="single"/>
              </w:rPr>
              <w:t>）</w:t>
            </w:r>
            <w:r>
              <w:rPr>
                <w:b/>
                <w:color w:val="auto"/>
                <w:kern w:val="21"/>
                <w:u w:val="single"/>
              </w:rPr>
              <w:t>n</w:t>
            </w:r>
            <w:r>
              <w:rPr>
                <w:rFonts w:hint="eastAsia"/>
                <w:b/>
                <w:color w:val="auto"/>
                <w:kern w:val="21"/>
                <w:u w:val="single"/>
              </w:rPr>
              <w:t>，产品外观为半透明珠粒和薄片，密度</w:t>
            </w:r>
            <w:r>
              <w:rPr>
                <w:b/>
                <w:color w:val="auto"/>
                <w:kern w:val="21"/>
                <w:u w:val="single"/>
              </w:rPr>
              <w:t>1.30g/cm3</w:t>
            </w:r>
            <w:r>
              <w:rPr>
                <w:rFonts w:hint="eastAsia"/>
                <w:b/>
                <w:color w:val="auto"/>
                <w:kern w:val="21"/>
                <w:u w:val="single"/>
              </w:rPr>
              <w:t>（</w:t>
            </w:r>
            <w:r>
              <w:rPr>
                <w:b/>
                <w:color w:val="auto"/>
                <w:kern w:val="21"/>
                <w:u w:val="single"/>
              </w:rPr>
              <w:t>23</w:t>
            </w:r>
            <w:r>
              <w:rPr>
                <w:rFonts w:hint="eastAsia"/>
                <w:b/>
                <w:color w:val="auto"/>
                <w:kern w:val="21"/>
                <w:u w:val="single"/>
              </w:rPr>
              <w:t>℃），溶于水。</w:t>
            </w:r>
          </w:p>
          <w:p>
            <w:pPr>
              <w:widowControl w:val="0"/>
              <w:autoSpaceDE w:val="0"/>
              <w:autoSpaceDN w:val="0"/>
              <w:adjustRightInd w:val="0"/>
              <w:rPr>
                <w:b/>
                <w:color w:val="auto"/>
                <w:kern w:val="21"/>
                <w:u w:val="single"/>
              </w:rPr>
            </w:pPr>
            <w:r>
              <w:rPr>
                <w:rFonts w:hint="eastAsia"/>
                <w:b/>
                <w:color w:val="auto"/>
                <w:kern w:val="21"/>
                <w:u w:val="single"/>
              </w:rPr>
              <w:t>混凝剂（</w:t>
            </w:r>
            <w:r>
              <w:rPr>
                <w:b/>
                <w:color w:val="auto"/>
                <w:kern w:val="21"/>
                <w:u w:val="single"/>
              </w:rPr>
              <w:t>PAC</w:t>
            </w:r>
            <w:r>
              <w:rPr>
                <w:rFonts w:hint="eastAsia"/>
                <w:b/>
                <w:color w:val="auto"/>
                <w:kern w:val="21"/>
                <w:u w:val="single"/>
              </w:rPr>
              <w:t>）：化学式</w:t>
            </w:r>
            <w:r>
              <w:rPr>
                <w:b/>
                <w:color w:val="auto"/>
                <w:kern w:val="21"/>
                <w:u w:val="single"/>
              </w:rPr>
              <w:t>[Al</w:t>
            </w:r>
            <w:r>
              <w:rPr>
                <w:b/>
                <w:color w:val="auto"/>
                <w:kern w:val="21"/>
                <w:u w:val="single"/>
                <w:vertAlign w:val="subscript"/>
              </w:rPr>
              <w:t>2</w:t>
            </w:r>
            <w:r>
              <w:rPr>
                <w:b/>
                <w:color w:val="auto"/>
                <w:kern w:val="21"/>
                <w:u w:val="single"/>
              </w:rPr>
              <w:t>(OH)</w:t>
            </w:r>
            <w:r>
              <w:rPr>
                <w:b/>
                <w:color w:val="auto"/>
                <w:kern w:val="21"/>
                <w:u w:val="single"/>
                <w:vertAlign w:val="subscript"/>
              </w:rPr>
              <w:t>n</w:t>
            </w:r>
            <w:r>
              <w:rPr>
                <w:b/>
                <w:color w:val="auto"/>
                <w:kern w:val="21"/>
                <w:u w:val="single"/>
              </w:rPr>
              <w:t>Cl</w:t>
            </w:r>
            <w:r>
              <w:rPr>
                <w:b/>
                <w:color w:val="auto"/>
                <w:kern w:val="21"/>
                <w:u w:val="single"/>
                <w:vertAlign w:val="subscript"/>
              </w:rPr>
              <w:t>6-n</w:t>
            </w:r>
            <w:r>
              <w:rPr>
                <w:b/>
                <w:color w:val="auto"/>
                <w:kern w:val="21"/>
                <w:u w:val="single"/>
              </w:rPr>
              <w:t>]</w:t>
            </w:r>
            <w:r>
              <w:rPr>
                <w:b/>
                <w:color w:val="auto"/>
                <w:kern w:val="21"/>
                <w:u w:val="single"/>
                <w:vertAlign w:val="subscript"/>
              </w:rPr>
              <w:t>m</w:t>
            </w:r>
            <w:r>
              <w:rPr>
                <w:rFonts w:hint="eastAsia"/>
                <w:b/>
                <w:color w:val="auto"/>
                <w:kern w:val="21"/>
                <w:u w:val="single"/>
              </w:rPr>
              <w:t>（</w:t>
            </w:r>
            <w:r>
              <w:rPr>
                <w:b/>
                <w:color w:val="auto"/>
                <w:kern w:val="21"/>
                <w:u w:val="single"/>
              </w:rPr>
              <w:t>n=1~5</w:t>
            </w:r>
            <w:r>
              <w:rPr>
                <w:rFonts w:hint="eastAsia"/>
                <w:b/>
                <w:color w:val="auto"/>
                <w:kern w:val="21"/>
                <w:u w:val="single"/>
              </w:rPr>
              <w:t>，</w:t>
            </w:r>
            <w:r>
              <w:rPr>
                <w:b/>
                <w:color w:val="auto"/>
                <w:kern w:val="21"/>
                <w:u w:val="single"/>
              </w:rPr>
              <w:t>m</w:t>
            </w:r>
            <w:r>
              <w:rPr>
                <w:rFonts w:hint="eastAsia"/>
                <w:b/>
                <w:color w:val="auto"/>
                <w:kern w:val="21"/>
                <w:u w:val="single"/>
              </w:rPr>
              <w:t>≤</w:t>
            </w:r>
            <w:r>
              <w:rPr>
                <w:b/>
                <w:color w:val="auto"/>
                <w:kern w:val="21"/>
                <w:u w:val="single"/>
              </w:rPr>
              <w:t>10</w:t>
            </w:r>
            <w:r>
              <w:rPr>
                <w:rFonts w:hint="eastAsia"/>
                <w:b/>
                <w:color w:val="auto"/>
                <w:kern w:val="21"/>
                <w:u w:val="single"/>
              </w:rPr>
              <w:t>）。产品外观无色或黄色树脂状固体，溶于水。</w:t>
            </w:r>
          </w:p>
        </w:tc>
        <w:tc>
          <w:tcPr>
            <w:tcW w:w="2359" w:type="dxa"/>
            <w:vAlign w:val="center"/>
          </w:tcPr>
          <w:p>
            <w:pPr>
              <w:jc w:val="center"/>
              <w:rPr>
                <w:rFonts w:hint="eastAsia" w:eastAsia="宋体"/>
                <w:b/>
                <w:color w:val="auto"/>
                <w:kern w:val="21"/>
                <w:u w:val="single"/>
                <w:lang w:eastAsia="zh-CN"/>
              </w:rPr>
            </w:pPr>
            <w:r>
              <w:rPr>
                <w:b/>
                <w:color w:val="auto"/>
                <w:kern w:val="21"/>
                <w:u w:val="single"/>
              </w:rPr>
              <w:t>不燃</w:t>
            </w:r>
            <w:r>
              <w:rPr>
                <w:rFonts w:hint="eastAsia"/>
                <w:b/>
                <w:color w:val="auto"/>
                <w:kern w:val="21"/>
                <w:u w:val="single"/>
                <w:lang w:eastAsia="zh-CN"/>
              </w:rPr>
              <w:t>。</w:t>
            </w:r>
          </w:p>
        </w:tc>
        <w:tc>
          <w:tcPr>
            <w:tcW w:w="3420" w:type="dxa"/>
            <w:vAlign w:val="center"/>
          </w:tcPr>
          <w:p>
            <w:pPr>
              <w:jc w:val="center"/>
              <w:rPr>
                <w:rFonts w:hint="eastAsia" w:eastAsia="宋体"/>
                <w:b/>
                <w:color w:val="auto"/>
                <w:kern w:val="21"/>
                <w:u w:val="single"/>
                <w:lang w:eastAsia="zh-CN"/>
              </w:rPr>
            </w:pPr>
            <w:r>
              <w:rPr>
                <w:rFonts w:hint="eastAsia"/>
                <w:b/>
                <w:color w:val="auto"/>
                <w:kern w:val="21"/>
                <w:u w:val="single"/>
              </w:rPr>
              <w:t>无毒</w:t>
            </w:r>
            <w:r>
              <w:rPr>
                <w:rFonts w:hint="eastAsia"/>
                <w:b/>
                <w:color w:val="auto"/>
                <w:kern w:val="21"/>
                <w:u w:val="single"/>
                <w:lang w:eastAsia="zh-CN"/>
              </w:rPr>
              <w:t>。</w:t>
            </w:r>
          </w:p>
        </w:tc>
      </w:tr>
    </w:tbl>
    <w:p>
      <w:pPr>
        <w:pStyle w:val="271"/>
        <w:keepNext w:val="0"/>
        <w:keepLines w:val="0"/>
        <w:snapToGrid w:val="0"/>
        <w:spacing w:before="0" w:beforeLines="0" w:after="0" w:afterLines="0"/>
        <w:outlineLvl w:val="9"/>
        <w:rPr>
          <w:rFonts w:eastAsia="宋体" w:cs="Times New Roman"/>
          <w:color w:val="auto"/>
          <w:kern w:val="21"/>
          <w:szCs w:val="24"/>
        </w:rPr>
        <w:sectPr>
          <w:pgSz w:w="16838" w:h="11906" w:orient="landscape"/>
          <w:pgMar w:top="1440" w:right="1800" w:bottom="1440" w:left="1800" w:header="907" w:footer="907" w:gutter="0"/>
          <w:cols w:space="720" w:num="1"/>
          <w:docGrid w:linePitch="312" w:charSpace="0"/>
        </w:sectPr>
      </w:pPr>
    </w:p>
    <w:p>
      <w:pPr>
        <w:pStyle w:val="271"/>
        <w:keepNext w:val="0"/>
        <w:keepLines w:val="0"/>
        <w:snapToGrid w:val="0"/>
        <w:spacing w:before="0" w:beforeLines="0" w:after="0" w:afterLines="0"/>
        <w:rPr>
          <w:rFonts w:cs="Times New Roman"/>
          <w:color w:val="auto"/>
          <w:kern w:val="21"/>
          <w:sz w:val="28"/>
          <w:szCs w:val="28"/>
        </w:rPr>
      </w:pPr>
      <w:r>
        <w:rPr>
          <w:rFonts w:cs="Times New Roman"/>
          <w:color w:val="auto"/>
          <w:kern w:val="21"/>
          <w:sz w:val="28"/>
          <w:szCs w:val="28"/>
        </w:rPr>
        <w:t>3.2.</w:t>
      </w:r>
      <w:bookmarkEnd w:id="176"/>
      <w:r>
        <w:rPr>
          <w:rFonts w:cs="Times New Roman"/>
          <w:color w:val="auto"/>
          <w:kern w:val="21"/>
          <w:sz w:val="28"/>
          <w:szCs w:val="28"/>
        </w:rPr>
        <w:t>6劳动定员与工作制度</w:t>
      </w:r>
    </w:p>
    <w:p>
      <w:pPr>
        <w:adjustRightInd w:val="0"/>
        <w:snapToGrid w:val="0"/>
        <w:spacing w:line="360" w:lineRule="auto"/>
        <w:ind w:firstLine="480" w:firstLineChars="200"/>
        <w:rPr>
          <w:color w:val="auto"/>
          <w:kern w:val="21"/>
          <w:sz w:val="24"/>
          <w:szCs w:val="22"/>
        </w:rPr>
      </w:pPr>
      <w:bookmarkStart w:id="177" w:name="_Toc13453"/>
      <w:r>
        <w:rPr>
          <w:color w:val="auto"/>
          <w:kern w:val="21"/>
          <w:sz w:val="24"/>
          <w:szCs w:val="22"/>
        </w:rPr>
        <w:t>本项目劳动定员</w:t>
      </w:r>
      <w:r>
        <w:rPr>
          <w:rFonts w:hint="eastAsia"/>
          <w:color w:val="auto"/>
          <w:kern w:val="21"/>
          <w:sz w:val="24"/>
          <w:szCs w:val="22"/>
        </w:rPr>
        <w:t>1</w:t>
      </w:r>
      <w:r>
        <w:rPr>
          <w:color w:val="auto"/>
          <w:kern w:val="21"/>
          <w:sz w:val="24"/>
          <w:szCs w:val="22"/>
        </w:rPr>
        <w:t>00人，三班制生产，每班8小时，年工作3</w:t>
      </w:r>
      <w:r>
        <w:rPr>
          <w:rFonts w:hint="eastAsia"/>
          <w:color w:val="auto"/>
          <w:kern w:val="21"/>
          <w:sz w:val="24"/>
          <w:szCs w:val="22"/>
        </w:rPr>
        <w:t>3</w:t>
      </w:r>
      <w:r>
        <w:rPr>
          <w:color w:val="auto"/>
          <w:kern w:val="21"/>
          <w:sz w:val="24"/>
          <w:szCs w:val="22"/>
        </w:rPr>
        <w:t>0天。</w:t>
      </w:r>
    </w:p>
    <w:p>
      <w:pPr>
        <w:spacing w:line="360" w:lineRule="auto"/>
        <w:rPr>
          <w:rFonts w:eastAsia="黑体"/>
          <w:color w:val="auto"/>
          <w:kern w:val="21"/>
          <w:sz w:val="28"/>
          <w:szCs w:val="28"/>
        </w:rPr>
      </w:pPr>
      <w:r>
        <w:rPr>
          <w:rFonts w:eastAsia="黑体"/>
          <w:color w:val="auto"/>
          <w:kern w:val="21"/>
          <w:sz w:val="28"/>
          <w:szCs w:val="28"/>
        </w:rPr>
        <w:t>3.2.</w:t>
      </w:r>
      <w:bookmarkEnd w:id="177"/>
      <w:r>
        <w:rPr>
          <w:rFonts w:eastAsia="黑体"/>
          <w:color w:val="auto"/>
          <w:kern w:val="21"/>
          <w:sz w:val="28"/>
          <w:szCs w:val="28"/>
        </w:rPr>
        <w:t>7公用工程</w:t>
      </w:r>
    </w:p>
    <w:p>
      <w:pPr>
        <w:pStyle w:val="6"/>
        <w:spacing w:before="0" w:after="0" w:line="360" w:lineRule="auto"/>
        <w:rPr>
          <w:b w:val="0"/>
          <w:color w:val="auto"/>
          <w:sz w:val="24"/>
          <w:szCs w:val="24"/>
        </w:rPr>
      </w:pPr>
      <w:r>
        <w:rPr>
          <w:b w:val="0"/>
          <w:color w:val="auto"/>
          <w:sz w:val="24"/>
          <w:szCs w:val="24"/>
        </w:rPr>
        <w:t>3.2.7.1给水工程</w:t>
      </w:r>
    </w:p>
    <w:p>
      <w:pPr>
        <w:adjustRightInd w:val="0"/>
        <w:snapToGrid w:val="0"/>
        <w:spacing w:line="360" w:lineRule="auto"/>
        <w:ind w:firstLine="480" w:firstLineChars="200"/>
        <w:rPr>
          <w:color w:val="auto"/>
          <w:kern w:val="21"/>
          <w:sz w:val="24"/>
          <w:szCs w:val="22"/>
        </w:rPr>
      </w:pPr>
      <w:r>
        <w:rPr>
          <w:rFonts w:hint="eastAsia"/>
          <w:color w:val="auto"/>
          <w:kern w:val="21"/>
          <w:sz w:val="24"/>
          <w:szCs w:val="22"/>
        </w:rPr>
        <w:t>（</w:t>
      </w:r>
      <w:r>
        <w:rPr>
          <w:color w:val="auto"/>
          <w:kern w:val="21"/>
          <w:sz w:val="24"/>
          <w:szCs w:val="22"/>
        </w:rPr>
        <w:t>1</w:t>
      </w:r>
      <w:r>
        <w:rPr>
          <w:rFonts w:hint="eastAsia"/>
          <w:color w:val="auto"/>
          <w:kern w:val="21"/>
          <w:sz w:val="24"/>
          <w:szCs w:val="22"/>
        </w:rPr>
        <w:t>）新鲜水</w:t>
      </w:r>
    </w:p>
    <w:p>
      <w:pPr>
        <w:adjustRightInd w:val="0"/>
        <w:snapToGrid w:val="0"/>
        <w:spacing w:line="360" w:lineRule="auto"/>
        <w:ind w:firstLine="480" w:firstLineChars="200"/>
        <w:rPr>
          <w:color w:val="auto"/>
          <w:kern w:val="21"/>
          <w:sz w:val="24"/>
          <w:szCs w:val="22"/>
        </w:rPr>
      </w:pPr>
      <w:r>
        <w:rPr>
          <w:rFonts w:hint="eastAsia"/>
          <w:color w:val="auto"/>
          <w:kern w:val="21"/>
          <w:sz w:val="24"/>
          <w:szCs w:val="22"/>
        </w:rPr>
        <w:t>项目位于获嘉县产业集聚区北区城东片区，生产生活给水、消防给水均采用东区水厂自来水为水源。项目日常运行冬季新鲜水用量101.1437m</w:t>
      </w:r>
      <w:r>
        <w:rPr>
          <w:rFonts w:hint="eastAsia"/>
          <w:color w:val="auto"/>
          <w:kern w:val="21"/>
          <w:sz w:val="24"/>
          <w:szCs w:val="22"/>
          <w:vertAlign w:val="superscript"/>
        </w:rPr>
        <w:t>3</w:t>
      </w:r>
      <w:r>
        <w:rPr>
          <w:rFonts w:hint="eastAsia"/>
          <w:color w:val="auto"/>
          <w:kern w:val="21"/>
          <w:sz w:val="24"/>
          <w:szCs w:val="22"/>
        </w:rPr>
        <w:t>/d，其他季节新鲜用水量95.4514m</w:t>
      </w:r>
      <w:r>
        <w:rPr>
          <w:rFonts w:hint="eastAsia"/>
          <w:color w:val="auto"/>
          <w:kern w:val="21"/>
          <w:sz w:val="24"/>
          <w:szCs w:val="22"/>
          <w:vertAlign w:val="superscript"/>
        </w:rPr>
        <w:t>3</w:t>
      </w:r>
      <w:r>
        <w:rPr>
          <w:rFonts w:hint="eastAsia"/>
          <w:color w:val="auto"/>
          <w:kern w:val="21"/>
          <w:sz w:val="24"/>
          <w:szCs w:val="22"/>
        </w:rPr>
        <w:t>/d，东区水厂给水规模3万吨</w:t>
      </w:r>
      <w:r>
        <w:rPr>
          <w:color w:val="auto"/>
          <w:kern w:val="21"/>
          <w:sz w:val="24"/>
          <w:szCs w:val="22"/>
        </w:rPr>
        <w:t>/</w:t>
      </w:r>
      <w:r>
        <w:rPr>
          <w:rFonts w:hint="eastAsia"/>
          <w:color w:val="auto"/>
          <w:kern w:val="21"/>
          <w:sz w:val="24"/>
          <w:szCs w:val="22"/>
        </w:rPr>
        <w:t>日，供水水压、水量可满足厂区生产、生活用水要求。厂区生产生活新鲜水给水干管及生产复用水干管布置成环状，管径为</w:t>
      </w:r>
      <w:r>
        <w:rPr>
          <w:color w:val="auto"/>
          <w:kern w:val="21"/>
          <w:sz w:val="24"/>
          <w:szCs w:val="22"/>
        </w:rPr>
        <w:t>DN150</w:t>
      </w:r>
      <w:r>
        <w:rPr>
          <w:rFonts w:hint="eastAsia"/>
          <w:color w:val="auto"/>
          <w:kern w:val="21"/>
          <w:sz w:val="24"/>
          <w:szCs w:val="22"/>
        </w:rPr>
        <w:t>。</w:t>
      </w:r>
    </w:p>
    <w:p>
      <w:pPr>
        <w:adjustRightInd w:val="0"/>
        <w:snapToGrid w:val="0"/>
        <w:spacing w:line="360" w:lineRule="auto"/>
        <w:ind w:firstLine="480" w:firstLineChars="200"/>
        <w:rPr>
          <w:color w:val="auto"/>
          <w:kern w:val="21"/>
          <w:sz w:val="24"/>
          <w:szCs w:val="22"/>
        </w:rPr>
      </w:pPr>
      <w:r>
        <w:rPr>
          <w:rFonts w:hint="eastAsia"/>
          <w:color w:val="auto"/>
          <w:kern w:val="21"/>
          <w:sz w:val="24"/>
          <w:szCs w:val="22"/>
        </w:rPr>
        <w:t>（</w:t>
      </w:r>
      <w:r>
        <w:rPr>
          <w:color w:val="auto"/>
          <w:kern w:val="21"/>
          <w:sz w:val="24"/>
          <w:szCs w:val="22"/>
        </w:rPr>
        <w:t>2</w:t>
      </w:r>
      <w:r>
        <w:rPr>
          <w:rFonts w:hint="eastAsia"/>
          <w:color w:val="auto"/>
          <w:kern w:val="21"/>
          <w:sz w:val="24"/>
          <w:szCs w:val="22"/>
        </w:rPr>
        <w:t>）回用水</w:t>
      </w:r>
    </w:p>
    <w:p>
      <w:pPr>
        <w:adjustRightInd w:val="0"/>
        <w:snapToGrid w:val="0"/>
        <w:spacing w:line="360" w:lineRule="auto"/>
        <w:ind w:firstLine="480" w:firstLineChars="200"/>
        <w:rPr>
          <w:color w:val="auto"/>
          <w:kern w:val="21"/>
          <w:sz w:val="24"/>
          <w:szCs w:val="22"/>
        </w:rPr>
      </w:pPr>
      <w:r>
        <w:rPr>
          <w:rFonts w:hint="eastAsia"/>
          <w:color w:val="auto"/>
          <w:kern w:val="21"/>
          <w:sz w:val="24"/>
          <w:szCs w:val="22"/>
        </w:rPr>
        <w:t>本项目各车间生产用水中的回用水</w:t>
      </w:r>
      <w:r>
        <w:rPr>
          <w:rFonts w:hint="eastAsia"/>
          <w:color w:val="auto"/>
          <w:kern w:val="21"/>
          <w:sz w:val="24"/>
          <w:szCs w:val="22"/>
          <w:lang w:eastAsia="zh-CN"/>
        </w:rPr>
        <w:t>来自</w:t>
      </w:r>
      <w:r>
        <w:rPr>
          <w:rFonts w:hint="eastAsia"/>
          <w:color w:val="auto"/>
          <w:kern w:val="21"/>
          <w:sz w:val="24"/>
          <w:szCs w:val="22"/>
        </w:rPr>
        <w:t>项目厂内污水处理站。根据水平衡分析，全厂回用水量为391.5368</w:t>
      </w:r>
      <w:r>
        <w:rPr>
          <w:color w:val="auto"/>
          <w:kern w:val="21"/>
          <w:sz w:val="24"/>
          <w:szCs w:val="22"/>
        </w:rPr>
        <w:t>m</w:t>
      </w:r>
      <w:r>
        <w:rPr>
          <w:color w:val="auto"/>
          <w:kern w:val="21"/>
          <w:sz w:val="24"/>
          <w:szCs w:val="22"/>
          <w:vertAlign w:val="superscript"/>
        </w:rPr>
        <w:t>3</w:t>
      </w:r>
      <w:r>
        <w:rPr>
          <w:color w:val="auto"/>
          <w:kern w:val="21"/>
          <w:sz w:val="24"/>
          <w:szCs w:val="22"/>
        </w:rPr>
        <w:t>/d，</w:t>
      </w:r>
      <w:r>
        <w:rPr>
          <w:rFonts w:hint="eastAsia"/>
          <w:color w:val="auto"/>
          <w:kern w:val="21"/>
          <w:sz w:val="24"/>
          <w:szCs w:val="22"/>
        </w:rPr>
        <w:t>污水处理站回用水进入回用水池，然后由各自专用管道打回各环节水洗工序回用。</w:t>
      </w:r>
    </w:p>
    <w:p>
      <w:pPr>
        <w:pStyle w:val="6"/>
        <w:spacing w:before="0" w:after="0" w:line="360" w:lineRule="auto"/>
        <w:rPr>
          <w:b w:val="0"/>
          <w:color w:val="auto"/>
          <w:sz w:val="24"/>
          <w:szCs w:val="24"/>
        </w:rPr>
      </w:pPr>
      <w:r>
        <w:rPr>
          <w:b w:val="0"/>
          <w:color w:val="auto"/>
          <w:sz w:val="24"/>
          <w:szCs w:val="24"/>
        </w:rPr>
        <w:t>3.2.7.2排水工程</w:t>
      </w:r>
    </w:p>
    <w:p>
      <w:pPr>
        <w:adjustRightInd w:val="0"/>
        <w:snapToGrid w:val="0"/>
        <w:spacing w:line="360" w:lineRule="auto"/>
        <w:ind w:firstLine="480" w:firstLineChars="200"/>
        <w:rPr>
          <w:color w:val="auto"/>
          <w:kern w:val="21"/>
          <w:sz w:val="24"/>
          <w:szCs w:val="24"/>
        </w:rPr>
      </w:pPr>
      <w:r>
        <w:rPr>
          <w:rFonts w:ascii="宋体" w:hAnsi="宋体" w:cs="宋体"/>
          <w:color w:val="auto"/>
          <w:kern w:val="0"/>
          <w:sz w:val="24"/>
          <w:szCs w:val="24"/>
          <w:lang w:val="zh-CN" w:bidi="zh-CN"/>
        </w:rPr>
        <w:t>本项目建设</w:t>
      </w:r>
      <w:r>
        <w:rPr>
          <w:rFonts w:hint="eastAsia" w:ascii="宋体" w:hAnsi="宋体" w:cs="宋体"/>
          <w:color w:val="auto"/>
          <w:kern w:val="0"/>
          <w:sz w:val="24"/>
          <w:szCs w:val="24"/>
          <w:lang w:val="en-US" w:bidi="zh-CN"/>
        </w:rPr>
        <w:t>1座</w:t>
      </w:r>
      <w:r>
        <w:rPr>
          <w:rFonts w:hint="eastAsia" w:hAnsi="宋体" w:cs="宋体"/>
          <w:color w:val="auto"/>
          <w:kern w:val="0"/>
          <w:sz w:val="24"/>
          <w:szCs w:val="24"/>
          <w:lang w:val="zh-CN" w:bidi="zh-CN"/>
        </w:rPr>
        <w:t>450m</w:t>
      </w:r>
      <w:r>
        <w:rPr>
          <w:rFonts w:hint="eastAsia" w:hAnsi="宋体" w:cs="宋体"/>
          <w:color w:val="auto"/>
          <w:kern w:val="0"/>
          <w:sz w:val="24"/>
          <w:szCs w:val="24"/>
          <w:vertAlign w:val="superscript"/>
          <w:lang w:val="zh-CN" w:bidi="zh-CN"/>
        </w:rPr>
        <w:t>3</w:t>
      </w:r>
      <w:r>
        <w:rPr>
          <w:rFonts w:hint="eastAsia" w:hAnsi="宋体" w:cs="宋体"/>
          <w:color w:val="auto"/>
          <w:kern w:val="0"/>
          <w:sz w:val="24"/>
          <w:szCs w:val="24"/>
          <w:lang w:val="zh-CN" w:bidi="zh-CN"/>
        </w:rPr>
        <w:t>/d</w:t>
      </w:r>
      <w:r>
        <w:rPr>
          <w:rFonts w:ascii="宋体" w:hAnsi="宋体" w:cs="宋体"/>
          <w:color w:val="auto"/>
          <w:kern w:val="0"/>
          <w:sz w:val="24"/>
          <w:szCs w:val="24"/>
          <w:lang w:val="zh-CN" w:bidi="zh-CN"/>
        </w:rPr>
        <w:t>的污水处理</w:t>
      </w:r>
      <w:r>
        <w:rPr>
          <w:color w:val="auto"/>
          <w:kern w:val="21"/>
          <w:sz w:val="24"/>
        </w:rPr>
        <w:t>站，</w:t>
      </w:r>
      <w:r>
        <w:rPr>
          <w:color w:val="auto"/>
          <w:kern w:val="21"/>
          <w:sz w:val="24"/>
          <w:szCs w:val="24"/>
        </w:rPr>
        <w:t>含镍废水进入含镍废水预处理系统（</w:t>
      </w:r>
      <w:r>
        <w:rPr>
          <w:rFonts w:hint="eastAsia"/>
          <w:color w:val="auto"/>
          <w:kern w:val="21"/>
          <w:sz w:val="24"/>
          <w:szCs w:val="24"/>
        </w:rPr>
        <w:t>pH调节→混凝沉淀→回调→多介质过滤</w:t>
      </w:r>
      <w:r>
        <w:rPr>
          <w:color w:val="auto"/>
          <w:kern w:val="21"/>
          <w:sz w:val="24"/>
          <w:szCs w:val="24"/>
        </w:rPr>
        <w:t>）；含锌废水进入含锌废水预处理系统（</w:t>
      </w:r>
      <w:r>
        <w:rPr>
          <w:rFonts w:hint="eastAsia"/>
          <w:color w:val="auto"/>
          <w:kern w:val="21"/>
          <w:sz w:val="24"/>
          <w:szCs w:val="24"/>
        </w:rPr>
        <w:t>pH调节→混凝沉淀→回调→多介质过滤</w:t>
      </w:r>
      <w:r>
        <w:rPr>
          <w:color w:val="auto"/>
          <w:kern w:val="21"/>
          <w:sz w:val="24"/>
          <w:szCs w:val="24"/>
        </w:rPr>
        <w:t>）；含铬废水进入含铬废水预处理系统（</w:t>
      </w:r>
      <w:r>
        <w:rPr>
          <w:rFonts w:hint="eastAsia"/>
          <w:color w:val="auto"/>
          <w:kern w:val="21"/>
          <w:sz w:val="24"/>
          <w:szCs w:val="24"/>
        </w:rPr>
        <w:t>还原→pH调节→混凝沉淀→回调→多介质过滤</w:t>
      </w:r>
      <w:r>
        <w:rPr>
          <w:color w:val="auto"/>
          <w:kern w:val="21"/>
          <w:sz w:val="24"/>
          <w:szCs w:val="24"/>
        </w:rPr>
        <w:t>）；地面清洗废水进入地面清洗废水预处理系统（</w:t>
      </w:r>
      <w:r>
        <w:rPr>
          <w:rFonts w:hint="eastAsia"/>
          <w:color w:val="auto"/>
          <w:kern w:val="21"/>
          <w:sz w:val="24"/>
          <w:szCs w:val="24"/>
        </w:rPr>
        <w:t>氧化→pH调节→混凝沉淀→还原→混凝沉淀→回调→多介质过滤</w:t>
      </w:r>
      <w:r>
        <w:rPr>
          <w:color w:val="auto"/>
          <w:kern w:val="21"/>
          <w:sz w:val="24"/>
          <w:szCs w:val="24"/>
        </w:rPr>
        <w:t>）；</w:t>
      </w:r>
      <w:r>
        <w:rPr>
          <w:rFonts w:hint="eastAsia"/>
          <w:color w:val="auto"/>
          <w:kern w:val="21"/>
          <w:sz w:val="24"/>
        </w:rPr>
        <w:t>含油废水进入含油废水预处理系统（经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→混凝→气浮）预处理后，再与酸性废水一同进入酸性废水预处理系统（pH调节→混凝沉淀→回调→多介质过滤）。</w:t>
      </w:r>
    </w:p>
    <w:p>
      <w:pPr>
        <w:adjustRightInd w:val="0"/>
        <w:snapToGrid w:val="0"/>
        <w:spacing w:line="360" w:lineRule="auto"/>
        <w:ind w:firstLine="480" w:firstLineChars="200"/>
        <w:rPr>
          <w:color w:val="auto"/>
          <w:kern w:val="21"/>
          <w:sz w:val="24"/>
          <w:szCs w:val="24"/>
        </w:rPr>
      </w:pPr>
      <w:r>
        <w:rPr>
          <w:color w:val="auto"/>
          <w:kern w:val="21"/>
          <w:sz w:val="24"/>
          <w:szCs w:val="24"/>
        </w:rPr>
        <w:t>经预处理后的各股废水一</w:t>
      </w:r>
      <w:r>
        <w:rPr>
          <w:rFonts w:hint="eastAsia"/>
          <w:color w:val="auto"/>
          <w:kern w:val="21"/>
          <w:sz w:val="24"/>
          <w:szCs w:val="24"/>
          <w:lang w:eastAsia="zh-CN"/>
        </w:rPr>
        <w:t>同</w:t>
      </w:r>
      <w:r>
        <w:rPr>
          <w:color w:val="auto"/>
          <w:kern w:val="21"/>
          <w:sz w:val="24"/>
          <w:szCs w:val="24"/>
        </w:rPr>
        <w:t>进入零排放处理系统</w:t>
      </w:r>
      <w:r>
        <w:rPr>
          <w:rFonts w:hint="eastAsia"/>
          <w:color w:val="auto"/>
          <w:kern w:val="21"/>
          <w:sz w:val="24"/>
          <w:szCs w:val="24"/>
          <w:lang w:val="en-US" w:eastAsia="zh-CN"/>
        </w:rPr>
        <w:t xml:space="preserve"> （</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深度处理</w:t>
      </w:r>
      <w:r>
        <w:rPr>
          <w:color w:val="auto"/>
          <w:kern w:val="21"/>
          <w:sz w:val="24"/>
          <w:szCs w:val="24"/>
        </w:rPr>
        <w:t>，</w:t>
      </w:r>
      <w:r>
        <w:rPr>
          <w:rFonts w:hint="eastAsia"/>
          <w:color w:val="auto"/>
          <w:kern w:val="21"/>
          <w:sz w:val="24"/>
          <w:szCs w:val="24"/>
          <w:lang w:eastAsia="zh-CN"/>
        </w:rPr>
        <w:t>深度处理后全部回用于生产线</w:t>
      </w:r>
      <w:r>
        <w:rPr>
          <w:color w:val="auto"/>
          <w:kern w:val="21"/>
          <w:sz w:val="24"/>
          <w:szCs w:val="24"/>
        </w:rPr>
        <w:t>，结晶盐</w:t>
      </w:r>
      <w:r>
        <w:rPr>
          <w:rFonts w:hint="eastAsia"/>
          <w:color w:val="auto"/>
          <w:kern w:val="21"/>
          <w:sz w:val="24"/>
          <w:szCs w:val="24"/>
          <w:lang w:eastAsia="zh-CN"/>
        </w:rPr>
        <w:t>作为</w:t>
      </w:r>
      <w:r>
        <w:rPr>
          <w:color w:val="auto"/>
          <w:kern w:val="21"/>
          <w:sz w:val="24"/>
          <w:szCs w:val="24"/>
        </w:rPr>
        <w:t>危废处置。纯水制备浓水、</w:t>
      </w:r>
      <w:r>
        <w:rPr>
          <w:rFonts w:hint="eastAsia"/>
          <w:color w:val="auto"/>
          <w:kern w:val="21"/>
          <w:sz w:val="24"/>
          <w:szCs w:val="24"/>
          <w:lang w:eastAsia="zh-CN"/>
        </w:rPr>
        <w:t>锅炉浓水</w:t>
      </w:r>
      <w:r>
        <w:rPr>
          <w:color w:val="auto"/>
          <w:kern w:val="21"/>
          <w:sz w:val="24"/>
          <w:szCs w:val="24"/>
        </w:rPr>
        <w:t>及生活污水经市政管网</w:t>
      </w:r>
      <w:r>
        <w:rPr>
          <w:rFonts w:hint="eastAsia"/>
          <w:color w:val="auto"/>
          <w:kern w:val="21"/>
          <w:sz w:val="24"/>
          <w:szCs w:val="24"/>
        </w:rPr>
        <w:t>排入同盟污水处理厂。</w:t>
      </w:r>
    </w:p>
    <w:p>
      <w:pPr>
        <w:pStyle w:val="6"/>
        <w:spacing w:before="0" w:after="0" w:line="360" w:lineRule="auto"/>
        <w:rPr>
          <w:b w:val="0"/>
          <w:color w:val="auto"/>
          <w:sz w:val="24"/>
          <w:szCs w:val="24"/>
        </w:rPr>
      </w:pPr>
      <w:r>
        <w:rPr>
          <w:b w:val="0"/>
          <w:color w:val="auto"/>
          <w:sz w:val="24"/>
          <w:szCs w:val="24"/>
        </w:rPr>
        <w:t>3.2.7.3供气工程</w:t>
      </w:r>
    </w:p>
    <w:p>
      <w:pPr>
        <w:adjustRightInd w:val="0"/>
        <w:snapToGrid w:val="0"/>
        <w:spacing w:line="360" w:lineRule="auto"/>
        <w:ind w:firstLine="480"/>
        <w:rPr>
          <w:color w:val="auto"/>
          <w:kern w:val="21"/>
          <w:sz w:val="24"/>
          <w:szCs w:val="22"/>
        </w:rPr>
      </w:pPr>
      <w:r>
        <w:rPr>
          <w:rFonts w:hint="eastAsia"/>
          <w:color w:val="auto"/>
          <w:kern w:val="21"/>
          <w:sz w:val="24"/>
          <w:szCs w:val="22"/>
        </w:rPr>
        <w:t>锅炉房采用天然气为燃料，气源为西气东输天然气，使用量为434.44m</w:t>
      </w:r>
      <w:r>
        <w:rPr>
          <w:rFonts w:hint="eastAsia"/>
          <w:color w:val="auto"/>
          <w:kern w:val="21"/>
          <w:sz w:val="24"/>
          <w:szCs w:val="22"/>
          <w:vertAlign w:val="superscript"/>
        </w:rPr>
        <w:t>3</w:t>
      </w:r>
      <w:r>
        <w:rPr>
          <w:rFonts w:hint="eastAsia"/>
          <w:color w:val="auto"/>
          <w:kern w:val="21"/>
          <w:sz w:val="24"/>
          <w:szCs w:val="22"/>
        </w:rPr>
        <w:t>/a，接管位置位于厂区北围墙外，接园区天然气门站。锅炉房附近设置燃气调压计量柜，将天然气压力调压为</w:t>
      </w:r>
      <w:r>
        <w:rPr>
          <w:color w:val="auto"/>
          <w:kern w:val="21"/>
          <w:sz w:val="24"/>
          <w:szCs w:val="22"/>
        </w:rPr>
        <w:t>20kPa</w:t>
      </w:r>
      <w:r>
        <w:rPr>
          <w:rFonts w:hint="eastAsia"/>
          <w:color w:val="auto"/>
          <w:kern w:val="21"/>
          <w:sz w:val="24"/>
          <w:szCs w:val="22"/>
        </w:rPr>
        <w:t>，直供锅炉房使用。</w:t>
      </w:r>
    </w:p>
    <w:p>
      <w:pPr>
        <w:pStyle w:val="6"/>
        <w:spacing w:before="0" w:after="0" w:line="360" w:lineRule="auto"/>
        <w:rPr>
          <w:b w:val="0"/>
          <w:color w:val="auto"/>
          <w:sz w:val="24"/>
          <w:szCs w:val="24"/>
        </w:rPr>
      </w:pPr>
      <w:r>
        <w:rPr>
          <w:b w:val="0"/>
          <w:color w:val="auto"/>
          <w:sz w:val="24"/>
          <w:szCs w:val="24"/>
        </w:rPr>
        <w:t>3.2.7.</w:t>
      </w:r>
      <w:r>
        <w:rPr>
          <w:rFonts w:hint="eastAsia"/>
          <w:b w:val="0"/>
          <w:color w:val="auto"/>
          <w:sz w:val="24"/>
          <w:szCs w:val="24"/>
        </w:rPr>
        <w:t>4</w:t>
      </w:r>
      <w:r>
        <w:rPr>
          <w:b w:val="0"/>
          <w:color w:val="auto"/>
          <w:sz w:val="24"/>
          <w:szCs w:val="24"/>
        </w:rPr>
        <w:t>供电工程</w:t>
      </w:r>
    </w:p>
    <w:p>
      <w:pPr>
        <w:adjustRightInd w:val="0"/>
        <w:snapToGrid w:val="0"/>
        <w:spacing w:line="360" w:lineRule="auto"/>
        <w:ind w:firstLine="480"/>
        <w:rPr>
          <w:color w:val="auto"/>
          <w:kern w:val="21"/>
          <w:sz w:val="24"/>
          <w:szCs w:val="22"/>
        </w:rPr>
      </w:pPr>
      <w:r>
        <w:rPr>
          <w:color w:val="auto"/>
          <w:kern w:val="21"/>
          <w:sz w:val="24"/>
          <w:szCs w:val="22"/>
        </w:rPr>
        <w:t>本项目年</w:t>
      </w:r>
      <w:r>
        <w:rPr>
          <w:rFonts w:hint="eastAsia"/>
          <w:color w:val="auto"/>
          <w:kern w:val="21"/>
          <w:sz w:val="24"/>
          <w:szCs w:val="22"/>
        </w:rPr>
        <w:t>用电量约为720万kwh，由产业集聚区电网供给至厂区，再由厂区两台变压器交换后，分配至各车间。</w:t>
      </w:r>
    </w:p>
    <w:p>
      <w:pPr>
        <w:pStyle w:val="6"/>
        <w:spacing w:before="0" w:after="0" w:line="360" w:lineRule="auto"/>
        <w:rPr>
          <w:b w:val="0"/>
          <w:color w:val="auto"/>
          <w:sz w:val="24"/>
          <w:szCs w:val="24"/>
        </w:rPr>
      </w:pPr>
      <w:r>
        <w:rPr>
          <w:b w:val="0"/>
          <w:color w:val="auto"/>
          <w:sz w:val="24"/>
          <w:szCs w:val="24"/>
        </w:rPr>
        <w:t>3.2.7.</w:t>
      </w:r>
      <w:r>
        <w:rPr>
          <w:rFonts w:hint="eastAsia"/>
          <w:b w:val="0"/>
          <w:color w:val="auto"/>
          <w:sz w:val="24"/>
          <w:szCs w:val="24"/>
        </w:rPr>
        <w:t>5化学品储运</w:t>
      </w:r>
      <w:r>
        <w:rPr>
          <w:b w:val="0"/>
          <w:color w:val="auto"/>
          <w:sz w:val="24"/>
          <w:szCs w:val="24"/>
        </w:rPr>
        <w:t>工程</w:t>
      </w:r>
    </w:p>
    <w:p>
      <w:pPr>
        <w:adjustRightInd w:val="0"/>
        <w:snapToGrid w:val="0"/>
        <w:spacing w:line="360" w:lineRule="auto"/>
        <w:ind w:firstLine="480" w:firstLineChars="200"/>
        <w:rPr>
          <w:color w:val="auto"/>
          <w:kern w:val="21"/>
          <w:sz w:val="24"/>
          <w:szCs w:val="22"/>
        </w:rPr>
      </w:pPr>
      <w:r>
        <w:rPr>
          <w:rFonts w:hint="eastAsia"/>
          <w:color w:val="auto"/>
          <w:kern w:val="21"/>
          <w:sz w:val="24"/>
          <w:szCs w:val="22"/>
        </w:rPr>
        <w:t>根据厂区整体规划，拟在北车间的东北角设置电镀线原料专库，用于储存电镀线所使用的化学品。项目整个厂区实行化学品专人负责，统一备案、采购、保管、调配。生产所需化学品全部集中储存在专库内，内部分类分区存放。对腐蚀性强的盐酸、硫酸采用专用储罐储存，柠檬酸、硼酸采用专用桶储存，库房采取全室通风、防渗、防漏等措施。</w:t>
      </w:r>
    </w:p>
    <w:p>
      <w:pPr>
        <w:adjustRightInd w:val="0"/>
        <w:snapToGrid w:val="0"/>
        <w:spacing w:line="360" w:lineRule="auto"/>
        <w:ind w:firstLine="480" w:firstLineChars="200"/>
        <w:rPr>
          <w:color w:val="auto"/>
          <w:kern w:val="21"/>
          <w:sz w:val="24"/>
          <w:szCs w:val="22"/>
        </w:rPr>
      </w:pPr>
      <w:r>
        <w:rPr>
          <w:rFonts w:hint="eastAsia"/>
          <w:color w:val="auto"/>
          <w:kern w:val="21"/>
          <w:sz w:val="24"/>
          <w:szCs w:val="22"/>
        </w:rPr>
        <w:t>本项目涉及的危化品均由供货商委托有资质单位运输至厂区内。外购盐酸、硫酸槽车卸料口通过软管与酸泵入口相连，适当切换酸泵进出口管路系统阀门，启动酸泵将盐酸</w:t>
      </w:r>
      <w:r>
        <w:rPr>
          <w:rFonts w:hint="eastAsia"/>
          <w:color w:val="auto"/>
          <w:kern w:val="21"/>
          <w:sz w:val="24"/>
          <w:szCs w:val="22"/>
          <w:lang w:eastAsia="zh-CN"/>
        </w:rPr>
        <w:t>和硫酸</w:t>
      </w:r>
      <w:r>
        <w:rPr>
          <w:rFonts w:hint="eastAsia"/>
          <w:color w:val="auto"/>
          <w:kern w:val="21"/>
          <w:sz w:val="24"/>
          <w:szCs w:val="22"/>
        </w:rPr>
        <w:t>输送至酸储罐储存，完成卸酸作业。其他化学品由原料供应商指定具备资质的单位负责运输至厂内仓库，采用人工卸货存放入库，出库时由人工装货出库，送至区内各车间使用。</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78" w:name="_Toc21121"/>
      <w:bookmarkStart w:id="179" w:name="_Toc1859"/>
      <w:bookmarkStart w:id="180" w:name="_Toc15989_WPSOffice_Level2"/>
      <w:bookmarkStart w:id="181" w:name="_Toc22070"/>
      <w:bookmarkStart w:id="182" w:name="_Toc112338940"/>
      <w:r>
        <w:rPr>
          <w:bCs w:val="0"/>
          <w:color w:val="auto"/>
          <w:kern w:val="0"/>
          <w:szCs w:val="20"/>
          <w:lang w:val="en-US"/>
        </w:rPr>
        <w:t>3.3</w:t>
      </w:r>
      <w:bookmarkEnd w:id="178"/>
      <w:bookmarkEnd w:id="179"/>
      <w:r>
        <w:rPr>
          <w:bCs w:val="0"/>
          <w:color w:val="auto"/>
          <w:kern w:val="0"/>
          <w:szCs w:val="20"/>
          <w:lang w:val="en-US"/>
        </w:rPr>
        <w:t>生产工艺流程及产污环节分析</w:t>
      </w:r>
      <w:bookmarkEnd w:id="180"/>
      <w:bookmarkEnd w:id="181"/>
      <w:bookmarkEnd w:id="182"/>
    </w:p>
    <w:p>
      <w:pPr>
        <w:adjustRightInd w:val="0"/>
        <w:snapToGrid w:val="0"/>
        <w:spacing w:line="360" w:lineRule="auto"/>
        <w:ind w:firstLine="480"/>
        <w:rPr>
          <w:color w:val="auto"/>
          <w:kern w:val="21"/>
          <w:sz w:val="24"/>
          <w:szCs w:val="22"/>
        </w:rPr>
      </w:pPr>
      <w:r>
        <w:rPr>
          <w:color w:val="auto"/>
          <w:kern w:val="21"/>
          <w:sz w:val="24"/>
          <w:szCs w:val="22"/>
        </w:rPr>
        <w:t>本项目产品为锂电池</w:t>
      </w:r>
      <w:r>
        <w:rPr>
          <w:rFonts w:hint="eastAsia"/>
          <w:color w:val="auto"/>
          <w:kern w:val="21"/>
          <w:sz w:val="24"/>
          <w:szCs w:val="22"/>
        </w:rPr>
        <w:t>钢壳、盖帽及电池箱</w:t>
      </w:r>
      <w:r>
        <w:rPr>
          <w:color w:val="auto"/>
          <w:kern w:val="21"/>
          <w:sz w:val="24"/>
          <w:szCs w:val="22"/>
        </w:rPr>
        <w:t>，</w:t>
      </w:r>
      <w:r>
        <w:rPr>
          <w:rFonts w:hint="eastAsia"/>
          <w:color w:val="auto"/>
          <w:kern w:val="21"/>
          <w:sz w:val="24"/>
          <w:szCs w:val="22"/>
        </w:rPr>
        <w:t>其中</w:t>
      </w:r>
      <w:r>
        <w:rPr>
          <w:rFonts w:hint="eastAsia"/>
          <w:color w:val="auto"/>
          <w:kern w:val="21"/>
          <w:sz w:val="24"/>
          <w:szCs w:val="22"/>
          <w:lang w:eastAsia="zh-CN"/>
        </w:rPr>
        <w:t>锂电池</w:t>
      </w:r>
      <w:r>
        <w:rPr>
          <w:rFonts w:hint="eastAsia"/>
          <w:color w:val="auto"/>
          <w:kern w:val="21"/>
          <w:sz w:val="24"/>
          <w:szCs w:val="22"/>
        </w:rPr>
        <w:t>钢壳、盖帽镀镍，</w:t>
      </w:r>
      <w:r>
        <w:rPr>
          <w:rFonts w:hint="eastAsia"/>
          <w:color w:val="auto"/>
          <w:kern w:val="21"/>
          <w:sz w:val="24"/>
          <w:szCs w:val="22"/>
          <w:lang w:eastAsia="zh-CN"/>
        </w:rPr>
        <w:t>锂</w:t>
      </w:r>
      <w:r>
        <w:rPr>
          <w:rFonts w:hint="eastAsia"/>
          <w:color w:val="auto"/>
          <w:kern w:val="21"/>
          <w:sz w:val="24"/>
          <w:szCs w:val="22"/>
        </w:rPr>
        <w:t>电池箱镀锌，生产工艺如下</w:t>
      </w:r>
      <w:r>
        <w:rPr>
          <w:color w:val="auto"/>
          <w:kern w:val="21"/>
          <w:sz w:val="24"/>
          <w:szCs w:val="22"/>
        </w:rPr>
        <w:t>。</w:t>
      </w:r>
    </w:p>
    <w:p>
      <w:pPr>
        <w:pStyle w:val="271"/>
        <w:keepNext w:val="0"/>
        <w:keepLines w:val="0"/>
        <w:snapToGrid w:val="0"/>
        <w:spacing w:before="0" w:beforeLines="0" w:after="0" w:afterLines="0"/>
        <w:rPr>
          <w:rFonts w:cs="Times New Roman"/>
          <w:color w:val="auto"/>
          <w:kern w:val="21"/>
          <w:sz w:val="28"/>
          <w:szCs w:val="28"/>
        </w:rPr>
      </w:pPr>
      <w:bookmarkStart w:id="183" w:name="_Toc31095"/>
      <w:r>
        <w:rPr>
          <w:rFonts w:cs="Times New Roman"/>
          <w:color w:val="auto"/>
          <w:kern w:val="21"/>
          <w:sz w:val="28"/>
          <w:szCs w:val="28"/>
        </w:rPr>
        <w:t>3.3.</w:t>
      </w:r>
      <w:bookmarkEnd w:id="183"/>
      <w:bookmarkStart w:id="184" w:name="_Toc324839558"/>
      <w:bookmarkStart w:id="185" w:name="_Toc324839261"/>
      <w:r>
        <w:rPr>
          <w:rFonts w:cs="Times New Roman"/>
          <w:color w:val="auto"/>
          <w:kern w:val="21"/>
          <w:sz w:val="28"/>
          <w:szCs w:val="28"/>
        </w:rPr>
        <w:t>1</w:t>
      </w:r>
      <w:r>
        <w:rPr>
          <w:rFonts w:hint="eastAsia" w:cs="Times New Roman"/>
          <w:color w:val="auto"/>
          <w:kern w:val="21"/>
          <w:sz w:val="28"/>
          <w:szCs w:val="28"/>
          <w:lang w:eastAsia="zh-CN"/>
        </w:rPr>
        <w:t>锂电池</w:t>
      </w:r>
      <w:r>
        <w:rPr>
          <w:rFonts w:hint="eastAsia" w:cs="Times New Roman"/>
          <w:color w:val="auto"/>
          <w:kern w:val="21"/>
          <w:sz w:val="28"/>
          <w:szCs w:val="28"/>
        </w:rPr>
        <w:t>钢壳、盖帽</w:t>
      </w:r>
      <w:r>
        <w:rPr>
          <w:rFonts w:cs="Times New Roman"/>
          <w:color w:val="auto"/>
          <w:kern w:val="21"/>
          <w:sz w:val="28"/>
          <w:szCs w:val="28"/>
        </w:rPr>
        <w:t>生产工艺流程及</w:t>
      </w:r>
      <w:bookmarkEnd w:id="184"/>
      <w:bookmarkEnd w:id="185"/>
      <w:r>
        <w:rPr>
          <w:rFonts w:cs="Times New Roman"/>
          <w:color w:val="auto"/>
          <w:kern w:val="21"/>
          <w:sz w:val="28"/>
          <w:szCs w:val="28"/>
        </w:rPr>
        <w:t>产污环节分析</w:t>
      </w:r>
    </w:p>
    <w:p>
      <w:pPr>
        <w:adjustRightInd w:val="0"/>
        <w:snapToGrid w:val="0"/>
        <w:spacing w:line="360" w:lineRule="auto"/>
        <w:ind w:firstLine="480"/>
        <w:rPr>
          <w:color w:val="auto"/>
          <w:kern w:val="21"/>
          <w:sz w:val="24"/>
          <w:szCs w:val="22"/>
        </w:rPr>
      </w:pPr>
      <w:r>
        <w:rPr>
          <w:rFonts w:hint="eastAsia"/>
          <w:color w:val="auto"/>
          <w:lang w:val="en-US" w:eastAsia="zh-CN"/>
        </w:rPr>
        <w:tab/>
      </w:r>
      <w:r>
        <w:rPr>
          <w:rFonts w:hint="eastAsia"/>
          <w:color w:val="auto"/>
          <w:kern w:val="21"/>
          <w:sz w:val="24"/>
          <w:szCs w:val="22"/>
          <w:lang w:eastAsia="zh-CN"/>
        </w:rPr>
        <w:t>锂电池</w:t>
      </w:r>
      <w:r>
        <w:rPr>
          <w:color w:val="auto"/>
          <w:kern w:val="21"/>
          <w:sz w:val="24"/>
          <w:szCs w:val="22"/>
        </w:rPr>
        <w:t>钢壳、盖帽需经开卷、冲压</w:t>
      </w:r>
      <w:r>
        <w:rPr>
          <w:rFonts w:hint="eastAsia"/>
          <w:color w:val="auto"/>
          <w:kern w:val="21"/>
          <w:sz w:val="24"/>
          <w:szCs w:val="22"/>
          <w:lang w:eastAsia="zh-CN"/>
        </w:rPr>
        <w:t>成型</w:t>
      </w:r>
      <w:r>
        <w:rPr>
          <w:color w:val="auto"/>
          <w:kern w:val="21"/>
          <w:sz w:val="24"/>
          <w:szCs w:val="22"/>
        </w:rPr>
        <w:t>后进行镀镍，工艺流程及产污环节图</w:t>
      </w:r>
      <w:r>
        <w:rPr>
          <w:rFonts w:hint="eastAsia"/>
          <w:color w:val="auto"/>
          <w:kern w:val="21"/>
          <w:sz w:val="24"/>
          <w:szCs w:val="22"/>
          <w:lang w:eastAsia="zh-CN"/>
        </w:rPr>
        <w:t>见</w:t>
      </w:r>
      <w:r>
        <w:rPr>
          <w:color w:val="auto"/>
          <w:kern w:val="21"/>
          <w:sz w:val="24"/>
          <w:szCs w:val="22"/>
        </w:rPr>
        <w:t>下图3.3-1。</w:t>
      </w:r>
    </w:p>
    <w:p>
      <w:pPr>
        <w:tabs>
          <w:tab w:val="left" w:pos="823"/>
        </w:tabs>
        <w:bidi w:val="0"/>
        <w:jc w:val="left"/>
        <w:rPr>
          <w:color w:val="auto"/>
          <w:lang w:val="en-US" w:eastAsia="zh-CN"/>
        </w:rPr>
        <w:sectPr>
          <w:pgSz w:w="11906" w:h="16838"/>
          <w:pgMar w:top="1440" w:right="1800" w:bottom="1440" w:left="1800" w:header="1134" w:footer="1134" w:gutter="0"/>
          <w:cols w:space="720" w:num="1"/>
          <w:docGrid w:linePitch="312" w:charSpace="0"/>
        </w:sectPr>
      </w:pPr>
    </w:p>
    <w:p>
      <w:pPr>
        <w:adjustRightInd w:val="0"/>
        <w:snapToGrid w:val="0"/>
        <w:spacing w:line="360" w:lineRule="auto"/>
        <w:jc w:val="center"/>
        <w:rPr>
          <w:rFonts w:eastAsia="黑体"/>
          <w:color w:val="auto"/>
          <w:kern w:val="21"/>
          <w:sz w:val="24"/>
          <w:szCs w:val="24"/>
          <w:u w:val="single"/>
        </w:rPr>
      </w:pPr>
      <w:r>
        <w:rPr>
          <w:color w:val="auto"/>
        </w:rPr>
        <mc:AlternateContent>
          <mc:Choice Requires="wpc">
            <w:drawing>
              <wp:inline distT="0" distB="0" distL="0" distR="0">
                <wp:extent cx="5759450" cy="7559675"/>
                <wp:effectExtent l="0" t="0" r="0" b="0"/>
                <wp:docPr id="2557" name="画布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5" name="Rectangle 6"/>
                        <wps:cNvSpPr>
                          <a:spLocks noChangeArrowheads="1"/>
                        </wps:cNvSpPr>
                        <wps:spPr bwMode="auto">
                          <a:xfrm>
                            <a:off x="1140460" y="1076541"/>
                            <a:ext cx="1052830" cy="307975"/>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冲压</w:t>
                              </w:r>
                            </w:p>
                          </w:txbxContent>
                        </wps:txbx>
                        <wps:bodyPr rot="0" vert="horz" wrap="square" lIns="91440" tIns="45720" rIns="91440" bIns="45720" anchor="t" anchorCtr="0" upright="1">
                          <a:noAutofit/>
                        </wps:bodyPr>
                      </wps:wsp>
                      <wps:wsp>
                        <wps:cNvPr id="166" name="Rectangle 7"/>
                        <wps:cNvSpPr>
                          <a:spLocks noChangeArrowheads="1"/>
                        </wps:cNvSpPr>
                        <wps:spPr bwMode="auto">
                          <a:xfrm>
                            <a:off x="1140460" y="1682331"/>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除油</w:t>
                              </w:r>
                            </w:p>
                          </w:txbxContent>
                        </wps:txbx>
                        <wps:bodyPr rot="0" vert="horz" wrap="square" lIns="91440" tIns="45720" rIns="91440" bIns="45720" anchor="t" anchorCtr="0" upright="1">
                          <a:noAutofit/>
                        </wps:bodyPr>
                      </wps:wsp>
                      <wps:wsp>
                        <wps:cNvPr id="167" name="Rectangle 8"/>
                        <wps:cNvSpPr>
                          <a:spLocks noChangeArrowheads="1"/>
                        </wps:cNvSpPr>
                        <wps:spPr bwMode="auto">
                          <a:xfrm>
                            <a:off x="1142903" y="48652"/>
                            <a:ext cx="1052830" cy="307975"/>
                          </a:xfrm>
                          <a:prstGeom prst="rect">
                            <a:avLst/>
                          </a:prstGeom>
                          <a:noFill/>
                          <a:ln>
                            <a:noFill/>
                          </a:ln>
                          <a:effectLst/>
                        </wps:spPr>
                        <wps:txbx>
                          <w:txbxContent>
                            <w:p>
                              <w:pPr>
                                <w:jc w:val="center"/>
                                <w:rPr>
                                  <w:sz w:val="24"/>
                                </w:rPr>
                              </w:pPr>
                              <w:r>
                                <w:rPr>
                                  <w:sz w:val="24"/>
                                </w:rPr>
                                <w:t>外购</w:t>
                              </w:r>
                              <w:r>
                                <w:rPr>
                                  <w:rFonts w:hint="eastAsia"/>
                                  <w:sz w:val="24"/>
                                </w:rPr>
                                <w:t>钢带</w:t>
                              </w:r>
                            </w:p>
                          </w:txbxContent>
                        </wps:txbx>
                        <wps:bodyPr rot="0" vert="horz" wrap="square" lIns="91440" tIns="45720" rIns="91440" bIns="45720" anchor="t" anchorCtr="0" upright="1">
                          <a:noAutofit/>
                        </wps:bodyPr>
                      </wps:wsp>
                      <wps:wsp>
                        <wps:cNvPr id="169" name="Rectangle 9"/>
                        <wps:cNvSpPr>
                          <a:spLocks noChangeArrowheads="1"/>
                        </wps:cNvSpPr>
                        <wps:spPr bwMode="auto">
                          <a:xfrm>
                            <a:off x="1097280" y="2309711"/>
                            <a:ext cx="1138555"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二级逆流水洗</w:t>
                              </w:r>
                            </w:p>
                          </w:txbxContent>
                        </wps:txbx>
                        <wps:bodyPr rot="0" vert="horz" wrap="square" lIns="91440" tIns="45720" rIns="91440" bIns="45720" anchor="t" anchorCtr="0" upright="1">
                          <a:noAutofit/>
                        </wps:bodyPr>
                      </wps:wsp>
                      <wps:wsp>
                        <wps:cNvPr id="170" name="Rectangle 10"/>
                        <wps:cNvSpPr>
                          <a:spLocks noChangeArrowheads="1"/>
                        </wps:cNvSpPr>
                        <wps:spPr bwMode="auto">
                          <a:xfrm>
                            <a:off x="1140460" y="2936456"/>
                            <a:ext cx="1052830" cy="30861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酸洗</w:t>
                              </w:r>
                            </w:p>
                          </w:txbxContent>
                        </wps:txbx>
                        <wps:bodyPr rot="0" vert="horz" wrap="square" lIns="91440" tIns="45720" rIns="91440" bIns="45720" anchor="t" anchorCtr="0" upright="1">
                          <a:noAutofit/>
                        </wps:bodyPr>
                      </wps:wsp>
                      <wps:wsp>
                        <wps:cNvPr id="171" name="Rectangle 14"/>
                        <wps:cNvSpPr>
                          <a:spLocks noChangeArrowheads="1"/>
                        </wps:cNvSpPr>
                        <wps:spPr bwMode="auto">
                          <a:xfrm>
                            <a:off x="917575" y="3542246"/>
                            <a:ext cx="1488440"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二级逆流水洗</w:t>
                              </w:r>
                            </w:p>
                          </w:txbxContent>
                        </wps:txbx>
                        <wps:bodyPr rot="0" vert="horz" wrap="square" lIns="91440" tIns="45720" rIns="91440" bIns="45720" anchor="t" anchorCtr="0" upright="1">
                          <a:noAutofit/>
                        </wps:bodyPr>
                      </wps:wsp>
                      <wps:wsp>
                        <wps:cNvPr id="172" name="Rectangle 17"/>
                        <wps:cNvSpPr>
                          <a:spLocks noChangeArrowheads="1"/>
                        </wps:cNvSpPr>
                        <wps:spPr bwMode="auto">
                          <a:xfrm>
                            <a:off x="1140460" y="4186771"/>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酸活化</w:t>
                              </w:r>
                            </w:p>
                          </w:txbxContent>
                        </wps:txbx>
                        <wps:bodyPr rot="0" vert="horz" wrap="square" lIns="91440" tIns="45720" rIns="91440" bIns="45720" anchor="t" anchorCtr="0" upright="1">
                          <a:noAutofit/>
                        </wps:bodyPr>
                      </wps:wsp>
                      <wps:wsp>
                        <wps:cNvPr id="173" name="Rectangle 18"/>
                        <wps:cNvSpPr>
                          <a:spLocks noChangeArrowheads="1"/>
                        </wps:cNvSpPr>
                        <wps:spPr bwMode="auto">
                          <a:xfrm>
                            <a:off x="1140460" y="4819231"/>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水洗</w:t>
                              </w:r>
                            </w:p>
                          </w:txbxContent>
                        </wps:txbx>
                        <wps:bodyPr rot="0" vert="horz" wrap="square" lIns="91440" tIns="45720" rIns="91440" bIns="45720" anchor="t" anchorCtr="0" upright="1">
                          <a:noAutofit/>
                        </wps:bodyPr>
                      </wps:wsp>
                      <wps:wsp>
                        <wps:cNvPr id="174" name="Rectangle 19"/>
                        <wps:cNvSpPr>
                          <a:spLocks noChangeArrowheads="1"/>
                        </wps:cNvSpPr>
                        <wps:spPr bwMode="auto">
                          <a:xfrm>
                            <a:off x="917575" y="6049861"/>
                            <a:ext cx="1488440"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三步纯水回收水洗</w:t>
                              </w:r>
                            </w:p>
                          </w:txbxContent>
                        </wps:txbx>
                        <wps:bodyPr rot="0" vert="horz" wrap="square" lIns="91440" tIns="45720" rIns="91440" bIns="45720" anchor="t" anchorCtr="0" upright="1">
                          <a:noAutofit/>
                        </wps:bodyPr>
                      </wps:wsp>
                      <wps:wsp>
                        <wps:cNvPr id="186" name="Rectangle 20"/>
                        <wps:cNvSpPr>
                          <a:spLocks noChangeArrowheads="1"/>
                        </wps:cNvSpPr>
                        <wps:spPr bwMode="auto">
                          <a:xfrm>
                            <a:off x="1140460" y="5426926"/>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镀镍</w:t>
                              </w:r>
                            </w:p>
                          </w:txbxContent>
                        </wps:txbx>
                        <wps:bodyPr rot="0" vert="horz" wrap="square" lIns="91440" tIns="45720" rIns="91440" bIns="45720" anchor="t" anchorCtr="0" upright="1">
                          <a:noAutofit/>
                        </wps:bodyPr>
                      </wps:wsp>
                      <wps:wsp>
                        <wps:cNvPr id="192" name="Rectangle 21"/>
                        <wps:cNvSpPr>
                          <a:spLocks noChangeArrowheads="1"/>
                        </wps:cNvSpPr>
                        <wps:spPr bwMode="auto">
                          <a:xfrm>
                            <a:off x="1140460" y="6722961"/>
                            <a:ext cx="1052830" cy="307975"/>
                          </a:xfrm>
                          <a:prstGeom prst="rect">
                            <a:avLst/>
                          </a:prstGeom>
                          <a:solidFill>
                            <a:srgbClr val="FFFFFF"/>
                          </a:solidFill>
                          <a:ln w="9525">
                            <a:solidFill>
                              <a:srgbClr val="000000"/>
                            </a:solidFill>
                            <a:miter lim="800000"/>
                          </a:ln>
                          <a:effectLst/>
                        </wps:spPr>
                        <wps:txbx>
                          <w:txbxContent>
                            <w:p>
                              <w:pPr>
                                <w:jc w:val="center"/>
                                <w:rPr>
                                  <w:sz w:val="24"/>
                                </w:rPr>
                              </w:pPr>
                              <w:r>
                                <w:rPr>
                                  <w:sz w:val="24"/>
                                </w:rPr>
                                <w:t>漂白</w:t>
                              </w:r>
                            </w:p>
                          </w:txbxContent>
                        </wps:txbx>
                        <wps:bodyPr rot="0" vert="horz" wrap="square" lIns="91440" tIns="45720" rIns="91440" bIns="45720" anchor="t" anchorCtr="0" upright="1">
                          <a:noAutofit/>
                        </wps:bodyPr>
                      </wps:wsp>
                      <wps:wsp>
                        <wps:cNvPr id="193" name="Rectangle 22"/>
                        <wps:cNvSpPr>
                          <a:spLocks noChangeArrowheads="1"/>
                        </wps:cNvSpPr>
                        <wps:spPr bwMode="auto">
                          <a:xfrm>
                            <a:off x="3617595" y="1682331"/>
                            <a:ext cx="1052830" cy="30861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纯水漂洗</w:t>
                              </w:r>
                            </w:p>
                          </w:txbxContent>
                        </wps:txbx>
                        <wps:bodyPr rot="0" vert="horz" wrap="square" lIns="91440" tIns="45720" rIns="91440" bIns="45720" anchor="t" anchorCtr="0" upright="1">
                          <a:noAutofit/>
                        </wps:bodyPr>
                      </wps:wsp>
                      <wps:wsp>
                        <wps:cNvPr id="242" name="Rectangle 23"/>
                        <wps:cNvSpPr>
                          <a:spLocks noChangeArrowheads="1"/>
                        </wps:cNvSpPr>
                        <wps:spPr bwMode="auto">
                          <a:xfrm>
                            <a:off x="3573145" y="2936456"/>
                            <a:ext cx="1138555"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三级逆流水洗</w:t>
                              </w:r>
                            </w:p>
                          </w:txbxContent>
                        </wps:txbx>
                        <wps:bodyPr rot="0" vert="horz" wrap="square" lIns="91440" tIns="45720" rIns="91440" bIns="45720" anchor="t" anchorCtr="0" upright="1">
                          <a:noAutofit/>
                        </wps:bodyPr>
                      </wps:wsp>
                      <wps:wsp>
                        <wps:cNvPr id="243" name="Rectangle 24"/>
                        <wps:cNvSpPr>
                          <a:spLocks noChangeArrowheads="1"/>
                        </wps:cNvSpPr>
                        <wps:spPr bwMode="auto">
                          <a:xfrm>
                            <a:off x="3617595" y="2308441"/>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钝化</w:t>
                              </w:r>
                            </w:p>
                          </w:txbxContent>
                        </wps:txbx>
                        <wps:bodyPr rot="0" vert="horz" wrap="square" lIns="91440" tIns="45720" rIns="91440" bIns="45720" anchor="t" anchorCtr="0" upright="1">
                          <a:noAutofit/>
                        </wps:bodyPr>
                      </wps:wsp>
                      <wps:wsp>
                        <wps:cNvPr id="244" name="Rectangle 27"/>
                        <wps:cNvSpPr>
                          <a:spLocks noChangeArrowheads="1"/>
                        </wps:cNvSpPr>
                        <wps:spPr bwMode="auto">
                          <a:xfrm>
                            <a:off x="3618865" y="3540976"/>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中和</w:t>
                              </w:r>
                            </w:p>
                          </w:txbxContent>
                        </wps:txbx>
                        <wps:bodyPr rot="0" vert="horz" wrap="square" lIns="91440" tIns="45720" rIns="91440" bIns="45720" anchor="t" anchorCtr="0" upright="1">
                          <a:noAutofit/>
                        </wps:bodyPr>
                      </wps:wsp>
                      <wps:wsp>
                        <wps:cNvPr id="245" name="Rectangle 28"/>
                        <wps:cNvSpPr>
                          <a:spLocks noChangeArrowheads="1"/>
                        </wps:cNvSpPr>
                        <wps:spPr bwMode="auto">
                          <a:xfrm>
                            <a:off x="3618865" y="4160736"/>
                            <a:ext cx="1052830" cy="30861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纯水漂洗</w:t>
                              </w:r>
                            </w:p>
                          </w:txbxContent>
                        </wps:txbx>
                        <wps:bodyPr rot="0" vert="horz" wrap="square" lIns="91440" tIns="45720" rIns="91440" bIns="45720" anchor="t" anchorCtr="0" upright="1">
                          <a:noAutofit/>
                        </wps:bodyPr>
                      </wps:wsp>
                      <wps:wsp>
                        <wps:cNvPr id="248" name="Rectangle 29"/>
                        <wps:cNvSpPr>
                          <a:spLocks noChangeArrowheads="1"/>
                        </wps:cNvSpPr>
                        <wps:spPr bwMode="auto">
                          <a:xfrm>
                            <a:off x="3623310" y="4823041"/>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封闭</w:t>
                              </w:r>
                            </w:p>
                          </w:txbxContent>
                        </wps:txbx>
                        <wps:bodyPr rot="0" vert="horz" wrap="square" lIns="91440" tIns="45720" rIns="91440" bIns="45720" anchor="t" anchorCtr="0" upright="1">
                          <a:noAutofit/>
                        </wps:bodyPr>
                      </wps:wsp>
                      <wps:wsp>
                        <wps:cNvPr id="251" name="Rectangle 30"/>
                        <wps:cNvSpPr>
                          <a:spLocks noChangeArrowheads="1"/>
                        </wps:cNvSpPr>
                        <wps:spPr bwMode="auto">
                          <a:xfrm>
                            <a:off x="3401695" y="5458676"/>
                            <a:ext cx="1488440"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纯水二级逆流水洗</w:t>
                              </w:r>
                            </w:p>
                          </w:txbxContent>
                        </wps:txbx>
                        <wps:bodyPr rot="0" vert="horz" wrap="square" lIns="91440" tIns="45720" rIns="91440" bIns="45720" anchor="t" anchorCtr="0" upright="1">
                          <a:noAutofit/>
                        </wps:bodyPr>
                      </wps:wsp>
                      <wps:wsp>
                        <wps:cNvPr id="252" name="Rectangle 31"/>
                        <wps:cNvSpPr>
                          <a:spLocks noChangeArrowheads="1"/>
                        </wps:cNvSpPr>
                        <wps:spPr bwMode="auto">
                          <a:xfrm>
                            <a:off x="3620135" y="6078436"/>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烘干</w:t>
                              </w:r>
                            </w:p>
                          </w:txbxContent>
                        </wps:txbx>
                        <wps:bodyPr rot="0" vert="horz" wrap="square" lIns="91440" tIns="45720" rIns="91440" bIns="45720" anchor="t" anchorCtr="0" upright="1">
                          <a:noAutofit/>
                        </wps:bodyPr>
                      </wps:wsp>
                      <wps:wsp>
                        <wps:cNvPr id="253" name="Rectangle 32"/>
                        <wps:cNvSpPr>
                          <a:spLocks noChangeArrowheads="1"/>
                        </wps:cNvSpPr>
                        <wps:spPr bwMode="auto">
                          <a:xfrm>
                            <a:off x="3620135" y="6688036"/>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检验</w:t>
                              </w:r>
                            </w:p>
                          </w:txbxContent>
                        </wps:txbx>
                        <wps:bodyPr rot="0" vert="horz" wrap="square" lIns="91440" tIns="45720" rIns="91440" bIns="45720" anchor="t" anchorCtr="0" upright="1">
                          <a:noAutofit/>
                        </wps:bodyPr>
                      </wps:wsp>
                      <wps:wsp>
                        <wps:cNvPr id="254" name="AutoShape 34"/>
                        <wps:cNvCnPr>
                          <a:cxnSpLocks noChangeShapeType="1"/>
                          <a:stCxn id="2456" idx="2"/>
                          <a:endCxn id="1194" idx="0"/>
                        </wps:cNvCnPr>
                        <wps:spPr bwMode="auto">
                          <a:xfrm>
                            <a:off x="1669318" y="356627"/>
                            <a:ext cx="66" cy="229720"/>
                          </a:xfrm>
                          <a:prstGeom prst="straightConnector1">
                            <a:avLst/>
                          </a:prstGeom>
                          <a:noFill/>
                          <a:ln w="9525">
                            <a:solidFill>
                              <a:srgbClr val="000000"/>
                            </a:solidFill>
                            <a:round/>
                            <a:tailEnd type="triangle" w="med" len="med"/>
                          </a:ln>
                        </wps:spPr>
                        <wps:bodyPr/>
                      </wps:wsp>
                      <wps:wsp>
                        <wps:cNvPr id="255" name="AutoShape 35"/>
                        <wps:cNvCnPr>
                          <a:cxnSpLocks noChangeShapeType="1"/>
                          <a:stCxn id="2454" idx="2"/>
                          <a:endCxn id="2455" idx="0"/>
                        </wps:cNvCnPr>
                        <wps:spPr bwMode="auto">
                          <a:xfrm>
                            <a:off x="1666875" y="1384516"/>
                            <a:ext cx="635" cy="297815"/>
                          </a:xfrm>
                          <a:prstGeom prst="straightConnector1">
                            <a:avLst/>
                          </a:prstGeom>
                          <a:noFill/>
                          <a:ln w="9525">
                            <a:solidFill>
                              <a:srgbClr val="000000"/>
                            </a:solidFill>
                            <a:round/>
                            <a:tailEnd type="triangle" w="med" len="med"/>
                          </a:ln>
                        </wps:spPr>
                        <wps:bodyPr/>
                      </wps:wsp>
                      <wps:wsp>
                        <wps:cNvPr id="256" name="AutoShape 36"/>
                        <wps:cNvCnPr>
                          <a:cxnSpLocks noChangeShapeType="1"/>
                          <a:stCxn id="2455" idx="2"/>
                          <a:endCxn id="2457" idx="0"/>
                        </wps:cNvCnPr>
                        <wps:spPr bwMode="auto">
                          <a:xfrm>
                            <a:off x="1666875" y="1990941"/>
                            <a:ext cx="635" cy="318770"/>
                          </a:xfrm>
                          <a:prstGeom prst="straightConnector1">
                            <a:avLst/>
                          </a:prstGeom>
                          <a:noFill/>
                          <a:ln w="9525">
                            <a:solidFill>
                              <a:srgbClr val="000000"/>
                            </a:solidFill>
                            <a:round/>
                            <a:tailEnd type="triangle" w="med" len="med"/>
                          </a:ln>
                        </wps:spPr>
                        <wps:bodyPr/>
                      </wps:wsp>
                      <wps:wsp>
                        <wps:cNvPr id="257" name="AutoShape 37"/>
                        <wps:cNvCnPr>
                          <a:cxnSpLocks noChangeShapeType="1"/>
                          <a:stCxn id="2457" idx="2"/>
                          <a:endCxn id="2458" idx="0"/>
                        </wps:cNvCnPr>
                        <wps:spPr bwMode="auto">
                          <a:xfrm>
                            <a:off x="1666875" y="2617051"/>
                            <a:ext cx="635" cy="319405"/>
                          </a:xfrm>
                          <a:prstGeom prst="straightConnector1">
                            <a:avLst/>
                          </a:prstGeom>
                          <a:noFill/>
                          <a:ln w="9525">
                            <a:solidFill>
                              <a:srgbClr val="000000"/>
                            </a:solidFill>
                            <a:round/>
                            <a:tailEnd type="triangle" w="med" len="med"/>
                          </a:ln>
                        </wps:spPr>
                        <wps:bodyPr/>
                      </wps:wsp>
                      <wps:wsp>
                        <wps:cNvPr id="258" name="AutoShape 38"/>
                        <wps:cNvCnPr>
                          <a:cxnSpLocks noChangeShapeType="1"/>
                          <a:stCxn id="2458" idx="2"/>
                          <a:endCxn id="2459" idx="0"/>
                        </wps:cNvCnPr>
                        <wps:spPr bwMode="auto">
                          <a:xfrm flipH="1">
                            <a:off x="1661795" y="3245066"/>
                            <a:ext cx="5080" cy="297180"/>
                          </a:xfrm>
                          <a:prstGeom prst="straightConnector1">
                            <a:avLst/>
                          </a:prstGeom>
                          <a:noFill/>
                          <a:ln w="9525">
                            <a:solidFill>
                              <a:srgbClr val="000000"/>
                            </a:solidFill>
                            <a:round/>
                            <a:tailEnd type="triangle" w="med" len="med"/>
                          </a:ln>
                        </wps:spPr>
                        <wps:bodyPr/>
                      </wps:wsp>
                      <wps:wsp>
                        <wps:cNvPr id="259" name="AutoShape 39"/>
                        <wps:cNvCnPr>
                          <a:cxnSpLocks noChangeShapeType="1"/>
                          <a:stCxn id="2459" idx="2"/>
                          <a:endCxn id="2460" idx="0"/>
                        </wps:cNvCnPr>
                        <wps:spPr bwMode="auto">
                          <a:xfrm>
                            <a:off x="1661795" y="3849586"/>
                            <a:ext cx="5080" cy="337185"/>
                          </a:xfrm>
                          <a:prstGeom prst="straightConnector1">
                            <a:avLst/>
                          </a:prstGeom>
                          <a:noFill/>
                          <a:ln w="9525">
                            <a:solidFill>
                              <a:srgbClr val="000000"/>
                            </a:solidFill>
                            <a:round/>
                            <a:tailEnd type="triangle" w="med" len="med"/>
                          </a:ln>
                        </wps:spPr>
                        <wps:bodyPr/>
                      </wps:wsp>
                      <wps:wsp>
                        <wps:cNvPr id="260" name="AutoShape 42"/>
                        <wps:cNvCnPr>
                          <a:cxnSpLocks noChangeShapeType="1"/>
                          <a:stCxn id="2460" idx="2"/>
                          <a:endCxn id="2461" idx="0"/>
                        </wps:cNvCnPr>
                        <wps:spPr bwMode="auto">
                          <a:xfrm>
                            <a:off x="1666875" y="4495381"/>
                            <a:ext cx="635" cy="323850"/>
                          </a:xfrm>
                          <a:prstGeom prst="straightConnector1">
                            <a:avLst/>
                          </a:prstGeom>
                          <a:noFill/>
                          <a:ln w="9525">
                            <a:solidFill>
                              <a:srgbClr val="000000"/>
                            </a:solidFill>
                            <a:round/>
                            <a:tailEnd type="triangle" w="med" len="med"/>
                          </a:ln>
                        </wps:spPr>
                        <wps:bodyPr/>
                      </wps:wsp>
                      <wps:wsp>
                        <wps:cNvPr id="261" name="AutoShape 43"/>
                        <wps:cNvCnPr>
                          <a:cxnSpLocks noChangeShapeType="1"/>
                          <a:stCxn id="2461" idx="2"/>
                          <a:endCxn id="2463" idx="0"/>
                        </wps:cNvCnPr>
                        <wps:spPr bwMode="auto">
                          <a:xfrm>
                            <a:off x="1666875" y="5127841"/>
                            <a:ext cx="635" cy="299085"/>
                          </a:xfrm>
                          <a:prstGeom prst="straightConnector1">
                            <a:avLst/>
                          </a:prstGeom>
                          <a:noFill/>
                          <a:ln w="9525">
                            <a:solidFill>
                              <a:srgbClr val="000000"/>
                            </a:solidFill>
                            <a:round/>
                            <a:tailEnd type="triangle" w="med" len="med"/>
                          </a:ln>
                        </wps:spPr>
                        <wps:bodyPr/>
                      </wps:wsp>
                      <wps:wsp>
                        <wps:cNvPr id="262" name="AutoShape 44"/>
                        <wps:cNvCnPr>
                          <a:cxnSpLocks noChangeShapeType="1"/>
                          <a:stCxn id="2463" idx="2"/>
                          <a:endCxn id="2462" idx="0"/>
                        </wps:cNvCnPr>
                        <wps:spPr bwMode="auto">
                          <a:xfrm flipH="1">
                            <a:off x="1661795" y="5735536"/>
                            <a:ext cx="5080" cy="314325"/>
                          </a:xfrm>
                          <a:prstGeom prst="straightConnector1">
                            <a:avLst/>
                          </a:prstGeom>
                          <a:noFill/>
                          <a:ln>
                            <a:noFill/>
                          </a:ln>
                        </wps:spPr>
                        <wps:bodyPr/>
                      </wps:wsp>
                      <wps:wsp>
                        <wps:cNvPr id="263" name="AutoShape 46"/>
                        <wps:cNvCnPr>
                          <a:cxnSpLocks noChangeShapeType="1"/>
                          <a:stCxn id="2463" idx="2"/>
                          <a:endCxn id="2462" idx="0"/>
                        </wps:cNvCnPr>
                        <wps:spPr bwMode="auto">
                          <a:xfrm flipH="1">
                            <a:off x="1661795" y="5735536"/>
                            <a:ext cx="5080" cy="314325"/>
                          </a:xfrm>
                          <a:prstGeom prst="straightConnector1">
                            <a:avLst/>
                          </a:prstGeom>
                          <a:noFill/>
                          <a:ln w="9525">
                            <a:solidFill>
                              <a:srgbClr val="000000"/>
                            </a:solidFill>
                            <a:round/>
                            <a:tailEnd type="triangle" w="med" len="med"/>
                          </a:ln>
                        </wps:spPr>
                        <wps:bodyPr/>
                      </wps:wsp>
                      <wps:wsp>
                        <wps:cNvPr id="264" name="AutoShape 47"/>
                        <wps:cNvCnPr>
                          <a:cxnSpLocks noChangeShapeType="1"/>
                          <a:stCxn id="2464" idx="2"/>
                          <a:endCxn id="2465" idx="0"/>
                        </wps:cNvCnPr>
                        <wps:spPr bwMode="auto">
                          <a:xfrm rot="5400000" flipH="1" flipV="1">
                            <a:off x="231140" y="3118066"/>
                            <a:ext cx="5348605" cy="2477135"/>
                          </a:xfrm>
                          <a:prstGeom prst="bentConnector5">
                            <a:avLst>
                              <a:gd name="adj1" fmla="val -4264"/>
                              <a:gd name="adj2" fmla="val 50014"/>
                              <a:gd name="adj3" fmla="val 104273"/>
                            </a:avLst>
                          </a:prstGeom>
                          <a:noFill/>
                          <a:ln w="9525">
                            <a:solidFill>
                              <a:srgbClr val="000000"/>
                            </a:solidFill>
                            <a:miter lim="800000"/>
                            <a:tailEnd type="triangle" w="med" len="med"/>
                          </a:ln>
                        </wps:spPr>
                        <wps:bodyPr/>
                      </wps:wsp>
                      <wps:wsp>
                        <wps:cNvPr id="265" name="AutoShape 49"/>
                        <wps:cNvCnPr>
                          <a:cxnSpLocks noChangeShapeType="1"/>
                          <a:stCxn id="2465" idx="2"/>
                          <a:endCxn id="2467" idx="0"/>
                        </wps:cNvCnPr>
                        <wps:spPr bwMode="auto">
                          <a:xfrm>
                            <a:off x="4144010" y="1990941"/>
                            <a:ext cx="635" cy="317500"/>
                          </a:xfrm>
                          <a:prstGeom prst="straightConnector1">
                            <a:avLst/>
                          </a:prstGeom>
                          <a:noFill/>
                          <a:ln w="9525">
                            <a:solidFill>
                              <a:srgbClr val="000000"/>
                            </a:solidFill>
                            <a:round/>
                            <a:tailEnd type="triangle" w="med" len="med"/>
                          </a:ln>
                        </wps:spPr>
                        <wps:bodyPr/>
                      </wps:wsp>
                      <wps:wsp>
                        <wps:cNvPr id="266" name="AutoShape 50"/>
                        <wps:cNvCnPr>
                          <a:cxnSpLocks noChangeShapeType="1"/>
                          <a:stCxn id="2467" idx="2"/>
                          <a:endCxn id="2466" idx="0"/>
                        </wps:cNvCnPr>
                        <wps:spPr bwMode="auto">
                          <a:xfrm flipH="1">
                            <a:off x="4142740" y="2617051"/>
                            <a:ext cx="1270" cy="319405"/>
                          </a:xfrm>
                          <a:prstGeom prst="straightConnector1">
                            <a:avLst/>
                          </a:prstGeom>
                          <a:noFill/>
                          <a:ln w="9525">
                            <a:solidFill>
                              <a:srgbClr val="000000"/>
                            </a:solidFill>
                            <a:round/>
                            <a:tailEnd type="triangle" w="med" len="med"/>
                          </a:ln>
                        </wps:spPr>
                        <wps:bodyPr/>
                      </wps:wsp>
                      <wps:wsp>
                        <wps:cNvPr id="267" name="AutoShape 51"/>
                        <wps:cNvCnPr>
                          <a:cxnSpLocks noChangeShapeType="1"/>
                          <a:stCxn id="2466" idx="2"/>
                          <a:endCxn id="2468" idx="0"/>
                        </wps:cNvCnPr>
                        <wps:spPr bwMode="auto">
                          <a:xfrm>
                            <a:off x="4142740" y="3243796"/>
                            <a:ext cx="2540" cy="297180"/>
                          </a:xfrm>
                          <a:prstGeom prst="straightConnector1">
                            <a:avLst/>
                          </a:prstGeom>
                          <a:noFill/>
                          <a:ln w="9525">
                            <a:solidFill>
                              <a:srgbClr val="000000"/>
                            </a:solidFill>
                            <a:round/>
                            <a:tailEnd type="triangle" w="med" len="med"/>
                          </a:ln>
                        </wps:spPr>
                        <wps:bodyPr/>
                      </wps:wsp>
                      <wps:wsp>
                        <wps:cNvPr id="268" name="AutoShape 52"/>
                        <wps:cNvCnPr>
                          <a:cxnSpLocks noChangeShapeType="1"/>
                          <a:stCxn id="2468" idx="2"/>
                          <a:endCxn id="2469" idx="0"/>
                        </wps:cNvCnPr>
                        <wps:spPr bwMode="auto">
                          <a:xfrm>
                            <a:off x="4145280" y="3849586"/>
                            <a:ext cx="635" cy="311150"/>
                          </a:xfrm>
                          <a:prstGeom prst="straightConnector1">
                            <a:avLst/>
                          </a:prstGeom>
                          <a:noFill/>
                          <a:ln w="9525">
                            <a:solidFill>
                              <a:srgbClr val="000000"/>
                            </a:solidFill>
                            <a:round/>
                            <a:tailEnd type="triangle" w="med" len="med"/>
                          </a:ln>
                        </wps:spPr>
                        <wps:bodyPr/>
                      </wps:wsp>
                      <wps:wsp>
                        <wps:cNvPr id="269" name="AutoShape 54"/>
                        <wps:cNvCnPr>
                          <a:cxnSpLocks noChangeShapeType="1"/>
                          <a:stCxn id="2469" idx="2"/>
                          <a:endCxn id="2470" idx="0"/>
                        </wps:cNvCnPr>
                        <wps:spPr bwMode="auto">
                          <a:xfrm>
                            <a:off x="4145280" y="4469346"/>
                            <a:ext cx="4445" cy="353695"/>
                          </a:xfrm>
                          <a:prstGeom prst="straightConnector1">
                            <a:avLst/>
                          </a:prstGeom>
                          <a:noFill/>
                          <a:ln w="9525">
                            <a:solidFill>
                              <a:srgbClr val="000000"/>
                            </a:solidFill>
                            <a:round/>
                            <a:tailEnd type="triangle" w="med" len="med"/>
                          </a:ln>
                        </wps:spPr>
                        <wps:bodyPr/>
                      </wps:wsp>
                      <wps:wsp>
                        <wps:cNvPr id="270" name="AutoShape 55"/>
                        <wps:cNvCnPr>
                          <a:cxnSpLocks noChangeShapeType="1"/>
                          <a:stCxn id="2470" idx="2"/>
                          <a:endCxn id="2471" idx="0"/>
                        </wps:cNvCnPr>
                        <wps:spPr bwMode="auto">
                          <a:xfrm flipH="1">
                            <a:off x="4145915" y="5131651"/>
                            <a:ext cx="3810" cy="327025"/>
                          </a:xfrm>
                          <a:prstGeom prst="straightConnector1">
                            <a:avLst/>
                          </a:prstGeom>
                          <a:noFill/>
                          <a:ln w="9525">
                            <a:solidFill>
                              <a:srgbClr val="000000"/>
                            </a:solidFill>
                            <a:round/>
                            <a:tailEnd type="triangle" w="med" len="med"/>
                          </a:ln>
                        </wps:spPr>
                        <wps:bodyPr/>
                      </wps:wsp>
                      <wps:wsp>
                        <wps:cNvPr id="271" name="AutoShape 56"/>
                        <wps:cNvCnPr>
                          <a:cxnSpLocks noChangeShapeType="1"/>
                          <a:stCxn id="2471" idx="2"/>
                          <a:endCxn id="2472" idx="0"/>
                        </wps:cNvCnPr>
                        <wps:spPr bwMode="auto">
                          <a:xfrm>
                            <a:off x="4145915" y="5766016"/>
                            <a:ext cx="635" cy="312420"/>
                          </a:xfrm>
                          <a:prstGeom prst="straightConnector1">
                            <a:avLst/>
                          </a:prstGeom>
                          <a:noFill/>
                          <a:ln w="9525">
                            <a:solidFill>
                              <a:srgbClr val="000000"/>
                            </a:solidFill>
                            <a:round/>
                            <a:tailEnd type="triangle" w="med" len="med"/>
                          </a:ln>
                        </wps:spPr>
                        <wps:bodyPr/>
                      </wps:wsp>
                      <wps:wsp>
                        <wps:cNvPr id="272" name="AutoShape 57"/>
                        <wps:cNvCnPr>
                          <a:cxnSpLocks noChangeShapeType="1"/>
                          <a:stCxn id="2472" idx="2"/>
                          <a:endCxn id="2473" idx="0"/>
                        </wps:cNvCnPr>
                        <wps:spPr bwMode="auto">
                          <a:xfrm>
                            <a:off x="4146550" y="6387046"/>
                            <a:ext cx="635" cy="300990"/>
                          </a:xfrm>
                          <a:prstGeom prst="straightConnector1">
                            <a:avLst/>
                          </a:prstGeom>
                          <a:noFill/>
                          <a:ln w="9525">
                            <a:solidFill>
                              <a:srgbClr val="000000"/>
                            </a:solidFill>
                            <a:round/>
                            <a:tailEnd type="triangle" w="med" len="med"/>
                          </a:ln>
                        </wps:spPr>
                        <wps:bodyPr/>
                      </wps:wsp>
                      <wps:wsp>
                        <wps:cNvPr id="273" name="AutoShape 58"/>
                        <wps:cNvCnPr>
                          <a:cxnSpLocks noChangeShapeType="1"/>
                          <a:stCxn id="2473" idx="2"/>
                        </wps:cNvCnPr>
                        <wps:spPr bwMode="auto">
                          <a:xfrm>
                            <a:off x="4146550" y="6996646"/>
                            <a:ext cx="635" cy="215900"/>
                          </a:xfrm>
                          <a:prstGeom prst="straightConnector1">
                            <a:avLst/>
                          </a:prstGeom>
                          <a:noFill/>
                          <a:ln>
                            <a:noFill/>
                          </a:ln>
                        </wps:spPr>
                        <wps:bodyPr/>
                      </wps:wsp>
                      <wps:wsp>
                        <wps:cNvPr id="274" name="AutoShape 59"/>
                        <wps:cNvCnPr>
                          <a:cxnSpLocks noChangeShapeType="1"/>
                          <a:stCxn id="2473" idx="2"/>
                        </wps:cNvCnPr>
                        <wps:spPr bwMode="auto">
                          <a:xfrm>
                            <a:off x="4146550" y="6996646"/>
                            <a:ext cx="635" cy="213360"/>
                          </a:xfrm>
                          <a:prstGeom prst="straightConnector1">
                            <a:avLst/>
                          </a:prstGeom>
                          <a:noFill/>
                          <a:ln w="9525">
                            <a:solidFill>
                              <a:srgbClr val="000000"/>
                            </a:solidFill>
                            <a:round/>
                            <a:tailEnd type="triangle" w="med" len="med"/>
                          </a:ln>
                        </wps:spPr>
                        <wps:bodyPr/>
                      </wps:wsp>
                      <wps:wsp>
                        <wps:cNvPr id="275" name="Rectangle 33"/>
                        <wps:cNvSpPr>
                          <a:spLocks noChangeArrowheads="1"/>
                        </wps:cNvSpPr>
                        <wps:spPr bwMode="auto">
                          <a:xfrm>
                            <a:off x="3404235" y="7246201"/>
                            <a:ext cx="1478915" cy="308610"/>
                          </a:xfrm>
                          <a:prstGeom prst="rect">
                            <a:avLst/>
                          </a:prstGeom>
                          <a:noFill/>
                          <a:ln>
                            <a:noFill/>
                          </a:ln>
                          <a:effectLst/>
                        </wps:spPr>
                        <wps:txbx>
                          <w:txbxContent>
                            <w:p>
                              <w:pPr>
                                <w:jc w:val="center"/>
                                <w:rPr>
                                  <w:sz w:val="24"/>
                                </w:rPr>
                              </w:pPr>
                              <w:r>
                                <w:rPr>
                                  <w:sz w:val="24"/>
                                </w:rPr>
                                <w:t>包装</w:t>
                              </w:r>
                            </w:p>
                          </w:txbxContent>
                        </wps:txbx>
                        <wps:bodyPr rot="0" vert="horz" wrap="square" lIns="91440" tIns="45720" rIns="91440" bIns="45720" anchor="t" anchorCtr="0" upright="1">
                          <a:noAutofit/>
                        </wps:bodyPr>
                      </wps:wsp>
                      <wps:wsp>
                        <wps:cNvPr id="276" name="Rectangle 60"/>
                        <wps:cNvSpPr>
                          <a:spLocks noChangeArrowheads="1"/>
                        </wps:cNvSpPr>
                        <wps:spPr bwMode="auto">
                          <a:xfrm>
                            <a:off x="201930" y="1076541"/>
                            <a:ext cx="729615" cy="307975"/>
                          </a:xfrm>
                          <a:prstGeom prst="rect">
                            <a:avLst/>
                          </a:prstGeom>
                          <a:noFill/>
                          <a:ln>
                            <a:noFill/>
                          </a:ln>
                          <a:effectLst/>
                        </wps:spPr>
                        <wps:txbx>
                          <w:txbxContent>
                            <w:p>
                              <w:pPr>
                                <w:jc w:val="center"/>
                                <w:rPr>
                                  <w:sz w:val="18"/>
                                </w:rPr>
                              </w:pPr>
                              <w:r>
                                <w:rPr>
                                  <w:sz w:val="18"/>
                                </w:rPr>
                                <w:t>噪声、边角料、废机油</w:t>
                              </w:r>
                            </w:p>
                          </w:txbxContent>
                        </wps:txbx>
                        <wps:bodyPr rot="0" vert="horz" wrap="square" lIns="0" tIns="0" rIns="0" bIns="0" anchor="t" anchorCtr="0" upright="1">
                          <a:noAutofit/>
                        </wps:bodyPr>
                      </wps:wsp>
                      <wps:wsp>
                        <wps:cNvPr id="277" name="AutoShape 61"/>
                        <wps:cNvCnPr>
                          <a:cxnSpLocks noChangeShapeType="1"/>
                          <a:stCxn id="2454" idx="1"/>
                          <a:endCxn id="2496" idx="3"/>
                        </wps:cNvCnPr>
                        <wps:spPr bwMode="auto">
                          <a:xfrm flipH="1">
                            <a:off x="931545" y="1230846"/>
                            <a:ext cx="208915" cy="635"/>
                          </a:xfrm>
                          <a:prstGeom prst="straightConnector1">
                            <a:avLst/>
                          </a:prstGeom>
                          <a:noFill/>
                          <a:ln w="9525">
                            <a:solidFill>
                              <a:srgbClr val="000000"/>
                            </a:solidFill>
                            <a:prstDash val="dash"/>
                            <a:round/>
                            <a:tailEnd type="triangle" w="med" len="med"/>
                          </a:ln>
                        </wps:spPr>
                        <wps:bodyPr/>
                      </wps:wsp>
                      <wps:wsp>
                        <wps:cNvPr id="278" name="Rectangle 62"/>
                        <wps:cNvSpPr>
                          <a:spLocks noChangeArrowheads="1"/>
                        </wps:cNvSpPr>
                        <wps:spPr bwMode="auto">
                          <a:xfrm>
                            <a:off x="333375" y="1731226"/>
                            <a:ext cx="584200" cy="149860"/>
                          </a:xfrm>
                          <a:prstGeom prst="rect">
                            <a:avLst/>
                          </a:prstGeom>
                          <a:noFill/>
                          <a:ln>
                            <a:noFill/>
                          </a:ln>
                          <a:effectLst/>
                        </wps:spPr>
                        <wps:txbx>
                          <w:txbxContent>
                            <w:p>
                              <w:pPr>
                                <w:jc w:val="center"/>
                                <w:rPr>
                                  <w:sz w:val="18"/>
                                </w:rPr>
                              </w:pPr>
                              <w:r>
                                <w:rPr>
                                  <w:sz w:val="18"/>
                                </w:rPr>
                                <w:t>含油废水</w:t>
                              </w:r>
                            </w:p>
                          </w:txbxContent>
                        </wps:txbx>
                        <wps:bodyPr rot="0" vert="horz" wrap="square" lIns="0" tIns="0" rIns="0" bIns="0" anchor="t" anchorCtr="0" upright="1">
                          <a:noAutofit/>
                        </wps:bodyPr>
                      </wps:wsp>
                      <wps:wsp>
                        <wps:cNvPr id="279" name="AutoShape 63"/>
                        <wps:cNvCnPr>
                          <a:cxnSpLocks noChangeShapeType="1"/>
                        </wps:cNvCnPr>
                        <wps:spPr bwMode="auto">
                          <a:xfrm flipH="1" flipV="1">
                            <a:off x="917575" y="1806156"/>
                            <a:ext cx="208915" cy="3810"/>
                          </a:xfrm>
                          <a:prstGeom prst="straightConnector1">
                            <a:avLst/>
                          </a:prstGeom>
                          <a:noFill/>
                          <a:ln w="9525">
                            <a:solidFill>
                              <a:srgbClr val="000000"/>
                            </a:solidFill>
                            <a:prstDash val="dash"/>
                            <a:round/>
                            <a:tailEnd type="triangle" w="med" len="med"/>
                          </a:ln>
                        </wps:spPr>
                        <wps:bodyPr/>
                      </wps:wsp>
                      <wps:wsp>
                        <wps:cNvPr id="280" name="Rectangle 64"/>
                        <wps:cNvSpPr>
                          <a:spLocks noChangeArrowheads="1"/>
                        </wps:cNvSpPr>
                        <wps:spPr bwMode="auto">
                          <a:xfrm>
                            <a:off x="165735" y="2382736"/>
                            <a:ext cx="722630" cy="149860"/>
                          </a:xfrm>
                          <a:prstGeom prst="rect">
                            <a:avLst/>
                          </a:prstGeom>
                          <a:noFill/>
                          <a:ln>
                            <a:noFill/>
                          </a:ln>
                          <a:effectLst/>
                        </wps:spPr>
                        <wps:txbx>
                          <w:txbxContent>
                            <w:p>
                              <w:pPr>
                                <w:jc w:val="center"/>
                                <w:rPr>
                                  <w:sz w:val="18"/>
                                </w:rPr>
                              </w:pPr>
                              <w:r>
                                <w:rPr>
                                  <w:sz w:val="18"/>
                                </w:rPr>
                                <w:t>含油废水</w:t>
                              </w:r>
                            </w:p>
                          </w:txbxContent>
                        </wps:txbx>
                        <wps:bodyPr rot="0" vert="horz" wrap="square" lIns="0" tIns="0" rIns="0" bIns="0" anchor="t" anchorCtr="0" upright="1">
                          <a:noAutofit/>
                        </wps:bodyPr>
                      </wps:wsp>
                      <wps:wsp>
                        <wps:cNvPr id="281" name="AutoShape 65"/>
                        <wps:cNvCnPr>
                          <a:cxnSpLocks noChangeShapeType="1"/>
                        </wps:cNvCnPr>
                        <wps:spPr bwMode="auto">
                          <a:xfrm flipH="1" flipV="1">
                            <a:off x="888365" y="2457666"/>
                            <a:ext cx="208915" cy="3810"/>
                          </a:xfrm>
                          <a:prstGeom prst="straightConnector1">
                            <a:avLst/>
                          </a:prstGeom>
                          <a:noFill/>
                          <a:ln w="9525">
                            <a:solidFill>
                              <a:srgbClr val="000000"/>
                            </a:solidFill>
                            <a:prstDash val="dash"/>
                            <a:round/>
                            <a:tailEnd type="triangle" w="med" len="med"/>
                          </a:ln>
                        </wps:spPr>
                        <wps:bodyPr/>
                      </wps:wsp>
                      <wps:wsp>
                        <wps:cNvPr id="282" name="Rectangle 66"/>
                        <wps:cNvSpPr>
                          <a:spLocks noChangeArrowheads="1"/>
                        </wps:cNvSpPr>
                        <wps:spPr bwMode="auto">
                          <a:xfrm>
                            <a:off x="2454275" y="1668361"/>
                            <a:ext cx="363220" cy="334645"/>
                          </a:xfrm>
                          <a:prstGeom prst="rect">
                            <a:avLst/>
                          </a:prstGeom>
                          <a:noFill/>
                          <a:ln>
                            <a:noFill/>
                          </a:ln>
                          <a:effectLst/>
                        </wps:spPr>
                        <wps:txbx>
                          <w:txbxContent>
                            <w:p>
                              <w:pPr>
                                <w:jc w:val="center"/>
                                <w:rPr>
                                  <w:sz w:val="18"/>
                                </w:rPr>
                              </w:pPr>
                              <w:r>
                                <w:rPr>
                                  <w:sz w:val="18"/>
                                </w:rPr>
                                <w:t>碱性脱脂剂</w:t>
                              </w:r>
                            </w:p>
                          </w:txbxContent>
                        </wps:txbx>
                        <wps:bodyPr rot="0" vert="horz" wrap="square" lIns="0" tIns="0" rIns="0" bIns="0" anchor="t" anchorCtr="0" upright="1">
                          <a:noAutofit/>
                        </wps:bodyPr>
                      </wps:wsp>
                      <wps:wsp>
                        <wps:cNvPr id="283" name="AutoShape 67"/>
                        <wps:cNvCnPr>
                          <a:cxnSpLocks noChangeShapeType="1"/>
                          <a:stCxn id="2502" idx="1"/>
                          <a:endCxn id="2455" idx="3"/>
                        </wps:cNvCnPr>
                        <wps:spPr bwMode="auto">
                          <a:xfrm flipH="1">
                            <a:off x="2193290" y="1836001"/>
                            <a:ext cx="260985" cy="635"/>
                          </a:xfrm>
                          <a:prstGeom prst="straightConnector1">
                            <a:avLst/>
                          </a:prstGeom>
                          <a:noFill/>
                          <a:ln w="9525">
                            <a:solidFill>
                              <a:srgbClr val="000000"/>
                            </a:solidFill>
                            <a:round/>
                            <a:tailEnd type="triangle" w="med" len="med"/>
                          </a:ln>
                        </wps:spPr>
                        <wps:bodyPr/>
                      </wps:wsp>
                      <wps:wsp>
                        <wps:cNvPr id="284" name="Rectangle 68"/>
                        <wps:cNvSpPr>
                          <a:spLocks noChangeArrowheads="1"/>
                        </wps:cNvSpPr>
                        <wps:spPr bwMode="auto">
                          <a:xfrm>
                            <a:off x="2454275" y="2912326"/>
                            <a:ext cx="469265" cy="334645"/>
                          </a:xfrm>
                          <a:prstGeom prst="rect">
                            <a:avLst/>
                          </a:prstGeom>
                          <a:noFill/>
                          <a:ln>
                            <a:noFill/>
                          </a:ln>
                          <a:effectLst/>
                        </wps:spPr>
                        <wps:txbx>
                          <w:txbxContent>
                            <w:p>
                              <w:pPr>
                                <w:jc w:val="center"/>
                                <w:rPr>
                                  <w:sz w:val="18"/>
                                </w:rPr>
                              </w:pPr>
                              <w:r>
                                <w:rPr>
                                  <w:rFonts w:hint="eastAsia"/>
                                  <w:sz w:val="18"/>
                                </w:rPr>
                                <w:t>5%~8%</w:t>
                              </w:r>
                            </w:p>
                            <w:p>
                              <w:pPr>
                                <w:jc w:val="center"/>
                                <w:rPr>
                                  <w:sz w:val="18"/>
                                </w:rPr>
                              </w:pPr>
                              <w:r>
                                <w:rPr>
                                  <w:rFonts w:hint="eastAsia"/>
                                  <w:sz w:val="18"/>
                                </w:rPr>
                                <w:t>盐酸</w:t>
                              </w:r>
                            </w:p>
                          </w:txbxContent>
                        </wps:txbx>
                        <wps:bodyPr rot="0" vert="horz" wrap="square" lIns="0" tIns="0" rIns="0" bIns="0" anchor="t" anchorCtr="0" upright="1">
                          <a:noAutofit/>
                        </wps:bodyPr>
                      </wps:wsp>
                      <wps:wsp>
                        <wps:cNvPr id="285" name="AutoShape 69"/>
                        <wps:cNvCnPr>
                          <a:cxnSpLocks noChangeShapeType="1"/>
                          <a:stCxn id="2504" idx="1"/>
                        </wps:cNvCnPr>
                        <wps:spPr bwMode="auto">
                          <a:xfrm flipH="1">
                            <a:off x="2193290" y="3079966"/>
                            <a:ext cx="260985" cy="635"/>
                          </a:xfrm>
                          <a:prstGeom prst="straightConnector1">
                            <a:avLst/>
                          </a:prstGeom>
                          <a:noFill/>
                          <a:ln w="9525">
                            <a:solidFill>
                              <a:srgbClr val="000000"/>
                            </a:solidFill>
                            <a:round/>
                            <a:tailEnd type="triangle" w="med" len="med"/>
                          </a:ln>
                        </wps:spPr>
                        <wps:bodyPr/>
                      </wps:wsp>
                      <wps:wsp>
                        <wps:cNvPr id="286" name="Rectangle 70"/>
                        <wps:cNvSpPr>
                          <a:spLocks noChangeArrowheads="1"/>
                        </wps:cNvSpPr>
                        <wps:spPr bwMode="auto">
                          <a:xfrm>
                            <a:off x="298450" y="2921216"/>
                            <a:ext cx="722630" cy="311150"/>
                          </a:xfrm>
                          <a:prstGeom prst="rect">
                            <a:avLst/>
                          </a:prstGeom>
                          <a:noFill/>
                          <a:ln>
                            <a:noFill/>
                          </a:ln>
                          <a:effectLst/>
                        </wps:spPr>
                        <wps:txbx>
                          <w:txbxContent>
                            <w:p>
                              <w:pPr>
                                <w:jc w:val="center"/>
                                <w:rPr>
                                  <w:sz w:val="18"/>
                                </w:rPr>
                              </w:pPr>
                              <w:r>
                                <w:rPr>
                                  <w:sz w:val="18"/>
                                </w:rPr>
                                <w:t>盐酸雾</w:t>
                              </w:r>
                            </w:p>
                            <w:p>
                              <w:pPr>
                                <w:jc w:val="center"/>
                                <w:rPr>
                                  <w:sz w:val="18"/>
                                </w:rPr>
                              </w:pPr>
                              <w:r>
                                <w:rPr>
                                  <w:rFonts w:hint="eastAsia"/>
                                  <w:sz w:val="18"/>
                                </w:rPr>
                                <w:t>酸性废水</w:t>
                              </w:r>
                            </w:p>
                          </w:txbxContent>
                        </wps:txbx>
                        <wps:bodyPr rot="0" vert="horz" wrap="square" lIns="0" tIns="0" rIns="0" bIns="0" anchor="t" anchorCtr="0" upright="1">
                          <a:noAutofit/>
                        </wps:bodyPr>
                      </wps:wsp>
                      <wps:wsp>
                        <wps:cNvPr id="287" name="AutoShape 71"/>
                        <wps:cNvCnPr>
                          <a:cxnSpLocks noChangeShapeType="1"/>
                        </wps:cNvCnPr>
                        <wps:spPr bwMode="auto">
                          <a:xfrm flipH="1" flipV="1">
                            <a:off x="912495" y="3080601"/>
                            <a:ext cx="208915" cy="3810"/>
                          </a:xfrm>
                          <a:prstGeom prst="straightConnector1">
                            <a:avLst/>
                          </a:prstGeom>
                          <a:noFill/>
                          <a:ln w="9525">
                            <a:solidFill>
                              <a:srgbClr val="000000"/>
                            </a:solidFill>
                            <a:prstDash val="dash"/>
                            <a:round/>
                            <a:tailEnd type="triangle" w="med" len="med"/>
                          </a:ln>
                        </wps:spPr>
                        <wps:bodyPr/>
                      </wps:wsp>
                      <wps:wsp>
                        <wps:cNvPr id="288" name="Rectangle 72"/>
                        <wps:cNvSpPr>
                          <a:spLocks noChangeArrowheads="1"/>
                        </wps:cNvSpPr>
                        <wps:spPr bwMode="auto">
                          <a:xfrm>
                            <a:off x="83185" y="3630511"/>
                            <a:ext cx="639445" cy="149860"/>
                          </a:xfrm>
                          <a:prstGeom prst="rect">
                            <a:avLst/>
                          </a:prstGeom>
                          <a:noFill/>
                          <a:ln>
                            <a:noFill/>
                          </a:ln>
                          <a:effectLst/>
                        </wps:spPr>
                        <wps:txbx>
                          <w:txbxContent>
                            <w:p>
                              <w:pPr>
                                <w:jc w:val="center"/>
                                <w:rPr>
                                  <w:sz w:val="18"/>
                                </w:rPr>
                              </w:pPr>
                              <w:r>
                                <w:rPr>
                                  <w:rFonts w:hint="eastAsia"/>
                                  <w:sz w:val="18"/>
                                </w:rPr>
                                <w:t xml:space="preserve">  酸性</w:t>
                              </w:r>
                              <w:r>
                                <w:rPr>
                                  <w:sz w:val="18"/>
                                </w:rPr>
                                <w:t>废水</w:t>
                              </w:r>
                            </w:p>
                          </w:txbxContent>
                        </wps:txbx>
                        <wps:bodyPr rot="0" vert="horz" wrap="square" lIns="0" tIns="0" rIns="0" bIns="0" anchor="t" anchorCtr="0" upright="1">
                          <a:noAutofit/>
                        </wps:bodyPr>
                      </wps:wsp>
                      <wps:wsp>
                        <wps:cNvPr id="289" name="AutoShape 73"/>
                        <wps:cNvCnPr>
                          <a:cxnSpLocks noChangeShapeType="1"/>
                        </wps:cNvCnPr>
                        <wps:spPr bwMode="auto">
                          <a:xfrm flipH="1" flipV="1">
                            <a:off x="708660" y="3705441"/>
                            <a:ext cx="208915" cy="3810"/>
                          </a:xfrm>
                          <a:prstGeom prst="straightConnector1">
                            <a:avLst/>
                          </a:prstGeom>
                          <a:noFill/>
                          <a:ln w="9525">
                            <a:solidFill>
                              <a:srgbClr val="000000"/>
                            </a:solidFill>
                            <a:prstDash val="dash"/>
                            <a:round/>
                            <a:tailEnd type="triangle" w="med" len="med"/>
                          </a:ln>
                        </wps:spPr>
                        <wps:bodyPr/>
                      </wps:wsp>
                      <wps:wsp>
                        <wps:cNvPr id="290" name="AutoShape 75"/>
                        <wps:cNvCnPr>
                          <a:cxnSpLocks noChangeShapeType="1"/>
                          <a:stCxn id="2462" idx="2"/>
                          <a:endCxn id="2464" idx="0"/>
                        </wps:cNvCnPr>
                        <wps:spPr bwMode="auto">
                          <a:xfrm>
                            <a:off x="1661795" y="6357201"/>
                            <a:ext cx="5080" cy="365760"/>
                          </a:xfrm>
                          <a:prstGeom prst="straightConnector1">
                            <a:avLst/>
                          </a:prstGeom>
                          <a:noFill/>
                          <a:ln w="9525">
                            <a:solidFill>
                              <a:srgbClr val="000000"/>
                            </a:solidFill>
                            <a:round/>
                            <a:tailEnd type="triangle" w="med" len="med"/>
                          </a:ln>
                        </wps:spPr>
                        <wps:bodyPr/>
                      </wps:wsp>
                      <wps:wsp>
                        <wps:cNvPr id="291" name="AutoShape 76"/>
                        <wps:cNvCnPr>
                          <a:cxnSpLocks noChangeShapeType="1"/>
                        </wps:cNvCnPr>
                        <wps:spPr bwMode="auto">
                          <a:xfrm flipH="1">
                            <a:off x="2193290" y="4327741"/>
                            <a:ext cx="260985" cy="635"/>
                          </a:xfrm>
                          <a:prstGeom prst="straightConnector1">
                            <a:avLst/>
                          </a:prstGeom>
                          <a:noFill/>
                          <a:ln w="9525">
                            <a:solidFill>
                              <a:srgbClr val="000000"/>
                            </a:solidFill>
                            <a:round/>
                            <a:tailEnd type="triangle" w="med" len="med"/>
                          </a:ln>
                        </wps:spPr>
                        <wps:bodyPr/>
                      </wps:wsp>
                      <wps:wsp>
                        <wps:cNvPr id="292" name="AutoShape 78"/>
                        <wps:cNvCnPr>
                          <a:cxnSpLocks noChangeShapeType="1"/>
                        </wps:cNvCnPr>
                        <wps:spPr bwMode="auto">
                          <a:xfrm flipH="1" flipV="1">
                            <a:off x="912495" y="4328376"/>
                            <a:ext cx="208915" cy="3810"/>
                          </a:xfrm>
                          <a:prstGeom prst="straightConnector1">
                            <a:avLst/>
                          </a:prstGeom>
                          <a:noFill/>
                          <a:ln w="9525">
                            <a:solidFill>
                              <a:srgbClr val="000000"/>
                            </a:solidFill>
                            <a:prstDash val="dash"/>
                            <a:round/>
                            <a:tailEnd type="triangle" w="med" len="med"/>
                          </a:ln>
                        </wps:spPr>
                        <wps:bodyPr/>
                      </wps:wsp>
                      <wps:wsp>
                        <wps:cNvPr id="293" name="Rectangle 79"/>
                        <wps:cNvSpPr>
                          <a:spLocks noChangeArrowheads="1"/>
                        </wps:cNvSpPr>
                        <wps:spPr bwMode="auto">
                          <a:xfrm>
                            <a:off x="2406015" y="4141686"/>
                            <a:ext cx="469265" cy="334645"/>
                          </a:xfrm>
                          <a:prstGeom prst="rect">
                            <a:avLst/>
                          </a:prstGeom>
                          <a:noFill/>
                          <a:ln>
                            <a:noFill/>
                          </a:ln>
                          <a:effectLst/>
                        </wps:spPr>
                        <wps:txbx>
                          <w:txbxContent>
                            <w:p>
                              <w:pPr>
                                <w:jc w:val="center"/>
                                <w:rPr>
                                  <w:sz w:val="18"/>
                                </w:rPr>
                              </w:pPr>
                              <w:r>
                                <w:rPr>
                                  <w:rFonts w:hint="eastAsia"/>
                                  <w:sz w:val="18"/>
                                </w:rPr>
                                <w:t>3%~5%</w:t>
                              </w:r>
                            </w:p>
                            <w:p>
                              <w:pPr>
                                <w:jc w:val="center"/>
                                <w:rPr>
                                  <w:sz w:val="18"/>
                                </w:rPr>
                              </w:pPr>
                              <w:r>
                                <w:rPr>
                                  <w:rFonts w:hint="eastAsia"/>
                                  <w:sz w:val="18"/>
                                </w:rPr>
                                <w:t>硫酸</w:t>
                              </w:r>
                            </w:p>
                          </w:txbxContent>
                        </wps:txbx>
                        <wps:bodyPr rot="0" vert="horz" wrap="square" lIns="0" tIns="0" rIns="0" bIns="0" anchor="t" anchorCtr="0" upright="1">
                          <a:noAutofit/>
                        </wps:bodyPr>
                      </wps:wsp>
                      <wps:wsp>
                        <wps:cNvPr id="294" name="AutoShape 81"/>
                        <wps:cNvCnPr>
                          <a:cxnSpLocks noChangeShapeType="1"/>
                        </wps:cNvCnPr>
                        <wps:spPr bwMode="auto">
                          <a:xfrm flipH="1" flipV="1">
                            <a:off x="912495" y="4948771"/>
                            <a:ext cx="208915" cy="3810"/>
                          </a:xfrm>
                          <a:prstGeom prst="straightConnector1">
                            <a:avLst/>
                          </a:prstGeom>
                          <a:noFill/>
                          <a:ln w="9525">
                            <a:solidFill>
                              <a:srgbClr val="000000"/>
                            </a:solidFill>
                            <a:prstDash val="dash"/>
                            <a:round/>
                            <a:tailEnd type="triangle" w="med" len="med"/>
                          </a:ln>
                        </wps:spPr>
                        <wps:bodyPr/>
                      </wps:wsp>
                      <wps:wsp>
                        <wps:cNvPr id="295" name="Rectangle 82"/>
                        <wps:cNvSpPr>
                          <a:spLocks noChangeArrowheads="1"/>
                        </wps:cNvSpPr>
                        <wps:spPr bwMode="auto">
                          <a:xfrm>
                            <a:off x="201930" y="4886541"/>
                            <a:ext cx="722630" cy="149860"/>
                          </a:xfrm>
                          <a:prstGeom prst="rect">
                            <a:avLst/>
                          </a:prstGeom>
                          <a:noFill/>
                          <a:ln>
                            <a:noFill/>
                          </a:ln>
                          <a:effectLst/>
                        </wps:spPr>
                        <wps:txbx>
                          <w:txbxContent>
                            <w:p>
                              <w:pPr>
                                <w:jc w:val="center"/>
                                <w:rPr>
                                  <w:sz w:val="18"/>
                                </w:rPr>
                              </w:pPr>
                              <w:r>
                                <w:rPr>
                                  <w:sz w:val="18"/>
                                </w:rPr>
                                <w:t>酸性水洗废水</w:t>
                              </w:r>
                            </w:p>
                          </w:txbxContent>
                        </wps:txbx>
                        <wps:bodyPr rot="0" vert="horz" wrap="square" lIns="0" tIns="0" rIns="0" bIns="0" anchor="t" anchorCtr="0" upright="1">
                          <a:noAutofit/>
                        </wps:bodyPr>
                      </wps:wsp>
                      <wps:wsp>
                        <wps:cNvPr id="296" name="Rectangle 83"/>
                        <wps:cNvSpPr>
                          <a:spLocks noChangeArrowheads="1"/>
                        </wps:cNvSpPr>
                        <wps:spPr bwMode="auto">
                          <a:xfrm>
                            <a:off x="310515" y="4165181"/>
                            <a:ext cx="722630" cy="311150"/>
                          </a:xfrm>
                          <a:prstGeom prst="rect">
                            <a:avLst/>
                          </a:prstGeom>
                          <a:noFill/>
                          <a:ln>
                            <a:noFill/>
                          </a:ln>
                          <a:effectLst/>
                        </wps:spPr>
                        <wps:txbx>
                          <w:txbxContent>
                            <w:p>
                              <w:pPr>
                                <w:jc w:val="center"/>
                                <w:rPr>
                                  <w:sz w:val="18"/>
                                </w:rPr>
                              </w:pPr>
                              <w:r>
                                <w:rPr>
                                  <w:sz w:val="18"/>
                                </w:rPr>
                                <w:t>硫酸雾</w:t>
                              </w:r>
                            </w:p>
                            <w:p>
                              <w:pPr>
                                <w:jc w:val="center"/>
                                <w:rPr>
                                  <w:sz w:val="18"/>
                                </w:rPr>
                              </w:pPr>
                              <w:r>
                                <w:rPr>
                                  <w:rFonts w:hint="eastAsia"/>
                                  <w:sz w:val="18"/>
                                </w:rPr>
                                <w:t>酸性废水</w:t>
                              </w:r>
                            </w:p>
                          </w:txbxContent>
                        </wps:txbx>
                        <wps:bodyPr rot="0" vert="horz" wrap="square" lIns="0" tIns="0" rIns="0" bIns="0" anchor="t" anchorCtr="0" upright="1">
                          <a:noAutofit/>
                        </wps:bodyPr>
                      </wps:wsp>
                      <wps:wsp>
                        <wps:cNvPr id="297" name="AutoShape 84"/>
                        <wps:cNvCnPr>
                          <a:cxnSpLocks noChangeShapeType="1"/>
                        </wps:cNvCnPr>
                        <wps:spPr bwMode="auto">
                          <a:xfrm flipH="1" flipV="1">
                            <a:off x="924560" y="5574881"/>
                            <a:ext cx="208915" cy="3810"/>
                          </a:xfrm>
                          <a:prstGeom prst="straightConnector1">
                            <a:avLst/>
                          </a:prstGeom>
                          <a:noFill/>
                          <a:ln w="9525">
                            <a:solidFill>
                              <a:srgbClr val="000000"/>
                            </a:solidFill>
                            <a:prstDash val="dash"/>
                            <a:round/>
                            <a:tailEnd type="triangle" w="med" len="med"/>
                          </a:ln>
                        </wps:spPr>
                        <wps:bodyPr/>
                      </wps:wsp>
                      <wps:wsp>
                        <wps:cNvPr id="298" name="Rectangle 85"/>
                        <wps:cNvSpPr>
                          <a:spLocks noChangeArrowheads="1"/>
                        </wps:cNvSpPr>
                        <wps:spPr bwMode="auto">
                          <a:xfrm>
                            <a:off x="335915" y="5368290"/>
                            <a:ext cx="722630" cy="502285"/>
                          </a:xfrm>
                          <a:prstGeom prst="rect">
                            <a:avLst/>
                          </a:prstGeom>
                          <a:noFill/>
                          <a:ln>
                            <a:noFill/>
                          </a:ln>
                          <a:effectLst/>
                        </wps:spPr>
                        <wps:txbx>
                          <w:txbxContent>
                            <w:p>
                              <w:pPr>
                                <w:jc w:val="center"/>
                                <w:rPr>
                                  <w:sz w:val="18"/>
                                </w:rPr>
                              </w:pPr>
                              <w:r>
                                <w:rPr>
                                  <w:rFonts w:hint="eastAsia"/>
                                  <w:sz w:val="18"/>
                                </w:rPr>
                                <w:t>含镍</w:t>
                              </w:r>
                              <w:r>
                                <w:rPr>
                                  <w:rFonts w:hint="eastAsia"/>
                                  <w:color w:val="auto"/>
                                  <w:sz w:val="18"/>
                                  <w:lang w:eastAsia="zh-CN"/>
                                </w:rPr>
                                <w:t>槽</w:t>
                              </w:r>
                              <w:r>
                                <w:rPr>
                                  <w:rFonts w:hint="eastAsia"/>
                                  <w:color w:val="auto"/>
                                  <w:sz w:val="18"/>
                                </w:rPr>
                                <w:t>液</w:t>
                              </w:r>
                            </w:p>
                            <w:p>
                              <w:pPr>
                                <w:jc w:val="center"/>
                                <w:rPr>
                                  <w:sz w:val="18"/>
                                </w:rPr>
                              </w:pPr>
                              <w:r>
                                <w:rPr>
                                  <w:rFonts w:hint="eastAsia"/>
                                  <w:sz w:val="18"/>
                                </w:rPr>
                                <w:t>废滤芯</w:t>
                              </w:r>
                            </w:p>
                            <w:p>
                              <w:pPr>
                                <w:jc w:val="center"/>
                                <w:rPr>
                                  <w:sz w:val="18"/>
                                </w:rPr>
                              </w:pPr>
                              <w:r>
                                <w:rPr>
                                  <w:rFonts w:hint="eastAsia"/>
                                  <w:sz w:val="18"/>
                                </w:rPr>
                                <w:t>滤渣</w:t>
                              </w:r>
                            </w:p>
                          </w:txbxContent>
                        </wps:txbx>
                        <wps:bodyPr rot="0" vert="horz" wrap="square" lIns="0" tIns="0" rIns="0" bIns="0" anchor="t" anchorCtr="0" upright="1">
                          <a:noAutofit/>
                        </wps:bodyPr>
                      </wps:wsp>
                      <wps:wsp>
                        <wps:cNvPr id="299" name="AutoShape 86"/>
                        <wps:cNvCnPr>
                          <a:cxnSpLocks noChangeShapeType="1"/>
                        </wps:cNvCnPr>
                        <wps:spPr bwMode="auto">
                          <a:xfrm flipH="1">
                            <a:off x="2193290" y="5574246"/>
                            <a:ext cx="260985" cy="635"/>
                          </a:xfrm>
                          <a:prstGeom prst="straightConnector1">
                            <a:avLst/>
                          </a:prstGeom>
                          <a:noFill/>
                          <a:ln w="9525">
                            <a:solidFill>
                              <a:srgbClr val="000000"/>
                            </a:solidFill>
                            <a:round/>
                            <a:tailEnd type="triangle" w="med" len="med"/>
                          </a:ln>
                        </wps:spPr>
                        <wps:bodyPr/>
                      </wps:wsp>
                      <wps:wsp>
                        <wps:cNvPr id="300" name="Rectangle 87"/>
                        <wps:cNvSpPr>
                          <a:spLocks noChangeArrowheads="1"/>
                        </wps:cNvSpPr>
                        <wps:spPr bwMode="auto">
                          <a:xfrm>
                            <a:off x="2369820" y="5183086"/>
                            <a:ext cx="469265" cy="782320"/>
                          </a:xfrm>
                          <a:prstGeom prst="rect">
                            <a:avLst/>
                          </a:prstGeom>
                          <a:noFill/>
                          <a:ln>
                            <a:noFill/>
                          </a:ln>
                          <a:effectLst/>
                        </wps:spPr>
                        <wps:txbx>
                          <w:txbxContent>
                            <w:p>
                              <w:pPr>
                                <w:jc w:val="center"/>
                                <w:rPr>
                                  <w:sz w:val="18"/>
                                </w:rPr>
                              </w:pPr>
                              <w:r>
                                <w:rPr>
                                  <w:sz w:val="18"/>
                                </w:rPr>
                                <w:t>硫酸镍</w:t>
                              </w:r>
                            </w:p>
                            <w:p>
                              <w:pPr>
                                <w:jc w:val="center"/>
                                <w:rPr>
                                  <w:sz w:val="18"/>
                                </w:rPr>
                              </w:pPr>
                              <w:r>
                                <w:rPr>
                                  <w:sz w:val="18"/>
                                </w:rPr>
                                <w:t>氯化镍</w:t>
                              </w:r>
                            </w:p>
                            <w:p>
                              <w:pPr>
                                <w:jc w:val="center"/>
                                <w:rPr>
                                  <w:sz w:val="18"/>
                                </w:rPr>
                              </w:pPr>
                              <w:r>
                                <w:rPr>
                                  <w:sz w:val="18"/>
                                </w:rPr>
                                <w:t>硼酸</w:t>
                              </w:r>
                            </w:p>
                            <w:p>
                              <w:pPr>
                                <w:jc w:val="center"/>
                                <w:rPr>
                                  <w:sz w:val="18"/>
                                </w:rPr>
                              </w:pPr>
                              <w:r>
                                <w:rPr>
                                  <w:sz w:val="18"/>
                                </w:rPr>
                                <w:t>镍板</w:t>
                              </w:r>
                            </w:p>
                            <w:p>
                              <w:pPr>
                                <w:jc w:val="center"/>
                                <w:rPr>
                                  <w:sz w:val="18"/>
                                </w:rPr>
                              </w:pPr>
                              <w:r>
                                <w:rPr>
                                  <w:rFonts w:hint="eastAsia"/>
                                  <w:sz w:val="18"/>
                                </w:rPr>
                                <w:t>添加剂</w:t>
                              </w:r>
                            </w:p>
                          </w:txbxContent>
                        </wps:txbx>
                        <wps:bodyPr rot="0" vert="horz" wrap="square" lIns="0" tIns="0" rIns="0" bIns="0" anchor="t" anchorCtr="0" upright="1">
                          <a:noAutofit/>
                        </wps:bodyPr>
                      </wps:wsp>
                      <wps:wsp>
                        <wps:cNvPr id="301" name="Rectangle 88"/>
                        <wps:cNvSpPr>
                          <a:spLocks noChangeArrowheads="1"/>
                        </wps:cNvSpPr>
                        <wps:spPr bwMode="auto">
                          <a:xfrm>
                            <a:off x="12700" y="6110186"/>
                            <a:ext cx="722630" cy="149860"/>
                          </a:xfrm>
                          <a:prstGeom prst="rect">
                            <a:avLst/>
                          </a:prstGeom>
                          <a:noFill/>
                          <a:ln>
                            <a:noFill/>
                          </a:ln>
                          <a:effectLst/>
                        </wps:spPr>
                        <wps:txbx>
                          <w:txbxContent>
                            <w:p>
                              <w:pPr>
                                <w:jc w:val="center"/>
                                <w:rPr>
                                  <w:sz w:val="18"/>
                                </w:rPr>
                              </w:pPr>
                              <w:r>
                                <w:rPr>
                                  <w:rFonts w:hint="eastAsia"/>
                                  <w:sz w:val="18"/>
                                </w:rPr>
                                <w:t>含镍</w:t>
                              </w:r>
                              <w:r>
                                <w:rPr>
                                  <w:sz w:val="18"/>
                                </w:rPr>
                                <w:t>水洗废水</w:t>
                              </w:r>
                            </w:p>
                          </w:txbxContent>
                        </wps:txbx>
                        <wps:bodyPr rot="0" vert="horz" wrap="square" lIns="0" tIns="0" rIns="0" bIns="0" anchor="t" anchorCtr="0" upright="1">
                          <a:noAutofit/>
                        </wps:bodyPr>
                      </wps:wsp>
                      <wps:wsp>
                        <wps:cNvPr id="302" name="AutoShape 89"/>
                        <wps:cNvCnPr>
                          <a:cxnSpLocks noChangeShapeType="1"/>
                        </wps:cNvCnPr>
                        <wps:spPr bwMode="auto">
                          <a:xfrm flipH="1" flipV="1">
                            <a:off x="710565" y="6185116"/>
                            <a:ext cx="208915" cy="3810"/>
                          </a:xfrm>
                          <a:prstGeom prst="straightConnector1">
                            <a:avLst/>
                          </a:prstGeom>
                          <a:noFill/>
                          <a:ln w="9525">
                            <a:solidFill>
                              <a:srgbClr val="000000"/>
                            </a:solidFill>
                            <a:prstDash val="dash"/>
                            <a:round/>
                            <a:tailEnd type="triangle" w="med" len="med"/>
                          </a:ln>
                        </wps:spPr>
                        <wps:bodyPr/>
                      </wps:wsp>
                      <wps:wsp>
                        <wps:cNvPr id="303" name="AutoShape 90"/>
                        <wps:cNvCnPr>
                          <a:cxnSpLocks noChangeShapeType="1"/>
                        </wps:cNvCnPr>
                        <wps:spPr bwMode="auto">
                          <a:xfrm flipH="1">
                            <a:off x="2169160" y="6867741"/>
                            <a:ext cx="260985" cy="635"/>
                          </a:xfrm>
                          <a:prstGeom prst="straightConnector1">
                            <a:avLst/>
                          </a:prstGeom>
                          <a:noFill/>
                          <a:ln w="9525">
                            <a:solidFill>
                              <a:srgbClr val="000000"/>
                            </a:solidFill>
                            <a:round/>
                            <a:tailEnd type="triangle" w="med" len="med"/>
                          </a:ln>
                        </wps:spPr>
                        <wps:bodyPr/>
                      </wps:wsp>
                      <wps:wsp>
                        <wps:cNvPr id="304" name="AutoShape 91"/>
                        <wps:cNvCnPr>
                          <a:cxnSpLocks noChangeShapeType="1"/>
                        </wps:cNvCnPr>
                        <wps:spPr bwMode="auto">
                          <a:xfrm flipH="1" flipV="1">
                            <a:off x="912495" y="6868376"/>
                            <a:ext cx="208915" cy="3810"/>
                          </a:xfrm>
                          <a:prstGeom prst="straightConnector1">
                            <a:avLst/>
                          </a:prstGeom>
                          <a:noFill/>
                          <a:ln w="9525">
                            <a:solidFill>
                              <a:srgbClr val="000000"/>
                            </a:solidFill>
                            <a:prstDash val="dash"/>
                            <a:round/>
                            <a:tailEnd type="triangle" w="med" len="med"/>
                          </a:ln>
                        </wps:spPr>
                        <wps:bodyPr/>
                      </wps:wsp>
                      <wps:wsp>
                        <wps:cNvPr id="305" name="Rectangle 92"/>
                        <wps:cNvSpPr>
                          <a:spLocks noChangeArrowheads="1"/>
                        </wps:cNvSpPr>
                        <wps:spPr bwMode="auto">
                          <a:xfrm>
                            <a:off x="2357755" y="6717881"/>
                            <a:ext cx="469265" cy="334645"/>
                          </a:xfrm>
                          <a:prstGeom prst="rect">
                            <a:avLst/>
                          </a:prstGeom>
                          <a:noFill/>
                          <a:ln>
                            <a:noFill/>
                          </a:ln>
                          <a:effectLst/>
                        </wps:spPr>
                        <wps:txbx>
                          <w:txbxContent>
                            <w:p>
                              <w:pPr>
                                <w:jc w:val="center"/>
                                <w:rPr>
                                  <w:sz w:val="18"/>
                                </w:rPr>
                              </w:pPr>
                              <w:r>
                                <w:rPr>
                                  <w:rFonts w:hint="eastAsia"/>
                                  <w:sz w:val="18"/>
                                </w:rPr>
                                <w:t>5g/L</w:t>
                              </w:r>
                            </w:p>
                            <w:p>
                              <w:pPr>
                                <w:jc w:val="center"/>
                                <w:rPr>
                                  <w:sz w:val="18"/>
                                </w:rPr>
                              </w:pPr>
                              <w:r>
                                <w:rPr>
                                  <w:rFonts w:hint="eastAsia"/>
                                  <w:sz w:val="18"/>
                                </w:rPr>
                                <w:t>柠檬酸</w:t>
                              </w:r>
                            </w:p>
                          </w:txbxContent>
                        </wps:txbx>
                        <wps:bodyPr rot="0" vert="horz" wrap="square" lIns="0" tIns="0" rIns="0" bIns="0" anchor="t" anchorCtr="0" upright="1">
                          <a:noAutofit/>
                        </wps:bodyPr>
                      </wps:wsp>
                      <wps:wsp>
                        <wps:cNvPr id="306" name="Rectangle 93"/>
                        <wps:cNvSpPr>
                          <a:spLocks noChangeArrowheads="1"/>
                        </wps:cNvSpPr>
                        <wps:spPr bwMode="auto">
                          <a:xfrm>
                            <a:off x="201930" y="6792176"/>
                            <a:ext cx="722630" cy="149860"/>
                          </a:xfrm>
                          <a:prstGeom prst="rect">
                            <a:avLst/>
                          </a:prstGeom>
                          <a:noFill/>
                          <a:ln>
                            <a:noFill/>
                          </a:ln>
                          <a:effectLst/>
                        </wps:spPr>
                        <wps:txbx>
                          <w:txbxContent>
                            <w:p>
                              <w:pPr>
                                <w:jc w:val="center"/>
                                <w:rPr>
                                  <w:sz w:val="18"/>
                                </w:rPr>
                              </w:pPr>
                              <w:r>
                                <w:rPr>
                                  <w:rFonts w:hint="eastAsia"/>
                                  <w:sz w:val="18"/>
                                </w:rPr>
                                <w:t>酸性废水</w:t>
                              </w:r>
                            </w:p>
                          </w:txbxContent>
                        </wps:txbx>
                        <wps:bodyPr rot="0" vert="horz" wrap="square" lIns="0" tIns="0" rIns="0" bIns="0" anchor="t" anchorCtr="0" upright="1">
                          <a:noAutofit/>
                        </wps:bodyPr>
                      </wps:wsp>
                      <wps:wsp>
                        <wps:cNvPr id="307" name="Rectangle 94"/>
                        <wps:cNvSpPr>
                          <a:spLocks noChangeArrowheads="1"/>
                        </wps:cNvSpPr>
                        <wps:spPr bwMode="auto">
                          <a:xfrm>
                            <a:off x="4866005" y="1743075"/>
                            <a:ext cx="726440" cy="206375"/>
                          </a:xfrm>
                          <a:prstGeom prst="rect">
                            <a:avLst/>
                          </a:prstGeom>
                          <a:noFill/>
                          <a:ln>
                            <a:noFill/>
                          </a:ln>
                          <a:effectLst/>
                        </wps:spPr>
                        <wps:txbx>
                          <w:txbxContent>
                            <w:p>
                              <w:pPr>
                                <w:jc w:val="center"/>
                                <w:rPr>
                                  <w:sz w:val="18"/>
                                </w:rPr>
                              </w:pPr>
                              <w:r>
                                <w:rPr>
                                  <w:sz w:val="18"/>
                                </w:rPr>
                                <w:t>酸性废水</w:t>
                              </w:r>
                            </w:p>
                          </w:txbxContent>
                        </wps:txbx>
                        <wps:bodyPr rot="0" vert="horz" wrap="square" lIns="0" tIns="0" rIns="0" bIns="0" anchor="t" anchorCtr="0" upright="1">
                          <a:noAutofit/>
                        </wps:bodyPr>
                      </wps:wsp>
                      <wps:wsp>
                        <wps:cNvPr id="308" name="AutoShape 95"/>
                        <wps:cNvCnPr>
                          <a:cxnSpLocks noChangeShapeType="1"/>
                        </wps:cNvCnPr>
                        <wps:spPr bwMode="auto">
                          <a:xfrm flipV="1">
                            <a:off x="4693285" y="1824571"/>
                            <a:ext cx="208915" cy="3810"/>
                          </a:xfrm>
                          <a:prstGeom prst="straightConnector1">
                            <a:avLst/>
                          </a:prstGeom>
                          <a:noFill/>
                          <a:ln w="9525">
                            <a:solidFill>
                              <a:srgbClr val="000000"/>
                            </a:solidFill>
                            <a:prstDash val="dash"/>
                            <a:round/>
                            <a:tailEnd type="triangle" w="med" len="med"/>
                          </a:ln>
                        </wps:spPr>
                        <wps:bodyPr/>
                      </wps:wsp>
                      <wps:wsp>
                        <wps:cNvPr id="309" name="Rectangle 96"/>
                        <wps:cNvSpPr>
                          <a:spLocks noChangeArrowheads="1"/>
                        </wps:cNvSpPr>
                        <wps:spPr bwMode="auto">
                          <a:xfrm>
                            <a:off x="2934970" y="2318601"/>
                            <a:ext cx="469265" cy="334645"/>
                          </a:xfrm>
                          <a:prstGeom prst="rect">
                            <a:avLst/>
                          </a:prstGeom>
                          <a:noFill/>
                          <a:ln>
                            <a:noFill/>
                          </a:ln>
                          <a:effectLst/>
                        </wps:spPr>
                        <wps:txbx>
                          <w:txbxContent>
                            <w:p>
                              <w:pPr>
                                <w:jc w:val="center"/>
                                <w:rPr>
                                  <w:sz w:val="18"/>
                                </w:rPr>
                              </w:pPr>
                              <w:r>
                                <w:rPr>
                                  <w:rFonts w:hint="eastAsia"/>
                                  <w:sz w:val="18"/>
                                </w:rPr>
                                <w:t>3g/L</w:t>
                              </w:r>
                            </w:p>
                            <w:p>
                              <w:pPr>
                                <w:jc w:val="center"/>
                                <w:rPr>
                                  <w:sz w:val="18"/>
                                </w:rPr>
                              </w:pPr>
                              <w:r>
                                <w:rPr>
                                  <w:rFonts w:hint="eastAsia"/>
                                  <w:sz w:val="18"/>
                                </w:rPr>
                                <w:t>铬酸酐</w:t>
                              </w:r>
                            </w:p>
                          </w:txbxContent>
                        </wps:txbx>
                        <wps:bodyPr rot="0" vert="horz" wrap="square" lIns="0" tIns="0" rIns="0" bIns="0" anchor="t" anchorCtr="0" upright="1">
                          <a:noAutofit/>
                        </wps:bodyPr>
                      </wps:wsp>
                      <wps:wsp>
                        <wps:cNvPr id="310" name="AutoShape 97"/>
                        <wps:cNvCnPr>
                          <a:cxnSpLocks noChangeShapeType="1"/>
                        </wps:cNvCnPr>
                        <wps:spPr bwMode="auto">
                          <a:xfrm>
                            <a:off x="3332480" y="2461476"/>
                            <a:ext cx="260985" cy="635"/>
                          </a:xfrm>
                          <a:prstGeom prst="straightConnector1">
                            <a:avLst/>
                          </a:prstGeom>
                          <a:noFill/>
                          <a:ln w="9525">
                            <a:solidFill>
                              <a:srgbClr val="000000"/>
                            </a:solidFill>
                            <a:round/>
                            <a:tailEnd type="triangle" w="med" len="med"/>
                          </a:ln>
                        </wps:spPr>
                        <wps:bodyPr/>
                      </wps:wsp>
                      <wps:wsp>
                        <wps:cNvPr id="311" name="Rectangle 98"/>
                        <wps:cNvSpPr>
                          <a:spLocks noChangeArrowheads="1"/>
                        </wps:cNvSpPr>
                        <wps:spPr bwMode="auto">
                          <a:xfrm>
                            <a:off x="4866005" y="2179536"/>
                            <a:ext cx="662305" cy="579120"/>
                          </a:xfrm>
                          <a:prstGeom prst="rect">
                            <a:avLst/>
                          </a:prstGeom>
                          <a:noFill/>
                          <a:ln>
                            <a:noFill/>
                          </a:ln>
                          <a:effectLst/>
                        </wps:spPr>
                        <wps:txbx>
                          <w:txbxContent>
                            <w:p>
                              <w:pPr>
                                <w:jc w:val="center"/>
                                <w:rPr>
                                  <w:sz w:val="18"/>
                                </w:rPr>
                              </w:pPr>
                              <w:r>
                                <w:rPr>
                                  <w:sz w:val="18"/>
                                </w:rPr>
                                <w:t>铬酸雾</w:t>
                              </w:r>
                            </w:p>
                            <w:p>
                              <w:pPr>
                                <w:jc w:val="center"/>
                                <w:rPr>
                                  <w:sz w:val="18"/>
                                </w:rPr>
                              </w:pPr>
                              <w:r>
                                <w:rPr>
                                  <w:sz w:val="18"/>
                                </w:rPr>
                                <w:t>含铬槽液</w:t>
                              </w:r>
                            </w:p>
                            <w:p>
                              <w:pPr>
                                <w:jc w:val="center"/>
                                <w:rPr>
                                  <w:sz w:val="18"/>
                                </w:rPr>
                              </w:pPr>
                              <w:r>
                                <w:rPr>
                                  <w:rFonts w:hint="eastAsia"/>
                                  <w:sz w:val="18"/>
                                </w:rPr>
                                <w:t>含铬槽渣</w:t>
                              </w:r>
                            </w:p>
                            <w:p>
                              <w:pPr>
                                <w:jc w:val="center"/>
                                <w:rPr>
                                  <w:sz w:val="18"/>
                                </w:rPr>
                              </w:pPr>
                              <w:r>
                                <w:rPr>
                                  <w:rFonts w:hint="eastAsia"/>
                                  <w:sz w:val="18"/>
                                </w:rPr>
                                <w:t>废滤芯</w:t>
                              </w:r>
                            </w:p>
                            <w:p>
                              <w:pPr>
                                <w:jc w:val="center"/>
                                <w:rPr>
                                  <w:sz w:val="18"/>
                                </w:rPr>
                              </w:pPr>
                            </w:p>
                          </w:txbxContent>
                        </wps:txbx>
                        <wps:bodyPr rot="0" vert="horz" wrap="square" lIns="0" tIns="0" rIns="0" bIns="0" anchor="t" anchorCtr="0" upright="1">
                          <a:noAutofit/>
                        </wps:bodyPr>
                      </wps:wsp>
                      <wps:wsp>
                        <wps:cNvPr id="312" name="AutoShape 99"/>
                        <wps:cNvCnPr>
                          <a:cxnSpLocks noChangeShapeType="1"/>
                        </wps:cNvCnPr>
                        <wps:spPr bwMode="auto">
                          <a:xfrm flipV="1">
                            <a:off x="4693285" y="2453856"/>
                            <a:ext cx="208915" cy="3810"/>
                          </a:xfrm>
                          <a:prstGeom prst="straightConnector1">
                            <a:avLst/>
                          </a:prstGeom>
                          <a:noFill/>
                          <a:ln w="9525">
                            <a:solidFill>
                              <a:srgbClr val="000000"/>
                            </a:solidFill>
                            <a:prstDash val="dash"/>
                            <a:round/>
                            <a:tailEnd type="triangle" w="med" len="med"/>
                          </a:ln>
                        </wps:spPr>
                        <wps:bodyPr/>
                      </wps:wsp>
                      <wps:wsp>
                        <wps:cNvPr id="313" name="Rectangle 100"/>
                        <wps:cNvSpPr>
                          <a:spLocks noChangeArrowheads="1"/>
                        </wps:cNvSpPr>
                        <wps:spPr bwMode="auto">
                          <a:xfrm>
                            <a:off x="4902200" y="2976461"/>
                            <a:ext cx="769620" cy="228600"/>
                          </a:xfrm>
                          <a:prstGeom prst="rect">
                            <a:avLst/>
                          </a:prstGeom>
                          <a:noFill/>
                          <a:ln>
                            <a:noFill/>
                          </a:ln>
                          <a:effectLst/>
                        </wps:spPr>
                        <wps:txbx>
                          <w:txbxContent>
                            <w:p>
                              <w:pPr>
                                <w:jc w:val="center"/>
                                <w:rPr>
                                  <w:sz w:val="18"/>
                                </w:rPr>
                              </w:pPr>
                              <w:r>
                                <w:rPr>
                                  <w:sz w:val="18"/>
                                </w:rPr>
                                <w:t>含铬水洗废水</w:t>
                              </w:r>
                            </w:p>
                          </w:txbxContent>
                        </wps:txbx>
                        <wps:bodyPr rot="0" vert="horz" wrap="square" lIns="0" tIns="0" rIns="0" bIns="0" anchor="t" anchorCtr="0" upright="1">
                          <a:noAutofit/>
                        </wps:bodyPr>
                      </wps:wsp>
                      <wps:wsp>
                        <wps:cNvPr id="314" name="AutoShape 101"/>
                        <wps:cNvCnPr>
                          <a:cxnSpLocks noChangeShapeType="1"/>
                        </wps:cNvCnPr>
                        <wps:spPr bwMode="auto">
                          <a:xfrm flipV="1">
                            <a:off x="4717415" y="3076156"/>
                            <a:ext cx="208915" cy="3810"/>
                          </a:xfrm>
                          <a:prstGeom prst="straightConnector1">
                            <a:avLst/>
                          </a:prstGeom>
                          <a:noFill/>
                          <a:ln w="9525">
                            <a:solidFill>
                              <a:srgbClr val="000000"/>
                            </a:solidFill>
                            <a:prstDash val="dash"/>
                            <a:round/>
                            <a:tailEnd type="triangle" w="med" len="med"/>
                          </a:ln>
                        </wps:spPr>
                        <wps:bodyPr/>
                      </wps:wsp>
                      <wps:wsp>
                        <wps:cNvPr id="315" name="Rectangle 102"/>
                        <wps:cNvSpPr>
                          <a:spLocks noChangeArrowheads="1"/>
                        </wps:cNvSpPr>
                        <wps:spPr bwMode="auto">
                          <a:xfrm>
                            <a:off x="2934970" y="3540976"/>
                            <a:ext cx="469265" cy="334645"/>
                          </a:xfrm>
                          <a:prstGeom prst="rect">
                            <a:avLst/>
                          </a:prstGeom>
                          <a:noFill/>
                          <a:ln>
                            <a:noFill/>
                          </a:ln>
                          <a:effectLst/>
                        </wps:spPr>
                        <wps:txbx>
                          <w:txbxContent>
                            <w:p>
                              <w:pPr>
                                <w:jc w:val="center"/>
                                <w:rPr>
                                  <w:sz w:val="18"/>
                                </w:rPr>
                              </w:pPr>
                              <w:r>
                                <w:rPr>
                                  <w:rFonts w:hint="eastAsia"/>
                                  <w:sz w:val="18"/>
                                </w:rPr>
                                <w:t>10g/L</w:t>
                              </w:r>
                            </w:p>
                            <w:p>
                              <w:pPr>
                                <w:jc w:val="center"/>
                                <w:rPr>
                                  <w:sz w:val="18"/>
                                </w:rPr>
                              </w:pPr>
                              <w:r>
                                <w:rPr>
                                  <w:rFonts w:hint="eastAsia"/>
                                  <w:sz w:val="18"/>
                                </w:rPr>
                                <w:t>NaOH</w:t>
                              </w:r>
                            </w:p>
                          </w:txbxContent>
                        </wps:txbx>
                        <wps:bodyPr rot="0" vert="horz" wrap="square" lIns="0" tIns="0" rIns="0" bIns="0" anchor="t" anchorCtr="0" upright="1">
                          <a:noAutofit/>
                        </wps:bodyPr>
                      </wps:wsp>
                      <wps:wsp>
                        <wps:cNvPr id="316" name="AutoShape 103"/>
                        <wps:cNvCnPr>
                          <a:cxnSpLocks noChangeShapeType="1"/>
                        </wps:cNvCnPr>
                        <wps:spPr bwMode="auto">
                          <a:xfrm>
                            <a:off x="3332480" y="3683851"/>
                            <a:ext cx="260985" cy="635"/>
                          </a:xfrm>
                          <a:prstGeom prst="straightConnector1">
                            <a:avLst/>
                          </a:prstGeom>
                          <a:noFill/>
                          <a:ln w="9525">
                            <a:solidFill>
                              <a:srgbClr val="000000"/>
                            </a:solidFill>
                            <a:round/>
                            <a:tailEnd type="triangle" w="med" len="med"/>
                          </a:ln>
                        </wps:spPr>
                        <wps:bodyPr/>
                      </wps:wsp>
                      <wps:wsp>
                        <wps:cNvPr id="317" name="Rectangle 106"/>
                        <wps:cNvSpPr>
                          <a:spLocks noChangeArrowheads="1"/>
                        </wps:cNvSpPr>
                        <wps:spPr bwMode="auto">
                          <a:xfrm>
                            <a:off x="4850765" y="4215765"/>
                            <a:ext cx="794385" cy="228600"/>
                          </a:xfrm>
                          <a:prstGeom prst="rect">
                            <a:avLst/>
                          </a:prstGeom>
                          <a:noFill/>
                          <a:ln>
                            <a:noFill/>
                          </a:ln>
                          <a:effectLst/>
                        </wps:spPr>
                        <wps:txbx>
                          <w:txbxContent>
                            <w:p>
                              <w:pPr>
                                <w:jc w:val="center"/>
                                <w:rPr>
                                  <w:sz w:val="18"/>
                                </w:rPr>
                              </w:pPr>
                              <w:r>
                                <w:rPr>
                                  <w:rFonts w:hint="eastAsia"/>
                                  <w:sz w:val="18"/>
                                </w:rPr>
                                <w:t>酸性</w:t>
                              </w:r>
                              <w:r>
                                <w:rPr>
                                  <w:rFonts w:hint="eastAsia"/>
                                  <w:sz w:val="18"/>
                                  <w:lang w:eastAsia="zh-CN"/>
                                </w:rPr>
                                <w:t>含铬</w:t>
                              </w:r>
                              <w:r>
                                <w:rPr>
                                  <w:sz w:val="18"/>
                                </w:rPr>
                                <w:t>废水</w:t>
                              </w:r>
                            </w:p>
                          </w:txbxContent>
                        </wps:txbx>
                        <wps:bodyPr rot="0" vert="horz" wrap="square" lIns="0" tIns="0" rIns="0" bIns="0" anchor="t" anchorCtr="0" upright="1">
                          <a:noAutofit/>
                        </wps:bodyPr>
                      </wps:wsp>
                      <wps:wsp>
                        <wps:cNvPr id="318" name="AutoShape 107"/>
                        <wps:cNvCnPr>
                          <a:cxnSpLocks noChangeShapeType="1"/>
                        </wps:cNvCnPr>
                        <wps:spPr bwMode="auto">
                          <a:xfrm flipV="1">
                            <a:off x="4676140" y="4315676"/>
                            <a:ext cx="208915" cy="3810"/>
                          </a:xfrm>
                          <a:prstGeom prst="straightConnector1">
                            <a:avLst/>
                          </a:prstGeom>
                          <a:noFill/>
                          <a:ln w="9525">
                            <a:solidFill>
                              <a:srgbClr val="000000"/>
                            </a:solidFill>
                            <a:prstDash val="dash"/>
                            <a:round/>
                            <a:tailEnd type="triangle" w="med" len="med"/>
                          </a:ln>
                        </wps:spPr>
                        <wps:bodyPr/>
                      </wps:wsp>
                      <wps:wsp>
                        <wps:cNvPr id="319" name="Rectangle 108"/>
                        <wps:cNvSpPr>
                          <a:spLocks noChangeArrowheads="1"/>
                        </wps:cNvSpPr>
                        <wps:spPr bwMode="auto">
                          <a:xfrm>
                            <a:off x="2959100" y="4823041"/>
                            <a:ext cx="469265" cy="334645"/>
                          </a:xfrm>
                          <a:prstGeom prst="rect">
                            <a:avLst/>
                          </a:prstGeom>
                          <a:noFill/>
                          <a:ln>
                            <a:noFill/>
                          </a:ln>
                          <a:effectLst/>
                        </wps:spPr>
                        <wps:txbx>
                          <w:txbxContent>
                            <w:p>
                              <w:pPr>
                                <w:jc w:val="center"/>
                                <w:rPr>
                                  <w:sz w:val="18"/>
                                </w:rPr>
                              </w:pPr>
                              <w:r>
                                <w:rPr>
                                  <w:sz w:val="18"/>
                                </w:rPr>
                                <w:t xml:space="preserve">10ml/L </w:t>
                              </w:r>
                              <w:r>
                                <w:rPr>
                                  <w:rFonts w:hint="eastAsia"/>
                                  <w:sz w:val="18"/>
                                </w:rPr>
                                <w:t>烷氧基醇</w:t>
                              </w:r>
                            </w:p>
                          </w:txbxContent>
                        </wps:txbx>
                        <wps:bodyPr rot="0" vert="horz" wrap="square" lIns="0" tIns="0" rIns="0" bIns="0" anchor="t" anchorCtr="0" upright="1">
                          <a:noAutofit/>
                        </wps:bodyPr>
                      </wps:wsp>
                      <wps:wsp>
                        <wps:cNvPr id="320" name="AutoShape 109"/>
                        <wps:cNvCnPr>
                          <a:cxnSpLocks noChangeShapeType="1"/>
                        </wps:cNvCnPr>
                        <wps:spPr bwMode="auto">
                          <a:xfrm>
                            <a:off x="3356610" y="4965916"/>
                            <a:ext cx="260985" cy="635"/>
                          </a:xfrm>
                          <a:prstGeom prst="straightConnector1">
                            <a:avLst/>
                          </a:prstGeom>
                          <a:noFill/>
                          <a:ln w="9525">
                            <a:solidFill>
                              <a:srgbClr val="000000"/>
                            </a:solidFill>
                            <a:round/>
                            <a:tailEnd type="triangle" w="med" len="med"/>
                          </a:ln>
                        </wps:spPr>
                        <wps:bodyPr/>
                      </wps:wsp>
                      <wps:wsp>
                        <wps:cNvPr id="321" name="Rectangle 110"/>
                        <wps:cNvSpPr>
                          <a:spLocks noChangeArrowheads="1"/>
                        </wps:cNvSpPr>
                        <wps:spPr bwMode="auto">
                          <a:xfrm>
                            <a:off x="5074920" y="5453380"/>
                            <a:ext cx="683260" cy="342265"/>
                          </a:xfrm>
                          <a:prstGeom prst="rect">
                            <a:avLst/>
                          </a:prstGeom>
                          <a:noFill/>
                          <a:ln>
                            <a:noFill/>
                          </a:ln>
                          <a:effectLst/>
                        </wps:spPr>
                        <wps:txbx>
                          <w:txbxContent>
                            <w:p>
                              <w:pPr>
                                <w:jc w:val="center"/>
                                <w:rPr>
                                  <w:rFonts w:hint="eastAsia"/>
                                  <w:sz w:val="18"/>
                                  <w:lang w:eastAsia="zh-CN"/>
                                </w:rPr>
                              </w:pPr>
                              <w:r>
                                <w:rPr>
                                  <w:rFonts w:hint="eastAsia"/>
                                  <w:sz w:val="18"/>
                                </w:rPr>
                                <w:t>有机</w:t>
                              </w:r>
                              <w:r>
                                <w:rPr>
                                  <w:rFonts w:hint="eastAsia"/>
                                  <w:sz w:val="18"/>
                                  <w:lang w:eastAsia="zh-CN"/>
                                </w:rPr>
                                <w:t>含铬</w:t>
                              </w:r>
                            </w:p>
                            <w:p>
                              <w:pPr>
                                <w:jc w:val="center"/>
                                <w:rPr>
                                  <w:sz w:val="18"/>
                                </w:rPr>
                              </w:pPr>
                              <w:r>
                                <w:rPr>
                                  <w:rFonts w:hint="eastAsia"/>
                                  <w:sz w:val="18"/>
                                </w:rPr>
                                <w:t>废水</w:t>
                              </w:r>
                            </w:p>
                          </w:txbxContent>
                        </wps:txbx>
                        <wps:bodyPr rot="0" vert="horz" wrap="square" lIns="0" tIns="0" rIns="0" bIns="0" anchor="t" anchorCtr="0" upright="1">
                          <a:noAutofit/>
                        </wps:bodyPr>
                      </wps:wsp>
                      <wps:wsp>
                        <wps:cNvPr id="322" name="AutoShape 111"/>
                        <wps:cNvCnPr>
                          <a:cxnSpLocks noChangeShapeType="1"/>
                        </wps:cNvCnPr>
                        <wps:spPr bwMode="auto">
                          <a:xfrm flipV="1">
                            <a:off x="4909185" y="5626951"/>
                            <a:ext cx="208915" cy="3810"/>
                          </a:xfrm>
                          <a:prstGeom prst="straightConnector1">
                            <a:avLst/>
                          </a:prstGeom>
                          <a:noFill/>
                          <a:ln w="9525">
                            <a:solidFill>
                              <a:srgbClr val="000000"/>
                            </a:solidFill>
                            <a:prstDash val="dash"/>
                            <a:round/>
                            <a:tailEnd type="triangle" w="med" len="med"/>
                          </a:ln>
                        </wps:spPr>
                        <wps:bodyPr/>
                      </wps:wsp>
                      <wps:wsp>
                        <wps:cNvPr id="323" name="Rectangle 112"/>
                        <wps:cNvSpPr>
                          <a:spLocks noChangeArrowheads="1"/>
                        </wps:cNvSpPr>
                        <wps:spPr bwMode="auto">
                          <a:xfrm>
                            <a:off x="4805680" y="6130506"/>
                            <a:ext cx="553720" cy="256540"/>
                          </a:xfrm>
                          <a:prstGeom prst="rect">
                            <a:avLst/>
                          </a:prstGeom>
                          <a:noFill/>
                          <a:ln>
                            <a:noFill/>
                          </a:ln>
                          <a:effectLst/>
                        </wps:spPr>
                        <wps:txbx>
                          <w:txbxContent>
                            <w:p>
                              <w:pPr>
                                <w:jc w:val="center"/>
                                <w:rPr>
                                  <w:sz w:val="18"/>
                                </w:rPr>
                              </w:pPr>
                              <w:r>
                                <w:rPr>
                                  <w:sz w:val="18"/>
                                </w:rPr>
                                <w:t>噪声</w:t>
                              </w:r>
                            </w:p>
                          </w:txbxContent>
                        </wps:txbx>
                        <wps:bodyPr rot="0" vert="horz" wrap="square" lIns="0" tIns="0" rIns="0" bIns="0" anchor="t" anchorCtr="0" upright="1">
                          <a:noAutofit/>
                        </wps:bodyPr>
                      </wps:wsp>
                      <wps:wsp>
                        <wps:cNvPr id="324" name="AutoShape 113"/>
                        <wps:cNvCnPr>
                          <a:cxnSpLocks noChangeShapeType="1"/>
                        </wps:cNvCnPr>
                        <wps:spPr bwMode="auto">
                          <a:xfrm flipV="1">
                            <a:off x="4681220" y="6218136"/>
                            <a:ext cx="208915" cy="3810"/>
                          </a:xfrm>
                          <a:prstGeom prst="straightConnector1">
                            <a:avLst/>
                          </a:prstGeom>
                          <a:noFill/>
                          <a:ln w="9525">
                            <a:solidFill>
                              <a:srgbClr val="000000"/>
                            </a:solidFill>
                            <a:prstDash val="dash"/>
                            <a:round/>
                            <a:tailEnd type="triangle" w="med" len="med"/>
                          </a:ln>
                        </wps:spPr>
                        <wps:bodyPr/>
                      </wps:wsp>
                      <wps:wsp>
                        <wps:cNvPr id="325" name="Rectangle 114"/>
                        <wps:cNvSpPr>
                          <a:spLocks noChangeArrowheads="1"/>
                        </wps:cNvSpPr>
                        <wps:spPr bwMode="auto">
                          <a:xfrm>
                            <a:off x="4921250" y="6740106"/>
                            <a:ext cx="607060" cy="256540"/>
                          </a:xfrm>
                          <a:prstGeom prst="rect">
                            <a:avLst/>
                          </a:prstGeom>
                          <a:noFill/>
                          <a:ln>
                            <a:noFill/>
                          </a:ln>
                          <a:effectLst/>
                        </wps:spPr>
                        <wps:txbx>
                          <w:txbxContent>
                            <w:p>
                              <w:pPr>
                                <w:jc w:val="center"/>
                                <w:rPr>
                                  <w:sz w:val="18"/>
                                </w:rPr>
                              </w:pPr>
                              <w:r>
                                <w:rPr>
                                  <w:sz w:val="18"/>
                                </w:rPr>
                                <w:t>不合格产品</w:t>
                              </w:r>
                            </w:p>
                          </w:txbxContent>
                        </wps:txbx>
                        <wps:bodyPr rot="0" vert="horz" wrap="square" lIns="0" tIns="0" rIns="0" bIns="0" anchor="t" anchorCtr="0" upright="1">
                          <a:noAutofit/>
                        </wps:bodyPr>
                      </wps:wsp>
                      <wps:wsp>
                        <wps:cNvPr id="326" name="AutoShape 115"/>
                        <wps:cNvCnPr>
                          <a:cxnSpLocks noChangeShapeType="1"/>
                        </wps:cNvCnPr>
                        <wps:spPr bwMode="auto">
                          <a:xfrm flipV="1">
                            <a:off x="4676140" y="6827736"/>
                            <a:ext cx="208915" cy="3810"/>
                          </a:xfrm>
                          <a:prstGeom prst="straightConnector1">
                            <a:avLst/>
                          </a:prstGeom>
                          <a:noFill/>
                          <a:ln w="9525">
                            <a:solidFill>
                              <a:srgbClr val="000000"/>
                            </a:solidFill>
                            <a:prstDash val="dash"/>
                            <a:round/>
                            <a:tailEnd type="triangle" w="med" len="med"/>
                          </a:ln>
                        </wps:spPr>
                        <wps:bodyPr/>
                      </wps:wsp>
                      <wps:wsp>
                        <wps:cNvPr id="327" name="Rectangle 116"/>
                        <wps:cNvSpPr>
                          <a:spLocks noChangeArrowheads="1"/>
                        </wps:cNvSpPr>
                        <wps:spPr bwMode="auto">
                          <a:xfrm>
                            <a:off x="4855210" y="3592195"/>
                            <a:ext cx="807085" cy="228600"/>
                          </a:xfrm>
                          <a:prstGeom prst="rect">
                            <a:avLst/>
                          </a:prstGeom>
                          <a:noFill/>
                          <a:ln>
                            <a:noFill/>
                          </a:ln>
                          <a:effectLst/>
                        </wps:spPr>
                        <wps:txbx>
                          <w:txbxContent>
                            <w:p>
                              <w:pPr>
                                <w:jc w:val="center"/>
                                <w:rPr>
                                  <w:sz w:val="18"/>
                                </w:rPr>
                              </w:pPr>
                              <w:bookmarkStart w:id="497" w:name="OLE_LINK6"/>
                              <w:r>
                                <w:rPr>
                                  <w:rFonts w:hint="eastAsia"/>
                                  <w:sz w:val="18"/>
                                </w:rPr>
                                <w:t>酸性</w:t>
                              </w:r>
                              <w:bookmarkEnd w:id="497"/>
                              <w:r>
                                <w:rPr>
                                  <w:rFonts w:hint="eastAsia"/>
                                  <w:sz w:val="18"/>
                                </w:rPr>
                                <w:t>废水</w:t>
                              </w:r>
                            </w:p>
                          </w:txbxContent>
                        </wps:txbx>
                        <wps:bodyPr rot="0" vert="horz" wrap="square" lIns="0" tIns="0" rIns="0" bIns="0" anchor="t" anchorCtr="0" upright="1">
                          <a:noAutofit/>
                        </wps:bodyPr>
                      </wps:wsp>
                      <wps:wsp>
                        <wps:cNvPr id="328" name="AutoShape 117"/>
                        <wps:cNvCnPr>
                          <a:cxnSpLocks noChangeShapeType="1"/>
                        </wps:cNvCnPr>
                        <wps:spPr bwMode="auto">
                          <a:xfrm flipV="1">
                            <a:off x="4681220" y="3680041"/>
                            <a:ext cx="208915" cy="3810"/>
                          </a:xfrm>
                          <a:prstGeom prst="straightConnector1">
                            <a:avLst/>
                          </a:prstGeom>
                          <a:noFill/>
                          <a:ln w="9525">
                            <a:solidFill>
                              <a:srgbClr val="000000"/>
                            </a:solidFill>
                            <a:prstDash val="dash"/>
                            <a:round/>
                            <a:tailEnd type="triangle" w="med" len="med"/>
                          </a:ln>
                        </wps:spPr>
                        <wps:bodyPr/>
                      </wps:wsp>
                      <wps:wsp>
                        <wps:cNvPr id="329" name="Rectangle 118"/>
                        <wps:cNvSpPr>
                          <a:spLocks noChangeArrowheads="1"/>
                        </wps:cNvSpPr>
                        <wps:spPr bwMode="auto">
                          <a:xfrm>
                            <a:off x="4914900" y="4866640"/>
                            <a:ext cx="728345" cy="228600"/>
                          </a:xfrm>
                          <a:prstGeom prst="rect">
                            <a:avLst/>
                          </a:prstGeom>
                          <a:noFill/>
                          <a:ln>
                            <a:noFill/>
                          </a:ln>
                          <a:effectLst/>
                        </wps:spPr>
                        <wps:txbx>
                          <w:txbxContent>
                            <w:p>
                              <w:pPr>
                                <w:jc w:val="center"/>
                                <w:rPr>
                                  <w:sz w:val="18"/>
                                </w:rPr>
                              </w:pPr>
                              <w:r>
                                <w:rPr>
                                  <w:rFonts w:hint="eastAsia"/>
                                  <w:sz w:val="18"/>
                                </w:rPr>
                                <w:t>有机</w:t>
                              </w:r>
                              <w:r>
                                <w:rPr>
                                  <w:rFonts w:hint="eastAsia"/>
                                  <w:sz w:val="18"/>
                                  <w:lang w:eastAsia="zh-CN"/>
                                </w:rPr>
                                <w:t>含铬</w:t>
                              </w:r>
                              <w:r>
                                <w:rPr>
                                  <w:rFonts w:hint="eastAsia"/>
                                  <w:sz w:val="18"/>
                                </w:rPr>
                                <w:t>废水</w:t>
                              </w:r>
                            </w:p>
                          </w:txbxContent>
                        </wps:txbx>
                        <wps:bodyPr rot="0" vert="horz" wrap="square" lIns="0" tIns="0" rIns="0" bIns="0" anchor="t" anchorCtr="0" upright="1">
                          <a:noAutofit/>
                        </wps:bodyPr>
                      </wps:wsp>
                      <wps:wsp>
                        <wps:cNvPr id="330" name="AutoShape 119"/>
                        <wps:cNvCnPr>
                          <a:cxnSpLocks noChangeShapeType="1"/>
                        </wps:cNvCnPr>
                        <wps:spPr bwMode="auto">
                          <a:xfrm flipV="1">
                            <a:off x="4693285" y="4966551"/>
                            <a:ext cx="208915" cy="3810"/>
                          </a:xfrm>
                          <a:prstGeom prst="straightConnector1">
                            <a:avLst/>
                          </a:prstGeom>
                          <a:noFill/>
                          <a:ln w="9525">
                            <a:solidFill>
                              <a:srgbClr val="000000"/>
                            </a:solidFill>
                            <a:prstDash val="dash"/>
                            <a:round/>
                            <a:tailEnd type="triangle" w="med" len="med"/>
                          </a:ln>
                        </wps:spPr>
                        <wps:bodyPr/>
                      </wps:wsp>
                      <wps:wsp>
                        <wps:cNvPr id="331" name="Rectangle 418"/>
                        <wps:cNvSpPr>
                          <a:spLocks noChangeArrowheads="1"/>
                        </wps:cNvSpPr>
                        <wps:spPr bwMode="auto">
                          <a:xfrm>
                            <a:off x="2464295" y="2296186"/>
                            <a:ext cx="469265" cy="320649"/>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332" name="AutoShape 419"/>
                        <wps:cNvCnPr>
                          <a:cxnSpLocks noChangeShapeType="1"/>
                        </wps:cNvCnPr>
                        <wps:spPr bwMode="auto">
                          <a:xfrm flipH="1">
                            <a:off x="2235835" y="2465286"/>
                            <a:ext cx="260985" cy="635"/>
                          </a:xfrm>
                          <a:prstGeom prst="straightConnector1">
                            <a:avLst/>
                          </a:prstGeom>
                          <a:noFill/>
                          <a:ln w="9525">
                            <a:solidFill>
                              <a:srgbClr val="000000"/>
                            </a:solidFill>
                            <a:round/>
                            <a:tailEnd type="triangle" w="med" len="med"/>
                          </a:ln>
                        </wps:spPr>
                        <wps:bodyPr/>
                      </wps:wsp>
                      <wps:wsp>
                        <wps:cNvPr id="333" name="Rectangle 422"/>
                        <wps:cNvSpPr>
                          <a:spLocks noChangeArrowheads="1"/>
                        </wps:cNvSpPr>
                        <wps:spPr bwMode="auto">
                          <a:xfrm>
                            <a:off x="2421890" y="4779226"/>
                            <a:ext cx="469265" cy="270510"/>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p>
                              <w:pPr>
                                <w:rPr>
                                  <w:sz w:val="18"/>
                                </w:rPr>
                              </w:pPr>
                            </w:p>
                          </w:txbxContent>
                        </wps:txbx>
                        <wps:bodyPr rot="0" vert="horz" wrap="square" lIns="0" tIns="0" rIns="0" bIns="0" anchor="t" anchorCtr="0" upright="1">
                          <a:noAutofit/>
                        </wps:bodyPr>
                      </wps:wsp>
                      <wps:wsp>
                        <wps:cNvPr id="334" name="AutoShape 423"/>
                        <wps:cNvCnPr>
                          <a:cxnSpLocks noChangeShapeType="1"/>
                        </wps:cNvCnPr>
                        <wps:spPr bwMode="auto">
                          <a:xfrm flipH="1">
                            <a:off x="2193290" y="4969726"/>
                            <a:ext cx="260985" cy="635"/>
                          </a:xfrm>
                          <a:prstGeom prst="straightConnector1">
                            <a:avLst/>
                          </a:prstGeom>
                          <a:noFill/>
                          <a:ln w="9525">
                            <a:solidFill>
                              <a:srgbClr val="000000"/>
                            </a:solidFill>
                            <a:round/>
                            <a:tailEnd type="triangle" w="med" len="med"/>
                          </a:ln>
                        </wps:spPr>
                        <wps:bodyPr/>
                      </wps:wsp>
                      <wps:wsp>
                        <wps:cNvPr id="335" name="Rectangle 424"/>
                        <wps:cNvSpPr>
                          <a:spLocks noChangeArrowheads="1"/>
                        </wps:cNvSpPr>
                        <wps:spPr bwMode="auto">
                          <a:xfrm>
                            <a:off x="2966085" y="2942482"/>
                            <a:ext cx="469265" cy="339548"/>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336" name="AutoShape 425"/>
                        <wps:cNvCnPr>
                          <a:cxnSpLocks noChangeShapeType="1"/>
                        </wps:cNvCnPr>
                        <wps:spPr bwMode="auto">
                          <a:xfrm>
                            <a:off x="3332480" y="3084411"/>
                            <a:ext cx="260985" cy="635"/>
                          </a:xfrm>
                          <a:prstGeom prst="straightConnector1">
                            <a:avLst/>
                          </a:prstGeom>
                          <a:noFill/>
                          <a:ln w="9525">
                            <a:solidFill>
                              <a:srgbClr val="000000"/>
                            </a:solidFill>
                            <a:round/>
                            <a:tailEnd type="triangle" w="med" len="med"/>
                          </a:ln>
                        </wps:spPr>
                        <wps:bodyPr/>
                      </wps:wsp>
                      <wps:wsp>
                        <wps:cNvPr id="337" name="Rectangle 422"/>
                        <wps:cNvSpPr>
                          <a:spLocks noChangeArrowheads="1"/>
                        </wps:cNvSpPr>
                        <wps:spPr bwMode="auto">
                          <a:xfrm>
                            <a:off x="2496820" y="5913971"/>
                            <a:ext cx="469265" cy="473075"/>
                          </a:xfrm>
                          <a:prstGeom prst="rect">
                            <a:avLst/>
                          </a:prstGeom>
                          <a:noFill/>
                          <a:ln>
                            <a:noFill/>
                          </a:ln>
                          <a:effectLst/>
                        </wps:spPr>
                        <wps:txbx>
                          <w:txbxContent>
                            <w:p>
                              <w:pPr>
                                <w:jc w:val="center"/>
                                <w:rPr>
                                  <w:sz w:val="18"/>
                                </w:rPr>
                              </w:pPr>
                            </w:p>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338" name="AutoShape 423"/>
                        <wps:cNvCnPr>
                          <a:cxnSpLocks noChangeShapeType="1"/>
                        </wps:cNvCnPr>
                        <wps:spPr bwMode="auto">
                          <a:xfrm flipH="1">
                            <a:off x="2406015" y="6188926"/>
                            <a:ext cx="260985" cy="635"/>
                          </a:xfrm>
                          <a:prstGeom prst="straightConnector1">
                            <a:avLst/>
                          </a:prstGeom>
                          <a:noFill/>
                          <a:ln w="9525">
                            <a:solidFill>
                              <a:srgbClr val="000000"/>
                            </a:solidFill>
                            <a:round/>
                            <a:tailEnd type="triangle" w="med" len="med"/>
                          </a:ln>
                        </wps:spPr>
                        <wps:bodyPr/>
                      </wps:wsp>
                      <wps:wsp>
                        <wps:cNvPr id="339" name="AutoShape 425"/>
                        <wps:cNvCnPr>
                          <a:cxnSpLocks noChangeShapeType="1"/>
                        </wps:cNvCnPr>
                        <wps:spPr bwMode="auto">
                          <a:xfrm>
                            <a:off x="3362325" y="4319486"/>
                            <a:ext cx="260985" cy="635"/>
                          </a:xfrm>
                          <a:prstGeom prst="straightConnector1">
                            <a:avLst/>
                          </a:prstGeom>
                          <a:noFill/>
                          <a:ln w="9525">
                            <a:solidFill>
                              <a:srgbClr val="000000"/>
                            </a:solidFill>
                            <a:round/>
                            <a:tailEnd type="triangle" w="med" len="med"/>
                          </a:ln>
                        </wps:spPr>
                        <wps:bodyPr/>
                      </wps:wsp>
                      <wps:wsp>
                        <wps:cNvPr id="340" name="AutoShape 425"/>
                        <wps:cNvCnPr>
                          <a:cxnSpLocks noChangeShapeType="1"/>
                        </wps:cNvCnPr>
                        <wps:spPr bwMode="auto">
                          <a:xfrm>
                            <a:off x="3167380" y="5626316"/>
                            <a:ext cx="260985" cy="635"/>
                          </a:xfrm>
                          <a:prstGeom prst="straightConnector1">
                            <a:avLst/>
                          </a:prstGeom>
                          <a:noFill/>
                          <a:ln w="9525">
                            <a:solidFill>
                              <a:srgbClr val="000000"/>
                            </a:solidFill>
                            <a:round/>
                            <a:tailEnd type="triangle" w="med" len="med"/>
                          </a:ln>
                        </wps:spPr>
                        <wps:bodyPr/>
                      </wps:wsp>
                      <wps:wsp>
                        <wps:cNvPr id="341" name="Rectangle 6"/>
                        <wps:cNvSpPr>
                          <a:spLocks noChangeArrowheads="1"/>
                        </wps:cNvSpPr>
                        <wps:spPr bwMode="auto">
                          <a:xfrm>
                            <a:off x="1142969" y="586347"/>
                            <a:ext cx="1052830" cy="307975"/>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开卷</w:t>
                              </w:r>
                            </w:p>
                          </w:txbxContent>
                        </wps:txbx>
                        <wps:bodyPr rot="0" vert="horz" wrap="square" lIns="91440" tIns="45720" rIns="91440" bIns="45720" anchor="t" anchorCtr="0" upright="1">
                          <a:noAutofit/>
                        </wps:bodyPr>
                      </wps:wsp>
                      <wps:wsp>
                        <wps:cNvPr id="342" name="直接箭头连接符 15"/>
                        <wps:cNvCnPr>
                          <a:stCxn id="1194" idx="2"/>
                          <a:endCxn id="2454" idx="0"/>
                        </wps:cNvCnPr>
                        <wps:spPr>
                          <a:xfrm flipH="1">
                            <a:off x="1666875" y="894322"/>
                            <a:ext cx="2509" cy="182219"/>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3" name="Rectangle 60"/>
                        <wps:cNvSpPr>
                          <a:spLocks noChangeArrowheads="1"/>
                        </wps:cNvSpPr>
                        <wps:spPr bwMode="auto">
                          <a:xfrm>
                            <a:off x="298416" y="639284"/>
                            <a:ext cx="635568" cy="209129"/>
                          </a:xfrm>
                          <a:prstGeom prst="rect">
                            <a:avLst/>
                          </a:prstGeom>
                          <a:noFill/>
                          <a:ln>
                            <a:noFill/>
                          </a:ln>
                          <a:effectLst/>
                        </wps:spPr>
                        <wps:txbx>
                          <w:txbxContent>
                            <w:p>
                              <w:pPr>
                                <w:jc w:val="center"/>
                                <w:rPr>
                                  <w:sz w:val="18"/>
                                </w:rPr>
                              </w:pPr>
                              <w:r>
                                <w:rPr>
                                  <w:rFonts w:hint="eastAsia"/>
                                  <w:sz w:val="18"/>
                                </w:rPr>
                                <w:t xml:space="preserve">   </w:t>
                              </w:r>
                              <w:r>
                                <w:rPr>
                                  <w:sz w:val="18"/>
                                </w:rPr>
                                <w:t>噪声</w:t>
                              </w:r>
                            </w:p>
                          </w:txbxContent>
                        </wps:txbx>
                        <wps:bodyPr rot="0" vert="horz" wrap="square" lIns="0" tIns="0" rIns="0" bIns="0" anchor="t" anchorCtr="0" upright="1">
                          <a:noAutofit/>
                        </wps:bodyPr>
                      </wps:wsp>
                      <wps:wsp>
                        <wps:cNvPr id="344" name="AutoShape 61"/>
                        <wps:cNvCnPr>
                          <a:cxnSpLocks noChangeShapeType="1"/>
                          <a:stCxn id="1194" idx="1"/>
                          <a:endCxn id="1195" idx="3"/>
                        </wps:cNvCnPr>
                        <wps:spPr bwMode="auto">
                          <a:xfrm flipH="1">
                            <a:off x="933984" y="740335"/>
                            <a:ext cx="208985" cy="3514"/>
                          </a:xfrm>
                          <a:prstGeom prst="straightConnector1">
                            <a:avLst/>
                          </a:prstGeom>
                          <a:noFill/>
                          <a:ln w="9525">
                            <a:solidFill>
                              <a:srgbClr val="000000"/>
                            </a:solidFill>
                            <a:prstDash val="dash"/>
                            <a:round/>
                            <a:tailEnd type="triangle" w="med" len="med"/>
                          </a:ln>
                        </wps:spPr>
                        <wps:bodyPr/>
                      </wps:wsp>
                      <wps:wsp>
                        <wps:cNvPr id="345" name="Rectangle 418"/>
                        <wps:cNvSpPr>
                          <a:spLocks noChangeArrowheads="1"/>
                        </wps:cNvSpPr>
                        <wps:spPr bwMode="auto">
                          <a:xfrm>
                            <a:off x="2496819" y="3528836"/>
                            <a:ext cx="469265" cy="320649"/>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346" name="AutoShape 419"/>
                        <wps:cNvCnPr>
                          <a:cxnSpLocks noChangeShapeType="1"/>
                          <a:endCxn id="2459" idx="3"/>
                        </wps:cNvCnPr>
                        <wps:spPr bwMode="auto">
                          <a:xfrm flipH="1" flipV="1">
                            <a:off x="2406015" y="3695916"/>
                            <a:ext cx="123185" cy="1716"/>
                          </a:xfrm>
                          <a:prstGeom prst="straightConnector1">
                            <a:avLst/>
                          </a:prstGeom>
                          <a:noFill/>
                          <a:ln w="9525">
                            <a:solidFill>
                              <a:srgbClr val="000000"/>
                            </a:solidFill>
                            <a:round/>
                            <a:tailEnd type="triangle" w="med" len="med"/>
                          </a:ln>
                        </wps:spPr>
                        <wps:bodyPr/>
                      </wps:wsp>
                      <wps:wsp>
                        <wps:cNvPr id="347" name="AutoShape 97"/>
                        <wps:cNvCnPr>
                          <a:cxnSpLocks noChangeShapeType="1"/>
                        </wps:cNvCnPr>
                        <wps:spPr bwMode="auto">
                          <a:xfrm>
                            <a:off x="3351907" y="1811363"/>
                            <a:ext cx="260985" cy="635"/>
                          </a:xfrm>
                          <a:prstGeom prst="straightConnector1">
                            <a:avLst/>
                          </a:prstGeom>
                          <a:noFill/>
                          <a:ln w="9525">
                            <a:solidFill>
                              <a:srgbClr val="000000"/>
                            </a:solidFill>
                            <a:round/>
                            <a:tailEnd type="triangle" w="med" len="med"/>
                          </a:ln>
                        </wps:spPr>
                        <wps:bodyPr/>
                      </wps:wsp>
                      <wps:wsp>
                        <wps:cNvPr id="348" name="Rectangle 418"/>
                        <wps:cNvSpPr>
                          <a:spLocks noChangeArrowheads="1"/>
                        </wps:cNvSpPr>
                        <wps:spPr bwMode="auto">
                          <a:xfrm>
                            <a:off x="2966055" y="1668413"/>
                            <a:ext cx="469265" cy="320649"/>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349" name="Rectangle 424"/>
                        <wps:cNvSpPr>
                          <a:spLocks noChangeArrowheads="1"/>
                        </wps:cNvSpPr>
                        <wps:spPr bwMode="auto">
                          <a:xfrm>
                            <a:off x="2933561" y="4141587"/>
                            <a:ext cx="469265" cy="339548"/>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350" name="Rectangle 424"/>
                        <wps:cNvSpPr>
                          <a:spLocks noChangeArrowheads="1"/>
                        </wps:cNvSpPr>
                        <wps:spPr bwMode="auto">
                          <a:xfrm>
                            <a:off x="2891158" y="5450031"/>
                            <a:ext cx="469265" cy="339548"/>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c:wpc>
                  </a:graphicData>
                </a:graphic>
              </wp:inline>
            </w:drawing>
          </mc:Choice>
          <mc:Fallback>
            <w:pict>
              <v:group id="画布 3" o:spid="_x0000_s1026" o:spt="203" style="height:595.25pt;width:453.5pt;" coordsize="5759450,7559675" editas="canvas" o:gfxdata="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">
                <o:lock v:ext="edit" aspectratio="f"/>
                <v:shape id="画布 3" o:spid="_x0000_s1026" style="position:absolute;left:0;top:0;height:7559675;width:5759450;" filled="f" stroked="f" coordsize="21600,21600" o:gfxdata="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">
                  <v:fill on="f" focussize="0,0"/>
                  <v:stroke on="f"/>
                  <v:imagedata o:title=""/>
                  <o:lock v:ext="edit" aspectratio="t"/>
                </v:shape>
                <v:rect id="Rectangle 6" o:spid="_x0000_s1026" o:spt="1" style="position:absolute;left:1140460;top:1076541;height:307975;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zbS1AAAAAYBAAAPAAAAAAAAAAEAIAAAACIAAABkcnMv&#10;ZG93bnJldi54bWxQSwECFAAUAAAACACHTuJArSIaT0ACAACZBAAADgAAAAAAAAABACAAAAAjAQAA&#10;ZHJzL2Uyb0RvYy54bWxQSwUGAAAAAAYABgBZAQAA1QUAAAAA&#10;">
                  <v:fill on="t" focussize="0,0"/>
                  <v:stroke color="#000000" miterlimit="8" joinstyle="miter"/>
                  <v:imagedata o:title=""/>
                  <o:lock v:ext="edit" aspectratio="f"/>
                  <v:textbox>
                    <w:txbxContent>
                      <w:p>
                        <w:pPr>
                          <w:jc w:val="center"/>
                          <w:rPr>
                            <w:sz w:val="24"/>
                          </w:rPr>
                        </w:pPr>
                        <w:r>
                          <w:rPr>
                            <w:rFonts w:hint="eastAsia"/>
                            <w:sz w:val="24"/>
                          </w:rPr>
                          <w:t>冲压</w:t>
                        </w:r>
                      </w:p>
                    </w:txbxContent>
                  </v:textbox>
                </v:rect>
                <v:rect id="Rectangle 7" o:spid="_x0000_s1026" o:spt="1" style="position:absolute;left:1140460;top:1682331;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vM20tQAAAAGAQAADwAAAAAAAAABACAAAAAiAAAAZHJz&#10;L2Rvd25yZXYueG1sUEsBAhQAFAAAAAgAh07iQByf/n1BAgAAmQQAAA4AAAAAAAAAAQAgAAAAIwEA&#10;AGRycy9lMm9Eb2MueG1sUEsFBgAAAAAGAAYAWQEAANYFAAAAAA==&#10;">
                  <v:fill on="t" focussize="0,0"/>
                  <v:stroke color="#000000" miterlimit="8" joinstyle="miter"/>
                  <v:imagedata o:title=""/>
                  <o:lock v:ext="edit" aspectratio="f"/>
                  <v:textbox>
                    <w:txbxContent>
                      <w:p>
                        <w:pPr>
                          <w:jc w:val="center"/>
                          <w:rPr>
                            <w:sz w:val="24"/>
                          </w:rPr>
                        </w:pPr>
                        <w:r>
                          <w:rPr>
                            <w:sz w:val="24"/>
                          </w:rPr>
                          <w:t>除油</w:t>
                        </w:r>
                      </w:p>
                    </w:txbxContent>
                  </v:textbox>
                </v:rect>
                <v:rect id="Rectangle 8" o:spid="_x0000_s1026" o:spt="1" style="position:absolute;left:1142903;top:48652;height:307975;width:1052830;" filled="f" stroked="f" coordsize="21600,21600" o:gfxdata="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Id/tOdYAAAAGAQAADwAAAAAAAAAB&#10;ACAAAAAiAAAAZHJzL2Rvd25yZXYueG1sUEsBAhQAFAAAAAgAh07iQJmi3loSAgAAJQQAAA4AAAAA&#10;AAAAAQAgAAAAJQEAAGRycy9lMm9Eb2MueG1sUEsFBgAAAAAGAAYAWQEAAKkFAAAAAA==&#10;">
                  <v:fill on="f" focussize="0,0"/>
                  <v:stroke on="f"/>
                  <v:imagedata o:title=""/>
                  <o:lock v:ext="edit" aspectratio="f"/>
                  <v:textbox>
                    <w:txbxContent>
                      <w:p>
                        <w:pPr>
                          <w:jc w:val="center"/>
                          <w:rPr>
                            <w:sz w:val="24"/>
                          </w:rPr>
                        </w:pPr>
                        <w:r>
                          <w:rPr>
                            <w:sz w:val="24"/>
                          </w:rPr>
                          <w:t>外购</w:t>
                        </w:r>
                        <w:r>
                          <w:rPr>
                            <w:rFonts w:hint="eastAsia"/>
                            <w:sz w:val="24"/>
                          </w:rPr>
                          <w:t>钢带</w:t>
                        </w:r>
                      </w:p>
                    </w:txbxContent>
                  </v:textbox>
                </v:rect>
                <v:rect id="Rectangle 9" o:spid="_x0000_s1026" o:spt="1" style="position:absolute;left:1097280;top:2309711;height:307340;width:1138555;"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&#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7zNtLUAAAABgEAAA8AAAAAAAAAAQAgAAAAIgAAAGRy&#10;cy9kb3ducmV2LnhtbFBLAQIUABQAAAAIAIdO4kAO7t9pQgIAAJkEAAAOAAAAAAAAAAEAIAAAACM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二级逆流水洗</w:t>
                        </w:r>
                      </w:p>
                    </w:txbxContent>
                  </v:textbox>
                </v:rect>
                <v:rect id="Rectangle 10" o:spid="_x0000_s1026" o:spt="1" style="position:absolute;left:1140460;top:2936456;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7zNtLUAAAABgEAAA8AAAAAAAAAAQAgAAAAIgAAAGRy&#10;cy9kb3ducmV2LnhtbFBLAQIUABQAAAAIAIdO4kAWH0StQgIAAJoEAAAOAAAAAAAAAAEAIAAAACM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酸洗</w:t>
                        </w:r>
                      </w:p>
                    </w:txbxContent>
                  </v:textbox>
                </v:rect>
                <v:rect id="Rectangle 14" o:spid="_x0000_s1026" o:spt="1" style="position:absolute;left:917575;top:3542246;height:307340;width:148844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H7zNtLUAAAABgEAAA8AAAAAAAAAAQAgAAAAIgAAAGRycy9k&#10;b3ducmV2LnhtbFBLAQIUABQAAAAIAIdO4kDzimtvPwIAAJkEAAAOAAAAAAAAAAEAIAAAACMBAABk&#10;cnMvZTJvRG9jLnhtbFBLBQYAAAAABgAGAFkBAADUBQAAAAA=&#10;">
                  <v:fill on="t" focussize="0,0"/>
                  <v:stroke color="#000000" miterlimit="8" joinstyle="miter"/>
                  <v:imagedata o:title=""/>
                  <o:lock v:ext="edit" aspectratio="f"/>
                  <v:textbox>
                    <w:txbxContent>
                      <w:p>
                        <w:pPr>
                          <w:jc w:val="center"/>
                          <w:rPr>
                            <w:sz w:val="24"/>
                          </w:rPr>
                        </w:pPr>
                        <w:r>
                          <w:rPr>
                            <w:rFonts w:hint="eastAsia"/>
                            <w:sz w:val="24"/>
                          </w:rPr>
                          <w:t>二级逆流水洗</w:t>
                        </w:r>
                      </w:p>
                    </w:txbxContent>
                  </v:textbox>
                </v:rect>
                <v:rect id="Rectangle 17" o:spid="_x0000_s1026" o:spt="1" style="position:absolute;left:1140460;top:4186771;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zbS1AAAAAYBAAAPAAAAAAAAAAEAIAAAACIAAABk&#10;cnMvZG93bnJldi54bWxQSwECFAAUAAAACACHTuJAHz8cN0MCAACaBAAADgAAAAAAAAABACAAAAAj&#10;AQAAZHJzL2Uyb0RvYy54bWxQSwUGAAAAAAYABgBZAQAA2AUAAAAA&#10;">
                  <v:fill on="t" focussize="0,0"/>
                  <v:stroke color="#000000" miterlimit="8" joinstyle="miter"/>
                  <v:imagedata o:title=""/>
                  <o:lock v:ext="edit" aspectratio="f"/>
                  <v:textbox>
                    <w:txbxContent>
                      <w:p>
                        <w:pPr>
                          <w:jc w:val="center"/>
                          <w:rPr>
                            <w:sz w:val="24"/>
                          </w:rPr>
                        </w:pPr>
                        <w:r>
                          <w:rPr>
                            <w:sz w:val="24"/>
                          </w:rPr>
                          <w:t>酸活化</w:t>
                        </w:r>
                      </w:p>
                    </w:txbxContent>
                  </v:textbox>
                </v:rect>
                <v:rect id="Rectangle 18" o:spid="_x0000_s1026" o:spt="1" style="position:absolute;left:1140460;top:4819231;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zbS1AAAAAYBAAAPAAAAAAAAAAEAIAAAACIAAABk&#10;cnMvZG93bnJldi54bWxQSwECFAAUAAAACACHTuJAHkm/FkMCAACaBAAADgAAAAAAAAABACAAAAAj&#10;AQAAZHJzL2Uyb0RvYy54bWxQSwUGAAAAAAYABgBZAQAA2AUAAAAA&#10;">
                  <v:fill on="t" focussize="0,0"/>
                  <v:stroke color="#000000" miterlimit="8" joinstyle="miter"/>
                  <v:imagedata o:title=""/>
                  <o:lock v:ext="edit" aspectratio="f"/>
                  <v:textbox>
                    <w:txbxContent>
                      <w:p>
                        <w:pPr>
                          <w:jc w:val="center"/>
                          <w:rPr>
                            <w:sz w:val="24"/>
                          </w:rPr>
                        </w:pPr>
                        <w:r>
                          <w:rPr>
                            <w:sz w:val="24"/>
                          </w:rPr>
                          <w:t>水洗</w:t>
                        </w:r>
                      </w:p>
                    </w:txbxContent>
                  </v:textbox>
                </v:rect>
                <v:rect id="Rectangle 19" o:spid="_x0000_s1026" o:spt="1" style="position:absolute;left:917575;top:6049861;height:307340;width:148844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zbS1AAAAAYBAAAPAAAAAAAAAAEAIAAAACIAAABkcnMv&#10;ZG93bnJldi54bWxQSwECFAAUAAAACACHTuJASepH4kACAACZBAAADgAAAAAAAAABACAAAAAjAQAA&#10;ZHJzL2Uyb0RvYy54bWxQSwUGAAAAAAYABgBZAQAA1QUAAAAA&#10;">
                  <v:fill on="t" focussize="0,0"/>
                  <v:stroke color="#000000" miterlimit="8" joinstyle="miter"/>
                  <v:imagedata o:title=""/>
                  <o:lock v:ext="edit" aspectratio="f"/>
                  <v:textbox>
                    <w:txbxContent>
                      <w:p>
                        <w:pPr>
                          <w:jc w:val="center"/>
                          <w:rPr>
                            <w:sz w:val="24"/>
                          </w:rPr>
                        </w:pPr>
                        <w:r>
                          <w:rPr>
                            <w:rFonts w:hint="eastAsia"/>
                            <w:sz w:val="24"/>
                          </w:rPr>
                          <w:t>三步纯水回收水洗</w:t>
                        </w:r>
                      </w:p>
                    </w:txbxContent>
                  </v:textbox>
                </v:rect>
                <v:rect id="Rectangle 20" o:spid="_x0000_s1026" o:spt="1" style="position:absolute;left:1140460;top:5426926;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zbS1AAAAAYBAAAPAAAAAAAAAAEAIAAAACIAAABk&#10;cnMvZG93bnJldi54bWxQSwECFAAUAAAACACHTuJArzEHPUMCAACaBAAADgAAAAAAAAABACAAAAAj&#10;AQAAZHJzL2Uyb0RvYy54bWxQSwUGAAAAAAYABgBZAQAA2AUAAAAA&#10;">
                  <v:fill on="t" focussize="0,0"/>
                  <v:stroke color="#000000" miterlimit="8" joinstyle="miter"/>
                  <v:imagedata o:title=""/>
                  <o:lock v:ext="edit" aspectratio="f"/>
                  <v:textbox>
                    <w:txbxContent>
                      <w:p>
                        <w:pPr>
                          <w:jc w:val="center"/>
                          <w:rPr>
                            <w:sz w:val="24"/>
                          </w:rPr>
                        </w:pPr>
                        <w:r>
                          <w:rPr>
                            <w:sz w:val="24"/>
                          </w:rPr>
                          <w:t>镀镍</w:t>
                        </w:r>
                      </w:p>
                    </w:txbxContent>
                  </v:textbox>
                </v:rect>
                <v:rect id="Rectangle 21" o:spid="_x0000_s1026" o:spt="1" style="position:absolute;left:1140460;top:6722961;height:307975;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7zNtLUAAAABgEAAA8AAAAAAAAAAQAgAAAAIgAAAGRy&#10;cy9kb3ducmV2LnhtbFBLAQIUABQAAAAIAIdO4kAC3rVuQgIAAJoEAAAOAAAAAAAAAAEAIAAAACMB&#10;AABkcnMvZTJvRG9jLnhtbFBLBQYAAAAABgAGAFkBAADXBQAAAAA=&#10;">
                  <v:fill on="t" focussize="0,0"/>
                  <v:stroke color="#000000" miterlimit="8" joinstyle="miter"/>
                  <v:imagedata o:title=""/>
                  <o:lock v:ext="edit" aspectratio="f"/>
                  <v:textbox>
                    <w:txbxContent>
                      <w:p>
                        <w:pPr>
                          <w:jc w:val="center"/>
                          <w:rPr>
                            <w:sz w:val="24"/>
                          </w:rPr>
                        </w:pPr>
                        <w:r>
                          <w:rPr>
                            <w:sz w:val="24"/>
                          </w:rPr>
                          <w:t>漂白</w:t>
                        </w:r>
                      </w:p>
                    </w:txbxContent>
                  </v:textbox>
                </v:rect>
                <v:rect id="Rectangle 22" o:spid="_x0000_s1026" o:spt="1" style="position:absolute;left:3617595;top:1682331;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vM20tQAAAAGAQAADwAAAAAAAAABACAAAAAiAAAA&#10;ZHJzL2Rvd25yZXYueG1sUEsBAhQAFAAAAAgAh07iQB2DdzBEAgAAmgQAAA4AAAAAAAAAAQAgAAAA&#10;IwEAAGRycy9lMm9Eb2MueG1sUEsFBgAAAAAGAAYAWQEAANkFAAAAAA==&#10;">
                  <v:fill on="t" focussize="0,0"/>
                  <v:stroke color="#000000" miterlimit="8" joinstyle="miter"/>
                  <v:imagedata o:title=""/>
                  <o:lock v:ext="edit" aspectratio="f"/>
                  <v:textbox>
                    <w:txbxContent>
                      <w:p>
                        <w:pPr>
                          <w:jc w:val="center"/>
                          <w:rPr>
                            <w:sz w:val="24"/>
                          </w:rPr>
                        </w:pPr>
                        <w:r>
                          <w:rPr>
                            <w:rFonts w:hint="eastAsia"/>
                            <w:sz w:val="24"/>
                          </w:rPr>
                          <w:t>纯水漂洗</w:t>
                        </w:r>
                      </w:p>
                    </w:txbxContent>
                  </v:textbox>
                </v:rect>
                <v:rect id="Rectangle 23" o:spid="_x0000_s1026" o:spt="1" style="position:absolute;left:3573145;top:2936456;height:307340;width:1138555;"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vM20tQAAAAGAQAADwAAAAAAAAABACAAAAAiAAAA&#10;ZHJzL2Rvd25yZXYueG1sUEsBAhQAFAAAAAgAh07iQF8qB/lEAgAAmgQAAA4AAAAAAAAAAQAgAAAA&#10;IwEAAGRycy9lMm9Eb2MueG1sUEsFBgAAAAAGAAYAWQEAANkFAAAAAA==&#10;">
                  <v:fill on="t" focussize="0,0"/>
                  <v:stroke color="#000000" miterlimit="8" joinstyle="miter"/>
                  <v:imagedata o:title=""/>
                  <o:lock v:ext="edit" aspectratio="f"/>
                  <v:textbox>
                    <w:txbxContent>
                      <w:p>
                        <w:pPr>
                          <w:jc w:val="center"/>
                          <w:rPr>
                            <w:sz w:val="24"/>
                          </w:rPr>
                        </w:pPr>
                        <w:r>
                          <w:rPr>
                            <w:rFonts w:hint="eastAsia"/>
                            <w:sz w:val="24"/>
                          </w:rPr>
                          <w:t>三级逆流水洗</w:t>
                        </w:r>
                      </w:p>
                    </w:txbxContent>
                  </v:textbox>
                </v:rect>
                <v:rect id="Rectangle 24" o:spid="_x0000_s1026" o:spt="1" style="position:absolute;left:3617595;top:2308441;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vM20tQAAAAGAQAADwAAAAAAAAABACAAAAAiAAAA&#10;ZHJzL2Rvd25yZXYueG1sUEsBAhQAFAAAAAgAh07iQHYGEUJEAgAAmgQAAA4AAAAAAAAAAQAgAAAA&#10;IwEAAGRycy9lMm9Eb2MueG1sUEsFBgAAAAAGAAYAWQEAANkFAAAAAA==&#10;">
                  <v:fill on="t" focussize="0,0"/>
                  <v:stroke color="#000000" miterlimit="8" joinstyle="miter"/>
                  <v:imagedata o:title=""/>
                  <o:lock v:ext="edit" aspectratio="f"/>
                  <v:textbox>
                    <w:txbxContent>
                      <w:p>
                        <w:pPr>
                          <w:jc w:val="center"/>
                          <w:rPr>
                            <w:sz w:val="24"/>
                          </w:rPr>
                        </w:pPr>
                        <w:r>
                          <w:rPr>
                            <w:sz w:val="24"/>
                          </w:rPr>
                          <w:t>钝化</w:t>
                        </w:r>
                      </w:p>
                    </w:txbxContent>
                  </v:textbox>
                </v:rect>
                <v:rect id="Rectangle 27" o:spid="_x0000_s1026" o:spt="1" style="position:absolute;left:3618865;top:3540976;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zbS1AAAAAYBAAAPAAAAAAAAAAEAIAAAACIAAABk&#10;cnMvZG93bnJldi54bWxQSwECFAAUAAAACACHTuJA48ZBRkMCAACaBAAADgAAAAAAAAABACAAAAAj&#10;AQAAZHJzL2Uyb0RvYy54bWxQSwUGAAAAAAYABgBZAQAA2AUAAAAA&#10;">
                  <v:fill on="t" focussize="0,0"/>
                  <v:stroke color="#000000" miterlimit="8" joinstyle="miter"/>
                  <v:imagedata o:title=""/>
                  <o:lock v:ext="edit" aspectratio="f"/>
                  <v:textbox>
                    <w:txbxContent>
                      <w:p>
                        <w:pPr>
                          <w:jc w:val="center"/>
                          <w:rPr>
                            <w:sz w:val="24"/>
                          </w:rPr>
                        </w:pPr>
                        <w:r>
                          <w:rPr>
                            <w:sz w:val="24"/>
                          </w:rPr>
                          <w:t>中和</w:t>
                        </w:r>
                      </w:p>
                    </w:txbxContent>
                  </v:textbox>
                </v:rect>
                <v:rect id="Rectangle 28" o:spid="_x0000_s1026" o:spt="1" style="position:absolute;left:3618865;top:4160736;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vM20tQAAAAGAQAADwAAAAAAAAABACAAAAAiAAAA&#10;ZHJzL2Rvd25yZXYueG1sUEsBAhQAFAAAAAgAh07iQKEnLbpEAgAAmgQAAA4AAAAAAAAAAQAgAAAA&#10;IwEAAGRycy9lMm9Eb2MueG1sUEsFBgAAAAAGAAYAWQEAANkFAAAAAA==&#10;">
                  <v:fill on="t" focussize="0,0"/>
                  <v:stroke color="#000000" miterlimit="8" joinstyle="miter"/>
                  <v:imagedata o:title=""/>
                  <o:lock v:ext="edit" aspectratio="f"/>
                  <v:textbox>
                    <w:txbxContent>
                      <w:p>
                        <w:pPr>
                          <w:jc w:val="center"/>
                          <w:rPr>
                            <w:sz w:val="24"/>
                          </w:rPr>
                        </w:pPr>
                        <w:r>
                          <w:rPr>
                            <w:rFonts w:hint="eastAsia"/>
                            <w:sz w:val="24"/>
                          </w:rPr>
                          <w:t>纯水漂洗</w:t>
                        </w:r>
                      </w:p>
                    </w:txbxContent>
                  </v:textbox>
                </v:rect>
                <v:rect id="Rectangle 29" o:spid="_x0000_s1026" o:spt="1" style="position:absolute;left:3623310;top:4823041;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zbS1AAAAAYBAAAPAAAAAAAAAAEAIAAAACIAAABkcnMv&#10;ZG93bnJldi54bWxQSwECFAAUAAAACACHTuJArpZCfEACAACaBAAADgAAAAAAAAABACAAAAAjAQAA&#10;ZHJzL2Uyb0RvYy54bWxQSwUGAAAAAAYABgBZAQAA1QUAAAAA&#10;">
                  <v:fill on="t" focussize="0,0"/>
                  <v:stroke color="#000000" miterlimit="8" joinstyle="miter"/>
                  <v:imagedata o:title=""/>
                  <o:lock v:ext="edit" aspectratio="f"/>
                  <v:textbox>
                    <w:txbxContent>
                      <w:p>
                        <w:pPr>
                          <w:jc w:val="center"/>
                          <w:rPr>
                            <w:sz w:val="24"/>
                          </w:rPr>
                        </w:pPr>
                        <w:r>
                          <w:rPr>
                            <w:sz w:val="24"/>
                          </w:rPr>
                          <w:t>封闭</w:t>
                        </w:r>
                      </w:p>
                    </w:txbxContent>
                  </v:textbox>
                </v:rect>
                <v:rect id="Rectangle 30" o:spid="_x0000_s1026" o:spt="1" style="position:absolute;left:3401695;top:5458676;height:307340;width:148844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&#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7zNtLUAAAABgEAAA8AAAAAAAAAAQAgAAAAIgAAAGRy&#10;cy9kb3ducmV2LnhtbFBLAQIUABQAAAAIAIdO4kBvt1fnQgIAAJoEAAAOAAAAAAAAAAEAIAAAACM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纯水二级逆流水洗</w:t>
                        </w:r>
                      </w:p>
                    </w:txbxContent>
                  </v:textbox>
                </v:rect>
                <v:rect id="Rectangle 31" o:spid="_x0000_s1026" o:spt="1" style="position:absolute;left:3620135;top:6078436;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7zNtLUAAAABgEAAA8AAAAAAAAAAQAgAAAAIgAA&#10;AGRycy9kb3ducmV2LnhtbFBLAQIUABQAAAAIAIdO4kDVZU2URQIAAJoEAAAOAAAAAAAAAAEAIAAA&#10;ACMBAABkcnMvZTJvRG9jLnhtbFBLBQYAAAAABgAGAFkBAADaBQAAAAA=&#10;">
                  <v:fill on="t" focussize="0,0"/>
                  <v:stroke color="#000000" miterlimit="8" joinstyle="miter"/>
                  <v:imagedata o:title=""/>
                  <o:lock v:ext="edit" aspectratio="f"/>
                  <v:textbox>
                    <w:txbxContent>
                      <w:p>
                        <w:pPr>
                          <w:jc w:val="center"/>
                          <w:rPr>
                            <w:sz w:val="24"/>
                          </w:rPr>
                        </w:pPr>
                        <w:r>
                          <w:rPr>
                            <w:sz w:val="24"/>
                          </w:rPr>
                          <w:t>烘干</w:t>
                        </w:r>
                      </w:p>
                    </w:txbxContent>
                  </v:textbox>
                </v:rect>
                <v:rect id="Rectangle 32" o:spid="_x0000_s1026" o:spt="1" style="position:absolute;left:3620135;top:6688036;height:308610;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&#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zbS1AAAAAYBAAAPAAAAAAAAAAEAIAAAACIAAABk&#10;cnMvZG93bnJldi54bWxQSwECFAAUAAAACACHTuJAx7s8XkMCAACaBAAADgAAAAAAAAABACAAAAAj&#10;AQAAZHJzL2Uyb0RvYy54bWxQSwUGAAAAAAYABgBZAQAA2AUAAAAA&#10;">
                  <v:fill on="t" focussize="0,0"/>
                  <v:stroke color="#000000" miterlimit="8" joinstyle="miter"/>
                  <v:imagedata o:title=""/>
                  <o:lock v:ext="edit" aspectratio="f"/>
                  <v:textbox>
                    <w:txbxContent>
                      <w:p>
                        <w:pPr>
                          <w:jc w:val="center"/>
                          <w:rPr>
                            <w:sz w:val="24"/>
                          </w:rPr>
                        </w:pPr>
                        <w:r>
                          <w:rPr>
                            <w:sz w:val="24"/>
                          </w:rPr>
                          <w:t>检验</w:t>
                        </w:r>
                      </w:p>
                    </w:txbxContent>
                  </v:textbox>
                </v:rect>
                <v:shape id="AutoShape 34" o:spid="_x0000_s1026" o:spt="32" type="#_x0000_t32" style="position:absolute;left:1669318;top:356627;height:229720;width:66;"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Lc6ffWAAAABgEAAA8A&#10;AAAAAAAAAQAgAAAAIgAAAGRycy9kb3ducmV2LnhtbFBLAQIUABQAAAAIAIdO4kAXgUjzGQIAACcE&#10;AAAOAAAAAAAAAAEAIAAAACUBAABkcnMvZTJvRG9jLnhtbFBLBQYAAAAABgAGAFkBAACwBQAAAAA=&#10;">
                  <v:fill on="f" focussize="0,0"/>
                  <v:stroke color="#000000" joinstyle="round" endarrow="block"/>
                  <v:imagedata o:title=""/>
                  <o:lock v:ext="edit" aspectratio="f"/>
                </v:shape>
                <v:shape id="AutoShape 35" o:spid="_x0000_s1026" o:spt="32" type="#_x0000_t32" style="position:absolute;left:1666875;top:1384516;height:297815;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i3On31gAAAAYBAAAPAAAA&#10;AAAAAAEAIAAAACIAAABkcnMvZG93bnJldi54bWxQSwECFAAUAAAACACHTuJAqM+EDxcCAAApBAAA&#10;DgAAAAAAAAABACAAAAAlAQAAZHJzL2Uyb0RvYy54bWxQSwUGAAAAAAYABgBZAQAArgUAAAAA&#10;">
                  <v:fill on="f" focussize="0,0"/>
                  <v:stroke color="#000000" joinstyle="round" endarrow="block"/>
                  <v:imagedata o:title=""/>
                  <o:lock v:ext="edit" aspectratio="f"/>
                </v:shape>
                <v:shape id="AutoShape 36" o:spid="_x0000_s1026" o:spt="32" type="#_x0000_t32" style="position:absolute;left:1666875;top:1990941;height:31877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i3On31gAAAAYBAAAPAAAA&#10;AAAAAAEAIAAAACIAAABkcnMvZG93bnJldi54bWxQSwECFAAUAAAACACHTuJA11tKKxcCAAApBAAA&#10;DgAAAAAAAAABACAAAAAlAQAAZHJzL2Uyb0RvYy54bWxQSwUGAAAAAAYABgBZAQAArgUAAAAA&#10;">
                  <v:fill on="f" focussize="0,0"/>
                  <v:stroke color="#000000" joinstyle="round" endarrow="block"/>
                  <v:imagedata o:title=""/>
                  <o:lock v:ext="edit" aspectratio="f"/>
                </v:shape>
                <v:shape id="AutoShape 37" o:spid="_x0000_s1026" o:spt="32" type="#_x0000_t32" style="position:absolute;left:1666875;top:2617051;height:319405;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Lc6ffWAAAABgEAAA8AAAAA&#10;AAAAAQAgAAAAIgAAAGRycy9kb3ducmV2LnhtbFBLAQIUABQAAAAIAIdO4kDBuXWcFgIAACkEAAAO&#10;AAAAAAAAAAEAIAAAACUBAABkcnMvZTJvRG9jLnhtbFBLBQYAAAAABgAGAFkBAACtBQAAAAA=&#10;">
                  <v:fill on="f" focussize="0,0"/>
                  <v:stroke color="#000000" joinstyle="round" endarrow="block"/>
                  <v:imagedata o:title=""/>
                  <o:lock v:ext="edit" aspectratio="f"/>
                </v:shape>
                <v:shape id="AutoShape 38" o:spid="_x0000_s1026" o:spt="32" type="#_x0000_t32" style="position:absolute;left:1661795;top:3245066;flip:x;height:297180;width:5080;"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ksRO0dYAAAAG&#10;AQAADwAAAAAAAAABACAAAAAiAAAAZHJzL2Rvd25yZXYueG1sUEsBAhQAFAAAAAgAh07iQISOxHYe&#10;AgAANAQAAA4AAAAAAAAAAQAgAAAAJQEAAGRycy9lMm9Eb2MueG1sUEsFBgAAAAAGAAYAWQEAALUF&#10;AAAAAA==&#10;">
                  <v:fill on="f" focussize="0,0"/>
                  <v:stroke color="#000000" joinstyle="round" endarrow="block"/>
                  <v:imagedata o:title=""/>
                  <o:lock v:ext="edit" aspectratio="f"/>
                </v:shape>
                <v:shape id="AutoShape 39" o:spid="_x0000_s1026" o:spt="32" type="#_x0000_t32" style="position:absolute;left:1661795;top:3849586;height:337185;width:5080;"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otzp99YAAAAGAQAADwAA&#10;AAAAAAABACAAAAAiAAAAZHJzL2Rvd25yZXYueG1sUEsBAhQAFAAAAAgAh07iQBRi1hwYAgAAKgQA&#10;AA4AAAAAAAAAAQAgAAAAJQEAAGRycy9lMm9Eb2MueG1sUEsFBgAAAAAGAAYAWQEAAK8FAAAAAA==&#10;">
                  <v:fill on="f" focussize="0,0"/>
                  <v:stroke color="#000000" joinstyle="round" endarrow="block"/>
                  <v:imagedata o:title=""/>
                  <o:lock v:ext="edit" aspectratio="f"/>
                </v:shape>
                <v:shape id="AutoShape 42" o:spid="_x0000_s1026" o:spt="32" type="#_x0000_t32" style="position:absolute;left:1666875;top:4495381;height:32385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i3On31gAAAAYBAAAPAAAA&#10;AAAAAAEAIAAAACIAAABkcnMvZG93bnJldi54bWxQSwECFAAUAAAACACHTuJAnWhi1xcCAAApBAAA&#10;DgAAAAAAAAABACAAAAAlAQAAZHJzL2Uyb0RvYy54bWxQSwUGAAAAAAYABgBZAQAArgUAAAAA&#10;">
                  <v:fill on="f" focussize="0,0"/>
                  <v:stroke color="#000000" joinstyle="round" endarrow="block"/>
                  <v:imagedata o:title=""/>
                  <o:lock v:ext="edit" aspectratio="f"/>
                </v:shape>
                <v:shape id="AutoShape 43" o:spid="_x0000_s1026" o:spt="32" type="#_x0000_t32" style="position:absolute;left:1666875;top:5127841;height:299085;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Lc6ffWAAAABgEAAA8AAAAA&#10;AAAAAQAgAAAAIgAAAGRycy9kb3ducmV2LnhtbFBLAQIUABQAAAAIAIdO4kAECrjeFgIAACkEAAAO&#10;AAAAAAAAAAEAIAAAACUBAABkcnMvZTJvRG9jLnhtbFBLBQYAAAAABgAGAFkBAACtBQAAAAA=&#10;">
                  <v:fill on="f" focussize="0,0"/>
                  <v:stroke color="#000000" joinstyle="round" endarrow="block"/>
                  <v:imagedata o:title=""/>
                  <o:lock v:ext="edit" aspectratio="f"/>
                </v:shape>
                <v:shape id="AutoShape 44" o:spid="_x0000_s1026" o:spt="32" type="#_x0000_t32" style="position:absolute;left:1661795;top:5735536;flip:x;height:314325;width:5080;" filled="f" stroked="f" coordsize="21600,21600" o:gfxdata="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ATYB+0wAAAAYB&#10;AAAPAAAAAAAAAAEAIAAAACIAAABkcnMvZG93bnJldi54bWxQSwECFAAUAAAACACHTuJAw+aHLecB&#10;AADKAwAADgAAAAAAAAABACAAAAAiAQAAZHJzL2Uyb0RvYy54bWxQSwUGAAAAAAYABgBZAQAAewUA&#10;AAAA&#10;">
                  <v:fill on="f" focussize="0,0"/>
                  <v:stroke on="f"/>
                  <v:imagedata o:title=""/>
                  <o:lock v:ext="edit" aspectratio="f"/>
                </v:shape>
                <v:shape id="AutoShape 46" o:spid="_x0000_s1026" o:spt="32" type="#_x0000_t32" style="position:absolute;left:1661795;top:5735536;flip:x;height:314325;width:5080;"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SxE7R1gAAAAYB&#10;AAAPAAAAAAAAAAEAIAAAACIAAABkcnMvZG93bnJldi54bWxQSwECFAAUAAAACACHTuJAWQ8i7R0C&#10;AAA0BAAADgAAAAAAAAABACAAAAAlAQAAZHJzL2Uyb0RvYy54bWxQSwUGAAAAAAYABgBZAQAAtAUA&#10;AAAA&#10;">
                  <v:fill on="f" focussize="0,0"/>
                  <v:stroke color="#000000" joinstyle="round" endarrow="block"/>
                  <v:imagedata o:title=""/>
                  <o:lock v:ext="edit" aspectratio="f"/>
                </v:shape>
                <v:shape id="AutoShape 47" o:spid="_x0000_s1026" o:spt="36" type="#_x0000_t36" style="position:absolute;left:231140;top:3118066;flip:x y;height:2477135;width:5348605;rotation:5898240f;" filled="f" stroked="t" coordsize="21600,21600" o:gfxdata="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pxL+dIAAAAG&#10;AQAADwAAAAAAAAABACAAAAAiAAAAZHJzL2Rvd25yZXYueG1sUEsBAhQAFAAAAAgAh07iQMQPzKxb&#10;AgAAzgQAAA4AAAAAAAAAAQAgAAAAIQEAAGRycy9lMm9Eb2MueG1sUEsFBgAAAAAGAAYAWQEAAO4F&#10;AAAAAA==&#10;" adj="-921,10803,22523">
                  <v:fill on="f" focussize="0,0"/>
                  <v:stroke color="#000000" miterlimit="8" joinstyle="miter" endarrow="block"/>
                  <v:imagedata o:title=""/>
                  <o:lock v:ext="edit" aspectratio="f"/>
                </v:shape>
                <v:shape id="AutoShape 49" o:spid="_x0000_s1026" o:spt="32" type="#_x0000_t32" style="position:absolute;left:4144010;top:1990941;height:31750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Lc6ffWAAAABgEAAA8AAAAA&#10;AAAAAQAgAAAAIgAAAGRycy9kb3ducmV2LnhtbFBLAQIUABQAAAAIAIdO4kA3oAv4FgIAACkEAAAO&#10;AAAAAAAAAAEAIAAAACUBAABkcnMvZTJvRG9jLnhtbFBLBQYAAAAABgAGAFkBAACtBQAAAAA=&#10;">
                  <v:fill on="f" focussize="0,0"/>
                  <v:stroke color="#000000" joinstyle="round" endarrow="block"/>
                  <v:imagedata o:title=""/>
                  <o:lock v:ext="edit" aspectratio="f"/>
                </v:shape>
                <v:shape id="AutoShape 50" o:spid="_x0000_s1026" o:spt="32" type="#_x0000_t32" style="position:absolute;left:4142740;top:2617051;flip:x;height:319405;width:1270;"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LETtHWAAAABgEA&#10;AA8AAAAAAAAAAQAgAAAAIgAAAGRycy9kb3ducmV2LnhtbFBLAQIUABQAAAAIAIdO4kCGZTT3HAIA&#10;ADQEAAAOAAAAAAAAAAEAIAAAACUBAABkcnMvZTJvRG9jLnhtbFBLBQYAAAAABgAGAFkBAACzBQAA&#10;AAA=&#10;">
                  <v:fill on="f" focussize="0,0"/>
                  <v:stroke color="#000000" joinstyle="round" endarrow="block"/>
                  <v:imagedata o:title=""/>
                  <o:lock v:ext="edit" aspectratio="f"/>
                </v:shape>
                <v:shape id="AutoShape 51" o:spid="_x0000_s1026" o:spt="32" type="#_x0000_t32" style="position:absolute;left:4142740;top:3243796;height:297180;width:2540;"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Lc6ffWAAAABgEAAA8A&#10;AAAAAAAAAQAgAAAAIgAAAGRycy9kb3ducmV2LnhtbFBLAQIUABQAAAAIAIdO4kBPVw8nGQIAACoE&#10;AAAOAAAAAAAAAAEAIAAAACUBAABkcnMvZTJvRG9jLnhtbFBLBQYAAAAABgAGAFkBAACwBQAAAAA=&#10;">
                  <v:fill on="f" focussize="0,0"/>
                  <v:stroke color="#000000" joinstyle="round" endarrow="block"/>
                  <v:imagedata o:title=""/>
                  <o:lock v:ext="edit" aspectratio="f"/>
                </v:shape>
                <v:shape id="AutoShape 52" o:spid="_x0000_s1026" o:spt="32" type="#_x0000_t32" style="position:absolute;left:4145280;top:3849586;height:31115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otzp99YAAAAGAQAADwAAAAAA&#10;AAABACAAAAAiAAAAZHJzL2Rvd25yZXYueG1sUEsBAhQAFAAAAAgAh07iQCXwcNoVAgAAKQQAAA4A&#10;AAAAAAAAAQAgAAAAJQEAAGRycy9lMm9Eb2MueG1sUEsFBgAAAAAGAAYAWQEAAKwFAAAAAA==&#10;">
                  <v:fill on="f" focussize="0,0"/>
                  <v:stroke color="#000000" joinstyle="round" endarrow="block"/>
                  <v:imagedata o:title=""/>
                  <o:lock v:ext="edit" aspectratio="f"/>
                </v:shape>
                <v:shape id="AutoShape 54" o:spid="_x0000_s1026" o:spt="32" type="#_x0000_t32" style="position:absolute;left:4145280;top:4469346;height:353695;width:444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i3On31gAAAAYBAAAPAAAAAAAA&#10;AAEAIAAAACIAAABkcnMvZG93bnJldi54bWxQSwECFAAUAAAACACHTuJAMx/PyRQCAAAqBAAADgAA&#10;AAAAAAABACAAAAAlAQAAZHJzL2Uyb0RvYy54bWxQSwUGAAAAAAYABgBZAQAAqwUAAAAA&#10;">
                  <v:fill on="f" focussize="0,0"/>
                  <v:stroke color="#000000" joinstyle="round" endarrow="block"/>
                  <v:imagedata o:title=""/>
                  <o:lock v:ext="edit" aspectratio="f"/>
                </v:shape>
                <v:shape id="AutoShape 55" o:spid="_x0000_s1026" o:spt="32" type="#_x0000_t32" style="position:absolute;left:4145915;top:5131651;flip:x;height:327025;width:3810;"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SxE7R1gAAAAYB&#10;AAAPAAAAAAAAAAEAIAAAACIAAABkcnMvZG93bnJldi54bWxQSwECFAAUAAAACACHTuJAsN0+cx0C&#10;AAA0BAAADgAAAAAAAAABACAAAAAlAQAAZHJzL2Uyb0RvYy54bWxQSwUGAAAAAAYABgBZAQAAtAUA&#10;AAAA&#10;">
                  <v:fill on="f" focussize="0,0"/>
                  <v:stroke color="#000000" joinstyle="round" endarrow="block"/>
                  <v:imagedata o:title=""/>
                  <o:lock v:ext="edit" aspectratio="f"/>
                </v:shape>
                <v:shape id="AutoShape 56" o:spid="_x0000_s1026" o:spt="32" type="#_x0000_t32" style="position:absolute;left:4145915;top:5766016;height:31242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otzp99YAAAAGAQAADwAA&#10;AAAAAAABACAAAAAiAAAAZHJzL2Rvd25yZXYueG1sUEsBAhQAFAAAAAgAh07iQHYIREsYAgAAKQQA&#10;AA4AAAAAAAAAAQAgAAAAJQEAAGRycy9lMm9Eb2MueG1sUEsFBgAAAAAGAAYAWQEAAK8FAAAAAA==&#10;">
                  <v:fill on="f" focussize="0,0"/>
                  <v:stroke color="#000000" joinstyle="round" endarrow="block"/>
                  <v:imagedata o:title=""/>
                  <o:lock v:ext="edit" aspectratio="f"/>
                </v:shape>
                <v:shape id="AutoShape 57" o:spid="_x0000_s1026" o:spt="32" type="#_x0000_t32" style="position:absolute;left:4146550;top:6387046;height:30099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Lc6ffWAAAABgEAAA8A&#10;AAAAAAAAAQAgAAAAIgAAAGRycy9kb3ducmV2LnhtbFBLAQIUABQAAAAIAIdO4kDw+RAJGQIAACkE&#10;AAAOAAAAAAAAAAEAIAAAACUBAABkcnMvZTJvRG9jLnhtbFBLBQYAAAAABgAGAFkBAACwBQAAAAA=&#10;">
                  <v:fill on="f" focussize="0,0"/>
                  <v:stroke color="#000000" joinstyle="round" endarrow="block"/>
                  <v:imagedata o:title=""/>
                  <o:lock v:ext="edit" aspectratio="f"/>
                </v:shape>
                <v:shape id="AutoShape 58" o:spid="_x0000_s1026" o:spt="32" type="#_x0000_t32" style="position:absolute;left:4146550;top:6996646;height:215900;width:635;" filled="f" stroked="f" coordsize="21600,21600" o:gfxdata="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Co89+NQAAAAGAQAADwAAAAAAAAABACAAAAAi&#10;AAAAZHJzL2Rvd25yZXYueG1sUEsBAhQAFAAAAAgAh07iQM43q3TVAQAAogMAAA4AAAAAAAAAAQAg&#10;AAAAIwEAAGRycy9lMm9Eb2MueG1sUEsFBgAAAAAGAAYAWQEAAGoFAAAAAA==&#10;">
                  <v:fill on="f" focussize="0,0"/>
                  <v:stroke on="f"/>
                  <v:imagedata o:title=""/>
                  <o:lock v:ext="edit" aspectratio="f"/>
                </v:shape>
                <v:shape id="AutoShape 59" o:spid="_x0000_s1026" o:spt="32" type="#_x0000_t32" style="position:absolute;left:4146550;top:6996646;height:213360;width:63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i3On31gAAAAYBAAAPAAAAAAAAAAEA&#10;IAAAACIAAABkcnMvZG93bnJldi54bWxQSwECFAAUAAAACACHTuJACTzU5BECAAAMBAAADgAAAAAA&#10;AAABACAAAAAlAQAAZHJzL2Uyb0RvYy54bWxQSwUGAAAAAAYABgBZAQAAqAUAAAAA&#10;">
                  <v:fill on="f" focussize="0,0"/>
                  <v:stroke color="#000000" joinstyle="round" endarrow="block"/>
                  <v:imagedata o:title=""/>
                  <o:lock v:ext="edit" aspectratio="f"/>
                </v:shape>
                <v:rect id="Rectangle 33" o:spid="_x0000_s1026" o:spt="1" style="position:absolute;left:3404235;top:7246201;height:308610;width:1478915;" filled="f" stroked="f" coordsize="21600,21600" o:gfxdata="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Hf7TnWAAAABgEAAA8AAAAA&#10;AAAAAQAgAAAAIgAAAGRycy9kb3ducmV2LnhtbFBLAQIUABQAAAAIAIdO4kC5XsJGFgIAACgEAAAO&#10;AAAAAAAAAAEAIAAAACUBAABkcnMvZTJvRG9jLnhtbFBLBQYAAAAABgAGAFkBAACtBQAAAAA=&#10;">
                  <v:fill on="f" focussize="0,0"/>
                  <v:stroke on="f"/>
                  <v:imagedata o:title=""/>
                  <o:lock v:ext="edit" aspectratio="f"/>
                  <v:textbox>
                    <w:txbxContent>
                      <w:p>
                        <w:pPr>
                          <w:jc w:val="center"/>
                          <w:rPr>
                            <w:sz w:val="24"/>
                          </w:rPr>
                        </w:pPr>
                        <w:r>
                          <w:rPr>
                            <w:sz w:val="24"/>
                          </w:rPr>
                          <w:t>包装</w:t>
                        </w:r>
                      </w:p>
                    </w:txbxContent>
                  </v:textbox>
                </v:rect>
                <v:rect id="Rectangle 60" o:spid="_x0000_s1026" o:spt="1" style="position:absolute;left:201930;top:1076541;height:307975;width:72961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G+nBRQsCAAAWBAAADgAAAAAAAAABACAA&#10;AAAlAQAAZHJzL2Uyb0RvYy54bWxQSwUGAAAAAAYABgBZAQAAogUAAAAA&#10;">
                  <v:fill on="f" focussize="0,0"/>
                  <v:stroke on="f"/>
                  <v:imagedata o:title=""/>
                  <o:lock v:ext="edit" aspectratio="f"/>
                  <v:textbox inset="0mm,0mm,0mm,0mm">
                    <w:txbxContent>
                      <w:p>
                        <w:pPr>
                          <w:jc w:val="center"/>
                          <w:rPr>
                            <w:sz w:val="18"/>
                          </w:rPr>
                        </w:pPr>
                        <w:r>
                          <w:rPr>
                            <w:sz w:val="18"/>
                          </w:rPr>
                          <w:t>噪声、边角料、废机油</w:t>
                        </w:r>
                      </w:p>
                    </w:txbxContent>
                  </v:textbox>
                </v:rect>
                <v:shape id="AutoShape 61" o:spid="_x0000_s1026" o:spt="32" type="#_x0000_t32" style="position:absolute;left:931545;top:1230846;flip:x;height:635;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XN8kL&#10;0QAAAAYBAAAPAAAAAAAAAAEAIAAAACIAAABkcnMvZG93bnJldi54bWxQSwECFAAUAAAACACHTuJA&#10;paX/vigCAABKBAAADgAAAAAAAAABACAAAAAgAQAAZHJzL2Uyb0RvYy54bWxQSwUGAAAAAAYABgBZ&#10;AQAAugUAAAAA&#10;">
                  <v:fill on="f" focussize="0,0"/>
                  <v:stroke color="#000000" joinstyle="round" dashstyle="dash" endarrow="block"/>
                  <v:imagedata o:title=""/>
                  <o:lock v:ext="edit" aspectratio="f"/>
                </v:shape>
                <v:rect id="Rectangle 62" o:spid="_x0000_s1026" o:spt="1" style="position:absolute;left:333375;top:1731226;height:149860;width:58420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w7pKPWAAAABgEAAA8AAAAAAAAAAQAgAAAAIgAA&#10;AGRycy9kb3ducmV2LnhtbFBLAQIUABQAAAAIAIdO4kA/G1x5CgIAABYEAAAOAAAAAAAAAAEAIAAA&#10;ACUBAABkcnMvZTJvRG9jLnhtbFBLBQYAAAAABgAGAFkBAAChBQAAAAA=&#10;">
                  <v:fill on="f" focussize="0,0"/>
                  <v:stroke on="f"/>
                  <v:imagedata o:title=""/>
                  <o:lock v:ext="edit" aspectratio="f"/>
                  <v:textbox inset="0mm,0mm,0mm,0mm">
                    <w:txbxContent>
                      <w:p>
                        <w:pPr>
                          <w:jc w:val="center"/>
                          <w:rPr>
                            <w:sz w:val="18"/>
                          </w:rPr>
                        </w:pPr>
                        <w:r>
                          <w:rPr>
                            <w:sz w:val="18"/>
                          </w:rPr>
                          <w:t>含油废水</w:t>
                        </w:r>
                      </w:p>
                    </w:txbxContent>
                  </v:textbox>
                </v:rect>
                <v:shape id="AutoShape 63" o:spid="_x0000_s1026" o:spt="32" type="#_x0000_t32" style="position:absolute;left:917575;top:1806156;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WbTjjWAAAABgEAAA8AAAAA&#10;AAAAAQAgAAAAIgAAAGRycy9kb3ducmV2LnhtbFBLAQIUABQAAAAIAIdO4kAUBD3wFgIAABwEAAAO&#10;AAAAAAAAAAEAIAAAACUBAABkcnMvZTJvRG9jLnhtbFBLBQYAAAAABgAGAFkBAACtBQAAAAA=&#10;">
                  <v:fill on="f" focussize="0,0"/>
                  <v:stroke color="#000000" joinstyle="round" dashstyle="dash" endarrow="block"/>
                  <v:imagedata o:title=""/>
                  <o:lock v:ext="edit" aspectratio="f"/>
                </v:shape>
                <v:rect id="Rectangle 64" o:spid="_x0000_s1026" o:spt="1" style="position:absolute;left:165735;top:2382736;height:149860;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e24UPQsCAAAWBAAADgAAAAAAAAABACAA&#10;AAAlAQAAZHJzL2Uyb0RvYy54bWxQSwUGAAAAAAYABgBZAQAAogUAAAAA&#10;">
                  <v:fill on="f" focussize="0,0"/>
                  <v:stroke on="f"/>
                  <v:imagedata o:title=""/>
                  <o:lock v:ext="edit" aspectratio="f"/>
                  <v:textbox inset="0mm,0mm,0mm,0mm">
                    <w:txbxContent>
                      <w:p>
                        <w:pPr>
                          <w:jc w:val="center"/>
                          <w:rPr>
                            <w:sz w:val="18"/>
                          </w:rPr>
                        </w:pPr>
                        <w:r>
                          <w:rPr>
                            <w:sz w:val="18"/>
                          </w:rPr>
                          <w:t>含油废水</w:t>
                        </w:r>
                      </w:p>
                    </w:txbxContent>
                  </v:textbox>
                </v:rect>
                <v:shape id="AutoShape 65" o:spid="_x0000_s1026" o:spt="32" type="#_x0000_t32" style="position:absolute;left:888365;top:2457666;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WbTjjWAAAABgEAAA8AAAAA&#10;AAAAAQAgAAAAIgAAAGRycy9kb3ducmV2LnhtbFBLAQIUABQAAAAIAIdO4kB/v5LqFgIAABwEAAAO&#10;AAAAAAAAAAEAIAAAACUBAABkcnMvZTJvRG9jLnhtbFBLBQYAAAAABgAGAFkBAACtBQAAAAA=&#10;">
                  <v:fill on="f" focussize="0,0"/>
                  <v:stroke color="#000000" joinstyle="round" dashstyle="dash" endarrow="block"/>
                  <v:imagedata o:title=""/>
                  <o:lock v:ext="edit" aspectratio="f"/>
                </v:shape>
                <v:rect id="Rectangle 66" o:spid="_x0000_s1026" o:spt="1" style="position:absolute;left:2454275;top:1668361;height:334645;width:36322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SJUvvAsCAAAXBAAADgAAAAAAAAABACAA&#10;AAAlAQAAZHJzL2Uyb0RvYy54bWxQSwUGAAAAAAYABgBZAQAAogUAAAAA&#10;">
                  <v:fill on="f" focussize="0,0"/>
                  <v:stroke on="f"/>
                  <v:imagedata o:title=""/>
                  <o:lock v:ext="edit" aspectratio="f"/>
                  <v:textbox inset="0mm,0mm,0mm,0mm">
                    <w:txbxContent>
                      <w:p>
                        <w:pPr>
                          <w:jc w:val="center"/>
                          <w:rPr>
                            <w:sz w:val="18"/>
                          </w:rPr>
                        </w:pPr>
                        <w:r>
                          <w:rPr>
                            <w:sz w:val="18"/>
                          </w:rPr>
                          <w:t>碱性脱脂剂</w:t>
                        </w:r>
                      </w:p>
                    </w:txbxContent>
                  </v:textbox>
                </v:rect>
                <v:shape id="AutoShape 67" o:spid="_x0000_s1026" o:spt="32" type="#_x0000_t32" style="position:absolute;left:2193290;top:1836001;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ksRO0dYAAAAGAQAA&#10;DwAAAAAAAAABACAAAAAiAAAAZHJzL2Rvd25yZXYueG1sUEsBAhQAFAAAAAgAh07iQOzUf1obAgAA&#10;MwQAAA4AAAAAAAAAAQAgAAAAJQEAAGRycy9lMm9Eb2MueG1sUEsFBgAAAAAGAAYAWQEAALIFAAAA&#10;AA==&#10;">
                  <v:fill on="f" focussize="0,0"/>
                  <v:stroke color="#000000" joinstyle="round" endarrow="block"/>
                  <v:imagedata o:title=""/>
                  <o:lock v:ext="edit" aspectratio="f"/>
                </v:shape>
                <v:rect id="Rectangle 68" o:spid="_x0000_s1026" o:spt="1" style="position:absolute;left:2454275;top:2912326;height:33464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cuxRawsCAAAXBAAADgAAAAAAAAABACAA&#10;AAAlAQAAZHJzL2Uyb0RvYy54bWxQSwUGAAAAAAYABgBZAQAAogUAAAAA&#10;">
                  <v:fill on="f" focussize="0,0"/>
                  <v:stroke on="f"/>
                  <v:imagedata o:title=""/>
                  <o:lock v:ext="edit" aspectratio="f"/>
                  <v:textbox inset="0mm,0mm,0mm,0mm">
                    <w:txbxContent>
                      <w:p>
                        <w:pPr>
                          <w:jc w:val="center"/>
                          <w:rPr>
                            <w:sz w:val="18"/>
                          </w:rPr>
                        </w:pPr>
                        <w:r>
                          <w:rPr>
                            <w:rFonts w:hint="eastAsia"/>
                            <w:sz w:val="18"/>
                          </w:rPr>
                          <w:t>5%~8%</w:t>
                        </w:r>
                      </w:p>
                      <w:p>
                        <w:pPr>
                          <w:jc w:val="center"/>
                          <w:rPr>
                            <w:sz w:val="18"/>
                          </w:rPr>
                        </w:pPr>
                        <w:r>
                          <w:rPr>
                            <w:rFonts w:hint="eastAsia"/>
                            <w:sz w:val="18"/>
                          </w:rPr>
                          <w:t>盐酸</w:t>
                        </w:r>
                      </w:p>
                    </w:txbxContent>
                  </v:textbox>
                </v:rect>
                <v:shape id="AutoShape 69" o:spid="_x0000_s1026" o:spt="32" type="#_x0000_t32" style="position:absolute;left:2193290;top:3079966;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ksRO0dYAAAAGAQAADwAAAAAAAAAB&#10;ACAAAAAiAAAAZHJzL2Rvd25yZXYueG1sUEsBAhQAFAAAAAgAh07iQJyISl4SAgAAFgQAAA4AAAAA&#10;AAAAAQAgAAAAJQEAAGRycy9lMm9Eb2MueG1sUEsFBgAAAAAGAAYAWQEAAKkFAAAAAA==&#10;">
                  <v:fill on="f" focussize="0,0"/>
                  <v:stroke color="#000000" joinstyle="round" endarrow="block"/>
                  <v:imagedata o:title=""/>
                  <o:lock v:ext="edit" aspectratio="f"/>
                </v:shape>
                <v:rect id="Rectangle 70" o:spid="_x0000_s1026" o:spt="1" style="position:absolute;left:298450;top:2921216;height:311150;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&#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w7pKPWAAAABgEAAA8AAAAAAAAAAQAgAAAAIgAAAGRy&#10;cy9kb3ducmV2LnhtbFBLAQIUABQAAAAIAIdO4kB777HcBwIAABYEAAAOAAAAAAAAAAEAIAAAACUB&#10;AABkcnMvZTJvRG9jLnhtbFBLBQYAAAAABgAGAFkBAACeBQAAAAA=&#10;">
                  <v:fill on="f" focussize="0,0"/>
                  <v:stroke on="f"/>
                  <v:imagedata o:title=""/>
                  <o:lock v:ext="edit" aspectratio="f"/>
                  <v:textbox inset="0mm,0mm,0mm,0mm">
                    <w:txbxContent>
                      <w:p>
                        <w:pPr>
                          <w:jc w:val="center"/>
                          <w:rPr>
                            <w:sz w:val="18"/>
                          </w:rPr>
                        </w:pPr>
                        <w:r>
                          <w:rPr>
                            <w:sz w:val="18"/>
                          </w:rPr>
                          <w:t>盐酸雾</w:t>
                        </w:r>
                      </w:p>
                      <w:p>
                        <w:pPr>
                          <w:jc w:val="center"/>
                          <w:rPr>
                            <w:sz w:val="18"/>
                          </w:rPr>
                        </w:pPr>
                        <w:r>
                          <w:rPr>
                            <w:rFonts w:hint="eastAsia"/>
                            <w:sz w:val="18"/>
                          </w:rPr>
                          <w:t>酸性废水</w:t>
                        </w:r>
                      </w:p>
                    </w:txbxContent>
                  </v:textbox>
                </v:rect>
                <v:shape id="AutoShape 71" o:spid="_x0000_s1026" o:spt="32" type="#_x0000_t32" style="position:absolute;left:912495;top:3080601;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WbTjjWAAAABgEAAA8AAAAA&#10;AAAAAQAgAAAAIgAAAGRycy9kb3ducmV2LnhtbFBLAQIUABQAAAAIAIdO4kA2sCrDFgIAABwEAAAO&#10;AAAAAAAAAAEAIAAAACUBAABkcnMvZTJvRG9jLnhtbFBLBQYAAAAABgAGAFkBAACtBQAAAAA=&#10;">
                  <v:fill on="f" focussize="0,0"/>
                  <v:stroke color="#000000" joinstyle="round" dashstyle="dash" endarrow="block"/>
                  <v:imagedata o:title=""/>
                  <o:lock v:ext="edit" aspectratio="f"/>
                </v:shape>
                <v:rect id="Rectangle 72" o:spid="_x0000_s1026" o:spt="1" style="position:absolute;left:83185;top:3630511;height:149860;width:63944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okkb/QsCAAAVBAAADgAAAAAAAAABACAA&#10;AAAlAQAAZHJzL2Uyb0RvYy54bWxQSwUGAAAAAAYABgBZAQAAogUAAAAA&#10;">
                  <v:fill on="f" focussize="0,0"/>
                  <v:stroke on="f"/>
                  <v:imagedata o:title=""/>
                  <o:lock v:ext="edit" aspectratio="f"/>
                  <v:textbox inset="0mm,0mm,0mm,0mm">
                    <w:txbxContent>
                      <w:p>
                        <w:pPr>
                          <w:jc w:val="center"/>
                          <w:rPr>
                            <w:sz w:val="18"/>
                          </w:rPr>
                        </w:pPr>
                        <w:r>
                          <w:rPr>
                            <w:rFonts w:hint="eastAsia"/>
                            <w:sz w:val="18"/>
                          </w:rPr>
                          <w:t xml:space="preserve">  酸性</w:t>
                        </w:r>
                        <w:r>
                          <w:rPr>
                            <w:sz w:val="18"/>
                          </w:rPr>
                          <w:t>废水</w:t>
                        </w:r>
                      </w:p>
                    </w:txbxContent>
                  </v:textbox>
                </v:rect>
                <v:shape id="AutoShape 73" o:spid="_x0000_s1026" o:spt="32" type="#_x0000_t32" style="position:absolute;left:708660;top:3705441;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Fm0441gAAAAYBAAAPAAAA&#10;AAAAAAEAIAAAACIAAABkcnMvZG93bnJldi54bWxQSwECFAAUAAAACACHTuJAj9mpJxcCAAAcBAAA&#10;DgAAAAAAAAABACAAAAAlAQAAZHJzL2Uyb0RvYy54bWxQSwUGAAAAAAYABgBZAQAArgUAAAAA&#10;">
                  <v:fill on="f" focussize="0,0"/>
                  <v:stroke color="#000000" joinstyle="round" dashstyle="dash" endarrow="block"/>
                  <v:imagedata o:title=""/>
                  <o:lock v:ext="edit" aspectratio="f"/>
                </v:shape>
                <v:shape id="AutoShape 75" o:spid="_x0000_s1026" o:spt="32" type="#_x0000_t32" style="position:absolute;left:1661795;top:6357201;height:365760;width:5080;"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otzp99YAAAAGAQAADwAA&#10;AAAAAAABACAAAAAiAAAAZHJzL2Rvd25yZXYueG1sUEsBAhQAFAAAAAgAh07iQE2YN1wYAgAAKgQA&#10;AA4AAAAAAAAAAQAgAAAAJQEAAGRycy9lMm9Eb2MueG1sUEsFBgAAAAAGAAYAWQEAAK8FAAAAAA==&#10;">
                  <v:fill on="f" focussize="0,0"/>
                  <v:stroke color="#000000" joinstyle="round" endarrow="block"/>
                  <v:imagedata o:title=""/>
                  <o:lock v:ext="edit" aspectratio="f"/>
                </v:shape>
                <v:shape id="AutoShape 76" o:spid="_x0000_s1026" o:spt="32" type="#_x0000_t32" style="position:absolute;left:2193290;top:4327741;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&#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LETtHWAAAABgEAAA8AAAAAAAAAAQAgAAAAIgAAAGRy&#10;cy9kb3ducmV2LnhtbFBLAQIUABQAAAAIAIdO4kDA5fhTBwIAAPoDAAAOAAAAAAAAAAEAIAAAACUB&#10;AABkcnMvZTJvRG9jLnhtbFBLBQYAAAAABgAGAFkBAACeBQAAAAA=&#10;">
                  <v:fill on="f" focussize="0,0"/>
                  <v:stroke color="#000000" joinstyle="round" endarrow="block"/>
                  <v:imagedata o:title=""/>
                  <o:lock v:ext="edit" aspectratio="f"/>
                </v:shape>
                <v:shape id="AutoShape 78" o:spid="_x0000_s1026" o:spt="32" type="#_x0000_t32" style="position:absolute;left:912495;top:4328376;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Fm0441gAAAAYBAAAPAAAA&#10;AAAAAAEAIAAAACIAAABkcnMvZG93bnJldi54bWxQSwECFAAUAAAACACHTuJA514X4BcCAAAcBAAA&#10;DgAAAAAAAAABACAAAAAlAQAAZHJzL2Uyb0RvYy54bWxQSwUGAAAAAAYABgBZAQAArgUAAAAA&#10;">
                  <v:fill on="f" focussize="0,0"/>
                  <v:stroke color="#000000" joinstyle="round" dashstyle="dash" endarrow="block"/>
                  <v:imagedata o:title=""/>
                  <o:lock v:ext="edit" aspectratio="f"/>
                </v:shape>
                <v:rect id="Rectangle 79" o:spid="_x0000_s1026" o:spt="1" style="position:absolute;left:2406015;top:4141686;height:33464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HoiZ0gMAgAAFwQAAA4AAAAAAAAAAQAg&#10;AAAAJQEAAGRycy9lMm9Eb2MueG1sUEsFBgAAAAAGAAYAWQEAAKMFAAAAAA==&#10;">
                  <v:fill on="f" focussize="0,0"/>
                  <v:stroke on="f"/>
                  <v:imagedata o:title=""/>
                  <o:lock v:ext="edit" aspectratio="f"/>
                  <v:textbox inset="0mm,0mm,0mm,0mm">
                    <w:txbxContent>
                      <w:p>
                        <w:pPr>
                          <w:jc w:val="center"/>
                          <w:rPr>
                            <w:sz w:val="18"/>
                          </w:rPr>
                        </w:pPr>
                        <w:r>
                          <w:rPr>
                            <w:rFonts w:hint="eastAsia"/>
                            <w:sz w:val="18"/>
                          </w:rPr>
                          <w:t>3%~5%</w:t>
                        </w:r>
                      </w:p>
                      <w:p>
                        <w:pPr>
                          <w:jc w:val="center"/>
                          <w:rPr>
                            <w:sz w:val="18"/>
                          </w:rPr>
                        </w:pPr>
                        <w:r>
                          <w:rPr>
                            <w:rFonts w:hint="eastAsia"/>
                            <w:sz w:val="18"/>
                          </w:rPr>
                          <w:t>硫酸</w:t>
                        </w:r>
                      </w:p>
                    </w:txbxContent>
                  </v:textbox>
                </v:rect>
                <v:shape id="AutoShape 81" o:spid="_x0000_s1026" o:spt="32" type="#_x0000_t32" style="position:absolute;left:912495;top:4948771;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Fm0441gAAAAYBAAAPAAAA&#10;AAAAAAEAIAAAACIAAABkcnMvZG93bnJldi54bWxQSwECFAAUAAAACACHTuJAYbBXuRcCAAAcBAAA&#10;DgAAAAAAAAABACAAAAAlAQAAZHJzL2Uyb0RvYy54bWxQSwUGAAAAAAYABgBZAQAArgUAAAAA&#10;">
                  <v:fill on="f" focussize="0,0"/>
                  <v:stroke color="#000000" joinstyle="round" dashstyle="dash" endarrow="block"/>
                  <v:imagedata o:title=""/>
                  <o:lock v:ext="edit" aspectratio="f"/>
                </v:shape>
                <v:rect id="Rectangle 82" o:spid="_x0000_s1026" o:spt="1" style="position:absolute;left:201930;top:4886541;height:149860;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PO2ukwsCAAAWBAAADgAAAAAAAAABACAA&#10;AAAlAQAAZHJzL2Uyb0RvYy54bWxQSwUGAAAAAAYABgBZAQAAogUAAAAA&#10;">
                  <v:fill on="f" focussize="0,0"/>
                  <v:stroke on="f"/>
                  <v:imagedata o:title=""/>
                  <o:lock v:ext="edit" aspectratio="f"/>
                  <v:textbox inset="0mm,0mm,0mm,0mm">
                    <w:txbxContent>
                      <w:p>
                        <w:pPr>
                          <w:jc w:val="center"/>
                          <w:rPr>
                            <w:sz w:val="18"/>
                          </w:rPr>
                        </w:pPr>
                        <w:r>
                          <w:rPr>
                            <w:sz w:val="18"/>
                          </w:rPr>
                          <w:t>酸性水洗废水</w:t>
                        </w:r>
                      </w:p>
                    </w:txbxContent>
                  </v:textbox>
                </v:rect>
                <v:rect id="Rectangle 83" o:spid="_x0000_s1026" o:spt="1" style="position:absolute;left:310515;top:4165181;height:311150;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iJmULgsCAAAWBAAADgAAAAAAAAABACAA&#10;AAAlAQAAZHJzL2Uyb0RvYy54bWxQSwUGAAAAAAYABgBZAQAAogUAAAAA&#10;">
                  <v:fill on="f" focussize="0,0"/>
                  <v:stroke on="f"/>
                  <v:imagedata o:title=""/>
                  <o:lock v:ext="edit" aspectratio="f"/>
                  <v:textbox inset="0mm,0mm,0mm,0mm">
                    <w:txbxContent>
                      <w:p>
                        <w:pPr>
                          <w:jc w:val="center"/>
                          <w:rPr>
                            <w:sz w:val="18"/>
                          </w:rPr>
                        </w:pPr>
                        <w:r>
                          <w:rPr>
                            <w:sz w:val="18"/>
                          </w:rPr>
                          <w:t>硫酸雾</w:t>
                        </w:r>
                      </w:p>
                      <w:p>
                        <w:pPr>
                          <w:jc w:val="center"/>
                          <w:rPr>
                            <w:sz w:val="18"/>
                          </w:rPr>
                        </w:pPr>
                        <w:r>
                          <w:rPr>
                            <w:rFonts w:hint="eastAsia"/>
                            <w:sz w:val="18"/>
                          </w:rPr>
                          <w:t>酸性废水</w:t>
                        </w:r>
                      </w:p>
                    </w:txbxContent>
                  </v:textbox>
                </v:rect>
                <v:shape id="AutoShape 84" o:spid="_x0000_s1026" o:spt="32" type="#_x0000_t32" style="position:absolute;left:924560;top:5574881;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Fm0441gAAAAYBAAAPAAAA&#10;AAAAAAEAIAAAACIAAABkcnMvZG93bnJldi54bWxQSwECFAAUAAAACACHTuJAAjMBIRcCAAAcBAAA&#10;DgAAAAAAAAABACAAAAAlAQAAZHJzL2Uyb0RvYy54bWxQSwUGAAAAAAYABgBZAQAArgUAAAAA&#10;">
                  <v:fill on="f" focussize="0,0"/>
                  <v:stroke color="#000000" joinstyle="round" dashstyle="dash" endarrow="block"/>
                  <v:imagedata o:title=""/>
                  <o:lock v:ext="edit" aspectratio="f"/>
                </v:shape>
                <v:rect id="Rectangle 85" o:spid="_x0000_s1026" o:spt="1" style="position:absolute;left:335915;top:5368290;height:502285;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uko9YAAAAGAQAADwAAAAAAAAABACAAAAAiAAAA&#10;ZHJzL2Rvd25yZXYueG1sUEsBAhQAFAAAAAgAh07iQDvAwVoJAgAAFgQAAA4AAAAAAAAAAQAgAAAA&#10;JQEAAGRycy9lMm9Eb2MueG1sUEsFBgAAAAAGAAYAWQEAAKAFAAAAAA==&#10;">
                  <v:fill on="f" focussize="0,0"/>
                  <v:stroke on="f"/>
                  <v:imagedata o:title=""/>
                  <o:lock v:ext="edit" aspectratio="f"/>
                  <v:textbox inset="0mm,0mm,0mm,0mm">
                    <w:txbxContent>
                      <w:p>
                        <w:pPr>
                          <w:jc w:val="center"/>
                          <w:rPr>
                            <w:sz w:val="18"/>
                          </w:rPr>
                        </w:pPr>
                        <w:r>
                          <w:rPr>
                            <w:rFonts w:hint="eastAsia"/>
                            <w:sz w:val="18"/>
                          </w:rPr>
                          <w:t>含镍</w:t>
                        </w:r>
                        <w:r>
                          <w:rPr>
                            <w:rFonts w:hint="eastAsia"/>
                            <w:color w:val="auto"/>
                            <w:sz w:val="18"/>
                            <w:lang w:eastAsia="zh-CN"/>
                          </w:rPr>
                          <w:t>槽</w:t>
                        </w:r>
                        <w:r>
                          <w:rPr>
                            <w:rFonts w:hint="eastAsia"/>
                            <w:color w:val="auto"/>
                            <w:sz w:val="18"/>
                          </w:rPr>
                          <w:t>液</w:t>
                        </w:r>
                      </w:p>
                      <w:p>
                        <w:pPr>
                          <w:jc w:val="center"/>
                          <w:rPr>
                            <w:sz w:val="18"/>
                          </w:rPr>
                        </w:pPr>
                        <w:r>
                          <w:rPr>
                            <w:rFonts w:hint="eastAsia"/>
                            <w:sz w:val="18"/>
                          </w:rPr>
                          <w:t>废滤芯</w:t>
                        </w:r>
                      </w:p>
                      <w:p>
                        <w:pPr>
                          <w:jc w:val="center"/>
                          <w:rPr>
                            <w:sz w:val="18"/>
                          </w:rPr>
                        </w:pPr>
                        <w:r>
                          <w:rPr>
                            <w:rFonts w:hint="eastAsia"/>
                            <w:sz w:val="18"/>
                          </w:rPr>
                          <w:t>滤渣</w:t>
                        </w:r>
                      </w:p>
                    </w:txbxContent>
                  </v:textbox>
                </v:rect>
                <v:shape id="AutoShape 86" o:spid="_x0000_s1026" o:spt="32" type="#_x0000_t32" style="position:absolute;left:2193290;top:5574246;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&#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LETtHWAAAABgEAAA8AAAAAAAAAAQAgAAAAIgAAAGRy&#10;cy9kb3ducmV2LnhtbFBLAQIUABQAAAAIAIdO4kAW+992BwIAAPoDAAAOAAAAAAAAAAEAIAAAACUB&#10;AABkcnMvZTJvRG9jLnhtbFBLBQYAAAAABgAGAFkBAACeBQAAAAA=&#10;">
                  <v:fill on="f" focussize="0,0"/>
                  <v:stroke color="#000000" joinstyle="round" endarrow="block"/>
                  <v:imagedata o:title=""/>
                  <o:lock v:ext="edit" aspectratio="f"/>
                </v:shape>
                <v:rect id="Rectangle 87" o:spid="_x0000_s1026" o:spt="1" style="position:absolute;left:2369820;top:5183086;height:782320;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1zwF+gsCAAAXBAAADgAAAAAAAAABACAA&#10;AAAlAQAAZHJzL2Uyb0RvYy54bWxQSwUGAAAAAAYABgBZAQAAogUAAAAA&#10;">
                  <v:fill on="f" focussize="0,0"/>
                  <v:stroke on="f"/>
                  <v:imagedata o:title=""/>
                  <o:lock v:ext="edit" aspectratio="f"/>
                  <v:textbox inset="0mm,0mm,0mm,0mm">
                    <w:txbxContent>
                      <w:p>
                        <w:pPr>
                          <w:jc w:val="center"/>
                          <w:rPr>
                            <w:sz w:val="18"/>
                          </w:rPr>
                        </w:pPr>
                        <w:r>
                          <w:rPr>
                            <w:sz w:val="18"/>
                          </w:rPr>
                          <w:t>硫酸镍</w:t>
                        </w:r>
                      </w:p>
                      <w:p>
                        <w:pPr>
                          <w:jc w:val="center"/>
                          <w:rPr>
                            <w:sz w:val="18"/>
                          </w:rPr>
                        </w:pPr>
                        <w:r>
                          <w:rPr>
                            <w:sz w:val="18"/>
                          </w:rPr>
                          <w:t>氯化镍</w:t>
                        </w:r>
                      </w:p>
                      <w:p>
                        <w:pPr>
                          <w:jc w:val="center"/>
                          <w:rPr>
                            <w:sz w:val="18"/>
                          </w:rPr>
                        </w:pPr>
                        <w:r>
                          <w:rPr>
                            <w:sz w:val="18"/>
                          </w:rPr>
                          <w:t>硼酸</w:t>
                        </w:r>
                      </w:p>
                      <w:p>
                        <w:pPr>
                          <w:jc w:val="center"/>
                          <w:rPr>
                            <w:sz w:val="18"/>
                          </w:rPr>
                        </w:pPr>
                        <w:r>
                          <w:rPr>
                            <w:sz w:val="18"/>
                          </w:rPr>
                          <w:t>镍板</w:t>
                        </w:r>
                      </w:p>
                      <w:p>
                        <w:pPr>
                          <w:jc w:val="center"/>
                          <w:rPr>
                            <w:sz w:val="18"/>
                          </w:rPr>
                        </w:pPr>
                        <w:r>
                          <w:rPr>
                            <w:rFonts w:hint="eastAsia"/>
                            <w:sz w:val="18"/>
                          </w:rPr>
                          <w:t>添加剂</w:t>
                        </w:r>
                      </w:p>
                    </w:txbxContent>
                  </v:textbox>
                </v:rect>
                <v:rect id="Rectangle 88" o:spid="_x0000_s1026" o:spt="1" style="position:absolute;left:12700;top:6110186;height:149860;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uko9YAAAAGAQAADwAAAAAAAAABACAAAAAiAAAA&#10;ZHJzL2Rvd25yZXYueG1sUEsBAhQAFAAAAAgAh07iQMk/wP8JAgAAFQQAAA4AAAAAAAAAAQAgAAAA&#10;JQEAAGRycy9lMm9Eb2MueG1sUEsFBgAAAAAGAAYAWQEAAKAFAAAAAA==&#10;">
                  <v:fill on="f" focussize="0,0"/>
                  <v:stroke on="f"/>
                  <v:imagedata o:title=""/>
                  <o:lock v:ext="edit" aspectratio="f"/>
                  <v:textbox inset="0mm,0mm,0mm,0mm">
                    <w:txbxContent>
                      <w:p>
                        <w:pPr>
                          <w:jc w:val="center"/>
                          <w:rPr>
                            <w:sz w:val="18"/>
                          </w:rPr>
                        </w:pPr>
                        <w:r>
                          <w:rPr>
                            <w:rFonts w:hint="eastAsia"/>
                            <w:sz w:val="18"/>
                          </w:rPr>
                          <w:t>含镍</w:t>
                        </w:r>
                        <w:r>
                          <w:rPr>
                            <w:sz w:val="18"/>
                          </w:rPr>
                          <w:t>水洗废水</w:t>
                        </w:r>
                      </w:p>
                    </w:txbxContent>
                  </v:textbox>
                </v:rect>
                <v:shape id="AutoShape 89" o:spid="_x0000_s1026" o:spt="32" type="#_x0000_t32" style="position:absolute;left:710565;top:6185116;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WbTjjWAAAABgEAAA8AAAAA&#10;AAAAAQAgAAAAIgAAAGRycy9kb3ducmV2LnhtbFBLAQIUABQAAAAIAIdO4kAbX96NFgIAABwEAAAO&#10;AAAAAAAAAAEAIAAAACUBAABkcnMvZTJvRG9jLnhtbFBLBQYAAAAABgAGAFkBAACtBQAAAAA=&#10;">
                  <v:fill on="f" focussize="0,0"/>
                  <v:stroke color="#000000" joinstyle="round" dashstyle="dash" endarrow="block"/>
                  <v:imagedata o:title=""/>
                  <o:lock v:ext="edit" aspectratio="f"/>
                </v:shape>
                <v:shape id="AutoShape 90" o:spid="_x0000_s1026" o:spt="32" type="#_x0000_t32" style="position:absolute;left:2169160;top:6867741;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&#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LETtHWAAAABgEAAA8AAAAAAAAAAQAgAAAAIgAAAGRy&#10;cy9kb3ducmV2LnhtbFBLAQIUABQAAAAIAIdO4kBa+pzHBwIAAPoDAAAOAAAAAAAAAAEAIAAAACUB&#10;AABkcnMvZTJvRG9jLnhtbFBLBQYAAAAABgAGAFkBAACeBQAAAAA=&#10;">
                  <v:fill on="f" focussize="0,0"/>
                  <v:stroke color="#000000" joinstyle="round" endarrow="block"/>
                  <v:imagedata o:title=""/>
                  <o:lock v:ext="edit" aspectratio="f"/>
                </v:shape>
                <v:shape id="AutoShape 91" o:spid="_x0000_s1026" o:spt="32" type="#_x0000_t32" style="position:absolute;left:912495;top:6868376;flip:x y;height:3810;width:208915;" filled="f" stroked="t" coordsize="21600,21600" o:gfxdata="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Fm0441gAAAAYBAAAPAAAA&#10;AAAAAAEAIAAAACIAAABkcnMvZG93bnJldi54bWxQSwECFAAUAAAACACHTuJAujmY5BcCAAAcBAAA&#10;DgAAAAAAAAABACAAAAAlAQAAZHJzL2Uyb0RvYy54bWxQSwUGAAAAAAYABgBZAQAArgUAAAAA&#10;">
                  <v:fill on="f" focussize="0,0"/>
                  <v:stroke color="#000000" joinstyle="round" dashstyle="dash" endarrow="block"/>
                  <v:imagedata o:title=""/>
                  <o:lock v:ext="edit" aspectratio="f"/>
                </v:shape>
                <v:rect id="Rectangle 92" o:spid="_x0000_s1026" o:spt="1" style="position:absolute;left:2357755;top:6717881;height:33464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Gv1HF8MAgAAFwQAAA4AAAAAAAAAAQAg&#10;AAAAJQEAAGRycy9lMm9Eb2MueG1sUEsFBgAAAAAGAAYAWQEAAKMFAAAAAA==&#10;">
                  <v:fill on="f" focussize="0,0"/>
                  <v:stroke on="f"/>
                  <v:imagedata o:title=""/>
                  <o:lock v:ext="edit" aspectratio="f"/>
                  <v:textbox inset="0mm,0mm,0mm,0mm">
                    <w:txbxContent>
                      <w:p>
                        <w:pPr>
                          <w:jc w:val="center"/>
                          <w:rPr>
                            <w:sz w:val="18"/>
                          </w:rPr>
                        </w:pPr>
                        <w:r>
                          <w:rPr>
                            <w:rFonts w:hint="eastAsia"/>
                            <w:sz w:val="18"/>
                          </w:rPr>
                          <w:t>5g/L</w:t>
                        </w:r>
                      </w:p>
                      <w:p>
                        <w:pPr>
                          <w:jc w:val="center"/>
                          <w:rPr>
                            <w:sz w:val="18"/>
                          </w:rPr>
                        </w:pPr>
                        <w:r>
                          <w:rPr>
                            <w:rFonts w:hint="eastAsia"/>
                            <w:sz w:val="18"/>
                          </w:rPr>
                          <w:t>柠檬酸</w:t>
                        </w:r>
                      </w:p>
                    </w:txbxContent>
                  </v:textbox>
                </v:rect>
                <v:rect id="Rectangle 93" o:spid="_x0000_s1026" o:spt="1" style="position:absolute;left:201930;top:6792176;height:149860;width:72263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w7pKPWAAAABgEAAA8AAAAAAAAAAQAgAAAAIgAA&#10;AGRycy9kb3ducmV2LnhtbFBLAQIUABQAAAAIAIdO4kB9RO4DCgIAABYEAAAOAAAAAAAAAAEAIAAA&#10;ACUBAABkcnMvZTJvRG9jLnhtbFBLBQYAAAAABgAGAFkBAAChBQAAAAA=&#10;">
                  <v:fill on="f" focussize="0,0"/>
                  <v:stroke on="f"/>
                  <v:imagedata o:title=""/>
                  <o:lock v:ext="edit" aspectratio="f"/>
                  <v:textbox inset="0mm,0mm,0mm,0mm">
                    <w:txbxContent>
                      <w:p>
                        <w:pPr>
                          <w:jc w:val="center"/>
                          <w:rPr>
                            <w:sz w:val="18"/>
                          </w:rPr>
                        </w:pPr>
                        <w:r>
                          <w:rPr>
                            <w:rFonts w:hint="eastAsia"/>
                            <w:sz w:val="18"/>
                          </w:rPr>
                          <w:t>酸性废水</w:t>
                        </w:r>
                      </w:p>
                    </w:txbxContent>
                  </v:textbox>
                </v:rect>
                <v:rect id="Rectangle 94" o:spid="_x0000_s1026" o:spt="1" style="position:absolute;left:4866005;top:1743075;height:206375;width:72644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w7pKPWAAAABgEAAA8AAAAAAAAAAQAgAAAAIgAA&#10;AGRycy9kb3ducmV2LnhtbFBLAQIUABQAAAAIAIdO4kDPOfsoCgIAABcEAAAOAAAAAAAAAAEAIAAA&#10;ACUBAABkcnMvZTJvRG9jLnhtbFBLBQYAAAAABgAGAFkBAAChBQAAAAA=&#10;">
                  <v:fill on="f" focussize="0,0"/>
                  <v:stroke on="f"/>
                  <v:imagedata o:title=""/>
                  <o:lock v:ext="edit" aspectratio="f"/>
                  <v:textbox inset="0mm,0mm,0mm,0mm">
                    <w:txbxContent>
                      <w:p>
                        <w:pPr>
                          <w:jc w:val="center"/>
                          <w:rPr>
                            <w:sz w:val="18"/>
                          </w:rPr>
                        </w:pPr>
                        <w:r>
                          <w:rPr>
                            <w:sz w:val="18"/>
                          </w:rPr>
                          <w:t>酸性废水</w:t>
                        </w:r>
                      </w:p>
                    </w:txbxContent>
                  </v:textbox>
                </v:rect>
                <v:shape id="AutoShape 95" o:spid="_x0000_s1026" o:spt="32" type="#_x0000_t32" style="position:absolute;left:4693285;top:1824571;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XN8kL0QAAAAYBAAAPAAAAAAAAAAEAIAAA&#10;ACIAAABkcnMvZG93bnJldi54bWxQSwECFAAUAAAACACHTuJAn7V2TBMCAAATBAAADgAAAAAAAAAB&#10;ACAAAAAgAQAAZHJzL2Uyb0RvYy54bWxQSwUGAAAAAAYABgBZAQAApQUAAAAA&#10;">
                  <v:fill on="f" focussize="0,0"/>
                  <v:stroke color="#000000" joinstyle="round" dashstyle="dash" endarrow="block"/>
                  <v:imagedata o:title=""/>
                  <o:lock v:ext="edit" aspectratio="f"/>
                </v:shape>
                <v:rect id="Rectangle 96" o:spid="_x0000_s1026" o:spt="1" style="position:absolute;left:2934970;top:2318601;height:33464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w7pKPWAAAABgEAAA8AAAAAAAAAAQAgAAAA&#10;IgAAAGRycy9kb3ducmV2LnhtbFBLAQIUABQAAAAIAIdO4kAKrZNEDQIAABcEAAAOAAAAAAAAAAEA&#10;IAAAACUBAABkcnMvZTJvRG9jLnhtbFBLBQYAAAAABgAGAFkBAACkBQAAAAA=&#10;">
                  <v:fill on="f" focussize="0,0"/>
                  <v:stroke on="f"/>
                  <v:imagedata o:title=""/>
                  <o:lock v:ext="edit" aspectratio="f"/>
                  <v:textbox inset="0mm,0mm,0mm,0mm">
                    <w:txbxContent>
                      <w:p>
                        <w:pPr>
                          <w:jc w:val="center"/>
                          <w:rPr>
                            <w:sz w:val="18"/>
                          </w:rPr>
                        </w:pPr>
                        <w:r>
                          <w:rPr>
                            <w:rFonts w:hint="eastAsia"/>
                            <w:sz w:val="18"/>
                          </w:rPr>
                          <w:t>3g/L</w:t>
                        </w:r>
                      </w:p>
                      <w:p>
                        <w:pPr>
                          <w:jc w:val="center"/>
                          <w:rPr>
                            <w:sz w:val="18"/>
                          </w:rPr>
                        </w:pPr>
                        <w:r>
                          <w:rPr>
                            <w:rFonts w:hint="eastAsia"/>
                            <w:sz w:val="18"/>
                          </w:rPr>
                          <w:t>铬酸酐</w:t>
                        </w:r>
                      </w:p>
                    </w:txbxContent>
                  </v:textbox>
                </v:rect>
                <v:shape id="AutoShape 97" o:spid="_x0000_s1026" o:spt="32" type="#_x0000_t32" style="position:absolute;left:3332480;top:2461476;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i3On31gAAAAYBAAAPAAAAAAAAAAEAIAAAACIAAABkcnMvZG93&#10;bnJldi54bWxQSwECFAAUAAAACACHTuJApqMXcwICAADwAwAADgAAAAAAAAABACAAAAAlAQAAZHJz&#10;L2Uyb0RvYy54bWxQSwUGAAAAAAYABgBZAQAAmQUAAAAA&#10;">
                  <v:fill on="f" focussize="0,0"/>
                  <v:stroke color="#000000" joinstyle="round" endarrow="block"/>
                  <v:imagedata o:title=""/>
                  <o:lock v:ext="edit" aspectratio="f"/>
                </v:shape>
                <v:rect id="Rectangle 98" o:spid="_x0000_s1026" o:spt="1" style="position:absolute;left:4866005;top:2179536;height:579120;width:66230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LuLy5sMAgAAFwQAAA4AAAAAAAAAAQAg&#10;AAAAJQEAAGRycy9lMm9Eb2MueG1sUEsFBgAAAAAGAAYAWQEAAKMFAAAAAA==&#10;">
                  <v:fill on="f" focussize="0,0"/>
                  <v:stroke on="f"/>
                  <v:imagedata o:title=""/>
                  <o:lock v:ext="edit" aspectratio="f"/>
                  <v:textbox inset="0mm,0mm,0mm,0mm">
                    <w:txbxContent>
                      <w:p>
                        <w:pPr>
                          <w:jc w:val="center"/>
                          <w:rPr>
                            <w:sz w:val="18"/>
                          </w:rPr>
                        </w:pPr>
                        <w:r>
                          <w:rPr>
                            <w:sz w:val="18"/>
                          </w:rPr>
                          <w:t>铬酸雾</w:t>
                        </w:r>
                      </w:p>
                      <w:p>
                        <w:pPr>
                          <w:jc w:val="center"/>
                          <w:rPr>
                            <w:sz w:val="18"/>
                          </w:rPr>
                        </w:pPr>
                        <w:r>
                          <w:rPr>
                            <w:sz w:val="18"/>
                          </w:rPr>
                          <w:t>含铬槽液</w:t>
                        </w:r>
                      </w:p>
                      <w:p>
                        <w:pPr>
                          <w:jc w:val="center"/>
                          <w:rPr>
                            <w:sz w:val="18"/>
                          </w:rPr>
                        </w:pPr>
                        <w:r>
                          <w:rPr>
                            <w:rFonts w:hint="eastAsia"/>
                            <w:sz w:val="18"/>
                          </w:rPr>
                          <w:t>含铬槽渣</w:t>
                        </w:r>
                      </w:p>
                      <w:p>
                        <w:pPr>
                          <w:jc w:val="center"/>
                          <w:rPr>
                            <w:sz w:val="18"/>
                          </w:rPr>
                        </w:pPr>
                        <w:r>
                          <w:rPr>
                            <w:rFonts w:hint="eastAsia"/>
                            <w:sz w:val="18"/>
                          </w:rPr>
                          <w:t>废滤芯</w:t>
                        </w:r>
                      </w:p>
                      <w:p>
                        <w:pPr>
                          <w:jc w:val="center"/>
                          <w:rPr>
                            <w:sz w:val="18"/>
                          </w:rPr>
                        </w:pPr>
                      </w:p>
                    </w:txbxContent>
                  </v:textbox>
                </v:rect>
                <v:shape id="AutoShape 99" o:spid="_x0000_s1026" o:spt="32" type="#_x0000_t32" style="position:absolute;left:4693285;top:2453856;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XN8kL0QAAAAYBAAAPAAAAAAAAAAEAIAAA&#10;ACIAAABkcnMvZG93bnJldi54bWxQSwECFAAUAAAACACHTuJANijeLxMCAAATBAAADgAAAAAAAAAB&#10;ACAAAAAgAQAAZHJzL2Uyb0RvYy54bWxQSwUGAAAAAAYABgBZAQAApQUAAAAA&#10;">
                  <v:fill on="f" focussize="0,0"/>
                  <v:stroke color="#000000" joinstyle="round" dashstyle="dash" endarrow="block"/>
                  <v:imagedata o:title=""/>
                  <o:lock v:ext="edit" aspectratio="f"/>
                </v:shape>
                <v:rect id="Rectangle 100" o:spid="_x0000_s1026" o:spt="1" style="position:absolute;left:4902200;top:2976461;height:228600;width:76962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g4C6nQsCAAAYBAAADgAAAAAAAAABACAA&#10;AAAlAQAAZHJzL2Uyb0RvYy54bWxQSwUGAAAAAAYABgBZAQAAogUAAAAA&#10;">
                  <v:fill on="f" focussize="0,0"/>
                  <v:stroke on="f"/>
                  <v:imagedata o:title=""/>
                  <o:lock v:ext="edit" aspectratio="f"/>
                  <v:textbox inset="0mm,0mm,0mm,0mm">
                    <w:txbxContent>
                      <w:p>
                        <w:pPr>
                          <w:jc w:val="center"/>
                          <w:rPr>
                            <w:sz w:val="18"/>
                          </w:rPr>
                        </w:pPr>
                        <w:r>
                          <w:rPr>
                            <w:sz w:val="18"/>
                          </w:rPr>
                          <w:t>含铬水洗废水</w:t>
                        </w:r>
                      </w:p>
                    </w:txbxContent>
                  </v:textbox>
                </v:rect>
                <v:shape id="AutoShape 101" o:spid="_x0000_s1026" o:spt="32" type="#_x0000_t32" style="position:absolute;left:4717415;top:3076156;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c3yQvRAAAABgEAAA8AAAAAAAAAAQAgAAAA&#10;IgAAAGRycy9kb3ducmV2LnhtbFBLAQIUABQAAAAIAIdO4kDRy1g/EgIAABQEAAAOAAAAAAAAAAEA&#10;IAAAACABAABkcnMvZTJvRG9jLnhtbFBLBQYAAAAABgAGAFkBAACkBQAAAAA=&#10;">
                  <v:fill on="f" focussize="0,0"/>
                  <v:stroke color="#000000" joinstyle="round" dashstyle="dash" endarrow="block"/>
                  <v:imagedata o:title=""/>
                  <o:lock v:ext="edit" aspectratio="f"/>
                </v:shape>
                <v:rect id="Rectangle 102" o:spid="_x0000_s1026" o:spt="1" style="position:absolute;left:2934970;top:3540976;height:33464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H1Huj0MAgAAGAQAAA4AAAAAAAAAAQAg&#10;AAAAJQEAAGRycy9lMm9Eb2MueG1sUEsFBgAAAAAGAAYAWQEAAKMFAAAAAA==&#10;">
                  <v:fill on="f" focussize="0,0"/>
                  <v:stroke on="f"/>
                  <v:imagedata o:title=""/>
                  <o:lock v:ext="edit" aspectratio="f"/>
                  <v:textbox inset="0mm,0mm,0mm,0mm">
                    <w:txbxContent>
                      <w:p>
                        <w:pPr>
                          <w:jc w:val="center"/>
                          <w:rPr>
                            <w:sz w:val="18"/>
                          </w:rPr>
                        </w:pPr>
                        <w:r>
                          <w:rPr>
                            <w:rFonts w:hint="eastAsia"/>
                            <w:sz w:val="18"/>
                          </w:rPr>
                          <w:t>10g/L</w:t>
                        </w:r>
                      </w:p>
                      <w:p>
                        <w:pPr>
                          <w:jc w:val="center"/>
                          <w:rPr>
                            <w:sz w:val="18"/>
                          </w:rPr>
                        </w:pPr>
                        <w:r>
                          <w:rPr>
                            <w:rFonts w:hint="eastAsia"/>
                            <w:sz w:val="18"/>
                          </w:rPr>
                          <w:t>NaOH</w:t>
                        </w:r>
                      </w:p>
                    </w:txbxContent>
                  </v:textbox>
                </v:rect>
                <v:shape id="AutoShape 103" o:spid="_x0000_s1026" o:spt="32" type="#_x0000_t32" style="position:absolute;left:3332480;top:3683851;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Lc6ffWAAAABgEAAA8AAAAAAAAAAQAgAAAAIgAAAGRycy9kb3du&#10;cmV2LnhtbFBLAQIUABQAAAAIAIdO4kA9TsOUAQIAAPEDAAAOAAAAAAAAAAEAIAAAACUBAABkcnMv&#10;ZTJvRG9jLnhtbFBLBQYAAAAABgAGAFkBAACYBQAAAAA=&#10;">
                  <v:fill on="f" focussize="0,0"/>
                  <v:stroke color="#000000" joinstyle="round" endarrow="block"/>
                  <v:imagedata o:title=""/>
                  <o:lock v:ext="edit" aspectratio="f"/>
                </v:shape>
                <v:rect id="Rectangle 106" o:spid="_x0000_s1026" o:spt="1" style="position:absolute;left:4850765;top:4215765;height:228600;width:79438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jO9BvwsCAAAYBAAADgAAAAAAAAABACAA&#10;AAAlAQAAZHJzL2Uyb0RvYy54bWxQSwUGAAAAAAYABgBZAQAAogUAAAAA&#10;">
                  <v:fill on="f" focussize="0,0"/>
                  <v:stroke on="f"/>
                  <v:imagedata o:title=""/>
                  <o:lock v:ext="edit" aspectratio="f"/>
                  <v:textbox inset="0mm,0mm,0mm,0mm">
                    <w:txbxContent>
                      <w:p>
                        <w:pPr>
                          <w:jc w:val="center"/>
                          <w:rPr>
                            <w:sz w:val="18"/>
                          </w:rPr>
                        </w:pPr>
                        <w:r>
                          <w:rPr>
                            <w:rFonts w:hint="eastAsia"/>
                            <w:sz w:val="18"/>
                          </w:rPr>
                          <w:t>酸性</w:t>
                        </w:r>
                        <w:r>
                          <w:rPr>
                            <w:rFonts w:hint="eastAsia"/>
                            <w:sz w:val="18"/>
                            <w:lang w:eastAsia="zh-CN"/>
                          </w:rPr>
                          <w:t>含铬</w:t>
                        </w:r>
                        <w:r>
                          <w:rPr>
                            <w:sz w:val="18"/>
                          </w:rPr>
                          <w:t>废水</w:t>
                        </w:r>
                      </w:p>
                    </w:txbxContent>
                  </v:textbox>
                </v:rect>
                <v:shape id="AutoShape 107" o:spid="_x0000_s1026" o:spt="32" type="#_x0000_t32" style="position:absolute;left:4676140;top:4315676;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c3yQvRAAAABgEAAA8AAAAAAAAAAQAgAAAA&#10;IgAAAGRycy9kb3ducmV2LnhtbFBLAQIUABQAAAAIAIdO4kCjzoYoEgIAABQEAAAOAAAAAAAAAAEA&#10;IAAAACABAABkcnMvZTJvRG9jLnhtbFBLBQYAAAAABgAGAFkBAACkBQAAAAA=&#10;">
                  <v:fill on="f" focussize="0,0"/>
                  <v:stroke color="#000000" joinstyle="round" dashstyle="dash" endarrow="block"/>
                  <v:imagedata o:title=""/>
                  <o:lock v:ext="edit" aspectratio="f"/>
                </v:shape>
                <v:rect id="Rectangle 108" o:spid="_x0000_s1026" o:spt="1" style="position:absolute;left:2959100;top:4823041;height:33464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8O6Sj1gAAAAYBAAAPAAAAAAAAAAEAIAAA&#10;ACIAAABkcnMvZG93bnJldi54bWxQSwECFAAUAAAACACHTuJATo4djQ4CAAAYBAAADgAAAAAAAAAB&#10;ACAAAAAlAQAAZHJzL2Uyb0RvYy54bWxQSwUGAAAAAAYABgBZAQAApQUAAAAA&#10;">
                  <v:fill on="f" focussize="0,0"/>
                  <v:stroke on="f"/>
                  <v:imagedata o:title=""/>
                  <o:lock v:ext="edit" aspectratio="f"/>
                  <v:textbox inset="0mm,0mm,0mm,0mm">
                    <w:txbxContent>
                      <w:p>
                        <w:pPr>
                          <w:jc w:val="center"/>
                          <w:rPr>
                            <w:sz w:val="18"/>
                          </w:rPr>
                        </w:pPr>
                        <w:r>
                          <w:rPr>
                            <w:sz w:val="18"/>
                          </w:rPr>
                          <w:t xml:space="preserve">10ml/L </w:t>
                        </w:r>
                        <w:r>
                          <w:rPr>
                            <w:rFonts w:hint="eastAsia"/>
                            <w:sz w:val="18"/>
                          </w:rPr>
                          <w:t>烷氧基醇</w:t>
                        </w:r>
                      </w:p>
                    </w:txbxContent>
                  </v:textbox>
                </v:rect>
                <v:shape id="AutoShape 109" o:spid="_x0000_s1026" o:spt="32" type="#_x0000_t32" style="position:absolute;left:3356610;top:4965916;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Lc6ffWAAAABgEAAA8AAAAAAAAAAQAgAAAAIgAAAGRycy9kb3du&#10;cmV2LnhtbFBLAQIUABQAAAAIAIdO4kARTqZbAQIAAPEDAAAOAAAAAAAAAAEAIAAAACUBAABkcnMv&#10;ZTJvRG9jLnhtbFBLBQYAAAAABgAGAFkBAACYBQAAAAA=&#10;">
                  <v:fill on="f" focussize="0,0"/>
                  <v:stroke color="#000000" joinstyle="round" endarrow="block"/>
                  <v:imagedata o:title=""/>
                  <o:lock v:ext="edit" aspectratio="f"/>
                </v:shape>
                <v:rect id="Rectangle 110" o:spid="_x0000_s1026" o:spt="1" style="position:absolute;left:5074920;top:5453380;height:342265;width:68326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DMeseUMAgAAGAQAAA4AAAAAAAAAAQAg&#10;AAAAJQEAAGRycy9lMm9Eb2MueG1sUEsFBgAAAAAGAAYAWQEAAKMFAAAAAA==&#10;">
                  <v:fill on="f" focussize="0,0"/>
                  <v:stroke on="f"/>
                  <v:imagedata o:title=""/>
                  <o:lock v:ext="edit" aspectratio="f"/>
                  <v:textbox inset="0mm,0mm,0mm,0mm">
                    <w:txbxContent>
                      <w:p>
                        <w:pPr>
                          <w:jc w:val="center"/>
                          <w:rPr>
                            <w:rFonts w:hint="eastAsia"/>
                            <w:sz w:val="18"/>
                            <w:lang w:eastAsia="zh-CN"/>
                          </w:rPr>
                        </w:pPr>
                        <w:r>
                          <w:rPr>
                            <w:rFonts w:hint="eastAsia"/>
                            <w:sz w:val="18"/>
                          </w:rPr>
                          <w:t>有机</w:t>
                        </w:r>
                        <w:r>
                          <w:rPr>
                            <w:rFonts w:hint="eastAsia"/>
                            <w:sz w:val="18"/>
                            <w:lang w:eastAsia="zh-CN"/>
                          </w:rPr>
                          <w:t>含铬</w:t>
                        </w:r>
                      </w:p>
                      <w:p>
                        <w:pPr>
                          <w:jc w:val="center"/>
                          <w:rPr>
                            <w:sz w:val="18"/>
                          </w:rPr>
                        </w:pPr>
                        <w:r>
                          <w:rPr>
                            <w:rFonts w:hint="eastAsia"/>
                            <w:sz w:val="18"/>
                          </w:rPr>
                          <w:t>废水</w:t>
                        </w:r>
                      </w:p>
                    </w:txbxContent>
                  </v:textbox>
                </v:rect>
                <v:shape id="AutoShape 111" o:spid="_x0000_s1026" o:spt="32" type="#_x0000_t32" style="position:absolute;left:4909185;top:5626951;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zfJC9EAAAAGAQAADwAAAAAAAAABACAA&#10;AAAiAAAAZHJzL2Rvd25yZXYueG1sUEsBAhQAFAAAAAgAh07iQMyYeaoUAgAAFAQAAA4AAAAAAAAA&#10;AQAgAAAAIAEAAGRycy9lMm9Eb2MueG1sUEsFBgAAAAAGAAYAWQEAAKYFAAAAAA==&#10;">
                  <v:fill on="f" focussize="0,0"/>
                  <v:stroke color="#000000" joinstyle="round" dashstyle="dash" endarrow="block"/>
                  <v:imagedata o:title=""/>
                  <o:lock v:ext="edit" aspectratio="f"/>
                </v:shape>
                <v:rect id="Rectangle 112" o:spid="_x0000_s1026" o:spt="1" style="position:absolute;left:4805680;top:6130506;height:256540;width:55372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w7pKPWAAAABgEAAA8AAAAAAAAAAQAgAAAA&#10;IgAAAGRycy9kb3ducmV2LnhtbFBLAQIUABQAAAAIAIdO4kBecCC3DQIAABgEAAAOAAAAAAAAAAEA&#10;IAAAACUBAABkcnMvZTJvRG9jLnhtbFBLBQYAAAAABgAGAFkBAACkBQAAAAA=&#10;">
                  <v:fill on="f" focussize="0,0"/>
                  <v:stroke on="f"/>
                  <v:imagedata o:title=""/>
                  <o:lock v:ext="edit" aspectratio="f"/>
                  <v:textbox inset="0mm,0mm,0mm,0mm">
                    <w:txbxContent>
                      <w:p>
                        <w:pPr>
                          <w:jc w:val="center"/>
                          <w:rPr>
                            <w:sz w:val="18"/>
                          </w:rPr>
                        </w:pPr>
                        <w:r>
                          <w:rPr>
                            <w:sz w:val="18"/>
                          </w:rPr>
                          <w:t>噪声</w:t>
                        </w:r>
                      </w:p>
                    </w:txbxContent>
                  </v:textbox>
                </v:rect>
                <v:shape id="AutoShape 113" o:spid="_x0000_s1026" o:spt="32" type="#_x0000_t32" style="position:absolute;left:4681220;top:6218136;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lzfJC9EAAAAGAQAADwAAAAAAAAABACAA&#10;AAAiAAAAZHJzL2Rvd25yZXYueG1sUEsBAhQAFAAAAAgAh07iQElOWm4UAgAAFAQAAA4AAAAAAAAA&#10;AQAgAAAAIAEAAGRycy9lMm9Eb2MueG1sUEsFBgAAAAAGAAYAWQEAAKYFAAAAAA==&#10;">
                  <v:fill on="f" focussize="0,0"/>
                  <v:stroke color="#000000" joinstyle="round" dashstyle="dash" endarrow="block"/>
                  <v:imagedata o:title=""/>
                  <o:lock v:ext="edit" aspectratio="f"/>
                </v:shape>
                <v:rect id="Rectangle 114" o:spid="_x0000_s1026" o:spt="1" style="position:absolute;left:4921250;top:6740106;height:256540;width:607060;"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Ng7tbAMAgAAGAQAAA4AAAAAAAAAAQAg&#10;AAAAJQEAAGRycy9lMm9Eb2MueG1sUEsFBgAAAAAGAAYAWQEAAKMFAAAAAA==&#10;">
                  <v:fill on="f" focussize="0,0"/>
                  <v:stroke on="f"/>
                  <v:imagedata o:title=""/>
                  <o:lock v:ext="edit" aspectratio="f"/>
                  <v:textbox inset="0mm,0mm,0mm,0mm">
                    <w:txbxContent>
                      <w:p>
                        <w:pPr>
                          <w:jc w:val="center"/>
                          <w:rPr>
                            <w:sz w:val="18"/>
                          </w:rPr>
                        </w:pPr>
                        <w:r>
                          <w:rPr>
                            <w:sz w:val="18"/>
                          </w:rPr>
                          <w:t>不合格产品</w:t>
                        </w:r>
                      </w:p>
                    </w:txbxContent>
                  </v:textbox>
                </v:rect>
                <v:shape id="AutoShape 115" o:spid="_x0000_s1026" o:spt="32" type="#_x0000_t32" style="position:absolute;left:4676140;top:6827736;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c3yQvRAAAABgEAAA8AAAAAAAAAAQAg&#10;AAAAIgAAAGRycy9kb3ducmV2LnhtbFBLAQIUABQAAAAIAIdO4kAACigLFQIAABQEAAAOAAAAAAAA&#10;AAEAIAAAACABAABkcnMvZTJvRG9jLnhtbFBLBQYAAAAABgAGAFkBAACnBQAAAAA=&#10;">
                  <v:fill on="f" focussize="0,0"/>
                  <v:stroke color="#000000" joinstyle="round" dashstyle="dash" endarrow="block"/>
                  <v:imagedata o:title=""/>
                  <o:lock v:ext="edit" aspectratio="f"/>
                </v:shape>
                <v:rect id="Rectangle 116" o:spid="_x0000_s1026" o:spt="1" style="position:absolute;left:4855210;top:3592195;height:228600;width:80708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w7pKPWAAAABgEAAA8AAAAAAAAAAQAgAAAA&#10;IgAAAGRycy9kb3ducmV2LnhtbFBLAQIUABQAAAAIAIdO4kDqUq2QDQIAABgEAAAOAAAAAAAAAAEA&#10;IAAAACUBAABkcnMvZTJvRG9jLnhtbFBLBQYAAAAABgAGAFkBAACkBQAAAAA=&#10;">
                  <v:fill on="f" focussize="0,0"/>
                  <v:stroke on="f"/>
                  <v:imagedata o:title=""/>
                  <o:lock v:ext="edit" aspectratio="f"/>
                  <v:textbox inset="0mm,0mm,0mm,0mm">
                    <w:txbxContent>
                      <w:p>
                        <w:pPr>
                          <w:jc w:val="center"/>
                          <w:rPr>
                            <w:sz w:val="18"/>
                          </w:rPr>
                        </w:pPr>
                        <w:bookmarkStart w:id="497" w:name="OLE_LINK6"/>
                        <w:r>
                          <w:rPr>
                            <w:rFonts w:hint="eastAsia"/>
                            <w:sz w:val="18"/>
                          </w:rPr>
                          <w:t>酸性</w:t>
                        </w:r>
                        <w:bookmarkEnd w:id="497"/>
                        <w:r>
                          <w:rPr>
                            <w:rFonts w:hint="eastAsia"/>
                            <w:sz w:val="18"/>
                          </w:rPr>
                          <w:t>废水</w:t>
                        </w:r>
                      </w:p>
                    </w:txbxContent>
                  </v:textbox>
                </v:rect>
                <v:shape id="AutoShape 117" o:spid="_x0000_s1026" o:spt="32" type="#_x0000_t32" style="position:absolute;left:4681220;top:3680041;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XN8kL0QAAAAYBAAAPAAAAAAAAAAEAIAAA&#10;ACIAAABkcnMvZG93bnJldi54bWxQSwECFAAUAAAACACHTuJAZYp8BxMCAAAUBAAADgAAAAAAAAAB&#10;ACAAAAAgAQAAZHJzL2Uyb0RvYy54bWxQSwUGAAAAAAYABgBZAQAApQUAAAAA&#10;">
                  <v:fill on="f" focussize="0,0"/>
                  <v:stroke color="#000000" joinstyle="round" dashstyle="dash" endarrow="block"/>
                  <v:imagedata o:title=""/>
                  <o:lock v:ext="edit" aspectratio="f"/>
                </v:shape>
                <v:rect id="Rectangle 118" o:spid="_x0000_s1026" o:spt="1" style="position:absolute;left:4914900;top:4866640;height:228600;width:72834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SjtZTQsCAAAYBAAADgAAAAAAAAABACAA&#10;AAAlAQAAZHJzL2Uyb0RvYy54bWxQSwUGAAAAAAYABgBZAQAAogUAAAAA&#10;">
                  <v:fill on="f" focussize="0,0"/>
                  <v:stroke on="f"/>
                  <v:imagedata o:title=""/>
                  <o:lock v:ext="edit" aspectratio="f"/>
                  <v:textbox inset="0mm,0mm,0mm,0mm">
                    <w:txbxContent>
                      <w:p>
                        <w:pPr>
                          <w:jc w:val="center"/>
                          <w:rPr>
                            <w:sz w:val="18"/>
                          </w:rPr>
                        </w:pPr>
                        <w:r>
                          <w:rPr>
                            <w:rFonts w:hint="eastAsia"/>
                            <w:sz w:val="18"/>
                          </w:rPr>
                          <w:t>有机</w:t>
                        </w:r>
                        <w:r>
                          <w:rPr>
                            <w:rFonts w:hint="eastAsia"/>
                            <w:sz w:val="18"/>
                            <w:lang w:eastAsia="zh-CN"/>
                          </w:rPr>
                          <w:t>含铬</w:t>
                        </w:r>
                        <w:r>
                          <w:rPr>
                            <w:rFonts w:hint="eastAsia"/>
                            <w:sz w:val="18"/>
                          </w:rPr>
                          <w:t>废水</w:t>
                        </w:r>
                      </w:p>
                    </w:txbxContent>
                  </v:textbox>
                </v:rect>
                <v:shape id="AutoShape 119" o:spid="_x0000_s1026" o:spt="32" type="#_x0000_t32" style="position:absolute;left:4693285;top:4966551;flip:y;height:3810;width:20891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XN8kL0QAAAAYBAAAPAAAAAAAAAAEAIAAA&#10;ACIAAABkcnMvZG93bnJldi54bWxQSwECFAAUAAAACACHTuJAir2K8hMCAAAUBAAADgAAAAAAAAAB&#10;ACAAAAAgAQAAZHJzL2Uyb0RvYy54bWxQSwUGAAAAAAYABgBZAQAApQUAAAAA&#10;">
                  <v:fill on="f" focussize="0,0"/>
                  <v:stroke color="#000000" joinstyle="round" dashstyle="dash" endarrow="block"/>
                  <v:imagedata o:title=""/>
                  <o:lock v:ext="edit" aspectratio="f"/>
                </v:shape>
                <v:rect id="Rectangle 418" o:spid="_x0000_s1026" o:spt="1" style="position:absolute;left:2464295;top:2296186;height:320649;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HFNqZkMAgAAGAQAAA4AAAAAAAAAAQAg&#10;AAAAJQEAAGRycy9lMm9Eb2MueG1sUEsFBgAAAAAGAAYAWQEAAKMFA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19" o:spid="_x0000_s1026" o:spt="32" type="#_x0000_t32" style="position:absolute;left:2235835;top:2465286;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&#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LETtHWAAAABgEAAA8AAAAAAAAAAQAgAAAAIgAAAGRy&#10;cy9kb3ducmV2LnhtbFBLAQIUABQAAAAIAIdO4kBvTyNBBwIAAPsDAAAOAAAAAAAAAAEAIAAAACUB&#10;AABkcnMvZTJvRG9jLnhtbFBLBQYAAAAABgAGAFkBAACeBQAAAAA=&#10;">
                  <v:fill on="f" focussize="0,0"/>
                  <v:stroke color="#000000" joinstyle="round" endarrow="block"/>
                  <v:imagedata o:title=""/>
                  <o:lock v:ext="edit" aspectratio="f"/>
                </v:shape>
                <v:rect id="Rectangle 422" o:spid="_x0000_s1026" o:spt="1" style="position:absolute;left:2421890;top:4779226;height:270510;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8O6Sj1gAAAAYBAAAPAAAAAAAAAAEAIAAA&#10;ACIAAABkcnMvZG93bnJldi54bWxQSwECFAAUAAAACACHTuJAn8PVfg4CAAAYBAAADgAAAAAAAAAB&#10;ACAAAAAlAQAAZHJzL2Uyb0RvYy54bWxQSwUGAAAAAAYABgBZAQAApQU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p>
                        <w:pPr>
                          <w:rPr>
                            <w:sz w:val="18"/>
                          </w:rPr>
                        </w:pPr>
                      </w:p>
                    </w:txbxContent>
                  </v:textbox>
                </v:rect>
                <v:shape id="AutoShape 423" o:spid="_x0000_s1026" o:spt="32" type="#_x0000_t32" style="position:absolute;left:2193290;top:4969726;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sRO0dYAAAAGAQAADwAAAAAAAAABACAAAAAiAAAA&#10;ZHJzL2Rvd25yZXYueG1sUEsBAhQAFAAAAAgAh07iQFlwUgIJAgAA+wMAAA4AAAAAAAAAAQAgAAAA&#10;JQEAAGRycy9lMm9Eb2MueG1sUEsFBgAAAAAGAAYAWQEAAKAFAAAAAA==&#10;">
                  <v:fill on="f" focussize="0,0"/>
                  <v:stroke color="#000000" joinstyle="round" endarrow="block"/>
                  <v:imagedata o:title=""/>
                  <o:lock v:ext="edit" aspectratio="f"/>
                </v:shape>
                <v:rect id="Rectangle 424" o:spid="_x0000_s1026" o:spt="1" style="position:absolute;left:2966085;top:2942482;height:339548;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w7pKPWAAAABgEAAA8AAAAAAAAAAQAgAAAAIgAA&#10;AGRycy9kb3ducmV2LnhtbFBLAQIUABQAAAAIAIdO4kDYtHxqCgIAABgEAAAOAAAAAAAAAAEAIAAA&#10;ACUBAABkcnMvZTJvRG9jLnhtbFBLBQYAAAAABgAGAFkBAAChBQ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25" o:spid="_x0000_s1026" o:spt="32" type="#_x0000_t32" style="position:absolute;left:3332480;top:3084411;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i3On31gAAAAYBAAAPAAAAAAAAAAEAIAAAACIAAABkcnMvZG93bnJl&#10;di54bWxQSwECFAAUAAAACACHTuJAyQEtd/8BAADxAwAADgAAAAAAAAABACAAAAAlAQAAZHJzL2Uy&#10;b0RvYy54bWxQSwUGAAAAAAYABgBZAQAAlgUAAAAA&#10;">
                  <v:fill on="f" focussize="0,0"/>
                  <v:stroke color="#000000" joinstyle="round" endarrow="block"/>
                  <v:imagedata o:title=""/>
                  <o:lock v:ext="edit" aspectratio="f"/>
                </v:shape>
                <v:rect id="Rectangle 422" o:spid="_x0000_s1026" o:spt="1" style="position:absolute;left:2496820;top:5913971;height:473075;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8O6Sj1gAAAAYBAAAPAAAAAAAAAAEAIAAA&#10;ACIAAABkcnMvZG93bnJldi54bWxQSwECFAAUAAAACACHTuJA7p/Gfw4CAAAYBAAADgAAAAAAAAAB&#10;ACAAAAAlAQAAZHJzL2Uyb0RvYy54bWxQSwUGAAAAAAYABgBZAQAApQUAAAAA&#10;">
                  <v:fill on="f" focussize="0,0"/>
                  <v:stroke on="f"/>
                  <v:imagedata o:title=""/>
                  <o:lock v:ext="edit" aspectratio="f"/>
                  <v:textbox inset="0mm,0mm,0mm,0mm">
                    <w:txbxContent>
                      <w:p>
                        <w:pPr>
                          <w:jc w:val="center"/>
                          <w:rPr>
                            <w:sz w:val="18"/>
                          </w:rPr>
                        </w:pPr>
                      </w:p>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23" o:spid="_x0000_s1026" o:spt="32" type="#_x0000_t32" style="position:absolute;left:2406015;top:6188926;flip:x;height:635;width:260985;"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sRO0dYAAAAGAQAADwAAAAAAAAABACAAAAAiAAAAZHJz&#10;L2Rvd25yZXYueG1sUEsBAhQAFAAAAAgAh07iQC3235wGAgAA+wMAAA4AAAAAAAAAAQAgAAAAJQEA&#10;AGRycy9lMm9Eb2MueG1sUEsFBgAAAAAGAAYAWQEAAJ0FAAAAAA==&#10;">
                  <v:fill on="f" focussize="0,0"/>
                  <v:stroke color="#000000" joinstyle="round" endarrow="block"/>
                  <v:imagedata o:title=""/>
                  <o:lock v:ext="edit" aspectratio="f"/>
                </v:shape>
                <v:shape id="AutoShape 425" o:spid="_x0000_s1026" o:spt="32" type="#_x0000_t32" style="position:absolute;left:3362325;top:4319486;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i3On31gAAAAYBAAAPAAAAAAAAAAEAIAAAACIAAABkcnMvZG93bnJl&#10;di54bWxQSwECFAAUAAAACACHTuJAi8Y+8P8BAADxAwAADgAAAAAAAAABACAAAAAlAQAAZHJzL2Uy&#10;b0RvYy54bWxQSwUGAAAAAAYABgBZAQAAlgUAAAAA&#10;">
                  <v:fill on="f" focussize="0,0"/>
                  <v:stroke color="#000000" joinstyle="round" endarrow="block"/>
                  <v:imagedata o:title=""/>
                  <o:lock v:ext="edit" aspectratio="f"/>
                </v:shape>
                <v:shape id="AutoShape 425" o:spid="_x0000_s1026" o:spt="32" type="#_x0000_t32" style="position:absolute;left:3167380;top:5626316;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tzp99YAAAAGAQAADwAAAAAAAAABACAAAAAiAAAAZHJzL2Rvd25y&#10;ZXYueG1sUEsBAhQAFAAAAAgAh07iQOrsrnMAAgAA8QMAAA4AAAAAAAAAAQAgAAAAJQEAAGRycy9l&#10;Mm9Eb2MueG1sUEsFBgAAAAAGAAYAWQEAAJcFAAAAAA==&#10;">
                  <v:fill on="f" focussize="0,0"/>
                  <v:stroke color="#000000" joinstyle="round" endarrow="block"/>
                  <v:imagedata o:title=""/>
                  <o:lock v:ext="edit" aspectratio="f"/>
                </v:shape>
                <v:rect id="Rectangle 6" o:spid="_x0000_s1026" o:spt="1" style="position:absolute;left:1142969;top:586347;height:307975;width:1052830;" fillcolor="#FFFFFF" filled="t" stroked="t" coordsize="21600,21600" o:gfxdata="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8zbS1AAAAAYBAAAPAAAAAAAAAAEAIAAAACIAAABkcnMv&#10;ZG93bnJldi54bWxQSwECFAAUAAAACACHTuJAXp37YEACAACYBAAADgAAAAAAAAABACAAAAAjAQAA&#10;ZHJzL2Uyb0RvYy54bWxQSwUGAAAAAAYABgBZAQAA1QUAAAAA&#10;">
                  <v:fill on="t" focussize="0,0"/>
                  <v:stroke color="#000000" miterlimit="8" joinstyle="miter"/>
                  <v:imagedata o:title=""/>
                  <o:lock v:ext="edit" aspectratio="f"/>
                  <v:textbox>
                    <w:txbxContent>
                      <w:p>
                        <w:pPr>
                          <w:jc w:val="center"/>
                          <w:rPr>
                            <w:sz w:val="24"/>
                          </w:rPr>
                        </w:pPr>
                        <w:r>
                          <w:rPr>
                            <w:rFonts w:hint="eastAsia"/>
                            <w:sz w:val="24"/>
                          </w:rPr>
                          <w:t>开卷</w:t>
                        </w:r>
                      </w:p>
                    </w:txbxContent>
                  </v:textbox>
                </v:rect>
                <v:shape id="直接箭头连接符 15" o:spid="_x0000_s1026" o:spt="32" type="#_x0000_t32" style="position:absolute;left:1666875;top:894322;flip:x;height:182219;width:2509;" filled="f" stroked="t" coordsize="21600,21600" o:gfxdata="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sRO0dYAAAAGAQAADwAAAAAAAAABACAAAAAi&#10;AAAAZHJzL2Rvd25yZXYueG1sUEsBAhQAFAAAAAgAh07iQBNHYERFAgAAZgQAAA4AAAAAAAAAAQAg&#10;AAAAJQEAAGRycy9lMm9Eb2MueG1sUEsFBgAAAAAGAAYAWQEAANwFAAAAAA==&#10;">
                  <v:fill on="f" focussize="0,0"/>
                  <v:stroke color="#000000 [3213]" joinstyle="round" endarrow="block"/>
                  <v:imagedata o:title=""/>
                  <o:lock v:ext="edit" aspectratio="f"/>
                </v:shape>
                <v:rect id="Rectangle 60" o:spid="_x0000_s1026" o:spt="1" style="position:absolute;left:298416;top:639284;height:209129;width:635568;"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8O6Sj1gAAAAYBAAAPAAAAAAAAAAEAIAAAACIA&#10;AABkcnMvZG93bnJldi54bWxQSwECFAAUAAAACACHTuJAE8GshwsCAAAVBAAADgAAAAAAAAABACAA&#10;AAAlAQAAZHJzL2Uyb0RvYy54bWxQSwUGAAAAAAYABgBZAQAAogUAAAAA&#10;">
                  <v:fill on="f" focussize="0,0"/>
                  <v:stroke on="f"/>
                  <v:imagedata o:title=""/>
                  <o:lock v:ext="edit" aspectratio="f"/>
                  <v:textbox inset="0mm,0mm,0mm,0mm">
                    <w:txbxContent>
                      <w:p>
                        <w:pPr>
                          <w:jc w:val="center"/>
                          <w:rPr>
                            <w:sz w:val="18"/>
                          </w:rPr>
                        </w:pPr>
                        <w:r>
                          <w:rPr>
                            <w:rFonts w:hint="eastAsia"/>
                            <w:sz w:val="18"/>
                          </w:rPr>
                          <w:t xml:space="preserve">   </w:t>
                        </w:r>
                        <w:r>
                          <w:rPr>
                            <w:sz w:val="18"/>
                          </w:rPr>
                          <w:t>噪声</w:t>
                        </w:r>
                      </w:p>
                    </w:txbxContent>
                  </v:textbox>
                </v:rect>
                <v:shape id="AutoShape 61" o:spid="_x0000_s1026" o:spt="32" type="#_x0000_t32" style="position:absolute;left:933984;top:740335;flip:x;height:3514;width:208985;" filled="f" stroked="t" coordsize="21600,21600" o:gfxdata="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zfJC9EA&#10;AAAGAQAADwAAAAAAAAABACAAAAAiAAAAZHJzL2Rvd25yZXYueG1sUEsBAhQAFAAAAAgAh07iQF/n&#10;CSAmAgAASgQAAA4AAAAAAAAAAQAgAAAAIAEAAGRycy9lMm9Eb2MueG1sUEsFBgAAAAAGAAYAWQEA&#10;ALgFAAAAAA==&#10;">
                  <v:fill on="f" focussize="0,0"/>
                  <v:stroke color="#000000" joinstyle="round" dashstyle="dash" endarrow="block"/>
                  <v:imagedata o:title=""/>
                  <o:lock v:ext="edit" aspectratio="f"/>
                </v:shape>
                <v:rect id="Rectangle 418" o:spid="_x0000_s1026" o:spt="1" style="position:absolute;left:2496819;top:3528836;height:320649;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H4SzAYMAgAAGAQAAA4AAAAAAAAAAQAg&#10;AAAAJQEAAGRycy9lMm9Eb2MueG1sUEsFBgAAAAAGAAYAWQEAAKMFA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19" o:spid="_x0000_s1026" o:spt="32" type="#_x0000_t32" style="position:absolute;left:2406015;top:3695916;flip:x y;height:1716;width:123185;" filled="f" stroked="t" coordsize="21600,21600" o:gfxdata="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KHvcg1QAAAAYBAAAP&#10;AAAAAAAAAAEAIAAAACIAAABkcnMvZG93bnJldi54bWxQSwECFAAUAAAACACHTuJAFVfHkhsCAAAj&#10;BAAADgAAAAAAAAABACAAAAAkAQAAZHJzL2Uyb0RvYy54bWxQSwUGAAAAAAYABgBZAQAAsQUAAAAA&#10;">
                  <v:fill on="f" focussize="0,0"/>
                  <v:stroke color="#000000" joinstyle="round" endarrow="block"/>
                  <v:imagedata o:title=""/>
                  <o:lock v:ext="edit" aspectratio="f"/>
                </v:shape>
                <v:shape id="AutoShape 97" o:spid="_x0000_s1026" o:spt="32" type="#_x0000_t32" style="position:absolute;left:3351907;top:1811363;height:635;width:260985;" filled="f" stroked="t" coordsize="21600,21600" o:gfxdata="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Lc6ffWAAAABgEAAA8AAAAAAAAAAQAgAAAAIgAAAGRycy9kb3du&#10;cmV2LnhtbFBLAQIUABQAAAAIAIdO4kCDPya3AQIAAPADAAAOAAAAAAAAAAEAIAAAACUBAABkcnMv&#10;ZTJvRG9jLnhtbFBLBQYAAAAABgAGAFkBAACYBQAAAAA=&#10;">
                  <v:fill on="f" focussize="0,0"/>
                  <v:stroke color="#000000" joinstyle="round" endarrow="block"/>
                  <v:imagedata o:title=""/>
                  <o:lock v:ext="edit" aspectratio="f"/>
                </v:shape>
                <v:rect id="Rectangle 418" o:spid="_x0000_s1026" o:spt="1" style="position:absolute;left:2966055;top:1668413;height:320649;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uko9YAAAAGAQAADwAAAAAAAAABACAAAAAi&#10;AAAAZHJzL2Rvd25yZXYueG1sUEsBAhQAFAAAAAgAh07iQO+6+FwMAgAAGAQAAA4AAAAAAAAAAQAg&#10;AAAAJQEAAGRycy9lMm9Eb2MueG1sUEsFBgAAAAAGAAYAWQEAAKMFA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rect id="Rectangle 424" o:spid="_x0000_s1026" o:spt="1" style="position:absolute;left:2933561;top:4141587;height:339548;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8O6Sj1gAAAAYBAAAPAAAAAAAAAAEAIAAA&#10;ACIAAABkcnMvZG93bnJldi54bWxQSwECFAAUAAAACACHTuJA8vdzBA4CAAAYBAAADgAAAAAAAAAB&#10;ACAAAAAlAQAAZHJzL2Uyb0RvYy54bWxQSwUGAAAAAAYABgBZAQAApQU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rect id="Rectangle 424" o:spid="_x0000_s1026" o:spt="1" style="position:absolute;left:2891158;top:5450031;height:339548;width:469265;" filled="f" stroked="f" coordsize="21600,21600" o:gfxdata="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w7pKPWAAAABgEAAA8AAAAAAAAAAQAgAAAA&#10;IgAAAGRycy9kb3ducmV2LnhtbFBLAQIUABQAAAAIAIdO4kDrdEwADQIAABgEAAAOAAAAAAAAAAEA&#10;IAAAACUBAABkcnMvZTJvRG9jLnhtbFBLBQYAAAAABgAGAFkBAACkBQ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w10:wrap type="none"/>
                <w10:anchorlock/>
              </v:group>
            </w:pict>
          </mc:Fallback>
        </mc:AlternateContent>
      </w:r>
    </w:p>
    <w:p>
      <w:pPr>
        <w:adjustRightInd w:val="0"/>
        <w:snapToGrid w:val="0"/>
        <w:spacing w:line="360" w:lineRule="auto"/>
        <w:jc w:val="center"/>
        <w:rPr>
          <w:rFonts w:eastAsia="黑体"/>
          <w:color w:val="auto"/>
          <w:kern w:val="21"/>
          <w:sz w:val="24"/>
          <w:szCs w:val="24"/>
        </w:rPr>
      </w:pPr>
      <w:r>
        <w:rPr>
          <w:rFonts w:eastAsia="黑体"/>
          <w:color w:val="auto"/>
          <w:kern w:val="21"/>
          <w:sz w:val="24"/>
          <w:szCs w:val="24"/>
        </w:rPr>
        <w:t xml:space="preserve">图3.3-1   </w:t>
      </w:r>
      <w:r>
        <w:rPr>
          <w:rFonts w:hint="eastAsia" w:eastAsia="黑体"/>
          <w:color w:val="auto"/>
          <w:kern w:val="21"/>
          <w:sz w:val="24"/>
          <w:szCs w:val="24"/>
          <w:lang w:eastAsia="zh-CN"/>
        </w:rPr>
        <w:t>锂电池钢壳及盖帽生产</w:t>
      </w:r>
      <w:r>
        <w:rPr>
          <w:rFonts w:eastAsia="黑体"/>
          <w:color w:val="auto"/>
          <w:kern w:val="21"/>
          <w:sz w:val="24"/>
          <w:szCs w:val="24"/>
        </w:rPr>
        <w:t>工艺流程及产污环节图</w:t>
      </w:r>
    </w:p>
    <w:p>
      <w:pPr>
        <w:adjustRightInd w:val="0"/>
        <w:snapToGrid w:val="0"/>
        <w:spacing w:line="360" w:lineRule="auto"/>
        <w:jc w:val="center"/>
        <w:rPr>
          <w:snapToGrid w:val="0"/>
          <w:color w:val="auto"/>
          <w:kern w:val="21"/>
          <w:sz w:val="24"/>
          <w:szCs w:val="24"/>
        </w:rPr>
        <w:sectPr>
          <w:footerReference r:id="rId10" w:type="default"/>
          <w:pgSz w:w="11906" w:h="16838"/>
          <w:pgMar w:top="1800" w:right="1440" w:bottom="1800" w:left="1440" w:header="1134" w:footer="1134" w:gutter="0"/>
          <w:cols w:space="720" w:num="1"/>
          <w:docGrid w:linePitch="312" w:charSpace="0"/>
        </w:sectPr>
      </w:pPr>
    </w:p>
    <w:p>
      <w:pPr>
        <w:adjustRightInd w:val="0"/>
        <w:snapToGrid w:val="0"/>
        <w:spacing w:before="120" w:beforeLines="50" w:line="360" w:lineRule="auto"/>
        <w:ind w:firstLine="482" w:firstLineChars="200"/>
        <w:rPr>
          <w:b/>
          <w:snapToGrid w:val="0"/>
          <w:color w:val="auto"/>
          <w:kern w:val="21"/>
          <w:sz w:val="24"/>
          <w:szCs w:val="24"/>
        </w:rPr>
      </w:pPr>
      <w:r>
        <w:rPr>
          <w:rFonts w:hint="eastAsia"/>
          <w:b/>
          <w:snapToGrid w:val="0"/>
          <w:color w:val="auto"/>
          <w:kern w:val="21"/>
          <w:sz w:val="24"/>
          <w:szCs w:val="24"/>
        </w:rPr>
        <w:t>1、主要工艺流程简述</w:t>
      </w:r>
    </w:p>
    <w:p>
      <w:pPr>
        <w:adjustRightInd w:val="0"/>
        <w:snapToGrid w:val="0"/>
        <w:spacing w:line="360" w:lineRule="auto"/>
        <w:ind w:firstLine="480" w:firstLineChars="200"/>
        <w:rPr>
          <w:rStyle w:val="130"/>
          <w:color w:val="auto"/>
          <w:kern w:val="21"/>
          <w:sz w:val="24"/>
          <w:szCs w:val="24"/>
        </w:rPr>
      </w:pPr>
      <w:r>
        <w:rPr>
          <w:snapToGrid w:val="0"/>
          <w:color w:val="auto"/>
          <w:kern w:val="21"/>
          <w:sz w:val="24"/>
          <w:szCs w:val="24"/>
        </w:rPr>
        <w:t>1）开卷、冲压：外购成品钢带卷，</w:t>
      </w:r>
      <w:r>
        <w:rPr>
          <w:rFonts w:hint="eastAsia"/>
          <w:snapToGrid w:val="0"/>
          <w:color w:val="auto"/>
          <w:kern w:val="21"/>
          <w:sz w:val="24"/>
          <w:szCs w:val="24"/>
        </w:rPr>
        <w:t>将钢带卷放置在冲床的上料盘</w:t>
      </w:r>
      <w:r>
        <w:rPr>
          <w:snapToGrid w:val="0"/>
          <w:color w:val="auto"/>
          <w:kern w:val="21"/>
          <w:sz w:val="24"/>
          <w:szCs w:val="24"/>
        </w:rPr>
        <w:t>，在上料盘开卷，并将钢带连接至冲压机，钢带经冲床冲制成</w:t>
      </w:r>
      <w:r>
        <w:rPr>
          <w:rFonts w:hint="eastAsia"/>
          <w:snapToGrid w:val="0"/>
          <w:color w:val="auto"/>
          <w:kern w:val="21"/>
          <w:sz w:val="24"/>
          <w:szCs w:val="24"/>
        </w:rPr>
        <w:t>18650型</w:t>
      </w:r>
      <w:r>
        <w:rPr>
          <w:snapToGrid w:val="0"/>
          <w:color w:val="auto"/>
          <w:kern w:val="21"/>
          <w:sz w:val="24"/>
          <w:szCs w:val="24"/>
        </w:rPr>
        <w:t>电池钢壳及盖帽</w:t>
      </w:r>
      <w:r>
        <w:rPr>
          <w:rStyle w:val="13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lang w:eastAsia="zh-CN"/>
        </w:rPr>
        <w:t>开卷、冲压</w:t>
      </w:r>
      <w:r>
        <w:rPr>
          <w:snapToGrid w:val="0"/>
          <w:color w:val="auto"/>
          <w:kern w:val="21"/>
          <w:sz w:val="24"/>
          <w:szCs w:val="24"/>
        </w:rPr>
        <w:t>过程中会产生噪声、边角料、废机油。</w:t>
      </w:r>
    </w:p>
    <w:p>
      <w:pPr>
        <w:adjustRightInd w:val="0"/>
        <w:snapToGrid w:val="0"/>
        <w:spacing w:line="360" w:lineRule="auto"/>
        <w:ind w:firstLine="482" w:firstLineChars="200"/>
        <w:rPr>
          <w:b/>
          <w:bCs/>
          <w:snapToGrid w:val="0"/>
          <w:color w:val="auto"/>
          <w:kern w:val="21"/>
          <w:sz w:val="24"/>
          <w:szCs w:val="24"/>
          <w:u w:val="single"/>
        </w:rPr>
      </w:pPr>
      <w:r>
        <w:rPr>
          <w:rFonts w:hint="eastAsia"/>
          <w:b/>
          <w:bCs/>
          <w:snapToGrid w:val="0"/>
          <w:color w:val="auto"/>
          <w:kern w:val="21"/>
          <w:sz w:val="24"/>
          <w:szCs w:val="24"/>
          <w:u w:val="single"/>
        </w:rPr>
        <w:t>2</w:t>
      </w:r>
      <w:r>
        <w:rPr>
          <w:b/>
          <w:bCs/>
          <w:snapToGrid w:val="0"/>
          <w:color w:val="auto"/>
          <w:kern w:val="21"/>
          <w:sz w:val="24"/>
          <w:szCs w:val="24"/>
          <w:u w:val="single"/>
        </w:rPr>
        <w:t>）除油：钢材自身及在</w:t>
      </w:r>
      <w:r>
        <w:rPr>
          <w:rFonts w:hint="eastAsia"/>
          <w:b/>
          <w:bCs/>
          <w:snapToGrid w:val="0"/>
          <w:color w:val="auto"/>
          <w:kern w:val="21"/>
          <w:sz w:val="24"/>
          <w:szCs w:val="24"/>
          <w:u w:val="single"/>
          <w:lang w:eastAsia="zh-CN"/>
        </w:rPr>
        <w:t>开卷及冲压</w:t>
      </w:r>
      <w:r>
        <w:rPr>
          <w:b/>
          <w:bCs/>
          <w:snapToGrid w:val="0"/>
          <w:color w:val="auto"/>
          <w:kern w:val="21"/>
          <w:sz w:val="24"/>
          <w:szCs w:val="24"/>
          <w:u w:val="single"/>
        </w:rPr>
        <w:t>过程中会附带油污，为脱去金属表面油污，需要进行脱脂处理。</w:t>
      </w:r>
      <w:r>
        <w:rPr>
          <w:rFonts w:hint="eastAsia"/>
          <w:b/>
          <w:bCs/>
          <w:snapToGrid w:val="0"/>
          <w:color w:val="auto"/>
          <w:kern w:val="21"/>
          <w:sz w:val="24"/>
          <w:szCs w:val="24"/>
          <w:u w:val="single"/>
          <w:lang w:eastAsia="zh-CN"/>
        </w:rPr>
        <w:t>脱脂的方法</w:t>
      </w:r>
      <w:r>
        <w:rPr>
          <w:b/>
          <w:bCs/>
          <w:snapToGrid w:val="0"/>
          <w:color w:val="auto"/>
          <w:kern w:val="21"/>
          <w:sz w:val="24"/>
          <w:szCs w:val="24"/>
          <w:u w:val="single"/>
        </w:rPr>
        <w:t>主要是在除油槽中添加碱性脱脂剂（主要成分为氢氧化钠、碳酸钠、表面活性剂），</w:t>
      </w:r>
      <w:r>
        <w:rPr>
          <w:rFonts w:hint="eastAsia"/>
          <w:b/>
          <w:bCs/>
          <w:snapToGrid w:val="0"/>
          <w:color w:val="auto"/>
          <w:kern w:val="21"/>
          <w:sz w:val="24"/>
          <w:szCs w:val="24"/>
          <w:u w:val="single"/>
          <w:lang w:eastAsia="zh-CN"/>
        </w:rPr>
        <w:t>脱脂剂的</w:t>
      </w:r>
      <w:r>
        <w:rPr>
          <w:b/>
          <w:bCs/>
          <w:snapToGrid w:val="0"/>
          <w:color w:val="auto"/>
          <w:kern w:val="21"/>
          <w:sz w:val="24"/>
          <w:szCs w:val="24"/>
          <w:u w:val="single"/>
        </w:rPr>
        <w:t>含量</w:t>
      </w:r>
      <w:r>
        <w:rPr>
          <w:rFonts w:hint="eastAsia"/>
          <w:b/>
          <w:bCs/>
          <w:snapToGrid w:val="0"/>
          <w:color w:val="auto"/>
          <w:kern w:val="21"/>
          <w:sz w:val="24"/>
          <w:szCs w:val="24"/>
          <w:u w:val="single"/>
          <w:lang w:eastAsia="zh-CN"/>
        </w:rPr>
        <w:t>为</w:t>
      </w:r>
      <w:r>
        <w:rPr>
          <w:b/>
          <w:bCs/>
          <w:snapToGrid w:val="0"/>
          <w:color w:val="auto"/>
          <w:kern w:val="21"/>
          <w:sz w:val="24"/>
          <w:szCs w:val="24"/>
          <w:u w:val="single"/>
        </w:rPr>
        <w:t>50g/L，</w:t>
      </w:r>
      <w:r>
        <w:rPr>
          <w:rFonts w:hint="eastAsia"/>
          <w:b/>
          <w:bCs/>
          <w:snapToGrid w:val="0"/>
          <w:color w:val="auto"/>
          <w:kern w:val="21"/>
          <w:sz w:val="24"/>
          <w:szCs w:val="24"/>
          <w:u w:val="single"/>
          <w:lang w:eastAsia="zh-CN"/>
        </w:rPr>
        <w:t>脱脂加热</w:t>
      </w:r>
      <w:r>
        <w:rPr>
          <w:b/>
          <w:bCs/>
          <w:snapToGrid w:val="0"/>
          <w:color w:val="auto"/>
          <w:kern w:val="21"/>
          <w:sz w:val="24"/>
          <w:szCs w:val="24"/>
          <w:u w:val="single"/>
        </w:rPr>
        <w:t>温度5</w:t>
      </w:r>
      <w:r>
        <w:rPr>
          <w:rFonts w:hint="eastAsia"/>
          <w:b/>
          <w:bCs/>
          <w:snapToGrid w:val="0"/>
          <w:color w:val="auto"/>
          <w:kern w:val="21"/>
          <w:sz w:val="24"/>
          <w:szCs w:val="24"/>
          <w:u w:val="single"/>
        </w:rPr>
        <w:t>0</w:t>
      </w:r>
      <w:r>
        <w:rPr>
          <w:b/>
          <w:bCs/>
          <w:snapToGrid w:val="0"/>
          <w:color w:val="auto"/>
          <w:kern w:val="21"/>
          <w:sz w:val="24"/>
          <w:szCs w:val="24"/>
          <w:u w:val="single"/>
        </w:rPr>
        <w:t>-60℃，采用蒸汽加热。脱脂液需要定期补</w:t>
      </w:r>
      <w:r>
        <w:rPr>
          <w:rFonts w:hint="eastAsia"/>
          <w:b/>
          <w:bCs/>
          <w:snapToGrid w:val="0"/>
          <w:color w:val="auto"/>
          <w:kern w:val="21"/>
          <w:sz w:val="24"/>
          <w:szCs w:val="24"/>
          <w:u w:val="single"/>
          <w:lang w:eastAsia="zh-CN"/>
        </w:rPr>
        <w:t>充</w:t>
      </w:r>
      <w:r>
        <w:rPr>
          <w:b/>
          <w:bCs/>
          <w:snapToGrid w:val="0"/>
          <w:color w:val="auto"/>
          <w:kern w:val="21"/>
          <w:sz w:val="24"/>
          <w:szCs w:val="24"/>
          <w:u w:val="single"/>
        </w:rPr>
        <w:t>，以弥补消耗，每2个月更换一次。</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更换的</w:t>
      </w:r>
      <w:r>
        <w:rPr>
          <w:rFonts w:hint="eastAsia"/>
          <w:snapToGrid w:val="0"/>
          <w:color w:val="auto"/>
          <w:kern w:val="21"/>
          <w:sz w:val="24"/>
          <w:szCs w:val="24"/>
          <w:lang w:eastAsia="zh-CN"/>
        </w:rPr>
        <w:t>脱脂液为</w:t>
      </w:r>
      <w:r>
        <w:rPr>
          <w:rFonts w:hint="eastAsia"/>
          <w:color w:val="auto"/>
          <w:kern w:val="21"/>
          <w:sz w:val="24"/>
        </w:rPr>
        <w:t>含油废水</w:t>
      </w:r>
      <w:r>
        <w:rPr>
          <w:rFonts w:hint="eastAsia"/>
          <w:color w:val="auto"/>
          <w:kern w:val="21"/>
          <w:sz w:val="24"/>
          <w:lang w:eastAsia="zh-CN"/>
        </w:rPr>
        <w:t>，含油废水先</w:t>
      </w:r>
      <w:r>
        <w:rPr>
          <w:rFonts w:hint="eastAsia"/>
          <w:color w:val="auto"/>
          <w:kern w:val="21"/>
          <w:sz w:val="24"/>
        </w:rPr>
        <w:t>经</w:t>
      </w:r>
      <w:r>
        <w:rPr>
          <w:rFonts w:hint="eastAsia"/>
          <w:color w:val="auto"/>
          <w:kern w:val="21"/>
          <w:sz w:val="24"/>
          <w:lang w:eastAsia="zh-CN"/>
        </w:rPr>
        <w:t>“</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w:t>
      </w:r>
      <w:r>
        <w:rPr>
          <w:rFonts w:hint="eastAsia"/>
          <w:color w:val="auto"/>
          <w:kern w:val="21"/>
          <w:sz w:val="24"/>
          <w:lang w:eastAsia="zh-CN"/>
        </w:rPr>
        <w:t>”</w:t>
      </w:r>
      <w:r>
        <w:rPr>
          <w:rFonts w:hint="eastAsia"/>
          <w:color w:val="auto"/>
          <w:kern w:val="21"/>
          <w:sz w:val="24"/>
        </w:rPr>
        <w:t>预处理后，</w:t>
      </w:r>
      <w:r>
        <w:rPr>
          <w:rFonts w:hint="eastAsia"/>
          <w:color w:val="auto"/>
          <w:kern w:val="21"/>
          <w:sz w:val="24"/>
          <w:lang w:eastAsia="zh-CN"/>
        </w:rPr>
        <w:t>再</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最后</w:t>
      </w:r>
      <w:r>
        <w:rPr>
          <w:rFonts w:hint="eastAsia"/>
          <w:color w:val="auto"/>
          <w:kern w:val="21"/>
          <w:sz w:val="24"/>
        </w:rPr>
        <w:t>进入零排放处理系统深度处理后回用</w:t>
      </w:r>
      <w:r>
        <w:rPr>
          <w:rFonts w:hint="eastAsia"/>
          <w:color w:val="auto"/>
          <w:kern w:val="21"/>
          <w:sz w:val="24"/>
          <w:lang w:eastAsia="zh-CN"/>
        </w:rPr>
        <w:t>于生产线水洗工段</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3</w:t>
      </w:r>
      <w:r>
        <w:rPr>
          <w:snapToGrid w:val="0"/>
          <w:color w:val="auto"/>
          <w:kern w:val="21"/>
          <w:sz w:val="24"/>
          <w:szCs w:val="24"/>
        </w:rPr>
        <w:t>）二级逆流水洗</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脱脂后水洗采用二级逆流水洗，去除工件表面残留的油污及脱脂液，逆流水洗工艺：即清洗水流向与工件运行方向相反，即工件按顺序先后进入水洗槽1→水洗槽2，清洗水则由水洗槽2→水洗槽1。</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清洗废水</w:t>
      </w:r>
      <w:r>
        <w:rPr>
          <w:rFonts w:hint="eastAsia"/>
          <w:snapToGrid w:val="0"/>
          <w:color w:val="auto"/>
          <w:kern w:val="21"/>
          <w:sz w:val="24"/>
          <w:szCs w:val="24"/>
        </w:rPr>
        <w:t>属于含油废水，</w:t>
      </w:r>
      <w:r>
        <w:rPr>
          <w:rFonts w:hint="eastAsia"/>
          <w:color w:val="auto"/>
          <w:kern w:val="21"/>
          <w:sz w:val="24"/>
        </w:rPr>
        <w:t>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→混凝→气浮预处理后，先进入酸性废水预处理系统进行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处理，最终进入零排放处理系统深度处理后回用</w:t>
      </w:r>
      <w:r>
        <w:rPr>
          <w:rFonts w:hint="eastAsia"/>
          <w:snapToGrid w:val="0"/>
          <w:color w:val="auto"/>
          <w:kern w:val="21"/>
          <w:sz w:val="24"/>
          <w:szCs w:val="24"/>
        </w:rPr>
        <w:t>。。</w:t>
      </w:r>
    </w:p>
    <w:p>
      <w:pPr>
        <w:adjustRightInd w:val="0"/>
        <w:snapToGrid w:val="0"/>
        <w:spacing w:line="360" w:lineRule="auto"/>
        <w:ind w:firstLine="480" w:firstLineChars="200"/>
        <w:rPr>
          <w:color w:val="auto"/>
          <w:kern w:val="21"/>
          <w:sz w:val="24"/>
          <w:szCs w:val="24"/>
        </w:rPr>
      </w:pPr>
      <w:r>
        <w:rPr>
          <w:rFonts w:hint="eastAsia"/>
          <w:snapToGrid w:val="0"/>
          <w:color w:val="auto"/>
          <w:kern w:val="21"/>
          <w:sz w:val="24"/>
          <w:szCs w:val="24"/>
        </w:rPr>
        <w:t>4</w:t>
      </w:r>
      <w:r>
        <w:rPr>
          <w:snapToGrid w:val="0"/>
          <w:color w:val="auto"/>
          <w:kern w:val="21"/>
          <w:sz w:val="24"/>
          <w:szCs w:val="24"/>
        </w:rPr>
        <w:t>）酸洗：酸洗是利用酸溶液去除电池壳体表面上的氧化膜，本项目酸洗工艺仅使用</w:t>
      </w:r>
      <w:r>
        <w:rPr>
          <w:rFonts w:hint="eastAsia"/>
          <w:snapToGrid w:val="0"/>
          <w:color w:val="auto"/>
          <w:kern w:val="21"/>
          <w:sz w:val="24"/>
          <w:szCs w:val="24"/>
          <w:lang w:eastAsia="zh-CN"/>
        </w:rPr>
        <w:t>5%-8%</w:t>
      </w:r>
      <w:r>
        <w:rPr>
          <w:snapToGrid w:val="0"/>
          <w:color w:val="auto"/>
          <w:kern w:val="21"/>
          <w:sz w:val="24"/>
          <w:szCs w:val="24"/>
        </w:rPr>
        <w:t>盐酸</w:t>
      </w:r>
      <w:r>
        <w:rPr>
          <w:color w:val="auto"/>
          <w:kern w:val="21"/>
          <w:sz w:val="24"/>
          <w:szCs w:val="24"/>
        </w:rPr>
        <w:t>（由35%盐酸调配而成）</w:t>
      </w:r>
      <w:r>
        <w:rPr>
          <w:snapToGrid w:val="0"/>
          <w:color w:val="auto"/>
          <w:kern w:val="21"/>
          <w:sz w:val="24"/>
          <w:szCs w:val="24"/>
        </w:rPr>
        <w:t>，酸洗时长8-10min。</w:t>
      </w:r>
      <w:r>
        <w:rPr>
          <w:color w:val="auto"/>
          <w:kern w:val="21"/>
          <w:sz w:val="24"/>
          <w:szCs w:val="24"/>
        </w:rPr>
        <w:t>槽液需定期补加，以弥补消耗</w:t>
      </w:r>
      <w:r>
        <w:rPr>
          <w:snapToGrid w:val="0"/>
          <w:color w:val="auto"/>
          <w:kern w:val="21"/>
          <w:sz w:val="24"/>
          <w:szCs w:val="24"/>
        </w:rPr>
        <w:t>，</w:t>
      </w:r>
      <w:r>
        <w:rPr>
          <w:color w:val="auto"/>
          <w:kern w:val="21"/>
          <w:sz w:val="24"/>
          <w:szCs w:val="24"/>
        </w:rPr>
        <w:t>酸洗槽液</w:t>
      </w:r>
      <w:r>
        <w:rPr>
          <w:rFonts w:hint="eastAsia"/>
          <w:color w:val="auto"/>
          <w:kern w:val="21"/>
          <w:sz w:val="24"/>
          <w:szCs w:val="24"/>
        </w:rPr>
        <w:t>每周</w:t>
      </w:r>
      <w:r>
        <w:rPr>
          <w:color w:val="auto"/>
          <w:kern w:val="21"/>
          <w:sz w:val="24"/>
          <w:szCs w:val="24"/>
        </w:rPr>
        <w:t>更换一次。</w:t>
      </w:r>
    </w:p>
    <w:p>
      <w:pPr>
        <w:adjustRightInd w:val="0"/>
        <w:snapToGrid w:val="0"/>
        <w:spacing w:line="360" w:lineRule="auto"/>
        <w:ind w:firstLine="480" w:firstLineChars="200"/>
        <w:rPr>
          <w:color w:val="auto"/>
          <w:kern w:val="21"/>
          <w:sz w:val="24"/>
          <w:szCs w:val="24"/>
        </w:rPr>
      </w:pPr>
      <w:r>
        <w:rPr>
          <w:color w:val="auto"/>
          <w:kern w:val="21"/>
          <w:sz w:val="24"/>
          <w:szCs w:val="24"/>
        </w:rPr>
        <w:t>更换的槽液</w:t>
      </w:r>
      <w:r>
        <w:rPr>
          <w:rFonts w:hint="eastAsia"/>
          <w:color w:val="auto"/>
          <w:kern w:val="21"/>
          <w:sz w:val="24"/>
          <w:szCs w:val="24"/>
        </w:rPr>
        <w:t>属于酸性废水，</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处理，最终进入零排放处理系统深度处理后回用</w:t>
      </w:r>
      <w:r>
        <w:rPr>
          <w:rFonts w:hint="eastAsia"/>
          <w:snapToGrid w:val="0"/>
          <w:color w:val="auto"/>
          <w:kern w:val="21"/>
          <w:sz w:val="24"/>
          <w:szCs w:val="24"/>
        </w:rPr>
        <w:t>；</w:t>
      </w:r>
      <w:r>
        <w:rPr>
          <w:color w:val="auto"/>
          <w:kern w:val="21"/>
          <w:sz w:val="24"/>
          <w:szCs w:val="24"/>
        </w:rPr>
        <w:t>酸洗槽会挥发少量盐酸酸雾，</w:t>
      </w:r>
      <w:r>
        <w:rPr>
          <w:rFonts w:hint="eastAsia"/>
          <w:color w:val="auto"/>
          <w:kern w:val="21"/>
          <w:sz w:val="24"/>
          <w:szCs w:val="24"/>
        </w:rPr>
        <w:t>电镀生产线设置全封闭，</w:t>
      </w:r>
      <w:r>
        <w:rPr>
          <w:color w:val="auto"/>
          <w:kern w:val="21"/>
          <w:sz w:val="24"/>
          <w:szCs w:val="24"/>
        </w:rPr>
        <w:t>经抽风装置进入二级碱液喷淋中和塔进行处理，处理达标后经</w:t>
      </w:r>
      <w:r>
        <w:rPr>
          <w:rFonts w:hint="eastAsia"/>
          <w:color w:val="auto"/>
          <w:kern w:val="21"/>
          <w:sz w:val="24"/>
          <w:szCs w:val="24"/>
        </w:rPr>
        <w:t>15m</w:t>
      </w:r>
      <w:r>
        <w:rPr>
          <w:rFonts w:hint="eastAsia"/>
          <w:color w:val="auto"/>
          <w:kern w:val="21"/>
          <w:sz w:val="24"/>
          <w:szCs w:val="24"/>
          <w:lang w:eastAsia="zh-CN"/>
        </w:rPr>
        <w:t>高</w:t>
      </w:r>
      <w:r>
        <w:rPr>
          <w:rFonts w:hint="eastAsia"/>
          <w:color w:val="auto"/>
          <w:kern w:val="21"/>
          <w:sz w:val="24"/>
          <w:szCs w:val="24"/>
        </w:rPr>
        <w:t>排气筒排放。</w:t>
      </w:r>
    </w:p>
    <w:p>
      <w:pPr>
        <w:adjustRightInd w:val="0"/>
        <w:snapToGrid w:val="0"/>
        <w:spacing w:line="360" w:lineRule="auto"/>
        <w:ind w:firstLine="200"/>
        <w:rPr>
          <w:snapToGrid w:val="0"/>
          <w:color w:val="auto"/>
          <w:kern w:val="21"/>
          <w:sz w:val="24"/>
          <w:szCs w:val="24"/>
        </w:rPr>
      </w:pPr>
      <w:r>
        <w:rPr>
          <w:snapToGrid w:val="0"/>
          <w:color w:val="auto"/>
          <w:kern w:val="21"/>
          <w:sz w:val="24"/>
          <w:szCs w:val="24"/>
        </w:rPr>
        <w:t xml:space="preserve">   </w:t>
      </w:r>
      <w:r>
        <w:rPr>
          <w:rFonts w:hint="eastAsia"/>
          <w:snapToGrid w:val="0"/>
          <w:color w:val="auto"/>
          <w:kern w:val="21"/>
          <w:sz w:val="24"/>
          <w:szCs w:val="24"/>
        </w:rPr>
        <w:t>5</w:t>
      </w:r>
      <w:r>
        <w:rPr>
          <w:snapToGrid w:val="0"/>
          <w:color w:val="auto"/>
          <w:kern w:val="21"/>
          <w:sz w:val="24"/>
          <w:szCs w:val="24"/>
        </w:rPr>
        <w:t>）酸洗后纯水洗</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酸洗后采用纯水二级逆流漂洗，以去除工件表面残留的盐酸。</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清洗废水</w:t>
      </w:r>
      <w:r>
        <w:rPr>
          <w:rFonts w:hint="eastAsia"/>
          <w:snapToGrid w:val="0"/>
          <w:color w:val="auto"/>
          <w:kern w:val="21"/>
          <w:sz w:val="24"/>
          <w:szCs w:val="24"/>
        </w:rPr>
        <w:t>属于酸性废水，</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处理，最终进入零排放处理系统深度处理后回用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2" w:firstLineChars="200"/>
        <w:rPr>
          <w:b/>
          <w:bCs/>
          <w:snapToGrid w:val="0"/>
          <w:color w:val="auto"/>
          <w:kern w:val="21"/>
          <w:sz w:val="24"/>
          <w:szCs w:val="24"/>
          <w:u w:val="single"/>
        </w:rPr>
      </w:pPr>
      <w:r>
        <w:rPr>
          <w:rFonts w:hint="eastAsia"/>
          <w:b/>
          <w:bCs/>
          <w:color w:val="auto"/>
          <w:kern w:val="21"/>
          <w:sz w:val="24"/>
          <w:szCs w:val="24"/>
          <w:u w:val="single"/>
        </w:rPr>
        <w:t>6</w:t>
      </w:r>
      <w:r>
        <w:rPr>
          <w:b/>
          <w:bCs/>
          <w:color w:val="auto"/>
          <w:kern w:val="21"/>
          <w:sz w:val="24"/>
          <w:szCs w:val="24"/>
          <w:u w:val="single"/>
        </w:rPr>
        <w:t>）酸活化：本项目在室温下，采用</w:t>
      </w:r>
      <w:r>
        <w:rPr>
          <w:rFonts w:hint="eastAsia"/>
          <w:b/>
          <w:bCs/>
          <w:color w:val="auto"/>
          <w:kern w:val="21"/>
          <w:sz w:val="24"/>
          <w:szCs w:val="24"/>
          <w:u w:val="single"/>
          <w:lang w:eastAsia="zh-CN"/>
        </w:rPr>
        <w:t>3%-5%</w:t>
      </w:r>
      <w:r>
        <w:rPr>
          <w:b/>
          <w:bCs/>
          <w:color w:val="auto"/>
          <w:kern w:val="21"/>
          <w:sz w:val="24"/>
          <w:szCs w:val="24"/>
          <w:u w:val="single"/>
        </w:rPr>
        <w:t>硫酸</w:t>
      </w:r>
      <w:r>
        <w:rPr>
          <w:b/>
          <w:bCs/>
          <w:snapToGrid w:val="0"/>
          <w:color w:val="auto"/>
          <w:kern w:val="21"/>
          <w:sz w:val="24"/>
          <w:szCs w:val="24"/>
          <w:u w:val="single"/>
        </w:rPr>
        <w:t>对电池工件表面进行轻微腐蚀，根据槽液损耗情况，定期补加，活化槽液每</w:t>
      </w:r>
      <w:r>
        <w:rPr>
          <w:rFonts w:hint="eastAsia"/>
          <w:b/>
          <w:bCs/>
          <w:snapToGrid w:val="0"/>
          <w:color w:val="auto"/>
          <w:kern w:val="21"/>
          <w:sz w:val="24"/>
          <w:szCs w:val="24"/>
          <w:u w:val="single"/>
        </w:rPr>
        <w:t>周</w:t>
      </w:r>
      <w:r>
        <w:rPr>
          <w:b/>
          <w:bCs/>
          <w:snapToGrid w:val="0"/>
          <w:color w:val="auto"/>
          <w:kern w:val="21"/>
          <w:sz w:val="24"/>
          <w:szCs w:val="24"/>
          <w:u w:val="single"/>
        </w:rPr>
        <w:t>更换一次。</w:t>
      </w:r>
    </w:p>
    <w:p>
      <w:pPr>
        <w:adjustRightInd w:val="0"/>
        <w:snapToGrid w:val="0"/>
        <w:spacing w:line="360" w:lineRule="auto"/>
        <w:ind w:firstLine="480" w:firstLineChars="200"/>
        <w:rPr>
          <w:color w:val="auto"/>
          <w:kern w:val="21"/>
          <w:sz w:val="24"/>
          <w:szCs w:val="24"/>
        </w:rPr>
      </w:pPr>
      <w:r>
        <w:rPr>
          <w:color w:val="auto"/>
          <w:kern w:val="21"/>
          <w:sz w:val="24"/>
          <w:szCs w:val="24"/>
        </w:rPr>
        <w:t>更换的槽液</w:t>
      </w:r>
      <w:r>
        <w:rPr>
          <w:rFonts w:hint="eastAsia"/>
          <w:color w:val="auto"/>
          <w:kern w:val="21"/>
          <w:sz w:val="24"/>
          <w:szCs w:val="24"/>
        </w:rPr>
        <w:t>属于酸性废水，</w:t>
      </w:r>
      <w:r>
        <w:rPr>
          <w:rFonts w:hint="eastAsia"/>
          <w:color w:val="auto"/>
          <w:kern w:val="21"/>
          <w:sz w:val="24"/>
          <w:szCs w:val="24"/>
          <w:lang w:eastAsia="zh-CN"/>
        </w:rPr>
        <w:t>先</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于生产线水洗工段</w:t>
      </w:r>
      <w:r>
        <w:rPr>
          <w:color w:val="auto"/>
          <w:kern w:val="21"/>
          <w:sz w:val="24"/>
          <w:szCs w:val="24"/>
        </w:rPr>
        <w:t>。</w:t>
      </w:r>
    </w:p>
    <w:p>
      <w:pPr>
        <w:adjustRightInd w:val="0"/>
        <w:snapToGrid w:val="0"/>
        <w:spacing w:line="360" w:lineRule="auto"/>
        <w:ind w:firstLine="480" w:firstLineChars="200"/>
        <w:rPr>
          <w:rFonts w:hint="eastAsia"/>
          <w:color w:val="auto"/>
          <w:kern w:val="21"/>
          <w:sz w:val="24"/>
          <w:szCs w:val="24"/>
          <w:lang w:eastAsia="zh-CN"/>
        </w:rPr>
      </w:pPr>
      <w:r>
        <w:rPr>
          <w:color w:val="auto"/>
          <w:kern w:val="21"/>
          <w:sz w:val="24"/>
          <w:szCs w:val="24"/>
        </w:rPr>
        <w:t>根据</w:t>
      </w:r>
      <w:r>
        <w:rPr>
          <w:color w:val="auto"/>
          <w:kern w:val="21"/>
          <w:sz w:val="24"/>
          <w:szCs w:val="22"/>
        </w:rPr>
        <w:t>《污染源源强核算技术指南 电镀》（HJ984-2018）附录B中所述，</w:t>
      </w:r>
      <w:r>
        <w:rPr>
          <w:rFonts w:hint="eastAsia"/>
          <w:color w:val="auto"/>
          <w:kern w:val="21"/>
          <w:sz w:val="24"/>
          <w:szCs w:val="22"/>
        </w:rPr>
        <w:t>“</w:t>
      </w:r>
      <w:r>
        <w:rPr>
          <w:color w:val="auto"/>
          <w:kern w:val="21"/>
          <w:sz w:val="24"/>
          <w:szCs w:val="22"/>
        </w:rPr>
        <w:t>室温下在稀硫酸酸洗可忽略硫酸雾产生</w:t>
      </w:r>
      <w:r>
        <w:rPr>
          <w:rFonts w:hint="eastAsia"/>
          <w:color w:val="auto"/>
          <w:kern w:val="21"/>
          <w:sz w:val="24"/>
          <w:szCs w:val="22"/>
        </w:rPr>
        <w:t>”。本项目酸活化</w:t>
      </w:r>
      <w:r>
        <w:rPr>
          <w:rFonts w:hint="eastAsia"/>
          <w:color w:val="auto"/>
          <w:kern w:val="21"/>
          <w:sz w:val="24"/>
          <w:szCs w:val="22"/>
          <w:lang w:eastAsia="zh-CN"/>
        </w:rPr>
        <w:t>采用3%-5%的</w:t>
      </w:r>
      <w:r>
        <w:rPr>
          <w:color w:val="auto"/>
          <w:kern w:val="21"/>
          <w:sz w:val="24"/>
          <w:szCs w:val="24"/>
        </w:rPr>
        <w:t>硫酸，操作温度为室温，无需加热，因此此处</w:t>
      </w:r>
      <w:r>
        <w:rPr>
          <w:color w:val="auto"/>
          <w:kern w:val="21"/>
          <w:sz w:val="24"/>
          <w:szCs w:val="22"/>
        </w:rPr>
        <w:t>忽略硫酸雾产生</w:t>
      </w:r>
      <w:r>
        <w:rPr>
          <w:rFonts w:hint="eastAsia"/>
          <w:color w:val="auto"/>
          <w:kern w:val="21"/>
          <w:sz w:val="24"/>
          <w:szCs w:val="22"/>
          <w:lang w:eastAsia="zh-CN"/>
        </w:rPr>
        <w:t>，不再定量分析硫酸雾</w:t>
      </w:r>
      <w:r>
        <w:rPr>
          <w:color w:val="auto"/>
          <w:kern w:val="21"/>
          <w:sz w:val="24"/>
          <w:szCs w:val="22"/>
        </w:rPr>
        <w:t>。但</w:t>
      </w:r>
      <w:r>
        <w:rPr>
          <w:rFonts w:hint="eastAsia"/>
          <w:color w:val="auto"/>
          <w:kern w:val="21"/>
          <w:sz w:val="24"/>
          <w:szCs w:val="22"/>
          <w:lang w:eastAsia="zh-CN"/>
        </w:rPr>
        <w:t>为了最大限度的</w:t>
      </w:r>
      <w:r>
        <w:rPr>
          <w:rFonts w:hint="eastAsia"/>
          <w:color w:val="auto"/>
          <w:kern w:val="21"/>
          <w:sz w:val="24"/>
          <w:szCs w:val="22"/>
        </w:rPr>
        <w:t>减少废气</w:t>
      </w:r>
      <w:r>
        <w:rPr>
          <w:rFonts w:hint="eastAsia"/>
          <w:color w:val="auto"/>
          <w:kern w:val="21"/>
          <w:sz w:val="24"/>
          <w:szCs w:val="22"/>
          <w:lang w:eastAsia="zh-CN"/>
        </w:rPr>
        <w:t>的</w:t>
      </w:r>
      <w:r>
        <w:rPr>
          <w:rFonts w:hint="eastAsia"/>
          <w:color w:val="auto"/>
          <w:kern w:val="21"/>
          <w:sz w:val="24"/>
          <w:szCs w:val="22"/>
        </w:rPr>
        <w:t>影响，</w:t>
      </w:r>
      <w:r>
        <w:rPr>
          <w:rFonts w:hint="eastAsia"/>
          <w:color w:val="auto"/>
          <w:kern w:val="21"/>
          <w:sz w:val="24"/>
          <w:szCs w:val="24"/>
        </w:rPr>
        <w:t>生产线全封闭，</w:t>
      </w:r>
      <w:r>
        <w:rPr>
          <w:rFonts w:hint="eastAsia"/>
          <w:color w:val="auto"/>
          <w:kern w:val="21"/>
          <w:sz w:val="24"/>
          <w:szCs w:val="24"/>
          <w:lang w:eastAsia="zh-CN"/>
        </w:rPr>
        <w:t>硫酸雾</w:t>
      </w:r>
      <w:r>
        <w:rPr>
          <w:color w:val="auto"/>
          <w:kern w:val="21"/>
          <w:sz w:val="24"/>
          <w:szCs w:val="24"/>
        </w:rPr>
        <w:t>经抽风装置进入二级碱液喷淋中和塔进行处理，处理达标后经</w:t>
      </w:r>
      <w:r>
        <w:rPr>
          <w:rFonts w:hint="eastAsia"/>
          <w:color w:val="auto"/>
          <w:kern w:val="21"/>
          <w:sz w:val="24"/>
          <w:szCs w:val="24"/>
          <w:lang w:eastAsia="zh-CN"/>
        </w:rPr>
        <w:t>15m高排气筒</w:t>
      </w:r>
      <w:r>
        <w:rPr>
          <w:rFonts w:hint="eastAsia"/>
          <w:color w:val="auto"/>
          <w:kern w:val="21"/>
          <w:sz w:val="24"/>
          <w:szCs w:val="24"/>
        </w:rPr>
        <w:t>排放</w:t>
      </w:r>
      <w:r>
        <w:rPr>
          <w:rFonts w:hint="eastAsia"/>
          <w:color w:val="auto"/>
          <w:kern w:val="21"/>
          <w:sz w:val="24"/>
          <w:szCs w:val="24"/>
          <w:lang w:eastAsia="zh-CN"/>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7</w:t>
      </w:r>
      <w:r>
        <w:rPr>
          <w:snapToGrid w:val="0"/>
          <w:color w:val="auto"/>
          <w:kern w:val="21"/>
          <w:sz w:val="24"/>
          <w:szCs w:val="24"/>
        </w:rPr>
        <w:t>）</w:t>
      </w:r>
      <w:r>
        <w:rPr>
          <w:color w:val="auto"/>
          <w:kern w:val="21"/>
          <w:sz w:val="24"/>
          <w:szCs w:val="24"/>
        </w:rPr>
        <w:t>酸活化后</w:t>
      </w:r>
      <w:r>
        <w:rPr>
          <w:snapToGrid w:val="0"/>
          <w:color w:val="auto"/>
          <w:kern w:val="21"/>
          <w:sz w:val="24"/>
          <w:szCs w:val="24"/>
        </w:rPr>
        <w:t>水洗：采用纯水漂洗，以去除工件表面残留的硫酸。</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清洗废水</w:t>
      </w:r>
      <w:r>
        <w:rPr>
          <w:rFonts w:hint="eastAsia"/>
          <w:snapToGrid w:val="0"/>
          <w:color w:val="auto"/>
          <w:kern w:val="21"/>
          <w:sz w:val="24"/>
          <w:szCs w:val="24"/>
        </w:rPr>
        <w:t>属于酸性废水，</w:t>
      </w:r>
      <w:r>
        <w:rPr>
          <w:rFonts w:hint="eastAsia"/>
          <w:snapToGrid w:val="0"/>
          <w:color w:val="auto"/>
          <w:kern w:val="21"/>
          <w:sz w:val="24"/>
          <w:szCs w:val="24"/>
          <w:lang w:eastAsia="zh-CN"/>
        </w:rPr>
        <w:t>先</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color w:val="auto"/>
          <w:kern w:val="21"/>
          <w:sz w:val="24"/>
          <w:szCs w:val="24"/>
        </w:rPr>
      </w:pPr>
      <w:r>
        <w:rPr>
          <w:rFonts w:hint="eastAsia"/>
          <w:snapToGrid w:val="0"/>
          <w:color w:val="auto"/>
          <w:kern w:val="21"/>
          <w:sz w:val="24"/>
          <w:szCs w:val="24"/>
        </w:rPr>
        <w:t>8</w:t>
      </w:r>
      <w:r>
        <w:rPr>
          <w:snapToGrid w:val="0"/>
          <w:color w:val="auto"/>
          <w:kern w:val="21"/>
          <w:sz w:val="24"/>
          <w:szCs w:val="24"/>
        </w:rPr>
        <w:t>）</w:t>
      </w:r>
      <w:r>
        <w:rPr>
          <w:rFonts w:hint="eastAsia"/>
          <w:color w:val="auto"/>
          <w:kern w:val="21"/>
          <w:sz w:val="24"/>
          <w:szCs w:val="24"/>
        </w:rPr>
        <w:t>镀镍</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镀</w:t>
      </w:r>
      <w:r>
        <w:rPr>
          <w:rFonts w:hint="eastAsia"/>
          <w:snapToGrid w:val="0"/>
          <w:color w:val="auto"/>
          <w:kern w:val="21"/>
          <w:sz w:val="24"/>
          <w:szCs w:val="24"/>
          <w:lang w:eastAsia="zh-CN"/>
        </w:rPr>
        <w:t>镍槽液中含</w:t>
      </w:r>
      <w:r>
        <w:rPr>
          <w:snapToGrid w:val="0"/>
          <w:color w:val="auto"/>
          <w:kern w:val="21"/>
          <w:sz w:val="24"/>
          <w:szCs w:val="24"/>
        </w:rPr>
        <w:t>硫酸镍200-250g/L，氯化镍50-70g/L，硼酸40-50g/L，电镀添加剂及镍板适量，操作温度为5</w:t>
      </w:r>
      <w:r>
        <w:rPr>
          <w:rFonts w:hint="eastAsia"/>
          <w:snapToGrid w:val="0"/>
          <w:color w:val="auto"/>
          <w:kern w:val="21"/>
          <w:sz w:val="24"/>
          <w:szCs w:val="24"/>
        </w:rPr>
        <w:t>5</w:t>
      </w:r>
      <w:r>
        <w:rPr>
          <w:snapToGrid w:val="0"/>
          <w:color w:val="auto"/>
          <w:kern w:val="21"/>
          <w:sz w:val="24"/>
          <w:szCs w:val="24"/>
        </w:rPr>
        <w:t>-</w:t>
      </w:r>
      <w:r>
        <w:rPr>
          <w:rFonts w:hint="eastAsia"/>
          <w:snapToGrid w:val="0"/>
          <w:color w:val="auto"/>
          <w:kern w:val="21"/>
          <w:sz w:val="24"/>
          <w:szCs w:val="24"/>
        </w:rPr>
        <w:t>65</w:t>
      </w:r>
      <w:r>
        <w:rPr>
          <w:snapToGrid w:val="0"/>
          <w:color w:val="auto"/>
          <w:kern w:val="21"/>
          <w:sz w:val="24"/>
          <w:szCs w:val="24"/>
        </w:rPr>
        <w:t>℃左右</w:t>
      </w:r>
      <w:r>
        <w:rPr>
          <w:rFonts w:hint="eastAsia"/>
          <w:snapToGrid w:val="0"/>
          <w:color w:val="auto"/>
          <w:kern w:val="21"/>
          <w:sz w:val="24"/>
          <w:szCs w:val="24"/>
          <w:lang w:eastAsia="zh-CN"/>
        </w:rPr>
        <w:t>，</w:t>
      </w:r>
      <w:r>
        <w:rPr>
          <w:snapToGrid w:val="0"/>
          <w:color w:val="auto"/>
          <w:kern w:val="21"/>
          <w:sz w:val="24"/>
          <w:szCs w:val="24"/>
        </w:rPr>
        <w:t>采用间接蒸汽加热，</w:t>
      </w:r>
      <w:r>
        <w:rPr>
          <w:rFonts w:hint="eastAsia"/>
          <w:snapToGrid w:val="0"/>
          <w:color w:val="auto"/>
          <w:kern w:val="21"/>
          <w:sz w:val="24"/>
          <w:szCs w:val="24"/>
        </w:rPr>
        <w:t>pH</w:t>
      </w:r>
      <w:r>
        <w:rPr>
          <w:snapToGrid w:val="0"/>
          <w:color w:val="auto"/>
          <w:kern w:val="21"/>
          <w:sz w:val="24"/>
          <w:szCs w:val="24"/>
        </w:rPr>
        <w:t>为4.2-4.8。</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在电镀过程中以镍板为阳极，工件为阴极，含镍溶液为交换介质，反应原理如下：</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object>
          <v:shape id="_x0000_i1026" o:spt="75" alt="" type="#_x0000_t75" style="height:35.25pt;width:110.95pt;" o:ole="t" filled="f" o:preferrelative="t" stroked="f" coordsize="21600,21600">
            <v:path/>
            <v:fill on="f" focussize="0,0"/>
            <v:stroke on="f"/>
            <v:imagedata r:id="rId51" o:title=""/>
            <o:lock v:ext="edit" aspectratio="t"/>
            <w10:wrap type="none"/>
            <w10:anchorlock/>
          </v:shape>
          <o:OLEObject Type="Embed" ProgID="Equation.3" ShapeID="_x0000_i1026" DrawAspect="Content" ObjectID="_1468075726" r:id="rId50">
            <o:LockedField>false</o:LockedField>
          </o:OLEObject>
        </w:objec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该部分槽液过滤后可以长期使用，</w:t>
      </w:r>
      <w:r>
        <w:rPr>
          <w:rFonts w:hint="eastAsia"/>
          <w:snapToGrid w:val="0"/>
          <w:color w:val="auto"/>
          <w:kern w:val="21"/>
          <w:sz w:val="24"/>
          <w:szCs w:val="24"/>
        </w:rPr>
        <w:t>5年更换一次</w:t>
      </w:r>
      <w:r>
        <w:rPr>
          <w:snapToGrid w:val="0"/>
          <w:color w:val="auto"/>
          <w:kern w:val="21"/>
          <w:sz w:val="24"/>
          <w:szCs w:val="24"/>
        </w:rPr>
        <w:t>，使用期间一直由过滤机进行过滤，过滤产生的滤渣和废滤芯等废物作为危废暂存至厂区危废暂存间，定期交有资质的单位</w:t>
      </w:r>
      <w:r>
        <w:rPr>
          <w:rFonts w:hint="eastAsia"/>
          <w:snapToGrid w:val="0"/>
          <w:color w:val="auto"/>
          <w:kern w:val="21"/>
          <w:sz w:val="24"/>
          <w:szCs w:val="24"/>
          <w:lang w:eastAsia="zh-CN"/>
        </w:rPr>
        <w:t>处置</w:t>
      </w:r>
      <w:r>
        <w:rPr>
          <w:snapToGrid w:val="0"/>
          <w:color w:val="auto"/>
          <w:kern w:val="21"/>
          <w:sz w:val="24"/>
          <w:szCs w:val="24"/>
        </w:rPr>
        <w:t xml:space="preserve">。  </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9</w:t>
      </w:r>
      <w:r>
        <w:rPr>
          <w:color w:val="auto"/>
          <w:kern w:val="21"/>
          <w:sz w:val="24"/>
          <w:szCs w:val="24"/>
        </w:rPr>
        <w:t>）三步纯水回收水洗</w:t>
      </w:r>
    </w:p>
    <w:p>
      <w:pPr>
        <w:adjustRightInd w:val="0"/>
        <w:snapToGrid w:val="0"/>
        <w:spacing w:line="360" w:lineRule="auto"/>
        <w:ind w:firstLine="480" w:firstLineChars="200"/>
        <w:rPr>
          <w:color w:val="auto"/>
          <w:kern w:val="21"/>
          <w:sz w:val="24"/>
          <w:szCs w:val="24"/>
        </w:rPr>
      </w:pPr>
      <w:r>
        <w:rPr>
          <w:color w:val="auto"/>
          <w:kern w:val="21"/>
          <w:sz w:val="24"/>
          <w:szCs w:val="24"/>
        </w:rPr>
        <w:t>电镀后的工件采用纯水及回用水进行三步回收水洗，以去除工件表面残留的镀液。</w:t>
      </w:r>
    </w:p>
    <w:p>
      <w:pPr>
        <w:adjustRightInd w:val="0"/>
        <w:snapToGrid w:val="0"/>
        <w:spacing w:line="360" w:lineRule="auto"/>
        <w:rPr>
          <w:rFonts w:hint="eastAsia" w:ascii="微软雅黑" w:hAnsi="微软雅黑" w:eastAsia="微软雅黑"/>
          <w:i/>
          <w:iCs/>
          <w:color w:val="auto"/>
          <w:sz w:val="18"/>
          <w:szCs w:val="18"/>
          <w:shd w:val="clear" w:color="auto" w:fill="FFFFFF"/>
        </w:rPr>
      </w:pPr>
      <w:r>
        <w:rPr>
          <w:rFonts w:hint="eastAsia"/>
          <w:color w:val="auto"/>
          <w:kern w:val="21"/>
          <w:sz w:val="24"/>
          <w:szCs w:val="24"/>
        </w:rPr>
        <w:t>三步回收水洗既连续三道水洗，采用流动活水，第三道水洗槽是净水进水口，第一道水洗为出水口，这样就使得第一道水洗为预水洗，第三道水洗非常的干净，保证到下一道工序产品表面清洗干净</w:t>
      </w:r>
      <w:r>
        <w:rPr>
          <w:rFonts w:hint="eastAsia" w:ascii="微软雅黑" w:hAnsi="微软雅黑" w:eastAsia="微软雅黑"/>
          <w:i/>
          <w:iCs/>
          <w:color w:val="auto"/>
          <w:sz w:val="18"/>
          <w:szCs w:val="18"/>
          <w:shd w:val="clear" w:color="auto" w:fill="FFFFFF"/>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snapToGrid w:val="0"/>
          <w:color w:val="auto"/>
          <w:kern w:val="21"/>
          <w:sz w:val="24"/>
          <w:szCs w:val="24"/>
        </w:rPr>
      </w:pPr>
      <w:r>
        <w:rPr>
          <w:color w:val="auto"/>
          <w:kern w:val="21"/>
          <w:sz w:val="24"/>
          <w:szCs w:val="24"/>
        </w:rPr>
        <w:t>该部分含镍水洗废水</w:t>
      </w:r>
      <w:r>
        <w:rPr>
          <w:rFonts w:hint="eastAsia"/>
          <w:color w:val="auto"/>
          <w:kern w:val="21"/>
          <w:sz w:val="24"/>
          <w:szCs w:val="24"/>
          <w:lang w:eastAsia="zh-CN"/>
        </w:rPr>
        <w:t>先</w:t>
      </w:r>
      <w:r>
        <w:rPr>
          <w:rFonts w:hint="eastAsia"/>
          <w:color w:val="auto"/>
          <w:kern w:val="21"/>
          <w:sz w:val="24"/>
          <w:szCs w:val="24"/>
        </w:rPr>
        <w:t>进入含镍废水预处理系统</w:t>
      </w:r>
      <w:r>
        <w:rPr>
          <w:rFonts w:hint="eastAsia"/>
          <w:color w:val="auto"/>
          <w:kern w:val="21"/>
          <w:sz w:val="24"/>
          <w:szCs w:val="24"/>
          <w:lang w:eastAsia="zh-CN"/>
        </w:rPr>
        <w:t>“</w:t>
      </w:r>
      <w:r>
        <w:rPr>
          <w:rFonts w:hint="eastAsia"/>
          <w:color w:val="auto"/>
          <w:kern w:val="21"/>
          <w:sz w:val="24"/>
          <w:szCs w:val="24"/>
        </w:rPr>
        <w:t>pH调节→混凝沉淀→回调→多介质过滤</w:t>
      </w:r>
      <w:r>
        <w:rPr>
          <w:rFonts w:hint="eastAsia"/>
          <w:color w:val="auto"/>
          <w:kern w:val="21"/>
          <w:sz w:val="24"/>
          <w:szCs w:val="24"/>
          <w:lang w:eastAsia="zh-CN"/>
        </w:rPr>
        <w:t>”</w:t>
      </w:r>
      <w:r>
        <w:rPr>
          <w:rFonts w:hint="eastAsia"/>
          <w:color w:val="auto"/>
          <w:kern w:val="21"/>
          <w:sz w:val="24"/>
          <w:szCs w:val="24"/>
        </w:rPr>
        <w:t>，</w:t>
      </w:r>
      <w:r>
        <w:rPr>
          <w:rFonts w:hint="eastAsia"/>
          <w:color w:val="auto"/>
          <w:kern w:val="21"/>
          <w:sz w:val="24"/>
          <w:szCs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10</w:t>
      </w:r>
      <w:r>
        <w:rPr>
          <w:snapToGrid w:val="0"/>
          <w:color w:val="auto"/>
          <w:kern w:val="21"/>
          <w:sz w:val="24"/>
          <w:szCs w:val="24"/>
        </w:rPr>
        <w:t>）漂白</w:t>
      </w:r>
    </w:p>
    <w:p>
      <w:pPr>
        <w:adjustRightInd w:val="0"/>
        <w:snapToGrid w:val="0"/>
        <w:spacing w:line="360" w:lineRule="auto"/>
        <w:ind w:firstLine="480" w:firstLineChars="200"/>
        <w:rPr>
          <w:color w:val="auto"/>
          <w:kern w:val="21"/>
          <w:sz w:val="24"/>
          <w:szCs w:val="24"/>
        </w:rPr>
      </w:pPr>
      <w:r>
        <w:rPr>
          <w:snapToGrid w:val="0"/>
          <w:color w:val="auto"/>
          <w:kern w:val="21"/>
          <w:sz w:val="24"/>
          <w:szCs w:val="24"/>
        </w:rPr>
        <w:t>工件在镀镍后，需经过</w:t>
      </w:r>
      <w:r>
        <w:rPr>
          <w:rFonts w:hint="eastAsia"/>
          <w:snapToGrid w:val="0"/>
          <w:color w:val="auto"/>
          <w:kern w:val="21"/>
          <w:sz w:val="24"/>
          <w:szCs w:val="24"/>
        </w:rPr>
        <w:t>一</w:t>
      </w:r>
      <w:r>
        <w:rPr>
          <w:snapToGrid w:val="0"/>
          <w:color w:val="auto"/>
          <w:kern w:val="21"/>
          <w:sz w:val="24"/>
          <w:szCs w:val="24"/>
        </w:rPr>
        <w:t>道漂白工序，</w:t>
      </w:r>
      <w:r>
        <w:rPr>
          <w:color w:val="auto"/>
          <w:kern w:val="21"/>
          <w:sz w:val="24"/>
          <w:szCs w:val="24"/>
        </w:rPr>
        <w:t>漂白槽液为5g/L柠檬酸和</w:t>
      </w:r>
      <w:r>
        <w:rPr>
          <w:rFonts w:hint="eastAsia"/>
          <w:color w:val="auto"/>
          <w:kern w:val="21"/>
          <w:sz w:val="24"/>
          <w:szCs w:val="24"/>
        </w:rPr>
        <w:t>2%的葡萄糖酸钠</w:t>
      </w:r>
      <w:r>
        <w:rPr>
          <w:color w:val="auto"/>
          <w:kern w:val="21"/>
          <w:sz w:val="24"/>
          <w:szCs w:val="24"/>
        </w:rPr>
        <w:t>，主要作用是让</w:t>
      </w:r>
      <w:r>
        <w:rPr>
          <w:snapToGrid w:val="0"/>
          <w:color w:val="auto"/>
          <w:kern w:val="21"/>
          <w:sz w:val="24"/>
          <w:szCs w:val="24"/>
        </w:rPr>
        <w:t>工件</w:t>
      </w:r>
      <w:r>
        <w:rPr>
          <w:color w:val="auto"/>
          <w:kern w:val="21"/>
          <w:sz w:val="24"/>
          <w:szCs w:val="24"/>
        </w:rPr>
        <w:t>适当提高白度。槽液需定期补加，以弥补消耗，漂白槽液每月更换一次。</w:t>
      </w:r>
    </w:p>
    <w:p>
      <w:pPr>
        <w:adjustRightInd w:val="0"/>
        <w:snapToGrid w:val="0"/>
        <w:spacing w:line="360" w:lineRule="auto"/>
        <w:ind w:firstLine="480" w:firstLineChars="200"/>
        <w:rPr>
          <w:snapToGrid w:val="0"/>
          <w:color w:val="auto"/>
          <w:kern w:val="21"/>
          <w:sz w:val="24"/>
          <w:szCs w:val="24"/>
        </w:rPr>
      </w:pPr>
      <w:r>
        <w:rPr>
          <w:color w:val="auto"/>
          <w:kern w:val="21"/>
          <w:sz w:val="24"/>
          <w:szCs w:val="24"/>
        </w:rPr>
        <w:t>更换的漂白槽液属于含镍废水，该部分含镍水洗废水</w:t>
      </w:r>
      <w:r>
        <w:rPr>
          <w:rFonts w:hint="eastAsia"/>
          <w:color w:val="auto"/>
          <w:kern w:val="21"/>
          <w:sz w:val="24"/>
          <w:szCs w:val="24"/>
          <w:lang w:eastAsia="zh-CN"/>
        </w:rPr>
        <w:t>先</w:t>
      </w:r>
      <w:r>
        <w:rPr>
          <w:rFonts w:hint="eastAsia"/>
          <w:color w:val="auto"/>
          <w:kern w:val="21"/>
          <w:sz w:val="24"/>
          <w:szCs w:val="24"/>
        </w:rPr>
        <w:t>进入含镍废水预处理系统</w:t>
      </w:r>
      <w:r>
        <w:rPr>
          <w:rFonts w:hint="eastAsia"/>
          <w:color w:val="auto"/>
          <w:kern w:val="21"/>
          <w:sz w:val="24"/>
          <w:szCs w:val="24"/>
          <w:lang w:eastAsia="zh-CN"/>
        </w:rPr>
        <w:t>“</w:t>
      </w:r>
      <w:r>
        <w:rPr>
          <w:rFonts w:hint="eastAsia"/>
          <w:color w:val="auto"/>
          <w:kern w:val="21"/>
          <w:sz w:val="24"/>
          <w:szCs w:val="24"/>
        </w:rPr>
        <w:t>pH调节→混凝沉淀→回调→多介质过滤</w:t>
      </w:r>
      <w:r>
        <w:rPr>
          <w:rFonts w:hint="eastAsia"/>
          <w:color w:val="auto"/>
          <w:kern w:val="21"/>
          <w:sz w:val="24"/>
          <w:szCs w:val="24"/>
          <w:lang w:eastAsia="zh-CN"/>
        </w:rPr>
        <w:t>”处理</w:t>
      </w:r>
      <w:r>
        <w:rPr>
          <w:rFonts w:hint="eastAsia"/>
          <w:color w:val="auto"/>
          <w:kern w:val="21"/>
          <w:sz w:val="24"/>
          <w:szCs w:val="24"/>
        </w:rPr>
        <w:t>，</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11</w:t>
      </w:r>
      <w:r>
        <w:rPr>
          <w:snapToGrid w:val="0"/>
          <w:color w:val="auto"/>
          <w:kern w:val="21"/>
          <w:sz w:val="24"/>
          <w:szCs w:val="24"/>
        </w:rPr>
        <w:t>）纯水漂洗</w:t>
      </w:r>
    </w:p>
    <w:p>
      <w:pPr>
        <w:adjustRightInd w:val="0"/>
        <w:snapToGrid w:val="0"/>
        <w:spacing w:line="360" w:lineRule="auto"/>
        <w:ind w:firstLine="480" w:firstLineChars="200"/>
        <w:rPr>
          <w:color w:val="auto"/>
          <w:kern w:val="21"/>
          <w:sz w:val="24"/>
          <w:szCs w:val="24"/>
        </w:rPr>
      </w:pPr>
      <w:r>
        <w:rPr>
          <w:color w:val="auto"/>
          <w:kern w:val="21"/>
          <w:sz w:val="24"/>
          <w:szCs w:val="24"/>
        </w:rPr>
        <w:t>逆流清洗，常温控制，溢流方式排水。洗掉电池壳</w:t>
      </w:r>
      <w:r>
        <w:rPr>
          <w:rFonts w:hint="eastAsia"/>
          <w:color w:val="auto"/>
          <w:kern w:val="21"/>
          <w:sz w:val="24"/>
          <w:szCs w:val="24"/>
        </w:rPr>
        <w:t>体</w:t>
      </w:r>
      <w:r>
        <w:rPr>
          <w:color w:val="auto"/>
          <w:kern w:val="21"/>
          <w:sz w:val="24"/>
          <w:szCs w:val="24"/>
        </w:rPr>
        <w:t>上携带的柠檬酸。</w:t>
      </w:r>
    </w:p>
    <w:p>
      <w:pPr>
        <w:adjustRightInd w:val="0"/>
        <w:snapToGrid w:val="0"/>
        <w:spacing w:line="360" w:lineRule="auto"/>
        <w:ind w:firstLine="480" w:firstLineChars="200"/>
        <w:rPr>
          <w:snapToGrid w:val="0"/>
          <w:color w:val="auto"/>
          <w:kern w:val="21"/>
          <w:sz w:val="24"/>
          <w:szCs w:val="24"/>
        </w:rPr>
      </w:pPr>
      <w:r>
        <w:rPr>
          <w:color w:val="auto"/>
          <w:kern w:val="21"/>
          <w:sz w:val="24"/>
          <w:szCs w:val="24"/>
        </w:rPr>
        <w:t>清洗废水</w:t>
      </w:r>
      <w:r>
        <w:rPr>
          <w:rFonts w:hint="eastAsia"/>
          <w:color w:val="auto"/>
          <w:kern w:val="21"/>
          <w:sz w:val="24"/>
          <w:szCs w:val="24"/>
          <w:lang w:eastAsia="zh-CN"/>
        </w:rPr>
        <w:t>属于含镍废水，先</w:t>
      </w:r>
      <w:r>
        <w:rPr>
          <w:rFonts w:hint="eastAsia"/>
          <w:color w:val="auto"/>
          <w:sz w:val="24"/>
          <w:szCs w:val="24"/>
        </w:rPr>
        <w:t>进入</w:t>
      </w:r>
      <w:r>
        <w:rPr>
          <w:rFonts w:hint="eastAsia"/>
          <w:color w:val="auto"/>
          <w:kern w:val="21"/>
          <w:sz w:val="24"/>
          <w:szCs w:val="24"/>
        </w:rPr>
        <w:t>含镍废水预处理系统</w:t>
      </w:r>
      <w:r>
        <w:rPr>
          <w:rFonts w:hint="eastAsia"/>
          <w:color w:val="auto"/>
          <w:kern w:val="21"/>
          <w:sz w:val="24"/>
          <w:szCs w:val="24"/>
          <w:lang w:eastAsia="zh-CN"/>
        </w:rPr>
        <w:t>“</w:t>
      </w:r>
      <w:r>
        <w:rPr>
          <w:rFonts w:hint="eastAsia"/>
          <w:color w:val="auto"/>
          <w:kern w:val="21"/>
          <w:sz w:val="24"/>
          <w:szCs w:val="24"/>
        </w:rPr>
        <w:t>pH调节→混凝沉淀→回调→多介质过滤</w:t>
      </w:r>
      <w:r>
        <w:rPr>
          <w:rFonts w:hint="eastAsia"/>
          <w:color w:val="auto"/>
          <w:kern w:val="21"/>
          <w:sz w:val="24"/>
          <w:szCs w:val="24"/>
          <w:lang w:eastAsia="zh-CN"/>
        </w:rPr>
        <w:t>”处理</w:t>
      </w:r>
      <w:r>
        <w:rPr>
          <w:rFonts w:hint="eastAsia"/>
          <w:color w:val="auto"/>
          <w:kern w:val="21"/>
          <w:sz w:val="24"/>
          <w:szCs w:val="24"/>
        </w:rPr>
        <w:t>，</w:t>
      </w:r>
      <w:r>
        <w:rPr>
          <w:rFonts w:hint="eastAsia"/>
          <w:color w:val="auto"/>
          <w:kern w:val="21"/>
          <w:sz w:val="24"/>
          <w:szCs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12</w:t>
      </w:r>
      <w:r>
        <w:rPr>
          <w:snapToGrid w:val="0"/>
          <w:color w:val="auto"/>
          <w:kern w:val="21"/>
          <w:sz w:val="24"/>
          <w:szCs w:val="24"/>
        </w:rPr>
        <w:t>）钝化</w:t>
      </w:r>
    </w:p>
    <w:p>
      <w:pPr>
        <w:adjustRightInd w:val="0"/>
        <w:snapToGrid w:val="0"/>
        <w:spacing w:line="360" w:lineRule="auto"/>
        <w:ind w:firstLine="480" w:firstLineChars="200"/>
        <w:rPr>
          <w:color w:val="auto"/>
          <w:kern w:val="21"/>
          <w:sz w:val="24"/>
          <w:szCs w:val="24"/>
        </w:rPr>
      </w:pPr>
      <w:r>
        <w:rPr>
          <w:color w:val="auto"/>
          <w:kern w:val="21"/>
          <w:sz w:val="24"/>
          <w:szCs w:val="24"/>
        </w:rPr>
        <w:t>钝化工序是将工件与含有六价铬的酸性溶液接触，在</w:t>
      </w:r>
      <w:r>
        <w:rPr>
          <w:snapToGrid w:val="0"/>
          <w:color w:val="auto"/>
          <w:kern w:val="21"/>
          <w:sz w:val="24"/>
          <w:szCs w:val="24"/>
        </w:rPr>
        <w:t>工件</w:t>
      </w:r>
      <w:r>
        <w:rPr>
          <w:color w:val="auto"/>
          <w:kern w:val="21"/>
          <w:sz w:val="24"/>
          <w:szCs w:val="24"/>
        </w:rPr>
        <w:t>表面形成钝化膜，减缓腐蚀。槽液需定期补加，以弥补消耗。</w:t>
      </w:r>
    </w:p>
    <w:p>
      <w:pPr>
        <w:adjustRightInd w:val="0"/>
        <w:snapToGrid w:val="0"/>
        <w:spacing w:line="360" w:lineRule="auto"/>
        <w:ind w:firstLine="480" w:firstLineChars="200"/>
        <w:rPr>
          <w:color w:val="auto"/>
          <w:kern w:val="21"/>
          <w:sz w:val="24"/>
          <w:szCs w:val="24"/>
        </w:rPr>
      </w:pPr>
      <w:r>
        <w:rPr>
          <w:color w:val="auto"/>
          <w:kern w:val="21"/>
          <w:sz w:val="24"/>
          <w:szCs w:val="24"/>
        </w:rPr>
        <w:t>钝化槽液</w:t>
      </w:r>
      <w:r>
        <w:rPr>
          <w:rFonts w:hint="eastAsia"/>
          <w:color w:val="auto"/>
          <w:kern w:val="21"/>
          <w:sz w:val="24"/>
          <w:szCs w:val="24"/>
        </w:rPr>
        <w:t>每周</w:t>
      </w:r>
      <w:r>
        <w:rPr>
          <w:color w:val="auto"/>
          <w:kern w:val="21"/>
          <w:sz w:val="24"/>
          <w:szCs w:val="24"/>
        </w:rPr>
        <w:t>更换一次，</w:t>
      </w:r>
      <w:r>
        <w:rPr>
          <w:rFonts w:hint="eastAsia"/>
          <w:color w:val="auto"/>
          <w:kern w:val="21"/>
          <w:sz w:val="24"/>
          <w:szCs w:val="24"/>
        </w:rPr>
        <w:t>钝化槽液为</w:t>
      </w:r>
      <w:r>
        <w:rPr>
          <w:color w:val="auto"/>
          <w:kern w:val="21"/>
          <w:sz w:val="24"/>
          <w:szCs w:val="24"/>
        </w:rPr>
        <w:t>含铬</w:t>
      </w:r>
      <w:r>
        <w:rPr>
          <w:rFonts w:hint="eastAsia"/>
          <w:color w:val="auto"/>
          <w:kern w:val="21"/>
          <w:sz w:val="24"/>
          <w:szCs w:val="24"/>
        </w:rPr>
        <w:t>废水，含铬废水进入含铬废水预处理系统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处理后进零排放处理系统深度处理后回用于钝化后水洗；槽渣及废滤芯</w:t>
      </w:r>
      <w:r>
        <w:rPr>
          <w:color w:val="auto"/>
          <w:kern w:val="21"/>
          <w:sz w:val="24"/>
          <w:szCs w:val="24"/>
        </w:rPr>
        <w:t>作为危废暂存至厂区危废暂存间，定期交有资质的单位</w:t>
      </w:r>
      <w:r>
        <w:rPr>
          <w:rFonts w:hint="eastAsia"/>
          <w:color w:val="auto"/>
          <w:kern w:val="21"/>
          <w:sz w:val="24"/>
          <w:szCs w:val="24"/>
          <w:lang w:eastAsia="zh-CN"/>
        </w:rPr>
        <w:t>处置</w:t>
      </w:r>
      <w:r>
        <w:rPr>
          <w:color w:val="auto"/>
          <w:kern w:val="21"/>
          <w:sz w:val="24"/>
          <w:szCs w:val="24"/>
        </w:rPr>
        <w:t>；铬酸酐会挥发少量铬酸雾，</w:t>
      </w:r>
      <w:r>
        <w:rPr>
          <w:rFonts w:hint="eastAsia"/>
          <w:color w:val="auto"/>
          <w:kern w:val="21"/>
          <w:sz w:val="24"/>
          <w:szCs w:val="24"/>
        </w:rPr>
        <w:t>电镀生产线设置全封闭，</w:t>
      </w:r>
      <w:r>
        <w:rPr>
          <w:color w:val="auto"/>
          <w:kern w:val="21"/>
          <w:sz w:val="24"/>
          <w:szCs w:val="24"/>
        </w:rPr>
        <w:t>经抽风装置进入二级碱液喷淋中和塔进行处理，处理达标后经</w:t>
      </w:r>
      <w:r>
        <w:rPr>
          <w:rFonts w:hint="eastAsia"/>
          <w:color w:val="auto"/>
          <w:kern w:val="21"/>
          <w:sz w:val="24"/>
          <w:szCs w:val="24"/>
          <w:lang w:eastAsia="zh-CN"/>
        </w:rPr>
        <w:t>15m高排气筒</w:t>
      </w:r>
      <w:r>
        <w:rPr>
          <w:rFonts w:hint="eastAsia"/>
          <w:color w:val="auto"/>
          <w:kern w:val="21"/>
          <w:sz w:val="24"/>
          <w:szCs w:val="24"/>
        </w:rPr>
        <w:t>排放。</w:t>
      </w:r>
    </w:p>
    <w:p>
      <w:pPr>
        <w:adjustRightInd w:val="0"/>
        <w:snapToGrid w:val="0"/>
        <w:spacing w:line="360" w:lineRule="auto"/>
        <w:ind w:firstLine="480" w:firstLineChars="200"/>
        <w:rPr>
          <w:color w:val="auto"/>
        </w:rPr>
      </w:pPr>
      <w:r>
        <w:rPr>
          <w:color w:val="auto"/>
          <w:kern w:val="21"/>
          <w:sz w:val="24"/>
          <w:szCs w:val="24"/>
        </w:rPr>
        <w:t>根据</w:t>
      </w:r>
      <w:r>
        <w:rPr>
          <w:color w:val="auto"/>
          <w:kern w:val="21"/>
          <w:sz w:val="24"/>
          <w:szCs w:val="22"/>
        </w:rPr>
        <w:t>《污染源源强核算技术指南 电镀》（HJ984-2018）附录B中所述，</w:t>
      </w:r>
      <w:r>
        <w:rPr>
          <w:rFonts w:hint="eastAsia"/>
          <w:color w:val="auto"/>
          <w:kern w:val="21"/>
          <w:sz w:val="24"/>
          <w:szCs w:val="22"/>
        </w:rPr>
        <w:t>“</w:t>
      </w:r>
      <w:r>
        <w:rPr>
          <w:color w:val="auto"/>
          <w:kern w:val="21"/>
          <w:sz w:val="24"/>
          <w:szCs w:val="22"/>
        </w:rPr>
        <w:t>在常温下低铬酸及其盐溶液中钝化，可忽略铬酸雾产生</w:t>
      </w:r>
      <w:r>
        <w:rPr>
          <w:rFonts w:asciiTheme="minorEastAsia" w:hAnsiTheme="minorEastAsia" w:eastAsiaTheme="minorEastAsia"/>
          <w:color w:val="auto"/>
          <w:kern w:val="21"/>
          <w:sz w:val="24"/>
          <w:szCs w:val="22"/>
        </w:rPr>
        <w:t>”。</w:t>
      </w:r>
      <w:r>
        <w:rPr>
          <w:color w:val="auto"/>
          <w:kern w:val="21"/>
          <w:sz w:val="24"/>
          <w:szCs w:val="22"/>
        </w:rPr>
        <w:t>本项目</w:t>
      </w:r>
      <w:r>
        <w:rPr>
          <w:color w:val="auto"/>
          <w:kern w:val="21"/>
          <w:sz w:val="24"/>
          <w:szCs w:val="24"/>
        </w:rPr>
        <w:t>钝化槽液为</w:t>
      </w:r>
      <w:r>
        <w:rPr>
          <w:rFonts w:hint="eastAsia"/>
          <w:color w:val="auto"/>
          <w:kern w:val="21"/>
          <w:sz w:val="24"/>
          <w:szCs w:val="24"/>
        </w:rPr>
        <w:t>3</w:t>
      </w:r>
      <w:r>
        <w:rPr>
          <w:color w:val="auto"/>
          <w:kern w:val="21"/>
          <w:sz w:val="24"/>
          <w:szCs w:val="24"/>
        </w:rPr>
        <w:t>g/L铬酸酐，操作温度为常温，因此</w:t>
      </w:r>
      <w:r>
        <w:rPr>
          <w:color w:val="auto"/>
          <w:kern w:val="21"/>
          <w:sz w:val="24"/>
          <w:szCs w:val="22"/>
        </w:rPr>
        <w:t>忽略铬酸雾产生，不再定量分析铬酸雾。</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1</w:t>
      </w:r>
      <w:r>
        <w:rPr>
          <w:rFonts w:hint="eastAsia"/>
          <w:snapToGrid w:val="0"/>
          <w:color w:val="auto"/>
          <w:kern w:val="21"/>
          <w:sz w:val="24"/>
          <w:szCs w:val="24"/>
        </w:rPr>
        <w:t>3</w:t>
      </w:r>
      <w:r>
        <w:rPr>
          <w:snapToGrid w:val="0"/>
          <w:color w:val="auto"/>
          <w:kern w:val="21"/>
          <w:sz w:val="24"/>
          <w:szCs w:val="24"/>
        </w:rPr>
        <w:t>）三级逆流水洗</w:t>
      </w:r>
    </w:p>
    <w:p>
      <w:pPr>
        <w:adjustRightInd w:val="0"/>
        <w:snapToGrid w:val="0"/>
        <w:spacing w:line="360" w:lineRule="auto"/>
        <w:ind w:firstLine="480" w:firstLineChars="200"/>
        <w:rPr>
          <w:color w:val="auto"/>
          <w:kern w:val="21"/>
          <w:sz w:val="24"/>
          <w:szCs w:val="24"/>
        </w:rPr>
      </w:pPr>
      <w:r>
        <w:rPr>
          <w:color w:val="auto"/>
          <w:kern w:val="21"/>
          <w:sz w:val="24"/>
          <w:szCs w:val="24"/>
        </w:rPr>
        <w:t>采用纯水及回用水三级逆流清洗，去除表面钝化液，常温控制，溢流方式排水。</w:t>
      </w:r>
    </w:p>
    <w:p>
      <w:pPr>
        <w:adjustRightInd w:val="0"/>
        <w:snapToGrid w:val="0"/>
        <w:spacing w:line="360" w:lineRule="auto"/>
        <w:ind w:firstLine="480" w:firstLineChars="200"/>
        <w:rPr>
          <w:snapToGrid w:val="0"/>
          <w:color w:val="auto"/>
          <w:kern w:val="21"/>
          <w:sz w:val="24"/>
          <w:szCs w:val="24"/>
        </w:rPr>
      </w:pPr>
      <w:r>
        <w:rPr>
          <w:color w:val="auto"/>
          <w:kern w:val="21"/>
          <w:sz w:val="24"/>
          <w:szCs w:val="24"/>
        </w:rPr>
        <w:t>清洗废水</w:t>
      </w:r>
      <w:r>
        <w:rPr>
          <w:rFonts w:hint="eastAsia"/>
          <w:color w:val="auto"/>
          <w:kern w:val="21"/>
          <w:sz w:val="24"/>
          <w:szCs w:val="24"/>
          <w:lang w:eastAsia="zh-CN"/>
        </w:rPr>
        <w:t>属于含铬废水，先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1</w:t>
      </w:r>
      <w:r>
        <w:rPr>
          <w:rFonts w:hint="eastAsia"/>
          <w:snapToGrid w:val="0"/>
          <w:color w:val="auto"/>
          <w:kern w:val="21"/>
          <w:sz w:val="24"/>
          <w:szCs w:val="24"/>
        </w:rPr>
        <w:t>4</w:t>
      </w:r>
      <w:r>
        <w:rPr>
          <w:snapToGrid w:val="0"/>
          <w:color w:val="auto"/>
          <w:kern w:val="21"/>
          <w:sz w:val="24"/>
          <w:szCs w:val="24"/>
        </w:rPr>
        <w:t>）中和</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用强碱溶液来中和可以进一步加强镀层的防护能力，同时使工件表面略显碱性，有利于</w:t>
      </w:r>
      <w:r>
        <w:rPr>
          <w:rFonts w:hint="eastAsia"/>
          <w:snapToGrid w:val="0"/>
          <w:color w:val="auto"/>
          <w:kern w:val="21"/>
          <w:sz w:val="24"/>
          <w:szCs w:val="24"/>
          <w:lang w:eastAsia="zh-CN"/>
        </w:rPr>
        <w:t>加强</w:t>
      </w:r>
      <w:r>
        <w:rPr>
          <w:snapToGrid w:val="0"/>
          <w:color w:val="auto"/>
          <w:kern w:val="21"/>
          <w:sz w:val="24"/>
          <w:szCs w:val="24"/>
        </w:rPr>
        <w:t>镀层的防护能力。本项目采用NaOH</w:t>
      </w:r>
      <w:r>
        <w:rPr>
          <w:rFonts w:hint="eastAsia"/>
          <w:snapToGrid w:val="0"/>
          <w:color w:val="auto"/>
          <w:kern w:val="21"/>
          <w:sz w:val="24"/>
          <w:szCs w:val="24"/>
          <w:lang w:eastAsia="zh-CN"/>
        </w:rPr>
        <w:t>进行</w:t>
      </w:r>
      <w:r>
        <w:rPr>
          <w:snapToGrid w:val="0"/>
          <w:color w:val="auto"/>
          <w:kern w:val="21"/>
          <w:sz w:val="24"/>
          <w:szCs w:val="24"/>
        </w:rPr>
        <w:t>中和，由于NaOH的溶解性较好，在后道工序中较容易洗干净，如果碱浓度较高，则清洗就会不彻底，工件的水迹会很明显，且工件在存放一段时间后其表面的碱会吸水使工件质量变差，中和槽液每月更换一次。</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更换的槽液属于含铬废水，</w:t>
      </w:r>
      <w:r>
        <w:rPr>
          <w:rFonts w:hint="eastAsia"/>
          <w:snapToGrid w:val="0"/>
          <w:color w:val="auto"/>
          <w:kern w:val="21"/>
          <w:sz w:val="24"/>
          <w:szCs w:val="24"/>
          <w:lang w:eastAsia="zh-CN"/>
        </w:rPr>
        <w:t>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1</w:t>
      </w:r>
      <w:r>
        <w:rPr>
          <w:rFonts w:hint="eastAsia"/>
          <w:snapToGrid w:val="0"/>
          <w:color w:val="auto"/>
          <w:kern w:val="21"/>
          <w:sz w:val="24"/>
          <w:szCs w:val="24"/>
        </w:rPr>
        <w:t>5</w:t>
      </w:r>
      <w:r>
        <w:rPr>
          <w:snapToGrid w:val="0"/>
          <w:color w:val="auto"/>
          <w:kern w:val="21"/>
          <w:sz w:val="24"/>
          <w:szCs w:val="24"/>
        </w:rPr>
        <w:t>）纯水漂洗</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纯水清洗</w:t>
      </w:r>
      <w:r>
        <w:rPr>
          <w:color w:val="auto"/>
          <w:kern w:val="21"/>
          <w:sz w:val="24"/>
          <w:szCs w:val="24"/>
        </w:rPr>
        <w:t>使产品表面更加洁净</w:t>
      </w:r>
      <w:r>
        <w:rPr>
          <w:snapToGrid w:val="0"/>
          <w:color w:val="auto"/>
          <w:kern w:val="21"/>
          <w:sz w:val="24"/>
          <w:szCs w:val="24"/>
        </w:rPr>
        <w:t>，防止未清除掉的碱液污染下步封闭液。</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漂洗废水</w:t>
      </w:r>
      <w:r>
        <w:rPr>
          <w:snapToGrid w:val="0"/>
          <w:color w:val="auto"/>
          <w:kern w:val="21"/>
          <w:sz w:val="24"/>
          <w:szCs w:val="24"/>
        </w:rPr>
        <w:t>属于含铬废水，</w:t>
      </w:r>
      <w:r>
        <w:rPr>
          <w:rFonts w:hint="eastAsia"/>
          <w:snapToGrid w:val="0"/>
          <w:color w:val="auto"/>
          <w:kern w:val="21"/>
          <w:sz w:val="24"/>
          <w:szCs w:val="24"/>
          <w:lang w:eastAsia="zh-CN"/>
        </w:rPr>
        <w:t>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16</w:t>
      </w:r>
      <w:r>
        <w:rPr>
          <w:snapToGrid w:val="0"/>
          <w:color w:val="auto"/>
          <w:kern w:val="21"/>
          <w:sz w:val="24"/>
          <w:szCs w:val="24"/>
        </w:rPr>
        <w:t>）封闭</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封闭槽液为</w:t>
      </w:r>
      <w:r>
        <w:rPr>
          <w:rFonts w:hint="eastAsia"/>
          <w:snapToGrid w:val="0"/>
          <w:color w:val="auto"/>
          <w:kern w:val="21"/>
          <w:sz w:val="24"/>
          <w:szCs w:val="24"/>
        </w:rPr>
        <w:t>2%</w:t>
      </w:r>
      <w:r>
        <w:rPr>
          <w:rFonts w:hint="eastAsia"/>
          <w:snapToGrid w:val="0"/>
          <w:color w:val="auto"/>
          <w:kern w:val="21"/>
          <w:sz w:val="24"/>
          <w:szCs w:val="24"/>
          <w:lang w:eastAsia="zh-CN"/>
        </w:rPr>
        <w:t>～</w:t>
      </w:r>
      <w:r>
        <w:rPr>
          <w:rFonts w:hint="eastAsia"/>
          <w:snapToGrid w:val="0"/>
          <w:color w:val="auto"/>
          <w:kern w:val="21"/>
          <w:sz w:val="24"/>
          <w:szCs w:val="24"/>
        </w:rPr>
        <w:t>5%的封闭液</w:t>
      </w:r>
      <w:r>
        <w:rPr>
          <w:rFonts w:hint="eastAsia"/>
          <w:snapToGrid w:val="0"/>
          <w:color w:val="auto"/>
          <w:kern w:val="21"/>
          <w:sz w:val="24"/>
          <w:szCs w:val="24"/>
          <w:lang w:eastAsia="zh-CN"/>
        </w:rPr>
        <w:t>，主要成分为</w:t>
      </w:r>
      <w:r>
        <w:rPr>
          <w:rFonts w:hint="eastAsia"/>
          <w:snapToGrid w:val="0"/>
          <w:color w:val="auto"/>
          <w:kern w:val="21"/>
          <w:sz w:val="24"/>
          <w:szCs w:val="24"/>
          <w:lang w:val="en-US" w:eastAsia="zh-CN"/>
        </w:rPr>
        <w:t>AES和甘油</w:t>
      </w:r>
      <w:r>
        <w:rPr>
          <w:snapToGrid w:val="0"/>
          <w:color w:val="auto"/>
          <w:kern w:val="21"/>
          <w:sz w:val="24"/>
          <w:szCs w:val="24"/>
        </w:rPr>
        <w:t>，其作用是使工件表面形成一种保护性薄膜，以增强工件的抗腐蚀性。槽液需定期补加，以弥补消耗，槽液每</w:t>
      </w:r>
      <w:r>
        <w:rPr>
          <w:rFonts w:hint="eastAsia"/>
          <w:snapToGrid w:val="0"/>
          <w:color w:val="auto"/>
          <w:kern w:val="21"/>
          <w:sz w:val="24"/>
          <w:szCs w:val="24"/>
          <w:lang w:val="en-US" w:eastAsia="zh-CN"/>
        </w:rPr>
        <w:t>10</w:t>
      </w:r>
      <w:r>
        <w:rPr>
          <w:snapToGrid w:val="0"/>
          <w:color w:val="auto"/>
          <w:kern w:val="21"/>
          <w:sz w:val="24"/>
          <w:szCs w:val="24"/>
        </w:rPr>
        <w:t>天更换一次。</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更换的槽液属于含铬废水，</w:t>
      </w:r>
      <w:r>
        <w:rPr>
          <w:rFonts w:hint="eastAsia"/>
          <w:snapToGrid w:val="0"/>
          <w:color w:val="auto"/>
          <w:kern w:val="21"/>
          <w:sz w:val="24"/>
          <w:szCs w:val="24"/>
          <w:lang w:eastAsia="zh-CN"/>
        </w:rPr>
        <w:t>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17</w:t>
      </w:r>
      <w:r>
        <w:rPr>
          <w:snapToGrid w:val="0"/>
          <w:color w:val="auto"/>
          <w:kern w:val="21"/>
          <w:sz w:val="24"/>
          <w:szCs w:val="24"/>
        </w:rPr>
        <w:t>）</w:t>
      </w:r>
      <w:r>
        <w:rPr>
          <w:color w:val="auto"/>
          <w:kern w:val="21"/>
          <w:sz w:val="24"/>
          <w:szCs w:val="24"/>
        </w:rPr>
        <w:t>纯水二级逆流清洗</w:t>
      </w:r>
    </w:p>
    <w:p>
      <w:pPr>
        <w:adjustRightInd w:val="0"/>
        <w:snapToGrid w:val="0"/>
        <w:spacing w:line="360" w:lineRule="auto"/>
        <w:ind w:firstLine="480" w:firstLineChars="200"/>
        <w:rPr>
          <w:color w:val="auto"/>
          <w:kern w:val="21"/>
          <w:sz w:val="24"/>
          <w:szCs w:val="24"/>
        </w:rPr>
      </w:pPr>
      <w:r>
        <w:rPr>
          <w:color w:val="auto"/>
          <w:kern w:val="21"/>
          <w:sz w:val="24"/>
          <w:szCs w:val="24"/>
        </w:rPr>
        <w:t>采用纯水二级逆流清洗，以去除产品表面的泡沫，方便后续烘干。</w:t>
      </w:r>
    </w:p>
    <w:p>
      <w:pPr>
        <w:adjustRightInd w:val="0"/>
        <w:snapToGrid w:val="0"/>
        <w:spacing w:line="360" w:lineRule="auto"/>
        <w:ind w:firstLine="480" w:firstLineChars="200"/>
        <w:rPr>
          <w:color w:val="auto"/>
          <w:kern w:val="21"/>
          <w:sz w:val="24"/>
          <w:szCs w:val="24"/>
        </w:rPr>
      </w:pPr>
      <w:r>
        <w:rPr>
          <w:color w:val="auto"/>
          <w:kern w:val="21"/>
          <w:sz w:val="24"/>
          <w:szCs w:val="24"/>
        </w:rPr>
        <w:t>清洗废水</w:t>
      </w:r>
      <w:r>
        <w:rPr>
          <w:snapToGrid w:val="0"/>
          <w:color w:val="auto"/>
          <w:kern w:val="21"/>
          <w:sz w:val="24"/>
          <w:szCs w:val="24"/>
        </w:rPr>
        <w:t>属于含铬废水，</w:t>
      </w:r>
      <w:r>
        <w:rPr>
          <w:rFonts w:hint="eastAsia"/>
          <w:snapToGrid w:val="0"/>
          <w:color w:val="auto"/>
          <w:kern w:val="21"/>
          <w:sz w:val="24"/>
          <w:szCs w:val="24"/>
          <w:lang w:eastAsia="zh-CN"/>
        </w:rPr>
        <w:t>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18</w:t>
      </w:r>
      <w:r>
        <w:rPr>
          <w:snapToGrid w:val="0"/>
          <w:color w:val="auto"/>
          <w:kern w:val="21"/>
          <w:sz w:val="24"/>
          <w:szCs w:val="24"/>
        </w:rPr>
        <w:t>）烘干</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工件进入烘干机，将表面残留水分烘干去除。防止产品生锈。</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19</w:t>
      </w:r>
      <w:r>
        <w:rPr>
          <w:snapToGrid w:val="0"/>
          <w:color w:val="auto"/>
          <w:kern w:val="21"/>
          <w:sz w:val="24"/>
          <w:szCs w:val="24"/>
        </w:rPr>
        <w:t>）检验、转运</w:t>
      </w:r>
    </w:p>
    <w:p>
      <w:pPr>
        <w:adjustRightInd w:val="0"/>
        <w:snapToGrid w:val="0"/>
        <w:ind w:firstLine="480" w:firstLineChars="200"/>
        <w:rPr>
          <w:rFonts w:eastAsia="黑体"/>
          <w:snapToGrid w:val="0"/>
          <w:color w:val="auto"/>
          <w:kern w:val="21"/>
          <w:sz w:val="24"/>
          <w:szCs w:val="24"/>
        </w:rPr>
      </w:pPr>
      <w:r>
        <w:rPr>
          <w:snapToGrid w:val="0"/>
          <w:color w:val="auto"/>
          <w:kern w:val="21"/>
          <w:sz w:val="24"/>
          <w:szCs w:val="24"/>
        </w:rPr>
        <w:t>工件经人工检验后，挑出不合格产品，合格产品转运至成品库。</w:t>
      </w:r>
    </w:p>
    <w:p>
      <w:pPr>
        <w:adjustRightInd w:val="0"/>
        <w:snapToGrid w:val="0"/>
        <w:spacing w:before="120" w:beforeLines="50" w:line="360" w:lineRule="auto"/>
        <w:ind w:firstLine="482" w:firstLineChars="200"/>
        <w:rPr>
          <w:b/>
          <w:snapToGrid w:val="0"/>
          <w:color w:val="auto"/>
          <w:kern w:val="21"/>
          <w:sz w:val="24"/>
          <w:szCs w:val="24"/>
        </w:rPr>
      </w:pPr>
      <w:r>
        <w:rPr>
          <w:rFonts w:hint="eastAsia"/>
          <w:b/>
          <w:snapToGrid w:val="0"/>
          <w:color w:val="auto"/>
          <w:kern w:val="21"/>
          <w:sz w:val="24"/>
          <w:szCs w:val="24"/>
        </w:rPr>
        <w:t>2、工艺参数</w:t>
      </w:r>
    </w:p>
    <w:p>
      <w:pPr>
        <w:adjustRightInd w:val="0"/>
        <w:snapToGrid w:val="0"/>
        <w:ind w:firstLine="480" w:firstLineChars="200"/>
        <w:rPr>
          <w:rFonts w:eastAsia="黑体"/>
          <w:snapToGrid w:val="0"/>
          <w:color w:val="auto"/>
          <w:kern w:val="21"/>
          <w:sz w:val="24"/>
          <w:szCs w:val="24"/>
        </w:rPr>
      </w:pPr>
      <w:r>
        <w:rPr>
          <w:rFonts w:hint="eastAsia"/>
          <w:snapToGrid w:val="0"/>
          <w:color w:val="auto"/>
          <w:kern w:val="21"/>
          <w:sz w:val="24"/>
          <w:szCs w:val="24"/>
        </w:rPr>
        <w:t>镀镍线各工序工艺参数见下表</w:t>
      </w:r>
      <w:r>
        <w:rPr>
          <w:rFonts w:hint="eastAsia" w:eastAsia="黑体"/>
          <w:snapToGrid w:val="0"/>
          <w:color w:val="auto"/>
          <w:kern w:val="21"/>
          <w:sz w:val="24"/>
          <w:szCs w:val="24"/>
        </w:rPr>
        <w:t>。</w:t>
      </w:r>
    </w:p>
    <w:p>
      <w:pPr>
        <w:adjustRightInd w:val="0"/>
        <w:snapToGrid w:val="0"/>
        <w:jc w:val="center"/>
        <w:rPr>
          <w:rFonts w:eastAsia="黑体"/>
          <w:snapToGrid w:val="0"/>
          <w:color w:val="auto"/>
          <w:kern w:val="21"/>
          <w:sz w:val="24"/>
          <w:szCs w:val="24"/>
        </w:rPr>
      </w:pPr>
    </w:p>
    <w:p>
      <w:pPr>
        <w:adjustRightInd w:val="0"/>
        <w:snapToGrid w:val="0"/>
        <w:jc w:val="center"/>
        <w:rPr>
          <w:rFonts w:eastAsia="黑体"/>
          <w:snapToGrid w:val="0"/>
          <w:color w:val="auto"/>
          <w:kern w:val="21"/>
          <w:sz w:val="24"/>
          <w:szCs w:val="24"/>
        </w:rPr>
      </w:pPr>
      <w:r>
        <w:rPr>
          <w:rFonts w:eastAsia="黑体"/>
          <w:snapToGrid w:val="0"/>
          <w:color w:val="auto"/>
          <w:kern w:val="21"/>
          <w:sz w:val="24"/>
          <w:szCs w:val="24"/>
        </w:rPr>
        <w:t>表3.3-1    镀镍主要工艺参数一览表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868"/>
        <w:gridCol w:w="1132"/>
        <w:gridCol w:w="734"/>
        <w:gridCol w:w="1236"/>
        <w:gridCol w:w="1981"/>
        <w:gridCol w:w="1080"/>
        <w:gridCol w:w="1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restart"/>
            <w:vAlign w:val="center"/>
          </w:tcPr>
          <w:p>
            <w:pPr>
              <w:adjustRightInd w:val="0"/>
              <w:snapToGrid w:val="0"/>
              <w:jc w:val="center"/>
              <w:rPr>
                <w:b/>
                <w:bCs/>
                <w:snapToGrid w:val="0"/>
                <w:color w:val="auto"/>
                <w:kern w:val="21"/>
              </w:rPr>
            </w:pPr>
            <w:r>
              <w:rPr>
                <w:b/>
                <w:bCs/>
                <w:snapToGrid w:val="0"/>
                <w:color w:val="auto"/>
                <w:kern w:val="21"/>
              </w:rPr>
              <w:t>序号</w:t>
            </w:r>
          </w:p>
        </w:tc>
        <w:tc>
          <w:tcPr>
            <w:tcW w:w="469" w:type="pct"/>
            <w:vMerge w:val="restart"/>
            <w:vAlign w:val="center"/>
          </w:tcPr>
          <w:p>
            <w:pPr>
              <w:adjustRightInd w:val="0"/>
              <w:snapToGrid w:val="0"/>
              <w:jc w:val="center"/>
              <w:rPr>
                <w:b/>
                <w:bCs/>
                <w:snapToGrid w:val="0"/>
                <w:color w:val="auto"/>
                <w:kern w:val="21"/>
              </w:rPr>
            </w:pPr>
            <w:r>
              <w:rPr>
                <w:b/>
                <w:bCs/>
                <w:snapToGrid w:val="0"/>
                <w:color w:val="auto"/>
                <w:kern w:val="21"/>
              </w:rPr>
              <w:t>工序</w:t>
            </w:r>
          </w:p>
        </w:tc>
        <w:tc>
          <w:tcPr>
            <w:tcW w:w="612" w:type="pct"/>
            <w:vMerge w:val="restart"/>
            <w:vAlign w:val="center"/>
          </w:tcPr>
          <w:p>
            <w:pPr>
              <w:adjustRightInd w:val="0"/>
              <w:snapToGrid w:val="0"/>
              <w:jc w:val="center"/>
              <w:rPr>
                <w:b/>
                <w:bCs/>
                <w:snapToGrid w:val="0"/>
                <w:color w:val="auto"/>
                <w:kern w:val="21"/>
              </w:rPr>
            </w:pPr>
            <w:r>
              <w:rPr>
                <w:b/>
                <w:bCs/>
                <w:snapToGrid w:val="0"/>
                <w:color w:val="auto"/>
                <w:kern w:val="21"/>
              </w:rPr>
              <w:t>温度/℃</w:t>
            </w:r>
          </w:p>
        </w:tc>
        <w:tc>
          <w:tcPr>
            <w:tcW w:w="397" w:type="pct"/>
            <w:vMerge w:val="restart"/>
            <w:vAlign w:val="center"/>
          </w:tcPr>
          <w:p>
            <w:pPr>
              <w:adjustRightInd w:val="0"/>
              <w:snapToGrid w:val="0"/>
              <w:jc w:val="center"/>
              <w:rPr>
                <w:b/>
                <w:bCs/>
                <w:snapToGrid w:val="0"/>
                <w:color w:val="auto"/>
                <w:kern w:val="21"/>
              </w:rPr>
            </w:pPr>
            <w:r>
              <w:rPr>
                <w:b/>
                <w:bCs/>
                <w:snapToGrid w:val="0"/>
                <w:color w:val="auto"/>
                <w:kern w:val="21"/>
              </w:rPr>
              <w:t>加热方式</w:t>
            </w:r>
          </w:p>
        </w:tc>
        <w:tc>
          <w:tcPr>
            <w:tcW w:w="1739" w:type="pct"/>
            <w:gridSpan w:val="2"/>
            <w:vAlign w:val="center"/>
          </w:tcPr>
          <w:p>
            <w:pPr>
              <w:adjustRightInd w:val="0"/>
              <w:snapToGrid w:val="0"/>
              <w:jc w:val="center"/>
              <w:rPr>
                <w:b/>
                <w:bCs/>
                <w:snapToGrid w:val="0"/>
                <w:color w:val="auto"/>
                <w:kern w:val="21"/>
              </w:rPr>
            </w:pPr>
            <w:r>
              <w:rPr>
                <w:b/>
                <w:bCs/>
                <w:snapToGrid w:val="0"/>
                <w:color w:val="auto"/>
                <w:kern w:val="21"/>
              </w:rPr>
              <w:t>工艺条件</w:t>
            </w:r>
          </w:p>
        </w:tc>
        <w:tc>
          <w:tcPr>
            <w:tcW w:w="584" w:type="pct"/>
            <w:vMerge w:val="restart"/>
            <w:vAlign w:val="center"/>
          </w:tcPr>
          <w:p>
            <w:pPr>
              <w:adjustRightInd w:val="0"/>
              <w:snapToGrid w:val="0"/>
              <w:jc w:val="center"/>
              <w:rPr>
                <w:b/>
                <w:bCs/>
                <w:snapToGrid w:val="0"/>
                <w:color w:val="auto"/>
                <w:kern w:val="21"/>
              </w:rPr>
            </w:pPr>
            <w:r>
              <w:rPr>
                <w:b/>
                <w:bCs/>
                <w:snapToGrid w:val="0"/>
                <w:color w:val="auto"/>
                <w:kern w:val="21"/>
              </w:rPr>
              <w:t>更换频次</w:t>
            </w:r>
          </w:p>
        </w:tc>
        <w:tc>
          <w:tcPr>
            <w:tcW w:w="915" w:type="pct"/>
            <w:vMerge w:val="restart"/>
            <w:vAlign w:val="center"/>
          </w:tcPr>
          <w:p>
            <w:pPr>
              <w:adjustRightInd w:val="0"/>
              <w:snapToGrid w:val="0"/>
              <w:jc w:val="center"/>
              <w:rPr>
                <w:b/>
                <w:bCs/>
                <w:snapToGrid w:val="0"/>
                <w:color w:val="auto"/>
                <w:kern w:val="21"/>
              </w:rPr>
            </w:pPr>
            <w:r>
              <w:rPr>
                <w:b/>
                <w:bCs/>
                <w:snapToGrid w:val="0"/>
                <w:color w:val="auto"/>
                <w:kern w:val="21"/>
              </w:rPr>
              <w:t>污染物产生情况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Merge w:val="continue"/>
            <w:vAlign w:val="center"/>
          </w:tcPr>
          <w:p>
            <w:pPr>
              <w:adjustRightInd w:val="0"/>
              <w:snapToGrid w:val="0"/>
              <w:jc w:val="center"/>
              <w:rPr>
                <w:snapToGrid w:val="0"/>
                <w:color w:val="auto"/>
                <w:kern w:val="21"/>
              </w:rPr>
            </w:pPr>
          </w:p>
        </w:tc>
        <w:tc>
          <w:tcPr>
            <w:tcW w:w="469" w:type="pct"/>
            <w:vMerge w:val="continue"/>
            <w:vAlign w:val="center"/>
          </w:tcPr>
          <w:p>
            <w:pPr>
              <w:adjustRightInd w:val="0"/>
              <w:snapToGrid w:val="0"/>
              <w:jc w:val="center"/>
              <w:rPr>
                <w:snapToGrid w:val="0"/>
                <w:color w:val="auto"/>
                <w:kern w:val="21"/>
              </w:rPr>
            </w:pPr>
          </w:p>
        </w:tc>
        <w:tc>
          <w:tcPr>
            <w:tcW w:w="612" w:type="pct"/>
            <w:vMerge w:val="continue"/>
            <w:vAlign w:val="center"/>
          </w:tcPr>
          <w:p>
            <w:pPr>
              <w:adjustRightInd w:val="0"/>
              <w:snapToGrid w:val="0"/>
              <w:jc w:val="center"/>
              <w:rPr>
                <w:snapToGrid w:val="0"/>
                <w:color w:val="auto"/>
                <w:kern w:val="21"/>
              </w:rPr>
            </w:pPr>
          </w:p>
        </w:tc>
        <w:tc>
          <w:tcPr>
            <w:tcW w:w="397" w:type="pct"/>
            <w:vMerge w:val="continue"/>
            <w:vAlign w:val="center"/>
          </w:tcPr>
          <w:p>
            <w:pPr>
              <w:adjustRightInd w:val="0"/>
              <w:snapToGrid w:val="0"/>
              <w:jc w:val="center"/>
              <w:rPr>
                <w:snapToGrid w:val="0"/>
                <w:color w:val="auto"/>
                <w:kern w:val="21"/>
              </w:rPr>
            </w:pPr>
          </w:p>
        </w:tc>
        <w:tc>
          <w:tcPr>
            <w:tcW w:w="668" w:type="pct"/>
            <w:vAlign w:val="center"/>
          </w:tcPr>
          <w:p>
            <w:pPr>
              <w:adjustRightInd w:val="0"/>
              <w:snapToGrid w:val="0"/>
              <w:jc w:val="center"/>
              <w:rPr>
                <w:b/>
                <w:bCs/>
                <w:snapToGrid w:val="0"/>
                <w:color w:val="auto"/>
                <w:kern w:val="21"/>
              </w:rPr>
            </w:pPr>
            <w:r>
              <w:rPr>
                <w:b/>
                <w:bCs/>
                <w:snapToGrid w:val="0"/>
                <w:color w:val="auto"/>
                <w:kern w:val="21"/>
              </w:rPr>
              <w:t>操作时间</w:t>
            </w:r>
          </w:p>
        </w:tc>
        <w:tc>
          <w:tcPr>
            <w:tcW w:w="1071" w:type="pct"/>
            <w:vAlign w:val="center"/>
          </w:tcPr>
          <w:p>
            <w:pPr>
              <w:adjustRightInd w:val="0"/>
              <w:snapToGrid w:val="0"/>
              <w:jc w:val="center"/>
              <w:rPr>
                <w:b/>
                <w:bCs/>
                <w:snapToGrid w:val="0"/>
                <w:color w:val="auto"/>
                <w:kern w:val="21"/>
              </w:rPr>
            </w:pPr>
            <w:r>
              <w:rPr>
                <w:b/>
                <w:bCs/>
                <w:snapToGrid w:val="0"/>
                <w:color w:val="auto"/>
                <w:kern w:val="21"/>
              </w:rPr>
              <w:t>槽液主要成分</w:t>
            </w:r>
          </w:p>
        </w:tc>
        <w:tc>
          <w:tcPr>
            <w:tcW w:w="584" w:type="pct"/>
            <w:vMerge w:val="continue"/>
            <w:vAlign w:val="center"/>
          </w:tcPr>
          <w:p>
            <w:pPr>
              <w:adjustRightInd w:val="0"/>
              <w:snapToGrid w:val="0"/>
              <w:jc w:val="center"/>
              <w:rPr>
                <w:snapToGrid w:val="0"/>
                <w:color w:val="auto"/>
                <w:kern w:val="21"/>
              </w:rPr>
            </w:pPr>
          </w:p>
        </w:tc>
        <w:tc>
          <w:tcPr>
            <w:tcW w:w="915" w:type="pct"/>
            <w:vMerge w:val="continue"/>
            <w:vAlign w:val="center"/>
          </w:tcPr>
          <w:p>
            <w:pPr>
              <w:adjustRightInd w:val="0"/>
              <w:snapToGrid w:val="0"/>
              <w:jc w:val="center"/>
              <w:rPr>
                <w:snapToGrid w:val="0"/>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w:t>
            </w:r>
          </w:p>
        </w:tc>
        <w:tc>
          <w:tcPr>
            <w:tcW w:w="469" w:type="pct"/>
            <w:vAlign w:val="center"/>
          </w:tcPr>
          <w:p>
            <w:pPr>
              <w:adjustRightInd w:val="0"/>
              <w:snapToGrid w:val="0"/>
              <w:jc w:val="center"/>
              <w:rPr>
                <w:snapToGrid w:val="0"/>
                <w:color w:val="auto"/>
                <w:kern w:val="21"/>
              </w:rPr>
            </w:pPr>
            <w:r>
              <w:rPr>
                <w:snapToGrid w:val="0"/>
                <w:color w:val="auto"/>
                <w:kern w:val="21"/>
              </w:rPr>
              <w:t>下料</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rFonts w:hint="eastAsia"/>
                <w:snapToGrid w:val="0"/>
                <w:color w:val="auto"/>
                <w:kern w:val="21"/>
              </w:rPr>
              <w:t>/</w:t>
            </w:r>
          </w:p>
        </w:tc>
        <w:tc>
          <w:tcPr>
            <w:tcW w:w="1071" w:type="pct"/>
            <w:vAlign w:val="center"/>
          </w:tcPr>
          <w:p>
            <w:pPr>
              <w:adjustRightInd w:val="0"/>
              <w:snapToGrid w:val="0"/>
              <w:jc w:val="center"/>
              <w:rPr>
                <w:snapToGrid w:val="0"/>
                <w:color w:val="auto"/>
                <w:kern w:val="21"/>
              </w:rPr>
            </w:pPr>
            <w:r>
              <w:rPr>
                <w:snapToGrid w:val="0"/>
                <w:color w:val="auto"/>
                <w:kern w:val="21"/>
              </w:rPr>
              <w:t>/</w:t>
            </w:r>
          </w:p>
        </w:tc>
        <w:tc>
          <w:tcPr>
            <w:tcW w:w="584" w:type="pct"/>
            <w:vAlign w:val="center"/>
          </w:tcPr>
          <w:p>
            <w:pPr>
              <w:adjustRightInd w:val="0"/>
              <w:snapToGrid w:val="0"/>
              <w:jc w:val="center"/>
              <w:rPr>
                <w:snapToGrid w:val="0"/>
                <w:color w:val="auto"/>
                <w:kern w:val="21"/>
              </w:rPr>
            </w:pPr>
          </w:p>
        </w:tc>
        <w:tc>
          <w:tcPr>
            <w:tcW w:w="915" w:type="pct"/>
            <w:vAlign w:val="center"/>
          </w:tcPr>
          <w:p>
            <w:pPr>
              <w:adjustRightInd w:val="0"/>
              <w:snapToGrid w:val="0"/>
              <w:jc w:val="center"/>
              <w:rPr>
                <w:snapToGrid w:val="0"/>
                <w:color w:val="auto"/>
                <w:kern w:val="21"/>
              </w:rPr>
            </w:pPr>
            <w:r>
              <w:rPr>
                <w:snapToGrid w:val="0"/>
                <w:color w:val="auto"/>
                <w:kern w:val="21"/>
              </w:rPr>
              <w:t>噪声、边角料、废机油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2</w:t>
            </w:r>
          </w:p>
        </w:tc>
        <w:tc>
          <w:tcPr>
            <w:tcW w:w="469" w:type="pct"/>
            <w:vAlign w:val="center"/>
          </w:tcPr>
          <w:p>
            <w:pPr>
              <w:adjustRightInd w:val="0"/>
              <w:snapToGrid w:val="0"/>
              <w:jc w:val="center"/>
              <w:rPr>
                <w:snapToGrid w:val="0"/>
                <w:color w:val="auto"/>
                <w:kern w:val="21"/>
              </w:rPr>
            </w:pPr>
            <w:r>
              <w:rPr>
                <w:snapToGrid w:val="0"/>
                <w:color w:val="auto"/>
                <w:kern w:val="21"/>
              </w:rPr>
              <w:t>脱脂</w:t>
            </w:r>
          </w:p>
        </w:tc>
        <w:tc>
          <w:tcPr>
            <w:tcW w:w="612" w:type="pct"/>
            <w:vAlign w:val="center"/>
          </w:tcPr>
          <w:p>
            <w:pPr>
              <w:adjustRightInd w:val="0"/>
              <w:snapToGrid w:val="0"/>
              <w:jc w:val="center"/>
              <w:rPr>
                <w:snapToGrid w:val="0"/>
                <w:color w:val="auto"/>
                <w:kern w:val="21"/>
              </w:rPr>
            </w:pPr>
            <w:r>
              <w:rPr>
                <w:snapToGrid w:val="0"/>
                <w:color w:val="auto"/>
                <w:kern w:val="21"/>
              </w:rPr>
              <w:t>5</w:t>
            </w:r>
            <w:r>
              <w:rPr>
                <w:rFonts w:hint="eastAsia"/>
                <w:snapToGrid w:val="0"/>
                <w:color w:val="auto"/>
                <w:kern w:val="21"/>
              </w:rPr>
              <w:t>0</w:t>
            </w:r>
            <w:r>
              <w:rPr>
                <w:snapToGrid w:val="0"/>
                <w:color w:val="auto"/>
                <w:kern w:val="21"/>
              </w:rPr>
              <w:t>-60</w:t>
            </w:r>
          </w:p>
        </w:tc>
        <w:tc>
          <w:tcPr>
            <w:tcW w:w="397" w:type="pct"/>
            <w:vAlign w:val="center"/>
          </w:tcPr>
          <w:p>
            <w:pPr>
              <w:adjustRightInd w:val="0"/>
              <w:snapToGrid w:val="0"/>
              <w:jc w:val="center"/>
              <w:rPr>
                <w:snapToGrid w:val="0"/>
                <w:color w:val="auto"/>
                <w:kern w:val="21"/>
              </w:rPr>
            </w:pPr>
            <w:r>
              <w:rPr>
                <w:snapToGrid w:val="0"/>
                <w:color w:val="auto"/>
                <w:kern w:val="21"/>
              </w:rPr>
              <w:t>蒸汽加热</w:t>
            </w:r>
          </w:p>
        </w:tc>
        <w:tc>
          <w:tcPr>
            <w:tcW w:w="668" w:type="pct"/>
            <w:vAlign w:val="center"/>
          </w:tcPr>
          <w:p>
            <w:pPr>
              <w:adjustRightInd w:val="0"/>
              <w:snapToGrid w:val="0"/>
              <w:jc w:val="center"/>
              <w:rPr>
                <w:snapToGrid w:val="0"/>
                <w:color w:val="auto"/>
                <w:kern w:val="21"/>
              </w:rPr>
            </w:pPr>
            <w:r>
              <w:rPr>
                <w:snapToGrid w:val="0"/>
                <w:color w:val="auto"/>
                <w:kern w:val="21"/>
              </w:rPr>
              <w:t>150min</w:t>
            </w:r>
          </w:p>
        </w:tc>
        <w:tc>
          <w:tcPr>
            <w:tcW w:w="1071" w:type="pct"/>
            <w:vAlign w:val="center"/>
          </w:tcPr>
          <w:p>
            <w:pPr>
              <w:adjustRightInd w:val="0"/>
              <w:snapToGrid w:val="0"/>
              <w:jc w:val="center"/>
              <w:rPr>
                <w:snapToGrid w:val="0"/>
                <w:color w:val="auto"/>
                <w:kern w:val="21"/>
              </w:rPr>
            </w:pPr>
            <w:r>
              <w:rPr>
                <w:snapToGrid w:val="0"/>
                <w:color w:val="auto"/>
                <w:kern w:val="21"/>
              </w:rPr>
              <w:t>碱性脱脂剂（主要成分为氢氧化钠、碳酸钠、表面活性剂）：50g/L</w:t>
            </w:r>
          </w:p>
        </w:tc>
        <w:tc>
          <w:tcPr>
            <w:tcW w:w="584" w:type="pct"/>
            <w:vAlign w:val="center"/>
          </w:tcPr>
          <w:p>
            <w:pPr>
              <w:adjustRightInd w:val="0"/>
              <w:snapToGrid w:val="0"/>
              <w:jc w:val="center"/>
              <w:rPr>
                <w:snapToGrid w:val="0"/>
                <w:color w:val="auto"/>
                <w:kern w:val="21"/>
              </w:rPr>
            </w:pPr>
            <w:r>
              <w:rPr>
                <w:rFonts w:hint="eastAsia"/>
                <w:snapToGrid w:val="0"/>
                <w:color w:val="auto"/>
                <w:kern w:val="21"/>
              </w:rPr>
              <w:t>60天</w:t>
            </w:r>
          </w:p>
        </w:tc>
        <w:tc>
          <w:tcPr>
            <w:tcW w:w="915" w:type="pct"/>
            <w:vAlign w:val="center"/>
          </w:tcPr>
          <w:p>
            <w:pPr>
              <w:adjustRightInd w:val="0"/>
              <w:snapToGrid w:val="0"/>
              <w:jc w:val="center"/>
              <w:rPr>
                <w:snapToGrid w:val="0"/>
                <w:color w:val="auto"/>
                <w:kern w:val="21"/>
              </w:rPr>
            </w:pPr>
            <w:r>
              <w:rPr>
                <w:snapToGrid w:val="0"/>
                <w:color w:val="auto"/>
                <w:kern w:val="21"/>
              </w:rPr>
              <w:t>含油废水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3</w:t>
            </w:r>
          </w:p>
        </w:tc>
        <w:tc>
          <w:tcPr>
            <w:tcW w:w="469" w:type="pct"/>
            <w:vAlign w:val="center"/>
          </w:tcPr>
          <w:p>
            <w:pPr>
              <w:adjustRightInd w:val="0"/>
              <w:snapToGrid w:val="0"/>
              <w:jc w:val="center"/>
              <w:rPr>
                <w:snapToGrid w:val="0"/>
                <w:color w:val="auto"/>
                <w:kern w:val="21"/>
              </w:rPr>
            </w:pPr>
            <w:r>
              <w:rPr>
                <w:snapToGrid w:val="0"/>
                <w:color w:val="auto"/>
                <w:kern w:val="21"/>
              </w:rPr>
              <w:t>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含油废水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4</w:t>
            </w:r>
          </w:p>
        </w:tc>
        <w:tc>
          <w:tcPr>
            <w:tcW w:w="469" w:type="pct"/>
            <w:vAlign w:val="center"/>
          </w:tcPr>
          <w:p>
            <w:pPr>
              <w:adjustRightInd w:val="0"/>
              <w:snapToGrid w:val="0"/>
              <w:jc w:val="center"/>
              <w:rPr>
                <w:snapToGrid w:val="0"/>
                <w:color w:val="auto"/>
                <w:kern w:val="21"/>
              </w:rPr>
            </w:pPr>
            <w:r>
              <w:rPr>
                <w:snapToGrid w:val="0"/>
                <w:color w:val="auto"/>
                <w:kern w:val="21"/>
              </w:rPr>
              <w:t>酸洗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8-10min</w:t>
            </w:r>
          </w:p>
        </w:tc>
        <w:tc>
          <w:tcPr>
            <w:tcW w:w="1071" w:type="pct"/>
            <w:vAlign w:val="center"/>
          </w:tcPr>
          <w:p>
            <w:pPr>
              <w:adjustRightInd w:val="0"/>
              <w:snapToGrid w:val="0"/>
              <w:jc w:val="center"/>
              <w:rPr>
                <w:snapToGrid w:val="0"/>
                <w:color w:val="auto"/>
                <w:kern w:val="21"/>
              </w:rPr>
            </w:pPr>
            <w:r>
              <w:rPr>
                <w:snapToGrid w:val="0"/>
                <w:color w:val="auto"/>
                <w:kern w:val="21"/>
              </w:rPr>
              <w:t>盐酸：</w:t>
            </w:r>
            <w:r>
              <w:rPr>
                <w:rFonts w:hint="eastAsia"/>
                <w:snapToGrid w:val="0"/>
                <w:color w:val="auto"/>
                <w:kern w:val="21"/>
              </w:rPr>
              <w:t>5%</w:t>
            </w:r>
            <w:r>
              <w:rPr>
                <w:rFonts w:hint="eastAsia"/>
                <w:snapToGrid w:val="0"/>
                <w:color w:val="auto"/>
                <w:kern w:val="21"/>
                <w:lang w:eastAsia="zh-CN"/>
              </w:rPr>
              <w:t>～</w:t>
            </w:r>
            <w:r>
              <w:rPr>
                <w:rFonts w:hint="eastAsia"/>
                <w:snapToGrid w:val="0"/>
                <w:color w:val="auto"/>
                <w:kern w:val="21"/>
              </w:rPr>
              <w:t>8%</w:t>
            </w:r>
          </w:p>
        </w:tc>
        <w:tc>
          <w:tcPr>
            <w:tcW w:w="584" w:type="pct"/>
            <w:vAlign w:val="center"/>
          </w:tcPr>
          <w:p>
            <w:pPr>
              <w:adjustRightInd w:val="0"/>
              <w:snapToGrid w:val="0"/>
              <w:jc w:val="center"/>
              <w:rPr>
                <w:snapToGrid w:val="0"/>
                <w:color w:val="auto"/>
                <w:kern w:val="21"/>
              </w:rPr>
            </w:pPr>
            <w:r>
              <w:rPr>
                <w:rFonts w:hint="eastAsia"/>
                <w:snapToGrid w:val="0"/>
                <w:color w:val="auto"/>
                <w:kern w:val="21"/>
              </w:rPr>
              <w:t>7天</w:t>
            </w:r>
          </w:p>
        </w:tc>
        <w:tc>
          <w:tcPr>
            <w:tcW w:w="915" w:type="pct"/>
            <w:vAlign w:val="center"/>
          </w:tcPr>
          <w:p>
            <w:pPr>
              <w:adjustRightInd w:val="0"/>
              <w:snapToGrid w:val="0"/>
              <w:jc w:val="center"/>
              <w:rPr>
                <w:snapToGrid w:val="0"/>
                <w:color w:val="auto"/>
                <w:kern w:val="21"/>
              </w:rPr>
            </w:pPr>
            <w:r>
              <w:rPr>
                <w:snapToGrid w:val="0"/>
                <w:color w:val="auto"/>
                <w:kern w:val="21"/>
              </w:rPr>
              <w:t>废气：盐酸雾</w:t>
            </w:r>
          </w:p>
          <w:p>
            <w:pPr>
              <w:adjustRightInd w:val="0"/>
              <w:snapToGrid w:val="0"/>
              <w:jc w:val="center"/>
              <w:rPr>
                <w:snapToGrid w:val="0"/>
                <w:color w:val="auto"/>
                <w:kern w:val="21"/>
              </w:rPr>
            </w:pPr>
            <w:r>
              <w:rPr>
                <w:snapToGrid w:val="0"/>
                <w:color w:val="auto"/>
                <w:kern w:val="21"/>
              </w:rPr>
              <w:t>废水：酸性废水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5</w:t>
            </w:r>
          </w:p>
        </w:tc>
        <w:tc>
          <w:tcPr>
            <w:tcW w:w="469" w:type="pct"/>
            <w:vAlign w:val="center"/>
          </w:tcPr>
          <w:p>
            <w:pPr>
              <w:adjustRightInd w:val="0"/>
              <w:snapToGrid w:val="0"/>
              <w:jc w:val="center"/>
              <w:rPr>
                <w:snapToGrid w:val="0"/>
                <w:color w:val="auto"/>
                <w:kern w:val="21"/>
              </w:rPr>
            </w:pPr>
            <w:r>
              <w:rPr>
                <w:snapToGrid w:val="0"/>
                <w:color w:val="auto"/>
                <w:kern w:val="21"/>
              </w:rPr>
              <w:t>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6</w:t>
            </w:r>
          </w:p>
        </w:tc>
        <w:tc>
          <w:tcPr>
            <w:tcW w:w="469" w:type="pct"/>
            <w:vAlign w:val="center"/>
          </w:tcPr>
          <w:p>
            <w:pPr>
              <w:adjustRightInd w:val="0"/>
              <w:snapToGrid w:val="0"/>
              <w:jc w:val="center"/>
              <w:rPr>
                <w:snapToGrid w:val="0"/>
                <w:color w:val="auto"/>
                <w:kern w:val="21"/>
              </w:rPr>
            </w:pPr>
            <w:r>
              <w:rPr>
                <w:snapToGrid w:val="0"/>
                <w:color w:val="auto"/>
                <w:kern w:val="21"/>
              </w:rPr>
              <w:t>酸活化</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4-5min</w:t>
            </w:r>
          </w:p>
        </w:tc>
        <w:tc>
          <w:tcPr>
            <w:tcW w:w="1071" w:type="pct"/>
            <w:vAlign w:val="center"/>
          </w:tcPr>
          <w:p>
            <w:pPr>
              <w:adjustRightInd w:val="0"/>
              <w:snapToGrid w:val="0"/>
              <w:jc w:val="center"/>
              <w:rPr>
                <w:snapToGrid w:val="0"/>
                <w:color w:val="auto"/>
                <w:kern w:val="21"/>
              </w:rPr>
            </w:pPr>
            <w:r>
              <w:rPr>
                <w:snapToGrid w:val="0"/>
                <w:color w:val="auto"/>
                <w:kern w:val="21"/>
              </w:rPr>
              <w:t>硫酸：30~50 mL/L</w:t>
            </w:r>
          </w:p>
        </w:tc>
        <w:tc>
          <w:tcPr>
            <w:tcW w:w="584" w:type="pct"/>
            <w:vAlign w:val="center"/>
          </w:tcPr>
          <w:p>
            <w:pPr>
              <w:adjustRightInd w:val="0"/>
              <w:snapToGrid w:val="0"/>
              <w:jc w:val="center"/>
              <w:rPr>
                <w:snapToGrid w:val="0"/>
                <w:color w:val="auto"/>
                <w:kern w:val="21"/>
              </w:rPr>
            </w:pPr>
            <w:r>
              <w:rPr>
                <w:rFonts w:hint="eastAsia"/>
                <w:snapToGrid w:val="0"/>
                <w:color w:val="auto"/>
                <w:kern w:val="21"/>
              </w:rPr>
              <w:t>7天</w:t>
            </w:r>
          </w:p>
        </w:tc>
        <w:tc>
          <w:tcPr>
            <w:tcW w:w="915" w:type="pct"/>
            <w:vAlign w:val="center"/>
          </w:tcPr>
          <w:p>
            <w:pPr>
              <w:adjustRightInd w:val="0"/>
              <w:snapToGrid w:val="0"/>
              <w:jc w:val="center"/>
              <w:rPr>
                <w:snapToGrid w:val="0"/>
                <w:color w:val="auto"/>
                <w:kern w:val="21"/>
              </w:rPr>
            </w:pPr>
            <w:r>
              <w:rPr>
                <w:snapToGrid w:val="0"/>
                <w:color w:val="auto"/>
                <w:kern w:val="21"/>
              </w:rPr>
              <w:t>废气：硫酸雾</w:t>
            </w:r>
          </w:p>
          <w:p>
            <w:pPr>
              <w:adjustRightInd w:val="0"/>
              <w:snapToGrid w:val="0"/>
              <w:jc w:val="center"/>
              <w:rPr>
                <w:snapToGrid w:val="0"/>
                <w:color w:val="auto"/>
                <w:kern w:val="21"/>
              </w:rPr>
            </w:pPr>
            <w:r>
              <w:rPr>
                <w:snapToGrid w:val="0"/>
                <w:color w:val="auto"/>
                <w:kern w:val="21"/>
              </w:rPr>
              <w:t>废水：酸性废水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7</w:t>
            </w:r>
          </w:p>
        </w:tc>
        <w:tc>
          <w:tcPr>
            <w:tcW w:w="469" w:type="pct"/>
            <w:vAlign w:val="center"/>
          </w:tcPr>
          <w:p>
            <w:pPr>
              <w:adjustRightInd w:val="0"/>
              <w:snapToGrid w:val="0"/>
              <w:jc w:val="center"/>
              <w:rPr>
                <w:snapToGrid w:val="0"/>
                <w:color w:val="auto"/>
                <w:kern w:val="21"/>
              </w:rPr>
            </w:pPr>
            <w:r>
              <w:rPr>
                <w:snapToGrid w:val="0"/>
                <w:color w:val="auto"/>
                <w:kern w:val="21"/>
              </w:rPr>
              <w:t>纯水洗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8</w:t>
            </w:r>
          </w:p>
        </w:tc>
        <w:tc>
          <w:tcPr>
            <w:tcW w:w="469" w:type="pct"/>
            <w:vAlign w:val="center"/>
          </w:tcPr>
          <w:p>
            <w:pPr>
              <w:adjustRightInd w:val="0"/>
              <w:snapToGrid w:val="0"/>
              <w:jc w:val="center"/>
              <w:rPr>
                <w:snapToGrid w:val="0"/>
                <w:color w:val="auto"/>
                <w:kern w:val="21"/>
              </w:rPr>
            </w:pPr>
            <w:r>
              <w:rPr>
                <w:rFonts w:hint="eastAsia"/>
                <w:snapToGrid w:val="0"/>
                <w:color w:val="auto"/>
                <w:kern w:val="21"/>
              </w:rPr>
              <w:t>镀镍</w:t>
            </w:r>
          </w:p>
        </w:tc>
        <w:tc>
          <w:tcPr>
            <w:tcW w:w="612" w:type="pct"/>
            <w:vAlign w:val="center"/>
          </w:tcPr>
          <w:p>
            <w:pPr>
              <w:adjustRightInd w:val="0"/>
              <w:snapToGrid w:val="0"/>
              <w:jc w:val="center"/>
              <w:rPr>
                <w:snapToGrid w:val="0"/>
                <w:color w:val="auto"/>
                <w:kern w:val="21"/>
              </w:rPr>
            </w:pPr>
            <w:r>
              <w:rPr>
                <w:snapToGrid w:val="0"/>
                <w:color w:val="auto"/>
                <w:kern w:val="21"/>
              </w:rPr>
              <w:t>5</w:t>
            </w:r>
            <w:r>
              <w:rPr>
                <w:rFonts w:hint="eastAsia"/>
                <w:snapToGrid w:val="0"/>
                <w:color w:val="auto"/>
                <w:kern w:val="21"/>
              </w:rPr>
              <w:t>5</w:t>
            </w:r>
            <w:r>
              <w:rPr>
                <w:snapToGrid w:val="0"/>
                <w:color w:val="auto"/>
                <w:kern w:val="21"/>
              </w:rPr>
              <w:t>-</w:t>
            </w:r>
            <w:r>
              <w:rPr>
                <w:rFonts w:hint="eastAsia"/>
                <w:snapToGrid w:val="0"/>
                <w:color w:val="auto"/>
                <w:kern w:val="21"/>
              </w:rPr>
              <w:t>65</w:t>
            </w:r>
          </w:p>
        </w:tc>
        <w:tc>
          <w:tcPr>
            <w:tcW w:w="397" w:type="pct"/>
            <w:vAlign w:val="center"/>
          </w:tcPr>
          <w:p>
            <w:pPr>
              <w:adjustRightInd w:val="0"/>
              <w:snapToGrid w:val="0"/>
              <w:jc w:val="center"/>
              <w:rPr>
                <w:snapToGrid w:val="0"/>
                <w:color w:val="auto"/>
                <w:kern w:val="21"/>
              </w:rPr>
            </w:pPr>
            <w:r>
              <w:rPr>
                <w:snapToGrid w:val="0"/>
                <w:color w:val="auto"/>
                <w:kern w:val="21"/>
              </w:rPr>
              <w:t>间接蒸汽加热</w:t>
            </w:r>
          </w:p>
        </w:tc>
        <w:tc>
          <w:tcPr>
            <w:tcW w:w="668" w:type="pct"/>
            <w:vAlign w:val="center"/>
          </w:tcPr>
          <w:p>
            <w:pPr>
              <w:adjustRightInd w:val="0"/>
              <w:snapToGrid w:val="0"/>
              <w:jc w:val="center"/>
              <w:rPr>
                <w:snapToGrid w:val="0"/>
                <w:color w:val="auto"/>
                <w:kern w:val="21"/>
              </w:rPr>
            </w:pPr>
            <w:r>
              <w:rPr>
                <w:snapToGrid w:val="0"/>
                <w:color w:val="auto"/>
                <w:kern w:val="21"/>
              </w:rPr>
              <w:t>110-130min</w:t>
            </w:r>
          </w:p>
        </w:tc>
        <w:tc>
          <w:tcPr>
            <w:tcW w:w="1071" w:type="pct"/>
            <w:vAlign w:val="center"/>
          </w:tcPr>
          <w:p>
            <w:pPr>
              <w:adjustRightInd w:val="0"/>
              <w:snapToGrid w:val="0"/>
              <w:jc w:val="center"/>
              <w:rPr>
                <w:color w:val="auto"/>
                <w:kern w:val="21"/>
              </w:rPr>
            </w:pPr>
            <w:r>
              <w:rPr>
                <w:rFonts w:hint="eastAsia"/>
                <w:color w:val="auto"/>
                <w:kern w:val="21"/>
              </w:rPr>
              <w:t>pH</w:t>
            </w:r>
            <w:r>
              <w:rPr>
                <w:color w:val="auto"/>
                <w:kern w:val="21"/>
              </w:rPr>
              <w:t>：4.2-4.8</w:t>
            </w:r>
          </w:p>
          <w:p>
            <w:pPr>
              <w:adjustRightInd w:val="0"/>
              <w:snapToGrid w:val="0"/>
              <w:jc w:val="center"/>
              <w:rPr>
                <w:color w:val="auto"/>
                <w:kern w:val="21"/>
              </w:rPr>
            </w:pPr>
            <w:r>
              <w:rPr>
                <w:color w:val="auto"/>
                <w:kern w:val="21"/>
              </w:rPr>
              <w:t>硫酸镍：200-250g/L</w:t>
            </w:r>
          </w:p>
          <w:p>
            <w:pPr>
              <w:adjustRightInd w:val="0"/>
              <w:snapToGrid w:val="0"/>
              <w:jc w:val="center"/>
              <w:rPr>
                <w:color w:val="auto"/>
                <w:kern w:val="21"/>
              </w:rPr>
            </w:pPr>
            <w:r>
              <w:rPr>
                <w:color w:val="auto"/>
                <w:kern w:val="21"/>
              </w:rPr>
              <w:t>氯化镍：50-70g/L</w:t>
            </w:r>
          </w:p>
          <w:p>
            <w:pPr>
              <w:adjustRightInd w:val="0"/>
              <w:snapToGrid w:val="0"/>
              <w:jc w:val="center"/>
              <w:rPr>
                <w:color w:val="auto"/>
                <w:kern w:val="21"/>
              </w:rPr>
            </w:pPr>
            <w:r>
              <w:rPr>
                <w:color w:val="auto"/>
                <w:kern w:val="21"/>
              </w:rPr>
              <w:t>硼酸：40-50g/L</w:t>
            </w:r>
          </w:p>
          <w:p>
            <w:pPr>
              <w:adjustRightInd w:val="0"/>
              <w:snapToGrid w:val="0"/>
              <w:jc w:val="center"/>
              <w:rPr>
                <w:snapToGrid w:val="0"/>
                <w:color w:val="auto"/>
                <w:kern w:val="21"/>
              </w:rPr>
            </w:pPr>
            <w:r>
              <w:rPr>
                <w:snapToGrid w:val="0"/>
                <w:color w:val="auto"/>
                <w:kern w:val="21"/>
              </w:rPr>
              <w:t>光亮剂：适量</w:t>
            </w:r>
          </w:p>
          <w:p>
            <w:pPr>
              <w:adjustRightInd w:val="0"/>
              <w:snapToGrid w:val="0"/>
              <w:jc w:val="center"/>
              <w:rPr>
                <w:snapToGrid w:val="0"/>
                <w:color w:val="auto"/>
                <w:kern w:val="21"/>
              </w:rPr>
            </w:pPr>
            <w:r>
              <w:rPr>
                <w:rFonts w:hint="eastAsia"/>
                <w:snapToGrid w:val="0"/>
                <w:color w:val="auto"/>
                <w:kern w:val="21"/>
              </w:rPr>
              <w:t>镍板：适量</w:t>
            </w:r>
          </w:p>
        </w:tc>
        <w:tc>
          <w:tcPr>
            <w:tcW w:w="584" w:type="pct"/>
            <w:vAlign w:val="center"/>
          </w:tcPr>
          <w:p>
            <w:pPr>
              <w:jc w:val="center"/>
              <w:rPr>
                <w:snapToGrid w:val="0"/>
                <w:color w:val="auto"/>
                <w:kern w:val="21"/>
              </w:rPr>
            </w:pPr>
            <w:r>
              <w:rPr>
                <w:rFonts w:hint="eastAsia"/>
                <w:snapToGrid w:val="0"/>
                <w:color w:val="auto"/>
                <w:kern w:val="21"/>
              </w:rPr>
              <w:t>/</w:t>
            </w:r>
          </w:p>
        </w:tc>
        <w:tc>
          <w:tcPr>
            <w:tcW w:w="915" w:type="pct"/>
            <w:vAlign w:val="center"/>
          </w:tcPr>
          <w:p>
            <w:pPr>
              <w:adjustRightInd w:val="0"/>
              <w:snapToGrid w:val="0"/>
              <w:jc w:val="center"/>
              <w:rPr>
                <w:snapToGrid w:val="0"/>
                <w:color w:val="auto"/>
                <w:kern w:val="21"/>
              </w:rPr>
            </w:pPr>
            <w:r>
              <w:rPr>
                <w:snapToGrid w:val="0"/>
                <w:color w:val="auto"/>
                <w:kern w:val="21"/>
              </w:rPr>
              <w:t>固废：废槽液、含镍槽渣、废滤芯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9</w:t>
            </w:r>
          </w:p>
        </w:tc>
        <w:tc>
          <w:tcPr>
            <w:tcW w:w="469" w:type="pct"/>
            <w:vAlign w:val="center"/>
          </w:tcPr>
          <w:p>
            <w:pPr>
              <w:adjustRightInd w:val="0"/>
              <w:snapToGrid w:val="0"/>
              <w:jc w:val="center"/>
              <w:rPr>
                <w:snapToGrid w:val="0"/>
                <w:color w:val="auto"/>
                <w:kern w:val="21"/>
              </w:rPr>
            </w:pPr>
            <w:r>
              <w:rPr>
                <w:snapToGrid w:val="0"/>
                <w:color w:val="auto"/>
                <w:kern w:val="21"/>
              </w:rPr>
              <w:t>回收纯水洗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p>
        </w:tc>
        <w:tc>
          <w:tcPr>
            <w:tcW w:w="668" w:type="pct"/>
            <w:vAlign w:val="center"/>
          </w:tcPr>
          <w:p>
            <w:pPr>
              <w:adjustRightInd w:val="0"/>
              <w:snapToGrid w:val="0"/>
              <w:jc w:val="center"/>
              <w:rPr>
                <w:snapToGrid w:val="0"/>
                <w:color w:val="auto"/>
                <w:kern w:val="21"/>
              </w:rPr>
            </w:pPr>
            <w:r>
              <w:rPr>
                <w:snapToGrid w:val="0"/>
                <w:color w:val="auto"/>
                <w:kern w:val="21"/>
              </w:rPr>
              <w:t>3min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含镍废水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10</w:t>
            </w:r>
          </w:p>
        </w:tc>
        <w:tc>
          <w:tcPr>
            <w:tcW w:w="469" w:type="pct"/>
            <w:vAlign w:val="center"/>
          </w:tcPr>
          <w:p>
            <w:pPr>
              <w:adjustRightInd w:val="0"/>
              <w:snapToGrid w:val="0"/>
              <w:jc w:val="center"/>
              <w:rPr>
                <w:snapToGrid w:val="0"/>
                <w:color w:val="auto"/>
                <w:kern w:val="21"/>
              </w:rPr>
            </w:pPr>
            <w:r>
              <w:rPr>
                <w:snapToGrid w:val="0"/>
                <w:color w:val="auto"/>
                <w:kern w:val="21"/>
              </w:rPr>
              <w:t>漂白</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3-5min</w:t>
            </w:r>
          </w:p>
        </w:tc>
        <w:tc>
          <w:tcPr>
            <w:tcW w:w="1071" w:type="pct"/>
            <w:vAlign w:val="center"/>
          </w:tcPr>
          <w:p>
            <w:pPr>
              <w:adjustRightInd w:val="0"/>
              <w:snapToGrid w:val="0"/>
              <w:jc w:val="center"/>
              <w:rPr>
                <w:snapToGrid w:val="0"/>
                <w:color w:val="auto"/>
                <w:kern w:val="21"/>
              </w:rPr>
            </w:pPr>
            <w:r>
              <w:rPr>
                <w:snapToGrid w:val="0"/>
                <w:color w:val="auto"/>
                <w:kern w:val="21"/>
              </w:rPr>
              <w:t>柠檬酸：5g/L</w:t>
            </w:r>
          </w:p>
        </w:tc>
        <w:tc>
          <w:tcPr>
            <w:tcW w:w="584" w:type="pct"/>
            <w:vAlign w:val="center"/>
          </w:tcPr>
          <w:p>
            <w:pPr>
              <w:adjustRightInd w:val="0"/>
              <w:snapToGrid w:val="0"/>
              <w:jc w:val="center"/>
              <w:rPr>
                <w:snapToGrid w:val="0"/>
                <w:color w:val="auto"/>
                <w:kern w:val="21"/>
              </w:rPr>
            </w:pPr>
            <w:r>
              <w:rPr>
                <w:rFonts w:hint="eastAsia"/>
                <w:snapToGrid w:val="0"/>
                <w:color w:val="auto"/>
                <w:kern w:val="21"/>
              </w:rPr>
              <w:t>30天</w:t>
            </w:r>
          </w:p>
        </w:tc>
        <w:tc>
          <w:tcPr>
            <w:tcW w:w="915" w:type="pct"/>
            <w:vAlign w:val="center"/>
          </w:tcPr>
          <w:p>
            <w:pPr>
              <w:adjustRightInd w:val="0"/>
              <w:snapToGrid w:val="0"/>
              <w:jc w:val="center"/>
              <w:rPr>
                <w:snapToGrid w:val="0"/>
                <w:color w:val="auto"/>
                <w:kern w:val="21"/>
              </w:rPr>
            </w:pPr>
            <w:r>
              <w:rPr>
                <w:snapToGrid w:val="0"/>
                <w:color w:val="auto"/>
                <w:kern w:val="21"/>
              </w:rPr>
              <w:t>含镍废水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11</w:t>
            </w:r>
          </w:p>
        </w:tc>
        <w:tc>
          <w:tcPr>
            <w:tcW w:w="469" w:type="pct"/>
            <w:vAlign w:val="center"/>
          </w:tcPr>
          <w:p>
            <w:pPr>
              <w:adjustRightInd w:val="0"/>
              <w:snapToGrid w:val="0"/>
              <w:jc w:val="center"/>
              <w:rPr>
                <w:snapToGrid w:val="0"/>
                <w:color w:val="auto"/>
                <w:kern w:val="21"/>
              </w:rPr>
            </w:pPr>
            <w:r>
              <w:rPr>
                <w:snapToGrid w:val="0"/>
                <w:color w:val="auto"/>
                <w:kern w:val="21"/>
              </w:rPr>
              <w:t>纯水洗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含镍废水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12</w:t>
            </w:r>
          </w:p>
        </w:tc>
        <w:tc>
          <w:tcPr>
            <w:tcW w:w="469" w:type="pct"/>
            <w:vAlign w:val="center"/>
          </w:tcPr>
          <w:p>
            <w:pPr>
              <w:adjustRightInd w:val="0"/>
              <w:snapToGrid w:val="0"/>
              <w:jc w:val="center"/>
              <w:rPr>
                <w:snapToGrid w:val="0"/>
                <w:color w:val="auto"/>
                <w:kern w:val="21"/>
              </w:rPr>
            </w:pPr>
            <w:r>
              <w:rPr>
                <w:snapToGrid w:val="0"/>
                <w:color w:val="auto"/>
                <w:kern w:val="21"/>
              </w:rPr>
              <w:t>钝化</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铬酸：</w:t>
            </w:r>
            <w:r>
              <w:rPr>
                <w:rFonts w:hint="eastAsia"/>
                <w:snapToGrid w:val="0"/>
                <w:color w:val="auto"/>
                <w:kern w:val="21"/>
              </w:rPr>
              <w:t>3</w:t>
            </w:r>
            <w:r>
              <w:rPr>
                <w:snapToGrid w:val="0"/>
                <w:color w:val="auto"/>
                <w:kern w:val="21"/>
              </w:rPr>
              <w:t>g/L</w:t>
            </w:r>
          </w:p>
        </w:tc>
        <w:tc>
          <w:tcPr>
            <w:tcW w:w="584" w:type="pct"/>
            <w:vAlign w:val="center"/>
          </w:tcPr>
          <w:p>
            <w:pPr>
              <w:adjustRightInd w:val="0"/>
              <w:snapToGrid w:val="0"/>
              <w:jc w:val="center"/>
              <w:rPr>
                <w:snapToGrid w:val="0"/>
                <w:color w:val="auto"/>
                <w:kern w:val="21"/>
              </w:rPr>
            </w:pPr>
            <w:r>
              <w:rPr>
                <w:rFonts w:hint="eastAsia"/>
                <w:snapToGrid w:val="0"/>
                <w:color w:val="auto"/>
                <w:kern w:val="21"/>
              </w:rPr>
              <w:t>7天</w:t>
            </w:r>
          </w:p>
        </w:tc>
        <w:tc>
          <w:tcPr>
            <w:tcW w:w="915" w:type="pct"/>
            <w:vAlign w:val="center"/>
          </w:tcPr>
          <w:p>
            <w:pPr>
              <w:adjustRightInd w:val="0"/>
              <w:snapToGrid w:val="0"/>
              <w:jc w:val="center"/>
              <w:rPr>
                <w:snapToGrid w:val="0"/>
                <w:color w:val="auto"/>
                <w:kern w:val="21"/>
              </w:rPr>
            </w:pPr>
            <w:r>
              <w:rPr>
                <w:snapToGrid w:val="0"/>
                <w:color w:val="auto"/>
                <w:kern w:val="21"/>
              </w:rPr>
              <w:t>废气：铬酸雾</w:t>
            </w:r>
          </w:p>
          <w:p>
            <w:pPr>
              <w:adjustRightInd w:val="0"/>
              <w:snapToGrid w:val="0"/>
              <w:jc w:val="center"/>
              <w:rPr>
                <w:snapToGrid w:val="0"/>
                <w:color w:val="auto"/>
                <w:kern w:val="21"/>
              </w:rPr>
            </w:pPr>
            <w:r>
              <w:rPr>
                <w:snapToGrid w:val="0"/>
                <w:color w:val="auto"/>
                <w:kern w:val="21"/>
              </w:rPr>
              <w:t>废水：含铬槽液</w:t>
            </w:r>
          </w:p>
          <w:p>
            <w:pPr>
              <w:adjustRightInd w:val="0"/>
              <w:snapToGrid w:val="0"/>
              <w:jc w:val="center"/>
              <w:rPr>
                <w:snapToGrid w:val="0"/>
                <w:color w:val="auto"/>
                <w:kern w:val="21"/>
              </w:rPr>
            </w:pPr>
            <w:r>
              <w:rPr>
                <w:snapToGrid w:val="0"/>
                <w:color w:val="auto"/>
                <w:kern w:val="21"/>
              </w:rPr>
              <w:t>固废：含铬槽渣、废滤芯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13</w:t>
            </w:r>
          </w:p>
        </w:tc>
        <w:tc>
          <w:tcPr>
            <w:tcW w:w="469" w:type="pct"/>
            <w:vAlign w:val="center"/>
          </w:tcPr>
          <w:p>
            <w:pPr>
              <w:adjustRightInd w:val="0"/>
              <w:snapToGrid w:val="0"/>
              <w:jc w:val="center"/>
              <w:rPr>
                <w:snapToGrid w:val="0"/>
                <w:color w:val="auto"/>
                <w:kern w:val="21"/>
              </w:rPr>
            </w:pPr>
            <w:r>
              <w:rPr>
                <w:snapToGrid w:val="0"/>
                <w:color w:val="auto"/>
                <w:kern w:val="21"/>
              </w:rPr>
              <w:t>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含铬水洗废水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14</w:t>
            </w:r>
          </w:p>
        </w:tc>
        <w:tc>
          <w:tcPr>
            <w:tcW w:w="469" w:type="pct"/>
            <w:vAlign w:val="center"/>
          </w:tcPr>
          <w:p>
            <w:pPr>
              <w:adjustRightInd w:val="0"/>
              <w:snapToGrid w:val="0"/>
              <w:jc w:val="center"/>
              <w:rPr>
                <w:snapToGrid w:val="0"/>
                <w:color w:val="auto"/>
                <w:kern w:val="21"/>
              </w:rPr>
            </w:pPr>
            <w:r>
              <w:rPr>
                <w:snapToGrid w:val="0"/>
                <w:color w:val="auto"/>
                <w:kern w:val="21"/>
              </w:rPr>
              <w:t>中和</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3-5min</w:t>
            </w:r>
          </w:p>
        </w:tc>
        <w:tc>
          <w:tcPr>
            <w:tcW w:w="1071" w:type="pct"/>
            <w:vAlign w:val="center"/>
          </w:tcPr>
          <w:p>
            <w:pPr>
              <w:adjustRightInd w:val="0"/>
              <w:snapToGrid w:val="0"/>
              <w:jc w:val="center"/>
              <w:rPr>
                <w:snapToGrid w:val="0"/>
                <w:color w:val="auto"/>
                <w:kern w:val="21"/>
              </w:rPr>
            </w:pPr>
            <w:r>
              <w:rPr>
                <w:snapToGrid w:val="0"/>
                <w:color w:val="auto"/>
                <w:kern w:val="21"/>
              </w:rPr>
              <w:t>氢氧化钠：10g/L</w:t>
            </w:r>
          </w:p>
        </w:tc>
        <w:tc>
          <w:tcPr>
            <w:tcW w:w="584" w:type="pct"/>
            <w:vAlign w:val="center"/>
          </w:tcPr>
          <w:p>
            <w:pPr>
              <w:adjustRightInd w:val="0"/>
              <w:snapToGrid w:val="0"/>
              <w:jc w:val="center"/>
              <w:rPr>
                <w:snapToGrid w:val="0"/>
                <w:color w:val="auto"/>
                <w:kern w:val="21"/>
              </w:rPr>
            </w:pPr>
            <w:r>
              <w:rPr>
                <w:rFonts w:hint="eastAsia"/>
                <w:snapToGrid w:val="0"/>
                <w:color w:val="auto"/>
                <w:kern w:val="21"/>
              </w:rPr>
              <w:t>30天</w:t>
            </w:r>
          </w:p>
        </w:tc>
        <w:tc>
          <w:tcPr>
            <w:tcW w:w="915"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15</w:t>
            </w:r>
          </w:p>
        </w:tc>
        <w:tc>
          <w:tcPr>
            <w:tcW w:w="469" w:type="pct"/>
            <w:vAlign w:val="center"/>
          </w:tcPr>
          <w:p>
            <w:pPr>
              <w:adjustRightInd w:val="0"/>
              <w:snapToGrid w:val="0"/>
              <w:jc w:val="center"/>
              <w:rPr>
                <w:snapToGrid w:val="0"/>
                <w:color w:val="auto"/>
                <w:kern w:val="21"/>
              </w:rPr>
            </w:pPr>
            <w:r>
              <w:rPr>
                <w:snapToGrid w:val="0"/>
                <w:color w:val="auto"/>
                <w:kern w:val="21"/>
              </w:rPr>
              <w:t>纯水洗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16</w:t>
            </w:r>
          </w:p>
        </w:tc>
        <w:tc>
          <w:tcPr>
            <w:tcW w:w="469" w:type="pct"/>
            <w:vAlign w:val="center"/>
          </w:tcPr>
          <w:p>
            <w:pPr>
              <w:adjustRightInd w:val="0"/>
              <w:snapToGrid w:val="0"/>
              <w:jc w:val="center"/>
              <w:rPr>
                <w:snapToGrid w:val="0"/>
                <w:color w:val="auto"/>
                <w:kern w:val="21"/>
              </w:rPr>
            </w:pPr>
            <w:r>
              <w:rPr>
                <w:snapToGrid w:val="0"/>
                <w:color w:val="auto"/>
                <w:kern w:val="21"/>
              </w:rPr>
              <w:t>封闭</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8min</w:t>
            </w:r>
          </w:p>
        </w:tc>
        <w:tc>
          <w:tcPr>
            <w:tcW w:w="1071" w:type="pct"/>
            <w:vAlign w:val="center"/>
          </w:tcPr>
          <w:p>
            <w:pPr>
              <w:adjustRightInd w:val="0"/>
              <w:snapToGrid w:val="0"/>
              <w:jc w:val="center"/>
              <w:rPr>
                <w:snapToGrid w:val="0"/>
                <w:color w:val="auto"/>
                <w:kern w:val="21"/>
              </w:rPr>
            </w:pPr>
            <w:r>
              <w:rPr>
                <w:rFonts w:hint="eastAsia"/>
                <w:snapToGrid w:val="0"/>
                <w:color w:val="auto"/>
                <w:kern w:val="21"/>
              </w:rPr>
              <w:t>AES和甘油：2%</w:t>
            </w:r>
            <w:r>
              <w:rPr>
                <w:rFonts w:hint="eastAsia"/>
                <w:snapToGrid w:val="0"/>
                <w:color w:val="auto"/>
                <w:kern w:val="21"/>
                <w:lang w:eastAsia="zh-CN"/>
              </w:rPr>
              <w:t>～</w:t>
            </w:r>
            <w:r>
              <w:rPr>
                <w:rFonts w:hint="eastAsia"/>
                <w:snapToGrid w:val="0"/>
                <w:color w:val="auto"/>
                <w:kern w:val="21"/>
              </w:rPr>
              <w:t>5%</w:t>
            </w:r>
          </w:p>
        </w:tc>
        <w:tc>
          <w:tcPr>
            <w:tcW w:w="584" w:type="pct"/>
            <w:vAlign w:val="center"/>
          </w:tcPr>
          <w:p>
            <w:pPr>
              <w:adjustRightInd w:val="0"/>
              <w:snapToGrid w:val="0"/>
              <w:jc w:val="center"/>
              <w:rPr>
                <w:snapToGrid w:val="0"/>
                <w:color w:val="auto"/>
                <w:kern w:val="21"/>
              </w:rPr>
            </w:pPr>
            <w:r>
              <w:rPr>
                <w:rFonts w:hint="eastAsia"/>
                <w:snapToGrid w:val="0"/>
                <w:color w:val="auto"/>
                <w:kern w:val="21"/>
              </w:rPr>
              <w:t>10天</w:t>
            </w:r>
          </w:p>
        </w:tc>
        <w:tc>
          <w:tcPr>
            <w:tcW w:w="915"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17</w:t>
            </w:r>
          </w:p>
        </w:tc>
        <w:tc>
          <w:tcPr>
            <w:tcW w:w="469" w:type="pct"/>
            <w:vAlign w:val="center"/>
          </w:tcPr>
          <w:p>
            <w:pPr>
              <w:adjustRightInd w:val="0"/>
              <w:snapToGrid w:val="0"/>
              <w:jc w:val="center"/>
              <w:rPr>
                <w:snapToGrid w:val="0"/>
                <w:color w:val="auto"/>
                <w:kern w:val="21"/>
              </w:rPr>
            </w:pPr>
            <w:r>
              <w:rPr>
                <w:snapToGrid w:val="0"/>
                <w:color w:val="auto"/>
                <w:kern w:val="21"/>
              </w:rPr>
              <w:t>水洗</w:t>
            </w:r>
          </w:p>
        </w:tc>
        <w:tc>
          <w:tcPr>
            <w:tcW w:w="612" w:type="pct"/>
            <w:vAlign w:val="center"/>
          </w:tcPr>
          <w:p>
            <w:pPr>
              <w:adjustRightInd w:val="0"/>
              <w:snapToGrid w:val="0"/>
              <w:jc w:val="center"/>
              <w:rPr>
                <w:snapToGrid w:val="0"/>
                <w:color w:val="auto"/>
                <w:kern w:val="21"/>
              </w:rPr>
            </w:pPr>
            <w:r>
              <w:rPr>
                <w:snapToGrid w:val="0"/>
                <w:color w:val="auto"/>
                <w:kern w:val="21"/>
              </w:rPr>
              <w:t>室温</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2min</w:t>
            </w:r>
          </w:p>
        </w:tc>
        <w:tc>
          <w:tcPr>
            <w:tcW w:w="1071"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/回用水</w:t>
            </w:r>
          </w:p>
        </w:tc>
        <w:tc>
          <w:tcPr>
            <w:tcW w:w="584"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15"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18</w:t>
            </w:r>
          </w:p>
        </w:tc>
        <w:tc>
          <w:tcPr>
            <w:tcW w:w="469" w:type="pct"/>
            <w:vAlign w:val="center"/>
          </w:tcPr>
          <w:p>
            <w:pPr>
              <w:adjustRightInd w:val="0"/>
              <w:snapToGrid w:val="0"/>
              <w:jc w:val="center"/>
              <w:rPr>
                <w:snapToGrid w:val="0"/>
                <w:color w:val="auto"/>
                <w:kern w:val="21"/>
              </w:rPr>
            </w:pPr>
            <w:r>
              <w:rPr>
                <w:snapToGrid w:val="0"/>
                <w:color w:val="auto"/>
                <w:kern w:val="21"/>
              </w:rPr>
              <w:t>烘干</w:t>
            </w:r>
          </w:p>
        </w:tc>
        <w:tc>
          <w:tcPr>
            <w:tcW w:w="612" w:type="pct"/>
            <w:vAlign w:val="center"/>
          </w:tcPr>
          <w:p>
            <w:pPr>
              <w:adjustRightInd w:val="0"/>
              <w:snapToGrid w:val="0"/>
              <w:jc w:val="center"/>
              <w:rPr>
                <w:snapToGrid w:val="0"/>
                <w:color w:val="auto"/>
                <w:kern w:val="21"/>
              </w:rPr>
            </w:pPr>
            <w:r>
              <w:rPr>
                <w:snapToGrid w:val="0"/>
                <w:color w:val="auto"/>
                <w:kern w:val="21"/>
              </w:rPr>
              <w:t>100-120</w:t>
            </w:r>
          </w:p>
        </w:tc>
        <w:tc>
          <w:tcPr>
            <w:tcW w:w="397" w:type="pct"/>
            <w:vAlign w:val="center"/>
          </w:tcPr>
          <w:p>
            <w:pPr>
              <w:adjustRightInd w:val="0"/>
              <w:snapToGrid w:val="0"/>
              <w:jc w:val="center"/>
              <w:rPr>
                <w:snapToGrid w:val="0"/>
                <w:color w:val="auto"/>
                <w:kern w:val="21"/>
              </w:rPr>
            </w:pPr>
            <w:r>
              <w:rPr>
                <w:snapToGrid w:val="0"/>
                <w:color w:val="auto"/>
                <w:kern w:val="21"/>
              </w:rPr>
              <w:t>电加热</w:t>
            </w:r>
          </w:p>
        </w:tc>
        <w:tc>
          <w:tcPr>
            <w:tcW w:w="668" w:type="pct"/>
            <w:vAlign w:val="center"/>
          </w:tcPr>
          <w:p>
            <w:pPr>
              <w:adjustRightInd w:val="0"/>
              <w:snapToGrid w:val="0"/>
              <w:jc w:val="center"/>
              <w:rPr>
                <w:snapToGrid w:val="0"/>
                <w:color w:val="auto"/>
                <w:kern w:val="21"/>
              </w:rPr>
            </w:pPr>
            <w:r>
              <w:rPr>
                <w:snapToGrid w:val="0"/>
                <w:color w:val="auto"/>
                <w:kern w:val="21"/>
              </w:rPr>
              <w:t>20-30min</w:t>
            </w:r>
          </w:p>
        </w:tc>
        <w:tc>
          <w:tcPr>
            <w:tcW w:w="1071" w:type="pct"/>
            <w:vAlign w:val="center"/>
          </w:tcPr>
          <w:p>
            <w:pPr>
              <w:adjustRightInd w:val="0"/>
              <w:snapToGrid w:val="0"/>
              <w:jc w:val="center"/>
              <w:rPr>
                <w:snapToGrid w:val="0"/>
                <w:color w:val="auto"/>
                <w:kern w:val="21"/>
              </w:rPr>
            </w:pPr>
            <w:r>
              <w:rPr>
                <w:snapToGrid w:val="0"/>
                <w:color w:val="auto"/>
                <w:kern w:val="21"/>
              </w:rPr>
              <w:t>/</w:t>
            </w:r>
          </w:p>
        </w:tc>
        <w:tc>
          <w:tcPr>
            <w:tcW w:w="584" w:type="pct"/>
            <w:vAlign w:val="center"/>
          </w:tcPr>
          <w:p>
            <w:pPr>
              <w:adjustRightInd w:val="0"/>
              <w:snapToGrid w:val="0"/>
              <w:jc w:val="center"/>
              <w:rPr>
                <w:snapToGrid w:val="0"/>
                <w:color w:val="auto"/>
                <w:kern w:val="21"/>
              </w:rPr>
            </w:pPr>
            <w:r>
              <w:rPr>
                <w:rFonts w:hint="eastAsia"/>
                <w:snapToGrid w:val="0"/>
                <w:color w:val="auto"/>
                <w:kern w:val="21"/>
              </w:rPr>
              <w:t>/</w:t>
            </w:r>
          </w:p>
        </w:tc>
        <w:tc>
          <w:tcPr>
            <w:tcW w:w="915" w:type="pct"/>
            <w:vAlign w:val="center"/>
          </w:tcPr>
          <w:p>
            <w:pPr>
              <w:adjustRightInd w:val="0"/>
              <w:snapToGrid w:val="0"/>
              <w:jc w:val="center"/>
              <w:rPr>
                <w:snapToGrid w:val="0"/>
                <w:color w:val="auto"/>
                <w:kern w:val="21"/>
              </w:rPr>
            </w:pPr>
            <w:r>
              <w:rPr>
                <w:snapToGrid w:val="0"/>
                <w:color w:val="auto"/>
                <w:kern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 w:type="pct"/>
            <w:vAlign w:val="center"/>
          </w:tcPr>
          <w:p>
            <w:pPr>
              <w:adjustRightInd w:val="0"/>
              <w:snapToGrid w:val="0"/>
              <w:jc w:val="center"/>
              <w:rPr>
                <w:snapToGrid w:val="0"/>
                <w:color w:val="auto"/>
                <w:kern w:val="21"/>
              </w:rPr>
            </w:pPr>
            <w:r>
              <w:rPr>
                <w:snapToGrid w:val="0"/>
                <w:color w:val="auto"/>
                <w:kern w:val="21"/>
              </w:rPr>
              <w:t>19</w:t>
            </w:r>
          </w:p>
        </w:tc>
        <w:tc>
          <w:tcPr>
            <w:tcW w:w="469" w:type="pct"/>
            <w:vAlign w:val="center"/>
          </w:tcPr>
          <w:p>
            <w:pPr>
              <w:adjustRightInd w:val="0"/>
              <w:snapToGrid w:val="0"/>
              <w:jc w:val="center"/>
              <w:rPr>
                <w:snapToGrid w:val="0"/>
                <w:color w:val="auto"/>
                <w:kern w:val="21"/>
              </w:rPr>
            </w:pPr>
            <w:r>
              <w:rPr>
                <w:snapToGrid w:val="0"/>
                <w:color w:val="auto"/>
                <w:kern w:val="21"/>
              </w:rPr>
              <w:t>检验</w:t>
            </w:r>
          </w:p>
        </w:tc>
        <w:tc>
          <w:tcPr>
            <w:tcW w:w="612" w:type="pct"/>
            <w:vAlign w:val="center"/>
          </w:tcPr>
          <w:p>
            <w:pPr>
              <w:adjustRightInd w:val="0"/>
              <w:snapToGrid w:val="0"/>
              <w:jc w:val="center"/>
              <w:rPr>
                <w:snapToGrid w:val="0"/>
                <w:color w:val="auto"/>
                <w:kern w:val="21"/>
              </w:rPr>
            </w:pPr>
            <w:r>
              <w:rPr>
                <w:snapToGrid w:val="0"/>
                <w:color w:val="auto"/>
                <w:kern w:val="21"/>
              </w:rPr>
              <w:t>/</w:t>
            </w:r>
          </w:p>
        </w:tc>
        <w:tc>
          <w:tcPr>
            <w:tcW w:w="397" w:type="pct"/>
            <w:vAlign w:val="center"/>
          </w:tcPr>
          <w:p>
            <w:pPr>
              <w:adjustRightInd w:val="0"/>
              <w:snapToGrid w:val="0"/>
              <w:jc w:val="center"/>
              <w:rPr>
                <w:snapToGrid w:val="0"/>
                <w:color w:val="auto"/>
                <w:kern w:val="21"/>
              </w:rPr>
            </w:pPr>
            <w:r>
              <w:rPr>
                <w:snapToGrid w:val="0"/>
                <w:color w:val="auto"/>
                <w:kern w:val="21"/>
              </w:rPr>
              <w:t>/</w:t>
            </w:r>
          </w:p>
        </w:tc>
        <w:tc>
          <w:tcPr>
            <w:tcW w:w="668" w:type="pct"/>
            <w:vAlign w:val="center"/>
          </w:tcPr>
          <w:p>
            <w:pPr>
              <w:adjustRightInd w:val="0"/>
              <w:snapToGrid w:val="0"/>
              <w:jc w:val="center"/>
              <w:rPr>
                <w:snapToGrid w:val="0"/>
                <w:color w:val="auto"/>
                <w:kern w:val="21"/>
              </w:rPr>
            </w:pPr>
            <w:r>
              <w:rPr>
                <w:snapToGrid w:val="0"/>
                <w:color w:val="auto"/>
                <w:kern w:val="21"/>
              </w:rPr>
              <w:t>/</w:t>
            </w:r>
          </w:p>
        </w:tc>
        <w:tc>
          <w:tcPr>
            <w:tcW w:w="1071" w:type="pct"/>
            <w:vAlign w:val="center"/>
          </w:tcPr>
          <w:p>
            <w:pPr>
              <w:adjustRightInd w:val="0"/>
              <w:snapToGrid w:val="0"/>
              <w:jc w:val="center"/>
              <w:rPr>
                <w:snapToGrid w:val="0"/>
                <w:color w:val="auto"/>
                <w:kern w:val="21"/>
              </w:rPr>
            </w:pPr>
            <w:r>
              <w:rPr>
                <w:snapToGrid w:val="0"/>
                <w:color w:val="auto"/>
                <w:kern w:val="21"/>
              </w:rPr>
              <w:t>/</w:t>
            </w:r>
          </w:p>
        </w:tc>
        <w:tc>
          <w:tcPr>
            <w:tcW w:w="584" w:type="pct"/>
            <w:vAlign w:val="center"/>
          </w:tcPr>
          <w:p>
            <w:pPr>
              <w:adjustRightInd w:val="0"/>
              <w:snapToGrid w:val="0"/>
              <w:jc w:val="center"/>
              <w:rPr>
                <w:snapToGrid w:val="0"/>
                <w:color w:val="auto"/>
                <w:kern w:val="21"/>
              </w:rPr>
            </w:pPr>
            <w:r>
              <w:rPr>
                <w:rFonts w:hint="eastAsia"/>
                <w:snapToGrid w:val="0"/>
                <w:color w:val="auto"/>
                <w:kern w:val="21"/>
              </w:rPr>
              <w:t>/</w:t>
            </w:r>
          </w:p>
        </w:tc>
        <w:tc>
          <w:tcPr>
            <w:tcW w:w="915" w:type="pct"/>
            <w:vAlign w:val="center"/>
          </w:tcPr>
          <w:p>
            <w:pPr>
              <w:adjustRightInd w:val="0"/>
              <w:snapToGrid w:val="0"/>
              <w:jc w:val="center"/>
              <w:rPr>
                <w:snapToGrid w:val="0"/>
                <w:color w:val="auto"/>
                <w:kern w:val="21"/>
              </w:rPr>
            </w:pPr>
            <w:r>
              <w:rPr>
                <w:rFonts w:hint="eastAsia"/>
                <w:snapToGrid w:val="0"/>
                <w:color w:val="auto"/>
                <w:kern w:val="21"/>
              </w:rPr>
              <w:t xml:space="preserve"> </w:t>
            </w:r>
            <w:r>
              <w:rPr>
                <w:snapToGrid w:val="0"/>
                <w:color w:val="auto"/>
                <w:kern w:val="21"/>
              </w:rPr>
              <w:t>不合格产品</w:t>
            </w:r>
          </w:p>
        </w:tc>
      </w:tr>
    </w:tbl>
    <w:p>
      <w:pPr>
        <w:adjustRightInd w:val="0"/>
        <w:snapToGrid w:val="0"/>
        <w:spacing w:before="120" w:beforeLines="50" w:line="360" w:lineRule="auto"/>
        <w:ind w:firstLine="482" w:firstLineChars="200"/>
        <w:rPr>
          <w:b/>
          <w:bCs w:val="0"/>
          <w:snapToGrid w:val="0"/>
          <w:color w:val="auto"/>
          <w:kern w:val="21"/>
          <w:sz w:val="24"/>
          <w:szCs w:val="24"/>
          <w:u w:val="single"/>
        </w:rPr>
      </w:pPr>
      <w:r>
        <w:rPr>
          <w:rFonts w:hint="eastAsia"/>
          <w:b/>
          <w:bCs w:val="0"/>
          <w:snapToGrid w:val="0"/>
          <w:color w:val="auto"/>
          <w:kern w:val="21"/>
          <w:sz w:val="24"/>
          <w:szCs w:val="24"/>
          <w:u w:val="single"/>
        </w:rPr>
        <w:t>3、产污环节</w:t>
      </w:r>
    </w:p>
    <w:p>
      <w:pPr>
        <w:adjustRightInd w:val="0"/>
        <w:snapToGrid w:val="0"/>
        <w:spacing w:line="360" w:lineRule="auto"/>
        <w:ind w:firstLine="482" w:firstLineChars="200"/>
        <w:rPr>
          <w:b/>
          <w:bCs w:val="0"/>
          <w:snapToGrid w:val="0"/>
          <w:color w:val="auto"/>
          <w:kern w:val="21"/>
          <w:sz w:val="24"/>
          <w:szCs w:val="24"/>
          <w:u w:val="single"/>
        </w:rPr>
      </w:pPr>
      <w:r>
        <w:rPr>
          <w:rFonts w:hint="eastAsia"/>
          <w:b/>
          <w:bCs w:val="0"/>
          <w:snapToGrid w:val="0"/>
          <w:color w:val="auto"/>
          <w:kern w:val="21"/>
          <w:sz w:val="24"/>
          <w:szCs w:val="24"/>
          <w:u w:val="single"/>
          <w:lang w:eastAsia="zh-CN"/>
        </w:rPr>
        <w:t>锂电池钢壳及盖帽生产</w:t>
      </w:r>
      <w:r>
        <w:rPr>
          <w:rFonts w:hint="eastAsia"/>
          <w:b/>
          <w:bCs w:val="0"/>
          <w:snapToGrid w:val="0"/>
          <w:color w:val="auto"/>
          <w:kern w:val="21"/>
          <w:sz w:val="24"/>
          <w:szCs w:val="24"/>
          <w:u w:val="single"/>
        </w:rPr>
        <w:t>线产污环节如下</w:t>
      </w:r>
      <w:r>
        <w:rPr>
          <w:rFonts w:hint="eastAsia"/>
          <w:b/>
          <w:bCs w:val="0"/>
          <w:snapToGrid w:val="0"/>
          <w:color w:val="auto"/>
          <w:kern w:val="21"/>
          <w:sz w:val="24"/>
          <w:szCs w:val="24"/>
          <w:u w:val="single"/>
          <w:lang w:eastAsia="zh-CN"/>
        </w:rPr>
        <w:t>：</w:t>
      </w:r>
    </w:p>
    <w:p>
      <w:pPr>
        <w:adjustRightInd w:val="0"/>
        <w:snapToGrid w:val="0"/>
        <w:spacing w:line="360" w:lineRule="auto"/>
        <w:ind w:firstLine="482" w:firstLineChars="200"/>
        <w:rPr>
          <w:b/>
          <w:bCs w:val="0"/>
          <w:snapToGrid w:val="0"/>
          <w:color w:val="auto"/>
          <w:kern w:val="21"/>
          <w:sz w:val="24"/>
          <w:szCs w:val="24"/>
          <w:u w:val="single"/>
        </w:rPr>
      </w:pPr>
      <w:r>
        <w:rPr>
          <w:rFonts w:hint="eastAsia"/>
          <w:b/>
          <w:bCs w:val="0"/>
          <w:snapToGrid w:val="0"/>
          <w:color w:val="auto"/>
          <w:kern w:val="21"/>
          <w:sz w:val="24"/>
          <w:szCs w:val="24"/>
          <w:u w:val="single"/>
        </w:rPr>
        <w:t>（1）废气：</w:t>
      </w:r>
      <w:r>
        <w:rPr>
          <w:rFonts w:hint="eastAsia"/>
          <w:b/>
          <w:bCs w:val="0"/>
          <w:snapToGrid w:val="0"/>
          <w:color w:val="auto"/>
          <w:kern w:val="21"/>
          <w:sz w:val="24"/>
          <w:szCs w:val="24"/>
          <w:u w:val="single"/>
          <w:lang w:eastAsia="zh-CN"/>
        </w:rPr>
        <w:t>生产线废气</w:t>
      </w:r>
      <w:r>
        <w:rPr>
          <w:rFonts w:hint="eastAsia"/>
          <w:b/>
          <w:bCs w:val="0"/>
          <w:snapToGrid w:val="0"/>
          <w:color w:val="auto"/>
          <w:kern w:val="21"/>
          <w:sz w:val="24"/>
          <w:szCs w:val="24"/>
          <w:u w:val="single"/>
        </w:rPr>
        <w:t>主要有酸洗产生的盐酸雾、酸活化产生的硫酸雾及钝化产生的铬酸雾；</w:t>
      </w:r>
    </w:p>
    <w:p>
      <w:pPr>
        <w:adjustRightInd w:val="0"/>
        <w:snapToGrid w:val="0"/>
        <w:spacing w:line="360" w:lineRule="auto"/>
        <w:ind w:firstLine="482" w:firstLineChars="200"/>
        <w:rPr>
          <w:b/>
          <w:bCs w:val="0"/>
          <w:snapToGrid w:val="0"/>
          <w:color w:val="auto"/>
          <w:kern w:val="21"/>
          <w:sz w:val="24"/>
          <w:szCs w:val="24"/>
          <w:u w:val="single"/>
        </w:rPr>
      </w:pPr>
      <w:r>
        <w:rPr>
          <w:rFonts w:hint="eastAsia"/>
          <w:b/>
          <w:bCs w:val="0"/>
          <w:snapToGrid w:val="0"/>
          <w:color w:val="auto"/>
          <w:kern w:val="21"/>
          <w:sz w:val="24"/>
          <w:szCs w:val="24"/>
          <w:u w:val="single"/>
        </w:rPr>
        <w:t>（2）废水：</w:t>
      </w:r>
      <w:r>
        <w:rPr>
          <w:rFonts w:hint="eastAsia"/>
          <w:b/>
          <w:bCs w:val="0"/>
          <w:snapToGrid w:val="0"/>
          <w:color w:val="auto"/>
          <w:kern w:val="21"/>
          <w:sz w:val="24"/>
          <w:szCs w:val="24"/>
          <w:u w:val="single"/>
          <w:lang w:eastAsia="zh-CN"/>
        </w:rPr>
        <w:t>生产线废水</w:t>
      </w:r>
      <w:r>
        <w:rPr>
          <w:rFonts w:hint="eastAsia"/>
          <w:b/>
          <w:bCs w:val="0"/>
          <w:snapToGrid w:val="0"/>
          <w:color w:val="auto"/>
          <w:kern w:val="21"/>
          <w:sz w:val="24"/>
          <w:szCs w:val="24"/>
          <w:u w:val="single"/>
        </w:rPr>
        <w:t>主要有</w:t>
      </w:r>
      <w:r>
        <w:rPr>
          <w:rFonts w:hint="eastAsia"/>
          <w:b/>
          <w:bCs w:val="0"/>
          <w:snapToGrid w:val="0"/>
          <w:color w:val="auto"/>
          <w:kern w:val="21"/>
          <w:sz w:val="24"/>
          <w:szCs w:val="24"/>
          <w:u w:val="single"/>
          <w:lang w:eastAsia="zh-CN"/>
        </w:rPr>
        <w:t>除油</w:t>
      </w:r>
      <w:r>
        <w:rPr>
          <w:rFonts w:hint="eastAsia"/>
          <w:b/>
          <w:bCs w:val="0"/>
          <w:snapToGrid w:val="0"/>
          <w:color w:val="auto"/>
          <w:kern w:val="21"/>
          <w:sz w:val="24"/>
          <w:szCs w:val="24"/>
          <w:u w:val="single"/>
        </w:rPr>
        <w:t>工序产生的含油废水；酸洗工序</w:t>
      </w:r>
      <w:r>
        <w:rPr>
          <w:rFonts w:hint="eastAsia"/>
          <w:b/>
          <w:bCs w:val="0"/>
          <w:snapToGrid w:val="0"/>
          <w:color w:val="auto"/>
          <w:kern w:val="21"/>
          <w:sz w:val="24"/>
          <w:szCs w:val="24"/>
          <w:u w:val="single"/>
          <w:lang w:eastAsia="zh-CN"/>
        </w:rPr>
        <w:t>及酸活化工序产生的</w:t>
      </w:r>
      <w:r>
        <w:rPr>
          <w:rFonts w:hint="eastAsia"/>
          <w:b/>
          <w:bCs w:val="0"/>
          <w:snapToGrid w:val="0"/>
          <w:color w:val="auto"/>
          <w:kern w:val="21"/>
          <w:sz w:val="24"/>
          <w:szCs w:val="24"/>
          <w:u w:val="single"/>
        </w:rPr>
        <w:t>酸性废水；镀镍后水洗</w:t>
      </w:r>
      <w:r>
        <w:rPr>
          <w:rFonts w:hint="eastAsia"/>
          <w:b/>
          <w:bCs w:val="0"/>
          <w:snapToGrid w:val="0"/>
          <w:color w:val="auto"/>
          <w:kern w:val="21"/>
          <w:sz w:val="24"/>
          <w:szCs w:val="24"/>
          <w:u w:val="single"/>
          <w:lang w:eastAsia="zh-CN"/>
        </w:rPr>
        <w:t>工序</w:t>
      </w:r>
      <w:r>
        <w:rPr>
          <w:rFonts w:hint="eastAsia"/>
          <w:b/>
          <w:bCs w:val="0"/>
          <w:snapToGrid w:val="0"/>
          <w:color w:val="auto"/>
          <w:kern w:val="21"/>
          <w:sz w:val="24"/>
          <w:szCs w:val="24"/>
          <w:u w:val="single"/>
        </w:rPr>
        <w:t>产生</w:t>
      </w:r>
      <w:r>
        <w:rPr>
          <w:rFonts w:hint="eastAsia"/>
          <w:b/>
          <w:bCs w:val="0"/>
          <w:snapToGrid w:val="0"/>
          <w:color w:val="auto"/>
          <w:kern w:val="21"/>
          <w:sz w:val="24"/>
          <w:szCs w:val="24"/>
          <w:u w:val="single"/>
          <w:lang w:eastAsia="zh-CN"/>
        </w:rPr>
        <w:t>的</w:t>
      </w:r>
      <w:r>
        <w:rPr>
          <w:rFonts w:hint="eastAsia"/>
          <w:b/>
          <w:bCs w:val="0"/>
          <w:snapToGrid w:val="0"/>
          <w:color w:val="auto"/>
          <w:kern w:val="21"/>
          <w:sz w:val="24"/>
          <w:szCs w:val="24"/>
          <w:u w:val="single"/>
        </w:rPr>
        <w:t>含镍废水，漂白工序产生的含镍废水；钝化工序、中和工序、封闭工序产生的含铬废水。</w:t>
      </w:r>
    </w:p>
    <w:p>
      <w:pPr>
        <w:adjustRightInd w:val="0"/>
        <w:snapToGrid w:val="0"/>
        <w:spacing w:line="360" w:lineRule="auto"/>
        <w:ind w:firstLine="482" w:firstLineChars="200"/>
        <w:rPr>
          <w:b/>
          <w:bCs w:val="0"/>
          <w:snapToGrid w:val="0"/>
          <w:color w:val="auto"/>
          <w:kern w:val="21"/>
          <w:sz w:val="24"/>
          <w:szCs w:val="24"/>
          <w:u w:val="single"/>
        </w:rPr>
      </w:pPr>
      <w:r>
        <w:rPr>
          <w:rFonts w:hint="eastAsia"/>
          <w:b/>
          <w:bCs w:val="0"/>
          <w:snapToGrid w:val="0"/>
          <w:color w:val="auto"/>
          <w:kern w:val="21"/>
          <w:sz w:val="24"/>
          <w:szCs w:val="24"/>
          <w:u w:val="single"/>
        </w:rPr>
        <w:t>（3）噪声：机械设备运行产生的噪声；</w:t>
      </w:r>
    </w:p>
    <w:p>
      <w:pPr>
        <w:adjustRightInd w:val="0"/>
        <w:snapToGrid w:val="0"/>
        <w:spacing w:line="360" w:lineRule="auto"/>
        <w:ind w:firstLine="482" w:firstLineChars="200"/>
        <w:rPr>
          <w:rFonts w:hint="eastAsia"/>
          <w:b/>
          <w:bCs w:val="0"/>
          <w:snapToGrid w:val="0"/>
          <w:color w:val="auto"/>
          <w:kern w:val="21"/>
          <w:sz w:val="24"/>
          <w:szCs w:val="24"/>
          <w:u w:val="single"/>
        </w:rPr>
      </w:pPr>
      <w:r>
        <w:rPr>
          <w:rFonts w:hint="eastAsia"/>
          <w:b/>
          <w:bCs w:val="0"/>
          <w:snapToGrid w:val="0"/>
          <w:color w:val="auto"/>
          <w:kern w:val="21"/>
          <w:sz w:val="24"/>
          <w:szCs w:val="24"/>
          <w:u w:val="single"/>
        </w:rPr>
        <w:t>（4）固体废物：</w:t>
      </w:r>
      <w:r>
        <w:rPr>
          <w:rFonts w:hint="eastAsia"/>
          <w:b/>
          <w:bCs w:val="0"/>
          <w:snapToGrid w:val="0"/>
          <w:color w:val="auto"/>
          <w:kern w:val="21"/>
          <w:sz w:val="24"/>
          <w:szCs w:val="24"/>
          <w:u w:val="single"/>
          <w:lang w:eastAsia="zh-CN"/>
        </w:rPr>
        <w:t>固废</w:t>
      </w:r>
      <w:r>
        <w:rPr>
          <w:rFonts w:hint="eastAsia"/>
          <w:b/>
          <w:bCs w:val="0"/>
          <w:snapToGrid w:val="0"/>
          <w:color w:val="auto"/>
          <w:kern w:val="21"/>
          <w:sz w:val="24"/>
          <w:szCs w:val="24"/>
          <w:u w:val="single"/>
        </w:rPr>
        <w:t>主要为边角料、不合格镀件、镀镍槽液、含镍废物、含铬废物、气浮池污油、废机油、生化处理污泥、废水反渗透膜。</w:t>
      </w:r>
    </w:p>
    <w:p>
      <w:pPr>
        <w:pStyle w:val="43"/>
        <w:rPr>
          <w:rFonts w:hint="eastAsia"/>
          <w:b/>
          <w:bCs w:val="0"/>
          <w:snapToGrid w:val="0"/>
          <w:color w:val="auto"/>
          <w:kern w:val="21"/>
          <w:sz w:val="24"/>
          <w:szCs w:val="24"/>
          <w:u w:val="single"/>
        </w:rPr>
      </w:pPr>
    </w:p>
    <w:p>
      <w:pPr>
        <w:pStyle w:val="271"/>
        <w:keepNext w:val="0"/>
        <w:keepLines w:val="0"/>
        <w:snapToGrid w:val="0"/>
        <w:spacing w:before="0" w:beforeLines="0" w:after="0" w:afterLines="0"/>
        <w:rPr>
          <w:rFonts w:cs="Times New Roman"/>
          <w:color w:val="auto"/>
          <w:kern w:val="21"/>
          <w:sz w:val="28"/>
          <w:szCs w:val="28"/>
        </w:rPr>
      </w:pPr>
      <w:r>
        <w:rPr>
          <w:rFonts w:cs="Times New Roman"/>
          <w:color w:val="auto"/>
          <w:kern w:val="21"/>
          <w:sz w:val="28"/>
          <w:szCs w:val="28"/>
        </w:rPr>
        <w:t>3.3.</w:t>
      </w:r>
      <w:r>
        <w:rPr>
          <w:rFonts w:hint="eastAsia" w:cs="Times New Roman"/>
          <w:color w:val="auto"/>
          <w:kern w:val="21"/>
          <w:sz w:val="28"/>
          <w:szCs w:val="28"/>
        </w:rPr>
        <w:t>2</w:t>
      </w:r>
      <w:r>
        <w:rPr>
          <w:rFonts w:hint="eastAsia" w:cs="Times New Roman"/>
          <w:color w:val="auto"/>
          <w:kern w:val="21"/>
          <w:sz w:val="28"/>
          <w:szCs w:val="28"/>
          <w:lang w:eastAsia="zh-CN"/>
        </w:rPr>
        <w:t>锂</w:t>
      </w:r>
      <w:r>
        <w:rPr>
          <w:rFonts w:hint="eastAsia" w:cs="Times New Roman"/>
          <w:color w:val="auto"/>
          <w:kern w:val="21"/>
          <w:sz w:val="28"/>
          <w:szCs w:val="28"/>
        </w:rPr>
        <w:t>电池箱</w:t>
      </w:r>
      <w:r>
        <w:rPr>
          <w:rFonts w:cs="Times New Roman"/>
          <w:color w:val="auto"/>
          <w:kern w:val="21"/>
          <w:sz w:val="28"/>
          <w:szCs w:val="28"/>
        </w:rPr>
        <w:t>工艺流程及产污环节分析</w:t>
      </w:r>
    </w:p>
    <w:p>
      <w:pPr>
        <w:adjustRightInd w:val="0"/>
        <w:snapToGrid w:val="0"/>
        <w:spacing w:line="360" w:lineRule="auto"/>
        <w:ind w:firstLine="480" w:firstLineChars="200"/>
        <w:rPr>
          <w:snapToGrid w:val="0"/>
          <w:color w:val="auto"/>
          <w:kern w:val="21"/>
          <w:sz w:val="24"/>
          <w:szCs w:val="24"/>
        </w:rPr>
      </w:pPr>
      <w:r>
        <w:rPr>
          <w:rFonts w:hint="eastAsia"/>
          <w:color w:val="auto"/>
          <w:kern w:val="21"/>
          <w:sz w:val="24"/>
          <w:szCs w:val="22"/>
          <w:lang w:eastAsia="zh-CN"/>
        </w:rPr>
        <w:t>锂</w:t>
      </w:r>
      <w:r>
        <w:rPr>
          <w:color w:val="auto"/>
          <w:kern w:val="21"/>
          <w:sz w:val="24"/>
          <w:szCs w:val="22"/>
        </w:rPr>
        <w:t>电池箱需经</w:t>
      </w:r>
      <w:r>
        <w:rPr>
          <w:rFonts w:hint="eastAsia"/>
          <w:color w:val="auto"/>
          <w:kern w:val="21"/>
          <w:sz w:val="24"/>
          <w:szCs w:val="22"/>
          <w:lang w:eastAsia="zh-CN"/>
        </w:rPr>
        <w:t>切割</w:t>
      </w:r>
      <w:r>
        <w:rPr>
          <w:color w:val="auto"/>
          <w:kern w:val="21"/>
          <w:sz w:val="24"/>
          <w:szCs w:val="22"/>
        </w:rPr>
        <w:t>下料、折弯、焊接</w:t>
      </w:r>
      <w:r>
        <w:rPr>
          <w:rFonts w:hint="eastAsia"/>
          <w:color w:val="auto"/>
          <w:kern w:val="21"/>
          <w:sz w:val="24"/>
          <w:szCs w:val="22"/>
          <w:lang w:eastAsia="zh-CN"/>
        </w:rPr>
        <w:t>成型</w:t>
      </w:r>
      <w:r>
        <w:rPr>
          <w:color w:val="auto"/>
          <w:kern w:val="21"/>
          <w:sz w:val="24"/>
          <w:szCs w:val="22"/>
        </w:rPr>
        <w:t>后进行镀锌，</w:t>
      </w:r>
      <w:r>
        <w:rPr>
          <w:rFonts w:hint="eastAsia"/>
          <w:color w:val="auto"/>
          <w:kern w:val="21"/>
          <w:sz w:val="24"/>
          <w:szCs w:val="22"/>
          <w:lang w:eastAsia="zh-CN"/>
        </w:rPr>
        <w:t>锂电池箱加工</w:t>
      </w:r>
      <w:r>
        <w:rPr>
          <w:color w:val="auto"/>
          <w:kern w:val="21"/>
          <w:sz w:val="24"/>
          <w:szCs w:val="22"/>
        </w:rPr>
        <w:t>工艺流程及产污环节图如下图</w:t>
      </w:r>
      <w:r>
        <w:rPr>
          <w:snapToGrid w:val="0"/>
          <w:color w:val="auto"/>
          <w:kern w:val="21"/>
          <w:sz w:val="24"/>
          <w:szCs w:val="24"/>
        </w:rPr>
        <w:t>3.3-</w:t>
      </w:r>
      <w:r>
        <w:rPr>
          <w:rFonts w:hint="eastAsia"/>
          <w:snapToGrid w:val="0"/>
          <w:color w:val="auto"/>
          <w:kern w:val="21"/>
          <w:sz w:val="24"/>
          <w:szCs w:val="24"/>
        </w:rPr>
        <w:t>2</w:t>
      </w:r>
      <w:r>
        <w:rPr>
          <w:snapToGrid w:val="0"/>
          <w:color w:val="auto"/>
          <w:kern w:val="21"/>
          <w:sz w:val="24"/>
          <w:szCs w:val="24"/>
        </w:rPr>
        <w:t>。</w:t>
      </w:r>
    </w:p>
    <w:p>
      <w:pPr>
        <w:pStyle w:val="43"/>
        <w:rPr>
          <w:rFonts w:hint="eastAsia"/>
          <w:b/>
          <w:bCs w:val="0"/>
          <w:snapToGrid w:val="0"/>
          <w:color w:val="auto"/>
          <w:kern w:val="21"/>
          <w:sz w:val="24"/>
          <w:szCs w:val="24"/>
          <w:u w:val="single"/>
        </w:rPr>
        <w:sectPr>
          <w:pgSz w:w="11906" w:h="16838"/>
          <w:pgMar w:top="1800" w:right="1440" w:bottom="1800" w:left="1440" w:header="1134" w:footer="1134" w:gutter="0"/>
          <w:cols w:space="720" w:num="1"/>
          <w:docGrid w:linePitch="312" w:charSpace="0"/>
        </w:sectPr>
      </w:pPr>
    </w:p>
    <w:p>
      <w:pPr>
        <w:adjustRightInd w:val="0"/>
        <w:snapToGrid w:val="0"/>
        <w:spacing w:line="360" w:lineRule="auto"/>
        <w:jc w:val="center"/>
        <w:rPr>
          <w:rFonts w:eastAsia="黑体"/>
          <w:color w:val="auto"/>
          <w:kern w:val="21"/>
          <w:sz w:val="24"/>
          <w:szCs w:val="24"/>
          <w:u w:val="single"/>
        </w:rPr>
      </w:pPr>
      <w:r>
        <w:rPr>
          <w:color w:val="auto"/>
        </w:rPr>
        <mc:AlternateContent>
          <mc:Choice Requires="wpc">
            <w:drawing>
              <wp:inline distT="0" distB="0" distL="0" distR="0">
                <wp:extent cx="5759450" cy="7965440"/>
                <wp:effectExtent l="0" t="0" r="0" b="0"/>
                <wp:docPr id="2453" name="画布 1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51" name="Rectangle 122"/>
                        <wps:cNvSpPr>
                          <a:spLocks noChangeArrowheads="1"/>
                        </wps:cNvSpPr>
                        <wps:spPr bwMode="auto">
                          <a:xfrm>
                            <a:off x="1140460" y="1486114"/>
                            <a:ext cx="1052830" cy="307975"/>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焊接</w:t>
                              </w:r>
                            </w:p>
                          </w:txbxContent>
                        </wps:txbx>
                        <wps:bodyPr rot="0" vert="horz" wrap="square" lIns="91440" tIns="45720" rIns="91440" bIns="45720" anchor="t" anchorCtr="0" upright="1">
                          <a:noAutofit/>
                        </wps:bodyPr>
                      </wps:wsp>
                      <wps:wsp>
                        <wps:cNvPr id="352" name="Rectangle 123"/>
                        <wps:cNvSpPr>
                          <a:spLocks noChangeArrowheads="1"/>
                        </wps:cNvSpPr>
                        <wps:spPr bwMode="auto">
                          <a:xfrm>
                            <a:off x="1140460" y="2091904"/>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除油</w:t>
                              </w:r>
                            </w:p>
                          </w:txbxContent>
                        </wps:txbx>
                        <wps:bodyPr rot="0" vert="horz" wrap="square" lIns="91440" tIns="45720" rIns="91440" bIns="45720" anchor="t" anchorCtr="0" upright="1">
                          <a:noAutofit/>
                        </wps:bodyPr>
                      </wps:wsp>
                      <wps:wsp>
                        <wps:cNvPr id="353" name="Rectangle 124"/>
                        <wps:cNvSpPr>
                          <a:spLocks noChangeArrowheads="1"/>
                        </wps:cNvSpPr>
                        <wps:spPr bwMode="auto">
                          <a:xfrm>
                            <a:off x="1140460" y="30066"/>
                            <a:ext cx="1052830" cy="307975"/>
                          </a:xfrm>
                          <a:prstGeom prst="rect">
                            <a:avLst/>
                          </a:prstGeom>
                          <a:noFill/>
                          <a:ln>
                            <a:noFill/>
                          </a:ln>
                          <a:effectLst/>
                        </wps:spPr>
                        <wps:txbx>
                          <w:txbxContent>
                            <w:p>
                              <w:pPr>
                                <w:jc w:val="center"/>
                                <w:rPr>
                                  <w:sz w:val="24"/>
                                </w:rPr>
                              </w:pPr>
                              <w:r>
                                <w:rPr>
                                  <w:sz w:val="24"/>
                                </w:rPr>
                                <w:t>外购板材</w:t>
                              </w:r>
                            </w:p>
                            <w:p>
                              <w:pPr>
                                <w:jc w:val="center"/>
                                <w:rPr>
                                  <w:sz w:val="24"/>
                                </w:rPr>
                              </w:pPr>
                            </w:p>
                          </w:txbxContent>
                        </wps:txbx>
                        <wps:bodyPr rot="0" vert="horz" wrap="square" lIns="91440" tIns="45720" rIns="91440" bIns="45720" anchor="t" anchorCtr="0" upright="1">
                          <a:noAutofit/>
                        </wps:bodyPr>
                      </wps:wsp>
                      <wps:wsp>
                        <wps:cNvPr id="354" name="Rectangle 125"/>
                        <wps:cNvSpPr>
                          <a:spLocks noChangeArrowheads="1"/>
                        </wps:cNvSpPr>
                        <wps:spPr bwMode="auto">
                          <a:xfrm>
                            <a:off x="1097280" y="2719284"/>
                            <a:ext cx="1138555"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二级逆流水洗</w:t>
                              </w:r>
                            </w:p>
                          </w:txbxContent>
                        </wps:txbx>
                        <wps:bodyPr rot="0" vert="horz" wrap="square" lIns="91440" tIns="45720" rIns="91440" bIns="45720" anchor="t" anchorCtr="0" upright="1">
                          <a:noAutofit/>
                        </wps:bodyPr>
                      </wps:wsp>
                      <wps:wsp>
                        <wps:cNvPr id="355" name="Rectangle 126"/>
                        <wps:cNvSpPr>
                          <a:spLocks noChangeArrowheads="1"/>
                        </wps:cNvSpPr>
                        <wps:spPr bwMode="auto">
                          <a:xfrm>
                            <a:off x="1140460" y="3346029"/>
                            <a:ext cx="1052830" cy="30861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酸洗</w:t>
                              </w:r>
                            </w:p>
                          </w:txbxContent>
                        </wps:txbx>
                        <wps:bodyPr rot="0" vert="horz" wrap="square" lIns="91440" tIns="45720" rIns="91440" bIns="45720" anchor="t" anchorCtr="0" upright="1">
                          <a:noAutofit/>
                        </wps:bodyPr>
                      </wps:wsp>
                      <wps:wsp>
                        <wps:cNvPr id="356" name="Rectangle 127"/>
                        <wps:cNvSpPr>
                          <a:spLocks noChangeArrowheads="1"/>
                        </wps:cNvSpPr>
                        <wps:spPr bwMode="auto">
                          <a:xfrm>
                            <a:off x="1079500" y="3951819"/>
                            <a:ext cx="1178560"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水洗</w:t>
                              </w:r>
                            </w:p>
                          </w:txbxContent>
                        </wps:txbx>
                        <wps:bodyPr rot="0" vert="horz" wrap="square" lIns="91440" tIns="45720" rIns="91440" bIns="45720" anchor="t" anchorCtr="0" upright="1">
                          <a:noAutofit/>
                        </wps:bodyPr>
                      </wps:wsp>
                      <wps:wsp>
                        <wps:cNvPr id="357" name="Rectangle 128"/>
                        <wps:cNvSpPr>
                          <a:spLocks noChangeArrowheads="1"/>
                        </wps:cNvSpPr>
                        <wps:spPr bwMode="auto">
                          <a:xfrm>
                            <a:off x="1140460" y="4596344"/>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酸活化</w:t>
                              </w:r>
                            </w:p>
                          </w:txbxContent>
                        </wps:txbx>
                        <wps:bodyPr rot="0" vert="horz" wrap="square" lIns="91440" tIns="45720" rIns="91440" bIns="45720" anchor="t" anchorCtr="0" upright="1">
                          <a:noAutofit/>
                        </wps:bodyPr>
                      </wps:wsp>
                      <wps:wsp>
                        <wps:cNvPr id="358" name="Rectangle 129"/>
                        <wps:cNvSpPr>
                          <a:spLocks noChangeArrowheads="1"/>
                        </wps:cNvSpPr>
                        <wps:spPr bwMode="auto">
                          <a:xfrm>
                            <a:off x="1140460" y="5228804"/>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水洗</w:t>
                              </w:r>
                            </w:p>
                          </w:txbxContent>
                        </wps:txbx>
                        <wps:bodyPr rot="0" vert="horz" wrap="square" lIns="91440" tIns="45720" rIns="91440" bIns="45720" anchor="t" anchorCtr="0" upright="1">
                          <a:noAutofit/>
                        </wps:bodyPr>
                      </wps:wsp>
                      <wps:wsp>
                        <wps:cNvPr id="359" name="Rectangle 130"/>
                        <wps:cNvSpPr>
                          <a:spLocks noChangeArrowheads="1"/>
                        </wps:cNvSpPr>
                        <wps:spPr bwMode="auto">
                          <a:xfrm>
                            <a:off x="917575" y="6459434"/>
                            <a:ext cx="1488440"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三步纯水回收水洗</w:t>
                              </w:r>
                            </w:p>
                          </w:txbxContent>
                        </wps:txbx>
                        <wps:bodyPr rot="0" vert="horz" wrap="square" lIns="91440" tIns="45720" rIns="91440" bIns="45720" anchor="t" anchorCtr="0" upright="1">
                          <a:noAutofit/>
                        </wps:bodyPr>
                      </wps:wsp>
                      <wps:wsp>
                        <wps:cNvPr id="360" name="Rectangle 131"/>
                        <wps:cNvSpPr>
                          <a:spLocks noChangeArrowheads="1"/>
                        </wps:cNvSpPr>
                        <wps:spPr bwMode="auto">
                          <a:xfrm>
                            <a:off x="1140460" y="5836499"/>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镀锌</w:t>
                              </w:r>
                            </w:p>
                          </w:txbxContent>
                        </wps:txbx>
                        <wps:bodyPr rot="0" vert="horz" wrap="square" lIns="91440" tIns="45720" rIns="91440" bIns="45720" anchor="t" anchorCtr="0" upright="1">
                          <a:noAutofit/>
                        </wps:bodyPr>
                      </wps:wsp>
                      <wps:wsp>
                        <wps:cNvPr id="361" name="Rectangle 132"/>
                        <wps:cNvSpPr>
                          <a:spLocks noChangeArrowheads="1"/>
                        </wps:cNvSpPr>
                        <wps:spPr bwMode="auto">
                          <a:xfrm>
                            <a:off x="1140460" y="7132534"/>
                            <a:ext cx="1052830" cy="307975"/>
                          </a:xfrm>
                          <a:prstGeom prst="rect">
                            <a:avLst/>
                          </a:prstGeom>
                          <a:solidFill>
                            <a:srgbClr val="FFFFFF"/>
                          </a:solidFill>
                          <a:ln w="9525">
                            <a:solidFill>
                              <a:srgbClr val="000000"/>
                            </a:solidFill>
                            <a:miter lim="800000"/>
                          </a:ln>
                          <a:effectLst/>
                        </wps:spPr>
                        <wps:txbx>
                          <w:txbxContent>
                            <w:p>
                              <w:pPr>
                                <w:jc w:val="center"/>
                                <w:rPr>
                                  <w:sz w:val="24"/>
                                </w:rPr>
                              </w:pPr>
                              <w:r>
                                <w:rPr>
                                  <w:sz w:val="24"/>
                                </w:rPr>
                                <w:t>出光</w:t>
                              </w:r>
                            </w:p>
                          </w:txbxContent>
                        </wps:txbx>
                        <wps:bodyPr rot="0" vert="horz" wrap="square" lIns="91440" tIns="45720" rIns="91440" bIns="45720" anchor="t" anchorCtr="0" upright="1">
                          <a:noAutofit/>
                        </wps:bodyPr>
                      </wps:wsp>
                      <wps:wsp>
                        <wps:cNvPr id="362" name="Rectangle 133"/>
                        <wps:cNvSpPr>
                          <a:spLocks noChangeArrowheads="1"/>
                        </wps:cNvSpPr>
                        <wps:spPr bwMode="auto">
                          <a:xfrm>
                            <a:off x="3617595" y="2091904"/>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水洗</w:t>
                              </w:r>
                            </w:p>
                          </w:txbxContent>
                        </wps:txbx>
                        <wps:bodyPr rot="0" vert="horz" wrap="square" lIns="91440" tIns="45720" rIns="91440" bIns="45720" anchor="t" anchorCtr="0" upright="1">
                          <a:noAutofit/>
                        </wps:bodyPr>
                      </wps:wsp>
                      <wps:wsp>
                        <wps:cNvPr id="363" name="Rectangle 134"/>
                        <wps:cNvSpPr>
                          <a:spLocks noChangeArrowheads="1"/>
                        </wps:cNvSpPr>
                        <wps:spPr bwMode="auto">
                          <a:xfrm>
                            <a:off x="3573145" y="3603204"/>
                            <a:ext cx="1138555"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三级逆流水洗</w:t>
                              </w:r>
                            </w:p>
                          </w:txbxContent>
                        </wps:txbx>
                        <wps:bodyPr rot="0" vert="horz" wrap="square" lIns="91440" tIns="45720" rIns="91440" bIns="45720" anchor="t" anchorCtr="0" upright="1">
                          <a:noAutofit/>
                        </wps:bodyPr>
                      </wps:wsp>
                      <wps:wsp>
                        <wps:cNvPr id="364" name="Rectangle 135"/>
                        <wps:cNvSpPr>
                          <a:spLocks noChangeArrowheads="1"/>
                        </wps:cNvSpPr>
                        <wps:spPr bwMode="auto">
                          <a:xfrm>
                            <a:off x="3617595" y="2718014"/>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钝化</w:t>
                              </w:r>
                            </w:p>
                          </w:txbxContent>
                        </wps:txbx>
                        <wps:bodyPr rot="0" vert="horz" wrap="square" lIns="91440" tIns="45720" rIns="91440" bIns="45720" anchor="t" anchorCtr="0" upright="1">
                          <a:noAutofit/>
                        </wps:bodyPr>
                      </wps:wsp>
                      <wps:wsp>
                        <wps:cNvPr id="365" name="Rectangle 137"/>
                        <wps:cNvSpPr>
                          <a:spLocks noChangeArrowheads="1"/>
                        </wps:cNvSpPr>
                        <wps:spPr bwMode="auto">
                          <a:xfrm>
                            <a:off x="3618865" y="4570309"/>
                            <a:ext cx="1052830" cy="30861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纯水漂洗</w:t>
                              </w:r>
                            </w:p>
                          </w:txbxContent>
                        </wps:txbx>
                        <wps:bodyPr rot="0" vert="horz" wrap="square" lIns="91440" tIns="45720" rIns="91440" bIns="45720" anchor="t" anchorCtr="0" upright="1">
                          <a:noAutofit/>
                        </wps:bodyPr>
                      </wps:wsp>
                      <wps:wsp>
                        <wps:cNvPr id="366" name="Rectangle 138"/>
                        <wps:cNvSpPr>
                          <a:spLocks noChangeArrowheads="1"/>
                        </wps:cNvSpPr>
                        <wps:spPr bwMode="auto">
                          <a:xfrm>
                            <a:off x="3623310" y="5232614"/>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封闭</w:t>
                              </w:r>
                            </w:p>
                          </w:txbxContent>
                        </wps:txbx>
                        <wps:bodyPr rot="0" vert="horz" wrap="square" lIns="91440" tIns="45720" rIns="91440" bIns="45720" anchor="t" anchorCtr="0" upright="1">
                          <a:noAutofit/>
                        </wps:bodyPr>
                      </wps:wsp>
                      <wps:wsp>
                        <wps:cNvPr id="367" name="Rectangle 139"/>
                        <wps:cNvSpPr>
                          <a:spLocks noChangeArrowheads="1"/>
                        </wps:cNvSpPr>
                        <wps:spPr bwMode="auto">
                          <a:xfrm>
                            <a:off x="3401695" y="5868249"/>
                            <a:ext cx="1488440" cy="307340"/>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纯水二级逆流水洗</w:t>
                              </w:r>
                            </w:p>
                          </w:txbxContent>
                        </wps:txbx>
                        <wps:bodyPr rot="0" vert="horz" wrap="square" lIns="91440" tIns="45720" rIns="91440" bIns="45720" anchor="t" anchorCtr="0" upright="1">
                          <a:noAutofit/>
                        </wps:bodyPr>
                      </wps:wsp>
                      <wps:wsp>
                        <wps:cNvPr id="368" name="Rectangle 140"/>
                        <wps:cNvSpPr>
                          <a:spLocks noChangeArrowheads="1"/>
                        </wps:cNvSpPr>
                        <wps:spPr bwMode="auto">
                          <a:xfrm>
                            <a:off x="3620135" y="6488009"/>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烘干</w:t>
                              </w:r>
                            </w:p>
                          </w:txbxContent>
                        </wps:txbx>
                        <wps:bodyPr rot="0" vert="horz" wrap="square" lIns="91440" tIns="45720" rIns="91440" bIns="45720" anchor="t" anchorCtr="0" upright="1">
                          <a:noAutofit/>
                        </wps:bodyPr>
                      </wps:wsp>
                      <wps:wsp>
                        <wps:cNvPr id="369" name="Rectangle 141"/>
                        <wps:cNvSpPr>
                          <a:spLocks noChangeArrowheads="1"/>
                        </wps:cNvSpPr>
                        <wps:spPr bwMode="auto">
                          <a:xfrm>
                            <a:off x="3620135" y="7097609"/>
                            <a:ext cx="1052830" cy="308610"/>
                          </a:xfrm>
                          <a:prstGeom prst="rect">
                            <a:avLst/>
                          </a:prstGeom>
                          <a:solidFill>
                            <a:srgbClr val="FFFFFF"/>
                          </a:solidFill>
                          <a:ln w="9525">
                            <a:solidFill>
                              <a:srgbClr val="000000"/>
                            </a:solidFill>
                            <a:miter lim="800000"/>
                          </a:ln>
                          <a:effectLst/>
                        </wps:spPr>
                        <wps:txbx>
                          <w:txbxContent>
                            <w:p>
                              <w:pPr>
                                <w:jc w:val="center"/>
                                <w:rPr>
                                  <w:sz w:val="24"/>
                                </w:rPr>
                              </w:pPr>
                              <w:r>
                                <w:rPr>
                                  <w:sz w:val="24"/>
                                </w:rPr>
                                <w:t>检验</w:t>
                              </w:r>
                            </w:p>
                          </w:txbxContent>
                        </wps:txbx>
                        <wps:bodyPr rot="0" vert="horz" wrap="square" lIns="91440" tIns="45720" rIns="91440" bIns="45720" anchor="t" anchorCtr="0" upright="1">
                          <a:noAutofit/>
                        </wps:bodyPr>
                      </wps:wsp>
                      <wps:wsp>
                        <wps:cNvPr id="370" name="AutoShape 142"/>
                        <wps:cNvCnPr>
                          <a:cxnSpLocks noChangeShapeType="1"/>
                          <a:stCxn id="1581" idx="2"/>
                          <a:endCxn id="1579" idx="0"/>
                        </wps:cNvCnPr>
                        <wps:spPr bwMode="auto">
                          <a:xfrm>
                            <a:off x="1666875" y="338041"/>
                            <a:ext cx="0" cy="1148073"/>
                          </a:xfrm>
                          <a:prstGeom prst="straightConnector1">
                            <a:avLst/>
                          </a:prstGeom>
                          <a:noFill/>
                          <a:ln w="9525">
                            <a:solidFill>
                              <a:srgbClr val="000000"/>
                            </a:solidFill>
                            <a:round/>
                            <a:tailEnd type="triangle" w="med" len="med"/>
                          </a:ln>
                        </wps:spPr>
                        <wps:bodyPr/>
                      </wps:wsp>
                      <wps:wsp>
                        <wps:cNvPr id="371" name="AutoShape 143"/>
                        <wps:cNvCnPr>
                          <a:cxnSpLocks noChangeShapeType="1"/>
                          <a:stCxn id="1579" idx="2"/>
                          <a:endCxn id="1580" idx="0"/>
                        </wps:cNvCnPr>
                        <wps:spPr bwMode="auto">
                          <a:xfrm>
                            <a:off x="1666875" y="1794089"/>
                            <a:ext cx="635" cy="297815"/>
                          </a:xfrm>
                          <a:prstGeom prst="straightConnector1">
                            <a:avLst/>
                          </a:prstGeom>
                          <a:noFill/>
                          <a:ln w="9525">
                            <a:solidFill>
                              <a:srgbClr val="000000"/>
                            </a:solidFill>
                            <a:round/>
                            <a:tailEnd type="triangle" w="med" len="med"/>
                          </a:ln>
                        </wps:spPr>
                        <wps:bodyPr/>
                      </wps:wsp>
                      <wps:wsp>
                        <wps:cNvPr id="372" name="AutoShape 144"/>
                        <wps:cNvCnPr>
                          <a:cxnSpLocks noChangeShapeType="1"/>
                          <a:stCxn id="1580" idx="2"/>
                          <a:endCxn id="1582" idx="0"/>
                        </wps:cNvCnPr>
                        <wps:spPr bwMode="auto">
                          <a:xfrm>
                            <a:off x="1666875" y="2400514"/>
                            <a:ext cx="635" cy="318770"/>
                          </a:xfrm>
                          <a:prstGeom prst="straightConnector1">
                            <a:avLst/>
                          </a:prstGeom>
                          <a:noFill/>
                          <a:ln w="9525">
                            <a:solidFill>
                              <a:srgbClr val="000000"/>
                            </a:solidFill>
                            <a:round/>
                            <a:tailEnd type="triangle" w="med" len="med"/>
                          </a:ln>
                        </wps:spPr>
                        <wps:bodyPr/>
                      </wps:wsp>
                      <wps:wsp>
                        <wps:cNvPr id="373" name="AutoShape 145"/>
                        <wps:cNvCnPr>
                          <a:cxnSpLocks noChangeShapeType="1"/>
                          <a:stCxn id="1582" idx="2"/>
                          <a:endCxn id="1583" idx="0"/>
                        </wps:cNvCnPr>
                        <wps:spPr bwMode="auto">
                          <a:xfrm>
                            <a:off x="1666875" y="3026624"/>
                            <a:ext cx="635" cy="319405"/>
                          </a:xfrm>
                          <a:prstGeom prst="straightConnector1">
                            <a:avLst/>
                          </a:prstGeom>
                          <a:noFill/>
                          <a:ln w="9525">
                            <a:solidFill>
                              <a:srgbClr val="000000"/>
                            </a:solidFill>
                            <a:round/>
                            <a:tailEnd type="triangle" w="med" len="med"/>
                          </a:ln>
                        </wps:spPr>
                        <wps:bodyPr/>
                      </wps:wsp>
                      <wps:wsp>
                        <wps:cNvPr id="374" name="AutoShape 146"/>
                        <wps:cNvCnPr>
                          <a:cxnSpLocks noChangeShapeType="1"/>
                          <a:stCxn id="1583" idx="2"/>
                          <a:endCxn id="1584" idx="0"/>
                        </wps:cNvCnPr>
                        <wps:spPr bwMode="auto">
                          <a:xfrm>
                            <a:off x="1666875" y="3654639"/>
                            <a:ext cx="1905" cy="297180"/>
                          </a:xfrm>
                          <a:prstGeom prst="straightConnector1">
                            <a:avLst/>
                          </a:prstGeom>
                          <a:noFill/>
                          <a:ln w="9525">
                            <a:solidFill>
                              <a:srgbClr val="000000"/>
                            </a:solidFill>
                            <a:round/>
                            <a:tailEnd type="triangle" w="med" len="med"/>
                          </a:ln>
                        </wps:spPr>
                        <wps:bodyPr/>
                      </wps:wsp>
                      <wps:wsp>
                        <wps:cNvPr id="375" name="AutoShape 147"/>
                        <wps:cNvCnPr>
                          <a:cxnSpLocks noChangeShapeType="1"/>
                          <a:stCxn id="1584" idx="2"/>
                          <a:endCxn id="1585" idx="0"/>
                        </wps:cNvCnPr>
                        <wps:spPr bwMode="auto">
                          <a:xfrm flipH="1">
                            <a:off x="1666875" y="4259159"/>
                            <a:ext cx="1905" cy="337185"/>
                          </a:xfrm>
                          <a:prstGeom prst="straightConnector1">
                            <a:avLst/>
                          </a:prstGeom>
                          <a:noFill/>
                          <a:ln w="9525">
                            <a:solidFill>
                              <a:srgbClr val="000000"/>
                            </a:solidFill>
                            <a:round/>
                            <a:tailEnd type="triangle" w="med" len="med"/>
                          </a:ln>
                        </wps:spPr>
                        <wps:bodyPr/>
                      </wps:wsp>
                      <wps:wsp>
                        <wps:cNvPr id="376" name="AutoShape 148"/>
                        <wps:cNvCnPr>
                          <a:cxnSpLocks noChangeShapeType="1"/>
                          <a:stCxn id="1585" idx="2"/>
                          <a:endCxn id="1586" idx="0"/>
                        </wps:cNvCnPr>
                        <wps:spPr bwMode="auto">
                          <a:xfrm>
                            <a:off x="1666875" y="4904954"/>
                            <a:ext cx="635" cy="323850"/>
                          </a:xfrm>
                          <a:prstGeom prst="straightConnector1">
                            <a:avLst/>
                          </a:prstGeom>
                          <a:noFill/>
                          <a:ln w="9525">
                            <a:solidFill>
                              <a:srgbClr val="000000"/>
                            </a:solidFill>
                            <a:round/>
                            <a:tailEnd type="triangle" w="med" len="med"/>
                          </a:ln>
                        </wps:spPr>
                        <wps:bodyPr/>
                      </wps:wsp>
                      <wps:wsp>
                        <wps:cNvPr id="377" name="AutoShape 149"/>
                        <wps:cNvCnPr>
                          <a:cxnSpLocks noChangeShapeType="1"/>
                          <a:stCxn id="1586" idx="2"/>
                          <a:endCxn id="1588" idx="0"/>
                        </wps:cNvCnPr>
                        <wps:spPr bwMode="auto">
                          <a:xfrm>
                            <a:off x="1666875" y="5537414"/>
                            <a:ext cx="635" cy="299085"/>
                          </a:xfrm>
                          <a:prstGeom prst="straightConnector1">
                            <a:avLst/>
                          </a:prstGeom>
                          <a:noFill/>
                          <a:ln w="9525">
                            <a:solidFill>
                              <a:srgbClr val="000000"/>
                            </a:solidFill>
                            <a:round/>
                            <a:tailEnd type="triangle" w="med" len="med"/>
                          </a:ln>
                        </wps:spPr>
                        <wps:bodyPr/>
                      </wps:wsp>
                      <wps:wsp>
                        <wps:cNvPr id="378" name="AutoShape 150"/>
                        <wps:cNvCnPr>
                          <a:cxnSpLocks noChangeShapeType="1"/>
                          <a:stCxn id="1588" idx="2"/>
                          <a:endCxn id="1587" idx="0"/>
                        </wps:cNvCnPr>
                        <wps:spPr bwMode="auto">
                          <a:xfrm flipH="1">
                            <a:off x="1661795" y="6145109"/>
                            <a:ext cx="5080" cy="314325"/>
                          </a:xfrm>
                          <a:prstGeom prst="straightConnector1">
                            <a:avLst/>
                          </a:prstGeom>
                          <a:noFill/>
                          <a:ln>
                            <a:noFill/>
                          </a:ln>
                        </wps:spPr>
                        <wps:bodyPr/>
                      </wps:wsp>
                      <wps:wsp>
                        <wps:cNvPr id="379" name="AutoShape 151"/>
                        <wps:cNvCnPr>
                          <a:cxnSpLocks noChangeShapeType="1"/>
                          <a:stCxn id="1588" idx="2"/>
                          <a:endCxn id="1587" idx="0"/>
                        </wps:cNvCnPr>
                        <wps:spPr bwMode="auto">
                          <a:xfrm flipH="1">
                            <a:off x="1661795" y="6145109"/>
                            <a:ext cx="5080" cy="314325"/>
                          </a:xfrm>
                          <a:prstGeom prst="straightConnector1">
                            <a:avLst/>
                          </a:prstGeom>
                          <a:noFill/>
                          <a:ln w="9525">
                            <a:solidFill>
                              <a:srgbClr val="000000"/>
                            </a:solidFill>
                            <a:round/>
                            <a:tailEnd type="triangle" w="med" len="med"/>
                          </a:ln>
                        </wps:spPr>
                        <wps:bodyPr/>
                      </wps:wsp>
                      <wps:wsp>
                        <wps:cNvPr id="380" name="AutoShape 152"/>
                        <wps:cNvCnPr>
                          <a:cxnSpLocks noChangeShapeType="1"/>
                          <a:stCxn id="1589" idx="2"/>
                          <a:endCxn id="1590" idx="0"/>
                        </wps:cNvCnPr>
                        <wps:spPr bwMode="auto">
                          <a:xfrm rot="5400000" flipH="1" flipV="1">
                            <a:off x="231140" y="3527639"/>
                            <a:ext cx="5348605" cy="2477135"/>
                          </a:xfrm>
                          <a:prstGeom prst="bentConnector5">
                            <a:avLst>
                              <a:gd name="adj1" fmla="val -4264"/>
                              <a:gd name="adj2" fmla="val 50014"/>
                              <a:gd name="adj3" fmla="val 104273"/>
                            </a:avLst>
                          </a:prstGeom>
                          <a:noFill/>
                          <a:ln w="9525">
                            <a:solidFill>
                              <a:srgbClr val="000000"/>
                            </a:solidFill>
                            <a:miter lim="800000"/>
                            <a:tailEnd type="triangle" w="med" len="med"/>
                          </a:ln>
                        </wps:spPr>
                        <wps:bodyPr/>
                      </wps:wsp>
                      <wps:wsp>
                        <wps:cNvPr id="381" name="AutoShape 153"/>
                        <wps:cNvCnPr>
                          <a:cxnSpLocks noChangeShapeType="1"/>
                          <a:stCxn id="1590" idx="2"/>
                          <a:endCxn id="1592" idx="0"/>
                        </wps:cNvCnPr>
                        <wps:spPr bwMode="auto">
                          <a:xfrm>
                            <a:off x="4144010" y="2400514"/>
                            <a:ext cx="635" cy="317500"/>
                          </a:xfrm>
                          <a:prstGeom prst="straightConnector1">
                            <a:avLst/>
                          </a:prstGeom>
                          <a:noFill/>
                          <a:ln w="9525">
                            <a:solidFill>
                              <a:srgbClr val="000000"/>
                            </a:solidFill>
                            <a:round/>
                            <a:tailEnd type="triangle" w="med" len="med"/>
                          </a:ln>
                        </wps:spPr>
                        <wps:bodyPr/>
                      </wps:wsp>
                      <wps:wsp>
                        <wps:cNvPr id="382" name="AutoShape 154"/>
                        <wps:cNvCnPr>
                          <a:cxnSpLocks noChangeShapeType="1"/>
                          <a:stCxn id="1592" idx="2"/>
                          <a:endCxn id="1591" idx="0"/>
                        </wps:cNvCnPr>
                        <wps:spPr bwMode="auto">
                          <a:xfrm flipH="1">
                            <a:off x="4142423" y="3026624"/>
                            <a:ext cx="1587" cy="576580"/>
                          </a:xfrm>
                          <a:prstGeom prst="straightConnector1">
                            <a:avLst/>
                          </a:prstGeom>
                          <a:noFill/>
                          <a:ln w="9525">
                            <a:solidFill>
                              <a:srgbClr val="000000"/>
                            </a:solidFill>
                            <a:round/>
                            <a:tailEnd type="triangle" w="med" len="med"/>
                          </a:ln>
                        </wps:spPr>
                        <wps:bodyPr/>
                      </wps:wsp>
                      <wps:wsp>
                        <wps:cNvPr id="383" name="AutoShape 155"/>
                        <wps:cNvCnPr>
                          <a:cxnSpLocks noChangeShapeType="1"/>
                          <a:stCxn id="1591" idx="2"/>
                          <a:endCxn id="1594" idx="0"/>
                        </wps:cNvCnPr>
                        <wps:spPr bwMode="auto">
                          <a:xfrm>
                            <a:off x="4142423" y="3910544"/>
                            <a:ext cx="2857" cy="659765"/>
                          </a:xfrm>
                          <a:prstGeom prst="straightConnector1">
                            <a:avLst/>
                          </a:prstGeom>
                          <a:noFill/>
                          <a:ln w="9525">
                            <a:solidFill>
                              <a:srgbClr val="000000"/>
                            </a:solidFill>
                            <a:round/>
                            <a:tailEnd type="triangle" w="med" len="med"/>
                          </a:ln>
                        </wps:spPr>
                        <wps:bodyPr/>
                      </wps:wsp>
                      <wps:wsp>
                        <wps:cNvPr id="384" name="AutoShape 157"/>
                        <wps:cNvCnPr>
                          <a:cxnSpLocks noChangeShapeType="1"/>
                          <a:stCxn id="1594" idx="2"/>
                          <a:endCxn id="1595" idx="0"/>
                        </wps:cNvCnPr>
                        <wps:spPr bwMode="auto">
                          <a:xfrm>
                            <a:off x="4145280" y="4878919"/>
                            <a:ext cx="4445" cy="353695"/>
                          </a:xfrm>
                          <a:prstGeom prst="straightConnector1">
                            <a:avLst/>
                          </a:prstGeom>
                          <a:noFill/>
                          <a:ln w="9525">
                            <a:solidFill>
                              <a:srgbClr val="000000"/>
                            </a:solidFill>
                            <a:round/>
                            <a:tailEnd type="triangle" w="med" len="med"/>
                          </a:ln>
                        </wps:spPr>
                        <wps:bodyPr/>
                      </wps:wsp>
                      <wps:wsp>
                        <wps:cNvPr id="385" name="AutoShape 158"/>
                        <wps:cNvCnPr>
                          <a:cxnSpLocks noChangeShapeType="1"/>
                          <a:stCxn id="1595" idx="2"/>
                          <a:endCxn id="1596" idx="0"/>
                        </wps:cNvCnPr>
                        <wps:spPr bwMode="auto">
                          <a:xfrm flipH="1">
                            <a:off x="4145915" y="5541224"/>
                            <a:ext cx="3810" cy="327025"/>
                          </a:xfrm>
                          <a:prstGeom prst="straightConnector1">
                            <a:avLst/>
                          </a:prstGeom>
                          <a:noFill/>
                          <a:ln w="9525">
                            <a:solidFill>
                              <a:srgbClr val="000000"/>
                            </a:solidFill>
                            <a:round/>
                            <a:tailEnd type="triangle" w="med" len="med"/>
                          </a:ln>
                        </wps:spPr>
                        <wps:bodyPr/>
                      </wps:wsp>
                      <wps:wsp>
                        <wps:cNvPr id="386" name="AutoShape 159"/>
                        <wps:cNvCnPr>
                          <a:cxnSpLocks noChangeShapeType="1"/>
                          <a:stCxn id="1596" idx="2"/>
                          <a:endCxn id="1598" idx="0"/>
                        </wps:cNvCnPr>
                        <wps:spPr bwMode="auto">
                          <a:xfrm>
                            <a:off x="4145915" y="6175589"/>
                            <a:ext cx="635" cy="312420"/>
                          </a:xfrm>
                          <a:prstGeom prst="straightConnector1">
                            <a:avLst/>
                          </a:prstGeom>
                          <a:noFill/>
                          <a:ln w="9525">
                            <a:solidFill>
                              <a:srgbClr val="000000"/>
                            </a:solidFill>
                            <a:round/>
                            <a:tailEnd type="triangle" w="med" len="med"/>
                          </a:ln>
                        </wps:spPr>
                        <wps:bodyPr/>
                      </wps:wsp>
                      <wps:wsp>
                        <wps:cNvPr id="387" name="AutoShape 160"/>
                        <wps:cNvCnPr>
                          <a:cxnSpLocks noChangeShapeType="1"/>
                          <a:stCxn id="1598" idx="2"/>
                          <a:endCxn id="1599" idx="0"/>
                        </wps:cNvCnPr>
                        <wps:spPr bwMode="auto">
                          <a:xfrm>
                            <a:off x="4146550" y="6796619"/>
                            <a:ext cx="635" cy="300990"/>
                          </a:xfrm>
                          <a:prstGeom prst="straightConnector1">
                            <a:avLst/>
                          </a:prstGeom>
                          <a:noFill/>
                          <a:ln w="9525">
                            <a:solidFill>
                              <a:srgbClr val="000000"/>
                            </a:solidFill>
                            <a:round/>
                            <a:tailEnd type="triangle" w="med" len="med"/>
                          </a:ln>
                        </wps:spPr>
                        <wps:bodyPr/>
                      </wps:wsp>
                      <wps:wsp>
                        <wps:cNvPr id="388" name="AutoShape 161"/>
                        <wps:cNvCnPr>
                          <a:cxnSpLocks noChangeShapeType="1"/>
                          <a:stCxn id="1599" idx="2"/>
                        </wps:cNvCnPr>
                        <wps:spPr bwMode="auto">
                          <a:xfrm>
                            <a:off x="4146550" y="7406219"/>
                            <a:ext cx="635" cy="215900"/>
                          </a:xfrm>
                          <a:prstGeom prst="straightConnector1">
                            <a:avLst/>
                          </a:prstGeom>
                          <a:noFill/>
                          <a:ln>
                            <a:noFill/>
                          </a:ln>
                        </wps:spPr>
                        <wps:bodyPr/>
                      </wps:wsp>
                      <wps:wsp>
                        <wps:cNvPr id="389" name="AutoShape 162"/>
                        <wps:cNvCnPr>
                          <a:cxnSpLocks noChangeShapeType="1"/>
                          <a:stCxn id="1599" idx="2"/>
                        </wps:cNvCnPr>
                        <wps:spPr bwMode="auto">
                          <a:xfrm>
                            <a:off x="4146550" y="7406219"/>
                            <a:ext cx="635" cy="213360"/>
                          </a:xfrm>
                          <a:prstGeom prst="straightConnector1">
                            <a:avLst/>
                          </a:prstGeom>
                          <a:noFill/>
                          <a:ln w="9525">
                            <a:solidFill>
                              <a:srgbClr val="000000"/>
                            </a:solidFill>
                            <a:round/>
                            <a:tailEnd type="triangle" w="med" len="med"/>
                          </a:ln>
                        </wps:spPr>
                        <wps:bodyPr/>
                      </wps:wsp>
                      <wps:wsp>
                        <wps:cNvPr id="390" name="Rectangle 163"/>
                        <wps:cNvSpPr>
                          <a:spLocks noChangeArrowheads="1"/>
                        </wps:cNvSpPr>
                        <wps:spPr bwMode="auto">
                          <a:xfrm>
                            <a:off x="3404235" y="7655774"/>
                            <a:ext cx="1478915" cy="308610"/>
                          </a:xfrm>
                          <a:prstGeom prst="rect">
                            <a:avLst/>
                          </a:prstGeom>
                          <a:noFill/>
                          <a:ln>
                            <a:noFill/>
                          </a:ln>
                          <a:effectLst/>
                        </wps:spPr>
                        <wps:txbx>
                          <w:txbxContent>
                            <w:p>
                              <w:pPr>
                                <w:jc w:val="center"/>
                                <w:rPr>
                                  <w:sz w:val="24"/>
                                </w:rPr>
                              </w:pPr>
                              <w:r>
                                <w:rPr>
                                  <w:sz w:val="24"/>
                                </w:rPr>
                                <w:t>包装</w:t>
                              </w:r>
                            </w:p>
                          </w:txbxContent>
                        </wps:txbx>
                        <wps:bodyPr rot="0" vert="horz" wrap="square" lIns="91440" tIns="45720" rIns="91440" bIns="45720" anchor="t" anchorCtr="0" upright="1">
                          <a:noAutofit/>
                        </wps:bodyPr>
                      </wps:wsp>
                      <wps:wsp>
                        <wps:cNvPr id="391" name="Rectangle 164"/>
                        <wps:cNvSpPr>
                          <a:spLocks noChangeArrowheads="1"/>
                        </wps:cNvSpPr>
                        <wps:spPr bwMode="auto">
                          <a:xfrm>
                            <a:off x="165726" y="1532040"/>
                            <a:ext cx="765810" cy="192811"/>
                          </a:xfrm>
                          <a:prstGeom prst="rect">
                            <a:avLst/>
                          </a:prstGeom>
                          <a:noFill/>
                          <a:ln>
                            <a:noFill/>
                          </a:ln>
                          <a:effectLst/>
                        </wps:spPr>
                        <wps:txbx>
                          <w:txbxContent>
                            <w:p>
                              <w:pPr>
                                <w:jc w:val="center"/>
                                <w:rPr>
                                  <w:sz w:val="18"/>
                                </w:rPr>
                              </w:pPr>
                              <w:r>
                                <w:rPr>
                                  <w:rFonts w:hint="eastAsia"/>
                                  <w:sz w:val="18"/>
                                </w:rPr>
                                <w:t xml:space="preserve">  焊接烟尘</w:t>
                              </w:r>
                            </w:p>
                          </w:txbxContent>
                        </wps:txbx>
                        <wps:bodyPr rot="0" vert="horz" wrap="square" lIns="0" tIns="0" rIns="0" bIns="0" anchor="t" anchorCtr="0" upright="1">
                          <a:noAutofit/>
                        </wps:bodyPr>
                      </wps:wsp>
                      <wps:wsp>
                        <wps:cNvPr id="392" name="AutoShape 165"/>
                        <wps:cNvCnPr>
                          <a:cxnSpLocks noChangeShapeType="1"/>
                          <a:stCxn id="1579" idx="1"/>
                          <a:endCxn id="2390" idx="3"/>
                        </wps:cNvCnPr>
                        <wps:spPr bwMode="auto">
                          <a:xfrm flipH="1" flipV="1">
                            <a:off x="931536" y="1628446"/>
                            <a:ext cx="208924" cy="11656"/>
                          </a:xfrm>
                          <a:prstGeom prst="straightConnector1">
                            <a:avLst/>
                          </a:prstGeom>
                          <a:noFill/>
                          <a:ln w="9525">
                            <a:solidFill>
                              <a:srgbClr val="000000"/>
                            </a:solidFill>
                            <a:prstDash val="dash"/>
                            <a:round/>
                            <a:tailEnd type="triangle" w="med" len="med"/>
                          </a:ln>
                        </wps:spPr>
                        <wps:bodyPr/>
                      </wps:wsp>
                      <wps:wsp>
                        <wps:cNvPr id="393" name="Rectangle 166"/>
                        <wps:cNvSpPr>
                          <a:spLocks noChangeArrowheads="1"/>
                        </wps:cNvSpPr>
                        <wps:spPr bwMode="auto">
                          <a:xfrm>
                            <a:off x="333375" y="2140799"/>
                            <a:ext cx="584200" cy="149860"/>
                          </a:xfrm>
                          <a:prstGeom prst="rect">
                            <a:avLst/>
                          </a:prstGeom>
                          <a:noFill/>
                          <a:ln>
                            <a:noFill/>
                          </a:ln>
                          <a:effectLst/>
                        </wps:spPr>
                        <wps:txbx>
                          <w:txbxContent>
                            <w:p>
                              <w:pPr>
                                <w:jc w:val="center"/>
                                <w:rPr>
                                  <w:sz w:val="18"/>
                                </w:rPr>
                              </w:pPr>
                              <w:r>
                                <w:rPr>
                                  <w:sz w:val="18"/>
                                </w:rPr>
                                <w:t>含油废水</w:t>
                              </w:r>
                            </w:p>
                          </w:txbxContent>
                        </wps:txbx>
                        <wps:bodyPr rot="0" vert="horz" wrap="square" lIns="0" tIns="0" rIns="0" bIns="0" anchor="t" anchorCtr="0" upright="1">
                          <a:noAutofit/>
                        </wps:bodyPr>
                      </wps:wsp>
                      <wps:wsp>
                        <wps:cNvPr id="394" name="AutoShape 167"/>
                        <wps:cNvCnPr>
                          <a:cxnSpLocks noChangeShapeType="1"/>
                        </wps:cNvCnPr>
                        <wps:spPr bwMode="auto">
                          <a:xfrm flipH="1" flipV="1">
                            <a:off x="917575" y="2215729"/>
                            <a:ext cx="208915" cy="3810"/>
                          </a:xfrm>
                          <a:prstGeom prst="straightConnector1">
                            <a:avLst/>
                          </a:prstGeom>
                          <a:noFill/>
                          <a:ln w="9525">
                            <a:solidFill>
                              <a:srgbClr val="000000"/>
                            </a:solidFill>
                            <a:prstDash val="dash"/>
                            <a:round/>
                            <a:tailEnd type="triangle" w="med" len="med"/>
                          </a:ln>
                        </wps:spPr>
                        <wps:bodyPr/>
                      </wps:wsp>
                      <wps:wsp>
                        <wps:cNvPr id="395" name="Rectangle 168"/>
                        <wps:cNvSpPr>
                          <a:spLocks noChangeArrowheads="1"/>
                        </wps:cNvSpPr>
                        <wps:spPr bwMode="auto">
                          <a:xfrm>
                            <a:off x="165735" y="2792309"/>
                            <a:ext cx="722630" cy="149860"/>
                          </a:xfrm>
                          <a:prstGeom prst="rect">
                            <a:avLst/>
                          </a:prstGeom>
                          <a:noFill/>
                          <a:ln>
                            <a:noFill/>
                          </a:ln>
                          <a:effectLst/>
                        </wps:spPr>
                        <wps:txbx>
                          <w:txbxContent>
                            <w:p>
                              <w:pPr>
                                <w:jc w:val="center"/>
                                <w:rPr>
                                  <w:sz w:val="18"/>
                                </w:rPr>
                              </w:pPr>
                              <w:r>
                                <w:rPr>
                                  <w:sz w:val="18"/>
                                </w:rPr>
                                <w:t>含油废水</w:t>
                              </w:r>
                            </w:p>
                          </w:txbxContent>
                        </wps:txbx>
                        <wps:bodyPr rot="0" vert="horz" wrap="square" lIns="0" tIns="0" rIns="0" bIns="0" anchor="t" anchorCtr="0" upright="1">
                          <a:noAutofit/>
                        </wps:bodyPr>
                      </wps:wsp>
                      <wps:wsp>
                        <wps:cNvPr id="396" name="AutoShape 169"/>
                        <wps:cNvCnPr>
                          <a:cxnSpLocks noChangeShapeType="1"/>
                        </wps:cNvCnPr>
                        <wps:spPr bwMode="auto">
                          <a:xfrm flipH="1" flipV="1">
                            <a:off x="888365" y="2867239"/>
                            <a:ext cx="208915" cy="3810"/>
                          </a:xfrm>
                          <a:prstGeom prst="straightConnector1">
                            <a:avLst/>
                          </a:prstGeom>
                          <a:noFill/>
                          <a:ln w="9525">
                            <a:solidFill>
                              <a:srgbClr val="000000"/>
                            </a:solidFill>
                            <a:prstDash val="dash"/>
                            <a:round/>
                            <a:tailEnd type="triangle" w="med" len="med"/>
                          </a:ln>
                        </wps:spPr>
                        <wps:bodyPr/>
                      </wps:wsp>
                      <wps:wsp>
                        <wps:cNvPr id="397" name="Rectangle 170"/>
                        <wps:cNvSpPr>
                          <a:spLocks noChangeArrowheads="1"/>
                        </wps:cNvSpPr>
                        <wps:spPr bwMode="auto">
                          <a:xfrm>
                            <a:off x="2454275" y="2077934"/>
                            <a:ext cx="363220" cy="334645"/>
                          </a:xfrm>
                          <a:prstGeom prst="rect">
                            <a:avLst/>
                          </a:prstGeom>
                          <a:noFill/>
                          <a:ln>
                            <a:noFill/>
                          </a:ln>
                          <a:effectLst/>
                        </wps:spPr>
                        <wps:txbx>
                          <w:txbxContent>
                            <w:p>
                              <w:pPr>
                                <w:jc w:val="center"/>
                                <w:rPr>
                                  <w:sz w:val="18"/>
                                </w:rPr>
                              </w:pPr>
                              <w:r>
                                <w:rPr>
                                  <w:sz w:val="18"/>
                                </w:rPr>
                                <w:t>碱性脱脂剂</w:t>
                              </w:r>
                            </w:p>
                          </w:txbxContent>
                        </wps:txbx>
                        <wps:bodyPr rot="0" vert="horz" wrap="square" lIns="0" tIns="0" rIns="0" bIns="0" anchor="t" anchorCtr="0" upright="1">
                          <a:noAutofit/>
                        </wps:bodyPr>
                      </wps:wsp>
                      <wps:wsp>
                        <wps:cNvPr id="398" name="AutoShape 171"/>
                        <wps:cNvCnPr>
                          <a:cxnSpLocks noChangeShapeType="1"/>
                          <a:stCxn id="2396" idx="1"/>
                          <a:endCxn id="1580" idx="3"/>
                        </wps:cNvCnPr>
                        <wps:spPr bwMode="auto">
                          <a:xfrm flipH="1">
                            <a:off x="2193290" y="2245574"/>
                            <a:ext cx="260985" cy="635"/>
                          </a:xfrm>
                          <a:prstGeom prst="straightConnector1">
                            <a:avLst/>
                          </a:prstGeom>
                          <a:noFill/>
                          <a:ln w="9525">
                            <a:solidFill>
                              <a:srgbClr val="000000"/>
                            </a:solidFill>
                            <a:round/>
                            <a:tailEnd type="triangle" w="med" len="med"/>
                          </a:ln>
                        </wps:spPr>
                        <wps:bodyPr/>
                      </wps:wsp>
                      <wps:wsp>
                        <wps:cNvPr id="399" name="Rectangle 172"/>
                        <wps:cNvSpPr>
                          <a:spLocks noChangeArrowheads="1"/>
                        </wps:cNvSpPr>
                        <wps:spPr bwMode="auto">
                          <a:xfrm>
                            <a:off x="2454275" y="3321899"/>
                            <a:ext cx="469265" cy="334645"/>
                          </a:xfrm>
                          <a:prstGeom prst="rect">
                            <a:avLst/>
                          </a:prstGeom>
                          <a:noFill/>
                          <a:ln>
                            <a:noFill/>
                          </a:ln>
                          <a:effectLst/>
                        </wps:spPr>
                        <wps:txbx>
                          <w:txbxContent>
                            <w:p>
                              <w:pPr>
                                <w:jc w:val="center"/>
                                <w:rPr>
                                  <w:sz w:val="18"/>
                                </w:rPr>
                              </w:pPr>
                              <w:r>
                                <w:rPr>
                                  <w:rFonts w:hint="eastAsia"/>
                                  <w:sz w:val="18"/>
                                </w:rPr>
                                <w:t>5%~8%</w:t>
                              </w:r>
                            </w:p>
                            <w:p>
                              <w:pPr>
                                <w:jc w:val="center"/>
                                <w:rPr>
                                  <w:sz w:val="18"/>
                                </w:rPr>
                              </w:pPr>
                              <w:r>
                                <w:rPr>
                                  <w:rFonts w:hint="eastAsia"/>
                                  <w:sz w:val="18"/>
                                </w:rPr>
                                <w:t>盐酸</w:t>
                              </w:r>
                            </w:p>
                          </w:txbxContent>
                        </wps:txbx>
                        <wps:bodyPr rot="0" vert="horz" wrap="square" lIns="0" tIns="0" rIns="0" bIns="0" anchor="t" anchorCtr="0" upright="1">
                          <a:noAutofit/>
                        </wps:bodyPr>
                      </wps:wsp>
                      <wps:wsp>
                        <wps:cNvPr id="400" name="AutoShape 173"/>
                        <wps:cNvCnPr>
                          <a:cxnSpLocks noChangeShapeType="1"/>
                          <a:stCxn id="2398" idx="1"/>
                        </wps:cNvCnPr>
                        <wps:spPr bwMode="auto">
                          <a:xfrm flipH="1">
                            <a:off x="2193290" y="3489539"/>
                            <a:ext cx="260985" cy="635"/>
                          </a:xfrm>
                          <a:prstGeom prst="straightConnector1">
                            <a:avLst/>
                          </a:prstGeom>
                          <a:noFill/>
                          <a:ln w="9525">
                            <a:solidFill>
                              <a:srgbClr val="000000"/>
                            </a:solidFill>
                            <a:round/>
                            <a:tailEnd type="triangle" w="med" len="med"/>
                          </a:ln>
                        </wps:spPr>
                        <wps:bodyPr/>
                      </wps:wsp>
                      <wps:wsp>
                        <wps:cNvPr id="401" name="Rectangle 174"/>
                        <wps:cNvSpPr>
                          <a:spLocks noChangeArrowheads="1"/>
                        </wps:cNvSpPr>
                        <wps:spPr bwMode="auto">
                          <a:xfrm>
                            <a:off x="298450" y="3330789"/>
                            <a:ext cx="722630" cy="311150"/>
                          </a:xfrm>
                          <a:prstGeom prst="rect">
                            <a:avLst/>
                          </a:prstGeom>
                          <a:noFill/>
                          <a:ln>
                            <a:noFill/>
                          </a:ln>
                          <a:effectLst/>
                        </wps:spPr>
                        <wps:txbx>
                          <w:txbxContent>
                            <w:p>
                              <w:pPr>
                                <w:jc w:val="center"/>
                                <w:rPr>
                                  <w:sz w:val="18"/>
                                </w:rPr>
                              </w:pPr>
                              <w:r>
                                <w:rPr>
                                  <w:sz w:val="18"/>
                                </w:rPr>
                                <w:t>盐酸雾</w:t>
                              </w:r>
                            </w:p>
                            <w:p>
                              <w:pPr>
                                <w:jc w:val="center"/>
                                <w:rPr>
                                  <w:sz w:val="18"/>
                                </w:rPr>
                              </w:pPr>
                              <w:r>
                                <w:rPr>
                                  <w:rFonts w:hint="eastAsia"/>
                                  <w:sz w:val="18"/>
                                </w:rPr>
                                <w:t>酸性废水</w:t>
                              </w:r>
                            </w:p>
                          </w:txbxContent>
                        </wps:txbx>
                        <wps:bodyPr rot="0" vert="horz" wrap="square" lIns="0" tIns="0" rIns="0" bIns="0" anchor="t" anchorCtr="0" upright="1">
                          <a:noAutofit/>
                        </wps:bodyPr>
                      </wps:wsp>
                      <wps:wsp>
                        <wps:cNvPr id="402" name="AutoShape 175"/>
                        <wps:cNvCnPr>
                          <a:cxnSpLocks noChangeShapeType="1"/>
                        </wps:cNvCnPr>
                        <wps:spPr bwMode="auto">
                          <a:xfrm flipH="1" flipV="1">
                            <a:off x="912495" y="3490174"/>
                            <a:ext cx="208915" cy="3810"/>
                          </a:xfrm>
                          <a:prstGeom prst="straightConnector1">
                            <a:avLst/>
                          </a:prstGeom>
                          <a:noFill/>
                          <a:ln w="9525">
                            <a:solidFill>
                              <a:srgbClr val="000000"/>
                            </a:solidFill>
                            <a:prstDash val="dash"/>
                            <a:round/>
                            <a:tailEnd type="triangle" w="med" len="med"/>
                          </a:ln>
                        </wps:spPr>
                        <wps:bodyPr/>
                      </wps:wsp>
                      <wps:wsp>
                        <wps:cNvPr id="403" name="Rectangle 176"/>
                        <wps:cNvSpPr>
                          <a:spLocks noChangeArrowheads="1"/>
                        </wps:cNvSpPr>
                        <wps:spPr bwMode="auto">
                          <a:xfrm>
                            <a:off x="245110" y="4029289"/>
                            <a:ext cx="639445" cy="149860"/>
                          </a:xfrm>
                          <a:prstGeom prst="rect">
                            <a:avLst/>
                          </a:prstGeom>
                          <a:noFill/>
                          <a:ln>
                            <a:noFill/>
                          </a:ln>
                          <a:effectLst/>
                        </wps:spPr>
                        <wps:txbx>
                          <w:txbxContent>
                            <w:p>
                              <w:pPr>
                                <w:jc w:val="center"/>
                                <w:rPr>
                                  <w:sz w:val="18"/>
                                </w:rPr>
                              </w:pPr>
                              <w:r>
                                <w:rPr>
                                  <w:rFonts w:hint="eastAsia"/>
                                  <w:sz w:val="18"/>
                                </w:rPr>
                                <w:t xml:space="preserve"> 酸性</w:t>
                              </w:r>
                              <w:r>
                                <w:rPr>
                                  <w:sz w:val="18"/>
                                </w:rPr>
                                <w:t>废水</w:t>
                              </w:r>
                            </w:p>
                          </w:txbxContent>
                        </wps:txbx>
                        <wps:bodyPr rot="0" vert="horz" wrap="square" lIns="0" tIns="0" rIns="0" bIns="0" anchor="t" anchorCtr="0" upright="1">
                          <a:noAutofit/>
                        </wps:bodyPr>
                      </wps:wsp>
                      <wps:wsp>
                        <wps:cNvPr id="404" name="AutoShape 177"/>
                        <wps:cNvCnPr>
                          <a:cxnSpLocks noChangeShapeType="1"/>
                        </wps:cNvCnPr>
                        <wps:spPr bwMode="auto">
                          <a:xfrm flipH="1" flipV="1">
                            <a:off x="870585" y="4104219"/>
                            <a:ext cx="208915" cy="3810"/>
                          </a:xfrm>
                          <a:prstGeom prst="straightConnector1">
                            <a:avLst/>
                          </a:prstGeom>
                          <a:noFill/>
                          <a:ln w="9525">
                            <a:solidFill>
                              <a:srgbClr val="000000"/>
                            </a:solidFill>
                            <a:prstDash val="dash"/>
                            <a:round/>
                            <a:tailEnd type="triangle" w="med" len="med"/>
                          </a:ln>
                        </wps:spPr>
                        <wps:bodyPr/>
                      </wps:wsp>
                      <wps:wsp>
                        <wps:cNvPr id="405" name="AutoShape 178"/>
                        <wps:cNvCnPr>
                          <a:cxnSpLocks noChangeShapeType="1"/>
                          <a:stCxn id="1587" idx="2"/>
                          <a:endCxn id="1589" idx="0"/>
                        </wps:cNvCnPr>
                        <wps:spPr bwMode="auto">
                          <a:xfrm>
                            <a:off x="1661795" y="6766774"/>
                            <a:ext cx="5080" cy="365760"/>
                          </a:xfrm>
                          <a:prstGeom prst="straightConnector1">
                            <a:avLst/>
                          </a:prstGeom>
                          <a:noFill/>
                          <a:ln w="9525">
                            <a:solidFill>
                              <a:srgbClr val="000000"/>
                            </a:solidFill>
                            <a:round/>
                            <a:tailEnd type="triangle" w="med" len="med"/>
                          </a:ln>
                        </wps:spPr>
                        <wps:bodyPr/>
                      </wps:wsp>
                      <wps:wsp>
                        <wps:cNvPr id="406" name="AutoShape 179"/>
                        <wps:cNvCnPr>
                          <a:cxnSpLocks noChangeShapeType="1"/>
                        </wps:cNvCnPr>
                        <wps:spPr bwMode="auto">
                          <a:xfrm flipH="1">
                            <a:off x="2193290" y="4737314"/>
                            <a:ext cx="260985" cy="635"/>
                          </a:xfrm>
                          <a:prstGeom prst="straightConnector1">
                            <a:avLst/>
                          </a:prstGeom>
                          <a:noFill/>
                          <a:ln w="9525">
                            <a:solidFill>
                              <a:srgbClr val="000000"/>
                            </a:solidFill>
                            <a:round/>
                            <a:tailEnd type="triangle" w="med" len="med"/>
                          </a:ln>
                        </wps:spPr>
                        <wps:bodyPr/>
                      </wps:wsp>
                      <wps:wsp>
                        <wps:cNvPr id="407" name="AutoShape 180"/>
                        <wps:cNvCnPr>
                          <a:cxnSpLocks noChangeShapeType="1"/>
                        </wps:cNvCnPr>
                        <wps:spPr bwMode="auto">
                          <a:xfrm flipH="1" flipV="1">
                            <a:off x="912495" y="4737949"/>
                            <a:ext cx="208915" cy="3810"/>
                          </a:xfrm>
                          <a:prstGeom prst="straightConnector1">
                            <a:avLst/>
                          </a:prstGeom>
                          <a:noFill/>
                          <a:ln w="9525">
                            <a:solidFill>
                              <a:srgbClr val="000000"/>
                            </a:solidFill>
                            <a:prstDash val="dash"/>
                            <a:round/>
                            <a:tailEnd type="triangle" w="med" len="med"/>
                          </a:ln>
                        </wps:spPr>
                        <wps:bodyPr/>
                      </wps:wsp>
                      <wps:wsp>
                        <wps:cNvPr id="408" name="Rectangle 181"/>
                        <wps:cNvSpPr>
                          <a:spLocks noChangeArrowheads="1"/>
                        </wps:cNvSpPr>
                        <wps:spPr bwMode="auto">
                          <a:xfrm>
                            <a:off x="2406015" y="4551259"/>
                            <a:ext cx="469265" cy="334645"/>
                          </a:xfrm>
                          <a:prstGeom prst="rect">
                            <a:avLst/>
                          </a:prstGeom>
                          <a:noFill/>
                          <a:ln>
                            <a:noFill/>
                          </a:ln>
                          <a:effectLst/>
                        </wps:spPr>
                        <wps:txbx>
                          <w:txbxContent>
                            <w:p>
                              <w:pPr>
                                <w:jc w:val="center"/>
                                <w:rPr>
                                  <w:sz w:val="18"/>
                                </w:rPr>
                              </w:pPr>
                              <w:r>
                                <w:rPr>
                                  <w:rFonts w:hint="eastAsia"/>
                                  <w:sz w:val="18"/>
                                </w:rPr>
                                <w:t>3%~5%</w:t>
                              </w:r>
                            </w:p>
                            <w:p>
                              <w:pPr>
                                <w:jc w:val="center"/>
                                <w:rPr>
                                  <w:sz w:val="18"/>
                                </w:rPr>
                              </w:pPr>
                              <w:r>
                                <w:rPr>
                                  <w:rFonts w:hint="eastAsia"/>
                                  <w:sz w:val="18"/>
                                </w:rPr>
                                <w:t>硫酸</w:t>
                              </w:r>
                            </w:p>
                          </w:txbxContent>
                        </wps:txbx>
                        <wps:bodyPr rot="0" vert="horz" wrap="square" lIns="0" tIns="0" rIns="0" bIns="0" anchor="t" anchorCtr="0" upright="1">
                          <a:noAutofit/>
                        </wps:bodyPr>
                      </wps:wsp>
                      <wps:wsp>
                        <wps:cNvPr id="409" name="AutoShape 182"/>
                        <wps:cNvCnPr>
                          <a:cxnSpLocks noChangeShapeType="1"/>
                        </wps:cNvCnPr>
                        <wps:spPr bwMode="auto">
                          <a:xfrm flipH="1" flipV="1">
                            <a:off x="912495" y="5358344"/>
                            <a:ext cx="208915" cy="3810"/>
                          </a:xfrm>
                          <a:prstGeom prst="straightConnector1">
                            <a:avLst/>
                          </a:prstGeom>
                          <a:noFill/>
                          <a:ln w="9525">
                            <a:solidFill>
                              <a:srgbClr val="000000"/>
                            </a:solidFill>
                            <a:prstDash val="dash"/>
                            <a:round/>
                            <a:tailEnd type="triangle" w="med" len="med"/>
                          </a:ln>
                        </wps:spPr>
                        <wps:bodyPr/>
                      </wps:wsp>
                      <wps:wsp>
                        <wps:cNvPr id="410" name="Rectangle 183"/>
                        <wps:cNvSpPr>
                          <a:spLocks noChangeArrowheads="1"/>
                        </wps:cNvSpPr>
                        <wps:spPr bwMode="auto">
                          <a:xfrm>
                            <a:off x="201930" y="5296114"/>
                            <a:ext cx="722630" cy="149860"/>
                          </a:xfrm>
                          <a:prstGeom prst="rect">
                            <a:avLst/>
                          </a:prstGeom>
                          <a:noFill/>
                          <a:ln>
                            <a:noFill/>
                          </a:ln>
                          <a:effectLst/>
                        </wps:spPr>
                        <wps:txbx>
                          <w:txbxContent>
                            <w:p>
                              <w:pPr>
                                <w:jc w:val="center"/>
                                <w:rPr>
                                  <w:sz w:val="18"/>
                                </w:rPr>
                              </w:pPr>
                              <w:r>
                                <w:rPr>
                                  <w:sz w:val="18"/>
                                </w:rPr>
                                <w:t>酸性水洗废水</w:t>
                              </w:r>
                            </w:p>
                          </w:txbxContent>
                        </wps:txbx>
                        <wps:bodyPr rot="0" vert="horz" wrap="square" lIns="0" tIns="0" rIns="0" bIns="0" anchor="t" anchorCtr="0" upright="1">
                          <a:noAutofit/>
                        </wps:bodyPr>
                      </wps:wsp>
                      <wps:wsp>
                        <wps:cNvPr id="411" name="Rectangle 184"/>
                        <wps:cNvSpPr>
                          <a:spLocks noChangeArrowheads="1"/>
                        </wps:cNvSpPr>
                        <wps:spPr bwMode="auto">
                          <a:xfrm>
                            <a:off x="310515" y="4574754"/>
                            <a:ext cx="722630" cy="311150"/>
                          </a:xfrm>
                          <a:prstGeom prst="rect">
                            <a:avLst/>
                          </a:prstGeom>
                          <a:noFill/>
                          <a:ln>
                            <a:noFill/>
                          </a:ln>
                          <a:effectLst/>
                        </wps:spPr>
                        <wps:txbx>
                          <w:txbxContent>
                            <w:p>
                              <w:pPr>
                                <w:jc w:val="center"/>
                                <w:rPr>
                                  <w:sz w:val="18"/>
                                </w:rPr>
                              </w:pPr>
                              <w:r>
                                <w:rPr>
                                  <w:sz w:val="18"/>
                                </w:rPr>
                                <w:t>硫酸雾</w:t>
                              </w:r>
                            </w:p>
                            <w:p>
                              <w:pPr>
                                <w:jc w:val="center"/>
                                <w:rPr>
                                  <w:sz w:val="18"/>
                                </w:rPr>
                              </w:pPr>
                              <w:r>
                                <w:rPr>
                                  <w:rFonts w:hint="eastAsia"/>
                                  <w:sz w:val="18"/>
                                </w:rPr>
                                <w:t>酸性废水</w:t>
                              </w:r>
                            </w:p>
                            <w:p>
                              <w:pPr>
                                <w:jc w:val="center"/>
                                <w:rPr>
                                  <w:sz w:val="18"/>
                                </w:rPr>
                              </w:pPr>
                            </w:p>
                          </w:txbxContent>
                        </wps:txbx>
                        <wps:bodyPr rot="0" vert="horz" wrap="square" lIns="0" tIns="0" rIns="0" bIns="0" anchor="t" anchorCtr="0" upright="1">
                          <a:noAutofit/>
                        </wps:bodyPr>
                      </wps:wsp>
                      <wps:wsp>
                        <wps:cNvPr id="412" name="AutoShape 185"/>
                        <wps:cNvCnPr>
                          <a:cxnSpLocks noChangeShapeType="1"/>
                        </wps:cNvCnPr>
                        <wps:spPr bwMode="auto">
                          <a:xfrm flipH="1" flipV="1">
                            <a:off x="924560" y="5984454"/>
                            <a:ext cx="208915" cy="3810"/>
                          </a:xfrm>
                          <a:prstGeom prst="straightConnector1">
                            <a:avLst/>
                          </a:prstGeom>
                          <a:noFill/>
                          <a:ln w="9525">
                            <a:solidFill>
                              <a:srgbClr val="000000"/>
                            </a:solidFill>
                            <a:prstDash val="dash"/>
                            <a:round/>
                            <a:tailEnd type="triangle" w="med" len="med"/>
                          </a:ln>
                        </wps:spPr>
                        <wps:bodyPr/>
                      </wps:wsp>
                      <wps:wsp>
                        <wps:cNvPr id="413" name="Rectangle 186"/>
                        <wps:cNvSpPr>
                          <a:spLocks noChangeArrowheads="1"/>
                        </wps:cNvSpPr>
                        <wps:spPr bwMode="auto">
                          <a:xfrm>
                            <a:off x="310515" y="5763895"/>
                            <a:ext cx="722630" cy="463550"/>
                          </a:xfrm>
                          <a:prstGeom prst="rect">
                            <a:avLst/>
                          </a:prstGeom>
                          <a:noFill/>
                          <a:ln>
                            <a:noFill/>
                          </a:ln>
                          <a:effectLst/>
                        </wps:spPr>
                        <wps:txbx>
                          <w:txbxContent>
                            <w:p>
                              <w:pPr>
                                <w:jc w:val="center"/>
                                <w:rPr>
                                  <w:sz w:val="18"/>
                                </w:rPr>
                              </w:pPr>
                              <w:r>
                                <w:rPr>
                                  <w:rFonts w:hint="eastAsia"/>
                                  <w:sz w:val="18"/>
                                </w:rPr>
                                <w:t>含锌废液</w:t>
                              </w:r>
                            </w:p>
                            <w:p>
                              <w:pPr>
                                <w:jc w:val="center"/>
                                <w:rPr>
                                  <w:rFonts w:hint="eastAsia"/>
                                  <w:sz w:val="18"/>
                                </w:rPr>
                              </w:pPr>
                              <w:r>
                                <w:rPr>
                                  <w:rFonts w:hint="eastAsia"/>
                                  <w:sz w:val="18"/>
                                </w:rPr>
                                <w:t>废滤芯</w:t>
                              </w:r>
                            </w:p>
                            <w:p>
                              <w:pPr>
                                <w:pStyle w:val="43"/>
                                <w:ind w:firstLine="360" w:firstLineChars="200"/>
                                <w:rPr>
                                  <w:rFonts w:hint="eastAsia" w:eastAsia="宋体"/>
                                  <w:color w:val="auto"/>
                                  <w:lang w:eastAsia="zh-CN"/>
                                </w:rPr>
                              </w:pPr>
                              <w:r>
                                <w:rPr>
                                  <w:rFonts w:hint="eastAsia"/>
                                  <w:color w:val="auto"/>
                                  <w:sz w:val="18"/>
                                  <w:lang w:eastAsia="zh-CN"/>
                                </w:rPr>
                                <w:t>滤渣</w:t>
                              </w:r>
                            </w:p>
                          </w:txbxContent>
                        </wps:txbx>
                        <wps:bodyPr rot="0" vert="horz" wrap="square" lIns="0" tIns="0" rIns="0" bIns="0" anchor="t" anchorCtr="0" upright="1">
                          <a:noAutofit/>
                        </wps:bodyPr>
                      </wps:wsp>
                      <wps:wsp>
                        <wps:cNvPr id="414" name="AutoShape 187"/>
                        <wps:cNvCnPr>
                          <a:cxnSpLocks noChangeShapeType="1"/>
                        </wps:cNvCnPr>
                        <wps:spPr bwMode="auto">
                          <a:xfrm flipH="1">
                            <a:off x="2193290" y="5983819"/>
                            <a:ext cx="260985" cy="635"/>
                          </a:xfrm>
                          <a:prstGeom prst="straightConnector1">
                            <a:avLst/>
                          </a:prstGeom>
                          <a:noFill/>
                          <a:ln w="9525">
                            <a:solidFill>
                              <a:srgbClr val="000000"/>
                            </a:solidFill>
                            <a:round/>
                            <a:tailEnd type="triangle" w="med" len="med"/>
                          </a:ln>
                        </wps:spPr>
                        <wps:bodyPr/>
                      </wps:wsp>
                      <wps:wsp>
                        <wps:cNvPr id="415" name="Rectangle 188"/>
                        <wps:cNvSpPr>
                          <a:spLocks noChangeArrowheads="1"/>
                        </wps:cNvSpPr>
                        <wps:spPr bwMode="auto">
                          <a:xfrm>
                            <a:off x="2369820" y="5592659"/>
                            <a:ext cx="469265" cy="782320"/>
                          </a:xfrm>
                          <a:prstGeom prst="rect">
                            <a:avLst/>
                          </a:prstGeom>
                          <a:noFill/>
                          <a:ln>
                            <a:noFill/>
                          </a:ln>
                          <a:effectLst/>
                        </wps:spPr>
                        <wps:txbx>
                          <w:txbxContent>
                            <w:p>
                              <w:pPr>
                                <w:jc w:val="center"/>
                                <w:rPr>
                                  <w:sz w:val="18"/>
                                </w:rPr>
                              </w:pPr>
                              <w:r>
                                <w:rPr>
                                  <w:rFonts w:hint="eastAsia"/>
                                  <w:sz w:val="18"/>
                                </w:rPr>
                                <w:t>氯化钾</w:t>
                              </w:r>
                            </w:p>
                            <w:p>
                              <w:pPr>
                                <w:jc w:val="center"/>
                                <w:rPr>
                                  <w:sz w:val="18"/>
                                </w:rPr>
                              </w:pPr>
                              <w:r>
                                <w:rPr>
                                  <w:sz w:val="18"/>
                                </w:rPr>
                                <w:t>氯化锌</w:t>
                              </w:r>
                            </w:p>
                            <w:p>
                              <w:pPr>
                                <w:jc w:val="center"/>
                                <w:rPr>
                                  <w:sz w:val="18"/>
                                </w:rPr>
                              </w:pPr>
                              <w:r>
                                <w:rPr>
                                  <w:sz w:val="18"/>
                                </w:rPr>
                                <w:t>硼酸</w:t>
                              </w:r>
                            </w:p>
                            <w:p>
                              <w:pPr>
                                <w:jc w:val="center"/>
                                <w:rPr>
                                  <w:sz w:val="18"/>
                                </w:rPr>
                              </w:pPr>
                              <w:r>
                                <w:rPr>
                                  <w:sz w:val="18"/>
                                </w:rPr>
                                <w:t>锌板</w:t>
                              </w:r>
                            </w:p>
                            <w:p>
                              <w:pPr>
                                <w:jc w:val="center"/>
                                <w:rPr>
                                  <w:sz w:val="18"/>
                                </w:rPr>
                              </w:pPr>
                              <w:r>
                                <w:rPr>
                                  <w:rFonts w:hint="eastAsia"/>
                                  <w:sz w:val="18"/>
                                </w:rPr>
                                <w:t>添加剂</w:t>
                              </w:r>
                            </w:p>
                          </w:txbxContent>
                        </wps:txbx>
                        <wps:bodyPr rot="0" vert="horz" wrap="square" lIns="0" tIns="0" rIns="0" bIns="0" anchor="t" anchorCtr="0" upright="1">
                          <a:noAutofit/>
                        </wps:bodyPr>
                      </wps:wsp>
                      <wps:wsp>
                        <wps:cNvPr id="416" name="Rectangle 189"/>
                        <wps:cNvSpPr>
                          <a:spLocks noChangeArrowheads="1"/>
                        </wps:cNvSpPr>
                        <wps:spPr bwMode="auto">
                          <a:xfrm>
                            <a:off x="12700" y="6519759"/>
                            <a:ext cx="722630" cy="149860"/>
                          </a:xfrm>
                          <a:prstGeom prst="rect">
                            <a:avLst/>
                          </a:prstGeom>
                          <a:noFill/>
                          <a:ln>
                            <a:noFill/>
                          </a:ln>
                          <a:effectLst/>
                        </wps:spPr>
                        <wps:txbx>
                          <w:txbxContent>
                            <w:p>
                              <w:pPr>
                                <w:jc w:val="center"/>
                                <w:rPr>
                                  <w:sz w:val="18"/>
                                </w:rPr>
                              </w:pPr>
                              <w:r>
                                <w:rPr>
                                  <w:rFonts w:hint="eastAsia"/>
                                  <w:sz w:val="18"/>
                                </w:rPr>
                                <w:t>含锌</w:t>
                              </w:r>
                              <w:r>
                                <w:rPr>
                                  <w:sz w:val="18"/>
                                </w:rPr>
                                <w:t>水洗废水</w:t>
                              </w:r>
                            </w:p>
                          </w:txbxContent>
                        </wps:txbx>
                        <wps:bodyPr rot="0" vert="horz" wrap="square" lIns="0" tIns="0" rIns="0" bIns="0" anchor="t" anchorCtr="0" upright="1">
                          <a:noAutofit/>
                        </wps:bodyPr>
                      </wps:wsp>
                      <wps:wsp>
                        <wps:cNvPr id="417" name="AutoShape 190"/>
                        <wps:cNvCnPr>
                          <a:cxnSpLocks noChangeShapeType="1"/>
                        </wps:cNvCnPr>
                        <wps:spPr bwMode="auto">
                          <a:xfrm flipH="1" flipV="1">
                            <a:off x="710565" y="6594689"/>
                            <a:ext cx="208915" cy="3810"/>
                          </a:xfrm>
                          <a:prstGeom prst="straightConnector1">
                            <a:avLst/>
                          </a:prstGeom>
                          <a:noFill/>
                          <a:ln w="9525">
                            <a:solidFill>
                              <a:srgbClr val="000000"/>
                            </a:solidFill>
                            <a:prstDash val="dash"/>
                            <a:round/>
                            <a:tailEnd type="triangle" w="med" len="med"/>
                          </a:ln>
                        </wps:spPr>
                        <wps:bodyPr/>
                      </wps:wsp>
                      <wps:wsp>
                        <wps:cNvPr id="418" name="AutoShape 191"/>
                        <wps:cNvCnPr>
                          <a:cxnSpLocks noChangeShapeType="1"/>
                        </wps:cNvCnPr>
                        <wps:spPr bwMode="auto">
                          <a:xfrm flipH="1">
                            <a:off x="2190750" y="7277314"/>
                            <a:ext cx="260985" cy="635"/>
                          </a:xfrm>
                          <a:prstGeom prst="straightConnector1">
                            <a:avLst/>
                          </a:prstGeom>
                          <a:noFill/>
                          <a:ln w="9525">
                            <a:solidFill>
                              <a:srgbClr val="000000"/>
                            </a:solidFill>
                            <a:round/>
                            <a:tailEnd type="triangle" w="med" len="med"/>
                          </a:ln>
                        </wps:spPr>
                        <wps:bodyPr/>
                      </wps:wsp>
                      <wps:wsp>
                        <wps:cNvPr id="419" name="AutoShape 192"/>
                        <wps:cNvCnPr>
                          <a:cxnSpLocks noChangeShapeType="1"/>
                        </wps:cNvCnPr>
                        <wps:spPr bwMode="auto">
                          <a:xfrm flipH="1" flipV="1">
                            <a:off x="912495" y="7277949"/>
                            <a:ext cx="208915" cy="3810"/>
                          </a:xfrm>
                          <a:prstGeom prst="straightConnector1">
                            <a:avLst/>
                          </a:prstGeom>
                          <a:noFill/>
                          <a:ln w="9525">
                            <a:solidFill>
                              <a:srgbClr val="000000"/>
                            </a:solidFill>
                            <a:prstDash val="dash"/>
                            <a:round/>
                            <a:tailEnd type="triangle" w="med" len="med"/>
                          </a:ln>
                        </wps:spPr>
                        <wps:bodyPr/>
                      </wps:wsp>
                      <wps:wsp>
                        <wps:cNvPr id="420" name="Rectangle 193"/>
                        <wps:cNvSpPr>
                          <a:spLocks noChangeArrowheads="1"/>
                        </wps:cNvSpPr>
                        <wps:spPr bwMode="auto">
                          <a:xfrm>
                            <a:off x="2357755" y="7170634"/>
                            <a:ext cx="469265" cy="334645"/>
                          </a:xfrm>
                          <a:prstGeom prst="rect">
                            <a:avLst/>
                          </a:prstGeom>
                          <a:noFill/>
                          <a:ln>
                            <a:noFill/>
                          </a:ln>
                          <a:effectLst/>
                        </wps:spPr>
                        <wps:txbx>
                          <w:txbxContent>
                            <w:p>
                              <w:pPr>
                                <w:jc w:val="center"/>
                                <w:rPr>
                                  <w:sz w:val="18"/>
                                </w:rPr>
                              </w:pPr>
                              <w:r>
                                <w:rPr>
                                  <w:rFonts w:hint="eastAsia"/>
                                  <w:sz w:val="18"/>
                                </w:rPr>
                                <w:t>0.5%</w:t>
                              </w:r>
                            </w:p>
                            <w:p>
                              <w:pPr>
                                <w:jc w:val="center"/>
                                <w:rPr>
                                  <w:sz w:val="18"/>
                                </w:rPr>
                              </w:pPr>
                              <w:r>
                                <w:rPr>
                                  <w:rFonts w:hint="eastAsia"/>
                                  <w:sz w:val="18"/>
                                </w:rPr>
                                <w:t>稀硫酸</w:t>
                              </w:r>
                            </w:p>
                          </w:txbxContent>
                        </wps:txbx>
                        <wps:bodyPr rot="0" vert="horz" wrap="square" lIns="0" tIns="0" rIns="0" bIns="0" anchor="t" anchorCtr="0" upright="1">
                          <a:noAutofit/>
                        </wps:bodyPr>
                      </wps:wsp>
                      <wps:wsp>
                        <wps:cNvPr id="421" name="Rectangle 194"/>
                        <wps:cNvSpPr>
                          <a:spLocks noChangeArrowheads="1"/>
                        </wps:cNvSpPr>
                        <wps:spPr bwMode="auto">
                          <a:xfrm>
                            <a:off x="342265" y="7147774"/>
                            <a:ext cx="722630" cy="303530"/>
                          </a:xfrm>
                          <a:prstGeom prst="rect">
                            <a:avLst/>
                          </a:prstGeom>
                          <a:noFill/>
                          <a:ln>
                            <a:noFill/>
                          </a:ln>
                          <a:effectLst/>
                        </wps:spPr>
                        <wps:txbx>
                          <w:txbxContent>
                            <w:p>
                              <w:pPr>
                                <w:jc w:val="center"/>
                                <w:rPr>
                                  <w:sz w:val="18"/>
                                </w:rPr>
                              </w:pPr>
                              <w:r>
                                <w:rPr>
                                  <w:sz w:val="18"/>
                                </w:rPr>
                                <w:t>硫酸雾</w:t>
                              </w:r>
                            </w:p>
                            <w:p>
                              <w:pPr>
                                <w:jc w:val="center"/>
                                <w:rPr>
                                  <w:sz w:val="18"/>
                                </w:rPr>
                              </w:pPr>
                              <w:r>
                                <w:rPr>
                                  <w:rFonts w:hint="eastAsia"/>
                                  <w:sz w:val="18"/>
                                </w:rPr>
                                <w:t>酸性废水</w:t>
                              </w:r>
                            </w:p>
                            <w:p>
                              <w:pPr>
                                <w:jc w:val="center"/>
                                <w:rPr>
                                  <w:sz w:val="18"/>
                                </w:rPr>
                              </w:pPr>
                            </w:p>
                          </w:txbxContent>
                        </wps:txbx>
                        <wps:bodyPr rot="0" vert="horz" wrap="square" lIns="0" tIns="0" rIns="0" bIns="0" anchor="t" anchorCtr="0" upright="1">
                          <a:noAutofit/>
                        </wps:bodyPr>
                      </wps:wsp>
                      <wps:wsp>
                        <wps:cNvPr id="422" name="Rectangle 195"/>
                        <wps:cNvSpPr>
                          <a:spLocks noChangeArrowheads="1"/>
                        </wps:cNvSpPr>
                        <wps:spPr bwMode="auto">
                          <a:xfrm>
                            <a:off x="4866005" y="2152864"/>
                            <a:ext cx="584200" cy="149860"/>
                          </a:xfrm>
                          <a:prstGeom prst="rect">
                            <a:avLst/>
                          </a:prstGeom>
                          <a:noFill/>
                          <a:ln>
                            <a:noFill/>
                          </a:ln>
                          <a:effectLst/>
                        </wps:spPr>
                        <wps:txbx>
                          <w:txbxContent>
                            <w:p>
                              <w:pPr>
                                <w:jc w:val="center"/>
                                <w:rPr>
                                  <w:sz w:val="18"/>
                                </w:rPr>
                              </w:pPr>
                              <w:r>
                                <w:rPr>
                                  <w:sz w:val="18"/>
                                </w:rPr>
                                <w:t>酸性废水</w:t>
                              </w:r>
                            </w:p>
                          </w:txbxContent>
                        </wps:txbx>
                        <wps:bodyPr rot="0" vert="horz" wrap="square" lIns="0" tIns="0" rIns="0" bIns="0" anchor="t" anchorCtr="0" upright="1">
                          <a:noAutofit/>
                        </wps:bodyPr>
                      </wps:wsp>
                      <wps:wsp>
                        <wps:cNvPr id="423" name="AutoShape 196"/>
                        <wps:cNvCnPr>
                          <a:cxnSpLocks noChangeShapeType="1"/>
                        </wps:cNvCnPr>
                        <wps:spPr bwMode="auto">
                          <a:xfrm flipV="1">
                            <a:off x="4693285" y="2234144"/>
                            <a:ext cx="208915" cy="3810"/>
                          </a:xfrm>
                          <a:prstGeom prst="straightConnector1">
                            <a:avLst/>
                          </a:prstGeom>
                          <a:noFill/>
                          <a:ln w="9525">
                            <a:solidFill>
                              <a:srgbClr val="000000"/>
                            </a:solidFill>
                            <a:prstDash val="dash"/>
                            <a:round/>
                            <a:tailEnd type="triangle" w="med" len="med"/>
                          </a:ln>
                        </wps:spPr>
                        <wps:bodyPr/>
                      </wps:wsp>
                      <wps:wsp>
                        <wps:cNvPr id="424" name="Rectangle 197"/>
                        <wps:cNvSpPr>
                          <a:spLocks noChangeArrowheads="1"/>
                        </wps:cNvSpPr>
                        <wps:spPr bwMode="auto">
                          <a:xfrm>
                            <a:off x="2891790" y="2792944"/>
                            <a:ext cx="469265" cy="334645"/>
                          </a:xfrm>
                          <a:prstGeom prst="rect">
                            <a:avLst/>
                          </a:prstGeom>
                          <a:noFill/>
                          <a:ln>
                            <a:noFill/>
                          </a:ln>
                          <a:effectLst/>
                        </wps:spPr>
                        <wps:txbx>
                          <w:txbxContent>
                            <w:p>
                              <w:pPr>
                                <w:jc w:val="center"/>
                                <w:rPr>
                                  <w:sz w:val="15"/>
                                </w:rPr>
                              </w:pPr>
                              <w:r>
                                <w:rPr>
                                  <w:snapToGrid w:val="0"/>
                                  <w:color w:val="000000"/>
                                  <w:kern w:val="21"/>
                                  <w:sz w:val="18"/>
                                </w:rPr>
                                <w:t>Cr</w:t>
                              </w:r>
                              <w:r>
                                <w:rPr>
                                  <w:snapToGrid w:val="0"/>
                                  <w:color w:val="000000"/>
                                  <w:kern w:val="21"/>
                                  <w:sz w:val="18"/>
                                  <w:vertAlign w:val="subscript"/>
                                </w:rPr>
                                <w:t>2</w:t>
                              </w:r>
                              <w:r>
                                <w:rPr>
                                  <w:snapToGrid w:val="0"/>
                                  <w:color w:val="000000"/>
                                  <w:kern w:val="21"/>
                                  <w:sz w:val="18"/>
                                </w:rPr>
                                <w:t>(S0</w:t>
                              </w:r>
                              <w:r>
                                <w:rPr>
                                  <w:snapToGrid w:val="0"/>
                                  <w:color w:val="000000"/>
                                  <w:kern w:val="21"/>
                                  <w:sz w:val="18"/>
                                  <w:vertAlign w:val="subscript"/>
                                </w:rPr>
                                <w:t>4</w:t>
                              </w:r>
                              <w:r>
                                <w:rPr>
                                  <w:snapToGrid w:val="0"/>
                                  <w:color w:val="000000"/>
                                  <w:kern w:val="21"/>
                                  <w:sz w:val="18"/>
                                </w:rPr>
                                <w:t>)</w:t>
                              </w:r>
                              <w:r>
                                <w:rPr>
                                  <w:snapToGrid w:val="0"/>
                                  <w:color w:val="000000"/>
                                  <w:kern w:val="21"/>
                                  <w:sz w:val="18"/>
                                  <w:vertAlign w:val="subscript"/>
                                </w:rPr>
                                <w:t>3</w:t>
                              </w:r>
                            </w:p>
                          </w:txbxContent>
                        </wps:txbx>
                        <wps:bodyPr rot="0" vert="horz" wrap="square" lIns="0" tIns="0" rIns="0" bIns="0" anchor="t" anchorCtr="0" upright="1">
                          <a:noAutofit/>
                        </wps:bodyPr>
                      </wps:wsp>
                      <wps:wsp>
                        <wps:cNvPr id="425" name="AutoShape 198"/>
                        <wps:cNvCnPr>
                          <a:cxnSpLocks noChangeShapeType="1"/>
                        </wps:cNvCnPr>
                        <wps:spPr bwMode="auto">
                          <a:xfrm>
                            <a:off x="3332480" y="2871049"/>
                            <a:ext cx="260985" cy="635"/>
                          </a:xfrm>
                          <a:prstGeom prst="straightConnector1">
                            <a:avLst/>
                          </a:prstGeom>
                          <a:noFill/>
                          <a:ln w="9525">
                            <a:solidFill>
                              <a:srgbClr val="000000"/>
                            </a:solidFill>
                            <a:round/>
                            <a:tailEnd type="triangle" w="med" len="med"/>
                          </a:ln>
                        </wps:spPr>
                        <wps:bodyPr/>
                      </wps:wsp>
                      <wps:wsp>
                        <wps:cNvPr id="426" name="Rectangle 199"/>
                        <wps:cNvSpPr>
                          <a:spLocks noChangeArrowheads="1"/>
                        </wps:cNvSpPr>
                        <wps:spPr bwMode="auto">
                          <a:xfrm>
                            <a:off x="4844415" y="2644217"/>
                            <a:ext cx="662305" cy="624517"/>
                          </a:xfrm>
                          <a:prstGeom prst="rect">
                            <a:avLst/>
                          </a:prstGeom>
                          <a:noFill/>
                          <a:ln>
                            <a:noFill/>
                          </a:ln>
                          <a:effectLst/>
                        </wps:spPr>
                        <wps:txbx>
                          <w:txbxContent>
                            <w:p>
                              <w:pPr>
                                <w:jc w:val="center"/>
                                <w:rPr>
                                  <w:sz w:val="18"/>
                                </w:rPr>
                              </w:pPr>
                              <w:r>
                                <w:rPr>
                                  <w:rFonts w:hint="eastAsia"/>
                                  <w:sz w:val="18"/>
                                </w:rPr>
                                <w:t>铬酸雾</w:t>
                              </w:r>
                            </w:p>
                            <w:p>
                              <w:pPr>
                                <w:jc w:val="center"/>
                                <w:rPr>
                                  <w:sz w:val="18"/>
                                </w:rPr>
                              </w:pPr>
                              <w:r>
                                <w:rPr>
                                  <w:sz w:val="18"/>
                                </w:rPr>
                                <w:t>含铬槽液</w:t>
                              </w:r>
                            </w:p>
                            <w:p>
                              <w:pPr>
                                <w:jc w:val="center"/>
                                <w:rPr>
                                  <w:sz w:val="18"/>
                                </w:rPr>
                              </w:pPr>
                              <w:r>
                                <w:rPr>
                                  <w:rFonts w:hint="eastAsia"/>
                                  <w:sz w:val="18"/>
                                </w:rPr>
                                <w:t>含铬槽渣</w:t>
                              </w:r>
                            </w:p>
                            <w:p>
                              <w:pPr>
                                <w:jc w:val="center"/>
                                <w:rPr>
                                  <w:sz w:val="18"/>
                                </w:rPr>
                              </w:pPr>
                              <w:r>
                                <w:rPr>
                                  <w:rFonts w:hint="eastAsia"/>
                                  <w:sz w:val="18"/>
                                </w:rPr>
                                <w:t>废滤芯</w:t>
                              </w:r>
                            </w:p>
                          </w:txbxContent>
                        </wps:txbx>
                        <wps:bodyPr rot="0" vert="horz" wrap="square" lIns="0" tIns="0" rIns="0" bIns="0" anchor="t" anchorCtr="0" upright="1">
                          <a:noAutofit/>
                        </wps:bodyPr>
                      </wps:wsp>
                      <wps:wsp>
                        <wps:cNvPr id="427" name="AutoShape 200"/>
                        <wps:cNvCnPr>
                          <a:cxnSpLocks noChangeShapeType="1"/>
                        </wps:cNvCnPr>
                        <wps:spPr bwMode="auto">
                          <a:xfrm flipV="1">
                            <a:off x="4693285" y="2863429"/>
                            <a:ext cx="208915" cy="3810"/>
                          </a:xfrm>
                          <a:prstGeom prst="straightConnector1">
                            <a:avLst/>
                          </a:prstGeom>
                          <a:noFill/>
                          <a:ln w="9525">
                            <a:solidFill>
                              <a:srgbClr val="000000"/>
                            </a:solidFill>
                            <a:prstDash val="dash"/>
                            <a:round/>
                            <a:tailEnd type="triangle" w="med" len="med"/>
                          </a:ln>
                        </wps:spPr>
                        <wps:bodyPr/>
                      </wps:wsp>
                      <wps:wsp>
                        <wps:cNvPr id="428" name="Rectangle 201"/>
                        <wps:cNvSpPr>
                          <a:spLocks noChangeArrowheads="1"/>
                        </wps:cNvSpPr>
                        <wps:spPr bwMode="auto">
                          <a:xfrm>
                            <a:off x="4902200" y="3662259"/>
                            <a:ext cx="769620" cy="228600"/>
                          </a:xfrm>
                          <a:prstGeom prst="rect">
                            <a:avLst/>
                          </a:prstGeom>
                          <a:noFill/>
                          <a:ln>
                            <a:noFill/>
                          </a:ln>
                          <a:effectLst/>
                        </wps:spPr>
                        <wps:txbx>
                          <w:txbxContent>
                            <w:p>
                              <w:pPr>
                                <w:jc w:val="center"/>
                                <w:rPr>
                                  <w:sz w:val="18"/>
                                </w:rPr>
                              </w:pPr>
                              <w:r>
                                <w:rPr>
                                  <w:sz w:val="18"/>
                                </w:rPr>
                                <w:t>含铬水洗废水</w:t>
                              </w:r>
                            </w:p>
                          </w:txbxContent>
                        </wps:txbx>
                        <wps:bodyPr rot="0" vert="horz" wrap="square" lIns="0" tIns="0" rIns="0" bIns="0" anchor="t" anchorCtr="0" upright="1">
                          <a:noAutofit/>
                        </wps:bodyPr>
                      </wps:wsp>
                      <wps:wsp>
                        <wps:cNvPr id="429" name="AutoShape 202"/>
                        <wps:cNvCnPr>
                          <a:cxnSpLocks noChangeShapeType="1"/>
                        </wps:cNvCnPr>
                        <wps:spPr bwMode="auto">
                          <a:xfrm flipV="1">
                            <a:off x="4717415" y="3761954"/>
                            <a:ext cx="208915" cy="3810"/>
                          </a:xfrm>
                          <a:prstGeom prst="straightConnector1">
                            <a:avLst/>
                          </a:prstGeom>
                          <a:noFill/>
                          <a:ln w="9525">
                            <a:solidFill>
                              <a:srgbClr val="000000"/>
                            </a:solidFill>
                            <a:prstDash val="dash"/>
                            <a:round/>
                            <a:tailEnd type="triangle" w="med" len="med"/>
                          </a:ln>
                        </wps:spPr>
                        <wps:bodyPr/>
                      </wps:wsp>
                      <wps:wsp>
                        <wps:cNvPr id="430" name="Rectangle 205"/>
                        <wps:cNvSpPr>
                          <a:spLocks noChangeArrowheads="1"/>
                        </wps:cNvSpPr>
                        <wps:spPr bwMode="auto">
                          <a:xfrm>
                            <a:off x="4812665" y="4625554"/>
                            <a:ext cx="709295" cy="228600"/>
                          </a:xfrm>
                          <a:prstGeom prst="rect">
                            <a:avLst/>
                          </a:prstGeom>
                          <a:noFill/>
                          <a:ln>
                            <a:noFill/>
                          </a:ln>
                          <a:effectLst/>
                        </wps:spPr>
                        <wps:txbx>
                          <w:txbxContent>
                            <w:p>
                              <w:pPr>
                                <w:jc w:val="center"/>
                                <w:rPr>
                                  <w:sz w:val="18"/>
                                </w:rPr>
                              </w:pPr>
                              <w:r>
                                <w:rPr>
                                  <w:sz w:val="18"/>
                                </w:rPr>
                                <w:t>含铬废水</w:t>
                              </w:r>
                            </w:p>
                            <w:p>
                              <w:pPr>
                                <w:jc w:val="center"/>
                                <w:rPr>
                                  <w:sz w:val="18"/>
                                </w:rPr>
                              </w:pPr>
                            </w:p>
                          </w:txbxContent>
                        </wps:txbx>
                        <wps:bodyPr rot="0" vert="horz" wrap="square" lIns="0" tIns="0" rIns="0" bIns="0" anchor="t" anchorCtr="0" upright="1">
                          <a:noAutofit/>
                        </wps:bodyPr>
                      </wps:wsp>
                      <wps:wsp>
                        <wps:cNvPr id="431" name="AutoShape 206"/>
                        <wps:cNvCnPr>
                          <a:cxnSpLocks noChangeShapeType="1"/>
                        </wps:cNvCnPr>
                        <wps:spPr bwMode="auto">
                          <a:xfrm flipV="1">
                            <a:off x="4676140" y="4725249"/>
                            <a:ext cx="208915" cy="3810"/>
                          </a:xfrm>
                          <a:prstGeom prst="straightConnector1">
                            <a:avLst/>
                          </a:prstGeom>
                          <a:noFill/>
                          <a:ln w="9525">
                            <a:solidFill>
                              <a:srgbClr val="000000"/>
                            </a:solidFill>
                            <a:prstDash val="dash"/>
                            <a:round/>
                            <a:tailEnd type="triangle" w="med" len="med"/>
                          </a:ln>
                        </wps:spPr>
                        <wps:bodyPr/>
                      </wps:wsp>
                      <wps:wsp>
                        <wps:cNvPr id="432" name="Rectangle 207"/>
                        <wps:cNvSpPr>
                          <a:spLocks noChangeArrowheads="1"/>
                        </wps:cNvSpPr>
                        <wps:spPr bwMode="auto">
                          <a:xfrm>
                            <a:off x="2959100" y="5232614"/>
                            <a:ext cx="469265" cy="334645"/>
                          </a:xfrm>
                          <a:prstGeom prst="rect">
                            <a:avLst/>
                          </a:prstGeom>
                          <a:noFill/>
                          <a:ln>
                            <a:noFill/>
                          </a:ln>
                          <a:effectLst/>
                        </wps:spPr>
                        <wps:txbx>
                          <w:txbxContent>
                            <w:p>
                              <w:pPr>
                                <w:jc w:val="center"/>
                                <w:rPr>
                                  <w:sz w:val="18"/>
                                </w:rPr>
                              </w:pPr>
                              <w:r>
                                <w:rPr>
                                  <w:sz w:val="18"/>
                                </w:rPr>
                                <w:t xml:space="preserve">10ml/L </w:t>
                              </w:r>
                              <w:r>
                                <w:rPr>
                                  <w:rFonts w:hint="eastAsia"/>
                                  <w:sz w:val="18"/>
                                </w:rPr>
                                <w:t>烷氧基醇</w:t>
                              </w:r>
                            </w:p>
                          </w:txbxContent>
                        </wps:txbx>
                        <wps:bodyPr rot="0" vert="horz" wrap="square" lIns="0" tIns="0" rIns="0" bIns="0" anchor="t" anchorCtr="0" upright="1">
                          <a:noAutofit/>
                        </wps:bodyPr>
                      </wps:wsp>
                      <wps:wsp>
                        <wps:cNvPr id="433" name="AutoShape 208"/>
                        <wps:cNvCnPr>
                          <a:cxnSpLocks noChangeShapeType="1"/>
                        </wps:cNvCnPr>
                        <wps:spPr bwMode="auto">
                          <a:xfrm>
                            <a:off x="3356610" y="5375489"/>
                            <a:ext cx="260985" cy="635"/>
                          </a:xfrm>
                          <a:prstGeom prst="straightConnector1">
                            <a:avLst/>
                          </a:prstGeom>
                          <a:noFill/>
                          <a:ln w="9525">
                            <a:solidFill>
                              <a:srgbClr val="000000"/>
                            </a:solidFill>
                            <a:round/>
                            <a:tailEnd type="triangle" w="med" len="med"/>
                          </a:ln>
                        </wps:spPr>
                        <wps:bodyPr/>
                      </wps:wsp>
                      <wps:wsp>
                        <wps:cNvPr id="434" name="Rectangle 209"/>
                        <wps:cNvSpPr>
                          <a:spLocks noChangeArrowheads="1"/>
                        </wps:cNvSpPr>
                        <wps:spPr bwMode="auto">
                          <a:xfrm>
                            <a:off x="5033645" y="5948894"/>
                            <a:ext cx="674370" cy="256540"/>
                          </a:xfrm>
                          <a:prstGeom prst="rect">
                            <a:avLst/>
                          </a:prstGeom>
                          <a:noFill/>
                          <a:ln>
                            <a:noFill/>
                          </a:ln>
                          <a:effectLst/>
                        </wps:spPr>
                        <wps:txbx>
                          <w:txbxContent>
                            <w:p>
                              <w:pPr>
                                <w:jc w:val="center"/>
                                <w:rPr>
                                  <w:sz w:val="18"/>
                                </w:rPr>
                              </w:pPr>
                              <w:r>
                                <w:rPr>
                                  <w:rFonts w:hint="eastAsia"/>
                                  <w:sz w:val="18"/>
                                </w:rPr>
                                <w:t>有机废水</w:t>
                              </w:r>
                            </w:p>
                            <w:p>
                              <w:pPr>
                                <w:jc w:val="center"/>
                                <w:rPr>
                                  <w:sz w:val="18"/>
                                </w:rPr>
                              </w:pPr>
                            </w:p>
                          </w:txbxContent>
                        </wps:txbx>
                        <wps:bodyPr rot="0" vert="horz" wrap="square" lIns="0" tIns="0" rIns="0" bIns="0" anchor="t" anchorCtr="0" upright="1">
                          <a:noAutofit/>
                        </wps:bodyPr>
                      </wps:wsp>
                      <wps:wsp>
                        <wps:cNvPr id="435" name="AutoShape 210"/>
                        <wps:cNvCnPr>
                          <a:cxnSpLocks noChangeShapeType="1"/>
                        </wps:cNvCnPr>
                        <wps:spPr bwMode="auto">
                          <a:xfrm flipV="1">
                            <a:off x="4909185" y="6036524"/>
                            <a:ext cx="208915" cy="3810"/>
                          </a:xfrm>
                          <a:prstGeom prst="straightConnector1">
                            <a:avLst/>
                          </a:prstGeom>
                          <a:noFill/>
                          <a:ln w="9525">
                            <a:solidFill>
                              <a:srgbClr val="000000"/>
                            </a:solidFill>
                            <a:prstDash val="dash"/>
                            <a:round/>
                            <a:tailEnd type="triangle" w="med" len="med"/>
                          </a:ln>
                        </wps:spPr>
                        <wps:bodyPr/>
                      </wps:wsp>
                      <wps:wsp>
                        <wps:cNvPr id="436" name="Rectangle 211"/>
                        <wps:cNvSpPr>
                          <a:spLocks noChangeArrowheads="1"/>
                        </wps:cNvSpPr>
                        <wps:spPr bwMode="auto">
                          <a:xfrm>
                            <a:off x="4805680" y="6540079"/>
                            <a:ext cx="553720" cy="256540"/>
                          </a:xfrm>
                          <a:prstGeom prst="rect">
                            <a:avLst/>
                          </a:prstGeom>
                          <a:noFill/>
                          <a:ln>
                            <a:noFill/>
                          </a:ln>
                          <a:effectLst/>
                        </wps:spPr>
                        <wps:txbx>
                          <w:txbxContent>
                            <w:p>
                              <w:pPr>
                                <w:jc w:val="center"/>
                                <w:rPr>
                                  <w:sz w:val="18"/>
                                </w:rPr>
                              </w:pPr>
                              <w:r>
                                <w:rPr>
                                  <w:sz w:val="18"/>
                                </w:rPr>
                                <w:t>噪声</w:t>
                              </w:r>
                            </w:p>
                          </w:txbxContent>
                        </wps:txbx>
                        <wps:bodyPr rot="0" vert="horz" wrap="square" lIns="0" tIns="0" rIns="0" bIns="0" anchor="t" anchorCtr="0" upright="1">
                          <a:noAutofit/>
                        </wps:bodyPr>
                      </wps:wsp>
                      <wps:wsp>
                        <wps:cNvPr id="437" name="AutoShape 212"/>
                        <wps:cNvCnPr>
                          <a:cxnSpLocks noChangeShapeType="1"/>
                        </wps:cNvCnPr>
                        <wps:spPr bwMode="auto">
                          <a:xfrm flipV="1">
                            <a:off x="4681220" y="6627709"/>
                            <a:ext cx="208915" cy="3810"/>
                          </a:xfrm>
                          <a:prstGeom prst="straightConnector1">
                            <a:avLst/>
                          </a:prstGeom>
                          <a:noFill/>
                          <a:ln w="9525">
                            <a:solidFill>
                              <a:srgbClr val="000000"/>
                            </a:solidFill>
                            <a:prstDash val="dash"/>
                            <a:round/>
                            <a:tailEnd type="triangle" w="med" len="med"/>
                          </a:ln>
                        </wps:spPr>
                        <wps:bodyPr/>
                      </wps:wsp>
                      <wps:wsp>
                        <wps:cNvPr id="438" name="Rectangle 213"/>
                        <wps:cNvSpPr>
                          <a:spLocks noChangeArrowheads="1"/>
                        </wps:cNvSpPr>
                        <wps:spPr bwMode="auto">
                          <a:xfrm>
                            <a:off x="4921250" y="7149679"/>
                            <a:ext cx="607060" cy="256540"/>
                          </a:xfrm>
                          <a:prstGeom prst="rect">
                            <a:avLst/>
                          </a:prstGeom>
                          <a:noFill/>
                          <a:ln>
                            <a:noFill/>
                          </a:ln>
                          <a:effectLst/>
                        </wps:spPr>
                        <wps:txbx>
                          <w:txbxContent>
                            <w:p>
                              <w:pPr>
                                <w:jc w:val="center"/>
                                <w:rPr>
                                  <w:sz w:val="18"/>
                                </w:rPr>
                              </w:pPr>
                              <w:r>
                                <w:rPr>
                                  <w:sz w:val="18"/>
                                </w:rPr>
                                <w:t>不合格产品</w:t>
                              </w:r>
                            </w:p>
                          </w:txbxContent>
                        </wps:txbx>
                        <wps:bodyPr rot="0" vert="horz" wrap="square" lIns="0" tIns="0" rIns="0" bIns="0" anchor="t" anchorCtr="0" upright="1">
                          <a:noAutofit/>
                        </wps:bodyPr>
                      </wps:wsp>
                      <wps:wsp>
                        <wps:cNvPr id="439" name="AutoShape 214"/>
                        <wps:cNvCnPr>
                          <a:cxnSpLocks noChangeShapeType="1"/>
                        </wps:cNvCnPr>
                        <wps:spPr bwMode="auto">
                          <a:xfrm flipV="1">
                            <a:off x="4676140" y="7237309"/>
                            <a:ext cx="208915" cy="3810"/>
                          </a:xfrm>
                          <a:prstGeom prst="straightConnector1">
                            <a:avLst/>
                          </a:prstGeom>
                          <a:noFill/>
                          <a:ln w="9525">
                            <a:solidFill>
                              <a:srgbClr val="000000"/>
                            </a:solidFill>
                            <a:prstDash val="dash"/>
                            <a:round/>
                            <a:tailEnd type="triangle" w="med" len="med"/>
                          </a:ln>
                        </wps:spPr>
                        <wps:bodyPr/>
                      </wps:wsp>
                      <wps:wsp>
                        <wps:cNvPr id="440" name="Rectangle 217"/>
                        <wps:cNvSpPr>
                          <a:spLocks noChangeArrowheads="1"/>
                        </wps:cNvSpPr>
                        <wps:spPr bwMode="auto">
                          <a:xfrm>
                            <a:off x="4829810" y="5276429"/>
                            <a:ext cx="709295" cy="228600"/>
                          </a:xfrm>
                          <a:prstGeom prst="rect">
                            <a:avLst/>
                          </a:prstGeom>
                          <a:noFill/>
                          <a:ln>
                            <a:noFill/>
                          </a:ln>
                          <a:effectLst/>
                        </wps:spPr>
                        <wps:txbx>
                          <w:txbxContent>
                            <w:p>
                              <w:pPr>
                                <w:jc w:val="center"/>
                                <w:rPr>
                                  <w:sz w:val="18"/>
                                </w:rPr>
                              </w:pPr>
                              <w:r>
                                <w:rPr>
                                  <w:rFonts w:hint="eastAsia"/>
                                  <w:sz w:val="18"/>
                                </w:rPr>
                                <w:t>有机废水</w:t>
                              </w:r>
                            </w:p>
                          </w:txbxContent>
                        </wps:txbx>
                        <wps:bodyPr rot="0" vert="horz" wrap="square" lIns="0" tIns="0" rIns="0" bIns="0" anchor="t" anchorCtr="0" upright="1">
                          <a:noAutofit/>
                        </wps:bodyPr>
                      </wps:wsp>
                      <wps:wsp>
                        <wps:cNvPr id="441" name="AutoShape 218"/>
                        <wps:cNvCnPr>
                          <a:cxnSpLocks noChangeShapeType="1"/>
                        </wps:cNvCnPr>
                        <wps:spPr bwMode="auto">
                          <a:xfrm flipV="1">
                            <a:off x="4693285" y="5376124"/>
                            <a:ext cx="208915" cy="3810"/>
                          </a:xfrm>
                          <a:prstGeom prst="straightConnector1">
                            <a:avLst/>
                          </a:prstGeom>
                          <a:noFill/>
                          <a:ln w="9525">
                            <a:solidFill>
                              <a:srgbClr val="000000"/>
                            </a:solidFill>
                            <a:prstDash val="dash"/>
                            <a:round/>
                            <a:tailEnd type="triangle" w="med" len="med"/>
                          </a:ln>
                        </wps:spPr>
                        <wps:bodyPr/>
                      </wps:wsp>
                      <wps:wsp>
                        <wps:cNvPr id="442" name="AutoShape 426"/>
                        <wps:cNvCnPr>
                          <a:cxnSpLocks noChangeShapeType="1"/>
                        </wps:cNvCnPr>
                        <wps:spPr bwMode="auto">
                          <a:xfrm flipH="1">
                            <a:off x="2235835" y="2862794"/>
                            <a:ext cx="260985" cy="635"/>
                          </a:xfrm>
                          <a:prstGeom prst="straightConnector1">
                            <a:avLst/>
                          </a:prstGeom>
                          <a:noFill/>
                          <a:ln w="9525">
                            <a:solidFill>
                              <a:srgbClr val="000000"/>
                            </a:solidFill>
                            <a:round/>
                            <a:tailEnd type="triangle" w="med" len="med"/>
                          </a:ln>
                        </wps:spPr>
                        <wps:bodyPr/>
                      </wps:wsp>
                      <wps:wsp>
                        <wps:cNvPr id="443" name="Rectangle 427"/>
                        <wps:cNvSpPr>
                          <a:spLocks noChangeArrowheads="1"/>
                        </wps:cNvSpPr>
                        <wps:spPr bwMode="auto">
                          <a:xfrm>
                            <a:off x="2448421" y="2686679"/>
                            <a:ext cx="469265" cy="335409"/>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44" name="AutoShape 428"/>
                        <wps:cNvCnPr>
                          <a:cxnSpLocks noChangeShapeType="1"/>
                        </wps:cNvCnPr>
                        <wps:spPr bwMode="auto">
                          <a:xfrm flipH="1">
                            <a:off x="2244090" y="4093424"/>
                            <a:ext cx="260985" cy="635"/>
                          </a:xfrm>
                          <a:prstGeom prst="straightConnector1">
                            <a:avLst/>
                          </a:prstGeom>
                          <a:noFill/>
                          <a:ln w="9525">
                            <a:solidFill>
                              <a:srgbClr val="000000"/>
                            </a:solidFill>
                            <a:round/>
                            <a:tailEnd type="triangle" w="med" len="med"/>
                          </a:ln>
                        </wps:spPr>
                        <wps:bodyPr/>
                      </wps:wsp>
                      <wps:wsp>
                        <wps:cNvPr id="445" name="AutoShape 430"/>
                        <wps:cNvCnPr>
                          <a:cxnSpLocks noChangeShapeType="1"/>
                        </wps:cNvCnPr>
                        <wps:spPr bwMode="auto">
                          <a:xfrm flipH="1">
                            <a:off x="2157095" y="5379934"/>
                            <a:ext cx="260985" cy="635"/>
                          </a:xfrm>
                          <a:prstGeom prst="straightConnector1">
                            <a:avLst/>
                          </a:prstGeom>
                          <a:noFill/>
                          <a:ln w="9525">
                            <a:solidFill>
                              <a:srgbClr val="000000"/>
                            </a:solidFill>
                            <a:round/>
                            <a:tailEnd type="triangle" w="med" len="med"/>
                          </a:ln>
                        </wps:spPr>
                        <wps:bodyPr/>
                      </wps:wsp>
                      <wps:wsp>
                        <wps:cNvPr id="446" name="AutoShape 433"/>
                        <wps:cNvCnPr>
                          <a:cxnSpLocks noChangeShapeType="1"/>
                        </wps:cNvCnPr>
                        <wps:spPr bwMode="auto">
                          <a:xfrm>
                            <a:off x="3399790" y="2246209"/>
                            <a:ext cx="260985" cy="635"/>
                          </a:xfrm>
                          <a:prstGeom prst="straightConnector1">
                            <a:avLst/>
                          </a:prstGeom>
                          <a:noFill/>
                          <a:ln w="9525">
                            <a:solidFill>
                              <a:srgbClr val="000000"/>
                            </a:solidFill>
                            <a:round/>
                            <a:tailEnd type="triangle" w="med" len="med"/>
                          </a:ln>
                        </wps:spPr>
                        <wps:bodyPr/>
                      </wps:wsp>
                      <wps:wsp>
                        <wps:cNvPr id="447" name="Rectangle 434"/>
                        <wps:cNvSpPr>
                          <a:spLocks noChangeArrowheads="1"/>
                        </wps:cNvSpPr>
                        <wps:spPr bwMode="auto">
                          <a:xfrm>
                            <a:off x="2962275" y="3638777"/>
                            <a:ext cx="469265" cy="334645"/>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48" name="AutoShape 435"/>
                        <wps:cNvCnPr>
                          <a:cxnSpLocks noChangeShapeType="1"/>
                        </wps:cNvCnPr>
                        <wps:spPr bwMode="auto">
                          <a:xfrm>
                            <a:off x="3298825" y="3770209"/>
                            <a:ext cx="260985" cy="635"/>
                          </a:xfrm>
                          <a:prstGeom prst="straightConnector1">
                            <a:avLst/>
                          </a:prstGeom>
                          <a:noFill/>
                          <a:ln w="9525">
                            <a:solidFill>
                              <a:srgbClr val="000000"/>
                            </a:solidFill>
                            <a:round/>
                            <a:tailEnd type="triangle" w="med" len="med"/>
                          </a:ln>
                        </wps:spPr>
                        <wps:bodyPr/>
                      </wps:wsp>
                      <wps:wsp>
                        <wps:cNvPr id="449" name="AutoShape 430"/>
                        <wps:cNvCnPr>
                          <a:cxnSpLocks noChangeShapeType="1"/>
                        </wps:cNvCnPr>
                        <wps:spPr bwMode="auto">
                          <a:xfrm flipH="1">
                            <a:off x="2418080" y="6594054"/>
                            <a:ext cx="260985" cy="635"/>
                          </a:xfrm>
                          <a:prstGeom prst="straightConnector1">
                            <a:avLst/>
                          </a:prstGeom>
                          <a:noFill/>
                          <a:ln w="9525">
                            <a:solidFill>
                              <a:srgbClr val="000000"/>
                            </a:solidFill>
                            <a:round/>
                            <a:tailEnd type="triangle" w="med" len="med"/>
                          </a:ln>
                        </wps:spPr>
                        <wps:bodyPr/>
                      </wps:wsp>
                      <wps:wsp>
                        <wps:cNvPr id="450" name="Rectangle 431"/>
                        <wps:cNvSpPr>
                          <a:spLocks noChangeArrowheads="1"/>
                        </wps:cNvSpPr>
                        <wps:spPr bwMode="auto">
                          <a:xfrm>
                            <a:off x="2564130" y="6449274"/>
                            <a:ext cx="469265" cy="374650"/>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51" name="AutoShape 435"/>
                        <wps:cNvCnPr>
                          <a:cxnSpLocks noChangeShapeType="1"/>
                        </wps:cNvCnPr>
                        <wps:spPr bwMode="auto">
                          <a:xfrm>
                            <a:off x="3354705" y="4729059"/>
                            <a:ext cx="260985" cy="635"/>
                          </a:xfrm>
                          <a:prstGeom prst="straightConnector1">
                            <a:avLst/>
                          </a:prstGeom>
                          <a:noFill/>
                          <a:ln w="9525">
                            <a:solidFill>
                              <a:srgbClr val="000000"/>
                            </a:solidFill>
                            <a:round/>
                            <a:tailEnd type="triangle" w="med" len="med"/>
                          </a:ln>
                        </wps:spPr>
                        <wps:bodyPr/>
                      </wps:wsp>
                      <wps:wsp>
                        <wps:cNvPr id="452" name="AutoShape 435"/>
                        <wps:cNvCnPr>
                          <a:cxnSpLocks noChangeShapeType="1"/>
                        </wps:cNvCnPr>
                        <wps:spPr bwMode="auto">
                          <a:xfrm>
                            <a:off x="3164840" y="6035889"/>
                            <a:ext cx="260985" cy="635"/>
                          </a:xfrm>
                          <a:prstGeom prst="straightConnector1">
                            <a:avLst/>
                          </a:prstGeom>
                          <a:noFill/>
                          <a:ln w="9525">
                            <a:solidFill>
                              <a:srgbClr val="000000"/>
                            </a:solidFill>
                            <a:round/>
                            <a:tailEnd type="triangle" w="med" len="med"/>
                          </a:ln>
                        </wps:spPr>
                        <wps:bodyPr/>
                      </wps:wsp>
                      <wps:wsp>
                        <wps:cNvPr id="453" name="Rectangle 122"/>
                        <wps:cNvSpPr>
                          <a:spLocks noChangeArrowheads="1"/>
                        </wps:cNvSpPr>
                        <wps:spPr bwMode="auto">
                          <a:xfrm>
                            <a:off x="1140460" y="543433"/>
                            <a:ext cx="1052830" cy="307975"/>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切割下料</w:t>
                              </w:r>
                            </w:p>
                          </w:txbxContent>
                        </wps:txbx>
                        <wps:bodyPr rot="0" vert="horz" wrap="square" lIns="91440" tIns="45720" rIns="91440" bIns="45720" anchor="t" anchorCtr="0" upright="1">
                          <a:noAutofit/>
                        </wps:bodyPr>
                      </wps:wsp>
                      <wps:wsp>
                        <wps:cNvPr id="454" name="Rectangle 122"/>
                        <wps:cNvSpPr>
                          <a:spLocks noChangeArrowheads="1"/>
                        </wps:cNvSpPr>
                        <wps:spPr bwMode="auto">
                          <a:xfrm>
                            <a:off x="1140460" y="986493"/>
                            <a:ext cx="1052830" cy="307975"/>
                          </a:xfrm>
                          <a:prstGeom prst="rect">
                            <a:avLst/>
                          </a:prstGeom>
                          <a:solidFill>
                            <a:srgbClr val="FFFFFF"/>
                          </a:solidFill>
                          <a:ln w="9525">
                            <a:solidFill>
                              <a:srgbClr val="000000"/>
                            </a:solidFill>
                            <a:miter lim="800000"/>
                          </a:ln>
                          <a:effectLst/>
                        </wps:spPr>
                        <wps:txbx>
                          <w:txbxContent>
                            <w:p>
                              <w:pPr>
                                <w:jc w:val="center"/>
                                <w:rPr>
                                  <w:sz w:val="24"/>
                                </w:rPr>
                              </w:pPr>
                              <w:r>
                                <w:rPr>
                                  <w:rFonts w:hint="eastAsia"/>
                                  <w:sz w:val="24"/>
                                </w:rPr>
                                <w:t>折弯</w:t>
                              </w:r>
                            </w:p>
                          </w:txbxContent>
                        </wps:txbx>
                        <wps:bodyPr rot="0" vert="horz" wrap="square" lIns="91440" tIns="45720" rIns="91440" bIns="45720" anchor="t" anchorCtr="0" upright="1">
                          <a:noAutofit/>
                        </wps:bodyPr>
                      </wps:wsp>
                      <wps:wsp>
                        <wps:cNvPr id="455" name="AutoShape 165"/>
                        <wps:cNvCnPr>
                          <a:cxnSpLocks noChangeShapeType="1"/>
                          <a:stCxn id="1197" idx="1"/>
                          <a:endCxn id="1200" idx="3"/>
                        </wps:cNvCnPr>
                        <wps:spPr bwMode="auto">
                          <a:xfrm flipH="1" flipV="1">
                            <a:off x="931545" y="683032"/>
                            <a:ext cx="208915" cy="14389"/>
                          </a:xfrm>
                          <a:prstGeom prst="straightConnector1">
                            <a:avLst/>
                          </a:prstGeom>
                          <a:noFill/>
                          <a:ln w="9525">
                            <a:solidFill>
                              <a:srgbClr val="000000"/>
                            </a:solidFill>
                            <a:prstDash val="dash"/>
                            <a:round/>
                            <a:tailEnd type="triangle" w="med" len="med"/>
                          </a:ln>
                        </wps:spPr>
                        <wps:bodyPr/>
                      </wps:wsp>
                      <wps:wsp>
                        <wps:cNvPr id="456" name="Rectangle 164"/>
                        <wps:cNvSpPr>
                          <a:spLocks noChangeArrowheads="1"/>
                        </wps:cNvSpPr>
                        <wps:spPr bwMode="auto">
                          <a:xfrm>
                            <a:off x="165735" y="495072"/>
                            <a:ext cx="765810" cy="375920"/>
                          </a:xfrm>
                          <a:prstGeom prst="rect">
                            <a:avLst/>
                          </a:prstGeom>
                          <a:noFill/>
                          <a:ln>
                            <a:noFill/>
                          </a:ln>
                          <a:effectLst/>
                        </wps:spPr>
                        <wps:txbx>
                          <w:txbxContent>
                            <w:p>
                              <w:pPr>
                                <w:jc w:val="center"/>
                                <w:rPr>
                                  <w:sz w:val="18"/>
                                </w:rPr>
                              </w:pPr>
                              <w:r>
                                <w:rPr>
                                  <w:sz w:val="18"/>
                                </w:rPr>
                                <w:t>噪声、边角料</w:t>
                              </w:r>
                              <w:r>
                                <w:rPr>
                                  <w:rFonts w:hint="eastAsia"/>
                                  <w:sz w:val="18"/>
                                </w:rPr>
                                <w:t>、废机油</w:t>
                              </w:r>
                            </w:p>
                          </w:txbxContent>
                        </wps:txbx>
                        <wps:bodyPr rot="0" vert="horz" wrap="square" lIns="0" tIns="0" rIns="0" bIns="0" anchor="t" anchorCtr="0" upright="1">
                          <a:noAutofit/>
                        </wps:bodyPr>
                      </wps:wsp>
                      <wps:wsp>
                        <wps:cNvPr id="457" name="AutoShape 165"/>
                        <wps:cNvCnPr>
                          <a:cxnSpLocks noChangeShapeType="1"/>
                          <a:stCxn id="1198" idx="1"/>
                          <a:endCxn id="1202" idx="3"/>
                        </wps:cNvCnPr>
                        <wps:spPr bwMode="auto">
                          <a:xfrm flipH="1" flipV="1">
                            <a:off x="931484" y="1124944"/>
                            <a:ext cx="208976" cy="15537"/>
                          </a:xfrm>
                          <a:prstGeom prst="straightConnector1">
                            <a:avLst/>
                          </a:prstGeom>
                          <a:noFill/>
                          <a:ln w="9525">
                            <a:solidFill>
                              <a:srgbClr val="000000"/>
                            </a:solidFill>
                            <a:prstDash val="dash"/>
                            <a:round/>
                            <a:tailEnd type="triangle" w="med" len="med"/>
                          </a:ln>
                        </wps:spPr>
                        <wps:bodyPr/>
                      </wps:wsp>
                      <wps:wsp>
                        <wps:cNvPr id="458" name="Rectangle 164"/>
                        <wps:cNvSpPr>
                          <a:spLocks noChangeArrowheads="1"/>
                        </wps:cNvSpPr>
                        <wps:spPr bwMode="auto">
                          <a:xfrm>
                            <a:off x="452487" y="1023780"/>
                            <a:ext cx="478997" cy="202338"/>
                          </a:xfrm>
                          <a:prstGeom prst="rect">
                            <a:avLst/>
                          </a:prstGeom>
                          <a:noFill/>
                          <a:ln>
                            <a:noFill/>
                          </a:ln>
                          <a:effectLst/>
                        </wps:spPr>
                        <wps:txbx>
                          <w:txbxContent>
                            <w:p>
                              <w:pPr>
                                <w:jc w:val="center"/>
                                <w:rPr>
                                  <w:sz w:val="18"/>
                                </w:rPr>
                              </w:pPr>
                              <w:r>
                                <w:rPr>
                                  <w:sz w:val="18"/>
                                </w:rPr>
                                <w:t>噪声</w:t>
                              </w:r>
                            </w:p>
                          </w:txbxContent>
                        </wps:txbx>
                        <wps:bodyPr rot="0" vert="horz" wrap="square" lIns="0" tIns="0" rIns="0" bIns="0" anchor="t" anchorCtr="0" upright="1">
                          <a:noAutofit/>
                        </wps:bodyPr>
                      </wps:wsp>
                      <wps:wsp>
                        <wps:cNvPr id="459" name="Rectangle 427"/>
                        <wps:cNvSpPr>
                          <a:spLocks noChangeArrowheads="1"/>
                        </wps:cNvSpPr>
                        <wps:spPr bwMode="auto">
                          <a:xfrm>
                            <a:off x="2980336" y="2091920"/>
                            <a:ext cx="469265" cy="335409"/>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60" name="Rectangle 434"/>
                        <wps:cNvSpPr>
                          <a:spLocks noChangeArrowheads="1"/>
                        </wps:cNvSpPr>
                        <wps:spPr bwMode="auto">
                          <a:xfrm>
                            <a:off x="2451764" y="3926853"/>
                            <a:ext cx="469265" cy="334645"/>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61" name="Rectangle 434"/>
                        <wps:cNvSpPr>
                          <a:spLocks noChangeArrowheads="1"/>
                        </wps:cNvSpPr>
                        <wps:spPr bwMode="auto">
                          <a:xfrm>
                            <a:off x="2406017" y="5202736"/>
                            <a:ext cx="469265" cy="334645"/>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62" name="Rectangle 431"/>
                        <wps:cNvSpPr>
                          <a:spLocks noChangeArrowheads="1"/>
                        </wps:cNvSpPr>
                        <wps:spPr bwMode="auto">
                          <a:xfrm>
                            <a:off x="2906454" y="5900163"/>
                            <a:ext cx="469265" cy="374650"/>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s:wsp>
                        <wps:cNvPr id="463" name="Rectangle 434"/>
                        <wps:cNvSpPr>
                          <a:spLocks noChangeArrowheads="1"/>
                        </wps:cNvSpPr>
                        <wps:spPr bwMode="auto">
                          <a:xfrm>
                            <a:off x="2934972" y="4567025"/>
                            <a:ext cx="469265" cy="334645"/>
                          </a:xfrm>
                          <a:prstGeom prst="rect">
                            <a:avLst/>
                          </a:prstGeom>
                          <a:noFill/>
                          <a:ln>
                            <a:noFill/>
                          </a:ln>
                          <a:effectLst/>
                        </wps:spPr>
                        <wps:txbx>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wps:txbx>
                        <wps:bodyPr rot="0" vert="horz" wrap="square" lIns="0" tIns="0" rIns="0" bIns="0" anchor="t" anchorCtr="0" upright="1">
                          <a:noAutofit/>
                        </wps:bodyPr>
                      </wps:wsp>
                    </wpc:wpc>
                  </a:graphicData>
                </a:graphic>
              </wp:inline>
            </w:drawing>
          </mc:Choice>
          <mc:Fallback>
            <w:pict>
              <v:group id="画布 120" o:spid="_x0000_s1026" o:spt="203" style="height:627.2pt;width:453.5pt;" coordsize="5759450,7965440" editas="canvas" o:gfxdata="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">
                <o:lock v:ext="edit" aspectratio="f"/>
                <v:shape id="画布 120" o:spid="_x0000_s1026" style="position:absolute;left:0;top:0;height:7965440;width:5759450;" filled="f" stroked="f" coordsize="21600,21600" o:gfxdata="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">
                  <v:fill on="f" focussize="0,0"/>
                  <v:stroke on="f"/>
                  <v:imagedata o:title=""/>
                  <o:lock v:ext="edit" aspectratio="t"/>
                </v:shape>
                <v:rect id="Rectangle 122" o:spid="_x0000_s1026" o:spt="1" style="position:absolute;left:1140460;top:1486114;height:307975;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4SkXVAAAABgEAAA8AAAAAAAAAAQAgAAAAIgAAAGRy&#10;cy9kb3ducmV2LnhtbFBLAQIUABQAAAAIAIdO4kDraooxQQIAAJsEAAAOAAAAAAAAAAEAIAAAACQ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焊接</w:t>
                        </w:r>
                      </w:p>
                    </w:txbxContent>
                  </v:textbox>
                </v:rect>
                <v:rect id="Rectangle 123" o:spid="_x0000_s1026" o:spt="1" style="position:absolute;left:1140460;top:2091904;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jhKRdUAAAAGAQAADwAAAAAAAAABACAAAAAiAAAA&#10;ZHJzL2Rvd25yZXYueG1sUEsBAhQAFAAAAAgAh07iQNy6+HFDAgAAmwQAAA4AAAAAAAAAAQAgAAAA&#10;JAEAAGRycy9lMm9Eb2MueG1sUEsFBgAAAAAGAAYAWQEAANkFAAAAAA==&#10;">
                  <v:fill on="t" focussize="0,0"/>
                  <v:stroke color="#000000" miterlimit="8" joinstyle="miter"/>
                  <v:imagedata o:title=""/>
                  <o:lock v:ext="edit" aspectratio="f"/>
                  <v:textbox>
                    <w:txbxContent>
                      <w:p>
                        <w:pPr>
                          <w:jc w:val="center"/>
                          <w:rPr>
                            <w:sz w:val="24"/>
                          </w:rPr>
                        </w:pPr>
                        <w:r>
                          <w:rPr>
                            <w:sz w:val="24"/>
                          </w:rPr>
                          <w:t>除油</w:t>
                        </w:r>
                      </w:p>
                    </w:txbxContent>
                  </v:textbox>
                </v:rect>
                <v:rect id="Rectangle 124" o:spid="_x0000_s1026" o:spt="1" style="position:absolute;left:1140460;top:30066;height:307975;width:1052830;" filled="f" stroked="f" coordsize="21600,21600" o:gfxdata="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tFJGu2AAAAAYBAAAPAAAAAAAA&#10;AAEAIAAAACIAAABkcnMvZG93bnJldi54bWxQSwECFAAUAAAACACHTuJAOe8ypxICAAAnBAAADgAA&#10;AAAAAAABACAAAAAnAQAAZHJzL2Uyb0RvYy54bWxQSwUGAAAAAAYABgBZAQAAqwUAAAAA&#10;">
                  <v:fill on="f" focussize="0,0"/>
                  <v:stroke on="f"/>
                  <v:imagedata o:title=""/>
                  <o:lock v:ext="edit" aspectratio="f"/>
                  <v:textbox>
                    <w:txbxContent>
                      <w:p>
                        <w:pPr>
                          <w:jc w:val="center"/>
                          <w:rPr>
                            <w:sz w:val="24"/>
                          </w:rPr>
                        </w:pPr>
                        <w:r>
                          <w:rPr>
                            <w:sz w:val="24"/>
                          </w:rPr>
                          <w:t>外购板材</w:t>
                        </w:r>
                      </w:p>
                      <w:p>
                        <w:pPr>
                          <w:jc w:val="center"/>
                          <w:rPr>
                            <w:sz w:val="24"/>
                          </w:rPr>
                        </w:pPr>
                      </w:p>
                    </w:txbxContent>
                  </v:textbox>
                </v:rect>
                <v:rect id="Rectangle 125" o:spid="_x0000_s1026" o:spt="1" style="position:absolute;left:1097280;top:2719284;height:307340;width:1138555;"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&#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4SkXVAAAABgEAAA8AAAAAAAAAAQAgAAAAIgAAAGRy&#10;cy9kb3ducmV2LnhtbFBLAQIUABQAAAAIAIdO4kAws099QQIAAJsEAAAOAAAAAAAAAAEAIAAAACQ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二级逆流水洗</w:t>
                        </w:r>
                      </w:p>
                    </w:txbxContent>
                  </v:textbox>
                </v:rect>
                <v:rect id="Rectangle 126" o:spid="_x0000_s1026" o:spt="1" style="position:absolute;left:1140460;top:3346029;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&#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4SkXVAAAABgEAAA8AAAAAAAAAAQAgAAAAIgAAAGRy&#10;cy9kb3ducmV2LnhtbFBLAQIUABQAAAAIAIdO4kCXcoFdQQIAAJsEAAAOAAAAAAAAAAEAIAAAACQ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酸洗</w:t>
                        </w:r>
                      </w:p>
                    </w:txbxContent>
                  </v:textbox>
                </v:rect>
                <v:rect id="Rectangle 127" o:spid="_x0000_s1026" o:spt="1" style="position:absolute;left:1079500;top:3951819;height:307340;width:117856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jhKRdUAAAAGAQAADwAAAAAAAAABACAAAAAiAAAA&#10;ZHJzL2Rvd25yZXYueG1sUEsBAhQAFAAAAAgAh07iQILAh3tDAgAAmwQAAA4AAAAAAAAAAQAgAAAA&#10;JAEAAGRycy9lMm9Eb2MueG1sUEsFBgAAAAAGAAYAWQEAANkFAAAAAA==&#10;">
                  <v:fill on="t" focussize="0,0"/>
                  <v:stroke color="#000000" miterlimit="8" joinstyle="miter"/>
                  <v:imagedata o:title=""/>
                  <o:lock v:ext="edit" aspectratio="f"/>
                  <v:textbox>
                    <w:txbxContent>
                      <w:p>
                        <w:pPr>
                          <w:jc w:val="center"/>
                          <w:rPr>
                            <w:sz w:val="24"/>
                          </w:rPr>
                        </w:pPr>
                        <w:r>
                          <w:rPr>
                            <w:rFonts w:hint="eastAsia"/>
                            <w:sz w:val="24"/>
                          </w:rPr>
                          <w:t>水洗</w:t>
                        </w:r>
                      </w:p>
                    </w:txbxContent>
                  </v:textbox>
                </v:rect>
                <v:rect id="Rectangle 128" o:spid="_x0000_s1026" o:spt="1" style="position:absolute;left:1140460;top:4596344;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I4SkXVAAAABgEAAA8AAAAAAAAAAQAgAAAAIgAA&#10;AGRycy9kb3ducmV2LnhtbFBLAQIUABQAAAAIAIdO4kBuEeBvRAIAAJsEAAAOAAAAAAAAAAEAIAAA&#10;ACQBAABkcnMvZTJvRG9jLnhtbFBLBQYAAAAABgAGAFkBAADaBQAAAAA=&#10;">
                  <v:fill on="t" focussize="0,0"/>
                  <v:stroke color="#000000" miterlimit="8" joinstyle="miter"/>
                  <v:imagedata o:title=""/>
                  <o:lock v:ext="edit" aspectratio="f"/>
                  <v:textbox>
                    <w:txbxContent>
                      <w:p>
                        <w:pPr>
                          <w:jc w:val="center"/>
                          <w:rPr>
                            <w:sz w:val="24"/>
                          </w:rPr>
                        </w:pPr>
                        <w:r>
                          <w:rPr>
                            <w:sz w:val="24"/>
                          </w:rPr>
                          <w:t>酸活化</w:t>
                        </w:r>
                      </w:p>
                    </w:txbxContent>
                  </v:textbox>
                </v:rect>
                <v:rect id="Rectangle 129" o:spid="_x0000_s1026" o:spt="1" style="position:absolute;left:1140460;top:5228804;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I4SkXVAAAABgEAAA8AAAAAAAAAAQAgAAAAIgAA&#10;AGRycy9kb3ducmV2LnhtbFBLAQIUABQAAAAIAIdO4kDn8zLVRAIAAJsEAAAOAAAAAAAAAAEAIAAA&#10;ACQBAABkcnMvZTJvRG9jLnhtbFBLBQYAAAAABgAGAFkBAADaBQAAAAA=&#10;">
                  <v:fill on="t" focussize="0,0"/>
                  <v:stroke color="#000000" miterlimit="8" joinstyle="miter"/>
                  <v:imagedata o:title=""/>
                  <o:lock v:ext="edit" aspectratio="f"/>
                  <v:textbox>
                    <w:txbxContent>
                      <w:p>
                        <w:pPr>
                          <w:jc w:val="center"/>
                          <w:rPr>
                            <w:sz w:val="24"/>
                          </w:rPr>
                        </w:pPr>
                        <w:r>
                          <w:rPr>
                            <w:sz w:val="24"/>
                          </w:rPr>
                          <w:t>水洗</w:t>
                        </w:r>
                      </w:p>
                    </w:txbxContent>
                  </v:textbox>
                </v:rect>
                <v:rect id="Rectangle 130" o:spid="_x0000_s1026" o:spt="1" style="position:absolute;left:917575;top:6459434;height:307340;width:148844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4SkXVAAAABgEAAA8AAAAAAAAAAQAgAAAAIgAAAGRy&#10;cy9kb3ducmV2LnhtbFBLAQIUABQAAAAIAIdO4kCKDhhtQQIAAJoEAAAOAAAAAAAAAAEAIAAAACQ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三步纯水回收水洗</w:t>
                        </w:r>
                      </w:p>
                    </w:txbxContent>
                  </v:textbox>
                </v:rect>
                <v:rect id="Rectangle 131" o:spid="_x0000_s1026" o:spt="1" style="position:absolute;left:1140460;top:5836499;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jhKRdUAAAAGAQAADwAAAAAAAAABACAAAAAiAAAA&#10;ZHJzL2Rvd25yZXYueG1sUEsBAhQAFAAAAAgAh07iQFCY60VDAgAAmwQAAA4AAAAAAAAAAQAgAAAA&#10;JAEAAGRycy9lMm9Eb2MueG1sUEsFBgAAAAAGAAYAWQEAANkFAAAAAA==&#10;">
                  <v:fill on="t" focussize="0,0"/>
                  <v:stroke color="#000000" miterlimit="8" joinstyle="miter"/>
                  <v:imagedata o:title=""/>
                  <o:lock v:ext="edit" aspectratio="f"/>
                  <v:textbox>
                    <w:txbxContent>
                      <w:p>
                        <w:pPr>
                          <w:jc w:val="center"/>
                          <w:rPr>
                            <w:sz w:val="24"/>
                          </w:rPr>
                        </w:pPr>
                        <w:r>
                          <w:rPr>
                            <w:sz w:val="24"/>
                          </w:rPr>
                          <w:t>镀锌</w:t>
                        </w:r>
                      </w:p>
                    </w:txbxContent>
                  </v:textbox>
                </v:rect>
                <v:rect id="Rectangle 132" o:spid="_x0000_s1026" o:spt="1" style="position:absolute;left:1140460;top:7132534;height:307975;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yOEpF1QAAAAYBAAAPAAAAAAAAAAEAIAAAACIAAABk&#10;cnMvZG93bnJldi54bWxQSwECFAAUAAAACACHTuJARVbzZEICAACbBAAADgAAAAAAAAABACAAAAAk&#10;AQAAZHJzL2Uyb0RvYy54bWxQSwUGAAAAAAYABgBZAQAA2AUAAAAA&#10;">
                  <v:fill on="t" focussize="0,0"/>
                  <v:stroke color="#000000" miterlimit="8" joinstyle="miter"/>
                  <v:imagedata o:title=""/>
                  <o:lock v:ext="edit" aspectratio="f"/>
                  <v:textbox>
                    <w:txbxContent>
                      <w:p>
                        <w:pPr>
                          <w:jc w:val="center"/>
                          <w:rPr>
                            <w:sz w:val="24"/>
                          </w:rPr>
                        </w:pPr>
                        <w:r>
                          <w:rPr>
                            <w:sz w:val="24"/>
                          </w:rPr>
                          <w:t>出光</w:t>
                        </w:r>
                      </w:p>
                    </w:txbxContent>
                  </v:textbox>
                </v:rect>
                <v:rect id="Rectangle 133" o:spid="_x0000_s1026" o:spt="1" style="position:absolute;left:3617595;top:2091904;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I4SkXVAAAABgEAAA8AAAAAAAAAAQAgAAAAIgAA&#10;AGRycy9kb3ducmV2LnhtbFBLAQIUABQAAAAIAIdO4kBVI76QRAIAAJsEAAAOAAAAAAAAAAEAIAAA&#10;ACQBAABkcnMvZTJvRG9jLnhtbFBLBQYAAAAABgAGAFkBAADaBQAAAAA=&#10;">
                  <v:fill on="t" focussize="0,0"/>
                  <v:stroke color="#000000" miterlimit="8" joinstyle="miter"/>
                  <v:imagedata o:title=""/>
                  <o:lock v:ext="edit" aspectratio="f"/>
                  <v:textbox>
                    <w:txbxContent>
                      <w:p>
                        <w:pPr>
                          <w:jc w:val="center"/>
                          <w:rPr>
                            <w:sz w:val="24"/>
                          </w:rPr>
                        </w:pPr>
                        <w:r>
                          <w:rPr>
                            <w:sz w:val="24"/>
                          </w:rPr>
                          <w:t>水洗</w:t>
                        </w:r>
                      </w:p>
                    </w:txbxContent>
                  </v:textbox>
                </v:rect>
                <v:rect id="Rectangle 134" o:spid="_x0000_s1026" o:spt="1" style="position:absolute;left:3573145;top:3603204;height:307340;width:1138555;"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jhKRdUAAAAGAQAADwAAAAAAAAABACAAAAAiAAAA&#10;ZHJzL2Rvd25yZXYueG1sUEsBAhQAFAAAAAgAh07iQHYHVBRDAgAAmwQAAA4AAAAAAAAAAQAgAAAA&#10;JAEAAGRycy9lMm9Eb2MueG1sUEsFBgAAAAAGAAYAWQEAANkFAAAAAA==&#10;">
                  <v:fill on="t" focussize="0,0"/>
                  <v:stroke color="#000000" miterlimit="8" joinstyle="miter"/>
                  <v:imagedata o:title=""/>
                  <o:lock v:ext="edit" aspectratio="f"/>
                  <v:textbox>
                    <w:txbxContent>
                      <w:p>
                        <w:pPr>
                          <w:jc w:val="center"/>
                          <w:rPr>
                            <w:sz w:val="24"/>
                          </w:rPr>
                        </w:pPr>
                        <w:r>
                          <w:rPr>
                            <w:rFonts w:hint="eastAsia"/>
                            <w:sz w:val="24"/>
                          </w:rPr>
                          <w:t>三级逆流水洗</w:t>
                        </w:r>
                      </w:p>
                    </w:txbxContent>
                  </v:textbox>
                </v:rect>
                <v:rect id="Rectangle 135" o:spid="_x0000_s1026" o:spt="1" style="position:absolute;left:3617595;top:2718014;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yOEpF1QAAAAYBAAAPAAAAAAAAAAEAIAAAACIA&#10;AABkcnMvZG93bnJldi54bWxQSwECFAAUAAAACACHTuJAhZPJVkUCAACbBAAADgAAAAAAAAABACAA&#10;AAAkAQAAZHJzL2Uyb0RvYy54bWxQSwUGAAAAAAYABgBZAQAA2wUAAAAA&#10;">
                  <v:fill on="t" focussize="0,0"/>
                  <v:stroke color="#000000" miterlimit="8" joinstyle="miter"/>
                  <v:imagedata o:title=""/>
                  <o:lock v:ext="edit" aspectratio="f"/>
                  <v:textbox>
                    <w:txbxContent>
                      <w:p>
                        <w:pPr>
                          <w:jc w:val="center"/>
                          <w:rPr>
                            <w:sz w:val="24"/>
                          </w:rPr>
                        </w:pPr>
                        <w:r>
                          <w:rPr>
                            <w:sz w:val="24"/>
                          </w:rPr>
                          <w:t>钝化</w:t>
                        </w:r>
                      </w:p>
                    </w:txbxContent>
                  </v:textbox>
                </v:rect>
                <v:rect id="Rectangle 137" o:spid="_x0000_s1026" o:spt="1" style="position:absolute;left:3618865;top:4570309;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yOEpF1QAAAAYBAAAPAAAAAAAAAAEAIAAAACIAAABk&#10;cnMvZG93bnJldi54bWxQSwECFAAUAAAACACHTuJA9n/LRUICAACbBAAADgAAAAAAAAABACAAAAAk&#10;AQAAZHJzL2Uyb0RvYy54bWxQSwUGAAAAAAYABgBZAQAA2AUAAAAA&#10;">
                  <v:fill on="t" focussize="0,0"/>
                  <v:stroke color="#000000" miterlimit="8" joinstyle="miter"/>
                  <v:imagedata o:title=""/>
                  <o:lock v:ext="edit" aspectratio="f"/>
                  <v:textbox>
                    <w:txbxContent>
                      <w:p>
                        <w:pPr>
                          <w:jc w:val="center"/>
                          <w:rPr>
                            <w:sz w:val="24"/>
                          </w:rPr>
                        </w:pPr>
                        <w:r>
                          <w:rPr>
                            <w:rFonts w:hint="eastAsia"/>
                            <w:sz w:val="24"/>
                          </w:rPr>
                          <w:t>纯水漂洗</w:t>
                        </w:r>
                      </w:p>
                    </w:txbxContent>
                  </v:textbox>
                </v:rect>
                <v:rect id="Rectangle 138" o:spid="_x0000_s1026" o:spt="1" style="position:absolute;left:3623310;top:5232614;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8jhKRdUAAAAGAQAADwAAAAAAAAABACAAAAAiAAAAZHJz&#10;L2Rvd25yZXYueG1sUEsBAhQAFAAAAAgAh07iQP3x4+lAAgAAmwQAAA4AAAAAAAAAAQAgAAAAJAEA&#10;AGRycy9lMm9Eb2MueG1sUEsFBgAAAAAGAAYAWQEAANYFAAAAAA==&#10;">
                  <v:fill on="t" focussize="0,0"/>
                  <v:stroke color="#000000" miterlimit="8" joinstyle="miter"/>
                  <v:imagedata o:title=""/>
                  <o:lock v:ext="edit" aspectratio="f"/>
                  <v:textbox>
                    <w:txbxContent>
                      <w:p>
                        <w:pPr>
                          <w:jc w:val="center"/>
                          <w:rPr>
                            <w:sz w:val="24"/>
                          </w:rPr>
                        </w:pPr>
                        <w:r>
                          <w:rPr>
                            <w:sz w:val="24"/>
                          </w:rPr>
                          <w:t>封闭</w:t>
                        </w:r>
                      </w:p>
                    </w:txbxContent>
                  </v:textbox>
                </v:rect>
                <v:rect id="Rectangle 139" o:spid="_x0000_s1026" o:spt="1" style="position:absolute;left:3401695;top:5868249;height:307340;width:148844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jhKRdUAAAAGAQAADwAAAAAAAAABACAAAAAiAAAA&#10;ZHJzL2Rvd25yZXYueG1sUEsBAhQAFAAAAAgAh07iQNAYA39DAgAAmwQAAA4AAAAAAAAAAQAgAAAA&#10;JAEAAGRycy9lMm9Eb2MueG1sUEsFBgAAAAAGAAYAWQEAANkFAAAAAA==&#10;">
                  <v:fill on="t" focussize="0,0"/>
                  <v:stroke color="#000000" miterlimit="8" joinstyle="miter"/>
                  <v:imagedata o:title=""/>
                  <o:lock v:ext="edit" aspectratio="f"/>
                  <v:textbox>
                    <w:txbxContent>
                      <w:p>
                        <w:pPr>
                          <w:jc w:val="center"/>
                          <w:rPr>
                            <w:sz w:val="24"/>
                          </w:rPr>
                        </w:pPr>
                        <w:r>
                          <w:rPr>
                            <w:rFonts w:hint="eastAsia"/>
                            <w:sz w:val="24"/>
                          </w:rPr>
                          <w:t>纯水二级逆流水洗</w:t>
                        </w:r>
                      </w:p>
                    </w:txbxContent>
                  </v:textbox>
                </v:rect>
                <v:rect id="Rectangle 140" o:spid="_x0000_s1026" o:spt="1" style="position:absolute;left:3620135;top:6488009;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yOEpF1QAAAAYBAAAPAAAAAAAAAAEAIAAAACIA&#10;AABkcnMvZG93bnJldi54bWxQSwECFAAUAAAACACHTuJAtPU7pEUCAACbBAAADgAAAAAAAAABACAA&#10;AAAkAQAAZHJzL2Uyb0RvYy54bWxQSwUGAAAAAAYABgBZAQAA2wUAAAAA&#10;">
                  <v:fill on="t" focussize="0,0"/>
                  <v:stroke color="#000000" miterlimit="8" joinstyle="miter"/>
                  <v:imagedata o:title=""/>
                  <o:lock v:ext="edit" aspectratio="f"/>
                  <v:textbox>
                    <w:txbxContent>
                      <w:p>
                        <w:pPr>
                          <w:jc w:val="center"/>
                          <w:rPr>
                            <w:sz w:val="24"/>
                          </w:rPr>
                        </w:pPr>
                        <w:r>
                          <w:rPr>
                            <w:sz w:val="24"/>
                          </w:rPr>
                          <w:t>烘干</w:t>
                        </w:r>
                      </w:p>
                    </w:txbxContent>
                  </v:textbox>
                </v:rect>
                <v:rect id="Rectangle 141" o:spid="_x0000_s1026" o:spt="1" style="position:absolute;left:3620135;top:7097609;height:308610;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I4SkXVAAAABgEAAA8AAAAAAAAAAQAgAAAAIgAA&#10;AGRycy9kb3ducmV2LnhtbFBLAQIUABQAAAAIAIdO4kC1JUqnRAIAAJsEAAAOAAAAAAAAAAEAIAAA&#10;ACQBAABkcnMvZTJvRG9jLnhtbFBLBQYAAAAABgAGAFkBAADaBQAAAAA=&#10;">
                  <v:fill on="t" focussize="0,0"/>
                  <v:stroke color="#000000" miterlimit="8" joinstyle="miter"/>
                  <v:imagedata o:title=""/>
                  <o:lock v:ext="edit" aspectratio="f"/>
                  <v:textbox>
                    <w:txbxContent>
                      <w:p>
                        <w:pPr>
                          <w:jc w:val="center"/>
                          <w:rPr>
                            <w:sz w:val="24"/>
                          </w:rPr>
                        </w:pPr>
                        <w:r>
                          <w:rPr>
                            <w:sz w:val="24"/>
                          </w:rPr>
                          <w:t>检验</w:t>
                        </w:r>
                      </w:p>
                    </w:txbxContent>
                  </v:textbox>
                </v:rect>
                <v:shape id="AutoShape 142" o:spid="_x0000_s1026" o:spt="32" type="#_x0000_t32" style="position:absolute;left:1666875;top:338041;height:1148073;width:0;"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LheVYNcAAAAGAQAADwAA&#10;AAAAAAABACAAAAAiAAAAZHJzL2Rvd25yZXYueG1sUEsBAhQAFAAAAAgAh07iQAw1rnkXAgAAKAQA&#10;AA4AAAAAAAAAAQAgAAAAJgEAAGRycy9lMm9Eb2MueG1sUEsFBgAAAAAGAAYAWQEAAK8FAAAAAA==&#10;">
                  <v:fill on="f" focussize="0,0"/>
                  <v:stroke color="#000000" joinstyle="round" endarrow="block"/>
                  <v:imagedata o:title=""/>
                  <o:lock v:ext="edit" aspectratio="f"/>
                </v:shape>
                <v:shape id="AutoShape 143" o:spid="_x0000_s1026" o:spt="32" type="#_x0000_t32" style="position:absolute;left:1666875;top:1794089;height:297815;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uF5Vg1wAAAAYBAAAP&#10;AAAAAAAAAAEAIAAAACIAAABkcnMvZG93bnJldi54bWxQSwECFAAUAAAACACHTuJAT5eC7BkCAAAq&#10;BAAADgAAAAAAAAABACAAAAAmAQAAZHJzL2Uyb0RvYy54bWxQSwUGAAAAAAYABgBZAQAAsQUAAAAA&#10;">
                  <v:fill on="f" focussize="0,0"/>
                  <v:stroke color="#000000" joinstyle="round" endarrow="block"/>
                  <v:imagedata o:title=""/>
                  <o:lock v:ext="edit" aspectratio="f"/>
                </v:shape>
                <v:shape id="AutoShape 144" o:spid="_x0000_s1026" o:spt="32" type="#_x0000_t32" style="position:absolute;left:1666875;top:2400514;height:318770;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heVYNcAAAAGAQAA&#10;DwAAAAAAAAABACAAAAAiAAAAZHJzL2Rvd25yZXYueG1sUEsBAhQAFAAAAAgAh07iQCEfVl0aAgAA&#10;KgQAAA4AAAAAAAAAAQAgAAAAJgEAAGRycy9lMm9Eb2MueG1sUEsFBgAAAAAGAAYAWQEAALIFAAAA&#10;AA==&#10;">
                  <v:fill on="f" focussize="0,0"/>
                  <v:stroke color="#000000" joinstyle="round" endarrow="block"/>
                  <v:imagedata o:title=""/>
                  <o:lock v:ext="edit" aspectratio="f"/>
                </v:shape>
                <v:shape id="AutoShape 145" o:spid="_x0000_s1026" o:spt="32" type="#_x0000_t32" style="position:absolute;left:1666875;top:3026624;height:319405;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heVYNcAAAAGAQAA&#10;DwAAAAAAAAABACAAAAAiAAAAZHJzL2Rvd25yZXYueG1sUEsBAhQAFAAAAAgAh07iQK5V+I8aAgAA&#10;KgQAAA4AAAAAAAAAAQAgAAAAJgEAAGRycy9lMm9Eb2MueG1sUEsFBgAAAAAGAAYAWQEAALIFAAAA&#10;AA==&#10;">
                  <v:fill on="f" focussize="0,0"/>
                  <v:stroke color="#000000" joinstyle="round" endarrow="block"/>
                  <v:imagedata o:title=""/>
                  <o:lock v:ext="edit" aspectratio="f"/>
                </v:shape>
                <v:shape id="AutoShape 146" o:spid="_x0000_s1026" o:spt="32" type="#_x0000_t32" style="position:absolute;left:1666875;top:3654639;height:297180;width:190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4XlWDXAAAABgEA&#10;AA8AAAAAAAAAAQAgAAAAIgAAAGRycy9kb3ducmV2LnhtbFBLAQIUABQAAAAIAIdO4kDcU6zpGwIA&#10;ACsEAAAOAAAAAAAAAAEAIAAAACYBAABkcnMvZTJvRG9jLnhtbFBLBQYAAAAABgAGAFkBAACzBQAA&#10;AAA=&#10;">
                  <v:fill on="f" focussize="0,0"/>
                  <v:stroke color="#000000" joinstyle="round" endarrow="block"/>
                  <v:imagedata o:title=""/>
                  <o:lock v:ext="edit" aspectratio="f"/>
                </v:shape>
                <v:shape id="AutoShape 147" o:spid="_x0000_s1026" o:spt="32" type="#_x0000_t32" style="position:absolute;left:1666875;top:4259159;flip:x;height:337185;width:190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eDzJG1gAA&#10;AAYBAAAPAAAAAAAAAAEAIAAAACIAAABkcnMvZG93bnJldi54bWxQSwECFAAUAAAACACHTuJAWJET&#10;xyACAAA1BAAADgAAAAAAAAABACAAAAAlAQAAZHJzL2Uyb0RvYy54bWxQSwUGAAAAAAYABgBZAQAA&#10;twUAAAAA&#10;">
                  <v:fill on="f" focussize="0,0"/>
                  <v:stroke color="#000000" joinstyle="round" endarrow="block"/>
                  <v:imagedata o:title=""/>
                  <o:lock v:ext="edit" aspectratio="f"/>
                </v:shape>
                <v:shape id="AutoShape 148" o:spid="_x0000_s1026" o:spt="32" type="#_x0000_t32" style="position:absolute;left:1666875;top:4904954;height:323850;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4XlWDXAAAABgEA&#10;AA8AAAAAAAAAAQAgAAAAIgAAAGRycy9kb3ducmV2LnhtbFBLAQIUABQAAAAIAIdO4kAoxKaVGwIA&#10;ACoEAAAOAAAAAAAAAAEAIAAAACYBAABkcnMvZTJvRG9jLnhtbFBLBQYAAAAABgAGAFkBAACzBQAA&#10;AAA=&#10;">
                  <v:fill on="f" focussize="0,0"/>
                  <v:stroke color="#000000" joinstyle="round" endarrow="block"/>
                  <v:imagedata o:title=""/>
                  <o:lock v:ext="edit" aspectratio="f"/>
                </v:shape>
                <v:shape id="AutoShape 149" o:spid="_x0000_s1026" o:spt="32" type="#_x0000_t32" style="position:absolute;left:1666875;top:5537414;height:299085;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heVYNcAAAAGAQAA&#10;DwAAAAAAAAABACAAAAAiAAAAZHJzL2Rvd25yZXYueG1sUEsBAhQAFAAAAAgAh07iQI06e08aAgAA&#10;KgQAAA4AAAAAAAAAAQAgAAAAJgEAAGRycy9lMm9Eb2MueG1sUEsFBgAAAAAGAAYAWQEAALIFAAAA&#10;AA==&#10;">
                  <v:fill on="f" focussize="0,0"/>
                  <v:stroke color="#000000" joinstyle="round" endarrow="block"/>
                  <v:imagedata o:title=""/>
                  <o:lock v:ext="edit" aspectratio="f"/>
                </v:shape>
                <v:shape id="AutoShape 150" o:spid="_x0000_s1026" o:spt="32" type="#_x0000_t32" style="position:absolute;left:1661795;top:6145109;flip:x;height:314325;width:5080;" filled="f" stroked="f" coordsize="21600,21600" o:gfxdata="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yG/OnTAAAA&#10;BgEAAA8AAAAAAAAAAQAgAAAAIgAAAGRycy9kb3ducmV2LnhtbFBLAQIUABQAAAAIAIdO4kDKrGUT&#10;6QEAAMsDAAAOAAAAAAAAAAEAIAAAACIBAABkcnMvZTJvRG9jLnhtbFBLBQYAAAAABgAGAFkBAAB9&#10;BQAAAAA=&#10;">
                  <v:fill on="f" focussize="0,0"/>
                  <v:stroke on="f"/>
                  <v:imagedata o:title=""/>
                  <o:lock v:ext="edit" aspectratio="f"/>
                </v:shape>
                <v:shape id="AutoShape 151" o:spid="_x0000_s1026" o:spt="32" type="#_x0000_t32" style="position:absolute;left:1661795;top:6145109;flip:x;height:314325;width:5080;"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g8yRtYA&#10;AAAGAQAADwAAAAAAAAABACAAAAAiAAAAZHJzL2Rvd25yZXYueG1sUEsBAhQAFAAAAAgAh07iQLeq&#10;B3chAgAANQQAAA4AAAAAAAAAAQAgAAAAJQEAAGRycy9lMm9Eb2MueG1sUEsFBgAAAAAGAAYAWQEA&#10;ALgFAAAAAA==&#10;">
                  <v:fill on="f" focussize="0,0"/>
                  <v:stroke color="#000000" joinstyle="round" endarrow="block"/>
                  <v:imagedata o:title=""/>
                  <o:lock v:ext="edit" aspectratio="f"/>
                </v:shape>
                <v:shape id="AutoShape 152" o:spid="_x0000_s1026" o:spt="36" type="#_x0000_t36" style="position:absolute;left:231140;top:3527639;flip:x y;height:2477135;width:5348605;rotation:5898240f;" filled="f" stroked="t" coordsize="21600,21600" o:gfxdata="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W&#10;Vzdu0wAAAAYBAAAPAAAAAAAAAAEAIAAAACIAAABkcnMvZG93bnJldi54bWxQSwECFAAUAAAACACH&#10;TuJAFJbm22ICAADPBAAADgAAAAAAAAABACAAAAAiAQAAZHJzL2Uyb0RvYy54bWxQSwUGAAAAAAYA&#10;BgBZAQAA9gUAAAAA&#10;" adj="-921,10803,22523">
                  <v:fill on="f" focussize="0,0"/>
                  <v:stroke color="#000000" miterlimit="8" joinstyle="miter" endarrow="block"/>
                  <v:imagedata o:title=""/>
                  <o:lock v:ext="edit" aspectratio="f"/>
                </v:shape>
                <v:shape id="AutoShape 153" o:spid="_x0000_s1026" o:spt="32" type="#_x0000_t32" style="position:absolute;left:4144010;top:2400514;height:317500;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uF5Vg1wAAAAYBAAAP&#10;AAAAAAAAAAEAIAAAACIAAABkcnMvZG93bnJldi54bWxQSwECFAAUAAAACACHTuJAGm5XwhkCAAAq&#10;BAAADgAAAAAAAAABACAAAAAmAQAAZHJzL2Uyb0RvYy54bWxQSwUGAAAAAAYABgBZAQAAsQUAAAAA&#10;">
                  <v:fill on="f" focussize="0,0"/>
                  <v:stroke color="#000000" joinstyle="round" endarrow="block"/>
                  <v:imagedata o:title=""/>
                  <o:lock v:ext="edit" aspectratio="f"/>
                </v:shape>
                <v:shape id="AutoShape 154" o:spid="_x0000_s1026" o:spt="32" type="#_x0000_t32" style="position:absolute;left:4142423;top:3026624;flip:x;height:576580;width:1587;"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B4PMkbW&#10;AAAABgEAAA8AAAAAAAAAAQAgAAAAIgAAAGRycy9kb3ducmV2LnhtbFBLAQIUABQAAAAIAIdO4kBq&#10;BBtXIgIAADUEAAAOAAAAAAAAAAEAIAAAACUBAABkcnMvZTJvRG9jLnhtbFBLBQYAAAAABgAGAFkB&#10;AAC5BQAAAAA=&#10;">
                  <v:fill on="f" focussize="0,0"/>
                  <v:stroke color="#000000" joinstyle="round" endarrow="block"/>
                  <v:imagedata o:title=""/>
                  <o:lock v:ext="edit" aspectratio="f"/>
                </v:shape>
                <v:shape id="AutoShape 155" o:spid="_x0000_s1026" o:spt="32" type="#_x0000_t32" style="position:absolute;left:4142423;top:3910544;height:659765;width:2857;"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heVYNcAAAAGAQAA&#10;DwAAAAAAAAABACAAAAAiAAAAZHJzL2Rvd25yZXYueG1sUEsBAhQAFAAAAAgAh07iQPfliaMaAgAA&#10;KwQAAA4AAAAAAAAAAQAgAAAAJgEAAGRycy9lMm9Eb2MueG1sUEsFBgAAAAAGAAYAWQEAALIFAAAA&#10;AA==&#10;">
                  <v:fill on="f" focussize="0,0"/>
                  <v:stroke color="#000000" joinstyle="round" endarrow="block"/>
                  <v:imagedata o:title=""/>
                  <o:lock v:ext="edit" aspectratio="f"/>
                </v:shape>
                <v:shape id="AutoShape 157" o:spid="_x0000_s1026" o:spt="32" type="#_x0000_t32" style="position:absolute;left:4145280;top:4878919;height:353695;width:444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4XlWDXAAAABgEAAA8A&#10;AAAAAAAAAQAgAAAAIgAAAGRycy9kb3ducmV2LnhtbFBLAQIUABQAAAAIAIdO4kDgdsdBGAIAACsE&#10;AAAOAAAAAAAAAAEAIAAAACYBAABkcnMvZTJvRG9jLnhtbFBLBQYAAAAABgAGAFkBAACwBQAAAAA=&#10;">
                  <v:fill on="f" focussize="0,0"/>
                  <v:stroke color="#000000" joinstyle="round" endarrow="block"/>
                  <v:imagedata o:title=""/>
                  <o:lock v:ext="edit" aspectratio="f"/>
                </v:shape>
                <v:shape id="AutoShape 158" o:spid="_x0000_s1026" o:spt="32" type="#_x0000_t32" style="position:absolute;left:4145915;top:5541224;flip:x;height:327025;width:3810;"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4PMkbWAAAA&#10;BgEAAA8AAAAAAAAAAQAgAAAAIgAAAGRycy9kb3ducmV2LnhtbFBLAQIUABQAAAAIAIdO4kAerM65&#10;HwIAADUEAAAOAAAAAAAAAAEAIAAAACUBAABkcnMvZTJvRG9jLnhtbFBLBQYAAAAABgAGAFkBAAC2&#10;BQAAAAA=&#10;">
                  <v:fill on="f" focussize="0,0"/>
                  <v:stroke color="#000000" joinstyle="round" endarrow="block"/>
                  <v:imagedata o:title=""/>
                  <o:lock v:ext="edit" aspectratio="f"/>
                </v:shape>
                <v:shape id="AutoShape 159" o:spid="_x0000_s1026" o:spt="32" type="#_x0000_t32" style="position:absolute;left:4145915;top:6175589;height:312420;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uF5Vg1wAAAAYB&#10;AAAPAAAAAAAAAAEAIAAAACIAAABkcnMvZG93bnJldi54bWxQSwECFAAUAAAACACHTuJAGmOL9hwC&#10;AAAqBAAADgAAAAAAAAABACAAAAAmAQAAZHJzL2Uyb0RvYy54bWxQSwUGAAAAAAYABgBZAQAAtAUA&#10;AAAA&#10;">
                  <v:fill on="f" focussize="0,0"/>
                  <v:stroke color="#000000" joinstyle="round" endarrow="block"/>
                  <v:imagedata o:title=""/>
                  <o:lock v:ext="edit" aspectratio="f"/>
                </v:shape>
                <v:shape id="AutoShape 160" o:spid="_x0000_s1026" o:spt="32" type="#_x0000_t32" style="position:absolute;left:4146550;top:6796619;height:300990;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4XlWDXAAAABgEA&#10;AA8AAAAAAAAAAQAgAAAAIgAAAGRycy9kb3ducmV2LnhtbFBLAQIUABQAAAAIAIdO4kB0UF3oGwIA&#10;ACoEAAAOAAAAAAAAAAEAIAAAACYBAABkcnMvZTJvRG9jLnhtbFBLBQYAAAAABgAGAFkBAACzBQAA&#10;AAA=&#10;">
                  <v:fill on="f" focussize="0,0"/>
                  <v:stroke color="#000000" joinstyle="round" endarrow="block"/>
                  <v:imagedata o:title=""/>
                  <o:lock v:ext="edit" aspectratio="f"/>
                </v:shape>
                <v:shape id="AutoShape 161" o:spid="_x0000_s1026" o:spt="32" type="#_x0000_t32" style="position:absolute;left:4146550;top:7406219;height:215900;width:635;" filled="f" stroked="f" coordsize="21600,21600" o:gfxdata="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IZEQW/VAAAABgEAAA8AAAAAAAAAAQAg&#10;AAAAIgAAAGRycy9kb3ducmV2LnhtbFBLAQIUABQAAAAIAIdO4kA4PwKv2AEAAKMDAAAOAAAAAAAA&#10;AAEAIAAAACQBAABkcnMvZTJvRG9jLnhtbFBLBQYAAAAABgAGAFkBAABuBQAAAAA=&#10;">
                  <v:fill on="f" focussize="0,0"/>
                  <v:stroke on="f"/>
                  <v:imagedata o:title=""/>
                  <o:lock v:ext="edit" aspectratio="f"/>
                </v:shape>
                <v:shape id="AutoShape 162" o:spid="_x0000_s1026" o:spt="32" type="#_x0000_t32" style="position:absolute;left:4146550;top:7406219;height:213360;width:63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4XlWDXAAAABgEAAA8AAAAAAAAA&#10;AQAgAAAAIgAAAGRycy9kb3ducmV2LnhtbFBLAQIUABQAAAAIAIdO4kDYlZdnEgIAAA0EAAAOAAAA&#10;AAAAAAEAIAAAACYBAABkcnMvZTJvRG9jLnhtbFBLBQYAAAAABgAGAFkBAACqBQAAAAA=&#10;">
                  <v:fill on="f" focussize="0,0"/>
                  <v:stroke color="#000000" joinstyle="round" endarrow="block"/>
                  <v:imagedata o:title=""/>
                  <o:lock v:ext="edit" aspectratio="f"/>
                </v:shape>
                <v:rect id="Rectangle 163" o:spid="_x0000_s1026" o:spt="1" style="position:absolute;left:3404235;top:7655774;height:308610;width:1478915;" filled="f" stroked="f" coordsize="21600,21600" o:gfxdata="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K0Uka7YAAAABgEAAA8A&#10;AAAAAAAAAQAgAAAAIgAAAGRycy9kb3ducmV2LnhtbFBLAQIUABQAAAAIAIdO4kAPihpJFwIAACkE&#10;AAAOAAAAAAAAAAEAIAAAACcBAABkcnMvZTJvRG9jLnhtbFBLBQYAAAAABgAGAFkBAACwBQAAAAA=&#10;">
                  <v:fill on="f" focussize="0,0"/>
                  <v:stroke on="f"/>
                  <v:imagedata o:title=""/>
                  <o:lock v:ext="edit" aspectratio="f"/>
                  <v:textbox>
                    <w:txbxContent>
                      <w:p>
                        <w:pPr>
                          <w:jc w:val="center"/>
                          <w:rPr>
                            <w:sz w:val="24"/>
                          </w:rPr>
                        </w:pPr>
                        <w:r>
                          <w:rPr>
                            <w:sz w:val="24"/>
                          </w:rPr>
                          <w:t>包装</w:t>
                        </w:r>
                      </w:p>
                    </w:txbxContent>
                  </v:textbox>
                </v:rect>
                <v:rect id="Rectangle 164" o:spid="_x0000_s1026" o:spt="1" style="position:absolute;left:165726;top:1532040;height:192811;width:76581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Dw2DTXAAAABgEAAA8AAAAAAAAAAQAgAAAAIgAA&#10;AGRycy9kb3ducmV2LnhtbFBLAQIUABQAAAAIAIdO4kDiJnMYCQIAABcEAAAOAAAAAAAAAAEAIAAA&#10;ACYBAABkcnMvZTJvRG9jLnhtbFBLBQYAAAAABgAGAFkBAAChBQAAAAA=&#10;">
                  <v:fill on="f" focussize="0,0"/>
                  <v:stroke on="f"/>
                  <v:imagedata o:title=""/>
                  <o:lock v:ext="edit" aspectratio="f"/>
                  <v:textbox inset="0mm,0mm,0mm,0mm">
                    <w:txbxContent>
                      <w:p>
                        <w:pPr>
                          <w:jc w:val="center"/>
                          <w:rPr>
                            <w:sz w:val="18"/>
                          </w:rPr>
                        </w:pPr>
                        <w:r>
                          <w:rPr>
                            <w:rFonts w:hint="eastAsia"/>
                            <w:sz w:val="18"/>
                          </w:rPr>
                          <w:t xml:space="preserve">  焊接烟尘</w:t>
                        </w:r>
                      </w:p>
                    </w:txbxContent>
                  </v:textbox>
                </v:rect>
                <v:shape id="AutoShape 165" o:spid="_x0000_s1026" o:spt="32" type="#_x0000_t32" style="position:absolute;left:931536;top:1628446;flip:x y;height:11656;width:208924;"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VAyr9cAAAAGAQAADwAAAAAAAAABACAAAAAiAAAAZHJzL2Rvd25yZXYueG1s&#10;UEsBAhQAFAAAAAgAh07iQBnyuRUyAgAAVwQAAA4AAAAAAAAAAQAgAAAAJgEAAGRycy9lMm9Eb2Mu&#10;eG1sUEsFBgAAAAAGAAYAWQEAAMoFAAAAAA==&#10;">
                  <v:fill on="f" focussize="0,0"/>
                  <v:stroke color="#000000" joinstyle="round" dashstyle="dash" endarrow="block"/>
                  <v:imagedata o:title=""/>
                  <o:lock v:ext="edit" aspectratio="f"/>
                </v:shape>
                <v:rect id="Rectangle 166" o:spid="_x0000_s1026" o:spt="1" style="position:absolute;left:333375;top:2140799;height:149860;width:58420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Dj7wbADAIAABcEAAAOAAAAAAAAAAEA&#10;IAAAACYBAABkcnMvZTJvRG9jLnhtbFBLBQYAAAAABgAGAFkBAACkBQAAAAA=&#10;">
                  <v:fill on="f" focussize="0,0"/>
                  <v:stroke on="f"/>
                  <v:imagedata o:title=""/>
                  <o:lock v:ext="edit" aspectratio="f"/>
                  <v:textbox inset="0mm,0mm,0mm,0mm">
                    <w:txbxContent>
                      <w:p>
                        <w:pPr>
                          <w:jc w:val="center"/>
                          <w:rPr>
                            <w:sz w:val="18"/>
                          </w:rPr>
                        </w:pPr>
                        <w:r>
                          <w:rPr>
                            <w:sz w:val="18"/>
                          </w:rPr>
                          <w:t>含油废水</w:t>
                        </w:r>
                      </w:p>
                    </w:txbxContent>
                  </v:textbox>
                </v:rect>
                <v:shape id="AutoShape 167" o:spid="_x0000_s1026" o:spt="32" type="#_x0000_t32" style="position:absolute;left:917575;top:2215729;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D5cL5AXAgAAHQQA&#10;AA4AAAAAAAAAAQAgAAAAJgEAAGRycy9lMm9Eb2MueG1sUEsFBgAAAAAGAAYAWQEAAK8FAAAAAA==&#10;">
                  <v:fill on="f" focussize="0,0"/>
                  <v:stroke color="#000000" joinstyle="round" dashstyle="dash" endarrow="block"/>
                  <v:imagedata o:title=""/>
                  <o:lock v:ext="edit" aspectratio="f"/>
                </v:shape>
                <v:rect id="Rectangle 168" o:spid="_x0000_s1026" o:spt="1" style="position:absolute;left:165735;top:2792309;height:14986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7qv/NA0CAAAXBAAADgAAAAAAAAAB&#10;ACAAAAAmAQAAZHJzL2Uyb0RvYy54bWxQSwUGAAAAAAYABgBZAQAApQUAAAAA&#10;">
                  <v:fill on="f" focussize="0,0"/>
                  <v:stroke on="f"/>
                  <v:imagedata o:title=""/>
                  <o:lock v:ext="edit" aspectratio="f"/>
                  <v:textbox inset="0mm,0mm,0mm,0mm">
                    <w:txbxContent>
                      <w:p>
                        <w:pPr>
                          <w:jc w:val="center"/>
                          <w:rPr>
                            <w:sz w:val="18"/>
                          </w:rPr>
                        </w:pPr>
                        <w:r>
                          <w:rPr>
                            <w:sz w:val="18"/>
                          </w:rPr>
                          <w:t>含油废水</w:t>
                        </w:r>
                      </w:p>
                    </w:txbxContent>
                  </v:textbox>
                </v:rect>
                <v:shape id="AutoShape 169" o:spid="_x0000_s1026" o:spt="32" type="#_x0000_t32" style="position:absolute;left:888365;top:2867239;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lQMq/XAAAABgEAAA8A&#10;AAAAAAAAAQAgAAAAIgAAAGRycy9kb3ducmV2LnhtbFBLAQIUABQAAAAIAIdO4kDa2HOAGAIAAB0E&#10;AAAOAAAAAAAAAAEAIAAAACYBAABkcnMvZTJvRG9jLnhtbFBLBQYAAAAABgAGAFkBAACwBQAAAAA=&#10;">
                  <v:fill on="f" focussize="0,0"/>
                  <v:stroke color="#000000" joinstyle="round" dashstyle="dash" endarrow="block"/>
                  <v:imagedata o:title=""/>
                  <o:lock v:ext="edit" aspectratio="f"/>
                </v:shape>
                <v:rect id="Rectangle 170" o:spid="_x0000_s1026" o:spt="1" style="position:absolute;left:2454275;top:2077934;height:334645;width:36322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PDYNNcAAAAGAQAADwAAAAAAAAABACAA&#10;AAAiAAAAZHJzL2Rvd25yZXYueG1sUEsBAhQAFAAAAAgAh07iQHSTSrEOAgAAGAQAAA4AAAAAAAAA&#10;AQAgAAAAJgEAAGRycy9lMm9Eb2MueG1sUEsFBgAAAAAGAAYAWQEAAKYFAAAAAA==&#10;">
                  <v:fill on="f" focussize="0,0"/>
                  <v:stroke on="f"/>
                  <v:imagedata o:title=""/>
                  <o:lock v:ext="edit" aspectratio="f"/>
                  <v:textbox inset="0mm,0mm,0mm,0mm">
                    <w:txbxContent>
                      <w:p>
                        <w:pPr>
                          <w:jc w:val="center"/>
                          <w:rPr>
                            <w:sz w:val="18"/>
                          </w:rPr>
                        </w:pPr>
                        <w:r>
                          <w:rPr>
                            <w:sz w:val="18"/>
                          </w:rPr>
                          <w:t>碱性脱脂剂</w:t>
                        </w:r>
                      </w:p>
                    </w:txbxContent>
                  </v:textbox>
                </v:rect>
                <v:shape id="AutoShape 171" o:spid="_x0000_s1026" o:spt="32" type="#_x0000_t32" style="position:absolute;left:2193290;top:224557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Hg8yRtYA&#10;AAAGAQAADwAAAAAAAAABACAAAAAiAAAAZHJzL2Rvd25yZXYueG1sUEsBAhQAFAAAAAgAh07iQK6n&#10;rp4hAgAANAQAAA4AAAAAAAAAAQAgAAAAJQEAAGRycy9lMm9Eb2MueG1sUEsFBgAAAAAGAAYAWQEA&#10;ALgFAAAAAA==&#10;">
                  <v:fill on="f" focussize="0,0"/>
                  <v:stroke color="#000000" joinstyle="round" endarrow="block"/>
                  <v:imagedata o:title=""/>
                  <o:lock v:ext="edit" aspectratio="f"/>
                </v:shape>
                <v:rect id="Rectangle 172" o:spid="_x0000_s1026" o:spt="1" style="position:absolute;left:2454275;top:3321899;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PDYNNcAAAAGAQAADwAAAAAAAAABACAAAAAi&#10;AAAAZHJzL2Rvd25yZXYueG1sUEsBAhQAFAAAAAgAh07iQNhaMN8LAgAAGAQAAA4AAAAAAAAAAQAg&#10;AAAAJgEAAGRycy9lMm9Eb2MueG1sUEsFBgAAAAAGAAYAWQEAAKMFAAAAAA==&#10;">
                  <v:fill on="f" focussize="0,0"/>
                  <v:stroke on="f"/>
                  <v:imagedata o:title=""/>
                  <o:lock v:ext="edit" aspectratio="f"/>
                  <v:textbox inset="0mm,0mm,0mm,0mm">
                    <w:txbxContent>
                      <w:p>
                        <w:pPr>
                          <w:jc w:val="center"/>
                          <w:rPr>
                            <w:sz w:val="18"/>
                          </w:rPr>
                        </w:pPr>
                        <w:r>
                          <w:rPr>
                            <w:rFonts w:hint="eastAsia"/>
                            <w:sz w:val="18"/>
                          </w:rPr>
                          <w:t>5%~8%</w:t>
                        </w:r>
                      </w:p>
                      <w:p>
                        <w:pPr>
                          <w:jc w:val="center"/>
                          <w:rPr>
                            <w:sz w:val="18"/>
                          </w:rPr>
                        </w:pPr>
                        <w:r>
                          <w:rPr>
                            <w:rFonts w:hint="eastAsia"/>
                            <w:sz w:val="18"/>
                          </w:rPr>
                          <w:t>盐酸</w:t>
                        </w:r>
                      </w:p>
                    </w:txbxContent>
                  </v:textbox>
                </v:rect>
                <v:shape id="AutoShape 173" o:spid="_x0000_s1026" o:spt="32" type="#_x0000_t32" style="position:absolute;left:2193290;top:3489539;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g8yRtYAAAAGAQAADwAAAAAA&#10;AAABACAAAAAiAAAAZHJzL2Rvd25yZXYueG1sUEsBAhQAFAAAAAgAh07iQNP2MyMVAgAAFwQAAA4A&#10;AAAAAAAAAQAgAAAAJQEAAGRycy9lMm9Eb2MueG1sUEsFBgAAAAAGAAYAWQEAAKwFAAAAAA==&#10;">
                  <v:fill on="f" focussize="0,0"/>
                  <v:stroke color="#000000" joinstyle="round" endarrow="block"/>
                  <v:imagedata o:title=""/>
                  <o:lock v:ext="edit" aspectratio="f"/>
                </v:shape>
                <v:rect id="Rectangle 174" o:spid="_x0000_s1026" o:spt="1" style="position:absolute;left:298450;top:3330789;height:31115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8Ng01wAAAAYBAAAPAAAAAAAAAAEAIAAAACIA&#10;AABkcnMvZG93bnJldi54bWxQSwECFAAUAAAACACHTuJANJtU+QoCAAAXBAAADgAAAAAAAAABACAA&#10;AAAmAQAAZHJzL2Uyb0RvYy54bWxQSwUGAAAAAAYABgBZAQAAogUAAAAA&#10;">
                  <v:fill on="f" focussize="0,0"/>
                  <v:stroke on="f"/>
                  <v:imagedata o:title=""/>
                  <o:lock v:ext="edit" aspectratio="f"/>
                  <v:textbox inset="0mm,0mm,0mm,0mm">
                    <w:txbxContent>
                      <w:p>
                        <w:pPr>
                          <w:jc w:val="center"/>
                          <w:rPr>
                            <w:sz w:val="18"/>
                          </w:rPr>
                        </w:pPr>
                        <w:r>
                          <w:rPr>
                            <w:sz w:val="18"/>
                          </w:rPr>
                          <w:t>盐酸雾</w:t>
                        </w:r>
                      </w:p>
                      <w:p>
                        <w:pPr>
                          <w:jc w:val="center"/>
                          <w:rPr>
                            <w:sz w:val="18"/>
                          </w:rPr>
                        </w:pPr>
                        <w:r>
                          <w:rPr>
                            <w:rFonts w:hint="eastAsia"/>
                            <w:sz w:val="18"/>
                          </w:rPr>
                          <w:t>酸性废水</w:t>
                        </w:r>
                      </w:p>
                    </w:txbxContent>
                  </v:textbox>
                </v:rect>
                <v:shape id="AutoShape 175" o:spid="_x0000_s1026" o:spt="32" type="#_x0000_t32" style="position:absolute;left:912495;top:3490174;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F765twXAgAAHQQA&#10;AA4AAAAAAAAAAQAgAAAAJgEAAGRycy9lMm9Eb2MueG1sUEsFBgAAAAAGAAYAWQEAAK8FAAAAAA==&#10;">
                  <v:fill on="f" focussize="0,0"/>
                  <v:stroke color="#000000" joinstyle="round" dashstyle="dash" endarrow="block"/>
                  <v:imagedata o:title=""/>
                  <o:lock v:ext="edit" aspectratio="f"/>
                </v:shape>
                <v:rect id="Rectangle 176" o:spid="_x0000_s1026" o:spt="1" style="position:absolute;left:245110;top:4029289;height:149860;width:63944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AX+BpGDAIAABcEAAAOAAAAAAAAAAEA&#10;IAAAACYBAABkcnMvZTJvRG9jLnhtbFBLBQYAAAAABgAGAFkBAACkBQAAAAA=&#10;">
                  <v:fill on="f" focussize="0,0"/>
                  <v:stroke on="f"/>
                  <v:imagedata o:title=""/>
                  <o:lock v:ext="edit" aspectratio="f"/>
                  <v:textbox inset="0mm,0mm,0mm,0mm">
                    <w:txbxContent>
                      <w:p>
                        <w:pPr>
                          <w:jc w:val="center"/>
                          <w:rPr>
                            <w:sz w:val="18"/>
                          </w:rPr>
                        </w:pPr>
                        <w:r>
                          <w:rPr>
                            <w:rFonts w:hint="eastAsia"/>
                            <w:sz w:val="18"/>
                          </w:rPr>
                          <w:t xml:space="preserve"> 酸性</w:t>
                        </w:r>
                        <w:r>
                          <w:rPr>
                            <w:sz w:val="18"/>
                          </w:rPr>
                          <w:t>废水</w:t>
                        </w:r>
                      </w:p>
                    </w:txbxContent>
                  </v:textbox>
                </v:rect>
                <v:shape id="AutoShape 177" o:spid="_x0000_s1026" o:spt="32" type="#_x0000_t32" style="position:absolute;left:870585;top:4104219;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HB9OngXAgAAHQQA&#10;AA4AAAAAAAAAAQAgAAAAJgEAAGRycy9lMm9Eb2MueG1sUEsFBgAAAAAGAAYAWQEAAK8FAAAAAA==&#10;">
                  <v:fill on="f" focussize="0,0"/>
                  <v:stroke color="#000000" joinstyle="round" dashstyle="dash" endarrow="block"/>
                  <v:imagedata o:title=""/>
                  <o:lock v:ext="edit" aspectratio="f"/>
                </v:shape>
                <v:shape id="AutoShape 178" o:spid="_x0000_s1026" o:spt="32" type="#_x0000_t32" style="position:absolute;left:1661795;top:6766774;height:365760;width:5080;"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C4XlWDXAAAABgEA&#10;AA8AAAAAAAAAAQAgAAAAIgAAAGRycy9kb3ducmV2LnhtbFBLAQIUABQAAAAIAIdO4kAG9ULQGwIA&#10;ACsEAAAOAAAAAAAAAAEAIAAAACYBAABkcnMvZTJvRG9jLnhtbFBLBQYAAAAABgAGAFkBAACzBQAA&#10;AAA=&#10;">
                  <v:fill on="f" focussize="0,0"/>
                  <v:stroke color="#000000" joinstyle="round" endarrow="block"/>
                  <v:imagedata o:title=""/>
                  <o:lock v:ext="edit" aspectratio="f"/>
                </v:shape>
                <v:shape id="AutoShape 179" o:spid="_x0000_s1026" o:spt="32" type="#_x0000_t32" style="position:absolute;left:2193290;top:473731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&#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eDzJG1gAAAAYBAAAPAAAAAAAAAAEAIAAAACIAAABk&#10;cnMvZG93bnJldi54bWxQSwECFAAUAAAACACHTuJArE/XUwgCAAD7AwAADgAAAAAAAAABACAAAAAl&#10;AQAAZHJzL2Uyb0RvYy54bWxQSwUGAAAAAAYABgBZAQAAnwUAAAAA&#10;">
                  <v:fill on="f" focussize="0,0"/>
                  <v:stroke color="#000000" joinstyle="round" endarrow="block"/>
                  <v:imagedata o:title=""/>
                  <o:lock v:ext="edit" aspectratio="f"/>
                </v:shape>
                <v:shape id="AutoShape 180" o:spid="_x0000_s1026" o:spt="32" type="#_x0000_t32" style="position:absolute;left:912495;top:4737949;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P0DU1UXAgAAHQQA&#10;AA4AAAAAAAAAAQAgAAAAJgEAAGRycy9lMm9Eb2MueG1sUEsFBgAAAAAGAAYAWQEAAK8FAAAAAA==&#10;">
                  <v:fill on="f" focussize="0,0"/>
                  <v:stroke color="#000000" joinstyle="round" dashstyle="dash" endarrow="block"/>
                  <v:imagedata o:title=""/>
                  <o:lock v:ext="edit" aspectratio="f"/>
                </v:shape>
                <v:rect id="Rectangle 181" o:spid="_x0000_s1026" o:spt="1" style="position:absolute;left:2406015;top:4551259;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AhaarcDAIAABgEAAAOAAAAAAAAAAEA&#10;IAAAACYBAABkcnMvZTJvRG9jLnhtbFBLBQYAAAAABgAGAFkBAACkBQAAAAA=&#10;">
                  <v:fill on="f" focussize="0,0"/>
                  <v:stroke on="f"/>
                  <v:imagedata o:title=""/>
                  <o:lock v:ext="edit" aspectratio="f"/>
                  <v:textbox inset="0mm,0mm,0mm,0mm">
                    <w:txbxContent>
                      <w:p>
                        <w:pPr>
                          <w:jc w:val="center"/>
                          <w:rPr>
                            <w:sz w:val="18"/>
                          </w:rPr>
                        </w:pPr>
                        <w:r>
                          <w:rPr>
                            <w:rFonts w:hint="eastAsia"/>
                            <w:sz w:val="18"/>
                          </w:rPr>
                          <w:t>3%~5%</w:t>
                        </w:r>
                      </w:p>
                      <w:p>
                        <w:pPr>
                          <w:jc w:val="center"/>
                          <w:rPr>
                            <w:sz w:val="18"/>
                          </w:rPr>
                        </w:pPr>
                        <w:r>
                          <w:rPr>
                            <w:rFonts w:hint="eastAsia"/>
                            <w:sz w:val="18"/>
                          </w:rPr>
                          <w:t>硫酸</w:t>
                        </w:r>
                      </w:p>
                    </w:txbxContent>
                  </v:textbox>
                </v:rect>
                <v:shape id="AutoShape 182" o:spid="_x0000_s1026" o:spt="32" type="#_x0000_t32" style="position:absolute;left:912495;top:5358344;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G2tVjYXAgAAHQQA&#10;AA4AAAAAAAAAAQAgAAAAJgEAAGRycy9lMm9Eb2MueG1sUEsFBgAAAAAGAAYAWQEAAK8FAAAAAA==&#10;">
                  <v:fill on="f" focussize="0,0"/>
                  <v:stroke color="#000000" joinstyle="round" dashstyle="dash" endarrow="block"/>
                  <v:imagedata o:title=""/>
                  <o:lock v:ext="edit" aspectratio="f"/>
                </v:shape>
                <v:rect id="Rectangle 183" o:spid="_x0000_s1026" o:spt="1" style="position:absolute;left:201930;top:5296114;height:14986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PDYNNcAAAAGAQAADwAAAAAAAAABACAAAAAi&#10;AAAAZHJzL2Rvd25yZXYueG1sUEsBAhQAFAAAAAgAh07iQBvo3BwLAgAAFwQAAA4AAAAAAAAAAQAg&#10;AAAAJgEAAGRycy9lMm9Eb2MueG1sUEsFBgAAAAAGAAYAWQEAAKMFAAAAAA==&#10;">
                  <v:fill on="f" focussize="0,0"/>
                  <v:stroke on="f"/>
                  <v:imagedata o:title=""/>
                  <o:lock v:ext="edit" aspectratio="f"/>
                  <v:textbox inset="0mm,0mm,0mm,0mm">
                    <w:txbxContent>
                      <w:p>
                        <w:pPr>
                          <w:jc w:val="center"/>
                          <w:rPr>
                            <w:sz w:val="18"/>
                          </w:rPr>
                        </w:pPr>
                        <w:r>
                          <w:rPr>
                            <w:sz w:val="18"/>
                          </w:rPr>
                          <w:t>酸性水洗废水</w:t>
                        </w:r>
                      </w:p>
                    </w:txbxContent>
                  </v:textbox>
                </v:rect>
                <v:rect id="Rectangle 184" o:spid="_x0000_s1026" o:spt="1" style="position:absolute;left:310515;top:4574754;height:31115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Bbb4NKDAIAABcEAAAOAAAAAAAAAAEA&#10;IAAAACYBAABkcnMvZTJvRG9jLnhtbFBLBQYAAAAABgAGAFkBAACkBQAAAAA=&#10;">
                  <v:fill on="f" focussize="0,0"/>
                  <v:stroke on="f"/>
                  <v:imagedata o:title=""/>
                  <o:lock v:ext="edit" aspectratio="f"/>
                  <v:textbox inset="0mm,0mm,0mm,0mm">
                    <w:txbxContent>
                      <w:p>
                        <w:pPr>
                          <w:jc w:val="center"/>
                          <w:rPr>
                            <w:sz w:val="18"/>
                          </w:rPr>
                        </w:pPr>
                        <w:r>
                          <w:rPr>
                            <w:sz w:val="18"/>
                          </w:rPr>
                          <w:t>硫酸雾</w:t>
                        </w:r>
                      </w:p>
                      <w:p>
                        <w:pPr>
                          <w:jc w:val="center"/>
                          <w:rPr>
                            <w:sz w:val="18"/>
                          </w:rPr>
                        </w:pPr>
                        <w:r>
                          <w:rPr>
                            <w:rFonts w:hint="eastAsia"/>
                            <w:sz w:val="18"/>
                          </w:rPr>
                          <w:t>酸性废水</w:t>
                        </w:r>
                      </w:p>
                      <w:p>
                        <w:pPr>
                          <w:jc w:val="center"/>
                          <w:rPr>
                            <w:sz w:val="18"/>
                          </w:rPr>
                        </w:pPr>
                      </w:p>
                    </w:txbxContent>
                  </v:textbox>
                </v:rect>
                <v:shape id="AutoShape 185" o:spid="_x0000_s1026" o:spt="32" type="#_x0000_t32" style="position:absolute;left:924560;top:5984454;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JgQrskXAgAAHQQA&#10;AA4AAAAAAAAAAQAgAAAAJgEAAGRycy9lMm9Eb2MueG1sUEsFBgAAAAAGAAYAWQEAAK8FAAAAAA==&#10;">
                  <v:fill on="f" focussize="0,0"/>
                  <v:stroke color="#000000" joinstyle="round" dashstyle="dash" endarrow="block"/>
                  <v:imagedata o:title=""/>
                  <o:lock v:ext="edit" aspectratio="f"/>
                </v:shape>
                <v:rect id="Rectangle 186" o:spid="_x0000_s1026" o:spt="1" style="position:absolute;left:310515;top:5763895;height:46355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OXhmog0CAAAXBAAADgAAAAAAAAAB&#10;ACAAAAAmAQAAZHJzL2Uyb0RvYy54bWxQSwUGAAAAAAYABgBZAQAApQUAAAAA&#10;">
                  <v:fill on="f" focussize="0,0"/>
                  <v:stroke on="f"/>
                  <v:imagedata o:title=""/>
                  <o:lock v:ext="edit" aspectratio="f"/>
                  <v:textbox inset="0mm,0mm,0mm,0mm">
                    <w:txbxContent>
                      <w:p>
                        <w:pPr>
                          <w:jc w:val="center"/>
                          <w:rPr>
                            <w:sz w:val="18"/>
                          </w:rPr>
                        </w:pPr>
                        <w:r>
                          <w:rPr>
                            <w:rFonts w:hint="eastAsia"/>
                            <w:sz w:val="18"/>
                          </w:rPr>
                          <w:t>含锌废液</w:t>
                        </w:r>
                      </w:p>
                      <w:p>
                        <w:pPr>
                          <w:jc w:val="center"/>
                          <w:rPr>
                            <w:rFonts w:hint="eastAsia"/>
                            <w:sz w:val="18"/>
                          </w:rPr>
                        </w:pPr>
                        <w:r>
                          <w:rPr>
                            <w:rFonts w:hint="eastAsia"/>
                            <w:sz w:val="18"/>
                          </w:rPr>
                          <w:t>废滤芯</w:t>
                        </w:r>
                      </w:p>
                      <w:p>
                        <w:pPr>
                          <w:pStyle w:val="43"/>
                          <w:ind w:firstLine="360" w:firstLineChars="200"/>
                          <w:rPr>
                            <w:rFonts w:hint="eastAsia" w:eastAsia="宋体"/>
                            <w:color w:val="auto"/>
                            <w:lang w:eastAsia="zh-CN"/>
                          </w:rPr>
                        </w:pPr>
                        <w:r>
                          <w:rPr>
                            <w:rFonts w:hint="eastAsia"/>
                            <w:color w:val="auto"/>
                            <w:sz w:val="18"/>
                            <w:lang w:eastAsia="zh-CN"/>
                          </w:rPr>
                          <w:t>滤渣</w:t>
                        </w:r>
                      </w:p>
                    </w:txbxContent>
                  </v:textbox>
                </v:rect>
                <v:shape id="AutoShape 187" o:spid="_x0000_s1026" o:spt="32" type="#_x0000_t32" style="position:absolute;left:2193290;top:5983819;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eDzJG1gAAAAYBAAAPAAAAAAAAAAEAIAAAACIAAABk&#10;cnMvZG93bnJldi54bWxQSwECFAAUAAAACACHTuJAdzfBcwgCAAD7AwAADgAAAAAAAAABACAAAAAl&#10;AQAAZHJzL2Uyb0RvYy54bWxQSwUGAAAAAAYABgBZAQAAnwUAAAAA&#10;">
                  <v:fill on="f" focussize="0,0"/>
                  <v:stroke color="#000000" joinstyle="round" endarrow="block"/>
                  <v:imagedata o:title=""/>
                  <o:lock v:ext="edit" aspectratio="f"/>
                </v:shape>
                <v:rect id="Rectangle 188" o:spid="_x0000_s1026" o:spt="1" style="position:absolute;left:2369820;top:5592659;height:782320;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PDYNNcAAAAGAQAADwAAAAAAAAABACAAAAAi&#10;AAAAZHJzL2Rvd25yZXYueG1sUEsBAhQAFAAAAAgAh07iQPjhobMLAgAAGAQAAA4AAAAAAAAAAQAg&#10;AAAAJgEAAGRycy9lMm9Eb2MueG1sUEsFBgAAAAAGAAYAWQEAAKMFAAAAAA==&#10;">
                  <v:fill on="f" focussize="0,0"/>
                  <v:stroke on="f"/>
                  <v:imagedata o:title=""/>
                  <o:lock v:ext="edit" aspectratio="f"/>
                  <v:textbox inset="0mm,0mm,0mm,0mm">
                    <w:txbxContent>
                      <w:p>
                        <w:pPr>
                          <w:jc w:val="center"/>
                          <w:rPr>
                            <w:sz w:val="18"/>
                          </w:rPr>
                        </w:pPr>
                        <w:r>
                          <w:rPr>
                            <w:rFonts w:hint="eastAsia"/>
                            <w:sz w:val="18"/>
                          </w:rPr>
                          <w:t>氯化钾</w:t>
                        </w:r>
                      </w:p>
                      <w:p>
                        <w:pPr>
                          <w:jc w:val="center"/>
                          <w:rPr>
                            <w:sz w:val="18"/>
                          </w:rPr>
                        </w:pPr>
                        <w:r>
                          <w:rPr>
                            <w:sz w:val="18"/>
                          </w:rPr>
                          <w:t>氯化锌</w:t>
                        </w:r>
                      </w:p>
                      <w:p>
                        <w:pPr>
                          <w:jc w:val="center"/>
                          <w:rPr>
                            <w:sz w:val="18"/>
                          </w:rPr>
                        </w:pPr>
                        <w:r>
                          <w:rPr>
                            <w:sz w:val="18"/>
                          </w:rPr>
                          <w:t>硼酸</w:t>
                        </w:r>
                      </w:p>
                      <w:p>
                        <w:pPr>
                          <w:jc w:val="center"/>
                          <w:rPr>
                            <w:sz w:val="18"/>
                          </w:rPr>
                        </w:pPr>
                        <w:r>
                          <w:rPr>
                            <w:sz w:val="18"/>
                          </w:rPr>
                          <w:t>锌板</w:t>
                        </w:r>
                      </w:p>
                      <w:p>
                        <w:pPr>
                          <w:jc w:val="center"/>
                          <w:rPr>
                            <w:sz w:val="18"/>
                          </w:rPr>
                        </w:pPr>
                        <w:r>
                          <w:rPr>
                            <w:rFonts w:hint="eastAsia"/>
                            <w:sz w:val="18"/>
                          </w:rPr>
                          <w:t>添加剂</w:t>
                        </w:r>
                      </w:p>
                    </w:txbxContent>
                  </v:textbox>
                </v:rect>
                <v:rect id="Rectangle 189" o:spid="_x0000_s1026" o:spt="1" style="position:absolute;left:12700;top:6519759;height:14986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PDYNNcAAAAGAQAADwAAAAAAAAABACAAAAAi&#10;AAAAZHJzL2Rvd25yZXYueG1sUEsBAhQAFAAAAAgAh07iQKvr3CULAgAAFgQAAA4AAAAAAAAAAQAg&#10;AAAAJgEAAGRycy9lMm9Eb2MueG1sUEsFBgAAAAAGAAYAWQEAAKMFAAAAAA==&#10;">
                  <v:fill on="f" focussize="0,0"/>
                  <v:stroke on="f"/>
                  <v:imagedata o:title=""/>
                  <o:lock v:ext="edit" aspectratio="f"/>
                  <v:textbox inset="0mm,0mm,0mm,0mm">
                    <w:txbxContent>
                      <w:p>
                        <w:pPr>
                          <w:jc w:val="center"/>
                          <w:rPr>
                            <w:sz w:val="18"/>
                          </w:rPr>
                        </w:pPr>
                        <w:r>
                          <w:rPr>
                            <w:rFonts w:hint="eastAsia"/>
                            <w:sz w:val="18"/>
                          </w:rPr>
                          <w:t>含锌</w:t>
                        </w:r>
                        <w:r>
                          <w:rPr>
                            <w:sz w:val="18"/>
                          </w:rPr>
                          <w:t>水洗废水</w:t>
                        </w:r>
                      </w:p>
                    </w:txbxContent>
                  </v:textbox>
                </v:rect>
                <v:shape id="AutoShape 190" o:spid="_x0000_s1026" o:spt="32" type="#_x0000_t32" style="position:absolute;left:710565;top:6594689;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lQMq/XAAAABgEAAA8A&#10;AAAAAAAAAQAgAAAAIgAAAGRycy9kb3ducmV2LnhtbFBLAQIUABQAAAAIAIdO4kAm3iu8GAIAAB0E&#10;AAAOAAAAAAAAAAEAIAAAACYBAABkcnMvZTJvRG9jLnhtbFBLBQYAAAAABgAGAFkBAACwBQAAAAA=&#10;">
                  <v:fill on="f" focussize="0,0"/>
                  <v:stroke color="#000000" joinstyle="round" dashstyle="dash" endarrow="block"/>
                  <v:imagedata o:title=""/>
                  <o:lock v:ext="edit" aspectratio="f"/>
                </v:shape>
                <v:shape id="AutoShape 191" o:spid="_x0000_s1026" o:spt="32" type="#_x0000_t32" style="position:absolute;left:2190750;top:727731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eDzJG1gAAAAYBAAAPAAAAAAAAAAEAIAAAACIAAABk&#10;cnMvZG93bnJldi54bWxQSwECFAAUAAAACACHTuJACOol4ggCAAD7AwAADgAAAAAAAAABACAAAAAl&#10;AQAAZHJzL2Uyb0RvYy54bWxQSwUGAAAAAAYABgBZAQAAnwUAAAAA&#10;">
                  <v:fill on="f" focussize="0,0"/>
                  <v:stroke color="#000000" joinstyle="round" endarrow="block"/>
                  <v:imagedata o:title=""/>
                  <o:lock v:ext="edit" aspectratio="f"/>
                </v:shape>
                <v:shape id="AutoShape 192" o:spid="_x0000_s1026" o:spt="32" type="#_x0000_t32" style="position:absolute;left:912495;top:7277949;flip:x y;height:3810;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VAyr9cAAAAGAQAADwAA&#10;AAAAAAABACAAAAAiAAAAZHJzL2Rvd25yZXYueG1sUEsBAhQAFAAAAAgAh07iQPyr7QYXAgAAHQQA&#10;AA4AAAAAAAAAAQAgAAAAJgEAAGRycy9lMm9Eb2MueG1sUEsFBgAAAAAGAAYAWQEAAK8FAAAAAA==&#10;">
                  <v:fill on="f" focussize="0,0"/>
                  <v:stroke color="#000000" joinstyle="round" dashstyle="dash" endarrow="block"/>
                  <v:imagedata o:title=""/>
                  <o:lock v:ext="edit" aspectratio="f"/>
                </v:shape>
                <v:rect id="Rectangle 193" o:spid="_x0000_s1026" o:spt="1" style="position:absolute;left:2357755;top:7170634;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oAgfIA0CAAAYBAAADgAAAAAAAAAB&#10;ACAAAAAmAQAAZHJzL2Uyb0RvYy54bWxQSwUGAAAAAAYABgBZAQAApQUAAAAA&#10;">
                  <v:fill on="f" focussize="0,0"/>
                  <v:stroke on="f"/>
                  <v:imagedata o:title=""/>
                  <o:lock v:ext="edit" aspectratio="f"/>
                  <v:textbox inset="0mm,0mm,0mm,0mm">
                    <w:txbxContent>
                      <w:p>
                        <w:pPr>
                          <w:jc w:val="center"/>
                          <w:rPr>
                            <w:sz w:val="18"/>
                          </w:rPr>
                        </w:pPr>
                        <w:r>
                          <w:rPr>
                            <w:rFonts w:hint="eastAsia"/>
                            <w:sz w:val="18"/>
                          </w:rPr>
                          <w:t>0.5%</w:t>
                        </w:r>
                      </w:p>
                      <w:p>
                        <w:pPr>
                          <w:jc w:val="center"/>
                          <w:rPr>
                            <w:sz w:val="18"/>
                          </w:rPr>
                        </w:pPr>
                        <w:r>
                          <w:rPr>
                            <w:rFonts w:hint="eastAsia"/>
                            <w:sz w:val="18"/>
                          </w:rPr>
                          <w:t>稀硫酸</w:t>
                        </w:r>
                      </w:p>
                    </w:txbxContent>
                  </v:textbox>
                </v:rect>
                <v:rect id="Rectangle 194" o:spid="_x0000_s1026" o:spt="1" style="position:absolute;left:342265;top:7147774;height:303530;width:72263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8Ng01wAAAAYBAAAPAAAAAAAAAAEAIAAAACIA&#10;AABkcnMvZG93bnJldi54bWxQSwECFAAUAAAACACHTuJADs9jmwoCAAAXBAAADgAAAAAAAAABACAA&#10;AAAmAQAAZHJzL2Uyb0RvYy54bWxQSwUGAAAAAAYABgBZAQAAogUAAAAA&#10;">
                  <v:fill on="f" focussize="0,0"/>
                  <v:stroke on="f"/>
                  <v:imagedata o:title=""/>
                  <o:lock v:ext="edit" aspectratio="f"/>
                  <v:textbox inset="0mm,0mm,0mm,0mm">
                    <w:txbxContent>
                      <w:p>
                        <w:pPr>
                          <w:jc w:val="center"/>
                          <w:rPr>
                            <w:sz w:val="18"/>
                          </w:rPr>
                        </w:pPr>
                        <w:r>
                          <w:rPr>
                            <w:sz w:val="18"/>
                          </w:rPr>
                          <w:t>硫酸雾</w:t>
                        </w:r>
                      </w:p>
                      <w:p>
                        <w:pPr>
                          <w:jc w:val="center"/>
                          <w:rPr>
                            <w:sz w:val="18"/>
                          </w:rPr>
                        </w:pPr>
                        <w:r>
                          <w:rPr>
                            <w:rFonts w:hint="eastAsia"/>
                            <w:sz w:val="18"/>
                          </w:rPr>
                          <w:t>酸性废水</w:t>
                        </w:r>
                      </w:p>
                      <w:p>
                        <w:pPr>
                          <w:jc w:val="center"/>
                          <w:rPr>
                            <w:sz w:val="18"/>
                          </w:rPr>
                        </w:pPr>
                      </w:p>
                    </w:txbxContent>
                  </v:textbox>
                </v:rect>
                <v:rect id="Rectangle 195" o:spid="_x0000_s1026" o:spt="1" style="position:absolute;left:4866005;top:2152864;height:149860;width:58420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C/XEuKDAIAABgEAAAOAAAAAAAAAAEA&#10;IAAAACYBAABkcnMvZTJvRG9jLnhtbFBLBQYAAAAABgAGAFkBAACkBQAAAAA=&#10;">
                  <v:fill on="f" focussize="0,0"/>
                  <v:stroke on="f"/>
                  <v:imagedata o:title=""/>
                  <o:lock v:ext="edit" aspectratio="f"/>
                  <v:textbox inset="0mm,0mm,0mm,0mm">
                    <w:txbxContent>
                      <w:p>
                        <w:pPr>
                          <w:jc w:val="center"/>
                          <w:rPr>
                            <w:sz w:val="18"/>
                          </w:rPr>
                        </w:pPr>
                        <w:r>
                          <w:rPr>
                            <w:sz w:val="18"/>
                          </w:rPr>
                          <w:t>酸性废水</w:t>
                        </w:r>
                      </w:p>
                    </w:txbxContent>
                  </v:textbox>
                </v:rect>
                <v:shape id="AutoShape 196" o:spid="_x0000_s1026" o:spt="32" type="#_x0000_t32" style="position:absolute;left:4693285;top:2234144;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y1nNIAAAAGAQAADwAAAAAAAAABACAA&#10;AAAiAAAAZHJzL2Rvd25yZXYueG1sUEsBAhQAFAAAAAgAh07iQNcR59MTAgAAFAQAAA4AAAAAAAAA&#10;AQAgAAAAIQEAAGRycy9lMm9Eb2MueG1sUEsFBgAAAAAGAAYAWQEAAKYFAAAAAA==&#10;">
                  <v:fill on="f" focussize="0,0"/>
                  <v:stroke color="#000000" joinstyle="round" dashstyle="dash" endarrow="block"/>
                  <v:imagedata o:title=""/>
                  <o:lock v:ext="edit" aspectratio="f"/>
                </v:shape>
                <v:rect id="Rectangle 197" o:spid="_x0000_s1026" o:spt="1" style="position:absolute;left:2891790;top:2792944;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e+ksOQ0CAAAYBAAADgAAAAAAAAAB&#10;ACAAAAAmAQAAZHJzL2Uyb0RvYy54bWxQSwUGAAAAAAYABgBZAQAApQUAAAAA&#10;">
                  <v:fill on="f" focussize="0,0"/>
                  <v:stroke on="f"/>
                  <v:imagedata o:title=""/>
                  <o:lock v:ext="edit" aspectratio="f"/>
                  <v:textbox inset="0mm,0mm,0mm,0mm">
                    <w:txbxContent>
                      <w:p>
                        <w:pPr>
                          <w:jc w:val="center"/>
                          <w:rPr>
                            <w:sz w:val="15"/>
                          </w:rPr>
                        </w:pPr>
                        <w:r>
                          <w:rPr>
                            <w:snapToGrid w:val="0"/>
                            <w:color w:val="000000"/>
                            <w:kern w:val="21"/>
                            <w:sz w:val="18"/>
                          </w:rPr>
                          <w:t>Cr</w:t>
                        </w:r>
                        <w:r>
                          <w:rPr>
                            <w:snapToGrid w:val="0"/>
                            <w:color w:val="000000"/>
                            <w:kern w:val="21"/>
                            <w:sz w:val="18"/>
                            <w:vertAlign w:val="subscript"/>
                          </w:rPr>
                          <w:t>2</w:t>
                        </w:r>
                        <w:r>
                          <w:rPr>
                            <w:snapToGrid w:val="0"/>
                            <w:color w:val="000000"/>
                            <w:kern w:val="21"/>
                            <w:sz w:val="18"/>
                          </w:rPr>
                          <w:t>(S0</w:t>
                        </w:r>
                        <w:r>
                          <w:rPr>
                            <w:snapToGrid w:val="0"/>
                            <w:color w:val="000000"/>
                            <w:kern w:val="21"/>
                            <w:sz w:val="18"/>
                            <w:vertAlign w:val="subscript"/>
                          </w:rPr>
                          <w:t>4</w:t>
                        </w:r>
                        <w:r>
                          <w:rPr>
                            <w:snapToGrid w:val="0"/>
                            <w:color w:val="000000"/>
                            <w:kern w:val="21"/>
                            <w:sz w:val="18"/>
                          </w:rPr>
                          <w:t>)</w:t>
                        </w:r>
                        <w:r>
                          <w:rPr>
                            <w:snapToGrid w:val="0"/>
                            <w:color w:val="000000"/>
                            <w:kern w:val="21"/>
                            <w:sz w:val="18"/>
                            <w:vertAlign w:val="subscript"/>
                          </w:rPr>
                          <w:t>3</w:t>
                        </w:r>
                      </w:p>
                    </w:txbxContent>
                  </v:textbox>
                </v:rect>
                <v:shape id="AutoShape 198" o:spid="_x0000_s1026" o:spt="32" type="#_x0000_t32" style="position:absolute;left:3332480;top:2871049;height:635;width:26098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heVYNcAAAAGAQAADwAAAAAAAAABACAAAAAiAAAAZHJzL2Rv&#10;d25yZXYueG1sUEsBAhQAFAAAAAgAh07iQJxjVjcCAgAA8QMAAA4AAAAAAAAAAQAgAAAAJgEAAGRy&#10;cy9lMm9Eb2MueG1sUEsFBgAAAAAGAAYAWQEAAJoFAAAAAA==&#10;">
                  <v:fill on="f" focussize="0,0"/>
                  <v:stroke color="#000000" joinstyle="round" endarrow="block"/>
                  <v:imagedata o:title=""/>
                  <o:lock v:ext="edit" aspectratio="f"/>
                </v:shape>
                <v:rect id="Rectangle 199" o:spid="_x0000_s1026" o:spt="1" style="position:absolute;left:4844415;top:2644217;height:624517;width:66230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cPDYNNcAAAAGAQAADwAAAAAAAAABACAAAAAi&#10;AAAAZHJzL2Rvd25yZXYueG1sUEsBAhQAFAAAAAgAh07iQPhhv28LAgAAGAQAAA4AAAAAAAAAAQAg&#10;AAAAJgEAAGRycy9lMm9Eb2MueG1sUEsFBgAAAAAGAAYAWQEAAKMFAAAAAA==&#10;">
                  <v:fill on="f" focussize="0,0"/>
                  <v:stroke on="f"/>
                  <v:imagedata o:title=""/>
                  <o:lock v:ext="edit" aspectratio="f"/>
                  <v:textbox inset="0mm,0mm,0mm,0mm">
                    <w:txbxContent>
                      <w:p>
                        <w:pPr>
                          <w:jc w:val="center"/>
                          <w:rPr>
                            <w:sz w:val="18"/>
                          </w:rPr>
                        </w:pPr>
                        <w:r>
                          <w:rPr>
                            <w:rFonts w:hint="eastAsia"/>
                            <w:sz w:val="18"/>
                          </w:rPr>
                          <w:t>铬酸雾</w:t>
                        </w:r>
                      </w:p>
                      <w:p>
                        <w:pPr>
                          <w:jc w:val="center"/>
                          <w:rPr>
                            <w:sz w:val="18"/>
                          </w:rPr>
                        </w:pPr>
                        <w:r>
                          <w:rPr>
                            <w:sz w:val="18"/>
                          </w:rPr>
                          <w:t>含铬槽液</w:t>
                        </w:r>
                      </w:p>
                      <w:p>
                        <w:pPr>
                          <w:jc w:val="center"/>
                          <w:rPr>
                            <w:sz w:val="18"/>
                          </w:rPr>
                        </w:pPr>
                        <w:r>
                          <w:rPr>
                            <w:rFonts w:hint="eastAsia"/>
                            <w:sz w:val="18"/>
                          </w:rPr>
                          <w:t>含铬槽渣</w:t>
                        </w:r>
                      </w:p>
                      <w:p>
                        <w:pPr>
                          <w:jc w:val="center"/>
                          <w:rPr>
                            <w:sz w:val="18"/>
                          </w:rPr>
                        </w:pPr>
                        <w:r>
                          <w:rPr>
                            <w:rFonts w:hint="eastAsia"/>
                            <w:sz w:val="18"/>
                          </w:rPr>
                          <w:t>废滤芯</w:t>
                        </w:r>
                      </w:p>
                    </w:txbxContent>
                  </v:textbox>
                </v:rect>
                <v:shape id="AutoShape 200" o:spid="_x0000_s1026" o:spt="32" type="#_x0000_t32" style="position:absolute;left:4693285;top:2863429;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y1nNIAAAAGAQAADwAAAAAAAAABACAA&#10;AAAiAAAAZHJzL2Rvd25yZXYueG1sUEsBAhQAFAAAAAgAh07iQHTdAPATAgAAFAQAAA4AAAAAAAAA&#10;AQAgAAAAIQEAAGRycy9lMm9Eb2MueG1sUEsFBgAAAAAGAAYAWQEAAKYFAAAAAA==&#10;">
                  <v:fill on="f" focussize="0,0"/>
                  <v:stroke color="#000000" joinstyle="round" dashstyle="dash" endarrow="block"/>
                  <v:imagedata o:title=""/>
                  <o:lock v:ext="edit" aspectratio="f"/>
                </v:shape>
                <v:rect id="Rectangle 201" o:spid="_x0000_s1026" o:spt="1" style="position:absolute;left:4902200;top:3662259;height:228600;width:76962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Dw2DTXAAAABgEAAA8AAAAAAAAAAQAgAAAAIgAA&#10;AGRycy9kb3ducmV2LnhtbFBLAQIUABQAAAAIAIdO4kDqWYaRCQIAABgEAAAOAAAAAAAAAAEAIAAA&#10;ACYBAABkcnMvZTJvRG9jLnhtbFBLBQYAAAAABgAGAFkBAAChBQAAAAA=&#10;">
                  <v:fill on="f" focussize="0,0"/>
                  <v:stroke on="f"/>
                  <v:imagedata o:title=""/>
                  <o:lock v:ext="edit" aspectratio="f"/>
                  <v:textbox inset="0mm,0mm,0mm,0mm">
                    <w:txbxContent>
                      <w:p>
                        <w:pPr>
                          <w:jc w:val="center"/>
                          <w:rPr>
                            <w:sz w:val="18"/>
                          </w:rPr>
                        </w:pPr>
                        <w:r>
                          <w:rPr>
                            <w:sz w:val="18"/>
                          </w:rPr>
                          <w:t>含铬水洗废水</w:t>
                        </w:r>
                      </w:p>
                    </w:txbxContent>
                  </v:textbox>
                </v:rect>
                <v:shape id="AutoShape 202" o:spid="_x0000_s1026" o:spt="32" type="#_x0000_t32" style="position:absolute;left:4717415;top:3761954;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b/LWc0gAAAAYBAAAPAAAAAAAAAAEAIAAA&#10;ACIAAABkcnMvZG93bnJldi54bWxQSwECFAAUAAAACACHTuJAQ7KwfhICAAAUBAAADgAAAAAAAAAB&#10;ACAAAAAhAQAAZHJzL2Uyb0RvYy54bWxQSwUGAAAAAAYABgBZAQAApQUAAAAA&#10;">
                  <v:fill on="f" focussize="0,0"/>
                  <v:stroke color="#000000" joinstyle="round" dashstyle="dash" endarrow="block"/>
                  <v:imagedata o:title=""/>
                  <o:lock v:ext="edit" aspectratio="f"/>
                </v:shape>
                <v:rect id="Rectangle 205" o:spid="_x0000_s1026" o:spt="1" style="position:absolute;left:4812665;top:4625554;height:228600;width:70929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D6ZP1KDAIAABgEAAAOAAAAAAAAAAEA&#10;IAAAACYBAABkcnMvZTJvRG9jLnhtbFBLBQYAAAAABgAGAFkBAACkBQAAAAA=&#10;">
                  <v:fill on="f" focussize="0,0"/>
                  <v:stroke on="f"/>
                  <v:imagedata o:title=""/>
                  <o:lock v:ext="edit" aspectratio="f"/>
                  <v:textbox inset="0mm,0mm,0mm,0mm">
                    <w:txbxContent>
                      <w:p>
                        <w:pPr>
                          <w:jc w:val="center"/>
                          <w:rPr>
                            <w:sz w:val="18"/>
                          </w:rPr>
                        </w:pPr>
                        <w:r>
                          <w:rPr>
                            <w:sz w:val="18"/>
                          </w:rPr>
                          <w:t>含铬废水</w:t>
                        </w:r>
                      </w:p>
                      <w:p>
                        <w:pPr>
                          <w:jc w:val="center"/>
                          <w:rPr>
                            <w:sz w:val="18"/>
                          </w:rPr>
                        </w:pPr>
                      </w:p>
                    </w:txbxContent>
                  </v:textbox>
                </v:rect>
                <v:shape id="AutoShape 206" o:spid="_x0000_s1026" o:spt="32" type="#_x0000_t32" style="position:absolute;left:4676140;top:4725249;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v8tZzSAAAABgEAAA8AAAAAAAAAAQAg&#10;AAAAIgAAAGRycy9kb3ducmV2LnhtbFBLAQIUABQAAAAIAIdO4kAQE2XrFAIAABQEAAAOAAAAAAAA&#10;AAEAIAAAACEBAABkcnMvZTJvRG9jLnhtbFBLBQYAAAAABgAGAFkBAACnBQAAAAA=&#10;">
                  <v:fill on="f" focussize="0,0"/>
                  <v:stroke color="#000000" joinstyle="round" dashstyle="dash" endarrow="block"/>
                  <v:imagedata o:title=""/>
                  <o:lock v:ext="edit" aspectratio="f"/>
                </v:shape>
                <v:rect id="Rectangle 207" o:spid="_x0000_s1026" o:spt="1" style="position:absolute;left:2959100;top:5232614;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PDYNNcAAAAGAQAADwAAAAAAAAABACAA&#10;AAAiAAAAZHJzL2Rvd25yZXYueG1sUEsBAhQAFAAAAAgAh07iQPVOzekOAgAAGAQAAA4AAAAAAAAA&#10;AQAgAAAAJgEAAGRycy9lMm9Eb2MueG1sUEsFBgAAAAAGAAYAWQEAAKYFAAAAAA==&#10;">
                  <v:fill on="f" focussize="0,0"/>
                  <v:stroke on="f"/>
                  <v:imagedata o:title=""/>
                  <o:lock v:ext="edit" aspectratio="f"/>
                  <v:textbox inset="0mm,0mm,0mm,0mm">
                    <w:txbxContent>
                      <w:p>
                        <w:pPr>
                          <w:jc w:val="center"/>
                          <w:rPr>
                            <w:sz w:val="18"/>
                          </w:rPr>
                        </w:pPr>
                        <w:r>
                          <w:rPr>
                            <w:sz w:val="18"/>
                          </w:rPr>
                          <w:t xml:space="preserve">10ml/L </w:t>
                        </w:r>
                        <w:r>
                          <w:rPr>
                            <w:rFonts w:hint="eastAsia"/>
                            <w:sz w:val="18"/>
                          </w:rPr>
                          <w:t>烷氧基醇</w:t>
                        </w:r>
                      </w:p>
                    </w:txbxContent>
                  </v:textbox>
                </v:rect>
                <v:shape id="AutoShape 208" o:spid="_x0000_s1026" o:spt="32" type="#_x0000_t32" style="position:absolute;left:3356610;top:5375489;height:635;width:26098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4XlWDXAAAABgEAAA8AAAAAAAAAAQAgAAAAIgAAAGRycy9k&#10;b3ducmV2LnhtbFBLAQIUABQAAAAIAIdO4kCTwOxIAwIAAPEDAAAOAAAAAAAAAAEAIAAAACYBAABk&#10;cnMvZTJvRG9jLnhtbFBLBQYAAAAABgAGAFkBAACbBQAAAAA=&#10;">
                  <v:fill on="f" focussize="0,0"/>
                  <v:stroke color="#000000" joinstyle="round" endarrow="block"/>
                  <v:imagedata o:title=""/>
                  <o:lock v:ext="edit" aspectratio="f"/>
                </v:shape>
                <v:rect id="Rectangle 209" o:spid="_x0000_s1026" o:spt="1" style="position:absolute;left:5033645;top:5948894;height:256540;width:67437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PDYNNcAAAAGAQAADwAAAAAAAAABACAA&#10;AAAiAAAAZHJzL2Rvd25yZXYueG1sUEsBAhQAFAAAAAgAh07iQJ4nSy8OAgAAGAQAAA4AAAAAAAAA&#10;AQAgAAAAJgEAAGRycy9lMm9Eb2MueG1sUEsFBgAAAAAGAAYAWQEAAKYFAAAAAA==&#10;">
                  <v:fill on="f" focussize="0,0"/>
                  <v:stroke on="f"/>
                  <v:imagedata o:title=""/>
                  <o:lock v:ext="edit" aspectratio="f"/>
                  <v:textbox inset="0mm,0mm,0mm,0mm">
                    <w:txbxContent>
                      <w:p>
                        <w:pPr>
                          <w:jc w:val="center"/>
                          <w:rPr>
                            <w:sz w:val="18"/>
                          </w:rPr>
                        </w:pPr>
                        <w:r>
                          <w:rPr>
                            <w:rFonts w:hint="eastAsia"/>
                            <w:sz w:val="18"/>
                          </w:rPr>
                          <w:t>有机废水</w:t>
                        </w:r>
                      </w:p>
                      <w:p>
                        <w:pPr>
                          <w:jc w:val="center"/>
                          <w:rPr>
                            <w:sz w:val="18"/>
                          </w:rPr>
                        </w:pPr>
                      </w:p>
                    </w:txbxContent>
                  </v:textbox>
                </v:rect>
                <v:shape id="AutoShape 210" o:spid="_x0000_s1026" o:spt="32" type="#_x0000_t32" style="position:absolute;left:4909185;top:6036524;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b/LWc0gAAAAYBAAAPAAAAAAAAAAEAIAAA&#10;ACIAAABkcnMvZG93bnJldi54bWxQSwECFAAUAAAACACHTuJA40xh0hICAAAUBAAADgAAAAAAAAAB&#10;ACAAAAAhAQAAZHJzL2Uyb0RvYy54bWxQSwUGAAAAAAYABgBZAQAApQUAAAAA&#10;">
                  <v:fill on="f" focussize="0,0"/>
                  <v:stroke color="#000000" joinstyle="round" dashstyle="dash" endarrow="block"/>
                  <v:imagedata o:title=""/>
                  <o:lock v:ext="edit" aspectratio="f"/>
                </v:shape>
                <v:rect id="Rectangle 211" o:spid="_x0000_s1026" o:spt="1" style="position:absolute;left:4805680;top:6540079;height:256540;width:55372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8Ng01wAAAAYBAAAPAAAAAAAAAAEAIAAAACIA&#10;AABkcnMvZG93bnJldi54bWxQSwECFAAUAAAACACHTuJABwIyZAoCAAAYBAAADgAAAAAAAAABACAA&#10;AAAmAQAAZHJzL2Uyb0RvYy54bWxQSwUGAAAAAAYABgBZAQAAogUAAAAA&#10;">
                  <v:fill on="f" focussize="0,0"/>
                  <v:stroke on="f"/>
                  <v:imagedata o:title=""/>
                  <o:lock v:ext="edit" aspectratio="f"/>
                  <v:textbox inset="0mm,0mm,0mm,0mm">
                    <w:txbxContent>
                      <w:p>
                        <w:pPr>
                          <w:jc w:val="center"/>
                          <w:rPr>
                            <w:sz w:val="18"/>
                          </w:rPr>
                        </w:pPr>
                        <w:r>
                          <w:rPr>
                            <w:sz w:val="18"/>
                          </w:rPr>
                          <w:t>噪声</w:t>
                        </w:r>
                      </w:p>
                    </w:txbxContent>
                  </v:textbox>
                </v:rect>
                <v:shape id="AutoShape 212" o:spid="_x0000_s1026" o:spt="32" type="#_x0000_t32" style="position:absolute;left:4681220;top:6627709;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v8tZzSAAAABgEAAA8AAAAAAAAAAQAg&#10;AAAAIgAAAGRycy9kb3ducmV2LnhtbFBLAQIUABQAAAAIAIdO4kAF6vM2FAIAABQEAAAOAAAAAAAA&#10;AAEAIAAAACEBAABkcnMvZTJvRG9jLnhtbFBLBQYAAAAABgAGAFkBAACnBQAAAAA=&#10;">
                  <v:fill on="f" focussize="0,0"/>
                  <v:stroke color="#000000" joinstyle="round" dashstyle="dash" endarrow="block"/>
                  <v:imagedata o:title=""/>
                  <o:lock v:ext="edit" aspectratio="f"/>
                </v:shape>
                <v:rect id="Rectangle 213" o:spid="_x0000_s1026" o:spt="1" style="position:absolute;left:4921250;top:7149679;height:256540;width:60706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IS/NgQ0CAAAYBAAADgAAAAAAAAAB&#10;ACAAAAAmAQAAZHJzL2Uyb0RvYy54bWxQSwUGAAAAAAYABgBZAQAApQUAAAAA&#10;">
                  <v:fill on="f" focussize="0,0"/>
                  <v:stroke on="f"/>
                  <v:imagedata o:title=""/>
                  <o:lock v:ext="edit" aspectratio="f"/>
                  <v:textbox inset="0mm,0mm,0mm,0mm">
                    <w:txbxContent>
                      <w:p>
                        <w:pPr>
                          <w:jc w:val="center"/>
                          <w:rPr>
                            <w:sz w:val="18"/>
                          </w:rPr>
                        </w:pPr>
                        <w:r>
                          <w:rPr>
                            <w:sz w:val="18"/>
                          </w:rPr>
                          <w:t>不合格产品</w:t>
                        </w:r>
                      </w:p>
                    </w:txbxContent>
                  </v:textbox>
                </v:rect>
                <v:shape id="AutoShape 214" o:spid="_x0000_s1026" o:spt="32" type="#_x0000_t32" style="position:absolute;left:4676140;top:7237309;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v8tZzSAAAABgEAAA8AAAAAAAAAAQAg&#10;AAAAIgAAAGRycy9kb3ducmV2LnhtbFBLAQIUABQAAAAIAIdO4kBvk8pGFAIAABQEAAAOAAAAAAAA&#10;AAEAIAAAACEBAABkcnMvZTJvRG9jLnhtbFBLBQYAAAAABgAGAFkBAACnBQAAAAA=&#10;">
                  <v:fill on="f" focussize="0,0"/>
                  <v:stroke color="#000000" joinstyle="round" dashstyle="dash" endarrow="block"/>
                  <v:imagedata o:title=""/>
                  <o:lock v:ext="edit" aspectratio="f"/>
                </v:shape>
                <v:rect id="Rectangle 217" o:spid="_x0000_s1026" o:spt="1" style="position:absolute;left:4829810;top:5276429;height:228600;width:70929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CnNVuYDAIAABgEAAAOAAAAAAAAAAEA&#10;IAAAACYBAABkcnMvZTJvRG9jLnhtbFBLBQYAAAAABgAGAFkBAACkBQAAAAA=&#10;">
                  <v:fill on="f" focussize="0,0"/>
                  <v:stroke on="f"/>
                  <v:imagedata o:title=""/>
                  <o:lock v:ext="edit" aspectratio="f"/>
                  <v:textbox inset="0mm,0mm,0mm,0mm">
                    <w:txbxContent>
                      <w:p>
                        <w:pPr>
                          <w:jc w:val="center"/>
                          <w:rPr>
                            <w:sz w:val="18"/>
                          </w:rPr>
                        </w:pPr>
                        <w:r>
                          <w:rPr>
                            <w:rFonts w:hint="eastAsia"/>
                            <w:sz w:val="18"/>
                          </w:rPr>
                          <w:t>有机废水</w:t>
                        </w:r>
                      </w:p>
                    </w:txbxContent>
                  </v:textbox>
                </v:rect>
                <v:shape id="AutoShape 218" o:spid="_x0000_s1026" o:spt="32" type="#_x0000_t32" style="position:absolute;left:4693285;top:5376124;flip:y;height:3810;width:208915;" filled="f" stroked="t" coordsize="21600,21600" o:gfxdata="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v8tZzSAAAABgEAAA8AAAAAAAAAAQAg&#10;AAAAIgAAAGRycy9kb3ducmV2LnhtbFBLAQIUABQAAAAIAIdO4kCghvP6FAIAABQEAAAOAAAAAAAA&#10;AAEAIAAAACEBAABkcnMvZTJvRG9jLnhtbFBLBQYAAAAABgAGAFkBAACnBQAAAAA=&#10;">
                  <v:fill on="f" focussize="0,0"/>
                  <v:stroke color="#000000" joinstyle="round" dashstyle="dash" endarrow="block"/>
                  <v:imagedata o:title=""/>
                  <o:lock v:ext="edit" aspectratio="f"/>
                </v:shape>
                <v:shape id="AutoShape 426" o:spid="_x0000_s1026" o:spt="32" type="#_x0000_t32" style="position:absolute;left:2235835;top:286279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&#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4PMkbWAAAABgEAAA8AAAAAAAAAAQAgAAAAIgAAAGRy&#10;cy9kb3ducmV2LnhtbFBLAQIUABQAAAAIAIdO4kANvHN3BwIAAPsDAAAOAAAAAAAAAAEAIAAAACUB&#10;AABkcnMvZTJvRG9jLnhtbFBLBQYAAAAABgAGAFkBAACeBQAAAAA=&#10;">
                  <v:fill on="f" focussize="0,0"/>
                  <v:stroke color="#000000" joinstyle="round" endarrow="block"/>
                  <v:imagedata o:title=""/>
                  <o:lock v:ext="edit" aspectratio="f"/>
                </v:shape>
                <v:rect id="Rectangle 427" o:spid="_x0000_s1026" o:spt="1" style="position:absolute;left:2448421;top:2686679;height:335409;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vgK3bw0CAAAYBAAADgAAAAAAAAAB&#10;ACAAAAAmAQAAZHJzL2Uyb0RvYy54bWxQSwUGAAAAAAYABgBZAQAApQU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28" o:spid="_x0000_s1026" o:spt="32" type="#_x0000_t32" style="position:absolute;left:2244090;top:409342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4PMkbWAAAABgEAAA8AAAAAAAAAAQAgAAAAIgAAAGRy&#10;cy9kb3ducmV2LnhtbFBLAQIUABQAAAAIAIdO4kDd5W1bBwIAAPsDAAAOAAAAAAAAAAEAIAAAACUB&#10;AABkcnMvZTJvRG9jLnhtbFBLBQYAAAAABgAGAFkBAACeBQAAAAA=&#10;">
                  <v:fill on="f" focussize="0,0"/>
                  <v:stroke color="#000000" joinstyle="round" endarrow="block"/>
                  <v:imagedata o:title=""/>
                  <o:lock v:ext="edit" aspectratio="f"/>
                </v:shape>
                <v:shape id="AutoShape 430" o:spid="_x0000_s1026" o:spt="32" type="#_x0000_t32" style="position:absolute;left:2157095;top:537993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&#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eDzJG1gAAAAYBAAAPAAAAAAAAAAEAIAAAACIAAABk&#10;cnMvZG93bnJldi54bWxQSwECFAAUAAAACACHTuJARKivTAgCAAD7AwAADgAAAAAAAAABACAAAAAl&#10;AQAAZHJzL2Uyb0RvYy54bWxQSwUGAAAAAAYABgBZAQAAnwUAAAAA&#10;">
                  <v:fill on="f" focussize="0,0"/>
                  <v:stroke color="#000000" joinstyle="round" endarrow="block"/>
                  <v:imagedata o:title=""/>
                  <o:lock v:ext="edit" aspectratio="f"/>
                </v:shape>
                <v:shape id="AutoShape 433" o:spid="_x0000_s1026" o:spt="32" type="#_x0000_t32" style="position:absolute;left:3399790;top:2246209;height:635;width:26098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uF5Vg1wAAAAYBAAAPAAAAAAAAAAEAIAAAACIAAABkcnMv&#10;ZG93bnJldi54bWxQSwECFAAUAAAACACHTuJArDm7pgQCAADxAwAADgAAAAAAAAABACAAAAAmAQAA&#10;ZHJzL2Uyb0RvYy54bWxQSwUGAAAAAAYABgBZAQAAnAUAAAAA&#10;">
                  <v:fill on="f" focussize="0,0"/>
                  <v:stroke color="#000000" joinstyle="round" endarrow="block"/>
                  <v:imagedata o:title=""/>
                  <o:lock v:ext="edit" aspectratio="f"/>
                </v:shape>
                <v:rect id="Rectangle 434" o:spid="_x0000_s1026" o:spt="1" style="position:absolute;left:2962275;top:3638777;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MPTm5A0CAAAYBAAADgAAAAAAAAAB&#10;ACAAAAAmAQAAZHJzL2Uyb0RvYy54bWxQSwUGAAAAAAYABgBZAQAApQU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35" o:spid="_x0000_s1026" o:spt="32" type="#_x0000_t32" style="position:absolute;left:3298825;top:3770209;height:635;width:26098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4XlWDXAAAABgEAAA8AAAAAAAAAAQAgAAAAIgAAAGRycy9kb3du&#10;cmV2LnhtbFBLAQIUABQAAAAIAIdO4kCnoGz4AAIAAPEDAAAOAAAAAAAAAAEAIAAAACYBAABkcnMv&#10;ZTJvRG9jLnhtbFBLBQYAAAAABgAGAFkBAACYBQAAAAA=&#10;">
                  <v:fill on="f" focussize="0,0"/>
                  <v:stroke color="#000000" joinstyle="round" endarrow="block"/>
                  <v:imagedata o:title=""/>
                  <o:lock v:ext="edit" aspectratio="f"/>
                </v:shape>
                <v:shape id="AutoShape 430" o:spid="_x0000_s1026" o:spt="32" type="#_x0000_t32" style="position:absolute;left:2418080;top:6594054;flip:x;height:635;width:260985;" filled="f" stroked="t" coordsize="21600,21600" o:gfxdata="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&#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4PMkbWAAAABgEAAA8AAAAAAAAAAQAgAAAAIgAAAGRy&#10;cy9kb3ducmV2LnhtbFBLAQIUABQAAAAIAIdO4kBOKxFuBwIAAPsDAAAOAAAAAAAAAAEAIAAAACUB&#10;AABkcnMvZTJvRG9jLnhtbFBLBQYAAAAABgAGAFkBAACeBQAAAAA=&#10;">
                  <v:fill on="f" focussize="0,0"/>
                  <v:stroke color="#000000" joinstyle="round" endarrow="block"/>
                  <v:imagedata o:title=""/>
                  <o:lock v:ext="edit" aspectratio="f"/>
                </v:shape>
                <v:rect id="Rectangle 431" o:spid="_x0000_s1026" o:spt="1" style="position:absolute;left:2564130;top:6449274;height:374650;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3Q6aGg0CAAAYBAAADgAAAAAAAAAB&#10;ACAAAAAmAQAAZHJzL2Uyb0RvYy54bWxQSwUGAAAAAAYABgBZAQAApQU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shape id="AutoShape 435" o:spid="_x0000_s1026" o:spt="32" type="#_x0000_t32" style="position:absolute;left:3354705;top:4729059;height:635;width:26098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4XlWDXAAAABgEAAA8AAAAAAAAAAQAgAAAAIgAAAGRycy9k&#10;b3ducmV2LnhtbFBLAQIUABQAAAAIAIdO4kAN3jPkAwIAAPEDAAAOAAAAAAAAAAEAIAAAACYBAABk&#10;cnMvZTJvRG9jLnhtbFBLBQYAAAAABgAGAFkBAACbBQAAAAA=&#10;">
                  <v:fill on="f" focussize="0,0"/>
                  <v:stroke color="#000000" joinstyle="round" endarrow="block"/>
                  <v:imagedata o:title=""/>
                  <o:lock v:ext="edit" aspectratio="f"/>
                </v:shape>
                <v:shape id="AutoShape 435" o:spid="_x0000_s1026" o:spt="32" type="#_x0000_t32" style="position:absolute;left:3164840;top:6035889;height:635;width:260985;" filled="f" stroked="t" coordsize="21600,21600" o:gfxdata="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4XlWDXAAAABgEAAA8AAAAAAAAAAQAgAAAAIgAAAGRycy9k&#10;b3ducmV2LnhtbFBLAQIUABQAAAAIAIdO4kDiFMYzAwIAAPEDAAAOAAAAAAAAAAEAIAAAACYBAABk&#10;cnMvZTJvRG9jLnhtbFBLBQYAAAAABgAGAFkBAACbBQAAAAA=&#10;">
                  <v:fill on="f" focussize="0,0"/>
                  <v:stroke color="#000000" joinstyle="round" endarrow="block"/>
                  <v:imagedata o:title=""/>
                  <o:lock v:ext="edit" aspectratio="f"/>
                </v:shape>
                <v:rect id="Rectangle 122" o:spid="_x0000_s1026" o:spt="1" style="position:absolute;left:1140460;top:543433;height:307975;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4SkXVAAAABgEAAA8AAAAAAAAAAQAgAAAAIgAAAGRy&#10;cy9kb3ducmV2LnhtbFBLAQIUABQAAAAIAIdO4kAgCJJ3QQIAAJoEAAAOAAAAAAAAAAEAIAAAACQ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切割下料</w:t>
                        </w:r>
                      </w:p>
                    </w:txbxContent>
                  </v:textbox>
                </v:rect>
                <v:rect id="Rectangle 122" o:spid="_x0000_s1026" o:spt="1" style="position:absolute;left:1140460;top:986493;height:307975;width:1052830;" fillcolor="#FFFFFF" filled="t" stroked="t" coordsize="21600,21600" o:gfxdata="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I4SkXVAAAABgEAAA8AAAAAAAAAAQAgAAAAIgAAAGRy&#10;cy9kb3ducmV2LnhtbFBLAQIUABQAAAAIAIdO4kAlJCn2QQIAAJoEAAAOAAAAAAAAAAEAIAAAACQB&#10;AABkcnMvZTJvRG9jLnhtbFBLBQYAAAAABgAGAFkBAADXBQAAAAA=&#10;">
                  <v:fill on="t" focussize="0,0"/>
                  <v:stroke color="#000000" miterlimit="8" joinstyle="miter"/>
                  <v:imagedata o:title=""/>
                  <o:lock v:ext="edit" aspectratio="f"/>
                  <v:textbox>
                    <w:txbxContent>
                      <w:p>
                        <w:pPr>
                          <w:jc w:val="center"/>
                          <w:rPr>
                            <w:sz w:val="24"/>
                          </w:rPr>
                        </w:pPr>
                        <w:r>
                          <w:rPr>
                            <w:rFonts w:hint="eastAsia"/>
                            <w:sz w:val="24"/>
                          </w:rPr>
                          <w:t>折弯</w:t>
                        </w:r>
                      </w:p>
                    </w:txbxContent>
                  </v:textbox>
                </v:rect>
                <v:shape id="AutoShape 165" o:spid="_x0000_s1026" o:spt="32" type="#_x0000_t32" style="position:absolute;left:931545;top:683032;flip:x y;height:14389;width:208915;"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lQMq/XAAAABgEAAA8AAAAAAAAAAQAgAAAAIgAAAGRycy9kb3ducmV2LnhtbFBLAQIU&#10;ABQAAAAIAIdO4kCxXEpyLQIAAFYEAAAOAAAAAAAAAAEAIAAAACYBAABkcnMvZTJvRG9jLnhtbFBL&#10;BQYAAAAABgAGAFkBAADFBQAAAAA=&#10;">
                  <v:fill on="f" focussize="0,0"/>
                  <v:stroke color="#000000" joinstyle="round" dashstyle="dash" endarrow="block"/>
                  <v:imagedata o:title=""/>
                  <o:lock v:ext="edit" aspectratio="f"/>
                </v:shape>
                <v:rect id="Rectangle 164" o:spid="_x0000_s1026" o:spt="1" style="position:absolute;left:165735;top:495072;height:375920;width:765810;"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BZKSlaDAIAABYEAAAOAAAAAAAAAAEA&#10;IAAAACYBAABkcnMvZTJvRG9jLnhtbFBLBQYAAAAABgAGAFkBAACkBQAAAAA=&#10;">
                  <v:fill on="f" focussize="0,0"/>
                  <v:stroke on="f"/>
                  <v:imagedata o:title=""/>
                  <o:lock v:ext="edit" aspectratio="f"/>
                  <v:textbox inset="0mm,0mm,0mm,0mm">
                    <w:txbxContent>
                      <w:p>
                        <w:pPr>
                          <w:jc w:val="center"/>
                          <w:rPr>
                            <w:sz w:val="18"/>
                          </w:rPr>
                        </w:pPr>
                        <w:r>
                          <w:rPr>
                            <w:sz w:val="18"/>
                          </w:rPr>
                          <w:t>噪声、边角料</w:t>
                        </w:r>
                        <w:r>
                          <w:rPr>
                            <w:rFonts w:hint="eastAsia"/>
                            <w:sz w:val="18"/>
                          </w:rPr>
                          <w:t>、废机油</w:t>
                        </w:r>
                      </w:p>
                    </w:txbxContent>
                  </v:textbox>
                </v:rect>
                <v:shape id="AutoShape 165" o:spid="_x0000_s1026" o:spt="32" type="#_x0000_t32" style="position:absolute;left:931484;top:1124944;flip:x y;height:15537;width:208976;" filled="f" stroked="t" coordsize="21600,21600" o:gfxdata="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lQMq/XAAAABgEAAA8AAAAAAAAAAQAgAAAAIgAAAGRycy9kb3ducmV2LnhtbFBL&#10;AQIUABQAAAAIAIdO4kBFdVgMMAIAAFcEAAAOAAAAAAAAAAEAIAAAACYBAABkcnMvZTJvRG9jLnht&#10;bFBLBQYAAAAABgAGAFkBAADIBQAAAAA=&#10;">
                  <v:fill on="f" focussize="0,0"/>
                  <v:stroke color="#000000" joinstyle="round" dashstyle="dash" endarrow="block"/>
                  <v:imagedata o:title=""/>
                  <o:lock v:ext="edit" aspectratio="f"/>
                </v:shape>
                <v:rect id="Rectangle 164" o:spid="_x0000_s1026" o:spt="1" style="position:absolute;left:452487;top:1023780;height:202338;width:478997;"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PDYNNcAAAAGAQAADwAAAAAAAAABACAAAAAiAAAA&#10;ZHJzL2Rvd25yZXYueG1sUEsBAhQAFAAAAAgAh07iQF2NYsoIAgAAFwQAAA4AAAAAAAAAAQAgAAAA&#10;JgEAAGRycy9lMm9Eb2MueG1sUEsFBgAAAAAGAAYAWQEAAKAFAAAAAA==&#10;">
                  <v:fill on="f" focussize="0,0"/>
                  <v:stroke on="f"/>
                  <v:imagedata o:title=""/>
                  <o:lock v:ext="edit" aspectratio="f"/>
                  <v:textbox inset="0mm,0mm,0mm,0mm">
                    <w:txbxContent>
                      <w:p>
                        <w:pPr>
                          <w:jc w:val="center"/>
                          <w:rPr>
                            <w:sz w:val="18"/>
                          </w:rPr>
                        </w:pPr>
                        <w:r>
                          <w:rPr>
                            <w:sz w:val="18"/>
                          </w:rPr>
                          <w:t>噪声</w:t>
                        </w:r>
                      </w:p>
                    </w:txbxContent>
                  </v:textbox>
                </v:rect>
                <v:rect id="Rectangle 427" o:spid="_x0000_s1026" o:spt="1" style="position:absolute;left:2980336;top:2091920;height:335409;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w8Ng01wAAAAYBAAAPAAAAAAAAAAEAIAAA&#10;ACIAAABkcnMvZG93bnJldi54bWxQSwECFAAUAAAACACHTuJAuJeH0g0CAAAYBAAADgAAAAAAAAAB&#10;ACAAAAAmAQAAZHJzL2Uyb0RvYy54bWxQSwUGAAAAAAYABgBZAQAApQU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rect id="Rectangle 434" o:spid="_x0000_s1026" o:spt="1" style="position:absolute;left:2451764;top:3926853;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Dw2DTXAAAABgEAAA8AAAAAAAAAAQAgAAAA&#10;IgAAAGRycy9kb3ducmV2LnhtbFBLAQIUABQAAAAIAIdO4kAqW7+iDAIAABgEAAAOAAAAAAAAAAEA&#10;IAAAACYBAABkcnMvZTJvRG9jLnhtbFBLBQYAAAAABgAGAFkBAACkBQ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rect id="Rectangle 434" o:spid="_x0000_s1026" o:spt="1" style="position:absolute;left:2406017;top:5202736;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PDYNNcAAAAGAQAADwAAAAAAAAABACAA&#10;AAAiAAAAZHJzL2Rvd25yZXYueG1sUEsBAhQAFAAAAAgAh07iQCH8HPQOAgAAGAQAAA4AAAAAAAAA&#10;AQAgAAAAJgEAAGRycy9lMm9Eb2MueG1sUEsFBgAAAAAGAAYAWQEAAKYFA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rect id="Rectangle 431" o:spid="_x0000_s1026" o:spt="1" style="position:absolute;left:2906454;top:5900163;height:374650;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PDYNNcAAAAGAQAADwAAAAAAAAABACAA&#10;AAAiAAAAZHJzL2Rvd25yZXYueG1sUEsBAhQAFAAAAAgAh07iQEl6nhcOAgAAGAQAAA4AAAAAAAAA&#10;AQAgAAAAJgEAAGRycy9lMm9Eb2MueG1sUEsFBgAAAAAGAAYAWQEAAKYFA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v:rect id="Rectangle 434" o:spid="_x0000_s1026" o:spt="1" style="position:absolute;left:2934972;top:4567025;height:334645;width:469265;" filled="f" stroked="f" coordsize="21600,21600" o:gfxdata="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PDYNNcAAAAGAQAADwAAAAAAAAABACAA&#10;AAAiAAAAZHJzL2Rvd25yZXYueG1sUEsBAhQAFAAAAAgAh07iQHGejy0OAgAAGAQAAA4AAAAAAAAA&#10;AQAgAAAAJgEAAGRycy9lMm9Eb2MueG1sUEsFBgAAAAAGAAYAWQEAAKYFAAAAAA==&#10;">
                  <v:fill on="f" focussize="0,0"/>
                  <v:stroke on="f"/>
                  <v:imagedata o:title=""/>
                  <o:lock v:ext="edit" aspectratio="f"/>
                  <v:textbox inset="0mm,0mm,0mm,0mm">
                    <w:txbxContent>
                      <w:p>
                        <w:pPr>
                          <w:jc w:val="center"/>
                          <w:rPr>
                            <w:sz w:val="18"/>
                          </w:rPr>
                        </w:pPr>
                        <w:r>
                          <w:rPr>
                            <w:rFonts w:hint="eastAsia"/>
                            <w:sz w:val="18"/>
                          </w:rPr>
                          <w:t>纯</w:t>
                        </w:r>
                        <w:r>
                          <w:rPr>
                            <w:sz w:val="18"/>
                          </w:rPr>
                          <w:t>水</w:t>
                        </w:r>
                      </w:p>
                      <w:p>
                        <w:pPr>
                          <w:jc w:val="center"/>
                          <w:rPr>
                            <w:sz w:val="18"/>
                          </w:rPr>
                        </w:pPr>
                        <w:r>
                          <w:rPr>
                            <w:rFonts w:hint="eastAsia"/>
                            <w:sz w:val="18"/>
                          </w:rPr>
                          <w:t>回用水</w:t>
                        </w:r>
                      </w:p>
                    </w:txbxContent>
                  </v:textbox>
                </v:rect>
                <w10:wrap type="none"/>
                <w10:anchorlock/>
              </v:group>
            </w:pict>
          </mc:Fallback>
        </mc:AlternateContent>
      </w:r>
    </w:p>
    <w:p>
      <w:pPr>
        <w:adjustRightInd w:val="0"/>
        <w:snapToGrid w:val="0"/>
        <w:spacing w:line="360" w:lineRule="auto"/>
        <w:jc w:val="center"/>
        <w:rPr>
          <w:rFonts w:eastAsia="黑体"/>
          <w:color w:val="auto"/>
          <w:kern w:val="21"/>
          <w:sz w:val="24"/>
          <w:szCs w:val="24"/>
        </w:rPr>
      </w:pPr>
      <w:r>
        <w:rPr>
          <w:rFonts w:eastAsia="黑体"/>
          <w:color w:val="auto"/>
          <w:kern w:val="21"/>
          <w:sz w:val="24"/>
          <w:szCs w:val="24"/>
        </w:rPr>
        <w:t>图3.3-</w:t>
      </w:r>
      <w:r>
        <w:rPr>
          <w:rFonts w:hint="eastAsia" w:eastAsia="黑体"/>
          <w:color w:val="auto"/>
          <w:kern w:val="21"/>
          <w:sz w:val="24"/>
          <w:szCs w:val="24"/>
        </w:rPr>
        <w:t>2</w:t>
      </w:r>
      <w:r>
        <w:rPr>
          <w:rFonts w:eastAsia="黑体"/>
          <w:color w:val="auto"/>
          <w:kern w:val="21"/>
          <w:sz w:val="24"/>
          <w:szCs w:val="24"/>
        </w:rPr>
        <w:t xml:space="preserve">   </w:t>
      </w:r>
      <w:r>
        <w:rPr>
          <w:rFonts w:hint="eastAsia" w:eastAsia="黑体"/>
          <w:color w:val="auto"/>
          <w:kern w:val="21"/>
          <w:sz w:val="24"/>
          <w:szCs w:val="24"/>
          <w:lang w:eastAsia="zh-CN"/>
        </w:rPr>
        <w:t>锂电池箱加工</w:t>
      </w:r>
      <w:r>
        <w:rPr>
          <w:rFonts w:eastAsia="黑体"/>
          <w:color w:val="auto"/>
          <w:kern w:val="21"/>
          <w:sz w:val="24"/>
          <w:szCs w:val="24"/>
        </w:rPr>
        <w:t>工艺流程及产污环节图</w:t>
      </w:r>
    </w:p>
    <w:p>
      <w:pPr>
        <w:adjustRightInd w:val="0"/>
        <w:snapToGrid w:val="0"/>
        <w:spacing w:line="360" w:lineRule="auto"/>
        <w:jc w:val="center"/>
        <w:rPr>
          <w:snapToGrid w:val="0"/>
          <w:color w:val="auto"/>
          <w:kern w:val="21"/>
          <w:sz w:val="24"/>
          <w:szCs w:val="24"/>
        </w:rPr>
        <w:sectPr>
          <w:pgSz w:w="11906" w:h="16838"/>
          <w:pgMar w:top="1800" w:right="1440" w:bottom="1800" w:left="1440" w:header="1134" w:footer="1134" w:gutter="0"/>
          <w:cols w:space="720" w:num="1"/>
          <w:docGrid w:linePitch="312" w:charSpace="0"/>
        </w:sectPr>
      </w:pPr>
    </w:p>
    <w:p>
      <w:pPr>
        <w:adjustRightInd w:val="0"/>
        <w:snapToGrid w:val="0"/>
        <w:spacing w:before="120" w:beforeLines="50" w:line="360" w:lineRule="auto"/>
        <w:rPr>
          <w:b/>
          <w:snapToGrid w:val="0"/>
          <w:color w:val="auto"/>
          <w:kern w:val="21"/>
          <w:sz w:val="24"/>
          <w:szCs w:val="24"/>
        </w:rPr>
      </w:pPr>
      <w:r>
        <w:rPr>
          <w:rFonts w:hint="eastAsia"/>
          <w:b/>
          <w:snapToGrid w:val="0"/>
          <w:color w:val="auto"/>
          <w:kern w:val="21"/>
          <w:sz w:val="24"/>
          <w:szCs w:val="24"/>
        </w:rPr>
        <w:t>1、主要工艺流程简述</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1）切割下料：根据产品需求，使用数控平开下料机对钢卷进行切割下料，形成矩形钢片。规格分别为</w:t>
      </w:r>
      <w:r>
        <w:rPr>
          <w:rFonts w:hint="eastAsia"/>
          <w:snapToGrid w:val="0"/>
          <w:color w:val="auto"/>
          <w:kern w:val="21"/>
          <w:sz w:val="24"/>
          <w:szCs w:val="24"/>
        </w:rPr>
        <w:t>380mm</w:t>
      </w:r>
      <w:r>
        <w:rPr>
          <w:rFonts w:hint="eastAsia" w:ascii="宋体" w:hAnsi="宋体"/>
          <w:snapToGrid w:val="0"/>
          <w:color w:val="auto"/>
          <w:kern w:val="21"/>
          <w:sz w:val="24"/>
          <w:szCs w:val="24"/>
        </w:rPr>
        <w:t>×</w:t>
      </w:r>
      <w:r>
        <w:rPr>
          <w:rFonts w:hint="eastAsia"/>
          <w:snapToGrid w:val="0"/>
          <w:color w:val="auto"/>
          <w:kern w:val="21"/>
          <w:sz w:val="24"/>
          <w:szCs w:val="24"/>
        </w:rPr>
        <w:t>860mm、280mm</w:t>
      </w:r>
      <w:r>
        <w:rPr>
          <w:rFonts w:hint="eastAsia" w:ascii="宋体" w:hAnsi="宋体"/>
          <w:snapToGrid w:val="0"/>
          <w:color w:val="auto"/>
          <w:kern w:val="21"/>
          <w:sz w:val="24"/>
          <w:szCs w:val="24"/>
        </w:rPr>
        <w:t>×</w:t>
      </w:r>
      <w:r>
        <w:rPr>
          <w:rFonts w:hint="eastAsia"/>
          <w:snapToGrid w:val="0"/>
          <w:color w:val="auto"/>
          <w:kern w:val="21"/>
          <w:sz w:val="24"/>
          <w:szCs w:val="24"/>
        </w:rPr>
        <w:t>290mm、380mm</w:t>
      </w:r>
      <w:r>
        <w:rPr>
          <w:rFonts w:hint="eastAsia" w:ascii="宋体" w:hAnsi="宋体"/>
          <w:snapToGrid w:val="0"/>
          <w:color w:val="auto"/>
          <w:kern w:val="21"/>
          <w:sz w:val="24"/>
          <w:szCs w:val="24"/>
        </w:rPr>
        <w:t>×</w:t>
      </w:r>
      <w:r>
        <w:rPr>
          <w:rFonts w:hint="eastAsia"/>
          <w:snapToGrid w:val="0"/>
          <w:color w:val="auto"/>
          <w:kern w:val="21"/>
          <w:sz w:val="24"/>
          <w:szCs w:val="24"/>
        </w:rPr>
        <w:t>280mm。</w:t>
      </w:r>
    </w:p>
    <w:p>
      <w:pPr>
        <w:adjustRightInd w:val="0"/>
        <w:snapToGrid w:val="0"/>
        <w:spacing w:line="360" w:lineRule="auto"/>
        <w:ind w:firstLine="480" w:firstLineChars="200"/>
        <w:rPr>
          <w:snapToGrid w:val="0"/>
          <w:color w:val="auto"/>
          <w:kern w:val="21"/>
          <w:sz w:val="24"/>
          <w:szCs w:val="24"/>
        </w:rPr>
      </w:pPr>
      <w:r>
        <w:rPr>
          <w:rStyle w:val="130"/>
          <w:rFonts w:hint="eastAsia"/>
          <w:color w:val="auto"/>
          <w:kern w:val="21"/>
          <w:sz w:val="24"/>
          <w:szCs w:val="24"/>
          <w:lang w:eastAsia="zh-CN"/>
        </w:rPr>
        <w:t>切割</w:t>
      </w:r>
      <w:r>
        <w:rPr>
          <w:rStyle w:val="130"/>
          <w:color w:val="auto"/>
          <w:kern w:val="21"/>
          <w:sz w:val="24"/>
          <w:szCs w:val="24"/>
        </w:rPr>
        <w:t>下料</w:t>
      </w:r>
      <w:r>
        <w:rPr>
          <w:snapToGrid w:val="0"/>
          <w:color w:val="auto"/>
          <w:kern w:val="21"/>
          <w:sz w:val="24"/>
          <w:szCs w:val="24"/>
        </w:rPr>
        <w:t>过程中会产生噪声、边角料</w:t>
      </w:r>
      <w:r>
        <w:rPr>
          <w:rFonts w:hint="eastAsia"/>
          <w:snapToGrid w:val="0"/>
          <w:color w:val="auto"/>
          <w:kern w:val="21"/>
          <w:sz w:val="24"/>
          <w:szCs w:val="24"/>
          <w:lang w:eastAsia="zh-CN"/>
        </w:rPr>
        <w:t>和</w:t>
      </w:r>
      <w:r>
        <w:rPr>
          <w:snapToGrid w:val="0"/>
          <w:color w:val="auto"/>
          <w:kern w:val="21"/>
          <w:sz w:val="24"/>
          <w:szCs w:val="24"/>
        </w:rPr>
        <w:t>废机油。</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2）折弯：</w:t>
      </w:r>
      <w:r>
        <w:rPr>
          <w:snapToGrid w:val="0"/>
          <w:color w:val="auto"/>
          <w:kern w:val="21"/>
          <w:sz w:val="24"/>
          <w:szCs w:val="24"/>
        </w:rPr>
        <w:t>下料后的</w:t>
      </w:r>
      <w:r>
        <w:rPr>
          <w:rFonts w:hint="eastAsia"/>
          <w:snapToGrid w:val="0"/>
          <w:color w:val="auto"/>
          <w:kern w:val="21"/>
          <w:sz w:val="24"/>
          <w:szCs w:val="24"/>
        </w:rPr>
        <w:t>380mm</w:t>
      </w:r>
      <w:r>
        <w:rPr>
          <w:rFonts w:hint="eastAsia" w:ascii="宋体" w:hAnsi="宋体"/>
          <w:snapToGrid w:val="0"/>
          <w:color w:val="auto"/>
          <w:kern w:val="21"/>
          <w:sz w:val="24"/>
          <w:szCs w:val="24"/>
        </w:rPr>
        <w:t>×</w:t>
      </w:r>
      <w:r>
        <w:rPr>
          <w:rFonts w:hint="eastAsia"/>
          <w:snapToGrid w:val="0"/>
          <w:color w:val="auto"/>
          <w:kern w:val="21"/>
          <w:sz w:val="24"/>
          <w:szCs w:val="24"/>
        </w:rPr>
        <w:t>860mm</w:t>
      </w:r>
      <w:r>
        <w:rPr>
          <w:snapToGrid w:val="0"/>
          <w:color w:val="auto"/>
          <w:kern w:val="21"/>
          <w:sz w:val="24"/>
          <w:szCs w:val="24"/>
        </w:rPr>
        <w:t>矩形钢片使用折弯机对钢板折弯，使钢品折为凹型。</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折弯过程中会产生噪声。</w:t>
      </w:r>
    </w:p>
    <w:p>
      <w:pPr>
        <w:adjustRightInd w:val="0"/>
        <w:snapToGrid w:val="0"/>
        <w:spacing w:line="360" w:lineRule="auto"/>
        <w:ind w:firstLine="480" w:firstLineChars="200"/>
        <w:rPr>
          <w:rStyle w:val="130"/>
          <w:color w:val="auto"/>
          <w:kern w:val="21"/>
          <w:sz w:val="24"/>
          <w:szCs w:val="24"/>
        </w:rPr>
      </w:pPr>
      <w:r>
        <w:rPr>
          <w:rFonts w:hint="eastAsia"/>
          <w:snapToGrid w:val="0"/>
          <w:color w:val="auto"/>
          <w:kern w:val="21"/>
          <w:sz w:val="24"/>
          <w:szCs w:val="24"/>
        </w:rPr>
        <w:t>3）焊接：</w:t>
      </w:r>
      <w:r>
        <w:rPr>
          <w:rFonts w:hint="eastAsia"/>
          <w:snapToGrid w:val="0"/>
          <w:color w:val="auto"/>
          <w:kern w:val="21"/>
          <w:sz w:val="24"/>
          <w:szCs w:val="24"/>
          <w:lang w:eastAsia="zh-CN"/>
        </w:rPr>
        <w:t>折弯</w:t>
      </w:r>
      <w:r>
        <w:rPr>
          <w:snapToGrid w:val="0"/>
          <w:color w:val="auto"/>
          <w:kern w:val="21"/>
          <w:sz w:val="24"/>
          <w:szCs w:val="24"/>
        </w:rPr>
        <w:t>后使用</w:t>
      </w:r>
      <w:r>
        <w:rPr>
          <w:rFonts w:hint="eastAsia"/>
          <w:snapToGrid w:val="0"/>
          <w:color w:val="auto"/>
          <w:kern w:val="21"/>
          <w:sz w:val="24"/>
          <w:szCs w:val="24"/>
          <w:lang w:val="en-US" w:eastAsia="zh-CN"/>
        </w:rPr>
        <w:t>CO</w:t>
      </w:r>
      <w:r>
        <w:rPr>
          <w:rFonts w:hint="eastAsia"/>
          <w:snapToGrid w:val="0"/>
          <w:color w:val="auto"/>
          <w:kern w:val="21"/>
          <w:sz w:val="24"/>
          <w:szCs w:val="24"/>
          <w:vertAlign w:val="subscript"/>
          <w:lang w:val="en-US" w:eastAsia="zh-CN"/>
        </w:rPr>
        <w:t>2</w:t>
      </w:r>
      <w:r>
        <w:rPr>
          <w:rFonts w:hint="eastAsia"/>
          <w:snapToGrid w:val="0"/>
          <w:color w:val="auto"/>
          <w:kern w:val="21"/>
          <w:sz w:val="24"/>
          <w:szCs w:val="24"/>
          <w:lang w:val="en-US" w:eastAsia="zh-CN"/>
        </w:rPr>
        <w:t>保护</w:t>
      </w:r>
      <w:r>
        <w:rPr>
          <w:snapToGrid w:val="0"/>
          <w:color w:val="auto"/>
          <w:kern w:val="21"/>
          <w:sz w:val="24"/>
          <w:szCs w:val="24"/>
        </w:rPr>
        <w:t>焊机进行焊接，将凹型钢片两侧用</w:t>
      </w:r>
      <w:r>
        <w:rPr>
          <w:rFonts w:hint="eastAsia"/>
          <w:snapToGrid w:val="0"/>
          <w:color w:val="auto"/>
          <w:kern w:val="21"/>
          <w:sz w:val="24"/>
          <w:szCs w:val="24"/>
        </w:rPr>
        <w:t>280mm</w:t>
      </w:r>
      <w:r>
        <w:rPr>
          <w:rFonts w:hint="eastAsia" w:ascii="宋体" w:hAnsi="宋体"/>
          <w:snapToGrid w:val="0"/>
          <w:color w:val="auto"/>
          <w:kern w:val="21"/>
          <w:sz w:val="24"/>
          <w:szCs w:val="24"/>
        </w:rPr>
        <w:t>×</w:t>
      </w:r>
      <w:r>
        <w:rPr>
          <w:rFonts w:hint="eastAsia"/>
          <w:snapToGrid w:val="0"/>
          <w:color w:val="auto"/>
          <w:kern w:val="21"/>
          <w:sz w:val="24"/>
          <w:szCs w:val="24"/>
        </w:rPr>
        <w:t>290mm</w:t>
      </w:r>
      <w:r>
        <w:rPr>
          <w:snapToGrid w:val="0"/>
          <w:color w:val="auto"/>
          <w:kern w:val="21"/>
          <w:sz w:val="24"/>
          <w:szCs w:val="24"/>
        </w:rPr>
        <w:t>钢片焊接封堵，使其成为箱式，同时以同样的方式将</w:t>
      </w:r>
      <w:r>
        <w:rPr>
          <w:rFonts w:hint="eastAsia"/>
          <w:snapToGrid w:val="0"/>
          <w:color w:val="auto"/>
          <w:kern w:val="21"/>
          <w:sz w:val="24"/>
          <w:szCs w:val="24"/>
        </w:rPr>
        <w:t>380mm</w:t>
      </w:r>
      <w:r>
        <w:rPr>
          <w:rFonts w:hint="eastAsia" w:ascii="宋体" w:hAnsi="宋体"/>
          <w:snapToGrid w:val="0"/>
          <w:color w:val="auto"/>
          <w:kern w:val="21"/>
          <w:sz w:val="24"/>
          <w:szCs w:val="24"/>
        </w:rPr>
        <w:t>×</w:t>
      </w:r>
      <w:r>
        <w:rPr>
          <w:rFonts w:hint="eastAsia"/>
          <w:snapToGrid w:val="0"/>
          <w:color w:val="auto"/>
          <w:kern w:val="21"/>
          <w:sz w:val="24"/>
          <w:szCs w:val="24"/>
        </w:rPr>
        <w:t>280mm钢片折弯并焊接，</w:t>
      </w:r>
      <w:r>
        <w:rPr>
          <w:snapToGrid w:val="0"/>
          <w:color w:val="auto"/>
          <w:kern w:val="21"/>
          <w:sz w:val="24"/>
          <w:szCs w:val="24"/>
        </w:rPr>
        <w:t>制作上成盖，最后焊接提拉把手及锁扣。</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焊接过程中会产生焊接烟尘。</w:t>
      </w:r>
    </w:p>
    <w:p>
      <w:pPr>
        <w:adjustRightInd w:val="0"/>
        <w:snapToGrid w:val="0"/>
        <w:spacing w:line="360" w:lineRule="auto"/>
        <w:ind w:firstLine="482" w:firstLineChars="200"/>
        <w:rPr>
          <w:b/>
          <w:bCs/>
          <w:snapToGrid w:val="0"/>
          <w:color w:val="auto"/>
          <w:kern w:val="21"/>
          <w:sz w:val="24"/>
          <w:szCs w:val="24"/>
          <w:u w:val="single"/>
        </w:rPr>
      </w:pPr>
      <w:r>
        <w:rPr>
          <w:rFonts w:hint="eastAsia"/>
          <w:b/>
          <w:bCs/>
          <w:snapToGrid w:val="0"/>
          <w:color w:val="auto"/>
          <w:kern w:val="21"/>
          <w:sz w:val="24"/>
          <w:szCs w:val="24"/>
          <w:u w:val="single"/>
          <w:lang w:val="en-US" w:eastAsia="zh-CN"/>
        </w:rPr>
        <w:t>4）</w:t>
      </w:r>
      <w:r>
        <w:rPr>
          <w:b/>
          <w:bCs/>
          <w:snapToGrid w:val="0"/>
          <w:color w:val="auto"/>
          <w:kern w:val="21"/>
          <w:sz w:val="24"/>
          <w:szCs w:val="24"/>
          <w:u w:val="single"/>
        </w:rPr>
        <w:t>除油：钢材自身及在</w:t>
      </w:r>
      <w:r>
        <w:rPr>
          <w:rFonts w:hint="eastAsia"/>
          <w:b/>
          <w:bCs/>
          <w:snapToGrid w:val="0"/>
          <w:color w:val="auto"/>
          <w:kern w:val="21"/>
          <w:sz w:val="24"/>
          <w:szCs w:val="24"/>
          <w:u w:val="single"/>
          <w:lang w:eastAsia="zh-CN"/>
        </w:rPr>
        <w:t>切割下料</w:t>
      </w:r>
      <w:r>
        <w:rPr>
          <w:b/>
          <w:bCs/>
          <w:snapToGrid w:val="0"/>
          <w:color w:val="auto"/>
          <w:kern w:val="21"/>
          <w:sz w:val="24"/>
          <w:szCs w:val="24"/>
          <w:u w:val="single"/>
        </w:rPr>
        <w:t>过程中会附带油污，为脱去金属表面油污，需要进行脱脂处理。</w:t>
      </w:r>
      <w:r>
        <w:rPr>
          <w:rFonts w:hint="eastAsia"/>
          <w:b/>
          <w:bCs/>
          <w:snapToGrid w:val="0"/>
          <w:color w:val="auto"/>
          <w:kern w:val="21"/>
          <w:sz w:val="24"/>
          <w:szCs w:val="24"/>
          <w:u w:val="single"/>
          <w:lang w:eastAsia="zh-CN"/>
        </w:rPr>
        <w:t>脱脂的方法</w:t>
      </w:r>
      <w:r>
        <w:rPr>
          <w:b/>
          <w:bCs/>
          <w:snapToGrid w:val="0"/>
          <w:color w:val="auto"/>
          <w:kern w:val="21"/>
          <w:sz w:val="24"/>
          <w:szCs w:val="24"/>
          <w:u w:val="single"/>
        </w:rPr>
        <w:t>主要是在除油槽中添加碱性脱脂剂（主要成分为氢氧化钠、碳酸钠、表面活性剂），</w:t>
      </w:r>
      <w:r>
        <w:rPr>
          <w:rFonts w:hint="eastAsia"/>
          <w:b/>
          <w:bCs/>
          <w:snapToGrid w:val="0"/>
          <w:color w:val="auto"/>
          <w:kern w:val="21"/>
          <w:sz w:val="24"/>
          <w:szCs w:val="24"/>
          <w:u w:val="single"/>
          <w:lang w:eastAsia="zh-CN"/>
        </w:rPr>
        <w:t>脱脂剂的</w:t>
      </w:r>
      <w:r>
        <w:rPr>
          <w:b/>
          <w:bCs/>
          <w:snapToGrid w:val="0"/>
          <w:color w:val="auto"/>
          <w:kern w:val="21"/>
          <w:sz w:val="24"/>
          <w:szCs w:val="24"/>
          <w:u w:val="single"/>
        </w:rPr>
        <w:t>含量</w:t>
      </w:r>
      <w:r>
        <w:rPr>
          <w:rFonts w:hint="eastAsia"/>
          <w:b/>
          <w:bCs/>
          <w:snapToGrid w:val="0"/>
          <w:color w:val="auto"/>
          <w:kern w:val="21"/>
          <w:sz w:val="24"/>
          <w:szCs w:val="24"/>
          <w:u w:val="single"/>
          <w:lang w:eastAsia="zh-CN"/>
        </w:rPr>
        <w:t>为</w:t>
      </w:r>
      <w:r>
        <w:rPr>
          <w:b/>
          <w:bCs/>
          <w:snapToGrid w:val="0"/>
          <w:color w:val="auto"/>
          <w:kern w:val="21"/>
          <w:sz w:val="24"/>
          <w:szCs w:val="24"/>
          <w:u w:val="single"/>
        </w:rPr>
        <w:t>50g/L，</w:t>
      </w:r>
      <w:r>
        <w:rPr>
          <w:rFonts w:hint="eastAsia"/>
          <w:b/>
          <w:bCs/>
          <w:snapToGrid w:val="0"/>
          <w:color w:val="auto"/>
          <w:kern w:val="21"/>
          <w:sz w:val="24"/>
          <w:szCs w:val="24"/>
          <w:u w:val="single"/>
          <w:lang w:eastAsia="zh-CN"/>
        </w:rPr>
        <w:t>脱脂加热</w:t>
      </w:r>
      <w:r>
        <w:rPr>
          <w:b/>
          <w:bCs/>
          <w:snapToGrid w:val="0"/>
          <w:color w:val="auto"/>
          <w:kern w:val="21"/>
          <w:sz w:val="24"/>
          <w:szCs w:val="24"/>
          <w:u w:val="single"/>
        </w:rPr>
        <w:t>温度5</w:t>
      </w:r>
      <w:r>
        <w:rPr>
          <w:rFonts w:hint="eastAsia"/>
          <w:b/>
          <w:bCs/>
          <w:snapToGrid w:val="0"/>
          <w:color w:val="auto"/>
          <w:kern w:val="21"/>
          <w:sz w:val="24"/>
          <w:szCs w:val="24"/>
          <w:u w:val="single"/>
        </w:rPr>
        <w:t>0</w:t>
      </w:r>
      <w:r>
        <w:rPr>
          <w:b/>
          <w:bCs/>
          <w:snapToGrid w:val="0"/>
          <w:color w:val="auto"/>
          <w:kern w:val="21"/>
          <w:sz w:val="24"/>
          <w:szCs w:val="24"/>
          <w:u w:val="single"/>
        </w:rPr>
        <w:t>-60℃，采用蒸汽加热。脱脂液需要定期补</w:t>
      </w:r>
      <w:r>
        <w:rPr>
          <w:rFonts w:hint="eastAsia"/>
          <w:b/>
          <w:bCs/>
          <w:snapToGrid w:val="0"/>
          <w:color w:val="auto"/>
          <w:kern w:val="21"/>
          <w:sz w:val="24"/>
          <w:szCs w:val="24"/>
          <w:u w:val="single"/>
          <w:lang w:eastAsia="zh-CN"/>
        </w:rPr>
        <w:t>充</w:t>
      </w:r>
      <w:r>
        <w:rPr>
          <w:b/>
          <w:bCs/>
          <w:snapToGrid w:val="0"/>
          <w:color w:val="auto"/>
          <w:kern w:val="21"/>
          <w:sz w:val="24"/>
          <w:szCs w:val="24"/>
          <w:u w:val="single"/>
        </w:rPr>
        <w:t>，以弥补消耗，每2个月更换一次。</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更换的</w:t>
      </w:r>
      <w:r>
        <w:rPr>
          <w:rFonts w:hint="eastAsia"/>
          <w:snapToGrid w:val="0"/>
          <w:color w:val="auto"/>
          <w:kern w:val="21"/>
          <w:sz w:val="24"/>
          <w:szCs w:val="24"/>
          <w:lang w:eastAsia="zh-CN"/>
        </w:rPr>
        <w:t>脱脂液为</w:t>
      </w:r>
      <w:r>
        <w:rPr>
          <w:rFonts w:hint="eastAsia"/>
          <w:color w:val="auto"/>
          <w:kern w:val="21"/>
          <w:sz w:val="24"/>
        </w:rPr>
        <w:t>含油废水</w:t>
      </w:r>
      <w:r>
        <w:rPr>
          <w:rFonts w:hint="eastAsia"/>
          <w:color w:val="auto"/>
          <w:kern w:val="21"/>
          <w:sz w:val="24"/>
          <w:lang w:eastAsia="zh-CN"/>
        </w:rPr>
        <w:t>，含油废水</w:t>
      </w:r>
      <w:r>
        <w:rPr>
          <w:rFonts w:hint="eastAsia"/>
          <w:color w:val="auto"/>
          <w:kern w:val="21"/>
          <w:sz w:val="24"/>
        </w:rPr>
        <w:t>经</w:t>
      </w:r>
      <w:r>
        <w:rPr>
          <w:rFonts w:hint="eastAsia"/>
          <w:color w:val="auto"/>
          <w:kern w:val="21"/>
          <w:sz w:val="24"/>
          <w:lang w:eastAsia="zh-CN"/>
        </w:rPr>
        <w:t>“</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w:t>
      </w:r>
      <w:r>
        <w:rPr>
          <w:rFonts w:hint="eastAsia"/>
          <w:color w:val="auto"/>
          <w:kern w:val="21"/>
          <w:sz w:val="24"/>
          <w:lang w:eastAsia="zh-CN"/>
        </w:rPr>
        <w:t>”</w:t>
      </w:r>
      <w:r>
        <w:rPr>
          <w:rFonts w:hint="eastAsia"/>
          <w:color w:val="auto"/>
          <w:kern w:val="21"/>
          <w:sz w:val="24"/>
        </w:rPr>
        <w:t>预处理后，先进入酸性废水预处理系统进行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5</w:t>
      </w:r>
      <w:r>
        <w:rPr>
          <w:snapToGrid w:val="0"/>
          <w:color w:val="auto"/>
          <w:kern w:val="21"/>
          <w:sz w:val="24"/>
          <w:szCs w:val="24"/>
        </w:rPr>
        <w:t>）水洗</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脱脂后水洗先采用温水洗，</w:t>
      </w:r>
      <w:r>
        <w:rPr>
          <w:rFonts w:hint="eastAsia"/>
          <w:snapToGrid w:val="0"/>
          <w:color w:val="auto"/>
          <w:kern w:val="21"/>
          <w:sz w:val="24"/>
          <w:szCs w:val="24"/>
          <w:lang w:eastAsia="zh-CN"/>
        </w:rPr>
        <w:t>再</w:t>
      </w:r>
      <w:r>
        <w:rPr>
          <w:snapToGrid w:val="0"/>
          <w:color w:val="auto"/>
          <w:kern w:val="21"/>
          <w:sz w:val="24"/>
          <w:szCs w:val="24"/>
        </w:rPr>
        <w:t>使用纯水进行二级逆流水洗，去除工件表面残留的油污及脱脂液，逆流水洗工艺：即清洗水流向与工件运行方向相反，即工件按顺序先后进入水洗槽1→水洗槽2，清洗水则由水洗槽2→水洗槽1。</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清洗废水</w:t>
      </w:r>
      <w:r>
        <w:rPr>
          <w:rFonts w:hint="eastAsia"/>
          <w:snapToGrid w:val="0"/>
          <w:color w:val="auto"/>
          <w:kern w:val="21"/>
          <w:sz w:val="24"/>
          <w:szCs w:val="24"/>
        </w:rPr>
        <w:t>属于含油废水，</w:t>
      </w:r>
      <w:r>
        <w:rPr>
          <w:rFonts w:hint="eastAsia"/>
          <w:color w:val="auto"/>
          <w:kern w:val="21"/>
          <w:sz w:val="24"/>
        </w:rPr>
        <w:t>经</w:t>
      </w:r>
      <w:r>
        <w:rPr>
          <w:rFonts w:hint="eastAsia"/>
          <w:color w:val="auto"/>
          <w:kern w:val="21"/>
          <w:sz w:val="24"/>
          <w:lang w:eastAsia="zh-CN"/>
        </w:rPr>
        <w:t>“</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w:t>
      </w:r>
      <w:r>
        <w:rPr>
          <w:rFonts w:hint="eastAsia"/>
          <w:color w:val="auto"/>
          <w:kern w:val="21"/>
          <w:sz w:val="24"/>
          <w:lang w:eastAsia="zh-CN"/>
        </w:rPr>
        <w:t>”</w:t>
      </w:r>
      <w:r>
        <w:rPr>
          <w:rFonts w:hint="eastAsia"/>
          <w:color w:val="auto"/>
          <w:kern w:val="21"/>
          <w:sz w:val="24"/>
        </w:rPr>
        <w:t>处理后，先进入酸性废水预处理系统进行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color w:val="auto"/>
          <w:kern w:val="21"/>
          <w:sz w:val="24"/>
          <w:szCs w:val="24"/>
        </w:rPr>
      </w:pPr>
      <w:r>
        <w:rPr>
          <w:rFonts w:hint="eastAsia"/>
          <w:snapToGrid w:val="0"/>
          <w:color w:val="auto"/>
          <w:kern w:val="21"/>
          <w:sz w:val="24"/>
          <w:szCs w:val="24"/>
        </w:rPr>
        <w:t>6</w:t>
      </w:r>
      <w:r>
        <w:rPr>
          <w:snapToGrid w:val="0"/>
          <w:color w:val="auto"/>
          <w:kern w:val="21"/>
          <w:sz w:val="24"/>
          <w:szCs w:val="24"/>
        </w:rPr>
        <w:t>）酸洗：酸洗工段</w:t>
      </w:r>
      <w:r>
        <w:rPr>
          <w:rFonts w:hint="eastAsia"/>
          <w:snapToGrid w:val="0"/>
          <w:color w:val="auto"/>
          <w:kern w:val="21"/>
          <w:sz w:val="24"/>
          <w:szCs w:val="24"/>
          <w:lang w:eastAsia="zh-CN"/>
        </w:rPr>
        <w:t>采用“</w:t>
      </w:r>
      <w:r>
        <w:rPr>
          <w:snapToGrid w:val="0"/>
          <w:color w:val="auto"/>
          <w:kern w:val="21"/>
          <w:sz w:val="24"/>
          <w:szCs w:val="24"/>
        </w:rPr>
        <w:t>酸电解—酸洗</w:t>
      </w:r>
      <w:r>
        <w:rPr>
          <w:rFonts w:hint="eastAsia"/>
          <w:snapToGrid w:val="0"/>
          <w:color w:val="auto"/>
          <w:kern w:val="21"/>
          <w:sz w:val="24"/>
          <w:szCs w:val="24"/>
          <w:lang w:eastAsia="zh-CN"/>
        </w:rPr>
        <w:t>”的方法进行酸洗</w:t>
      </w:r>
      <w:r>
        <w:rPr>
          <w:snapToGrid w:val="0"/>
          <w:color w:val="auto"/>
          <w:kern w:val="21"/>
          <w:sz w:val="24"/>
          <w:szCs w:val="24"/>
        </w:rPr>
        <w:t>，</w:t>
      </w:r>
      <w:r>
        <w:rPr>
          <w:rFonts w:hint="eastAsia"/>
          <w:snapToGrid w:val="0"/>
          <w:color w:val="auto"/>
          <w:kern w:val="21"/>
          <w:sz w:val="24"/>
          <w:szCs w:val="24"/>
          <w:lang w:eastAsia="zh-CN"/>
        </w:rPr>
        <w:t>主要</w:t>
      </w:r>
      <w:r>
        <w:rPr>
          <w:snapToGrid w:val="0"/>
          <w:color w:val="auto"/>
          <w:kern w:val="21"/>
          <w:sz w:val="24"/>
          <w:szCs w:val="24"/>
        </w:rPr>
        <w:t>是利用酸溶液去除电池</w:t>
      </w:r>
      <w:r>
        <w:rPr>
          <w:rFonts w:hint="eastAsia"/>
          <w:snapToGrid w:val="0"/>
          <w:color w:val="auto"/>
          <w:kern w:val="21"/>
          <w:sz w:val="24"/>
          <w:szCs w:val="24"/>
        </w:rPr>
        <w:t>箱</w:t>
      </w:r>
      <w:r>
        <w:rPr>
          <w:snapToGrid w:val="0"/>
          <w:color w:val="auto"/>
          <w:kern w:val="21"/>
          <w:sz w:val="24"/>
          <w:szCs w:val="24"/>
        </w:rPr>
        <w:t>表面上的氧化膜，项目酸洗使用</w:t>
      </w:r>
      <w:r>
        <w:rPr>
          <w:rFonts w:hint="eastAsia"/>
          <w:snapToGrid w:val="0"/>
          <w:color w:val="auto"/>
          <w:kern w:val="21"/>
          <w:sz w:val="24"/>
          <w:szCs w:val="24"/>
          <w:lang w:eastAsia="zh-CN"/>
        </w:rPr>
        <w:t>5%-8%的</w:t>
      </w:r>
      <w:r>
        <w:rPr>
          <w:snapToGrid w:val="0"/>
          <w:color w:val="auto"/>
          <w:kern w:val="21"/>
          <w:sz w:val="24"/>
          <w:szCs w:val="24"/>
        </w:rPr>
        <w:t>盐酸</w:t>
      </w:r>
      <w:r>
        <w:rPr>
          <w:color w:val="auto"/>
          <w:kern w:val="21"/>
          <w:sz w:val="24"/>
          <w:szCs w:val="24"/>
        </w:rPr>
        <w:t>（由35%盐酸调配而成）</w:t>
      </w:r>
      <w:r>
        <w:rPr>
          <w:snapToGrid w:val="0"/>
          <w:color w:val="auto"/>
          <w:kern w:val="21"/>
          <w:sz w:val="24"/>
          <w:szCs w:val="24"/>
        </w:rPr>
        <w:t>，酸洗时长8-10min。</w:t>
      </w:r>
      <w:r>
        <w:rPr>
          <w:color w:val="auto"/>
          <w:kern w:val="21"/>
          <w:sz w:val="24"/>
          <w:szCs w:val="24"/>
        </w:rPr>
        <w:t>槽液需定期补加，以弥补消耗</w:t>
      </w:r>
      <w:r>
        <w:rPr>
          <w:snapToGrid w:val="0"/>
          <w:color w:val="auto"/>
          <w:kern w:val="21"/>
          <w:sz w:val="24"/>
          <w:szCs w:val="24"/>
        </w:rPr>
        <w:t>，酸电解槽及</w:t>
      </w:r>
      <w:r>
        <w:rPr>
          <w:color w:val="auto"/>
          <w:kern w:val="21"/>
          <w:sz w:val="24"/>
          <w:szCs w:val="24"/>
        </w:rPr>
        <w:t>酸洗槽液</w:t>
      </w:r>
      <w:r>
        <w:rPr>
          <w:rFonts w:hint="eastAsia"/>
          <w:color w:val="auto"/>
          <w:kern w:val="21"/>
          <w:sz w:val="24"/>
          <w:szCs w:val="24"/>
        </w:rPr>
        <w:t>每2周</w:t>
      </w:r>
      <w:r>
        <w:rPr>
          <w:color w:val="auto"/>
          <w:kern w:val="21"/>
          <w:sz w:val="24"/>
          <w:szCs w:val="24"/>
        </w:rPr>
        <w:t>更换一次。</w:t>
      </w:r>
    </w:p>
    <w:p>
      <w:pPr>
        <w:adjustRightInd w:val="0"/>
        <w:snapToGrid w:val="0"/>
        <w:spacing w:line="360" w:lineRule="auto"/>
        <w:ind w:firstLine="480" w:firstLineChars="200"/>
        <w:rPr>
          <w:color w:val="auto"/>
          <w:kern w:val="21"/>
          <w:sz w:val="24"/>
          <w:szCs w:val="24"/>
        </w:rPr>
      </w:pPr>
      <w:r>
        <w:rPr>
          <w:color w:val="auto"/>
          <w:kern w:val="21"/>
          <w:sz w:val="24"/>
          <w:szCs w:val="24"/>
        </w:rPr>
        <w:t>更换的槽液</w:t>
      </w:r>
      <w:r>
        <w:rPr>
          <w:rFonts w:hint="eastAsia"/>
          <w:color w:val="auto"/>
          <w:kern w:val="21"/>
          <w:sz w:val="24"/>
          <w:szCs w:val="24"/>
        </w:rPr>
        <w:t>属于酸性废水，</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r>
        <w:rPr>
          <w:color w:val="auto"/>
          <w:kern w:val="21"/>
          <w:sz w:val="24"/>
          <w:szCs w:val="24"/>
        </w:rPr>
        <w:t>酸洗槽会挥发少量盐酸酸雾，</w:t>
      </w:r>
      <w:r>
        <w:rPr>
          <w:rFonts w:hint="eastAsia"/>
          <w:color w:val="auto"/>
          <w:kern w:val="21"/>
          <w:sz w:val="24"/>
          <w:szCs w:val="24"/>
        </w:rPr>
        <w:t>电镀生产线设置全封闭，</w:t>
      </w:r>
      <w:r>
        <w:rPr>
          <w:color w:val="auto"/>
          <w:kern w:val="21"/>
          <w:sz w:val="24"/>
          <w:szCs w:val="24"/>
        </w:rPr>
        <w:t>经抽风装置进入二级碱液喷淋中和塔进行处理，处理达标后经</w:t>
      </w:r>
      <w:r>
        <w:rPr>
          <w:rFonts w:hint="eastAsia"/>
          <w:color w:val="auto"/>
          <w:kern w:val="21"/>
          <w:sz w:val="24"/>
          <w:szCs w:val="24"/>
          <w:lang w:eastAsia="zh-CN"/>
        </w:rPr>
        <w:t>15m高排气筒</w:t>
      </w:r>
      <w:r>
        <w:rPr>
          <w:rFonts w:hint="eastAsia"/>
          <w:color w:val="auto"/>
          <w:kern w:val="21"/>
          <w:sz w:val="24"/>
          <w:szCs w:val="24"/>
        </w:rPr>
        <w:t>排放。</w:t>
      </w:r>
    </w:p>
    <w:p>
      <w:pPr>
        <w:adjustRightInd w:val="0"/>
        <w:snapToGrid w:val="0"/>
        <w:spacing w:line="360" w:lineRule="auto"/>
        <w:rPr>
          <w:snapToGrid w:val="0"/>
          <w:color w:val="auto"/>
          <w:kern w:val="21"/>
          <w:sz w:val="24"/>
          <w:szCs w:val="24"/>
        </w:rPr>
      </w:pPr>
      <w:r>
        <w:rPr>
          <w:snapToGrid w:val="0"/>
          <w:color w:val="auto"/>
          <w:kern w:val="21"/>
          <w:sz w:val="24"/>
          <w:szCs w:val="24"/>
        </w:rPr>
        <w:t xml:space="preserve">   </w:t>
      </w:r>
      <w:r>
        <w:rPr>
          <w:rFonts w:hint="eastAsia"/>
          <w:snapToGrid w:val="0"/>
          <w:color w:val="auto"/>
          <w:kern w:val="21"/>
          <w:sz w:val="24"/>
          <w:szCs w:val="24"/>
        </w:rPr>
        <w:t>7</w:t>
      </w:r>
      <w:r>
        <w:rPr>
          <w:snapToGrid w:val="0"/>
          <w:color w:val="auto"/>
          <w:kern w:val="21"/>
          <w:sz w:val="24"/>
          <w:szCs w:val="24"/>
        </w:rPr>
        <w:t>）酸洗后纯水洗</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酸洗后采用纯水二级逆流漂洗，以去除工件表面残留的盐酸。</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清洗废水</w:t>
      </w:r>
      <w:r>
        <w:rPr>
          <w:rFonts w:hint="eastAsia"/>
          <w:snapToGrid w:val="0"/>
          <w:color w:val="auto"/>
          <w:kern w:val="21"/>
          <w:sz w:val="24"/>
          <w:szCs w:val="24"/>
        </w:rPr>
        <w:t>属于酸性废水，</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color w:val="auto"/>
          <w:kern w:val="21"/>
          <w:sz w:val="24"/>
          <w:szCs w:val="24"/>
        </w:rPr>
        <w:t>8</w:t>
      </w:r>
      <w:r>
        <w:rPr>
          <w:color w:val="auto"/>
          <w:kern w:val="21"/>
          <w:sz w:val="24"/>
          <w:szCs w:val="24"/>
        </w:rPr>
        <w:t>）酸活化：本项目在室温下，采用</w:t>
      </w:r>
      <w:r>
        <w:rPr>
          <w:rFonts w:hint="eastAsia"/>
          <w:color w:val="auto"/>
          <w:kern w:val="21"/>
          <w:sz w:val="24"/>
          <w:szCs w:val="24"/>
          <w:lang w:eastAsia="zh-CN"/>
        </w:rPr>
        <w:t>3%-5%的</w:t>
      </w:r>
      <w:r>
        <w:rPr>
          <w:color w:val="auto"/>
          <w:kern w:val="21"/>
          <w:sz w:val="24"/>
          <w:szCs w:val="24"/>
        </w:rPr>
        <w:t>硫酸</w:t>
      </w:r>
      <w:r>
        <w:rPr>
          <w:snapToGrid w:val="0"/>
          <w:color w:val="auto"/>
          <w:kern w:val="21"/>
          <w:sz w:val="24"/>
          <w:szCs w:val="24"/>
        </w:rPr>
        <w:t>对电池工件表面进行轻微腐蚀，根据槽液损耗情况，定期补加，活化槽液每</w:t>
      </w:r>
      <w:r>
        <w:rPr>
          <w:rFonts w:hint="eastAsia"/>
          <w:snapToGrid w:val="0"/>
          <w:color w:val="auto"/>
          <w:kern w:val="21"/>
          <w:sz w:val="24"/>
          <w:szCs w:val="24"/>
        </w:rPr>
        <w:t>2周</w:t>
      </w:r>
      <w:r>
        <w:rPr>
          <w:snapToGrid w:val="0"/>
          <w:color w:val="auto"/>
          <w:kern w:val="21"/>
          <w:sz w:val="24"/>
          <w:szCs w:val="24"/>
        </w:rPr>
        <w:t>更换一次。</w:t>
      </w:r>
    </w:p>
    <w:p>
      <w:pPr>
        <w:adjustRightInd w:val="0"/>
        <w:snapToGrid w:val="0"/>
        <w:spacing w:line="360" w:lineRule="auto"/>
        <w:ind w:firstLine="480" w:firstLineChars="200"/>
        <w:rPr>
          <w:color w:val="auto"/>
          <w:kern w:val="21"/>
          <w:sz w:val="24"/>
          <w:szCs w:val="24"/>
        </w:rPr>
      </w:pPr>
      <w:r>
        <w:rPr>
          <w:color w:val="auto"/>
          <w:kern w:val="21"/>
          <w:sz w:val="24"/>
          <w:szCs w:val="24"/>
        </w:rPr>
        <w:t>更换的槽液</w:t>
      </w:r>
      <w:r>
        <w:rPr>
          <w:rFonts w:hint="eastAsia"/>
          <w:color w:val="auto"/>
          <w:kern w:val="21"/>
          <w:sz w:val="24"/>
          <w:szCs w:val="24"/>
        </w:rPr>
        <w:t>属于酸性废水，</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color w:val="auto"/>
          <w:kern w:val="21"/>
          <w:sz w:val="24"/>
          <w:szCs w:val="24"/>
        </w:rPr>
        <w:t>。</w:t>
      </w:r>
    </w:p>
    <w:p>
      <w:pPr>
        <w:adjustRightInd w:val="0"/>
        <w:snapToGrid w:val="0"/>
        <w:spacing w:line="360" w:lineRule="auto"/>
        <w:ind w:firstLine="480" w:firstLineChars="200"/>
        <w:rPr>
          <w:rFonts w:hint="eastAsia"/>
          <w:color w:val="auto"/>
          <w:kern w:val="21"/>
          <w:sz w:val="24"/>
          <w:szCs w:val="24"/>
          <w:lang w:eastAsia="zh-CN"/>
        </w:rPr>
      </w:pPr>
      <w:r>
        <w:rPr>
          <w:color w:val="auto"/>
          <w:kern w:val="21"/>
          <w:sz w:val="24"/>
          <w:szCs w:val="24"/>
        </w:rPr>
        <w:t>根据</w:t>
      </w:r>
      <w:r>
        <w:rPr>
          <w:color w:val="auto"/>
          <w:kern w:val="21"/>
          <w:sz w:val="24"/>
          <w:szCs w:val="22"/>
        </w:rPr>
        <w:t>《污染源源强核算技术指南 电镀》（HJ984-2018）附录B中所述，</w:t>
      </w:r>
      <w:r>
        <w:rPr>
          <w:rFonts w:hint="eastAsia"/>
          <w:color w:val="auto"/>
          <w:kern w:val="21"/>
          <w:sz w:val="24"/>
          <w:szCs w:val="22"/>
        </w:rPr>
        <w:t>“</w:t>
      </w:r>
      <w:r>
        <w:rPr>
          <w:color w:val="auto"/>
          <w:kern w:val="21"/>
          <w:sz w:val="24"/>
          <w:szCs w:val="22"/>
        </w:rPr>
        <w:t>室温下稀硫酸酸洗可忽略硫酸雾产生</w:t>
      </w:r>
      <w:r>
        <w:rPr>
          <w:rFonts w:hint="eastAsia"/>
          <w:color w:val="auto"/>
          <w:kern w:val="21"/>
          <w:sz w:val="24"/>
          <w:szCs w:val="22"/>
        </w:rPr>
        <w:t>”。本项目酸活化</w:t>
      </w:r>
      <w:r>
        <w:rPr>
          <w:rFonts w:hint="eastAsia"/>
          <w:color w:val="auto"/>
          <w:kern w:val="21"/>
          <w:sz w:val="24"/>
          <w:szCs w:val="22"/>
          <w:lang w:eastAsia="zh-CN"/>
        </w:rPr>
        <w:t>采用3%-5%的</w:t>
      </w:r>
      <w:r>
        <w:rPr>
          <w:color w:val="auto"/>
          <w:kern w:val="21"/>
          <w:sz w:val="24"/>
          <w:szCs w:val="24"/>
        </w:rPr>
        <w:t>硫酸</w:t>
      </w:r>
      <w:r>
        <w:rPr>
          <w:rFonts w:hint="eastAsia"/>
          <w:color w:val="auto"/>
          <w:kern w:val="21"/>
          <w:sz w:val="24"/>
          <w:szCs w:val="24"/>
          <w:lang w:eastAsia="zh-CN"/>
        </w:rPr>
        <w:t>，属于稀硫酸</w:t>
      </w:r>
      <w:r>
        <w:rPr>
          <w:color w:val="auto"/>
          <w:kern w:val="21"/>
          <w:sz w:val="24"/>
          <w:szCs w:val="24"/>
        </w:rPr>
        <w:t>，操作温度为室温，无需加热，因此此处</w:t>
      </w:r>
      <w:r>
        <w:rPr>
          <w:color w:val="auto"/>
          <w:kern w:val="21"/>
          <w:sz w:val="24"/>
          <w:szCs w:val="22"/>
        </w:rPr>
        <w:t>忽略硫酸雾产生。但</w:t>
      </w:r>
      <w:r>
        <w:rPr>
          <w:rFonts w:hint="eastAsia"/>
          <w:color w:val="auto"/>
          <w:kern w:val="21"/>
          <w:sz w:val="24"/>
          <w:szCs w:val="22"/>
          <w:lang w:eastAsia="zh-CN"/>
        </w:rPr>
        <w:t>为了最大限度的</w:t>
      </w:r>
      <w:r>
        <w:rPr>
          <w:rFonts w:hint="eastAsia"/>
          <w:color w:val="auto"/>
          <w:kern w:val="21"/>
          <w:sz w:val="24"/>
          <w:szCs w:val="22"/>
        </w:rPr>
        <w:t>减少废气</w:t>
      </w:r>
      <w:r>
        <w:rPr>
          <w:rFonts w:hint="eastAsia"/>
          <w:color w:val="auto"/>
          <w:kern w:val="21"/>
          <w:sz w:val="24"/>
          <w:szCs w:val="22"/>
          <w:lang w:eastAsia="zh-CN"/>
        </w:rPr>
        <w:t>的</w:t>
      </w:r>
      <w:r>
        <w:rPr>
          <w:rFonts w:hint="eastAsia"/>
          <w:color w:val="auto"/>
          <w:kern w:val="21"/>
          <w:sz w:val="24"/>
          <w:szCs w:val="22"/>
        </w:rPr>
        <w:t>影响，</w:t>
      </w:r>
      <w:r>
        <w:rPr>
          <w:rFonts w:hint="eastAsia"/>
          <w:color w:val="auto"/>
          <w:kern w:val="21"/>
          <w:sz w:val="24"/>
          <w:szCs w:val="24"/>
        </w:rPr>
        <w:t>生产线全封闭，</w:t>
      </w:r>
      <w:r>
        <w:rPr>
          <w:rFonts w:hint="eastAsia"/>
          <w:color w:val="auto"/>
          <w:kern w:val="21"/>
          <w:sz w:val="24"/>
          <w:szCs w:val="24"/>
          <w:lang w:eastAsia="zh-CN"/>
        </w:rPr>
        <w:t>硫酸雾</w:t>
      </w:r>
      <w:r>
        <w:rPr>
          <w:color w:val="auto"/>
          <w:kern w:val="21"/>
          <w:sz w:val="24"/>
          <w:szCs w:val="24"/>
        </w:rPr>
        <w:t>经抽风装置进入二级碱液喷淋中和塔进行处理，处理达标后经</w:t>
      </w:r>
      <w:r>
        <w:rPr>
          <w:rFonts w:hint="eastAsia"/>
          <w:color w:val="auto"/>
          <w:kern w:val="21"/>
          <w:sz w:val="24"/>
          <w:szCs w:val="24"/>
          <w:lang w:eastAsia="zh-CN"/>
        </w:rPr>
        <w:t>15m高排气筒</w:t>
      </w:r>
      <w:r>
        <w:rPr>
          <w:rFonts w:hint="eastAsia"/>
          <w:color w:val="auto"/>
          <w:kern w:val="21"/>
          <w:sz w:val="24"/>
          <w:szCs w:val="24"/>
        </w:rPr>
        <w:t>排放</w:t>
      </w:r>
      <w:r>
        <w:rPr>
          <w:rFonts w:hint="eastAsia"/>
          <w:color w:val="auto"/>
          <w:kern w:val="21"/>
          <w:sz w:val="24"/>
          <w:szCs w:val="24"/>
          <w:lang w:eastAsia="zh-CN"/>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9</w:t>
      </w:r>
      <w:r>
        <w:rPr>
          <w:snapToGrid w:val="0"/>
          <w:color w:val="auto"/>
          <w:kern w:val="21"/>
          <w:sz w:val="24"/>
          <w:szCs w:val="24"/>
        </w:rPr>
        <w:t>）</w:t>
      </w:r>
      <w:r>
        <w:rPr>
          <w:color w:val="auto"/>
          <w:kern w:val="21"/>
          <w:sz w:val="24"/>
          <w:szCs w:val="24"/>
        </w:rPr>
        <w:t>酸活化后</w:t>
      </w:r>
      <w:r>
        <w:rPr>
          <w:snapToGrid w:val="0"/>
          <w:color w:val="auto"/>
          <w:kern w:val="21"/>
          <w:sz w:val="24"/>
          <w:szCs w:val="24"/>
        </w:rPr>
        <w:t>水洗：采用纯水漂洗，以去除工件表面残留的硫酸。</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清洗废水</w:t>
      </w:r>
      <w:r>
        <w:rPr>
          <w:rFonts w:hint="eastAsia"/>
          <w:snapToGrid w:val="0"/>
          <w:color w:val="auto"/>
          <w:kern w:val="21"/>
          <w:sz w:val="24"/>
          <w:szCs w:val="24"/>
        </w:rPr>
        <w:t>属于酸性废水，</w:t>
      </w:r>
      <w:r>
        <w:rPr>
          <w:rFonts w:hint="eastAsia"/>
          <w:color w:val="auto"/>
          <w:kern w:val="21"/>
          <w:sz w:val="24"/>
        </w:rPr>
        <w:t>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color w:val="auto"/>
          <w:kern w:val="21"/>
          <w:sz w:val="24"/>
          <w:szCs w:val="24"/>
        </w:rPr>
      </w:pPr>
      <w:r>
        <w:rPr>
          <w:rFonts w:hint="eastAsia"/>
          <w:snapToGrid w:val="0"/>
          <w:color w:val="auto"/>
          <w:kern w:val="21"/>
          <w:sz w:val="24"/>
          <w:szCs w:val="24"/>
        </w:rPr>
        <w:t>10</w:t>
      </w:r>
      <w:r>
        <w:rPr>
          <w:snapToGrid w:val="0"/>
          <w:color w:val="auto"/>
          <w:kern w:val="21"/>
          <w:sz w:val="24"/>
          <w:szCs w:val="24"/>
        </w:rPr>
        <w:t>）</w:t>
      </w:r>
      <w:r>
        <w:rPr>
          <w:rFonts w:hint="eastAsia"/>
          <w:color w:val="auto"/>
          <w:kern w:val="21"/>
          <w:sz w:val="24"/>
          <w:szCs w:val="24"/>
        </w:rPr>
        <w:t>镀锌</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镀锌中氯化钾250g/L，氯化锌</w:t>
      </w:r>
      <w:r>
        <w:rPr>
          <w:rFonts w:hint="eastAsia"/>
          <w:snapToGrid w:val="0"/>
          <w:color w:val="auto"/>
          <w:kern w:val="21"/>
          <w:sz w:val="24"/>
          <w:szCs w:val="24"/>
        </w:rPr>
        <w:t>3</w:t>
      </w:r>
      <w:r>
        <w:rPr>
          <w:snapToGrid w:val="0"/>
          <w:color w:val="auto"/>
          <w:kern w:val="21"/>
          <w:sz w:val="24"/>
          <w:szCs w:val="24"/>
        </w:rPr>
        <w:t>0g/L，硼酸40-50g/L，光亮剂剂及锌板适量，操作温度为室温，</w:t>
      </w:r>
      <w:r>
        <w:rPr>
          <w:rFonts w:hint="eastAsia"/>
          <w:snapToGrid w:val="0"/>
          <w:color w:val="auto"/>
          <w:kern w:val="21"/>
          <w:sz w:val="24"/>
          <w:szCs w:val="24"/>
        </w:rPr>
        <w:t>pH</w:t>
      </w:r>
      <w:r>
        <w:rPr>
          <w:snapToGrid w:val="0"/>
          <w:color w:val="auto"/>
          <w:kern w:val="21"/>
          <w:sz w:val="24"/>
          <w:szCs w:val="24"/>
        </w:rPr>
        <w:t>为</w:t>
      </w:r>
      <w:r>
        <w:rPr>
          <w:rFonts w:hint="eastAsia"/>
          <w:snapToGrid w:val="0"/>
          <w:color w:val="auto"/>
          <w:kern w:val="21"/>
          <w:sz w:val="24"/>
          <w:szCs w:val="24"/>
        </w:rPr>
        <w:t>5</w:t>
      </w:r>
      <w:r>
        <w:rPr>
          <w:snapToGrid w:val="0"/>
          <w:color w:val="auto"/>
          <w:kern w:val="21"/>
          <w:sz w:val="24"/>
          <w:szCs w:val="24"/>
        </w:rPr>
        <w:t>-</w:t>
      </w:r>
      <w:r>
        <w:rPr>
          <w:rFonts w:hint="eastAsia"/>
          <w:snapToGrid w:val="0"/>
          <w:color w:val="auto"/>
          <w:kern w:val="21"/>
          <w:sz w:val="24"/>
          <w:szCs w:val="24"/>
        </w:rPr>
        <w:t>5.5</w:t>
      </w:r>
      <w:r>
        <w:rPr>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电镀过程中以锌板为阳极，工件为阴极，含锌的盐溶液为交换介质，反应原理如下：</w:t>
      </w:r>
    </w:p>
    <w:p>
      <w:pPr>
        <w:adjustRightInd w:val="0"/>
        <w:snapToGrid w:val="0"/>
        <w:spacing w:line="360" w:lineRule="auto"/>
        <w:ind w:firstLine="480" w:firstLineChars="200"/>
        <w:jc w:val="center"/>
        <w:rPr>
          <w:snapToGrid w:val="0"/>
          <w:color w:val="auto"/>
          <w:kern w:val="21"/>
          <w:sz w:val="24"/>
          <w:szCs w:val="24"/>
        </w:rPr>
      </w:pPr>
      <w:r>
        <w:rPr>
          <w:rFonts w:hint="eastAsia"/>
          <w:snapToGrid w:val="0"/>
          <w:color w:val="auto"/>
          <w:kern w:val="21"/>
          <w:sz w:val="24"/>
          <w:szCs w:val="24"/>
        </w:rPr>
        <w:t>Zn+2e=Zn</w:t>
      </w:r>
      <w:r>
        <w:rPr>
          <w:rFonts w:hint="eastAsia"/>
          <w:snapToGrid w:val="0"/>
          <w:color w:val="auto"/>
          <w:kern w:val="21"/>
          <w:sz w:val="24"/>
          <w:szCs w:val="24"/>
          <w:vertAlign w:val="superscript"/>
        </w:rPr>
        <w:t>2+</w:t>
      </w:r>
    </w:p>
    <w:p>
      <w:pPr>
        <w:adjustRightInd w:val="0"/>
        <w:snapToGrid w:val="0"/>
        <w:spacing w:line="360" w:lineRule="auto"/>
        <w:ind w:firstLine="480" w:firstLineChars="200"/>
        <w:jc w:val="center"/>
        <w:rPr>
          <w:snapToGrid w:val="0"/>
          <w:color w:val="auto"/>
          <w:kern w:val="21"/>
          <w:sz w:val="24"/>
          <w:szCs w:val="24"/>
        </w:rPr>
      </w:pPr>
      <w:r>
        <w:rPr>
          <w:rFonts w:hint="eastAsia"/>
          <w:snapToGrid w:val="0"/>
          <w:color w:val="auto"/>
          <w:kern w:val="21"/>
          <w:sz w:val="24"/>
          <w:szCs w:val="24"/>
        </w:rPr>
        <w:t>Zn</w:t>
      </w:r>
      <w:r>
        <w:rPr>
          <w:rFonts w:hint="eastAsia"/>
          <w:snapToGrid w:val="0"/>
          <w:color w:val="auto"/>
          <w:kern w:val="21"/>
          <w:sz w:val="24"/>
          <w:szCs w:val="24"/>
          <w:vertAlign w:val="superscript"/>
        </w:rPr>
        <w:t>2+</w:t>
      </w:r>
      <w:r>
        <w:rPr>
          <w:rFonts w:hint="eastAsia"/>
          <w:snapToGrid w:val="0"/>
          <w:color w:val="auto"/>
          <w:kern w:val="21"/>
          <w:sz w:val="24"/>
          <w:szCs w:val="24"/>
        </w:rPr>
        <w:t>+2e=Zn</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该部分槽液可以长期使用，</w:t>
      </w:r>
      <w:r>
        <w:rPr>
          <w:rFonts w:hint="eastAsia"/>
          <w:snapToGrid w:val="0"/>
          <w:color w:val="auto"/>
          <w:kern w:val="21"/>
          <w:sz w:val="24"/>
          <w:szCs w:val="24"/>
        </w:rPr>
        <w:t>5年更换一次</w:t>
      </w:r>
      <w:r>
        <w:rPr>
          <w:snapToGrid w:val="0"/>
          <w:color w:val="auto"/>
          <w:kern w:val="21"/>
          <w:sz w:val="24"/>
          <w:szCs w:val="24"/>
        </w:rPr>
        <w:t>，使用期间一直由过滤机进行过滤，过滤产生的滤渣和废滤芯等废物作为危废暂存至厂区危废暂存间，定期交有资质的单位</w:t>
      </w:r>
      <w:r>
        <w:rPr>
          <w:rFonts w:hint="eastAsia"/>
          <w:snapToGrid w:val="0"/>
          <w:color w:val="auto"/>
          <w:kern w:val="21"/>
          <w:sz w:val="24"/>
          <w:szCs w:val="24"/>
          <w:lang w:eastAsia="zh-CN"/>
        </w:rPr>
        <w:t>处置</w:t>
      </w:r>
      <w:r>
        <w:rPr>
          <w:snapToGrid w:val="0"/>
          <w:color w:val="auto"/>
          <w:kern w:val="21"/>
          <w:sz w:val="24"/>
          <w:szCs w:val="24"/>
        </w:rPr>
        <w:t>。</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11</w:t>
      </w:r>
      <w:r>
        <w:rPr>
          <w:color w:val="auto"/>
          <w:kern w:val="21"/>
          <w:sz w:val="24"/>
          <w:szCs w:val="24"/>
        </w:rPr>
        <w:t>）三步纯水回收水洗</w:t>
      </w:r>
    </w:p>
    <w:p>
      <w:pPr>
        <w:adjustRightInd w:val="0"/>
        <w:snapToGrid w:val="0"/>
        <w:spacing w:line="360" w:lineRule="auto"/>
        <w:ind w:firstLine="480" w:firstLineChars="200"/>
        <w:rPr>
          <w:color w:val="auto"/>
          <w:kern w:val="21"/>
          <w:sz w:val="24"/>
          <w:szCs w:val="24"/>
        </w:rPr>
      </w:pPr>
      <w:r>
        <w:rPr>
          <w:color w:val="auto"/>
          <w:kern w:val="21"/>
          <w:sz w:val="24"/>
          <w:szCs w:val="24"/>
        </w:rPr>
        <w:t>电镀后的工件壳采用纯水及回用水进行三步回收水洗，以去除工件表面残留的镀液</w:t>
      </w:r>
      <w:r>
        <w:rPr>
          <w:rFonts w:hint="eastAsia"/>
          <w:color w:val="auto"/>
          <w:kern w:val="21"/>
          <w:sz w:val="24"/>
          <w:szCs w:val="24"/>
          <w:lang w:eastAsia="zh-CN"/>
        </w:rPr>
        <w:t>，</w:t>
      </w:r>
      <w:r>
        <w:rPr>
          <w:rFonts w:hint="eastAsia"/>
          <w:color w:val="auto"/>
          <w:kern w:val="21"/>
          <w:sz w:val="24"/>
          <w:szCs w:val="24"/>
        </w:rPr>
        <w:t>三步回收水洗既连续三道水洗，采用流动活水，第三道水洗槽是净水进水口，第一道水洗为出水口，这样就使得第一道水洗为预水洗，第三道水洗非常的干净，保证到下一道工序产品表面清洗干净</w:t>
      </w:r>
      <w:r>
        <w:rPr>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color w:val="auto"/>
          <w:kern w:val="21"/>
          <w:sz w:val="24"/>
          <w:szCs w:val="24"/>
        </w:rPr>
        <w:t>该部分含锌水洗废水</w:t>
      </w:r>
      <w:r>
        <w:rPr>
          <w:rFonts w:hint="eastAsia"/>
          <w:color w:val="auto"/>
          <w:kern w:val="21"/>
          <w:sz w:val="24"/>
          <w:szCs w:val="24"/>
          <w:lang w:eastAsia="zh-CN"/>
        </w:rPr>
        <w:t>先</w:t>
      </w:r>
      <w:r>
        <w:rPr>
          <w:rFonts w:hint="eastAsia"/>
          <w:color w:val="auto"/>
          <w:kern w:val="21"/>
          <w:sz w:val="24"/>
          <w:szCs w:val="24"/>
        </w:rPr>
        <w:t>进入含锌废水预处理系统</w:t>
      </w:r>
      <w:r>
        <w:rPr>
          <w:rFonts w:hint="eastAsia"/>
          <w:color w:val="auto"/>
          <w:kern w:val="21"/>
          <w:sz w:val="24"/>
          <w:szCs w:val="24"/>
          <w:lang w:eastAsia="zh-CN"/>
        </w:rPr>
        <w:t>“</w:t>
      </w:r>
      <w:r>
        <w:rPr>
          <w:rFonts w:hint="eastAsia"/>
          <w:color w:val="auto"/>
          <w:kern w:val="21"/>
          <w:sz w:val="24"/>
          <w:szCs w:val="24"/>
        </w:rPr>
        <w:t>pH调节→混凝沉淀→回调→多介质过滤</w:t>
      </w:r>
      <w:r>
        <w:rPr>
          <w:rFonts w:hint="eastAsia"/>
          <w:color w:val="auto"/>
          <w:kern w:val="21"/>
          <w:sz w:val="24"/>
          <w:szCs w:val="24"/>
          <w:lang w:eastAsia="zh-CN"/>
        </w:rPr>
        <w:t>”处理</w:t>
      </w:r>
      <w:r>
        <w:rPr>
          <w:rFonts w:hint="eastAsia"/>
          <w:color w:val="auto"/>
          <w:kern w:val="21"/>
          <w:sz w:val="24"/>
          <w:szCs w:val="24"/>
        </w:rPr>
        <w:t>，</w:t>
      </w:r>
      <w:r>
        <w:rPr>
          <w:rFonts w:hint="eastAsia"/>
          <w:color w:val="auto"/>
          <w:kern w:val="21"/>
          <w:sz w:val="24"/>
          <w:szCs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color w:val="auto"/>
          <w:kern w:val="21"/>
          <w:sz w:val="24"/>
          <w:szCs w:val="24"/>
        </w:rPr>
        <w:t>。</w:t>
      </w:r>
    </w:p>
    <w:p>
      <w:pPr>
        <w:adjustRightInd w:val="0"/>
        <w:snapToGrid w:val="0"/>
        <w:spacing w:line="360" w:lineRule="auto"/>
        <w:ind w:firstLine="482" w:firstLineChars="200"/>
        <w:rPr>
          <w:b/>
          <w:bCs/>
          <w:snapToGrid w:val="0"/>
          <w:color w:val="auto"/>
          <w:kern w:val="21"/>
          <w:sz w:val="24"/>
          <w:szCs w:val="24"/>
          <w:u w:val="single"/>
        </w:rPr>
      </w:pPr>
      <w:r>
        <w:rPr>
          <w:rFonts w:hint="eastAsia"/>
          <w:b/>
          <w:bCs/>
          <w:snapToGrid w:val="0"/>
          <w:color w:val="auto"/>
          <w:kern w:val="21"/>
          <w:sz w:val="24"/>
          <w:szCs w:val="24"/>
          <w:u w:val="single"/>
        </w:rPr>
        <w:t>12</w:t>
      </w:r>
      <w:r>
        <w:rPr>
          <w:b/>
          <w:bCs/>
          <w:snapToGrid w:val="0"/>
          <w:color w:val="auto"/>
          <w:kern w:val="21"/>
          <w:sz w:val="24"/>
          <w:szCs w:val="24"/>
          <w:u w:val="single"/>
        </w:rPr>
        <w:t>）出光</w:t>
      </w:r>
    </w:p>
    <w:p>
      <w:pPr>
        <w:adjustRightInd w:val="0"/>
        <w:snapToGrid w:val="0"/>
        <w:spacing w:line="360" w:lineRule="auto"/>
        <w:ind w:firstLine="482" w:firstLineChars="200"/>
        <w:rPr>
          <w:b/>
          <w:bCs/>
          <w:color w:val="auto"/>
          <w:kern w:val="21"/>
          <w:sz w:val="24"/>
          <w:szCs w:val="24"/>
          <w:u w:val="single"/>
        </w:rPr>
      </w:pPr>
      <w:r>
        <w:rPr>
          <w:rFonts w:hint="eastAsia"/>
          <w:b/>
          <w:bCs/>
          <w:color w:val="auto"/>
          <w:kern w:val="21"/>
          <w:sz w:val="24"/>
          <w:szCs w:val="24"/>
          <w:u w:val="single"/>
        </w:rPr>
        <w:t>出光工序是将工件在稀硫酸溶液中浸一下，可提高工件的光亮度。出光工序槽液</w:t>
      </w:r>
      <w:r>
        <w:rPr>
          <w:rFonts w:hint="eastAsia"/>
          <w:b/>
          <w:bCs/>
          <w:color w:val="auto"/>
          <w:kern w:val="21"/>
          <w:sz w:val="24"/>
          <w:szCs w:val="24"/>
          <w:u w:val="single"/>
          <w:lang w:eastAsia="zh-CN"/>
        </w:rPr>
        <w:t>采用</w:t>
      </w:r>
      <w:r>
        <w:rPr>
          <w:b/>
          <w:bCs/>
          <w:color w:val="auto"/>
          <w:kern w:val="21"/>
          <w:sz w:val="24"/>
          <w:szCs w:val="24"/>
          <w:u w:val="single"/>
        </w:rPr>
        <w:t>0.5%</w:t>
      </w:r>
      <w:r>
        <w:rPr>
          <w:rFonts w:hint="eastAsia"/>
          <w:b/>
          <w:bCs/>
          <w:color w:val="auto"/>
          <w:kern w:val="21"/>
          <w:sz w:val="24"/>
          <w:szCs w:val="24"/>
          <w:u w:val="single"/>
        </w:rPr>
        <w:t>稀硫酸溶液，控制温度为常温。</w:t>
      </w:r>
      <w:r>
        <w:rPr>
          <w:b/>
          <w:bCs/>
          <w:color w:val="auto"/>
          <w:kern w:val="21"/>
          <w:sz w:val="24"/>
          <w:szCs w:val="24"/>
          <w:u w:val="single"/>
        </w:rPr>
        <w:t>槽液需定期补加，以弥补消耗，出光槽液每月更换一次。</w:t>
      </w:r>
    </w:p>
    <w:p>
      <w:pPr>
        <w:adjustRightInd w:val="0"/>
        <w:snapToGrid w:val="0"/>
        <w:spacing w:line="360" w:lineRule="auto"/>
        <w:ind w:firstLine="480" w:firstLineChars="200"/>
        <w:rPr>
          <w:rFonts w:hint="eastAsia"/>
          <w:color w:val="auto"/>
          <w:kern w:val="21"/>
          <w:sz w:val="24"/>
          <w:szCs w:val="24"/>
          <w:lang w:eastAsia="zh-CN"/>
        </w:rPr>
      </w:pPr>
      <w:r>
        <w:rPr>
          <w:rFonts w:hint="eastAsia"/>
          <w:color w:val="auto"/>
          <w:kern w:val="21"/>
          <w:sz w:val="24"/>
          <w:szCs w:val="24"/>
        </w:rPr>
        <w:t>出光槽液</w:t>
      </w:r>
      <w:r>
        <w:rPr>
          <w:rFonts w:hint="eastAsia"/>
          <w:snapToGrid w:val="0"/>
          <w:color w:val="auto"/>
          <w:kern w:val="21"/>
          <w:sz w:val="24"/>
          <w:szCs w:val="24"/>
        </w:rPr>
        <w:t>属于含锌废水，</w:t>
      </w:r>
      <w:r>
        <w:rPr>
          <w:color w:val="auto"/>
          <w:kern w:val="21"/>
          <w:sz w:val="24"/>
          <w:szCs w:val="24"/>
        </w:rPr>
        <w:t>锌水洗废水</w:t>
      </w:r>
      <w:r>
        <w:rPr>
          <w:rFonts w:hint="eastAsia"/>
          <w:color w:val="auto"/>
          <w:kern w:val="21"/>
          <w:sz w:val="24"/>
          <w:szCs w:val="24"/>
        </w:rPr>
        <w:t>进入含锌废水预处理系统</w:t>
      </w:r>
      <w:r>
        <w:rPr>
          <w:rFonts w:hint="eastAsia"/>
          <w:color w:val="auto"/>
          <w:kern w:val="21"/>
          <w:sz w:val="24"/>
          <w:szCs w:val="24"/>
          <w:lang w:eastAsia="zh-CN"/>
        </w:rPr>
        <w:t>“</w:t>
      </w:r>
      <w:r>
        <w:rPr>
          <w:rFonts w:hint="eastAsia"/>
          <w:color w:val="auto"/>
          <w:kern w:val="21"/>
          <w:sz w:val="24"/>
          <w:szCs w:val="24"/>
        </w:rPr>
        <w:t>pH调节→混凝沉淀→回调→多介质过滤</w:t>
      </w:r>
      <w:r>
        <w:rPr>
          <w:rFonts w:hint="eastAsia"/>
          <w:color w:val="auto"/>
          <w:kern w:val="21"/>
          <w:sz w:val="24"/>
          <w:szCs w:val="24"/>
          <w:lang w:eastAsia="zh-CN"/>
        </w:rPr>
        <w:t>”处理</w:t>
      </w:r>
      <w:r>
        <w:rPr>
          <w:rFonts w:hint="eastAsia"/>
          <w:color w:val="auto"/>
          <w:kern w:val="21"/>
          <w:sz w:val="24"/>
          <w:szCs w:val="24"/>
        </w:rPr>
        <w:t>，</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color w:val="auto"/>
          <w:kern w:val="21"/>
          <w:sz w:val="24"/>
          <w:szCs w:val="24"/>
        </w:rPr>
        <w:t>；稀硫酸一般不会</w:t>
      </w:r>
      <w:r>
        <w:rPr>
          <w:color w:val="auto"/>
          <w:kern w:val="21"/>
          <w:sz w:val="24"/>
          <w:szCs w:val="24"/>
        </w:rPr>
        <w:t>挥发酸雾，</w:t>
      </w:r>
      <w:r>
        <w:rPr>
          <w:color w:val="auto"/>
          <w:kern w:val="21"/>
          <w:sz w:val="24"/>
          <w:szCs w:val="22"/>
        </w:rPr>
        <w:t>但</w:t>
      </w:r>
      <w:r>
        <w:rPr>
          <w:rFonts w:hint="eastAsia"/>
          <w:color w:val="auto"/>
          <w:kern w:val="21"/>
          <w:sz w:val="24"/>
          <w:szCs w:val="22"/>
          <w:lang w:eastAsia="zh-CN"/>
        </w:rPr>
        <w:t>为了最大限度的</w:t>
      </w:r>
      <w:r>
        <w:rPr>
          <w:rFonts w:hint="eastAsia"/>
          <w:color w:val="auto"/>
          <w:kern w:val="21"/>
          <w:sz w:val="24"/>
          <w:szCs w:val="22"/>
        </w:rPr>
        <w:t>减少废气</w:t>
      </w:r>
      <w:r>
        <w:rPr>
          <w:rFonts w:hint="eastAsia"/>
          <w:color w:val="auto"/>
          <w:kern w:val="21"/>
          <w:sz w:val="24"/>
          <w:szCs w:val="22"/>
          <w:lang w:eastAsia="zh-CN"/>
        </w:rPr>
        <w:t>的</w:t>
      </w:r>
      <w:r>
        <w:rPr>
          <w:rFonts w:hint="eastAsia"/>
          <w:color w:val="auto"/>
          <w:kern w:val="21"/>
          <w:sz w:val="24"/>
          <w:szCs w:val="22"/>
        </w:rPr>
        <w:t>影响，</w:t>
      </w:r>
      <w:r>
        <w:rPr>
          <w:rFonts w:hint="eastAsia"/>
          <w:color w:val="auto"/>
          <w:kern w:val="21"/>
          <w:sz w:val="24"/>
          <w:szCs w:val="24"/>
        </w:rPr>
        <w:t>生产线全封闭，</w:t>
      </w:r>
      <w:r>
        <w:rPr>
          <w:rFonts w:hint="eastAsia"/>
          <w:color w:val="auto"/>
          <w:kern w:val="21"/>
          <w:sz w:val="24"/>
          <w:szCs w:val="24"/>
          <w:lang w:eastAsia="zh-CN"/>
        </w:rPr>
        <w:t>硫酸雾</w:t>
      </w:r>
      <w:r>
        <w:rPr>
          <w:color w:val="auto"/>
          <w:kern w:val="21"/>
          <w:sz w:val="24"/>
          <w:szCs w:val="24"/>
        </w:rPr>
        <w:t>经抽风装置进入二级碱液喷淋中和塔进行处理，处理达标后经</w:t>
      </w:r>
      <w:r>
        <w:rPr>
          <w:rFonts w:hint="eastAsia"/>
          <w:color w:val="auto"/>
          <w:kern w:val="21"/>
          <w:sz w:val="24"/>
          <w:szCs w:val="24"/>
          <w:lang w:eastAsia="zh-CN"/>
        </w:rPr>
        <w:t>15m高排气筒</w:t>
      </w:r>
      <w:r>
        <w:rPr>
          <w:rFonts w:hint="eastAsia"/>
          <w:color w:val="auto"/>
          <w:kern w:val="21"/>
          <w:sz w:val="24"/>
          <w:szCs w:val="24"/>
        </w:rPr>
        <w:t>排放</w:t>
      </w:r>
      <w:r>
        <w:rPr>
          <w:rFonts w:hint="eastAsia"/>
          <w:color w:val="auto"/>
          <w:kern w:val="21"/>
          <w:sz w:val="24"/>
          <w:szCs w:val="24"/>
          <w:lang w:eastAsia="zh-CN"/>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13</w:t>
      </w:r>
      <w:r>
        <w:rPr>
          <w:snapToGrid w:val="0"/>
          <w:color w:val="auto"/>
          <w:kern w:val="21"/>
          <w:sz w:val="24"/>
          <w:szCs w:val="24"/>
        </w:rPr>
        <w:t>）水洗</w:t>
      </w:r>
    </w:p>
    <w:p>
      <w:pPr>
        <w:adjustRightInd w:val="0"/>
        <w:snapToGrid w:val="0"/>
        <w:spacing w:line="360" w:lineRule="auto"/>
        <w:ind w:firstLine="480" w:firstLineChars="200"/>
        <w:rPr>
          <w:color w:val="auto"/>
          <w:kern w:val="21"/>
          <w:sz w:val="24"/>
          <w:szCs w:val="24"/>
        </w:rPr>
      </w:pPr>
      <w:r>
        <w:rPr>
          <w:color w:val="auto"/>
          <w:kern w:val="21"/>
          <w:sz w:val="24"/>
          <w:szCs w:val="24"/>
        </w:rPr>
        <w:t>采用纯水，逆流清洗，常温控制，溢流方式排水。洗掉电池</w:t>
      </w:r>
      <w:r>
        <w:rPr>
          <w:rFonts w:hint="eastAsia"/>
          <w:color w:val="auto"/>
          <w:kern w:val="21"/>
          <w:sz w:val="24"/>
          <w:szCs w:val="24"/>
        </w:rPr>
        <w:t>箱</w:t>
      </w:r>
      <w:r>
        <w:rPr>
          <w:color w:val="auto"/>
          <w:kern w:val="21"/>
          <w:sz w:val="24"/>
          <w:szCs w:val="24"/>
        </w:rPr>
        <w:t>上携带的稀硫酸。</w:t>
      </w:r>
    </w:p>
    <w:p>
      <w:pPr>
        <w:adjustRightInd w:val="0"/>
        <w:snapToGrid w:val="0"/>
        <w:spacing w:line="360" w:lineRule="auto"/>
        <w:ind w:firstLine="480" w:firstLineChars="200"/>
        <w:rPr>
          <w:snapToGrid w:val="0"/>
          <w:color w:val="auto"/>
          <w:kern w:val="21"/>
          <w:sz w:val="24"/>
          <w:szCs w:val="24"/>
        </w:rPr>
      </w:pPr>
      <w:r>
        <w:rPr>
          <w:color w:val="auto"/>
          <w:kern w:val="21"/>
          <w:sz w:val="24"/>
          <w:szCs w:val="24"/>
        </w:rPr>
        <w:t>清洗废水</w:t>
      </w:r>
      <w:r>
        <w:rPr>
          <w:rFonts w:hint="eastAsia"/>
          <w:snapToGrid w:val="0"/>
          <w:color w:val="auto"/>
          <w:kern w:val="21"/>
          <w:sz w:val="24"/>
          <w:szCs w:val="24"/>
        </w:rPr>
        <w:t>属于含锌废水，</w:t>
      </w:r>
      <w:r>
        <w:rPr>
          <w:rFonts w:hint="eastAsia"/>
          <w:snapToGrid w:val="0"/>
          <w:color w:val="auto"/>
          <w:kern w:val="21"/>
          <w:sz w:val="24"/>
          <w:szCs w:val="24"/>
          <w:lang w:eastAsia="zh-CN"/>
        </w:rPr>
        <w:t>含</w:t>
      </w:r>
      <w:r>
        <w:rPr>
          <w:color w:val="auto"/>
          <w:kern w:val="21"/>
          <w:sz w:val="24"/>
          <w:szCs w:val="24"/>
        </w:rPr>
        <w:t>锌</w:t>
      </w:r>
      <w:r>
        <w:rPr>
          <w:rFonts w:hint="eastAsia"/>
          <w:color w:val="auto"/>
          <w:kern w:val="21"/>
          <w:sz w:val="24"/>
          <w:szCs w:val="24"/>
          <w:lang w:eastAsia="zh-CN"/>
        </w:rPr>
        <w:t>清洗</w:t>
      </w:r>
      <w:r>
        <w:rPr>
          <w:color w:val="auto"/>
          <w:kern w:val="21"/>
          <w:sz w:val="24"/>
          <w:szCs w:val="24"/>
        </w:rPr>
        <w:t>废水</w:t>
      </w:r>
      <w:r>
        <w:rPr>
          <w:rFonts w:hint="eastAsia"/>
          <w:color w:val="auto"/>
          <w:kern w:val="21"/>
          <w:sz w:val="24"/>
          <w:szCs w:val="24"/>
          <w:lang w:eastAsia="zh-CN"/>
        </w:rPr>
        <w:t>先</w:t>
      </w:r>
      <w:r>
        <w:rPr>
          <w:rFonts w:hint="eastAsia"/>
          <w:color w:val="auto"/>
          <w:kern w:val="21"/>
          <w:sz w:val="24"/>
          <w:szCs w:val="24"/>
        </w:rPr>
        <w:t>进入含锌废水预处理系统</w:t>
      </w:r>
      <w:r>
        <w:rPr>
          <w:rFonts w:hint="eastAsia"/>
          <w:color w:val="auto"/>
          <w:kern w:val="21"/>
          <w:sz w:val="24"/>
          <w:szCs w:val="24"/>
          <w:lang w:eastAsia="zh-CN"/>
        </w:rPr>
        <w:t>“</w:t>
      </w:r>
      <w:r>
        <w:rPr>
          <w:rFonts w:hint="eastAsia"/>
          <w:color w:val="auto"/>
          <w:kern w:val="21"/>
          <w:sz w:val="24"/>
          <w:szCs w:val="24"/>
        </w:rPr>
        <w:t>pH调节→混凝沉淀→回调→多介质过滤</w:t>
      </w:r>
      <w:r>
        <w:rPr>
          <w:rFonts w:hint="eastAsia"/>
          <w:color w:val="auto"/>
          <w:kern w:val="21"/>
          <w:sz w:val="24"/>
          <w:szCs w:val="24"/>
          <w:lang w:eastAsia="zh-CN"/>
        </w:rPr>
        <w:t>”处理</w:t>
      </w:r>
      <w:r>
        <w:rPr>
          <w:rFonts w:hint="eastAsia"/>
          <w:color w:val="auto"/>
          <w:kern w:val="21"/>
          <w:sz w:val="24"/>
          <w:szCs w:val="24"/>
        </w:rPr>
        <w:t>，</w:t>
      </w:r>
      <w:r>
        <w:rPr>
          <w:rFonts w:hint="eastAsia"/>
          <w:color w:val="auto"/>
          <w:kern w:val="21"/>
          <w:sz w:val="24"/>
          <w:lang w:eastAsia="zh-CN"/>
        </w:rPr>
        <w:t>再</w:t>
      </w:r>
      <w:r>
        <w:rPr>
          <w:rFonts w:hint="eastAsia"/>
          <w:color w:val="auto"/>
          <w:kern w:val="21"/>
          <w:sz w:val="24"/>
        </w:rPr>
        <w:t>进入零排放处理系统深度处理后回用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14</w:t>
      </w:r>
      <w:r>
        <w:rPr>
          <w:snapToGrid w:val="0"/>
          <w:color w:val="auto"/>
          <w:kern w:val="21"/>
          <w:sz w:val="24"/>
          <w:szCs w:val="24"/>
        </w:rPr>
        <w:t>）钝化</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锌的化学性质活泼，在大气中容易氧化变暗，最后产生“白锈”腐蚀。镀锌后经过铬酸盐处理，以便在锌上覆盖一层化学转化膜，使活泼的金属处于钝态，这就叫锌层铬酸盐钝化处理。这层厚度只有</w:t>
      </w:r>
      <w:r>
        <w:rPr>
          <w:color w:val="auto"/>
          <w:kern w:val="21"/>
          <w:sz w:val="24"/>
          <w:szCs w:val="24"/>
        </w:rPr>
        <w:t xml:space="preserve">0.5um </w:t>
      </w:r>
      <w:r>
        <w:rPr>
          <w:rFonts w:hint="eastAsia"/>
          <w:color w:val="auto"/>
          <w:kern w:val="21"/>
          <w:sz w:val="24"/>
          <w:szCs w:val="24"/>
        </w:rPr>
        <w:t>以下的铬酸盐薄膜，能使锌的耐蚀性能提高</w:t>
      </w:r>
      <w:r>
        <w:rPr>
          <w:color w:val="auto"/>
          <w:kern w:val="21"/>
          <w:sz w:val="24"/>
          <w:szCs w:val="24"/>
        </w:rPr>
        <w:t xml:space="preserve">6~8 </w:t>
      </w:r>
      <w:r>
        <w:rPr>
          <w:rFonts w:hint="eastAsia"/>
          <w:color w:val="auto"/>
          <w:kern w:val="21"/>
          <w:sz w:val="24"/>
          <w:szCs w:val="24"/>
        </w:rPr>
        <w:t>倍，并赋予锌以美丽的装饰外观和抗污能力。</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目前钝化主要有六价铬钝化与三价铬钝化。项目采用三价铬钝化工艺。</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传统六价铬的钝化膜是通过锌的溶解、铬酸根的还原以及三价铬凝胶的析出而形成，膜层中含有六价格，因此，钝化膜有自我的修复能力，亦被称为自愈能力。而三价铬膜层是通过锌的溶解形成锌离子，同时锌离子的溶解造成锌表面溶液的</w:t>
      </w:r>
      <w:r>
        <w:rPr>
          <w:color w:val="auto"/>
          <w:kern w:val="21"/>
          <w:sz w:val="24"/>
          <w:szCs w:val="24"/>
        </w:rPr>
        <w:t>pH</w:t>
      </w:r>
      <w:r>
        <w:rPr>
          <w:rFonts w:hint="eastAsia"/>
          <w:color w:val="auto"/>
          <w:kern w:val="21"/>
          <w:sz w:val="24"/>
          <w:szCs w:val="24"/>
        </w:rPr>
        <w:t>值上升，三价铬直接与锌离子、氢氧根等反应，形成不溶性化合物沉淀在锌表面上，而形成钝化膜。三价铬钝化镀液</w:t>
      </w:r>
      <w:r>
        <w:rPr>
          <w:rFonts w:hint="eastAsia"/>
          <w:color w:val="auto"/>
          <w:kern w:val="21"/>
          <w:sz w:val="24"/>
          <w:szCs w:val="24"/>
          <w:lang w:eastAsia="zh-CN"/>
        </w:rPr>
        <w:t>的主要成分</w:t>
      </w:r>
      <w:r>
        <w:rPr>
          <w:rFonts w:hint="eastAsia"/>
          <w:color w:val="auto"/>
          <w:kern w:val="21"/>
          <w:sz w:val="24"/>
          <w:szCs w:val="24"/>
        </w:rPr>
        <w:t>为</w:t>
      </w:r>
      <w:r>
        <w:rPr>
          <w:color w:val="auto"/>
          <w:kern w:val="21"/>
          <w:sz w:val="24"/>
          <w:szCs w:val="24"/>
        </w:rPr>
        <w:t>5%</w:t>
      </w:r>
      <w:r>
        <w:rPr>
          <w:rFonts w:hint="eastAsia"/>
          <w:color w:val="auto"/>
          <w:kern w:val="21"/>
          <w:sz w:val="24"/>
          <w:szCs w:val="24"/>
        </w:rPr>
        <w:t>三价铬钝化剂，可采用不同添加剂从而形成不同颜色的钝化层，本项目仅进行银白钝。</w:t>
      </w:r>
    </w:p>
    <w:p>
      <w:pPr>
        <w:adjustRightInd w:val="0"/>
        <w:snapToGrid w:val="0"/>
        <w:spacing w:line="360" w:lineRule="auto"/>
        <w:ind w:firstLine="480" w:firstLineChars="200"/>
        <w:rPr>
          <w:color w:val="auto"/>
          <w:kern w:val="21"/>
          <w:sz w:val="24"/>
          <w:szCs w:val="24"/>
        </w:rPr>
      </w:pPr>
      <w:r>
        <w:rPr>
          <w:color w:val="auto"/>
          <w:kern w:val="21"/>
          <w:sz w:val="24"/>
          <w:szCs w:val="24"/>
        </w:rPr>
        <w:t>钝化槽液</w:t>
      </w:r>
      <w:r>
        <w:rPr>
          <w:rFonts w:hint="eastAsia"/>
          <w:color w:val="auto"/>
          <w:kern w:val="21"/>
          <w:sz w:val="24"/>
          <w:szCs w:val="24"/>
        </w:rPr>
        <w:t>每2周</w:t>
      </w:r>
      <w:r>
        <w:rPr>
          <w:color w:val="auto"/>
          <w:kern w:val="21"/>
          <w:sz w:val="24"/>
          <w:szCs w:val="24"/>
        </w:rPr>
        <w:t>更换一次，</w:t>
      </w:r>
      <w:r>
        <w:rPr>
          <w:rFonts w:hint="eastAsia"/>
          <w:color w:val="auto"/>
          <w:kern w:val="21"/>
          <w:sz w:val="24"/>
          <w:szCs w:val="24"/>
        </w:rPr>
        <w:t>钝化槽液为</w:t>
      </w:r>
      <w:r>
        <w:rPr>
          <w:color w:val="auto"/>
          <w:kern w:val="21"/>
          <w:sz w:val="24"/>
          <w:szCs w:val="24"/>
        </w:rPr>
        <w:t>含铬</w:t>
      </w:r>
      <w:r>
        <w:rPr>
          <w:rFonts w:hint="eastAsia"/>
          <w:color w:val="auto"/>
          <w:kern w:val="21"/>
          <w:sz w:val="24"/>
          <w:szCs w:val="24"/>
        </w:rPr>
        <w:t>废水，含铬废水</w:t>
      </w:r>
      <w:r>
        <w:rPr>
          <w:rFonts w:hint="eastAsia"/>
          <w:color w:val="auto"/>
          <w:kern w:val="21"/>
          <w:sz w:val="24"/>
          <w:szCs w:val="24"/>
          <w:lang w:eastAsia="zh-CN"/>
        </w:rPr>
        <w:t>先</w:t>
      </w:r>
      <w:r>
        <w:rPr>
          <w:rFonts w:hint="eastAsia"/>
          <w:color w:val="auto"/>
          <w:kern w:val="21"/>
          <w:sz w:val="24"/>
          <w:szCs w:val="24"/>
        </w:rPr>
        <w:t>进入含铬废水预处理系统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w:t>
      </w:r>
      <w:r>
        <w:rPr>
          <w:rFonts w:hint="eastAsia"/>
          <w:color w:val="auto"/>
          <w:kern w:val="21"/>
          <w:sz w:val="24"/>
          <w:szCs w:val="24"/>
          <w:highlight w:val="none"/>
        </w:rPr>
        <w:t>度处理后回用</w:t>
      </w:r>
      <w:r>
        <w:rPr>
          <w:rFonts w:hint="eastAsia"/>
          <w:color w:val="auto"/>
          <w:kern w:val="21"/>
          <w:sz w:val="24"/>
          <w:lang w:eastAsia="zh-CN"/>
        </w:rPr>
        <w:t>于生产线</w:t>
      </w:r>
      <w:r>
        <w:rPr>
          <w:rFonts w:hint="eastAsia"/>
          <w:color w:val="auto"/>
          <w:kern w:val="21"/>
          <w:sz w:val="24"/>
          <w:szCs w:val="24"/>
        </w:rPr>
        <w:t>；槽渣及废滤芯</w:t>
      </w:r>
      <w:r>
        <w:rPr>
          <w:color w:val="auto"/>
          <w:kern w:val="21"/>
          <w:sz w:val="24"/>
          <w:szCs w:val="24"/>
        </w:rPr>
        <w:t>作为危废暂存至厂区危废暂存间，定期交有资质单位</w:t>
      </w:r>
      <w:r>
        <w:rPr>
          <w:rFonts w:hint="eastAsia"/>
          <w:color w:val="auto"/>
          <w:kern w:val="21"/>
          <w:sz w:val="24"/>
          <w:szCs w:val="24"/>
          <w:lang w:eastAsia="zh-CN"/>
        </w:rPr>
        <w:t>处置</w:t>
      </w:r>
      <w:r>
        <w:rPr>
          <w:color w:val="auto"/>
          <w:kern w:val="21"/>
          <w:sz w:val="24"/>
          <w:szCs w:val="24"/>
        </w:rPr>
        <w:t>；铬酸酐会挥发少量铬酸雾，</w:t>
      </w:r>
      <w:r>
        <w:rPr>
          <w:rFonts w:hint="eastAsia"/>
          <w:color w:val="auto"/>
          <w:kern w:val="21"/>
          <w:sz w:val="24"/>
          <w:szCs w:val="24"/>
        </w:rPr>
        <w:t>电镀生产线设置全封闭，</w:t>
      </w:r>
      <w:r>
        <w:rPr>
          <w:rFonts w:hint="eastAsia"/>
          <w:color w:val="auto"/>
          <w:kern w:val="21"/>
          <w:sz w:val="24"/>
          <w:szCs w:val="24"/>
          <w:lang w:eastAsia="zh-CN"/>
        </w:rPr>
        <w:t>铬酸雾</w:t>
      </w:r>
      <w:r>
        <w:rPr>
          <w:color w:val="auto"/>
          <w:kern w:val="21"/>
          <w:sz w:val="24"/>
          <w:szCs w:val="24"/>
        </w:rPr>
        <w:t>经抽风装置进入二级碱液喷淋中和塔处理，处理达标后经</w:t>
      </w:r>
      <w:r>
        <w:rPr>
          <w:rFonts w:hint="eastAsia"/>
          <w:color w:val="auto"/>
          <w:kern w:val="21"/>
          <w:sz w:val="24"/>
          <w:szCs w:val="24"/>
          <w:lang w:eastAsia="zh-CN"/>
        </w:rPr>
        <w:t>15m高排气筒</w:t>
      </w:r>
      <w:r>
        <w:rPr>
          <w:rFonts w:hint="eastAsia"/>
          <w:color w:val="auto"/>
          <w:kern w:val="21"/>
          <w:sz w:val="24"/>
          <w:szCs w:val="24"/>
        </w:rPr>
        <w:t>排放。</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1</w:t>
      </w:r>
      <w:r>
        <w:rPr>
          <w:rFonts w:hint="eastAsia"/>
          <w:snapToGrid w:val="0"/>
          <w:color w:val="auto"/>
          <w:kern w:val="21"/>
          <w:sz w:val="24"/>
          <w:szCs w:val="24"/>
        </w:rPr>
        <w:t>5</w:t>
      </w:r>
      <w:r>
        <w:rPr>
          <w:snapToGrid w:val="0"/>
          <w:color w:val="auto"/>
          <w:kern w:val="21"/>
          <w:sz w:val="24"/>
          <w:szCs w:val="24"/>
        </w:rPr>
        <w:t>）三级逆流水洗</w:t>
      </w:r>
    </w:p>
    <w:p>
      <w:pPr>
        <w:adjustRightInd w:val="0"/>
        <w:snapToGrid w:val="0"/>
        <w:spacing w:line="360" w:lineRule="auto"/>
        <w:ind w:firstLine="480" w:firstLineChars="200"/>
        <w:rPr>
          <w:color w:val="auto"/>
          <w:kern w:val="21"/>
          <w:sz w:val="24"/>
          <w:szCs w:val="24"/>
        </w:rPr>
      </w:pPr>
      <w:r>
        <w:rPr>
          <w:color w:val="auto"/>
          <w:kern w:val="21"/>
          <w:sz w:val="24"/>
          <w:szCs w:val="24"/>
        </w:rPr>
        <w:t>采用纯水及回用水进行三级逆流清洗，去除表面钝化液，常温控制，溢流方式排水。</w:t>
      </w:r>
    </w:p>
    <w:p>
      <w:pPr>
        <w:adjustRightInd w:val="0"/>
        <w:snapToGrid w:val="0"/>
        <w:spacing w:line="360" w:lineRule="auto"/>
        <w:ind w:firstLine="480" w:firstLineChars="200"/>
        <w:rPr>
          <w:snapToGrid w:val="0"/>
          <w:color w:val="auto"/>
          <w:kern w:val="21"/>
          <w:sz w:val="24"/>
          <w:szCs w:val="24"/>
        </w:rPr>
      </w:pPr>
      <w:r>
        <w:rPr>
          <w:color w:val="auto"/>
          <w:kern w:val="21"/>
          <w:sz w:val="24"/>
          <w:szCs w:val="24"/>
        </w:rPr>
        <w:t>清洗废水属于</w:t>
      </w:r>
      <w:r>
        <w:rPr>
          <w:rFonts w:hint="eastAsia"/>
          <w:color w:val="auto"/>
          <w:kern w:val="21"/>
          <w:sz w:val="24"/>
          <w:szCs w:val="24"/>
        </w:rPr>
        <w:t>含铬废水，</w:t>
      </w:r>
      <w:r>
        <w:rPr>
          <w:rFonts w:hint="eastAsia"/>
          <w:color w:val="auto"/>
          <w:kern w:val="21"/>
          <w:sz w:val="24"/>
          <w:szCs w:val="24"/>
          <w:lang w:eastAsia="zh-CN"/>
        </w:rPr>
        <w:t>先</w:t>
      </w:r>
      <w:r>
        <w:rPr>
          <w:rFonts w:hint="eastAsia"/>
          <w:color w:val="auto"/>
          <w:kern w:val="21"/>
          <w:sz w:val="24"/>
          <w:szCs w:val="24"/>
        </w:rPr>
        <w:t>进入含铬废水预处理系统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1</w:t>
      </w:r>
      <w:r>
        <w:rPr>
          <w:rFonts w:hint="eastAsia"/>
          <w:snapToGrid w:val="0"/>
          <w:color w:val="auto"/>
          <w:kern w:val="21"/>
          <w:sz w:val="24"/>
          <w:szCs w:val="24"/>
        </w:rPr>
        <w:t>6</w:t>
      </w:r>
      <w:r>
        <w:rPr>
          <w:snapToGrid w:val="0"/>
          <w:color w:val="auto"/>
          <w:kern w:val="21"/>
          <w:sz w:val="24"/>
          <w:szCs w:val="24"/>
        </w:rPr>
        <w:t>）纯水洗</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纯水清洗</w:t>
      </w:r>
      <w:r>
        <w:rPr>
          <w:color w:val="auto"/>
          <w:kern w:val="21"/>
          <w:sz w:val="24"/>
          <w:szCs w:val="24"/>
        </w:rPr>
        <w:t>使产品表面更加洁净</w:t>
      </w:r>
      <w:r>
        <w:rPr>
          <w:snapToGrid w:val="0"/>
          <w:color w:val="auto"/>
          <w:kern w:val="21"/>
          <w:sz w:val="24"/>
          <w:szCs w:val="24"/>
        </w:rPr>
        <w:t>，防止污染下步封闭液。</w:t>
      </w:r>
    </w:p>
    <w:p>
      <w:pPr>
        <w:adjustRightInd w:val="0"/>
        <w:snapToGrid w:val="0"/>
        <w:spacing w:line="360" w:lineRule="auto"/>
        <w:ind w:firstLine="480" w:firstLineChars="200"/>
        <w:rPr>
          <w:snapToGrid w:val="0"/>
          <w:color w:val="auto"/>
          <w:kern w:val="21"/>
          <w:sz w:val="24"/>
          <w:szCs w:val="24"/>
        </w:rPr>
      </w:pPr>
      <w:r>
        <w:rPr>
          <w:rFonts w:hint="eastAsia"/>
          <w:color w:val="auto"/>
          <w:kern w:val="21"/>
          <w:sz w:val="24"/>
          <w:szCs w:val="24"/>
          <w:lang w:eastAsia="zh-CN"/>
        </w:rPr>
        <w:t>清</w:t>
      </w:r>
      <w:r>
        <w:rPr>
          <w:color w:val="auto"/>
          <w:kern w:val="21"/>
          <w:sz w:val="24"/>
          <w:szCs w:val="24"/>
        </w:rPr>
        <w:t>洗废水属于</w:t>
      </w:r>
      <w:r>
        <w:rPr>
          <w:rFonts w:hint="eastAsia"/>
          <w:color w:val="auto"/>
          <w:kern w:val="21"/>
          <w:sz w:val="24"/>
          <w:szCs w:val="24"/>
        </w:rPr>
        <w:t>含铬废水，</w:t>
      </w:r>
      <w:r>
        <w:rPr>
          <w:rFonts w:hint="eastAsia"/>
          <w:color w:val="auto"/>
          <w:kern w:val="21"/>
          <w:sz w:val="24"/>
          <w:szCs w:val="24"/>
          <w:lang w:eastAsia="zh-CN"/>
        </w:rPr>
        <w:t>先</w:t>
      </w:r>
      <w:r>
        <w:rPr>
          <w:rFonts w:hint="eastAsia"/>
          <w:color w:val="auto"/>
          <w:kern w:val="21"/>
          <w:sz w:val="24"/>
          <w:szCs w:val="24"/>
        </w:rPr>
        <w:t>进入含铬废水预处理系统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17</w:t>
      </w:r>
      <w:r>
        <w:rPr>
          <w:snapToGrid w:val="0"/>
          <w:color w:val="auto"/>
          <w:kern w:val="21"/>
          <w:sz w:val="24"/>
          <w:szCs w:val="24"/>
        </w:rPr>
        <w:t>）封闭</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封闭槽液为</w:t>
      </w:r>
      <w:r>
        <w:rPr>
          <w:rFonts w:hint="eastAsia"/>
          <w:snapToGrid w:val="0"/>
          <w:color w:val="auto"/>
          <w:kern w:val="21"/>
          <w:sz w:val="24"/>
          <w:szCs w:val="24"/>
        </w:rPr>
        <w:t>2%</w:t>
      </w:r>
      <w:r>
        <w:rPr>
          <w:rFonts w:hint="eastAsia"/>
          <w:snapToGrid w:val="0"/>
          <w:color w:val="auto"/>
          <w:kern w:val="21"/>
          <w:sz w:val="24"/>
          <w:szCs w:val="24"/>
          <w:lang w:eastAsia="zh-CN"/>
        </w:rPr>
        <w:t>～</w:t>
      </w:r>
      <w:r>
        <w:rPr>
          <w:rFonts w:hint="eastAsia"/>
          <w:snapToGrid w:val="0"/>
          <w:color w:val="auto"/>
          <w:kern w:val="21"/>
          <w:sz w:val="24"/>
          <w:szCs w:val="24"/>
        </w:rPr>
        <w:t>5%的封闭液</w:t>
      </w:r>
      <w:r>
        <w:rPr>
          <w:snapToGrid w:val="0"/>
          <w:color w:val="auto"/>
          <w:kern w:val="21"/>
          <w:sz w:val="24"/>
          <w:szCs w:val="24"/>
        </w:rPr>
        <w:t>，</w:t>
      </w:r>
      <w:r>
        <w:rPr>
          <w:rFonts w:hint="eastAsia"/>
          <w:snapToGrid w:val="0"/>
          <w:color w:val="auto"/>
          <w:kern w:val="21"/>
          <w:sz w:val="24"/>
          <w:szCs w:val="24"/>
          <w:lang w:eastAsia="zh-CN"/>
        </w:rPr>
        <w:t>主要成分为烷氧基醇，</w:t>
      </w:r>
      <w:r>
        <w:rPr>
          <w:snapToGrid w:val="0"/>
          <w:color w:val="auto"/>
          <w:kern w:val="21"/>
          <w:sz w:val="24"/>
          <w:szCs w:val="24"/>
        </w:rPr>
        <w:t>其作用是使工件表面形成一种保护性薄膜，以增强工件的抗腐蚀性。槽液需定期补加，以弥补消耗，保护膜槽液每</w:t>
      </w:r>
      <w:r>
        <w:rPr>
          <w:rFonts w:hint="eastAsia"/>
          <w:snapToGrid w:val="0"/>
          <w:color w:val="auto"/>
          <w:kern w:val="21"/>
          <w:sz w:val="24"/>
          <w:szCs w:val="24"/>
        </w:rPr>
        <w:t>20</w:t>
      </w:r>
      <w:r>
        <w:rPr>
          <w:snapToGrid w:val="0"/>
          <w:color w:val="auto"/>
          <w:kern w:val="21"/>
          <w:sz w:val="24"/>
          <w:szCs w:val="24"/>
        </w:rPr>
        <w:t>天更换一次。</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更换的槽液属于含铬废水，</w:t>
      </w:r>
      <w:r>
        <w:rPr>
          <w:rFonts w:hint="eastAsia"/>
          <w:snapToGrid w:val="0"/>
          <w:color w:val="auto"/>
          <w:kern w:val="21"/>
          <w:sz w:val="24"/>
          <w:szCs w:val="24"/>
          <w:lang w:eastAsia="zh-CN"/>
        </w:rPr>
        <w:t>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val="en-US"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18</w:t>
      </w:r>
      <w:r>
        <w:rPr>
          <w:snapToGrid w:val="0"/>
          <w:color w:val="auto"/>
          <w:kern w:val="21"/>
          <w:sz w:val="24"/>
          <w:szCs w:val="24"/>
        </w:rPr>
        <w:t>）</w:t>
      </w:r>
      <w:r>
        <w:rPr>
          <w:color w:val="auto"/>
          <w:kern w:val="21"/>
          <w:sz w:val="24"/>
          <w:szCs w:val="24"/>
        </w:rPr>
        <w:t>纯水二级逆流清洗</w:t>
      </w:r>
    </w:p>
    <w:p>
      <w:pPr>
        <w:adjustRightInd w:val="0"/>
        <w:snapToGrid w:val="0"/>
        <w:spacing w:line="360" w:lineRule="auto"/>
        <w:ind w:firstLine="480" w:firstLineChars="200"/>
        <w:rPr>
          <w:color w:val="auto"/>
          <w:kern w:val="21"/>
          <w:sz w:val="24"/>
          <w:szCs w:val="24"/>
        </w:rPr>
      </w:pPr>
      <w:r>
        <w:rPr>
          <w:color w:val="auto"/>
          <w:kern w:val="21"/>
          <w:sz w:val="24"/>
          <w:szCs w:val="24"/>
        </w:rPr>
        <w:t>采用纯水二级逆流清洗，以去除产品表面的泡沫，方便后续烘干。</w:t>
      </w:r>
    </w:p>
    <w:p>
      <w:pPr>
        <w:adjustRightInd w:val="0"/>
        <w:snapToGrid w:val="0"/>
        <w:spacing w:line="360" w:lineRule="auto"/>
        <w:ind w:firstLine="480" w:firstLineChars="200"/>
        <w:rPr>
          <w:color w:val="auto"/>
          <w:kern w:val="21"/>
          <w:sz w:val="24"/>
          <w:szCs w:val="24"/>
        </w:rPr>
      </w:pPr>
      <w:r>
        <w:rPr>
          <w:color w:val="auto"/>
          <w:kern w:val="21"/>
          <w:sz w:val="24"/>
          <w:szCs w:val="24"/>
        </w:rPr>
        <w:t>清洗废水</w:t>
      </w:r>
      <w:r>
        <w:rPr>
          <w:snapToGrid w:val="0"/>
          <w:color w:val="auto"/>
          <w:kern w:val="21"/>
          <w:sz w:val="24"/>
          <w:szCs w:val="24"/>
        </w:rPr>
        <w:t>属于含铬废水，</w:t>
      </w:r>
      <w:r>
        <w:rPr>
          <w:rFonts w:hint="eastAsia"/>
          <w:snapToGrid w:val="0"/>
          <w:color w:val="auto"/>
          <w:kern w:val="21"/>
          <w:sz w:val="24"/>
          <w:szCs w:val="24"/>
          <w:lang w:eastAsia="zh-CN"/>
        </w:rPr>
        <w:t>先</w:t>
      </w:r>
      <w:r>
        <w:rPr>
          <w:color w:val="auto"/>
          <w:kern w:val="21"/>
          <w:sz w:val="24"/>
          <w:szCs w:val="24"/>
        </w:rPr>
        <w:t>进入</w:t>
      </w:r>
      <w:r>
        <w:rPr>
          <w:rFonts w:hint="eastAsia"/>
          <w:color w:val="auto"/>
          <w:kern w:val="21"/>
          <w:sz w:val="24"/>
          <w:szCs w:val="24"/>
        </w:rPr>
        <w:t>含铬废水预处理系统</w:t>
      </w:r>
      <w:r>
        <w:rPr>
          <w:rFonts w:hint="eastAsia"/>
          <w:color w:val="auto"/>
          <w:kern w:val="21"/>
          <w:sz w:val="24"/>
          <w:szCs w:val="24"/>
          <w:lang w:eastAsia="zh-CN"/>
        </w:rPr>
        <w:t>“</w:t>
      </w:r>
      <w:r>
        <w:rPr>
          <w:rFonts w:hint="eastAsia"/>
          <w:color w:val="auto"/>
          <w:kern w:val="21"/>
          <w:sz w:val="24"/>
          <w:szCs w:val="24"/>
        </w:rPr>
        <w:t>还原→pH调节→混凝沉淀→回调→多介质过滤</w:t>
      </w:r>
      <w:r>
        <w:rPr>
          <w:rFonts w:hint="eastAsia"/>
          <w:color w:val="auto"/>
          <w:kern w:val="21"/>
          <w:sz w:val="24"/>
          <w:szCs w:val="24"/>
          <w:lang w:eastAsia="zh-CN"/>
        </w:rPr>
        <w:t>”</w:t>
      </w:r>
      <w:r>
        <w:rPr>
          <w:rFonts w:hint="eastAsia"/>
          <w:color w:val="auto"/>
          <w:kern w:val="21"/>
          <w:sz w:val="24"/>
          <w:szCs w:val="24"/>
        </w:rPr>
        <w:t>处理</w:t>
      </w:r>
      <w:r>
        <w:rPr>
          <w:rFonts w:hint="eastAsia"/>
          <w:color w:val="auto"/>
          <w:kern w:val="21"/>
          <w:sz w:val="24"/>
          <w:szCs w:val="24"/>
          <w:lang w:eastAsia="zh-CN"/>
        </w:rPr>
        <w:t>，再</w:t>
      </w:r>
      <w:r>
        <w:rPr>
          <w:rFonts w:hint="eastAsia"/>
          <w:color w:val="auto"/>
          <w:kern w:val="21"/>
          <w:sz w:val="24"/>
          <w:szCs w:val="24"/>
        </w:rPr>
        <w:t>进零排放处理系统深度处理后回用</w:t>
      </w:r>
      <w:r>
        <w:rPr>
          <w:rFonts w:hint="eastAsia"/>
          <w:color w:val="auto"/>
          <w:kern w:val="21"/>
          <w:sz w:val="24"/>
          <w:lang w:eastAsia="zh-CN"/>
        </w:rPr>
        <w:t>于生产线</w:t>
      </w:r>
      <w:r>
        <w:rPr>
          <w:rFonts w:hint="eastAsia"/>
          <w:snapToGrid w:val="0"/>
          <w:color w:val="auto"/>
          <w:kern w:val="21"/>
          <w:sz w:val="24"/>
          <w:szCs w:val="24"/>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19</w:t>
      </w:r>
      <w:r>
        <w:rPr>
          <w:snapToGrid w:val="0"/>
          <w:color w:val="auto"/>
          <w:kern w:val="21"/>
          <w:sz w:val="24"/>
          <w:szCs w:val="24"/>
        </w:rPr>
        <w:t>）烘干</w:t>
      </w:r>
    </w:p>
    <w:p>
      <w:pPr>
        <w:adjustRightInd w:val="0"/>
        <w:snapToGrid w:val="0"/>
        <w:spacing w:line="360" w:lineRule="auto"/>
        <w:ind w:firstLine="480" w:firstLineChars="200"/>
        <w:rPr>
          <w:snapToGrid w:val="0"/>
          <w:color w:val="auto"/>
          <w:kern w:val="21"/>
          <w:sz w:val="24"/>
          <w:szCs w:val="24"/>
        </w:rPr>
      </w:pPr>
      <w:r>
        <w:rPr>
          <w:snapToGrid w:val="0"/>
          <w:color w:val="auto"/>
          <w:kern w:val="21"/>
          <w:sz w:val="24"/>
          <w:szCs w:val="24"/>
        </w:rPr>
        <w:t>工件进入烘干机，烘干采用电加热，将表面残留水分烘干去除。防止产品生锈。</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20</w:t>
      </w:r>
      <w:r>
        <w:rPr>
          <w:snapToGrid w:val="0"/>
          <w:color w:val="auto"/>
          <w:kern w:val="21"/>
          <w:sz w:val="24"/>
          <w:szCs w:val="24"/>
        </w:rPr>
        <w:t>）检验、转运</w:t>
      </w:r>
    </w:p>
    <w:p>
      <w:pPr>
        <w:adjustRightInd w:val="0"/>
        <w:snapToGrid w:val="0"/>
        <w:spacing w:line="360" w:lineRule="auto"/>
        <w:ind w:firstLine="480"/>
        <w:rPr>
          <w:snapToGrid w:val="0"/>
          <w:color w:val="auto"/>
          <w:kern w:val="21"/>
          <w:sz w:val="24"/>
          <w:szCs w:val="24"/>
        </w:rPr>
      </w:pPr>
      <w:r>
        <w:rPr>
          <w:snapToGrid w:val="0"/>
          <w:color w:val="auto"/>
          <w:kern w:val="21"/>
          <w:sz w:val="24"/>
          <w:szCs w:val="24"/>
        </w:rPr>
        <w:t>工件经人工检验后，挑出不合格产品，合格产品转运至成品库。</w:t>
      </w:r>
    </w:p>
    <w:p>
      <w:pPr>
        <w:adjustRightInd w:val="0"/>
        <w:snapToGrid w:val="0"/>
        <w:spacing w:before="120" w:beforeLines="50" w:line="360" w:lineRule="auto"/>
        <w:ind w:firstLine="482" w:firstLineChars="200"/>
        <w:rPr>
          <w:b/>
          <w:snapToGrid w:val="0"/>
          <w:color w:val="auto"/>
          <w:kern w:val="21"/>
          <w:sz w:val="24"/>
          <w:szCs w:val="24"/>
        </w:rPr>
      </w:pPr>
      <w:r>
        <w:rPr>
          <w:rFonts w:hint="eastAsia"/>
          <w:b/>
          <w:snapToGrid w:val="0"/>
          <w:color w:val="auto"/>
          <w:kern w:val="21"/>
          <w:sz w:val="24"/>
          <w:szCs w:val="24"/>
        </w:rPr>
        <w:t>2、工艺参数</w:t>
      </w:r>
    </w:p>
    <w:p>
      <w:pPr>
        <w:adjustRightInd w:val="0"/>
        <w:snapToGrid w:val="0"/>
        <w:ind w:firstLine="480" w:firstLineChars="200"/>
        <w:rPr>
          <w:rFonts w:eastAsia="黑体"/>
          <w:snapToGrid w:val="0"/>
          <w:color w:val="auto"/>
          <w:kern w:val="21"/>
          <w:sz w:val="24"/>
          <w:szCs w:val="24"/>
        </w:rPr>
      </w:pPr>
      <w:r>
        <w:rPr>
          <w:rFonts w:hint="eastAsia"/>
          <w:snapToGrid w:val="0"/>
          <w:color w:val="auto"/>
          <w:kern w:val="21"/>
          <w:sz w:val="24"/>
          <w:szCs w:val="24"/>
        </w:rPr>
        <w:t>镀镍线各工序工艺参数见下表</w:t>
      </w:r>
      <w:r>
        <w:rPr>
          <w:rFonts w:hint="eastAsia" w:eastAsia="黑体"/>
          <w:snapToGrid w:val="0"/>
          <w:color w:val="auto"/>
          <w:kern w:val="21"/>
          <w:sz w:val="24"/>
          <w:szCs w:val="24"/>
        </w:rPr>
        <w:t>。</w:t>
      </w:r>
    </w:p>
    <w:p>
      <w:pPr>
        <w:adjustRightInd w:val="0"/>
        <w:snapToGrid w:val="0"/>
        <w:jc w:val="center"/>
        <w:rPr>
          <w:rFonts w:eastAsia="黑体"/>
          <w:snapToGrid w:val="0"/>
          <w:color w:val="auto"/>
          <w:kern w:val="21"/>
          <w:sz w:val="24"/>
          <w:szCs w:val="24"/>
        </w:rPr>
      </w:pPr>
    </w:p>
    <w:p>
      <w:pPr>
        <w:adjustRightInd w:val="0"/>
        <w:snapToGrid w:val="0"/>
        <w:jc w:val="center"/>
        <w:rPr>
          <w:rFonts w:eastAsia="黑体"/>
          <w:snapToGrid w:val="0"/>
          <w:color w:val="auto"/>
          <w:kern w:val="21"/>
          <w:sz w:val="24"/>
          <w:szCs w:val="24"/>
        </w:rPr>
      </w:pPr>
      <w:r>
        <w:rPr>
          <w:rFonts w:eastAsia="黑体"/>
          <w:snapToGrid w:val="0"/>
          <w:color w:val="auto"/>
          <w:kern w:val="21"/>
          <w:sz w:val="24"/>
          <w:szCs w:val="24"/>
        </w:rPr>
        <w:t>表3.3-</w:t>
      </w:r>
      <w:r>
        <w:rPr>
          <w:rFonts w:hint="eastAsia" w:eastAsia="黑体"/>
          <w:snapToGrid w:val="0"/>
          <w:color w:val="auto"/>
          <w:kern w:val="21"/>
          <w:sz w:val="24"/>
          <w:szCs w:val="24"/>
        </w:rPr>
        <w:t>2</w:t>
      </w:r>
      <w:r>
        <w:rPr>
          <w:rFonts w:eastAsia="黑体"/>
          <w:snapToGrid w:val="0"/>
          <w:color w:val="auto"/>
          <w:kern w:val="21"/>
          <w:sz w:val="24"/>
          <w:szCs w:val="24"/>
        </w:rPr>
        <w:t xml:space="preserve">    镀锌主要工艺参数和操作条件一览表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873"/>
        <w:gridCol w:w="943"/>
        <w:gridCol w:w="662"/>
        <w:gridCol w:w="1237"/>
        <w:gridCol w:w="1816"/>
        <w:gridCol w:w="834"/>
        <w:gridCol w:w="1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271" w:type="pct"/>
            <w:vMerge w:val="restart"/>
            <w:vAlign w:val="center"/>
          </w:tcPr>
          <w:p>
            <w:pPr>
              <w:adjustRightInd w:val="0"/>
              <w:snapToGrid w:val="0"/>
              <w:jc w:val="center"/>
              <w:rPr>
                <w:b/>
                <w:bCs/>
                <w:snapToGrid w:val="0"/>
                <w:color w:val="auto"/>
                <w:kern w:val="21"/>
              </w:rPr>
            </w:pPr>
            <w:r>
              <w:rPr>
                <w:b/>
                <w:bCs/>
                <w:snapToGrid w:val="0"/>
                <w:color w:val="auto"/>
                <w:kern w:val="21"/>
              </w:rPr>
              <w:t>序号</w:t>
            </w:r>
          </w:p>
        </w:tc>
        <w:tc>
          <w:tcPr>
            <w:tcW w:w="512" w:type="pct"/>
            <w:vMerge w:val="restart"/>
            <w:vAlign w:val="center"/>
          </w:tcPr>
          <w:p>
            <w:pPr>
              <w:adjustRightInd w:val="0"/>
              <w:snapToGrid w:val="0"/>
              <w:jc w:val="center"/>
              <w:rPr>
                <w:b/>
                <w:bCs/>
                <w:snapToGrid w:val="0"/>
                <w:color w:val="auto"/>
                <w:kern w:val="21"/>
              </w:rPr>
            </w:pPr>
            <w:r>
              <w:rPr>
                <w:b/>
                <w:bCs/>
                <w:snapToGrid w:val="0"/>
                <w:color w:val="auto"/>
                <w:kern w:val="21"/>
              </w:rPr>
              <w:t>工序</w:t>
            </w:r>
          </w:p>
        </w:tc>
        <w:tc>
          <w:tcPr>
            <w:tcW w:w="553" w:type="pct"/>
            <w:vMerge w:val="restart"/>
            <w:vAlign w:val="center"/>
          </w:tcPr>
          <w:p>
            <w:pPr>
              <w:adjustRightInd w:val="0"/>
              <w:snapToGrid w:val="0"/>
              <w:jc w:val="center"/>
              <w:rPr>
                <w:b/>
                <w:bCs/>
                <w:snapToGrid w:val="0"/>
                <w:color w:val="auto"/>
                <w:kern w:val="21"/>
              </w:rPr>
            </w:pPr>
            <w:r>
              <w:rPr>
                <w:b/>
                <w:bCs/>
                <w:snapToGrid w:val="0"/>
                <w:color w:val="auto"/>
                <w:kern w:val="21"/>
              </w:rPr>
              <w:t>温度/℃</w:t>
            </w:r>
          </w:p>
        </w:tc>
        <w:tc>
          <w:tcPr>
            <w:tcW w:w="388" w:type="pct"/>
            <w:vMerge w:val="restart"/>
            <w:vAlign w:val="center"/>
          </w:tcPr>
          <w:p>
            <w:pPr>
              <w:adjustRightInd w:val="0"/>
              <w:snapToGrid w:val="0"/>
              <w:jc w:val="center"/>
              <w:rPr>
                <w:b/>
                <w:bCs/>
                <w:snapToGrid w:val="0"/>
                <w:color w:val="auto"/>
                <w:kern w:val="21"/>
              </w:rPr>
            </w:pPr>
            <w:r>
              <w:rPr>
                <w:b/>
                <w:bCs/>
                <w:snapToGrid w:val="0"/>
                <w:color w:val="auto"/>
                <w:kern w:val="21"/>
              </w:rPr>
              <w:t>加热方式</w:t>
            </w:r>
          </w:p>
        </w:tc>
        <w:tc>
          <w:tcPr>
            <w:tcW w:w="1790" w:type="pct"/>
            <w:gridSpan w:val="2"/>
            <w:vAlign w:val="center"/>
          </w:tcPr>
          <w:p>
            <w:pPr>
              <w:adjustRightInd w:val="0"/>
              <w:snapToGrid w:val="0"/>
              <w:jc w:val="center"/>
              <w:rPr>
                <w:b/>
                <w:bCs/>
                <w:snapToGrid w:val="0"/>
                <w:color w:val="auto"/>
                <w:kern w:val="21"/>
              </w:rPr>
            </w:pPr>
            <w:r>
              <w:rPr>
                <w:b/>
                <w:bCs/>
                <w:snapToGrid w:val="0"/>
                <w:color w:val="auto"/>
                <w:kern w:val="21"/>
              </w:rPr>
              <w:t>工艺条件</w:t>
            </w:r>
          </w:p>
        </w:tc>
        <w:tc>
          <w:tcPr>
            <w:tcW w:w="489" w:type="pct"/>
            <w:vMerge w:val="restart"/>
            <w:vAlign w:val="center"/>
          </w:tcPr>
          <w:p>
            <w:pPr>
              <w:adjustRightInd w:val="0"/>
              <w:snapToGrid w:val="0"/>
              <w:jc w:val="center"/>
              <w:rPr>
                <w:b/>
                <w:bCs/>
                <w:snapToGrid w:val="0"/>
                <w:color w:val="auto"/>
                <w:kern w:val="21"/>
              </w:rPr>
            </w:pPr>
            <w:r>
              <w:rPr>
                <w:b/>
                <w:bCs/>
                <w:snapToGrid w:val="0"/>
                <w:color w:val="auto"/>
                <w:kern w:val="21"/>
              </w:rPr>
              <w:t>更换</w:t>
            </w:r>
          </w:p>
          <w:p>
            <w:pPr>
              <w:adjustRightInd w:val="0"/>
              <w:snapToGrid w:val="0"/>
              <w:jc w:val="center"/>
              <w:rPr>
                <w:b/>
                <w:bCs/>
                <w:snapToGrid w:val="0"/>
                <w:color w:val="auto"/>
                <w:kern w:val="21"/>
              </w:rPr>
            </w:pPr>
            <w:r>
              <w:rPr>
                <w:b/>
                <w:bCs/>
                <w:snapToGrid w:val="0"/>
                <w:color w:val="auto"/>
                <w:kern w:val="21"/>
              </w:rPr>
              <w:t>频次</w:t>
            </w:r>
          </w:p>
        </w:tc>
        <w:tc>
          <w:tcPr>
            <w:tcW w:w="994" w:type="pct"/>
            <w:vMerge w:val="restart"/>
            <w:vAlign w:val="center"/>
          </w:tcPr>
          <w:p>
            <w:pPr>
              <w:adjustRightInd w:val="0"/>
              <w:snapToGrid w:val="0"/>
              <w:jc w:val="center"/>
              <w:rPr>
                <w:rFonts w:hint="eastAsia" w:eastAsia="宋体"/>
                <w:b/>
                <w:bCs/>
                <w:snapToGrid w:val="0"/>
                <w:color w:val="auto"/>
                <w:kern w:val="21"/>
                <w:lang w:val="en-US" w:eastAsia="zh-CN"/>
              </w:rPr>
            </w:pPr>
            <w:r>
              <w:rPr>
                <w:b/>
                <w:bCs/>
                <w:snapToGrid w:val="0"/>
                <w:color w:val="auto"/>
                <w:kern w:val="21"/>
              </w:rPr>
              <w:t>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71" w:type="pct"/>
            <w:vMerge w:val="continue"/>
            <w:vAlign w:val="center"/>
          </w:tcPr>
          <w:p>
            <w:pPr>
              <w:adjustRightInd w:val="0"/>
              <w:snapToGrid w:val="0"/>
              <w:jc w:val="center"/>
              <w:rPr>
                <w:snapToGrid w:val="0"/>
                <w:color w:val="auto"/>
                <w:kern w:val="21"/>
              </w:rPr>
            </w:pPr>
          </w:p>
        </w:tc>
        <w:tc>
          <w:tcPr>
            <w:tcW w:w="512" w:type="pct"/>
            <w:vMerge w:val="continue"/>
            <w:vAlign w:val="center"/>
          </w:tcPr>
          <w:p>
            <w:pPr>
              <w:adjustRightInd w:val="0"/>
              <w:snapToGrid w:val="0"/>
              <w:jc w:val="center"/>
              <w:rPr>
                <w:snapToGrid w:val="0"/>
                <w:color w:val="auto"/>
                <w:kern w:val="21"/>
              </w:rPr>
            </w:pPr>
          </w:p>
        </w:tc>
        <w:tc>
          <w:tcPr>
            <w:tcW w:w="553" w:type="pct"/>
            <w:vMerge w:val="continue"/>
            <w:vAlign w:val="center"/>
          </w:tcPr>
          <w:p>
            <w:pPr>
              <w:adjustRightInd w:val="0"/>
              <w:snapToGrid w:val="0"/>
              <w:jc w:val="center"/>
              <w:rPr>
                <w:snapToGrid w:val="0"/>
                <w:color w:val="auto"/>
                <w:kern w:val="21"/>
              </w:rPr>
            </w:pPr>
          </w:p>
        </w:tc>
        <w:tc>
          <w:tcPr>
            <w:tcW w:w="388" w:type="pct"/>
            <w:vMerge w:val="continue"/>
            <w:vAlign w:val="center"/>
          </w:tcPr>
          <w:p>
            <w:pPr>
              <w:adjustRightInd w:val="0"/>
              <w:snapToGrid w:val="0"/>
              <w:jc w:val="center"/>
              <w:rPr>
                <w:snapToGrid w:val="0"/>
                <w:color w:val="auto"/>
                <w:kern w:val="21"/>
              </w:rPr>
            </w:pPr>
          </w:p>
        </w:tc>
        <w:tc>
          <w:tcPr>
            <w:tcW w:w="725" w:type="pct"/>
            <w:vAlign w:val="center"/>
          </w:tcPr>
          <w:p>
            <w:pPr>
              <w:adjustRightInd w:val="0"/>
              <w:snapToGrid w:val="0"/>
              <w:jc w:val="center"/>
              <w:rPr>
                <w:b/>
                <w:bCs/>
                <w:snapToGrid w:val="0"/>
                <w:color w:val="auto"/>
                <w:kern w:val="21"/>
              </w:rPr>
            </w:pPr>
            <w:r>
              <w:rPr>
                <w:b/>
                <w:bCs/>
                <w:snapToGrid w:val="0"/>
                <w:color w:val="auto"/>
                <w:kern w:val="21"/>
              </w:rPr>
              <w:t>操作时间</w:t>
            </w:r>
          </w:p>
        </w:tc>
        <w:tc>
          <w:tcPr>
            <w:tcW w:w="1064" w:type="pct"/>
            <w:vAlign w:val="center"/>
          </w:tcPr>
          <w:p>
            <w:pPr>
              <w:adjustRightInd w:val="0"/>
              <w:snapToGrid w:val="0"/>
              <w:jc w:val="center"/>
              <w:rPr>
                <w:b/>
                <w:bCs/>
                <w:snapToGrid w:val="0"/>
                <w:color w:val="auto"/>
                <w:kern w:val="21"/>
              </w:rPr>
            </w:pPr>
            <w:r>
              <w:rPr>
                <w:b/>
                <w:bCs/>
                <w:snapToGrid w:val="0"/>
                <w:color w:val="auto"/>
                <w:kern w:val="21"/>
              </w:rPr>
              <w:t>槽液主要成分</w:t>
            </w:r>
          </w:p>
        </w:tc>
        <w:tc>
          <w:tcPr>
            <w:tcW w:w="489" w:type="pct"/>
            <w:vMerge w:val="continue"/>
            <w:vAlign w:val="center"/>
          </w:tcPr>
          <w:p>
            <w:pPr>
              <w:adjustRightInd w:val="0"/>
              <w:snapToGrid w:val="0"/>
              <w:jc w:val="center"/>
              <w:rPr>
                <w:snapToGrid w:val="0"/>
                <w:color w:val="auto"/>
                <w:kern w:val="21"/>
              </w:rPr>
            </w:pPr>
          </w:p>
        </w:tc>
        <w:tc>
          <w:tcPr>
            <w:tcW w:w="994" w:type="pct"/>
            <w:vMerge w:val="continue"/>
            <w:vAlign w:val="center"/>
          </w:tcPr>
          <w:p>
            <w:pPr>
              <w:adjustRightInd w:val="0"/>
              <w:snapToGrid w:val="0"/>
              <w:jc w:val="center"/>
              <w:rPr>
                <w:snapToGrid w:val="0"/>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w:t>
            </w:r>
          </w:p>
        </w:tc>
        <w:tc>
          <w:tcPr>
            <w:tcW w:w="512" w:type="pct"/>
            <w:vAlign w:val="center"/>
          </w:tcPr>
          <w:p>
            <w:pPr>
              <w:adjustRightInd w:val="0"/>
              <w:snapToGrid w:val="0"/>
              <w:jc w:val="center"/>
              <w:rPr>
                <w:snapToGrid w:val="0"/>
                <w:color w:val="auto"/>
                <w:kern w:val="21"/>
              </w:rPr>
            </w:pPr>
            <w:r>
              <w:rPr>
                <w:snapToGrid w:val="0"/>
                <w:color w:val="auto"/>
                <w:kern w:val="21"/>
              </w:rPr>
              <w:t>机加工</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rFonts w:hint="eastAsia"/>
                <w:snapToGrid w:val="0"/>
                <w:color w:val="auto"/>
                <w:kern w:val="21"/>
              </w:rPr>
              <w:t>/</w:t>
            </w:r>
          </w:p>
        </w:tc>
        <w:tc>
          <w:tcPr>
            <w:tcW w:w="1064" w:type="pct"/>
            <w:vAlign w:val="center"/>
          </w:tcPr>
          <w:p>
            <w:pPr>
              <w:adjustRightInd w:val="0"/>
              <w:snapToGrid w:val="0"/>
              <w:jc w:val="center"/>
              <w:rPr>
                <w:snapToGrid w:val="0"/>
                <w:color w:val="auto"/>
                <w:kern w:val="21"/>
              </w:rPr>
            </w:pPr>
            <w:r>
              <w:rPr>
                <w:snapToGrid w:val="0"/>
                <w:color w:val="auto"/>
                <w:kern w:val="21"/>
              </w:rPr>
              <w:t>/</w:t>
            </w:r>
          </w:p>
        </w:tc>
        <w:tc>
          <w:tcPr>
            <w:tcW w:w="489" w:type="pct"/>
            <w:vAlign w:val="center"/>
          </w:tcPr>
          <w:p>
            <w:pPr>
              <w:adjustRightInd w:val="0"/>
              <w:snapToGrid w:val="0"/>
              <w:jc w:val="center"/>
              <w:rPr>
                <w:snapToGrid w:val="0"/>
                <w:color w:val="auto"/>
                <w:kern w:val="21"/>
              </w:rPr>
            </w:pPr>
          </w:p>
        </w:tc>
        <w:tc>
          <w:tcPr>
            <w:tcW w:w="994" w:type="pct"/>
            <w:vAlign w:val="center"/>
          </w:tcPr>
          <w:p>
            <w:pPr>
              <w:adjustRightInd w:val="0"/>
              <w:snapToGrid w:val="0"/>
              <w:jc w:val="center"/>
              <w:rPr>
                <w:snapToGrid w:val="0"/>
                <w:color w:val="auto"/>
                <w:kern w:val="21"/>
              </w:rPr>
            </w:pPr>
            <w:r>
              <w:rPr>
                <w:snapToGrid w:val="0"/>
                <w:color w:val="auto"/>
                <w:kern w:val="21"/>
              </w:rPr>
              <w:t>噪声、边角料、焊接烟尘、废机油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2</w:t>
            </w:r>
          </w:p>
        </w:tc>
        <w:tc>
          <w:tcPr>
            <w:tcW w:w="512" w:type="pct"/>
            <w:vAlign w:val="center"/>
          </w:tcPr>
          <w:p>
            <w:pPr>
              <w:adjustRightInd w:val="0"/>
              <w:snapToGrid w:val="0"/>
              <w:jc w:val="center"/>
              <w:rPr>
                <w:snapToGrid w:val="0"/>
                <w:color w:val="auto"/>
                <w:kern w:val="21"/>
              </w:rPr>
            </w:pPr>
            <w:r>
              <w:rPr>
                <w:snapToGrid w:val="0"/>
                <w:color w:val="auto"/>
                <w:kern w:val="21"/>
              </w:rPr>
              <w:t>脱脂</w:t>
            </w:r>
          </w:p>
        </w:tc>
        <w:tc>
          <w:tcPr>
            <w:tcW w:w="553" w:type="pct"/>
            <w:vAlign w:val="center"/>
          </w:tcPr>
          <w:p>
            <w:pPr>
              <w:adjustRightInd w:val="0"/>
              <w:snapToGrid w:val="0"/>
              <w:jc w:val="center"/>
              <w:rPr>
                <w:snapToGrid w:val="0"/>
                <w:color w:val="auto"/>
                <w:kern w:val="21"/>
              </w:rPr>
            </w:pPr>
            <w:r>
              <w:rPr>
                <w:snapToGrid w:val="0"/>
                <w:color w:val="auto"/>
                <w:kern w:val="21"/>
              </w:rPr>
              <w:t>5</w:t>
            </w:r>
            <w:r>
              <w:rPr>
                <w:rFonts w:hint="eastAsia"/>
                <w:snapToGrid w:val="0"/>
                <w:color w:val="auto"/>
                <w:kern w:val="21"/>
              </w:rPr>
              <w:t>0</w:t>
            </w:r>
            <w:r>
              <w:rPr>
                <w:snapToGrid w:val="0"/>
                <w:color w:val="auto"/>
                <w:kern w:val="21"/>
              </w:rPr>
              <w:t>-60</w:t>
            </w:r>
          </w:p>
        </w:tc>
        <w:tc>
          <w:tcPr>
            <w:tcW w:w="388" w:type="pct"/>
            <w:vAlign w:val="center"/>
          </w:tcPr>
          <w:p>
            <w:pPr>
              <w:adjustRightInd w:val="0"/>
              <w:snapToGrid w:val="0"/>
              <w:jc w:val="center"/>
              <w:rPr>
                <w:snapToGrid w:val="0"/>
                <w:color w:val="auto"/>
                <w:kern w:val="21"/>
              </w:rPr>
            </w:pPr>
            <w:r>
              <w:rPr>
                <w:snapToGrid w:val="0"/>
                <w:color w:val="auto"/>
                <w:kern w:val="21"/>
              </w:rPr>
              <w:t>蒸汽加热</w:t>
            </w:r>
          </w:p>
        </w:tc>
        <w:tc>
          <w:tcPr>
            <w:tcW w:w="725" w:type="pct"/>
            <w:vAlign w:val="center"/>
          </w:tcPr>
          <w:p>
            <w:pPr>
              <w:adjustRightInd w:val="0"/>
              <w:snapToGrid w:val="0"/>
              <w:jc w:val="center"/>
              <w:rPr>
                <w:snapToGrid w:val="0"/>
                <w:color w:val="auto"/>
                <w:kern w:val="21"/>
              </w:rPr>
            </w:pPr>
            <w:r>
              <w:rPr>
                <w:snapToGrid w:val="0"/>
                <w:color w:val="auto"/>
                <w:kern w:val="21"/>
              </w:rPr>
              <w:t>1</w:t>
            </w:r>
            <w:r>
              <w:rPr>
                <w:rFonts w:hint="eastAsia"/>
                <w:snapToGrid w:val="0"/>
                <w:color w:val="auto"/>
                <w:kern w:val="21"/>
              </w:rPr>
              <w:t>8</w:t>
            </w:r>
            <w:r>
              <w:rPr>
                <w:snapToGrid w:val="0"/>
                <w:color w:val="auto"/>
                <w:kern w:val="21"/>
              </w:rPr>
              <w:t>0min</w:t>
            </w:r>
          </w:p>
        </w:tc>
        <w:tc>
          <w:tcPr>
            <w:tcW w:w="1064" w:type="pct"/>
            <w:vAlign w:val="center"/>
          </w:tcPr>
          <w:p>
            <w:pPr>
              <w:adjustRightInd w:val="0"/>
              <w:snapToGrid w:val="0"/>
              <w:jc w:val="center"/>
              <w:rPr>
                <w:snapToGrid w:val="0"/>
                <w:color w:val="auto"/>
                <w:kern w:val="21"/>
              </w:rPr>
            </w:pPr>
            <w:r>
              <w:rPr>
                <w:snapToGrid w:val="0"/>
                <w:color w:val="auto"/>
                <w:kern w:val="21"/>
              </w:rPr>
              <w:t>碱性脱脂剂（主要成分为氢氧化钠、碳酸钠、表面活性剂）：50g/L</w:t>
            </w:r>
          </w:p>
        </w:tc>
        <w:tc>
          <w:tcPr>
            <w:tcW w:w="489" w:type="pct"/>
            <w:vAlign w:val="center"/>
          </w:tcPr>
          <w:p>
            <w:pPr>
              <w:adjustRightInd w:val="0"/>
              <w:snapToGrid w:val="0"/>
              <w:jc w:val="center"/>
              <w:rPr>
                <w:snapToGrid w:val="0"/>
                <w:color w:val="auto"/>
                <w:kern w:val="21"/>
              </w:rPr>
            </w:pPr>
            <w:r>
              <w:rPr>
                <w:rFonts w:hint="eastAsia"/>
                <w:snapToGrid w:val="0"/>
                <w:color w:val="auto"/>
                <w:kern w:val="21"/>
              </w:rPr>
              <w:t>60天</w:t>
            </w:r>
          </w:p>
        </w:tc>
        <w:tc>
          <w:tcPr>
            <w:tcW w:w="994" w:type="pct"/>
            <w:vAlign w:val="center"/>
          </w:tcPr>
          <w:p>
            <w:pPr>
              <w:adjustRightInd w:val="0"/>
              <w:snapToGrid w:val="0"/>
              <w:jc w:val="center"/>
              <w:rPr>
                <w:snapToGrid w:val="0"/>
                <w:color w:val="auto"/>
                <w:kern w:val="21"/>
              </w:rPr>
            </w:pPr>
            <w:r>
              <w:rPr>
                <w:snapToGrid w:val="0"/>
                <w:color w:val="auto"/>
                <w:kern w:val="21"/>
              </w:rPr>
              <w:t>含油废水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3</w:t>
            </w:r>
          </w:p>
        </w:tc>
        <w:tc>
          <w:tcPr>
            <w:tcW w:w="512" w:type="pct"/>
            <w:vAlign w:val="center"/>
          </w:tcPr>
          <w:p>
            <w:pPr>
              <w:adjustRightInd w:val="0"/>
              <w:snapToGrid w:val="0"/>
              <w:jc w:val="center"/>
              <w:rPr>
                <w:snapToGrid w:val="0"/>
                <w:color w:val="auto"/>
                <w:kern w:val="21"/>
              </w:rPr>
            </w:pPr>
            <w:r>
              <w:rPr>
                <w:snapToGrid w:val="0"/>
                <w:color w:val="auto"/>
                <w:kern w:val="21"/>
              </w:rPr>
              <w:t>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bookmarkStart w:id="186" w:name="OLE_LINK4"/>
            <w:bookmarkStart w:id="187" w:name="OLE_LINK5"/>
            <w:r>
              <w:rPr>
                <w:snapToGrid w:val="0"/>
                <w:color w:val="auto"/>
                <w:kern w:val="21"/>
              </w:rPr>
              <w:t>纯水</w:t>
            </w:r>
            <w:r>
              <w:rPr>
                <w:rFonts w:hint="eastAsia"/>
                <w:snapToGrid w:val="0"/>
                <w:color w:val="auto"/>
                <w:kern w:val="21"/>
              </w:rPr>
              <w:t>/</w:t>
            </w:r>
            <w:r>
              <w:rPr>
                <w:snapToGrid w:val="0"/>
                <w:color w:val="auto"/>
                <w:kern w:val="21"/>
              </w:rPr>
              <w:t>回用水</w:t>
            </w:r>
            <w:bookmarkEnd w:id="186"/>
            <w:bookmarkEnd w:id="187"/>
          </w:p>
        </w:tc>
        <w:tc>
          <w:tcPr>
            <w:tcW w:w="489" w:type="pct"/>
            <w:vAlign w:val="center"/>
          </w:tcPr>
          <w:p>
            <w:pPr>
              <w:adjustRightInd w:val="0"/>
              <w:snapToGrid w:val="0"/>
              <w:jc w:val="center"/>
              <w:rPr>
                <w:snapToGrid w:val="0"/>
                <w:color w:val="auto"/>
                <w:kern w:val="21"/>
              </w:rPr>
            </w:pPr>
            <w:r>
              <w:rPr>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含油废水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4</w:t>
            </w:r>
          </w:p>
        </w:tc>
        <w:tc>
          <w:tcPr>
            <w:tcW w:w="512" w:type="pct"/>
            <w:vAlign w:val="center"/>
          </w:tcPr>
          <w:p>
            <w:pPr>
              <w:adjustRightInd w:val="0"/>
              <w:snapToGrid w:val="0"/>
              <w:jc w:val="center"/>
              <w:rPr>
                <w:snapToGrid w:val="0"/>
                <w:color w:val="auto"/>
                <w:kern w:val="21"/>
              </w:rPr>
            </w:pPr>
            <w:r>
              <w:rPr>
                <w:snapToGrid w:val="0"/>
                <w:color w:val="auto"/>
                <w:kern w:val="21"/>
              </w:rPr>
              <w:t>酸洗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8-10min</w:t>
            </w:r>
          </w:p>
        </w:tc>
        <w:tc>
          <w:tcPr>
            <w:tcW w:w="1064" w:type="pct"/>
            <w:vAlign w:val="center"/>
          </w:tcPr>
          <w:p>
            <w:pPr>
              <w:adjustRightInd w:val="0"/>
              <w:snapToGrid w:val="0"/>
              <w:jc w:val="center"/>
              <w:rPr>
                <w:snapToGrid w:val="0"/>
                <w:color w:val="auto"/>
                <w:kern w:val="21"/>
              </w:rPr>
            </w:pPr>
            <w:r>
              <w:rPr>
                <w:snapToGrid w:val="0"/>
                <w:color w:val="auto"/>
                <w:kern w:val="21"/>
              </w:rPr>
              <w:t>盐酸：</w:t>
            </w:r>
            <w:r>
              <w:rPr>
                <w:rFonts w:hint="eastAsia"/>
                <w:snapToGrid w:val="0"/>
                <w:color w:val="auto"/>
                <w:kern w:val="21"/>
              </w:rPr>
              <w:t>5%</w:t>
            </w:r>
            <w:r>
              <w:rPr>
                <w:rFonts w:hint="eastAsia"/>
                <w:snapToGrid w:val="0"/>
                <w:color w:val="auto"/>
                <w:kern w:val="21"/>
                <w:lang w:eastAsia="zh-CN"/>
              </w:rPr>
              <w:t>～</w:t>
            </w:r>
            <w:r>
              <w:rPr>
                <w:rFonts w:hint="eastAsia"/>
                <w:snapToGrid w:val="0"/>
                <w:color w:val="auto"/>
                <w:kern w:val="21"/>
              </w:rPr>
              <w:t>8%</w:t>
            </w:r>
          </w:p>
        </w:tc>
        <w:tc>
          <w:tcPr>
            <w:tcW w:w="489" w:type="pct"/>
            <w:vAlign w:val="center"/>
          </w:tcPr>
          <w:p>
            <w:pPr>
              <w:adjustRightInd w:val="0"/>
              <w:snapToGrid w:val="0"/>
              <w:jc w:val="center"/>
              <w:rPr>
                <w:snapToGrid w:val="0"/>
                <w:color w:val="auto"/>
                <w:kern w:val="21"/>
              </w:rPr>
            </w:pPr>
            <w:r>
              <w:rPr>
                <w:rFonts w:hint="eastAsia"/>
                <w:snapToGrid w:val="0"/>
                <w:color w:val="auto"/>
                <w:kern w:val="21"/>
              </w:rPr>
              <w:t>14天</w:t>
            </w:r>
          </w:p>
        </w:tc>
        <w:tc>
          <w:tcPr>
            <w:tcW w:w="994" w:type="pct"/>
            <w:vAlign w:val="center"/>
          </w:tcPr>
          <w:p>
            <w:pPr>
              <w:adjustRightInd w:val="0"/>
              <w:snapToGrid w:val="0"/>
              <w:jc w:val="center"/>
              <w:rPr>
                <w:snapToGrid w:val="0"/>
                <w:color w:val="auto"/>
                <w:kern w:val="21"/>
              </w:rPr>
            </w:pPr>
            <w:r>
              <w:rPr>
                <w:snapToGrid w:val="0"/>
                <w:color w:val="auto"/>
                <w:kern w:val="21"/>
              </w:rPr>
              <w:t>废气：盐酸雾</w:t>
            </w:r>
          </w:p>
          <w:p>
            <w:pPr>
              <w:adjustRightInd w:val="0"/>
              <w:snapToGrid w:val="0"/>
              <w:jc w:val="center"/>
              <w:rPr>
                <w:snapToGrid w:val="0"/>
                <w:color w:val="auto"/>
                <w:kern w:val="21"/>
              </w:rPr>
            </w:pPr>
            <w:r>
              <w:rPr>
                <w:snapToGrid w:val="0"/>
                <w:color w:val="auto"/>
                <w:kern w:val="21"/>
              </w:rPr>
              <w:t>废水：酸性废水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5</w:t>
            </w:r>
          </w:p>
        </w:tc>
        <w:tc>
          <w:tcPr>
            <w:tcW w:w="512" w:type="pct"/>
            <w:vAlign w:val="center"/>
          </w:tcPr>
          <w:p>
            <w:pPr>
              <w:adjustRightInd w:val="0"/>
              <w:snapToGrid w:val="0"/>
              <w:jc w:val="center"/>
              <w:rPr>
                <w:snapToGrid w:val="0"/>
                <w:color w:val="auto"/>
                <w:kern w:val="21"/>
              </w:rPr>
            </w:pPr>
            <w:r>
              <w:rPr>
                <w:snapToGrid w:val="0"/>
                <w:color w:val="auto"/>
                <w:kern w:val="21"/>
              </w:rPr>
              <w:t>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6</w:t>
            </w:r>
          </w:p>
        </w:tc>
        <w:tc>
          <w:tcPr>
            <w:tcW w:w="512" w:type="pct"/>
            <w:vAlign w:val="center"/>
          </w:tcPr>
          <w:p>
            <w:pPr>
              <w:adjustRightInd w:val="0"/>
              <w:snapToGrid w:val="0"/>
              <w:jc w:val="center"/>
              <w:rPr>
                <w:snapToGrid w:val="0"/>
                <w:color w:val="auto"/>
                <w:kern w:val="21"/>
              </w:rPr>
            </w:pPr>
            <w:r>
              <w:rPr>
                <w:snapToGrid w:val="0"/>
                <w:color w:val="auto"/>
                <w:kern w:val="21"/>
              </w:rPr>
              <w:t>酸活化</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4-5min</w:t>
            </w:r>
          </w:p>
        </w:tc>
        <w:tc>
          <w:tcPr>
            <w:tcW w:w="1064" w:type="pct"/>
            <w:vAlign w:val="center"/>
          </w:tcPr>
          <w:p>
            <w:pPr>
              <w:adjustRightInd w:val="0"/>
              <w:snapToGrid w:val="0"/>
              <w:jc w:val="center"/>
              <w:rPr>
                <w:snapToGrid w:val="0"/>
                <w:color w:val="auto"/>
                <w:kern w:val="21"/>
              </w:rPr>
            </w:pPr>
            <w:r>
              <w:rPr>
                <w:rFonts w:hint="eastAsia"/>
                <w:snapToGrid w:val="0"/>
                <w:color w:val="auto"/>
                <w:kern w:val="21"/>
              </w:rPr>
              <w:t>3%</w:t>
            </w:r>
            <w:r>
              <w:rPr>
                <w:snapToGrid w:val="0"/>
                <w:color w:val="auto"/>
                <w:kern w:val="21"/>
              </w:rPr>
              <w:t>硫酸</w:t>
            </w:r>
          </w:p>
        </w:tc>
        <w:tc>
          <w:tcPr>
            <w:tcW w:w="489" w:type="pct"/>
            <w:vAlign w:val="center"/>
          </w:tcPr>
          <w:p>
            <w:pPr>
              <w:adjustRightInd w:val="0"/>
              <w:snapToGrid w:val="0"/>
              <w:jc w:val="center"/>
              <w:rPr>
                <w:snapToGrid w:val="0"/>
                <w:color w:val="auto"/>
                <w:kern w:val="21"/>
              </w:rPr>
            </w:pPr>
            <w:r>
              <w:rPr>
                <w:rFonts w:hint="eastAsia"/>
                <w:snapToGrid w:val="0"/>
                <w:color w:val="auto"/>
                <w:kern w:val="21"/>
              </w:rPr>
              <w:t>14天</w:t>
            </w:r>
          </w:p>
        </w:tc>
        <w:tc>
          <w:tcPr>
            <w:tcW w:w="994" w:type="pct"/>
            <w:vAlign w:val="center"/>
          </w:tcPr>
          <w:p>
            <w:pPr>
              <w:adjustRightInd w:val="0"/>
              <w:snapToGrid w:val="0"/>
              <w:jc w:val="center"/>
              <w:rPr>
                <w:snapToGrid w:val="0"/>
                <w:color w:val="auto"/>
                <w:kern w:val="21"/>
              </w:rPr>
            </w:pPr>
            <w:r>
              <w:rPr>
                <w:snapToGrid w:val="0"/>
                <w:color w:val="auto"/>
                <w:kern w:val="21"/>
              </w:rPr>
              <w:t>废气：硫酸雾</w:t>
            </w:r>
          </w:p>
          <w:p>
            <w:pPr>
              <w:adjustRightInd w:val="0"/>
              <w:snapToGrid w:val="0"/>
              <w:jc w:val="center"/>
              <w:rPr>
                <w:snapToGrid w:val="0"/>
                <w:color w:val="auto"/>
                <w:kern w:val="21"/>
              </w:rPr>
            </w:pPr>
            <w:r>
              <w:rPr>
                <w:snapToGrid w:val="0"/>
                <w:color w:val="auto"/>
                <w:kern w:val="21"/>
              </w:rPr>
              <w:t>废水：酸性废水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7</w:t>
            </w:r>
          </w:p>
        </w:tc>
        <w:tc>
          <w:tcPr>
            <w:tcW w:w="512" w:type="pct"/>
            <w:vAlign w:val="center"/>
          </w:tcPr>
          <w:p>
            <w:pPr>
              <w:adjustRightInd w:val="0"/>
              <w:snapToGrid w:val="0"/>
              <w:jc w:val="center"/>
              <w:rPr>
                <w:snapToGrid w:val="0"/>
                <w:color w:val="auto"/>
                <w:kern w:val="21"/>
              </w:rPr>
            </w:pPr>
            <w:r>
              <w:rPr>
                <w:snapToGrid w:val="0"/>
                <w:color w:val="auto"/>
                <w:kern w:val="21"/>
              </w:rPr>
              <w:t>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酸性废水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8</w:t>
            </w:r>
          </w:p>
        </w:tc>
        <w:tc>
          <w:tcPr>
            <w:tcW w:w="512" w:type="pct"/>
            <w:vAlign w:val="center"/>
          </w:tcPr>
          <w:p>
            <w:pPr>
              <w:adjustRightInd w:val="0"/>
              <w:snapToGrid w:val="0"/>
              <w:jc w:val="center"/>
              <w:rPr>
                <w:snapToGrid w:val="0"/>
                <w:color w:val="auto"/>
                <w:kern w:val="21"/>
              </w:rPr>
            </w:pPr>
            <w:r>
              <w:rPr>
                <w:rFonts w:hint="eastAsia"/>
                <w:snapToGrid w:val="0"/>
                <w:color w:val="auto"/>
                <w:kern w:val="21"/>
              </w:rPr>
              <w:t>镀锌</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110-130min</w:t>
            </w:r>
          </w:p>
        </w:tc>
        <w:tc>
          <w:tcPr>
            <w:tcW w:w="1064" w:type="pct"/>
            <w:vAlign w:val="center"/>
          </w:tcPr>
          <w:p>
            <w:pPr>
              <w:adjustRightInd w:val="0"/>
              <w:snapToGrid w:val="0"/>
              <w:jc w:val="center"/>
              <w:rPr>
                <w:color w:val="auto"/>
                <w:kern w:val="21"/>
              </w:rPr>
            </w:pPr>
            <w:r>
              <w:rPr>
                <w:rFonts w:hint="eastAsia"/>
                <w:color w:val="auto"/>
                <w:kern w:val="21"/>
              </w:rPr>
              <w:t>pH</w:t>
            </w:r>
            <w:r>
              <w:rPr>
                <w:color w:val="auto"/>
                <w:kern w:val="21"/>
              </w:rPr>
              <w:t>：</w:t>
            </w:r>
            <w:r>
              <w:rPr>
                <w:rFonts w:hint="eastAsia"/>
                <w:color w:val="auto"/>
                <w:kern w:val="21"/>
              </w:rPr>
              <w:t>5</w:t>
            </w:r>
            <w:r>
              <w:rPr>
                <w:color w:val="auto"/>
                <w:kern w:val="21"/>
              </w:rPr>
              <w:t>-</w:t>
            </w:r>
            <w:r>
              <w:rPr>
                <w:rFonts w:hint="eastAsia"/>
                <w:color w:val="auto"/>
                <w:kern w:val="21"/>
              </w:rPr>
              <w:t>5.5</w:t>
            </w:r>
          </w:p>
          <w:p>
            <w:pPr>
              <w:adjustRightInd w:val="0"/>
              <w:snapToGrid w:val="0"/>
              <w:jc w:val="center"/>
              <w:rPr>
                <w:color w:val="auto"/>
                <w:kern w:val="21"/>
              </w:rPr>
            </w:pPr>
            <w:r>
              <w:rPr>
                <w:color w:val="auto"/>
                <w:kern w:val="21"/>
              </w:rPr>
              <w:t>氯化钾：250g/L</w:t>
            </w:r>
          </w:p>
          <w:p>
            <w:pPr>
              <w:adjustRightInd w:val="0"/>
              <w:snapToGrid w:val="0"/>
              <w:jc w:val="center"/>
              <w:rPr>
                <w:color w:val="auto"/>
                <w:kern w:val="21"/>
              </w:rPr>
            </w:pPr>
            <w:r>
              <w:rPr>
                <w:color w:val="auto"/>
                <w:kern w:val="21"/>
              </w:rPr>
              <w:t>氯化锌：</w:t>
            </w:r>
            <w:r>
              <w:rPr>
                <w:rFonts w:hint="eastAsia"/>
                <w:color w:val="auto"/>
                <w:kern w:val="21"/>
              </w:rPr>
              <w:t>3</w:t>
            </w:r>
            <w:r>
              <w:rPr>
                <w:color w:val="auto"/>
                <w:kern w:val="21"/>
              </w:rPr>
              <w:t>0g/L</w:t>
            </w:r>
          </w:p>
          <w:p>
            <w:pPr>
              <w:adjustRightInd w:val="0"/>
              <w:snapToGrid w:val="0"/>
              <w:jc w:val="center"/>
              <w:rPr>
                <w:color w:val="auto"/>
                <w:kern w:val="21"/>
              </w:rPr>
            </w:pPr>
            <w:r>
              <w:rPr>
                <w:color w:val="auto"/>
                <w:kern w:val="21"/>
              </w:rPr>
              <w:t>硼酸：40-50g/L</w:t>
            </w:r>
          </w:p>
          <w:p>
            <w:pPr>
              <w:adjustRightInd w:val="0"/>
              <w:snapToGrid w:val="0"/>
              <w:jc w:val="center"/>
              <w:rPr>
                <w:snapToGrid w:val="0"/>
                <w:color w:val="auto"/>
                <w:kern w:val="21"/>
              </w:rPr>
            </w:pPr>
            <w:r>
              <w:rPr>
                <w:rFonts w:hint="eastAsia"/>
                <w:snapToGrid w:val="0"/>
                <w:color w:val="auto"/>
                <w:kern w:val="21"/>
              </w:rPr>
              <w:t>光亮</w:t>
            </w:r>
            <w:r>
              <w:rPr>
                <w:snapToGrid w:val="0"/>
                <w:color w:val="auto"/>
                <w:kern w:val="21"/>
              </w:rPr>
              <w:t>剂：适量</w:t>
            </w:r>
          </w:p>
          <w:p>
            <w:pPr>
              <w:adjustRightInd w:val="0"/>
              <w:snapToGrid w:val="0"/>
              <w:jc w:val="center"/>
              <w:rPr>
                <w:snapToGrid w:val="0"/>
                <w:color w:val="auto"/>
                <w:kern w:val="21"/>
              </w:rPr>
            </w:pPr>
            <w:r>
              <w:rPr>
                <w:rFonts w:hint="eastAsia"/>
                <w:snapToGrid w:val="0"/>
                <w:color w:val="auto"/>
                <w:kern w:val="21"/>
              </w:rPr>
              <w:t>锌板：适量</w:t>
            </w:r>
          </w:p>
        </w:tc>
        <w:tc>
          <w:tcPr>
            <w:tcW w:w="489" w:type="pct"/>
            <w:vAlign w:val="center"/>
          </w:tcPr>
          <w:p>
            <w:pPr>
              <w:jc w:val="center"/>
              <w:rPr>
                <w:snapToGrid w:val="0"/>
                <w:color w:val="auto"/>
                <w:kern w:val="21"/>
              </w:rPr>
            </w:pPr>
            <w:r>
              <w:rPr>
                <w:rFonts w:hint="eastAsia"/>
                <w:snapToGrid w:val="0"/>
                <w:color w:val="auto"/>
                <w:kern w:val="21"/>
              </w:rPr>
              <w:t>/</w:t>
            </w:r>
          </w:p>
        </w:tc>
        <w:tc>
          <w:tcPr>
            <w:tcW w:w="994" w:type="pct"/>
            <w:vAlign w:val="center"/>
          </w:tcPr>
          <w:p>
            <w:pPr>
              <w:adjustRightInd w:val="0"/>
              <w:snapToGrid w:val="0"/>
              <w:jc w:val="center"/>
              <w:rPr>
                <w:snapToGrid w:val="0"/>
                <w:color w:val="auto"/>
                <w:kern w:val="21"/>
              </w:rPr>
            </w:pPr>
            <w:r>
              <w:rPr>
                <w:snapToGrid w:val="0"/>
                <w:color w:val="auto"/>
                <w:kern w:val="21"/>
              </w:rPr>
              <w:t>固废：废槽液、含锌槽渣、废滤芯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9</w:t>
            </w:r>
          </w:p>
        </w:tc>
        <w:tc>
          <w:tcPr>
            <w:tcW w:w="512" w:type="pct"/>
            <w:vAlign w:val="center"/>
          </w:tcPr>
          <w:p>
            <w:pPr>
              <w:adjustRightInd w:val="0"/>
              <w:snapToGrid w:val="0"/>
              <w:jc w:val="center"/>
              <w:rPr>
                <w:snapToGrid w:val="0"/>
                <w:color w:val="auto"/>
                <w:kern w:val="21"/>
              </w:rPr>
            </w:pPr>
            <w:r>
              <w:rPr>
                <w:snapToGrid w:val="0"/>
                <w:color w:val="auto"/>
                <w:kern w:val="21"/>
              </w:rPr>
              <w:t>回收纯水洗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p>
        </w:tc>
        <w:tc>
          <w:tcPr>
            <w:tcW w:w="725" w:type="pct"/>
            <w:vAlign w:val="center"/>
          </w:tcPr>
          <w:p>
            <w:pPr>
              <w:adjustRightInd w:val="0"/>
              <w:snapToGrid w:val="0"/>
              <w:jc w:val="center"/>
              <w:rPr>
                <w:snapToGrid w:val="0"/>
                <w:color w:val="auto"/>
                <w:kern w:val="21"/>
              </w:rPr>
            </w:pPr>
            <w:r>
              <w:rPr>
                <w:snapToGrid w:val="0"/>
                <w:color w:val="auto"/>
                <w:kern w:val="21"/>
              </w:rPr>
              <w:t>3min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含锌废水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10</w:t>
            </w:r>
          </w:p>
        </w:tc>
        <w:tc>
          <w:tcPr>
            <w:tcW w:w="512" w:type="pct"/>
            <w:vAlign w:val="center"/>
          </w:tcPr>
          <w:p>
            <w:pPr>
              <w:adjustRightInd w:val="0"/>
              <w:snapToGrid w:val="0"/>
              <w:jc w:val="center"/>
              <w:rPr>
                <w:snapToGrid w:val="0"/>
                <w:color w:val="auto"/>
                <w:kern w:val="21"/>
              </w:rPr>
            </w:pPr>
            <w:r>
              <w:rPr>
                <w:snapToGrid w:val="0"/>
                <w:color w:val="auto"/>
                <w:kern w:val="21"/>
              </w:rPr>
              <w:t>出光</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3min</w:t>
            </w:r>
          </w:p>
        </w:tc>
        <w:tc>
          <w:tcPr>
            <w:tcW w:w="1064" w:type="pct"/>
            <w:vAlign w:val="center"/>
          </w:tcPr>
          <w:p>
            <w:pPr>
              <w:adjustRightInd w:val="0"/>
              <w:snapToGrid w:val="0"/>
              <w:jc w:val="center"/>
              <w:rPr>
                <w:snapToGrid w:val="0"/>
                <w:color w:val="auto"/>
                <w:kern w:val="21"/>
              </w:rPr>
            </w:pPr>
            <w:r>
              <w:rPr>
                <w:rFonts w:hint="eastAsia"/>
                <w:snapToGrid w:val="0"/>
                <w:color w:val="auto"/>
                <w:kern w:val="21"/>
              </w:rPr>
              <w:t>0.5%稀硫酸</w:t>
            </w:r>
          </w:p>
        </w:tc>
        <w:tc>
          <w:tcPr>
            <w:tcW w:w="489" w:type="pct"/>
            <w:vAlign w:val="center"/>
          </w:tcPr>
          <w:p>
            <w:pPr>
              <w:adjustRightInd w:val="0"/>
              <w:snapToGrid w:val="0"/>
              <w:jc w:val="center"/>
              <w:rPr>
                <w:snapToGrid w:val="0"/>
                <w:color w:val="auto"/>
                <w:kern w:val="21"/>
              </w:rPr>
            </w:pPr>
            <w:r>
              <w:rPr>
                <w:rFonts w:hint="eastAsia"/>
                <w:snapToGrid w:val="0"/>
                <w:color w:val="auto"/>
                <w:kern w:val="21"/>
              </w:rPr>
              <w:t>30天</w:t>
            </w:r>
          </w:p>
        </w:tc>
        <w:tc>
          <w:tcPr>
            <w:tcW w:w="994" w:type="pct"/>
            <w:vAlign w:val="center"/>
          </w:tcPr>
          <w:p>
            <w:pPr>
              <w:adjustRightInd w:val="0"/>
              <w:snapToGrid w:val="0"/>
              <w:jc w:val="center"/>
              <w:rPr>
                <w:snapToGrid w:val="0"/>
                <w:color w:val="auto"/>
                <w:kern w:val="21"/>
              </w:rPr>
            </w:pPr>
            <w:r>
              <w:rPr>
                <w:snapToGrid w:val="0"/>
                <w:color w:val="auto"/>
                <w:kern w:val="21"/>
              </w:rPr>
              <w:t>含锌废水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11</w:t>
            </w:r>
          </w:p>
        </w:tc>
        <w:tc>
          <w:tcPr>
            <w:tcW w:w="512" w:type="pct"/>
            <w:vAlign w:val="center"/>
          </w:tcPr>
          <w:p>
            <w:pPr>
              <w:adjustRightInd w:val="0"/>
              <w:snapToGrid w:val="0"/>
              <w:jc w:val="center"/>
              <w:rPr>
                <w:snapToGrid w:val="0"/>
                <w:color w:val="auto"/>
                <w:kern w:val="21"/>
              </w:rPr>
            </w:pPr>
            <w:r>
              <w:rPr>
                <w:snapToGrid w:val="0"/>
                <w:color w:val="auto"/>
                <w:kern w:val="21"/>
              </w:rPr>
              <w:t>纯水洗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含锌废水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12</w:t>
            </w:r>
          </w:p>
        </w:tc>
        <w:tc>
          <w:tcPr>
            <w:tcW w:w="512" w:type="pct"/>
            <w:vAlign w:val="center"/>
          </w:tcPr>
          <w:p>
            <w:pPr>
              <w:adjustRightInd w:val="0"/>
              <w:snapToGrid w:val="0"/>
              <w:jc w:val="center"/>
              <w:rPr>
                <w:snapToGrid w:val="0"/>
                <w:color w:val="auto"/>
                <w:kern w:val="21"/>
              </w:rPr>
            </w:pPr>
            <w:r>
              <w:rPr>
                <w:snapToGrid w:val="0"/>
                <w:color w:val="auto"/>
                <w:kern w:val="21"/>
              </w:rPr>
              <w:t>钝化</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三价铬钝化剂</w:t>
            </w:r>
          </w:p>
          <w:p>
            <w:pPr>
              <w:adjustRightInd w:val="0"/>
              <w:snapToGrid w:val="0"/>
              <w:jc w:val="center"/>
              <w:rPr>
                <w:snapToGrid w:val="0"/>
                <w:color w:val="auto"/>
                <w:kern w:val="21"/>
              </w:rPr>
            </w:pPr>
            <w:r>
              <w:rPr>
                <w:snapToGrid w:val="0"/>
                <w:color w:val="auto"/>
                <w:kern w:val="21"/>
              </w:rPr>
              <w:t>Cr</w:t>
            </w:r>
            <w:r>
              <w:rPr>
                <w:snapToGrid w:val="0"/>
                <w:color w:val="auto"/>
                <w:kern w:val="21"/>
                <w:vertAlign w:val="subscript"/>
              </w:rPr>
              <w:t>2</w:t>
            </w:r>
            <w:r>
              <w:rPr>
                <w:snapToGrid w:val="0"/>
                <w:color w:val="auto"/>
                <w:kern w:val="21"/>
              </w:rPr>
              <w:t>(S0</w:t>
            </w:r>
            <w:r>
              <w:rPr>
                <w:snapToGrid w:val="0"/>
                <w:color w:val="auto"/>
                <w:kern w:val="21"/>
                <w:vertAlign w:val="subscript"/>
              </w:rPr>
              <w:t>4</w:t>
            </w:r>
            <w:r>
              <w:rPr>
                <w:snapToGrid w:val="0"/>
                <w:color w:val="auto"/>
                <w:kern w:val="21"/>
              </w:rPr>
              <w:t>)</w:t>
            </w:r>
            <w:r>
              <w:rPr>
                <w:snapToGrid w:val="0"/>
                <w:color w:val="auto"/>
                <w:kern w:val="21"/>
                <w:vertAlign w:val="subscript"/>
              </w:rPr>
              <w:t>3</w:t>
            </w:r>
          </w:p>
        </w:tc>
        <w:tc>
          <w:tcPr>
            <w:tcW w:w="489" w:type="pct"/>
            <w:vAlign w:val="center"/>
          </w:tcPr>
          <w:p>
            <w:pPr>
              <w:adjustRightInd w:val="0"/>
              <w:snapToGrid w:val="0"/>
              <w:jc w:val="center"/>
              <w:rPr>
                <w:snapToGrid w:val="0"/>
                <w:color w:val="auto"/>
                <w:kern w:val="21"/>
              </w:rPr>
            </w:pPr>
            <w:r>
              <w:rPr>
                <w:rFonts w:hint="eastAsia"/>
                <w:snapToGrid w:val="0"/>
                <w:color w:val="auto"/>
                <w:kern w:val="21"/>
              </w:rPr>
              <w:t>14天</w:t>
            </w:r>
          </w:p>
        </w:tc>
        <w:tc>
          <w:tcPr>
            <w:tcW w:w="994" w:type="pct"/>
            <w:vAlign w:val="center"/>
          </w:tcPr>
          <w:p>
            <w:pPr>
              <w:adjustRightInd w:val="0"/>
              <w:snapToGrid w:val="0"/>
              <w:jc w:val="center"/>
              <w:rPr>
                <w:snapToGrid w:val="0"/>
                <w:color w:val="auto"/>
                <w:kern w:val="21"/>
              </w:rPr>
            </w:pPr>
            <w:r>
              <w:rPr>
                <w:rFonts w:hint="eastAsia"/>
                <w:snapToGrid w:val="0"/>
                <w:color w:val="auto"/>
                <w:kern w:val="21"/>
              </w:rPr>
              <w:t>废气：铬酸雾</w:t>
            </w:r>
          </w:p>
          <w:p>
            <w:pPr>
              <w:adjustRightInd w:val="0"/>
              <w:snapToGrid w:val="0"/>
              <w:jc w:val="center"/>
              <w:rPr>
                <w:snapToGrid w:val="0"/>
                <w:color w:val="auto"/>
                <w:kern w:val="21"/>
              </w:rPr>
            </w:pPr>
            <w:r>
              <w:rPr>
                <w:snapToGrid w:val="0"/>
                <w:color w:val="auto"/>
                <w:kern w:val="21"/>
              </w:rPr>
              <w:t>废水：含铬槽液</w:t>
            </w:r>
          </w:p>
          <w:p>
            <w:pPr>
              <w:adjustRightInd w:val="0"/>
              <w:snapToGrid w:val="0"/>
              <w:jc w:val="center"/>
              <w:rPr>
                <w:rFonts w:hint="eastAsia" w:eastAsia="宋体"/>
                <w:snapToGrid w:val="0"/>
                <w:color w:val="auto"/>
                <w:kern w:val="21"/>
                <w:lang w:eastAsia="zh-CN"/>
              </w:rPr>
            </w:pPr>
            <w:r>
              <w:rPr>
                <w:snapToGrid w:val="0"/>
                <w:color w:val="auto"/>
                <w:kern w:val="21"/>
              </w:rPr>
              <w:t>固废：含铬槽渣</w:t>
            </w:r>
            <w:r>
              <w:rPr>
                <w:rFonts w:hint="eastAsia"/>
                <w:snapToGrid w:val="0"/>
                <w:color w:val="auto"/>
                <w:kern w:val="21"/>
                <w:lang w:eastAsia="zh-CN"/>
              </w:rPr>
              <w:t>、废滤芯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13</w:t>
            </w:r>
          </w:p>
        </w:tc>
        <w:tc>
          <w:tcPr>
            <w:tcW w:w="512" w:type="pct"/>
            <w:vAlign w:val="center"/>
          </w:tcPr>
          <w:p>
            <w:pPr>
              <w:adjustRightInd w:val="0"/>
              <w:snapToGrid w:val="0"/>
              <w:jc w:val="center"/>
              <w:rPr>
                <w:snapToGrid w:val="0"/>
                <w:color w:val="auto"/>
                <w:kern w:val="21"/>
              </w:rPr>
            </w:pPr>
            <w:r>
              <w:rPr>
                <w:snapToGrid w:val="0"/>
                <w:color w:val="auto"/>
                <w:kern w:val="21"/>
              </w:rPr>
              <w:t>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w:t>
            </w:r>
            <w:r>
              <w:rPr>
                <w:rFonts w:hint="eastAsia"/>
                <w:snapToGrid w:val="0"/>
                <w:color w:val="auto"/>
                <w:kern w:val="21"/>
              </w:rPr>
              <w:t>4</w:t>
            </w:r>
          </w:p>
        </w:tc>
        <w:tc>
          <w:tcPr>
            <w:tcW w:w="512" w:type="pct"/>
            <w:vAlign w:val="center"/>
          </w:tcPr>
          <w:p>
            <w:pPr>
              <w:adjustRightInd w:val="0"/>
              <w:snapToGrid w:val="0"/>
              <w:jc w:val="center"/>
              <w:rPr>
                <w:snapToGrid w:val="0"/>
                <w:color w:val="auto"/>
                <w:kern w:val="21"/>
              </w:rPr>
            </w:pPr>
            <w:r>
              <w:rPr>
                <w:snapToGrid w:val="0"/>
                <w:color w:val="auto"/>
                <w:kern w:val="21"/>
              </w:rPr>
              <w:t>纯水洗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w:t>
            </w:r>
            <w:r>
              <w:rPr>
                <w:rFonts w:hint="eastAsia"/>
                <w:snapToGrid w:val="0"/>
                <w:color w:val="auto"/>
                <w:kern w:val="21"/>
              </w:rPr>
              <w:t>5</w:t>
            </w:r>
          </w:p>
        </w:tc>
        <w:tc>
          <w:tcPr>
            <w:tcW w:w="512" w:type="pct"/>
            <w:vAlign w:val="center"/>
          </w:tcPr>
          <w:p>
            <w:pPr>
              <w:adjustRightInd w:val="0"/>
              <w:snapToGrid w:val="0"/>
              <w:jc w:val="center"/>
              <w:rPr>
                <w:snapToGrid w:val="0"/>
                <w:color w:val="auto"/>
                <w:kern w:val="21"/>
              </w:rPr>
            </w:pPr>
            <w:r>
              <w:rPr>
                <w:snapToGrid w:val="0"/>
                <w:color w:val="auto"/>
                <w:kern w:val="21"/>
              </w:rPr>
              <w:t>封闭</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8min</w:t>
            </w:r>
          </w:p>
        </w:tc>
        <w:tc>
          <w:tcPr>
            <w:tcW w:w="1064" w:type="pct"/>
            <w:vAlign w:val="center"/>
          </w:tcPr>
          <w:p>
            <w:pPr>
              <w:adjustRightInd w:val="0"/>
              <w:snapToGrid w:val="0"/>
              <w:jc w:val="center"/>
              <w:rPr>
                <w:snapToGrid w:val="0"/>
                <w:color w:val="auto"/>
                <w:kern w:val="21"/>
              </w:rPr>
            </w:pPr>
            <w:r>
              <w:rPr>
                <w:rFonts w:hint="eastAsia"/>
                <w:snapToGrid w:val="0"/>
                <w:color w:val="auto"/>
                <w:kern w:val="21"/>
              </w:rPr>
              <w:t>烷氧基醇</w:t>
            </w:r>
            <w:r>
              <w:rPr>
                <w:snapToGrid w:val="0"/>
                <w:color w:val="auto"/>
                <w:kern w:val="21"/>
              </w:rPr>
              <w:t>：1</w:t>
            </w:r>
            <w:r>
              <w:rPr>
                <w:rFonts w:hint="eastAsia"/>
                <w:snapToGrid w:val="0"/>
                <w:color w:val="auto"/>
                <w:kern w:val="21"/>
              </w:rPr>
              <w:t>0</w:t>
            </w:r>
            <w:r>
              <w:rPr>
                <w:snapToGrid w:val="0"/>
                <w:color w:val="auto"/>
                <w:kern w:val="21"/>
              </w:rPr>
              <w:t>mL/L</w:t>
            </w:r>
          </w:p>
        </w:tc>
        <w:tc>
          <w:tcPr>
            <w:tcW w:w="489" w:type="pct"/>
            <w:vAlign w:val="center"/>
          </w:tcPr>
          <w:p>
            <w:pPr>
              <w:adjustRightInd w:val="0"/>
              <w:snapToGrid w:val="0"/>
              <w:jc w:val="center"/>
              <w:rPr>
                <w:snapToGrid w:val="0"/>
                <w:color w:val="auto"/>
                <w:kern w:val="21"/>
              </w:rPr>
            </w:pPr>
            <w:r>
              <w:rPr>
                <w:rFonts w:hint="eastAsia"/>
                <w:snapToGrid w:val="0"/>
                <w:color w:val="auto"/>
                <w:kern w:val="21"/>
              </w:rPr>
              <w:t>20天</w:t>
            </w:r>
          </w:p>
        </w:tc>
        <w:tc>
          <w:tcPr>
            <w:tcW w:w="994"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w:t>
            </w:r>
            <w:r>
              <w:rPr>
                <w:rFonts w:hint="eastAsia"/>
                <w:snapToGrid w:val="0"/>
                <w:color w:val="auto"/>
                <w:kern w:val="21"/>
              </w:rPr>
              <w:t>6</w:t>
            </w:r>
          </w:p>
        </w:tc>
        <w:tc>
          <w:tcPr>
            <w:tcW w:w="512" w:type="pct"/>
            <w:vAlign w:val="center"/>
          </w:tcPr>
          <w:p>
            <w:pPr>
              <w:adjustRightInd w:val="0"/>
              <w:snapToGrid w:val="0"/>
              <w:jc w:val="center"/>
              <w:rPr>
                <w:snapToGrid w:val="0"/>
                <w:color w:val="auto"/>
                <w:kern w:val="21"/>
              </w:rPr>
            </w:pPr>
            <w:r>
              <w:rPr>
                <w:snapToGrid w:val="0"/>
                <w:color w:val="auto"/>
                <w:kern w:val="21"/>
              </w:rPr>
              <w:t>纯水洗</w:t>
            </w:r>
          </w:p>
        </w:tc>
        <w:tc>
          <w:tcPr>
            <w:tcW w:w="553" w:type="pct"/>
            <w:vAlign w:val="center"/>
          </w:tcPr>
          <w:p>
            <w:pPr>
              <w:adjustRightInd w:val="0"/>
              <w:snapToGrid w:val="0"/>
              <w:jc w:val="center"/>
              <w:rPr>
                <w:snapToGrid w:val="0"/>
                <w:color w:val="auto"/>
                <w:kern w:val="21"/>
              </w:rPr>
            </w:pPr>
            <w:r>
              <w:rPr>
                <w:snapToGrid w:val="0"/>
                <w:color w:val="auto"/>
                <w:kern w:val="21"/>
              </w:rPr>
              <w:t>室温</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2min</w:t>
            </w:r>
          </w:p>
        </w:tc>
        <w:tc>
          <w:tcPr>
            <w:tcW w:w="1064" w:type="pct"/>
            <w:vAlign w:val="center"/>
          </w:tcPr>
          <w:p>
            <w:pPr>
              <w:adjustRightInd w:val="0"/>
              <w:snapToGrid w:val="0"/>
              <w:jc w:val="center"/>
              <w:rPr>
                <w:snapToGrid w:val="0"/>
                <w:color w:val="auto"/>
                <w:kern w:val="21"/>
              </w:rPr>
            </w:pPr>
            <w:r>
              <w:rPr>
                <w:snapToGrid w:val="0"/>
                <w:color w:val="auto"/>
                <w:kern w:val="21"/>
              </w:rPr>
              <w:t>纯水</w:t>
            </w:r>
            <w:r>
              <w:rPr>
                <w:rFonts w:hint="eastAsia"/>
                <w:snapToGrid w:val="0"/>
                <w:color w:val="auto"/>
                <w:kern w:val="21"/>
              </w:rPr>
              <w:t>/</w:t>
            </w:r>
            <w:r>
              <w:rPr>
                <w:snapToGrid w:val="0"/>
                <w:color w:val="auto"/>
                <w:kern w:val="21"/>
              </w:rPr>
              <w:t>回用水</w:t>
            </w:r>
          </w:p>
        </w:tc>
        <w:tc>
          <w:tcPr>
            <w:tcW w:w="489" w:type="pct"/>
            <w:vAlign w:val="center"/>
          </w:tcPr>
          <w:p>
            <w:pPr>
              <w:adjustRightInd w:val="0"/>
              <w:snapToGrid w:val="0"/>
              <w:jc w:val="center"/>
              <w:rPr>
                <w:snapToGrid w:val="0"/>
                <w:color w:val="auto"/>
                <w:kern w:val="21"/>
              </w:rPr>
            </w:pPr>
            <w:r>
              <w:rPr>
                <w:rFonts w:hint="eastAsia"/>
                <w:snapToGrid w:val="0"/>
                <w:color w:val="auto"/>
                <w:kern w:val="21"/>
              </w:rPr>
              <w:t>连续</w:t>
            </w:r>
          </w:p>
        </w:tc>
        <w:tc>
          <w:tcPr>
            <w:tcW w:w="994" w:type="pct"/>
            <w:vAlign w:val="center"/>
          </w:tcPr>
          <w:p>
            <w:pPr>
              <w:adjustRightInd w:val="0"/>
              <w:snapToGrid w:val="0"/>
              <w:jc w:val="center"/>
              <w:rPr>
                <w:snapToGrid w:val="0"/>
                <w:color w:val="auto"/>
                <w:kern w:val="21"/>
              </w:rPr>
            </w:pPr>
            <w:r>
              <w:rPr>
                <w:snapToGrid w:val="0"/>
                <w:color w:val="auto"/>
                <w:kern w:val="21"/>
              </w:rPr>
              <w:t>含铬废水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w:t>
            </w:r>
            <w:r>
              <w:rPr>
                <w:rFonts w:hint="eastAsia"/>
                <w:snapToGrid w:val="0"/>
                <w:color w:val="auto"/>
                <w:kern w:val="21"/>
              </w:rPr>
              <w:t>7</w:t>
            </w:r>
          </w:p>
        </w:tc>
        <w:tc>
          <w:tcPr>
            <w:tcW w:w="512" w:type="pct"/>
            <w:vAlign w:val="center"/>
          </w:tcPr>
          <w:p>
            <w:pPr>
              <w:adjustRightInd w:val="0"/>
              <w:snapToGrid w:val="0"/>
              <w:jc w:val="center"/>
              <w:rPr>
                <w:snapToGrid w:val="0"/>
                <w:color w:val="auto"/>
                <w:kern w:val="21"/>
              </w:rPr>
            </w:pPr>
            <w:r>
              <w:rPr>
                <w:snapToGrid w:val="0"/>
                <w:color w:val="auto"/>
                <w:kern w:val="21"/>
              </w:rPr>
              <w:t>烘干</w:t>
            </w:r>
          </w:p>
        </w:tc>
        <w:tc>
          <w:tcPr>
            <w:tcW w:w="553" w:type="pct"/>
            <w:vAlign w:val="center"/>
          </w:tcPr>
          <w:p>
            <w:pPr>
              <w:adjustRightInd w:val="0"/>
              <w:snapToGrid w:val="0"/>
              <w:jc w:val="center"/>
              <w:rPr>
                <w:snapToGrid w:val="0"/>
                <w:color w:val="auto"/>
                <w:kern w:val="21"/>
              </w:rPr>
            </w:pPr>
            <w:r>
              <w:rPr>
                <w:snapToGrid w:val="0"/>
                <w:color w:val="auto"/>
                <w:kern w:val="21"/>
              </w:rPr>
              <w:t>100-120</w:t>
            </w:r>
          </w:p>
        </w:tc>
        <w:tc>
          <w:tcPr>
            <w:tcW w:w="388" w:type="pct"/>
            <w:vAlign w:val="center"/>
          </w:tcPr>
          <w:p>
            <w:pPr>
              <w:adjustRightInd w:val="0"/>
              <w:snapToGrid w:val="0"/>
              <w:jc w:val="center"/>
              <w:rPr>
                <w:snapToGrid w:val="0"/>
                <w:color w:val="auto"/>
                <w:kern w:val="21"/>
              </w:rPr>
            </w:pPr>
            <w:r>
              <w:rPr>
                <w:snapToGrid w:val="0"/>
                <w:color w:val="auto"/>
                <w:kern w:val="21"/>
              </w:rPr>
              <w:t>电加热</w:t>
            </w:r>
          </w:p>
        </w:tc>
        <w:tc>
          <w:tcPr>
            <w:tcW w:w="725" w:type="pct"/>
            <w:vAlign w:val="center"/>
          </w:tcPr>
          <w:p>
            <w:pPr>
              <w:adjustRightInd w:val="0"/>
              <w:snapToGrid w:val="0"/>
              <w:jc w:val="center"/>
              <w:rPr>
                <w:snapToGrid w:val="0"/>
                <w:color w:val="auto"/>
                <w:kern w:val="21"/>
              </w:rPr>
            </w:pPr>
            <w:r>
              <w:rPr>
                <w:snapToGrid w:val="0"/>
                <w:color w:val="auto"/>
                <w:kern w:val="21"/>
              </w:rPr>
              <w:t>20-30min</w:t>
            </w:r>
          </w:p>
        </w:tc>
        <w:tc>
          <w:tcPr>
            <w:tcW w:w="1064" w:type="pct"/>
            <w:vAlign w:val="center"/>
          </w:tcPr>
          <w:p>
            <w:pPr>
              <w:adjustRightInd w:val="0"/>
              <w:snapToGrid w:val="0"/>
              <w:jc w:val="center"/>
              <w:rPr>
                <w:snapToGrid w:val="0"/>
                <w:color w:val="auto"/>
                <w:kern w:val="21"/>
              </w:rPr>
            </w:pPr>
            <w:r>
              <w:rPr>
                <w:snapToGrid w:val="0"/>
                <w:color w:val="auto"/>
                <w:kern w:val="21"/>
              </w:rPr>
              <w:t>/</w:t>
            </w:r>
          </w:p>
        </w:tc>
        <w:tc>
          <w:tcPr>
            <w:tcW w:w="489" w:type="pct"/>
            <w:vAlign w:val="center"/>
          </w:tcPr>
          <w:p>
            <w:pPr>
              <w:adjustRightInd w:val="0"/>
              <w:snapToGrid w:val="0"/>
              <w:jc w:val="center"/>
              <w:rPr>
                <w:snapToGrid w:val="0"/>
                <w:color w:val="auto"/>
                <w:kern w:val="21"/>
              </w:rPr>
            </w:pPr>
            <w:r>
              <w:rPr>
                <w:rFonts w:hint="eastAsia"/>
                <w:snapToGrid w:val="0"/>
                <w:color w:val="auto"/>
                <w:kern w:val="21"/>
              </w:rPr>
              <w:t>/</w:t>
            </w:r>
          </w:p>
        </w:tc>
        <w:tc>
          <w:tcPr>
            <w:tcW w:w="994" w:type="pct"/>
            <w:vAlign w:val="center"/>
          </w:tcPr>
          <w:p>
            <w:pPr>
              <w:adjustRightInd w:val="0"/>
              <w:snapToGrid w:val="0"/>
              <w:jc w:val="center"/>
              <w:rPr>
                <w:snapToGrid w:val="0"/>
                <w:color w:val="auto"/>
                <w:kern w:val="21"/>
              </w:rPr>
            </w:pPr>
            <w:r>
              <w:rPr>
                <w:snapToGrid w:val="0"/>
                <w:color w:val="auto"/>
                <w:kern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 w:type="pct"/>
            <w:vAlign w:val="center"/>
          </w:tcPr>
          <w:p>
            <w:pPr>
              <w:adjustRightInd w:val="0"/>
              <w:snapToGrid w:val="0"/>
              <w:jc w:val="center"/>
              <w:rPr>
                <w:snapToGrid w:val="0"/>
                <w:color w:val="auto"/>
                <w:kern w:val="21"/>
              </w:rPr>
            </w:pPr>
            <w:r>
              <w:rPr>
                <w:snapToGrid w:val="0"/>
                <w:color w:val="auto"/>
                <w:kern w:val="21"/>
              </w:rPr>
              <w:t>1</w:t>
            </w:r>
            <w:r>
              <w:rPr>
                <w:rFonts w:hint="eastAsia"/>
                <w:snapToGrid w:val="0"/>
                <w:color w:val="auto"/>
                <w:kern w:val="21"/>
              </w:rPr>
              <w:t>8</w:t>
            </w:r>
          </w:p>
        </w:tc>
        <w:tc>
          <w:tcPr>
            <w:tcW w:w="512" w:type="pct"/>
            <w:vAlign w:val="center"/>
          </w:tcPr>
          <w:p>
            <w:pPr>
              <w:adjustRightInd w:val="0"/>
              <w:snapToGrid w:val="0"/>
              <w:jc w:val="center"/>
              <w:rPr>
                <w:snapToGrid w:val="0"/>
                <w:color w:val="auto"/>
                <w:kern w:val="21"/>
              </w:rPr>
            </w:pPr>
            <w:r>
              <w:rPr>
                <w:snapToGrid w:val="0"/>
                <w:color w:val="auto"/>
                <w:kern w:val="21"/>
              </w:rPr>
              <w:t>检验</w:t>
            </w:r>
          </w:p>
        </w:tc>
        <w:tc>
          <w:tcPr>
            <w:tcW w:w="553" w:type="pct"/>
            <w:vAlign w:val="center"/>
          </w:tcPr>
          <w:p>
            <w:pPr>
              <w:adjustRightInd w:val="0"/>
              <w:snapToGrid w:val="0"/>
              <w:jc w:val="center"/>
              <w:rPr>
                <w:snapToGrid w:val="0"/>
                <w:color w:val="auto"/>
                <w:kern w:val="21"/>
              </w:rPr>
            </w:pPr>
            <w:r>
              <w:rPr>
                <w:snapToGrid w:val="0"/>
                <w:color w:val="auto"/>
                <w:kern w:val="21"/>
              </w:rPr>
              <w:t>/</w:t>
            </w:r>
          </w:p>
        </w:tc>
        <w:tc>
          <w:tcPr>
            <w:tcW w:w="388" w:type="pct"/>
            <w:vAlign w:val="center"/>
          </w:tcPr>
          <w:p>
            <w:pPr>
              <w:adjustRightInd w:val="0"/>
              <w:snapToGrid w:val="0"/>
              <w:jc w:val="center"/>
              <w:rPr>
                <w:snapToGrid w:val="0"/>
                <w:color w:val="auto"/>
                <w:kern w:val="21"/>
              </w:rPr>
            </w:pPr>
            <w:r>
              <w:rPr>
                <w:snapToGrid w:val="0"/>
                <w:color w:val="auto"/>
                <w:kern w:val="21"/>
              </w:rPr>
              <w:t>/</w:t>
            </w:r>
          </w:p>
        </w:tc>
        <w:tc>
          <w:tcPr>
            <w:tcW w:w="725" w:type="pct"/>
            <w:vAlign w:val="center"/>
          </w:tcPr>
          <w:p>
            <w:pPr>
              <w:adjustRightInd w:val="0"/>
              <w:snapToGrid w:val="0"/>
              <w:jc w:val="center"/>
              <w:rPr>
                <w:snapToGrid w:val="0"/>
                <w:color w:val="auto"/>
                <w:kern w:val="21"/>
              </w:rPr>
            </w:pPr>
            <w:r>
              <w:rPr>
                <w:snapToGrid w:val="0"/>
                <w:color w:val="auto"/>
                <w:kern w:val="21"/>
              </w:rPr>
              <w:t>/</w:t>
            </w:r>
          </w:p>
        </w:tc>
        <w:tc>
          <w:tcPr>
            <w:tcW w:w="1064" w:type="pct"/>
            <w:vAlign w:val="center"/>
          </w:tcPr>
          <w:p>
            <w:pPr>
              <w:adjustRightInd w:val="0"/>
              <w:snapToGrid w:val="0"/>
              <w:jc w:val="center"/>
              <w:rPr>
                <w:snapToGrid w:val="0"/>
                <w:color w:val="auto"/>
                <w:kern w:val="21"/>
              </w:rPr>
            </w:pPr>
            <w:r>
              <w:rPr>
                <w:snapToGrid w:val="0"/>
                <w:color w:val="auto"/>
                <w:kern w:val="21"/>
              </w:rPr>
              <w:t>/</w:t>
            </w:r>
          </w:p>
        </w:tc>
        <w:tc>
          <w:tcPr>
            <w:tcW w:w="489" w:type="pct"/>
            <w:vAlign w:val="center"/>
          </w:tcPr>
          <w:p>
            <w:pPr>
              <w:adjustRightInd w:val="0"/>
              <w:snapToGrid w:val="0"/>
              <w:jc w:val="center"/>
              <w:rPr>
                <w:snapToGrid w:val="0"/>
                <w:color w:val="auto"/>
                <w:kern w:val="21"/>
              </w:rPr>
            </w:pPr>
            <w:r>
              <w:rPr>
                <w:rFonts w:hint="eastAsia"/>
                <w:snapToGrid w:val="0"/>
                <w:color w:val="auto"/>
                <w:kern w:val="21"/>
              </w:rPr>
              <w:t>/</w:t>
            </w:r>
          </w:p>
        </w:tc>
        <w:tc>
          <w:tcPr>
            <w:tcW w:w="994" w:type="pct"/>
            <w:vAlign w:val="center"/>
          </w:tcPr>
          <w:p>
            <w:pPr>
              <w:adjustRightInd w:val="0"/>
              <w:snapToGrid w:val="0"/>
              <w:jc w:val="center"/>
              <w:rPr>
                <w:snapToGrid w:val="0"/>
                <w:color w:val="auto"/>
                <w:kern w:val="21"/>
              </w:rPr>
            </w:pPr>
            <w:r>
              <w:rPr>
                <w:rFonts w:hint="eastAsia"/>
                <w:snapToGrid w:val="0"/>
                <w:color w:val="auto"/>
                <w:kern w:val="21"/>
              </w:rPr>
              <w:t xml:space="preserve"> </w:t>
            </w:r>
            <w:r>
              <w:rPr>
                <w:snapToGrid w:val="0"/>
                <w:color w:val="auto"/>
                <w:kern w:val="21"/>
              </w:rPr>
              <w:t>不合格产品</w:t>
            </w:r>
          </w:p>
        </w:tc>
      </w:tr>
    </w:tbl>
    <w:p>
      <w:pPr>
        <w:adjustRightInd w:val="0"/>
        <w:snapToGrid w:val="0"/>
        <w:spacing w:before="120" w:beforeLines="50" w:line="360" w:lineRule="auto"/>
        <w:ind w:firstLine="482" w:firstLineChars="200"/>
        <w:rPr>
          <w:b/>
          <w:snapToGrid w:val="0"/>
          <w:color w:val="auto"/>
          <w:kern w:val="21"/>
          <w:sz w:val="24"/>
          <w:szCs w:val="24"/>
        </w:rPr>
      </w:pPr>
      <w:r>
        <w:rPr>
          <w:rFonts w:hint="eastAsia"/>
          <w:b/>
          <w:snapToGrid w:val="0"/>
          <w:color w:val="auto"/>
          <w:kern w:val="21"/>
          <w:sz w:val="24"/>
          <w:szCs w:val="24"/>
        </w:rPr>
        <w:t>3、产污环节</w:t>
      </w:r>
    </w:p>
    <w:p>
      <w:pPr>
        <w:adjustRightInd w:val="0"/>
        <w:snapToGrid w:val="0"/>
        <w:spacing w:line="360" w:lineRule="auto"/>
        <w:ind w:firstLine="480" w:firstLineChars="200"/>
        <w:rPr>
          <w:rFonts w:hint="eastAsia" w:eastAsia="宋体"/>
          <w:snapToGrid w:val="0"/>
          <w:color w:val="auto"/>
          <w:kern w:val="21"/>
          <w:sz w:val="24"/>
          <w:szCs w:val="24"/>
          <w:lang w:eastAsia="zh-CN"/>
        </w:rPr>
      </w:pPr>
      <w:r>
        <w:rPr>
          <w:rFonts w:hint="eastAsia"/>
          <w:snapToGrid w:val="0"/>
          <w:color w:val="auto"/>
          <w:kern w:val="21"/>
          <w:sz w:val="24"/>
          <w:szCs w:val="24"/>
          <w:lang w:eastAsia="zh-CN"/>
        </w:rPr>
        <w:t>锂电池箱生产线</w:t>
      </w:r>
      <w:r>
        <w:rPr>
          <w:rFonts w:hint="eastAsia"/>
          <w:snapToGrid w:val="0"/>
          <w:color w:val="auto"/>
          <w:kern w:val="21"/>
          <w:sz w:val="24"/>
          <w:szCs w:val="24"/>
        </w:rPr>
        <w:t>产污环节如下</w:t>
      </w:r>
      <w:r>
        <w:rPr>
          <w:rFonts w:hint="eastAsia"/>
          <w:snapToGrid w:val="0"/>
          <w:color w:val="auto"/>
          <w:kern w:val="21"/>
          <w:sz w:val="24"/>
          <w:szCs w:val="24"/>
          <w:lang w:eastAsia="zh-CN"/>
        </w:rPr>
        <w:t>：</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（1）废气：</w:t>
      </w:r>
      <w:r>
        <w:rPr>
          <w:rFonts w:hint="eastAsia"/>
          <w:snapToGrid w:val="0"/>
          <w:color w:val="auto"/>
          <w:kern w:val="21"/>
          <w:sz w:val="24"/>
          <w:szCs w:val="24"/>
          <w:lang w:eastAsia="zh-CN"/>
        </w:rPr>
        <w:t>生产线</w:t>
      </w:r>
      <w:r>
        <w:rPr>
          <w:rFonts w:hint="eastAsia"/>
          <w:snapToGrid w:val="0"/>
          <w:color w:val="auto"/>
          <w:kern w:val="21"/>
          <w:sz w:val="24"/>
          <w:szCs w:val="24"/>
        </w:rPr>
        <w:t>废气主要有机加工产生的焊接烟尘、酸洗产生的盐酸雾；酸活化及出光工序产生的硫酸雾；钝化产生的铬酸雾。</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（2）废水：</w:t>
      </w:r>
      <w:r>
        <w:rPr>
          <w:rFonts w:hint="eastAsia"/>
          <w:snapToGrid w:val="0"/>
          <w:color w:val="auto"/>
          <w:kern w:val="21"/>
          <w:sz w:val="24"/>
          <w:szCs w:val="24"/>
          <w:lang w:eastAsia="zh-CN"/>
        </w:rPr>
        <w:t>生产线</w:t>
      </w:r>
      <w:r>
        <w:rPr>
          <w:rFonts w:hint="eastAsia"/>
          <w:snapToGrid w:val="0"/>
          <w:color w:val="auto"/>
          <w:kern w:val="21"/>
          <w:sz w:val="24"/>
          <w:szCs w:val="24"/>
        </w:rPr>
        <w:t>废水主要有除油工序产生的含油废水；酸洗工序、酸活化工序产生的酸性废水；镀锌后水洗产生</w:t>
      </w:r>
      <w:r>
        <w:rPr>
          <w:rFonts w:hint="eastAsia"/>
          <w:snapToGrid w:val="0"/>
          <w:color w:val="auto"/>
          <w:kern w:val="21"/>
          <w:sz w:val="24"/>
          <w:szCs w:val="24"/>
          <w:lang w:eastAsia="zh-CN"/>
        </w:rPr>
        <w:t>的</w:t>
      </w:r>
      <w:r>
        <w:rPr>
          <w:rFonts w:hint="eastAsia"/>
          <w:snapToGrid w:val="0"/>
          <w:color w:val="auto"/>
          <w:kern w:val="21"/>
          <w:sz w:val="24"/>
          <w:szCs w:val="24"/>
        </w:rPr>
        <w:t>含锌废水；出光工序产生的含锌废水；钝化工序产生</w:t>
      </w:r>
      <w:r>
        <w:rPr>
          <w:rFonts w:hint="eastAsia"/>
          <w:snapToGrid w:val="0"/>
          <w:color w:val="auto"/>
          <w:kern w:val="21"/>
          <w:sz w:val="24"/>
          <w:szCs w:val="24"/>
          <w:lang w:eastAsia="zh-CN"/>
        </w:rPr>
        <w:t>的含铬废液及</w:t>
      </w:r>
      <w:r>
        <w:rPr>
          <w:rFonts w:hint="eastAsia"/>
          <w:snapToGrid w:val="0"/>
          <w:color w:val="auto"/>
          <w:kern w:val="21"/>
          <w:sz w:val="24"/>
          <w:szCs w:val="24"/>
        </w:rPr>
        <w:t>含铬废水；封闭工序产生的含铬废水。</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（3）噪声：机械设备运行产生的噪声；</w:t>
      </w:r>
    </w:p>
    <w:p>
      <w:pPr>
        <w:adjustRightInd w:val="0"/>
        <w:snapToGrid w:val="0"/>
        <w:spacing w:line="360" w:lineRule="auto"/>
        <w:ind w:firstLine="480" w:firstLineChars="200"/>
        <w:rPr>
          <w:rFonts w:hint="eastAsia"/>
          <w:snapToGrid w:val="0"/>
          <w:color w:val="auto"/>
          <w:kern w:val="21"/>
          <w:sz w:val="24"/>
          <w:szCs w:val="24"/>
        </w:rPr>
      </w:pPr>
      <w:r>
        <w:rPr>
          <w:rFonts w:hint="eastAsia"/>
          <w:snapToGrid w:val="0"/>
          <w:color w:val="auto"/>
          <w:kern w:val="21"/>
          <w:sz w:val="24"/>
          <w:szCs w:val="24"/>
        </w:rPr>
        <w:t>（4）固体废物：</w:t>
      </w:r>
      <w:r>
        <w:rPr>
          <w:rFonts w:hint="eastAsia"/>
          <w:snapToGrid w:val="0"/>
          <w:color w:val="auto"/>
          <w:kern w:val="21"/>
          <w:sz w:val="24"/>
          <w:szCs w:val="24"/>
          <w:lang w:eastAsia="zh-CN"/>
        </w:rPr>
        <w:t>固废</w:t>
      </w:r>
      <w:r>
        <w:rPr>
          <w:rFonts w:hint="eastAsia"/>
          <w:snapToGrid w:val="0"/>
          <w:color w:val="auto"/>
          <w:kern w:val="21"/>
          <w:sz w:val="24"/>
          <w:szCs w:val="24"/>
        </w:rPr>
        <w:t>主要为边角料、不合格镀件、镀锌槽液、含锌废物、含铬废物、气浮池污油、废机油</w:t>
      </w:r>
      <w:bookmarkStart w:id="188" w:name="OLE_LINK2"/>
      <w:r>
        <w:rPr>
          <w:rFonts w:hint="eastAsia"/>
          <w:snapToGrid w:val="0"/>
          <w:color w:val="auto"/>
          <w:kern w:val="21"/>
          <w:sz w:val="24"/>
          <w:szCs w:val="24"/>
        </w:rPr>
        <w:t>、生化处理污泥、废水反渗透膜</w:t>
      </w:r>
      <w:bookmarkEnd w:id="188"/>
      <w:r>
        <w:rPr>
          <w:rFonts w:hint="eastAsia"/>
          <w:snapToGrid w:val="0"/>
          <w:color w:val="auto"/>
          <w:kern w:val="21"/>
          <w:sz w:val="24"/>
          <w:szCs w:val="24"/>
        </w:rPr>
        <w:t>。</w:t>
      </w:r>
    </w:p>
    <w:p>
      <w:pPr>
        <w:pStyle w:val="43"/>
        <w:rPr>
          <w:color w:val="auto"/>
        </w:rPr>
      </w:pPr>
    </w:p>
    <w:p>
      <w:pPr>
        <w:pStyle w:val="271"/>
        <w:keepNext w:val="0"/>
        <w:keepLines w:val="0"/>
        <w:snapToGrid w:val="0"/>
        <w:spacing w:before="0" w:beforeLines="0" w:after="0" w:afterLines="0"/>
        <w:rPr>
          <w:rFonts w:cs="Times New Roman"/>
          <w:color w:val="auto"/>
          <w:kern w:val="21"/>
          <w:sz w:val="28"/>
          <w:szCs w:val="28"/>
        </w:rPr>
      </w:pPr>
      <w:r>
        <w:rPr>
          <w:rFonts w:cs="Times New Roman"/>
          <w:color w:val="auto"/>
          <w:kern w:val="21"/>
          <w:sz w:val="28"/>
          <w:szCs w:val="28"/>
        </w:rPr>
        <w:t>3.3.</w:t>
      </w:r>
      <w:r>
        <w:rPr>
          <w:rFonts w:hint="eastAsia" w:cs="Times New Roman"/>
          <w:color w:val="auto"/>
          <w:kern w:val="21"/>
          <w:sz w:val="28"/>
          <w:szCs w:val="28"/>
        </w:rPr>
        <w:t>3</w:t>
      </w:r>
      <w:r>
        <w:rPr>
          <w:rFonts w:cs="Times New Roman"/>
          <w:color w:val="auto"/>
          <w:kern w:val="21"/>
          <w:sz w:val="28"/>
          <w:szCs w:val="28"/>
        </w:rPr>
        <w:t>制水系统工程流程</w:t>
      </w:r>
    </w:p>
    <w:p>
      <w:pPr>
        <w:adjustRightInd w:val="0"/>
        <w:snapToGrid w:val="0"/>
        <w:spacing w:before="120" w:beforeLines="50" w:line="360" w:lineRule="auto"/>
        <w:ind w:firstLine="482" w:firstLineChars="200"/>
        <w:rPr>
          <w:b/>
          <w:snapToGrid w:val="0"/>
          <w:color w:val="auto"/>
          <w:kern w:val="21"/>
          <w:sz w:val="24"/>
          <w:szCs w:val="24"/>
        </w:rPr>
      </w:pPr>
      <w:r>
        <w:rPr>
          <w:rFonts w:hint="eastAsia"/>
          <w:b/>
          <w:snapToGrid w:val="0"/>
          <w:color w:val="auto"/>
          <w:kern w:val="21"/>
          <w:sz w:val="24"/>
          <w:szCs w:val="24"/>
        </w:rPr>
        <w:t>1、工艺流程简述</w:t>
      </w:r>
    </w:p>
    <w:p>
      <w:pPr>
        <w:pStyle w:val="271"/>
        <w:keepNext w:val="0"/>
        <w:keepLines w:val="0"/>
        <w:snapToGrid w:val="0"/>
        <w:spacing w:before="0" w:beforeLines="0" w:after="0" w:afterLines="0"/>
        <w:ind w:firstLine="480" w:firstLineChars="200"/>
        <w:outlineLvl w:val="9"/>
        <w:rPr>
          <w:rFonts w:eastAsia="宋体" w:cs="Times New Roman"/>
          <w:color w:val="auto"/>
          <w:kern w:val="21"/>
          <w:szCs w:val="24"/>
        </w:rPr>
      </w:pPr>
      <w:r>
        <w:rPr>
          <w:rFonts w:eastAsia="宋体" w:cs="Times New Roman"/>
          <w:color w:val="auto"/>
          <w:kern w:val="21"/>
          <w:szCs w:val="24"/>
        </w:rPr>
        <w:t>本项目采用反渗透工艺（RO工艺）制备纯水，供给燃气锅炉用水、电镀生产线纯水水洗用水。本项目制水工艺采用预处理过滤器、精密过滤器二级前处理，有效除去原水中的悬浮物、泥砂、微粒、有机物等杂质，用反渗透装置去除水中大部分可溶解性盐类物质、细菌、热源及硬度等，使产水电导率小于30μS。</w:t>
      </w:r>
    </w:p>
    <w:p>
      <w:pPr>
        <w:pStyle w:val="271"/>
        <w:keepNext w:val="0"/>
        <w:keepLines w:val="0"/>
        <w:snapToGrid w:val="0"/>
        <w:spacing w:before="0" w:beforeLines="0" w:after="0" w:afterLines="0"/>
        <w:ind w:firstLine="480" w:firstLineChars="200"/>
        <w:outlineLvl w:val="9"/>
        <w:rPr>
          <w:rFonts w:eastAsia="宋体" w:cs="Times New Roman"/>
          <w:color w:val="auto"/>
          <w:kern w:val="21"/>
          <w:szCs w:val="24"/>
        </w:rPr>
      </w:pPr>
      <w:r>
        <w:rPr>
          <w:rFonts w:eastAsia="宋体" w:cs="Times New Roman"/>
          <w:color w:val="auto"/>
          <w:kern w:val="21"/>
          <w:szCs w:val="24"/>
        </w:rPr>
        <w:t>纯水制备工艺流程图见图3.3-</w:t>
      </w:r>
      <w:r>
        <w:rPr>
          <w:rFonts w:hint="eastAsia" w:eastAsia="宋体" w:cs="Times New Roman"/>
          <w:color w:val="auto"/>
          <w:kern w:val="21"/>
          <w:szCs w:val="24"/>
        </w:rPr>
        <w:t>5</w:t>
      </w:r>
      <w:r>
        <w:rPr>
          <w:rFonts w:eastAsia="宋体" w:cs="Times New Roman"/>
          <w:color w:val="auto"/>
          <w:kern w:val="21"/>
          <w:szCs w:val="24"/>
        </w:rPr>
        <w:t>。</w:t>
      </w:r>
    </w:p>
    <w:p>
      <w:pPr>
        <w:pStyle w:val="271"/>
        <w:keepNext w:val="0"/>
        <w:keepLines w:val="0"/>
        <w:snapToGrid w:val="0"/>
        <w:spacing w:before="0" w:beforeLines="0" w:after="0" w:afterLines="0"/>
        <w:jc w:val="center"/>
        <w:outlineLvl w:val="9"/>
        <w:rPr>
          <w:rFonts w:eastAsia="宋体" w:cs="Times New Roman"/>
          <w:color w:val="auto"/>
          <w:kern w:val="21"/>
          <w:szCs w:val="24"/>
        </w:rPr>
      </w:pPr>
      <w:r>
        <w:rPr>
          <w:color w:val="auto"/>
        </w:rPr>
        <w:drawing>
          <wp:inline distT="0" distB="0" distL="0" distR="0">
            <wp:extent cx="5238750" cy="3810000"/>
            <wp:effectExtent l="0" t="0" r="0" b="0"/>
            <wp:docPr id="10" name="图片 9" descr="20171108172829372937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20171108172829372937副本"/>
                    <pic:cNvPicPr>
                      <a:picLocks noChangeAspect="1" noChangeArrowheads="1"/>
                    </pic:cNvPicPr>
                  </pic:nvPicPr>
                  <pic:blipFill>
                    <a:blip r:embed="rId52"/>
                    <a:srcRect/>
                    <a:stretch>
                      <a:fillRect/>
                    </a:stretch>
                  </pic:blipFill>
                  <pic:spPr>
                    <a:xfrm>
                      <a:off x="0" y="0"/>
                      <a:ext cx="5238750" cy="3810000"/>
                    </a:xfrm>
                    <a:prstGeom prst="rect">
                      <a:avLst/>
                    </a:prstGeom>
                    <a:noFill/>
                    <a:ln>
                      <a:noFill/>
                    </a:ln>
                  </pic:spPr>
                </pic:pic>
              </a:graphicData>
            </a:graphic>
          </wp:inline>
        </w:drawing>
      </w:r>
    </w:p>
    <w:p>
      <w:pPr>
        <w:pStyle w:val="271"/>
        <w:keepNext w:val="0"/>
        <w:keepLines w:val="0"/>
        <w:snapToGrid w:val="0"/>
        <w:spacing w:before="0" w:beforeLines="0" w:after="0" w:afterLines="0"/>
        <w:jc w:val="center"/>
        <w:outlineLvl w:val="9"/>
        <w:rPr>
          <w:rFonts w:cs="Times New Roman"/>
          <w:color w:val="auto"/>
          <w:kern w:val="21"/>
          <w:szCs w:val="24"/>
        </w:rPr>
      </w:pPr>
      <w:r>
        <w:rPr>
          <w:rFonts w:cs="Times New Roman"/>
          <w:color w:val="auto"/>
          <w:kern w:val="21"/>
          <w:szCs w:val="24"/>
        </w:rPr>
        <w:t>图3.3-</w:t>
      </w:r>
      <w:r>
        <w:rPr>
          <w:rFonts w:hint="eastAsia" w:cs="Times New Roman"/>
          <w:color w:val="auto"/>
          <w:kern w:val="21"/>
          <w:szCs w:val="24"/>
        </w:rPr>
        <w:t>3</w:t>
      </w:r>
      <w:r>
        <w:rPr>
          <w:rFonts w:cs="Times New Roman"/>
          <w:color w:val="auto"/>
          <w:kern w:val="21"/>
          <w:szCs w:val="24"/>
        </w:rPr>
        <w:t xml:space="preserve">    纯水制备工艺流程图</w:t>
      </w:r>
    </w:p>
    <w:p>
      <w:pPr>
        <w:adjustRightInd w:val="0"/>
        <w:snapToGrid w:val="0"/>
        <w:spacing w:before="120" w:beforeLines="50" w:line="360" w:lineRule="auto"/>
        <w:ind w:firstLine="482" w:firstLineChars="200"/>
        <w:rPr>
          <w:b/>
          <w:snapToGrid w:val="0"/>
          <w:color w:val="auto"/>
          <w:kern w:val="21"/>
          <w:sz w:val="24"/>
          <w:szCs w:val="24"/>
        </w:rPr>
      </w:pPr>
      <w:r>
        <w:rPr>
          <w:rFonts w:hint="eastAsia"/>
          <w:b/>
          <w:snapToGrid w:val="0"/>
          <w:color w:val="auto"/>
          <w:kern w:val="21"/>
          <w:sz w:val="24"/>
          <w:szCs w:val="24"/>
        </w:rPr>
        <w:t>2、产污环节</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纯水制备产污环节</w:t>
      </w:r>
      <w:r>
        <w:rPr>
          <w:rFonts w:hint="eastAsia"/>
          <w:snapToGrid w:val="0"/>
          <w:color w:val="auto"/>
          <w:kern w:val="21"/>
          <w:sz w:val="24"/>
          <w:szCs w:val="24"/>
          <w:lang w:eastAsia="zh-CN"/>
        </w:rPr>
        <w:t>如下：</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（1）废水：反渗透浓水；</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（2）噪声：机械设备运行产生的噪声；</w:t>
      </w:r>
    </w:p>
    <w:p>
      <w:pPr>
        <w:adjustRightInd w:val="0"/>
        <w:snapToGrid w:val="0"/>
        <w:spacing w:line="360" w:lineRule="auto"/>
        <w:ind w:firstLine="480" w:firstLineChars="200"/>
        <w:rPr>
          <w:snapToGrid w:val="0"/>
          <w:color w:val="auto"/>
          <w:kern w:val="21"/>
          <w:sz w:val="24"/>
          <w:szCs w:val="24"/>
        </w:rPr>
      </w:pPr>
      <w:r>
        <w:rPr>
          <w:rFonts w:hint="eastAsia"/>
          <w:snapToGrid w:val="0"/>
          <w:color w:val="auto"/>
          <w:kern w:val="21"/>
          <w:sz w:val="24"/>
          <w:szCs w:val="24"/>
        </w:rPr>
        <w:t>（3）固体废物：废RO膜。</w:t>
      </w:r>
    </w:p>
    <w:p>
      <w:pPr>
        <w:pStyle w:val="271"/>
        <w:keepNext w:val="0"/>
        <w:keepLines w:val="0"/>
        <w:snapToGrid w:val="0"/>
        <w:spacing w:before="0" w:beforeLines="0" w:after="0" w:afterLines="0"/>
        <w:rPr>
          <w:rFonts w:eastAsia="宋体" w:cs="Times New Roman"/>
          <w:b/>
          <w:bCs/>
          <w:color w:val="auto"/>
          <w:kern w:val="21"/>
          <w:szCs w:val="22"/>
          <w:u w:val="single"/>
        </w:rPr>
      </w:pPr>
      <w:r>
        <w:rPr>
          <w:rFonts w:cs="Times New Roman"/>
          <w:b/>
          <w:bCs/>
          <w:color w:val="auto"/>
          <w:kern w:val="21"/>
          <w:sz w:val="28"/>
          <w:szCs w:val="28"/>
          <w:u w:val="single"/>
        </w:rPr>
        <w:t>3.3.</w:t>
      </w:r>
      <w:r>
        <w:rPr>
          <w:rFonts w:hint="eastAsia" w:cs="Times New Roman"/>
          <w:b/>
          <w:bCs/>
          <w:color w:val="auto"/>
          <w:kern w:val="21"/>
          <w:sz w:val="28"/>
          <w:szCs w:val="28"/>
          <w:u w:val="single"/>
        </w:rPr>
        <w:t>4</w:t>
      </w:r>
      <w:r>
        <w:rPr>
          <w:rFonts w:cs="Times New Roman"/>
          <w:b/>
          <w:bCs/>
          <w:color w:val="auto"/>
          <w:kern w:val="21"/>
          <w:sz w:val="28"/>
          <w:szCs w:val="28"/>
          <w:u w:val="single"/>
        </w:rPr>
        <w:t>物料平衡</w:t>
      </w:r>
    </w:p>
    <w:p>
      <w:pPr>
        <w:pStyle w:val="6"/>
        <w:spacing w:before="0" w:after="0" w:line="360" w:lineRule="auto"/>
        <w:rPr>
          <w:b/>
          <w:bCs/>
          <w:color w:val="auto"/>
          <w:sz w:val="24"/>
          <w:szCs w:val="24"/>
          <w:u w:val="single"/>
        </w:rPr>
      </w:pPr>
      <w:r>
        <w:rPr>
          <w:b/>
          <w:bCs/>
          <w:color w:val="auto"/>
          <w:sz w:val="24"/>
          <w:szCs w:val="24"/>
          <w:u w:val="single"/>
        </w:rPr>
        <w:t>3.3.</w:t>
      </w:r>
      <w:r>
        <w:rPr>
          <w:rFonts w:hint="eastAsia"/>
          <w:b/>
          <w:bCs/>
          <w:color w:val="auto"/>
          <w:sz w:val="24"/>
          <w:szCs w:val="24"/>
          <w:u w:val="single"/>
        </w:rPr>
        <w:t>4</w:t>
      </w:r>
      <w:r>
        <w:rPr>
          <w:b/>
          <w:bCs/>
          <w:color w:val="auto"/>
          <w:sz w:val="24"/>
          <w:szCs w:val="24"/>
          <w:u w:val="single"/>
        </w:rPr>
        <w:t>.1镍元素平衡</w:t>
      </w:r>
    </w:p>
    <w:p>
      <w:pPr>
        <w:pStyle w:val="271"/>
        <w:keepNext w:val="0"/>
        <w:keepLines w:val="0"/>
        <w:snapToGrid w:val="0"/>
        <w:spacing w:before="0" w:beforeLines="0" w:after="0" w:afterLines="0"/>
        <w:outlineLvl w:val="9"/>
        <w:rPr>
          <w:rFonts w:eastAsia="宋体" w:cs="Times New Roman"/>
          <w:b/>
          <w:bCs/>
          <w:color w:val="auto"/>
          <w:kern w:val="21"/>
          <w:szCs w:val="24"/>
          <w:u w:val="single"/>
        </w:rPr>
      </w:pPr>
      <w:r>
        <w:rPr>
          <w:rFonts w:hint="eastAsia" w:eastAsia="宋体" w:cs="Times New Roman"/>
          <w:b/>
          <w:bCs/>
          <w:color w:val="auto"/>
          <w:kern w:val="21"/>
          <w:szCs w:val="24"/>
          <w:u w:val="single"/>
        </w:rPr>
        <w:t>1、镀镍面积核算</w:t>
      </w:r>
    </w:p>
    <w:p>
      <w:pPr>
        <w:pStyle w:val="271"/>
        <w:keepNext w:val="0"/>
        <w:keepLines w:val="0"/>
        <w:snapToGrid w:val="0"/>
        <w:spacing w:before="0" w:beforeLines="0" w:after="0" w:afterLines="0"/>
        <w:ind w:firstLine="482" w:firstLineChars="200"/>
        <w:outlineLvl w:val="9"/>
        <w:rPr>
          <w:rFonts w:eastAsia="宋体" w:cs="Times New Roman"/>
          <w:b/>
          <w:bCs/>
          <w:color w:val="auto"/>
          <w:kern w:val="21"/>
          <w:szCs w:val="24"/>
          <w:u w:val="single"/>
        </w:rPr>
      </w:pPr>
      <w:r>
        <w:rPr>
          <w:rFonts w:hint="eastAsia" w:eastAsia="宋体" w:cs="Times New Roman"/>
          <w:b/>
          <w:bCs/>
          <w:color w:val="auto"/>
          <w:kern w:val="21"/>
          <w:szCs w:val="24"/>
          <w:u w:val="single"/>
          <w:lang w:eastAsia="zh-CN"/>
        </w:rPr>
        <w:t>锂电池钢壳及盖帽</w:t>
      </w:r>
      <w:r>
        <w:rPr>
          <w:rFonts w:hint="eastAsia" w:eastAsia="宋体" w:cs="Times New Roman"/>
          <w:b/>
          <w:bCs/>
          <w:color w:val="auto"/>
          <w:kern w:val="21"/>
          <w:szCs w:val="24"/>
          <w:u w:val="single"/>
        </w:rPr>
        <w:t>镀镍面积核算详见下表。</w:t>
      </w:r>
    </w:p>
    <w:p>
      <w:pPr>
        <w:pStyle w:val="271"/>
        <w:keepNext w:val="0"/>
        <w:keepLines w:val="0"/>
        <w:snapToGrid w:val="0"/>
        <w:spacing w:before="0" w:beforeLines="0" w:after="0" w:afterLines="0" w:line="240" w:lineRule="auto"/>
        <w:jc w:val="center"/>
        <w:outlineLvl w:val="9"/>
        <w:rPr>
          <w:rFonts w:hint="eastAsia" w:cs="Times New Roman"/>
          <w:color w:val="auto"/>
          <w:kern w:val="21"/>
          <w:szCs w:val="24"/>
        </w:rPr>
      </w:pPr>
    </w:p>
    <w:p>
      <w:pPr>
        <w:pStyle w:val="271"/>
        <w:keepNext w:val="0"/>
        <w:keepLines w:val="0"/>
        <w:snapToGrid w:val="0"/>
        <w:spacing w:before="0" w:beforeLines="0" w:after="0" w:afterLines="0" w:line="240" w:lineRule="auto"/>
        <w:jc w:val="center"/>
        <w:outlineLvl w:val="9"/>
        <w:rPr>
          <w:rFonts w:hint="eastAsia" w:cs="Times New Roman"/>
          <w:color w:val="auto"/>
          <w:kern w:val="21"/>
          <w:szCs w:val="24"/>
        </w:rPr>
      </w:pPr>
    </w:p>
    <w:p>
      <w:pPr>
        <w:pStyle w:val="271"/>
        <w:keepNext w:val="0"/>
        <w:keepLines w:val="0"/>
        <w:snapToGrid w:val="0"/>
        <w:spacing w:before="0" w:beforeLines="0" w:after="0" w:afterLines="0" w:line="240" w:lineRule="auto"/>
        <w:jc w:val="center"/>
        <w:outlineLvl w:val="9"/>
        <w:rPr>
          <w:rFonts w:hint="eastAsia" w:cs="Times New Roman"/>
          <w:color w:val="auto"/>
          <w:kern w:val="21"/>
          <w:szCs w:val="24"/>
        </w:rPr>
      </w:pPr>
    </w:p>
    <w:p>
      <w:pPr>
        <w:pStyle w:val="271"/>
        <w:keepNext w:val="0"/>
        <w:keepLines w:val="0"/>
        <w:snapToGrid w:val="0"/>
        <w:spacing w:before="0" w:beforeLines="0" w:after="0" w:afterLines="0" w:line="240" w:lineRule="auto"/>
        <w:jc w:val="center"/>
        <w:outlineLvl w:val="9"/>
        <w:rPr>
          <w:rFonts w:hint="eastAsia" w:cs="Times New Roman"/>
          <w:color w:val="auto"/>
          <w:kern w:val="21"/>
          <w:szCs w:val="24"/>
        </w:rPr>
      </w:pPr>
    </w:p>
    <w:p>
      <w:pPr>
        <w:pStyle w:val="271"/>
        <w:keepNext w:val="0"/>
        <w:keepLines w:val="0"/>
        <w:snapToGrid w:val="0"/>
        <w:spacing w:before="0" w:beforeLines="0" w:after="0" w:afterLines="0" w:line="240" w:lineRule="auto"/>
        <w:jc w:val="center"/>
        <w:outlineLvl w:val="9"/>
        <w:rPr>
          <w:rFonts w:hint="eastAsia" w:cs="Times New Roman"/>
          <w:color w:val="auto"/>
          <w:kern w:val="21"/>
          <w:szCs w:val="24"/>
        </w:rPr>
      </w:pP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hint="eastAsia" w:cs="Times New Roman"/>
          <w:color w:val="auto"/>
          <w:kern w:val="21"/>
          <w:szCs w:val="24"/>
        </w:rPr>
        <w:t>表3.3-4  镀镍面积核算一览表</w:t>
      </w:r>
    </w:p>
    <w:tbl>
      <w:tblPr>
        <w:tblStyle w:val="8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608"/>
        <w:gridCol w:w="613"/>
        <w:gridCol w:w="988"/>
        <w:gridCol w:w="1214"/>
        <w:gridCol w:w="609"/>
        <w:gridCol w:w="1266"/>
        <w:gridCol w:w="1265"/>
        <w:gridCol w:w="12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1" w:type="pct"/>
            <w:gridSpan w:val="3"/>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参数</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尺寸</w:t>
            </w:r>
          </w:p>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（mm）</w:t>
            </w:r>
          </w:p>
        </w:tc>
        <w:tc>
          <w:tcPr>
            <w:tcW w:w="692"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表面积</w:t>
            </w:r>
          </w:p>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（m</w:t>
            </w:r>
            <w:r>
              <w:rPr>
                <w:rFonts w:hint="eastAsia" w:eastAsia="宋体" w:cs="Times New Roman"/>
                <w:b/>
                <w:bCs/>
                <w:color w:val="auto"/>
                <w:kern w:val="21"/>
                <w:sz w:val="21"/>
                <w:szCs w:val="21"/>
                <w:vertAlign w:val="superscript"/>
              </w:rPr>
              <w:t>2</w:t>
            </w:r>
            <w:r>
              <w:rPr>
                <w:rFonts w:hint="eastAsia" w:eastAsia="宋体" w:cs="Times New Roman"/>
                <w:b/>
                <w:bCs/>
                <w:color w:val="auto"/>
                <w:kern w:val="21"/>
                <w:sz w:val="21"/>
                <w:szCs w:val="21"/>
              </w:rPr>
              <w:t>）</w:t>
            </w:r>
          </w:p>
        </w:tc>
        <w:tc>
          <w:tcPr>
            <w:tcW w:w="38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镀层</w:t>
            </w:r>
          </w:p>
        </w:tc>
        <w:tc>
          <w:tcPr>
            <w:tcW w:w="692"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数量</w:t>
            </w:r>
          </w:p>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（个）</w:t>
            </w:r>
          </w:p>
        </w:tc>
        <w:tc>
          <w:tcPr>
            <w:tcW w:w="76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镀镍面积（m</w:t>
            </w:r>
            <w:r>
              <w:rPr>
                <w:rFonts w:hint="eastAsia" w:eastAsia="宋体" w:cs="Times New Roman"/>
                <w:b/>
                <w:bCs/>
                <w:color w:val="auto"/>
                <w:kern w:val="21"/>
                <w:sz w:val="21"/>
                <w:szCs w:val="21"/>
                <w:vertAlign w:val="superscript"/>
              </w:rPr>
              <w:t>2</w:t>
            </w:r>
            <w:r>
              <w:rPr>
                <w:rFonts w:hint="eastAsia" w:eastAsia="宋体" w:cs="Times New Roman"/>
                <w:b/>
                <w:bCs/>
                <w:color w:val="auto"/>
                <w:kern w:val="21"/>
                <w:sz w:val="21"/>
                <w:szCs w:val="21"/>
              </w:rPr>
              <w:t>）</w:t>
            </w:r>
          </w:p>
        </w:tc>
        <w:tc>
          <w:tcPr>
            <w:tcW w:w="692"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rPr>
            </w:pPr>
            <w:r>
              <w:rPr>
                <w:rFonts w:hint="eastAsia" w:eastAsia="宋体" w:cs="Times New Roman"/>
                <w:b/>
                <w:bCs/>
                <w:color w:val="auto"/>
                <w:kern w:val="21"/>
                <w:sz w:val="21"/>
                <w:szCs w:val="21"/>
              </w:rPr>
              <w:t>总镀镍面积（m</w:t>
            </w:r>
            <w:r>
              <w:rPr>
                <w:rFonts w:hint="eastAsia" w:eastAsia="宋体" w:cs="Times New Roman"/>
                <w:b/>
                <w:bCs/>
                <w:color w:val="auto"/>
                <w:kern w:val="21"/>
                <w:sz w:val="21"/>
                <w:szCs w:val="21"/>
                <w:vertAlign w:val="superscript"/>
              </w:rPr>
              <w:t>2</w:t>
            </w:r>
            <w:r>
              <w:rPr>
                <w:rFonts w:hint="eastAsia" w:eastAsia="宋体" w:cs="Times New Roman"/>
                <w:b/>
                <w:bCs/>
                <w:color w:val="auto"/>
                <w:kern w:val="2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hint="eastAsia" w:eastAsia="宋体" w:cs="Times New Roman"/>
                <w:color w:val="auto"/>
                <w:kern w:val="21"/>
                <w:sz w:val="21"/>
                <w:szCs w:val="21"/>
                <w:lang w:eastAsia="zh-CN"/>
              </w:rPr>
            </w:pPr>
            <w:r>
              <w:rPr>
                <w:rFonts w:hint="eastAsia" w:eastAsia="宋体" w:cs="Times New Roman"/>
                <w:color w:val="auto"/>
                <w:kern w:val="21"/>
                <w:sz w:val="21"/>
                <w:szCs w:val="21"/>
              </w:rPr>
              <w:t>18650型</w:t>
            </w:r>
            <w:r>
              <w:rPr>
                <w:rFonts w:hint="eastAsia" w:eastAsia="宋体" w:cs="Times New Roman"/>
                <w:color w:val="auto"/>
                <w:kern w:val="21"/>
                <w:sz w:val="21"/>
                <w:szCs w:val="21"/>
                <w:lang w:eastAsia="zh-CN"/>
              </w:rPr>
              <w:t>锂电池</w:t>
            </w:r>
          </w:p>
        </w:tc>
        <w:tc>
          <w:tcPr>
            <w:tcW w:w="383"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钢壳</w:t>
            </w:r>
          </w:p>
        </w:tc>
        <w:tc>
          <w:tcPr>
            <w:tcW w:w="38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直径</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18</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0.00785628</w:t>
            </w:r>
          </w:p>
        </w:tc>
        <w:tc>
          <w:tcPr>
            <w:tcW w:w="384"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3960000000</w:t>
            </w:r>
          </w:p>
        </w:tc>
        <w:tc>
          <w:tcPr>
            <w:tcW w:w="768" w:type="pct"/>
            <w:vMerge w:val="restart"/>
            <w:shd w:val="clear" w:color="auto" w:fill="auto"/>
            <w:vAlign w:val="center"/>
          </w:tcPr>
          <w:p>
            <w:pPr>
              <w:jc w:val="center"/>
              <w:rPr>
                <w:color w:val="auto"/>
              </w:rPr>
            </w:pPr>
            <w:r>
              <w:rPr>
                <w:rFonts w:hint="eastAsia"/>
                <w:color w:val="auto"/>
              </w:rPr>
              <w:t>31110868.8</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33192403.2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3"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高</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65</w:t>
            </w: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3"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盖帽</w:t>
            </w:r>
          </w:p>
        </w:tc>
        <w:tc>
          <w:tcPr>
            <w:tcW w:w="38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直径</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18</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0.00052564</w:t>
            </w:r>
          </w:p>
        </w:tc>
        <w:tc>
          <w:tcPr>
            <w:tcW w:w="384"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3960000000</w:t>
            </w:r>
          </w:p>
        </w:tc>
        <w:tc>
          <w:tcPr>
            <w:tcW w:w="768" w:type="pct"/>
            <w:vMerge w:val="restart"/>
            <w:shd w:val="clear" w:color="auto" w:fill="auto"/>
            <w:vAlign w:val="center"/>
          </w:tcPr>
          <w:p>
            <w:pPr>
              <w:jc w:val="center"/>
              <w:rPr>
                <w:color w:val="auto"/>
              </w:rPr>
            </w:pPr>
            <w:r>
              <w:rPr>
                <w:rFonts w:hint="eastAsia"/>
                <w:color w:val="auto"/>
              </w:rPr>
              <w:t>2081534.4</w:t>
            </w: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3"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高</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0.3</w:t>
            </w: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8" w:type="pct"/>
            <w:vMerge w:val="continue"/>
            <w:shd w:val="clear" w:color="auto" w:fill="auto"/>
            <w:vAlign w:val="center"/>
          </w:tcPr>
          <w:p>
            <w:pPr>
              <w:jc w:val="center"/>
              <w:rPr>
                <w:color w:val="auto"/>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9"/>
            <w:shd w:val="clear" w:color="auto" w:fill="auto"/>
            <w:vAlign w:val="center"/>
          </w:tcPr>
          <w:p>
            <w:pPr>
              <w:pStyle w:val="271"/>
              <w:keepNext w:val="0"/>
              <w:keepLines w:val="0"/>
              <w:snapToGrid w:val="0"/>
              <w:spacing w:before="0" w:beforeLines="0" w:after="0" w:afterLines="0" w:line="240" w:lineRule="auto"/>
              <w:outlineLvl w:val="9"/>
              <w:rPr>
                <w:rFonts w:hint="eastAsia" w:eastAsia="宋体" w:cs="Times New Roman"/>
                <w:color w:val="auto"/>
                <w:kern w:val="21"/>
                <w:sz w:val="21"/>
                <w:szCs w:val="21"/>
                <w:lang w:eastAsia="zh-CN"/>
              </w:rPr>
            </w:pPr>
            <w:r>
              <w:rPr>
                <w:rFonts w:hint="eastAsia" w:eastAsia="宋体" w:cs="Times New Roman"/>
                <w:color w:val="auto"/>
                <w:kern w:val="21"/>
                <w:sz w:val="21"/>
                <w:szCs w:val="21"/>
              </w:rPr>
              <w:t>注：</w:t>
            </w:r>
            <w:r>
              <w:rPr>
                <w:rFonts w:hint="eastAsia" w:eastAsia="宋体" w:cs="Times New Roman"/>
                <w:color w:val="auto"/>
                <w:kern w:val="21"/>
                <w:sz w:val="21"/>
                <w:szCs w:val="21"/>
                <w:lang w:eastAsia="zh-CN"/>
              </w:rPr>
              <w:t>表面积包含钢壳内外全部面积。</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textAlignment w:val="auto"/>
        <w:outlineLvl w:val="9"/>
        <w:rPr>
          <w:rFonts w:eastAsia="宋体" w:cs="Times New Roman"/>
          <w:color w:val="auto"/>
          <w:kern w:val="21"/>
          <w:szCs w:val="24"/>
        </w:rPr>
      </w:pPr>
      <w:r>
        <w:rPr>
          <w:rFonts w:hint="eastAsia" w:eastAsia="宋体" w:cs="Times New Roman"/>
          <w:color w:val="auto"/>
          <w:kern w:val="21"/>
          <w:szCs w:val="24"/>
        </w:rPr>
        <w:t>2、</w:t>
      </w:r>
      <w:r>
        <w:rPr>
          <w:rFonts w:eastAsia="宋体" w:cs="Times New Roman"/>
          <w:color w:val="auto"/>
          <w:kern w:val="21"/>
          <w:szCs w:val="24"/>
        </w:rPr>
        <w:t xml:space="preserve">产品金属镀层的重量 </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cs="Times New Roman"/>
          <w:color w:val="auto"/>
          <w:kern w:val="21"/>
          <w:szCs w:val="24"/>
        </w:rPr>
        <w:t>表3.3-</w:t>
      </w:r>
      <w:r>
        <w:rPr>
          <w:rFonts w:hint="eastAsia" w:cs="Times New Roman"/>
          <w:color w:val="auto"/>
          <w:kern w:val="21"/>
          <w:szCs w:val="24"/>
        </w:rPr>
        <w:t>5</w:t>
      </w:r>
      <w:r>
        <w:rPr>
          <w:rFonts w:cs="Times New Roman"/>
          <w:color w:val="auto"/>
          <w:kern w:val="21"/>
          <w:szCs w:val="24"/>
        </w:rPr>
        <w:t xml:space="preserve">    金属镀层重量计算结果表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6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镀层金属</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比重（g/cm</w:t>
            </w:r>
            <w:r>
              <w:rPr>
                <w:rFonts w:eastAsia="宋体" w:cs="Times New Roman"/>
                <w:color w:val="auto"/>
                <w:kern w:val="21"/>
                <w:sz w:val="21"/>
                <w:szCs w:val="21"/>
                <w:vertAlign w:val="superscript"/>
              </w:rPr>
              <w:t>3</w:t>
            </w:r>
            <w:r>
              <w:rPr>
                <w:rFonts w:eastAsia="宋体" w:cs="Times New Roman"/>
                <w:color w:val="auto"/>
                <w:kern w:val="21"/>
                <w:sz w:val="21"/>
                <w:szCs w:val="21"/>
              </w:rPr>
              <w:t xml:space="preserve">） </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镀层厚度（μm）</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镀镍面积（m</w:t>
            </w:r>
            <w:r>
              <w:rPr>
                <w:rFonts w:eastAsia="宋体" w:cs="Times New Roman"/>
                <w:color w:val="auto"/>
                <w:kern w:val="21"/>
                <w:sz w:val="21"/>
                <w:szCs w:val="21"/>
                <w:vertAlign w:val="superscript"/>
              </w:rPr>
              <w:t>2</w:t>
            </w:r>
            <w:r>
              <w:rPr>
                <w:rFonts w:eastAsia="宋体" w:cs="Times New Roman"/>
                <w:color w:val="auto"/>
                <w:kern w:val="21"/>
                <w:sz w:val="21"/>
                <w:szCs w:val="21"/>
              </w:rPr>
              <w:t>）</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hint="eastAsia" w:eastAsia="宋体" w:cs="Times New Roman"/>
                <w:color w:val="auto"/>
                <w:kern w:val="21"/>
                <w:sz w:val="21"/>
                <w:szCs w:val="21"/>
              </w:rPr>
              <w:t>33192403.2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镀层重量（t/a）</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hint="eastAsia" w:eastAsia="宋体" w:cs="Times New Roman"/>
                <w:color w:val="auto"/>
                <w:kern w:val="21"/>
                <w:sz w:val="21"/>
                <w:szCs w:val="21"/>
              </w:rPr>
              <w:t>738.531</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ind w:firstLine="480" w:firstLineChars="200"/>
        <w:textAlignment w:val="auto"/>
        <w:outlineLvl w:val="9"/>
        <w:rPr>
          <w:rFonts w:eastAsia="宋体" w:cs="Times New Roman"/>
          <w:color w:val="auto"/>
          <w:kern w:val="21"/>
          <w:szCs w:val="24"/>
        </w:rPr>
      </w:pPr>
      <w:r>
        <w:rPr>
          <w:rFonts w:eastAsia="宋体" w:cs="Times New Roman"/>
          <w:color w:val="auto"/>
          <w:kern w:val="21"/>
          <w:szCs w:val="24"/>
        </w:rPr>
        <w:t>依据物料的原始参数及化学成分，对本项目镍进行金属平衡分析。</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cs="Times New Roman"/>
          <w:color w:val="auto"/>
          <w:kern w:val="21"/>
          <w:szCs w:val="24"/>
        </w:rPr>
        <w:t>表3.3-</w:t>
      </w:r>
      <w:r>
        <w:rPr>
          <w:rFonts w:hint="eastAsia" w:cs="Times New Roman"/>
          <w:color w:val="auto"/>
          <w:kern w:val="21"/>
          <w:szCs w:val="24"/>
        </w:rPr>
        <w:t>6</w:t>
      </w:r>
      <w:r>
        <w:rPr>
          <w:rFonts w:cs="Times New Roman"/>
          <w:color w:val="auto"/>
          <w:kern w:val="21"/>
          <w:szCs w:val="24"/>
        </w:rPr>
        <w:t xml:space="preserve"> 重金属/有害元素平衡部分计算参数取值</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975"/>
        <w:gridCol w:w="780"/>
        <w:gridCol w:w="1650"/>
        <w:gridCol w:w="1950"/>
        <w:gridCol w:w="2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Align w:val="center"/>
          </w:tcPr>
          <w:p>
            <w:pPr>
              <w:adjustRightInd w:val="0"/>
              <w:snapToGrid w:val="0"/>
              <w:jc w:val="center"/>
              <w:rPr>
                <w:color w:val="auto"/>
                <w:kern w:val="21"/>
              </w:rPr>
            </w:pPr>
            <w:r>
              <w:rPr>
                <w:color w:val="auto"/>
                <w:kern w:val="21"/>
              </w:rPr>
              <w:t>元素</w:t>
            </w:r>
          </w:p>
        </w:tc>
        <w:tc>
          <w:tcPr>
            <w:tcW w:w="975" w:type="dxa"/>
            <w:vAlign w:val="center"/>
          </w:tcPr>
          <w:p>
            <w:pPr>
              <w:adjustRightInd w:val="0"/>
              <w:snapToGrid w:val="0"/>
              <w:jc w:val="center"/>
              <w:rPr>
                <w:color w:val="auto"/>
                <w:kern w:val="21"/>
              </w:rPr>
            </w:pPr>
            <w:r>
              <w:rPr>
                <w:color w:val="auto"/>
                <w:kern w:val="21"/>
              </w:rPr>
              <w:t>项目</w:t>
            </w:r>
          </w:p>
        </w:tc>
        <w:tc>
          <w:tcPr>
            <w:tcW w:w="780" w:type="dxa"/>
            <w:vAlign w:val="center"/>
          </w:tcPr>
          <w:p>
            <w:pPr>
              <w:adjustRightInd w:val="0"/>
              <w:snapToGrid w:val="0"/>
              <w:jc w:val="center"/>
              <w:rPr>
                <w:color w:val="auto"/>
                <w:kern w:val="21"/>
              </w:rPr>
            </w:pPr>
            <w:r>
              <w:rPr>
                <w:color w:val="auto"/>
                <w:kern w:val="21"/>
              </w:rPr>
              <w:t>单位</w:t>
            </w:r>
          </w:p>
        </w:tc>
        <w:tc>
          <w:tcPr>
            <w:tcW w:w="1650" w:type="dxa"/>
            <w:vAlign w:val="center"/>
          </w:tcPr>
          <w:p>
            <w:pPr>
              <w:adjustRightInd w:val="0"/>
              <w:snapToGrid w:val="0"/>
              <w:jc w:val="center"/>
              <w:rPr>
                <w:color w:val="auto"/>
                <w:kern w:val="21"/>
              </w:rPr>
            </w:pPr>
            <w:r>
              <w:rPr>
                <w:color w:val="auto"/>
                <w:kern w:val="21"/>
              </w:rPr>
              <w:t>金属质量分数</w:t>
            </w:r>
          </w:p>
        </w:tc>
        <w:tc>
          <w:tcPr>
            <w:tcW w:w="1950" w:type="dxa"/>
            <w:vAlign w:val="center"/>
          </w:tcPr>
          <w:p>
            <w:pPr>
              <w:adjustRightInd w:val="0"/>
              <w:snapToGrid w:val="0"/>
              <w:jc w:val="center"/>
              <w:rPr>
                <w:color w:val="auto"/>
                <w:kern w:val="21"/>
              </w:rPr>
            </w:pPr>
            <w:r>
              <w:rPr>
                <w:color w:val="auto"/>
                <w:kern w:val="21"/>
              </w:rPr>
              <w:t>取值来源</w:t>
            </w:r>
          </w:p>
        </w:tc>
        <w:tc>
          <w:tcPr>
            <w:tcW w:w="2122" w:type="dxa"/>
            <w:vAlign w:val="center"/>
          </w:tcPr>
          <w:p>
            <w:pPr>
              <w:adjustRightInd w:val="0"/>
              <w:snapToGrid w:val="0"/>
              <w:jc w:val="center"/>
              <w:rPr>
                <w:color w:val="auto"/>
                <w:kern w:val="21"/>
              </w:rPr>
            </w:pPr>
            <w:r>
              <w:rPr>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restart"/>
            <w:vAlign w:val="center"/>
          </w:tcPr>
          <w:p>
            <w:pPr>
              <w:adjustRightInd w:val="0"/>
              <w:snapToGrid w:val="0"/>
              <w:jc w:val="center"/>
              <w:rPr>
                <w:color w:val="auto"/>
                <w:kern w:val="21"/>
              </w:rPr>
            </w:pPr>
            <w:r>
              <w:rPr>
                <w:color w:val="auto"/>
                <w:kern w:val="21"/>
              </w:rPr>
              <w:t>镍</w:t>
            </w:r>
          </w:p>
        </w:tc>
        <w:tc>
          <w:tcPr>
            <w:tcW w:w="975" w:type="dxa"/>
            <w:vAlign w:val="center"/>
          </w:tcPr>
          <w:p>
            <w:pPr>
              <w:adjustRightInd w:val="0"/>
              <w:snapToGrid w:val="0"/>
              <w:jc w:val="center"/>
              <w:rPr>
                <w:color w:val="auto"/>
                <w:kern w:val="21"/>
              </w:rPr>
            </w:pPr>
            <w:r>
              <w:rPr>
                <w:color w:val="auto"/>
                <w:kern w:val="21"/>
              </w:rPr>
              <w:t>镍板</w:t>
            </w:r>
          </w:p>
        </w:tc>
        <w:tc>
          <w:tcPr>
            <w:tcW w:w="780"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color w:val="auto"/>
                <w:kern w:val="21"/>
              </w:rPr>
              <w:t>99.99</w:t>
            </w:r>
          </w:p>
        </w:tc>
        <w:tc>
          <w:tcPr>
            <w:tcW w:w="1950" w:type="dxa"/>
            <w:vAlign w:val="center"/>
          </w:tcPr>
          <w:p>
            <w:pPr>
              <w:adjustRightInd w:val="0"/>
              <w:snapToGrid w:val="0"/>
              <w:jc w:val="center"/>
              <w:rPr>
                <w:rFonts w:eastAsia="Times New Roman"/>
                <w:color w:val="auto"/>
                <w:kern w:val="21"/>
              </w:rPr>
            </w:pPr>
            <w:r>
              <w:rPr>
                <w:rFonts w:eastAsia="Times New Roman"/>
                <w:color w:val="auto"/>
                <w:kern w:val="21"/>
              </w:rPr>
              <w:t>GB/T5235-2007</w:t>
            </w:r>
          </w:p>
        </w:tc>
        <w:tc>
          <w:tcPr>
            <w:tcW w:w="2122" w:type="dxa"/>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continue"/>
            <w:vAlign w:val="center"/>
          </w:tcPr>
          <w:p>
            <w:pPr>
              <w:adjustRightInd w:val="0"/>
              <w:snapToGrid w:val="0"/>
              <w:jc w:val="center"/>
              <w:rPr>
                <w:color w:val="auto"/>
                <w:kern w:val="21"/>
              </w:rPr>
            </w:pPr>
          </w:p>
        </w:tc>
        <w:tc>
          <w:tcPr>
            <w:tcW w:w="975" w:type="dxa"/>
            <w:vAlign w:val="center"/>
          </w:tcPr>
          <w:p>
            <w:pPr>
              <w:adjustRightInd w:val="0"/>
              <w:snapToGrid w:val="0"/>
              <w:jc w:val="center"/>
              <w:rPr>
                <w:rFonts w:eastAsia="Times New Roman"/>
                <w:color w:val="auto"/>
                <w:kern w:val="21"/>
              </w:rPr>
            </w:pPr>
            <w:r>
              <w:rPr>
                <w:color w:val="auto"/>
                <w:kern w:val="21"/>
              </w:rPr>
              <w:t>硫酸镍</w:t>
            </w:r>
          </w:p>
        </w:tc>
        <w:tc>
          <w:tcPr>
            <w:tcW w:w="780"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rFonts w:eastAsia="Times New Roman"/>
                <w:color w:val="auto"/>
                <w:kern w:val="21"/>
              </w:rPr>
              <w:t>22.33</w:t>
            </w:r>
          </w:p>
        </w:tc>
        <w:tc>
          <w:tcPr>
            <w:tcW w:w="1950" w:type="dxa"/>
            <w:vAlign w:val="center"/>
          </w:tcPr>
          <w:p>
            <w:pPr>
              <w:adjustRightInd w:val="0"/>
              <w:snapToGrid w:val="0"/>
              <w:jc w:val="center"/>
              <w:rPr>
                <w:color w:val="auto"/>
                <w:kern w:val="21"/>
              </w:rPr>
            </w:pPr>
            <w:r>
              <w:rPr>
                <w:color w:val="auto"/>
                <w:kern w:val="21"/>
              </w:rPr>
              <w:t>分子量</w:t>
            </w:r>
            <w:r>
              <w:rPr>
                <w:rFonts w:eastAsia="Times New Roman"/>
                <w:color w:val="auto"/>
                <w:kern w:val="21"/>
              </w:rPr>
              <w:t>262.84</w:t>
            </w:r>
          </w:p>
        </w:tc>
        <w:tc>
          <w:tcPr>
            <w:tcW w:w="2122" w:type="dxa"/>
            <w:vAlign w:val="center"/>
          </w:tcPr>
          <w:p>
            <w:pPr>
              <w:adjustRightInd w:val="0"/>
              <w:snapToGrid w:val="0"/>
              <w:jc w:val="center"/>
              <w:rPr>
                <w:color w:val="auto"/>
                <w:kern w:val="21"/>
              </w:rPr>
            </w:pPr>
            <w:r>
              <w:rPr>
                <w:color w:val="auto"/>
                <w:kern w:val="21"/>
              </w:rPr>
              <w:t>按</w:t>
            </w:r>
            <w:r>
              <w:rPr>
                <w:rFonts w:eastAsia="Times New Roman"/>
                <w:color w:val="auto"/>
                <w:kern w:val="21"/>
              </w:rPr>
              <w:t>NiSO</w:t>
            </w:r>
            <w:r>
              <w:rPr>
                <w:rFonts w:eastAsia="Times New Roman"/>
                <w:color w:val="auto"/>
                <w:kern w:val="21"/>
                <w:sz w:val="14"/>
              </w:rPr>
              <w:t>4</w:t>
            </w:r>
            <w:r>
              <w:rPr>
                <w:rFonts w:eastAsia="Times New Roman"/>
                <w:color w:val="auto"/>
                <w:kern w:val="21"/>
              </w:rPr>
              <w:t>·6H</w:t>
            </w:r>
            <w:r>
              <w:rPr>
                <w:rFonts w:eastAsia="Times New Roman"/>
                <w:color w:val="auto"/>
                <w:kern w:val="21"/>
                <w:sz w:val="14"/>
              </w:rPr>
              <w:t>2</w:t>
            </w:r>
            <w:r>
              <w:rPr>
                <w:rFonts w:eastAsia="Times New Roman"/>
                <w:color w:val="auto"/>
                <w:kern w:val="21"/>
              </w:rPr>
              <w:t>O</w:t>
            </w:r>
            <w:r>
              <w:rPr>
                <w:color w:val="auto"/>
                <w:kern w:val="21"/>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continue"/>
            <w:vAlign w:val="center"/>
          </w:tcPr>
          <w:p>
            <w:pPr>
              <w:adjustRightInd w:val="0"/>
              <w:snapToGrid w:val="0"/>
              <w:jc w:val="center"/>
              <w:rPr>
                <w:color w:val="auto"/>
                <w:kern w:val="21"/>
              </w:rPr>
            </w:pPr>
          </w:p>
        </w:tc>
        <w:tc>
          <w:tcPr>
            <w:tcW w:w="975" w:type="dxa"/>
            <w:vAlign w:val="center"/>
          </w:tcPr>
          <w:p>
            <w:pPr>
              <w:adjustRightInd w:val="0"/>
              <w:snapToGrid w:val="0"/>
              <w:jc w:val="center"/>
              <w:rPr>
                <w:rFonts w:eastAsia="Times New Roman"/>
                <w:color w:val="auto"/>
                <w:kern w:val="21"/>
              </w:rPr>
            </w:pPr>
            <w:r>
              <w:rPr>
                <w:color w:val="auto"/>
                <w:kern w:val="21"/>
              </w:rPr>
              <w:t>氯化镍</w:t>
            </w:r>
          </w:p>
        </w:tc>
        <w:tc>
          <w:tcPr>
            <w:tcW w:w="780"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rFonts w:eastAsia="Times New Roman"/>
                <w:color w:val="auto"/>
                <w:kern w:val="21"/>
              </w:rPr>
              <w:t>24.69</w:t>
            </w:r>
          </w:p>
        </w:tc>
        <w:tc>
          <w:tcPr>
            <w:tcW w:w="1950" w:type="dxa"/>
            <w:vAlign w:val="center"/>
          </w:tcPr>
          <w:p>
            <w:pPr>
              <w:adjustRightInd w:val="0"/>
              <w:snapToGrid w:val="0"/>
              <w:jc w:val="center"/>
              <w:rPr>
                <w:color w:val="auto"/>
                <w:kern w:val="21"/>
              </w:rPr>
            </w:pPr>
            <w:r>
              <w:rPr>
                <w:color w:val="auto"/>
                <w:kern w:val="21"/>
              </w:rPr>
              <w:t>分子量</w:t>
            </w:r>
            <w:r>
              <w:rPr>
                <w:rFonts w:eastAsia="Times New Roman"/>
                <w:color w:val="auto"/>
                <w:kern w:val="21"/>
              </w:rPr>
              <w:t>237.69</w:t>
            </w:r>
          </w:p>
        </w:tc>
        <w:tc>
          <w:tcPr>
            <w:tcW w:w="2122" w:type="dxa"/>
            <w:vAlign w:val="center"/>
          </w:tcPr>
          <w:p>
            <w:pPr>
              <w:adjustRightInd w:val="0"/>
              <w:snapToGrid w:val="0"/>
              <w:jc w:val="center"/>
              <w:rPr>
                <w:rFonts w:eastAsia="Times New Roman"/>
                <w:color w:val="auto"/>
                <w:kern w:val="21"/>
              </w:rPr>
            </w:pPr>
            <w:r>
              <w:rPr>
                <w:color w:val="auto"/>
                <w:kern w:val="21"/>
              </w:rPr>
              <w:t>按</w:t>
            </w:r>
            <w:r>
              <w:rPr>
                <w:rFonts w:eastAsia="Times New Roman"/>
                <w:color w:val="auto"/>
                <w:kern w:val="21"/>
              </w:rPr>
              <w:t>NiCl</w:t>
            </w:r>
            <w:r>
              <w:rPr>
                <w:rFonts w:eastAsia="Times New Roman"/>
                <w:color w:val="auto"/>
                <w:kern w:val="21"/>
                <w:sz w:val="14"/>
              </w:rPr>
              <w:t>2</w:t>
            </w:r>
            <w:r>
              <w:rPr>
                <w:rFonts w:eastAsia="Times New Roman"/>
                <w:color w:val="auto"/>
                <w:kern w:val="21"/>
              </w:rPr>
              <w:t>·6H</w:t>
            </w:r>
            <w:r>
              <w:rPr>
                <w:rFonts w:eastAsia="Times New Roman"/>
                <w:color w:val="auto"/>
                <w:kern w:val="21"/>
                <w:sz w:val="14"/>
              </w:rPr>
              <w:t>2</w:t>
            </w:r>
            <w:r>
              <w:rPr>
                <w:rFonts w:eastAsia="Times New Roman"/>
                <w:color w:val="auto"/>
                <w:kern w:val="21"/>
              </w:rPr>
              <w:t>O</w:t>
            </w:r>
            <w:r>
              <w:rPr>
                <w:color w:val="auto"/>
                <w:kern w:val="21"/>
              </w:rPr>
              <w:t>计</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ind w:firstLine="480" w:firstLineChars="200"/>
        <w:textAlignment w:val="auto"/>
        <w:outlineLvl w:val="9"/>
        <w:rPr>
          <w:rFonts w:eastAsia="宋体" w:cs="Times New Roman"/>
          <w:color w:val="auto"/>
          <w:kern w:val="21"/>
          <w:szCs w:val="24"/>
        </w:rPr>
      </w:pPr>
      <w:r>
        <w:rPr>
          <w:rFonts w:hint="eastAsia" w:eastAsia="宋体" w:cs="Times New Roman"/>
          <w:color w:val="auto"/>
          <w:kern w:val="21"/>
          <w:szCs w:val="24"/>
        </w:rPr>
        <w:t>镀镍涉及到镍的原料主要为镍板、硫酸镍、氯化镍，电镀后镍主要去向为进入镀件产品表面、含镍废水处理产生的含镍污泥、废槽液及蒸发结晶盐、镀镍槽产生的滤渣及废滤芯等</w:t>
      </w:r>
      <w:r>
        <w:rPr>
          <w:rFonts w:eastAsia="宋体" w:cs="Times New Roman"/>
          <w:color w:val="auto"/>
          <w:kern w:val="21"/>
          <w:szCs w:val="24"/>
        </w:rPr>
        <w:t>。本项目镍元素平衡见表3.3-</w:t>
      </w:r>
      <w:r>
        <w:rPr>
          <w:rFonts w:hint="eastAsia" w:eastAsia="宋体" w:cs="Times New Roman"/>
          <w:color w:val="auto"/>
          <w:kern w:val="21"/>
          <w:szCs w:val="24"/>
        </w:rPr>
        <w:t>7</w:t>
      </w:r>
      <w:r>
        <w:rPr>
          <w:rFonts w:eastAsia="宋体" w:cs="Times New Roman"/>
          <w:color w:val="auto"/>
          <w:kern w:val="21"/>
          <w:szCs w:val="24"/>
        </w:rPr>
        <w:t>。</w:t>
      </w: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r>
        <w:rPr>
          <w:rFonts w:cs="Times New Roman"/>
          <w:b/>
          <w:bCs/>
          <w:color w:val="auto"/>
          <w:kern w:val="21"/>
          <w:szCs w:val="24"/>
          <w:u w:val="single"/>
        </w:rPr>
        <w:t>表3.3-</w:t>
      </w:r>
      <w:r>
        <w:rPr>
          <w:rFonts w:hint="eastAsia" w:cs="Times New Roman"/>
          <w:b/>
          <w:bCs/>
          <w:color w:val="auto"/>
          <w:kern w:val="21"/>
          <w:szCs w:val="24"/>
          <w:u w:val="single"/>
        </w:rPr>
        <w:t>7</w:t>
      </w:r>
      <w:r>
        <w:rPr>
          <w:rFonts w:cs="Times New Roman"/>
          <w:b/>
          <w:bCs/>
          <w:color w:val="auto"/>
          <w:kern w:val="21"/>
          <w:szCs w:val="24"/>
          <w:u w:val="single"/>
        </w:rPr>
        <w:t xml:space="preserve">    建设项目镍元素物料平衡表（</w:t>
      </w:r>
      <w:r>
        <w:rPr>
          <w:rFonts w:hint="eastAsia" w:cs="Times New Roman"/>
          <w:b/>
          <w:bCs/>
          <w:color w:val="auto"/>
          <w:kern w:val="21"/>
          <w:szCs w:val="24"/>
          <w:u w:val="single"/>
        </w:rPr>
        <w:t>t</w:t>
      </w:r>
      <w:r>
        <w:rPr>
          <w:rFonts w:cs="Times New Roman"/>
          <w:b/>
          <w:bCs/>
          <w:color w:val="auto"/>
          <w:kern w:val="21"/>
          <w:szCs w:val="24"/>
          <w:u w:val="single"/>
        </w:rPr>
        <w:t>/a）</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7"/>
        <w:gridCol w:w="1050"/>
        <w:gridCol w:w="932"/>
        <w:gridCol w:w="1099"/>
        <w:gridCol w:w="1239"/>
        <w:gridCol w:w="1057"/>
        <w:gridCol w:w="1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54" w:type="pct"/>
            <w:gridSpan w:val="5"/>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投入</w:t>
            </w:r>
          </w:p>
        </w:tc>
        <w:tc>
          <w:tcPr>
            <w:tcW w:w="1346" w:type="pct"/>
            <w:gridSpan w:val="2"/>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物料名称</w:t>
            </w:r>
          </w:p>
        </w:tc>
        <w:tc>
          <w:tcPr>
            <w:tcW w:w="61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投入量</w:t>
            </w:r>
          </w:p>
        </w:tc>
        <w:tc>
          <w:tcPr>
            <w:tcW w:w="54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纯度</w:t>
            </w:r>
          </w:p>
        </w:tc>
        <w:tc>
          <w:tcPr>
            <w:tcW w:w="645"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镍含量</w:t>
            </w:r>
          </w:p>
        </w:tc>
        <w:tc>
          <w:tcPr>
            <w:tcW w:w="72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镍量</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名称</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镍板</w:t>
            </w:r>
          </w:p>
        </w:tc>
        <w:tc>
          <w:tcPr>
            <w:tcW w:w="61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675.706</w:t>
            </w:r>
          </w:p>
        </w:tc>
        <w:tc>
          <w:tcPr>
            <w:tcW w:w="54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w:t>
            </w:r>
          </w:p>
        </w:tc>
        <w:tc>
          <w:tcPr>
            <w:tcW w:w="645"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99.99%</w:t>
            </w:r>
          </w:p>
        </w:tc>
        <w:tc>
          <w:tcPr>
            <w:tcW w:w="72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675.639</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镀层</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738.531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硫酸镍（</w:t>
            </w:r>
            <w:r>
              <w:rPr>
                <w:rFonts w:eastAsia="Times New Roman" w:cs="Times New Roman"/>
                <w:b/>
                <w:bCs/>
                <w:color w:val="auto"/>
                <w:kern w:val="21"/>
                <w:sz w:val="21"/>
                <w:u w:val="single"/>
              </w:rPr>
              <w:t>NiSO</w:t>
            </w:r>
            <w:r>
              <w:rPr>
                <w:rFonts w:eastAsia="Times New Roman" w:cs="Times New Roman"/>
                <w:b/>
                <w:bCs/>
                <w:color w:val="auto"/>
                <w:kern w:val="21"/>
                <w:sz w:val="14"/>
                <w:u w:val="single"/>
              </w:rPr>
              <w:t>4</w:t>
            </w:r>
            <w:r>
              <w:rPr>
                <w:rFonts w:eastAsia="Times New Roman" w:cs="Times New Roman"/>
                <w:b/>
                <w:bCs/>
                <w:color w:val="auto"/>
                <w:kern w:val="21"/>
                <w:sz w:val="21"/>
                <w:u w:val="single"/>
              </w:rPr>
              <w:t>·6H</w:t>
            </w:r>
            <w:r>
              <w:rPr>
                <w:rFonts w:eastAsia="Times New Roman" w:cs="Times New Roman"/>
                <w:b/>
                <w:bCs/>
                <w:color w:val="auto"/>
                <w:kern w:val="21"/>
                <w:sz w:val="14"/>
                <w:u w:val="single"/>
              </w:rPr>
              <w:t>2</w:t>
            </w:r>
            <w:r>
              <w:rPr>
                <w:rFonts w:eastAsia="Times New Roman" w:cs="Times New Roman"/>
                <w:b/>
                <w:bCs/>
                <w:color w:val="auto"/>
                <w:kern w:val="21"/>
                <w:sz w:val="21"/>
                <w:u w:val="single"/>
              </w:rPr>
              <w:t>O</w:t>
            </w:r>
            <w:r>
              <w:rPr>
                <w:rFonts w:eastAsia="宋体" w:cs="Times New Roman"/>
                <w:b/>
                <w:bCs/>
                <w:color w:val="auto"/>
                <w:kern w:val="21"/>
                <w:sz w:val="21"/>
                <w:szCs w:val="21"/>
                <w:u w:val="single"/>
              </w:rPr>
              <w:t>）</w:t>
            </w:r>
          </w:p>
        </w:tc>
        <w:tc>
          <w:tcPr>
            <w:tcW w:w="61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200.307</w:t>
            </w:r>
          </w:p>
        </w:tc>
        <w:tc>
          <w:tcPr>
            <w:tcW w:w="54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98%</w:t>
            </w:r>
          </w:p>
        </w:tc>
        <w:tc>
          <w:tcPr>
            <w:tcW w:w="645"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22.33%</w:t>
            </w:r>
          </w:p>
        </w:tc>
        <w:tc>
          <w:tcPr>
            <w:tcW w:w="72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48.234</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污泥</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7.976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氯化镍（</w:t>
            </w:r>
            <w:r>
              <w:rPr>
                <w:rFonts w:eastAsia="Times New Roman" w:cs="Times New Roman"/>
                <w:b/>
                <w:bCs/>
                <w:color w:val="auto"/>
                <w:kern w:val="21"/>
                <w:sz w:val="21"/>
                <w:u w:val="single"/>
              </w:rPr>
              <w:t>NiCl</w:t>
            </w:r>
            <w:r>
              <w:rPr>
                <w:rFonts w:eastAsia="Times New Roman" w:cs="Times New Roman"/>
                <w:b/>
                <w:bCs/>
                <w:color w:val="auto"/>
                <w:kern w:val="21"/>
                <w:sz w:val="14"/>
                <w:u w:val="single"/>
              </w:rPr>
              <w:t>2</w:t>
            </w:r>
            <w:r>
              <w:rPr>
                <w:rFonts w:eastAsia="Times New Roman" w:cs="Times New Roman"/>
                <w:b/>
                <w:bCs/>
                <w:color w:val="auto"/>
                <w:kern w:val="21"/>
                <w:sz w:val="21"/>
                <w:u w:val="single"/>
              </w:rPr>
              <w:t>·6H</w:t>
            </w:r>
            <w:r>
              <w:rPr>
                <w:rFonts w:eastAsia="Times New Roman" w:cs="Times New Roman"/>
                <w:b/>
                <w:bCs/>
                <w:color w:val="auto"/>
                <w:kern w:val="21"/>
                <w:sz w:val="14"/>
                <w:u w:val="single"/>
              </w:rPr>
              <w:t>2</w:t>
            </w:r>
            <w:r>
              <w:rPr>
                <w:rFonts w:eastAsia="Times New Roman" w:cs="Times New Roman"/>
                <w:b/>
                <w:bCs/>
                <w:color w:val="auto"/>
                <w:kern w:val="21"/>
                <w:sz w:val="21"/>
                <w:u w:val="single"/>
              </w:rPr>
              <w:t>O</w:t>
            </w:r>
            <w:r>
              <w:rPr>
                <w:rFonts w:eastAsia="宋体" w:cs="Times New Roman"/>
                <w:b/>
                <w:bCs/>
                <w:color w:val="auto"/>
                <w:kern w:val="21"/>
                <w:sz w:val="21"/>
                <w:szCs w:val="21"/>
                <w:u w:val="single"/>
              </w:rPr>
              <w:t>）</w:t>
            </w:r>
          </w:p>
        </w:tc>
        <w:tc>
          <w:tcPr>
            <w:tcW w:w="61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109.926</w:t>
            </w:r>
          </w:p>
        </w:tc>
        <w:tc>
          <w:tcPr>
            <w:tcW w:w="54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98%</w:t>
            </w:r>
          </w:p>
        </w:tc>
        <w:tc>
          <w:tcPr>
            <w:tcW w:w="645"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24.69%</w:t>
            </w:r>
          </w:p>
        </w:tc>
        <w:tc>
          <w:tcPr>
            <w:tcW w:w="72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26.598</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废滤芯</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16"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547"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45"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727"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废槽渣</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16"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547"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45"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727"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废槽液</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16"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547"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45"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727"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蒸发结晶</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2.047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1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合计</w:t>
            </w:r>
          </w:p>
        </w:tc>
        <w:tc>
          <w:tcPr>
            <w:tcW w:w="616" w:type="pct"/>
            <w:vAlign w:val="center"/>
          </w:tcPr>
          <w:p>
            <w:pPr>
              <w:adjustRightInd w:val="0"/>
              <w:snapToGrid w:val="0"/>
              <w:jc w:val="center"/>
              <w:rPr>
                <w:b/>
                <w:bCs/>
                <w:color w:val="auto"/>
                <w:kern w:val="21"/>
                <w:u w:val="single"/>
              </w:rPr>
            </w:pPr>
            <w:r>
              <w:rPr>
                <w:b/>
                <w:bCs/>
                <w:color w:val="auto"/>
                <w:kern w:val="21"/>
                <w:u w:val="single"/>
              </w:rPr>
              <w:t>/</w:t>
            </w:r>
          </w:p>
        </w:tc>
        <w:tc>
          <w:tcPr>
            <w:tcW w:w="547" w:type="pct"/>
            <w:vAlign w:val="center"/>
          </w:tcPr>
          <w:p>
            <w:pPr>
              <w:adjustRightInd w:val="0"/>
              <w:snapToGrid w:val="0"/>
              <w:jc w:val="center"/>
              <w:rPr>
                <w:b/>
                <w:bCs/>
                <w:color w:val="auto"/>
                <w:kern w:val="21"/>
                <w:u w:val="single"/>
              </w:rPr>
            </w:pPr>
            <w:r>
              <w:rPr>
                <w:b/>
                <w:bCs/>
                <w:color w:val="auto"/>
                <w:kern w:val="21"/>
                <w:u w:val="single"/>
              </w:rPr>
              <w:t>/</w:t>
            </w:r>
          </w:p>
        </w:tc>
        <w:tc>
          <w:tcPr>
            <w:tcW w:w="645" w:type="pct"/>
            <w:vAlign w:val="center"/>
          </w:tcPr>
          <w:p>
            <w:pPr>
              <w:adjustRightInd w:val="0"/>
              <w:snapToGrid w:val="0"/>
              <w:jc w:val="center"/>
              <w:rPr>
                <w:b/>
                <w:bCs/>
                <w:color w:val="auto"/>
                <w:kern w:val="21"/>
                <w:u w:val="single"/>
              </w:rPr>
            </w:pPr>
            <w:r>
              <w:rPr>
                <w:b/>
                <w:bCs/>
                <w:color w:val="auto"/>
                <w:kern w:val="21"/>
                <w:u w:val="single"/>
              </w:rPr>
              <w:t>/</w:t>
            </w:r>
          </w:p>
        </w:tc>
        <w:tc>
          <w:tcPr>
            <w:tcW w:w="727"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750.471</w:t>
            </w:r>
          </w:p>
        </w:tc>
        <w:tc>
          <w:tcPr>
            <w:tcW w:w="62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w:t>
            </w:r>
          </w:p>
        </w:tc>
        <w:tc>
          <w:tcPr>
            <w:tcW w:w="726"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750.471</w:t>
            </w:r>
          </w:p>
        </w:tc>
      </w:tr>
    </w:tbl>
    <w:p>
      <w:pPr>
        <w:pStyle w:val="271"/>
        <w:keepNext w:val="0"/>
        <w:keepLines w:val="0"/>
        <w:snapToGrid w:val="0"/>
        <w:spacing w:before="0" w:beforeLines="0" w:after="0" w:afterLines="0"/>
        <w:outlineLvl w:val="9"/>
        <w:rPr>
          <w:rFonts w:eastAsia="宋体" w:cs="Times New Roman"/>
          <w:color w:val="auto"/>
          <w:kern w:val="21"/>
          <w:szCs w:val="24"/>
        </w:rPr>
      </w:pPr>
      <w:r>
        <w:rPr>
          <w:rFonts w:eastAsia="宋体" w:cs="Times New Roman"/>
          <w:color w:val="auto"/>
          <w:kern w:val="21"/>
          <w:szCs w:val="24"/>
        </w:rPr>
        <mc:AlternateContent>
          <mc:Choice Requires="wpc">
            <w:drawing>
              <wp:inline distT="0" distB="0" distL="0" distR="0">
                <wp:extent cx="5689600" cy="2918460"/>
                <wp:effectExtent l="0" t="0" r="0" b="0"/>
                <wp:docPr id="1578" name="画布 15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64" name="Rectangle 1563"/>
                        <wps:cNvSpPr>
                          <a:spLocks noChangeArrowheads="1"/>
                        </wps:cNvSpPr>
                        <wps:spPr bwMode="auto">
                          <a:xfrm>
                            <a:off x="2040890" y="1158875"/>
                            <a:ext cx="483235" cy="1468755"/>
                          </a:xfrm>
                          <a:prstGeom prst="rect">
                            <a:avLst/>
                          </a:prstGeom>
                          <a:solidFill>
                            <a:srgbClr val="FFFFFF"/>
                          </a:solidFill>
                          <a:ln w="9525" algn="ctr">
                            <a:solidFill>
                              <a:srgbClr val="000000"/>
                            </a:solidFill>
                            <a:miter lim="800000"/>
                          </a:ln>
                          <a:effectLst/>
                        </wps:spPr>
                        <wps:txbx>
                          <w:txbxContent>
                            <w:p>
                              <w:pPr>
                                <w:rPr>
                                  <w:sz w:val="32"/>
                                </w:rPr>
                              </w:pPr>
                              <w:r>
                                <w:rPr>
                                  <w:sz w:val="32"/>
                                </w:rPr>
                                <w:t>镀镍工序</w:t>
                              </w:r>
                            </w:p>
                          </w:txbxContent>
                        </wps:txbx>
                        <wps:bodyPr rot="0" vert="horz" wrap="square" lIns="126000" tIns="226800" rIns="91440" bIns="45720" anchor="t" anchorCtr="0" upright="1">
                          <a:noAutofit/>
                        </wps:bodyPr>
                      </wps:wsp>
                      <wps:wsp>
                        <wps:cNvPr id="465" name="Rectangle 1564"/>
                        <wps:cNvSpPr>
                          <a:spLocks noChangeArrowheads="1"/>
                        </wps:cNvSpPr>
                        <wps:spPr bwMode="auto">
                          <a:xfrm>
                            <a:off x="123190" y="1128395"/>
                            <a:ext cx="760730" cy="318135"/>
                          </a:xfrm>
                          <a:prstGeom prst="rect">
                            <a:avLst/>
                          </a:prstGeom>
                          <a:solidFill>
                            <a:srgbClr val="FFFFFF"/>
                          </a:solidFill>
                          <a:ln w="9525" algn="ctr">
                            <a:solidFill>
                              <a:srgbClr val="000000"/>
                            </a:solidFill>
                            <a:miter lim="800000"/>
                          </a:ln>
                          <a:effectLst/>
                        </wps:spPr>
                        <wps:txbx>
                          <w:txbxContent>
                            <w:p>
                              <w:pPr>
                                <w:jc w:val="center"/>
                              </w:pPr>
                              <w:r>
                                <w:t>镍</w:t>
                              </w:r>
                              <w:r>
                                <w:rPr>
                                  <w:rFonts w:hint="eastAsia"/>
                                </w:rPr>
                                <w:t xml:space="preserve">  </w:t>
                              </w:r>
                              <w:r>
                                <w:t>板</w:t>
                              </w:r>
                            </w:p>
                          </w:txbxContent>
                        </wps:txbx>
                        <wps:bodyPr rot="0" vert="horz" wrap="square" lIns="91440" tIns="45720" rIns="91440" bIns="45720" anchor="t" anchorCtr="0" upright="1">
                          <a:noAutofit/>
                        </wps:bodyPr>
                      </wps:wsp>
                      <wps:wsp>
                        <wps:cNvPr id="466" name="Rectangle 1565"/>
                        <wps:cNvSpPr>
                          <a:spLocks noChangeArrowheads="1"/>
                        </wps:cNvSpPr>
                        <wps:spPr bwMode="auto">
                          <a:xfrm>
                            <a:off x="123190" y="1735455"/>
                            <a:ext cx="760730" cy="317500"/>
                          </a:xfrm>
                          <a:prstGeom prst="rect">
                            <a:avLst/>
                          </a:prstGeom>
                          <a:solidFill>
                            <a:srgbClr val="FFFFFF"/>
                          </a:solidFill>
                          <a:ln w="9525" algn="ctr">
                            <a:solidFill>
                              <a:srgbClr val="000000"/>
                            </a:solidFill>
                            <a:miter lim="800000"/>
                          </a:ln>
                          <a:effectLst/>
                        </wps:spPr>
                        <wps:txbx>
                          <w:txbxContent>
                            <w:p>
                              <w:pPr>
                                <w:jc w:val="center"/>
                              </w:pPr>
                              <w:r>
                                <w:t>硫酸镍</w:t>
                              </w:r>
                            </w:p>
                          </w:txbxContent>
                        </wps:txbx>
                        <wps:bodyPr rot="0" vert="horz" wrap="square" lIns="91440" tIns="45720" rIns="91440" bIns="45720" anchor="t" anchorCtr="0" upright="1">
                          <a:noAutofit/>
                        </wps:bodyPr>
                      </wps:wsp>
                      <wps:wsp>
                        <wps:cNvPr id="467" name="Rectangle 1566"/>
                        <wps:cNvSpPr>
                          <a:spLocks noChangeArrowheads="1"/>
                        </wps:cNvSpPr>
                        <wps:spPr bwMode="auto">
                          <a:xfrm>
                            <a:off x="123190" y="2364740"/>
                            <a:ext cx="760730" cy="316865"/>
                          </a:xfrm>
                          <a:prstGeom prst="rect">
                            <a:avLst/>
                          </a:prstGeom>
                          <a:solidFill>
                            <a:srgbClr val="FFFFFF"/>
                          </a:solidFill>
                          <a:ln w="9525" algn="ctr">
                            <a:solidFill>
                              <a:srgbClr val="000000"/>
                            </a:solidFill>
                            <a:miter lim="800000"/>
                          </a:ln>
                          <a:effectLst/>
                        </wps:spPr>
                        <wps:txbx>
                          <w:txbxContent>
                            <w:p>
                              <w:pPr>
                                <w:jc w:val="center"/>
                              </w:pPr>
                              <w:r>
                                <w:t>氯化镍</w:t>
                              </w:r>
                            </w:p>
                          </w:txbxContent>
                        </wps:txbx>
                        <wps:bodyPr rot="0" vert="horz" wrap="square" lIns="91440" tIns="45720" rIns="91440" bIns="45720" anchor="t" anchorCtr="0" upright="1">
                          <a:noAutofit/>
                        </wps:bodyPr>
                      </wps:wsp>
                      <wps:wsp>
                        <wps:cNvPr id="468" name="Rectangle 1567"/>
                        <wps:cNvSpPr>
                          <a:spLocks noChangeArrowheads="1"/>
                        </wps:cNvSpPr>
                        <wps:spPr bwMode="auto">
                          <a:xfrm>
                            <a:off x="1359535" y="302260"/>
                            <a:ext cx="1835150" cy="428625"/>
                          </a:xfrm>
                          <a:prstGeom prst="rect">
                            <a:avLst/>
                          </a:prstGeom>
                          <a:solidFill>
                            <a:srgbClr val="FFFFFF"/>
                          </a:solidFill>
                          <a:ln w="9525" algn="ctr">
                            <a:solidFill>
                              <a:srgbClr val="000000"/>
                            </a:solidFill>
                            <a:miter lim="800000"/>
                          </a:ln>
                          <a:effectLst/>
                        </wps:spPr>
                        <wps:txbx>
                          <w:txbxContent>
                            <w:p>
                              <w:pPr>
                                <w:pStyle w:val="271"/>
                                <w:keepNext w:val="0"/>
                                <w:keepLines w:val="0"/>
                                <w:snapToGrid w:val="0"/>
                                <w:spacing w:before="0" w:beforeLines="0" w:after="0" w:afterLines="0" w:line="240" w:lineRule="auto"/>
                                <w:jc w:val="center"/>
                                <w:outlineLvl w:val="9"/>
                                <w:rPr>
                                  <w:rFonts w:hint="default" w:eastAsia="宋体"/>
                                  <w:lang w:val="en-US" w:eastAsia="zh-CN"/>
                                </w:rPr>
                              </w:pPr>
                              <w:r>
                                <w:rPr>
                                  <w:rFonts w:hint="eastAsia" w:eastAsia="宋体" w:cs="Times New Roman"/>
                                  <w:color w:val="auto"/>
                                  <w:kern w:val="21"/>
                                  <w:sz w:val="21"/>
                                  <w:szCs w:val="21"/>
                                </w:rPr>
                                <w:t>废滤芯0.383；废槽渣1.04；废槽液0.</w:t>
                              </w:r>
                              <w:r>
                                <w:rPr>
                                  <w:rFonts w:hint="eastAsia" w:eastAsia="宋体" w:cs="Times New Roman"/>
                                  <w:color w:val="auto"/>
                                  <w:kern w:val="21"/>
                                  <w:sz w:val="21"/>
                                  <w:szCs w:val="21"/>
                                  <w:lang w:val="en-US" w:eastAsia="zh-CN"/>
                                </w:rPr>
                                <w:t>494</w:t>
                              </w:r>
                            </w:p>
                          </w:txbxContent>
                        </wps:txbx>
                        <wps:bodyPr rot="0" vert="horz" wrap="square" lIns="91440" tIns="45720" rIns="91440" bIns="45720" anchor="t" anchorCtr="0" upright="1">
                          <a:noAutofit/>
                        </wps:bodyPr>
                      </wps:wsp>
                      <wps:wsp>
                        <wps:cNvPr id="469" name="Rectangle 1569"/>
                        <wps:cNvSpPr>
                          <a:spLocks noChangeArrowheads="1"/>
                        </wps:cNvSpPr>
                        <wps:spPr bwMode="auto">
                          <a:xfrm>
                            <a:off x="3507105" y="1128395"/>
                            <a:ext cx="760730" cy="318135"/>
                          </a:xfrm>
                          <a:prstGeom prst="rect">
                            <a:avLst/>
                          </a:prstGeom>
                          <a:solidFill>
                            <a:srgbClr val="FFFFFF"/>
                          </a:solidFill>
                          <a:ln w="9525" algn="ctr">
                            <a:solidFill>
                              <a:srgbClr val="000000"/>
                            </a:solidFill>
                            <a:miter lim="800000"/>
                          </a:ln>
                          <a:effectLst/>
                        </wps:spPr>
                        <wps:txbx>
                          <w:txbxContent>
                            <w:p>
                              <w:pPr>
                                <w:jc w:val="center"/>
                              </w:pPr>
                              <w:r>
                                <w:t>镀</w:t>
                              </w:r>
                              <w:r>
                                <w:rPr>
                                  <w:rFonts w:hint="eastAsia"/>
                                </w:rPr>
                                <w:t xml:space="preserve">  </w:t>
                              </w:r>
                              <w:r>
                                <w:t>层</w:t>
                              </w:r>
                            </w:p>
                          </w:txbxContent>
                        </wps:txbx>
                        <wps:bodyPr rot="0" vert="horz" wrap="square" lIns="91440" tIns="45720" rIns="91440" bIns="45720" anchor="t" anchorCtr="0" upright="1">
                          <a:noAutofit/>
                        </wps:bodyPr>
                      </wps:wsp>
                      <wps:wsp>
                        <wps:cNvPr id="470" name="Rectangle 1570"/>
                        <wps:cNvSpPr>
                          <a:spLocks noChangeArrowheads="1"/>
                        </wps:cNvSpPr>
                        <wps:spPr bwMode="auto">
                          <a:xfrm>
                            <a:off x="3507105" y="1735455"/>
                            <a:ext cx="760730" cy="317500"/>
                          </a:xfrm>
                          <a:prstGeom prst="rect">
                            <a:avLst/>
                          </a:prstGeom>
                          <a:solidFill>
                            <a:srgbClr val="FFFFFF"/>
                          </a:solidFill>
                          <a:ln w="9525" algn="ctr">
                            <a:solidFill>
                              <a:srgbClr val="000000"/>
                            </a:solidFill>
                            <a:miter lim="800000"/>
                          </a:ln>
                          <a:effectLst/>
                        </wps:spPr>
                        <wps:txbx>
                          <w:txbxContent>
                            <w:p>
                              <w:pPr>
                                <w:jc w:val="center"/>
                              </w:pPr>
                              <w:r>
                                <w:t>污泥</w:t>
                              </w:r>
                            </w:p>
                          </w:txbxContent>
                        </wps:txbx>
                        <wps:bodyPr rot="0" vert="horz" wrap="square" lIns="91440" tIns="45720" rIns="91440" bIns="45720" anchor="t" anchorCtr="0" upright="1">
                          <a:noAutofit/>
                        </wps:bodyPr>
                      </wps:wsp>
                      <wps:wsp>
                        <wps:cNvPr id="471" name="Rectangle 1571"/>
                        <wps:cNvSpPr>
                          <a:spLocks noChangeArrowheads="1"/>
                        </wps:cNvSpPr>
                        <wps:spPr bwMode="auto">
                          <a:xfrm>
                            <a:off x="3507105" y="2364740"/>
                            <a:ext cx="517525" cy="316865"/>
                          </a:xfrm>
                          <a:prstGeom prst="rect">
                            <a:avLst/>
                          </a:prstGeom>
                          <a:solidFill>
                            <a:srgbClr val="FFFFFF"/>
                          </a:solidFill>
                          <a:ln w="9525" algn="ctr">
                            <a:solidFill>
                              <a:srgbClr val="000000"/>
                            </a:solidFill>
                            <a:miter lim="800000"/>
                          </a:ln>
                          <a:effectLst/>
                        </wps:spPr>
                        <wps:txbx>
                          <w:txbxContent>
                            <w:p>
                              <w:pPr>
                                <w:jc w:val="center"/>
                              </w:pPr>
                              <w:r>
                                <w:t>废水</w:t>
                              </w:r>
                            </w:p>
                          </w:txbxContent>
                        </wps:txbx>
                        <wps:bodyPr rot="0" vert="horz" wrap="square" lIns="91440" tIns="45720" rIns="91440" bIns="45720" anchor="t" anchorCtr="0" upright="1">
                          <a:noAutofit/>
                        </wps:bodyPr>
                      </wps:wsp>
                      <wps:wsp>
                        <wps:cNvPr id="472" name="AutoShape 1578"/>
                        <wps:cNvCnPr>
                          <a:cxnSpLocks noChangeShapeType="1"/>
                          <a:stCxn id="1615" idx="0"/>
                          <a:endCxn id="1619" idx="2"/>
                        </wps:cNvCnPr>
                        <wps:spPr bwMode="auto">
                          <a:xfrm flipH="1" flipV="1">
                            <a:off x="2277110" y="730885"/>
                            <a:ext cx="5398" cy="427990"/>
                          </a:xfrm>
                          <a:prstGeom prst="straightConnector1">
                            <a:avLst/>
                          </a:prstGeom>
                          <a:noFill/>
                          <a:ln w="9525">
                            <a:solidFill>
                              <a:srgbClr val="000000"/>
                            </a:solidFill>
                            <a:round/>
                            <a:tailEnd type="triangle" w="med" len="med"/>
                          </a:ln>
                          <a:effectLst/>
                        </wps:spPr>
                        <wps:bodyPr/>
                      </wps:wsp>
                      <wps:wsp>
                        <wps:cNvPr id="473" name="AutoShape 1579"/>
                        <wps:cNvCnPr>
                          <a:cxnSpLocks noChangeShapeType="1"/>
                          <a:stCxn id="1616" idx="3"/>
                          <a:endCxn id="1615" idx="1"/>
                        </wps:cNvCnPr>
                        <wps:spPr bwMode="auto">
                          <a:xfrm>
                            <a:off x="883920" y="1287780"/>
                            <a:ext cx="1156970" cy="605790"/>
                          </a:xfrm>
                          <a:prstGeom prst="bentConnector3">
                            <a:avLst>
                              <a:gd name="adj1" fmla="val 50000"/>
                            </a:avLst>
                          </a:prstGeom>
                          <a:noFill/>
                          <a:ln w="9525">
                            <a:solidFill>
                              <a:srgbClr val="000000"/>
                            </a:solidFill>
                            <a:miter lim="800000"/>
                            <a:tailEnd type="triangle" w="med" len="med"/>
                          </a:ln>
                          <a:effectLst/>
                        </wps:spPr>
                        <wps:bodyPr/>
                      </wps:wsp>
                      <wps:wsp>
                        <wps:cNvPr id="474" name="AutoShape 1580"/>
                        <wps:cNvCnPr>
                          <a:cxnSpLocks noChangeShapeType="1"/>
                          <a:stCxn id="1617" idx="3"/>
                          <a:endCxn id="1615" idx="1"/>
                        </wps:cNvCnPr>
                        <wps:spPr bwMode="auto">
                          <a:xfrm flipV="1">
                            <a:off x="883920" y="1893570"/>
                            <a:ext cx="1156970" cy="635"/>
                          </a:xfrm>
                          <a:prstGeom prst="bentConnector3">
                            <a:avLst>
                              <a:gd name="adj1" fmla="val 50000"/>
                            </a:avLst>
                          </a:prstGeom>
                          <a:noFill/>
                          <a:ln w="9525">
                            <a:solidFill>
                              <a:srgbClr val="000000"/>
                            </a:solidFill>
                            <a:miter lim="800000"/>
                            <a:tailEnd type="triangle" w="med" len="med"/>
                          </a:ln>
                          <a:effectLst/>
                        </wps:spPr>
                        <wps:bodyPr/>
                      </wps:wsp>
                      <wps:wsp>
                        <wps:cNvPr id="475" name="AutoShape 1582"/>
                        <wps:cNvCnPr>
                          <a:cxnSpLocks noChangeShapeType="1"/>
                          <a:stCxn id="1618" idx="3"/>
                          <a:endCxn id="1615" idx="1"/>
                        </wps:cNvCnPr>
                        <wps:spPr bwMode="auto">
                          <a:xfrm flipV="1">
                            <a:off x="883920" y="1893570"/>
                            <a:ext cx="1156970" cy="629920"/>
                          </a:xfrm>
                          <a:prstGeom prst="bentConnector3">
                            <a:avLst>
                              <a:gd name="adj1" fmla="val 50000"/>
                            </a:avLst>
                          </a:prstGeom>
                          <a:noFill/>
                          <a:ln w="9525">
                            <a:solidFill>
                              <a:srgbClr val="000000"/>
                            </a:solidFill>
                            <a:miter lim="800000"/>
                            <a:tailEnd type="triangle" w="med" len="med"/>
                          </a:ln>
                          <a:effectLst/>
                        </wps:spPr>
                        <wps:bodyPr/>
                      </wps:wsp>
                      <wps:wsp>
                        <wps:cNvPr id="476" name="AutoShape 1583"/>
                        <wps:cNvCnPr>
                          <a:cxnSpLocks noChangeShapeType="1"/>
                          <a:stCxn id="1615" idx="3"/>
                          <a:endCxn id="1620" idx="1"/>
                        </wps:cNvCnPr>
                        <wps:spPr bwMode="auto">
                          <a:xfrm flipV="1">
                            <a:off x="2524125" y="1287780"/>
                            <a:ext cx="982980" cy="605790"/>
                          </a:xfrm>
                          <a:prstGeom prst="bentConnector3">
                            <a:avLst>
                              <a:gd name="adj1" fmla="val 49935"/>
                            </a:avLst>
                          </a:prstGeom>
                          <a:noFill/>
                          <a:ln w="9525">
                            <a:solidFill>
                              <a:srgbClr val="000000"/>
                            </a:solidFill>
                            <a:miter lim="800000"/>
                            <a:tailEnd type="triangle" w="med" len="med"/>
                          </a:ln>
                          <a:effectLst/>
                        </wps:spPr>
                        <wps:bodyPr/>
                      </wps:wsp>
                      <wps:wsp>
                        <wps:cNvPr id="477" name="AutoShape 1584"/>
                        <wps:cNvCnPr>
                          <a:cxnSpLocks noChangeShapeType="1"/>
                          <a:stCxn id="1615" idx="3"/>
                          <a:endCxn id="1621" idx="1"/>
                        </wps:cNvCnPr>
                        <wps:spPr bwMode="auto">
                          <a:xfrm>
                            <a:off x="2524125" y="1893570"/>
                            <a:ext cx="982980" cy="635"/>
                          </a:xfrm>
                          <a:prstGeom prst="bentConnector3">
                            <a:avLst>
                              <a:gd name="adj1" fmla="val 49935"/>
                            </a:avLst>
                          </a:prstGeom>
                          <a:noFill/>
                          <a:ln w="9525">
                            <a:solidFill>
                              <a:srgbClr val="000000"/>
                            </a:solidFill>
                            <a:miter lim="800000"/>
                            <a:tailEnd type="triangle" w="med" len="med"/>
                          </a:ln>
                          <a:effectLst/>
                        </wps:spPr>
                        <wps:bodyPr/>
                      </wps:wsp>
                      <wps:wsp>
                        <wps:cNvPr id="478" name="AutoShape 1585"/>
                        <wps:cNvCnPr>
                          <a:cxnSpLocks noChangeShapeType="1"/>
                          <a:stCxn id="1615" idx="3"/>
                          <a:endCxn id="1622" idx="1"/>
                        </wps:cNvCnPr>
                        <wps:spPr bwMode="auto">
                          <a:xfrm>
                            <a:off x="2524125" y="1893570"/>
                            <a:ext cx="982980" cy="629920"/>
                          </a:xfrm>
                          <a:prstGeom prst="bentConnector3">
                            <a:avLst>
                              <a:gd name="adj1" fmla="val 49935"/>
                            </a:avLst>
                          </a:prstGeom>
                          <a:noFill/>
                          <a:ln w="9525">
                            <a:solidFill>
                              <a:srgbClr val="000000"/>
                            </a:solidFill>
                            <a:miter lim="800000"/>
                            <a:tailEnd type="triangle" w="med" len="med"/>
                          </a:ln>
                          <a:effectLst/>
                        </wps:spPr>
                        <wps:bodyPr/>
                      </wps:wsp>
                      <wps:wsp>
                        <wps:cNvPr id="479" name="Rectangle 1586"/>
                        <wps:cNvSpPr>
                          <a:spLocks noChangeArrowheads="1"/>
                        </wps:cNvSpPr>
                        <wps:spPr bwMode="auto">
                          <a:xfrm>
                            <a:off x="781050" y="1081405"/>
                            <a:ext cx="760730" cy="318135"/>
                          </a:xfrm>
                          <a:prstGeom prst="rect">
                            <a:avLst/>
                          </a:prstGeom>
                          <a:noFill/>
                          <a:ln>
                            <a:noFill/>
                          </a:ln>
                          <a:effectLst/>
                        </wps:spPr>
                        <wps:txbx>
                          <w:txbxContent>
                            <w:p>
                              <w:pPr>
                                <w:jc w:val="center"/>
                              </w:pPr>
                              <w:r>
                                <w:rPr>
                                  <w:rFonts w:hint="eastAsia"/>
                                  <w:kern w:val="21"/>
                                </w:rPr>
                                <w:t>675.639</w:t>
                              </w:r>
                            </w:p>
                          </w:txbxContent>
                        </wps:txbx>
                        <wps:bodyPr rot="0" vert="horz" wrap="square" lIns="91440" tIns="45720" rIns="91440" bIns="45720" anchor="t" anchorCtr="0" upright="1">
                          <a:noAutofit/>
                        </wps:bodyPr>
                      </wps:wsp>
                      <wps:wsp>
                        <wps:cNvPr id="480" name="Rectangle 1587"/>
                        <wps:cNvSpPr>
                          <a:spLocks noChangeArrowheads="1"/>
                        </wps:cNvSpPr>
                        <wps:spPr bwMode="auto">
                          <a:xfrm>
                            <a:off x="781050" y="1675130"/>
                            <a:ext cx="760730" cy="318135"/>
                          </a:xfrm>
                          <a:prstGeom prst="rect">
                            <a:avLst/>
                          </a:prstGeom>
                          <a:noFill/>
                          <a:ln>
                            <a:noFill/>
                          </a:ln>
                          <a:effectLst/>
                        </wps:spPr>
                        <wps:txbx>
                          <w:txbxContent>
                            <w:p>
                              <w:pPr>
                                <w:jc w:val="center"/>
                              </w:pPr>
                              <w:r>
                                <w:rPr>
                                  <w:rFonts w:hint="eastAsia"/>
                                </w:rPr>
                                <w:t>48.234</w:t>
                              </w:r>
                            </w:p>
                          </w:txbxContent>
                        </wps:txbx>
                        <wps:bodyPr rot="0" vert="horz" wrap="square" lIns="91440" tIns="45720" rIns="91440" bIns="45720" anchor="t" anchorCtr="0" upright="1">
                          <a:noAutofit/>
                        </wps:bodyPr>
                      </wps:wsp>
                      <wps:wsp>
                        <wps:cNvPr id="481" name="Rectangle 1588"/>
                        <wps:cNvSpPr>
                          <a:spLocks noChangeArrowheads="1"/>
                        </wps:cNvSpPr>
                        <wps:spPr bwMode="auto">
                          <a:xfrm>
                            <a:off x="781050" y="2309495"/>
                            <a:ext cx="760730" cy="318135"/>
                          </a:xfrm>
                          <a:prstGeom prst="rect">
                            <a:avLst/>
                          </a:prstGeom>
                          <a:noFill/>
                          <a:ln>
                            <a:noFill/>
                          </a:ln>
                          <a:effectLst/>
                        </wps:spPr>
                        <wps:txbx>
                          <w:txbxContent>
                            <w:p>
                              <w:pPr>
                                <w:jc w:val="center"/>
                              </w:pPr>
                              <w:r>
                                <w:rPr>
                                  <w:rFonts w:hint="eastAsia"/>
                                </w:rPr>
                                <w:t>26.598</w:t>
                              </w:r>
                            </w:p>
                          </w:txbxContent>
                        </wps:txbx>
                        <wps:bodyPr rot="0" vert="horz" wrap="square" lIns="91440" tIns="45720" rIns="91440" bIns="45720" anchor="t" anchorCtr="0" upright="1">
                          <a:noAutofit/>
                        </wps:bodyPr>
                      </wps:wsp>
                      <wps:wsp>
                        <wps:cNvPr id="482" name="Rectangle 1589"/>
                        <wps:cNvSpPr>
                          <a:spLocks noChangeArrowheads="1"/>
                        </wps:cNvSpPr>
                        <wps:spPr bwMode="auto">
                          <a:xfrm>
                            <a:off x="1387475" y="1675130"/>
                            <a:ext cx="760730" cy="318135"/>
                          </a:xfrm>
                          <a:prstGeom prst="rect">
                            <a:avLst/>
                          </a:prstGeom>
                          <a:noFill/>
                          <a:ln>
                            <a:noFill/>
                          </a:ln>
                          <a:effectLst/>
                        </wps:spPr>
                        <wps:txbx>
                          <w:txbxContent>
                            <w:p>
                              <w:pPr>
                                <w:jc w:val="center"/>
                              </w:pPr>
                              <w:r>
                                <w:rPr>
                                  <w:rFonts w:hint="eastAsia"/>
                                  <w:kern w:val="21"/>
                                </w:rPr>
                                <w:t>750.471</w:t>
                              </w:r>
                            </w:p>
                          </w:txbxContent>
                        </wps:txbx>
                        <wps:bodyPr rot="0" vert="horz" wrap="square" lIns="91440" tIns="45720" rIns="91440" bIns="45720" anchor="t" anchorCtr="0" upright="1">
                          <a:noAutofit/>
                        </wps:bodyPr>
                      </wps:wsp>
                      <wps:wsp>
                        <wps:cNvPr id="483" name="Rectangle 1590"/>
                        <wps:cNvSpPr>
                          <a:spLocks noChangeArrowheads="1"/>
                        </wps:cNvSpPr>
                        <wps:spPr bwMode="auto">
                          <a:xfrm>
                            <a:off x="2087245" y="810260"/>
                            <a:ext cx="760730" cy="318135"/>
                          </a:xfrm>
                          <a:prstGeom prst="rect">
                            <a:avLst/>
                          </a:prstGeom>
                          <a:noFill/>
                          <a:ln>
                            <a:noFill/>
                          </a:ln>
                          <a:effectLst/>
                        </wps:spPr>
                        <wps:txbx>
                          <w:txbxContent>
                            <w:p>
                              <w:pPr>
                                <w:jc w:val="center"/>
                              </w:pPr>
                              <w:r>
                                <w:rPr>
                                  <w:rFonts w:hint="eastAsia"/>
                                </w:rPr>
                                <w:t>1.917</w:t>
                              </w:r>
                            </w:p>
                          </w:txbxContent>
                        </wps:txbx>
                        <wps:bodyPr rot="0" vert="horz" wrap="square" lIns="91440" tIns="45720" rIns="91440" bIns="45720" anchor="t" anchorCtr="0" upright="1">
                          <a:noAutofit/>
                        </wps:bodyPr>
                      </wps:wsp>
                      <wps:wsp>
                        <wps:cNvPr id="484" name="Rectangle 1591"/>
                        <wps:cNvSpPr>
                          <a:spLocks noChangeArrowheads="1"/>
                        </wps:cNvSpPr>
                        <wps:spPr bwMode="auto">
                          <a:xfrm>
                            <a:off x="2847975" y="1064260"/>
                            <a:ext cx="760730" cy="318135"/>
                          </a:xfrm>
                          <a:prstGeom prst="rect">
                            <a:avLst/>
                          </a:prstGeom>
                          <a:noFill/>
                          <a:ln>
                            <a:noFill/>
                          </a:ln>
                          <a:effectLst/>
                        </wps:spPr>
                        <wps:txbx>
                          <w:txbxContent>
                            <w:p>
                              <w:pPr>
                                <w:jc w:val="center"/>
                              </w:pPr>
                              <w:r>
                                <w:rPr>
                                  <w:rFonts w:hint="eastAsia"/>
                                </w:rPr>
                                <w:t>738.531</w:t>
                              </w:r>
                            </w:p>
                          </w:txbxContent>
                        </wps:txbx>
                        <wps:bodyPr rot="0" vert="horz" wrap="square" lIns="91440" tIns="45720" rIns="91440" bIns="45720" anchor="t" anchorCtr="0" upright="1">
                          <a:noAutofit/>
                        </wps:bodyPr>
                      </wps:wsp>
                      <wps:wsp>
                        <wps:cNvPr id="485" name="Rectangle 1592"/>
                        <wps:cNvSpPr>
                          <a:spLocks noChangeArrowheads="1"/>
                        </wps:cNvSpPr>
                        <wps:spPr bwMode="auto">
                          <a:xfrm>
                            <a:off x="2858135" y="1675130"/>
                            <a:ext cx="760730" cy="318135"/>
                          </a:xfrm>
                          <a:prstGeom prst="rect">
                            <a:avLst/>
                          </a:prstGeom>
                          <a:noFill/>
                          <a:ln>
                            <a:noFill/>
                          </a:ln>
                          <a:effectLst/>
                        </wps:spPr>
                        <wps:txbx>
                          <w:txbxContent>
                            <w:p>
                              <w:pPr>
                                <w:jc w:val="center"/>
                              </w:pPr>
                              <w:r>
                                <w:rPr>
                                  <w:rFonts w:hint="eastAsia"/>
                                  <w:kern w:val="21"/>
                                </w:rPr>
                                <w:t>7.976</w:t>
                              </w:r>
                            </w:p>
                          </w:txbxContent>
                        </wps:txbx>
                        <wps:bodyPr rot="0" vert="horz" wrap="square" lIns="91440" tIns="45720" rIns="91440" bIns="45720" anchor="t" anchorCtr="0" upright="1">
                          <a:noAutofit/>
                        </wps:bodyPr>
                      </wps:wsp>
                      <wps:wsp>
                        <wps:cNvPr id="486" name="Rectangle 1593"/>
                        <wps:cNvSpPr>
                          <a:spLocks noChangeArrowheads="1"/>
                        </wps:cNvSpPr>
                        <wps:spPr bwMode="auto">
                          <a:xfrm>
                            <a:off x="2847975" y="2309495"/>
                            <a:ext cx="760730" cy="318135"/>
                          </a:xfrm>
                          <a:prstGeom prst="rect">
                            <a:avLst/>
                          </a:prstGeom>
                          <a:noFill/>
                          <a:ln>
                            <a:noFill/>
                          </a:ln>
                          <a:effectLst/>
                        </wps:spPr>
                        <wps:txbx>
                          <w:txbxContent>
                            <w:p>
                              <w:pPr>
                                <w:jc w:val="center"/>
                              </w:pPr>
                              <w:r>
                                <w:rPr>
                                  <w:rFonts w:hint="eastAsia"/>
                                </w:rPr>
                                <w:t>2.047</w:t>
                              </w:r>
                            </w:p>
                          </w:txbxContent>
                        </wps:txbx>
                        <wps:bodyPr rot="0" vert="horz" wrap="square" lIns="91440" tIns="45720" rIns="91440" bIns="45720" anchor="t" anchorCtr="0" upright="1">
                          <a:noAutofit/>
                        </wps:bodyPr>
                      </wps:wsp>
                      <wps:wsp>
                        <wps:cNvPr id="487" name="Rectangle 1594"/>
                        <wps:cNvSpPr>
                          <a:spLocks noChangeArrowheads="1"/>
                        </wps:cNvSpPr>
                        <wps:spPr bwMode="auto">
                          <a:xfrm>
                            <a:off x="2403624" y="1675130"/>
                            <a:ext cx="760730" cy="318135"/>
                          </a:xfrm>
                          <a:prstGeom prst="rect">
                            <a:avLst/>
                          </a:prstGeom>
                          <a:noFill/>
                          <a:ln>
                            <a:noFill/>
                          </a:ln>
                          <a:effectLst/>
                        </wps:spPr>
                        <wps:txbx>
                          <w:txbxContent>
                            <w:p>
                              <w:pPr>
                                <w:jc w:val="center"/>
                              </w:pPr>
                              <w:r>
                                <w:rPr>
                                  <w:rFonts w:hint="eastAsia"/>
                                  <w:kern w:val="21"/>
                                </w:rPr>
                                <w:t>748.554</w:t>
                              </w:r>
                            </w:p>
                            <w:p>
                              <w:pPr>
                                <w:jc w:val="center"/>
                              </w:pPr>
                            </w:p>
                          </w:txbxContent>
                        </wps:txbx>
                        <wps:bodyPr rot="0" vert="horz" wrap="square" lIns="91440" tIns="45720" rIns="91440" bIns="45720" anchor="t" anchorCtr="0" upright="1">
                          <a:noAutofit/>
                        </wps:bodyPr>
                      </wps:wsp>
                      <wps:wsp>
                        <wps:cNvPr id="488" name="Rectangle 1595"/>
                        <wps:cNvSpPr>
                          <a:spLocks noChangeArrowheads="1"/>
                        </wps:cNvSpPr>
                        <wps:spPr bwMode="auto">
                          <a:xfrm>
                            <a:off x="4412615" y="2364740"/>
                            <a:ext cx="863600" cy="316865"/>
                          </a:xfrm>
                          <a:prstGeom prst="rect">
                            <a:avLst/>
                          </a:prstGeom>
                          <a:solidFill>
                            <a:srgbClr val="FFFFFF"/>
                          </a:solidFill>
                          <a:ln w="9525" algn="ctr">
                            <a:solidFill>
                              <a:srgbClr val="000000"/>
                            </a:solidFill>
                            <a:miter lim="800000"/>
                          </a:ln>
                          <a:effectLst/>
                        </wps:spPr>
                        <wps:txbx>
                          <w:txbxContent>
                            <w:p>
                              <w:pPr>
                                <w:jc w:val="center"/>
                              </w:pPr>
                              <w:r>
                                <w:t>蒸发结晶盐</w:t>
                              </w:r>
                            </w:p>
                          </w:txbxContent>
                        </wps:txbx>
                        <wps:bodyPr rot="0" vert="horz" wrap="square" lIns="91440" tIns="45720" rIns="91440" bIns="45720" anchor="t" anchorCtr="0" upright="1">
                          <a:noAutofit/>
                        </wps:bodyPr>
                      </wps:wsp>
                      <wps:wsp>
                        <wps:cNvPr id="489" name="AutoShape 1596"/>
                        <wps:cNvCnPr>
                          <a:cxnSpLocks noChangeShapeType="1"/>
                          <a:stCxn id="1622" idx="3"/>
                          <a:endCxn id="1576" idx="1"/>
                        </wps:cNvCnPr>
                        <wps:spPr bwMode="auto">
                          <a:xfrm>
                            <a:off x="4024630" y="2523490"/>
                            <a:ext cx="387985" cy="635"/>
                          </a:xfrm>
                          <a:prstGeom prst="straightConnector1">
                            <a:avLst/>
                          </a:prstGeom>
                          <a:noFill/>
                          <a:ln w="9525">
                            <a:solidFill>
                              <a:srgbClr val="000000"/>
                            </a:solidFill>
                            <a:round/>
                            <a:tailEnd type="triangle" w="med" len="med"/>
                          </a:ln>
                          <a:effectLst/>
                        </wps:spPr>
                        <wps:bodyPr/>
                      </wps:wsp>
                      <wps:wsp>
                        <wps:cNvPr id="490" name="Rectangle 1593"/>
                        <wps:cNvSpPr>
                          <a:spLocks noChangeArrowheads="1"/>
                        </wps:cNvSpPr>
                        <wps:spPr bwMode="auto">
                          <a:xfrm>
                            <a:off x="3827780" y="2293620"/>
                            <a:ext cx="760730" cy="242570"/>
                          </a:xfrm>
                          <a:prstGeom prst="rect">
                            <a:avLst/>
                          </a:prstGeom>
                          <a:noFill/>
                          <a:ln>
                            <a:noFill/>
                          </a:ln>
                          <a:effectLst/>
                        </wps:spPr>
                        <wps:txbx>
                          <w:txbxContent>
                            <w:p>
                              <w:pPr>
                                <w:jc w:val="center"/>
                                <w:rPr>
                                  <w:color w:val="auto"/>
                                </w:rPr>
                              </w:pPr>
                              <w:r>
                                <w:rPr>
                                  <w:rFonts w:hint="eastAsia"/>
                                  <w:color w:val="auto"/>
                                </w:rPr>
                                <w:t>2.047</w:t>
                              </w:r>
                            </w:p>
                          </w:txbxContent>
                        </wps:txbx>
                        <wps:bodyPr rot="0" vert="horz" wrap="square" lIns="91440" tIns="45720" rIns="91440" bIns="45720" anchor="t" anchorCtr="0" upright="1">
                          <a:noAutofit/>
                        </wps:bodyPr>
                      </wps:wsp>
                    </wpc:wpc>
                  </a:graphicData>
                </a:graphic>
              </wp:inline>
            </w:drawing>
          </mc:Choice>
          <mc:Fallback>
            <w:pict>
              <v:group id="画布 1562" o:spid="_x0000_s1026" o:spt="203" style="height:229.8pt;width:448pt;" coordsize="5689600,2918460" editas="canvas"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">
                <o:lock v:ext="edit" aspectratio="f"/>
                <v:shape id="画布 1562" o:spid="_x0000_s1026" style="position:absolute;left:0;top:0;height:2918460;width:568960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">
                  <v:fill on="f" focussize="0,0"/>
                  <v:stroke on="f"/>
                  <v:imagedata o:title=""/>
                  <o:lock v:ext="edit" aspectratio="t"/>
                </v:shape>
                <v:rect id="Rectangle 1563" o:spid="_x0000_s1026" o:spt="1" style="position:absolute;left:2040890;top:1158875;height:1468755;width:483235;" fillcolor="#FFFFFF" filled="t" stroked="t" coordsize="21600,21600" o:gfxdata="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KhvjrTAAAABQEAAA8AAAAA&#10;AAAAAQAgAAAAIgAAAGRycy9kb3ducmV2LnhtbFBLAQIUABQAAAAIAIdO4kAHK7dIUgIAAKkEAAAO&#10;AAAAAAAAAAEAIAAAACIBAABkcnMvZTJvRG9jLnhtbFBLBQYAAAAABgAGAFkBAADmBQAAAAA=&#10;">
                  <v:fill on="t" focussize="0,0"/>
                  <v:stroke color="#000000" miterlimit="8" joinstyle="miter"/>
                  <v:imagedata o:title=""/>
                  <o:lock v:ext="edit" aspectratio="f"/>
                  <v:textbox inset="3.5mm,6.3mm,2.54mm,1.27mm">
                    <w:txbxContent>
                      <w:p>
                        <w:pPr>
                          <w:rPr>
                            <w:sz w:val="32"/>
                          </w:rPr>
                        </w:pPr>
                        <w:r>
                          <w:rPr>
                            <w:sz w:val="32"/>
                          </w:rPr>
                          <w:t>镀镍工序</w:t>
                        </w:r>
                      </w:p>
                    </w:txbxContent>
                  </v:textbox>
                </v:rect>
                <v:rect id="Rectangle 1564" o:spid="_x0000_s1026" o:spt="1" style="position:absolute;left:123190;top:1128395;height:318135;width:76073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iNjmtQAAAAFAQAADwAAAAAAAAABACAA&#10;AAAiAAAAZHJzL2Rvd25yZXYueG1sUEsBAhQAFAAAAAgAh07iQEbGybNKAgAApQQAAA4AAAAAAAAA&#10;AQAgAAAAIwEAAGRycy9lMm9Eb2MueG1sUEsFBgAAAAAGAAYAWQEAAN8FAAAAAA==&#10;">
                  <v:fill on="t" focussize="0,0"/>
                  <v:stroke color="#000000" miterlimit="8" joinstyle="miter"/>
                  <v:imagedata o:title=""/>
                  <o:lock v:ext="edit" aspectratio="f"/>
                  <v:textbox>
                    <w:txbxContent>
                      <w:p>
                        <w:pPr>
                          <w:jc w:val="center"/>
                        </w:pPr>
                        <w:r>
                          <w:t>镍</w:t>
                        </w:r>
                        <w:r>
                          <w:rPr>
                            <w:rFonts w:hint="eastAsia"/>
                          </w:rPr>
                          <w:t xml:space="preserve">  </w:t>
                        </w:r>
                        <w:r>
                          <w:t>板</w:t>
                        </w:r>
                      </w:p>
                    </w:txbxContent>
                  </v:textbox>
                </v:rect>
                <v:rect id="Rectangle 1565" o:spid="_x0000_s1026" o:spt="1" style="position:absolute;left:123190;top:1735455;height:317500;width:76073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iNjmtQAAAAFAQAADwAAAAAAAAABACAA&#10;AAAiAAAAZHJzL2Rvd25yZXYueG1sUEsBAhQAFAAAAAgAh07iQIGt5LVKAgAApQQAAA4AAAAAAAAA&#10;AQAgAAAAIwEAAGRycy9lMm9Eb2MueG1sUEsFBgAAAAAGAAYAWQEAAN8FAAAAAA==&#10;">
                  <v:fill on="t" focussize="0,0"/>
                  <v:stroke color="#000000" miterlimit="8" joinstyle="miter"/>
                  <v:imagedata o:title=""/>
                  <o:lock v:ext="edit" aspectratio="f"/>
                  <v:textbox>
                    <w:txbxContent>
                      <w:p>
                        <w:pPr>
                          <w:jc w:val="center"/>
                        </w:pPr>
                        <w:r>
                          <w:t>硫酸镍</w:t>
                        </w:r>
                      </w:p>
                    </w:txbxContent>
                  </v:textbox>
                </v:rect>
                <v:rect id="Rectangle 1566" o:spid="_x0000_s1026" o:spt="1" style="position:absolute;left:123190;top:2364740;height:316865;width:76073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giNjmtQAAAAFAQAADwAAAAAAAAABACAA&#10;AAAiAAAAZHJzL2Rvd25yZXYueG1sUEsBAhQAFAAAAAgAh07iQP8cOilKAgAApQQAAA4AAAAAAAAA&#10;AQAgAAAAIwEAAGRycy9lMm9Eb2MueG1sUEsFBgAAAAAGAAYAWQEAAN8FAAAAAA==&#10;">
                  <v:fill on="t" focussize="0,0"/>
                  <v:stroke color="#000000" miterlimit="8" joinstyle="miter"/>
                  <v:imagedata o:title=""/>
                  <o:lock v:ext="edit" aspectratio="f"/>
                  <v:textbox>
                    <w:txbxContent>
                      <w:p>
                        <w:pPr>
                          <w:jc w:val="center"/>
                        </w:pPr>
                        <w:r>
                          <w:t>氯化镍</w:t>
                        </w:r>
                      </w:p>
                    </w:txbxContent>
                  </v:textbox>
                </v:rect>
                <v:rect id="Rectangle 1567" o:spid="_x0000_s1026" o:spt="1" style="position:absolute;left:1359535;top:302260;height:428625;width:183515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CI2Oa1AAAAAUBAAAPAAAAAAAAAAEAIAAA&#10;ACIAAABkcnMvZG93bnJldi54bWxQSwECFAAUAAAACACHTuJAiMEE7kkCAACmBAAADgAAAAAAAAAB&#10;ACAAAAAjAQAAZHJzL2Uyb0RvYy54bWxQSwUGAAAAAAYABgBZAQAA3gUAAAAA&#10;">
                  <v:fill on="t" focussize="0,0"/>
                  <v:stroke color="#000000" miterlimit="8" joinstyle="miter"/>
                  <v:imagedata o:title=""/>
                  <o:lock v:ext="edit" aspectratio="f"/>
                  <v:textbox>
                    <w:txbxContent>
                      <w:p>
                        <w:pPr>
                          <w:pStyle w:val="271"/>
                          <w:keepNext w:val="0"/>
                          <w:keepLines w:val="0"/>
                          <w:snapToGrid w:val="0"/>
                          <w:spacing w:before="0" w:beforeLines="0" w:after="0" w:afterLines="0" w:line="240" w:lineRule="auto"/>
                          <w:jc w:val="center"/>
                          <w:outlineLvl w:val="9"/>
                          <w:rPr>
                            <w:rFonts w:hint="default" w:eastAsia="宋体"/>
                            <w:lang w:val="en-US" w:eastAsia="zh-CN"/>
                          </w:rPr>
                        </w:pPr>
                        <w:r>
                          <w:rPr>
                            <w:rFonts w:hint="eastAsia" w:eastAsia="宋体" w:cs="Times New Roman"/>
                            <w:color w:val="auto"/>
                            <w:kern w:val="21"/>
                            <w:sz w:val="21"/>
                            <w:szCs w:val="21"/>
                          </w:rPr>
                          <w:t>废滤芯0.383；废槽渣1.04；废槽液0.</w:t>
                        </w:r>
                        <w:r>
                          <w:rPr>
                            <w:rFonts w:hint="eastAsia" w:eastAsia="宋体" w:cs="Times New Roman"/>
                            <w:color w:val="auto"/>
                            <w:kern w:val="21"/>
                            <w:sz w:val="21"/>
                            <w:szCs w:val="21"/>
                            <w:lang w:val="en-US" w:eastAsia="zh-CN"/>
                          </w:rPr>
                          <w:t>494</w:t>
                        </w:r>
                      </w:p>
                    </w:txbxContent>
                  </v:textbox>
                </v:rect>
                <v:rect id="Rectangle 1569" o:spid="_x0000_s1026" o:spt="1" style="position:absolute;left:3507105;top:1128395;height:318135;width:76073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I2Oa1AAAAAUBAAAPAAAAAAAAAAEA&#10;IAAAACIAAABkcnMvZG93bnJldi54bWxQSwECFAAUAAAACACHTuJA77W65UwCAACmBAAADgAAAAAA&#10;AAABACAAAAAjAQAAZHJzL2Uyb0RvYy54bWxQSwUGAAAAAAYABgBZAQAA4QUAAAAA&#10;">
                  <v:fill on="t" focussize="0,0"/>
                  <v:stroke color="#000000" miterlimit="8" joinstyle="miter"/>
                  <v:imagedata o:title=""/>
                  <o:lock v:ext="edit" aspectratio="f"/>
                  <v:textbox>
                    <w:txbxContent>
                      <w:p>
                        <w:pPr>
                          <w:jc w:val="center"/>
                        </w:pPr>
                        <w:r>
                          <w:t>镀</w:t>
                        </w:r>
                        <w:r>
                          <w:rPr>
                            <w:rFonts w:hint="eastAsia"/>
                          </w:rPr>
                          <w:t xml:space="preserve">  </w:t>
                        </w:r>
                        <w:r>
                          <w:t>层</w:t>
                        </w:r>
                      </w:p>
                    </w:txbxContent>
                  </v:textbox>
                </v:rect>
                <v:rect id="Rectangle 1570" o:spid="_x0000_s1026" o:spt="1" style="position:absolute;left:3507105;top:1735455;height:317500;width:76073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IjY5rUAAAABQEAAA8AAAAAAAAAAQAg&#10;AAAAIgAAAGRycy9kb3ducmV2LnhtbFBLAQIUABQAAAAIAIdO4kDxY9S3SwIAAKYEAAAOAAAAAAAA&#10;AAEAIAAAACMBAABkcnMvZTJvRG9jLnhtbFBLBQYAAAAABgAGAFkBAADgBQAAAAA=&#10;">
                  <v:fill on="t" focussize="0,0"/>
                  <v:stroke color="#000000" miterlimit="8" joinstyle="miter"/>
                  <v:imagedata o:title=""/>
                  <o:lock v:ext="edit" aspectratio="f"/>
                  <v:textbox>
                    <w:txbxContent>
                      <w:p>
                        <w:pPr>
                          <w:jc w:val="center"/>
                        </w:pPr>
                        <w:r>
                          <w:t>污泥</w:t>
                        </w:r>
                      </w:p>
                    </w:txbxContent>
                  </v:textbox>
                </v:rect>
                <v:rect id="Rectangle 1571" o:spid="_x0000_s1026" o:spt="1" style="position:absolute;left:3507105;top:2364740;height:316865;width:517525;"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IjY5rUAAAABQEAAA8AAAAAAAAAAQAgAAAA&#10;IgAAAGRycy9kb3ducmV2LnhtbFBLAQIUABQAAAAIAIdO4kBtM51FSAIAAKYEAAAOAAAAAAAAAAEA&#10;IAAAACMBAABkcnMvZTJvRG9jLnhtbFBLBQYAAAAABgAGAFkBAADdBQAAAAA=&#10;">
                  <v:fill on="t" focussize="0,0"/>
                  <v:stroke color="#000000" miterlimit="8" joinstyle="miter"/>
                  <v:imagedata o:title=""/>
                  <o:lock v:ext="edit" aspectratio="f"/>
                  <v:textbox>
                    <w:txbxContent>
                      <w:p>
                        <w:pPr>
                          <w:jc w:val="center"/>
                        </w:pPr>
                        <w:r>
                          <w:t>废水</w:t>
                        </w:r>
                      </w:p>
                    </w:txbxContent>
                  </v:textbox>
                </v:rect>
                <v:shape id="AutoShape 1578" o:spid="_x0000_s1026" o:spt="32" type="#_x0000_t32" style="position:absolute;left:2277110;top:730885;flip:x y;height:427990;width:5398;" filled="f" stroked="t" coordsize="21600,21600" o:gfxdata="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NGZjjnVAAAABQEAAA8AAAAAAAAAAQAgAAAAIgAAAGRycy9kb3ducmV2LnhtbFBLAQIUABQA&#10;AAAIAIdO4kBtuAApLAIAAE0EAAAOAAAAAAAAAAEAIAAAACQBAABkcnMvZTJvRG9jLnhtbFBLBQYA&#10;AAAABgAGAFkBAADCBQAAAAA=&#10;">
                  <v:fill on="f" focussize="0,0"/>
                  <v:stroke color="#000000" joinstyle="round" endarrow="block"/>
                  <v:imagedata o:title=""/>
                  <o:lock v:ext="edit" aspectratio="f"/>
                </v:shape>
                <v:shape id="AutoShape 1579" o:spid="_x0000_s1026" o:spt="34" type="#_x0000_t34" style="position:absolute;left:883920;top:1287780;height:605790;width:1156970;" filled="f" stroked="t" coordsize="21600,21600" o:gfxdata="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zS5CONUAAAAFAQAADwAAAAAAAAABACAAAAAiAAAAZHJzL2Rvd25y&#10;ZXYueG1sUEsBAhQAFAAAAAgAh07iQGJMfXE6AgAAcgQAAA4AAAAAAAAAAQAgAAAAJAEAAGRycy9l&#10;Mm9Eb2MueG1sUEsFBgAAAAAGAAYAWQEAANAFAAAAAA==&#10;" adj="10800">
                  <v:fill on="f" focussize="0,0"/>
                  <v:stroke color="#000000" miterlimit="8" joinstyle="miter" endarrow="block"/>
                  <v:imagedata o:title=""/>
                  <o:lock v:ext="edit" aspectratio="f"/>
                </v:shape>
                <v:shape id="AutoShape 1580" o:spid="_x0000_s1026" o:spt="34" type="#_x0000_t34" style="position:absolute;left:883920;top:1893570;flip:y;height:635;width:1156970;" filled="f" stroked="t" coordsize="21600,21600" o:gfxdata="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cHHJotQAAAAFAQAADwAAAAAAAAABACAAAAAiAAAAZHJz&#10;L2Rvd25yZXYueG1sUEsBAhQAFAAAAAgAh07iQOfVWppBAgAAeQQAAA4AAAAAAAAAAQAgAAAAIwEA&#10;AGRycy9lMm9Eb2MueG1sUEsFBgAAAAAGAAYAWQEAANYFAAAAAA==&#10;" adj="10800">
                  <v:fill on="f" focussize="0,0"/>
                  <v:stroke color="#000000" miterlimit="8" joinstyle="miter" endarrow="block"/>
                  <v:imagedata o:title=""/>
                  <o:lock v:ext="edit" aspectratio="f"/>
                </v:shape>
                <v:shape id="AutoShape 1582" o:spid="_x0000_s1026" o:spt="34" type="#_x0000_t34" style="position:absolute;left:883920;top:1893570;flip:y;height:629920;width:1156970;" filled="f" stroked="t" coordsize="21600,21600" o:gfxdata="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&#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BxyaLUAAAABQEAAA8AAAAAAAAAAQAgAAAAIgAAAGRy&#10;cy9kb3ducmV2LnhtbFBLAQIUABQAAAAIAIdO4kDMk+LDQgIAAHwEAAAOAAAAAAAAAAEAIAAAACMB&#10;AABkcnMvZTJvRG9jLnhtbFBLBQYAAAAABgAGAFkBAADXBQAAAAA=&#10;" adj="10800">
                  <v:fill on="f" focussize="0,0"/>
                  <v:stroke color="#000000" miterlimit="8" joinstyle="miter" endarrow="block"/>
                  <v:imagedata o:title=""/>
                  <o:lock v:ext="edit" aspectratio="f"/>
                </v:shape>
                <v:shape id="AutoShape 1583" o:spid="_x0000_s1026" o:spt="34" type="#_x0000_t34" style="position:absolute;left:2524125;top:1287780;flip:y;height:605790;width:982980;" filled="f" stroked="t" coordsize="21600,21600" o:gfxdata="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Boec+1QAAAAUBAAAPAAAAAAAAAAEAIAAAACIA&#10;AABkcnMvZG93bnJldi54bWxQSwECFAAUAAAACACHTuJAZ6eNbEUCAAB8BAAADgAAAAAAAAABACAA&#10;AAAkAQAAZHJzL2Uyb0RvYy54bWxQSwUGAAAAAAYABgBZAQAA2wUAAAAA&#10;" adj="10786">
                  <v:fill on="f" focussize="0,0"/>
                  <v:stroke color="#000000" miterlimit="8" joinstyle="miter" endarrow="block"/>
                  <v:imagedata o:title=""/>
                  <o:lock v:ext="edit" aspectratio="f"/>
                </v:shape>
                <v:shape id="AutoShape 1584" o:spid="_x0000_s1026" o:spt="34" type="#_x0000_t34" style="position:absolute;left:2524125;top:1893570;height:635;width:982980;" filled="f" stroked="t" coordsize="21600,21600" o:gfxdata="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uW/GP1QAAAAUBAAAPAAAAAAAAAAEAIAAAACIAAABkcnMvZG93bnJl&#10;di54bWxQSwECFAAUAAAACACHTuJAhSkeJjkCAABvBAAADgAAAAAAAAABACAAAAAkAQAAZHJzL2Uy&#10;b0RvYy54bWxQSwUGAAAAAAYABgBZAQAAzwUAAAAA&#10;" adj="10786">
                  <v:fill on="f" focussize="0,0"/>
                  <v:stroke color="#000000" miterlimit="8" joinstyle="miter" endarrow="block"/>
                  <v:imagedata o:title=""/>
                  <o:lock v:ext="edit" aspectratio="f"/>
                </v:shape>
                <v:shape id="AutoShape 1585" o:spid="_x0000_s1026" o:spt="34" type="#_x0000_t34" style="position:absolute;left:2524125;top:1893570;height:629920;width:982980;" filled="f" stroked="t" coordsize="21600,21600" o:gfxdata="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5b8Y/VAAAABQEAAA8AAAAAAAAAAQAgAAAAIgAAAGRycy9kb3du&#10;cmV2LnhtbFBLAQIUABQAAAAIAIdO4kBk8DobOwIAAHIEAAAOAAAAAAAAAAEAIAAAACQBAABkcnMv&#10;ZTJvRG9jLnhtbFBLBQYAAAAABgAGAFkBAADRBQAAAAA=&#10;" adj="10786">
                  <v:fill on="f" focussize="0,0"/>
                  <v:stroke color="#000000" miterlimit="8" joinstyle="miter" endarrow="block"/>
                  <v:imagedata o:title=""/>
                  <o:lock v:ext="edit" aspectratio="f"/>
                </v:shape>
                <v:rect id="Rectangle 1586" o:spid="_x0000_s1026" o:spt="1" style="position:absolute;left:781050;top:1081405;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0N5T9cAAAAFAQAADwAAAAAA&#10;AAABACAAAAAiAAAAZHJzL2Rvd25yZXYueG1sUEsBAhQAFAAAAAgAh07iQFT38YgUAgAAKAQAAA4A&#10;AAAAAAAAAQAgAAAAJgEAAGRycy9lMm9Eb2MueG1sUEsFBgAAAAAGAAYAWQEAAKwFAAAAAA==&#10;">
                  <v:fill on="f" focussize="0,0"/>
                  <v:stroke on="f"/>
                  <v:imagedata o:title=""/>
                  <o:lock v:ext="edit" aspectratio="f"/>
                  <v:textbox>
                    <w:txbxContent>
                      <w:p>
                        <w:pPr>
                          <w:jc w:val="center"/>
                        </w:pPr>
                        <w:r>
                          <w:rPr>
                            <w:rFonts w:hint="eastAsia"/>
                            <w:kern w:val="21"/>
                          </w:rPr>
                          <w:t>675.639</w:t>
                        </w:r>
                      </w:p>
                    </w:txbxContent>
                  </v:textbox>
                </v:rect>
                <v:rect id="Rectangle 1587" o:spid="_x0000_s1026" o:spt="1" style="position:absolute;left:781050;top:1675130;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dDeU/XAAAABQEAAA8AAAAAAAAA&#10;AQAgAAAAIgAAAGRycy9kb3ducmV2LnhtbFBLAQIUABQAAAAIAIdO4kAcNVhwEgIAACgEAAAOAAAA&#10;AAAAAAEAIAAAACYBAABkcnMvZTJvRG9jLnhtbFBLBQYAAAAABgAGAFkBAACqBQAAAAA=&#10;">
                  <v:fill on="f" focussize="0,0"/>
                  <v:stroke on="f"/>
                  <v:imagedata o:title=""/>
                  <o:lock v:ext="edit" aspectratio="f"/>
                  <v:textbox>
                    <w:txbxContent>
                      <w:p>
                        <w:pPr>
                          <w:jc w:val="center"/>
                        </w:pPr>
                        <w:r>
                          <w:rPr>
                            <w:rFonts w:hint="eastAsia"/>
                          </w:rPr>
                          <w:t>48.234</w:t>
                        </w:r>
                      </w:p>
                    </w:txbxContent>
                  </v:textbox>
                </v:rect>
                <v:rect id="Rectangle 1588" o:spid="_x0000_s1026" o:spt="1" style="position:absolute;left:781050;top:2309495;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HQ3lP1wAAAAUBAAAPAAAA&#10;AAAAAAEAIAAAACIAAABkcnMvZG93bnJldi54bWxQSwECFAAUAAAACACHTuJANwGouhYCAAAoBAAA&#10;DgAAAAAAAAABACAAAAAmAQAAZHJzL2Uyb0RvYy54bWxQSwUGAAAAAAYABgBZAQAArgUAAAAA&#10;">
                  <v:fill on="f" focussize="0,0"/>
                  <v:stroke on="f"/>
                  <v:imagedata o:title=""/>
                  <o:lock v:ext="edit" aspectratio="f"/>
                  <v:textbox>
                    <w:txbxContent>
                      <w:p>
                        <w:pPr>
                          <w:jc w:val="center"/>
                        </w:pPr>
                        <w:r>
                          <w:rPr>
                            <w:rFonts w:hint="eastAsia"/>
                          </w:rPr>
                          <w:t>26.598</w:t>
                        </w:r>
                      </w:p>
                    </w:txbxContent>
                  </v:textbox>
                </v:rect>
                <v:rect id="Rectangle 1589" o:spid="_x0000_s1026" o:spt="1" style="position:absolute;left:1387475;top:1675130;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dDeU/XAAAABQEAAA8AAAAA&#10;AAAAAQAgAAAAIgAAAGRycy9kb3ducmV2LnhtbFBLAQIUABQAAAAIAIdO4kCPVLaIFQIAACkEAAAO&#10;AAAAAAAAAAEAIAAAACYBAABkcnMvZTJvRG9jLnhtbFBLBQYAAAAABgAGAFkBAACtBQAAAAA=&#10;">
                  <v:fill on="f" focussize="0,0"/>
                  <v:stroke on="f"/>
                  <v:imagedata o:title=""/>
                  <o:lock v:ext="edit" aspectratio="f"/>
                  <v:textbox>
                    <w:txbxContent>
                      <w:p>
                        <w:pPr>
                          <w:jc w:val="center"/>
                        </w:pPr>
                        <w:r>
                          <w:rPr>
                            <w:rFonts w:hint="eastAsia"/>
                            <w:kern w:val="21"/>
                          </w:rPr>
                          <w:t>750.471</w:t>
                        </w:r>
                      </w:p>
                    </w:txbxContent>
                  </v:textbox>
                </v:rect>
                <v:rect id="Rectangle 1590" o:spid="_x0000_s1026" o:spt="1" style="position:absolute;left:2087245;top:810260;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HQ3lP1wAAAAUBAAAPAAAA&#10;AAAAAAEAIAAAACIAAABkcnMvZG93bnJldi54bWxQSwECFAAUAAAACACHTuJAXZu0ZBYCAAAoBAAA&#10;DgAAAAAAAAABACAAAAAmAQAAZHJzL2Uyb0RvYy54bWxQSwUGAAAAAAYABgBZAQAArgUAAAAA&#10;">
                  <v:fill on="f" focussize="0,0"/>
                  <v:stroke on="f"/>
                  <v:imagedata o:title=""/>
                  <o:lock v:ext="edit" aspectratio="f"/>
                  <v:textbox>
                    <w:txbxContent>
                      <w:p>
                        <w:pPr>
                          <w:jc w:val="center"/>
                        </w:pPr>
                        <w:r>
                          <w:rPr>
                            <w:rFonts w:hint="eastAsia"/>
                          </w:rPr>
                          <w:t>1.917</w:t>
                        </w:r>
                      </w:p>
                    </w:txbxContent>
                  </v:textbox>
                </v:rect>
                <v:rect id="Rectangle 1591" o:spid="_x0000_s1026" o:spt="1" style="position:absolute;left:2847975;top:1064260;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0N5T9cAAAAFAQAADwAA&#10;AAAAAAABACAAAAAiAAAAZHJzL2Rvd25yZXYueG1sUEsBAhQAFAAAAAgAh07iQF5VsukXAgAAKQQA&#10;AA4AAAAAAAAAAQAgAAAAJgEAAGRycy9lMm9Eb2MueG1sUEsFBgAAAAAGAAYAWQEAAK8FAAAAAA==&#10;">
                  <v:fill on="f" focussize="0,0"/>
                  <v:stroke on="f"/>
                  <v:imagedata o:title=""/>
                  <o:lock v:ext="edit" aspectratio="f"/>
                  <v:textbox>
                    <w:txbxContent>
                      <w:p>
                        <w:pPr>
                          <w:jc w:val="center"/>
                        </w:pPr>
                        <w:r>
                          <w:rPr>
                            <w:rFonts w:hint="eastAsia"/>
                          </w:rPr>
                          <w:t>738.531</w:t>
                        </w:r>
                      </w:p>
                    </w:txbxContent>
                  </v:textbox>
                </v:rect>
                <v:rect id="Rectangle 1592" o:spid="_x0000_s1026" o:spt="1" style="position:absolute;left:2858135;top:1675130;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dDeU/XAAAABQEAAA8AAAAAAAAA&#10;AQAgAAAAIgAAAGRycy9kb3ducmV2LnhtbFBLAQIUABQAAAAIAIdO4kA6pU6AEgIAACkEAAAOAAAA&#10;AAAAAAEAIAAAACYBAABkcnMvZTJvRG9jLnhtbFBLBQYAAAAABgAGAFkBAACqBQAAAAA=&#10;">
                  <v:fill on="f" focussize="0,0"/>
                  <v:stroke on="f"/>
                  <v:imagedata o:title=""/>
                  <o:lock v:ext="edit" aspectratio="f"/>
                  <v:textbox>
                    <w:txbxContent>
                      <w:p>
                        <w:pPr>
                          <w:jc w:val="center"/>
                        </w:pPr>
                        <w:r>
                          <w:rPr>
                            <w:rFonts w:hint="eastAsia"/>
                            <w:kern w:val="21"/>
                          </w:rPr>
                          <w:t>7.976</w:t>
                        </w:r>
                      </w:p>
                    </w:txbxContent>
                  </v:textbox>
                </v:rect>
                <v:rect id="Rectangle 1593" o:spid="_x0000_s1026" o:spt="1" style="position:absolute;left:2847975;top:2309495;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0N5T9cAAAAFAQAADwAA&#10;AAAAAAABACAAAAAiAAAAZHJzL2Rvd25yZXYueG1sUEsBAhQAFAAAAAgAh07iQO0EJdIXAgAAKQQA&#10;AA4AAAAAAAAAAQAgAAAAJgEAAGRycy9lMm9Eb2MueG1sUEsFBgAAAAAGAAYAWQEAAK8FAAAAAA==&#10;">
                  <v:fill on="f" focussize="0,0"/>
                  <v:stroke on="f"/>
                  <v:imagedata o:title=""/>
                  <o:lock v:ext="edit" aspectratio="f"/>
                  <v:textbox>
                    <w:txbxContent>
                      <w:p>
                        <w:pPr>
                          <w:jc w:val="center"/>
                        </w:pPr>
                        <w:r>
                          <w:rPr>
                            <w:rFonts w:hint="eastAsia"/>
                          </w:rPr>
                          <w:t>2.047</w:t>
                        </w:r>
                      </w:p>
                    </w:txbxContent>
                  </v:textbox>
                </v:rect>
                <v:rect id="Rectangle 1594" o:spid="_x0000_s1026" o:spt="1" style="position:absolute;left:2403624;top:1675130;height:318135;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HQ3lP1wAAAAUBAAAPAAAA&#10;AAAAAAEAIAAAACIAAABkcnMvZG93bnJldi54bWxQSwECFAAUAAAACACHTuJA4oG47BYCAAApBAAA&#10;DgAAAAAAAAABACAAAAAmAQAAZHJzL2Uyb0RvYy54bWxQSwUGAAAAAAYABgBZAQAArgUAAAAA&#10;">
                  <v:fill on="f" focussize="0,0"/>
                  <v:stroke on="f"/>
                  <v:imagedata o:title=""/>
                  <o:lock v:ext="edit" aspectratio="f"/>
                  <v:textbox>
                    <w:txbxContent>
                      <w:p>
                        <w:pPr>
                          <w:jc w:val="center"/>
                        </w:pPr>
                        <w:r>
                          <w:rPr>
                            <w:rFonts w:hint="eastAsia"/>
                            <w:kern w:val="21"/>
                          </w:rPr>
                          <w:t>748.554</w:t>
                        </w:r>
                      </w:p>
                      <w:p>
                        <w:pPr>
                          <w:jc w:val="center"/>
                        </w:pPr>
                      </w:p>
                    </w:txbxContent>
                  </v:textbox>
                </v:rect>
                <v:rect id="Rectangle 1595" o:spid="_x0000_s1026" o:spt="1" style="position:absolute;left:4412615;top:2364740;height:316865;width:863600;" fillcolor="#FFFFFF" filled="t" stroked="t" coordsize="21600,21600" o:gfxdata="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IjY5rUAAAABQEAAA8AAAAAAAAAAQAg&#10;AAAAIgAAAGRycy9kb3ducmV2LnhtbFBLAQIUABQAAAAIAIdO4kCOG9nJSwIAAKYEAAAOAAAAAAAA&#10;AAEAIAAAACMBAABkcnMvZTJvRG9jLnhtbFBLBQYAAAAABgAGAFkBAADgBQAAAAA=&#10;">
                  <v:fill on="t" focussize="0,0"/>
                  <v:stroke color="#000000" miterlimit="8" joinstyle="miter"/>
                  <v:imagedata o:title=""/>
                  <o:lock v:ext="edit" aspectratio="f"/>
                  <v:textbox>
                    <w:txbxContent>
                      <w:p>
                        <w:pPr>
                          <w:jc w:val="center"/>
                        </w:pPr>
                        <w:r>
                          <w:t>蒸发结晶盐</w:t>
                        </w:r>
                      </w:p>
                    </w:txbxContent>
                  </v:textbox>
                </v:rect>
                <v:shape id="AutoShape 1596" o:spid="_x0000_s1026" o:spt="32" type="#_x0000_t32" style="position:absolute;left:4024630;top:2523490;height:635;width:387985;" filled="f" stroked="t" coordsize="21600,21600" o:gfxdata="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wX54q1gAA&#10;AAUBAAAPAAAAAAAAAAEAIAAAACIAAABkcnMvZG93bnJldi54bWxQSwECFAAUAAAACACHTuJAEeP2&#10;GiACAAA5BAAADgAAAAAAAAABACAAAAAlAQAAZHJzL2Uyb0RvYy54bWxQSwUGAAAAAAYABgBZAQAA&#10;twUAAAAA&#10;">
                  <v:fill on="f" focussize="0,0"/>
                  <v:stroke color="#000000" joinstyle="round" endarrow="block"/>
                  <v:imagedata o:title=""/>
                  <o:lock v:ext="edit" aspectratio="f"/>
                </v:shape>
                <v:rect id="Rectangle 1593" o:spid="_x0000_s1026" o:spt="1" style="position:absolute;left:3827780;top:2293620;height:242570;width:760730;" filled="f" stroked="f" coordsize="21600,21600" o:gfxdata="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HQ3lP1wAAAAUBAAAPAAAA&#10;AAAAAAEAIAAAACIAAABkcnMvZG93bnJldi54bWxQSwECFAAUAAAACACHTuJAdFjFsRYCAAApBAAA&#10;DgAAAAAAAAABACAAAAAmAQAAZHJzL2Uyb0RvYy54bWxQSwUGAAAAAAYABgBZAQAArgUAAAAA&#10;">
                  <v:fill on="f" focussize="0,0"/>
                  <v:stroke on="f"/>
                  <v:imagedata o:title=""/>
                  <o:lock v:ext="edit" aspectratio="f"/>
                  <v:textbox>
                    <w:txbxContent>
                      <w:p>
                        <w:pPr>
                          <w:jc w:val="center"/>
                          <w:rPr>
                            <w:color w:val="auto"/>
                          </w:rPr>
                        </w:pPr>
                        <w:r>
                          <w:rPr>
                            <w:rFonts w:hint="eastAsia"/>
                            <w:color w:val="auto"/>
                          </w:rPr>
                          <w:t>2.047</w:t>
                        </w:r>
                      </w:p>
                    </w:txbxContent>
                  </v:textbox>
                </v:rect>
                <w10:wrap type="none"/>
                <w10:anchorlock/>
              </v:group>
            </w:pict>
          </mc:Fallback>
        </mc:AlternateContent>
      </w:r>
    </w:p>
    <w:p>
      <w:pPr>
        <w:pStyle w:val="271"/>
        <w:keepNext w:val="0"/>
        <w:keepLines w:val="0"/>
        <w:snapToGrid w:val="0"/>
        <w:spacing w:before="0" w:beforeLines="0" w:after="0" w:afterLines="0"/>
        <w:jc w:val="center"/>
        <w:outlineLvl w:val="9"/>
        <w:rPr>
          <w:rFonts w:cs="Times New Roman"/>
          <w:b/>
          <w:bCs/>
          <w:color w:val="auto"/>
          <w:kern w:val="21"/>
          <w:szCs w:val="24"/>
          <w:u w:val="single"/>
        </w:rPr>
      </w:pPr>
      <w:r>
        <w:rPr>
          <w:rFonts w:hint="eastAsia" w:cs="Times New Roman"/>
          <w:b/>
          <w:bCs/>
          <w:color w:val="auto"/>
          <w:kern w:val="21"/>
          <w:szCs w:val="24"/>
          <w:u w:val="single"/>
        </w:rPr>
        <w:t>图3.3-4  镍元素平衡图      单位：t/a</w:t>
      </w:r>
    </w:p>
    <w:p>
      <w:pPr>
        <w:pStyle w:val="6"/>
        <w:spacing w:before="0" w:after="0" w:line="360" w:lineRule="auto"/>
        <w:rPr>
          <w:b w:val="0"/>
          <w:color w:val="auto"/>
          <w:sz w:val="24"/>
          <w:szCs w:val="24"/>
        </w:rPr>
      </w:pPr>
      <w:r>
        <w:rPr>
          <w:b w:val="0"/>
          <w:color w:val="auto"/>
          <w:sz w:val="24"/>
          <w:szCs w:val="24"/>
        </w:rPr>
        <w:t>3.3.</w:t>
      </w:r>
      <w:r>
        <w:rPr>
          <w:rFonts w:hint="eastAsia"/>
          <w:b w:val="0"/>
          <w:color w:val="auto"/>
          <w:sz w:val="24"/>
          <w:szCs w:val="24"/>
        </w:rPr>
        <w:t>4</w:t>
      </w:r>
      <w:r>
        <w:rPr>
          <w:b w:val="0"/>
          <w:color w:val="auto"/>
          <w:sz w:val="24"/>
          <w:szCs w:val="24"/>
        </w:rPr>
        <w:t>.</w:t>
      </w:r>
      <w:r>
        <w:rPr>
          <w:rFonts w:hint="eastAsia"/>
          <w:b w:val="0"/>
          <w:color w:val="auto"/>
          <w:sz w:val="24"/>
          <w:szCs w:val="24"/>
        </w:rPr>
        <w:t>2锌</w:t>
      </w:r>
      <w:r>
        <w:rPr>
          <w:b w:val="0"/>
          <w:color w:val="auto"/>
          <w:sz w:val="24"/>
          <w:szCs w:val="24"/>
        </w:rPr>
        <w:t>元素平衡</w:t>
      </w:r>
    </w:p>
    <w:p>
      <w:pPr>
        <w:pStyle w:val="271"/>
        <w:keepNext w:val="0"/>
        <w:keepLines w:val="0"/>
        <w:snapToGrid w:val="0"/>
        <w:spacing w:before="0" w:beforeLines="0" w:after="0" w:afterLines="0"/>
        <w:outlineLvl w:val="9"/>
        <w:rPr>
          <w:rFonts w:eastAsia="宋体" w:cs="Times New Roman"/>
          <w:color w:val="auto"/>
          <w:kern w:val="21"/>
          <w:szCs w:val="24"/>
        </w:rPr>
      </w:pPr>
      <w:r>
        <w:rPr>
          <w:rFonts w:hint="eastAsia" w:eastAsia="宋体" w:cs="Times New Roman"/>
          <w:color w:val="auto"/>
          <w:kern w:val="21"/>
          <w:szCs w:val="24"/>
        </w:rPr>
        <w:t>1、</w:t>
      </w:r>
      <w:r>
        <w:rPr>
          <w:rFonts w:hint="eastAsia" w:eastAsia="宋体" w:cs="Times New Roman"/>
          <w:color w:val="auto"/>
          <w:kern w:val="21"/>
          <w:szCs w:val="24"/>
          <w:lang w:eastAsia="zh-CN"/>
        </w:rPr>
        <w:t>锂电池箱</w:t>
      </w:r>
      <w:r>
        <w:rPr>
          <w:rFonts w:hint="eastAsia" w:eastAsia="宋体" w:cs="Times New Roman"/>
          <w:color w:val="auto"/>
          <w:kern w:val="21"/>
          <w:szCs w:val="24"/>
        </w:rPr>
        <w:t>镀锌面积核算</w:t>
      </w:r>
    </w:p>
    <w:p>
      <w:pPr>
        <w:pStyle w:val="271"/>
        <w:keepNext w:val="0"/>
        <w:keepLines w:val="0"/>
        <w:snapToGrid w:val="0"/>
        <w:spacing w:before="0" w:beforeLines="0" w:after="0" w:afterLines="0"/>
        <w:ind w:firstLine="480" w:firstLineChars="200"/>
        <w:outlineLvl w:val="9"/>
        <w:rPr>
          <w:rFonts w:eastAsia="宋体" w:cs="Times New Roman"/>
          <w:color w:val="auto"/>
          <w:kern w:val="21"/>
          <w:szCs w:val="24"/>
        </w:rPr>
      </w:pPr>
      <w:r>
        <w:rPr>
          <w:rFonts w:hint="eastAsia" w:eastAsia="宋体" w:cs="Times New Roman"/>
          <w:color w:val="auto"/>
          <w:kern w:val="21"/>
          <w:szCs w:val="24"/>
        </w:rPr>
        <w:t>本项目</w:t>
      </w:r>
      <w:r>
        <w:rPr>
          <w:rFonts w:hint="eastAsia" w:eastAsia="宋体" w:cs="Times New Roman"/>
          <w:color w:val="auto"/>
          <w:kern w:val="21"/>
          <w:szCs w:val="24"/>
          <w:lang w:eastAsia="zh-CN"/>
        </w:rPr>
        <w:t>锂</w:t>
      </w:r>
      <w:r>
        <w:rPr>
          <w:rFonts w:hint="eastAsia" w:eastAsia="宋体" w:cs="Times New Roman"/>
          <w:color w:val="auto"/>
          <w:kern w:val="21"/>
          <w:szCs w:val="24"/>
        </w:rPr>
        <w:t>电池箱镀锌</w:t>
      </w:r>
      <w:r>
        <w:rPr>
          <w:rFonts w:hint="eastAsia" w:eastAsia="宋体" w:cs="Times New Roman"/>
          <w:color w:val="auto"/>
          <w:kern w:val="21"/>
          <w:szCs w:val="24"/>
          <w:lang w:eastAsia="zh-CN"/>
        </w:rPr>
        <w:t>，</w:t>
      </w:r>
      <w:r>
        <w:rPr>
          <w:rFonts w:hint="eastAsia" w:eastAsia="宋体" w:cs="Times New Roman"/>
          <w:color w:val="auto"/>
          <w:kern w:val="21"/>
          <w:szCs w:val="24"/>
        </w:rPr>
        <w:t>镀锌面积核算详见下表。</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hint="eastAsia" w:cs="Times New Roman"/>
          <w:color w:val="auto"/>
          <w:kern w:val="21"/>
          <w:szCs w:val="24"/>
        </w:rPr>
        <w:t>表3.3-8  镀锌面积核算一览表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775"/>
        <w:gridCol w:w="648"/>
        <w:gridCol w:w="963"/>
        <w:gridCol w:w="1040"/>
        <w:gridCol w:w="648"/>
        <w:gridCol w:w="1480"/>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16" w:type="pct"/>
            <w:gridSpan w:val="3"/>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参数</w:t>
            </w:r>
          </w:p>
        </w:tc>
        <w:tc>
          <w:tcPr>
            <w:tcW w:w="56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尺寸</w:t>
            </w:r>
          </w:p>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（mm）</w:t>
            </w:r>
          </w:p>
        </w:tc>
        <w:tc>
          <w:tcPr>
            <w:tcW w:w="610"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表面积</w:t>
            </w:r>
          </w:p>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（m</w:t>
            </w:r>
            <w:r>
              <w:rPr>
                <w:rFonts w:hint="eastAsia" w:eastAsia="宋体" w:cs="Times New Roman"/>
                <w:color w:val="auto"/>
                <w:kern w:val="21"/>
                <w:sz w:val="21"/>
                <w:szCs w:val="21"/>
                <w:vertAlign w:val="superscript"/>
              </w:rPr>
              <w:t>2</w:t>
            </w:r>
            <w:r>
              <w:rPr>
                <w:rFonts w:hint="eastAsia" w:eastAsia="宋体" w:cs="Times New Roman"/>
                <w:color w:val="auto"/>
                <w:kern w:val="21"/>
                <w:sz w:val="21"/>
                <w:szCs w:val="21"/>
              </w:rPr>
              <w:t>）</w:t>
            </w:r>
          </w:p>
        </w:tc>
        <w:tc>
          <w:tcPr>
            <w:tcW w:w="380"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镀层</w:t>
            </w:r>
          </w:p>
        </w:tc>
        <w:tc>
          <w:tcPr>
            <w:tcW w:w="86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数量（个）</w:t>
            </w:r>
          </w:p>
        </w:tc>
        <w:tc>
          <w:tcPr>
            <w:tcW w:w="1359"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镀锌面积（m</w:t>
            </w:r>
            <w:r>
              <w:rPr>
                <w:rFonts w:hint="eastAsia" w:eastAsia="宋体" w:cs="Times New Roman"/>
                <w:color w:val="auto"/>
                <w:kern w:val="21"/>
                <w:sz w:val="21"/>
                <w:szCs w:val="21"/>
                <w:vertAlign w:val="superscript"/>
              </w:rPr>
              <w:t>2</w:t>
            </w:r>
            <w:r>
              <w:rPr>
                <w:rFonts w:hint="eastAsia" w:eastAsia="宋体" w:cs="Times New Roman"/>
                <w:color w:val="auto"/>
                <w:kern w:val="2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lang w:eastAsia="zh-CN"/>
              </w:rPr>
              <w:t>锂</w:t>
            </w:r>
            <w:r>
              <w:rPr>
                <w:rFonts w:hint="eastAsia" w:eastAsia="宋体" w:cs="Times New Roman"/>
                <w:color w:val="auto"/>
                <w:kern w:val="21"/>
                <w:sz w:val="21"/>
                <w:szCs w:val="21"/>
              </w:rPr>
              <w:t>电池箱</w:t>
            </w:r>
          </w:p>
        </w:tc>
        <w:tc>
          <w:tcPr>
            <w:tcW w:w="45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48V 60A型</w:t>
            </w:r>
          </w:p>
        </w:tc>
        <w:tc>
          <w:tcPr>
            <w:tcW w:w="380"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长</w:t>
            </w:r>
          </w:p>
        </w:tc>
        <w:tc>
          <w:tcPr>
            <w:tcW w:w="56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380</w:t>
            </w:r>
          </w:p>
        </w:tc>
        <w:tc>
          <w:tcPr>
            <w:tcW w:w="610"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1.1912</w:t>
            </w:r>
          </w:p>
        </w:tc>
        <w:tc>
          <w:tcPr>
            <w:tcW w:w="380"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b/>
                <w:bCs/>
                <w:color w:val="auto"/>
                <w:kern w:val="21"/>
                <w:sz w:val="21"/>
                <w:szCs w:val="21"/>
                <w:u w:val="single"/>
              </w:rPr>
              <w:t>1</w:t>
            </w:r>
          </w:p>
        </w:tc>
        <w:tc>
          <w:tcPr>
            <w:tcW w:w="868"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1980000</w:t>
            </w:r>
          </w:p>
        </w:tc>
        <w:tc>
          <w:tcPr>
            <w:tcW w:w="1359" w:type="pct"/>
            <w:vMerge w:val="restart"/>
            <w:shd w:val="clear" w:color="auto" w:fill="auto"/>
            <w:vAlign w:val="center"/>
          </w:tcPr>
          <w:p>
            <w:pPr>
              <w:jc w:val="center"/>
              <w:rPr>
                <w:rFonts w:ascii="宋体" w:hAnsi="宋体" w:cs="宋体"/>
                <w:color w:val="auto"/>
                <w:sz w:val="22"/>
                <w:szCs w:val="22"/>
              </w:rPr>
            </w:pPr>
            <w:r>
              <w:rPr>
                <w:rFonts w:hint="eastAsia"/>
                <w:color w:val="auto"/>
                <w:kern w:val="21"/>
              </w:rPr>
              <w:t>2358576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45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0"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宽</w:t>
            </w:r>
          </w:p>
        </w:tc>
        <w:tc>
          <w:tcPr>
            <w:tcW w:w="56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280</w:t>
            </w:r>
          </w:p>
        </w:tc>
        <w:tc>
          <w:tcPr>
            <w:tcW w:w="610"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0"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8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135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0"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45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0"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高</w:t>
            </w:r>
          </w:p>
        </w:tc>
        <w:tc>
          <w:tcPr>
            <w:tcW w:w="56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290</w:t>
            </w:r>
          </w:p>
        </w:tc>
        <w:tc>
          <w:tcPr>
            <w:tcW w:w="610"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0"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8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135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shd w:val="clear" w:color="auto" w:fill="auto"/>
            <w:vAlign w:val="center"/>
          </w:tcPr>
          <w:p>
            <w:pPr>
              <w:pStyle w:val="271"/>
              <w:keepNext w:val="0"/>
              <w:keepLines w:val="0"/>
              <w:snapToGrid w:val="0"/>
              <w:spacing w:before="0" w:beforeLines="0" w:after="0" w:afterLines="0" w:line="240" w:lineRule="auto"/>
              <w:jc w:val="both"/>
              <w:outlineLvl w:val="9"/>
              <w:rPr>
                <w:rFonts w:hint="eastAsia" w:eastAsia="宋体" w:cs="Times New Roman"/>
                <w:color w:val="auto"/>
                <w:kern w:val="21"/>
                <w:sz w:val="21"/>
                <w:szCs w:val="21"/>
                <w:lang w:eastAsia="zh-CN"/>
              </w:rPr>
            </w:pPr>
            <w:r>
              <w:rPr>
                <w:rFonts w:hint="eastAsia" w:eastAsia="宋体" w:cs="Times New Roman"/>
                <w:color w:val="auto"/>
                <w:kern w:val="21"/>
                <w:sz w:val="21"/>
                <w:szCs w:val="21"/>
                <w:lang w:eastAsia="zh-CN"/>
              </w:rPr>
              <w:t>备注：表面积包含电池箱内外全面积。</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textAlignment w:val="auto"/>
        <w:outlineLvl w:val="9"/>
        <w:rPr>
          <w:rFonts w:eastAsia="宋体" w:cs="Times New Roman"/>
          <w:color w:val="auto"/>
          <w:kern w:val="21"/>
          <w:szCs w:val="24"/>
        </w:rPr>
      </w:pPr>
      <w:r>
        <w:rPr>
          <w:rFonts w:hint="eastAsia" w:eastAsia="宋体" w:cs="Times New Roman"/>
          <w:color w:val="auto"/>
          <w:kern w:val="21"/>
          <w:szCs w:val="24"/>
        </w:rPr>
        <w:t>2、</w:t>
      </w:r>
      <w:r>
        <w:rPr>
          <w:rFonts w:eastAsia="宋体" w:cs="Times New Roman"/>
          <w:color w:val="auto"/>
          <w:kern w:val="21"/>
          <w:szCs w:val="24"/>
        </w:rPr>
        <w:t xml:space="preserve">产品金属镀层的重量 </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cs="Times New Roman"/>
          <w:color w:val="auto"/>
          <w:kern w:val="21"/>
          <w:szCs w:val="24"/>
        </w:rPr>
        <w:t>表3.3-</w:t>
      </w:r>
      <w:r>
        <w:rPr>
          <w:rFonts w:hint="eastAsia" w:cs="Times New Roman"/>
          <w:color w:val="auto"/>
          <w:kern w:val="21"/>
          <w:szCs w:val="24"/>
        </w:rPr>
        <w:t>9</w:t>
      </w:r>
      <w:r>
        <w:rPr>
          <w:rFonts w:cs="Times New Roman"/>
          <w:color w:val="auto"/>
          <w:kern w:val="21"/>
          <w:szCs w:val="24"/>
        </w:rPr>
        <w:t xml:space="preserve">    金属镀层重量计算结果表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6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镀层金属</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比重（g/cm</w:t>
            </w:r>
            <w:r>
              <w:rPr>
                <w:rFonts w:eastAsia="宋体" w:cs="Times New Roman"/>
                <w:color w:val="auto"/>
                <w:kern w:val="21"/>
                <w:sz w:val="21"/>
                <w:szCs w:val="21"/>
                <w:vertAlign w:val="superscript"/>
              </w:rPr>
              <w:t>3</w:t>
            </w:r>
            <w:r>
              <w:rPr>
                <w:rFonts w:eastAsia="宋体" w:cs="Times New Roman"/>
                <w:color w:val="auto"/>
                <w:kern w:val="21"/>
                <w:sz w:val="21"/>
                <w:szCs w:val="21"/>
              </w:rPr>
              <w:t xml:space="preserve">） </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hint="eastAsia" w:eastAsia="宋体" w:cs="Times New Roman"/>
                <w:color w:val="auto"/>
                <w:kern w:val="21"/>
                <w:sz w:val="21"/>
                <w:szCs w:val="21"/>
              </w:rPr>
              <w:t>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镀层厚度（μm）</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w:t>
            </w:r>
            <w:r>
              <w:rPr>
                <w:rFonts w:hint="eastAsia" w:eastAsia="宋体" w:cs="Times New Roman"/>
                <w:color w:val="auto"/>
                <w:kern w:val="21"/>
                <w:szCs w:val="24"/>
              </w:rPr>
              <w:t>锌</w:t>
            </w:r>
            <w:r>
              <w:rPr>
                <w:rFonts w:eastAsia="宋体" w:cs="Times New Roman"/>
                <w:color w:val="auto"/>
                <w:kern w:val="21"/>
                <w:sz w:val="21"/>
                <w:szCs w:val="21"/>
              </w:rPr>
              <w:t>面积（m</w:t>
            </w:r>
            <w:r>
              <w:rPr>
                <w:rFonts w:eastAsia="宋体" w:cs="Times New Roman"/>
                <w:color w:val="auto"/>
                <w:kern w:val="21"/>
                <w:sz w:val="21"/>
                <w:szCs w:val="21"/>
                <w:vertAlign w:val="superscript"/>
              </w:rPr>
              <w:t>2</w:t>
            </w:r>
            <w:r>
              <w:rPr>
                <w:rFonts w:eastAsia="宋体" w:cs="Times New Roman"/>
                <w:color w:val="auto"/>
                <w:kern w:val="21"/>
                <w:sz w:val="21"/>
                <w:szCs w:val="21"/>
              </w:rPr>
              <w:t>）</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hint="eastAsia" w:eastAsia="宋体" w:cs="Times New Roman"/>
                <w:color w:val="auto"/>
                <w:kern w:val="21"/>
                <w:sz w:val="21"/>
                <w:szCs w:val="21"/>
              </w:rPr>
              <w:t>2358576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eastAsia="宋体" w:cs="Times New Roman"/>
                <w:color w:val="auto"/>
                <w:kern w:val="21"/>
                <w:sz w:val="21"/>
                <w:szCs w:val="21"/>
              </w:rPr>
              <w:t>镀层重量（t/a）</w:t>
            </w:r>
          </w:p>
        </w:tc>
        <w:tc>
          <w:tcPr>
            <w:tcW w:w="3535" w:type="pct"/>
            <w:vAlign w:val="center"/>
          </w:tcPr>
          <w:p>
            <w:pPr>
              <w:pStyle w:val="271"/>
              <w:keepNext w:val="0"/>
              <w:keepLines w:val="0"/>
              <w:snapToGrid w:val="0"/>
              <w:spacing w:before="0" w:beforeLines="0" w:after="0" w:afterLines="0" w:line="240" w:lineRule="auto"/>
              <w:ind w:firstLine="420" w:firstLineChars="200"/>
              <w:jc w:val="center"/>
              <w:outlineLvl w:val="9"/>
              <w:rPr>
                <w:rFonts w:eastAsia="宋体" w:cs="Times New Roman"/>
                <w:color w:val="auto"/>
                <w:kern w:val="21"/>
                <w:sz w:val="21"/>
                <w:szCs w:val="21"/>
              </w:rPr>
            </w:pPr>
            <w:r>
              <w:rPr>
                <w:rFonts w:hint="eastAsia" w:eastAsia="宋体" w:cs="Times New Roman"/>
                <w:color w:val="auto"/>
                <w:kern w:val="21"/>
                <w:sz w:val="21"/>
                <w:szCs w:val="21"/>
              </w:rPr>
              <w:t>42.101</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ind w:firstLine="480" w:firstLineChars="200"/>
        <w:textAlignment w:val="auto"/>
        <w:outlineLvl w:val="9"/>
        <w:rPr>
          <w:rFonts w:eastAsia="宋体" w:cs="Times New Roman"/>
          <w:color w:val="auto"/>
          <w:kern w:val="21"/>
          <w:szCs w:val="24"/>
        </w:rPr>
      </w:pPr>
      <w:r>
        <w:rPr>
          <w:rFonts w:eastAsia="宋体" w:cs="Times New Roman"/>
          <w:color w:val="auto"/>
          <w:kern w:val="21"/>
          <w:szCs w:val="24"/>
        </w:rPr>
        <w:t>依据物料的原始参数及化学成分，对本项目镍进行金属平衡分析。</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cs="Times New Roman"/>
          <w:color w:val="auto"/>
          <w:kern w:val="21"/>
          <w:szCs w:val="24"/>
        </w:rPr>
        <w:t>表3.3-</w:t>
      </w:r>
      <w:r>
        <w:rPr>
          <w:rFonts w:hint="eastAsia" w:cs="Times New Roman"/>
          <w:color w:val="auto"/>
          <w:kern w:val="21"/>
          <w:szCs w:val="24"/>
        </w:rPr>
        <w:t>10</w:t>
      </w:r>
      <w:r>
        <w:rPr>
          <w:rFonts w:cs="Times New Roman"/>
          <w:color w:val="auto"/>
          <w:kern w:val="21"/>
          <w:szCs w:val="24"/>
        </w:rPr>
        <w:t xml:space="preserve"> 重金属/有害元素平衡部分计算参数取值</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975"/>
        <w:gridCol w:w="780"/>
        <w:gridCol w:w="1650"/>
        <w:gridCol w:w="1950"/>
        <w:gridCol w:w="2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Align w:val="center"/>
          </w:tcPr>
          <w:p>
            <w:pPr>
              <w:adjustRightInd w:val="0"/>
              <w:snapToGrid w:val="0"/>
              <w:jc w:val="center"/>
              <w:rPr>
                <w:color w:val="auto"/>
                <w:kern w:val="21"/>
              </w:rPr>
            </w:pPr>
            <w:r>
              <w:rPr>
                <w:color w:val="auto"/>
                <w:kern w:val="21"/>
              </w:rPr>
              <w:t>元素</w:t>
            </w:r>
          </w:p>
        </w:tc>
        <w:tc>
          <w:tcPr>
            <w:tcW w:w="975" w:type="dxa"/>
            <w:vAlign w:val="center"/>
          </w:tcPr>
          <w:p>
            <w:pPr>
              <w:adjustRightInd w:val="0"/>
              <w:snapToGrid w:val="0"/>
              <w:jc w:val="center"/>
              <w:rPr>
                <w:color w:val="auto"/>
                <w:kern w:val="21"/>
              </w:rPr>
            </w:pPr>
            <w:r>
              <w:rPr>
                <w:color w:val="auto"/>
                <w:kern w:val="21"/>
              </w:rPr>
              <w:t>项目</w:t>
            </w:r>
          </w:p>
        </w:tc>
        <w:tc>
          <w:tcPr>
            <w:tcW w:w="780" w:type="dxa"/>
            <w:vAlign w:val="center"/>
          </w:tcPr>
          <w:p>
            <w:pPr>
              <w:adjustRightInd w:val="0"/>
              <w:snapToGrid w:val="0"/>
              <w:jc w:val="center"/>
              <w:rPr>
                <w:color w:val="auto"/>
                <w:kern w:val="21"/>
              </w:rPr>
            </w:pPr>
            <w:r>
              <w:rPr>
                <w:color w:val="auto"/>
                <w:kern w:val="21"/>
              </w:rPr>
              <w:t>单位</w:t>
            </w:r>
          </w:p>
        </w:tc>
        <w:tc>
          <w:tcPr>
            <w:tcW w:w="1650" w:type="dxa"/>
            <w:vAlign w:val="center"/>
          </w:tcPr>
          <w:p>
            <w:pPr>
              <w:adjustRightInd w:val="0"/>
              <w:snapToGrid w:val="0"/>
              <w:jc w:val="center"/>
              <w:rPr>
                <w:color w:val="auto"/>
                <w:kern w:val="21"/>
              </w:rPr>
            </w:pPr>
            <w:r>
              <w:rPr>
                <w:color w:val="auto"/>
                <w:kern w:val="21"/>
              </w:rPr>
              <w:t>金属质量分数</w:t>
            </w:r>
          </w:p>
        </w:tc>
        <w:tc>
          <w:tcPr>
            <w:tcW w:w="1950" w:type="dxa"/>
            <w:vAlign w:val="center"/>
          </w:tcPr>
          <w:p>
            <w:pPr>
              <w:adjustRightInd w:val="0"/>
              <w:snapToGrid w:val="0"/>
              <w:jc w:val="center"/>
              <w:rPr>
                <w:color w:val="auto"/>
                <w:kern w:val="21"/>
              </w:rPr>
            </w:pPr>
            <w:r>
              <w:rPr>
                <w:color w:val="auto"/>
                <w:kern w:val="21"/>
              </w:rPr>
              <w:t>取值来源</w:t>
            </w:r>
          </w:p>
        </w:tc>
        <w:tc>
          <w:tcPr>
            <w:tcW w:w="2122" w:type="dxa"/>
            <w:vAlign w:val="center"/>
          </w:tcPr>
          <w:p>
            <w:pPr>
              <w:adjustRightInd w:val="0"/>
              <w:snapToGrid w:val="0"/>
              <w:jc w:val="center"/>
              <w:rPr>
                <w:color w:val="auto"/>
                <w:kern w:val="21"/>
              </w:rPr>
            </w:pPr>
            <w:r>
              <w:rPr>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restart"/>
            <w:vAlign w:val="center"/>
          </w:tcPr>
          <w:p>
            <w:pPr>
              <w:adjustRightInd w:val="0"/>
              <w:snapToGrid w:val="0"/>
              <w:jc w:val="center"/>
              <w:rPr>
                <w:color w:val="auto"/>
                <w:kern w:val="21"/>
              </w:rPr>
            </w:pPr>
            <w:r>
              <w:rPr>
                <w:rFonts w:hint="eastAsia"/>
                <w:color w:val="auto"/>
                <w:kern w:val="21"/>
                <w:szCs w:val="24"/>
              </w:rPr>
              <w:t>锌</w:t>
            </w:r>
          </w:p>
        </w:tc>
        <w:tc>
          <w:tcPr>
            <w:tcW w:w="975" w:type="dxa"/>
            <w:vAlign w:val="center"/>
          </w:tcPr>
          <w:p>
            <w:pPr>
              <w:adjustRightInd w:val="0"/>
              <w:snapToGrid w:val="0"/>
              <w:jc w:val="center"/>
              <w:rPr>
                <w:color w:val="auto"/>
                <w:kern w:val="21"/>
              </w:rPr>
            </w:pPr>
            <w:r>
              <w:rPr>
                <w:color w:val="auto"/>
                <w:kern w:val="21"/>
              </w:rPr>
              <w:t>锌板</w:t>
            </w:r>
          </w:p>
        </w:tc>
        <w:tc>
          <w:tcPr>
            <w:tcW w:w="780"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color w:val="auto"/>
                <w:kern w:val="21"/>
              </w:rPr>
              <w:t>99.99</w:t>
            </w:r>
          </w:p>
        </w:tc>
        <w:tc>
          <w:tcPr>
            <w:tcW w:w="1950" w:type="dxa"/>
            <w:vAlign w:val="center"/>
          </w:tcPr>
          <w:p>
            <w:pPr>
              <w:adjustRightInd w:val="0"/>
              <w:snapToGrid w:val="0"/>
              <w:jc w:val="center"/>
              <w:rPr>
                <w:rFonts w:eastAsia="Times New Roman"/>
                <w:color w:val="auto"/>
                <w:kern w:val="21"/>
              </w:rPr>
            </w:pPr>
            <w:r>
              <w:rPr>
                <w:rFonts w:eastAsia="Times New Roman"/>
                <w:color w:val="auto"/>
                <w:kern w:val="21"/>
              </w:rPr>
              <w:t>GB/T5235-2007</w:t>
            </w:r>
          </w:p>
        </w:tc>
        <w:tc>
          <w:tcPr>
            <w:tcW w:w="2122" w:type="dxa"/>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continue"/>
            <w:vAlign w:val="center"/>
          </w:tcPr>
          <w:p>
            <w:pPr>
              <w:adjustRightInd w:val="0"/>
              <w:snapToGrid w:val="0"/>
              <w:jc w:val="center"/>
              <w:rPr>
                <w:color w:val="auto"/>
                <w:kern w:val="21"/>
              </w:rPr>
            </w:pPr>
          </w:p>
        </w:tc>
        <w:tc>
          <w:tcPr>
            <w:tcW w:w="975" w:type="dxa"/>
            <w:vAlign w:val="center"/>
          </w:tcPr>
          <w:p>
            <w:pPr>
              <w:adjustRightInd w:val="0"/>
              <w:snapToGrid w:val="0"/>
              <w:jc w:val="center"/>
              <w:rPr>
                <w:rFonts w:eastAsia="Times New Roman"/>
                <w:color w:val="auto"/>
                <w:kern w:val="21"/>
              </w:rPr>
            </w:pPr>
            <w:r>
              <w:rPr>
                <w:color w:val="auto"/>
                <w:kern w:val="21"/>
              </w:rPr>
              <w:t>氯化锌</w:t>
            </w:r>
          </w:p>
        </w:tc>
        <w:tc>
          <w:tcPr>
            <w:tcW w:w="780"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rFonts w:hint="eastAsia"/>
                <w:color w:val="auto"/>
                <w:kern w:val="21"/>
              </w:rPr>
              <w:t>26.64</w:t>
            </w:r>
          </w:p>
        </w:tc>
        <w:tc>
          <w:tcPr>
            <w:tcW w:w="1950" w:type="dxa"/>
            <w:vAlign w:val="center"/>
          </w:tcPr>
          <w:p>
            <w:pPr>
              <w:adjustRightInd w:val="0"/>
              <w:snapToGrid w:val="0"/>
              <w:jc w:val="center"/>
              <w:rPr>
                <w:color w:val="auto"/>
                <w:kern w:val="21"/>
              </w:rPr>
            </w:pPr>
            <w:r>
              <w:rPr>
                <w:color w:val="auto"/>
                <w:kern w:val="21"/>
              </w:rPr>
              <w:t>分子量</w:t>
            </w:r>
            <w:r>
              <w:rPr>
                <w:rFonts w:eastAsia="Times New Roman"/>
                <w:color w:val="auto"/>
                <w:kern w:val="21"/>
              </w:rPr>
              <w:t>2</w:t>
            </w:r>
            <w:r>
              <w:rPr>
                <w:rFonts w:hint="eastAsia"/>
                <w:color w:val="auto"/>
                <w:kern w:val="21"/>
              </w:rPr>
              <w:t>44</w:t>
            </w:r>
          </w:p>
        </w:tc>
        <w:tc>
          <w:tcPr>
            <w:tcW w:w="2122" w:type="dxa"/>
            <w:vAlign w:val="center"/>
          </w:tcPr>
          <w:p>
            <w:pPr>
              <w:adjustRightInd w:val="0"/>
              <w:snapToGrid w:val="0"/>
              <w:jc w:val="center"/>
              <w:rPr>
                <w:rFonts w:eastAsia="Times New Roman"/>
                <w:color w:val="auto"/>
                <w:kern w:val="21"/>
              </w:rPr>
            </w:pPr>
            <w:r>
              <w:rPr>
                <w:color w:val="auto"/>
                <w:kern w:val="21"/>
              </w:rPr>
              <w:t>按</w:t>
            </w:r>
            <w:r>
              <w:rPr>
                <w:rFonts w:hint="eastAsia"/>
                <w:color w:val="auto"/>
                <w:kern w:val="21"/>
              </w:rPr>
              <w:t>Zn</w:t>
            </w:r>
            <w:r>
              <w:rPr>
                <w:rFonts w:eastAsia="Times New Roman"/>
                <w:color w:val="auto"/>
                <w:kern w:val="21"/>
              </w:rPr>
              <w:t>Cl</w:t>
            </w:r>
            <w:r>
              <w:rPr>
                <w:rFonts w:eastAsia="Times New Roman"/>
                <w:color w:val="auto"/>
                <w:kern w:val="21"/>
                <w:sz w:val="14"/>
              </w:rPr>
              <w:t>2</w:t>
            </w:r>
            <w:r>
              <w:rPr>
                <w:rFonts w:eastAsia="Times New Roman"/>
                <w:color w:val="auto"/>
                <w:kern w:val="21"/>
              </w:rPr>
              <w:t>·6H</w:t>
            </w:r>
            <w:r>
              <w:rPr>
                <w:rFonts w:eastAsia="Times New Roman"/>
                <w:color w:val="auto"/>
                <w:kern w:val="21"/>
                <w:sz w:val="14"/>
              </w:rPr>
              <w:t>2</w:t>
            </w:r>
            <w:r>
              <w:rPr>
                <w:rFonts w:eastAsia="Times New Roman"/>
                <w:color w:val="auto"/>
                <w:kern w:val="21"/>
              </w:rPr>
              <w:t>O</w:t>
            </w:r>
            <w:r>
              <w:rPr>
                <w:color w:val="auto"/>
                <w:kern w:val="21"/>
              </w:rPr>
              <w:t>计</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ind w:firstLine="480" w:firstLineChars="200"/>
        <w:textAlignment w:val="auto"/>
        <w:outlineLvl w:val="9"/>
        <w:rPr>
          <w:rFonts w:eastAsia="宋体" w:cs="Times New Roman"/>
          <w:color w:val="auto"/>
          <w:kern w:val="21"/>
          <w:szCs w:val="24"/>
        </w:rPr>
      </w:pPr>
      <w:r>
        <w:rPr>
          <w:rFonts w:eastAsia="宋体" w:cs="Times New Roman"/>
          <w:color w:val="auto"/>
          <w:kern w:val="21"/>
          <w:szCs w:val="24"/>
        </w:rPr>
        <w:t>镀锌涉及到锌的原料主要为锌板和氯化锌，</w:t>
      </w:r>
      <w:r>
        <w:rPr>
          <w:rFonts w:hint="eastAsia" w:eastAsia="宋体" w:cs="Times New Roman"/>
          <w:color w:val="auto"/>
          <w:kern w:val="21"/>
          <w:szCs w:val="24"/>
        </w:rPr>
        <w:t>电镀后锌主要去向为进入镀件产品表面、</w:t>
      </w:r>
      <w:r>
        <w:rPr>
          <w:rFonts w:hint="eastAsia" w:eastAsia="宋体" w:cs="Times New Roman"/>
          <w:color w:val="auto"/>
          <w:kern w:val="21"/>
          <w:szCs w:val="24"/>
          <w:lang w:eastAsia="zh-CN"/>
        </w:rPr>
        <w:t>镀锌槽</w:t>
      </w:r>
      <w:r>
        <w:rPr>
          <w:rFonts w:hint="eastAsia" w:eastAsia="宋体" w:cs="Times New Roman"/>
          <w:color w:val="auto"/>
          <w:kern w:val="21"/>
          <w:szCs w:val="24"/>
        </w:rPr>
        <w:t>废槽液、含锌污泥</w:t>
      </w:r>
      <w:r>
        <w:rPr>
          <w:rFonts w:hint="eastAsia" w:eastAsia="宋体" w:cs="Times New Roman"/>
          <w:color w:val="auto"/>
          <w:kern w:val="21"/>
          <w:szCs w:val="24"/>
          <w:lang w:eastAsia="zh-CN"/>
        </w:rPr>
        <w:t>及</w:t>
      </w:r>
      <w:r>
        <w:rPr>
          <w:rFonts w:hint="eastAsia" w:eastAsia="宋体" w:cs="Times New Roman"/>
          <w:color w:val="auto"/>
          <w:kern w:val="21"/>
          <w:szCs w:val="24"/>
        </w:rPr>
        <w:t>蒸发结晶盐，镀锌槽及出光槽产生的槽渣和废滤芯</w:t>
      </w:r>
      <w:r>
        <w:rPr>
          <w:rFonts w:eastAsia="宋体" w:cs="Times New Roman"/>
          <w:color w:val="auto"/>
          <w:kern w:val="21"/>
          <w:szCs w:val="24"/>
        </w:rPr>
        <w:t>。本项目锌元素平衡见表3.3-</w:t>
      </w:r>
      <w:r>
        <w:rPr>
          <w:rFonts w:hint="eastAsia" w:eastAsia="宋体" w:cs="Times New Roman"/>
          <w:color w:val="auto"/>
          <w:kern w:val="21"/>
          <w:szCs w:val="24"/>
        </w:rPr>
        <w:t>11</w:t>
      </w:r>
      <w:r>
        <w:rPr>
          <w:rFonts w:eastAsia="宋体" w:cs="Times New Roman"/>
          <w:color w:val="auto"/>
          <w:kern w:val="21"/>
          <w:szCs w:val="24"/>
        </w:rPr>
        <w:t>。</w:t>
      </w: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r>
        <w:rPr>
          <w:rFonts w:cs="Times New Roman"/>
          <w:b/>
          <w:bCs/>
          <w:color w:val="auto"/>
          <w:kern w:val="21"/>
          <w:szCs w:val="24"/>
          <w:u w:val="single"/>
        </w:rPr>
        <w:t>表3.3-</w:t>
      </w:r>
      <w:r>
        <w:rPr>
          <w:rFonts w:hint="eastAsia" w:cs="Times New Roman"/>
          <w:b/>
          <w:bCs/>
          <w:color w:val="auto"/>
          <w:kern w:val="21"/>
          <w:szCs w:val="24"/>
          <w:u w:val="single"/>
        </w:rPr>
        <w:t>11</w:t>
      </w:r>
      <w:r>
        <w:rPr>
          <w:rFonts w:cs="Times New Roman"/>
          <w:b/>
          <w:bCs/>
          <w:color w:val="auto"/>
          <w:kern w:val="21"/>
          <w:szCs w:val="24"/>
          <w:u w:val="single"/>
        </w:rPr>
        <w:t xml:space="preserve">    建设项目锌元素物料平衡表（</w:t>
      </w:r>
      <w:r>
        <w:rPr>
          <w:rFonts w:hint="eastAsia" w:cs="Times New Roman"/>
          <w:b/>
          <w:bCs/>
          <w:color w:val="auto"/>
          <w:kern w:val="21"/>
          <w:szCs w:val="24"/>
          <w:u w:val="single"/>
        </w:rPr>
        <w:t>t</w:t>
      </w:r>
      <w:r>
        <w:rPr>
          <w:rFonts w:cs="Times New Roman"/>
          <w:b/>
          <w:bCs/>
          <w:color w:val="auto"/>
          <w:kern w:val="21"/>
          <w:szCs w:val="24"/>
          <w:u w:val="single"/>
        </w:rPr>
        <w:t>/a）</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8"/>
        <w:gridCol w:w="1074"/>
        <w:gridCol w:w="953"/>
        <w:gridCol w:w="1125"/>
        <w:gridCol w:w="1268"/>
        <w:gridCol w:w="1081"/>
        <w:gridCol w:w="1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36" w:type="pct"/>
            <w:gridSpan w:val="5"/>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投入</w:t>
            </w:r>
          </w:p>
        </w:tc>
        <w:tc>
          <w:tcPr>
            <w:tcW w:w="1264" w:type="pct"/>
            <w:gridSpan w:val="2"/>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物料名称</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投入量</w:t>
            </w:r>
          </w:p>
        </w:tc>
        <w:tc>
          <w:tcPr>
            <w:tcW w:w="55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纯度</w:t>
            </w:r>
          </w:p>
        </w:tc>
        <w:tc>
          <w:tcPr>
            <w:tcW w:w="66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锌含量</w:t>
            </w:r>
          </w:p>
        </w:tc>
        <w:tc>
          <w:tcPr>
            <w:tcW w:w="74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锌量</w:t>
            </w: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名称</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锌量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锌板</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42.112</w:t>
            </w:r>
          </w:p>
        </w:tc>
        <w:tc>
          <w:tcPr>
            <w:tcW w:w="55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w:t>
            </w:r>
          </w:p>
        </w:tc>
        <w:tc>
          <w:tcPr>
            <w:tcW w:w="66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99.99%</w:t>
            </w:r>
          </w:p>
        </w:tc>
        <w:tc>
          <w:tcPr>
            <w:tcW w:w="74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42.108</w:t>
            </w: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镀层</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42.101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氯化锌（</w:t>
            </w:r>
            <w:r>
              <w:rPr>
                <w:rFonts w:hint="eastAsia" w:eastAsia="宋体" w:cs="Times New Roman"/>
                <w:b/>
                <w:bCs/>
                <w:color w:val="auto"/>
                <w:kern w:val="21"/>
                <w:sz w:val="21"/>
                <w:u w:val="single"/>
              </w:rPr>
              <w:t>Zn</w:t>
            </w:r>
            <w:r>
              <w:rPr>
                <w:rFonts w:eastAsia="Times New Roman" w:cs="Times New Roman"/>
                <w:b/>
                <w:bCs/>
                <w:color w:val="auto"/>
                <w:kern w:val="21"/>
                <w:sz w:val="21"/>
                <w:u w:val="single"/>
              </w:rPr>
              <w:t>Cl</w:t>
            </w:r>
            <w:r>
              <w:rPr>
                <w:rFonts w:eastAsia="Times New Roman" w:cs="Times New Roman"/>
                <w:b/>
                <w:bCs/>
                <w:color w:val="auto"/>
                <w:kern w:val="21"/>
                <w:sz w:val="14"/>
                <w:u w:val="single"/>
              </w:rPr>
              <w:t>2</w:t>
            </w:r>
            <w:r>
              <w:rPr>
                <w:rFonts w:eastAsia="Times New Roman" w:cs="Times New Roman"/>
                <w:b/>
                <w:bCs/>
                <w:color w:val="auto"/>
                <w:kern w:val="21"/>
                <w:sz w:val="21"/>
                <w:u w:val="single"/>
              </w:rPr>
              <w:t>·6H</w:t>
            </w:r>
            <w:r>
              <w:rPr>
                <w:rFonts w:eastAsia="Times New Roman" w:cs="Times New Roman"/>
                <w:b/>
                <w:bCs/>
                <w:color w:val="auto"/>
                <w:kern w:val="21"/>
                <w:sz w:val="14"/>
                <w:u w:val="single"/>
              </w:rPr>
              <w:t>2</w:t>
            </w:r>
            <w:r>
              <w:rPr>
                <w:rFonts w:eastAsia="Times New Roman" w:cs="Times New Roman"/>
                <w:b/>
                <w:bCs/>
                <w:color w:val="auto"/>
                <w:kern w:val="21"/>
                <w:sz w:val="21"/>
                <w:u w:val="single"/>
              </w:rPr>
              <w:t>O</w:t>
            </w:r>
            <w:r>
              <w:rPr>
                <w:rFonts w:eastAsia="宋体" w:cs="Times New Roman"/>
                <w:b/>
                <w:bCs/>
                <w:color w:val="auto"/>
                <w:kern w:val="21"/>
                <w:sz w:val="21"/>
                <w:szCs w:val="21"/>
                <w:u w:val="single"/>
              </w:rPr>
              <w:t>）</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2.114</w:t>
            </w:r>
          </w:p>
        </w:tc>
        <w:tc>
          <w:tcPr>
            <w:tcW w:w="55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98%</w:t>
            </w:r>
          </w:p>
        </w:tc>
        <w:tc>
          <w:tcPr>
            <w:tcW w:w="66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2</w:t>
            </w:r>
            <w:r>
              <w:rPr>
                <w:rFonts w:hint="eastAsia" w:eastAsia="宋体" w:cs="Times New Roman"/>
                <w:b/>
                <w:bCs/>
                <w:color w:val="auto"/>
                <w:kern w:val="21"/>
                <w:sz w:val="21"/>
                <w:szCs w:val="21"/>
                <w:u w:val="single"/>
              </w:rPr>
              <w:t>6.64</w:t>
            </w:r>
            <w:r>
              <w:rPr>
                <w:rFonts w:eastAsia="宋体" w:cs="Times New Roman"/>
                <w:b/>
                <w:bCs/>
                <w:color w:val="auto"/>
                <w:kern w:val="21"/>
                <w:sz w:val="21"/>
                <w:szCs w:val="21"/>
                <w:u w:val="single"/>
              </w:rPr>
              <w:t>%</w:t>
            </w:r>
          </w:p>
        </w:tc>
        <w:tc>
          <w:tcPr>
            <w:tcW w:w="74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0.552</w:t>
            </w: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污泥</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adjustRightInd w:val="0"/>
              <w:snapToGrid w:val="0"/>
              <w:jc w:val="center"/>
              <w:rPr>
                <w:b/>
                <w:bCs/>
                <w:color w:val="auto"/>
                <w:kern w:val="21"/>
                <w:u w:val="single"/>
              </w:rPr>
            </w:pPr>
            <w:r>
              <w:rPr>
                <w:b/>
                <w:bCs/>
                <w:color w:val="auto"/>
                <w:kern w:val="21"/>
                <w:u w:val="single"/>
              </w:rPr>
              <w:t>/</w:t>
            </w:r>
          </w:p>
        </w:tc>
        <w:tc>
          <w:tcPr>
            <w:tcW w:w="630" w:type="pct"/>
            <w:vAlign w:val="center"/>
          </w:tcPr>
          <w:p>
            <w:pPr>
              <w:adjustRightInd w:val="0"/>
              <w:snapToGrid w:val="0"/>
              <w:jc w:val="center"/>
              <w:rPr>
                <w:b/>
                <w:bCs/>
                <w:color w:val="auto"/>
                <w:kern w:val="21"/>
                <w:u w:val="single"/>
              </w:rPr>
            </w:pPr>
            <w:r>
              <w:rPr>
                <w:b/>
                <w:bCs/>
                <w:color w:val="auto"/>
                <w:kern w:val="21"/>
                <w:u w:val="single"/>
              </w:rPr>
              <w:t>/</w:t>
            </w:r>
          </w:p>
        </w:tc>
        <w:tc>
          <w:tcPr>
            <w:tcW w:w="559" w:type="pct"/>
            <w:vAlign w:val="center"/>
          </w:tcPr>
          <w:p>
            <w:pPr>
              <w:adjustRightInd w:val="0"/>
              <w:snapToGrid w:val="0"/>
              <w:jc w:val="center"/>
              <w:rPr>
                <w:b/>
                <w:bCs/>
                <w:color w:val="auto"/>
                <w:kern w:val="21"/>
                <w:u w:val="single"/>
              </w:rPr>
            </w:pPr>
            <w:r>
              <w:rPr>
                <w:b/>
                <w:bCs/>
                <w:color w:val="auto"/>
                <w:kern w:val="21"/>
                <w:u w:val="single"/>
              </w:rPr>
              <w:t>/</w:t>
            </w:r>
          </w:p>
        </w:tc>
        <w:tc>
          <w:tcPr>
            <w:tcW w:w="660" w:type="pct"/>
            <w:vAlign w:val="center"/>
          </w:tcPr>
          <w:p>
            <w:pPr>
              <w:adjustRightInd w:val="0"/>
              <w:snapToGrid w:val="0"/>
              <w:jc w:val="center"/>
              <w:rPr>
                <w:b/>
                <w:bCs/>
                <w:color w:val="auto"/>
                <w:kern w:val="21"/>
                <w:u w:val="single"/>
              </w:rPr>
            </w:pPr>
            <w:r>
              <w:rPr>
                <w:b/>
                <w:bCs/>
                <w:color w:val="auto"/>
                <w:kern w:val="21"/>
                <w:u w:val="single"/>
              </w:rPr>
              <w:t>/</w:t>
            </w:r>
          </w:p>
        </w:tc>
        <w:tc>
          <w:tcPr>
            <w:tcW w:w="744" w:type="pct"/>
            <w:vAlign w:val="center"/>
          </w:tcPr>
          <w:p>
            <w:pPr>
              <w:adjustRightInd w:val="0"/>
              <w:snapToGrid w:val="0"/>
              <w:jc w:val="center"/>
              <w:rPr>
                <w:b/>
                <w:bCs/>
                <w:color w:val="auto"/>
                <w:kern w:val="21"/>
                <w:u w:val="single"/>
              </w:rPr>
            </w:pPr>
            <w:r>
              <w:rPr>
                <w:b/>
                <w:bCs/>
                <w:color w:val="auto"/>
                <w:kern w:val="21"/>
                <w:u w:val="single"/>
              </w:rPr>
              <w:t>/</w:t>
            </w: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废滤芯</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0.0221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adjustRightInd w:val="0"/>
              <w:snapToGrid w:val="0"/>
              <w:jc w:val="center"/>
              <w:rPr>
                <w:b/>
                <w:bCs/>
                <w:color w:val="auto"/>
                <w:kern w:val="21"/>
                <w:u w:val="single"/>
              </w:rPr>
            </w:pPr>
          </w:p>
        </w:tc>
        <w:tc>
          <w:tcPr>
            <w:tcW w:w="630" w:type="pct"/>
            <w:vAlign w:val="center"/>
          </w:tcPr>
          <w:p>
            <w:pPr>
              <w:adjustRightInd w:val="0"/>
              <w:snapToGrid w:val="0"/>
              <w:jc w:val="center"/>
              <w:rPr>
                <w:b/>
                <w:bCs/>
                <w:color w:val="auto"/>
                <w:kern w:val="21"/>
                <w:u w:val="single"/>
              </w:rPr>
            </w:pPr>
          </w:p>
        </w:tc>
        <w:tc>
          <w:tcPr>
            <w:tcW w:w="559" w:type="pct"/>
            <w:vAlign w:val="center"/>
          </w:tcPr>
          <w:p>
            <w:pPr>
              <w:adjustRightInd w:val="0"/>
              <w:snapToGrid w:val="0"/>
              <w:jc w:val="center"/>
              <w:rPr>
                <w:b/>
                <w:bCs/>
                <w:color w:val="auto"/>
                <w:kern w:val="21"/>
                <w:u w:val="single"/>
              </w:rPr>
            </w:pPr>
          </w:p>
        </w:tc>
        <w:tc>
          <w:tcPr>
            <w:tcW w:w="660" w:type="pct"/>
            <w:vAlign w:val="center"/>
          </w:tcPr>
          <w:p>
            <w:pPr>
              <w:adjustRightInd w:val="0"/>
              <w:snapToGrid w:val="0"/>
              <w:jc w:val="center"/>
              <w:rPr>
                <w:b/>
                <w:bCs/>
                <w:color w:val="auto"/>
                <w:kern w:val="21"/>
                <w:u w:val="single"/>
              </w:rPr>
            </w:pPr>
          </w:p>
        </w:tc>
        <w:tc>
          <w:tcPr>
            <w:tcW w:w="744" w:type="pct"/>
            <w:vAlign w:val="center"/>
          </w:tcPr>
          <w:p>
            <w:pPr>
              <w:adjustRightInd w:val="0"/>
              <w:snapToGrid w:val="0"/>
              <w:jc w:val="center"/>
              <w:rPr>
                <w:b/>
                <w:bCs/>
                <w:color w:val="auto"/>
                <w:kern w:val="21"/>
                <w:u w:val="single"/>
              </w:rPr>
            </w:pP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废槽渣</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0.0435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adjustRightInd w:val="0"/>
              <w:snapToGrid w:val="0"/>
              <w:jc w:val="center"/>
              <w:rPr>
                <w:b/>
                <w:bCs/>
                <w:color w:val="auto"/>
                <w:kern w:val="21"/>
                <w:u w:val="single"/>
              </w:rPr>
            </w:pPr>
          </w:p>
        </w:tc>
        <w:tc>
          <w:tcPr>
            <w:tcW w:w="630" w:type="pct"/>
            <w:vAlign w:val="center"/>
          </w:tcPr>
          <w:p>
            <w:pPr>
              <w:adjustRightInd w:val="0"/>
              <w:snapToGrid w:val="0"/>
              <w:jc w:val="center"/>
              <w:rPr>
                <w:b/>
                <w:bCs/>
                <w:color w:val="auto"/>
                <w:kern w:val="21"/>
                <w:u w:val="single"/>
              </w:rPr>
            </w:pPr>
          </w:p>
        </w:tc>
        <w:tc>
          <w:tcPr>
            <w:tcW w:w="559" w:type="pct"/>
            <w:vAlign w:val="center"/>
          </w:tcPr>
          <w:p>
            <w:pPr>
              <w:adjustRightInd w:val="0"/>
              <w:snapToGrid w:val="0"/>
              <w:jc w:val="center"/>
              <w:rPr>
                <w:b/>
                <w:bCs/>
                <w:color w:val="auto"/>
                <w:kern w:val="21"/>
                <w:u w:val="single"/>
              </w:rPr>
            </w:pPr>
          </w:p>
        </w:tc>
        <w:tc>
          <w:tcPr>
            <w:tcW w:w="660" w:type="pct"/>
            <w:vAlign w:val="center"/>
          </w:tcPr>
          <w:p>
            <w:pPr>
              <w:adjustRightInd w:val="0"/>
              <w:snapToGrid w:val="0"/>
              <w:jc w:val="center"/>
              <w:rPr>
                <w:b/>
                <w:bCs/>
                <w:color w:val="auto"/>
                <w:kern w:val="21"/>
                <w:u w:val="single"/>
              </w:rPr>
            </w:pPr>
          </w:p>
        </w:tc>
        <w:tc>
          <w:tcPr>
            <w:tcW w:w="744" w:type="pct"/>
            <w:vAlign w:val="center"/>
          </w:tcPr>
          <w:p>
            <w:pPr>
              <w:adjustRightInd w:val="0"/>
              <w:snapToGrid w:val="0"/>
              <w:jc w:val="center"/>
              <w:rPr>
                <w:b/>
                <w:bCs/>
                <w:color w:val="auto"/>
                <w:kern w:val="21"/>
                <w:u w:val="single"/>
              </w:rPr>
            </w:pP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废槽液</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0.0214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adjustRightInd w:val="0"/>
              <w:snapToGrid w:val="0"/>
              <w:jc w:val="center"/>
              <w:rPr>
                <w:b/>
                <w:bCs/>
                <w:color w:val="auto"/>
                <w:kern w:val="21"/>
                <w:u w:val="single"/>
              </w:rPr>
            </w:pPr>
            <w:r>
              <w:rPr>
                <w:b/>
                <w:bCs/>
                <w:color w:val="auto"/>
                <w:kern w:val="21"/>
                <w:u w:val="single"/>
              </w:rPr>
              <w:t>/</w:t>
            </w:r>
          </w:p>
        </w:tc>
        <w:tc>
          <w:tcPr>
            <w:tcW w:w="630" w:type="pct"/>
            <w:vAlign w:val="center"/>
          </w:tcPr>
          <w:p>
            <w:pPr>
              <w:adjustRightInd w:val="0"/>
              <w:snapToGrid w:val="0"/>
              <w:jc w:val="center"/>
              <w:rPr>
                <w:b/>
                <w:bCs/>
                <w:color w:val="auto"/>
                <w:kern w:val="21"/>
                <w:u w:val="single"/>
              </w:rPr>
            </w:pPr>
            <w:r>
              <w:rPr>
                <w:b/>
                <w:bCs/>
                <w:color w:val="auto"/>
                <w:kern w:val="21"/>
                <w:u w:val="single"/>
              </w:rPr>
              <w:t>/</w:t>
            </w:r>
          </w:p>
        </w:tc>
        <w:tc>
          <w:tcPr>
            <w:tcW w:w="559" w:type="pct"/>
            <w:vAlign w:val="center"/>
          </w:tcPr>
          <w:p>
            <w:pPr>
              <w:adjustRightInd w:val="0"/>
              <w:snapToGrid w:val="0"/>
              <w:jc w:val="center"/>
              <w:rPr>
                <w:b/>
                <w:bCs/>
                <w:color w:val="auto"/>
                <w:kern w:val="21"/>
                <w:u w:val="single"/>
              </w:rPr>
            </w:pPr>
            <w:r>
              <w:rPr>
                <w:b/>
                <w:bCs/>
                <w:color w:val="auto"/>
                <w:kern w:val="21"/>
                <w:u w:val="single"/>
              </w:rPr>
              <w:t>/</w:t>
            </w:r>
          </w:p>
        </w:tc>
        <w:tc>
          <w:tcPr>
            <w:tcW w:w="660" w:type="pct"/>
            <w:vAlign w:val="center"/>
          </w:tcPr>
          <w:p>
            <w:pPr>
              <w:adjustRightInd w:val="0"/>
              <w:snapToGrid w:val="0"/>
              <w:jc w:val="center"/>
              <w:rPr>
                <w:b/>
                <w:bCs/>
                <w:color w:val="auto"/>
                <w:kern w:val="21"/>
                <w:u w:val="single"/>
              </w:rPr>
            </w:pPr>
            <w:r>
              <w:rPr>
                <w:b/>
                <w:bCs/>
                <w:color w:val="auto"/>
                <w:kern w:val="21"/>
                <w:u w:val="single"/>
              </w:rPr>
              <w:t>/</w:t>
            </w:r>
          </w:p>
        </w:tc>
        <w:tc>
          <w:tcPr>
            <w:tcW w:w="744" w:type="pct"/>
            <w:vAlign w:val="center"/>
          </w:tcPr>
          <w:p>
            <w:pPr>
              <w:adjustRightInd w:val="0"/>
              <w:snapToGrid w:val="0"/>
              <w:jc w:val="center"/>
              <w:rPr>
                <w:b/>
                <w:bCs/>
                <w:color w:val="auto"/>
                <w:kern w:val="21"/>
                <w:u w:val="single"/>
              </w:rPr>
            </w:pPr>
            <w:r>
              <w:rPr>
                <w:b/>
                <w:bCs/>
                <w:color w:val="auto"/>
                <w:kern w:val="21"/>
                <w:u w:val="single"/>
              </w:rPr>
              <w:t>/</w:t>
            </w: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蒸发结晶</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0. 017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3"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合计</w:t>
            </w:r>
          </w:p>
        </w:tc>
        <w:tc>
          <w:tcPr>
            <w:tcW w:w="630" w:type="pct"/>
            <w:vAlign w:val="center"/>
          </w:tcPr>
          <w:p>
            <w:pPr>
              <w:adjustRightInd w:val="0"/>
              <w:snapToGrid w:val="0"/>
              <w:jc w:val="center"/>
              <w:rPr>
                <w:b/>
                <w:bCs/>
                <w:color w:val="auto"/>
                <w:kern w:val="21"/>
                <w:u w:val="single"/>
              </w:rPr>
            </w:pPr>
            <w:r>
              <w:rPr>
                <w:b/>
                <w:bCs/>
                <w:color w:val="auto"/>
                <w:kern w:val="21"/>
                <w:u w:val="single"/>
              </w:rPr>
              <w:t>/</w:t>
            </w:r>
          </w:p>
        </w:tc>
        <w:tc>
          <w:tcPr>
            <w:tcW w:w="559" w:type="pct"/>
            <w:vAlign w:val="center"/>
          </w:tcPr>
          <w:p>
            <w:pPr>
              <w:adjustRightInd w:val="0"/>
              <w:snapToGrid w:val="0"/>
              <w:jc w:val="center"/>
              <w:rPr>
                <w:b/>
                <w:bCs/>
                <w:color w:val="auto"/>
                <w:kern w:val="21"/>
                <w:u w:val="single"/>
              </w:rPr>
            </w:pPr>
            <w:r>
              <w:rPr>
                <w:b/>
                <w:bCs/>
                <w:color w:val="auto"/>
                <w:kern w:val="21"/>
                <w:u w:val="single"/>
              </w:rPr>
              <w:t>/</w:t>
            </w:r>
          </w:p>
        </w:tc>
        <w:tc>
          <w:tcPr>
            <w:tcW w:w="660" w:type="pct"/>
            <w:vAlign w:val="center"/>
          </w:tcPr>
          <w:p>
            <w:pPr>
              <w:adjustRightInd w:val="0"/>
              <w:snapToGrid w:val="0"/>
              <w:jc w:val="center"/>
              <w:rPr>
                <w:b/>
                <w:bCs/>
                <w:color w:val="auto"/>
                <w:kern w:val="21"/>
                <w:u w:val="single"/>
              </w:rPr>
            </w:pPr>
            <w:r>
              <w:rPr>
                <w:b/>
                <w:bCs/>
                <w:color w:val="auto"/>
                <w:kern w:val="21"/>
                <w:u w:val="single"/>
              </w:rPr>
              <w:t>/</w:t>
            </w:r>
          </w:p>
        </w:tc>
        <w:tc>
          <w:tcPr>
            <w:tcW w:w="74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42.66</w:t>
            </w:r>
          </w:p>
        </w:tc>
        <w:tc>
          <w:tcPr>
            <w:tcW w:w="634"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w:t>
            </w:r>
          </w:p>
        </w:tc>
        <w:tc>
          <w:tcPr>
            <w:tcW w:w="63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42.66</w:t>
            </w:r>
          </w:p>
        </w:tc>
      </w:tr>
    </w:tbl>
    <w:p>
      <w:pPr>
        <w:pStyle w:val="271"/>
        <w:keepNext w:val="0"/>
        <w:keepLines w:val="0"/>
        <w:snapToGrid w:val="0"/>
        <w:spacing w:before="0" w:beforeLines="0" w:after="0" w:afterLines="0"/>
        <w:outlineLvl w:val="9"/>
        <w:rPr>
          <w:rFonts w:eastAsia="宋体" w:cs="Times New Roman"/>
          <w:color w:val="auto"/>
          <w:kern w:val="21"/>
          <w:szCs w:val="24"/>
        </w:rPr>
      </w:pPr>
      <w:r>
        <w:rPr>
          <w:rFonts w:eastAsia="宋体" w:cs="Times New Roman"/>
          <w:color w:val="auto"/>
          <w:kern w:val="21"/>
          <w:szCs w:val="24"/>
        </w:rPr>
        <mc:AlternateContent>
          <mc:Choice Requires="wpc">
            <w:drawing>
              <wp:inline distT="0" distB="0" distL="0" distR="0">
                <wp:extent cx="5689600" cy="2501265"/>
                <wp:effectExtent l="0" t="0" r="0" b="13335"/>
                <wp:docPr id="1597" name="画布 159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1" name="Rectangle 1599"/>
                        <wps:cNvSpPr>
                          <a:spLocks noChangeArrowheads="1"/>
                        </wps:cNvSpPr>
                        <wps:spPr bwMode="auto">
                          <a:xfrm>
                            <a:off x="2040890" y="927100"/>
                            <a:ext cx="483235" cy="1468755"/>
                          </a:xfrm>
                          <a:prstGeom prst="rect">
                            <a:avLst/>
                          </a:prstGeom>
                          <a:solidFill>
                            <a:srgbClr val="FFFFFF"/>
                          </a:solidFill>
                          <a:ln w="9525" algn="ctr">
                            <a:solidFill>
                              <a:srgbClr val="000000"/>
                            </a:solidFill>
                            <a:miter lim="800000"/>
                          </a:ln>
                          <a:effectLst/>
                        </wps:spPr>
                        <wps:txbx>
                          <w:txbxContent>
                            <w:p>
                              <w:pPr>
                                <w:rPr>
                                  <w:sz w:val="32"/>
                                </w:rPr>
                              </w:pPr>
                              <w:r>
                                <w:rPr>
                                  <w:sz w:val="32"/>
                                </w:rPr>
                                <w:t>镀锌</w:t>
                              </w:r>
                              <w:r>
                                <w:rPr>
                                  <w:rFonts w:hint="eastAsia"/>
                                  <w:sz w:val="32"/>
                                </w:rPr>
                                <w:t>工序</w:t>
                              </w:r>
                            </w:p>
                          </w:txbxContent>
                        </wps:txbx>
                        <wps:bodyPr rot="0" vert="horz" wrap="square" lIns="126000" tIns="226800" rIns="91440" bIns="45720" anchor="t" anchorCtr="0" upright="1">
                          <a:noAutofit/>
                        </wps:bodyPr>
                      </wps:wsp>
                      <wps:wsp>
                        <wps:cNvPr id="492" name="Rectangle 1600"/>
                        <wps:cNvSpPr>
                          <a:spLocks noChangeArrowheads="1"/>
                        </wps:cNvSpPr>
                        <wps:spPr bwMode="auto">
                          <a:xfrm>
                            <a:off x="123190" y="896620"/>
                            <a:ext cx="760730" cy="318135"/>
                          </a:xfrm>
                          <a:prstGeom prst="rect">
                            <a:avLst/>
                          </a:prstGeom>
                          <a:solidFill>
                            <a:srgbClr val="FFFFFF"/>
                          </a:solidFill>
                          <a:ln w="9525" algn="ctr">
                            <a:solidFill>
                              <a:srgbClr val="000000"/>
                            </a:solidFill>
                            <a:miter lim="800000"/>
                          </a:ln>
                          <a:effectLst/>
                        </wps:spPr>
                        <wps:txbx>
                          <w:txbxContent>
                            <w:p>
                              <w:pPr>
                                <w:jc w:val="center"/>
                              </w:pPr>
                              <w:r>
                                <w:rPr>
                                  <w:rFonts w:hint="eastAsia"/>
                                </w:rPr>
                                <w:t xml:space="preserve">锌  </w:t>
                              </w:r>
                              <w:r>
                                <w:t>板</w:t>
                              </w:r>
                            </w:p>
                          </w:txbxContent>
                        </wps:txbx>
                        <wps:bodyPr rot="0" vert="horz" wrap="square" lIns="91440" tIns="45720" rIns="91440" bIns="45720" anchor="t" anchorCtr="0" upright="1">
                          <a:noAutofit/>
                        </wps:bodyPr>
                      </wps:wsp>
                      <wps:wsp>
                        <wps:cNvPr id="493" name="Rectangle 1602"/>
                        <wps:cNvSpPr>
                          <a:spLocks noChangeArrowheads="1"/>
                        </wps:cNvSpPr>
                        <wps:spPr bwMode="auto">
                          <a:xfrm>
                            <a:off x="123190" y="2132965"/>
                            <a:ext cx="760730" cy="316865"/>
                          </a:xfrm>
                          <a:prstGeom prst="rect">
                            <a:avLst/>
                          </a:prstGeom>
                          <a:solidFill>
                            <a:srgbClr val="FFFFFF"/>
                          </a:solidFill>
                          <a:ln w="9525" algn="ctr">
                            <a:solidFill>
                              <a:srgbClr val="000000"/>
                            </a:solidFill>
                            <a:miter lim="800000"/>
                          </a:ln>
                          <a:effectLst/>
                        </wps:spPr>
                        <wps:txbx>
                          <w:txbxContent>
                            <w:p>
                              <w:pPr>
                                <w:jc w:val="center"/>
                              </w:pPr>
                              <w:r>
                                <w:t>氯化锌</w:t>
                              </w:r>
                            </w:p>
                          </w:txbxContent>
                        </wps:txbx>
                        <wps:bodyPr rot="0" vert="horz" wrap="square" lIns="91440" tIns="45720" rIns="91440" bIns="45720" anchor="t" anchorCtr="0" upright="1">
                          <a:noAutofit/>
                        </wps:bodyPr>
                      </wps:wsp>
                      <wps:wsp>
                        <wps:cNvPr id="494" name="Rectangle 1603"/>
                        <wps:cNvSpPr>
                          <a:spLocks noChangeArrowheads="1"/>
                        </wps:cNvSpPr>
                        <wps:spPr bwMode="auto">
                          <a:xfrm>
                            <a:off x="1287779" y="70485"/>
                            <a:ext cx="1998345" cy="428625"/>
                          </a:xfrm>
                          <a:prstGeom prst="rect">
                            <a:avLst/>
                          </a:prstGeom>
                          <a:solidFill>
                            <a:srgbClr val="FFFFFF"/>
                          </a:solidFill>
                          <a:ln w="9525" algn="ctr">
                            <a:solidFill>
                              <a:srgbClr val="000000"/>
                            </a:solidFill>
                            <a:miter lim="800000"/>
                          </a:ln>
                          <a:effectLst/>
                        </wps:spPr>
                        <wps:txbx>
                          <w:txbxContent>
                            <w:p>
                              <w:pPr>
                                <w:pStyle w:val="271"/>
                                <w:keepNext w:val="0"/>
                                <w:keepLines w:val="0"/>
                                <w:snapToGrid w:val="0"/>
                                <w:spacing w:before="0" w:beforeLines="0" w:after="0" w:afterLines="0" w:line="240" w:lineRule="auto"/>
                                <w:jc w:val="center"/>
                                <w:outlineLvl w:val="9"/>
                              </w:pPr>
                              <w:r>
                                <w:rPr>
                                  <w:rFonts w:hint="eastAsia" w:eastAsia="宋体" w:cs="Times New Roman"/>
                                  <w:color w:val="auto"/>
                                  <w:kern w:val="21"/>
                                  <w:sz w:val="21"/>
                                  <w:szCs w:val="21"/>
                                </w:rPr>
                                <w:t>废滤芯0.0221；废槽渣0.0435；废槽液0.0214</w:t>
                              </w:r>
                            </w:p>
                          </w:txbxContent>
                        </wps:txbx>
                        <wps:bodyPr rot="0" vert="horz" wrap="square" lIns="91440" tIns="45720" rIns="91440" bIns="45720" anchor="t" anchorCtr="0" upright="1">
                          <a:noAutofit/>
                        </wps:bodyPr>
                      </wps:wsp>
                      <wps:wsp>
                        <wps:cNvPr id="495" name="Rectangle 1604"/>
                        <wps:cNvSpPr>
                          <a:spLocks noChangeArrowheads="1"/>
                        </wps:cNvSpPr>
                        <wps:spPr bwMode="auto">
                          <a:xfrm>
                            <a:off x="3507105" y="896620"/>
                            <a:ext cx="760730" cy="318135"/>
                          </a:xfrm>
                          <a:prstGeom prst="rect">
                            <a:avLst/>
                          </a:prstGeom>
                          <a:solidFill>
                            <a:srgbClr val="FFFFFF"/>
                          </a:solidFill>
                          <a:ln w="9525" algn="ctr">
                            <a:solidFill>
                              <a:srgbClr val="000000"/>
                            </a:solidFill>
                            <a:miter lim="800000"/>
                          </a:ln>
                          <a:effectLst/>
                        </wps:spPr>
                        <wps:txbx>
                          <w:txbxContent>
                            <w:p>
                              <w:pPr>
                                <w:jc w:val="center"/>
                              </w:pPr>
                              <w:r>
                                <w:t>镀</w:t>
                              </w:r>
                              <w:r>
                                <w:rPr>
                                  <w:rFonts w:hint="eastAsia"/>
                                </w:rPr>
                                <w:t xml:space="preserve">  </w:t>
                              </w:r>
                              <w:r>
                                <w:t>层</w:t>
                              </w:r>
                            </w:p>
                          </w:txbxContent>
                        </wps:txbx>
                        <wps:bodyPr rot="0" vert="horz" wrap="square" lIns="91440" tIns="45720" rIns="91440" bIns="45720" anchor="t" anchorCtr="0" upright="1">
                          <a:noAutofit/>
                        </wps:bodyPr>
                      </wps:wsp>
                      <wps:wsp>
                        <wps:cNvPr id="496" name="Rectangle 1605"/>
                        <wps:cNvSpPr>
                          <a:spLocks noChangeArrowheads="1"/>
                        </wps:cNvSpPr>
                        <wps:spPr bwMode="auto">
                          <a:xfrm>
                            <a:off x="3507105" y="1503680"/>
                            <a:ext cx="760730" cy="317500"/>
                          </a:xfrm>
                          <a:prstGeom prst="rect">
                            <a:avLst/>
                          </a:prstGeom>
                          <a:solidFill>
                            <a:srgbClr val="FFFFFF"/>
                          </a:solidFill>
                          <a:ln w="9525" algn="ctr">
                            <a:solidFill>
                              <a:srgbClr val="000000"/>
                            </a:solidFill>
                            <a:miter lim="800000"/>
                          </a:ln>
                          <a:effectLst/>
                        </wps:spPr>
                        <wps:txbx>
                          <w:txbxContent>
                            <w:p>
                              <w:pPr>
                                <w:jc w:val="center"/>
                              </w:pPr>
                              <w:r>
                                <w:t>污泥</w:t>
                              </w:r>
                            </w:p>
                          </w:txbxContent>
                        </wps:txbx>
                        <wps:bodyPr rot="0" vert="horz" wrap="square" lIns="91440" tIns="45720" rIns="91440" bIns="45720" anchor="t" anchorCtr="0" upright="1">
                          <a:noAutofit/>
                        </wps:bodyPr>
                      </wps:wsp>
                      <wps:wsp>
                        <wps:cNvPr id="497" name="Rectangle 1606"/>
                        <wps:cNvSpPr>
                          <a:spLocks noChangeArrowheads="1"/>
                        </wps:cNvSpPr>
                        <wps:spPr bwMode="auto">
                          <a:xfrm>
                            <a:off x="3507105" y="2132965"/>
                            <a:ext cx="517525" cy="316865"/>
                          </a:xfrm>
                          <a:prstGeom prst="rect">
                            <a:avLst/>
                          </a:prstGeom>
                          <a:solidFill>
                            <a:srgbClr val="FFFFFF"/>
                          </a:solidFill>
                          <a:ln w="9525" algn="ctr">
                            <a:solidFill>
                              <a:srgbClr val="000000"/>
                            </a:solidFill>
                            <a:miter lim="800000"/>
                          </a:ln>
                          <a:effectLst/>
                        </wps:spPr>
                        <wps:txbx>
                          <w:txbxContent>
                            <w:p>
                              <w:pPr>
                                <w:jc w:val="center"/>
                              </w:pPr>
                              <w:r>
                                <w:t>废水</w:t>
                              </w:r>
                            </w:p>
                          </w:txbxContent>
                        </wps:txbx>
                        <wps:bodyPr rot="0" vert="horz" wrap="square" lIns="91440" tIns="45720" rIns="91440" bIns="45720" anchor="t" anchorCtr="0" upright="1">
                          <a:noAutofit/>
                        </wps:bodyPr>
                      </wps:wsp>
                      <wps:wsp>
                        <wps:cNvPr id="498" name="AutoShape 1607"/>
                        <wps:cNvCnPr>
                          <a:cxnSpLocks noChangeShapeType="1"/>
                          <a:stCxn id="1910" idx="0"/>
                          <a:endCxn id="1914" idx="2"/>
                        </wps:cNvCnPr>
                        <wps:spPr bwMode="auto">
                          <a:xfrm flipV="1">
                            <a:off x="2282508" y="499110"/>
                            <a:ext cx="4444" cy="427990"/>
                          </a:xfrm>
                          <a:prstGeom prst="straightConnector1">
                            <a:avLst/>
                          </a:prstGeom>
                          <a:noFill/>
                          <a:ln w="9525">
                            <a:solidFill>
                              <a:srgbClr val="000000"/>
                            </a:solidFill>
                            <a:round/>
                            <a:tailEnd type="triangle" w="med" len="med"/>
                          </a:ln>
                          <a:effectLst/>
                        </wps:spPr>
                        <wps:bodyPr/>
                      </wps:wsp>
                      <wps:wsp>
                        <wps:cNvPr id="499" name="AutoShape 1608"/>
                        <wps:cNvCnPr>
                          <a:cxnSpLocks noChangeShapeType="1"/>
                          <a:stCxn id="1911" idx="3"/>
                          <a:endCxn id="1910" idx="1"/>
                        </wps:cNvCnPr>
                        <wps:spPr bwMode="auto">
                          <a:xfrm>
                            <a:off x="883920" y="1056005"/>
                            <a:ext cx="1156970" cy="605790"/>
                          </a:xfrm>
                          <a:prstGeom prst="bentConnector3">
                            <a:avLst>
                              <a:gd name="adj1" fmla="val 50000"/>
                            </a:avLst>
                          </a:prstGeom>
                          <a:noFill/>
                          <a:ln w="9525">
                            <a:solidFill>
                              <a:srgbClr val="000000"/>
                            </a:solidFill>
                            <a:miter lim="800000"/>
                            <a:tailEnd type="triangle" w="med" len="med"/>
                          </a:ln>
                          <a:effectLst/>
                        </wps:spPr>
                        <wps:bodyPr/>
                      </wps:wsp>
                      <wps:wsp>
                        <wps:cNvPr id="500" name="AutoShape 1610"/>
                        <wps:cNvCnPr>
                          <a:cxnSpLocks noChangeShapeType="1"/>
                          <a:stCxn id="1912" idx="3"/>
                          <a:endCxn id="1910" idx="1"/>
                        </wps:cNvCnPr>
                        <wps:spPr bwMode="auto">
                          <a:xfrm flipV="1">
                            <a:off x="883920" y="1661795"/>
                            <a:ext cx="1156970" cy="629920"/>
                          </a:xfrm>
                          <a:prstGeom prst="bentConnector3">
                            <a:avLst>
                              <a:gd name="adj1" fmla="val 50000"/>
                            </a:avLst>
                          </a:prstGeom>
                          <a:noFill/>
                          <a:ln w="9525">
                            <a:solidFill>
                              <a:srgbClr val="000000"/>
                            </a:solidFill>
                            <a:miter lim="800000"/>
                            <a:tailEnd type="triangle" w="med" len="med"/>
                          </a:ln>
                          <a:effectLst/>
                        </wps:spPr>
                        <wps:bodyPr/>
                      </wps:wsp>
                      <wps:wsp>
                        <wps:cNvPr id="501" name="AutoShape 1611"/>
                        <wps:cNvCnPr>
                          <a:cxnSpLocks noChangeShapeType="1"/>
                          <a:stCxn id="1910" idx="3"/>
                          <a:endCxn id="1915" idx="1"/>
                        </wps:cNvCnPr>
                        <wps:spPr bwMode="auto">
                          <a:xfrm flipV="1">
                            <a:off x="2524125" y="1056005"/>
                            <a:ext cx="982980" cy="605790"/>
                          </a:xfrm>
                          <a:prstGeom prst="bentConnector3">
                            <a:avLst>
                              <a:gd name="adj1" fmla="val 49935"/>
                            </a:avLst>
                          </a:prstGeom>
                          <a:noFill/>
                          <a:ln w="9525">
                            <a:solidFill>
                              <a:srgbClr val="000000"/>
                            </a:solidFill>
                            <a:miter lim="800000"/>
                            <a:tailEnd type="triangle" w="med" len="med"/>
                          </a:ln>
                          <a:effectLst/>
                        </wps:spPr>
                        <wps:bodyPr/>
                      </wps:wsp>
                      <wps:wsp>
                        <wps:cNvPr id="502" name="AutoShape 1612"/>
                        <wps:cNvCnPr>
                          <a:cxnSpLocks noChangeShapeType="1"/>
                          <a:stCxn id="1910" idx="3"/>
                          <a:endCxn id="1916" idx="1"/>
                        </wps:cNvCnPr>
                        <wps:spPr bwMode="auto">
                          <a:xfrm>
                            <a:off x="2524125" y="1661795"/>
                            <a:ext cx="982980" cy="635"/>
                          </a:xfrm>
                          <a:prstGeom prst="bentConnector3">
                            <a:avLst>
                              <a:gd name="adj1" fmla="val 49935"/>
                            </a:avLst>
                          </a:prstGeom>
                          <a:noFill/>
                          <a:ln w="9525">
                            <a:solidFill>
                              <a:srgbClr val="000000"/>
                            </a:solidFill>
                            <a:miter lim="800000"/>
                            <a:tailEnd type="triangle" w="med" len="med"/>
                          </a:ln>
                          <a:effectLst/>
                        </wps:spPr>
                        <wps:bodyPr/>
                      </wps:wsp>
                      <wps:wsp>
                        <wps:cNvPr id="503" name="AutoShape 1613"/>
                        <wps:cNvCnPr>
                          <a:cxnSpLocks noChangeShapeType="1"/>
                          <a:stCxn id="1910" idx="3"/>
                          <a:endCxn id="1917" idx="1"/>
                        </wps:cNvCnPr>
                        <wps:spPr bwMode="auto">
                          <a:xfrm>
                            <a:off x="2524125" y="1661795"/>
                            <a:ext cx="982980" cy="629920"/>
                          </a:xfrm>
                          <a:prstGeom prst="bentConnector3">
                            <a:avLst>
                              <a:gd name="adj1" fmla="val 49935"/>
                            </a:avLst>
                          </a:prstGeom>
                          <a:noFill/>
                          <a:ln w="9525">
                            <a:solidFill>
                              <a:srgbClr val="000000"/>
                            </a:solidFill>
                            <a:miter lim="800000"/>
                            <a:tailEnd type="triangle" w="med" len="med"/>
                          </a:ln>
                          <a:effectLst/>
                        </wps:spPr>
                        <wps:bodyPr/>
                      </wps:wsp>
                      <wps:wsp>
                        <wps:cNvPr id="504" name="Rectangle 1614"/>
                        <wps:cNvSpPr>
                          <a:spLocks noChangeArrowheads="1"/>
                        </wps:cNvSpPr>
                        <wps:spPr bwMode="auto">
                          <a:xfrm>
                            <a:off x="781050" y="849630"/>
                            <a:ext cx="760730" cy="318135"/>
                          </a:xfrm>
                          <a:prstGeom prst="rect">
                            <a:avLst/>
                          </a:prstGeom>
                          <a:noFill/>
                          <a:ln>
                            <a:noFill/>
                          </a:ln>
                          <a:effectLst/>
                        </wps:spPr>
                        <wps:txbx>
                          <w:txbxContent>
                            <w:p>
                              <w:pPr>
                                <w:jc w:val="center"/>
                              </w:pPr>
                              <w:r>
                                <w:rPr>
                                  <w:rFonts w:hint="eastAsia"/>
                                </w:rPr>
                                <w:t>42.108</w:t>
                              </w:r>
                            </w:p>
                          </w:txbxContent>
                        </wps:txbx>
                        <wps:bodyPr rot="0" vert="horz" wrap="square" lIns="91440" tIns="45720" rIns="91440" bIns="45720" anchor="t" anchorCtr="0" upright="1">
                          <a:noAutofit/>
                        </wps:bodyPr>
                      </wps:wsp>
                      <wps:wsp>
                        <wps:cNvPr id="505" name="Rectangle 1616"/>
                        <wps:cNvSpPr>
                          <a:spLocks noChangeArrowheads="1"/>
                        </wps:cNvSpPr>
                        <wps:spPr bwMode="auto">
                          <a:xfrm>
                            <a:off x="781050" y="2077720"/>
                            <a:ext cx="760730" cy="318135"/>
                          </a:xfrm>
                          <a:prstGeom prst="rect">
                            <a:avLst/>
                          </a:prstGeom>
                          <a:noFill/>
                          <a:ln>
                            <a:noFill/>
                          </a:ln>
                          <a:effectLst/>
                        </wps:spPr>
                        <wps:txbx>
                          <w:txbxContent>
                            <w:p>
                              <w:pPr>
                                <w:jc w:val="center"/>
                              </w:pPr>
                              <w:r>
                                <w:rPr>
                                  <w:rFonts w:hint="eastAsia"/>
                                </w:rPr>
                                <w:t>0.552</w:t>
                              </w:r>
                            </w:p>
                          </w:txbxContent>
                        </wps:txbx>
                        <wps:bodyPr rot="0" vert="horz" wrap="square" lIns="91440" tIns="45720" rIns="91440" bIns="45720" anchor="t" anchorCtr="0" upright="1">
                          <a:noAutofit/>
                        </wps:bodyPr>
                      </wps:wsp>
                      <wps:wsp>
                        <wps:cNvPr id="506" name="Rectangle 1617"/>
                        <wps:cNvSpPr>
                          <a:spLocks noChangeArrowheads="1"/>
                        </wps:cNvSpPr>
                        <wps:spPr bwMode="auto">
                          <a:xfrm>
                            <a:off x="1387475" y="1443355"/>
                            <a:ext cx="760730" cy="318135"/>
                          </a:xfrm>
                          <a:prstGeom prst="rect">
                            <a:avLst/>
                          </a:prstGeom>
                          <a:noFill/>
                          <a:ln>
                            <a:noFill/>
                          </a:ln>
                          <a:effectLst/>
                        </wps:spPr>
                        <wps:txbx>
                          <w:txbxContent>
                            <w:p>
                              <w:pPr>
                                <w:jc w:val="center"/>
                              </w:pPr>
                              <w:r>
                                <w:rPr>
                                  <w:rFonts w:hint="eastAsia"/>
                                </w:rPr>
                                <w:t>42.66</w:t>
                              </w:r>
                            </w:p>
                          </w:txbxContent>
                        </wps:txbx>
                        <wps:bodyPr rot="0" vert="horz" wrap="square" lIns="91440" tIns="45720" rIns="91440" bIns="45720" anchor="t" anchorCtr="0" upright="1">
                          <a:noAutofit/>
                        </wps:bodyPr>
                      </wps:wsp>
                      <wps:wsp>
                        <wps:cNvPr id="507" name="Rectangle 1618"/>
                        <wps:cNvSpPr>
                          <a:spLocks noChangeArrowheads="1"/>
                        </wps:cNvSpPr>
                        <wps:spPr bwMode="auto">
                          <a:xfrm>
                            <a:off x="2087245" y="578485"/>
                            <a:ext cx="760730" cy="318135"/>
                          </a:xfrm>
                          <a:prstGeom prst="rect">
                            <a:avLst/>
                          </a:prstGeom>
                          <a:noFill/>
                          <a:ln>
                            <a:noFill/>
                          </a:ln>
                          <a:effectLst/>
                        </wps:spPr>
                        <wps:txbx>
                          <w:txbxContent>
                            <w:p>
                              <w:pPr>
                                <w:jc w:val="center"/>
                              </w:pPr>
                              <w:r>
                                <w:rPr>
                                  <w:rFonts w:hint="eastAsia"/>
                                </w:rPr>
                                <w:t>0.087</w:t>
                              </w:r>
                            </w:p>
                          </w:txbxContent>
                        </wps:txbx>
                        <wps:bodyPr rot="0" vert="horz" wrap="square" lIns="91440" tIns="45720" rIns="91440" bIns="45720" anchor="t" anchorCtr="0" upright="1">
                          <a:noAutofit/>
                        </wps:bodyPr>
                      </wps:wsp>
                      <wps:wsp>
                        <wps:cNvPr id="508" name="Rectangle 1619"/>
                        <wps:cNvSpPr>
                          <a:spLocks noChangeArrowheads="1"/>
                        </wps:cNvSpPr>
                        <wps:spPr bwMode="auto">
                          <a:xfrm>
                            <a:off x="2847975" y="832485"/>
                            <a:ext cx="760730" cy="318135"/>
                          </a:xfrm>
                          <a:prstGeom prst="rect">
                            <a:avLst/>
                          </a:prstGeom>
                          <a:noFill/>
                          <a:ln>
                            <a:noFill/>
                          </a:ln>
                          <a:effectLst/>
                        </wps:spPr>
                        <wps:txbx>
                          <w:txbxContent>
                            <w:p>
                              <w:pPr>
                                <w:jc w:val="center"/>
                              </w:pPr>
                              <w:r>
                                <w:rPr>
                                  <w:rFonts w:hint="eastAsia"/>
                                </w:rPr>
                                <w:t>42.101</w:t>
                              </w:r>
                            </w:p>
                          </w:txbxContent>
                        </wps:txbx>
                        <wps:bodyPr rot="0" vert="horz" wrap="square" lIns="91440" tIns="45720" rIns="91440" bIns="45720" anchor="t" anchorCtr="0" upright="1">
                          <a:noAutofit/>
                        </wps:bodyPr>
                      </wps:wsp>
                      <wps:wsp>
                        <wps:cNvPr id="509" name="Rectangle 1620"/>
                        <wps:cNvSpPr>
                          <a:spLocks noChangeArrowheads="1"/>
                        </wps:cNvSpPr>
                        <wps:spPr bwMode="auto">
                          <a:xfrm>
                            <a:off x="2858135" y="1443355"/>
                            <a:ext cx="760730" cy="318135"/>
                          </a:xfrm>
                          <a:prstGeom prst="rect">
                            <a:avLst/>
                          </a:prstGeom>
                          <a:noFill/>
                          <a:ln>
                            <a:noFill/>
                          </a:ln>
                          <a:effectLst/>
                        </wps:spPr>
                        <wps:txbx>
                          <w:txbxContent>
                            <w:p>
                              <w:pPr>
                                <w:jc w:val="center"/>
                              </w:pPr>
                              <w:r>
                                <w:rPr>
                                  <w:rFonts w:hint="eastAsia"/>
                                </w:rPr>
                                <w:t>0.455</w:t>
                              </w:r>
                            </w:p>
                          </w:txbxContent>
                        </wps:txbx>
                        <wps:bodyPr rot="0" vert="horz" wrap="square" lIns="91440" tIns="45720" rIns="91440" bIns="45720" anchor="t" anchorCtr="0" upright="1">
                          <a:noAutofit/>
                        </wps:bodyPr>
                      </wps:wsp>
                      <wps:wsp>
                        <wps:cNvPr id="510" name="Rectangle 1621"/>
                        <wps:cNvSpPr>
                          <a:spLocks noChangeArrowheads="1"/>
                        </wps:cNvSpPr>
                        <wps:spPr bwMode="auto">
                          <a:xfrm>
                            <a:off x="2847975" y="2077720"/>
                            <a:ext cx="760730" cy="318135"/>
                          </a:xfrm>
                          <a:prstGeom prst="rect">
                            <a:avLst/>
                          </a:prstGeom>
                          <a:noFill/>
                          <a:ln>
                            <a:noFill/>
                          </a:ln>
                          <a:effectLst/>
                        </wps:spPr>
                        <wps:txbx>
                          <w:txbxContent>
                            <w:p>
                              <w:pPr>
                                <w:jc w:val="center"/>
                              </w:pPr>
                              <w:r>
                                <w:rPr>
                                  <w:rFonts w:hint="eastAsia"/>
                                </w:rPr>
                                <w:t>0.017</w:t>
                              </w:r>
                            </w:p>
                          </w:txbxContent>
                        </wps:txbx>
                        <wps:bodyPr rot="0" vert="horz" wrap="square" lIns="91440" tIns="45720" rIns="91440" bIns="45720" anchor="t" anchorCtr="0" upright="1">
                          <a:noAutofit/>
                        </wps:bodyPr>
                      </wps:wsp>
                      <wps:wsp>
                        <wps:cNvPr id="511" name="Rectangle 1622"/>
                        <wps:cNvSpPr>
                          <a:spLocks noChangeArrowheads="1"/>
                        </wps:cNvSpPr>
                        <wps:spPr bwMode="auto">
                          <a:xfrm>
                            <a:off x="2371725" y="1443355"/>
                            <a:ext cx="760730" cy="318135"/>
                          </a:xfrm>
                          <a:prstGeom prst="rect">
                            <a:avLst/>
                          </a:prstGeom>
                          <a:noFill/>
                          <a:ln>
                            <a:noFill/>
                          </a:ln>
                          <a:effectLst/>
                        </wps:spPr>
                        <wps:txbx>
                          <w:txbxContent>
                            <w:p>
                              <w:pPr>
                                <w:jc w:val="center"/>
                              </w:pPr>
                              <w:r>
                                <w:rPr>
                                  <w:rFonts w:hint="eastAsia"/>
                                </w:rPr>
                                <w:t>42.573</w:t>
                              </w:r>
                            </w:p>
                          </w:txbxContent>
                        </wps:txbx>
                        <wps:bodyPr rot="0" vert="horz" wrap="square" lIns="91440" tIns="45720" rIns="91440" bIns="45720" anchor="t" anchorCtr="0" upright="1">
                          <a:noAutofit/>
                        </wps:bodyPr>
                      </wps:wsp>
                      <wps:wsp>
                        <wps:cNvPr id="512" name="Rectangle 1623"/>
                        <wps:cNvSpPr>
                          <a:spLocks noChangeArrowheads="1"/>
                        </wps:cNvSpPr>
                        <wps:spPr bwMode="auto">
                          <a:xfrm>
                            <a:off x="4412615" y="2132965"/>
                            <a:ext cx="863600" cy="316865"/>
                          </a:xfrm>
                          <a:prstGeom prst="rect">
                            <a:avLst/>
                          </a:prstGeom>
                          <a:solidFill>
                            <a:srgbClr val="FFFFFF"/>
                          </a:solidFill>
                          <a:ln w="9525" algn="ctr">
                            <a:solidFill>
                              <a:srgbClr val="000000"/>
                            </a:solidFill>
                            <a:miter lim="800000"/>
                          </a:ln>
                          <a:effectLst/>
                        </wps:spPr>
                        <wps:txbx>
                          <w:txbxContent>
                            <w:p>
                              <w:pPr>
                                <w:jc w:val="center"/>
                              </w:pPr>
                              <w:r>
                                <w:t>蒸发结晶盐</w:t>
                              </w:r>
                            </w:p>
                          </w:txbxContent>
                        </wps:txbx>
                        <wps:bodyPr rot="0" vert="horz" wrap="square" lIns="91440" tIns="45720" rIns="91440" bIns="45720" anchor="t" anchorCtr="0" upright="1">
                          <a:noAutofit/>
                        </wps:bodyPr>
                      </wps:wsp>
                      <wps:wsp>
                        <wps:cNvPr id="513" name="AutoShape 1624"/>
                        <wps:cNvCnPr>
                          <a:cxnSpLocks noChangeShapeType="1"/>
                          <a:stCxn id="1917" idx="3"/>
                          <a:endCxn id="1612" idx="1"/>
                        </wps:cNvCnPr>
                        <wps:spPr bwMode="auto">
                          <a:xfrm>
                            <a:off x="4024630" y="2291715"/>
                            <a:ext cx="387985" cy="635"/>
                          </a:xfrm>
                          <a:prstGeom prst="straightConnector1">
                            <a:avLst/>
                          </a:prstGeom>
                          <a:noFill/>
                          <a:ln w="9525">
                            <a:solidFill>
                              <a:srgbClr val="000000"/>
                            </a:solidFill>
                            <a:round/>
                            <a:tailEnd type="triangle" w="med" len="med"/>
                          </a:ln>
                          <a:effectLst/>
                        </wps:spPr>
                        <wps:bodyPr/>
                      </wps:wsp>
                      <wps:wsp>
                        <wps:cNvPr id="514" name="Rectangle 1625"/>
                        <wps:cNvSpPr>
                          <a:spLocks noChangeArrowheads="1"/>
                        </wps:cNvSpPr>
                        <wps:spPr bwMode="auto">
                          <a:xfrm>
                            <a:off x="3834765" y="2077720"/>
                            <a:ext cx="760730" cy="318135"/>
                          </a:xfrm>
                          <a:prstGeom prst="rect">
                            <a:avLst/>
                          </a:prstGeom>
                          <a:noFill/>
                          <a:ln>
                            <a:noFill/>
                          </a:ln>
                          <a:effectLst/>
                        </wps:spPr>
                        <wps:txbx>
                          <w:txbxContent>
                            <w:p>
                              <w:pPr>
                                <w:jc w:val="center"/>
                              </w:pPr>
                              <w:r>
                                <w:rPr>
                                  <w:rFonts w:hint="eastAsia"/>
                                </w:rPr>
                                <w:t>0.017</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196.95pt;width:448pt;" coordsize="5689600,2501265" editas="canvas"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">
                <o:lock v:ext="edit" aspectratio="f"/>
                <v:shape id="_x0000_s1026" o:spid="_x0000_s1026" style="position:absolute;left:0;top:0;height:2501265;width:568960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">
                  <v:fill on="f" focussize="0,0"/>
                  <v:stroke on="f"/>
                  <v:imagedata o:title=""/>
                  <o:lock v:ext="edit" aspectratio="t"/>
                </v:shape>
                <v:rect id="Rectangle 1599" o:spid="_x0000_s1026" o:spt="1" style="position:absolute;left:2040890;top:927100;height:1468755;width:483235;" fillcolor="#FFFFFF" filled="t" stroked="t" coordsize="21600,21600" o:gfxdata="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36TmfNMAAAAFAQAADwAAAAAA&#10;AAABACAAAAAiAAAAZHJzL2Rvd25yZXYueG1sUEsBAhQAFAAAAAgAh07iQMxL4M1RAgAAqAQAAA4A&#10;AAAAAAAAAQAgAAAAIgEAAGRycy9lMm9Eb2MueG1sUEsFBgAAAAAGAAYAWQEAAOUFAAAAAA==&#10;">
                  <v:fill on="t" focussize="0,0"/>
                  <v:stroke color="#000000" miterlimit="8" joinstyle="miter"/>
                  <v:imagedata o:title=""/>
                  <o:lock v:ext="edit" aspectratio="f"/>
                  <v:textbox inset="3.5mm,6.3mm,2.54mm,1.27mm">
                    <w:txbxContent>
                      <w:p>
                        <w:pPr>
                          <w:rPr>
                            <w:sz w:val="32"/>
                          </w:rPr>
                        </w:pPr>
                        <w:r>
                          <w:rPr>
                            <w:sz w:val="32"/>
                          </w:rPr>
                          <w:t>镀锌</w:t>
                        </w:r>
                        <w:r>
                          <w:rPr>
                            <w:rFonts w:hint="eastAsia"/>
                            <w:sz w:val="32"/>
                          </w:rPr>
                          <w:t>工序</w:t>
                        </w:r>
                      </w:p>
                    </w:txbxContent>
                  </v:textbox>
                </v:rect>
                <v:rect id="Rectangle 1600" o:spid="_x0000_s1026" o:spt="1" style="position:absolute;left:123190;top:896620;height:318135;width:760730;"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8mO9zUAAAABQEAAA8AAAAAAAAAAQAgAAAA&#10;IgAAAGRycy9kb3ducmV2LnhtbFBLAQIUABQAAAAIAIdO4kDwEtWSSAIAAKQEAAAOAAAAAAAAAAEA&#10;IAAAACMBAABkcnMvZTJvRG9jLnhtbFBLBQYAAAAABgAGAFkBAADdBQAAAAA=&#10;">
                  <v:fill on="t" focussize="0,0"/>
                  <v:stroke color="#000000" miterlimit="8" joinstyle="miter"/>
                  <v:imagedata o:title=""/>
                  <o:lock v:ext="edit" aspectratio="f"/>
                  <v:textbox>
                    <w:txbxContent>
                      <w:p>
                        <w:pPr>
                          <w:jc w:val="center"/>
                        </w:pPr>
                        <w:r>
                          <w:rPr>
                            <w:rFonts w:hint="eastAsia"/>
                          </w:rPr>
                          <w:t xml:space="preserve">锌  </w:t>
                        </w:r>
                        <w:r>
                          <w:t>板</w:t>
                        </w:r>
                      </w:p>
                    </w:txbxContent>
                  </v:textbox>
                </v:rect>
                <v:rect id="Rectangle 1602" o:spid="_x0000_s1026" o:spt="1" style="position:absolute;left:123190;top:2132965;height:316865;width:760730;"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Y73NQAAAAFAQAADwAAAAAAAAABACAA&#10;AAAiAAAAZHJzL2Rvd25yZXYueG1sUEsBAhQAFAAAAAgAh07iQJBAdHpKAgAApQQAAA4AAAAAAAAA&#10;AQAgAAAAIwEAAGRycy9lMm9Eb2MueG1sUEsFBgAAAAAGAAYAWQEAAN8FAAAAAA==&#10;">
                  <v:fill on="t" focussize="0,0"/>
                  <v:stroke color="#000000" miterlimit="8" joinstyle="miter"/>
                  <v:imagedata o:title=""/>
                  <o:lock v:ext="edit" aspectratio="f"/>
                  <v:textbox>
                    <w:txbxContent>
                      <w:p>
                        <w:pPr>
                          <w:jc w:val="center"/>
                        </w:pPr>
                        <w:r>
                          <w:t>氯化锌</w:t>
                        </w:r>
                      </w:p>
                    </w:txbxContent>
                  </v:textbox>
                </v:rect>
                <v:rect id="Rectangle 1603" o:spid="_x0000_s1026" o:spt="1" style="position:absolute;left:1287779;top:70485;height:428625;width:1998345;"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Y73NQAAAAFAQAADwAAAAAAAAABACAA&#10;AAAiAAAAZHJzL2Rvd25yZXYueG1sUEsBAhQAFAAAAAgAh07iQJzrZoxKAgAApQQAAA4AAAAAAAAA&#10;AQAgAAAAIwEAAGRycy9lMm9Eb2MueG1sUEsFBgAAAAAGAAYAWQEAAN8FAAAAAA==&#10;">
                  <v:fill on="t" focussize="0,0"/>
                  <v:stroke color="#000000" miterlimit="8" joinstyle="miter"/>
                  <v:imagedata o:title=""/>
                  <o:lock v:ext="edit" aspectratio="f"/>
                  <v:textbox>
                    <w:txbxContent>
                      <w:p>
                        <w:pPr>
                          <w:pStyle w:val="271"/>
                          <w:keepNext w:val="0"/>
                          <w:keepLines w:val="0"/>
                          <w:snapToGrid w:val="0"/>
                          <w:spacing w:before="0" w:beforeLines="0" w:after="0" w:afterLines="0" w:line="240" w:lineRule="auto"/>
                          <w:jc w:val="center"/>
                          <w:outlineLvl w:val="9"/>
                        </w:pPr>
                        <w:r>
                          <w:rPr>
                            <w:rFonts w:hint="eastAsia" w:eastAsia="宋体" w:cs="Times New Roman"/>
                            <w:color w:val="auto"/>
                            <w:kern w:val="21"/>
                            <w:sz w:val="21"/>
                            <w:szCs w:val="21"/>
                          </w:rPr>
                          <w:t>废滤芯0.0221；废槽渣0.0435；废槽液0.0214</w:t>
                        </w:r>
                      </w:p>
                    </w:txbxContent>
                  </v:textbox>
                </v:rect>
                <v:rect id="Rectangle 1604" o:spid="_x0000_s1026" o:spt="1" style="position:absolute;left:3507105;top:896620;height:318135;width:760730;"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Jjvc1AAAAAUBAAAPAAAAAAAAAAEAIAAA&#10;ACIAAABkcnMvZG93bnJldi54bWxQSwECFAAUAAAACACHTuJAbneOIEkCAAClBAAADgAAAAAAAAAB&#10;ACAAAAAjAQAAZHJzL2Uyb0RvYy54bWxQSwUGAAAAAAYABgBZAQAA3gUAAAAA&#10;">
                  <v:fill on="t" focussize="0,0"/>
                  <v:stroke color="#000000" miterlimit="8" joinstyle="miter"/>
                  <v:imagedata o:title=""/>
                  <o:lock v:ext="edit" aspectratio="f"/>
                  <v:textbox>
                    <w:txbxContent>
                      <w:p>
                        <w:pPr>
                          <w:jc w:val="center"/>
                        </w:pPr>
                        <w:r>
                          <w:t>镀</w:t>
                        </w:r>
                        <w:r>
                          <w:rPr>
                            <w:rFonts w:hint="eastAsia"/>
                          </w:rPr>
                          <w:t xml:space="preserve">  </w:t>
                        </w:r>
                        <w:r>
                          <w:t>层</w:t>
                        </w:r>
                      </w:p>
                    </w:txbxContent>
                  </v:textbox>
                </v:rect>
                <v:rect id="Rectangle 1605" o:spid="_x0000_s1026" o:spt="1" style="position:absolute;left:3507105;top:1503680;height:317500;width:760730;"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yY73NQAAAAFAQAADwAAAAAAAAABACAA&#10;AAAiAAAAZHJzL2Rvd25yZXYueG1sUEsBAhQAFAAAAAgAh07iQJDbm7pKAgAApgQAAA4AAAAAAAAA&#10;AQAgAAAAIwEAAGRycy9lMm9Eb2MueG1sUEsFBgAAAAAGAAYAWQEAAN8FAAAAAA==&#10;">
                  <v:fill on="t" focussize="0,0"/>
                  <v:stroke color="#000000" miterlimit="8" joinstyle="miter"/>
                  <v:imagedata o:title=""/>
                  <o:lock v:ext="edit" aspectratio="f"/>
                  <v:textbox>
                    <w:txbxContent>
                      <w:p>
                        <w:pPr>
                          <w:jc w:val="center"/>
                        </w:pPr>
                        <w:r>
                          <w:t>污泥</w:t>
                        </w:r>
                      </w:p>
                    </w:txbxContent>
                  </v:textbox>
                </v:rect>
                <v:rect id="Rectangle 1606" o:spid="_x0000_s1026" o:spt="1" style="position:absolute;left:3507105;top:2132965;height:316865;width:517525;"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Jjvc1AAAAAUBAAAPAAAAAAAAAAEAIAAA&#10;ACIAAABkcnMvZG93bnJldi54bWxQSwECFAAUAAAACACHTuJAtTV+gkkCAACmBAAADgAAAAAAAAAB&#10;ACAAAAAjAQAAZHJzL2Uyb0RvYy54bWxQSwUGAAAAAAYABgBZAQAA3gUAAAAA&#10;">
                  <v:fill on="t" focussize="0,0"/>
                  <v:stroke color="#000000" miterlimit="8" joinstyle="miter"/>
                  <v:imagedata o:title=""/>
                  <o:lock v:ext="edit" aspectratio="f"/>
                  <v:textbox>
                    <w:txbxContent>
                      <w:p>
                        <w:pPr>
                          <w:jc w:val="center"/>
                        </w:pPr>
                        <w:r>
                          <w:t>废水</w:t>
                        </w:r>
                      </w:p>
                    </w:txbxContent>
                  </v:textbox>
                </v:rect>
                <v:shape id="AutoShape 1607" o:spid="_x0000_s1026" o:spt="32" type="#_x0000_t32" style="position:absolute;left:2282508;top:499110;flip:y;height:427990;width:4444;" filled="f" stroked="t" coordsize="21600,21600" o:gfxdata="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fcbuEtYAAAAF&#10;AQAADwAAAAAAAAABACAAAAAiAAAAZHJzL2Rvd25yZXYueG1sUEsBAhQAFAAAAAgAh07iQFiwhQYe&#10;AgAAQwQAAA4AAAAAAAAAAQAgAAAAJQEAAGRycy9lMm9Eb2MueG1sUEsFBgAAAAAGAAYAWQEAALUF&#10;AAAAAA==&#10;">
                  <v:fill on="f" focussize="0,0"/>
                  <v:stroke color="#000000" joinstyle="round" endarrow="block"/>
                  <v:imagedata o:title=""/>
                  <o:lock v:ext="edit" aspectratio="f"/>
                </v:shape>
                <v:shape id="AutoShape 1608" o:spid="_x0000_s1026" o:spt="34" type="#_x0000_t34" style="position:absolute;left:883920;top:1056005;height:605790;width:1156970;" filled="f" stroked="t" coordsize="21600,21600" o:gfxdata="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ArGn7VAAAABQEAAA8AAAAAAAAAAQAgAAAAIgAAAGRycy9kb3du&#10;cmV2LnhtbFBLAQIUABQAAAAIAIdO4kDKyf27OwIAAHIEAAAOAAAAAAAAAAEAIAAAACQBAABkcnMv&#10;ZTJvRG9jLnhtbFBLBQYAAAAABgAGAFkBAADRBQAAAAA=&#10;" adj="10800">
                  <v:fill on="f" focussize="0,0"/>
                  <v:stroke color="#000000" miterlimit="8" joinstyle="miter" endarrow="block"/>
                  <v:imagedata o:title=""/>
                  <o:lock v:ext="edit" aspectratio="f"/>
                </v:shape>
                <v:shape id="AutoShape 1610" o:spid="_x0000_s1026" o:spt="34" type="#_x0000_t34" style="position:absolute;left:883920;top:1661795;flip:y;height:629920;width:1156970;" filled="f" stroked="t" coordsize="21600,21600" o:gfxdata="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&#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10keTUAAAABQEAAA8AAAAAAAAAAQAgAAAAIgAAAGRy&#10;cy9kb3ducmV2LnhtbFBLAQIUABQAAAAIAIdO4kA17rjXQgIAAHwEAAAOAAAAAAAAAAEAIAAAACMB&#10;AABkcnMvZTJvRG9jLnhtbFBLBQYAAAAABgAGAFkBAADXBQAAAAA=&#10;" adj="10800">
                  <v:fill on="f" focussize="0,0"/>
                  <v:stroke color="#000000" miterlimit="8" joinstyle="miter" endarrow="block"/>
                  <v:imagedata o:title=""/>
                  <o:lock v:ext="edit" aspectratio="f"/>
                </v:shape>
                <v:shape id="AutoShape 1611" o:spid="_x0000_s1026" o:spt="34" type="#_x0000_t34" style="position:absolute;left:2524125;top:1056005;flip:y;height:605790;width:982980;" filled="f" stroked="t" coordsize="21600,21600" o:gfxdata="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8pL941gAAAAUBAAAPAAAAAAAAAAEAIAAAACIA&#10;AABkcnMvZG93bnJldi54bWxQSwECFAAUAAAACACHTuJALGpKVEQCAAB8BAAADgAAAAAAAAABACAA&#10;AAAlAQAAZHJzL2Uyb0RvYy54bWxQSwUGAAAAAAYABgBZAQAA2wUAAAAA&#10;" adj="10786">
                  <v:fill on="f" focussize="0,0"/>
                  <v:stroke color="#000000" miterlimit="8" joinstyle="miter" endarrow="block"/>
                  <v:imagedata o:title=""/>
                  <o:lock v:ext="edit" aspectratio="f"/>
                </v:shape>
                <v:shape id="AutoShape 1612" o:spid="_x0000_s1026" o:spt="34" type="#_x0000_t34" style="position:absolute;left:2524125;top:1661795;height:635;width:982980;" filled="f" stroked="t" coordsize="21600,21600" o:gfxdata="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TXqnJ1gAAAAUBAAAPAAAAAAAAAAEAIAAAACIAAABkcnMvZG93bnJl&#10;di54bWxQSwECFAAUAAAACACHTuJACjFK6zgCAABvBAAADgAAAAAAAAABACAAAAAlAQAAZHJzL2Uy&#10;b0RvYy54bWxQSwUGAAAAAAYABgBZAQAAzwUAAAAA&#10;" adj="10786">
                  <v:fill on="f" focussize="0,0"/>
                  <v:stroke color="#000000" miterlimit="8" joinstyle="miter" endarrow="block"/>
                  <v:imagedata o:title=""/>
                  <o:lock v:ext="edit" aspectratio="f"/>
                </v:shape>
                <v:shape id="AutoShape 1613" o:spid="_x0000_s1026" o:spt="34" type="#_x0000_t34" style="position:absolute;left:2524125;top:1661795;height:629920;width:982980;" filled="f" stroked="t" coordsize="21600,21600" o:gfxdata="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TXqnJ1gAAAAUBAAAPAAAAAAAAAAEAIAAAACIAAABkcnMv&#10;ZG93bnJldi54bWxQSwECFAAUAAAACACHTuJASf5UyD4CAAByBAAADgAAAAAAAAABACAAAAAlAQAA&#10;ZHJzL2Uyb0RvYy54bWxQSwUGAAAAAAYABgBZAQAA1QUAAAAA&#10;" adj="10786">
                  <v:fill on="f" focussize="0,0"/>
                  <v:stroke color="#000000" miterlimit="8" joinstyle="miter" endarrow="block"/>
                  <v:imagedata o:title=""/>
                  <o:lock v:ext="edit" aspectratio="f"/>
                </v:shape>
                <v:rect id="Rectangle 1614" o:spid="_x0000_s1026" o:spt="1" style="position:absolute;left:781050;top:849630;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6RiEJ1gAAAAUBAAAPAAAAAAAA&#10;AAEAIAAAACIAAABkcnMvZG93bnJldi54bWxQSwECFAAUAAAACACHTuJAKay08RQCAAAnBAAADgAA&#10;AAAAAAABACAAAAAlAQAAZHJzL2Uyb0RvYy54bWxQSwUGAAAAAAYABgBZAQAAqwUAAAAA&#10;">
                  <v:fill on="f" focussize="0,0"/>
                  <v:stroke on="f"/>
                  <v:imagedata o:title=""/>
                  <o:lock v:ext="edit" aspectratio="f"/>
                  <v:textbox>
                    <w:txbxContent>
                      <w:p>
                        <w:pPr>
                          <w:jc w:val="center"/>
                        </w:pPr>
                        <w:r>
                          <w:rPr>
                            <w:rFonts w:hint="eastAsia"/>
                          </w:rPr>
                          <w:t>42.108</w:t>
                        </w:r>
                      </w:p>
                    </w:txbxContent>
                  </v:textbox>
                </v:rect>
                <v:rect id="Rectangle 1616" o:spid="_x0000_s1026" o:spt="1" style="position:absolute;left:781050;top:2077720;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pGIQnWAAAABQEAAA8AAAAAAAAA&#10;AQAgAAAAIgAAAGRycy9kb3ducmV2LnhtbFBLAQIUABQAAAAIAIdO4kAcycV6EwIAACgEAAAOAAAA&#10;AAAAAAEAIAAAACUBAABkcnMvZTJvRG9jLnhtbFBLBQYAAAAABgAGAFkBAACqBQAAAAA=&#10;">
                  <v:fill on="f" focussize="0,0"/>
                  <v:stroke on="f"/>
                  <v:imagedata o:title=""/>
                  <o:lock v:ext="edit" aspectratio="f"/>
                  <v:textbox>
                    <w:txbxContent>
                      <w:p>
                        <w:pPr>
                          <w:jc w:val="center"/>
                        </w:pPr>
                        <w:r>
                          <w:rPr>
                            <w:rFonts w:hint="eastAsia"/>
                          </w:rPr>
                          <w:t>0.552</w:t>
                        </w:r>
                      </w:p>
                    </w:txbxContent>
                  </v:textbox>
                </v:rect>
                <v:rect id="Rectangle 1617" o:spid="_x0000_s1026" o:spt="1" style="position:absolute;left:1387475;top:1443355;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pGIQnWAAAABQEAAA8AAAAA&#10;AAAAAQAgAAAAIgAAAGRycy9kb3ducmV2LnhtbFBLAQIUABQAAAAIAIdO4kDj88emFgIAACkEAAAO&#10;AAAAAAAAAAEAIAAAACUBAABkcnMvZTJvRG9jLnhtbFBLBQYAAAAABgAGAFkBAACtBQAAAAA=&#10;">
                  <v:fill on="f" focussize="0,0"/>
                  <v:stroke on="f"/>
                  <v:imagedata o:title=""/>
                  <o:lock v:ext="edit" aspectratio="f"/>
                  <v:textbox>
                    <w:txbxContent>
                      <w:p>
                        <w:pPr>
                          <w:jc w:val="center"/>
                        </w:pPr>
                        <w:r>
                          <w:rPr>
                            <w:rFonts w:hint="eastAsia"/>
                          </w:rPr>
                          <w:t>42.66</w:t>
                        </w:r>
                      </w:p>
                    </w:txbxContent>
                  </v:textbox>
                </v:rect>
                <v:rect id="Rectangle 1618" o:spid="_x0000_s1026" o:spt="1" style="position:absolute;left:2087245;top:578485;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pGIQnWAAAABQEAAA8AAAAA&#10;AAAAAQAgAAAAIgAAAGRycy9kb3ducmV2LnhtbFBLAQIUABQAAAAIAIdO4kBHIlNjFgIAACgEAAAO&#10;AAAAAAAAAAEAIAAAACUBAABkcnMvZTJvRG9jLnhtbFBLBQYAAAAABgAGAFkBAACtBQAAAAA=&#10;">
                  <v:fill on="f" focussize="0,0"/>
                  <v:stroke on="f"/>
                  <v:imagedata o:title=""/>
                  <o:lock v:ext="edit" aspectratio="f"/>
                  <v:textbox>
                    <w:txbxContent>
                      <w:p>
                        <w:pPr>
                          <w:jc w:val="center"/>
                        </w:pPr>
                        <w:r>
                          <w:rPr>
                            <w:rFonts w:hint="eastAsia"/>
                          </w:rPr>
                          <w:t>0.087</w:t>
                        </w:r>
                      </w:p>
                    </w:txbxContent>
                  </v:textbox>
                </v:rect>
                <v:rect id="Rectangle 1619" o:spid="_x0000_s1026" o:spt="1" style="position:absolute;left:2847975;top:832485;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pGIQnWAAAABQEAAA8AAAAA&#10;AAAAAQAgAAAAIgAAAGRycy9kb3ducmV2LnhtbFBLAQIUABQAAAAIAIdO4kAADyL1FgIAACgEAAAO&#10;AAAAAAAAAAEAIAAAACUBAABkcnMvZTJvRG9jLnhtbFBLBQYAAAAABgAGAFkBAACtBQAAAAA=&#10;">
                  <v:fill on="f" focussize="0,0"/>
                  <v:stroke on="f"/>
                  <v:imagedata o:title=""/>
                  <o:lock v:ext="edit" aspectratio="f"/>
                  <v:textbox>
                    <w:txbxContent>
                      <w:p>
                        <w:pPr>
                          <w:jc w:val="center"/>
                        </w:pPr>
                        <w:r>
                          <w:rPr>
                            <w:rFonts w:hint="eastAsia"/>
                          </w:rPr>
                          <w:t>42.101</w:t>
                        </w:r>
                      </w:p>
                    </w:txbxContent>
                  </v:textbox>
                </v:rect>
                <v:rect id="Rectangle 1620" o:spid="_x0000_s1026" o:spt="1" style="position:absolute;left:2858135;top:1443355;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pGIQnWAAAABQEAAA8AAAAAAAAA&#10;AQAgAAAAIgAAAGRycy9kb3ducmV2LnhtbFBLAQIUABQAAAAIAIdO4kCPXUI7EwIAACkEAAAOAAAA&#10;AAAAAAEAIAAAACUBAABkcnMvZTJvRG9jLnhtbFBLBQYAAAAABgAGAFkBAACqBQAAAAA=&#10;">
                  <v:fill on="f" focussize="0,0"/>
                  <v:stroke on="f"/>
                  <v:imagedata o:title=""/>
                  <o:lock v:ext="edit" aspectratio="f"/>
                  <v:textbox>
                    <w:txbxContent>
                      <w:p>
                        <w:pPr>
                          <w:jc w:val="center"/>
                        </w:pPr>
                        <w:r>
                          <w:rPr>
                            <w:rFonts w:hint="eastAsia"/>
                          </w:rPr>
                          <w:t>0.455</w:t>
                        </w:r>
                      </w:p>
                    </w:txbxContent>
                  </v:textbox>
                </v:rect>
                <v:rect id="Rectangle 1621" o:spid="_x0000_s1026" o:spt="1" style="position:absolute;left:2847975;top:2077720;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OkYhCdYAAAAFAQAADwAAAAAA&#10;AAABACAAAAAiAAAAZHJzL2Rvd25yZXYueG1sUEsBAhQAFAAAAAgAh07iQNxqniEVAgAAKQQAAA4A&#10;AAAAAAAAAQAgAAAAJQEAAGRycy9lMm9Eb2MueG1sUEsFBgAAAAAGAAYAWQEAAKwFAAAAAA==&#10;">
                  <v:fill on="f" focussize="0,0"/>
                  <v:stroke on="f"/>
                  <v:imagedata o:title=""/>
                  <o:lock v:ext="edit" aspectratio="f"/>
                  <v:textbox>
                    <w:txbxContent>
                      <w:p>
                        <w:pPr>
                          <w:jc w:val="center"/>
                        </w:pPr>
                        <w:r>
                          <w:rPr>
                            <w:rFonts w:hint="eastAsia"/>
                          </w:rPr>
                          <w:t>0.017</w:t>
                        </w:r>
                      </w:p>
                    </w:txbxContent>
                  </v:textbox>
                </v:rect>
                <v:rect id="Rectangle 1622" o:spid="_x0000_s1026" o:spt="1" style="position:absolute;left:2371725;top:1443355;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pGIQnWAAAABQEAAA8AAAAA&#10;AAAAAQAgAAAAIgAAAGRycy9kb3ducmV2LnhtbFBLAQIUABQAAAAIAIdO4kCE/AouFgIAACkEAAAO&#10;AAAAAAAAAAEAIAAAACUBAABkcnMvZTJvRG9jLnhtbFBLBQYAAAAABgAGAFkBAACtBQAAAAA=&#10;">
                  <v:fill on="f" focussize="0,0"/>
                  <v:stroke on="f"/>
                  <v:imagedata o:title=""/>
                  <o:lock v:ext="edit" aspectratio="f"/>
                  <v:textbox>
                    <w:txbxContent>
                      <w:p>
                        <w:pPr>
                          <w:jc w:val="center"/>
                        </w:pPr>
                        <w:r>
                          <w:rPr>
                            <w:rFonts w:hint="eastAsia"/>
                          </w:rPr>
                          <w:t>42.573</w:t>
                        </w:r>
                      </w:p>
                    </w:txbxContent>
                  </v:textbox>
                </v:rect>
                <v:rect id="Rectangle 1623" o:spid="_x0000_s1026" o:spt="1" style="position:absolute;left:4412615;top:2132965;height:316865;width:863600;" fillcolor="#FFFFFF" filled="t" stroked="t" coordsize="21600,21600" o:gfxdata="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8mO9zUAAAABQEAAA8AAAAAAAAAAQAg&#10;AAAAIgAAAGRycy9kb3ducmV2LnhtbFBLAQIUABQAAAAIAIdO4kC/McAKSwIAAKYEAAAOAAAAAAAA&#10;AAEAIAAAACMBAABkcnMvZTJvRG9jLnhtbFBLBQYAAAAABgAGAFkBAADgBQAAAAA=&#10;">
                  <v:fill on="t" focussize="0,0"/>
                  <v:stroke color="#000000" miterlimit="8" joinstyle="miter"/>
                  <v:imagedata o:title=""/>
                  <o:lock v:ext="edit" aspectratio="f"/>
                  <v:textbox>
                    <w:txbxContent>
                      <w:p>
                        <w:pPr>
                          <w:jc w:val="center"/>
                        </w:pPr>
                        <w:r>
                          <w:t>蒸发结晶盐</w:t>
                        </w:r>
                      </w:p>
                    </w:txbxContent>
                  </v:textbox>
                </v:rect>
                <v:shape id="AutoShape 1624" o:spid="_x0000_s1026" o:spt="32" type="#_x0000_t32" style="position:absolute;left:4024630;top:2291715;height:635;width:387985;" filled="f" stroked="t" coordsize="21600,21600" o:gfxdata="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NWsZs1gAA&#10;AAUBAAAPAAAAAAAAAAEAIAAAACIAAABkcnMvZG93bnJldi54bWxQSwECFAAUAAAACACHTuJA+Jqa&#10;WiACAAA5BAAADgAAAAAAAAABACAAAAAlAQAAZHJzL2Uyb0RvYy54bWxQSwUGAAAAAAYABgBZAQAA&#10;twUAAAAA&#10;">
                  <v:fill on="f" focussize="0,0"/>
                  <v:stroke color="#000000" joinstyle="round" endarrow="block"/>
                  <v:imagedata o:title=""/>
                  <o:lock v:ext="edit" aspectratio="f"/>
                </v:shape>
                <v:rect id="Rectangle 1625" o:spid="_x0000_s1026" o:spt="1" style="position:absolute;left:3834765;top:2077720;height:318135;width:760730;" filled="f" stroked="f" coordsize="21600,21600" o:gfxdata="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pGIQnWAAAABQEAAA8AAAAA&#10;AAAAAQAgAAAAIgAAAGRycy9kb3ducmV2LnhtbFBLAQIUABQAAAAIAIdO4kBxKoimFgIAACkEAAAO&#10;AAAAAAAAAAEAIAAAACUBAABkcnMvZTJvRG9jLnhtbFBLBQYAAAAABgAGAFkBAACtBQAAAAA=&#10;">
                  <v:fill on="f" focussize="0,0"/>
                  <v:stroke on="f"/>
                  <v:imagedata o:title=""/>
                  <o:lock v:ext="edit" aspectratio="f"/>
                  <v:textbox>
                    <w:txbxContent>
                      <w:p>
                        <w:pPr>
                          <w:jc w:val="center"/>
                        </w:pPr>
                        <w:r>
                          <w:rPr>
                            <w:rFonts w:hint="eastAsia"/>
                          </w:rPr>
                          <w:t>0.017</w:t>
                        </w:r>
                      </w:p>
                    </w:txbxContent>
                  </v:textbox>
                </v:rect>
                <w10:wrap type="none"/>
                <w10:anchorlock/>
              </v:group>
            </w:pict>
          </mc:Fallback>
        </mc:AlternateContent>
      </w:r>
    </w:p>
    <w:p>
      <w:pPr>
        <w:pStyle w:val="271"/>
        <w:keepNext w:val="0"/>
        <w:keepLines w:val="0"/>
        <w:snapToGrid w:val="0"/>
        <w:spacing w:before="0" w:beforeLines="0" w:after="0" w:afterLines="0"/>
        <w:jc w:val="center"/>
        <w:outlineLvl w:val="9"/>
        <w:rPr>
          <w:rFonts w:cs="Times New Roman"/>
          <w:b/>
          <w:bCs/>
          <w:color w:val="auto"/>
          <w:kern w:val="21"/>
          <w:szCs w:val="24"/>
          <w:u w:val="single"/>
        </w:rPr>
      </w:pPr>
      <w:r>
        <w:rPr>
          <w:rFonts w:hint="eastAsia" w:cs="Times New Roman"/>
          <w:b/>
          <w:bCs/>
          <w:color w:val="auto"/>
          <w:kern w:val="21"/>
          <w:szCs w:val="24"/>
          <w:u w:val="single"/>
        </w:rPr>
        <w:t>图3.3-5  锌元素平衡图        单位：t/a</w:t>
      </w:r>
    </w:p>
    <w:p>
      <w:pPr>
        <w:pStyle w:val="6"/>
        <w:spacing w:before="0" w:after="0" w:line="360" w:lineRule="auto"/>
        <w:rPr>
          <w:b w:val="0"/>
          <w:color w:val="auto"/>
          <w:sz w:val="24"/>
          <w:szCs w:val="24"/>
        </w:rPr>
      </w:pPr>
      <w:r>
        <w:rPr>
          <w:b w:val="0"/>
          <w:color w:val="auto"/>
          <w:sz w:val="24"/>
          <w:szCs w:val="24"/>
        </w:rPr>
        <w:t>3.3.</w:t>
      </w:r>
      <w:r>
        <w:rPr>
          <w:rFonts w:hint="eastAsia"/>
          <w:b w:val="0"/>
          <w:color w:val="auto"/>
          <w:sz w:val="24"/>
          <w:szCs w:val="24"/>
        </w:rPr>
        <w:t>4</w:t>
      </w:r>
      <w:r>
        <w:rPr>
          <w:b w:val="0"/>
          <w:color w:val="auto"/>
          <w:sz w:val="24"/>
          <w:szCs w:val="24"/>
        </w:rPr>
        <w:t>.</w:t>
      </w:r>
      <w:r>
        <w:rPr>
          <w:rFonts w:hint="eastAsia"/>
          <w:b w:val="0"/>
          <w:color w:val="auto"/>
          <w:sz w:val="24"/>
          <w:szCs w:val="24"/>
        </w:rPr>
        <w:t>3铬</w:t>
      </w:r>
      <w:r>
        <w:rPr>
          <w:b w:val="0"/>
          <w:color w:val="auto"/>
          <w:sz w:val="24"/>
          <w:szCs w:val="24"/>
        </w:rPr>
        <w:t>元素平衡</w:t>
      </w:r>
    </w:p>
    <w:p>
      <w:pPr>
        <w:pStyle w:val="271"/>
        <w:keepNext w:val="0"/>
        <w:keepLines w:val="0"/>
        <w:snapToGrid w:val="0"/>
        <w:spacing w:before="0" w:beforeLines="0" w:after="0" w:afterLines="0"/>
        <w:outlineLvl w:val="9"/>
        <w:rPr>
          <w:rFonts w:eastAsia="宋体" w:cs="Times New Roman"/>
          <w:color w:val="auto"/>
          <w:kern w:val="21"/>
          <w:szCs w:val="24"/>
        </w:rPr>
      </w:pPr>
      <w:r>
        <w:rPr>
          <w:rFonts w:hint="eastAsia" w:eastAsia="宋体" w:cs="Times New Roman"/>
          <w:color w:val="auto"/>
          <w:kern w:val="21"/>
          <w:szCs w:val="24"/>
        </w:rPr>
        <w:t>1、钝化面积核算</w:t>
      </w:r>
    </w:p>
    <w:p>
      <w:pPr>
        <w:pStyle w:val="271"/>
        <w:keepNext w:val="0"/>
        <w:keepLines w:val="0"/>
        <w:snapToGrid w:val="0"/>
        <w:spacing w:before="0" w:beforeLines="0" w:after="0" w:afterLines="0"/>
        <w:ind w:firstLine="480" w:firstLineChars="200"/>
        <w:outlineLvl w:val="9"/>
        <w:rPr>
          <w:rFonts w:eastAsia="宋体" w:cs="Times New Roman"/>
          <w:color w:val="auto"/>
          <w:kern w:val="21"/>
          <w:szCs w:val="24"/>
        </w:rPr>
      </w:pPr>
      <w:r>
        <w:rPr>
          <w:rFonts w:hint="eastAsia" w:eastAsia="宋体" w:cs="Times New Roman"/>
          <w:color w:val="auto"/>
          <w:kern w:val="21"/>
          <w:szCs w:val="24"/>
        </w:rPr>
        <w:t>本项目镀镍线采用铬酸酐进行钝化，镀锌线采用</w:t>
      </w:r>
      <w:r>
        <w:rPr>
          <w:rFonts w:eastAsia="宋体" w:cs="Times New Roman"/>
          <w:color w:val="auto"/>
          <w:kern w:val="21"/>
          <w:szCs w:val="24"/>
        </w:rPr>
        <w:t>三价铬钝化剂Cr</w:t>
      </w:r>
      <w:r>
        <w:rPr>
          <w:rFonts w:eastAsia="宋体" w:cs="Times New Roman"/>
          <w:color w:val="auto"/>
          <w:kern w:val="21"/>
          <w:szCs w:val="24"/>
          <w:vertAlign w:val="subscript"/>
        </w:rPr>
        <w:t>2</w:t>
      </w:r>
      <w:r>
        <w:rPr>
          <w:rFonts w:eastAsia="宋体" w:cs="Times New Roman"/>
          <w:color w:val="auto"/>
          <w:kern w:val="21"/>
          <w:szCs w:val="24"/>
        </w:rPr>
        <w:t>(S0</w:t>
      </w:r>
      <w:r>
        <w:rPr>
          <w:rFonts w:eastAsia="宋体" w:cs="Times New Roman"/>
          <w:color w:val="auto"/>
          <w:kern w:val="21"/>
          <w:szCs w:val="24"/>
          <w:vertAlign w:val="subscript"/>
        </w:rPr>
        <w:t>4</w:t>
      </w:r>
      <w:r>
        <w:rPr>
          <w:rFonts w:eastAsia="宋体" w:cs="Times New Roman"/>
          <w:color w:val="auto"/>
          <w:kern w:val="21"/>
          <w:szCs w:val="24"/>
        </w:rPr>
        <w:t>)</w:t>
      </w:r>
      <w:r>
        <w:rPr>
          <w:rFonts w:eastAsia="宋体" w:cs="Times New Roman"/>
          <w:color w:val="auto"/>
          <w:kern w:val="21"/>
          <w:szCs w:val="24"/>
          <w:vertAlign w:val="subscript"/>
        </w:rPr>
        <w:t>3</w:t>
      </w:r>
      <w:r>
        <w:rPr>
          <w:rFonts w:eastAsia="宋体" w:cs="Times New Roman"/>
          <w:color w:val="auto"/>
          <w:kern w:val="21"/>
          <w:szCs w:val="24"/>
        </w:rPr>
        <w:t>进行钝化。钝化</w:t>
      </w:r>
      <w:r>
        <w:rPr>
          <w:rFonts w:hint="eastAsia" w:eastAsia="宋体" w:cs="Times New Roman"/>
          <w:color w:val="auto"/>
          <w:kern w:val="21"/>
          <w:szCs w:val="24"/>
        </w:rPr>
        <w:t>面积核算详见下表。</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hint="eastAsia" w:cs="Times New Roman"/>
          <w:color w:val="auto"/>
          <w:kern w:val="21"/>
          <w:szCs w:val="24"/>
        </w:rPr>
        <w:t>表3.3-12  钝化面积核算一览表</w:t>
      </w:r>
    </w:p>
    <w:tbl>
      <w:tblPr>
        <w:tblStyle w:val="8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
        <w:gridCol w:w="741"/>
        <w:gridCol w:w="601"/>
        <w:gridCol w:w="963"/>
        <w:gridCol w:w="1214"/>
        <w:gridCol w:w="605"/>
        <w:gridCol w:w="1266"/>
        <w:gridCol w:w="1260"/>
        <w:gridCol w:w="1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31" w:type="pct"/>
            <w:gridSpan w:val="3"/>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参数</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尺寸</w:t>
            </w:r>
          </w:p>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（mm）</w:t>
            </w:r>
          </w:p>
        </w:tc>
        <w:tc>
          <w:tcPr>
            <w:tcW w:w="61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表面积</w:t>
            </w:r>
          </w:p>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（m</w:t>
            </w:r>
            <w:r>
              <w:rPr>
                <w:rFonts w:hint="eastAsia" w:eastAsia="宋体" w:cs="Times New Roman"/>
                <w:color w:val="auto"/>
                <w:kern w:val="21"/>
                <w:sz w:val="21"/>
                <w:szCs w:val="21"/>
                <w:vertAlign w:val="superscript"/>
              </w:rPr>
              <w:t>2</w:t>
            </w:r>
            <w:r>
              <w:rPr>
                <w:rFonts w:hint="eastAsia" w:eastAsia="宋体" w:cs="Times New Roman"/>
                <w:color w:val="auto"/>
                <w:kern w:val="21"/>
                <w:sz w:val="21"/>
                <w:szCs w:val="21"/>
              </w:rPr>
              <w:t>）</w:t>
            </w:r>
          </w:p>
        </w:tc>
        <w:tc>
          <w:tcPr>
            <w:tcW w:w="384"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镀层</w:t>
            </w:r>
          </w:p>
        </w:tc>
        <w:tc>
          <w:tcPr>
            <w:tcW w:w="692"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数量</w:t>
            </w:r>
          </w:p>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（个）</w:t>
            </w:r>
          </w:p>
        </w:tc>
        <w:tc>
          <w:tcPr>
            <w:tcW w:w="76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电镀面积（m</w:t>
            </w:r>
            <w:r>
              <w:rPr>
                <w:rFonts w:hint="eastAsia" w:eastAsia="宋体" w:cs="Times New Roman"/>
                <w:color w:val="auto"/>
                <w:kern w:val="21"/>
                <w:sz w:val="21"/>
                <w:szCs w:val="21"/>
                <w:vertAlign w:val="superscript"/>
              </w:rPr>
              <w:t>2</w:t>
            </w:r>
            <w:r>
              <w:rPr>
                <w:rFonts w:hint="eastAsia" w:eastAsia="宋体" w:cs="Times New Roman"/>
                <w:color w:val="auto"/>
                <w:kern w:val="21"/>
                <w:sz w:val="21"/>
                <w:szCs w:val="21"/>
              </w:rPr>
              <w:t>）</w:t>
            </w:r>
          </w:p>
        </w:tc>
        <w:tc>
          <w:tcPr>
            <w:tcW w:w="769"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总钝化面积（m</w:t>
            </w:r>
            <w:r>
              <w:rPr>
                <w:rFonts w:hint="eastAsia" w:eastAsia="宋体" w:cs="Times New Roman"/>
                <w:color w:val="auto"/>
                <w:kern w:val="21"/>
                <w:sz w:val="21"/>
                <w:szCs w:val="21"/>
                <w:vertAlign w:val="superscript"/>
              </w:rPr>
              <w:t>2</w:t>
            </w:r>
            <w:r>
              <w:rPr>
                <w:rFonts w:hint="eastAsia" w:eastAsia="宋体" w:cs="Times New Roman"/>
                <w:color w:val="auto"/>
                <w:kern w:val="21"/>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电池箱</w:t>
            </w:r>
          </w:p>
        </w:tc>
        <w:tc>
          <w:tcPr>
            <w:tcW w:w="461"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48V 20A</w:t>
            </w:r>
          </w:p>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型</w:t>
            </w: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长</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380</w:t>
            </w:r>
          </w:p>
        </w:tc>
        <w:tc>
          <w:tcPr>
            <w:tcW w:w="61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1.1912</w:t>
            </w:r>
          </w:p>
        </w:tc>
        <w:tc>
          <w:tcPr>
            <w:tcW w:w="384"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1</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1980000</w:t>
            </w:r>
          </w:p>
        </w:tc>
        <w:tc>
          <w:tcPr>
            <w:tcW w:w="768" w:type="pct"/>
            <w:vMerge w:val="restart"/>
            <w:shd w:val="clear" w:color="auto" w:fill="auto"/>
            <w:vAlign w:val="center"/>
          </w:tcPr>
          <w:p>
            <w:pPr>
              <w:jc w:val="center"/>
              <w:rPr>
                <w:rFonts w:ascii="宋体" w:hAnsi="宋体" w:cs="宋体"/>
                <w:color w:val="auto"/>
                <w:sz w:val="22"/>
                <w:szCs w:val="22"/>
              </w:rPr>
            </w:pPr>
            <w:r>
              <w:rPr>
                <w:rFonts w:hint="eastAsia"/>
                <w:color w:val="auto"/>
                <w:kern w:val="21"/>
              </w:rPr>
              <w:t>2358576</w:t>
            </w:r>
          </w:p>
        </w:tc>
        <w:tc>
          <w:tcPr>
            <w:tcW w:w="769" w:type="pct"/>
            <w:vMerge w:val="restart"/>
            <w:shd w:val="clear" w:color="auto" w:fill="auto"/>
            <w:vAlign w:val="center"/>
          </w:tcPr>
          <w:p>
            <w:pPr>
              <w:jc w:val="center"/>
              <w:rPr>
                <w:color w:val="auto"/>
              </w:rPr>
            </w:pPr>
            <w:r>
              <w:rPr>
                <w:rFonts w:hint="eastAsia"/>
                <w:color w:val="auto"/>
              </w:rPr>
              <w:t>35550979.2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461"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宽</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280</w:t>
            </w:r>
          </w:p>
        </w:tc>
        <w:tc>
          <w:tcPr>
            <w:tcW w:w="61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461"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高</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290</w:t>
            </w:r>
          </w:p>
        </w:tc>
        <w:tc>
          <w:tcPr>
            <w:tcW w:w="61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钢壳</w:t>
            </w:r>
          </w:p>
        </w:tc>
        <w:tc>
          <w:tcPr>
            <w:tcW w:w="461"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18650型</w:t>
            </w: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直径</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18</w:t>
            </w:r>
          </w:p>
        </w:tc>
        <w:tc>
          <w:tcPr>
            <w:tcW w:w="61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0.00785628</w:t>
            </w:r>
          </w:p>
        </w:tc>
        <w:tc>
          <w:tcPr>
            <w:tcW w:w="384"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1</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3960000000</w:t>
            </w:r>
          </w:p>
        </w:tc>
        <w:tc>
          <w:tcPr>
            <w:tcW w:w="768" w:type="pct"/>
            <w:vMerge w:val="restart"/>
            <w:shd w:val="clear" w:color="auto" w:fill="auto"/>
            <w:vAlign w:val="center"/>
          </w:tcPr>
          <w:p>
            <w:pPr>
              <w:jc w:val="center"/>
              <w:rPr>
                <w:color w:val="auto"/>
              </w:rPr>
            </w:pPr>
            <w:r>
              <w:rPr>
                <w:rFonts w:hint="eastAsia"/>
                <w:color w:val="auto"/>
              </w:rPr>
              <w:t>31110868.8</w:t>
            </w:r>
          </w:p>
        </w:tc>
        <w:tc>
          <w:tcPr>
            <w:tcW w:w="76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461"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高</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65</w:t>
            </w:r>
          </w:p>
        </w:tc>
        <w:tc>
          <w:tcPr>
            <w:tcW w:w="61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盖帽</w:t>
            </w:r>
          </w:p>
        </w:tc>
        <w:tc>
          <w:tcPr>
            <w:tcW w:w="461"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直径</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18</w:t>
            </w:r>
          </w:p>
        </w:tc>
        <w:tc>
          <w:tcPr>
            <w:tcW w:w="615"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0.00052564</w:t>
            </w:r>
          </w:p>
        </w:tc>
        <w:tc>
          <w:tcPr>
            <w:tcW w:w="384"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1</w:t>
            </w:r>
          </w:p>
        </w:tc>
        <w:tc>
          <w:tcPr>
            <w:tcW w:w="692" w:type="pct"/>
            <w:vMerge w:val="restar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3960000000</w:t>
            </w:r>
          </w:p>
        </w:tc>
        <w:tc>
          <w:tcPr>
            <w:tcW w:w="768" w:type="pct"/>
            <w:vMerge w:val="restart"/>
            <w:shd w:val="clear" w:color="auto" w:fill="auto"/>
            <w:vAlign w:val="center"/>
          </w:tcPr>
          <w:p>
            <w:pPr>
              <w:jc w:val="center"/>
              <w:rPr>
                <w:color w:val="auto"/>
              </w:rPr>
            </w:pPr>
            <w:r>
              <w:rPr>
                <w:rFonts w:hint="eastAsia"/>
                <w:color w:val="auto"/>
              </w:rPr>
              <w:t>2081534.4</w:t>
            </w:r>
          </w:p>
        </w:tc>
        <w:tc>
          <w:tcPr>
            <w:tcW w:w="76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461"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5"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高</w:t>
            </w:r>
          </w:p>
        </w:tc>
        <w:tc>
          <w:tcPr>
            <w:tcW w:w="538" w:type="pct"/>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0.3</w:t>
            </w:r>
          </w:p>
        </w:tc>
        <w:tc>
          <w:tcPr>
            <w:tcW w:w="615"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384"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692"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8"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c>
          <w:tcPr>
            <w:tcW w:w="769" w:type="pct"/>
            <w:vMerge w:val="continue"/>
            <w:shd w:val="clear" w:color="auto" w:fill="auto"/>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textAlignment w:val="auto"/>
        <w:outlineLvl w:val="9"/>
        <w:rPr>
          <w:rFonts w:eastAsia="宋体" w:cs="Times New Roman"/>
          <w:color w:val="auto"/>
          <w:kern w:val="21"/>
          <w:szCs w:val="24"/>
        </w:rPr>
      </w:pPr>
      <w:r>
        <w:rPr>
          <w:rFonts w:hint="eastAsia" w:eastAsia="宋体" w:cs="Times New Roman"/>
          <w:color w:val="auto"/>
          <w:kern w:val="21"/>
          <w:szCs w:val="24"/>
        </w:rPr>
        <w:t>2、</w:t>
      </w:r>
      <w:r>
        <w:rPr>
          <w:rFonts w:eastAsia="宋体" w:cs="Times New Roman"/>
          <w:color w:val="auto"/>
          <w:kern w:val="21"/>
          <w:szCs w:val="24"/>
        </w:rPr>
        <w:t xml:space="preserve">产品钝化层的重量 </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cs="Times New Roman"/>
          <w:color w:val="auto"/>
          <w:kern w:val="21"/>
          <w:szCs w:val="24"/>
        </w:rPr>
        <w:t>表3.3-</w:t>
      </w:r>
      <w:r>
        <w:rPr>
          <w:rFonts w:hint="eastAsia" w:cs="Times New Roman"/>
          <w:color w:val="auto"/>
          <w:kern w:val="21"/>
          <w:szCs w:val="24"/>
        </w:rPr>
        <w:t>13</w:t>
      </w:r>
      <w:r>
        <w:rPr>
          <w:rFonts w:cs="Times New Roman"/>
          <w:color w:val="auto"/>
          <w:kern w:val="21"/>
          <w:szCs w:val="24"/>
        </w:rPr>
        <w:t xml:space="preserve">    钝化层重量计算结果表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7"/>
        <w:gridCol w:w="6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钝化层金属</w:t>
            </w:r>
          </w:p>
        </w:tc>
        <w:tc>
          <w:tcPr>
            <w:tcW w:w="353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比重（g/cm</w:t>
            </w:r>
            <w:r>
              <w:rPr>
                <w:rFonts w:eastAsia="宋体" w:cs="Times New Roman"/>
                <w:color w:val="auto"/>
                <w:kern w:val="21"/>
                <w:sz w:val="21"/>
                <w:szCs w:val="21"/>
                <w:vertAlign w:val="superscript"/>
              </w:rPr>
              <w:t>3</w:t>
            </w:r>
            <w:r>
              <w:rPr>
                <w:rFonts w:eastAsia="宋体" w:cs="Times New Roman"/>
                <w:color w:val="auto"/>
                <w:kern w:val="21"/>
                <w:sz w:val="21"/>
                <w:szCs w:val="21"/>
              </w:rPr>
              <w:t xml:space="preserve">） </w:t>
            </w:r>
          </w:p>
        </w:tc>
        <w:tc>
          <w:tcPr>
            <w:tcW w:w="353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钝化层厚度（μm）</w:t>
            </w:r>
          </w:p>
        </w:tc>
        <w:tc>
          <w:tcPr>
            <w:tcW w:w="353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0</w:t>
            </w:r>
            <w:r>
              <w:rPr>
                <w:rFonts w:eastAsia="宋体" w:cs="Times New Roman"/>
                <w:color w:val="auto"/>
                <w:kern w:val="21"/>
                <w:sz w:val="21"/>
                <w:szCs w:val="21"/>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钝化层面积（m</w:t>
            </w:r>
            <w:r>
              <w:rPr>
                <w:rFonts w:eastAsia="宋体" w:cs="Times New Roman"/>
                <w:color w:val="auto"/>
                <w:kern w:val="21"/>
                <w:sz w:val="21"/>
                <w:szCs w:val="21"/>
                <w:vertAlign w:val="superscript"/>
              </w:rPr>
              <w:t>2</w:t>
            </w:r>
            <w:r>
              <w:rPr>
                <w:rFonts w:eastAsia="宋体" w:cs="Times New Roman"/>
                <w:color w:val="auto"/>
                <w:kern w:val="21"/>
                <w:sz w:val="21"/>
                <w:szCs w:val="21"/>
              </w:rPr>
              <w:t>）</w:t>
            </w:r>
          </w:p>
        </w:tc>
        <w:tc>
          <w:tcPr>
            <w:tcW w:w="353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35550979.2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6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eastAsia="宋体" w:cs="Times New Roman"/>
                <w:color w:val="auto"/>
                <w:kern w:val="21"/>
                <w:sz w:val="21"/>
                <w:szCs w:val="21"/>
              </w:rPr>
              <w:t>钝化层重量（t/a）</w:t>
            </w:r>
          </w:p>
        </w:tc>
        <w:tc>
          <w:tcPr>
            <w:tcW w:w="3535" w:type="pct"/>
            <w:vAlign w:val="center"/>
          </w:tcPr>
          <w:p>
            <w:pPr>
              <w:pStyle w:val="271"/>
              <w:keepNext w:val="0"/>
              <w:keepLines w:val="0"/>
              <w:snapToGrid w:val="0"/>
              <w:spacing w:before="0" w:beforeLines="0" w:after="0" w:afterLines="0" w:line="240" w:lineRule="auto"/>
              <w:jc w:val="center"/>
              <w:outlineLvl w:val="9"/>
              <w:rPr>
                <w:rFonts w:eastAsia="宋体" w:cs="Times New Roman"/>
                <w:color w:val="auto"/>
                <w:kern w:val="21"/>
                <w:sz w:val="21"/>
                <w:szCs w:val="21"/>
              </w:rPr>
            </w:pPr>
            <w:r>
              <w:rPr>
                <w:rFonts w:hint="eastAsia" w:eastAsia="宋体" w:cs="Times New Roman"/>
                <w:color w:val="auto"/>
                <w:kern w:val="21"/>
                <w:sz w:val="21"/>
                <w:szCs w:val="21"/>
              </w:rPr>
              <w:t>127.984</w:t>
            </w:r>
          </w:p>
        </w:tc>
      </w:tr>
    </w:tbl>
    <w:p>
      <w:pPr>
        <w:pStyle w:val="271"/>
        <w:keepNext w:val="0"/>
        <w:keepLines w:val="0"/>
        <w:snapToGrid w:val="0"/>
        <w:spacing w:before="0" w:beforeLines="0" w:after="0" w:afterLines="0"/>
        <w:ind w:firstLine="480" w:firstLineChars="200"/>
        <w:outlineLvl w:val="9"/>
        <w:rPr>
          <w:rFonts w:eastAsia="宋体" w:cs="Times New Roman"/>
          <w:color w:val="auto"/>
          <w:kern w:val="21"/>
          <w:szCs w:val="24"/>
        </w:rPr>
      </w:pPr>
      <w:r>
        <w:rPr>
          <w:rFonts w:eastAsia="宋体" w:cs="Times New Roman"/>
          <w:color w:val="auto"/>
          <w:kern w:val="21"/>
          <w:szCs w:val="24"/>
        </w:rPr>
        <w:t>依据物料的原始参数及化学成分，对本项目铬进行金属平衡分析。</w:t>
      </w:r>
    </w:p>
    <w:p>
      <w:pPr>
        <w:pStyle w:val="271"/>
        <w:keepNext w:val="0"/>
        <w:keepLines w:val="0"/>
        <w:snapToGrid w:val="0"/>
        <w:spacing w:before="0" w:beforeLines="0" w:after="0" w:afterLines="0" w:line="240" w:lineRule="auto"/>
        <w:jc w:val="center"/>
        <w:outlineLvl w:val="9"/>
        <w:rPr>
          <w:rFonts w:cs="Times New Roman"/>
          <w:color w:val="auto"/>
          <w:kern w:val="21"/>
          <w:szCs w:val="24"/>
        </w:rPr>
      </w:pPr>
      <w:r>
        <w:rPr>
          <w:rFonts w:cs="Times New Roman"/>
          <w:color w:val="auto"/>
          <w:kern w:val="21"/>
          <w:szCs w:val="24"/>
        </w:rPr>
        <w:t>表3.3-</w:t>
      </w:r>
      <w:r>
        <w:rPr>
          <w:rFonts w:hint="eastAsia" w:cs="Times New Roman"/>
          <w:color w:val="auto"/>
          <w:kern w:val="21"/>
          <w:szCs w:val="24"/>
        </w:rPr>
        <w:t>14</w:t>
      </w:r>
      <w:r>
        <w:rPr>
          <w:rFonts w:cs="Times New Roman"/>
          <w:color w:val="auto"/>
          <w:kern w:val="21"/>
          <w:szCs w:val="24"/>
        </w:rPr>
        <w:t xml:space="preserve"> 重金属/有害元素平衡部分计算参数取值</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057"/>
        <w:gridCol w:w="698"/>
        <w:gridCol w:w="1650"/>
        <w:gridCol w:w="1950"/>
        <w:gridCol w:w="2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Align w:val="center"/>
          </w:tcPr>
          <w:p>
            <w:pPr>
              <w:adjustRightInd w:val="0"/>
              <w:snapToGrid w:val="0"/>
              <w:jc w:val="center"/>
              <w:rPr>
                <w:color w:val="auto"/>
                <w:kern w:val="21"/>
              </w:rPr>
            </w:pPr>
            <w:r>
              <w:rPr>
                <w:color w:val="auto"/>
                <w:kern w:val="21"/>
              </w:rPr>
              <w:t>元素</w:t>
            </w:r>
          </w:p>
        </w:tc>
        <w:tc>
          <w:tcPr>
            <w:tcW w:w="1057" w:type="dxa"/>
            <w:vAlign w:val="center"/>
          </w:tcPr>
          <w:p>
            <w:pPr>
              <w:adjustRightInd w:val="0"/>
              <w:snapToGrid w:val="0"/>
              <w:jc w:val="center"/>
              <w:rPr>
                <w:color w:val="auto"/>
                <w:kern w:val="21"/>
              </w:rPr>
            </w:pPr>
            <w:r>
              <w:rPr>
                <w:color w:val="auto"/>
                <w:kern w:val="21"/>
              </w:rPr>
              <w:t>项目</w:t>
            </w:r>
          </w:p>
        </w:tc>
        <w:tc>
          <w:tcPr>
            <w:tcW w:w="698" w:type="dxa"/>
            <w:vAlign w:val="center"/>
          </w:tcPr>
          <w:p>
            <w:pPr>
              <w:adjustRightInd w:val="0"/>
              <w:snapToGrid w:val="0"/>
              <w:jc w:val="center"/>
              <w:rPr>
                <w:color w:val="auto"/>
                <w:kern w:val="21"/>
              </w:rPr>
            </w:pPr>
            <w:r>
              <w:rPr>
                <w:color w:val="auto"/>
                <w:kern w:val="21"/>
              </w:rPr>
              <w:t>单位</w:t>
            </w:r>
          </w:p>
        </w:tc>
        <w:tc>
          <w:tcPr>
            <w:tcW w:w="1650" w:type="dxa"/>
            <w:vAlign w:val="center"/>
          </w:tcPr>
          <w:p>
            <w:pPr>
              <w:adjustRightInd w:val="0"/>
              <w:snapToGrid w:val="0"/>
              <w:jc w:val="center"/>
              <w:rPr>
                <w:color w:val="auto"/>
                <w:kern w:val="21"/>
              </w:rPr>
            </w:pPr>
            <w:r>
              <w:rPr>
                <w:color w:val="auto"/>
                <w:kern w:val="21"/>
              </w:rPr>
              <w:t>金属质量分数</w:t>
            </w:r>
          </w:p>
        </w:tc>
        <w:tc>
          <w:tcPr>
            <w:tcW w:w="1950" w:type="dxa"/>
            <w:vAlign w:val="center"/>
          </w:tcPr>
          <w:p>
            <w:pPr>
              <w:adjustRightInd w:val="0"/>
              <w:snapToGrid w:val="0"/>
              <w:jc w:val="center"/>
              <w:rPr>
                <w:color w:val="auto"/>
                <w:kern w:val="21"/>
              </w:rPr>
            </w:pPr>
            <w:r>
              <w:rPr>
                <w:color w:val="auto"/>
                <w:kern w:val="21"/>
              </w:rPr>
              <w:t>取值来源</w:t>
            </w:r>
          </w:p>
        </w:tc>
        <w:tc>
          <w:tcPr>
            <w:tcW w:w="2122" w:type="dxa"/>
            <w:vAlign w:val="center"/>
          </w:tcPr>
          <w:p>
            <w:pPr>
              <w:adjustRightInd w:val="0"/>
              <w:snapToGrid w:val="0"/>
              <w:jc w:val="center"/>
              <w:rPr>
                <w:color w:val="auto"/>
                <w:kern w:val="21"/>
              </w:rPr>
            </w:pPr>
            <w:r>
              <w:rPr>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restart"/>
            <w:vAlign w:val="center"/>
          </w:tcPr>
          <w:p>
            <w:pPr>
              <w:adjustRightInd w:val="0"/>
              <w:snapToGrid w:val="0"/>
              <w:jc w:val="center"/>
              <w:rPr>
                <w:color w:val="auto"/>
                <w:kern w:val="21"/>
              </w:rPr>
            </w:pPr>
            <w:r>
              <w:rPr>
                <w:color w:val="auto"/>
                <w:kern w:val="21"/>
              </w:rPr>
              <w:t>铬</w:t>
            </w:r>
          </w:p>
        </w:tc>
        <w:tc>
          <w:tcPr>
            <w:tcW w:w="1057" w:type="dxa"/>
            <w:vAlign w:val="center"/>
          </w:tcPr>
          <w:p>
            <w:pPr>
              <w:adjustRightInd w:val="0"/>
              <w:snapToGrid w:val="0"/>
              <w:jc w:val="center"/>
              <w:rPr>
                <w:color w:val="auto"/>
                <w:kern w:val="21"/>
              </w:rPr>
            </w:pPr>
            <w:r>
              <w:rPr>
                <w:color w:val="auto"/>
                <w:kern w:val="21"/>
              </w:rPr>
              <w:t>铬酸酐</w:t>
            </w:r>
          </w:p>
        </w:tc>
        <w:tc>
          <w:tcPr>
            <w:tcW w:w="698"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rFonts w:hint="eastAsia"/>
                <w:color w:val="auto"/>
                <w:kern w:val="21"/>
              </w:rPr>
              <w:t>52</w:t>
            </w:r>
          </w:p>
        </w:tc>
        <w:tc>
          <w:tcPr>
            <w:tcW w:w="1950" w:type="dxa"/>
            <w:vAlign w:val="center"/>
          </w:tcPr>
          <w:p>
            <w:pPr>
              <w:adjustRightInd w:val="0"/>
              <w:snapToGrid w:val="0"/>
              <w:jc w:val="center"/>
              <w:rPr>
                <w:color w:val="auto"/>
                <w:kern w:val="21"/>
              </w:rPr>
            </w:pPr>
            <w:r>
              <w:rPr>
                <w:color w:val="auto"/>
                <w:kern w:val="21"/>
              </w:rPr>
              <w:t>分子量</w:t>
            </w:r>
            <w:r>
              <w:rPr>
                <w:rFonts w:hint="eastAsia"/>
                <w:color w:val="auto"/>
                <w:kern w:val="21"/>
              </w:rPr>
              <w:t>100.00</w:t>
            </w:r>
          </w:p>
        </w:tc>
        <w:tc>
          <w:tcPr>
            <w:tcW w:w="2122" w:type="dxa"/>
            <w:vAlign w:val="center"/>
          </w:tcPr>
          <w:p>
            <w:pPr>
              <w:adjustRightInd w:val="0"/>
              <w:snapToGrid w:val="0"/>
              <w:jc w:val="center"/>
              <w:rPr>
                <w:color w:val="auto"/>
                <w:kern w:val="21"/>
              </w:rPr>
            </w:pPr>
            <w:r>
              <w:rPr>
                <w:color w:val="auto"/>
                <w:kern w:val="21"/>
              </w:rPr>
              <w:t>按Cr</w:t>
            </w:r>
            <w:r>
              <w:rPr>
                <w:rFonts w:hint="eastAsia"/>
                <w:color w:val="auto"/>
                <w:kern w:val="21"/>
              </w:rPr>
              <w:t>O</w:t>
            </w:r>
            <w:r>
              <w:rPr>
                <w:color w:val="auto"/>
                <w:kern w:val="21"/>
                <w:vertAlign w:val="subscript"/>
              </w:rPr>
              <w:t>3</w:t>
            </w:r>
            <w:r>
              <w:rPr>
                <w:color w:val="auto"/>
                <w:kern w:val="21"/>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7" w:type="dxa"/>
            <w:vMerge w:val="continue"/>
            <w:vAlign w:val="center"/>
          </w:tcPr>
          <w:p>
            <w:pPr>
              <w:adjustRightInd w:val="0"/>
              <w:snapToGrid w:val="0"/>
              <w:jc w:val="center"/>
              <w:rPr>
                <w:color w:val="auto"/>
                <w:kern w:val="21"/>
              </w:rPr>
            </w:pPr>
          </w:p>
        </w:tc>
        <w:tc>
          <w:tcPr>
            <w:tcW w:w="1057" w:type="dxa"/>
            <w:vAlign w:val="center"/>
          </w:tcPr>
          <w:p>
            <w:pPr>
              <w:adjustRightInd w:val="0"/>
              <w:snapToGrid w:val="0"/>
              <w:jc w:val="center"/>
              <w:rPr>
                <w:rFonts w:eastAsia="Times New Roman"/>
                <w:color w:val="auto"/>
                <w:kern w:val="21"/>
              </w:rPr>
            </w:pPr>
            <w:r>
              <w:rPr>
                <w:color w:val="auto"/>
                <w:kern w:val="21"/>
              </w:rPr>
              <w:t>三价铬钝化剂</w:t>
            </w:r>
          </w:p>
        </w:tc>
        <w:tc>
          <w:tcPr>
            <w:tcW w:w="698" w:type="dxa"/>
            <w:vAlign w:val="center"/>
          </w:tcPr>
          <w:p>
            <w:pPr>
              <w:adjustRightInd w:val="0"/>
              <w:snapToGrid w:val="0"/>
              <w:jc w:val="center"/>
              <w:rPr>
                <w:rFonts w:eastAsia="Times New Roman"/>
                <w:color w:val="auto"/>
                <w:kern w:val="21"/>
              </w:rPr>
            </w:pPr>
            <w:r>
              <w:rPr>
                <w:rFonts w:eastAsia="Times New Roman"/>
                <w:color w:val="auto"/>
                <w:kern w:val="21"/>
              </w:rPr>
              <w:t>%</w:t>
            </w:r>
          </w:p>
        </w:tc>
        <w:tc>
          <w:tcPr>
            <w:tcW w:w="1650" w:type="dxa"/>
            <w:vAlign w:val="center"/>
          </w:tcPr>
          <w:p>
            <w:pPr>
              <w:adjustRightInd w:val="0"/>
              <w:snapToGrid w:val="0"/>
              <w:jc w:val="center"/>
              <w:rPr>
                <w:color w:val="auto"/>
                <w:kern w:val="21"/>
              </w:rPr>
            </w:pPr>
            <w:r>
              <w:rPr>
                <w:rFonts w:hint="eastAsia"/>
                <w:color w:val="auto"/>
                <w:kern w:val="21"/>
              </w:rPr>
              <w:t>26.53</w:t>
            </w:r>
          </w:p>
        </w:tc>
        <w:tc>
          <w:tcPr>
            <w:tcW w:w="1950" w:type="dxa"/>
            <w:vAlign w:val="center"/>
          </w:tcPr>
          <w:p>
            <w:pPr>
              <w:adjustRightInd w:val="0"/>
              <w:snapToGrid w:val="0"/>
              <w:jc w:val="center"/>
              <w:rPr>
                <w:color w:val="auto"/>
                <w:kern w:val="21"/>
              </w:rPr>
            </w:pPr>
            <w:r>
              <w:rPr>
                <w:color w:val="auto"/>
                <w:kern w:val="21"/>
              </w:rPr>
              <w:t>分子量</w:t>
            </w:r>
            <w:r>
              <w:rPr>
                <w:rFonts w:hint="eastAsia"/>
                <w:color w:val="auto"/>
                <w:kern w:val="21"/>
              </w:rPr>
              <w:t>392.00</w:t>
            </w:r>
          </w:p>
        </w:tc>
        <w:tc>
          <w:tcPr>
            <w:tcW w:w="2122" w:type="dxa"/>
            <w:vAlign w:val="center"/>
          </w:tcPr>
          <w:p>
            <w:pPr>
              <w:adjustRightInd w:val="0"/>
              <w:snapToGrid w:val="0"/>
              <w:jc w:val="center"/>
              <w:rPr>
                <w:color w:val="auto"/>
                <w:kern w:val="21"/>
              </w:rPr>
            </w:pPr>
            <w:r>
              <w:rPr>
                <w:color w:val="auto"/>
                <w:kern w:val="21"/>
              </w:rPr>
              <w:t>按Cr</w:t>
            </w:r>
            <w:r>
              <w:rPr>
                <w:color w:val="auto"/>
                <w:kern w:val="21"/>
                <w:vertAlign w:val="subscript"/>
              </w:rPr>
              <w:t>2</w:t>
            </w:r>
            <w:r>
              <w:rPr>
                <w:color w:val="auto"/>
                <w:kern w:val="21"/>
              </w:rPr>
              <w:t>(S</w:t>
            </w:r>
            <w:r>
              <w:rPr>
                <w:rFonts w:hint="eastAsia"/>
                <w:color w:val="auto"/>
                <w:kern w:val="21"/>
              </w:rPr>
              <w:t>O</w:t>
            </w:r>
            <w:r>
              <w:rPr>
                <w:color w:val="auto"/>
                <w:kern w:val="21"/>
                <w:vertAlign w:val="subscript"/>
              </w:rPr>
              <w:t>4</w:t>
            </w:r>
            <w:r>
              <w:rPr>
                <w:color w:val="auto"/>
                <w:kern w:val="21"/>
              </w:rPr>
              <w:t>)</w:t>
            </w:r>
            <w:r>
              <w:rPr>
                <w:color w:val="auto"/>
                <w:kern w:val="21"/>
                <w:vertAlign w:val="subscript"/>
              </w:rPr>
              <w:t>3</w:t>
            </w:r>
            <w:r>
              <w:rPr>
                <w:color w:val="auto"/>
                <w:kern w:val="21"/>
              </w:rPr>
              <w:t>计</w:t>
            </w: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ind w:firstLine="480" w:firstLineChars="200"/>
        <w:textAlignment w:val="auto"/>
        <w:outlineLvl w:val="9"/>
        <w:rPr>
          <w:rFonts w:eastAsia="宋体" w:cs="Times New Roman"/>
          <w:color w:val="auto"/>
          <w:kern w:val="21"/>
          <w:szCs w:val="24"/>
        </w:rPr>
      </w:pPr>
      <w:r>
        <w:rPr>
          <w:rFonts w:eastAsia="宋体" w:cs="Times New Roman"/>
          <w:color w:val="auto"/>
          <w:kern w:val="21"/>
          <w:szCs w:val="24"/>
        </w:rPr>
        <w:t>钝化涉及到</w:t>
      </w:r>
      <w:r>
        <w:rPr>
          <w:rFonts w:hint="eastAsia" w:eastAsia="宋体" w:cs="Times New Roman"/>
          <w:color w:val="auto"/>
          <w:kern w:val="21"/>
          <w:szCs w:val="24"/>
        </w:rPr>
        <w:t>含</w:t>
      </w:r>
      <w:r>
        <w:rPr>
          <w:rFonts w:eastAsia="宋体" w:cs="Times New Roman"/>
          <w:color w:val="auto"/>
          <w:kern w:val="21"/>
          <w:szCs w:val="24"/>
        </w:rPr>
        <w:t>铬的原料主要为铬酸酐及三价铬钝化剂，</w:t>
      </w:r>
      <w:r>
        <w:rPr>
          <w:rFonts w:hint="eastAsia" w:eastAsia="宋体" w:cs="Times New Roman"/>
          <w:color w:val="auto"/>
          <w:kern w:val="21"/>
          <w:szCs w:val="24"/>
        </w:rPr>
        <w:t>钝化后铬主要去向为镀件镀层、铬酸雾、含铬废水处理产生的污泥及蒸发结晶盐、钝化槽产生的滤渣及废滤芯等</w:t>
      </w:r>
      <w:r>
        <w:rPr>
          <w:rFonts w:eastAsia="宋体" w:cs="Times New Roman"/>
          <w:color w:val="auto"/>
          <w:kern w:val="21"/>
          <w:szCs w:val="24"/>
        </w:rPr>
        <w:t>。本项目铬元素平衡见表3.3-</w:t>
      </w:r>
      <w:r>
        <w:rPr>
          <w:rFonts w:hint="eastAsia" w:eastAsia="宋体" w:cs="Times New Roman"/>
          <w:color w:val="auto"/>
          <w:kern w:val="21"/>
          <w:szCs w:val="24"/>
        </w:rPr>
        <w:t>15</w:t>
      </w:r>
      <w:r>
        <w:rPr>
          <w:rFonts w:eastAsia="宋体" w:cs="Times New Roman"/>
          <w:color w:val="auto"/>
          <w:kern w:val="21"/>
          <w:szCs w:val="24"/>
        </w:rPr>
        <w:t>。</w:t>
      </w: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p>
    <w:p>
      <w:pPr>
        <w:pStyle w:val="271"/>
        <w:keepNext w:val="0"/>
        <w:keepLines w:val="0"/>
        <w:snapToGrid w:val="0"/>
        <w:spacing w:before="0" w:beforeLines="0" w:after="0" w:afterLines="0" w:line="240" w:lineRule="auto"/>
        <w:jc w:val="center"/>
        <w:outlineLvl w:val="9"/>
        <w:rPr>
          <w:rFonts w:cs="Times New Roman"/>
          <w:b/>
          <w:bCs/>
          <w:color w:val="auto"/>
          <w:kern w:val="21"/>
          <w:szCs w:val="24"/>
          <w:u w:val="single"/>
        </w:rPr>
      </w:pPr>
      <w:r>
        <w:rPr>
          <w:rFonts w:cs="Times New Roman"/>
          <w:b/>
          <w:bCs/>
          <w:color w:val="auto"/>
          <w:kern w:val="21"/>
          <w:szCs w:val="24"/>
          <w:u w:val="single"/>
        </w:rPr>
        <w:t>表3.3-</w:t>
      </w:r>
      <w:r>
        <w:rPr>
          <w:rFonts w:hint="eastAsia" w:cs="Times New Roman"/>
          <w:b/>
          <w:bCs/>
          <w:color w:val="auto"/>
          <w:kern w:val="21"/>
          <w:szCs w:val="24"/>
          <w:u w:val="single"/>
        </w:rPr>
        <w:t>15</w:t>
      </w:r>
      <w:r>
        <w:rPr>
          <w:rFonts w:cs="Times New Roman"/>
          <w:b/>
          <w:bCs/>
          <w:color w:val="auto"/>
          <w:kern w:val="21"/>
          <w:szCs w:val="24"/>
          <w:u w:val="single"/>
        </w:rPr>
        <w:t xml:space="preserve">    建设项目铬元素物料平衡表（</w:t>
      </w:r>
      <w:r>
        <w:rPr>
          <w:rFonts w:hint="eastAsia" w:cs="Times New Roman"/>
          <w:b/>
          <w:bCs/>
          <w:color w:val="auto"/>
          <w:kern w:val="21"/>
          <w:szCs w:val="24"/>
          <w:u w:val="single"/>
        </w:rPr>
        <w:t>t</w:t>
      </w:r>
      <w:r>
        <w:rPr>
          <w:rFonts w:cs="Times New Roman"/>
          <w:b/>
          <w:bCs/>
          <w:color w:val="auto"/>
          <w:kern w:val="21"/>
          <w:szCs w:val="24"/>
          <w:u w:val="single"/>
        </w:rPr>
        <w:t>/a）</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1"/>
        <w:gridCol w:w="972"/>
        <w:gridCol w:w="1062"/>
        <w:gridCol w:w="1088"/>
        <w:gridCol w:w="1038"/>
        <w:gridCol w:w="1652"/>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91" w:type="pct"/>
            <w:gridSpan w:val="5"/>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投入</w:t>
            </w:r>
          </w:p>
        </w:tc>
        <w:tc>
          <w:tcPr>
            <w:tcW w:w="1708" w:type="pct"/>
            <w:gridSpan w:val="2"/>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产出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物料名称</w:t>
            </w:r>
          </w:p>
        </w:tc>
        <w:tc>
          <w:tcPr>
            <w:tcW w:w="57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投入量</w:t>
            </w:r>
          </w:p>
        </w:tc>
        <w:tc>
          <w:tcPr>
            <w:tcW w:w="623"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纯度</w:t>
            </w:r>
          </w:p>
        </w:tc>
        <w:tc>
          <w:tcPr>
            <w:tcW w:w="638"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铬含量</w:t>
            </w:r>
          </w:p>
        </w:tc>
        <w:tc>
          <w:tcPr>
            <w:tcW w:w="608"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铬量</w:t>
            </w: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名称</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铬量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铬酸酐</w:t>
            </w:r>
          </w:p>
        </w:tc>
        <w:tc>
          <w:tcPr>
            <w:tcW w:w="570"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257.966</w:t>
            </w:r>
          </w:p>
        </w:tc>
        <w:tc>
          <w:tcPr>
            <w:tcW w:w="623"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99%</w:t>
            </w:r>
          </w:p>
        </w:tc>
        <w:tc>
          <w:tcPr>
            <w:tcW w:w="638"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5</w:t>
            </w:r>
            <w:r>
              <w:rPr>
                <w:rFonts w:hint="eastAsia" w:eastAsia="宋体" w:cs="Times New Roman"/>
                <w:b/>
                <w:bCs/>
                <w:color w:val="auto"/>
                <w:kern w:val="21"/>
                <w:sz w:val="21"/>
                <w:szCs w:val="21"/>
                <w:u w:val="single"/>
              </w:rPr>
              <w:t>2</w:t>
            </w:r>
            <w:r>
              <w:rPr>
                <w:rFonts w:eastAsia="宋体" w:cs="Times New Roman"/>
                <w:b/>
                <w:bCs/>
                <w:color w:val="auto"/>
                <w:kern w:val="21"/>
                <w:sz w:val="21"/>
                <w:szCs w:val="21"/>
                <w:u w:val="single"/>
              </w:rPr>
              <w:t>%</w:t>
            </w:r>
          </w:p>
        </w:tc>
        <w:tc>
          <w:tcPr>
            <w:tcW w:w="608"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132.801</w:t>
            </w: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镀件镀层</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127.984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adjustRightInd w:val="0"/>
              <w:snapToGrid w:val="0"/>
              <w:jc w:val="center"/>
              <w:rPr>
                <w:b/>
                <w:bCs/>
                <w:color w:val="auto"/>
                <w:kern w:val="21"/>
                <w:u w:val="single"/>
              </w:rPr>
            </w:pPr>
            <w:r>
              <w:rPr>
                <w:b/>
                <w:bCs/>
                <w:color w:val="auto"/>
                <w:kern w:val="21"/>
                <w:u w:val="single"/>
              </w:rPr>
              <w:t>三价铬</w:t>
            </w:r>
          </w:p>
        </w:tc>
        <w:tc>
          <w:tcPr>
            <w:tcW w:w="570" w:type="pct"/>
            <w:vAlign w:val="center"/>
          </w:tcPr>
          <w:p>
            <w:pPr>
              <w:adjustRightInd w:val="0"/>
              <w:snapToGrid w:val="0"/>
              <w:jc w:val="center"/>
              <w:rPr>
                <w:b/>
                <w:bCs/>
                <w:color w:val="auto"/>
                <w:kern w:val="21"/>
                <w:u w:val="single"/>
              </w:rPr>
            </w:pPr>
            <w:r>
              <w:rPr>
                <w:rFonts w:hint="eastAsia"/>
                <w:b/>
                <w:bCs/>
                <w:color w:val="auto"/>
                <w:kern w:val="21"/>
                <w:u w:val="single"/>
              </w:rPr>
              <w:t>39.129</w:t>
            </w:r>
          </w:p>
        </w:tc>
        <w:tc>
          <w:tcPr>
            <w:tcW w:w="623" w:type="pct"/>
            <w:vAlign w:val="center"/>
          </w:tcPr>
          <w:p>
            <w:pPr>
              <w:adjustRightInd w:val="0"/>
              <w:snapToGrid w:val="0"/>
              <w:jc w:val="center"/>
              <w:rPr>
                <w:b/>
                <w:bCs/>
                <w:color w:val="auto"/>
                <w:kern w:val="21"/>
                <w:u w:val="single"/>
              </w:rPr>
            </w:pPr>
            <w:r>
              <w:rPr>
                <w:b/>
                <w:bCs/>
                <w:color w:val="auto"/>
                <w:kern w:val="21"/>
                <w:u w:val="single"/>
              </w:rPr>
              <w:t>99%</w:t>
            </w:r>
          </w:p>
        </w:tc>
        <w:tc>
          <w:tcPr>
            <w:tcW w:w="638" w:type="pct"/>
            <w:vAlign w:val="center"/>
          </w:tcPr>
          <w:p>
            <w:pPr>
              <w:adjustRightInd w:val="0"/>
              <w:snapToGrid w:val="0"/>
              <w:jc w:val="center"/>
              <w:rPr>
                <w:b/>
                <w:bCs/>
                <w:color w:val="auto"/>
                <w:kern w:val="21"/>
                <w:u w:val="single"/>
              </w:rPr>
            </w:pPr>
            <w:r>
              <w:rPr>
                <w:rFonts w:hint="eastAsia"/>
                <w:b/>
                <w:bCs/>
                <w:color w:val="auto"/>
                <w:kern w:val="21"/>
                <w:u w:val="single"/>
              </w:rPr>
              <w:t>26.53%</w:t>
            </w:r>
          </w:p>
        </w:tc>
        <w:tc>
          <w:tcPr>
            <w:tcW w:w="608" w:type="pct"/>
            <w:vAlign w:val="center"/>
          </w:tcPr>
          <w:p>
            <w:pPr>
              <w:adjustRightInd w:val="0"/>
              <w:snapToGrid w:val="0"/>
              <w:jc w:val="center"/>
              <w:rPr>
                <w:b/>
                <w:bCs/>
                <w:color w:val="auto"/>
                <w:kern w:val="21"/>
                <w:u w:val="single"/>
              </w:rPr>
            </w:pPr>
            <w:r>
              <w:rPr>
                <w:rFonts w:hint="eastAsia"/>
                <w:b/>
                <w:bCs/>
                <w:color w:val="auto"/>
                <w:kern w:val="21"/>
                <w:u w:val="single"/>
              </w:rPr>
              <w:t>10.277</w:t>
            </w: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铬酸雾</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0.0058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570"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23"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38"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08"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污泥</w:t>
            </w:r>
          </w:p>
        </w:tc>
        <w:tc>
          <w:tcPr>
            <w:tcW w:w="739" w:type="pct"/>
            <w:vAlign w:val="center"/>
          </w:tcPr>
          <w:p>
            <w:pPr>
              <w:pStyle w:val="271"/>
              <w:keepNext w:val="0"/>
              <w:keepLines w:val="0"/>
              <w:snapToGrid w:val="0"/>
              <w:spacing w:before="0" w:beforeLines="0" w:after="0" w:afterLines="0" w:line="240" w:lineRule="auto"/>
              <w:jc w:val="center"/>
              <w:outlineLvl w:val="9"/>
              <w:rPr>
                <w:rFonts w:hint="default" w:eastAsia="宋体" w:cs="Times New Roman"/>
                <w:b/>
                <w:bCs/>
                <w:color w:val="auto"/>
                <w:kern w:val="21"/>
                <w:sz w:val="21"/>
                <w:szCs w:val="21"/>
                <w:u w:val="single"/>
                <w:lang w:val="en-US" w:eastAsia="zh-CN"/>
              </w:rPr>
            </w:pPr>
            <w:r>
              <w:rPr>
                <w:rFonts w:hint="eastAsia" w:eastAsia="宋体" w:cs="Times New Roman"/>
                <w:b/>
                <w:bCs/>
                <w:color w:val="auto"/>
                <w:kern w:val="21"/>
                <w:sz w:val="21"/>
                <w:szCs w:val="21"/>
                <w:u w:val="single"/>
              </w:rPr>
              <w:t>14.</w:t>
            </w:r>
            <w:r>
              <w:rPr>
                <w:rFonts w:hint="eastAsia" w:eastAsia="宋体" w:cs="Times New Roman"/>
                <w:b/>
                <w:bCs/>
                <w:color w:val="auto"/>
                <w:kern w:val="21"/>
                <w:sz w:val="21"/>
                <w:szCs w:val="21"/>
                <w:u w:val="single"/>
                <w:lang w:val="en-US" w:eastAsia="zh-CN"/>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adjustRightInd w:val="0"/>
              <w:snapToGrid w:val="0"/>
              <w:jc w:val="center"/>
              <w:rPr>
                <w:b/>
                <w:bCs/>
                <w:color w:val="auto"/>
                <w:kern w:val="21"/>
                <w:u w:val="single"/>
              </w:rPr>
            </w:pPr>
          </w:p>
        </w:tc>
        <w:tc>
          <w:tcPr>
            <w:tcW w:w="570" w:type="pct"/>
            <w:vAlign w:val="center"/>
          </w:tcPr>
          <w:p>
            <w:pPr>
              <w:adjustRightInd w:val="0"/>
              <w:snapToGrid w:val="0"/>
              <w:jc w:val="center"/>
              <w:rPr>
                <w:b/>
                <w:bCs/>
                <w:color w:val="auto"/>
                <w:kern w:val="21"/>
                <w:u w:val="single"/>
              </w:rPr>
            </w:pPr>
          </w:p>
        </w:tc>
        <w:tc>
          <w:tcPr>
            <w:tcW w:w="623" w:type="pct"/>
            <w:vAlign w:val="center"/>
          </w:tcPr>
          <w:p>
            <w:pPr>
              <w:adjustRightInd w:val="0"/>
              <w:snapToGrid w:val="0"/>
              <w:jc w:val="center"/>
              <w:rPr>
                <w:b/>
                <w:bCs/>
                <w:color w:val="auto"/>
                <w:kern w:val="21"/>
                <w:u w:val="single"/>
              </w:rPr>
            </w:pPr>
          </w:p>
        </w:tc>
        <w:tc>
          <w:tcPr>
            <w:tcW w:w="638" w:type="pct"/>
            <w:vAlign w:val="center"/>
          </w:tcPr>
          <w:p>
            <w:pPr>
              <w:adjustRightInd w:val="0"/>
              <w:snapToGrid w:val="0"/>
              <w:jc w:val="center"/>
              <w:rPr>
                <w:b/>
                <w:bCs/>
                <w:color w:val="auto"/>
                <w:kern w:val="21"/>
                <w:u w:val="single"/>
              </w:rPr>
            </w:pPr>
          </w:p>
        </w:tc>
        <w:tc>
          <w:tcPr>
            <w:tcW w:w="608" w:type="pct"/>
            <w:vAlign w:val="center"/>
          </w:tcPr>
          <w:p>
            <w:pPr>
              <w:adjustRightInd w:val="0"/>
              <w:snapToGrid w:val="0"/>
              <w:jc w:val="center"/>
              <w:rPr>
                <w:b/>
                <w:bCs/>
                <w:color w:val="auto"/>
                <w:kern w:val="21"/>
                <w:u w:val="single"/>
              </w:rPr>
            </w:pP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废滤芯</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adjustRightInd w:val="0"/>
              <w:snapToGrid w:val="0"/>
              <w:jc w:val="center"/>
              <w:rPr>
                <w:b/>
                <w:bCs/>
                <w:color w:val="auto"/>
                <w:kern w:val="21"/>
                <w:u w:val="single"/>
              </w:rPr>
            </w:pPr>
          </w:p>
        </w:tc>
        <w:tc>
          <w:tcPr>
            <w:tcW w:w="570" w:type="pct"/>
            <w:vAlign w:val="center"/>
          </w:tcPr>
          <w:p>
            <w:pPr>
              <w:adjustRightInd w:val="0"/>
              <w:snapToGrid w:val="0"/>
              <w:jc w:val="center"/>
              <w:rPr>
                <w:b/>
                <w:bCs/>
                <w:color w:val="auto"/>
                <w:kern w:val="21"/>
                <w:u w:val="single"/>
              </w:rPr>
            </w:pPr>
          </w:p>
        </w:tc>
        <w:tc>
          <w:tcPr>
            <w:tcW w:w="623" w:type="pct"/>
            <w:vAlign w:val="center"/>
          </w:tcPr>
          <w:p>
            <w:pPr>
              <w:adjustRightInd w:val="0"/>
              <w:snapToGrid w:val="0"/>
              <w:jc w:val="center"/>
              <w:rPr>
                <w:b/>
                <w:bCs/>
                <w:color w:val="auto"/>
                <w:kern w:val="21"/>
                <w:u w:val="single"/>
              </w:rPr>
            </w:pPr>
          </w:p>
        </w:tc>
        <w:tc>
          <w:tcPr>
            <w:tcW w:w="638" w:type="pct"/>
            <w:vAlign w:val="center"/>
          </w:tcPr>
          <w:p>
            <w:pPr>
              <w:adjustRightInd w:val="0"/>
              <w:snapToGrid w:val="0"/>
              <w:jc w:val="center"/>
              <w:rPr>
                <w:b/>
                <w:bCs/>
                <w:color w:val="auto"/>
                <w:kern w:val="21"/>
                <w:u w:val="single"/>
              </w:rPr>
            </w:pPr>
          </w:p>
        </w:tc>
        <w:tc>
          <w:tcPr>
            <w:tcW w:w="608" w:type="pct"/>
            <w:vAlign w:val="center"/>
          </w:tcPr>
          <w:p>
            <w:pPr>
              <w:adjustRightInd w:val="0"/>
              <w:snapToGrid w:val="0"/>
              <w:jc w:val="center"/>
              <w:rPr>
                <w:b/>
                <w:bCs/>
                <w:color w:val="auto"/>
                <w:kern w:val="21"/>
                <w:u w:val="single"/>
              </w:rPr>
            </w:pP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废槽渣</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adjustRightInd w:val="0"/>
              <w:snapToGrid w:val="0"/>
              <w:jc w:val="center"/>
              <w:rPr>
                <w:b/>
                <w:bCs/>
                <w:color w:val="auto"/>
                <w:kern w:val="21"/>
                <w:u w:val="single"/>
              </w:rPr>
            </w:pPr>
          </w:p>
          <w:p>
            <w:pPr>
              <w:adjustRightInd w:val="0"/>
              <w:snapToGrid w:val="0"/>
              <w:jc w:val="center"/>
              <w:rPr>
                <w:b/>
                <w:bCs/>
                <w:color w:val="auto"/>
                <w:kern w:val="21"/>
                <w:u w:val="single"/>
              </w:rPr>
            </w:pPr>
            <w:r>
              <w:rPr>
                <w:rFonts w:hint="eastAsia"/>
                <w:b/>
                <w:bCs/>
                <w:color w:val="auto"/>
                <w:kern w:val="21"/>
                <w:u w:val="single"/>
              </w:rPr>
              <w:t>/</w:t>
            </w:r>
          </w:p>
        </w:tc>
        <w:tc>
          <w:tcPr>
            <w:tcW w:w="570"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23"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38"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608" w:type="pct"/>
            <w:vAlign w:val="center"/>
          </w:tcPr>
          <w:p>
            <w:pPr>
              <w:adjustRightInd w:val="0"/>
              <w:snapToGrid w:val="0"/>
              <w:jc w:val="center"/>
              <w:rPr>
                <w:b/>
                <w:bCs/>
                <w:color w:val="auto"/>
                <w:kern w:val="21"/>
                <w:u w:val="single"/>
              </w:rPr>
            </w:pPr>
            <w:r>
              <w:rPr>
                <w:rFonts w:hint="eastAsia"/>
                <w:b/>
                <w:bCs/>
                <w:color w:val="auto"/>
                <w:kern w:val="21"/>
                <w:u w:val="single"/>
              </w:rPr>
              <w:t>/</w:t>
            </w: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蒸发结晶盐</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0.6742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1"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eastAsia="宋体" w:cs="Times New Roman"/>
                <w:b/>
                <w:bCs/>
                <w:color w:val="auto"/>
                <w:kern w:val="21"/>
                <w:sz w:val="21"/>
                <w:szCs w:val="21"/>
                <w:u w:val="single"/>
              </w:rPr>
              <w:t>合计</w:t>
            </w:r>
          </w:p>
        </w:tc>
        <w:tc>
          <w:tcPr>
            <w:tcW w:w="570" w:type="pct"/>
            <w:vAlign w:val="center"/>
          </w:tcPr>
          <w:p>
            <w:pPr>
              <w:adjustRightInd w:val="0"/>
              <w:snapToGrid w:val="0"/>
              <w:jc w:val="center"/>
              <w:rPr>
                <w:b/>
                <w:bCs/>
                <w:color w:val="auto"/>
                <w:kern w:val="21"/>
                <w:u w:val="single"/>
              </w:rPr>
            </w:pPr>
            <w:r>
              <w:rPr>
                <w:b/>
                <w:bCs/>
                <w:color w:val="auto"/>
                <w:kern w:val="21"/>
                <w:u w:val="single"/>
              </w:rPr>
              <w:t>/</w:t>
            </w:r>
          </w:p>
        </w:tc>
        <w:tc>
          <w:tcPr>
            <w:tcW w:w="623" w:type="pct"/>
            <w:vAlign w:val="center"/>
          </w:tcPr>
          <w:p>
            <w:pPr>
              <w:adjustRightInd w:val="0"/>
              <w:snapToGrid w:val="0"/>
              <w:jc w:val="center"/>
              <w:rPr>
                <w:b/>
                <w:bCs/>
                <w:color w:val="auto"/>
                <w:kern w:val="21"/>
                <w:u w:val="single"/>
              </w:rPr>
            </w:pPr>
            <w:r>
              <w:rPr>
                <w:b/>
                <w:bCs/>
                <w:color w:val="auto"/>
                <w:kern w:val="21"/>
                <w:u w:val="single"/>
              </w:rPr>
              <w:t>/</w:t>
            </w:r>
          </w:p>
        </w:tc>
        <w:tc>
          <w:tcPr>
            <w:tcW w:w="638" w:type="pct"/>
            <w:vAlign w:val="center"/>
          </w:tcPr>
          <w:p>
            <w:pPr>
              <w:adjustRightInd w:val="0"/>
              <w:snapToGrid w:val="0"/>
              <w:jc w:val="center"/>
              <w:rPr>
                <w:b/>
                <w:bCs/>
                <w:color w:val="auto"/>
                <w:kern w:val="21"/>
                <w:u w:val="single"/>
              </w:rPr>
            </w:pPr>
            <w:r>
              <w:rPr>
                <w:b/>
                <w:bCs/>
                <w:color w:val="auto"/>
                <w:kern w:val="21"/>
                <w:u w:val="single"/>
              </w:rPr>
              <w:t>/</w:t>
            </w:r>
          </w:p>
        </w:tc>
        <w:tc>
          <w:tcPr>
            <w:tcW w:w="608"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143.078</w:t>
            </w:r>
          </w:p>
        </w:tc>
        <w:tc>
          <w:tcPr>
            <w:tcW w:w="96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w:t>
            </w:r>
          </w:p>
        </w:tc>
        <w:tc>
          <w:tcPr>
            <w:tcW w:w="739" w:type="pct"/>
            <w:vAlign w:val="center"/>
          </w:tcPr>
          <w:p>
            <w:pPr>
              <w:pStyle w:val="271"/>
              <w:keepNext w:val="0"/>
              <w:keepLines w:val="0"/>
              <w:snapToGrid w:val="0"/>
              <w:spacing w:before="0" w:beforeLines="0" w:after="0" w:afterLines="0" w:line="240" w:lineRule="auto"/>
              <w:jc w:val="center"/>
              <w:outlineLvl w:val="9"/>
              <w:rPr>
                <w:rFonts w:eastAsia="宋体" w:cs="Times New Roman"/>
                <w:b/>
                <w:bCs/>
                <w:color w:val="auto"/>
                <w:kern w:val="21"/>
                <w:sz w:val="21"/>
                <w:szCs w:val="21"/>
                <w:u w:val="single"/>
              </w:rPr>
            </w:pPr>
            <w:r>
              <w:rPr>
                <w:rFonts w:hint="eastAsia" w:eastAsia="宋体" w:cs="Times New Roman"/>
                <w:b/>
                <w:bCs/>
                <w:color w:val="auto"/>
                <w:kern w:val="21"/>
                <w:sz w:val="21"/>
                <w:szCs w:val="21"/>
                <w:u w:val="single"/>
              </w:rPr>
              <w:t>143.078</w:t>
            </w:r>
          </w:p>
        </w:tc>
      </w:tr>
    </w:tbl>
    <w:p>
      <w:pPr>
        <w:pStyle w:val="271"/>
        <w:keepNext w:val="0"/>
        <w:keepLines w:val="0"/>
        <w:snapToGrid w:val="0"/>
        <w:spacing w:before="0" w:beforeLines="0" w:after="0" w:afterLines="0"/>
        <w:outlineLvl w:val="9"/>
        <w:rPr>
          <w:rFonts w:eastAsia="宋体" w:cs="Times New Roman"/>
          <w:b/>
          <w:color w:val="auto"/>
          <w:kern w:val="21"/>
          <w:szCs w:val="24"/>
        </w:rPr>
      </w:pPr>
    </w:p>
    <w:p>
      <w:pPr>
        <w:pStyle w:val="271"/>
        <w:keepNext w:val="0"/>
        <w:keepLines w:val="0"/>
        <w:snapToGrid w:val="0"/>
        <w:spacing w:before="0" w:beforeLines="0" w:after="0" w:afterLines="0"/>
        <w:outlineLvl w:val="9"/>
        <w:rPr>
          <w:rFonts w:eastAsia="宋体" w:cs="Times New Roman"/>
          <w:b/>
          <w:color w:val="auto"/>
          <w:kern w:val="21"/>
          <w:szCs w:val="24"/>
        </w:rPr>
      </w:pPr>
      <w:r>
        <w:rPr>
          <w:rFonts w:eastAsia="宋体" w:cs="Times New Roman"/>
          <w:b/>
          <w:color w:val="auto"/>
          <w:kern w:val="21"/>
          <w:szCs w:val="24"/>
        </w:rPr>
        <mc:AlternateContent>
          <mc:Choice Requires="wpc">
            <w:drawing>
              <wp:inline distT="0" distB="0" distL="0" distR="0">
                <wp:extent cx="5689600" cy="3096260"/>
                <wp:effectExtent l="0" t="0" r="6350" b="8255"/>
                <wp:docPr id="1626" name="画布 16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5" name="Rectangle 1628"/>
                        <wps:cNvSpPr>
                          <a:spLocks noChangeArrowheads="1"/>
                        </wps:cNvSpPr>
                        <wps:spPr bwMode="auto">
                          <a:xfrm>
                            <a:off x="2040890" y="1022985"/>
                            <a:ext cx="483235" cy="1468755"/>
                          </a:xfrm>
                          <a:prstGeom prst="rect">
                            <a:avLst/>
                          </a:prstGeom>
                          <a:solidFill>
                            <a:srgbClr val="FFFFFF"/>
                          </a:solidFill>
                          <a:ln w="9525" algn="ctr">
                            <a:solidFill>
                              <a:srgbClr val="000000"/>
                            </a:solidFill>
                            <a:miter lim="800000"/>
                          </a:ln>
                          <a:effectLst/>
                        </wps:spPr>
                        <wps:txbx>
                          <w:txbxContent>
                            <w:p>
                              <w:pPr>
                                <w:rPr>
                                  <w:sz w:val="32"/>
                                </w:rPr>
                              </w:pPr>
                              <w:r>
                                <w:rPr>
                                  <w:sz w:val="32"/>
                                </w:rPr>
                                <w:t>钝化工序</w:t>
                              </w:r>
                            </w:p>
                          </w:txbxContent>
                        </wps:txbx>
                        <wps:bodyPr rot="0" vert="horz" wrap="square" lIns="126000" tIns="226800" rIns="91440" bIns="45720" anchor="t" anchorCtr="0" upright="1">
                          <a:noAutofit/>
                        </wps:bodyPr>
                      </wps:wsp>
                      <wps:wsp>
                        <wps:cNvPr id="516" name="Rectangle 1629"/>
                        <wps:cNvSpPr>
                          <a:spLocks noChangeArrowheads="1"/>
                        </wps:cNvSpPr>
                        <wps:spPr bwMode="auto">
                          <a:xfrm>
                            <a:off x="123190" y="992505"/>
                            <a:ext cx="760730" cy="318135"/>
                          </a:xfrm>
                          <a:prstGeom prst="rect">
                            <a:avLst/>
                          </a:prstGeom>
                          <a:solidFill>
                            <a:srgbClr val="FFFFFF"/>
                          </a:solidFill>
                          <a:ln w="9525" algn="ctr">
                            <a:solidFill>
                              <a:srgbClr val="000000"/>
                            </a:solidFill>
                            <a:miter lim="800000"/>
                          </a:ln>
                          <a:effectLst/>
                        </wps:spPr>
                        <wps:txbx>
                          <w:txbxContent>
                            <w:p>
                              <w:pPr>
                                <w:jc w:val="center"/>
                              </w:pPr>
                              <w:r>
                                <w:rPr>
                                  <w:rFonts w:hint="eastAsia"/>
                                </w:rPr>
                                <w:t>铬酸酐</w:t>
                              </w:r>
                            </w:p>
                          </w:txbxContent>
                        </wps:txbx>
                        <wps:bodyPr rot="0" vert="horz" wrap="square" lIns="91440" tIns="45720" rIns="91440" bIns="45720" anchor="t" anchorCtr="0" upright="1">
                          <a:noAutofit/>
                        </wps:bodyPr>
                      </wps:wsp>
                      <wps:wsp>
                        <wps:cNvPr id="517" name="Rectangle 1630"/>
                        <wps:cNvSpPr>
                          <a:spLocks noChangeArrowheads="1"/>
                        </wps:cNvSpPr>
                        <wps:spPr bwMode="auto">
                          <a:xfrm>
                            <a:off x="123190" y="2228850"/>
                            <a:ext cx="760730" cy="316865"/>
                          </a:xfrm>
                          <a:prstGeom prst="rect">
                            <a:avLst/>
                          </a:prstGeom>
                          <a:solidFill>
                            <a:srgbClr val="FFFFFF"/>
                          </a:solidFill>
                          <a:ln w="9525" algn="ctr">
                            <a:solidFill>
                              <a:srgbClr val="000000"/>
                            </a:solidFill>
                            <a:miter lim="800000"/>
                          </a:ln>
                          <a:effectLst/>
                        </wps:spPr>
                        <wps:txbx>
                          <w:txbxContent>
                            <w:p>
                              <w:pPr>
                                <w:jc w:val="center"/>
                              </w:pPr>
                              <w:r>
                                <w:rPr>
                                  <w:rFonts w:hint="eastAsia"/>
                                </w:rPr>
                                <w:t>三价铬</w:t>
                              </w:r>
                            </w:p>
                          </w:txbxContent>
                        </wps:txbx>
                        <wps:bodyPr rot="0" vert="horz" wrap="square" lIns="91440" tIns="45720" rIns="91440" bIns="45720" anchor="t" anchorCtr="0" upright="1">
                          <a:noAutofit/>
                        </wps:bodyPr>
                      </wps:wsp>
                      <wps:wsp>
                        <wps:cNvPr id="518" name="Rectangle 1631"/>
                        <wps:cNvSpPr>
                          <a:spLocks noChangeArrowheads="1"/>
                        </wps:cNvSpPr>
                        <wps:spPr bwMode="auto">
                          <a:xfrm>
                            <a:off x="1325880" y="276225"/>
                            <a:ext cx="1925320" cy="318770"/>
                          </a:xfrm>
                          <a:prstGeom prst="rect">
                            <a:avLst/>
                          </a:prstGeom>
                          <a:solidFill>
                            <a:srgbClr val="FFFFFF"/>
                          </a:solidFill>
                          <a:ln w="9525" algn="ctr">
                            <a:solidFill>
                              <a:srgbClr val="000000"/>
                            </a:solidFill>
                            <a:miter lim="800000"/>
                          </a:ln>
                          <a:effectLst/>
                        </wps:spPr>
                        <wps:txbx>
                          <w:txbxContent>
                            <w:p>
                              <w:pPr>
                                <w:pStyle w:val="271"/>
                                <w:keepNext w:val="0"/>
                                <w:keepLines w:val="0"/>
                                <w:snapToGrid w:val="0"/>
                                <w:spacing w:before="0" w:beforeLines="0" w:after="0" w:afterLines="0" w:line="240" w:lineRule="auto"/>
                                <w:jc w:val="center"/>
                                <w:outlineLvl w:val="9"/>
                              </w:pPr>
                              <w:r>
                                <w:rPr>
                                  <w:rFonts w:hint="eastAsia" w:eastAsia="宋体" w:cs="Times New Roman"/>
                                  <w:color w:val="auto"/>
                                  <w:kern w:val="21"/>
                                  <w:sz w:val="21"/>
                                  <w:szCs w:val="21"/>
                                </w:rPr>
                                <w:t>废滤芯0.071；废槽渣0.177；</w:t>
                              </w:r>
                            </w:p>
                          </w:txbxContent>
                        </wps:txbx>
                        <wps:bodyPr rot="0" vert="horz" wrap="square" lIns="91440" tIns="45720" rIns="91440" bIns="45720" anchor="t" anchorCtr="0" upright="1">
                          <a:noAutofit/>
                        </wps:bodyPr>
                      </wps:wsp>
                      <wps:wsp>
                        <wps:cNvPr id="519" name="Rectangle 1632"/>
                        <wps:cNvSpPr>
                          <a:spLocks noChangeArrowheads="1"/>
                        </wps:cNvSpPr>
                        <wps:spPr bwMode="auto">
                          <a:xfrm>
                            <a:off x="3811905" y="992505"/>
                            <a:ext cx="760730" cy="318135"/>
                          </a:xfrm>
                          <a:prstGeom prst="rect">
                            <a:avLst/>
                          </a:prstGeom>
                          <a:solidFill>
                            <a:srgbClr val="FFFFFF"/>
                          </a:solidFill>
                          <a:ln w="9525" algn="ctr">
                            <a:solidFill>
                              <a:srgbClr val="000000"/>
                            </a:solidFill>
                            <a:miter lim="800000"/>
                          </a:ln>
                          <a:effectLst/>
                        </wps:spPr>
                        <wps:txbx>
                          <w:txbxContent>
                            <w:p>
                              <w:pPr>
                                <w:jc w:val="center"/>
                              </w:pPr>
                              <w:r>
                                <w:t>镀</w:t>
                              </w:r>
                              <w:r>
                                <w:rPr>
                                  <w:rFonts w:hint="eastAsia"/>
                                </w:rPr>
                                <w:t xml:space="preserve">  </w:t>
                              </w:r>
                              <w:r>
                                <w:t>层</w:t>
                              </w:r>
                            </w:p>
                          </w:txbxContent>
                        </wps:txbx>
                        <wps:bodyPr rot="0" vert="horz" wrap="square" lIns="91440" tIns="45720" rIns="91440" bIns="45720" anchor="t" anchorCtr="0" upright="1">
                          <a:noAutofit/>
                        </wps:bodyPr>
                      </wps:wsp>
                      <wps:wsp>
                        <wps:cNvPr id="520" name="Rectangle 1633"/>
                        <wps:cNvSpPr>
                          <a:spLocks noChangeArrowheads="1"/>
                        </wps:cNvSpPr>
                        <wps:spPr bwMode="auto">
                          <a:xfrm>
                            <a:off x="3811905" y="1599565"/>
                            <a:ext cx="760730" cy="317500"/>
                          </a:xfrm>
                          <a:prstGeom prst="rect">
                            <a:avLst/>
                          </a:prstGeom>
                          <a:solidFill>
                            <a:srgbClr val="FFFFFF"/>
                          </a:solidFill>
                          <a:ln w="9525" algn="ctr">
                            <a:solidFill>
                              <a:srgbClr val="000000"/>
                            </a:solidFill>
                            <a:miter lim="800000"/>
                          </a:ln>
                          <a:effectLst/>
                        </wps:spPr>
                        <wps:txbx>
                          <w:txbxContent>
                            <w:p>
                              <w:pPr>
                                <w:jc w:val="center"/>
                              </w:pPr>
                              <w:r>
                                <w:t>污泥</w:t>
                              </w:r>
                            </w:p>
                          </w:txbxContent>
                        </wps:txbx>
                        <wps:bodyPr rot="0" vert="horz" wrap="square" lIns="91440" tIns="45720" rIns="91440" bIns="45720" anchor="t" anchorCtr="0" upright="1">
                          <a:noAutofit/>
                        </wps:bodyPr>
                      </wps:wsp>
                      <wps:wsp>
                        <wps:cNvPr id="521" name="Rectangle 1634"/>
                        <wps:cNvSpPr>
                          <a:spLocks noChangeArrowheads="1"/>
                        </wps:cNvSpPr>
                        <wps:spPr bwMode="auto">
                          <a:xfrm>
                            <a:off x="3811905" y="2228850"/>
                            <a:ext cx="517525" cy="316865"/>
                          </a:xfrm>
                          <a:prstGeom prst="rect">
                            <a:avLst/>
                          </a:prstGeom>
                          <a:solidFill>
                            <a:srgbClr val="FFFFFF"/>
                          </a:solidFill>
                          <a:ln w="9525" algn="ctr">
                            <a:solidFill>
                              <a:srgbClr val="000000"/>
                            </a:solidFill>
                            <a:miter lim="800000"/>
                          </a:ln>
                          <a:effectLst/>
                        </wps:spPr>
                        <wps:txbx>
                          <w:txbxContent>
                            <w:p>
                              <w:pPr>
                                <w:jc w:val="center"/>
                              </w:pPr>
                              <w:r>
                                <w:t>废水</w:t>
                              </w:r>
                            </w:p>
                          </w:txbxContent>
                        </wps:txbx>
                        <wps:bodyPr rot="0" vert="horz" wrap="square" lIns="91440" tIns="45720" rIns="91440" bIns="45720" anchor="t" anchorCtr="0" upright="1">
                          <a:noAutofit/>
                        </wps:bodyPr>
                      </wps:wsp>
                      <wps:wsp>
                        <wps:cNvPr id="522" name="AutoShape 1635"/>
                        <wps:cNvCnPr>
                          <a:cxnSpLocks noChangeShapeType="1"/>
                          <a:stCxn id="2363" idx="0"/>
                          <a:endCxn id="2366" idx="2"/>
                        </wps:cNvCnPr>
                        <wps:spPr bwMode="auto">
                          <a:xfrm flipV="1">
                            <a:off x="2282508" y="594995"/>
                            <a:ext cx="5715" cy="427990"/>
                          </a:xfrm>
                          <a:prstGeom prst="straightConnector1">
                            <a:avLst/>
                          </a:prstGeom>
                          <a:noFill/>
                          <a:ln w="9525">
                            <a:solidFill>
                              <a:srgbClr val="000000"/>
                            </a:solidFill>
                            <a:round/>
                            <a:tailEnd type="triangle" w="med" len="med"/>
                          </a:ln>
                          <a:effectLst/>
                        </wps:spPr>
                        <wps:bodyPr/>
                      </wps:wsp>
                      <wps:wsp>
                        <wps:cNvPr id="523" name="AutoShape 1636"/>
                        <wps:cNvCnPr>
                          <a:cxnSpLocks noChangeShapeType="1"/>
                          <a:stCxn id="2364" idx="3"/>
                          <a:endCxn id="2363" idx="1"/>
                        </wps:cNvCnPr>
                        <wps:spPr bwMode="auto">
                          <a:xfrm>
                            <a:off x="883920" y="1151890"/>
                            <a:ext cx="1156970" cy="605790"/>
                          </a:xfrm>
                          <a:prstGeom prst="bentConnector3">
                            <a:avLst>
                              <a:gd name="adj1" fmla="val 50000"/>
                            </a:avLst>
                          </a:prstGeom>
                          <a:noFill/>
                          <a:ln w="9525">
                            <a:solidFill>
                              <a:srgbClr val="000000"/>
                            </a:solidFill>
                            <a:miter lim="800000"/>
                            <a:tailEnd type="triangle" w="med" len="med"/>
                          </a:ln>
                          <a:effectLst/>
                        </wps:spPr>
                        <wps:bodyPr/>
                      </wps:wsp>
                      <wps:wsp>
                        <wps:cNvPr id="524" name="AutoShape 1637"/>
                        <wps:cNvCnPr>
                          <a:cxnSpLocks noChangeShapeType="1"/>
                          <a:stCxn id="2365" idx="3"/>
                          <a:endCxn id="2363" idx="1"/>
                        </wps:cNvCnPr>
                        <wps:spPr bwMode="auto">
                          <a:xfrm flipV="1">
                            <a:off x="883920" y="1757680"/>
                            <a:ext cx="1156970" cy="629920"/>
                          </a:xfrm>
                          <a:prstGeom prst="bentConnector3">
                            <a:avLst>
                              <a:gd name="adj1" fmla="val 50000"/>
                            </a:avLst>
                          </a:prstGeom>
                          <a:noFill/>
                          <a:ln w="9525">
                            <a:solidFill>
                              <a:srgbClr val="000000"/>
                            </a:solidFill>
                            <a:miter lim="800000"/>
                            <a:tailEnd type="triangle" w="med" len="med"/>
                          </a:ln>
                          <a:effectLst/>
                        </wps:spPr>
                        <wps:bodyPr/>
                      </wps:wsp>
                      <wps:wsp>
                        <wps:cNvPr id="525" name="AutoShape 1638"/>
                        <wps:cNvCnPr>
                          <a:cxnSpLocks noChangeShapeType="1"/>
                          <a:stCxn id="2363" idx="3"/>
                          <a:endCxn id="2367" idx="1"/>
                        </wps:cNvCnPr>
                        <wps:spPr bwMode="auto">
                          <a:xfrm flipV="1">
                            <a:off x="2524125" y="1151890"/>
                            <a:ext cx="1287780" cy="605790"/>
                          </a:xfrm>
                          <a:prstGeom prst="bentConnector3">
                            <a:avLst>
                              <a:gd name="adj1" fmla="val 49949"/>
                            </a:avLst>
                          </a:prstGeom>
                          <a:noFill/>
                          <a:ln w="9525">
                            <a:solidFill>
                              <a:srgbClr val="000000"/>
                            </a:solidFill>
                            <a:miter lim="800000"/>
                            <a:tailEnd type="triangle" w="med" len="med"/>
                          </a:ln>
                          <a:effectLst/>
                        </wps:spPr>
                        <wps:bodyPr/>
                      </wps:wsp>
                      <wps:wsp>
                        <wps:cNvPr id="526" name="AutoShape 1639"/>
                        <wps:cNvCnPr>
                          <a:cxnSpLocks noChangeShapeType="1"/>
                          <a:stCxn id="2363" idx="3"/>
                          <a:endCxn id="1888" idx="1"/>
                        </wps:cNvCnPr>
                        <wps:spPr bwMode="auto">
                          <a:xfrm>
                            <a:off x="2524125" y="1757680"/>
                            <a:ext cx="1287780" cy="635"/>
                          </a:xfrm>
                          <a:prstGeom prst="bentConnector3">
                            <a:avLst>
                              <a:gd name="adj1" fmla="val 49949"/>
                            </a:avLst>
                          </a:prstGeom>
                          <a:noFill/>
                          <a:ln w="9525">
                            <a:solidFill>
                              <a:srgbClr val="000000"/>
                            </a:solidFill>
                            <a:miter lim="800000"/>
                            <a:tailEnd type="triangle" w="med" len="med"/>
                          </a:ln>
                          <a:effectLst/>
                        </wps:spPr>
                        <wps:bodyPr/>
                      </wps:wsp>
                      <wps:wsp>
                        <wps:cNvPr id="527" name="AutoShape 1640"/>
                        <wps:cNvCnPr>
                          <a:cxnSpLocks noChangeShapeType="1"/>
                          <a:stCxn id="2363" idx="3"/>
                          <a:endCxn id="1889" idx="1"/>
                        </wps:cNvCnPr>
                        <wps:spPr bwMode="auto">
                          <a:xfrm>
                            <a:off x="2524125" y="1757680"/>
                            <a:ext cx="1287780" cy="629920"/>
                          </a:xfrm>
                          <a:prstGeom prst="bentConnector3">
                            <a:avLst>
                              <a:gd name="adj1" fmla="val 49949"/>
                            </a:avLst>
                          </a:prstGeom>
                          <a:noFill/>
                          <a:ln w="9525">
                            <a:solidFill>
                              <a:srgbClr val="000000"/>
                            </a:solidFill>
                            <a:miter lim="800000"/>
                            <a:tailEnd type="triangle" w="med" len="med"/>
                          </a:ln>
                          <a:effectLst/>
                        </wps:spPr>
                        <wps:bodyPr/>
                      </wps:wsp>
                      <wps:wsp>
                        <wps:cNvPr id="528" name="Rectangle 1641"/>
                        <wps:cNvSpPr>
                          <a:spLocks noChangeArrowheads="1"/>
                        </wps:cNvSpPr>
                        <wps:spPr bwMode="auto">
                          <a:xfrm>
                            <a:off x="781050" y="945515"/>
                            <a:ext cx="760730" cy="318135"/>
                          </a:xfrm>
                          <a:prstGeom prst="rect">
                            <a:avLst/>
                          </a:prstGeom>
                          <a:noFill/>
                          <a:ln>
                            <a:noFill/>
                          </a:ln>
                          <a:effectLst/>
                        </wps:spPr>
                        <wps:txbx>
                          <w:txbxContent>
                            <w:p>
                              <w:pPr>
                                <w:jc w:val="center"/>
                              </w:pPr>
                              <w:r>
                                <w:rPr>
                                  <w:rFonts w:hint="eastAsia"/>
                                </w:rPr>
                                <w:t>132.801</w:t>
                              </w:r>
                            </w:p>
                          </w:txbxContent>
                        </wps:txbx>
                        <wps:bodyPr rot="0" vert="horz" wrap="square" lIns="91440" tIns="45720" rIns="91440" bIns="45720" anchor="t" anchorCtr="0" upright="1">
                          <a:noAutofit/>
                        </wps:bodyPr>
                      </wps:wsp>
                      <wps:wsp>
                        <wps:cNvPr id="529" name="Rectangle 1642"/>
                        <wps:cNvSpPr>
                          <a:spLocks noChangeArrowheads="1"/>
                        </wps:cNvSpPr>
                        <wps:spPr bwMode="auto">
                          <a:xfrm>
                            <a:off x="781050" y="2173605"/>
                            <a:ext cx="760730" cy="318135"/>
                          </a:xfrm>
                          <a:prstGeom prst="rect">
                            <a:avLst/>
                          </a:prstGeom>
                          <a:noFill/>
                          <a:ln>
                            <a:noFill/>
                          </a:ln>
                          <a:effectLst/>
                        </wps:spPr>
                        <wps:txbx>
                          <w:txbxContent>
                            <w:p>
                              <w:pPr>
                                <w:jc w:val="center"/>
                              </w:pPr>
                              <w:r>
                                <w:rPr>
                                  <w:rFonts w:hint="eastAsia"/>
                                </w:rPr>
                                <w:t>10.277</w:t>
                              </w:r>
                            </w:p>
                          </w:txbxContent>
                        </wps:txbx>
                        <wps:bodyPr rot="0" vert="horz" wrap="square" lIns="91440" tIns="45720" rIns="91440" bIns="45720" anchor="t" anchorCtr="0" upright="1">
                          <a:noAutofit/>
                        </wps:bodyPr>
                      </wps:wsp>
                      <wps:wsp>
                        <wps:cNvPr id="530" name="Rectangle 1643"/>
                        <wps:cNvSpPr>
                          <a:spLocks noChangeArrowheads="1"/>
                        </wps:cNvSpPr>
                        <wps:spPr bwMode="auto">
                          <a:xfrm>
                            <a:off x="1387475" y="1539240"/>
                            <a:ext cx="760730" cy="318135"/>
                          </a:xfrm>
                          <a:prstGeom prst="rect">
                            <a:avLst/>
                          </a:prstGeom>
                          <a:noFill/>
                          <a:ln>
                            <a:noFill/>
                          </a:ln>
                          <a:effectLst/>
                        </wps:spPr>
                        <wps:txbx>
                          <w:txbxContent>
                            <w:p>
                              <w:pPr>
                                <w:jc w:val="center"/>
                              </w:pPr>
                              <w:r>
                                <w:rPr>
                                  <w:rFonts w:hint="eastAsia"/>
                                </w:rPr>
                                <w:t>143.078</w:t>
                              </w:r>
                            </w:p>
                          </w:txbxContent>
                        </wps:txbx>
                        <wps:bodyPr rot="0" vert="horz" wrap="square" lIns="91440" tIns="45720" rIns="91440" bIns="45720" anchor="t" anchorCtr="0" upright="1">
                          <a:noAutofit/>
                        </wps:bodyPr>
                      </wps:wsp>
                      <wps:wsp>
                        <wps:cNvPr id="531" name="Rectangle 1644"/>
                        <wps:cNvSpPr>
                          <a:spLocks noChangeArrowheads="1"/>
                        </wps:cNvSpPr>
                        <wps:spPr bwMode="auto">
                          <a:xfrm>
                            <a:off x="2087245" y="674370"/>
                            <a:ext cx="760730" cy="318135"/>
                          </a:xfrm>
                          <a:prstGeom prst="rect">
                            <a:avLst/>
                          </a:prstGeom>
                          <a:noFill/>
                          <a:ln>
                            <a:noFill/>
                          </a:ln>
                          <a:effectLst/>
                        </wps:spPr>
                        <wps:txbx>
                          <w:txbxContent>
                            <w:p>
                              <w:pPr>
                                <w:jc w:val="center"/>
                                <w:rPr>
                                  <w:rFonts w:hint="default" w:eastAsia="宋体"/>
                                  <w:color w:val="auto"/>
                                  <w:lang w:val="en-US" w:eastAsia="zh-CN"/>
                                </w:rPr>
                              </w:pPr>
                              <w:r>
                                <w:rPr>
                                  <w:rFonts w:hint="eastAsia"/>
                                  <w:color w:val="auto"/>
                                </w:rPr>
                                <w:t>0.</w:t>
                              </w:r>
                              <w:r>
                                <w:rPr>
                                  <w:rFonts w:hint="eastAsia"/>
                                  <w:color w:val="auto"/>
                                  <w:lang w:val="en-US" w:eastAsia="zh-CN"/>
                                </w:rPr>
                                <w:t>248</w:t>
                              </w:r>
                            </w:p>
                          </w:txbxContent>
                        </wps:txbx>
                        <wps:bodyPr rot="0" vert="horz" wrap="square" lIns="91440" tIns="45720" rIns="91440" bIns="45720" anchor="t" anchorCtr="0" upright="1">
                          <a:noAutofit/>
                        </wps:bodyPr>
                      </wps:wsp>
                      <wps:wsp>
                        <wps:cNvPr id="532" name="Rectangle 1645"/>
                        <wps:cNvSpPr>
                          <a:spLocks noChangeArrowheads="1"/>
                        </wps:cNvSpPr>
                        <wps:spPr bwMode="auto">
                          <a:xfrm>
                            <a:off x="3061335" y="928370"/>
                            <a:ext cx="760730" cy="318135"/>
                          </a:xfrm>
                          <a:prstGeom prst="rect">
                            <a:avLst/>
                          </a:prstGeom>
                          <a:noFill/>
                          <a:ln>
                            <a:noFill/>
                          </a:ln>
                          <a:effectLst/>
                        </wps:spPr>
                        <wps:txbx>
                          <w:txbxContent>
                            <w:p>
                              <w:pPr>
                                <w:jc w:val="center"/>
                              </w:pPr>
                              <w:r>
                                <w:rPr>
                                  <w:rFonts w:hint="eastAsia"/>
                                </w:rPr>
                                <w:t>127.984</w:t>
                              </w:r>
                            </w:p>
                          </w:txbxContent>
                        </wps:txbx>
                        <wps:bodyPr rot="0" vert="horz" wrap="square" lIns="91440" tIns="45720" rIns="91440" bIns="45720" anchor="t" anchorCtr="0" upright="1">
                          <a:noAutofit/>
                        </wps:bodyPr>
                      </wps:wsp>
                      <wps:wsp>
                        <wps:cNvPr id="533" name="Rectangle 1646"/>
                        <wps:cNvSpPr>
                          <a:spLocks noChangeArrowheads="1"/>
                        </wps:cNvSpPr>
                        <wps:spPr bwMode="auto">
                          <a:xfrm>
                            <a:off x="3132455" y="1539240"/>
                            <a:ext cx="760730" cy="318135"/>
                          </a:xfrm>
                          <a:prstGeom prst="rect">
                            <a:avLst/>
                          </a:prstGeom>
                          <a:noFill/>
                          <a:ln>
                            <a:noFill/>
                          </a:ln>
                          <a:effectLst/>
                        </wps:spPr>
                        <wps:txbx>
                          <w:txbxContent>
                            <w:p>
                              <w:pPr>
                                <w:jc w:val="center"/>
                                <w:rPr>
                                  <w:rFonts w:hint="default" w:eastAsia="宋体"/>
                                  <w:color w:val="auto"/>
                                  <w:lang w:val="en-US" w:eastAsia="zh-CN"/>
                                </w:rPr>
                              </w:pPr>
                              <w:r>
                                <w:rPr>
                                  <w:rFonts w:hint="eastAsia"/>
                                  <w:color w:val="auto"/>
                                </w:rPr>
                                <w:t>14.</w:t>
                              </w:r>
                              <w:r>
                                <w:rPr>
                                  <w:rFonts w:hint="eastAsia"/>
                                  <w:color w:val="auto"/>
                                  <w:lang w:val="en-US" w:eastAsia="zh-CN"/>
                                </w:rPr>
                                <w:t>166</w:t>
                              </w:r>
                            </w:p>
                          </w:txbxContent>
                        </wps:txbx>
                        <wps:bodyPr rot="0" vert="horz" wrap="square" lIns="91440" tIns="45720" rIns="91440" bIns="45720" anchor="t" anchorCtr="0" upright="1">
                          <a:noAutofit/>
                        </wps:bodyPr>
                      </wps:wsp>
                      <wps:wsp>
                        <wps:cNvPr id="534" name="Rectangle 1647"/>
                        <wps:cNvSpPr>
                          <a:spLocks noChangeArrowheads="1"/>
                        </wps:cNvSpPr>
                        <wps:spPr bwMode="auto">
                          <a:xfrm>
                            <a:off x="3112135" y="2173605"/>
                            <a:ext cx="760730" cy="318135"/>
                          </a:xfrm>
                          <a:prstGeom prst="rect">
                            <a:avLst/>
                          </a:prstGeom>
                          <a:noFill/>
                          <a:ln>
                            <a:noFill/>
                          </a:ln>
                          <a:effectLst/>
                        </wps:spPr>
                        <wps:txbx>
                          <w:txbxContent>
                            <w:p>
                              <w:pPr>
                                <w:jc w:val="center"/>
                              </w:pPr>
                              <w:r>
                                <w:rPr>
                                  <w:rFonts w:hint="eastAsia"/>
                                </w:rPr>
                                <w:t>0.6742</w:t>
                              </w:r>
                            </w:p>
                          </w:txbxContent>
                        </wps:txbx>
                        <wps:bodyPr rot="0" vert="horz" wrap="square" lIns="91440" tIns="45720" rIns="91440" bIns="45720" anchor="t" anchorCtr="0" upright="1">
                          <a:noAutofit/>
                        </wps:bodyPr>
                      </wps:wsp>
                      <wps:wsp>
                        <wps:cNvPr id="535" name="Rectangle 1648"/>
                        <wps:cNvSpPr>
                          <a:spLocks noChangeArrowheads="1"/>
                        </wps:cNvSpPr>
                        <wps:spPr bwMode="auto">
                          <a:xfrm>
                            <a:off x="2442845" y="1539240"/>
                            <a:ext cx="760730" cy="318135"/>
                          </a:xfrm>
                          <a:prstGeom prst="rect">
                            <a:avLst/>
                          </a:prstGeom>
                          <a:noFill/>
                          <a:ln>
                            <a:noFill/>
                          </a:ln>
                          <a:effectLst/>
                        </wps:spPr>
                        <wps:txbx>
                          <w:txbxContent>
                            <w:p>
                              <w:pPr>
                                <w:jc w:val="center"/>
                                <w:rPr>
                                  <w:rFonts w:hint="default" w:eastAsia="宋体"/>
                                  <w:color w:val="auto"/>
                                  <w:lang w:val="en-US" w:eastAsia="zh-CN"/>
                                </w:rPr>
                              </w:pPr>
                              <w:r>
                                <w:rPr>
                                  <w:rFonts w:hint="eastAsia"/>
                                  <w:color w:val="auto"/>
                                </w:rPr>
                                <w:t>142.</w:t>
                              </w:r>
                              <w:r>
                                <w:rPr>
                                  <w:rFonts w:hint="eastAsia"/>
                                  <w:color w:val="auto"/>
                                  <w:lang w:val="en-US" w:eastAsia="zh-CN"/>
                                </w:rPr>
                                <w:t>83</w:t>
                              </w:r>
                            </w:p>
                          </w:txbxContent>
                        </wps:txbx>
                        <wps:bodyPr rot="0" vert="horz" wrap="square" lIns="91440" tIns="45720" rIns="91440" bIns="45720" anchor="t" anchorCtr="0" upright="1">
                          <a:noAutofit/>
                        </wps:bodyPr>
                      </wps:wsp>
                      <wps:wsp>
                        <wps:cNvPr id="536" name="Rectangle 1649"/>
                        <wps:cNvSpPr>
                          <a:spLocks noChangeArrowheads="1"/>
                        </wps:cNvSpPr>
                        <wps:spPr bwMode="auto">
                          <a:xfrm>
                            <a:off x="4819015" y="2228850"/>
                            <a:ext cx="863600" cy="316865"/>
                          </a:xfrm>
                          <a:prstGeom prst="rect">
                            <a:avLst/>
                          </a:prstGeom>
                          <a:solidFill>
                            <a:srgbClr val="FFFFFF"/>
                          </a:solidFill>
                          <a:ln w="9525" algn="ctr">
                            <a:solidFill>
                              <a:srgbClr val="000000"/>
                            </a:solidFill>
                            <a:miter lim="800000"/>
                          </a:ln>
                          <a:effectLst/>
                        </wps:spPr>
                        <wps:txbx>
                          <w:txbxContent>
                            <w:p>
                              <w:pPr>
                                <w:jc w:val="center"/>
                              </w:pPr>
                              <w:r>
                                <w:t>蒸发结晶盐</w:t>
                              </w:r>
                            </w:p>
                          </w:txbxContent>
                        </wps:txbx>
                        <wps:bodyPr rot="0" vert="horz" wrap="square" lIns="91440" tIns="45720" rIns="91440" bIns="45720" anchor="t" anchorCtr="0" upright="1">
                          <a:noAutofit/>
                        </wps:bodyPr>
                      </wps:wsp>
                      <wps:wsp>
                        <wps:cNvPr id="537" name="AutoShape 1650"/>
                        <wps:cNvCnPr>
                          <a:cxnSpLocks noChangeShapeType="1"/>
                          <a:stCxn id="1889" idx="3"/>
                          <a:endCxn id="1904" idx="1"/>
                        </wps:cNvCnPr>
                        <wps:spPr bwMode="auto">
                          <a:xfrm>
                            <a:off x="4329430" y="2387600"/>
                            <a:ext cx="489585" cy="635"/>
                          </a:xfrm>
                          <a:prstGeom prst="straightConnector1">
                            <a:avLst/>
                          </a:prstGeom>
                          <a:noFill/>
                          <a:ln w="9525">
                            <a:solidFill>
                              <a:srgbClr val="000000"/>
                            </a:solidFill>
                            <a:round/>
                            <a:tailEnd type="triangle" w="med" len="med"/>
                          </a:ln>
                          <a:effectLst/>
                        </wps:spPr>
                        <wps:bodyPr/>
                      </wps:wsp>
                      <wps:wsp>
                        <wps:cNvPr id="538" name="Rectangle 1651"/>
                        <wps:cNvSpPr>
                          <a:spLocks noChangeArrowheads="1"/>
                        </wps:cNvSpPr>
                        <wps:spPr bwMode="auto">
                          <a:xfrm>
                            <a:off x="4231005" y="2173605"/>
                            <a:ext cx="760730" cy="318135"/>
                          </a:xfrm>
                          <a:prstGeom prst="rect">
                            <a:avLst/>
                          </a:prstGeom>
                          <a:noFill/>
                          <a:ln>
                            <a:noFill/>
                          </a:ln>
                          <a:effectLst/>
                        </wps:spPr>
                        <wps:txbx>
                          <w:txbxContent>
                            <w:p>
                              <w:pPr>
                                <w:jc w:val="center"/>
                              </w:pPr>
                              <w:r>
                                <w:rPr>
                                  <w:rFonts w:hint="eastAsia"/>
                                </w:rPr>
                                <w:t>0.6742</w:t>
                              </w:r>
                            </w:p>
                          </w:txbxContent>
                        </wps:txbx>
                        <wps:bodyPr rot="0" vert="horz" wrap="square" lIns="91440" tIns="45720" rIns="91440" bIns="45720" anchor="t" anchorCtr="0" upright="1">
                          <a:noAutofit/>
                        </wps:bodyPr>
                      </wps:wsp>
                      <wps:wsp>
                        <wps:cNvPr id="539" name="Rectangle 1652"/>
                        <wps:cNvSpPr>
                          <a:spLocks noChangeArrowheads="1"/>
                        </wps:cNvSpPr>
                        <wps:spPr bwMode="auto">
                          <a:xfrm>
                            <a:off x="3801745" y="2779395"/>
                            <a:ext cx="644525" cy="316865"/>
                          </a:xfrm>
                          <a:prstGeom prst="rect">
                            <a:avLst/>
                          </a:prstGeom>
                          <a:solidFill>
                            <a:srgbClr val="FFFFFF"/>
                          </a:solidFill>
                          <a:ln w="9525" algn="ctr">
                            <a:solidFill>
                              <a:srgbClr val="000000"/>
                            </a:solidFill>
                            <a:miter lim="800000"/>
                          </a:ln>
                          <a:effectLst/>
                        </wps:spPr>
                        <wps:txbx>
                          <w:txbxContent>
                            <w:p>
                              <w:pPr>
                                <w:jc w:val="center"/>
                              </w:pPr>
                              <w:r>
                                <w:t>铬酸雾</w:t>
                              </w:r>
                            </w:p>
                          </w:txbxContent>
                        </wps:txbx>
                        <wps:bodyPr rot="0" vert="horz" wrap="square" lIns="91440" tIns="45720" rIns="91440" bIns="45720" anchor="t" anchorCtr="0" upright="1">
                          <a:noAutofit/>
                        </wps:bodyPr>
                      </wps:wsp>
                      <wps:wsp>
                        <wps:cNvPr id="540" name="AutoShape 1653"/>
                        <wps:cNvCnPr>
                          <a:cxnSpLocks noChangeShapeType="1"/>
                          <a:stCxn id="2363" idx="3"/>
                          <a:endCxn id="1907" idx="1"/>
                        </wps:cNvCnPr>
                        <wps:spPr bwMode="auto">
                          <a:xfrm>
                            <a:off x="2524125" y="1757680"/>
                            <a:ext cx="1277620" cy="1180465"/>
                          </a:xfrm>
                          <a:prstGeom prst="bentConnector3">
                            <a:avLst>
                              <a:gd name="adj1" fmla="val 49949"/>
                            </a:avLst>
                          </a:prstGeom>
                          <a:noFill/>
                          <a:ln w="9525">
                            <a:solidFill>
                              <a:srgbClr val="000000"/>
                            </a:solidFill>
                            <a:miter lim="800000"/>
                            <a:tailEnd type="triangle" w="med" len="med"/>
                          </a:ln>
                          <a:effectLst/>
                        </wps:spPr>
                        <wps:bodyPr/>
                      </wps:wsp>
                      <wps:wsp>
                        <wps:cNvPr id="541" name="Rectangle 1654"/>
                        <wps:cNvSpPr>
                          <a:spLocks noChangeArrowheads="1"/>
                        </wps:cNvSpPr>
                        <wps:spPr bwMode="auto">
                          <a:xfrm>
                            <a:off x="3071495" y="2701290"/>
                            <a:ext cx="760730" cy="318135"/>
                          </a:xfrm>
                          <a:prstGeom prst="rect">
                            <a:avLst/>
                          </a:prstGeom>
                          <a:noFill/>
                          <a:ln>
                            <a:noFill/>
                          </a:ln>
                          <a:effectLst/>
                        </wps:spPr>
                        <wps:txbx>
                          <w:txbxContent>
                            <w:p>
                              <w:pPr>
                                <w:jc w:val="center"/>
                              </w:pPr>
                              <w:r>
                                <w:rPr>
                                  <w:rFonts w:hint="eastAsia"/>
                                </w:rPr>
                                <w:t>0.0058</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243.8pt;width:448pt;" coordsize="5689600,3096260" editas="canvas"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">
                <o:lock v:ext="edit" aspectratio="f"/>
                <v:shape id="_x0000_s1026" o:spid="_x0000_s1026" style="position:absolute;left:0;top:0;height:3096260;width:568960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">
                  <v:fill on="f" focussize="0,0"/>
                  <v:stroke on="f"/>
                  <v:imagedata o:title=""/>
                  <o:lock v:ext="edit" aspectratio="t"/>
                </v:shape>
                <v:rect id="Rectangle 1628" o:spid="_x0000_s1026" o:spt="1" style="position:absolute;left:2040890;top:1022985;height:1468755;width:483235;" fillcolor="#FFFFFF" filled="t" stroked="t" coordsize="21600,21600" o:gfxdata="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Zkl4vTAAAABQEAAA8AAAAA&#10;AAAAAQAgAAAAIgAAAGRycy9kb3ducmV2LnhtbFBLAQIUABQAAAAIAIdO4kAeAFO4UgIAAKkEAAAO&#10;AAAAAAAAAAEAIAAAACIBAABkcnMvZTJvRG9jLnhtbFBLBQYAAAAABgAGAFkBAADmBQAAAAA=&#10;">
                  <v:fill on="t" focussize="0,0"/>
                  <v:stroke color="#000000" miterlimit="8" joinstyle="miter"/>
                  <v:imagedata o:title=""/>
                  <o:lock v:ext="edit" aspectratio="f"/>
                  <v:textbox inset="3.5mm,6.3mm,2.54mm,1.27mm">
                    <w:txbxContent>
                      <w:p>
                        <w:pPr>
                          <w:rPr>
                            <w:sz w:val="32"/>
                          </w:rPr>
                        </w:pPr>
                        <w:r>
                          <w:rPr>
                            <w:sz w:val="32"/>
                          </w:rPr>
                          <w:t>钝化工序</w:t>
                        </w:r>
                      </w:p>
                    </w:txbxContent>
                  </v:textbox>
                </v:rect>
                <v:rect id="Rectangle 1629" o:spid="_x0000_s1026" o:spt="1" style="position:absolute;left:123190;top:992505;height:318135;width:760730;"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25kor1AAAAAUBAAAPAAAAAAAAAAEAIAAA&#10;ACIAAABkcnMvZG93bnJldi54bWxQSwECFAAUAAAACACHTuJAVwh42EkCAACkBAAADgAAAAAAAAAB&#10;ACAAAAAjAQAAZHJzL2Uyb0RvYy54bWxQSwUGAAAAAAYABgBZAQAA3gUAAAAA&#10;">
                  <v:fill on="t" focussize="0,0"/>
                  <v:stroke color="#000000" miterlimit="8" joinstyle="miter"/>
                  <v:imagedata o:title=""/>
                  <o:lock v:ext="edit" aspectratio="f"/>
                  <v:textbox>
                    <w:txbxContent>
                      <w:p>
                        <w:pPr>
                          <w:jc w:val="center"/>
                        </w:pPr>
                        <w:r>
                          <w:rPr>
                            <w:rFonts w:hint="eastAsia"/>
                          </w:rPr>
                          <w:t>铬酸酐</w:t>
                        </w:r>
                      </w:p>
                    </w:txbxContent>
                  </v:textbox>
                </v:rect>
                <v:rect id="Rectangle 1630" o:spid="_x0000_s1026" o:spt="1" style="position:absolute;left:123190;top:2228850;height:316865;width:760730;"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25kor1AAAAAUBAAAPAAAAAAAAAAEAIAAA&#10;ACIAAABkcnMvZG93bnJldi54bWxQSwECFAAUAAAACACHTuJAmYc/bUkCAAClBAAADgAAAAAAAAAB&#10;ACAAAAAjAQAAZHJzL2Uyb0RvYy54bWxQSwUGAAAAAAYABgBZAQAA3gUAAAAA&#10;">
                  <v:fill on="t" focussize="0,0"/>
                  <v:stroke color="#000000" miterlimit="8" joinstyle="miter"/>
                  <v:imagedata o:title=""/>
                  <o:lock v:ext="edit" aspectratio="f"/>
                  <v:textbox>
                    <w:txbxContent>
                      <w:p>
                        <w:pPr>
                          <w:jc w:val="center"/>
                        </w:pPr>
                        <w:r>
                          <w:rPr>
                            <w:rFonts w:hint="eastAsia"/>
                          </w:rPr>
                          <w:t>三价铬</w:t>
                        </w:r>
                      </w:p>
                    </w:txbxContent>
                  </v:textbox>
                </v:rect>
                <v:rect id="Rectangle 1631" o:spid="_x0000_s1026" o:spt="1" style="position:absolute;left:1325880;top:276225;height:318770;width:1925320;"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bmSivUAAAABQEAAA8AAAAAAAAAAQAg&#10;AAAAIgAAAGRycy9kb3ducmV2LnhtbFBLAQIUABQAAAAIAIdO4kAN4PWWSwIAAKYEAAAOAAAAAAAA&#10;AAEAIAAAACMBAABkcnMvZTJvRG9jLnhtbFBLBQYAAAAABgAGAFkBAADgBQAAAAA=&#10;">
                  <v:fill on="t" focussize="0,0"/>
                  <v:stroke color="#000000" miterlimit="8" joinstyle="miter"/>
                  <v:imagedata o:title=""/>
                  <o:lock v:ext="edit" aspectratio="f"/>
                  <v:textbox>
                    <w:txbxContent>
                      <w:p>
                        <w:pPr>
                          <w:pStyle w:val="271"/>
                          <w:keepNext w:val="0"/>
                          <w:keepLines w:val="0"/>
                          <w:snapToGrid w:val="0"/>
                          <w:spacing w:before="0" w:beforeLines="0" w:after="0" w:afterLines="0" w:line="240" w:lineRule="auto"/>
                          <w:jc w:val="center"/>
                          <w:outlineLvl w:val="9"/>
                        </w:pPr>
                        <w:r>
                          <w:rPr>
                            <w:rFonts w:hint="eastAsia" w:eastAsia="宋体" w:cs="Times New Roman"/>
                            <w:color w:val="auto"/>
                            <w:kern w:val="21"/>
                            <w:sz w:val="21"/>
                            <w:szCs w:val="21"/>
                          </w:rPr>
                          <w:t>废滤芯0.071；废槽渣0.177；</w:t>
                        </w:r>
                      </w:p>
                    </w:txbxContent>
                  </v:textbox>
                </v:rect>
                <v:rect id="Rectangle 1632" o:spid="_x0000_s1026" o:spt="1" style="position:absolute;left:3811905;top:992505;height:318135;width:760730;"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tuZKK9QAAAAFAQAADwAAAAAAAAABACAA&#10;AAAiAAAAZHJzL2Rvd25yZXYueG1sUEsBAhQAFAAAAAgAh07iQOZsrUZKAgAApQQAAA4AAAAAAAAA&#10;AQAgAAAAIwEAAGRycy9lMm9Eb2MueG1sUEsFBgAAAAAGAAYAWQEAAN8FAAAAAA==&#10;">
                  <v:fill on="t" focussize="0,0"/>
                  <v:stroke color="#000000" miterlimit="8" joinstyle="miter"/>
                  <v:imagedata o:title=""/>
                  <o:lock v:ext="edit" aspectratio="f"/>
                  <v:textbox>
                    <w:txbxContent>
                      <w:p>
                        <w:pPr>
                          <w:jc w:val="center"/>
                        </w:pPr>
                        <w:r>
                          <w:t>镀</w:t>
                        </w:r>
                        <w:r>
                          <w:rPr>
                            <w:rFonts w:hint="eastAsia"/>
                          </w:rPr>
                          <w:t xml:space="preserve">  </w:t>
                        </w:r>
                        <w:r>
                          <w:t>层</w:t>
                        </w:r>
                      </w:p>
                    </w:txbxContent>
                  </v:textbox>
                </v:rect>
                <v:rect id="Rectangle 1633" o:spid="_x0000_s1026" o:spt="1" style="position:absolute;left:3811905;top:1599565;height:317500;width:760730;"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25kor1AAAAAUBAAAPAAAAAAAAAAEA&#10;IAAAACIAAABkcnMvZG93bnJldi54bWxQSwECFAAUAAAACACHTuJA/dyDTUwCAACmBAAADgAAAAAA&#10;AAABACAAAAAjAQAAZHJzL2Uyb0RvYy54bWxQSwUGAAAAAAYABgBZAQAA4QUAAAAA&#10;">
                  <v:fill on="t" focussize="0,0"/>
                  <v:stroke color="#000000" miterlimit="8" joinstyle="miter"/>
                  <v:imagedata o:title=""/>
                  <o:lock v:ext="edit" aspectratio="f"/>
                  <v:textbox>
                    <w:txbxContent>
                      <w:p>
                        <w:pPr>
                          <w:jc w:val="center"/>
                        </w:pPr>
                        <w:r>
                          <w:t>污泥</w:t>
                        </w:r>
                      </w:p>
                    </w:txbxContent>
                  </v:textbox>
                </v:rect>
                <v:rect id="Rectangle 1634" o:spid="_x0000_s1026" o:spt="1" style="position:absolute;left:3811905;top:2228850;height:316865;width:517525;"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bmSivUAAAABQEAAA8AAAAAAAAAAQAgAAAA&#10;IgAAAGRycy9kb3ducmV2LnhtbFBLAQIUABQAAAAIAIdO4kAsF4AlSAIAAKYEAAAOAAAAAAAAAAEA&#10;IAAAACMBAABkcnMvZTJvRG9jLnhtbFBLBQYAAAAABgAGAFkBAADdBQAAAAA=&#10;">
                  <v:fill on="t" focussize="0,0"/>
                  <v:stroke color="#000000" miterlimit="8" joinstyle="miter"/>
                  <v:imagedata o:title=""/>
                  <o:lock v:ext="edit" aspectratio="f"/>
                  <v:textbox>
                    <w:txbxContent>
                      <w:p>
                        <w:pPr>
                          <w:jc w:val="center"/>
                        </w:pPr>
                        <w:r>
                          <w:t>废水</w:t>
                        </w:r>
                      </w:p>
                    </w:txbxContent>
                  </v:textbox>
                </v:rect>
                <v:shape id="AutoShape 1635" o:spid="_x0000_s1026" o:spt="32" type="#_x0000_t32" style="position:absolute;left:2282508;top:594995;flip:y;height:427990;width:5715;" filled="f" stroked="t" coordsize="21600,21600" o:gfxdata="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NAaf&#10;5dYAAAAFAQAADwAAAAAAAAABACAAAAAiAAAAZHJzL2Rvd25yZXYueG1sUEsBAhQAFAAAAAgAh07i&#10;QIqjxnAkAgAAQwQAAA4AAAAAAAAAAQAgAAAAJQEAAGRycy9lMm9Eb2MueG1sUEsFBgAAAAAGAAYA&#10;WQEAALsFAAAAAA==&#10;">
                  <v:fill on="f" focussize="0,0"/>
                  <v:stroke color="#000000" joinstyle="round" endarrow="block"/>
                  <v:imagedata o:title=""/>
                  <o:lock v:ext="edit" aspectratio="f"/>
                </v:shape>
                <v:shape id="AutoShape 1636" o:spid="_x0000_s1026" o:spt="34" type="#_x0000_t34" style="position:absolute;left:883920;top:1151890;height:605790;width:1156970;" filled="f" stroked="t" coordsize="21600,21600" o:gfxdata="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etridUAAAAFAQAADwAAAAAAAAABACAAAAAiAAAAZHJzL2Rvd25y&#10;ZXYueG1sUEsBAhQAFAAAAAgAh07iQAM6wZs6AgAAcgQAAA4AAAAAAAAAAQAgAAAAJAEAAGRycy9l&#10;Mm9Eb2MueG1sUEsFBgAAAAAGAAYAWQEAANAFAAAAAA==&#10;" adj="10800">
                  <v:fill on="f" focussize="0,0"/>
                  <v:stroke color="#000000" miterlimit="8" joinstyle="miter" endarrow="block"/>
                  <v:imagedata o:title=""/>
                  <o:lock v:ext="edit" aspectratio="f"/>
                </v:shape>
                <v:shape id="AutoShape 1637" o:spid="_x0000_s1026" o:spt="34" type="#_x0000_t34" style="position:absolute;left:883920;top:1757680;flip:y;height:629920;width:1156970;" filled="f" stroked="t" coordsize="21600,21600" o:gfxdata="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EtOAT0wAAAAUBAAAPAAAAAAAAAAEAIAAAACIAAABkcnMv&#10;ZG93bnJldi54bWxQSwECFAAUAAAACACHTuJAaiJJtEECAAB8BAAADgAAAAAAAAABACAAAAAiAQAA&#10;ZHJzL2Uyb0RvYy54bWxQSwUGAAAAAAYABgBZAQAA1QUAAAAA&#10;" adj="10800">
                  <v:fill on="f" focussize="0,0"/>
                  <v:stroke color="#000000" miterlimit="8" joinstyle="miter" endarrow="block"/>
                  <v:imagedata o:title=""/>
                  <o:lock v:ext="edit" aspectratio="f"/>
                </v:shape>
                <v:shape id="AutoShape 1638" o:spid="_x0000_s1026" o:spt="34" type="#_x0000_t34" style="position:absolute;left:2524125;top:1151890;flip:y;height:605790;width:1287780;" filled="f" stroked="t" coordsize="21600,21600" o:gfxdata="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XQiUtUAAAAFAQAADwAAAAAAAAABACAAAAAiAAAA&#10;ZHJzL2Rvd25yZXYueG1sUEsBAhQAFAAAAAgAh07iQHJ1i2FDAgAAfQQAAA4AAAAAAAAAAQAgAAAA&#10;JAEAAGRycy9lMm9Eb2MueG1sUEsFBgAAAAAGAAYAWQEAANkFAAAAAA==&#10;" adj="10789">
                  <v:fill on="f" focussize="0,0"/>
                  <v:stroke color="#000000" miterlimit="8" joinstyle="miter" endarrow="block"/>
                  <v:imagedata o:title=""/>
                  <o:lock v:ext="edit" aspectratio="f"/>
                </v:shape>
                <v:shape id="AutoShape 1639" o:spid="_x0000_s1026" o:spt="34" type="#_x0000_t34" style="position:absolute;left:2524125;top:1757680;height:635;width:1287780;" filled="f" stroked="t" coordsize="21600,21600" o:gfxdata="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9qP3/0gAAAAUBAAAPAAAAAAAAAAEAIAAAACIAAABkcnMvZG93&#10;bnJldi54bWxQSwECFAAUAAAACACHTuJAGIyCHD8CAABwBAAADgAAAAAAAAABACAAAAAhAQAAZHJz&#10;L2Uyb0RvYy54bWxQSwUGAAAAAAYABgBZAQAA0gUAAAAA&#10;" adj="10789">
                  <v:fill on="f" focussize="0,0"/>
                  <v:stroke color="#000000" miterlimit="8" joinstyle="miter" endarrow="block"/>
                  <v:imagedata o:title=""/>
                  <o:lock v:ext="edit" aspectratio="f"/>
                </v:shape>
                <v:shape id="AutoShape 1640" o:spid="_x0000_s1026" o:spt="34" type="#_x0000_t34" style="position:absolute;left:2524125;top:1757680;height:629920;width:1287780;" filled="f" stroked="t" coordsize="21600,21600" o:gfxdata="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Paj9/9IAAAAFAQAADwAAAAAAAAABACAAAAAiAAAAZHJzL2Rv&#10;d25yZXYueG1sUEsBAhQAFAAAAAgAh07iQJWJTJhAAgAAcwQAAA4AAAAAAAAAAQAgAAAAIQEAAGRy&#10;cy9lMm9Eb2MueG1sUEsFBgAAAAAGAAYAWQEAANMFAAAAAA==&#10;" adj="10789">
                  <v:fill on="f" focussize="0,0"/>
                  <v:stroke color="#000000" miterlimit="8" joinstyle="miter" endarrow="block"/>
                  <v:imagedata o:title=""/>
                  <o:lock v:ext="edit" aspectratio="f"/>
                </v:shape>
                <v:rect id="Rectangle 1641" o:spid="_x0000_s1026" o:spt="1" style="position:absolute;left:781050;top:945515;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4ZQ/tcAAAAFAQAADwAAAAAA&#10;AAABACAAAAAiAAAAZHJzL2Rvd25yZXYueG1sUEsBAhQAFAAAAAgAh07iQA3702EUAgAAJwQAAA4A&#10;AAAAAAAAAQAgAAAAJgEAAGRycy9lMm9Eb2MueG1sUEsFBgAAAAAGAAYAWQEAAKwFAAAAAA==&#10;">
                  <v:fill on="f" focussize="0,0"/>
                  <v:stroke on="f"/>
                  <v:imagedata o:title=""/>
                  <o:lock v:ext="edit" aspectratio="f"/>
                  <v:textbox>
                    <w:txbxContent>
                      <w:p>
                        <w:pPr>
                          <w:jc w:val="center"/>
                        </w:pPr>
                        <w:r>
                          <w:rPr>
                            <w:rFonts w:hint="eastAsia"/>
                          </w:rPr>
                          <w:t>132.801</w:t>
                        </w:r>
                      </w:p>
                    </w:txbxContent>
                  </v:textbox>
                </v:rect>
                <v:rect id="Rectangle 1642" o:spid="_x0000_s1026" o:spt="1" style="position:absolute;left:781050;top:2173605;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OGUP7XAAAABQEAAA8AAAAA&#10;AAAAAQAgAAAAIgAAAGRycy9kb3ducmV2LnhtbFBLAQIUABQAAAAIAIdO4kAwxLJ3FQIAACgEAAAO&#10;AAAAAAAAAAEAIAAAACYBAABkcnMvZTJvRG9jLnhtbFBLBQYAAAAABgAGAFkBAACtBQAAAAA=&#10;">
                  <v:fill on="f" focussize="0,0"/>
                  <v:stroke on="f"/>
                  <v:imagedata o:title=""/>
                  <o:lock v:ext="edit" aspectratio="f"/>
                  <v:textbox>
                    <w:txbxContent>
                      <w:p>
                        <w:pPr>
                          <w:jc w:val="center"/>
                        </w:pPr>
                        <w:r>
                          <w:rPr>
                            <w:rFonts w:hint="eastAsia"/>
                          </w:rPr>
                          <w:t>10.277</w:t>
                        </w:r>
                      </w:p>
                    </w:txbxContent>
                  </v:textbox>
                </v:rect>
                <v:rect id="Rectangle 1643" o:spid="_x0000_s1026" o:spt="1" style="position:absolute;left:1387475;top:1539240;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OGUP7XAAAABQEAAA8AAAAA&#10;AAAAAQAgAAAAIgAAAGRycy9kb3ducmV2LnhtbFBLAQIUABQAAAAIAIdO4kDq7c+0FQIAACkEAAAO&#10;AAAAAAAAAAEAIAAAACYBAABkcnMvZTJvRG9jLnhtbFBLBQYAAAAABgAGAFkBAACtBQAAAAA=&#10;">
                  <v:fill on="f" focussize="0,0"/>
                  <v:stroke on="f"/>
                  <v:imagedata o:title=""/>
                  <o:lock v:ext="edit" aspectratio="f"/>
                  <v:textbox>
                    <w:txbxContent>
                      <w:p>
                        <w:pPr>
                          <w:jc w:val="center"/>
                        </w:pPr>
                        <w:r>
                          <w:rPr>
                            <w:rFonts w:hint="eastAsia"/>
                          </w:rPr>
                          <w:t>143.078</w:t>
                        </w:r>
                      </w:p>
                    </w:txbxContent>
                  </v:textbox>
                </v:rect>
                <v:rect id="Rectangle 1644" o:spid="_x0000_s1026" o:spt="1" style="position:absolute;left:2087245;top:674370;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zhlD+1wAAAAUBAAAPAAAA&#10;AAAAAAEAIAAAACIAAABkcnMvZG93bnJldi54bWxQSwECFAAUAAAACACHTuJA8afGbhYCAAAoBAAA&#10;DgAAAAAAAAABACAAAAAmAQAAZHJzL2Uyb0RvYy54bWxQSwUGAAAAAAYABgBZAQAArgUAAAAA&#10;">
                  <v:fill on="f" focussize="0,0"/>
                  <v:stroke on="f"/>
                  <v:imagedata o:title=""/>
                  <o:lock v:ext="edit" aspectratio="f"/>
                  <v:textbox>
                    <w:txbxContent>
                      <w:p>
                        <w:pPr>
                          <w:jc w:val="center"/>
                          <w:rPr>
                            <w:rFonts w:hint="default" w:eastAsia="宋体"/>
                            <w:color w:val="auto"/>
                            <w:lang w:val="en-US" w:eastAsia="zh-CN"/>
                          </w:rPr>
                        </w:pPr>
                        <w:r>
                          <w:rPr>
                            <w:rFonts w:hint="eastAsia"/>
                            <w:color w:val="auto"/>
                          </w:rPr>
                          <w:t>0.</w:t>
                        </w:r>
                        <w:r>
                          <w:rPr>
                            <w:rFonts w:hint="eastAsia"/>
                            <w:color w:val="auto"/>
                            <w:lang w:val="en-US" w:eastAsia="zh-CN"/>
                          </w:rPr>
                          <w:t>248</w:t>
                        </w:r>
                      </w:p>
                    </w:txbxContent>
                  </v:textbox>
                </v:rect>
                <v:rect id="Rectangle 1645" o:spid="_x0000_s1026" o:spt="1" style="position:absolute;left:3061335;top:928370;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c4ZQ/tcAAAAFAQAADwAAAAAA&#10;AAABACAAAAAiAAAAZHJzL2Rvd25yZXYueG1sUEsBAhQAFAAAAAgAh07iQEvinfsUAgAAKAQAAA4A&#10;AAAAAAAAAQAgAAAAJgEAAGRycy9lMm9Eb2MueG1sUEsFBgAAAAAGAAYAWQEAAKwFAAAAAA==&#10;">
                  <v:fill on="f" focussize="0,0"/>
                  <v:stroke on="f"/>
                  <v:imagedata o:title=""/>
                  <o:lock v:ext="edit" aspectratio="f"/>
                  <v:textbox>
                    <w:txbxContent>
                      <w:p>
                        <w:pPr>
                          <w:jc w:val="center"/>
                        </w:pPr>
                        <w:r>
                          <w:rPr>
                            <w:rFonts w:hint="eastAsia"/>
                          </w:rPr>
                          <w:t>127.984</w:t>
                        </w:r>
                      </w:p>
                    </w:txbxContent>
                  </v:textbox>
                </v:rect>
                <v:rect id="Rectangle 1646" o:spid="_x0000_s1026" o:spt="1" style="position:absolute;left:3132455;top:1539240;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zhlD+1wAAAAUBAAAPAAAA&#10;AAAAAAEAIAAAACIAAABkcnMvZG93bnJldi54bWxQSwECFAAUAAAACACHTuJAk7AB4xYCAAApBAAA&#10;DgAAAAAAAAABACAAAAAmAQAAZHJzL2Uyb0RvYy54bWxQSwUGAAAAAAYABgBZAQAArgUAAAAA&#10;">
                  <v:fill on="f" focussize="0,0"/>
                  <v:stroke on="f"/>
                  <v:imagedata o:title=""/>
                  <o:lock v:ext="edit" aspectratio="f"/>
                  <v:textbox>
                    <w:txbxContent>
                      <w:p>
                        <w:pPr>
                          <w:jc w:val="center"/>
                          <w:rPr>
                            <w:rFonts w:hint="default" w:eastAsia="宋体"/>
                            <w:color w:val="auto"/>
                            <w:lang w:val="en-US" w:eastAsia="zh-CN"/>
                          </w:rPr>
                        </w:pPr>
                        <w:r>
                          <w:rPr>
                            <w:rFonts w:hint="eastAsia"/>
                            <w:color w:val="auto"/>
                          </w:rPr>
                          <w:t>14.</w:t>
                        </w:r>
                        <w:r>
                          <w:rPr>
                            <w:rFonts w:hint="eastAsia"/>
                            <w:color w:val="auto"/>
                            <w:lang w:val="en-US" w:eastAsia="zh-CN"/>
                          </w:rPr>
                          <w:t>166</w:t>
                        </w:r>
                      </w:p>
                    </w:txbxContent>
                  </v:textbox>
                </v:rect>
                <v:rect id="Rectangle 1647" o:spid="_x0000_s1026" o:spt="1" style="position:absolute;left:3112135;top:2173605;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zhlD+1wAAAAUBAAAPAAAA&#10;AAAAAAEAIAAAACIAAABkcnMvZG93bnJldi54bWxQSwECFAAUAAAACACHTuJAGnHh5xYCAAApBAAA&#10;DgAAAAAAAAABACAAAAAmAQAAZHJzL2Uyb0RvYy54bWxQSwUGAAAAAAYABgBZAQAArgUAAAAA&#10;">
                  <v:fill on="f" focussize="0,0"/>
                  <v:stroke on="f"/>
                  <v:imagedata o:title=""/>
                  <o:lock v:ext="edit" aspectratio="f"/>
                  <v:textbox>
                    <w:txbxContent>
                      <w:p>
                        <w:pPr>
                          <w:jc w:val="center"/>
                        </w:pPr>
                        <w:r>
                          <w:rPr>
                            <w:rFonts w:hint="eastAsia"/>
                          </w:rPr>
                          <w:t>0.6742</w:t>
                        </w:r>
                      </w:p>
                    </w:txbxContent>
                  </v:textbox>
                </v:rect>
                <v:rect id="Rectangle 1648" o:spid="_x0000_s1026" o:spt="1" style="position:absolute;left:2442845;top:1539240;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zhlD+1wAAAAUBAAAPAAAA&#10;AAAAAAEAIAAAACIAAABkcnMvZG93bnJldi54bWxQSwECFAAUAAAACACHTuJA2evvwBYCAAApBAAA&#10;DgAAAAAAAAABACAAAAAmAQAAZHJzL2Uyb0RvYy54bWxQSwUGAAAAAAYABgBZAQAArgUAAAAA&#10;">
                  <v:fill on="f" focussize="0,0"/>
                  <v:stroke on="f"/>
                  <v:imagedata o:title=""/>
                  <o:lock v:ext="edit" aspectratio="f"/>
                  <v:textbox>
                    <w:txbxContent>
                      <w:p>
                        <w:pPr>
                          <w:jc w:val="center"/>
                          <w:rPr>
                            <w:rFonts w:hint="default" w:eastAsia="宋体"/>
                            <w:color w:val="auto"/>
                            <w:lang w:val="en-US" w:eastAsia="zh-CN"/>
                          </w:rPr>
                        </w:pPr>
                        <w:r>
                          <w:rPr>
                            <w:rFonts w:hint="eastAsia"/>
                            <w:color w:val="auto"/>
                          </w:rPr>
                          <w:t>142.</w:t>
                        </w:r>
                        <w:r>
                          <w:rPr>
                            <w:rFonts w:hint="eastAsia"/>
                            <w:color w:val="auto"/>
                            <w:lang w:val="en-US" w:eastAsia="zh-CN"/>
                          </w:rPr>
                          <w:t>83</w:t>
                        </w:r>
                      </w:p>
                    </w:txbxContent>
                  </v:textbox>
                </v:rect>
                <v:rect id="Rectangle 1649" o:spid="_x0000_s1026" o:spt="1" style="position:absolute;left:4819015;top:2228850;height:316865;width:863600;"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tuZKK9QAAAAFAQAADwAAAAAAAAABACAA&#10;AAAiAAAAZHJzL2Rvd25yZXYueG1sUEsBAhQAFAAAAAgAh07iQCgCVv1KAgAApgQAAA4AAAAAAAAA&#10;AQAgAAAAIwEAAGRycy9lMm9Eb2MueG1sUEsFBgAAAAAGAAYAWQEAAN8FAAAAAA==&#10;">
                  <v:fill on="t" focussize="0,0"/>
                  <v:stroke color="#000000" miterlimit="8" joinstyle="miter"/>
                  <v:imagedata o:title=""/>
                  <o:lock v:ext="edit" aspectratio="f"/>
                  <v:textbox>
                    <w:txbxContent>
                      <w:p>
                        <w:pPr>
                          <w:jc w:val="center"/>
                        </w:pPr>
                        <w:r>
                          <w:t>蒸发结晶盐</w:t>
                        </w:r>
                      </w:p>
                    </w:txbxContent>
                  </v:textbox>
                </v:rect>
                <v:shape id="AutoShape 1650" o:spid="_x0000_s1026" o:spt="32" type="#_x0000_t32" style="position:absolute;left:4329430;top:2387600;height:635;width:489585;" filled="f" stroked="t" coordsize="21600,21600" o:gfxdata="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Jq3m9YA&#10;AAAFAQAADwAAAAAAAAABACAAAAAiAAAAZHJzL2Rvd25yZXYueG1sUEsBAhQAFAAAAAgAh07iQBfl&#10;KD0hAgAAOQQAAA4AAAAAAAAAAQAgAAAAJQEAAGRycy9lMm9Eb2MueG1sUEsFBgAAAAAGAAYAWQEA&#10;ALgFAAAAAA==&#10;">
                  <v:fill on="f" focussize="0,0"/>
                  <v:stroke color="#000000" joinstyle="round" endarrow="block"/>
                  <v:imagedata o:title=""/>
                  <o:lock v:ext="edit" aspectratio="f"/>
                </v:shape>
                <v:rect id="Rectangle 1651" o:spid="_x0000_s1026" o:spt="1" style="position:absolute;left:4231005;top:2173605;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zhlD+1wAAAAUBAAAPAAAA&#10;AAAAAAEAIAAAACIAAABkcnMvZG93bnJldi54bWxQSwECFAAUAAAACACHTuJARm6HgxYCAAApBAAA&#10;DgAAAAAAAAABACAAAAAmAQAAZHJzL2Uyb0RvYy54bWxQSwUGAAAAAAYABgBZAQAArgUAAAAA&#10;">
                  <v:fill on="f" focussize="0,0"/>
                  <v:stroke on="f"/>
                  <v:imagedata o:title=""/>
                  <o:lock v:ext="edit" aspectratio="f"/>
                  <v:textbox>
                    <w:txbxContent>
                      <w:p>
                        <w:pPr>
                          <w:jc w:val="center"/>
                        </w:pPr>
                        <w:r>
                          <w:rPr>
                            <w:rFonts w:hint="eastAsia"/>
                          </w:rPr>
                          <w:t>0.6742</w:t>
                        </w:r>
                      </w:p>
                    </w:txbxContent>
                  </v:textbox>
                </v:rect>
                <v:rect id="Rectangle 1652" o:spid="_x0000_s1026" o:spt="1" style="position:absolute;left:3801745;top:2779395;height:316865;width:644525;" fillcolor="#FFFFFF" filled="t" stroked="t" coordsize="21600,21600" o:gfxdata="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25kor1AAAAAUBAAAPAAAAAAAAAAEAIAAA&#10;ACIAAABkcnMvZG93bnJldi54bWxQSwECFAAUAAAACACHTuJA6j9bRUkCAACmBAAADgAAAAAAAAAB&#10;ACAAAAAjAQAAZHJzL2Uyb0RvYy54bWxQSwUGAAAAAAYABgBZAQAA3gUAAAAA&#10;">
                  <v:fill on="t" focussize="0,0"/>
                  <v:stroke color="#000000" miterlimit="8" joinstyle="miter"/>
                  <v:imagedata o:title=""/>
                  <o:lock v:ext="edit" aspectratio="f"/>
                  <v:textbox>
                    <w:txbxContent>
                      <w:p>
                        <w:pPr>
                          <w:jc w:val="center"/>
                        </w:pPr>
                        <w:r>
                          <w:t>铬酸雾</w:t>
                        </w:r>
                      </w:p>
                    </w:txbxContent>
                  </v:textbox>
                </v:rect>
                <v:shape id="AutoShape 1653" o:spid="_x0000_s1026" o:spt="34" type="#_x0000_t34" style="position:absolute;left:2524125;top:1757680;height:1180465;width:1277620;" filled="f" stroked="t" coordsize="21600,21600" o:gfxdata="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Paj9/9IAAAAFAQAADwAAAAAAAAABACAAAAAiAAAAZHJzL2Rv&#10;d25yZXYueG1sUEsBAhQAFAAAAAgAh07iQCgCKh1AAgAAdAQAAA4AAAAAAAAAAQAgAAAAIQEAAGRy&#10;cy9lMm9Eb2MueG1sUEsFBgAAAAAGAAYAWQEAANMFAAAAAA==&#10;" adj="10789">
                  <v:fill on="f" focussize="0,0"/>
                  <v:stroke color="#000000" miterlimit="8" joinstyle="miter" endarrow="block"/>
                  <v:imagedata o:title=""/>
                  <o:lock v:ext="edit" aspectratio="f"/>
                </v:shape>
                <v:rect id="Rectangle 1654" o:spid="_x0000_s1026" o:spt="1" style="position:absolute;left:3071495;top:2701290;height:318135;width:760730;" filled="f" stroked="f" coordsize="21600,21600" o:gfxdata="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4ZQ/tcAAAAFAQAADwAA&#10;AAAAAAABACAAAAAiAAAAZHJzL2Rvd25yZXYueG1sUEsBAhQAFAAAAAgAh07iQCtPNygXAgAAKQQA&#10;AA4AAAAAAAAAAQAgAAAAJgEAAGRycy9lMm9Eb2MueG1sUEsFBgAAAAAGAAYAWQEAAK8FAAAAAA==&#10;">
                  <v:fill on="f" focussize="0,0"/>
                  <v:stroke on="f"/>
                  <v:imagedata o:title=""/>
                  <o:lock v:ext="edit" aspectratio="f"/>
                  <v:textbox>
                    <w:txbxContent>
                      <w:p>
                        <w:pPr>
                          <w:jc w:val="center"/>
                        </w:pPr>
                        <w:r>
                          <w:rPr>
                            <w:rFonts w:hint="eastAsia"/>
                          </w:rPr>
                          <w:t>0.0058</w:t>
                        </w:r>
                      </w:p>
                    </w:txbxContent>
                  </v:textbox>
                </v:rect>
                <w10:wrap type="none"/>
                <w10:anchorlock/>
              </v:group>
            </w:pict>
          </mc:Fallback>
        </mc:AlternateContent>
      </w:r>
    </w:p>
    <w:p>
      <w:pPr>
        <w:pStyle w:val="271"/>
        <w:keepNext w:val="0"/>
        <w:keepLines w:val="0"/>
        <w:snapToGrid w:val="0"/>
        <w:spacing w:before="0" w:beforeLines="0" w:after="0" w:afterLines="0"/>
        <w:jc w:val="center"/>
        <w:outlineLvl w:val="9"/>
        <w:rPr>
          <w:rFonts w:hint="eastAsia" w:cs="Times New Roman"/>
          <w:color w:val="auto"/>
          <w:kern w:val="21"/>
          <w:szCs w:val="24"/>
          <w:u w:val="single"/>
        </w:rPr>
      </w:pPr>
    </w:p>
    <w:p>
      <w:pPr>
        <w:pStyle w:val="271"/>
        <w:keepNext w:val="0"/>
        <w:keepLines w:val="0"/>
        <w:snapToGrid w:val="0"/>
        <w:spacing w:before="0" w:beforeLines="0" w:after="0" w:afterLines="0"/>
        <w:jc w:val="center"/>
        <w:outlineLvl w:val="9"/>
        <w:rPr>
          <w:rFonts w:eastAsia="宋体" w:cs="Times New Roman"/>
          <w:color w:val="auto"/>
          <w:kern w:val="21"/>
          <w:szCs w:val="24"/>
          <w:u w:val="single"/>
        </w:rPr>
        <w:sectPr>
          <w:footerReference r:id="rId11" w:type="default"/>
          <w:pgSz w:w="11907" w:h="16840"/>
          <w:pgMar w:top="1440" w:right="1800" w:bottom="1440" w:left="1800" w:header="1134" w:footer="1134" w:gutter="0"/>
          <w:cols w:space="720" w:num="1"/>
        </w:sectPr>
      </w:pPr>
      <w:r>
        <w:rPr>
          <w:rFonts w:hint="eastAsia" w:cs="Times New Roman"/>
          <w:color w:val="auto"/>
          <w:kern w:val="21"/>
          <w:szCs w:val="24"/>
          <w:u w:val="single"/>
        </w:rPr>
        <w:t>图3.3-6  铬元素平衡图</w:t>
      </w:r>
      <w:r>
        <w:rPr>
          <w:rFonts w:hint="eastAsia" w:eastAsia="宋体" w:cs="Times New Roman"/>
          <w:color w:val="auto"/>
          <w:kern w:val="21"/>
          <w:szCs w:val="24"/>
          <w:u w:val="single"/>
        </w:rPr>
        <w:t xml:space="preserve">      </w:t>
      </w:r>
      <w:r>
        <w:rPr>
          <w:rFonts w:hint="eastAsia" w:cs="Times New Roman"/>
          <w:color w:val="auto"/>
          <w:kern w:val="21"/>
          <w:szCs w:val="24"/>
          <w:u w:val="single"/>
        </w:rPr>
        <w:t>单位：t/a</w:t>
      </w:r>
    </w:p>
    <w:p>
      <w:pPr>
        <w:pStyle w:val="271"/>
        <w:keepNext w:val="0"/>
        <w:keepLines w:val="0"/>
        <w:snapToGrid w:val="0"/>
        <w:spacing w:before="0" w:beforeLines="0" w:after="0" w:afterLines="0"/>
        <w:rPr>
          <w:rFonts w:cs="Times New Roman"/>
          <w:b/>
          <w:bCs/>
          <w:color w:val="auto"/>
          <w:kern w:val="21"/>
          <w:sz w:val="28"/>
          <w:szCs w:val="28"/>
          <w:u w:val="single"/>
        </w:rPr>
      </w:pPr>
      <w:r>
        <w:rPr>
          <w:rFonts w:cs="Times New Roman"/>
          <w:b/>
          <w:bCs/>
          <w:color w:val="auto"/>
          <w:kern w:val="21"/>
          <w:sz w:val="28"/>
          <w:szCs w:val="28"/>
          <w:u w:val="single"/>
        </w:rPr>
        <w:t>3.3.</w:t>
      </w:r>
      <w:r>
        <w:rPr>
          <w:rFonts w:hint="eastAsia" w:cs="Times New Roman"/>
          <w:b/>
          <w:bCs/>
          <w:color w:val="auto"/>
          <w:kern w:val="21"/>
          <w:sz w:val="28"/>
          <w:szCs w:val="28"/>
          <w:u w:val="single"/>
        </w:rPr>
        <w:t>5</w:t>
      </w:r>
      <w:r>
        <w:rPr>
          <w:rFonts w:cs="Times New Roman"/>
          <w:b/>
          <w:bCs/>
          <w:color w:val="auto"/>
          <w:kern w:val="21"/>
          <w:sz w:val="28"/>
          <w:szCs w:val="28"/>
          <w:u w:val="single"/>
        </w:rPr>
        <w:t>水平衡</w:t>
      </w:r>
    </w:p>
    <w:p>
      <w:pPr>
        <w:jc w:val="center"/>
        <w:rPr>
          <w:rFonts w:eastAsia="黑体"/>
          <w:b/>
          <w:bCs w:val="0"/>
          <w:color w:val="auto"/>
          <w:kern w:val="21"/>
          <w:sz w:val="24"/>
          <w:szCs w:val="24"/>
          <w:u w:val="single"/>
        </w:rPr>
      </w:pPr>
      <w:r>
        <w:rPr>
          <w:rFonts w:eastAsia="黑体"/>
          <w:b/>
          <w:bCs w:val="0"/>
          <w:color w:val="auto"/>
          <w:kern w:val="21"/>
          <w:sz w:val="24"/>
          <w:szCs w:val="24"/>
          <w:u w:val="single"/>
          <w:lang w:bidi="ar"/>
        </w:rPr>
        <w:t>表3.3-</w:t>
      </w:r>
      <w:r>
        <w:rPr>
          <w:rFonts w:hint="eastAsia" w:eastAsia="黑体"/>
          <w:b/>
          <w:bCs w:val="0"/>
          <w:color w:val="auto"/>
          <w:kern w:val="21"/>
          <w:sz w:val="24"/>
          <w:szCs w:val="24"/>
          <w:u w:val="single"/>
          <w:lang w:bidi="ar"/>
        </w:rPr>
        <w:t>16</w:t>
      </w:r>
      <w:r>
        <w:rPr>
          <w:rFonts w:eastAsia="黑体"/>
          <w:b/>
          <w:bCs w:val="0"/>
          <w:color w:val="auto"/>
          <w:kern w:val="21"/>
          <w:sz w:val="24"/>
          <w:szCs w:val="24"/>
          <w:u w:val="single"/>
          <w:lang w:bidi="ar"/>
        </w:rPr>
        <w:t xml:space="preserve">    项目用水及排水情况表</w:t>
      </w:r>
    </w:p>
    <w:tbl>
      <w:tblPr>
        <w:tblStyle w:val="83"/>
        <w:tblW w:w="50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027"/>
        <w:gridCol w:w="1100"/>
        <w:gridCol w:w="442"/>
        <w:gridCol w:w="975"/>
        <w:gridCol w:w="1420"/>
        <w:gridCol w:w="851"/>
        <w:gridCol w:w="1131"/>
        <w:gridCol w:w="707"/>
        <w:gridCol w:w="710"/>
        <w:gridCol w:w="849"/>
        <w:gridCol w:w="798"/>
        <w:gridCol w:w="1140"/>
        <w:gridCol w:w="1040"/>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生产线名称</w:t>
            </w:r>
          </w:p>
        </w:tc>
        <w:tc>
          <w:tcPr>
            <w:tcW w:w="363"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槽体名称</w:t>
            </w:r>
          </w:p>
        </w:tc>
        <w:tc>
          <w:tcPr>
            <w:tcW w:w="388"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单条生产线数量（个）</w:t>
            </w:r>
          </w:p>
        </w:tc>
        <w:tc>
          <w:tcPr>
            <w:tcW w:w="500" w:type="pct"/>
            <w:gridSpan w:val="2"/>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尺寸（m）</w:t>
            </w:r>
          </w:p>
          <w:p>
            <w:pPr>
              <w:adjustRightInd w:val="0"/>
              <w:snapToGrid w:val="0"/>
              <w:jc w:val="center"/>
              <w:rPr>
                <w:b/>
                <w:bCs w:val="0"/>
                <w:color w:val="auto"/>
                <w:kern w:val="21"/>
                <w:u w:val="single"/>
                <w:lang w:bidi="ar"/>
              </w:rPr>
            </w:pPr>
            <w:r>
              <w:rPr>
                <w:b/>
                <w:bCs w:val="0"/>
                <w:color w:val="auto"/>
                <w:kern w:val="21"/>
                <w:u w:val="single"/>
                <w:lang w:bidi="ar"/>
              </w:rPr>
              <w:t>长×宽×高</w:t>
            </w:r>
          </w:p>
        </w:tc>
        <w:tc>
          <w:tcPr>
            <w:tcW w:w="502"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 xml:space="preserve">溶液总容积 </w:t>
            </w:r>
          </w:p>
          <w:p>
            <w:pPr>
              <w:adjustRightInd w:val="0"/>
              <w:snapToGrid w:val="0"/>
              <w:jc w:val="center"/>
              <w:rPr>
                <w:b/>
                <w:bCs w:val="0"/>
                <w:color w:val="auto"/>
                <w:kern w:val="21"/>
                <w:u w:val="single"/>
                <w:lang w:bidi="ar"/>
              </w:rPr>
            </w:pPr>
            <w:r>
              <w:rPr>
                <w:b/>
                <w:bCs w:val="0"/>
                <w:color w:val="auto"/>
                <w:kern w:val="21"/>
                <w:u w:val="single"/>
                <w:lang w:bidi="ar"/>
              </w:rPr>
              <w:t>（m</w:t>
            </w:r>
            <w:r>
              <w:rPr>
                <w:b/>
                <w:bCs w:val="0"/>
                <w:color w:val="auto"/>
                <w:kern w:val="21"/>
                <w:u w:val="single"/>
                <w:vertAlign w:val="superscript"/>
                <w:lang w:bidi="ar"/>
              </w:rPr>
              <w:t>3</w:t>
            </w:r>
            <w:r>
              <w:rPr>
                <w:b/>
                <w:bCs w:val="0"/>
                <w:color w:val="auto"/>
                <w:kern w:val="21"/>
                <w:u w:val="single"/>
                <w:lang w:bidi="ar"/>
              </w:rPr>
              <w:t>）</w:t>
            </w:r>
          </w:p>
        </w:tc>
        <w:tc>
          <w:tcPr>
            <w:tcW w:w="300"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工作时间h/d</w:t>
            </w:r>
          </w:p>
        </w:tc>
        <w:tc>
          <w:tcPr>
            <w:tcW w:w="399"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排放方式</w:t>
            </w:r>
          </w:p>
        </w:tc>
        <w:tc>
          <w:tcPr>
            <w:tcW w:w="249"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溢流速度</w:t>
            </w:r>
          </w:p>
          <w:p>
            <w:pPr>
              <w:adjustRightInd w:val="0"/>
              <w:snapToGrid w:val="0"/>
              <w:jc w:val="center"/>
              <w:rPr>
                <w:b/>
                <w:bCs w:val="0"/>
                <w:color w:val="auto"/>
                <w:kern w:val="21"/>
                <w:u w:val="single"/>
                <w:lang w:bidi="ar"/>
              </w:rPr>
            </w:pPr>
            <w:r>
              <w:rPr>
                <w:b/>
                <w:bCs w:val="0"/>
                <w:color w:val="auto"/>
                <w:kern w:val="21"/>
                <w:u w:val="single"/>
                <w:lang w:bidi="ar"/>
              </w:rPr>
              <w:t>L/</w:t>
            </w:r>
            <w:r>
              <w:rPr>
                <w:rFonts w:hint="eastAsia"/>
                <w:b/>
                <w:bCs w:val="0"/>
                <w:color w:val="auto"/>
                <w:kern w:val="21"/>
                <w:u w:val="single"/>
                <w:lang w:bidi="ar"/>
              </w:rPr>
              <w:t>h</w:t>
            </w:r>
          </w:p>
        </w:tc>
        <w:tc>
          <w:tcPr>
            <w:tcW w:w="551" w:type="pct"/>
            <w:gridSpan w:val="2"/>
            <w:vAlign w:val="center"/>
          </w:tcPr>
          <w:p>
            <w:pPr>
              <w:adjustRightInd w:val="0"/>
              <w:snapToGrid w:val="0"/>
              <w:jc w:val="center"/>
              <w:rPr>
                <w:b/>
                <w:bCs w:val="0"/>
                <w:color w:val="auto"/>
                <w:kern w:val="21"/>
                <w:u w:val="single"/>
                <w:lang w:bidi="ar"/>
              </w:rPr>
            </w:pPr>
            <w:r>
              <w:rPr>
                <w:b/>
                <w:bCs w:val="0"/>
                <w:color w:val="auto"/>
                <w:kern w:val="21"/>
                <w:u w:val="single"/>
                <w:lang w:bidi="ar"/>
              </w:rPr>
              <w:t>用水（m</w:t>
            </w:r>
            <w:r>
              <w:rPr>
                <w:b/>
                <w:bCs w:val="0"/>
                <w:color w:val="auto"/>
                <w:kern w:val="21"/>
                <w:u w:val="single"/>
                <w:vertAlign w:val="superscript"/>
                <w:lang w:bidi="ar"/>
              </w:rPr>
              <w:t>3</w:t>
            </w:r>
            <w:r>
              <w:rPr>
                <w:b/>
                <w:bCs w:val="0"/>
                <w:color w:val="auto"/>
                <w:kern w:val="21"/>
                <w:u w:val="single"/>
                <w:lang w:bidi="ar"/>
              </w:rPr>
              <w:t>/d）</w:t>
            </w:r>
          </w:p>
        </w:tc>
        <w:tc>
          <w:tcPr>
            <w:tcW w:w="1504" w:type="pct"/>
            <w:gridSpan w:val="4"/>
            <w:vAlign w:val="center"/>
          </w:tcPr>
          <w:p>
            <w:pPr>
              <w:adjustRightInd w:val="0"/>
              <w:snapToGrid w:val="0"/>
              <w:jc w:val="center"/>
              <w:rPr>
                <w:b/>
                <w:bCs w:val="0"/>
                <w:color w:val="auto"/>
                <w:kern w:val="21"/>
                <w:u w:val="single"/>
                <w:lang w:bidi="ar"/>
              </w:rPr>
            </w:pPr>
            <w:r>
              <w:rPr>
                <w:b/>
                <w:bCs w:val="0"/>
                <w:color w:val="auto"/>
                <w:kern w:val="21"/>
                <w:u w:val="single"/>
                <w:lang w:bidi="ar"/>
              </w:rPr>
              <w:t>废水（m</w:t>
            </w:r>
            <w:r>
              <w:rPr>
                <w:b/>
                <w:bCs w:val="0"/>
                <w:color w:val="auto"/>
                <w:kern w:val="21"/>
                <w:u w:val="single"/>
                <w:vertAlign w:val="superscript"/>
                <w:lang w:bidi="ar"/>
              </w:rPr>
              <w:t>3</w:t>
            </w:r>
            <w:r>
              <w:rPr>
                <w:b/>
                <w:bCs w:val="0"/>
                <w:color w:val="auto"/>
                <w:kern w:val="21"/>
                <w:u w:val="single"/>
                <w:lang w:bidi="ar"/>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Merge w:val="continue"/>
            <w:vAlign w:val="center"/>
          </w:tcPr>
          <w:p>
            <w:pPr>
              <w:adjustRightInd w:val="0"/>
              <w:snapToGrid w:val="0"/>
              <w:jc w:val="center"/>
              <w:rPr>
                <w:b/>
                <w:bCs w:val="0"/>
                <w:color w:val="auto"/>
                <w:kern w:val="21"/>
                <w:u w:val="single"/>
                <w:lang w:bidi="ar"/>
              </w:rPr>
            </w:pPr>
          </w:p>
        </w:tc>
        <w:tc>
          <w:tcPr>
            <w:tcW w:w="388" w:type="pct"/>
            <w:vMerge w:val="continue"/>
            <w:vAlign w:val="center"/>
          </w:tcPr>
          <w:p>
            <w:pPr>
              <w:adjustRightInd w:val="0"/>
              <w:snapToGrid w:val="0"/>
              <w:jc w:val="center"/>
              <w:rPr>
                <w:b/>
                <w:bCs w:val="0"/>
                <w:color w:val="auto"/>
                <w:kern w:val="21"/>
                <w:u w:val="single"/>
                <w:lang w:bidi="ar"/>
              </w:rPr>
            </w:pPr>
          </w:p>
        </w:tc>
        <w:tc>
          <w:tcPr>
            <w:tcW w:w="500" w:type="pct"/>
            <w:gridSpan w:val="2"/>
            <w:vMerge w:val="continue"/>
            <w:vAlign w:val="center"/>
          </w:tcPr>
          <w:p>
            <w:pPr>
              <w:adjustRightInd w:val="0"/>
              <w:snapToGrid w:val="0"/>
              <w:jc w:val="center"/>
              <w:rPr>
                <w:b/>
                <w:bCs w:val="0"/>
                <w:color w:val="auto"/>
                <w:kern w:val="21"/>
                <w:u w:val="single"/>
                <w:lang w:bidi="ar"/>
              </w:rPr>
            </w:pPr>
          </w:p>
        </w:tc>
        <w:tc>
          <w:tcPr>
            <w:tcW w:w="502" w:type="pct"/>
            <w:vMerge w:val="continue"/>
            <w:vAlign w:val="center"/>
          </w:tcPr>
          <w:p>
            <w:pPr>
              <w:adjustRightInd w:val="0"/>
              <w:snapToGrid w:val="0"/>
              <w:jc w:val="center"/>
              <w:rPr>
                <w:b/>
                <w:bCs w:val="0"/>
                <w:color w:val="auto"/>
                <w:kern w:val="21"/>
                <w:u w:val="single"/>
                <w:lang w:bidi="ar"/>
              </w:rPr>
            </w:pPr>
          </w:p>
        </w:tc>
        <w:tc>
          <w:tcPr>
            <w:tcW w:w="300" w:type="pct"/>
            <w:vMerge w:val="continue"/>
            <w:vAlign w:val="center"/>
          </w:tcPr>
          <w:p>
            <w:pPr>
              <w:adjustRightInd w:val="0"/>
              <w:snapToGrid w:val="0"/>
              <w:jc w:val="center"/>
              <w:rPr>
                <w:b/>
                <w:bCs w:val="0"/>
                <w:color w:val="auto"/>
                <w:kern w:val="21"/>
                <w:u w:val="single"/>
                <w:lang w:bidi="ar"/>
              </w:rPr>
            </w:pPr>
          </w:p>
        </w:tc>
        <w:tc>
          <w:tcPr>
            <w:tcW w:w="399" w:type="pct"/>
            <w:vMerge w:val="continue"/>
            <w:vAlign w:val="center"/>
          </w:tcPr>
          <w:p>
            <w:pPr>
              <w:adjustRightInd w:val="0"/>
              <w:snapToGrid w:val="0"/>
              <w:jc w:val="center"/>
              <w:rPr>
                <w:b/>
                <w:bCs w:val="0"/>
                <w:color w:val="auto"/>
                <w:kern w:val="21"/>
                <w:u w:val="single"/>
                <w:lang w:bidi="ar"/>
              </w:rPr>
            </w:pPr>
          </w:p>
        </w:tc>
        <w:tc>
          <w:tcPr>
            <w:tcW w:w="249" w:type="pct"/>
            <w:vMerge w:val="continue"/>
            <w:vAlign w:val="center"/>
          </w:tcPr>
          <w:p>
            <w:pPr>
              <w:adjustRightInd w:val="0"/>
              <w:snapToGrid w:val="0"/>
              <w:jc w:val="center"/>
              <w:rPr>
                <w:b/>
                <w:bCs w:val="0"/>
                <w:color w:val="auto"/>
                <w:kern w:val="21"/>
                <w:u w:val="single"/>
                <w:lang w:bidi="ar"/>
              </w:rPr>
            </w:pPr>
          </w:p>
        </w:tc>
        <w:tc>
          <w:tcPr>
            <w:tcW w:w="251" w:type="pct"/>
            <w:vAlign w:val="center"/>
          </w:tcPr>
          <w:p>
            <w:pPr>
              <w:adjustRightInd w:val="0"/>
              <w:snapToGrid w:val="0"/>
              <w:jc w:val="center"/>
              <w:rPr>
                <w:b/>
                <w:bCs w:val="0"/>
                <w:color w:val="auto"/>
                <w:kern w:val="21"/>
                <w:u w:val="single"/>
                <w:lang w:bidi="ar"/>
              </w:rPr>
            </w:pPr>
            <w:r>
              <w:rPr>
                <w:b/>
                <w:bCs w:val="0"/>
                <w:color w:val="auto"/>
                <w:kern w:val="21"/>
                <w:u w:val="single"/>
                <w:lang w:bidi="ar"/>
              </w:rPr>
              <w:t>水量</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来源</w:t>
            </w:r>
          </w:p>
        </w:tc>
        <w:tc>
          <w:tcPr>
            <w:tcW w:w="282" w:type="pct"/>
            <w:vAlign w:val="center"/>
          </w:tcPr>
          <w:p>
            <w:pPr>
              <w:adjustRightInd w:val="0"/>
              <w:snapToGrid w:val="0"/>
              <w:jc w:val="center"/>
              <w:rPr>
                <w:b/>
                <w:bCs w:val="0"/>
                <w:color w:val="auto"/>
                <w:kern w:val="21"/>
                <w:u w:val="single"/>
                <w:lang w:bidi="ar"/>
              </w:rPr>
            </w:pPr>
            <w:r>
              <w:rPr>
                <w:b/>
                <w:bCs w:val="0"/>
                <w:color w:val="auto"/>
                <w:kern w:val="21"/>
                <w:u w:val="single"/>
                <w:lang w:bidi="ar"/>
              </w:rPr>
              <w:t>水量</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类型</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更换</w:t>
            </w:r>
          </w:p>
          <w:p>
            <w:pPr>
              <w:adjustRightInd w:val="0"/>
              <w:snapToGrid w:val="0"/>
              <w:jc w:val="center"/>
              <w:rPr>
                <w:b/>
                <w:bCs w:val="0"/>
                <w:color w:val="auto"/>
                <w:kern w:val="21"/>
                <w:u w:val="single"/>
                <w:lang w:bidi="ar"/>
              </w:rPr>
            </w:pPr>
            <w:r>
              <w:rPr>
                <w:b/>
                <w:bCs w:val="0"/>
                <w:color w:val="auto"/>
                <w:kern w:val="21"/>
                <w:u w:val="single"/>
                <w:lang w:bidi="ar"/>
              </w:rPr>
              <w:t xml:space="preserve">频率 </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restar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6条电池壳镀镍</w:t>
            </w:r>
            <w:r>
              <w:rPr>
                <w:b/>
                <w:bCs w:val="0"/>
                <w:color w:val="auto"/>
                <w:kern w:val="21"/>
                <w:u w:val="single"/>
                <w:lang w:bidi="ar"/>
              </w:rPr>
              <w:t>线</w:t>
            </w: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除油槽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0.7</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2.1</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9</w:t>
            </w:r>
            <w:r>
              <w:rPr>
                <w:b/>
                <w:bCs w:val="0"/>
                <w:color w:val="auto"/>
                <w:kern w:val="21"/>
                <w:u w:val="single"/>
                <w:lang w:bidi="ar"/>
              </w:rPr>
              <w:t>×0.9=</w:t>
            </w:r>
            <w:r>
              <w:rPr>
                <w:rFonts w:hint="eastAsia"/>
                <w:b/>
                <w:bCs w:val="0"/>
                <w:color w:val="auto"/>
                <w:kern w:val="21"/>
                <w:u w:val="single"/>
                <w:lang w:bidi="ar"/>
              </w:rPr>
              <w:t>102.06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1.89</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1.701</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2月1次</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热水</w:t>
            </w:r>
          </w:p>
          <w:p>
            <w:pPr>
              <w:adjustRightInd w:val="0"/>
              <w:snapToGrid w:val="0"/>
              <w:jc w:val="center"/>
              <w:rPr>
                <w:b/>
                <w:bCs w:val="0"/>
                <w:color w:val="auto"/>
                <w:kern w:val="21"/>
                <w:u w:val="single"/>
                <w:lang w:bidi="ar"/>
              </w:rPr>
            </w:pPr>
            <w:r>
              <w:rPr>
                <w:b/>
                <w:bCs w:val="0"/>
                <w:color w:val="auto"/>
                <w:kern w:val="21"/>
                <w:u w:val="single"/>
                <w:lang w:bidi="ar"/>
              </w:rPr>
              <w:t>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jc w:val="center"/>
              <w:rPr>
                <w:b/>
                <w:bCs w:val="0"/>
                <w:color w:val="auto"/>
                <w:u w:val="single"/>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jc w:val="center"/>
              <w:rPr>
                <w:b/>
                <w:bCs w:val="0"/>
                <w:color w:val="auto"/>
                <w:u w:val="single"/>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酸洗槽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jc w:val="center"/>
              <w:rPr>
                <w:b/>
                <w:bCs w:val="0"/>
                <w:color w:val="auto"/>
                <w:u w:val="single"/>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25.92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4.114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3.703</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1周1</w:t>
            </w:r>
            <w:r>
              <w:rPr>
                <w:b/>
                <w:bCs w:val="0"/>
                <w:color w:val="auto"/>
                <w:kern w:val="21"/>
                <w:u w:val="single"/>
                <w:lang w:bidi="ar"/>
              </w:rPr>
              <w:t>次</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jc w:val="center"/>
              <w:rPr>
                <w:b/>
                <w:bCs w:val="0"/>
                <w:color w:val="auto"/>
                <w:u w:val="single"/>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酸活</w:t>
            </w:r>
          </w:p>
          <w:p>
            <w:pPr>
              <w:adjustRightInd w:val="0"/>
              <w:snapToGrid w:val="0"/>
              <w:jc w:val="center"/>
              <w:rPr>
                <w:b/>
                <w:bCs w:val="0"/>
                <w:color w:val="auto"/>
                <w:kern w:val="21"/>
                <w:u w:val="single"/>
                <w:lang w:bidi="ar"/>
              </w:rPr>
            </w:pPr>
            <w:r>
              <w:rPr>
                <w:b/>
                <w:bCs w:val="0"/>
                <w:color w:val="auto"/>
                <w:kern w:val="21"/>
                <w:u w:val="single"/>
                <w:lang w:bidi="ar"/>
              </w:rPr>
              <w:t>化槽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12.96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2.057</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1.851</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1周1</w:t>
            </w:r>
            <w:r>
              <w:rPr>
                <w:b/>
                <w:bCs w:val="0"/>
                <w:color w:val="auto"/>
                <w:kern w:val="21"/>
                <w:u w:val="single"/>
                <w:lang w:bidi="ar"/>
              </w:rPr>
              <w:t>次</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镀镍槽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40</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0.9</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2.7</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40</w:t>
            </w:r>
            <w:r>
              <w:rPr>
                <w:b/>
                <w:bCs w:val="0"/>
                <w:color w:val="auto"/>
                <w:kern w:val="21"/>
                <w:u w:val="single"/>
                <w:lang w:bidi="ar"/>
              </w:rPr>
              <w:t>×0.9=</w:t>
            </w:r>
            <w:r>
              <w:rPr>
                <w:rFonts w:hint="eastAsia"/>
                <w:b/>
                <w:bCs w:val="0"/>
                <w:color w:val="auto"/>
                <w:kern w:val="21"/>
                <w:u w:val="single"/>
                <w:lang w:bidi="ar"/>
              </w:rPr>
              <w:t>583.2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循环过滤</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5.832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镀液</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长期</w:t>
            </w:r>
          </w:p>
          <w:p>
            <w:pPr>
              <w:adjustRightInd w:val="0"/>
              <w:snapToGrid w:val="0"/>
              <w:jc w:val="center"/>
              <w:rPr>
                <w:b/>
                <w:bCs w:val="0"/>
                <w:color w:val="auto"/>
                <w:kern w:val="21"/>
                <w:u w:val="single"/>
                <w:lang w:bidi="ar"/>
              </w:rPr>
            </w:pPr>
            <w:r>
              <w:rPr>
                <w:b/>
                <w:bCs w:val="0"/>
                <w:color w:val="auto"/>
                <w:kern w:val="21"/>
                <w:u w:val="single"/>
                <w:lang w:bidi="ar"/>
              </w:rPr>
              <w:t>使用</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回收槽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12.96</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定期回流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镀液</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补给</w:t>
            </w:r>
          </w:p>
          <w:p>
            <w:pPr>
              <w:adjustRightInd w:val="0"/>
              <w:snapToGrid w:val="0"/>
              <w:jc w:val="center"/>
              <w:rPr>
                <w:b/>
                <w:bCs w:val="0"/>
                <w:color w:val="auto"/>
                <w:kern w:val="21"/>
                <w:u w:val="single"/>
                <w:lang w:bidi="ar"/>
              </w:rPr>
            </w:pPr>
            <w:r>
              <w:rPr>
                <w:b/>
                <w:bCs w:val="0"/>
                <w:color w:val="auto"/>
                <w:kern w:val="21"/>
                <w:u w:val="single"/>
                <w:lang w:bidi="ar"/>
              </w:rPr>
              <w:t>镀槽</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含镍废水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含镍废水预处理系统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漂白槽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25.92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0.96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0.864</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含镍废水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1月1次</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含镍废水预处理系统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含镍废水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含镍废水预处理系统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钝化槽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12.96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2.057</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bidi="ar"/>
              </w:rPr>
              <w:t>1.851</w:t>
            </w:r>
            <w:r>
              <w:rPr>
                <w:rFonts w:hint="eastAsia"/>
                <w:b/>
                <w:bCs w:val="0"/>
                <w:color w:val="auto"/>
                <w:kern w:val="21"/>
                <w:u w:val="single"/>
                <w:lang w:val="en-US" w:eastAsia="zh-CN" w:bidi="ar"/>
              </w:rPr>
              <w:t>3</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highlight w:val="yellow"/>
                <w:u w:val="single"/>
                <w:lang w:bidi="ar"/>
              </w:rPr>
            </w:pPr>
            <w:r>
              <w:rPr>
                <w:b/>
                <w:bCs w:val="0"/>
                <w:color w:val="auto"/>
                <w:kern w:val="21"/>
                <w:u w:val="single"/>
                <w:lang w:bidi="ar"/>
              </w:rPr>
              <w:t>1周</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adjustRightInd w:val="0"/>
              <w:snapToGrid w:val="0"/>
              <w:jc w:val="center"/>
              <w:rPr>
                <w:b/>
                <w:bCs w:val="0"/>
                <w:color w:val="auto"/>
                <w:kern w:val="21"/>
                <w:highlight w:val="yellow"/>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b/>
                <w:bCs w:val="0"/>
                <w:color w:val="auto"/>
                <w:kern w:val="21"/>
                <w:u w:val="single"/>
                <w:lang w:bidi="ar"/>
              </w:rPr>
              <w:t>3</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3=43.2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中和槽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2.286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2.057</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r>
              <w:rPr>
                <w:b/>
                <w:bCs w:val="0"/>
                <w:color w:val="auto"/>
                <w:kern w:val="21"/>
                <w:u w:val="single"/>
                <w:lang w:bidi="ar"/>
              </w:rPr>
              <w:t>周</w:t>
            </w:r>
            <w:r>
              <w:rPr>
                <w:rFonts w:hint="eastAsia"/>
                <w:b/>
                <w:bCs w:val="0"/>
                <w:color w:val="auto"/>
                <w:kern w:val="21"/>
                <w:u w:val="single"/>
                <w:lang w:bidi="ar"/>
              </w:rPr>
              <w:t>1</w:t>
            </w:r>
            <w:r>
              <w:rPr>
                <w:b/>
                <w:bCs w:val="0"/>
                <w:color w:val="auto"/>
                <w:kern w:val="21"/>
                <w:u w:val="single"/>
                <w:lang w:bidi="ar"/>
              </w:rPr>
              <w:t>次</w:t>
            </w:r>
          </w:p>
        </w:tc>
        <w:tc>
          <w:tcPr>
            <w:tcW w:w="451" w:type="pct"/>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封闭槽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25.92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10日1</w:t>
            </w:r>
            <w:r>
              <w:rPr>
                <w:b/>
                <w:bCs w:val="0"/>
                <w:color w:val="auto"/>
                <w:kern w:val="21"/>
                <w:u w:val="single"/>
                <w:lang w:bidi="ar"/>
              </w:rPr>
              <w:t>次</w:t>
            </w:r>
          </w:p>
        </w:tc>
        <w:tc>
          <w:tcPr>
            <w:tcW w:w="451" w:type="pct"/>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28.8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25.92</w:t>
            </w:r>
          </w:p>
        </w:tc>
        <w:tc>
          <w:tcPr>
            <w:tcW w:w="403" w:type="pct"/>
            <w:vAlign w:val="center"/>
          </w:tcPr>
          <w:p>
            <w:pPr>
              <w:jc w:val="center"/>
              <w:rPr>
                <w:b/>
                <w:bCs w:val="0"/>
                <w:color w:val="auto"/>
                <w:u w:val="single"/>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restar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3</w:t>
            </w:r>
            <w:r>
              <w:rPr>
                <w:b/>
                <w:bCs w:val="0"/>
                <w:color w:val="auto"/>
                <w:kern w:val="21"/>
                <w:u w:val="single"/>
                <w:lang w:bidi="ar"/>
              </w:rPr>
              <w:t>条盖帽镀镍线</w:t>
            </w: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除油槽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3</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0.7</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2.1</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×0.9=</w:t>
            </w:r>
            <w:r>
              <w:rPr>
                <w:rFonts w:hint="eastAsia"/>
                <w:b/>
                <w:bCs w:val="0"/>
                <w:color w:val="auto"/>
                <w:kern w:val="21"/>
                <w:u w:val="single"/>
                <w:lang w:bidi="ar"/>
              </w:rPr>
              <w:t>17.01</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r>
              <w:rPr>
                <w:rFonts w:hint="eastAsia"/>
                <w:b/>
                <w:bCs w:val="0"/>
                <w:color w:val="auto"/>
                <w:kern w:val="21"/>
                <w:u w:val="single"/>
                <w:lang w:eastAsia="zh-CN" w:bidi="ar"/>
              </w:rPr>
              <w:t>.</w:t>
            </w:r>
            <w:r>
              <w:rPr>
                <w:rFonts w:hint="eastAsia"/>
                <w:b/>
                <w:bCs w:val="0"/>
                <w:color w:val="auto"/>
                <w:kern w:val="21"/>
                <w:u w:val="single"/>
                <w:lang w:bidi="ar"/>
              </w:rPr>
              <w:t>316</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0.284</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2月</w:t>
            </w:r>
            <w:r>
              <w:rPr>
                <w:rFonts w:hint="eastAsia"/>
                <w:b/>
                <w:bCs w:val="0"/>
                <w:color w:val="auto"/>
                <w:kern w:val="21"/>
                <w:u w:val="single"/>
                <w:lang w:bidi="ar"/>
              </w:rPr>
              <w:t>1</w:t>
            </w:r>
            <w:r>
              <w:rPr>
                <w:b/>
                <w:bCs w:val="0"/>
                <w:color w:val="auto"/>
                <w:kern w:val="21"/>
                <w:u w:val="single"/>
                <w:lang w:bidi="ar"/>
              </w:rPr>
              <w:t>次</w:t>
            </w:r>
          </w:p>
        </w:tc>
        <w:tc>
          <w:tcPr>
            <w:tcW w:w="451" w:type="pct"/>
          </w:tcPr>
          <w:p>
            <w:pPr>
              <w:adjustRightInd w:val="0"/>
              <w:snapToGrid w:val="0"/>
              <w:jc w:val="center"/>
              <w:rPr>
                <w:b/>
                <w:bCs w:val="0"/>
                <w:color w:val="auto"/>
                <w:kern w:val="21"/>
                <w:u w:val="single"/>
                <w:lang w:bidi="ar"/>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tcPr>
          <w:p>
            <w:pPr>
              <w:adjustRightInd w:val="0"/>
              <w:snapToGrid w:val="0"/>
              <w:jc w:val="center"/>
              <w:rPr>
                <w:b/>
                <w:bCs w:val="0"/>
                <w:color w:val="auto"/>
                <w:kern w:val="21"/>
                <w:u w:val="single"/>
                <w:lang w:bidi="ar"/>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酸洗槽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12.96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2.057</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1.851</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r>
              <w:rPr>
                <w:b/>
                <w:bCs w:val="0"/>
                <w:color w:val="auto"/>
                <w:kern w:val="21"/>
                <w:u w:val="single"/>
                <w:lang w:bidi="ar"/>
              </w:rPr>
              <w:t>周</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纯水洗槽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活化槽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6.48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1.029</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0.926</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r>
              <w:rPr>
                <w:b/>
                <w:bCs w:val="0"/>
                <w:color w:val="auto"/>
                <w:kern w:val="21"/>
                <w:u w:val="single"/>
                <w:lang w:bidi="ar"/>
              </w:rPr>
              <w:t>周</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纯水槽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7.2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镀镍槽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10</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0.9</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2.7</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10</w:t>
            </w:r>
            <w:r>
              <w:rPr>
                <w:b/>
                <w:bCs w:val="0"/>
                <w:color w:val="auto"/>
                <w:kern w:val="21"/>
                <w:u w:val="single"/>
                <w:lang w:bidi="ar"/>
              </w:rPr>
              <w:t>×0.9=</w:t>
            </w:r>
            <w:r>
              <w:rPr>
                <w:rFonts w:hint="eastAsia"/>
                <w:b/>
                <w:bCs w:val="0"/>
                <w:color w:val="auto"/>
                <w:kern w:val="21"/>
                <w:u w:val="single"/>
                <w:lang w:bidi="ar"/>
              </w:rPr>
              <w:t>72.9</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循环过滤</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0.729</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镀液</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长期</w:t>
            </w:r>
          </w:p>
          <w:p>
            <w:pPr>
              <w:adjustRightInd w:val="0"/>
              <w:snapToGrid w:val="0"/>
              <w:jc w:val="center"/>
              <w:rPr>
                <w:b/>
                <w:bCs w:val="0"/>
                <w:color w:val="auto"/>
                <w:kern w:val="21"/>
                <w:u w:val="single"/>
                <w:lang w:bidi="ar"/>
              </w:rPr>
            </w:pPr>
            <w:r>
              <w:rPr>
                <w:b/>
                <w:bCs w:val="0"/>
                <w:color w:val="auto"/>
                <w:kern w:val="21"/>
                <w:u w:val="single"/>
                <w:lang w:bidi="ar"/>
              </w:rPr>
              <w:t>使用</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回收槽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6</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12.96</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定期回流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镀液</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补给</w:t>
            </w:r>
          </w:p>
          <w:p>
            <w:pPr>
              <w:adjustRightInd w:val="0"/>
              <w:snapToGrid w:val="0"/>
              <w:jc w:val="center"/>
              <w:rPr>
                <w:b/>
                <w:bCs w:val="0"/>
                <w:color w:val="auto"/>
                <w:kern w:val="21"/>
                <w:u w:val="single"/>
                <w:lang w:bidi="ar"/>
              </w:rPr>
            </w:pPr>
            <w:r>
              <w:rPr>
                <w:b/>
                <w:bCs w:val="0"/>
                <w:color w:val="auto"/>
                <w:kern w:val="21"/>
                <w:u w:val="single"/>
                <w:lang w:bidi="ar"/>
              </w:rPr>
              <w:t>镀槽</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含镍废水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含镍废水预处理系统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漂白槽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6.48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0.24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0.216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含镍废水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1月/</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jc w:val="center"/>
              <w:rPr>
                <w:b/>
                <w:bCs w:val="0"/>
                <w:color w:val="auto"/>
                <w:u w:val="single"/>
              </w:rPr>
            </w:pPr>
            <w:r>
              <w:rPr>
                <w:rFonts w:hint="eastAsia"/>
                <w:b/>
                <w:bCs w:val="0"/>
                <w:color w:val="auto"/>
                <w:kern w:val="21"/>
                <w:u w:val="single"/>
                <w:lang w:bidi="ar"/>
              </w:rPr>
              <w:t>含镍废水预处理系统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含镍废水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jc w:val="center"/>
              <w:rPr>
                <w:b/>
                <w:bCs w:val="0"/>
                <w:color w:val="auto"/>
                <w:u w:val="single"/>
              </w:rPr>
            </w:pPr>
            <w:r>
              <w:rPr>
                <w:rFonts w:hint="eastAsia"/>
                <w:b/>
                <w:bCs w:val="0"/>
                <w:color w:val="auto"/>
                <w:kern w:val="21"/>
                <w:u w:val="single"/>
                <w:lang w:bidi="ar"/>
              </w:rPr>
              <w:t>含镍废水预处理系统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钝化槽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6.48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1.029</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bidi="ar"/>
              </w:rPr>
              <w:t>0.926</w:t>
            </w:r>
            <w:r>
              <w:rPr>
                <w:rFonts w:hint="eastAsia"/>
                <w:b/>
                <w:bCs w:val="0"/>
                <w:color w:val="auto"/>
                <w:kern w:val="21"/>
                <w:u w:val="single"/>
                <w:lang w:val="en-US" w:eastAsia="zh-CN" w:bidi="ar"/>
              </w:rPr>
              <w:t>1</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1周</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adjustRightInd w:val="0"/>
              <w:snapToGrid w:val="0"/>
              <w:jc w:val="center"/>
              <w:rPr>
                <w:b/>
                <w:bCs w:val="0"/>
                <w:color w:val="auto"/>
                <w:kern w:val="21"/>
                <w:highlight w:val="yellow"/>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3</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21.6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中和槽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6.48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0.24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0.216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1月1</w:t>
            </w:r>
            <w:r>
              <w:rPr>
                <w:b/>
                <w:bCs w:val="0"/>
                <w:color w:val="auto"/>
                <w:kern w:val="21"/>
                <w:u w:val="single"/>
                <w:lang w:bidi="ar"/>
              </w:rPr>
              <w:t>次</w:t>
            </w:r>
          </w:p>
        </w:tc>
        <w:tc>
          <w:tcPr>
            <w:tcW w:w="451" w:type="pct"/>
          </w:tcPr>
          <w:p>
            <w:pPr>
              <w:jc w:val="center"/>
              <w:rPr>
                <w:b/>
                <w:bCs w:val="0"/>
                <w:color w:val="auto"/>
                <w:u w:val="single"/>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纯水洗槽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tcPr>
          <w:p>
            <w:pPr>
              <w:jc w:val="center"/>
              <w:rPr>
                <w:b/>
                <w:bCs w:val="0"/>
                <w:color w:val="auto"/>
                <w:u w:val="single"/>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封闭槽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6.48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0.72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0.648</w:t>
            </w:r>
          </w:p>
        </w:tc>
        <w:tc>
          <w:tcPr>
            <w:tcW w:w="403" w:type="pct"/>
            <w:vAlign w:val="center"/>
          </w:tcPr>
          <w:p>
            <w:pPr>
              <w:jc w:val="center"/>
              <w:rPr>
                <w:b/>
                <w:bCs w:val="0"/>
                <w:color w:val="auto"/>
                <w:u w:val="single"/>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10日1</w:t>
            </w:r>
            <w:r>
              <w:rPr>
                <w:b/>
                <w:bCs w:val="0"/>
                <w:color w:val="auto"/>
                <w:kern w:val="21"/>
                <w:u w:val="single"/>
                <w:lang w:bidi="ar"/>
              </w:rPr>
              <w:t>次</w:t>
            </w:r>
          </w:p>
        </w:tc>
        <w:tc>
          <w:tcPr>
            <w:tcW w:w="451" w:type="pct"/>
          </w:tcPr>
          <w:p>
            <w:pPr>
              <w:jc w:val="center"/>
              <w:rPr>
                <w:b/>
                <w:bCs w:val="0"/>
                <w:color w:val="auto"/>
                <w:u w:val="single"/>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textAlignment w:val="baseline"/>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2.5</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×1</w:t>
            </w:r>
            <w:r>
              <w:rPr>
                <w:rFonts w:hint="eastAsia"/>
                <w:b/>
                <w:bCs w:val="0"/>
                <w:color w:val="auto"/>
                <w:kern w:val="21"/>
                <w:u w:val="single"/>
                <w:lang w:bidi="ar"/>
              </w:rPr>
              <w:t>.2</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14.4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12.96</w:t>
            </w:r>
          </w:p>
        </w:tc>
        <w:tc>
          <w:tcPr>
            <w:tcW w:w="403" w:type="pct"/>
            <w:vAlign w:val="center"/>
          </w:tcPr>
          <w:p>
            <w:pPr>
              <w:jc w:val="center"/>
              <w:rPr>
                <w:b/>
                <w:bCs w:val="0"/>
                <w:color w:val="auto"/>
                <w:u w:val="single"/>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tcPr>
          <w:p>
            <w:pPr>
              <w:jc w:val="center"/>
              <w:rPr>
                <w:b/>
                <w:bCs w:val="0"/>
                <w:color w:val="auto"/>
                <w:u w:val="single"/>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restart"/>
            <w:vAlign w:val="center"/>
          </w:tcPr>
          <w:p>
            <w:pPr>
              <w:adjustRightInd w:val="0"/>
              <w:snapToGrid w:val="0"/>
              <w:jc w:val="center"/>
              <w:rPr>
                <w:b/>
                <w:bCs w:val="0"/>
                <w:color w:val="auto"/>
                <w:kern w:val="21"/>
                <w:highlight w:val="yellow"/>
                <w:u w:val="single"/>
                <w:lang w:bidi="ar"/>
              </w:rPr>
            </w:pPr>
            <w:r>
              <w:rPr>
                <w:rFonts w:hint="eastAsia"/>
                <w:b/>
                <w:bCs w:val="0"/>
                <w:color w:val="auto"/>
                <w:kern w:val="21"/>
                <w:u w:val="single"/>
                <w:lang w:bidi="ar"/>
              </w:rPr>
              <w:t>1条电池箱镀锌线</w:t>
            </w:r>
          </w:p>
        </w:tc>
        <w:tc>
          <w:tcPr>
            <w:tcW w:w="363"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除油</w:t>
            </w:r>
            <w:r>
              <w:rPr>
                <w:b/>
                <w:bCs w:val="0"/>
                <w:color w:val="auto"/>
                <w:kern w:val="21"/>
                <w:u w:val="single"/>
                <w:lang w:bidi="ar"/>
              </w:rPr>
              <w:t>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3</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0.9</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11.71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3</w:t>
            </w:r>
            <w:r>
              <w:rPr>
                <w:b/>
                <w:bCs w:val="0"/>
                <w:color w:val="auto"/>
                <w:kern w:val="21"/>
                <w:u w:val="single"/>
                <w:lang w:bidi="ar"/>
              </w:rPr>
              <w:t>×0.9=</w:t>
            </w:r>
            <w:r>
              <w:rPr>
                <w:rFonts w:hint="eastAsia"/>
                <w:b/>
                <w:bCs w:val="0"/>
                <w:color w:val="auto"/>
                <w:kern w:val="21"/>
                <w:u w:val="single"/>
                <w:lang w:bidi="ar"/>
              </w:rPr>
              <w:t>28.917</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0.535</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0.482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2月</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0.7</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8.33</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16.66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含油废水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jc w:val="center"/>
              <w:rPr>
                <w:b/>
                <w:bCs w:val="0"/>
                <w:color w:val="auto"/>
                <w:u w:val="single"/>
              </w:rPr>
            </w:pPr>
            <w:r>
              <w:rPr>
                <w:b/>
                <w:bCs w:val="0"/>
                <w:color w:val="auto"/>
                <w:kern w:val="21"/>
                <w:u w:val="single"/>
                <w:lang w:bidi="ar"/>
              </w:rPr>
              <w:t>含油废水预处理系统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酸电解</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0.9</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11.71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10.539</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0.837</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0.753</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2周1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酸洗槽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8.52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17.136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1.36</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1.224</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2周1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0.9</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11.71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23.42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酸活</w:t>
            </w:r>
          </w:p>
          <w:p>
            <w:pPr>
              <w:adjustRightInd w:val="0"/>
              <w:snapToGrid w:val="0"/>
              <w:jc w:val="center"/>
              <w:rPr>
                <w:b/>
                <w:bCs w:val="0"/>
                <w:color w:val="auto"/>
                <w:kern w:val="21"/>
                <w:u w:val="single"/>
                <w:lang w:bidi="ar"/>
              </w:rPr>
            </w:pPr>
            <w:r>
              <w:rPr>
                <w:b/>
                <w:bCs w:val="0"/>
                <w:color w:val="auto"/>
                <w:kern w:val="21"/>
                <w:u w:val="single"/>
                <w:lang w:bidi="ar"/>
              </w:rPr>
              <w:t>化槽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8.568</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0.68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bidi="ar"/>
              </w:rPr>
              <w:t>0.612</w:t>
            </w:r>
            <w:r>
              <w:rPr>
                <w:rFonts w:hint="eastAsia"/>
                <w:b/>
                <w:bCs w:val="0"/>
                <w:color w:val="auto"/>
                <w:kern w:val="21"/>
                <w:u w:val="single"/>
                <w:lang w:val="en-US" w:eastAsia="zh-CN" w:bidi="ar"/>
              </w:rPr>
              <w:t>4</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2周</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9.52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jc w:val="center"/>
              <w:rPr>
                <w:b/>
                <w:bCs w:val="0"/>
                <w:color w:val="auto"/>
                <w:u w:val="single"/>
              </w:rPr>
            </w:pPr>
            <w:r>
              <w:rPr>
                <w:b/>
                <w:bCs w:val="0"/>
                <w:color w:val="auto"/>
                <w:kern w:val="21"/>
                <w:u w:val="single"/>
                <w:lang w:bidi="ar"/>
              </w:rPr>
              <w:t>酸性废水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jc w:val="center"/>
              <w:rPr>
                <w:b/>
                <w:bCs w:val="0"/>
                <w:color w:val="auto"/>
                <w:u w:val="single"/>
              </w:rPr>
            </w:pPr>
            <w:r>
              <w:rPr>
                <w:b/>
                <w:bCs w:val="0"/>
                <w:color w:val="auto"/>
                <w:kern w:val="21"/>
                <w:u w:val="single"/>
                <w:lang w:bidi="ar"/>
              </w:rPr>
              <w:t>酸性废水预处理系统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镀锌槽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1.0</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11.9</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21.42</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循环过滤</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0.2142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b/>
                <w:bCs w:val="0"/>
                <w:color w:val="auto"/>
                <w:kern w:val="21"/>
                <w:u w:val="single"/>
                <w:lang w:bidi="ar"/>
              </w:rPr>
              <w:t>0</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镀液</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长期使用</w:t>
            </w:r>
          </w:p>
        </w:tc>
        <w:tc>
          <w:tcPr>
            <w:tcW w:w="4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19.04</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含锌废水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含锌废水预处理系统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出光槽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1.0</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11.9</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×0.9=</w:t>
            </w:r>
            <w:r>
              <w:rPr>
                <w:rFonts w:hint="eastAsia"/>
                <w:b/>
                <w:bCs w:val="0"/>
                <w:color w:val="auto"/>
                <w:kern w:val="21"/>
                <w:u w:val="single"/>
                <w:lang w:bidi="ar"/>
              </w:rPr>
              <w:t>10.71</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0.396</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p>
        </w:tc>
        <w:tc>
          <w:tcPr>
            <w:tcW w:w="282"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bidi="ar"/>
              </w:rPr>
              <w:t>0.356</w:t>
            </w:r>
            <w:r>
              <w:rPr>
                <w:rFonts w:hint="eastAsia"/>
                <w:b/>
                <w:bCs w:val="0"/>
                <w:color w:val="auto"/>
                <w:kern w:val="21"/>
                <w:u w:val="single"/>
                <w:lang w:val="en-US" w:eastAsia="zh-CN" w:bidi="ar"/>
              </w:rPr>
              <w:t>4</w:t>
            </w:r>
          </w:p>
        </w:tc>
        <w:tc>
          <w:tcPr>
            <w:tcW w:w="403" w:type="pct"/>
            <w:vAlign w:val="center"/>
          </w:tcPr>
          <w:p>
            <w:pPr>
              <w:jc w:val="center"/>
              <w:rPr>
                <w:b/>
                <w:bCs w:val="0"/>
                <w:color w:val="auto"/>
                <w:u w:val="single"/>
              </w:rPr>
            </w:pPr>
            <w:r>
              <w:rPr>
                <w:b/>
                <w:bCs w:val="0"/>
                <w:color w:val="auto"/>
                <w:kern w:val="21"/>
                <w:u w:val="single"/>
                <w:lang w:bidi="ar"/>
              </w:rPr>
              <w:t>含锌废水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r>
              <w:rPr>
                <w:b/>
                <w:bCs w:val="0"/>
                <w:color w:val="auto"/>
                <w:kern w:val="21"/>
                <w:u w:val="single"/>
                <w:lang w:bidi="ar"/>
              </w:rPr>
              <w:t>月</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jc w:val="center"/>
              <w:rPr>
                <w:b/>
                <w:bCs w:val="0"/>
                <w:color w:val="auto"/>
                <w:u w:val="single"/>
              </w:rPr>
            </w:pPr>
            <w:r>
              <w:rPr>
                <w:b/>
                <w:bCs w:val="0"/>
                <w:color w:val="auto"/>
                <w:kern w:val="21"/>
                <w:u w:val="single"/>
                <w:lang w:bidi="ar"/>
              </w:rPr>
              <w:t>含锌废水预处理系统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9.52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jc w:val="center"/>
              <w:rPr>
                <w:b/>
                <w:bCs w:val="0"/>
                <w:color w:val="auto"/>
                <w:u w:val="single"/>
              </w:rPr>
            </w:pPr>
            <w:r>
              <w:rPr>
                <w:b/>
                <w:bCs w:val="0"/>
                <w:color w:val="auto"/>
                <w:kern w:val="21"/>
                <w:u w:val="single"/>
                <w:lang w:bidi="ar"/>
              </w:rPr>
              <w:t>含锌废水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jc w:val="center"/>
              <w:rPr>
                <w:b/>
                <w:bCs w:val="0"/>
                <w:color w:val="auto"/>
                <w:u w:val="single"/>
              </w:rPr>
            </w:pPr>
            <w:r>
              <w:rPr>
                <w:b/>
                <w:bCs w:val="0"/>
                <w:color w:val="auto"/>
                <w:kern w:val="21"/>
                <w:u w:val="single"/>
                <w:lang w:bidi="ar"/>
              </w:rPr>
              <w:t>含锌废水预处理系统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钝化槽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1.0</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11.9</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21.42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1.7</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1.53</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r>
              <w:rPr>
                <w:b/>
                <w:bCs w:val="0"/>
                <w:color w:val="auto"/>
                <w:kern w:val="21"/>
                <w:u w:val="single"/>
                <w:lang w:bidi="ar"/>
              </w:rPr>
              <w:t>周</w:t>
            </w:r>
            <w:r>
              <w:rPr>
                <w:rFonts w:hint="eastAsia"/>
                <w:b/>
                <w:bCs w:val="0"/>
                <w:color w:val="auto"/>
                <w:kern w:val="21"/>
                <w:u w:val="single"/>
                <w:lang w:bidi="ar"/>
              </w:rPr>
              <w:t>1</w:t>
            </w:r>
            <w:r>
              <w:rPr>
                <w:b/>
                <w:bCs w:val="0"/>
                <w:color w:val="auto"/>
                <w:kern w:val="21"/>
                <w:u w:val="single"/>
                <w:lang w:bidi="ar"/>
              </w:rPr>
              <w:t>次</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w:t>
            </w:r>
            <w:r>
              <w:rPr>
                <w:rFonts w:hint="eastAsia"/>
                <w:b/>
                <w:bCs w:val="0"/>
                <w:color w:val="auto"/>
                <w:kern w:val="21"/>
                <w:u w:val="single"/>
                <w:lang w:bidi="ar"/>
              </w:rPr>
              <w:t>19.04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tcPr>
          <w:p>
            <w:pPr>
              <w:adjustRightInd w:val="0"/>
              <w:snapToGrid w:val="0"/>
              <w:jc w:val="center"/>
              <w:rPr>
                <w:b/>
                <w:bCs w:val="0"/>
                <w:color w:val="auto"/>
                <w:kern w:val="21"/>
                <w:u w:val="single"/>
                <w:lang w:bidi="ar"/>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封闭槽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2</w:t>
            </w:r>
            <w:r>
              <w:rPr>
                <w:b/>
                <w:bCs w:val="0"/>
                <w:color w:val="auto"/>
                <w:kern w:val="21"/>
                <w:u w:val="single"/>
                <w:lang w:bidi="ar"/>
              </w:rPr>
              <w:t>×0.9=</w:t>
            </w:r>
            <w:r>
              <w:rPr>
                <w:rFonts w:hint="eastAsia"/>
                <w:b/>
                <w:bCs w:val="0"/>
                <w:color w:val="auto"/>
                <w:kern w:val="21"/>
                <w:u w:val="single"/>
                <w:lang w:bidi="ar"/>
              </w:rPr>
              <w:t>17.136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定期更换</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0.952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纯水</w:t>
            </w:r>
          </w:p>
        </w:tc>
        <w:tc>
          <w:tcPr>
            <w:tcW w:w="282"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bidi="ar"/>
              </w:rPr>
              <w:t>0.85</w:t>
            </w:r>
            <w:r>
              <w:rPr>
                <w:rFonts w:hint="eastAsia"/>
                <w:b/>
                <w:bCs w:val="0"/>
                <w:color w:val="auto"/>
                <w:kern w:val="21"/>
                <w:u w:val="single"/>
                <w:lang w:val="en-US" w:eastAsia="zh-CN" w:bidi="ar"/>
              </w:rPr>
              <w:t>68</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20日1</w:t>
            </w:r>
            <w:r>
              <w:rPr>
                <w:b/>
                <w:bCs w:val="0"/>
                <w:color w:val="auto"/>
                <w:kern w:val="21"/>
                <w:u w:val="single"/>
                <w:lang w:bidi="ar"/>
              </w:rPr>
              <w:t>次</w:t>
            </w:r>
          </w:p>
        </w:tc>
        <w:tc>
          <w:tcPr>
            <w:tcW w:w="451" w:type="pct"/>
          </w:tcPr>
          <w:p>
            <w:pPr>
              <w:jc w:val="center"/>
              <w:rPr>
                <w:b/>
                <w:bCs w:val="0"/>
                <w:color w:val="auto"/>
                <w:u w:val="single"/>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9" w:type="pct"/>
            <w:vMerge w:val="continue"/>
            <w:vAlign w:val="center"/>
          </w:tcPr>
          <w:p>
            <w:pPr>
              <w:adjustRightInd w:val="0"/>
              <w:snapToGrid w:val="0"/>
              <w:jc w:val="center"/>
              <w:rPr>
                <w:b/>
                <w:bCs w:val="0"/>
                <w:color w:val="auto"/>
                <w:kern w:val="21"/>
                <w:highlight w:val="yellow"/>
                <w:u w:val="single"/>
                <w:lang w:bidi="ar"/>
              </w:rPr>
            </w:pPr>
          </w:p>
        </w:tc>
        <w:tc>
          <w:tcPr>
            <w:tcW w:w="363" w:type="pct"/>
            <w:vAlign w:val="center"/>
          </w:tcPr>
          <w:p>
            <w:pPr>
              <w:adjustRightInd w:val="0"/>
              <w:snapToGrid w:val="0"/>
              <w:jc w:val="center"/>
              <w:rPr>
                <w:b/>
                <w:bCs w:val="0"/>
                <w:color w:val="auto"/>
                <w:kern w:val="21"/>
                <w:u w:val="single"/>
                <w:lang w:bidi="ar"/>
              </w:rPr>
            </w:pPr>
            <w:r>
              <w:rPr>
                <w:b/>
                <w:bCs w:val="0"/>
                <w:color w:val="auto"/>
                <w:kern w:val="21"/>
                <w:u w:val="single"/>
                <w:lang w:bidi="ar"/>
              </w:rPr>
              <w:t>水洗槽</w:t>
            </w:r>
          </w:p>
        </w:tc>
        <w:tc>
          <w:tcPr>
            <w:tcW w:w="388"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w:t>
            </w:r>
          </w:p>
        </w:tc>
        <w:tc>
          <w:tcPr>
            <w:tcW w:w="500" w:type="pct"/>
            <w:gridSpan w:val="2"/>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7</w:t>
            </w:r>
            <w:r>
              <w:rPr>
                <w:b/>
                <w:bCs w:val="0"/>
                <w:color w:val="auto"/>
                <w:kern w:val="21"/>
                <w:u w:val="single"/>
                <w:lang w:bidi="ar"/>
              </w:rPr>
              <w:t>×</w:t>
            </w:r>
            <w:r>
              <w:rPr>
                <w:rFonts w:hint="eastAsia"/>
                <w:b/>
                <w:bCs w:val="0"/>
                <w:color w:val="auto"/>
                <w:kern w:val="21"/>
                <w:u w:val="single"/>
                <w:lang w:bidi="ar"/>
              </w:rPr>
              <w:t>0.8</w:t>
            </w:r>
            <w:r>
              <w:rPr>
                <w:b/>
                <w:bCs w:val="0"/>
                <w:color w:val="auto"/>
                <w:kern w:val="21"/>
                <w:u w:val="single"/>
                <w:lang w:bidi="ar"/>
              </w:rPr>
              <w:t>×</w:t>
            </w:r>
            <w:r>
              <w:rPr>
                <w:rFonts w:hint="eastAsia"/>
                <w:b/>
                <w:bCs w:val="0"/>
                <w:color w:val="auto"/>
                <w:kern w:val="21"/>
                <w:u w:val="single"/>
                <w:lang w:bidi="ar"/>
              </w:rPr>
              <w:t>1.7</w:t>
            </w:r>
          </w:p>
        </w:tc>
        <w:tc>
          <w:tcPr>
            <w:tcW w:w="50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9.52</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1</w:t>
            </w:r>
            <w:r>
              <w:rPr>
                <w:b/>
                <w:bCs w:val="0"/>
                <w:color w:val="auto"/>
                <w:kern w:val="21"/>
                <w:u w:val="single"/>
                <w:lang w:bidi="ar"/>
              </w:rPr>
              <w:t>=</w:t>
            </w:r>
            <w:r>
              <w:rPr>
                <w:rFonts w:hint="eastAsia"/>
                <w:b/>
                <w:bCs w:val="0"/>
                <w:color w:val="auto"/>
                <w:kern w:val="21"/>
                <w:u w:val="single"/>
                <w:lang w:bidi="ar"/>
              </w:rPr>
              <w:t>8.52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24</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连续溢流</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200</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4.8</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纯水/</w:t>
            </w:r>
            <w:r>
              <w:rPr>
                <w:b/>
                <w:bCs w:val="0"/>
                <w:color w:val="auto"/>
                <w:kern w:val="21"/>
                <w:u w:val="single"/>
                <w:lang w:bidi="ar"/>
              </w:rPr>
              <w:t>回用水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4.32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tcPr>
          <w:p>
            <w:pPr>
              <w:jc w:val="center"/>
              <w:rPr>
                <w:b/>
                <w:bCs w:val="0"/>
                <w:color w:val="auto"/>
                <w:u w:val="single"/>
              </w:rPr>
            </w:pPr>
            <w:r>
              <w:rPr>
                <w:rFonts w:hint="eastAsia"/>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4" w:type="pct"/>
            <w:gridSpan w:val="7"/>
            <w:vAlign w:val="center"/>
          </w:tcPr>
          <w:p>
            <w:pPr>
              <w:adjustRightInd w:val="0"/>
              <w:snapToGrid w:val="0"/>
              <w:jc w:val="center"/>
              <w:rPr>
                <w:b/>
                <w:bCs w:val="0"/>
                <w:color w:val="auto"/>
                <w:kern w:val="21"/>
                <w:highlight w:val="yellow"/>
                <w:u w:val="single"/>
                <w:lang w:bidi="ar"/>
              </w:rPr>
            </w:pPr>
            <w:r>
              <w:rPr>
                <w:b/>
                <w:bCs w:val="0"/>
                <w:color w:val="auto"/>
                <w:kern w:val="21"/>
                <w:u w:val="single"/>
                <w:lang w:bidi="ar"/>
              </w:rPr>
              <w:t>车间地面保洁用水</w:t>
            </w:r>
          </w:p>
        </w:tc>
        <w:tc>
          <w:tcPr>
            <w:tcW w:w="39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1.1</w:t>
            </w:r>
          </w:p>
        </w:tc>
        <w:tc>
          <w:tcPr>
            <w:tcW w:w="300"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新鲜水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0.99</w:t>
            </w:r>
          </w:p>
        </w:tc>
        <w:tc>
          <w:tcPr>
            <w:tcW w:w="403"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清洁废水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地面废水处理系统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pct"/>
            <w:gridSpan w:val="4"/>
            <w:vMerge w:val="restart"/>
            <w:vAlign w:val="center"/>
          </w:tcPr>
          <w:p>
            <w:pPr>
              <w:adjustRightInd w:val="0"/>
              <w:snapToGrid w:val="0"/>
              <w:jc w:val="center"/>
              <w:rPr>
                <w:b/>
                <w:bCs w:val="0"/>
                <w:color w:val="auto"/>
                <w:kern w:val="21"/>
                <w:highlight w:val="yellow"/>
                <w:u w:val="single"/>
                <w:lang w:bidi="ar"/>
              </w:rPr>
            </w:pPr>
            <w:r>
              <w:rPr>
                <w:b/>
                <w:bCs w:val="0"/>
                <w:color w:val="auto"/>
                <w:kern w:val="21"/>
                <w:u w:val="single"/>
                <w:lang w:bidi="ar"/>
              </w:rPr>
              <w:t>燃气锅炉用水</w:t>
            </w:r>
          </w:p>
        </w:tc>
        <w:tc>
          <w:tcPr>
            <w:tcW w:w="1147" w:type="pct"/>
            <w:gridSpan w:val="3"/>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val="en-US" w:eastAsia="zh-CN" w:bidi="ar"/>
              </w:rPr>
              <w:t>冬季</w:t>
            </w:r>
          </w:p>
        </w:tc>
        <w:tc>
          <w:tcPr>
            <w:tcW w:w="39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9.63</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软水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1.926</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浓水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7" w:type="pct"/>
            <w:gridSpan w:val="4"/>
            <w:vMerge w:val="continue"/>
            <w:vAlign w:val="center"/>
          </w:tcPr>
          <w:p>
            <w:pPr>
              <w:adjustRightInd w:val="0"/>
              <w:snapToGrid w:val="0"/>
              <w:jc w:val="center"/>
              <w:rPr>
                <w:b/>
                <w:bCs w:val="0"/>
                <w:color w:val="auto"/>
                <w:kern w:val="21"/>
                <w:u w:val="single"/>
                <w:lang w:bidi="ar"/>
              </w:rPr>
            </w:pPr>
          </w:p>
        </w:tc>
        <w:tc>
          <w:tcPr>
            <w:tcW w:w="1147" w:type="pct"/>
            <w:gridSpan w:val="3"/>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其他季节</w:t>
            </w:r>
          </w:p>
        </w:tc>
        <w:tc>
          <w:tcPr>
            <w:tcW w:w="399"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val="en-US" w:eastAsia="zh-CN" w:bidi="ar"/>
              </w:rPr>
              <w:t>/</w:t>
            </w:r>
          </w:p>
        </w:tc>
        <w:tc>
          <w:tcPr>
            <w:tcW w:w="249"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val="en-US" w:eastAsia="zh-CN" w:bidi="ar"/>
              </w:rPr>
              <w:t>/</w:t>
            </w:r>
          </w:p>
        </w:tc>
        <w:tc>
          <w:tcPr>
            <w:tcW w:w="251"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5.93</w:t>
            </w:r>
          </w:p>
        </w:tc>
        <w:tc>
          <w:tcPr>
            <w:tcW w:w="300"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软水</w:t>
            </w:r>
          </w:p>
        </w:tc>
        <w:tc>
          <w:tcPr>
            <w:tcW w:w="282"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1.184</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浓水</w:t>
            </w:r>
          </w:p>
        </w:tc>
        <w:tc>
          <w:tcPr>
            <w:tcW w:w="367" w:type="pct"/>
            <w:vAlign w:val="center"/>
          </w:tcPr>
          <w:p>
            <w:pPr>
              <w:adjustRightInd w:val="0"/>
              <w:snapToGrid w:val="0"/>
              <w:jc w:val="center"/>
              <w:rPr>
                <w:rFonts w:hint="eastAsia"/>
                <w:b/>
                <w:bCs w:val="0"/>
                <w:color w:val="auto"/>
                <w:kern w:val="21"/>
                <w:u w:val="single"/>
                <w:lang w:bidi="ar"/>
              </w:rPr>
            </w:pPr>
            <w:r>
              <w:rPr>
                <w:rFonts w:hint="eastAsia"/>
                <w:b/>
                <w:bCs w:val="0"/>
                <w:color w:val="auto"/>
                <w:kern w:val="21"/>
                <w:u w:val="single"/>
                <w:lang w:bidi="ar"/>
              </w:rPr>
              <w:t>/</w:t>
            </w:r>
          </w:p>
        </w:tc>
        <w:tc>
          <w:tcPr>
            <w:tcW w:w="451" w:type="pct"/>
            <w:vMerge w:val="continue"/>
            <w:vAlign w:val="center"/>
          </w:tcPr>
          <w:p>
            <w:pPr>
              <w:adjustRightInd w:val="0"/>
              <w:snapToGrid w:val="0"/>
              <w:jc w:val="center"/>
              <w:rPr>
                <w:b/>
                <w:bCs w:val="0"/>
                <w:color w:val="auto"/>
                <w:kern w:val="21"/>
                <w:u w:val="single"/>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4" w:type="pct"/>
            <w:gridSpan w:val="7"/>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碱液喷淋塔</w:t>
            </w:r>
          </w:p>
        </w:tc>
        <w:tc>
          <w:tcPr>
            <w:tcW w:w="399" w:type="pct"/>
            <w:vAlign w:val="center"/>
          </w:tcPr>
          <w:p>
            <w:pPr>
              <w:adjustRightInd w:val="0"/>
              <w:snapToGrid w:val="0"/>
              <w:jc w:val="center"/>
              <w:rPr>
                <w:b/>
                <w:bCs w:val="0"/>
                <w:color w:val="auto"/>
                <w:kern w:val="21"/>
                <w:u w:val="single"/>
                <w:lang w:bidi="ar"/>
              </w:rPr>
            </w:pPr>
          </w:p>
        </w:tc>
        <w:tc>
          <w:tcPr>
            <w:tcW w:w="249" w:type="pct"/>
            <w:vAlign w:val="center"/>
          </w:tcPr>
          <w:p>
            <w:pPr>
              <w:adjustRightInd w:val="0"/>
              <w:snapToGrid w:val="0"/>
              <w:jc w:val="center"/>
              <w:rPr>
                <w:b/>
                <w:bCs w:val="0"/>
                <w:color w:val="auto"/>
                <w:kern w:val="21"/>
                <w:u w:val="single"/>
                <w:lang w:bidi="ar"/>
              </w:rPr>
            </w:pP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新鲜水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1.2</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20日1</w:t>
            </w:r>
            <w:r>
              <w:rPr>
                <w:b/>
                <w:bCs w:val="0"/>
                <w:color w:val="auto"/>
                <w:kern w:val="21"/>
                <w:u w:val="single"/>
                <w:lang w:bidi="ar"/>
              </w:rPr>
              <w:t>次</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含铬废水预处理系统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4" w:type="pct"/>
            <w:gridSpan w:val="7"/>
            <w:vAlign w:val="center"/>
          </w:tcPr>
          <w:p>
            <w:pPr>
              <w:adjustRightInd w:val="0"/>
              <w:snapToGrid w:val="0"/>
              <w:jc w:val="center"/>
              <w:rPr>
                <w:b/>
                <w:bCs w:val="0"/>
                <w:color w:val="auto"/>
                <w:kern w:val="21"/>
                <w:u w:val="single"/>
                <w:lang w:bidi="ar"/>
              </w:rPr>
            </w:pPr>
            <w:r>
              <w:rPr>
                <w:b/>
                <w:bCs w:val="0"/>
                <w:color w:val="auto"/>
                <w:kern w:val="21"/>
                <w:u w:val="single"/>
                <w:lang w:bidi="ar"/>
              </w:rPr>
              <w:t>过滤反冲洗</w:t>
            </w:r>
          </w:p>
        </w:tc>
        <w:tc>
          <w:tcPr>
            <w:tcW w:w="399" w:type="pct"/>
            <w:vAlign w:val="center"/>
          </w:tcPr>
          <w:p>
            <w:pPr>
              <w:adjustRightInd w:val="0"/>
              <w:snapToGrid w:val="0"/>
              <w:jc w:val="center"/>
              <w:rPr>
                <w:b/>
                <w:bCs w:val="0"/>
                <w:color w:val="auto"/>
                <w:kern w:val="21"/>
                <w:u w:val="single"/>
                <w:lang w:bidi="ar"/>
              </w:rPr>
            </w:pPr>
          </w:p>
        </w:tc>
        <w:tc>
          <w:tcPr>
            <w:tcW w:w="249" w:type="pct"/>
            <w:vAlign w:val="center"/>
          </w:tcPr>
          <w:p>
            <w:pPr>
              <w:adjustRightInd w:val="0"/>
              <w:snapToGrid w:val="0"/>
              <w:jc w:val="center"/>
              <w:rPr>
                <w:b/>
                <w:bCs w:val="0"/>
                <w:color w:val="auto"/>
                <w:kern w:val="21"/>
                <w:u w:val="single"/>
                <w:lang w:bidi="ar"/>
              </w:rPr>
            </w:pP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0.9</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新鲜水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0.9</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含重废水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1日1次</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各自的重金属废水处理系统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4" w:type="pct"/>
            <w:gridSpan w:val="7"/>
            <w:vAlign w:val="center"/>
          </w:tcPr>
          <w:p>
            <w:pPr>
              <w:adjustRightInd w:val="0"/>
              <w:snapToGrid w:val="0"/>
              <w:jc w:val="center"/>
              <w:rPr>
                <w:b/>
                <w:bCs w:val="0"/>
                <w:color w:val="auto"/>
                <w:kern w:val="21"/>
                <w:u w:val="single"/>
                <w:lang w:bidi="ar"/>
              </w:rPr>
            </w:pPr>
            <w:r>
              <w:rPr>
                <w:b/>
                <w:bCs w:val="0"/>
                <w:color w:val="auto"/>
                <w:kern w:val="21"/>
                <w:u w:val="single"/>
                <w:lang w:bidi="ar"/>
              </w:rPr>
              <w:t>生活用水</w:t>
            </w:r>
          </w:p>
        </w:tc>
        <w:tc>
          <w:tcPr>
            <w:tcW w:w="39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49"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6</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新鲜水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5.4</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生活污水</w:t>
            </w:r>
          </w:p>
        </w:tc>
        <w:tc>
          <w:tcPr>
            <w:tcW w:w="367" w:type="pct"/>
            <w:vAlign w:val="center"/>
          </w:tcPr>
          <w:p>
            <w:pPr>
              <w:adjustRightInd w:val="0"/>
              <w:snapToGrid w:val="0"/>
              <w:jc w:val="center"/>
              <w:rPr>
                <w:b/>
                <w:bCs w:val="0"/>
                <w:color w:val="auto"/>
                <w:kern w:val="21"/>
                <w:u w:val="single"/>
                <w:lang w:bidi="ar"/>
              </w:rPr>
            </w:pPr>
            <w:r>
              <w:rPr>
                <w:b/>
                <w:bCs w:val="0"/>
                <w:color w:val="auto"/>
                <w:kern w:val="21"/>
                <w:u w:val="single"/>
                <w:lang w:bidi="ar"/>
              </w:rPr>
              <w:t>/</w:t>
            </w:r>
          </w:p>
        </w:tc>
        <w:tc>
          <w:tcPr>
            <w:tcW w:w="451" w:type="pct"/>
            <w:vAlign w:val="center"/>
          </w:tcPr>
          <w:p>
            <w:pPr>
              <w:adjustRightInd w:val="0"/>
              <w:snapToGrid w:val="0"/>
              <w:jc w:val="center"/>
              <w:rPr>
                <w:b/>
                <w:bCs w:val="0"/>
                <w:color w:val="auto"/>
                <w:kern w:val="21"/>
                <w:u w:val="single"/>
                <w:lang w:bidi="ar"/>
              </w:rPr>
            </w:pPr>
            <w:r>
              <w:rPr>
                <w:b/>
                <w:bCs w:val="0"/>
                <w:color w:val="auto"/>
                <w:kern w:val="21"/>
                <w:u w:val="single"/>
                <w:lang w:bidi="ar"/>
              </w:rPr>
              <w:t>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47" w:type="pct"/>
            <w:gridSpan w:val="4"/>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纯水制备废水</w:t>
            </w:r>
          </w:p>
        </w:tc>
        <w:tc>
          <w:tcPr>
            <w:tcW w:w="1147" w:type="pct"/>
            <w:gridSpan w:val="3"/>
            <w:vAlign w:val="center"/>
          </w:tcPr>
          <w:p>
            <w:pPr>
              <w:adjustRightInd w:val="0"/>
              <w:snapToGrid w:val="0"/>
              <w:jc w:val="center"/>
              <w:rPr>
                <w:b/>
                <w:bCs w:val="0"/>
                <w:color w:val="auto"/>
                <w:kern w:val="21"/>
                <w:u w:val="single"/>
                <w:lang w:bidi="ar"/>
              </w:rPr>
            </w:pPr>
            <w:r>
              <w:rPr>
                <w:rFonts w:hint="eastAsia"/>
                <w:b/>
                <w:bCs w:val="0"/>
                <w:color w:val="auto"/>
                <w:kern w:val="21"/>
                <w:u w:val="single"/>
                <w:lang w:val="en-US" w:eastAsia="zh-CN" w:bidi="ar"/>
              </w:rPr>
              <w:t>冬季</w:t>
            </w:r>
          </w:p>
        </w:tc>
        <w:tc>
          <w:tcPr>
            <w:tcW w:w="39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49"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251"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91.9437</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新鲜水</w:t>
            </w:r>
          </w:p>
        </w:tc>
        <w:tc>
          <w:tcPr>
            <w:tcW w:w="282"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32.1803</w:t>
            </w:r>
          </w:p>
        </w:tc>
        <w:tc>
          <w:tcPr>
            <w:tcW w:w="403" w:type="pct"/>
            <w:vAlign w:val="center"/>
          </w:tcPr>
          <w:p>
            <w:pPr>
              <w:adjustRightInd w:val="0"/>
              <w:snapToGrid w:val="0"/>
              <w:jc w:val="center"/>
              <w:rPr>
                <w:b/>
                <w:bCs w:val="0"/>
                <w:color w:val="auto"/>
                <w:kern w:val="21"/>
                <w:u w:val="single"/>
                <w:lang w:bidi="ar"/>
              </w:rPr>
            </w:pPr>
            <w:r>
              <w:rPr>
                <w:b/>
                <w:bCs w:val="0"/>
                <w:color w:val="auto"/>
                <w:kern w:val="21"/>
                <w:u w:val="single"/>
                <w:lang w:bidi="ar"/>
              </w:rPr>
              <w:t>浓水</w:t>
            </w:r>
          </w:p>
        </w:tc>
        <w:tc>
          <w:tcPr>
            <w:tcW w:w="367" w:type="pct"/>
            <w:vAlign w:val="center"/>
          </w:tcPr>
          <w:p>
            <w:pPr>
              <w:adjustRightInd w:val="0"/>
              <w:snapToGrid w:val="0"/>
              <w:jc w:val="center"/>
              <w:rPr>
                <w:b/>
                <w:bCs w:val="0"/>
                <w:color w:val="auto"/>
                <w:kern w:val="21"/>
                <w:u w:val="single"/>
                <w:lang w:bidi="ar"/>
              </w:rPr>
            </w:pPr>
            <w:r>
              <w:rPr>
                <w:rFonts w:hint="eastAsia"/>
                <w:b/>
                <w:bCs w:val="0"/>
                <w:color w:val="auto"/>
                <w:kern w:val="21"/>
                <w:u w:val="single"/>
                <w:lang w:bidi="ar"/>
              </w:rPr>
              <w:t>/</w:t>
            </w:r>
          </w:p>
        </w:tc>
        <w:tc>
          <w:tcPr>
            <w:tcW w:w="451" w:type="pct"/>
            <w:vMerge w:val="restart"/>
            <w:vAlign w:val="center"/>
          </w:tcPr>
          <w:p>
            <w:pPr>
              <w:adjustRightInd w:val="0"/>
              <w:snapToGrid w:val="0"/>
              <w:jc w:val="center"/>
              <w:rPr>
                <w:b/>
                <w:bCs w:val="0"/>
                <w:color w:val="auto"/>
                <w:kern w:val="21"/>
                <w:u w:val="single"/>
                <w:lang w:bidi="ar"/>
              </w:rPr>
            </w:pPr>
            <w:r>
              <w:rPr>
                <w:b/>
                <w:bCs w:val="0"/>
                <w:color w:val="auto"/>
                <w:kern w:val="21"/>
                <w:u w:val="single"/>
                <w:lang w:bidi="ar"/>
              </w:rPr>
              <w:t>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147" w:type="pct"/>
            <w:gridSpan w:val="4"/>
            <w:vMerge w:val="continue"/>
            <w:vAlign w:val="center"/>
          </w:tcPr>
          <w:p>
            <w:pPr>
              <w:adjustRightInd w:val="0"/>
              <w:snapToGrid w:val="0"/>
              <w:jc w:val="center"/>
              <w:rPr>
                <w:b/>
                <w:bCs w:val="0"/>
                <w:color w:val="auto"/>
                <w:kern w:val="21"/>
                <w:u w:val="single"/>
                <w:lang w:bidi="ar"/>
              </w:rPr>
            </w:pPr>
          </w:p>
        </w:tc>
        <w:tc>
          <w:tcPr>
            <w:tcW w:w="1147" w:type="pct"/>
            <w:gridSpan w:val="3"/>
            <w:vAlign w:val="center"/>
          </w:tcPr>
          <w:p>
            <w:pPr>
              <w:adjustRightInd w:val="0"/>
              <w:snapToGrid w:val="0"/>
              <w:jc w:val="center"/>
              <w:rPr>
                <w:b/>
                <w:bCs w:val="0"/>
                <w:color w:val="auto"/>
                <w:kern w:val="21"/>
                <w:u w:val="single"/>
                <w:lang w:bidi="ar"/>
              </w:rPr>
            </w:pPr>
            <w:r>
              <w:rPr>
                <w:rFonts w:hint="eastAsia"/>
                <w:b/>
                <w:bCs w:val="0"/>
                <w:color w:val="auto"/>
                <w:kern w:val="21"/>
                <w:u w:val="single"/>
                <w:lang w:val="en-US" w:eastAsia="zh-CN" w:bidi="ar"/>
              </w:rPr>
              <w:t>其他季节</w:t>
            </w:r>
          </w:p>
        </w:tc>
        <w:tc>
          <w:tcPr>
            <w:tcW w:w="399"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w:t>
            </w:r>
          </w:p>
        </w:tc>
        <w:tc>
          <w:tcPr>
            <w:tcW w:w="249"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val="en-US" w:eastAsia="zh-CN" w:bidi="ar"/>
              </w:rPr>
              <w:t>/</w:t>
            </w:r>
          </w:p>
        </w:tc>
        <w:tc>
          <w:tcPr>
            <w:tcW w:w="251"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86.2514</w:t>
            </w:r>
          </w:p>
        </w:tc>
        <w:tc>
          <w:tcPr>
            <w:tcW w:w="300" w:type="pct"/>
            <w:vAlign w:val="center"/>
          </w:tcPr>
          <w:p>
            <w:pPr>
              <w:adjustRightInd w:val="0"/>
              <w:snapToGrid w:val="0"/>
              <w:jc w:val="center"/>
              <w:rPr>
                <w:b/>
                <w:bCs w:val="0"/>
                <w:color w:val="auto"/>
                <w:kern w:val="21"/>
                <w:u w:val="single"/>
                <w:lang w:bidi="ar"/>
              </w:rPr>
            </w:pPr>
            <w:r>
              <w:rPr>
                <w:b/>
                <w:bCs w:val="0"/>
                <w:color w:val="auto"/>
                <w:kern w:val="21"/>
                <w:u w:val="single"/>
                <w:lang w:bidi="ar"/>
              </w:rPr>
              <w:t>新鲜水</w:t>
            </w:r>
          </w:p>
        </w:tc>
        <w:tc>
          <w:tcPr>
            <w:tcW w:w="282" w:type="pct"/>
            <w:vAlign w:val="center"/>
          </w:tcPr>
          <w:p>
            <w:pPr>
              <w:adjustRightInd w:val="0"/>
              <w:snapToGrid w:val="0"/>
              <w:jc w:val="center"/>
              <w:rPr>
                <w:rFonts w:hint="default" w:eastAsia="宋体"/>
                <w:b/>
                <w:bCs w:val="0"/>
                <w:color w:val="auto"/>
                <w:kern w:val="21"/>
                <w:u w:val="single"/>
                <w:lang w:val="en-US" w:eastAsia="zh-CN" w:bidi="ar"/>
              </w:rPr>
            </w:pPr>
            <w:r>
              <w:rPr>
                <w:rFonts w:hint="eastAsia"/>
                <w:b/>
                <w:bCs w:val="0"/>
                <w:color w:val="auto"/>
                <w:kern w:val="21"/>
                <w:u w:val="single"/>
                <w:lang w:val="en-US" w:eastAsia="zh-CN" w:bidi="ar"/>
              </w:rPr>
              <w:t>30.188</w:t>
            </w:r>
          </w:p>
        </w:tc>
        <w:tc>
          <w:tcPr>
            <w:tcW w:w="403"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val="en-US" w:eastAsia="zh-CN" w:bidi="ar"/>
              </w:rPr>
              <w:t>浓水</w:t>
            </w:r>
          </w:p>
        </w:tc>
        <w:tc>
          <w:tcPr>
            <w:tcW w:w="367" w:type="pct"/>
            <w:vAlign w:val="center"/>
          </w:tcPr>
          <w:p>
            <w:pPr>
              <w:adjustRightInd w:val="0"/>
              <w:snapToGrid w:val="0"/>
              <w:jc w:val="center"/>
              <w:rPr>
                <w:rFonts w:hint="eastAsia" w:eastAsia="宋体"/>
                <w:b/>
                <w:bCs w:val="0"/>
                <w:color w:val="auto"/>
                <w:kern w:val="21"/>
                <w:u w:val="single"/>
                <w:lang w:val="en-US" w:eastAsia="zh-CN" w:bidi="ar"/>
              </w:rPr>
            </w:pPr>
            <w:r>
              <w:rPr>
                <w:rFonts w:hint="eastAsia"/>
                <w:b/>
                <w:bCs w:val="0"/>
                <w:color w:val="auto"/>
                <w:kern w:val="21"/>
                <w:u w:val="single"/>
                <w:lang w:val="en-US" w:eastAsia="zh-CN" w:bidi="ar"/>
              </w:rPr>
              <w:t>/</w:t>
            </w:r>
          </w:p>
        </w:tc>
        <w:tc>
          <w:tcPr>
            <w:tcW w:w="451" w:type="pct"/>
            <w:vMerge w:val="continue"/>
            <w:vAlign w:val="center"/>
          </w:tcPr>
          <w:p>
            <w:pPr>
              <w:adjustRightInd w:val="0"/>
              <w:snapToGrid w:val="0"/>
              <w:jc w:val="center"/>
              <w:rPr>
                <w:b/>
                <w:bCs w:val="0"/>
                <w:color w:val="auto"/>
                <w:kern w:val="21"/>
                <w:u w:val="single"/>
                <w:lang w:bidi="ar"/>
              </w:rPr>
            </w:pPr>
          </w:p>
        </w:tc>
      </w:tr>
    </w:tbl>
    <w:p>
      <w:pPr>
        <w:pStyle w:val="271"/>
        <w:keepNext w:val="0"/>
        <w:keepLines w:val="0"/>
        <w:pageBreakBefore w:val="0"/>
        <w:widowControl/>
        <w:kinsoku/>
        <w:wordWrap/>
        <w:overflowPunct/>
        <w:topLinePunct w:val="0"/>
        <w:autoSpaceDE/>
        <w:autoSpaceDN/>
        <w:bidi w:val="0"/>
        <w:adjustRightInd w:val="0"/>
        <w:snapToGrid w:val="0"/>
        <w:spacing w:before="0" w:beforeLines="50" w:after="0" w:afterLines="0"/>
        <w:ind w:firstLine="482" w:firstLineChars="200"/>
        <w:textAlignment w:val="auto"/>
        <w:outlineLvl w:val="9"/>
        <w:rPr>
          <w:rFonts w:hint="default" w:eastAsia="宋体" w:cs="Times New Roman"/>
          <w:b/>
          <w:bCs/>
          <w:color w:val="auto"/>
          <w:kern w:val="21"/>
          <w:szCs w:val="24"/>
          <w:u w:val="single"/>
          <w:lang w:val="en-US" w:eastAsia="zh-CN"/>
        </w:rPr>
        <w:sectPr>
          <w:pgSz w:w="16840" w:h="11907" w:orient="landscape"/>
          <w:pgMar w:top="1440" w:right="1531" w:bottom="1440" w:left="1531" w:header="1134" w:footer="1134" w:gutter="0"/>
          <w:cols w:space="720" w:num="1"/>
        </w:sectPr>
      </w:pPr>
      <w:r>
        <w:rPr>
          <w:rFonts w:hint="eastAsia" w:eastAsia="宋体" w:cs="Times New Roman"/>
          <w:b/>
          <w:bCs/>
          <w:color w:val="auto"/>
          <w:kern w:val="21"/>
          <w:szCs w:val="24"/>
          <w:u w:val="single"/>
          <w:lang w:val="en-US" w:eastAsia="zh-CN"/>
        </w:rPr>
        <w:t>由于本项目有2台燃气锅炉，1台6t/h和1台4t/h，冬季2台同时运行，其他季节只运行1台6t/h的燃气锅炉，由水平衡分析可知，在2台锅炉同时运行（即冬季）时，全年的用排水量是最大的，因此本次评价用水排水量按2台锅炉同时运行考虑，水平衡图分冬季和其他季节绘制，具体水平衡图见下图3.3-7和图.3-8。</w:t>
      </w:r>
    </w:p>
    <w:p>
      <w:pPr>
        <w:pStyle w:val="271"/>
        <w:keepNext w:val="0"/>
        <w:keepLines w:val="0"/>
        <w:snapToGrid w:val="0"/>
        <w:spacing w:before="0" w:beforeLines="0" w:after="0" w:afterLines="0"/>
        <w:outlineLvl w:val="9"/>
        <w:rPr>
          <w:rFonts w:eastAsia="宋体" w:cs="Times New Roman"/>
          <w:color w:val="auto"/>
          <w:kern w:val="21"/>
          <w:szCs w:val="24"/>
        </w:rPr>
        <w:sectPr>
          <w:pgSz w:w="16839" w:h="23814"/>
          <w:pgMar w:top="1440" w:right="1797" w:bottom="1440" w:left="1797" w:header="1134" w:footer="1134" w:gutter="0"/>
          <w:cols w:space="720" w:num="1"/>
          <w:docGrid w:linePitch="286" w:charSpace="0"/>
        </w:sectPr>
      </w:pPr>
      <w:r>
        <w:rPr>
          <w:rFonts w:eastAsia="宋体" w:cs="Times New Roman"/>
          <w:color w:val="auto"/>
          <w:kern w:val="21"/>
          <w:szCs w:val="24"/>
        </w:rPr>
        <w:pict>
          <v:shape id="_x0000_s2466" o:spid="_x0000_s2466" o:spt="75" alt="" type="#_x0000_t75" style="position:absolute;left:0pt;margin-left:507.75pt;margin-top:590.25pt;height:67.5pt;width:137.3pt;z-index:251786240;mso-width-relative:page;mso-height-relative:page;" o:ole="t" filled="f" o:preferrelative="t" stroked="f" coordsize="21600,21600">
            <v:path/>
            <v:fill on="f" focussize="0,0"/>
            <v:stroke on="f"/>
            <v:imagedata r:id="rId54" o:title=""/>
            <o:lock v:ext="edit" aspectratio="f"/>
          </v:shape>
          <o:OLEObject Type="Embed" ProgID="Visio.Drawing.11" ShapeID="_x0000_s2466" DrawAspect="Content" ObjectID="_1468075727" r:id="rId53">
            <o:LockedField>false</o:LockedField>
          </o:OLEObject>
        </w:pict>
      </w:r>
      <w:r>
        <w:rPr>
          <w:rFonts w:eastAsia="宋体" w:cs="Times New Roman"/>
          <w:color w:val="auto"/>
          <w:kern w:val="21"/>
          <w:szCs w:val="24"/>
        </w:rPr>
        <w:drawing>
          <wp:inline distT="0" distB="0" distL="0" distR="0">
            <wp:extent cx="8297545" cy="13053695"/>
            <wp:effectExtent l="0" t="0" r="8255" b="14605"/>
            <wp:docPr id="1455" name="图片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455"/>
                    <pic:cNvPicPr>
                      <a:picLocks noChangeAspect="1"/>
                    </pic:cNvPicPr>
                  </pic:nvPicPr>
                  <pic:blipFill>
                    <a:blip r:embed="rId55"/>
                    <a:srcRect/>
                    <a:stretch>
                      <a:fillRect/>
                    </a:stretch>
                  </pic:blipFill>
                  <pic:spPr>
                    <a:xfrm>
                      <a:off x="0" y="0"/>
                      <a:ext cx="8304805" cy="13053695"/>
                    </a:xfrm>
                    <a:prstGeom prst="rect">
                      <a:avLst/>
                    </a:prstGeom>
                    <a:ln>
                      <a:noFill/>
                    </a:ln>
                  </pic:spPr>
                </pic:pic>
              </a:graphicData>
            </a:graphic>
          </wp:inline>
        </w:drawing>
      </w:r>
      <w:r>
        <w:rPr>
          <w:rFonts w:eastAsia="宋体" w:cs="Times New Roman"/>
          <w:color w:val="auto"/>
          <w:kern w:val="21"/>
          <w:szCs w:val="24"/>
        </w:rPr>
        <w:pict>
          <v:shape id="_x0000_s2467" o:spid="_x0000_s2467" o:spt="75" alt="" type="#_x0000_t75" style="position:absolute;left:0pt;margin-left:504.75pt;margin-top:576.75pt;height:67.5pt;width:137.3pt;z-index:251787264;mso-width-relative:page;mso-height-relative:page;" o:ole="t" filled="f" o:preferrelative="t" stroked="f" coordsize="21600,21600">
            <v:path/>
            <v:fill on="f" focussize="0,0"/>
            <v:stroke on="f"/>
            <v:imagedata r:id="rId54" o:title=""/>
            <o:lock v:ext="edit" aspectratio="f"/>
          </v:shape>
          <o:OLEObject Type="Embed" ProgID="Visio.Drawing.11" ShapeID="_x0000_s2467" DrawAspect="Content" ObjectID="_1468075728" r:id="rId56">
            <o:LockedField>false</o:LockedField>
          </o:OLEObject>
        </w:pict>
      </w:r>
      <w:r>
        <w:rPr>
          <w:rFonts w:eastAsia="宋体" w:cs="Times New Roman"/>
          <w:color w:val="auto"/>
          <w:kern w:val="21"/>
          <w:szCs w:val="24"/>
        </w:rPr>
        <w:drawing>
          <wp:inline distT="0" distB="0" distL="0" distR="0">
            <wp:extent cx="8169910" cy="12760325"/>
            <wp:effectExtent l="0" t="0" r="2540" b="3175"/>
            <wp:docPr id="1456" name="图片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图片 1456"/>
                    <pic:cNvPicPr>
                      <a:picLocks noChangeAspect="1"/>
                    </pic:cNvPicPr>
                  </pic:nvPicPr>
                  <pic:blipFill>
                    <a:blip r:embed="rId57"/>
                    <a:srcRect/>
                    <a:stretch>
                      <a:fillRect/>
                    </a:stretch>
                  </pic:blipFill>
                  <pic:spPr>
                    <a:xfrm>
                      <a:off x="0" y="0"/>
                      <a:ext cx="8169910" cy="12766051"/>
                    </a:xfrm>
                    <a:prstGeom prst="rect">
                      <a:avLst/>
                    </a:prstGeom>
                    <a:ln>
                      <a:noFill/>
                    </a:ln>
                  </pic:spPr>
                </pic:pic>
              </a:graphicData>
            </a:graphic>
          </wp:inline>
        </w:drawing>
      </w:r>
    </w:p>
    <w:p>
      <w:pPr>
        <w:pStyle w:val="271"/>
        <w:keepNext w:val="0"/>
        <w:keepLines w:val="0"/>
        <w:snapToGrid w:val="0"/>
        <w:spacing w:before="0" w:beforeLines="0" w:after="0" w:afterLines="0"/>
        <w:rPr>
          <w:rFonts w:eastAsia="宋体" w:cs="Times New Roman"/>
          <w:b/>
          <w:bCs/>
          <w:color w:val="auto"/>
          <w:kern w:val="21"/>
          <w:szCs w:val="22"/>
          <w:u w:val="single"/>
        </w:rPr>
      </w:pPr>
      <w:bookmarkStart w:id="189" w:name="_Toc27440"/>
      <w:r>
        <w:rPr>
          <w:rFonts w:cs="Times New Roman"/>
          <w:color w:val="auto"/>
          <w:kern w:val="21"/>
          <w:sz w:val="28"/>
          <w:szCs w:val="28"/>
        </w:rPr>
        <w:t>3.3.</w:t>
      </w:r>
      <w:r>
        <w:rPr>
          <w:rFonts w:hint="eastAsia" w:cs="Times New Roman"/>
          <w:b/>
          <w:bCs/>
          <w:color w:val="auto"/>
          <w:kern w:val="21"/>
          <w:sz w:val="28"/>
          <w:szCs w:val="28"/>
          <w:u w:val="single"/>
        </w:rPr>
        <w:t>6蒸汽</w:t>
      </w:r>
      <w:r>
        <w:rPr>
          <w:rFonts w:cs="Times New Roman"/>
          <w:b/>
          <w:bCs/>
          <w:color w:val="auto"/>
          <w:kern w:val="21"/>
          <w:sz w:val="28"/>
          <w:szCs w:val="28"/>
          <w:u w:val="single"/>
        </w:rPr>
        <w:t>平衡</w:t>
      </w:r>
    </w:p>
    <w:p>
      <w:pPr>
        <w:adjustRightInd w:val="0"/>
        <w:snapToGrid w:val="0"/>
        <w:spacing w:line="360" w:lineRule="auto"/>
        <w:ind w:firstLine="482" w:firstLineChars="200"/>
        <w:rPr>
          <w:b/>
          <w:bCs/>
          <w:color w:val="auto"/>
          <w:kern w:val="21"/>
          <w:sz w:val="24"/>
          <w:szCs w:val="24"/>
          <w:u w:val="single"/>
        </w:rPr>
      </w:pPr>
      <w:r>
        <w:rPr>
          <w:rFonts w:hint="eastAsia"/>
          <w:b/>
          <w:bCs/>
          <w:color w:val="auto"/>
          <w:kern w:val="21"/>
          <w:sz w:val="24"/>
          <w:szCs w:val="24"/>
          <w:u w:val="single"/>
        </w:rPr>
        <w:t>本项目蒸发单元采用MVR蒸发器，蒸发热源来源于厂区自建的燃气锅炉，MVR蒸发器用气主要用于蒸发器启动及保温，用量较少，生产线用气主要用于槽液保温，首次注入槽液将槽液升温至所需温度，日常仅需对槽液进行保温，使槽液维持在一个固定的温度区间，槽液温度低于温度区间下限时自动加热，达到温度区间上限时停止加热，由于冬季（11月</w:t>
      </w:r>
      <w:r>
        <w:rPr>
          <w:rFonts w:hint="eastAsia"/>
          <w:b/>
          <w:bCs/>
          <w:color w:val="auto"/>
          <w:kern w:val="21"/>
          <w:sz w:val="24"/>
          <w:szCs w:val="24"/>
          <w:u w:val="single"/>
          <w:lang w:eastAsia="zh-CN"/>
        </w:rPr>
        <w:t>～</w:t>
      </w:r>
      <w:r>
        <w:rPr>
          <w:rFonts w:hint="eastAsia"/>
          <w:b/>
          <w:bCs/>
          <w:color w:val="auto"/>
          <w:kern w:val="21"/>
          <w:sz w:val="24"/>
          <w:szCs w:val="24"/>
          <w:u w:val="single"/>
          <w:lang w:val="en-US" w:eastAsia="zh-CN"/>
        </w:rPr>
        <w:t>2</w:t>
      </w:r>
      <w:r>
        <w:rPr>
          <w:rFonts w:hint="eastAsia"/>
          <w:b/>
          <w:bCs/>
          <w:color w:val="auto"/>
          <w:kern w:val="21"/>
          <w:sz w:val="24"/>
          <w:szCs w:val="24"/>
          <w:u w:val="single"/>
        </w:rPr>
        <w:t>月）温度较低，加热频次要高于其他季节（</w:t>
      </w:r>
      <w:r>
        <w:rPr>
          <w:rFonts w:hint="eastAsia"/>
          <w:b/>
          <w:bCs/>
          <w:color w:val="auto"/>
          <w:kern w:val="21"/>
          <w:sz w:val="24"/>
          <w:szCs w:val="24"/>
          <w:u w:val="single"/>
          <w:lang w:val="en-US" w:eastAsia="zh-CN"/>
        </w:rPr>
        <w:t>3</w:t>
      </w:r>
      <w:r>
        <w:rPr>
          <w:rFonts w:hint="eastAsia"/>
          <w:b/>
          <w:bCs/>
          <w:color w:val="auto"/>
          <w:kern w:val="21"/>
          <w:sz w:val="24"/>
          <w:szCs w:val="24"/>
          <w:u w:val="single"/>
        </w:rPr>
        <w:t>月至10月），根据同类项目考察，</w:t>
      </w:r>
      <w:r>
        <w:rPr>
          <w:rFonts w:hint="eastAsia"/>
          <w:b/>
          <w:bCs/>
          <w:color w:val="auto"/>
          <w:kern w:val="21"/>
          <w:sz w:val="24"/>
          <w:szCs w:val="24"/>
          <w:u w:val="single"/>
          <w:lang w:eastAsia="zh-CN"/>
        </w:rPr>
        <w:t>其他季节（</w:t>
      </w:r>
      <w:r>
        <w:rPr>
          <w:rFonts w:hint="eastAsia"/>
          <w:b/>
          <w:bCs/>
          <w:color w:val="auto"/>
          <w:kern w:val="21"/>
          <w:sz w:val="24"/>
          <w:szCs w:val="24"/>
          <w:u w:val="single"/>
        </w:rPr>
        <w:t>春夏秋</w:t>
      </w:r>
      <w:r>
        <w:rPr>
          <w:rFonts w:hint="eastAsia"/>
          <w:b/>
          <w:bCs/>
          <w:color w:val="auto"/>
          <w:kern w:val="21"/>
          <w:sz w:val="24"/>
          <w:szCs w:val="24"/>
          <w:u w:val="single"/>
          <w:lang w:eastAsia="zh-CN"/>
        </w:rPr>
        <w:t>）</w:t>
      </w:r>
      <w:r>
        <w:rPr>
          <w:rFonts w:hint="eastAsia"/>
          <w:b/>
          <w:bCs/>
          <w:color w:val="auto"/>
          <w:kern w:val="21"/>
          <w:sz w:val="24"/>
          <w:szCs w:val="24"/>
          <w:u w:val="single"/>
        </w:rPr>
        <w:t>单日用气量约为冬季的60%</w:t>
      </w:r>
      <w:r>
        <w:rPr>
          <w:rFonts w:hint="eastAsia"/>
          <w:b/>
          <w:bCs/>
          <w:color w:val="auto"/>
          <w:kern w:val="21"/>
          <w:sz w:val="24"/>
          <w:szCs w:val="24"/>
          <w:u w:val="single"/>
          <w:lang w:eastAsia="zh-CN"/>
        </w:rPr>
        <w:t>，</w:t>
      </w:r>
      <w:r>
        <w:rPr>
          <w:rFonts w:hint="eastAsia"/>
          <w:b/>
          <w:bCs/>
          <w:color w:val="auto"/>
          <w:kern w:val="21"/>
          <w:sz w:val="24"/>
          <w:szCs w:val="24"/>
          <w:u w:val="single"/>
        </w:rPr>
        <w:t>因此项目设置两台</w:t>
      </w:r>
      <w:r>
        <w:rPr>
          <w:rFonts w:hint="eastAsia"/>
          <w:b/>
          <w:bCs/>
          <w:color w:val="auto"/>
          <w:kern w:val="21"/>
          <w:sz w:val="24"/>
          <w:szCs w:val="24"/>
          <w:u w:val="single"/>
          <w:lang w:val="en-US" w:eastAsia="zh-CN"/>
        </w:rPr>
        <w:t>燃气</w:t>
      </w:r>
      <w:r>
        <w:rPr>
          <w:rFonts w:hint="eastAsia"/>
          <w:b/>
          <w:bCs/>
          <w:color w:val="auto"/>
          <w:kern w:val="21"/>
          <w:sz w:val="24"/>
          <w:szCs w:val="24"/>
          <w:u w:val="single"/>
        </w:rPr>
        <w:t>锅炉，</w:t>
      </w:r>
      <w:r>
        <w:rPr>
          <w:rFonts w:hint="eastAsia"/>
          <w:b/>
          <w:bCs/>
          <w:color w:val="auto"/>
          <w:kern w:val="21"/>
          <w:sz w:val="24"/>
          <w:szCs w:val="24"/>
          <w:u w:val="single"/>
          <w:lang w:val="en-US" w:eastAsia="zh-CN"/>
        </w:rPr>
        <w:t>1</w:t>
      </w:r>
      <w:r>
        <w:rPr>
          <w:rFonts w:hint="eastAsia"/>
          <w:b/>
          <w:bCs/>
          <w:color w:val="auto"/>
          <w:kern w:val="21"/>
          <w:sz w:val="24"/>
          <w:szCs w:val="24"/>
          <w:u w:val="single"/>
        </w:rPr>
        <w:t>台6t/h及</w:t>
      </w:r>
      <w:r>
        <w:rPr>
          <w:rFonts w:hint="eastAsia"/>
          <w:b/>
          <w:bCs/>
          <w:color w:val="auto"/>
          <w:kern w:val="21"/>
          <w:sz w:val="24"/>
          <w:szCs w:val="24"/>
          <w:u w:val="single"/>
          <w:lang w:val="en-US" w:eastAsia="zh-CN"/>
        </w:rPr>
        <w:t>1</w:t>
      </w:r>
      <w:r>
        <w:rPr>
          <w:rFonts w:hint="eastAsia"/>
          <w:b/>
          <w:bCs/>
          <w:color w:val="auto"/>
          <w:kern w:val="21"/>
          <w:sz w:val="24"/>
          <w:szCs w:val="24"/>
          <w:u w:val="single"/>
        </w:rPr>
        <w:t>台4t/h，夏季仅使用6t/h燃气锅炉，冬季需同时使用</w:t>
      </w:r>
      <w:r>
        <w:rPr>
          <w:rFonts w:hint="eastAsia"/>
          <w:b/>
          <w:bCs/>
          <w:color w:val="auto"/>
          <w:kern w:val="21"/>
          <w:sz w:val="24"/>
          <w:szCs w:val="24"/>
          <w:u w:val="single"/>
          <w:lang w:val="en-US" w:eastAsia="zh-CN"/>
        </w:rPr>
        <w:t>2</w:t>
      </w:r>
      <w:r>
        <w:rPr>
          <w:rFonts w:hint="eastAsia"/>
          <w:b/>
          <w:bCs/>
          <w:color w:val="auto"/>
          <w:kern w:val="21"/>
          <w:sz w:val="24"/>
          <w:szCs w:val="24"/>
          <w:u w:val="single"/>
        </w:rPr>
        <w:t>台锅炉。</w:t>
      </w:r>
      <w:r>
        <w:rPr>
          <w:rFonts w:hint="eastAsia"/>
          <w:b/>
          <w:bCs/>
          <w:color w:val="auto"/>
          <w:kern w:val="21"/>
          <w:sz w:val="24"/>
          <w:szCs w:val="24"/>
          <w:u w:val="single"/>
          <w:lang w:val="en-US" w:eastAsia="zh-CN"/>
        </w:rPr>
        <w:t>本项目</w:t>
      </w:r>
      <w:r>
        <w:rPr>
          <w:rFonts w:hint="eastAsia"/>
          <w:b/>
          <w:bCs/>
          <w:color w:val="auto"/>
          <w:kern w:val="21"/>
          <w:sz w:val="24"/>
          <w:szCs w:val="24"/>
          <w:u w:val="single"/>
        </w:rPr>
        <w:t>各用</w:t>
      </w:r>
      <w:r>
        <w:rPr>
          <w:rFonts w:hint="eastAsia"/>
          <w:b/>
          <w:bCs/>
          <w:color w:val="auto"/>
          <w:kern w:val="21"/>
          <w:sz w:val="24"/>
          <w:szCs w:val="24"/>
          <w:u w:val="single"/>
          <w:lang w:eastAsia="zh-CN"/>
        </w:rPr>
        <w:t>汽</w:t>
      </w:r>
      <w:r>
        <w:rPr>
          <w:rFonts w:hint="eastAsia"/>
          <w:b/>
          <w:bCs/>
          <w:color w:val="auto"/>
          <w:kern w:val="21"/>
          <w:sz w:val="24"/>
          <w:szCs w:val="24"/>
          <w:u w:val="single"/>
        </w:rPr>
        <w:t>单元用汽量见下表</w:t>
      </w:r>
      <w:r>
        <w:rPr>
          <w:rFonts w:hint="eastAsia"/>
          <w:b/>
          <w:bCs/>
          <w:color w:val="auto"/>
          <w:kern w:val="21"/>
          <w:sz w:val="24"/>
          <w:szCs w:val="24"/>
          <w:u w:val="single"/>
          <w:lang w:val="en-US" w:eastAsia="zh-CN"/>
        </w:rPr>
        <w:t>3.3-17</w:t>
      </w:r>
      <w:r>
        <w:rPr>
          <w:rFonts w:hint="eastAsia"/>
          <w:b/>
          <w:bCs/>
          <w:color w:val="auto"/>
          <w:kern w:val="21"/>
          <w:sz w:val="24"/>
          <w:szCs w:val="24"/>
          <w:u w:val="single"/>
        </w:rPr>
        <w:t>。</w:t>
      </w:r>
    </w:p>
    <w:p>
      <w:pPr>
        <w:pStyle w:val="271"/>
        <w:keepNext w:val="0"/>
        <w:keepLines w:val="0"/>
        <w:snapToGrid w:val="0"/>
        <w:spacing w:before="0" w:beforeLines="0" w:after="0" w:afterLines="0" w:line="240" w:lineRule="auto"/>
        <w:jc w:val="center"/>
        <w:outlineLvl w:val="9"/>
        <w:rPr>
          <w:rFonts w:hint="default" w:eastAsia="黑体"/>
          <w:b/>
          <w:bCs/>
          <w:color w:val="auto"/>
          <w:kern w:val="21"/>
          <w:szCs w:val="24"/>
          <w:u w:val="single"/>
          <w:lang w:val="en-US" w:eastAsia="zh-CN"/>
        </w:rPr>
      </w:pPr>
      <w:r>
        <w:rPr>
          <w:rFonts w:hint="eastAsia" w:cs="Times New Roman"/>
          <w:b/>
          <w:bCs/>
          <w:color w:val="auto"/>
          <w:kern w:val="21"/>
          <w:szCs w:val="24"/>
          <w:u w:val="single"/>
        </w:rPr>
        <w:t>表3.3-17 项目各用汽单元</w:t>
      </w:r>
      <w:r>
        <w:rPr>
          <w:rFonts w:hint="eastAsia" w:cs="Times New Roman"/>
          <w:b/>
          <w:bCs/>
          <w:color w:val="auto"/>
          <w:kern w:val="21"/>
          <w:szCs w:val="24"/>
          <w:u w:val="single"/>
          <w:lang w:eastAsia="zh-CN"/>
        </w:rPr>
        <w:t>用汽量</w:t>
      </w:r>
      <w:r>
        <w:rPr>
          <w:rFonts w:hint="eastAsia" w:cs="Times New Roman"/>
          <w:b/>
          <w:bCs/>
          <w:color w:val="auto"/>
          <w:kern w:val="21"/>
          <w:szCs w:val="24"/>
          <w:u w:val="single"/>
        </w:rPr>
        <w:t>一览表</w:t>
      </w:r>
      <w:r>
        <w:rPr>
          <w:rFonts w:hint="eastAsia" w:cs="Times New Roman"/>
          <w:b/>
          <w:bCs/>
          <w:color w:val="auto"/>
          <w:kern w:val="21"/>
          <w:szCs w:val="24"/>
          <w:u w:val="single"/>
          <w:lang w:val="en-US" w:eastAsia="zh-CN"/>
        </w:rPr>
        <w:t xml:space="preserve">    单位：t/d</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3828"/>
        <w:gridCol w:w="1842"/>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序号</w:t>
            </w:r>
          </w:p>
        </w:tc>
        <w:tc>
          <w:tcPr>
            <w:tcW w:w="3828"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用气单元</w:t>
            </w:r>
          </w:p>
        </w:tc>
        <w:tc>
          <w:tcPr>
            <w:tcW w:w="18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冬季</w:t>
            </w:r>
          </w:p>
        </w:tc>
        <w:tc>
          <w:tcPr>
            <w:tcW w:w="1554"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lang w:val="en-US" w:eastAsia="zh-CN"/>
              </w:rPr>
              <w:t>其他季节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1</w:t>
            </w:r>
          </w:p>
        </w:tc>
        <w:tc>
          <w:tcPr>
            <w:tcW w:w="3828"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废水零排放处理系统36m</w:t>
            </w:r>
            <w:r>
              <w:rPr>
                <w:rFonts w:hint="eastAsia"/>
                <w:b/>
                <w:bCs/>
                <w:snapToGrid w:val="0"/>
                <w:color w:val="auto"/>
                <w:kern w:val="21"/>
                <w:u w:val="single"/>
                <w:vertAlign w:val="superscript"/>
              </w:rPr>
              <w:t>3</w:t>
            </w:r>
            <w:r>
              <w:rPr>
                <w:rFonts w:hint="eastAsia"/>
                <w:b/>
                <w:bCs/>
                <w:snapToGrid w:val="0"/>
                <w:color w:val="auto"/>
                <w:kern w:val="21"/>
                <w:u w:val="single"/>
              </w:rPr>
              <w:t>/d蒸发单元</w:t>
            </w:r>
          </w:p>
        </w:tc>
        <w:tc>
          <w:tcPr>
            <w:tcW w:w="18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7.7</w:t>
            </w:r>
          </w:p>
        </w:tc>
        <w:tc>
          <w:tcPr>
            <w:tcW w:w="1554"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2</w:t>
            </w:r>
          </w:p>
        </w:tc>
        <w:tc>
          <w:tcPr>
            <w:tcW w:w="3828"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10条电镀线脱脂单元</w:t>
            </w:r>
          </w:p>
        </w:tc>
        <w:tc>
          <w:tcPr>
            <w:tcW w:w="18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42.75</w:t>
            </w:r>
          </w:p>
        </w:tc>
        <w:tc>
          <w:tcPr>
            <w:tcW w:w="1554"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25.65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3</w:t>
            </w:r>
          </w:p>
        </w:tc>
        <w:tc>
          <w:tcPr>
            <w:tcW w:w="3828"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9条电镀线镀镍单元</w:t>
            </w:r>
          </w:p>
        </w:tc>
        <w:tc>
          <w:tcPr>
            <w:tcW w:w="18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142.15</w:t>
            </w:r>
          </w:p>
        </w:tc>
        <w:tc>
          <w:tcPr>
            <w:tcW w:w="1554"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85.29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0" w:type="dxa"/>
            <w:gridSpan w:val="2"/>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合计</w:t>
            </w:r>
          </w:p>
        </w:tc>
        <w:tc>
          <w:tcPr>
            <w:tcW w:w="1842"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192.6</w:t>
            </w:r>
          </w:p>
        </w:tc>
        <w:tc>
          <w:tcPr>
            <w:tcW w:w="1554" w:type="dxa"/>
            <w:vAlign w:val="center"/>
          </w:tcPr>
          <w:p>
            <w:pPr>
              <w:widowControl/>
              <w:adjustRightInd w:val="0"/>
              <w:snapToGrid w:val="0"/>
              <w:spacing w:line="240" w:lineRule="auto"/>
              <w:ind w:firstLine="0" w:firstLineChars="0"/>
              <w:jc w:val="center"/>
              <w:rPr>
                <w:b/>
                <w:bCs/>
                <w:snapToGrid w:val="0"/>
                <w:color w:val="auto"/>
                <w:kern w:val="21"/>
                <w:u w:val="single"/>
              </w:rPr>
            </w:pPr>
            <w:r>
              <w:rPr>
                <w:rFonts w:hint="eastAsia"/>
                <w:b/>
                <w:bCs/>
                <w:snapToGrid w:val="0"/>
                <w:color w:val="auto"/>
                <w:kern w:val="21"/>
                <w:u w:val="single"/>
              </w:rPr>
              <w:t>118.64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66" w:type="dxa"/>
            <w:gridSpan w:val="4"/>
            <w:vAlign w:val="center"/>
          </w:tcPr>
          <w:p>
            <w:pPr>
              <w:widowControl/>
              <w:adjustRightInd w:val="0"/>
              <w:snapToGrid w:val="0"/>
              <w:spacing w:line="240" w:lineRule="auto"/>
              <w:ind w:firstLine="0" w:firstLineChars="0"/>
              <w:jc w:val="left"/>
              <w:rPr>
                <w:rFonts w:hint="default" w:eastAsia="宋体"/>
                <w:b/>
                <w:bCs/>
                <w:snapToGrid w:val="0"/>
                <w:color w:val="auto"/>
                <w:kern w:val="21"/>
                <w:u w:val="single"/>
                <w:lang w:val="en-US" w:eastAsia="zh-CN"/>
              </w:rPr>
            </w:pPr>
            <w:r>
              <w:rPr>
                <w:rFonts w:hint="eastAsia"/>
                <w:b/>
                <w:bCs/>
                <w:snapToGrid w:val="0"/>
                <w:color w:val="auto"/>
                <w:kern w:val="21"/>
                <w:u w:val="single"/>
              </w:rPr>
              <w:t>镀锌温度为室温，无需加热</w:t>
            </w:r>
            <w:r>
              <w:rPr>
                <w:rFonts w:hint="eastAsia"/>
                <w:b/>
                <w:bCs/>
                <w:snapToGrid w:val="0"/>
                <w:color w:val="auto"/>
                <w:kern w:val="21"/>
                <w:u w:val="single"/>
                <w:lang w:eastAsia="zh-CN"/>
              </w:rPr>
              <w:t>。生产线其他季节用蒸汽量为冬季的</w:t>
            </w:r>
            <w:r>
              <w:rPr>
                <w:rFonts w:hint="eastAsia"/>
                <w:b/>
                <w:bCs/>
                <w:snapToGrid w:val="0"/>
                <w:color w:val="auto"/>
                <w:kern w:val="21"/>
                <w:u w:val="single"/>
                <w:lang w:val="en-US" w:eastAsia="zh-CN"/>
              </w:rPr>
              <w:t>60%。</w:t>
            </w:r>
          </w:p>
        </w:tc>
      </w:tr>
    </w:tbl>
    <w:p>
      <w:pPr>
        <w:keepNext w:val="0"/>
        <w:keepLines w:val="0"/>
        <w:pageBreakBefore w:val="0"/>
        <w:widowControl/>
        <w:kinsoku/>
        <w:wordWrap/>
        <w:overflowPunct/>
        <w:topLinePunct w:val="0"/>
        <w:autoSpaceDE/>
        <w:autoSpaceDN/>
        <w:bidi w:val="0"/>
        <w:adjustRightInd w:val="0"/>
        <w:snapToGrid w:val="0"/>
        <w:spacing w:before="0" w:beforeLines="50" w:line="360" w:lineRule="auto"/>
        <w:ind w:firstLine="482" w:firstLineChars="200"/>
        <w:textAlignment w:val="auto"/>
        <w:rPr>
          <w:rFonts w:hint="eastAsia"/>
          <w:b/>
          <w:bCs/>
          <w:color w:val="auto"/>
          <w:kern w:val="21"/>
          <w:sz w:val="24"/>
          <w:szCs w:val="24"/>
          <w:u w:val="single"/>
        </w:rPr>
      </w:pPr>
      <w:r>
        <w:rPr>
          <w:rFonts w:hint="eastAsia"/>
          <w:b/>
          <w:bCs/>
          <w:color w:val="auto"/>
          <w:kern w:val="21"/>
          <w:sz w:val="24"/>
          <w:szCs w:val="24"/>
          <w:u w:val="single"/>
        </w:rPr>
        <w:t>项目</w:t>
      </w:r>
      <w:r>
        <w:rPr>
          <w:rFonts w:hint="eastAsia"/>
          <w:b/>
          <w:bCs/>
          <w:color w:val="auto"/>
          <w:kern w:val="21"/>
          <w:sz w:val="24"/>
          <w:szCs w:val="24"/>
          <w:u w:val="single"/>
          <w:lang w:val="en-US" w:eastAsia="zh-CN"/>
        </w:rPr>
        <w:t>冬季和其他季节</w:t>
      </w:r>
      <w:r>
        <w:rPr>
          <w:rFonts w:hint="eastAsia"/>
          <w:b/>
          <w:bCs/>
          <w:color w:val="auto"/>
          <w:kern w:val="21"/>
          <w:sz w:val="24"/>
          <w:szCs w:val="24"/>
          <w:u w:val="single"/>
        </w:rPr>
        <w:t>蒸汽平衡图见下图</w:t>
      </w:r>
      <w:r>
        <w:rPr>
          <w:rFonts w:hint="eastAsia"/>
          <w:b/>
          <w:bCs/>
          <w:color w:val="auto"/>
          <w:kern w:val="21"/>
          <w:sz w:val="24"/>
          <w:szCs w:val="24"/>
          <w:u w:val="single"/>
          <w:lang w:val="en-US" w:eastAsia="zh-CN"/>
        </w:rPr>
        <w:t>3.3-9和图3.3-10</w:t>
      </w:r>
      <w:r>
        <w:rPr>
          <w:rFonts w:hint="eastAsia"/>
          <w:b/>
          <w:bCs/>
          <w:color w:val="auto"/>
          <w:kern w:val="21"/>
          <w:sz w:val="24"/>
          <w:szCs w:val="24"/>
          <w:u w:val="single"/>
        </w:rPr>
        <w:t>：</w:t>
      </w: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pStyle w:val="43"/>
        <w:rPr>
          <w:rFonts w:hint="eastAsia"/>
          <w:b/>
          <w:bCs/>
          <w:color w:val="auto"/>
          <w:kern w:val="21"/>
          <w:sz w:val="24"/>
          <w:szCs w:val="24"/>
          <w:u w:val="single"/>
        </w:rPr>
      </w:pPr>
    </w:p>
    <w:p>
      <w:pPr>
        <w:adjustRightInd w:val="0"/>
        <w:snapToGrid w:val="0"/>
        <w:spacing w:line="360" w:lineRule="auto"/>
        <w:rPr>
          <w:color w:val="auto"/>
          <w:kern w:val="21"/>
          <w:sz w:val="24"/>
          <w:szCs w:val="24"/>
        </w:rPr>
      </w:pPr>
      <w:r>
        <w:rPr>
          <w:color w:val="auto"/>
          <w:kern w:val="21"/>
          <w:szCs w:val="24"/>
        </w:rPr>
        <mc:AlternateContent>
          <mc:Choice Requires="wps">
            <w:drawing>
              <wp:anchor distT="0" distB="0" distL="114300" distR="114300" simplePos="0" relativeHeight="251771904" behindDoc="0" locked="0" layoutInCell="1" allowOverlap="1">
                <wp:simplePos x="0" y="0"/>
                <wp:positionH relativeFrom="column">
                  <wp:posOffset>4455795</wp:posOffset>
                </wp:positionH>
                <wp:positionV relativeFrom="paragraph">
                  <wp:posOffset>3831590</wp:posOffset>
                </wp:positionV>
                <wp:extent cx="347345" cy="0"/>
                <wp:effectExtent l="0" t="38100" r="14605" b="38100"/>
                <wp:wrapNone/>
                <wp:docPr id="1146" name="直接箭头连接符 1146"/>
                <wp:cNvGraphicFramePr/>
                <a:graphic xmlns:a="http://schemas.openxmlformats.org/drawingml/2006/main">
                  <a:graphicData uri="http://schemas.microsoft.com/office/word/2010/wordprocessingShape">
                    <wps:wsp>
                      <wps:cNvCnPr/>
                      <wps:spPr>
                        <a:xfrm>
                          <a:off x="0" y="0"/>
                          <a:ext cx="347345"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0.85pt;margin-top:301.7pt;height:0pt;width:27.35pt;z-index:251771904;mso-width-relative:page;mso-height-relative:page;" filled="f" stroked="t" coordsize="21600,21600" o:gfxdata="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f1YU62AAAAAsBAAAPAAAA&#10;AAAAAAEAIAAAACIAAABkcnMvZG93bnJldi54bWxQSwECFAAUAAAACACHTuJAS1HO4hUCAAALBAAA&#10;DgAAAAAAAAABACAAAAAnAQAAZHJzL2Uyb0RvYy54bWxQSwUGAAAAAAYABgBZAQAArgUAAAAA&#10;">
                <v:fill on="f" focussize="0,0"/>
                <v:stroke color="#FF0000 [3204]" joinstyle="round" endarrow="block"/>
                <v:imagedata o:title=""/>
                <o:lock v:ext="edit" aspectratio="f"/>
              </v:shape>
            </w:pict>
          </mc:Fallback>
        </mc:AlternateContent>
      </w:r>
      <w:r>
        <w:rPr>
          <w:color w:val="auto"/>
          <w:kern w:val="21"/>
          <w:szCs w:val="24"/>
        </w:rPr>
        <mc:AlternateContent>
          <mc:Choice Requires="wps">
            <w:drawing>
              <wp:anchor distT="0" distB="0" distL="114300" distR="114300" simplePos="0" relativeHeight="251772928" behindDoc="0" locked="0" layoutInCell="1" allowOverlap="1">
                <wp:simplePos x="0" y="0"/>
                <wp:positionH relativeFrom="column">
                  <wp:posOffset>3622675</wp:posOffset>
                </wp:positionH>
                <wp:positionV relativeFrom="paragraph">
                  <wp:posOffset>3830955</wp:posOffset>
                </wp:positionV>
                <wp:extent cx="347345" cy="0"/>
                <wp:effectExtent l="0" t="38100" r="14605" b="38100"/>
                <wp:wrapNone/>
                <wp:docPr id="1147" name="直接箭头连接符 1147"/>
                <wp:cNvGraphicFramePr/>
                <a:graphic xmlns:a="http://schemas.openxmlformats.org/drawingml/2006/main">
                  <a:graphicData uri="http://schemas.microsoft.com/office/word/2010/wordprocessingShape">
                    <wps:wsp>
                      <wps:cNvCnPr/>
                      <wps:spPr>
                        <a:xfrm>
                          <a:off x="0" y="0"/>
                          <a:ext cx="347345" cy="0"/>
                        </a:xfrm>
                        <a:prstGeom prst="straightConnector1">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5.25pt;margin-top:301.65pt;height:0pt;width:27.35pt;z-index:251772928;mso-width-relative:page;mso-height-relative:page;" filled="f" stroked="t" coordsize="21600,21600" o:gfxdata="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w3wpqtoAAAALAQAADwAA&#10;AAAAAAABACAAAAAiAAAAZHJzL2Rvd25yZXYueG1sUEsBAhQAFAAAAAgAh07iQOQ6qpgUAgAACwQA&#10;AA4AAAAAAAAAAQAgAAAAKQEAAGRycy9lMm9Eb2MueG1sUEsFBgAAAAAGAAYAWQEAAK8FAAAAAA==&#10;">
                <v:fill on="f" focussize="0,0"/>
                <v:stroke color="#00B0F0 [3204]" joinstyle="round" endarrow="block"/>
                <v:imagedata o:title=""/>
                <o:lock v:ext="edit" aspectratio="f"/>
              </v:shape>
            </w:pict>
          </mc:Fallback>
        </mc:AlternateContent>
      </w:r>
      <w:r>
        <w:rPr>
          <w:color w:val="auto"/>
          <w:kern w:val="21"/>
          <w:szCs w:val="24"/>
        </w:rPr>
        <mc:AlternateContent>
          <mc:Choice Requires="wps">
            <w:drawing>
              <wp:anchor distT="0" distB="0" distL="114300" distR="114300" simplePos="0" relativeHeight="251770880" behindDoc="0" locked="0" layoutInCell="1" allowOverlap="1">
                <wp:simplePos x="0" y="0"/>
                <wp:positionH relativeFrom="column">
                  <wp:posOffset>278130</wp:posOffset>
                </wp:positionH>
                <wp:positionV relativeFrom="paragraph">
                  <wp:posOffset>3704590</wp:posOffset>
                </wp:positionV>
                <wp:extent cx="4548505" cy="320675"/>
                <wp:effectExtent l="0" t="0" r="0" b="0"/>
                <wp:wrapNone/>
                <wp:docPr id="1145" name="Rectangle 1312"/>
                <wp:cNvGraphicFramePr/>
                <a:graphic xmlns:a="http://schemas.openxmlformats.org/drawingml/2006/main">
                  <a:graphicData uri="http://schemas.microsoft.com/office/word/2010/wordprocessingShape">
                    <wps:wsp>
                      <wps:cNvSpPr>
                        <a:spLocks noChangeArrowheads="1"/>
                      </wps:cNvSpPr>
                      <wps:spPr bwMode="auto">
                        <a:xfrm>
                          <a:off x="0" y="0"/>
                          <a:ext cx="4548505" cy="320675"/>
                        </a:xfrm>
                        <a:prstGeom prst="rect">
                          <a:avLst/>
                        </a:prstGeom>
                        <a:noFill/>
                        <a:ln>
                          <a:noFill/>
                        </a:ln>
                        <a:effectLst/>
                      </wps:spPr>
                      <wps:txbx>
                        <w:txbxContent>
                          <w:p>
                            <w:pPr>
                              <w:rPr>
                                <w:rFonts w:eastAsia="黑体"/>
                                <w:kern w:val="21"/>
                                <w:sz w:val="24"/>
                                <w:szCs w:val="24"/>
                              </w:rPr>
                            </w:pPr>
                            <w:r>
                              <w:rPr>
                                <w:rFonts w:eastAsia="黑体"/>
                                <w:b/>
                                <w:bCs/>
                                <w:kern w:val="21"/>
                                <w:sz w:val="24"/>
                                <w:szCs w:val="24"/>
                                <w:u w:val="single"/>
                              </w:rPr>
                              <w:t>图3.3-</w:t>
                            </w:r>
                            <w:r>
                              <w:rPr>
                                <w:rFonts w:hint="eastAsia" w:eastAsia="黑体"/>
                                <w:b/>
                                <w:bCs/>
                                <w:kern w:val="21"/>
                                <w:sz w:val="24"/>
                                <w:szCs w:val="24"/>
                                <w:u w:val="single"/>
                              </w:rPr>
                              <w:t>9</w:t>
                            </w:r>
                            <w:r>
                              <w:rPr>
                                <w:rFonts w:eastAsia="黑体"/>
                                <w:b/>
                                <w:bCs/>
                                <w:kern w:val="21"/>
                                <w:sz w:val="24"/>
                                <w:szCs w:val="24"/>
                                <w:u w:val="single"/>
                              </w:rPr>
                              <w:t xml:space="preserve">   项目</w:t>
                            </w:r>
                            <w:r>
                              <w:rPr>
                                <w:rFonts w:hint="eastAsia" w:eastAsia="黑体"/>
                                <w:b/>
                                <w:bCs/>
                                <w:kern w:val="21"/>
                                <w:sz w:val="24"/>
                                <w:szCs w:val="24"/>
                                <w:u w:val="single"/>
                              </w:rPr>
                              <w:t>冬季蒸汽</w:t>
                            </w:r>
                            <w:r>
                              <w:rPr>
                                <w:rFonts w:eastAsia="黑体"/>
                                <w:b/>
                                <w:bCs/>
                                <w:kern w:val="21"/>
                                <w:sz w:val="24"/>
                                <w:szCs w:val="24"/>
                                <w:u w:val="single"/>
                              </w:rPr>
                              <w:t>平衡</w:t>
                            </w:r>
                            <w:r>
                              <w:rPr>
                                <w:rFonts w:hint="eastAsia" w:eastAsia="黑体"/>
                                <w:b/>
                                <w:bCs/>
                                <w:kern w:val="21"/>
                                <w:sz w:val="24"/>
                                <w:szCs w:val="24"/>
                                <w:u w:val="single"/>
                              </w:rPr>
                              <w:t xml:space="preserve">图（t/d） 外排浓水     冷凝水    </w:t>
                            </w:r>
                            <w:r>
                              <w:rPr>
                                <w:rFonts w:hint="eastAsia" w:eastAsia="黑体"/>
                                <w:kern w:val="21"/>
                                <w:sz w:val="24"/>
                                <w:szCs w:val="24"/>
                              </w:rPr>
                              <w:t xml:space="preserve">  </w:t>
                            </w:r>
                          </w:p>
                        </w:txbxContent>
                      </wps:txbx>
                      <wps:bodyPr rot="0" vert="horz" wrap="square" lIns="91440" tIns="45720" rIns="91440" bIns="45720" anchor="t" anchorCtr="0" upright="1">
                        <a:noAutofit/>
                      </wps:bodyPr>
                    </wps:wsp>
                  </a:graphicData>
                </a:graphic>
              </wp:anchor>
            </w:drawing>
          </mc:Choice>
          <mc:Fallback>
            <w:pict>
              <v:rect id="Rectangle 1312" o:spid="_x0000_s1026" o:spt="1" style="position:absolute;left:0pt;margin-left:21.9pt;margin-top:291.7pt;height:25.25pt;width:358.15pt;z-index:251770880;mso-width-relative:page;mso-height-relative:page;" filled="f" stroked="f" coordsize="21600,21600" o:gfxdata="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BT1KHbAAAACgEAAA8AAAAAAAAAAQAg&#10;AAAAIgAAAGRycy9kb3ducmV2LnhtbFBLAQIUABQAAAAIAIdO4kBa6JWQCwIAAB8EAAAOAAAAAAAA&#10;AAEAIAAAACoBAABkcnMvZTJvRG9jLnhtbFBLBQYAAAAABgAGAFkBAACnBQAAAAA=&#10;">
                <v:fill on="f" focussize="0,0"/>
                <v:stroke on="f"/>
                <v:imagedata o:title=""/>
                <o:lock v:ext="edit" aspectratio="f"/>
                <v:textbox>
                  <w:txbxContent>
                    <w:p>
                      <w:pPr>
                        <w:rPr>
                          <w:rFonts w:eastAsia="黑体"/>
                          <w:kern w:val="21"/>
                          <w:sz w:val="24"/>
                          <w:szCs w:val="24"/>
                        </w:rPr>
                      </w:pPr>
                      <w:r>
                        <w:rPr>
                          <w:rFonts w:eastAsia="黑体"/>
                          <w:b/>
                          <w:bCs/>
                          <w:kern w:val="21"/>
                          <w:sz w:val="24"/>
                          <w:szCs w:val="24"/>
                          <w:u w:val="single"/>
                        </w:rPr>
                        <w:t>图3.3-</w:t>
                      </w:r>
                      <w:r>
                        <w:rPr>
                          <w:rFonts w:hint="eastAsia" w:eastAsia="黑体"/>
                          <w:b/>
                          <w:bCs/>
                          <w:kern w:val="21"/>
                          <w:sz w:val="24"/>
                          <w:szCs w:val="24"/>
                          <w:u w:val="single"/>
                        </w:rPr>
                        <w:t>9</w:t>
                      </w:r>
                      <w:r>
                        <w:rPr>
                          <w:rFonts w:eastAsia="黑体"/>
                          <w:b/>
                          <w:bCs/>
                          <w:kern w:val="21"/>
                          <w:sz w:val="24"/>
                          <w:szCs w:val="24"/>
                          <w:u w:val="single"/>
                        </w:rPr>
                        <w:t xml:space="preserve">   项目</w:t>
                      </w:r>
                      <w:r>
                        <w:rPr>
                          <w:rFonts w:hint="eastAsia" w:eastAsia="黑体"/>
                          <w:b/>
                          <w:bCs/>
                          <w:kern w:val="21"/>
                          <w:sz w:val="24"/>
                          <w:szCs w:val="24"/>
                          <w:u w:val="single"/>
                        </w:rPr>
                        <w:t>冬季蒸汽</w:t>
                      </w:r>
                      <w:r>
                        <w:rPr>
                          <w:rFonts w:eastAsia="黑体"/>
                          <w:b/>
                          <w:bCs/>
                          <w:kern w:val="21"/>
                          <w:sz w:val="24"/>
                          <w:szCs w:val="24"/>
                          <w:u w:val="single"/>
                        </w:rPr>
                        <w:t>平衡</w:t>
                      </w:r>
                      <w:r>
                        <w:rPr>
                          <w:rFonts w:hint="eastAsia" w:eastAsia="黑体"/>
                          <w:b/>
                          <w:bCs/>
                          <w:kern w:val="21"/>
                          <w:sz w:val="24"/>
                          <w:szCs w:val="24"/>
                          <w:u w:val="single"/>
                        </w:rPr>
                        <w:t xml:space="preserve">图（t/d） 外排浓水     冷凝水    </w:t>
                      </w:r>
                      <w:r>
                        <w:rPr>
                          <w:rFonts w:hint="eastAsia" w:eastAsia="黑体"/>
                          <w:kern w:val="21"/>
                          <w:sz w:val="24"/>
                          <w:szCs w:val="24"/>
                        </w:rPr>
                        <w:t xml:space="preserve">  </w:t>
                      </w:r>
                    </w:p>
                  </w:txbxContent>
                </v:textbox>
              </v:rect>
            </w:pict>
          </mc:Fallback>
        </mc:AlternateContent>
      </w:r>
      <w:r>
        <w:rPr>
          <w:rFonts w:hint="eastAsia"/>
          <w:color w:val="auto"/>
          <w:kern w:val="21"/>
          <w:sz w:val="24"/>
          <w:szCs w:val="24"/>
        </w:rPr>
        <mc:AlternateContent>
          <mc:Choice Requires="wpc">
            <w:drawing>
              <wp:inline distT="0" distB="0" distL="0" distR="0">
                <wp:extent cx="5226685" cy="3781425"/>
                <wp:effectExtent l="0" t="0" r="0" b="0"/>
                <wp:docPr id="1124" name="画布 11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2" name="矩形 1125"/>
                        <wps:cNvSpPr/>
                        <wps:spPr>
                          <a:xfrm>
                            <a:off x="468077" y="1698160"/>
                            <a:ext cx="805543" cy="38100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燃气锅炉</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3" name="矩形 1174"/>
                        <wps:cNvSpPr/>
                        <wps:spPr>
                          <a:xfrm>
                            <a:off x="2242069" y="544266"/>
                            <a:ext cx="1132308" cy="28304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36m</w:t>
                              </w:r>
                              <w:r>
                                <w:rPr>
                                  <w:rFonts w:hint="eastAsia"/>
                                  <w:vertAlign w:val="superscript"/>
                                </w:rPr>
                                <w:t>3</w:t>
                              </w:r>
                              <w:r>
                                <w:rPr>
                                  <w:rFonts w:hint="eastAsia"/>
                                </w:rPr>
                                <w:t>/d蒸发器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4" name="矩形 1181"/>
                        <wps:cNvSpPr/>
                        <wps:spPr>
                          <a:xfrm>
                            <a:off x="2242071" y="1745538"/>
                            <a:ext cx="1132308" cy="28304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脱脂单元</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5" name="矩形 1182"/>
                        <wps:cNvSpPr/>
                        <wps:spPr>
                          <a:xfrm>
                            <a:off x="2242070" y="3124181"/>
                            <a:ext cx="1132308" cy="28304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镀镍槽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6" name="肘形连接符 1126"/>
                        <wps:cNvCnPr>
                          <a:stCxn id="1125" idx="3"/>
                          <a:endCxn id="1174" idx="1"/>
                        </wps:cNvCnPr>
                        <wps:spPr>
                          <a:xfrm flipV="1">
                            <a:off x="1273620" y="685790"/>
                            <a:ext cx="968449" cy="1202870"/>
                          </a:xfrm>
                          <a:prstGeom prst="bentConnector3">
                            <a:avLst>
                              <a:gd name="adj1" fmla="val 50000"/>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47" name="肘形连接符 1184"/>
                        <wps:cNvCnPr>
                          <a:stCxn id="1125" idx="3"/>
                          <a:endCxn id="1181" idx="1"/>
                        </wps:cNvCnPr>
                        <wps:spPr>
                          <a:xfrm flipV="1">
                            <a:off x="1273620" y="1887062"/>
                            <a:ext cx="968451" cy="1598"/>
                          </a:xfrm>
                          <a:prstGeom prst="bentConnector3">
                            <a:avLst>
                              <a:gd name="adj1" fmla="val 50000"/>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48" name="肘形连接符 1185"/>
                        <wps:cNvCnPr>
                          <a:stCxn id="1125" idx="3"/>
                          <a:endCxn id="1182" idx="1"/>
                        </wps:cNvCnPr>
                        <wps:spPr>
                          <a:xfrm>
                            <a:off x="1273620" y="1888660"/>
                            <a:ext cx="968450" cy="1377045"/>
                          </a:xfrm>
                          <a:prstGeom prst="bentConnector3">
                            <a:avLst>
                              <a:gd name="adj1" fmla="val 50000"/>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49" name="矩形 1188"/>
                        <wps:cNvSpPr/>
                        <wps:spPr>
                          <a:xfrm>
                            <a:off x="1871405" y="457184"/>
                            <a:ext cx="381693"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7.7</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0" name="矩形 1191"/>
                        <wps:cNvSpPr/>
                        <wps:spPr>
                          <a:xfrm>
                            <a:off x="1728773" y="1605708"/>
                            <a:ext cx="567297"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42.75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1" name="矩形 1192"/>
                        <wps:cNvSpPr/>
                        <wps:spPr>
                          <a:xfrm>
                            <a:off x="1708903" y="2993203"/>
                            <a:ext cx="664181"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142.15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2" name="矩形 1193"/>
                        <wps:cNvSpPr/>
                        <wps:spPr>
                          <a:xfrm>
                            <a:off x="0" y="1605614"/>
                            <a:ext cx="589212"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9.63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3" name="直接箭头连接符 1127"/>
                        <wps:cNvCnPr/>
                        <wps:spPr>
                          <a:xfrm>
                            <a:off x="0" y="1872240"/>
                            <a:ext cx="468036" cy="0"/>
                          </a:xfrm>
                          <a:prstGeom prst="straightConnector1">
                            <a:avLst/>
                          </a:prstGeom>
                          <a:ln w="952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4" name="肘形连接符 1129"/>
                        <wps:cNvCnPr>
                          <a:stCxn id="1174" idx="3"/>
                          <a:endCxn id="1125" idx="0"/>
                        </wps:cNvCnPr>
                        <wps:spPr>
                          <a:xfrm flipH="1">
                            <a:off x="870849" y="685790"/>
                            <a:ext cx="2503528" cy="1012370"/>
                          </a:xfrm>
                          <a:prstGeom prst="bentConnector4">
                            <a:avLst>
                              <a:gd name="adj1" fmla="val -9131"/>
                              <a:gd name="adj2" fmla="val -3656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555" name="肘形连接符 1132"/>
                        <wps:cNvCnPr/>
                        <wps:spPr>
                          <a:xfrm flipH="1">
                            <a:off x="870849" y="1876429"/>
                            <a:ext cx="2503530" cy="192098"/>
                          </a:xfrm>
                          <a:prstGeom prst="bentConnector4">
                            <a:avLst>
                              <a:gd name="adj1" fmla="val -9131"/>
                              <a:gd name="adj2" fmla="val 927334"/>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6" name="肘形连接符 1133"/>
                        <wps:cNvCnPr>
                          <a:stCxn id="1182" idx="3"/>
                          <a:endCxn id="1125" idx="2"/>
                        </wps:cNvCnPr>
                        <wps:spPr>
                          <a:xfrm flipH="1" flipV="1">
                            <a:off x="870849" y="2079160"/>
                            <a:ext cx="2503529" cy="1186545"/>
                          </a:xfrm>
                          <a:prstGeom prst="bentConnector4">
                            <a:avLst>
                              <a:gd name="adj1" fmla="val -9131"/>
                              <a:gd name="adj2" fmla="val -32115"/>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57" name="矩形 1207"/>
                        <wps:cNvSpPr/>
                        <wps:spPr>
                          <a:xfrm>
                            <a:off x="3622835" y="391739"/>
                            <a:ext cx="512520"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00B0F0"/>
                                </w:rPr>
                              </w:pPr>
                              <w:r>
                                <w:rPr>
                                  <w:rFonts w:hint="eastAsia"/>
                                  <w:color w:val="00B0F0"/>
                                </w:rPr>
                                <w:t>0.076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8" name="矩形 1210"/>
                        <wps:cNvSpPr/>
                        <wps:spPr>
                          <a:xfrm>
                            <a:off x="3508155" y="1647915"/>
                            <a:ext cx="65556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color w:val="00B0F0"/>
                                </w:rPr>
                                <w:t>0. 428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59" name="矩形 1211"/>
                        <wps:cNvSpPr/>
                        <wps:spPr>
                          <a:xfrm>
                            <a:off x="3524228" y="3026375"/>
                            <a:ext cx="65556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00B0F0"/>
                                </w:rPr>
                              </w:pPr>
                              <w:r>
                                <w:rPr>
                                  <w:rFonts w:hint="eastAsia"/>
                                  <w:color w:val="00B0F0"/>
                                </w:rPr>
                                <w:t>1.422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0" name="矩形 1212"/>
                        <wps:cNvSpPr/>
                        <wps:spPr>
                          <a:xfrm>
                            <a:off x="4800214" y="1502179"/>
                            <a:ext cx="326958" cy="772859"/>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污水站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1" name="肘形连接符 1140"/>
                        <wps:cNvCnPr>
                          <a:stCxn id="1182" idx="3"/>
                          <a:endCxn id="1212" idx="1"/>
                        </wps:cNvCnPr>
                        <wps:spPr>
                          <a:xfrm flipV="1">
                            <a:off x="3374378" y="1888609"/>
                            <a:ext cx="1425836" cy="1377096"/>
                          </a:xfrm>
                          <a:prstGeom prst="bentConnector3">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62" name="肘形连接符 1141"/>
                        <wps:cNvCnPr>
                          <a:stCxn id="1181" idx="3"/>
                          <a:endCxn id="1212" idx="1"/>
                        </wps:cNvCnPr>
                        <wps:spPr>
                          <a:xfrm>
                            <a:off x="3374379" y="1887062"/>
                            <a:ext cx="1425835" cy="1547"/>
                          </a:xfrm>
                          <a:prstGeom prst="bentConnector3">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63" name="肘形连接符 1144"/>
                        <wps:cNvCnPr>
                          <a:stCxn id="1174" idx="3"/>
                          <a:endCxn id="1212" idx="1"/>
                        </wps:cNvCnPr>
                        <wps:spPr>
                          <a:xfrm>
                            <a:off x="3374377" y="685790"/>
                            <a:ext cx="1425837" cy="1202819"/>
                          </a:xfrm>
                          <a:prstGeom prst="bentConnector3">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64" name="矩形 1218"/>
                        <wps:cNvSpPr/>
                        <wps:spPr>
                          <a:xfrm>
                            <a:off x="4144592" y="1611056"/>
                            <a:ext cx="65556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00B0F0"/>
                                </w:rPr>
                              </w:pPr>
                              <w:r>
                                <w:rPr>
                                  <w:rFonts w:hint="eastAsia"/>
                                  <w:color w:val="00B0F0"/>
                                </w:rPr>
                                <w:t>1.926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5" name="AutoShape 2217"/>
                        <wps:cNvCnPr>
                          <a:cxnSpLocks noChangeShapeType="1"/>
                        </wps:cNvCnPr>
                        <wps:spPr bwMode="auto">
                          <a:xfrm rot="16200000">
                            <a:off x="2809626" y="266115"/>
                            <a:ext cx="97790" cy="458470"/>
                          </a:xfrm>
                          <a:prstGeom prst="curvedConnector2">
                            <a:avLst/>
                          </a:prstGeom>
                          <a:noFill/>
                          <a:ln w="9525">
                            <a:solidFill>
                              <a:srgbClr val="000000"/>
                            </a:solidFill>
                            <a:prstDash val="dash"/>
                            <a:round/>
                            <a:tailEnd type="triangle" w="med" len="med"/>
                          </a:ln>
                          <a:effectLst/>
                        </wps:spPr>
                        <wps:bodyPr/>
                      </wps:wsp>
                      <wps:wsp>
                        <wps:cNvPr id="566" name="矩形 1220"/>
                        <wps:cNvSpPr/>
                        <wps:spPr>
                          <a:xfrm>
                            <a:off x="2989422" y="293880"/>
                            <a:ext cx="534809"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0.308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7" name="AutoShape 2217"/>
                        <wps:cNvCnPr>
                          <a:cxnSpLocks noChangeShapeType="1"/>
                        </wps:cNvCnPr>
                        <wps:spPr bwMode="auto">
                          <a:xfrm rot="16200000">
                            <a:off x="2838634" y="1467493"/>
                            <a:ext cx="97790" cy="458470"/>
                          </a:xfrm>
                          <a:prstGeom prst="curvedConnector2">
                            <a:avLst/>
                          </a:prstGeom>
                          <a:noFill/>
                          <a:ln w="9525">
                            <a:solidFill>
                              <a:srgbClr val="000000"/>
                            </a:solidFill>
                            <a:prstDash val="dash"/>
                            <a:round/>
                            <a:tailEnd type="triangle" w="med" len="med"/>
                          </a:ln>
                          <a:effectLst/>
                        </wps:spPr>
                        <wps:bodyPr/>
                      </wps:wsp>
                      <wps:wsp>
                        <wps:cNvPr id="568" name="矩形 1226"/>
                        <wps:cNvSpPr/>
                        <wps:spPr>
                          <a:xfrm>
                            <a:off x="3018430" y="1495258"/>
                            <a:ext cx="534809"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1.71</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9" name="AutoShape 2217"/>
                        <wps:cNvCnPr>
                          <a:cxnSpLocks noChangeShapeType="1"/>
                        </wps:cNvCnPr>
                        <wps:spPr bwMode="auto">
                          <a:xfrm rot="16200000">
                            <a:off x="2605630" y="2846037"/>
                            <a:ext cx="97790" cy="458470"/>
                          </a:xfrm>
                          <a:prstGeom prst="curvedConnector2">
                            <a:avLst/>
                          </a:prstGeom>
                          <a:noFill/>
                          <a:ln w="9525">
                            <a:solidFill>
                              <a:srgbClr val="000000"/>
                            </a:solidFill>
                            <a:prstDash val="dash"/>
                            <a:round/>
                            <a:tailEnd type="triangle" w="med" len="med"/>
                          </a:ln>
                          <a:effectLst/>
                        </wps:spPr>
                        <wps:bodyPr/>
                      </wps:wsp>
                      <wps:wsp>
                        <wps:cNvPr id="570" name="矩形 1228"/>
                        <wps:cNvSpPr/>
                        <wps:spPr>
                          <a:xfrm>
                            <a:off x="2785184" y="2873735"/>
                            <a:ext cx="633098"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5.686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1" name="矩形 1229"/>
                        <wps:cNvSpPr/>
                        <wps:spPr>
                          <a:xfrm>
                            <a:off x="1458686" y="108635"/>
                            <a:ext cx="165808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7.316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3" name="矩形 1230"/>
                        <wps:cNvSpPr/>
                        <wps:spPr>
                          <a:xfrm>
                            <a:off x="870837" y="1242314"/>
                            <a:ext cx="553866" cy="348449"/>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7.316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4" name="矩形 1231"/>
                        <wps:cNvSpPr/>
                        <wps:spPr>
                          <a:xfrm>
                            <a:off x="1487410" y="3406834"/>
                            <a:ext cx="165808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40.612+135.042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5" name="矩形 1232"/>
                        <wps:cNvSpPr/>
                        <wps:spPr>
                          <a:xfrm>
                            <a:off x="315585" y="2503724"/>
                            <a:ext cx="165808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175.654</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97.75pt;width:411.55pt;" coordsize="5226685,3781425" editas="canvas" o:gfxdata="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">
                <o:lock v:ext="edit" aspectratio="f"/>
                <v:shape id="_x0000_s1026" o:spid="_x0000_s1026" style="position:absolute;left:0;top:0;height:3781425;width:5226685;" filled="f" stroked="f" coordsize="21600,21600" o:gfxdata="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">
                  <v:fill on="f" focussize="0,0"/>
                  <v:stroke on="f"/>
                  <v:imagedata o:title=""/>
                  <o:lock v:ext="edit" aspectratio="t"/>
                </v:shape>
                <v:rect id="矩形 1125" o:spid="_x0000_s1026" o:spt="1" style="position:absolute;left:468077;top:1698160;height:381000;width:805543;v-text-anchor:middle;" fillcolor="#FFFFFF [3201]" filled="t" stroked="t" coordsize="21600,21600" o:gfxdata="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kdUky1gAAAAUBAAAPAAAAAAAAAAEAIAAAACIA&#10;AABkcnMvZG93bnJldi54bWxQSwECFAAUAAAACACHTuJAXT3VL30CAAD2BAAADgAAAAAAAAABACAA&#10;AAAlAQAAZHJzL2Uyb0RvYy54bWxQSwUGAAAAAAYABgBZAQAAFAYAAAAA&#10;">
                  <v:fill on="t" focussize="0,0"/>
                  <v:stroke color="#000000 [3213]" joinstyle="round"/>
                  <v:imagedata o:title=""/>
                  <o:lock v:ext="edit" aspectratio="f"/>
                  <v:textbox>
                    <w:txbxContent>
                      <w:p>
                        <w:pPr>
                          <w:jc w:val="center"/>
                        </w:pPr>
                        <w:r>
                          <w:rPr>
                            <w:rFonts w:hint="eastAsia"/>
                          </w:rPr>
                          <w:t>燃气锅炉</w:t>
                        </w:r>
                      </w:p>
                    </w:txbxContent>
                  </v:textbox>
                </v:rect>
                <v:rect id="矩形 1174" o:spid="_x0000_s1026" o:spt="1" style="position:absolute;left:2242069;top:544266;height:283047;width:1132308;v-text-anchor:middle;" fillcolor="#FFFFFF [3201]" filled="t" stroked="t" coordsize="21600,21600" o:gfxdata="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&#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R1STLWAAAABQEAAA8AAAAAAAAAAQAgAAAAIgAAAGRy&#10;cy9kb3ducmV2LnhtbFBLAQIUABQAAAAIAIdO4kB9JqyeeQIAAPcEAAAOAAAAAAAAAAEAIAAAACUB&#10;AABkcnMvZTJvRG9jLnhtbFBLBQYAAAAABgAGAFkBAAAQBgAAAAA=&#10;">
                  <v:fill on="t" focussize="0,0"/>
                  <v:stroke color="#000000 [3213]" joinstyle="round"/>
                  <v:imagedata o:title=""/>
                  <o:lock v:ext="edit" aspectratio="f"/>
                  <v:textbox>
                    <w:txbxContent>
                      <w:p>
                        <w:pPr>
                          <w:jc w:val="center"/>
                        </w:pPr>
                        <w:r>
                          <w:rPr>
                            <w:rFonts w:hint="eastAsia"/>
                          </w:rPr>
                          <w:t>36m</w:t>
                        </w:r>
                        <w:r>
                          <w:rPr>
                            <w:rFonts w:hint="eastAsia"/>
                            <w:vertAlign w:val="superscript"/>
                          </w:rPr>
                          <w:t>3</w:t>
                        </w:r>
                        <w:r>
                          <w:rPr>
                            <w:rFonts w:hint="eastAsia"/>
                          </w:rPr>
                          <w:t>/d蒸发器</w:t>
                        </w:r>
                      </w:p>
                    </w:txbxContent>
                  </v:textbox>
                </v:rect>
                <v:rect id="矩形 1181" o:spid="_x0000_s1026" o:spt="1" style="position:absolute;left:2242071;top:1745538;height:283047;width:1132308;v-text-anchor:middle;" fillcolor="#FFFFFF [3201]" filled="t" stroked="t" coordsize="21600,21600" o:gfxdata="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kdUky1gAAAAUBAAAPAAAAAAAAAAEAIAAAACIAAABk&#10;cnMvZG93bnJldi54bWxQSwECFAAUAAAACACHTuJAJtMmp3oCAAD4BAAADgAAAAAAAAABACAAAAAl&#10;AQAAZHJzL2Uyb0RvYy54bWxQSwUGAAAAAAYABgBZAQAAEQYAAAAA&#10;">
                  <v:fill on="t" focussize="0,0"/>
                  <v:stroke color="#000000 [3213]" joinstyle="round"/>
                  <v:imagedata o:title=""/>
                  <o:lock v:ext="edit" aspectratio="f"/>
                  <v:textbox>
                    <w:txbxContent>
                      <w:p>
                        <w:pPr>
                          <w:jc w:val="center"/>
                        </w:pPr>
                        <w:r>
                          <w:rPr>
                            <w:rFonts w:hint="eastAsia"/>
                          </w:rPr>
                          <w:t>脱脂单元</w:t>
                        </w:r>
                      </w:p>
                    </w:txbxContent>
                  </v:textbox>
                </v:rect>
                <v:rect id="矩形 1182" o:spid="_x0000_s1026" o:spt="1" style="position:absolute;left:2242070;top:3124181;height:283047;width:1132308;v-text-anchor:middle;" fillcolor="#FFFFFF [3201]" filled="t" stroked="t" coordsize="21600,21600" o:gfxdata="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&#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kdUky1gAAAAUBAAAPAAAAAAAAAAEAIAAAACIAAABk&#10;cnMvZG93bnJldi54bWxQSwECFAAUAAAACACHTuJA6AHCDXoCAAD4BAAADgAAAAAAAAABACAAAAAl&#10;AQAAZHJzL2Uyb0RvYy54bWxQSwUGAAAAAAYABgBZAQAAEQYAAAAA&#10;">
                  <v:fill on="t" focussize="0,0"/>
                  <v:stroke color="#000000 [3213]" joinstyle="round"/>
                  <v:imagedata o:title=""/>
                  <o:lock v:ext="edit" aspectratio="f"/>
                  <v:textbox>
                    <w:txbxContent>
                      <w:p>
                        <w:pPr>
                          <w:jc w:val="center"/>
                        </w:pPr>
                        <w:r>
                          <w:rPr>
                            <w:rFonts w:hint="eastAsia"/>
                          </w:rPr>
                          <w:t>镀镍槽</w:t>
                        </w:r>
                      </w:p>
                    </w:txbxContent>
                  </v:textbox>
                </v:rect>
                <v:shape id="肘形连接符 1126" o:spid="_x0000_s1026" o:spt="34" type="#_x0000_t34" style="position:absolute;left:1273620;top:685790;flip:y;height:1202870;width:968449;" filled="f" stroked="t" coordsize="21600,21600" o:gfxdata="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7egbvUAAAABQEA&#10;AA8AAAAAAAAAAQAgAAAAIgAAAGRycy9kb3ducmV2LnhtbFBLAQIUABQAAAAIAIdO4kDWQZSMVwIA&#10;AI4EAAAOAAAAAAAAAAEAIAAAACMBAABkcnMvZTJvRG9jLnhtbFBLBQYAAAAABgAGAFkBAADsBQAA&#10;AAA=&#10;" adj="10800">
                  <v:fill on="f" focussize="0,0"/>
                  <v:stroke color="#000000 [3213]" joinstyle="round" endarrow="block"/>
                  <v:imagedata o:title=""/>
                  <o:lock v:ext="edit" aspectratio="f"/>
                </v:shape>
                <v:shape id="肘形连接符 1184" o:spid="_x0000_s1026" o:spt="34" type="#_x0000_t34" style="position:absolute;left:1273620;top:1887062;flip:y;height:1598;width:968451;" filled="f" stroked="t" coordsize="21600,21600" o:gfxdata="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7egbvUAAAABQEAAA8AAAAA&#10;AAAAAQAgAAAAIgAAAGRycy9kb3ducmV2LnhtbFBLAQIUABQAAAAIAIdO4kBzzcVcUQIAAIwEAAAO&#10;AAAAAAAAAAEAIAAAACMBAABkcnMvZTJvRG9jLnhtbFBLBQYAAAAABgAGAFkBAADmBQAAAAA=&#10;" adj="10800">
                  <v:fill on="f" focussize="0,0"/>
                  <v:stroke color="#000000 [3213]" joinstyle="round" endarrow="block"/>
                  <v:imagedata o:title=""/>
                  <o:lock v:ext="edit" aspectratio="f"/>
                </v:shape>
                <v:shape id="肘形连接符 1185" o:spid="_x0000_s1026" o:spt="34" type="#_x0000_t34" style="position:absolute;left:1273620;top:1888660;height:1377045;width:968450;" filled="f" stroked="t" coordsize="21600,21600" o:gfxdata="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OBCiHWAAAABQEAAA8AAAAA&#10;AAAAAQAgAAAAIgAAAGRycy9kb3ducmV2LnhtbFBLAQIUABQAAAAIAIdO4kCHNDCfTwIAAIUEAAAO&#10;AAAAAAAAAAEAIAAAACUBAABkcnMvZTJvRG9jLnhtbFBLBQYAAAAABgAGAFkBAADmBQAAAAA=&#10;" adj="10800">
                  <v:fill on="f" focussize="0,0"/>
                  <v:stroke color="#000000 [3213]" joinstyle="round" endarrow="block"/>
                  <v:imagedata o:title=""/>
                  <o:lock v:ext="edit" aspectratio="f"/>
                </v:shape>
                <v:rect id="矩形 1188" o:spid="_x0000_s1026" o:spt="1" style="position:absolute;left:1871405;top:457184;height:283047;width:381693;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DL0oO8YgIAAKQEAAAOAAAAAAAAAAEAIAAAACEBAABkcnMvZTJvRG9jLnhtbFBLBQYAAAAABgAG&#10;AFkBAAD1BQAAAAA=&#10;">
                  <v:fill on="f" focussize="0,0"/>
                  <v:stroke on="f"/>
                  <v:imagedata o:title=""/>
                  <o:lock v:ext="edit" aspectratio="f"/>
                  <v:textbox>
                    <w:txbxContent>
                      <w:p>
                        <w:pPr>
                          <w:jc w:val="center"/>
                        </w:pPr>
                        <w:r>
                          <w:rPr>
                            <w:rFonts w:hint="eastAsia"/>
                          </w:rPr>
                          <w:t>7.7</w:t>
                        </w:r>
                      </w:p>
                    </w:txbxContent>
                  </v:textbox>
                </v:rect>
                <v:rect id="矩形 1191" o:spid="_x0000_s1026" o:spt="1" style="position:absolute;left:1728773;top:1605708;height:283047;width:567297;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CZL0dIYgIAAKUEAAAOAAAAAAAAAAEAIAAAACEBAABkcnMvZTJvRG9jLnhtbFBLBQYAAAAABgAG&#10;AFkBAAD1BQAAAAA=&#10;">
                  <v:fill on="f" focussize="0,0"/>
                  <v:stroke on="f"/>
                  <v:imagedata o:title=""/>
                  <o:lock v:ext="edit" aspectratio="f"/>
                  <v:textbox>
                    <w:txbxContent>
                      <w:p>
                        <w:pPr>
                          <w:jc w:val="center"/>
                        </w:pPr>
                        <w:r>
                          <w:rPr>
                            <w:rFonts w:hint="eastAsia"/>
                          </w:rPr>
                          <w:t>42.75</w:t>
                        </w:r>
                      </w:p>
                    </w:txbxContent>
                  </v:textbox>
                </v:rect>
                <v:rect id="矩形 1192" o:spid="_x0000_s1026" o:spt="1" style="position:absolute;left:1708903;top:2993203;height:283047;width:664181;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pY0g9&#10;0gAAAAUBAAAPAAAAAAAAAAEAIAAAACIAAABkcnMvZG93bnJldi54bWxQSwECFAAUAAAACACHTuJA&#10;+PzsCWACAAClBAAADgAAAAAAAAABACAAAAAhAQAAZHJzL2Uyb0RvYy54bWxQSwUGAAAAAAYABgBZ&#10;AQAA8wUAAAAA&#10;">
                  <v:fill on="f" focussize="0,0"/>
                  <v:stroke on="f"/>
                  <v:imagedata o:title=""/>
                  <o:lock v:ext="edit" aspectratio="f"/>
                  <v:textbox>
                    <w:txbxContent>
                      <w:p>
                        <w:pPr>
                          <w:jc w:val="center"/>
                        </w:pPr>
                        <w:r>
                          <w:rPr>
                            <w:rFonts w:hint="eastAsia"/>
                          </w:rPr>
                          <w:t>142.15</w:t>
                        </w:r>
                      </w:p>
                    </w:txbxContent>
                  </v:textbox>
                </v:rect>
                <v:rect id="矩形 1193" o:spid="_x0000_s1026" o:spt="1" style="position:absolute;left:0;top:1605614;height:283047;width:589212;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pY0g90gAA&#10;AAUBAAAPAAAAAAAAAAEAIAAAACIAAABkcnMvZG93bnJldi54bWxQSwECFAAUAAAACACHTuJAvN0r&#10;mV0CAACfBAAADgAAAAAAAAABACAAAAAhAQAAZHJzL2Uyb0RvYy54bWxQSwUGAAAAAAYABgBZAQAA&#10;8AUAAAAA&#10;">
                  <v:fill on="f" focussize="0,0"/>
                  <v:stroke on="f"/>
                  <v:imagedata o:title=""/>
                  <o:lock v:ext="edit" aspectratio="f"/>
                  <v:textbox>
                    <w:txbxContent>
                      <w:p>
                        <w:pPr>
                          <w:jc w:val="center"/>
                        </w:pPr>
                        <w:r>
                          <w:rPr>
                            <w:rFonts w:hint="eastAsia"/>
                          </w:rPr>
                          <w:t>9.63</w:t>
                        </w:r>
                      </w:p>
                    </w:txbxContent>
                  </v:textbox>
                </v:rect>
                <v:shape id="直接箭头连接符 1127" o:spid="_x0000_s1026" o:spt="32" type="#_x0000_t32" style="position:absolute;left:0;top:1872240;height:0;width:468036;" filled="f" stroked="t" coordsize="21600,21600" o:gfxdata="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vDWM9gAAAAF&#10;AQAADwAAAAAAAAABACAAAAAiAAAAZHJzL2Rvd25yZXYueG1sUEsBAhQAFAAAAAgAh07iQLK3FR4c&#10;AgAAEAQAAA4AAAAAAAAAAQAgAAAAJwEAAGRycy9lMm9Eb2MueG1sUEsFBgAAAAAGAAYAWQEAALUF&#10;AAAAAA==&#10;">
                  <v:fill on="f" focussize="0,0"/>
                  <v:stroke color="#000000 [3213]" joinstyle="round" endarrow="block"/>
                  <v:imagedata o:title=""/>
                  <o:lock v:ext="edit" aspectratio="f"/>
                </v:shape>
                <v:shape id="肘形连接符 1129" o:spid="_x0000_s1026" o:spt="35" type="#_x0000_t35" style="position:absolute;left:870849;top:685790;flip:x;height:1012370;width:2503528;" filled="f" stroked="t" coordsize="21600,21600" o:gfxdata="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3xwx5NUAAAAFAQAADwAA&#10;AAAAAAABACAAAAAiAAAAZHJzL2Rvd25yZXYueG1sUEsBAhQAFAAAAAgAh07iQNaIymhSAgAAdAQA&#10;AA4AAAAAAAAAAQAgAAAAJAEAAGRycy9lMm9Eb2MueG1sUEsFBgAAAAAGAAYAWQEAAOgFAAAAAA==&#10;" adj="-1972,-7897">
                  <v:fill on="f" focussize="0,0"/>
                  <v:stroke color="#FF0000 [3204]" joinstyle="round" endarrow="open"/>
                  <v:imagedata o:title=""/>
                  <o:lock v:ext="edit" aspectratio="f"/>
                </v:shape>
                <v:shape id="肘形连接符 1132" o:spid="_x0000_s1026" o:spt="35" type="#_x0000_t35" style="position:absolute;left:870849;top:1876429;flip:x;height:192098;width:2503530;" filled="f" stroked="t" coordsize="21600,21600" o:gfxdata="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rxSi9IAAAAFAQAADwAAAAAAAAAB&#10;ACAAAAAiAAAAZHJzL2Rvd25yZXYueG1sUEsBAhQAFAAAAAgAh07iQMwEaKFPAgAAbQQAAA4AAAAA&#10;AAAAAQAgAAAAIQEAAGRycy9lMm9Eb2MueG1sUEsFBgAAAAAGAAYAWQEAAOIFAAAAAA==&#10;" adj="-1972,200304">
                  <v:fill on="f" focussize="0,0"/>
                  <v:stroke color="#FF0000 [3204]" joinstyle="round" endarrow="block"/>
                  <v:imagedata o:title=""/>
                  <o:lock v:ext="edit" aspectratio="f"/>
                </v:shape>
                <v:shape id="肘形连接符 1133" o:spid="_x0000_s1026" o:spt="35" type="#_x0000_t35" style="position:absolute;left:870849;top:2079160;flip:x y;height:1186545;width:2503529;" filled="f" stroked="t" coordsize="21600,21600" o:gfxdata="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OofqLVAAAABQEAAA8AAAAAAAAAAQAgAAAAIgAAAGRycy9kb3ducmV2LnhtbFBL&#10;AQIUABQAAAAIAIdO4kAlOuAAawIAAL4EAAAOAAAAAAAAAAEAIAAAACQBAABkcnMvZTJvRG9jLnht&#10;bFBLBQYAAAAABgAGAFkBAAABBgAAAAA=&#10;" adj="-1972,-6937">
                  <v:fill on="f" focussize="0,0"/>
                  <v:stroke color="#FF0000 [3204]" joinstyle="round" endarrow="block"/>
                  <v:imagedata o:title=""/>
                  <o:lock v:ext="edit" aspectratio="f"/>
                </v:shape>
                <v:rect id="矩形 1207" o:spid="_x0000_s1026" o:spt="1" style="position:absolute;left:3622835;top:391739;height:283047;width:512520;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WNI&#10;PdIAAAAFAQAADwAAAAAAAAABACAAAAAiAAAAZHJzL2Rvd25yZXYueG1sUEsBAhQAFAAAAAgAh07i&#10;QISIEAZhAgAApAQAAA4AAAAAAAAAAQAgAAAAIQEAAGRycy9lMm9Eb2MueG1sUEsFBgAAAAAGAAYA&#10;WQEAAPQFAAAAAA==&#10;">
                  <v:fill on="f" focussize="0,0"/>
                  <v:stroke on="f"/>
                  <v:imagedata o:title=""/>
                  <o:lock v:ext="edit" aspectratio="f"/>
                  <v:textbox>
                    <w:txbxContent>
                      <w:p>
                        <w:pPr>
                          <w:jc w:val="center"/>
                          <w:rPr>
                            <w:color w:val="00B0F0"/>
                          </w:rPr>
                        </w:pPr>
                        <w:r>
                          <w:rPr>
                            <w:rFonts w:hint="eastAsia"/>
                            <w:color w:val="00B0F0"/>
                          </w:rPr>
                          <w:t>0.076</w:t>
                        </w:r>
                      </w:p>
                    </w:txbxContent>
                  </v:textbox>
                </v:rect>
                <v:rect id="矩形 1210" o:spid="_x0000_s1026" o:spt="1" style="position:absolute;left:3508155;top:1647915;height:283047;width:655565;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WNI&#10;PdIAAAAFAQAADwAAAAAAAAABACAAAAAiAAAAZHJzL2Rvd25yZXYueG1sUEsBAhQAFAAAAAgAh07i&#10;QM8KFyFhAgAApQQAAA4AAAAAAAAAAQAgAAAAIQEAAGRycy9lMm9Eb2MueG1sUEsFBgAAAAAGAAYA&#10;WQEAAPQFAAAAAA==&#10;">
                  <v:fill on="f" focussize="0,0"/>
                  <v:stroke on="f"/>
                  <v:imagedata o:title=""/>
                  <o:lock v:ext="edit" aspectratio="f"/>
                  <v:textbox>
                    <w:txbxContent>
                      <w:p>
                        <w:pPr>
                          <w:jc w:val="center"/>
                        </w:pPr>
                        <w:r>
                          <w:rPr>
                            <w:rFonts w:hint="eastAsia"/>
                            <w:color w:val="00B0F0"/>
                          </w:rPr>
                          <w:t>0. 428</w:t>
                        </w:r>
                      </w:p>
                    </w:txbxContent>
                  </v:textbox>
                </v:rect>
                <v:rect id="矩形 1211" o:spid="_x0000_s1026" o:spt="1" style="position:absolute;left:3524228;top:3026375;height:283047;width:655565;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Bcck0dYgIAAKUEAAAOAAAAAAAAAAEAIAAAACEBAABkcnMvZTJvRG9jLnhtbFBLBQYAAAAABgAG&#10;AFkBAAD1BQAAAAA=&#10;">
                  <v:fill on="f" focussize="0,0"/>
                  <v:stroke on="f"/>
                  <v:imagedata o:title=""/>
                  <o:lock v:ext="edit" aspectratio="f"/>
                  <v:textbox>
                    <w:txbxContent>
                      <w:p>
                        <w:pPr>
                          <w:jc w:val="center"/>
                          <w:rPr>
                            <w:color w:val="00B0F0"/>
                          </w:rPr>
                        </w:pPr>
                        <w:r>
                          <w:rPr>
                            <w:rFonts w:hint="eastAsia"/>
                            <w:color w:val="00B0F0"/>
                          </w:rPr>
                          <w:t>1.422</w:t>
                        </w:r>
                      </w:p>
                    </w:txbxContent>
                  </v:textbox>
                </v:rect>
                <v:rect id="矩形 1212" o:spid="_x0000_s1026" o:spt="1" style="position:absolute;left:4800214;top:1502179;height:772859;width:326958;v-text-anchor:middle;" fillcolor="#FFFFFF [3201]" filled="t" stroked="t" coordsize="21600,21600" o:gfxdata="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5HVJMtYAAAAFAQAADwAAAAAAAAABACAAAAAiAAAA&#10;ZHJzL2Rvd25yZXYueG1sUEsBAhQAFAAAAAgAh07iQGl516J7AgAA9wQAAA4AAAAAAAAAAQAgAAAA&#10;JQEAAGRycy9lMm9Eb2MueG1sUEsFBgAAAAAGAAYAWQEAABIGAAAAAA==&#10;">
                  <v:fill on="t" focussize="0,0"/>
                  <v:stroke color="#000000 [3213]" joinstyle="round"/>
                  <v:imagedata o:title=""/>
                  <o:lock v:ext="edit" aspectratio="f"/>
                  <v:textbox>
                    <w:txbxContent>
                      <w:p>
                        <w:pPr>
                          <w:jc w:val="center"/>
                        </w:pPr>
                        <w:r>
                          <w:rPr>
                            <w:rFonts w:hint="eastAsia"/>
                          </w:rPr>
                          <w:t>污水站</w:t>
                        </w:r>
                      </w:p>
                    </w:txbxContent>
                  </v:textbox>
                </v:rect>
                <v:shape id="肘形连接符 1140" o:spid="_x0000_s1026" o:spt="34" type="#_x0000_t34" style="position:absolute;left:3374378;top:1888609;flip:y;height:1377096;width:1425836;" filled="f" stroked="t" coordsize="21600,21600" o:gfxdata="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pBfu51gAAAAUBAAAPAAAAAAAAAAEAIAAA&#10;ACIAAABkcnMvZG93bnJldi54bWxQSwECFAAUAAAACACHTuJAX+kwO0cCAABjBAAADgAAAAAAAAAB&#10;ACAAAAAlAQAAZHJzL2Uyb0RvYy54bWxQSwUGAAAAAAYABgBZAQAA3gUAAAAA&#10;" adj="10800">
                  <v:fill on="f" focussize="0,0"/>
                  <v:stroke color="#00B0F0 [3204]" joinstyle="round" endarrow="block"/>
                  <v:imagedata o:title=""/>
                  <o:lock v:ext="edit" aspectratio="f"/>
                </v:shape>
                <v:shape id="肘形连接符 1141" o:spid="_x0000_s1026" o:spt="34" type="#_x0000_t34" style="position:absolute;left:3374379;top:1887062;height:1547;width:1425835;" filled="f" stroked="t" coordsize="21600,21600" o:gfxdata="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kdNgHNYAAAAFAQAADwAAAAAAAAABACAAAAAiAAAAZHJz&#10;L2Rvd25yZXYueG1sUEsBAhQAFAAAAAgAh07iQAUJN6s/AgAAVgQAAA4AAAAAAAAAAQAgAAAAJQEA&#10;AGRycy9lMm9Eb2MueG1sUEsFBgAAAAAGAAYAWQEAANYFAAAAAA==&#10;" adj="10800">
                  <v:fill on="f" focussize="0,0"/>
                  <v:stroke color="#00B0F0 [3204]" joinstyle="round" endarrow="block"/>
                  <v:imagedata o:title=""/>
                  <o:lock v:ext="edit" aspectratio="f"/>
                </v:shape>
                <v:shape id="肘形连接符 1144" o:spid="_x0000_s1026" o:spt="34" type="#_x0000_t34" style="position:absolute;left:3374377;top:685790;height:1202819;width:1425837;" filled="f" stroked="t" coordsize="21600,21600" o:gfxdata="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HTYBzWAAAABQEAAA8AAAAAAAAAAQAgAAAAIgAAAGRy&#10;cy9kb3ducmV2LnhtbFBLAQIUABQAAAAIAIdO4kArtAjGQAIAAFgEAAAOAAAAAAAAAAEAIAAAACUB&#10;AABkcnMvZTJvRG9jLnhtbFBLBQYAAAAABgAGAFkBAADXBQAAAAA=&#10;" adj="10800">
                  <v:fill on="f" focussize="0,0"/>
                  <v:stroke color="#00B0F0 [3204]" joinstyle="round" endarrow="block"/>
                  <v:imagedata o:title=""/>
                  <o:lock v:ext="edit" aspectratio="f"/>
                </v:shape>
                <v:rect id="矩形 1218" o:spid="_x0000_s1026" o:spt="1" style="position:absolute;left:4144592;top:1611056;height:283047;width:655565;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BVzPIZYgIAAKUEAAAOAAAAAAAAAAEAIAAAACEBAABkcnMvZTJvRG9jLnhtbFBLBQYAAAAABgAG&#10;AFkBAAD1BQAAAAA=&#10;">
                  <v:fill on="f" focussize="0,0"/>
                  <v:stroke on="f"/>
                  <v:imagedata o:title=""/>
                  <o:lock v:ext="edit" aspectratio="f"/>
                  <v:textbox>
                    <w:txbxContent>
                      <w:p>
                        <w:pPr>
                          <w:jc w:val="center"/>
                          <w:rPr>
                            <w:color w:val="00B0F0"/>
                          </w:rPr>
                        </w:pPr>
                        <w:r>
                          <w:rPr>
                            <w:rFonts w:hint="eastAsia"/>
                            <w:color w:val="00B0F0"/>
                          </w:rPr>
                          <w:t>1.926</w:t>
                        </w:r>
                      </w:p>
                    </w:txbxContent>
                  </v:textbox>
                </v:rect>
                <v:shape id="AutoShape 2217" o:spid="_x0000_s1026" o:spt="37" type="#_x0000_t37" style="position:absolute;left:2809626;top:266115;height:458470;width:97790;rotation:-5898240f;" filled="f" stroked="t" coordsize="21600,21600" o:gfxdata="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JUPGC1wAAAAUBAAAP&#10;AAAAAAAAAAEAIAAAACIAAABkcnMvZG93bnJldi54bWxQSwECFAAUAAAACACHTuJASezPoBkCAAAm&#10;BAAADgAAAAAAAAABACAAAAAmAQAAZHJzL2Uyb0RvYy54bWxQSwUGAAAAAAYABgBZAQAAsQUAAAAA&#10;">
                  <v:fill on="f" focussize="0,0"/>
                  <v:stroke color="#000000" joinstyle="round" dashstyle="dash" endarrow="block"/>
                  <v:imagedata o:title=""/>
                  <o:lock v:ext="edit" aspectratio="f"/>
                </v:shape>
                <v:rect id="矩形 1220" o:spid="_x0000_s1026" o:spt="1" style="position:absolute;left:2989422;top:293880;height:283047;width:534809;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pY0g9&#10;0gAAAAUBAAAPAAAAAAAAAAEAIAAAACIAAABkcnMvZG93bnJldi54bWxQSwECFAAUAAAACACHTuJA&#10;Qlgt22ACAACkBAAADgAAAAAAAAABACAAAAAhAQAAZHJzL2Uyb0RvYy54bWxQSwUGAAAAAAYABgBZ&#10;AQAA8wUAAAAA&#10;">
                  <v:fill on="f" focussize="0,0"/>
                  <v:stroke on="f"/>
                  <v:imagedata o:title=""/>
                  <o:lock v:ext="edit" aspectratio="f"/>
                  <v:textbox>
                    <w:txbxContent>
                      <w:p>
                        <w:pPr>
                          <w:jc w:val="center"/>
                        </w:pPr>
                        <w:r>
                          <w:rPr>
                            <w:rFonts w:hint="eastAsia"/>
                          </w:rPr>
                          <w:t>0.308</w:t>
                        </w:r>
                      </w:p>
                    </w:txbxContent>
                  </v:textbox>
                </v:rect>
                <v:shape id="AutoShape 2217" o:spid="_x0000_s1026" o:spt="37" type="#_x0000_t37" style="position:absolute;left:2838634;top:1467493;height:458470;width:97790;rotation:-5898240f;" filled="f" stroked="t" coordsize="21600,21600" o:gfxdata="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JUPGC1wAAAAUB&#10;AAAPAAAAAAAAAAEAIAAAACIAAABkcnMvZG93bnJldi54bWxQSwECFAAUAAAACACHTuJAL8x6OBwC&#10;AAAnBAAADgAAAAAAAAABACAAAAAmAQAAZHJzL2Uyb0RvYy54bWxQSwUGAAAAAAYABgBZAQAAtAUA&#10;AAAA&#10;">
                  <v:fill on="f" focussize="0,0"/>
                  <v:stroke color="#000000" joinstyle="round" dashstyle="dash" endarrow="block"/>
                  <v:imagedata o:title=""/>
                  <o:lock v:ext="edit" aspectratio="f"/>
                </v:shape>
                <v:rect id="矩形 1226" o:spid="_x0000_s1026" o:spt="1" style="position:absolute;left:3018430;top:1495258;height:283047;width:534809;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Ck7VkRYgIAAKUEAAAOAAAAAAAAAAEAIAAAACEBAABkcnMvZTJvRG9jLnhtbFBLBQYAAAAABgAG&#10;AFkBAAD1BQAAAAA=&#10;">
                  <v:fill on="f" focussize="0,0"/>
                  <v:stroke on="f"/>
                  <v:imagedata o:title=""/>
                  <o:lock v:ext="edit" aspectratio="f"/>
                  <v:textbox>
                    <w:txbxContent>
                      <w:p>
                        <w:pPr>
                          <w:jc w:val="center"/>
                        </w:pPr>
                        <w:r>
                          <w:rPr>
                            <w:rFonts w:hint="eastAsia"/>
                          </w:rPr>
                          <w:t>1.71</w:t>
                        </w:r>
                      </w:p>
                    </w:txbxContent>
                  </v:textbox>
                </v:rect>
                <v:shape id="AutoShape 2217" o:spid="_x0000_s1026" o:spt="37" type="#_x0000_t37" style="position:absolute;left:2605630;top:2846037;height:458470;width:97790;rotation:-5898240f;" filled="f" stroked="t" coordsize="21600,21600" o:gfxdata="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lQ8YLXAAAABQEA&#10;AA8AAAAAAAAAAQAgAAAAIgAAAGRycy9kb3ducmV2LnhtbFBLAQIUABQAAAAIAIdO4kBvSNnfGwIA&#10;ACcEAAAOAAAAAAAAAAEAIAAAACYBAABkcnMvZTJvRG9jLnhtbFBLBQYAAAAABgAGAFkBAACzBQAA&#10;AAA=&#10;">
                  <v:fill on="f" focussize="0,0"/>
                  <v:stroke color="#000000" joinstyle="round" dashstyle="dash" endarrow="block"/>
                  <v:imagedata o:title=""/>
                  <o:lock v:ext="edit" aspectratio="f"/>
                </v:shape>
                <v:rect id="矩形 1228" o:spid="_x0000_s1026" o:spt="1" style="position:absolute;left:2785184;top:2873735;height:283047;width:633098;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Bm8c0mYgIAAKUEAAAOAAAAAAAAAAEAIAAAACEBAABkcnMvZTJvRG9jLnhtbFBLBQYAAAAABgAG&#10;AFkBAAD1BQAAAAA=&#10;">
                  <v:fill on="f" focussize="0,0"/>
                  <v:stroke on="f"/>
                  <v:imagedata o:title=""/>
                  <o:lock v:ext="edit" aspectratio="f"/>
                  <v:textbox>
                    <w:txbxContent>
                      <w:p>
                        <w:pPr>
                          <w:jc w:val="center"/>
                        </w:pPr>
                        <w:r>
                          <w:rPr>
                            <w:rFonts w:hint="eastAsia"/>
                          </w:rPr>
                          <w:t>5.686</w:t>
                        </w:r>
                      </w:p>
                    </w:txbxContent>
                  </v:textbox>
                </v:rect>
                <v:rect id="矩形 1229" o:spid="_x0000_s1026" o:spt="1" style="position:absolute;left:1458686;top:108635;height:283047;width:1658085;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CGyvoDYgIAAKUEAAAOAAAAAAAAAAEAIAAAACEBAABkcnMvZTJvRG9jLnhtbFBLBQYAAAAABgAG&#10;AFkBAAD1BQAAAAA=&#10;">
                  <v:fill on="f" focussize="0,0"/>
                  <v:stroke on="f"/>
                  <v:imagedata o:title=""/>
                  <o:lock v:ext="edit" aspectratio="f"/>
                  <v:textbox>
                    <w:txbxContent>
                      <w:p>
                        <w:pPr>
                          <w:jc w:val="center"/>
                          <w:rPr>
                            <w:color w:val="FF0000"/>
                          </w:rPr>
                        </w:pPr>
                        <w:r>
                          <w:rPr>
                            <w:rFonts w:hint="eastAsia"/>
                            <w:color w:val="FF0000"/>
                          </w:rPr>
                          <w:t>7.316</w:t>
                        </w:r>
                      </w:p>
                    </w:txbxContent>
                  </v:textbox>
                </v:rect>
                <v:rect id="矩形 1230" o:spid="_x0000_s1026" o:spt="1" style="position:absolute;left:870837;top:1242314;height:348449;width:553866;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lj&#10;SD3SAAAABQEAAA8AAAAAAAAAAQAgAAAAIgAAAGRycy9kb3ducmV2LnhtbFBLAQIUABQAAAAIAIdO&#10;4kC9KRikYgIAAKQEAAAOAAAAAAAAAAEAIAAAACEBAABkcnMvZTJvRG9jLnhtbFBLBQYAAAAABgAG&#10;AFkBAAD1BQAAAAA=&#10;">
                  <v:fill on="f" focussize="0,0"/>
                  <v:stroke on="f"/>
                  <v:imagedata o:title=""/>
                  <o:lock v:ext="edit" aspectratio="f"/>
                  <v:textbox>
                    <w:txbxContent>
                      <w:p>
                        <w:pPr>
                          <w:jc w:val="center"/>
                          <w:rPr>
                            <w:color w:val="FF0000"/>
                          </w:rPr>
                        </w:pPr>
                        <w:r>
                          <w:rPr>
                            <w:rFonts w:hint="eastAsia"/>
                            <w:color w:val="FF0000"/>
                          </w:rPr>
                          <w:t>7.316</w:t>
                        </w:r>
                      </w:p>
                    </w:txbxContent>
                  </v:textbox>
                </v:rect>
                <v:rect id="矩形 1231" o:spid="_x0000_s1026" o:spt="1" style="position:absolute;left:1487410;top:3406834;height:283047;width:1658085;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p&#10;Y0g90gAAAAUBAAAPAAAAAAAAAAEAIAAAACIAAABkcnMvZG93bnJldi54bWxQSwECFAAUAAAACACH&#10;TuJArH4YcWMCAACmBAAADgAAAAAAAAABACAAAAAhAQAAZHJzL2Uyb0RvYy54bWxQSwUGAAAAAAYA&#10;BgBZAQAA9gUAAAAA&#10;">
                  <v:fill on="f" focussize="0,0"/>
                  <v:stroke on="f"/>
                  <v:imagedata o:title=""/>
                  <o:lock v:ext="edit" aspectratio="f"/>
                  <v:textbox>
                    <w:txbxContent>
                      <w:p>
                        <w:pPr>
                          <w:jc w:val="center"/>
                          <w:rPr>
                            <w:color w:val="FF0000"/>
                          </w:rPr>
                        </w:pPr>
                        <w:r>
                          <w:rPr>
                            <w:rFonts w:hint="eastAsia"/>
                            <w:color w:val="FF0000"/>
                          </w:rPr>
                          <w:t>40.612+135.042</w:t>
                        </w:r>
                      </w:p>
                    </w:txbxContent>
                  </v:textbox>
                </v:rect>
                <v:rect id="矩形 1232" o:spid="_x0000_s1026" o:spt="1" style="position:absolute;left:315585;top:2503724;height:283047;width:1658085;v-text-anchor:middle;" filled="f" stroked="f" coordsize="21600,21600" o:gfxdata="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pY0g9&#10;0gAAAAUBAAAPAAAAAAAAAAEAIAAAACIAAABkcnMvZG93bnJldi54bWxQSwECFAAUAAAACACHTuJA&#10;Xsu6CWACAAClBAAADgAAAAAAAAABACAAAAAhAQAAZHJzL2Uyb0RvYy54bWxQSwUGAAAAAAYABgBZ&#10;AQAA8wUAAAAA&#10;">
                  <v:fill on="f" focussize="0,0"/>
                  <v:stroke on="f"/>
                  <v:imagedata o:title=""/>
                  <o:lock v:ext="edit" aspectratio="f"/>
                  <v:textbox>
                    <w:txbxContent>
                      <w:p>
                        <w:pPr>
                          <w:jc w:val="center"/>
                          <w:rPr>
                            <w:color w:val="FF0000"/>
                          </w:rPr>
                        </w:pPr>
                        <w:r>
                          <w:rPr>
                            <w:rFonts w:hint="eastAsia"/>
                            <w:color w:val="FF0000"/>
                          </w:rPr>
                          <w:t>175.654</w:t>
                        </w:r>
                      </w:p>
                    </w:txbxContent>
                  </v:textbox>
                </v:rect>
                <w10:wrap type="none"/>
                <w10:anchorlock/>
              </v:group>
            </w:pict>
          </mc:Fallback>
        </mc:AlternateContent>
      </w:r>
    </w:p>
    <w:p>
      <w:pPr>
        <w:pStyle w:val="43"/>
        <w:rPr>
          <w:color w:val="auto"/>
        </w:rPr>
      </w:pPr>
    </w:p>
    <w:p>
      <w:pPr>
        <w:pStyle w:val="43"/>
        <w:rPr>
          <w:color w:val="auto"/>
        </w:rPr>
      </w:pPr>
      <w:r>
        <w:rPr>
          <w:rFonts w:hint="eastAsia"/>
          <w:color w:val="auto"/>
          <w:kern w:val="21"/>
          <w:sz w:val="24"/>
          <w:szCs w:val="24"/>
        </w:rPr>
        <mc:AlternateContent>
          <mc:Choice Requires="wpc">
            <w:drawing>
              <wp:inline distT="0" distB="0" distL="0" distR="0">
                <wp:extent cx="5235575" cy="3787775"/>
                <wp:effectExtent l="0" t="0" r="0" b="0"/>
                <wp:docPr id="1450" name="画布 14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86" name="矩形 17"/>
                        <wps:cNvSpPr/>
                        <wps:spPr>
                          <a:xfrm>
                            <a:off x="468077" y="1698160"/>
                            <a:ext cx="805543" cy="381000"/>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燃气锅炉</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7" name="矩形 28"/>
                        <wps:cNvSpPr/>
                        <wps:spPr>
                          <a:xfrm>
                            <a:off x="2242069" y="544266"/>
                            <a:ext cx="1132308" cy="28304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36m</w:t>
                              </w:r>
                              <w:r>
                                <w:rPr>
                                  <w:rFonts w:hint="eastAsia"/>
                                  <w:vertAlign w:val="superscript"/>
                                </w:rPr>
                                <w:t>3</w:t>
                              </w:r>
                              <w:r>
                                <w:rPr>
                                  <w:rFonts w:hint="eastAsia"/>
                                </w:rPr>
                                <w:t>/d蒸发器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8" name="矩形 29"/>
                        <wps:cNvSpPr/>
                        <wps:spPr>
                          <a:xfrm>
                            <a:off x="2242071" y="1745538"/>
                            <a:ext cx="1132308" cy="28304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脱脂单元</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9" name="矩形 1376"/>
                        <wps:cNvSpPr/>
                        <wps:spPr>
                          <a:xfrm>
                            <a:off x="2242070" y="3124181"/>
                            <a:ext cx="1132308" cy="283047"/>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镀镍槽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0" name="肘形连接符 1377"/>
                        <wps:cNvCnPr/>
                        <wps:spPr>
                          <a:xfrm flipV="1">
                            <a:off x="1273620" y="685790"/>
                            <a:ext cx="968449" cy="1202870"/>
                          </a:xfrm>
                          <a:prstGeom prst="bentConnector3">
                            <a:avLst>
                              <a:gd name="adj1" fmla="val 50000"/>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1" name="肘形连接符 1381"/>
                        <wps:cNvCnPr/>
                        <wps:spPr>
                          <a:xfrm flipV="1">
                            <a:off x="1273620" y="1887062"/>
                            <a:ext cx="968451" cy="1598"/>
                          </a:xfrm>
                          <a:prstGeom prst="bentConnector3">
                            <a:avLst>
                              <a:gd name="adj1" fmla="val 50000"/>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2" name="肘形连接符 1386"/>
                        <wps:cNvCnPr/>
                        <wps:spPr>
                          <a:xfrm>
                            <a:off x="1273620" y="1888660"/>
                            <a:ext cx="968450" cy="1377045"/>
                          </a:xfrm>
                          <a:prstGeom prst="bentConnector3">
                            <a:avLst>
                              <a:gd name="adj1" fmla="val 50000"/>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3" name="矩形 1399"/>
                        <wps:cNvSpPr/>
                        <wps:spPr>
                          <a:xfrm>
                            <a:off x="1871405" y="457184"/>
                            <a:ext cx="381693"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7.7</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4" name="矩形 1401"/>
                        <wps:cNvSpPr/>
                        <wps:spPr>
                          <a:xfrm>
                            <a:off x="1728773" y="1605708"/>
                            <a:ext cx="567297"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25.65</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5" name="矩形 1406"/>
                        <wps:cNvSpPr/>
                        <wps:spPr>
                          <a:xfrm>
                            <a:off x="1708903" y="2993203"/>
                            <a:ext cx="664181"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85.29</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6" name="矩形 1407"/>
                        <wps:cNvSpPr/>
                        <wps:spPr>
                          <a:xfrm>
                            <a:off x="0" y="1605614"/>
                            <a:ext cx="589212"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5.93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97" name="直接箭头连接符 44"/>
                        <wps:cNvCnPr/>
                        <wps:spPr>
                          <a:xfrm>
                            <a:off x="0" y="1872240"/>
                            <a:ext cx="468036" cy="0"/>
                          </a:xfrm>
                          <a:prstGeom prst="straightConnector1">
                            <a:avLst/>
                          </a:prstGeom>
                          <a:ln w="952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598" name="肘形连接符 45"/>
                        <wps:cNvCnPr/>
                        <wps:spPr>
                          <a:xfrm flipH="1">
                            <a:off x="870849" y="685790"/>
                            <a:ext cx="2503528" cy="1012370"/>
                          </a:xfrm>
                          <a:prstGeom prst="bentConnector4">
                            <a:avLst>
                              <a:gd name="adj1" fmla="val -9131"/>
                              <a:gd name="adj2" fmla="val -3656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599" name="肘形连接符 46"/>
                        <wps:cNvCnPr/>
                        <wps:spPr>
                          <a:xfrm flipH="1">
                            <a:off x="870849" y="1876429"/>
                            <a:ext cx="2503530" cy="192098"/>
                          </a:xfrm>
                          <a:prstGeom prst="bentConnector4">
                            <a:avLst>
                              <a:gd name="adj1" fmla="val -9131"/>
                              <a:gd name="adj2" fmla="val 927334"/>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0" name="肘形连接符 47"/>
                        <wps:cNvCnPr/>
                        <wps:spPr>
                          <a:xfrm flipH="1" flipV="1">
                            <a:off x="870849" y="2079160"/>
                            <a:ext cx="2503529" cy="1186545"/>
                          </a:xfrm>
                          <a:prstGeom prst="bentConnector4">
                            <a:avLst>
                              <a:gd name="adj1" fmla="val -9131"/>
                              <a:gd name="adj2" fmla="val -32115"/>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1" name="矩形 48"/>
                        <wps:cNvSpPr/>
                        <wps:spPr>
                          <a:xfrm>
                            <a:off x="3622835" y="391739"/>
                            <a:ext cx="512520"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00B0F0"/>
                                </w:rPr>
                              </w:pPr>
                              <w:r>
                                <w:rPr>
                                  <w:rFonts w:hint="eastAsia"/>
                                  <w:color w:val="00B0F0"/>
                                </w:rPr>
                                <w:t>0.076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2" name="矩形 49"/>
                        <wps:cNvSpPr/>
                        <wps:spPr>
                          <a:xfrm>
                            <a:off x="3508155" y="1647915"/>
                            <a:ext cx="65556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color w:val="00B0F0"/>
                                </w:rPr>
                                <w:t>0. 256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3" name="矩形 50"/>
                        <wps:cNvSpPr/>
                        <wps:spPr>
                          <a:xfrm>
                            <a:off x="3524228" y="3026375"/>
                            <a:ext cx="65556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00B0F0"/>
                                </w:rPr>
                              </w:pPr>
                              <w:r>
                                <w:rPr>
                                  <w:rFonts w:hint="eastAsia"/>
                                  <w:color w:val="00B0F0"/>
                                </w:rPr>
                                <w:t>0.852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4" name="矩形 51"/>
                        <wps:cNvSpPr/>
                        <wps:spPr>
                          <a:xfrm>
                            <a:off x="4800214" y="1502179"/>
                            <a:ext cx="326958" cy="772859"/>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污水站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5" name="肘形连接符 52"/>
                        <wps:cNvCnPr/>
                        <wps:spPr>
                          <a:xfrm flipV="1">
                            <a:off x="3374378" y="1888609"/>
                            <a:ext cx="1425836" cy="1377096"/>
                          </a:xfrm>
                          <a:prstGeom prst="bentConnector3">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6" name="肘形连接符 85"/>
                        <wps:cNvCnPr/>
                        <wps:spPr>
                          <a:xfrm>
                            <a:off x="3374379" y="1887062"/>
                            <a:ext cx="1425835" cy="1547"/>
                          </a:xfrm>
                          <a:prstGeom prst="bentConnector3">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7" name="肘形连接符 86"/>
                        <wps:cNvCnPr/>
                        <wps:spPr>
                          <a:xfrm>
                            <a:off x="3374377" y="685790"/>
                            <a:ext cx="1425837" cy="1202819"/>
                          </a:xfrm>
                          <a:prstGeom prst="bentConnector3">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08" name="矩形 87"/>
                        <wps:cNvSpPr/>
                        <wps:spPr>
                          <a:xfrm>
                            <a:off x="4144592" y="1611056"/>
                            <a:ext cx="65556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00B0F0"/>
                                </w:rPr>
                              </w:pPr>
                              <w:r>
                                <w:rPr>
                                  <w:rFonts w:hint="eastAsia"/>
                                  <w:color w:val="00B0F0"/>
                                </w:rPr>
                                <w:t>1.184</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9" name="AutoShape 2217"/>
                        <wps:cNvCnPr>
                          <a:cxnSpLocks noChangeShapeType="1"/>
                        </wps:cNvCnPr>
                        <wps:spPr bwMode="auto">
                          <a:xfrm rot="16200000">
                            <a:off x="2809626" y="266115"/>
                            <a:ext cx="97790" cy="458470"/>
                          </a:xfrm>
                          <a:prstGeom prst="curvedConnector2">
                            <a:avLst/>
                          </a:prstGeom>
                          <a:noFill/>
                          <a:ln w="9525">
                            <a:solidFill>
                              <a:srgbClr val="000000"/>
                            </a:solidFill>
                            <a:prstDash val="dash"/>
                            <a:round/>
                            <a:tailEnd type="triangle" w="med" len="med"/>
                          </a:ln>
                          <a:effectLst/>
                        </wps:spPr>
                        <wps:bodyPr/>
                      </wps:wsp>
                      <wps:wsp>
                        <wps:cNvPr id="610" name="矩形 90"/>
                        <wps:cNvSpPr/>
                        <wps:spPr>
                          <a:xfrm>
                            <a:off x="2989422" y="293880"/>
                            <a:ext cx="534809"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0.308</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1" name="AutoShape 2217"/>
                        <wps:cNvCnPr>
                          <a:cxnSpLocks noChangeShapeType="1"/>
                        </wps:cNvCnPr>
                        <wps:spPr bwMode="auto">
                          <a:xfrm rot="16200000">
                            <a:off x="2838634" y="1467493"/>
                            <a:ext cx="97790" cy="458470"/>
                          </a:xfrm>
                          <a:prstGeom prst="curvedConnector2">
                            <a:avLst/>
                          </a:prstGeom>
                          <a:noFill/>
                          <a:ln w="9525">
                            <a:solidFill>
                              <a:srgbClr val="000000"/>
                            </a:solidFill>
                            <a:prstDash val="dash"/>
                            <a:round/>
                            <a:tailEnd type="triangle" w="med" len="med"/>
                          </a:ln>
                          <a:effectLst/>
                        </wps:spPr>
                        <wps:bodyPr/>
                      </wps:wsp>
                      <wps:wsp>
                        <wps:cNvPr id="612" name="矩形 1443"/>
                        <wps:cNvSpPr/>
                        <wps:spPr>
                          <a:xfrm>
                            <a:off x="3018430" y="1495258"/>
                            <a:ext cx="534809"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1.026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3" name="AutoShape 2217"/>
                        <wps:cNvCnPr>
                          <a:cxnSpLocks noChangeShapeType="1"/>
                        </wps:cNvCnPr>
                        <wps:spPr bwMode="auto">
                          <a:xfrm rot="16200000">
                            <a:off x="2605630" y="2846037"/>
                            <a:ext cx="97790" cy="458470"/>
                          </a:xfrm>
                          <a:prstGeom prst="curvedConnector2">
                            <a:avLst/>
                          </a:prstGeom>
                          <a:noFill/>
                          <a:ln w="9525">
                            <a:solidFill>
                              <a:srgbClr val="000000"/>
                            </a:solidFill>
                            <a:prstDash val="dash"/>
                            <a:round/>
                            <a:tailEnd type="triangle" w="med" len="med"/>
                          </a:ln>
                          <a:effectLst/>
                        </wps:spPr>
                        <wps:bodyPr/>
                      </wps:wsp>
                      <wps:wsp>
                        <wps:cNvPr id="614" name="矩形 1445"/>
                        <wps:cNvSpPr/>
                        <wps:spPr>
                          <a:xfrm>
                            <a:off x="2785184" y="2873735"/>
                            <a:ext cx="633098"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3.412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5" name="矩形 1446"/>
                        <wps:cNvSpPr/>
                        <wps:spPr>
                          <a:xfrm>
                            <a:off x="1458686" y="108635"/>
                            <a:ext cx="165808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7.316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6" name="矩形 1447"/>
                        <wps:cNvSpPr/>
                        <wps:spPr>
                          <a:xfrm>
                            <a:off x="870837" y="1242314"/>
                            <a:ext cx="553866" cy="348449"/>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7.316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7" name="矩形 1448"/>
                        <wps:cNvSpPr/>
                        <wps:spPr>
                          <a:xfrm>
                            <a:off x="1487410" y="3406834"/>
                            <a:ext cx="165808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24.368+81.026</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8" name="矩形 1449"/>
                        <wps:cNvSpPr/>
                        <wps:spPr>
                          <a:xfrm>
                            <a:off x="315585" y="2503724"/>
                            <a:ext cx="1658085" cy="283047"/>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rPr>
                                  <w:color w:val="FF0000"/>
                                </w:rPr>
                              </w:pPr>
                              <w:r>
                                <w:rPr>
                                  <w:rFonts w:hint="eastAsia"/>
                                  <w:color w:val="FF0000"/>
                                </w:rPr>
                                <w:t>105.394</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298.25pt;width:412.25pt;" coordsize="5235575,3787775" editas="canvas" o:gfxdata="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">
                <o:lock v:ext="edit" aspectratio="f"/>
                <v:shape id="_x0000_s1026" o:spid="_x0000_s1026" style="position:absolute;left:0;top:0;height:3787775;width:5235575;" filled="f" stroked="f" coordsize="21600,21600" o:gfxdata="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">
                  <v:fill on="f" focussize="0,0"/>
                  <v:stroke on="f"/>
                  <v:imagedata o:title=""/>
                  <o:lock v:ext="edit" aspectratio="t"/>
                </v:shape>
                <v:rect id="矩形 17" o:spid="_x0000_s1026" o:spt="1" style="position:absolute;left:468077;top:1698160;height:381000;width:805543;v-text-anchor:middle;" fillcolor="#FFFFFF [3201]" filled="t" stroked="t" coordsize="21600,21600" o:gfxdata="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fFUWnXAAAABQEAAA8AAAAAAAAAAQAgAAAAIgAA&#10;AGRycy9kb3ducmV2LnhtbFBLAQIUABQAAAAIAIdO4kBa/f8IewIAAPQEAAAOAAAAAAAAAAEAIAAA&#10;ACYBAABkcnMvZTJvRG9jLnhtbFBLBQYAAAAABgAGAFkBAAATBgAAAAA=&#10;">
                  <v:fill on="t" focussize="0,0"/>
                  <v:stroke color="#000000 [3213]" joinstyle="round"/>
                  <v:imagedata o:title=""/>
                  <o:lock v:ext="edit" aspectratio="f"/>
                  <v:textbox>
                    <w:txbxContent>
                      <w:p>
                        <w:pPr>
                          <w:jc w:val="center"/>
                        </w:pPr>
                        <w:r>
                          <w:rPr>
                            <w:rFonts w:hint="eastAsia"/>
                          </w:rPr>
                          <w:t>燃气锅炉</w:t>
                        </w:r>
                      </w:p>
                    </w:txbxContent>
                  </v:textbox>
                </v:rect>
                <v:rect id="矩形 28" o:spid="_x0000_s1026" o:spt="1" style="position:absolute;left:2242069;top:544266;height:283047;width:1132308;v-text-anchor:middle;" fillcolor="#FFFFFF [3201]" filled="t" stroked="t" coordsize="21600,21600" o:gfxdata="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&#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fFUWnXAAAABQEAAA8AAAAAAAAAAQAgAAAAIgAAAGRy&#10;cy9kb3ducmV2LnhtbFBLAQIUABQAAAAIAIdO4kB+r3yheAIAAPUEAAAOAAAAAAAAAAEAIAAAACYB&#10;AABkcnMvZTJvRG9jLnhtbFBLBQYAAAAABgAGAFkBAAAQBgAAAAA=&#10;">
                  <v:fill on="t" focussize="0,0"/>
                  <v:stroke color="#000000 [3213]" joinstyle="round"/>
                  <v:imagedata o:title=""/>
                  <o:lock v:ext="edit" aspectratio="f"/>
                  <v:textbox>
                    <w:txbxContent>
                      <w:p>
                        <w:pPr>
                          <w:jc w:val="center"/>
                        </w:pPr>
                        <w:r>
                          <w:rPr>
                            <w:rFonts w:hint="eastAsia"/>
                          </w:rPr>
                          <w:t>36m</w:t>
                        </w:r>
                        <w:r>
                          <w:rPr>
                            <w:rFonts w:hint="eastAsia"/>
                            <w:vertAlign w:val="superscript"/>
                          </w:rPr>
                          <w:t>3</w:t>
                        </w:r>
                        <w:r>
                          <w:rPr>
                            <w:rFonts w:hint="eastAsia"/>
                          </w:rPr>
                          <w:t>/d蒸发器</w:t>
                        </w:r>
                      </w:p>
                    </w:txbxContent>
                  </v:textbox>
                </v:rect>
                <v:rect id="矩形 29" o:spid="_x0000_s1026" o:spt="1" style="position:absolute;left:2242071;top:1745538;height:283047;width:1132308;v-text-anchor:middle;" fillcolor="#FFFFFF [3201]" filled="t" stroked="t" coordsize="21600,21600" o:gfxdata="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&#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nxVFp1wAAAAUBAAAPAAAAAAAAAAEAIAAAACIAAABk&#10;cnMvZG93bnJldi54bWxQSwECFAAUAAAACACHTuJAjJSURnkCAAD2BAAADgAAAAAAAAABACAAAAAm&#10;AQAAZHJzL2Uyb0RvYy54bWxQSwUGAAAAAAYABgBZAQAAEQYAAAAA&#10;">
                  <v:fill on="t" focussize="0,0"/>
                  <v:stroke color="#000000 [3213]" joinstyle="round"/>
                  <v:imagedata o:title=""/>
                  <o:lock v:ext="edit" aspectratio="f"/>
                  <v:textbox>
                    <w:txbxContent>
                      <w:p>
                        <w:pPr>
                          <w:jc w:val="center"/>
                        </w:pPr>
                        <w:r>
                          <w:rPr>
                            <w:rFonts w:hint="eastAsia"/>
                          </w:rPr>
                          <w:t>脱脂单元</w:t>
                        </w:r>
                      </w:p>
                    </w:txbxContent>
                  </v:textbox>
                </v:rect>
                <v:rect id="矩形 1376" o:spid="_x0000_s1026" o:spt="1" style="position:absolute;left:2242070;top:3124181;height:283047;width:1132308;v-text-anchor:middle;" fillcolor="#FFFFFF [3201]" filled="t" stroked="t" coordsize="21600,21600" o:gfxdata="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OfFUWnXAAAABQEAAA8AAAAAAAAAAQAgAAAAIgAA&#10;AGRycy9kb3ducmV2LnhtbFBLAQIUABQAAAAIAIdO4kAT2Gj1ewIAAPgEAAAOAAAAAAAAAAEAIAAA&#10;ACYBAABkcnMvZTJvRG9jLnhtbFBLBQYAAAAABgAGAFkBAAATBgAAAAA=&#10;">
                  <v:fill on="t" focussize="0,0"/>
                  <v:stroke color="#000000 [3213]" joinstyle="round"/>
                  <v:imagedata o:title=""/>
                  <o:lock v:ext="edit" aspectratio="f"/>
                  <v:textbox>
                    <w:txbxContent>
                      <w:p>
                        <w:pPr>
                          <w:jc w:val="center"/>
                        </w:pPr>
                        <w:r>
                          <w:rPr>
                            <w:rFonts w:hint="eastAsia"/>
                          </w:rPr>
                          <w:t>镀镍槽</w:t>
                        </w:r>
                      </w:p>
                    </w:txbxContent>
                  </v:textbox>
                </v:rect>
                <v:shape id="肘形连接符 1377" o:spid="_x0000_s1026" o:spt="34" type="#_x0000_t34" style="position:absolute;left:1273620;top:685790;flip:y;height:1202870;width:968449;" filled="f" stroked="t" coordsize="21600,21600" o:gfxdata="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M1umeDUAAAABQEAAA8AAAAAAAAAAQAgAAAAIgAAAGRycy9kb3du&#10;cmV2LnhtbFBLAQIUABQAAAAIAIdO4kCOH1YYPAIAAEgEAAAOAAAAAAAAAAEAIAAAACMBAABkcnMv&#10;ZTJvRG9jLnhtbFBLBQYAAAAABgAGAFkBAADRBQAAAAA=&#10;" adj="10800">
                  <v:fill on="f" focussize="0,0"/>
                  <v:stroke color="#000000 [3213]" joinstyle="round" endarrow="block"/>
                  <v:imagedata o:title=""/>
                  <o:lock v:ext="edit" aspectratio="f"/>
                </v:shape>
                <v:shape id="肘形连接符 1381" o:spid="_x0000_s1026" o:spt="34" type="#_x0000_t34" style="position:absolute;left:1273620;top:1887062;flip:y;height:1598;width:968451;" filled="f" stroked="t" coordsize="21600,21600" o:gfxdata="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1umeDUAAAABQEAAA8AAAAAAAAAAQAgAAAAIgAAAGRycy9kb3ducmV2&#10;LnhtbFBLAQIUABQAAAAIAIdO4kCdFHbvOQIAAEYEAAAOAAAAAAAAAAEAIAAAACMBAABkcnMvZTJv&#10;RG9jLnhtbFBLBQYAAAAABgAGAFkBAADOBQAAAAA=&#10;" adj="10800">
                  <v:fill on="f" focussize="0,0"/>
                  <v:stroke color="#000000 [3213]" joinstyle="round" endarrow="block"/>
                  <v:imagedata o:title=""/>
                  <o:lock v:ext="edit" aspectratio="f"/>
                </v:shape>
                <v:shape id="肘形连接符 1386" o:spid="_x0000_s1026" o:spt="34" type="#_x0000_t34" style="position:absolute;left:1273620;top:1888660;height:1377045;width:968450;" filled="f" stroked="t" coordsize="21600,21600" o:gfxdata="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wMRJ61gAAAAUBAAAPAAAAAAAAAAEAIAAAACIAAABkcnMvZG93bnJldi54&#10;bWxQSwECFAAUAAAACACHTuJAGzXihDUCAAA/BAAADgAAAAAAAAABACAAAAAlAQAAZHJzL2Uyb0Rv&#10;Yy54bWxQSwUGAAAAAAYABgBZAQAAzAUAAAAA&#10;" adj="10800">
                  <v:fill on="f" focussize="0,0"/>
                  <v:stroke color="#000000 [3213]" joinstyle="round" endarrow="block"/>
                  <v:imagedata o:title=""/>
                  <o:lock v:ext="edit" aspectratio="f"/>
                </v:shape>
                <v:rect id="矩形 1399" o:spid="_x0000_s1026" o:spt="1" style="position:absolute;left:1871405;top:457184;height:283047;width:381693;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N7dqKVhAgAApAQAAA4AAAAAAAAAAQAgAAAAIQEAAGRycy9lMm9Eb2MueG1sUEsFBgAAAAAGAAYA&#10;WQEAAPQFAAAAAA==&#10;">
                  <v:fill on="f" focussize="0,0"/>
                  <v:stroke on="f"/>
                  <v:imagedata o:title=""/>
                  <o:lock v:ext="edit" aspectratio="f"/>
                  <v:textbox>
                    <w:txbxContent>
                      <w:p>
                        <w:pPr>
                          <w:jc w:val="center"/>
                        </w:pPr>
                        <w:r>
                          <w:rPr>
                            <w:rFonts w:hint="eastAsia"/>
                          </w:rPr>
                          <w:t>7.7</w:t>
                        </w:r>
                      </w:p>
                    </w:txbxContent>
                  </v:textbox>
                </v:rect>
                <v:rect id="矩形 1401" o:spid="_x0000_s1026" o:spt="1" style="position:absolute;left:1728773;top:1605708;height:283047;width:567297;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tNQZtIAAAAFAQAADwAAAAAAAAABACAAAAAiAAAAZHJzL2Rvd25yZXYueG1sUEsBAhQAFAAAAAgA&#10;h07iQJMZpL5kAgAApQQAAA4AAAAAAAAAAQAgAAAAIQEAAGRycy9lMm9Eb2MueG1sUEsFBgAAAAAG&#10;AAYAWQEAAPcFAAAAAA==&#10;">
                  <v:fill on="f" focussize="0,0"/>
                  <v:stroke on="f"/>
                  <v:imagedata o:title=""/>
                  <o:lock v:ext="edit" aspectratio="f"/>
                  <v:textbox>
                    <w:txbxContent>
                      <w:p>
                        <w:pPr>
                          <w:jc w:val="center"/>
                        </w:pPr>
                        <w:r>
                          <w:rPr>
                            <w:rFonts w:hint="eastAsia"/>
                          </w:rPr>
                          <w:t>25.65</w:t>
                        </w:r>
                      </w:p>
                    </w:txbxContent>
                  </v:textbox>
                </v:rect>
                <v:rect id="矩形 1406" o:spid="_x0000_s1026" o:spt="1" style="position:absolute;left:1708903;top:2993203;height:283047;width:664181;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Eczn11hAgAApQQAAA4AAAAAAAAAAQAgAAAAIQEAAGRycy9lMm9Eb2MueG1sUEsFBgAAAAAGAAYA&#10;WQEAAPQFAAAAAA==&#10;">
                  <v:fill on="f" focussize="0,0"/>
                  <v:stroke on="f"/>
                  <v:imagedata o:title=""/>
                  <o:lock v:ext="edit" aspectratio="f"/>
                  <v:textbox>
                    <w:txbxContent>
                      <w:p>
                        <w:pPr>
                          <w:jc w:val="center"/>
                        </w:pPr>
                        <w:r>
                          <w:rPr>
                            <w:rFonts w:hint="eastAsia"/>
                          </w:rPr>
                          <w:t>85.29</w:t>
                        </w:r>
                      </w:p>
                    </w:txbxContent>
                  </v:textbox>
                </v:rect>
                <v:rect id="矩形 1407" o:spid="_x0000_s1026" o:spt="1" style="position:absolute;left:0;top:1605614;height:283047;width:589212;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tNQZtIA&#10;AAAFAQAADwAAAAAAAAABACAAAAAiAAAAZHJzL2Rvd25yZXYueG1sUEsBAhQAFAAAAAgAh07iQNKo&#10;at9eAgAAnwQAAA4AAAAAAAAAAQAgAAAAIQEAAGRycy9lMm9Eb2MueG1sUEsFBgAAAAAGAAYAWQEA&#10;APEFAAAAAA==&#10;">
                  <v:fill on="f" focussize="0,0"/>
                  <v:stroke on="f"/>
                  <v:imagedata o:title=""/>
                  <o:lock v:ext="edit" aspectratio="f"/>
                  <v:textbox>
                    <w:txbxContent>
                      <w:p>
                        <w:pPr>
                          <w:jc w:val="center"/>
                        </w:pPr>
                        <w:r>
                          <w:rPr>
                            <w:rFonts w:hint="eastAsia"/>
                          </w:rPr>
                          <w:t>5.93</w:t>
                        </w:r>
                      </w:p>
                    </w:txbxContent>
                  </v:textbox>
                </v:rect>
                <v:shape id="直接箭头连接符 44" o:spid="_x0000_s1026" o:spt="32" type="#_x0000_t32" style="position:absolute;left:0;top:1872240;height:0;width:468036;" filled="f" stroked="t" coordsize="21600,21600" o:gfxdata="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jUDOaNcAAAAFAQAA&#10;DwAAAAAAAAABACAAAAAiAAAAZHJzL2Rvd25yZXYueG1sUEsBAhQAFAAAAAgAh07iQBODZBQaAgAA&#10;DgQAAA4AAAAAAAAAAQAgAAAAJgEAAGRycy9lMm9Eb2MueG1sUEsFBgAAAAAGAAYAWQEAALIFAAAA&#10;AA==&#10;">
                  <v:fill on="f" focussize="0,0"/>
                  <v:stroke color="#000000 [3213]" joinstyle="round" endarrow="block"/>
                  <v:imagedata o:title=""/>
                  <o:lock v:ext="edit" aspectratio="f"/>
                </v:shape>
                <v:shape id="肘形连接符 45" o:spid="_x0000_s1026" o:spt="35" type="#_x0000_t35" style="position:absolute;left:870849;top:685790;flip:x;height:1012370;width:2503528;" filled="f" stroked="t" coordsize="21600,21600" o:gfxdata="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ysKb/WAAAABQEAAA8AAAAAAAAAAQAgAAAAIgAAAGRycy9kb3ducmV2Lnht&#10;bFBLAQIUABQAAAAIAIdO4kCp6C+7NAIAACwEAAAOAAAAAAAAAAEAIAAAACUBAABkcnMvZTJvRG9j&#10;LnhtbFBLBQYAAAAABgAGAFkBAADLBQAAAAA=&#10;" adj="-1972,-7897">
                  <v:fill on="f" focussize="0,0"/>
                  <v:stroke color="#FF0000 [3204]" joinstyle="round" endarrow="open"/>
                  <v:imagedata o:title=""/>
                  <o:lock v:ext="edit" aspectratio="f"/>
                </v:shape>
                <v:shape id="肘形连接符 46" o:spid="_x0000_s1026" o:spt="35" type="#_x0000_t35" style="position:absolute;left:870849;top:1876429;flip:x;height:192098;width:2503530;" filled="f" stroked="t" coordsize="21600,21600" o:gfxdata="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EMStDSAAAABQEAAA8AAAAAAAAAAQAg&#10;AAAAIgAAAGRycy9kb3ducmV2LnhtbFBLAQIUABQAAAAIAIdO4kBontNNTQIAAGsEAAAOAAAAAAAA&#10;AAEAIAAAACEBAABkcnMvZTJvRG9jLnhtbFBLBQYAAAAABgAGAFkBAADgBQAAAAA=&#10;" adj="-1972,200304">
                  <v:fill on="f" focussize="0,0"/>
                  <v:stroke color="#FF0000 [3204]" joinstyle="round" endarrow="block"/>
                  <v:imagedata o:title=""/>
                  <o:lock v:ext="edit" aspectratio="f"/>
                </v:shape>
                <v:shape id="肘形连接符 47" o:spid="_x0000_s1026" o:spt="35" type="#_x0000_t35" style="position:absolute;left:870849;top:2079160;flip:x y;height:1186545;width:2503529;" filled="f" stroked="t" coordsize="21600,21600" o:gfxdata="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8Bhm+dUAAAAFAQAADwAAAAAA&#10;AAABACAAAAAiAAAAZHJzL2Rvd25yZXYueG1sUEsBAhQAFAAAAAgAh07iQL33DD5PAgAAdgQAAA4A&#10;AAAAAAAAAQAgAAAAJAEAAGRycy9lMm9Eb2MueG1sUEsFBgAAAAAGAAYAWQEAAOUFAAAAAA==&#10;" adj="-1972,-6937">
                  <v:fill on="f" focussize="0,0"/>
                  <v:stroke color="#FF0000 [3204]" joinstyle="round" endarrow="block"/>
                  <v:imagedata o:title=""/>
                  <o:lock v:ext="edit" aspectratio="f"/>
                </v:shape>
                <v:rect id="矩形 48" o:spid="_x0000_s1026" o:spt="1" style="position:absolute;left:3622835;top:391739;height:283047;width:512520;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tNQZtIA&#10;AAAFAQAADwAAAAAAAAABACAAAAAiAAAAZHJzL2Rvd25yZXYueG1sUEsBAhQAFAAAAAgAh07iQBtE&#10;0wJeAgAAogQAAA4AAAAAAAAAAQAgAAAAIQEAAGRycy9lMm9Eb2MueG1sUEsFBgAAAAAGAAYAWQEA&#10;APEFAAAAAA==&#10;">
                  <v:fill on="f" focussize="0,0"/>
                  <v:stroke on="f"/>
                  <v:imagedata o:title=""/>
                  <o:lock v:ext="edit" aspectratio="f"/>
                  <v:textbox>
                    <w:txbxContent>
                      <w:p>
                        <w:pPr>
                          <w:jc w:val="center"/>
                          <w:rPr>
                            <w:color w:val="00B0F0"/>
                          </w:rPr>
                        </w:pPr>
                        <w:r>
                          <w:rPr>
                            <w:rFonts w:hint="eastAsia"/>
                            <w:color w:val="00B0F0"/>
                          </w:rPr>
                          <w:t>0.076</w:t>
                        </w:r>
                      </w:p>
                    </w:txbxContent>
                  </v:textbox>
                </v:rect>
                <v:rect id="矩形 49" o:spid="_x0000_s1026" o:spt="1" style="position:absolute;left:3508155;top:1647915;height:283047;width:655565;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P+mwmVhAgAAowQAAA4AAAAAAAAAAQAgAAAAIQEAAGRycy9lMm9Eb2MueG1sUEsFBgAAAAAGAAYA&#10;WQEAAPQFAAAAAA==&#10;">
                  <v:fill on="f" focussize="0,0"/>
                  <v:stroke on="f"/>
                  <v:imagedata o:title=""/>
                  <o:lock v:ext="edit" aspectratio="f"/>
                  <v:textbox>
                    <w:txbxContent>
                      <w:p>
                        <w:pPr>
                          <w:jc w:val="center"/>
                        </w:pPr>
                        <w:r>
                          <w:rPr>
                            <w:rFonts w:hint="eastAsia"/>
                            <w:color w:val="00B0F0"/>
                          </w:rPr>
                          <w:t>0. 256</w:t>
                        </w:r>
                      </w:p>
                    </w:txbxContent>
                  </v:textbox>
                </v:rect>
                <v:rect id="矩形 50" o:spid="_x0000_s1026" o:spt="1" style="position:absolute;left:3524228;top:3026375;height:283047;width:655565;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rTUGbS&#10;AAAABQEAAA8AAAAAAAAAAQAgAAAAIgAAAGRycy9kb3ducmV2LnhtbFBLAQIUABQAAAAIAIdO4kBe&#10;QUk8XwIAAKMEAAAOAAAAAAAAAAEAIAAAACEBAABkcnMvZTJvRG9jLnhtbFBLBQYAAAAABgAGAFkB&#10;AADyBQAAAAA=&#10;">
                  <v:fill on="f" focussize="0,0"/>
                  <v:stroke on="f"/>
                  <v:imagedata o:title=""/>
                  <o:lock v:ext="edit" aspectratio="f"/>
                  <v:textbox>
                    <w:txbxContent>
                      <w:p>
                        <w:pPr>
                          <w:jc w:val="center"/>
                          <w:rPr>
                            <w:color w:val="00B0F0"/>
                          </w:rPr>
                        </w:pPr>
                        <w:r>
                          <w:rPr>
                            <w:rFonts w:hint="eastAsia"/>
                            <w:color w:val="00B0F0"/>
                          </w:rPr>
                          <w:t>0.852</w:t>
                        </w:r>
                      </w:p>
                    </w:txbxContent>
                  </v:textbox>
                </v:rect>
                <v:rect id="矩形 51" o:spid="_x0000_s1026" o:spt="1" style="position:absolute;left:4800214;top:1502179;height:772859;width:326958;v-text-anchor:middle;" fillcolor="#FFFFFF [3201]" filled="t" stroked="t" coordsize="21600,21600" o:gfxdata="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nxVFp1wAAAAUBAAAPAAAAAAAAAAEAIAAAACIAAABk&#10;cnMvZG93bnJldi54bWxQSwECFAAUAAAACACHTuJAEJw/EnkCAAD1BAAADgAAAAAAAAABACAAAAAm&#10;AQAAZHJzL2Uyb0RvYy54bWxQSwUGAAAAAAYABgBZAQAAEQYAAAAA&#10;">
                  <v:fill on="t" focussize="0,0"/>
                  <v:stroke color="#000000 [3213]" joinstyle="round"/>
                  <v:imagedata o:title=""/>
                  <o:lock v:ext="edit" aspectratio="f"/>
                  <v:textbox>
                    <w:txbxContent>
                      <w:p>
                        <w:pPr>
                          <w:jc w:val="center"/>
                        </w:pPr>
                        <w:r>
                          <w:rPr>
                            <w:rFonts w:hint="eastAsia"/>
                          </w:rPr>
                          <w:t>污水站</w:t>
                        </w:r>
                      </w:p>
                    </w:txbxContent>
                  </v:textbox>
                </v:rect>
                <v:shape id="肘形连接符 52" o:spid="_x0000_s1026" o:spt="34" type="#_x0000_t34" style="position:absolute;left:3374378;top:1888609;flip:y;height:1377096;width:1425836;" filled="f" stroked="t" coordsize="21600,21600" o:gfxdata="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q14+LWAAAABQEAAA8AAAAAAAAAAQAgAAAAIgAAAGRycy9kb3ducmV2LnhtbFBLAQIUABQA&#10;AAAIAIdO4kBizdI0KwIAABsEAAAOAAAAAAAAAAEAIAAAACUBAABkcnMvZTJvRG9jLnhtbFBLBQYA&#10;AAAABgAGAFkBAADCBQAAAAA=&#10;" adj="10800">
                  <v:fill on="f" focussize="0,0"/>
                  <v:stroke color="#00B0F0 [3204]" joinstyle="round" endarrow="block"/>
                  <v:imagedata o:title=""/>
                  <o:lock v:ext="edit" aspectratio="f"/>
                </v:shape>
                <v:shape id="肘形连接符 85" o:spid="_x0000_s1026" o:spt="34" type="#_x0000_t34" style="position:absolute;left:3374379;top:1887062;height:1547;width:1425835;" filled="f" stroked="t" coordsize="21600,21600" o:gfxdata="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SY3hH1gAA&#10;AAUBAAAPAAAAAAAAAAEAIAAAACIAAABkcnMvZG93bnJldi54bWxQSwECFAAUAAAACACHTuJAxdjS&#10;HCACAAAOBAAADgAAAAAAAAABACAAAAAlAQAAZHJzL2Uyb0RvYy54bWxQSwUGAAAAAAYABgBZAQAA&#10;twUAAAAA&#10;" adj="10800">
                  <v:fill on="f" focussize="0,0"/>
                  <v:stroke color="#00B0F0 [3204]" joinstyle="round" endarrow="block"/>
                  <v:imagedata o:title=""/>
                  <o:lock v:ext="edit" aspectratio="f"/>
                </v:shape>
                <v:shape id="肘形连接符 86" o:spid="_x0000_s1026" o:spt="34" type="#_x0000_t34" style="position:absolute;left:3374377;top:685790;height:1202819;width:1425837;" filled="f" stroked="t" coordsize="21600,21600" o:gfxdata="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JjeEfW&#10;AAAABQEAAA8AAAAAAAAAAQAgAAAAIgAAAGRycy9kb3ducmV2LnhtbFBLAQIUABQAAAAIAIdO4kDT&#10;6LcwIgIAABAEAAAOAAAAAAAAAAEAIAAAACUBAABkcnMvZTJvRG9jLnhtbFBLBQYAAAAABgAGAFkB&#10;AAC5BQAAAAA=&#10;" adj="10800">
                  <v:fill on="f" focussize="0,0"/>
                  <v:stroke color="#00B0F0 [3204]" joinstyle="round" endarrow="block"/>
                  <v:imagedata o:title=""/>
                  <o:lock v:ext="edit" aspectratio="f"/>
                </v:shape>
                <v:rect id="矩形 87" o:spid="_x0000_s1026" o:spt="1" style="position:absolute;left:4144592;top:1611056;height:283047;width:655565;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KWiF1JhAgAAowQAAA4AAAAAAAAAAQAgAAAAIQEAAGRycy9lMm9Eb2MueG1sUEsFBgAAAAAGAAYA&#10;WQEAAPQFAAAAAA==&#10;">
                  <v:fill on="f" focussize="0,0"/>
                  <v:stroke on="f"/>
                  <v:imagedata o:title=""/>
                  <o:lock v:ext="edit" aspectratio="f"/>
                  <v:textbox>
                    <w:txbxContent>
                      <w:p>
                        <w:pPr>
                          <w:jc w:val="center"/>
                          <w:rPr>
                            <w:color w:val="00B0F0"/>
                          </w:rPr>
                        </w:pPr>
                        <w:r>
                          <w:rPr>
                            <w:rFonts w:hint="eastAsia"/>
                            <w:color w:val="00B0F0"/>
                          </w:rPr>
                          <w:t>1.184</w:t>
                        </w:r>
                      </w:p>
                    </w:txbxContent>
                  </v:textbox>
                </v:rect>
                <v:shape id="AutoShape 2217" o:spid="_x0000_s1026" o:spt="37" type="#_x0000_t37" style="position:absolute;left:2809626;top:266115;height:458470;width:97790;rotation:-5898240f;" filled="f" stroked="t" coordsize="21600,21600" o:gfxdata="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K4OnZ1wAAAAUBAAAP&#10;AAAAAAAAAAEAIAAAACIAAABkcnMvZG93bnJldi54bWxQSwECFAAUAAAACACHTuJAt7WfKRkCAAAm&#10;BAAADgAAAAAAAAABACAAAAAmAQAAZHJzL2Uyb0RvYy54bWxQSwUGAAAAAAYABgBZAQAAsQUAAAAA&#10;">
                  <v:fill on="f" focussize="0,0"/>
                  <v:stroke color="#000000" joinstyle="round" dashstyle="dash" endarrow="block"/>
                  <v:imagedata o:title=""/>
                  <o:lock v:ext="edit" aspectratio="f"/>
                </v:shape>
                <v:rect id="矩形 90" o:spid="_x0000_s1026" o:spt="1" style="position:absolute;left:2989422;top:293880;height:283047;width:534809;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q01Bm0gAA&#10;AAUBAAAPAAAAAAAAAAEAIAAAACIAAABkcnMvZG93bnJldi54bWxQSwECFAAUAAAACACHTuJAOxFw&#10;G10CAACiBAAADgAAAAAAAAABACAAAAAhAQAAZHJzL2Uyb0RvYy54bWxQSwUGAAAAAAYABgBZAQAA&#10;8AUAAAAA&#10;">
                  <v:fill on="f" focussize="0,0"/>
                  <v:stroke on="f"/>
                  <v:imagedata o:title=""/>
                  <o:lock v:ext="edit" aspectratio="f"/>
                  <v:textbox>
                    <w:txbxContent>
                      <w:p>
                        <w:pPr>
                          <w:jc w:val="center"/>
                        </w:pPr>
                        <w:r>
                          <w:rPr>
                            <w:rFonts w:hint="eastAsia"/>
                          </w:rPr>
                          <w:t>0.308</w:t>
                        </w:r>
                      </w:p>
                    </w:txbxContent>
                  </v:textbox>
                </v:rect>
                <v:shape id="AutoShape 2217" o:spid="_x0000_s1026" o:spt="37" type="#_x0000_t37" style="position:absolute;left:2838634;top:1467493;height:458470;width:97790;rotation:-5898240f;" filled="f" stroked="t" coordsize="21600,21600" o:gfxdata="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iuDp2dcAAAAFAQAA&#10;DwAAAAAAAAABACAAAAAiAAAAZHJzL2Rvd25yZXYueG1sUEsBAhQAFAAAAAgAh07iQH0vJigaAgAA&#10;JwQAAA4AAAAAAAAAAQAgAAAAJgEAAGRycy9lMm9Eb2MueG1sUEsFBgAAAAAGAAYAWQEAALIFAAAA&#10;AA==&#10;">
                  <v:fill on="f" focussize="0,0"/>
                  <v:stroke color="#000000" joinstyle="round" dashstyle="dash" endarrow="block"/>
                  <v:imagedata o:title=""/>
                  <o:lock v:ext="edit" aspectratio="f"/>
                </v:shape>
                <v:rect id="矩形 1443" o:spid="_x0000_s1026" o:spt="1" style="position:absolute;left:3018430;top:1495258;height:283047;width:534809;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rT&#10;UGbSAAAABQEAAA8AAAAAAAAAAQAgAAAAIgAAAGRycy9kb3ducmV2LnhtbFBLAQIUABQAAAAIAIdO&#10;4kCrcizUYgIAAKUEAAAOAAAAAAAAAAEAIAAAACEBAABkcnMvZTJvRG9jLnhtbFBLBQYAAAAABgAG&#10;AFkBAAD1BQAAAAA=&#10;">
                  <v:fill on="f" focussize="0,0"/>
                  <v:stroke on="f"/>
                  <v:imagedata o:title=""/>
                  <o:lock v:ext="edit" aspectratio="f"/>
                  <v:textbox>
                    <w:txbxContent>
                      <w:p>
                        <w:pPr>
                          <w:jc w:val="center"/>
                        </w:pPr>
                        <w:r>
                          <w:rPr>
                            <w:rFonts w:hint="eastAsia"/>
                          </w:rPr>
                          <w:t>1.026</w:t>
                        </w:r>
                      </w:p>
                    </w:txbxContent>
                  </v:textbox>
                </v:rect>
                <v:shape id="AutoShape 2217" o:spid="_x0000_s1026" o:spt="37" type="#_x0000_t37" style="position:absolute;left:2605630;top:2846037;height:458470;width:97790;rotation:-5898240f;" filled="f" stroked="t" coordsize="21600,21600" o:gfxdata="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K4OnZ1wAAAAUBAAAP&#10;AAAAAAAAAAEAIAAAACIAAABkcnMvZG93bnJldi54bWxQSwECFAAUAAAACACHTuJAIlwXcxkCAAAn&#10;BAAADgAAAAAAAAABACAAAAAmAQAAZHJzL2Uyb0RvYy54bWxQSwUGAAAAAAYABgBZAQAAsQUAAAAA&#10;">
                  <v:fill on="f" focussize="0,0"/>
                  <v:stroke color="#000000" joinstyle="round" dashstyle="dash" endarrow="block"/>
                  <v:imagedata o:title=""/>
                  <o:lock v:ext="edit" aspectratio="f"/>
                </v:shape>
                <v:rect id="矩形 1445" o:spid="_x0000_s1026" o:spt="1" style="position:absolute;left:2785184;top:2873735;height:283047;width:633098;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F7xv+thAgAApQQAAA4AAAAAAAAAAQAgAAAAIQEAAGRycy9lMm9Eb2MueG1sUEsFBgAAAAAGAAYA&#10;WQEAAPQFAAAAAA==&#10;">
                  <v:fill on="f" focussize="0,0"/>
                  <v:stroke on="f"/>
                  <v:imagedata o:title=""/>
                  <o:lock v:ext="edit" aspectratio="f"/>
                  <v:textbox>
                    <w:txbxContent>
                      <w:p>
                        <w:pPr>
                          <w:jc w:val="center"/>
                        </w:pPr>
                        <w:r>
                          <w:rPr>
                            <w:rFonts w:hint="eastAsia"/>
                          </w:rPr>
                          <w:t>3.412</w:t>
                        </w:r>
                      </w:p>
                    </w:txbxContent>
                  </v:textbox>
                </v:rect>
                <v:rect id="矩形 1446" o:spid="_x0000_s1026" o:spt="1" style="position:absolute;left:1458686;top:108635;height:283047;width:1658085;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EQ1eHJhAgAApQQAAA4AAAAAAAAAAQAgAAAAIQEAAGRycy9lMm9Eb2MueG1sUEsFBgAAAAAGAAYA&#10;WQEAAPQFAAAAAA==&#10;">
                  <v:fill on="f" focussize="0,0"/>
                  <v:stroke on="f"/>
                  <v:imagedata o:title=""/>
                  <o:lock v:ext="edit" aspectratio="f"/>
                  <v:textbox>
                    <w:txbxContent>
                      <w:p>
                        <w:pPr>
                          <w:jc w:val="center"/>
                          <w:rPr>
                            <w:color w:val="FF0000"/>
                          </w:rPr>
                        </w:pPr>
                        <w:r>
                          <w:rPr>
                            <w:rFonts w:hint="eastAsia"/>
                            <w:color w:val="FF0000"/>
                          </w:rPr>
                          <w:t>7.316</w:t>
                        </w:r>
                      </w:p>
                    </w:txbxContent>
                  </v:textbox>
                </v:rect>
                <v:rect id="矩形 1447" o:spid="_x0000_s1026" o:spt="1" style="position:absolute;left:870837;top:1242314;height:348449;width:553866;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rT&#10;UGbSAAAABQEAAA8AAAAAAAAAAQAgAAAAIgAAAGRycy9kb3ducmV2LnhtbFBLAQIUABQAAAAIAIdO&#10;4kDLHYnuYgIAAKQEAAAOAAAAAAAAAAEAIAAAACEBAABkcnMvZTJvRG9jLnhtbFBLBQYAAAAABgAG&#10;AFkBAAD1BQAAAAA=&#10;">
                  <v:fill on="f" focussize="0,0"/>
                  <v:stroke on="f"/>
                  <v:imagedata o:title=""/>
                  <o:lock v:ext="edit" aspectratio="f"/>
                  <v:textbox>
                    <w:txbxContent>
                      <w:p>
                        <w:pPr>
                          <w:jc w:val="center"/>
                          <w:rPr>
                            <w:color w:val="FF0000"/>
                          </w:rPr>
                        </w:pPr>
                        <w:r>
                          <w:rPr>
                            <w:rFonts w:hint="eastAsia"/>
                            <w:color w:val="FF0000"/>
                          </w:rPr>
                          <w:t>7.316</w:t>
                        </w:r>
                      </w:p>
                    </w:txbxContent>
                  </v:textbox>
                </v:rect>
                <v:rect id="矩形 1448" o:spid="_x0000_s1026" o:spt="1" style="position:absolute;left:1487410;top:3406834;height:283047;width:1658085;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q&#10;01Bm0gAAAAUBAAAPAAAAAAAAAAEAIAAAACIAAABkcnMvZG93bnJldi54bWxQSwECFAAUAAAACACH&#10;TuJA1fmTBmMCAACmBAAADgAAAAAAAAABACAAAAAhAQAAZHJzL2Uyb0RvYy54bWxQSwUGAAAAAAYA&#10;BgBZAQAA9gUAAAAA&#10;">
                  <v:fill on="f" focussize="0,0"/>
                  <v:stroke on="f"/>
                  <v:imagedata o:title=""/>
                  <o:lock v:ext="edit" aspectratio="f"/>
                  <v:textbox>
                    <w:txbxContent>
                      <w:p>
                        <w:pPr>
                          <w:jc w:val="center"/>
                          <w:rPr>
                            <w:color w:val="FF0000"/>
                          </w:rPr>
                        </w:pPr>
                        <w:r>
                          <w:rPr>
                            <w:rFonts w:hint="eastAsia"/>
                            <w:color w:val="FF0000"/>
                          </w:rPr>
                          <w:t>24.368+81.026</w:t>
                        </w:r>
                      </w:p>
                    </w:txbxContent>
                  </v:textbox>
                </v:rect>
                <v:rect id="矩形 1449" o:spid="_x0000_s1026" o:spt="1" style="position:absolute;left:315585;top:2503724;height:283047;width:1658085;v-text-anchor:middle;" filled="f" stroked="f" coordsize="21600,21600" o:gfxdata="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tNQ&#10;ZtIAAAAFAQAADwAAAAAAAAABACAAAAAiAAAAZHJzL2Rvd25yZXYueG1sUEsBAhQAFAAAAAgAh07i&#10;QKOlk1NhAgAApQQAAA4AAAAAAAAAAQAgAAAAIQEAAGRycy9lMm9Eb2MueG1sUEsFBgAAAAAGAAYA&#10;WQEAAPQFAAAAAA==&#10;">
                  <v:fill on="f" focussize="0,0"/>
                  <v:stroke on="f"/>
                  <v:imagedata o:title=""/>
                  <o:lock v:ext="edit" aspectratio="f"/>
                  <v:textbox>
                    <w:txbxContent>
                      <w:p>
                        <w:pPr>
                          <w:jc w:val="center"/>
                          <w:rPr>
                            <w:color w:val="FF0000"/>
                          </w:rPr>
                        </w:pPr>
                        <w:r>
                          <w:rPr>
                            <w:rFonts w:hint="eastAsia"/>
                            <w:color w:val="FF0000"/>
                          </w:rPr>
                          <w:t>105.394</w:t>
                        </w:r>
                      </w:p>
                    </w:txbxContent>
                  </v:textbox>
                </v:rect>
                <w10:wrap type="none"/>
                <w10:anchorlock/>
              </v:group>
            </w:pict>
          </mc:Fallback>
        </mc:AlternateContent>
      </w:r>
    </w:p>
    <w:p>
      <w:pPr>
        <w:pStyle w:val="43"/>
        <w:rPr>
          <w:color w:val="auto"/>
        </w:rPr>
      </w:pPr>
      <w:r>
        <w:rPr>
          <w:color w:val="auto"/>
        </w:rPr>
        <mc:AlternateContent>
          <mc:Choice Requires="wps">
            <w:drawing>
              <wp:anchor distT="0" distB="0" distL="114300" distR="114300" simplePos="0" relativeHeight="251781120" behindDoc="0" locked="0" layoutInCell="1" allowOverlap="1">
                <wp:simplePos x="0" y="0"/>
                <wp:positionH relativeFrom="column">
                  <wp:posOffset>161925</wp:posOffset>
                </wp:positionH>
                <wp:positionV relativeFrom="paragraph">
                  <wp:posOffset>88900</wp:posOffset>
                </wp:positionV>
                <wp:extent cx="4895850" cy="320675"/>
                <wp:effectExtent l="0" t="0" r="0" b="0"/>
                <wp:wrapNone/>
                <wp:docPr id="1451" name="Rectangle 1312"/>
                <wp:cNvGraphicFramePr/>
                <a:graphic xmlns:a="http://schemas.openxmlformats.org/drawingml/2006/main">
                  <a:graphicData uri="http://schemas.microsoft.com/office/word/2010/wordprocessingShape">
                    <wps:wsp>
                      <wps:cNvSpPr>
                        <a:spLocks noChangeArrowheads="1"/>
                      </wps:cNvSpPr>
                      <wps:spPr bwMode="auto">
                        <a:xfrm>
                          <a:off x="0" y="0"/>
                          <a:ext cx="4895850" cy="320675"/>
                        </a:xfrm>
                        <a:prstGeom prst="rect">
                          <a:avLst/>
                        </a:prstGeom>
                        <a:noFill/>
                        <a:ln>
                          <a:noFill/>
                        </a:ln>
                        <a:effectLst/>
                      </wps:spPr>
                      <wps:txbx>
                        <w:txbxContent>
                          <w:p>
                            <w:pPr>
                              <w:rPr>
                                <w:rFonts w:eastAsia="黑体"/>
                                <w:b/>
                                <w:bCs/>
                                <w:kern w:val="21"/>
                                <w:sz w:val="24"/>
                                <w:szCs w:val="24"/>
                                <w:u w:val="single"/>
                              </w:rPr>
                            </w:pPr>
                            <w:r>
                              <w:rPr>
                                <w:rFonts w:eastAsia="黑体"/>
                                <w:b/>
                                <w:bCs/>
                                <w:kern w:val="21"/>
                                <w:sz w:val="24"/>
                                <w:szCs w:val="24"/>
                                <w:u w:val="single"/>
                              </w:rPr>
                              <w:t>图3.3-</w:t>
                            </w:r>
                            <w:r>
                              <w:rPr>
                                <w:rFonts w:hint="eastAsia" w:eastAsia="黑体"/>
                                <w:b/>
                                <w:bCs/>
                                <w:kern w:val="21"/>
                                <w:sz w:val="24"/>
                                <w:szCs w:val="24"/>
                                <w:u w:val="single"/>
                              </w:rPr>
                              <w:t>10</w:t>
                            </w:r>
                            <w:r>
                              <w:rPr>
                                <w:rFonts w:eastAsia="黑体"/>
                                <w:b/>
                                <w:bCs/>
                                <w:kern w:val="21"/>
                                <w:sz w:val="24"/>
                                <w:szCs w:val="24"/>
                                <w:u w:val="single"/>
                              </w:rPr>
                              <w:t xml:space="preserve">   项目</w:t>
                            </w:r>
                            <w:r>
                              <w:rPr>
                                <w:rFonts w:hint="eastAsia" w:eastAsia="黑体"/>
                                <w:b/>
                                <w:bCs/>
                                <w:kern w:val="21"/>
                                <w:sz w:val="24"/>
                                <w:szCs w:val="24"/>
                                <w:u w:val="single"/>
                              </w:rPr>
                              <w:t>其他季蒸汽</w:t>
                            </w:r>
                            <w:r>
                              <w:rPr>
                                <w:rFonts w:eastAsia="黑体"/>
                                <w:b/>
                                <w:bCs/>
                                <w:kern w:val="21"/>
                                <w:sz w:val="24"/>
                                <w:szCs w:val="24"/>
                                <w:u w:val="single"/>
                              </w:rPr>
                              <w:t>平衡</w:t>
                            </w:r>
                            <w:r>
                              <w:rPr>
                                <w:rFonts w:hint="eastAsia" w:eastAsia="黑体"/>
                                <w:b/>
                                <w:bCs/>
                                <w:kern w:val="21"/>
                                <w:sz w:val="24"/>
                                <w:szCs w:val="24"/>
                                <w:u w:val="single"/>
                              </w:rPr>
                              <w:t xml:space="preserve">图（t/d）  外排浓水     冷凝水      </w:t>
                            </w:r>
                          </w:p>
                        </w:txbxContent>
                      </wps:txbx>
                      <wps:bodyPr rot="0" vert="horz" wrap="square" lIns="91440" tIns="45720" rIns="91440" bIns="45720" anchor="t" anchorCtr="0" upright="1">
                        <a:noAutofit/>
                      </wps:bodyPr>
                    </wps:wsp>
                  </a:graphicData>
                </a:graphic>
              </wp:anchor>
            </w:drawing>
          </mc:Choice>
          <mc:Fallback>
            <w:pict>
              <v:rect id="Rectangle 1312" o:spid="_x0000_s1026" o:spt="1" style="position:absolute;left:0pt;margin-left:12.75pt;margin-top:7pt;height:25.25pt;width:385.5pt;z-index:251781120;mso-width-relative:page;mso-height-relative:page;" filled="f" stroked="f" coordsize="21600,21600" o:gfxdata="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6aT4DNkAAAAIAQAADwAAAAAAAAABACAA&#10;AAAiAAAAZHJzL2Rvd25yZXYueG1sUEsBAhQAFAAAAAgAh07iQDl3eMAMAgAAHwQAAA4AAAAAAAAA&#10;AQAgAAAAKAEAAGRycy9lMm9Eb2MueG1sUEsFBgAAAAAGAAYAWQEAAKYFAAAAAA==&#10;">
                <v:fill on="f" focussize="0,0"/>
                <v:stroke on="f"/>
                <v:imagedata o:title=""/>
                <o:lock v:ext="edit" aspectratio="f"/>
                <v:textbox>
                  <w:txbxContent>
                    <w:p>
                      <w:pPr>
                        <w:rPr>
                          <w:rFonts w:eastAsia="黑体"/>
                          <w:b/>
                          <w:bCs/>
                          <w:kern w:val="21"/>
                          <w:sz w:val="24"/>
                          <w:szCs w:val="24"/>
                          <w:u w:val="single"/>
                        </w:rPr>
                      </w:pPr>
                      <w:r>
                        <w:rPr>
                          <w:rFonts w:eastAsia="黑体"/>
                          <w:b/>
                          <w:bCs/>
                          <w:kern w:val="21"/>
                          <w:sz w:val="24"/>
                          <w:szCs w:val="24"/>
                          <w:u w:val="single"/>
                        </w:rPr>
                        <w:t>图3.3-</w:t>
                      </w:r>
                      <w:r>
                        <w:rPr>
                          <w:rFonts w:hint="eastAsia" w:eastAsia="黑体"/>
                          <w:b/>
                          <w:bCs/>
                          <w:kern w:val="21"/>
                          <w:sz w:val="24"/>
                          <w:szCs w:val="24"/>
                          <w:u w:val="single"/>
                        </w:rPr>
                        <w:t>10</w:t>
                      </w:r>
                      <w:r>
                        <w:rPr>
                          <w:rFonts w:eastAsia="黑体"/>
                          <w:b/>
                          <w:bCs/>
                          <w:kern w:val="21"/>
                          <w:sz w:val="24"/>
                          <w:szCs w:val="24"/>
                          <w:u w:val="single"/>
                        </w:rPr>
                        <w:t xml:space="preserve">   项目</w:t>
                      </w:r>
                      <w:r>
                        <w:rPr>
                          <w:rFonts w:hint="eastAsia" w:eastAsia="黑体"/>
                          <w:b/>
                          <w:bCs/>
                          <w:kern w:val="21"/>
                          <w:sz w:val="24"/>
                          <w:szCs w:val="24"/>
                          <w:u w:val="single"/>
                        </w:rPr>
                        <w:t>其他季蒸汽</w:t>
                      </w:r>
                      <w:r>
                        <w:rPr>
                          <w:rFonts w:eastAsia="黑体"/>
                          <w:b/>
                          <w:bCs/>
                          <w:kern w:val="21"/>
                          <w:sz w:val="24"/>
                          <w:szCs w:val="24"/>
                          <w:u w:val="single"/>
                        </w:rPr>
                        <w:t>平衡</w:t>
                      </w:r>
                      <w:r>
                        <w:rPr>
                          <w:rFonts w:hint="eastAsia" w:eastAsia="黑体"/>
                          <w:b/>
                          <w:bCs/>
                          <w:kern w:val="21"/>
                          <w:sz w:val="24"/>
                          <w:szCs w:val="24"/>
                          <w:u w:val="single"/>
                        </w:rPr>
                        <w:t xml:space="preserve">图（t/d）  外排浓水     冷凝水      </w:t>
                      </w:r>
                    </w:p>
                  </w:txbxContent>
                </v:textbox>
              </v:rect>
            </w:pict>
          </mc:Fallback>
        </mc:AlternateContent>
      </w:r>
    </w:p>
    <w:p>
      <w:pPr>
        <w:pStyle w:val="43"/>
        <w:rPr>
          <w:color w:val="auto"/>
        </w:rPr>
      </w:pPr>
      <w:r>
        <w:rPr>
          <w:color w:val="auto"/>
        </w:rPr>
        <mc:AlternateContent>
          <mc:Choice Requires="wps">
            <w:drawing>
              <wp:anchor distT="0" distB="0" distL="114300" distR="114300" simplePos="0" relativeHeight="251783168" behindDoc="0" locked="0" layoutInCell="1" allowOverlap="1">
                <wp:simplePos x="0" y="0"/>
                <wp:positionH relativeFrom="column">
                  <wp:posOffset>3790315</wp:posOffset>
                </wp:positionH>
                <wp:positionV relativeFrom="paragraph">
                  <wp:posOffset>41275</wp:posOffset>
                </wp:positionV>
                <wp:extent cx="347345" cy="0"/>
                <wp:effectExtent l="0" t="38100" r="14605" b="38100"/>
                <wp:wrapNone/>
                <wp:docPr id="1453" name="直接箭头连接符 1453"/>
                <wp:cNvGraphicFramePr/>
                <a:graphic xmlns:a="http://schemas.openxmlformats.org/drawingml/2006/main">
                  <a:graphicData uri="http://schemas.microsoft.com/office/word/2010/wordprocessingShape">
                    <wps:wsp>
                      <wps:cNvCnPr/>
                      <wps:spPr>
                        <a:xfrm>
                          <a:off x="0" y="0"/>
                          <a:ext cx="347345" cy="0"/>
                        </a:xfrm>
                        <a:prstGeom prst="straightConnector1">
                          <a:avLst/>
                        </a:prstGeom>
                        <a:ln>
                          <a:solidFill>
                            <a:srgbClr val="00B0F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8.45pt;margin-top:3.25pt;height:0pt;width:27.35pt;z-index:251783168;mso-width-relative:page;mso-height-relative:page;" filled="f" stroked="t" coordsize="21600,21600" o:gfxdata="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DbcZ3TVAAAABwEAAA8AAAAAAAAA&#10;AQAgAAAAIgAAAGRycy9kb3ducmV2LnhtbFBLAQIUABQAAAAIAIdO4kClSufNFAIAAAsEAAAOAAAA&#10;AAAAAAEAIAAAACQBAABkcnMvZTJvRG9jLnhtbFBLBQYAAAAABgAGAFkBAACqBQAAAAA=&#10;">
                <v:fill on="f" focussize="0,0"/>
                <v:stroke color="#00B0F0 [3204]" joinstyle="round" endarrow="block"/>
                <v:imagedata o:title=""/>
                <o:lock v:ext="edit" aspectratio="f"/>
              </v:shape>
            </w:pict>
          </mc:Fallback>
        </mc:AlternateContent>
      </w:r>
      <w:r>
        <w:rPr>
          <w:color w:val="auto"/>
        </w:rPr>
        <mc:AlternateContent>
          <mc:Choice Requires="wps">
            <w:drawing>
              <wp:anchor distT="0" distB="0" distL="114300" distR="114300" simplePos="0" relativeHeight="251782144" behindDoc="0" locked="0" layoutInCell="1" allowOverlap="1">
                <wp:simplePos x="0" y="0"/>
                <wp:positionH relativeFrom="column">
                  <wp:posOffset>4537075</wp:posOffset>
                </wp:positionH>
                <wp:positionV relativeFrom="paragraph">
                  <wp:posOffset>41910</wp:posOffset>
                </wp:positionV>
                <wp:extent cx="347345" cy="0"/>
                <wp:effectExtent l="0" t="38100" r="14605" b="38100"/>
                <wp:wrapNone/>
                <wp:docPr id="1452" name="直接箭头连接符 1452"/>
                <wp:cNvGraphicFramePr/>
                <a:graphic xmlns:a="http://schemas.openxmlformats.org/drawingml/2006/main">
                  <a:graphicData uri="http://schemas.microsoft.com/office/word/2010/wordprocessingShape">
                    <wps:wsp>
                      <wps:cNvCnPr/>
                      <wps:spPr>
                        <a:xfrm>
                          <a:off x="0" y="0"/>
                          <a:ext cx="347345"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57.25pt;margin-top:3.3pt;height:0pt;width:27.35pt;z-index:251782144;mso-width-relative:page;mso-height-relative:page;" filled="f" stroked="t" coordsize="21600,21600" o:gfxdata="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8K8sdcAAAAHAQAADwAAAAAA&#10;AAABACAAAAAiAAAAZHJzL2Rvd25yZXYueG1sUEsBAhQAFAAAAAgAh07iQAohg7cUAgAACwQAAA4A&#10;AAAAAAAAAQAgAAAAJgEAAGRycy9lMm9Eb2MueG1sUEsFBgAAAAAGAAYAWQEAAKwFAAAAAA==&#10;">
                <v:fill on="f" focussize="0,0"/>
                <v:stroke color="#FF0000 [3204]" joinstyle="round" endarrow="block"/>
                <v:imagedata o:title=""/>
                <o:lock v:ext="edit" aspectratio="f"/>
              </v:shape>
            </w:pict>
          </mc:Fallback>
        </mc:AlternateContent>
      </w:r>
    </w:p>
    <w:p>
      <w:pPr>
        <w:pStyle w:val="43"/>
        <w:rPr>
          <w:color w:val="auto"/>
        </w:rPr>
      </w:pP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190" w:name="_Toc112338941"/>
      <w:r>
        <w:rPr>
          <w:bCs w:val="0"/>
          <w:color w:val="auto"/>
          <w:kern w:val="0"/>
          <w:szCs w:val="20"/>
          <w:lang w:val="en-US"/>
        </w:rPr>
        <w:t>3.4污染源源强分析</w:t>
      </w:r>
      <w:bookmarkEnd w:id="189"/>
      <w:bookmarkEnd w:id="190"/>
    </w:p>
    <w:p>
      <w:pPr>
        <w:pStyle w:val="271"/>
        <w:keepNext w:val="0"/>
        <w:keepLines w:val="0"/>
        <w:snapToGrid w:val="0"/>
        <w:spacing w:before="0" w:beforeLines="0" w:after="0" w:afterLines="0"/>
        <w:rPr>
          <w:rFonts w:cs="Times New Roman"/>
          <w:color w:val="auto"/>
          <w:kern w:val="21"/>
          <w:sz w:val="28"/>
          <w:szCs w:val="28"/>
        </w:rPr>
      </w:pPr>
      <w:r>
        <w:rPr>
          <w:rFonts w:cs="Times New Roman"/>
          <w:color w:val="auto"/>
          <w:kern w:val="21"/>
          <w:sz w:val="28"/>
          <w:szCs w:val="28"/>
        </w:rPr>
        <w:t>3.4.1废气污染源强分析</w:t>
      </w:r>
    </w:p>
    <w:p>
      <w:pPr>
        <w:pStyle w:val="6"/>
        <w:spacing w:before="0" w:after="0" w:line="360" w:lineRule="auto"/>
        <w:rPr>
          <w:b w:val="0"/>
          <w:color w:val="auto"/>
          <w:sz w:val="24"/>
          <w:szCs w:val="24"/>
        </w:rPr>
      </w:pPr>
      <w:r>
        <w:rPr>
          <w:b w:val="0"/>
          <w:color w:val="auto"/>
          <w:sz w:val="24"/>
          <w:szCs w:val="24"/>
        </w:rPr>
        <w:t>3.4.1.</w:t>
      </w:r>
      <w:r>
        <w:rPr>
          <w:rFonts w:hint="eastAsia"/>
          <w:b w:val="0"/>
          <w:color w:val="auto"/>
          <w:sz w:val="24"/>
          <w:szCs w:val="24"/>
        </w:rPr>
        <w:t>1</w:t>
      </w:r>
      <w:r>
        <w:rPr>
          <w:b w:val="0"/>
          <w:color w:val="auto"/>
          <w:sz w:val="24"/>
          <w:szCs w:val="24"/>
        </w:rPr>
        <w:t>酸雾</w:t>
      </w:r>
    </w:p>
    <w:p>
      <w:pPr>
        <w:adjustRightInd w:val="0"/>
        <w:snapToGrid w:val="0"/>
        <w:spacing w:line="360" w:lineRule="auto"/>
        <w:ind w:firstLine="482" w:firstLineChars="200"/>
        <w:rPr>
          <w:b/>
          <w:bCs/>
          <w:color w:val="auto"/>
          <w:kern w:val="21"/>
          <w:sz w:val="24"/>
          <w:szCs w:val="24"/>
          <w:u w:val="single"/>
        </w:rPr>
      </w:pPr>
      <w:r>
        <w:rPr>
          <w:rFonts w:hint="eastAsia"/>
          <w:b/>
          <w:bCs/>
          <w:color w:val="auto"/>
          <w:kern w:val="21"/>
          <w:sz w:val="24"/>
          <w:szCs w:val="24"/>
          <w:u w:val="single"/>
        </w:rPr>
        <w:t>1、源强核算</w:t>
      </w:r>
    </w:p>
    <w:p>
      <w:pPr>
        <w:adjustRightInd w:val="0"/>
        <w:snapToGrid w:val="0"/>
        <w:spacing w:line="360" w:lineRule="auto"/>
        <w:ind w:firstLine="482" w:firstLineChars="200"/>
        <w:rPr>
          <w:b/>
          <w:bCs/>
          <w:color w:val="auto"/>
          <w:kern w:val="21"/>
          <w:sz w:val="24"/>
          <w:szCs w:val="22"/>
          <w:u w:val="single"/>
        </w:rPr>
      </w:pPr>
      <w:r>
        <w:rPr>
          <w:b/>
          <w:bCs/>
          <w:color w:val="auto"/>
          <w:kern w:val="21"/>
          <w:sz w:val="24"/>
          <w:szCs w:val="24"/>
          <w:u w:val="single"/>
        </w:rPr>
        <w:t>根据</w:t>
      </w:r>
      <w:r>
        <w:rPr>
          <w:b/>
          <w:bCs/>
          <w:color w:val="auto"/>
          <w:kern w:val="21"/>
          <w:sz w:val="24"/>
          <w:szCs w:val="22"/>
          <w:u w:val="single"/>
        </w:rPr>
        <w:t>《污染源源强核算技术指南 电镀》（HJ984-2018）附录B中所述，</w:t>
      </w:r>
      <w:r>
        <w:rPr>
          <w:rFonts w:hint="eastAsia"/>
          <w:b/>
          <w:bCs/>
          <w:color w:val="auto"/>
          <w:kern w:val="21"/>
          <w:sz w:val="24"/>
          <w:szCs w:val="22"/>
          <w:u w:val="single"/>
        </w:rPr>
        <w:t>“</w:t>
      </w:r>
      <w:r>
        <w:rPr>
          <w:b/>
          <w:bCs/>
          <w:color w:val="auto"/>
          <w:kern w:val="21"/>
          <w:sz w:val="24"/>
          <w:szCs w:val="22"/>
          <w:u w:val="single"/>
        </w:rPr>
        <w:t>在常温下低铬酸及其盐溶液中钝化，可忽略铬酸雾产生；室温下在含硫酸的溶液中镀锌，稀硫酸酸洗可忽略硫酸雾产生</w:t>
      </w:r>
      <w:r>
        <w:rPr>
          <w:rFonts w:hint="eastAsia"/>
          <w:b/>
          <w:bCs/>
          <w:color w:val="auto"/>
          <w:kern w:val="21"/>
          <w:sz w:val="24"/>
          <w:szCs w:val="22"/>
          <w:u w:val="single"/>
        </w:rPr>
        <w:t>”。</w:t>
      </w:r>
    </w:p>
    <w:p>
      <w:pPr>
        <w:adjustRightInd w:val="0"/>
        <w:snapToGrid w:val="0"/>
        <w:spacing w:line="360" w:lineRule="auto"/>
        <w:ind w:firstLine="482" w:firstLineChars="200"/>
        <w:rPr>
          <w:b/>
          <w:bCs/>
          <w:color w:val="auto"/>
          <w:kern w:val="21"/>
          <w:sz w:val="24"/>
          <w:szCs w:val="22"/>
          <w:u w:val="single"/>
        </w:rPr>
      </w:pPr>
      <w:r>
        <w:rPr>
          <w:rFonts w:hint="eastAsia"/>
          <w:b/>
          <w:bCs/>
          <w:color w:val="auto"/>
          <w:kern w:val="21"/>
          <w:sz w:val="24"/>
          <w:szCs w:val="22"/>
          <w:u w:val="single"/>
        </w:rPr>
        <w:t>根据《电镀行业清洁生产评价指标体系》表</w:t>
      </w:r>
      <w:r>
        <w:rPr>
          <w:b/>
          <w:bCs/>
          <w:color w:val="auto"/>
          <w:kern w:val="21"/>
          <w:sz w:val="24"/>
          <w:szCs w:val="22"/>
          <w:u w:val="single"/>
        </w:rPr>
        <w:t>1</w:t>
      </w:r>
      <w:r>
        <w:rPr>
          <w:rFonts w:hint="eastAsia"/>
          <w:b/>
          <w:bCs/>
          <w:color w:val="auto"/>
          <w:kern w:val="21"/>
          <w:sz w:val="24"/>
          <w:szCs w:val="22"/>
          <w:u w:val="single"/>
        </w:rPr>
        <w:t>注释显示，钝化液中铬酸酐含量低于</w:t>
      </w:r>
      <w:r>
        <w:rPr>
          <w:b/>
          <w:bCs/>
          <w:color w:val="auto"/>
          <w:kern w:val="21"/>
          <w:sz w:val="24"/>
          <w:szCs w:val="22"/>
          <w:u w:val="single"/>
        </w:rPr>
        <w:t>5g/L</w:t>
      </w:r>
      <w:r>
        <w:rPr>
          <w:rFonts w:hint="eastAsia"/>
          <w:b/>
          <w:bCs/>
          <w:color w:val="auto"/>
          <w:kern w:val="21"/>
          <w:sz w:val="24"/>
          <w:szCs w:val="22"/>
          <w:u w:val="single"/>
        </w:rPr>
        <w:t>的为低铬钝化。本项目钝化为常温钝化，且钝化液铬酸酐溶液浓度为</w:t>
      </w:r>
      <w:r>
        <w:rPr>
          <w:b/>
          <w:bCs/>
          <w:color w:val="auto"/>
          <w:kern w:val="21"/>
          <w:sz w:val="24"/>
          <w:szCs w:val="22"/>
          <w:u w:val="single"/>
        </w:rPr>
        <w:t>3g/L</w:t>
      </w:r>
      <w:r>
        <w:rPr>
          <w:rFonts w:hint="eastAsia"/>
          <w:b/>
          <w:bCs/>
          <w:color w:val="auto"/>
          <w:kern w:val="21"/>
          <w:sz w:val="24"/>
          <w:szCs w:val="22"/>
          <w:u w:val="single"/>
        </w:rPr>
        <w:t>，属于低铬钝化；</w:t>
      </w:r>
      <w:r>
        <w:rPr>
          <w:b/>
          <w:bCs/>
          <w:color w:val="auto"/>
          <w:kern w:val="21"/>
          <w:sz w:val="24"/>
          <w:szCs w:val="22"/>
          <w:u w:val="single"/>
        </w:rPr>
        <w:t>项目酸活化采用</w:t>
      </w:r>
      <w:r>
        <w:rPr>
          <w:rFonts w:hint="eastAsia"/>
          <w:b/>
          <w:bCs/>
          <w:color w:val="auto"/>
          <w:kern w:val="21"/>
          <w:sz w:val="24"/>
          <w:szCs w:val="22"/>
          <w:u w:val="single"/>
        </w:rPr>
        <w:t>3%的稀硫酸</w:t>
      </w:r>
      <w:r>
        <w:rPr>
          <w:b/>
          <w:bCs/>
          <w:color w:val="auto"/>
          <w:kern w:val="21"/>
          <w:sz w:val="24"/>
          <w:szCs w:val="22"/>
          <w:u w:val="single"/>
        </w:rPr>
        <w:t>、出光采用</w:t>
      </w:r>
      <w:r>
        <w:rPr>
          <w:rFonts w:hint="eastAsia"/>
          <w:b/>
          <w:bCs/>
          <w:color w:val="auto"/>
          <w:kern w:val="21"/>
          <w:sz w:val="24"/>
          <w:szCs w:val="22"/>
          <w:u w:val="single"/>
        </w:rPr>
        <w:t>0.5%的稀硫酸，且不使用硫酸进行电镀，因此本项目钝化产生的铬酸雾及酸活化、出光产生的硫酸雾可忽略</w:t>
      </w:r>
      <w:r>
        <w:rPr>
          <w:b/>
          <w:bCs/>
          <w:color w:val="auto"/>
          <w:kern w:val="21"/>
          <w:sz w:val="24"/>
          <w:szCs w:val="22"/>
          <w:u w:val="single"/>
        </w:rPr>
        <w:t>。但</w:t>
      </w:r>
      <w:r>
        <w:rPr>
          <w:rFonts w:hint="eastAsia"/>
          <w:b/>
          <w:bCs/>
          <w:color w:val="auto"/>
          <w:kern w:val="21"/>
          <w:sz w:val="24"/>
          <w:szCs w:val="22"/>
          <w:u w:val="single"/>
        </w:rPr>
        <w:t>为了进一步减少废气影响，该部分废气仍经过生产线密闭、上抽风装置及槽边抽风装置收集后通入</w:t>
      </w:r>
      <w:r>
        <w:rPr>
          <w:rFonts w:hint="eastAsia"/>
          <w:b/>
          <w:bCs/>
          <w:color w:val="auto"/>
          <w:kern w:val="21"/>
          <w:sz w:val="24"/>
          <w:szCs w:val="22"/>
          <w:u w:val="single"/>
          <w:lang w:eastAsia="zh-CN"/>
        </w:rPr>
        <w:t>二级</w:t>
      </w:r>
      <w:r>
        <w:rPr>
          <w:rFonts w:hint="eastAsia"/>
          <w:b/>
          <w:bCs/>
          <w:color w:val="auto"/>
          <w:kern w:val="21"/>
          <w:sz w:val="24"/>
          <w:szCs w:val="22"/>
          <w:u w:val="single"/>
        </w:rPr>
        <w:t>碱液喷淋</w:t>
      </w:r>
      <w:r>
        <w:rPr>
          <w:rFonts w:hint="eastAsia"/>
          <w:b/>
          <w:bCs/>
          <w:color w:val="auto"/>
          <w:kern w:val="21"/>
          <w:sz w:val="24"/>
          <w:szCs w:val="22"/>
          <w:u w:val="single"/>
          <w:lang w:eastAsia="zh-CN"/>
        </w:rPr>
        <w:t>中和</w:t>
      </w:r>
      <w:r>
        <w:rPr>
          <w:rFonts w:hint="eastAsia"/>
          <w:b/>
          <w:bCs/>
          <w:color w:val="auto"/>
          <w:kern w:val="21"/>
          <w:sz w:val="24"/>
          <w:szCs w:val="22"/>
          <w:u w:val="single"/>
        </w:rPr>
        <w:t>塔处理</w:t>
      </w:r>
      <w:r>
        <w:rPr>
          <w:rFonts w:hint="eastAsia"/>
          <w:b/>
          <w:bCs/>
          <w:color w:val="auto"/>
          <w:kern w:val="21"/>
          <w:sz w:val="24"/>
          <w:szCs w:val="22"/>
          <w:u w:val="single"/>
          <w:lang w:eastAsia="zh-CN"/>
        </w:rPr>
        <w:t>，处理</w:t>
      </w:r>
      <w:r>
        <w:rPr>
          <w:rFonts w:hint="eastAsia"/>
          <w:b/>
          <w:bCs/>
          <w:color w:val="auto"/>
          <w:kern w:val="21"/>
          <w:sz w:val="24"/>
          <w:szCs w:val="22"/>
          <w:u w:val="single"/>
        </w:rPr>
        <w:t>后经</w:t>
      </w:r>
      <w:r>
        <w:rPr>
          <w:rFonts w:hint="eastAsia"/>
          <w:b/>
          <w:bCs/>
          <w:color w:val="auto"/>
          <w:kern w:val="21"/>
          <w:sz w:val="24"/>
          <w:szCs w:val="22"/>
          <w:u w:val="single"/>
          <w:lang w:eastAsia="zh-CN"/>
        </w:rPr>
        <w:t>15m高排气筒</w:t>
      </w:r>
      <w:r>
        <w:rPr>
          <w:rFonts w:hint="eastAsia"/>
          <w:b/>
          <w:bCs/>
          <w:color w:val="auto"/>
          <w:kern w:val="21"/>
          <w:sz w:val="24"/>
          <w:szCs w:val="22"/>
          <w:u w:val="single"/>
        </w:rPr>
        <w:t>排放。</w:t>
      </w:r>
    </w:p>
    <w:p>
      <w:pPr>
        <w:adjustRightInd w:val="0"/>
        <w:snapToGrid w:val="0"/>
        <w:spacing w:line="360" w:lineRule="auto"/>
        <w:ind w:firstLine="482" w:firstLineChars="200"/>
        <w:rPr>
          <w:b/>
          <w:bCs/>
          <w:color w:val="auto"/>
          <w:kern w:val="21"/>
          <w:sz w:val="24"/>
          <w:szCs w:val="22"/>
          <w:u w:val="single"/>
        </w:rPr>
      </w:pPr>
      <w:r>
        <w:rPr>
          <w:b/>
          <w:bCs/>
          <w:color w:val="auto"/>
          <w:kern w:val="21"/>
          <w:sz w:val="24"/>
          <w:szCs w:val="22"/>
          <w:u w:val="single"/>
        </w:rPr>
        <w:t>本项目电镀生产线酸洗工序产生的HCl，按照《污染源源强核算技术指南 电镀》（HJ984-2018）中废气污染物源源强核算方法中产污系数法进行核算，大气污染物产生量计算方法为：</w:t>
      </w:r>
    </w:p>
    <w:p>
      <w:pPr>
        <w:adjustRightInd w:val="0"/>
        <w:snapToGrid w:val="0"/>
        <w:spacing w:line="360" w:lineRule="auto"/>
        <w:jc w:val="center"/>
        <w:rPr>
          <w:b/>
          <w:bCs/>
          <w:color w:val="auto"/>
          <w:kern w:val="21"/>
          <w:sz w:val="24"/>
          <w:szCs w:val="22"/>
          <w:u w:val="single"/>
        </w:rPr>
      </w:pPr>
      <w:r>
        <w:rPr>
          <w:b/>
          <w:bCs/>
          <w:color w:val="auto"/>
          <w:kern w:val="21"/>
          <w:sz w:val="24"/>
          <w:szCs w:val="22"/>
          <w:u w:val="single"/>
        </w:rPr>
        <w:object>
          <v:shape id="_x0000_i1027" o:spt="75" alt="" type="#_x0000_t75" style="height:16.5pt;width:99pt;" o:ole="t" filled="f" o:preferrelative="t" stroked="f" coordsize="21600,21600">
            <v:path/>
            <v:fill on="f" focussize="0,0"/>
            <v:stroke on="f"/>
            <v:imagedata r:id="rId59" o:title=""/>
            <o:lock v:ext="edit" aspectratio="t"/>
            <w10:wrap type="none"/>
            <w10:anchorlock/>
          </v:shape>
          <o:OLEObject Type="Embed" ProgID="Equation.3" ShapeID="_x0000_i1027" DrawAspect="Content" ObjectID="_1468075729" r:id="rId58">
            <o:LockedField>false</o:LockedField>
          </o:OLEObject>
        </w:object>
      </w:r>
    </w:p>
    <w:p>
      <w:pPr>
        <w:adjustRightInd w:val="0"/>
        <w:snapToGrid w:val="0"/>
        <w:spacing w:line="360" w:lineRule="auto"/>
        <w:ind w:firstLine="482" w:firstLineChars="200"/>
        <w:rPr>
          <w:b/>
          <w:bCs/>
          <w:color w:val="auto"/>
          <w:kern w:val="21"/>
          <w:sz w:val="24"/>
          <w:szCs w:val="22"/>
          <w:u w:val="single"/>
        </w:rPr>
      </w:pPr>
      <w:r>
        <w:rPr>
          <w:b/>
          <w:bCs/>
          <w:color w:val="auto"/>
          <w:kern w:val="21"/>
          <w:sz w:val="24"/>
          <w:szCs w:val="22"/>
          <w:u w:val="single"/>
        </w:rPr>
        <w:t>式中：D—核算时段内污染物产生量，t；</w:t>
      </w:r>
    </w:p>
    <w:p>
      <w:pPr>
        <w:adjustRightInd w:val="0"/>
        <w:snapToGrid w:val="0"/>
        <w:spacing w:line="360" w:lineRule="auto"/>
        <w:ind w:firstLine="1205" w:firstLineChars="500"/>
        <w:rPr>
          <w:b/>
          <w:bCs/>
          <w:color w:val="auto"/>
          <w:kern w:val="21"/>
          <w:sz w:val="24"/>
          <w:szCs w:val="22"/>
          <w:u w:val="single"/>
        </w:rPr>
      </w:pPr>
      <w:r>
        <w:rPr>
          <w:b/>
          <w:bCs/>
          <w:color w:val="auto"/>
          <w:kern w:val="21"/>
          <w:sz w:val="24"/>
          <w:szCs w:val="22"/>
          <w:u w:val="single"/>
        </w:rPr>
        <w:t>Gs—单位渡槽液面面积单位时间大气污染物产生量，g/（m</w:t>
      </w:r>
      <w:r>
        <w:rPr>
          <w:b/>
          <w:bCs/>
          <w:color w:val="auto"/>
          <w:kern w:val="21"/>
          <w:sz w:val="24"/>
          <w:szCs w:val="22"/>
          <w:u w:val="single"/>
          <w:vertAlign w:val="superscript"/>
        </w:rPr>
        <w:t>2</w:t>
      </w:r>
      <w:r>
        <w:rPr>
          <w:b/>
          <w:bCs/>
          <w:color w:val="auto"/>
          <w:kern w:val="21"/>
          <w:sz w:val="24"/>
          <w:szCs w:val="22"/>
          <w:u w:val="single"/>
        </w:rPr>
        <w:t>·h），</w:t>
      </w:r>
    </w:p>
    <w:p>
      <w:pPr>
        <w:adjustRightInd w:val="0"/>
        <w:snapToGrid w:val="0"/>
        <w:spacing w:line="360" w:lineRule="auto"/>
        <w:ind w:firstLine="482" w:firstLineChars="200"/>
        <w:rPr>
          <w:b/>
          <w:bCs/>
          <w:color w:val="auto"/>
          <w:kern w:val="21"/>
          <w:sz w:val="24"/>
          <w:szCs w:val="22"/>
          <w:u w:val="single"/>
        </w:rPr>
      </w:pPr>
      <w:r>
        <w:rPr>
          <w:b/>
          <w:bCs/>
          <w:color w:val="auto"/>
          <w:kern w:val="21"/>
          <w:sz w:val="24"/>
          <w:szCs w:val="22"/>
          <w:u w:val="single"/>
        </w:rPr>
        <w:t>数值来源于附录B；</w:t>
      </w:r>
    </w:p>
    <w:p>
      <w:pPr>
        <w:adjustRightInd w:val="0"/>
        <w:snapToGrid w:val="0"/>
        <w:spacing w:line="360" w:lineRule="auto"/>
        <w:ind w:firstLine="1205" w:firstLineChars="500"/>
        <w:rPr>
          <w:b/>
          <w:bCs/>
          <w:color w:val="auto"/>
          <w:kern w:val="21"/>
          <w:sz w:val="24"/>
          <w:szCs w:val="22"/>
          <w:u w:val="single"/>
        </w:rPr>
      </w:pPr>
      <w:r>
        <w:rPr>
          <w:b/>
          <w:bCs/>
          <w:color w:val="auto"/>
          <w:kern w:val="21"/>
          <w:sz w:val="24"/>
          <w:szCs w:val="22"/>
          <w:u w:val="single"/>
        </w:rPr>
        <w:t>A—渡槽液面面积，m</w:t>
      </w:r>
      <w:r>
        <w:rPr>
          <w:b/>
          <w:bCs/>
          <w:color w:val="auto"/>
          <w:kern w:val="21"/>
          <w:sz w:val="24"/>
          <w:szCs w:val="22"/>
          <w:u w:val="single"/>
          <w:vertAlign w:val="superscript"/>
        </w:rPr>
        <w:t>2</w:t>
      </w:r>
      <w:r>
        <w:rPr>
          <w:b/>
          <w:bCs/>
          <w:color w:val="auto"/>
          <w:kern w:val="21"/>
          <w:sz w:val="24"/>
          <w:szCs w:val="22"/>
          <w:u w:val="single"/>
        </w:rPr>
        <w:t>；</w:t>
      </w:r>
    </w:p>
    <w:p>
      <w:pPr>
        <w:adjustRightInd w:val="0"/>
        <w:snapToGrid w:val="0"/>
        <w:spacing w:line="360" w:lineRule="auto"/>
        <w:ind w:firstLine="1205" w:firstLineChars="500"/>
        <w:rPr>
          <w:color w:val="auto"/>
          <w:kern w:val="21"/>
          <w:sz w:val="24"/>
          <w:szCs w:val="22"/>
        </w:rPr>
      </w:pPr>
      <w:r>
        <w:rPr>
          <w:b/>
          <w:bCs/>
          <w:color w:val="auto"/>
          <w:kern w:val="21"/>
          <w:sz w:val="24"/>
          <w:szCs w:val="22"/>
          <w:u w:val="single"/>
        </w:rPr>
        <w:t>t—核算时段内污染物产生时间，h</w:t>
      </w:r>
      <w:r>
        <w:rPr>
          <w:color w:val="auto"/>
          <w:kern w:val="21"/>
          <w:sz w:val="24"/>
          <w:szCs w:val="22"/>
        </w:rPr>
        <w:t>。</w:t>
      </w:r>
    </w:p>
    <w:p>
      <w:pPr>
        <w:adjustRightInd w:val="0"/>
        <w:snapToGrid w:val="0"/>
        <w:spacing w:line="360" w:lineRule="auto"/>
        <w:ind w:firstLine="482" w:firstLineChars="200"/>
        <w:rPr>
          <w:b/>
          <w:color w:val="auto"/>
          <w:kern w:val="21"/>
          <w:sz w:val="24"/>
          <w:szCs w:val="24"/>
          <w:u w:val="single"/>
        </w:rPr>
        <w:sectPr>
          <w:pgSz w:w="11850" w:h="16783"/>
          <w:pgMar w:top="1440" w:right="1800" w:bottom="1440" w:left="1800" w:header="1134" w:footer="1134" w:gutter="0"/>
          <w:cols w:space="720" w:num="1"/>
        </w:sectPr>
      </w:pPr>
    </w:p>
    <w:p>
      <w:pPr>
        <w:adjustRightInd w:val="0"/>
        <w:snapToGrid w:val="0"/>
        <w:spacing w:line="360" w:lineRule="auto"/>
        <w:ind w:firstLine="480" w:firstLineChars="200"/>
        <w:rPr>
          <w:color w:val="auto"/>
          <w:kern w:val="21"/>
          <w:sz w:val="24"/>
          <w:szCs w:val="24"/>
        </w:rPr>
      </w:pPr>
      <w:r>
        <w:rPr>
          <w:color w:val="auto"/>
          <w:kern w:val="21"/>
          <w:sz w:val="24"/>
          <w:szCs w:val="24"/>
        </w:rPr>
        <w:t>本项目</w:t>
      </w:r>
      <w:r>
        <w:rPr>
          <w:rFonts w:hint="eastAsia"/>
          <w:color w:val="auto"/>
          <w:kern w:val="21"/>
          <w:sz w:val="24"/>
          <w:szCs w:val="24"/>
          <w:lang w:eastAsia="zh-CN"/>
        </w:rPr>
        <w:t>酸洗工序酸性</w:t>
      </w:r>
      <w:r>
        <w:rPr>
          <w:color w:val="auto"/>
          <w:kern w:val="21"/>
          <w:sz w:val="24"/>
          <w:szCs w:val="24"/>
        </w:rPr>
        <w:t>废气产生量见下表。</w:t>
      </w:r>
    </w:p>
    <w:p>
      <w:pPr>
        <w:adjustRightInd w:val="0"/>
        <w:snapToGrid w:val="0"/>
        <w:jc w:val="center"/>
        <w:rPr>
          <w:rFonts w:eastAsia="黑体"/>
          <w:color w:val="auto"/>
          <w:kern w:val="21"/>
          <w:sz w:val="24"/>
          <w:szCs w:val="24"/>
        </w:rPr>
      </w:pPr>
      <w:r>
        <w:rPr>
          <w:rFonts w:eastAsia="黑体"/>
          <w:color w:val="auto"/>
          <w:kern w:val="21"/>
          <w:sz w:val="24"/>
          <w:szCs w:val="24"/>
        </w:rPr>
        <w:t>表3.4-</w:t>
      </w:r>
      <w:r>
        <w:rPr>
          <w:rFonts w:hint="eastAsia" w:eastAsia="黑体"/>
          <w:color w:val="auto"/>
          <w:kern w:val="21"/>
          <w:sz w:val="24"/>
          <w:szCs w:val="24"/>
        </w:rPr>
        <w:t>1</w:t>
      </w:r>
      <w:r>
        <w:rPr>
          <w:rFonts w:eastAsia="黑体"/>
          <w:color w:val="auto"/>
          <w:kern w:val="21"/>
          <w:sz w:val="24"/>
          <w:szCs w:val="24"/>
        </w:rPr>
        <w:t xml:space="preserve">   </w:t>
      </w:r>
      <w:r>
        <w:rPr>
          <w:rFonts w:hint="eastAsia" w:eastAsia="黑体"/>
          <w:color w:val="auto"/>
          <w:kern w:val="21"/>
          <w:sz w:val="24"/>
          <w:szCs w:val="24"/>
          <w:lang w:eastAsia="zh-CN"/>
        </w:rPr>
        <w:t>本</w:t>
      </w:r>
      <w:r>
        <w:rPr>
          <w:rFonts w:eastAsia="黑体"/>
          <w:color w:val="auto"/>
          <w:kern w:val="21"/>
          <w:sz w:val="24"/>
          <w:szCs w:val="24"/>
        </w:rPr>
        <w:t>项目酸洗工序</w:t>
      </w:r>
      <w:r>
        <w:rPr>
          <w:rFonts w:hint="eastAsia" w:eastAsia="黑体"/>
          <w:color w:val="auto"/>
          <w:kern w:val="21"/>
          <w:sz w:val="24"/>
          <w:szCs w:val="24"/>
          <w:lang w:eastAsia="zh-CN"/>
        </w:rPr>
        <w:t>酸性</w:t>
      </w:r>
      <w:r>
        <w:rPr>
          <w:rFonts w:eastAsia="黑体"/>
          <w:color w:val="auto"/>
          <w:kern w:val="21"/>
          <w:sz w:val="24"/>
          <w:szCs w:val="24"/>
        </w:rPr>
        <w:t>废气</w:t>
      </w:r>
      <w:r>
        <w:rPr>
          <w:rFonts w:hint="eastAsia" w:eastAsia="黑体"/>
          <w:color w:val="auto"/>
          <w:kern w:val="21"/>
          <w:sz w:val="24"/>
          <w:szCs w:val="24"/>
          <w:lang w:eastAsia="zh-CN"/>
        </w:rPr>
        <w:t>产生</w:t>
      </w:r>
      <w:r>
        <w:rPr>
          <w:rFonts w:eastAsia="黑体"/>
          <w:color w:val="auto"/>
          <w:kern w:val="21"/>
          <w:sz w:val="24"/>
          <w:szCs w:val="24"/>
        </w:rPr>
        <w:t>量计算表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500"/>
        <w:gridCol w:w="1108"/>
        <w:gridCol w:w="908"/>
        <w:gridCol w:w="984"/>
        <w:gridCol w:w="1118"/>
        <w:gridCol w:w="1059"/>
        <w:gridCol w:w="1080"/>
        <w:gridCol w:w="1077"/>
        <w:gridCol w:w="1188"/>
        <w:gridCol w:w="1104"/>
        <w:gridCol w:w="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5" w:type="dxa"/>
            <w:vAlign w:val="center"/>
          </w:tcPr>
          <w:p>
            <w:pPr>
              <w:adjustRightInd w:val="0"/>
              <w:snapToGrid w:val="0"/>
              <w:jc w:val="center"/>
              <w:rPr>
                <w:b/>
                <w:color w:val="auto"/>
                <w:kern w:val="21"/>
                <w:u w:val="single"/>
              </w:rPr>
            </w:pPr>
            <w:r>
              <w:rPr>
                <w:b/>
                <w:color w:val="auto"/>
                <w:kern w:val="21"/>
                <w:u w:val="single"/>
              </w:rPr>
              <w:t>生产线</w:t>
            </w:r>
          </w:p>
        </w:tc>
        <w:tc>
          <w:tcPr>
            <w:tcW w:w="1500" w:type="dxa"/>
            <w:vAlign w:val="center"/>
          </w:tcPr>
          <w:p>
            <w:pPr>
              <w:adjustRightInd w:val="0"/>
              <w:snapToGrid w:val="0"/>
              <w:jc w:val="center"/>
              <w:rPr>
                <w:b/>
                <w:color w:val="auto"/>
                <w:kern w:val="21"/>
                <w:u w:val="single"/>
              </w:rPr>
            </w:pPr>
            <w:r>
              <w:rPr>
                <w:b/>
                <w:color w:val="auto"/>
                <w:kern w:val="21"/>
                <w:u w:val="single"/>
              </w:rPr>
              <w:t>产污点</w:t>
            </w:r>
          </w:p>
        </w:tc>
        <w:tc>
          <w:tcPr>
            <w:tcW w:w="1108" w:type="dxa"/>
            <w:vAlign w:val="center"/>
          </w:tcPr>
          <w:p>
            <w:pPr>
              <w:adjustRightInd w:val="0"/>
              <w:snapToGrid w:val="0"/>
              <w:jc w:val="center"/>
              <w:rPr>
                <w:b/>
                <w:color w:val="auto"/>
                <w:kern w:val="21"/>
                <w:u w:val="single"/>
              </w:rPr>
            </w:pPr>
            <w:r>
              <w:rPr>
                <w:b/>
                <w:color w:val="auto"/>
                <w:kern w:val="21"/>
                <w:u w:val="single"/>
              </w:rPr>
              <w:t>污染物</w:t>
            </w:r>
          </w:p>
        </w:tc>
        <w:tc>
          <w:tcPr>
            <w:tcW w:w="908" w:type="dxa"/>
            <w:vAlign w:val="center"/>
          </w:tcPr>
          <w:p>
            <w:pPr>
              <w:adjustRightInd w:val="0"/>
              <w:snapToGrid w:val="0"/>
              <w:jc w:val="center"/>
              <w:rPr>
                <w:b/>
                <w:color w:val="auto"/>
                <w:kern w:val="21"/>
                <w:u w:val="single"/>
              </w:rPr>
            </w:pPr>
            <w:r>
              <w:rPr>
                <w:b/>
                <w:color w:val="auto"/>
                <w:kern w:val="21"/>
                <w:u w:val="single"/>
              </w:rPr>
              <w:t>生产线</w:t>
            </w:r>
          </w:p>
        </w:tc>
        <w:tc>
          <w:tcPr>
            <w:tcW w:w="984" w:type="dxa"/>
            <w:vAlign w:val="center"/>
          </w:tcPr>
          <w:p>
            <w:pPr>
              <w:adjustRightInd w:val="0"/>
              <w:snapToGrid w:val="0"/>
              <w:jc w:val="center"/>
              <w:rPr>
                <w:b/>
                <w:color w:val="auto"/>
                <w:kern w:val="21"/>
                <w:u w:val="single"/>
              </w:rPr>
            </w:pPr>
            <w:r>
              <w:rPr>
                <w:b/>
                <w:color w:val="auto"/>
                <w:kern w:val="21"/>
                <w:u w:val="single"/>
              </w:rPr>
              <w:t>单线</w:t>
            </w:r>
          </w:p>
          <w:p>
            <w:pPr>
              <w:adjustRightInd w:val="0"/>
              <w:snapToGrid w:val="0"/>
              <w:jc w:val="center"/>
              <w:rPr>
                <w:b/>
                <w:color w:val="auto"/>
                <w:kern w:val="21"/>
                <w:u w:val="single"/>
              </w:rPr>
            </w:pPr>
            <w:r>
              <w:rPr>
                <w:b/>
                <w:color w:val="auto"/>
                <w:kern w:val="21"/>
                <w:u w:val="single"/>
              </w:rPr>
              <w:t>槽数</w:t>
            </w:r>
          </w:p>
        </w:tc>
        <w:tc>
          <w:tcPr>
            <w:tcW w:w="1118" w:type="dxa"/>
            <w:vAlign w:val="center"/>
          </w:tcPr>
          <w:p>
            <w:pPr>
              <w:adjustRightInd w:val="0"/>
              <w:snapToGrid w:val="0"/>
              <w:jc w:val="center"/>
              <w:rPr>
                <w:b/>
                <w:color w:val="auto"/>
                <w:kern w:val="21"/>
                <w:u w:val="single"/>
              </w:rPr>
            </w:pPr>
            <w:r>
              <w:rPr>
                <w:b/>
                <w:color w:val="auto"/>
                <w:kern w:val="21"/>
                <w:u w:val="single"/>
              </w:rPr>
              <w:t>单线液槽面积（m</w:t>
            </w:r>
            <w:r>
              <w:rPr>
                <w:rFonts w:hint="eastAsia"/>
                <w:b/>
                <w:color w:val="auto"/>
                <w:kern w:val="21"/>
                <w:u w:val="single"/>
                <w:vertAlign w:val="superscript"/>
              </w:rPr>
              <w:t>2</w:t>
            </w:r>
            <w:r>
              <w:rPr>
                <w:b/>
                <w:color w:val="auto"/>
                <w:kern w:val="21"/>
                <w:u w:val="single"/>
              </w:rPr>
              <w:t>）</w:t>
            </w:r>
          </w:p>
        </w:tc>
        <w:tc>
          <w:tcPr>
            <w:tcW w:w="1059" w:type="dxa"/>
            <w:vAlign w:val="center"/>
          </w:tcPr>
          <w:p>
            <w:pPr>
              <w:adjustRightInd w:val="0"/>
              <w:snapToGrid w:val="0"/>
              <w:jc w:val="center"/>
              <w:rPr>
                <w:b/>
                <w:color w:val="auto"/>
                <w:kern w:val="21"/>
                <w:u w:val="single"/>
              </w:rPr>
            </w:pPr>
            <w:r>
              <w:rPr>
                <w:b/>
                <w:color w:val="auto"/>
                <w:kern w:val="21"/>
                <w:u w:val="single"/>
              </w:rPr>
              <w:t>总液面面积（m</w:t>
            </w:r>
            <w:r>
              <w:rPr>
                <w:b/>
                <w:color w:val="auto"/>
                <w:kern w:val="21"/>
                <w:u w:val="single"/>
                <w:vertAlign w:val="superscript"/>
              </w:rPr>
              <w:t>2</w:t>
            </w:r>
            <w:r>
              <w:rPr>
                <w:b/>
                <w:color w:val="auto"/>
                <w:kern w:val="21"/>
                <w:u w:val="single"/>
              </w:rPr>
              <w:t>）</w:t>
            </w:r>
          </w:p>
        </w:tc>
        <w:tc>
          <w:tcPr>
            <w:tcW w:w="1080" w:type="dxa"/>
            <w:vAlign w:val="center"/>
          </w:tcPr>
          <w:p>
            <w:pPr>
              <w:adjustRightInd w:val="0"/>
              <w:snapToGrid w:val="0"/>
              <w:jc w:val="center"/>
              <w:rPr>
                <w:b/>
                <w:color w:val="auto"/>
                <w:kern w:val="21"/>
                <w:u w:val="single"/>
              </w:rPr>
            </w:pPr>
            <w:r>
              <w:rPr>
                <w:b/>
                <w:color w:val="auto"/>
                <w:kern w:val="21"/>
                <w:u w:val="single"/>
              </w:rPr>
              <w:t>槽液温度（℃）</w:t>
            </w:r>
          </w:p>
        </w:tc>
        <w:tc>
          <w:tcPr>
            <w:tcW w:w="1077" w:type="dxa"/>
            <w:vAlign w:val="center"/>
          </w:tcPr>
          <w:p>
            <w:pPr>
              <w:adjustRightInd w:val="0"/>
              <w:snapToGrid w:val="0"/>
              <w:jc w:val="center"/>
              <w:rPr>
                <w:b/>
                <w:color w:val="auto"/>
                <w:kern w:val="21"/>
                <w:u w:val="single"/>
              </w:rPr>
            </w:pPr>
            <w:r>
              <w:rPr>
                <w:b/>
                <w:color w:val="auto"/>
                <w:kern w:val="21"/>
                <w:u w:val="single"/>
              </w:rPr>
              <w:t>槽液浓度</w:t>
            </w:r>
          </w:p>
        </w:tc>
        <w:tc>
          <w:tcPr>
            <w:tcW w:w="1188" w:type="dxa"/>
            <w:vAlign w:val="center"/>
          </w:tcPr>
          <w:p>
            <w:pPr>
              <w:adjustRightInd w:val="0"/>
              <w:snapToGrid w:val="0"/>
              <w:jc w:val="center"/>
              <w:rPr>
                <w:b/>
                <w:color w:val="auto"/>
                <w:kern w:val="21"/>
                <w:u w:val="single"/>
              </w:rPr>
            </w:pPr>
            <w:r>
              <w:rPr>
                <w:b/>
                <w:color w:val="auto"/>
                <w:kern w:val="21"/>
                <w:u w:val="single"/>
              </w:rPr>
              <w:t>Gs（g/m</w:t>
            </w:r>
            <w:r>
              <w:rPr>
                <w:b/>
                <w:color w:val="auto"/>
                <w:kern w:val="21"/>
                <w:u w:val="single"/>
                <w:vertAlign w:val="superscript"/>
              </w:rPr>
              <w:t>2</w:t>
            </w:r>
            <w:r>
              <w:rPr>
                <w:b/>
                <w:color w:val="auto"/>
                <w:kern w:val="21"/>
                <w:u w:val="single"/>
              </w:rPr>
              <w:t>·h）</w:t>
            </w:r>
          </w:p>
        </w:tc>
        <w:tc>
          <w:tcPr>
            <w:tcW w:w="1104" w:type="dxa"/>
            <w:vAlign w:val="center"/>
          </w:tcPr>
          <w:p>
            <w:pPr>
              <w:adjustRightInd w:val="0"/>
              <w:snapToGrid w:val="0"/>
              <w:jc w:val="center"/>
              <w:rPr>
                <w:b/>
                <w:color w:val="auto"/>
                <w:kern w:val="21"/>
                <w:u w:val="single"/>
              </w:rPr>
            </w:pPr>
            <w:r>
              <w:rPr>
                <w:b/>
                <w:color w:val="auto"/>
                <w:kern w:val="21"/>
                <w:u w:val="single"/>
              </w:rPr>
              <w:t>产生速率（kg/h）</w:t>
            </w:r>
          </w:p>
        </w:tc>
        <w:tc>
          <w:tcPr>
            <w:tcW w:w="968" w:type="dxa"/>
            <w:vAlign w:val="center"/>
          </w:tcPr>
          <w:p>
            <w:pPr>
              <w:adjustRightInd w:val="0"/>
              <w:snapToGrid w:val="0"/>
              <w:jc w:val="center"/>
              <w:rPr>
                <w:b/>
                <w:color w:val="auto"/>
                <w:kern w:val="21"/>
                <w:u w:val="single"/>
              </w:rPr>
            </w:pPr>
            <w:r>
              <w:rPr>
                <w:b/>
                <w:color w:val="auto"/>
                <w:kern w:val="21"/>
                <w:u w:val="single"/>
              </w:rPr>
              <w:t>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5" w:type="dxa"/>
            <w:vMerge w:val="restart"/>
            <w:vAlign w:val="center"/>
          </w:tcPr>
          <w:p>
            <w:pPr>
              <w:adjustRightInd w:val="0"/>
              <w:snapToGrid w:val="0"/>
              <w:jc w:val="center"/>
              <w:rPr>
                <w:b/>
                <w:color w:val="auto"/>
                <w:kern w:val="21"/>
                <w:u w:val="single"/>
              </w:rPr>
            </w:pPr>
            <w:r>
              <w:rPr>
                <w:b/>
                <w:color w:val="auto"/>
                <w:kern w:val="21"/>
                <w:u w:val="single"/>
              </w:rPr>
              <w:t>电镀生产线</w:t>
            </w:r>
          </w:p>
        </w:tc>
        <w:tc>
          <w:tcPr>
            <w:tcW w:w="1500" w:type="dxa"/>
            <w:vAlign w:val="center"/>
          </w:tcPr>
          <w:p>
            <w:pPr>
              <w:adjustRightInd w:val="0"/>
              <w:snapToGrid w:val="0"/>
              <w:jc w:val="center"/>
              <w:rPr>
                <w:b/>
                <w:color w:val="auto"/>
                <w:kern w:val="21"/>
                <w:u w:val="single"/>
              </w:rPr>
            </w:pPr>
            <w:r>
              <w:rPr>
                <w:b/>
                <w:color w:val="auto"/>
                <w:kern w:val="21"/>
                <w:u w:val="single"/>
              </w:rPr>
              <w:t>钢壳镀镍酸洗工序</w:t>
            </w:r>
          </w:p>
        </w:tc>
        <w:tc>
          <w:tcPr>
            <w:tcW w:w="1108" w:type="dxa"/>
            <w:vAlign w:val="center"/>
          </w:tcPr>
          <w:p>
            <w:pPr>
              <w:adjustRightInd w:val="0"/>
              <w:snapToGrid w:val="0"/>
              <w:jc w:val="center"/>
              <w:rPr>
                <w:b/>
                <w:color w:val="auto"/>
                <w:kern w:val="21"/>
                <w:u w:val="single"/>
              </w:rPr>
            </w:pPr>
            <w:r>
              <w:rPr>
                <w:b/>
                <w:color w:val="auto"/>
                <w:kern w:val="21"/>
                <w:u w:val="single"/>
              </w:rPr>
              <w:t>HCl</w:t>
            </w:r>
          </w:p>
        </w:tc>
        <w:tc>
          <w:tcPr>
            <w:tcW w:w="908" w:type="dxa"/>
            <w:vAlign w:val="center"/>
          </w:tcPr>
          <w:p>
            <w:pPr>
              <w:adjustRightInd w:val="0"/>
              <w:snapToGrid w:val="0"/>
              <w:jc w:val="center"/>
              <w:rPr>
                <w:b/>
                <w:color w:val="auto"/>
                <w:kern w:val="21"/>
                <w:u w:val="single"/>
              </w:rPr>
            </w:pPr>
            <w:r>
              <w:rPr>
                <w:rFonts w:hint="eastAsia"/>
                <w:b/>
                <w:color w:val="auto"/>
                <w:kern w:val="21"/>
                <w:u w:val="single"/>
              </w:rPr>
              <w:t>6条</w:t>
            </w:r>
          </w:p>
        </w:tc>
        <w:tc>
          <w:tcPr>
            <w:tcW w:w="984" w:type="dxa"/>
            <w:vAlign w:val="center"/>
          </w:tcPr>
          <w:p>
            <w:pPr>
              <w:adjustRightInd w:val="0"/>
              <w:snapToGrid w:val="0"/>
              <w:jc w:val="center"/>
              <w:rPr>
                <w:b/>
                <w:color w:val="auto"/>
                <w:kern w:val="21"/>
                <w:u w:val="single"/>
              </w:rPr>
            </w:pPr>
            <w:r>
              <w:rPr>
                <w:rFonts w:hint="eastAsia"/>
                <w:b/>
                <w:color w:val="auto"/>
                <w:kern w:val="21"/>
                <w:u w:val="single"/>
              </w:rPr>
              <w:t>2</w:t>
            </w:r>
            <w:r>
              <w:rPr>
                <w:b/>
                <w:color w:val="auto"/>
                <w:kern w:val="21"/>
                <w:u w:val="single"/>
              </w:rPr>
              <w:t>个</w:t>
            </w:r>
          </w:p>
        </w:tc>
        <w:tc>
          <w:tcPr>
            <w:tcW w:w="1118" w:type="dxa"/>
            <w:vAlign w:val="center"/>
          </w:tcPr>
          <w:p>
            <w:pPr>
              <w:adjustRightInd w:val="0"/>
              <w:snapToGrid w:val="0"/>
              <w:jc w:val="center"/>
              <w:rPr>
                <w:b/>
                <w:color w:val="auto"/>
                <w:kern w:val="21"/>
                <w:u w:val="single"/>
              </w:rPr>
            </w:pPr>
            <w:r>
              <w:rPr>
                <w:rFonts w:hint="eastAsia"/>
                <w:b/>
                <w:bCs/>
                <w:color w:val="auto"/>
                <w:kern w:val="21"/>
                <w:u w:val="single"/>
                <w:lang w:bidi="ar"/>
              </w:rPr>
              <w:t>4</w:t>
            </w:r>
          </w:p>
        </w:tc>
        <w:tc>
          <w:tcPr>
            <w:tcW w:w="1059" w:type="dxa"/>
            <w:vAlign w:val="center"/>
          </w:tcPr>
          <w:p>
            <w:pPr>
              <w:adjustRightInd w:val="0"/>
              <w:snapToGrid w:val="0"/>
              <w:jc w:val="center"/>
              <w:rPr>
                <w:b/>
                <w:color w:val="auto"/>
                <w:kern w:val="21"/>
                <w:u w:val="single"/>
              </w:rPr>
            </w:pPr>
            <w:r>
              <w:rPr>
                <w:rFonts w:hint="eastAsia"/>
                <w:b/>
                <w:color w:val="auto"/>
                <w:kern w:val="21"/>
                <w:u w:val="single"/>
              </w:rPr>
              <w:t>24</w:t>
            </w:r>
          </w:p>
        </w:tc>
        <w:tc>
          <w:tcPr>
            <w:tcW w:w="1080" w:type="dxa"/>
            <w:vAlign w:val="center"/>
          </w:tcPr>
          <w:p>
            <w:pPr>
              <w:adjustRightInd w:val="0"/>
              <w:snapToGrid w:val="0"/>
              <w:jc w:val="center"/>
              <w:rPr>
                <w:b/>
                <w:color w:val="auto"/>
                <w:kern w:val="21"/>
                <w:u w:val="single"/>
              </w:rPr>
            </w:pPr>
            <w:r>
              <w:rPr>
                <w:b/>
                <w:color w:val="auto"/>
                <w:kern w:val="21"/>
                <w:u w:val="single"/>
              </w:rPr>
              <w:t>室温</w:t>
            </w:r>
          </w:p>
        </w:tc>
        <w:tc>
          <w:tcPr>
            <w:tcW w:w="1077" w:type="dxa"/>
            <w:vAlign w:val="center"/>
          </w:tcPr>
          <w:p>
            <w:pPr>
              <w:adjustRightInd w:val="0"/>
              <w:snapToGrid w:val="0"/>
              <w:jc w:val="center"/>
              <w:rPr>
                <w:b/>
                <w:color w:val="auto"/>
                <w:kern w:val="21"/>
                <w:u w:val="single"/>
              </w:rPr>
            </w:pPr>
            <w:r>
              <w:rPr>
                <w:rFonts w:hint="eastAsia"/>
                <w:b/>
                <w:color w:val="auto"/>
                <w:kern w:val="21"/>
                <w:u w:val="single"/>
                <w:lang w:eastAsia="zh-CN"/>
              </w:rPr>
              <w:t>5%-8%</w:t>
            </w:r>
          </w:p>
        </w:tc>
        <w:tc>
          <w:tcPr>
            <w:tcW w:w="1188" w:type="dxa"/>
            <w:vAlign w:val="center"/>
          </w:tcPr>
          <w:p>
            <w:pPr>
              <w:adjustRightInd w:val="0"/>
              <w:snapToGrid w:val="0"/>
              <w:jc w:val="center"/>
              <w:rPr>
                <w:b/>
                <w:color w:val="auto"/>
                <w:kern w:val="21"/>
                <w:u w:val="single"/>
              </w:rPr>
            </w:pPr>
            <w:r>
              <w:rPr>
                <w:rFonts w:hint="eastAsia"/>
                <w:b/>
                <w:color w:val="auto"/>
                <w:kern w:val="21"/>
                <w:u w:val="single"/>
              </w:rPr>
              <w:t>12.64</w:t>
            </w:r>
          </w:p>
        </w:tc>
        <w:tc>
          <w:tcPr>
            <w:tcW w:w="1104" w:type="dxa"/>
            <w:vAlign w:val="center"/>
          </w:tcPr>
          <w:p>
            <w:pPr>
              <w:adjustRightInd w:val="0"/>
              <w:snapToGrid w:val="0"/>
              <w:jc w:val="center"/>
              <w:rPr>
                <w:b/>
                <w:color w:val="auto"/>
                <w:kern w:val="21"/>
                <w:u w:val="single"/>
              </w:rPr>
            </w:pPr>
            <w:r>
              <w:rPr>
                <w:b/>
                <w:color w:val="auto"/>
                <w:kern w:val="21"/>
                <w:u w:val="single"/>
              </w:rPr>
              <w:t>0.</w:t>
            </w:r>
            <w:r>
              <w:rPr>
                <w:rFonts w:hint="eastAsia"/>
                <w:b/>
                <w:color w:val="auto"/>
                <w:kern w:val="21"/>
                <w:u w:val="single"/>
              </w:rPr>
              <w:t>3034</w:t>
            </w:r>
          </w:p>
        </w:tc>
        <w:tc>
          <w:tcPr>
            <w:tcW w:w="968" w:type="dxa"/>
            <w:vAlign w:val="center"/>
          </w:tcPr>
          <w:p>
            <w:pPr>
              <w:adjustRightInd w:val="0"/>
              <w:snapToGrid w:val="0"/>
              <w:jc w:val="center"/>
              <w:rPr>
                <w:b/>
                <w:color w:val="auto"/>
                <w:kern w:val="21"/>
                <w:u w:val="single"/>
              </w:rPr>
            </w:pPr>
            <w:r>
              <w:rPr>
                <w:rFonts w:hint="eastAsia"/>
                <w:b/>
                <w:color w:val="auto"/>
                <w:kern w:val="21"/>
                <w:u w:val="single"/>
              </w:rPr>
              <w:t>2.4029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5" w:type="dxa"/>
            <w:vMerge w:val="continue"/>
            <w:vAlign w:val="center"/>
          </w:tcPr>
          <w:p>
            <w:pPr>
              <w:adjustRightInd w:val="0"/>
              <w:snapToGrid w:val="0"/>
              <w:jc w:val="center"/>
              <w:rPr>
                <w:b/>
                <w:color w:val="auto"/>
                <w:kern w:val="21"/>
                <w:u w:val="single"/>
              </w:rPr>
            </w:pPr>
          </w:p>
        </w:tc>
        <w:tc>
          <w:tcPr>
            <w:tcW w:w="1500" w:type="dxa"/>
            <w:vAlign w:val="center"/>
          </w:tcPr>
          <w:p>
            <w:pPr>
              <w:adjustRightInd w:val="0"/>
              <w:snapToGrid w:val="0"/>
              <w:jc w:val="center"/>
              <w:rPr>
                <w:b/>
                <w:color w:val="auto"/>
                <w:kern w:val="21"/>
                <w:u w:val="single"/>
              </w:rPr>
            </w:pPr>
            <w:r>
              <w:rPr>
                <w:b/>
                <w:color w:val="auto"/>
                <w:kern w:val="21"/>
                <w:u w:val="single"/>
              </w:rPr>
              <w:t>盖帽镀镍酸洗工序</w:t>
            </w:r>
          </w:p>
        </w:tc>
        <w:tc>
          <w:tcPr>
            <w:tcW w:w="1108" w:type="dxa"/>
            <w:vAlign w:val="center"/>
          </w:tcPr>
          <w:p>
            <w:pPr>
              <w:adjustRightInd w:val="0"/>
              <w:snapToGrid w:val="0"/>
              <w:jc w:val="center"/>
              <w:rPr>
                <w:b/>
                <w:color w:val="auto"/>
                <w:kern w:val="21"/>
                <w:u w:val="single"/>
              </w:rPr>
            </w:pPr>
            <w:r>
              <w:rPr>
                <w:b/>
                <w:color w:val="auto"/>
                <w:kern w:val="21"/>
                <w:u w:val="single"/>
              </w:rPr>
              <w:t>HCl</w:t>
            </w:r>
          </w:p>
        </w:tc>
        <w:tc>
          <w:tcPr>
            <w:tcW w:w="908" w:type="dxa"/>
            <w:vAlign w:val="center"/>
          </w:tcPr>
          <w:p>
            <w:pPr>
              <w:adjustRightInd w:val="0"/>
              <w:snapToGrid w:val="0"/>
              <w:jc w:val="center"/>
              <w:rPr>
                <w:b/>
                <w:color w:val="auto"/>
                <w:kern w:val="21"/>
                <w:u w:val="single"/>
              </w:rPr>
            </w:pPr>
            <w:r>
              <w:rPr>
                <w:rFonts w:hint="eastAsia"/>
                <w:b/>
                <w:color w:val="auto"/>
                <w:kern w:val="21"/>
                <w:u w:val="single"/>
              </w:rPr>
              <w:t>3条</w:t>
            </w:r>
          </w:p>
        </w:tc>
        <w:tc>
          <w:tcPr>
            <w:tcW w:w="984" w:type="dxa"/>
            <w:vAlign w:val="center"/>
          </w:tcPr>
          <w:p>
            <w:pPr>
              <w:adjustRightInd w:val="0"/>
              <w:snapToGrid w:val="0"/>
              <w:jc w:val="center"/>
              <w:rPr>
                <w:b/>
                <w:color w:val="auto"/>
                <w:kern w:val="21"/>
                <w:u w:val="single"/>
              </w:rPr>
            </w:pPr>
            <w:r>
              <w:rPr>
                <w:rFonts w:hint="eastAsia"/>
                <w:b/>
                <w:color w:val="auto"/>
                <w:kern w:val="21"/>
                <w:u w:val="single"/>
              </w:rPr>
              <w:t>2</w:t>
            </w:r>
            <w:r>
              <w:rPr>
                <w:b/>
                <w:color w:val="auto"/>
                <w:kern w:val="21"/>
                <w:u w:val="single"/>
              </w:rPr>
              <w:t>个</w:t>
            </w:r>
          </w:p>
        </w:tc>
        <w:tc>
          <w:tcPr>
            <w:tcW w:w="1118" w:type="dxa"/>
            <w:vAlign w:val="center"/>
          </w:tcPr>
          <w:p>
            <w:pPr>
              <w:adjustRightInd w:val="0"/>
              <w:snapToGrid w:val="0"/>
              <w:jc w:val="center"/>
              <w:rPr>
                <w:b/>
                <w:color w:val="auto"/>
                <w:kern w:val="21"/>
                <w:u w:val="single"/>
              </w:rPr>
            </w:pPr>
            <w:r>
              <w:rPr>
                <w:rFonts w:hint="eastAsia"/>
                <w:b/>
                <w:bCs/>
                <w:color w:val="auto"/>
                <w:kern w:val="21"/>
                <w:u w:val="single"/>
                <w:lang w:bidi="ar"/>
              </w:rPr>
              <w:t>4</w:t>
            </w:r>
          </w:p>
        </w:tc>
        <w:tc>
          <w:tcPr>
            <w:tcW w:w="1059" w:type="dxa"/>
            <w:vAlign w:val="center"/>
          </w:tcPr>
          <w:p>
            <w:pPr>
              <w:adjustRightInd w:val="0"/>
              <w:snapToGrid w:val="0"/>
              <w:jc w:val="center"/>
              <w:rPr>
                <w:b/>
                <w:color w:val="auto"/>
                <w:kern w:val="21"/>
                <w:u w:val="single"/>
              </w:rPr>
            </w:pPr>
            <w:r>
              <w:rPr>
                <w:rFonts w:hint="eastAsia"/>
                <w:b/>
                <w:color w:val="auto"/>
                <w:kern w:val="21"/>
                <w:u w:val="single"/>
              </w:rPr>
              <w:t>12</w:t>
            </w:r>
          </w:p>
        </w:tc>
        <w:tc>
          <w:tcPr>
            <w:tcW w:w="1080" w:type="dxa"/>
            <w:vAlign w:val="center"/>
          </w:tcPr>
          <w:p>
            <w:pPr>
              <w:adjustRightInd w:val="0"/>
              <w:snapToGrid w:val="0"/>
              <w:jc w:val="center"/>
              <w:rPr>
                <w:b/>
                <w:color w:val="auto"/>
                <w:kern w:val="21"/>
                <w:u w:val="single"/>
              </w:rPr>
            </w:pPr>
            <w:r>
              <w:rPr>
                <w:b/>
                <w:color w:val="auto"/>
                <w:kern w:val="21"/>
                <w:u w:val="single"/>
              </w:rPr>
              <w:t>室温</w:t>
            </w:r>
          </w:p>
        </w:tc>
        <w:tc>
          <w:tcPr>
            <w:tcW w:w="1077" w:type="dxa"/>
            <w:vAlign w:val="center"/>
          </w:tcPr>
          <w:p>
            <w:pPr>
              <w:adjustRightInd w:val="0"/>
              <w:snapToGrid w:val="0"/>
              <w:jc w:val="center"/>
              <w:rPr>
                <w:b/>
                <w:color w:val="auto"/>
                <w:kern w:val="21"/>
                <w:u w:val="single"/>
              </w:rPr>
            </w:pPr>
            <w:r>
              <w:rPr>
                <w:rFonts w:hint="eastAsia"/>
                <w:b/>
                <w:color w:val="auto"/>
                <w:kern w:val="21"/>
                <w:u w:val="single"/>
                <w:lang w:eastAsia="zh-CN"/>
              </w:rPr>
              <w:t>5%-8%</w:t>
            </w:r>
          </w:p>
        </w:tc>
        <w:tc>
          <w:tcPr>
            <w:tcW w:w="1188" w:type="dxa"/>
            <w:vAlign w:val="center"/>
          </w:tcPr>
          <w:p>
            <w:pPr>
              <w:adjustRightInd w:val="0"/>
              <w:snapToGrid w:val="0"/>
              <w:jc w:val="center"/>
              <w:rPr>
                <w:b/>
                <w:color w:val="auto"/>
                <w:kern w:val="21"/>
                <w:u w:val="single"/>
              </w:rPr>
            </w:pPr>
            <w:r>
              <w:rPr>
                <w:rFonts w:hint="eastAsia"/>
                <w:b/>
                <w:color w:val="auto"/>
                <w:kern w:val="21"/>
                <w:u w:val="single"/>
              </w:rPr>
              <w:t>12.64</w:t>
            </w:r>
          </w:p>
        </w:tc>
        <w:tc>
          <w:tcPr>
            <w:tcW w:w="1104" w:type="dxa"/>
            <w:vAlign w:val="center"/>
          </w:tcPr>
          <w:p>
            <w:pPr>
              <w:adjustRightInd w:val="0"/>
              <w:snapToGrid w:val="0"/>
              <w:jc w:val="center"/>
              <w:rPr>
                <w:b/>
                <w:color w:val="auto"/>
                <w:kern w:val="21"/>
                <w:u w:val="single"/>
              </w:rPr>
            </w:pPr>
            <w:r>
              <w:rPr>
                <w:b/>
                <w:color w:val="auto"/>
                <w:kern w:val="21"/>
                <w:u w:val="single"/>
              </w:rPr>
              <w:t>0.</w:t>
            </w:r>
            <w:r>
              <w:rPr>
                <w:rFonts w:hint="eastAsia"/>
                <w:b/>
                <w:color w:val="auto"/>
                <w:kern w:val="21"/>
                <w:u w:val="single"/>
              </w:rPr>
              <w:t>1517</w:t>
            </w:r>
          </w:p>
        </w:tc>
        <w:tc>
          <w:tcPr>
            <w:tcW w:w="968" w:type="dxa"/>
            <w:vAlign w:val="center"/>
          </w:tcPr>
          <w:p>
            <w:pPr>
              <w:adjustRightInd w:val="0"/>
              <w:snapToGrid w:val="0"/>
              <w:jc w:val="center"/>
              <w:rPr>
                <w:b/>
                <w:color w:val="auto"/>
                <w:kern w:val="21"/>
                <w:u w:val="single"/>
              </w:rPr>
            </w:pPr>
            <w:r>
              <w:rPr>
                <w:rFonts w:hint="eastAsia"/>
                <w:b/>
                <w:color w:val="auto"/>
                <w:kern w:val="21"/>
                <w:u w:val="single"/>
              </w:rPr>
              <w:t>1.201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45" w:type="dxa"/>
            <w:vMerge w:val="continue"/>
            <w:vAlign w:val="center"/>
          </w:tcPr>
          <w:p>
            <w:pPr>
              <w:adjustRightInd w:val="0"/>
              <w:snapToGrid w:val="0"/>
              <w:jc w:val="center"/>
              <w:rPr>
                <w:b/>
                <w:color w:val="auto"/>
                <w:kern w:val="21"/>
                <w:u w:val="single"/>
              </w:rPr>
            </w:pPr>
          </w:p>
        </w:tc>
        <w:tc>
          <w:tcPr>
            <w:tcW w:w="1500" w:type="dxa"/>
            <w:vAlign w:val="center"/>
          </w:tcPr>
          <w:p>
            <w:pPr>
              <w:adjustRightInd w:val="0"/>
              <w:snapToGrid w:val="0"/>
              <w:jc w:val="center"/>
              <w:rPr>
                <w:b/>
                <w:color w:val="auto"/>
                <w:kern w:val="21"/>
                <w:u w:val="single"/>
              </w:rPr>
            </w:pPr>
            <w:r>
              <w:rPr>
                <w:b/>
                <w:color w:val="auto"/>
                <w:kern w:val="21"/>
                <w:u w:val="single"/>
              </w:rPr>
              <w:t>电池箱镀锌酸洗工序</w:t>
            </w:r>
          </w:p>
        </w:tc>
        <w:tc>
          <w:tcPr>
            <w:tcW w:w="1108" w:type="dxa"/>
            <w:vAlign w:val="center"/>
          </w:tcPr>
          <w:p>
            <w:pPr>
              <w:adjustRightInd w:val="0"/>
              <w:snapToGrid w:val="0"/>
              <w:jc w:val="center"/>
              <w:rPr>
                <w:b/>
                <w:color w:val="auto"/>
                <w:kern w:val="21"/>
                <w:u w:val="single"/>
              </w:rPr>
            </w:pPr>
            <w:r>
              <w:rPr>
                <w:b/>
                <w:color w:val="auto"/>
                <w:kern w:val="21"/>
                <w:u w:val="single"/>
              </w:rPr>
              <w:t>HCl</w:t>
            </w:r>
          </w:p>
        </w:tc>
        <w:tc>
          <w:tcPr>
            <w:tcW w:w="908" w:type="dxa"/>
            <w:vAlign w:val="center"/>
          </w:tcPr>
          <w:p>
            <w:pPr>
              <w:adjustRightInd w:val="0"/>
              <w:snapToGrid w:val="0"/>
              <w:jc w:val="center"/>
              <w:rPr>
                <w:b/>
                <w:color w:val="auto"/>
                <w:kern w:val="21"/>
                <w:u w:val="single"/>
              </w:rPr>
            </w:pPr>
            <w:r>
              <w:rPr>
                <w:rFonts w:hint="eastAsia"/>
                <w:b/>
                <w:color w:val="auto"/>
                <w:kern w:val="21"/>
                <w:u w:val="single"/>
              </w:rPr>
              <w:t>1条</w:t>
            </w:r>
          </w:p>
        </w:tc>
        <w:tc>
          <w:tcPr>
            <w:tcW w:w="984" w:type="dxa"/>
            <w:vAlign w:val="center"/>
          </w:tcPr>
          <w:p>
            <w:pPr>
              <w:adjustRightInd w:val="0"/>
              <w:snapToGrid w:val="0"/>
              <w:jc w:val="center"/>
              <w:rPr>
                <w:b/>
                <w:color w:val="auto"/>
                <w:kern w:val="21"/>
                <w:u w:val="single"/>
              </w:rPr>
            </w:pPr>
            <w:r>
              <w:rPr>
                <w:rFonts w:hint="eastAsia"/>
                <w:b/>
                <w:color w:val="auto"/>
                <w:kern w:val="21"/>
                <w:u w:val="single"/>
              </w:rPr>
              <w:t>3</w:t>
            </w:r>
            <w:r>
              <w:rPr>
                <w:b/>
                <w:color w:val="auto"/>
                <w:kern w:val="21"/>
                <w:u w:val="single"/>
              </w:rPr>
              <w:t>个</w:t>
            </w:r>
          </w:p>
        </w:tc>
        <w:tc>
          <w:tcPr>
            <w:tcW w:w="1118" w:type="dxa"/>
            <w:vAlign w:val="center"/>
          </w:tcPr>
          <w:p>
            <w:pPr>
              <w:adjustRightInd w:val="0"/>
              <w:snapToGrid w:val="0"/>
              <w:jc w:val="center"/>
              <w:rPr>
                <w:b/>
                <w:color w:val="auto"/>
                <w:kern w:val="21"/>
                <w:u w:val="single"/>
              </w:rPr>
            </w:pPr>
            <w:r>
              <w:rPr>
                <w:rFonts w:hint="eastAsia"/>
                <w:b/>
                <w:bCs/>
                <w:color w:val="auto"/>
                <w:kern w:val="21"/>
                <w:u w:val="single"/>
                <w:lang w:bidi="ar"/>
              </w:rPr>
              <w:t>17.5</w:t>
            </w:r>
          </w:p>
        </w:tc>
        <w:tc>
          <w:tcPr>
            <w:tcW w:w="1059" w:type="dxa"/>
            <w:vAlign w:val="center"/>
          </w:tcPr>
          <w:p>
            <w:pPr>
              <w:adjustRightInd w:val="0"/>
              <w:snapToGrid w:val="0"/>
              <w:jc w:val="center"/>
              <w:rPr>
                <w:b/>
                <w:color w:val="auto"/>
                <w:kern w:val="21"/>
                <w:u w:val="single"/>
              </w:rPr>
            </w:pPr>
            <w:r>
              <w:rPr>
                <w:rFonts w:hint="eastAsia"/>
                <w:b/>
                <w:color w:val="auto"/>
                <w:kern w:val="21"/>
                <w:u w:val="single"/>
              </w:rPr>
              <w:t>17.5</w:t>
            </w:r>
          </w:p>
        </w:tc>
        <w:tc>
          <w:tcPr>
            <w:tcW w:w="1080" w:type="dxa"/>
            <w:vAlign w:val="center"/>
          </w:tcPr>
          <w:p>
            <w:pPr>
              <w:adjustRightInd w:val="0"/>
              <w:snapToGrid w:val="0"/>
              <w:jc w:val="center"/>
              <w:rPr>
                <w:b/>
                <w:color w:val="auto"/>
                <w:kern w:val="21"/>
                <w:u w:val="single"/>
              </w:rPr>
            </w:pPr>
            <w:r>
              <w:rPr>
                <w:b/>
                <w:color w:val="auto"/>
                <w:kern w:val="21"/>
                <w:u w:val="single"/>
              </w:rPr>
              <w:t>室温</w:t>
            </w:r>
          </w:p>
        </w:tc>
        <w:tc>
          <w:tcPr>
            <w:tcW w:w="1077" w:type="dxa"/>
            <w:vAlign w:val="center"/>
          </w:tcPr>
          <w:p>
            <w:pPr>
              <w:adjustRightInd w:val="0"/>
              <w:snapToGrid w:val="0"/>
              <w:jc w:val="center"/>
              <w:rPr>
                <w:b/>
                <w:color w:val="auto"/>
                <w:kern w:val="21"/>
                <w:u w:val="single"/>
              </w:rPr>
            </w:pPr>
            <w:r>
              <w:rPr>
                <w:rFonts w:hint="eastAsia"/>
                <w:b/>
                <w:color w:val="auto"/>
                <w:kern w:val="21"/>
                <w:u w:val="single"/>
                <w:lang w:eastAsia="zh-CN"/>
              </w:rPr>
              <w:t>5%-8%</w:t>
            </w:r>
          </w:p>
        </w:tc>
        <w:tc>
          <w:tcPr>
            <w:tcW w:w="1188" w:type="dxa"/>
            <w:vAlign w:val="center"/>
          </w:tcPr>
          <w:p>
            <w:pPr>
              <w:adjustRightInd w:val="0"/>
              <w:snapToGrid w:val="0"/>
              <w:jc w:val="center"/>
              <w:rPr>
                <w:b/>
                <w:color w:val="auto"/>
                <w:kern w:val="21"/>
                <w:u w:val="single"/>
              </w:rPr>
            </w:pPr>
            <w:r>
              <w:rPr>
                <w:rFonts w:hint="eastAsia"/>
                <w:b/>
                <w:color w:val="auto"/>
                <w:kern w:val="21"/>
                <w:u w:val="single"/>
              </w:rPr>
              <w:t>12.65</w:t>
            </w:r>
          </w:p>
        </w:tc>
        <w:tc>
          <w:tcPr>
            <w:tcW w:w="1104" w:type="dxa"/>
            <w:vAlign w:val="center"/>
          </w:tcPr>
          <w:p>
            <w:pPr>
              <w:adjustRightInd w:val="0"/>
              <w:snapToGrid w:val="0"/>
              <w:jc w:val="center"/>
              <w:rPr>
                <w:b/>
                <w:color w:val="auto"/>
                <w:kern w:val="21"/>
                <w:u w:val="single"/>
              </w:rPr>
            </w:pPr>
            <w:r>
              <w:rPr>
                <w:rFonts w:hint="eastAsia"/>
                <w:b/>
                <w:color w:val="auto"/>
                <w:kern w:val="21"/>
                <w:u w:val="single"/>
              </w:rPr>
              <w:t>0.2214</w:t>
            </w:r>
          </w:p>
        </w:tc>
        <w:tc>
          <w:tcPr>
            <w:tcW w:w="968" w:type="dxa"/>
            <w:vAlign w:val="center"/>
          </w:tcPr>
          <w:p>
            <w:pPr>
              <w:adjustRightInd w:val="0"/>
              <w:snapToGrid w:val="0"/>
              <w:jc w:val="center"/>
              <w:rPr>
                <w:b/>
                <w:color w:val="auto"/>
                <w:kern w:val="21"/>
                <w:u w:val="single"/>
              </w:rPr>
            </w:pPr>
            <w:r>
              <w:rPr>
                <w:rFonts w:hint="eastAsia"/>
                <w:b/>
                <w:color w:val="auto"/>
                <w:kern w:val="21"/>
                <w:u w:val="single"/>
              </w:rPr>
              <w:t>1.753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9" w:type="dxa"/>
            <w:gridSpan w:val="12"/>
            <w:vAlign w:val="center"/>
          </w:tcPr>
          <w:p>
            <w:pPr>
              <w:adjustRightInd w:val="0"/>
              <w:snapToGrid w:val="0"/>
              <w:rPr>
                <w:b/>
                <w:color w:val="auto"/>
                <w:kern w:val="21"/>
                <w:u w:val="single"/>
              </w:rPr>
            </w:pPr>
            <w:r>
              <w:rPr>
                <w:b/>
                <w:color w:val="auto"/>
                <w:kern w:val="21"/>
                <w:u w:val="single"/>
              </w:rPr>
              <w:t>注：</w:t>
            </w:r>
            <w:r>
              <w:rPr>
                <w:rFonts w:hint="eastAsia"/>
                <w:b/>
                <w:color w:val="auto"/>
                <w:kern w:val="21"/>
                <w:u w:val="single"/>
              </w:rPr>
              <w:t>1、</w:t>
            </w:r>
            <w:r>
              <w:rPr>
                <w:b/>
                <w:color w:val="auto"/>
                <w:kern w:val="21"/>
                <w:u w:val="single"/>
              </w:rPr>
              <w:t>《污染源源强核算技术指南 电镀》（HJ984-2018）附录B中所述，在不添加酸雾抑制剂时</w:t>
            </w:r>
            <w:r>
              <w:rPr>
                <w:rFonts w:hint="eastAsia"/>
                <w:b/>
                <w:color w:val="auto"/>
                <w:kern w:val="21"/>
                <w:u w:val="single"/>
              </w:rPr>
              <w:t>HCL上限值为15.8</w:t>
            </w:r>
            <w:r>
              <w:rPr>
                <w:b/>
                <w:color w:val="auto"/>
                <w:kern w:val="21"/>
                <w:u w:val="single"/>
              </w:rPr>
              <w:t xml:space="preserve"> g/m</w:t>
            </w:r>
            <w:r>
              <w:rPr>
                <w:b/>
                <w:color w:val="auto"/>
                <w:kern w:val="21"/>
                <w:u w:val="single"/>
                <w:vertAlign w:val="superscript"/>
              </w:rPr>
              <w:t>2</w:t>
            </w:r>
            <w:r>
              <w:rPr>
                <w:b/>
                <w:color w:val="auto"/>
                <w:kern w:val="21"/>
                <w:u w:val="single"/>
              </w:rPr>
              <w:t>·h，本项目添加了酸雾抑制剂，根据《指南》取值按照不添加酸雾抑制剂时源强的</w:t>
            </w:r>
            <w:r>
              <w:rPr>
                <w:rFonts w:hint="eastAsia"/>
                <w:b/>
                <w:color w:val="auto"/>
                <w:kern w:val="21"/>
                <w:u w:val="single"/>
              </w:rPr>
              <w:t>80%计算。</w:t>
            </w:r>
          </w:p>
          <w:p>
            <w:pPr>
              <w:adjustRightInd w:val="0"/>
              <w:snapToGrid w:val="0"/>
              <w:rPr>
                <w:b/>
                <w:color w:val="auto"/>
                <w:kern w:val="21"/>
                <w:u w:val="single"/>
              </w:rPr>
            </w:pPr>
            <w:r>
              <w:rPr>
                <w:rFonts w:hint="eastAsia"/>
                <w:b/>
                <w:color w:val="auto"/>
                <w:kern w:val="21"/>
                <w:u w:val="single"/>
              </w:rPr>
              <w:t>2、</w:t>
            </w:r>
            <w:r>
              <w:rPr>
                <w:b/>
                <w:color w:val="auto"/>
                <w:kern w:val="21"/>
                <w:u w:val="single"/>
              </w:rPr>
              <w:t>《污染源源强核算技术指南 电镀》（HJ984-2018）附录B中所述，在常温下低铬酸及其盐溶液中钝化，可忽略铬酸雾产生；室温下含硫酸的溶液中镀铜、镀锡、镀锌、镀镉，弱硫酸酸洗可忽略硫酸雾产生，故本项目</w:t>
            </w:r>
            <w:r>
              <w:rPr>
                <w:rFonts w:hint="eastAsia"/>
                <w:b/>
                <w:color w:val="auto"/>
                <w:kern w:val="21"/>
                <w:u w:val="single"/>
                <w:lang w:eastAsia="zh-CN"/>
              </w:rPr>
              <w:t>不再</w:t>
            </w:r>
            <w:r>
              <w:rPr>
                <w:b/>
                <w:color w:val="auto"/>
                <w:kern w:val="21"/>
                <w:u w:val="single"/>
              </w:rPr>
              <w:t>核算铬酸雾、硫酸雾产生量。</w:t>
            </w:r>
          </w:p>
        </w:tc>
      </w:tr>
    </w:tbl>
    <w:p>
      <w:pPr>
        <w:adjustRightInd w:val="0"/>
        <w:snapToGrid w:val="0"/>
        <w:spacing w:line="360" w:lineRule="auto"/>
        <w:rPr>
          <w:color w:val="auto"/>
          <w:kern w:val="21"/>
          <w:sz w:val="24"/>
          <w:szCs w:val="24"/>
        </w:rPr>
      </w:pPr>
    </w:p>
    <w:p>
      <w:pPr>
        <w:adjustRightInd w:val="0"/>
        <w:snapToGrid w:val="0"/>
        <w:spacing w:line="360" w:lineRule="auto"/>
        <w:ind w:firstLine="480" w:firstLineChars="200"/>
        <w:rPr>
          <w:color w:val="auto"/>
          <w:kern w:val="21"/>
          <w:sz w:val="24"/>
          <w:szCs w:val="22"/>
        </w:rPr>
        <w:sectPr>
          <w:pgSz w:w="16783" w:h="11850" w:orient="landscape"/>
          <w:pgMar w:top="1440" w:right="1800" w:bottom="1440" w:left="1800" w:header="1134" w:footer="1134" w:gutter="0"/>
          <w:cols w:space="720" w:num="1"/>
        </w:sectPr>
      </w:pP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szCs w:val="24"/>
        </w:rPr>
      </w:pPr>
      <w:r>
        <w:rPr>
          <w:rFonts w:hint="eastAsia"/>
          <w:color w:val="auto"/>
          <w:kern w:val="21"/>
          <w:sz w:val="24"/>
          <w:szCs w:val="24"/>
        </w:rPr>
        <w:t>2、风量核算</w:t>
      </w:r>
    </w:p>
    <w:p>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textAlignment w:val="auto"/>
        <w:rPr>
          <w:color w:val="auto"/>
          <w:kern w:val="21"/>
          <w:sz w:val="24"/>
          <w:szCs w:val="24"/>
        </w:rPr>
      </w:pPr>
      <w:r>
        <w:rPr>
          <w:color w:val="auto"/>
          <w:kern w:val="21"/>
          <w:sz w:val="24"/>
          <w:szCs w:val="24"/>
        </w:rPr>
        <w:t>本项目建设单位设计电镀生产线</w:t>
      </w:r>
      <w:r>
        <w:rPr>
          <w:rFonts w:hint="eastAsia"/>
          <w:color w:val="auto"/>
          <w:kern w:val="21"/>
          <w:sz w:val="24"/>
          <w:szCs w:val="24"/>
        </w:rPr>
        <w:t>为全封闭式，电镀</w:t>
      </w:r>
      <w:r>
        <w:rPr>
          <w:color w:val="auto"/>
          <w:kern w:val="21"/>
          <w:sz w:val="24"/>
          <w:szCs w:val="24"/>
        </w:rPr>
        <w:t>酸洗槽采取双侧槽边集气罩</w:t>
      </w:r>
      <w:r>
        <w:rPr>
          <w:rFonts w:hint="eastAsia"/>
          <w:color w:val="auto"/>
          <w:kern w:val="21"/>
          <w:sz w:val="24"/>
          <w:szCs w:val="24"/>
        </w:rPr>
        <w:t>+顶吸方式</w:t>
      </w:r>
      <w:r>
        <w:rPr>
          <w:color w:val="auto"/>
          <w:kern w:val="21"/>
          <w:sz w:val="24"/>
          <w:szCs w:val="24"/>
        </w:rPr>
        <w:t>收集酸雾。</w:t>
      </w:r>
      <w:r>
        <w:rPr>
          <w:rFonts w:hint="eastAsia"/>
          <w:color w:val="auto"/>
          <w:kern w:val="21"/>
          <w:sz w:val="24"/>
          <w:szCs w:val="24"/>
        </w:rPr>
        <w:t>6条</w:t>
      </w:r>
      <w:r>
        <w:rPr>
          <w:color w:val="auto"/>
          <w:kern w:val="21"/>
          <w:sz w:val="24"/>
          <w:szCs w:val="24"/>
        </w:rPr>
        <w:t>电池钢壳镀镍线每</w:t>
      </w:r>
      <w:r>
        <w:rPr>
          <w:rFonts w:hint="eastAsia"/>
          <w:color w:val="auto"/>
          <w:kern w:val="21"/>
          <w:sz w:val="24"/>
          <w:szCs w:val="24"/>
        </w:rPr>
        <w:t>1</w:t>
      </w:r>
      <w:r>
        <w:rPr>
          <w:color w:val="auto"/>
          <w:kern w:val="21"/>
          <w:sz w:val="24"/>
          <w:szCs w:val="24"/>
        </w:rPr>
        <w:t>条生产线配备1套二级碱液喷淋中和塔进行处理。</w:t>
      </w:r>
      <w:r>
        <w:rPr>
          <w:rFonts w:hint="eastAsia"/>
          <w:color w:val="auto"/>
          <w:kern w:val="21"/>
          <w:sz w:val="24"/>
          <w:szCs w:val="24"/>
        </w:rPr>
        <w:t>3条盖帽线、1条电池箱镀锌线</w:t>
      </w:r>
      <w:r>
        <w:rPr>
          <w:color w:val="auto"/>
          <w:kern w:val="21"/>
          <w:sz w:val="24"/>
          <w:szCs w:val="24"/>
        </w:rPr>
        <w:t>每</w:t>
      </w:r>
      <w:r>
        <w:rPr>
          <w:rFonts w:hint="eastAsia"/>
          <w:color w:val="auto"/>
          <w:kern w:val="21"/>
          <w:sz w:val="24"/>
          <w:szCs w:val="24"/>
        </w:rPr>
        <w:t>2</w:t>
      </w:r>
      <w:r>
        <w:rPr>
          <w:color w:val="auto"/>
          <w:kern w:val="21"/>
          <w:sz w:val="24"/>
          <w:szCs w:val="24"/>
        </w:rPr>
        <w:t>条生产线配备1套二级碱液喷淋中和塔进行处理</w:t>
      </w:r>
      <w:r>
        <w:rPr>
          <w:rFonts w:hint="eastAsia"/>
          <w:color w:val="auto"/>
          <w:kern w:val="21"/>
          <w:sz w:val="24"/>
          <w:szCs w:val="24"/>
        </w:rPr>
        <w:t>，</w:t>
      </w:r>
      <w:r>
        <w:rPr>
          <w:color w:val="auto"/>
          <w:kern w:val="21"/>
          <w:sz w:val="24"/>
          <w:szCs w:val="24"/>
        </w:rPr>
        <w:t>共设置</w:t>
      </w:r>
      <w:r>
        <w:rPr>
          <w:rFonts w:hint="eastAsia"/>
          <w:color w:val="auto"/>
          <w:kern w:val="21"/>
          <w:sz w:val="24"/>
          <w:szCs w:val="24"/>
        </w:rPr>
        <w:t>8</w:t>
      </w:r>
      <w:r>
        <w:rPr>
          <w:color w:val="auto"/>
          <w:kern w:val="21"/>
          <w:sz w:val="24"/>
          <w:szCs w:val="24"/>
        </w:rPr>
        <w:t>套二级碱液喷淋中和塔，</w:t>
      </w:r>
      <w:r>
        <w:rPr>
          <w:rFonts w:hint="eastAsia"/>
          <w:color w:val="auto"/>
          <w:kern w:val="21"/>
          <w:sz w:val="24"/>
          <w:szCs w:val="24"/>
        </w:rPr>
        <w:t>8套</w:t>
      </w:r>
      <w:r>
        <w:rPr>
          <w:color w:val="auto"/>
          <w:kern w:val="21"/>
          <w:sz w:val="24"/>
          <w:szCs w:val="24"/>
        </w:rPr>
        <w:t>二级碱液喷淋中和塔处理后的废气汇集到1根排气筒排放。</w:t>
      </w:r>
    </w:p>
    <w:p>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textAlignment w:val="auto"/>
        <w:rPr>
          <w:color w:val="auto"/>
          <w:kern w:val="21"/>
          <w:sz w:val="24"/>
          <w:szCs w:val="24"/>
        </w:rPr>
      </w:pPr>
      <w:r>
        <w:rPr>
          <w:color w:val="auto"/>
          <w:kern w:val="21"/>
          <w:sz w:val="24"/>
          <w:szCs w:val="24"/>
        </w:rPr>
        <w:t xml:space="preserve">从污染源散发的污染物均有一定的扩散速度，当扩散速率减小到零时的位置称为控制点，只有控制点的污染物才容易被吸走。集气罩在控制点所造成的能吸走污染物的最小气速为控制速度，其值的大小与工艺过程和室内气流运动有关。 </w:t>
      </w:r>
    </w:p>
    <w:p>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textAlignment w:val="auto"/>
        <w:rPr>
          <w:color w:val="auto"/>
          <w:kern w:val="21"/>
          <w:sz w:val="24"/>
          <w:szCs w:val="24"/>
        </w:rPr>
      </w:pPr>
      <w:r>
        <w:rPr>
          <w:color w:val="auto"/>
          <w:kern w:val="21"/>
          <w:sz w:val="24"/>
          <w:szCs w:val="24"/>
        </w:rPr>
        <w:t>在保证集气罩对酸洗槽上空产生的控制速度的前提下，将收集范围内的废气进行有效收集时，其集气风量的</w:t>
      </w:r>
      <w:r>
        <w:rPr>
          <w:bCs/>
          <w:color w:val="auto"/>
          <w:kern w:val="21"/>
          <w:sz w:val="24"/>
          <w:szCs w:val="22"/>
        </w:rPr>
        <w:t>参照《环境工程技术手册 废气处理工程技术手册》中吹吸罩风量计算公式</w:t>
      </w:r>
      <w:r>
        <w:rPr>
          <w:bCs/>
          <w:color w:val="auto"/>
          <w:kern w:val="21"/>
          <w:sz w:val="24"/>
          <w:szCs w:val="24"/>
        </w:rPr>
        <w:t>。</w:t>
      </w:r>
    </w:p>
    <w:p>
      <w:pPr>
        <w:keepNext w:val="0"/>
        <w:keepLines w:val="0"/>
        <w:pageBreakBefore w:val="0"/>
        <w:widowControl/>
        <w:kinsoku/>
        <w:wordWrap/>
        <w:overflowPunct/>
        <w:topLinePunct w:val="0"/>
        <w:autoSpaceDE/>
        <w:autoSpaceDN/>
        <w:bidi w:val="0"/>
        <w:adjustRightInd w:val="0"/>
        <w:snapToGrid w:val="0"/>
        <w:spacing w:line="440" w:lineRule="exact"/>
        <w:jc w:val="center"/>
        <w:textAlignment w:val="auto"/>
        <w:rPr>
          <w:color w:val="auto"/>
          <w:kern w:val="21"/>
          <w:sz w:val="24"/>
          <w:szCs w:val="24"/>
        </w:rPr>
      </w:pPr>
      <w:r>
        <w:rPr>
          <w:color w:val="auto"/>
          <w:kern w:val="21"/>
          <w:sz w:val="24"/>
          <w:szCs w:val="24"/>
        </w:rPr>
        <w:object>
          <v:shape id="_x0000_i1028" o:spt="75" alt="" type="#_x0000_t75" style="height:16.5pt;width:101.3pt;" o:ole="t" filled="f" o:preferrelative="t" stroked="f" coordsize="21600,21600">
            <v:path/>
            <v:fill on="f" focussize="0,0"/>
            <v:stroke on="f"/>
            <v:imagedata r:id="rId61" o:title=""/>
            <o:lock v:ext="edit" aspectratio="t"/>
            <w10:wrap type="none"/>
            <w10:anchorlock/>
          </v:shape>
          <o:OLEObject Type="Embed" ProgID="Equation.3" ShapeID="_x0000_i1028" DrawAspect="Content" ObjectID="_1468075730" r:id="rId60">
            <o:LockedField>false</o:LockedField>
          </o:OLEObject>
        </w:object>
      </w:r>
    </w:p>
    <w:p>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textAlignment w:val="auto"/>
        <w:rPr>
          <w:color w:val="auto"/>
          <w:kern w:val="21"/>
          <w:sz w:val="24"/>
          <w:szCs w:val="24"/>
        </w:rPr>
      </w:pPr>
      <w:r>
        <w:rPr>
          <w:color w:val="auto"/>
          <w:kern w:val="21"/>
          <w:sz w:val="24"/>
          <w:szCs w:val="24"/>
        </w:rPr>
        <w:t>式中：Q</w:t>
      </w:r>
      <w:r>
        <w:rPr>
          <w:color w:val="auto"/>
          <w:kern w:val="21"/>
          <w:sz w:val="24"/>
          <w:szCs w:val="24"/>
          <w:vertAlign w:val="subscript"/>
        </w:rPr>
        <w:t>1</w:t>
      </w:r>
      <w:r>
        <w:rPr>
          <w:color w:val="auto"/>
          <w:kern w:val="21"/>
          <w:sz w:val="24"/>
          <w:szCs w:val="24"/>
        </w:rPr>
        <w:t>—集气罩范围内废气进行有效收集时的风量，m</w:t>
      </w:r>
      <w:r>
        <w:rPr>
          <w:color w:val="auto"/>
          <w:kern w:val="21"/>
          <w:sz w:val="24"/>
          <w:szCs w:val="24"/>
          <w:vertAlign w:val="superscript"/>
        </w:rPr>
        <w:t>3</w:t>
      </w:r>
      <w:r>
        <w:rPr>
          <w:color w:val="auto"/>
          <w:kern w:val="21"/>
          <w:sz w:val="24"/>
          <w:szCs w:val="24"/>
        </w:rPr>
        <w:t>/h；</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color w:val="auto"/>
          <w:kern w:val="21"/>
          <w:sz w:val="24"/>
          <w:szCs w:val="24"/>
        </w:rPr>
      </w:pPr>
      <w:r>
        <w:rPr>
          <w:color w:val="auto"/>
          <w:kern w:val="21"/>
          <w:sz w:val="24"/>
          <w:szCs w:val="24"/>
        </w:rPr>
        <w:t>D—吹起时射流长度，取值2m；</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color w:val="auto"/>
          <w:kern w:val="21"/>
          <w:sz w:val="24"/>
          <w:szCs w:val="24"/>
        </w:rPr>
      </w:pPr>
      <w:r>
        <w:rPr>
          <w:color w:val="auto"/>
          <w:kern w:val="21"/>
          <w:sz w:val="24"/>
          <w:szCs w:val="24"/>
        </w:rPr>
        <w:t>E—为进入系数，取值2.0；</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color w:val="auto"/>
          <w:kern w:val="21"/>
          <w:sz w:val="24"/>
          <w:szCs w:val="24"/>
        </w:rPr>
      </w:pPr>
      <w:r>
        <w:rPr>
          <w:color w:val="auto"/>
          <w:kern w:val="21"/>
          <w:sz w:val="24"/>
          <w:szCs w:val="24"/>
        </w:rPr>
        <w:t>Q</w:t>
      </w:r>
      <w:r>
        <w:rPr>
          <w:color w:val="auto"/>
          <w:kern w:val="21"/>
          <w:sz w:val="24"/>
          <w:szCs w:val="24"/>
          <w:vertAlign w:val="subscript"/>
        </w:rPr>
        <w:t>2</w:t>
      </w:r>
      <w:r>
        <w:rPr>
          <w:color w:val="auto"/>
          <w:kern w:val="21"/>
          <w:sz w:val="24"/>
          <w:szCs w:val="24"/>
        </w:rPr>
        <w:t>—常数，按照1830-2750m</w:t>
      </w:r>
      <w:r>
        <w:rPr>
          <w:color w:val="auto"/>
          <w:kern w:val="21"/>
          <w:sz w:val="24"/>
          <w:szCs w:val="24"/>
          <w:vertAlign w:val="superscript"/>
        </w:rPr>
        <w:t>3</w:t>
      </w:r>
      <w:r>
        <w:rPr>
          <w:color w:val="auto"/>
          <w:kern w:val="21"/>
          <w:sz w:val="24"/>
          <w:szCs w:val="24"/>
        </w:rPr>
        <w:t>/h·</w:t>
      </w:r>
      <w:r>
        <w:rPr>
          <w:rFonts w:hint="eastAsia"/>
          <w:color w:val="auto"/>
          <w:kern w:val="21"/>
          <w:sz w:val="24"/>
          <w:szCs w:val="24"/>
          <w:lang w:eastAsia="zh-CN"/>
        </w:rPr>
        <w:t>（</w:t>
      </w:r>
      <w:r>
        <w:rPr>
          <w:color w:val="auto"/>
          <w:kern w:val="21"/>
          <w:sz w:val="24"/>
          <w:szCs w:val="24"/>
        </w:rPr>
        <w:t>m</w:t>
      </w:r>
      <w:r>
        <w:rPr>
          <w:color w:val="auto"/>
          <w:kern w:val="21"/>
          <w:sz w:val="24"/>
          <w:szCs w:val="24"/>
          <w:vertAlign w:val="superscript"/>
        </w:rPr>
        <w:t>2</w:t>
      </w:r>
      <w:r>
        <w:rPr>
          <w:color w:val="auto"/>
          <w:kern w:val="21"/>
          <w:sz w:val="24"/>
          <w:szCs w:val="24"/>
        </w:rPr>
        <w:t>槽面</w:t>
      </w:r>
      <w:r>
        <w:rPr>
          <w:rFonts w:hint="eastAsia"/>
          <w:color w:val="auto"/>
          <w:kern w:val="21"/>
          <w:sz w:val="24"/>
          <w:szCs w:val="24"/>
          <w:lang w:eastAsia="zh-CN"/>
        </w:rPr>
        <w:t>）</w:t>
      </w:r>
      <w:r>
        <w:rPr>
          <w:color w:val="auto"/>
          <w:kern w:val="21"/>
          <w:sz w:val="24"/>
          <w:szCs w:val="24"/>
        </w:rPr>
        <w:t>，本项目取</w:t>
      </w:r>
      <w:r>
        <w:rPr>
          <w:rFonts w:hint="eastAsia"/>
          <w:color w:val="auto"/>
          <w:kern w:val="21"/>
          <w:sz w:val="24"/>
          <w:szCs w:val="24"/>
        </w:rPr>
        <w:t>1850</w:t>
      </w:r>
      <w:r>
        <w:rPr>
          <w:color w:val="auto"/>
          <w:kern w:val="21"/>
          <w:sz w:val="24"/>
          <w:szCs w:val="24"/>
        </w:rPr>
        <w:t>m</w:t>
      </w:r>
      <w:r>
        <w:rPr>
          <w:color w:val="auto"/>
          <w:kern w:val="21"/>
          <w:sz w:val="24"/>
          <w:szCs w:val="24"/>
          <w:vertAlign w:val="superscript"/>
        </w:rPr>
        <w:t>3</w:t>
      </w:r>
      <w:r>
        <w:rPr>
          <w:color w:val="auto"/>
          <w:kern w:val="21"/>
          <w:sz w:val="24"/>
          <w:szCs w:val="24"/>
        </w:rPr>
        <w:t>/h·</w:t>
      </w:r>
      <w:r>
        <w:rPr>
          <w:rFonts w:hint="eastAsia"/>
          <w:color w:val="auto"/>
          <w:kern w:val="21"/>
          <w:sz w:val="24"/>
          <w:szCs w:val="24"/>
          <w:lang w:eastAsia="zh-CN"/>
        </w:rPr>
        <w:t>（</w:t>
      </w:r>
      <w:r>
        <w:rPr>
          <w:color w:val="auto"/>
          <w:kern w:val="21"/>
          <w:sz w:val="24"/>
          <w:szCs w:val="24"/>
        </w:rPr>
        <w:t>m</w:t>
      </w:r>
      <w:r>
        <w:rPr>
          <w:color w:val="auto"/>
          <w:kern w:val="21"/>
          <w:sz w:val="24"/>
          <w:szCs w:val="24"/>
          <w:vertAlign w:val="superscript"/>
        </w:rPr>
        <w:t>2</w:t>
      </w:r>
      <w:r>
        <w:rPr>
          <w:color w:val="auto"/>
          <w:kern w:val="21"/>
          <w:sz w:val="24"/>
          <w:szCs w:val="24"/>
        </w:rPr>
        <w:t>槽面</w:t>
      </w:r>
      <w:r>
        <w:rPr>
          <w:rFonts w:hint="eastAsia"/>
          <w:color w:val="auto"/>
          <w:kern w:val="21"/>
          <w:sz w:val="24"/>
          <w:szCs w:val="24"/>
          <w:lang w:eastAsia="zh-CN"/>
        </w:rPr>
        <w:t>）</w:t>
      </w:r>
      <w:r>
        <w:rPr>
          <w:color w:val="auto"/>
          <w:kern w:val="21"/>
          <w:sz w:val="24"/>
          <w:szCs w:val="24"/>
        </w:rPr>
        <w:t xml:space="preserve">； </w:t>
      </w:r>
    </w:p>
    <w:p>
      <w:pPr>
        <w:keepNext w:val="0"/>
        <w:keepLines w:val="0"/>
        <w:pageBreakBefore w:val="0"/>
        <w:widowControl/>
        <w:kinsoku/>
        <w:wordWrap/>
        <w:overflowPunct/>
        <w:topLinePunct w:val="0"/>
        <w:autoSpaceDE/>
        <w:autoSpaceDN/>
        <w:bidi w:val="0"/>
        <w:adjustRightInd w:val="0"/>
        <w:snapToGrid w:val="0"/>
        <w:spacing w:line="360" w:lineRule="auto"/>
        <w:ind w:firstLine="1200" w:firstLineChars="500"/>
        <w:textAlignment w:val="auto"/>
        <w:rPr>
          <w:color w:val="auto"/>
          <w:kern w:val="21"/>
          <w:sz w:val="24"/>
          <w:szCs w:val="24"/>
        </w:rPr>
      </w:pPr>
      <w:r>
        <w:rPr>
          <w:color w:val="auto"/>
          <w:kern w:val="21"/>
          <w:sz w:val="24"/>
          <w:szCs w:val="24"/>
        </w:rPr>
        <w:t>S—槽表面积（m</w:t>
      </w:r>
      <w:r>
        <w:rPr>
          <w:color w:val="auto"/>
          <w:kern w:val="21"/>
          <w:sz w:val="24"/>
          <w:szCs w:val="24"/>
          <w:vertAlign w:val="superscript"/>
        </w:rPr>
        <w:t>2</w:t>
      </w:r>
      <w:r>
        <w:rPr>
          <w:color w:val="auto"/>
          <w:kern w:val="21"/>
          <w:sz w:val="24"/>
          <w:szCs w:val="24"/>
        </w:rPr>
        <w:t>）； 单线；</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kern w:val="21"/>
          <w:sz w:val="24"/>
          <w:szCs w:val="24"/>
          <w:lang w:val="en-US" w:eastAsia="zh-CN"/>
        </w:rPr>
      </w:pPr>
      <w:r>
        <w:rPr>
          <w:color w:val="auto"/>
          <w:kern w:val="21"/>
          <w:sz w:val="24"/>
          <w:szCs w:val="24"/>
        </w:rPr>
        <w:t>经计算并考虑预留一定余量，</w:t>
      </w:r>
      <w:r>
        <w:rPr>
          <w:bCs/>
          <w:color w:val="auto"/>
          <w:kern w:val="21"/>
          <w:sz w:val="24"/>
          <w:szCs w:val="22"/>
        </w:rPr>
        <w:t>本项目设置风机风量分别为：单条镀镍生产线风量</w:t>
      </w:r>
      <w:r>
        <w:rPr>
          <w:rFonts w:hint="eastAsia"/>
          <w:bCs/>
          <w:color w:val="auto"/>
          <w:kern w:val="21"/>
          <w:sz w:val="24"/>
          <w:szCs w:val="22"/>
        </w:rPr>
        <w:t>3000</w:t>
      </w:r>
      <w:r>
        <w:rPr>
          <w:bCs/>
          <w:color w:val="auto"/>
          <w:kern w:val="21"/>
          <w:sz w:val="24"/>
          <w:szCs w:val="22"/>
        </w:rPr>
        <w:t>m</w:t>
      </w:r>
      <w:r>
        <w:rPr>
          <w:bCs/>
          <w:color w:val="auto"/>
          <w:kern w:val="21"/>
          <w:sz w:val="24"/>
          <w:szCs w:val="22"/>
          <w:vertAlign w:val="superscript"/>
        </w:rPr>
        <w:t>3</w:t>
      </w:r>
      <w:r>
        <w:rPr>
          <w:bCs/>
          <w:color w:val="auto"/>
          <w:kern w:val="21"/>
          <w:sz w:val="24"/>
          <w:szCs w:val="22"/>
        </w:rPr>
        <w:t>/h，单条镀锌生产线风量</w:t>
      </w:r>
      <w:r>
        <w:rPr>
          <w:rFonts w:hint="eastAsia"/>
          <w:bCs/>
          <w:color w:val="auto"/>
          <w:kern w:val="21"/>
          <w:sz w:val="24"/>
          <w:szCs w:val="22"/>
        </w:rPr>
        <w:t>11000</w:t>
      </w:r>
      <w:r>
        <w:rPr>
          <w:bCs/>
          <w:color w:val="auto"/>
          <w:kern w:val="21"/>
          <w:sz w:val="24"/>
          <w:szCs w:val="22"/>
        </w:rPr>
        <w:t>m</w:t>
      </w:r>
      <w:r>
        <w:rPr>
          <w:bCs/>
          <w:color w:val="auto"/>
          <w:kern w:val="21"/>
          <w:sz w:val="24"/>
          <w:szCs w:val="22"/>
          <w:vertAlign w:val="superscript"/>
        </w:rPr>
        <w:t>3</w:t>
      </w:r>
      <w:r>
        <w:rPr>
          <w:bCs/>
          <w:color w:val="auto"/>
          <w:kern w:val="21"/>
          <w:sz w:val="24"/>
          <w:szCs w:val="22"/>
        </w:rPr>
        <w:t>/h，集气效率均按95%计</w:t>
      </w:r>
      <w:r>
        <w:rPr>
          <w:rFonts w:hint="eastAsia"/>
          <w:bCs/>
          <w:color w:val="auto"/>
          <w:kern w:val="21"/>
          <w:sz w:val="24"/>
          <w:szCs w:val="22"/>
          <w:lang w:eastAsia="zh-CN"/>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szCs w:val="24"/>
        </w:rPr>
      </w:pPr>
      <w:r>
        <w:rPr>
          <w:rFonts w:hint="eastAsia"/>
          <w:color w:val="auto"/>
          <w:kern w:val="21"/>
          <w:sz w:val="24"/>
          <w:szCs w:val="24"/>
        </w:rPr>
        <w:t>3、污染物排放情况</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szCs w:val="24"/>
        </w:rPr>
      </w:pPr>
      <w:r>
        <w:rPr>
          <w:color w:val="auto"/>
          <w:kern w:val="21"/>
          <w:sz w:val="24"/>
          <w:szCs w:val="24"/>
        </w:rPr>
        <w:t>本项目北厂房设置</w:t>
      </w:r>
      <w:r>
        <w:rPr>
          <w:rFonts w:hint="eastAsia"/>
          <w:color w:val="auto"/>
          <w:kern w:val="21"/>
          <w:sz w:val="24"/>
          <w:szCs w:val="24"/>
        </w:rPr>
        <w:t>6条钢壳镀镍线、3条盖帽镀镍线，1</w:t>
      </w:r>
      <w:r>
        <w:rPr>
          <w:color w:val="auto"/>
          <w:kern w:val="21"/>
          <w:sz w:val="24"/>
          <w:szCs w:val="24"/>
        </w:rPr>
        <w:t>条电池箱镀锌线，收集效率按95%计，二级碱液喷淋中和塔采用</w:t>
      </w:r>
      <w:r>
        <w:rPr>
          <w:rFonts w:hint="eastAsia"/>
          <w:color w:val="auto"/>
          <w:kern w:val="21"/>
          <w:sz w:val="24"/>
          <w:szCs w:val="24"/>
        </w:rPr>
        <w:t>10%碳酸钠和</w:t>
      </w:r>
      <w:r>
        <w:rPr>
          <w:color w:val="auto"/>
          <w:kern w:val="21"/>
          <w:sz w:val="24"/>
          <w:szCs w:val="24"/>
        </w:rPr>
        <w:t>氢氧化钠溶液进行中和酸性气体，根据</w:t>
      </w:r>
      <w:r>
        <w:rPr>
          <w:color w:val="auto"/>
          <w:kern w:val="21"/>
          <w:sz w:val="24"/>
          <w:szCs w:val="22"/>
        </w:rPr>
        <w:t>《污染源源强核算技术指南 电镀》（HJ984-2018）</w:t>
      </w:r>
      <w:r>
        <w:rPr>
          <w:rFonts w:hint="eastAsia"/>
          <w:color w:val="auto"/>
          <w:kern w:val="21"/>
          <w:sz w:val="24"/>
          <w:szCs w:val="22"/>
          <w:lang w:eastAsia="zh-CN"/>
        </w:rPr>
        <w:t>可知</w:t>
      </w:r>
      <w:r>
        <w:rPr>
          <w:color w:val="auto"/>
          <w:kern w:val="21"/>
          <w:sz w:val="24"/>
          <w:szCs w:val="22"/>
        </w:rPr>
        <w:t>，</w:t>
      </w:r>
      <w:r>
        <w:rPr>
          <w:color w:val="auto"/>
          <w:kern w:val="21"/>
          <w:sz w:val="24"/>
          <w:szCs w:val="24"/>
        </w:rPr>
        <w:t>二级碱液喷淋中和塔</w:t>
      </w:r>
      <w:r>
        <w:rPr>
          <w:rFonts w:hint="eastAsia"/>
          <w:color w:val="auto"/>
          <w:kern w:val="21"/>
          <w:sz w:val="24"/>
          <w:szCs w:val="24"/>
        </w:rPr>
        <w:t>对氯化氢</w:t>
      </w:r>
      <w:r>
        <w:rPr>
          <w:rFonts w:hint="eastAsia"/>
          <w:color w:val="auto"/>
          <w:kern w:val="21"/>
          <w:sz w:val="24"/>
          <w:szCs w:val="24"/>
          <w:lang w:eastAsia="zh-CN"/>
        </w:rPr>
        <w:t>去除</w:t>
      </w:r>
      <w:r>
        <w:rPr>
          <w:rFonts w:hint="eastAsia"/>
          <w:color w:val="auto"/>
          <w:kern w:val="21"/>
          <w:sz w:val="24"/>
          <w:szCs w:val="24"/>
        </w:rPr>
        <w:t>效率为95%，</w:t>
      </w:r>
      <w:r>
        <w:rPr>
          <w:color w:val="auto"/>
          <w:kern w:val="21"/>
          <w:sz w:val="24"/>
          <w:szCs w:val="24"/>
        </w:rPr>
        <w:t>则氯化氢产排情况见下表。</w:t>
      </w:r>
    </w:p>
    <w:p>
      <w:pPr>
        <w:adjustRightInd w:val="0"/>
        <w:snapToGrid w:val="0"/>
        <w:jc w:val="center"/>
        <w:rPr>
          <w:rFonts w:eastAsia="黑体"/>
          <w:color w:val="auto"/>
          <w:kern w:val="21"/>
          <w:sz w:val="24"/>
          <w:szCs w:val="24"/>
        </w:rPr>
      </w:pPr>
      <w:r>
        <w:rPr>
          <w:rFonts w:eastAsia="黑体"/>
          <w:color w:val="auto"/>
          <w:kern w:val="21"/>
          <w:sz w:val="24"/>
          <w:szCs w:val="24"/>
        </w:rPr>
        <w:t>表3.4-2    本项目</w:t>
      </w:r>
      <w:r>
        <w:rPr>
          <w:rFonts w:hint="eastAsia" w:eastAsia="黑体"/>
          <w:color w:val="auto"/>
          <w:kern w:val="21"/>
          <w:sz w:val="24"/>
          <w:szCs w:val="24"/>
          <w:lang w:eastAsia="zh-CN"/>
        </w:rPr>
        <w:t>氯化氢</w:t>
      </w:r>
      <w:r>
        <w:rPr>
          <w:rFonts w:eastAsia="黑体"/>
          <w:color w:val="auto"/>
          <w:kern w:val="21"/>
          <w:sz w:val="24"/>
          <w:szCs w:val="24"/>
        </w:rPr>
        <w:t>产排情况表</w:t>
      </w:r>
    </w:p>
    <w:tbl>
      <w:tblPr>
        <w:tblStyle w:val="83"/>
        <w:tblW w:w="91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8"/>
        <w:gridCol w:w="627"/>
        <w:gridCol w:w="1134"/>
        <w:gridCol w:w="992"/>
        <w:gridCol w:w="709"/>
        <w:gridCol w:w="738"/>
        <w:gridCol w:w="1104"/>
        <w:gridCol w:w="906"/>
        <w:gridCol w:w="855"/>
        <w:gridCol w:w="7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258"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排气筒</w:t>
            </w:r>
          </w:p>
        </w:tc>
        <w:tc>
          <w:tcPr>
            <w:tcW w:w="627"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污染物</w:t>
            </w:r>
          </w:p>
        </w:tc>
        <w:tc>
          <w:tcPr>
            <w:tcW w:w="1134"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产生浓度（mg/m</w:t>
            </w:r>
            <w:r>
              <w:rPr>
                <w:b/>
                <w:bCs/>
                <w:color w:val="auto"/>
                <w:kern w:val="21"/>
                <w:sz w:val="20"/>
                <w:vertAlign w:val="superscript"/>
              </w:rPr>
              <w:t>3</w:t>
            </w:r>
            <w:r>
              <w:rPr>
                <w:b/>
                <w:bCs/>
                <w:color w:val="auto"/>
                <w:kern w:val="21"/>
                <w:sz w:val="20"/>
              </w:rPr>
              <w:t>）</w:t>
            </w:r>
          </w:p>
        </w:tc>
        <w:tc>
          <w:tcPr>
            <w:tcW w:w="992"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产生</w:t>
            </w:r>
          </w:p>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速率（kg/h）</w:t>
            </w:r>
          </w:p>
        </w:tc>
        <w:tc>
          <w:tcPr>
            <w:tcW w:w="709"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收集效率</w:t>
            </w:r>
          </w:p>
        </w:tc>
        <w:tc>
          <w:tcPr>
            <w:tcW w:w="738"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处理效率</w:t>
            </w:r>
          </w:p>
        </w:tc>
        <w:tc>
          <w:tcPr>
            <w:tcW w:w="1104"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排放浓度（mg/m</w:t>
            </w:r>
            <w:r>
              <w:rPr>
                <w:b/>
                <w:bCs/>
                <w:color w:val="auto"/>
                <w:kern w:val="21"/>
                <w:sz w:val="20"/>
                <w:vertAlign w:val="superscript"/>
              </w:rPr>
              <w:t>3</w:t>
            </w:r>
            <w:r>
              <w:rPr>
                <w:b/>
                <w:bCs/>
                <w:color w:val="auto"/>
                <w:kern w:val="21"/>
                <w:sz w:val="20"/>
              </w:rPr>
              <w:t>）</w:t>
            </w:r>
          </w:p>
        </w:tc>
        <w:tc>
          <w:tcPr>
            <w:tcW w:w="906"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排放</w:t>
            </w:r>
          </w:p>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速率</w:t>
            </w:r>
          </w:p>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（kg/h）</w:t>
            </w:r>
          </w:p>
        </w:tc>
        <w:tc>
          <w:tcPr>
            <w:tcW w:w="855"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排放量（t/a）</w:t>
            </w:r>
          </w:p>
        </w:tc>
        <w:tc>
          <w:tcPr>
            <w:tcW w:w="791"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b/>
                <w:bCs/>
                <w:color w:val="auto"/>
                <w:kern w:val="21"/>
                <w:sz w:val="20"/>
              </w:rPr>
            </w:pPr>
            <w:r>
              <w:rPr>
                <w:b/>
                <w:bCs/>
                <w:color w:val="auto"/>
                <w:kern w:val="21"/>
                <w:sz w:val="20"/>
              </w:rPr>
              <w:t>基准气量浓度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8"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color w:val="auto"/>
                <w:kern w:val="21"/>
                <w:sz w:val="20"/>
              </w:rPr>
              <w:t>二级碱液喷淋中和塔排气筒（</w:t>
            </w:r>
            <w:r>
              <w:rPr>
                <w:rFonts w:hint="eastAsia"/>
                <w:color w:val="auto"/>
                <w:kern w:val="21"/>
                <w:sz w:val="20"/>
              </w:rPr>
              <w:t>DA001</w:t>
            </w:r>
            <w:r>
              <w:rPr>
                <w:color w:val="auto"/>
                <w:kern w:val="21"/>
                <w:sz w:val="20"/>
              </w:rPr>
              <w:t>）</w:t>
            </w:r>
          </w:p>
        </w:tc>
        <w:tc>
          <w:tcPr>
            <w:tcW w:w="627"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rFonts w:hint="eastAsia"/>
                <w:color w:val="auto"/>
                <w:kern w:val="21"/>
                <w:sz w:val="20"/>
              </w:rPr>
              <w:t>HCL</w:t>
            </w:r>
          </w:p>
        </w:tc>
        <w:tc>
          <w:tcPr>
            <w:tcW w:w="1134"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rFonts w:hint="eastAsia"/>
                <w:color w:val="auto"/>
                <w:kern w:val="21"/>
                <w:sz w:val="20"/>
              </w:rPr>
              <w:t>16.913</w:t>
            </w:r>
          </w:p>
        </w:tc>
        <w:tc>
          <w:tcPr>
            <w:tcW w:w="992" w:type="dxa"/>
            <w:vAlign w:val="center"/>
          </w:tcPr>
          <w:p>
            <w:pPr>
              <w:pStyle w:val="43"/>
              <w:keepNext w:val="0"/>
              <w:keepLines w:val="0"/>
              <w:pageBreakBefore w:val="0"/>
              <w:widowControl/>
              <w:kinsoku/>
              <w:wordWrap/>
              <w:overflowPunct/>
              <w:topLinePunct w:val="0"/>
              <w:autoSpaceDE/>
              <w:autoSpaceDN/>
              <w:bidi w:val="0"/>
              <w:jc w:val="center"/>
              <w:textAlignment w:val="auto"/>
              <w:rPr>
                <w:color w:val="auto"/>
              </w:rPr>
            </w:pPr>
            <w:r>
              <w:rPr>
                <w:rFonts w:hint="eastAsia" w:ascii="Times New Roman" w:hAnsi="Times New Roman"/>
                <w:color w:val="auto"/>
                <w:kern w:val="21"/>
                <w:sz w:val="20"/>
                <w:szCs w:val="21"/>
              </w:rPr>
              <w:t>0.6427</w:t>
            </w:r>
          </w:p>
        </w:tc>
        <w:tc>
          <w:tcPr>
            <w:tcW w:w="709"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color w:val="auto"/>
                <w:kern w:val="21"/>
                <w:sz w:val="20"/>
              </w:rPr>
              <w:t>9</w:t>
            </w:r>
            <w:r>
              <w:rPr>
                <w:rFonts w:hint="eastAsia"/>
                <w:color w:val="auto"/>
                <w:kern w:val="21"/>
                <w:sz w:val="20"/>
              </w:rPr>
              <w:t>5</w:t>
            </w:r>
            <w:r>
              <w:rPr>
                <w:color w:val="auto"/>
                <w:kern w:val="21"/>
                <w:sz w:val="20"/>
              </w:rPr>
              <w:t>%</w:t>
            </w:r>
          </w:p>
        </w:tc>
        <w:tc>
          <w:tcPr>
            <w:tcW w:w="738"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color w:val="auto"/>
                <w:kern w:val="21"/>
                <w:sz w:val="20"/>
              </w:rPr>
              <w:t>9</w:t>
            </w:r>
            <w:r>
              <w:rPr>
                <w:rFonts w:hint="eastAsia"/>
                <w:color w:val="auto"/>
                <w:kern w:val="21"/>
                <w:sz w:val="20"/>
              </w:rPr>
              <w:t>5</w:t>
            </w:r>
            <w:r>
              <w:rPr>
                <w:color w:val="auto"/>
                <w:kern w:val="21"/>
                <w:sz w:val="20"/>
              </w:rPr>
              <w:t>%</w:t>
            </w:r>
          </w:p>
        </w:tc>
        <w:tc>
          <w:tcPr>
            <w:tcW w:w="1104"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eastAsia" w:eastAsia="宋体"/>
                <w:color w:val="auto"/>
                <w:kern w:val="21"/>
                <w:sz w:val="20"/>
                <w:lang w:val="en-US" w:eastAsia="zh-CN"/>
              </w:rPr>
            </w:pPr>
            <w:r>
              <w:rPr>
                <w:rFonts w:hint="eastAsia"/>
                <w:color w:val="auto"/>
                <w:kern w:val="21"/>
                <w:sz w:val="20"/>
              </w:rPr>
              <w:t>0.845</w:t>
            </w:r>
            <w:r>
              <w:rPr>
                <w:rFonts w:hint="eastAsia"/>
                <w:color w:val="auto"/>
                <w:kern w:val="21"/>
                <w:sz w:val="20"/>
                <w:lang w:val="en-US" w:eastAsia="zh-CN"/>
              </w:rPr>
              <w:t>7</w:t>
            </w:r>
          </w:p>
        </w:tc>
        <w:tc>
          <w:tcPr>
            <w:tcW w:w="906"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color w:val="auto"/>
                <w:kern w:val="21"/>
                <w:sz w:val="20"/>
              </w:rPr>
              <w:t>0.0</w:t>
            </w:r>
            <w:r>
              <w:rPr>
                <w:rFonts w:hint="eastAsia"/>
                <w:color w:val="auto"/>
                <w:kern w:val="21"/>
                <w:sz w:val="20"/>
              </w:rPr>
              <w:t>321</w:t>
            </w:r>
          </w:p>
        </w:tc>
        <w:tc>
          <w:tcPr>
            <w:tcW w:w="855"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eastAsia" w:eastAsia="宋体"/>
                <w:color w:val="auto"/>
                <w:kern w:val="21"/>
                <w:sz w:val="20"/>
                <w:lang w:val="en-US" w:eastAsia="zh-CN"/>
              </w:rPr>
            </w:pPr>
            <w:r>
              <w:rPr>
                <w:rFonts w:hint="eastAsia"/>
                <w:color w:val="auto"/>
                <w:kern w:val="21"/>
                <w:sz w:val="20"/>
              </w:rPr>
              <w:t>0.25</w:t>
            </w:r>
            <w:r>
              <w:rPr>
                <w:rFonts w:hint="eastAsia"/>
                <w:color w:val="auto"/>
                <w:kern w:val="21"/>
                <w:sz w:val="20"/>
                <w:lang w:val="en-US" w:eastAsia="zh-CN"/>
              </w:rPr>
              <w:t>4</w:t>
            </w:r>
          </w:p>
        </w:tc>
        <w:tc>
          <w:tcPr>
            <w:tcW w:w="791" w:type="dxa"/>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color w:val="auto"/>
                <w:kern w:val="21"/>
                <w:sz w:val="20"/>
              </w:rPr>
            </w:pPr>
            <w:r>
              <w:rPr>
                <w:rFonts w:hint="eastAsia"/>
                <w:color w:val="auto"/>
                <w:kern w:val="21"/>
                <w:sz w:val="20"/>
              </w:rPr>
              <w:t>2.697</w:t>
            </w:r>
          </w:p>
        </w:tc>
      </w:tr>
    </w:tbl>
    <w:p>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textAlignment w:val="auto"/>
        <w:rPr>
          <w:color w:val="auto"/>
          <w:kern w:val="21"/>
          <w:sz w:val="24"/>
          <w:szCs w:val="24"/>
        </w:rPr>
      </w:pPr>
      <w:r>
        <w:rPr>
          <w:color w:val="auto"/>
          <w:kern w:val="21"/>
          <w:sz w:val="24"/>
          <w:szCs w:val="24"/>
        </w:rPr>
        <w:t>根据《电镀污染物排放标准》（GB21900-2008）的要求，单位产品实际排气量超过单位产品基准排气量时，需将实测大气污染物浓度换算为大气污染物基准气量的排放浓度，并以大气污染物基准气量排放浓度作为判定排放是否达标的依据。根据《电镀污染物排放标准》（GB21900-2008）中表6单位产品基准排气量要求，镀镍允许基准排气量为37.3m</w:t>
      </w:r>
      <w:r>
        <w:rPr>
          <w:color w:val="auto"/>
          <w:kern w:val="21"/>
          <w:sz w:val="24"/>
          <w:szCs w:val="24"/>
          <w:vertAlign w:val="superscript"/>
        </w:rPr>
        <w:t>3</w:t>
      </w:r>
      <w:r>
        <w:rPr>
          <w:color w:val="auto"/>
          <w:kern w:val="21"/>
          <w:sz w:val="24"/>
          <w:szCs w:val="24"/>
        </w:rPr>
        <w:t>/m</w:t>
      </w:r>
      <w:r>
        <w:rPr>
          <w:color w:val="auto"/>
          <w:kern w:val="21"/>
          <w:sz w:val="24"/>
          <w:szCs w:val="24"/>
          <w:vertAlign w:val="superscript"/>
        </w:rPr>
        <w:t>2</w:t>
      </w:r>
      <w:r>
        <w:rPr>
          <w:color w:val="auto"/>
          <w:kern w:val="21"/>
          <w:sz w:val="24"/>
          <w:szCs w:val="24"/>
        </w:rPr>
        <w:t>，镀锌允许基准排气量为</w:t>
      </w:r>
      <w:r>
        <w:rPr>
          <w:rFonts w:hint="eastAsia"/>
          <w:color w:val="auto"/>
          <w:kern w:val="21"/>
          <w:sz w:val="24"/>
          <w:szCs w:val="24"/>
        </w:rPr>
        <w:t>18.6</w:t>
      </w:r>
      <w:r>
        <w:rPr>
          <w:color w:val="auto"/>
          <w:kern w:val="21"/>
          <w:sz w:val="24"/>
          <w:szCs w:val="24"/>
        </w:rPr>
        <w:t>m</w:t>
      </w:r>
      <w:r>
        <w:rPr>
          <w:color w:val="auto"/>
          <w:kern w:val="21"/>
          <w:sz w:val="24"/>
          <w:szCs w:val="24"/>
          <w:vertAlign w:val="superscript"/>
        </w:rPr>
        <w:t>3</w:t>
      </w:r>
      <w:r>
        <w:rPr>
          <w:color w:val="auto"/>
          <w:kern w:val="21"/>
          <w:sz w:val="24"/>
          <w:szCs w:val="24"/>
        </w:rPr>
        <w:t>/m</w:t>
      </w:r>
      <w:r>
        <w:rPr>
          <w:rFonts w:hint="eastAsia"/>
          <w:color w:val="auto"/>
          <w:kern w:val="21"/>
          <w:sz w:val="24"/>
          <w:szCs w:val="24"/>
          <w:vertAlign w:val="superscript"/>
        </w:rPr>
        <w:t>2</w:t>
      </w:r>
      <w:r>
        <w:rPr>
          <w:color w:val="auto"/>
          <w:kern w:val="21"/>
          <w:sz w:val="24"/>
          <w:szCs w:val="24"/>
        </w:rPr>
        <w:t>。</w:t>
      </w:r>
    </w:p>
    <w:p>
      <w:pPr>
        <w:keepNext w:val="0"/>
        <w:keepLines w:val="0"/>
        <w:pageBreakBefore w:val="0"/>
        <w:widowControl/>
        <w:kinsoku/>
        <w:wordWrap/>
        <w:overflowPunct/>
        <w:topLinePunct w:val="0"/>
        <w:autoSpaceDE/>
        <w:autoSpaceDN/>
        <w:bidi w:val="0"/>
        <w:adjustRightInd w:val="0"/>
        <w:snapToGrid w:val="0"/>
        <w:spacing w:line="440" w:lineRule="exact"/>
        <w:ind w:firstLine="480" w:firstLineChars="200"/>
        <w:textAlignment w:val="auto"/>
        <w:rPr>
          <w:color w:val="auto"/>
          <w:kern w:val="21"/>
          <w:sz w:val="24"/>
          <w:szCs w:val="24"/>
        </w:rPr>
      </w:pPr>
      <w:r>
        <w:rPr>
          <w:color w:val="auto"/>
          <w:kern w:val="21"/>
          <w:sz w:val="24"/>
          <w:szCs w:val="24"/>
        </w:rPr>
        <w:t>本项目镀镍件产品</w:t>
      </w:r>
      <w:r>
        <w:rPr>
          <w:rFonts w:hint="eastAsia"/>
          <w:color w:val="auto"/>
          <w:kern w:val="21"/>
          <w:sz w:val="24"/>
          <w:szCs w:val="24"/>
          <w:lang w:eastAsia="zh-CN"/>
        </w:rPr>
        <w:t>表</w:t>
      </w:r>
      <w:r>
        <w:rPr>
          <w:color w:val="auto"/>
          <w:kern w:val="21"/>
          <w:sz w:val="24"/>
          <w:szCs w:val="24"/>
        </w:rPr>
        <w:t>面积为</w:t>
      </w:r>
      <w:r>
        <w:rPr>
          <w:rFonts w:hint="eastAsia"/>
          <w:color w:val="auto"/>
          <w:kern w:val="21"/>
          <w:sz w:val="24"/>
          <w:szCs w:val="24"/>
        </w:rPr>
        <w:t>33192403.2</w:t>
      </w:r>
      <w:r>
        <w:rPr>
          <w:color w:val="auto"/>
          <w:kern w:val="21"/>
          <w:sz w:val="24"/>
          <w:szCs w:val="24"/>
        </w:rPr>
        <w:t>m</w:t>
      </w:r>
      <w:r>
        <w:rPr>
          <w:color w:val="auto"/>
          <w:kern w:val="21"/>
          <w:sz w:val="24"/>
          <w:szCs w:val="24"/>
          <w:vertAlign w:val="superscript"/>
        </w:rPr>
        <w:t>2</w:t>
      </w:r>
      <w:r>
        <w:rPr>
          <w:color w:val="auto"/>
          <w:kern w:val="21"/>
          <w:sz w:val="24"/>
          <w:szCs w:val="24"/>
        </w:rPr>
        <w:t>，排气量为</w:t>
      </w:r>
      <w:r>
        <w:rPr>
          <w:rFonts w:hint="eastAsia"/>
          <w:color w:val="auto"/>
          <w:kern w:val="21"/>
          <w:sz w:val="24"/>
          <w:szCs w:val="24"/>
        </w:rPr>
        <w:t>21384万</w:t>
      </w:r>
      <w:r>
        <w:rPr>
          <w:color w:val="auto"/>
          <w:kern w:val="21"/>
          <w:sz w:val="24"/>
          <w:szCs w:val="24"/>
        </w:rPr>
        <w:t>m</w:t>
      </w:r>
      <w:r>
        <w:rPr>
          <w:color w:val="auto"/>
          <w:kern w:val="21"/>
          <w:sz w:val="24"/>
          <w:szCs w:val="24"/>
          <w:vertAlign w:val="superscript"/>
        </w:rPr>
        <w:t>3</w:t>
      </w:r>
      <w:r>
        <w:rPr>
          <w:color w:val="auto"/>
          <w:kern w:val="21"/>
          <w:sz w:val="24"/>
          <w:szCs w:val="24"/>
        </w:rPr>
        <w:t>/a，则镀镍排气量为</w:t>
      </w:r>
      <w:r>
        <w:rPr>
          <w:rFonts w:hint="eastAsia"/>
          <w:color w:val="auto"/>
          <w:kern w:val="21"/>
          <w:sz w:val="24"/>
          <w:szCs w:val="24"/>
        </w:rPr>
        <w:t>6.44</w:t>
      </w:r>
      <w:r>
        <w:rPr>
          <w:color w:val="auto"/>
          <w:kern w:val="21"/>
          <w:sz w:val="24"/>
          <w:szCs w:val="24"/>
        </w:rPr>
        <w:t>m</w:t>
      </w:r>
      <w:r>
        <w:rPr>
          <w:color w:val="auto"/>
          <w:kern w:val="21"/>
          <w:sz w:val="24"/>
          <w:szCs w:val="24"/>
          <w:vertAlign w:val="superscript"/>
        </w:rPr>
        <w:t>3</w:t>
      </w:r>
      <w:r>
        <w:rPr>
          <w:color w:val="auto"/>
          <w:kern w:val="21"/>
          <w:sz w:val="24"/>
          <w:szCs w:val="24"/>
        </w:rPr>
        <w:t>/m</w:t>
      </w:r>
      <w:r>
        <w:rPr>
          <w:color w:val="auto"/>
          <w:kern w:val="21"/>
          <w:sz w:val="24"/>
          <w:szCs w:val="24"/>
          <w:vertAlign w:val="superscript"/>
        </w:rPr>
        <w:t>2</w:t>
      </w:r>
      <w:r>
        <w:rPr>
          <w:color w:val="auto"/>
          <w:kern w:val="21"/>
          <w:sz w:val="24"/>
          <w:szCs w:val="24"/>
        </w:rPr>
        <w:t>，小于镀镍的基准排气量，故实际预测浓度可作为判定排放是否达标的依据；镀锌件产品</w:t>
      </w:r>
      <w:r>
        <w:rPr>
          <w:rFonts w:hint="eastAsia"/>
          <w:color w:val="auto"/>
          <w:kern w:val="21"/>
          <w:sz w:val="24"/>
          <w:szCs w:val="24"/>
          <w:lang w:eastAsia="zh-CN"/>
        </w:rPr>
        <w:t>表</w:t>
      </w:r>
      <w:r>
        <w:rPr>
          <w:color w:val="auto"/>
          <w:kern w:val="21"/>
          <w:sz w:val="24"/>
          <w:szCs w:val="24"/>
        </w:rPr>
        <w:t>面积为</w:t>
      </w:r>
      <w:r>
        <w:rPr>
          <w:rFonts w:hint="eastAsia"/>
          <w:color w:val="auto"/>
          <w:kern w:val="21"/>
          <w:sz w:val="24"/>
          <w:szCs w:val="24"/>
        </w:rPr>
        <w:t>2358576</w:t>
      </w:r>
      <w:r>
        <w:rPr>
          <w:color w:val="auto"/>
          <w:kern w:val="21"/>
          <w:sz w:val="24"/>
          <w:szCs w:val="24"/>
        </w:rPr>
        <w:t>m</w:t>
      </w:r>
      <w:r>
        <w:rPr>
          <w:color w:val="auto"/>
          <w:kern w:val="21"/>
          <w:sz w:val="24"/>
          <w:szCs w:val="24"/>
          <w:vertAlign w:val="superscript"/>
        </w:rPr>
        <w:t>2</w:t>
      </w:r>
      <w:r>
        <w:rPr>
          <w:color w:val="auto"/>
          <w:kern w:val="21"/>
          <w:sz w:val="24"/>
          <w:szCs w:val="24"/>
        </w:rPr>
        <w:t>，排气量为</w:t>
      </w:r>
      <w:r>
        <w:rPr>
          <w:rFonts w:hint="eastAsia"/>
          <w:color w:val="auto"/>
          <w:kern w:val="21"/>
          <w:sz w:val="24"/>
          <w:szCs w:val="24"/>
        </w:rPr>
        <w:t>8712万</w:t>
      </w:r>
      <w:r>
        <w:rPr>
          <w:color w:val="auto"/>
          <w:kern w:val="21"/>
          <w:sz w:val="24"/>
          <w:szCs w:val="24"/>
        </w:rPr>
        <w:t>m</w:t>
      </w:r>
      <w:r>
        <w:rPr>
          <w:color w:val="auto"/>
          <w:kern w:val="21"/>
          <w:sz w:val="24"/>
          <w:szCs w:val="24"/>
          <w:vertAlign w:val="superscript"/>
        </w:rPr>
        <w:t>3</w:t>
      </w:r>
      <w:r>
        <w:rPr>
          <w:color w:val="auto"/>
          <w:kern w:val="21"/>
          <w:sz w:val="24"/>
          <w:szCs w:val="24"/>
        </w:rPr>
        <w:t>/a，则镀锌排气量为</w:t>
      </w:r>
      <w:r>
        <w:rPr>
          <w:rFonts w:hint="eastAsia"/>
          <w:color w:val="auto"/>
          <w:kern w:val="21"/>
          <w:sz w:val="24"/>
          <w:szCs w:val="24"/>
        </w:rPr>
        <w:t>36.9</w:t>
      </w:r>
      <w:r>
        <w:rPr>
          <w:color w:val="auto"/>
          <w:kern w:val="21"/>
          <w:sz w:val="24"/>
          <w:szCs w:val="24"/>
        </w:rPr>
        <w:t>m</w:t>
      </w:r>
      <w:r>
        <w:rPr>
          <w:color w:val="auto"/>
          <w:kern w:val="21"/>
          <w:sz w:val="24"/>
          <w:szCs w:val="24"/>
          <w:vertAlign w:val="superscript"/>
        </w:rPr>
        <w:t>3</w:t>
      </w:r>
      <w:r>
        <w:rPr>
          <w:color w:val="auto"/>
          <w:kern w:val="21"/>
          <w:sz w:val="24"/>
          <w:szCs w:val="24"/>
        </w:rPr>
        <w:t>/m</w:t>
      </w:r>
      <w:r>
        <w:rPr>
          <w:color w:val="auto"/>
          <w:kern w:val="21"/>
          <w:sz w:val="24"/>
          <w:szCs w:val="24"/>
          <w:vertAlign w:val="superscript"/>
        </w:rPr>
        <w:t>2</w:t>
      </w:r>
      <w:r>
        <w:rPr>
          <w:color w:val="auto"/>
          <w:kern w:val="21"/>
          <w:sz w:val="24"/>
          <w:szCs w:val="24"/>
        </w:rPr>
        <w:t>，大于镀锌的基准排气量，</w:t>
      </w:r>
      <w:r>
        <w:rPr>
          <w:rFonts w:hint="eastAsia"/>
          <w:color w:val="auto"/>
          <w:kern w:val="21"/>
          <w:sz w:val="24"/>
          <w:szCs w:val="24"/>
        </w:rPr>
        <w:t>根据《电镀污染物排放标准》（</w:t>
      </w:r>
      <w:r>
        <w:rPr>
          <w:color w:val="auto"/>
          <w:kern w:val="21"/>
          <w:sz w:val="24"/>
          <w:szCs w:val="24"/>
        </w:rPr>
        <w:t>GB21900-2008</w:t>
      </w:r>
      <w:r>
        <w:rPr>
          <w:rFonts w:hint="eastAsia"/>
          <w:color w:val="auto"/>
          <w:kern w:val="21"/>
          <w:sz w:val="24"/>
          <w:szCs w:val="24"/>
        </w:rPr>
        <w:t>）中的相关规定，电镀工艺大气污染物排放浓度限值适用于单位产品实际排气量不高于单位产品基准排气量的情况，若单位产品实际排气量超过单位产品基准排气量，须将大气污染物浓度换算为基准气量排放浓度。因此，采用基准气量计算排放浓度后，全厂酸雾总</w:t>
      </w:r>
      <w:r>
        <w:rPr>
          <w:color w:val="auto"/>
          <w:kern w:val="21"/>
          <w:sz w:val="24"/>
          <w:szCs w:val="24"/>
        </w:rPr>
        <w:t>排放浓度为</w:t>
      </w:r>
      <w:r>
        <w:rPr>
          <w:rFonts w:hint="eastAsia"/>
          <w:color w:val="auto"/>
          <w:kern w:val="21"/>
          <w:sz w:val="24"/>
          <w:szCs w:val="24"/>
        </w:rPr>
        <w:t>2.697</w:t>
      </w:r>
      <w:r>
        <w:rPr>
          <w:color w:val="auto"/>
          <w:kern w:val="21"/>
          <w:sz w:val="24"/>
          <w:szCs w:val="24"/>
        </w:rPr>
        <w:t>mg/m</w:t>
      </w:r>
      <w:r>
        <w:rPr>
          <w:color w:val="auto"/>
          <w:kern w:val="21"/>
          <w:sz w:val="24"/>
          <w:szCs w:val="24"/>
          <w:vertAlign w:val="superscript"/>
        </w:rPr>
        <w:t>3</w:t>
      </w:r>
      <w:r>
        <w:rPr>
          <w:color w:val="auto"/>
          <w:kern w:val="21"/>
          <w:sz w:val="24"/>
          <w:szCs w:val="24"/>
        </w:rPr>
        <w:t>，满足《电镀污染物排放标准》（GB21900-2008）表5标准中30mg/m</w:t>
      </w:r>
      <w:r>
        <w:rPr>
          <w:color w:val="auto"/>
          <w:kern w:val="21"/>
          <w:sz w:val="24"/>
          <w:szCs w:val="24"/>
          <w:vertAlign w:val="superscript"/>
        </w:rPr>
        <w:t>3</w:t>
      </w:r>
      <w:r>
        <w:rPr>
          <w:color w:val="auto"/>
          <w:kern w:val="21"/>
          <w:sz w:val="24"/>
          <w:szCs w:val="24"/>
        </w:rPr>
        <w:t>的标准限值及</w:t>
      </w:r>
      <w:r>
        <w:rPr>
          <w:rFonts w:hint="eastAsia"/>
          <w:color w:val="auto"/>
          <w:sz w:val="24"/>
          <w:szCs w:val="23"/>
        </w:rPr>
        <w:t>《河南省重污染天气重点行业应急减排措施制定技术指南（</w:t>
      </w:r>
      <w:r>
        <w:rPr>
          <w:bCs/>
          <w:color w:val="auto"/>
          <w:sz w:val="24"/>
          <w:szCs w:val="23"/>
        </w:rPr>
        <w:t>2021</w:t>
      </w:r>
      <w:r>
        <w:rPr>
          <w:rFonts w:hint="eastAsia"/>
          <w:color w:val="auto"/>
          <w:sz w:val="24"/>
          <w:szCs w:val="23"/>
        </w:rPr>
        <w:t>年修订）》</w:t>
      </w:r>
      <w:r>
        <w:rPr>
          <w:rFonts w:hint="eastAsia"/>
          <w:color w:val="auto"/>
          <w:kern w:val="21"/>
          <w:sz w:val="24"/>
          <w:szCs w:val="24"/>
        </w:rPr>
        <w:t>中金属表面处理及热处理加工行业</w:t>
      </w:r>
      <w:r>
        <w:rPr>
          <w:color w:val="auto"/>
          <w:kern w:val="21"/>
          <w:sz w:val="24"/>
          <w:szCs w:val="24"/>
        </w:rPr>
        <w:t>氯化氢浓度不超过10mg/m</w:t>
      </w:r>
      <w:r>
        <w:rPr>
          <w:color w:val="auto"/>
          <w:kern w:val="21"/>
          <w:sz w:val="24"/>
          <w:szCs w:val="24"/>
          <w:vertAlign w:val="superscript"/>
        </w:rPr>
        <w:t>3</w:t>
      </w:r>
      <w:r>
        <w:rPr>
          <w:rFonts w:hint="eastAsia"/>
          <w:color w:val="auto"/>
          <w:kern w:val="21"/>
          <w:sz w:val="24"/>
          <w:szCs w:val="24"/>
        </w:rPr>
        <w:t>要求。</w:t>
      </w:r>
    </w:p>
    <w:p>
      <w:pPr>
        <w:keepNext w:val="0"/>
        <w:keepLines w:val="0"/>
        <w:pageBreakBefore w:val="0"/>
        <w:widowControl/>
        <w:kinsoku/>
        <w:wordWrap/>
        <w:overflowPunct/>
        <w:topLinePunct w:val="0"/>
        <w:autoSpaceDE/>
        <w:autoSpaceDN/>
        <w:bidi w:val="0"/>
        <w:adjustRightInd w:val="0"/>
        <w:snapToGrid w:val="0"/>
        <w:spacing w:after="0" w:afterLines="50" w:line="440" w:lineRule="exact"/>
        <w:ind w:firstLine="480" w:firstLineChars="200"/>
        <w:textAlignment w:val="auto"/>
        <w:rPr>
          <w:color w:val="auto"/>
          <w:kern w:val="21"/>
          <w:sz w:val="24"/>
          <w:szCs w:val="22"/>
        </w:rPr>
      </w:pPr>
      <w:r>
        <w:rPr>
          <w:color w:val="auto"/>
          <w:kern w:val="21"/>
          <w:sz w:val="24"/>
        </w:rPr>
        <w:t>本项目</w:t>
      </w:r>
      <w:r>
        <w:rPr>
          <w:rFonts w:hint="eastAsia"/>
          <w:color w:val="auto"/>
          <w:kern w:val="21"/>
          <w:sz w:val="24"/>
          <w:lang w:eastAsia="zh-CN"/>
        </w:rPr>
        <w:t>北</w:t>
      </w:r>
      <w:r>
        <w:rPr>
          <w:color w:val="auto"/>
          <w:kern w:val="21"/>
          <w:sz w:val="24"/>
        </w:rPr>
        <w:t>厂房无组织氯化氢排放量共计</w:t>
      </w:r>
      <w:r>
        <w:rPr>
          <w:rFonts w:hint="eastAsia"/>
          <w:color w:val="auto"/>
          <w:kern w:val="21"/>
          <w:sz w:val="24"/>
        </w:rPr>
        <w:t>0.268</w:t>
      </w:r>
      <w:r>
        <w:rPr>
          <w:color w:val="auto"/>
          <w:kern w:val="21"/>
          <w:sz w:val="24"/>
        </w:rPr>
        <w:t>t/a（</w:t>
      </w:r>
      <w:r>
        <w:rPr>
          <w:rFonts w:hint="eastAsia"/>
          <w:color w:val="auto"/>
          <w:kern w:val="21"/>
          <w:sz w:val="24"/>
        </w:rPr>
        <w:t>0.0338kg/h</w:t>
      </w:r>
      <w:r>
        <w:rPr>
          <w:color w:val="auto"/>
          <w:kern w:val="21"/>
          <w:sz w:val="24"/>
        </w:rPr>
        <w:t>）。</w:t>
      </w:r>
    </w:p>
    <w:p>
      <w:pPr>
        <w:pStyle w:val="6"/>
        <w:spacing w:before="0" w:after="0" w:line="360" w:lineRule="auto"/>
        <w:rPr>
          <w:b w:val="0"/>
          <w:color w:val="auto"/>
          <w:sz w:val="24"/>
          <w:szCs w:val="24"/>
        </w:rPr>
      </w:pPr>
      <w:r>
        <w:rPr>
          <w:b w:val="0"/>
          <w:color w:val="auto"/>
          <w:sz w:val="24"/>
          <w:szCs w:val="24"/>
        </w:rPr>
        <w:t>3.4.1.</w:t>
      </w:r>
      <w:r>
        <w:rPr>
          <w:rFonts w:hint="eastAsia"/>
          <w:b w:val="0"/>
          <w:color w:val="auto"/>
          <w:sz w:val="24"/>
          <w:szCs w:val="24"/>
        </w:rPr>
        <w:t>2燃气锅炉</w:t>
      </w:r>
      <w:r>
        <w:rPr>
          <w:b w:val="0"/>
          <w:color w:val="auto"/>
          <w:sz w:val="24"/>
          <w:szCs w:val="24"/>
        </w:rPr>
        <w:t>废气</w:t>
      </w:r>
    </w:p>
    <w:p>
      <w:pPr>
        <w:pStyle w:val="271"/>
        <w:keepNext w:val="0"/>
        <w:keepLines w:val="0"/>
        <w:pageBreakBefore w:val="0"/>
        <w:widowControl/>
        <w:kinsoku/>
        <w:wordWrap/>
        <w:overflowPunct/>
        <w:topLinePunct w:val="0"/>
        <w:autoSpaceDE/>
        <w:autoSpaceDN/>
        <w:bidi w:val="0"/>
        <w:snapToGrid w:val="0"/>
        <w:spacing w:before="0" w:beforeLines="0" w:after="0" w:afterLines="0" w:line="460" w:lineRule="exact"/>
        <w:ind w:firstLine="480" w:firstLineChars="200"/>
        <w:textAlignment w:val="auto"/>
        <w:outlineLvl w:val="9"/>
        <w:rPr>
          <w:rFonts w:cs="Times New Roman" w:eastAsiaTheme="minorEastAsia"/>
          <w:color w:val="auto"/>
          <w:kern w:val="21"/>
          <w:szCs w:val="24"/>
        </w:rPr>
      </w:pPr>
      <w:r>
        <w:rPr>
          <w:rFonts w:cs="Times New Roman" w:eastAsiaTheme="minorEastAsia"/>
          <w:color w:val="auto"/>
          <w:kern w:val="21"/>
          <w:szCs w:val="24"/>
        </w:rPr>
        <w:t>本项目设置4t/h、6t/h的燃气锅炉各一台，置于北侧厂房，春夏秋季（</w:t>
      </w:r>
      <w:r>
        <w:rPr>
          <w:rFonts w:hint="eastAsia" w:cs="Times New Roman" w:eastAsiaTheme="minorEastAsia"/>
          <w:color w:val="auto"/>
          <w:kern w:val="21"/>
          <w:szCs w:val="24"/>
          <w:lang w:val="en-US" w:eastAsia="zh-CN"/>
        </w:rPr>
        <w:t>3</w:t>
      </w:r>
      <w:r>
        <w:rPr>
          <w:rFonts w:cs="Times New Roman" w:eastAsiaTheme="minorEastAsia"/>
          <w:color w:val="auto"/>
          <w:kern w:val="21"/>
          <w:szCs w:val="24"/>
        </w:rPr>
        <w:t>月</w:t>
      </w:r>
      <w:r>
        <w:rPr>
          <w:rFonts w:hint="eastAsia" w:cs="Times New Roman" w:eastAsiaTheme="minorEastAsia"/>
          <w:color w:val="auto"/>
          <w:kern w:val="21"/>
          <w:szCs w:val="24"/>
          <w:lang w:eastAsia="zh-CN"/>
        </w:rPr>
        <w:t>～</w:t>
      </w:r>
      <w:r>
        <w:rPr>
          <w:rFonts w:cs="Times New Roman" w:eastAsiaTheme="minorEastAsia"/>
          <w:color w:val="auto"/>
          <w:kern w:val="21"/>
          <w:szCs w:val="24"/>
        </w:rPr>
        <w:t>10月）仅使用6t/h锅炉为全厂供应蒸汽，冬季（11月</w:t>
      </w:r>
      <w:r>
        <w:rPr>
          <w:rFonts w:hint="eastAsia" w:cs="Times New Roman" w:eastAsiaTheme="minorEastAsia"/>
          <w:color w:val="auto"/>
          <w:kern w:val="21"/>
          <w:szCs w:val="24"/>
          <w:lang w:eastAsia="zh-CN"/>
        </w:rPr>
        <w:t>～</w:t>
      </w:r>
      <w:r>
        <w:rPr>
          <w:rFonts w:hint="eastAsia" w:cs="Times New Roman" w:eastAsiaTheme="minorEastAsia"/>
          <w:color w:val="auto"/>
          <w:kern w:val="21"/>
          <w:szCs w:val="24"/>
          <w:lang w:val="en-US" w:eastAsia="zh-CN"/>
        </w:rPr>
        <w:t>2</w:t>
      </w:r>
      <w:r>
        <w:rPr>
          <w:rFonts w:cs="Times New Roman" w:eastAsiaTheme="minorEastAsia"/>
          <w:color w:val="auto"/>
          <w:kern w:val="21"/>
          <w:szCs w:val="24"/>
        </w:rPr>
        <w:t>月）环境温度较低，需同时使用两台锅炉。两台锅炉废气通过同一排气筒排出，采用天然气作为能源，两台锅炉天然气年用量分别为78.99万m</w:t>
      </w:r>
      <w:r>
        <w:rPr>
          <w:rFonts w:cs="Times New Roman" w:eastAsiaTheme="minorEastAsia"/>
          <w:color w:val="auto"/>
          <w:kern w:val="21"/>
          <w:szCs w:val="24"/>
          <w:vertAlign w:val="superscript"/>
        </w:rPr>
        <w:t>3</w:t>
      </w:r>
      <w:r>
        <w:rPr>
          <w:rFonts w:cs="Times New Roman" w:eastAsiaTheme="minorEastAsia"/>
          <w:color w:val="auto"/>
          <w:kern w:val="21"/>
          <w:szCs w:val="24"/>
        </w:rPr>
        <w:t>/a、355.45万m</w:t>
      </w:r>
      <w:r>
        <w:rPr>
          <w:rFonts w:cs="Times New Roman" w:eastAsiaTheme="minorEastAsia"/>
          <w:color w:val="auto"/>
          <w:kern w:val="21"/>
          <w:szCs w:val="24"/>
          <w:vertAlign w:val="superscript"/>
        </w:rPr>
        <w:t>3</w:t>
      </w:r>
      <w:r>
        <w:rPr>
          <w:rFonts w:cs="Times New Roman" w:eastAsiaTheme="minorEastAsia"/>
          <w:color w:val="auto"/>
          <w:kern w:val="21"/>
          <w:szCs w:val="24"/>
        </w:rPr>
        <w:t>/a。</w:t>
      </w:r>
    </w:p>
    <w:p>
      <w:pPr>
        <w:keepNext w:val="0"/>
        <w:keepLines w:val="0"/>
        <w:pageBreakBefore w:val="0"/>
        <w:widowControl/>
        <w:kinsoku/>
        <w:wordWrap/>
        <w:overflowPunct/>
        <w:topLinePunct w:val="0"/>
        <w:autoSpaceDE/>
        <w:autoSpaceDN/>
        <w:bidi w:val="0"/>
        <w:spacing w:line="460" w:lineRule="exact"/>
        <w:ind w:firstLine="480" w:firstLineChars="200"/>
        <w:textAlignment w:val="auto"/>
        <w:rPr>
          <w:color w:val="auto"/>
          <w:sz w:val="24"/>
        </w:rPr>
      </w:pPr>
      <w:r>
        <w:rPr>
          <w:color w:val="auto"/>
          <w:sz w:val="24"/>
        </w:rPr>
        <w:t>根据《污染源源强核算技术指南  锅炉》（HJ991-2018）</w:t>
      </w:r>
      <w:r>
        <w:rPr>
          <w:rFonts w:hint="eastAsia"/>
          <w:color w:val="auto"/>
          <w:sz w:val="24"/>
          <w:lang w:eastAsia="zh-CN"/>
        </w:rPr>
        <w:t>，</w:t>
      </w:r>
      <w:r>
        <w:rPr>
          <w:color w:val="auto"/>
          <w:sz w:val="24"/>
        </w:rPr>
        <w:t>本次评价锅炉污染物中SO</w:t>
      </w:r>
      <w:r>
        <w:rPr>
          <w:color w:val="auto"/>
          <w:sz w:val="24"/>
          <w:vertAlign w:val="subscript"/>
        </w:rPr>
        <w:t>2</w:t>
      </w:r>
      <w:r>
        <w:rPr>
          <w:color w:val="auto"/>
          <w:sz w:val="24"/>
        </w:rPr>
        <w:t>、NOx采用产污系数法进行核算《全国第二次污染源普查系数手册》中</w:t>
      </w:r>
      <w:r>
        <w:rPr>
          <w:rFonts w:ascii="宋体" w:hAnsi="宋体"/>
          <w:color w:val="auto"/>
          <w:sz w:val="24"/>
        </w:rPr>
        <w:t>“</w:t>
      </w:r>
      <w:r>
        <w:rPr>
          <w:color w:val="auto"/>
          <w:sz w:val="24"/>
        </w:rPr>
        <w:t>4430工业锅炉（热力供应）行业系数手册</w:t>
      </w:r>
      <w:r>
        <w:rPr>
          <w:rFonts w:ascii="宋体" w:hAnsi="宋体"/>
          <w:color w:val="auto"/>
          <w:sz w:val="24"/>
        </w:rPr>
        <w:t>”</w:t>
      </w:r>
      <w:r>
        <w:rPr>
          <w:color w:val="auto"/>
          <w:sz w:val="24"/>
        </w:rPr>
        <w:t>天然气锅炉工业废气产污系数为107753Nm</w:t>
      </w:r>
      <w:r>
        <w:rPr>
          <w:color w:val="auto"/>
          <w:sz w:val="24"/>
          <w:vertAlign w:val="superscript"/>
        </w:rPr>
        <w:t>3</w:t>
      </w:r>
      <w:r>
        <w:rPr>
          <w:color w:val="auto"/>
          <w:sz w:val="24"/>
        </w:rPr>
        <w:t>/万m</w:t>
      </w:r>
      <w:r>
        <w:rPr>
          <w:color w:val="auto"/>
          <w:sz w:val="24"/>
          <w:vertAlign w:val="superscript"/>
        </w:rPr>
        <w:t>3</w:t>
      </w:r>
      <w:r>
        <w:rPr>
          <w:color w:val="auto"/>
          <w:sz w:val="24"/>
        </w:rPr>
        <w:t>原料，SO</w:t>
      </w:r>
      <w:r>
        <w:rPr>
          <w:color w:val="auto"/>
          <w:sz w:val="24"/>
          <w:vertAlign w:val="subscript"/>
        </w:rPr>
        <w:t>2</w:t>
      </w:r>
      <w:r>
        <w:rPr>
          <w:color w:val="auto"/>
          <w:sz w:val="24"/>
        </w:rPr>
        <w:t>产污系数为0.02Skg/万m</w:t>
      </w:r>
      <w:r>
        <w:rPr>
          <w:color w:val="auto"/>
          <w:sz w:val="24"/>
          <w:vertAlign w:val="superscript"/>
        </w:rPr>
        <w:t>3</w:t>
      </w:r>
      <w:r>
        <w:rPr>
          <w:color w:val="auto"/>
          <w:sz w:val="24"/>
        </w:rPr>
        <w:t>原料（</w:t>
      </w:r>
      <w:r>
        <w:rPr>
          <w:rFonts w:hint="eastAsia"/>
          <w:color w:val="auto"/>
          <w:sz w:val="24"/>
        </w:rPr>
        <w:t>S为硫含量，本项目取50mg/m</w:t>
      </w:r>
      <w:r>
        <w:rPr>
          <w:rFonts w:hint="eastAsia"/>
          <w:color w:val="auto"/>
          <w:sz w:val="24"/>
          <w:vertAlign w:val="superscript"/>
        </w:rPr>
        <w:t>3</w:t>
      </w:r>
      <w:r>
        <w:rPr>
          <w:color w:val="auto"/>
          <w:sz w:val="24"/>
        </w:rPr>
        <w:t>），NOx产污系数为3.03kg/万m</w:t>
      </w:r>
      <w:r>
        <w:rPr>
          <w:color w:val="auto"/>
          <w:sz w:val="24"/>
          <w:vertAlign w:val="superscript"/>
        </w:rPr>
        <w:t>3</w:t>
      </w:r>
      <w:r>
        <w:rPr>
          <w:color w:val="auto"/>
          <w:sz w:val="24"/>
        </w:rPr>
        <w:t>原料（国际领先），由于《全国第二次污染源普查系数手册》</w:t>
      </w:r>
      <w:r>
        <w:rPr>
          <w:rFonts w:ascii="宋体" w:hAnsi="宋体"/>
          <w:color w:val="auto"/>
          <w:sz w:val="24"/>
        </w:rPr>
        <w:t>中“</w:t>
      </w:r>
      <w:r>
        <w:rPr>
          <w:color w:val="auto"/>
          <w:sz w:val="24"/>
        </w:rPr>
        <w:t>4430工业锅炉（热力供应）行业系数手册</w:t>
      </w:r>
      <w:r>
        <w:rPr>
          <w:rFonts w:ascii="宋体" w:hAnsi="宋体"/>
          <w:color w:val="auto"/>
          <w:sz w:val="24"/>
        </w:rPr>
        <w:t>”</w:t>
      </w:r>
      <w:r>
        <w:rPr>
          <w:color w:val="auto"/>
          <w:sz w:val="24"/>
        </w:rPr>
        <w:t>没有颗粒物产污系数，因此颗粒物排放浓度采用类比法，类比同类锅炉《港中旅金堂温泉度假期项目验收监测报告》中天然气锅炉颗粒物排放浓度为4.8mg/m</w:t>
      </w:r>
      <w:r>
        <w:rPr>
          <w:color w:val="auto"/>
          <w:sz w:val="24"/>
          <w:vertAlign w:val="superscript"/>
        </w:rPr>
        <w:t>3</w:t>
      </w:r>
      <w:r>
        <w:rPr>
          <w:color w:val="auto"/>
          <w:sz w:val="24"/>
        </w:rPr>
        <w:t>。</w:t>
      </w:r>
    </w:p>
    <w:p>
      <w:pPr>
        <w:spacing w:line="360" w:lineRule="auto"/>
        <w:ind w:firstLine="480" w:firstLineChars="200"/>
        <w:rPr>
          <w:color w:val="auto"/>
          <w:sz w:val="24"/>
        </w:rPr>
        <w:sectPr>
          <w:headerReference r:id="rId12" w:type="default"/>
          <w:footerReference r:id="rId13" w:type="default"/>
          <w:pgSz w:w="11907" w:h="16840"/>
          <w:pgMar w:top="1440" w:right="1800" w:bottom="1440" w:left="1800" w:header="1134" w:footer="1029" w:gutter="0"/>
          <w:cols w:space="720" w:num="1"/>
        </w:sectPr>
      </w:pPr>
      <w:r>
        <w:rPr>
          <w:rFonts w:hint="eastAsia"/>
          <w:color w:val="auto"/>
          <w:sz w:val="24"/>
        </w:rPr>
        <w:t>综上，本项目锅炉废气产排情况见下表。</w:t>
      </w:r>
    </w:p>
    <w:p>
      <w:pPr>
        <w:adjustRightInd w:val="0"/>
        <w:snapToGrid w:val="0"/>
        <w:jc w:val="center"/>
        <w:rPr>
          <w:rFonts w:hint="eastAsia" w:ascii="黑体" w:hAnsi="黑体" w:eastAsia="黑体" w:cs="黑体"/>
          <w:b w:val="0"/>
          <w:bCs w:val="0"/>
          <w:color w:val="auto"/>
          <w:sz w:val="24"/>
        </w:rPr>
      </w:pPr>
      <w:r>
        <w:rPr>
          <w:rFonts w:hint="eastAsia" w:ascii="黑体" w:hAnsi="黑体" w:eastAsia="黑体" w:cs="黑体"/>
          <w:b w:val="0"/>
          <w:bCs w:val="0"/>
          <w:color w:val="auto"/>
          <w:kern w:val="21"/>
          <w:sz w:val="24"/>
          <w:szCs w:val="24"/>
        </w:rPr>
        <w:t>表3.4-3  锅炉废气污染源源强核算结果及相关参数一览表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7"/>
        <w:gridCol w:w="1255"/>
        <w:gridCol w:w="856"/>
        <w:gridCol w:w="857"/>
        <w:gridCol w:w="1121"/>
        <w:gridCol w:w="1219"/>
        <w:gridCol w:w="1206"/>
        <w:gridCol w:w="715"/>
        <w:gridCol w:w="676"/>
        <w:gridCol w:w="1044"/>
        <w:gridCol w:w="1121"/>
        <w:gridCol w:w="1309"/>
        <w:gridCol w:w="1096"/>
        <w:gridCol w:w="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03" w:type="pct"/>
            <w:vMerge w:val="restart"/>
            <w:shd w:val="clear" w:color="auto" w:fill="auto"/>
            <w:vAlign w:val="center"/>
          </w:tcPr>
          <w:p>
            <w:pPr>
              <w:widowControl w:val="0"/>
              <w:jc w:val="center"/>
              <w:rPr>
                <w:b/>
                <w:bCs/>
                <w:color w:val="auto"/>
              </w:rPr>
            </w:pPr>
            <w:r>
              <w:rPr>
                <w:rFonts w:hint="eastAsia"/>
                <w:b/>
                <w:bCs/>
                <w:color w:val="auto"/>
              </w:rPr>
              <w:t>装置</w:t>
            </w:r>
          </w:p>
        </w:tc>
        <w:tc>
          <w:tcPr>
            <w:tcW w:w="443" w:type="pct"/>
            <w:vMerge w:val="restart"/>
            <w:shd w:val="clear" w:color="auto" w:fill="auto"/>
            <w:vAlign w:val="center"/>
          </w:tcPr>
          <w:p>
            <w:pPr>
              <w:widowControl w:val="0"/>
              <w:jc w:val="center"/>
              <w:rPr>
                <w:b/>
                <w:bCs/>
                <w:color w:val="auto"/>
              </w:rPr>
            </w:pPr>
            <w:r>
              <w:rPr>
                <w:rFonts w:hint="eastAsia"/>
                <w:b/>
                <w:bCs/>
                <w:color w:val="auto"/>
              </w:rPr>
              <w:t>污染源</w:t>
            </w:r>
          </w:p>
        </w:tc>
        <w:tc>
          <w:tcPr>
            <w:tcW w:w="303" w:type="pct"/>
            <w:vMerge w:val="restart"/>
            <w:shd w:val="clear" w:color="auto" w:fill="auto"/>
            <w:vAlign w:val="center"/>
          </w:tcPr>
          <w:p>
            <w:pPr>
              <w:widowControl w:val="0"/>
              <w:jc w:val="center"/>
              <w:rPr>
                <w:b/>
                <w:bCs/>
                <w:color w:val="auto"/>
              </w:rPr>
            </w:pPr>
            <w:r>
              <w:rPr>
                <w:rFonts w:hint="eastAsia"/>
                <w:b/>
                <w:bCs/>
                <w:color w:val="auto"/>
              </w:rPr>
              <w:t>污染物</w:t>
            </w:r>
          </w:p>
        </w:tc>
        <w:tc>
          <w:tcPr>
            <w:tcW w:w="1547" w:type="pct"/>
            <w:gridSpan w:val="4"/>
            <w:shd w:val="clear" w:color="auto" w:fill="auto"/>
            <w:vAlign w:val="center"/>
          </w:tcPr>
          <w:p>
            <w:pPr>
              <w:widowControl w:val="0"/>
              <w:jc w:val="center"/>
              <w:rPr>
                <w:b/>
                <w:bCs/>
                <w:color w:val="auto"/>
              </w:rPr>
            </w:pPr>
            <w:r>
              <w:rPr>
                <w:rFonts w:hint="eastAsia"/>
                <w:b/>
                <w:bCs/>
                <w:color w:val="auto"/>
              </w:rPr>
              <w:t>污染物产生</w:t>
            </w:r>
          </w:p>
        </w:tc>
        <w:tc>
          <w:tcPr>
            <w:tcW w:w="492" w:type="pct"/>
            <w:gridSpan w:val="2"/>
            <w:shd w:val="clear" w:color="auto" w:fill="auto"/>
            <w:vAlign w:val="center"/>
          </w:tcPr>
          <w:p>
            <w:pPr>
              <w:widowControl w:val="0"/>
              <w:jc w:val="center"/>
              <w:rPr>
                <w:b/>
                <w:bCs/>
                <w:color w:val="auto"/>
              </w:rPr>
            </w:pPr>
            <w:r>
              <w:rPr>
                <w:rFonts w:hint="eastAsia"/>
                <w:b/>
                <w:bCs/>
                <w:color w:val="auto"/>
              </w:rPr>
              <w:t>治理措施</w:t>
            </w:r>
          </w:p>
        </w:tc>
        <w:tc>
          <w:tcPr>
            <w:tcW w:w="1614" w:type="pct"/>
            <w:gridSpan w:val="4"/>
            <w:shd w:val="clear" w:color="auto" w:fill="auto"/>
            <w:vAlign w:val="center"/>
          </w:tcPr>
          <w:p>
            <w:pPr>
              <w:widowControl w:val="0"/>
              <w:jc w:val="center"/>
              <w:rPr>
                <w:b/>
                <w:bCs/>
                <w:color w:val="auto"/>
              </w:rPr>
            </w:pPr>
            <w:r>
              <w:rPr>
                <w:rFonts w:hint="eastAsia"/>
                <w:b/>
                <w:bCs/>
                <w:color w:val="auto"/>
              </w:rPr>
              <w:t>污染物排放</w:t>
            </w:r>
          </w:p>
        </w:tc>
        <w:tc>
          <w:tcPr>
            <w:tcW w:w="298" w:type="pct"/>
            <w:vMerge w:val="restart"/>
            <w:shd w:val="clear" w:color="auto" w:fill="auto"/>
            <w:vAlign w:val="center"/>
          </w:tcPr>
          <w:p>
            <w:pPr>
              <w:widowControl w:val="0"/>
              <w:jc w:val="center"/>
              <w:rPr>
                <w:b/>
                <w:bCs/>
                <w:color w:val="auto"/>
              </w:rPr>
            </w:pPr>
            <w:r>
              <w:rPr>
                <w:rFonts w:hint="eastAsia"/>
                <w:b/>
                <w:bCs/>
                <w:color w:val="auto"/>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303" w:type="pct"/>
            <w:vMerge w:val="continue"/>
            <w:shd w:val="clear" w:color="auto" w:fill="auto"/>
            <w:vAlign w:val="center"/>
          </w:tcPr>
          <w:p>
            <w:pPr>
              <w:widowControl w:val="0"/>
              <w:jc w:val="center"/>
              <w:rPr>
                <w:color w:val="auto"/>
              </w:rPr>
            </w:pPr>
          </w:p>
        </w:tc>
        <w:tc>
          <w:tcPr>
            <w:tcW w:w="443" w:type="pct"/>
            <w:vMerge w:val="continue"/>
            <w:shd w:val="clear" w:color="auto" w:fill="auto"/>
            <w:vAlign w:val="center"/>
          </w:tcPr>
          <w:p>
            <w:pPr>
              <w:widowControl w:val="0"/>
              <w:jc w:val="center"/>
              <w:rPr>
                <w:color w:val="auto"/>
              </w:rPr>
            </w:pPr>
          </w:p>
        </w:tc>
        <w:tc>
          <w:tcPr>
            <w:tcW w:w="303" w:type="pct"/>
            <w:vMerge w:val="continue"/>
            <w:shd w:val="clear" w:color="auto" w:fill="auto"/>
            <w:vAlign w:val="center"/>
          </w:tcPr>
          <w:p>
            <w:pPr>
              <w:widowControl w:val="0"/>
              <w:jc w:val="center"/>
              <w:rPr>
                <w:color w:val="auto"/>
              </w:rPr>
            </w:pPr>
          </w:p>
        </w:tc>
        <w:tc>
          <w:tcPr>
            <w:tcW w:w="303" w:type="pct"/>
            <w:shd w:val="clear" w:color="auto" w:fill="auto"/>
            <w:vAlign w:val="center"/>
          </w:tcPr>
          <w:p>
            <w:pPr>
              <w:widowControl w:val="0"/>
              <w:jc w:val="center"/>
              <w:rPr>
                <w:b/>
                <w:bCs/>
                <w:color w:val="auto"/>
              </w:rPr>
            </w:pPr>
            <w:r>
              <w:rPr>
                <w:rFonts w:hint="eastAsia"/>
                <w:b/>
                <w:bCs/>
                <w:color w:val="auto"/>
              </w:rPr>
              <w:t>核算方法</w:t>
            </w:r>
          </w:p>
        </w:tc>
        <w:tc>
          <w:tcPr>
            <w:tcW w:w="396" w:type="pct"/>
            <w:shd w:val="clear" w:color="auto" w:fill="auto"/>
            <w:vAlign w:val="center"/>
          </w:tcPr>
          <w:p>
            <w:pPr>
              <w:widowControl w:val="0"/>
              <w:jc w:val="center"/>
              <w:rPr>
                <w:b/>
                <w:bCs/>
                <w:color w:val="auto"/>
              </w:rPr>
            </w:pPr>
            <w:r>
              <w:rPr>
                <w:rFonts w:hint="eastAsia"/>
                <w:b/>
                <w:bCs/>
                <w:color w:val="auto"/>
              </w:rPr>
              <w:t>烟气量（m</w:t>
            </w:r>
            <w:r>
              <w:rPr>
                <w:rFonts w:hint="eastAsia"/>
                <w:b/>
                <w:bCs/>
                <w:color w:val="auto"/>
                <w:vertAlign w:val="superscript"/>
              </w:rPr>
              <w:t>3</w:t>
            </w:r>
            <w:r>
              <w:rPr>
                <w:rFonts w:hint="eastAsia"/>
                <w:b/>
                <w:bCs/>
                <w:color w:val="auto"/>
              </w:rPr>
              <w:t>/h）</w:t>
            </w:r>
          </w:p>
        </w:tc>
        <w:tc>
          <w:tcPr>
            <w:tcW w:w="422" w:type="pct"/>
            <w:shd w:val="clear" w:color="auto" w:fill="auto"/>
            <w:vAlign w:val="center"/>
          </w:tcPr>
          <w:p>
            <w:pPr>
              <w:widowControl w:val="0"/>
              <w:jc w:val="center"/>
              <w:rPr>
                <w:b/>
                <w:bCs/>
                <w:color w:val="auto"/>
              </w:rPr>
            </w:pPr>
            <w:r>
              <w:rPr>
                <w:rFonts w:hint="eastAsia"/>
                <w:b/>
                <w:bCs/>
                <w:color w:val="auto"/>
              </w:rPr>
              <w:t>质量浓度（mg/m</w:t>
            </w:r>
            <w:r>
              <w:rPr>
                <w:rFonts w:hint="eastAsia"/>
                <w:b/>
                <w:bCs/>
                <w:color w:val="auto"/>
                <w:vertAlign w:val="superscript"/>
              </w:rPr>
              <w:t>3</w:t>
            </w:r>
            <w:r>
              <w:rPr>
                <w:rFonts w:hint="eastAsia"/>
                <w:b/>
                <w:bCs/>
                <w:color w:val="auto"/>
              </w:rPr>
              <w:t>）</w:t>
            </w:r>
          </w:p>
        </w:tc>
        <w:tc>
          <w:tcPr>
            <w:tcW w:w="426" w:type="pct"/>
            <w:shd w:val="clear" w:color="auto" w:fill="auto"/>
            <w:vAlign w:val="center"/>
          </w:tcPr>
          <w:p>
            <w:pPr>
              <w:widowControl w:val="0"/>
              <w:jc w:val="center"/>
              <w:rPr>
                <w:b/>
                <w:bCs/>
                <w:color w:val="auto"/>
              </w:rPr>
            </w:pPr>
            <w:r>
              <w:rPr>
                <w:rFonts w:hint="eastAsia"/>
                <w:b/>
                <w:bCs/>
                <w:color w:val="auto"/>
              </w:rPr>
              <w:t>产生量（kg/h）</w:t>
            </w:r>
          </w:p>
        </w:tc>
        <w:tc>
          <w:tcPr>
            <w:tcW w:w="253" w:type="pct"/>
            <w:shd w:val="clear" w:color="auto" w:fill="auto"/>
            <w:vAlign w:val="center"/>
          </w:tcPr>
          <w:p>
            <w:pPr>
              <w:widowControl w:val="0"/>
              <w:jc w:val="center"/>
              <w:rPr>
                <w:b/>
                <w:bCs/>
                <w:color w:val="auto"/>
              </w:rPr>
            </w:pPr>
            <w:r>
              <w:rPr>
                <w:rFonts w:hint="eastAsia"/>
                <w:b/>
                <w:bCs/>
                <w:color w:val="auto"/>
              </w:rPr>
              <w:t>工艺</w:t>
            </w:r>
          </w:p>
        </w:tc>
        <w:tc>
          <w:tcPr>
            <w:tcW w:w="239" w:type="pct"/>
            <w:shd w:val="clear" w:color="auto" w:fill="auto"/>
            <w:vAlign w:val="center"/>
          </w:tcPr>
          <w:p>
            <w:pPr>
              <w:widowControl w:val="0"/>
              <w:jc w:val="center"/>
              <w:rPr>
                <w:b/>
                <w:bCs/>
                <w:color w:val="auto"/>
              </w:rPr>
            </w:pPr>
            <w:r>
              <w:rPr>
                <w:rFonts w:hint="eastAsia"/>
                <w:b/>
                <w:bCs/>
                <w:color w:val="auto"/>
              </w:rPr>
              <w:t>效率</w:t>
            </w:r>
          </w:p>
        </w:tc>
        <w:tc>
          <w:tcPr>
            <w:tcW w:w="369" w:type="pct"/>
            <w:shd w:val="clear" w:color="auto" w:fill="auto"/>
            <w:vAlign w:val="center"/>
          </w:tcPr>
          <w:p>
            <w:pPr>
              <w:widowControl w:val="0"/>
              <w:jc w:val="center"/>
              <w:rPr>
                <w:b/>
                <w:bCs/>
                <w:color w:val="auto"/>
              </w:rPr>
            </w:pPr>
            <w:r>
              <w:rPr>
                <w:rFonts w:hint="eastAsia"/>
                <w:b/>
                <w:bCs/>
                <w:color w:val="auto"/>
              </w:rPr>
              <w:t>核算方法</w:t>
            </w:r>
          </w:p>
        </w:tc>
        <w:tc>
          <w:tcPr>
            <w:tcW w:w="396" w:type="pct"/>
            <w:shd w:val="clear" w:color="auto" w:fill="auto"/>
            <w:vAlign w:val="center"/>
          </w:tcPr>
          <w:p>
            <w:pPr>
              <w:widowControl w:val="0"/>
              <w:jc w:val="center"/>
              <w:rPr>
                <w:b/>
                <w:bCs/>
                <w:color w:val="auto"/>
              </w:rPr>
            </w:pPr>
            <w:r>
              <w:rPr>
                <w:rFonts w:hint="eastAsia"/>
                <w:b/>
                <w:bCs/>
                <w:color w:val="auto"/>
              </w:rPr>
              <w:t>烟气量（m</w:t>
            </w:r>
            <w:r>
              <w:rPr>
                <w:rFonts w:hint="eastAsia"/>
                <w:b/>
                <w:bCs/>
                <w:color w:val="auto"/>
                <w:vertAlign w:val="superscript"/>
              </w:rPr>
              <w:t>3</w:t>
            </w:r>
            <w:r>
              <w:rPr>
                <w:rFonts w:hint="eastAsia"/>
                <w:b/>
                <w:bCs/>
                <w:color w:val="auto"/>
              </w:rPr>
              <w:t>/h）</w:t>
            </w:r>
          </w:p>
        </w:tc>
        <w:tc>
          <w:tcPr>
            <w:tcW w:w="462" w:type="pct"/>
            <w:shd w:val="clear" w:color="auto" w:fill="auto"/>
            <w:vAlign w:val="center"/>
          </w:tcPr>
          <w:p>
            <w:pPr>
              <w:widowControl w:val="0"/>
              <w:jc w:val="center"/>
              <w:rPr>
                <w:b/>
                <w:bCs/>
                <w:color w:val="auto"/>
              </w:rPr>
            </w:pPr>
            <w:r>
              <w:rPr>
                <w:rFonts w:hint="eastAsia"/>
                <w:b/>
                <w:bCs/>
                <w:color w:val="auto"/>
              </w:rPr>
              <w:t>质量浓度（mg/m</w:t>
            </w:r>
            <w:r>
              <w:rPr>
                <w:rFonts w:hint="eastAsia"/>
                <w:b/>
                <w:bCs/>
                <w:color w:val="auto"/>
                <w:vertAlign w:val="superscript"/>
              </w:rPr>
              <w:t>3</w:t>
            </w:r>
            <w:r>
              <w:rPr>
                <w:rFonts w:hint="eastAsia"/>
                <w:b/>
                <w:bCs/>
                <w:color w:val="auto"/>
              </w:rPr>
              <w:t>）</w:t>
            </w:r>
          </w:p>
        </w:tc>
        <w:tc>
          <w:tcPr>
            <w:tcW w:w="387" w:type="pct"/>
            <w:shd w:val="clear" w:color="auto" w:fill="auto"/>
            <w:vAlign w:val="center"/>
          </w:tcPr>
          <w:p>
            <w:pPr>
              <w:widowControl w:val="0"/>
              <w:jc w:val="center"/>
              <w:rPr>
                <w:b/>
                <w:bCs/>
                <w:color w:val="auto"/>
              </w:rPr>
            </w:pPr>
            <w:r>
              <w:rPr>
                <w:rFonts w:hint="eastAsia"/>
                <w:b/>
                <w:bCs/>
                <w:color w:val="auto"/>
              </w:rPr>
              <w:t>排放量（kg/h）</w:t>
            </w:r>
          </w:p>
        </w:tc>
        <w:tc>
          <w:tcPr>
            <w:tcW w:w="298" w:type="pct"/>
            <w:vMerge w:val="continue"/>
            <w:shd w:val="clear" w:color="auto" w:fill="auto"/>
            <w:vAlign w:val="center"/>
          </w:tcPr>
          <w:p>
            <w:pPr>
              <w:widowControl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303" w:type="pct"/>
            <w:vMerge w:val="restart"/>
            <w:shd w:val="clear" w:color="auto" w:fill="auto"/>
            <w:vAlign w:val="center"/>
          </w:tcPr>
          <w:p>
            <w:pPr>
              <w:widowControl w:val="0"/>
              <w:jc w:val="center"/>
              <w:rPr>
                <w:color w:val="auto"/>
              </w:rPr>
            </w:pPr>
            <w:r>
              <w:rPr>
                <w:rFonts w:hint="eastAsia"/>
                <w:color w:val="auto"/>
              </w:rPr>
              <w:t>6t/h锅炉</w:t>
            </w:r>
          </w:p>
        </w:tc>
        <w:tc>
          <w:tcPr>
            <w:tcW w:w="443" w:type="pct"/>
            <w:vMerge w:val="restart"/>
            <w:shd w:val="clear" w:color="auto" w:fill="auto"/>
            <w:vAlign w:val="center"/>
          </w:tcPr>
          <w:p>
            <w:pPr>
              <w:widowControl w:val="0"/>
              <w:jc w:val="center"/>
              <w:rPr>
                <w:color w:val="auto"/>
              </w:rPr>
            </w:pPr>
            <w:r>
              <w:rPr>
                <w:rFonts w:hint="eastAsia"/>
                <w:color w:val="auto"/>
              </w:rPr>
              <w:t>北厂房锅炉烟囱（DA002）</w:t>
            </w:r>
          </w:p>
        </w:tc>
        <w:tc>
          <w:tcPr>
            <w:tcW w:w="303" w:type="pct"/>
            <w:shd w:val="clear" w:color="auto" w:fill="auto"/>
            <w:vAlign w:val="center"/>
          </w:tcPr>
          <w:p>
            <w:pPr>
              <w:widowControl w:val="0"/>
              <w:jc w:val="center"/>
              <w:rPr>
                <w:color w:val="auto"/>
              </w:rPr>
            </w:pPr>
            <w:r>
              <w:rPr>
                <w:rFonts w:hint="eastAsia"/>
                <w:color w:val="auto"/>
              </w:rPr>
              <w:t>颗粒物</w:t>
            </w:r>
          </w:p>
        </w:tc>
        <w:tc>
          <w:tcPr>
            <w:tcW w:w="303" w:type="pct"/>
            <w:shd w:val="clear" w:color="auto" w:fill="auto"/>
            <w:vAlign w:val="center"/>
          </w:tcPr>
          <w:p>
            <w:pPr>
              <w:widowControl w:val="0"/>
              <w:jc w:val="center"/>
              <w:rPr>
                <w:color w:val="auto"/>
              </w:rPr>
            </w:pPr>
            <w:r>
              <w:rPr>
                <w:rFonts w:hint="eastAsia"/>
                <w:color w:val="auto"/>
              </w:rPr>
              <w:t>类比法</w:t>
            </w:r>
          </w:p>
        </w:tc>
        <w:tc>
          <w:tcPr>
            <w:tcW w:w="396" w:type="pct"/>
            <w:vMerge w:val="restart"/>
            <w:shd w:val="clear" w:color="auto" w:fill="auto"/>
            <w:vAlign w:val="center"/>
          </w:tcPr>
          <w:p>
            <w:pPr>
              <w:widowControl w:val="0"/>
              <w:jc w:val="center"/>
              <w:rPr>
                <w:color w:val="auto"/>
              </w:rPr>
            </w:pPr>
            <w:r>
              <w:rPr>
                <w:rFonts w:hint="eastAsia"/>
                <w:color w:val="auto"/>
              </w:rPr>
              <w:t>4835.96</w:t>
            </w:r>
          </w:p>
        </w:tc>
        <w:tc>
          <w:tcPr>
            <w:tcW w:w="422" w:type="pct"/>
            <w:shd w:val="clear" w:color="auto" w:fill="auto"/>
            <w:vAlign w:val="center"/>
          </w:tcPr>
          <w:p>
            <w:pPr>
              <w:widowControl w:val="0"/>
              <w:jc w:val="center"/>
              <w:rPr>
                <w:color w:val="auto"/>
              </w:rPr>
            </w:pPr>
            <w:r>
              <w:rPr>
                <w:rFonts w:hint="eastAsia"/>
                <w:color w:val="auto"/>
              </w:rPr>
              <w:t>4.8</w:t>
            </w:r>
          </w:p>
        </w:tc>
        <w:tc>
          <w:tcPr>
            <w:tcW w:w="426" w:type="pct"/>
            <w:shd w:val="clear" w:color="auto" w:fill="auto"/>
            <w:vAlign w:val="center"/>
          </w:tcPr>
          <w:p>
            <w:pPr>
              <w:widowControl w:val="0"/>
              <w:jc w:val="center"/>
              <w:rPr>
                <w:color w:val="auto"/>
              </w:rPr>
            </w:pPr>
            <w:r>
              <w:rPr>
                <w:rFonts w:hint="eastAsia"/>
                <w:color w:val="auto"/>
              </w:rPr>
              <w:t>0.0232</w:t>
            </w:r>
          </w:p>
        </w:tc>
        <w:tc>
          <w:tcPr>
            <w:tcW w:w="253" w:type="pct"/>
            <w:vMerge w:val="restart"/>
            <w:shd w:val="clear" w:color="auto" w:fill="auto"/>
            <w:vAlign w:val="center"/>
          </w:tcPr>
          <w:p>
            <w:pPr>
              <w:widowControl w:val="0"/>
              <w:jc w:val="center"/>
              <w:rPr>
                <w:color w:val="auto"/>
              </w:rPr>
            </w:pPr>
            <w:r>
              <w:rPr>
                <w:rFonts w:hint="eastAsia"/>
                <w:color w:val="auto"/>
              </w:rPr>
              <w:t>低氮燃烧+烟气再循环</w:t>
            </w:r>
          </w:p>
        </w:tc>
        <w:tc>
          <w:tcPr>
            <w:tcW w:w="239" w:type="pct"/>
            <w:shd w:val="clear" w:color="auto" w:fill="auto"/>
            <w:vAlign w:val="center"/>
          </w:tcPr>
          <w:p>
            <w:pPr>
              <w:widowControl w:val="0"/>
              <w:jc w:val="center"/>
              <w:rPr>
                <w:color w:val="auto"/>
              </w:rPr>
            </w:pPr>
            <w:r>
              <w:rPr>
                <w:rFonts w:hint="eastAsia"/>
                <w:color w:val="auto"/>
              </w:rPr>
              <w:t>/</w:t>
            </w:r>
          </w:p>
        </w:tc>
        <w:tc>
          <w:tcPr>
            <w:tcW w:w="369" w:type="pct"/>
            <w:shd w:val="clear" w:color="auto" w:fill="auto"/>
            <w:vAlign w:val="center"/>
          </w:tcPr>
          <w:p>
            <w:pPr>
              <w:widowControl w:val="0"/>
              <w:jc w:val="center"/>
              <w:rPr>
                <w:color w:val="auto"/>
              </w:rPr>
            </w:pPr>
            <w:r>
              <w:rPr>
                <w:rFonts w:hint="eastAsia"/>
                <w:color w:val="auto"/>
              </w:rPr>
              <w:t>类比法</w:t>
            </w:r>
          </w:p>
        </w:tc>
        <w:tc>
          <w:tcPr>
            <w:tcW w:w="396" w:type="pct"/>
            <w:vMerge w:val="restart"/>
            <w:shd w:val="clear" w:color="auto" w:fill="auto"/>
            <w:vAlign w:val="center"/>
          </w:tcPr>
          <w:p>
            <w:pPr>
              <w:widowControl w:val="0"/>
              <w:jc w:val="center"/>
              <w:rPr>
                <w:color w:val="auto"/>
              </w:rPr>
            </w:pPr>
            <w:r>
              <w:rPr>
                <w:rFonts w:hint="eastAsia"/>
                <w:color w:val="auto"/>
                <w:sz w:val="18"/>
                <w:szCs w:val="18"/>
              </w:rPr>
              <w:t>4835.96</w:t>
            </w:r>
          </w:p>
        </w:tc>
        <w:tc>
          <w:tcPr>
            <w:tcW w:w="462" w:type="pct"/>
            <w:shd w:val="clear" w:color="auto" w:fill="auto"/>
            <w:vAlign w:val="center"/>
          </w:tcPr>
          <w:p>
            <w:pPr>
              <w:widowControl w:val="0"/>
              <w:jc w:val="center"/>
              <w:rPr>
                <w:color w:val="auto"/>
              </w:rPr>
            </w:pPr>
            <w:r>
              <w:rPr>
                <w:rFonts w:hint="eastAsia"/>
                <w:color w:val="auto"/>
              </w:rPr>
              <w:t>4.8</w:t>
            </w:r>
          </w:p>
        </w:tc>
        <w:tc>
          <w:tcPr>
            <w:tcW w:w="387" w:type="pct"/>
            <w:shd w:val="clear" w:color="auto" w:fill="auto"/>
            <w:vAlign w:val="center"/>
          </w:tcPr>
          <w:p>
            <w:pPr>
              <w:widowControl w:val="0"/>
              <w:jc w:val="center"/>
              <w:rPr>
                <w:color w:val="auto"/>
              </w:rPr>
            </w:pPr>
            <w:r>
              <w:rPr>
                <w:rFonts w:hint="eastAsia"/>
                <w:color w:val="auto"/>
              </w:rPr>
              <w:t>0.0232</w:t>
            </w:r>
          </w:p>
        </w:tc>
        <w:tc>
          <w:tcPr>
            <w:tcW w:w="298" w:type="pct"/>
            <w:shd w:val="clear" w:color="auto" w:fill="auto"/>
            <w:vAlign w:val="center"/>
          </w:tcPr>
          <w:p>
            <w:pPr>
              <w:widowControl w:val="0"/>
              <w:jc w:val="center"/>
              <w:rPr>
                <w:color w:val="auto"/>
              </w:rPr>
            </w:pPr>
            <w:r>
              <w:rPr>
                <w:rFonts w:hint="eastAsia"/>
                <w:color w:val="auto"/>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03" w:type="pct"/>
            <w:vMerge w:val="continue"/>
            <w:shd w:val="clear" w:color="auto" w:fill="auto"/>
            <w:vAlign w:val="center"/>
          </w:tcPr>
          <w:p>
            <w:pPr>
              <w:widowControl w:val="0"/>
              <w:jc w:val="center"/>
              <w:rPr>
                <w:color w:val="auto"/>
              </w:rPr>
            </w:pPr>
          </w:p>
        </w:tc>
        <w:tc>
          <w:tcPr>
            <w:tcW w:w="443" w:type="pct"/>
            <w:vMerge w:val="continue"/>
            <w:shd w:val="clear" w:color="auto" w:fill="auto"/>
            <w:vAlign w:val="center"/>
          </w:tcPr>
          <w:p>
            <w:pPr>
              <w:widowControl w:val="0"/>
              <w:jc w:val="center"/>
              <w:rPr>
                <w:color w:val="auto"/>
              </w:rPr>
            </w:pPr>
          </w:p>
        </w:tc>
        <w:tc>
          <w:tcPr>
            <w:tcW w:w="303" w:type="pct"/>
            <w:shd w:val="clear" w:color="auto" w:fill="auto"/>
            <w:vAlign w:val="center"/>
          </w:tcPr>
          <w:p>
            <w:pPr>
              <w:widowControl w:val="0"/>
              <w:jc w:val="center"/>
              <w:rPr>
                <w:color w:val="auto"/>
              </w:rPr>
            </w:pPr>
            <w:r>
              <w:rPr>
                <w:rFonts w:hint="eastAsia"/>
                <w:color w:val="auto"/>
              </w:rPr>
              <w:t>SO</w:t>
            </w:r>
            <w:r>
              <w:rPr>
                <w:rFonts w:hint="eastAsia"/>
                <w:color w:val="auto"/>
                <w:vertAlign w:val="subscript"/>
              </w:rPr>
              <w:t>2</w:t>
            </w:r>
          </w:p>
        </w:tc>
        <w:tc>
          <w:tcPr>
            <w:tcW w:w="303"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22" w:type="pct"/>
            <w:shd w:val="clear" w:color="auto" w:fill="auto"/>
            <w:vAlign w:val="center"/>
          </w:tcPr>
          <w:p>
            <w:pPr>
              <w:widowControl w:val="0"/>
              <w:jc w:val="center"/>
              <w:rPr>
                <w:color w:val="auto"/>
              </w:rPr>
            </w:pPr>
            <w:r>
              <w:rPr>
                <w:rFonts w:hint="eastAsia"/>
                <w:color w:val="auto"/>
              </w:rPr>
              <w:t>9.28</w:t>
            </w:r>
          </w:p>
        </w:tc>
        <w:tc>
          <w:tcPr>
            <w:tcW w:w="426" w:type="pct"/>
            <w:shd w:val="clear" w:color="auto" w:fill="auto"/>
            <w:vAlign w:val="center"/>
          </w:tcPr>
          <w:p>
            <w:pPr>
              <w:widowControl w:val="0"/>
              <w:jc w:val="center"/>
              <w:rPr>
                <w:color w:val="auto"/>
              </w:rPr>
            </w:pPr>
            <w:r>
              <w:rPr>
                <w:rFonts w:hint="eastAsia"/>
                <w:color w:val="auto"/>
              </w:rPr>
              <w:t>0.0449</w:t>
            </w:r>
          </w:p>
        </w:tc>
        <w:tc>
          <w:tcPr>
            <w:tcW w:w="253" w:type="pct"/>
            <w:vMerge w:val="continue"/>
            <w:shd w:val="clear" w:color="auto" w:fill="auto"/>
            <w:vAlign w:val="center"/>
          </w:tcPr>
          <w:p>
            <w:pPr>
              <w:widowControl w:val="0"/>
              <w:jc w:val="center"/>
              <w:rPr>
                <w:color w:val="auto"/>
              </w:rPr>
            </w:pPr>
          </w:p>
        </w:tc>
        <w:tc>
          <w:tcPr>
            <w:tcW w:w="239" w:type="pct"/>
            <w:shd w:val="clear" w:color="auto" w:fill="auto"/>
            <w:vAlign w:val="center"/>
          </w:tcPr>
          <w:p>
            <w:pPr>
              <w:widowControl w:val="0"/>
              <w:jc w:val="center"/>
              <w:rPr>
                <w:color w:val="auto"/>
              </w:rPr>
            </w:pPr>
            <w:r>
              <w:rPr>
                <w:rFonts w:hint="eastAsia"/>
                <w:color w:val="auto"/>
              </w:rPr>
              <w:t>/</w:t>
            </w:r>
          </w:p>
        </w:tc>
        <w:tc>
          <w:tcPr>
            <w:tcW w:w="369"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62" w:type="pct"/>
            <w:shd w:val="clear" w:color="auto" w:fill="auto"/>
            <w:vAlign w:val="center"/>
          </w:tcPr>
          <w:p>
            <w:pPr>
              <w:widowControl w:val="0"/>
              <w:jc w:val="center"/>
              <w:rPr>
                <w:color w:val="auto"/>
              </w:rPr>
            </w:pPr>
            <w:r>
              <w:rPr>
                <w:rFonts w:hint="eastAsia"/>
                <w:color w:val="auto"/>
              </w:rPr>
              <w:t>9.28</w:t>
            </w:r>
          </w:p>
        </w:tc>
        <w:tc>
          <w:tcPr>
            <w:tcW w:w="387" w:type="pct"/>
            <w:shd w:val="clear" w:color="auto" w:fill="auto"/>
            <w:vAlign w:val="center"/>
          </w:tcPr>
          <w:p>
            <w:pPr>
              <w:widowControl w:val="0"/>
              <w:jc w:val="center"/>
              <w:rPr>
                <w:color w:val="auto"/>
              </w:rPr>
            </w:pPr>
            <w:r>
              <w:rPr>
                <w:rFonts w:hint="eastAsia"/>
                <w:color w:val="auto"/>
              </w:rPr>
              <w:t>0.0449</w:t>
            </w:r>
          </w:p>
        </w:tc>
        <w:tc>
          <w:tcPr>
            <w:tcW w:w="298" w:type="pct"/>
            <w:shd w:val="clear" w:color="auto" w:fill="auto"/>
            <w:vAlign w:val="center"/>
          </w:tcPr>
          <w:p>
            <w:pPr>
              <w:widowControl w:val="0"/>
              <w:jc w:val="center"/>
              <w:rPr>
                <w:color w:val="auto"/>
              </w:rPr>
            </w:pPr>
            <w:r>
              <w:rPr>
                <w:rFonts w:hint="eastAsia"/>
                <w:color w:val="auto"/>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03" w:type="pct"/>
            <w:vMerge w:val="continue"/>
            <w:shd w:val="clear" w:color="auto" w:fill="auto"/>
            <w:vAlign w:val="center"/>
          </w:tcPr>
          <w:p>
            <w:pPr>
              <w:widowControl w:val="0"/>
              <w:jc w:val="center"/>
              <w:rPr>
                <w:color w:val="auto"/>
              </w:rPr>
            </w:pPr>
          </w:p>
        </w:tc>
        <w:tc>
          <w:tcPr>
            <w:tcW w:w="443" w:type="pct"/>
            <w:vMerge w:val="continue"/>
            <w:shd w:val="clear" w:color="auto" w:fill="auto"/>
            <w:vAlign w:val="center"/>
          </w:tcPr>
          <w:p>
            <w:pPr>
              <w:widowControl w:val="0"/>
              <w:jc w:val="center"/>
              <w:rPr>
                <w:color w:val="auto"/>
              </w:rPr>
            </w:pPr>
          </w:p>
        </w:tc>
        <w:tc>
          <w:tcPr>
            <w:tcW w:w="303" w:type="pct"/>
            <w:shd w:val="clear" w:color="auto" w:fill="auto"/>
            <w:vAlign w:val="center"/>
          </w:tcPr>
          <w:p>
            <w:pPr>
              <w:widowControl w:val="0"/>
              <w:jc w:val="center"/>
              <w:rPr>
                <w:color w:val="auto"/>
              </w:rPr>
            </w:pPr>
            <w:r>
              <w:rPr>
                <w:rFonts w:hint="eastAsia"/>
                <w:color w:val="auto"/>
              </w:rPr>
              <w:t>NOx</w:t>
            </w:r>
          </w:p>
        </w:tc>
        <w:tc>
          <w:tcPr>
            <w:tcW w:w="303"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22" w:type="pct"/>
            <w:shd w:val="clear" w:color="auto" w:fill="auto"/>
            <w:vAlign w:val="center"/>
          </w:tcPr>
          <w:p>
            <w:pPr>
              <w:widowControl w:val="0"/>
              <w:jc w:val="center"/>
              <w:rPr>
                <w:color w:val="auto"/>
              </w:rPr>
            </w:pPr>
            <w:r>
              <w:rPr>
                <w:rFonts w:hint="eastAsia"/>
                <w:color w:val="auto"/>
              </w:rPr>
              <w:t>28.12</w:t>
            </w:r>
          </w:p>
        </w:tc>
        <w:tc>
          <w:tcPr>
            <w:tcW w:w="426" w:type="pct"/>
            <w:shd w:val="clear" w:color="auto" w:fill="auto"/>
            <w:vAlign w:val="center"/>
          </w:tcPr>
          <w:p>
            <w:pPr>
              <w:widowControl w:val="0"/>
              <w:jc w:val="center"/>
              <w:rPr>
                <w:color w:val="auto"/>
              </w:rPr>
            </w:pPr>
            <w:r>
              <w:rPr>
                <w:rFonts w:hint="eastAsia"/>
                <w:color w:val="auto"/>
              </w:rPr>
              <w:t>0.1360</w:t>
            </w:r>
          </w:p>
        </w:tc>
        <w:tc>
          <w:tcPr>
            <w:tcW w:w="253" w:type="pct"/>
            <w:vMerge w:val="continue"/>
            <w:shd w:val="clear" w:color="auto" w:fill="auto"/>
            <w:vAlign w:val="center"/>
          </w:tcPr>
          <w:p>
            <w:pPr>
              <w:widowControl w:val="0"/>
              <w:jc w:val="center"/>
              <w:rPr>
                <w:color w:val="auto"/>
              </w:rPr>
            </w:pPr>
          </w:p>
        </w:tc>
        <w:tc>
          <w:tcPr>
            <w:tcW w:w="239" w:type="pct"/>
            <w:shd w:val="clear" w:color="auto" w:fill="auto"/>
            <w:vAlign w:val="center"/>
          </w:tcPr>
          <w:p>
            <w:pPr>
              <w:widowControl w:val="0"/>
              <w:jc w:val="center"/>
              <w:rPr>
                <w:color w:val="auto"/>
              </w:rPr>
            </w:pPr>
            <w:r>
              <w:rPr>
                <w:rFonts w:hint="eastAsia"/>
                <w:color w:val="auto"/>
              </w:rPr>
              <w:t>/</w:t>
            </w:r>
          </w:p>
        </w:tc>
        <w:tc>
          <w:tcPr>
            <w:tcW w:w="369"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62" w:type="pct"/>
            <w:shd w:val="clear" w:color="auto" w:fill="auto"/>
            <w:vAlign w:val="center"/>
          </w:tcPr>
          <w:p>
            <w:pPr>
              <w:widowControl w:val="0"/>
              <w:jc w:val="center"/>
              <w:rPr>
                <w:color w:val="auto"/>
              </w:rPr>
            </w:pPr>
            <w:r>
              <w:rPr>
                <w:rFonts w:hint="eastAsia"/>
                <w:color w:val="auto"/>
              </w:rPr>
              <w:t>28.12</w:t>
            </w:r>
          </w:p>
        </w:tc>
        <w:tc>
          <w:tcPr>
            <w:tcW w:w="387" w:type="pct"/>
            <w:shd w:val="clear" w:color="auto" w:fill="auto"/>
            <w:vAlign w:val="center"/>
          </w:tcPr>
          <w:p>
            <w:pPr>
              <w:widowControl w:val="0"/>
              <w:jc w:val="center"/>
              <w:rPr>
                <w:color w:val="auto"/>
              </w:rPr>
            </w:pPr>
            <w:r>
              <w:rPr>
                <w:rFonts w:hint="eastAsia"/>
                <w:color w:val="auto"/>
              </w:rPr>
              <w:t>0.1360</w:t>
            </w:r>
          </w:p>
        </w:tc>
        <w:tc>
          <w:tcPr>
            <w:tcW w:w="298" w:type="pct"/>
            <w:shd w:val="clear" w:color="auto" w:fill="auto"/>
            <w:vAlign w:val="center"/>
          </w:tcPr>
          <w:p>
            <w:pPr>
              <w:widowControl w:val="0"/>
              <w:jc w:val="center"/>
              <w:rPr>
                <w:color w:val="auto"/>
              </w:rPr>
            </w:pPr>
            <w:r>
              <w:rPr>
                <w:rFonts w:hint="eastAsia"/>
                <w:color w:val="auto"/>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03" w:type="pct"/>
            <w:vMerge w:val="restart"/>
            <w:shd w:val="clear" w:color="auto" w:fill="auto"/>
            <w:vAlign w:val="center"/>
          </w:tcPr>
          <w:p>
            <w:pPr>
              <w:widowControl w:val="0"/>
              <w:jc w:val="center"/>
              <w:rPr>
                <w:color w:val="auto"/>
              </w:rPr>
            </w:pPr>
            <w:r>
              <w:rPr>
                <w:rFonts w:hint="eastAsia"/>
                <w:color w:val="auto"/>
              </w:rPr>
              <w:t>4t/h锅炉</w:t>
            </w:r>
          </w:p>
        </w:tc>
        <w:tc>
          <w:tcPr>
            <w:tcW w:w="443" w:type="pct"/>
            <w:vMerge w:val="continue"/>
            <w:shd w:val="clear" w:color="auto" w:fill="auto"/>
            <w:vAlign w:val="center"/>
          </w:tcPr>
          <w:p>
            <w:pPr>
              <w:widowControl w:val="0"/>
              <w:jc w:val="center"/>
              <w:rPr>
                <w:color w:val="auto"/>
              </w:rPr>
            </w:pPr>
          </w:p>
        </w:tc>
        <w:tc>
          <w:tcPr>
            <w:tcW w:w="303" w:type="pct"/>
            <w:shd w:val="clear" w:color="auto" w:fill="auto"/>
            <w:vAlign w:val="center"/>
          </w:tcPr>
          <w:p>
            <w:pPr>
              <w:widowControl w:val="0"/>
              <w:jc w:val="center"/>
              <w:rPr>
                <w:color w:val="auto"/>
              </w:rPr>
            </w:pPr>
            <w:r>
              <w:rPr>
                <w:rFonts w:hint="eastAsia"/>
                <w:color w:val="auto"/>
              </w:rPr>
              <w:t>颗粒物</w:t>
            </w:r>
          </w:p>
        </w:tc>
        <w:tc>
          <w:tcPr>
            <w:tcW w:w="303" w:type="pct"/>
            <w:shd w:val="clear" w:color="auto" w:fill="auto"/>
            <w:vAlign w:val="center"/>
          </w:tcPr>
          <w:p>
            <w:pPr>
              <w:widowControl w:val="0"/>
              <w:jc w:val="center"/>
              <w:rPr>
                <w:color w:val="auto"/>
              </w:rPr>
            </w:pPr>
            <w:r>
              <w:rPr>
                <w:rFonts w:hint="eastAsia"/>
                <w:color w:val="auto"/>
              </w:rPr>
              <w:t>类比法</w:t>
            </w:r>
          </w:p>
        </w:tc>
        <w:tc>
          <w:tcPr>
            <w:tcW w:w="396" w:type="pct"/>
            <w:vMerge w:val="restart"/>
            <w:shd w:val="clear" w:color="auto" w:fill="auto"/>
            <w:vAlign w:val="center"/>
          </w:tcPr>
          <w:p>
            <w:pPr>
              <w:widowControl w:val="0"/>
              <w:jc w:val="center"/>
              <w:rPr>
                <w:color w:val="auto"/>
              </w:rPr>
            </w:pPr>
            <w:r>
              <w:rPr>
                <w:rFonts w:hint="eastAsia"/>
                <w:color w:val="auto"/>
              </w:rPr>
              <w:t>3224.02</w:t>
            </w:r>
          </w:p>
        </w:tc>
        <w:tc>
          <w:tcPr>
            <w:tcW w:w="422" w:type="pct"/>
            <w:shd w:val="clear" w:color="auto" w:fill="auto"/>
            <w:vAlign w:val="center"/>
          </w:tcPr>
          <w:p>
            <w:pPr>
              <w:widowControl w:val="0"/>
              <w:jc w:val="center"/>
              <w:rPr>
                <w:color w:val="auto"/>
              </w:rPr>
            </w:pPr>
            <w:r>
              <w:rPr>
                <w:rFonts w:hint="eastAsia"/>
                <w:color w:val="auto"/>
              </w:rPr>
              <w:t>4.8</w:t>
            </w:r>
          </w:p>
        </w:tc>
        <w:tc>
          <w:tcPr>
            <w:tcW w:w="426" w:type="pct"/>
            <w:shd w:val="clear" w:color="auto" w:fill="auto"/>
            <w:vAlign w:val="center"/>
          </w:tcPr>
          <w:p>
            <w:pPr>
              <w:widowControl w:val="0"/>
              <w:jc w:val="center"/>
              <w:rPr>
                <w:color w:val="auto"/>
              </w:rPr>
            </w:pPr>
            <w:r>
              <w:rPr>
                <w:rFonts w:hint="eastAsia"/>
                <w:color w:val="auto"/>
              </w:rPr>
              <w:t>0.0155</w:t>
            </w:r>
          </w:p>
        </w:tc>
        <w:tc>
          <w:tcPr>
            <w:tcW w:w="253" w:type="pct"/>
            <w:vMerge w:val="continue"/>
            <w:shd w:val="clear" w:color="auto" w:fill="auto"/>
            <w:vAlign w:val="center"/>
          </w:tcPr>
          <w:p>
            <w:pPr>
              <w:widowControl w:val="0"/>
              <w:jc w:val="center"/>
              <w:rPr>
                <w:color w:val="auto"/>
              </w:rPr>
            </w:pPr>
          </w:p>
        </w:tc>
        <w:tc>
          <w:tcPr>
            <w:tcW w:w="239" w:type="pct"/>
            <w:shd w:val="clear" w:color="auto" w:fill="auto"/>
            <w:vAlign w:val="center"/>
          </w:tcPr>
          <w:p>
            <w:pPr>
              <w:widowControl w:val="0"/>
              <w:jc w:val="center"/>
              <w:rPr>
                <w:color w:val="auto"/>
              </w:rPr>
            </w:pPr>
          </w:p>
        </w:tc>
        <w:tc>
          <w:tcPr>
            <w:tcW w:w="369" w:type="pct"/>
            <w:shd w:val="clear" w:color="auto" w:fill="auto"/>
            <w:vAlign w:val="center"/>
          </w:tcPr>
          <w:p>
            <w:pPr>
              <w:widowControl w:val="0"/>
              <w:jc w:val="center"/>
              <w:rPr>
                <w:color w:val="auto"/>
              </w:rPr>
            </w:pPr>
            <w:r>
              <w:rPr>
                <w:rFonts w:hint="eastAsia"/>
                <w:color w:val="auto"/>
              </w:rPr>
              <w:t>类比法</w:t>
            </w:r>
          </w:p>
        </w:tc>
        <w:tc>
          <w:tcPr>
            <w:tcW w:w="396" w:type="pct"/>
            <w:vMerge w:val="restart"/>
            <w:shd w:val="clear" w:color="auto" w:fill="auto"/>
            <w:vAlign w:val="center"/>
          </w:tcPr>
          <w:p>
            <w:pPr>
              <w:widowControl w:val="0"/>
              <w:jc w:val="center"/>
              <w:rPr>
                <w:color w:val="auto"/>
              </w:rPr>
            </w:pPr>
            <w:r>
              <w:rPr>
                <w:rFonts w:hint="eastAsia"/>
                <w:color w:val="auto"/>
              </w:rPr>
              <w:t>3224.02</w:t>
            </w:r>
          </w:p>
        </w:tc>
        <w:tc>
          <w:tcPr>
            <w:tcW w:w="462" w:type="pct"/>
            <w:shd w:val="clear" w:color="auto" w:fill="auto"/>
            <w:vAlign w:val="center"/>
          </w:tcPr>
          <w:p>
            <w:pPr>
              <w:widowControl w:val="0"/>
              <w:jc w:val="center"/>
              <w:rPr>
                <w:color w:val="auto"/>
              </w:rPr>
            </w:pPr>
            <w:r>
              <w:rPr>
                <w:rFonts w:hint="eastAsia"/>
                <w:color w:val="auto"/>
              </w:rPr>
              <w:t>4.8</w:t>
            </w:r>
          </w:p>
        </w:tc>
        <w:tc>
          <w:tcPr>
            <w:tcW w:w="387" w:type="pct"/>
            <w:shd w:val="clear" w:color="auto" w:fill="auto"/>
            <w:vAlign w:val="center"/>
          </w:tcPr>
          <w:p>
            <w:pPr>
              <w:widowControl w:val="0"/>
              <w:jc w:val="center"/>
              <w:rPr>
                <w:color w:val="auto"/>
              </w:rPr>
            </w:pPr>
            <w:r>
              <w:rPr>
                <w:rFonts w:hint="eastAsia"/>
                <w:color w:val="auto"/>
              </w:rPr>
              <w:t>0.0155</w:t>
            </w:r>
          </w:p>
        </w:tc>
        <w:tc>
          <w:tcPr>
            <w:tcW w:w="298" w:type="pct"/>
            <w:shd w:val="clear" w:color="auto" w:fill="auto"/>
            <w:vAlign w:val="center"/>
          </w:tcPr>
          <w:p>
            <w:pPr>
              <w:widowControl w:val="0"/>
              <w:jc w:val="center"/>
              <w:rPr>
                <w:color w:val="auto"/>
              </w:rPr>
            </w:pPr>
            <w:r>
              <w:rPr>
                <w:rFonts w:hint="eastAsia"/>
                <w:color w:val="auto"/>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03" w:type="pct"/>
            <w:vMerge w:val="continue"/>
            <w:shd w:val="clear" w:color="auto" w:fill="auto"/>
            <w:vAlign w:val="center"/>
          </w:tcPr>
          <w:p>
            <w:pPr>
              <w:widowControl w:val="0"/>
              <w:jc w:val="center"/>
              <w:rPr>
                <w:color w:val="auto"/>
              </w:rPr>
            </w:pPr>
          </w:p>
        </w:tc>
        <w:tc>
          <w:tcPr>
            <w:tcW w:w="443" w:type="pct"/>
            <w:vMerge w:val="continue"/>
            <w:shd w:val="clear" w:color="auto" w:fill="auto"/>
            <w:vAlign w:val="center"/>
          </w:tcPr>
          <w:p>
            <w:pPr>
              <w:widowControl w:val="0"/>
              <w:jc w:val="center"/>
              <w:rPr>
                <w:color w:val="auto"/>
              </w:rPr>
            </w:pPr>
          </w:p>
        </w:tc>
        <w:tc>
          <w:tcPr>
            <w:tcW w:w="303" w:type="pct"/>
            <w:shd w:val="clear" w:color="auto" w:fill="auto"/>
            <w:vAlign w:val="center"/>
          </w:tcPr>
          <w:p>
            <w:pPr>
              <w:widowControl w:val="0"/>
              <w:jc w:val="center"/>
              <w:rPr>
                <w:color w:val="auto"/>
              </w:rPr>
            </w:pPr>
            <w:r>
              <w:rPr>
                <w:rFonts w:hint="eastAsia"/>
                <w:color w:val="auto"/>
              </w:rPr>
              <w:t>SO</w:t>
            </w:r>
            <w:r>
              <w:rPr>
                <w:rFonts w:hint="eastAsia"/>
                <w:color w:val="auto"/>
                <w:vertAlign w:val="subscript"/>
              </w:rPr>
              <w:t>2</w:t>
            </w:r>
          </w:p>
        </w:tc>
        <w:tc>
          <w:tcPr>
            <w:tcW w:w="303"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22" w:type="pct"/>
            <w:shd w:val="clear" w:color="auto" w:fill="auto"/>
            <w:vAlign w:val="center"/>
          </w:tcPr>
          <w:p>
            <w:pPr>
              <w:widowControl w:val="0"/>
              <w:jc w:val="center"/>
              <w:rPr>
                <w:color w:val="auto"/>
              </w:rPr>
            </w:pPr>
            <w:r>
              <w:rPr>
                <w:rFonts w:hint="eastAsia"/>
                <w:color w:val="auto"/>
              </w:rPr>
              <w:t>9.28</w:t>
            </w:r>
          </w:p>
        </w:tc>
        <w:tc>
          <w:tcPr>
            <w:tcW w:w="426" w:type="pct"/>
            <w:shd w:val="clear" w:color="auto" w:fill="auto"/>
            <w:vAlign w:val="center"/>
          </w:tcPr>
          <w:p>
            <w:pPr>
              <w:widowControl w:val="0"/>
              <w:jc w:val="center"/>
              <w:rPr>
                <w:color w:val="auto"/>
              </w:rPr>
            </w:pPr>
            <w:r>
              <w:rPr>
                <w:rFonts w:hint="eastAsia"/>
                <w:color w:val="auto"/>
              </w:rPr>
              <w:t>0.0299</w:t>
            </w:r>
          </w:p>
        </w:tc>
        <w:tc>
          <w:tcPr>
            <w:tcW w:w="253" w:type="pct"/>
            <w:vMerge w:val="continue"/>
            <w:shd w:val="clear" w:color="auto" w:fill="auto"/>
            <w:vAlign w:val="center"/>
          </w:tcPr>
          <w:p>
            <w:pPr>
              <w:widowControl w:val="0"/>
              <w:jc w:val="center"/>
              <w:rPr>
                <w:color w:val="auto"/>
              </w:rPr>
            </w:pPr>
          </w:p>
        </w:tc>
        <w:tc>
          <w:tcPr>
            <w:tcW w:w="239" w:type="pct"/>
            <w:shd w:val="clear" w:color="auto" w:fill="auto"/>
            <w:vAlign w:val="center"/>
          </w:tcPr>
          <w:p>
            <w:pPr>
              <w:widowControl w:val="0"/>
              <w:jc w:val="center"/>
              <w:rPr>
                <w:color w:val="auto"/>
              </w:rPr>
            </w:pPr>
          </w:p>
        </w:tc>
        <w:tc>
          <w:tcPr>
            <w:tcW w:w="369"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62" w:type="pct"/>
            <w:shd w:val="clear" w:color="auto" w:fill="auto"/>
            <w:vAlign w:val="center"/>
          </w:tcPr>
          <w:p>
            <w:pPr>
              <w:widowControl w:val="0"/>
              <w:jc w:val="center"/>
              <w:rPr>
                <w:color w:val="auto"/>
              </w:rPr>
            </w:pPr>
            <w:r>
              <w:rPr>
                <w:rFonts w:hint="eastAsia"/>
                <w:color w:val="auto"/>
              </w:rPr>
              <w:t>9.28</w:t>
            </w:r>
          </w:p>
        </w:tc>
        <w:tc>
          <w:tcPr>
            <w:tcW w:w="387" w:type="pct"/>
            <w:shd w:val="clear" w:color="auto" w:fill="auto"/>
            <w:vAlign w:val="center"/>
          </w:tcPr>
          <w:p>
            <w:pPr>
              <w:widowControl w:val="0"/>
              <w:jc w:val="center"/>
              <w:rPr>
                <w:color w:val="auto"/>
              </w:rPr>
            </w:pPr>
            <w:r>
              <w:rPr>
                <w:rFonts w:hint="eastAsia"/>
                <w:color w:val="auto"/>
              </w:rPr>
              <w:t>0.0299</w:t>
            </w:r>
          </w:p>
        </w:tc>
        <w:tc>
          <w:tcPr>
            <w:tcW w:w="298" w:type="pct"/>
            <w:shd w:val="clear" w:color="auto" w:fill="auto"/>
            <w:vAlign w:val="center"/>
          </w:tcPr>
          <w:p>
            <w:pPr>
              <w:widowControl w:val="0"/>
              <w:jc w:val="center"/>
              <w:rPr>
                <w:color w:val="auto"/>
              </w:rPr>
            </w:pPr>
            <w:r>
              <w:rPr>
                <w:rFonts w:hint="eastAsia"/>
                <w:color w:val="auto"/>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03" w:type="pct"/>
            <w:vMerge w:val="continue"/>
            <w:shd w:val="clear" w:color="auto" w:fill="auto"/>
            <w:vAlign w:val="center"/>
          </w:tcPr>
          <w:p>
            <w:pPr>
              <w:widowControl w:val="0"/>
              <w:jc w:val="center"/>
              <w:rPr>
                <w:color w:val="auto"/>
              </w:rPr>
            </w:pPr>
          </w:p>
        </w:tc>
        <w:tc>
          <w:tcPr>
            <w:tcW w:w="443" w:type="pct"/>
            <w:vMerge w:val="continue"/>
            <w:shd w:val="clear" w:color="auto" w:fill="auto"/>
            <w:vAlign w:val="center"/>
          </w:tcPr>
          <w:p>
            <w:pPr>
              <w:widowControl w:val="0"/>
              <w:jc w:val="center"/>
              <w:rPr>
                <w:color w:val="auto"/>
              </w:rPr>
            </w:pPr>
          </w:p>
        </w:tc>
        <w:tc>
          <w:tcPr>
            <w:tcW w:w="303" w:type="pct"/>
            <w:shd w:val="clear" w:color="auto" w:fill="auto"/>
            <w:vAlign w:val="center"/>
          </w:tcPr>
          <w:p>
            <w:pPr>
              <w:widowControl w:val="0"/>
              <w:jc w:val="center"/>
              <w:rPr>
                <w:color w:val="auto"/>
              </w:rPr>
            </w:pPr>
            <w:r>
              <w:rPr>
                <w:rFonts w:hint="eastAsia"/>
                <w:color w:val="auto"/>
              </w:rPr>
              <w:t>NOx</w:t>
            </w:r>
          </w:p>
        </w:tc>
        <w:tc>
          <w:tcPr>
            <w:tcW w:w="303"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22" w:type="pct"/>
            <w:shd w:val="clear" w:color="auto" w:fill="auto"/>
            <w:vAlign w:val="center"/>
          </w:tcPr>
          <w:p>
            <w:pPr>
              <w:widowControl w:val="0"/>
              <w:jc w:val="center"/>
              <w:rPr>
                <w:color w:val="auto"/>
              </w:rPr>
            </w:pPr>
            <w:r>
              <w:rPr>
                <w:rFonts w:hint="eastAsia"/>
                <w:color w:val="auto"/>
              </w:rPr>
              <w:t>28.12</w:t>
            </w:r>
          </w:p>
        </w:tc>
        <w:tc>
          <w:tcPr>
            <w:tcW w:w="426" w:type="pct"/>
            <w:shd w:val="clear" w:color="auto" w:fill="auto"/>
            <w:vAlign w:val="center"/>
          </w:tcPr>
          <w:p>
            <w:pPr>
              <w:widowControl w:val="0"/>
              <w:jc w:val="center"/>
              <w:rPr>
                <w:color w:val="auto"/>
              </w:rPr>
            </w:pPr>
            <w:r>
              <w:rPr>
                <w:rFonts w:hint="eastAsia"/>
                <w:color w:val="auto"/>
              </w:rPr>
              <w:t>0.0906</w:t>
            </w:r>
          </w:p>
        </w:tc>
        <w:tc>
          <w:tcPr>
            <w:tcW w:w="253" w:type="pct"/>
            <w:vMerge w:val="continue"/>
            <w:shd w:val="clear" w:color="auto" w:fill="auto"/>
            <w:vAlign w:val="center"/>
          </w:tcPr>
          <w:p>
            <w:pPr>
              <w:widowControl w:val="0"/>
              <w:jc w:val="center"/>
              <w:rPr>
                <w:color w:val="auto"/>
              </w:rPr>
            </w:pPr>
          </w:p>
        </w:tc>
        <w:tc>
          <w:tcPr>
            <w:tcW w:w="239" w:type="pct"/>
            <w:shd w:val="clear" w:color="auto" w:fill="auto"/>
            <w:vAlign w:val="center"/>
          </w:tcPr>
          <w:p>
            <w:pPr>
              <w:widowControl w:val="0"/>
              <w:jc w:val="center"/>
              <w:rPr>
                <w:color w:val="auto"/>
              </w:rPr>
            </w:pPr>
          </w:p>
        </w:tc>
        <w:tc>
          <w:tcPr>
            <w:tcW w:w="369" w:type="pct"/>
            <w:shd w:val="clear" w:color="auto" w:fill="auto"/>
            <w:vAlign w:val="center"/>
          </w:tcPr>
          <w:p>
            <w:pPr>
              <w:widowControl w:val="0"/>
              <w:jc w:val="center"/>
              <w:rPr>
                <w:color w:val="auto"/>
              </w:rPr>
            </w:pPr>
            <w:r>
              <w:rPr>
                <w:rFonts w:hint="eastAsia"/>
                <w:color w:val="auto"/>
              </w:rPr>
              <w:t>产污系数法</w:t>
            </w:r>
          </w:p>
        </w:tc>
        <w:tc>
          <w:tcPr>
            <w:tcW w:w="396" w:type="pct"/>
            <w:vMerge w:val="continue"/>
            <w:shd w:val="clear" w:color="auto" w:fill="auto"/>
            <w:vAlign w:val="center"/>
          </w:tcPr>
          <w:p>
            <w:pPr>
              <w:widowControl w:val="0"/>
              <w:jc w:val="center"/>
              <w:rPr>
                <w:color w:val="auto"/>
              </w:rPr>
            </w:pPr>
          </w:p>
        </w:tc>
        <w:tc>
          <w:tcPr>
            <w:tcW w:w="462" w:type="pct"/>
            <w:shd w:val="clear" w:color="auto" w:fill="auto"/>
            <w:vAlign w:val="center"/>
          </w:tcPr>
          <w:p>
            <w:pPr>
              <w:widowControl w:val="0"/>
              <w:jc w:val="center"/>
              <w:rPr>
                <w:color w:val="auto"/>
              </w:rPr>
            </w:pPr>
            <w:r>
              <w:rPr>
                <w:rFonts w:hint="eastAsia"/>
                <w:color w:val="auto"/>
              </w:rPr>
              <w:t>28.12</w:t>
            </w:r>
          </w:p>
        </w:tc>
        <w:tc>
          <w:tcPr>
            <w:tcW w:w="387" w:type="pct"/>
            <w:shd w:val="clear" w:color="auto" w:fill="auto"/>
            <w:vAlign w:val="center"/>
          </w:tcPr>
          <w:p>
            <w:pPr>
              <w:widowControl w:val="0"/>
              <w:jc w:val="center"/>
              <w:rPr>
                <w:color w:val="auto"/>
              </w:rPr>
            </w:pPr>
            <w:r>
              <w:rPr>
                <w:rFonts w:hint="eastAsia"/>
                <w:color w:val="auto"/>
              </w:rPr>
              <w:t>0.0906</w:t>
            </w:r>
          </w:p>
        </w:tc>
        <w:tc>
          <w:tcPr>
            <w:tcW w:w="298" w:type="pct"/>
            <w:shd w:val="clear" w:color="auto" w:fill="auto"/>
            <w:vAlign w:val="center"/>
          </w:tcPr>
          <w:p>
            <w:pPr>
              <w:widowControl w:val="0"/>
              <w:jc w:val="center"/>
              <w:rPr>
                <w:color w:val="auto"/>
              </w:rPr>
            </w:pPr>
            <w:r>
              <w:rPr>
                <w:rFonts w:hint="eastAsia"/>
                <w:color w:val="auto"/>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00" w:type="pct"/>
            <w:gridSpan w:val="14"/>
            <w:shd w:val="clear" w:color="auto" w:fill="auto"/>
            <w:vAlign w:val="center"/>
          </w:tcPr>
          <w:p>
            <w:pPr>
              <w:widowControl w:val="0"/>
              <w:rPr>
                <w:b/>
                <w:color w:val="auto"/>
              </w:rPr>
            </w:pPr>
            <w:r>
              <w:rPr>
                <w:rFonts w:hint="eastAsia"/>
                <w:b/>
                <w:color w:val="auto"/>
              </w:rPr>
              <w:t>每年11月</w:t>
            </w:r>
            <w:r>
              <w:rPr>
                <w:rFonts w:hint="eastAsia"/>
                <w:b/>
                <w:color w:val="auto"/>
                <w:lang w:eastAsia="zh-CN"/>
              </w:rPr>
              <w:t>～</w:t>
            </w:r>
            <w:r>
              <w:rPr>
                <w:rFonts w:hint="eastAsia"/>
                <w:b/>
                <w:color w:val="auto"/>
              </w:rPr>
              <w:t>次年</w:t>
            </w:r>
            <w:r>
              <w:rPr>
                <w:rFonts w:hint="eastAsia"/>
                <w:b/>
                <w:color w:val="auto"/>
                <w:lang w:val="en-US" w:eastAsia="zh-CN"/>
              </w:rPr>
              <w:t>2</w:t>
            </w:r>
            <w:r>
              <w:rPr>
                <w:rFonts w:hint="eastAsia"/>
                <w:b/>
                <w:color w:val="auto"/>
              </w:rPr>
              <w:t>月份</w:t>
            </w:r>
            <w:r>
              <w:rPr>
                <w:rFonts w:hint="eastAsia"/>
                <w:b/>
                <w:color w:val="auto"/>
                <w:lang w:val="en-US" w:eastAsia="zh-CN"/>
              </w:rPr>
              <w:t>2</w:t>
            </w:r>
            <w:r>
              <w:rPr>
                <w:rFonts w:hint="eastAsia"/>
                <w:b/>
                <w:color w:val="auto"/>
              </w:rPr>
              <w:t>台锅炉同时运行，</w:t>
            </w:r>
            <w:r>
              <w:rPr>
                <w:rFonts w:hint="eastAsia"/>
                <w:b/>
                <w:color w:val="auto"/>
                <w:lang w:val="en-US" w:eastAsia="zh-CN"/>
              </w:rPr>
              <w:t>3</w:t>
            </w:r>
            <w:r>
              <w:rPr>
                <w:rFonts w:hint="eastAsia"/>
                <w:b/>
                <w:color w:val="auto"/>
              </w:rPr>
              <w:t>月</w:t>
            </w:r>
            <w:r>
              <w:rPr>
                <w:rFonts w:hint="eastAsia"/>
                <w:b/>
                <w:color w:val="auto"/>
                <w:lang w:eastAsia="zh-CN"/>
              </w:rPr>
              <w:t>～</w:t>
            </w:r>
            <w:r>
              <w:rPr>
                <w:rFonts w:hint="eastAsia"/>
                <w:b/>
                <w:color w:val="auto"/>
              </w:rPr>
              <w:t>10月仅6t/h锅炉运行</w:t>
            </w:r>
          </w:p>
        </w:tc>
      </w:tr>
    </w:tbl>
    <w:p>
      <w:pPr>
        <w:autoSpaceDE w:val="0"/>
        <w:autoSpaceDN w:val="0"/>
        <w:adjustRightInd w:val="0"/>
        <w:snapToGrid w:val="0"/>
        <w:spacing w:line="360" w:lineRule="auto"/>
        <w:rPr>
          <w:b/>
          <w:color w:val="auto"/>
        </w:rPr>
        <w:sectPr>
          <w:pgSz w:w="16840" w:h="11907" w:orient="landscape"/>
          <w:pgMar w:top="1800" w:right="1440" w:bottom="1800" w:left="1440" w:header="1134" w:footer="1029" w:gutter="0"/>
          <w:cols w:space="720" w:num="1"/>
          <w:docGrid w:linePitch="286" w:charSpace="0"/>
        </w:sectPr>
      </w:pPr>
    </w:p>
    <w:p>
      <w:pPr>
        <w:pStyle w:val="288"/>
        <w:adjustRightInd w:val="0"/>
        <w:snapToGrid w:val="0"/>
        <w:spacing w:line="360" w:lineRule="auto"/>
        <w:ind w:firstLine="480" w:firstLineChars="200"/>
        <w:rPr>
          <w:rFonts w:hint="eastAsia" w:ascii="Times New Roman" w:hAnsi="Times New Roman" w:eastAsia="宋体"/>
          <w:color w:val="auto"/>
          <w:kern w:val="21"/>
          <w:sz w:val="24"/>
          <w:szCs w:val="24"/>
          <w:vertAlign w:val="baseline"/>
          <w:lang w:eastAsia="zh-CN"/>
        </w:rPr>
      </w:pPr>
      <w:r>
        <w:rPr>
          <w:rFonts w:ascii="Times New Roman" w:hAnsi="Times New Roman"/>
          <w:bCs/>
          <w:snapToGrid w:val="0"/>
          <w:color w:val="auto"/>
          <w:kern w:val="21"/>
          <w:sz w:val="24"/>
        </w:rPr>
        <w:t>由上表可知，本项目燃气锅炉污染物排放</w:t>
      </w:r>
      <w:r>
        <w:rPr>
          <w:rFonts w:hint="eastAsia" w:ascii="Times New Roman" w:hAnsi="Times New Roman"/>
          <w:bCs/>
          <w:snapToGrid w:val="0"/>
          <w:color w:val="auto"/>
          <w:kern w:val="21"/>
          <w:sz w:val="24"/>
          <w:lang w:eastAsia="zh-CN"/>
        </w:rPr>
        <w:t>浓度</w:t>
      </w:r>
      <w:r>
        <w:rPr>
          <w:rFonts w:ascii="Times New Roman" w:hAnsi="Times New Roman"/>
          <w:bCs/>
          <w:snapToGrid w:val="0"/>
          <w:color w:val="auto"/>
          <w:kern w:val="21"/>
          <w:sz w:val="24"/>
        </w:rPr>
        <w:t>能够满足《锅炉大气污染物排放标准》（DB41/2089-2021）表1中在基准含氧量3.5%的条件下，颗粒物、SO</w:t>
      </w:r>
      <w:r>
        <w:rPr>
          <w:rFonts w:ascii="Times New Roman" w:hAnsi="Times New Roman"/>
          <w:bCs/>
          <w:snapToGrid w:val="0"/>
          <w:color w:val="auto"/>
          <w:kern w:val="21"/>
          <w:sz w:val="24"/>
          <w:vertAlign w:val="subscript"/>
        </w:rPr>
        <w:t>2</w:t>
      </w:r>
      <w:r>
        <w:rPr>
          <w:rFonts w:ascii="Times New Roman" w:hAnsi="Times New Roman"/>
          <w:bCs/>
          <w:snapToGrid w:val="0"/>
          <w:color w:val="auto"/>
          <w:kern w:val="21"/>
          <w:sz w:val="24"/>
        </w:rPr>
        <w:t>、NOx排放浓度分别不高于5</w:t>
      </w:r>
      <w:r>
        <w:rPr>
          <w:rFonts w:ascii="Times New Roman" w:hAnsi="Times New Roman"/>
          <w:color w:val="auto"/>
          <w:sz w:val="24"/>
        </w:rPr>
        <w:t>mg/m</w:t>
      </w:r>
      <w:r>
        <w:rPr>
          <w:rFonts w:ascii="Times New Roman" w:hAnsi="Times New Roman"/>
          <w:color w:val="auto"/>
          <w:sz w:val="24"/>
          <w:vertAlign w:val="superscript"/>
        </w:rPr>
        <w:t>3</w:t>
      </w:r>
      <w:r>
        <w:rPr>
          <w:rFonts w:ascii="Times New Roman" w:hAnsi="Times New Roman"/>
          <w:color w:val="auto"/>
          <w:sz w:val="24"/>
        </w:rPr>
        <w:t>、</w:t>
      </w:r>
      <w:r>
        <w:rPr>
          <w:rFonts w:ascii="Times New Roman" w:hAnsi="Times New Roman"/>
          <w:bCs/>
          <w:snapToGrid w:val="0"/>
          <w:color w:val="auto"/>
          <w:kern w:val="21"/>
          <w:sz w:val="24"/>
        </w:rPr>
        <w:t>10</w:t>
      </w:r>
      <w:r>
        <w:rPr>
          <w:rFonts w:ascii="Times New Roman" w:hAnsi="Times New Roman"/>
          <w:color w:val="auto"/>
          <w:sz w:val="24"/>
        </w:rPr>
        <w:t>mg/m</w:t>
      </w:r>
      <w:r>
        <w:rPr>
          <w:rFonts w:ascii="Times New Roman" w:hAnsi="Times New Roman"/>
          <w:color w:val="auto"/>
          <w:sz w:val="24"/>
          <w:vertAlign w:val="superscript"/>
        </w:rPr>
        <w:t>3</w:t>
      </w:r>
      <w:r>
        <w:rPr>
          <w:rFonts w:ascii="Times New Roman" w:hAnsi="Times New Roman"/>
          <w:color w:val="auto"/>
          <w:sz w:val="24"/>
        </w:rPr>
        <w:t>、</w:t>
      </w:r>
      <w:r>
        <w:rPr>
          <w:rFonts w:ascii="Times New Roman" w:hAnsi="Times New Roman"/>
          <w:bCs/>
          <w:snapToGrid w:val="0"/>
          <w:color w:val="auto"/>
          <w:kern w:val="21"/>
          <w:sz w:val="24"/>
        </w:rPr>
        <w:t>30</w:t>
      </w:r>
      <w:r>
        <w:rPr>
          <w:rFonts w:ascii="Times New Roman" w:hAnsi="Times New Roman"/>
          <w:color w:val="auto"/>
          <w:sz w:val="24"/>
        </w:rPr>
        <w:t>mg/m</w:t>
      </w:r>
      <w:r>
        <w:rPr>
          <w:rFonts w:ascii="Times New Roman" w:hAnsi="Times New Roman"/>
          <w:color w:val="auto"/>
          <w:sz w:val="24"/>
          <w:vertAlign w:val="superscript"/>
        </w:rPr>
        <w:t>3</w:t>
      </w:r>
      <w:r>
        <w:rPr>
          <w:rFonts w:hint="eastAsia" w:ascii="Times New Roman" w:hAnsi="Times New Roman"/>
          <w:color w:val="auto"/>
          <w:sz w:val="24"/>
          <w:vertAlign w:val="baseline"/>
          <w:lang w:eastAsia="zh-CN"/>
        </w:rPr>
        <w:t>的要求。</w:t>
      </w:r>
    </w:p>
    <w:p>
      <w:pPr>
        <w:pStyle w:val="6"/>
        <w:spacing w:before="0" w:after="0" w:line="360" w:lineRule="auto"/>
        <w:rPr>
          <w:b w:val="0"/>
          <w:color w:val="auto"/>
          <w:sz w:val="24"/>
          <w:szCs w:val="24"/>
        </w:rPr>
      </w:pPr>
      <w:r>
        <w:rPr>
          <w:b w:val="0"/>
          <w:color w:val="auto"/>
          <w:sz w:val="24"/>
          <w:szCs w:val="24"/>
        </w:rPr>
        <w:t>3.4.1.</w:t>
      </w:r>
      <w:r>
        <w:rPr>
          <w:rFonts w:hint="eastAsia"/>
          <w:b w:val="0"/>
          <w:color w:val="auto"/>
          <w:sz w:val="24"/>
          <w:szCs w:val="24"/>
        </w:rPr>
        <w:t>3污水站恶臭</w:t>
      </w:r>
    </w:p>
    <w:p>
      <w:pPr>
        <w:pStyle w:val="288"/>
        <w:adjustRightInd w:val="0"/>
        <w:snapToGrid w:val="0"/>
        <w:spacing w:line="360" w:lineRule="auto"/>
        <w:ind w:firstLine="480" w:firstLineChars="200"/>
        <w:rPr>
          <w:rFonts w:ascii="Times New Roman" w:hAnsi="Times New Roman"/>
          <w:bCs/>
          <w:snapToGrid w:val="0"/>
          <w:color w:val="auto"/>
          <w:kern w:val="21"/>
          <w:sz w:val="24"/>
        </w:rPr>
      </w:pPr>
      <w:r>
        <w:rPr>
          <w:rFonts w:ascii="Times New Roman" w:hAnsi="Times New Roman"/>
          <w:bCs/>
          <w:snapToGrid w:val="0"/>
          <w:color w:val="auto"/>
          <w:kern w:val="21"/>
          <w:sz w:val="24"/>
        </w:rPr>
        <w:t>污水处理</w:t>
      </w:r>
      <w:r>
        <w:rPr>
          <w:rFonts w:hint="eastAsia" w:ascii="Times New Roman" w:hAnsi="Times New Roman"/>
          <w:bCs/>
          <w:snapToGrid w:val="0"/>
          <w:color w:val="auto"/>
          <w:kern w:val="21"/>
          <w:sz w:val="24"/>
        </w:rPr>
        <w:t>设施生化池等</w:t>
      </w:r>
      <w:r>
        <w:rPr>
          <w:rFonts w:ascii="Times New Roman" w:hAnsi="Times New Roman"/>
          <w:bCs/>
          <w:snapToGrid w:val="0"/>
          <w:color w:val="auto"/>
          <w:kern w:val="21"/>
          <w:sz w:val="24"/>
        </w:rPr>
        <w:t>工艺单元及污泥处理单元运行过程中</w:t>
      </w:r>
      <w:r>
        <w:rPr>
          <w:rFonts w:hint="eastAsia" w:ascii="Times New Roman" w:hAnsi="Times New Roman"/>
          <w:bCs/>
          <w:snapToGrid w:val="0"/>
          <w:color w:val="auto"/>
          <w:kern w:val="21"/>
          <w:sz w:val="24"/>
        </w:rPr>
        <w:t>会</w:t>
      </w:r>
      <w:r>
        <w:rPr>
          <w:rFonts w:ascii="Times New Roman" w:hAnsi="Times New Roman"/>
          <w:bCs/>
          <w:snapToGrid w:val="0"/>
          <w:color w:val="auto"/>
          <w:kern w:val="21"/>
          <w:sz w:val="24"/>
        </w:rPr>
        <w:t>产生恶臭气体。恶臭气体主要成分为硫化氢、氨气等。</w:t>
      </w:r>
    </w:p>
    <w:p>
      <w:pPr>
        <w:pStyle w:val="288"/>
        <w:adjustRightInd w:val="0"/>
        <w:snapToGrid w:val="0"/>
        <w:spacing w:line="360" w:lineRule="auto"/>
        <w:ind w:firstLine="480" w:firstLineChars="200"/>
        <w:rPr>
          <w:rFonts w:ascii="Times New Roman" w:hAnsi="Times New Roman"/>
          <w:bCs/>
          <w:snapToGrid w:val="0"/>
          <w:color w:val="auto"/>
          <w:kern w:val="21"/>
          <w:sz w:val="24"/>
        </w:rPr>
      </w:pPr>
      <w:r>
        <w:rPr>
          <w:rFonts w:hint="eastAsia" w:ascii="Times New Roman" w:hAnsi="Times New Roman"/>
          <w:bCs/>
          <w:snapToGrid w:val="0"/>
          <w:color w:val="auto"/>
          <w:kern w:val="21"/>
          <w:sz w:val="24"/>
        </w:rPr>
        <w:t>本项目</w:t>
      </w:r>
      <w:r>
        <w:rPr>
          <w:rFonts w:hint="eastAsia" w:ascii="Times New Roman" w:hAnsi="Times New Roman"/>
          <w:bCs/>
          <w:snapToGrid w:val="0"/>
          <w:color w:val="auto"/>
          <w:kern w:val="21"/>
          <w:sz w:val="24"/>
          <w:lang w:eastAsia="zh-CN"/>
        </w:rPr>
        <w:t>污水</w:t>
      </w:r>
      <w:r>
        <w:rPr>
          <w:rFonts w:hint="eastAsia" w:ascii="Times New Roman" w:hAnsi="Times New Roman"/>
          <w:bCs/>
          <w:snapToGrid w:val="0"/>
          <w:color w:val="auto"/>
          <w:kern w:val="21"/>
          <w:sz w:val="24"/>
        </w:rPr>
        <w:t>处理系统产生恶臭的环节主要为调节池、生化池和污泥脱水间等。项目引用《城市污水处理厂恶臭影响及对策分析》（王喜红 洛阳市环境保护设计研究所）中污水厂主要处理设施氨气和硫化氢产生强度</w:t>
      </w:r>
      <w:r>
        <w:rPr>
          <w:rFonts w:hint="eastAsia" w:ascii="Times New Roman" w:hAnsi="Times New Roman"/>
          <w:bCs/>
          <w:snapToGrid w:val="0"/>
          <w:color w:val="auto"/>
          <w:kern w:val="21"/>
          <w:sz w:val="24"/>
          <w:lang w:eastAsia="zh-CN"/>
        </w:rPr>
        <w:t>的相关数据分析本项目污水处理站</w:t>
      </w:r>
      <w:r>
        <w:rPr>
          <w:rFonts w:hint="eastAsia" w:ascii="Times New Roman" w:hAnsi="Times New Roman"/>
          <w:bCs/>
          <w:snapToGrid w:val="0"/>
          <w:color w:val="auto"/>
          <w:kern w:val="21"/>
          <w:sz w:val="24"/>
        </w:rPr>
        <w:t>氨气和硫化氢</w:t>
      </w:r>
      <w:r>
        <w:rPr>
          <w:rFonts w:hint="eastAsia" w:ascii="Times New Roman" w:hAnsi="Times New Roman"/>
          <w:bCs/>
          <w:snapToGrid w:val="0"/>
          <w:color w:val="auto"/>
          <w:kern w:val="21"/>
          <w:sz w:val="24"/>
          <w:lang w:eastAsia="zh-CN"/>
        </w:rPr>
        <w:t>的</w:t>
      </w:r>
      <w:r>
        <w:rPr>
          <w:rFonts w:hint="eastAsia" w:ascii="Times New Roman" w:hAnsi="Times New Roman"/>
          <w:bCs/>
          <w:snapToGrid w:val="0"/>
          <w:color w:val="auto"/>
          <w:kern w:val="21"/>
          <w:sz w:val="24"/>
        </w:rPr>
        <w:t>产生</w:t>
      </w:r>
      <w:r>
        <w:rPr>
          <w:rFonts w:hint="eastAsia" w:ascii="Times New Roman" w:hAnsi="Times New Roman"/>
          <w:bCs/>
          <w:snapToGrid w:val="0"/>
          <w:color w:val="auto"/>
          <w:kern w:val="21"/>
          <w:sz w:val="24"/>
          <w:lang w:eastAsia="zh-CN"/>
        </w:rPr>
        <w:t>量</w:t>
      </w:r>
      <w:r>
        <w:rPr>
          <w:rFonts w:hint="eastAsia" w:ascii="Times New Roman" w:hAnsi="Times New Roman"/>
          <w:bCs/>
          <w:snapToGrid w:val="0"/>
          <w:color w:val="auto"/>
          <w:kern w:val="21"/>
          <w:sz w:val="24"/>
        </w:rPr>
        <w:t>，本项目氨气和硫化氢废气产生强度见下表。</w:t>
      </w:r>
    </w:p>
    <w:p>
      <w:pPr>
        <w:adjustRightInd w:val="0"/>
        <w:snapToGrid w:val="0"/>
        <w:jc w:val="center"/>
        <w:rPr>
          <w:rFonts w:hint="eastAsia" w:ascii="黑体" w:hAnsi="黑体" w:eastAsia="黑体" w:cs="黑体"/>
          <w:color w:val="auto"/>
          <w:kern w:val="21"/>
          <w:sz w:val="24"/>
          <w:szCs w:val="24"/>
        </w:rPr>
      </w:pPr>
      <w:r>
        <w:rPr>
          <w:rFonts w:hint="eastAsia" w:ascii="黑体" w:hAnsi="黑体" w:eastAsia="黑体" w:cs="黑体"/>
          <w:color w:val="auto"/>
          <w:kern w:val="21"/>
          <w:sz w:val="24"/>
          <w:szCs w:val="24"/>
        </w:rPr>
        <w:t xml:space="preserve">表3.4-4  </w:t>
      </w:r>
      <w:r>
        <w:rPr>
          <w:rFonts w:hint="eastAsia" w:ascii="黑体" w:hAnsi="黑体" w:eastAsia="黑体" w:cs="黑体"/>
          <w:color w:val="auto"/>
          <w:kern w:val="21"/>
          <w:sz w:val="24"/>
          <w:szCs w:val="24"/>
          <w:lang w:eastAsia="zh-CN"/>
        </w:rPr>
        <w:t>本项目污水</w:t>
      </w:r>
      <w:r>
        <w:rPr>
          <w:rFonts w:hint="eastAsia" w:ascii="黑体" w:hAnsi="黑体" w:eastAsia="黑体" w:cs="黑体"/>
          <w:color w:val="auto"/>
          <w:kern w:val="21"/>
          <w:sz w:val="24"/>
          <w:szCs w:val="24"/>
        </w:rPr>
        <w:t>处理设施恶臭产生强度一览表</w:t>
      </w:r>
    </w:p>
    <w:tbl>
      <w:tblPr>
        <w:tblStyle w:val="83"/>
        <w:tblW w:w="495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49"/>
        <w:gridCol w:w="1276"/>
        <w:gridCol w:w="1578"/>
        <w:gridCol w:w="1557"/>
        <w:gridCol w:w="1509"/>
        <w:gridCol w:w="156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6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b/>
                <w:bCs w:val="0"/>
                <w:color w:val="auto"/>
                <w:sz w:val="21"/>
                <w:szCs w:val="21"/>
              </w:rPr>
            </w:pPr>
            <w:r>
              <w:rPr>
                <w:rFonts w:ascii="Times New Roman" w:hAnsi="Times New Roman" w:eastAsia="宋体"/>
                <w:b/>
                <w:bCs w:val="0"/>
                <w:color w:val="auto"/>
                <w:sz w:val="21"/>
                <w:szCs w:val="21"/>
              </w:rPr>
              <w:t>构筑物</w:t>
            </w:r>
          </w:p>
        </w:tc>
        <w:tc>
          <w:tcPr>
            <w:tcW w:w="756"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b/>
                <w:bCs w:val="0"/>
                <w:color w:val="auto"/>
                <w:sz w:val="21"/>
                <w:szCs w:val="21"/>
              </w:rPr>
            </w:pPr>
            <w:r>
              <w:rPr>
                <w:rFonts w:ascii="Times New Roman" w:hAnsi="Times New Roman" w:eastAsia="宋体"/>
                <w:b/>
                <w:bCs w:val="0"/>
                <w:color w:val="auto"/>
                <w:sz w:val="21"/>
                <w:szCs w:val="21"/>
              </w:rPr>
              <w:t>构筑物面积（m</w:t>
            </w:r>
            <w:r>
              <w:rPr>
                <w:rFonts w:ascii="Times New Roman" w:hAnsi="Times New Roman" w:eastAsia="宋体"/>
                <w:b/>
                <w:bCs w:val="0"/>
                <w:color w:val="auto"/>
                <w:sz w:val="21"/>
                <w:szCs w:val="21"/>
                <w:vertAlign w:val="superscript"/>
              </w:rPr>
              <w:t>2</w:t>
            </w:r>
            <w:r>
              <w:rPr>
                <w:rFonts w:ascii="Times New Roman" w:hAnsi="Times New Roman" w:eastAsia="宋体"/>
                <w:b/>
                <w:bCs w:val="0"/>
                <w:color w:val="auto"/>
                <w:sz w:val="21"/>
                <w:szCs w:val="21"/>
              </w:rPr>
              <w:t>）</w:t>
            </w:r>
          </w:p>
        </w:tc>
        <w:tc>
          <w:tcPr>
            <w:tcW w:w="935"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b/>
                <w:bCs w:val="0"/>
                <w:color w:val="auto"/>
                <w:sz w:val="21"/>
                <w:szCs w:val="21"/>
                <w:u w:val="none"/>
              </w:rPr>
            </w:pPr>
            <w:r>
              <w:rPr>
                <w:rFonts w:hint="eastAsia" w:ascii="Times New Roman" w:hAnsi="Times New Roman"/>
                <w:b/>
                <w:bCs/>
                <w:snapToGrid w:val="0"/>
                <w:color w:val="auto"/>
                <w:kern w:val="21"/>
                <w:sz w:val="24"/>
                <w:u w:val="none"/>
              </w:rPr>
              <w:t>NH</w:t>
            </w:r>
            <w:r>
              <w:rPr>
                <w:rFonts w:hint="eastAsia" w:ascii="Times New Roman" w:hAnsi="Times New Roman"/>
                <w:b/>
                <w:bCs/>
                <w:snapToGrid w:val="0"/>
                <w:color w:val="auto"/>
                <w:kern w:val="21"/>
                <w:sz w:val="24"/>
                <w:u w:val="none"/>
                <w:vertAlign w:val="subscript"/>
              </w:rPr>
              <w:t>3</w:t>
            </w:r>
            <w:r>
              <w:rPr>
                <w:rFonts w:ascii="Times New Roman" w:hAnsi="Times New Roman" w:eastAsia="宋体"/>
                <w:b/>
                <w:bCs w:val="0"/>
                <w:color w:val="auto"/>
                <w:sz w:val="21"/>
                <w:szCs w:val="21"/>
                <w:u w:val="none"/>
              </w:rPr>
              <w:t>产生强度（mg/s·m</w:t>
            </w:r>
            <w:r>
              <w:rPr>
                <w:rFonts w:ascii="Times New Roman" w:hAnsi="Times New Roman" w:eastAsia="宋体"/>
                <w:b/>
                <w:bCs w:val="0"/>
                <w:color w:val="auto"/>
                <w:sz w:val="21"/>
                <w:szCs w:val="21"/>
                <w:u w:val="none"/>
                <w:vertAlign w:val="superscript"/>
              </w:rPr>
              <w:t>2</w:t>
            </w:r>
            <w:r>
              <w:rPr>
                <w:rFonts w:ascii="Times New Roman" w:hAnsi="Times New Roman" w:eastAsia="宋体"/>
                <w:b/>
                <w:bCs w:val="0"/>
                <w:color w:val="auto"/>
                <w:sz w:val="21"/>
                <w:szCs w:val="21"/>
                <w:u w:val="none"/>
              </w:rPr>
              <w:t>）</w:t>
            </w:r>
          </w:p>
        </w:tc>
        <w:tc>
          <w:tcPr>
            <w:tcW w:w="92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b/>
                <w:bCs w:val="0"/>
                <w:color w:val="auto"/>
                <w:sz w:val="21"/>
                <w:szCs w:val="21"/>
                <w:u w:val="none"/>
              </w:rPr>
            </w:pPr>
            <w:r>
              <w:rPr>
                <w:rFonts w:hint="eastAsia" w:ascii="Times New Roman" w:hAnsi="Times New Roman"/>
                <w:b/>
                <w:bCs/>
                <w:snapToGrid w:val="0"/>
                <w:color w:val="auto"/>
                <w:kern w:val="21"/>
                <w:sz w:val="24"/>
                <w:u w:val="none"/>
              </w:rPr>
              <w:t>NH</w:t>
            </w:r>
            <w:r>
              <w:rPr>
                <w:rFonts w:hint="eastAsia" w:ascii="Times New Roman" w:hAnsi="Times New Roman"/>
                <w:b/>
                <w:bCs/>
                <w:snapToGrid w:val="0"/>
                <w:color w:val="auto"/>
                <w:kern w:val="21"/>
                <w:sz w:val="24"/>
                <w:u w:val="none"/>
                <w:vertAlign w:val="subscript"/>
              </w:rPr>
              <w:t>3</w:t>
            </w:r>
            <w:r>
              <w:rPr>
                <w:rFonts w:ascii="Times New Roman" w:hAnsi="Times New Roman" w:eastAsia="宋体"/>
                <w:b/>
                <w:bCs w:val="0"/>
                <w:color w:val="auto"/>
                <w:sz w:val="21"/>
                <w:szCs w:val="21"/>
                <w:u w:val="none"/>
              </w:rPr>
              <w:t>产生速率（kg/h）</w:t>
            </w:r>
          </w:p>
        </w:tc>
        <w:tc>
          <w:tcPr>
            <w:tcW w:w="894"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b/>
                <w:bCs w:val="0"/>
                <w:color w:val="auto"/>
                <w:sz w:val="21"/>
                <w:szCs w:val="21"/>
                <w:u w:val="none"/>
              </w:rPr>
            </w:pPr>
            <w:r>
              <w:rPr>
                <w:rFonts w:hint="eastAsia" w:ascii="Times New Roman" w:hAnsi="Times New Roman"/>
                <w:b/>
                <w:bCs/>
                <w:snapToGrid w:val="0"/>
                <w:color w:val="auto"/>
                <w:kern w:val="21"/>
                <w:sz w:val="24"/>
                <w:u w:val="none"/>
              </w:rPr>
              <w:t>H</w:t>
            </w:r>
            <w:r>
              <w:rPr>
                <w:rFonts w:hint="eastAsia" w:ascii="Times New Roman" w:hAnsi="Times New Roman"/>
                <w:b/>
                <w:bCs/>
                <w:snapToGrid w:val="0"/>
                <w:color w:val="auto"/>
                <w:kern w:val="21"/>
                <w:sz w:val="24"/>
                <w:u w:val="none"/>
                <w:vertAlign w:val="subscript"/>
              </w:rPr>
              <w:t>2</w:t>
            </w:r>
            <w:r>
              <w:rPr>
                <w:rFonts w:hint="eastAsia" w:ascii="Times New Roman" w:hAnsi="Times New Roman"/>
                <w:b/>
                <w:bCs/>
                <w:snapToGrid w:val="0"/>
                <w:color w:val="auto"/>
                <w:kern w:val="21"/>
                <w:sz w:val="24"/>
                <w:u w:val="none"/>
              </w:rPr>
              <w:t>S</w:t>
            </w:r>
            <w:r>
              <w:rPr>
                <w:rFonts w:ascii="Times New Roman" w:hAnsi="Times New Roman" w:eastAsia="宋体"/>
                <w:b/>
                <w:bCs w:val="0"/>
                <w:color w:val="auto"/>
                <w:sz w:val="21"/>
                <w:szCs w:val="21"/>
                <w:u w:val="none"/>
              </w:rPr>
              <w:t>产生强度（mg/s·m</w:t>
            </w:r>
            <w:r>
              <w:rPr>
                <w:rFonts w:ascii="Times New Roman" w:hAnsi="Times New Roman" w:eastAsia="宋体"/>
                <w:b/>
                <w:bCs w:val="0"/>
                <w:color w:val="auto"/>
                <w:sz w:val="21"/>
                <w:szCs w:val="21"/>
                <w:u w:val="none"/>
                <w:vertAlign w:val="superscript"/>
              </w:rPr>
              <w:t>2</w:t>
            </w:r>
            <w:r>
              <w:rPr>
                <w:rFonts w:ascii="Times New Roman" w:hAnsi="Times New Roman" w:eastAsia="宋体"/>
                <w:b/>
                <w:bCs w:val="0"/>
                <w:color w:val="auto"/>
                <w:sz w:val="21"/>
                <w:szCs w:val="21"/>
                <w:u w:val="none"/>
              </w:rPr>
              <w:t>）</w:t>
            </w:r>
          </w:p>
        </w:tc>
        <w:tc>
          <w:tcPr>
            <w:tcW w:w="929"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b/>
                <w:bCs w:val="0"/>
                <w:color w:val="auto"/>
                <w:sz w:val="21"/>
                <w:szCs w:val="21"/>
                <w:u w:val="none"/>
              </w:rPr>
            </w:pPr>
            <w:r>
              <w:rPr>
                <w:rFonts w:hint="eastAsia" w:ascii="Times New Roman" w:hAnsi="Times New Roman"/>
                <w:b/>
                <w:bCs/>
                <w:snapToGrid w:val="0"/>
                <w:color w:val="auto"/>
                <w:kern w:val="21"/>
                <w:sz w:val="24"/>
                <w:u w:val="none"/>
              </w:rPr>
              <w:t>H</w:t>
            </w:r>
            <w:r>
              <w:rPr>
                <w:rFonts w:hint="eastAsia" w:ascii="Times New Roman" w:hAnsi="Times New Roman"/>
                <w:b/>
                <w:bCs/>
                <w:snapToGrid w:val="0"/>
                <w:color w:val="auto"/>
                <w:kern w:val="21"/>
                <w:sz w:val="24"/>
                <w:u w:val="none"/>
                <w:vertAlign w:val="subscript"/>
              </w:rPr>
              <w:t>2</w:t>
            </w:r>
            <w:r>
              <w:rPr>
                <w:rFonts w:hint="eastAsia" w:ascii="Times New Roman" w:hAnsi="Times New Roman"/>
                <w:b/>
                <w:bCs/>
                <w:snapToGrid w:val="0"/>
                <w:color w:val="auto"/>
                <w:kern w:val="21"/>
                <w:sz w:val="24"/>
                <w:u w:val="none"/>
              </w:rPr>
              <w:t>S</w:t>
            </w:r>
            <w:r>
              <w:rPr>
                <w:rFonts w:ascii="Times New Roman" w:hAnsi="Times New Roman" w:eastAsia="宋体"/>
                <w:b/>
                <w:bCs w:val="0"/>
                <w:color w:val="auto"/>
                <w:sz w:val="21"/>
                <w:szCs w:val="21"/>
                <w:u w:val="none"/>
              </w:rPr>
              <w:t>产生速率（kg/h）</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6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调节池</w:t>
            </w:r>
          </w:p>
        </w:tc>
        <w:tc>
          <w:tcPr>
            <w:tcW w:w="756"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121</w:t>
            </w:r>
          </w:p>
        </w:tc>
        <w:tc>
          <w:tcPr>
            <w:tcW w:w="935"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0.610</w:t>
            </w:r>
          </w:p>
        </w:tc>
        <w:tc>
          <w:tcPr>
            <w:tcW w:w="92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0.266</w:t>
            </w:r>
          </w:p>
        </w:tc>
        <w:tc>
          <w:tcPr>
            <w:tcW w:w="894"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1.068×10</w:t>
            </w:r>
            <w:r>
              <w:rPr>
                <w:rFonts w:ascii="Times New Roman" w:hAnsi="Times New Roman" w:eastAsia="宋体"/>
                <w:color w:val="auto"/>
                <w:sz w:val="21"/>
                <w:szCs w:val="21"/>
                <w:vertAlign w:val="superscript"/>
              </w:rPr>
              <w:t>-3</w:t>
            </w:r>
          </w:p>
        </w:tc>
        <w:tc>
          <w:tcPr>
            <w:tcW w:w="929"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4.65</w:t>
            </w:r>
            <w:r>
              <w:rPr>
                <w:rFonts w:ascii="Times New Roman" w:hAnsi="Times New Roman" w:eastAsia="宋体"/>
                <w:color w:val="auto"/>
                <w:sz w:val="21"/>
                <w:szCs w:val="21"/>
              </w:rPr>
              <w:t>×10</w:t>
            </w:r>
            <w:r>
              <w:rPr>
                <w:rFonts w:ascii="Times New Roman" w:hAnsi="Times New Roman" w:eastAsia="宋体"/>
                <w:color w:val="auto"/>
                <w:sz w:val="21"/>
                <w:szCs w:val="21"/>
                <w:vertAlign w:val="superscript"/>
              </w:rPr>
              <w:t>-</w:t>
            </w:r>
            <w:r>
              <w:rPr>
                <w:rFonts w:hint="eastAsia" w:ascii="Times New Roman" w:hAnsi="Times New Roman" w:eastAsia="宋体"/>
                <w:color w:val="auto"/>
                <w:sz w:val="21"/>
                <w:szCs w:val="21"/>
                <w:vertAlign w:val="superscript"/>
              </w:rPr>
              <w:t>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6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生化池</w:t>
            </w:r>
          </w:p>
        </w:tc>
        <w:tc>
          <w:tcPr>
            <w:tcW w:w="7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jc w:val="center"/>
              <w:textAlignment w:val="auto"/>
              <w:rPr>
                <w:bCs/>
                <w:color w:val="auto"/>
              </w:rPr>
            </w:pPr>
            <w:r>
              <w:rPr>
                <w:rFonts w:hint="eastAsia"/>
                <w:bCs/>
                <w:color w:val="auto"/>
              </w:rPr>
              <w:t>119</w:t>
            </w:r>
          </w:p>
        </w:tc>
        <w:tc>
          <w:tcPr>
            <w:tcW w:w="935"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0.0049</w:t>
            </w:r>
          </w:p>
        </w:tc>
        <w:tc>
          <w:tcPr>
            <w:tcW w:w="92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2.10</w:t>
            </w:r>
            <w:r>
              <w:rPr>
                <w:rFonts w:ascii="Times New Roman" w:hAnsi="Times New Roman" w:eastAsia="宋体"/>
                <w:color w:val="auto"/>
                <w:sz w:val="21"/>
                <w:szCs w:val="21"/>
              </w:rPr>
              <w:t>×10</w:t>
            </w:r>
            <w:r>
              <w:rPr>
                <w:rFonts w:ascii="Times New Roman" w:hAnsi="Times New Roman" w:eastAsia="宋体"/>
                <w:color w:val="auto"/>
                <w:sz w:val="21"/>
                <w:szCs w:val="21"/>
                <w:vertAlign w:val="superscript"/>
              </w:rPr>
              <w:t>-</w:t>
            </w:r>
            <w:r>
              <w:rPr>
                <w:rFonts w:hint="eastAsia" w:ascii="Times New Roman" w:hAnsi="Times New Roman" w:eastAsia="宋体"/>
                <w:color w:val="auto"/>
                <w:sz w:val="21"/>
                <w:szCs w:val="21"/>
                <w:vertAlign w:val="superscript"/>
              </w:rPr>
              <w:t>3</w:t>
            </w:r>
          </w:p>
        </w:tc>
        <w:tc>
          <w:tcPr>
            <w:tcW w:w="894"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0.26×10</w:t>
            </w:r>
            <w:r>
              <w:rPr>
                <w:rFonts w:ascii="Times New Roman" w:hAnsi="Times New Roman" w:eastAsia="宋体"/>
                <w:color w:val="auto"/>
                <w:sz w:val="21"/>
                <w:szCs w:val="21"/>
                <w:vertAlign w:val="superscript"/>
              </w:rPr>
              <w:t>-3</w:t>
            </w:r>
          </w:p>
        </w:tc>
        <w:tc>
          <w:tcPr>
            <w:tcW w:w="929"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1.11</w:t>
            </w:r>
            <w:r>
              <w:rPr>
                <w:rFonts w:ascii="Times New Roman" w:hAnsi="Times New Roman" w:eastAsia="宋体"/>
                <w:color w:val="auto"/>
                <w:sz w:val="21"/>
                <w:szCs w:val="21"/>
              </w:rPr>
              <w:t>×10</w:t>
            </w:r>
            <w:r>
              <w:rPr>
                <w:rFonts w:ascii="Times New Roman" w:hAnsi="Times New Roman" w:eastAsia="宋体"/>
                <w:color w:val="auto"/>
                <w:sz w:val="21"/>
                <w:szCs w:val="21"/>
                <w:vertAlign w:val="superscript"/>
              </w:rPr>
              <w:t>-</w:t>
            </w:r>
            <w:r>
              <w:rPr>
                <w:rFonts w:hint="eastAsia" w:ascii="Times New Roman" w:hAnsi="Times New Roman" w:eastAsia="宋体"/>
                <w:color w:val="auto"/>
                <w:sz w:val="21"/>
                <w:szCs w:val="21"/>
                <w:vertAlign w:val="superscript"/>
              </w:rPr>
              <w:t>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56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污泥储存区</w:t>
            </w:r>
          </w:p>
        </w:tc>
        <w:tc>
          <w:tcPr>
            <w:tcW w:w="7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val="0"/>
              <w:jc w:val="center"/>
              <w:textAlignment w:val="auto"/>
              <w:rPr>
                <w:bCs/>
                <w:color w:val="auto"/>
              </w:rPr>
            </w:pPr>
            <w:r>
              <w:rPr>
                <w:rFonts w:hint="eastAsia"/>
                <w:bCs/>
                <w:color w:val="auto"/>
              </w:rPr>
              <w:t>240</w:t>
            </w:r>
          </w:p>
        </w:tc>
        <w:tc>
          <w:tcPr>
            <w:tcW w:w="935"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0.103</w:t>
            </w:r>
          </w:p>
        </w:tc>
        <w:tc>
          <w:tcPr>
            <w:tcW w:w="922"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0.089</w:t>
            </w:r>
          </w:p>
        </w:tc>
        <w:tc>
          <w:tcPr>
            <w:tcW w:w="894"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ascii="Times New Roman" w:hAnsi="Times New Roman" w:eastAsia="宋体"/>
                <w:color w:val="auto"/>
                <w:sz w:val="21"/>
                <w:szCs w:val="21"/>
              </w:rPr>
              <w:t>0.03×10</w:t>
            </w:r>
            <w:r>
              <w:rPr>
                <w:rFonts w:ascii="Times New Roman" w:hAnsi="Times New Roman" w:eastAsia="宋体"/>
                <w:color w:val="auto"/>
                <w:sz w:val="21"/>
                <w:szCs w:val="21"/>
                <w:vertAlign w:val="superscript"/>
              </w:rPr>
              <w:t>-3</w:t>
            </w:r>
          </w:p>
        </w:tc>
        <w:tc>
          <w:tcPr>
            <w:tcW w:w="929" w:type="pct"/>
            <w:tcBorders>
              <w:tl2br w:val="nil"/>
              <w:tr2bl w:val="nil"/>
            </w:tcBorders>
            <w:vAlign w:val="center"/>
          </w:tcPr>
          <w:p>
            <w:pPr>
              <w:pStyle w:val="430"/>
              <w:keepNext w:val="0"/>
              <w:keepLines w:val="0"/>
              <w:pageBreakBefore w:val="0"/>
              <w:kinsoku/>
              <w:wordWrap/>
              <w:overflowPunct/>
              <w:topLinePunct w:val="0"/>
              <w:autoSpaceDE/>
              <w:autoSpaceDN/>
              <w:bidi w:val="0"/>
              <w:adjustRightInd w:val="0"/>
              <w:snapToGrid w:val="0"/>
              <w:textAlignment w:val="auto"/>
              <w:rPr>
                <w:rFonts w:ascii="Times New Roman" w:hAnsi="Times New Roman" w:eastAsia="宋体"/>
                <w:color w:val="auto"/>
                <w:sz w:val="21"/>
                <w:szCs w:val="21"/>
              </w:rPr>
            </w:pPr>
            <w:r>
              <w:rPr>
                <w:rFonts w:hint="eastAsia" w:ascii="Times New Roman" w:hAnsi="Times New Roman" w:eastAsia="宋体"/>
                <w:color w:val="auto"/>
                <w:sz w:val="21"/>
                <w:szCs w:val="21"/>
              </w:rPr>
              <w:t>2.59</w:t>
            </w:r>
            <w:r>
              <w:rPr>
                <w:rFonts w:ascii="Times New Roman" w:hAnsi="Times New Roman" w:eastAsia="宋体"/>
                <w:color w:val="auto"/>
                <w:sz w:val="21"/>
                <w:szCs w:val="21"/>
              </w:rPr>
              <w:t>×10</w:t>
            </w:r>
            <w:r>
              <w:rPr>
                <w:rFonts w:ascii="Times New Roman" w:hAnsi="Times New Roman" w:eastAsia="宋体"/>
                <w:color w:val="auto"/>
                <w:sz w:val="21"/>
                <w:szCs w:val="21"/>
                <w:vertAlign w:val="superscript"/>
              </w:rPr>
              <w:t>-</w:t>
            </w:r>
            <w:r>
              <w:rPr>
                <w:rFonts w:hint="eastAsia" w:ascii="Times New Roman" w:hAnsi="Times New Roman" w:eastAsia="宋体"/>
                <w:color w:val="auto"/>
                <w:sz w:val="21"/>
                <w:szCs w:val="21"/>
                <w:vertAlign w:val="superscript"/>
              </w:rPr>
              <w:t>5</w:t>
            </w:r>
          </w:p>
        </w:tc>
      </w:tr>
    </w:tbl>
    <w:p>
      <w:pPr>
        <w:pStyle w:val="288"/>
        <w:adjustRightInd w:val="0"/>
        <w:snapToGrid w:val="0"/>
        <w:spacing w:before="120" w:beforeLines="50" w:line="360" w:lineRule="auto"/>
        <w:ind w:firstLine="480" w:firstLineChars="200"/>
        <w:rPr>
          <w:rFonts w:ascii="Times New Roman" w:hAnsi="Times New Roman"/>
          <w:bCs/>
          <w:snapToGrid w:val="0"/>
          <w:color w:val="auto"/>
          <w:kern w:val="21"/>
          <w:sz w:val="24"/>
        </w:rPr>
      </w:pPr>
      <w:r>
        <w:rPr>
          <w:rFonts w:hint="eastAsia" w:ascii="Times New Roman" w:hAnsi="Times New Roman"/>
          <w:bCs/>
          <w:snapToGrid w:val="0"/>
          <w:color w:val="auto"/>
          <w:kern w:val="21"/>
          <w:sz w:val="24"/>
          <w:lang w:eastAsia="zh-CN"/>
        </w:rPr>
        <w:t>由上表可知，</w:t>
      </w:r>
      <w:r>
        <w:rPr>
          <w:rFonts w:hint="eastAsia" w:ascii="Times New Roman" w:hAnsi="Times New Roman"/>
          <w:bCs/>
          <w:snapToGrid w:val="0"/>
          <w:color w:val="auto"/>
          <w:kern w:val="21"/>
          <w:sz w:val="24"/>
        </w:rPr>
        <w:t>本项目恶臭气体产生速率为：NH</w:t>
      </w:r>
      <w:r>
        <w:rPr>
          <w:rFonts w:hint="eastAsia" w:ascii="Times New Roman" w:hAnsi="Times New Roman"/>
          <w:bCs/>
          <w:snapToGrid w:val="0"/>
          <w:color w:val="auto"/>
          <w:kern w:val="21"/>
          <w:sz w:val="24"/>
          <w:vertAlign w:val="subscript"/>
        </w:rPr>
        <w:t xml:space="preserve">3 </w:t>
      </w:r>
      <w:r>
        <w:rPr>
          <w:rFonts w:hint="eastAsia" w:ascii="Times New Roman" w:hAnsi="Times New Roman"/>
          <w:bCs/>
          <w:snapToGrid w:val="0"/>
          <w:color w:val="auto"/>
          <w:kern w:val="21"/>
          <w:sz w:val="24"/>
        </w:rPr>
        <w:t>0.357kg/h 、H</w:t>
      </w:r>
      <w:r>
        <w:rPr>
          <w:rFonts w:hint="eastAsia" w:ascii="Times New Roman" w:hAnsi="Times New Roman"/>
          <w:bCs/>
          <w:snapToGrid w:val="0"/>
          <w:color w:val="auto"/>
          <w:kern w:val="21"/>
          <w:sz w:val="24"/>
          <w:vertAlign w:val="subscript"/>
        </w:rPr>
        <w:t>2</w:t>
      </w:r>
      <w:r>
        <w:rPr>
          <w:rFonts w:hint="eastAsia" w:ascii="Times New Roman" w:hAnsi="Times New Roman"/>
          <w:bCs/>
          <w:snapToGrid w:val="0"/>
          <w:color w:val="auto"/>
          <w:kern w:val="21"/>
          <w:sz w:val="24"/>
        </w:rPr>
        <w:t>S 6.02×10</w:t>
      </w:r>
      <w:r>
        <w:rPr>
          <w:rFonts w:hint="eastAsia" w:ascii="Times New Roman" w:hAnsi="Times New Roman"/>
          <w:bCs/>
          <w:snapToGrid w:val="0"/>
          <w:color w:val="auto"/>
          <w:kern w:val="21"/>
          <w:sz w:val="24"/>
          <w:vertAlign w:val="superscript"/>
        </w:rPr>
        <w:t>-4</w:t>
      </w:r>
      <w:r>
        <w:rPr>
          <w:rFonts w:hint="eastAsia" w:ascii="Times New Roman" w:hAnsi="Times New Roman"/>
          <w:bCs/>
          <w:snapToGrid w:val="0"/>
          <w:color w:val="auto"/>
          <w:kern w:val="21"/>
          <w:sz w:val="24"/>
        </w:rPr>
        <w:t>kg/h。</w:t>
      </w:r>
      <w:r>
        <w:rPr>
          <w:rFonts w:ascii="Times New Roman" w:hAnsi="Times New Roman"/>
          <w:bCs/>
          <w:snapToGrid w:val="0"/>
          <w:color w:val="auto"/>
          <w:kern w:val="21"/>
          <w:sz w:val="24"/>
        </w:rPr>
        <w:t>本次评价要求</w:t>
      </w:r>
      <w:r>
        <w:rPr>
          <w:rFonts w:hint="eastAsia" w:ascii="Times New Roman" w:hAnsi="Times New Roman"/>
          <w:bCs/>
          <w:snapToGrid w:val="0"/>
          <w:color w:val="auto"/>
          <w:kern w:val="21"/>
          <w:sz w:val="24"/>
          <w:lang w:eastAsia="zh-CN"/>
        </w:rPr>
        <w:t>污水</w:t>
      </w:r>
      <w:r>
        <w:rPr>
          <w:rFonts w:hint="eastAsia" w:ascii="Times New Roman" w:hAnsi="Times New Roman"/>
          <w:bCs/>
          <w:snapToGrid w:val="0"/>
          <w:color w:val="auto"/>
          <w:kern w:val="21"/>
          <w:sz w:val="24"/>
        </w:rPr>
        <w:t>处理设施</w:t>
      </w:r>
      <w:r>
        <w:rPr>
          <w:rFonts w:ascii="Times New Roman" w:hAnsi="Times New Roman"/>
          <w:bCs/>
          <w:snapToGrid w:val="0"/>
          <w:color w:val="auto"/>
          <w:kern w:val="21"/>
          <w:sz w:val="24"/>
        </w:rPr>
        <w:t>采用除臭措施，在</w:t>
      </w:r>
      <w:r>
        <w:rPr>
          <w:rFonts w:hint="eastAsia" w:ascii="Times New Roman" w:hAnsi="Times New Roman"/>
          <w:bCs/>
          <w:snapToGrid w:val="0"/>
          <w:color w:val="auto"/>
          <w:kern w:val="21"/>
          <w:sz w:val="24"/>
        </w:rPr>
        <w:t>调节</w:t>
      </w:r>
      <w:r>
        <w:rPr>
          <w:rFonts w:ascii="Times New Roman" w:hAnsi="Times New Roman"/>
          <w:bCs/>
          <w:snapToGrid w:val="0"/>
          <w:color w:val="auto"/>
          <w:kern w:val="21"/>
          <w:sz w:val="24"/>
        </w:rPr>
        <w:t>池</w:t>
      </w:r>
      <w:r>
        <w:rPr>
          <w:rFonts w:hint="eastAsia" w:ascii="Times New Roman" w:hAnsi="Times New Roman"/>
          <w:bCs/>
          <w:snapToGrid w:val="0"/>
          <w:color w:val="auto"/>
          <w:kern w:val="21"/>
          <w:sz w:val="24"/>
        </w:rPr>
        <w:t>、生化池、二沉池、污泥池</w:t>
      </w:r>
      <w:r>
        <w:rPr>
          <w:rFonts w:ascii="Times New Roman" w:hAnsi="Times New Roman"/>
          <w:bCs/>
          <w:snapToGrid w:val="0"/>
          <w:color w:val="auto"/>
          <w:kern w:val="21"/>
          <w:sz w:val="24"/>
        </w:rPr>
        <w:t>加盖，臭气经收集后输送至生物除臭装置处理后通过</w:t>
      </w:r>
      <w:r>
        <w:rPr>
          <w:rFonts w:hint="eastAsia" w:ascii="Times New Roman" w:hAnsi="Times New Roman"/>
          <w:bCs/>
          <w:snapToGrid w:val="0"/>
          <w:color w:val="auto"/>
          <w:kern w:val="21"/>
          <w:sz w:val="24"/>
          <w:lang w:eastAsia="zh-CN"/>
        </w:rPr>
        <w:t>15m高排气筒</w:t>
      </w:r>
      <w:r>
        <w:rPr>
          <w:rFonts w:hint="eastAsia" w:ascii="Times New Roman" w:hAnsi="Times New Roman"/>
          <w:bCs/>
          <w:snapToGrid w:val="0"/>
          <w:color w:val="auto"/>
          <w:kern w:val="21"/>
          <w:sz w:val="24"/>
        </w:rPr>
        <w:t>（DA003）</w:t>
      </w:r>
      <w:r>
        <w:rPr>
          <w:rFonts w:ascii="Times New Roman" w:hAnsi="Times New Roman"/>
          <w:bCs/>
          <w:snapToGrid w:val="0"/>
          <w:color w:val="auto"/>
          <w:kern w:val="21"/>
          <w:sz w:val="24"/>
        </w:rPr>
        <w:t>外排。</w:t>
      </w:r>
    </w:p>
    <w:p>
      <w:pPr>
        <w:pStyle w:val="288"/>
        <w:adjustRightInd w:val="0"/>
        <w:snapToGrid w:val="0"/>
        <w:spacing w:line="360" w:lineRule="auto"/>
        <w:ind w:firstLine="482" w:firstLineChars="200"/>
        <w:rPr>
          <w:rFonts w:ascii="Times New Roman" w:hAnsi="Times New Roman"/>
          <w:b/>
          <w:bCs/>
          <w:snapToGrid w:val="0"/>
          <w:color w:val="auto"/>
          <w:kern w:val="21"/>
          <w:sz w:val="24"/>
          <w:u w:val="single"/>
        </w:rPr>
      </w:pPr>
      <w:r>
        <w:rPr>
          <w:rFonts w:hint="eastAsia" w:ascii="Times New Roman" w:hAnsi="Times New Roman"/>
          <w:b/>
          <w:bCs/>
          <w:snapToGrid w:val="0"/>
          <w:color w:val="auto"/>
          <w:kern w:val="21"/>
          <w:sz w:val="24"/>
          <w:u w:val="single"/>
        </w:rPr>
        <w:t>本项目</w:t>
      </w:r>
      <w:r>
        <w:rPr>
          <w:rFonts w:hint="eastAsia" w:ascii="Times New Roman" w:hAnsi="Times New Roman"/>
          <w:b/>
          <w:bCs/>
          <w:snapToGrid w:val="0"/>
          <w:color w:val="auto"/>
          <w:kern w:val="21"/>
          <w:sz w:val="24"/>
          <w:u w:val="single"/>
          <w:lang w:eastAsia="zh-CN"/>
        </w:rPr>
        <w:t>生物除臭装置</w:t>
      </w:r>
      <w:r>
        <w:rPr>
          <w:rFonts w:hint="eastAsia" w:ascii="Times New Roman" w:hAnsi="Times New Roman"/>
          <w:b/>
          <w:bCs/>
          <w:snapToGrid w:val="0"/>
          <w:color w:val="auto"/>
          <w:kern w:val="21"/>
          <w:sz w:val="24"/>
          <w:u w:val="single"/>
        </w:rPr>
        <w:t>处理风量</w:t>
      </w:r>
      <w:r>
        <w:rPr>
          <w:rFonts w:hint="eastAsia" w:ascii="Times New Roman" w:hAnsi="Times New Roman"/>
          <w:b/>
          <w:bCs/>
          <w:snapToGrid w:val="0"/>
          <w:color w:val="auto"/>
          <w:kern w:val="21"/>
          <w:sz w:val="24"/>
          <w:u w:val="single"/>
          <w:lang w:eastAsia="zh-CN"/>
        </w:rPr>
        <w:t>为</w:t>
      </w:r>
      <w:r>
        <w:rPr>
          <w:rFonts w:hint="eastAsia" w:ascii="Times New Roman" w:hAnsi="Times New Roman"/>
          <w:b/>
          <w:bCs/>
          <w:snapToGrid w:val="0"/>
          <w:color w:val="auto"/>
          <w:kern w:val="21"/>
          <w:sz w:val="24"/>
          <w:u w:val="single"/>
        </w:rPr>
        <w:t>5000m</w:t>
      </w:r>
      <w:r>
        <w:rPr>
          <w:rFonts w:hint="eastAsia" w:ascii="Times New Roman" w:hAnsi="Times New Roman"/>
          <w:b/>
          <w:bCs/>
          <w:snapToGrid w:val="0"/>
          <w:color w:val="auto"/>
          <w:kern w:val="21"/>
          <w:sz w:val="24"/>
          <w:u w:val="single"/>
          <w:vertAlign w:val="superscript"/>
        </w:rPr>
        <w:t>3</w:t>
      </w:r>
      <w:r>
        <w:rPr>
          <w:rFonts w:hint="eastAsia" w:ascii="Times New Roman" w:hAnsi="Times New Roman"/>
          <w:b/>
          <w:bCs/>
          <w:snapToGrid w:val="0"/>
          <w:color w:val="auto"/>
          <w:kern w:val="21"/>
          <w:sz w:val="24"/>
          <w:u w:val="single"/>
        </w:rPr>
        <w:t>/h，NH</w:t>
      </w:r>
      <w:r>
        <w:rPr>
          <w:rFonts w:hint="eastAsia" w:ascii="Times New Roman" w:hAnsi="Times New Roman"/>
          <w:b/>
          <w:bCs/>
          <w:snapToGrid w:val="0"/>
          <w:color w:val="auto"/>
          <w:kern w:val="21"/>
          <w:sz w:val="24"/>
          <w:u w:val="single"/>
          <w:vertAlign w:val="subscript"/>
        </w:rPr>
        <w:t>3</w:t>
      </w:r>
      <w:r>
        <w:rPr>
          <w:rFonts w:hint="eastAsia" w:ascii="Times New Roman" w:hAnsi="Times New Roman"/>
          <w:b/>
          <w:bCs/>
          <w:snapToGrid w:val="0"/>
          <w:color w:val="auto"/>
          <w:kern w:val="21"/>
          <w:sz w:val="24"/>
          <w:u w:val="single"/>
        </w:rPr>
        <w:t>和H</w:t>
      </w:r>
      <w:r>
        <w:rPr>
          <w:rFonts w:hint="eastAsia" w:ascii="Times New Roman" w:hAnsi="Times New Roman"/>
          <w:b/>
          <w:bCs/>
          <w:snapToGrid w:val="0"/>
          <w:color w:val="auto"/>
          <w:kern w:val="21"/>
          <w:sz w:val="24"/>
          <w:u w:val="single"/>
          <w:vertAlign w:val="subscript"/>
        </w:rPr>
        <w:t>2</w:t>
      </w:r>
      <w:r>
        <w:rPr>
          <w:rFonts w:hint="eastAsia" w:ascii="Times New Roman" w:hAnsi="Times New Roman"/>
          <w:b/>
          <w:bCs/>
          <w:snapToGrid w:val="0"/>
          <w:color w:val="auto"/>
          <w:kern w:val="21"/>
          <w:sz w:val="24"/>
          <w:u w:val="single"/>
        </w:rPr>
        <w:t>S的产生浓度分别为：71.4mg/m</w:t>
      </w:r>
      <w:r>
        <w:rPr>
          <w:rFonts w:hint="eastAsia" w:ascii="Times New Roman" w:hAnsi="Times New Roman"/>
          <w:b/>
          <w:bCs/>
          <w:snapToGrid w:val="0"/>
          <w:color w:val="auto"/>
          <w:kern w:val="21"/>
          <w:sz w:val="24"/>
          <w:u w:val="single"/>
          <w:vertAlign w:val="superscript"/>
        </w:rPr>
        <w:t>3</w:t>
      </w:r>
      <w:r>
        <w:rPr>
          <w:rFonts w:hint="eastAsia" w:ascii="Times New Roman" w:hAnsi="Times New Roman"/>
          <w:b/>
          <w:bCs/>
          <w:snapToGrid w:val="0"/>
          <w:color w:val="auto"/>
          <w:kern w:val="21"/>
          <w:sz w:val="24"/>
          <w:u w:val="single"/>
        </w:rPr>
        <w:t>和0.1204mg/m</w:t>
      </w:r>
      <w:r>
        <w:rPr>
          <w:rFonts w:hint="eastAsia" w:ascii="Times New Roman" w:hAnsi="Times New Roman"/>
          <w:b/>
          <w:bCs/>
          <w:snapToGrid w:val="0"/>
          <w:color w:val="auto"/>
          <w:kern w:val="21"/>
          <w:sz w:val="24"/>
          <w:u w:val="single"/>
          <w:vertAlign w:val="superscript"/>
        </w:rPr>
        <w:t>3</w:t>
      </w:r>
      <w:r>
        <w:rPr>
          <w:rFonts w:hint="eastAsia" w:ascii="Times New Roman" w:hAnsi="Times New Roman"/>
          <w:b/>
          <w:bCs/>
          <w:snapToGrid w:val="0"/>
          <w:color w:val="auto"/>
          <w:kern w:val="21"/>
          <w:sz w:val="24"/>
          <w:u w:val="single"/>
        </w:rPr>
        <w:t>。一般生物除臭装置除臭效率约为80%。但是考虑到本项目污染物产生量较小，初始浓度较低，保守考虑，NH</w:t>
      </w:r>
      <w:r>
        <w:rPr>
          <w:rFonts w:hint="eastAsia" w:ascii="Times New Roman" w:hAnsi="Times New Roman"/>
          <w:b/>
          <w:bCs/>
          <w:snapToGrid w:val="0"/>
          <w:color w:val="auto"/>
          <w:kern w:val="21"/>
          <w:sz w:val="24"/>
          <w:u w:val="single"/>
          <w:vertAlign w:val="subscript"/>
        </w:rPr>
        <w:t>3</w:t>
      </w:r>
      <w:r>
        <w:rPr>
          <w:rFonts w:hint="eastAsia" w:ascii="Times New Roman" w:hAnsi="Times New Roman"/>
          <w:b/>
          <w:bCs/>
          <w:snapToGrid w:val="0"/>
          <w:color w:val="auto"/>
          <w:kern w:val="21"/>
          <w:sz w:val="24"/>
          <w:u w:val="single"/>
        </w:rPr>
        <w:t>的去除效率取80%，H</w:t>
      </w:r>
      <w:r>
        <w:rPr>
          <w:rFonts w:hint="eastAsia" w:ascii="Times New Roman" w:hAnsi="Times New Roman"/>
          <w:b/>
          <w:bCs/>
          <w:snapToGrid w:val="0"/>
          <w:color w:val="auto"/>
          <w:kern w:val="21"/>
          <w:sz w:val="24"/>
          <w:u w:val="single"/>
          <w:vertAlign w:val="subscript"/>
        </w:rPr>
        <w:t>2</w:t>
      </w:r>
      <w:r>
        <w:rPr>
          <w:rFonts w:hint="eastAsia" w:ascii="Times New Roman" w:hAnsi="Times New Roman"/>
          <w:b/>
          <w:bCs/>
          <w:snapToGrid w:val="0"/>
          <w:color w:val="auto"/>
          <w:kern w:val="21"/>
          <w:sz w:val="24"/>
          <w:u w:val="single"/>
        </w:rPr>
        <w:t>S的去除效率取15%。则本项目污水</w:t>
      </w:r>
      <w:r>
        <w:rPr>
          <w:rFonts w:hint="eastAsia" w:ascii="Times New Roman" w:hAnsi="Times New Roman"/>
          <w:b/>
          <w:bCs/>
          <w:snapToGrid w:val="0"/>
          <w:color w:val="auto"/>
          <w:kern w:val="21"/>
          <w:sz w:val="24"/>
          <w:u w:val="single"/>
          <w:lang w:eastAsia="zh-CN"/>
        </w:rPr>
        <w:t>处理站</w:t>
      </w:r>
      <w:r>
        <w:rPr>
          <w:rFonts w:hint="eastAsia" w:ascii="Times New Roman" w:hAnsi="Times New Roman"/>
          <w:b/>
          <w:bCs/>
          <w:snapToGrid w:val="0"/>
          <w:color w:val="auto"/>
          <w:kern w:val="21"/>
          <w:sz w:val="24"/>
          <w:u w:val="single"/>
        </w:rPr>
        <w:t>恶臭采用生物除臭装置处理后</w:t>
      </w:r>
      <w:r>
        <w:rPr>
          <w:rFonts w:hint="eastAsia" w:ascii="Times New Roman" w:hAnsi="Times New Roman"/>
          <w:b/>
          <w:bCs/>
          <w:snapToGrid w:val="0"/>
          <w:color w:val="auto"/>
          <w:kern w:val="21"/>
          <w:sz w:val="24"/>
          <w:u w:val="single"/>
          <w:lang w:eastAsia="zh-CN"/>
        </w:rPr>
        <w:t>，</w:t>
      </w:r>
      <w:r>
        <w:rPr>
          <w:rFonts w:hint="eastAsia" w:ascii="Times New Roman" w:hAnsi="Times New Roman"/>
          <w:b/>
          <w:bCs/>
          <w:snapToGrid w:val="0"/>
          <w:color w:val="auto"/>
          <w:kern w:val="21"/>
          <w:sz w:val="24"/>
          <w:u w:val="single"/>
        </w:rPr>
        <w:t>NH</w:t>
      </w:r>
      <w:r>
        <w:rPr>
          <w:rFonts w:hint="eastAsia" w:ascii="Times New Roman" w:hAnsi="Times New Roman"/>
          <w:b/>
          <w:bCs/>
          <w:snapToGrid w:val="0"/>
          <w:color w:val="auto"/>
          <w:kern w:val="21"/>
          <w:sz w:val="24"/>
          <w:u w:val="single"/>
          <w:vertAlign w:val="subscript"/>
        </w:rPr>
        <w:t>3</w:t>
      </w:r>
      <w:r>
        <w:rPr>
          <w:rFonts w:hint="eastAsia" w:ascii="Times New Roman" w:hAnsi="Times New Roman"/>
          <w:b/>
          <w:bCs/>
          <w:snapToGrid w:val="0"/>
          <w:color w:val="auto"/>
          <w:kern w:val="21"/>
          <w:sz w:val="24"/>
          <w:u w:val="single"/>
        </w:rPr>
        <w:t>排放量0.0714kg/h、排放浓度14.28mg/m</w:t>
      </w:r>
      <w:r>
        <w:rPr>
          <w:rFonts w:hint="eastAsia" w:ascii="Times New Roman" w:hAnsi="Times New Roman"/>
          <w:b/>
          <w:bCs/>
          <w:snapToGrid w:val="0"/>
          <w:color w:val="auto"/>
          <w:kern w:val="21"/>
          <w:sz w:val="24"/>
          <w:u w:val="single"/>
          <w:vertAlign w:val="superscript"/>
        </w:rPr>
        <w:t>3</w:t>
      </w:r>
      <w:r>
        <w:rPr>
          <w:rFonts w:hint="eastAsia" w:ascii="Times New Roman" w:hAnsi="Times New Roman"/>
          <w:b/>
          <w:bCs/>
          <w:snapToGrid w:val="0"/>
          <w:color w:val="auto"/>
          <w:kern w:val="21"/>
          <w:sz w:val="24"/>
          <w:u w:val="single"/>
        </w:rPr>
        <w:t>；H</w:t>
      </w:r>
      <w:r>
        <w:rPr>
          <w:rFonts w:hint="eastAsia" w:ascii="Times New Roman" w:hAnsi="Times New Roman"/>
          <w:b/>
          <w:bCs/>
          <w:snapToGrid w:val="0"/>
          <w:color w:val="auto"/>
          <w:kern w:val="21"/>
          <w:sz w:val="24"/>
          <w:u w:val="single"/>
          <w:vertAlign w:val="subscript"/>
        </w:rPr>
        <w:t>2</w:t>
      </w:r>
      <w:r>
        <w:rPr>
          <w:rFonts w:hint="eastAsia" w:ascii="Times New Roman" w:hAnsi="Times New Roman"/>
          <w:b/>
          <w:bCs/>
          <w:snapToGrid w:val="0"/>
          <w:color w:val="auto"/>
          <w:kern w:val="21"/>
          <w:sz w:val="24"/>
          <w:u w:val="single"/>
        </w:rPr>
        <w:t>S</w:t>
      </w:r>
      <w:r>
        <w:rPr>
          <w:rFonts w:hint="eastAsia" w:ascii="Times New Roman" w:hAnsi="Times New Roman"/>
          <w:b/>
          <w:bCs/>
          <w:snapToGrid w:val="0"/>
          <w:color w:val="auto"/>
          <w:kern w:val="21"/>
          <w:sz w:val="24"/>
          <w:u w:val="single"/>
          <w:lang w:eastAsia="zh-CN"/>
        </w:rPr>
        <w:t>的排放量</w:t>
      </w:r>
      <w:r>
        <w:rPr>
          <w:rFonts w:hint="eastAsia" w:ascii="Times New Roman" w:hAnsi="Times New Roman"/>
          <w:b/>
          <w:bCs/>
          <w:snapToGrid w:val="0"/>
          <w:color w:val="auto"/>
          <w:kern w:val="21"/>
          <w:sz w:val="24"/>
          <w:u w:val="single"/>
        </w:rPr>
        <w:t>5.117×10</w:t>
      </w:r>
      <w:r>
        <w:rPr>
          <w:rFonts w:hint="eastAsia" w:ascii="Times New Roman" w:hAnsi="Times New Roman"/>
          <w:b/>
          <w:bCs/>
          <w:snapToGrid w:val="0"/>
          <w:color w:val="auto"/>
          <w:kern w:val="21"/>
          <w:sz w:val="24"/>
          <w:u w:val="single"/>
          <w:vertAlign w:val="superscript"/>
        </w:rPr>
        <w:t>-4</w:t>
      </w:r>
      <w:r>
        <w:rPr>
          <w:rFonts w:hint="eastAsia" w:ascii="Times New Roman" w:hAnsi="Times New Roman"/>
          <w:b/>
          <w:bCs/>
          <w:snapToGrid w:val="0"/>
          <w:color w:val="auto"/>
          <w:kern w:val="21"/>
          <w:sz w:val="24"/>
          <w:u w:val="single"/>
        </w:rPr>
        <w:t>kg/h、排放浓度0.1023mg/m</w:t>
      </w:r>
      <w:r>
        <w:rPr>
          <w:rFonts w:hint="eastAsia" w:ascii="Times New Roman" w:hAnsi="Times New Roman"/>
          <w:b/>
          <w:bCs/>
          <w:snapToGrid w:val="0"/>
          <w:color w:val="auto"/>
          <w:kern w:val="21"/>
          <w:sz w:val="24"/>
          <w:u w:val="single"/>
          <w:vertAlign w:val="superscript"/>
        </w:rPr>
        <w:t>3</w:t>
      </w:r>
      <w:r>
        <w:rPr>
          <w:rFonts w:hint="eastAsia" w:ascii="Times New Roman" w:hAnsi="Times New Roman"/>
          <w:b/>
          <w:bCs/>
          <w:snapToGrid w:val="0"/>
          <w:color w:val="auto"/>
          <w:kern w:val="21"/>
          <w:sz w:val="24"/>
          <w:u w:val="single"/>
        </w:rPr>
        <w:t>。恶臭经生物除臭装置处理后经</w:t>
      </w:r>
      <w:r>
        <w:rPr>
          <w:rFonts w:hint="eastAsia" w:ascii="Times New Roman" w:hAnsi="Times New Roman"/>
          <w:b/>
          <w:bCs/>
          <w:snapToGrid w:val="0"/>
          <w:color w:val="auto"/>
          <w:kern w:val="21"/>
          <w:sz w:val="24"/>
          <w:u w:val="single"/>
          <w:lang w:eastAsia="zh-CN"/>
        </w:rPr>
        <w:t>15m高排气筒</w:t>
      </w:r>
      <w:r>
        <w:rPr>
          <w:rFonts w:hint="eastAsia" w:ascii="Times New Roman" w:hAnsi="Times New Roman"/>
          <w:b/>
          <w:bCs/>
          <w:snapToGrid w:val="0"/>
          <w:color w:val="auto"/>
          <w:kern w:val="21"/>
          <w:sz w:val="24"/>
          <w:u w:val="single"/>
        </w:rPr>
        <w:t>排放</w:t>
      </w:r>
      <w:r>
        <w:rPr>
          <w:rFonts w:hint="eastAsia" w:ascii="Times New Roman" w:hAnsi="Times New Roman"/>
          <w:b/>
          <w:bCs/>
          <w:snapToGrid w:val="0"/>
          <w:color w:val="auto"/>
          <w:kern w:val="21"/>
          <w:sz w:val="24"/>
          <w:u w:val="single"/>
          <w:lang w:eastAsia="zh-CN"/>
        </w:rPr>
        <w:t>，</w:t>
      </w:r>
      <w:r>
        <w:rPr>
          <w:rFonts w:hint="eastAsia" w:ascii="Times New Roman" w:hAnsi="Times New Roman"/>
          <w:b/>
          <w:bCs/>
          <w:snapToGrid w:val="0"/>
          <w:color w:val="auto"/>
          <w:kern w:val="21"/>
          <w:sz w:val="24"/>
          <w:u w:val="single"/>
        </w:rPr>
        <w:t>NH</w:t>
      </w:r>
      <w:r>
        <w:rPr>
          <w:rFonts w:hint="eastAsia" w:ascii="Times New Roman" w:hAnsi="Times New Roman"/>
          <w:b/>
          <w:bCs/>
          <w:snapToGrid w:val="0"/>
          <w:color w:val="auto"/>
          <w:kern w:val="21"/>
          <w:sz w:val="24"/>
          <w:u w:val="single"/>
          <w:vertAlign w:val="subscript"/>
        </w:rPr>
        <w:t>3</w:t>
      </w:r>
      <w:r>
        <w:rPr>
          <w:rFonts w:hint="eastAsia" w:ascii="Times New Roman" w:hAnsi="Times New Roman"/>
          <w:b/>
          <w:bCs/>
          <w:snapToGrid w:val="0"/>
          <w:color w:val="auto"/>
          <w:kern w:val="21"/>
          <w:sz w:val="24"/>
          <w:u w:val="single"/>
        </w:rPr>
        <w:t>、</w:t>
      </w:r>
      <w:r>
        <w:rPr>
          <w:rFonts w:hint="eastAsia" w:ascii="Times New Roman" w:hAnsi="Times New Roman"/>
          <w:b/>
          <w:bCs/>
          <w:snapToGrid w:val="0"/>
          <w:color w:val="auto"/>
          <w:kern w:val="21"/>
          <w:sz w:val="24"/>
          <w:u w:val="single"/>
          <w:lang w:eastAsia="zh-CN"/>
        </w:rPr>
        <w:t>和</w:t>
      </w:r>
      <w:r>
        <w:rPr>
          <w:rFonts w:hint="eastAsia" w:ascii="Times New Roman" w:hAnsi="Times New Roman"/>
          <w:b/>
          <w:bCs/>
          <w:snapToGrid w:val="0"/>
          <w:color w:val="auto"/>
          <w:kern w:val="21"/>
          <w:sz w:val="24"/>
          <w:u w:val="single"/>
        </w:rPr>
        <w:t>H</w:t>
      </w:r>
      <w:r>
        <w:rPr>
          <w:rFonts w:hint="eastAsia" w:ascii="Times New Roman" w:hAnsi="Times New Roman"/>
          <w:b/>
          <w:bCs/>
          <w:snapToGrid w:val="0"/>
          <w:color w:val="auto"/>
          <w:kern w:val="21"/>
          <w:sz w:val="24"/>
          <w:u w:val="single"/>
          <w:vertAlign w:val="subscript"/>
        </w:rPr>
        <w:t>2</w:t>
      </w:r>
      <w:r>
        <w:rPr>
          <w:rFonts w:hint="eastAsia" w:ascii="Times New Roman" w:hAnsi="Times New Roman"/>
          <w:b/>
          <w:bCs/>
          <w:snapToGrid w:val="0"/>
          <w:color w:val="auto"/>
          <w:kern w:val="21"/>
          <w:sz w:val="24"/>
          <w:u w:val="single"/>
        </w:rPr>
        <w:t>S</w:t>
      </w:r>
      <w:r>
        <w:rPr>
          <w:rFonts w:hint="eastAsia" w:ascii="Times New Roman" w:hAnsi="Times New Roman"/>
          <w:b/>
          <w:bCs/>
          <w:snapToGrid w:val="0"/>
          <w:color w:val="auto"/>
          <w:kern w:val="21"/>
          <w:sz w:val="24"/>
          <w:u w:val="single"/>
          <w:lang w:eastAsia="zh-CN"/>
        </w:rPr>
        <w:t>的排放速率</w:t>
      </w:r>
      <w:r>
        <w:rPr>
          <w:rFonts w:hint="eastAsia" w:ascii="Times New Roman" w:hAnsi="Times New Roman"/>
          <w:b/>
          <w:bCs/>
          <w:snapToGrid w:val="0"/>
          <w:color w:val="auto"/>
          <w:kern w:val="21"/>
          <w:sz w:val="24"/>
          <w:u w:val="single"/>
        </w:rPr>
        <w:t>能够满足《恶臭污染物排放标准》(GB14554-1993</w:t>
      </w:r>
      <w:r>
        <w:rPr>
          <w:rFonts w:hint="eastAsia" w:ascii="Times New Roman" w:hAnsi="Times New Roman"/>
          <w:b/>
          <w:bCs/>
          <w:snapToGrid w:val="0"/>
          <w:color w:val="auto"/>
          <w:kern w:val="21"/>
          <w:sz w:val="24"/>
          <w:u w:val="single"/>
          <w:lang w:eastAsia="zh-CN"/>
        </w:rPr>
        <w:t>）</w:t>
      </w:r>
      <w:r>
        <w:rPr>
          <w:rFonts w:hint="eastAsia" w:ascii="Times New Roman" w:hAnsi="Times New Roman"/>
          <w:b/>
          <w:bCs/>
          <w:snapToGrid w:val="0"/>
          <w:color w:val="auto"/>
          <w:kern w:val="21"/>
          <w:sz w:val="24"/>
          <w:u w:val="single"/>
        </w:rPr>
        <w:t>表2标准要求。</w:t>
      </w:r>
    </w:p>
    <w:p>
      <w:pPr>
        <w:pStyle w:val="6"/>
        <w:spacing w:before="0" w:after="0" w:line="360" w:lineRule="auto"/>
        <w:rPr>
          <w:b w:val="0"/>
          <w:color w:val="auto"/>
          <w:sz w:val="24"/>
          <w:szCs w:val="24"/>
        </w:rPr>
      </w:pPr>
      <w:r>
        <w:rPr>
          <w:b w:val="0"/>
          <w:color w:val="auto"/>
          <w:sz w:val="24"/>
          <w:szCs w:val="24"/>
        </w:rPr>
        <w:t>3.4.1.</w:t>
      </w:r>
      <w:r>
        <w:rPr>
          <w:rFonts w:hint="eastAsia"/>
          <w:b w:val="0"/>
          <w:color w:val="auto"/>
          <w:sz w:val="24"/>
          <w:szCs w:val="24"/>
        </w:rPr>
        <w:t>4焊接废气</w:t>
      </w:r>
    </w:p>
    <w:p>
      <w:pPr>
        <w:pStyle w:val="288"/>
        <w:adjustRightInd w:val="0"/>
        <w:snapToGrid w:val="0"/>
        <w:spacing w:line="360" w:lineRule="auto"/>
        <w:ind w:firstLine="480" w:firstLineChars="200"/>
        <w:jc w:val="both"/>
        <w:rPr>
          <w:rFonts w:ascii="Times New Roman" w:hAnsi="Times New Roman"/>
          <w:bCs/>
          <w:snapToGrid w:val="0"/>
          <w:color w:val="auto"/>
          <w:kern w:val="21"/>
          <w:sz w:val="24"/>
          <w:szCs w:val="24"/>
        </w:rPr>
      </w:pPr>
      <w:r>
        <w:rPr>
          <w:rFonts w:ascii="Times New Roman" w:hAnsi="Times New Roman"/>
          <w:bCs/>
          <w:snapToGrid w:val="0"/>
          <w:color w:val="auto"/>
          <w:kern w:val="21"/>
          <w:sz w:val="24"/>
        </w:rPr>
        <w:t>焊接废气主要产生污染物有焊接烟尘和有害气体，烟尘中主要污染物为颗粒物，本项目焊接区位于南厂房，共设置</w:t>
      </w:r>
      <w:r>
        <w:rPr>
          <w:rFonts w:hint="eastAsia" w:ascii="Times New Roman" w:hAnsi="Times New Roman"/>
          <w:bCs/>
          <w:snapToGrid w:val="0"/>
          <w:color w:val="auto"/>
          <w:kern w:val="21"/>
          <w:sz w:val="24"/>
        </w:rPr>
        <w:t>20台</w:t>
      </w:r>
      <w:r>
        <w:rPr>
          <w:rFonts w:hint="eastAsia" w:ascii="Times New Roman" w:hAnsi="Times New Roman"/>
          <w:bCs/>
          <w:snapToGrid w:val="0"/>
          <w:color w:val="auto"/>
          <w:kern w:val="21"/>
          <w:sz w:val="24"/>
          <w:lang w:eastAsia="zh-CN"/>
        </w:rPr>
        <w:t>二氧化碳保护焊</w:t>
      </w:r>
      <w:r>
        <w:rPr>
          <w:rFonts w:hint="eastAsia" w:ascii="Times New Roman" w:hAnsi="Times New Roman"/>
          <w:bCs/>
          <w:snapToGrid w:val="0"/>
          <w:color w:val="auto"/>
          <w:kern w:val="21"/>
          <w:sz w:val="24"/>
        </w:rPr>
        <w:t>。</w:t>
      </w:r>
      <w:r>
        <w:rPr>
          <w:rFonts w:hint="eastAsia" w:ascii="Times New Roman" w:hAnsi="Times New Roman"/>
          <w:bCs/>
          <w:snapToGrid w:val="0"/>
          <w:color w:val="auto"/>
          <w:kern w:val="21"/>
          <w:sz w:val="24"/>
          <w:lang w:eastAsia="zh-CN"/>
        </w:rPr>
        <w:t>焊机</w:t>
      </w:r>
      <w:r>
        <w:rPr>
          <w:rFonts w:ascii="Times New Roman" w:hAnsi="Times New Roman"/>
          <w:bCs/>
          <w:snapToGrid w:val="0"/>
          <w:color w:val="auto"/>
          <w:kern w:val="21"/>
          <w:sz w:val="24"/>
        </w:rPr>
        <w:t>使用药芯焊丝，</w:t>
      </w:r>
      <w:r>
        <w:rPr>
          <w:rFonts w:hint="eastAsia" w:ascii="Times New Roman" w:hAnsi="Times New Roman"/>
          <w:bCs/>
          <w:snapToGrid w:val="0"/>
          <w:color w:val="auto"/>
          <w:kern w:val="21"/>
          <w:sz w:val="24"/>
        </w:rPr>
        <w:t>每个电池箱焊丝用量为40g，故焊丝年</w:t>
      </w:r>
      <w:r>
        <w:rPr>
          <w:rFonts w:ascii="Times New Roman" w:hAnsi="Times New Roman"/>
          <w:bCs/>
          <w:snapToGrid w:val="0"/>
          <w:color w:val="auto"/>
          <w:kern w:val="21"/>
          <w:sz w:val="24"/>
        </w:rPr>
        <w:t>用量为</w:t>
      </w:r>
      <w:r>
        <w:rPr>
          <w:rFonts w:hint="eastAsia" w:ascii="Times New Roman" w:hAnsi="Times New Roman"/>
          <w:bCs/>
          <w:snapToGrid w:val="0"/>
          <w:color w:val="auto"/>
          <w:kern w:val="21"/>
          <w:sz w:val="24"/>
        </w:rPr>
        <w:t>79.2t/a，</w:t>
      </w:r>
      <w:r>
        <w:rPr>
          <w:rFonts w:ascii="Times New Roman" w:hAnsi="Times New Roman"/>
          <w:bCs/>
          <w:snapToGrid w:val="0"/>
          <w:color w:val="auto"/>
          <w:kern w:val="21"/>
          <w:sz w:val="24"/>
        </w:rPr>
        <w:t>参考《全国第二次污染源普查系数手册》药芯焊丝颗粒物产尘系数为</w:t>
      </w:r>
      <w:r>
        <w:rPr>
          <w:rFonts w:hint="eastAsia" w:ascii="Times New Roman" w:hAnsi="Times New Roman"/>
          <w:bCs/>
          <w:snapToGrid w:val="0"/>
          <w:color w:val="auto"/>
          <w:kern w:val="21"/>
          <w:sz w:val="24"/>
        </w:rPr>
        <w:t>20.5kg/t原料，则本项目焊接烟</w:t>
      </w:r>
      <w:r>
        <w:rPr>
          <w:rFonts w:hint="default" w:ascii="Times New Roman" w:hAnsi="Times New Roman" w:cs="Times New Roman"/>
          <w:bCs/>
          <w:snapToGrid w:val="0"/>
          <w:color w:val="auto"/>
          <w:kern w:val="21"/>
          <w:sz w:val="24"/>
        </w:rPr>
        <w:t>尘产生量为1623.6kg/a。每台焊机固定工位，并在上方设置小型集气罩并采用软管连接至主管道集中收集，</w:t>
      </w:r>
      <w:r>
        <w:rPr>
          <w:rFonts w:hint="default" w:ascii="Times New Roman" w:hAnsi="Times New Roman" w:cs="Times New Roman"/>
          <w:b/>
          <w:bCs/>
          <w:snapToGrid w:val="0"/>
          <w:color w:val="auto"/>
          <w:kern w:val="21"/>
          <w:sz w:val="24"/>
          <w:u w:val="single"/>
        </w:rPr>
        <w:t>焊接烟气收集后通过主管道引入袋式除尘器中进行统一处理。焊接工序年运行时间3300h（上料、下料、准备时间不计算在内），设置的袋式除尘器风机风量为5000m</w:t>
      </w:r>
      <w:r>
        <w:rPr>
          <w:rFonts w:hint="default" w:ascii="Times New Roman" w:hAnsi="Times New Roman" w:cs="Times New Roman"/>
          <w:b/>
          <w:bCs/>
          <w:snapToGrid w:val="0"/>
          <w:color w:val="auto"/>
          <w:kern w:val="21"/>
          <w:sz w:val="24"/>
          <w:u w:val="single"/>
          <w:vertAlign w:val="superscript"/>
        </w:rPr>
        <w:t>3</w:t>
      </w:r>
      <w:r>
        <w:rPr>
          <w:rFonts w:hint="default" w:ascii="Times New Roman" w:hAnsi="Times New Roman" w:cs="Times New Roman"/>
          <w:b/>
          <w:bCs/>
          <w:snapToGrid w:val="0"/>
          <w:color w:val="auto"/>
          <w:kern w:val="21"/>
          <w:sz w:val="24"/>
          <w:u w:val="single"/>
        </w:rPr>
        <w:t>/h，集气口收集效率按90%计，则进口处颗粒物速率为0.4428kg/h，</w:t>
      </w:r>
      <w:r>
        <w:rPr>
          <w:rFonts w:hint="default" w:ascii="Times New Roman" w:hAnsi="Times New Roman" w:cs="Times New Roman"/>
          <w:b/>
          <w:bCs/>
          <w:snapToGrid w:val="0"/>
          <w:color w:val="auto"/>
          <w:kern w:val="21"/>
          <w:sz w:val="24"/>
          <w:szCs w:val="24"/>
          <w:u w:val="single"/>
        </w:rPr>
        <w:t>浓度88.56mg/m</w:t>
      </w:r>
      <w:r>
        <w:rPr>
          <w:rFonts w:hint="default" w:ascii="Times New Roman" w:hAnsi="Times New Roman" w:cs="Times New Roman"/>
          <w:b/>
          <w:bCs/>
          <w:snapToGrid w:val="0"/>
          <w:color w:val="auto"/>
          <w:kern w:val="21"/>
          <w:sz w:val="24"/>
          <w:szCs w:val="24"/>
          <w:u w:val="single"/>
          <w:vertAlign w:val="superscript"/>
        </w:rPr>
        <w:t>3</w:t>
      </w:r>
      <w:r>
        <w:rPr>
          <w:rFonts w:hint="default" w:ascii="Times New Roman" w:hAnsi="Times New Roman" w:cs="Times New Roman"/>
          <w:b/>
          <w:bCs/>
          <w:snapToGrid w:val="0"/>
          <w:color w:val="auto"/>
          <w:kern w:val="21"/>
          <w:sz w:val="24"/>
          <w:szCs w:val="24"/>
          <w:u w:val="single"/>
        </w:rPr>
        <w:t>，由于焊接烟尘入口浓度较小，且焊接烟气粒径较小，因此除尘器处理效率按95%计，处理后颗粒物排放量速率为0.0221kg/h，排放浓度为4.428mg/m</w:t>
      </w:r>
      <w:r>
        <w:rPr>
          <w:rFonts w:hint="default" w:ascii="Times New Roman" w:hAnsi="Times New Roman" w:cs="Times New Roman"/>
          <w:b/>
          <w:bCs/>
          <w:snapToGrid w:val="0"/>
          <w:color w:val="auto"/>
          <w:kern w:val="21"/>
          <w:sz w:val="24"/>
          <w:szCs w:val="24"/>
          <w:u w:val="single"/>
          <w:vertAlign w:val="superscript"/>
        </w:rPr>
        <w:t>3</w:t>
      </w:r>
      <w:r>
        <w:rPr>
          <w:rFonts w:hint="default" w:ascii="Times New Roman" w:hAnsi="Times New Roman" w:cs="Times New Roman"/>
          <w:b/>
          <w:bCs/>
          <w:snapToGrid w:val="0"/>
          <w:color w:val="auto"/>
          <w:kern w:val="21"/>
          <w:sz w:val="24"/>
          <w:szCs w:val="24"/>
          <w:u w:val="single"/>
        </w:rPr>
        <w:t>，</w:t>
      </w:r>
      <w:r>
        <w:rPr>
          <w:rFonts w:hint="default" w:ascii="Times New Roman" w:hAnsi="Times New Roman" w:cs="Times New Roman"/>
          <w:bCs/>
          <w:snapToGrid w:val="0"/>
          <w:color w:val="auto"/>
          <w:kern w:val="21"/>
          <w:sz w:val="24"/>
          <w:szCs w:val="24"/>
        </w:rPr>
        <w:t>满足</w:t>
      </w:r>
      <w:r>
        <w:rPr>
          <w:rFonts w:hint="default" w:ascii="Times New Roman" w:hAnsi="Times New Roman" w:cs="Times New Roman"/>
          <w:color w:val="auto"/>
          <w:sz w:val="24"/>
          <w:szCs w:val="24"/>
        </w:rPr>
        <w:t>《新乡市生态环境局关于进一步规范工业企业颗粒物排放限值的通知》中其他所有涉气工业企业排放口颗粒物排放浓度不高于10mg/m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的排放标准</w:t>
      </w:r>
      <w:r>
        <w:rPr>
          <w:rFonts w:hint="default" w:ascii="Times New Roman" w:hAnsi="Times New Roman" w:cs="Times New Roman"/>
          <w:bCs/>
          <w:snapToGrid w:val="0"/>
          <w:color w:val="auto"/>
          <w:kern w:val="21"/>
          <w:sz w:val="24"/>
          <w:szCs w:val="24"/>
        </w:rPr>
        <w:t>。</w:t>
      </w:r>
    </w:p>
    <w:p>
      <w:pPr>
        <w:pStyle w:val="288"/>
        <w:adjustRightInd w:val="0"/>
        <w:snapToGrid w:val="0"/>
        <w:spacing w:line="360" w:lineRule="auto"/>
        <w:ind w:firstLine="480" w:firstLineChars="200"/>
        <w:rPr>
          <w:rFonts w:ascii="Times New Roman" w:hAnsi="Times New Roman"/>
          <w:bCs/>
          <w:snapToGrid w:val="0"/>
          <w:color w:val="auto"/>
          <w:kern w:val="21"/>
          <w:sz w:val="24"/>
          <w:szCs w:val="24"/>
        </w:rPr>
      </w:pPr>
      <w:r>
        <w:rPr>
          <w:rFonts w:hint="eastAsia" w:ascii="Times New Roman" w:hAnsi="Times New Roman"/>
          <w:bCs/>
          <w:snapToGrid w:val="0"/>
          <w:color w:val="auto"/>
          <w:kern w:val="21"/>
          <w:sz w:val="24"/>
          <w:szCs w:val="24"/>
        </w:rPr>
        <w:t>无组织排放量为0.049kg/h，0.162t/a。</w:t>
      </w:r>
    </w:p>
    <w:p>
      <w:pPr>
        <w:pStyle w:val="6"/>
        <w:spacing w:before="0" w:after="0" w:line="360" w:lineRule="auto"/>
        <w:rPr>
          <w:b w:val="0"/>
          <w:color w:val="auto"/>
          <w:sz w:val="24"/>
          <w:szCs w:val="24"/>
        </w:rPr>
      </w:pPr>
      <w:r>
        <w:rPr>
          <w:b w:val="0"/>
          <w:color w:val="auto"/>
          <w:sz w:val="24"/>
          <w:szCs w:val="24"/>
        </w:rPr>
        <w:t>3.4.1.</w:t>
      </w:r>
      <w:r>
        <w:rPr>
          <w:rFonts w:hint="eastAsia"/>
          <w:b w:val="0"/>
          <w:color w:val="auto"/>
          <w:sz w:val="24"/>
          <w:szCs w:val="24"/>
        </w:rPr>
        <w:t>5酸储罐废气</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项目在危化品库酸储存区设</w:t>
      </w:r>
      <w:r>
        <w:rPr>
          <w:rFonts w:ascii="Times New Roman" w:hAnsi="Times New Roman"/>
          <w:color w:val="auto"/>
          <w:kern w:val="21"/>
          <w:sz w:val="24"/>
          <w:szCs w:val="24"/>
        </w:rPr>
        <w:t xml:space="preserve">2 </w:t>
      </w:r>
      <w:r>
        <w:rPr>
          <w:rFonts w:hint="eastAsia" w:ascii="Times New Roman" w:hAnsi="Times New Roman"/>
          <w:color w:val="auto"/>
          <w:kern w:val="21"/>
          <w:sz w:val="24"/>
          <w:szCs w:val="24"/>
        </w:rPr>
        <w:t>个储罐分别用于储存所有电镀生产线所需的浓硫酸（</w:t>
      </w:r>
      <w:r>
        <w:rPr>
          <w:rFonts w:ascii="Times New Roman" w:hAnsi="Times New Roman"/>
          <w:color w:val="auto"/>
          <w:kern w:val="21"/>
          <w:sz w:val="24"/>
          <w:szCs w:val="24"/>
        </w:rPr>
        <w:t>98%</w:t>
      </w:r>
      <w:r>
        <w:rPr>
          <w:rFonts w:hint="eastAsia" w:ascii="Times New Roman" w:hAnsi="Times New Roman"/>
          <w:color w:val="auto"/>
          <w:kern w:val="21"/>
          <w:sz w:val="24"/>
          <w:szCs w:val="24"/>
        </w:rPr>
        <w:t>）和浓盐酸（</w:t>
      </w:r>
      <w:r>
        <w:rPr>
          <w:rFonts w:ascii="Times New Roman" w:hAnsi="Times New Roman"/>
          <w:color w:val="auto"/>
          <w:kern w:val="21"/>
          <w:sz w:val="24"/>
          <w:szCs w:val="24"/>
        </w:rPr>
        <w:t>3</w:t>
      </w:r>
      <w:r>
        <w:rPr>
          <w:rFonts w:hint="eastAsia" w:ascii="Times New Roman" w:hAnsi="Times New Roman"/>
          <w:color w:val="auto"/>
          <w:kern w:val="21"/>
          <w:sz w:val="24"/>
          <w:szCs w:val="24"/>
        </w:rPr>
        <w:t>5</w:t>
      </w:r>
      <w:r>
        <w:rPr>
          <w:rFonts w:ascii="Times New Roman" w:hAnsi="Times New Roman"/>
          <w:color w:val="auto"/>
          <w:kern w:val="21"/>
          <w:sz w:val="24"/>
          <w:szCs w:val="24"/>
        </w:rPr>
        <w:t>%</w:t>
      </w:r>
      <w:r>
        <w:rPr>
          <w:rFonts w:hint="eastAsia" w:ascii="Times New Roman" w:hAnsi="Times New Roman"/>
          <w:color w:val="auto"/>
          <w:kern w:val="21"/>
          <w:sz w:val="24"/>
          <w:szCs w:val="24"/>
        </w:rPr>
        <w:t>），储罐均为固定顶立罐，盐酸储罐为1</w:t>
      </w:r>
      <w:r>
        <w:rPr>
          <w:rFonts w:ascii="Times New Roman" w:hAnsi="Times New Roman"/>
          <w:color w:val="auto"/>
          <w:kern w:val="21"/>
          <w:sz w:val="24"/>
          <w:szCs w:val="24"/>
        </w:rPr>
        <w:t>0t，浓硫酸储罐为</w:t>
      </w:r>
      <w:r>
        <w:rPr>
          <w:rFonts w:hint="eastAsia" w:ascii="Times New Roman" w:hAnsi="Times New Roman"/>
          <w:color w:val="auto"/>
          <w:kern w:val="21"/>
          <w:sz w:val="24"/>
          <w:szCs w:val="24"/>
        </w:rPr>
        <w:t>5t。</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考虑到浓盐酸具有一定的挥发性，而浓硫酸具有难挥发性，本次评价酸储存区废气主要考虑盐酸储罐挥发气体。</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盐酸储罐损失主要分为呼吸损失和工作损失，其中呼吸损失是由于温度和大气压力的变化引起蒸气膨胀和收缩而产生的蒸气排出。工作损失是由装料和卸料联合产生的，装料使罐内压力超过释放压力时，蒸气从罐内压出。卸料时液体排出，空气被抽入罐内时，空气变成蒸气饱和的气体而膨胀超过空间容纳的能力排出。</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w:t>
      </w:r>
      <w:r>
        <w:rPr>
          <w:rFonts w:ascii="Times New Roman" w:hAnsi="Times New Roman"/>
          <w:color w:val="auto"/>
          <w:kern w:val="21"/>
          <w:sz w:val="24"/>
          <w:szCs w:val="24"/>
        </w:rPr>
        <w:t>1</w:t>
      </w:r>
      <w:r>
        <w:rPr>
          <w:rFonts w:hint="eastAsia" w:ascii="Times New Roman" w:hAnsi="Times New Roman"/>
          <w:color w:val="auto"/>
          <w:kern w:val="21"/>
          <w:sz w:val="24"/>
          <w:szCs w:val="24"/>
        </w:rPr>
        <w:t>）由下式可估算罐顶的呼吸损失：</w:t>
      </w:r>
    </w:p>
    <w:p>
      <w:pPr>
        <w:pStyle w:val="288"/>
        <w:adjustRightInd w:val="0"/>
        <w:snapToGrid w:val="0"/>
        <w:spacing w:line="360" w:lineRule="auto"/>
        <w:ind w:firstLine="560" w:firstLineChars="200"/>
        <w:jc w:val="center"/>
        <w:rPr>
          <w:rFonts w:ascii="Times New Roman" w:hAnsi="Times New Roman"/>
          <w:bCs/>
          <w:snapToGrid w:val="0"/>
          <w:color w:val="auto"/>
          <w:kern w:val="21"/>
          <w:sz w:val="24"/>
          <w:szCs w:val="24"/>
        </w:rPr>
      </w:pPr>
      <w:r>
        <w:rPr>
          <w:color w:val="auto"/>
        </w:rPr>
        <w:drawing>
          <wp:inline distT="0" distB="0" distL="0" distR="0">
            <wp:extent cx="3270250" cy="510540"/>
            <wp:effectExtent l="0" t="0" r="635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2"/>
                    <a:stretch>
                      <a:fillRect/>
                    </a:stretch>
                  </pic:blipFill>
                  <pic:spPr>
                    <a:xfrm>
                      <a:off x="0" y="0"/>
                      <a:ext cx="3270250" cy="513291"/>
                    </a:xfrm>
                    <a:prstGeom prst="rect">
                      <a:avLst/>
                    </a:prstGeom>
                  </pic:spPr>
                </pic:pic>
              </a:graphicData>
            </a:graphic>
          </wp:inline>
        </w:drawing>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式中：</w:t>
      </w:r>
      <w:r>
        <w:rPr>
          <w:rFonts w:ascii="Times New Roman" w:hAnsi="Times New Roman"/>
          <w:color w:val="auto"/>
          <w:kern w:val="21"/>
          <w:sz w:val="24"/>
          <w:szCs w:val="24"/>
        </w:rPr>
        <w:t>L</w:t>
      </w:r>
      <w:r>
        <w:rPr>
          <w:rFonts w:ascii="Times New Roman" w:hAnsi="Times New Roman"/>
          <w:color w:val="auto"/>
          <w:kern w:val="21"/>
          <w:sz w:val="24"/>
          <w:szCs w:val="24"/>
          <w:vertAlign w:val="subscript"/>
        </w:rPr>
        <w:t>B</w:t>
      </w:r>
      <w:r>
        <w:rPr>
          <w:rFonts w:hint="eastAsia" w:ascii="Times New Roman" w:hAnsi="Times New Roman"/>
          <w:color w:val="auto"/>
          <w:kern w:val="21"/>
          <w:sz w:val="24"/>
          <w:szCs w:val="24"/>
        </w:rPr>
        <w:t>——罐顶的呼吸损失（</w:t>
      </w:r>
      <w:r>
        <w:rPr>
          <w:rFonts w:ascii="Times New Roman" w:hAnsi="Times New Roman"/>
          <w:color w:val="auto"/>
          <w:kern w:val="21"/>
          <w:sz w:val="24"/>
          <w:szCs w:val="24"/>
        </w:rPr>
        <w:t>kg/a</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M</w:t>
      </w:r>
      <w:r>
        <w:rPr>
          <w:rFonts w:hint="eastAsia" w:ascii="Times New Roman" w:hAnsi="Times New Roman"/>
          <w:color w:val="auto"/>
          <w:kern w:val="21"/>
          <w:sz w:val="24"/>
          <w:szCs w:val="24"/>
        </w:rPr>
        <w:t>——储罐内蒸汽的分子量，</w:t>
      </w:r>
      <w:r>
        <w:rPr>
          <w:rFonts w:ascii="Times New Roman" w:hAnsi="Times New Roman"/>
          <w:color w:val="auto"/>
          <w:kern w:val="21"/>
          <w:sz w:val="24"/>
          <w:szCs w:val="24"/>
        </w:rPr>
        <w:t>36.5</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P</w:t>
      </w:r>
      <w:r>
        <w:rPr>
          <w:rFonts w:hint="eastAsia" w:ascii="Times New Roman" w:hAnsi="Times New Roman"/>
          <w:color w:val="auto"/>
          <w:kern w:val="21"/>
          <w:sz w:val="24"/>
          <w:szCs w:val="24"/>
        </w:rPr>
        <w:t>——在大量液体状态下，真实的蒸汽压力（</w:t>
      </w:r>
      <w:r>
        <w:rPr>
          <w:rFonts w:ascii="Times New Roman" w:hAnsi="Times New Roman"/>
          <w:color w:val="auto"/>
          <w:kern w:val="21"/>
          <w:sz w:val="24"/>
          <w:szCs w:val="24"/>
        </w:rPr>
        <w:t>Pa</w:t>
      </w:r>
      <w:r>
        <w:rPr>
          <w:rFonts w:hint="eastAsia" w:ascii="Times New Roman" w:hAnsi="Times New Roman"/>
          <w:color w:val="auto"/>
          <w:kern w:val="21"/>
          <w:sz w:val="24"/>
          <w:szCs w:val="24"/>
        </w:rPr>
        <w:t>），</w:t>
      </w:r>
      <w:r>
        <w:rPr>
          <w:rFonts w:ascii="Times New Roman" w:hAnsi="Times New Roman"/>
          <w:color w:val="auto"/>
          <w:kern w:val="21"/>
          <w:sz w:val="24"/>
          <w:szCs w:val="24"/>
        </w:rPr>
        <w:t>840.26Pa</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D</w:t>
      </w:r>
      <w:r>
        <w:rPr>
          <w:rFonts w:hint="eastAsia" w:ascii="Times New Roman" w:hAnsi="Times New Roman"/>
          <w:color w:val="auto"/>
          <w:kern w:val="21"/>
          <w:sz w:val="24"/>
          <w:szCs w:val="24"/>
        </w:rPr>
        <w:t>——罐的直径（</w:t>
      </w:r>
      <w:r>
        <w:rPr>
          <w:rFonts w:ascii="Times New Roman" w:hAnsi="Times New Roman"/>
          <w:color w:val="auto"/>
          <w:kern w:val="21"/>
          <w:sz w:val="24"/>
          <w:szCs w:val="24"/>
        </w:rPr>
        <w:t>m</w:t>
      </w:r>
      <w:r>
        <w:rPr>
          <w:rFonts w:hint="eastAsia" w:ascii="Times New Roman" w:hAnsi="Times New Roman"/>
          <w:color w:val="auto"/>
          <w:kern w:val="21"/>
          <w:sz w:val="24"/>
          <w:szCs w:val="24"/>
        </w:rPr>
        <w:t>），</w:t>
      </w:r>
      <w:r>
        <w:rPr>
          <w:rFonts w:ascii="Times New Roman" w:hAnsi="Times New Roman"/>
          <w:color w:val="auto"/>
          <w:kern w:val="21"/>
          <w:sz w:val="24"/>
          <w:szCs w:val="24"/>
        </w:rPr>
        <w:t>D=2.</w:t>
      </w:r>
      <w:r>
        <w:rPr>
          <w:rFonts w:hint="eastAsia" w:ascii="Times New Roman" w:hAnsi="Times New Roman"/>
          <w:color w:val="auto"/>
          <w:kern w:val="21"/>
          <w:sz w:val="24"/>
          <w:szCs w:val="24"/>
        </w:rPr>
        <w:t>21</w:t>
      </w:r>
      <w:r>
        <w:rPr>
          <w:rFonts w:ascii="Times New Roman" w:hAnsi="Times New Roman"/>
          <w:color w:val="auto"/>
          <w:kern w:val="21"/>
          <w:sz w:val="24"/>
          <w:szCs w:val="24"/>
        </w:rPr>
        <w:t>m</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H</w:t>
      </w:r>
      <w:r>
        <w:rPr>
          <w:rFonts w:hint="eastAsia" w:ascii="Times New Roman" w:hAnsi="Times New Roman"/>
          <w:color w:val="auto"/>
          <w:kern w:val="21"/>
          <w:sz w:val="24"/>
          <w:szCs w:val="24"/>
        </w:rPr>
        <w:t>——平均蒸汽空气高度，（</w:t>
      </w:r>
      <w:r>
        <w:rPr>
          <w:rFonts w:ascii="Times New Roman" w:hAnsi="Times New Roman"/>
          <w:color w:val="auto"/>
          <w:kern w:val="21"/>
          <w:sz w:val="24"/>
          <w:szCs w:val="24"/>
        </w:rPr>
        <w:t>m</w:t>
      </w:r>
      <w:r>
        <w:rPr>
          <w:rFonts w:hint="eastAsia" w:ascii="Times New Roman" w:hAnsi="Times New Roman"/>
          <w:color w:val="auto"/>
          <w:kern w:val="21"/>
          <w:sz w:val="24"/>
          <w:szCs w:val="24"/>
        </w:rPr>
        <w:t>），</w:t>
      </w:r>
      <w:r>
        <w:rPr>
          <w:rFonts w:ascii="Times New Roman" w:hAnsi="Times New Roman"/>
          <w:color w:val="auto"/>
          <w:kern w:val="21"/>
          <w:sz w:val="24"/>
          <w:szCs w:val="24"/>
        </w:rPr>
        <w:t>H=0.9m</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hint="eastAsia" w:ascii="Times New Roman" w:hAnsi="Times New Roman"/>
          <w:color w:val="auto"/>
          <w:kern w:val="21"/>
          <w:sz w:val="24"/>
          <w:szCs w:val="24"/>
        </w:rPr>
        <w:t>Δ</w:t>
      </w:r>
      <w:r>
        <w:rPr>
          <w:rFonts w:ascii="Times New Roman" w:hAnsi="Times New Roman"/>
          <w:color w:val="auto"/>
          <w:kern w:val="21"/>
          <w:sz w:val="24"/>
          <w:szCs w:val="24"/>
        </w:rPr>
        <w:t>T</w:t>
      </w:r>
      <w:r>
        <w:rPr>
          <w:rFonts w:hint="eastAsia" w:ascii="Times New Roman" w:hAnsi="Times New Roman"/>
          <w:color w:val="auto"/>
          <w:kern w:val="21"/>
          <w:sz w:val="24"/>
          <w:szCs w:val="24"/>
        </w:rPr>
        <w:t>——从白天到晚上，平均环境温度的变化（℃），</w:t>
      </w:r>
      <w:r>
        <w:rPr>
          <w:rFonts w:ascii="Times New Roman" w:hAnsi="Times New Roman"/>
          <w:color w:val="auto"/>
          <w:kern w:val="21"/>
          <w:sz w:val="24"/>
          <w:szCs w:val="24"/>
        </w:rPr>
        <w:t>10</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F</w:t>
      </w:r>
      <w:r>
        <w:rPr>
          <w:rFonts w:ascii="Times New Roman" w:hAnsi="Times New Roman"/>
          <w:color w:val="auto"/>
          <w:kern w:val="21"/>
          <w:sz w:val="24"/>
          <w:szCs w:val="24"/>
          <w:vertAlign w:val="subscript"/>
        </w:rPr>
        <w:t>P</w:t>
      </w:r>
      <w:r>
        <w:rPr>
          <w:rFonts w:hint="eastAsia" w:ascii="Times New Roman" w:hAnsi="Times New Roman"/>
          <w:color w:val="auto"/>
          <w:kern w:val="21"/>
          <w:sz w:val="24"/>
          <w:szCs w:val="24"/>
        </w:rPr>
        <w:t>——涂层因子（无量纲），取</w:t>
      </w:r>
      <w:r>
        <w:rPr>
          <w:rFonts w:ascii="Times New Roman" w:hAnsi="Times New Roman"/>
          <w:color w:val="auto"/>
          <w:kern w:val="21"/>
          <w:sz w:val="24"/>
          <w:szCs w:val="24"/>
        </w:rPr>
        <w:t>1.25</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C</w:t>
      </w:r>
      <w:r>
        <w:rPr>
          <w:rFonts w:hint="eastAsia" w:ascii="Times New Roman" w:hAnsi="Times New Roman"/>
          <w:color w:val="auto"/>
          <w:kern w:val="21"/>
          <w:sz w:val="24"/>
          <w:szCs w:val="24"/>
        </w:rPr>
        <w:t>——用于小直径罐的</w:t>
      </w:r>
      <w:r>
        <w:rPr>
          <w:rFonts w:hint="eastAsia" w:ascii="Times New Roman" w:hAnsi="Times New Roman"/>
          <w:color w:val="auto"/>
          <w:kern w:val="21"/>
          <w:sz w:val="24"/>
          <w:szCs w:val="24"/>
          <w:lang w:eastAsia="zh-CN"/>
        </w:rPr>
        <w:t>调节</w:t>
      </w:r>
      <w:r>
        <w:rPr>
          <w:rFonts w:hint="eastAsia" w:ascii="Times New Roman" w:hAnsi="Times New Roman"/>
          <w:color w:val="auto"/>
          <w:kern w:val="21"/>
          <w:sz w:val="24"/>
          <w:szCs w:val="24"/>
        </w:rPr>
        <w:t>因子（无量纲）；直径</w:t>
      </w:r>
      <w:r>
        <w:rPr>
          <w:rFonts w:ascii="Times New Roman" w:hAnsi="Times New Roman"/>
          <w:color w:val="auto"/>
          <w:kern w:val="21"/>
          <w:sz w:val="24"/>
          <w:szCs w:val="24"/>
        </w:rPr>
        <w:t xml:space="preserve">0~9m </w:t>
      </w:r>
      <w:r>
        <w:rPr>
          <w:rFonts w:hint="eastAsia" w:ascii="Times New Roman" w:hAnsi="Times New Roman"/>
          <w:color w:val="auto"/>
          <w:kern w:val="21"/>
          <w:sz w:val="24"/>
          <w:szCs w:val="24"/>
        </w:rPr>
        <w:t>之间的罐体，</w:t>
      </w:r>
    </w:p>
    <w:p>
      <w:pPr>
        <w:pStyle w:val="288"/>
        <w:adjustRightInd w:val="0"/>
        <w:snapToGrid w:val="0"/>
        <w:spacing w:line="360" w:lineRule="auto"/>
        <w:ind w:firstLine="576" w:firstLineChars="240"/>
        <w:rPr>
          <w:rFonts w:ascii="Times New Roman" w:hAnsi="Times New Roman"/>
          <w:color w:val="auto"/>
          <w:kern w:val="21"/>
          <w:sz w:val="24"/>
          <w:szCs w:val="24"/>
        </w:rPr>
      </w:pPr>
      <w:r>
        <w:rPr>
          <w:rFonts w:ascii="Times New Roman" w:hAnsi="Times New Roman"/>
          <w:color w:val="auto"/>
          <w:kern w:val="21"/>
          <w:sz w:val="24"/>
          <w:szCs w:val="24"/>
        </w:rPr>
        <w:t>C=1-0.0123</w:t>
      </w:r>
      <w:r>
        <w:rPr>
          <w:rFonts w:hint="eastAsia" w:ascii="Times New Roman" w:hAnsi="Times New Roman"/>
          <w:color w:val="auto"/>
          <w:kern w:val="21"/>
          <w:sz w:val="24"/>
          <w:szCs w:val="24"/>
        </w:rPr>
        <w:t>（</w:t>
      </w:r>
      <w:r>
        <w:rPr>
          <w:rFonts w:ascii="Times New Roman" w:hAnsi="Times New Roman"/>
          <w:color w:val="auto"/>
          <w:kern w:val="21"/>
          <w:sz w:val="24"/>
          <w:szCs w:val="24"/>
        </w:rPr>
        <w:t>9-D</w:t>
      </w:r>
      <w:r>
        <w:rPr>
          <w:rFonts w:hint="eastAsia" w:ascii="Times New Roman" w:hAnsi="Times New Roman"/>
          <w:color w:val="auto"/>
          <w:kern w:val="21"/>
          <w:sz w:val="24"/>
          <w:szCs w:val="24"/>
        </w:rPr>
        <w:t>）</w:t>
      </w:r>
      <w:r>
        <w:rPr>
          <w:rFonts w:ascii="Times New Roman" w:hAnsi="Times New Roman"/>
          <w:color w:val="auto"/>
          <w:kern w:val="21"/>
          <w:sz w:val="24"/>
          <w:szCs w:val="24"/>
          <w:vertAlign w:val="superscript"/>
        </w:rPr>
        <w:t>2</w:t>
      </w:r>
      <w:r>
        <w:rPr>
          <w:rFonts w:hint="eastAsia" w:ascii="Times New Roman" w:hAnsi="Times New Roman"/>
          <w:color w:val="auto"/>
          <w:kern w:val="21"/>
          <w:sz w:val="24"/>
          <w:szCs w:val="24"/>
        </w:rPr>
        <w:t>，罐径大于</w:t>
      </w:r>
      <w:r>
        <w:rPr>
          <w:rFonts w:ascii="Times New Roman" w:hAnsi="Times New Roman"/>
          <w:color w:val="auto"/>
          <w:kern w:val="21"/>
          <w:sz w:val="24"/>
          <w:szCs w:val="24"/>
        </w:rPr>
        <w:t xml:space="preserve">9m </w:t>
      </w:r>
      <w:r>
        <w:rPr>
          <w:rFonts w:hint="eastAsia" w:ascii="Times New Roman" w:hAnsi="Times New Roman"/>
          <w:color w:val="auto"/>
          <w:kern w:val="21"/>
          <w:sz w:val="24"/>
          <w:szCs w:val="24"/>
        </w:rPr>
        <w:t>的</w:t>
      </w:r>
      <w:r>
        <w:rPr>
          <w:rFonts w:ascii="Times New Roman" w:hAnsi="Times New Roman"/>
          <w:color w:val="auto"/>
          <w:kern w:val="21"/>
          <w:sz w:val="24"/>
          <w:szCs w:val="24"/>
        </w:rPr>
        <w:t>C=1</w:t>
      </w:r>
      <w:r>
        <w:rPr>
          <w:rFonts w:hint="eastAsia" w:ascii="Times New Roman" w:hAnsi="Times New Roman"/>
          <w:color w:val="auto"/>
          <w:kern w:val="21"/>
          <w:sz w:val="24"/>
          <w:szCs w:val="24"/>
        </w:rPr>
        <w:t>；本项目</w:t>
      </w:r>
      <w:r>
        <w:rPr>
          <w:rFonts w:ascii="Times New Roman" w:hAnsi="Times New Roman"/>
          <w:color w:val="auto"/>
          <w:kern w:val="21"/>
          <w:sz w:val="24"/>
          <w:szCs w:val="24"/>
        </w:rPr>
        <w:t>C=0.</w:t>
      </w:r>
      <w:r>
        <w:rPr>
          <w:rFonts w:hint="eastAsia" w:ascii="Times New Roman" w:hAnsi="Times New Roman"/>
          <w:color w:val="auto"/>
          <w:kern w:val="21"/>
          <w:sz w:val="24"/>
          <w:szCs w:val="24"/>
        </w:rPr>
        <w:t>43。</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Kc</w:t>
      </w:r>
      <w:r>
        <w:rPr>
          <w:rFonts w:hint="eastAsia" w:ascii="Times New Roman" w:hAnsi="Times New Roman"/>
          <w:color w:val="auto"/>
          <w:kern w:val="21"/>
          <w:sz w:val="24"/>
          <w:szCs w:val="24"/>
        </w:rPr>
        <w:t>——产品因子（无量纲），</w:t>
      </w:r>
      <w:r>
        <w:rPr>
          <w:rFonts w:ascii="Times New Roman" w:hAnsi="Times New Roman"/>
          <w:color w:val="auto"/>
          <w:kern w:val="21"/>
          <w:sz w:val="24"/>
          <w:szCs w:val="24"/>
        </w:rPr>
        <w:t>0.65</w:t>
      </w:r>
      <w:r>
        <w:rPr>
          <w:rFonts w:hint="eastAsia" w:ascii="Times New Roman" w:hAnsi="Times New Roman"/>
          <w:color w:val="auto"/>
          <w:kern w:val="21"/>
          <w:sz w:val="24"/>
          <w:szCs w:val="24"/>
        </w:rPr>
        <w:t>。</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w:t>
      </w:r>
      <w:r>
        <w:rPr>
          <w:rFonts w:ascii="Times New Roman" w:hAnsi="Times New Roman"/>
          <w:color w:val="auto"/>
          <w:kern w:val="21"/>
          <w:sz w:val="24"/>
          <w:szCs w:val="24"/>
        </w:rPr>
        <w:t>2</w:t>
      </w:r>
      <w:r>
        <w:rPr>
          <w:rFonts w:hint="eastAsia" w:ascii="Times New Roman" w:hAnsi="Times New Roman"/>
          <w:color w:val="auto"/>
          <w:kern w:val="21"/>
          <w:sz w:val="24"/>
          <w:szCs w:val="24"/>
        </w:rPr>
        <w:t>）由下式可估算罐顶的工作损失（装料和卸料损失的总和）：</w:t>
      </w:r>
    </w:p>
    <w:p>
      <w:pPr>
        <w:pStyle w:val="288"/>
        <w:adjustRightInd w:val="0"/>
        <w:snapToGrid w:val="0"/>
        <w:spacing w:line="360" w:lineRule="auto"/>
        <w:ind w:firstLine="560" w:firstLineChars="200"/>
        <w:jc w:val="center"/>
        <w:rPr>
          <w:rFonts w:cs="宋体"/>
          <w:color w:val="auto"/>
          <w:kern w:val="0"/>
          <w:sz w:val="24"/>
          <w:szCs w:val="24"/>
        </w:rPr>
      </w:pPr>
      <w:r>
        <w:rPr>
          <w:color w:val="auto"/>
        </w:rPr>
        <w:drawing>
          <wp:inline distT="0" distB="0" distL="0" distR="0">
            <wp:extent cx="2767965" cy="429895"/>
            <wp:effectExtent l="0" t="0" r="13335"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3"/>
                    <a:stretch>
                      <a:fillRect/>
                    </a:stretch>
                  </pic:blipFill>
                  <pic:spPr>
                    <a:xfrm>
                      <a:off x="0" y="0"/>
                      <a:ext cx="2767965" cy="430025"/>
                    </a:xfrm>
                    <a:prstGeom prst="rect">
                      <a:avLst/>
                    </a:prstGeom>
                  </pic:spPr>
                </pic:pic>
              </a:graphicData>
            </a:graphic>
          </wp:inline>
        </w:drawing>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式中：</w:t>
      </w:r>
      <w:r>
        <w:rPr>
          <w:rFonts w:ascii="Times New Roman" w:hAnsi="Times New Roman"/>
          <w:color w:val="auto"/>
          <w:kern w:val="21"/>
          <w:sz w:val="24"/>
          <w:szCs w:val="24"/>
        </w:rPr>
        <w:t>Lw</w:t>
      </w:r>
      <w:r>
        <w:rPr>
          <w:rFonts w:hint="eastAsia" w:ascii="Times New Roman" w:hAnsi="Times New Roman"/>
          <w:color w:val="auto"/>
          <w:kern w:val="21"/>
          <w:sz w:val="24"/>
          <w:szCs w:val="24"/>
        </w:rPr>
        <w:t>——固定顶罐的工作损失（</w:t>
      </w:r>
      <w:r>
        <w:rPr>
          <w:rFonts w:hint="eastAsia" w:ascii="Times New Roman" w:hAnsi="Times New Roman"/>
          <w:color w:val="auto"/>
          <w:kern w:val="21"/>
          <w:sz w:val="24"/>
          <w:szCs w:val="24"/>
          <w:lang w:eastAsia="zh-CN"/>
        </w:rPr>
        <w:t>kg</w:t>
      </w:r>
      <w:r>
        <w:rPr>
          <w:rFonts w:ascii="Times New Roman" w:hAnsi="Times New Roman"/>
          <w:color w:val="auto"/>
          <w:kern w:val="21"/>
          <w:sz w:val="24"/>
          <w:szCs w:val="24"/>
        </w:rPr>
        <w:t>/m</w:t>
      </w:r>
      <w:r>
        <w:rPr>
          <w:rFonts w:ascii="Times New Roman" w:hAnsi="Times New Roman"/>
          <w:color w:val="auto"/>
          <w:kern w:val="21"/>
          <w:sz w:val="24"/>
          <w:szCs w:val="24"/>
          <w:vertAlign w:val="superscript"/>
        </w:rPr>
        <w:t>3</w:t>
      </w:r>
      <w:r>
        <w:rPr>
          <w:rFonts w:ascii="Times New Roman" w:hAnsi="Times New Roman"/>
          <w:color w:val="auto"/>
          <w:kern w:val="21"/>
          <w:sz w:val="24"/>
          <w:szCs w:val="24"/>
        </w:rPr>
        <w:t xml:space="preserve"> </w:t>
      </w:r>
      <w:r>
        <w:rPr>
          <w:rFonts w:hint="eastAsia" w:ascii="Times New Roman" w:hAnsi="Times New Roman"/>
          <w:color w:val="auto"/>
          <w:kern w:val="21"/>
          <w:sz w:val="24"/>
          <w:szCs w:val="24"/>
        </w:rPr>
        <w:t>投入量）</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KN</w:t>
      </w:r>
      <w:r>
        <w:rPr>
          <w:rFonts w:hint="eastAsia" w:ascii="Times New Roman" w:hAnsi="Times New Roman"/>
          <w:color w:val="auto"/>
          <w:kern w:val="21"/>
          <w:sz w:val="24"/>
          <w:szCs w:val="24"/>
        </w:rPr>
        <w:t>——周转因子（无量纲），取值按年周转次数（</w:t>
      </w:r>
      <w:r>
        <w:rPr>
          <w:rFonts w:ascii="Times New Roman" w:hAnsi="Times New Roman"/>
          <w:color w:val="auto"/>
          <w:kern w:val="21"/>
          <w:sz w:val="24"/>
          <w:szCs w:val="24"/>
        </w:rPr>
        <w:t>N</w:t>
      </w:r>
      <w:r>
        <w:rPr>
          <w:rFonts w:hint="eastAsia" w:ascii="Times New Roman" w:hAnsi="Times New Roman"/>
          <w:color w:val="auto"/>
          <w:kern w:val="21"/>
          <w:sz w:val="24"/>
          <w:szCs w:val="24"/>
        </w:rPr>
        <w:t>）确定。</w:t>
      </w:r>
      <w:r>
        <w:rPr>
          <w:rFonts w:ascii="Times New Roman" w:hAnsi="Times New Roman"/>
          <w:color w:val="auto"/>
          <w:kern w:val="21"/>
          <w:sz w:val="24"/>
          <w:szCs w:val="24"/>
        </w:rPr>
        <w:t>N</w:t>
      </w:r>
      <w:r>
        <w:rPr>
          <w:rFonts w:hint="eastAsia" w:ascii="Times New Roman" w:hAnsi="Times New Roman"/>
          <w:color w:val="auto"/>
          <w:kern w:val="21"/>
          <w:sz w:val="24"/>
          <w:szCs w:val="24"/>
        </w:rPr>
        <w:t>≤</w:t>
      </w:r>
      <w:r>
        <w:rPr>
          <w:rFonts w:ascii="Times New Roman" w:hAnsi="Times New Roman"/>
          <w:color w:val="auto"/>
          <w:kern w:val="21"/>
          <w:sz w:val="24"/>
          <w:szCs w:val="24"/>
        </w:rPr>
        <w:t>36</w:t>
      </w:r>
      <w:r>
        <w:rPr>
          <w:rFonts w:hint="eastAsia" w:ascii="Times New Roman" w:hAnsi="Times New Roman"/>
          <w:color w:val="auto"/>
          <w:kern w:val="21"/>
          <w:sz w:val="24"/>
          <w:szCs w:val="24"/>
        </w:rPr>
        <w:t>，</w:t>
      </w:r>
      <w:r>
        <w:rPr>
          <w:rFonts w:ascii="Times New Roman" w:hAnsi="Times New Roman"/>
          <w:color w:val="auto"/>
          <w:kern w:val="21"/>
          <w:sz w:val="24"/>
          <w:szCs w:val="24"/>
        </w:rPr>
        <w:t>KN=1</w:t>
      </w:r>
      <w:r>
        <w:rPr>
          <w:rFonts w:hint="eastAsia" w:ascii="Times New Roman" w:hAnsi="Times New Roman"/>
          <w:color w:val="auto"/>
          <w:kern w:val="21"/>
          <w:sz w:val="24"/>
          <w:szCs w:val="24"/>
        </w:rPr>
        <w:t>，</w:t>
      </w:r>
      <w:r>
        <w:rPr>
          <w:rFonts w:ascii="Times New Roman" w:hAnsi="Times New Roman"/>
          <w:color w:val="auto"/>
          <w:kern w:val="21"/>
          <w:sz w:val="24"/>
          <w:szCs w:val="24"/>
        </w:rPr>
        <w:t>36</w:t>
      </w:r>
      <w:r>
        <w:rPr>
          <w:rFonts w:hint="eastAsia" w:ascii="Times New Roman" w:hAnsi="Times New Roman"/>
          <w:color w:val="auto"/>
          <w:kern w:val="21"/>
          <w:sz w:val="24"/>
          <w:szCs w:val="24"/>
        </w:rPr>
        <w:t>＜</w:t>
      </w:r>
      <w:r>
        <w:rPr>
          <w:rFonts w:ascii="Times New Roman" w:hAnsi="Times New Roman"/>
          <w:color w:val="auto"/>
          <w:kern w:val="21"/>
          <w:sz w:val="24"/>
          <w:szCs w:val="24"/>
        </w:rPr>
        <w:t>N</w:t>
      </w:r>
      <w:r>
        <w:rPr>
          <w:rFonts w:hint="eastAsia" w:ascii="Times New Roman" w:hAnsi="Times New Roman"/>
          <w:color w:val="auto"/>
          <w:kern w:val="21"/>
          <w:sz w:val="24"/>
          <w:szCs w:val="24"/>
        </w:rPr>
        <w:t>≤</w:t>
      </w:r>
      <w:r>
        <w:rPr>
          <w:rFonts w:ascii="Times New Roman" w:hAnsi="Times New Roman"/>
          <w:color w:val="auto"/>
          <w:kern w:val="21"/>
          <w:sz w:val="24"/>
          <w:szCs w:val="24"/>
        </w:rPr>
        <w:t>220</w:t>
      </w:r>
      <w:r>
        <w:rPr>
          <w:rFonts w:hint="eastAsia" w:ascii="Times New Roman" w:hAnsi="Times New Roman"/>
          <w:color w:val="auto"/>
          <w:kern w:val="21"/>
          <w:sz w:val="24"/>
          <w:szCs w:val="24"/>
        </w:rPr>
        <w:t>，</w:t>
      </w:r>
      <w:r>
        <w:rPr>
          <w:rFonts w:ascii="Times New Roman" w:hAnsi="Times New Roman"/>
          <w:color w:val="auto"/>
          <w:kern w:val="21"/>
          <w:sz w:val="24"/>
          <w:szCs w:val="24"/>
        </w:rPr>
        <w:t>KN=11.467</w:t>
      </w:r>
      <w:r>
        <w:rPr>
          <w:rFonts w:hint="eastAsia" w:ascii="Times New Roman" w:hAnsi="Times New Roman"/>
          <w:color w:val="auto"/>
          <w:kern w:val="21"/>
          <w:sz w:val="24"/>
          <w:szCs w:val="24"/>
        </w:rPr>
        <w:t>×</w:t>
      </w:r>
      <w:r>
        <w:rPr>
          <w:rFonts w:ascii="Times New Roman" w:hAnsi="Times New Roman"/>
          <w:color w:val="auto"/>
          <w:kern w:val="21"/>
          <w:sz w:val="24"/>
          <w:szCs w:val="24"/>
        </w:rPr>
        <w:t>K-0.7026</w:t>
      </w:r>
      <w:r>
        <w:rPr>
          <w:rFonts w:hint="eastAsia" w:ascii="Times New Roman" w:hAnsi="Times New Roman"/>
          <w:color w:val="auto"/>
          <w:kern w:val="21"/>
          <w:sz w:val="24"/>
          <w:szCs w:val="24"/>
        </w:rPr>
        <w:t>，</w:t>
      </w:r>
      <w:r>
        <w:rPr>
          <w:rFonts w:ascii="Times New Roman" w:hAnsi="Times New Roman"/>
          <w:color w:val="auto"/>
          <w:kern w:val="21"/>
          <w:sz w:val="24"/>
          <w:szCs w:val="24"/>
        </w:rPr>
        <w:t>N</w:t>
      </w:r>
      <w:r>
        <w:rPr>
          <w:rFonts w:hint="eastAsia" w:ascii="Times New Roman" w:hAnsi="Times New Roman"/>
          <w:color w:val="auto"/>
          <w:kern w:val="21"/>
          <w:sz w:val="24"/>
          <w:szCs w:val="24"/>
        </w:rPr>
        <w:t>＞</w:t>
      </w:r>
      <w:r>
        <w:rPr>
          <w:rFonts w:ascii="Times New Roman" w:hAnsi="Times New Roman"/>
          <w:color w:val="auto"/>
          <w:kern w:val="21"/>
          <w:sz w:val="24"/>
          <w:szCs w:val="24"/>
        </w:rPr>
        <w:t>220</w:t>
      </w:r>
      <w:r>
        <w:rPr>
          <w:rFonts w:hint="eastAsia" w:ascii="Times New Roman" w:hAnsi="Times New Roman"/>
          <w:color w:val="auto"/>
          <w:kern w:val="21"/>
          <w:sz w:val="24"/>
          <w:szCs w:val="24"/>
        </w:rPr>
        <w:t>，本项目年周转36次，</w:t>
      </w:r>
      <w:r>
        <w:rPr>
          <w:rFonts w:ascii="Times New Roman" w:hAnsi="Times New Roman"/>
          <w:color w:val="auto"/>
          <w:kern w:val="21"/>
          <w:sz w:val="24"/>
          <w:szCs w:val="24"/>
        </w:rPr>
        <w:t>KN=</w:t>
      </w:r>
      <w:r>
        <w:rPr>
          <w:rFonts w:hint="eastAsia" w:ascii="Times New Roman" w:hAnsi="Times New Roman"/>
          <w:color w:val="auto"/>
          <w:kern w:val="21"/>
          <w:sz w:val="24"/>
          <w:szCs w:val="24"/>
        </w:rPr>
        <w:t>1。</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ascii="Times New Roman" w:hAnsi="Times New Roman"/>
          <w:color w:val="auto"/>
          <w:kern w:val="21"/>
          <w:sz w:val="24"/>
          <w:szCs w:val="24"/>
        </w:rPr>
        <w:t>Kc</w:t>
      </w:r>
      <w:r>
        <w:rPr>
          <w:rFonts w:hint="eastAsia" w:ascii="Times New Roman" w:hAnsi="Times New Roman"/>
          <w:color w:val="auto"/>
          <w:kern w:val="21"/>
          <w:sz w:val="24"/>
          <w:szCs w:val="24"/>
        </w:rPr>
        <w:t>——产品因子（无量纲），</w:t>
      </w:r>
      <w:r>
        <w:rPr>
          <w:rFonts w:ascii="Times New Roman" w:hAnsi="Times New Roman"/>
          <w:color w:val="auto"/>
          <w:kern w:val="21"/>
          <w:sz w:val="24"/>
          <w:szCs w:val="24"/>
        </w:rPr>
        <w:t>0.65</w:t>
      </w:r>
      <w:r>
        <w:rPr>
          <w:rFonts w:hint="eastAsia" w:ascii="Times New Roman" w:hAnsi="Times New Roman"/>
          <w:color w:val="auto"/>
          <w:kern w:val="21"/>
          <w:sz w:val="24"/>
          <w:szCs w:val="24"/>
        </w:rPr>
        <w:t>。</w:t>
      </w:r>
    </w:p>
    <w:p>
      <w:pPr>
        <w:pStyle w:val="288"/>
        <w:adjustRightInd w:val="0"/>
        <w:snapToGrid w:val="0"/>
        <w:spacing w:line="360" w:lineRule="auto"/>
        <w:ind w:firstLine="1200" w:firstLineChars="500"/>
        <w:rPr>
          <w:rFonts w:ascii="Times New Roman" w:hAnsi="Times New Roman"/>
          <w:color w:val="auto"/>
          <w:kern w:val="21"/>
          <w:sz w:val="24"/>
          <w:szCs w:val="24"/>
        </w:rPr>
      </w:pPr>
      <w:r>
        <w:rPr>
          <w:rFonts w:hint="eastAsia" w:ascii="Times New Roman" w:hAnsi="Times New Roman"/>
          <w:color w:val="auto"/>
          <w:kern w:val="21"/>
          <w:sz w:val="24"/>
          <w:szCs w:val="24"/>
        </w:rPr>
        <w:t>M、P——同上式。</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经计算，盐酸储罐的呼吸损失为1.1155</w:t>
      </w:r>
      <w:r>
        <w:rPr>
          <w:rFonts w:ascii="Times New Roman" w:hAnsi="Times New Roman"/>
          <w:color w:val="auto"/>
          <w:kern w:val="21"/>
          <w:sz w:val="24"/>
          <w:szCs w:val="24"/>
        </w:rPr>
        <w:t>kg/a</w:t>
      </w:r>
      <w:r>
        <w:rPr>
          <w:rFonts w:hint="eastAsia" w:ascii="Times New Roman" w:hAnsi="Times New Roman"/>
          <w:color w:val="auto"/>
          <w:kern w:val="21"/>
          <w:sz w:val="24"/>
          <w:szCs w:val="24"/>
          <w:lang w:eastAsia="zh-CN"/>
        </w:rPr>
        <w:t>，</w:t>
      </w:r>
      <w:r>
        <w:rPr>
          <w:rFonts w:hint="eastAsia" w:ascii="Times New Roman" w:hAnsi="Times New Roman"/>
          <w:color w:val="auto"/>
          <w:kern w:val="21"/>
          <w:sz w:val="24"/>
          <w:szCs w:val="24"/>
          <w:lang w:val="en-US" w:eastAsia="zh-CN"/>
        </w:rPr>
        <w:t>0.00014kg/h，</w:t>
      </w:r>
      <w:r>
        <w:rPr>
          <w:rFonts w:hint="eastAsia" w:ascii="Times New Roman" w:hAnsi="Times New Roman"/>
          <w:color w:val="auto"/>
          <w:kern w:val="21"/>
          <w:sz w:val="24"/>
          <w:szCs w:val="24"/>
        </w:rPr>
        <w:t>盐酸工作损失为</w:t>
      </w:r>
      <w:r>
        <w:rPr>
          <w:rFonts w:ascii="Times New Roman" w:hAnsi="Times New Roman"/>
          <w:color w:val="auto"/>
          <w:kern w:val="21"/>
          <w:sz w:val="24"/>
          <w:szCs w:val="24"/>
        </w:rPr>
        <w:t>0.00</w:t>
      </w:r>
      <w:r>
        <w:rPr>
          <w:rFonts w:hint="eastAsia" w:ascii="Times New Roman" w:hAnsi="Times New Roman"/>
          <w:color w:val="auto"/>
          <w:kern w:val="21"/>
          <w:sz w:val="24"/>
          <w:szCs w:val="24"/>
        </w:rPr>
        <w:t>83</w:t>
      </w:r>
      <w:r>
        <w:rPr>
          <w:rFonts w:ascii="Times New Roman" w:hAnsi="Times New Roman"/>
          <w:color w:val="auto"/>
          <w:kern w:val="21"/>
          <w:sz w:val="24"/>
          <w:szCs w:val="24"/>
        </w:rPr>
        <w:t>kg/m</w:t>
      </w:r>
      <w:r>
        <w:rPr>
          <w:rFonts w:ascii="Times New Roman" w:hAnsi="Times New Roman"/>
          <w:color w:val="auto"/>
          <w:kern w:val="21"/>
          <w:sz w:val="24"/>
          <w:szCs w:val="24"/>
          <w:vertAlign w:val="superscript"/>
        </w:rPr>
        <w:t>3</w:t>
      </w:r>
      <w:r>
        <w:rPr>
          <w:rFonts w:hint="eastAsia" w:ascii="Times New Roman" w:hAnsi="Times New Roman"/>
          <w:color w:val="auto"/>
          <w:kern w:val="21"/>
          <w:sz w:val="24"/>
          <w:szCs w:val="24"/>
        </w:rPr>
        <w:t>投入量。根据物料衡算，本项目储存的盐酸约9天外购一次，平均一年外购36次，一次外购量约为10t（8.5m</w:t>
      </w:r>
      <w:r>
        <w:rPr>
          <w:rFonts w:hint="eastAsia" w:ascii="Times New Roman" w:hAnsi="Times New Roman"/>
          <w:color w:val="auto"/>
          <w:kern w:val="21"/>
          <w:sz w:val="24"/>
          <w:szCs w:val="24"/>
          <w:vertAlign w:val="superscript"/>
        </w:rPr>
        <w:t>3</w:t>
      </w:r>
      <w:r>
        <w:rPr>
          <w:rFonts w:hint="eastAsia" w:ascii="Times New Roman" w:hAnsi="Times New Roman"/>
          <w:color w:val="auto"/>
          <w:kern w:val="21"/>
          <w:sz w:val="24"/>
          <w:szCs w:val="24"/>
        </w:rPr>
        <w:t>），则每次损耗氯化氢</w:t>
      </w:r>
      <w:r>
        <w:rPr>
          <w:rFonts w:ascii="Times New Roman" w:hAnsi="Times New Roman"/>
          <w:color w:val="auto"/>
          <w:kern w:val="21"/>
          <w:sz w:val="24"/>
          <w:szCs w:val="24"/>
        </w:rPr>
        <w:t>0.</w:t>
      </w:r>
      <w:r>
        <w:rPr>
          <w:rFonts w:hint="eastAsia" w:ascii="Times New Roman" w:hAnsi="Times New Roman"/>
          <w:color w:val="auto"/>
          <w:kern w:val="21"/>
          <w:sz w:val="24"/>
          <w:szCs w:val="24"/>
        </w:rPr>
        <w:t>07</w:t>
      </w:r>
      <w:r>
        <w:rPr>
          <w:rFonts w:ascii="Times New Roman" w:hAnsi="Times New Roman"/>
          <w:color w:val="auto"/>
          <w:kern w:val="21"/>
          <w:sz w:val="24"/>
          <w:szCs w:val="24"/>
        </w:rPr>
        <w:t>kg</w:t>
      </w:r>
      <w:r>
        <w:rPr>
          <w:rFonts w:hint="eastAsia" w:ascii="Times New Roman" w:hAnsi="Times New Roman"/>
          <w:color w:val="auto"/>
          <w:kern w:val="21"/>
          <w:sz w:val="24"/>
          <w:szCs w:val="24"/>
        </w:rPr>
        <w:t>，则年损失量为2.52</w:t>
      </w:r>
      <w:r>
        <w:rPr>
          <w:rFonts w:ascii="Times New Roman" w:hAnsi="Times New Roman"/>
          <w:color w:val="auto"/>
          <w:kern w:val="21"/>
          <w:sz w:val="24"/>
          <w:szCs w:val="24"/>
        </w:rPr>
        <w:t>kg</w:t>
      </w:r>
      <w:r>
        <w:rPr>
          <w:rFonts w:hint="eastAsia" w:ascii="Times New Roman" w:hAnsi="Times New Roman"/>
          <w:color w:val="auto"/>
          <w:kern w:val="21"/>
          <w:sz w:val="24"/>
          <w:szCs w:val="24"/>
        </w:rPr>
        <w:t>。配套浓盐酸卸料泵流量约5</w:t>
      </w:r>
      <w:r>
        <w:rPr>
          <w:rFonts w:ascii="Times New Roman" w:hAnsi="Times New Roman"/>
          <w:color w:val="auto"/>
          <w:kern w:val="21"/>
          <w:sz w:val="24"/>
          <w:szCs w:val="24"/>
        </w:rPr>
        <w:t>m</w:t>
      </w:r>
      <w:r>
        <w:rPr>
          <w:rFonts w:ascii="Times New Roman" w:hAnsi="Times New Roman"/>
          <w:color w:val="auto"/>
          <w:kern w:val="21"/>
          <w:sz w:val="24"/>
          <w:szCs w:val="24"/>
          <w:vertAlign w:val="superscript"/>
        </w:rPr>
        <w:t>3</w:t>
      </w:r>
      <w:r>
        <w:rPr>
          <w:rFonts w:ascii="Times New Roman" w:hAnsi="Times New Roman"/>
          <w:color w:val="auto"/>
          <w:kern w:val="21"/>
          <w:sz w:val="24"/>
          <w:szCs w:val="24"/>
        </w:rPr>
        <w:t>/h</w:t>
      </w:r>
      <w:r>
        <w:rPr>
          <w:rFonts w:hint="eastAsia" w:ascii="Times New Roman" w:hAnsi="Times New Roman"/>
          <w:color w:val="auto"/>
          <w:kern w:val="21"/>
          <w:sz w:val="24"/>
          <w:szCs w:val="24"/>
        </w:rPr>
        <w:t>，</w:t>
      </w:r>
      <w:r>
        <w:rPr>
          <w:rFonts w:hint="eastAsia" w:ascii="Times New Roman" w:hAnsi="Times New Roman"/>
          <w:color w:val="auto"/>
          <w:kern w:val="21"/>
          <w:sz w:val="24"/>
          <w:szCs w:val="24"/>
          <w:lang w:val="en-US" w:eastAsia="zh-CN"/>
        </w:rPr>
        <w:t>则每年卸料时间为61.2h/a，</w:t>
      </w:r>
      <w:r>
        <w:rPr>
          <w:rFonts w:hint="eastAsia" w:ascii="Times New Roman" w:hAnsi="Times New Roman"/>
          <w:color w:val="auto"/>
          <w:kern w:val="21"/>
          <w:sz w:val="24"/>
          <w:szCs w:val="24"/>
        </w:rPr>
        <w:t>每小时损失为</w:t>
      </w:r>
      <w:r>
        <w:rPr>
          <w:rFonts w:ascii="Times New Roman" w:hAnsi="Times New Roman"/>
          <w:color w:val="auto"/>
          <w:kern w:val="21"/>
          <w:sz w:val="24"/>
          <w:szCs w:val="24"/>
        </w:rPr>
        <w:t>0.0</w:t>
      </w:r>
      <w:r>
        <w:rPr>
          <w:rFonts w:hint="eastAsia" w:ascii="Times New Roman" w:hAnsi="Times New Roman"/>
          <w:color w:val="auto"/>
          <w:kern w:val="21"/>
          <w:sz w:val="24"/>
          <w:szCs w:val="24"/>
        </w:rPr>
        <w:t>41</w:t>
      </w:r>
      <w:r>
        <w:rPr>
          <w:rFonts w:ascii="Times New Roman" w:hAnsi="Times New Roman"/>
          <w:color w:val="auto"/>
          <w:kern w:val="21"/>
          <w:sz w:val="24"/>
          <w:szCs w:val="24"/>
        </w:rPr>
        <w:t>kg/h</w:t>
      </w:r>
      <w:r>
        <w:rPr>
          <w:rFonts w:hint="eastAsia" w:ascii="Times New Roman" w:hAnsi="Times New Roman"/>
          <w:color w:val="auto"/>
          <w:kern w:val="21"/>
          <w:sz w:val="24"/>
          <w:szCs w:val="24"/>
        </w:rPr>
        <w:t>。</w:t>
      </w:r>
    </w:p>
    <w:p>
      <w:pPr>
        <w:pStyle w:val="288"/>
        <w:adjustRightInd w:val="0"/>
        <w:snapToGrid w:val="0"/>
        <w:spacing w:line="360" w:lineRule="auto"/>
        <w:ind w:firstLine="480" w:firstLineChars="200"/>
        <w:rPr>
          <w:rFonts w:ascii="Times New Roman" w:hAnsi="Times New Roman"/>
          <w:color w:val="auto"/>
          <w:kern w:val="21"/>
          <w:sz w:val="24"/>
          <w:szCs w:val="24"/>
        </w:rPr>
      </w:pPr>
      <w:r>
        <w:rPr>
          <w:rFonts w:hint="eastAsia" w:ascii="Times New Roman" w:hAnsi="Times New Roman"/>
          <w:color w:val="auto"/>
          <w:kern w:val="21"/>
          <w:sz w:val="24"/>
          <w:szCs w:val="24"/>
        </w:rPr>
        <w:t>综上，本项目盐酸储罐损失的氯化氢最大量合计为</w:t>
      </w:r>
      <w:r>
        <w:rPr>
          <w:rFonts w:ascii="Times New Roman" w:hAnsi="Times New Roman"/>
          <w:color w:val="auto"/>
          <w:kern w:val="21"/>
          <w:sz w:val="24"/>
          <w:szCs w:val="24"/>
        </w:rPr>
        <w:t>3.6</w:t>
      </w:r>
      <w:r>
        <w:rPr>
          <w:rFonts w:hint="eastAsia" w:ascii="Times New Roman" w:hAnsi="Times New Roman"/>
          <w:color w:val="auto"/>
          <w:kern w:val="21"/>
          <w:sz w:val="24"/>
          <w:szCs w:val="24"/>
        </w:rPr>
        <w:t>355</w:t>
      </w:r>
      <w:r>
        <w:rPr>
          <w:rFonts w:ascii="Times New Roman" w:hAnsi="Times New Roman"/>
          <w:color w:val="auto"/>
          <w:kern w:val="21"/>
          <w:sz w:val="24"/>
          <w:szCs w:val="24"/>
        </w:rPr>
        <w:t>kg/a</w:t>
      </w:r>
      <w:r>
        <w:rPr>
          <w:rFonts w:hint="eastAsia" w:ascii="Times New Roman" w:hAnsi="Times New Roman"/>
          <w:color w:val="auto"/>
          <w:kern w:val="21"/>
          <w:sz w:val="24"/>
          <w:szCs w:val="24"/>
        </w:rPr>
        <w:t>，最大损失速率为</w:t>
      </w:r>
      <w:r>
        <w:rPr>
          <w:rFonts w:hint="eastAsia" w:ascii="Times New Roman" w:hAnsi="Times New Roman"/>
          <w:color w:val="auto"/>
          <w:kern w:val="21"/>
          <w:sz w:val="24"/>
          <w:szCs w:val="24"/>
          <w:lang w:eastAsia="zh-CN"/>
        </w:rPr>
        <w:t>（</w:t>
      </w:r>
      <w:r>
        <w:rPr>
          <w:rFonts w:hint="eastAsia" w:ascii="Times New Roman" w:hAnsi="Times New Roman"/>
          <w:color w:val="auto"/>
          <w:kern w:val="21"/>
          <w:sz w:val="24"/>
          <w:szCs w:val="24"/>
          <w:lang w:val="en-US" w:eastAsia="zh-CN"/>
        </w:rPr>
        <w:t>卸料速率0.041kg/h+储罐呼吸速率0.000141kg/h=0.041kg/h</w:t>
      </w:r>
      <w:r>
        <w:rPr>
          <w:rFonts w:hint="eastAsia" w:ascii="Times New Roman" w:hAnsi="Times New Roman"/>
          <w:color w:val="auto"/>
          <w:kern w:val="21"/>
          <w:sz w:val="24"/>
          <w:szCs w:val="24"/>
          <w:lang w:eastAsia="zh-CN"/>
        </w:rPr>
        <w:t>）</w:t>
      </w:r>
      <w:r>
        <w:rPr>
          <w:rFonts w:ascii="Times New Roman" w:hAnsi="Times New Roman"/>
          <w:color w:val="auto"/>
          <w:kern w:val="21"/>
          <w:sz w:val="24"/>
          <w:szCs w:val="24"/>
        </w:rPr>
        <w:t>0.0</w:t>
      </w:r>
      <w:r>
        <w:rPr>
          <w:rFonts w:hint="eastAsia" w:ascii="Times New Roman" w:hAnsi="Times New Roman"/>
          <w:color w:val="auto"/>
          <w:kern w:val="21"/>
          <w:sz w:val="24"/>
          <w:szCs w:val="24"/>
        </w:rPr>
        <w:t>41</w:t>
      </w:r>
      <w:r>
        <w:rPr>
          <w:rFonts w:ascii="Times New Roman" w:hAnsi="Times New Roman"/>
          <w:color w:val="auto"/>
          <w:kern w:val="21"/>
          <w:sz w:val="24"/>
          <w:szCs w:val="24"/>
        </w:rPr>
        <w:t>kg/h</w:t>
      </w:r>
      <w:r>
        <w:rPr>
          <w:rFonts w:hint="eastAsia" w:ascii="Times New Roman" w:hAnsi="Times New Roman"/>
          <w:color w:val="auto"/>
          <w:kern w:val="21"/>
          <w:sz w:val="24"/>
          <w:szCs w:val="24"/>
        </w:rPr>
        <w:t>。</w:t>
      </w:r>
    </w:p>
    <w:p>
      <w:pPr>
        <w:pStyle w:val="288"/>
        <w:adjustRightInd w:val="0"/>
        <w:snapToGrid w:val="0"/>
        <w:spacing w:line="360" w:lineRule="auto"/>
        <w:ind w:firstLine="482" w:firstLineChars="200"/>
        <w:rPr>
          <w:rFonts w:ascii="Times New Roman" w:hAnsi="Times New Roman"/>
          <w:b/>
          <w:color w:val="auto"/>
          <w:kern w:val="21"/>
          <w:sz w:val="24"/>
          <w:szCs w:val="24"/>
          <w:u w:val="single"/>
        </w:rPr>
      </w:pPr>
      <w:r>
        <w:rPr>
          <w:rFonts w:hint="eastAsia" w:ascii="Times New Roman" w:hAnsi="Times New Roman"/>
          <w:b/>
          <w:color w:val="auto"/>
          <w:kern w:val="21"/>
          <w:sz w:val="24"/>
          <w:szCs w:val="24"/>
          <w:u w:val="single"/>
        </w:rPr>
        <w:t>本项目产生的</w:t>
      </w:r>
      <w:r>
        <w:rPr>
          <w:rFonts w:hint="eastAsia" w:ascii="Times New Roman" w:hAnsi="Times New Roman"/>
          <w:b/>
          <w:color w:val="auto"/>
          <w:kern w:val="21"/>
          <w:sz w:val="24"/>
          <w:szCs w:val="24"/>
          <w:u w:val="single"/>
          <w:lang w:val="en-US" w:eastAsia="zh-CN"/>
        </w:rPr>
        <w:t>卸料及呼吸</w:t>
      </w:r>
      <w:r>
        <w:rPr>
          <w:rFonts w:hint="eastAsia" w:ascii="Times New Roman" w:hAnsi="Times New Roman"/>
          <w:b/>
          <w:color w:val="auto"/>
          <w:kern w:val="21"/>
          <w:sz w:val="24"/>
          <w:szCs w:val="24"/>
          <w:u w:val="single"/>
        </w:rPr>
        <w:t>废气通过管道收集引至</w:t>
      </w:r>
      <w:r>
        <w:rPr>
          <w:b/>
          <w:color w:val="auto"/>
          <w:kern w:val="21"/>
          <w:sz w:val="24"/>
          <w:szCs w:val="24"/>
          <w:u w:val="single"/>
        </w:rPr>
        <w:t>二级碱液喷淋中和塔（与盖帽线共用）</w:t>
      </w:r>
      <w:r>
        <w:rPr>
          <w:rFonts w:hint="eastAsia" w:ascii="Times New Roman" w:hAnsi="Times New Roman"/>
          <w:b/>
          <w:color w:val="auto"/>
          <w:kern w:val="21"/>
          <w:sz w:val="24"/>
          <w:szCs w:val="24"/>
          <w:u w:val="single"/>
        </w:rPr>
        <w:t>，经处理后，最后通过</w:t>
      </w:r>
      <w:r>
        <w:rPr>
          <w:rFonts w:ascii="Times New Roman" w:hAnsi="Times New Roman"/>
          <w:b/>
          <w:color w:val="auto"/>
          <w:kern w:val="21"/>
          <w:sz w:val="24"/>
          <w:szCs w:val="24"/>
          <w:u w:val="single"/>
        </w:rPr>
        <w:t xml:space="preserve">15m </w:t>
      </w:r>
      <w:r>
        <w:rPr>
          <w:rFonts w:hint="eastAsia" w:ascii="Times New Roman" w:hAnsi="Times New Roman"/>
          <w:b/>
          <w:color w:val="auto"/>
          <w:kern w:val="21"/>
          <w:sz w:val="24"/>
          <w:szCs w:val="24"/>
          <w:u w:val="single"/>
        </w:rPr>
        <w:t>高排气筒排放。</w:t>
      </w:r>
    </w:p>
    <w:p>
      <w:pPr>
        <w:pStyle w:val="288"/>
        <w:adjustRightInd w:val="0"/>
        <w:snapToGrid w:val="0"/>
        <w:spacing w:line="360" w:lineRule="auto"/>
        <w:ind w:firstLine="482" w:firstLineChars="200"/>
        <w:rPr>
          <w:rFonts w:ascii="Times New Roman" w:hAnsi="Times New Roman"/>
          <w:color w:val="auto"/>
          <w:kern w:val="21"/>
          <w:sz w:val="24"/>
          <w:szCs w:val="24"/>
        </w:rPr>
      </w:pPr>
      <w:r>
        <w:rPr>
          <w:rFonts w:hint="eastAsia" w:ascii="Times New Roman" w:hAnsi="Times New Roman"/>
          <w:b/>
          <w:color w:val="auto"/>
          <w:kern w:val="21"/>
          <w:sz w:val="24"/>
          <w:szCs w:val="24"/>
          <w:u w:val="single"/>
          <w:lang w:val="en-US" w:eastAsia="zh-CN"/>
        </w:rPr>
        <w:t>盐酸卸料及</w:t>
      </w:r>
      <w:r>
        <w:rPr>
          <w:rFonts w:hint="eastAsia" w:ascii="Times New Roman" w:hAnsi="Times New Roman"/>
          <w:b/>
          <w:color w:val="auto"/>
          <w:kern w:val="21"/>
          <w:sz w:val="24"/>
          <w:szCs w:val="24"/>
          <w:u w:val="single"/>
        </w:rPr>
        <w:t>储罐呼吸废气通过管道集中收集处理，仍有部分酸性废气（氯化氢）以无组织形式排放，无组织排放量以总产生量的5</w:t>
      </w:r>
      <w:r>
        <w:rPr>
          <w:rFonts w:ascii="Times New Roman" w:hAnsi="Times New Roman"/>
          <w:b/>
          <w:color w:val="auto"/>
          <w:kern w:val="21"/>
          <w:sz w:val="24"/>
          <w:szCs w:val="24"/>
          <w:u w:val="single"/>
        </w:rPr>
        <w:t>%</w:t>
      </w:r>
      <w:r>
        <w:rPr>
          <w:rFonts w:hint="eastAsia" w:ascii="Times New Roman" w:hAnsi="Times New Roman"/>
          <w:b/>
          <w:color w:val="auto"/>
          <w:kern w:val="21"/>
          <w:sz w:val="24"/>
          <w:szCs w:val="24"/>
          <w:u w:val="single"/>
        </w:rPr>
        <w:t>计算，则危化品库无组织氯化氢最大排放速率为</w:t>
      </w:r>
      <w:r>
        <w:rPr>
          <w:rFonts w:ascii="Times New Roman" w:hAnsi="Times New Roman"/>
          <w:b/>
          <w:color w:val="auto"/>
          <w:kern w:val="21"/>
          <w:sz w:val="24"/>
          <w:szCs w:val="24"/>
          <w:u w:val="single"/>
        </w:rPr>
        <w:t>0.00</w:t>
      </w:r>
      <w:r>
        <w:rPr>
          <w:rFonts w:hint="eastAsia" w:ascii="Times New Roman" w:hAnsi="Times New Roman"/>
          <w:b/>
          <w:color w:val="auto"/>
          <w:kern w:val="21"/>
          <w:sz w:val="24"/>
          <w:szCs w:val="24"/>
          <w:u w:val="single"/>
        </w:rPr>
        <w:t>21</w:t>
      </w:r>
      <w:r>
        <w:rPr>
          <w:rFonts w:ascii="Times New Roman" w:hAnsi="Times New Roman"/>
          <w:b/>
          <w:color w:val="auto"/>
          <w:kern w:val="21"/>
          <w:sz w:val="24"/>
          <w:szCs w:val="24"/>
          <w:u w:val="single"/>
        </w:rPr>
        <w:t>kg/h</w:t>
      </w:r>
      <w:r>
        <w:rPr>
          <w:rFonts w:hint="eastAsia" w:ascii="Times New Roman" w:hAnsi="Times New Roman"/>
          <w:b/>
          <w:color w:val="auto"/>
          <w:kern w:val="21"/>
          <w:sz w:val="24"/>
          <w:szCs w:val="24"/>
          <w:u w:val="single"/>
        </w:rPr>
        <w:t>，无组织年排放量为</w:t>
      </w:r>
      <w:r>
        <w:rPr>
          <w:rFonts w:ascii="Times New Roman" w:hAnsi="Times New Roman"/>
          <w:b/>
          <w:color w:val="auto"/>
          <w:kern w:val="21"/>
          <w:sz w:val="24"/>
          <w:szCs w:val="24"/>
          <w:u w:val="single"/>
        </w:rPr>
        <w:t>0.000</w:t>
      </w:r>
      <w:r>
        <w:rPr>
          <w:rFonts w:hint="eastAsia" w:ascii="Times New Roman" w:hAnsi="Times New Roman"/>
          <w:b/>
          <w:color w:val="auto"/>
          <w:kern w:val="21"/>
          <w:sz w:val="24"/>
          <w:szCs w:val="24"/>
          <w:u w:val="single"/>
        </w:rPr>
        <w:t>18</w:t>
      </w:r>
      <w:r>
        <w:rPr>
          <w:rFonts w:hint="eastAsia" w:ascii="Times New Roman" w:hAnsi="Times New Roman"/>
          <w:b/>
          <w:color w:val="auto"/>
          <w:kern w:val="21"/>
          <w:sz w:val="24"/>
          <w:szCs w:val="24"/>
          <w:u w:val="single"/>
          <w:lang w:val="en-US" w:eastAsia="zh-CN"/>
        </w:rPr>
        <w:t>t</w:t>
      </w:r>
      <w:r>
        <w:rPr>
          <w:rFonts w:ascii="Times New Roman" w:hAnsi="Times New Roman"/>
          <w:b/>
          <w:color w:val="auto"/>
          <w:kern w:val="21"/>
          <w:sz w:val="24"/>
          <w:szCs w:val="24"/>
          <w:u w:val="single"/>
        </w:rPr>
        <w:t>/a</w:t>
      </w:r>
      <w:r>
        <w:rPr>
          <w:rFonts w:hint="eastAsia" w:ascii="Times New Roman" w:hAnsi="Times New Roman"/>
          <w:b/>
          <w:color w:val="auto"/>
          <w:kern w:val="21"/>
          <w:sz w:val="24"/>
          <w:szCs w:val="24"/>
          <w:u w:val="single"/>
        </w:rPr>
        <w:t>。</w:t>
      </w:r>
    </w:p>
    <w:p>
      <w:pPr>
        <w:pStyle w:val="288"/>
        <w:adjustRightInd w:val="0"/>
        <w:snapToGrid w:val="0"/>
        <w:spacing w:line="360" w:lineRule="auto"/>
        <w:ind w:firstLine="480" w:firstLineChars="200"/>
        <w:rPr>
          <w:rFonts w:ascii="Times New Roman" w:hAnsi="Times New Roman"/>
          <w:color w:val="auto"/>
          <w:kern w:val="21"/>
          <w:sz w:val="24"/>
          <w:szCs w:val="24"/>
        </w:rPr>
        <w:sectPr>
          <w:pgSz w:w="11907" w:h="16840"/>
          <w:pgMar w:top="1440" w:right="1800" w:bottom="1440" w:left="1800" w:header="1134" w:footer="1029" w:gutter="0"/>
          <w:cols w:space="720" w:num="1"/>
        </w:sectPr>
      </w:pPr>
      <w:r>
        <w:rPr>
          <w:rFonts w:hint="eastAsia" w:ascii="Times New Roman" w:hAnsi="Times New Roman"/>
          <w:color w:val="auto"/>
          <w:kern w:val="21"/>
          <w:sz w:val="24"/>
          <w:szCs w:val="24"/>
        </w:rPr>
        <w:t>综上，本项目各项废气污染源源强核算结果及相关参数情况见下表。</w:t>
      </w:r>
    </w:p>
    <w:p>
      <w:pPr>
        <w:adjustRightInd w:val="0"/>
        <w:snapToGrid w:val="0"/>
        <w:jc w:val="center"/>
        <w:rPr>
          <w:rFonts w:eastAsia="黑体"/>
          <w:color w:val="auto"/>
          <w:kern w:val="21"/>
          <w:sz w:val="24"/>
          <w:szCs w:val="24"/>
        </w:rPr>
      </w:pPr>
      <w:r>
        <w:rPr>
          <w:rFonts w:hint="eastAsia" w:eastAsia="黑体"/>
          <w:color w:val="auto"/>
          <w:kern w:val="21"/>
          <w:sz w:val="24"/>
          <w:szCs w:val="24"/>
        </w:rPr>
        <w:t>表3.4-5  废气污染源源强核算结果及相关参数一览表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1136"/>
        <w:gridCol w:w="850"/>
        <w:gridCol w:w="855"/>
        <w:gridCol w:w="853"/>
        <w:gridCol w:w="990"/>
        <w:gridCol w:w="999"/>
        <w:gridCol w:w="990"/>
        <w:gridCol w:w="710"/>
        <w:gridCol w:w="990"/>
        <w:gridCol w:w="990"/>
        <w:gridCol w:w="1132"/>
        <w:gridCol w:w="996"/>
        <w:gridCol w:w="1132"/>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装置</w:t>
            </w:r>
          </w:p>
        </w:tc>
        <w:tc>
          <w:tcPr>
            <w:tcW w:w="4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污染源</w:t>
            </w:r>
          </w:p>
        </w:tc>
        <w:tc>
          <w:tcPr>
            <w:tcW w:w="29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污染物</w:t>
            </w:r>
          </w:p>
        </w:tc>
        <w:tc>
          <w:tcPr>
            <w:tcW w:w="1303" w:type="pct"/>
            <w:gridSpan w:val="4"/>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污染物产生</w:t>
            </w:r>
          </w:p>
        </w:tc>
        <w:tc>
          <w:tcPr>
            <w:tcW w:w="599" w:type="pct"/>
            <w:gridSpan w:val="2"/>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治理措施</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排气筒编号</w:t>
            </w:r>
          </w:p>
        </w:tc>
        <w:tc>
          <w:tcPr>
            <w:tcW w:w="1099" w:type="pct"/>
            <w:gridSpan w:val="3"/>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有组织污染物排放</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b/>
                <w:bCs/>
                <w:color w:val="auto"/>
                <w:sz w:val="18"/>
                <w:szCs w:val="18"/>
              </w:rPr>
              <w:t>无组织污染物排放</w:t>
            </w:r>
          </w:p>
        </w:tc>
        <w:tc>
          <w:tcPr>
            <w:tcW w:w="258"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9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rFonts w:hint="eastAsia"/>
                <w:b/>
                <w:bCs/>
                <w:color w:val="auto"/>
                <w:sz w:val="18"/>
                <w:szCs w:val="18"/>
              </w:rPr>
            </w:pPr>
            <w:r>
              <w:rPr>
                <w:rFonts w:hint="eastAsia"/>
                <w:b/>
                <w:bCs/>
                <w:color w:val="auto"/>
                <w:sz w:val="18"/>
                <w:szCs w:val="18"/>
              </w:rPr>
              <w:t>核算</w:t>
            </w:r>
          </w:p>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方法</w:t>
            </w:r>
          </w:p>
        </w:tc>
        <w:tc>
          <w:tcPr>
            <w:tcW w:w="30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烟气量（m</w:t>
            </w:r>
            <w:r>
              <w:rPr>
                <w:rFonts w:hint="eastAsia"/>
                <w:b/>
                <w:bCs/>
                <w:color w:val="auto"/>
                <w:sz w:val="18"/>
                <w:szCs w:val="18"/>
                <w:vertAlign w:val="superscript"/>
              </w:rPr>
              <w:t>3</w:t>
            </w:r>
            <w:r>
              <w:rPr>
                <w:rFonts w:hint="eastAsia"/>
                <w:b/>
                <w:bCs/>
                <w:color w:val="auto"/>
                <w:sz w:val="18"/>
                <w:szCs w:val="18"/>
              </w:rPr>
              <w:t>/h）</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质量浓度（mg/m</w:t>
            </w:r>
            <w:r>
              <w:rPr>
                <w:rFonts w:hint="eastAsia"/>
                <w:b/>
                <w:bCs/>
                <w:color w:val="auto"/>
                <w:sz w:val="18"/>
                <w:szCs w:val="18"/>
                <w:vertAlign w:val="superscript"/>
              </w:rPr>
              <w:t>3</w:t>
            </w:r>
            <w:r>
              <w:rPr>
                <w:rFonts w:hint="eastAsia"/>
                <w:b/>
                <w:bCs/>
                <w:color w:val="auto"/>
                <w:sz w:val="18"/>
                <w:szCs w:val="18"/>
              </w:rPr>
              <w:t>）</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产生量（kg/h）</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工艺</w:t>
            </w: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效率</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烟气量（m</w:t>
            </w:r>
            <w:r>
              <w:rPr>
                <w:rFonts w:hint="eastAsia"/>
                <w:b/>
                <w:bCs/>
                <w:color w:val="auto"/>
                <w:sz w:val="18"/>
                <w:szCs w:val="18"/>
                <w:vertAlign w:val="superscript"/>
              </w:rPr>
              <w:t>3</w:t>
            </w:r>
            <w:r>
              <w:rPr>
                <w:rFonts w:hint="eastAsia"/>
                <w:b/>
                <w:bCs/>
                <w:color w:val="auto"/>
                <w:sz w:val="18"/>
                <w:szCs w:val="18"/>
              </w:rPr>
              <w:t>/h）</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质量浓度（mg/m</w:t>
            </w:r>
            <w:r>
              <w:rPr>
                <w:rFonts w:hint="eastAsia"/>
                <w:b/>
                <w:bCs/>
                <w:color w:val="auto"/>
                <w:sz w:val="18"/>
                <w:szCs w:val="18"/>
                <w:vertAlign w:val="superscript"/>
              </w:rPr>
              <w:t>3</w:t>
            </w:r>
            <w:r>
              <w:rPr>
                <w:rFonts w:hint="eastAsia"/>
                <w:b/>
                <w:bCs/>
                <w:color w:val="auto"/>
                <w:sz w:val="18"/>
                <w:szCs w:val="18"/>
              </w:rPr>
              <w:t>）</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排放量（kg/h）</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rPr>
            </w:pPr>
            <w:r>
              <w:rPr>
                <w:rFonts w:hint="eastAsia"/>
                <w:b/>
                <w:bCs/>
                <w:color w:val="auto"/>
                <w:sz w:val="18"/>
                <w:szCs w:val="18"/>
              </w:rPr>
              <w:t>排放量（kg/h）</w:t>
            </w:r>
          </w:p>
        </w:tc>
        <w:tc>
          <w:tcPr>
            <w:tcW w:w="258"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89" w:type="pct"/>
            <w:shd w:val="clear" w:color="auto" w:fill="auto"/>
            <w:vAlign w:val="center"/>
          </w:tcPr>
          <w:p>
            <w:pPr>
              <w:keepNext w:val="0"/>
              <w:keepLines w:val="0"/>
              <w:pageBreakBefore w:val="0"/>
              <w:kinsoku/>
              <w:wordWrap/>
              <w:overflowPunct/>
              <w:topLinePunct w:val="0"/>
              <w:autoSpaceDE/>
              <w:autoSpaceDN/>
              <w:bidi w:val="0"/>
              <w:adjustRightInd w:val="0"/>
              <w:snapToGrid w:val="0"/>
              <w:jc w:val="center"/>
              <w:textAlignment w:val="auto"/>
              <w:rPr>
                <w:color w:val="auto"/>
                <w:kern w:val="21"/>
                <w:sz w:val="18"/>
                <w:szCs w:val="18"/>
              </w:rPr>
            </w:pPr>
            <w:r>
              <w:rPr>
                <w:color w:val="auto"/>
                <w:kern w:val="21"/>
                <w:sz w:val="18"/>
                <w:szCs w:val="18"/>
              </w:rPr>
              <w:t>酸洗槽</w:t>
            </w:r>
          </w:p>
        </w:tc>
        <w:tc>
          <w:tcPr>
            <w:tcW w:w="4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color w:val="auto"/>
                <w:kern w:val="21"/>
                <w:sz w:val="18"/>
                <w:szCs w:val="18"/>
              </w:rPr>
              <w:t>二级碱液喷淋中和塔排气筒</w:t>
            </w:r>
          </w:p>
        </w:tc>
        <w:tc>
          <w:tcPr>
            <w:tcW w:w="29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HCl</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产污系数法</w:t>
            </w:r>
          </w:p>
        </w:tc>
        <w:tc>
          <w:tcPr>
            <w:tcW w:w="3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38000</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16.913</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0.6427</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二级喷淋中和塔</w:t>
            </w:r>
          </w:p>
        </w:tc>
        <w:tc>
          <w:tcPr>
            <w:tcW w:w="25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95%</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DA001</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38000</w:t>
            </w:r>
          </w:p>
        </w:tc>
        <w:tc>
          <w:tcPr>
            <w:tcW w:w="39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0.895</w:t>
            </w:r>
          </w:p>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（基准浓度2.747）</w:t>
            </w:r>
          </w:p>
        </w:tc>
        <w:tc>
          <w:tcPr>
            <w:tcW w:w="351"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rFonts w:hint="eastAsia" w:eastAsia="宋体"/>
                <w:color w:val="auto"/>
                <w:sz w:val="18"/>
                <w:szCs w:val="18"/>
                <w:lang w:val="en-US" w:eastAsia="zh-CN"/>
              </w:rPr>
            </w:pPr>
            <w:r>
              <w:rPr>
                <w:rFonts w:hint="eastAsia"/>
                <w:color w:val="auto"/>
                <w:sz w:val="18"/>
                <w:szCs w:val="18"/>
                <w:highlight w:val="none"/>
              </w:rPr>
              <w:t>0.034</w:t>
            </w:r>
            <w:r>
              <w:rPr>
                <w:rFonts w:hint="eastAsia"/>
                <w:color w:val="auto"/>
                <w:sz w:val="18"/>
                <w:szCs w:val="18"/>
                <w:highlight w:val="none"/>
                <w:lang w:val="en-US" w:eastAsia="zh-CN"/>
              </w:rPr>
              <w:t>2</w:t>
            </w:r>
          </w:p>
        </w:tc>
        <w:tc>
          <w:tcPr>
            <w:tcW w:w="39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rFonts w:hint="eastAsia" w:eastAsia="宋体"/>
                <w:color w:val="auto"/>
                <w:sz w:val="18"/>
                <w:szCs w:val="18"/>
                <w:lang w:val="en-US" w:eastAsia="zh-CN"/>
              </w:rPr>
            </w:pPr>
            <w:r>
              <w:rPr>
                <w:rFonts w:hint="eastAsia"/>
                <w:color w:val="auto"/>
                <w:sz w:val="18"/>
                <w:szCs w:val="18"/>
              </w:rPr>
              <w:t>0.035</w:t>
            </w:r>
            <w:r>
              <w:rPr>
                <w:rFonts w:hint="eastAsia"/>
                <w:color w:val="auto"/>
                <w:sz w:val="18"/>
                <w:szCs w:val="18"/>
                <w:lang w:val="en-US" w:eastAsia="zh-CN"/>
              </w:rPr>
              <w:t>9</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rFonts w:hint="default" w:eastAsia="宋体"/>
                <w:color w:val="auto"/>
                <w:sz w:val="18"/>
                <w:szCs w:val="18"/>
                <w:lang w:val="en-US" w:eastAsia="zh-CN"/>
              </w:rPr>
            </w:pPr>
            <w:r>
              <w:rPr>
                <w:rFonts w:hint="eastAsia"/>
                <w:color w:val="auto"/>
                <w:sz w:val="18"/>
                <w:szCs w:val="18"/>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trPr>
        <w:tc>
          <w:tcPr>
            <w:tcW w:w="289" w:type="pct"/>
            <w:shd w:val="clear" w:color="auto" w:fill="auto"/>
            <w:vAlign w:val="center"/>
          </w:tcPr>
          <w:p>
            <w:pPr>
              <w:keepNext w:val="0"/>
              <w:keepLines w:val="0"/>
              <w:pageBreakBefore w:val="0"/>
              <w:kinsoku/>
              <w:wordWrap/>
              <w:overflowPunct/>
              <w:topLinePunct w:val="0"/>
              <w:autoSpaceDE/>
              <w:autoSpaceDN/>
              <w:bidi w:val="0"/>
              <w:adjustRightInd w:val="0"/>
              <w:snapToGrid w:val="0"/>
              <w:jc w:val="center"/>
              <w:textAlignment w:val="auto"/>
              <w:rPr>
                <w:color w:val="auto"/>
                <w:kern w:val="21"/>
                <w:sz w:val="18"/>
                <w:szCs w:val="18"/>
              </w:rPr>
            </w:pPr>
            <w:r>
              <w:rPr>
                <w:color w:val="auto"/>
                <w:kern w:val="21"/>
                <w:sz w:val="18"/>
                <w:szCs w:val="18"/>
              </w:rPr>
              <w:t>酸储罐</w:t>
            </w: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kern w:val="21"/>
                <w:sz w:val="18"/>
                <w:szCs w:val="18"/>
              </w:rPr>
            </w:pPr>
          </w:p>
        </w:tc>
        <w:tc>
          <w:tcPr>
            <w:tcW w:w="29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产污系数法</w:t>
            </w:r>
          </w:p>
        </w:tc>
        <w:tc>
          <w:tcPr>
            <w:tcW w:w="3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1.02</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0.0389</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9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51"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9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rFonts w:hint="default" w:eastAsia="宋体"/>
                <w:color w:val="auto"/>
                <w:sz w:val="18"/>
                <w:szCs w:val="18"/>
                <w:lang w:val="en-US" w:eastAsia="zh-CN"/>
              </w:rPr>
            </w:pPr>
            <w:r>
              <w:rPr>
                <w:rFonts w:hint="eastAsia"/>
                <w:color w:val="auto"/>
                <w:sz w:val="18"/>
                <w:szCs w:val="18"/>
                <w:lang w:val="en-US" w:eastAsia="zh-CN"/>
              </w:rPr>
              <w:t>7920/61.2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28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6t/h锅炉</w:t>
            </w:r>
          </w:p>
        </w:tc>
        <w:tc>
          <w:tcPr>
            <w:tcW w:w="4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北厂房锅炉排气筒</w:t>
            </w: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颗粒物</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类比法</w:t>
            </w:r>
          </w:p>
        </w:tc>
        <w:tc>
          <w:tcPr>
            <w:tcW w:w="3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4835.96</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4.8</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0.0232</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低氮燃烧+烟气再循环</w:t>
            </w: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DA002</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4835.96</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4.8</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0.0232</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SO</w:t>
            </w:r>
            <w:r>
              <w:rPr>
                <w:rFonts w:hint="eastAsia"/>
                <w:color w:val="auto"/>
                <w:vertAlign w:val="subscript"/>
              </w:rPr>
              <w:t>2</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产污系数法</w:t>
            </w:r>
          </w:p>
        </w:tc>
        <w:tc>
          <w:tcPr>
            <w:tcW w:w="3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9.28</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0.0449</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9.28</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0.0449</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NOx</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产污系数法</w:t>
            </w:r>
          </w:p>
        </w:tc>
        <w:tc>
          <w:tcPr>
            <w:tcW w:w="3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28.12</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0.1360</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28.12</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0.1360</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28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4t/h锅炉</w:t>
            </w: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颗粒物</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类比法</w:t>
            </w:r>
          </w:p>
        </w:tc>
        <w:tc>
          <w:tcPr>
            <w:tcW w:w="3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3224.02</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4.8</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0.0155</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3224.02</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4.8</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0.0155</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8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SO</w:t>
            </w:r>
            <w:r>
              <w:rPr>
                <w:rFonts w:hint="eastAsia"/>
                <w:color w:val="auto"/>
                <w:vertAlign w:val="subscript"/>
              </w:rPr>
              <w:t>2</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产污系数法</w:t>
            </w:r>
          </w:p>
        </w:tc>
        <w:tc>
          <w:tcPr>
            <w:tcW w:w="3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9.28</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0.0299</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9.28</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0.0299</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28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NOx</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rPr>
              <w:t>产污系数法</w:t>
            </w:r>
          </w:p>
        </w:tc>
        <w:tc>
          <w:tcPr>
            <w:tcW w:w="3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28.12</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0.0906</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28.12</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0.0906</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color w:val="auto"/>
                <w:sz w:val="18"/>
                <w:szCs w:val="18"/>
              </w:rPr>
            </w:pPr>
            <w:r>
              <w:rPr>
                <w:rFonts w:hint="eastAsia"/>
                <w:color w:val="auto"/>
                <w:sz w:val="18"/>
                <w:szCs w:val="18"/>
              </w:rPr>
              <w:t>2640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vMerge w:val="restart"/>
            <w:shd w:val="clear" w:color="auto" w:fill="auto"/>
            <w:vAlign w:val="center"/>
          </w:tcPr>
          <w:p>
            <w:pPr>
              <w:keepNext w:val="0"/>
              <w:keepLines w:val="0"/>
              <w:pageBreakBefore w:val="0"/>
              <w:kinsoku/>
              <w:wordWrap/>
              <w:overflowPunct/>
              <w:topLinePunct w:val="0"/>
              <w:autoSpaceDE/>
              <w:autoSpaceDN/>
              <w:bidi w:val="0"/>
              <w:adjustRightInd w:val="0"/>
              <w:snapToGrid w:val="0"/>
              <w:jc w:val="center"/>
              <w:textAlignment w:val="auto"/>
              <w:rPr>
                <w:b/>
                <w:bCs/>
                <w:color w:val="auto"/>
                <w:kern w:val="21"/>
                <w:sz w:val="18"/>
                <w:szCs w:val="18"/>
                <w:u w:val="single"/>
              </w:rPr>
            </w:pPr>
            <w:r>
              <w:rPr>
                <w:b/>
                <w:bCs/>
                <w:color w:val="auto"/>
                <w:kern w:val="21"/>
                <w:sz w:val="18"/>
                <w:szCs w:val="18"/>
                <w:u w:val="single"/>
              </w:rPr>
              <w:t>恶臭处理装置</w:t>
            </w:r>
          </w:p>
        </w:tc>
        <w:tc>
          <w:tcPr>
            <w:tcW w:w="4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kern w:val="21"/>
                <w:sz w:val="18"/>
                <w:szCs w:val="18"/>
                <w:u w:val="single"/>
              </w:rPr>
            </w:pPr>
            <w:r>
              <w:rPr>
                <w:b/>
                <w:bCs/>
                <w:color w:val="auto"/>
                <w:kern w:val="21"/>
                <w:sz w:val="18"/>
                <w:szCs w:val="18"/>
                <w:u w:val="single"/>
              </w:rPr>
              <w:t>恶臭排气筒</w:t>
            </w: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NH</w:t>
            </w:r>
            <w:r>
              <w:rPr>
                <w:rFonts w:hint="eastAsia"/>
                <w:b/>
                <w:bCs/>
                <w:color w:val="auto"/>
                <w:sz w:val="18"/>
                <w:szCs w:val="18"/>
                <w:u w:val="single"/>
                <w:vertAlign w:val="subscript"/>
              </w:rPr>
              <w:t>3</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产污系数法</w:t>
            </w:r>
          </w:p>
        </w:tc>
        <w:tc>
          <w:tcPr>
            <w:tcW w:w="300"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5000</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71.4</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snapToGrid w:val="0"/>
                <w:color w:val="auto"/>
                <w:kern w:val="21"/>
                <w:sz w:val="18"/>
                <w:szCs w:val="18"/>
                <w:u w:val="single"/>
              </w:rPr>
              <w:t>0.357</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生物除臭</w:t>
            </w: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80%</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DA003</w:t>
            </w:r>
          </w:p>
        </w:tc>
        <w:tc>
          <w:tcPr>
            <w:tcW w:w="349" w:type="pct"/>
            <w:vMerge w:val="restar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5000</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14.28</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snapToGrid w:val="0"/>
                <w:color w:val="auto"/>
                <w:kern w:val="21"/>
                <w:sz w:val="18"/>
                <w:szCs w:val="18"/>
                <w:u w:val="single"/>
              </w:rPr>
              <w:t>0.0714</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p>
        </w:tc>
        <w:tc>
          <w:tcPr>
            <w:tcW w:w="4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H</w:t>
            </w:r>
            <w:r>
              <w:rPr>
                <w:rFonts w:hint="eastAsia"/>
                <w:b/>
                <w:bCs/>
                <w:color w:val="auto"/>
                <w:sz w:val="18"/>
                <w:szCs w:val="18"/>
                <w:u w:val="single"/>
                <w:vertAlign w:val="subscript"/>
              </w:rPr>
              <w:t>2</w:t>
            </w:r>
            <w:r>
              <w:rPr>
                <w:rFonts w:hint="eastAsia"/>
                <w:b/>
                <w:bCs/>
                <w:color w:val="auto"/>
                <w:sz w:val="18"/>
                <w:szCs w:val="18"/>
                <w:u w:val="single"/>
              </w:rPr>
              <w:t>S</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产污系数法</w:t>
            </w:r>
          </w:p>
        </w:tc>
        <w:tc>
          <w:tcPr>
            <w:tcW w:w="300"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0.1204</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snapToGrid w:val="0"/>
                <w:color w:val="auto"/>
                <w:kern w:val="21"/>
                <w:sz w:val="18"/>
                <w:szCs w:val="18"/>
                <w:u w:val="single"/>
              </w:rPr>
              <w:t>6.02×10</w:t>
            </w:r>
            <w:r>
              <w:rPr>
                <w:rFonts w:hint="eastAsia"/>
                <w:b/>
                <w:bCs/>
                <w:snapToGrid w:val="0"/>
                <w:color w:val="auto"/>
                <w:kern w:val="21"/>
                <w:sz w:val="18"/>
                <w:szCs w:val="18"/>
                <w:u w:val="single"/>
                <w:vertAlign w:val="superscript"/>
              </w:rPr>
              <w:t>-4</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15%</w:t>
            </w: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p>
        </w:tc>
        <w:tc>
          <w:tcPr>
            <w:tcW w:w="349" w:type="pct"/>
            <w:vMerge w:val="continue"/>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0.1023</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snapToGrid w:val="0"/>
                <w:color w:val="auto"/>
                <w:kern w:val="21"/>
                <w:sz w:val="18"/>
                <w:szCs w:val="18"/>
                <w:u w:val="single"/>
              </w:rPr>
              <w:t>5.117×10</w:t>
            </w:r>
            <w:r>
              <w:rPr>
                <w:rFonts w:hint="eastAsia"/>
                <w:b/>
                <w:bCs/>
                <w:snapToGrid w:val="0"/>
                <w:color w:val="auto"/>
                <w:kern w:val="21"/>
                <w:sz w:val="18"/>
                <w:szCs w:val="18"/>
                <w:u w:val="single"/>
                <w:vertAlign w:val="superscript"/>
              </w:rPr>
              <w:t>-4</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289" w:type="pct"/>
            <w:shd w:val="clear" w:color="auto" w:fill="auto"/>
            <w:vAlign w:val="center"/>
          </w:tcPr>
          <w:p>
            <w:pPr>
              <w:keepNext w:val="0"/>
              <w:keepLines w:val="0"/>
              <w:pageBreakBefore w:val="0"/>
              <w:kinsoku/>
              <w:wordWrap/>
              <w:overflowPunct/>
              <w:topLinePunct w:val="0"/>
              <w:autoSpaceDE/>
              <w:autoSpaceDN/>
              <w:bidi w:val="0"/>
              <w:adjustRightInd w:val="0"/>
              <w:snapToGrid w:val="0"/>
              <w:jc w:val="center"/>
              <w:textAlignment w:val="auto"/>
              <w:rPr>
                <w:b/>
                <w:bCs/>
                <w:color w:val="auto"/>
                <w:kern w:val="21"/>
                <w:sz w:val="18"/>
                <w:szCs w:val="18"/>
                <w:u w:val="single"/>
              </w:rPr>
            </w:pPr>
            <w:r>
              <w:rPr>
                <w:b/>
                <w:bCs/>
                <w:color w:val="auto"/>
                <w:kern w:val="21"/>
                <w:sz w:val="18"/>
                <w:szCs w:val="18"/>
                <w:u w:val="single"/>
              </w:rPr>
              <w:t>焊机</w:t>
            </w:r>
          </w:p>
        </w:tc>
        <w:tc>
          <w:tcPr>
            <w:tcW w:w="40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kern w:val="21"/>
                <w:sz w:val="18"/>
                <w:szCs w:val="18"/>
                <w:u w:val="single"/>
              </w:rPr>
            </w:pPr>
            <w:r>
              <w:rPr>
                <w:b/>
                <w:bCs/>
                <w:color w:val="auto"/>
                <w:kern w:val="21"/>
                <w:sz w:val="18"/>
                <w:szCs w:val="18"/>
                <w:u w:val="single"/>
              </w:rPr>
              <w:t>除尘器排气筒</w:t>
            </w:r>
          </w:p>
        </w:tc>
        <w:tc>
          <w:tcPr>
            <w:tcW w:w="2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颗粒物</w:t>
            </w:r>
          </w:p>
        </w:tc>
        <w:tc>
          <w:tcPr>
            <w:tcW w:w="30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产污系数法</w:t>
            </w:r>
          </w:p>
        </w:tc>
        <w:tc>
          <w:tcPr>
            <w:tcW w:w="30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5000</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88.56</w:t>
            </w:r>
          </w:p>
        </w:tc>
        <w:tc>
          <w:tcPr>
            <w:tcW w:w="352"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0.4428</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袋式除尘器</w:t>
            </w:r>
          </w:p>
        </w:tc>
        <w:tc>
          <w:tcPr>
            <w:tcW w:w="250"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95%</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DA004</w:t>
            </w:r>
          </w:p>
        </w:tc>
        <w:tc>
          <w:tcPr>
            <w:tcW w:w="34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5000</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4.428</w:t>
            </w:r>
          </w:p>
        </w:tc>
        <w:tc>
          <w:tcPr>
            <w:tcW w:w="351"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0.0221</w:t>
            </w:r>
          </w:p>
        </w:tc>
        <w:tc>
          <w:tcPr>
            <w:tcW w:w="399"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0.0492</w:t>
            </w:r>
          </w:p>
        </w:tc>
        <w:tc>
          <w:tcPr>
            <w:tcW w:w="258" w:type="pct"/>
            <w:shd w:val="clear" w:color="auto" w:fill="auto"/>
            <w:vAlign w:val="center"/>
          </w:tcPr>
          <w:p>
            <w:pPr>
              <w:keepNext w:val="0"/>
              <w:keepLines w:val="0"/>
              <w:pageBreakBefore w:val="0"/>
              <w:widowControl w:val="0"/>
              <w:kinsoku/>
              <w:wordWrap/>
              <w:overflowPunct/>
              <w:topLinePunct w:val="0"/>
              <w:autoSpaceDE/>
              <w:autoSpaceDN/>
              <w:bidi w:val="0"/>
              <w:jc w:val="center"/>
              <w:textAlignment w:val="auto"/>
              <w:rPr>
                <w:b/>
                <w:bCs/>
                <w:color w:val="auto"/>
                <w:sz w:val="18"/>
                <w:szCs w:val="18"/>
                <w:u w:val="single"/>
              </w:rPr>
            </w:pPr>
            <w:r>
              <w:rPr>
                <w:rFonts w:hint="eastAsia"/>
                <w:b/>
                <w:bCs/>
                <w:color w:val="auto"/>
                <w:sz w:val="18"/>
                <w:szCs w:val="18"/>
                <w:u w:val="single"/>
              </w:rPr>
              <w:t>3300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000" w:type="pct"/>
            <w:gridSpan w:val="15"/>
            <w:shd w:val="clear" w:color="auto" w:fill="auto"/>
            <w:vAlign w:val="center"/>
          </w:tcPr>
          <w:p>
            <w:pPr>
              <w:keepNext w:val="0"/>
              <w:keepLines w:val="0"/>
              <w:pageBreakBefore w:val="0"/>
              <w:widowControl w:val="0"/>
              <w:kinsoku/>
              <w:wordWrap/>
              <w:overflowPunct/>
              <w:topLinePunct w:val="0"/>
              <w:autoSpaceDE/>
              <w:autoSpaceDN/>
              <w:bidi w:val="0"/>
              <w:jc w:val="both"/>
              <w:textAlignment w:val="auto"/>
              <w:rPr>
                <w:rFonts w:hint="default" w:eastAsia="宋体"/>
                <w:b/>
                <w:bCs/>
                <w:color w:val="auto"/>
                <w:sz w:val="18"/>
                <w:szCs w:val="18"/>
                <w:u w:val="single"/>
                <w:lang w:val="en-US" w:eastAsia="zh-CN"/>
              </w:rPr>
            </w:pPr>
            <w:r>
              <w:rPr>
                <w:rFonts w:hint="eastAsia"/>
                <w:b/>
                <w:bCs/>
                <w:color w:val="auto"/>
                <w:sz w:val="21"/>
                <w:szCs w:val="21"/>
                <w:u w:val="single"/>
                <w:lang w:val="en-US" w:eastAsia="zh-CN"/>
              </w:rPr>
              <w:t>备注：盐酸储罐工作时间分卸料及日常呼吸，储罐卸料工作时间为61.2h/a，呼吸损失时间为7920h。</w:t>
            </w:r>
          </w:p>
        </w:tc>
      </w:tr>
    </w:tbl>
    <w:p>
      <w:pPr>
        <w:pStyle w:val="288"/>
        <w:adjustRightInd w:val="0"/>
        <w:snapToGrid w:val="0"/>
        <w:spacing w:line="360" w:lineRule="auto"/>
        <w:ind w:firstLine="0"/>
        <w:rPr>
          <w:rFonts w:ascii="Times New Roman" w:hAnsi="Times New Roman"/>
          <w:color w:val="auto"/>
          <w:kern w:val="21"/>
          <w:sz w:val="24"/>
          <w:szCs w:val="24"/>
        </w:rPr>
        <w:sectPr>
          <w:pgSz w:w="16840" w:h="11907" w:orient="landscape"/>
          <w:pgMar w:top="1800" w:right="1440" w:bottom="1800" w:left="1440" w:header="1134" w:footer="1029" w:gutter="0"/>
          <w:cols w:space="720" w:num="1"/>
          <w:docGrid w:linePitch="286" w:charSpace="0"/>
        </w:sectPr>
      </w:pPr>
    </w:p>
    <w:p>
      <w:pPr>
        <w:pStyle w:val="6"/>
        <w:spacing w:before="0" w:after="0" w:line="360" w:lineRule="auto"/>
        <w:rPr>
          <w:b w:val="0"/>
          <w:color w:val="auto"/>
          <w:sz w:val="24"/>
          <w:szCs w:val="24"/>
        </w:rPr>
      </w:pPr>
      <w:r>
        <w:rPr>
          <w:b w:val="0"/>
          <w:color w:val="auto"/>
          <w:sz w:val="24"/>
          <w:szCs w:val="24"/>
        </w:rPr>
        <w:t>3.4.1.</w:t>
      </w:r>
      <w:r>
        <w:rPr>
          <w:rFonts w:hint="eastAsia"/>
          <w:b w:val="0"/>
          <w:color w:val="auto"/>
          <w:sz w:val="24"/>
          <w:szCs w:val="24"/>
        </w:rPr>
        <w:t>5</w:t>
      </w:r>
      <w:r>
        <w:rPr>
          <w:b w:val="0"/>
          <w:color w:val="auto"/>
          <w:sz w:val="24"/>
          <w:szCs w:val="24"/>
        </w:rPr>
        <w:t>非正常工况污染源分析</w:t>
      </w:r>
    </w:p>
    <w:p>
      <w:pPr>
        <w:pStyle w:val="32"/>
        <w:adjustRightInd w:val="0"/>
        <w:snapToGrid w:val="0"/>
        <w:spacing w:after="0" w:line="360" w:lineRule="auto"/>
        <w:ind w:firstLine="480" w:firstLineChars="200"/>
        <w:rPr>
          <w:color w:val="auto"/>
          <w:kern w:val="21"/>
          <w:sz w:val="24"/>
        </w:rPr>
      </w:pPr>
      <w:r>
        <w:rPr>
          <w:color w:val="auto"/>
          <w:kern w:val="21"/>
          <w:sz w:val="24"/>
        </w:rPr>
        <w:t>非正常工况是指生产过程中为开停炉、设备检修、工艺设备运转异常等非正常工况下的污染物排放，以及污染物排放控制措施达不到应有效率等情况下的排放。本项目不涉及开停车炉、设备检修时停止生产，工艺设备均为固定设备及电镀槽，不存在运转异常，因此非正常情况为污染物排放控制措施达不到应有效率。</w:t>
      </w:r>
    </w:p>
    <w:p>
      <w:pPr>
        <w:pStyle w:val="32"/>
        <w:adjustRightInd w:val="0"/>
        <w:snapToGrid w:val="0"/>
        <w:spacing w:after="0" w:line="360" w:lineRule="auto"/>
        <w:ind w:firstLine="480" w:firstLineChars="200"/>
        <w:rPr>
          <w:color w:val="auto"/>
          <w:kern w:val="21"/>
          <w:sz w:val="24"/>
        </w:rPr>
      </w:pPr>
      <w:r>
        <w:rPr>
          <w:color w:val="auto"/>
          <w:kern w:val="21"/>
          <w:sz w:val="24"/>
        </w:rPr>
        <w:t>设定非正常工况的情形为</w:t>
      </w:r>
      <w:r>
        <w:rPr>
          <w:rFonts w:hint="eastAsia"/>
          <w:color w:val="auto"/>
          <w:kern w:val="21"/>
          <w:sz w:val="24"/>
        </w:rPr>
        <w:t>二级碱液喷淋中和塔及袋式除尘器达不到应有效率，</w:t>
      </w:r>
      <w:r>
        <w:rPr>
          <w:color w:val="auto"/>
          <w:kern w:val="21"/>
          <w:sz w:val="24"/>
        </w:rPr>
        <w:t>发生频率按</w:t>
      </w:r>
      <w:r>
        <w:rPr>
          <w:rFonts w:hint="eastAsia"/>
          <w:color w:val="auto"/>
          <w:kern w:val="21"/>
          <w:sz w:val="24"/>
        </w:rPr>
        <w:t>1年1次，持续时间1小时</w:t>
      </w:r>
      <w:r>
        <w:rPr>
          <w:color w:val="auto"/>
          <w:kern w:val="21"/>
          <w:sz w:val="24"/>
        </w:rPr>
        <w:t>。非正常工况下</w:t>
      </w:r>
      <w:r>
        <w:rPr>
          <w:rFonts w:hint="eastAsia"/>
          <w:color w:val="auto"/>
          <w:kern w:val="21"/>
          <w:sz w:val="24"/>
        </w:rPr>
        <w:t>二级碱液喷淋中和塔及袋式除尘器去除效率取0%，锅炉燃料为天然气，不存在非正常工况，</w:t>
      </w:r>
      <w:r>
        <w:rPr>
          <w:color w:val="auto"/>
          <w:kern w:val="21"/>
          <w:sz w:val="24"/>
        </w:rPr>
        <w:t>废气污染源源强核算结果及相关参数见下表。</w:t>
      </w:r>
    </w:p>
    <w:p>
      <w:pPr>
        <w:pStyle w:val="288"/>
        <w:adjustRightInd w:val="0"/>
        <w:snapToGrid w:val="0"/>
        <w:spacing w:line="360" w:lineRule="auto"/>
        <w:ind w:firstLine="480" w:firstLineChars="200"/>
        <w:rPr>
          <w:rFonts w:ascii="Times New Roman" w:hAnsi="Times New Roman"/>
          <w:color w:val="auto"/>
          <w:kern w:val="21"/>
          <w:sz w:val="24"/>
          <w:szCs w:val="24"/>
        </w:rPr>
        <w:sectPr>
          <w:pgSz w:w="11907" w:h="16840"/>
          <w:pgMar w:top="1440" w:right="1800" w:bottom="1440" w:left="1800" w:header="1134" w:footer="1029" w:gutter="0"/>
          <w:cols w:space="720" w:num="1"/>
        </w:sectPr>
      </w:pPr>
    </w:p>
    <w:p>
      <w:pPr>
        <w:adjustRightInd w:val="0"/>
        <w:snapToGrid w:val="0"/>
        <w:jc w:val="center"/>
        <w:rPr>
          <w:rFonts w:eastAsia="黑体"/>
          <w:color w:val="auto"/>
          <w:kern w:val="21"/>
          <w:sz w:val="24"/>
          <w:szCs w:val="24"/>
        </w:rPr>
      </w:pPr>
      <w:r>
        <w:rPr>
          <w:rFonts w:hint="eastAsia" w:eastAsia="黑体"/>
          <w:color w:val="auto"/>
          <w:kern w:val="21"/>
          <w:sz w:val="24"/>
          <w:szCs w:val="24"/>
        </w:rPr>
        <w:t>表3.4-6  非正常工况废气污染源源强核算结果及相关参数一览表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1098"/>
        <w:gridCol w:w="861"/>
        <w:gridCol w:w="876"/>
        <w:gridCol w:w="992"/>
        <w:gridCol w:w="1276"/>
        <w:gridCol w:w="1134"/>
        <w:gridCol w:w="1182"/>
        <w:gridCol w:w="810"/>
        <w:gridCol w:w="928"/>
        <w:gridCol w:w="1032"/>
        <w:gridCol w:w="1199"/>
        <w:gridCol w:w="1041"/>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338" w:type="pct"/>
            <w:vMerge w:val="restart"/>
            <w:shd w:val="clear" w:color="auto" w:fill="auto"/>
            <w:vAlign w:val="center"/>
          </w:tcPr>
          <w:p>
            <w:pPr>
              <w:widowControl w:val="0"/>
              <w:jc w:val="center"/>
              <w:rPr>
                <w:b/>
                <w:bCs/>
                <w:color w:val="auto"/>
              </w:rPr>
            </w:pPr>
            <w:r>
              <w:rPr>
                <w:rFonts w:hint="eastAsia"/>
                <w:b/>
                <w:bCs/>
                <w:color w:val="auto"/>
              </w:rPr>
              <w:t>装置</w:t>
            </w:r>
          </w:p>
        </w:tc>
        <w:tc>
          <w:tcPr>
            <w:tcW w:w="387" w:type="pct"/>
            <w:vMerge w:val="restart"/>
            <w:shd w:val="clear" w:color="auto" w:fill="auto"/>
            <w:vAlign w:val="center"/>
          </w:tcPr>
          <w:p>
            <w:pPr>
              <w:widowControl w:val="0"/>
              <w:jc w:val="center"/>
              <w:rPr>
                <w:b/>
                <w:bCs/>
                <w:color w:val="auto"/>
              </w:rPr>
            </w:pPr>
            <w:r>
              <w:rPr>
                <w:rFonts w:hint="eastAsia"/>
                <w:b/>
                <w:bCs/>
                <w:color w:val="auto"/>
              </w:rPr>
              <w:t>污染源</w:t>
            </w:r>
          </w:p>
        </w:tc>
        <w:tc>
          <w:tcPr>
            <w:tcW w:w="303" w:type="pct"/>
            <w:vMerge w:val="restart"/>
            <w:shd w:val="clear" w:color="auto" w:fill="auto"/>
            <w:vAlign w:val="center"/>
          </w:tcPr>
          <w:p>
            <w:pPr>
              <w:widowControl w:val="0"/>
              <w:jc w:val="center"/>
              <w:rPr>
                <w:b/>
                <w:bCs/>
                <w:color w:val="auto"/>
              </w:rPr>
            </w:pPr>
            <w:r>
              <w:rPr>
                <w:rFonts w:hint="eastAsia"/>
                <w:b/>
                <w:bCs/>
                <w:color w:val="auto"/>
              </w:rPr>
              <w:t>污染物</w:t>
            </w:r>
          </w:p>
        </w:tc>
        <w:tc>
          <w:tcPr>
            <w:tcW w:w="1508" w:type="pct"/>
            <w:gridSpan w:val="4"/>
            <w:shd w:val="clear" w:color="auto" w:fill="auto"/>
            <w:vAlign w:val="center"/>
          </w:tcPr>
          <w:p>
            <w:pPr>
              <w:widowControl w:val="0"/>
              <w:jc w:val="center"/>
              <w:rPr>
                <w:b/>
                <w:bCs/>
                <w:color w:val="auto"/>
              </w:rPr>
            </w:pPr>
            <w:r>
              <w:rPr>
                <w:rFonts w:hint="eastAsia"/>
                <w:b/>
                <w:bCs/>
                <w:color w:val="auto"/>
              </w:rPr>
              <w:t>污染物产生</w:t>
            </w:r>
          </w:p>
        </w:tc>
        <w:tc>
          <w:tcPr>
            <w:tcW w:w="702" w:type="pct"/>
            <w:gridSpan w:val="2"/>
            <w:shd w:val="clear" w:color="auto" w:fill="auto"/>
            <w:vAlign w:val="center"/>
          </w:tcPr>
          <w:p>
            <w:pPr>
              <w:widowControl w:val="0"/>
              <w:jc w:val="center"/>
              <w:rPr>
                <w:b/>
                <w:bCs/>
                <w:color w:val="auto"/>
              </w:rPr>
            </w:pPr>
            <w:r>
              <w:rPr>
                <w:rFonts w:hint="eastAsia"/>
                <w:b/>
                <w:bCs/>
                <w:color w:val="auto"/>
              </w:rPr>
              <w:t>治理措施</w:t>
            </w:r>
          </w:p>
        </w:tc>
        <w:tc>
          <w:tcPr>
            <w:tcW w:w="327" w:type="pct"/>
            <w:vMerge w:val="restart"/>
            <w:shd w:val="clear" w:color="auto" w:fill="auto"/>
            <w:vAlign w:val="center"/>
          </w:tcPr>
          <w:p>
            <w:pPr>
              <w:widowControl w:val="0"/>
              <w:jc w:val="center"/>
              <w:rPr>
                <w:rFonts w:hint="eastAsia"/>
                <w:b/>
                <w:bCs/>
                <w:color w:val="auto"/>
              </w:rPr>
            </w:pPr>
            <w:r>
              <w:rPr>
                <w:rFonts w:hint="eastAsia"/>
                <w:b/>
                <w:bCs/>
                <w:color w:val="auto"/>
              </w:rPr>
              <w:t>排气筒</w:t>
            </w:r>
          </w:p>
          <w:p>
            <w:pPr>
              <w:widowControl w:val="0"/>
              <w:jc w:val="center"/>
              <w:rPr>
                <w:b/>
                <w:bCs/>
                <w:color w:val="auto"/>
              </w:rPr>
            </w:pPr>
            <w:r>
              <w:rPr>
                <w:rFonts w:hint="eastAsia"/>
                <w:b/>
                <w:bCs/>
                <w:color w:val="auto"/>
              </w:rPr>
              <w:t>编号</w:t>
            </w:r>
          </w:p>
        </w:tc>
        <w:tc>
          <w:tcPr>
            <w:tcW w:w="1154" w:type="pct"/>
            <w:gridSpan w:val="3"/>
            <w:shd w:val="clear" w:color="auto" w:fill="auto"/>
            <w:vAlign w:val="center"/>
          </w:tcPr>
          <w:p>
            <w:pPr>
              <w:widowControl w:val="0"/>
              <w:jc w:val="center"/>
              <w:rPr>
                <w:b/>
                <w:bCs/>
                <w:color w:val="auto"/>
              </w:rPr>
            </w:pPr>
            <w:r>
              <w:rPr>
                <w:rFonts w:hint="eastAsia"/>
                <w:b/>
                <w:bCs/>
                <w:color w:val="auto"/>
              </w:rPr>
              <w:t>污染物排放</w:t>
            </w:r>
          </w:p>
        </w:tc>
        <w:tc>
          <w:tcPr>
            <w:tcW w:w="277" w:type="pct"/>
            <w:vMerge w:val="restart"/>
            <w:shd w:val="clear" w:color="auto" w:fill="auto"/>
            <w:vAlign w:val="center"/>
          </w:tcPr>
          <w:p>
            <w:pPr>
              <w:widowControl w:val="0"/>
              <w:jc w:val="center"/>
              <w:rPr>
                <w:b/>
                <w:bCs/>
                <w:color w:val="auto"/>
              </w:rPr>
            </w:pPr>
            <w:r>
              <w:rPr>
                <w:rFonts w:hint="eastAsia"/>
                <w:b/>
                <w:bCs/>
                <w:color w:val="auto"/>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338" w:type="pct"/>
            <w:vMerge w:val="continue"/>
            <w:shd w:val="clear" w:color="auto" w:fill="auto"/>
            <w:vAlign w:val="center"/>
          </w:tcPr>
          <w:p>
            <w:pPr>
              <w:widowControl w:val="0"/>
              <w:jc w:val="center"/>
              <w:rPr>
                <w:color w:val="auto"/>
              </w:rPr>
            </w:pPr>
          </w:p>
        </w:tc>
        <w:tc>
          <w:tcPr>
            <w:tcW w:w="387" w:type="pct"/>
            <w:vMerge w:val="continue"/>
            <w:shd w:val="clear" w:color="auto" w:fill="auto"/>
            <w:vAlign w:val="center"/>
          </w:tcPr>
          <w:p>
            <w:pPr>
              <w:widowControl w:val="0"/>
              <w:jc w:val="center"/>
              <w:rPr>
                <w:color w:val="auto"/>
              </w:rPr>
            </w:pPr>
          </w:p>
        </w:tc>
        <w:tc>
          <w:tcPr>
            <w:tcW w:w="303" w:type="pct"/>
            <w:vMerge w:val="continue"/>
            <w:shd w:val="clear" w:color="auto" w:fill="auto"/>
            <w:vAlign w:val="center"/>
          </w:tcPr>
          <w:p>
            <w:pPr>
              <w:widowControl w:val="0"/>
              <w:jc w:val="center"/>
              <w:rPr>
                <w:color w:val="auto"/>
              </w:rPr>
            </w:pPr>
          </w:p>
        </w:tc>
        <w:tc>
          <w:tcPr>
            <w:tcW w:w="308" w:type="pct"/>
            <w:shd w:val="clear" w:color="auto" w:fill="auto"/>
            <w:vAlign w:val="center"/>
          </w:tcPr>
          <w:p>
            <w:pPr>
              <w:widowControl w:val="0"/>
              <w:jc w:val="center"/>
              <w:rPr>
                <w:rFonts w:hint="eastAsia"/>
                <w:b/>
                <w:bCs/>
                <w:color w:val="auto"/>
              </w:rPr>
            </w:pPr>
            <w:r>
              <w:rPr>
                <w:rFonts w:hint="eastAsia"/>
                <w:b/>
                <w:bCs/>
                <w:color w:val="auto"/>
              </w:rPr>
              <w:t>核算</w:t>
            </w:r>
          </w:p>
          <w:p>
            <w:pPr>
              <w:widowControl w:val="0"/>
              <w:jc w:val="center"/>
              <w:rPr>
                <w:b/>
                <w:bCs/>
                <w:color w:val="auto"/>
              </w:rPr>
            </w:pPr>
            <w:r>
              <w:rPr>
                <w:rFonts w:hint="eastAsia"/>
                <w:b/>
                <w:bCs/>
                <w:color w:val="auto"/>
              </w:rPr>
              <w:t>方法</w:t>
            </w:r>
          </w:p>
        </w:tc>
        <w:tc>
          <w:tcPr>
            <w:tcW w:w="349" w:type="pct"/>
            <w:shd w:val="clear" w:color="auto" w:fill="auto"/>
            <w:vAlign w:val="center"/>
          </w:tcPr>
          <w:p>
            <w:pPr>
              <w:widowControl w:val="0"/>
              <w:jc w:val="center"/>
              <w:rPr>
                <w:b/>
                <w:bCs/>
                <w:color w:val="auto"/>
              </w:rPr>
            </w:pPr>
            <w:r>
              <w:rPr>
                <w:rFonts w:hint="eastAsia"/>
                <w:b/>
                <w:bCs/>
                <w:color w:val="auto"/>
              </w:rPr>
              <w:t>烟气量（m</w:t>
            </w:r>
            <w:r>
              <w:rPr>
                <w:rFonts w:hint="eastAsia"/>
                <w:b/>
                <w:bCs/>
                <w:color w:val="auto"/>
                <w:vertAlign w:val="superscript"/>
              </w:rPr>
              <w:t>3</w:t>
            </w:r>
            <w:r>
              <w:rPr>
                <w:rFonts w:hint="eastAsia"/>
                <w:b/>
                <w:bCs/>
                <w:color w:val="auto"/>
              </w:rPr>
              <w:t>/h）</w:t>
            </w:r>
          </w:p>
        </w:tc>
        <w:tc>
          <w:tcPr>
            <w:tcW w:w="450" w:type="pct"/>
            <w:shd w:val="clear" w:color="auto" w:fill="auto"/>
            <w:vAlign w:val="center"/>
          </w:tcPr>
          <w:p>
            <w:pPr>
              <w:widowControl w:val="0"/>
              <w:jc w:val="center"/>
              <w:rPr>
                <w:b/>
                <w:bCs/>
                <w:color w:val="auto"/>
              </w:rPr>
            </w:pPr>
            <w:r>
              <w:rPr>
                <w:rFonts w:hint="eastAsia"/>
                <w:b/>
                <w:bCs/>
                <w:color w:val="auto"/>
              </w:rPr>
              <w:t>质量浓度（mg/m</w:t>
            </w:r>
            <w:r>
              <w:rPr>
                <w:rFonts w:hint="eastAsia"/>
                <w:b/>
                <w:bCs/>
                <w:color w:val="auto"/>
                <w:vertAlign w:val="superscript"/>
              </w:rPr>
              <w:t>3</w:t>
            </w:r>
            <w:r>
              <w:rPr>
                <w:rFonts w:hint="eastAsia"/>
                <w:b/>
                <w:bCs/>
                <w:color w:val="auto"/>
              </w:rPr>
              <w:t>）</w:t>
            </w:r>
          </w:p>
        </w:tc>
        <w:tc>
          <w:tcPr>
            <w:tcW w:w="399" w:type="pct"/>
            <w:shd w:val="clear" w:color="auto" w:fill="auto"/>
            <w:vAlign w:val="center"/>
          </w:tcPr>
          <w:p>
            <w:pPr>
              <w:widowControl w:val="0"/>
              <w:jc w:val="center"/>
              <w:rPr>
                <w:b/>
                <w:bCs/>
                <w:color w:val="auto"/>
              </w:rPr>
            </w:pPr>
            <w:r>
              <w:rPr>
                <w:rFonts w:hint="eastAsia"/>
                <w:b/>
                <w:bCs/>
                <w:color w:val="auto"/>
              </w:rPr>
              <w:t>产生量（kg/h）</w:t>
            </w:r>
          </w:p>
        </w:tc>
        <w:tc>
          <w:tcPr>
            <w:tcW w:w="416" w:type="pct"/>
            <w:shd w:val="clear" w:color="auto" w:fill="auto"/>
            <w:vAlign w:val="center"/>
          </w:tcPr>
          <w:p>
            <w:pPr>
              <w:widowControl w:val="0"/>
              <w:jc w:val="center"/>
              <w:rPr>
                <w:b/>
                <w:bCs/>
                <w:color w:val="auto"/>
              </w:rPr>
            </w:pPr>
            <w:r>
              <w:rPr>
                <w:rFonts w:hint="eastAsia"/>
                <w:b/>
                <w:bCs/>
                <w:color w:val="auto"/>
              </w:rPr>
              <w:t>工艺</w:t>
            </w:r>
          </w:p>
        </w:tc>
        <w:tc>
          <w:tcPr>
            <w:tcW w:w="285" w:type="pct"/>
            <w:shd w:val="clear" w:color="auto" w:fill="auto"/>
            <w:vAlign w:val="center"/>
          </w:tcPr>
          <w:p>
            <w:pPr>
              <w:widowControl w:val="0"/>
              <w:jc w:val="center"/>
              <w:rPr>
                <w:b/>
                <w:bCs/>
                <w:color w:val="auto"/>
              </w:rPr>
            </w:pPr>
            <w:r>
              <w:rPr>
                <w:rFonts w:hint="eastAsia"/>
                <w:b/>
                <w:bCs/>
                <w:color w:val="auto"/>
              </w:rPr>
              <w:t>效率</w:t>
            </w:r>
          </w:p>
        </w:tc>
        <w:tc>
          <w:tcPr>
            <w:tcW w:w="327" w:type="pct"/>
            <w:vMerge w:val="continue"/>
            <w:shd w:val="clear" w:color="auto" w:fill="auto"/>
            <w:vAlign w:val="center"/>
          </w:tcPr>
          <w:p>
            <w:pPr>
              <w:widowControl w:val="0"/>
              <w:jc w:val="center"/>
              <w:rPr>
                <w:b/>
                <w:bCs/>
                <w:color w:val="auto"/>
              </w:rPr>
            </w:pPr>
          </w:p>
        </w:tc>
        <w:tc>
          <w:tcPr>
            <w:tcW w:w="363" w:type="pct"/>
            <w:shd w:val="clear" w:color="auto" w:fill="auto"/>
            <w:vAlign w:val="center"/>
          </w:tcPr>
          <w:p>
            <w:pPr>
              <w:widowControl w:val="0"/>
              <w:jc w:val="center"/>
              <w:rPr>
                <w:b/>
                <w:bCs/>
                <w:color w:val="auto"/>
              </w:rPr>
            </w:pPr>
            <w:r>
              <w:rPr>
                <w:rFonts w:hint="eastAsia"/>
                <w:b/>
                <w:bCs/>
                <w:color w:val="auto"/>
              </w:rPr>
              <w:t>烟气量（m</w:t>
            </w:r>
            <w:r>
              <w:rPr>
                <w:rFonts w:hint="eastAsia"/>
                <w:b/>
                <w:bCs/>
                <w:color w:val="auto"/>
                <w:vertAlign w:val="superscript"/>
              </w:rPr>
              <w:t>3</w:t>
            </w:r>
            <w:r>
              <w:rPr>
                <w:rFonts w:hint="eastAsia"/>
                <w:b/>
                <w:bCs/>
                <w:color w:val="auto"/>
              </w:rPr>
              <w:t>/h）</w:t>
            </w:r>
          </w:p>
        </w:tc>
        <w:tc>
          <w:tcPr>
            <w:tcW w:w="422" w:type="pct"/>
            <w:shd w:val="clear" w:color="auto" w:fill="auto"/>
            <w:vAlign w:val="center"/>
          </w:tcPr>
          <w:p>
            <w:pPr>
              <w:widowControl w:val="0"/>
              <w:jc w:val="center"/>
              <w:rPr>
                <w:b/>
                <w:bCs/>
                <w:color w:val="auto"/>
              </w:rPr>
            </w:pPr>
            <w:r>
              <w:rPr>
                <w:rFonts w:hint="eastAsia"/>
                <w:b/>
                <w:bCs/>
                <w:color w:val="auto"/>
              </w:rPr>
              <w:t>质量浓度（mg/m</w:t>
            </w:r>
            <w:r>
              <w:rPr>
                <w:rFonts w:hint="eastAsia"/>
                <w:b/>
                <w:bCs/>
                <w:color w:val="auto"/>
                <w:vertAlign w:val="superscript"/>
              </w:rPr>
              <w:t>3</w:t>
            </w:r>
            <w:r>
              <w:rPr>
                <w:rFonts w:hint="eastAsia"/>
                <w:b/>
                <w:bCs/>
                <w:color w:val="auto"/>
              </w:rPr>
              <w:t>）</w:t>
            </w:r>
          </w:p>
        </w:tc>
        <w:tc>
          <w:tcPr>
            <w:tcW w:w="367" w:type="pct"/>
            <w:shd w:val="clear" w:color="auto" w:fill="auto"/>
            <w:vAlign w:val="center"/>
          </w:tcPr>
          <w:p>
            <w:pPr>
              <w:widowControl w:val="0"/>
              <w:jc w:val="center"/>
              <w:rPr>
                <w:b/>
                <w:bCs/>
                <w:color w:val="auto"/>
              </w:rPr>
            </w:pPr>
            <w:r>
              <w:rPr>
                <w:rFonts w:hint="eastAsia"/>
                <w:b/>
                <w:bCs/>
                <w:color w:val="auto"/>
              </w:rPr>
              <w:t>排放量（kg/h）</w:t>
            </w:r>
          </w:p>
        </w:tc>
        <w:tc>
          <w:tcPr>
            <w:tcW w:w="277" w:type="pct"/>
            <w:vMerge w:val="continue"/>
            <w:shd w:val="clear" w:color="auto" w:fill="auto"/>
            <w:vAlign w:val="center"/>
          </w:tcPr>
          <w:p>
            <w:pPr>
              <w:widowControl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7" w:hRule="atLeast"/>
        </w:trPr>
        <w:tc>
          <w:tcPr>
            <w:tcW w:w="338" w:type="pct"/>
            <w:shd w:val="clear" w:color="auto" w:fill="auto"/>
            <w:vAlign w:val="center"/>
          </w:tcPr>
          <w:p>
            <w:pPr>
              <w:adjustRightInd w:val="0"/>
              <w:snapToGrid w:val="0"/>
              <w:jc w:val="center"/>
              <w:rPr>
                <w:color w:val="auto"/>
                <w:kern w:val="21"/>
              </w:rPr>
            </w:pPr>
            <w:r>
              <w:rPr>
                <w:color w:val="auto"/>
                <w:kern w:val="21"/>
              </w:rPr>
              <w:t>酸洗槽</w:t>
            </w:r>
          </w:p>
        </w:tc>
        <w:tc>
          <w:tcPr>
            <w:tcW w:w="387" w:type="pct"/>
            <w:shd w:val="clear" w:color="auto" w:fill="auto"/>
            <w:vAlign w:val="center"/>
          </w:tcPr>
          <w:p>
            <w:pPr>
              <w:widowControl w:val="0"/>
              <w:jc w:val="center"/>
              <w:rPr>
                <w:color w:val="auto"/>
              </w:rPr>
            </w:pPr>
            <w:r>
              <w:rPr>
                <w:color w:val="auto"/>
                <w:kern w:val="21"/>
              </w:rPr>
              <w:t>二级碱液喷淋中和塔排气筒</w:t>
            </w:r>
          </w:p>
        </w:tc>
        <w:tc>
          <w:tcPr>
            <w:tcW w:w="303" w:type="pct"/>
            <w:shd w:val="clear" w:color="auto" w:fill="auto"/>
            <w:vAlign w:val="center"/>
          </w:tcPr>
          <w:p>
            <w:pPr>
              <w:widowControl w:val="0"/>
              <w:jc w:val="center"/>
              <w:rPr>
                <w:color w:val="auto"/>
              </w:rPr>
            </w:pPr>
            <w:r>
              <w:rPr>
                <w:rFonts w:hint="eastAsia"/>
                <w:color w:val="auto"/>
              </w:rPr>
              <w:t>HCl</w:t>
            </w:r>
          </w:p>
        </w:tc>
        <w:tc>
          <w:tcPr>
            <w:tcW w:w="308" w:type="pct"/>
            <w:shd w:val="clear" w:color="auto" w:fill="auto"/>
            <w:vAlign w:val="center"/>
          </w:tcPr>
          <w:p>
            <w:pPr>
              <w:widowControl w:val="0"/>
              <w:jc w:val="center"/>
              <w:rPr>
                <w:color w:val="auto"/>
              </w:rPr>
            </w:pPr>
            <w:r>
              <w:rPr>
                <w:rFonts w:hint="eastAsia"/>
                <w:color w:val="auto"/>
              </w:rPr>
              <w:t>产污系数法</w:t>
            </w:r>
          </w:p>
        </w:tc>
        <w:tc>
          <w:tcPr>
            <w:tcW w:w="349" w:type="pct"/>
            <w:shd w:val="clear" w:color="auto" w:fill="auto"/>
            <w:vAlign w:val="center"/>
          </w:tcPr>
          <w:p>
            <w:pPr>
              <w:widowControl w:val="0"/>
              <w:jc w:val="center"/>
              <w:rPr>
                <w:color w:val="auto"/>
              </w:rPr>
            </w:pPr>
            <w:r>
              <w:rPr>
                <w:rFonts w:hint="eastAsia"/>
                <w:color w:val="auto"/>
              </w:rPr>
              <w:t>38000</w:t>
            </w:r>
          </w:p>
        </w:tc>
        <w:tc>
          <w:tcPr>
            <w:tcW w:w="450" w:type="pct"/>
            <w:shd w:val="clear" w:color="auto" w:fill="auto"/>
            <w:vAlign w:val="center"/>
          </w:tcPr>
          <w:p>
            <w:pPr>
              <w:widowControl w:val="0"/>
              <w:jc w:val="center"/>
              <w:rPr>
                <w:color w:val="auto"/>
              </w:rPr>
            </w:pPr>
            <w:r>
              <w:rPr>
                <w:rFonts w:hint="eastAsia"/>
                <w:color w:val="auto"/>
              </w:rPr>
              <w:t>17.933</w:t>
            </w:r>
          </w:p>
        </w:tc>
        <w:tc>
          <w:tcPr>
            <w:tcW w:w="399" w:type="pct"/>
            <w:shd w:val="clear" w:color="auto" w:fill="auto"/>
            <w:vAlign w:val="center"/>
          </w:tcPr>
          <w:p>
            <w:pPr>
              <w:widowControl w:val="0"/>
              <w:jc w:val="center"/>
              <w:rPr>
                <w:color w:val="auto"/>
              </w:rPr>
            </w:pPr>
            <w:r>
              <w:rPr>
                <w:rFonts w:hint="eastAsia"/>
                <w:color w:val="auto"/>
              </w:rPr>
              <w:t>0.6816</w:t>
            </w:r>
          </w:p>
        </w:tc>
        <w:tc>
          <w:tcPr>
            <w:tcW w:w="416" w:type="pct"/>
            <w:shd w:val="clear" w:color="auto" w:fill="auto"/>
            <w:vAlign w:val="center"/>
          </w:tcPr>
          <w:p>
            <w:pPr>
              <w:widowControl w:val="0"/>
              <w:jc w:val="center"/>
              <w:rPr>
                <w:color w:val="auto"/>
              </w:rPr>
            </w:pPr>
            <w:r>
              <w:rPr>
                <w:rFonts w:hint="eastAsia"/>
                <w:color w:val="auto"/>
                <w:lang w:val="en-US" w:eastAsia="zh-CN"/>
              </w:rPr>
              <w:t>二级碱</w:t>
            </w:r>
            <w:r>
              <w:rPr>
                <w:rFonts w:hint="eastAsia"/>
                <w:color w:val="auto"/>
              </w:rPr>
              <w:t>喷淋中和塔</w:t>
            </w:r>
          </w:p>
        </w:tc>
        <w:tc>
          <w:tcPr>
            <w:tcW w:w="285" w:type="pct"/>
            <w:shd w:val="clear" w:color="auto" w:fill="auto"/>
            <w:vAlign w:val="center"/>
          </w:tcPr>
          <w:p>
            <w:pPr>
              <w:widowControl w:val="0"/>
              <w:jc w:val="center"/>
              <w:rPr>
                <w:color w:val="auto"/>
              </w:rPr>
            </w:pPr>
            <w:r>
              <w:rPr>
                <w:rFonts w:hint="eastAsia"/>
                <w:color w:val="auto"/>
              </w:rPr>
              <w:t>0%</w:t>
            </w:r>
          </w:p>
        </w:tc>
        <w:tc>
          <w:tcPr>
            <w:tcW w:w="327" w:type="pct"/>
            <w:shd w:val="clear" w:color="auto" w:fill="auto"/>
            <w:vAlign w:val="center"/>
          </w:tcPr>
          <w:p>
            <w:pPr>
              <w:widowControl w:val="0"/>
              <w:jc w:val="center"/>
              <w:rPr>
                <w:color w:val="auto"/>
              </w:rPr>
            </w:pPr>
            <w:r>
              <w:rPr>
                <w:rFonts w:hint="eastAsia"/>
                <w:color w:val="auto"/>
              </w:rPr>
              <w:t>DA001</w:t>
            </w:r>
          </w:p>
        </w:tc>
        <w:tc>
          <w:tcPr>
            <w:tcW w:w="363" w:type="pct"/>
            <w:shd w:val="clear" w:color="auto" w:fill="auto"/>
            <w:vAlign w:val="center"/>
          </w:tcPr>
          <w:p>
            <w:pPr>
              <w:widowControl w:val="0"/>
              <w:jc w:val="center"/>
              <w:rPr>
                <w:color w:val="auto"/>
              </w:rPr>
            </w:pPr>
            <w:r>
              <w:rPr>
                <w:rFonts w:hint="eastAsia"/>
                <w:color w:val="auto"/>
              </w:rPr>
              <w:t>38000</w:t>
            </w:r>
          </w:p>
        </w:tc>
        <w:tc>
          <w:tcPr>
            <w:tcW w:w="422" w:type="pct"/>
            <w:shd w:val="clear" w:color="auto" w:fill="auto"/>
            <w:vAlign w:val="center"/>
          </w:tcPr>
          <w:p>
            <w:pPr>
              <w:widowControl w:val="0"/>
              <w:jc w:val="center"/>
              <w:rPr>
                <w:color w:val="auto"/>
              </w:rPr>
            </w:pPr>
            <w:r>
              <w:rPr>
                <w:rFonts w:hint="eastAsia"/>
                <w:color w:val="auto"/>
              </w:rPr>
              <w:t>17.933</w:t>
            </w:r>
          </w:p>
        </w:tc>
        <w:tc>
          <w:tcPr>
            <w:tcW w:w="367" w:type="pct"/>
            <w:shd w:val="clear" w:color="auto" w:fill="auto"/>
            <w:vAlign w:val="center"/>
          </w:tcPr>
          <w:p>
            <w:pPr>
              <w:widowControl w:val="0"/>
              <w:jc w:val="center"/>
              <w:rPr>
                <w:color w:val="auto"/>
              </w:rPr>
            </w:pPr>
            <w:r>
              <w:rPr>
                <w:rFonts w:hint="eastAsia"/>
                <w:color w:val="auto"/>
              </w:rPr>
              <w:t>0.6816</w:t>
            </w:r>
          </w:p>
        </w:tc>
        <w:tc>
          <w:tcPr>
            <w:tcW w:w="277" w:type="pct"/>
            <w:shd w:val="clear" w:color="auto" w:fill="auto"/>
            <w:vAlign w:val="center"/>
          </w:tcPr>
          <w:p>
            <w:pPr>
              <w:widowControl w:val="0"/>
              <w:jc w:val="center"/>
              <w:rPr>
                <w:color w:val="auto"/>
              </w:rPr>
            </w:pPr>
            <w:r>
              <w:rPr>
                <w:rFonts w:hint="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338" w:type="pct"/>
            <w:shd w:val="clear" w:color="auto" w:fill="auto"/>
            <w:vAlign w:val="center"/>
          </w:tcPr>
          <w:p>
            <w:pPr>
              <w:adjustRightInd w:val="0"/>
              <w:snapToGrid w:val="0"/>
              <w:jc w:val="center"/>
              <w:rPr>
                <w:color w:val="auto"/>
                <w:kern w:val="21"/>
              </w:rPr>
            </w:pPr>
            <w:r>
              <w:rPr>
                <w:color w:val="auto"/>
                <w:kern w:val="21"/>
              </w:rPr>
              <w:t>焊机</w:t>
            </w:r>
          </w:p>
        </w:tc>
        <w:tc>
          <w:tcPr>
            <w:tcW w:w="387" w:type="pct"/>
            <w:shd w:val="clear" w:color="auto" w:fill="auto"/>
            <w:vAlign w:val="center"/>
          </w:tcPr>
          <w:p>
            <w:pPr>
              <w:widowControl w:val="0"/>
              <w:jc w:val="center"/>
              <w:rPr>
                <w:color w:val="auto"/>
                <w:kern w:val="21"/>
              </w:rPr>
            </w:pPr>
            <w:r>
              <w:rPr>
                <w:color w:val="auto"/>
                <w:kern w:val="21"/>
              </w:rPr>
              <w:t>除尘器排气筒</w:t>
            </w:r>
          </w:p>
        </w:tc>
        <w:tc>
          <w:tcPr>
            <w:tcW w:w="303" w:type="pct"/>
            <w:shd w:val="clear" w:color="auto" w:fill="auto"/>
            <w:vAlign w:val="center"/>
          </w:tcPr>
          <w:p>
            <w:pPr>
              <w:widowControl w:val="0"/>
              <w:jc w:val="center"/>
              <w:rPr>
                <w:color w:val="auto"/>
              </w:rPr>
            </w:pPr>
            <w:r>
              <w:rPr>
                <w:rFonts w:hint="eastAsia"/>
                <w:color w:val="auto"/>
              </w:rPr>
              <w:t>颗粒物</w:t>
            </w:r>
          </w:p>
        </w:tc>
        <w:tc>
          <w:tcPr>
            <w:tcW w:w="308" w:type="pct"/>
            <w:shd w:val="clear" w:color="auto" w:fill="auto"/>
            <w:vAlign w:val="center"/>
          </w:tcPr>
          <w:p>
            <w:pPr>
              <w:widowControl w:val="0"/>
              <w:jc w:val="center"/>
              <w:rPr>
                <w:color w:val="auto"/>
              </w:rPr>
            </w:pPr>
            <w:r>
              <w:rPr>
                <w:rFonts w:hint="eastAsia"/>
                <w:color w:val="auto"/>
              </w:rPr>
              <w:t>产污系数法</w:t>
            </w:r>
          </w:p>
        </w:tc>
        <w:tc>
          <w:tcPr>
            <w:tcW w:w="349" w:type="pct"/>
            <w:shd w:val="clear" w:color="auto" w:fill="auto"/>
            <w:vAlign w:val="center"/>
          </w:tcPr>
          <w:p>
            <w:pPr>
              <w:widowControl w:val="0"/>
              <w:jc w:val="center"/>
              <w:rPr>
                <w:color w:val="auto"/>
              </w:rPr>
            </w:pPr>
            <w:r>
              <w:rPr>
                <w:rFonts w:hint="eastAsia"/>
                <w:color w:val="auto"/>
              </w:rPr>
              <w:t>5000</w:t>
            </w:r>
          </w:p>
        </w:tc>
        <w:tc>
          <w:tcPr>
            <w:tcW w:w="450" w:type="pct"/>
            <w:shd w:val="clear" w:color="auto" w:fill="auto"/>
            <w:vAlign w:val="center"/>
          </w:tcPr>
          <w:p>
            <w:pPr>
              <w:widowControl w:val="0"/>
              <w:jc w:val="center"/>
              <w:rPr>
                <w:color w:val="auto"/>
              </w:rPr>
            </w:pPr>
            <w:r>
              <w:rPr>
                <w:rFonts w:hint="eastAsia"/>
                <w:b/>
                <w:bCs/>
                <w:color w:val="auto"/>
                <w:u w:val="single"/>
              </w:rPr>
              <w:t>88.56</w:t>
            </w:r>
          </w:p>
        </w:tc>
        <w:tc>
          <w:tcPr>
            <w:tcW w:w="399" w:type="pct"/>
            <w:shd w:val="clear" w:color="auto" w:fill="auto"/>
            <w:vAlign w:val="center"/>
          </w:tcPr>
          <w:p>
            <w:pPr>
              <w:widowControl w:val="0"/>
              <w:jc w:val="center"/>
              <w:rPr>
                <w:color w:val="auto"/>
              </w:rPr>
            </w:pPr>
            <w:r>
              <w:rPr>
                <w:rFonts w:hint="eastAsia"/>
                <w:color w:val="auto"/>
              </w:rPr>
              <w:t>0.4428</w:t>
            </w:r>
          </w:p>
        </w:tc>
        <w:tc>
          <w:tcPr>
            <w:tcW w:w="416" w:type="pct"/>
            <w:shd w:val="clear" w:color="auto" w:fill="auto"/>
            <w:vAlign w:val="center"/>
          </w:tcPr>
          <w:p>
            <w:pPr>
              <w:widowControl w:val="0"/>
              <w:jc w:val="center"/>
              <w:rPr>
                <w:rFonts w:hint="eastAsia"/>
                <w:color w:val="auto"/>
              </w:rPr>
            </w:pPr>
            <w:r>
              <w:rPr>
                <w:rFonts w:hint="eastAsia"/>
                <w:color w:val="auto"/>
              </w:rPr>
              <w:t>袋式除</w:t>
            </w:r>
          </w:p>
          <w:p>
            <w:pPr>
              <w:widowControl w:val="0"/>
              <w:jc w:val="center"/>
              <w:rPr>
                <w:color w:val="auto"/>
              </w:rPr>
            </w:pPr>
            <w:r>
              <w:rPr>
                <w:rFonts w:hint="eastAsia"/>
                <w:color w:val="auto"/>
              </w:rPr>
              <w:t>尘器</w:t>
            </w:r>
          </w:p>
        </w:tc>
        <w:tc>
          <w:tcPr>
            <w:tcW w:w="285" w:type="pct"/>
            <w:shd w:val="clear" w:color="auto" w:fill="auto"/>
            <w:vAlign w:val="center"/>
          </w:tcPr>
          <w:p>
            <w:pPr>
              <w:widowControl w:val="0"/>
              <w:jc w:val="center"/>
              <w:rPr>
                <w:color w:val="auto"/>
              </w:rPr>
            </w:pPr>
            <w:r>
              <w:rPr>
                <w:rFonts w:hint="eastAsia"/>
                <w:color w:val="auto"/>
              </w:rPr>
              <w:t>0%</w:t>
            </w:r>
          </w:p>
        </w:tc>
        <w:tc>
          <w:tcPr>
            <w:tcW w:w="327" w:type="pct"/>
            <w:shd w:val="clear" w:color="auto" w:fill="auto"/>
            <w:vAlign w:val="center"/>
          </w:tcPr>
          <w:p>
            <w:pPr>
              <w:widowControl w:val="0"/>
              <w:jc w:val="center"/>
              <w:rPr>
                <w:color w:val="auto"/>
              </w:rPr>
            </w:pPr>
            <w:r>
              <w:rPr>
                <w:rFonts w:hint="eastAsia"/>
                <w:color w:val="auto"/>
              </w:rPr>
              <w:t>DA004</w:t>
            </w:r>
          </w:p>
        </w:tc>
        <w:tc>
          <w:tcPr>
            <w:tcW w:w="363" w:type="pct"/>
            <w:shd w:val="clear" w:color="auto" w:fill="auto"/>
            <w:vAlign w:val="center"/>
          </w:tcPr>
          <w:p>
            <w:pPr>
              <w:widowControl w:val="0"/>
              <w:jc w:val="center"/>
              <w:rPr>
                <w:color w:val="auto"/>
              </w:rPr>
            </w:pPr>
            <w:r>
              <w:rPr>
                <w:rFonts w:hint="eastAsia"/>
                <w:color w:val="auto"/>
              </w:rPr>
              <w:t>5000</w:t>
            </w:r>
          </w:p>
        </w:tc>
        <w:tc>
          <w:tcPr>
            <w:tcW w:w="422" w:type="pct"/>
            <w:shd w:val="clear" w:color="auto" w:fill="auto"/>
            <w:vAlign w:val="center"/>
          </w:tcPr>
          <w:p>
            <w:pPr>
              <w:widowControl w:val="0"/>
              <w:jc w:val="center"/>
              <w:rPr>
                <w:color w:val="auto"/>
              </w:rPr>
            </w:pPr>
            <w:r>
              <w:rPr>
                <w:rFonts w:hint="eastAsia"/>
                <w:b/>
                <w:bCs/>
                <w:color w:val="auto"/>
                <w:u w:val="single"/>
              </w:rPr>
              <w:t>88.56</w:t>
            </w:r>
          </w:p>
        </w:tc>
        <w:tc>
          <w:tcPr>
            <w:tcW w:w="367" w:type="pct"/>
            <w:shd w:val="clear" w:color="auto" w:fill="auto"/>
            <w:vAlign w:val="center"/>
          </w:tcPr>
          <w:p>
            <w:pPr>
              <w:widowControl w:val="0"/>
              <w:jc w:val="center"/>
              <w:rPr>
                <w:color w:val="auto"/>
              </w:rPr>
            </w:pPr>
            <w:r>
              <w:rPr>
                <w:rFonts w:hint="eastAsia"/>
                <w:b/>
                <w:bCs/>
                <w:color w:val="auto"/>
                <w:u w:val="single"/>
              </w:rPr>
              <w:t>0.4428</w:t>
            </w:r>
          </w:p>
        </w:tc>
        <w:tc>
          <w:tcPr>
            <w:tcW w:w="277" w:type="pct"/>
            <w:shd w:val="clear" w:color="auto" w:fill="auto"/>
            <w:vAlign w:val="center"/>
          </w:tcPr>
          <w:p>
            <w:pPr>
              <w:widowControl w:val="0"/>
              <w:jc w:val="center"/>
              <w:rPr>
                <w:color w:val="auto"/>
              </w:rPr>
            </w:pPr>
            <w:r>
              <w:rPr>
                <w:rFonts w:hint="eastAsia"/>
                <w:color w:val="auto"/>
              </w:rPr>
              <w:t>1</w:t>
            </w:r>
          </w:p>
        </w:tc>
      </w:tr>
    </w:tbl>
    <w:p>
      <w:pPr>
        <w:pStyle w:val="288"/>
        <w:adjustRightInd w:val="0"/>
        <w:snapToGrid w:val="0"/>
        <w:spacing w:line="360" w:lineRule="auto"/>
        <w:ind w:firstLine="0"/>
        <w:rPr>
          <w:rFonts w:ascii="Times New Roman" w:hAnsi="Times New Roman"/>
          <w:color w:val="auto"/>
          <w:kern w:val="21"/>
          <w:sz w:val="24"/>
          <w:szCs w:val="24"/>
        </w:rPr>
      </w:pPr>
    </w:p>
    <w:p>
      <w:pPr>
        <w:pStyle w:val="288"/>
        <w:adjustRightInd w:val="0"/>
        <w:snapToGrid w:val="0"/>
        <w:spacing w:line="360" w:lineRule="auto"/>
        <w:ind w:firstLine="480" w:firstLineChars="200"/>
        <w:rPr>
          <w:rFonts w:ascii="Times New Roman" w:hAnsi="Times New Roman"/>
          <w:color w:val="auto"/>
          <w:kern w:val="21"/>
          <w:sz w:val="24"/>
          <w:szCs w:val="24"/>
        </w:rPr>
      </w:pPr>
    </w:p>
    <w:p>
      <w:pPr>
        <w:pStyle w:val="288"/>
        <w:adjustRightInd w:val="0"/>
        <w:snapToGrid w:val="0"/>
        <w:spacing w:line="360" w:lineRule="auto"/>
        <w:ind w:firstLine="480" w:firstLineChars="200"/>
        <w:rPr>
          <w:rFonts w:ascii="Times New Roman" w:hAnsi="Times New Roman"/>
          <w:color w:val="auto"/>
          <w:kern w:val="21"/>
          <w:sz w:val="24"/>
          <w:szCs w:val="24"/>
        </w:rPr>
        <w:sectPr>
          <w:pgSz w:w="16840" w:h="11907" w:orient="landscape"/>
          <w:pgMar w:top="1800" w:right="1440" w:bottom="1800" w:left="1440" w:header="1134" w:footer="1029" w:gutter="0"/>
          <w:cols w:space="720" w:num="1"/>
          <w:docGrid w:linePitch="286" w:charSpace="0"/>
        </w:sectPr>
      </w:pPr>
    </w:p>
    <w:p>
      <w:pPr>
        <w:tabs>
          <w:tab w:val="left" w:pos="840"/>
        </w:tabs>
        <w:adjustRightInd w:val="0"/>
        <w:snapToGrid w:val="0"/>
        <w:spacing w:line="360" w:lineRule="auto"/>
        <w:outlineLvl w:val="2"/>
        <w:rPr>
          <w:color w:val="auto"/>
          <w:kern w:val="21"/>
          <w:sz w:val="24"/>
          <w:szCs w:val="24"/>
        </w:rPr>
      </w:pPr>
      <w:bookmarkStart w:id="191" w:name="_bookmark37"/>
      <w:bookmarkEnd w:id="191"/>
      <w:r>
        <w:rPr>
          <w:rFonts w:eastAsia="黑体"/>
          <w:color w:val="auto"/>
          <w:kern w:val="21"/>
          <w:sz w:val="28"/>
          <w:szCs w:val="28"/>
        </w:rPr>
        <w:t>3.</w:t>
      </w:r>
      <w:r>
        <w:rPr>
          <w:rFonts w:hint="eastAsia" w:eastAsia="黑体"/>
          <w:color w:val="auto"/>
          <w:kern w:val="21"/>
          <w:sz w:val="28"/>
          <w:szCs w:val="28"/>
        </w:rPr>
        <w:t>4</w:t>
      </w:r>
      <w:r>
        <w:rPr>
          <w:rFonts w:eastAsia="黑体"/>
          <w:color w:val="auto"/>
          <w:kern w:val="21"/>
          <w:sz w:val="28"/>
          <w:szCs w:val="28"/>
        </w:rPr>
        <w:t>.2水污染源强分析</w:t>
      </w:r>
    </w:p>
    <w:p>
      <w:pPr>
        <w:pStyle w:val="6"/>
        <w:spacing w:before="0" w:after="0" w:line="360" w:lineRule="auto"/>
        <w:rPr>
          <w:b w:val="0"/>
          <w:color w:val="auto"/>
          <w:sz w:val="24"/>
          <w:szCs w:val="24"/>
        </w:rPr>
      </w:pPr>
      <w:r>
        <w:rPr>
          <w:rFonts w:hint="eastAsia"/>
          <w:b w:val="0"/>
          <w:color w:val="auto"/>
          <w:sz w:val="24"/>
          <w:szCs w:val="24"/>
        </w:rPr>
        <w:t>3.4.2.1废水产排情况</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1、含油废水</w:t>
      </w:r>
    </w:p>
    <w:p>
      <w:pPr>
        <w:pStyle w:val="32"/>
        <w:adjustRightInd w:val="0"/>
        <w:snapToGrid w:val="0"/>
        <w:spacing w:after="0" w:line="360" w:lineRule="auto"/>
        <w:ind w:firstLine="480" w:firstLineChars="200"/>
        <w:rPr>
          <w:color w:val="auto"/>
          <w:kern w:val="21"/>
          <w:sz w:val="24"/>
          <w:lang w:val="en-US"/>
        </w:rPr>
      </w:pPr>
      <w:r>
        <w:rPr>
          <w:color w:val="auto"/>
          <w:kern w:val="21"/>
          <w:sz w:val="24"/>
        </w:rPr>
        <w:t>本项目含油废水源自电镀生产线</w:t>
      </w:r>
      <w:r>
        <w:rPr>
          <w:rFonts w:hint="eastAsia"/>
          <w:color w:val="auto"/>
          <w:kern w:val="21"/>
          <w:sz w:val="24"/>
          <w:lang w:eastAsia="zh-CN"/>
        </w:rPr>
        <w:t>除油</w:t>
      </w:r>
      <w:r>
        <w:rPr>
          <w:color w:val="auto"/>
          <w:kern w:val="21"/>
          <w:sz w:val="24"/>
        </w:rPr>
        <w:t>槽</w:t>
      </w:r>
      <w:r>
        <w:rPr>
          <w:rFonts w:hint="eastAsia"/>
          <w:color w:val="auto"/>
          <w:kern w:val="21"/>
          <w:sz w:val="24"/>
          <w:lang w:val="en-US"/>
        </w:rPr>
        <w:t>废液及</w:t>
      </w:r>
      <w:r>
        <w:rPr>
          <w:rFonts w:hint="eastAsia"/>
          <w:color w:val="auto"/>
          <w:kern w:val="21"/>
          <w:sz w:val="24"/>
          <w:lang w:val="en-US" w:eastAsia="zh-CN"/>
        </w:rPr>
        <w:t>除油</w:t>
      </w:r>
      <w:r>
        <w:rPr>
          <w:rFonts w:hint="eastAsia"/>
          <w:color w:val="auto"/>
          <w:kern w:val="21"/>
          <w:sz w:val="24"/>
          <w:lang w:val="en-US"/>
        </w:rPr>
        <w:t>后水洗废水。</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项目产生的含油废水经</w:t>
      </w:r>
      <w:r>
        <w:rPr>
          <w:rFonts w:hint="eastAsia"/>
          <w:color w:val="auto"/>
          <w:kern w:val="21"/>
          <w:sz w:val="24"/>
          <w:lang w:val="en-US" w:eastAsia="zh-CN"/>
        </w:rPr>
        <w:t>“</w:t>
      </w:r>
      <w:r>
        <w:rPr>
          <w:color w:val="auto"/>
          <w:kern w:val="21"/>
          <w:sz w:val="24"/>
          <w:lang w:val="en-US"/>
        </w:rPr>
        <w:t>破乳</w:t>
      </w:r>
      <w:r>
        <w:rPr>
          <w:rFonts w:hint="eastAsia"/>
          <w:color w:val="auto"/>
          <w:kern w:val="21"/>
          <w:sz w:val="24"/>
          <w:lang w:val="en-US"/>
        </w:rPr>
        <w:t>→</w:t>
      </w:r>
      <w:r>
        <w:rPr>
          <w:color w:val="auto"/>
          <w:kern w:val="21"/>
          <w:sz w:val="24"/>
          <w:lang w:val="en-US"/>
        </w:rPr>
        <w:t>pH调节</w:t>
      </w:r>
      <w:r>
        <w:rPr>
          <w:rFonts w:hint="eastAsia"/>
          <w:color w:val="auto"/>
          <w:kern w:val="21"/>
          <w:sz w:val="24"/>
          <w:lang w:val="en-US"/>
        </w:rPr>
        <w:t>→混凝→气浮</w:t>
      </w:r>
      <w:r>
        <w:rPr>
          <w:rFonts w:hint="eastAsia"/>
          <w:color w:val="auto"/>
          <w:kern w:val="21"/>
          <w:sz w:val="24"/>
          <w:lang w:val="en-US" w:eastAsia="zh-CN"/>
        </w:rPr>
        <w:t>”</w:t>
      </w:r>
      <w:r>
        <w:rPr>
          <w:rFonts w:hint="eastAsia"/>
          <w:color w:val="auto"/>
          <w:kern w:val="21"/>
          <w:sz w:val="24"/>
          <w:lang w:val="en-US"/>
        </w:rPr>
        <w:t>预处理后，先进入酸性废水预处理系统进行</w:t>
      </w:r>
      <w:r>
        <w:rPr>
          <w:rFonts w:hint="eastAsia"/>
          <w:color w:val="auto"/>
          <w:kern w:val="21"/>
          <w:sz w:val="24"/>
          <w:lang w:val="en-US" w:eastAsia="zh-CN"/>
        </w:rPr>
        <w:t>“</w:t>
      </w:r>
      <w:r>
        <w:rPr>
          <w:rFonts w:hint="eastAsia"/>
          <w:color w:val="auto"/>
          <w:kern w:val="21"/>
          <w:sz w:val="24"/>
          <w:lang w:val="en-US"/>
        </w:rPr>
        <w:t>pH调节→混凝沉淀→回调→多介质过滤</w:t>
      </w:r>
      <w:r>
        <w:rPr>
          <w:rFonts w:hint="eastAsia"/>
          <w:color w:val="auto"/>
          <w:kern w:val="21"/>
          <w:sz w:val="24"/>
          <w:lang w:val="en-US" w:eastAsia="zh-CN"/>
        </w:rPr>
        <w:t>”</w:t>
      </w:r>
      <w:r>
        <w:rPr>
          <w:rFonts w:hint="eastAsia"/>
          <w:color w:val="auto"/>
          <w:kern w:val="21"/>
          <w:sz w:val="24"/>
          <w:lang w:val="en-US"/>
        </w:rPr>
        <w:t>处理，再进入零排放处理系统</w:t>
      </w:r>
      <w:r>
        <w:rPr>
          <w:rFonts w:hint="eastAsia"/>
          <w:color w:val="auto"/>
          <w:kern w:val="21"/>
          <w:sz w:val="24"/>
          <w:lang w:val="en-US"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lang w:val="en-US"/>
        </w:rPr>
        <w:t>处理，</w:t>
      </w:r>
      <w:r>
        <w:rPr>
          <w:rFonts w:hint="eastAsia"/>
          <w:color w:val="auto"/>
          <w:kern w:val="21"/>
          <w:sz w:val="24"/>
          <w:lang w:val="en-US" w:eastAsia="zh-CN"/>
        </w:rPr>
        <w:t>深度</w:t>
      </w:r>
      <w:r>
        <w:rPr>
          <w:rFonts w:hint="eastAsia"/>
          <w:color w:val="auto"/>
          <w:kern w:val="21"/>
          <w:sz w:val="24"/>
          <w:lang w:val="en-US"/>
        </w:rPr>
        <w:t>处理后全部回用</w:t>
      </w:r>
      <w:r>
        <w:rPr>
          <w:rFonts w:hint="eastAsia"/>
          <w:color w:val="auto"/>
          <w:kern w:val="21"/>
          <w:sz w:val="24"/>
          <w:lang w:val="en-US" w:eastAsia="zh-CN"/>
        </w:rPr>
        <w:t>于生产线</w:t>
      </w:r>
      <w:r>
        <w:rPr>
          <w:rFonts w:hint="eastAsia"/>
          <w:color w:val="auto"/>
          <w:kern w:val="21"/>
          <w:sz w:val="24"/>
          <w:lang w:val="en-US"/>
        </w:rPr>
        <w:t>。</w:t>
      </w:r>
      <w:r>
        <w:rPr>
          <w:color w:val="auto"/>
          <w:kern w:val="21"/>
          <w:sz w:val="24"/>
          <w:lang w:val="en-US"/>
        </w:rPr>
        <w:t>根据《污染源源强核算技术指南 电镀》（HJ984-2018），含油废水水量采用物料衡算法确定，</w:t>
      </w:r>
      <w:r>
        <w:rPr>
          <w:rFonts w:hint="eastAsia"/>
          <w:color w:val="auto"/>
          <w:kern w:val="21"/>
          <w:sz w:val="24"/>
          <w:lang w:val="en-US"/>
        </w:rPr>
        <w:t>每条线配置的</w:t>
      </w:r>
      <w:r>
        <w:rPr>
          <w:rFonts w:hint="eastAsia"/>
          <w:color w:val="auto"/>
          <w:kern w:val="21"/>
          <w:sz w:val="24"/>
          <w:lang w:val="en-US" w:eastAsia="zh-CN"/>
        </w:rPr>
        <w:t>除油</w:t>
      </w:r>
      <w:r>
        <w:rPr>
          <w:rFonts w:hint="eastAsia"/>
          <w:color w:val="auto"/>
          <w:kern w:val="21"/>
          <w:sz w:val="24"/>
          <w:lang w:val="en-US"/>
        </w:rPr>
        <w:t>槽及水洗槽见下表。</w:t>
      </w:r>
    </w:p>
    <w:p>
      <w:pPr>
        <w:pStyle w:val="32"/>
        <w:adjustRightInd w:val="0"/>
        <w:snapToGrid w:val="0"/>
        <w:spacing w:after="0" w:line="360" w:lineRule="auto"/>
        <w:ind w:firstLine="480" w:firstLineChars="200"/>
        <w:rPr>
          <w:color w:val="auto"/>
          <w:kern w:val="21"/>
          <w:sz w:val="24"/>
          <w:lang w:val="en-US"/>
        </w:rPr>
        <w:sectPr>
          <w:pgSz w:w="11907" w:h="16840"/>
          <w:pgMar w:top="1440" w:right="1800" w:bottom="1440" w:left="1800" w:header="1134" w:footer="1029" w:gutter="0"/>
          <w:cols w:space="720" w:num="1"/>
        </w:sectPr>
      </w:pPr>
    </w:p>
    <w:p>
      <w:pPr>
        <w:adjustRightInd w:val="0"/>
        <w:snapToGrid w:val="0"/>
        <w:jc w:val="center"/>
        <w:rPr>
          <w:rFonts w:eastAsia="黑体"/>
          <w:color w:val="auto"/>
          <w:kern w:val="21"/>
          <w:sz w:val="24"/>
          <w:szCs w:val="24"/>
        </w:rPr>
      </w:pPr>
      <w:r>
        <w:rPr>
          <w:rFonts w:hint="eastAsia" w:eastAsia="黑体"/>
          <w:color w:val="auto"/>
          <w:kern w:val="21"/>
          <w:sz w:val="24"/>
          <w:szCs w:val="24"/>
        </w:rPr>
        <w:t>表3.4-7  含油废水污染源源强核算结果及相关参数一览表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8"/>
        <w:gridCol w:w="966"/>
        <w:gridCol w:w="1149"/>
        <w:gridCol w:w="1315"/>
        <w:gridCol w:w="1610"/>
        <w:gridCol w:w="885"/>
        <w:gridCol w:w="1110"/>
        <w:gridCol w:w="1110"/>
        <w:gridCol w:w="1085"/>
        <w:gridCol w:w="967"/>
        <w:gridCol w:w="1086"/>
        <w:gridCol w:w="817"/>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320" w:type="pct"/>
            <w:vMerge w:val="restart"/>
            <w:vAlign w:val="center"/>
          </w:tcPr>
          <w:p>
            <w:pPr>
              <w:adjustRightInd w:val="0"/>
              <w:snapToGrid w:val="0"/>
              <w:jc w:val="center"/>
              <w:rPr>
                <w:rFonts w:hint="eastAsia" w:eastAsia="宋体"/>
                <w:b/>
                <w:bCs w:val="0"/>
                <w:color w:val="auto"/>
                <w:kern w:val="21"/>
                <w:lang w:val="en-US" w:eastAsia="zh-CN" w:bidi="ar"/>
              </w:rPr>
            </w:pPr>
            <w:r>
              <w:rPr>
                <w:b/>
                <w:bCs w:val="0"/>
                <w:color w:val="auto"/>
                <w:kern w:val="21"/>
                <w:lang w:bidi="ar"/>
              </w:rPr>
              <w:t>生产线</w:t>
            </w:r>
            <w:r>
              <w:rPr>
                <w:rFonts w:hint="eastAsia"/>
                <w:b/>
                <w:bCs w:val="0"/>
                <w:color w:val="auto"/>
                <w:kern w:val="21"/>
                <w:lang w:val="en-US" w:eastAsia="zh-CN" w:bidi="ar"/>
              </w:rPr>
              <w:t>名称</w:t>
            </w:r>
          </w:p>
        </w:tc>
        <w:tc>
          <w:tcPr>
            <w:tcW w:w="340" w:type="pct"/>
            <w:vMerge w:val="restart"/>
            <w:vAlign w:val="center"/>
          </w:tcPr>
          <w:p>
            <w:pPr>
              <w:adjustRightInd w:val="0"/>
              <w:snapToGrid w:val="0"/>
              <w:jc w:val="center"/>
              <w:rPr>
                <w:b/>
                <w:bCs w:val="0"/>
                <w:color w:val="auto"/>
                <w:kern w:val="21"/>
                <w:lang w:bidi="ar"/>
              </w:rPr>
            </w:pPr>
            <w:r>
              <w:rPr>
                <w:b/>
                <w:bCs w:val="0"/>
                <w:color w:val="auto"/>
                <w:kern w:val="21"/>
                <w:lang w:bidi="ar"/>
              </w:rPr>
              <w:t>槽体</w:t>
            </w:r>
          </w:p>
          <w:p>
            <w:pPr>
              <w:adjustRightInd w:val="0"/>
              <w:snapToGrid w:val="0"/>
              <w:jc w:val="center"/>
              <w:rPr>
                <w:rFonts w:hint="eastAsia" w:eastAsia="宋体"/>
                <w:b/>
                <w:bCs w:val="0"/>
                <w:color w:val="auto"/>
                <w:kern w:val="21"/>
                <w:lang w:val="en-US" w:eastAsia="zh-CN" w:bidi="ar"/>
              </w:rPr>
            </w:pPr>
            <w:r>
              <w:rPr>
                <w:rFonts w:hint="eastAsia"/>
                <w:b/>
                <w:bCs w:val="0"/>
                <w:color w:val="auto"/>
                <w:kern w:val="21"/>
                <w:lang w:val="en-US" w:eastAsia="zh-CN" w:bidi="ar"/>
              </w:rPr>
              <w:t>名称</w:t>
            </w:r>
          </w:p>
        </w:tc>
        <w:tc>
          <w:tcPr>
            <w:tcW w:w="405" w:type="pct"/>
            <w:vMerge w:val="restart"/>
            <w:vAlign w:val="center"/>
          </w:tcPr>
          <w:p>
            <w:pPr>
              <w:adjustRightInd w:val="0"/>
              <w:snapToGrid w:val="0"/>
              <w:jc w:val="center"/>
              <w:rPr>
                <w:b/>
                <w:bCs w:val="0"/>
                <w:color w:val="auto"/>
                <w:kern w:val="21"/>
                <w:lang w:bidi="ar"/>
              </w:rPr>
            </w:pPr>
            <w:r>
              <w:rPr>
                <w:b/>
                <w:bCs w:val="0"/>
                <w:color w:val="auto"/>
                <w:kern w:val="21"/>
                <w:lang w:bidi="ar"/>
              </w:rPr>
              <w:t>单</w:t>
            </w:r>
            <w:r>
              <w:rPr>
                <w:rFonts w:hint="eastAsia"/>
                <w:b/>
                <w:bCs w:val="0"/>
                <w:color w:val="auto"/>
                <w:kern w:val="21"/>
                <w:lang w:val="en-US" w:eastAsia="zh-CN" w:bidi="ar"/>
              </w:rPr>
              <w:t>条</w:t>
            </w:r>
            <w:r>
              <w:rPr>
                <w:b/>
                <w:bCs w:val="0"/>
                <w:color w:val="auto"/>
                <w:kern w:val="21"/>
                <w:lang w:bidi="ar"/>
              </w:rPr>
              <w:t>线数量（个）</w:t>
            </w:r>
          </w:p>
        </w:tc>
        <w:tc>
          <w:tcPr>
            <w:tcW w:w="463" w:type="pct"/>
            <w:vMerge w:val="restart"/>
            <w:vAlign w:val="center"/>
          </w:tcPr>
          <w:p>
            <w:pPr>
              <w:adjustRightInd w:val="0"/>
              <w:snapToGrid w:val="0"/>
              <w:jc w:val="center"/>
              <w:rPr>
                <w:b/>
                <w:bCs w:val="0"/>
                <w:color w:val="auto"/>
                <w:kern w:val="21"/>
                <w:lang w:bidi="ar"/>
              </w:rPr>
            </w:pPr>
            <w:r>
              <w:rPr>
                <w:b/>
                <w:bCs w:val="0"/>
                <w:color w:val="auto"/>
                <w:kern w:val="21"/>
                <w:lang w:bidi="ar"/>
              </w:rPr>
              <w:t>尺寸（m）</w:t>
            </w:r>
          </w:p>
          <w:p>
            <w:pPr>
              <w:adjustRightInd w:val="0"/>
              <w:snapToGrid w:val="0"/>
              <w:jc w:val="center"/>
              <w:rPr>
                <w:b/>
                <w:bCs w:val="0"/>
                <w:color w:val="auto"/>
                <w:kern w:val="21"/>
                <w:lang w:bidi="ar"/>
              </w:rPr>
            </w:pPr>
            <w:r>
              <w:rPr>
                <w:b/>
                <w:bCs w:val="0"/>
                <w:color w:val="auto"/>
                <w:kern w:val="21"/>
                <w:lang w:bidi="ar"/>
              </w:rPr>
              <w:t>长×宽×高</w:t>
            </w:r>
          </w:p>
        </w:tc>
        <w:tc>
          <w:tcPr>
            <w:tcW w:w="567" w:type="pct"/>
            <w:vMerge w:val="restart"/>
            <w:vAlign w:val="center"/>
          </w:tcPr>
          <w:p>
            <w:pPr>
              <w:adjustRightInd w:val="0"/>
              <w:snapToGrid w:val="0"/>
              <w:jc w:val="center"/>
              <w:rPr>
                <w:b/>
                <w:bCs w:val="0"/>
                <w:color w:val="auto"/>
                <w:kern w:val="21"/>
                <w:lang w:bidi="ar"/>
              </w:rPr>
            </w:pPr>
            <w:r>
              <w:rPr>
                <w:b/>
                <w:bCs w:val="0"/>
                <w:color w:val="auto"/>
                <w:kern w:val="21"/>
                <w:lang w:bidi="ar"/>
              </w:rPr>
              <w:t xml:space="preserve">溶液总容积 </w:t>
            </w:r>
          </w:p>
          <w:p>
            <w:pPr>
              <w:adjustRightInd w:val="0"/>
              <w:snapToGrid w:val="0"/>
              <w:jc w:val="center"/>
              <w:rPr>
                <w:b/>
                <w:bCs w:val="0"/>
                <w:color w:val="auto"/>
                <w:kern w:val="21"/>
                <w:lang w:bidi="ar"/>
              </w:rPr>
            </w:pPr>
            <w:r>
              <w:rPr>
                <w:b/>
                <w:bCs w:val="0"/>
                <w:color w:val="auto"/>
                <w:kern w:val="21"/>
                <w:lang w:bidi="ar"/>
              </w:rPr>
              <w:t>（m</w:t>
            </w:r>
            <w:r>
              <w:rPr>
                <w:b/>
                <w:bCs w:val="0"/>
                <w:color w:val="auto"/>
                <w:kern w:val="21"/>
                <w:vertAlign w:val="superscript"/>
                <w:lang w:bidi="ar"/>
              </w:rPr>
              <w:t>3</w:t>
            </w:r>
            <w:r>
              <w:rPr>
                <w:b/>
                <w:bCs w:val="0"/>
                <w:color w:val="auto"/>
                <w:kern w:val="21"/>
                <w:lang w:bidi="ar"/>
              </w:rPr>
              <w:t>）</w:t>
            </w:r>
          </w:p>
        </w:tc>
        <w:tc>
          <w:tcPr>
            <w:tcW w:w="312" w:type="pct"/>
            <w:vMerge w:val="restart"/>
            <w:vAlign w:val="center"/>
          </w:tcPr>
          <w:p>
            <w:pPr>
              <w:adjustRightInd w:val="0"/>
              <w:snapToGrid w:val="0"/>
              <w:jc w:val="center"/>
              <w:rPr>
                <w:b/>
                <w:bCs w:val="0"/>
                <w:color w:val="auto"/>
                <w:kern w:val="21"/>
                <w:lang w:bidi="ar"/>
              </w:rPr>
            </w:pPr>
            <w:r>
              <w:rPr>
                <w:b/>
                <w:bCs w:val="0"/>
                <w:color w:val="auto"/>
                <w:kern w:val="21"/>
                <w:lang w:bidi="ar"/>
              </w:rPr>
              <w:t>工作时间h/d</w:t>
            </w:r>
          </w:p>
        </w:tc>
        <w:tc>
          <w:tcPr>
            <w:tcW w:w="391" w:type="pct"/>
            <w:vMerge w:val="restart"/>
            <w:vAlign w:val="center"/>
          </w:tcPr>
          <w:p>
            <w:pPr>
              <w:adjustRightInd w:val="0"/>
              <w:snapToGrid w:val="0"/>
              <w:jc w:val="center"/>
              <w:rPr>
                <w:b/>
                <w:bCs w:val="0"/>
                <w:color w:val="auto"/>
                <w:kern w:val="21"/>
                <w:lang w:bidi="ar"/>
              </w:rPr>
            </w:pPr>
            <w:r>
              <w:rPr>
                <w:b/>
                <w:bCs w:val="0"/>
                <w:color w:val="auto"/>
                <w:kern w:val="21"/>
                <w:lang w:bidi="ar"/>
              </w:rPr>
              <w:t>排放方式</w:t>
            </w:r>
          </w:p>
        </w:tc>
        <w:tc>
          <w:tcPr>
            <w:tcW w:w="391" w:type="pct"/>
            <w:vMerge w:val="restart"/>
            <w:vAlign w:val="center"/>
          </w:tcPr>
          <w:p>
            <w:pPr>
              <w:adjustRightInd w:val="0"/>
              <w:snapToGrid w:val="0"/>
              <w:jc w:val="center"/>
              <w:rPr>
                <w:b/>
                <w:bCs w:val="0"/>
                <w:color w:val="auto"/>
                <w:kern w:val="21"/>
                <w:lang w:bidi="ar"/>
              </w:rPr>
            </w:pPr>
            <w:r>
              <w:rPr>
                <w:b/>
                <w:bCs w:val="0"/>
                <w:color w:val="auto"/>
                <w:kern w:val="21"/>
                <w:lang w:bidi="ar"/>
              </w:rPr>
              <w:t>溢流速度</w:t>
            </w:r>
          </w:p>
          <w:p>
            <w:pPr>
              <w:adjustRightInd w:val="0"/>
              <w:snapToGrid w:val="0"/>
              <w:jc w:val="center"/>
              <w:rPr>
                <w:b/>
                <w:bCs w:val="0"/>
                <w:color w:val="auto"/>
                <w:kern w:val="21"/>
                <w:lang w:bidi="ar"/>
              </w:rPr>
            </w:pPr>
            <w:r>
              <w:rPr>
                <w:b/>
                <w:bCs w:val="0"/>
                <w:color w:val="auto"/>
                <w:kern w:val="21"/>
                <w:lang w:bidi="ar"/>
              </w:rPr>
              <w:t>L/h</w:t>
            </w:r>
          </w:p>
        </w:tc>
        <w:tc>
          <w:tcPr>
            <w:tcW w:w="723" w:type="pct"/>
            <w:gridSpan w:val="2"/>
            <w:vAlign w:val="center"/>
          </w:tcPr>
          <w:p>
            <w:pPr>
              <w:adjustRightInd w:val="0"/>
              <w:snapToGrid w:val="0"/>
              <w:jc w:val="center"/>
              <w:rPr>
                <w:b/>
                <w:bCs w:val="0"/>
                <w:color w:val="auto"/>
                <w:kern w:val="21"/>
                <w:lang w:bidi="ar"/>
              </w:rPr>
            </w:pPr>
            <w:r>
              <w:rPr>
                <w:b/>
                <w:bCs w:val="0"/>
                <w:color w:val="auto"/>
                <w:kern w:val="21"/>
                <w:lang w:bidi="ar"/>
              </w:rPr>
              <w:t>用水（m</w:t>
            </w:r>
            <w:r>
              <w:rPr>
                <w:b/>
                <w:bCs w:val="0"/>
                <w:color w:val="auto"/>
                <w:kern w:val="21"/>
                <w:vertAlign w:val="superscript"/>
                <w:lang w:bidi="ar"/>
              </w:rPr>
              <w:t>3</w:t>
            </w:r>
            <w:r>
              <w:rPr>
                <w:b/>
                <w:bCs w:val="0"/>
                <w:color w:val="auto"/>
                <w:kern w:val="21"/>
                <w:lang w:bidi="ar"/>
              </w:rPr>
              <w:t>/d）</w:t>
            </w:r>
          </w:p>
        </w:tc>
        <w:tc>
          <w:tcPr>
            <w:tcW w:w="1083" w:type="pct"/>
            <w:gridSpan w:val="3"/>
            <w:vAlign w:val="center"/>
          </w:tcPr>
          <w:p>
            <w:pPr>
              <w:adjustRightInd w:val="0"/>
              <w:snapToGrid w:val="0"/>
              <w:jc w:val="center"/>
              <w:rPr>
                <w:b/>
                <w:bCs w:val="0"/>
                <w:color w:val="auto"/>
                <w:kern w:val="21"/>
                <w:lang w:bidi="ar"/>
              </w:rPr>
            </w:pPr>
            <w:r>
              <w:rPr>
                <w:b/>
                <w:bCs w:val="0"/>
                <w:color w:val="auto"/>
                <w:kern w:val="21"/>
                <w:lang w:bidi="ar"/>
              </w:rPr>
              <w:t>废水（m</w:t>
            </w:r>
            <w:r>
              <w:rPr>
                <w:b/>
                <w:bCs w:val="0"/>
                <w:color w:val="auto"/>
                <w:kern w:val="21"/>
                <w:vertAlign w:val="superscript"/>
                <w:lang w:bidi="ar"/>
              </w:rPr>
              <w:t>3</w:t>
            </w:r>
            <w:r>
              <w:rPr>
                <w:b/>
                <w:bCs w:val="0"/>
                <w:color w:val="auto"/>
                <w:kern w:val="21"/>
                <w:lang w:bidi="ar"/>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320" w:type="pct"/>
            <w:vMerge w:val="continue"/>
            <w:vAlign w:val="center"/>
          </w:tcPr>
          <w:p>
            <w:pPr>
              <w:adjustRightInd w:val="0"/>
              <w:snapToGrid w:val="0"/>
              <w:jc w:val="center"/>
              <w:rPr>
                <w:b/>
                <w:bCs w:val="0"/>
                <w:color w:val="auto"/>
                <w:kern w:val="21"/>
                <w:lang w:bidi="ar"/>
              </w:rPr>
            </w:pPr>
          </w:p>
        </w:tc>
        <w:tc>
          <w:tcPr>
            <w:tcW w:w="340" w:type="pct"/>
            <w:vMerge w:val="continue"/>
            <w:vAlign w:val="center"/>
          </w:tcPr>
          <w:p>
            <w:pPr>
              <w:adjustRightInd w:val="0"/>
              <w:snapToGrid w:val="0"/>
              <w:jc w:val="center"/>
              <w:rPr>
                <w:b/>
                <w:bCs w:val="0"/>
                <w:color w:val="auto"/>
                <w:kern w:val="21"/>
                <w:lang w:bidi="ar"/>
              </w:rPr>
            </w:pPr>
          </w:p>
        </w:tc>
        <w:tc>
          <w:tcPr>
            <w:tcW w:w="405" w:type="pct"/>
            <w:vMerge w:val="continue"/>
            <w:vAlign w:val="center"/>
          </w:tcPr>
          <w:p>
            <w:pPr>
              <w:adjustRightInd w:val="0"/>
              <w:snapToGrid w:val="0"/>
              <w:jc w:val="center"/>
              <w:rPr>
                <w:b/>
                <w:bCs w:val="0"/>
                <w:color w:val="auto"/>
                <w:kern w:val="21"/>
                <w:lang w:bidi="ar"/>
              </w:rPr>
            </w:pPr>
          </w:p>
        </w:tc>
        <w:tc>
          <w:tcPr>
            <w:tcW w:w="463" w:type="pct"/>
            <w:vMerge w:val="continue"/>
            <w:vAlign w:val="center"/>
          </w:tcPr>
          <w:p>
            <w:pPr>
              <w:adjustRightInd w:val="0"/>
              <w:snapToGrid w:val="0"/>
              <w:jc w:val="center"/>
              <w:rPr>
                <w:b/>
                <w:bCs w:val="0"/>
                <w:color w:val="auto"/>
                <w:kern w:val="21"/>
                <w:lang w:bidi="ar"/>
              </w:rPr>
            </w:pPr>
          </w:p>
        </w:tc>
        <w:tc>
          <w:tcPr>
            <w:tcW w:w="567" w:type="pct"/>
            <w:vMerge w:val="continue"/>
            <w:vAlign w:val="center"/>
          </w:tcPr>
          <w:p>
            <w:pPr>
              <w:adjustRightInd w:val="0"/>
              <w:snapToGrid w:val="0"/>
              <w:jc w:val="center"/>
              <w:rPr>
                <w:b/>
                <w:bCs w:val="0"/>
                <w:color w:val="auto"/>
                <w:kern w:val="21"/>
                <w:lang w:bidi="ar"/>
              </w:rPr>
            </w:pPr>
          </w:p>
        </w:tc>
        <w:tc>
          <w:tcPr>
            <w:tcW w:w="312" w:type="pct"/>
            <w:vMerge w:val="continue"/>
            <w:vAlign w:val="center"/>
          </w:tcPr>
          <w:p>
            <w:pPr>
              <w:adjustRightInd w:val="0"/>
              <w:snapToGrid w:val="0"/>
              <w:jc w:val="center"/>
              <w:rPr>
                <w:b/>
                <w:bCs w:val="0"/>
                <w:color w:val="auto"/>
                <w:kern w:val="21"/>
                <w:lang w:bidi="ar"/>
              </w:rPr>
            </w:pPr>
          </w:p>
        </w:tc>
        <w:tc>
          <w:tcPr>
            <w:tcW w:w="391" w:type="pct"/>
            <w:vMerge w:val="continue"/>
            <w:vAlign w:val="center"/>
          </w:tcPr>
          <w:p>
            <w:pPr>
              <w:adjustRightInd w:val="0"/>
              <w:snapToGrid w:val="0"/>
              <w:jc w:val="center"/>
              <w:rPr>
                <w:b/>
                <w:bCs w:val="0"/>
                <w:color w:val="auto"/>
                <w:kern w:val="21"/>
                <w:lang w:bidi="ar"/>
              </w:rPr>
            </w:pPr>
          </w:p>
        </w:tc>
        <w:tc>
          <w:tcPr>
            <w:tcW w:w="391" w:type="pct"/>
            <w:vMerge w:val="continue"/>
            <w:vAlign w:val="center"/>
          </w:tcPr>
          <w:p>
            <w:pPr>
              <w:adjustRightInd w:val="0"/>
              <w:snapToGrid w:val="0"/>
              <w:jc w:val="center"/>
              <w:rPr>
                <w:b/>
                <w:bCs w:val="0"/>
                <w:color w:val="auto"/>
                <w:kern w:val="21"/>
                <w:lang w:bidi="ar"/>
              </w:rPr>
            </w:pPr>
          </w:p>
        </w:tc>
        <w:tc>
          <w:tcPr>
            <w:tcW w:w="382" w:type="pct"/>
            <w:vAlign w:val="center"/>
          </w:tcPr>
          <w:p>
            <w:pPr>
              <w:adjustRightInd w:val="0"/>
              <w:snapToGrid w:val="0"/>
              <w:jc w:val="center"/>
              <w:rPr>
                <w:b/>
                <w:bCs w:val="0"/>
                <w:color w:val="auto"/>
                <w:kern w:val="21"/>
                <w:lang w:bidi="ar"/>
              </w:rPr>
            </w:pPr>
            <w:r>
              <w:rPr>
                <w:b/>
                <w:bCs w:val="0"/>
                <w:color w:val="auto"/>
                <w:kern w:val="21"/>
                <w:lang w:bidi="ar"/>
              </w:rPr>
              <w:t>水量</w:t>
            </w:r>
          </w:p>
        </w:tc>
        <w:tc>
          <w:tcPr>
            <w:tcW w:w="341" w:type="pct"/>
            <w:vAlign w:val="center"/>
          </w:tcPr>
          <w:p>
            <w:pPr>
              <w:adjustRightInd w:val="0"/>
              <w:snapToGrid w:val="0"/>
              <w:jc w:val="center"/>
              <w:rPr>
                <w:b/>
                <w:bCs w:val="0"/>
                <w:color w:val="auto"/>
                <w:kern w:val="21"/>
                <w:lang w:bidi="ar"/>
              </w:rPr>
            </w:pPr>
            <w:r>
              <w:rPr>
                <w:b/>
                <w:bCs w:val="0"/>
                <w:color w:val="auto"/>
                <w:kern w:val="21"/>
                <w:lang w:bidi="ar"/>
              </w:rPr>
              <w:t>来源</w:t>
            </w:r>
          </w:p>
        </w:tc>
        <w:tc>
          <w:tcPr>
            <w:tcW w:w="383" w:type="pct"/>
            <w:vAlign w:val="center"/>
          </w:tcPr>
          <w:p>
            <w:pPr>
              <w:adjustRightInd w:val="0"/>
              <w:snapToGrid w:val="0"/>
              <w:jc w:val="center"/>
              <w:rPr>
                <w:b/>
                <w:bCs w:val="0"/>
                <w:color w:val="auto"/>
                <w:kern w:val="21"/>
                <w:lang w:bidi="ar"/>
              </w:rPr>
            </w:pPr>
            <w:r>
              <w:rPr>
                <w:b/>
                <w:bCs w:val="0"/>
                <w:color w:val="auto"/>
                <w:kern w:val="21"/>
                <w:lang w:bidi="ar"/>
              </w:rPr>
              <w:t>水量</w:t>
            </w:r>
          </w:p>
        </w:tc>
        <w:tc>
          <w:tcPr>
            <w:tcW w:w="288" w:type="pct"/>
            <w:vAlign w:val="center"/>
          </w:tcPr>
          <w:p>
            <w:pPr>
              <w:adjustRightInd w:val="0"/>
              <w:snapToGrid w:val="0"/>
              <w:jc w:val="center"/>
              <w:rPr>
                <w:b/>
                <w:bCs w:val="0"/>
                <w:color w:val="auto"/>
                <w:kern w:val="21"/>
                <w:lang w:bidi="ar"/>
              </w:rPr>
            </w:pPr>
            <w:r>
              <w:rPr>
                <w:b/>
                <w:bCs w:val="0"/>
                <w:color w:val="auto"/>
                <w:kern w:val="21"/>
                <w:lang w:bidi="ar"/>
              </w:rPr>
              <w:t>类型</w:t>
            </w:r>
          </w:p>
        </w:tc>
        <w:tc>
          <w:tcPr>
            <w:tcW w:w="411" w:type="pct"/>
            <w:vAlign w:val="center"/>
          </w:tcPr>
          <w:p>
            <w:pPr>
              <w:adjustRightInd w:val="0"/>
              <w:snapToGrid w:val="0"/>
              <w:jc w:val="center"/>
              <w:rPr>
                <w:b/>
                <w:bCs w:val="0"/>
                <w:color w:val="auto"/>
                <w:kern w:val="21"/>
                <w:lang w:bidi="ar"/>
              </w:rPr>
            </w:pPr>
            <w:r>
              <w:rPr>
                <w:b/>
                <w:bCs w:val="0"/>
                <w:color w:val="auto"/>
                <w:kern w:val="21"/>
                <w:lang w:bidi="ar"/>
              </w:rPr>
              <w:t xml:space="preserve">更换频率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restart"/>
            <w:vAlign w:val="center"/>
          </w:tcPr>
          <w:p>
            <w:pPr>
              <w:adjustRightInd w:val="0"/>
              <w:snapToGrid w:val="0"/>
              <w:jc w:val="center"/>
              <w:rPr>
                <w:b/>
                <w:color w:val="auto"/>
                <w:kern w:val="21"/>
                <w:lang w:bidi="ar"/>
              </w:rPr>
            </w:pPr>
            <w:r>
              <w:rPr>
                <w:rFonts w:hint="eastAsia"/>
                <w:bCs/>
                <w:color w:val="auto"/>
                <w:kern w:val="21"/>
                <w:lang w:bidi="ar"/>
              </w:rPr>
              <w:t>6条钢壳镀镍</w:t>
            </w:r>
            <w:r>
              <w:rPr>
                <w:bCs/>
                <w:color w:val="auto"/>
                <w:kern w:val="21"/>
                <w:lang w:bidi="ar"/>
              </w:rPr>
              <w:t>线</w:t>
            </w:r>
          </w:p>
        </w:tc>
        <w:tc>
          <w:tcPr>
            <w:tcW w:w="340" w:type="pct"/>
            <w:vAlign w:val="center"/>
          </w:tcPr>
          <w:p>
            <w:pPr>
              <w:adjustRightInd w:val="0"/>
              <w:snapToGrid w:val="0"/>
              <w:jc w:val="center"/>
              <w:rPr>
                <w:bCs/>
                <w:color w:val="auto"/>
                <w:kern w:val="21"/>
                <w:lang w:bidi="ar"/>
              </w:rPr>
            </w:pPr>
            <w:r>
              <w:rPr>
                <w:bCs/>
                <w:color w:val="auto"/>
                <w:kern w:val="21"/>
                <w:lang w:bidi="ar"/>
              </w:rPr>
              <w:t>除油槽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9</w:t>
            </w:r>
          </w:p>
        </w:tc>
        <w:tc>
          <w:tcPr>
            <w:tcW w:w="463"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0.7</w:t>
            </w:r>
            <w:r>
              <w:rPr>
                <w:bCs/>
                <w:color w:val="auto"/>
                <w:kern w:val="21"/>
                <w:lang w:bidi="ar"/>
              </w:rPr>
              <w:t>×1</w:t>
            </w:r>
            <w:r>
              <w:rPr>
                <w:rFonts w:hint="eastAsia"/>
                <w:bCs/>
                <w:color w:val="auto"/>
                <w:kern w:val="21"/>
                <w:lang w:bidi="ar"/>
              </w:rPr>
              <w:t>.2</w:t>
            </w:r>
          </w:p>
        </w:tc>
        <w:tc>
          <w:tcPr>
            <w:tcW w:w="567" w:type="pct"/>
            <w:vAlign w:val="center"/>
          </w:tcPr>
          <w:p>
            <w:pPr>
              <w:adjustRightInd w:val="0"/>
              <w:snapToGrid w:val="0"/>
              <w:jc w:val="center"/>
              <w:rPr>
                <w:bCs/>
                <w:color w:val="auto"/>
                <w:kern w:val="21"/>
                <w:lang w:bidi="ar"/>
              </w:rPr>
            </w:pPr>
            <w:r>
              <w:rPr>
                <w:rFonts w:hint="eastAsia"/>
                <w:bCs/>
                <w:color w:val="auto"/>
                <w:kern w:val="21"/>
                <w:lang w:bidi="ar"/>
              </w:rPr>
              <w:t>2.1</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9</w:t>
            </w:r>
            <w:r>
              <w:rPr>
                <w:bCs/>
                <w:color w:val="auto"/>
                <w:kern w:val="21"/>
                <w:lang w:bidi="ar"/>
              </w:rPr>
              <w:t>×0.9=</w:t>
            </w:r>
            <w:r>
              <w:rPr>
                <w:rFonts w:hint="eastAsia"/>
                <w:bCs/>
                <w:color w:val="auto"/>
                <w:kern w:val="21"/>
                <w:lang w:bidi="ar"/>
              </w:rPr>
              <w:t>102.06</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adjustRightInd w:val="0"/>
              <w:snapToGrid w:val="0"/>
              <w:jc w:val="center"/>
              <w:rPr>
                <w:bCs/>
                <w:color w:val="auto"/>
                <w:kern w:val="21"/>
                <w:lang w:bidi="ar"/>
              </w:rPr>
            </w:pPr>
            <w:r>
              <w:rPr>
                <w:bCs/>
                <w:color w:val="auto"/>
                <w:kern w:val="21"/>
                <w:lang w:bidi="ar"/>
              </w:rPr>
              <w:t>定期更换</w:t>
            </w:r>
          </w:p>
        </w:tc>
        <w:tc>
          <w:tcPr>
            <w:tcW w:w="391" w:type="pct"/>
            <w:vAlign w:val="center"/>
          </w:tcPr>
          <w:p>
            <w:pPr>
              <w:adjustRightInd w:val="0"/>
              <w:snapToGrid w:val="0"/>
              <w:jc w:val="center"/>
              <w:rPr>
                <w:bCs/>
                <w:color w:val="auto"/>
                <w:kern w:val="21"/>
                <w:lang w:bidi="ar"/>
              </w:rPr>
            </w:pPr>
            <w:r>
              <w:rPr>
                <w:bCs/>
                <w:color w:val="auto"/>
                <w:kern w:val="21"/>
                <w:lang w:bidi="ar"/>
              </w:rPr>
              <w:t>/</w:t>
            </w:r>
          </w:p>
        </w:tc>
        <w:tc>
          <w:tcPr>
            <w:tcW w:w="382" w:type="pct"/>
            <w:vAlign w:val="center"/>
          </w:tcPr>
          <w:p>
            <w:pPr>
              <w:adjustRightInd w:val="0"/>
              <w:snapToGrid w:val="0"/>
              <w:jc w:val="center"/>
              <w:rPr>
                <w:bCs/>
                <w:color w:val="auto"/>
                <w:kern w:val="21"/>
                <w:lang w:bidi="ar"/>
              </w:rPr>
            </w:pPr>
            <w:r>
              <w:rPr>
                <w:rFonts w:hint="eastAsia"/>
                <w:bCs/>
                <w:color w:val="auto"/>
                <w:kern w:val="21"/>
                <w:lang w:bidi="ar"/>
              </w:rPr>
              <w:t>1.89</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1.701</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2月1次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continue"/>
            <w:vAlign w:val="center"/>
          </w:tcPr>
          <w:p>
            <w:pPr>
              <w:adjustRightInd w:val="0"/>
              <w:snapToGrid w:val="0"/>
              <w:jc w:val="center"/>
              <w:rPr>
                <w:bCs/>
                <w:color w:val="auto"/>
                <w:kern w:val="21"/>
                <w:lang w:bidi="ar"/>
              </w:rPr>
            </w:pPr>
          </w:p>
        </w:tc>
        <w:tc>
          <w:tcPr>
            <w:tcW w:w="340" w:type="pct"/>
            <w:vAlign w:val="center"/>
          </w:tcPr>
          <w:p>
            <w:pPr>
              <w:adjustRightInd w:val="0"/>
              <w:snapToGrid w:val="0"/>
              <w:jc w:val="center"/>
              <w:rPr>
                <w:bCs/>
                <w:color w:val="auto"/>
                <w:kern w:val="21"/>
                <w:lang w:bidi="ar"/>
              </w:rPr>
            </w:pPr>
            <w:r>
              <w:rPr>
                <w:bCs/>
                <w:color w:val="auto"/>
                <w:kern w:val="21"/>
                <w:lang w:bidi="ar"/>
              </w:rPr>
              <w:t>热水洗槽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w:t>
            </w:r>
          </w:p>
        </w:tc>
        <w:tc>
          <w:tcPr>
            <w:tcW w:w="463"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6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adjustRightInd w:val="0"/>
              <w:snapToGrid w:val="0"/>
              <w:jc w:val="center"/>
              <w:rPr>
                <w:bCs/>
                <w:color w:val="auto"/>
                <w:kern w:val="21"/>
                <w:lang w:bidi="ar"/>
              </w:rPr>
            </w:pPr>
            <w:r>
              <w:rPr>
                <w:color w:val="auto"/>
                <w:kern w:val="21"/>
                <w:lang w:bidi="ar"/>
              </w:rPr>
              <w:t>连续溢流</w:t>
            </w:r>
          </w:p>
        </w:tc>
        <w:tc>
          <w:tcPr>
            <w:tcW w:w="391"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82"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continue"/>
            <w:vAlign w:val="center"/>
          </w:tcPr>
          <w:p>
            <w:pPr>
              <w:adjustRightInd w:val="0"/>
              <w:snapToGrid w:val="0"/>
              <w:jc w:val="center"/>
              <w:rPr>
                <w:b/>
                <w:color w:val="auto"/>
                <w:kern w:val="21"/>
                <w:lang w:bidi="ar"/>
              </w:rPr>
            </w:pPr>
          </w:p>
        </w:tc>
        <w:tc>
          <w:tcPr>
            <w:tcW w:w="340" w:type="pct"/>
            <w:vAlign w:val="center"/>
          </w:tcPr>
          <w:p>
            <w:pPr>
              <w:adjustRightInd w:val="0"/>
              <w:snapToGrid w:val="0"/>
              <w:jc w:val="center"/>
              <w:rPr>
                <w:bCs/>
                <w:color w:val="auto"/>
                <w:kern w:val="21"/>
                <w:lang w:bidi="ar"/>
              </w:rPr>
            </w:pPr>
            <w:r>
              <w:rPr>
                <w:bCs/>
                <w:color w:val="auto"/>
                <w:kern w:val="21"/>
                <w:lang w:bidi="ar"/>
              </w:rPr>
              <w:t>水洗槽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w:t>
            </w:r>
          </w:p>
        </w:tc>
        <w:tc>
          <w:tcPr>
            <w:tcW w:w="463"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6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adjustRightInd w:val="0"/>
              <w:snapToGrid w:val="0"/>
              <w:jc w:val="center"/>
              <w:rPr>
                <w:bCs/>
                <w:color w:val="auto"/>
                <w:kern w:val="21"/>
                <w:lang w:bidi="ar"/>
              </w:rPr>
            </w:pPr>
            <w:r>
              <w:rPr>
                <w:color w:val="auto"/>
                <w:kern w:val="21"/>
                <w:lang w:bidi="ar"/>
              </w:rPr>
              <w:t>连续溢流</w:t>
            </w:r>
          </w:p>
        </w:tc>
        <w:tc>
          <w:tcPr>
            <w:tcW w:w="391"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82"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restart"/>
            <w:vAlign w:val="center"/>
          </w:tcPr>
          <w:p>
            <w:pPr>
              <w:adjustRightInd w:val="0"/>
              <w:snapToGrid w:val="0"/>
              <w:jc w:val="center"/>
              <w:rPr>
                <w:b/>
                <w:color w:val="auto"/>
                <w:kern w:val="21"/>
                <w:lang w:bidi="ar"/>
              </w:rPr>
            </w:pPr>
            <w:r>
              <w:rPr>
                <w:rFonts w:hint="eastAsia"/>
                <w:bCs/>
                <w:color w:val="auto"/>
                <w:kern w:val="21"/>
                <w:lang w:bidi="ar"/>
              </w:rPr>
              <w:t>3</w:t>
            </w:r>
            <w:r>
              <w:rPr>
                <w:bCs/>
                <w:color w:val="auto"/>
                <w:kern w:val="21"/>
                <w:lang w:bidi="ar"/>
              </w:rPr>
              <w:t>条盖帽镀镍线</w:t>
            </w:r>
          </w:p>
        </w:tc>
        <w:tc>
          <w:tcPr>
            <w:tcW w:w="340" w:type="pct"/>
            <w:vAlign w:val="center"/>
          </w:tcPr>
          <w:p>
            <w:pPr>
              <w:adjustRightInd w:val="0"/>
              <w:snapToGrid w:val="0"/>
              <w:jc w:val="center"/>
              <w:rPr>
                <w:bCs/>
                <w:color w:val="auto"/>
                <w:kern w:val="21"/>
                <w:lang w:bidi="ar"/>
              </w:rPr>
            </w:pPr>
            <w:r>
              <w:rPr>
                <w:bCs/>
                <w:color w:val="auto"/>
                <w:kern w:val="21"/>
                <w:lang w:bidi="ar"/>
              </w:rPr>
              <w:t>除油槽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3</w:t>
            </w:r>
          </w:p>
        </w:tc>
        <w:tc>
          <w:tcPr>
            <w:tcW w:w="463"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0.7</w:t>
            </w:r>
            <w:r>
              <w:rPr>
                <w:bCs/>
                <w:color w:val="auto"/>
                <w:kern w:val="21"/>
                <w:lang w:bidi="ar"/>
              </w:rPr>
              <w:t>×1</w:t>
            </w:r>
            <w:r>
              <w:rPr>
                <w:rFonts w:hint="eastAsia"/>
                <w:bCs/>
                <w:color w:val="auto"/>
                <w:kern w:val="21"/>
                <w:lang w:bidi="ar"/>
              </w:rPr>
              <w:t>.2</w:t>
            </w:r>
          </w:p>
        </w:tc>
        <w:tc>
          <w:tcPr>
            <w:tcW w:w="567" w:type="pct"/>
            <w:vAlign w:val="center"/>
          </w:tcPr>
          <w:p>
            <w:pPr>
              <w:adjustRightInd w:val="0"/>
              <w:snapToGrid w:val="0"/>
              <w:jc w:val="center"/>
              <w:rPr>
                <w:bCs/>
                <w:color w:val="auto"/>
                <w:kern w:val="21"/>
                <w:lang w:bidi="ar"/>
              </w:rPr>
            </w:pPr>
            <w:r>
              <w:rPr>
                <w:rFonts w:hint="eastAsia"/>
                <w:bCs/>
                <w:color w:val="auto"/>
                <w:kern w:val="21"/>
                <w:lang w:bidi="ar"/>
              </w:rPr>
              <w:t>2.1</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3</w:t>
            </w:r>
            <w:r>
              <w:rPr>
                <w:bCs/>
                <w:color w:val="auto"/>
                <w:kern w:val="21"/>
                <w:lang w:bidi="ar"/>
              </w:rPr>
              <w:t>×0.9=</w:t>
            </w:r>
            <w:r>
              <w:rPr>
                <w:rFonts w:hint="eastAsia"/>
                <w:bCs/>
                <w:color w:val="auto"/>
                <w:kern w:val="21"/>
                <w:lang w:bidi="ar"/>
              </w:rPr>
              <w:t>17.01</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adjustRightInd w:val="0"/>
              <w:snapToGrid w:val="0"/>
              <w:jc w:val="center"/>
              <w:rPr>
                <w:bCs/>
                <w:color w:val="auto"/>
                <w:kern w:val="21"/>
                <w:lang w:bidi="ar"/>
              </w:rPr>
            </w:pPr>
            <w:r>
              <w:rPr>
                <w:bCs/>
                <w:color w:val="auto"/>
                <w:kern w:val="21"/>
                <w:lang w:bidi="ar"/>
              </w:rPr>
              <w:t>定期更换</w:t>
            </w:r>
          </w:p>
        </w:tc>
        <w:tc>
          <w:tcPr>
            <w:tcW w:w="391" w:type="pct"/>
            <w:vAlign w:val="center"/>
          </w:tcPr>
          <w:p>
            <w:pPr>
              <w:adjustRightInd w:val="0"/>
              <w:snapToGrid w:val="0"/>
              <w:jc w:val="center"/>
              <w:rPr>
                <w:bCs/>
                <w:color w:val="auto"/>
                <w:kern w:val="21"/>
                <w:lang w:bidi="ar"/>
              </w:rPr>
            </w:pPr>
            <w:r>
              <w:rPr>
                <w:bCs/>
                <w:color w:val="auto"/>
                <w:kern w:val="21"/>
                <w:lang w:bidi="ar"/>
              </w:rPr>
              <w:t>/</w:t>
            </w:r>
          </w:p>
        </w:tc>
        <w:tc>
          <w:tcPr>
            <w:tcW w:w="382" w:type="pct"/>
            <w:vAlign w:val="center"/>
          </w:tcPr>
          <w:p>
            <w:pPr>
              <w:adjustRightInd w:val="0"/>
              <w:snapToGrid w:val="0"/>
              <w:jc w:val="center"/>
              <w:rPr>
                <w:bCs/>
                <w:color w:val="auto"/>
                <w:kern w:val="21"/>
                <w:lang w:bidi="ar"/>
              </w:rPr>
            </w:pPr>
            <w:r>
              <w:rPr>
                <w:rFonts w:hint="eastAsia"/>
                <w:bCs/>
                <w:color w:val="auto"/>
                <w:kern w:val="21"/>
                <w:lang w:bidi="ar"/>
              </w:rPr>
              <w:t>0.316</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0.284</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bCs/>
                <w:color w:val="auto"/>
                <w:kern w:val="21"/>
                <w:lang w:bidi="ar"/>
              </w:rPr>
              <w:t>2月</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continue"/>
            <w:vAlign w:val="center"/>
          </w:tcPr>
          <w:p>
            <w:pPr>
              <w:adjustRightInd w:val="0"/>
              <w:snapToGrid w:val="0"/>
              <w:jc w:val="center"/>
              <w:rPr>
                <w:bCs/>
                <w:color w:val="auto"/>
                <w:kern w:val="21"/>
                <w:lang w:bidi="ar"/>
              </w:rPr>
            </w:pPr>
          </w:p>
        </w:tc>
        <w:tc>
          <w:tcPr>
            <w:tcW w:w="340"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w:t>
            </w:r>
          </w:p>
        </w:tc>
        <w:tc>
          <w:tcPr>
            <w:tcW w:w="463"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6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14.4</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adjustRightInd w:val="0"/>
              <w:snapToGrid w:val="0"/>
              <w:jc w:val="center"/>
              <w:rPr>
                <w:bCs/>
                <w:color w:val="auto"/>
                <w:kern w:val="21"/>
                <w:lang w:bidi="ar"/>
              </w:rPr>
            </w:pPr>
            <w:r>
              <w:rPr>
                <w:color w:val="auto"/>
                <w:kern w:val="21"/>
                <w:lang w:bidi="ar"/>
              </w:rPr>
              <w:t>连续溢流</w:t>
            </w:r>
          </w:p>
        </w:tc>
        <w:tc>
          <w:tcPr>
            <w:tcW w:w="391" w:type="pct"/>
            <w:vAlign w:val="center"/>
          </w:tcPr>
          <w:p>
            <w:pPr>
              <w:adjustRightInd w:val="0"/>
              <w:snapToGrid w:val="0"/>
              <w:jc w:val="center"/>
              <w:rPr>
                <w:bCs/>
                <w:color w:val="auto"/>
                <w:kern w:val="21"/>
                <w:lang w:bidi="ar"/>
              </w:rPr>
            </w:pPr>
            <w:r>
              <w:rPr>
                <w:bCs/>
                <w:color w:val="auto"/>
                <w:kern w:val="21"/>
                <w:lang w:bidi="ar"/>
              </w:rPr>
              <w:t>/</w:t>
            </w:r>
          </w:p>
        </w:tc>
        <w:tc>
          <w:tcPr>
            <w:tcW w:w="382"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restart"/>
            <w:vAlign w:val="center"/>
          </w:tcPr>
          <w:p>
            <w:pPr>
              <w:adjustRightInd w:val="0"/>
              <w:snapToGrid w:val="0"/>
              <w:jc w:val="center"/>
              <w:rPr>
                <w:b/>
                <w:color w:val="auto"/>
                <w:kern w:val="21"/>
                <w:highlight w:val="yellow"/>
                <w:lang w:bidi="ar"/>
              </w:rPr>
            </w:pPr>
            <w:r>
              <w:rPr>
                <w:rFonts w:hint="eastAsia"/>
                <w:bCs/>
                <w:color w:val="auto"/>
                <w:kern w:val="21"/>
                <w:lang w:bidi="ar"/>
              </w:rPr>
              <w:t>1条电池箱镀锌线</w:t>
            </w:r>
          </w:p>
        </w:tc>
        <w:tc>
          <w:tcPr>
            <w:tcW w:w="340" w:type="pct"/>
            <w:vAlign w:val="center"/>
          </w:tcPr>
          <w:p>
            <w:pPr>
              <w:adjustRightInd w:val="0"/>
              <w:snapToGrid w:val="0"/>
              <w:jc w:val="center"/>
              <w:rPr>
                <w:bCs/>
                <w:color w:val="auto"/>
                <w:kern w:val="21"/>
                <w:lang w:bidi="ar"/>
              </w:rPr>
            </w:pPr>
            <w:r>
              <w:rPr>
                <w:rFonts w:hint="eastAsia"/>
                <w:bCs/>
                <w:color w:val="auto"/>
                <w:kern w:val="21"/>
                <w:lang w:bidi="ar"/>
              </w:rPr>
              <w:t>除油</w:t>
            </w:r>
            <w:r>
              <w:rPr>
                <w:bCs/>
                <w:color w:val="auto"/>
                <w:kern w:val="21"/>
                <w:lang w:bidi="ar"/>
              </w:rPr>
              <w:t>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3</w:t>
            </w:r>
          </w:p>
        </w:tc>
        <w:tc>
          <w:tcPr>
            <w:tcW w:w="463"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0.9</w:t>
            </w:r>
            <w:r>
              <w:rPr>
                <w:bCs/>
                <w:color w:val="auto"/>
                <w:kern w:val="21"/>
                <w:lang w:bidi="ar"/>
              </w:rPr>
              <w:t>×</w:t>
            </w:r>
            <w:r>
              <w:rPr>
                <w:rFonts w:hint="eastAsia"/>
                <w:bCs/>
                <w:color w:val="auto"/>
                <w:kern w:val="21"/>
                <w:lang w:bidi="ar"/>
              </w:rPr>
              <w:t>1.7</w:t>
            </w:r>
          </w:p>
        </w:tc>
        <w:tc>
          <w:tcPr>
            <w:tcW w:w="567" w:type="pct"/>
            <w:vAlign w:val="center"/>
          </w:tcPr>
          <w:p>
            <w:pPr>
              <w:adjustRightInd w:val="0"/>
              <w:snapToGrid w:val="0"/>
              <w:jc w:val="center"/>
              <w:rPr>
                <w:bCs/>
                <w:color w:val="auto"/>
                <w:kern w:val="21"/>
                <w:lang w:bidi="ar"/>
              </w:rPr>
            </w:pPr>
            <w:r>
              <w:rPr>
                <w:rFonts w:hint="eastAsia"/>
                <w:bCs/>
                <w:color w:val="auto"/>
                <w:kern w:val="21"/>
                <w:lang w:bidi="ar"/>
              </w:rPr>
              <w:t>11.71</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3</w:t>
            </w:r>
            <w:r>
              <w:rPr>
                <w:bCs/>
                <w:color w:val="auto"/>
                <w:kern w:val="21"/>
                <w:lang w:bidi="ar"/>
              </w:rPr>
              <w:t>×0.9=</w:t>
            </w:r>
            <w:r>
              <w:rPr>
                <w:rFonts w:hint="eastAsia"/>
                <w:bCs/>
                <w:color w:val="auto"/>
                <w:kern w:val="21"/>
                <w:lang w:bidi="ar"/>
              </w:rPr>
              <w:t>28.917</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adjustRightInd w:val="0"/>
              <w:snapToGrid w:val="0"/>
              <w:jc w:val="center"/>
              <w:rPr>
                <w:bCs/>
                <w:color w:val="auto"/>
                <w:kern w:val="21"/>
                <w:lang w:bidi="ar"/>
              </w:rPr>
            </w:pPr>
            <w:r>
              <w:rPr>
                <w:bCs/>
                <w:color w:val="auto"/>
                <w:kern w:val="21"/>
                <w:lang w:bidi="ar"/>
              </w:rPr>
              <w:t>定期更换</w:t>
            </w:r>
          </w:p>
        </w:tc>
        <w:tc>
          <w:tcPr>
            <w:tcW w:w="391" w:type="pct"/>
            <w:vAlign w:val="center"/>
          </w:tcPr>
          <w:p>
            <w:pPr>
              <w:adjustRightInd w:val="0"/>
              <w:snapToGrid w:val="0"/>
              <w:jc w:val="center"/>
              <w:rPr>
                <w:bCs/>
                <w:color w:val="auto"/>
                <w:kern w:val="21"/>
                <w:lang w:bidi="ar"/>
              </w:rPr>
            </w:pPr>
            <w:r>
              <w:rPr>
                <w:rFonts w:hint="eastAsia"/>
                <w:bCs/>
                <w:color w:val="auto"/>
                <w:kern w:val="21"/>
                <w:lang w:bidi="ar"/>
              </w:rPr>
              <w:t>/</w:t>
            </w:r>
          </w:p>
        </w:tc>
        <w:tc>
          <w:tcPr>
            <w:tcW w:w="382" w:type="pct"/>
            <w:vAlign w:val="center"/>
          </w:tcPr>
          <w:p>
            <w:pPr>
              <w:adjustRightInd w:val="0"/>
              <w:snapToGrid w:val="0"/>
              <w:jc w:val="center"/>
              <w:rPr>
                <w:bCs/>
                <w:color w:val="auto"/>
                <w:kern w:val="21"/>
                <w:lang w:bidi="ar"/>
              </w:rPr>
            </w:pPr>
            <w:r>
              <w:rPr>
                <w:rFonts w:hint="eastAsia"/>
                <w:bCs/>
                <w:color w:val="auto"/>
                <w:kern w:val="21"/>
                <w:lang w:bidi="ar"/>
              </w:rPr>
              <w:t>0.535</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0.482</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bCs/>
                <w:color w:val="auto"/>
                <w:kern w:val="21"/>
                <w:lang w:bidi="ar"/>
              </w:rPr>
              <w:t>2月</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0" w:type="pct"/>
            <w:vMerge w:val="continue"/>
            <w:vAlign w:val="center"/>
          </w:tcPr>
          <w:p>
            <w:pPr>
              <w:adjustRightInd w:val="0"/>
              <w:snapToGrid w:val="0"/>
              <w:jc w:val="center"/>
              <w:rPr>
                <w:b/>
                <w:color w:val="auto"/>
                <w:kern w:val="21"/>
                <w:highlight w:val="yellow"/>
                <w:lang w:bidi="ar"/>
              </w:rPr>
            </w:pPr>
          </w:p>
        </w:tc>
        <w:tc>
          <w:tcPr>
            <w:tcW w:w="340" w:type="pct"/>
            <w:vAlign w:val="center"/>
          </w:tcPr>
          <w:p>
            <w:pPr>
              <w:adjustRightInd w:val="0"/>
              <w:snapToGrid w:val="0"/>
              <w:jc w:val="center"/>
              <w:rPr>
                <w:bCs/>
                <w:color w:val="auto"/>
                <w:kern w:val="21"/>
                <w:lang w:bidi="ar"/>
              </w:rPr>
            </w:pPr>
            <w:r>
              <w:rPr>
                <w:bCs/>
                <w:color w:val="auto"/>
                <w:kern w:val="21"/>
                <w:lang w:bidi="ar"/>
              </w:rPr>
              <w:t>水洗槽</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w:t>
            </w:r>
          </w:p>
        </w:tc>
        <w:tc>
          <w:tcPr>
            <w:tcW w:w="463"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0.7</w:t>
            </w:r>
            <w:r>
              <w:rPr>
                <w:bCs/>
                <w:color w:val="auto"/>
                <w:kern w:val="21"/>
                <w:lang w:bidi="ar"/>
              </w:rPr>
              <w:t>×</w:t>
            </w:r>
            <w:r>
              <w:rPr>
                <w:rFonts w:hint="eastAsia"/>
                <w:bCs/>
                <w:color w:val="auto"/>
                <w:kern w:val="21"/>
                <w:lang w:bidi="ar"/>
              </w:rPr>
              <w:t>1.7</w:t>
            </w:r>
          </w:p>
        </w:tc>
        <w:tc>
          <w:tcPr>
            <w:tcW w:w="567" w:type="pct"/>
            <w:vAlign w:val="center"/>
          </w:tcPr>
          <w:p>
            <w:pPr>
              <w:adjustRightInd w:val="0"/>
              <w:snapToGrid w:val="0"/>
              <w:jc w:val="center"/>
              <w:rPr>
                <w:bCs/>
                <w:color w:val="auto"/>
                <w:kern w:val="21"/>
                <w:lang w:bidi="ar"/>
              </w:rPr>
            </w:pPr>
            <w:r>
              <w:rPr>
                <w:rFonts w:hint="eastAsia"/>
                <w:bCs/>
                <w:color w:val="auto"/>
                <w:kern w:val="21"/>
                <w:lang w:bidi="ar"/>
              </w:rPr>
              <w:t>8.33</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16.66</w:t>
            </w:r>
          </w:p>
        </w:tc>
        <w:tc>
          <w:tcPr>
            <w:tcW w:w="312" w:type="pct"/>
            <w:vAlign w:val="center"/>
          </w:tcPr>
          <w:p>
            <w:pPr>
              <w:adjustRightInd w:val="0"/>
              <w:snapToGrid w:val="0"/>
              <w:jc w:val="center"/>
              <w:rPr>
                <w:bCs/>
                <w:color w:val="auto"/>
                <w:kern w:val="21"/>
                <w:lang w:bidi="ar"/>
              </w:rPr>
            </w:pPr>
            <w:r>
              <w:rPr>
                <w:bCs/>
                <w:color w:val="auto"/>
                <w:kern w:val="21"/>
                <w:lang w:bidi="ar"/>
              </w:rPr>
              <w:t>24</w:t>
            </w:r>
          </w:p>
        </w:tc>
        <w:tc>
          <w:tcPr>
            <w:tcW w:w="391" w:type="pct"/>
            <w:vAlign w:val="center"/>
          </w:tcPr>
          <w:p>
            <w:pPr>
              <w:jc w:val="center"/>
              <w:rPr>
                <w:color w:val="auto"/>
              </w:rPr>
            </w:pPr>
            <w:r>
              <w:rPr>
                <w:color w:val="auto"/>
                <w:kern w:val="21"/>
                <w:lang w:bidi="ar"/>
              </w:rPr>
              <w:t>连续溢流</w:t>
            </w:r>
          </w:p>
        </w:tc>
        <w:tc>
          <w:tcPr>
            <w:tcW w:w="391"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82" w:type="pct"/>
            <w:vAlign w:val="center"/>
          </w:tcPr>
          <w:p>
            <w:pPr>
              <w:adjustRightInd w:val="0"/>
              <w:snapToGrid w:val="0"/>
              <w:jc w:val="center"/>
              <w:rPr>
                <w:bCs/>
                <w:color w:val="auto"/>
                <w:kern w:val="21"/>
                <w:lang w:bidi="ar"/>
              </w:rPr>
            </w:pPr>
            <w:r>
              <w:rPr>
                <w:rFonts w:hint="eastAsia"/>
                <w:bCs/>
                <w:color w:val="auto"/>
                <w:kern w:val="21"/>
                <w:lang w:bidi="ar"/>
              </w:rPr>
              <w:t>4.8</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8" w:type="pct"/>
            <w:vAlign w:val="center"/>
          </w:tcPr>
          <w:p>
            <w:pPr>
              <w:adjustRightInd w:val="0"/>
              <w:snapToGrid w:val="0"/>
              <w:jc w:val="center"/>
              <w:rPr>
                <w:bCs/>
                <w:color w:val="auto"/>
                <w:kern w:val="21"/>
                <w:lang w:bidi="ar"/>
              </w:rPr>
            </w:pPr>
            <w:r>
              <w:rPr>
                <w:bCs/>
                <w:color w:val="auto"/>
                <w:kern w:val="21"/>
                <w:lang w:bidi="ar"/>
              </w:rPr>
              <w:t>含油废水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01" w:type="pct"/>
            <w:gridSpan w:val="7"/>
            <w:vAlign w:val="center"/>
          </w:tcPr>
          <w:p>
            <w:pPr>
              <w:adjustRightInd w:val="0"/>
              <w:snapToGrid w:val="0"/>
              <w:jc w:val="center"/>
              <w:rPr>
                <w:color w:val="auto"/>
                <w:kern w:val="21"/>
                <w:lang w:bidi="ar"/>
              </w:rPr>
            </w:pPr>
            <w:r>
              <w:rPr>
                <w:color w:val="auto"/>
                <w:kern w:val="21"/>
                <w:lang w:bidi="ar"/>
              </w:rPr>
              <w:t>总计</w:t>
            </w:r>
          </w:p>
        </w:tc>
        <w:tc>
          <w:tcPr>
            <w:tcW w:w="391" w:type="pct"/>
            <w:vAlign w:val="center"/>
          </w:tcPr>
          <w:p>
            <w:pPr>
              <w:adjustRightInd w:val="0"/>
              <w:snapToGrid w:val="0"/>
              <w:jc w:val="center"/>
              <w:rPr>
                <w:bCs/>
                <w:color w:val="auto"/>
                <w:kern w:val="21"/>
                <w:lang w:bidi="ar"/>
              </w:rPr>
            </w:pPr>
            <w:r>
              <w:rPr>
                <w:rFonts w:hint="eastAsia"/>
                <w:bCs/>
                <w:color w:val="auto"/>
                <w:kern w:val="21"/>
                <w:lang w:bidi="ar"/>
              </w:rPr>
              <w:t>/</w:t>
            </w:r>
          </w:p>
        </w:tc>
        <w:tc>
          <w:tcPr>
            <w:tcW w:w="382" w:type="pct"/>
            <w:vAlign w:val="center"/>
          </w:tcPr>
          <w:p>
            <w:pPr>
              <w:adjustRightInd w:val="0"/>
              <w:snapToGrid w:val="0"/>
              <w:jc w:val="center"/>
              <w:rPr>
                <w:bCs/>
                <w:color w:val="auto"/>
                <w:kern w:val="21"/>
                <w:lang w:bidi="ar"/>
              </w:rPr>
            </w:pPr>
            <w:r>
              <w:rPr>
                <w:rFonts w:hint="eastAsia"/>
                <w:bCs/>
                <w:color w:val="auto"/>
                <w:kern w:val="21"/>
                <w:lang w:bidi="ar"/>
              </w:rPr>
              <w:t>79.225</w:t>
            </w:r>
          </w:p>
        </w:tc>
        <w:tc>
          <w:tcPr>
            <w:tcW w:w="341" w:type="pct"/>
            <w:vAlign w:val="center"/>
          </w:tcPr>
          <w:p>
            <w:pPr>
              <w:adjustRightInd w:val="0"/>
              <w:snapToGrid w:val="0"/>
              <w:jc w:val="center"/>
              <w:rPr>
                <w:bCs/>
                <w:color w:val="auto"/>
                <w:kern w:val="21"/>
                <w:lang w:bidi="ar"/>
              </w:rPr>
            </w:pPr>
            <w:r>
              <w:rPr>
                <w:rFonts w:hint="eastAsia"/>
                <w:bCs/>
                <w:color w:val="auto"/>
                <w:kern w:val="21"/>
                <w:lang w:bidi="ar"/>
              </w:rPr>
              <w:t>/</w:t>
            </w:r>
          </w:p>
        </w:tc>
        <w:tc>
          <w:tcPr>
            <w:tcW w:w="383" w:type="pct"/>
            <w:vAlign w:val="center"/>
          </w:tcPr>
          <w:p>
            <w:pPr>
              <w:adjustRightInd w:val="0"/>
              <w:snapToGrid w:val="0"/>
              <w:jc w:val="center"/>
              <w:rPr>
                <w:bCs/>
                <w:color w:val="auto"/>
                <w:kern w:val="21"/>
                <w:lang w:bidi="ar"/>
              </w:rPr>
            </w:pPr>
            <w:r>
              <w:rPr>
                <w:rFonts w:hint="eastAsia"/>
                <w:bCs/>
                <w:color w:val="auto"/>
                <w:kern w:val="21"/>
                <w:lang w:bidi="ar"/>
              </w:rPr>
              <w:t>71.587</w:t>
            </w:r>
          </w:p>
        </w:tc>
        <w:tc>
          <w:tcPr>
            <w:tcW w:w="288" w:type="pct"/>
            <w:vAlign w:val="center"/>
          </w:tcPr>
          <w:p>
            <w:pPr>
              <w:adjustRightInd w:val="0"/>
              <w:snapToGrid w:val="0"/>
              <w:jc w:val="center"/>
              <w:rPr>
                <w:bCs/>
                <w:color w:val="auto"/>
                <w:kern w:val="21"/>
                <w:lang w:bidi="ar"/>
              </w:rPr>
            </w:pPr>
            <w:r>
              <w:rPr>
                <w:rFonts w:hint="eastAsia"/>
                <w:bCs/>
                <w:color w:val="auto"/>
                <w:kern w:val="21"/>
                <w:lang w:bidi="ar"/>
              </w:rPr>
              <w:t>/</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bl>
    <w:p>
      <w:pPr>
        <w:pStyle w:val="32"/>
        <w:adjustRightInd w:val="0"/>
        <w:snapToGrid w:val="0"/>
        <w:spacing w:after="0" w:line="360" w:lineRule="auto"/>
        <w:rPr>
          <w:color w:val="auto"/>
          <w:kern w:val="21"/>
          <w:sz w:val="24"/>
          <w:u w:val="single"/>
          <w:lang w:val="en-US"/>
        </w:rPr>
        <w:sectPr>
          <w:pgSz w:w="16840" w:h="11907" w:orient="landscape"/>
          <w:pgMar w:top="1800" w:right="1440" w:bottom="1800" w:left="1440" w:header="1134" w:footer="1029" w:gutter="0"/>
          <w:cols w:space="720" w:num="1"/>
          <w:docGrid w:linePitch="286" w:charSpace="0"/>
        </w:sectPr>
      </w:pP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2、酸性废水</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本项目酸性废水为酸洗槽产生的酸液</w:t>
      </w:r>
      <w:r>
        <w:rPr>
          <w:rFonts w:hint="eastAsia"/>
          <w:color w:val="auto"/>
          <w:kern w:val="21"/>
          <w:sz w:val="24"/>
          <w:lang w:val="en-US" w:eastAsia="zh-CN"/>
        </w:rPr>
        <w:t>及酸电解槽液，</w:t>
      </w:r>
      <w:r>
        <w:rPr>
          <w:rFonts w:hint="eastAsia"/>
          <w:color w:val="auto"/>
          <w:kern w:val="21"/>
          <w:sz w:val="24"/>
          <w:lang w:val="en-US"/>
        </w:rPr>
        <w:t>酸洗后清洗废水、酸活化产生的酸液和酸</w:t>
      </w:r>
      <w:r>
        <w:rPr>
          <w:rFonts w:hint="eastAsia"/>
          <w:color w:val="auto"/>
          <w:kern w:val="21"/>
          <w:sz w:val="24"/>
          <w:lang w:val="en-US" w:eastAsia="zh-CN"/>
        </w:rPr>
        <w:t>活化</w:t>
      </w:r>
      <w:r>
        <w:rPr>
          <w:rFonts w:hint="eastAsia"/>
          <w:color w:val="auto"/>
          <w:kern w:val="21"/>
          <w:sz w:val="24"/>
          <w:lang w:val="en-US"/>
        </w:rPr>
        <w:t>后清洗废水。</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项目产生的酸性废水经</w:t>
      </w:r>
      <w:r>
        <w:rPr>
          <w:rFonts w:hint="eastAsia"/>
          <w:color w:val="auto"/>
          <w:kern w:val="21"/>
          <w:sz w:val="24"/>
          <w:lang w:val="en-US" w:eastAsia="zh-CN"/>
        </w:rPr>
        <w:t>“</w:t>
      </w:r>
      <w:r>
        <w:rPr>
          <w:rFonts w:hint="eastAsia"/>
          <w:color w:val="auto"/>
          <w:kern w:val="21"/>
          <w:sz w:val="24"/>
          <w:lang w:val="en-US"/>
        </w:rPr>
        <w:t>pH调节→混凝沉淀→回调→多介质过滤</w:t>
      </w:r>
      <w:r>
        <w:rPr>
          <w:rFonts w:hint="eastAsia"/>
          <w:color w:val="auto"/>
          <w:kern w:val="21"/>
          <w:sz w:val="24"/>
          <w:lang w:val="en-US" w:eastAsia="zh-CN"/>
        </w:rPr>
        <w:t>”</w:t>
      </w:r>
      <w:r>
        <w:rPr>
          <w:rFonts w:hint="eastAsia"/>
          <w:color w:val="auto"/>
          <w:kern w:val="21"/>
          <w:sz w:val="24"/>
          <w:lang w:val="en-US"/>
        </w:rPr>
        <w:t>进行预处理，预处理后进入零排放处理系统</w:t>
      </w:r>
      <w:r>
        <w:rPr>
          <w:rFonts w:hint="eastAsia"/>
          <w:color w:val="auto"/>
          <w:kern w:val="21"/>
          <w:sz w:val="24"/>
          <w:lang w:val="en-US"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lang w:val="en-US"/>
        </w:rPr>
        <w:t>处理，</w:t>
      </w:r>
      <w:r>
        <w:rPr>
          <w:rFonts w:hint="eastAsia"/>
          <w:color w:val="auto"/>
          <w:kern w:val="21"/>
          <w:sz w:val="24"/>
          <w:lang w:val="en-US" w:eastAsia="zh-CN"/>
        </w:rPr>
        <w:t>深度</w:t>
      </w:r>
      <w:r>
        <w:rPr>
          <w:rFonts w:hint="eastAsia"/>
          <w:color w:val="auto"/>
          <w:kern w:val="21"/>
          <w:sz w:val="24"/>
          <w:lang w:val="en-US"/>
        </w:rPr>
        <w:t>处理后全部回用</w:t>
      </w:r>
      <w:r>
        <w:rPr>
          <w:rFonts w:hint="eastAsia"/>
          <w:color w:val="auto"/>
          <w:kern w:val="21"/>
          <w:sz w:val="24"/>
          <w:lang w:val="en-US" w:eastAsia="zh-CN"/>
        </w:rPr>
        <w:t>于生产线</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u w:val="single"/>
          <w:lang w:val="en-US"/>
        </w:rPr>
      </w:pPr>
      <w:r>
        <w:rPr>
          <w:color w:val="auto"/>
          <w:kern w:val="21"/>
          <w:sz w:val="24"/>
          <w:lang w:val="en-US"/>
        </w:rPr>
        <w:t>根据《污染源源强核算技术指南 电镀》（HJ984-2018），酸性废水水量采用物料衡算法确定，</w:t>
      </w:r>
      <w:r>
        <w:rPr>
          <w:rFonts w:hint="eastAsia"/>
          <w:color w:val="auto"/>
          <w:kern w:val="21"/>
          <w:sz w:val="24"/>
          <w:lang w:val="en-US"/>
        </w:rPr>
        <w:t>每条线配置的废水酸槽及水洗槽见下表。</w:t>
      </w:r>
    </w:p>
    <w:p>
      <w:pPr>
        <w:pStyle w:val="32"/>
        <w:adjustRightInd w:val="0"/>
        <w:snapToGrid w:val="0"/>
        <w:spacing w:after="0" w:line="360" w:lineRule="auto"/>
        <w:ind w:firstLine="480" w:firstLineChars="200"/>
        <w:rPr>
          <w:color w:val="auto"/>
          <w:kern w:val="21"/>
          <w:sz w:val="24"/>
          <w:u w:val="single"/>
          <w:lang w:val="en-US"/>
        </w:rPr>
        <w:sectPr>
          <w:pgSz w:w="11907" w:h="16840"/>
          <w:pgMar w:top="1440" w:right="1800" w:bottom="1440" w:left="1800" w:header="1134" w:footer="1029" w:gutter="0"/>
          <w:cols w:space="720" w:num="1"/>
        </w:sectPr>
      </w:pPr>
    </w:p>
    <w:p>
      <w:pPr>
        <w:pStyle w:val="32"/>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ascii="黑体" w:hAnsi="黑体" w:eastAsia="黑体"/>
          <w:color w:val="auto"/>
          <w:kern w:val="21"/>
          <w:lang w:val="en-US"/>
        </w:rPr>
      </w:pPr>
      <w:r>
        <w:rPr>
          <w:rFonts w:eastAsia="黑体"/>
          <w:bCs/>
          <w:color w:val="auto"/>
          <w:kern w:val="21"/>
          <w:sz w:val="24"/>
        </w:rPr>
        <w:t>表</w:t>
      </w:r>
      <w:r>
        <w:rPr>
          <w:rFonts w:hint="eastAsia" w:eastAsia="黑体"/>
          <w:bCs/>
          <w:color w:val="auto"/>
          <w:kern w:val="21"/>
          <w:sz w:val="24"/>
        </w:rPr>
        <w:t>3.4-8</w:t>
      </w:r>
      <w:r>
        <w:rPr>
          <w:rFonts w:eastAsia="黑体"/>
          <w:bCs/>
          <w:color w:val="auto"/>
          <w:kern w:val="21"/>
          <w:sz w:val="24"/>
        </w:rPr>
        <w:t xml:space="preserve">  酸性</w:t>
      </w:r>
      <w:r>
        <w:rPr>
          <w:rFonts w:hint="eastAsia" w:eastAsia="黑体"/>
          <w:color w:val="auto"/>
          <w:kern w:val="21"/>
          <w:sz w:val="24"/>
        </w:rPr>
        <w:t>废水污染源源强核算结果及相关参数一览表</w:t>
      </w:r>
    </w:p>
    <w:tbl>
      <w:tblPr>
        <w:tblStyle w:val="83"/>
        <w:tblW w:w="50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0"/>
        <w:gridCol w:w="1110"/>
        <w:gridCol w:w="870"/>
        <w:gridCol w:w="1593"/>
        <w:gridCol w:w="1440"/>
        <w:gridCol w:w="852"/>
        <w:gridCol w:w="1170"/>
        <w:gridCol w:w="1125"/>
        <w:gridCol w:w="1035"/>
        <w:gridCol w:w="1275"/>
        <w:gridCol w:w="959"/>
        <w:gridCol w:w="817"/>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324" w:type="pct"/>
            <w:vMerge w:val="restart"/>
            <w:vAlign w:val="center"/>
          </w:tcPr>
          <w:p>
            <w:pPr>
              <w:adjustRightInd w:val="0"/>
              <w:snapToGrid w:val="0"/>
              <w:jc w:val="center"/>
              <w:rPr>
                <w:b/>
                <w:bCs w:val="0"/>
                <w:color w:val="auto"/>
                <w:kern w:val="21"/>
                <w:lang w:bidi="ar"/>
              </w:rPr>
            </w:pPr>
            <w:r>
              <w:rPr>
                <w:b/>
                <w:bCs w:val="0"/>
                <w:color w:val="auto"/>
                <w:kern w:val="21"/>
                <w:lang w:bidi="ar"/>
              </w:rPr>
              <w:t>生产线名称</w:t>
            </w:r>
          </w:p>
        </w:tc>
        <w:tc>
          <w:tcPr>
            <w:tcW w:w="387" w:type="pct"/>
            <w:vMerge w:val="restart"/>
            <w:vAlign w:val="center"/>
          </w:tcPr>
          <w:p>
            <w:pPr>
              <w:adjustRightInd w:val="0"/>
              <w:snapToGrid w:val="0"/>
              <w:jc w:val="center"/>
              <w:rPr>
                <w:b/>
                <w:bCs w:val="0"/>
                <w:color w:val="auto"/>
                <w:kern w:val="21"/>
                <w:lang w:bidi="ar"/>
              </w:rPr>
            </w:pPr>
            <w:r>
              <w:rPr>
                <w:b/>
                <w:bCs w:val="0"/>
                <w:color w:val="auto"/>
                <w:kern w:val="21"/>
                <w:lang w:bidi="ar"/>
              </w:rPr>
              <w:t>槽体名称</w:t>
            </w:r>
          </w:p>
        </w:tc>
        <w:tc>
          <w:tcPr>
            <w:tcW w:w="303" w:type="pct"/>
            <w:vMerge w:val="restart"/>
            <w:vAlign w:val="center"/>
          </w:tcPr>
          <w:p>
            <w:pPr>
              <w:adjustRightInd w:val="0"/>
              <w:snapToGrid w:val="0"/>
              <w:jc w:val="center"/>
              <w:rPr>
                <w:b/>
                <w:bCs w:val="0"/>
                <w:color w:val="auto"/>
                <w:kern w:val="21"/>
                <w:lang w:bidi="ar"/>
              </w:rPr>
            </w:pPr>
            <w:r>
              <w:rPr>
                <w:b/>
                <w:bCs w:val="0"/>
                <w:color w:val="auto"/>
                <w:kern w:val="21"/>
                <w:lang w:bidi="ar"/>
              </w:rPr>
              <w:t>单</w:t>
            </w:r>
            <w:r>
              <w:rPr>
                <w:rFonts w:hint="eastAsia"/>
                <w:b/>
                <w:bCs w:val="0"/>
                <w:color w:val="auto"/>
                <w:kern w:val="21"/>
                <w:lang w:val="en-US" w:eastAsia="zh-CN" w:bidi="ar"/>
              </w:rPr>
              <w:t>条</w:t>
            </w:r>
            <w:r>
              <w:rPr>
                <w:b/>
                <w:bCs w:val="0"/>
                <w:color w:val="auto"/>
                <w:kern w:val="21"/>
                <w:lang w:bidi="ar"/>
              </w:rPr>
              <w:t>线数量（个）</w:t>
            </w:r>
          </w:p>
        </w:tc>
        <w:tc>
          <w:tcPr>
            <w:tcW w:w="555" w:type="pct"/>
            <w:vMerge w:val="restart"/>
            <w:vAlign w:val="center"/>
          </w:tcPr>
          <w:p>
            <w:pPr>
              <w:adjustRightInd w:val="0"/>
              <w:snapToGrid w:val="0"/>
              <w:jc w:val="center"/>
              <w:rPr>
                <w:b/>
                <w:bCs w:val="0"/>
                <w:color w:val="auto"/>
                <w:kern w:val="21"/>
                <w:lang w:bidi="ar"/>
              </w:rPr>
            </w:pPr>
            <w:r>
              <w:rPr>
                <w:b/>
                <w:bCs w:val="0"/>
                <w:color w:val="auto"/>
                <w:kern w:val="21"/>
                <w:lang w:bidi="ar"/>
              </w:rPr>
              <w:t>尺寸（m）</w:t>
            </w:r>
          </w:p>
          <w:p>
            <w:pPr>
              <w:adjustRightInd w:val="0"/>
              <w:snapToGrid w:val="0"/>
              <w:jc w:val="center"/>
              <w:rPr>
                <w:b/>
                <w:bCs w:val="0"/>
                <w:color w:val="auto"/>
                <w:kern w:val="21"/>
                <w:lang w:bidi="ar"/>
              </w:rPr>
            </w:pPr>
            <w:r>
              <w:rPr>
                <w:b/>
                <w:bCs w:val="0"/>
                <w:color w:val="auto"/>
                <w:kern w:val="21"/>
                <w:lang w:bidi="ar"/>
              </w:rPr>
              <w:t>长×宽×高</w:t>
            </w:r>
          </w:p>
        </w:tc>
        <w:tc>
          <w:tcPr>
            <w:tcW w:w="502" w:type="pct"/>
            <w:vMerge w:val="restart"/>
            <w:vAlign w:val="center"/>
          </w:tcPr>
          <w:p>
            <w:pPr>
              <w:adjustRightInd w:val="0"/>
              <w:snapToGrid w:val="0"/>
              <w:jc w:val="center"/>
              <w:rPr>
                <w:b/>
                <w:bCs w:val="0"/>
                <w:color w:val="auto"/>
                <w:kern w:val="21"/>
                <w:lang w:bidi="ar"/>
              </w:rPr>
            </w:pPr>
            <w:r>
              <w:rPr>
                <w:b/>
                <w:bCs w:val="0"/>
                <w:color w:val="auto"/>
                <w:kern w:val="21"/>
                <w:lang w:bidi="ar"/>
              </w:rPr>
              <w:t xml:space="preserve">溶液总容积 </w:t>
            </w:r>
          </w:p>
          <w:p>
            <w:pPr>
              <w:adjustRightInd w:val="0"/>
              <w:snapToGrid w:val="0"/>
              <w:jc w:val="center"/>
              <w:rPr>
                <w:b/>
                <w:bCs w:val="0"/>
                <w:color w:val="auto"/>
                <w:kern w:val="21"/>
                <w:lang w:bidi="ar"/>
              </w:rPr>
            </w:pPr>
            <w:r>
              <w:rPr>
                <w:b/>
                <w:bCs w:val="0"/>
                <w:color w:val="auto"/>
                <w:kern w:val="21"/>
                <w:lang w:bidi="ar"/>
              </w:rPr>
              <w:t>（m</w:t>
            </w:r>
            <w:r>
              <w:rPr>
                <w:b/>
                <w:bCs w:val="0"/>
                <w:color w:val="auto"/>
                <w:kern w:val="21"/>
                <w:vertAlign w:val="superscript"/>
                <w:lang w:bidi="ar"/>
              </w:rPr>
              <w:t>3</w:t>
            </w:r>
            <w:r>
              <w:rPr>
                <w:b/>
                <w:bCs w:val="0"/>
                <w:color w:val="auto"/>
                <w:kern w:val="21"/>
                <w:lang w:bidi="ar"/>
              </w:rPr>
              <w:t>）</w:t>
            </w:r>
          </w:p>
        </w:tc>
        <w:tc>
          <w:tcPr>
            <w:tcW w:w="297" w:type="pct"/>
            <w:vMerge w:val="restart"/>
            <w:vAlign w:val="center"/>
          </w:tcPr>
          <w:p>
            <w:pPr>
              <w:adjustRightInd w:val="0"/>
              <w:snapToGrid w:val="0"/>
              <w:jc w:val="center"/>
              <w:rPr>
                <w:b/>
                <w:bCs w:val="0"/>
                <w:color w:val="auto"/>
                <w:kern w:val="21"/>
                <w:lang w:bidi="ar"/>
              </w:rPr>
            </w:pPr>
            <w:r>
              <w:rPr>
                <w:b/>
                <w:bCs w:val="0"/>
                <w:color w:val="auto"/>
                <w:kern w:val="21"/>
                <w:lang w:bidi="ar"/>
              </w:rPr>
              <w:t>工作时间h/d</w:t>
            </w:r>
          </w:p>
        </w:tc>
        <w:tc>
          <w:tcPr>
            <w:tcW w:w="407" w:type="pct"/>
            <w:vMerge w:val="restart"/>
            <w:vAlign w:val="center"/>
          </w:tcPr>
          <w:p>
            <w:pPr>
              <w:adjustRightInd w:val="0"/>
              <w:snapToGrid w:val="0"/>
              <w:jc w:val="center"/>
              <w:rPr>
                <w:b/>
                <w:bCs w:val="0"/>
                <w:color w:val="auto"/>
                <w:kern w:val="21"/>
                <w:lang w:bidi="ar"/>
              </w:rPr>
            </w:pPr>
            <w:r>
              <w:rPr>
                <w:b/>
                <w:bCs w:val="0"/>
                <w:color w:val="auto"/>
                <w:kern w:val="21"/>
                <w:lang w:bidi="ar"/>
              </w:rPr>
              <w:t>排放方式</w:t>
            </w:r>
          </w:p>
        </w:tc>
        <w:tc>
          <w:tcPr>
            <w:tcW w:w="392" w:type="pct"/>
            <w:vMerge w:val="restart"/>
            <w:vAlign w:val="center"/>
          </w:tcPr>
          <w:p>
            <w:pPr>
              <w:adjustRightInd w:val="0"/>
              <w:snapToGrid w:val="0"/>
              <w:jc w:val="center"/>
              <w:rPr>
                <w:b/>
                <w:bCs w:val="0"/>
                <w:color w:val="auto"/>
                <w:kern w:val="21"/>
                <w:lang w:bidi="ar"/>
              </w:rPr>
            </w:pPr>
            <w:r>
              <w:rPr>
                <w:b/>
                <w:bCs w:val="0"/>
                <w:color w:val="auto"/>
                <w:kern w:val="21"/>
                <w:lang w:bidi="ar"/>
              </w:rPr>
              <w:t>溢流速度</w:t>
            </w:r>
          </w:p>
          <w:p>
            <w:pPr>
              <w:adjustRightInd w:val="0"/>
              <w:snapToGrid w:val="0"/>
              <w:jc w:val="center"/>
              <w:rPr>
                <w:b/>
                <w:bCs w:val="0"/>
                <w:color w:val="auto"/>
                <w:kern w:val="21"/>
                <w:lang w:bidi="ar"/>
              </w:rPr>
            </w:pPr>
            <w:r>
              <w:rPr>
                <w:b/>
                <w:bCs w:val="0"/>
                <w:color w:val="auto"/>
                <w:kern w:val="21"/>
                <w:lang w:bidi="ar"/>
              </w:rPr>
              <w:t>L/h</w:t>
            </w:r>
          </w:p>
        </w:tc>
        <w:tc>
          <w:tcPr>
            <w:tcW w:w="805" w:type="pct"/>
            <w:gridSpan w:val="2"/>
            <w:vAlign w:val="center"/>
          </w:tcPr>
          <w:p>
            <w:pPr>
              <w:adjustRightInd w:val="0"/>
              <w:snapToGrid w:val="0"/>
              <w:jc w:val="center"/>
              <w:rPr>
                <w:b/>
                <w:bCs w:val="0"/>
                <w:color w:val="auto"/>
                <w:kern w:val="21"/>
                <w:lang w:bidi="ar"/>
              </w:rPr>
            </w:pPr>
            <w:r>
              <w:rPr>
                <w:b/>
                <w:bCs w:val="0"/>
                <w:color w:val="auto"/>
                <w:kern w:val="21"/>
                <w:lang w:bidi="ar"/>
              </w:rPr>
              <w:t>用水（m</w:t>
            </w:r>
            <w:r>
              <w:rPr>
                <w:b/>
                <w:bCs w:val="0"/>
                <w:color w:val="auto"/>
                <w:kern w:val="21"/>
                <w:vertAlign w:val="superscript"/>
                <w:lang w:bidi="ar"/>
              </w:rPr>
              <w:t>3</w:t>
            </w:r>
            <w:r>
              <w:rPr>
                <w:b/>
                <w:bCs w:val="0"/>
                <w:color w:val="auto"/>
                <w:kern w:val="21"/>
                <w:lang w:bidi="ar"/>
              </w:rPr>
              <w:t>/d）</w:t>
            </w:r>
          </w:p>
        </w:tc>
        <w:tc>
          <w:tcPr>
            <w:tcW w:w="1025" w:type="pct"/>
            <w:gridSpan w:val="3"/>
            <w:vAlign w:val="center"/>
          </w:tcPr>
          <w:p>
            <w:pPr>
              <w:adjustRightInd w:val="0"/>
              <w:snapToGrid w:val="0"/>
              <w:jc w:val="center"/>
              <w:rPr>
                <w:b/>
                <w:bCs w:val="0"/>
                <w:color w:val="auto"/>
                <w:kern w:val="21"/>
                <w:lang w:bidi="ar"/>
              </w:rPr>
            </w:pPr>
            <w:r>
              <w:rPr>
                <w:b/>
                <w:bCs w:val="0"/>
                <w:color w:val="auto"/>
                <w:kern w:val="21"/>
                <w:lang w:bidi="ar"/>
              </w:rPr>
              <w:t>废水（m</w:t>
            </w:r>
            <w:r>
              <w:rPr>
                <w:b/>
                <w:bCs w:val="0"/>
                <w:color w:val="auto"/>
                <w:kern w:val="21"/>
                <w:vertAlign w:val="superscript"/>
                <w:lang w:bidi="ar"/>
              </w:rPr>
              <w:t>3</w:t>
            </w:r>
            <w:r>
              <w:rPr>
                <w:b/>
                <w:bCs w:val="0"/>
                <w:color w:val="auto"/>
                <w:kern w:val="21"/>
                <w:lang w:bidi="ar"/>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324" w:type="pct"/>
            <w:vMerge w:val="continue"/>
            <w:vAlign w:val="center"/>
          </w:tcPr>
          <w:p>
            <w:pPr>
              <w:adjustRightInd w:val="0"/>
              <w:snapToGrid w:val="0"/>
              <w:jc w:val="center"/>
              <w:rPr>
                <w:b/>
                <w:bCs w:val="0"/>
                <w:color w:val="auto"/>
                <w:kern w:val="21"/>
                <w:lang w:bidi="ar"/>
              </w:rPr>
            </w:pPr>
          </w:p>
        </w:tc>
        <w:tc>
          <w:tcPr>
            <w:tcW w:w="387" w:type="pct"/>
            <w:vMerge w:val="continue"/>
            <w:vAlign w:val="center"/>
          </w:tcPr>
          <w:p>
            <w:pPr>
              <w:adjustRightInd w:val="0"/>
              <w:snapToGrid w:val="0"/>
              <w:jc w:val="center"/>
              <w:rPr>
                <w:b/>
                <w:bCs w:val="0"/>
                <w:color w:val="auto"/>
                <w:kern w:val="21"/>
                <w:lang w:bidi="ar"/>
              </w:rPr>
            </w:pPr>
          </w:p>
        </w:tc>
        <w:tc>
          <w:tcPr>
            <w:tcW w:w="303" w:type="pct"/>
            <w:vMerge w:val="continue"/>
            <w:vAlign w:val="center"/>
          </w:tcPr>
          <w:p>
            <w:pPr>
              <w:adjustRightInd w:val="0"/>
              <w:snapToGrid w:val="0"/>
              <w:jc w:val="center"/>
              <w:rPr>
                <w:b/>
                <w:bCs w:val="0"/>
                <w:color w:val="auto"/>
                <w:kern w:val="21"/>
                <w:lang w:bidi="ar"/>
              </w:rPr>
            </w:pPr>
          </w:p>
        </w:tc>
        <w:tc>
          <w:tcPr>
            <w:tcW w:w="555" w:type="pct"/>
            <w:vMerge w:val="continue"/>
            <w:vAlign w:val="center"/>
          </w:tcPr>
          <w:p>
            <w:pPr>
              <w:adjustRightInd w:val="0"/>
              <w:snapToGrid w:val="0"/>
              <w:jc w:val="center"/>
              <w:rPr>
                <w:b/>
                <w:bCs w:val="0"/>
                <w:color w:val="auto"/>
                <w:kern w:val="21"/>
                <w:lang w:bidi="ar"/>
              </w:rPr>
            </w:pPr>
          </w:p>
        </w:tc>
        <w:tc>
          <w:tcPr>
            <w:tcW w:w="502" w:type="pct"/>
            <w:vMerge w:val="continue"/>
            <w:vAlign w:val="center"/>
          </w:tcPr>
          <w:p>
            <w:pPr>
              <w:adjustRightInd w:val="0"/>
              <w:snapToGrid w:val="0"/>
              <w:jc w:val="center"/>
              <w:rPr>
                <w:b/>
                <w:bCs w:val="0"/>
                <w:color w:val="auto"/>
                <w:kern w:val="21"/>
                <w:lang w:bidi="ar"/>
              </w:rPr>
            </w:pPr>
          </w:p>
        </w:tc>
        <w:tc>
          <w:tcPr>
            <w:tcW w:w="297" w:type="pct"/>
            <w:vMerge w:val="continue"/>
            <w:vAlign w:val="center"/>
          </w:tcPr>
          <w:p>
            <w:pPr>
              <w:adjustRightInd w:val="0"/>
              <w:snapToGrid w:val="0"/>
              <w:jc w:val="center"/>
              <w:rPr>
                <w:b/>
                <w:bCs w:val="0"/>
                <w:color w:val="auto"/>
                <w:kern w:val="21"/>
                <w:lang w:bidi="ar"/>
              </w:rPr>
            </w:pPr>
          </w:p>
        </w:tc>
        <w:tc>
          <w:tcPr>
            <w:tcW w:w="407" w:type="pct"/>
            <w:vMerge w:val="continue"/>
            <w:vAlign w:val="center"/>
          </w:tcPr>
          <w:p>
            <w:pPr>
              <w:adjustRightInd w:val="0"/>
              <w:snapToGrid w:val="0"/>
              <w:jc w:val="center"/>
              <w:rPr>
                <w:b/>
                <w:bCs w:val="0"/>
                <w:color w:val="auto"/>
                <w:kern w:val="21"/>
                <w:lang w:bidi="ar"/>
              </w:rPr>
            </w:pPr>
          </w:p>
        </w:tc>
        <w:tc>
          <w:tcPr>
            <w:tcW w:w="392" w:type="pct"/>
            <w:vMerge w:val="continue"/>
            <w:vAlign w:val="center"/>
          </w:tcPr>
          <w:p>
            <w:pPr>
              <w:adjustRightInd w:val="0"/>
              <w:snapToGrid w:val="0"/>
              <w:jc w:val="center"/>
              <w:rPr>
                <w:b/>
                <w:bCs w:val="0"/>
                <w:color w:val="auto"/>
                <w:kern w:val="21"/>
                <w:lang w:bidi="ar"/>
              </w:rPr>
            </w:pPr>
          </w:p>
        </w:tc>
        <w:tc>
          <w:tcPr>
            <w:tcW w:w="360" w:type="pct"/>
            <w:vAlign w:val="center"/>
          </w:tcPr>
          <w:p>
            <w:pPr>
              <w:adjustRightInd w:val="0"/>
              <w:snapToGrid w:val="0"/>
              <w:jc w:val="center"/>
              <w:rPr>
                <w:b/>
                <w:bCs w:val="0"/>
                <w:color w:val="auto"/>
                <w:kern w:val="21"/>
                <w:lang w:bidi="ar"/>
              </w:rPr>
            </w:pPr>
            <w:r>
              <w:rPr>
                <w:b/>
                <w:bCs w:val="0"/>
                <w:color w:val="auto"/>
                <w:kern w:val="21"/>
                <w:lang w:bidi="ar"/>
              </w:rPr>
              <w:t>水量</w:t>
            </w:r>
          </w:p>
        </w:tc>
        <w:tc>
          <w:tcPr>
            <w:tcW w:w="444" w:type="pct"/>
            <w:vAlign w:val="center"/>
          </w:tcPr>
          <w:p>
            <w:pPr>
              <w:adjustRightInd w:val="0"/>
              <w:snapToGrid w:val="0"/>
              <w:jc w:val="center"/>
              <w:rPr>
                <w:b/>
                <w:bCs w:val="0"/>
                <w:color w:val="auto"/>
                <w:kern w:val="21"/>
                <w:lang w:bidi="ar"/>
              </w:rPr>
            </w:pPr>
            <w:r>
              <w:rPr>
                <w:b/>
                <w:bCs w:val="0"/>
                <w:color w:val="auto"/>
                <w:kern w:val="21"/>
                <w:lang w:bidi="ar"/>
              </w:rPr>
              <w:t>来源</w:t>
            </w:r>
          </w:p>
        </w:tc>
        <w:tc>
          <w:tcPr>
            <w:tcW w:w="334" w:type="pct"/>
            <w:vAlign w:val="center"/>
          </w:tcPr>
          <w:p>
            <w:pPr>
              <w:adjustRightInd w:val="0"/>
              <w:snapToGrid w:val="0"/>
              <w:jc w:val="center"/>
              <w:rPr>
                <w:b/>
                <w:bCs w:val="0"/>
                <w:color w:val="auto"/>
                <w:kern w:val="21"/>
                <w:lang w:bidi="ar"/>
              </w:rPr>
            </w:pPr>
            <w:r>
              <w:rPr>
                <w:b/>
                <w:bCs w:val="0"/>
                <w:color w:val="auto"/>
                <w:kern w:val="21"/>
                <w:lang w:bidi="ar"/>
              </w:rPr>
              <w:t>水量</w:t>
            </w:r>
          </w:p>
        </w:tc>
        <w:tc>
          <w:tcPr>
            <w:tcW w:w="284" w:type="pct"/>
            <w:vAlign w:val="center"/>
          </w:tcPr>
          <w:p>
            <w:pPr>
              <w:adjustRightInd w:val="0"/>
              <w:snapToGrid w:val="0"/>
              <w:jc w:val="center"/>
              <w:rPr>
                <w:b/>
                <w:bCs w:val="0"/>
                <w:color w:val="auto"/>
                <w:kern w:val="21"/>
                <w:lang w:bidi="ar"/>
              </w:rPr>
            </w:pPr>
            <w:r>
              <w:rPr>
                <w:b/>
                <w:bCs w:val="0"/>
                <w:color w:val="auto"/>
                <w:kern w:val="21"/>
                <w:lang w:bidi="ar"/>
              </w:rPr>
              <w:t>类型</w:t>
            </w:r>
          </w:p>
        </w:tc>
        <w:tc>
          <w:tcPr>
            <w:tcW w:w="405" w:type="pct"/>
            <w:vAlign w:val="center"/>
          </w:tcPr>
          <w:p>
            <w:pPr>
              <w:adjustRightInd w:val="0"/>
              <w:snapToGrid w:val="0"/>
              <w:jc w:val="center"/>
              <w:rPr>
                <w:b/>
                <w:bCs w:val="0"/>
                <w:color w:val="auto"/>
                <w:kern w:val="21"/>
                <w:lang w:bidi="ar"/>
              </w:rPr>
            </w:pPr>
            <w:r>
              <w:rPr>
                <w:b/>
                <w:bCs w:val="0"/>
                <w:color w:val="auto"/>
                <w:kern w:val="21"/>
                <w:lang w:bidi="ar"/>
              </w:rPr>
              <w:t xml:space="preserve">更换频率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restart"/>
            <w:vAlign w:val="center"/>
          </w:tcPr>
          <w:p>
            <w:pPr>
              <w:adjustRightInd w:val="0"/>
              <w:snapToGrid w:val="0"/>
              <w:jc w:val="center"/>
              <w:rPr>
                <w:b/>
                <w:color w:val="auto"/>
                <w:kern w:val="21"/>
                <w:lang w:bidi="ar"/>
              </w:rPr>
            </w:pPr>
            <w:r>
              <w:rPr>
                <w:rFonts w:hint="eastAsia"/>
                <w:bCs/>
                <w:color w:val="auto"/>
                <w:kern w:val="21"/>
                <w:lang w:bidi="ar"/>
              </w:rPr>
              <w:t>6条电池壳镀镍</w:t>
            </w:r>
            <w:r>
              <w:rPr>
                <w:bCs/>
                <w:color w:val="auto"/>
                <w:kern w:val="21"/>
                <w:lang w:bidi="ar"/>
              </w:rPr>
              <w:t>线</w:t>
            </w:r>
          </w:p>
        </w:tc>
        <w:tc>
          <w:tcPr>
            <w:tcW w:w="387" w:type="pct"/>
            <w:vAlign w:val="center"/>
          </w:tcPr>
          <w:p>
            <w:pPr>
              <w:adjustRightInd w:val="0"/>
              <w:snapToGrid w:val="0"/>
              <w:jc w:val="center"/>
              <w:rPr>
                <w:bCs/>
                <w:color w:val="auto"/>
                <w:kern w:val="21"/>
                <w:lang w:bidi="ar"/>
              </w:rPr>
            </w:pPr>
            <w:r>
              <w:rPr>
                <w:bCs/>
                <w:color w:val="auto"/>
                <w:kern w:val="21"/>
                <w:lang w:bidi="ar"/>
              </w:rPr>
              <w:t>酸洗槽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jc w:val="center"/>
              <w:rPr>
                <w:color w:val="auto"/>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25.92</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4.114</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3.703</w:t>
            </w:r>
          </w:p>
        </w:tc>
        <w:tc>
          <w:tcPr>
            <w:tcW w:w="284" w:type="pct"/>
            <w:vAlign w:val="center"/>
          </w:tcPr>
          <w:p>
            <w:pPr>
              <w:adjustRightInd w:val="0"/>
              <w:snapToGrid w:val="0"/>
              <w:jc w:val="center"/>
              <w:rPr>
                <w:bCs/>
                <w:color w:val="auto"/>
                <w:kern w:val="21"/>
                <w:lang w:bidi="ar"/>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1周1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Cs/>
                <w:color w:val="auto"/>
                <w:kern w:val="21"/>
                <w:lang w:bidi="ar"/>
              </w:rPr>
            </w:pPr>
          </w:p>
        </w:tc>
        <w:tc>
          <w:tcPr>
            <w:tcW w:w="387" w:type="pct"/>
            <w:vAlign w:val="center"/>
          </w:tcPr>
          <w:p>
            <w:pPr>
              <w:adjustRightInd w:val="0"/>
              <w:snapToGrid w:val="0"/>
              <w:jc w:val="center"/>
              <w:rPr>
                <w:bCs/>
                <w:color w:val="auto"/>
                <w:kern w:val="21"/>
                <w:lang w:bidi="ar"/>
              </w:rPr>
            </w:pPr>
            <w:r>
              <w:rPr>
                <w:bCs/>
                <w:color w:val="auto"/>
                <w:kern w:val="21"/>
                <w:lang w:bidi="ar"/>
              </w:rPr>
              <w:t>水洗槽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jc w:val="center"/>
              <w:rPr>
                <w:color w:val="auto"/>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color w:val="auto"/>
                <w:kern w:val="21"/>
                <w:lang w:bidi="ar"/>
              </w:rPr>
              <w:t>连续溢流</w:t>
            </w:r>
          </w:p>
        </w:tc>
        <w:tc>
          <w:tcPr>
            <w:tcW w:w="392"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60" w:type="pct"/>
            <w:vAlign w:val="center"/>
          </w:tcPr>
          <w:p>
            <w:pPr>
              <w:adjustRightInd w:val="0"/>
              <w:snapToGrid w:val="0"/>
              <w:jc w:val="center"/>
              <w:rPr>
                <w:bCs/>
                <w:color w:val="auto"/>
                <w:kern w:val="21"/>
                <w:lang w:bidi="ar"/>
              </w:rPr>
            </w:pPr>
            <w:r>
              <w:rPr>
                <w:rFonts w:hint="eastAsia"/>
                <w:bCs/>
                <w:color w:val="auto"/>
                <w:kern w:val="21"/>
                <w:lang w:bidi="ar"/>
              </w:rPr>
              <w:t>28.8</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Cs/>
                <w:color w:val="auto"/>
                <w:kern w:val="21"/>
                <w:lang w:bidi="ar"/>
              </w:rPr>
            </w:pPr>
          </w:p>
        </w:tc>
        <w:tc>
          <w:tcPr>
            <w:tcW w:w="387" w:type="pct"/>
            <w:vAlign w:val="center"/>
          </w:tcPr>
          <w:p>
            <w:pPr>
              <w:adjustRightInd w:val="0"/>
              <w:snapToGrid w:val="0"/>
              <w:jc w:val="center"/>
              <w:rPr>
                <w:bCs/>
                <w:color w:val="auto"/>
                <w:kern w:val="21"/>
                <w:lang w:bidi="ar"/>
              </w:rPr>
            </w:pPr>
            <w:r>
              <w:rPr>
                <w:bCs/>
                <w:color w:val="auto"/>
                <w:kern w:val="21"/>
                <w:lang w:bidi="ar"/>
              </w:rPr>
              <w:t>酸活化槽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1</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12.96</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rFonts w:hint="eastAsia"/>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2.057</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1.851</w:t>
            </w:r>
          </w:p>
        </w:tc>
        <w:tc>
          <w:tcPr>
            <w:tcW w:w="284" w:type="pct"/>
            <w:vAlign w:val="center"/>
          </w:tcPr>
          <w:p>
            <w:pPr>
              <w:adjustRightInd w:val="0"/>
              <w:snapToGrid w:val="0"/>
              <w:jc w:val="center"/>
              <w:rPr>
                <w:bCs/>
                <w:color w:val="auto"/>
                <w:kern w:val="21"/>
                <w:lang w:bidi="ar"/>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1周1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Cs/>
                <w:color w:val="auto"/>
                <w:kern w:val="21"/>
                <w:lang w:bidi="ar"/>
              </w:rPr>
            </w:pPr>
          </w:p>
        </w:tc>
        <w:tc>
          <w:tcPr>
            <w:tcW w:w="387" w:type="pct"/>
            <w:vAlign w:val="center"/>
          </w:tcPr>
          <w:p>
            <w:pPr>
              <w:adjustRightInd w:val="0"/>
              <w:snapToGrid w:val="0"/>
              <w:jc w:val="center"/>
              <w:rPr>
                <w:bCs/>
                <w:color w:val="auto"/>
                <w:kern w:val="21"/>
                <w:lang w:bidi="ar"/>
              </w:rPr>
            </w:pPr>
            <w:r>
              <w:rPr>
                <w:bCs/>
                <w:color w:val="auto"/>
                <w:kern w:val="21"/>
                <w:lang w:bidi="ar"/>
              </w:rPr>
              <w:t>水洗槽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color w:val="auto"/>
                <w:kern w:val="21"/>
                <w:lang w:bidi="ar"/>
              </w:rPr>
              <w:t>连续溢流</w:t>
            </w:r>
          </w:p>
        </w:tc>
        <w:tc>
          <w:tcPr>
            <w:tcW w:w="392"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60" w:type="pct"/>
            <w:vAlign w:val="center"/>
          </w:tcPr>
          <w:p>
            <w:pPr>
              <w:adjustRightInd w:val="0"/>
              <w:snapToGrid w:val="0"/>
              <w:jc w:val="center"/>
              <w:rPr>
                <w:bCs/>
                <w:color w:val="auto"/>
                <w:kern w:val="21"/>
                <w:lang w:bidi="ar"/>
              </w:rPr>
            </w:pPr>
            <w:r>
              <w:rPr>
                <w:rFonts w:hint="eastAsia"/>
                <w:bCs/>
                <w:color w:val="auto"/>
                <w:kern w:val="21"/>
                <w:lang w:bidi="ar"/>
              </w:rPr>
              <w:t>28.8</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restart"/>
            <w:vAlign w:val="center"/>
          </w:tcPr>
          <w:p>
            <w:pPr>
              <w:adjustRightInd w:val="0"/>
              <w:snapToGrid w:val="0"/>
              <w:jc w:val="center"/>
              <w:rPr>
                <w:b/>
                <w:color w:val="auto"/>
                <w:kern w:val="21"/>
                <w:lang w:bidi="ar"/>
              </w:rPr>
            </w:pPr>
            <w:r>
              <w:rPr>
                <w:rFonts w:hint="eastAsia"/>
                <w:bCs/>
                <w:color w:val="auto"/>
                <w:kern w:val="21"/>
                <w:lang w:bidi="ar"/>
              </w:rPr>
              <w:t>3</w:t>
            </w:r>
            <w:r>
              <w:rPr>
                <w:bCs/>
                <w:color w:val="auto"/>
                <w:kern w:val="21"/>
                <w:lang w:bidi="ar"/>
              </w:rPr>
              <w:t>条盖帽镀镍线</w:t>
            </w:r>
          </w:p>
        </w:tc>
        <w:tc>
          <w:tcPr>
            <w:tcW w:w="387" w:type="pct"/>
            <w:vAlign w:val="center"/>
          </w:tcPr>
          <w:p>
            <w:pPr>
              <w:adjustRightInd w:val="0"/>
              <w:snapToGrid w:val="0"/>
              <w:jc w:val="center"/>
              <w:textAlignment w:val="baseline"/>
              <w:rPr>
                <w:color w:val="auto"/>
                <w:kern w:val="21"/>
                <w:lang w:bidi="ar"/>
              </w:rPr>
            </w:pPr>
            <w:r>
              <w:rPr>
                <w:color w:val="auto"/>
                <w:kern w:val="21"/>
                <w:lang w:bidi="ar"/>
              </w:rPr>
              <w:t>酸洗槽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12.96</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2.057</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1.851</w:t>
            </w:r>
            <w:r>
              <w:rPr>
                <w:rFonts w:hint="eastAsia"/>
                <w:bCs/>
                <w:color w:val="auto"/>
                <w:kern w:val="21"/>
                <w:lang w:val="en-US" w:eastAsia="zh-CN" w:bidi="ar"/>
              </w:rPr>
              <w:t>2</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w:t>
            </w:r>
            <w:r>
              <w:rPr>
                <w:bCs/>
                <w:color w:val="auto"/>
                <w:kern w:val="21"/>
                <w:lang w:bidi="ar"/>
              </w:rPr>
              <w:t>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Cs/>
                <w:color w:val="auto"/>
                <w:kern w:val="21"/>
                <w:lang w:bidi="ar"/>
              </w:rPr>
            </w:pPr>
          </w:p>
        </w:tc>
        <w:tc>
          <w:tcPr>
            <w:tcW w:w="387" w:type="pct"/>
            <w:vAlign w:val="center"/>
          </w:tcPr>
          <w:p>
            <w:pPr>
              <w:adjustRightInd w:val="0"/>
              <w:snapToGrid w:val="0"/>
              <w:jc w:val="center"/>
              <w:textAlignment w:val="baseline"/>
              <w:rPr>
                <w:color w:val="auto"/>
                <w:kern w:val="21"/>
                <w:lang w:bidi="ar"/>
              </w:rPr>
            </w:pPr>
            <w:r>
              <w:rPr>
                <w:color w:val="auto"/>
                <w:kern w:val="21"/>
                <w:lang w:bidi="ar"/>
              </w:rPr>
              <w:t>纯水洗槽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14.4</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color w:val="auto"/>
                <w:kern w:val="21"/>
                <w:lang w:bidi="ar"/>
              </w:rPr>
              <w:t>连续溢流</w:t>
            </w:r>
          </w:p>
        </w:tc>
        <w:tc>
          <w:tcPr>
            <w:tcW w:w="392"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60" w:type="pct"/>
            <w:vAlign w:val="center"/>
          </w:tcPr>
          <w:p>
            <w:pPr>
              <w:adjustRightInd w:val="0"/>
              <w:snapToGrid w:val="0"/>
              <w:jc w:val="center"/>
              <w:rPr>
                <w:bCs/>
                <w:color w:val="auto"/>
                <w:kern w:val="21"/>
                <w:lang w:bidi="ar"/>
              </w:rPr>
            </w:pPr>
            <w:r>
              <w:rPr>
                <w:rFonts w:hint="eastAsia"/>
                <w:bCs/>
                <w:color w:val="auto"/>
                <w:kern w:val="21"/>
                <w:lang w:bidi="ar"/>
              </w:rPr>
              <w:t>14.4</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Cs/>
                <w:color w:val="auto"/>
                <w:kern w:val="21"/>
                <w:lang w:bidi="ar"/>
              </w:rPr>
            </w:pPr>
          </w:p>
        </w:tc>
        <w:tc>
          <w:tcPr>
            <w:tcW w:w="387" w:type="pct"/>
            <w:vAlign w:val="center"/>
          </w:tcPr>
          <w:p>
            <w:pPr>
              <w:adjustRightInd w:val="0"/>
              <w:snapToGrid w:val="0"/>
              <w:jc w:val="center"/>
              <w:textAlignment w:val="baseline"/>
              <w:rPr>
                <w:color w:val="auto"/>
                <w:kern w:val="21"/>
                <w:lang w:bidi="ar"/>
              </w:rPr>
            </w:pPr>
            <w:r>
              <w:rPr>
                <w:color w:val="auto"/>
                <w:kern w:val="21"/>
                <w:lang w:bidi="ar"/>
              </w:rPr>
              <w:t>活化槽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1</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6.48</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rFonts w:hint="eastAsia"/>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1.029</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0.926</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w:t>
            </w:r>
            <w:r>
              <w:rPr>
                <w:bCs/>
                <w:color w:val="auto"/>
                <w:kern w:val="21"/>
                <w:lang w:bidi="ar"/>
              </w:rPr>
              <w:t>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Cs/>
                <w:color w:val="auto"/>
                <w:kern w:val="21"/>
                <w:highlight w:val="yellow"/>
                <w:lang w:bidi="ar"/>
              </w:rPr>
            </w:pPr>
          </w:p>
        </w:tc>
        <w:tc>
          <w:tcPr>
            <w:tcW w:w="387" w:type="pct"/>
            <w:vAlign w:val="center"/>
          </w:tcPr>
          <w:p>
            <w:pPr>
              <w:adjustRightInd w:val="0"/>
              <w:snapToGrid w:val="0"/>
              <w:jc w:val="center"/>
              <w:textAlignment w:val="baseline"/>
              <w:rPr>
                <w:color w:val="auto"/>
                <w:kern w:val="21"/>
                <w:lang w:bidi="ar"/>
              </w:rPr>
            </w:pPr>
            <w:r>
              <w:rPr>
                <w:color w:val="auto"/>
                <w:kern w:val="21"/>
                <w:lang w:bidi="ar"/>
              </w:rPr>
              <w:t>纯水槽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1</w:t>
            </w:r>
          </w:p>
        </w:tc>
        <w:tc>
          <w:tcPr>
            <w:tcW w:w="55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2"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7.2</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color w:val="auto"/>
                <w:kern w:val="21"/>
                <w:lang w:bidi="ar"/>
              </w:rPr>
              <w:t>连续溢流</w:t>
            </w:r>
          </w:p>
        </w:tc>
        <w:tc>
          <w:tcPr>
            <w:tcW w:w="392"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60" w:type="pct"/>
            <w:vAlign w:val="center"/>
          </w:tcPr>
          <w:p>
            <w:pPr>
              <w:adjustRightInd w:val="0"/>
              <w:snapToGrid w:val="0"/>
              <w:jc w:val="center"/>
              <w:rPr>
                <w:bCs/>
                <w:color w:val="auto"/>
                <w:kern w:val="21"/>
                <w:lang w:bidi="ar"/>
              </w:rPr>
            </w:pPr>
            <w:r>
              <w:rPr>
                <w:rFonts w:hint="eastAsia"/>
                <w:bCs/>
                <w:color w:val="auto"/>
                <w:kern w:val="21"/>
                <w:lang w:bidi="ar"/>
              </w:rPr>
              <w:t>14.4</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restart"/>
            <w:vAlign w:val="center"/>
          </w:tcPr>
          <w:p>
            <w:pPr>
              <w:adjustRightInd w:val="0"/>
              <w:snapToGrid w:val="0"/>
              <w:jc w:val="center"/>
              <w:rPr>
                <w:b/>
                <w:color w:val="auto"/>
                <w:kern w:val="21"/>
                <w:highlight w:val="yellow"/>
                <w:lang w:bidi="ar"/>
              </w:rPr>
            </w:pPr>
            <w:r>
              <w:rPr>
                <w:rFonts w:hint="eastAsia"/>
                <w:bCs/>
                <w:color w:val="auto"/>
                <w:kern w:val="21"/>
                <w:lang w:bidi="ar"/>
              </w:rPr>
              <w:t>1条电池箱镀锌线</w:t>
            </w:r>
          </w:p>
        </w:tc>
        <w:tc>
          <w:tcPr>
            <w:tcW w:w="387" w:type="pct"/>
            <w:vAlign w:val="center"/>
          </w:tcPr>
          <w:p>
            <w:pPr>
              <w:adjustRightInd w:val="0"/>
              <w:snapToGrid w:val="0"/>
              <w:jc w:val="center"/>
              <w:rPr>
                <w:bCs/>
                <w:color w:val="auto"/>
                <w:kern w:val="21"/>
                <w:lang w:bidi="ar"/>
              </w:rPr>
            </w:pPr>
            <w:r>
              <w:rPr>
                <w:bCs/>
                <w:color w:val="auto"/>
                <w:kern w:val="21"/>
                <w:lang w:bidi="ar"/>
              </w:rPr>
              <w:t>酸电解</w:t>
            </w:r>
          </w:p>
        </w:tc>
        <w:tc>
          <w:tcPr>
            <w:tcW w:w="303" w:type="pct"/>
            <w:vAlign w:val="center"/>
          </w:tcPr>
          <w:p>
            <w:pPr>
              <w:adjustRightInd w:val="0"/>
              <w:snapToGrid w:val="0"/>
              <w:jc w:val="center"/>
              <w:rPr>
                <w:bCs/>
                <w:color w:val="auto"/>
                <w:kern w:val="21"/>
                <w:lang w:bidi="ar"/>
              </w:rPr>
            </w:pPr>
            <w:r>
              <w:rPr>
                <w:rFonts w:hint="eastAsia"/>
                <w:bCs/>
                <w:color w:val="auto"/>
                <w:kern w:val="21"/>
                <w:lang w:bidi="ar"/>
              </w:rPr>
              <w:t>1</w:t>
            </w:r>
          </w:p>
        </w:tc>
        <w:tc>
          <w:tcPr>
            <w:tcW w:w="55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0.9</w:t>
            </w:r>
            <w:r>
              <w:rPr>
                <w:bCs/>
                <w:color w:val="auto"/>
                <w:kern w:val="21"/>
                <w:lang w:bidi="ar"/>
              </w:rPr>
              <w:t>×</w:t>
            </w:r>
            <w:r>
              <w:rPr>
                <w:rFonts w:hint="eastAsia"/>
                <w:bCs/>
                <w:color w:val="auto"/>
                <w:kern w:val="21"/>
                <w:lang w:bidi="ar"/>
              </w:rPr>
              <w:t>1.7</w:t>
            </w:r>
          </w:p>
        </w:tc>
        <w:tc>
          <w:tcPr>
            <w:tcW w:w="502" w:type="pct"/>
            <w:vAlign w:val="center"/>
          </w:tcPr>
          <w:p>
            <w:pPr>
              <w:adjustRightInd w:val="0"/>
              <w:snapToGrid w:val="0"/>
              <w:jc w:val="center"/>
              <w:rPr>
                <w:bCs/>
                <w:color w:val="auto"/>
                <w:kern w:val="21"/>
                <w:lang w:bidi="ar"/>
              </w:rPr>
            </w:pPr>
            <w:r>
              <w:rPr>
                <w:rFonts w:hint="eastAsia"/>
                <w:bCs/>
                <w:color w:val="auto"/>
                <w:kern w:val="21"/>
                <w:lang w:bidi="ar"/>
              </w:rPr>
              <w:t>11.71</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10.539</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rFonts w:hint="eastAsia"/>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0.837</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0.753</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2周1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
                <w:color w:val="auto"/>
                <w:kern w:val="21"/>
                <w:highlight w:val="yellow"/>
                <w:lang w:bidi="ar"/>
              </w:rPr>
            </w:pPr>
          </w:p>
        </w:tc>
        <w:tc>
          <w:tcPr>
            <w:tcW w:w="387" w:type="pct"/>
            <w:vAlign w:val="center"/>
          </w:tcPr>
          <w:p>
            <w:pPr>
              <w:adjustRightInd w:val="0"/>
              <w:snapToGrid w:val="0"/>
              <w:jc w:val="center"/>
              <w:rPr>
                <w:bCs/>
                <w:color w:val="auto"/>
                <w:kern w:val="21"/>
                <w:lang w:bidi="ar"/>
              </w:rPr>
            </w:pPr>
            <w:r>
              <w:rPr>
                <w:bCs/>
                <w:color w:val="auto"/>
                <w:kern w:val="21"/>
                <w:lang w:bidi="ar"/>
              </w:rPr>
              <w:t>酸洗槽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02" w:type="pct"/>
            <w:vAlign w:val="center"/>
          </w:tcPr>
          <w:p>
            <w:pPr>
              <w:adjustRightInd w:val="0"/>
              <w:snapToGrid w:val="0"/>
              <w:jc w:val="center"/>
              <w:rPr>
                <w:bCs/>
                <w:color w:val="auto"/>
                <w:kern w:val="21"/>
                <w:lang w:bidi="ar"/>
              </w:rPr>
            </w:pPr>
            <w:r>
              <w:rPr>
                <w:rFonts w:hint="eastAsia"/>
                <w:bCs/>
                <w:color w:val="auto"/>
                <w:kern w:val="21"/>
                <w:lang w:bidi="ar"/>
              </w:rPr>
              <w:t>8.52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17.136</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rFonts w:hint="eastAsia"/>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1.36</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1.224</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2周1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
                <w:color w:val="auto"/>
                <w:kern w:val="21"/>
                <w:highlight w:val="yellow"/>
                <w:lang w:bidi="ar"/>
              </w:rPr>
            </w:pPr>
          </w:p>
        </w:tc>
        <w:tc>
          <w:tcPr>
            <w:tcW w:w="387" w:type="pct"/>
            <w:vAlign w:val="center"/>
          </w:tcPr>
          <w:p>
            <w:pPr>
              <w:adjustRightInd w:val="0"/>
              <w:snapToGrid w:val="0"/>
              <w:jc w:val="center"/>
              <w:rPr>
                <w:bCs/>
                <w:color w:val="auto"/>
                <w:kern w:val="21"/>
                <w:lang w:bidi="ar"/>
              </w:rPr>
            </w:pPr>
            <w:r>
              <w:rPr>
                <w:bCs/>
                <w:color w:val="auto"/>
                <w:kern w:val="21"/>
                <w:lang w:bidi="ar"/>
              </w:rPr>
              <w:t>水洗槽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2</w:t>
            </w:r>
          </w:p>
        </w:tc>
        <w:tc>
          <w:tcPr>
            <w:tcW w:w="55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0.9</w:t>
            </w:r>
            <w:r>
              <w:rPr>
                <w:bCs/>
                <w:color w:val="auto"/>
                <w:kern w:val="21"/>
                <w:lang w:bidi="ar"/>
              </w:rPr>
              <w:t>×</w:t>
            </w:r>
            <w:r>
              <w:rPr>
                <w:rFonts w:hint="eastAsia"/>
                <w:bCs/>
                <w:color w:val="auto"/>
                <w:kern w:val="21"/>
                <w:lang w:bidi="ar"/>
              </w:rPr>
              <w:t>1.7</w:t>
            </w:r>
          </w:p>
        </w:tc>
        <w:tc>
          <w:tcPr>
            <w:tcW w:w="502" w:type="pct"/>
            <w:vAlign w:val="center"/>
          </w:tcPr>
          <w:p>
            <w:pPr>
              <w:adjustRightInd w:val="0"/>
              <w:snapToGrid w:val="0"/>
              <w:jc w:val="center"/>
              <w:rPr>
                <w:bCs/>
                <w:color w:val="auto"/>
                <w:kern w:val="21"/>
                <w:lang w:bidi="ar"/>
              </w:rPr>
            </w:pPr>
            <w:r>
              <w:rPr>
                <w:rFonts w:hint="eastAsia"/>
                <w:bCs/>
                <w:color w:val="auto"/>
                <w:kern w:val="21"/>
                <w:lang w:bidi="ar"/>
              </w:rPr>
              <w:t>11.71</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23.42</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color w:val="auto"/>
                <w:kern w:val="21"/>
                <w:lang w:bidi="ar"/>
              </w:rPr>
              <w:t>连续溢流</w:t>
            </w:r>
          </w:p>
        </w:tc>
        <w:tc>
          <w:tcPr>
            <w:tcW w:w="392"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60" w:type="pct"/>
            <w:vAlign w:val="center"/>
          </w:tcPr>
          <w:p>
            <w:pPr>
              <w:adjustRightInd w:val="0"/>
              <w:snapToGrid w:val="0"/>
              <w:jc w:val="center"/>
              <w:rPr>
                <w:bCs/>
                <w:color w:val="auto"/>
                <w:kern w:val="21"/>
                <w:lang w:bidi="ar"/>
              </w:rPr>
            </w:pPr>
            <w:r>
              <w:rPr>
                <w:rFonts w:hint="eastAsia"/>
                <w:bCs/>
                <w:color w:val="auto"/>
                <w:kern w:val="21"/>
                <w:lang w:bidi="ar"/>
              </w:rPr>
              <w:t>4.8</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4" w:type="pct"/>
            <w:vMerge w:val="continue"/>
            <w:vAlign w:val="center"/>
          </w:tcPr>
          <w:p>
            <w:pPr>
              <w:adjustRightInd w:val="0"/>
              <w:snapToGrid w:val="0"/>
              <w:jc w:val="center"/>
              <w:rPr>
                <w:b/>
                <w:color w:val="auto"/>
                <w:kern w:val="21"/>
                <w:highlight w:val="yellow"/>
                <w:lang w:bidi="ar"/>
              </w:rPr>
            </w:pPr>
          </w:p>
        </w:tc>
        <w:tc>
          <w:tcPr>
            <w:tcW w:w="387" w:type="pct"/>
            <w:vAlign w:val="center"/>
          </w:tcPr>
          <w:p>
            <w:pPr>
              <w:adjustRightInd w:val="0"/>
              <w:snapToGrid w:val="0"/>
              <w:jc w:val="center"/>
              <w:rPr>
                <w:bCs/>
                <w:color w:val="auto"/>
                <w:kern w:val="21"/>
                <w:lang w:bidi="ar"/>
              </w:rPr>
            </w:pPr>
            <w:r>
              <w:rPr>
                <w:bCs/>
                <w:color w:val="auto"/>
                <w:kern w:val="21"/>
                <w:lang w:bidi="ar"/>
              </w:rPr>
              <w:t>酸活化槽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1</w:t>
            </w:r>
          </w:p>
        </w:tc>
        <w:tc>
          <w:tcPr>
            <w:tcW w:w="55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02"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8.568</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bCs/>
                <w:color w:val="auto"/>
                <w:kern w:val="21"/>
                <w:lang w:bidi="ar"/>
              </w:rPr>
              <w:t>定期更换</w:t>
            </w:r>
          </w:p>
        </w:tc>
        <w:tc>
          <w:tcPr>
            <w:tcW w:w="392" w:type="pct"/>
            <w:vAlign w:val="center"/>
          </w:tcPr>
          <w:p>
            <w:pPr>
              <w:adjustRightInd w:val="0"/>
              <w:snapToGrid w:val="0"/>
              <w:jc w:val="center"/>
              <w:rPr>
                <w:bCs/>
                <w:color w:val="auto"/>
                <w:kern w:val="21"/>
                <w:lang w:bidi="ar"/>
              </w:rPr>
            </w:pPr>
            <w:r>
              <w:rPr>
                <w:rFonts w:hint="eastAsia"/>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0.68</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34"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0.612</w:t>
            </w:r>
            <w:r>
              <w:rPr>
                <w:rFonts w:hint="eastAsia"/>
                <w:bCs/>
                <w:color w:val="auto"/>
                <w:kern w:val="21"/>
                <w:lang w:val="en-US" w:eastAsia="zh-CN" w:bidi="ar"/>
              </w:rPr>
              <w:t>4</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bCs/>
                <w:color w:val="auto"/>
                <w:kern w:val="21"/>
                <w:lang w:bidi="ar"/>
              </w:rPr>
              <w:t>2周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324" w:type="pct"/>
            <w:vMerge w:val="continue"/>
            <w:vAlign w:val="center"/>
          </w:tcPr>
          <w:p>
            <w:pPr>
              <w:adjustRightInd w:val="0"/>
              <w:snapToGrid w:val="0"/>
              <w:jc w:val="center"/>
              <w:rPr>
                <w:b/>
                <w:color w:val="auto"/>
                <w:kern w:val="21"/>
                <w:highlight w:val="yellow"/>
                <w:lang w:bidi="ar"/>
              </w:rPr>
            </w:pPr>
          </w:p>
        </w:tc>
        <w:tc>
          <w:tcPr>
            <w:tcW w:w="387" w:type="pct"/>
            <w:vAlign w:val="center"/>
          </w:tcPr>
          <w:p>
            <w:pPr>
              <w:adjustRightInd w:val="0"/>
              <w:snapToGrid w:val="0"/>
              <w:jc w:val="center"/>
              <w:rPr>
                <w:bCs/>
                <w:color w:val="auto"/>
                <w:kern w:val="21"/>
                <w:lang w:bidi="ar"/>
              </w:rPr>
            </w:pPr>
            <w:r>
              <w:rPr>
                <w:bCs/>
                <w:color w:val="auto"/>
                <w:kern w:val="21"/>
                <w:lang w:bidi="ar"/>
              </w:rPr>
              <w:t>水洗槽</w:t>
            </w:r>
          </w:p>
        </w:tc>
        <w:tc>
          <w:tcPr>
            <w:tcW w:w="303" w:type="pct"/>
            <w:vAlign w:val="center"/>
          </w:tcPr>
          <w:p>
            <w:pPr>
              <w:adjustRightInd w:val="0"/>
              <w:snapToGrid w:val="0"/>
              <w:jc w:val="center"/>
              <w:rPr>
                <w:bCs/>
                <w:color w:val="auto"/>
                <w:kern w:val="21"/>
                <w:lang w:bidi="ar"/>
              </w:rPr>
            </w:pPr>
            <w:r>
              <w:rPr>
                <w:rFonts w:hint="eastAsia"/>
                <w:bCs/>
                <w:color w:val="auto"/>
                <w:kern w:val="21"/>
                <w:lang w:bidi="ar"/>
              </w:rPr>
              <w:t>1</w:t>
            </w:r>
          </w:p>
        </w:tc>
        <w:tc>
          <w:tcPr>
            <w:tcW w:w="55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02"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9.52</w:t>
            </w:r>
          </w:p>
        </w:tc>
        <w:tc>
          <w:tcPr>
            <w:tcW w:w="297" w:type="pct"/>
            <w:vAlign w:val="center"/>
          </w:tcPr>
          <w:p>
            <w:pPr>
              <w:adjustRightInd w:val="0"/>
              <w:snapToGrid w:val="0"/>
              <w:jc w:val="center"/>
              <w:rPr>
                <w:bCs/>
                <w:color w:val="auto"/>
                <w:kern w:val="21"/>
                <w:lang w:bidi="ar"/>
              </w:rPr>
            </w:pPr>
            <w:r>
              <w:rPr>
                <w:bCs/>
                <w:color w:val="auto"/>
                <w:kern w:val="21"/>
                <w:lang w:bidi="ar"/>
              </w:rPr>
              <w:t>24</w:t>
            </w:r>
          </w:p>
        </w:tc>
        <w:tc>
          <w:tcPr>
            <w:tcW w:w="407" w:type="pct"/>
            <w:vAlign w:val="center"/>
          </w:tcPr>
          <w:p>
            <w:pPr>
              <w:adjustRightInd w:val="0"/>
              <w:snapToGrid w:val="0"/>
              <w:jc w:val="center"/>
              <w:rPr>
                <w:bCs/>
                <w:color w:val="auto"/>
                <w:kern w:val="21"/>
                <w:lang w:bidi="ar"/>
              </w:rPr>
            </w:pPr>
            <w:r>
              <w:rPr>
                <w:color w:val="auto"/>
                <w:kern w:val="21"/>
                <w:lang w:bidi="ar"/>
              </w:rPr>
              <w:t>连续溢流</w:t>
            </w:r>
          </w:p>
        </w:tc>
        <w:tc>
          <w:tcPr>
            <w:tcW w:w="392"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60" w:type="pct"/>
            <w:vAlign w:val="center"/>
          </w:tcPr>
          <w:p>
            <w:pPr>
              <w:adjustRightInd w:val="0"/>
              <w:snapToGrid w:val="0"/>
              <w:jc w:val="center"/>
              <w:rPr>
                <w:bCs/>
                <w:color w:val="auto"/>
                <w:kern w:val="21"/>
                <w:lang w:bidi="ar"/>
              </w:rPr>
            </w:pPr>
            <w:r>
              <w:rPr>
                <w:rFonts w:hint="eastAsia"/>
                <w:bCs/>
                <w:color w:val="auto"/>
                <w:kern w:val="21"/>
                <w:lang w:bidi="ar"/>
              </w:rPr>
              <w:t>4.8</w:t>
            </w:r>
          </w:p>
        </w:tc>
        <w:tc>
          <w:tcPr>
            <w:tcW w:w="444"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34"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4" w:type="pct"/>
            <w:vAlign w:val="center"/>
          </w:tcPr>
          <w:p>
            <w:pPr>
              <w:jc w:val="center"/>
              <w:rPr>
                <w:color w:val="auto"/>
              </w:rPr>
            </w:pPr>
            <w:r>
              <w:rPr>
                <w:bCs/>
                <w:color w:val="auto"/>
                <w:kern w:val="21"/>
                <w:lang w:bidi="ar"/>
              </w:rPr>
              <w:t>酸性废水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77" w:type="pct"/>
            <w:gridSpan w:val="7"/>
            <w:vAlign w:val="center"/>
          </w:tcPr>
          <w:p>
            <w:pPr>
              <w:adjustRightInd w:val="0"/>
              <w:snapToGrid w:val="0"/>
              <w:jc w:val="center"/>
              <w:rPr>
                <w:color w:val="auto"/>
                <w:kern w:val="21"/>
                <w:lang w:bidi="ar"/>
              </w:rPr>
            </w:pPr>
            <w:r>
              <w:rPr>
                <w:color w:val="auto"/>
                <w:kern w:val="21"/>
                <w:lang w:bidi="ar"/>
              </w:rPr>
              <w:t>总计</w:t>
            </w:r>
          </w:p>
        </w:tc>
        <w:tc>
          <w:tcPr>
            <w:tcW w:w="392" w:type="pct"/>
            <w:vAlign w:val="center"/>
          </w:tcPr>
          <w:p>
            <w:pPr>
              <w:adjustRightInd w:val="0"/>
              <w:snapToGrid w:val="0"/>
              <w:jc w:val="center"/>
              <w:rPr>
                <w:bCs/>
                <w:color w:val="auto"/>
                <w:kern w:val="21"/>
                <w:lang w:bidi="ar"/>
              </w:rPr>
            </w:pPr>
            <w:r>
              <w:rPr>
                <w:rFonts w:hint="eastAsia"/>
                <w:bCs/>
                <w:color w:val="auto"/>
                <w:kern w:val="21"/>
                <w:lang w:bidi="ar"/>
              </w:rPr>
              <w:t>/</w:t>
            </w:r>
          </w:p>
        </w:tc>
        <w:tc>
          <w:tcPr>
            <w:tcW w:w="360" w:type="pct"/>
            <w:vAlign w:val="center"/>
          </w:tcPr>
          <w:p>
            <w:pPr>
              <w:adjustRightInd w:val="0"/>
              <w:snapToGrid w:val="0"/>
              <w:jc w:val="center"/>
              <w:rPr>
                <w:bCs/>
                <w:color w:val="auto"/>
                <w:kern w:val="21"/>
                <w:lang w:bidi="ar"/>
              </w:rPr>
            </w:pPr>
            <w:r>
              <w:rPr>
                <w:rFonts w:hint="eastAsia"/>
                <w:bCs/>
                <w:color w:val="auto"/>
                <w:kern w:val="21"/>
                <w:lang w:bidi="ar"/>
              </w:rPr>
              <w:t>108.134</w:t>
            </w:r>
          </w:p>
        </w:tc>
        <w:tc>
          <w:tcPr>
            <w:tcW w:w="444" w:type="pct"/>
            <w:vAlign w:val="center"/>
          </w:tcPr>
          <w:p>
            <w:pPr>
              <w:adjustRightInd w:val="0"/>
              <w:snapToGrid w:val="0"/>
              <w:jc w:val="center"/>
              <w:rPr>
                <w:bCs/>
                <w:color w:val="auto"/>
                <w:kern w:val="21"/>
                <w:lang w:bidi="ar"/>
              </w:rPr>
            </w:pPr>
            <w:r>
              <w:rPr>
                <w:rFonts w:hint="eastAsia"/>
                <w:bCs/>
                <w:color w:val="auto"/>
                <w:kern w:val="21"/>
                <w:lang w:bidi="ar"/>
              </w:rPr>
              <w:t>/</w:t>
            </w:r>
          </w:p>
        </w:tc>
        <w:tc>
          <w:tcPr>
            <w:tcW w:w="334" w:type="pct"/>
            <w:vAlign w:val="center"/>
          </w:tcPr>
          <w:p>
            <w:pPr>
              <w:adjustRightInd w:val="0"/>
              <w:snapToGrid w:val="0"/>
              <w:jc w:val="center"/>
              <w:rPr>
                <w:rFonts w:hint="default" w:eastAsia="宋体"/>
                <w:bCs/>
                <w:color w:val="auto"/>
                <w:kern w:val="21"/>
                <w:lang w:val="en-US" w:eastAsia="zh-CN" w:bidi="ar"/>
              </w:rPr>
            </w:pPr>
            <w:r>
              <w:rPr>
                <w:rFonts w:hint="eastAsia"/>
                <w:bCs/>
                <w:color w:val="auto"/>
                <w:kern w:val="21"/>
                <w:lang w:bidi="ar"/>
              </w:rPr>
              <w:t>97.32</w:t>
            </w:r>
            <w:r>
              <w:rPr>
                <w:rFonts w:hint="eastAsia"/>
                <w:bCs/>
                <w:color w:val="auto"/>
                <w:kern w:val="21"/>
                <w:lang w:val="en-US" w:eastAsia="zh-CN" w:bidi="ar"/>
              </w:rPr>
              <w:t>06</w:t>
            </w:r>
          </w:p>
        </w:tc>
        <w:tc>
          <w:tcPr>
            <w:tcW w:w="284" w:type="pct"/>
            <w:vAlign w:val="center"/>
          </w:tcPr>
          <w:p>
            <w:pPr>
              <w:adjustRightInd w:val="0"/>
              <w:snapToGrid w:val="0"/>
              <w:jc w:val="center"/>
              <w:rPr>
                <w:bCs/>
                <w:color w:val="auto"/>
                <w:kern w:val="21"/>
                <w:lang w:bidi="ar"/>
              </w:rPr>
            </w:pPr>
            <w:r>
              <w:rPr>
                <w:rFonts w:hint="eastAsia"/>
                <w:bCs/>
                <w:color w:val="auto"/>
                <w:kern w:val="21"/>
                <w:lang w:bidi="ar"/>
              </w:rPr>
              <w:t>/</w:t>
            </w:r>
          </w:p>
        </w:tc>
        <w:tc>
          <w:tcPr>
            <w:tcW w:w="405" w:type="pct"/>
            <w:vAlign w:val="center"/>
          </w:tcPr>
          <w:p>
            <w:pPr>
              <w:adjustRightInd w:val="0"/>
              <w:snapToGrid w:val="0"/>
              <w:jc w:val="center"/>
              <w:rPr>
                <w:bCs/>
                <w:color w:val="auto"/>
                <w:kern w:val="21"/>
                <w:lang w:bidi="ar"/>
              </w:rPr>
            </w:pPr>
            <w:r>
              <w:rPr>
                <w:rFonts w:hint="eastAsia"/>
                <w:bCs/>
                <w:color w:val="auto"/>
                <w:kern w:val="21"/>
                <w:lang w:bidi="ar"/>
              </w:rPr>
              <w:t>/</w:t>
            </w:r>
          </w:p>
        </w:tc>
      </w:tr>
    </w:tbl>
    <w:p>
      <w:pPr>
        <w:pStyle w:val="32"/>
        <w:adjustRightInd w:val="0"/>
        <w:snapToGrid w:val="0"/>
        <w:spacing w:after="0" w:line="360" w:lineRule="auto"/>
        <w:rPr>
          <w:color w:val="auto"/>
          <w:kern w:val="21"/>
          <w:sz w:val="24"/>
          <w:u w:val="single"/>
          <w:lang w:val="en-US"/>
        </w:rPr>
        <w:sectPr>
          <w:pgSz w:w="16840" w:h="11907" w:orient="landscape"/>
          <w:pgMar w:top="1800" w:right="1440" w:bottom="1800" w:left="1440" w:header="1134" w:footer="1029" w:gutter="0"/>
          <w:cols w:space="720" w:num="1"/>
          <w:docGrid w:linePitch="286" w:charSpace="0"/>
        </w:sectPr>
      </w:pP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3、地面废水</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本项目车间地面保洁用水采用自来水，清洗用拖把拖洗，</w:t>
      </w:r>
      <w:r>
        <w:rPr>
          <w:color w:val="auto"/>
          <w:sz w:val="24"/>
        </w:rPr>
        <w:t>用水量按0.</w:t>
      </w:r>
      <w:r>
        <w:rPr>
          <w:rFonts w:hint="eastAsia"/>
          <w:color w:val="auto"/>
          <w:sz w:val="24"/>
        </w:rPr>
        <w:t>1</w:t>
      </w:r>
      <w:r>
        <w:rPr>
          <w:color w:val="auto"/>
          <w:sz w:val="24"/>
        </w:rPr>
        <w:t>L/m</w:t>
      </w:r>
      <w:r>
        <w:rPr>
          <w:color w:val="auto"/>
          <w:sz w:val="24"/>
          <w:vertAlign w:val="superscript"/>
        </w:rPr>
        <w:t>2</w:t>
      </w:r>
      <w:r>
        <w:rPr>
          <w:color w:val="auto"/>
          <w:sz w:val="24"/>
        </w:rPr>
        <w:t>·次计，需清洗面积约为</w:t>
      </w:r>
      <w:r>
        <w:rPr>
          <w:rFonts w:hint="eastAsia"/>
          <w:color w:val="auto"/>
          <w:sz w:val="24"/>
        </w:rPr>
        <w:t>11000m</w:t>
      </w:r>
      <w:r>
        <w:rPr>
          <w:rFonts w:hint="eastAsia"/>
          <w:color w:val="auto"/>
          <w:sz w:val="24"/>
          <w:vertAlign w:val="superscript"/>
        </w:rPr>
        <w:t>2</w:t>
      </w:r>
      <w:r>
        <w:rPr>
          <w:rFonts w:hint="eastAsia"/>
          <w:color w:val="auto"/>
          <w:sz w:val="24"/>
        </w:rPr>
        <w:t>，每日清洗一次，</w:t>
      </w:r>
      <w:r>
        <w:rPr>
          <w:color w:val="auto"/>
          <w:kern w:val="21"/>
          <w:sz w:val="24"/>
          <w:lang w:val="en-US"/>
        </w:rPr>
        <w:t>废水排放量按用水量的90%计，则清洗用水量为</w:t>
      </w:r>
      <w:r>
        <w:rPr>
          <w:rFonts w:hint="eastAsia"/>
          <w:color w:val="auto"/>
          <w:kern w:val="21"/>
          <w:sz w:val="24"/>
          <w:lang w:val="en-US"/>
        </w:rPr>
        <w:t>1.1t/d，</w:t>
      </w:r>
      <w:r>
        <w:rPr>
          <w:color w:val="auto"/>
          <w:kern w:val="21"/>
          <w:sz w:val="24"/>
          <w:lang w:val="en-US"/>
        </w:rPr>
        <w:t>废水排放量为</w:t>
      </w:r>
      <w:r>
        <w:rPr>
          <w:rFonts w:hint="eastAsia"/>
          <w:color w:val="auto"/>
          <w:kern w:val="21"/>
          <w:sz w:val="24"/>
          <w:lang w:val="en-US"/>
        </w:rPr>
        <w:t>0.99</w:t>
      </w:r>
      <w:r>
        <w:rPr>
          <w:color w:val="auto"/>
          <w:kern w:val="21"/>
          <w:sz w:val="24"/>
          <w:lang w:val="en-US"/>
        </w:rPr>
        <w:t>t/d。</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项目产生的地面废水经</w:t>
      </w:r>
      <w:r>
        <w:rPr>
          <w:rFonts w:hint="eastAsia"/>
          <w:color w:val="auto"/>
          <w:kern w:val="21"/>
          <w:sz w:val="24"/>
          <w:lang w:val="en-US" w:eastAsia="zh-CN"/>
        </w:rPr>
        <w:t>“</w:t>
      </w:r>
      <w:r>
        <w:rPr>
          <w:rFonts w:hint="eastAsia"/>
          <w:color w:val="auto"/>
          <w:sz w:val="24"/>
        </w:rPr>
        <w:t>氧化→pH调节→混凝沉淀→还原→混凝沉淀→回调→多介质过滤</w:t>
      </w:r>
      <w:r>
        <w:rPr>
          <w:rFonts w:hint="eastAsia"/>
          <w:color w:val="auto"/>
          <w:sz w:val="24"/>
          <w:lang w:eastAsia="zh-CN"/>
        </w:rPr>
        <w:t>”</w:t>
      </w:r>
      <w:r>
        <w:rPr>
          <w:rFonts w:hint="eastAsia"/>
          <w:color w:val="auto"/>
          <w:sz w:val="24"/>
        </w:rPr>
        <w:t>工艺进行预处理</w:t>
      </w:r>
      <w:r>
        <w:rPr>
          <w:rFonts w:hint="eastAsia"/>
          <w:color w:val="auto"/>
          <w:kern w:val="21"/>
          <w:sz w:val="24"/>
          <w:lang w:val="en-US"/>
        </w:rPr>
        <w:t>，预处理后进入零排放处理系统</w:t>
      </w:r>
      <w:r>
        <w:rPr>
          <w:rFonts w:hint="eastAsia"/>
          <w:color w:val="auto"/>
          <w:kern w:val="21"/>
          <w:sz w:val="24"/>
          <w:lang w:val="en-US"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lang w:val="en-US"/>
        </w:rPr>
        <w:t>处理，</w:t>
      </w:r>
      <w:r>
        <w:rPr>
          <w:rFonts w:hint="eastAsia"/>
          <w:color w:val="auto"/>
          <w:kern w:val="21"/>
          <w:sz w:val="24"/>
          <w:lang w:val="en-US" w:eastAsia="zh-CN"/>
        </w:rPr>
        <w:t>深度处理后</w:t>
      </w:r>
      <w:r>
        <w:rPr>
          <w:rFonts w:hint="eastAsia"/>
          <w:color w:val="auto"/>
          <w:kern w:val="21"/>
          <w:sz w:val="24"/>
          <w:lang w:val="en-US"/>
        </w:rPr>
        <w:t>全部回用</w:t>
      </w:r>
      <w:r>
        <w:rPr>
          <w:rFonts w:hint="eastAsia"/>
          <w:color w:val="auto"/>
          <w:kern w:val="21"/>
          <w:sz w:val="24"/>
          <w:lang w:val="en-US" w:eastAsia="zh-CN"/>
        </w:rPr>
        <w:t>于生产线</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4、含镍废水</w:t>
      </w:r>
    </w:p>
    <w:p>
      <w:pPr>
        <w:pStyle w:val="32"/>
        <w:adjustRightInd w:val="0"/>
        <w:snapToGrid w:val="0"/>
        <w:spacing w:after="0" w:line="360" w:lineRule="auto"/>
        <w:ind w:firstLine="482" w:firstLineChars="200"/>
        <w:rPr>
          <w:color w:val="auto"/>
          <w:kern w:val="21"/>
          <w:sz w:val="24"/>
          <w:lang w:val="en-US"/>
        </w:rPr>
      </w:pPr>
      <w:r>
        <w:rPr>
          <w:rFonts w:hint="eastAsia"/>
          <w:b/>
          <w:color w:val="auto"/>
          <w:kern w:val="21"/>
          <w:sz w:val="24"/>
          <w:u w:val="single"/>
          <w:lang w:val="en-US"/>
        </w:rPr>
        <w:t>镀镍槽液日常生产过程循环过滤使用不排放，平均每5年更换一次</w:t>
      </w:r>
      <w:r>
        <w:rPr>
          <w:rFonts w:hint="eastAsia"/>
          <w:b/>
          <w:color w:val="auto"/>
          <w:kern w:val="21"/>
          <w:sz w:val="24"/>
          <w:u w:val="single"/>
          <w:lang w:val="en-US" w:eastAsia="zh-CN"/>
        </w:rPr>
        <w:t>，由于更换周期比较长，浓度比较高作为危险废物进行处置，废水环节不再分析，故</w:t>
      </w:r>
      <w:r>
        <w:rPr>
          <w:rFonts w:hint="eastAsia"/>
          <w:color w:val="auto"/>
          <w:kern w:val="21"/>
          <w:sz w:val="24"/>
          <w:lang w:val="en-US"/>
        </w:rPr>
        <w:t>含镍废水主要为电镀线</w:t>
      </w:r>
      <w:r>
        <w:rPr>
          <w:color w:val="auto"/>
          <w:kern w:val="21"/>
          <w:sz w:val="24"/>
          <w:lang w:val="en-US"/>
        </w:rPr>
        <w:t>镀镍后水洗废水、漂白槽液、漂白后水洗废水、含镍废水预处理系统反冲洗水</w:t>
      </w:r>
      <w:r>
        <w:rPr>
          <w:rFonts w:hint="eastAsia"/>
          <w:color w:val="auto"/>
          <w:kern w:val="21"/>
          <w:sz w:val="24"/>
          <w:lang w:val="en-US"/>
        </w:rPr>
        <w:t>（过滤器反冲洗）</w:t>
      </w:r>
      <w:r>
        <w:rPr>
          <w:color w:val="auto"/>
          <w:kern w:val="21"/>
          <w:sz w:val="24"/>
          <w:lang w:val="en-US"/>
        </w:rPr>
        <w:t>。</w:t>
      </w:r>
      <w:r>
        <w:rPr>
          <w:rFonts w:hint="eastAsia"/>
          <w:color w:val="auto"/>
          <w:kern w:val="21"/>
          <w:sz w:val="24"/>
          <w:lang w:val="en-US"/>
        </w:rPr>
        <w:t>镀镍槽</w:t>
      </w:r>
      <w:r>
        <w:rPr>
          <w:color w:val="auto"/>
          <w:kern w:val="21"/>
          <w:sz w:val="24"/>
          <w:lang w:val="en-US"/>
        </w:rPr>
        <w:t>的槽液</w:t>
      </w:r>
      <w:r>
        <w:rPr>
          <w:rFonts w:hint="eastAsia"/>
          <w:color w:val="auto"/>
          <w:kern w:val="21"/>
          <w:sz w:val="24"/>
          <w:lang w:val="en-US"/>
        </w:rPr>
        <w:t>在</w:t>
      </w:r>
      <w:r>
        <w:rPr>
          <w:color w:val="auto"/>
          <w:kern w:val="21"/>
          <w:sz w:val="24"/>
          <w:lang w:val="en-US"/>
        </w:rPr>
        <w:t>使用期间一直经过滤机过滤，过滤后的</w:t>
      </w:r>
      <w:r>
        <w:rPr>
          <w:rFonts w:hint="eastAsia"/>
          <w:color w:val="auto"/>
          <w:kern w:val="21"/>
          <w:sz w:val="24"/>
          <w:lang w:val="en-US"/>
        </w:rPr>
        <w:t>浓液</w:t>
      </w:r>
      <w:r>
        <w:rPr>
          <w:color w:val="auto"/>
          <w:kern w:val="21"/>
          <w:sz w:val="24"/>
          <w:lang w:val="en-US"/>
        </w:rPr>
        <w:t>回用</w:t>
      </w:r>
      <w:r>
        <w:rPr>
          <w:color w:val="auto"/>
          <w:kern w:val="21"/>
          <w:sz w:val="24"/>
        </w:rPr>
        <w:t>，</w:t>
      </w:r>
      <w:r>
        <w:rPr>
          <w:color w:val="auto"/>
          <w:kern w:val="21"/>
          <w:sz w:val="24"/>
          <w:lang w:val="en-US"/>
        </w:rPr>
        <w:t>滤渣交有资质单位</w:t>
      </w:r>
      <w:r>
        <w:rPr>
          <w:rFonts w:hint="eastAsia"/>
          <w:color w:val="auto"/>
          <w:kern w:val="21"/>
          <w:sz w:val="24"/>
          <w:lang w:val="en-US" w:eastAsia="zh-CN"/>
        </w:rPr>
        <w:t>处置</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项目产生的含镍废水经</w:t>
      </w:r>
      <w:r>
        <w:rPr>
          <w:rFonts w:hint="eastAsia"/>
          <w:color w:val="auto"/>
          <w:kern w:val="21"/>
          <w:sz w:val="24"/>
          <w:lang w:val="en-US" w:eastAsia="zh-CN"/>
        </w:rPr>
        <w:t>“</w:t>
      </w:r>
      <w:r>
        <w:rPr>
          <w:rFonts w:hint="eastAsia"/>
          <w:color w:val="auto"/>
          <w:sz w:val="24"/>
        </w:rPr>
        <w:t>pH调节→混凝沉淀→回调→多介质过滤</w:t>
      </w:r>
      <w:r>
        <w:rPr>
          <w:rFonts w:hint="eastAsia"/>
          <w:color w:val="auto"/>
          <w:sz w:val="24"/>
          <w:lang w:eastAsia="zh-CN"/>
        </w:rPr>
        <w:t>”</w:t>
      </w:r>
      <w:r>
        <w:rPr>
          <w:rFonts w:hint="eastAsia"/>
          <w:color w:val="auto"/>
          <w:sz w:val="24"/>
        </w:rPr>
        <w:t>处理系统</w:t>
      </w:r>
      <w:r>
        <w:rPr>
          <w:rFonts w:hint="eastAsia"/>
          <w:color w:val="auto"/>
          <w:kern w:val="21"/>
          <w:sz w:val="24"/>
          <w:lang w:val="en-US"/>
        </w:rPr>
        <w:t>进行预处理，预处理后进入零排放处理系统</w:t>
      </w:r>
      <w:r>
        <w:rPr>
          <w:rFonts w:hint="eastAsia"/>
          <w:color w:val="auto"/>
          <w:kern w:val="21"/>
          <w:sz w:val="24"/>
          <w:lang w:val="en-US"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lang w:val="en-US"/>
        </w:rPr>
        <w:t>处理，</w:t>
      </w:r>
      <w:r>
        <w:rPr>
          <w:rFonts w:hint="eastAsia"/>
          <w:color w:val="auto"/>
          <w:kern w:val="21"/>
          <w:sz w:val="24"/>
          <w:lang w:val="en-US" w:eastAsia="zh-CN"/>
        </w:rPr>
        <w:t>深度</w:t>
      </w:r>
      <w:r>
        <w:rPr>
          <w:rFonts w:hint="eastAsia"/>
          <w:color w:val="auto"/>
          <w:kern w:val="21"/>
          <w:sz w:val="24"/>
          <w:lang w:val="en-US"/>
        </w:rPr>
        <w:t>处理后全部回用</w:t>
      </w:r>
      <w:r>
        <w:rPr>
          <w:rFonts w:hint="eastAsia"/>
          <w:color w:val="auto"/>
          <w:kern w:val="21"/>
          <w:sz w:val="24"/>
          <w:lang w:val="en-US" w:eastAsia="zh-CN"/>
        </w:rPr>
        <w:t>于生产线</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u w:val="single"/>
          <w:lang w:val="en-US"/>
        </w:rPr>
      </w:pPr>
      <w:r>
        <w:rPr>
          <w:color w:val="auto"/>
          <w:kern w:val="21"/>
          <w:sz w:val="24"/>
          <w:lang w:val="en-US"/>
        </w:rPr>
        <w:t>根据《污染源源强核算技术指南 电镀》（HJ984-2018），本项目含镍废水水量采用物料衡算法确定。</w:t>
      </w:r>
      <w:r>
        <w:rPr>
          <w:rFonts w:hint="eastAsia"/>
          <w:color w:val="auto"/>
          <w:kern w:val="21"/>
          <w:sz w:val="24"/>
          <w:lang w:val="en-US"/>
        </w:rPr>
        <w:t>每条线用排水情况见下表。</w:t>
      </w:r>
    </w:p>
    <w:p>
      <w:pPr>
        <w:pStyle w:val="32"/>
        <w:adjustRightInd w:val="0"/>
        <w:snapToGrid w:val="0"/>
        <w:spacing w:after="0" w:line="360" w:lineRule="auto"/>
        <w:ind w:firstLine="480"/>
        <w:rPr>
          <w:color w:val="auto"/>
          <w:kern w:val="21"/>
          <w:sz w:val="24"/>
        </w:rPr>
        <w:sectPr>
          <w:pgSz w:w="11907" w:h="16840"/>
          <w:pgMar w:top="1440" w:right="1800" w:bottom="1440" w:left="1800" w:header="1134" w:footer="1029" w:gutter="0"/>
          <w:cols w:space="720" w:num="1"/>
        </w:sectPr>
      </w:pPr>
    </w:p>
    <w:p>
      <w:pPr>
        <w:adjustRightInd w:val="0"/>
        <w:snapToGrid w:val="0"/>
        <w:jc w:val="center"/>
        <w:rPr>
          <w:rFonts w:eastAsia="黑体"/>
          <w:color w:val="auto"/>
          <w:kern w:val="21"/>
          <w:sz w:val="24"/>
          <w:szCs w:val="24"/>
        </w:rPr>
      </w:pPr>
      <w:r>
        <w:rPr>
          <w:rFonts w:eastAsia="黑体"/>
          <w:bCs/>
          <w:color w:val="auto"/>
          <w:kern w:val="21"/>
          <w:sz w:val="24"/>
          <w:szCs w:val="24"/>
        </w:rPr>
        <w:t>表</w:t>
      </w:r>
      <w:r>
        <w:rPr>
          <w:rFonts w:hint="eastAsia" w:eastAsia="黑体"/>
          <w:bCs/>
          <w:color w:val="auto"/>
          <w:kern w:val="21"/>
          <w:sz w:val="24"/>
          <w:szCs w:val="24"/>
        </w:rPr>
        <w:t>3.4-9</w:t>
      </w:r>
      <w:r>
        <w:rPr>
          <w:rFonts w:eastAsia="黑体"/>
          <w:bCs/>
          <w:color w:val="auto"/>
          <w:kern w:val="21"/>
          <w:sz w:val="24"/>
          <w:szCs w:val="24"/>
        </w:rPr>
        <w:t xml:space="preserve">   含镍</w:t>
      </w:r>
      <w:r>
        <w:rPr>
          <w:rFonts w:hint="eastAsia" w:eastAsia="黑体"/>
          <w:color w:val="auto"/>
          <w:kern w:val="21"/>
          <w:sz w:val="24"/>
          <w:szCs w:val="24"/>
        </w:rPr>
        <w:t>废水污染源源强核算结果及相关参数一览表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3"/>
        <w:gridCol w:w="1035"/>
        <w:gridCol w:w="850"/>
        <w:gridCol w:w="1500"/>
        <w:gridCol w:w="1440"/>
        <w:gridCol w:w="995"/>
        <w:gridCol w:w="1457"/>
        <w:gridCol w:w="848"/>
        <w:gridCol w:w="1060"/>
        <w:gridCol w:w="967"/>
        <w:gridCol w:w="1086"/>
        <w:gridCol w:w="817"/>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restart"/>
            <w:vAlign w:val="center"/>
          </w:tcPr>
          <w:p>
            <w:pPr>
              <w:adjustRightInd w:val="0"/>
              <w:snapToGrid w:val="0"/>
              <w:jc w:val="center"/>
              <w:rPr>
                <w:b/>
                <w:bCs w:val="0"/>
                <w:color w:val="auto"/>
                <w:kern w:val="21"/>
                <w:lang w:bidi="ar"/>
              </w:rPr>
            </w:pPr>
            <w:r>
              <w:rPr>
                <w:b/>
                <w:bCs w:val="0"/>
                <w:color w:val="auto"/>
                <w:kern w:val="21"/>
                <w:lang w:bidi="ar"/>
              </w:rPr>
              <w:t>生产线名称</w:t>
            </w:r>
          </w:p>
        </w:tc>
        <w:tc>
          <w:tcPr>
            <w:tcW w:w="365" w:type="pct"/>
            <w:vMerge w:val="restart"/>
            <w:vAlign w:val="center"/>
          </w:tcPr>
          <w:p>
            <w:pPr>
              <w:adjustRightInd w:val="0"/>
              <w:snapToGrid w:val="0"/>
              <w:jc w:val="center"/>
              <w:rPr>
                <w:b/>
                <w:bCs w:val="0"/>
                <w:color w:val="auto"/>
                <w:kern w:val="21"/>
                <w:lang w:bidi="ar"/>
              </w:rPr>
            </w:pPr>
            <w:r>
              <w:rPr>
                <w:b/>
                <w:bCs w:val="0"/>
                <w:color w:val="auto"/>
                <w:kern w:val="21"/>
                <w:lang w:bidi="ar"/>
              </w:rPr>
              <w:t>槽体</w:t>
            </w:r>
          </w:p>
          <w:p>
            <w:pPr>
              <w:adjustRightInd w:val="0"/>
              <w:snapToGrid w:val="0"/>
              <w:jc w:val="center"/>
              <w:rPr>
                <w:b/>
                <w:bCs w:val="0"/>
                <w:color w:val="auto"/>
                <w:kern w:val="21"/>
                <w:lang w:bidi="ar"/>
              </w:rPr>
            </w:pPr>
            <w:r>
              <w:rPr>
                <w:b/>
                <w:bCs w:val="0"/>
                <w:color w:val="auto"/>
                <w:kern w:val="21"/>
                <w:lang w:bidi="ar"/>
              </w:rPr>
              <w:t>名称</w:t>
            </w:r>
          </w:p>
        </w:tc>
        <w:tc>
          <w:tcPr>
            <w:tcW w:w="299" w:type="pct"/>
            <w:vMerge w:val="restart"/>
            <w:vAlign w:val="center"/>
          </w:tcPr>
          <w:p>
            <w:pPr>
              <w:adjustRightInd w:val="0"/>
              <w:snapToGrid w:val="0"/>
              <w:jc w:val="center"/>
              <w:rPr>
                <w:b/>
                <w:bCs w:val="0"/>
                <w:color w:val="auto"/>
                <w:kern w:val="21"/>
                <w:lang w:bidi="ar"/>
              </w:rPr>
            </w:pPr>
            <w:r>
              <w:rPr>
                <w:b/>
                <w:bCs w:val="0"/>
                <w:color w:val="auto"/>
                <w:kern w:val="21"/>
                <w:lang w:bidi="ar"/>
              </w:rPr>
              <w:t>单</w:t>
            </w:r>
            <w:r>
              <w:rPr>
                <w:rFonts w:hint="eastAsia"/>
                <w:b/>
                <w:bCs w:val="0"/>
                <w:color w:val="auto"/>
                <w:kern w:val="21"/>
                <w:lang w:val="en-US" w:eastAsia="zh-CN" w:bidi="ar"/>
              </w:rPr>
              <w:t>条</w:t>
            </w:r>
            <w:r>
              <w:rPr>
                <w:b/>
                <w:bCs w:val="0"/>
                <w:color w:val="auto"/>
                <w:kern w:val="21"/>
                <w:lang w:bidi="ar"/>
              </w:rPr>
              <w:t>线数量（个）</w:t>
            </w:r>
          </w:p>
        </w:tc>
        <w:tc>
          <w:tcPr>
            <w:tcW w:w="529" w:type="pct"/>
            <w:vMerge w:val="restart"/>
            <w:vAlign w:val="center"/>
          </w:tcPr>
          <w:p>
            <w:pPr>
              <w:adjustRightInd w:val="0"/>
              <w:snapToGrid w:val="0"/>
              <w:jc w:val="center"/>
              <w:rPr>
                <w:b/>
                <w:bCs w:val="0"/>
                <w:color w:val="auto"/>
                <w:kern w:val="21"/>
                <w:lang w:bidi="ar"/>
              </w:rPr>
            </w:pPr>
            <w:r>
              <w:rPr>
                <w:b/>
                <w:bCs w:val="0"/>
                <w:color w:val="auto"/>
                <w:kern w:val="21"/>
                <w:lang w:bidi="ar"/>
              </w:rPr>
              <w:t>尺寸（m）</w:t>
            </w:r>
          </w:p>
          <w:p>
            <w:pPr>
              <w:adjustRightInd w:val="0"/>
              <w:snapToGrid w:val="0"/>
              <w:jc w:val="center"/>
              <w:rPr>
                <w:b/>
                <w:bCs w:val="0"/>
                <w:color w:val="auto"/>
                <w:kern w:val="21"/>
                <w:lang w:bidi="ar"/>
              </w:rPr>
            </w:pPr>
            <w:r>
              <w:rPr>
                <w:b/>
                <w:bCs w:val="0"/>
                <w:color w:val="auto"/>
                <w:kern w:val="21"/>
                <w:lang w:bidi="ar"/>
              </w:rPr>
              <w:t>长×宽×高</w:t>
            </w:r>
          </w:p>
        </w:tc>
        <w:tc>
          <w:tcPr>
            <w:tcW w:w="507" w:type="pct"/>
            <w:vMerge w:val="restart"/>
            <w:vAlign w:val="center"/>
          </w:tcPr>
          <w:p>
            <w:pPr>
              <w:adjustRightInd w:val="0"/>
              <w:snapToGrid w:val="0"/>
              <w:jc w:val="center"/>
              <w:rPr>
                <w:b/>
                <w:bCs w:val="0"/>
                <w:color w:val="auto"/>
                <w:kern w:val="21"/>
                <w:lang w:bidi="ar"/>
              </w:rPr>
            </w:pPr>
            <w:r>
              <w:rPr>
                <w:b/>
                <w:bCs w:val="0"/>
                <w:color w:val="auto"/>
                <w:kern w:val="21"/>
                <w:lang w:bidi="ar"/>
              </w:rPr>
              <w:t xml:space="preserve">溶液总容积 </w:t>
            </w:r>
          </w:p>
          <w:p>
            <w:pPr>
              <w:adjustRightInd w:val="0"/>
              <w:snapToGrid w:val="0"/>
              <w:jc w:val="center"/>
              <w:rPr>
                <w:b/>
                <w:bCs w:val="0"/>
                <w:color w:val="auto"/>
                <w:kern w:val="21"/>
                <w:lang w:bidi="ar"/>
              </w:rPr>
            </w:pPr>
            <w:r>
              <w:rPr>
                <w:b/>
                <w:bCs w:val="0"/>
                <w:color w:val="auto"/>
                <w:kern w:val="21"/>
                <w:lang w:bidi="ar"/>
              </w:rPr>
              <w:t>（m</w:t>
            </w:r>
            <w:r>
              <w:rPr>
                <w:b/>
                <w:bCs w:val="0"/>
                <w:color w:val="auto"/>
                <w:kern w:val="21"/>
                <w:vertAlign w:val="superscript"/>
                <w:lang w:bidi="ar"/>
              </w:rPr>
              <w:t>3</w:t>
            </w:r>
            <w:r>
              <w:rPr>
                <w:b/>
                <w:bCs w:val="0"/>
                <w:color w:val="auto"/>
                <w:kern w:val="21"/>
                <w:lang w:bidi="ar"/>
              </w:rPr>
              <w:t>）</w:t>
            </w:r>
          </w:p>
        </w:tc>
        <w:tc>
          <w:tcPr>
            <w:tcW w:w="350" w:type="pct"/>
            <w:vMerge w:val="restart"/>
            <w:vAlign w:val="center"/>
          </w:tcPr>
          <w:p>
            <w:pPr>
              <w:adjustRightInd w:val="0"/>
              <w:snapToGrid w:val="0"/>
              <w:jc w:val="center"/>
              <w:rPr>
                <w:b/>
                <w:bCs w:val="0"/>
                <w:color w:val="auto"/>
                <w:kern w:val="21"/>
                <w:lang w:bidi="ar"/>
              </w:rPr>
            </w:pPr>
            <w:r>
              <w:rPr>
                <w:b/>
                <w:bCs w:val="0"/>
                <w:color w:val="auto"/>
                <w:kern w:val="21"/>
                <w:lang w:bidi="ar"/>
              </w:rPr>
              <w:t>工作时间h/d</w:t>
            </w:r>
          </w:p>
        </w:tc>
        <w:tc>
          <w:tcPr>
            <w:tcW w:w="513" w:type="pct"/>
            <w:vMerge w:val="restart"/>
            <w:vAlign w:val="center"/>
          </w:tcPr>
          <w:p>
            <w:pPr>
              <w:adjustRightInd w:val="0"/>
              <w:snapToGrid w:val="0"/>
              <w:jc w:val="center"/>
              <w:rPr>
                <w:b/>
                <w:bCs w:val="0"/>
                <w:color w:val="auto"/>
                <w:kern w:val="21"/>
                <w:lang w:bidi="ar"/>
              </w:rPr>
            </w:pPr>
            <w:r>
              <w:rPr>
                <w:b/>
                <w:bCs w:val="0"/>
                <w:color w:val="auto"/>
                <w:kern w:val="21"/>
                <w:lang w:bidi="ar"/>
              </w:rPr>
              <w:t>排放方式</w:t>
            </w:r>
          </w:p>
        </w:tc>
        <w:tc>
          <w:tcPr>
            <w:tcW w:w="299" w:type="pct"/>
            <w:vMerge w:val="restart"/>
            <w:vAlign w:val="center"/>
          </w:tcPr>
          <w:p>
            <w:pPr>
              <w:adjustRightInd w:val="0"/>
              <w:snapToGrid w:val="0"/>
              <w:jc w:val="center"/>
              <w:rPr>
                <w:b/>
                <w:bCs w:val="0"/>
                <w:color w:val="auto"/>
                <w:kern w:val="21"/>
                <w:lang w:bidi="ar"/>
              </w:rPr>
            </w:pPr>
            <w:r>
              <w:rPr>
                <w:b/>
                <w:bCs w:val="0"/>
                <w:color w:val="auto"/>
                <w:kern w:val="21"/>
                <w:lang w:bidi="ar"/>
              </w:rPr>
              <w:t>溢流速度</w:t>
            </w:r>
          </w:p>
          <w:p>
            <w:pPr>
              <w:adjustRightInd w:val="0"/>
              <w:snapToGrid w:val="0"/>
              <w:jc w:val="center"/>
              <w:rPr>
                <w:b/>
                <w:bCs w:val="0"/>
                <w:color w:val="auto"/>
                <w:kern w:val="21"/>
                <w:lang w:bidi="ar"/>
              </w:rPr>
            </w:pPr>
            <w:r>
              <w:rPr>
                <w:b/>
                <w:bCs w:val="0"/>
                <w:color w:val="auto"/>
                <w:kern w:val="21"/>
                <w:lang w:bidi="ar"/>
              </w:rPr>
              <w:t>L/h</w:t>
            </w:r>
          </w:p>
        </w:tc>
        <w:tc>
          <w:tcPr>
            <w:tcW w:w="714" w:type="pct"/>
            <w:gridSpan w:val="2"/>
            <w:vAlign w:val="center"/>
          </w:tcPr>
          <w:p>
            <w:pPr>
              <w:adjustRightInd w:val="0"/>
              <w:snapToGrid w:val="0"/>
              <w:jc w:val="center"/>
              <w:rPr>
                <w:b/>
                <w:bCs w:val="0"/>
                <w:color w:val="auto"/>
                <w:kern w:val="21"/>
                <w:lang w:bidi="ar"/>
              </w:rPr>
            </w:pPr>
            <w:r>
              <w:rPr>
                <w:b/>
                <w:bCs w:val="0"/>
                <w:color w:val="auto"/>
                <w:kern w:val="21"/>
                <w:lang w:bidi="ar"/>
              </w:rPr>
              <w:t>用水（m</w:t>
            </w:r>
            <w:r>
              <w:rPr>
                <w:b/>
                <w:bCs w:val="0"/>
                <w:color w:val="auto"/>
                <w:kern w:val="21"/>
                <w:vertAlign w:val="superscript"/>
                <w:lang w:bidi="ar"/>
              </w:rPr>
              <w:t>3</w:t>
            </w:r>
            <w:r>
              <w:rPr>
                <w:b/>
                <w:bCs w:val="0"/>
                <w:color w:val="auto"/>
                <w:kern w:val="21"/>
                <w:lang w:bidi="ar"/>
              </w:rPr>
              <w:t>/d）</w:t>
            </w:r>
          </w:p>
        </w:tc>
        <w:tc>
          <w:tcPr>
            <w:tcW w:w="1083" w:type="pct"/>
            <w:gridSpan w:val="3"/>
            <w:vAlign w:val="center"/>
          </w:tcPr>
          <w:p>
            <w:pPr>
              <w:adjustRightInd w:val="0"/>
              <w:snapToGrid w:val="0"/>
              <w:jc w:val="center"/>
              <w:rPr>
                <w:b/>
                <w:bCs w:val="0"/>
                <w:color w:val="auto"/>
                <w:kern w:val="21"/>
                <w:lang w:bidi="ar"/>
              </w:rPr>
            </w:pPr>
            <w:r>
              <w:rPr>
                <w:b/>
                <w:bCs w:val="0"/>
                <w:color w:val="auto"/>
                <w:kern w:val="21"/>
                <w:lang w:bidi="ar"/>
              </w:rPr>
              <w:t>废水（m</w:t>
            </w:r>
            <w:r>
              <w:rPr>
                <w:b/>
                <w:bCs w:val="0"/>
                <w:color w:val="auto"/>
                <w:kern w:val="21"/>
                <w:vertAlign w:val="superscript"/>
                <w:lang w:bidi="ar"/>
              </w:rPr>
              <w:t>3</w:t>
            </w:r>
            <w:r>
              <w:rPr>
                <w:b/>
                <w:bCs w:val="0"/>
                <w:color w:val="auto"/>
                <w:kern w:val="21"/>
                <w:lang w:bidi="ar"/>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36" w:type="pct"/>
            <w:vMerge w:val="continue"/>
            <w:vAlign w:val="center"/>
          </w:tcPr>
          <w:p>
            <w:pPr>
              <w:adjustRightInd w:val="0"/>
              <w:snapToGrid w:val="0"/>
              <w:jc w:val="center"/>
              <w:rPr>
                <w:b/>
                <w:bCs w:val="0"/>
                <w:color w:val="auto"/>
                <w:kern w:val="21"/>
                <w:lang w:bidi="ar"/>
              </w:rPr>
            </w:pPr>
          </w:p>
        </w:tc>
        <w:tc>
          <w:tcPr>
            <w:tcW w:w="365" w:type="pct"/>
            <w:vMerge w:val="continue"/>
            <w:vAlign w:val="center"/>
          </w:tcPr>
          <w:p>
            <w:pPr>
              <w:adjustRightInd w:val="0"/>
              <w:snapToGrid w:val="0"/>
              <w:jc w:val="center"/>
              <w:rPr>
                <w:b/>
                <w:bCs w:val="0"/>
                <w:color w:val="auto"/>
                <w:kern w:val="21"/>
                <w:lang w:bidi="ar"/>
              </w:rPr>
            </w:pPr>
          </w:p>
        </w:tc>
        <w:tc>
          <w:tcPr>
            <w:tcW w:w="299" w:type="pct"/>
            <w:vMerge w:val="continue"/>
            <w:vAlign w:val="center"/>
          </w:tcPr>
          <w:p>
            <w:pPr>
              <w:adjustRightInd w:val="0"/>
              <w:snapToGrid w:val="0"/>
              <w:jc w:val="center"/>
              <w:rPr>
                <w:b/>
                <w:bCs w:val="0"/>
                <w:color w:val="auto"/>
                <w:kern w:val="21"/>
                <w:lang w:bidi="ar"/>
              </w:rPr>
            </w:pPr>
          </w:p>
        </w:tc>
        <w:tc>
          <w:tcPr>
            <w:tcW w:w="529" w:type="pct"/>
            <w:vMerge w:val="continue"/>
            <w:vAlign w:val="center"/>
          </w:tcPr>
          <w:p>
            <w:pPr>
              <w:adjustRightInd w:val="0"/>
              <w:snapToGrid w:val="0"/>
              <w:jc w:val="center"/>
              <w:rPr>
                <w:b/>
                <w:bCs w:val="0"/>
                <w:color w:val="auto"/>
                <w:kern w:val="21"/>
                <w:lang w:bidi="ar"/>
              </w:rPr>
            </w:pPr>
          </w:p>
        </w:tc>
        <w:tc>
          <w:tcPr>
            <w:tcW w:w="507" w:type="pct"/>
            <w:vMerge w:val="continue"/>
            <w:vAlign w:val="center"/>
          </w:tcPr>
          <w:p>
            <w:pPr>
              <w:adjustRightInd w:val="0"/>
              <w:snapToGrid w:val="0"/>
              <w:jc w:val="center"/>
              <w:rPr>
                <w:b/>
                <w:bCs w:val="0"/>
                <w:color w:val="auto"/>
                <w:kern w:val="21"/>
                <w:lang w:bidi="ar"/>
              </w:rPr>
            </w:pPr>
          </w:p>
        </w:tc>
        <w:tc>
          <w:tcPr>
            <w:tcW w:w="350" w:type="pct"/>
            <w:vMerge w:val="continue"/>
            <w:vAlign w:val="center"/>
          </w:tcPr>
          <w:p>
            <w:pPr>
              <w:adjustRightInd w:val="0"/>
              <w:snapToGrid w:val="0"/>
              <w:jc w:val="center"/>
              <w:rPr>
                <w:b/>
                <w:bCs w:val="0"/>
                <w:color w:val="auto"/>
                <w:kern w:val="21"/>
                <w:lang w:bidi="ar"/>
              </w:rPr>
            </w:pPr>
          </w:p>
        </w:tc>
        <w:tc>
          <w:tcPr>
            <w:tcW w:w="513" w:type="pct"/>
            <w:vMerge w:val="continue"/>
            <w:vAlign w:val="center"/>
          </w:tcPr>
          <w:p>
            <w:pPr>
              <w:adjustRightInd w:val="0"/>
              <w:snapToGrid w:val="0"/>
              <w:jc w:val="center"/>
              <w:rPr>
                <w:b/>
                <w:bCs w:val="0"/>
                <w:color w:val="auto"/>
                <w:kern w:val="21"/>
                <w:lang w:bidi="ar"/>
              </w:rPr>
            </w:pPr>
          </w:p>
        </w:tc>
        <w:tc>
          <w:tcPr>
            <w:tcW w:w="299" w:type="pct"/>
            <w:vMerge w:val="continue"/>
            <w:vAlign w:val="center"/>
          </w:tcPr>
          <w:p>
            <w:pPr>
              <w:adjustRightInd w:val="0"/>
              <w:snapToGrid w:val="0"/>
              <w:jc w:val="center"/>
              <w:rPr>
                <w:b/>
                <w:bCs w:val="0"/>
                <w:color w:val="auto"/>
                <w:kern w:val="21"/>
                <w:lang w:bidi="ar"/>
              </w:rPr>
            </w:pPr>
          </w:p>
        </w:tc>
        <w:tc>
          <w:tcPr>
            <w:tcW w:w="373" w:type="pct"/>
            <w:vAlign w:val="center"/>
          </w:tcPr>
          <w:p>
            <w:pPr>
              <w:adjustRightInd w:val="0"/>
              <w:snapToGrid w:val="0"/>
              <w:jc w:val="center"/>
              <w:rPr>
                <w:b/>
                <w:bCs w:val="0"/>
                <w:color w:val="auto"/>
                <w:kern w:val="21"/>
                <w:lang w:bidi="ar"/>
              </w:rPr>
            </w:pPr>
            <w:r>
              <w:rPr>
                <w:b/>
                <w:bCs w:val="0"/>
                <w:color w:val="auto"/>
                <w:kern w:val="21"/>
                <w:lang w:bidi="ar"/>
              </w:rPr>
              <w:t>水量</w:t>
            </w:r>
          </w:p>
        </w:tc>
        <w:tc>
          <w:tcPr>
            <w:tcW w:w="341" w:type="pct"/>
            <w:vAlign w:val="center"/>
          </w:tcPr>
          <w:p>
            <w:pPr>
              <w:adjustRightInd w:val="0"/>
              <w:snapToGrid w:val="0"/>
              <w:jc w:val="center"/>
              <w:rPr>
                <w:b/>
                <w:bCs w:val="0"/>
                <w:color w:val="auto"/>
                <w:kern w:val="21"/>
                <w:lang w:bidi="ar"/>
              </w:rPr>
            </w:pPr>
            <w:r>
              <w:rPr>
                <w:b/>
                <w:bCs w:val="0"/>
                <w:color w:val="auto"/>
                <w:kern w:val="21"/>
                <w:lang w:bidi="ar"/>
              </w:rPr>
              <w:t>来源</w:t>
            </w:r>
          </w:p>
        </w:tc>
        <w:tc>
          <w:tcPr>
            <w:tcW w:w="383" w:type="pct"/>
            <w:vAlign w:val="center"/>
          </w:tcPr>
          <w:p>
            <w:pPr>
              <w:adjustRightInd w:val="0"/>
              <w:snapToGrid w:val="0"/>
              <w:jc w:val="center"/>
              <w:rPr>
                <w:b/>
                <w:bCs w:val="0"/>
                <w:color w:val="auto"/>
                <w:kern w:val="21"/>
                <w:lang w:bidi="ar"/>
              </w:rPr>
            </w:pPr>
            <w:r>
              <w:rPr>
                <w:b/>
                <w:bCs w:val="0"/>
                <w:color w:val="auto"/>
                <w:kern w:val="21"/>
                <w:lang w:bidi="ar"/>
              </w:rPr>
              <w:t>水量</w:t>
            </w:r>
          </w:p>
        </w:tc>
        <w:tc>
          <w:tcPr>
            <w:tcW w:w="288" w:type="pct"/>
            <w:vAlign w:val="center"/>
          </w:tcPr>
          <w:p>
            <w:pPr>
              <w:adjustRightInd w:val="0"/>
              <w:snapToGrid w:val="0"/>
              <w:jc w:val="center"/>
              <w:rPr>
                <w:b/>
                <w:bCs w:val="0"/>
                <w:color w:val="auto"/>
                <w:kern w:val="21"/>
                <w:lang w:bidi="ar"/>
              </w:rPr>
            </w:pPr>
            <w:r>
              <w:rPr>
                <w:b/>
                <w:bCs w:val="0"/>
                <w:color w:val="auto"/>
                <w:kern w:val="21"/>
                <w:lang w:bidi="ar"/>
              </w:rPr>
              <w:t>类型</w:t>
            </w:r>
          </w:p>
        </w:tc>
        <w:tc>
          <w:tcPr>
            <w:tcW w:w="411" w:type="pct"/>
            <w:vAlign w:val="center"/>
          </w:tcPr>
          <w:p>
            <w:pPr>
              <w:adjustRightInd w:val="0"/>
              <w:snapToGrid w:val="0"/>
              <w:jc w:val="center"/>
              <w:rPr>
                <w:b/>
                <w:bCs w:val="0"/>
                <w:color w:val="auto"/>
                <w:kern w:val="21"/>
                <w:lang w:bidi="ar"/>
              </w:rPr>
            </w:pPr>
            <w:r>
              <w:rPr>
                <w:b/>
                <w:bCs w:val="0"/>
                <w:color w:val="auto"/>
                <w:kern w:val="21"/>
                <w:lang w:bidi="ar"/>
              </w:rPr>
              <w:t xml:space="preserve">更换频率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restart"/>
            <w:vAlign w:val="center"/>
          </w:tcPr>
          <w:p>
            <w:pPr>
              <w:adjustRightInd w:val="0"/>
              <w:snapToGrid w:val="0"/>
              <w:jc w:val="center"/>
              <w:rPr>
                <w:b/>
                <w:color w:val="auto"/>
                <w:kern w:val="21"/>
                <w:lang w:bidi="ar"/>
              </w:rPr>
            </w:pPr>
            <w:r>
              <w:rPr>
                <w:rFonts w:hint="eastAsia"/>
                <w:bCs/>
                <w:color w:val="auto"/>
                <w:kern w:val="21"/>
                <w:lang w:bidi="ar"/>
              </w:rPr>
              <w:t>6条钢壳镀镍</w:t>
            </w:r>
            <w:r>
              <w:rPr>
                <w:bCs/>
                <w:color w:val="auto"/>
                <w:kern w:val="21"/>
                <w:lang w:bidi="ar"/>
              </w:rPr>
              <w:t>线</w:t>
            </w:r>
          </w:p>
        </w:tc>
        <w:tc>
          <w:tcPr>
            <w:tcW w:w="365" w:type="pct"/>
            <w:vAlign w:val="center"/>
          </w:tcPr>
          <w:p>
            <w:pPr>
              <w:adjustRightInd w:val="0"/>
              <w:snapToGrid w:val="0"/>
              <w:jc w:val="center"/>
              <w:rPr>
                <w:bCs/>
                <w:color w:val="auto"/>
                <w:kern w:val="21"/>
                <w:lang w:bidi="ar"/>
              </w:rPr>
            </w:pPr>
            <w:r>
              <w:rPr>
                <w:bCs/>
                <w:color w:val="auto"/>
                <w:kern w:val="21"/>
                <w:lang w:bidi="ar"/>
              </w:rPr>
              <w:t>镀镍水洗槽</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w:t>
            </w:r>
          </w:p>
        </w:tc>
        <w:tc>
          <w:tcPr>
            <w:tcW w:w="529"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350" w:type="pct"/>
            <w:vAlign w:val="center"/>
          </w:tcPr>
          <w:p>
            <w:pPr>
              <w:adjustRightInd w:val="0"/>
              <w:snapToGrid w:val="0"/>
              <w:jc w:val="center"/>
              <w:rPr>
                <w:bCs/>
                <w:color w:val="auto"/>
                <w:kern w:val="21"/>
                <w:lang w:bidi="ar"/>
              </w:rPr>
            </w:pPr>
            <w:r>
              <w:rPr>
                <w:bCs/>
                <w:color w:val="auto"/>
                <w:kern w:val="21"/>
                <w:lang w:bidi="ar"/>
              </w:rPr>
              <w:t>24</w:t>
            </w:r>
          </w:p>
        </w:tc>
        <w:tc>
          <w:tcPr>
            <w:tcW w:w="513" w:type="pct"/>
            <w:vAlign w:val="center"/>
          </w:tcPr>
          <w:p>
            <w:pPr>
              <w:adjustRightInd w:val="0"/>
              <w:snapToGrid w:val="0"/>
              <w:jc w:val="center"/>
              <w:rPr>
                <w:bCs/>
                <w:color w:val="auto"/>
                <w:kern w:val="21"/>
                <w:lang w:bidi="ar"/>
              </w:rPr>
            </w:pPr>
            <w:r>
              <w:rPr>
                <w:color w:val="auto"/>
                <w:kern w:val="21"/>
                <w:lang w:bidi="ar"/>
              </w:rPr>
              <w:t>连续溢流</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73"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continue"/>
            <w:vAlign w:val="center"/>
          </w:tcPr>
          <w:p>
            <w:pPr>
              <w:adjustRightInd w:val="0"/>
              <w:snapToGrid w:val="0"/>
              <w:jc w:val="center"/>
              <w:rPr>
                <w:bCs/>
                <w:color w:val="auto"/>
                <w:kern w:val="21"/>
                <w:lang w:bidi="ar"/>
              </w:rPr>
            </w:pPr>
          </w:p>
        </w:tc>
        <w:tc>
          <w:tcPr>
            <w:tcW w:w="365" w:type="pct"/>
            <w:vAlign w:val="center"/>
          </w:tcPr>
          <w:p>
            <w:pPr>
              <w:adjustRightInd w:val="0"/>
              <w:snapToGrid w:val="0"/>
              <w:jc w:val="center"/>
              <w:rPr>
                <w:bCs/>
                <w:color w:val="auto"/>
                <w:kern w:val="21"/>
                <w:lang w:bidi="ar"/>
              </w:rPr>
            </w:pPr>
            <w:r>
              <w:rPr>
                <w:bCs/>
                <w:color w:val="auto"/>
                <w:kern w:val="21"/>
                <w:lang w:bidi="ar"/>
              </w:rPr>
              <w:t>漂白槽</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w:t>
            </w:r>
          </w:p>
        </w:tc>
        <w:tc>
          <w:tcPr>
            <w:tcW w:w="529"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25.92</w:t>
            </w:r>
          </w:p>
        </w:tc>
        <w:tc>
          <w:tcPr>
            <w:tcW w:w="350" w:type="pct"/>
            <w:vAlign w:val="center"/>
          </w:tcPr>
          <w:p>
            <w:pPr>
              <w:adjustRightInd w:val="0"/>
              <w:snapToGrid w:val="0"/>
              <w:jc w:val="center"/>
              <w:rPr>
                <w:bCs/>
                <w:color w:val="auto"/>
                <w:kern w:val="21"/>
                <w:lang w:bidi="ar"/>
              </w:rPr>
            </w:pPr>
            <w:r>
              <w:rPr>
                <w:bCs/>
                <w:color w:val="auto"/>
                <w:kern w:val="21"/>
                <w:lang w:bidi="ar"/>
              </w:rPr>
              <w:t>24</w:t>
            </w:r>
          </w:p>
        </w:tc>
        <w:tc>
          <w:tcPr>
            <w:tcW w:w="513" w:type="pct"/>
            <w:vAlign w:val="center"/>
          </w:tcPr>
          <w:p>
            <w:pPr>
              <w:adjustRightInd w:val="0"/>
              <w:snapToGrid w:val="0"/>
              <w:jc w:val="center"/>
              <w:rPr>
                <w:color w:val="auto"/>
                <w:kern w:val="21"/>
                <w:lang w:bidi="ar"/>
              </w:rPr>
            </w:pPr>
            <w:r>
              <w:rPr>
                <w:color w:val="auto"/>
                <w:kern w:val="21"/>
                <w:lang w:bidi="ar"/>
              </w:rPr>
              <w:t>定期更换</w:t>
            </w:r>
          </w:p>
        </w:tc>
        <w:tc>
          <w:tcPr>
            <w:tcW w:w="299" w:type="pct"/>
            <w:vAlign w:val="center"/>
          </w:tcPr>
          <w:p>
            <w:pPr>
              <w:adjustRightInd w:val="0"/>
              <w:snapToGrid w:val="0"/>
              <w:jc w:val="center"/>
              <w:rPr>
                <w:bCs/>
                <w:color w:val="auto"/>
                <w:kern w:val="21"/>
                <w:lang w:bidi="ar"/>
              </w:rPr>
            </w:pPr>
            <w:r>
              <w:rPr>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0.96</w:t>
            </w:r>
          </w:p>
        </w:tc>
        <w:tc>
          <w:tcPr>
            <w:tcW w:w="341" w:type="pct"/>
            <w:vAlign w:val="center"/>
          </w:tcPr>
          <w:p>
            <w:pPr>
              <w:adjustRightInd w:val="0"/>
              <w:snapToGrid w:val="0"/>
              <w:jc w:val="center"/>
              <w:rPr>
                <w:bCs/>
                <w:color w:val="auto"/>
                <w:kern w:val="21"/>
                <w:lang w:bidi="ar"/>
              </w:rPr>
            </w:pPr>
            <w:r>
              <w:rPr>
                <w:bCs/>
                <w:color w:val="auto"/>
                <w:kern w:val="21"/>
                <w:lang w:bidi="ar"/>
              </w:rPr>
              <w:t>纯水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0.864</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r>
              <w:rPr>
                <w:bCs/>
                <w:color w:val="auto"/>
                <w:kern w:val="21"/>
                <w:lang w:bidi="ar"/>
              </w:rPr>
              <w:t>1月1次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continue"/>
            <w:vAlign w:val="center"/>
          </w:tcPr>
          <w:p>
            <w:pPr>
              <w:adjustRightInd w:val="0"/>
              <w:snapToGrid w:val="0"/>
              <w:jc w:val="center"/>
              <w:rPr>
                <w:b/>
                <w:color w:val="auto"/>
                <w:kern w:val="21"/>
                <w:lang w:bidi="ar"/>
              </w:rPr>
            </w:pPr>
          </w:p>
        </w:tc>
        <w:tc>
          <w:tcPr>
            <w:tcW w:w="365" w:type="pct"/>
            <w:vAlign w:val="center"/>
          </w:tcPr>
          <w:p>
            <w:pPr>
              <w:adjustRightInd w:val="0"/>
              <w:snapToGrid w:val="0"/>
              <w:jc w:val="center"/>
              <w:rPr>
                <w:bCs/>
                <w:color w:val="auto"/>
                <w:kern w:val="21"/>
                <w:lang w:bidi="ar"/>
              </w:rPr>
            </w:pPr>
            <w:r>
              <w:rPr>
                <w:bCs/>
                <w:color w:val="auto"/>
                <w:kern w:val="21"/>
                <w:lang w:bidi="ar"/>
              </w:rPr>
              <w:t>水洗槽</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w:t>
            </w:r>
          </w:p>
        </w:tc>
        <w:tc>
          <w:tcPr>
            <w:tcW w:w="529"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350" w:type="pct"/>
            <w:vAlign w:val="center"/>
          </w:tcPr>
          <w:p>
            <w:pPr>
              <w:adjustRightInd w:val="0"/>
              <w:snapToGrid w:val="0"/>
              <w:jc w:val="center"/>
              <w:rPr>
                <w:bCs/>
                <w:color w:val="auto"/>
                <w:kern w:val="21"/>
                <w:lang w:bidi="ar"/>
              </w:rPr>
            </w:pPr>
            <w:r>
              <w:rPr>
                <w:bCs/>
                <w:color w:val="auto"/>
                <w:kern w:val="21"/>
                <w:lang w:bidi="ar"/>
              </w:rPr>
              <w:t>24</w:t>
            </w:r>
          </w:p>
        </w:tc>
        <w:tc>
          <w:tcPr>
            <w:tcW w:w="513" w:type="pct"/>
            <w:vAlign w:val="center"/>
          </w:tcPr>
          <w:p>
            <w:pPr>
              <w:adjustRightInd w:val="0"/>
              <w:snapToGrid w:val="0"/>
              <w:jc w:val="center"/>
              <w:rPr>
                <w:bCs/>
                <w:color w:val="auto"/>
                <w:kern w:val="21"/>
                <w:lang w:bidi="ar"/>
              </w:rPr>
            </w:pPr>
            <w:r>
              <w:rPr>
                <w:color w:val="auto"/>
                <w:kern w:val="21"/>
                <w:lang w:bidi="ar"/>
              </w:rPr>
              <w:t>连续溢流</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73"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restart"/>
            <w:vAlign w:val="center"/>
          </w:tcPr>
          <w:p>
            <w:pPr>
              <w:adjustRightInd w:val="0"/>
              <w:snapToGrid w:val="0"/>
              <w:jc w:val="center"/>
              <w:rPr>
                <w:b/>
                <w:color w:val="auto"/>
                <w:kern w:val="21"/>
                <w:lang w:bidi="ar"/>
              </w:rPr>
            </w:pPr>
            <w:r>
              <w:rPr>
                <w:rFonts w:hint="eastAsia"/>
                <w:bCs/>
                <w:color w:val="auto"/>
                <w:kern w:val="21"/>
                <w:lang w:bidi="ar"/>
              </w:rPr>
              <w:t>3</w:t>
            </w:r>
            <w:r>
              <w:rPr>
                <w:bCs/>
                <w:color w:val="auto"/>
                <w:kern w:val="21"/>
                <w:lang w:bidi="ar"/>
              </w:rPr>
              <w:t>条盖帽镀镍线</w:t>
            </w:r>
          </w:p>
        </w:tc>
        <w:tc>
          <w:tcPr>
            <w:tcW w:w="365" w:type="pct"/>
            <w:vAlign w:val="center"/>
          </w:tcPr>
          <w:p>
            <w:pPr>
              <w:adjustRightInd w:val="0"/>
              <w:snapToGrid w:val="0"/>
              <w:jc w:val="center"/>
              <w:textAlignment w:val="baseline"/>
              <w:rPr>
                <w:color w:val="auto"/>
                <w:kern w:val="21"/>
                <w:lang w:bidi="ar"/>
              </w:rPr>
            </w:pPr>
            <w:r>
              <w:rPr>
                <w:rFonts w:hint="eastAsia"/>
                <w:color w:val="auto"/>
                <w:kern w:val="21"/>
                <w:lang w:eastAsia="zh-CN" w:bidi="ar"/>
              </w:rPr>
              <w:t>镀镍</w:t>
            </w:r>
            <w:r>
              <w:rPr>
                <w:color w:val="auto"/>
                <w:kern w:val="21"/>
                <w:lang w:bidi="ar"/>
              </w:rPr>
              <w:t>水洗槽</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w:t>
            </w:r>
          </w:p>
        </w:tc>
        <w:tc>
          <w:tcPr>
            <w:tcW w:w="529"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14.4</w:t>
            </w:r>
          </w:p>
        </w:tc>
        <w:tc>
          <w:tcPr>
            <w:tcW w:w="350" w:type="pct"/>
            <w:vAlign w:val="center"/>
          </w:tcPr>
          <w:p>
            <w:pPr>
              <w:adjustRightInd w:val="0"/>
              <w:snapToGrid w:val="0"/>
              <w:jc w:val="center"/>
              <w:rPr>
                <w:bCs/>
                <w:color w:val="auto"/>
                <w:kern w:val="21"/>
                <w:lang w:bidi="ar"/>
              </w:rPr>
            </w:pPr>
            <w:r>
              <w:rPr>
                <w:bCs/>
                <w:color w:val="auto"/>
                <w:kern w:val="21"/>
                <w:lang w:bidi="ar"/>
              </w:rPr>
              <w:t>24</w:t>
            </w:r>
          </w:p>
        </w:tc>
        <w:tc>
          <w:tcPr>
            <w:tcW w:w="513" w:type="pct"/>
            <w:vAlign w:val="center"/>
          </w:tcPr>
          <w:p>
            <w:pPr>
              <w:adjustRightInd w:val="0"/>
              <w:snapToGrid w:val="0"/>
              <w:jc w:val="center"/>
              <w:rPr>
                <w:bCs/>
                <w:color w:val="auto"/>
                <w:kern w:val="21"/>
                <w:lang w:bidi="ar"/>
              </w:rPr>
            </w:pPr>
            <w:r>
              <w:rPr>
                <w:color w:val="auto"/>
                <w:kern w:val="21"/>
                <w:lang w:bidi="ar"/>
              </w:rPr>
              <w:t>连续溢流</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73"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continue"/>
            <w:vAlign w:val="center"/>
          </w:tcPr>
          <w:p>
            <w:pPr>
              <w:adjustRightInd w:val="0"/>
              <w:snapToGrid w:val="0"/>
              <w:jc w:val="center"/>
              <w:rPr>
                <w:bCs/>
                <w:color w:val="auto"/>
                <w:kern w:val="21"/>
                <w:lang w:bidi="ar"/>
              </w:rPr>
            </w:pPr>
          </w:p>
        </w:tc>
        <w:tc>
          <w:tcPr>
            <w:tcW w:w="365" w:type="pct"/>
            <w:vAlign w:val="center"/>
          </w:tcPr>
          <w:p>
            <w:pPr>
              <w:adjustRightInd w:val="0"/>
              <w:snapToGrid w:val="0"/>
              <w:jc w:val="center"/>
              <w:textAlignment w:val="baseline"/>
              <w:rPr>
                <w:color w:val="auto"/>
                <w:kern w:val="21"/>
                <w:lang w:bidi="ar"/>
              </w:rPr>
            </w:pPr>
            <w:r>
              <w:rPr>
                <w:color w:val="auto"/>
                <w:kern w:val="21"/>
                <w:lang w:bidi="ar"/>
              </w:rPr>
              <w:t>漂白槽</w:t>
            </w:r>
          </w:p>
        </w:tc>
        <w:tc>
          <w:tcPr>
            <w:tcW w:w="299" w:type="pct"/>
            <w:vAlign w:val="center"/>
          </w:tcPr>
          <w:p>
            <w:pPr>
              <w:adjustRightInd w:val="0"/>
              <w:snapToGrid w:val="0"/>
              <w:jc w:val="center"/>
              <w:rPr>
                <w:bCs/>
                <w:color w:val="auto"/>
                <w:kern w:val="21"/>
                <w:lang w:bidi="ar"/>
              </w:rPr>
            </w:pPr>
            <w:r>
              <w:rPr>
                <w:rFonts w:hint="eastAsia"/>
                <w:bCs/>
                <w:color w:val="auto"/>
                <w:kern w:val="21"/>
                <w:lang w:bidi="ar"/>
              </w:rPr>
              <w:t>1</w:t>
            </w:r>
          </w:p>
        </w:tc>
        <w:tc>
          <w:tcPr>
            <w:tcW w:w="529"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6.48</w:t>
            </w:r>
          </w:p>
        </w:tc>
        <w:tc>
          <w:tcPr>
            <w:tcW w:w="350" w:type="pct"/>
            <w:vAlign w:val="center"/>
          </w:tcPr>
          <w:p>
            <w:pPr>
              <w:adjustRightInd w:val="0"/>
              <w:snapToGrid w:val="0"/>
              <w:jc w:val="center"/>
              <w:rPr>
                <w:bCs/>
                <w:color w:val="auto"/>
                <w:kern w:val="21"/>
                <w:lang w:bidi="ar"/>
              </w:rPr>
            </w:pPr>
            <w:r>
              <w:rPr>
                <w:bCs/>
                <w:color w:val="auto"/>
                <w:kern w:val="21"/>
                <w:lang w:bidi="ar"/>
              </w:rPr>
              <w:t>24</w:t>
            </w:r>
          </w:p>
        </w:tc>
        <w:tc>
          <w:tcPr>
            <w:tcW w:w="513" w:type="pct"/>
            <w:vAlign w:val="center"/>
          </w:tcPr>
          <w:p>
            <w:pPr>
              <w:adjustRightInd w:val="0"/>
              <w:snapToGrid w:val="0"/>
              <w:jc w:val="center"/>
              <w:rPr>
                <w:color w:val="auto"/>
                <w:kern w:val="21"/>
                <w:lang w:bidi="ar"/>
              </w:rPr>
            </w:pPr>
            <w:r>
              <w:rPr>
                <w:color w:val="auto"/>
                <w:kern w:val="21"/>
                <w:lang w:bidi="ar"/>
              </w:rPr>
              <w:t>定期更换</w:t>
            </w:r>
          </w:p>
        </w:tc>
        <w:tc>
          <w:tcPr>
            <w:tcW w:w="299" w:type="pct"/>
            <w:vAlign w:val="center"/>
          </w:tcPr>
          <w:p>
            <w:pPr>
              <w:adjustRightInd w:val="0"/>
              <w:snapToGrid w:val="0"/>
              <w:jc w:val="center"/>
              <w:rPr>
                <w:bCs/>
                <w:color w:val="auto"/>
                <w:kern w:val="21"/>
                <w:lang w:bidi="ar"/>
              </w:rPr>
            </w:pPr>
            <w:r>
              <w:rPr>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0.24</w:t>
            </w:r>
          </w:p>
        </w:tc>
        <w:tc>
          <w:tcPr>
            <w:tcW w:w="341" w:type="pct"/>
            <w:vAlign w:val="center"/>
          </w:tcPr>
          <w:p>
            <w:pPr>
              <w:adjustRightInd w:val="0"/>
              <w:snapToGrid w:val="0"/>
              <w:jc w:val="center"/>
              <w:rPr>
                <w:bCs/>
                <w:color w:val="auto"/>
                <w:kern w:val="21"/>
                <w:lang w:bidi="ar"/>
              </w:rPr>
            </w:pPr>
            <w:r>
              <w:rPr>
                <w:bCs/>
                <w:color w:val="auto"/>
                <w:kern w:val="21"/>
                <w:lang w:bidi="ar"/>
              </w:rPr>
              <w:t>纯水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0.216</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r>
              <w:rPr>
                <w:bCs/>
                <w:color w:val="auto"/>
                <w:kern w:val="21"/>
                <w:lang w:bidi="ar"/>
              </w:rPr>
              <w:t>1月/</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Merge w:val="continue"/>
            <w:vAlign w:val="center"/>
          </w:tcPr>
          <w:p>
            <w:pPr>
              <w:adjustRightInd w:val="0"/>
              <w:snapToGrid w:val="0"/>
              <w:jc w:val="center"/>
              <w:rPr>
                <w:bCs/>
                <w:color w:val="auto"/>
                <w:kern w:val="21"/>
                <w:highlight w:val="yellow"/>
                <w:lang w:bidi="ar"/>
              </w:rPr>
            </w:pPr>
          </w:p>
        </w:tc>
        <w:tc>
          <w:tcPr>
            <w:tcW w:w="36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w:t>
            </w:r>
          </w:p>
        </w:tc>
        <w:tc>
          <w:tcPr>
            <w:tcW w:w="529"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07"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14.4</w:t>
            </w:r>
          </w:p>
        </w:tc>
        <w:tc>
          <w:tcPr>
            <w:tcW w:w="350" w:type="pct"/>
            <w:vAlign w:val="center"/>
          </w:tcPr>
          <w:p>
            <w:pPr>
              <w:adjustRightInd w:val="0"/>
              <w:snapToGrid w:val="0"/>
              <w:jc w:val="center"/>
              <w:rPr>
                <w:bCs/>
                <w:color w:val="auto"/>
                <w:kern w:val="21"/>
                <w:lang w:bidi="ar"/>
              </w:rPr>
            </w:pPr>
            <w:r>
              <w:rPr>
                <w:bCs/>
                <w:color w:val="auto"/>
                <w:kern w:val="21"/>
                <w:lang w:bidi="ar"/>
              </w:rPr>
              <w:t>24</w:t>
            </w:r>
          </w:p>
        </w:tc>
        <w:tc>
          <w:tcPr>
            <w:tcW w:w="513" w:type="pct"/>
            <w:vAlign w:val="center"/>
          </w:tcPr>
          <w:p>
            <w:pPr>
              <w:adjustRightInd w:val="0"/>
              <w:snapToGrid w:val="0"/>
              <w:jc w:val="center"/>
              <w:rPr>
                <w:bCs/>
                <w:color w:val="auto"/>
                <w:kern w:val="21"/>
                <w:lang w:bidi="ar"/>
              </w:rPr>
            </w:pPr>
            <w:r>
              <w:rPr>
                <w:color w:val="auto"/>
                <w:kern w:val="21"/>
                <w:lang w:bidi="ar"/>
              </w:rPr>
              <w:t>连续溢流</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73"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41"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36" w:type="pct"/>
            <w:vAlign w:val="center"/>
          </w:tcPr>
          <w:p>
            <w:pPr>
              <w:adjustRightInd w:val="0"/>
              <w:snapToGrid w:val="0"/>
              <w:jc w:val="center"/>
              <w:rPr>
                <w:bCs/>
                <w:color w:val="auto"/>
                <w:kern w:val="21"/>
                <w:highlight w:val="yellow"/>
                <w:lang w:bidi="ar"/>
              </w:rPr>
            </w:pPr>
            <w:r>
              <w:rPr>
                <w:bCs/>
                <w:color w:val="auto"/>
                <w:kern w:val="21"/>
                <w:lang w:bidi="ar"/>
              </w:rPr>
              <w:t>预处理系统</w:t>
            </w:r>
          </w:p>
        </w:tc>
        <w:tc>
          <w:tcPr>
            <w:tcW w:w="365" w:type="pct"/>
            <w:vAlign w:val="center"/>
          </w:tcPr>
          <w:p>
            <w:pPr>
              <w:adjustRightInd w:val="0"/>
              <w:snapToGrid w:val="0"/>
              <w:jc w:val="center"/>
              <w:textAlignment w:val="baseline"/>
              <w:rPr>
                <w:color w:val="auto"/>
                <w:kern w:val="21"/>
                <w:lang w:bidi="ar"/>
              </w:rPr>
            </w:pPr>
            <w:r>
              <w:rPr>
                <w:color w:val="auto"/>
                <w:kern w:val="21"/>
                <w:lang w:bidi="ar"/>
              </w:rPr>
              <w:t>反冲洗废水</w:t>
            </w:r>
          </w:p>
        </w:tc>
        <w:tc>
          <w:tcPr>
            <w:tcW w:w="299" w:type="pct"/>
            <w:vAlign w:val="center"/>
          </w:tcPr>
          <w:p>
            <w:pPr>
              <w:adjustRightInd w:val="0"/>
              <w:snapToGrid w:val="0"/>
              <w:jc w:val="center"/>
              <w:rPr>
                <w:bCs/>
                <w:color w:val="auto"/>
                <w:kern w:val="21"/>
                <w:lang w:bidi="ar"/>
              </w:rPr>
            </w:pPr>
            <w:r>
              <w:rPr>
                <w:rFonts w:hint="eastAsia"/>
                <w:bCs/>
                <w:color w:val="auto"/>
                <w:kern w:val="21"/>
                <w:lang w:bidi="ar"/>
              </w:rPr>
              <w:t>/</w:t>
            </w:r>
          </w:p>
        </w:tc>
        <w:tc>
          <w:tcPr>
            <w:tcW w:w="529" w:type="pct"/>
            <w:vAlign w:val="center"/>
          </w:tcPr>
          <w:p>
            <w:pPr>
              <w:adjustRightInd w:val="0"/>
              <w:snapToGrid w:val="0"/>
              <w:jc w:val="center"/>
              <w:rPr>
                <w:bCs/>
                <w:color w:val="auto"/>
                <w:kern w:val="21"/>
                <w:lang w:bidi="ar"/>
              </w:rPr>
            </w:pPr>
            <w:r>
              <w:rPr>
                <w:rFonts w:hint="eastAsia"/>
                <w:bCs/>
                <w:color w:val="auto"/>
                <w:kern w:val="21"/>
                <w:lang w:bidi="ar"/>
              </w:rPr>
              <w:t>/</w:t>
            </w:r>
          </w:p>
        </w:tc>
        <w:tc>
          <w:tcPr>
            <w:tcW w:w="507" w:type="pct"/>
            <w:vAlign w:val="center"/>
          </w:tcPr>
          <w:p>
            <w:pPr>
              <w:adjustRightInd w:val="0"/>
              <w:snapToGrid w:val="0"/>
              <w:jc w:val="center"/>
              <w:rPr>
                <w:bCs/>
                <w:color w:val="auto"/>
                <w:kern w:val="21"/>
                <w:lang w:bidi="ar"/>
              </w:rPr>
            </w:pPr>
            <w:r>
              <w:rPr>
                <w:rFonts w:hint="eastAsia"/>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w:t>
            </w:r>
          </w:p>
        </w:tc>
        <w:tc>
          <w:tcPr>
            <w:tcW w:w="513" w:type="pct"/>
            <w:vAlign w:val="center"/>
          </w:tcPr>
          <w:p>
            <w:pPr>
              <w:adjustRightInd w:val="0"/>
              <w:snapToGrid w:val="0"/>
              <w:jc w:val="center"/>
              <w:rPr>
                <w:color w:val="auto"/>
                <w:kern w:val="21"/>
                <w:lang w:bidi="ar"/>
              </w:rPr>
            </w:pPr>
            <w:r>
              <w:rPr>
                <w:rFonts w:hint="eastAsia"/>
                <w:color w:val="auto"/>
                <w:kern w:val="21"/>
                <w:lang w:bidi="ar"/>
              </w:rPr>
              <w:t>/</w:t>
            </w:r>
          </w:p>
        </w:tc>
        <w:tc>
          <w:tcPr>
            <w:tcW w:w="299" w:type="pct"/>
            <w:vAlign w:val="center"/>
          </w:tcPr>
          <w:p>
            <w:pPr>
              <w:adjustRightInd w:val="0"/>
              <w:snapToGrid w:val="0"/>
              <w:jc w:val="center"/>
              <w:rPr>
                <w:bCs/>
                <w:color w:val="auto"/>
                <w:kern w:val="21"/>
                <w:lang w:bidi="ar"/>
              </w:rPr>
            </w:pPr>
            <w:r>
              <w:rPr>
                <w:rFonts w:hint="eastAsia"/>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0.3</w:t>
            </w:r>
          </w:p>
        </w:tc>
        <w:tc>
          <w:tcPr>
            <w:tcW w:w="341" w:type="pct"/>
            <w:vAlign w:val="center"/>
          </w:tcPr>
          <w:p>
            <w:pPr>
              <w:adjustRightInd w:val="0"/>
              <w:snapToGrid w:val="0"/>
              <w:jc w:val="center"/>
              <w:rPr>
                <w:bCs/>
                <w:color w:val="auto"/>
                <w:kern w:val="21"/>
                <w:lang w:bidi="ar"/>
              </w:rPr>
            </w:pPr>
            <w:r>
              <w:rPr>
                <w:rFonts w:hint="eastAsia"/>
                <w:bCs/>
                <w:color w:val="auto"/>
                <w:kern w:val="21"/>
                <w:lang w:bidi="ar"/>
              </w:rPr>
              <w:t>新鲜水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0.3</w:t>
            </w:r>
          </w:p>
        </w:tc>
        <w:tc>
          <w:tcPr>
            <w:tcW w:w="288" w:type="pct"/>
            <w:vAlign w:val="center"/>
          </w:tcPr>
          <w:p>
            <w:pPr>
              <w:adjustRightInd w:val="0"/>
              <w:snapToGrid w:val="0"/>
              <w:jc w:val="center"/>
              <w:rPr>
                <w:bCs/>
                <w:color w:val="auto"/>
                <w:kern w:val="21"/>
                <w:lang w:bidi="ar"/>
              </w:rPr>
            </w:pPr>
            <w:r>
              <w:rPr>
                <w:bCs/>
                <w:color w:val="auto"/>
                <w:kern w:val="21"/>
                <w:lang w:bidi="ar"/>
              </w:rPr>
              <w:t>含镍废水</w:t>
            </w:r>
          </w:p>
        </w:tc>
        <w:tc>
          <w:tcPr>
            <w:tcW w:w="411" w:type="pct"/>
            <w:vAlign w:val="center"/>
          </w:tcPr>
          <w:p>
            <w:pPr>
              <w:adjustRightInd w:val="0"/>
              <w:snapToGrid w:val="0"/>
              <w:jc w:val="center"/>
              <w:rPr>
                <w:bCs/>
                <w:color w:val="auto"/>
                <w:kern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02" w:type="pct"/>
            <w:gridSpan w:val="7"/>
            <w:vAlign w:val="center"/>
          </w:tcPr>
          <w:p>
            <w:pPr>
              <w:adjustRightInd w:val="0"/>
              <w:snapToGrid w:val="0"/>
              <w:jc w:val="center"/>
              <w:rPr>
                <w:color w:val="auto"/>
                <w:kern w:val="21"/>
                <w:lang w:bidi="ar"/>
              </w:rPr>
            </w:pPr>
            <w:r>
              <w:rPr>
                <w:color w:val="auto"/>
                <w:kern w:val="21"/>
                <w:lang w:bidi="ar"/>
              </w:rPr>
              <w:t>总计</w:t>
            </w:r>
          </w:p>
        </w:tc>
        <w:tc>
          <w:tcPr>
            <w:tcW w:w="299" w:type="pct"/>
            <w:vAlign w:val="center"/>
          </w:tcPr>
          <w:p>
            <w:pPr>
              <w:adjustRightInd w:val="0"/>
              <w:snapToGrid w:val="0"/>
              <w:jc w:val="center"/>
              <w:rPr>
                <w:bCs/>
                <w:color w:val="auto"/>
                <w:kern w:val="21"/>
                <w:lang w:bidi="ar"/>
              </w:rPr>
            </w:pPr>
            <w:r>
              <w:rPr>
                <w:rFonts w:hint="eastAsia"/>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87.9</w:t>
            </w:r>
          </w:p>
        </w:tc>
        <w:tc>
          <w:tcPr>
            <w:tcW w:w="341" w:type="pct"/>
            <w:vAlign w:val="center"/>
          </w:tcPr>
          <w:p>
            <w:pPr>
              <w:adjustRightInd w:val="0"/>
              <w:snapToGrid w:val="0"/>
              <w:jc w:val="center"/>
              <w:rPr>
                <w:bCs/>
                <w:color w:val="auto"/>
                <w:kern w:val="21"/>
                <w:lang w:bidi="ar"/>
              </w:rPr>
            </w:pPr>
          </w:p>
        </w:tc>
        <w:tc>
          <w:tcPr>
            <w:tcW w:w="383" w:type="pct"/>
            <w:vAlign w:val="center"/>
          </w:tcPr>
          <w:p>
            <w:pPr>
              <w:adjustRightInd w:val="0"/>
              <w:snapToGrid w:val="0"/>
              <w:jc w:val="center"/>
              <w:rPr>
                <w:bCs/>
                <w:color w:val="auto"/>
                <w:kern w:val="21"/>
                <w:lang w:bidi="ar"/>
              </w:rPr>
            </w:pPr>
            <w:r>
              <w:rPr>
                <w:rFonts w:hint="eastAsia"/>
                <w:bCs/>
                <w:color w:val="auto"/>
                <w:kern w:val="21"/>
                <w:lang w:bidi="ar"/>
              </w:rPr>
              <w:t>79.14</w:t>
            </w:r>
          </w:p>
        </w:tc>
        <w:tc>
          <w:tcPr>
            <w:tcW w:w="288" w:type="pct"/>
            <w:vAlign w:val="center"/>
          </w:tcPr>
          <w:p>
            <w:pPr>
              <w:adjustRightInd w:val="0"/>
              <w:snapToGrid w:val="0"/>
              <w:jc w:val="center"/>
              <w:rPr>
                <w:bCs/>
                <w:color w:val="auto"/>
                <w:kern w:val="21"/>
                <w:lang w:bidi="ar"/>
              </w:rPr>
            </w:pPr>
            <w:r>
              <w:rPr>
                <w:rFonts w:hint="eastAsia"/>
                <w:bCs/>
                <w:color w:val="auto"/>
                <w:kern w:val="21"/>
                <w:lang w:bidi="ar"/>
              </w:rPr>
              <w:t>/</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bl>
    <w:p>
      <w:pPr>
        <w:pStyle w:val="32"/>
        <w:adjustRightInd w:val="0"/>
        <w:snapToGrid w:val="0"/>
        <w:spacing w:after="0" w:line="360" w:lineRule="auto"/>
        <w:ind w:firstLine="480" w:firstLineChars="200"/>
        <w:rPr>
          <w:color w:val="auto"/>
          <w:kern w:val="21"/>
          <w:sz w:val="24"/>
          <w:u w:val="single"/>
          <w:lang w:val="en-US"/>
        </w:rPr>
      </w:pPr>
    </w:p>
    <w:p>
      <w:pPr>
        <w:pStyle w:val="32"/>
        <w:adjustRightInd w:val="0"/>
        <w:snapToGrid w:val="0"/>
        <w:spacing w:after="0" w:line="360" w:lineRule="auto"/>
        <w:ind w:firstLine="480" w:firstLineChars="200"/>
        <w:rPr>
          <w:color w:val="auto"/>
          <w:kern w:val="21"/>
          <w:sz w:val="24"/>
          <w:u w:val="single"/>
          <w:lang w:val="en-US"/>
        </w:rPr>
        <w:sectPr>
          <w:pgSz w:w="16840" w:h="11907" w:orient="landscape"/>
          <w:pgMar w:top="1800" w:right="1440" w:bottom="1800" w:left="1440" w:header="1134" w:footer="1029" w:gutter="0"/>
          <w:cols w:space="720" w:num="1"/>
          <w:docGrid w:linePitch="286" w:charSpace="0"/>
        </w:sectPr>
      </w:pP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5、含锌废水</w:t>
      </w:r>
    </w:p>
    <w:p>
      <w:pPr>
        <w:pStyle w:val="32"/>
        <w:adjustRightInd w:val="0"/>
        <w:snapToGrid w:val="0"/>
        <w:spacing w:after="0" w:line="360" w:lineRule="auto"/>
        <w:ind w:firstLine="482" w:firstLineChars="200"/>
        <w:rPr>
          <w:color w:val="auto"/>
          <w:kern w:val="21"/>
          <w:sz w:val="24"/>
          <w:lang w:val="en-US"/>
        </w:rPr>
      </w:pPr>
      <w:r>
        <w:rPr>
          <w:rFonts w:hint="eastAsia"/>
          <w:b/>
          <w:color w:val="auto"/>
          <w:kern w:val="21"/>
          <w:sz w:val="24"/>
          <w:u w:val="single"/>
          <w:lang w:val="en-US"/>
        </w:rPr>
        <w:t>镀</w:t>
      </w:r>
      <w:r>
        <w:rPr>
          <w:rFonts w:hint="eastAsia"/>
          <w:b/>
          <w:color w:val="auto"/>
          <w:kern w:val="21"/>
          <w:sz w:val="24"/>
          <w:u w:val="single"/>
          <w:lang w:val="en-US" w:eastAsia="zh-CN"/>
        </w:rPr>
        <w:t>锌</w:t>
      </w:r>
      <w:r>
        <w:rPr>
          <w:rFonts w:hint="eastAsia"/>
          <w:b/>
          <w:color w:val="auto"/>
          <w:kern w:val="21"/>
          <w:sz w:val="24"/>
          <w:u w:val="single"/>
          <w:lang w:val="en-US"/>
        </w:rPr>
        <w:t>槽液日常生产过程</w:t>
      </w:r>
      <w:r>
        <w:rPr>
          <w:rFonts w:hint="eastAsia"/>
          <w:b/>
          <w:color w:val="auto"/>
          <w:kern w:val="21"/>
          <w:sz w:val="24"/>
          <w:u w:val="single"/>
          <w:lang w:val="en-US" w:eastAsia="zh-CN"/>
        </w:rPr>
        <w:t>中</w:t>
      </w:r>
      <w:r>
        <w:rPr>
          <w:rFonts w:hint="eastAsia"/>
          <w:b/>
          <w:color w:val="auto"/>
          <w:kern w:val="21"/>
          <w:sz w:val="24"/>
          <w:u w:val="single"/>
          <w:lang w:val="en-US"/>
        </w:rPr>
        <w:t>循环过滤使用不排放，平均每5年更换一次</w:t>
      </w:r>
      <w:r>
        <w:rPr>
          <w:rFonts w:hint="eastAsia"/>
          <w:b/>
          <w:color w:val="auto"/>
          <w:kern w:val="21"/>
          <w:sz w:val="24"/>
          <w:u w:val="single"/>
          <w:lang w:val="en-US" w:eastAsia="zh-CN"/>
        </w:rPr>
        <w:t>，由于更换周期比较长，浓度比较高作为危险废物进行处置，废水环节不再分析，故</w:t>
      </w:r>
      <w:r>
        <w:rPr>
          <w:rFonts w:hint="eastAsia"/>
          <w:color w:val="auto"/>
          <w:kern w:val="21"/>
          <w:sz w:val="24"/>
          <w:lang w:val="en-US"/>
        </w:rPr>
        <w:t>含锌废水主要为电镀线</w:t>
      </w:r>
      <w:r>
        <w:rPr>
          <w:color w:val="auto"/>
          <w:kern w:val="21"/>
          <w:sz w:val="24"/>
          <w:lang w:val="en-US"/>
        </w:rPr>
        <w:t>镀锌后水洗废水、出光槽液、出光后水洗废水、含锌废水预处理系统反冲洗水</w:t>
      </w:r>
      <w:r>
        <w:rPr>
          <w:rFonts w:hint="eastAsia"/>
          <w:color w:val="auto"/>
          <w:kern w:val="21"/>
          <w:sz w:val="24"/>
          <w:lang w:val="en-US"/>
        </w:rPr>
        <w:t>（过滤器反冲洗）</w:t>
      </w:r>
      <w:r>
        <w:rPr>
          <w:color w:val="auto"/>
          <w:kern w:val="21"/>
          <w:sz w:val="24"/>
          <w:lang w:val="en-US"/>
        </w:rPr>
        <w:t>。</w:t>
      </w:r>
      <w:r>
        <w:rPr>
          <w:rFonts w:hint="eastAsia"/>
          <w:color w:val="auto"/>
          <w:kern w:val="21"/>
          <w:sz w:val="24"/>
          <w:lang w:val="en-US"/>
        </w:rPr>
        <w:t>镀锌槽</w:t>
      </w:r>
      <w:r>
        <w:rPr>
          <w:color w:val="auto"/>
          <w:kern w:val="21"/>
          <w:sz w:val="24"/>
          <w:lang w:val="en-US"/>
        </w:rPr>
        <w:t>的槽液</w:t>
      </w:r>
      <w:r>
        <w:rPr>
          <w:rFonts w:hint="eastAsia"/>
          <w:color w:val="auto"/>
          <w:kern w:val="21"/>
          <w:sz w:val="24"/>
          <w:lang w:val="en-US"/>
        </w:rPr>
        <w:t>在</w:t>
      </w:r>
      <w:r>
        <w:rPr>
          <w:color w:val="auto"/>
          <w:kern w:val="21"/>
          <w:sz w:val="24"/>
          <w:lang w:val="en-US"/>
        </w:rPr>
        <w:t>使用期间一直经过滤机过滤，过滤后的</w:t>
      </w:r>
      <w:r>
        <w:rPr>
          <w:rFonts w:hint="eastAsia"/>
          <w:color w:val="auto"/>
          <w:kern w:val="21"/>
          <w:sz w:val="24"/>
          <w:lang w:val="en-US"/>
        </w:rPr>
        <w:t>浓液</w:t>
      </w:r>
      <w:r>
        <w:rPr>
          <w:color w:val="auto"/>
          <w:kern w:val="21"/>
          <w:sz w:val="24"/>
          <w:lang w:val="en-US"/>
        </w:rPr>
        <w:t>回用</w:t>
      </w:r>
      <w:r>
        <w:rPr>
          <w:color w:val="auto"/>
          <w:kern w:val="21"/>
          <w:sz w:val="24"/>
        </w:rPr>
        <w:t>，</w:t>
      </w:r>
      <w:r>
        <w:rPr>
          <w:color w:val="auto"/>
          <w:kern w:val="21"/>
          <w:sz w:val="24"/>
          <w:lang w:val="en-US"/>
        </w:rPr>
        <w:t>滤渣交有资质单位</w:t>
      </w:r>
      <w:r>
        <w:rPr>
          <w:rFonts w:hint="eastAsia"/>
          <w:color w:val="auto"/>
          <w:kern w:val="21"/>
          <w:sz w:val="24"/>
          <w:lang w:val="en-US" w:eastAsia="zh-CN"/>
        </w:rPr>
        <w:t>处置</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项目产生的含锌废水经</w:t>
      </w:r>
      <w:r>
        <w:rPr>
          <w:rFonts w:hint="eastAsia"/>
          <w:color w:val="auto"/>
          <w:kern w:val="21"/>
          <w:sz w:val="24"/>
          <w:lang w:val="en-US" w:eastAsia="zh-CN"/>
        </w:rPr>
        <w:t>“</w:t>
      </w:r>
      <w:r>
        <w:rPr>
          <w:rFonts w:hint="eastAsia"/>
          <w:color w:val="auto"/>
          <w:sz w:val="24"/>
        </w:rPr>
        <w:t>pH调节→混凝沉淀→回调→多介质过滤</w:t>
      </w:r>
      <w:r>
        <w:rPr>
          <w:rFonts w:hint="eastAsia"/>
          <w:color w:val="auto"/>
          <w:sz w:val="24"/>
          <w:lang w:eastAsia="zh-CN"/>
        </w:rPr>
        <w:t>”的工艺</w:t>
      </w:r>
      <w:r>
        <w:rPr>
          <w:rFonts w:hint="eastAsia"/>
          <w:color w:val="auto"/>
          <w:kern w:val="21"/>
          <w:sz w:val="24"/>
          <w:lang w:val="en-US"/>
        </w:rPr>
        <w:t>进行预处理，预处理后进入零排放处理系统</w:t>
      </w:r>
      <w:r>
        <w:rPr>
          <w:rFonts w:hint="eastAsia"/>
          <w:color w:val="auto"/>
          <w:kern w:val="21"/>
          <w:sz w:val="24"/>
          <w:lang w:val="en-US"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lang w:val="en-US"/>
        </w:rPr>
        <w:t>处理，</w:t>
      </w:r>
      <w:r>
        <w:rPr>
          <w:rFonts w:hint="eastAsia"/>
          <w:color w:val="auto"/>
          <w:kern w:val="21"/>
          <w:sz w:val="24"/>
          <w:lang w:val="en-US" w:eastAsia="zh-CN"/>
        </w:rPr>
        <w:t>深度</w:t>
      </w:r>
      <w:r>
        <w:rPr>
          <w:rFonts w:hint="eastAsia"/>
          <w:color w:val="auto"/>
          <w:kern w:val="21"/>
          <w:sz w:val="24"/>
          <w:lang w:val="en-US"/>
        </w:rPr>
        <w:t>处理后全部回用</w:t>
      </w:r>
      <w:r>
        <w:rPr>
          <w:rFonts w:hint="eastAsia"/>
          <w:color w:val="auto"/>
          <w:kern w:val="21"/>
          <w:sz w:val="24"/>
          <w:lang w:val="en-US" w:eastAsia="zh-CN"/>
        </w:rPr>
        <w:t>于生产线</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u w:val="single"/>
          <w:lang w:val="en-US"/>
        </w:rPr>
      </w:pPr>
      <w:r>
        <w:rPr>
          <w:color w:val="auto"/>
          <w:kern w:val="21"/>
          <w:sz w:val="24"/>
          <w:lang w:val="en-US"/>
        </w:rPr>
        <w:t>根据《污染源源强核算技术指南 电镀》（HJ984-2018），本项目含</w:t>
      </w:r>
      <w:r>
        <w:rPr>
          <w:rFonts w:hint="eastAsia"/>
          <w:color w:val="auto"/>
          <w:kern w:val="21"/>
          <w:sz w:val="24"/>
          <w:lang w:val="en-US"/>
        </w:rPr>
        <w:t>锌</w:t>
      </w:r>
      <w:r>
        <w:rPr>
          <w:color w:val="auto"/>
          <w:kern w:val="21"/>
          <w:sz w:val="24"/>
          <w:lang w:val="en-US"/>
        </w:rPr>
        <w:t>废水水量采用物料衡算法确定。</w:t>
      </w:r>
      <w:r>
        <w:rPr>
          <w:rFonts w:hint="eastAsia"/>
          <w:color w:val="auto"/>
          <w:kern w:val="21"/>
          <w:sz w:val="24"/>
          <w:lang w:val="en-US"/>
        </w:rPr>
        <w:t>每条线用排水情况见下表。</w:t>
      </w: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sectPr>
          <w:pgSz w:w="11907" w:h="16840"/>
          <w:pgMar w:top="1440" w:right="1800" w:bottom="1440" w:left="1800" w:header="1134" w:footer="1029" w:gutter="0"/>
          <w:cols w:space="720" w:num="1"/>
        </w:sectPr>
      </w:pPr>
    </w:p>
    <w:p>
      <w:pPr>
        <w:adjustRightInd w:val="0"/>
        <w:snapToGrid w:val="0"/>
        <w:jc w:val="center"/>
        <w:rPr>
          <w:rFonts w:eastAsia="黑体"/>
          <w:color w:val="auto"/>
          <w:kern w:val="21"/>
          <w:sz w:val="24"/>
          <w:szCs w:val="24"/>
        </w:rPr>
      </w:pPr>
      <w:r>
        <w:rPr>
          <w:rFonts w:eastAsia="黑体"/>
          <w:bCs/>
          <w:color w:val="auto"/>
          <w:kern w:val="21"/>
          <w:sz w:val="24"/>
          <w:szCs w:val="24"/>
        </w:rPr>
        <w:t>表</w:t>
      </w:r>
      <w:r>
        <w:rPr>
          <w:rFonts w:hint="eastAsia" w:eastAsia="黑体"/>
          <w:bCs/>
          <w:color w:val="auto"/>
          <w:kern w:val="21"/>
          <w:sz w:val="24"/>
          <w:szCs w:val="24"/>
        </w:rPr>
        <w:t>3.4-10</w:t>
      </w:r>
      <w:r>
        <w:rPr>
          <w:rFonts w:eastAsia="黑体"/>
          <w:bCs/>
          <w:color w:val="auto"/>
          <w:kern w:val="21"/>
          <w:sz w:val="24"/>
          <w:szCs w:val="24"/>
        </w:rPr>
        <w:t xml:space="preserve">  含锌</w:t>
      </w:r>
      <w:r>
        <w:rPr>
          <w:rFonts w:hint="eastAsia" w:eastAsia="黑体"/>
          <w:color w:val="auto"/>
          <w:kern w:val="21"/>
          <w:sz w:val="24"/>
          <w:szCs w:val="24"/>
        </w:rPr>
        <w:t>废水污染源源强核算结果及相关参数一览表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095"/>
        <w:gridCol w:w="1065"/>
        <w:gridCol w:w="1290"/>
        <w:gridCol w:w="1530"/>
        <w:gridCol w:w="975"/>
        <w:gridCol w:w="1262"/>
        <w:gridCol w:w="848"/>
        <w:gridCol w:w="1060"/>
        <w:gridCol w:w="967"/>
        <w:gridCol w:w="1086"/>
        <w:gridCol w:w="817"/>
        <w:gridCol w:w="11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 w:type="pct"/>
            <w:vMerge w:val="restart"/>
            <w:vAlign w:val="center"/>
          </w:tcPr>
          <w:p>
            <w:pPr>
              <w:adjustRightInd w:val="0"/>
              <w:snapToGrid w:val="0"/>
              <w:jc w:val="center"/>
              <w:rPr>
                <w:b/>
                <w:bCs w:val="0"/>
                <w:color w:val="auto"/>
                <w:kern w:val="21"/>
                <w:lang w:bidi="ar"/>
              </w:rPr>
            </w:pPr>
            <w:r>
              <w:rPr>
                <w:b/>
                <w:bCs w:val="0"/>
                <w:color w:val="auto"/>
                <w:kern w:val="21"/>
                <w:lang w:bidi="ar"/>
              </w:rPr>
              <w:t>生产线名称</w:t>
            </w:r>
          </w:p>
        </w:tc>
        <w:tc>
          <w:tcPr>
            <w:tcW w:w="386" w:type="pct"/>
            <w:vMerge w:val="restart"/>
            <w:vAlign w:val="center"/>
          </w:tcPr>
          <w:p>
            <w:pPr>
              <w:adjustRightInd w:val="0"/>
              <w:snapToGrid w:val="0"/>
              <w:jc w:val="center"/>
              <w:rPr>
                <w:b/>
                <w:bCs w:val="0"/>
                <w:color w:val="auto"/>
                <w:kern w:val="21"/>
                <w:lang w:bidi="ar"/>
              </w:rPr>
            </w:pPr>
            <w:r>
              <w:rPr>
                <w:b/>
                <w:bCs w:val="0"/>
                <w:color w:val="auto"/>
                <w:kern w:val="21"/>
                <w:lang w:bidi="ar"/>
              </w:rPr>
              <w:t>槽体名称</w:t>
            </w:r>
          </w:p>
        </w:tc>
        <w:tc>
          <w:tcPr>
            <w:tcW w:w="375" w:type="pct"/>
            <w:vMerge w:val="restart"/>
            <w:vAlign w:val="center"/>
          </w:tcPr>
          <w:p>
            <w:pPr>
              <w:adjustRightInd w:val="0"/>
              <w:snapToGrid w:val="0"/>
              <w:jc w:val="center"/>
              <w:rPr>
                <w:b/>
                <w:bCs w:val="0"/>
                <w:color w:val="auto"/>
                <w:kern w:val="21"/>
                <w:lang w:bidi="ar"/>
              </w:rPr>
            </w:pPr>
            <w:r>
              <w:rPr>
                <w:b/>
                <w:bCs w:val="0"/>
                <w:color w:val="auto"/>
                <w:kern w:val="21"/>
                <w:lang w:bidi="ar"/>
              </w:rPr>
              <w:t>单</w:t>
            </w:r>
            <w:r>
              <w:rPr>
                <w:rFonts w:hint="eastAsia"/>
                <w:b/>
                <w:bCs w:val="0"/>
                <w:color w:val="auto"/>
                <w:kern w:val="21"/>
                <w:lang w:val="en-US" w:eastAsia="zh-CN" w:bidi="ar"/>
              </w:rPr>
              <w:t>条</w:t>
            </w:r>
            <w:r>
              <w:rPr>
                <w:b/>
                <w:bCs w:val="0"/>
                <w:color w:val="auto"/>
                <w:kern w:val="21"/>
                <w:lang w:bidi="ar"/>
              </w:rPr>
              <w:t>线数量（个）</w:t>
            </w:r>
          </w:p>
        </w:tc>
        <w:tc>
          <w:tcPr>
            <w:tcW w:w="454" w:type="pct"/>
            <w:vMerge w:val="restart"/>
            <w:vAlign w:val="center"/>
          </w:tcPr>
          <w:p>
            <w:pPr>
              <w:adjustRightInd w:val="0"/>
              <w:snapToGrid w:val="0"/>
              <w:jc w:val="center"/>
              <w:rPr>
                <w:b/>
                <w:bCs w:val="0"/>
                <w:color w:val="auto"/>
                <w:kern w:val="21"/>
                <w:lang w:bidi="ar"/>
              </w:rPr>
            </w:pPr>
            <w:r>
              <w:rPr>
                <w:b/>
                <w:bCs w:val="0"/>
                <w:color w:val="auto"/>
                <w:kern w:val="21"/>
                <w:lang w:bidi="ar"/>
              </w:rPr>
              <w:t>尺寸（m）</w:t>
            </w:r>
          </w:p>
          <w:p>
            <w:pPr>
              <w:adjustRightInd w:val="0"/>
              <w:snapToGrid w:val="0"/>
              <w:jc w:val="center"/>
              <w:rPr>
                <w:b/>
                <w:bCs w:val="0"/>
                <w:color w:val="auto"/>
                <w:kern w:val="21"/>
                <w:lang w:bidi="ar"/>
              </w:rPr>
            </w:pPr>
            <w:r>
              <w:rPr>
                <w:b/>
                <w:bCs w:val="0"/>
                <w:color w:val="auto"/>
                <w:kern w:val="21"/>
                <w:lang w:bidi="ar"/>
              </w:rPr>
              <w:t>长×宽×高</w:t>
            </w:r>
          </w:p>
        </w:tc>
        <w:tc>
          <w:tcPr>
            <w:tcW w:w="539" w:type="pct"/>
            <w:vMerge w:val="restart"/>
            <w:vAlign w:val="center"/>
          </w:tcPr>
          <w:p>
            <w:pPr>
              <w:adjustRightInd w:val="0"/>
              <w:snapToGrid w:val="0"/>
              <w:jc w:val="center"/>
              <w:rPr>
                <w:b/>
                <w:bCs w:val="0"/>
                <w:color w:val="auto"/>
                <w:kern w:val="21"/>
                <w:lang w:bidi="ar"/>
              </w:rPr>
            </w:pPr>
            <w:r>
              <w:rPr>
                <w:b/>
                <w:bCs w:val="0"/>
                <w:color w:val="auto"/>
                <w:kern w:val="21"/>
                <w:lang w:bidi="ar"/>
              </w:rPr>
              <w:t xml:space="preserve">溶液总容积 </w:t>
            </w:r>
          </w:p>
          <w:p>
            <w:pPr>
              <w:adjustRightInd w:val="0"/>
              <w:snapToGrid w:val="0"/>
              <w:jc w:val="center"/>
              <w:rPr>
                <w:b/>
                <w:bCs w:val="0"/>
                <w:color w:val="auto"/>
                <w:kern w:val="21"/>
                <w:lang w:bidi="ar"/>
              </w:rPr>
            </w:pPr>
            <w:r>
              <w:rPr>
                <w:b/>
                <w:bCs w:val="0"/>
                <w:color w:val="auto"/>
                <w:kern w:val="21"/>
                <w:lang w:bidi="ar"/>
              </w:rPr>
              <w:t>（m</w:t>
            </w:r>
            <w:r>
              <w:rPr>
                <w:b/>
                <w:bCs w:val="0"/>
                <w:color w:val="auto"/>
                <w:kern w:val="21"/>
                <w:vertAlign w:val="superscript"/>
                <w:lang w:bidi="ar"/>
              </w:rPr>
              <w:t>3</w:t>
            </w:r>
            <w:r>
              <w:rPr>
                <w:b/>
                <w:bCs w:val="0"/>
                <w:color w:val="auto"/>
                <w:kern w:val="21"/>
                <w:lang w:bidi="ar"/>
              </w:rPr>
              <w:t>）</w:t>
            </w:r>
          </w:p>
        </w:tc>
        <w:tc>
          <w:tcPr>
            <w:tcW w:w="343" w:type="pct"/>
            <w:vMerge w:val="restart"/>
            <w:vAlign w:val="center"/>
          </w:tcPr>
          <w:p>
            <w:pPr>
              <w:adjustRightInd w:val="0"/>
              <w:snapToGrid w:val="0"/>
              <w:jc w:val="center"/>
              <w:rPr>
                <w:b/>
                <w:bCs w:val="0"/>
                <w:color w:val="auto"/>
                <w:kern w:val="21"/>
                <w:lang w:bidi="ar"/>
              </w:rPr>
            </w:pPr>
            <w:r>
              <w:rPr>
                <w:b/>
                <w:bCs w:val="0"/>
                <w:color w:val="auto"/>
                <w:kern w:val="21"/>
                <w:lang w:bidi="ar"/>
              </w:rPr>
              <w:t>工作时间h/d</w:t>
            </w:r>
          </w:p>
        </w:tc>
        <w:tc>
          <w:tcPr>
            <w:tcW w:w="445" w:type="pct"/>
            <w:vMerge w:val="restart"/>
            <w:vAlign w:val="center"/>
          </w:tcPr>
          <w:p>
            <w:pPr>
              <w:adjustRightInd w:val="0"/>
              <w:snapToGrid w:val="0"/>
              <w:jc w:val="center"/>
              <w:rPr>
                <w:b/>
                <w:bCs w:val="0"/>
                <w:color w:val="auto"/>
                <w:kern w:val="21"/>
                <w:lang w:bidi="ar"/>
              </w:rPr>
            </w:pPr>
            <w:r>
              <w:rPr>
                <w:b/>
                <w:bCs w:val="0"/>
                <w:color w:val="auto"/>
                <w:kern w:val="21"/>
                <w:lang w:bidi="ar"/>
              </w:rPr>
              <w:t>排放方式</w:t>
            </w:r>
          </w:p>
        </w:tc>
        <w:tc>
          <w:tcPr>
            <w:tcW w:w="299" w:type="pct"/>
            <w:vMerge w:val="restart"/>
            <w:vAlign w:val="center"/>
          </w:tcPr>
          <w:p>
            <w:pPr>
              <w:adjustRightInd w:val="0"/>
              <w:snapToGrid w:val="0"/>
              <w:jc w:val="center"/>
              <w:rPr>
                <w:b/>
                <w:bCs w:val="0"/>
                <w:color w:val="auto"/>
                <w:kern w:val="21"/>
                <w:lang w:bidi="ar"/>
              </w:rPr>
            </w:pPr>
            <w:r>
              <w:rPr>
                <w:b/>
                <w:bCs w:val="0"/>
                <w:color w:val="auto"/>
                <w:kern w:val="21"/>
                <w:lang w:bidi="ar"/>
              </w:rPr>
              <w:t>溢流速度</w:t>
            </w:r>
          </w:p>
          <w:p>
            <w:pPr>
              <w:adjustRightInd w:val="0"/>
              <w:snapToGrid w:val="0"/>
              <w:jc w:val="center"/>
              <w:rPr>
                <w:b/>
                <w:bCs w:val="0"/>
                <w:color w:val="auto"/>
                <w:kern w:val="21"/>
                <w:lang w:bidi="ar"/>
              </w:rPr>
            </w:pPr>
            <w:r>
              <w:rPr>
                <w:b/>
                <w:bCs w:val="0"/>
                <w:color w:val="auto"/>
                <w:kern w:val="21"/>
                <w:lang w:bidi="ar"/>
              </w:rPr>
              <w:t>L/h</w:t>
            </w:r>
          </w:p>
        </w:tc>
        <w:tc>
          <w:tcPr>
            <w:tcW w:w="714" w:type="pct"/>
            <w:gridSpan w:val="2"/>
            <w:vAlign w:val="center"/>
          </w:tcPr>
          <w:p>
            <w:pPr>
              <w:adjustRightInd w:val="0"/>
              <w:snapToGrid w:val="0"/>
              <w:jc w:val="center"/>
              <w:rPr>
                <w:b/>
                <w:bCs w:val="0"/>
                <w:color w:val="auto"/>
                <w:kern w:val="21"/>
                <w:lang w:bidi="ar"/>
              </w:rPr>
            </w:pPr>
            <w:r>
              <w:rPr>
                <w:b/>
                <w:bCs w:val="0"/>
                <w:color w:val="auto"/>
                <w:kern w:val="21"/>
                <w:lang w:bidi="ar"/>
              </w:rPr>
              <w:t>用水（m</w:t>
            </w:r>
            <w:r>
              <w:rPr>
                <w:b/>
                <w:bCs w:val="0"/>
                <w:color w:val="auto"/>
                <w:kern w:val="21"/>
                <w:vertAlign w:val="superscript"/>
                <w:lang w:bidi="ar"/>
              </w:rPr>
              <w:t>3</w:t>
            </w:r>
            <w:r>
              <w:rPr>
                <w:b/>
                <w:bCs w:val="0"/>
                <w:color w:val="auto"/>
                <w:kern w:val="21"/>
                <w:lang w:bidi="ar"/>
              </w:rPr>
              <w:t>/d）</w:t>
            </w:r>
          </w:p>
        </w:tc>
        <w:tc>
          <w:tcPr>
            <w:tcW w:w="1083" w:type="pct"/>
            <w:gridSpan w:val="3"/>
            <w:vAlign w:val="center"/>
          </w:tcPr>
          <w:p>
            <w:pPr>
              <w:adjustRightInd w:val="0"/>
              <w:snapToGrid w:val="0"/>
              <w:jc w:val="center"/>
              <w:rPr>
                <w:b/>
                <w:bCs w:val="0"/>
                <w:color w:val="auto"/>
                <w:kern w:val="21"/>
                <w:lang w:bidi="ar"/>
              </w:rPr>
            </w:pPr>
            <w:r>
              <w:rPr>
                <w:b/>
                <w:bCs w:val="0"/>
                <w:color w:val="auto"/>
                <w:kern w:val="21"/>
                <w:lang w:bidi="ar"/>
              </w:rPr>
              <w:t>废水（m</w:t>
            </w:r>
            <w:r>
              <w:rPr>
                <w:b/>
                <w:bCs w:val="0"/>
                <w:color w:val="auto"/>
                <w:kern w:val="21"/>
                <w:vertAlign w:val="superscript"/>
                <w:lang w:bidi="ar"/>
              </w:rPr>
              <w:t>3</w:t>
            </w:r>
            <w:r>
              <w:rPr>
                <w:b/>
                <w:bCs w:val="0"/>
                <w:color w:val="auto"/>
                <w:kern w:val="21"/>
                <w:lang w:bidi="ar"/>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 w:type="pct"/>
            <w:vMerge w:val="continue"/>
            <w:vAlign w:val="center"/>
          </w:tcPr>
          <w:p>
            <w:pPr>
              <w:adjustRightInd w:val="0"/>
              <w:snapToGrid w:val="0"/>
              <w:jc w:val="center"/>
              <w:rPr>
                <w:b/>
                <w:bCs w:val="0"/>
                <w:color w:val="auto"/>
                <w:kern w:val="21"/>
                <w:lang w:bidi="ar"/>
              </w:rPr>
            </w:pPr>
          </w:p>
        </w:tc>
        <w:tc>
          <w:tcPr>
            <w:tcW w:w="386" w:type="pct"/>
            <w:vMerge w:val="continue"/>
            <w:vAlign w:val="center"/>
          </w:tcPr>
          <w:p>
            <w:pPr>
              <w:adjustRightInd w:val="0"/>
              <w:snapToGrid w:val="0"/>
              <w:jc w:val="center"/>
              <w:rPr>
                <w:b/>
                <w:bCs w:val="0"/>
                <w:color w:val="auto"/>
                <w:kern w:val="21"/>
                <w:lang w:bidi="ar"/>
              </w:rPr>
            </w:pPr>
          </w:p>
        </w:tc>
        <w:tc>
          <w:tcPr>
            <w:tcW w:w="375" w:type="pct"/>
            <w:vMerge w:val="continue"/>
            <w:vAlign w:val="center"/>
          </w:tcPr>
          <w:p>
            <w:pPr>
              <w:adjustRightInd w:val="0"/>
              <w:snapToGrid w:val="0"/>
              <w:jc w:val="center"/>
              <w:rPr>
                <w:b/>
                <w:bCs w:val="0"/>
                <w:color w:val="auto"/>
                <w:kern w:val="21"/>
                <w:lang w:bidi="ar"/>
              </w:rPr>
            </w:pPr>
          </w:p>
        </w:tc>
        <w:tc>
          <w:tcPr>
            <w:tcW w:w="454" w:type="pct"/>
            <w:vMerge w:val="continue"/>
            <w:vAlign w:val="center"/>
          </w:tcPr>
          <w:p>
            <w:pPr>
              <w:adjustRightInd w:val="0"/>
              <w:snapToGrid w:val="0"/>
              <w:jc w:val="center"/>
              <w:rPr>
                <w:b/>
                <w:bCs w:val="0"/>
                <w:color w:val="auto"/>
                <w:kern w:val="21"/>
                <w:lang w:bidi="ar"/>
              </w:rPr>
            </w:pPr>
          </w:p>
        </w:tc>
        <w:tc>
          <w:tcPr>
            <w:tcW w:w="539" w:type="pct"/>
            <w:vMerge w:val="continue"/>
            <w:vAlign w:val="center"/>
          </w:tcPr>
          <w:p>
            <w:pPr>
              <w:adjustRightInd w:val="0"/>
              <w:snapToGrid w:val="0"/>
              <w:jc w:val="center"/>
              <w:rPr>
                <w:b/>
                <w:bCs w:val="0"/>
                <w:color w:val="auto"/>
                <w:kern w:val="21"/>
                <w:lang w:bidi="ar"/>
              </w:rPr>
            </w:pPr>
          </w:p>
        </w:tc>
        <w:tc>
          <w:tcPr>
            <w:tcW w:w="343" w:type="pct"/>
            <w:vMerge w:val="continue"/>
            <w:vAlign w:val="center"/>
          </w:tcPr>
          <w:p>
            <w:pPr>
              <w:adjustRightInd w:val="0"/>
              <w:snapToGrid w:val="0"/>
              <w:jc w:val="center"/>
              <w:rPr>
                <w:b/>
                <w:bCs w:val="0"/>
                <w:color w:val="auto"/>
                <w:kern w:val="21"/>
                <w:lang w:bidi="ar"/>
              </w:rPr>
            </w:pPr>
          </w:p>
        </w:tc>
        <w:tc>
          <w:tcPr>
            <w:tcW w:w="445" w:type="pct"/>
            <w:vMerge w:val="continue"/>
            <w:vAlign w:val="center"/>
          </w:tcPr>
          <w:p>
            <w:pPr>
              <w:adjustRightInd w:val="0"/>
              <w:snapToGrid w:val="0"/>
              <w:jc w:val="center"/>
              <w:rPr>
                <w:b/>
                <w:bCs w:val="0"/>
                <w:color w:val="auto"/>
                <w:kern w:val="21"/>
                <w:lang w:bidi="ar"/>
              </w:rPr>
            </w:pPr>
          </w:p>
        </w:tc>
        <w:tc>
          <w:tcPr>
            <w:tcW w:w="299" w:type="pct"/>
            <w:vMerge w:val="continue"/>
            <w:vAlign w:val="center"/>
          </w:tcPr>
          <w:p>
            <w:pPr>
              <w:adjustRightInd w:val="0"/>
              <w:snapToGrid w:val="0"/>
              <w:jc w:val="center"/>
              <w:rPr>
                <w:b/>
                <w:bCs w:val="0"/>
                <w:color w:val="auto"/>
                <w:kern w:val="21"/>
                <w:lang w:bidi="ar"/>
              </w:rPr>
            </w:pPr>
          </w:p>
        </w:tc>
        <w:tc>
          <w:tcPr>
            <w:tcW w:w="373" w:type="pct"/>
            <w:vAlign w:val="center"/>
          </w:tcPr>
          <w:p>
            <w:pPr>
              <w:adjustRightInd w:val="0"/>
              <w:snapToGrid w:val="0"/>
              <w:jc w:val="center"/>
              <w:rPr>
                <w:b/>
                <w:bCs w:val="0"/>
                <w:color w:val="auto"/>
                <w:kern w:val="21"/>
                <w:lang w:bidi="ar"/>
              </w:rPr>
            </w:pPr>
            <w:r>
              <w:rPr>
                <w:b/>
                <w:bCs w:val="0"/>
                <w:color w:val="auto"/>
                <w:kern w:val="21"/>
                <w:lang w:bidi="ar"/>
              </w:rPr>
              <w:t>水量</w:t>
            </w:r>
          </w:p>
        </w:tc>
        <w:tc>
          <w:tcPr>
            <w:tcW w:w="341" w:type="pct"/>
            <w:vAlign w:val="center"/>
          </w:tcPr>
          <w:p>
            <w:pPr>
              <w:adjustRightInd w:val="0"/>
              <w:snapToGrid w:val="0"/>
              <w:jc w:val="center"/>
              <w:rPr>
                <w:b/>
                <w:bCs w:val="0"/>
                <w:color w:val="auto"/>
                <w:kern w:val="21"/>
                <w:lang w:bidi="ar"/>
              </w:rPr>
            </w:pPr>
            <w:r>
              <w:rPr>
                <w:b/>
                <w:bCs w:val="0"/>
                <w:color w:val="auto"/>
                <w:kern w:val="21"/>
                <w:lang w:bidi="ar"/>
              </w:rPr>
              <w:t>来源</w:t>
            </w:r>
          </w:p>
        </w:tc>
        <w:tc>
          <w:tcPr>
            <w:tcW w:w="383" w:type="pct"/>
            <w:vAlign w:val="center"/>
          </w:tcPr>
          <w:p>
            <w:pPr>
              <w:adjustRightInd w:val="0"/>
              <w:snapToGrid w:val="0"/>
              <w:jc w:val="center"/>
              <w:rPr>
                <w:b/>
                <w:bCs w:val="0"/>
                <w:color w:val="auto"/>
                <w:kern w:val="21"/>
                <w:lang w:bidi="ar"/>
              </w:rPr>
            </w:pPr>
            <w:r>
              <w:rPr>
                <w:b/>
                <w:bCs w:val="0"/>
                <w:color w:val="auto"/>
                <w:kern w:val="21"/>
                <w:lang w:bidi="ar"/>
              </w:rPr>
              <w:t>水量</w:t>
            </w:r>
          </w:p>
        </w:tc>
        <w:tc>
          <w:tcPr>
            <w:tcW w:w="288" w:type="pct"/>
            <w:vAlign w:val="center"/>
          </w:tcPr>
          <w:p>
            <w:pPr>
              <w:adjustRightInd w:val="0"/>
              <w:snapToGrid w:val="0"/>
              <w:jc w:val="center"/>
              <w:rPr>
                <w:b/>
                <w:bCs w:val="0"/>
                <w:color w:val="auto"/>
                <w:kern w:val="21"/>
                <w:lang w:bidi="ar"/>
              </w:rPr>
            </w:pPr>
            <w:r>
              <w:rPr>
                <w:b/>
                <w:bCs w:val="0"/>
                <w:color w:val="auto"/>
                <w:kern w:val="21"/>
                <w:lang w:bidi="ar"/>
              </w:rPr>
              <w:t>类型</w:t>
            </w:r>
          </w:p>
        </w:tc>
        <w:tc>
          <w:tcPr>
            <w:tcW w:w="411" w:type="pct"/>
            <w:vAlign w:val="center"/>
          </w:tcPr>
          <w:p>
            <w:pPr>
              <w:adjustRightInd w:val="0"/>
              <w:snapToGrid w:val="0"/>
              <w:jc w:val="center"/>
              <w:rPr>
                <w:b/>
                <w:bCs w:val="0"/>
                <w:color w:val="auto"/>
                <w:kern w:val="21"/>
                <w:lang w:bidi="ar"/>
              </w:rPr>
            </w:pPr>
            <w:r>
              <w:rPr>
                <w:b/>
                <w:bCs w:val="0"/>
                <w:color w:val="auto"/>
                <w:kern w:val="21"/>
                <w:lang w:bidi="ar"/>
              </w:rPr>
              <w:t xml:space="preserve">更换频率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 w:type="pct"/>
            <w:vMerge w:val="restart"/>
            <w:vAlign w:val="center"/>
          </w:tcPr>
          <w:p>
            <w:pPr>
              <w:adjustRightInd w:val="0"/>
              <w:snapToGrid w:val="0"/>
              <w:jc w:val="center"/>
              <w:rPr>
                <w:b/>
                <w:color w:val="auto"/>
                <w:kern w:val="21"/>
                <w:highlight w:val="yellow"/>
                <w:lang w:bidi="ar"/>
              </w:rPr>
            </w:pPr>
            <w:r>
              <w:rPr>
                <w:rFonts w:hint="eastAsia"/>
                <w:bCs/>
                <w:color w:val="auto"/>
                <w:kern w:val="21"/>
                <w:lang w:bidi="ar"/>
              </w:rPr>
              <w:t>1条电池箱镀锌线</w:t>
            </w:r>
          </w:p>
        </w:tc>
        <w:tc>
          <w:tcPr>
            <w:tcW w:w="386" w:type="pct"/>
            <w:vAlign w:val="center"/>
          </w:tcPr>
          <w:p>
            <w:pPr>
              <w:adjustRightInd w:val="0"/>
              <w:snapToGrid w:val="0"/>
              <w:jc w:val="center"/>
              <w:rPr>
                <w:bCs/>
                <w:color w:val="auto"/>
                <w:kern w:val="21"/>
                <w:lang w:bidi="ar"/>
              </w:rPr>
            </w:pPr>
            <w:r>
              <w:rPr>
                <w:rFonts w:hint="eastAsia"/>
                <w:bCs/>
                <w:color w:val="auto"/>
                <w:kern w:val="21"/>
                <w:lang w:eastAsia="zh-CN" w:bidi="ar"/>
              </w:rPr>
              <w:t>镀锌后</w:t>
            </w:r>
            <w:r>
              <w:rPr>
                <w:bCs/>
                <w:color w:val="auto"/>
                <w:kern w:val="21"/>
                <w:lang w:bidi="ar"/>
              </w:rPr>
              <w:t>水洗槽</w:t>
            </w:r>
          </w:p>
        </w:tc>
        <w:tc>
          <w:tcPr>
            <w:tcW w:w="375" w:type="pct"/>
            <w:vAlign w:val="center"/>
          </w:tcPr>
          <w:p>
            <w:pPr>
              <w:adjustRightInd w:val="0"/>
              <w:snapToGrid w:val="0"/>
              <w:jc w:val="center"/>
              <w:rPr>
                <w:bCs/>
                <w:color w:val="auto"/>
                <w:kern w:val="21"/>
                <w:lang w:bidi="ar"/>
              </w:rPr>
            </w:pPr>
            <w:r>
              <w:rPr>
                <w:rFonts w:hint="eastAsia"/>
                <w:bCs/>
                <w:color w:val="auto"/>
                <w:kern w:val="21"/>
                <w:lang w:bidi="ar"/>
              </w:rPr>
              <w:t>2</w:t>
            </w:r>
          </w:p>
        </w:tc>
        <w:tc>
          <w:tcPr>
            <w:tcW w:w="454"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39"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19.04</w:t>
            </w:r>
          </w:p>
        </w:tc>
        <w:tc>
          <w:tcPr>
            <w:tcW w:w="343" w:type="pct"/>
            <w:vAlign w:val="center"/>
          </w:tcPr>
          <w:p>
            <w:pPr>
              <w:adjustRightInd w:val="0"/>
              <w:snapToGrid w:val="0"/>
              <w:jc w:val="center"/>
              <w:rPr>
                <w:bCs/>
                <w:color w:val="auto"/>
                <w:kern w:val="21"/>
                <w:lang w:bidi="ar"/>
              </w:rPr>
            </w:pPr>
            <w:r>
              <w:rPr>
                <w:rFonts w:hint="eastAsia"/>
                <w:bCs/>
                <w:color w:val="auto"/>
                <w:kern w:val="21"/>
                <w:lang w:bidi="ar"/>
              </w:rPr>
              <w:t>24</w:t>
            </w:r>
          </w:p>
        </w:tc>
        <w:tc>
          <w:tcPr>
            <w:tcW w:w="445" w:type="pct"/>
            <w:vAlign w:val="center"/>
          </w:tcPr>
          <w:p>
            <w:pPr>
              <w:adjustRightInd w:val="0"/>
              <w:snapToGrid w:val="0"/>
              <w:jc w:val="center"/>
              <w:rPr>
                <w:bCs/>
                <w:color w:val="auto"/>
                <w:kern w:val="21"/>
                <w:lang w:bidi="ar"/>
              </w:rPr>
            </w:pPr>
            <w:r>
              <w:rPr>
                <w:color w:val="auto"/>
                <w:kern w:val="21"/>
                <w:lang w:bidi="ar"/>
              </w:rPr>
              <w:t>连续溢流</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73" w:type="pct"/>
            <w:vAlign w:val="center"/>
          </w:tcPr>
          <w:p>
            <w:pPr>
              <w:adjustRightInd w:val="0"/>
              <w:snapToGrid w:val="0"/>
              <w:jc w:val="center"/>
              <w:rPr>
                <w:bCs/>
                <w:color w:val="auto"/>
                <w:kern w:val="21"/>
                <w:lang w:bidi="ar"/>
              </w:rPr>
            </w:pPr>
            <w:r>
              <w:rPr>
                <w:rFonts w:hint="eastAsia"/>
                <w:bCs/>
                <w:color w:val="auto"/>
                <w:kern w:val="21"/>
                <w:lang w:bidi="ar"/>
              </w:rPr>
              <w:t>4.8</w:t>
            </w:r>
          </w:p>
        </w:tc>
        <w:tc>
          <w:tcPr>
            <w:tcW w:w="341" w:type="pct"/>
            <w:vAlign w:val="center"/>
          </w:tcPr>
          <w:p>
            <w:pPr>
              <w:jc w:val="center"/>
              <w:rPr>
                <w:color w:val="auto"/>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8" w:type="pct"/>
            <w:vAlign w:val="center"/>
          </w:tcPr>
          <w:p>
            <w:pPr>
              <w:adjustRightInd w:val="0"/>
              <w:snapToGrid w:val="0"/>
              <w:jc w:val="center"/>
              <w:rPr>
                <w:bCs/>
                <w:color w:val="auto"/>
                <w:kern w:val="21"/>
                <w:lang w:bidi="ar"/>
              </w:rPr>
            </w:pPr>
            <w:r>
              <w:rPr>
                <w:bCs/>
                <w:color w:val="auto"/>
                <w:kern w:val="21"/>
                <w:lang w:bidi="ar"/>
              </w:rPr>
              <w:t>含锌废水</w:t>
            </w:r>
          </w:p>
        </w:tc>
        <w:tc>
          <w:tcPr>
            <w:tcW w:w="411"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 w:type="pct"/>
            <w:vMerge w:val="continue"/>
            <w:vAlign w:val="center"/>
          </w:tcPr>
          <w:p>
            <w:pPr>
              <w:adjustRightInd w:val="0"/>
              <w:snapToGrid w:val="0"/>
              <w:jc w:val="center"/>
              <w:rPr>
                <w:bCs/>
                <w:color w:val="auto"/>
                <w:kern w:val="21"/>
                <w:lang w:bidi="ar"/>
              </w:rPr>
            </w:pPr>
          </w:p>
        </w:tc>
        <w:tc>
          <w:tcPr>
            <w:tcW w:w="386" w:type="pct"/>
            <w:vAlign w:val="center"/>
          </w:tcPr>
          <w:p>
            <w:pPr>
              <w:adjustRightInd w:val="0"/>
              <w:snapToGrid w:val="0"/>
              <w:jc w:val="center"/>
              <w:rPr>
                <w:bCs/>
                <w:color w:val="auto"/>
                <w:kern w:val="21"/>
                <w:lang w:bidi="ar"/>
              </w:rPr>
            </w:pPr>
            <w:r>
              <w:rPr>
                <w:bCs/>
                <w:color w:val="auto"/>
                <w:kern w:val="21"/>
                <w:lang w:bidi="ar"/>
              </w:rPr>
              <w:t>出光槽</w:t>
            </w:r>
          </w:p>
        </w:tc>
        <w:tc>
          <w:tcPr>
            <w:tcW w:w="375" w:type="pct"/>
            <w:vAlign w:val="center"/>
          </w:tcPr>
          <w:p>
            <w:pPr>
              <w:adjustRightInd w:val="0"/>
              <w:snapToGrid w:val="0"/>
              <w:jc w:val="center"/>
              <w:rPr>
                <w:bCs/>
                <w:color w:val="auto"/>
                <w:kern w:val="21"/>
                <w:lang w:bidi="ar"/>
              </w:rPr>
            </w:pPr>
            <w:r>
              <w:rPr>
                <w:rFonts w:hint="eastAsia"/>
                <w:bCs/>
                <w:color w:val="auto"/>
                <w:kern w:val="21"/>
                <w:lang w:bidi="ar"/>
              </w:rPr>
              <w:t>1</w:t>
            </w:r>
          </w:p>
        </w:tc>
        <w:tc>
          <w:tcPr>
            <w:tcW w:w="454"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1.0</w:t>
            </w:r>
            <w:r>
              <w:rPr>
                <w:bCs/>
                <w:color w:val="auto"/>
                <w:kern w:val="21"/>
                <w:lang w:bidi="ar"/>
              </w:rPr>
              <w:t>×</w:t>
            </w:r>
            <w:r>
              <w:rPr>
                <w:rFonts w:hint="eastAsia"/>
                <w:bCs/>
                <w:color w:val="auto"/>
                <w:kern w:val="21"/>
                <w:lang w:bidi="ar"/>
              </w:rPr>
              <w:t>1.7</w:t>
            </w:r>
          </w:p>
        </w:tc>
        <w:tc>
          <w:tcPr>
            <w:tcW w:w="539" w:type="pct"/>
            <w:vAlign w:val="center"/>
          </w:tcPr>
          <w:p>
            <w:pPr>
              <w:adjustRightInd w:val="0"/>
              <w:snapToGrid w:val="0"/>
              <w:jc w:val="center"/>
              <w:rPr>
                <w:bCs/>
                <w:color w:val="auto"/>
                <w:kern w:val="21"/>
                <w:lang w:bidi="ar"/>
              </w:rPr>
            </w:pPr>
            <w:r>
              <w:rPr>
                <w:rFonts w:hint="eastAsia"/>
                <w:bCs/>
                <w:color w:val="auto"/>
                <w:kern w:val="21"/>
                <w:lang w:bidi="ar"/>
              </w:rPr>
              <w:t>11.9</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10.71</w:t>
            </w:r>
          </w:p>
        </w:tc>
        <w:tc>
          <w:tcPr>
            <w:tcW w:w="343" w:type="pct"/>
            <w:vAlign w:val="center"/>
          </w:tcPr>
          <w:p>
            <w:pPr>
              <w:adjustRightInd w:val="0"/>
              <w:snapToGrid w:val="0"/>
              <w:jc w:val="center"/>
              <w:rPr>
                <w:bCs/>
                <w:color w:val="auto"/>
                <w:kern w:val="21"/>
                <w:lang w:bidi="ar"/>
              </w:rPr>
            </w:pPr>
            <w:r>
              <w:rPr>
                <w:bCs/>
                <w:color w:val="auto"/>
                <w:kern w:val="21"/>
                <w:lang w:bidi="ar"/>
              </w:rPr>
              <w:t>24</w:t>
            </w:r>
          </w:p>
        </w:tc>
        <w:tc>
          <w:tcPr>
            <w:tcW w:w="445" w:type="pct"/>
            <w:vAlign w:val="center"/>
          </w:tcPr>
          <w:p>
            <w:pPr>
              <w:adjustRightInd w:val="0"/>
              <w:snapToGrid w:val="0"/>
              <w:jc w:val="center"/>
              <w:rPr>
                <w:color w:val="auto"/>
                <w:kern w:val="21"/>
                <w:lang w:bidi="ar"/>
              </w:rPr>
            </w:pPr>
            <w:r>
              <w:rPr>
                <w:bCs/>
                <w:color w:val="auto"/>
                <w:kern w:val="21"/>
                <w:lang w:bidi="ar"/>
              </w:rPr>
              <w:t>定期更换</w:t>
            </w:r>
          </w:p>
        </w:tc>
        <w:tc>
          <w:tcPr>
            <w:tcW w:w="299" w:type="pct"/>
            <w:vAlign w:val="center"/>
          </w:tcPr>
          <w:p>
            <w:pPr>
              <w:adjustRightInd w:val="0"/>
              <w:snapToGrid w:val="0"/>
              <w:jc w:val="center"/>
              <w:rPr>
                <w:bCs/>
                <w:color w:val="auto"/>
                <w:kern w:val="21"/>
                <w:lang w:bidi="ar"/>
              </w:rPr>
            </w:pPr>
            <w:r>
              <w:rPr>
                <w:rFonts w:hint="eastAsia"/>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0.396</w:t>
            </w:r>
          </w:p>
        </w:tc>
        <w:tc>
          <w:tcPr>
            <w:tcW w:w="341" w:type="pct"/>
            <w:vAlign w:val="center"/>
          </w:tcPr>
          <w:p>
            <w:pPr>
              <w:jc w:val="center"/>
              <w:rPr>
                <w:bCs/>
                <w:color w:val="auto"/>
                <w:kern w:val="21"/>
                <w:lang w:bidi="ar"/>
              </w:rPr>
            </w:pPr>
            <w:r>
              <w:rPr>
                <w:rFonts w:hint="eastAsia"/>
                <w:bCs/>
                <w:color w:val="auto"/>
                <w:kern w:val="21"/>
                <w:lang w:bidi="ar"/>
              </w:rPr>
              <w:t>纯水</w:t>
            </w:r>
          </w:p>
        </w:tc>
        <w:tc>
          <w:tcPr>
            <w:tcW w:w="383"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0.356</w:t>
            </w:r>
            <w:r>
              <w:rPr>
                <w:rFonts w:hint="eastAsia"/>
                <w:bCs/>
                <w:color w:val="auto"/>
                <w:kern w:val="21"/>
                <w:lang w:val="en-US" w:eastAsia="zh-CN" w:bidi="ar"/>
              </w:rPr>
              <w:t>4</w:t>
            </w:r>
          </w:p>
        </w:tc>
        <w:tc>
          <w:tcPr>
            <w:tcW w:w="288" w:type="pct"/>
            <w:vAlign w:val="center"/>
          </w:tcPr>
          <w:p>
            <w:pPr>
              <w:adjustRightInd w:val="0"/>
              <w:snapToGrid w:val="0"/>
              <w:jc w:val="center"/>
              <w:rPr>
                <w:bCs/>
                <w:color w:val="auto"/>
                <w:kern w:val="21"/>
                <w:lang w:bidi="ar"/>
              </w:rPr>
            </w:pPr>
            <w:r>
              <w:rPr>
                <w:bCs/>
                <w:color w:val="auto"/>
                <w:kern w:val="21"/>
                <w:lang w:bidi="ar"/>
              </w:rPr>
              <w:t>含锌废水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1</w:t>
            </w:r>
            <w:r>
              <w:rPr>
                <w:bCs/>
                <w:color w:val="auto"/>
                <w:kern w:val="21"/>
                <w:lang w:bidi="ar"/>
              </w:rPr>
              <w:t>月</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 w:type="pct"/>
            <w:vMerge w:val="continue"/>
            <w:vAlign w:val="center"/>
          </w:tcPr>
          <w:p>
            <w:pPr>
              <w:adjustRightInd w:val="0"/>
              <w:snapToGrid w:val="0"/>
              <w:jc w:val="center"/>
              <w:rPr>
                <w:bCs/>
                <w:color w:val="auto"/>
                <w:kern w:val="21"/>
                <w:lang w:bidi="ar"/>
              </w:rPr>
            </w:pPr>
          </w:p>
        </w:tc>
        <w:tc>
          <w:tcPr>
            <w:tcW w:w="386" w:type="pct"/>
            <w:vAlign w:val="center"/>
          </w:tcPr>
          <w:p>
            <w:pPr>
              <w:adjustRightInd w:val="0"/>
              <w:snapToGrid w:val="0"/>
              <w:jc w:val="center"/>
              <w:rPr>
                <w:bCs/>
                <w:color w:val="auto"/>
                <w:kern w:val="21"/>
                <w:lang w:bidi="ar"/>
              </w:rPr>
            </w:pPr>
            <w:r>
              <w:rPr>
                <w:bCs/>
                <w:color w:val="auto"/>
                <w:kern w:val="21"/>
                <w:lang w:bidi="ar"/>
              </w:rPr>
              <w:t>水洗槽</w:t>
            </w:r>
          </w:p>
        </w:tc>
        <w:tc>
          <w:tcPr>
            <w:tcW w:w="375" w:type="pct"/>
            <w:vAlign w:val="center"/>
          </w:tcPr>
          <w:p>
            <w:pPr>
              <w:adjustRightInd w:val="0"/>
              <w:snapToGrid w:val="0"/>
              <w:jc w:val="center"/>
              <w:rPr>
                <w:bCs/>
                <w:color w:val="auto"/>
                <w:kern w:val="21"/>
                <w:lang w:bidi="ar"/>
              </w:rPr>
            </w:pPr>
            <w:r>
              <w:rPr>
                <w:rFonts w:hint="eastAsia"/>
                <w:bCs/>
                <w:color w:val="auto"/>
                <w:kern w:val="21"/>
                <w:lang w:bidi="ar"/>
              </w:rPr>
              <w:t>1</w:t>
            </w:r>
          </w:p>
        </w:tc>
        <w:tc>
          <w:tcPr>
            <w:tcW w:w="454"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39"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9.52</w:t>
            </w:r>
          </w:p>
        </w:tc>
        <w:tc>
          <w:tcPr>
            <w:tcW w:w="343" w:type="pct"/>
            <w:vAlign w:val="center"/>
          </w:tcPr>
          <w:p>
            <w:pPr>
              <w:adjustRightInd w:val="0"/>
              <w:snapToGrid w:val="0"/>
              <w:jc w:val="center"/>
              <w:rPr>
                <w:bCs/>
                <w:color w:val="auto"/>
                <w:kern w:val="21"/>
                <w:lang w:bidi="ar"/>
              </w:rPr>
            </w:pPr>
            <w:r>
              <w:rPr>
                <w:bCs/>
                <w:color w:val="auto"/>
                <w:kern w:val="21"/>
                <w:lang w:bidi="ar"/>
              </w:rPr>
              <w:t>24</w:t>
            </w:r>
          </w:p>
        </w:tc>
        <w:tc>
          <w:tcPr>
            <w:tcW w:w="445" w:type="pct"/>
            <w:vAlign w:val="center"/>
          </w:tcPr>
          <w:p>
            <w:pPr>
              <w:adjustRightInd w:val="0"/>
              <w:snapToGrid w:val="0"/>
              <w:jc w:val="center"/>
              <w:rPr>
                <w:bCs/>
                <w:color w:val="auto"/>
                <w:kern w:val="21"/>
                <w:lang w:bidi="ar"/>
              </w:rPr>
            </w:pPr>
            <w:r>
              <w:rPr>
                <w:color w:val="auto"/>
                <w:kern w:val="21"/>
                <w:lang w:bidi="ar"/>
              </w:rPr>
              <w:t>连续溢流</w:t>
            </w:r>
          </w:p>
        </w:tc>
        <w:tc>
          <w:tcPr>
            <w:tcW w:w="299"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73" w:type="pct"/>
            <w:vAlign w:val="center"/>
          </w:tcPr>
          <w:p>
            <w:pPr>
              <w:adjustRightInd w:val="0"/>
              <w:snapToGrid w:val="0"/>
              <w:jc w:val="center"/>
              <w:rPr>
                <w:bCs/>
                <w:color w:val="auto"/>
                <w:kern w:val="21"/>
                <w:lang w:bidi="ar"/>
              </w:rPr>
            </w:pPr>
            <w:r>
              <w:rPr>
                <w:rFonts w:hint="eastAsia"/>
                <w:bCs/>
                <w:color w:val="auto"/>
                <w:kern w:val="21"/>
                <w:lang w:bidi="ar"/>
              </w:rPr>
              <w:t>4.8</w:t>
            </w:r>
          </w:p>
        </w:tc>
        <w:tc>
          <w:tcPr>
            <w:tcW w:w="341" w:type="pct"/>
            <w:vAlign w:val="center"/>
          </w:tcPr>
          <w:p>
            <w:pPr>
              <w:jc w:val="center"/>
              <w:rPr>
                <w:color w:val="auto"/>
              </w:rPr>
            </w:pPr>
            <w:r>
              <w:rPr>
                <w:rFonts w:hint="eastAsia"/>
                <w:bCs/>
                <w:color w:val="auto"/>
                <w:kern w:val="21"/>
                <w:lang w:bidi="ar"/>
              </w:rPr>
              <w:t>纯水/</w:t>
            </w:r>
            <w:r>
              <w:rPr>
                <w:bCs/>
                <w:color w:val="auto"/>
                <w:kern w:val="21"/>
                <w:lang w:bidi="ar"/>
              </w:rPr>
              <w:t>回用水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8" w:type="pct"/>
            <w:vAlign w:val="center"/>
          </w:tcPr>
          <w:p>
            <w:pPr>
              <w:adjustRightInd w:val="0"/>
              <w:snapToGrid w:val="0"/>
              <w:jc w:val="center"/>
              <w:rPr>
                <w:bCs/>
                <w:color w:val="auto"/>
                <w:kern w:val="21"/>
                <w:lang w:bidi="ar"/>
              </w:rPr>
            </w:pPr>
            <w:r>
              <w:rPr>
                <w:bCs/>
                <w:color w:val="auto"/>
                <w:kern w:val="21"/>
                <w:lang w:bidi="ar"/>
              </w:rPr>
              <w:t>含锌废水</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57" w:type="pct"/>
            <w:vAlign w:val="center"/>
          </w:tcPr>
          <w:p>
            <w:pPr>
              <w:adjustRightInd w:val="0"/>
              <w:snapToGrid w:val="0"/>
              <w:jc w:val="center"/>
              <w:rPr>
                <w:bCs/>
                <w:color w:val="auto"/>
                <w:kern w:val="21"/>
                <w:lang w:bidi="ar"/>
              </w:rPr>
            </w:pPr>
            <w:r>
              <w:rPr>
                <w:bCs/>
                <w:color w:val="auto"/>
                <w:kern w:val="21"/>
                <w:lang w:bidi="ar"/>
              </w:rPr>
              <w:t>预处理系统</w:t>
            </w:r>
          </w:p>
        </w:tc>
        <w:tc>
          <w:tcPr>
            <w:tcW w:w="386" w:type="pct"/>
            <w:vAlign w:val="center"/>
          </w:tcPr>
          <w:p>
            <w:pPr>
              <w:adjustRightInd w:val="0"/>
              <w:snapToGrid w:val="0"/>
              <w:jc w:val="center"/>
              <w:rPr>
                <w:bCs/>
                <w:color w:val="auto"/>
                <w:kern w:val="21"/>
                <w:lang w:bidi="ar"/>
              </w:rPr>
            </w:pPr>
            <w:r>
              <w:rPr>
                <w:color w:val="auto"/>
                <w:kern w:val="21"/>
                <w:lang w:bidi="ar"/>
              </w:rPr>
              <w:t>反冲洗废水</w:t>
            </w:r>
          </w:p>
        </w:tc>
        <w:tc>
          <w:tcPr>
            <w:tcW w:w="375" w:type="pct"/>
            <w:vAlign w:val="center"/>
          </w:tcPr>
          <w:p>
            <w:pPr>
              <w:adjustRightInd w:val="0"/>
              <w:snapToGrid w:val="0"/>
              <w:jc w:val="center"/>
              <w:rPr>
                <w:bCs/>
                <w:color w:val="auto"/>
                <w:kern w:val="21"/>
                <w:lang w:bidi="ar"/>
              </w:rPr>
            </w:pPr>
            <w:r>
              <w:rPr>
                <w:rFonts w:hint="eastAsia"/>
                <w:bCs/>
                <w:color w:val="auto"/>
                <w:kern w:val="21"/>
                <w:lang w:bidi="ar"/>
              </w:rPr>
              <w:t>/</w:t>
            </w:r>
          </w:p>
        </w:tc>
        <w:tc>
          <w:tcPr>
            <w:tcW w:w="454" w:type="pct"/>
            <w:vAlign w:val="center"/>
          </w:tcPr>
          <w:p>
            <w:pPr>
              <w:adjustRightInd w:val="0"/>
              <w:snapToGrid w:val="0"/>
              <w:jc w:val="center"/>
              <w:rPr>
                <w:bCs/>
                <w:color w:val="auto"/>
                <w:kern w:val="21"/>
                <w:lang w:bidi="ar"/>
              </w:rPr>
            </w:pPr>
            <w:r>
              <w:rPr>
                <w:rFonts w:hint="eastAsia"/>
                <w:bCs/>
                <w:color w:val="auto"/>
                <w:kern w:val="21"/>
                <w:lang w:bidi="ar"/>
              </w:rPr>
              <w:t>/</w:t>
            </w:r>
          </w:p>
        </w:tc>
        <w:tc>
          <w:tcPr>
            <w:tcW w:w="539" w:type="pct"/>
            <w:vAlign w:val="center"/>
          </w:tcPr>
          <w:p>
            <w:pPr>
              <w:adjustRightInd w:val="0"/>
              <w:snapToGrid w:val="0"/>
              <w:jc w:val="center"/>
              <w:rPr>
                <w:bCs/>
                <w:color w:val="auto"/>
                <w:kern w:val="21"/>
                <w:lang w:bidi="ar"/>
              </w:rPr>
            </w:pPr>
            <w:r>
              <w:rPr>
                <w:rFonts w:hint="eastAsia"/>
                <w:bCs/>
                <w:color w:val="auto"/>
                <w:kern w:val="21"/>
                <w:lang w:bidi="ar"/>
              </w:rPr>
              <w:t>/</w:t>
            </w:r>
          </w:p>
        </w:tc>
        <w:tc>
          <w:tcPr>
            <w:tcW w:w="343" w:type="pct"/>
            <w:vAlign w:val="center"/>
          </w:tcPr>
          <w:p>
            <w:pPr>
              <w:adjustRightInd w:val="0"/>
              <w:snapToGrid w:val="0"/>
              <w:jc w:val="center"/>
              <w:rPr>
                <w:bCs/>
                <w:color w:val="auto"/>
                <w:kern w:val="21"/>
                <w:lang w:bidi="ar"/>
              </w:rPr>
            </w:pPr>
            <w:r>
              <w:rPr>
                <w:rFonts w:hint="eastAsia"/>
                <w:bCs/>
                <w:color w:val="auto"/>
                <w:kern w:val="21"/>
                <w:lang w:bidi="ar"/>
              </w:rPr>
              <w:t>/</w:t>
            </w:r>
          </w:p>
        </w:tc>
        <w:tc>
          <w:tcPr>
            <w:tcW w:w="445" w:type="pct"/>
            <w:vAlign w:val="center"/>
          </w:tcPr>
          <w:p>
            <w:pPr>
              <w:adjustRightInd w:val="0"/>
              <w:snapToGrid w:val="0"/>
              <w:jc w:val="center"/>
              <w:rPr>
                <w:color w:val="auto"/>
                <w:kern w:val="21"/>
                <w:lang w:bidi="ar"/>
              </w:rPr>
            </w:pPr>
            <w:r>
              <w:rPr>
                <w:rFonts w:hint="eastAsia"/>
                <w:color w:val="auto"/>
                <w:kern w:val="21"/>
                <w:lang w:bidi="ar"/>
              </w:rPr>
              <w:t>/</w:t>
            </w:r>
          </w:p>
        </w:tc>
        <w:tc>
          <w:tcPr>
            <w:tcW w:w="299" w:type="pct"/>
            <w:vAlign w:val="center"/>
          </w:tcPr>
          <w:p>
            <w:pPr>
              <w:adjustRightInd w:val="0"/>
              <w:snapToGrid w:val="0"/>
              <w:jc w:val="center"/>
              <w:rPr>
                <w:bCs/>
                <w:color w:val="auto"/>
                <w:kern w:val="21"/>
                <w:lang w:bidi="ar"/>
              </w:rPr>
            </w:pPr>
            <w:r>
              <w:rPr>
                <w:rFonts w:hint="eastAsia"/>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0.3</w:t>
            </w:r>
          </w:p>
        </w:tc>
        <w:tc>
          <w:tcPr>
            <w:tcW w:w="341" w:type="pct"/>
            <w:vAlign w:val="center"/>
          </w:tcPr>
          <w:p>
            <w:pPr>
              <w:jc w:val="center"/>
              <w:rPr>
                <w:bCs/>
                <w:color w:val="auto"/>
                <w:kern w:val="21"/>
                <w:lang w:bidi="ar"/>
              </w:rPr>
            </w:pPr>
            <w:r>
              <w:rPr>
                <w:rFonts w:hint="eastAsia"/>
                <w:bCs/>
                <w:color w:val="auto"/>
                <w:kern w:val="21"/>
                <w:lang w:bidi="ar"/>
              </w:rPr>
              <w:t>新鲜水</w:t>
            </w:r>
          </w:p>
        </w:tc>
        <w:tc>
          <w:tcPr>
            <w:tcW w:w="383" w:type="pct"/>
            <w:vAlign w:val="center"/>
          </w:tcPr>
          <w:p>
            <w:pPr>
              <w:adjustRightInd w:val="0"/>
              <w:snapToGrid w:val="0"/>
              <w:jc w:val="center"/>
              <w:rPr>
                <w:bCs/>
                <w:color w:val="auto"/>
                <w:kern w:val="21"/>
                <w:lang w:bidi="ar"/>
              </w:rPr>
            </w:pPr>
            <w:r>
              <w:rPr>
                <w:rFonts w:hint="eastAsia"/>
                <w:bCs/>
                <w:color w:val="auto"/>
                <w:kern w:val="21"/>
                <w:lang w:bidi="ar"/>
              </w:rPr>
              <w:t>0.3</w:t>
            </w:r>
          </w:p>
        </w:tc>
        <w:tc>
          <w:tcPr>
            <w:tcW w:w="288" w:type="pct"/>
            <w:vAlign w:val="center"/>
          </w:tcPr>
          <w:p>
            <w:pPr>
              <w:adjustRightInd w:val="0"/>
              <w:snapToGrid w:val="0"/>
              <w:jc w:val="center"/>
              <w:rPr>
                <w:bCs/>
                <w:color w:val="auto"/>
                <w:kern w:val="21"/>
                <w:lang w:bidi="ar"/>
              </w:rPr>
            </w:pPr>
            <w:r>
              <w:rPr>
                <w:bCs/>
                <w:color w:val="auto"/>
                <w:kern w:val="21"/>
                <w:lang w:bidi="ar"/>
              </w:rPr>
              <w:t>含锌废水</w:t>
            </w:r>
          </w:p>
        </w:tc>
        <w:tc>
          <w:tcPr>
            <w:tcW w:w="411" w:type="pct"/>
            <w:vAlign w:val="center"/>
          </w:tcPr>
          <w:p>
            <w:pPr>
              <w:adjustRightInd w:val="0"/>
              <w:snapToGrid w:val="0"/>
              <w:jc w:val="center"/>
              <w:rPr>
                <w:bCs/>
                <w:color w:val="auto"/>
                <w:kern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02" w:type="pct"/>
            <w:gridSpan w:val="7"/>
            <w:vAlign w:val="center"/>
          </w:tcPr>
          <w:p>
            <w:pPr>
              <w:adjustRightInd w:val="0"/>
              <w:snapToGrid w:val="0"/>
              <w:jc w:val="center"/>
              <w:rPr>
                <w:color w:val="auto"/>
                <w:kern w:val="21"/>
                <w:lang w:bidi="ar"/>
              </w:rPr>
            </w:pPr>
            <w:r>
              <w:rPr>
                <w:color w:val="auto"/>
                <w:kern w:val="21"/>
                <w:lang w:bidi="ar"/>
              </w:rPr>
              <w:t>总计</w:t>
            </w:r>
          </w:p>
        </w:tc>
        <w:tc>
          <w:tcPr>
            <w:tcW w:w="299" w:type="pct"/>
            <w:vAlign w:val="center"/>
          </w:tcPr>
          <w:p>
            <w:pPr>
              <w:adjustRightInd w:val="0"/>
              <w:snapToGrid w:val="0"/>
              <w:jc w:val="center"/>
              <w:rPr>
                <w:bCs/>
                <w:color w:val="auto"/>
                <w:kern w:val="21"/>
                <w:lang w:bidi="ar"/>
              </w:rPr>
            </w:pPr>
            <w:r>
              <w:rPr>
                <w:rFonts w:hint="eastAsia"/>
                <w:bCs/>
                <w:color w:val="auto"/>
                <w:kern w:val="21"/>
                <w:lang w:bidi="ar"/>
              </w:rPr>
              <w:t>/</w:t>
            </w:r>
          </w:p>
        </w:tc>
        <w:tc>
          <w:tcPr>
            <w:tcW w:w="373" w:type="pct"/>
            <w:vAlign w:val="center"/>
          </w:tcPr>
          <w:p>
            <w:pPr>
              <w:adjustRightInd w:val="0"/>
              <w:snapToGrid w:val="0"/>
              <w:jc w:val="center"/>
              <w:rPr>
                <w:bCs/>
                <w:color w:val="auto"/>
                <w:kern w:val="21"/>
                <w:lang w:bidi="ar"/>
              </w:rPr>
            </w:pPr>
            <w:r>
              <w:rPr>
                <w:rFonts w:hint="eastAsia"/>
                <w:bCs/>
                <w:color w:val="auto"/>
                <w:kern w:val="21"/>
                <w:lang w:bidi="ar"/>
              </w:rPr>
              <w:t>10.296</w:t>
            </w:r>
          </w:p>
        </w:tc>
        <w:tc>
          <w:tcPr>
            <w:tcW w:w="341" w:type="pct"/>
            <w:vAlign w:val="center"/>
          </w:tcPr>
          <w:p>
            <w:pPr>
              <w:adjustRightInd w:val="0"/>
              <w:snapToGrid w:val="0"/>
              <w:jc w:val="center"/>
              <w:rPr>
                <w:bCs/>
                <w:color w:val="auto"/>
                <w:kern w:val="21"/>
                <w:lang w:bidi="ar"/>
              </w:rPr>
            </w:pPr>
          </w:p>
        </w:tc>
        <w:tc>
          <w:tcPr>
            <w:tcW w:w="383"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9.296</w:t>
            </w:r>
            <w:r>
              <w:rPr>
                <w:rFonts w:hint="eastAsia"/>
                <w:bCs/>
                <w:color w:val="auto"/>
                <w:kern w:val="21"/>
                <w:lang w:val="en-US" w:eastAsia="zh-CN" w:bidi="ar"/>
              </w:rPr>
              <w:t>4</w:t>
            </w:r>
          </w:p>
        </w:tc>
        <w:tc>
          <w:tcPr>
            <w:tcW w:w="288" w:type="pct"/>
            <w:vAlign w:val="center"/>
          </w:tcPr>
          <w:p>
            <w:pPr>
              <w:adjustRightInd w:val="0"/>
              <w:snapToGrid w:val="0"/>
              <w:jc w:val="center"/>
              <w:rPr>
                <w:bCs/>
                <w:color w:val="auto"/>
                <w:kern w:val="21"/>
                <w:lang w:bidi="ar"/>
              </w:rPr>
            </w:pPr>
            <w:r>
              <w:rPr>
                <w:rFonts w:hint="eastAsia"/>
                <w:bCs/>
                <w:color w:val="auto"/>
                <w:kern w:val="21"/>
                <w:lang w:bidi="ar"/>
              </w:rPr>
              <w:t>/</w:t>
            </w:r>
          </w:p>
        </w:tc>
        <w:tc>
          <w:tcPr>
            <w:tcW w:w="411" w:type="pct"/>
            <w:vAlign w:val="center"/>
          </w:tcPr>
          <w:p>
            <w:pPr>
              <w:adjustRightInd w:val="0"/>
              <w:snapToGrid w:val="0"/>
              <w:jc w:val="center"/>
              <w:rPr>
                <w:bCs/>
                <w:color w:val="auto"/>
                <w:kern w:val="21"/>
                <w:lang w:bidi="ar"/>
              </w:rPr>
            </w:pPr>
            <w:r>
              <w:rPr>
                <w:rFonts w:hint="eastAsia"/>
                <w:bCs/>
                <w:color w:val="auto"/>
                <w:kern w:val="21"/>
                <w:lang w:bidi="ar"/>
              </w:rPr>
              <w:t>/</w:t>
            </w:r>
          </w:p>
        </w:tc>
      </w:tr>
    </w:tbl>
    <w:p>
      <w:pPr>
        <w:adjustRightInd w:val="0"/>
        <w:snapToGrid w:val="0"/>
        <w:jc w:val="center"/>
        <w:rPr>
          <w:rFonts w:eastAsia="黑体"/>
          <w:color w:val="auto"/>
          <w:kern w:val="21"/>
          <w:sz w:val="24"/>
          <w:szCs w:val="24"/>
        </w:rPr>
      </w:pPr>
    </w:p>
    <w:p>
      <w:pPr>
        <w:pStyle w:val="32"/>
        <w:adjustRightInd w:val="0"/>
        <w:snapToGrid w:val="0"/>
        <w:spacing w:after="0" w:line="360" w:lineRule="auto"/>
        <w:rPr>
          <w:color w:val="auto"/>
          <w:kern w:val="21"/>
          <w:sz w:val="24"/>
          <w:u w:val="single"/>
          <w:lang w:val="en-US"/>
        </w:rPr>
        <w:sectPr>
          <w:pgSz w:w="16840" w:h="11907" w:orient="landscape"/>
          <w:pgMar w:top="1800" w:right="1440" w:bottom="1800" w:left="1440" w:header="1134" w:footer="1029" w:gutter="0"/>
          <w:cols w:space="720" w:num="1"/>
          <w:docGrid w:linePitch="286" w:charSpace="0"/>
        </w:sectPr>
      </w:pP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6、含铬废水</w:t>
      </w:r>
    </w:p>
    <w:p>
      <w:pPr>
        <w:pStyle w:val="32"/>
        <w:adjustRightInd w:val="0"/>
        <w:snapToGrid w:val="0"/>
        <w:spacing w:after="0" w:line="360" w:lineRule="auto"/>
        <w:ind w:firstLine="482" w:firstLineChars="200"/>
        <w:rPr>
          <w:color w:val="auto"/>
          <w:kern w:val="21"/>
          <w:sz w:val="24"/>
          <w:lang w:val="en-US"/>
        </w:rPr>
      </w:pPr>
      <w:r>
        <w:rPr>
          <w:rFonts w:hint="eastAsia"/>
          <w:b/>
          <w:bCs/>
          <w:color w:val="auto"/>
          <w:kern w:val="21"/>
          <w:sz w:val="24"/>
          <w:u w:val="single"/>
          <w:lang w:val="en-US" w:eastAsia="zh-CN"/>
        </w:rPr>
        <w:t>由于钝化槽液每周更换1次，更换频率比较高，故更换的含铬钝化液考虑进入废水处理系统进行处理，故</w:t>
      </w:r>
      <w:r>
        <w:rPr>
          <w:rFonts w:hint="eastAsia"/>
          <w:b w:val="0"/>
          <w:bCs w:val="0"/>
          <w:color w:val="auto"/>
          <w:kern w:val="21"/>
          <w:sz w:val="24"/>
          <w:u w:val="single"/>
          <w:lang w:val="en-US"/>
        </w:rPr>
        <w:t>含</w:t>
      </w:r>
      <w:r>
        <w:rPr>
          <w:rFonts w:hint="eastAsia"/>
          <w:b w:val="0"/>
          <w:bCs w:val="0"/>
          <w:color w:val="auto"/>
          <w:kern w:val="21"/>
          <w:sz w:val="24"/>
          <w:lang w:val="en-US"/>
        </w:rPr>
        <w:t>铬</w:t>
      </w:r>
      <w:r>
        <w:rPr>
          <w:rFonts w:hint="eastAsia"/>
          <w:color w:val="auto"/>
          <w:kern w:val="21"/>
          <w:sz w:val="24"/>
          <w:lang w:val="en-US"/>
        </w:rPr>
        <w:t>废水主要为电镀线钝化槽液、钝化后水洗废水、封闭槽液、封闭后水洗废水、中和槽液、中和后水洗废水、</w:t>
      </w:r>
      <w:r>
        <w:rPr>
          <w:color w:val="auto"/>
          <w:kern w:val="21"/>
          <w:sz w:val="24"/>
          <w:lang w:val="en-US"/>
        </w:rPr>
        <w:t>含铬废水预处理系统反冲洗水</w:t>
      </w:r>
      <w:r>
        <w:rPr>
          <w:rFonts w:hint="eastAsia"/>
          <w:color w:val="auto"/>
          <w:kern w:val="21"/>
          <w:sz w:val="24"/>
          <w:lang w:val="en-US"/>
        </w:rPr>
        <w:t>（过滤器反冲洗）</w:t>
      </w:r>
      <w:r>
        <w:rPr>
          <w:color w:val="auto"/>
          <w:kern w:val="21"/>
          <w:sz w:val="24"/>
          <w:lang w:val="en-US"/>
        </w:rPr>
        <w:t>、酸雾吸收塔废水。</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项目产生的含铬废水经</w:t>
      </w:r>
      <w:r>
        <w:rPr>
          <w:rFonts w:hint="eastAsia"/>
          <w:color w:val="auto"/>
          <w:kern w:val="21"/>
          <w:sz w:val="24"/>
          <w:lang w:val="en-US" w:eastAsia="zh-CN"/>
        </w:rPr>
        <w:t>“</w:t>
      </w:r>
      <w:r>
        <w:rPr>
          <w:rFonts w:hint="eastAsia"/>
          <w:color w:val="auto"/>
          <w:sz w:val="24"/>
        </w:rPr>
        <w:t>还原→pH调节→混凝沉淀→回调→多介质过滤</w:t>
      </w:r>
      <w:r>
        <w:rPr>
          <w:rFonts w:hint="eastAsia"/>
          <w:color w:val="auto"/>
          <w:sz w:val="24"/>
          <w:lang w:eastAsia="zh-CN"/>
        </w:rPr>
        <w:t>”工艺</w:t>
      </w:r>
      <w:r>
        <w:rPr>
          <w:rFonts w:hint="eastAsia"/>
          <w:color w:val="auto"/>
          <w:sz w:val="24"/>
        </w:rPr>
        <w:t>系统</w:t>
      </w:r>
      <w:r>
        <w:rPr>
          <w:rFonts w:hint="eastAsia"/>
          <w:color w:val="auto"/>
          <w:kern w:val="21"/>
          <w:sz w:val="24"/>
          <w:lang w:val="en-US"/>
        </w:rPr>
        <w:t>进行预处理，预处理后进入零排放处理系统采</w:t>
      </w:r>
      <w:r>
        <w:rPr>
          <w:rFonts w:hint="eastAsia"/>
          <w:color w:val="auto"/>
          <w:kern w:val="21"/>
          <w:sz w:val="24"/>
          <w:lang w:val="en-US"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lang w:val="en-US"/>
        </w:rPr>
        <w:t>处理，</w:t>
      </w:r>
      <w:r>
        <w:rPr>
          <w:rFonts w:hint="eastAsia"/>
          <w:color w:val="auto"/>
          <w:kern w:val="21"/>
          <w:sz w:val="24"/>
          <w:lang w:val="en-US" w:eastAsia="zh-CN"/>
        </w:rPr>
        <w:t>深度</w:t>
      </w:r>
      <w:r>
        <w:rPr>
          <w:rFonts w:hint="eastAsia"/>
          <w:color w:val="auto"/>
          <w:kern w:val="21"/>
          <w:sz w:val="24"/>
          <w:lang w:val="en-US"/>
        </w:rPr>
        <w:t>处理后全部回用</w:t>
      </w:r>
      <w:r>
        <w:rPr>
          <w:rFonts w:hint="eastAsia"/>
          <w:color w:val="auto"/>
          <w:kern w:val="21"/>
          <w:sz w:val="24"/>
          <w:lang w:val="en-US" w:eastAsia="zh-CN"/>
        </w:rPr>
        <w:t>于生产线</w:t>
      </w:r>
      <w:r>
        <w:rPr>
          <w:rFonts w:hint="eastAsia"/>
          <w:color w:val="auto"/>
          <w:kern w:val="21"/>
          <w:sz w:val="24"/>
          <w:lang w:val="en-US"/>
        </w:rPr>
        <w:t>。</w:t>
      </w:r>
    </w:p>
    <w:p>
      <w:pPr>
        <w:pStyle w:val="32"/>
        <w:adjustRightInd w:val="0"/>
        <w:snapToGrid w:val="0"/>
        <w:spacing w:after="0" w:line="360" w:lineRule="auto"/>
        <w:ind w:firstLine="480" w:firstLineChars="200"/>
        <w:rPr>
          <w:color w:val="auto"/>
          <w:kern w:val="21"/>
          <w:sz w:val="24"/>
          <w:u w:val="single"/>
          <w:lang w:val="en-US"/>
        </w:rPr>
      </w:pPr>
      <w:r>
        <w:rPr>
          <w:color w:val="auto"/>
          <w:kern w:val="21"/>
          <w:sz w:val="24"/>
          <w:lang w:val="en-US"/>
        </w:rPr>
        <w:t>根据《污染源源强核算技术指南 电镀》（HJ984-2018），本项目含铬废水水量采用物料衡算法确定。</w:t>
      </w:r>
      <w:r>
        <w:rPr>
          <w:rFonts w:hint="eastAsia"/>
          <w:color w:val="auto"/>
          <w:kern w:val="21"/>
          <w:sz w:val="24"/>
          <w:lang w:val="en-US"/>
        </w:rPr>
        <w:t>每条线用排水情况见下表。</w:t>
      </w:r>
    </w:p>
    <w:p>
      <w:pPr>
        <w:pStyle w:val="32"/>
        <w:adjustRightInd w:val="0"/>
        <w:snapToGrid w:val="0"/>
        <w:spacing w:after="0" w:line="360" w:lineRule="auto"/>
        <w:ind w:firstLine="480" w:firstLineChars="200"/>
        <w:rPr>
          <w:color w:val="auto"/>
          <w:kern w:val="21"/>
          <w:sz w:val="24"/>
          <w:u w:val="single"/>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sectPr>
          <w:pgSz w:w="11907" w:h="16840"/>
          <w:pgMar w:top="1440" w:right="1800" w:bottom="1440" w:left="1800" w:header="1134" w:footer="1029" w:gutter="0"/>
          <w:cols w:space="720" w:num="1"/>
        </w:sectPr>
      </w:pPr>
    </w:p>
    <w:p>
      <w:pPr>
        <w:adjustRightInd w:val="0"/>
        <w:snapToGrid w:val="0"/>
        <w:jc w:val="center"/>
        <w:rPr>
          <w:rFonts w:eastAsia="黑体"/>
          <w:color w:val="auto"/>
          <w:kern w:val="21"/>
          <w:sz w:val="24"/>
          <w:szCs w:val="24"/>
        </w:rPr>
      </w:pPr>
      <w:r>
        <w:rPr>
          <w:rFonts w:eastAsia="黑体"/>
          <w:bCs/>
          <w:color w:val="auto"/>
          <w:kern w:val="21"/>
          <w:sz w:val="24"/>
          <w:szCs w:val="24"/>
        </w:rPr>
        <w:t>表</w:t>
      </w:r>
      <w:r>
        <w:rPr>
          <w:rFonts w:hint="eastAsia" w:eastAsia="黑体"/>
          <w:bCs/>
          <w:color w:val="auto"/>
          <w:kern w:val="21"/>
          <w:sz w:val="24"/>
          <w:szCs w:val="24"/>
        </w:rPr>
        <w:t>3.4-11</w:t>
      </w:r>
      <w:r>
        <w:rPr>
          <w:rFonts w:eastAsia="黑体"/>
          <w:bCs/>
          <w:color w:val="auto"/>
          <w:kern w:val="21"/>
          <w:sz w:val="24"/>
          <w:szCs w:val="24"/>
        </w:rPr>
        <w:t xml:space="preserve">  含铬</w:t>
      </w:r>
      <w:r>
        <w:rPr>
          <w:rFonts w:hint="eastAsia" w:eastAsia="黑体"/>
          <w:color w:val="auto"/>
          <w:kern w:val="21"/>
          <w:sz w:val="24"/>
          <w:szCs w:val="24"/>
        </w:rPr>
        <w:t>废水污染源源强核算结果及相关参数一览表</w:t>
      </w:r>
    </w:p>
    <w:tbl>
      <w:tblPr>
        <w:tblStyle w:val="83"/>
        <w:tblW w:w="50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1335"/>
        <w:gridCol w:w="1065"/>
        <w:gridCol w:w="1335"/>
        <w:gridCol w:w="1590"/>
        <w:gridCol w:w="900"/>
        <w:gridCol w:w="1080"/>
        <w:gridCol w:w="1110"/>
        <w:gridCol w:w="1005"/>
        <w:gridCol w:w="941"/>
        <w:gridCol w:w="1113"/>
        <w:gridCol w:w="817"/>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restart"/>
            <w:vAlign w:val="center"/>
          </w:tcPr>
          <w:p>
            <w:pPr>
              <w:adjustRightInd w:val="0"/>
              <w:snapToGrid w:val="0"/>
              <w:jc w:val="center"/>
              <w:rPr>
                <w:b/>
                <w:bCs w:val="0"/>
                <w:color w:val="auto"/>
                <w:kern w:val="21"/>
                <w:lang w:bidi="ar"/>
              </w:rPr>
            </w:pPr>
            <w:r>
              <w:rPr>
                <w:b/>
                <w:bCs w:val="0"/>
                <w:color w:val="auto"/>
                <w:kern w:val="21"/>
                <w:lang w:bidi="ar"/>
              </w:rPr>
              <w:t>生产线名称</w:t>
            </w:r>
          </w:p>
        </w:tc>
        <w:tc>
          <w:tcPr>
            <w:tcW w:w="465" w:type="pct"/>
            <w:vMerge w:val="restart"/>
            <w:vAlign w:val="center"/>
          </w:tcPr>
          <w:p>
            <w:pPr>
              <w:adjustRightInd w:val="0"/>
              <w:snapToGrid w:val="0"/>
              <w:jc w:val="center"/>
              <w:rPr>
                <w:b/>
                <w:bCs w:val="0"/>
                <w:color w:val="auto"/>
                <w:kern w:val="21"/>
                <w:lang w:bidi="ar"/>
              </w:rPr>
            </w:pPr>
            <w:r>
              <w:rPr>
                <w:b/>
                <w:bCs w:val="0"/>
                <w:color w:val="auto"/>
                <w:kern w:val="21"/>
                <w:lang w:bidi="ar"/>
              </w:rPr>
              <w:t>槽体</w:t>
            </w:r>
          </w:p>
          <w:p>
            <w:pPr>
              <w:adjustRightInd w:val="0"/>
              <w:snapToGrid w:val="0"/>
              <w:jc w:val="center"/>
              <w:rPr>
                <w:b/>
                <w:bCs w:val="0"/>
                <w:color w:val="auto"/>
                <w:kern w:val="21"/>
                <w:lang w:bidi="ar"/>
              </w:rPr>
            </w:pPr>
            <w:r>
              <w:rPr>
                <w:b/>
                <w:bCs w:val="0"/>
                <w:color w:val="auto"/>
                <w:kern w:val="21"/>
                <w:lang w:bidi="ar"/>
              </w:rPr>
              <w:t>名称</w:t>
            </w:r>
          </w:p>
        </w:tc>
        <w:tc>
          <w:tcPr>
            <w:tcW w:w="371" w:type="pct"/>
            <w:vMerge w:val="restart"/>
            <w:vAlign w:val="center"/>
          </w:tcPr>
          <w:p>
            <w:pPr>
              <w:adjustRightInd w:val="0"/>
              <w:snapToGrid w:val="0"/>
              <w:jc w:val="center"/>
              <w:rPr>
                <w:b/>
                <w:bCs w:val="0"/>
                <w:color w:val="auto"/>
                <w:kern w:val="21"/>
                <w:lang w:bidi="ar"/>
              </w:rPr>
            </w:pPr>
            <w:r>
              <w:rPr>
                <w:b/>
                <w:bCs w:val="0"/>
                <w:color w:val="auto"/>
                <w:kern w:val="21"/>
                <w:lang w:bidi="ar"/>
              </w:rPr>
              <w:t>单条线数量（个）</w:t>
            </w:r>
          </w:p>
        </w:tc>
        <w:tc>
          <w:tcPr>
            <w:tcW w:w="465" w:type="pct"/>
            <w:vMerge w:val="restart"/>
            <w:vAlign w:val="center"/>
          </w:tcPr>
          <w:p>
            <w:pPr>
              <w:adjustRightInd w:val="0"/>
              <w:snapToGrid w:val="0"/>
              <w:jc w:val="center"/>
              <w:rPr>
                <w:b/>
                <w:bCs w:val="0"/>
                <w:color w:val="auto"/>
                <w:kern w:val="21"/>
                <w:lang w:bidi="ar"/>
              </w:rPr>
            </w:pPr>
            <w:r>
              <w:rPr>
                <w:b/>
                <w:bCs w:val="0"/>
                <w:color w:val="auto"/>
                <w:kern w:val="21"/>
                <w:lang w:bidi="ar"/>
              </w:rPr>
              <w:t>尺寸（m）</w:t>
            </w:r>
          </w:p>
          <w:p>
            <w:pPr>
              <w:adjustRightInd w:val="0"/>
              <w:snapToGrid w:val="0"/>
              <w:jc w:val="center"/>
              <w:rPr>
                <w:b/>
                <w:bCs w:val="0"/>
                <w:color w:val="auto"/>
                <w:kern w:val="21"/>
                <w:lang w:bidi="ar"/>
              </w:rPr>
            </w:pPr>
            <w:r>
              <w:rPr>
                <w:b/>
                <w:bCs w:val="0"/>
                <w:color w:val="auto"/>
                <w:kern w:val="21"/>
                <w:lang w:bidi="ar"/>
              </w:rPr>
              <w:t>长×宽×高</w:t>
            </w:r>
          </w:p>
        </w:tc>
        <w:tc>
          <w:tcPr>
            <w:tcW w:w="554" w:type="pct"/>
            <w:vMerge w:val="restart"/>
            <w:vAlign w:val="center"/>
          </w:tcPr>
          <w:p>
            <w:pPr>
              <w:adjustRightInd w:val="0"/>
              <w:snapToGrid w:val="0"/>
              <w:jc w:val="center"/>
              <w:rPr>
                <w:b/>
                <w:bCs w:val="0"/>
                <w:color w:val="auto"/>
                <w:kern w:val="21"/>
                <w:lang w:bidi="ar"/>
              </w:rPr>
            </w:pPr>
            <w:r>
              <w:rPr>
                <w:b/>
                <w:bCs w:val="0"/>
                <w:color w:val="auto"/>
                <w:kern w:val="21"/>
                <w:lang w:bidi="ar"/>
              </w:rPr>
              <w:t xml:space="preserve">溶液总容积 </w:t>
            </w:r>
          </w:p>
          <w:p>
            <w:pPr>
              <w:adjustRightInd w:val="0"/>
              <w:snapToGrid w:val="0"/>
              <w:jc w:val="center"/>
              <w:rPr>
                <w:b/>
                <w:bCs w:val="0"/>
                <w:color w:val="auto"/>
                <w:kern w:val="21"/>
                <w:lang w:bidi="ar"/>
              </w:rPr>
            </w:pPr>
            <w:r>
              <w:rPr>
                <w:b/>
                <w:bCs w:val="0"/>
                <w:color w:val="auto"/>
                <w:kern w:val="21"/>
                <w:lang w:bidi="ar"/>
              </w:rPr>
              <w:t>（m</w:t>
            </w:r>
            <w:r>
              <w:rPr>
                <w:b/>
                <w:bCs w:val="0"/>
                <w:color w:val="auto"/>
                <w:kern w:val="21"/>
                <w:vertAlign w:val="superscript"/>
                <w:lang w:bidi="ar"/>
              </w:rPr>
              <w:t>3</w:t>
            </w:r>
            <w:r>
              <w:rPr>
                <w:b/>
                <w:bCs w:val="0"/>
                <w:color w:val="auto"/>
                <w:kern w:val="21"/>
                <w:lang w:bidi="ar"/>
              </w:rPr>
              <w:t>）</w:t>
            </w:r>
          </w:p>
        </w:tc>
        <w:tc>
          <w:tcPr>
            <w:tcW w:w="313" w:type="pct"/>
            <w:vMerge w:val="restart"/>
            <w:vAlign w:val="center"/>
          </w:tcPr>
          <w:p>
            <w:pPr>
              <w:adjustRightInd w:val="0"/>
              <w:snapToGrid w:val="0"/>
              <w:jc w:val="center"/>
              <w:rPr>
                <w:b/>
                <w:bCs w:val="0"/>
                <w:color w:val="auto"/>
                <w:kern w:val="21"/>
                <w:lang w:bidi="ar"/>
              </w:rPr>
            </w:pPr>
            <w:r>
              <w:rPr>
                <w:b/>
                <w:bCs w:val="0"/>
                <w:color w:val="auto"/>
                <w:kern w:val="21"/>
                <w:lang w:bidi="ar"/>
              </w:rPr>
              <w:t>工作时间h/d</w:t>
            </w:r>
          </w:p>
        </w:tc>
        <w:tc>
          <w:tcPr>
            <w:tcW w:w="376" w:type="pct"/>
            <w:vMerge w:val="restart"/>
            <w:vAlign w:val="center"/>
          </w:tcPr>
          <w:p>
            <w:pPr>
              <w:adjustRightInd w:val="0"/>
              <w:snapToGrid w:val="0"/>
              <w:jc w:val="center"/>
              <w:rPr>
                <w:b/>
                <w:bCs w:val="0"/>
                <w:color w:val="auto"/>
                <w:kern w:val="21"/>
                <w:lang w:bidi="ar"/>
              </w:rPr>
            </w:pPr>
            <w:r>
              <w:rPr>
                <w:b/>
                <w:bCs w:val="0"/>
                <w:color w:val="auto"/>
                <w:kern w:val="21"/>
                <w:lang w:bidi="ar"/>
              </w:rPr>
              <w:t>排放方式</w:t>
            </w:r>
          </w:p>
        </w:tc>
        <w:tc>
          <w:tcPr>
            <w:tcW w:w="387" w:type="pct"/>
            <w:vMerge w:val="restart"/>
            <w:vAlign w:val="center"/>
          </w:tcPr>
          <w:p>
            <w:pPr>
              <w:adjustRightInd w:val="0"/>
              <w:snapToGrid w:val="0"/>
              <w:jc w:val="both"/>
              <w:rPr>
                <w:b/>
                <w:bCs w:val="0"/>
                <w:color w:val="auto"/>
                <w:kern w:val="21"/>
                <w:lang w:bidi="ar"/>
              </w:rPr>
            </w:pPr>
            <w:r>
              <w:rPr>
                <w:b/>
                <w:bCs w:val="0"/>
                <w:color w:val="auto"/>
                <w:kern w:val="21"/>
                <w:lang w:bidi="ar"/>
              </w:rPr>
              <w:t>溢流速度</w:t>
            </w:r>
          </w:p>
          <w:p>
            <w:pPr>
              <w:adjustRightInd w:val="0"/>
              <w:snapToGrid w:val="0"/>
              <w:jc w:val="center"/>
              <w:rPr>
                <w:b/>
                <w:bCs w:val="0"/>
                <w:color w:val="auto"/>
                <w:kern w:val="21"/>
                <w:lang w:bidi="ar"/>
              </w:rPr>
            </w:pPr>
            <w:r>
              <w:rPr>
                <w:b/>
                <w:bCs w:val="0"/>
                <w:color w:val="auto"/>
                <w:kern w:val="21"/>
                <w:lang w:bidi="ar"/>
              </w:rPr>
              <w:t>L/h</w:t>
            </w:r>
          </w:p>
        </w:tc>
        <w:tc>
          <w:tcPr>
            <w:tcW w:w="678" w:type="pct"/>
            <w:gridSpan w:val="2"/>
            <w:vAlign w:val="center"/>
          </w:tcPr>
          <w:p>
            <w:pPr>
              <w:adjustRightInd w:val="0"/>
              <w:snapToGrid w:val="0"/>
              <w:jc w:val="center"/>
              <w:rPr>
                <w:b/>
                <w:bCs w:val="0"/>
                <w:color w:val="auto"/>
                <w:kern w:val="21"/>
                <w:lang w:bidi="ar"/>
              </w:rPr>
            </w:pPr>
            <w:r>
              <w:rPr>
                <w:b/>
                <w:bCs w:val="0"/>
                <w:color w:val="auto"/>
                <w:kern w:val="21"/>
                <w:lang w:bidi="ar"/>
              </w:rPr>
              <w:t>用水（m</w:t>
            </w:r>
            <w:r>
              <w:rPr>
                <w:b/>
                <w:bCs w:val="0"/>
                <w:color w:val="auto"/>
                <w:kern w:val="21"/>
                <w:vertAlign w:val="superscript"/>
                <w:lang w:bidi="ar"/>
              </w:rPr>
              <w:t>3</w:t>
            </w:r>
            <w:r>
              <w:rPr>
                <w:b/>
                <w:bCs w:val="0"/>
                <w:color w:val="auto"/>
                <w:kern w:val="21"/>
                <w:lang w:bidi="ar"/>
              </w:rPr>
              <w:t>/d）</w:t>
            </w:r>
          </w:p>
        </w:tc>
        <w:tc>
          <w:tcPr>
            <w:tcW w:w="1078" w:type="pct"/>
            <w:gridSpan w:val="3"/>
            <w:vAlign w:val="center"/>
          </w:tcPr>
          <w:p>
            <w:pPr>
              <w:adjustRightInd w:val="0"/>
              <w:snapToGrid w:val="0"/>
              <w:jc w:val="center"/>
              <w:rPr>
                <w:b/>
                <w:bCs w:val="0"/>
                <w:color w:val="auto"/>
                <w:kern w:val="21"/>
                <w:lang w:bidi="ar"/>
              </w:rPr>
            </w:pPr>
            <w:r>
              <w:rPr>
                <w:b/>
                <w:bCs w:val="0"/>
                <w:color w:val="auto"/>
                <w:kern w:val="21"/>
                <w:lang w:bidi="ar"/>
              </w:rPr>
              <w:t>废水（m</w:t>
            </w:r>
            <w:r>
              <w:rPr>
                <w:b/>
                <w:bCs w:val="0"/>
                <w:color w:val="auto"/>
                <w:kern w:val="21"/>
                <w:vertAlign w:val="superscript"/>
                <w:lang w:bidi="ar"/>
              </w:rPr>
              <w:t>3</w:t>
            </w:r>
            <w:r>
              <w:rPr>
                <w:b/>
                <w:bCs w:val="0"/>
                <w:color w:val="auto"/>
                <w:kern w:val="21"/>
                <w:lang w:bidi="ar"/>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
                <w:bCs w:val="0"/>
                <w:color w:val="auto"/>
                <w:kern w:val="21"/>
                <w:lang w:bidi="ar"/>
              </w:rPr>
            </w:pPr>
          </w:p>
        </w:tc>
        <w:tc>
          <w:tcPr>
            <w:tcW w:w="465" w:type="pct"/>
            <w:vMerge w:val="continue"/>
            <w:vAlign w:val="center"/>
          </w:tcPr>
          <w:p>
            <w:pPr>
              <w:adjustRightInd w:val="0"/>
              <w:snapToGrid w:val="0"/>
              <w:jc w:val="center"/>
              <w:rPr>
                <w:b/>
                <w:bCs w:val="0"/>
                <w:color w:val="auto"/>
                <w:kern w:val="21"/>
                <w:lang w:bidi="ar"/>
              </w:rPr>
            </w:pPr>
          </w:p>
        </w:tc>
        <w:tc>
          <w:tcPr>
            <w:tcW w:w="371" w:type="pct"/>
            <w:vMerge w:val="continue"/>
            <w:vAlign w:val="center"/>
          </w:tcPr>
          <w:p>
            <w:pPr>
              <w:adjustRightInd w:val="0"/>
              <w:snapToGrid w:val="0"/>
              <w:jc w:val="center"/>
              <w:rPr>
                <w:b/>
                <w:bCs w:val="0"/>
                <w:color w:val="auto"/>
                <w:kern w:val="21"/>
                <w:lang w:bidi="ar"/>
              </w:rPr>
            </w:pPr>
          </w:p>
        </w:tc>
        <w:tc>
          <w:tcPr>
            <w:tcW w:w="465" w:type="pct"/>
            <w:vMerge w:val="continue"/>
            <w:vAlign w:val="center"/>
          </w:tcPr>
          <w:p>
            <w:pPr>
              <w:adjustRightInd w:val="0"/>
              <w:snapToGrid w:val="0"/>
              <w:jc w:val="center"/>
              <w:rPr>
                <w:b/>
                <w:bCs w:val="0"/>
                <w:color w:val="auto"/>
                <w:kern w:val="21"/>
                <w:lang w:bidi="ar"/>
              </w:rPr>
            </w:pPr>
          </w:p>
        </w:tc>
        <w:tc>
          <w:tcPr>
            <w:tcW w:w="554" w:type="pct"/>
            <w:vMerge w:val="continue"/>
            <w:vAlign w:val="center"/>
          </w:tcPr>
          <w:p>
            <w:pPr>
              <w:adjustRightInd w:val="0"/>
              <w:snapToGrid w:val="0"/>
              <w:jc w:val="center"/>
              <w:rPr>
                <w:b/>
                <w:bCs w:val="0"/>
                <w:color w:val="auto"/>
                <w:kern w:val="21"/>
                <w:lang w:bidi="ar"/>
              </w:rPr>
            </w:pPr>
          </w:p>
        </w:tc>
        <w:tc>
          <w:tcPr>
            <w:tcW w:w="313" w:type="pct"/>
            <w:vMerge w:val="continue"/>
            <w:vAlign w:val="center"/>
          </w:tcPr>
          <w:p>
            <w:pPr>
              <w:adjustRightInd w:val="0"/>
              <w:snapToGrid w:val="0"/>
              <w:jc w:val="center"/>
              <w:rPr>
                <w:b/>
                <w:bCs w:val="0"/>
                <w:color w:val="auto"/>
                <w:kern w:val="21"/>
                <w:lang w:bidi="ar"/>
              </w:rPr>
            </w:pPr>
          </w:p>
        </w:tc>
        <w:tc>
          <w:tcPr>
            <w:tcW w:w="376" w:type="pct"/>
            <w:vMerge w:val="continue"/>
            <w:vAlign w:val="center"/>
          </w:tcPr>
          <w:p>
            <w:pPr>
              <w:adjustRightInd w:val="0"/>
              <w:snapToGrid w:val="0"/>
              <w:jc w:val="center"/>
              <w:rPr>
                <w:b/>
                <w:bCs w:val="0"/>
                <w:color w:val="auto"/>
                <w:kern w:val="21"/>
                <w:lang w:bidi="ar"/>
              </w:rPr>
            </w:pPr>
          </w:p>
        </w:tc>
        <w:tc>
          <w:tcPr>
            <w:tcW w:w="387" w:type="pct"/>
            <w:vMerge w:val="continue"/>
            <w:vAlign w:val="center"/>
          </w:tcPr>
          <w:p>
            <w:pPr>
              <w:adjustRightInd w:val="0"/>
              <w:snapToGrid w:val="0"/>
              <w:jc w:val="center"/>
              <w:rPr>
                <w:b/>
                <w:bCs w:val="0"/>
                <w:color w:val="auto"/>
                <w:kern w:val="21"/>
                <w:lang w:bidi="ar"/>
              </w:rPr>
            </w:pPr>
          </w:p>
        </w:tc>
        <w:tc>
          <w:tcPr>
            <w:tcW w:w="350" w:type="pct"/>
            <w:vAlign w:val="center"/>
          </w:tcPr>
          <w:p>
            <w:pPr>
              <w:adjustRightInd w:val="0"/>
              <w:snapToGrid w:val="0"/>
              <w:jc w:val="center"/>
              <w:rPr>
                <w:b/>
                <w:bCs w:val="0"/>
                <w:color w:val="auto"/>
                <w:kern w:val="21"/>
                <w:lang w:bidi="ar"/>
              </w:rPr>
            </w:pPr>
            <w:r>
              <w:rPr>
                <w:b/>
                <w:bCs w:val="0"/>
                <w:color w:val="auto"/>
                <w:kern w:val="21"/>
                <w:lang w:bidi="ar"/>
              </w:rPr>
              <w:t>水量</w:t>
            </w:r>
          </w:p>
        </w:tc>
        <w:tc>
          <w:tcPr>
            <w:tcW w:w="328" w:type="pct"/>
            <w:vAlign w:val="center"/>
          </w:tcPr>
          <w:p>
            <w:pPr>
              <w:adjustRightInd w:val="0"/>
              <w:snapToGrid w:val="0"/>
              <w:jc w:val="center"/>
              <w:rPr>
                <w:b/>
                <w:bCs w:val="0"/>
                <w:color w:val="auto"/>
                <w:kern w:val="21"/>
                <w:lang w:bidi="ar"/>
              </w:rPr>
            </w:pPr>
            <w:r>
              <w:rPr>
                <w:b/>
                <w:bCs w:val="0"/>
                <w:color w:val="auto"/>
                <w:kern w:val="21"/>
                <w:lang w:bidi="ar"/>
              </w:rPr>
              <w:t>来源</w:t>
            </w:r>
          </w:p>
        </w:tc>
        <w:tc>
          <w:tcPr>
            <w:tcW w:w="388" w:type="pct"/>
            <w:vAlign w:val="center"/>
          </w:tcPr>
          <w:p>
            <w:pPr>
              <w:adjustRightInd w:val="0"/>
              <w:snapToGrid w:val="0"/>
              <w:jc w:val="center"/>
              <w:rPr>
                <w:b/>
                <w:bCs w:val="0"/>
                <w:color w:val="auto"/>
                <w:kern w:val="21"/>
                <w:lang w:bidi="ar"/>
              </w:rPr>
            </w:pPr>
            <w:r>
              <w:rPr>
                <w:b/>
                <w:bCs w:val="0"/>
                <w:color w:val="auto"/>
                <w:kern w:val="21"/>
                <w:lang w:bidi="ar"/>
              </w:rPr>
              <w:t>水量</w:t>
            </w:r>
          </w:p>
        </w:tc>
        <w:tc>
          <w:tcPr>
            <w:tcW w:w="284" w:type="pct"/>
            <w:vAlign w:val="center"/>
          </w:tcPr>
          <w:p>
            <w:pPr>
              <w:adjustRightInd w:val="0"/>
              <w:snapToGrid w:val="0"/>
              <w:jc w:val="center"/>
              <w:rPr>
                <w:b/>
                <w:bCs w:val="0"/>
                <w:color w:val="auto"/>
                <w:kern w:val="21"/>
                <w:lang w:bidi="ar"/>
              </w:rPr>
            </w:pPr>
            <w:r>
              <w:rPr>
                <w:b/>
                <w:bCs w:val="0"/>
                <w:color w:val="auto"/>
                <w:kern w:val="21"/>
                <w:lang w:bidi="ar"/>
              </w:rPr>
              <w:t>类型</w:t>
            </w:r>
          </w:p>
        </w:tc>
        <w:tc>
          <w:tcPr>
            <w:tcW w:w="405" w:type="pct"/>
            <w:vAlign w:val="center"/>
          </w:tcPr>
          <w:p>
            <w:pPr>
              <w:adjustRightInd w:val="0"/>
              <w:snapToGrid w:val="0"/>
              <w:jc w:val="center"/>
              <w:rPr>
                <w:b/>
                <w:bCs w:val="0"/>
                <w:color w:val="auto"/>
                <w:kern w:val="21"/>
                <w:lang w:bidi="ar"/>
              </w:rPr>
            </w:pPr>
            <w:r>
              <w:rPr>
                <w:b/>
                <w:bCs w:val="0"/>
                <w:color w:val="auto"/>
                <w:kern w:val="21"/>
                <w:lang w:bidi="ar"/>
              </w:rPr>
              <w:t xml:space="preserve">更换频率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restart"/>
            <w:vAlign w:val="center"/>
          </w:tcPr>
          <w:p>
            <w:pPr>
              <w:adjustRightInd w:val="0"/>
              <w:snapToGrid w:val="0"/>
              <w:jc w:val="center"/>
              <w:rPr>
                <w:b/>
                <w:color w:val="auto"/>
                <w:kern w:val="21"/>
                <w:lang w:bidi="ar"/>
              </w:rPr>
            </w:pPr>
            <w:r>
              <w:rPr>
                <w:rFonts w:hint="eastAsia"/>
                <w:bCs/>
                <w:color w:val="auto"/>
                <w:kern w:val="21"/>
                <w:lang w:bidi="ar"/>
              </w:rPr>
              <w:t>6条电池壳镀镍</w:t>
            </w:r>
            <w:r>
              <w:rPr>
                <w:bCs/>
                <w:color w:val="auto"/>
                <w:kern w:val="21"/>
                <w:lang w:bidi="ar"/>
              </w:rPr>
              <w:t>线</w:t>
            </w:r>
          </w:p>
        </w:tc>
        <w:tc>
          <w:tcPr>
            <w:tcW w:w="465" w:type="pct"/>
            <w:vAlign w:val="center"/>
          </w:tcPr>
          <w:p>
            <w:pPr>
              <w:adjustRightInd w:val="0"/>
              <w:snapToGrid w:val="0"/>
              <w:jc w:val="center"/>
              <w:rPr>
                <w:bCs/>
                <w:color w:val="auto"/>
                <w:kern w:val="21"/>
                <w:lang w:bidi="ar"/>
              </w:rPr>
            </w:pPr>
            <w:r>
              <w:rPr>
                <w:bCs/>
                <w:color w:val="auto"/>
                <w:kern w:val="21"/>
                <w:lang w:bidi="ar"/>
              </w:rPr>
              <w:t>钝化槽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jc w:val="center"/>
              <w:rPr>
                <w:color w:val="auto"/>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12.96</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2.057</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1.851</w:t>
            </w:r>
            <w:r>
              <w:rPr>
                <w:rFonts w:hint="eastAsia"/>
                <w:bCs/>
                <w:color w:val="auto"/>
                <w:kern w:val="21"/>
                <w:lang w:val="en-US" w:eastAsia="zh-CN" w:bidi="ar"/>
              </w:rPr>
              <w:t>3</w:t>
            </w:r>
          </w:p>
        </w:tc>
        <w:tc>
          <w:tcPr>
            <w:tcW w:w="284" w:type="pct"/>
            <w:vAlign w:val="center"/>
          </w:tcPr>
          <w:p>
            <w:pPr>
              <w:adjustRightInd w:val="0"/>
              <w:snapToGrid w:val="0"/>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1周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rPr>
                <w:bCs/>
                <w:color w:val="auto"/>
                <w:kern w:val="21"/>
                <w:lang w:bidi="ar"/>
              </w:rPr>
            </w:pPr>
            <w:r>
              <w:rPr>
                <w:bCs/>
                <w:color w:val="auto"/>
                <w:kern w:val="21"/>
                <w:lang w:bidi="ar"/>
              </w:rPr>
              <w:t>水洗槽</w:t>
            </w:r>
          </w:p>
        </w:tc>
        <w:tc>
          <w:tcPr>
            <w:tcW w:w="371" w:type="pct"/>
            <w:vAlign w:val="center"/>
          </w:tcPr>
          <w:p>
            <w:pPr>
              <w:adjustRightInd w:val="0"/>
              <w:snapToGrid w:val="0"/>
              <w:jc w:val="center"/>
              <w:rPr>
                <w:bCs/>
                <w:color w:val="auto"/>
                <w:kern w:val="21"/>
                <w:lang w:bidi="ar"/>
              </w:rPr>
            </w:pPr>
            <w:r>
              <w:rPr>
                <w:bCs/>
                <w:color w:val="auto"/>
                <w:kern w:val="21"/>
                <w:lang w:bidi="ar"/>
              </w:rPr>
              <w:t>3</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jc w:val="center"/>
              <w:rPr>
                <w:color w:val="auto"/>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3=43.2</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rPr>
                <w:bCs/>
                <w:color w:val="auto"/>
                <w:kern w:val="21"/>
                <w:lang w:bidi="ar"/>
              </w:rPr>
            </w:pPr>
            <w:r>
              <w:rPr>
                <w:bCs/>
                <w:color w:val="auto"/>
                <w:kern w:val="21"/>
                <w:lang w:bidi="ar"/>
              </w:rPr>
              <w:t>中和槽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14.4</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2.286</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2.057</w:t>
            </w:r>
            <w:r>
              <w:rPr>
                <w:rFonts w:hint="eastAsia"/>
                <w:bCs/>
                <w:color w:val="auto"/>
                <w:kern w:val="21"/>
                <w:lang w:val="en-US" w:eastAsia="zh-CN" w:bidi="ar"/>
              </w:rPr>
              <w:t>4</w:t>
            </w:r>
          </w:p>
        </w:tc>
        <w:tc>
          <w:tcPr>
            <w:tcW w:w="284" w:type="pct"/>
            <w:vAlign w:val="center"/>
          </w:tcPr>
          <w:p>
            <w:pPr>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w:t>
            </w:r>
            <w:r>
              <w:rPr>
                <w:bCs/>
                <w:color w:val="auto"/>
                <w:kern w:val="21"/>
                <w:lang w:bidi="ar"/>
              </w:rPr>
              <w:t>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rPr>
                <w:bCs/>
                <w:color w:val="auto"/>
                <w:kern w:val="21"/>
                <w:lang w:bidi="ar"/>
              </w:rPr>
            </w:pPr>
            <w:r>
              <w:rPr>
                <w:bCs/>
                <w:color w:val="auto"/>
                <w:kern w:val="21"/>
                <w:lang w:bidi="ar"/>
              </w:rPr>
              <w:t>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4" w:type="pct"/>
            <w:vAlign w:val="center"/>
          </w:tcPr>
          <w:p>
            <w:pPr>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rPr>
                <w:bCs/>
                <w:color w:val="auto"/>
                <w:kern w:val="21"/>
                <w:lang w:bidi="ar"/>
              </w:rPr>
            </w:pPr>
            <w:r>
              <w:rPr>
                <w:bCs/>
                <w:color w:val="auto"/>
                <w:kern w:val="21"/>
                <w:lang w:bidi="ar"/>
              </w:rPr>
              <w:t>封闭槽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25.92</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4" w:type="pct"/>
            <w:vAlign w:val="center"/>
          </w:tcPr>
          <w:p>
            <w:pPr>
              <w:adjustRightInd w:val="0"/>
              <w:snapToGrid w:val="0"/>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10日1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rPr>
                <w:bCs/>
                <w:color w:val="auto"/>
                <w:kern w:val="21"/>
                <w:lang w:bidi="ar"/>
              </w:rPr>
            </w:pPr>
            <w:r>
              <w:rPr>
                <w:bCs/>
                <w:color w:val="auto"/>
                <w:kern w:val="21"/>
                <w:lang w:bidi="ar"/>
              </w:rPr>
              <w:t>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6</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28.8</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28.8</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25.92</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restart"/>
            <w:vAlign w:val="center"/>
          </w:tcPr>
          <w:p>
            <w:pPr>
              <w:adjustRightInd w:val="0"/>
              <w:snapToGrid w:val="0"/>
              <w:jc w:val="center"/>
              <w:rPr>
                <w:b/>
                <w:color w:val="auto"/>
                <w:kern w:val="21"/>
                <w:lang w:bidi="ar"/>
              </w:rPr>
            </w:pPr>
            <w:r>
              <w:rPr>
                <w:rFonts w:hint="eastAsia"/>
                <w:bCs/>
                <w:color w:val="auto"/>
                <w:kern w:val="21"/>
                <w:lang w:bidi="ar"/>
              </w:rPr>
              <w:t>3</w:t>
            </w:r>
            <w:r>
              <w:rPr>
                <w:bCs/>
                <w:color w:val="auto"/>
                <w:kern w:val="21"/>
                <w:lang w:bidi="ar"/>
              </w:rPr>
              <w:t>条盖帽镀镍线</w:t>
            </w:r>
          </w:p>
        </w:tc>
        <w:tc>
          <w:tcPr>
            <w:tcW w:w="465" w:type="pct"/>
            <w:vAlign w:val="center"/>
          </w:tcPr>
          <w:p>
            <w:pPr>
              <w:adjustRightInd w:val="0"/>
              <w:snapToGrid w:val="0"/>
              <w:jc w:val="center"/>
              <w:textAlignment w:val="baseline"/>
              <w:rPr>
                <w:color w:val="auto"/>
                <w:kern w:val="21"/>
                <w:lang w:bidi="ar"/>
              </w:rPr>
            </w:pPr>
            <w:r>
              <w:rPr>
                <w:color w:val="auto"/>
                <w:kern w:val="21"/>
                <w:lang w:bidi="ar"/>
              </w:rPr>
              <w:t>钝化槽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6.48</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1.029</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w:t>
            </w:r>
          </w:p>
        </w:tc>
        <w:tc>
          <w:tcPr>
            <w:tcW w:w="388"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0.926</w:t>
            </w:r>
            <w:r>
              <w:rPr>
                <w:rFonts w:hint="eastAsia"/>
                <w:bCs/>
                <w:color w:val="auto"/>
                <w:kern w:val="21"/>
                <w:lang w:val="en-US" w:eastAsia="zh-CN" w:bidi="ar"/>
              </w:rPr>
              <w:t>1</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1周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3</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21.6</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textAlignment w:val="baseline"/>
              <w:rPr>
                <w:color w:val="auto"/>
                <w:kern w:val="21"/>
                <w:lang w:bidi="ar"/>
              </w:rPr>
            </w:pPr>
            <w:r>
              <w:rPr>
                <w:color w:val="auto"/>
                <w:kern w:val="21"/>
                <w:lang w:bidi="ar"/>
              </w:rPr>
              <w:t>中和槽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6.48</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0.24</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0.216</w:t>
            </w:r>
          </w:p>
        </w:tc>
        <w:tc>
          <w:tcPr>
            <w:tcW w:w="284" w:type="pct"/>
            <w:vAlign w:val="center"/>
          </w:tcPr>
          <w:p>
            <w:pPr>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1月1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textAlignment w:val="baseline"/>
              <w:rPr>
                <w:color w:val="auto"/>
                <w:kern w:val="21"/>
                <w:lang w:bidi="ar"/>
              </w:rPr>
            </w:pPr>
            <w:r>
              <w:rPr>
                <w:color w:val="auto"/>
                <w:kern w:val="21"/>
                <w:lang w:bidi="ar"/>
              </w:rPr>
              <w:t>纯水洗槽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14.4</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4" w:type="pct"/>
            <w:vAlign w:val="center"/>
          </w:tcPr>
          <w:p>
            <w:pPr>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lang w:bidi="ar"/>
              </w:rPr>
            </w:pPr>
          </w:p>
        </w:tc>
        <w:tc>
          <w:tcPr>
            <w:tcW w:w="465" w:type="pct"/>
            <w:vAlign w:val="center"/>
          </w:tcPr>
          <w:p>
            <w:pPr>
              <w:adjustRightInd w:val="0"/>
              <w:snapToGrid w:val="0"/>
              <w:jc w:val="center"/>
              <w:textAlignment w:val="baseline"/>
              <w:rPr>
                <w:color w:val="auto"/>
                <w:kern w:val="21"/>
                <w:lang w:bidi="ar"/>
              </w:rPr>
            </w:pPr>
            <w:r>
              <w:rPr>
                <w:color w:val="auto"/>
                <w:kern w:val="21"/>
                <w:lang w:bidi="ar"/>
              </w:rPr>
              <w:t>封闭槽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1</w:t>
            </w:r>
            <w:r>
              <w:rPr>
                <w:bCs/>
                <w:color w:val="auto"/>
                <w:kern w:val="21"/>
                <w:lang w:bidi="ar"/>
              </w:rPr>
              <w:t>×0.9=</w:t>
            </w:r>
            <w:r>
              <w:rPr>
                <w:rFonts w:hint="eastAsia"/>
                <w:bCs/>
                <w:color w:val="auto"/>
                <w:kern w:val="21"/>
                <w:lang w:bidi="ar"/>
              </w:rPr>
              <w:t>6.48</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0.72</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0.648</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10日1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Cs/>
                <w:color w:val="auto"/>
                <w:kern w:val="21"/>
                <w:highlight w:val="yellow"/>
                <w:lang w:bidi="ar"/>
              </w:rPr>
            </w:pPr>
          </w:p>
        </w:tc>
        <w:tc>
          <w:tcPr>
            <w:tcW w:w="465" w:type="pct"/>
            <w:vAlign w:val="center"/>
          </w:tcPr>
          <w:p>
            <w:pPr>
              <w:adjustRightInd w:val="0"/>
              <w:snapToGrid w:val="0"/>
              <w:jc w:val="center"/>
              <w:textAlignment w:val="baseline"/>
              <w:rPr>
                <w:color w:val="auto"/>
                <w:kern w:val="21"/>
                <w:lang w:bidi="ar"/>
              </w:rPr>
            </w:pPr>
            <w:r>
              <w:rPr>
                <w:color w:val="auto"/>
                <w:kern w:val="21"/>
                <w:lang w:bidi="ar"/>
              </w:rPr>
              <w:t>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2.5</w:t>
            </w:r>
            <w:r>
              <w:rPr>
                <w:bCs/>
                <w:color w:val="auto"/>
                <w:kern w:val="21"/>
                <w:lang w:bidi="ar"/>
              </w:rPr>
              <w:t>×</w:t>
            </w:r>
            <w:r>
              <w:rPr>
                <w:rFonts w:hint="eastAsia"/>
                <w:bCs/>
                <w:color w:val="auto"/>
                <w:kern w:val="21"/>
                <w:lang w:bidi="ar"/>
              </w:rPr>
              <w:t>0.8</w:t>
            </w:r>
            <w:r>
              <w:rPr>
                <w:bCs/>
                <w:color w:val="auto"/>
                <w:kern w:val="21"/>
                <w:lang w:bidi="ar"/>
              </w:rPr>
              <w:t>×1</w:t>
            </w:r>
            <w:r>
              <w:rPr>
                <w:rFonts w:hint="eastAsia"/>
                <w:bCs/>
                <w:color w:val="auto"/>
                <w:kern w:val="21"/>
                <w:lang w:bidi="ar"/>
              </w:rPr>
              <w:t>.2</w:t>
            </w:r>
          </w:p>
        </w:tc>
        <w:tc>
          <w:tcPr>
            <w:tcW w:w="554" w:type="pct"/>
            <w:vAlign w:val="center"/>
          </w:tcPr>
          <w:p>
            <w:pPr>
              <w:adjustRightInd w:val="0"/>
              <w:snapToGrid w:val="0"/>
              <w:jc w:val="center"/>
              <w:rPr>
                <w:bCs/>
                <w:color w:val="auto"/>
                <w:kern w:val="21"/>
                <w:lang w:bidi="ar"/>
              </w:rPr>
            </w:pPr>
            <w:r>
              <w:rPr>
                <w:rFonts w:hint="eastAsia"/>
                <w:bCs/>
                <w:color w:val="auto"/>
                <w:kern w:val="21"/>
                <w:lang w:bidi="ar"/>
              </w:rPr>
              <w:t>2.4</w:t>
            </w:r>
            <w:r>
              <w:rPr>
                <w:bCs/>
                <w:color w:val="auto"/>
                <w:kern w:val="21"/>
                <w:lang w:bidi="ar"/>
              </w:rPr>
              <w:t>×</w:t>
            </w:r>
            <w:r>
              <w:rPr>
                <w:rFonts w:hint="eastAsia"/>
                <w:bCs/>
                <w:color w:val="auto"/>
                <w:kern w:val="21"/>
                <w:lang w:bidi="ar"/>
              </w:rPr>
              <w:t>3</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14.4</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14.4</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12.96</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restart"/>
            <w:vAlign w:val="center"/>
          </w:tcPr>
          <w:p>
            <w:pPr>
              <w:adjustRightInd w:val="0"/>
              <w:snapToGrid w:val="0"/>
              <w:jc w:val="center"/>
              <w:rPr>
                <w:b/>
                <w:color w:val="auto"/>
                <w:kern w:val="21"/>
                <w:highlight w:val="yellow"/>
                <w:lang w:bidi="ar"/>
              </w:rPr>
            </w:pPr>
            <w:r>
              <w:rPr>
                <w:rFonts w:hint="eastAsia"/>
                <w:bCs/>
                <w:color w:val="auto"/>
                <w:kern w:val="21"/>
                <w:lang w:bidi="ar"/>
              </w:rPr>
              <w:t>1条电池箱镀锌线</w:t>
            </w:r>
          </w:p>
        </w:tc>
        <w:tc>
          <w:tcPr>
            <w:tcW w:w="465" w:type="pct"/>
            <w:vAlign w:val="center"/>
          </w:tcPr>
          <w:p>
            <w:pPr>
              <w:adjustRightInd w:val="0"/>
              <w:snapToGrid w:val="0"/>
              <w:jc w:val="center"/>
              <w:rPr>
                <w:bCs/>
                <w:color w:val="auto"/>
                <w:kern w:val="21"/>
                <w:lang w:bidi="ar"/>
              </w:rPr>
            </w:pPr>
            <w:r>
              <w:rPr>
                <w:bCs/>
                <w:color w:val="auto"/>
                <w:kern w:val="21"/>
                <w:lang w:bidi="ar"/>
              </w:rPr>
              <w:t>钝化槽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1.0</w:t>
            </w:r>
            <w:r>
              <w:rPr>
                <w:bCs/>
                <w:color w:val="auto"/>
                <w:kern w:val="21"/>
                <w:lang w:bidi="ar"/>
              </w:rPr>
              <w:t>×</w:t>
            </w:r>
            <w:r>
              <w:rPr>
                <w:rFonts w:hint="eastAsia"/>
                <w:bCs/>
                <w:color w:val="auto"/>
                <w:kern w:val="21"/>
                <w:lang w:bidi="ar"/>
              </w:rPr>
              <w:t>1.7</w:t>
            </w:r>
          </w:p>
        </w:tc>
        <w:tc>
          <w:tcPr>
            <w:tcW w:w="554" w:type="pct"/>
            <w:vAlign w:val="center"/>
          </w:tcPr>
          <w:p>
            <w:pPr>
              <w:adjustRightInd w:val="0"/>
              <w:snapToGrid w:val="0"/>
              <w:jc w:val="center"/>
              <w:rPr>
                <w:bCs/>
                <w:color w:val="auto"/>
                <w:kern w:val="21"/>
                <w:lang w:bidi="ar"/>
              </w:rPr>
            </w:pPr>
            <w:r>
              <w:rPr>
                <w:rFonts w:hint="eastAsia"/>
                <w:bCs/>
                <w:color w:val="auto"/>
                <w:kern w:val="21"/>
                <w:lang w:bidi="ar"/>
              </w:rPr>
              <w:t>11.9</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21.42</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1.7</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1.53</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w:t>
            </w:r>
            <w:r>
              <w:rPr>
                <w:bCs/>
                <w:color w:val="auto"/>
                <w:kern w:val="21"/>
                <w:lang w:bidi="ar"/>
              </w:rPr>
              <w:t>周</w:t>
            </w:r>
            <w:r>
              <w:rPr>
                <w:rFonts w:hint="eastAsia"/>
                <w:bCs/>
                <w:color w:val="auto"/>
                <w:kern w:val="21"/>
                <w:lang w:bidi="ar"/>
              </w:rPr>
              <w:t>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
                <w:color w:val="auto"/>
                <w:kern w:val="21"/>
                <w:highlight w:val="yellow"/>
                <w:lang w:bidi="ar"/>
              </w:rPr>
            </w:pPr>
          </w:p>
        </w:tc>
        <w:tc>
          <w:tcPr>
            <w:tcW w:w="465" w:type="pct"/>
            <w:vAlign w:val="center"/>
          </w:tcPr>
          <w:p>
            <w:pPr>
              <w:adjustRightInd w:val="0"/>
              <w:snapToGrid w:val="0"/>
              <w:jc w:val="center"/>
              <w:rPr>
                <w:bCs/>
                <w:color w:val="auto"/>
                <w:kern w:val="21"/>
                <w:lang w:bidi="ar"/>
              </w:rPr>
            </w:pPr>
            <w:r>
              <w:rPr>
                <w:bCs/>
                <w:color w:val="auto"/>
                <w:kern w:val="21"/>
                <w:lang w:bidi="ar"/>
              </w:rPr>
              <w:t>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54"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w:t>
            </w:r>
            <w:r>
              <w:rPr>
                <w:rFonts w:hint="eastAsia"/>
                <w:bCs/>
                <w:color w:val="auto"/>
                <w:kern w:val="21"/>
                <w:lang w:bidi="ar"/>
              </w:rPr>
              <w:t>19.04</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4.8</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
                <w:color w:val="auto"/>
                <w:kern w:val="21"/>
                <w:highlight w:val="yellow"/>
                <w:lang w:bidi="ar"/>
              </w:rPr>
            </w:pPr>
          </w:p>
        </w:tc>
        <w:tc>
          <w:tcPr>
            <w:tcW w:w="465" w:type="pct"/>
            <w:vAlign w:val="center"/>
          </w:tcPr>
          <w:p>
            <w:pPr>
              <w:adjustRightInd w:val="0"/>
              <w:snapToGrid w:val="0"/>
              <w:jc w:val="center"/>
              <w:rPr>
                <w:bCs/>
                <w:color w:val="auto"/>
                <w:kern w:val="21"/>
                <w:lang w:bidi="ar"/>
              </w:rPr>
            </w:pPr>
            <w:r>
              <w:rPr>
                <w:bCs/>
                <w:color w:val="auto"/>
                <w:kern w:val="21"/>
                <w:lang w:bidi="ar"/>
              </w:rPr>
              <w:t>封闭槽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2</w:t>
            </w:r>
          </w:p>
        </w:tc>
        <w:tc>
          <w:tcPr>
            <w:tcW w:w="46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54"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2</w:t>
            </w:r>
            <w:r>
              <w:rPr>
                <w:bCs/>
                <w:color w:val="auto"/>
                <w:kern w:val="21"/>
                <w:lang w:bidi="ar"/>
              </w:rPr>
              <w:t>×0.9=</w:t>
            </w:r>
            <w:r>
              <w:rPr>
                <w:rFonts w:hint="eastAsia"/>
                <w:bCs/>
                <w:color w:val="auto"/>
                <w:kern w:val="21"/>
                <w:lang w:bidi="ar"/>
              </w:rPr>
              <w:t>17.136</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定期更换</w:t>
            </w:r>
          </w:p>
        </w:tc>
        <w:tc>
          <w:tcPr>
            <w:tcW w:w="387" w:type="pct"/>
            <w:vAlign w:val="center"/>
          </w:tcPr>
          <w:p>
            <w:pPr>
              <w:adjustRightInd w:val="0"/>
              <w:snapToGrid w:val="0"/>
              <w:jc w:val="center"/>
              <w:rPr>
                <w:bCs/>
                <w:color w:val="auto"/>
                <w:kern w:val="21"/>
                <w:lang w:bidi="ar"/>
              </w:rPr>
            </w:pPr>
            <w:r>
              <w:rPr>
                <w:rFonts w:hint="eastAsia"/>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0.952</w:t>
            </w:r>
          </w:p>
        </w:tc>
        <w:tc>
          <w:tcPr>
            <w:tcW w:w="328" w:type="pct"/>
            <w:vAlign w:val="center"/>
          </w:tcPr>
          <w:p>
            <w:pPr>
              <w:adjustRightInd w:val="0"/>
              <w:snapToGrid w:val="0"/>
              <w:jc w:val="center"/>
              <w:rPr>
                <w:bCs/>
                <w:color w:val="auto"/>
                <w:kern w:val="21"/>
                <w:lang w:bidi="ar"/>
              </w:rPr>
            </w:pPr>
            <w:r>
              <w:rPr>
                <w:bCs/>
                <w:color w:val="auto"/>
                <w:kern w:val="21"/>
                <w:lang w:bidi="ar"/>
              </w:rPr>
              <w:t>纯水</w:t>
            </w:r>
          </w:p>
        </w:tc>
        <w:tc>
          <w:tcPr>
            <w:tcW w:w="388" w:type="pct"/>
            <w:vAlign w:val="center"/>
          </w:tcPr>
          <w:p>
            <w:pPr>
              <w:adjustRightInd w:val="0"/>
              <w:snapToGrid w:val="0"/>
              <w:jc w:val="center"/>
              <w:rPr>
                <w:rFonts w:hint="default" w:eastAsia="宋体"/>
                <w:bCs/>
                <w:color w:val="auto"/>
                <w:kern w:val="21"/>
                <w:lang w:val="en-US" w:eastAsia="zh-CN" w:bidi="ar"/>
              </w:rPr>
            </w:pPr>
            <w:r>
              <w:rPr>
                <w:rFonts w:hint="eastAsia"/>
                <w:bCs/>
                <w:color w:val="auto"/>
                <w:kern w:val="21"/>
                <w:lang w:bidi="ar"/>
              </w:rPr>
              <w:t>0.85</w:t>
            </w:r>
            <w:r>
              <w:rPr>
                <w:rFonts w:hint="eastAsia"/>
                <w:bCs/>
                <w:color w:val="auto"/>
                <w:kern w:val="21"/>
                <w:lang w:val="en-US" w:eastAsia="zh-CN" w:bidi="ar"/>
              </w:rPr>
              <w:t>68</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rFonts w:hint="eastAsia"/>
                <w:bCs/>
                <w:color w:val="auto"/>
                <w:kern w:val="21"/>
                <w:lang w:bidi="ar"/>
              </w:rPr>
              <w:t>20日1</w:t>
            </w:r>
            <w:r>
              <w:rPr>
                <w:bCs/>
                <w:color w:val="auto"/>
                <w:kern w:val="21"/>
                <w:lang w:bidi="ar"/>
              </w:rPr>
              <w:t>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Merge w:val="continue"/>
            <w:vAlign w:val="center"/>
          </w:tcPr>
          <w:p>
            <w:pPr>
              <w:adjustRightInd w:val="0"/>
              <w:snapToGrid w:val="0"/>
              <w:jc w:val="center"/>
              <w:rPr>
                <w:b/>
                <w:color w:val="auto"/>
                <w:kern w:val="21"/>
                <w:highlight w:val="yellow"/>
                <w:lang w:bidi="ar"/>
              </w:rPr>
            </w:pPr>
          </w:p>
        </w:tc>
        <w:tc>
          <w:tcPr>
            <w:tcW w:w="465" w:type="pct"/>
            <w:vAlign w:val="center"/>
          </w:tcPr>
          <w:p>
            <w:pPr>
              <w:adjustRightInd w:val="0"/>
              <w:snapToGrid w:val="0"/>
              <w:jc w:val="center"/>
              <w:rPr>
                <w:bCs/>
                <w:color w:val="auto"/>
                <w:kern w:val="21"/>
                <w:lang w:bidi="ar"/>
              </w:rPr>
            </w:pPr>
            <w:r>
              <w:rPr>
                <w:bCs/>
                <w:color w:val="auto"/>
                <w:kern w:val="21"/>
                <w:lang w:bidi="ar"/>
              </w:rPr>
              <w:t>水洗槽</w:t>
            </w:r>
          </w:p>
        </w:tc>
        <w:tc>
          <w:tcPr>
            <w:tcW w:w="371" w:type="pct"/>
            <w:vAlign w:val="center"/>
          </w:tcPr>
          <w:p>
            <w:pPr>
              <w:adjustRightInd w:val="0"/>
              <w:snapToGrid w:val="0"/>
              <w:jc w:val="center"/>
              <w:rPr>
                <w:bCs/>
                <w:color w:val="auto"/>
                <w:kern w:val="21"/>
                <w:lang w:bidi="ar"/>
              </w:rPr>
            </w:pPr>
            <w:r>
              <w:rPr>
                <w:rFonts w:hint="eastAsia"/>
                <w:bCs/>
                <w:color w:val="auto"/>
                <w:kern w:val="21"/>
                <w:lang w:bidi="ar"/>
              </w:rPr>
              <w:t>1</w:t>
            </w:r>
          </w:p>
        </w:tc>
        <w:tc>
          <w:tcPr>
            <w:tcW w:w="465" w:type="pct"/>
            <w:vAlign w:val="center"/>
          </w:tcPr>
          <w:p>
            <w:pPr>
              <w:adjustRightInd w:val="0"/>
              <w:snapToGrid w:val="0"/>
              <w:jc w:val="center"/>
              <w:rPr>
                <w:bCs/>
                <w:color w:val="auto"/>
                <w:kern w:val="21"/>
                <w:lang w:bidi="ar"/>
              </w:rPr>
            </w:pPr>
            <w:r>
              <w:rPr>
                <w:rFonts w:hint="eastAsia"/>
                <w:bCs/>
                <w:color w:val="auto"/>
                <w:kern w:val="21"/>
                <w:lang w:bidi="ar"/>
              </w:rPr>
              <w:t>7</w:t>
            </w:r>
            <w:r>
              <w:rPr>
                <w:bCs/>
                <w:color w:val="auto"/>
                <w:kern w:val="21"/>
                <w:lang w:bidi="ar"/>
              </w:rPr>
              <w:t>×</w:t>
            </w:r>
            <w:r>
              <w:rPr>
                <w:rFonts w:hint="eastAsia"/>
                <w:bCs/>
                <w:color w:val="auto"/>
                <w:kern w:val="21"/>
                <w:lang w:bidi="ar"/>
              </w:rPr>
              <w:t>0.8</w:t>
            </w:r>
            <w:r>
              <w:rPr>
                <w:bCs/>
                <w:color w:val="auto"/>
                <w:kern w:val="21"/>
                <w:lang w:bidi="ar"/>
              </w:rPr>
              <w:t>×</w:t>
            </w:r>
            <w:r>
              <w:rPr>
                <w:rFonts w:hint="eastAsia"/>
                <w:bCs/>
                <w:color w:val="auto"/>
                <w:kern w:val="21"/>
                <w:lang w:bidi="ar"/>
              </w:rPr>
              <w:t>1.7</w:t>
            </w:r>
          </w:p>
        </w:tc>
        <w:tc>
          <w:tcPr>
            <w:tcW w:w="554" w:type="pct"/>
            <w:vAlign w:val="center"/>
          </w:tcPr>
          <w:p>
            <w:pPr>
              <w:adjustRightInd w:val="0"/>
              <w:snapToGrid w:val="0"/>
              <w:jc w:val="center"/>
              <w:rPr>
                <w:bCs/>
                <w:color w:val="auto"/>
                <w:kern w:val="21"/>
                <w:lang w:bidi="ar"/>
              </w:rPr>
            </w:pPr>
            <w:r>
              <w:rPr>
                <w:rFonts w:hint="eastAsia"/>
                <w:bCs/>
                <w:color w:val="auto"/>
                <w:kern w:val="21"/>
                <w:lang w:bidi="ar"/>
              </w:rPr>
              <w:t>9.52</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1</w:t>
            </w:r>
            <w:r>
              <w:rPr>
                <w:bCs/>
                <w:color w:val="auto"/>
                <w:kern w:val="21"/>
                <w:lang w:bidi="ar"/>
              </w:rPr>
              <w:t>=</w:t>
            </w:r>
            <w:r>
              <w:rPr>
                <w:rFonts w:hint="eastAsia"/>
                <w:bCs/>
                <w:color w:val="auto"/>
                <w:kern w:val="21"/>
                <w:lang w:bidi="ar"/>
              </w:rPr>
              <w:t>8.52</w:t>
            </w:r>
          </w:p>
        </w:tc>
        <w:tc>
          <w:tcPr>
            <w:tcW w:w="313" w:type="pct"/>
            <w:vAlign w:val="center"/>
          </w:tcPr>
          <w:p>
            <w:pPr>
              <w:adjustRightInd w:val="0"/>
              <w:snapToGrid w:val="0"/>
              <w:jc w:val="center"/>
              <w:rPr>
                <w:bCs/>
                <w:color w:val="auto"/>
                <w:kern w:val="21"/>
                <w:lang w:bidi="ar"/>
              </w:rPr>
            </w:pPr>
            <w:r>
              <w:rPr>
                <w:bCs/>
                <w:color w:val="auto"/>
                <w:kern w:val="21"/>
                <w:lang w:bidi="ar"/>
              </w:rPr>
              <w:t>24</w:t>
            </w:r>
          </w:p>
        </w:tc>
        <w:tc>
          <w:tcPr>
            <w:tcW w:w="376" w:type="pct"/>
            <w:vAlign w:val="center"/>
          </w:tcPr>
          <w:p>
            <w:pPr>
              <w:adjustRightInd w:val="0"/>
              <w:snapToGrid w:val="0"/>
              <w:jc w:val="center"/>
              <w:rPr>
                <w:bCs/>
                <w:color w:val="auto"/>
                <w:kern w:val="21"/>
                <w:lang w:bidi="ar"/>
              </w:rPr>
            </w:pPr>
            <w:r>
              <w:rPr>
                <w:color w:val="auto"/>
                <w:kern w:val="21"/>
                <w:lang w:bidi="ar"/>
              </w:rPr>
              <w:t>连续溢流</w:t>
            </w:r>
          </w:p>
        </w:tc>
        <w:tc>
          <w:tcPr>
            <w:tcW w:w="387" w:type="pct"/>
            <w:vAlign w:val="center"/>
          </w:tcPr>
          <w:p>
            <w:pPr>
              <w:adjustRightInd w:val="0"/>
              <w:snapToGrid w:val="0"/>
              <w:jc w:val="center"/>
              <w:rPr>
                <w:bCs/>
                <w:color w:val="auto"/>
                <w:kern w:val="21"/>
                <w:lang w:bidi="ar"/>
              </w:rPr>
            </w:pPr>
            <w:r>
              <w:rPr>
                <w:rFonts w:hint="eastAsia"/>
                <w:bCs/>
                <w:color w:val="auto"/>
                <w:kern w:val="21"/>
                <w:lang w:bidi="ar"/>
              </w:rPr>
              <w:t>200</w:t>
            </w:r>
          </w:p>
        </w:tc>
        <w:tc>
          <w:tcPr>
            <w:tcW w:w="350" w:type="pct"/>
            <w:vAlign w:val="center"/>
          </w:tcPr>
          <w:p>
            <w:pPr>
              <w:adjustRightInd w:val="0"/>
              <w:snapToGrid w:val="0"/>
              <w:jc w:val="center"/>
              <w:rPr>
                <w:bCs/>
                <w:color w:val="auto"/>
                <w:kern w:val="21"/>
                <w:lang w:bidi="ar"/>
              </w:rPr>
            </w:pPr>
            <w:r>
              <w:rPr>
                <w:rFonts w:hint="eastAsia"/>
                <w:bCs/>
                <w:color w:val="auto"/>
                <w:kern w:val="21"/>
                <w:lang w:bidi="ar"/>
              </w:rPr>
              <w:t>4.8</w:t>
            </w:r>
          </w:p>
        </w:tc>
        <w:tc>
          <w:tcPr>
            <w:tcW w:w="328" w:type="pct"/>
            <w:vAlign w:val="center"/>
          </w:tcPr>
          <w:p>
            <w:pPr>
              <w:adjustRightInd w:val="0"/>
              <w:snapToGrid w:val="0"/>
              <w:jc w:val="center"/>
              <w:rPr>
                <w:bCs/>
                <w:color w:val="auto"/>
                <w:kern w:val="21"/>
                <w:lang w:bidi="ar"/>
              </w:rPr>
            </w:pPr>
            <w:r>
              <w:rPr>
                <w:rFonts w:hint="eastAsia"/>
                <w:bCs/>
                <w:color w:val="auto"/>
                <w:kern w:val="21"/>
                <w:lang w:bidi="ar"/>
              </w:rPr>
              <w:t>纯水/</w:t>
            </w:r>
            <w:r>
              <w:rPr>
                <w:bCs/>
                <w:color w:val="auto"/>
                <w:kern w:val="21"/>
                <w:lang w:bidi="ar"/>
              </w:rPr>
              <w:t>回用水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4.32</w:t>
            </w:r>
          </w:p>
        </w:tc>
        <w:tc>
          <w:tcPr>
            <w:tcW w:w="284" w:type="pct"/>
            <w:vAlign w:val="center"/>
          </w:tcPr>
          <w:p>
            <w:pPr>
              <w:jc w:val="center"/>
              <w:rPr>
                <w:color w:val="auto"/>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r>
              <w:rPr>
                <w:bCs/>
                <w:color w:val="auto"/>
                <w:kern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Align w:val="center"/>
          </w:tcPr>
          <w:p>
            <w:pPr>
              <w:adjustRightInd w:val="0"/>
              <w:snapToGrid w:val="0"/>
              <w:jc w:val="center"/>
              <w:rPr>
                <w:b/>
                <w:color w:val="auto"/>
                <w:kern w:val="21"/>
                <w:highlight w:val="yellow"/>
                <w:lang w:bidi="ar"/>
              </w:rPr>
            </w:pPr>
            <w:r>
              <w:rPr>
                <w:bCs/>
                <w:color w:val="auto"/>
                <w:kern w:val="21"/>
                <w:lang w:bidi="ar"/>
              </w:rPr>
              <w:t>预处理系统</w:t>
            </w:r>
          </w:p>
        </w:tc>
        <w:tc>
          <w:tcPr>
            <w:tcW w:w="465" w:type="pct"/>
            <w:vAlign w:val="center"/>
          </w:tcPr>
          <w:p>
            <w:pPr>
              <w:adjustRightInd w:val="0"/>
              <w:snapToGrid w:val="0"/>
              <w:jc w:val="center"/>
              <w:rPr>
                <w:bCs/>
                <w:color w:val="auto"/>
                <w:kern w:val="21"/>
                <w:lang w:bidi="ar"/>
              </w:rPr>
            </w:pPr>
            <w:r>
              <w:rPr>
                <w:color w:val="auto"/>
                <w:kern w:val="21"/>
                <w:lang w:bidi="ar"/>
              </w:rPr>
              <w:t>反冲洗废水</w:t>
            </w:r>
          </w:p>
        </w:tc>
        <w:tc>
          <w:tcPr>
            <w:tcW w:w="371" w:type="pct"/>
            <w:vAlign w:val="center"/>
          </w:tcPr>
          <w:p>
            <w:pPr>
              <w:adjustRightInd w:val="0"/>
              <w:snapToGrid w:val="0"/>
              <w:jc w:val="center"/>
              <w:rPr>
                <w:bCs/>
                <w:color w:val="auto"/>
                <w:kern w:val="21"/>
                <w:lang w:bidi="ar"/>
              </w:rPr>
            </w:pPr>
            <w:r>
              <w:rPr>
                <w:rFonts w:hint="eastAsia"/>
                <w:bCs/>
                <w:color w:val="auto"/>
                <w:kern w:val="21"/>
                <w:lang w:bidi="ar"/>
              </w:rPr>
              <w:t>/</w:t>
            </w:r>
          </w:p>
        </w:tc>
        <w:tc>
          <w:tcPr>
            <w:tcW w:w="465" w:type="pct"/>
            <w:vAlign w:val="center"/>
          </w:tcPr>
          <w:p>
            <w:pPr>
              <w:adjustRightInd w:val="0"/>
              <w:snapToGrid w:val="0"/>
              <w:jc w:val="center"/>
              <w:rPr>
                <w:bCs/>
                <w:color w:val="auto"/>
                <w:kern w:val="21"/>
                <w:lang w:bidi="ar"/>
              </w:rPr>
            </w:pPr>
            <w:r>
              <w:rPr>
                <w:rFonts w:hint="eastAsia"/>
                <w:bCs/>
                <w:color w:val="auto"/>
                <w:kern w:val="21"/>
                <w:lang w:bidi="ar"/>
              </w:rPr>
              <w:t>/</w:t>
            </w:r>
          </w:p>
        </w:tc>
        <w:tc>
          <w:tcPr>
            <w:tcW w:w="554" w:type="pct"/>
            <w:vAlign w:val="center"/>
          </w:tcPr>
          <w:p>
            <w:pPr>
              <w:adjustRightInd w:val="0"/>
              <w:snapToGrid w:val="0"/>
              <w:jc w:val="center"/>
              <w:rPr>
                <w:bCs/>
                <w:color w:val="auto"/>
                <w:kern w:val="21"/>
                <w:lang w:bidi="ar"/>
              </w:rPr>
            </w:pPr>
            <w:r>
              <w:rPr>
                <w:rFonts w:hint="eastAsia"/>
                <w:bCs/>
                <w:color w:val="auto"/>
                <w:kern w:val="21"/>
                <w:lang w:bidi="ar"/>
              </w:rPr>
              <w:t>/</w:t>
            </w:r>
          </w:p>
        </w:tc>
        <w:tc>
          <w:tcPr>
            <w:tcW w:w="313" w:type="pct"/>
            <w:vAlign w:val="center"/>
          </w:tcPr>
          <w:p>
            <w:pPr>
              <w:adjustRightInd w:val="0"/>
              <w:snapToGrid w:val="0"/>
              <w:jc w:val="center"/>
              <w:rPr>
                <w:bCs/>
                <w:color w:val="auto"/>
                <w:kern w:val="21"/>
                <w:lang w:bidi="ar"/>
              </w:rPr>
            </w:pPr>
            <w:r>
              <w:rPr>
                <w:rFonts w:hint="eastAsia"/>
                <w:bCs/>
                <w:color w:val="auto"/>
                <w:kern w:val="21"/>
                <w:lang w:bidi="ar"/>
              </w:rPr>
              <w:t>/</w:t>
            </w:r>
          </w:p>
        </w:tc>
        <w:tc>
          <w:tcPr>
            <w:tcW w:w="376" w:type="pct"/>
            <w:vAlign w:val="center"/>
          </w:tcPr>
          <w:p>
            <w:pPr>
              <w:adjustRightInd w:val="0"/>
              <w:snapToGrid w:val="0"/>
              <w:jc w:val="center"/>
              <w:rPr>
                <w:color w:val="auto"/>
                <w:kern w:val="21"/>
                <w:lang w:bidi="ar"/>
              </w:rPr>
            </w:pPr>
            <w:r>
              <w:rPr>
                <w:rFonts w:hint="eastAsia"/>
                <w:color w:val="auto"/>
                <w:kern w:val="21"/>
                <w:lang w:bidi="ar"/>
              </w:rPr>
              <w:t>/</w:t>
            </w:r>
          </w:p>
        </w:tc>
        <w:tc>
          <w:tcPr>
            <w:tcW w:w="387" w:type="pct"/>
            <w:vAlign w:val="center"/>
          </w:tcPr>
          <w:p>
            <w:pPr>
              <w:adjustRightInd w:val="0"/>
              <w:snapToGrid w:val="0"/>
              <w:jc w:val="center"/>
              <w:rPr>
                <w:bCs/>
                <w:color w:val="auto"/>
                <w:kern w:val="21"/>
                <w:lang w:bidi="ar"/>
              </w:rPr>
            </w:pPr>
            <w:r>
              <w:rPr>
                <w:rFonts w:hint="eastAsia"/>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0.3</w:t>
            </w:r>
          </w:p>
        </w:tc>
        <w:tc>
          <w:tcPr>
            <w:tcW w:w="328" w:type="pct"/>
            <w:vAlign w:val="center"/>
          </w:tcPr>
          <w:p>
            <w:pPr>
              <w:adjustRightInd w:val="0"/>
              <w:snapToGrid w:val="0"/>
              <w:jc w:val="center"/>
              <w:rPr>
                <w:bCs/>
                <w:color w:val="auto"/>
                <w:kern w:val="21"/>
                <w:lang w:bidi="ar"/>
              </w:rPr>
            </w:pPr>
            <w:r>
              <w:rPr>
                <w:rFonts w:hint="eastAsia"/>
                <w:bCs/>
                <w:color w:val="auto"/>
                <w:kern w:val="21"/>
                <w:lang w:bidi="ar"/>
              </w:rPr>
              <w:t>新鲜水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0.3</w:t>
            </w:r>
          </w:p>
        </w:tc>
        <w:tc>
          <w:tcPr>
            <w:tcW w:w="284" w:type="pct"/>
            <w:vAlign w:val="center"/>
          </w:tcPr>
          <w:p>
            <w:pPr>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vAlign w:val="center"/>
          </w:tcPr>
          <w:p>
            <w:pPr>
              <w:adjustRightInd w:val="0"/>
              <w:snapToGrid w:val="0"/>
              <w:jc w:val="center"/>
              <w:rPr>
                <w:b/>
                <w:color w:val="auto"/>
                <w:kern w:val="21"/>
                <w:highlight w:val="yellow"/>
                <w:lang w:bidi="ar"/>
              </w:rPr>
            </w:pPr>
            <w:r>
              <w:rPr>
                <w:bCs/>
                <w:color w:val="auto"/>
                <w:kern w:val="21"/>
                <w:lang w:bidi="ar"/>
              </w:rPr>
              <w:t>酸雾塔</w:t>
            </w:r>
          </w:p>
        </w:tc>
        <w:tc>
          <w:tcPr>
            <w:tcW w:w="465" w:type="pct"/>
            <w:vAlign w:val="center"/>
          </w:tcPr>
          <w:p>
            <w:pPr>
              <w:adjustRightInd w:val="0"/>
              <w:snapToGrid w:val="0"/>
              <w:jc w:val="center"/>
              <w:rPr>
                <w:bCs/>
                <w:color w:val="auto"/>
                <w:kern w:val="21"/>
                <w:lang w:bidi="ar"/>
              </w:rPr>
            </w:pPr>
            <w:r>
              <w:rPr>
                <w:bCs/>
                <w:color w:val="auto"/>
                <w:kern w:val="21"/>
                <w:lang w:bidi="ar"/>
              </w:rPr>
              <w:t>酸雾废水</w:t>
            </w:r>
          </w:p>
        </w:tc>
        <w:tc>
          <w:tcPr>
            <w:tcW w:w="371" w:type="pct"/>
            <w:vAlign w:val="center"/>
          </w:tcPr>
          <w:p>
            <w:pPr>
              <w:adjustRightInd w:val="0"/>
              <w:snapToGrid w:val="0"/>
              <w:jc w:val="center"/>
              <w:rPr>
                <w:bCs/>
                <w:color w:val="auto"/>
                <w:kern w:val="21"/>
                <w:lang w:bidi="ar"/>
              </w:rPr>
            </w:pPr>
            <w:r>
              <w:rPr>
                <w:rFonts w:hint="eastAsia"/>
                <w:bCs/>
                <w:color w:val="auto"/>
                <w:kern w:val="21"/>
                <w:lang w:bidi="ar"/>
              </w:rPr>
              <w:t>/</w:t>
            </w:r>
          </w:p>
        </w:tc>
        <w:tc>
          <w:tcPr>
            <w:tcW w:w="465" w:type="pct"/>
            <w:vAlign w:val="center"/>
          </w:tcPr>
          <w:p>
            <w:pPr>
              <w:adjustRightInd w:val="0"/>
              <w:snapToGrid w:val="0"/>
              <w:jc w:val="center"/>
              <w:rPr>
                <w:bCs/>
                <w:color w:val="auto"/>
                <w:kern w:val="21"/>
                <w:lang w:bidi="ar"/>
              </w:rPr>
            </w:pPr>
            <w:r>
              <w:rPr>
                <w:rFonts w:hint="eastAsia"/>
                <w:bCs/>
                <w:color w:val="auto"/>
                <w:kern w:val="21"/>
                <w:lang w:bidi="ar"/>
              </w:rPr>
              <w:t>/</w:t>
            </w:r>
          </w:p>
        </w:tc>
        <w:tc>
          <w:tcPr>
            <w:tcW w:w="554" w:type="pct"/>
            <w:vAlign w:val="center"/>
          </w:tcPr>
          <w:p>
            <w:pPr>
              <w:adjustRightInd w:val="0"/>
              <w:snapToGrid w:val="0"/>
              <w:jc w:val="center"/>
              <w:rPr>
                <w:bCs/>
                <w:color w:val="auto"/>
                <w:kern w:val="21"/>
                <w:lang w:bidi="ar"/>
              </w:rPr>
            </w:pPr>
            <w:r>
              <w:rPr>
                <w:rFonts w:hint="eastAsia"/>
                <w:bCs/>
                <w:color w:val="auto"/>
                <w:kern w:val="21"/>
                <w:lang w:bidi="ar"/>
              </w:rPr>
              <w:t>/</w:t>
            </w:r>
          </w:p>
        </w:tc>
        <w:tc>
          <w:tcPr>
            <w:tcW w:w="313" w:type="pct"/>
            <w:vAlign w:val="center"/>
          </w:tcPr>
          <w:p>
            <w:pPr>
              <w:adjustRightInd w:val="0"/>
              <w:snapToGrid w:val="0"/>
              <w:jc w:val="center"/>
              <w:rPr>
                <w:bCs/>
                <w:color w:val="auto"/>
                <w:kern w:val="21"/>
                <w:lang w:bidi="ar"/>
              </w:rPr>
            </w:pPr>
            <w:r>
              <w:rPr>
                <w:rFonts w:hint="eastAsia"/>
                <w:bCs/>
                <w:color w:val="auto"/>
                <w:kern w:val="21"/>
                <w:lang w:bidi="ar"/>
              </w:rPr>
              <w:t>/</w:t>
            </w:r>
          </w:p>
        </w:tc>
        <w:tc>
          <w:tcPr>
            <w:tcW w:w="376" w:type="pct"/>
            <w:vAlign w:val="center"/>
          </w:tcPr>
          <w:p>
            <w:pPr>
              <w:adjustRightInd w:val="0"/>
              <w:snapToGrid w:val="0"/>
              <w:jc w:val="center"/>
              <w:rPr>
                <w:color w:val="auto"/>
                <w:kern w:val="21"/>
                <w:lang w:bidi="ar"/>
              </w:rPr>
            </w:pPr>
            <w:r>
              <w:rPr>
                <w:rFonts w:hint="eastAsia"/>
                <w:color w:val="auto"/>
                <w:kern w:val="21"/>
                <w:lang w:bidi="ar"/>
              </w:rPr>
              <w:t>/</w:t>
            </w:r>
          </w:p>
        </w:tc>
        <w:tc>
          <w:tcPr>
            <w:tcW w:w="387" w:type="pct"/>
            <w:vAlign w:val="center"/>
          </w:tcPr>
          <w:p>
            <w:pPr>
              <w:adjustRightInd w:val="0"/>
              <w:snapToGrid w:val="0"/>
              <w:jc w:val="center"/>
              <w:rPr>
                <w:bCs/>
                <w:color w:val="auto"/>
                <w:kern w:val="21"/>
                <w:lang w:bidi="ar"/>
              </w:rPr>
            </w:pPr>
            <w:r>
              <w:rPr>
                <w:rFonts w:hint="eastAsia"/>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1.2</w:t>
            </w:r>
          </w:p>
        </w:tc>
        <w:tc>
          <w:tcPr>
            <w:tcW w:w="328" w:type="pct"/>
            <w:vAlign w:val="center"/>
          </w:tcPr>
          <w:p>
            <w:pPr>
              <w:adjustRightInd w:val="0"/>
              <w:snapToGrid w:val="0"/>
              <w:jc w:val="center"/>
              <w:rPr>
                <w:bCs/>
                <w:color w:val="auto"/>
                <w:kern w:val="21"/>
                <w:lang w:bidi="ar"/>
              </w:rPr>
            </w:pPr>
            <w:r>
              <w:rPr>
                <w:rFonts w:hint="eastAsia"/>
                <w:bCs/>
                <w:color w:val="auto"/>
                <w:kern w:val="21"/>
                <w:lang w:bidi="ar"/>
              </w:rPr>
              <w:t>新鲜水</w:t>
            </w:r>
          </w:p>
        </w:tc>
        <w:tc>
          <w:tcPr>
            <w:tcW w:w="388" w:type="pct"/>
            <w:vAlign w:val="center"/>
          </w:tcPr>
          <w:p>
            <w:pPr>
              <w:adjustRightInd w:val="0"/>
              <w:snapToGrid w:val="0"/>
              <w:jc w:val="center"/>
              <w:rPr>
                <w:bCs/>
                <w:color w:val="auto"/>
                <w:kern w:val="21"/>
                <w:lang w:bidi="ar"/>
              </w:rPr>
            </w:pPr>
            <w:r>
              <w:rPr>
                <w:rFonts w:hint="eastAsia"/>
                <w:bCs/>
                <w:color w:val="auto"/>
                <w:kern w:val="21"/>
                <w:lang w:bidi="ar"/>
              </w:rPr>
              <w:t>1.2</w:t>
            </w:r>
          </w:p>
        </w:tc>
        <w:tc>
          <w:tcPr>
            <w:tcW w:w="284" w:type="pct"/>
            <w:vAlign w:val="center"/>
          </w:tcPr>
          <w:p>
            <w:pPr>
              <w:jc w:val="center"/>
              <w:rPr>
                <w:bCs/>
                <w:color w:val="auto"/>
                <w:kern w:val="21"/>
                <w:lang w:bidi="ar"/>
              </w:rPr>
            </w:pPr>
            <w:r>
              <w:rPr>
                <w:bCs/>
                <w:color w:val="auto"/>
                <w:kern w:val="21"/>
                <w:lang w:bidi="ar"/>
              </w:rPr>
              <w:t>含铬废水</w:t>
            </w:r>
          </w:p>
        </w:tc>
        <w:tc>
          <w:tcPr>
            <w:tcW w:w="405" w:type="pct"/>
            <w:vAlign w:val="center"/>
          </w:tcPr>
          <w:p>
            <w:pPr>
              <w:adjustRightInd w:val="0"/>
              <w:snapToGrid w:val="0"/>
              <w:jc w:val="center"/>
              <w:rPr>
                <w:bCs/>
                <w:color w:val="auto"/>
                <w:kern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55" w:type="pct"/>
            <w:gridSpan w:val="7"/>
            <w:vAlign w:val="center"/>
          </w:tcPr>
          <w:p>
            <w:pPr>
              <w:adjustRightInd w:val="0"/>
              <w:snapToGrid w:val="0"/>
              <w:jc w:val="center"/>
              <w:rPr>
                <w:color w:val="auto"/>
                <w:kern w:val="21"/>
                <w:lang w:bidi="ar"/>
              </w:rPr>
            </w:pPr>
            <w:r>
              <w:rPr>
                <w:color w:val="auto"/>
                <w:kern w:val="21"/>
                <w:lang w:bidi="ar"/>
              </w:rPr>
              <w:t>总计</w:t>
            </w:r>
          </w:p>
        </w:tc>
        <w:tc>
          <w:tcPr>
            <w:tcW w:w="387" w:type="pct"/>
            <w:vAlign w:val="center"/>
          </w:tcPr>
          <w:p>
            <w:pPr>
              <w:adjustRightInd w:val="0"/>
              <w:snapToGrid w:val="0"/>
              <w:jc w:val="center"/>
              <w:rPr>
                <w:bCs/>
                <w:color w:val="auto"/>
                <w:kern w:val="21"/>
                <w:lang w:bidi="ar"/>
              </w:rPr>
            </w:pPr>
            <w:r>
              <w:rPr>
                <w:rFonts w:hint="eastAsia"/>
                <w:bCs/>
                <w:color w:val="auto"/>
                <w:kern w:val="21"/>
                <w:lang w:bidi="ar"/>
              </w:rPr>
              <w:t>/</w:t>
            </w:r>
          </w:p>
        </w:tc>
        <w:tc>
          <w:tcPr>
            <w:tcW w:w="350" w:type="pct"/>
            <w:vAlign w:val="center"/>
          </w:tcPr>
          <w:p>
            <w:pPr>
              <w:adjustRightInd w:val="0"/>
              <w:snapToGrid w:val="0"/>
              <w:jc w:val="center"/>
              <w:rPr>
                <w:bCs/>
                <w:color w:val="auto"/>
                <w:kern w:val="21"/>
                <w:lang w:bidi="ar"/>
              </w:rPr>
            </w:pPr>
            <w:r>
              <w:rPr>
                <w:rFonts w:hint="eastAsia"/>
                <w:bCs/>
                <w:color w:val="auto"/>
                <w:kern w:val="21"/>
                <w:lang w:bidi="ar"/>
              </w:rPr>
              <w:t>151.124</w:t>
            </w:r>
          </w:p>
        </w:tc>
        <w:tc>
          <w:tcPr>
            <w:tcW w:w="328" w:type="pct"/>
            <w:vAlign w:val="center"/>
          </w:tcPr>
          <w:p>
            <w:pPr>
              <w:adjustRightInd w:val="0"/>
              <w:snapToGrid w:val="0"/>
              <w:jc w:val="center"/>
              <w:rPr>
                <w:bCs/>
                <w:color w:val="auto"/>
                <w:kern w:val="21"/>
                <w:lang w:bidi="ar"/>
              </w:rPr>
            </w:pPr>
            <w:r>
              <w:rPr>
                <w:rFonts w:hint="eastAsia"/>
                <w:bCs/>
                <w:color w:val="auto"/>
                <w:kern w:val="21"/>
                <w:lang w:bidi="ar"/>
              </w:rPr>
              <w:t>/</w:t>
            </w:r>
          </w:p>
        </w:tc>
        <w:tc>
          <w:tcPr>
            <w:tcW w:w="388" w:type="pct"/>
            <w:vAlign w:val="center"/>
          </w:tcPr>
          <w:p>
            <w:pPr>
              <w:adjustRightInd w:val="0"/>
              <w:snapToGrid w:val="0"/>
              <w:jc w:val="center"/>
              <w:rPr>
                <w:rFonts w:hint="eastAsia" w:eastAsia="宋体"/>
                <w:bCs/>
                <w:color w:val="auto"/>
                <w:kern w:val="21"/>
                <w:lang w:val="en-US" w:eastAsia="zh-CN" w:bidi="ar"/>
              </w:rPr>
            </w:pPr>
            <w:r>
              <w:rPr>
                <w:rFonts w:hint="eastAsia"/>
                <w:bCs/>
                <w:color w:val="auto"/>
                <w:kern w:val="21"/>
                <w:lang w:bidi="ar"/>
              </w:rPr>
              <w:t>136.161</w:t>
            </w:r>
            <w:r>
              <w:rPr>
                <w:rFonts w:hint="eastAsia"/>
                <w:bCs/>
                <w:color w:val="auto"/>
                <w:kern w:val="21"/>
                <w:lang w:val="en-US" w:eastAsia="zh-CN" w:bidi="ar"/>
              </w:rPr>
              <w:t>6</w:t>
            </w:r>
          </w:p>
        </w:tc>
        <w:tc>
          <w:tcPr>
            <w:tcW w:w="284" w:type="pct"/>
            <w:vAlign w:val="center"/>
          </w:tcPr>
          <w:p>
            <w:pPr>
              <w:adjustRightInd w:val="0"/>
              <w:snapToGrid w:val="0"/>
              <w:jc w:val="center"/>
              <w:rPr>
                <w:bCs/>
                <w:color w:val="auto"/>
                <w:kern w:val="21"/>
                <w:lang w:bidi="ar"/>
              </w:rPr>
            </w:pPr>
            <w:r>
              <w:rPr>
                <w:rFonts w:hint="eastAsia"/>
                <w:bCs/>
                <w:color w:val="auto"/>
                <w:kern w:val="21"/>
                <w:lang w:bidi="ar"/>
              </w:rPr>
              <w:t>/</w:t>
            </w:r>
          </w:p>
        </w:tc>
        <w:tc>
          <w:tcPr>
            <w:tcW w:w="405" w:type="pct"/>
            <w:vAlign w:val="center"/>
          </w:tcPr>
          <w:p>
            <w:pPr>
              <w:adjustRightInd w:val="0"/>
              <w:snapToGrid w:val="0"/>
              <w:jc w:val="center"/>
              <w:rPr>
                <w:bCs/>
                <w:color w:val="auto"/>
                <w:kern w:val="21"/>
                <w:lang w:bidi="ar"/>
              </w:rPr>
            </w:pPr>
            <w:r>
              <w:rPr>
                <w:rFonts w:hint="eastAsia"/>
                <w:bCs/>
                <w:color w:val="auto"/>
                <w:kern w:val="21"/>
                <w:lang w:bidi="ar"/>
              </w:rPr>
              <w:t>/</w:t>
            </w:r>
          </w:p>
        </w:tc>
      </w:tr>
    </w:tbl>
    <w:p>
      <w:pPr>
        <w:adjustRightInd w:val="0"/>
        <w:snapToGrid w:val="0"/>
        <w:jc w:val="center"/>
        <w:rPr>
          <w:rFonts w:eastAsia="黑体"/>
          <w:color w:val="auto"/>
          <w:kern w:val="21"/>
          <w:sz w:val="24"/>
          <w:szCs w:val="24"/>
        </w:rPr>
      </w:pPr>
    </w:p>
    <w:p>
      <w:pPr>
        <w:pStyle w:val="32"/>
        <w:adjustRightInd w:val="0"/>
        <w:snapToGrid w:val="0"/>
        <w:spacing w:after="0" w:line="360" w:lineRule="auto"/>
        <w:rPr>
          <w:color w:val="auto"/>
          <w:kern w:val="21"/>
          <w:sz w:val="24"/>
          <w:u w:val="single"/>
          <w:lang w:val="en-US"/>
        </w:rPr>
        <w:sectPr>
          <w:pgSz w:w="16840" w:h="11907" w:orient="landscape"/>
          <w:pgMar w:top="1800" w:right="1440" w:bottom="1800" w:left="1440" w:header="1134" w:footer="1029" w:gutter="0"/>
          <w:cols w:space="720" w:num="1"/>
          <w:docGrid w:linePitch="286" w:charSpace="0"/>
        </w:sectPr>
      </w:pP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7、</w:t>
      </w:r>
      <w:r>
        <w:rPr>
          <w:color w:val="auto"/>
          <w:kern w:val="21"/>
          <w:sz w:val="24"/>
          <w:lang w:val="en-US"/>
        </w:rPr>
        <w:t>浓水</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本项目浓水分为纯水制备浓水及锅炉定期排放浓水。</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制水装置产生的浓水水质较为简单，主要污染物为</w:t>
      </w:r>
      <w:r>
        <w:rPr>
          <w:rFonts w:hint="eastAsia"/>
          <w:color w:val="auto"/>
          <w:kern w:val="21"/>
          <w:sz w:val="24"/>
          <w:lang w:val="en-US"/>
        </w:rPr>
        <w:t>COD、</w:t>
      </w:r>
      <w:r>
        <w:rPr>
          <w:color w:val="auto"/>
          <w:kern w:val="21"/>
          <w:sz w:val="24"/>
          <w:lang w:val="en-US"/>
        </w:rPr>
        <w:t>SS和盐类，</w:t>
      </w:r>
      <w:r>
        <w:rPr>
          <w:rFonts w:hint="eastAsia"/>
          <w:color w:val="auto"/>
          <w:kern w:val="21"/>
          <w:sz w:val="24"/>
          <w:lang w:val="en-US"/>
        </w:rPr>
        <w:t>COD40mg/L、SS50mg/L，根据水平衡，</w:t>
      </w:r>
      <w:r>
        <w:rPr>
          <w:rFonts w:hint="eastAsia"/>
          <w:color w:val="auto"/>
          <w:kern w:val="21"/>
          <w:sz w:val="24"/>
          <w:lang w:val="en-US" w:eastAsia="zh-CN"/>
        </w:rPr>
        <w:t>项目冬季</w:t>
      </w:r>
      <w:r>
        <w:rPr>
          <w:rFonts w:hint="eastAsia"/>
          <w:color w:val="auto"/>
          <w:kern w:val="21"/>
          <w:sz w:val="24"/>
          <w:lang w:val="en-US"/>
        </w:rPr>
        <w:t>纯水需求量为59.7634m</w:t>
      </w:r>
      <w:r>
        <w:rPr>
          <w:rFonts w:hint="eastAsia"/>
          <w:color w:val="auto"/>
          <w:kern w:val="21"/>
          <w:sz w:val="24"/>
          <w:vertAlign w:val="superscript"/>
          <w:lang w:val="en-US"/>
        </w:rPr>
        <w:t>3</w:t>
      </w:r>
      <w:r>
        <w:rPr>
          <w:rFonts w:hint="eastAsia"/>
          <w:color w:val="auto"/>
          <w:kern w:val="21"/>
          <w:sz w:val="24"/>
          <w:lang w:val="en-US"/>
        </w:rPr>
        <w:t>/d，</w:t>
      </w:r>
      <w:r>
        <w:rPr>
          <w:rFonts w:hint="eastAsia"/>
          <w:color w:val="auto"/>
          <w:kern w:val="21"/>
          <w:sz w:val="24"/>
          <w:lang w:val="en-US" w:eastAsia="zh-CN"/>
        </w:rPr>
        <w:t>其他季节（春夏秋）纯水需求量为56.0634</w:t>
      </w:r>
      <w:r>
        <w:rPr>
          <w:rFonts w:hint="eastAsia"/>
          <w:color w:val="auto"/>
          <w:kern w:val="21"/>
          <w:sz w:val="24"/>
          <w:lang w:val="en-US"/>
        </w:rPr>
        <w:t>m</w:t>
      </w:r>
      <w:r>
        <w:rPr>
          <w:rFonts w:hint="eastAsia"/>
          <w:color w:val="auto"/>
          <w:kern w:val="21"/>
          <w:sz w:val="24"/>
          <w:vertAlign w:val="superscript"/>
          <w:lang w:val="en-US"/>
        </w:rPr>
        <w:t>3</w:t>
      </w:r>
      <w:r>
        <w:rPr>
          <w:rFonts w:hint="eastAsia"/>
          <w:color w:val="auto"/>
          <w:kern w:val="21"/>
          <w:sz w:val="24"/>
          <w:lang w:val="en-US"/>
        </w:rPr>
        <w:t>/d</w:t>
      </w:r>
      <w:r>
        <w:rPr>
          <w:rFonts w:hint="eastAsia"/>
          <w:color w:val="auto"/>
          <w:kern w:val="21"/>
          <w:sz w:val="24"/>
          <w:lang w:val="en-US" w:eastAsia="zh-CN"/>
        </w:rPr>
        <w:t>，</w:t>
      </w:r>
      <w:r>
        <w:rPr>
          <w:rFonts w:hint="eastAsia"/>
          <w:color w:val="auto"/>
          <w:kern w:val="21"/>
          <w:sz w:val="24"/>
          <w:lang w:val="en-US"/>
        </w:rPr>
        <w:t>纯水制备浓水排放率按35%计，则</w:t>
      </w:r>
      <w:r>
        <w:rPr>
          <w:rFonts w:hint="eastAsia"/>
          <w:color w:val="auto"/>
          <w:kern w:val="21"/>
          <w:sz w:val="24"/>
          <w:lang w:val="en-US" w:eastAsia="zh-CN"/>
        </w:rPr>
        <w:t>冬季</w:t>
      </w:r>
      <w:r>
        <w:rPr>
          <w:rFonts w:hint="eastAsia"/>
          <w:color w:val="auto"/>
          <w:kern w:val="21"/>
          <w:sz w:val="24"/>
          <w:lang w:val="en-US"/>
        </w:rPr>
        <w:t>浓水产生量为32.1803t/d</w:t>
      </w:r>
      <w:r>
        <w:rPr>
          <w:rFonts w:hint="eastAsia"/>
          <w:color w:val="auto"/>
          <w:kern w:val="21"/>
          <w:sz w:val="24"/>
          <w:lang w:val="en-US" w:eastAsia="zh-CN"/>
        </w:rPr>
        <w:t>、其他季节浓度产生量为30.188</w:t>
      </w:r>
      <w:r>
        <w:rPr>
          <w:rFonts w:hint="eastAsia"/>
          <w:color w:val="auto"/>
          <w:kern w:val="21"/>
          <w:sz w:val="24"/>
          <w:lang w:val="en-US"/>
        </w:rPr>
        <w:t>t/d</w:t>
      </w:r>
      <w:r>
        <w:rPr>
          <w:rFonts w:hint="eastAsia"/>
          <w:color w:val="auto"/>
          <w:kern w:val="21"/>
          <w:sz w:val="24"/>
          <w:lang w:val="en-US" w:eastAsia="zh-CN"/>
        </w:rPr>
        <w:t>，</w:t>
      </w:r>
      <w:r>
        <w:rPr>
          <w:color w:val="auto"/>
          <w:kern w:val="21"/>
          <w:sz w:val="24"/>
          <w:lang w:val="en-US"/>
        </w:rPr>
        <w:t>浓水直接</w:t>
      </w:r>
      <w:r>
        <w:rPr>
          <w:rFonts w:hint="eastAsia"/>
          <w:color w:val="auto"/>
          <w:kern w:val="21"/>
          <w:sz w:val="24"/>
          <w:lang w:val="en-US"/>
        </w:rPr>
        <w:t>排入厂区总排口。</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锅炉使用软水</w:t>
      </w:r>
      <w:r>
        <w:rPr>
          <w:rFonts w:hint="eastAsia"/>
          <w:color w:val="auto"/>
          <w:kern w:val="21"/>
          <w:sz w:val="24"/>
          <w:lang w:val="en-US" w:eastAsia="zh-CN"/>
        </w:rPr>
        <w:t>作为</w:t>
      </w:r>
      <w:r>
        <w:rPr>
          <w:rFonts w:hint="eastAsia"/>
          <w:color w:val="auto"/>
          <w:kern w:val="21"/>
          <w:sz w:val="24"/>
          <w:lang w:val="en-US"/>
        </w:rPr>
        <w:t>蒸汽介质，冷凝水循环使用，循环量182.967m</w:t>
      </w:r>
      <w:r>
        <w:rPr>
          <w:rFonts w:hint="eastAsia"/>
          <w:color w:val="auto"/>
          <w:kern w:val="21"/>
          <w:sz w:val="24"/>
          <w:vertAlign w:val="superscript"/>
          <w:lang w:val="en-US"/>
        </w:rPr>
        <w:t>3</w:t>
      </w:r>
      <w:r>
        <w:rPr>
          <w:rFonts w:hint="eastAsia"/>
          <w:color w:val="auto"/>
          <w:kern w:val="21"/>
          <w:sz w:val="24"/>
          <w:lang w:val="en-US"/>
        </w:rPr>
        <w:t>/d，定期补水及排放浓水，</w:t>
      </w:r>
      <w:r>
        <w:rPr>
          <w:rFonts w:hint="eastAsia"/>
          <w:color w:val="auto"/>
          <w:kern w:val="21"/>
          <w:sz w:val="24"/>
          <w:lang w:val="en-US" w:eastAsia="zh-CN"/>
        </w:rPr>
        <w:t>冬季</w:t>
      </w:r>
      <w:r>
        <w:rPr>
          <w:rFonts w:hint="eastAsia"/>
          <w:color w:val="auto"/>
          <w:kern w:val="21"/>
          <w:sz w:val="24"/>
          <w:lang w:val="en-US"/>
        </w:rPr>
        <w:t>补水量为9.63m</w:t>
      </w:r>
      <w:r>
        <w:rPr>
          <w:rFonts w:hint="eastAsia"/>
          <w:color w:val="auto"/>
          <w:kern w:val="21"/>
          <w:sz w:val="24"/>
          <w:vertAlign w:val="superscript"/>
          <w:lang w:val="en-US"/>
        </w:rPr>
        <w:t>3</w:t>
      </w:r>
      <w:r>
        <w:rPr>
          <w:rFonts w:hint="eastAsia"/>
          <w:color w:val="auto"/>
          <w:kern w:val="21"/>
          <w:sz w:val="24"/>
          <w:lang w:val="en-US"/>
        </w:rPr>
        <w:t>/d，排水量为1.926m</w:t>
      </w:r>
      <w:r>
        <w:rPr>
          <w:rFonts w:hint="eastAsia"/>
          <w:color w:val="auto"/>
          <w:kern w:val="21"/>
          <w:sz w:val="24"/>
          <w:vertAlign w:val="superscript"/>
          <w:lang w:val="en-US"/>
        </w:rPr>
        <w:t>3</w:t>
      </w:r>
      <w:r>
        <w:rPr>
          <w:rFonts w:hint="eastAsia"/>
          <w:color w:val="auto"/>
          <w:kern w:val="21"/>
          <w:sz w:val="24"/>
          <w:lang w:val="en-US"/>
        </w:rPr>
        <w:t>/d</w:t>
      </w:r>
      <w:r>
        <w:rPr>
          <w:rFonts w:hint="eastAsia"/>
          <w:color w:val="auto"/>
          <w:kern w:val="21"/>
          <w:sz w:val="24"/>
          <w:lang w:val="en-US" w:eastAsia="zh-CN"/>
        </w:rPr>
        <w:t>；夏季</w:t>
      </w:r>
      <w:r>
        <w:rPr>
          <w:rFonts w:hint="eastAsia"/>
          <w:color w:val="auto"/>
          <w:kern w:val="21"/>
          <w:sz w:val="24"/>
          <w:lang w:val="en-US"/>
        </w:rPr>
        <w:t>补水量为</w:t>
      </w:r>
      <w:r>
        <w:rPr>
          <w:rFonts w:hint="eastAsia"/>
          <w:color w:val="auto"/>
          <w:kern w:val="21"/>
          <w:sz w:val="24"/>
          <w:lang w:val="en-US" w:eastAsia="zh-CN"/>
        </w:rPr>
        <w:t>5.93</w:t>
      </w:r>
      <w:r>
        <w:rPr>
          <w:rFonts w:hint="eastAsia"/>
          <w:color w:val="auto"/>
          <w:kern w:val="21"/>
          <w:sz w:val="24"/>
          <w:lang w:val="en-US"/>
        </w:rPr>
        <w:t>m</w:t>
      </w:r>
      <w:r>
        <w:rPr>
          <w:rFonts w:hint="eastAsia"/>
          <w:color w:val="auto"/>
          <w:kern w:val="21"/>
          <w:sz w:val="24"/>
          <w:vertAlign w:val="superscript"/>
          <w:lang w:val="en-US"/>
        </w:rPr>
        <w:t>3</w:t>
      </w:r>
      <w:r>
        <w:rPr>
          <w:rFonts w:hint="eastAsia"/>
          <w:color w:val="auto"/>
          <w:kern w:val="21"/>
          <w:sz w:val="24"/>
          <w:lang w:val="en-US"/>
        </w:rPr>
        <w:t>/d，排水量为</w:t>
      </w:r>
      <w:r>
        <w:rPr>
          <w:rFonts w:hint="eastAsia"/>
          <w:color w:val="auto"/>
          <w:kern w:val="21"/>
          <w:sz w:val="24"/>
          <w:lang w:val="en-US" w:eastAsia="zh-CN"/>
        </w:rPr>
        <w:t>1.184</w:t>
      </w:r>
      <w:r>
        <w:rPr>
          <w:rFonts w:hint="eastAsia"/>
          <w:color w:val="auto"/>
          <w:kern w:val="21"/>
          <w:sz w:val="24"/>
          <w:lang w:val="en-US"/>
        </w:rPr>
        <w:t>m</w:t>
      </w:r>
      <w:r>
        <w:rPr>
          <w:rFonts w:hint="eastAsia"/>
          <w:color w:val="auto"/>
          <w:kern w:val="21"/>
          <w:sz w:val="24"/>
          <w:vertAlign w:val="superscript"/>
          <w:lang w:val="en-US"/>
        </w:rPr>
        <w:t>3</w:t>
      </w:r>
      <w:r>
        <w:rPr>
          <w:rFonts w:hint="eastAsia"/>
          <w:color w:val="auto"/>
          <w:kern w:val="21"/>
          <w:sz w:val="24"/>
          <w:lang w:val="en-US"/>
        </w:rPr>
        <w:t>/d</w:t>
      </w:r>
      <w:r>
        <w:rPr>
          <w:rFonts w:hint="eastAsia"/>
          <w:color w:val="auto"/>
          <w:kern w:val="21"/>
          <w:sz w:val="24"/>
          <w:lang w:val="en-US" w:eastAsia="zh-CN"/>
        </w:rPr>
        <w:t>，</w:t>
      </w:r>
      <w:r>
        <w:rPr>
          <w:color w:val="auto"/>
          <w:kern w:val="21"/>
          <w:sz w:val="24"/>
          <w:lang w:val="en-US"/>
        </w:rPr>
        <w:t>浓水水质较为简单，主要污染物为</w:t>
      </w:r>
      <w:r>
        <w:rPr>
          <w:rFonts w:hint="eastAsia"/>
          <w:color w:val="auto"/>
          <w:kern w:val="21"/>
          <w:sz w:val="24"/>
          <w:lang w:val="en-US"/>
        </w:rPr>
        <w:t>COD、</w:t>
      </w:r>
      <w:r>
        <w:rPr>
          <w:color w:val="auto"/>
          <w:kern w:val="21"/>
          <w:sz w:val="24"/>
          <w:lang w:val="en-US"/>
        </w:rPr>
        <w:t>SS和盐类，</w:t>
      </w:r>
      <w:r>
        <w:rPr>
          <w:rFonts w:hint="eastAsia"/>
          <w:color w:val="auto"/>
          <w:kern w:val="21"/>
          <w:sz w:val="24"/>
          <w:lang w:val="en-US"/>
        </w:rPr>
        <w:t>COD70mg/L、SS50mg/L、TP1mg/L。</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8、生活污水</w:t>
      </w:r>
    </w:p>
    <w:p>
      <w:pPr>
        <w:pStyle w:val="32"/>
        <w:adjustRightInd w:val="0"/>
        <w:snapToGrid w:val="0"/>
        <w:spacing w:after="0" w:line="360" w:lineRule="auto"/>
        <w:ind w:firstLine="480" w:firstLineChars="200"/>
        <w:rPr>
          <w:rFonts w:hint="default" w:ascii="Times New Roman" w:hAnsi="Times New Roman" w:eastAsia="宋体" w:cs="Times New Roman"/>
          <w:b/>
          <w:bCs/>
          <w:color w:val="auto"/>
          <w:sz w:val="24"/>
          <w:szCs w:val="24"/>
          <w:u w:val="single"/>
          <w:lang w:val="en-US" w:eastAsia="zh-CN"/>
        </w:rPr>
      </w:pPr>
      <w:r>
        <w:rPr>
          <w:snapToGrid w:val="0"/>
          <w:color w:val="auto"/>
          <w:kern w:val="21"/>
          <w:sz w:val="24"/>
        </w:rPr>
        <w:t>本项目职工</w:t>
      </w:r>
      <w:r>
        <w:rPr>
          <w:rFonts w:hint="eastAsia"/>
          <w:snapToGrid w:val="0"/>
          <w:color w:val="auto"/>
          <w:kern w:val="21"/>
          <w:sz w:val="24"/>
          <w:lang w:val="en-US"/>
        </w:rPr>
        <w:t>1</w:t>
      </w:r>
      <w:r>
        <w:rPr>
          <w:snapToGrid w:val="0"/>
          <w:color w:val="auto"/>
          <w:kern w:val="21"/>
          <w:sz w:val="24"/>
          <w:lang w:val="en-US"/>
        </w:rPr>
        <w:t>00人</w:t>
      </w:r>
      <w:r>
        <w:rPr>
          <w:snapToGrid w:val="0"/>
          <w:color w:val="auto"/>
          <w:kern w:val="21"/>
          <w:sz w:val="24"/>
        </w:rPr>
        <w:t>，年工作</w:t>
      </w:r>
      <w:r>
        <w:rPr>
          <w:rFonts w:hint="eastAsia"/>
          <w:snapToGrid w:val="0"/>
          <w:color w:val="auto"/>
          <w:kern w:val="21"/>
          <w:sz w:val="24"/>
          <w:lang w:val="en-US"/>
        </w:rPr>
        <w:t>33</w:t>
      </w:r>
      <w:r>
        <w:rPr>
          <w:snapToGrid w:val="0"/>
          <w:color w:val="auto"/>
          <w:kern w:val="21"/>
          <w:sz w:val="24"/>
          <w:lang w:val="en-US"/>
        </w:rPr>
        <w:t>0</w:t>
      </w:r>
      <w:r>
        <w:rPr>
          <w:snapToGrid w:val="0"/>
          <w:color w:val="auto"/>
          <w:kern w:val="21"/>
          <w:sz w:val="24"/>
        </w:rPr>
        <w:t>天，三班</w:t>
      </w:r>
      <w:r>
        <w:rPr>
          <w:snapToGrid w:val="0"/>
          <w:color w:val="auto"/>
          <w:kern w:val="21"/>
          <w:sz w:val="24"/>
          <w:lang w:val="en-US"/>
        </w:rPr>
        <w:t>8小时工作制</w:t>
      </w:r>
      <w:r>
        <w:rPr>
          <w:snapToGrid w:val="0"/>
          <w:color w:val="auto"/>
          <w:kern w:val="21"/>
          <w:sz w:val="24"/>
        </w:rPr>
        <w:t>，不在厂区食宿，厂区卫生间为感应式水冲卫生间。依据河南省地方标准《工业与城镇生活用水定额》（DB41/T385-20</w:t>
      </w:r>
      <w:r>
        <w:rPr>
          <w:rFonts w:hint="eastAsia"/>
          <w:snapToGrid w:val="0"/>
          <w:color w:val="auto"/>
          <w:kern w:val="21"/>
          <w:sz w:val="24"/>
        </w:rPr>
        <w:t>20</w:t>
      </w:r>
      <w:r>
        <w:rPr>
          <w:snapToGrid w:val="0"/>
          <w:color w:val="auto"/>
          <w:kern w:val="21"/>
          <w:sz w:val="24"/>
        </w:rPr>
        <w:t>）并结合同类企业实际运行情况，工作人员日用水量按</w:t>
      </w:r>
      <w:r>
        <w:rPr>
          <w:rFonts w:hint="eastAsia"/>
          <w:snapToGrid w:val="0"/>
          <w:color w:val="auto"/>
          <w:kern w:val="21"/>
          <w:sz w:val="24"/>
          <w:lang w:val="en-US"/>
        </w:rPr>
        <w:t>6</w:t>
      </w:r>
      <w:r>
        <w:rPr>
          <w:snapToGrid w:val="0"/>
          <w:color w:val="auto"/>
          <w:kern w:val="21"/>
          <w:sz w:val="24"/>
          <w:lang w:val="en-US"/>
        </w:rPr>
        <w:t>0</w:t>
      </w:r>
      <w:r>
        <w:rPr>
          <w:snapToGrid w:val="0"/>
          <w:color w:val="auto"/>
          <w:kern w:val="21"/>
          <w:sz w:val="24"/>
        </w:rPr>
        <w:t>L/d·人计。</w:t>
      </w:r>
      <w:r>
        <w:rPr>
          <w:snapToGrid w:val="0"/>
          <w:color w:val="auto"/>
          <w:kern w:val="21"/>
          <w:sz w:val="24"/>
          <w:lang w:val="en-US"/>
        </w:rPr>
        <w:t>生活</w:t>
      </w:r>
      <w:r>
        <w:rPr>
          <w:snapToGrid w:val="0"/>
          <w:color w:val="auto"/>
          <w:kern w:val="21"/>
          <w:sz w:val="24"/>
        </w:rPr>
        <w:t>用水量为</w:t>
      </w:r>
      <w:r>
        <w:rPr>
          <w:rFonts w:hint="eastAsia"/>
          <w:snapToGrid w:val="0"/>
          <w:color w:val="auto"/>
          <w:kern w:val="21"/>
          <w:sz w:val="24"/>
          <w:lang w:val="en-US"/>
        </w:rPr>
        <w:t>6</w:t>
      </w:r>
      <w:r>
        <w:rPr>
          <w:snapToGrid w:val="0"/>
          <w:color w:val="auto"/>
          <w:kern w:val="21"/>
          <w:sz w:val="24"/>
        </w:rPr>
        <w:t>t/d（</w:t>
      </w:r>
      <w:r>
        <w:rPr>
          <w:rFonts w:hint="eastAsia"/>
          <w:snapToGrid w:val="0"/>
          <w:color w:val="auto"/>
          <w:kern w:val="21"/>
          <w:sz w:val="24"/>
          <w:lang w:val="en-US"/>
        </w:rPr>
        <w:t>1980</w:t>
      </w:r>
      <w:r>
        <w:rPr>
          <w:snapToGrid w:val="0"/>
          <w:color w:val="auto"/>
          <w:kern w:val="21"/>
          <w:sz w:val="24"/>
        </w:rPr>
        <w:t>t/a），污水产生系数取0</w:t>
      </w:r>
      <w:r>
        <w:rPr>
          <w:rFonts w:hint="eastAsia"/>
          <w:snapToGrid w:val="0"/>
          <w:color w:val="auto"/>
          <w:kern w:val="21"/>
          <w:sz w:val="24"/>
        </w:rPr>
        <w:t>.9</w:t>
      </w:r>
      <w:r>
        <w:rPr>
          <w:snapToGrid w:val="0"/>
          <w:color w:val="auto"/>
          <w:kern w:val="21"/>
          <w:sz w:val="24"/>
        </w:rPr>
        <w:t>，则产生污水量为</w:t>
      </w:r>
      <w:r>
        <w:rPr>
          <w:rFonts w:hint="eastAsia"/>
          <w:snapToGrid w:val="0"/>
          <w:color w:val="auto"/>
          <w:kern w:val="21"/>
          <w:sz w:val="24"/>
          <w:lang w:val="en-US"/>
        </w:rPr>
        <w:t>5.4</w:t>
      </w:r>
      <w:r>
        <w:rPr>
          <w:snapToGrid w:val="0"/>
          <w:color w:val="auto"/>
          <w:kern w:val="21"/>
          <w:sz w:val="24"/>
        </w:rPr>
        <w:t>t/d（</w:t>
      </w:r>
      <w:r>
        <w:rPr>
          <w:rFonts w:hint="eastAsia"/>
          <w:snapToGrid w:val="0"/>
          <w:color w:val="auto"/>
          <w:kern w:val="21"/>
          <w:sz w:val="24"/>
          <w:lang w:val="en-US"/>
        </w:rPr>
        <w:t>1782</w:t>
      </w:r>
      <w:r>
        <w:rPr>
          <w:snapToGrid w:val="0"/>
          <w:color w:val="auto"/>
          <w:kern w:val="21"/>
          <w:sz w:val="24"/>
        </w:rPr>
        <w:t>t/a）</w:t>
      </w:r>
      <w:r>
        <w:rPr>
          <w:rFonts w:hint="eastAsia"/>
          <w:snapToGrid w:val="0"/>
          <w:color w:val="auto"/>
          <w:kern w:val="21"/>
          <w:sz w:val="24"/>
          <w:lang w:eastAsia="zh-CN"/>
        </w:rPr>
        <w:t>，</w:t>
      </w:r>
      <w:r>
        <w:rPr>
          <w:rFonts w:hint="default" w:ascii="Times New Roman" w:hAnsi="Times New Roman" w:cs="Times New Roman"/>
          <w:b/>
          <w:bCs/>
          <w:snapToGrid w:val="0"/>
          <w:color w:val="auto"/>
          <w:kern w:val="21"/>
          <w:sz w:val="24"/>
          <w:szCs w:val="24"/>
          <w:u w:val="single"/>
          <w:lang w:eastAsia="zh-CN"/>
        </w:rPr>
        <w:t>主要污染物浓度为</w:t>
      </w:r>
      <w:r>
        <w:rPr>
          <w:rFonts w:hint="default" w:ascii="Times New Roman" w:hAnsi="Times New Roman" w:cs="Times New Roman"/>
          <w:b/>
          <w:bCs/>
          <w:color w:val="auto"/>
          <w:kern w:val="21"/>
          <w:sz w:val="24"/>
          <w:szCs w:val="24"/>
          <w:u w:val="single"/>
          <w:lang w:val="en-US"/>
        </w:rPr>
        <w:t>COD</w:t>
      </w:r>
      <w:r>
        <w:rPr>
          <w:rFonts w:hint="default" w:ascii="Times New Roman" w:hAnsi="Times New Roman" w:cs="Times New Roman"/>
          <w:b/>
          <w:bCs/>
          <w:color w:val="auto"/>
          <w:kern w:val="21"/>
          <w:sz w:val="24"/>
          <w:szCs w:val="24"/>
          <w:u w:val="single"/>
          <w:lang w:val="en-US" w:eastAsia="zh-CN"/>
        </w:rPr>
        <w:t>300</w:t>
      </w:r>
      <w:r>
        <w:rPr>
          <w:rFonts w:hint="default" w:ascii="Times New Roman" w:hAnsi="Times New Roman" w:cs="Times New Roman"/>
          <w:b/>
          <w:bCs/>
          <w:color w:val="auto"/>
          <w:kern w:val="21"/>
          <w:sz w:val="24"/>
          <w:szCs w:val="24"/>
          <w:u w:val="single"/>
          <w:lang w:val="en-US"/>
        </w:rPr>
        <w:t>mg/L、</w:t>
      </w:r>
      <w:r>
        <w:rPr>
          <w:rFonts w:hint="default" w:ascii="Times New Roman" w:hAnsi="Times New Roman" w:cs="Times New Roman"/>
          <w:b/>
          <w:bCs/>
          <w:color w:val="auto"/>
          <w:kern w:val="21"/>
          <w:sz w:val="24"/>
          <w:szCs w:val="24"/>
          <w:u w:val="single"/>
        </w:rPr>
        <w:t>NH</w:t>
      </w:r>
      <w:r>
        <w:rPr>
          <w:rFonts w:hint="default" w:ascii="Times New Roman" w:hAnsi="Times New Roman" w:cs="Times New Roman"/>
          <w:b/>
          <w:bCs/>
          <w:color w:val="auto"/>
          <w:kern w:val="21"/>
          <w:sz w:val="24"/>
          <w:szCs w:val="24"/>
          <w:u w:val="single"/>
          <w:vertAlign w:val="subscript"/>
        </w:rPr>
        <w:t>3</w:t>
      </w:r>
      <w:r>
        <w:rPr>
          <w:rFonts w:hint="default" w:ascii="Times New Roman" w:hAnsi="Times New Roman" w:cs="Times New Roman"/>
          <w:b/>
          <w:bCs/>
          <w:color w:val="auto"/>
          <w:kern w:val="21"/>
          <w:sz w:val="24"/>
          <w:szCs w:val="24"/>
          <w:u w:val="single"/>
        </w:rPr>
        <w:t>-N</w:t>
      </w:r>
      <w:r>
        <w:rPr>
          <w:rFonts w:hint="default" w:ascii="Times New Roman" w:hAnsi="Times New Roman" w:cs="Times New Roman"/>
          <w:b/>
          <w:bCs/>
          <w:color w:val="auto"/>
          <w:kern w:val="21"/>
          <w:sz w:val="24"/>
          <w:szCs w:val="24"/>
          <w:u w:val="single"/>
          <w:lang w:val="en-US" w:eastAsia="zh-CN"/>
        </w:rPr>
        <w:t xml:space="preserve"> 25</w:t>
      </w:r>
      <w:r>
        <w:rPr>
          <w:rFonts w:hint="default" w:ascii="Times New Roman" w:hAnsi="Times New Roman" w:cs="Times New Roman"/>
          <w:b/>
          <w:bCs/>
          <w:color w:val="auto"/>
          <w:kern w:val="21"/>
          <w:sz w:val="24"/>
          <w:szCs w:val="24"/>
          <w:u w:val="single"/>
          <w:lang w:val="en-US"/>
        </w:rPr>
        <w:t>mg/L</w:t>
      </w:r>
      <w:r>
        <w:rPr>
          <w:rFonts w:hint="default" w:ascii="Times New Roman" w:hAnsi="Times New Roman" w:cs="Times New Roman"/>
          <w:b/>
          <w:bCs/>
          <w:color w:val="auto"/>
          <w:kern w:val="21"/>
          <w:sz w:val="24"/>
          <w:szCs w:val="24"/>
          <w:u w:val="single"/>
          <w:lang w:val="en-US" w:eastAsia="zh-CN"/>
        </w:rPr>
        <w:t>、</w:t>
      </w:r>
      <w:r>
        <w:rPr>
          <w:rFonts w:hint="default" w:ascii="Times New Roman" w:hAnsi="Times New Roman" w:cs="Times New Roman"/>
          <w:b/>
          <w:bCs/>
          <w:color w:val="auto"/>
          <w:kern w:val="21"/>
          <w:sz w:val="24"/>
          <w:szCs w:val="24"/>
          <w:u w:val="single"/>
          <w:lang w:val="en-US"/>
        </w:rPr>
        <w:t>SS</w:t>
      </w:r>
      <w:r>
        <w:rPr>
          <w:rFonts w:hint="default" w:ascii="Times New Roman" w:hAnsi="Times New Roman" w:cs="Times New Roman"/>
          <w:b/>
          <w:bCs/>
          <w:color w:val="auto"/>
          <w:kern w:val="21"/>
          <w:sz w:val="24"/>
          <w:szCs w:val="24"/>
          <w:u w:val="single"/>
          <w:lang w:val="en-US" w:eastAsia="zh-CN"/>
        </w:rPr>
        <w:t>220</w:t>
      </w:r>
      <w:r>
        <w:rPr>
          <w:rFonts w:hint="default" w:ascii="Times New Roman" w:hAnsi="Times New Roman" w:cs="Times New Roman"/>
          <w:b/>
          <w:bCs/>
          <w:color w:val="auto"/>
          <w:kern w:val="21"/>
          <w:sz w:val="24"/>
          <w:szCs w:val="24"/>
          <w:u w:val="single"/>
          <w:lang w:val="en-US"/>
        </w:rPr>
        <w:t>mg/L、TP</w:t>
      </w:r>
      <w:r>
        <w:rPr>
          <w:rFonts w:hint="default" w:ascii="Times New Roman" w:hAnsi="Times New Roman" w:cs="Times New Roman"/>
          <w:b/>
          <w:bCs/>
          <w:color w:val="auto"/>
          <w:kern w:val="21"/>
          <w:sz w:val="24"/>
          <w:szCs w:val="24"/>
          <w:u w:val="single"/>
          <w:lang w:val="en-US" w:eastAsia="zh-CN"/>
        </w:rPr>
        <w:t>2.5</w:t>
      </w:r>
      <w:r>
        <w:rPr>
          <w:rFonts w:hint="default" w:ascii="Times New Roman" w:hAnsi="Times New Roman" w:cs="Times New Roman"/>
          <w:b/>
          <w:bCs/>
          <w:color w:val="auto"/>
          <w:kern w:val="21"/>
          <w:sz w:val="24"/>
          <w:szCs w:val="24"/>
          <w:u w:val="single"/>
          <w:lang w:val="en-US"/>
        </w:rPr>
        <w:t>mg/L</w:t>
      </w:r>
      <w:r>
        <w:rPr>
          <w:rFonts w:hint="default" w:ascii="Times New Roman" w:hAnsi="Times New Roman" w:cs="Times New Roman"/>
          <w:b/>
          <w:bCs/>
          <w:color w:val="auto"/>
          <w:kern w:val="21"/>
          <w:sz w:val="24"/>
          <w:szCs w:val="24"/>
          <w:u w:val="single"/>
          <w:lang w:val="en-US" w:eastAsia="zh-CN"/>
        </w:rPr>
        <w:t>、TN 40</w:t>
      </w:r>
      <w:r>
        <w:rPr>
          <w:rFonts w:hint="default" w:ascii="Times New Roman" w:hAnsi="Times New Roman" w:cs="Times New Roman"/>
          <w:b/>
          <w:bCs/>
          <w:color w:val="auto"/>
          <w:kern w:val="21"/>
          <w:sz w:val="24"/>
          <w:szCs w:val="24"/>
          <w:u w:val="single"/>
          <w:lang w:val="en-US"/>
        </w:rPr>
        <w:t>mg/L</w:t>
      </w:r>
      <w:r>
        <w:rPr>
          <w:rFonts w:hint="default" w:ascii="Times New Roman" w:hAnsi="Times New Roman" w:cs="Times New Roman"/>
          <w:b/>
          <w:bCs/>
          <w:color w:val="auto"/>
          <w:kern w:val="21"/>
          <w:sz w:val="24"/>
          <w:szCs w:val="24"/>
          <w:u w:val="single"/>
          <w:lang w:val="en-US" w:eastAsia="zh-CN"/>
        </w:rPr>
        <w:t>，化粪池对水污染物的去除效率为COD15%、SS30%、对</w:t>
      </w:r>
      <w:r>
        <w:rPr>
          <w:rFonts w:hint="default" w:ascii="Times New Roman" w:hAnsi="Times New Roman" w:cs="Times New Roman"/>
          <w:b/>
          <w:bCs/>
          <w:color w:val="auto"/>
          <w:kern w:val="21"/>
          <w:sz w:val="24"/>
          <w:szCs w:val="24"/>
          <w:u w:val="single"/>
        </w:rPr>
        <w:t>NH</w:t>
      </w:r>
      <w:r>
        <w:rPr>
          <w:rFonts w:hint="default" w:ascii="Times New Roman" w:hAnsi="Times New Roman" w:cs="Times New Roman"/>
          <w:b/>
          <w:bCs/>
          <w:color w:val="auto"/>
          <w:kern w:val="21"/>
          <w:sz w:val="24"/>
          <w:szCs w:val="24"/>
          <w:u w:val="single"/>
          <w:vertAlign w:val="subscript"/>
        </w:rPr>
        <w:t>3</w:t>
      </w:r>
      <w:r>
        <w:rPr>
          <w:rFonts w:hint="default" w:ascii="Times New Roman" w:hAnsi="Times New Roman" w:cs="Times New Roman"/>
          <w:b/>
          <w:bCs/>
          <w:color w:val="auto"/>
          <w:kern w:val="21"/>
          <w:sz w:val="24"/>
          <w:szCs w:val="24"/>
          <w:u w:val="single"/>
        </w:rPr>
        <w:t>-N</w:t>
      </w:r>
      <w:r>
        <w:rPr>
          <w:rFonts w:hint="default" w:ascii="Times New Roman" w:hAnsi="Times New Roman" w:cs="Times New Roman"/>
          <w:b/>
          <w:bCs/>
          <w:color w:val="auto"/>
          <w:kern w:val="21"/>
          <w:sz w:val="24"/>
          <w:szCs w:val="24"/>
          <w:u w:val="single"/>
          <w:lang w:eastAsia="zh-CN"/>
        </w:rPr>
        <w:t>和</w:t>
      </w:r>
      <w:r>
        <w:rPr>
          <w:rFonts w:hint="default" w:ascii="Times New Roman" w:hAnsi="Times New Roman" w:cs="Times New Roman"/>
          <w:b/>
          <w:bCs/>
          <w:color w:val="auto"/>
          <w:kern w:val="21"/>
          <w:sz w:val="24"/>
          <w:szCs w:val="24"/>
          <w:u w:val="single"/>
          <w:lang w:val="en-US" w:eastAsia="zh-CN"/>
        </w:rPr>
        <w:t>TN的去除效率在1-3%，基本可以忽略不计，对TP基本没有去除效果，故本次评价化粪池对</w:t>
      </w:r>
      <w:r>
        <w:rPr>
          <w:rFonts w:hint="default" w:ascii="Times New Roman" w:hAnsi="Times New Roman" w:cs="Times New Roman"/>
          <w:b/>
          <w:bCs/>
          <w:color w:val="auto"/>
          <w:kern w:val="21"/>
          <w:sz w:val="24"/>
          <w:szCs w:val="24"/>
          <w:u w:val="single"/>
        </w:rPr>
        <w:t>NH</w:t>
      </w:r>
      <w:r>
        <w:rPr>
          <w:rFonts w:hint="default" w:ascii="Times New Roman" w:hAnsi="Times New Roman" w:cs="Times New Roman"/>
          <w:b/>
          <w:bCs/>
          <w:color w:val="auto"/>
          <w:kern w:val="21"/>
          <w:sz w:val="24"/>
          <w:szCs w:val="24"/>
          <w:u w:val="single"/>
          <w:vertAlign w:val="subscript"/>
        </w:rPr>
        <w:t>3</w:t>
      </w:r>
      <w:r>
        <w:rPr>
          <w:rFonts w:hint="default" w:ascii="Times New Roman" w:hAnsi="Times New Roman" w:cs="Times New Roman"/>
          <w:b/>
          <w:bCs/>
          <w:color w:val="auto"/>
          <w:kern w:val="21"/>
          <w:sz w:val="24"/>
          <w:szCs w:val="24"/>
          <w:u w:val="single"/>
        </w:rPr>
        <w:t>-N</w:t>
      </w:r>
      <w:r>
        <w:rPr>
          <w:rFonts w:hint="default" w:ascii="Times New Roman" w:hAnsi="Times New Roman" w:cs="Times New Roman"/>
          <w:b/>
          <w:bCs/>
          <w:color w:val="auto"/>
          <w:kern w:val="21"/>
          <w:sz w:val="24"/>
          <w:szCs w:val="24"/>
          <w:u w:val="single"/>
          <w:lang w:eastAsia="zh-CN"/>
        </w:rPr>
        <w:t>、</w:t>
      </w:r>
      <w:r>
        <w:rPr>
          <w:rFonts w:hint="default" w:ascii="Times New Roman" w:hAnsi="Times New Roman" w:cs="Times New Roman"/>
          <w:b/>
          <w:bCs/>
          <w:color w:val="auto"/>
          <w:kern w:val="21"/>
          <w:sz w:val="24"/>
          <w:szCs w:val="24"/>
          <w:u w:val="single"/>
          <w:lang w:val="en-US" w:eastAsia="zh-CN"/>
        </w:rPr>
        <w:t>TN和TP的去除效率不再考虑，只考虑对COD和SS的去除率。</w:t>
      </w:r>
    </w:p>
    <w:p>
      <w:pPr>
        <w:pStyle w:val="6"/>
        <w:spacing w:before="0" w:after="0" w:line="360" w:lineRule="auto"/>
        <w:rPr>
          <w:b w:val="0"/>
          <w:color w:val="auto"/>
          <w:sz w:val="24"/>
          <w:szCs w:val="24"/>
        </w:rPr>
      </w:pPr>
      <w:r>
        <w:rPr>
          <w:rFonts w:hint="eastAsia"/>
          <w:b w:val="0"/>
          <w:color w:val="auto"/>
          <w:sz w:val="24"/>
          <w:szCs w:val="24"/>
        </w:rPr>
        <w:t>3.4.2.2废水水质</w:t>
      </w:r>
    </w:p>
    <w:p>
      <w:pPr>
        <w:spacing w:line="360" w:lineRule="auto"/>
        <w:ind w:firstLine="482" w:firstLineChars="200"/>
        <w:rPr>
          <w:b/>
          <w:color w:val="auto"/>
          <w:kern w:val="21"/>
          <w:sz w:val="24"/>
          <w:szCs w:val="24"/>
          <w:u w:val="single"/>
        </w:rPr>
      </w:pPr>
      <w:r>
        <w:rPr>
          <w:b/>
          <w:color w:val="auto"/>
          <w:kern w:val="21"/>
          <w:sz w:val="24"/>
          <w:szCs w:val="24"/>
          <w:u w:val="single"/>
        </w:rPr>
        <w:t>根据《污染源源强核算技术指南 电镀》（HJ984-2018），本项目废水水质采用类比法确定</w:t>
      </w:r>
      <w:r>
        <w:rPr>
          <w:rFonts w:hint="eastAsia"/>
          <w:b/>
          <w:color w:val="auto"/>
          <w:kern w:val="21"/>
          <w:sz w:val="24"/>
          <w:szCs w:val="24"/>
          <w:u w:val="single"/>
        </w:rPr>
        <w:t>。</w:t>
      </w:r>
      <w:r>
        <w:rPr>
          <w:b/>
          <w:color w:val="auto"/>
          <w:kern w:val="21"/>
          <w:sz w:val="24"/>
          <w:u w:val="single"/>
        </w:rPr>
        <w:t>COD、NH</w:t>
      </w:r>
      <w:r>
        <w:rPr>
          <w:b/>
          <w:color w:val="auto"/>
          <w:kern w:val="21"/>
          <w:sz w:val="24"/>
          <w:u w:val="single"/>
          <w:vertAlign w:val="subscript"/>
        </w:rPr>
        <w:t>3</w:t>
      </w:r>
      <w:r>
        <w:rPr>
          <w:b/>
          <w:color w:val="auto"/>
          <w:kern w:val="21"/>
          <w:sz w:val="24"/>
          <w:u w:val="single"/>
        </w:rPr>
        <w:t>-N、SS、石油类</w:t>
      </w:r>
      <w:r>
        <w:rPr>
          <w:rFonts w:hint="eastAsia"/>
          <w:b/>
          <w:color w:val="auto"/>
          <w:kern w:val="21"/>
          <w:sz w:val="24"/>
          <w:u w:val="single"/>
          <w:lang w:eastAsia="zh-CN"/>
        </w:rPr>
        <w:t>等</w:t>
      </w:r>
      <w:r>
        <w:rPr>
          <w:rFonts w:hint="eastAsia"/>
          <w:b/>
          <w:color w:val="auto"/>
          <w:kern w:val="21"/>
          <w:sz w:val="24"/>
          <w:szCs w:val="24"/>
          <w:u w:val="single"/>
        </w:rPr>
        <w:t>类比</w:t>
      </w:r>
      <w:r>
        <w:rPr>
          <w:b/>
          <w:color w:val="auto"/>
          <w:kern w:val="21"/>
          <w:sz w:val="24"/>
          <w:szCs w:val="24"/>
          <w:u w:val="single"/>
        </w:rPr>
        <w:t>新乡市盛达新能源科技有限公司</w:t>
      </w:r>
      <w:r>
        <w:rPr>
          <w:rFonts w:hint="eastAsia"/>
          <w:b/>
          <w:color w:val="auto"/>
          <w:kern w:val="21"/>
          <w:sz w:val="24"/>
          <w:szCs w:val="24"/>
          <w:u w:val="single"/>
        </w:rPr>
        <w:t>年产30亿只锂电池钢壳项目及</w:t>
      </w:r>
      <w:r>
        <w:rPr>
          <w:b/>
          <w:bCs/>
          <w:color w:val="auto"/>
          <w:sz w:val="24"/>
          <w:szCs w:val="24"/>
          <w:u w:val="single"/>
        </w:rPr>
        <w:t>中新联科环境科技（安徽）有限公司舒城电子产业园表面处理中心项目的实测数据，并结合其他同类企业实际验收监测情况及数据合理性确定本项目废水源强。</w:t>
      </w:r>
    </w:p>
    <w:p>
      <w:pPr>
        <w:spacing w:line="360" w:lineRule="auto"/>
        <w:ind w:firstLine="482" w:firstLineChars="200"/>
        <w:rPr>
          <w:b/>
          <w:color w:val="auto"/>
          <w:kern w:val="21"/>
          <w:sz w:val="24"/>
          <w:u w:val="single"/>
        </w:rPr>
      </w:pPr>
      <w:r>
        <w:rPr>
          <w:rFonts w:hint="eastAsia"/>
          <w:b/>
          <w:color w:val="auto"/>
          <w:kern w:val="21"/>
          <w:sz w:val="24"/>
          <w:u w:val="single"/>
        </w:rPr>
        <w:t>新乡市盛达电源科技有限公司年产30亿只锂电池钢壳项目主要生产工艺</w:t>
      </w:r>
      <w:r>
        <w:rPr>
          <w:b/>
          <w:color w:val="auto"/>
          <w:kern w:val="21"/>
          <w:sz w:val="24"/>
          <w:u w:val="single"/>
        </w:rPr>
        <w:t>为钢带—冲压—电镀—入库，电镀工艺为滚镀镀镍，酸洗采用盐酸，电镀液为氯化镍，产品为电池钢壳，年产量30亿只，与本项目原料、电镀工艺、产品、产量</w:t>
      </w:r>
      <w:r>
        <w:rPr>
          <w:rFonts w:hint="eastAsia"/>
          <w:b/>
          <w:color w:val="auto"/>
          <w:kern w:val="21"/>
          <w:sz w:val="24"/>
          <w:u w:val="single"/>
        </w:rPr>
        <w:t>基本一致</w:t>
      </w:r>
      <w:r>
        <w:rPr>
          <w:b/>
          <w:color w:val="auto"/>
          <w:kern w:val="21"/>
          <w:sz w:val="24"/>
          <w:u w:val="single"/>
        </w:rPr>
        <w:t>，具有较高的可类比性。</w:t>
      </w:r>
    </w:p>
    <w:p>
      <w:pPr>
        <w:spacing w:line="360" w:lineRule="auto"/>
        <w:ind w:firstLine="482" w:firstLineChars="200"/>
        <w:rPr>
          <w:b/>
          <w:color w:val="auto"/>
          <w:kern w:val="21"/>
          <w:sz w:val="24"/>
          <w:u w:val="single"/>
        </w:rPr>
      </w:pPr>
      <w:r>
        <w:rPr>
          <w:b/>
          <w:color w:val="auto"/>
          <w:kern w:val="21"/>
          <w:sz w:val="24"/>
          <w:u w:val="single"/>
        </w:rPr>
        <w:t>中新联科环境科技（安徽）有限公司舒城电子产业园表面处理中心</w:t>
      </w:r>
      <w:r>
        <w:rPr>
          <w:rFonts w:hint="eastAsia"/>
          <w:b/>
          <w:color w:val="auto"/>
          <w:kern w:val="21"/>
          <w:sz w:val="24"/>
          <w:u w:val="single"/>
        </w:rPr>
        <w:t>设置有（镀铜线1条、铜镍铬线2条、滚镀镍线1条、镀镍线6条、镀锌线11条、镀铜锡线3条、镀铜镍3条、镀铬线5条、阳极氧化13条、镀银线4条、塑料电镀线18条、镀金银线1条、化镍线1条、镀锡线1条、铜镍铬线8条、铜镍锡线1条、铜镍铬线2条、PCB 线1条），包括镀镍（含钝化）、银、铜、铬、镍、锌和阳极阳化等众多表面处理工艺，各类重金属废水均</w:t>
      </w:r>
      <w:r>
        <w:rPr>
          <w:b/>
          <w:color w:val="auto"/>
          <w:kern w:val="21"/>
          <w:sz w:val="24"/>
          <w:u w:val="single"/>
        </w:rPr>
        <w:t>分类收集、分质处理</w:t>
      </w:r>
      <w:r>
        <w:rPr>
          <w:rFonts w:hint="eastAsia"/>
          <w:b/>
          <w:color w:val="auto"/>
          <w:kern w:val="21"/>
          <w:sz w:val="24"/>
          <w:u w:val="single"/>
        </w:rPr>
        <w:t>，因此其废水较能反映各类电镀废水的平均水质。其镀镍线生产工艺、原辅材料（硫酸镍、氯化镍、铬酸酐等）均与本项目类似，因此具备可类比性。</w:t>
      </w:r>
    </w:p>
    <w:p>
      <w:pPr>
        <w:spacing w:line="360" w:lineRule="auto"/>
        <w:ind w:firstLine="482" w:firstLineChars="200"/>
        <w:rPr>
          <w:b/>
          <w:color w:val="auto"/>
          <w:kern w:val="21"/>
          <w:sz w:val="24"/>
          <w:u w:val="single"/>
        </w:rPr>
      </w:pPr>
      <w:r>
        <w:rPr>
          <w:b/>
          <w:color w:val="auto"/>
          <w:kern w:val="21"/>
          <w:sz w:val="24"/>
          <w:u w:val="single"/>
        </w:rPr>
        <w:t>总镍、总锌、总铬、六价铬数据采用《电镀废水治理工程技术规范》（HJ2002-2010）附表A</w:t>
      </w:r>
      <w:r>
        <w:rPr>
          <w:rFonts w:hint="eastAsia"/>
          <w:b/>
          <w:color w:val="auto"/>
          <w:kern w:val="21"/>
          <w:sz w:val="24"/>
          <w:u w:val="single"/>
        </w:rPr>
        <w:t>“</w:t>
      </w:r>
      <w:r>
        <w:rPr>
          <w:b/>
          <w:color w:val="auto"/>
          <w:kern w:val="21"/>
          <w:sz w:val="24"/>
          <w:u w:val="single"/>
        </w:rPr>
        <w:t>电镀废水的来源、主要成分和浓度范围</w:t>
      </w:r>
      <w:r>
        <w:rPr>
          <w:rFonts w:hint="eastAsia"/>
          <w:b/>
          <w:color w:val="auto"/>
          <w:kern w:val="21"/>
          <w:sz w:val="24"/>
          <w:u w:val="single"/>
        </w:rPr>
        <w:t>”</w:t>
      </w:r>
      <w:r>
        <w:rPr>
          <w:b/>
          <w:color w:val="auto"/>
          <w:kern w:val="21"/>
          <w:sz w:val="24"/>
          <w:u w:val="single"/>
        </w:rPr>
        <w:t>中的最大值。综合废水（</w:t>
      </w:r>
      <w:r>
        <w:rPr>
          <w:rFonts w:hint="eastAsia"/>
          <w:b/>
          <w:color w:val="auto"/>
          <w:kern w:val="21"/>
          <w:sz w:val="24"/>
          <w:u w:val="single"/>
          <w:lang w:eastAsia="zh-CN"/>
        </w:rPr>
        <w:t>含油废水</w:t>
      </w:r>
      <w:r>
        <w:rPr>
          <w:b/>
          <w:color w:val="auto"/>
          <w:kern w:val="21"/>
          <w:sz w:val="24"/>
          <w:u w:val="single"/>
        </w:rPr>
        <w:t>、酸性废水）中的重金属水质及</w:t>
      </w:r>
      <w:r>
        <w:rPr>
          <w:rFonts w:hint="eastAsia"/>
          <w:b/>
          <w:color w:val="auto"/>
          <w:kern w:val="21"/>
          <w:sz w:val="24"/>
          <w:u w:val="single"/>
        </w:rPr>
        <w:t>地面废水水质采用零排方案设计单位（逸辰环保科技（厦门）有限公司）提供的同类项目相关数据。</w:t>
      </w:r>
    </w:p>
    <w:p>
      <w:pPr>
        <w:spacing w:line="360" w:lineRule="auto"/>
        <w:ind w:firstLine="482" w:firstLineChars="200"/>
        <w:rPr>
          <w:color w:val="auto"/>
          <w:sz w:val="24"/>
          <w:szCs w:val="20"/>
        </w:rPr>
      </w:pPr>
      <w:r>
        <w:rPr>
          <w:b/>
          <w:color w:val="auto"/>
          <w:sz w:val="24"/>
          <w:szCs w:val="20"/>
          <w:u w:val="single"/>
        </w:rPr>
        <w:t>根据工程分析及水平衡分析，本项目废水的水量水质见下表。</w:t>
      </w:r>
    </w:p>
    <w:p>
      <w:pPr>
        <w:pStyle w:val="32"/>
        <w:adjustRightInd w:val="0"/>
        <w:snapToGrid w:val="0"/>
        <w:spacing w:after="0"/>
        <w:jc w:val="center"/>
        <w:rPr>
          <w:rFonts w:eastAsia="黑体"/>
          <w:bCs/>
          <w:color w:val="auto"/>
          <w:kern w:val="21"/>
          <w:sz w:val="24"/>
          <w:lang w:val="en-US"/>
        </w:rPr>
      </w:pPr>
      <w:r>
        <w:rPr>
          <w:rFonts w:eastAsia="黑体"/>
          <w:b/>
          <w:color w:val="auto"/>
          <w:kern w:val="21"/>
          <w:sz w:val="24"/>
          <w:u w:val="single"/>
          <w:lang w:val="en-US"/>
        </w:rPr>
        <w:t>表</w:t>
      </w:r>
      <w:r>
        <w:rPr>
          <w:rFonts w:hint="eastAsia" w:eastAsia="黑体"/>
          <w:b/>
          <w:color w:val="auto"/>
          <w:kern w:val="21"/>
          <w:sz w:val="24"/>
          <w:u w:val="single"/>
          <w:lang w:val="en-US"/>
        </w:rPr>
        <w:t>3.4-12</w:t>
      </w:r>
      <w:r>
        <w:rPr>
          <w:rFonts w:eastAsia="黑体"/>
          <w:b/>
          <w:color w:val="auto"/>
          <w:kern w:val="21"/>
          <w:sz w:val="24"/>
          <w:u w:val="single"/>
          <w:lang w:val="en-US"/>
        </w:rPr>
        <w:t xml:space="preserve">    </w:t>
      </w:r>
      <w:r>
        <w:rPr>
          <w:rFonts w:hint="eastAsia" w:eastAsia="黑体"/>
          <w:b/>
          <w:color w:val="auto"/>
          <w:kern w:val="21"/>
          <w:sz w:val="24"/>
          <w:u w:val="single"/>
          <w:lang w:val="en-US" w:eastAsia="zh-CN"/>
        </w:rPr>
        <w:t>本项目</w:t>
      </w:r>
      <w:r>
        <w:rPr>
          <w:rFonts w:eastAsia="黑体"/>
          <w:b/>
          <w:color w:val="auto"/>
          <w:kern w:val="21"/>
          <w:sz w:val="24"/>
          <w:u w:val="single"/>
          <w:lang w:val="en-US"/>
        </w:rPr>
        <w:t>废水水质水量</w:t>
      </w:r>
      <w:r>
        <w:rPr>
          <w:rFonts w:hint="eastAsia" w:eastAsia="黑体"/>
          <w:b/>
          <w:color w:val="auto"/>
          <w:kern w:val="21"/>
          <w:sz w:val="24"/>
          <w:u w:val="single"/>
          <w:lang w:val="en-US"/>
        </w:rPr>
        <w:t>明细</w:t>
      </w:r>
      <w:r>
        <w:rPr>
          <w:rFonts w:eastAsia="黑体"/>
          <w:b/>
          <w:color w:val="auto"/>
          <w:kern w:val="21"/>
          <w:sz w:val="24"/>
          <w:u w:val="single"/>
          <w:lang w:val="en-US"/>
        </w:rPr>
        <w:t>一览表</w:t>
      </w:r>
    </w:p>
    <w:tbl>
      <w:tblPr>
        <w:tblStyle w:val="83"/>
        <w:tblW w:w="51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233"/>
        <w:gridCol w:w="1087"/>
        <w:gridCol w:w="1155"/>
        <w:gridCol w:w="1035"/>
        <w:gridCol w:w="1020"/>
        <w:gridCol w:w="1050"/>
        <w:gridCol w:w="1014"/>
        <w:gridCol w:w="1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1" w:type="pct"/>
            <w:gridSpan w:val="3"/>
            <w:vAlign w:val="center"/>
          </w:tcPr>
          <w:p>
            <w:pPr>
              <w:adjustRightInd w:val="0"/>
              <w:snapToGrid w:val="0"/>
              <w:jc w:val="center"/>
              <w:rPr>
                <w:b/>
                <w:color w:val="auto"/>
                <w:kern w:val="21"/>
                <w:u w:val="single"/>
              </w:rPr>
            </w:pPr>
            <w:r>
              <w:rPr>
                <w:b/>
                <w:color w:val="auto"/>
                <w:kern w:val="21"/>
                <w:u w:val="single"/>
              </w:rPr>
              <w:t>名称</w:t>
            </w:r>
          </w:p>
        </w:tc>
        <w:tc>
          <w:tcPr>
            <w:tcW w:w="663" w:type="pct"/>
            <w:vAlign w:val="center"/>
          </w:tcPr>
          <w:p>
            <w:pPr>
              <w:adjustRightInd w:val="0"/>
              <w:snapToGrid w:val="0"/>
              <w:jc w:val="both"/>
              <w:rPr>
                <w:b/>
                <w:color w:val="auto"/>
                <w:kern w:val="21"/>
                <w:u w:val="single"/>
              </w:rPr>
            </w:pPr>
            <w:r>
              <w:rPr>
                <w:rFonts w:hint="eastAsia"/>
                <w:b/>
                <w:color w:val="auto"/>
                <w:kern w:val="21"/>
                <w:u w:val="single"/>
                <w:lang w:val="en-US" w:eastAsia="zh-CN"/>
              </w:rPr>
              <w:t>日</w:t>
            </w:r>
            <w:r>
              <w:rPr>
                <w:b/>
                <w:color w:val="auto"/>
                <w:kern w:val="21"/>
                <w:u w:val="single"/>
              </w:rPr>
              <w:t>排水量（m</w:t>
            </w:r>
            <w:r>
              <w:rPr>
                <w:b/>
                <w:color w:val="auto"/>
                <w:kern w:val="21"/>
                <w:u w:val="single"/>
                <w:vertAlign w:val="superscript"/>
              </w:rPr>
              <w:t>3</w:t>
            </w:r>
            <w:r>
              <w:rPr>
                <w:b/>
                <w:color w:val="auto"/>
                <w:kern w:val="21"/>
                <w:u w:val="single"/>
              </w:rPr>
              <w:t>/d）</w:t>
            </w:r>
          </w:p>
        </w:tc>
        <w:tc>
          <w:tcPr>
            <w:tcW w:w="594" w:type="pct"/>
            <w:vAlign w:val="center"/>
          </w:tcPr>
          <w:p>
            <w:pPr>
              <w:adjustRightInd w:val="0"/>
              <w:snapToGrid w:val="0"/>
              <w:jc w:val="center"/>
              <w:rPr>
                <w:b/>
                <w:color w:val="auto"/>
                <w:kern w:val="21"/>
                <w:u w:val="single"/>
              </w:rPr>
            </w:pPr>
            <w:r>
              <w:rPr>
                <w:b/>
                <w:color w:val="auto"/>
                <w:kern w:val="21"/>
                <w:u w:val="single"/>
              </w:rPr>
              <w:t>COD（mg/L）</w:t>
            </w:r>
          </w:p>
        </w:tc>
        <w:tc>
          <w:tcPr>
            <w:tcW w:w="586" w:type="pct"/>
            <w:vAlign w:val="center"/>
          </w:tcPr>
          <w:p>
            <w:pPr>
              <w:adjustRightInd w:val="0"/>
              <w:snapToGrid w:val="0"/>
              <w:jc w:val="center"/>
              <w:rPr>
                <w:b/>
                <w:color w:val="auto"/>
                <w:kern w:val="21"/>
                <w:u w:val="single"/>
              </w:rPr>
            </w:pPr>
            <w:r>
              <w:rPr>
                <w:b/>
                <w:color w:val="auto"/>
                <w:kern w:val="21"/>
                <w:u w:val="single"/>
              </w:rPr>
              <w:t>NH</w:t>
            </w:r>
            <w:r>
              <w:rPr>
                <w:b/>
                <w:color w:val="auto"/>
                <w:kern w:val="21"/>
                <w:u w:val="single"/>
                <w:vertAlign w:val="subscript"/>
              </w:rPr>
              <w:t>3</w:t>
            </w:r>
            <w:r>
              <w:rPr>
                <w:b/>
                <w:color w:val="auto"/>
                <w:kern w:val="21"/>
                <w:u w:val="single"/>
              </w:rPr>
              <w:t>-N（mg/L）</w:t>
            </w:r>
          </w:p>
        </w:tc>
        <w:tc>
          <w:tcPr>
            <w:tcW w:w="603" w:type="pct"/>
            <w:vAlign w:val="center"/>
          </w:tcPr>
          <w:p>
            <w:pPr>
              <w:adjustRightInd w:val="0"/>
              <w:snapToGrid w:val="0"/>
              <w:jc w:val="center"/>
              <w:rPr>
                <w:b/>
                <w:color w:val="auto"/>
                <w:kern w:val="21"/>
                <w:u w:val="single"/>
              </w:rPr>
            </w:pPr>
            <w:r>
              <w:rPr>
                <w:b/>
                <w:color w:val="auto"/>
                <w:kern w:val="21"/>
                <w:u w:val="single"/>
              </w:rPr>
              <w:t>SS（mg/L）</w:t>
            </w:r>
          </w:p>
        </w:tc>
        <w:tc>
          <w:tcPr>
            <w:tcW w:w="582" w:type="pct"/>
            <w:vAlign w:val="center"/>
          </w:tcPr>
          <w:p>
            <w:pPr>
              <w:adjustRightInd w:val="0"/>
              <w:snapToGrid w:val="0"/>
              <w:jc w:val="center"/>
              <w:rPr>
                <w:b/>
                <w:color w:val="auto"/>
                <w:kern w:val="21"/>
                <w:u w:val="single"/>
              </w:rPr>
            </w:pPr>
            <w:r>
              <w:rPr>
                <w:b/>
                <w:color w:val="auto"/>
                <w:kern w:val="21"/>
                <w:u w:val="single"/>
              </w:rPr>
              <w:t>石油类（mg/L）</w:t>
            </w:r>
          </w:p>
        </w:tc>
        <w:tc>
          <w:tcPr>
            <w:tcW w:w="727" w:type="pct"/>
            <w:vAlign w:val="center"/>
          </w:tcPr>
          <w:p>
            <w:pPr>
              <w:adjustRightInd w:val="0"/>
              <w:snapToGrid w:val="0"/>
              <w:jc w:val="center"/>
              <w:rPr>
                <w:b/>
                <w:color w:val="auto"/>
                <w:kern w:val="21"/>
                <w:u w:val="single"/>
              </w:rPr>
            </w:pPr>
            <w:r>
              <w:rPr>
                <w:b/>
                <w:color w:val="auto"/>
                <w:kern w:val="21"/>
                <w:u w:val="single"/>
              </w:rPr>
              <w:t>其他（mg/L）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restart"/>
            <w:vAlign w:val="center"/>
          </w:tcPr>
          <w:p>
            <w:pPr>
              <w:adjustRightInd w:val="0"/>
              <w:snapToGrid w:val="0"/>
              <w:jc w:val="center"/>
              <w:rPr>
                <w:rFonts w:hint="eastAsia" w:eastAsia="宋体"/>
                <w:b/>
                <w:color w:val="auto"/>
                <w:kern w:val="21"/>
                <w:u w:val="single"/>
                <w:lang w:eastAsia="zh-CN"/>
              </w:rPr>
            </w:pPr>
            <w:r>
              <w:rPr>
                <w:b/>
                <w:color w:val="auto"/>
                <w:kern w:val="21"/>
                <w:u w:val="single"/>
              </w:rPr>
              <w:t>综合废水</w:t>
            </w:r>
            <w:r>
              <w:rPr>
                <w:rFonts w:hint="eastAsia"/>
                <w:b/>
                <w:color w:val="auto"/>
                <w:kern w:val="21"/>
                <w:u w:val="single"/>
                <w:lang w:eastAsia="zh-CN"/>
              </w:rPr>
              <w:t>（</w:t>
            </w:r>
            <w:r>
              <w:rPr>
                <w:rFonts w:hint="eastAsia"/>
                <w:b/>
                <w:color w:val="auto"/>
                <w:kern w:val="21"/>
                <w:u w:val="single"/>
                <w:lang w:val="en-US" w:eastAsia="zh-CN"/>
              </w:rPr>
              <w:t>含油废水和酸性废水</w:t>
            </w:r>
            <w:r>
              <w:rPr>
                <w:rFonts w:hint="eastAsia"/>
                <w:b/>
                <w:color w:val="auto"/>
                <w:kern w:val="21"/>
                <w:u w:val="single"/>
                <w:lang w:eastAsia="zh-CN"/>
              </w:rPr>
              <w:t>）</w:t>
            </w:r>
          </w:p>
        </w:tc>
        <w:tc>
          <w:tcPr>
            <w:tcW w:w="758" w:type="pct"/>
            <w:gridSpan w:val="2"/>
            <w:vAlign w:val="center"/>
          </w:tcPr>
          <w:p>
            <w:pPr>
              <w:adjustRightInd w:val="0"/>
              <w:snapToGrid w:val="0"/>
              <w:jc w:val="center"/>
              <w:rPr>
                <w:b/>
                <w:color w:val="auto"/>
                <w:kern w:val="21"/>
                <w:u w:val="single"/>
              </w:rPr>
            </w:pPr>
            <w:r>
              <w:rPr>
                <w:b/>
                <w:color w:val="auto"/>
                <w:kern w:val="21"/>
                <w:u w:val="single"/>
              </w:rPr>
              <w:t>除油槽液</w:t>
            </w:r>
          </w:p>
        </w:tc>
        <w:tc>
          <w:tcPr>
            <w:tcW w:w="663" w:type="pct"/>
            <w:vAlign w:val="center"/>
          </w:tcPr>
          <w:p>
            <w:pPr>
              <w:adjustRightInd w:val="0"/>
              <w:snapToGrid w:val="0"/>
              <w:jc w:val="center"/>
              <w:rPr>
                <w:b/>
                <w:color w:val="auto"/>
                <w:kern w:val="21"/>
                <w:u w:val="single"/>
              </w:rPr>
            </w:pPr>
            <w:r>
              <w:rPr>
                <w:b/>
                <w:color w:val="auto"/>
                <w:kern w:val="21"/>
                <w:u w:val="single"/>
              </w:rPr>
              <w:t>2.4669</w:t>
            </w:r>
          </w:p>
        </w:tc>
        <w:tc>
          <w:tcPr>
            <w:tcW w:w="594" w:type="pct"/>
            <w:vMerge w:val="restart"/>
            <w:vAlign w:val="center"/>
          </w:tcPr>
          <w:p>
            <w:pPr>
              <w:adjustRightInd w:val="0"/>
              <w:snapToGrid w:val="0"/>
              <w:jc w:val="center"/>
              <w:rPr>
                <w:b/>
                <w:color w:val="auto"/>
                <w:kern w:val="21"/>
                <w:u w:val="single"/>
              </w:rPr>
            </w:pPr>
            <w:r>
              <w:rPr>
                <w:rFonts w:hint="eastAsia"/>
                <w:b/>
                <w:color w:val="auto"/>
                <w:kern w:val="21"/>
                <w:u w:val="single"/>
              </w:rPr>
              <w:t>529</w:t>
            </w:r>
          </w:p>
        </w:tc>
        <w:tc>
          <w:tcPr>
            <w:tcW w:w="586" w:type="pct"/>
            <w:vMerge w:val="restart"/>
            <w:vAlign w:val="center"/>
          </w:tcPr>
          <w:p>
            <w:pPr>
              <w:adjustRightInd w:val="0"/>
              <w:snapToGrid w:val="0"/>
              <w:jc w:val="center"/>
              <w:rPr>
                <w:b/>
                <w:color w:val="auto"/>
                <w:kern w:val="21"/>
                <w:u w:val="single"/>
              </w:rPr>
            </w:pPr>
            <w:r>
              <w:rPr>
                <w:rFonts w:hint="eastAsia"/>
                <w:b/>
                <w:color w:val="auto"/>
                <w:kern w:val="21"/>
                <w:u w:val="single"/>
              </w:rPr>
              <w:t>21.25</w:t>
            </w:r>
          </w:p>
        </w:tc>
        <w:tc>
          <w:tcPr>
            <w:tcW w:w="603" w:type="pct"/>
            <w:vMerge w:val="restart"/>
            <w:vAlign w:val="center"/>
          </w:tcPr>
          <w:p>
            <w:pPr>
              <w:adjustRightInd w:val="0"/>
              <w:snapToGrid w:val="0"/>
              <w:jc w:val="center"/>
              <w:rPr>
                <w:b/>
                <w:color w:val="auto"/>
                <w:kern w:val="21"/>
                <w:u w:val="single"/>
              </w:rPr>
            </w:pPr>
            <w:r>
              <w:rPr>
                <w:rFonts w:hint="eastAsia"/>
                <w:b/>
                <w:color w:val="auto"/>
                <w:kern w:val="21"/>
                <w:u w:val="single"/>
              </w:rPr>
              <w:t>400</w:t>
            </w:r>
          </w:p>
        </w:tc>
        <w:tc>
          <w:tcPr>
            <w:tcW w:w="582" w:type="pct"/>
            <w:vMerge w:val="restart"/>
            <w:vAlign w:val="center"/>
          </w:tcPr>
          <w:p>
            <w:pPr>
              <w:adjustRightInd w:val="0"/>
              <w:snapToGrid w:val="0"/>
              <w:jc w:val="center"/>
              <w:rPr>
                <w:b/>
                <w:color w:val="auto"/>
                <w:kern w:val="21"/>
                <w:u w:val="single"/>
              </w:rPr>
            </w:pPr>
            <w:r>
              <w:rPr>
                <w:rFonts w:hint="eastAsia"/>
                <w:b/>
                <w:color w:val="auto"/>
                <w:kern w:val="21"/>
                <w:u w:val="single"/>
              </w:rPr>
              <w:t>2.21</w:t>
            </w:r>
          </w:p>
        </w:tc>
        <w:tc>
          <w:tcPr>
            <w:tcW w:w="727" w:type="pct"/>
            <w:vMerge w:val="restart"/>
            <w:vAlign w:val="center"/>
          </w:tcPr>
          <w:p>
            <w:pPr>
              <w:adjustRightInd w:val="0"/>
              <w:snapToGrid w:val="0"/>
              <w:jc w:val="center"/>
              <w:rPr>
                <w:b/>
                <w:color w:val="auto"/>
                <w:kern w:val="21"/>
                <w:u w:val="single"/>
              </w:rPr>
            </w:pPr>
            <w:r>
              <w:rPr>
                <w:b/>
                <w:color w:val="auto"/>
                <w:kern w:val="21"/>
                <w:u w:val="single"/>
              </w:rPr>
              <w:t>总镍：</w:t>
            </w:r>
            <w:r>
              <w:rPr>
                <w:rFonts w:hint="eastAsia"/>
                <w:b/>
                <w:color w:val="auto"/>
                <w:kern w:val="21"/>
                <w:u w:val="single"/>
              </w:rPr>
              <w:t>5</w:t>
            </w:r>
          </w:p>
          <w:p>
            <w:pPr>
              <w:adjustRightInd w:val="0"/>
              <w:snapToGrid w:val="0"/>
              <w:jc w:val="center"/>
              <w:rPr>
                <w:b/>
                <w:color w:val="auto"/>
                <w:kern w:val="21"/>
                <w:u w:val="single"/>
              </w:rPr>
            </w:pPr>
            <w:r>
              <w:rPr>
                <w:rFonts w:hint="eastAsia"/>
                <w:b/>
                <w:color w:val="auto"/>
                <w:kern w:val="21"/>
                <w:u w:val="single"/>
              </w:rPr>
              <w:t>总锌：2.5</w:t>
            </w:r>
          </w:p>
          <w:p>
            <w:pPr>
              <w:adjustRightInd w:val="0"/>
              <w:snapToGrid w:val="0"/>
              <w:jc w:val="center"/>
              <w:rPr>
                <w:b/>
                <w:color w:val="auto"/>
                <w:kern w:val="21"/>
                <w:u w:val="single"/>
              </w:rPr>
            </w:pPr>
            <w:r>
              <w:rPr>
                <w:rFonts w:hint="eastAsia"/>
                <w:b/>
                <w:color w:val="auto"/>
                <w:kern w:val="21"/>
                <w:u w:val="single"/>
              </w:rPr>
              <w:t>六价铬：10</w:t>
            </w:r>
          </w:p>
          <w:p>
            <w:pPr>
              <w:adjustRightInd w:val="0"/>
              <w:snapToGrid w:val="0"/>
              <w:jc w:val="center"/>
              <w:rPr>
                <w:b/>
                <w:color w:val="auto"/>
                <w:kern w:val="21"/>
                <w:u w:val="single"/>
              </w:rPr>
            </w:pPr>
            <w:r>
              <w:rPr>
                <w:rFonts w:hint="eastAsia"/>
                <w:b/>
                <w:color w:val="auto"/>
                <w:kern w:val="21"/>
                <w:u w:val="single"/>
              </w:rPr>
              <w:t>总铬：15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除油后水洗废水</w:t>
            </w:r>
          </w:p>
        </w:tc>
        <w:tc>
          <w:tcPr>
            <w:tcW w:w="663" w:type="pct"/>
            <w:vAlign w:val="center"/>
          </w:tcPr>
          <w:p>
            <w:pPr>
              <w:adjustRightInd w:val="0"/>
              <w:snapToGrid w:val="0"/>
              <w:jc w:val="center"/>
              <w:rPr>
                <w:b/>
                <w:color w:val="auto"/>
                <w:kern w:val="21"/>
                <w:u w:val="single"/>
              </w:rPr>
            </w:pPr>
            <w:r>
              <w:rPr>
                <w:b/>
                <w:color w:val="auto"/>
                <w:kern w:val="21"/>
                <w:u w:val="single"/>
              </w:rPr>
              <w:t>69.12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rFonts w:hint="eastAsia" w:eastAsia="宋体"/>
                <w:b/>
                <w:color w:val="auto"/>
                <w:kern w:val="21"/>
                <w:u w:val="single"/>
                <w:lang w:eastAsia="zh-CN"/>
              </w:rPr>
            </w:pPr>
            <w:r>
              <w:rPr>
                <w:b/>
                <w:color w:val="auto"/>
                <w:kern w:val="21"/>
                <w:u w:val="single"/>
              </w:rPr>
              <w:t>酸洗槽液</w:t>
            </w:r>
            <w:r>
              <w:rPr>
                <w:rFonts w:hint="eastAsia"/>
                <w:b/>
                <w:color w:val="auto"/>
                <w:kern w:val="21"/>
                <w:u w:val="single"/>
                <w:lang w:eastAsia="zh-CN"/>
              </w:rPr>
              <w:t>（含酸电解槽液）</w:t>
            </w:r>
          </w:p>
        </w:tc>
        <w:tc>
          <w:tcPr>
            <w:tcW w:w="663" w:type="pct"/>
            <w:vAlign w:val="center"/>
          </w:tcPr>
          <w:p>
            <w:pPr>
              <w:adjustRightInd w:val="0"/>
              <w:snapToGrid w:val="0"/>
              <w:jc w:val="center"/>
              <w:rPr>
                <w:b/>
                <w:color w:val="auto"/>
                <w:kern w:val="21"/>
                <w:u w:val="single"/>
              </w:rPr>
            </w:pPr>
            <w:r>
              <w:rPr>
                <w:rFonts w:hint="eastAsia"/>
                <w:b/>
                <w:color w:val="auto"/>
                <w:kern w:val="21"/>
                <w:u w:val="single"/>
              </w:rPr>
              <w:t>7.5312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酸洗后水洗废水</w:t>
            </w:r>
          </w:p>
        </w:tc>
        <w:tc>
          <w:tcPr>
            <w:tcW w:w="663" w:type="pct"/>
            <w:vAlign w:val="center"/>
          </w:tcPr>
          <w:p>
            <w:pPr>
              <w:adjustRightInd w:val="0"/>
              <w:snapToGrid w:val="0"/>
              <w:jc w:val="center"/>
              <w:rPr>
                <w:b/>
                <w:color w:val="auto"/>
                <w:kern w:val="21"/>
                <w:u w:val="single"/>
              </w:rPr>
            </w:pPr>
            <w:r>
              <w:rPr>
                <w:b/>
                <w:color w:val="auto"/>
                <w:kern w:val="21"/>
                <w:u w:val="single"/>
              </w:rPr>
              <w:t>43.2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酸活化槽液</w:t>
            </w:r>
          </w:p>
        </w:tc>
        <w:tc>
          <w:tcPr>
            <w:tcW w:w="663" w:type="pct"/>
            <w:vAlign w:val="center"/>
          </w:tcPr>
          <w:p>
            <w:pPr>
              <w:adjustRightInd w:val="0"/>
              <w:snapToGrid w:val="0"/>
              <w:jc w:val="center"/>
              <w:rPr>
                <w:b/>
                <w:color w:val="auto"/>
                <w:kern w:val="21"/>
                <w:u w:val="single"/>
              </w:rPr>
            </w:pPr>
            <w:r>
              <w:rPr>
                <w:b/>
                <w:color w:val="auto"/>
                <w:kern w:val="21"/>
                <w:u w:val="single"/>
              </w:rPr>
              <w:t>3.3894</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酸活化后水洗废水</w:t>
            </w:r>
          </w:p>
        </w:tc>
        <w:tc>
          <w:tcPr>
            <w:tcW w:w="663" w:type="pct"/>
            <w:vAlign w:val="center"/>
          </w:tcPr>
          <w:p>
            <w:pPr>
              <w:adjustRightInd w:val="0"/>
              <w:snapToGrid w:val="0"/>
              <w:jc w:val="center"/>
              <w:rPr>
                <w:b/>
                <w:color w:val="auto"/>
                <w:kern w:val="21"/>
                <w:u w:val="single"/>
              </w:rPr>
            </w:pPr>
            <w:r>
              <w:rPr>
                <w:b/>
                <w:color w:val="auto"/>
                <w:kern w:val="21"/>
                <w:u w:val="single"/>
              </w:rPr>
              <w:t>43.2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restart"/>
            <w:vAlign w:val="center"/>
          </w:tcPr>
          <w:p>
            <w:pPr>
              <w:adjustRightInd w:val="0"/>
              <w:snapToGrid w:val="0"/>
              <w:jc w:val="center"/>
              <w:rPr>
                <w:b/>
                <w:color w:val="auto"/>
                <w:kern w:val="21"/>
                <w:u w:val="single"/>
              </w:rPr>
            </w:pPr>
            <w:r>
              <w:rPr>
                <w:b/>
                <w:color w:val="auto"/>
                <w:kern w:val="21"/>
                <w:u w:val="single"/>
              </w:rPr>
              <w:t>含镍废水</w:t>
            </w:r>
          </w:p>
        </w:tc>
        <w:tc>
          <w:tcPr>
            <w:tcW w:w="758" w:type="pct"/>
            <w:gridSpan w:val="2"/>
            <w:vAlign w:val="center"/>
          </w:tcPr>
          <w:p>
            <w:pPr>
              <w:adjustRightInd w:val="0"/>
              <w:snapToGrid w:val="0"/>
              <w:jc w:val="center"/>
              <w:rPr>
                <w:b/>
                <w:color w:val="auto"/>
                <w:kern w:val="21"/>
                <w:u w:val="single"/>
              </w:rPr>
            </w:pPr>
            <w:r>
              <w:rPr>
                <w:b/>
                <w:color w:val="auto"/>
                <w:kern w:val="21"/>
                <w:u w:val="single"/>
              </w:rPr>
              <w:t>漂白槽液</w:t>
            </w:r>
          </w:p>
        </w:tc>
        <w:tc>
          <w:tcPr>
            <w:tcW w:w="663" w:type="pct"/>
            <w:vAlign w:val="center"/>
          </w:tcPr>
          <w:p>
            <w:pPr>
              <w:adjustRightInd w:val="0"/>
              <w:snapToGrid w:val="0"/>
              <w:jc w:val="center"/>
              <w:rPr>
                <w:b/>
                <w:color w:val="auto"/>
                <w:kern w:val="21"/>
                <w:u w:val="single"/>
              </w:rPr>
            </w:pPr>
            <w:r>
              <w:rPr>
                <w:b/>
                <w:color w:val="auto"/>
                <w:kern w:val="21"/>
                <w:u w:val="single"/>
              </w:rPr>
              <w:t>1.08</w:t>
            </w:r>
          </w:p>
        </w:tc>
        <w:tc>
          <w:tcPr>
            <w:tcW w:w="594" w:type="pct"/>
            <w:vMerge w:val="restart"/>
            <w:vAlign w:val="center"/>
          </w:tcPr>
          <w:p>
            <w:pPr>
              <w:adjustRightInd w:val="0"/>
              <w:snapToGrid w:val="0"/>
              <w:jc w:val="center"/>
              <w:rPr>
                <w:b/>
                <w:color w:val="auto"/>
                <w:kern w:val="21"/>
                <w:u w:val="single"/>
              </w:rPr>
            </w:pPr>
            <w:r>
              <w:rPr>
                <w:rFonts w:hint="eastAsia"/>
                <w:b/>
                <w:color w:val="auto"/>
                <w:kern w:val="21"/>
                <w:u w:val="single"/>
              </w:rPr>
              <w:t>188</w:t>
            </w:r>
          </w:p>
        </w:tc>
        <w:tc>
          <w:tcPr>
            <w:tcW w:w="586" w:type="pct"/>
            <w:vMerge w:val="restart"/>
            <w:vAlign w:val="center"/>
          </w:tcPr>
          <w:p>
            <w:pPr>
              <w:adjustRightInd w:val="0"/>
              <w:snapToGrid w:val="0"/>
              <w:jc w:val="center"/>
              <w:rPr>
                <w:b/>
                <w:color w:val="auto"/>
                <w:kern w:val="21"/>
                <w:u w:val="single"/>
              </w:rPr>
            </w:pPr>
            <w:r>
              <w:rPr>
                <w:rFonts w:hint="eastAsia"/>
                <w:b/>
                <w:color w:val="auto"/>
                <w:kern w:val="21"/>
                <w:u w:val="single"/>
              </w:rPr>
              <w:t>14</w:t>
            </w:r>
          </w:p>
        </w:tc>
        <w:tc>
          <w:tcPr>
            <w:tcW w:w="603" w:type="pct"/>
            <w:vMerge w:val="restart"/>
            <w:vAlign w:val="center"/>
          </w:tcPr>
          <w:p>
            <w:pPr>
              <w:adjustRightInd w:val="0"/>
              <w:snapToGrid w:val="0"/>
              <w:jc w:val="center"/>
              <w:rPr>
                <w:b/>
                <w:color w:val="auto"/>
                <w:kern w:val="21"/>
                <w:u w:val="single"/>
              </w:rPr>
            </w:pPr>
            <w:r>
              <w:rPr>
                <w:rFonts w:hint="eastAsia"/>
                <w:b/>
                <w:color w:val="auto"/>
                <w:kern w:val="21"/>
                <w:u w:val="single"/>
              </w:rPr>
              <w:t>114</w:t>
            </w:r>
          </w:p>
        </w:tc>
        <w:tc>
          <w:tcPr>
            <w:tcW w:w="582" w:type="pct"/>
            <w:vMerge w:val="restart"/>
            <w:vAlign w:val="center"/>
          </w:tcPr>
          <w:p>
            <w:pPr>
              <w:adjustRightInd w:val="0"/>
              <w:snapToGrid w:val="0"/>
              <w:jc w:val="center"/>
              <w:rPr>
                <w:b/>
                <w:color w:val="auto"/>
                <w:kern w:val="21"/>
                <w:u w:val="single"/>
              </w:rPr>
            </w:pPr>
            <w:r>
              <w:rPr>
                <w:rFonts w:hint="eastAsia"/>
                <w:b/>
                <w:color w:val="auto"/>
                <w:kern w:val="21"/>
                <w:u w:val="single"/>
              </w:rPr>
              <w:t>/</w:t>
            </w:r>
          </w:p>
        </w:tc>
        <w:tc>
          <w:tcPr>
            <w:tcW w:w="727" w:type="pct"/>
            <w:vMerge w:val="restart"/>
            <w:vAlign w:val="center"/>
          </w:tcPr>
          <w:p>
            <w:pPr>
              <w:adjustRightInd w:val="0"/>
              <w:snapToGrid w:val="0"/>
              <w:jc w:val="center"/>
              <w:rPr>
                <w:b/>
                <w:color w:val="auto"/>
                <w:kern w:val="21"/>
                <w:u w:val="single"/>
              </w:rPr>
            </w:pPr>
            <w:r>
              <w:rPr>
                <w:b/>
                <w:color w:val="auto"/>
                <w:kern w:val="21"/>
                <w:u w:val="single"/>
              </w:rPr>
              <w:t>总镍：100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漂白后水洗废水</w:t>
            </w:r>
          </w:p>
        </w:tc>
        <w:tc>
          <w:tcPr>
            <w:tcW w:w="663" w:type="pct"/>
            <w:vAlign w:val="center"/>
          </w:tcPr>
          <w:p>
            <w:pPr>
              <w:adjustRightInd w:val="0"/>
              <w:snapToGrid w:val="0"/>
              <w:jc w:val="center"/>
              <w:rPr>
                <w:b/>
                <w:color w:val="auto"/>
                <w:kern w:val="21"/>
                <w:u w:val="single"/>
              </w:rPr>
            </w:pPr>
            <w:r>
              <w:rPr>
                <w:b/>
                <w:color w:val="auto"/>
                <w:kern w:val="21"/>
                <w:u w:val="single"/>
              </w:rPr>
              <w:t>38.88</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镀镍后水洗废水</w:t>
            </w:r>
          </w:p>
        </w:tc>
        <w:tc>
          <w:tcPr>
            <w:tcW w:w="663" w:type="pct"/>
            <w:vAlign w:val="center"/>
          </w:tcPr>
          <w:p>
            <w:pPr>
              <w:adjustRightInd w:val="0"/>
              <w:snapToGrid w:val="0"/>
              <w:jc w:val="center"/>
              <w:rPr>
                <w:b/>
                <w:color w:val="auto"/>
                <w:kern w:val="21"/>
                <w:u w:val="single"/>
              </w:rPr>
            </w:pPr>
            <w:r>
              <w:rPr>
                <w:b/>
                <w:color w:val="auto"/>
                <w:kern w:val="21"/>
                <w:u w:val="single"/>
              </w:rPr>
              <w:t>38.88</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过滤膜反冲洗废水</w:t>
            </w:r>
          </w:p>
        </w:tc>
        <w:tc>
          <w:tcPr>
            <w:tcW w:w="663" w:type="pct"/>
            <w:vAlign w:val="center"/>
          </w:tcPr>
          <w:p>
            <w:pPr>
              <w:adjustRightInd w:val="0"/>
              <w:snapToGrid w:val="0"/>
              <w:jc w:val="center"/>
              <w:rPr>
                <w:b/>
                <w:color w:val="auto"/>
                <w:kern w:val="21"/>
                <w:u w:val="single"/>
              </w:rPr>
            </w:pPr>
            <w:r>
              <w:rPr>
                <w:b/>
                <w:color w:val="auto"/>
                <w:kern w:val="21"/>
                <w:u w:val="single"/>
              </w:rPr>
              <w:t>0.3</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restart"/>
            <w:vAlign w:val="center"/>
          </w:tcPr>
          <w:p>
            <w:pPr>
              <w:adjustRightInd w:val="0"/>
              <w:snapToGrid w:val="0"/>
              <w:jc w:val="center"/>
              <w:rPr>
                <w:b/>
                <w:color w:val="auto"/>
                <w:kern w:val="21"/>
                <w:u w:val="single"/>
              </w:rPr>
            </w:pPr>
            <w:r>
              <w:rPr>
                <w:b/>
                <w:color w:val="auto"/>
                <w:kern w:val="21"/>
                <w:u w:val="single"/>
              </w:rPr>
              <w:t>含锌废水</w:t>
            </w:r>
          </w:p>
        </w:tc>
        <w:tc>
          <w:tcPr>
            <w:tcW w:w="758" w:type="pct"/>
            <w:gridSpan w:val="2"/>
            <w:vAlign w:val="center"/>
          </w:tcPr>
          <w:p>
            <w:pPr>
              <w:adjustRightInd w:val="0"/>
              <w:snapToGrid w:val="0"/>
              <w:jc w:val="center"/>
              <w:rPr>
                <w:b/>
                <w:color w:val="auto"/>
                <w:kern w:val="21"/>
                <w:u w:val="single"/>
              </w:rPr>
            </w:pPr>
            <w:r>
              <w:rPr>
                <w:b/>
                <w:color w:val="auto"/>
                <w:kern w:val="21"/>
                <w:u w:val="single"/>
              </w:rPr>
              <w:t>出光槽液</w:t>
            </w:r>
          </w:p>
        </w:tc>
        <w:tc>
          <w:tcPr>
            <w:tcW w:w="663" w:type="pct"/>
            <w:vAlign w:val="center"/>
          </w:tcPr>
          <w:p>
            <w:pPr>
              <w:adjustRightInd w:val="0"/>
              <w:snapToGrid w:val="0"/>
              <w:jc w:val="center"/>
              <w:rPr>
                <w:b/>
                <w:color w:val="auto"/>
                <w:kern w:val="21"/>
                <w:u w:val="single"/>
              </w:rPr>
            </w:pPr>
            <w:r>
              <w:rPr>
                <w:b/>
                <w:color w:val="auto"/>
                <w:kern w:val="21"/>
                <w:u w:val="single"/>
              </w:rPr>
              <w:t>0.3564</w:t>
            </w:r>
          </w:p>
        </w:tc>
        <w:tc>
          <w:tcPr>
            <w:tcW w:w="594" w:type="pct"/>
            <w:vMerge w:val="restart"/>
            <w:vAlign w:val="center"/>
          </w:tcPr>
          <w:p>
            <w:pPr>
              <w:adjustRightInd w:val="0"/>
              <w:snapToGrid w:val="0"/>
              <w:jc w:val="center"/>
              <w:rPr>
                <w:b/>
                <w:color w:val="auto"/>
                <w:kern w:val="21"/>
                <w:u w:val="single"/>
              </w:rPr>
            </w:pPr>
            <w:r>
              <w:rPr>
                <w:b/>
                <w:color w:val="auto"/>
                <w:kern w:val="21"/>
                <w:u w:val="single"/>
              </w:rPr>
              <w:t>150</w:t>
            </w:r>
          </w:p>
        </w:tc>
        <w:tc>
          <w:tcPr>
            <w:tcW w:w="586" w:type="pct"/>
            <w:vMerge w:val="restart"/>
            <w:vAlign w:val="center"/>
          </w:tcPr>
          <w:p>
            <w:pPr>
              <w:adjustRightInd w:val="0"/>
              <w:snapToGrid w:val="0"/>
              <w:jc w:val="center"/>
              <w:rPr>
                <w:b/>
                <w:color w:val="auto"/>
                <w:kern w:val="21"/>
                <w:u w:val="single"/>
              </w:rPr>
            </w:pPr>
            <w:r>
              <w:rPr>
                <w:b/>
                <w:color w:val="auto"/>
                <w:kern w:val="21"/>
                <w:u w:val="single"/>
              </w:rPr>
              <w:t>20</w:t>
            </w:r>
          </w:p>
        </w:tc>
        <w:tc>
          <w:tcPr>
            <w:tcW w:w="603" w:type="pct"/>
            <w:vMerge w:val="restart"/>
            <w:vAlign w:val="center"/>
          </w:tcPr>
          <w:p>
            <w:pPr>
              <w:adjustRightInd w:val="0"/>
              <w:snapToGrid w:val="0"/>
              <w:jc w:val="center"/>
              <w:rPr>
                <w:b/>
                <w:color w:val="auto"/>
                <w:kern w:val="21"/>
                <w:u w:val="single"/>
              </w:rPr>
            </w:pPr>
            <w:r>
              <w:rPr>
                <w:b/>
                <w:color w:val="auto"/>
                <w:kern w:val="21"/>
                <w:u w:val="single"/>
              </w:rPr>
              <w:t>70</w:t>
            </w:r>
          </w:p>
        </w:tc>
        <w:tc>
          <w:tcPr>
            <w:tcW w:w="582" w:type="pct"/>
            <w:vMerge w:val="restart"/>
            <w:vAlign w:val="center"/>
          </w:tcPr>
          <w:p>
            <w:pPr>
              <w:adjustRightInd w:val="0"/>
              <w:snapToGrid w:val="0"/>
              <w:jc w:val="center"/>
              <w:rPr>
                <w:b/>
                <w:color w:val="auto"/>
                <w:kern w:val="21"/>
                <w:u w:val="single"/>
              </w:rPr>
            </w:pPr>
            <w:r>
              <w:rPr>
                <w:rFonts w:hint="eastAsia"/>
                <w:b/>
                <w:color w:val="auto"/>
                <w:kern w:val="21"/>
                <w:u w:val="single"/>
              </w:rPr>
              <w:t>/</w:t>
            </w:r>
          </w:p>
        </w:tc>
        <w:tc>
          <w:tcPr>
            <w:tcW w:w="727" w:type="pct"/>
            <w:vMerge w:val="restart"/>
            <w:vAlign w:val="center"/>
          </w:tcPr>
          <w:p>
            <w:pPr>
              <w:adjustRightInd w:val="0"/>
              <w:snapToGrid w:val="0"/>
              <w:jc w:val="center"/>
              <w:rPr>
                <w:b/>
                <w:color w:val="auto"/>
                <w:kern w:val="21"/>
                <w:u w:val="single"/>
              </w:rPr>
            </w:pPr>
            <w:r>
              <w:rPr>
                <w:b/>
                <w:color w:val="auto"/>
                <w:kern w:val="21"/>
                <w:u w:val="single"/>
              </w:rPr>
              <w:t>总锌：50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出光后水洗废水</w:t>
            </w:r>
          </w:p>
        </w:tc>
        <w:tc>
          <w:tcPr>
            <w:tcW w:w="663" w:type="pct"/>
            <w:vAlign w:val="center"/>
          </w:tcPr>
          <w:p>
            <w:pPr>
              <w:adjustRightInd w:val="0"/>
              <w:snapToGrid w:val="0"/>
              <w:jc w:val="center"/>
              <w:rPr>
                <w:b/>
                <w:color w:val="auto"/>
                <w:kern w:val="21"/>
                <w:u w:val="single"/>
              </w:rPr>
            </w:pPr>
            <w:r>
              <w:rPr>
                <w:b/>
                <w:color w:val="auto"/>
                <w:kern w:val="21"/>
                <w:u w:val="single"/>
              </w:rPr>
              <w:t>4.32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镀锌后水洗废水</w:t>
            </w:r>
          </w:p>
        </w:tc>
        <w:tc>
          <w:tcPr>
            <w:tcW w:w="663" w:type="pct"/>
            <w:vAlign w:val="center"/>
          </w:tcPr>
          <w:p>
            <w:pPr>
              <w:adjustRightInd w:val="0"/>
              <w:snapToGrid w:val="0"/>
              <w:jc w:val="center"/>
              <w:rPr>
                <w:b/>
                <w:color w:val="auto"/>
                <w:kern w:val="21"/>
                <w:u w:val="single"/>
              </w:rPr>
            </w:pPr>
            <w:r>
              <w:rPr>
                <w:b/>
                <w:color w:val="auto"/>
                <w:kern w:val="21"/>
                <w:u w:val="single"/>
              </w:rPr>
              <w:t>4.32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过滤膜反冲洗废水</w:t>
            </w:r>
          </w:p>
        </w:tc>
        <w:tc>
          <w:tcPr>
            <w:tcW w:w="663" w:type="pct"/>
            <w:vAlign w:val="center"/>
          </w:tcPr>
          <w:p>
            <w:pPr>
              <w:adjustRightInd w:val="0"/>
              <w:snapToGrid w:val="0"/>
              <w:jc w:val="center"/>
              <w:rPr>
                <w:b/>
                <w:color w:val="auto"/>
                <w:kern w:val="21"/>
                <w:u w:val="single"/>
              </w:rPr>
            </w:pPr>
            <w:r>
              <w:rPr>
                <w:b/>
                <w:color w:val="auto"/>
                <w:kern w:val="21"/>
                <w:u w:val="single"/>
              </w:rPr>
              <w:t>0.3</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restart"/>
            <w:vAlign w:val="center"/>
          </w:tcPr>
          <w:p>
            <w:pPr>
              <w:adjustRightInd w:val="0"/>
              <w:snapToGrid w:val="0"/>
              <w:jc w:val="center"/>
              <w:rPr>
                <w:b/>
                <w:color w:val="auto"/>
                <w:kern w:val="21"/>
                <w:u w:val="single"/>
              </w:rPr>
            </w:pPr>
            <w:r>
              <w:rPr>
                <w:b/>
                <w:color w:val="auto"/>
                <w:kern w:val="21"/>
                <w:u w:val="single"/>
              </w:rPr>
              <w:t>含铬废水</w:t>
            </w:r>
          </w:p>
        </w:tc>
        <w:tc>
          <w:tcPr>
            <w:tcW w:w="758" w:type="pct"/>
            <w:gridSpan w:val="2"/>
            <w:vAlign w:val="center"/>
          </w:tcPr>
          <w:p>
            <w:pPr>
              <w:adjustRightInd w:val="0"/>
              <w:snapToGrid w:val="0"/>
              <w:jc w:val="center"/>
              <w:rPr>
                <w:b/>
                <w:color w:val="auto"/>
                <w:kern w:val="21"/>
                <w:u w:val="single"/>
              </w:rPr>
            </w:pPr>
            <w:r>
              <w:rPr>
                <w:b/>
                <w:color w:val="auto"/>
                <w:kern w:val="21"/>
                <w:u w:val="single"/>
              </w:rPr>
              <w:t>中和槽液</w:t>
            </w:r>
          </w:p>
        </w:tc>
        <w:tc>
          <w:tcPr>
            <w:tcW w:w="663" w:type="pct"/>
            <w:vAlign w:val="center"/>
          </w:tcPr>
          <w:p>
            <w:pPr>
              <w:adjustRightInd w:val="0"/>
              <w:snapToGrid w:val="0"/>
              <w:jc w:val="center"/>
              <w:rPr>
                <w:b/>
                <w:color w:val="auto"/>
                <w:kern w:val="21"/>
                <w:u w:val="single"/>
              </w:rPr>
            </w:pPr>
            <w:r>
              <w:rPr>
                <w:b/>
                <w:color w:val="auto"/>
                <w:kern w:val="21"/>
                <w:u w:val="single"/>
              </w:rPr>
              <w:t>2.2734</w:t>
            </w:r>
          </w:p>
        </w:tc>
        <w:tc>
          <w:tcPr>
            <w:tcW w:w="594" w:type="pct"/>
            <w:vMerge w:val="restart"/>
            <w:vAlign w:val="center"/>
          </w:tcPr>
          <w:p>
            <w:pPr>
              <w:adjustRightInd w:val="0"/>
              <w:snapToGrid w:val="0"/>
              <w:jc w:val="center"/>
              <w:rPr>
                <w:b/>
                <w:color w:val="auto"/>
                <w:kern w:val="21"/>
                <w:u w:val="single"/>
              </w:rPr>
            </w:pPr>
            <w:r>
              <w:rPr>
                <w:rFonts w:hint="eastAsia"/>
                <w:b/>
                <w:color w:val="auto"/>
                <w:kern w:val="21"/>
                <w:u w:val="single"/>
              </w:rPr>
              <w:t>50</w:t>
            </w:r>
          </w:p>
        </w:tc>
        <w:tc>
          <w:tcPr>
            <w:tcW w:w="586" w:type="pct"/>
            <w:vMerge w:val="restart"/>
            <w:vAlign w:val="center"/>
          </w:tcPr>
          <w:p>
            <w:pPr>
              <w:adjustRightInd w:val="0"/>
              <w:snapToGrid w:val="0"/>
              <w:jc w:val="center"/>
              <w:rPr>
                <w:b/>
                <w:color w:val="auto"/>
                <w:kern w:val="21"/>
                <w:u w:val="single"/>
              </w:rPr>
            </w:pPr>
            <w:r>
              <w:rPr>
                <w:rFonts w:hint="eastAsia"/>
                <w:b/>
                <w:color w:val="auto"/>
                <w:kern w:val="21"/>
                <w:u w:val="single"/>
              </w:rPr>
              <w:t>3</w:t>
            </w:r>
          </w:p>
        </w:tc>
        <w:tc>
          <w:tcPr>
            <w:tcW w:w="603" w:type="pct"/>
            <w:vMerge w:val="restart"/>
            <w:vAlign w:val="center"/>
          </w:tcPr>
          <w:p>
            <w:pPr>
              <w:adjustRightInd w:val="0"/>
              <w:snapToGrid w:val="0"/>
              <w:jc w:val="center"/>
              <w:rPr>
                <w:b/>
                <w:color w:val="auto"/>
                <w:kern w:val="21"/>
                <w:u w:val="single"/>
              </w:rPr>
            </w:pPr>
            <w:r>
              <w:rPr>
                <w:rFonts w:hint="eastAsia"/>
                <w:b/>
                <w:color w:val="auto"/>
                <w:kern w:val="21"/>
                <w:u w:val="single"/>
              </w:rPr>
              <w:t>200</w:t>
            </w:r>
          </w:p>
        </w:tc>
        <w:tc>
          <w:tcPr>
            <w:tcW w:w="582" w:type="pct"/>
            <w:vMerge w:val="restart"/>
            <w:vAlign w:val="center"/>
          </w:tcPr>
          <w:p>
            <w:pPr>
              <w:adjustRightInd w:val="0"/>
              <w:snapToGrid w:val="0"/>
              <w:jc w:val="center"/>
              <w:rPr>
                <w:b/>
                <w:color w:val="auto"/>
                <w:kern w:val="21"/>
                <w:u w:val="single"/>
              </w:rPr>
            </w:pPr>
            <w:r>
              <w:rPr>
                <w:rFonts w:hint="eastAsia"/>
                <w:b/>
                <w:color w:val="auto"/>
                <w:kern w:val="21"/>
                <w:u w:val="single"/>
              </w:rPr>
              <w:t>/</w:t>
            </w:r>
          </w:p>
        </w:tc>
        <w:tc>
          <w:tcPr>
            <w:tcW w:w="727" w:type="pct"/>
            <w:vMerge w:val="restart"/>
            <w:vAlign w:val="center"/>
          </w:tcPr>
          <w:p>
            <w:pPr>
              <w:adjustRightInd w:val="0"/>
              <w:snapToGrid w:val="0"/>
              <w:jc w:val="center"/>
              <w:rPr>
                <w:b/>
                <w:color w:val="auto"/>
                <w:kern w:val="21"/>
                <w:u w:val="single"/>
              </w:rPr>
            </w:pPr>
            <w:r>
              <w:rPr>
                <w:rFonts w:hint="eastAsia"/>
                <w:b/>
                <w:color w:val="auto"/>
                <w:kern w:val="21"/>
                <w:u w:val="single"/>
              </w:rPr>
              <w:t>六价铬：200</w:t>
            </w:r>
          </w:p>
          <w:p>
            <w:pPr>
              <w:adjustRightInd w:val="0"/>
              <w:snapToGrid w:val="0"/>
              <w:jc w:val="center"/>
              <w:rPr>
                <w:b/>
                <w:color w:val="auto"/>
                <w:kern w:val="21"/>
                <w:u w:val="single"/>
              </w:rPr>
            </w:pPr>
            <w:r>
              <w:rPr>
                <w:rFonts w:hint="eastAsia"/>
                <w:b/>
                <w:color w:val="auto"/>
                <w:kern w:val="21"/>
                <w:u w:val="single"/>
              </w:rPr>
              <w:t>总铬：300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中和后水洗废水</w:t>
            </w:r>
          </w:p>
        </w:tc>
        <w:tc>
          <w:tcPr>
            <w:tcW w:w="663" w:type="pct"/>
            <w:vAlign w:val="center"/>
          </w:tcPr>
          <w:p>
            <w:pPr>
              <w:adjustRightInd w:val="0"/>
              <w:snapToGrid w:val="0"/>
              <w:jc w:val="center"/>
              <w:rPr>
                <w:b/>
                <w:color w:val="auto"/>
                <w:kern w:val="21"/>
                <w:u w:val="single"/>
              </w:rPr>
            </w:pPr>
            <w:r>
              <w:rPr>
                <w:b/>
                <w:color w:val="auto"/>
                <w:kern w:val="21"/>
                <w:u w:val="single"/>
              </w:rPr>
              <w:t>38.88</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钝化槽液</w:t>
            </w:r>
          </w:p>
        </w:tc>
        <w:tc>
          <w:tcPr>
            <w:tcW w:w="663" w:type="pct"/>
            <w:vAlign w:val="center"/>
          </w:tcPr>
          <w:p>
            <w:pPr>
              <w:adjustRightInd w:val="0"/>
              <w:snapToGrid w:val="0"/>
              <w:jc w:val="center"/>
              <w:rPr>
                <w:b/>
                <w:color w:val="auto"/>
                <w:kern w:val="21"/>
                <w:u w:val="single"/>
              </w:rPr>
            </w:pPr>
            <w:r>
              <w:rPr>
                <w:b/>
                <w:color w:val="auto"/>
                <w:kern w:val="21"/>
                <w:u w:val="single"/>
              </w:rPr>
              <w:t>4.3074</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钝化后水洗废水</w:t>
            </w:r>
          </w:p>
        </w:tc>
        <w:tc>
          <w:tcPr>
            <w:tcW w:w="663" w:type="pct"/>
            <w:vAlign w:val="center"/>
          </w:tcPr>
          <w:p>
            <w:pPr>
              <w:adjustRightInd w:val="0"/>
              <w:snapToGrid w:val="0"/>
              <w:jc w:val="center"/>
              <w:rPr>
                <w:b/>
                <w:color w:val="auto"/>
                <w:kern w:val="21"/>
                <w:u w:val="single"/>
              </w:rPr>
            </w:pPr>
            <w:r>
              <w:rPr>
                <w:b/>
                <w:color w:val="auto"/>
                <w:kern w:val="21"/>
                <w:u w:val="single"/>
              </w:rPr>
              <w:t>43.2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过滤膜反冲洗废水</w:t>
            </w:r>
          </w:p>
        </w:tc>
        <w:tc>
          <w:tcPr>
            <w:tcW w:w="663" w:type="pct"/>
            <w:vAlign w:val="center"/>
          </w:tcPr>
          <w:p>
            <w:pPr>
              <w:adjustRightInd w:val="0"/>
              <w:snapToGrid w:val="0"/>
              <w:jc w:val="center"/>
              <w:rPr>
                <w:b/>
                <w:color w:val="auto"/>
                <w:kern w:val="21"/>
                <w:u w:val="single"/>
              </w:rPr>
            </w:pPr>
            <w:r>
              <w:rPr>
                <w:b/>
                <w:color w:val="auto"/>
                <w:kern w:val="21"/>
                <w:u w:val="single"/>
              </w:rPr>
              <w:t>0.3</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封闭槽液</w:t>
            </w:r>
          </w:p>
        </w:tc>
        <w:tc>
          <w:tcPr>
            <w:tcW w:w="663" w:type="pct"/>
            <w:vAlign w:val="center"/>
          </w:tcPr>
          <w:p>
            <w:pPr>
              <w:adjustRightInd w:val="0"/>
              <w:snapToGrid w:val="0"/>
              <w:jc w:val="center"/>
              <w:rPr>
                <w:b/>
                <w:color w:val="auto"/>
                <w:kern w:val="21"/>
                <w:u w:val="single"/>
              </w:rPr>
            </w:pPr>
            <w:r>
              <w:rPr>
                <w:b/>
                <w:color w:val="auto"/>
                <w:kern w:val="21"/>
                <w:u w:val="single"/>
              </w:rPr>
              <w:t>2.8008</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封闭后水洗废水</w:t>
            </w:r>
          </w:p>
        </w:tc>
        <w:tc>
          <w:tcPr>
            <w:tcW w:w="663" w:type="pct"/>
            <w:vAlign w:val="center"/>
          </w:tcPr>
          <w:p>
            <w:pPr>
              <w:adjustRightInd w:val="0"/>
              <w:snapToGrid w:val="0"/>
              <w:jc w:val="center"/>
              <w:rPr>
                <w:b/>
                <w:color w:val="auto"/>
                <w:kern w:val="21"/>
                <w:u w:val="single"/>
              </w:rPr>
            </w:pPr>
            <w:r>
              <w:rPr>
                <w:b/>
                <w:color w:val="auto"/>
                <w:kern w:val="21"/>
                <w:u w:val="single"/>
              </w:rPr>
              <w:t>43.2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2" w:type="pct"/>
            <w:vMerge w:val="continue"/>
            <w:vAlign w:val="center"/>
          </w:tcPr>
          <w:p>
            <w:pPr>
              <w:adjustRightInd w:val="0"/>
              <w:snapToGrid w:val="0"/>
              <w:jc w:val="center"/>
              <w:rPr>
                <w:b/>
                <w:color w:val="auto"/>
                <w:kern w:val="21"/>
                <w:u w:val="single"/>
              </w:rPr>
            </w:pPr>
          </w:p>
        </w:tc>
        <w:tc>
          <w:tcPr>
            <w:tcW w:w="758" w:type="pct"/>
            <w:gridSpan w:val="2"/>
            <w:vAlign w:val="center"/>
          </w:tcPr>
          <w:p>
            <w:pPr>
              <w:adjustRightInd w:val="0"/>
              <w:snapToGrid w:val="0"/>
              <w:jc w:val="center"/>
              <w:rPr>
                <w:b/>
                <w:color w:val="auto"/>
                <w:kern w:val="21"/>
                <w:u w:val="single"/>
              </w:rPr>
            </w:pPr>
            <w:r>
              <w:rPr>
                <w:b/>
                <w:color w:val="auto"/>
                <w:kern w:val="21"/>
                <w:u w:val="single"/>
              </w:rPr>
              <w:t>酸雾塔</w:t>
            </w:r>
          </w:p>
        </w:tc>
        <w:tc>
          <w:tcPr>
            <w:tcW w:w="663" w:type="pct"/>
            <w:vAlign w:val="center"/>
          </w:tcPr>
          <w:p>
            <w:pPr>
              <w:adjustRightInd w:val="0"/>
              <w:snapToGrid w:val="0"/>
              <w:jc w:val="center"/>
              <w:rPr>
                <w:b/>
                <w:color w:val="auto"/>
                <w:kern w:val="21"/>
                <w:u w:val="single"/>
              </w:rPr>
            </w:pPr>
            <w:r>
              <w:rPr>
                <w:b/>
                <w:color w:val="auto"/>
                <w:kern w:val="21"/>
                <w:u w:val="single"/>
              </w:rPr>
              <w:t>1.2</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1" w:type="pct"/>
            <w:gridSpan w:val="3"/>
            <w:vAlign w:val="center"/>
          </w:tcPr>
          <w:p>
            <w:pPr>
              <w:adjustRightInd w:val="0"/>
              <w:snapToGrid w:val="0"/>
              <w:jc w:val="center"/>
              <w:rPr>
                <w:b/>
                <w:color w:val="auto"/>
                <w:kern w:val="21"/>
                <w:u w:val="single"/>
              </w:rPr>
            </w:pPr>
            <w:r>
              <w:rPr>
                <w:b/>
                <w:color w:val="auto"/>
                <w:kern w:val="21"/>
                <w:u w:val="single"/>
              </w:rPr>
              <w:t>地面废水</w:t>
            </w:r>
          </w:p>
        </w:tc>
        <w:tc>
          <w:tcPr>
            <w:tcW w:w="663" w:type="pct"/>
            <w:vAlign w:val="center"/>
          </w:tcPr>
          <w:p>
            <w:pPr>
              <w:adjustRightInd w:val="0"/>
              <w:snapToGrid w:val="0"/>
              <w:jc w:val="center"/>
              <w:rPr>
                <w:b/>
                <w:color w:val="auto"/>
                <w:kern w:val="21"/>
                <w:u w:val="single"/>
              </w:rPr>
            </w:pPr>
            <w:r>
              <w:rPr>
                <w:b/>
                <w:color w:val="auto"/>
                <w:kern w:val="21"/>
                <w:u w:val="single"/>
              </w:rPr>
              <w:t>0.99</w:t>
            </w:r>
          </w:p>
        </w:tc>
        <w:tc>
          <w:tcPr>
            <w:tcW w:w="594" w:type="pct"/>
            <w:vAlign w:val="center"/>
          </w:tcPr>
          <w:p>
            <w:pPr>
              <w:adjustRightInd w:val="0"/>
              <w:snapToGrid w:val="0"/>
              <w:jc w:val="center"/>
              <w:rPr>
                <w:b/>
                <w:color w:val="auto"/>
                <w:kern w:val="21"/>
                <w:u w:val="single"/>
              </w:rPr>
            </w:pPr>
            <w:r>
              <w:rPr>
                <w:rFonts w:hint="eastAsia"/>
                <w:b/>
                <w:color w:val="auto"/>
                <w:kern w:val="21"/>
                <w:u w:val="single"/>
              </w:rPr>
              <w:t>150</w:t>
            </w:r>
          </w:p>
        </w:tc>
        <w:tc>
          <w:tcPr>
            <w:tcW w:w="586" w:type="pct"/>
            <w:vAlign w:val="center"/>
          </w:tcPr>
          <w:p>
            <w:pPr>
              <w:adjustRightInd w:val="0"/>
              <w:snapToGrid w:val="0"/>
              <w:jc w:val="center"/>
              <w:rPr>
                <w:b/>
                <w:color w:val="auto"/>
                <w:kern w:val="21"/>
                <w:u w:val="single"/>
              </w:rPr>
            </w:pPr>
            <w:r>
              <w:rPr>
                <w:rFonts w:hint="eastAsia"/>
                <w:b/>
                <w:color w:val="auto"/>
                <w:kern w:val="21"/>
                <w:u w:val="single"/>
              </w:rPr>
              <w:t>10</w:t>
            </w:r>
          </w:p>
        </w:tc>
        <w:tc>
          <w:tcPr>
            <w:tcW w:w="603" w:type="pct"/>
            <w:vAlign w:val="center"/>
          </w:tcPr>
          <w:p>
            <w:pPr>
              <w:adjustRightInd w:val="0"/>
              <w:snapToGrid w:val="0"/>
              <w:jc w:val="center"/>
              <w:rPr>
                <w:b/>
                <w:color w:val="auto"/>
                <w:kern w:val="21"/>
                <w:u w:val="single"/>
              </w:rPr>
            </w:pPr>
            <w:r>
              <w:rPr>
                <w:rFonts w:hint="eastAsia"/>
                <w:b/>
                <w:color w:val="auto"/>
                <w:kern w:val="21"/>
                <w:u w:val="single"/>
              </w:rPr>
              <w:t>200</w:t>
            </w:r>
          </w:p>
        </w:tc>
        <w:tc>
          <w:tcPr>
            <w:tcW w:w="582" w:type="pct"/>
            <w:vAlign w:val="center"/>
          </w:tcPr>
          <w:p>
            <w:pPr>
              <w:adjustRightInd w:val="0"/>
              <w:snapToGrid w:val="0"/>
              <w:jc w:val="center"/>
              <w:rPr>
                <w:b/>
                <w:color w:val="auto"/>
                <w:kern w:val="21"/>
                <w:u w:val="single"/>
              </w:rPr>
            </w:pPr>
            <w:r>
              <w:rPr>
                <w:rFonts w:hint="eastAsia"/>
                <w:b/>
                <w:color w:val="auto"/>
                <w:kern w:val="21"/>
                <w:u w:val="single"/>
              </w:rPr>
              <w:t>/</w:t>
            </w:r>
          </w:p>
        </w:tc>
        <w:tc>
          <w:tcPr>
            <w:tcW w:w="727" w:type="pct"/>
            <w:vAlign w:val="center"/>
          </w:tcPr>
          <w:p>
            <w:pPr>
              <w:adjustRightInd w:val="0"/>
              <w:snapToGrid w:val="0"/>
              <w:jc w:val="center"/>
              <w:rPr>
                <w:b/>
                <w:color w:val="auto"/>
                <w:kern w:val="21"/>
                <w:u w:val="single"/>
              </w:rPr>
            </w:pPr>
            <w:r>
              <w:rPr>
                <w:b/>
                <w:color w:val="auto"/>
                <w:kern w:val="21"/>
                <w:u w:val="single"/>
              </w:rPr>
              <w:t>总镍：</w:t>
            </w:r>
            <w:r>
              <w:rPr>
                <w:rFonts w:hint="eastAsia"/>
                <w:b/>
                <w:color w:val="auto"/>
                <w:kern w:val="21"/>
                <w:u w:val="single"/>
              </w:rPr>
              <w:t>2.5</w:t>
            </w:r>
          </w:p>
          <w:p>
            <w:pPr>
              <w:adjustRightInd w:val="0"/>
              <w:snapToGrid w:val="0"/>
              <w:jc w:val="center"/>
              <w:rPr>
                <w:b/>
                <w:color w:val="auto"/>
                <w:kern w:val="21"/>
                <w:u w:val="single"/>
              </w:rPr>
            </w:pPr>
            <w:r>
              <w:rPr>
                <w:rFonts w:hint="eastAsia"/>
                <w:b/>
                <w:color w:val="auto"/>
                <w:kern w:val="21"/>
                <w:u w:val="single"/>
              </w:rPr>
              <w:t>总锌：1</w:t>
            </w:r>
          </w:p>
          <w:p>
            <w:pPr>
              <w:adjustRightInd w:val="0"/>
              <w:snapToGrid w:val="0"/>
              <w:jc w:val="center"/>
              <w:rPr>
                <w:b/>
                <w:color w:val="auto"/>
                <w:kern w:val="21"/>
                <w:u w:val="single"/>
              </w:rPr>
            </w:pPr>
            <w:r>
              <w:rPr>
                <w:rFonts w:hint="eastAsia"/>
                <w:b/>
                <w:color w:val="auto"/>
                <w:kern w:val="21"/>
                <w:u w:val="single"/>
              </w:rPr>
              <w:t>六价铬：5</w:t>
            </w:r>
          </w:p>
          <w:p>
            <w:pPr>
              <w:adjustRightInd w:val="0"/>
              <w:snapToGrid w:val="0"/>
              <w:jc w:val="center"/>
              <w:rPr>
                <w:b/>
                <w:color w:val="auto"/>
                <w:kern w:val="21"/>
                <w:u w:val="single"/>
              </w:rPr>
            </w:pPr>
            <w:r>
              <w:rPr>
                <w:rFonts w:hint="eastAsia"/>
                <w:b/>
                <w:color w:val="auto"/>
                <w:kern w:val="21"/>
                <w:u w:val="single"/>
              </w:rPr>
              <w:t>总铬：7.5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16" w:type="pct"/>
            <w:gridSpan w:val="2"/>
            <w:vMerge w:val="restart"/>
            <w:vAlign w:val="center"/>
          </w:tcPr>
          <w:p>
            <w:pPr>
              <w:adjustRightInd w:val="0"/>
              <w:snapToGrid w:val="0"/>
              <w:jc w:val="center"/>
              <w:rPr>
                <w:b/>
                <w:color w:val="auto"/>
                <w:kern w:val="21"/>
                <w:u w:val="single"/>
              </w:rPr>
            </w:pPr>
            <w:r>
              <w:rPr>
                <w:b/>
                <w:color w:val="auto"/>
                <w:kern w:val="21"/>
                <w:u w:val="single"/>
              </w:rPr>
              <w:t>纯水制备浓水</w:t>
            </w:r>
          </w:p>
        </w:tc>
        <w:tc>
          <w:tcPr>
            <w:tcW w:w="624" w:type="pct"/>
            <w:vAlign w:val="center"/>
          </w:tcPr>
          <w:p>
            <w:pPr>
              <w:adjustRightInd w:val="0"/>
              <w:snapToGrid w:val="0"/>
              <w:jc w:val="center"/>
              <w:rPr>
                <w:rFonts w:hint="eastAsia" w:eastAsia="宋体"/>
                <w:b/>
                <w:color w:val="auto"/>
                <w:kern w:val="21"/>
                <w:u w:val="single"/>
                <w:lang w:eastAsia="zh-CN"/>
              </w:rPr>
            </w:pPr>
            <w:r>
              <w:rPr>
                <w:rFonts w:hint="eastAsia"/>
                <w:b/>
                <w:color w:val="auto"/>
                <w:kern w:val="21"/>
                <w:u w:val="single"/>
                <w:lang w:eastAsia="zh-CN"/>
              </w:rPr>
              <w:t>冬季</w:t>
            </w:r>
          </w:p>
        </w:tc>
        <w:tc>
          <w:tcPr>
            <w:tcW w:w="663" w:type="pct"/>
            <w:vAlign w:val="center"/>
          </w:tcPr>
          <w:p>
            <w:pPr>
              <w:adjustRightInd w:val="0"/>
              <w:snapToGrid w:val="0"/>
              <w:jc w:val="center"/>
              <w:rPr>
                <w:b/>
                <w:color w:val="auto"/>
                <w:kern w:val="21"/>
                <w:u w:val="single"/>
              </w:rPr>
            </w:pPr>
            <w:r>
              <w:rPr>
                <w:rFonts w:hint="eastAsia"/>
                <w:b/>
                <w:color w:val="auto"/>
                <w:kern w:val="21"/>
                <w:u w:val="single"/>
              </w:rPr>
              <w:t>32.1803</w:t>
            </w:r>
          </w:p>
        </w:tc>
        <w:tc>
          <w:tcPr>
            <w:tcW w:w="594" w:type="pct"/>
            <w:vMerge w:val="restart"/>
            <w:vAlign w:val="center"/>
          </w:tcPr>
          <w:p>
            <w:pPr>
              <w:adjustRightInd w:val="0"/>
              <w:snapToGrid w:val="0"/>
              <w:jc w:val="center"/>
              <w:rPr>
                <w:b/>
                <w:color w:val="auto"/>
                <w:kern w:val="21"/>
                <w:u w:val="single"/>
              </w:rPr>
            </w:pPr>
            <w:r>
              <w:rPr>
                <w:rFonts w:hint="eastAsia"/>
                <w:b/>
                <w:color w:val="auto"/>
                <w:kern w:val="21"/>
                <w:u w:val="single"/>
              </w:rPr>
              <w:t>40</w:t>
            </w:r>
          </w:p>
        </w:tc>
        <w:tc>
          <w:tcPr>
            <w:tcW w:w="586" w:type="pct"/>
            <w:vMerge w:val="restart"/>
            <w:vAlign w:val="center"/>
          </w:tcPr>
          <w:p>
            <w:pPr>
              <w:adjustRightInd w:val="0"/>
              <w:snapToGrid w:val="0"/>
              <w:jc w:val="center"/>
              <w:rPr>
                <w:b/>
                <w:color w:val="auto"/>
                <w:kern w:val="21"/>
                <w:u w:val="single"/>
              </w:rPr>
            </w:pPr>
          </w:p>
        </w:tc>
        <w:tc>
          <w:tcPr>
            <w:tcW w:w="603" w:type="pct"/>
            <w:vMerge w:val="restart"/>
            <w:vAlign w:val="center"/>
          </w:tcPr>
          <w:p>
            <w:pPr>
              <w:adjustRightInd w:val="0"/>
              <w:snapToGrid w:val="0"/>
              <w:jc w:val="center"/>
              <w:rPr>
                <w:b/>
                <w:color w:val="auto"/>
                <w:kern w:val="21"/>
                <w:u w:val="single"/>
              </w:rPr>
            </w:pPr>
            <w:r>
              <w:rPr>
                <w:rFonts w:hint="eastAsia"/>
                <w:b/>
                <w:color w:val="auto"/>
                <w:kern w:val="21"/>
                <w:u w:val="single"/>
              </w:rPr>
              <w:t>50</w:t>
            </w:r>
          </w:p>
        </w:tc>
        <w:tc>
          <w:tcPr>
            <w:tcW w:w="582" w:type="pct"/>
            <w:vMerge w:val="restart"/>
            <w:vAlign w:val="center"/>
          </w:tcPr>
          <w:p>
            <w:pPr>
              <w:adjustRightInd w:val="0"/>
              <w:snapToGrid w:val="0"/>
              <w:jc w:val="center"/>
              <w:rPr>
                <w:b/>
                <w:color w:val="auto"/>
                <w:kern w:val="21"/>
                <w:u w:val="single"/>
              </w:rPr>
            </w:pPr>
          </w:p>
        </w:tc>
        <w:tc>
          <w:tcPr>
            <w:tcW w:w="727" w:type="pct"/>
            <w:vMerge w:val="restart"/>
            <w:vAlign w:val="center"/>
          </w:tcPr>
          <w:p>
            <w:pPr>
              <w:adjustRightInd w:val="0"/>
              <w:snapToGrid w:val="0"/>
              <w:jc w:val="center"/>
              <w:rPr>
                <w:b/>
                <w:color w:val="auto"/>
                <w:kern w:val="21"/>
                <w:u w:val="single"/>
              </w:rPr>
            </w:pPr>
            <w:r>
              <w:rPr>
                <w:rFonts w:hint="eastAsia"/>
                <w:b/>
                <w:color w:val="auto"/>
                <w:kern w:val="21"/>
                <w:u w:val="single"/>
              </w:rPr>
              <w:t>TP：1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16" w:type="pct"/>
            <w:gridSpan w:val="2"/>
            <w:vMerge w:val="continue"/>
            <w:vAlign w:val="center"/>
          </w:tcPr>
          <w:p>
            <w:pPr>
              <w:adjustRightInd w:val="0"/>
              <w:snapToGrid w:val="0"/>
              <w:jc w:val="center"/>
              <w:rPr>
                <w:b/>
                <w:color w:val="auto"/>
                <w:kern w:val="21"/>
                <w:u w:val="single"/>
              </w:rPr>
            </w:pPr>
          </w:p>
        </w:tc>
        <w:tc>
          <w:tcPr>
            <w:tcW w:w="624" w:type="pct"/>
            <w:vAlign w:val="center"/>
          </w:tcPr>
          <w:p>
            <w:pPr>
              <w:adjustRightInd w:val="0"/>
              <w:snapToGrid w:val="0"/>
              <w:jc w:val="center"/>
              <w:rPr>
                <w:rFonts w:hint="eastAsia" w:eastAsia="宋体"/>
                <w:b/>
                <w:color w:val="auto"/>
                <w:kern w:val="21"/>
                <w:u w:val="single"/>
                <w:lang w:eastAsia="zh-CN"/>
              </w:rPr>
            </w:pPr>
            <w:r>
              <w:rPr>
                <w:rFonts w:hint="eastAsia"/>
                <w:b/>
                <w:color w:val="auto"/>
                <w:kern w:val="21"/>
                <w:u w:val="single"/>
                <w:lang w:eastAsia="zh-CN"/>
              </w:rPr>
              <w:t>其他季节</w:t>
            </w:r>
          </w:p>
        </w:tc>
        <w:tc>
          <w:tcPr>
            <w:tcW w:w="663" w:type="pct"/>
            <w:vAlign w:val="center"/>
          </w:tcPr>
          <w:p>
            <w:pPr>
              <w:adjustRightInd w:val="0"/>
              <w:snapToGrid w:val="0"/>
              <w:jc w:val="center"/>
              <w:rPr>
                <w:rFonts w:hint="default" w:eastAsia="宋体"/>
                <w:b/>
                <w:color w:val="auto"/>
                <w:kern w:val="21"/>
                <w:u w:val="single"/>
                <w:lang w:val="en-US" w:eastAsia="zh-CN"/>
              </w:rPr>
            </w:pPr>
            <w:r>
              <w:rPr>
                <w:rFonts w:hint="eastAsia"/>
                <w:b/>
                <w:color w:val="auto"/>
                <w:kern w:val="21"/>
                <w:u w:val="single"/>
                <w:lang w:val="en-US" w:eastAsia="zh-CN"/>
              </w:rPr>
              <w:t>30.188</w:t>
            </w:r>
          </w:p>
        </w:tc>
        <w:tc>
          <w:tcPr>
            <w:tcW w:w="594" w:type="pct"/>
            <w:vMerge w:val="continue"/>
            <w:vAlign w:val="center"/>
          </w:tcPr>
          <w:p>
            <w:pPr>
              <w:adjustRightInd w:val="0"/>
              <w:snapToGrid w:val="0"/>
              <w:jc w:val="center"/>
              <w:rPr>
                <w:b/>
                <w:color w:val="auto"/>
                <w:kern w:val="21"/>
                <w:u w:val="single"/>
              </w:rPr>
            </w:pPr>
          </w:p>
        </w:tc>
        <w:tc>
          <w:tcPr>
            <w:tcW w:w="586" w:type="pct"/>
            <w:vMerge w:val="continue"/>
            <w:vAlign w:val="center"/>
          </w:tcPr>
          <w:p>
            <w:pPr>
              <w:adjustRightInd w:val="0"/>
              <w:snapToGrid w:val="0"/>
              <w:jc w:val="center"/>
              <w:rPr>
                <w:b/>
                <w:color w:val="auto"/>
                <w:kern w:val="21"/>
                <w:u w:val="single"/>
              </w:rPr>
            </w:pPr>
          </w:p>
        </w:tc>
        <w:tc>
          <w:tcPr>
            <w:tcW w:w="603" w:type="pct"/>
            <w:vMerge w:val="continue"/>
            <w:vAlign w:val="center"/>
          </w:tcPr>
          <w:p>
            <w:pPr>
              <w:adjustRightInd w:val="0"/>
              <w:snapToGrid w:val="0"/>
              <w:jc w:val="center"/>
              <w:rPr>
                <w:b/>
                <w:color w:val="auto"/>
                <w:kern w:val="21"/>
                <w:u w:val="single"/>
              </w:rPr>
            </w:pPr>
          </w:p>
        </w:tc>
        <w:tc>
          <w:tcPr>
            <w:tcW w:w="582" w:type="pct"/>
            <w:vMerge w:val="continue"/>
            <w:vAlign w:val="center"/>
          </w:tcPr>
          <w:p>
            <w:pPr>
              <w:adjustRightInd w:val="0"/>
              <w:snapToGrid w:val="0"/>
              <w:jc w:val="center"/>
              <w:rPr>
                <w:b/>
                <w:color w:val="auto"/>
                <w:kern w:val="21"/>
                <w:u w:val="single"/>
              </w:rPr>
            </w:pPr>
          </w:p>
        </w:tc>
        <w:tc>
          <w:tcPr>
            <w:tcW w:w="727" w:type="pct"/>
            <w:vMerge w:val="continue"/>
            <w:vAlign w:val="center"/>
          </w:tcPr>
          <w:p>
            <w:pPr>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16" w:type="pct"/>
            <w:gridSpan w:val="2"/>
            <w:vMerge w:val="restart"/>
            <w:vAlign w:val="center"/>
          </w:tcPr>
          <w:p>
            <w:pPr>
              <w:adjustRightInd w:val="0"/>
              <w:snapToGrid w:val="0"/>
              <w:jc w:val="center"/>
              <w:rPr>
                <w:rFonts w:hint="eastAsia" w:eastAsia="宋体"/>
                <w:b/>
                <w:color w:val="auto"/>
                <w:kern w:val="21"/>
                <w:u w:val="single"/>
                <w:lang w:eastAsia="zh-CN"/>
              </w:rPr>
            </w:pPr>
            <w:r>
              <w:rPr>
                <w:rFonts w:hint="eastAsia"/>
                <w:b/>
                <w:color w:val="auto"/>
                <w:kern w:val="21"/>
                <w:u w:val="single"/>
                <w:lang w:eastAsia="zh-CN"/>
              </w:rPr>
              <w:t>锅炉浓水</w:t>
            </w:r>
          </w:p>
        </w:tc>
        <w:tc>
          <w:tcPr>
            <w:tcW w:w="624" w:type="pct"/>
            <w:vAlign w:val="center"/>
          </w:tcPr>
          <w:p>
            <w:pPr>
              <w:adjustRightInd w:val="0"/>
              <w:snapToGrid w:val="0"/>
              <w:jc w:val="center"/>
              <w:rPr>
                <w:rFonts w:hint="eastAsia"/>
                <w:b/>
                <w:color w:val="auto"/>
                <w:kern w:val="21"/>
                <w:u w:val="single"/>
                <w:lang w:eastAsia="zh-CN"/>
              </w:rPr>
            </w:pPr>
            <w:r>
              <w:rPr>
                <w:rFonts w:hint="eastAsia"/>
                <w:b/>
                <w:color w:val="auto"/>
                <w:kern w:val="21"/>
                <w:u w:val="single"/>
                <w:lang w:eastAsia="zh-CN"/>
              </w:rPr>
              <w:t>冬季</w:t>
            </w:r>
          </w:p>
        </w:tc>
        <w:tc>
          <w:tcPr>
            <w:tcW w:w="663" w:type="pct"/>
            <w:vAlign w:val="center"/>
          </w:tcPr>
          <w:p>
            <w:pPr>
              <w:adjustRightInd w:val="0"/>
              <w:snapToGrid w:val="0"/>
              <w:jc w:val="center"/>
              <w:rPr>
                <w:b/>
                <w:color w:val="auto"/>
                <w:kern w:val="21"/>
                <w:u w:val="single"/>
              </w:rPr>
            </w:pPr>
            <w:r>
              <w:rPr>
                <w:rFonts w:hint="eastAsia"/>
                <w:b/>
                <w:color w:val="auto"/>
                <w:kern w:val="21"/>
                <w:u w:val="single"/>
              </w:rPr>
              <w:t>1.926</w:t>
            </w:r>
          </w:p>
        </w:tc>
        <w:tc>
          <w:tcPr>
            <w:tcW w:w="594" w:type="pct"/>
            <w:vMerge w:val="restart"/>
            <w:vAlign w:val="center"/>
          </w:tcPr>
          <w:p>
            <w:pPr>
              <w:adjustRightInd w:val="0"/>
              <w:snapToGrid w:val="0"/>
              <w:jc w:val="center"/>
              <w:rPr>
                <w:b/>
                <w:color w:val="auto"/>
                <w:kern w:val="21"/>
                <w:u w:val="single"/>
              </w:rPr>
            </w:pPr>
            <w:r>
              <w:rPr>
                <w:rFonts w:hint="eastAsia"/>
                <w:b/>
                <w:color w:val="auto"/>
                <w:kern w:val="21"/>
                <w:u w:val="single"/>
              </w:rPr>
              <w:t>70</w:t>
            </w:r>
          </w:p>
        </w:tc>
        <w:tc>
          <w:tcPr>
            <w:tcW w:w="586" w:type="pct"/>
            <w:vMerge w:val="restart"/>
            <w:vAlign w:val="center"/>
          </w:tcPr>
          <w:p>
            <w:pPr>
              <w:adjustRightInd w:val="0"/>
              <w:snapToGrid w:val="0"/>
              <w:jc w:val="center"/>
              <w:rPr>
                <w:b/>
                <w:color w:val="auto"/>
                <w:kern w:val="21"/>
                <w:u w:val="single"/>
              </w:rPr>
            </w:pPr>
          </w:p>
        </w:tc>
        <w:tc>
          <w:tcPr>
            <w:tcW w:w="603" w:type="pct"/>
            <w:vMerge w:val="restart"/>
            <w:vAlign w:val="center"/>
          </w:tcPr>
          <w:p>
            <w:pPr>
              <w:adjustRightInd w:val="0"/>
              <w:snapToGrid w:val="0"/>
              <w:jc w:val="center"/>
              <w:rPr>
                <w:b/>
                <w:color w:val="auto"/>
                <w:kern w:val="21"/>
                <w:u w:val="single"/>
              </w:rPr>
            </w:pPr>
            <w:r>
              <w:rPr>
                <w:rFonts w:hint="eastAsia"/>
                <w:b/>
                <w:color w:val="auto"/>
                <w:kern w:val="21"/>
                <w:u w:val="single"/>
              </w:rPr>
              <w:t>50</w:t>
            </w:r>
          </w:p>
        </w:tc>
        <w:tc>
          <w:tcPr>
            <w:tcW w:w="582" w:type="pct"/>
            <w:vMerge w:val="restart"/>
            <w:vAlign w:val="center"/>
          </w:tcPr>
          <w:p>
            <w:pPr>
              <w:adjustRightInd w:val="0"/>
              <w:snapToGrid w:val="0"/>
              <w:jc w:val="center"/>
              <w:rPr>
                <w:b/>
                <w:color w:val="auto"/>
                <w:kern w:val="21"/>
                <w:u w:val="single"/>
              </w:rPr>
            </w:pPr>
          </w:p>
        </w:tc>
        <w:tc>
          <w:tcPr>
            <w:tcW w:w="727" w:type="pct"/>
            <w:vMerge w:val="restart"/>
            <w:vAlign w:val="center"/>
          </w:tcPr>
          <w:p>
            <w:pPr>
              <w:adjustRightInd w:val="0"/>
              <w:snapToGrid w:val="0"/>
              <w:jc w:val="center"/>
              <w:rPr>
                <w:b/>
                <w:color w:val="auto"/>
                <w:kern w:val="21"/>
                <w:u w:val="single"/>
              </w:rPr>
            </w:pPr>
            <w:r>
              <w:rPr>
                <w:rFonts w:hint="eastAsia"/>
                <w:b/>
                <w:color w:val="auto"/>
                <w:kern w:val="21"/>
                <w:u w:val="single"/>
              </w:rPr>
              <w:t>TP：2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616" w:type="pct"/>
            <w:gridSpan w:val="2"/>
            <w:vMerge w:val="continue"/>
            <w:vAlign w:val="center"/>
          </w:tcPr>
          <w:p>
            <w:pPr>
              <w:adjustRightInd w:val="0"/>
              <w:snapToGrid w:val="0"/>
              <w:jc w:val="center"/>
              <w:rPr>
                <w:rFonts w:hint="eastAsia"/>
                <w:b/>
                <w:color w:val="auto"/>
                <w:kern w:val="21"/>
                <w:u w:val="single"/>
                <w:lang w:eastAsia="zh-CN"/>
              </w:rPr>
            </w:pPr>
          </w:p>
        </w:tc>
        <w:tc>
          <w:tcPr>
            <w:tcW w:w="624" w:type="pct"/>
            <w:vAlign w:val="center"/>
          </w:tcPr>
          <w:p>
            <w:pPr>
              <w:adjustRightInd w:val="0"/>
              <w:snapToGrid w:val="0"/>
              <w:jc w:val="center"/>
              <w:rPr>
                <w:rFonts w:hint="eastAsia"/>
                <w:b/>
                <w:color w:val="auto"/>
                <w:kern w:val="21"/>
                <w:u w:val="single"/>
                <w:lang w:eastAsia="zh-CN"/>
              </w:rPr>
            </w:pPr>
            <w:r>
              <w:rPr>
                <w:rFonts w:hint="eastAsia"/>
                <w:b/>
                <w:color w:val="auto"/>
                <w:kern w:val="21"/>
                <w:u w:val="single"/>
                <w:lang w:eastAsia="zh-CN"/>
              </w:rPr>
              <w:t>其他季节</w:t>
            </w:r>
          </w:p>
        </w:tc>
        <w:tc>
          <w:tcPr>
            <w:tcW w:w="663" w:type="pct"/>
            <w:vAlign w:val="center"/>
          </w:tcPr>
          <w:p>
            <w:pPr>
              <w:adjustRightInd w:val="0"/>
              <w:snapToGrid w:val="0"/>
              <w:jc w:val="center"/>
              <w:rPr>
                <w:rFonts w:hint="default"/>
                <w:b/>
                <w:color w:val="auto"/>
                <w:kern w:val="21"/>
                <w:u w:val="single"/>
                <w:lang w:val="en-US" w:eastAsia="zh-CN"/>
              </w:rPr>
            </w:pPr>
            <w:r>
              <w:rPr>
                <w:rFonts w:hint="eastAsia"/>
                <w:b/>
                <w:color w:val="auto"/>
                <w:kern w:val="21"/>
                <w:u w:val="single"/>
                <w:lang w:val="en-US" w:eastAsia="zh-CN"/>
              </w:rPr>
              <w:t>1.184</w:t>
            </w:r>
          </w:p>
        </w:tc>
        <w:tc>
          <w:tcPr>
            <w:tcW w:w="594" w:type="pct"/>
            <w:vMerge w:val="continue"/>
            <w:vAlign w:val="center"/>
          </w:tcPr>
          <w:p>
            <w:pPr>
              <w:adjustRightInd w:val="0"/>
              <w:snapToGrid w:val="0"/>
              <w:jc w:val="center"/>
              <w:rPr>
                <w:rFonts w:hint="eastAsia"/>
                <w:b/>
                <w:color w:val="auto"/>
                <w:kern w:val="21"/>
                <w:u w:val="single"/>
                <w:lang w:eastAsia="zh-CN"/>
              </w:rPr>
            </w:pPr>
          </w:p>
        </w:tc>
        <w:tc>
          <w:tcPr>
            <w:tcW w:w="586" w:type="pct"/>
            <w:vMerge w:val="continue"/>
            <w:vAlign w:val="center"/>
          </w:tcPr>
          <w:p>
            <w:pPr>
              <w:adjustRightInd w:val="0"/>
              <w:snapToGrid w:val="0"/>
              <w:jc w:val="center"/>
              <w:rPr>
                <w:rFonts w:hint="eastAsia"/>
                <w:b/>
                <w:color w:val="auto"/>
                <w:kern w:val="21"/>
                <w:u w:val="single"/>
                <w:lang w:eastAsia="zh-CN"/>
              </w:rPr>
            </w:pPr>
          </w:p>
        </w:tc>
        <w:tc>
          <w:tcPr>
            <w:tcW w:w="603" w:type="pct"/>
            <w:vMerge w:val="continue"/>
            <w:vAlign w:val="center"/>
          </w:tcPr>
          <w:p>
            <w:pPr>
              <w:adjustRightInd w:val="0"/>
              <w:snapToGrid w:val="0"/>
              <w:jc w:val="center"/>
              <w:rPr>
                <w:rFonts w:hint="eastAsia"/>
                <w:b/>
                <w:color w:val="auto"/>
                <w:kern w:val="21"/>
                <w:u w:val="single"/>
                <w:lang w:eastAsia="zh-CN"/>
              </w:rPr>
            </w:pPr>
          </w:p>
        </w:tc>
        <w:tc>
          <w:tcPr>
            <w:tcW w:w="582" w:type="pct"/>
            <w:vMerge w:val="continue"/>
            <w:vAlign w:val="center"/>
          </w:tcPr>
          <w:p>
            <w:pPr>
              <w:adjustRightInd w:val="0"/>
              <w:snapToGrid w:val="0"/>
              <w:jc w:val="center"/>
              <w:rPr>
                <w:rFonts w:hint="eastAsia"/>
                <w:b/>
                <w:color w:val="auto"/>
                <w:kern w:val="21"/>
                <w:u w:val="single"/>
                <w:lang w:eastAsia="zh-CN"/>
              </w:rPr>
            </w:pPr>
          </w:p>
        </w:tc>
        <w:tc>
          <w:tcPr>
            <w:tcW w:w="727" w:type="pct"/>
            <w:vMerge w:val="continue"/>
            <w:vAlign w:val="center"/>
          </w:tcPr>
          <w:p>
            <w:pPr>
              <w:adjustRightInd w:val="0"/>
              <w:snapToGrid w:val="0"/>
              <w:jc w:val="center"/>
              <w:rPr>
                <w:rFonts w:hint="eastAsia"/>
                <w:b/>
                <w:color w:val="auto"/>
                <w:kern w:val="21"/>
                <w:u w:val="singl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1" w:type="pct"/>
            <w:gridSpan w:val="3"/>
            <w:vAlign w:val="center"/>
          </w:tcPr>
          <w:p>
            <w:pPr>
              <w:adjustRightInd w:val="0"/>
              <w:snapToGrid w:val="0"/>
              <w:jc w:val="center"/>
              <w:rPr>
                <w:b/>
                <w:color w:val="auto"/>
                <w:kern w:val="21"/>
                <w:u w:val="single"/>
              </w:rPr>
            </w:pPr>
            <w:r>
              <w:rPr>
                <w:b/>
                <w:color w:val="auto"/>
                <w:kern w:val="21"/>
                <w:u w:val="single"/>
              </w:rPr>
              <w:t>生活污水</w:t>
            </w:r>
          </w:p>
        </w:tc>
        <w:tc>
          <w:tcPr>
            <w:tcW w:w="663" w:type="pct"/>
            <w:vAlign w:val="center"/>
          </w:tcPr>
          <w:p>
            <w:pPr>
              <w:adjustRightInd w:val="0"/>
              <w:snapToGrid w:val="0"/>
              <w:jc w:val="center"/>
              <w:rPr>
                <w:b/>
                <w:color w:val="auto"/>
                <w:kern w:val="21"/>
                <w:u w:val="single"/>
              </w:rPr>
            </w:pPr>
            <w:r>
              <w:rPr>
                <w:rFonts w:hint="eastAsia"/>
                <w:b/>
                <w:color w:val="auto"/>
                <w:kern w:val="21"/>
                <w:u w:val="single"/>
              </w:rPr>
              <w:t>5.4</w:t>
            </w:r>
          </w:p>
        </w:tc>
        <w:tc>
          <w:tcPr>
            <w:tcW w:w="594" w:type="pct"/>
            <w:vAlign w:val="center"/>
          </w:tcPr>
          <w:p>
            <w:pPr>
              <w:adjustRightInd w:val="0"/>
              <w:snapToGrid w:val="0"/>
              <w:jc w:val="center"/>
              <w:rPr>
                <w:rFonts w:hint="default" w:eastAsia="宋体"/>
                <w:b/>
                <w:color w:val="auto"/>
                <w:kern w:val="21"/>
                <w:u w:val="single"/>
                <w:lang w:val="en-US" w:eastAsia="zh-CN"/>
              </w:rPr>
            </w:pPr>
            <w:r>
              <w:rPr>
                <w:rFonts w:hint="eastAsia"/>
                <w:b/>
                <w:color w:val="auto"/>
                <w:kern w:val="21"/>
                <w:u w:val="single"/>
                <w:lang w:val="en-US" w:eastAsia="zh-CN"/>
              </w:rPr>
              <w:t>300</w:t>
            </w:r>
          </w:p>
        </w:tc>
        <w:tc>
          <w:tcPr>
            <w:tcW w:w="586" w:type="pct"/>
            <w:vAlign w:val="center"/>
          </w:tcPr>
          <w:p>
            <w:pPr>
              <w:adjustRightInd w:val="0"/>
              <w:snapToGrid w:val="0"/>
              <w:jc w:val="center"/>
              <w:rPr>
                <w:b/>
                <w:color w:val="auto"/>
                <w:kern w:val="21"/>
                <w:u w:val="single"/>
              </w:rPr>
            </w:pPr>
            <w:r>
              <w:rPr>
                <w:rFonts w:hint="eastAsia"/>
                <w:b/>
                <w:color w:val="auto"/>
                <w:kern w:val="21"/>
                <w:u w:val="single"/>
              </w:rPr>
              <w:t>25</w:t>
            </w:r>
          </w:p>
        </w:tc>
        <w:tc>
          <w:tcPr>
            <w:tcW w:w="603" w:type="pct"/>
            <w:vAlign w:val="center"/>
          </w:tcPr>
          <w:p>
            <w:pPr>
              <w:adjustRightInd w:val="0"/>
              <w:snapToGrid w:val="0"/>
              <w:jc w:val="center"/>
              <w:rPr>
                <w:rFonts w:hint="default" w:eastAsia="宋体"/>
                <w:b/>
                <w:color w:val="auto"/>
                <w:kern w:val="21"/>
                <w:u w:val="single"/>
                <w:lang w:val="en-US" w:eastAsia="zh-CN"/>
              </w:rPr>
            </w:pPr>
            <w:r>
              <w:rPr>
                <w:rFonts w:hint="eastAsia"/>
                <w:b/>
                <w:color w:val="auto"/>
                <w:kern w:val="21"/>
                <w:u w:val="single"/>
                <w:lang w:val="en-US" w:eastAsia="zh-CN"/>
              </w:rPr>
              <w:t>220</w:t>
            </w:r>
          </w:p>
        </w:tc>
        <w:tc>
          <w:tcPr>
            <w:tcW w:w="582" w:type="pct"/>
            <w:vAlign w:val="center"/>
          </w:tcPr>
          <w:p>
            <w:pPr>
              <w:adjustRightInd w:val="0"/>
              <w:snapToGrid w:val="0"/>
              <w:jc w:val="center"/>
              <w:rPr>
                <w:b/>
                <w:color w:val="auto"/>
                <w:kern w:val="21"/>
                <w:u w:val="single"/>
              </w:rPr>
            </w:pPr>
            <w:r>
              <w:rPr>
                <w:rFonts w:hint="eastAsia"/>
                <w:b/>
                <w:color w:val="auto"/>
                <w:kern w:val="21"/>
                <w:u w:val="single"/>
              </w:rPr>
              <w:t>/</w:t>
            </w:r>
          </w:p>
        </w:tc>
        <w:tc>
          <w:tcPr>
            <w:tcW w:w="727" w:type="pct"/>
            <w:vAlign w:val="center"/>
          </w:tcPr>
          <w:p>
            <w:pPr>
              <w:adjustRightInd w:val="0"/>
              <w:snapToGrid w:val="0"/>
              <w:jc w:val="center"/>
              <w:rPr>
                <w:b/>
                <w:color w:val="auto"/>
                <w:kern w:val="21"/>
                <w:u w:val="single"/>
              </w:rPr>
            </w:pPr>
            <w:r>
              <w:rPr>
                <w:rFonts w:hint="eastAsia"/>
                <w:b/>
                <w:color w:val="auto"/>
                <w:kern w:val="21"/>
                <w:u w:val="single"/>
              </w:rPr>
              <w:t>TP：2.5</w:t>
            </w:r>
          </w:p>
          <w:p>
            <w:pPr>
              <w:pStyle w:val="43"/>
              <w:jc w:val="center"/>
              <w:rPr>
                <w:rFonts w:ascii="Times New Roman" w:hAnsi="Times New Roman"/>
                <w:b/>
                <w:color w:val="auto"/>
                <w:kern w:val="21"/>
                <w:szCs w:val="21"/>
                <w:u w:val="single"/>
              </w:rPr>
            </w:pPr>
            <w:r>
              <w:rPr>
                <w:rFonts w:hint="eastAsia" w:ascii="Times New Roman" w:hAnsi="Times New Roman"/>
                <w:b/>
                <w:color w:val="auto"/>
                <w:kern w:val="21"/>
                <w:szCs w:val="21"/>
                <w:u w:val="single"/>
              </w:rPr>
              <w:t>TN：40</w:t>
            </w:r>
          </w:p>
        </w:tc>
      </w:tr>
    </w:tbl>
    <w:p>
      <w:pPr>
        <w:pStyle w:val="32"/>
        <w:adjustRightInd w:val="0"/>
        <w:snapToGrid w:val="0"/>
        <w:spacing w:after="0" w:line="360" w:lineRule="auto"/>
        <w:ind w:firstLine="480" w:firstLineChars="200"/>
        <w:rPr>
          <w:color w:val="auto"/>
          <w:kern w:val="21"/>
          <w:sz w:val="24"/>
        </w:rPr>
      </w:pPr>
    </w:p>
    <w:p>
      <w:pPr>
        <w:pStyle w:val="32"/>
        <w:adjustRightInd w:val="0"/>
        <w:snapToGrid w:val="0"/>
        <w:spacing w:after="0" w:line="360" w:lineRule="auto"/>
        <w:ind w:firstLine="480" w:firstLineChars="200"/>
        <w:rPr>
          <w:color w:val="auto"/>
          <w:kern w:val="21"/>
          <w:sz w:val="24"/>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u w:val="single"/>
          <w:lang w:val="en-US"/>
        </w:rPr>
        <w:sectPr>
          <w:pgSz w:w="11907" w:h="16840"/>
          <w:pgMar w:top="1440" w:right="1800" w:bottom="1440" w:left="1800" w:header="1134" w:footer="1029" w:gutter="0"/>
          <w:cols w:space="720" w:num="1"/>
          <w:docGrid w:linePitch="286" w:charSpace="0"/>
        </w:sectPr>
      </w:pPr>
    </w:p>
    <w:p>
      <w:pPr>
        <w:pStyle w:val="6"/>
        <w:spacing w:before="0" w:after="0" w:line="360" w:lineRule="auto"/>
        <w:rPr>
          <w:b w:val="0"/>
          <w:color w:val="auto"/>
          <w:sz w:val="24"/>
          <w:szCs w:val="24"/>
        </w:rPr>
      </w:pPr>
      <w:r>
        <w:rPr>
          <w:rFonts w:hint="eastAsia"/>
          <w:b w:val="0"/>
          <w:color w:val="auto"/>
          <w:sz w:val="24"/>
          <w:szCs w:val="24"/>
        </w:rPr>
        <w:t>3.4.2.3废水处理措施及排放情况</w:t>
      </w:r>
    </w:p>
    <w:p>
      <w:pPr>
        <w:pStyle w:val="32"/>
        <w:adjustRightInd w:val="0"/>
        <w:snapToGrid w:val="0"/>
        <w:spacing w:after="0" w:line="360" w:lineRule="auto"/>
        <w:ind w:firstLine="482" w:firstLineChars="200"/>
        <w:rPr>
          <w:rFonts w:ascii="宋体" w:hAnsi="宋体"/>
          <w:b/>
          <w:color w:val="auto"/>
          <w:sz w:val="24"/>
          <w:u w:val="single"/>
        </w:rPr>
      </w:pPr>
      <w:r>
        <w:rPr>
          <w:rFonts w:hint="eastAsia" w:ascii="宋体" w:hAnsi="宋体"/>
          <w:b/>
          <w:color w:val="auto"/>
          <w:sz w:val="24"/>
          <w:u w:val="single"/>
        </w:rPr>
        <w:t>1、处理目标</w:t>
      </w:r>
    </w:p>
    <w:p>
      <w:pPr>
        <w:spacing w:line="360" w:lineRule="auto"/>
        <w:ind w:firstLine="482" w:firstLineChars="200"/>
        <w:rPr>
          <w:b/>
          <w:color w:val="auto"/>
          <w:kern w:val="21"/>
          <w:sz w:val="24"/>
          <w:u w:val="single"/>
        </w:rPr>
      </w:pPr>
      <w:r>
        <w:rPr>
          <w:rFonts w:hint="eastAsia"/>
          <w:b/>
          <w:color w:val="auto"/>
          <w:kern w:val="21"/>
          <w:sz w:val="24"/>
          <w:u w:val="single"/>
        </w:rPr>
        <w:t xml:space="preserve">含所有生产线废水（包含地面清洗废水）经处理后全部回用于生产线，不外排，污染物最终通过污泥及结晶盐形式委外处理，实现含重金属废水零排放。浓水及生活污水排入获嘉县同盟污水处理厂。工艺设计要求生产工艺回用水水质指标如下表： </w:t>
      </w:r>
    </w:p>
    <w:p>
      <w:pPr>
        <w:pStyle w:val="32"/>
        <w:adjustRightInd w:val="0"/>
        <w:snapToGrid w:val="0"/>
        <w:spacing w:after="0"/>
        <w:jc w:val="center"/>
        <w:rPr>
          <w:rFonts w:ascii="宋体" w:hAnsi="宋体"/>
          <w:b/>
          <w:color w:val="auto"/>
          <w:sz w:val="24"/>
          <w:u w:val="single"/>
        </w:rPr>
      </w:pPr>
      <w:r>
        <w:rPr>
          <w:rFonts w:hint="eastAsia" w:eastAsia="黑体"/>
          <w:b/>
          <w:bCs/>
          <w:color w:val="auto"/>
          <w:kern w:val="21"/>
          <w:sz w:val="24"/>
          <w:u w:val="single"/>
          <w:lang w:val="en-US"/>
        </w:rPr>
        <w:t>表3.4-12  生产线回用水水质要求</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2"/>
        <w:gridCol w:w="4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792" w:type="dxa"/>
            <w:shd w:val="clear" w:color="auto" w:fill="auto"/>
            <w:vAlign w:val="center"/>
          </w:tcPr>
          <w:p>
            <w:pPr>
              <w:jc w:val="center"/>
              <w:rPr>
                <w:b/>
                <w:bCs/>
                <w:color w:val="auto"/>
                <w:kern w:val="21"/>
                <w:u w:val="single"/>
              </w:rPr>
            </w:pPr>
            <w:r>
              <w:rPr>
                <w:rFonts w:hint="eastAsia"/>
                <w:b/>
                <w:bCs/>
                <w:color w:val="auto"/>
                <w:kern w:val="21"/>
                <w:u w:val="single"/>
              </w:rPr>
              <w:t>项目指标</w:t>
            </w:r>
          </w:p>
        </w:tc>
        <w:tc>
          <w:tcPr>
            <w:tcW w:w="4731" w:type="dxa"/>
            <w:shd w:val="clear" w:color="auto" w:fill="auto"/>
            <w:vAlign w:val="center"/>
          </w:tcPr>
          <w:p>
            <w:pPr>
              <w:jc w:val="center"/>
              <w:rPr>
                <w:b/>
                <w:bCs/>
                <w:color w:val="auto"/>
                <w:kern w:val="21"/>
                <w:u w:val="single"/>
              </w:rPr>
            </w:pPr>
            <w:r>
              <w:rPr>
                <w:rFonts w:hint="eastAsia"/>
                <w:b/>
                <w:bCs/>
                <w:color w:val="auto"/>
                <w:kern w:val="21"/>
                <w:u w:val="single"/>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3792" w:type="dxa"/>
            <w:shd w:val="clear" w:color="auto" w:fill="auto"/>
            <w:vAlign w:val="center"/>
          </w:tcPr>
          <w:p>
            <w:pPr>
              <w:jc w:val="center"/>
              <w:rPr>
                <w:b/>
                <w:color w:val="auto"/>
                <w:kern w:val="21"/>
                <w:u w:val="single"/>
              </w:rPr>
            </w:pPr>
            <w:r>
              <w:rPr>
                <w:rFonts w:hint="eastAsia"/>
                <w:b/>
                <w:color w:val="auto"/>
                <w:kern w:val="21"/>
                <w:u w:val="single"/>
              </w:rPr>
              <w:t>pH</w:t>
            </w:r>
          </w:p>
        </w:tc>
        <w:tc>
          <w:tcPr>
            <w:tcW w:w="4731" w:type="dxa"/>
            <w:shd w:val="clear" w:color="auto" w:fill="auto"/>
            <w:vAlign w:val="center"/>
          </w:tcPr>
          <w:p>
            <w:pPr>
              <w:jc w:val="center"/>
              <w:rPr>
                <w:b/>
                <w:color w:val="auto"/>
                <w:kern w:val="21"/>
                <w:u w:val="single"/>
              </w:rPr>
            </w:pPr>
            <w:r>
              <w:rPr>
                <w:rFonts w:hint="eastAsia"/>
                <w:b/>
                <w:color w:val="auto"/>
                <w:kern w:val="21"/>
                <w:u w:val="single"/>
              </w:rPr>
              <w:t>5.5-8.5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792" w:type="dxa"/>
            <w:shd w:val="clear" w:color="auto" w:fill="auto"/>
            <w:vAlign w:val="center"/>
          </w:tcPr>
          <w:p>
            <w:pPr>
              <w:jc w:val="center"/>
              <w:rPr>
                <w:b/>
                <w:color w:val="auto"/>
                <w:kern w:val="21"/>
                <w:u w:val="single"/>
              </w:rPr>
            </w:pPr>
            <w:r>
              <w:rPr>
                <w:rFonts w:hint="eastAsia"/>
                <w:b/>
                <w:color w:val="auto"/>
                <w:kern w:val="21"/>
                <w:u w:val="single"/>
              </w:rPr>
              <w:t>电导率25℃</w:t>
            </w:r>
          </w:p>
        </w:tc>
        <w:tc>
          <w:tcPr>
            <w:tcW w:w="4731" w:type="dxa"/>
            <w:shd w:val="clear" w:color="auto" w:fill="auto"/>
            <w:vAlign w:val="center"/>
          </w:tcPr>
          <w:p>
            <w:pPr>
              <w:jc w:val="center"/>
              <w:rPr>
                <w:b/>
                <w:color w:val="auto"/>
                <w:kern w:val="21"/>
                <w:u w:val="single"/>
              </w:rPr>
            </w:pPr>
            <w:r>
              <w:rPr>
                <w:rFonts w:hint="eastAsia"/>
                <w:b/>
                <w:color w:val="auto"/>
                <w:kern w:val="21"/>
                <w:u w:val="single"/>
              </w:rPr>
              <w:t>≤20us/cm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792" w:type="dxa"/>
            <w:shd w:val="clear" w:color="auto" w:fill="auto"/>
            <w:vAlign w:val="center"/>
          </w:tcPr>
          <w:p>
            <w:pPr>
              <w:jc w:val="center"/>
              <w:rPr>
                <w:b/>
                <w:color w:val="auto"/>
                <w:kern w:val="21"/>
                <w:u w:val="single"/>
              </w:rPr>
            </w:pPr>
            <w:r>
              <w:rPr>
                <w:rFonts w:hint="eastAsia"/>
                <w:b/>
                <w:color w:val="auto"/>
                <w:kern w:val="21"/>
                <w:u w:val="single"/>
              </w:rPr>
              <w:t>总溶解性固体（TDS）</w:t>
            </w:r>
          </w:p>
        </w:tc>
        <w:tc>
          <w:tcPr>
            <w:tcW w:w="4731" w:type="dxa"/>
            <w:shd w:val="clear" w:color="auto" w:fill="auto"/>
            <w:vAlign w:val="center"/>
          </w:tcPr>
          <w:p>
            <w:pPr>
              <w:jc w:val="center"/>
              <w:rPr>
                <w:b/>
                <w:color w:val="auto"/>
                <w:kern w:val="21"/>
                <w:u w:val="single"/>
              </w:rPr>
            </w:pPr>
            <w:r>
              <w:rPr>
                <w:rFonts w:hint="eastAsia"/>
                <w:b/>
                <w:color w:val="auto"/>
                <w:kern w:val="21"/>
                <w:u w:val="single"/>
              </w:rPr>
              <w:t>≤15mg/L</w:t>
            </w:r>
          </w:p>
        </w:tc>
      </w:tr>
    </w:tbl>
    <w:p>
      <w:pPr>
        <w:pStyle w:val="32"/>
        <w:keepNext w:val="0"/>
        <w:keepLines w:val="0"/>
        <w:pageBreakBefore w:val="0"/>
        <w:widowControl/>
        <w:kinsoku/>
        <w:wordWrap/>
        <w:overflowPunct/>
        <w:topLinePunct w:val="0"/>
        <w:autoSpaceDE/>
        <w:autoSpaceDN/>
        <w:bidi w:val="0"/>
        <w:adjustRightInd w:val="0"/>
        <w:snapToGrid w:val="0"/>
        <w:spacing w:before="0" w:beforeLines="50" w:after="0" w:line="360" w:lineRule="auto"/>
        <w:ind w:firstLine="480" w:firstLineChars="200"/>
        <w:textAlignment w:val="auto"/>
        <w:rPr>
          <w:rFonts w:ascii="宋体" w:hAnsi="宋体"/>
          <w:color w:val="auto"/>
          <w:sz w:val="24"/>
        </w:rPr>
      </w:pPr>
      <w:r>
        <w:rPr>
          <w:rFonts w:hint="eastAsia"/>
          <w:color w:val="auto"/>
          <w:kern w:val="21"/>
          <w:sz w:val="24"/>
          <w:lang w:val="en-US"/>
        </w:rPr>
        <w:t>依据《河南省电镀建设项目环评文件审查审批原则要求》，本项目电镀作业厂房、地面、生产设施符合《工业建筑防腐蚀设计规范》（GB 50046-2008）的要求</w:t>
      </w:r>
      <w:r>
        <w:rPr>
          <w:color w:val="auto"/>
          <w:kern w:val="21"/>
          <w:sz w:val="24"/>
          <w:lang w:val="en-US"/>
        </w:rPr>
        <w:t>：新建的各类槽体要按照</w:t>
      </w:r>
      <w:r>
        <w:rPr>
          <w:rFonts w:hint="eastAsia"/>
          <w:color w:val="auto"/>
          <w:kern w:val="21"/>
          <w:sz w:val="24"/>
          <w:lang w:val="en-US"/>
        </w:rPr>
        <w:t>“</w:t>
      </w:r>
      <w:r>
        <w:rPr>
          <w:color w:val="auto"/>
          <w:kern w:val="21"/>
          <w:sz w:val="24"/>
          <w:lang w:val="en-US"/>
        </w:rPr>
        <w:t>生产设施不落地</w:t>
      </w:r>
      <w:r>
        <w:rPr>
          <w:rFonts w:hint="eastAsia"/>
          <w:color w:val="auto"/>
          <w:kern w:val="21"/>
          <w:sz w:val="24"/>
          <w:lang w:val="en-US"/>
        </w:rPr>
        <w:t>”</w:t>
      </w:r>
      <w:r>
        <w:rPr>
          <w:color w:val="auto"/>
          <w:kern w:val="21"/>
          <w:sz w:val="24"/>
          <w:lang w:val="en-US"/>
        </w:rPr>
        <w:t>原则进行建设，生产线应有槽液回收、逆流漂洗及必要的喷淋装置，并使用托盘、围堰等设施，防止生产过程中废水、镀液滴落地面，车间内实行干湿区分离，湿区地面应敷设网格板，湿镀件上下挂具作业必须在湿区内进行。车间地坪自下而上至少设垫层、防水层和防腐层三层。项目工艺废水管线按可视、可控原则排布，应采取地上明渠明管或架空敷设，废水管道应满足防腐、防渗漏要求，生产装置、罐区等易污染区地面应进行防渗处</w:t>
      </w:r>
      <w:r>
        <w:rPr>
          <w:rFonts w:hint="eastAsia"/>
          <w:color w:val="auto"/>
          <w:kern w:val="21"/>
          <w:sz w:val="24"/>
          <w:lang w:val="en-US"/>
        </w:rPr>
        <w:t>。</w:t>
      </w:r>
    </w:p>
    <w:p>
      <w:pPr>
        <w:pStyle w:val="32"/>
        <w:adjustRightInd w:val="0"/>
        <w:snapToGrid w:val="0"/>
        <w:spacing w:after="0" w:line="360" w:lineRule="auto"/>
        <w:ind w:firstLine="480" w:firstLineChars="200"/>
        <w:rPr>
          <w:rFonts w:ascii="宋体" w:hAnsi="宋体"/>
          <w:color w:val="auto"/>
          <w:sz w:val="24"/>
        </w:rPr>
      </w:pPr>
      <w:r>
        <w:rPr>
          <w:rFonts w:hint="eastAsia" w:ascii="宋体" w:hAnsi="宋体"/>
          <w:color w:val="auto"/>
          <w:sz w:val="24"/>
        </w:rPr>
        <w:t>2、废水处理措施</w:t>
      </w:r>
    </w:p>
    <w:p>
      <w:pPr>
        <w:spacing w:line="360" w:lineRule="auto"/>
        <w:ind w:firstLine="480" w:firstLineChars="200"/>
        <w:rPr>
          <w:color w:val="auto"/>
          <w:kern w:val="21"/>
          <w:sz w:val="24"/>
        </w:rPr>
      </w:pPr>
      <w:r>
        <w:rPr>
          <w:rFonts w:hint="eastAsia" w:ascii="宋体" w:hAnsi="宋体"/>
          <w:color w:val="auto"/>
          <w:sz w:val="24"/>
        </w:rPr>
        <w:t>根据《排污许可证申请与核发技术规范  电镀</w:t>
      </w:r>
      <w:r>
        <w:rPr>
          <w:color w:val="auto"/>
          <w:sz w:val="24"/>
        </w:rPr>
        <w:t>工业》（HJ855-2017）、</w:t>
      </w:r>
      <w:r>
        <w:rPr>
          <w:rFonts w:hint="eastAsia"/>
          <w:color w:val="auto"/>
          <w:kern w:val="21"/>
          <w:sz w:val="24"/>
        </w:rPr>
        <w:t>《电镀废水治理工程技术规范》（</w:t>
      </w:r>
      <w:r>
        <w:rPr>
          <w:color w:val="auto"/>
          <w:kern w:val="21"/>
          <w:sz w:val="24"/>
        </w:rPr>
        <w:t>GB2002-2010</w:t>
      </w:r>
      <w:r>
        <w:rPr>
          <w:rFonts w:hint="eastAsia"/>
          <w:color w:val="auto"/>
          <w:kern w:val="21"/>
          <w:sz w:val="24"/>
        </w:rPr>
        <w:t>）及</w:t>
      </w:r>
      <w:r>
        <w:rPr>
          <w:color w:val="auto"/>
          <w:sz w:val="24"/>
        </w:rPr>
        <w:t>《污染源源强核算技术指南  电镀》（HJ984-2018）</w:t>
      </w:r>
      <w:r>
        <w:rPr>
          <w:rFonts w:hint="eastAsia"/>
          <w:color w:val="auto"/>
          <w:sz w:val="24"/>
        </w:rPr>
        <w:t>采用可行的治理技术，</w:t>
      </w:r>
      <w:r>
        <w:rPr>
          <w:rFonts w:hint="eastAsia"/>
          <w:color w:val="auto"/>
          <w:kern w:val="21"/>
          <w:sz w:val="24"/>
        </w:rPr>
        <w:t>本项目废水处理按照“污污分治、深度处理、全部回用”的原则进行设计和建设，废水处理设施按处理单元可分为预处理系统及零排放处理系统，各股废水先经各自的预处理系统预处理后，再进入零排放处理系统深度处理，</w:t>
      </w:r>
      <w:r>
        <w:rPr>
          <w:rFonts w:hint="eastAsia"/>
          <w:color w:val="auto"/>
          <w:kern w:val="21"/>
          <w:sz w:val="24"/>
          <w:lang w:eastAsia="zh-CN"/>
        </w:rPr>
        <w:t>深度</w:t>
      </w:r>
      <w:r>
        <w:rPr>
          <w:rFonts w:hint="eastAsia"/>
          <w:color w:val="auto"/>
          <w:kern w:val="21"/>
          <w:sz w:val="24"/>
        </w:rPr>
        <w:t>处理后</w:t>
      </w:r>
      <w:r>
        <w:rPr>
          <w:rFonts w:hint="eastAsia"/>
          <w:color w:val="auto"/>
          <w:kern w:val="21"/>
          <w:sz w:val="24"/>
          <w:lang w:eastAsia="zh-CN"/>
        </w:rPr>
        <w:t>全部</w:t>
      </w:r>
      <w:r>
        <w:rPr>
          <w:rFonts w:hint="eastAsia"/>
          <w:color w:val="auto"/>
          <w:kern w:val="21"/>
          <w:sz w:val="24"/>
        </w:rPr>
        <w:t>回用</w:t>
      </w:r>
      <w:r>
        <w:rPr>
          <w:rFonts w:hint="eastAsia"/>
          <w:color w:val="auto"/>
          <w:kern w:val="21"/>
          <w:sz w:val="24"/>
          <w:lang w:eastAsia="zh-CN"/>
        </w:rPr>
        <w:t>于生产线</w:t>
      </w:r>
      <w:r>
        <w:rPr>
          <w:rFonts w:hint="eastAsia"/>
          <w:color w:val="auto"/>
          <w:kern w:val="21"/>
          <w:sz w:val="24"/>
        </w:rPr>
        <w:t>。</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（1）</w:t>
      </w:r>
      <w:r>
        <w:rPr>
          <w:rFonts w:hint="eastAsia"/>
          <w:color w:val="auto"/>
          <w:kern w:val="21"/>
          <w:sz w:val="24"/>
        </w:rPr>
        <w:t>含油废水经</w:t>
      </w:r>
      <w:r>
        <w:rPr>
          <w:rFonts w:hint="eastAsia"/>
          <w:color w:val="auto"/>
          <w:kern w:val="21"/>
          <w:sz w:val="24"/>
          <w:lang w:eastAsia="zh-CN"/>
        </w:rPr>
        <w:t>“</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w:t>
      </w:r>
      <w:r>
        <w:rPr>
          <w:rFonts w:hint="eastAsia"/>
          <w:color w:val="auto"/>
          <w:kern w:val="21"/>
          <w:sz w:val="24"/>
          <w:lang w:eastAsia="zh-CN"/>
        </w:rPr>
        <w:t>”</w:t>
      </w:r>
      <w:r>
        <w:rPr>
          <w:rFonts w:hint="eastAsia"/>
          <w:color w:val="auto"/>
          <w:kern w:val="21"/>
          <w:sz w:val="24"/>
        </w:rPr>
        <w:t>预处理后，先进入酸性废水预处理系统进行</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处理，再进入零排放处理系统；</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（2）</w:t>
      </w:r>
      <w:r>
        <w:rPr>
          <w:rFonts w:hint="eastAsia"/>
          <w:color w:val="auto"/>
          <w:kern w:val="21"/>
          <w:sz w:val="24"/>
        </w:rPr>
        <w:t>酸性废水经</w:t>
      </w:r>
      <w:r>
        <w:rPr>
          <w:rFonts w:hint="eastAsia"/>
          <w:color w:val="auto"/>
          <w:kern w:val="21"/>
          <w:sz w:val="24"/>
          <w:lang w:eastAsia="zh-CN"/>
        </w:rPr>
        <w:t>“</w:t>
      </w:r>
      <w:r>
        <w:rPr>
          <w:rFonts w:hint="eastAsia"/>
          <w:color w:val="auto"/>
          <w:kern w:val="21"/>
          <w:sz w:val="24"/>
        </w:rPr>
        <w:t>pH调节→混凝沉淀→回调→多介质过滤</w:t>
      </w:r>
      <w:r>
        <w:rPr>
          <w:rFonts w:hint="eastAsia"/>
          <w:color w:val="auto"/>
          <w:kern w:val="21"/>
          <w:sz w:val="24"/>
          <w:lang w:eastAsia="zh-CN"/>
        </w:rPr>
        <w:t>”</w:t>
      </w:r>
      <w:r>
        <w:rPr>
          <w:rFonts w:hint="eastAsia"/>
          <w:color w:val="auto"/>
          <w:kern w:val="21"/>
          <w:sz w:val="24"/>
        </w:rPr>
        <w:t>进行预处理，预处理后进入零排放处理系统；</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（3）</w:t>
      </w:r>
      <w:r>
        <w:rPr>
          <w:rFonts w:hint="eastAsia"/>
          <w:color w:val="auto"/>
          <w:kern w:val="21"/>
          <w:sz w:val="24"/>
        </w:rPr>
        <w:t>地面废水经</w:t>
      </w:r>
      <w:r>
        <w:rPr>
          <w:rFonts w:hint="eastAsia"/>
          <w:color w:val="auto"/>
          <w:kern w:val="21"/>
          <w:sz w:val="24"/>
          <w:lang w:eastAsia="zh-CN"/>
        </w:rPr>
        <w:t>“</w:t>
      </w:r>
      <w:r>
        <w:rPr>
          <w:rFonts w:hint="eastAsia"/>
          <w:color w:val="auto"/>
          <w:sz w:val="24"/>
        </w:rPr>
        <w:t>氧化→pH调节→混凝沉淀→还原→混凝沉淀→回调→多介质过滤</w:t>
      </w:r>
      <w:r>
        <w:rPr>
          <w:rFonts w:hint="eastAsia"/>
          <w:color w:val="auto"/>
          <w:sz w:val="24"/>
          <w:lang w:eastAsia="zh-CN"/>
        </w:rPr>
        <w:t>”</w:t>
      </w:r>
      <w:r>
        <w:rPr>
          <w:rFonts w:hint="eastAsia"/>
          <w:color w:val="auto"/>
          <w:sz w:val="24"/>
        </w:rPr>
        <w:t>进行预处理</w:t>
      </w:r>
      <w:r>
        <w:rPr>
          <w:rFonts w:hint="eastAsia"/>
          <w:color w:val="auto"/>
          <w:kern w:val="21"/>
          <w:sz w:val="24"/>
        </w:rPr>
        <w:t>，预处理后进入零排放处理系统；</w:t>
      </w:r>
    </w:p>
    <w:p>
      <w:pPr>
        <w:adjustRightInd w:val="0"/>
        <w:snapToGrid w:val="0"/>
        <w:spacing w:line="360" w:lineRule="auto"/>
        <w:ind w:firstLine="480" w:firstLineChars="200"/>
        <w:rPr>
          <w:color w:val="auto"/>
          <w:kern w:val="21"/>
          <w:sz w:val="24"/>
        </w:rPr>
      </w:pPr>
      <w:r>
        <w:rPr>
          <w:rFonts w:hint="eastAsia"/>
          <w:color w:val="auto"/>
          <w:kern w:val="21"/>
          <w:sz w:val="24"/>
          <w:szCs w:val="24"/>
        </w:rPr>
        <w:t>（4）</w:t>
      </w:r>
      <w:r>
        <w:rPr>
          <w:rFonts w:hint="eastAsia"/>
          <w:color w:val="auto"/>
          <w:kern w:val="21"/>
          <w:sz w:val="24"/>
        </w:rPr>
        <w:t>含镍废水经</w:t>
      </w:r>
      <w:r>
        <w:rPr>
          <w:rFonts w:hint="eastAsia"/>
          <w:color w:val="auto"/>
          <w:kern w:val="21"/>
          <w:sz w:val="24"/>
          <w:lang w:eastAsia="zh-CN"/>
        </w:rPr>
        <w:t>“</w:t>
      </w:r>
      <w:r>
        <w:rPr>
          <w:rFonts w:hint="eastAsia"/>
          <w:color w:val="auto"/>
          <w:sz w:val="24"/>
        </w:rPr>
        <w:t>pH调节→混凝沉淀→回调→多介质过滤</w:t>
      </w:r>
      <w:r>
        <w:rPr>
          <w:rFonts w:hint="eastAsia"/>
          <w:color w:val="auto"/>
          <w:sz w:val="24"/>
          <w:lang w:eastAsia="zh-CN"/>
        </w:rPr>
        <w:t>”</w:t>
      </w:r>
      <w:r>
        <w:rPr>
          <w:rFonts w:hint="eastAsia"/>
          <w:color w:val="auto"/>
          <w:kern w:val="21"/>
          <w:sz w:val="24"/>
        </w:rPr>
        <w:t>进行预处理，预处理后进入零排放处理系统；</w:t>
      </w:r>
    </w:p>
    <w:p>
      <w:pPr>
        <w:adjustRightInd w:val="0"/>
        <w:snapToGrid w:val="0"/>
        <w:spacing w:line="360" w:lineRule="auto"/>
        <w:ind w:firstLine="480" w:firstLineChars="200"/>
        <w:rPr>
          <w:color w:val="auto"/>
          <w:kern w:val="21"/>
          <w:sz w:val="24"/>
        </w:rPr>
      </w:pPr>
      <w:r>
        <w:rPr>
          <w:rFonts w:hint="eastAsia"/>
          <w:color w:val="auto"/>
          <w:kern w:val="21"/>
          <w:sz w:val="24"/>
          <w:szCs w:val="24"/>
        </w:rPr>
        <w:t>（5）</w:t>
      </w:r>
      <w:r>
        <w:rPr>
          <w:rFonts w:hint="eastAsia"/>
          <w:color w:val="auto"/>
          <w:kern w:val="21"/>
          <w:sz w:val="24"/>
        </w:rPr>
        <w:t>含锌废水经</w:t>
      </w:r>
      <w:r>
        <w:rPr>
          <w:rFonts w:hint="eastAsia"/>
          <w:color w:val="auto"/>
          <w:kern w:val="21"/>
          <w:sz w:val="24"/>
          <w:lang w:eastAsia="zh-CN"/>
        </w:rPr>
        <w:t>“</w:t>
      </w:r>
      <w:r>
        <w:rPr>
          <w:rFonts w:hint="eastAsia"/>
          <w:color w:val="auto"/>
          <w:sz w:val="24"/>
        </w:rPr>
        <w:t>pH调节→混凝沉淀→回调→多介质过滤</w:t>
      </w:r>
      <w:r>
        <w:rPr>
          <w:rFonts w:hint="eastAsia"/>
          <w:color w:val="auto"/>
          <w:sz w:val="24"/>
          <w:lang w:eastAsia="zh-CN"/>
        </w:rPr>
        <w:t>”</w:t>
      </w:r>
      <w:r>
        <w:rPr>
          <w:rFonts w:hint="eastAsia"/>
          <w:color w:val="auto"/>
          <w:kern w:val="21"/>
          <w:sz w:val="24"/>
        </w:rPr>
        <w:t>进行预处理，预处理后进入零排放处理系统；</w:t>
      </w:r>
    </w:p>
    <w:p>
      <w:pPr>
        <w:tabs>
          <w:tab w:val="left" w:pos="1643"/>
        </w:tabs>
        <w:adjustRightInd w:val="0"/>
        <w:snapToGrid w:val="0"/>
        <w:spacing w:line="360" w:lineRule="auto"/>
        <w:ind w:firstLine="480" w:firstLineChars="200"/>
        <w:rPr>
          <w:color w:val="auto"/>
          <w:kern w:val="21"/>
          <w:sz w:val="24"/>
        </w:rPr>
      </w:pPr>
      <w:r>
        <w:rPr>
          <w:rFonts w:hint="eastAsia"/>
          <w:color w:val="auto"/>
          <w:kern w:val="21"/>
          <w:sz w:val="24"/>
          <w:szCs w:val="24"/>
        </w:rPr>
        <w:t>（6）</w:t>
      </w:r>
      <w:r>
        <w:rPr>
          <w:rFonts w:hint="eastAsia"/>
          <w:color w:val="auto"/>
          <w:kern w:val="21"/>
          <w:sz w:val="24"/>
        </w:rPr>
        <w:t>含铬废水经</w:t>
      </w:r>
      <w:r>
        <w:rPr>
          <w:rFonts w:hint="eastAsia"/>
          <w:color w:val="auto"/>
          <w:kern w:val="21"/>
          <w:sz w:val="24"/>
          <w:lang w:eastAsia="zh-CN"/>
        </w:rPr>
        <w:t>“</w:t>
      </w:r>
      <w:r>
        <w:rPr>
          <w:rFonts w:hint="eastAsia"/>
          <w:color w:val="auto"/>
          <w:sz w:val="24"/>
        </w:rPr>
        <w:t>还原→pH调节→混凝沉淀→回调→多介质过滤</w:t>
      </w:r>
      <w:r>
        <w:rPr>
          <w:rFonts w:hint="eastAsia"/>
          <w:color w:val="auto"/>
          <w:sz w:val="24"/>
          <w:lang w:eastAsia="zh-CN"/>
        </w:rPr>
        <w:t>”</w:t>
      </w:r>
      <w:r>
        <w:rPr>
          <w:rFonts w:hint="eastAsia"/>
          <w:color w:val="auto"/>
          <w:kern w:val="21"/>
          <w:sz w:val="24"/>
        </w:rPr>
        <w:t>进行预处理，预处理后进入零排放处理系统；</w:t>
      </w:r>
    </w:p>
    <w:p>
      <w:pPr>
        <w:tabs>
          <w:tab w:val="left" w:pos="1643"/>
        </w:tabs>
        <w:adjustRightInd w:val="0"/>
        <w:snapToGrid w:val="0"/>
        <w:spacing w:line="360" w:lineRule="auto"/>
        <w:ind w:firstLine="480" w:firstLineChars="200"/>
        <w:rPr>
          <w:color w:val="auto"/>
          <w:kern w:val="21"/>
          <w:sz w:val="24"/>
          <w:szCs w:val="24"/>
        </w:rPr>
      </w:pPr>
      <w:r>
        <w:rPr>
          <w:rFonts w:hint="eastAsia"/>
          <w:color w:val="auto"/>
          <w:kern w:val="21"/>
          <w:sz w:val="24"/>
        </w:rPr>
        <w:t>（7）上述废水经预处理后全部进入零排放处理系统，先进入中间水池进行均质均量，</w:t>
      </w:r>
      <w:r>
        <w:rPr>
          <w:color w:val="auto"/>
          <w:kern w:val="0"/>
          <w:sz w:val="24"/>
          <w:szCs w:val="24"/>
        </w:rPr>
        <w:t>经提升泵提升进</w:t>
      </w:r>
      <w:r>
        <w:rPr>
          <w:rFonts w:hint="eastAsia"/>
          <w:color w:val="auto"/>
          <w:kern w:val="0"/>
          <w:sz w:val="24"/>
          <w:szCs w:val="24"/>
        </w:rPr>
        <w:t>入生化</w:t>
      </w:r>
      <w:r>
        <w:rPr>
          <w:color w:val="auto"/>
          <w:kern w:val="0"/>
          <w:sz w:val="24"/>
          <w:szCs w:val="24"/>
        </w:rPr>
        <w:t>处理系统，生化处理系统由厌氧池、缺氧池、好氧/MBR 池组成，可去除废</w:t>
      </w:r>
      <w:r>
        <w:rPr>
          <w:rFonts w:hint="eastAsia"/>
          <w:color w:val="auto"/>
          <w:kern w:val="0"/>
          <w:sz w:val="24"/>
          <w:szCs w:val="24"/>
        </w:rPr>
        <w:t>水</w:t>
      </w:r>
      <w:r>
        <w:rPr>
          <w:color w:val="auto"/>
          <w:kern w:val="0"/>
          <w:sz w:val="24"/>
          <w:szCs w:val="24"/>
        </w:rPr>
        <w:t>中的有机物、氨氮、总氮等污染物，减少膜系统和蒸发器的污堵，同时</w:t>
      </w:r>
      <w:r>
        <w:rPr>
          <w:rFonts w:hint="eastAsia"/>
          <w:color w:val="auto"/>
          <w:kern w:val="0"/>
          <w:sz w:val="24"/>
          <w:szCs w:val="24"/>
        </w:rPr>
        <w:t>生化</w:t>
      </w:r>
      <w:r>
        <w:rPr>
          <w:color w:val="auto"/>
          <w:kern w:val="0"/>
          <w:sz w:val="24"/>
          <w:szCs w:val="24"/>
        </w:rPr>
        <w:t>系统MBR产</w:t>
      </w:r>
      <w:r>
        <w:rPr>
          <w:rFonts w:hint="eastAsia"/>
          <w:color w:val="auto"/>
          <w:kern w:val="0"/>
          <w:sz w:val="24"/>
          <w:szCs w:val="24"/>
        </w:rPr>
        <w:t>水</w:t>
      </w:r>
      <w:r>
        <w:rPr>
          <w:color w:val="auto"/>
          <w:kern w:val="0"/>
          <w:sz w:val="24"/>
          <w:szCs w:val="24"/>
        </w:rPr>
        <w:t>可直接进</w:t>
      </w:r>
      <w:r>
        <w:rPr>
          <w:rFonts w:hint="eastAsia"/>
          <w:color w:val="auto"/>
          <w:kern w:val="0"/>
          <w:sz w:val="24"/>
          <w:szCs w:val="24"/>
        </w:rPr>
        <w:t>入一</w:t>
      </w:r>
      <w:r>
        <w:rPr>
          <w:color w:val="auto"/>
          <w:kern w:val="0"/>
          <w:sz w:val="24"/>
          <w:szCs w:val="24"/>
        </w:rPr>
        <w:t>级反渗透。一级反渗透的浓水进</w:t>
      </w:r>
      <w:r>
        <w:rPr>
          <w:rFonts w:hint="eastAsia"/>
          <w:color w:val="auto"/>
          <w:kern w:val="0"/>
          <w:sz w:val="24"/>
          <w:szCs w:val="24"/>
        </w:rPr>
        <w:t>入</w:t>
      </w:r>
      <w:r>
        <w:rPr>
          <w:color w:val="auto"/>
          <w:kern w:val="0"/>
          <w:sz w:val="24"/>
          <w:szCs w:val="24"/>
        </w:rPr>
        <w:t>深度软化系统去除</w:t>
      </w:r>
      <w:r>
        <w:rPr>
          <w:rFonts w:hint="eastAsia"/>
          <w:color w:val="auto"/>
          <w:kern w:val="0"/>
          <w:sz w:val="24"/>
          <w:szCs w:val="24"/>
        </w:rPr>
        <w:t>水</w:t>
      </w:r>
      <w:r>
        <w:rPr>
          <w:color w:val="auto"/>
          <w:kern w:val="0"/>
          <w:sz w:val="24"/>
          <w:szCs w:val="24"/>
        </w:rPr>
        <w:t>中的硬度后，进入二级膜系统（运行压力约350~450bar）进一步脱盐，二级浓</w:t>
      </w:r>
      <w:r>
        <w:rPr>
          <w:rFonts w:hint="eastAsia"/>
          <w:color w:val="auto"/>
          <w:kern w:val="0"/>
          <w:sz w:val="24"/>
          <w:szCs w:val="24"/>
        </w:rPr>
        <w:t>水</w:t>
      </w:r>
      <w:r>
        <w:rPr>
          <w:color w:val="auto"/>
          <w:kern w:val="0"/>
          <w:sz w:val="24"/>
          <w:szCs w:val="24"/>
        </w:rPr>
        <w:t>进入DTRO （运行压力约800~900bar）继续浓缩后，最终剩余约10%的浓液进入MVR 蒸发器蒸发结晶，结晶盐委外处理。多级膜浓缩系统产</w:t>
      </w:r>
      <w:r>
        <w:rPr>
          <w:rFonts w:hint="eastAsia"/>
          <w:color w:val="auto"/>
          <w:kern w:val="0"/>
          <w:sz w:val="24"/>
          <w:szCs w:val="24"/>
        </w:rPr>
        <w:t>水</w:t>
      </w:r>
      <w:r>
        <w:rPr>
          <w:color w:val="auto"/>
          <w:kern w:val="0"/>
          <w:sz w:val="24"/>
          <w:szCs w:val="24"/>
        </w:rPr>
        <w:t>与蒸发冷凝</w:t>
      </w:r>
      <w:r>
        <w:rPr>
          <w:rFonts w:hint="eastAsia"/>
          <w:color w:val="auto"/>
          <w:kern w:val="0"/>
          <w:sz w:val="24"/>
          <w:szCs w:val="24"/>
        </w:rPr>
        <w:t>水</w:t>
      </w:r>
      <w:r>
        <w:rPr>
          <w:color w:val="auto"/>
          <w:kern w:val="0"/>
          <w:sz w:val="24"/>
          <w:szCs w:val="24"/>
        </w:rPr>
        <w:t>经两级脱盐RO 脱盐后电导</w:t>
      </w:r>
      <w:r>
        <w:rPr>
          <w:rFonts w:hint="eastAsia"/>
          <w:color w:val="auto"/>
          <w:kern w:val="0"/>
          <w:sz w:val="24"/>
          <w:szCs w:val="24"/>
        </w:rPr>
        <w:t>小</w:t>
      </w:r>
      <w:r>
        <w:rPr>
          <w:color w:val="auto"/>
          <w:kern w:val="0"/>
          <w:sz w:val="24"/>
          <w:szCs w:val="24"/>
        </w:rPr>
        <w:t>于20us/cm 后回</w:t>
      </w:r>
      <w:r>
        <w:rPr>
          <w:rFonts w:hint="eastAsia"/>
          <w:color w:val="auto"/>
          <w:kern w:val="0"/>
          <w:sz w:val="24"/>
          <w:szCs w:val="24"/>
        </w:rPr>
        <w:t>用</w:t>
      </w:r>
      <w:r>
        <w:rPr>
          <w:color w:val="auto"/>
          <w:kern w:val="0"/>
          <w:sz w:val="24"/>
          <w:szCs w:val="24"/>
        </w:rPr>
        <w:t>于</w:t>
      </w:r>
      <w:r>
        <w:rPr>
          <w:rFonts w:hint="eastAsia"/>
          <w:color w:val="auto"/>
          <w:kern w:val="0"/>
          <w:sz w:val="24"/>
          <w:szCs w:val="24"/>
          <w:lang w:eastAsia="zh-CN"/>
        </w:rPr>
        <w:t>生产线</w:t>
      </w:r>
      <w:r>
        <w:rPr>
          <w:color w:val="auto"/>
          <w:kern w:val="0"/>
          <w:sz w:val="24"/>
          <w:szCs w:val="24"/>
        </w:rPr>
        <w:t>。</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（8）</w:t>
      </w:r>
      <w:r>
        <w:rPr>
          <w:color w:val="auto"/>
          <w:kern w:val="21"/>
          <w:sz w:val="24"/>
          <w:szCs w:val="24"/>
        </w:rPr>
        <w:t>纯水制备浓水、</w:t>
      </w:r>
      <w:r>
        <w:rPr>
          <w:rFonts w:hint="eastAsia"/>
          <w:color w:val="auto"/>
          <w:kern w:val="21"/>
          <w:sz w:val="24"/>
          <w:szCs w:val="24"/>
          <w:lang w:eastAsia="zh-CN"/>
        </w:rPr>
        <w:t>锅炉浓水</w:t>
      </w:r>
      <w:r>
        <w:rPr>
          <w:color w:val="auto"/>
          <w:kern w:val="21"/>
          <w:sz w:val="24"/>
          <w:szCs w:val="24"/>
        </w:rPr>
        <w:t>及生活污水直接排至厂区总排口，经市政管网</w:t>
      </w:r>
      <w:r>
        <w:rPr>
          <w:rFonts w:hint="eastAsia"/>
          <w:color w:val="auto"/>
          <w:kern w:val="21"/>
          <w:sz w:val="24"/>
          <w:szCs w:val="24"/>
        </w:rPr>
        <w:t>排入同盟污水处理厂。</w:t>
      </w:r>
    </w:p>
    <w:p>
      <w:pPr>
        <w:adjustRightInd w:val="0"/>
        <w:snapToGrid w:val="0"/>
        <w:spacing w:line="360" w:lineRule="auto"/>
        <w:ind w:firstLine="480" w:firstLineChars="200"/>
        <w:jc w:val="both"/>
        <w:rPr>
          <w:color w:val="auto"/>
          <w:kern w:val="21"/>
          <w:sz w:val="24"/>
          <w:szCs w:val="24"/>
        </w:rPr>
      </w:pPr>
      <w:r>
        <w:rPr>
          <w:rFonts w:hint="eastAsia"/>
          <w:color w:val="auto"/>
          <w:kern w:val="21"/>
          <w:sz w:val="24"/>
          <w:szCs w:val="24"/>
        </w:rPr>
        <w:t>考虑到周期排放槽液及日常排放废水可能出现同步排放的情况，因此要求建设单位在各类废水预处理调节池前设置缓冲池，收集周期排放的</w:t>
      </w:r>
      <w:r>
        <w:rPr>
          <w:rFonts w:hint="eastAsia"/>
          <w:color w:val="auto"/>
          <w:kern w:val="21"/>
          <w:sz w:val="24"/>
          <w:szCs w:val="24"/>
          <w:lang w:eastAsia="zh-CN"/>
        </w:rPr>
        <w:t>镀</w:t>
      </w:r>
      <w:r>
        <w:rPr>
          <w:rFonts w:hint="eastAsia"/>
          <w:color w:val="auto"/>
          <w:kern w:val="21"/>
          <w:sz w:val="24"/>
          <w:szCs w:val="24"/>
        </w:rPr>
        <w:t>槽废水，并逐步排入污水处理站，从而减少污水站的处理负荷，为满足一次性最大排水量要求，考虑最不利情况，各缓冲池要求可容纳本类废水所有槽液同步更换时产生的废水量，根据水平衡表，项目槽液同步更换时含油废水最大排放量为</w:t>
      </w:r>
      <w:r>
        <w:rPr>
          <w:rFonts w:hint="eastAsia"/>
          <w:color w:val="auto"/>
          <w:kern w:val="21"/>
          <w:sz w:val="24"/>
          <w:szCs w:val="24"/>
          <w:lang w:val="en-US" w:eastAsia="zh-CN"/>
        </w:rPr>
        <w:t>148.02</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，酸性废水最大排放量为</w:t>
      </w:r>
      <w:r>
        <w:rPr>
          <w:rFonts w:hint="eastAsia"/>
          <w:color w:val="auto"/>
          <w:kern w:val="21"/>
          <w:sz w:val="24"/>
          <w:szCs w:val="24"/>
          <w:lang w:val="en-US" w:eastAsia="zh-CN"/>
        </w:rPr>
        <w:t>81.606</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，含镍废水最大排放量为32.4 m</w:t>
      </w:r>
      <w:r>
        <w:rPr>
          <w:rFonts w:hint="eastAsia"/>
          <w:color w:val="auto"/>
          <w:kern w:val="21"/>
          <w:sz w:val="24"/>
          <w:szCs w:val="24"/>
          <w:vertAlign w:val="superscript"/>
        </w:rPr>
        <w:t>3</w:t>
      </w:r>
      <w:r>
        <w:rPr>
          <w:rFonts w:hint="eastAsia"/>
          <w:color w:val="auto"/>
          <w:kern w:val="21"/>
          <w:sz w:val="24"/>
          <w:szCs w:val="24"/>
        </w:rPr>
        <w:t>，含锌废水最大排放量为</w:t>
      </w:r>
      <w:r>
        <w:rPr>
          <w:rFonts w:hint="eastAsia"/>
          <w:color w:val="auto"/>
          <w:kern w:val="21"/>
          <w:sz w:val="24"/>
          <w:szCs w:val="24"/>
          <w:lang w:val="en-US" w:eastAsia="zh-CN"/>
        </w:rPr>
        <w:t>10.68</w:t>
      </w:r>
      <w:r>
        <w:rPr>
          <w:rFonts w:hint="eastAsia"/>
          <w:color w:val="auto"/>
          <w:kern w:val="21"/>
          <w:sz w:val="24"/>
          <w:szCs w:val="24"/>
        </w:rPr>
        <w:t xml:space="preserve"> m</w:t>
      </w:r>
      <w:r>
        <w:rPr>
          <w:rFonts w:hint="eastAsia"/>
          <w:color w:val="auto"/>
          <w:kern w:val="21"/>
          <w:sz w:val="24"/>
          <w:szCs w:val="24"/>
          <w:vertAlign w:val="superscript"/>
        </w:rPr>
        <w:t>3</w:t>
      </w:r>
      <w:r>
        <w:rPr>
          <w:rFonts w:hint="eastAsia"/>
          <w:color w:val="auto"/>
          <w:kern w:val="21"/>
          <w:sz w:val="24"/>
          <w:szCs w:val="24"/>
        </w:rPr>
        <w:t>，含铬废水最大排放量为</w:t>
      </w:r>
      <w:r>
        <w:rPr>
          <w:rFonts w:hint="eastAsia"/>
          <w:color w:val="auto"/>
          <w:kern w:val="21"/>
          <w:sz w:val="24"/>
          <w:szCs w:val="24"/>
          <w:lang w:val="en-US" w:eastAsia="zh-CN"/>
        </w:rPr>
        <w:t>98.318</w:t>
      </w:r>
      <w:r>
        <w:rPr>
          <w:rFonts w:hint="eastAsia"/>
          <w:color w:val="auto"/>
          <w:kern w:val="21"/>
          <w:sz w:val="24"/>
          <w:szCs w:val="24"/>
        </w:rPr>
        <w:t xml:space="preserve"> m</w:t>
      </w:r>
      <w:r>
        <w:rPr>
          <w:rFonts w:hint="eastAsia"/>
          <w:color w:val="auto"/>
          <w:kern w:val="21"/>
          <w:sz w:val="24"/>
          <w:szCs w:val="24"/>
          <w:vertAlign w:val="superscript"/>
        </w:rPr>
        <w:t>3</w:t>
      </w:r>
      <w:r>
        <w:rPr>
          <w:rFonts w:hint="eastAsia"/>
          <w:color w:val="auto"/>
          <w:kern w:val="21"/>
          <w:sz w:val="24"/>
          <w:szCs w:val="24"/>
        </w:rPr>
        <w:t>。拟在污水站西北角设置一座缓冲池，同时预留10%</w:t>
      </w:r>
      <w:r>
        <w:rPr>
          <w:rFonts w:hint="eastAsia"/>
          <w:color w:val="auto"/>
          <w:kern w:val="21"/>
          <w:sz w:val="24"/>
          <w:szCs w:val="24"/>
          <w:lang w:eastAsia="zh-CN"/>
        </w:rPr>
        <w:t>左右</w:t>
      </w:r>
      <w:r>
        <w:rPr>
          <w:rFonts w:hint="eastAsia"/>
          <w:color w:val="auto"/>
          <w:kern w:val="21"/>
          <w:sz w:val="24"/>
          <w:szCs w:val="24"/>
        </w:rPr>
        <w:t>的余量，则含油废水缓冲池16</w:t>
      </w:r>
      <w:r>
        <w:rPr>
          <w:rFonts w:hint="eastAsia"/>
          <w:color w:val="auto"/>
          <w:kern w:val="21"/>
          <w:sz w:val="24"/>
          <w:szCs w:val="24"/>
          <w:lang w:val="en-US" w:eastAsia="zh-CN"/>
        </w:rPr>
        <w:t>3</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（6m×7.</w:t>
      </w:r>
      <w:r>
        <w:rPr>
          <w:rFonts w:hint="eastAsia"/>
          <w:color w:val="auto"/>
          <w:kern w:val="21"/>
          <w:sz w:val="24"/>
          <w:szCs w:val="24"/>
          <w:lang w:val="en-US" w:eastAsia="zh-CN"/>
        </w:rPr>
        <w:t>8</w:t>
      </w:r>
      <w:r>
        <w:rPr>
          <w:rFonts w:hint="eastAsia"/>
          <w:color w:val="auto"/>
          <w:kern w:val="21"/>
          <w:sz w:val="24"/>
          <w:szCs w:val="24"/>
        </w:rPr>
        <w:t>m</w:t>
      </w:r>
      <w:r>
        <w:rPr>
          <w:color w:val="auto"/>
          <w:kern w:val="21"/>
          <w:sz w:val="24"/>
          <w:szCs w:val="24"/>
        </w:rPr>
        <w:t>×</w:t>
      </w:r>
      <w:r>
        <w:rPr>
          <w:rFonts w:hint="eastAsia"/>
          <w:color w:val="auto"/>
          <w:kern w:val="21"/>
          <w:sz w:val="24"/>
          <w:szCs w:val="24"/>
        </w:rPr>
        <w:t>3.5</w:t>
      </w:r>
      <w:r>
        <w:rPr>
          <w:color w:val="auto"/>
          <w:kern w:val="21"/>
          <w:sz w:val="24"/>
          <w:szCs w:val="24"/>
        </w:rPr>
        <w:t>m</w:t>
      </w:r>
      <w:r>
        <w:rPr>
          <w:rFonts w:hint="eastAsia"/>
          <w:color w:val="auto"/>
          <w:kern w:val="21"/>
          <w:sz w:val="24"/>
          <w:szCs w:val="24"/>
        </w:rPr>
        <w:t>）、酸性废水缓冲池</w:t>
      </w:r>
      <w:r>
        <w:rPr>
          <w:rFonts w:hint="eastAsia"/>
          <w:color w:val="auto"/>
          <w:kern w:val="21"/>
          <w:sz w:val="24"/>
          <w:szCs w:val="24"/>
          <w:lang w:val="en-US" w:eastAsia="zh-CN"/>
        </w:rPr>
        <w:t>90</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（6m×4</w:t>
      </w:r>
      <w:r>
        <w:rPr>
          <w:rFonts w:hint="eastAsia"/>
          <w:color w:val="auto"/>
          <w:kern w:val="21"/>
          <w:sz w:val="24"/>
          <w:szCs w:val="24"/>
          <w:lang w:val="en-US" w:eastAsia="zh-CN"/>
        </w:rPr>
        <w:t>.3</w:t>
      </w:r>
      <w:r>
        <w:rPr>
          <w:rFonts w:hint="eastAsia"/>
          <w:color w:val="auto"/>
          <w:kern w:val="21"/>
          <w:sz w:val="24"/>
          <w:szCs w:val="24"/>
        </w:rPr>
        <w:t>m</w:t>
      </w:r>
      <w:r>
        <w:rPr>
          <w:color w:val="auto"/>
          <w:kern w:val="21"/>
          <w:sz w:val="24"/>
          <w:szCs w:val="24"/>
        </w:rPr>
        <w:t>×</w:t>
      </w:r>
      <w:r>
        <w:rPr>
          <w:rFonts w:hint="eastAsia"/>
          <w:color w:val="auto"/>
          <w:kern w:val="21"/>
          <w:sz w:val="24"/>
          <w:szCs w:val="24"/>
        </w:rPr>
        <w:t>3.5</w:t>
      </w:r>
      <w:r>
        <w:rPr>
          <w:color w:val="auto"/>
          <w:kern w:val="21"/>
          <w:sz w:val="24"/>
          <w:szCs w:val="24"/>
        </w:rPr>
        <w:t>m</w:t>
      </w:r>
      <w:r>
        <w:rPr>
          <w:rFonts w:hint="eastAsia"/>
          <w:color w:val="auto"/>
          <w:kern w:val="21"/>
          <w:sz w:val="24"/>
          <w:szCs w:val="24"/>
        </w:rPr>
        <w:t>）、含镍废水缓冲池</w:t>
      </w:r>
      <w:r>
        <w:rPr>
          <w:rFonts w:hint="eastAsia"/>
          <w:color w:val="auto"/>
          <w:kern w:val="21"/>
          <w:sz w:val="24"/>
          <w:szCs w:val="24"/>
          <w:lang w:val="en-US" w:eastAsia="zh-CN"/>
        </w:rPr>
        <w:t>36</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（6m</w:t>
      </w:r>
      <w:r>
        <w:rPr>
          <w:rFonts w:hint="eastAsia"/>
          <w:color w:val="auto"/>
          <w:kern w:val="21"/>
          <w:sz w:val="24"/>
          <w:szCs w:val="24"/>
          <w:lang w:val="en-US" w:eastAsia="zh-CN"/>
        </w:rPr>
        <w:t>×</w:t>
      </w:r>
      <w:r>
        <w:rPr>
          <w:rFonts w:hint="eastAsia"/>
          <w:color w:val="auto"/>
          <w:kern w:val="21"/>
          <w:sz w:val="24"/>
          <w:szCs w:val="24"/>
        </w:rPr>
        <w:t>2</w:t>
      </w:r>
      <w:r>
        <w:rPr>
          <w:rFonts w:hint="eastAsia"/>
          <w:color w:val="auto"/>
          <w:kern w:val="21"/>
          <w:sz w:val="24"/>
          <w:szCs w:val="24"/>
          <w:lang w:val="en-US" w:eastAsia="zh-CN"/>
        </w:rPr>
        <w:t>.1</w:t>
      </w:r>
      <w:r>
        <w:rPr>
          <w:rFonts w:hint="eastAsia"/>
          <w:color w:val="auto"/>
          <w:kern w:val="21"/>
          <w:sz w:val="24"/>
          <w:szCs w:val="24"/>
        </w:rPr>
        <w:t>m</w:t>
      </w:r>
      <w:r>
        <w:rPr>
          <w:color w:val="auto"/>
          <w:kern w:val="21"/>
          <w:sz w:val="24"/>
          <w:szCs w:val="24"/>
        </w:rPr>
        <w:t>×</w:t>
      </w:r>
      <w:r>
        <w:rPr>
          <w:rFonts w:hint="eastAsia"/>
          <w:color w:val="auto"/>
          <w:kern w:val="21"/>
          <w:sz w:val="24"/>
          <w:szCs w:val="24"/>
        </w:rPr>
        <w:t>3.5</w:t>
      </w:r>
      <w:r>
        <w:rPr>
          <w:color w:val="auto"/>
          <w:kern w:val="21"/>
          <w:sz w:val="24"/>
          <w:szCs w:val="24"/>
        </w:rPr>
        <w:t>m</w:t>
      </w:r>
      <w:r>
        <w:rPr>
          <w:rFonts w:hint="eastAsia"/>
          <w:color w:val="auto"/>
          <w:kern w:val="21"/>
          <w:sz w:val="24"/>
          <w:szCs w:val="24"/>
        </w:rPr>
        <w:t>）、含锌废水缓冲池1</w:t>
      </w:r>
      <w:r>
        <w:rPr>
          <w:rFonts w:hint="eastAsia"/>
          <w:color w:val="auto"/>
          <w:kern w:val="21"/>
          <w:sz w:val="24"/>
          <w:szCs w:val="24"/>
          <w:lang w:val="en-US" w:eastAsia="zh-CN"/>
        </w:rPr>
        <w:t>2</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（6m×0.</w:t>
      </w:r>
      <w:r>
        <w:rPr>
          <w:rFonts w:hint="eastAsia"/>
          <w:color w:val="auto"/>
          <w:kern w:val="21"/>
          <w:sz w:val="24"/>
          <w:szCs w:val="24"/>
          <w:lang w:val="en-US" w:eastAsia="zh-CN"/>
        </w:rPr>
        <w:t>6</w:t>
      </w:r>
      <w:r>
        <w:rPr>
          <w:rFonts w:hint="eastAsia"/>
          <w:color w:val="auto"/>
          <w:kern w:val="21"/>
          <w:sz w:val="24"/>
          <w:szCs w:val="24"/>
        </w:rPr>
        <w:t>m</w:t>
      </w:r>
      <w:r>
        <w:rPr>
          <w:color w:val="auto"/>
          <w:kern w:val="21"/>
          <w:sz w:val="24"/>
          <w:szCs w:val="24"/>
        </w:rPr>
        <w:t>×</w:t>
      </w:r>
      <w:r>
        <w:rPr>
          <w:rFonts w:hint="eastAsia"/>
          <w:color w:val="auto"/>
          <w:kern w:val="21"/>
          <w:sz w:val="24"/>
          <w:szCs w:val="24"/>
        </w:rPr>
        <w:t>3.5</w:t>
      </w:r>
      <w:r>
        <w:rPr>
          <w:color w:val="auto"/>
          <w:kern w:val="21"/>
          <w:sz w:val="24"/>
          <w:szCs w:val="24"/>
        </w:rPr>
        <w:t>m</w:t>
      </w:r>
      <w:r>
        <w:rPr>
          <w:rFonts w:hint="eastAsia"/>
          <w:color w:val="auto"/>
          <w:kern w:val="21"/>
          <w:sz w:val="24"/>
          <w:szCs w:val="24"/>
        </w:rPr>
        <w:t>）、含铬废水缓冲池1</w:t>
      </w:r>
      <w:r>
        <w:rPr>
          <w:rFonts w:hint="eastAsia"/>
          <w:color w:val="auto"/>
          <w:kern w:val="21"/>
          <w:sz w:val="24"/>
          <w:szCs w:val="24"/>
          <w:lang w:val="en-US" w:eastAsia="zh-CN"/>
        </w:rPr>
        <w:t>09</w:t>
      </w:r>
      <w:r>
        <w:rPr>
          <w:rFonts w:hint="eastAsia"/>
          <w:color w:val="auto"/>
          <w:kern w:val="21"/>
          <w:sz w:val="24"/>
          <w:szCs w:val="24"/>
        </w:rPr>
        <w:t>m</w:t>
      </w:r>
      <w:r>
        <w:rPr>
          <w:rFonts w:hint="eastAsia"/>
          <w:color w:val="auto"/>
          <w:kern w:val="21"/>
          <w:sz w:val="24"/>
          <w:szCs w:val="24"/>
          <w:vertAlign w:val="superscript"/>
        </w:rPr>
        <w:t>3</w:t>
      </w:r>
      <w:r>
        <w:rPr>
          <w:rFonts w:hint="eastAsia"/>
          <w:color w:val="auto"/>
          <w:kern w:val="21"/>
          <w:sz w:val="24"/>
          <w:szCs w:val="24"/>
        </w:rPr>
        <w:t>（6m×5.</w:t>
      </w:r>
      <w:r>
        <w:rPr>
          <w:rFonts w:hint="eastAsia"/>
          <w:color w:val="auto"/>
          <w:kern w:val="21"/>
          <w:sz w:val="24"/>
          <w:szCs w:val="24"/>
          <w:lang w:val="en-US" w:eastAsia="zh-CN"/>
        </w:rPr>
        <w:t>2</w:t>
      </w:r>
      <w:r>
        <w:rPr>
          <w:rFonts w:hint="eastAsia"/>
          <w:color w:val="auto"/>
          <w:kern w:val="21"/>
          <w:sz w:val="24"/>
          <w:szCs w:val="24"/>
        </w:rPr>
        <w:t>m</w:t>
      </w:r>
      <w:r>
        <w:rPr>
          <w:color w:val="auto"/>
          <w:kern w:val="21"/>
          <w:sz w:val="24"/>
          <w:szCs w:val="24"/>
        </w:rPr>
        <w:t>×</w:t>
      </w:r>
      <w:r>
        <w:rPr>
          <w:rFonts w:hint="eastAsia"/>
          <w:color w:val="auto"/>
          <w:kern w:val="21"/>
          <w:sz w:val="24"/>
          <w:szCs w:val="24"/>
        </w:rPr>
        <w:t>3.5</w:t>
      </w:r>
      <w:r>
        <w:rPr>
          <w:color w:val="auto"/>
          <w:kern w:val="21"/>
          <w:sz w:val="24"/>
          <w:szCs w:val="24"/>
        </w:rPr>
        <w:t>m</w:t>
      </w:r>
      <w:r>
        <w:rPr>
          <w:rFonts w:hint="eastAsia"/>
          <w:color w:val="auto"/>
          <w:kern w:val="21"/>
          <w:sz w:val="24"/>
          <w:szCs w:val="24"/>
        </w:rPr>
        <w:t>）。总容积为420m</w:t>
      </w:r>
      <w:r>
        <w:rPr>
          <w:rFonts w:hint="eastAsia"/>
          <w:color w:val="auto"/>
          <w:kern w:val="21"/>
          <w:sz w:val="24"/>
          <w:szCs w:val="24"/>
          <w:vertAlign w:val="superscript"/>
        </w:rPr>
        <w:t>3</w:t>
      </w:r>
      <w:r>
        <w:rPr>
          <w:rFonts w:hint="eastAsia"/>
          <w:color w:val="auto"/>
          <w:kern w:val="21"/>
          <w:sz w:val="24"/>
          <w:szCs w:val="24"/>
        </w:rPr>
        <w:t>（6m×20m</w:t>
      </w:r>
      <w:r>
        <w:rPr>
          <w:color w:val="auto"/>
          <w:kern w:val="21"/>
          <w:sz w:val="24"/>
          <w:szCs w:val="24"/>
        </w:rPr>
        <w:t>×</w:t>
      </w:r>
      <w:r>
        <w:rPr>
          <w:rFonts w:hint="eastAsia"/>
          <w:color w:val="auto"/>
          <w:kern w:val="21"/>
          <w:sz w:val="24"/>
          <w:szCs w:val="24"/>
        </w:rPr>
        <w:t>3.5</w:t>
      </w:r>
      <w:r>
        <w:rPr>
          <w:color w:val="auto"/>
          <w:kern w:val="21"/>
          <w:sz w:val="24"/>
          <w:szCs w:val="24"/>
        </w:rPr>
        <w:t>m</w:t>
      </w:r>
      <w:r>
        <w:rPr>
          <w:rFonts w:hint="eastAsia"/>
          <w:color w:val="auto"/>
          <w:kern w:val="21"/>
          <w:sz w:val="24"/>
          <w:szCs w:val="24"/>
        </w:rPr>
        <w:t>）。（可兼做应急池）。</w:t>
      </w:r>
    </w:p>
    <w:p>
      <w:pPr>
        <w:adjustRightInd w:val="0"/>
        <w:snapToGrid w:val="0"/>
        <w:spacing w:line="360" w:lineRule="auto"/>
        <w:ind w:firstLine="480" w:firstLineChars="200"/>
        <w:rPr>
          <w:color w:val="auto"/>
          <w:kern w:val="21"/>
          <w:sz w:val="24"/>
          <w:szCs w:val="24"/>
        </w:rPr>
        <w:sectPr>
          <w:headerReference r:id="rId14" w:type="default"/>
          <w:footerReference r:id="rId15" w:type="default"/>
          <w:pgSz w:w="11907" w:h="16840"/>
          <w:pgMar w:top="1440" w:right="1800" w:bottom="1440" w:left="1800" w:header="1134" w:footer="1186" w:gutter="0"/>
          <w:cols w:space="720" w:num="1"/>
        </w:sectPr>
      </w:pPr>
      <w:r>
        <w:rPr>
          <w:rFonts w:hint="eastAsia"/>
          <w:color w:val="auto"/>
          <w:kern w:val="21"/>
          <w:sz w:val="24"/>
          <w:szCs w:val="24"/>
        </w:rPr>
        <w:t>本项目</w:t>
      </w:r>
      <w:r>
        <w:rPr>
          <w:rFonts w:hint="eastAsia"/>
          <w:color w:val="auto"/>
          <w:kern w:val="21"/>
          <w:sz w:val="24"/>
          <w:szCs w:val="24"/>
          <w:lang w:eastAsia="zh-CN"/>
        </w:rPr>
        <w:t>污水</w:t>
      </w:r>
      <w:r>
        <w:rPr>
          <w:rFonts w:hint="eastAsia"/>
          <w:color w:val="auto"/>
          <w:kern w:val="21"/>
          <w:sz w:val="24"/>
          <w:szCs w:val="24"/>
        </w:rPr>
        <w:t>处理站废水处理整体工艺流程见下图。</w:t>
      </w:r>
    </w:p>
    <w:p>
      <w:pPr>
        <w:adjustRightInd w:val="0"/>
        <w:snapToGrid w:val="0"/>
        <w:spacing w:line="360" w:lineRule="auto"/>
        <w:jc w:val="center"/>
        <w:rPr>
          <w:rFonts w:hint="eastAsia" w:eastAsia="宋体"/>
          <w:color w:val="auto"/>
          <w:kern w:val="21"/>
          <w:sz w:val="24"/>
          <w:szCs w:val="24"/>
          <w:lang w:eastAsia="zh-CN"/>
        </w:rPr>
      </w:pPr>
      <w:r>
        <w:rPr>
          <w:rFonts w:hint="eastAsia" w:eastAsia="宋体"/>
          <w:color w:val="auto"/>
          <w:kern w:val="21"/>
          <w:sz w:val="24"/>
          <w:szCs w:val="24"/>
          <w:lang w:eastAsia="zh-CN"/>
        </w:rPr>
        <w:drawing>
          <wp:anchor distT="0" distB="0" distL="114300" distR="114300" simplePos="0" relativeHeight="251789312" behindDoc="0" locked="0" layoutInCell="1" allowOverlap="1">
            <wp:simplePos x="0" y="0"/>
            <wp:positionH relativeFrom="column">
              <wp:posOffset>787400</wp:posOffset>
            </wp:positionH>
            <wp:positionV relativeFrom="paragraph">
              <wp:posOffset>142240</wp:posOffset>
            </wp:positionV>
            <wp:extent cx="8422640" cy="5391150"/>
            <wp:effectExtent l="0" t="0" r="16510" b="0"/>
            <wp:wrapNone/>
            <wp:docPr id="619" name="图片 619" descr="零排放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零排放图"/>
                    <pic:cNvPicPr>
                      <a:picLocks noChangeAspect="1"/>
                    </pic:cNvPicPr>
                  </pic:nvPicPr>
                  <pic:blipFill>
                    <a:blip r:embed="rId64"/>
                    <a:stretch>
                      <a:fillRect/>
                    </a:stretch>
                  </pic:blipFill>
                  <pic:spPr>
                    <a:xfrm>
                      <a:off x="0" y="0"/>
                      <a:ext cx="8422640" cy="5391150"/>
                    </a:xfrm>
                    <a:prstGeom prst="rect">
                      <a:avLst/>
                    </a:prstGeom>
                  </pic:spPr>
                </pic:pic>
              </a:graphicData>
            </a:graphic>
          </wp:anchor>
        </w:drawing>
      </w: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hint="eastAsia" w:eastAsia="黑体"/>
          <w:bCs/>
          <w:color w:val="auto"/>
          <w:kern w:val="21"/>
          <w:sz w:val="24"/>
          <w:lang w:val="en-US"/>
        </w:rPr>
      </w:pPr>
    </w:p>
    <w:p>
      <w:pPr>
        <w:pStyle w:val="32"/>
        <w:adjustRightInd w:val="0"/>
        <w:snapToGrid w:val="0"/>
        <w:spacing w:after="0"/>
        <w:jc w:val="center"/>
        <w:rPr>
          <w:rFonts w:ascii="宋体" w:hAnsi="宋体"/>
          <w:color w:val="auto"/>
          <w:sz w:val="24"/>
        </w:rPr>
      </w:pPr>
      <w:r>
        <w:rPr>
          <w:rFonts w:hint="eastAsia" w:eastAsia="黑体"/>
          <w:bCs/>
          <w:color w:val="auto"/>
          <w:kern w:val="21"/>
          <w:sz w:val="24"/>
          <w:lang w:val="en-US" w:eastAsia="zh-CN"/>
        </w:rPr>
        <w:t>图</w:t>
      </w:r>
      <w:r>
        <w:rPr>
          <w:rFonts w:hint="eastAsia" w:eastAsia="黑体"/>
          <w:bCs/>
          <w:color w:val="auto"/>
          <w:kern w:val="21"/>
          <w:sz w:val="24"/>
          <w:lang w:val="en-US"/>
        </w:rPr>
        <w:t>3.4--1  废水处理工艺总流程图</w:t>
      </w:r>
    </w:p>
    <w:p>
      <w:pPr>
        <w:pStyle w:val="43"/>
        <w:rPr>
          <w:color w:val="auto"/>
        </w:rPr>
        <w:sectPr>
          <w:pgSz w:w="16840" w:h="11907" w:orient="landscape"/>
          <w:pgMar w:top="720" w:right="720" w:bottom="720" w:left="720" w:header="1134" w:footer="1186" w:gutter="0"/>
          <w:cols w:space="720" w:num="1"/>
          <w:docGrid w:linePitch="286" w:charSpace="0"/>
        </w:sectPr>
      </w:pPr>
    </w:p>
    <w:p>
      <w:pPr>
        <w:pStyle w:val="32"/>
        <w:adjustRightInd w:val="0"/>
        <w:snapToGrid w:val="0"/>
        <w:spacing w:after="0" w:line="360" w:lineRule="auto"/>
        <w:ind w:firstLine="482" w:firstLineChars="200"/>
        <w:rPr>
          <w:rFonts w:ascii="宋体" w:hAnsi="宋体"/>
          <w:b/>
          <w:color w:val="auto"/>
          <w:sz w:val="24"/>
          <w:u w:val="single"/>
        </w:rPr>
      </w:pPr>
      <w:r>
        <w:rPr>
          <w:rFonts w:hint="eastAsia" w:ascii="宋体" w:hAnsi="宋体"/>
          <w:b/>
          <w:color w:val="auto"/>
          <w:sz w:val="24"/>
          <w:u w:val="single"/>
        </w:rPr>
        <w:t>3、废水处理效果</w:t>
      </w:r>
    </w:p>
    <w:p>
      <w:pPr>
        <w:adjustRightInd w:val="0"/>
        <w:snapToGrid w:val="0"/>
        <w:spacing w:line="360" w:lineRule="auto"/>
        <w:ind w:firstLine="482" w:firstLineChars="200"/>
        <w:rPr>
          <w:b/>
          <w:color w:val="auto"/>
          <w:kern w:val="21"/>
          <w:sz w:val="24"/>
          <w:szCs w:val="24"/>
          <w:u w:val="single"/>
        </w:rPr>
      </w:pPr>
      <w:r>
        <w:rPr>
          <w:rFonts w:hint="eastAsia"/>
          <w:b/>
          <w:color w:val="auto"/>
          <w:kern w:val="21"/>
          <w:sz w:val="24"/>
          <w:szCs w:val="24"/>
          <w:u w:val="single"/>
        </w:rPr>
        <w:t>本项目各级废水处理单元处理效果及出水水质见下表：</w:t>
      </w:r>
    </w:p>
    <w:p>
      <w:pPr>
        <w:pStyle w:val="32"/>
        <w:adjustRightInd w:val="0"/>
        <w:snapToGrid w:val="0"/>
        <w:spacing w:after="0"/>
        <w:jc w:val="center"/>
        <w:rPr>
          <w:rFonts w:ascii="宋体" w:hAnsi="宋体"/>
          <w:b/>
          <w:color w:val="auto"/>
          <w:sz w:val="24"/>
          <w:u w:val="single"/>
        </w:rPr>
      </w:pPr>
      <w:r>
        <w:rPr>
          <w:rFonts w:hint="eastAsia" w:eastAsia="黑体"/>
          <w:b/>
          <w:bCs/>
          <w:color w:val="auto"/>
          <w:kern w:val="21"/>
          <w:sz w:val="24"/>
          <w:u w:val="single"/>
          <w:lang w:val="en-US"/>
        </w:rPr>
        <w:t>表3.4-13  废水处理效果及出水水质</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576"/>
        <w:gridCol w:w="953"/>
        <w:gridCol w:w="664"/>
        <w:gridCol w:w="782"/>
        <w:gridCol w:w="757"/>
        <w:gridCol w:w="664"/>
        <w:gridCol w:w="757"/>
        <w:gridCol w:w="757"/>
        <w:gridCol w:w="855"/>
        <w:gridCol w:w="75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Merge w:val="restart"/>
            <w:vAlign w:val="center"/>
          </w:tcPr>
          <w:p>
            <w:pPr>
              <w:jc w:val="center"/>
              <w:rPr>
                <w:b/>
                <w:color w:val="auto"/>
                <w:u w:val="single"/>
              </w:rPr>
            </w:pPr>
            <w:r>
              <w:rPr>
                <w:b/>
                <w:color w:val="auto"/>
                <w:u w:val="single"/>
              </w:rPr>
              <w:t>项目</w:t>
            </w:r>
          </w:p>
        </w:tc>
        <w:tc>
          <w:tcPr>
            <w:tcW w:w="499" w:type="pct"/>
            <w:vAlign w:val="center"/>
          </w:tcPr>
          <w:p>
            <w:pPr>
              <w:jc w:val="center"/>
              <w:rPr>
                <w:b/>
                <w:color w:val="auto"/>
                <w:u w:val="single"/>
              </w:rPr>
            </w:pPr>
            <w:r>
              <w:rPr>
                <w:b/>
                <w:color w:val="auto"/>
                <w:u w:val="single"/>
              </w:rPr>
              <w:t>水量</w:t>
            </w:r>
          </w:p>
        </w:tc>
        <w:tc>
          <w:tcPr>
            <w:tcW w:w="532" w:type="pct"/>
            <w:vAlign w:val="center"/>
          </w:tcPr>
          <w:p>
            <w:pPr>
              <w:jc w:val="center"/>
              <w:rPr>
                <w:b/>
                <w:color w:val="auto"/>
                <w:u w:val="single"/>
                <w:vertAlign w:val="superscript"/>
              </w:rPr>
            </w:pPr>
            <w:r>
              <w:rPr>
                <w:b/>
                <w:color w:val="auto"/>
                <w:kern w:val="21"/>
                <w:u w:val="single"/>
              </w:rPr>
              <w:t>COD</w:t>
            </w:r>
          </w:p>
        </w:tc>
        <w:tc>
          <w:tcPr>
            <w:tcW w:w="450" w:type="pct"/>
            <w:vAlign w:val="center"/>
          </w:tcPr>
          <w:p>
            <w:pPr>
              <w:jc w:val="center"/>
              <w:rPr>
                <w:b/>
                <w:color w:val="auto"/>
                <w:u w:val="single"/>
              </w:rPr>
            </w:pPr>
            <w:r>
              <w:rPr>
                <w:b/>
                <w:color w:val="auto"/>
                <w:kern w:val="21"/>
                <w:u w:val="single"/>
              </w:rPr>
              <w:t>NH</w:t>
            </w:r>
            <w:r>
              <w:rPr>
                <w:b/>
                <w:color w:val="auto"/>
                <w:kern w:val="21"/>
                <w:u w:val="single"/>
                <w:vertAlign w:val="subscript"/>
              </w:rPr>
              <w:t>3</w:t>
            </w:r>
            <w:r>
              <w:rPr>
                <w:b/>
                <w:color w:val="auto"/>
                <w:kern w:val="21"/>
                <w:u w:val="single"/>
              </w:rPr>
              <w:t>-N</w:t>
            </w:r>
          </w:p>
        </w:tc>
        <w:tc>
          <w:tcPr>
            <w:tcW w:w="417" w:type="pct"/>
            <w:vAlign w:val="center"/>
          </w:tcPr>
          <w:p>
            <w:pPr>
              <w:jc w:val="center"/>
              <w:rPr>
                <w:b/>
                <w:color w:val="auto"/>
                <w:u w:val="single"/>
              </w:rPr>
            </w:pPr>
            <w:r>
              <w:rPr>
                <w:b/>
                <w:color w:val="auto"/>
                <w:kern w:val="21"/>
                <w:u w:val="single"/>
              </w:rPr>
              <w:t>SS</w:t>
            </w:r>
          </w:p>
        </w:tc>
        <w:tc>
          <w:tcPr>
            <w:tcW w:w="499" w:type="pct"/>
            <w:tcBorders>
              <w:right w:val="single" w:color="auto" w:sz="4" w:space="0"/>
            </w:tcBorders>
            <w:vAlign w:val="center"/>
          </w:tcPr>
          <w:p>
            <w:pPr>
              <w:jc w:val="center"/>
              <w:rPr>
                <w:b/>
                <w:color w:val="auto"/>
                <w:kern w:val="21"/>
                <w:u w:val="single"/>
              </w:rPr>
            </w:pPr>
            <w:r>
              <w:rPr>
                <w:b/>
                <w:color w:val="auto"/>
                <w:kern w:val="21"/>
                <w:u w:val="single"/>
              </w:rPr>
              <w:t>石油类</w:t>
            </w:r>
          </w:p>
        </w:tc>
        <w:tc>
          <w:tcPr>
            <w:tcW w:w="409" w:type="pct"/>
            <w:tcBorders>
              <w:left w:val="single" w:color="auto" w:sz="4" w:space="0"/>
            </w:tcBorders>
            <w:vAlign w:val="center"/>
          </w:tcPr>
          <w:p>
            <w:pPr>
              <w:jc w:val="center"/>
              <w:rPr>
                <w:b/>
                <w:color w:val="auto"/>
                <w:u w:val="single"/>
                <w:vertAlign w:val="superscript"/>
              </w:rPr>
            </w:pPr>
            <w:r>
              <w:rPr>
                <w:b/>
                <w:color w:val="auto"/>
                <w:kern w:val="21"/>
                <w:u w:val="single"/>
              </w:rPr>
              <w:t>总镍</w:t>
            </w:r>
          </w:p>
        </w:tc>
        <w:tc>
          <w:tcPr>
            <w:tcW w:w="368" w:type="pct"/>
            <w:vAlign w:val="center"/>
          </w:tcPr>
          <w:p>
            <w:pPr>
              <w:jc w:val="center"/>
              <w:rPr>
                <w:b/>
                <w:color w:val="auto"/>
                <w:kern w:val="21"/>
                <w:u w:val="single"/>
              </w:rPr>
            </w:pPr>
            <w:r>
              <w:rPr>
                <w:b/>
                <w:color w:val="auto"/>
                <w:kern w:val="21"/>
                <w:u w:val="single"/>
              </w:rPr>
              <w:t>总锌</w:t>
            </w:r>
          </w:p>
        </w:tc>
        <w:tc>
          <w:tcPr>
            <w:tcW w:w="427" w:type="pct"/>
            <w:vAlign w:val="center"/>
          </w:tcPr>
          <w:p>
            <w:pPr>
              <w:jc w:val="center"/>
              <w:rPr>
                <w:b/>
                <w:color w:val="auto"/>
                <w:kern w:val="21"/>
                <w:u w:val="single"/>
              </w:rPr>
            </w:pPr>
            <w:r>
              <w:rPr>
                <w:b/>
                <w:color w:val="auto"/>
                <w:kern w:val="21"/>
                <w:u w:val="single"/>
              </w:rPr>
              <w:t>六价铬</w:t>
            </w:r>
          </w:p>
        </w:tc>
        <w:tc>
          <w:tcPr>
            <w:tcW w:w="433" w:type="pct"/>
            <w:vAlign w:val="center"/>
          </w:tcPr>
          <w:p>
            <w:pPr>
              <w:jc w:val="center"/>
              <w:rPr>
                <w:b/>
                <w:color w:val="auto"/>
                <w:kern w:val="21"/>
                <w:u w:val="single"/>
              </w:rPr>
            </w:pPr>
            <w:r>
              <w:rPr>
                <w:b/>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Merge w:val="continue"/>
            <w:vAlign w:val="center"/>
          </w:tcPr>
          <w:p>
            <w:pPr>
              <w:jc w:val="center"/>
              <w:rPr>
                <w:b/>
                <w:color w:val="auto"/>
                <w:u w:val="single"/>
              </w:rPr>
            </w:pPr>
          </w:p>
        </w:tc>
        <w:tc>
          <w:tcPr>
            <w:tcW w:w="499" w:type="pct"/>
            <w:vAlign w:val="center"/>
          </w:tcPr>
          <w:p>
            <w:pPr>
              <w:jc w:val="center"/>
              <w:rPr>
                <w:b/>
                <w:color w:val="auto"/>
                <w:u w:val="single"/>
              </w:rPr>
            </w:pPr>
            <w:r>
              <w:rPr>
                <w:b/>
                <w:color w:val="auto"/>
                <w:u w:val="single"/>
              </w:rPr>
              <w:t>m</w:t>
            </w:r>
            <w:r>
              <w:rPr>
                <w:b/>
                <w:color w:val="auto"/>
                <w:u w:val="single"/>
                <w:vertAlign w:val="superscript"/>
              </w:rPr>
              <w:t>3</w:t>
            </w:r>
            <w:r>
              <w:rPr>
                <w:b/>
                <w:color w:val="auto"/>
                <w:u w:val="single"/>
              </w:rPr>
              <w:t>/d</w:t>
            </w:r>
          </w:p>
        </w:tc>
        <w:tc>
          <w:tcPr>
            <w:tcW w:w="532" w:type="pct"/>
            <w:vAlign w:val="center"/>
          </w:tcPr>
          <w:p>
            <w:pPr>
              <w:jc w:val="center"/>
              <w:rPr>
                <w:b/>
                <w:color w:val="auto"/>
                <w:u w:val="single"/>
              </w:rPr>
            </w:pPr>
            <w:r>
              <w:rPr>
                <w:b/>
                <w:color w:val="auto"/>
                <w:u w:val="single"/>
              </w:rPr>
              <w:t>mg/L</w:t>
            </w:r>
          </w:p>
        </w:tc>
        <w:tc>
          <w:tcPr>
            <w:tcW w:w="450" w:type="pct"/>
            <w:vAlign w:val="center"/>
          </w:tcPr>
          <w:p>
            <w:pPr>
              <w:jc w:val="center"/>
              <w:rPr>
                <w:b/>
                <w:color w:val="auto"/>
                <w:u w:val="single"/>
              </w:rPr>
            </w:pPr>
            <w:r>
              <w:rPr>
                <w:b/>
                <w:color w:val="auto"/>
                <w:u w:val="single"/>
              </w:rPr>
              <w:t>mg/L</w:t>
            </w:r>
          </w:p>
        </w:tc>
        <w:tc>
          <w:tcPr>
            <w:tcW w:w="417" w:type="pct"/>
            <w:vAlign w:val="center"/>
          </w:tcPr>
          <w:p>
            <w:pPr>
              <w:jc w:val="center"/>
              <w:rPr>
                <w:b/>
                <w:color w:val="auto"/>
                <w:u w:val="single"/>
              </w:rPr>
            </w:pPr>
            <w:r>
              <w:rPr>
                <w:b/>
                <w:color w:val="auto"/>
                <w:u w:val="single"/>
              </w:rPr>
              <w:t>mg/L</w:t>
            </w:r>
          </w:p>
        </w:tc>
        <w:tc>
          <w:tcPr>
            <w:tcW w:w="499" w:type="pct"/>
            <w:tcBorders>
              <w:right w:val="single" w:color="auto" w:sz="4" w:space="0"/>
            </w:tcBorders>
            <w:vAlign w:val="center"/>
          </w:tcPr>
          <w:p>
            <w:pPr>
              <w:jc w:val="center"/>
              <w:rPr>
                <w:b/>
                <w:color w:val="auto"/>
                <w:kern w:val="21"/>
                <w:u w:val="single"/>
              </w:rPr>
            </w:pPr>
            <w:r>
              <w:rPr>
                <w:b/>
                <w:color w:val="auto"/>
                <w:kern w:val="21"/>
                <w:u w:val="single"/>
              </w:rPr>
              <w:t>mg/L</w:t>
            </w:r>
          </w:p>
        </w:tc>
        <w:tc>
          <w:tcPr>
            <w:tcW w:w="409" w:type="pct"/>
            <w:tcBorders>
              <w:left w:val="single" w:color="auto" w:sz="4" w:space="0"/>
            </w:tcBorders>
            <w:vAlign w:val="center"/>
          </w:tcPr>
          <w:p>
            <w:pPr>
              <w:jc w:val="center"/>
              <w:rPr>
                <w:b/>
                <w:color w:val="auto"/>
                <w:u w:val="single"/>
                <w:vertAlign w:val="superscript"/>
              </w:rPr>
            </w:pPr>
            <w:r>
              <w:rPr>
                <w:b/>
                <w:color w:val="auto"/>
                <w:u w:val="single"/>
              </w:rPr>
              <w:t>mg/L</w:t>
            </w:r>
          </w:p>
        </w:tc>
        <w:tc>
          <w:tcPr>
            <w:tcW w:w="368" w:type="pct"/>
            <w:vAlign w:val="center"/>
          </w:tcPr>
          <w:p>
            <w:pPr>
              <w:jc w:val="center"/>
              <w:rPr>
                <w:b/>
                <w:color w:val="auto"/>
                <w:u w:val="single"/>
              </w:rPr>
            </w:pPr>
            <w:r>
              <w:rPr>
                <w:b/>
                <w:color w:val="auto"/>
                <w:u w:val="single"/>
              </w:rPr>
              <w:t>mg/L</w:t>
            </w:r>
          </w:p>
        </w:tc>
        <w:tc>
          <w:tcPr>
            <w:tcW w:w="427" w:type="pct"/>
            <w:vAlign w:val="center"/>
          </w:tcPr>
          <w:p>
            <w:pPr>
              <w:jc w:val="center"/>
              <w:rPr>
                <w:b/>
                <w:color w:val="auto"/>
                <w:u w:val="single"/>
              </w:rPr>
            </w:pPr>
            <w:r>
              <w:rPr>
                <w:b/>
                <w:color w:val="auto"/>
                <w:u w:val="single"/>
              </w:rPr>
              <w:t>mg/L</w:t>
            </w:r>
          </w:p>
        </w:tc>
        <w:tc>
          <w:tcPr>
            <w:tcW w:w="433" w:type="pct"/>
            <w:vAlign w:val="center"/>
          </w:tcPr>
          <w:p>
            <w:pPr>
              <w:jc w:val="center"/>
              <w:rPr>
                <w:b/>
                <w:color w:val="auto"/>
                <w:u w:val="single"/>
              </w:rPr>
            </w:pPr>
            <w:r>
              <w:rPr>
                <w:b/>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含镍废水</w:t>
            </w:r>
          </w:p>
        </w:tc>
        <w:tc>
          <w:tcPr>
            <w:tcW w:w="499" w:type="pct"/>
            <w:vAlign w:val="center"/>
          </w:tcPr>
          <w:p>
            <w:pPr>
              <w:jc w:val="center"/>
              <w:rPr>
                <w:b/>
                <w:color w:val="auto"/>
                <w:u w:val="single"/>
              </w:rPr>
            </w:pPr>
            <w:r>
              <w:rPr>
                <w:b/>
                <w:color w:val="auto"/>
                <w:u w:val="single"/>
              </w:rPr>
              <w:t>79.14</w:t>
            </w:r>
          </w:p>
        </w:tc>
        <w:tc>
          <w:tcPr>
            <w:tcW w:w="532" w:type="pct"/>
            <w:vAlign w:val="center"/>
          </w:tcPr>
          <w:p>
            <w:pPr>
              <w:jc w:val="center"/>
              <w:rPr>
                <w:b/>
                <w:color w:val="auto"/>
                <w:u w:val="single"/>
              </w:rPr>
            </w:pPr>
            <w:r>
              <w:rPr>
                <w:b/>
                <w:color w:val="auto"/>
                <w:u w:val="single"/>
              </w:rPr>
              <w:t>188</w:t>
            </w:r>
          </w:p>
        </w:tc>
        <w:tc>
          <w:tcPr>
            <w:tcW w:w="450" w:type="pct"/>
            <w:vAlign w:val="center"/>
          </w:tcPr>
          <w:p>
            <w:pPr>
              <w:jc w:val="center"/>
              <w:rPr>
                <w:b/>
                <w:color w:val="auto"/>
                <w:u w:val="single"/>
              </w:rPr>
            </w:pPr>
            <w:r>
              <w:rPr>
                <w:b/>
                <w:color w:val="auto"/>
                <w:u w:val="single"/>
              </w:rPr>
              <w:t>14</w:t>
            </w:r>
          </w:p>
        </w:tc>
        <w:tc>
          <w:tcPr>
            <w:tcW w:w="417" w:type="pct"/>
            <w:vAlign w:val="center"/>
          </w:tcPr>
          <w:p>
            <w:pPr>
              <w:jc w:val="center"/>
              <w:rPr>
                <w:b/>
                <w:color w:val="auto"/>
                <w:u w:val="single"/>
              </w:rPr>
            </w:pPr>
            <w:r>
              <w:rPr>
                <w:b/>
                <w:color w:val="auto"/>
                <w:u w:val="single"/>
              </w:rPr>
              <w:t>114</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b/>
                <w:color w:val="auto"/>
                <w:u w:val="single"/>
              </w:rPr>
              <w:t>100</w:t>
            </w:r>
          </w:p>
        </w:tc>
        <w:tc>
          <w:tcPr>
            <w:tcW w:w="368" w:type="pct"/>
            <w:vAlign w:val="center"/>
          </w:tcPr>
          <w:p>
            <w:pPr>
              <w:jc w:val="center"/>
              <w:rPr>
                <w:b/>
                <w:color w:val="auto"/>
                <w:u w:val="single"/>
              </w:rPr>
            </w:pPr>
            <w:r>
              <w:rPr>
                <w:b/>
                <w:color w:val="auto"/>
                <w:u w:val="single"/>
              </w:rPr>
              <w:t>/</w:t>
            </w:r>
          </w:p>
        </w:tc>
        <w:tc>
          <w:tcPr>
            <w:tcW w:w="427" w:type="pct"/>
            <w:vAlign w:val="center"/>
          </w:tcPr>
          <w:p>
            <w:pPr>
              <w:jc w:val="center"/>
              <w:rPr>
                <w:b/>
                <w:color w:val="auto"/>
                <w:u w:val="single"/>
              </w:rPr>
            </w:pPr>
            <w:r>
              <w:rPr>
                <w:b/>
                <w:color w:val="auto"/>
                <w:u w:val="single"/>
              </w:rPr>
              <w:t>/</w:t>
            </w:r>
          </w:p>
        </w:tc>
        <w:tc>
          <w:tcPr>
            <w:tcW w:w="433" w:type="pct"/>
            <w:vAlign w:val="center"/>
          </w:tcPr>
          <w:p>
            <w:pPr>
              <w:jc w:val="center"/>
              <w:rPr>
                <w:b/>
                <w:color w:val="auto"/>
                <w:u w:val="single"/>
              </w:rPr>
            </w:pPr>
            <w:r>
              <w:rPr>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60" w:type="pct"/>
            <w:vAlign w:val="center"/>
          </w:tcPr>
          <w:p>
            <w:pPr>
              <w:jc w:val="center"/>
              <w:rPr>
                <w:b/>
                <w:color w:val="auto"/>
                <w:u w:val="single"/>
              </w:rPr>
            </w:pPr>
            <w:r>
              <w:rPr>
                <w:b/>
                <w:color w:val="auto"/>
                <w:u w:val="single"/>
              </w:rPr>
              <w:t>含镍废水预处理（混凝沉淀+多介质过滤器）出水</w:t>
            </w:r>
          </w:p>
        </w:tc>
        <w:tc>
          <w:tcPr>
            <w:tcW w:w="499" w:type="pct"/>
            <w:vAlign w:val="center"/>
          </w:tcPr>
          <w:p>
            <w:pPr>
              <w:jc w:val="center"/>
              <w:rPr>
                <w:b/>
                <w:color w:val="auto"/>
                <w:u w:val="single"/>
              </w:rPr>
            </w:pPr>
            <w:r>
              <w:rPr>
                <w:b/>
                <w:color w:val="auto"/>
                <w:u w:val="single"/>
              </w:rPr>
              <w:t>79.14</w:t>
            </w:r>
          </w:p>
        </w:tc>
        <w:tc>
          <w:tcPr>
            <w:tcW w:w="532" w:type="pct"/>
            <w:vAlign w:val="center"/>
          </w:tcPr>
          <w:p>
            <w:pPr>
              <w:jc w:val="center"/>
              <w:rPr>
                <w:b/>
                <w:color w:val="auto"/>
                <w:u w:val="single"/>
              </w:rPr>
            </w:pPr>
            <w:r>
              <w:rPr>
                <w:rFonts w:hint="eastAsia"/>
                <w:b/>
                <w:color w:val="auto"/>
                <w:u w:val="single"/>
              </w:rPr>
              <w:t>188</w:t>
            </w:r>
          </w:p>
        </w:tc>
        <w:tc>
          <w:tcPr>
            <w:tcW w:w="450" w:type="pct"/>
            <w:vAlign w:val="center"/>
          </w:tcPr>
          <w:p>
            <w:pPr>
              <w:jc w:val="center"/>
              <w:rPr>
                <w:b/>
                <w:color w:val="auto"/>
                <w:u w:val="single"/>
              </w:rPr>
            </w:pPr>
            <w:r>
              <w:rPr>
                <w:rFonts w:hint="eastAsia"/>
                <w:b/>
                <w:color w:val="auto"/>
                <w:u w:val="single"/>
              </w:rPr>
              <w:t>14</w:t>
            </w:r>
          </w:p>
        </w:tc>
        <w:tc>
          <w:tcPr>
            <w:tcW w:w="417" w:type="pct"/>
            <w:vAlign w:val="center"/>
          </w:tcPr>
          <w:p>
            <w:pPr>
              <w:jc w:val="center"/>
              <w:rPr>
                <w:b/>
                <w:color w:val="auto"/>
                <w:u w:val="single"/>
              </w:rPr>
            </w:pPr>
            <w:r>
              <w:rPr>
                <w:rFonts w:hint="eastAsia"/>
                <w:b/>
                <w:color w:val="auto"/>
                <w:u w:val="single"/>
              </w:rPr>
              <w:t>11.4</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0.4</w:t>
            </w:r>
          </w:p>
        </w:tc>
        <w:tc>
          <w:tcPr>
            <w:tcW w:w="368" w:type="pct"/>
            <w:vAlign w:val="center"/>
          </w:tcPr>
          <w:p>
            <w:pPr>
              <w:jc w:val="center"/>
              <w:rPr>
                <w:b/>
                <w:color w:val="auto"/>
                <w:u w:val="single"/>
              </w:rPr>
            </w:pPr>
            <w:r>
              <w:rPr>
                <w:b/>
                <w:color w:val="auto"/>
                <w:u w:val="single"/>
              </w:rPr>
              <w:t>/</w:t>
            </w:r>
          </w:p>
        </w:tc>
        <w:tc>
          <w:tcPr>
            <w:tcW w:w="427" w:type="pct"/>
            <w:vAlign w:val="center"/>
          </w:tcPr>
          <w:p>
            <w:pPr>
              <w:jc w:val="center"/>
              <w:rPr>
                <w:b/>
                <w:color w:val="auto"/>
                <w:u w:val="single"/>
              </w:rPr>
            </w:pPr>
            <w:r>
              <w:rPr>
                <w:b/>
                <w:color w:val="auto"/>
                <w:u w:val="single"/>
              </w:rPr>
              <w:t>/</w:t>
            </w:r>
          </w:p>
        </w:tc>
        <w:tc>
          <w:tcPr>
            <w:tcW w:w="433" w:type="pct"/>
            <w:vAlign w:val="center"/>
          </w:tcPr>
          <w:p>
            <w:pPr>
              <w:jc w:val="center"/>
              <w:rPr>
                <w:b/>
                <w:color w:val="auto"/>
                <w:u w:val="single"/>
              </w:rPr>
            </w:pPr>
            <w:r>
              <w:rPr>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去除率</w:t>
            </w:r>
          </w:p>
        </w:tc>
        <w:tc>
          <w:tcPr>
            <w:tcW w:w="499" w:type="pct"/>
            <w:vAlign w:val="center"/>
          </w:tcPr>
          <w:p>
            <w:pPr>
              <w:jc w:val="center"/>
              <w:rPr>
                <w:b/>
                <w:color w:val="auto"/>
                <w:u w:val="single"/>
              </w:rPr>
            </w:pPr>
            <w:r>
              <w:rPr>
                <w:b/>
                <w:color w:val="auto"/>
                <w:u w:val="single"/>
              </w:rPr>
              <w:t>/</w:t>
            </w:r>
          </w:p>
        </w:tc>
        <w:tc>
          <w:tcPr>
            <w:tcW w:w="532" w:type="pct"/>
            <w:vAlign w:val="center"/>
          </w:tcPr>
          <w:p>
            <w:pPr>
              <w:jc w:val="center"/>
              <w:rPr>
                <w:b/>
                <w:color w:val="auto"/>
                <w:u w:val="single"/>
              </w:rPr>
            </w:pPr>
            <w:r>
              <w:rPr>
                <w:b/>
                <w:color w:val="auto"/>
                <w:u w:val="single"/>
              </w:rPr>
              <w:t>0</w:t>
            </w:r>
          </w:p>
        </w:tc>
        <w:tc>
          <w:tcPr>
            <w:tcW w:w="450" w:type="pct"/>
            <w:vAlign w:val="center"/>
          </w:tcPr>
          <w:p>
            <w:pPr>
              <w:jc w:val="center"/>
              <w:rPr>
                <w:b/>
                <w:color w:val="auto"/>
                <w:u w:val="single"/>
              </w:rPr>
            </w:pPr>
            <w:r>
              <w:rPr>
                <w:b/>
                <w:color w:val="auto"/>
                <w:u w:val="single"/>
              </w:rPr>
              <w:t>0</w:t>
            </w:r>
          </w:p>
        </w:tc>
        <w:tc>
          <w:tcPr>
            <w:tcW w:w="417" w:type="pct"/>
            <w:vAlign w:val="center"/>
          </w:tcPr>
          <w:p>
            <w:pPr>
              <w:jc w:val="center"/>
              <w:rPr>
                <w:b/>
                <w:color w:val="auto"/>
                <w:u w:val="single"/>
              </w:rPr>
            </w:pPr>
            <w:r>
              <w:rPr>
                <w:b/>
                <w:color w:val="auto"/>
                <w:u w:val="single"/>
              </w:rPr>
              <w:t>90%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b/>
                <w:color w:val="auto"/>
                <w:u w:val="single"/>
              </w:rPr>
              <w:t>99.6%</w:t>
            </w:r>
          </w:p>
        </w:tc>
        <w:tc>
          <w:tcPr>
            <w:tcW w:w="368" w:type="pct"/>
            <w:vAlign w:val="center"/>
          </w:tcPr>
          <w:p>
            <w:pPr>
              <w:jc w:val="center"/>
              <w:rPr>
                <w:b/>
                <w:color w:val="auto"/>
                <w:u w:val="single"/>
              </w:rPr>
            </w:pPr>
            <w:r>
              <w:rPr>
                <w:b/>
                <w:color w:val="auto"/>
                <w:u w:val="single"/>
              </w:rPr>
              <w:t>/</w:t>
            </w:r>
          </w:p>
        </w:tc>
        <w:tc>
          <w:tcPr>
            <w:tcW w:w="427" w:type="pct"/>
            <w:vAlign w:val="center"/>
          </w:tcPr>
          <w:p>
            <w:pPr>
              <w:jc w:val="center"/>
              <w:rPr>
                <w:b/>
                <w:color w:val="auto"/>
                <w:u w:val="single"/>
              </w:rPr>
            </w:pPr>
            <w:r>
              <w:rPr>
                <w:b/>
                <w:color w:val="auto"/>
                <w:u w:val="single"/>
              </w:rPr>
              <w:t>/</w:t>
            </w:r>
          </w:p>
        </w:tc>
        <w:tc>
          <w:tcPr>
            <w:tcW w:w="433" w:type="pct"/>
            <w:vAlign w:val="center"/>
          </w:tcPr>
          <w:p>
            <w:pPr>
              <w:jc w:val="center"/>
              <w:rPr>
                <w:b/>
                <w:color w:val="auto"/>
                <w:u w:val="single"/>
              </w:rPr>
            </w:pPr>
            <w:r>
              <w:rPr>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含锌废水</w:t>
            </w:r>
          </w:p>
        </w:tc>
        <w:tc>
          <w:tcPr>
            <w:tcW w:w="499" w:type="pct"/>
            <w:vAlign w:val="center"/>
          </w:tcPr>
          <w:p>
            <w:pPr>
              <w:jc w:val="center"/>
              <w:rPr>
                <w:b/>
                <w:color w:val="auto"/>
                <w:u w:val="single"/>
              </w:rPr>
            </w:pPr>
            <w:r>
              <w:rPr>
                <w:b/>
                <w:color w:val="auto"/>
                <w:u w:val="single"/>
              </w:rPr>
              <w:t>9.2964</w:t>
            </w:r>
          </w:p>
        </w:tc>
        <w:tc>
          <w:tcPr>
            <w:tcW w:w="532" w:type="pct"/>
            <w:vAlign w:val="center"/>
          </w:tcPr>
          <w:p>
            <w:pPr>
              <w:jc w:val="center"/>
              <w:rPr>
                <w:b/>
                <w:color w:val="auto"/>
                <w:u w:val="single"/>
              </w:rPr>
            </w:pPr>
            <w:r>
              <w:rPr>
                <w:b/>
                <w:color w:val="auto"/>
                <w:u w:val="single"/>
              </w:rPr>
              <w:t>150</w:t>
            </w:r>
          </w:p>
        </w:tc>
        <w:tc>
          <w:tcPr>
            <w:tcW w:w="450" w:type="pct"/>
            <w:vAlign w:val="center"/>
          </w:tcPr>
          <w:p>
            <w:pPr>
              <w:jc w:val="center"/>
              <w:rPr>
                <w:b/>
                <w:color w:val="auto"/>
                <w:u w:val="single"/>
              </w:rPr>
            </w:pPr>
            <w:r>
              <w:rPr>
                <w:b/>
                <w:color w:val="auto"/>
                <w:u w:val="single"/>
              </w:rPr>
              <w:t>20</w:t>
            </w:r>
          </w:p>
        </w:tc>
        <w:tc>
          <w:tcPr>
            <w:tcW w:w="417" w:type="pct"/>
            <w:vAlign w:val="center"/>
          </w:tcPr>
          <w:p>
            <w:pPr>
              <w:jc w:val="center"/>
              <w:rPr>
                <w:b/>
                <w:color w:val="auto"/>
                <w:u w:val="single"/>
              </w:rPr>
            </w:pPr>
            <w:r>
              <w:rPr>
                <w:b/>
                <w:color w:val="auto"/>
                <w:u w:val="single"/>
              </w:rPr>
              <w:t>70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b/>
                <w:color w:val="auto"/>
                <w:u w:val="single"/>
              </w:rPr>
              <w:t>/</w:t>
            </w:r>
          </w:p>
        </w:tc>
        <w:tc>
          <w:tcPr>
            <w:tcW w:w="368" w:type="pct"/>
            <w:vAlign w:val="center"/>
          </w:tcPr>
          <w:p>
            <w:pPr>
              <w:jc w:val="center"/>
              <w:rPr>
                <w:b/>
                <w:color w:val="auto"/>
                <w:u w:val="single"/>
              </w:rPr>
            </w:pPr>
            <w:r>
              <w:rPr>
                <w:b/>
                <w:color w:val="auto"/>
                <w:u w:val="single"/>
              </w:rPr>
              <w:t>50</w:t>
            </w:r>
          </w:p>
        </w:tc>
        <w:tc>
          <w:tcPr>
            <w:tcW w:w="427" w:type="pct"/>
            <w:vAlign w:val="center"/>
          </w:tcPr>
          <w:p>
            <w:pPr>
              <w:jc w:val="center"/>
              <w:rPr>
                <w:b/>
                <w:color w:val="auto"/>
                <w:u w:val="single"/>
              </w:rPr>
            </w:pPr>
            <w:r>
              <w:rPr>
                <w:b/>
                <w:color w:val="auto"/>
                <w:u w:val="single"/>
              </w:rPr>
              <w:t>/</w:t>
            </w:r>
          </w:p>
        </w:tc>
        <w:tc>
          <w:tcPr>
            <w:tcW w:w="433" w:type="pct"/>
            <w:vAlign w:val="center"/>
          </w:tcPr>
          <w:p>
            <w:pPr>
              <w:jc w:val="center"/>
              <w:rPr>
                <w:b/>
                <w:color w:val="auto"/>
                <w:u w:val="single"/>
              </w:rPr>
            </w:pPr>
            <w:r>
              <w:rPr>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含锌废水预处理（混凝沉淀+多介质过滤器）出水</w:t>
            </w:r>
          </w:p>
        </w:tc>
        <w:tc>
          <w:tcPr>
            <w:tcW w:w="499" w:type="pct"/>
            <w:vAlign w:val="center"/>
          </w:tcPr>
          <w:p>
            <w:pPr>
              <w:jc w:val="center"/>
              <w:rPr>
                <w:b/>
                <w:color w:val="auto"/>
                <w:u w:val="single"/>
              </w:rPr>
            </w:pPr>
            <w:r>
              <w:rPr>
                <w:rFonts w:hint="eastAsia"/>
                <w:b/>
                <w:color w:val="auto"/>
                <w:u w:val="single"/>
              </w:rPr>
              <w:t>9.2964</w:t>
            </w:r>
          </w:p>
        </w:tc>
        <w:tc>
          <w:tcPr>
            <w:tcW w:w="532" w:type="pct"/>
            <w:vAlign w:val="center"/>
          </w:tcPr>
          <w:p>
            <w:pPr>
              <w:jc w:val="center"/>
              <w:rPr>
                <w:b/>
                <w:color w:val="auto"/>
                <w:u w:val="single"/>
              </w:rPr>
            </w:pPr>
            <w:r>
              <w:rPr>
                <w:rFonts w:hint="eastAsia"/>
                <w:b/>
                <w:color w:val="auto"/>
                <w:u w:val="single"/>
              </w:rPr>
              <w:t>150</w:t>
            </w:r>
          </w:p>
        </w:tc>
        <w:tc>
          <w:tcPr>
            <w:tcW w:w="450" w:type="pct"/>
            <w:vAlign w:val="center"/>
          </w:tcPr>
          <w:p>
            <w:pPr>
              <w:jc w:val="center"/>
              <w:rPr>
                <w:b/>
                <w:color w:val="auto"/>
                <w:u w:val="single"/>
              </w:rPr>
            </w:pPr>
            <w:r>
              <w:rPr>
                <w:rFonts w:hint="eastAsia"/>
                <w:b/>
                <w:color w:val="auto"/>
                <w:u w:val="single"/>
              </w:rPr>
              <w:t>20</w:t>
            </w:r>
          </w:p>
        </w:tc>
        <w:tc>
          <w:tcPr>
            <w:tcW w:w="417" w:type="pct"/>
            <w:vAlign w:val="center"/>
          </w:tcPr>
          <w:p>
            <w:pPr>
              <w:jc w:val="center"/>
              <w:rPr>
                <w:b/>
                <w:color w:val="auto"/>
                <w:u w:val="single"/>
              </w:rPr>
            </w:pPr>
            <w:r>
              <w:rPr>
                <w:rFonts w:hint="eastAsia"/>
                <w:b/>
                <w:color w:val="auto"/>
                <w:u w:val="single"/>
              </w:rPr>
              <w:t>7</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w:t>
            </w:r>
          </w:p>
        </w:tc>
        <w:tc>
          <w:tcPr>
            <w:tcW w:w="368" w:type="pct"/>
            <w:vAlign w:val="center"/>
          </w:tcPr>
          <w:p>
            <w:pPr>
              <w:jc w:val="center"/>
              <w:rPr>
                <w:b/>
                <w:color w:val="auto"/>
                <w:u w:val="single"/>
              </w:rPr>
            </w:pPr>
            <w:r>
              <w:rPr>
                <w:rFonts w:hint="eastAsia"/>
                <w:b/>
                <w:color w:val="auto"/>
                <w:u w:val="single"/>
              </w:rPr>
              <w:t>0.6</w:t>
            </w:r>
          </w:p>
        </w:tc>
        <w:tc>
          <w:tcPr>
            <w:tcW w:w="427" w:type="pct"/>
            <w:vAlign w:val="center"/>
          </w:tcPr>
          <w:p>
            <w:pPr>
              <w:jc w:val="center"/>
              <w:rPr>
                <w:b/>
                <w:color w:val="auto"/>
                <w:u w:val="single"/>
              </w:rPr>
            </w:pPr>
            <w:r>
              <w:rPr>
                <w:rFonts w:hint="eastAsia"/>
                <w:b/>
                <w:color w:val="auto"/>
                <w:u w:val="single"/>
              </w:rPr>
              <w:t>/</w:t>
            </w:r>
          </w:p>
        </w:tc>
        <w:tc>
          <w:tcPr>
            <w:tcW w:w="433" w:type="pct"/>
            <w:vAlign w:val="center"/>
          </w:tcPr>
          <w:p>
            <w:pPr>
              <w:jc w:val="center"/>
              <w:rPr>
                <w:b/>
                <w:color w:val="auto"/>
                <w:u w:val="single"/>
              </w:rPr>
            </w:pPr>
            <w:r>
              <w:rPr>
                <w:rFonts w:hint="eastAsia"/>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去除率</w:t>
            </w:r>
          </w:p>
        </w:tc>
        <w:tc>
          <w:tcPr>
            <w:tcW w:w="499" w:type="pct"/>
            <w:vAlign w:val="center"/>
          </w:tcPr>
          <w:p>
            <w:pPr>
              <w:jc w:val="center"/>
              <w:rPr>
                <w:b/>
                <w:color w:val="auto"/>
                <w:u w:val="single"/>
              </w:rPr>
            </w:pPr>
            <w:r>
              <w:rPr>
                <w:rFonts w:hint="eastAsia"/>
                <w:b/>
                <w:color w:val="auto"/>
                <w:u w:val="single"/>
              </w:rPr>
              <w:t>/</w:t>
            </w:r>
          </w:p>
        </w:tc>
        <w:tc>
          <w:tcPr>
            <w:tcW w:w="532" w:type="pct"/>
            <w:vAlign w:val="center"/>
          </w:tcPr>
          <w:p>
            <w:pPr>
              <w:jc w:val="center"/>
              <w:rPr>
                <w:b/>
                <w:color w:val="auto"/>
                <w:u w:val="single"/>
              </w:rPr>
            </w:pPr>
            <w:r>
              <w:rPr>
                <w:rFonts w:hint="eastAsia"/>
                <w:b/>
                <w:color w:val="auto"/>
                <w:u w:val="single"/>
              </w:rPr>
              <w:t>/</w:t>
            </w:r>
          </w:p>
        </w:tc>
        <w:tc>
          <w:tcPr>
            <w:tcW w:w="450" w:type="pct"/>
            <w:vAlign w:val="center"/>
          </w:tcPr>
          <w:p>
            <w:pPr>
              <w:jc w:val="center"/>
              <w:rPr>
                <w:b/>
                <w:color w:val="auto"/>
                <w:u w:val="single"/>
              </w:rPr>
            </w:pPr>
            <w:r>
              <w:rPr>
                <w:rFonts w:hint="eastAsia"/>
                <w:b/>
                <w:color w:val="auto"/>
                <w:u w:val="single"/>
              </w:rPr>
              <w:t>/</w:t>
            </w:r>
          </w:p>
        </w:tc>
        <w:tc>
          <w:tcPr>
            <w:tcW w:w="417" w:type="pct"/>
            <w:vAlign w:val="center"/>
          </w:tcPr>
          <w:p>
            <w:pPr>
              <w:jc w:val="center"/>
              <w:rPr>
                <w:b/>
                <w:color w:val="auto"/>
                <w:u w:val="single"/>
              </w:rPr>
            </w:pPr>
            <w:r>
              <w:rPr>
                <w:rFonts w:hint="eastAsia"/>
                <w:b/>
                <w:color w:val="auto"/>
                <w:u w:val="single"/>
              </w:rPr>
              <w:t>90%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w:t>
            </w:r>
          </w:p>
        </w:tc>
        <w:tc>
          <w:tcPr>
            <w:tcW w:w="368" w:type="pct"/>
            <w:vAlign w:val="center"/>
          </w:tcPr>
          <w:p>
            <w:pPr>
              <w:jc w:val="center"/>
              <w:rPr>
                <w:b/>
                <w:color w:val="auto"/>
                <w:u w:val="single"/>
              </w:rPr>
            </w:pPr>
            <w:r>
              <w:rPr>
                <w:rFonts w:hint="eastAsia"/>
                <w:b/>
                <w:color w:val="auto"/>
                <w:u w:val="single"/>
              </w:rPr>
              <w:t>98.8%</w:t>
            </w:r>
          </w:p>
        </w:tc>
        <w:tc>
          <w:tcPr>
            <w:tcW w:w="427" w:type="pct"/>
            <w:vAlign w:val="center"/>
          </w:tcPr>
          <w:p>
            <w:pPr>
              <w:jc w:val="center"/>
              <w:rPr>
                <w:b/>
                <w:color w:val="auto"/>
                <w:u w:val="single"/>
              </w:rPr>
            </w:pPr>
            <w:r>
              <w:rPr>
                <w:rFonts w:hint="eastAsia"/>
                <w:b/>
                <w:color w:val="auto"/>
                <w:u w:val="single"/>
              </w:rPr>
              <w:t>/</w:t>
            </w:r>
          </w:p>
        </w:tc>
        <w:tc>
          <w:tcPr>
            <w:tcW w:w="433" w:type="pct"/>
            <w:vAlign w:val="center"/>
          </w:tcPr>
          <w:p>
            <w:pPr>
              <w:jc w:val="center"/>
              <w:rPr>
                <w:b/>
                <w:color w:val="auto"/>
                <w:u w:val="single"/>
              </w:rPr>
            </w:pPr>
            <w:r>
              <w:rPr>
                <w:rFonts w:hint="eastAsia"/>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含铬废水</w:t>
            </w:r>
          </w:p>
        </w:tc>
        <w:tc>
          <w:tcPr>
            <w:tcW w:w="499" w:type="pct"/>
            <w:vAlign w:val="center"/>
          </w:tcPr>
          <w:p>
            <w:pPr>
              <w:jc w:val="center"/>
              <w:rPr>
                <w:b/>
                <w:color w:val="auto"/>
                <w:u w:val="single"/>
              </w:rPr>
            </w:pPr>
            <w:r>
              <w:rPr>
                <w:b/>
                <w:color w:val="auto"/>
                <w:u w:val="single"/>
              </w:rPr>
              <w:t>136.1616</w:t>
            </w:r>
          </w:p>
        </w:tc>
        <w:tc>
          <w:tcPr>
            <w:tcW w:w="532" w:type="pct"/>
            <w:vAlign w:val="center"/>
          </w:tcPr>
          <w:p>
            <w:pPr>
              <w:jc w:val="center"/>
              <w:rPr>
                <w:b/>
                <w:color w:val="auto"/>
                <w:u w:val="single"/>
              </w:rPr>
            </w:pPr>
            <w:r>
              <w:rPr>
                <w:b/>
                <w:color w:val="auto"/>
                <w:u w:val="single"/>
              </w:rPr>
              <w:t>50</w:t>
            </w:r>
          </w:p>
        </w:tc>
        <w:tc>
          <w:tcPr>
            <w:tcW w:w="450" w:type="pct"/>
            <w:vAlign w:val="center"/>
          </w:tcPr>
          <w:p>
            <w:pPr>
              <w:jc w:val="center"/>
              <w:rPr>
                <w:b/>
                <w:color w:val="auto"/>
                <w:u w:val="single"/>
              </w:rPr>
            </w:pPr>
            <w:r>
              <w:rPr>
                <w:b/>
                <w:color w:val="auto"/>
                <w:u w:val="single"/>
              </w:rPr>
              <w:t>3</w:t>
            </w:r>
          </w:p>
        </w:tc>
        <w:tc>
          <w:tcPr>
            <w:tcW w:w="417" w:type="pct"/>
            <w:vAlign w:val="center"/>
          </w:tcPr>
          <w:p>
            <w:pPr>
              <w:jc w:val="center"/>
              <w:rPr>
                <w:b/>
                <w:color w:val="auto"/>
                <w:u w:val="single"/>
              </w:rPr>
            </w:pPr>
            <w:r>
              <w:rPr>
                <w:b/>
                <w:color w:val="auto"/>
                <w:u w:val="single"/>
              </w:rPr>
              <w:t>200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b/>
                <w:color w:val="auto"/>
                <w:u w:val="single"/>
              </w:rPr>
              <w:t>/</w:t>
            </w:r>
          </w:p>
        </w:tc>
        <w:tc>
          <w:tcPr>
            <w:tcW w:w="368" w:type="pct"/>
            <w:vAlign w:val="center"/>
          </w:tcPr>
          <w:p>
            <w:pPr>
              <w:jc w:val="center"/>
              <w:rPr>
                <w:b/>
                <w:color w:val="auto"/>
                <w:u w:val="single"/>
              </w:rPr>
            </w:pPr>
            <w:r>
              <w:rPr>
                <w:b/>
                <w:color w:val="auto"/>
                <w:u w:val="single"/>
              </w:rPr>
              <w:t>/</w:t>
            </w:r>
          </w:p>
        </w:tc>
        <w:tc>
          <w:tcPr>
            <w:tcW w:w="427" w:type="pct"/>
            <w:vAlign w:val="center"/>
          </w:tcPr>
          <w:p>
            <w:pPr>
              <w:jc w:val="center"/>
              <w:rPr>
                <w:b/>
                <w:color w:val="auto"/>
                <w:u w:val="single"/>
              </w:rPr>
            </w:pPr>
            <w:r>
              <w:rPr>
                <w:b/>
                <w:color w:val="auto"/>
                <w:u w:val="single"/>
              </w:rPr>
              <w:t>200</w:t>
            </w:r>
          </w:p>
        </w:tc>
        <w:tc>
          <w:tcPr>
            <w:tcW w:w="433" w:type="pct"/>
            <w:vAlign w:val="center"/>
          </w:tcPr>
          <w:p>
            <w:pPr>
              <w:jc w:val="center"/>
              <w:rPr>
                <w:b/>
                <w:color w:val="auto"/>
                <w:u w:val="single"/>
              </w:rPr>
            </w:pPr>
            <w:r>
              <w:rPr>
                <w:b/>
                <w:color w:val="auto"/>
                <w:u w:val="single"/>
              </w:rPr>
              <w:t>300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b/>
                <w:color w:val="auto"/>
                <w:u w:val="single"/>
              </w:rPr>
              <w:t>含铬废水预处理（还原+混凝沉淀+多介质过滤器）出水</w:t>
            </w:r>
          </w:p>
        </w:tc>
        <w:tc>
          <w:tcPr>
            <w:tcW w:w="499" w:type="pct"/>
            <w:vAlign w:val="center"/>
          </w:tcPr>
          <w:p>
            <w:pPr>
              <w:jc w:val="center"/>
              <w:rPr>
                <w:b/>
                <w:color w:val="auto"/>
                <w:u w:val="single"/>
              </w:rPr>
            </w:pPr>
            <w:r>
              <w:rPr>
                <w:rFonts w:hint="eastAsia"/>
                <w:b/>
                <w:color w:val="auto"/>
                <w:u w:val="single"/>
              </w:rPr>
              <w:t>136.1616</w:t>
            </w:r>
          </w:p>
        </w:tc>
        <w:tc>
          <w:tcPr>
            <w:tcW w:w="532" w:type="pct"/>
            <w:vAlign w:val="center"/>
          </w:tcPr>
          <w:p>
            <w:pPr>
              <w:jc w:val="center"/>
              <w:rPr>
                <w:b/>
                <w:color w:val="auto"/>
                <w:u w:val="single"/>
              </w:rPr>
            </w:pPr>
            <w:r>
              <w:rPr>
                <w:rFonts w:hint="eastAsia"/>
                <w:b/>
                <w:color w:val="auto"/>
                <w:u w:val="single"/>
              </w:rPr>
              <w:t>50</w:t>
            </w:r>
          </w:p>
        </w:tc>
        <w:tc>
          <w:tcPr>
            <w:tcW w:w="450" w:type="pct"/>
            <w:vAlign w:val="center"/>
          </w:tcPr>
          <w:p>
            <w:pPr>
              <w:jc w:val="center"/>
              <w:rPr>
                <w:b/>
                <w:color w:val="auto"/>
                <w:u w:val="single"/>
              </w:rPr>
            </w:pPr>
            <w:r>
              <w:rPr>
                <w:rFonts w:hint="eastAsia"/>
                <w:b/>
                <w:color w:val="auto"/>
                <w:u w:val="single"/>
              </w:rPr>
              <w:t>3</w:t>
            </w:r>
          </w:p>
        </w:tc>
        <w:tc>
          <w:tcPr>
            <w:tcW w:w="417" w:type="pct"/>
            <w:vAlign w:val="center"/>
          </w:tcPr>
          <w:p>
            <w:pPr>
              <w:jc w:val="center"/>
              <w:rPr>
                <w:b/>
                <w:color w:val="auto"/>
                <w:u w:val="single"/>
              </w:rPr>
            </w:pPr>
            <w:r>
              <w:rPr>
                <w:rFonts w:hint="eastAsia"/>
                <w:b/>
                <w:color w:val="auto"/>
                <w:u w:val="single"/>
              </w:rPr>
              <w:t>20</w:t>
            </w:r>
          </w:p>
        </w:tc>
        <w:tc>
          <w:tcPr>
            <w:tcW w:w="499" w:type="pct"/>
            <w:tcBorders>
              <w:right w:val="single" w:color="auto" w:sz="4" w:space="0"/>
            </w:tcBorders>
            <w:vAlign w:val="center"/>
          </w:tcPr>
          <w:p>
            <w:pPr>
              <w:jc w:val="center"/>
              <w:rPr>
                <w:b/>
                <w:color w:val="auto"/>
                <w:u w:val="single"/>
              </w:rPr>
            </w:pPr>
            <w:r>
              <w:rPr>
                <w:rFonts w:hint="eastAsia"/>
                <w:b/>
                <w:color w:val="auto"/>
                <w:u w:val="single"/>
                <w:lang w:eastAsia="zh-CN"/>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w:t>
            </w:r>
          </w:p>
        </w:tc>
        <w:tc>
          <w:tcPr>
            <w:tcW w:w="368" w:type="pct"/>
            <w:vAlign w:val="center"/>
          </w:tcPr>
          <w:p>
            <w:pPr>
              <w:jc w:val="center"/>
              <w:rPr>
                <w:b/>
                <w:color w:val="auto"/>
                <w:u w:val="single"/>
              </w:rPr>
            </w:pPr>
            <w:r>
              <w:rPr>
                <w:rFonts w:hint="eastAsia"/>
                <w:b/>
                <w:color w:val="auto"/>
                <w:u w:val="single"/>
              </w:rPr>
              <w:t>/</w:t>
            </w:r>
          </w:p>
        </w:tc>
        <w:tc>
          <w:tcPr>
            <w:tcW w:w="427" w:type="pct"/>
            <w:vAlign w:val="center"/>
          </w:tcPr>
          <w:p>
            <w:pPr>
              <w:jc w:val="center"/>
              <w:rPr>
                <w:b/>
                <w:color w:val="auto"/>
                <w:u w:val="single"/>
              </w:rPr>
            </w:pPr>
            <w:r>
              <w:rPr>
                <w:rFonts w:hint="eastAsia"/>
                <w:b/>
                <w:color w:val="auto"/>
                <w:u w:val="single"/>
              </w:rPr>
              <w:t>0.48</w:t>
            </w:r>
          </w:p>
        </w:tc>
        <w:tc>
          <w:tcPr>
            <w:tcW w:w="433" w:type="pct"/>
            <w:vAlign w:val="center"/>
          </w:tcPr>
          <w:p>
            <w:pPr>
              <w:jc w:val="center"/>
              <w:rPr>
                <w:b/>
                <w:color w:val="auto"/>
                <w:u w:val="single"/>
              </w:rPr>
            </w:pPr>
            <w:r>
              <w:rPr>
                <w:rFonts w:hint="eastAsia"/>
                <w:b/>
                <w:color w:val="auto"/>
                <w:u w:val="single"/>
              </w:rPr>
              <w:t>2.4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76" w:hRule="atLeast"/>
          <w:jc w:val="center"/>
        </w:trPr>
        <w:tc>
          <w:tcPr>
            <w:tcW w:w="960" w:type="pct"/>
            <w:vAlign w:val="center"/>
          </w:tcPr>
          <w:p>
            <w:pPr>
              <w:jc w:val="center"/>
              <w:rPr>
                <w:b/>
                <w:color w:val="auto"/>
                <w:u w:val="single"/>
              </w:rPr>
            </w:pPr>
            <w:r>
              <w:rPr>
                <w:rFonts w:hint="eastAsia"/>
                <w:b/>
                <w:color w:val="auto"/>
                <w:u w:val="single"/>
              </w:rPr>
              <w:t>去除率</w:t>
            </w:r>
          </w:p>
        </w:tc>
        <w:tc>
          <w:tcPr>
            <w:tcW w:w="499" w:type="pct"/>
            <w:vAlign w:val="center"/>
          </w:tcPr>
          <w:p>
            <w:pPr>
              <w:jc w:val="center"/>
              <w:rPr>
                <w:b/>
                <w:color w:val="auto"/>
                <w:u w:val="single"/>
              </w:rPr>
            </w:pPr>
            <w:r>
              <w:rPr>
                <w:rFonts w:hint="eastAsia"/>
                <w:b/>
                <w:color w:val="auto"/>
                <w:u w:val="single"/>
              </w:rPr>
              <w:t>/</w:t>
            </w:r>
          </w:p>
        </w:tc>
        <w:tc>
          <w:tcPr>
            <w:tcW w:w="532" w:type="pct"/>
            <w:vAlign w:val="center"/>
          </w:tcPr>
          <w:p>
            <w:pPr>
              <w:jc w:val="center"/>
              <w:rPr>
                <w:b/>
                <w:color w:val="auto"/>
                <w:u w:val="single"/>
              </w:rPr>
            </w:pPr>
            <w:r>
              <w:rPr>
                <w:rFonts w:hint="eastAsia"/>
                <w:b/>
                <w:color w:val="auto"/>
                <w:u w:val="single"/>
              </w:rPr>
              <w:t>/</w:t>
            </w:r>
          </w:p>
        </w:tc>
        <w:tc>
          <w:tcPr>
            <w:tcW w:w="450" w:type="pct"/>
            <w:vAlign w:val="center"/>
          </w:tcPr>
          <w:p>
            <w:pPr>
              <w:jc w:val="center"/>
              <w:rPr>
                <w:b/>
                <w:color w:val="auto"/>
                <w:u w:val="single"/>
              </w:rPr>
            </w:pPr>
            <w:r>
              <w:rPr>
                <w:rFonts w:hint="eastAsia"/>
                <w:b/>
                <w:color w:val="auto"/>
                <w:u w:val="single"/>
              </w:rPr>
              <w:t>/</w:t>
            </w:r>
          </w:p>
        </w:tc>
        <w:tc>
          <w:tcPr>
            <w:tcW w:w="417" w:type="pct"/>
            <w:vAlign w:val="center"/>
          </w:tcPr>
          <w:p>
            <w:pPr>
              <w:jc w:val="center"/>
              <w:rPr>
                <w:b/>
                <w:color w:val="auto"/>
                <w:u w:val="single"/>
              </w:rPr>
            </w:pPr>
            <w:r>
              <w:rPr>
                <w:rFonts w:hint="eastAsia"/>
                <w:b/>
                <w:color w:val="auto"/>
                <w:u w:val="single"/>
              </w:rPr>
              <w:t>90%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w:t>
            </w:r>
          </w:p>
        </w:tc>
        <w:tc>
          <w:tcPr>
            <w:tcW w:w="368" w:type="pct"/>
            <w:vAlign w:val="center"/>
          </w:tcPr>
          <w:p>
            <w:pPr>
              <w:jc w:val="center"/>
              <w:rPr>
                <w:b/>
                <w:color w:val="auto"/>
                <w:u w:val="single"/>
              </w:rPr>
            </w:pPr>
            <w:r>
              <w:rPr>
                <w:rFonts w:hint="eastAsia"/>
                <w:b/>
                <w:color w:val="auto"/>
                <w:u w:val="single"/>
              </w:rPr>
              <w:t>/</w:t>
            </w:r>
          </w:p>
        </w:tc>
        <w:tc>
          <w:tcPr>
            <w:tcW w:w="427" w:type="pct"/>
            <w:vAlign w:val="center"/>
          </w:tcPr>
          <w:p>
            <w:pPr>
              <w:jc w:val="center"/>
              <w:rPr>
                <w:b/>
                <w:color w:val="auto"/>
                <w:u w:val="single"/>
              </w:rPr>
            </w:pPr>
            <w:r>
              <w:rPr>
                <w:rFonts w:hint="eastAsia"/>
                <w:b/>
                <w:color w:val="auto"/>
                <w:u w:val="single"/>
              </w:rPr>
              <w:t>99.76%</w:t>
            </w:r>
          </w:p>
        </w:tc>
        <w:tc>
          <w:tcPr>
            <w:tcW w:w="433" w:type="pct"/>
            <w:vAlign w:val="center"/>
          </w:tcPr>
          <w:p>
            <w:pPr>
              <w:jc w:val="center"/>
              <w:rPr>
                <w:b/>
                <w:color w:val="auto"/>
                <w:u w:val="single"/>
              </w:rPr>
            </w:pPr>
            <w:r>
              <w:rPr>
                <w:rFonts w:hint="eastAsia"/>
                <w:b/>
                <w:color w:val="auto"/>
                <w:u w:val="single"/>
              </w:rPr>
              <w:t>99.2%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地面废水</w:t>
            </w:r>
          </w:p>
        </w:tc>
        <w:tc>
          <w:tcPr>
            <w:tcW w:w="499" w:type="pct"/>
            <w:vAlign w:val="center"/>
          </w:tcPr>
          <w:p>
            <w:pPr>
              <w:jc w:val="center"/>
              <w:rPr>
                <w:b/>
                <w:color w:val="auto"/>
                <w:u w:val="single"/>
              </w:rPr>
            </w:pPr>
            <w:r>
              <w:rPr>
                <w:rFonts w:hint="eastAsia"/>
                <w:b/>
                <w:color w:val="auto"/>
                <w:u w:val="single"/>
              </w:rPr>
              <w:t>0.99</w:t>
            </w:r>
          </w:p>
        </w:tc>
        <w:tc>
          <w:tcPr>
            <w:tcW w:w="532" w:type="pct"/>
            <w:vAlign w:val="center"/>
          </w:tcPr>
          <w:p>
            <w:pPr>
              <w:jc w:val="center"/>
              <w:rPr>
                <w:b/>
                <w:color w:val="auto"/>
                <w:u w:val="single"/>
              </w:rPr>
            </w:pPr>
            <w:r>
              <w:rPr>
                <w:rFonts w:hint="eastAsia"/>
                <w:b/>
                <w:color w:val="auto"/>
                <w:u w:val="single"/>
              </w:rPr>
              <w:t>150</w:t>
            </w:r>
          </w:p>
        </w:tc>
        <w:tc>
          <w:tcPr>
            <w:tcW w:w="450" w:type="pct"/>
            <w:vAlign w:val="center"/>
          </w:tcPr>
          <w:p>
            <w:pPr>
              <w:jc w:val="center"/>
              <w:rPr>
                <w:b/>
                <w:color w:val="auto"/>
                <w:u w:val="single"/>
              </w:rPr>
            </w:pPr>
            <w:r>
              <w:rPr>
                <w:rFonts w:hint="eastAsia"/>
                <w:b/>
                <w:color w:val="auto"/>
                <w:u w:val="single"/>
              </w:rPr>
              <w:t>10</w:t>
            </w:r>
          </w:p>
        </w:tc>
        <w:tc>
          <w:tcPr>
            <w:tcW w:w="417" w:type="pct"/>
            <w:vAlign w:val="center"/>
          </w:tcPr>
          <w:p>
            <w:pPr>
              <w:jc w:val="center"/>
              <w:rPr>
                <w:b/>
                <w:color w:val="auto"/>
                <w:u w:val="single"/>
              </w:rPr>
            </w:pPr>
            <w:r>
              <w:rPr>
                <w:rFonts w:hint="eastAsia"/>
                <w:b/>
                <w:color w:val="auto"/>
                <w:u w:val="single"/>
              </w:rPr>
              <w:t>200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2.5</w:t>
            </w:r>
          </w:p>
        </w:tc>
        <w:tc>
          <w:tcPr>
            <w:tcW w:w="368" w:type="pct"/>
            <w:vAlign w:val="center"/>
          </w:tcPr>
          <w:p>
            <w:pPr>
              <w:jc w:val="center"/>
              <w:rPr>
                <w:b/>
                <w:color w:val="auto"/>
                <w:u w:val="single"/>
              </w:rPr>
            </w:pPr>
            <w:r>
              <w:rPr>
                <w:rFonts w:hint="eastAsia"/>
                <w:b/>
                <w:color w:val="auto"/>
                <w:u w:val="single"/>
              </w:rPr>
              <w:t>1</w:t>
            </w:r>
          </w:p>
        </w:tc>
        <w:tc>
          <w:tcPr>
            <w:tcW w:w="427" w:type="pct"/>
            <w:vAlign w:val="center"/>
          </w:tcPr>
          <w:p>
            <w:pPr>
              <w:jc w:val="center"/>
              <w:rPr>
                <w:b/>
                <w:color w:val="auto"/>
                <w:u w:val="single"/>
              </w:rPr>
            </w:pPr>
            <w:r>
              <w:rPr>
                <w:rFonts w:hint="eastAsia"/>
                <w:b/>
                <w:color w:val="auto"/>
                <w:u w:val="single"/>
              </w:rPr>
              <w:t>5</w:t>
            </w:r>
          </w:p>
        </w:tc>
        <w:tc>
          <w:tcPr>
            <w:tcW w:w="433" w:type="pct"/>
            <w:vAlign w:val="center"/>
          </w:tcPr>
          <w:p>
            <w:pPr>
              <w:jc w:val="center"/>
              <w:rPr>
                <w:b/>
                <w:color w:val="auto"/>
                <w:u w:val="single"/>
              </w:rPr>
            </w:pPr>
            <w:r>
              <w:rPr>
                <w:rFonts w:hint="eastAsia"/>
                <w:b/>
                <w:color w:val="auto"/>
                <w:u w:val="single"/>
              </w:rPr>
              <w:t>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地面废水预处理（氧化+混凝+还原+混凝+多介质过滤器）出水</w:t>
            </w:r>
          </w:p>
        </w:tc>
        <w:tc>
          <w:tcPr>
            <w:tcW w:w="499" w:type="pct"/>
            <w:vAlign w:val="center"/>
          </w:tcPr>
          <w:p>
            <w:pPr>
              <w:jc w:val="center"/>
              <w:rPr>
                <w:b/>
                <w:color w:val="auto"/>
                <w:u w:val="single"/>
              </w:rPr>
            </w:pPr>
            <w:r>
              <w:rPr>
                <w:rFonts w:hint="eastAsia"/>
                <w:b/>
                <w:color w:val="auto"/>
                <w:u w:val="single"/>
              </w:rPr>
              <w:t>0.99</w:t>
            </w:r>
          </w:p>
        </w:tc>
        <w:tc>
          <w:tcPr>
            <w:tcW w:w="532" w:type="pct"/>
            <w:vAlign w:val="center"/>
          </w:tcPr>
          <w:p>
            <w:pPr>
              <w:jc w:val="center"/>
              <w:rPr>
                <w:b/>
                <w:color w:val="auto"/>
                <w:u w:val="single"/>
              </w:rPr>
            </w:pPr>
            <w:r>
              <w:rPr>
                <w:rFonts w:hint="eastAsia"/>
                <w:b/>
                <w:color w:val="auto"/>
                <w:u w:val="single"/>
              </w:rPr>
              <w:t>150</w:t>
            </w:r>
          </w:p>
        </w:tc>
        <w:tc>
          <w:tcPr>
            <w:tcW w:w="450" w:type="pct"/>
            <w:vAlign w:val="center"/>
          </w:tcPr>
          <w:p>
            <w:pPr>
              <w:jc w:val="center"/>
              <w:rPr>
                <w:b/>
                <w:color w:val="auto"/>
                <w:u w:val="single"/>
              </w:rPr>
            </w:pPr>
            <w:r>
              <w:rPr>
                <w:rFonts w:hint="eastAsia"/>
                <w:b/>
                <w:color w:val="auto"/>
                <w:u w:val="single"/>
              </w:rPr>
              <w:t>10</w:t>
            </w:r>
          </w:p>
        </w:tc>
        <w:tc>
          <w:tcPr>
            <w:tcW w:w="417" w:type="pct"/>
            <w:vAlign w:val="center"/>
          </w:tcPr>
          <w:p>
            <w:pPr>
              <w:jc w:val="center"/>
              <w:rPr>
                <w:b/>
                <w:color w:val="auto"/>
                <w:u w:val="single"/>
              </w:rPr>
            </w:pPr>
            <w:r>
              <w:rPr>
                <w:rFonts w:hint="eastAsia"/>
                <w:b/>
                <w:color w:val="auto"/>
                <w:u w:val="single"/>
              </w:rPr>
              <w:t>6.6</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0.1</w:t>
            </w:r>
          </w:p>
        </w:tc>
        <w:tc>
          <w:tcPr>
            <w:tcW w:w="368" w:type="pct"/>
            <w:vAlign w:val="center"/>
          </w:tcPr>
          <w:p>
            <w:pPr>
              <w:jc w:val="center"/>
              <w:rPr>
                <w:b/>
                <w:color w:val="auto"/>
                <w:u w:val="single"/>
              </w:rPr>
            </w:pPr>
            <w:r>
              <w:rPr>
                <w:rFonts w:hint="eastAsia"/>
                <w:b/>
                <w:color w:val="auto"/>
                <w:u w:val="single"/>
              </w:rPr>
              <w:t>0.08</w:t>
            </w:r>
          </w:p>
        </w:tc>
        <w:tc>
          <w:tcPr>
            <w:tcW w:w="427" w:type="pct"/>
            <w:vAlign w:val="center"/>
          </w:tcPr>
          <w:p>
            <w:pPr>
              <w:jc w:val="center"/>
              <w:rPr>
                <w:b/>
                <w:color w:val="auto"/>
                <w:u w:val="single"/>
              </w:rPr>
            </w:pPr>
            <w:r>
              <w:rPr>
                <w:rFonts w:hint="eastAsia"/>
                <w:b/>
                <w:color w:val="auto"/>
                <w:u w:val="single"/>
              </w:rPr>
              <w:t>0.1</w:t>
            </w:r>
          </w:p>
        </w:tc>
        <w:tc>
          <w:tcPr>
            <w:tcW w:w="433" w:type="pct"/>
            <w:vAlign w:val="center"/>
          </w:tcPr>
          <w:p>
            <w:pPr>
              <w:jc w:val="center"/>
              <w:rPr>
                <w:b/>
                <w:color w:val="auto"/>
                <w:u w:val="single"/>
              </w:rPr>
            </w:pPr>
            <w:r>
              <w:rPr>
                <w:rFonts w:hint="eastAsia"/>
                <w:b/>
                <w:color w:val="auto"/>
                <w:u w:val="single"/>
              </w:rPr>
              <w:t>0.6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去除率</w:t>
            </w:r>
          </w:p>
        </w:tc>
        <w:tc>
          <w:tcPr>
            <w:tcW w:w="499" w:type="pct"/>
            <w:vAlign w:val="center"/>
          </w:tcPr>
          <w:p>
            <w:pPr>
              <w:jc w:val="center"/>
              <w:rPr>
                <w:b/>
                <w:color w:val="auto"/>
                <w:u w:val="single"/>
              </w:rPr>
            </w:pPr>
          </w:p>
        </w:tc>
        <w:tc>
          <w:tcPr>
            <w:tcW w:w="532" w:type="pct"/>
            <w:vAlign w:val="center"/>
          </w:tcPr>
          <w:p>
            <w:pPr>
              <w:jc w:val="center"/>
              <w:rPr>
                <w:b/>
                <w:color w:val="auto"/>
                <w:u w:val="single"/>
              </w:rPr>
            </w:pPr>
            <w:r>
              <w:rPr>
                <w:rFonts w:hint="eastAsia"/>
                <w:b/>
                <w:color w:val="auto"/>
                <w:u w:val="single"/>
              </w:rPr>
              <w:t>/</w:t>
            </w:r>
          </w:p>
        </w:tc>
        <w:tc>
          <w:tcPr>
            <w:tcW w:w="450" w:type="pct"/>
            <w:vAlign w:val="center"/>
          </w:tcPr>
          <w:p>
            <w:pPr>
              <w:jc w:val="center"/>
              <w:rPr>
                <w:b/>
                <w:color w:val="auto"/>
                <w:u w:val="single"/>
              </w:rPr>
            </w:pPr>
            <w:r>
              <w:rPr>
                <w:rFonts w:hint="eastAsia"/>
                <w:b/>
                <w:color w:val="auto"/>
                <w:u w:val="single"/>
              </w:rPr>
              <w:t>/</w:t>
            </w:r>
          </w:p>
        </w:tc>
        <w:tc>
          <w:tcPr>
            <w:tcW w:w="417" w:type="pct"/>
            <w:vAlign w:val="center"/>
          </w:tcPr>
          <w:p>
            <w:pPr>
              <w:jc w:val="center"/>
              <w:rPr>
                <w:b/>
                <w:color w:val="auto"/>
                <w:u w:val="single"/>
              </w:rPr>
            </w:pPr>
            <w:r>
              <w:rPr>
                <w:rFonts w:hint="eastAsia"/>
                <w:b/>
                <w:color w:val="auto"/>
                <w:u w:val="single"/>
              </w:rPr>
              <w:t>96.7%</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96</w:t>
            </w:r>
          </w:p>
        </w:tc>
        <w:tc>
          <w:tcPr>
            <w:tcW w:w="368" w:type="pct"/>
            <w:vAlign w:val="center"/>
          </w:tcPr>
          <w:p>
            <w:pPr>
              <w:jc w:val="center"/>
              <w:rPr>
                <w:b/>
                <w:color w:val="auto"/>
                <w:u w:val="single"/>
              </w:rPr>
            </w:pPr>
            <w:r>
              <w:rPr>
                <w:rFonts w:hint="eastAsia"/>
                <w:b/>
                <w:color w:val="auto"/>
                <w:u w:val="single"/>
              </w:rPr>
              <w:t>92</w:t>
            </w:r>
          </w:p>
        </w:tc>
        <w:tc>
          <w:tcPr>
            <w:tcW w:w="427" w:type="pct"/>
            <w:vAlign w:val="center"/>
          </w:tcPr>
          <w:p>
            <w:pPr>
              <w:jc w:val="center"/>
              <w:rPr>
                <w:b/>
                <w:color w:val="auto"/>
                <w:u w:val="single"/>
              </w:rPr>
            </w:pPr>
            <w:r>
              <w:rPr>
                <w:rFonts w:hint="eastAsia"/>
                <w:b/>
                <w:color w:val="auto"/>
                <w:u w:val="single"/>
              </w:rPr>
              <w:t>98</w:t>
            </w:r>
          </w:p>
        </w:tc>
        <w:tc>
          <w:tcPr>
            <w:tcW w:w="433" w:type="pct"/>
            <w:vAlign w:val="center"/>
          </w:tcPr>
          <w:p>
            <w:pPr>
              <w:jc w:val="center"/>
              <w:rPr>
                <w:b/>
                <w:color w:val="auto"/>
                <w:u w:val="single"/>
              </w:rPr>
            </w:pPr>
            <w:r>
              <w:rPr>
                <w:rFonts w:hint="eastAsia"/>
                <w:b/>
                <w:color w:val="auto"/>
                <w:u w:val="single"/>
              </w:rPr>
              <w:t>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rFonts w:hint="eastAsia" w:eastAsia="宋体"/>
                <w:b/>
                <w:color w:val="auto"/>
                <w:highlight w:val="none"/>
                <w:u w:val="single"/>
                <w:lang w:val="en-US" w:eastAsia="zh-CN"/>
              </w:rPr>
            </w:pPr>
            <w:r>
              <w:rPr>
                <w:rFonts w:hint="eastAsia"/>
                <w:b/>
                <w:color w:val="auto"/>
                <w:highlight w:val="none"/>
                <w:u w:val="single"/>
              </w:rPr>
              <w:t>综合废水</w:t>
            </w:r>
            <w:r>
              <w:rPr>
                <w:rFonts w:hint="eastAsia"/>
                <w:b/>
                <w:color w:val="auto"/>
                <w:highlight w:val="none"/>
                <w:u w:val="single"/>
                <w:lang w:eastAsia="zh-CN"/>
              </w:rPr>
              <w:t>（</w:t>
            </w:r>
            <w:r>
              <w:rPr>
                <w:rFonts w:hint="eastAsia"/>
                <w:b/>
                <w:color w:val="auto"/>
                <w:highlight w:val="none"/>
                <w:u w:val="single"/>
                <w:lang w:val="en-US" w:eastAsia="zh-CN"/>
              </w:rPr>
              <w:t>含油废水和酸性废水</w:t>
            </w:r>
            <w:r>
              <w:rPr>
                <w:rFonts w:hint="eastAsia"/>
                <w:b/>
                <w:color w:val="auto"/>
                <w:highlight w:val="none"/>
                <w:u w:val="single"/>
                <w:lang w:eastAsia="zh-CN"/>
              </w:rPr>
              <w:t>）</w:t>
            </w:r>
          </w:p>
        </w:tc>
        <w:tc>
          <w:tcPr>
            <w:tcW w:w="499" w:type="pct"/>
            <w:vAlign w:val="center"/>
          </w:tcPr>
          <w:p>
            <w:pPr>
              <w:jc w:val="center"/>
              <w:rPr>
                <w:b/>
                <w:color w:val="auto"/>
                <w:highlight w:val="none"/>
                <w:u w:val="single"/>
              </w:rPr>
            </w:pPr>
            <w:r>
              <w:rPr>
                <w:b/>
                <w:color w:val="auto"/>
                <w:highlight w:val="none"/>
                <w:u w:val="single"/>
              </w:rPr>
              <w:t>168.9075</w:t>
            </w:r>
          </w:p>
        </w:tc>
        <w:tc>
          <w:tcPr>
            <w:tcW w:w="532" w:type="pct"/>
            <w:vAlign w:val="center"/>
          </w:tcPr>
          <w:p>
            <w:pPr>
              <w:jc w:val="center"/>
              <w:rPr>
                <w:b/>
                <w:color w:val="auto"/>
                <w:highlight w:val="none"/>
                <w:u w:val="single"/>
              </w:rPr>
            </w:pPr>
            <w:r>
              <w:rPr>
                <w:rFonts w:hint="eastAsia"/>
                <w:b/>
                <w:color w:val="auto"/>
                <w:highlight w:val="none"/>
                <w:u w:val="single"/>
              </w:rPr>
              <w:t>529</w:t>
            </w:r>
          </w:p>
        </w:tc>
        <w:tc>
          <w:tcPr>
            <w:tcW w:w="450" w:type="pct"/>
            <w:vAlign w:val="center"/>
          </w:tcPr>
          <w:p>
            <w:pPr>
              <w:jc w:val="center"/>
              <w:rPr>
                <w:b/>
                <w:color w:val="auto"/>
                <w:highlight w:val="none"/>
                <w:u w:val="single"/>
              </w:rPr>
            </w:pPr>
            <w:r>
              <w:rPr>
                <w:rFonts w:hint="eastAsia"/>
                <w:b/>
                <w:color w:val="auto"/>
                <w:highlight w:val="none"/>
                <w:u w:val="single"/>
              </w:rPr>
              <w:t>21.25</w:t>
            </w:r>
          </w:p>
        </w:tc>
        <w:tc>
          <w:tcPr>
            <w:tcW w:w="417" w:type="pct"/>
            <w:vAlign w:val="center"/>
          </w:tcPr>
          <w:p>
            <w:pPr>
              <w:jc w:val="center"/>
              <w:rPr>
                <w:b/>
                <w:color w:val="auto"/>
                <w:highlight w:val="none"/>
                <w:u w:val="single"/>
              </w:rPr>
            </w:pPr>
            <w:r>
              <w:rPr>
                <w:rFonts w:hint="eastAsia"/>
                <w:b/>
                <w:color w:val="auto"/>
                <w:highlight w:val="none"/>
                <w:u w:val="single"/>
              </w:rPr>
              <w:t>400</w:t>
            </w:r>
          </w:p>
        </w:tc>
        <w:tc>
          <w:tcPr>
            <w:tcW w:w="499" w:type="pct"/>
            <w:tcBorders>
              <w:right w:val="single" w:color="auto" w:sz="4" w:space="0"/>
            </w:tcBorders>
            <w:vAlign w:val="center"/>
          </w:tcPr>
          <w:p>
            <w:pPr>
              <w:jc w:val="center"/>
              <w:rPr>
                <w:b/>
                <w:color w:val="auto"/>
                <w:highlight w:val="none"/>
                <w:u w:val="single"/>
              </w:rPr>
            </w:pPr>
            <w:r>
              <w:rPr>
                <w:rFonts w:hint="eastAsia"/>
                <w:b/>
                <w:color w:val="auto"/>
                <w:highlight w:val="none"/>
                <w:u w:val="single"/>
              </w:rPr>
              <w:t>2.21</w:t>
            </w:r>
          </w:p>
        </w:tc>
        <w:tc>
          <w:tcPr>
            <w:tcW w:w="409" w:type="pct"/>
            <w:tcBorders>
              <w:left w:val="single" w:color="auto" w:sz="4" w:space="0"/>
            </w:tcBorders>
            <w:vAlign w:val="center"/>
          </w:tcPr>
          <w:p>
            <w:pPr>
              <w:jc w:val="center"/>
              <w:rPr>
                <w:b/>
                <w:color w:val="auto"/>
                <w:u w:val="single"/>
              </w:rPr>
            </w:pPr>
            <w:r>
              <w:rPr>
                <w:rFonts w:hint="eastAsia"/>
                <w:b/>
                <w:color w:val="auto"/>
                <w:u w:val="single"/>
              </w:rPr>
              <w:t>5</w:t>
            </w:r>
          </w:p>
        </w:tc>
        <w:tc>
          <w:tcPr>
            <w:tcW w:w="368" w:type="pct"/>
            <w:vAlign w:val="center"/>
          </w:tcPr>
          <w:p>
            <w:pPr>
              <w:jc w:val="center"/>
              <w:rPr>
                <w:b/>
                <w:color w:val="auto"/>
                <w:u w:val="single"/>
              </w:rPr>
            </w:pPr>
            <w:r>
              <w:rPr>
                <w:rFonts w:hint="eastAsia"/>
                <w:b/>
                <w:color w:val="auto"/>
                <w:u w:val="single"/>
              </w:rPr>
              <w:t>2.5</w:t>
            </w:r>
          </w:p>
        </w:tc>
        <w:tc>
          <w:tcPr>
            <w:tcW w:w="427" w:type="pct"/>
            <w:vAlign w:val="center"/>
          </w:tcPr>
          <w:p>
            <w:pPr>
              <w:jc w:val="center"/>
              <w:rPr>
                <w:b/>
                <w:color w:val="auto"/>
                <w:u w:val="single"/>
              </w:rPr>
            </w:pPr>
            <w:r>
              <w:rPr>
                <w:rFonts w:hint="eastAsia"/>
                <w:b/>
                <w:color w:val="auto"/>
                <w:u w:val="single"/>
              </w:rPr>
              <w:t>10</w:t>
            </w:r>
          </w:p>
        </w:tc>
        <w:tc>
          <w:tcPr>
            <w:tcW w:w="433" w:type="pct"/>
            <w:vAlign w:val="center"/>
          </w:tcPr>
          <w:p>
            <w:pPr>
              <w:jc w:val="center"/>
              <w:rPr>
                <w:b/>
                <w:color w:val="auto"/>
                <w:u w:val="single"/>
              </w:rPr>
            </w:pPr>
            <w:r>
              <w:rPr>
                <w:rFonts w:hint="eastAsia"/>
                <w:b/>
                <w:color w:val="auto"/>
                <w:u w:val="singl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highlight w:val="none"/>
                <w:u w:val="single"/>
              </w:rPr>
            </w:pPr>
            <w:r>
              <w:rPr>
                <w:rFonts w:hint="eastAsia"/>
                <w:b/>
                <w:color w:val="auto"/>
                <w:highlight w:val="none"/>
                <w:u w:val="single"/>
              </w:rPr>
              <w:t>综合废水预处理（破乳+混凝+气浮+混凝沉淀+多介质过滤）出水</w:t>
            </w:r>
          </w:p>
        </w:tc>
        <w:tc>
          <w:tcPr>
            <w:tcW w:w="499" w:type="pct"/>
            <w:vAlign w:val="center"/>
          </w:tcPr>
          <w:p>
            <w:pPr>
              <w:jc w:val="center"/>
              <w:rPr>
                <w:b/>
                <w:color w:val="auto"/>
                <w:highlight w:val="none"/>
                <w:u w:val="single"/>
              </w:rPr>
            </w:pPr>
            <w:r>
              <w:rPr>
                <w:b/>
                <w:color w:val="auto"/>
                <w:highlight w:val="none"/>
                <w:u w:val="single"/>
              </w:rPr>
              <w:t>168.9075</w:t>
            </w:r>
          </w:p>
        </w:tc>
        <w:tc>
          <w:tcPr>
            <w:tcW w:w="532" w:type="pct"/>
            <w:vAlign w:val="center"/>
          </w:tcPr>
          <w:p>
            <w:pPr>
              <w:jc w:val="center"/>
              <w:rPr>
                <w:b/>
                <w:color w:val="auto"/>
                <w:highlight w:val="none"/>
                <w:u w:val="single"/>
              </w:rPr>
            </w:pPr>
            <w:r>
              <w:rPr>
                <w:rFonts w:hint="eastAsia"/>
                <w:b/>
                <w:color w:val="auto"/>
                <w:highlight w:val="none"/>
                <w:u w:val="single"/>
              </w:rPr>
              <w:t>423.2</w:t>
            </w:r>
          </w:p>
        </w:tc>
        <w:tc>
          <w:tcPr>
            <w:tcW w:w="450" w:type="pct"/>
            <w:vAlign w:val="center"/>
          </w:tcPr>
          <w:p>
            <w:pPr>
              <w:jc w:val="center"/>
              <w:rPr>
                <w:b/>
                <w:color w:val="auto"/>
                <w:highlight w:val="none"/>
                <w:u w:val="single"/>
              </w:rPr>
            </w:pPr>
            <w:r>
              <w:rPr>
                <w:rFonts w:hint="eastAsia"/>
                <w:b/>
                <w:color w:val="auto"/>
                <w:highlight w:val="none"/>
                <w:u w:val="single"/>
              </w:rPr>
              <w:t>21.25</w:t>
            </w:r>
          </w:p>
        </w:tc>
        <w:tc>
          <w:tcPr>
            <w:tcW w:w="417" w:type="pct"/>
            <w:vAlign w:val="center"/>
          </w:tcPr>
          <w:p>
            <w:pPr>
              <w:jc w:val="center"/>
              <w:rPr>
                <w:b/>
                <w:color w:val="auto"/>
                <w:highlight w:val="none"/>
                <w:u w:val="single"/>
              </w:rPr>
            </w:pPr>
            <w:r>
              <w:rPr>
                <w:rFonts w:hint="eastAsia"/>
                <w:b/>
                <w:color w:val="auto"/>
                <w:highlight w:val="none"/>
                <w:u w:val="single"/>
              </w:rPr>
              <w:t>100</w:t>
            </w:r>
          </w:p>
        </w:tc>
        <w:tc>
          <w:tcPr>
            <w:tcW w:w="499" w:type="pct"/>
            <w:tcBorders>
              <w:right w:val="single" w:color="auto" w:sz="4" w:space="0"/>
            </w:tcBorders>
            <w:vAlign w:val="center"/>
          </w:tcPr>
          <w:p>
            <w:pPr>
              <w:jc w:val="center"/>
              <w:rPr>
                <w:b/>
                <w:color w:val="auto"/>
                <w:highlight w:val="none"/>
                <w:u w:val="single"/>
              </w:rPr>
            </w:pPr>
            <w:r>
              <w:rPr>
                <w:rFonts w:hint="eastAsia"/>
                <w:b/>
                <w:color w:val="auto"/>
                <w:highlight w:val="none"/>
                <w:u w:val="single"/>
              </w:rPr>
              <w:t>0.442</w:t>
            </w:r>
          </w:p>
        </w:tc>
        <w:tc>
          <w:tcPr>
            <w:tcW w:w="409" w:type="pct"/>
            <w:tcBorders>
              <w:left w:val="single" w:color="auto" w:sz="4" w:space="0"/>
            </w:tcBorders>
            <w:vAlign w:val="center"/>
          </w:tcPr>
          <w:p>
            <w:pPr>
              <w:jc w:val="center"/>
              <w:rPr>
                <w:b/>
                <w:color w:val="auto"/>
                <w:u w:val="single"/>
              </w:rPr>
            </w:pPr>
            <w:r>
              <w:rPr>
                <w:rFonts w:hint="eastAsia"/>
                <w:b/>
                <w:color w:val="auto"/>
                <w:u w:val="single"/>
              </w:rPr>
              <w:t>0.02</w:t>
            </w:r>
          </w:p>
        </w:tc>
        <w:tc>
          <w:tcPr>
            <w:tcW w:w="368" w:type="pct"/>
            <w:vAlign w:val="center"/>
          </w:tcPr>
          <w:p>
            <w:pPr>
              <w:jc w:val="center"/>
              <w:rPr>
                <w:b/>
                <w:color w:val="auto"/>
                <w:u w:val="single"/>
              </w:rPr>
            </w:pPr>
            <w:r>
              <w:rPr>
                <w:rFonts w:hint="eastAsia"/>
                <w:b/>
                <w:color w:val="auto"/>
                <w:u w:val="single"/>
              </w:rPr>
              <w:t>0.03</w:t>
            </w:r>
          </w:p>
        </w:tc>
        <w:tc>
          <w:tcPr>
            <w:tcW w:w="427" w:type="pct"/>
            <w:vAlign w:val="center"/>
          </w:tcPr>
          <w:p>
            <w:pPr>
              <w:jc w:val="center"/>
              <w:rPr>
                <w:b/>
                <w:color w:val="auto"/>
                <w:u w:val="single"/>
              </w:rPr>
            </w:pPr>
            <w:r>
              <w:rPr>
                <w:rFonts w:hint="eastAsia"/>
                <w:b/>
                <w:color w:val="auto"/>
                <w:u w:val="single"/>
              </w:rPr>
              <w:t>0.24</w:t>
            </w:r>
          </w:p>
        </w:tc>
        <w:tc>
          <w:tcPr>
            <w:tcW w:w="433" w:type="pct"/>
            <w:vAlign w:val="center"/>
          </w:tcPr>
          <w:p>
            <w:pPr>
              <w:jc w:val="center"/>
              <w:rPr>
                <w:b/>
                <w:color w:val="auto"/>
                <w:u w:val="single"/>
              </w:rPr>
            </w:pPr>
            <w:r>
              <w:rPr>
                <w:rFonts w:hint="eastAsia"/>
                <w:b/>
                <w:color w:val="auto"/>
                <w:u w:val="single"/>
              </w:rPr>
              <w:t>0.12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highlight w:val="none"/>
                <w:u w:val="single"/>
              </w:rPr>
            </w:pPr>
            <w:r>
              <w:rPr>
                <w:rFonts w:hint="eastAsia"/>
                <w:b/>
                <w:color w:val="auto"/>
                <w:highlight w:val="none"/>
                <w:u w:val="single"/>
              </w:rPr>
              <w:t>去除率</w:t>
            </w:r>
          </w:p>
        </w:tc>
        <w:tc>
          <w:tcPr>
            <w:tcW w:w="499" w:type="pct"/>
            <w:vAlign w:val="center"/>
          </w:tcPr>
          <w:p>
            <w:pPr>
              <w:jc w:val="center"/>
              <w:rPr>
                <w:b/>
                <w:color w:val="auto"/>
                <w:highlight w:val="none"/>
                <w:u w:val="single"/>
              </w:rPr>
            </w:pPr>
            <w:r>
              <w:rPr>
                <w:rFonts w:hint="eastAsia"/>
                <w:b/>
                <w:color w:val="auto"/>
                <w:highlight w:val="none"/>
                <w:u w:val="single"/>
              </w:rPr>
              <w:t>/</w:t>
            </w:r>
          </w:p>
        </w:tc>
        <w:tc>
          <w:tcPr>
            <w:tcW w:w="532" w:type="pct"/>
            <w:vAlign w:val="center"/>
          </w:tcPr>
          <w:p>
            <w:pPr>
              <w:jc w:val="center"/>
              <w:rPr>
                <w:b/>
                <w:color w:val="auto"/>
                <w:highlight w:val="none"/>
                <w:u w:val="single"/>
              </w:rPr>
            </w:pPr>
            <w:r>
              <w:rPr>
                <w:rFonts w:hint="eastAsia"/>
                <w:b/>
                <w:color w:val="auto"/>
                <w:highlight w:val="none"/>
                <w:u w:val="single"/>
              </w:rPr>
              <w:t>20%</w:t>
            </w:r>
          </w:p>
        </w:tc>
        <w:tc>
          <w:tcPr>
            <w:tcW w:w="450" w:type="pct"/>
            <w:vAlign w:val="center"/>
          </w:tcPr>
          <w:p>
            <w:pPr>
              <w:jc w:val="center"/>
              <w:rPr>
                <w:b/>
                <w:color w:val="auto"/>
                <w:highlight w:val="none"/>
                <w:u w:val="single"/>
              </w:rPr>
            </w:pPr>
            <w:r>
              <w:rPr>
                <w:rFonts w:hint="eastAsia"/>
                <w:b/>
                <w:color w:val="auto"/>
                <w:highlight w:val="none"/>
                <w:u w:val="single"/>
              </w:rPr>
              <w:t>/</w:t>
            </w:r>
          </w:p>
        </w:tc>
        <w:tc>
          <w:tcPr>
            <w:tcW w:w="417" w:type="pct"/>
            <w:vAlign w:val="center"/>
          </w:tcPr>
          <w:p>
            <w:pPr>
              <w:jc w:val="center"/>
              <w:rPr>
                <w:b/>
                <w:color w:val="auto"/>
                <w:highlight w:val="none"/>
                <w:u w:val="single"/>
              </w:rPr>
            </w:pPr>
            <w:r>
              <w:rPr>
                <w:rFonts w:hint="eastAsia"/>
                <w:b/>
                <w:color w:val="auto"/>
                <w:highlight w:val="none"/>
                <w:u w:val="single"/>
              </w:rPr>
              <w:t>75%</w:t>
            </w:r>
          </w:p>
        </w:tc>
        <w:tc>
          <w:tcPr>
            <w:tcW w:w="499" w:type="pct"/>
            <w:tcBorders>
              <w:right w:val="single" w:color="auto" w:sz="4" w:space="0"/>
            </w:tcBorders>
            <w:vAlign w:val="center"/>
          </w:tcPr>
          <w:p>
            <w:pPr>
              <w:jc w:val="center"/>
              <w:rPr>
                <w:b/>
                <w:color w:val="auto"/>
                <w:highlight w:val="none"/>
                <w:u w:val="single"/>
              </w:rPr>
            </w:pPr>
            <w:r>
              <w:rPr>
                <w:rFonts w:hint="eastAsia"/>
                <w:b/>
                <w:color w:val="auto"/>
                <w:highlight w:val="none"/>
                <w:u w:val="single"/>
              </w:rPr>
              <w:t>80%</w:t>
            </w:r>
          </w:p>
        </w:tc>
        <w:tc>
          <w:tcPr>
            <w:tcW w:w="409" w:type="pct"/>
            <w:tcBorders>
              <w:left w:val="single" w:color="auto" w:sz="4" w:space="0"/>
            </w:tcBorders>
            <w:vAlign w:val="center"/>
          </w:tcPr>
          <w:p>
            <w:pPr>
              <w:jc w:val="center"/>
              <w:rPr>
                <w:b/>
                <w:color w:val="auto"/>
                <w:u w:val="single"/>
              </w:rPr>
            </w:pPr>
            <w:r>
              <w:rPr>
                <w:rFonts w:hint="eastAsia"/>
                <w:b/>
                <w:color w:val="auto"/>
                <w:u w:val="single"/>
              </w:rPr>
              <w:t>99.6%</w:t>
            </w:r>
          </w:p>
        </w:tc>
        <w:tc>
          <w:tcPr>
            <w:tcW w:w="368" w:type="pct"/>
            <w:vAlign w:val="center"/>
          </w:tcPr>
          <w:p>
            <w:pPr>
              <w:jc w:val="center"/>
              <w:rPr>
                <w:b/>
                <w:color w:val="auto"/>
                <w:u w:val="single"/>
              </w:rPr>
            </w:pPr>
            <w:r>
              <w:rPr>
                <w:rFonts w:hint="eastAsia"/>
                <w:b/>
                <w:color w:val="auto"/>
                <w:u w:val="single"/>
              </w:rPr>
              <w:t>98.8%</w:t>
            </w:r>
          </w:p>
        </w:tc>
        <w:tc>
          <w:tcPr>
            <w:tcW w:w="427" w:type="pct"/>
            <w:vAlign w:val="center"/>
          </w:tcPr>
          <w:p>
            <w:pPr>
              <w:jc w:val="center"/>
              <w:rPr>
                <w:b/>
                <w:color w:val="auto"/>
                <w:u w:val="single"/>
              </w:rPr>
            </w:pPr>
            <w:r>
              <w:rPr>
                <w:rFonts w:hint="eastAsia"/>
                <w:b/>
                <w:color w:val="auto"/>
                <w:u w:val="single"/>
              </w:rPr>
              <w:t>99.76%</w:t>
            </w:r>
          </w:p>
        </w:tc>
        <w:tc>
          <w:tcPr>
            <w:tcW w:w="433" w:type="pct"/>
            <w:vAlign w:val="center"/>
          </w:tcPr>
          <w:p>
            <w:pPr>
              <w:jc w:val="center"/>
              <w:rPr>
                <w:b/>
                <w:color w:val="auto"/>
                <w:u w:val="single"/>
              </w:rPr>
            </w:pPr>
            <w:r>
              <w:rPr>
                <w:rFonts w:hint="eastAsia"/>
                <w:b/>
                <w:color w:val="auto"/>
                <w:u w:val="single"/>
              </w:rPr>
              <w:t>99.2%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rPr>
                <w:b/>
                <w:color w:val="auto"/>
                <w:u w:val="single"/>
              </w:rPr>
            </w:pPr>
            <w:r>
              <w:rPr>
                <w:rFonts w:hint="eastAsia"/>
                <w:b/>
                <w:color w:val="auto"/>
                <w:u w:val="single"/>
              </w:rPr>
              <w:t>生化系统+MBR进水</w:t>
            </w:r>
          </w:p>
        </w:tc>
        <w:tc>
          <w:tcPr>
            <w:tcW w:w="499" w:type="pct"/>
            <w:vAlign w:val="center"/>
          </w:tcPr>
          <w:p>
            <w:pPr>
              <w:jc w:val="center"/>
              <w:rPr>
                <w:b/>
                <w:color w:val="auto"/>
                <w:u w:val="single"/>
              </w:rPr>
            </w:pPr>
            <w:r>
              <w:rPr>
                <w:rFonts w:hint="eastAsia"/>
                <w:b/>
                <w:color w:val="auto"/>
                <w:u w:val="single"/>
              </w:rPr>
              <w:t>394.4955</w:t>
            </w:r>
          </w:p>
        </w:tc>
        <w:tc>
          <w:tcPr>
            <w:tcW w:w="532" w:type="pct"/>
            <w:vAlign w:val="center"/>
          </w:tcPr>
          <w:p>
            <w:pPr>
              <w:jc w:val="center"/>
              <w:rPr>
                <w:b/>
                <w:color w:val="auto"/>
                <w:u w:val="single"/>
              </w:rPr>
            </w:pPr>
            <w:r>
              <w:rPr>
                <w:rFonts w:hint="eastAsia"/>
                <w:b/>
                <w:color w:val="auto"/>
                <w:u w:val="single"/>
              </w:rPr>
              <w:t>240.1</w:t>
            </w:r>
          </w:p>
        </w:tc>
        <w:tc>
          <w:tcPr>
            <w:tcW w:w="450" w:type="pct"/>
            <w:vAlign w:val="center"/>
          </w:tcPr>
          <w:p>
            <w:pPr>
              <w:jc w:val="center"/>
              <w:rPr>
                <w:b/>
                <w:color w:val="auto"/>
                <w:u w:val="single"/>
              </w:rPr>
            </w:pPr>
            <w:r>
              <w:rPr>
                <w:rFonts w:hint="eastAsia"/>
                <w:b/>
                <w:color w:val="auto"/>
                <w:u w:val="single"/>
              </w:rPr>
              <w:t>13.4</w:t>
            </w:r>
          </w:p>
        </w:tc>
        <w:tc>
          <w:tcPr>
            <w:tcW w:w="417" w:type="pct"/>
            <w:vAlign w:val="center"/>
          </w:tcPr>
          <w:p>
            <w:pPr>
              <w:jc w:val="center"/>
              <w:rPr>
                <w:b/>
                <w:color w:val="auto"/>
                <w:u w:val="single"/>
              </w:rPr>
            </w:pPr>
            <w:r>
              <w:rPr>
                <w:rFonts w:hint="eastAsia"/>
                <w:b/>
                <w:color w:val="auto"/>
                <w:u w:val="single"/>
              </w:rPr>
              <w:t>52.2</w:t>
            </w:r>
          </w:p>
        </w:tc>
        <w:tc>
          <w:tcPr>
            <w:tcW w:w="499" w:type="pct"/>
            <w:tcBorders>
              <w:right w:val="single" w:color="auto" w:sz="4" w:space="0"/>
            </w:tcBorders>
            <w:vAlign w:val="center"/>
          </w:tcPr>
          <w:p>
            <w:pPr>
              <w:jc w:val="center"/>
              <w:rPr>
                <w:b/>
                <w:color w:val="auto"/>
                <w:u w:val="single"/>
              </w:rPr>
            </w:pPr>
            <w:r>
              <w:rPr>
                <w:rFonts w:hint="eastAsia"/>
                <w:b/>
                <w:color w:val="auto"/>
                <w:u w:val="single"/>
              </w:rPr>
              <w:t>0.19</w:t>
            </w:r>
          </w:p>
        </w:tc>
        <w:tc>
          <w:tcPr>
            <w:tcW w:w="409" w:type="pct"/>
            <w:tcBorders>
              <w:left w:val="single" w:color="auto" w:sz="4" w:space="0"/>
            </w:tcBorders>
            <w:vAlign w:val="center"/>
          </w:tcPr>
          <w:p>
            <w:pPr>
              <w:jc w:val="center"/>
              <w:rPr>
                <w:b/>
                <w:color w:val="auto"/>
                <w:u w:val="single"/>
              </w:rPr>
            </w:pPr>
            <w:r>
              <w:rPr>
                <w:rFonts w:hint="eastAsia"/>
                <w:b/>
                <w:color w:val="auto"/>
                <w:u w:val="single"/>
              </w:rPr>
              <w:t>0.09</w:t>
            </w:r>
          </w:p>
        </w:tc>
        <w:tc>
          <w:tcPr>
            <w:tcW w:w="368" w:type="pct"/>
            <w:vAlign w:val="center"/>
          </w:tcPr>
          <w:p>
            <w:pPr>
              <w:jc w:val="center"/>
              <w:rPr>
                <w:b/>
                <w:color w:val="auto"/>
                <w:u w:val="single"/>
              </w:rPr>
            </w:pPr>
            <w:r>
              <w:rPr>
                <w:rFonts w:hint="eastAsia"/>
                <w:b/>
                <w:color w:val="auto"/>
                <w:u w:val="single"/>
              </w:rPr>
              <w:t>0.027</w:t>
            </w:r>
          </w:p>
        </w:tc>
        <w:tc>
          <w:tcPr>
            <w:tcW w:w="427" w:type="pct"/>
            <w:vAlign w:val="center"/>
          </w:tcPr>
          <w:p>
            <w:pPr>
              <w:jc w:val="center"/>
              <w:rPr>
                <w:b/>
                <w:color w:val="auto"/>
                <w:u w:val="single"/>
              </w:rPr>
            </w:pPr>
            <w:r>
              <w:rPr>
                <w:rFonts w:hint="eastAsia"/>
                <w:b/>
                <w:color w:val="auto"/>
                <w:u w:val="single"/>
              </w:rPr>
              <w:t>0.27</w:t>
            </w:r>
          </w:p>
        </w:tc>
        <w:tc>
          <w:tcPr>
            <w:tcW w:w="433" w:type="pct"/>
            <w:vAlign w:val="center"/>
          </w:tcPr>
          <w:p>
            <w:pPr>
              <w:jc w:val="center"/>
              <w:rPr>
                <w:b/>
                <w:color w:val="auto"/>
                <w:u w:val="single"/>
              </w:rPr>
            </w:pPr>
            <w:r>
              <w:rPr>
                <w:rFonts w:hint="eastAsia"/>
                <w:b/>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生化系统+MBR出水</w:t>
            </w:r>
          </w:p>
        </w:tc>
        <w:tc>
          <w:tcPr>
            <w:tcW w:w="499" w:type="pct"/>
            <w:vAlign w:val="center"/>
          </w:tcPr>
          <w:p>
            <w:pPr>
              <w:jc w:val="center"/>
              <w:rPr>
                <w:b/>
                <w:color w:val="auto"/>
                <w:u w:val="single"/>
              </w:rPr>
            </w:pPr>
            <w:r>
              <w:rPr>
                <w:rFonts w:hint="eastAsia"/>
                <w:b/>
                <w:color w:val="auto"/>
                <w:u w:val="single"/>
              </w:rPr>
              <w:t>394.4955</w:t>
            </w:r>
          </w:p>
        </w:tc>
        <w:tc>
          <w:tcPr>
            <w:tcW w:w="532" w:type="pct"/>
            <w:vAlign w:val="center"/>
          </w:tcPr>
          <w:p>
            <w:pPr>
              <w:jc w:val="center"/>
              <w:rPr>
                <w:b/>
                <w:color w:val="auto"/>
                <w:u w:val="single"/>
              </w:rPr>
            </w:pPr>
            <w:r>
              <w:rPr>
                <w:rFonts w:hint="eastAsia"/>
                <w:b/>
                <w:color w:val="auto"/>
                <w:u w:val="single"/>
              </w:rPr>
              <w:t>96</w:t>
            </w:r>
          </w:p>
        </w:tc>
        <w:tc>
          <w:tcPr>
            <w:tcW w:w="450" w:type="pct"/>
            <w:vAlign w:val="center"/>
          </w:tcPr>
          <w:p>
            <w:pPr>
              <w:jc w:val="center"/>
              <w:rPr>
                <w:b/>
                <w:color w:val="auto"/>
                <w:u w:val="single"/>
              </w:rPr>
            </w:pPr>
            <w:r>
              <w:rPr>
                <w:rFonts w:hint="eastAsia"/>
                <w:b/>
                <w:color w:val="auto"/>
                <w:u w:val="single"/>
              </w:rPr>
              <w:t>2.68</w:t>
            </w:r>
          </w:p>
        </w:tc>
        <w:tc>
          <w:tcPr>
            <w:tcW w:w="417" w:type="pct"/>
            <w:vAlign w:val="center"/>
          </w:tcPr>
          <w:p>
            <w:pPr>
              <w:jc w:val="center"/>
              <w:rPr>
                <w:b/>
                <w:color w:val="auto"/>
                <w:u w:val="single"/>
              </w:rPr>
            </w:pPr>
            <w:r>
              <w:rPr>
                <w:rFonts w:hint="eastAsia"/>
                <w:b/>
                <w:color w:val="auto"/>
                <w:u w:val="single"/>
              </w:rPr>
              <w:t>5.22</w:t>
            </w:r>
          </w:p>
        </w:tc>
        <w:tc>
          <w:tcPr>
            <w:tcW w:w="499" w:type="pct"/>
            <w:tcBorders>
              <w:right w:val="single" w:color="auto" w:sz="4" w:space="0"/>
            </w:tcBorders>
            <w:vAlign w:val="center"/>
          </w:tcPr>
          <w:p>
            <w:pPr>
              <w:jc w:val="center"/>
              <w:rPr>
                <w:b/>
                <w:color w:val="auto"/>
                <w:u w:val="single"/>
              </w:rPr>
            </w:pPr>
            <w:r>
              <w:rPr>
                <w:rFonts w:hint="eastAsia"/>
                <w:b/>
                <w:color w:val="auto"/>
                <w:u w:val="single"/>
              </w:rPr>
              <w:t>0.19</w:t>
            </w:r>
          </w:p>
        </w:tc>
        <w:tc>
          <w:tcPr>
            <w:tcW w:w="409" w:type="pct"/>
            <w:tcBorders>
              <w:left w:val="single" w:color="auto" w:sz="4" w:space="0"/>
            </w:tcBorders>
            <w:vAlign w:val="center"/>
          </w:tcPr>
          <w:p>
            <w:pPr>
              <w:jc w:val="center"/>
              <w:rPr>
                <w:b/>
                <w:color w:val="auto"/>
                <w:u w:val="single"/>
              </w:rPr>
            </w:pPr>
            <w:r>
              <w:rPr>
                <w:rFonts w:hint="eastAsia"/>
                <w:b/>
                <w:color w:val="auto"/>
                <w:u w:val="single"/>
              </w:rPr>
              <w:t>0.09</w:t>
            </w:r>
          </w:p>
        </w:tc>
        <w:tc>
          <w:tcPr>
            <w:tcW w:w="368" w:type="pct"/>
            <w:vAlign w:val="center"/>
          </w:tcPr>
          <w:p>
            <w:pPr>
              <w:jc w:val="center"/>
              <w:rPr>
                <w:b/>
                <w:color w:val="auto"/>
                <w:u w:val="single"/>
              </w:rPr>
            </w:pPr>
            <w:r>
              <w:rPr>
                <w:rFonts w:hint="eastAsia"/>
                <w:b/>
                <w:color w:val="auto"/>
                <w:u w:val="single"/>
              </w:rPr>
              <w:t>0.027</w:t>
            </w:r>
          </w:p>
        </w:tc>
        <w:tc>
          <w:tcPr>
            <w:tcW w:w="427" w:type="pct"/>
            <w:vAlign w:val="center"/>
          </w:tcPr>
          <w:p>
            <w:pPr>
              <w:jc w:val="center"/>
              <w:rPr>
                <w:b/>
                <w:color w:val="auto"/>
                <w:u w:val="single"/>
              </w:rPr>
            </w:pPr>
            <w:r>
              <w:rPr>
                <w:rFonts w:hint="eastAsia"/>
                <w:b/>
                <w:color w:val="auto"/>
                <w:u w:val="single"/>
              </w:rPr>
              <w:t>0.27</w:t>
            </w:r>
          </w:p>
        </w:tc>
        <w:tc>
          <w:tcPr>
            <w:tcW w:w="433" w:type="pct"/>
            <w:vAlign w:val="center"/>
          </w:tcPr>
          <w:p>
            <w:pPr>
              <w:jc w:val="center"/>
              <w:rPr>
                <w:b/>
                <w:color w:val="auto"/>
                <w:u w:val="single"/>
              </w:rPr>
            </w:pPr>
            <w:r>
              <w:rPr>
                <w:rFonts w:hint="eastAsia"/>
                <w:b/>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去除率</w:t>
            </w:r>
          </w:p>
        </w:tc>
        <w:tc>
          <w:tcPr>
            <w:tcW w:w="499" w:type="pct"/>
            <w:vAlign w:val="center"/>
          </w:tcPr>
          <w:p>
            <w:pPr>
              <w:jc w:val="center"/>
              <w:rPr>
                <w:b/>
                <w:color w:val="auto"/>
                <w:u w:val="single"/>
              </w:rPr>
            </w:pPr>
            <w:r>
              <w:rPr>
                <w:rFonts w:hint="eastAsia"/>
                <w:b/>
                <w:color w:val="auto"/>
                <w:u w:val="single"/>
              </w:rPr>
              <w:t>/</w:t>
            </w:r>
          </w:p>
        </w:tc>
        <w:tc>
          <w:tcPr>
            <w:tcW w:w="532" w:type="pct"/>
            <w:vAlign w:val="center"/>
          </w:tcPr>
          <w:p>
            <w:pPr>
              <w:jc w:val="center"/>
              <w:rPr>
                <w:b/>
                <w:color w:val="auto"/>
                <w:u w:val="single"/>
              </w:rPr>
            </w:pPr>
            <w:r>
              <w:rPr>
                <w:rFonts w:hint="eastAsia"/>
                <w:b/>
                <w:color w:val="auto"/>
                <w:u w:val="single"/>
              </w:rPr>
              <w:t>60%</w:t>
            </w:r>
          </w:p>
        </w:tc>
        <w:tc>
          <w:tcPr>
            <w:tcW w:w="450" w:type="pct"/>
            <w:vAlign w:val="center"/>
          </w:tcPr>
          <w:p>
            <w:pPr>
              <w:jc w:val="center"/>
              <w:rPr>
                <w:b/>
                <w:color w:val="auto"/>
                <w:u w:val="single"/>
              </w:rPr>
            </w:pPr>
            <w:r>
              <w:rPr>
                <w:rFonts w:hint="eastAsia"/>
                <w:b/>
                <w:color w:val="auto"/>
                <w:u w:val="single"/>
              </w:rPr>
              <w:t>80%</w:t>
            </w:r>
          </w:p>
        </w:tc>
        <w:tc>
          <w:tcPr>
            <w:tcW w:w="417" w:type="pct"/>
            <w:vAlign w:val="center"/>
          </w:tcPr>
          <w:p>
            <w:pPr>
              <w:jc w:val="center"/>
              <w:rPr>
                <w:b/>
                <w:color w:val="auto"/>
                <w:u w:val="single"/>
              </w:rPr>
            </w:pPr>
            <w:r>
              <w:rPr>
                <w:rFonts w:hint="eastAsia"/>
                <w:b/>
                <w:color w:val="auto"/>
                <w:u w:val="single"/>
              </w:rPr>
              <w:t>90%</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w:t>
            </w:r>
          </w:p>
        </w:tc>
        <w:tc>
          <w:tcPr>
            <w:tcW w:w="368" w:type="pct"/>
            <w:vAlign w:val="center"/>
          </w:tcPr>
          <w:p>
            <w:pPr>
              <w:jc w:val="center"/>
              <w:rPr>
                <w:b/>
                <w:color w:val="auto"/>
                <w:u w:val="single"/>
              </w:rPr>
            </w:pPr>
            <w:r>
              <w:rPr>
                <w:rFonts w:hint="eastAsia"/>
                <w:b/>
                <w:color w:val="auto"/>
                <w:u w:val="single"/>
              </w:rPr>
              <w:t>/</w:t>
            </w:r>
          </w:p>
        </w:tc>
        <w:tc>
          <w:tcPr>
            <w:tcW w:w="427" w:type="pct"/>
            <w:vAlign w:val="center"/>
          </w:tcPr>
          <w:p>
            <w:pPr>
              <w:jc w:val="center"/>
              <w:rPr>
                <w:b/>
                <w:color w:val="auto"/>
                <w:u w:val="single"/>
              </w:rPr>
            </w:pPr>
            <w:r>
              <w:rPr>
                <w:rFonts w:hint="eastAsia"/>
                <w:b/>
                <w:color w:val="auto"/>
                <w:u w:val="single"/>
              </w:rPr>
              <w:t>/</w:t>
            </w:r>
          </w:p>
        </w:tc>
        <w:tc>
          <w:tcPr>
            <w:tcW w:w="433" w:type="pct"/>
            <w:vAlign w:val="center"/>
          </w:tcPr>
          <w:p>
            <w:pPr>
              <w:jc w:val="center"/>
              <w:rPr>
                <w:b/>
                <w:color w:val="auto"/>
                <w:u w:val="single"/>
              </w:rPr>
            </w:pPr>
            <w:r>
              <w:rPr>
                <w:rFonts w:hint="eastAsia"/>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反渗透系统（二级ECRO+DTRO+二级RO）进水（全部回用）</w:t>
            </w:r>
          </w:p>
        </w:tc>
        <w:tc>
          <w:tcPr>
            <w:tcW w:w="499" w:type="pct"/>
            <w:vAlign w:val="center"/>
          </w:tcPr>
          <w:p>
            <w:pPr>
              <w:jc w:val="center"/>
              <w:rPr>
                <w:b/>
                <w:color w:val="auto"/>
                <w:u w:val="single"/>
              </w:rPr>
            </w:pPr>
            <w:r>
              <w:rPr>
                <w:rFonts w:hint="eastAsia"/>
                <w:b/>
                <w:color w:val="auto"/>
                <w:u w:val="single"/>
              </w:rPr>
              <w:t>394.4955</w:t>
            </w:r>
          </w:p>
        </w:tc>
        <w:tc>
          <w:tcPr>
            <w:tcW w:w="532" w:type="pct"/>
            <w:vAlign w:val="center"/>
          </w:tcPr>
          <w:p>
            <w:pPr>
              <w:jc w:val="center"/>
              <w:rPr>
                <w:b/>
                <w:color w:val="auto"/>
                <w:u w:val="single"/>
              </w:rPr>
            </w:pPr>
            <w:r>
              <w:rPr>
                <w:rFonts w:hint="eastAsia"/>
                <w:b/>
                <w:color w:val="auto"/>
                <w:u w:val="single"/>
              </w:rPr>
              <w:t>96</w:t>
            </w:r>
          </w:p>
        </w:tc>
        <w:tc>
          <w:tcPr>
            <w:tcW w:w="450" w:type="pct"/>
            <w:vAlign w:val="center"/>
          </w:tcPr>
          <w:p>
            <w:pPr>
              <w:jc w:val="center"/>
              <w:rPr>
                <w:b/>
                <w:color w:val="auto"/>
                <w:u w:val="single"/>
              </w:rPr>
            </w:pPr>
            <w:r>
              <w:rPr>
                <w:rFonts w:hint="eastAsia"/>
                <w:b/>
                <w:color w:val="auto"/>
                <w:u w:val="single"/>
              </w:rPr>
              <w:t>2.68</w:t>
            </w:r>
          </w:p>
        </w:tc>
        <w:tc>
          <w:tcPr>
            <w:tcW w:w="417" w:type="pct"/>
            <w:vAlign w:val="center"/>
          </w:tcPr>
          <w:p>
            <w:pPr>
              <w:jc w:val="center"/>
              <w:rPr>
                <w:b/>
                <w:color w:val="auto"/>
                <w:u w:val="single"/>
              </w:rPr>
            </w:pPr>
            <w:r>
              <w:rPr>
                <w:rFonts w:hint="eastAsia"/>
                <w:b/>
                <w:color w:val="auto"/>
                <w:u w:val="single"/>
              </w:rPr>
              <w:t>5.22</w:t>
            </w:r>
          </w:p>
        </w:tc>
        <w:tc>
          <w:tcPr>
            <w:tcW w:w="499" w:type="pct"/>
            <w:tcBorders>
              <w:right w:val="single" w:color="auto" w:sz="4" w:space="0"/>
            </w:tcBorders>
            <w:vAlign w:val="center"/>
          </w:tcPr>
          <w:p>
            <w:pPr>
              <w:jc w:val="center"/>
              <w:rPr>
                <w:b/>
                <w:color w:val="auto"/>
                <w:u w:val="single"/>
              </w:rPr>
            </w:pPr>
            <w:r>
              <w:rPr>
                <w:rFonts w:hint="eastAsia"/>
                <w:b/>
                <w:color w:val="auto"/>
                <w:u w:val="single"/>
              </w:rPr>
              <w:t>0.19</w:t>
            </w:r>
          </w:p>
        </w:tc>
        <w:tc>
          <w:tcPr>
            <w:tcW w:w="409" w:type="pct"/>
            <w:tcBorders>
              <w:left w:val="single" w:color="auto" w:sz="4" w:space="0"/>
            </w:tcBorders>
            <w:vAlign w:val="center"/>
          </w:tcPr>
          <w:p>
            <w:pPr>
              <w:jc w:val="center"/>
              <w:rPr>
                <w:b/>
                <w:color w:val="auto"/>
                <w:u w:val="single"/>
              </w:rPr>
            </w:pPr>
            <w:r>
              <w:rPr>
                <w:rFonts w:hint="eastAsia"/>
                <w:b/>
                <w:color w:val="auto"/>
                <w:u w:val="single"/>
              </w:rPr>
              <w:t>0.09</w:t>
            </w:r>
          </w:p>
        </w:tc>
        <w:tc>
          <w:tcPr>
            <w:tcW w:w="368" w:type="pct"/>
            <w:vAlign w:val="center"/>
          </w:tcPr>
          <w:p>
            <w:pPr>
              <w:jc w:val="center"/>
              <w:rPr>
                <w:b/>
                <w:color w:val="auto"/>
                <w:u w:val="single"/>
              </w:rPr>
            </w:pPr>
            <w:r>
              <w:rPr>
                <w:rFonts w:hint="eastAsia"/>
                <w:b/>
                <w:color w:val="auto"/>
                <w:u w:val="single"/>
              </w:rPr>
              <w:t>0.027</w:t>
            </w:r>
          </w:p>
        </w:tc>
        <w:tc>
          <w:tcPr>
            <w:tcW w:w="427" w:type="pct"/>
            <w:vAlign w:val="center"/>
          </w:tcPr>
          <w:p>
            <w:pPr>
              <w:jc w:val="center"/>
              <w:rPr>
                <w:b/>
                <w:color w:val="auto"/>
                <w:u w:val="single"/>
              </w:rPr>
            </w:pPr>
            <w:r>
              <w:rPr>
                <w:rFonts w:hint="eastAsia"/>
                <w:b/>
                <w:color w:val="auto"/>
                <w:u w:val="single"/>
              </w:rPr>
              <w:t>0.27</w:t>
            </w:r>
          </w:p>
        </w:tc>
        <w:tc>
          <w:tcPr>
            <w:tcW w:w="433" w:type="pct"/>
            <w:vAlign w:val="center"/>
          </w:tcPr>
          <w:p>
            <w:pPr>
              <w:jc w:val="center"/>
              <w:rPr>
                <w:b/>
                <w:color w:val="auto"/>
                <w:u w:val="single"/>
              </w:rPr>
            </w:pPr>
            <w:r>
              <w:rPr>
                <w:rFonts w:hint="eastAsia"/>
                <w:b/>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反渗透系统（二级ECRO+DTRO+二级RO）出水（全部回用）</w:t>
            </w:r>
          </w:p>
        </w:tc>
        <w:tc>
          <w:tcPr>
            <w:tcW w:w="499" w:type="pct"/>
            <w:vAlign w:val="center"/>
          </w:tcPr>
          <w:p>
            <w:pPr>
              <w:jc w:val="center"/>
              <w:rPr>
                <w:b/>
                <w:color w:val="auto"/>
                <w:u w:val="single"/>
              </w:rPr>
            </w:pPr>
            <w:r>
              <w:rPr>
                <w:rFonts w:hint="eastAsia"/>
                <w:b/>
                <w:color w:val="auto"/>
                <w:u w:val="single"/>
              </w:rPr>
              <w:t>39</w:t>
            </w:r>
            <w:r>
              <w:rPr>
                <w:rFonts w:hint="eastAsia"/>
                <w:b/>
                <w:color w:val="auto"/>
                <w:u w:val="single"/>
                <w:lang w:val="en-US" w:eastAsia="zh-CN"/>
              </w:rPr>
              <w:t>1</w:t>
            </w:r>
            <w:r>
              <w:rPr>
                <w:rFonts w:hint="eastAsia"/>
                <w:b/>
                <w:color w:val="auto"/>
                <w:u w:val="single"/>
              </w:rPr>
              <w:t>.5368</w:t>
            </w:r>
          </w:p>
        </w:tc>
        <w:tc>
          <w:tcPr>
            <w:tcW w:w="532" w:type="pct"/>
            <w:vAlign w:val="center"/>
          </w:tcPr>
          <w:p>
            <w:pPr>
              <w:jc w:val="center"/>
              <w:rPr>
                <w:b/>
                <w:color w:val="auto"/>
                <w:u w:val="single"/>
              </w:rPr>
            </w:pPr>
            <w:r>
              <w:rPr>
                <w:rFonts w:hint="eastAsia"/>
                <w:b/>
                <w:color w:val="auto"/>
                <w:u w:val="single"/>
              </w:rPr>
              <w:t>6</w:t>
            </w:r>
          </w:p>
        </w:tc>
        <w:tc>
          <w:tcPr>
            <w:tcW w:w="450" w:type="pct"/>
            <w:vAlign w:val="center"/>
          </w:tcPr>
          <w:p>
            <w:pPr>
              <w:jc w:val="center"/>
              <w:rPr>
                <w:b/>
                <w:color w:val="auto"/>
                <w:u w:val="single"/>
              </w:rPr>
            </w:pPr>
            <w:r>
              <w:rPr>
                <w:rFonts w:hint="eastAsia"/>
                <w:b/>
                <w:color w:val="auto"/>
                <w:u w:val="single"/>
              </w:rPr>
              <w:t>0.27</w:t>
            </w:r>
          </w:p>
        </w:tc>
        <w:tc>
          <w:tcPr>
            <w:tcW w:w="417" w:type="pct"/>
            <w:vAlign w:val="center"/>
          </w:tcPr>
          <w:p>
            <w:pPr>
              <w:jc w:val="center"/>
              <w:rPr>
                <w:b/>
                <w:color w:val="auto"/>
                <w:u w:val="single"/>
              </w:rPr>
            </w:pPr>
            <w:r>
              <w:rPr>
                <w:rFonts w:hint="eastAsia"/>
                <w:b/>
                <w:color w:val="auto"/>
                <w:u w:val="single"/>
              </w:rPr>
              <w:t>0.26</w:t>
            </w:r>
          </w:p>
        </w:tc>
        <w:tc>
          <w:tcPr>
            <w:tcW w:w="499" w:type="pct"/>
            <w:tcBorders>
              <w:right w:val="single" w:color="auto" w:sz="4" w:space="0"/>
            </w:tcBorders>
            <w:vAlign w:val="center"/>
          </w:tcPr>
          <w:p>
            <w:pPr>
              <w:jc w:val="center"/>
              <w:rPr>
                <w:b/>
                <w:color w:val="auto"/>
                <w:u w:val="single"/>
              </w:rPr>
            </w:pPr>
            <w:r>
              <w:rPr>
                <w:rFonts w:hint="eastAsia"/>
                <w:b/>
                <w:color w:val="auto"/>
                <w:u w:val="single"/>
              </w:rPr>
              <w:t>0.19</w:t>
            </w:r>
          </w:p>
        </w:tc>
        <w:tc>
          <w:tcPr>
            <w:tcW w:w="409" w:type="pct"/>
            <w:tcBorders>
              <w:left w:val="single" w:color="auto" w:sz="4" w:space="0"/>
            </w:tcBorders>
            <w:vAlign w:val="center"/>
          </w:tcPr>
          <w:p>
            <w:pPr>
              <w:jc w:val="center"/>
              <w:rPr>
                <w:b/>
                <w:color w:val="auto"/>
                <w:u w:val="single"/>
              </w:rPr>
            </w:pPr>
            <w:r>
              <w:rPr>
                <w:rFonts w:hint="eastAsia"/>
                <w:b/>
                <w:color w:val="auto"/>
                <w:u w:val="single"/>
              </w:rPr>
              <w:t>0.0045</w:t>
            </w:r>
          </w:p>
        </w:tc>
        <w:tc>
          <w:tcPr>
            <w:tcW w:w="368" w:type="pct"/>
            <w:vAlign w:val="center"/>
          </w:tcPr>
          <w:p>
            <w:pPr>
              <w:jc w:val="center"/>
              <w:rPr>
                <w:b/>
                <w:color w:val="auto"/>
                <w:u w:val="single"/>
              </w:rPr>
            </w:pPr>
            <w:r>
              <w:rPr>
                <w:rFonts w:hint="eastAsia"/>
                <w:b/>
                <w:color w:val="auto"/>
                <w:u w:val="single"/>
              </w:rPr>
              <w:t>0.0007</w:t>
            </w:r>
          </w:p>
        </w:tc>
        <w:tc>
          <w:tcPr>
            <w:tcW w:w="427" w:type="pct"/>
            <w:vAlign w:val="center"/>
          </w:tcPr>
          <w:p>
            <w:pPr>
              <w:jc w:val="center"/>
              <w:rPr>
                <w:b/>
                <w:color w:val="auto"/>
                <w:u w:val="single"/>
              </w:rPr>
            </w:pPr>
            <w:r>
              <w:rPr>
                <w:rFonts w:hint="eastAsia"/>
                <w:b/>
                <w:color w:val="auto"/>
                <w:u w:val="single"/>
              </w:rPr>
              <w:t>0.027</w:t>
            </w:r>
          </w:p>
        </w:tc>
        <w:tc>
          <w:tcPr>
            <w:tcW w:w="433" w:type="pct"/>
            <w:vAlign w:val="center"/>
          </w:tcPr>
          <w:p>
            <w:pPr>
              <w:jc w:val="center"/>
              <w:rPr>
                <w:b/>
                <w:color w:val="auto"/>
                <w:u w:val="single"/>
              </w:rPr>
            </w:pPr>
            <w:r>
              <w:rPr>
                <w:rFonts w:hint="eastAsia"/>
                <w:b/>
                <w:color w:val="auto"/>
                <w:u w:val="single"/>
              </w:rPr>
              <w:t>0.022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去除率</w:t>
            </w:r>
          </w:p>
        </w:tc>
        <w:tc>
          <w:tcPr>
            <w:tcW w:w="499" w:type="pct"/>
            <w:vAlign w:val="center"/>
          </w:tcPr>
          <w:p>
            <w:pPr>
              <w:jc w:val="center"/>
              <w:rPr>
                <w:b/>
                <w:color w:val="auto"/>
                <w:u w:val="single"/>
              </w:rPr>
            </w:pPr>
            <w:r>
              <w:rPr>
                <w:rFonts w:hint="eastAsia"/>
                <w:b/>
                <w:color w:val="auto"/>
                <w:u w:val="single"/>
              </w:rPr>
              <w:t>/</w:t>
            </w:r>
          </w:p>
        </w:tc>
        <w:tc>
          <w:tcPr>
            <w:tcW w:w="532" w:type="pct"/>
            <w:vAlign w:val="center"/>
          </w:tcPr>
          <w:p>
            <w:pPr>
              <w:jc w:val="center"/>
              <w:rPr>
                <w:b/>
                <w:color w:val="auto"/>
                <w:u w:val="single"/>
              </w:rPr>
            </w:pPr>
            <w:r>
              <w:rPr>
                <w:rFonts w:hint="eastAsia"/>
                <w:b/>
                <w:color w:val="auto"/>
                <w:u w:val="single"/>
              </w:rPr>
              <w:t>93.8</w:t>
            </w:r>
          </w:p>
        </w:tc>
        <w:tc>
          <w:tcPr>
            <w:tcW w:w="450" w:type="pct"/>
            <w:vAlign w:val="center"/>
          </w:tcPr>
          <w:p>
            <w:pPr>
              <w:jc w:val="center"/>
              <w:rPr>
                <w:b/>
                <w:color w:val="auto"/>
                <w:u w:val="single"/>
              </w:rPr>
            </w:pPr>
            <w:r>
              <w:rPr>
                <w:rFonts w:hint="eastAsia"/>
                <w:b/>
                <w:color w:val="auto"/>
                <w:u w:val="single"/>
              </w:rPr>
              <w:t>90</w:t>
            </w:r>
          </w:p>
        </w:tc>
        <w:tc>
          <w:tcPr>
            <w:tcW w:w="417" w:type="pct"/>
            <w:vAlign w:val="center"/>
          </w:tcPr>
          <w:p>
            <w:pPr>
              <w:jc w:val="center"/>
              <w:rPr>
                <w:b/>
                <w:color w:val="auto"/>
                <w:u w:val="single"/>
              </w:rPr>
            </w:pPr>
            <w:r>
              <w:rPr>
                <w:rFonts w:hint="eastAsia"/>
                <w:b/>
                <w:color w:val="auto"/>
                <w:u w:val="single"/>
              </w:rPr>
              <w:t>95</w:t>
            </w:r>
          </w:p>
        </w:tc>
        <w:tc>
          <w:tcPr>
            <w:tcW w:w="499" w:type="pct"/>
            <w:tcBorders>
              <w:right w:val="single" w:color="auto" w:sz="4" w:space="0"/>
            </w:tcBorders>
            <w:vAlign w:val="center"/>
          </w:tcPr>
          <w:p>
            <w:pPr>
              <w:jc w:val="center"/>
              <w:rPr>
                <w:b/>
                <w:color w:val="auto"/>
                <w:u w:val="single"/>
              </w:rPr>
            </w:pPr>
            <w:r>
              <w:rPr>
                <w:rFonts w:hint="eastAsia"/>
                <w:b/>
                <w:color w:val="auto"/>
                <w:u w:val="single"/>
              </w:rPr>
              <w:t>/</w:t>
            </w:r>
          </w:p>
        </w:tc>
        <w:tc>
          <w:tcPr>
            <w:tcW w:w="409" w:type="pct"/>
            <w:tcBorders>
              <w:left w:val="single" w:color="auto" w:sz="4" w:space="0"/>
            </w:tcBorders>
            <w:vAlign w:val="center"/>
          </w:tcPr>
          <w:p>
            <w:pPr>
              <w:jc w:val="center"/>
              <w:rPr>
                <w:b/>
                <w:color w:val="auto"/>
                <w:u w:val="single"/>
              </w:rPr>
            </w:pPr>
            <w:r>
              <w:rPr>
                <w:rFonts w:hint="eastAsia"/>
                <w:b/>
                <w:color w:val="auto"/>
                <w:u w:val="single"/>
              </w:rPr>
              <w:t>95</w:t>
            </w:r>
          </w:p>
        </w:tc>
        <w:tc>
          <w:tcPr>
            <w:tcW w:w="368" w:type="pct"/>
            <w:vAlign w:val="center"/>
          </w:tcPr>
          <w:p>
            <w:pPr>
              <w:jc w:val="center"/>
              <w:rPr>
                <w:b/>
                <w:color w:val="auto"/>
                <w:u w:val="single"/>
              </w:rPr>
            </w:pPr>
            <w:r>
              <w:rPr>
                <w:rFonts w:hint="eastAsia"/>
                <w:b/>
                <w:color w:val="auto"/>
                <w:u w:val="single"/>
              </w:rPr>
              <w:t>97.5</w:t>
            </w:r>
          </w:p>
        </w:tc>
        <w:tc>
          <w:tcPr>
            <w:tcW w:w="427" w:type="pct"/>
            <w:vAlign w:val="center"/>
          </w:tcPr>
          <w:p>
            <w:pPr>
              <w:jc w:val="center"/>
              <w:rPr>
                <w:b/>
                <w:color w:val="auto"/>
                <w:u w:val="single"/>
              </w:rPr>
            </w:pPr>
            <w:r>
              <w:rPr>
                <w:rFonts w:hint="eastAsia"/>
                <w:b/>
                <w:color w:val="auto"/>
                <w:u w:val="single"/>
              </w:rPr>
              <w:t>90</w:t>
            </w:r>
          </w:p>
        </w:tc>
        <w:tc>
          <w:tcPr>
            <w:tcW w:w="433" w:type="pct"/>
            <w:vAlign w:val="center"/>
          </w:tcPr>
          <w:p>
            <w:pPr>
              <w:jc w:val="center"/>
              <w:rPr>
                <w:b/>
                <w:color w:val="auto"/>
                <w:u w:val="single"/>
              </w:rPr>
            </w:pPr>
            <w:r>
              <w:rPr>
                <w:rFonts w:hint="eastAsia"/>
                <w:b/>
                <w:color w:val="auto"/>
                <w:u w:val="single"/>
              </w:rPr>
              <w:t>97.5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960" w:type="pct"/>
            <w:vAlign w:val="center"/>
          </w:tcPr>
          <w:p>
            <w:pPr>
              <w:jc w:val="center"/>
              <w:rPr>
                <w:b/>
                <w:color w:val="auto"/>
                <w:u w:val="single"/>
              </w:rPr>
            </w:pPr>
            <w:r>
              <w:rPr>
                <w:rFonts w:hint="eastAsia"/>
                <w:b/>
                <w:color w:val="auto"/>
                <w:u w:val="single"/>
              </w:rPr>
              <w:t>MVR蒸发结晶</w:t>
            </w:r>
          </w:p>
        </w:tc>
        <w:tc>
          <w:tcPr>
            <w:tcW w:w="499" w:type="pct"/>
            <w:vAlign w:val="center"/>
          </w:tcPr>
          <w:p>
            <w:pPr>
              <w:jc w:val="center"/>
              <w:rPr>
                <w:b/>
                <w:color w:val="auto"/>
                <w:u w:val="single"/>
              </w:rPr>
            </w:pPr>
            <w:r>
              <w:rPr>
                <w:rFonts w:hint="eastAsia"/>
                <w:b/>
                <w:color w:val="auto"/>
                <w:u w:val="single"/>
              </w:rPr>
              <w:t>2.9587</w:t>
            </w:r>
          </w:p>
        </w:tc>
        <w:tc>
          <w:tcPr>
            <w:tcW w:w="532" w:type="pct"/>
            <w:vAlign w:val="center"/>
          </w:tcPr>
          <w:p>
            <w:pPr>
              <w:jc w:val="center"/>
              <w:rPr>
                <w:b/>
                <w:color w:val="auto"/>
                <w:u w:val="single"/>
              </w:rPr>
            </w:pPr>
            <w:r>
              <w:rPr>
                <w:rFonts w:hint="eastAsia"/>
                <w:b/>
                <w:color w:val="auto"/>
                <w:u w:val="single"/>
              </w:rPr>
              <w:t>/</w:t>
            </w:r>
          </w:p>
        </w:tc>
        <w:tc>
          <w:tcPr>
            <w:tcW w:w="450" w:type="pct"/>
            <w:vAlign w:val="center"/>
          </w:tcPr>
          <w:p>
            <w:pPr>
              <w:jc w:val="center"/>
              <w:rPr>
                <w:b/>
                <w:color w:val="auto"/>
                <w:u w:val="single"/>
              </w:rPr>
            </w:pPr>
            <w:r>
              <w:rPr>
                <w:rFonts w:hint="eastAsia"/>
                <w:b/>
                <w:color w:val="auto"/>
                <w:u w:val="single"/>
              </w:rPr>
              <w:t>/</w:t>
            </w:r>
          </w:p>
        </w:tc>
        <w:tc>
          <w:tcPr>
            <w:tcW w:w="417" w:type="pct"/>
            <w:vAlign w:val="center"/>
          </w:tcPr>
          <w:p>
            <w:pPr>
              <w:jc w:val="center"/>
              <w:rPr>
                <w:b/>
                <w:color w:val="auto"/>
                <w:u w:val="single"/>
              </w:rPr>
            </w:pPr>
            <w:r>
              <w:rPr>
                <w:rFonts w:hint="eastAsia"/>
                <w:b/>
                <w:color w:val="auto"/>
                <w:u w:val="single"/>
              </w:rPr>
              <w:t>/</w:t>
            </w:r>
          </w:p>
        </w:tc>
        <w:tc>
          <w:tcPr>
            <w:tcW w:w="499" w:type="pct"/>
            <w:tcBorders>
              <w:right w:val="single" w:color="auto" w:sz="4" w:space="0"/>
            </w:tcBorders>
            <w:vAlign w:val="center"/>
          </w:tcPr>
          <w:p>
            <w:pPr>
              <w:jc w:val="center"/>
              <w:rPr>
                <w:b/>
                <w:color w:val="auto"/>
                <w:u w:val="single"/>
              </w:rPr>
            </w:pPr>
          </w:p>
        </w:tc>
        <w:tc>
          <w:tcPr>
            <w:tcW w:w="409" w:type="pct"/>
            <w:tcBorders>
              <w:left w:val="single" w:color="auto" w:sz="4" w:space="0"/>
            </w:tcBorders>
            <w:vAlign w:val="center"/>
          </w:tcPr>
          <w:p>
            <w:pPr>
              <w:jc w:val="center"/>
              <w:rPr>
                <w:b/>
                <w:color w:val="auto"/>
                <w:u w:val="single"/>
              </w:rPr>
            </w:pPr>
            <w:r>
              <w:rPr>
                <w:rFonts w:hint="eastAsia"/>
                <w:b/>
                <w:color w:val="auto"/>
                <w:u w:val="single"/>
              </w:rPr>
              <w:t>/</w:t>
            </w:r>
          </w:p>
        </w:tc>
        <w:tc>
          <w:tcPr>
            <w:tcW w:w="368" w:type="pct"/>
            <w:vAlign w:val="center"/>
          </w:tcPr>
          <w:p>
            <w:pPr>
              <w:jc w:val="center"/>
              <w:rPr>
                <w:b/>
                <w:color w:val="auto"/>
                <w:u w:val="single"/>
              </w:rPr>
            </w:pPr>
            <w:r>
              <w:rPr>
                <w:rFonts w:hint="eastAsia"/>
                <w:b/>
                <w:color w:val="auto"/>
                <w:u w:val="single"/>
              </w:rPr>
              <w:t>/</w:t>
            </w:r>
          </w:p>
        </w:tc>
        <w:tc>
          <w:tcPr>
            <w:tcW w:w="427" w:type="pct"/>
            <w:vAlign w:val="center"/>
          </w:tcPr>
          <w:p>
            <w:pPr>
              <w:jc w:val="center"/>
              <w:rPr>
                <w:b/>
                <w:color w:val="auto"/>
                <w:u w:val="single"/>
              </w:rPr>
            </w:pPr>
            <w:r>
              <w:rPr>
                <w:rFonts w:hint="eastAsia"/>
                <w:b/>
                <w:color w:val="auto"/>
                <w:u w:val="single"/>
              </w:rPr>
              <w:t>/</w:t>
            </w:r>
          </w:p>
        </w:tc>
        <w:tc>
          <w:tcPr>
            <w:tcW w:w="433" w:type="pct"/>
            <w:vAlign w:val="center"/>
          </w:tcPr>
          <w:p>
            <w:pPr>
              <w:jc w:val="center"/>
              <w:rPr>
                <w:b/>
                <w:color w:val="auto"/>
                <w:u w:val="single"/>
              </w:rPr>
            </w:pPr>
            <w:r>
              <w:rPr>
                <w:rFonts w:hint="eastAsia"/>
                <w:b/>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5000" w:type="pct"/>
            <w:gridSpan w:val="10"/>
            <w:vAlign w:val="center"/>
          </w:tcPr>
          <w:p>
            <w:pPr>
              <w:rPr>
                <w:b/>
                <w:color w:val="auto"/>
                <w:u w:val="single"/>
              </w:rPr>
            </w:pPr>
            <w:r>
              <w:rPr>
                <w:rFonts w:hint="eastAsia"/>
                <w:b/>
                <w:color w:val="auto"/>
                <w:u w:val="single"/>
              </w:rPr>
              <w:t>备注：回用水电导率：</w:t>
            </w:r>
            <w:r>
              <w:rPr>
                <w:rFonts w:hint="eastAsia"/>
                <w:b/>
                <w:color w:val="auto"/>
                <w:u w:val="single"/>
                <w:lang w:val="en-US" w:eastAsia="zh-CN"/>
              </w:rPr>
              <w:t>20</w:t>
            </w:r>
            <w:r>
              <w:rPr>
                <w:rFonts w:ascii="Arial Narrow" w:hAnsi="Arial Narrow" w:cs="Arial"/>
                <w:b/>
                <w:i/>
                <w:color w:val="auto"/>
                <w:u w:val="single"/>
              </w:rPr>
              <w:t>us/cm</w:t>
            </w:r>
          </w:p>
        </w:tc>
      </w:tr>
    </w:tbl>
    <w:p>
      <w:pPr>
        <w:pStyle w:val="32"/>
        <w:adjustRightInd w:val="0"/>
        <w:snapToGrid w:val="0"/>
        <w:spacing w:after="0"/>
        <w:jc w:val="center"/>
        <w:rPr>
          <w:rFonts w:eastAsia="黑体"/>
          <w:b/>
          <w:bCs/>
          <w:color w:val="auto"/>
          <w:kern w:val="21"/>
          <w:sz w:val="24"/>
          <w:u w:val="single"/>
          <w:lang w:val="en-US"/>
        </w:rPr>
      </w:pPr>
      <w:r>
        <w:rPr>
          <w:rFonts w:hint="eastAsia" w:eastAsia="黑体"/>
          <w:b/>
          <w:bCs/>
          <w:color w:val="auto"/>
          <w:kern w:val="21"/>
          <w:sz w:val="24"/>
          <w:u w:val="single"/>
          <w:lang w:val="en-US"/>
        </w:rPr>
        <w:t>表3.4-14    废水电导率去除效率一览表</w:t>
      </w:r>
    </w:p>
    <w:tbl>
      <w:tblPr>
        <w:tblStyle w:val="8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9"/>
        <w:gridCol w:w="875"/>
        <w:gridCol w:w="2975"/>
        <w:gridCol w:w="29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序号</w:t>
            </w:r>
          </w:p>
        </w:tc>
        <w:tc>
          <w:tcPr>
            <w:tcW w:w="2258" w:type="pct"/>
            <w:gridSpan w:val="2"/>
            <w:shd w:val="clear" w:color="auto" w:fill="auto"/>
            <w:vAlign w:val="center"/>
          </w:tcPr>
          <w:p>
            <w:pPr>
              <w:autoSpaceDE w:val="0"/>
              <w:autoSpaceDN w:val="0"/>
              <w:adjustRightInd w:val="0"/>
              <w:jc w:val="center"/>
              <w:rPr>
                <w:b/>
                <w:color w:val="auto"/>
                <w:kern w:val="0"/>
                <w:u w:val="single"/>
              </w:rPr>
            </w:pPr>
            <w:r>
              <w:rPr>
                <w:b/>
                <w:color w:val="auto"/>
                <w:kern w:val="0"/>
                <w:u w:val="single"/>
              </w:rPr>
              <w:t>工段</w:t>
            </w:r>
          </w:p>
        </w:tc>
        <w:tc>
          <w:tcPr>
            <w:tcW w:w="1720" w:type="pct"/>
            <w:shd w:val="clear" w:color="auto" w:fill="auto"/>
            <w:vAlign w:val="center"/>
          </w:tcPr>
          <w:p>
            <w:pPr>
              <w:jc w:val="center"/>
              <w:rPr>
                <w:b/>
                <w:iCs/>
                <w:color w:val="auto"/>
                <w:u w:val="single"/>
              </w:rPr>
            </w:pPr>
            <w:r>
              <w:rPr>
                <w:b/>
                <w:iCs/>
                <w:color w:val="auto"/>
                <w:u w:val="single"/>
              </w:rPr>
              <w:t>指标 （us/cm）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1</w:t>
            </w:r>
          </w:p>
        </w:tc>
        <w:tc>
          <w:tcPr>
            <w:tcW w:w="2258" w:type="pct"/>
            <w:gridSpan w:val="2"/>
            <w:shd w:val="clear" w:color="auto" w:fill="auto"/>
            <w:vAlign w:val="center"/>
          </w:tcPr>
          <w:p>
            <w:pPr>
              <w:jc w:val="center"/>
              <w:rPr>
                <w:b/>
                <w:color w:val="auto"/>
                <w:kern w:val="0"/>
                <w:u w:val="single"/>
              </w:rPr>
            </w:pPr>
            <w:r>
              <w:rPr>
                <w:b/>
                <w:color w:val="auto"/>
                <w:u w:val="single"/>
              </w:rPr>
              <w:t>生化调节池</w:t>
            </w:r>
          </w:p>
        </w:tc>
        <w:tc>
          <w:tcPr>
            <w:tcW w:w="1720" w:type="pct"/>
            <w:shd w:val="clear" w:color="auto" w:fill="auto"/>
            <w:vAlign w:val="center"/>
          </w:tcPr>
          <w:p>
            <w:pPr>
              <w:jc w:val="center"/>
              <w:rPr>
                <w:b/>
                <w:iCs/>
                <w:color w:val="auto"/>
                <w:kern w:val="0"/>
                <w:u w:val="single"/>
              </w:rPr>
            </w:pPr>
            <w:r>
              <w:rPr>
                <w:b/>
                <w:iCs/>
                <w:color w:val="auto"/>
                <w:u w:val="single"/>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2</w:t>
            </w:r>
          </w:p>
        </w:tc>
        <w:tc>
          <w:tcPr>
            <w:tcW w:w="2258" w:type="pct"/>
            <w:gridSpan w:val="2"/>
            <w:shd w:val="clear" w:color="auto" w:fill="auto"/>
            <w:vAlign w:val="center"/>
          </w:tcPr>
          <w:p>
            <w:pPr>
              <w:jc w:val="center"/>
              <w:rPr>
                <w:b/>
                <w:color w:val="auto"/>
                <w:kern w:val="0"/>
                <w:u w:val="single"/>
              </w:rPr>
            </w:pPr>
            <w:r>
              <w:rPr>
                <w:b/>
                <w:color w:val="auto"/>
                <w:u w:val="single"/>
              </w:rPr>
              <w:t>生化出水（MBR产水）</w:t>
            </w:r>
          </w:p>
        </w:tc>
        <w:tc>
          <w:tcPr>
            <w:tcW w:w="1720" w:type="pct"/>
            <w:shd w:val="clear" w:color="auto" w:fill="auto"/>
            <w:vAlign w:val="center"/>
          </w:tcPr>
          <w:p>
            <w:pPr>
              <w:jc w:val="center"/>
              <w:rPr>
                <w:b/>
                <w:iCs/>
                <w:color w:val="auto"/>
                <w:kern w:val="0"/>
                <w:u w:val="single"/>
              </w:rPr>
            </w:pPr>
            <w:r>
              <w:rPr>
                <w:b/>
                <w:iCs/>
                <w:color w:val="auto"/>
                <w:u w:val="single"/>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3</w:t>
            </w:r>
          </w:p>
        </w:tc>
        <w:tc>
          <w:tcPr>
            <w:tcW w:w="513" w:type="pct"/>
            <w:vMerge w:val="restart"/>
            <w:shd w:val="clear" w:color="auto" w:fill="auto"/>
            <w:vAlign w:val="center"/>
          </w:tcPr>
          <w:p>
            <w:pPr>
              <w:jc w:val="center"/>
              <w:rPr>
                <w:b/>
                <w:color w:val="auto"/>
                <w:kern w:val="0"/>
                <w:u w:val="single"/>
              </w:rPr>
            </w:pPr>
            <w:r>
              <w:rPr>
                <w:b/>
                <w:color w:val="auto"/>
                <w:kern w:val="0"/>
                <w:u w:val="single"/>
              </w:rPr>
              <w:t>反渗透系统</w:t>
            </w:r>
          </w:p>
        </w:tc>
        <w:tc>
          <w:tcPr>
            <w:tcW w:w="1744" w:type="pct"/>
            <w:shd w:val="clear" w:color="auto" w:fill="auto"/>
            <w:vAlign w:val="center"/>
          </w:tcPr>
          <w:p>
            <w:pPr>
              <w:jc w:val="center"/>
              <w:rPr>
                <w:b/>
                <w:color w:val="auto"/>
                <w:kern w:val="0"/>
                <w:u w:val="single"/>
              </w:rPr>
            </w:pPr>
            <w:r>
              <w:rPr>
                <w:b/>
                <w:color w:val="auto"/>
                <w:u w:val="single"/>
              </w:rPr>
              <w:t>ECRO1产水</w:t>
            </w:r>
          </w:p>
        </w:tc>
        <w:tc>
          <w:tcPr>
            <w:tcW w:w="1720" w:type="pct"/>
            <w:shd w:val="clear" w:color="auto" w:fill="auto"/>
            <w:vAlign w:val="center"/>
          </w:tcPr>
          <w:p>
            <w:pPr>
              <w:jc w:val="center"/>
              <w:rPr>
                <w:b/>
                <w:iCs/>
                <w:color w:val="auto"/>
                <w:kern w:val="0"/>
                <w:u w:val="single"/>
              </w:rPr>
            </w:pPr>
            <w:r>
              <w:rPr>
                <w:b/>
                <w:iCs/>
                <w:color w:val="auto"/>
                <w:u w:val="single"/>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4</w:t>
            </w:r>
          </w:p>
        </w:tc>
        <w:tc>
          <w:tcPr>
            <w:tcW w:w="513" w:type="pct"/>
            <w:vMerge w:val="continue"/>
            <w:shd w:val="clear" w:color="auto" w:fill="auto"/>
            <w:vAlign w:val="center"/>
          </w:tcPr>
          <w:p>
            <w:pPr>
              <w:jc w:val="center"/>
              <w:rPr>
                <w:b/>
                <w:color w:val="auto"/>
                <w:kern w:val="0"/>
                <w:u w:val="single"/>
              </w:rPr>
            </w:pPr>
          </w:p>
        </w:tc>
        <w:tc>
          <w:tcPr>
            <w:tcW w:w="1744" w:type="pct"/>
            <w:shd w:val="clear" w:color="auto" w:fill="auto"/>
            <w:vAlign w:val="center"/>
          </w:tcPr>
          <w:p>
            <w:pPr>
              <w:jc w:val="center"/>
              <w:rPr>
                <w:b/>
                <w:color w:val="auto"/>
                <w:kern w:val="0"/>
                <w:u w:val="single"/>
              </w:rPr>
            </w:pPr>
            <w:r>
              <w:rPr>
                <w:b/>
                <w:color w:val="auto"/>
                <w:u w:val="single"/>
              </w:rPr>
              <w:t>ECRO2产水</w:t>
            </w:r>
          </w:p>
        </w:tc>
        <w:tc>
          <w:tcPr>
            <w:tcW w:w="1720" w:type="pct"/>
            <w:shd w:val="clear" w:color="auto" w:fill="auto"/>
            <w:vAlign w:val="center"/>
          </w:tcPr>
          <w:p>
            <w:pPr>
              <w:jc w:val="center"/>
              <w:rPr>
                <w:b/>
                <w:iCs/>
                <w:color w:val="auto"/>
                <w:kern w:val="0"/>
                <w:u w:val="single"/>
              </w:rPr>
            </w:pPr>
            <w:r>
              <w:rPr>
                <w:b/>
                <w:iCs/>
                <w:color w:val="auto"/>
                <w:u w:val="single"/>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5</w:t>
            </w:r>
          </w:p>
        </w:tc>
        <w:tc>
          <w:tcPr>
            <w:tcW w:w="513" w:type="pct"/>
            <w:vMerge w:val="continue"/>
            <w:shd w:val="clear" w:color="auto" w:fill="auto"/>
            <w:vAlign w:val="center"/>
          </w:tcPr>
          <w:p>
            <w:pPr>
              <w:jc w:val="center"/>
              <w:rPr>
                <w:b/>
                <w:color w:val="auto"/>
                <w:kern w:val="0"/>
                <w:u w:val="single"/>
              </w:rPr>
            </w:pPr>
          </w:p>
        </w:tc>
        <w:tc>
          <w:tcPr>
            <w:tcW w:w="1744" w:type="pct"/>
            <w:shd w:val="clear" w:color="auto" w:fill="auto"/>
            <w:vAlign w:val="center"/>
          </w:tcPr>
          <w:p>
            <w:pPr>
              <w:jc w:val="center"/>
              <w:rPr>
                <w:b/>
                <w:color w:val="auto"/>
                <w:kern w:val="0"/>
                <w:u w:val="single"/>
              </w:rPr>
            </w:pPr>
            <w:r>
              <w:rPr>
                <w:b/>
                <w:color w:val="auto"/>
                <w:u w:val="single"/>
              </w:rPr>
              <w:t>DTRO产水</w:t>
            </w:r>
          </w:p>
        </w:tc>
        <w:tc>
          <w:tcPr>
            <w:tcW w:w="1720" w:type="pct"/>
            <w:shd w:val="clear" w:color="auto" w:fill="auto"/>
            <w:vAlign w:val="center"/>
          </w:tcPr>
          <w:p>
            <w:pPr>
              <w:jc w:val="center"/>
              <w:rPr>
                <w:b/>
                <w:iCs/>
                <w:color w:val="auto"/>
                <w:kern w:val="0"/>
                <w:u w:val="single"/>
              </w:rPr>
            </w:pPr>
            <w:r>
              <w:rPr>
                <w:b/>
                <w:iCs/>
                <w:color w:val="auto"/>
                <w:u w:val="single"/>
              </w:rPr>
              <w:t>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6</w:t>
            </w:r>
          </w:p>
        </w:tc>
        <w:tc>
          <w:tcPr>
            <w:tcW w:w="513" w:type="pct"/>
            <w:vMerge w:val="continue"/>
            <w:shd w:val="clear" w:color="auto" w:fill="auto"/>
            <w:vAlign w:val="center"/>
          </w:tcPr>
          <w:p>
            <w:pPr>
              <w:jc w:val="center"/>
              <w:rPr>
                <w:b/>
                <w:color w:val="auto"/>
                <w:kern w:val="0"/>
                <w:u w:val="single"/>
              </w:rPr>
            </w:pPr>
          </w:p>
        </w:tc>
        <w:tc>
          <w:tcPr>
            <w:tcW w:w="1744" w:type="pct"/>
            <w:shd w:val="clear" w:color="auto" w:fill="auto"/>
            <w:vAlign w:val="center"/>
          </w:tcPr>
          <w:p>
            <w:pPr>
              <w:jc w:val="center"/>
              <w:rPr>
                <w:b/>
                <w:color w:val="auto"/>
                <w:kern w:val="0"/>
                <w:u w:val="single"/>
              </w:rPr>
            </w:pPr>
            <w:r>
              <w:rPr>
                <w:b/>
                <w:color w:val="auto"/>
                <w:u w:val="single"/>
              </w:rPr>
              <w:t>脱盐RO1产水</w:t>
            </w:r>
          </w:p>
        </w:tc>
        <w:tc>
          <w:tcPr>
            <w:tcW w:w="1720" w:type="pct"/>
            <w:shd w:val="clear" w:color="auto" w:fill="auto"/>
            <w:vAlign w:val="center"/>
          </w:tcPr>
          <w:p>
            <w:pPr>
              <w:jc w:val="center"/>
              <w:rPr>
                <w:b/>
                <w:iCs/>
                <w:color w:val="auto"/>
                <w:kern w:val="0"/>
                <w:u w:val="single"/>
              </w:rPr>
            </w:pPr>
            <w:r>
              <w:rPr>
                <w:b/>
                <w:iCs/>
                <w:color w:val="auto"/>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7</w:t>
            </w:r>
          </w:p>
        </w:tc>
        <w:tc>
          <w:tcPr>
            <w:tcW w:w="513" w:type="pct"/>
            <w:vMerge w:val="continue"/>
            <w:shd w:val="clear" w:color="auto" w:fill="auto"/>
            <w:vAlign w:val="center"/>
          </w:tcPr>
          <w:p>
            <w:pPr>
              <w:jc w:val="center"/>
              <w:rPr>
                <w:b/>
                <w:color w:val="auto"/>
                <w:kern w:val="0"/>
                <w:u w:val="single"/>
              </w:rPr>
            </w:pPr>
          </w:p>
        </w:tc>
        <w:tc>
          <w:tcPr>
            <w:tcW w:w="1744" w:type="pct"/>
            <w:shd w:val="clear" w:color="auto" w:fill="auto"/>
            <w:vAlign w:val="center"/>
          </w:tcPr>
          <w:p>
            <w:pPr>
              <w:jc w:val="center"/>
              <w:rPr>
                <w:b/>
                <w:color w:val="auto"/>
                <w:kern w:val="0"/>
                <w:u w:val="single"/>
              </w:rPr>
            </w:pPr>
            <w:r>
              <w:rPr>
                <w:b/>
                <w:color w:val="auto"/>
                <w:u w:val="single"/>
              </w:rPr>
              <w:t>脱盐RO2产水</w:t>
            </w:r>
          </w:p>
        </w:tc>
        <w:tc>
          <w:tcPr>
            <w:tcW w:w="1720" w:type="pct"/>
            <w:shd w:val="clear" w:color="auto" w:fill="auto"/>
            <w:vAlign w:val="center"/>
          </w:tcPr>
          <w:p>
            <w:pPr>
              <w:jc w:val="center"/>
              <w:rPr>
                <w:b/>
                <w:iCs/>
                <w:color w:val="auto"/>
                <w:kern w:val="0"/>
                <w:u w:val="single"/>
              </w:rPr>
            </w:pPr>
            <w:r>
              <w:rPr>
                <w:b/>
                <w:iCs/>
                <w:color w:val="auto"/>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autoSpaceDE w:val="0"/>
              <w:autoSpaceDN w:val="0"/>
              <w:adjustRightInd w:val="0"/>
              <w:jc w:val="center"/>
              <w:rPr>
                <w:b/>
                <w:color w:val="auto"/>
                <w:kern w:val="0"/>
                <w:u w:val="single"/>
              </w:rPr>
            </w:pPr>
            <w:r>
              <w:rPr>
                <w:b/>
                <w:color w:val="auto"/>
                <w:kern w:val="0"/>
                <w:u w:val="single"/>
              </w:rPr>
              <w:t>8</w:t>
            </w:r>
          </w:p>
        </w:tc>
        <w:tc>
          <w:tcPr>
            <w:tcW w:w="2258" w:type="pct"/>
            <w:gridSpan w:val="2"/>
            <w:shd w:val="clear" w:color="auto" w:fill="auto"/>
            <w:vAlign w:val="center"/>
          </w:tcPr>
          <w:p>
            <w:pPr>
              <w:jc w:val="center"/>
              <w:rPr>
                <w:b/>
                <w:color w:val="auto"/>
                <w:u w:val="single"/>
              </w:rPr>
            </w:pPr>
            <w:r>
              <w:rPr>
                <w:b/>
                <w:color w:val="auto"/>
                <w:u w:val="single"/>
              </w:rPr>
              <w:t>去除率</w:t>
            </w:r>
          </w:p>
        </w:tc>
        <w:tc>
          <w:tcPr>
            <w:tcW w:w="1720" w:type="pct"/>
            <w:shd w:val="clear" w:color="auto" w:fill="auto"/>
            <w:vAlign w:val="center"/>
          </w:tcPr>
          <w:p>
            <w:pPr>
              <w:jc w:val="center"/>
              <w:rPr>
                <w:b/>
                <w:iCs/>
                <w:color w:val="auto"/>
                <w:kern w:val="0"/>
                <w:u w:val="single"/>
              </w:rPr>
            </w:pPr>
            <w:r>
              <w:rPr>
                <w:b/>
                <w:iCs/>
                <w:color w:val="auto"/>
                <w:u w:val="single"/>
              </w:rPr>
              <w:t>99.8%</w:t>
            </w:r>
          </w:p>
        </w:tc>
      </w:tr>
    </w:tbl>
    <w:p>
      <w:pPr>
        <w:pStyle w:val="32"/>
        <w:keepNext w:val="0"/>
        <w:keepLines w:val="0"/>
        <w:pageBreakBefore w:val="0"/>
        <w:widowControl/>
        <w:kinsoku/>
        <w:wordWrap/>
        <w:overflowPunct/>
        <w:topLinePunct w:val="0"/>
        <w:autoSpaceDE/>
        <w:autoSpaceDN/>
        <w:bidi w:val="0"/>
        <w:adjustRightInd w:val="0"/>
        <w:snapToGrid w:val="0"/>
        <w:spacing w:before="0" w:beforeLines="50" w:after="0" w:line="360" w:lineRule="auto"/>
        <w:ind w:firstLine="482" w:firstLineChars="200"/>
        <w:jc w:val="both"/>
        <w:textAlignment w:val="auto"/>
        <w:rPr>
          <w:b/>
          <w:color w:val="auto"/>
          <w:kern w:val="21"/>
          <w:sz w:val="24"/>
          <w:u w:val="single"/>
          <w:lang w:val="en-US"/>
        </w:rPr>
      </w:pPr>
      <w:r>
        <w:rPr>
          <w:rFonts w:hint="eastAsia"/>
          <w:b/>
          <w:color w:val="auto"/>
          <w:kern w:val="21"/>
          <w:sz w:val="24"/>
          <w:u w:val="single"/>
          <w:lang w:val="en-US"/>
        </w:rPr>
        <w:t>综上，项目零排放处理系统出水水质COD6mg/L、NH</w:t>
      </w:r>
      <w:r>
        <w:rPr>
          <w:rFonts w:hint="eastAsia"/>
          <w:b/>
          <w:color w:val="auto"/>
          <w:kern w:val="21"/>
          <w:sz w:val="24"/>
          <w:u w:val="single"/>
          <w:vertAlign w:val="subscript"/>
          <w:lang w:val="en-US"/>
        </w:rPr>
        <w:t>3</w:t>
      </w:r>
      <w:r>
        <w:rPr>
          <w:rFonts w:hint="eastAsia"/>
          <w:b/>
          <w:color w:val="auto"/>
          <w:kern w:val="21"/>
          <w:sz w:val="24"/>
          <w:u w:val="single"/>
          <w:lang w:val="en-US"/>
        </w:rPr>
        <w:t>-N0.27mg/L、SS0.26mg/L、石油类0.19mg/L、总镍0.0045 mg/L</w:t>
      </w:r>
      <w:r>
        <w:rPr>
          <w:rFonts w:hint="eastAsia"/>
          <w:b/>
          <w:color w:val="auto"/>
          <w:kern w:val="21"/>
          <w:sz w:val="24"/>
          <w:u w:val="single"/>
          <w:lang w:val="en-US" w:eastAsia="zh-CN"/>
        </w:rPr>
        <w:t>、</w:t>
      </w:r>
      <w:r>
        <w:rPr>
          <w:rFonts w:hint="eastAsia"/>
          <w:b/>
          <w:color w:val="auto"/>
          <w:kern w:val="21"/>
          <w:sz w:val="24"/>
          <w:u w:val="single"/>
          <w:lang w:val="en-US"/>
        </w:rPr>
        <w:t>总锌0.0007 mg/L、六价铬0.027 mg/L、总铬0.022 mg/L、电导率10su/cm，水质满足表3.4-12中回用水水质要求。</w:t>
      </w:r>
    </w:p>
    <w:p>
      <w:pPr>
        <w:adjustRightInd w:val="0"/>
        <w:snapToGrid w:val="0"/>
        <w:spacing w:line="360" w:lineRule="auto"/>
        <w:ind w:firstLine="480" w:firstLineChars="200"/>
        <w:rPr>
          <w:color w:val="auto"/>
          <w:kern w:val="21"/>
          <w:sz w:val="24"/>
        </w:rPr>
      </w:pPr>
      <w:r>
        <w:rPr>
          <w:rFonts w:hint="eastAsia"/>
          <w:color w:val="auto"/>
          <w:kern w:val="21"/>
          <w:sz w:val="24"/>
        </w:rPr>
        <w:t>锅炉浓水、纯水制备浓水及生活污水（化粪池处理后）通过厂区总排口经市政管网，排入同盟污水处理厂，</w:t>
      </w:r>
      <w:r>
        <w:rPr>
          <w:rFonts w:hint="eastAsia"/>
          <w:color w:val="auto"/>
          <w:kern w:val="21"/>
          <w:sz w:val="24"/>
          <w:lang w:eastAsia="zh-CN"/>
        </w:rPr>
        <w:t>厂区</w:t>
      </w:r>
      <w:r>
        <w:rPr>
          <w:rFonts w:hint="eastAsia"/>
          <w:color w:val="auto"/>
          <w:kern w:val="21"/>
          <w:sz w:val="24"/>
        </w:rPr>
        <w:t>总排口的水质如下。</w:t>
      </w:r>
    </w:p>
    <w:p>
      <w:pPr>
        <w:pStyle w:val="32"/>
        <w:adjustRightInd w:val="0"/>
        <w:snapToGrid w:val="0"/>
        <w:spacing w:after="0"/>
        <w:jc w:val="center"/>
        <w:rPr>
          <w:rFonts w:eastAsia="黑体"/>
          <w:bCs/>
          <w:color w:val="auto"/>
          <w:kern w:val="21"/>
          <w:sz w:val="24"/>
        </w:rPr>
      </w:pPr>
      <w:r>
        <w:rPr>
          <w:rFonts w:eastAsia="黑体"/>
          <w:bCs/>
          <w:color w:val="auto"/>
          <w:kern w:val="21"/>
          <w:sz w:val="24"/>
        </w:rPr>
        <w:t>表</w:t>
      </w:r>
      <w:r>
        <w:rPr>
          <w:rFonts w:hint="eastAsia" w:eastAsia="黑体"/>
          <w:bCs/>
          <w:color w:val="auto"/>
          <w:kern w:val="21"/>
          <w:sz w:val="24"/>
          <w:lang w:val="en-US"/>
        </w:rPr>
        <w:t>3.4-15</w:t>
      </w:r>
      <w:r>
        <w:rPr>
          <w:rFonts w:eastAsia="黑体"/>
          <w:bCs/>
          <w:color w:val="auto"/>
          <w:kern w:val="21"/>
          <w:sz w:val="24"/>
          <w:lang w:val="en-US"/>
        </w:rPr>
        <w:t xml:space="preserve">  </w:t>
      </w:r>
      <w:r>
        <w:rPr>
          <w:rFonts w:hint="eastAsia" w:eastAsia="黑体"/>
          <w:bCs/>
          <w:color w:val="auto"/>
          <w:kern w:val="21"/>
          <w:sz w:val="24"/>
          <w:lang w:val="en-US" w:eastAsia="zh-CN"/>
        </w:rPr>
        <w:t>厂区</w:t>
      </w:r>
      <w:r>
        <w:rPr>
          <w:rFonts w:eastAsia="黑体"/>
          <w:bCs/>
          <w:color w:val="auto"/>
          <w:kern w:val="21"/>
          <w:sz w:val="24"/>
          <w:lang w:val="en-US"/>
        </w:rPr>
        <w:t>总排口废水水质</w:t>
      </w:r>
      <w:r>
        <w:rPr>
          <w:rFonts w:eastAsia="黑体"/>
          <w:bCs/>
          <w:color w:val="auto"/>
          <w:kern w:val="21"/>
          <w:sz w:val="24"/>
        </w:rPr>
        <w:t>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1062"/>
        <w:gridCol w:w="1116"/>
        <w:gridCol w:w="1116"/>
        <w:gridCol w:w="1116"/>
        <w:gridCol w:w="1116"/>
        <w:gridCol w:w="11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pct"/>
            <w:vAlign w:val="center"/>
          </w:tcPr>
          <w:p>
            <w:pPr>
              <w:adjustRightInd w:val="0"/>
              <w:snapToGrid w:val="0"/>
              <w:jc w:val="center"/>
              <w:rPr>
                <w:b/>
                <w:bCs w:val="0"/>
                <w:color w:val="auto"/>
                <w:kern w:val="21"/>
              </w:rPr>
            </w:pPr>
            <w:r>
              <w:rPr>
                <w:b/>
                <w:bCs w:val="0"/>
                <w:color w:val="auto"/>
                <w:kern w:val="21"/>
              </w:rPr>
              <w:t>名称</w:t>
            </w:r>
          </w:p>
        </w:tc>
        <w:tc>
          <w:tcPr>
            <w:tcW w:w="660" w:type="pct"/>
            <w:vAlign w:val="center"/>
          </w:tcPr>
          <w:p>
            <w:pPr>
              <w:adjustRightInd w:val="0"/>
              <w:snapToGrid w:val="0"/>
              <w:jc w:val="center"/>
              <w:rPr>
                <w:b/>
                <w:bCs w:val="0"/>
                <w:color w:val="auto"/>
                <w:kern w:val="21"/>
              </w:rPr>
            </w:pPr>
            <w:r>
              <w:rPr>
                <w:b/>
                <w:bCs w:val="0"/>
                <w:color w:val="auto"/>
                <w:kern w:val="21"/>
              </w:rPr>
              <w:t>日排水量（m</w:t>
            </w:r>
            <w:r>
              <w:rPr>
                <w:b/>
                <w:bCs w:val="0"/>
                <w:color w:val="auto"/>
                <w:kern w:val="21"/>
                <w:vertAlign w:val="superscript"/>
              </w:rPr>
              <w:t>3</w:t>
            </w:r>
            <w:r>
              <w:rPr>
                <w:b/>
                <w:bCs w:val="0"/>
                <w:color w:val="auto"/>
                <w:kern w:val="21"/>
              </w:rPr>
              <w:t>/d）</w:t>
            </w:r>
          </w:p>
        </w:tc>
        <w:tc>
          <w:tcPr>
            <w:tcW w:w="640" w:type="pct"/>
            <w:vAlign w:val="center"/>
          </w:tcPr>
          <w:p>
            <w:pPr>
              <w:adjustRightInd w:val="0"/>
              <w:snapToGrid w:val="0"/>
              <w:jc w:val="center"/>
              <w:rPr>
                <w:b/>
                <w:bCs w:val="0"/>
                <w:color w:val="auto"/>
                <w:kern w:val="21"/>
              </w:rPr>
            </w:pPr>
            <w:r>
              <w:rPr>
                <w:b/>
                <w:bCs w:val="0"/>
                <w:color w:val="auto"/>
                <w:kern w:val="21"/>
              </w:rPr>
              <w:t>COD（mg</w:t>
            </w:r>
            <w:r>
              <w:rPr>
                <w:rFonts w:hint="eastAsia"/>
                <w:b/>
                <w:bCs w:val="0"/>
                <w:color w:val="auto"/>
                <w:kern w:val="21"/>
              </w:rPr>
              <w:t>/L</w:t>
            </w:r>
            <w:r>
              <w:rPr>
                <w:b/>
                <w:bCs w:val="0"/>
                <w:color w:val="auto"/>
                <w:kern w:val="21"/>
              </w:rPr>
              <w:t>）</w:t>
            </w:r>
          </w:p>
        </w:tc>
        <w:tc>
          <w:tcPr>
            <w:tcW w:w="640" w:type="pct"/>
            <w:vAlign w:val="center"/>
          </w:tcPr>
          <w:p>
            <w:pPr>
              <w:adjustRightInd w:val="0"/>
              <w:snapToGrid w:val="0"/>
              <w:jc w:val="center"/>
              <w:rPr>
                <w:b/>
                <w:bCs w:val="0"/>
                <w:color w:val="auto"/>
                <w:kern w:val="21"/>
              </w:rPr>
            </w:pPr>
            <w:r>
              <w:rPr>
                <w:b/>
                <w:bCs w:val="0"/>
                <w:color w:val="auto"/>
                <w:kern w:val="21"/>
              </w:rPr>
              <w:t>NH</w:t>
            </w:r>
            <w:r>
              <w:rPr>
                <w:b/>
                <w:bCs w:val="0"/>
                <w:color w:val="auto"/>
                <w:kern w:val="21"/>
                <w:vertAlign w:val="subscript"/>
              </w:rPr>
              <w:t>3</w:t>
            </w:r>
            <w:r>
              <w:rPr>
                <w:b/>
                <w:bCs w:val="0"/>
                <w:color w:val="auto"/>
                <w:kern w:val="21"/>
              </w:rPr>
              <w:t>-N（mg</w:t>
            </w:r>
            <w:r>
              <w:rPr>
                <w:rFonts w:hint="eastAsia"/>
                <w:b/>
                <w:bCs w:val="0"/>
                <w:color w:val="auto"/>
                <w:kern w:val="21"/>
              </w:rPr>
              <w:t>/L</w:t>
            </w:r>
            <w:r>
              <w:rPr>
                <w:b/>
                <w:bCs w:val="0"/>
                <w:color w:val="auto"/>
                <w:kern w:val="21"/>
              </w:rPr>
              <w:t>）</w:t>
            </w:r>
          </w:p>
        </w:tc>
        <w:tc>
          <w:tcPr>
            <w:tcW w:w="640" w:type="pct"/>
            <w:vAlign w:val="center"/>
          </w:tcPr>
          <w:p>
            <w:pPr>
              <w:adjustRightInd w:val="0"/>
              <w:snapToGrid w:val="0"/>
              <w:jc w:val="center"/>
              <w:rPr>
                <w:b/>
                <w:bCs w:val="0"/>
                <w:color w:val="auto"/>
                <w:kern w:val="21"/>
              </w:rPr>
            </w:pPr>
            <w:r>
              <w:rPr>
                <w:b/>
                <w:bCs w:val="0"/>
                <w:color w:val="auto"/>
                <w:kern w:val="21"/>
              </w:rPr>
              <w:t>TP（mg</w:t>
            </w:r>
            <w:r>
              <w:rPr>
                <w:rFonts w:hint="eastAsia"/>
                <w:b/>
                <w:bCs w:val="0"/>
                <w:color w:val="auto"/>
                <w:kern w:val="21"/>
              </w:rPr>
              <w:t>/L</w:t>
            </w:r>
            <w:r>
              <w:rPr>
                <w:b/>
                <w:bCs w:val="0"/>
                <w:color w:val="auto"/>
                <w:kern w:val="21"/>
              </w:rPr>
              <w:t>）</w:t>
            </w:r>
          </w:p>
        </w:tc>
        <w:tc>
          <w:tcPr>
            <w:tcW w:w="640" w:type="pct"/>
            <w:vAlign w:val="center"/>
          </w:tcPr>
          <w:p>
            <w:pPr>
              <w:adjustRightInd w:val="0"/>
              <w:snapToGrid w:val="0"/>
              <w:jc w:val="center"/>
              <w:rPr>
                <w:b/>
                <w:bCs w:val="0"/>
                <w:color w:val="auto"/>
                <w:kern w:val="21"/>
              </w:rPr>
            </w:pPr>
            <w:r>
              <w:rPr>
                <w:b/>
                <w:bCs w:val="0"/>
                <w:color w:val="auto"/>
                <w:kern w:val="21"/>
              </w:rPr>
              <w:t>TN（mg</w:t>
            </w:r>
            <w:r>
              <w:rPr>
                <w:rFonts w:hint="eastAsia"/>
                <w:b/>
                <w:bCs w:val="0"/>
                <w:color w:val="auto"/>
                <w:kern w:val="21"/>
              </w:rPr>
              <w:t>/L</w:t>
            </w:r>
            <w:r>
              <w:rPr>
                <w:b/>
                <w:bCs w:val="0"/>
                <w:color w:val="auto"/>
                <w:kern w:val="21"/>
              </w:rPr>
              <w:t>）</w:t>
            </w:r>
          </w:p>
        </w:tc>
        <w:tc>
          <w:tcPr>
            <w:tcW w:w="640" w:type="pct"/>
            <w:vAlign w:val="center"/>
          </w:tcPr>
          <w:p>
            <w:pPr>
              <w:adjustRightInd w:val="0"/>
              <w:snapToGrid w:val="0"/>
              <w:jc w:val="center"/>
              <w:rPr>
                <w:b/>
                <w:bCs w:val="0"/>
                <w:color w:val="auto"/>
                <w:kern w:val="21"/>
              </w:rPr>
            </w:pPr>
            <w:r>
              <w:rPr>
                <w:rFonts w:hint="eastAsia"/>
                <w:b/>
                <w:bCs w:val="0"/>
                <w:color w:val="auto"/>
                <w:kern w:val="21"/>
              </w:rPr>
              <w:t>SS</w:t>
            </w:r>
            <w:r>
              <w:rPr>
                <w:b/>
                <w:bCs w:val="0"/>
                <w:color w:val="auto"/>
                <w:kern w:val="21"/>
              </w:rPr>
              <w:t>（mg</w:t>
            </w:r>
            <w:r>
              <w:rPr>
                <w:rFonts w:hint="eastAsia"/>
                <w:b/>
                <w:bCs w:val="0"/>
                <w:color w:val="auto"/>
                <w:kern w:val="21"/>
              </w:rPr>
              <w:t>/L</w:t>
            </w:r>
            <w:r>
              <w:rPr>
                <w:b/>
                <w:bCs w:val="0"/>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pct"/>
            <w:vAlign w:val="center"/>
          </w:tcPr>
          <w:p>
            <w:pPr>
              <w:adjustRightInd w:val="0"/>
              <w:snapToGrid w:val="0"/>
              <w:jc w:val="center"/>
              <w:rPr>
                <w:bCs/>
                <w:color w:val="auto"/>
                <w:kern w:val="21"/>
              </w:rPr>
            </w:pPr>
            <w:r>
              <w:rPr>
                <w:bCs/>
                <w:color w:val="auto"/>
                <w:kern w:val="21"/>
              </w:rPr>
              <w:t>纯水制备浓水</w:t>
            </w:r>
          </w:p>
        </w:tc>
        <w:tc>
          <w:tcPr>
            <w:tcW w:w="660" w:type="pct"/>
            <w:vAlign w:val="center"/>
          </w:tcPr>
          <w:p>
            <w:pPr>
              <w:adjustRightInd w:val="0"/>
              <w:snapToGrid w:val="0"/>
              <w:jc w:val="center"/>
              <w:rPr>
                <w:bCs/>
                <w:color w:val="auto"/>
                <w:kern w:val="21"/>
              </w:rPr>
            </w:pPr>
            <w:r>
              <w:rPr>
                <w:rFonts w:hint="eastAsia"/>
                <w:bCs/>
                <w:color w:val="auto"/>
                <w:kern w:val="21"/>
              </w:rPr>
              <w:t>32.1803</w:t>
            </w:r>
          </w:p>
        </w:tc>
        <w:tc>
          <w:tcPr>
            <w:tcW w:w="640" w:type="pct"/>
            <w:vAlign w:val="center"/>
          </w:tcPr>
          <w:p>
            <w:pPr>
              <w:adjustRightInd w:val="0"/>
              <w:snapToGrid w:val="0"/>
              <w:jc w:val="center"/>
              <w:rPr>
                <w:color w:val="auto"/>
                <w:kern w:val="21"/>
                <w:lang w:bidi="ar"/>
              </w:rPr>
            </w:pPr>
            <w:r>
              <w:rPr>
                <w:rFonts w:hint="eastAsia"/>
                <w:color w:val="auto"/>
                <w:kern w:val="21"/>
                <w:lang w:bidi="ar"/>
              </w:rPr>
              <w:t>40</w:t>
            </w:r>
          </w:p>
        </w:tc>
        <w:tc>
          <w:tcPr>
            <w:tcW w:w="640" w:type="pct"/>
            <w:vAlign w:val="center"/>
          </w:tcPr>
          <w:p>
            <w:pPr>
              <w:adjustRightInd w:val="0"/>
              <w:snapToGrid w:val="0"/>
              <w:jc w:val="center"/>
              <w:rPr>
                <w:color w:val="auto"/>
                <w:kern w:val="21"/>
                <w:lang w:bidi="ar"/>
              </w:rPr>
            </w:pPr>
            <w:r>
              <w:rPr>
                <w:rFonts w:hint="eastAsia"/>
                <w:color w:val="auto"/>
                <w:kern w:val="21"/>
                <w:lang w:bidi="ar"/>
              </w:rPr>
              <w:t>0</w:t>
            </w:r>
          </w:p>
        </w:tc>
        <w:tc>
          <w:tcPr>
            <w:tcW w:w="640" w:type="pct"/>
            <w:vAlign w:val="center"/>
          </w:tcPr>
          <w:p>
            <w:pPr>
              <w:adjustRightInd w:val="0"/>
              <w:snapToGrid w:val="0"/>
              <w:jc w:val="center"/>
              <w:rPr>
                <w:color w:val="auto"/>
                <w:kern w:val="21"/>
                <w:lang w:bidi="ar"/>
              </w:rPr>
            </w:pPr>
            <w:r>
              <w:rPr>
                <w:rFonts w:hint="eastAsia"/>
                <w:color w:val="auto"/>
                <w:kern w:val="21"/>
                <w:lang w:bidi="ar"/>
              </w:rPr>
              <w:t>0</w:t>
            </w:r>
          </w:p>
        </w:tc>
        <w:tc>
          <w:tcPr>
            <w:tcW w:w="640" w:type="pct"/>
            <w:vAlign w:val="center"/>
          </w:tcPr>
          <w:p>
            <w:pPr>
              <w:adjustRightInd w:val="0"/>
              <w:snapToGrid w:val="0"/>
              <w:jc w:val="center"/>
              <w:rPr>
                <w:color w:val="auto"/>
                <w:kern w:val="21"/>
                <w:lang w:bidi="ar"/>
              </w:rPr>
            </w:pPr>
            <w:r>
              <w:rPr>
                <w:rFonts w:hint="eastAsia"/>
                <w:color w:val="auto"/>
                <w:kern w:val="21"/>
                <w:lang w:bidi="ar"/>
              </w:rPr>
              <w:t>0</w:t>
            </w:r>
          </w:p>
        </w:tc>
        <w:tc>
          <w:tcPr>
            <w:tcW w:w="640" w:type="pct"/>
            <w:vAlign w:val="center"/>
          </w:tcPr>
          <w:p>
            <w:pPr>
              <w:adjustRightInd w:val="0"/>
              <w:snapToGrid w:val="0"/>
              <w:jc w:val="center"/>
              <w:rPr>
                <w:color w:val="auto"/>
                <w:kern w:val="21"/>
                <w:lang w:bidi="ar"/>
              </w:rPr>
            </w:pPr>
            <w:r>
              <w:rPr>
                <w:rFonts w:hint="eastAsia"/>
                <w:color w:val="auto"/>
                <w:kern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pct"/>
            <w:vAlign w:val="center"/>
          </w:tcPr>
          <w:p>
            <w:pPr>
              <w:adjustRightInd w:val="0"/>
              <w:snapToGrid w:val="0"/>
              <w:jc w:val="center"/>
              <w:rPr>
                <w:rFonts w:hint="eastAsia" w:eastAsia="宋体"/>
                <w:bCs/>
                <w:color w:val="auto"/>
                <w:kern w:val="21"/>
                <w:lang w:eastAsia="zh-CN"/>
              </w:rPr>
            </w:pPr>
            <w:r>
              <w:rPr>
                <w:rFonts w:hint="eastAsia"/>
                <w:bCs/>
                <w:color w:val="auto"/>
                <w:kern w:val="21"/>
                <w:lang w:eastAsia="zh-CN"/>
              </w:rPr>
              <w:t>锅炉浓水</w:t>
            </w:r>
          </w:p>
        </w:tc>
        <w:tc>
          <w:tcPr>
            <w:tcW w:w="660" w:type="pct"/>
            <w:vAlign w:val="center"/>
          </w:tcPr>
          <w:p>
            <w:pPr>
              <w:adjustRightInd w:val="0"/>
              <w:snapToGrid w:val="0"/>
              <w:jc w:val="center"/>
              <w:rPr>
                <w:bCs/>
                <w:color w:val="auto"/>
                <w:kern w:val="21"/>
              </w:rPr>
            </w:pPr>
            <w:r>
              <w:rPr>
                <w:rFonts w:hint="eastAsia"/>
                <w:bCs/>
                <w:color w:val="auto"/>
                <w:kern w:val="21"/>
              </w:rPr>
              <w:t>1.926</w:t>
            </w:r>
          </w:p>
        </w:tc>
        <w:tc>
          <w:tcPr>
            <w:tcW w:w="640" w:type="pct"/>
            <w:vAlign w:val="center"/>
          </w:tcPr>
          <w:p>
            <w:pPr>
              <w:adjustRightInd w:val="0"/>
              <w:snapToGrid w:val="0"/>
              <w:jc w:val="center"/>
              <w:rPr>
                <w:color w:val="auto"/>
                <w:kern w:val="21"/>
                <w:lang w:bidi="ar"/>
              </w:rPr>
            </w:pPr>
            <w:r>
              <w:rPr>
                <w:rFonts w:hint="eastAsia"/>
                <w:color w:val="auto"/>
                <w:kern w:val="21"/>
                <w:lang w:bidi="ar"/>
              </w:rPr>
              <w:t>70</w:t>
            </w:r>
          </w:p>
        </w:tc>
        <w:tc>
          <w:tcPr>
            <w:tcW w:w="640" w:type="pct"/>
            <w:vAlign w:val="center"/>
          </w:tcPr>
          <w:p>
            <w:pPr>
              <w:adjustRightInd w:val="0"/>
              <w:snapToGrid w:val="0"/>
              <w:jc w:val="center"/>
              <w:rPr>
                <w:color w:val="auto"/>
                <w:kern w:val="21"/>
                <w:lang w:bidi="ar"/>
              </w:rPr>
            </w:pPr>
            <w:r>
              <w:rPr>
                <w:rFonts w:hint="eastAsia"/>
                <w:color w:val="auto"/>
                <w:kern w:val="21"/>
                <w:lang w:bidi="ar"/>
              </w:rPr>
              <w:t>0</w:t>
            </w:r>
          </w:p>
        </w:tc>
        <w:tc>
          <w:tcPr>
            <w:tcW w:w="640" w:type="pct"/>
            <w:vAlign w:val="center"/>
          </w:tcPr>
          <w:p>
            <w:pPr>
              <w:adjustRightInd w:val="0"/>
              <w:snapToGrid w:val="0"/>
              <w:jc w:val="center"/>
              <w:rPr>
                <w:color w:val="auto"/>
                <w:kern w:val="21"/>
                <w:lang w:bidi="ar"/>
              </w:rPr>
            </w:pPr>
            <w:r>
              <w:rPr>
                <w:rFonts w:hint="eastAsia"/>
                <w:color w:val="auto"/>
                <w:kern w:val="21"/>
                <w:lang w:bidi="ar"/>
              </w:rPr>
              <w:t>0</w:t>
            </w:r>
          </w:p>
        </w:tc>
        <w:tc>
          <w:tcPr>
            <w:tcW w:w="640" w:type="pct"/>
            <w:vAlign w:val="center"/>
          </w:tcPr>
          <w:p>
            <w:pPr>
              <w:adjustRightInd w:val="0"/>
              <w:snapToGrid w:val="0"/>
              <w:jc w:val="center"/>
              <w:rPr>
                <w:color w:val="auto"/>
                <w:kern w:val="21"/>
                <w:lang w:bidi="ar"/>
              </w:rPr>
            </w:pPr>
            <w:r>
              <w:rPr>
                <w:rFonts w:hint="eastAsia"/>
                <w:color w:val="auto"/>
                <w:kern w:val="21"/>
                <w:lang w:bidi="ar"/>
              </w:rPr>
              <w:t>0</w:t>
            </w:r>
          </w:p>
        </w:tc>
        <w:tc>
          <w:tcPr>
            <w:tcW w:w="640" w:type="pct"/>
            <w:vAlign w:val="center"/>
          </w:tcPr>
          <w:p>
            <w:pPr>
              <w:adjustRightInd w:val="0"/>
              <w:snapToGrid w:val="0"/>
              <w:jc w:val="center"/>
              <w:rPr>
                <w:color w:val="auto"/>
                <w:kern w:val="21"/>
                <w:lang w:bidi="ar"/>
              </w:rPr>
            </w:pPr>
            <w:r>
              <w:rPr>
                <w:rFonts w:hint="eastAsia"/>
                <w:color w:val="auto"/>
                <w:kern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pct"/>
            <w:vAlign w:val="center"/>
          </w:tcPr>
          <w:p>
            <w:pPr>
              <w:adjustRightInd w:val="0"/>
              <w:snapToGrid w:val="0"/>
              <w:jc w:val="center"/>
              <w:rPr>
                <w:bCs/>
                <w:color w:val="auto"/>
                <w:kern w:val="21"/>
              </w:rPr>
            </w:pPr>
            <w:r>
              <w:rPr>
                <w:bCs/>
                <w:color w:val="auto"/>
                <w:kern w:val="21"/>
              </w:rPr>
              <w:t>生活污水</w:t>
            </w:r>
          </w:p>
        </w:tc>
        <w:tc>
          <w:tcPr>
            <w:tcW w:w="660" w:type="pct"/>
            <w:vAlign w:val="center"/>
          </w:tcPr>
          <w:p>
            <w:pPr>
              <w:adjustRightInd w:val="0"/>
              <w:snapToGrid w:val="0"/>
              <w:jc w:val="center"/>
              <w:rPr>
                <w:bCs/>
                <w:color w:val="auto"/>
                <w:kern w:val="21"/>
              </w:rPr>
            </w:pPr>
            <w:r>
              <w:rPr>
                <w:rFonts w:hint="eastAsia"/>
                <w:bCs/>
                <w:color w:val="auto"/>
                <w:kern w:val="21"/>
              </w:rPr>
              <w:t>5.4</w:t>
            </w:r>
          </w:p>
        </w:tc>
        <w:tc>
          <w:tcPr>
            <w:tcW w:w="640" w:type="pct"/>
            <w:vAlign w:val="center"/>
          </w:tcPr>
          <w:p>
            <w:pPr>
              <w:adjustRightInd w:val="0"/>
              <w:snapToGrid w:val="0"/>
              <w:jc w:val="center"/>
              <w:rPr>
                <w:color w:val="auto"/>
                <w:kern w:val="21"/>
                <w:lang w:bidi="ar"/>
              </w:rPr>
            </w:pPr>
            <w:r>
              <w:rPr>
                <w:rFonts w:hint="eastAsia"/>
                <w:color w:val="auto"/>
                <w:kern w:val="21"/>
                <w:lang w:bidi="ar"/>
              </w:rPr>
              <w:t>255</w:t>
            </w:r>
          </w:p>
        </w:tc>
        <w:tc>
          <w:tcPr>
            <w:tcW w:w="640" w:type="pct"/>
            <w:vAlign w:val="center"/>
          </w:tcPr>
          <w:p>
            <w:pPr>
              <w:adjustRightInd w:val="0"/>
              <w:snapToGrid w:val="0"/>
              <w:jc w:val="center"/>
              <w:rPr>
                <w:bCs/>
                <w:color w:val="auto"/>
                <w:kern w:val="21"/>
              </w:rPr>
            </w:pPr>
            <w:r>
              <w:rPr>
                <w:rFonts w:hint="eastAsia"/>
                <w:bCs/>
                <w:color w:val="auto"/>
                <w:kern w:val="21"/>
              </w:rPr>
              <w:t>25</w:t>
            </w:r>
          </w:p>
        </w:tc>
        <w:tc>
          <w:tcPr>
            <w:tcW w:w="640" w:type="pct"/>
            <w:vAlign w:val="center"/>
          </w:tcPr>
          <w:p>
            <w:pPr>
              <w:adjustRightInd w:val="0"/>
              <w:snapToGrid w:val="0"/>
              <w:jc w:val="center"/>
              <w:rPr>
                <w:bCs/>
                <w:color w:val="auto"/>
                <w:kern w:val="21"/>
              </w:rPr>
            </w:pPr>
            <w:r>
              <w:rPr>
                <w:rFonts w:hint="eastAsia"/>
                <w:bCs/>
                <w:color w:val="auto"/>
                <w:kern w:val="21"/>
              </w:rPr>
              <w:t>2.5</w:t>
            </w:r>
          </w:p>
        </w:tc>
        <w:tc>
          <w:tcPr>
            <w:tcW w:w="640" w:type="pct"/>
            <w:vAlign w:val="center"/>
          </w:tcPr>
          <w:p>
            <w:pPr>
              <w:adjustRightInd w:val="0"/>
              <w:snapToGrid w:val="0"/>
              <w:jc w:val="center"/>
              <w:rPr>
                <w:bCs/>
                <w:color w:val="auto"/>
                <w:kern w:val="21"/>
              </w:rPr>
            </w:pPr>
            <w:r>
              <w:rPr>
                <w:rFonts w:hint="eastAsia"/>
                <w:bCs/>
                <w:color w:val="auto"/>
                <w:kern w:val="21"/>
              </w:rPr>
              <w:t>40</w:t>
            </w:r>
          </w:p>
        </w:tc>
        <w:tc>
          <w:tcPr>
            <w:tcW w:w="640" w:type="pct"/>
            <w:vAlign w:val="center"/>
          </w:tcPr>
          <w:p>
            <w:pPr>
              <w:adjustRightInd w:val="0"/>
              <w:snapToGrid w:val="0"/>
              <w:jc w:val="center"/>
              <w:rPr>
                <w:bCs/>
                <w:color w:val="auto"/>
                <w:kern w:val="21"/>
              </w:rPr>
            </w:pPr>
            <w:r>
              <w:rPr>
                <w:rFonts w:hint="eastAsia"/>
                <w:bCs/>
                <w:color w:val="auto"/>
                <w:kern w:val="21"/>
              </w:rPr>
              <w:t>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pct"/>
            <w:vAlign w:val="center"/>
          </w:tcPr>
          <w:p>
            <w:pPr>
              <w:adjustRightInd w:val="0"/>
              <w:snapToGrid w:val="0"/>
              <w:jc w:val="center"/>
              <w:rPr>
                <w:bCs/>
                <w:color w:val="auto"/>
                <w:kern w:val="21"/>
              </w:rPr>
            </w:pPr>
            <w:r>
              <w:rPr>
                <w:bCs/>
                <w:color w:val="auto"/>
                <w:kern w:val="21"/>
              </w:rPr>
              <w:t>混合水</w:t>
            </w:r>
          </w:p>
        </w:tc>
        <w:tc>
          <w:tcPr>
            <w:tcW w:w="660" w:type="pct"/>
            <w:vAlign w:val="center"/>
          </w:tcPr>
          <w:p>
            <w:pPr>
              <w:adjustRightInd w:val="0"/>
              <w:snapToGrid w:val="0"/>
              <w:jc w:val="center"/>
              <w:rPr>
                <w:bCs/>
                <w:color w:val="auto"/>
                <w:kern w:val="21"/>
              </w:rPr>
            </w:pPr>
            <w:r>
              <w:rPr>
                <w:rFonts w:hint="eastAsia"/>
                <w:bCs/>
                <w:color w:val="auto"/>
                <w:kern w:val="21"/>
              </w:rPr>
              <w:t>39.5063</w:t>
            </w:r>
          </w:p>
        </w:tc>
        <w:tc>
          <w:tcPr>
            <w:tcW w:w="640" w:type="pct"/>
            <w:vAlign w:val="center"/>
          </w:tcPr>
          <w:p>
            <w:pPr>
              <w:adjustRightInd w:val="0"/>
              <w:snapToGrid w:val="0"/>
              <w:jc w:val="center"/>
              <w:rPr>
                <w:bCs/>
                <w:color w:val="auto"/>
                <w:kern w:val="21"/>
              </w:rPr>
            </w:pPr>
            <w:r>
              <w:rPr>
                <w:rFonts w:hint="eastAsia"/>
                <w:color w:val="auto"/>
                <w:sz w:val="22"/>
                <w:szCs w:val="22"/>
              </w:rPr>
              <w:t>70.85</w:t>
            </w:r>
          </w:p>
        </w:tc>
        <w:tc>
          <w:tcPr>
            <w:tcW w:w="640" w:type="pct"/>
            <w:vAlign w:val="center"/>
          </w:tcPr>
          <w:p>
            <w:pPr>
              <w:adjustRightInd w:val="0"/>
              <w:snapToGrid w:val="0"/>
              <w:jc w:val="center"/>
              <w:rPr>
                <w:bCs/>
                <w:color w:val="auto"/>
                <w:kern w:val="21"/>
              </w:rPr>
            </w:pPr>
            <w:r>
              <w:rPr>
                <w:rFonts w:hint="eastAsia"/>
                <w:color w:val="auto"/>
                <w:sz w:val="22"/>
                <w:szCs w:val="22"/>
              </w:rPr>
              <w:t>3.42</w:t>
            </w:r>
          </w:p>
        </w:tc>
        <w:tc>
          <w:tcPr>
            <w:tcW w:w="640" w:type="pct"/>
            <w:vAlign w:val="center"/>
          </w:tcPr>
          <w:p>
            <w:pPr>
              <w:adjustRightInd w:val="0"/>
              <w:snapToGrid w:val="0"/>
              <w:jc w:val="center"/>
              <w:rPr>
                <w:bCs/>
                <w:color w:val="auto"/>
                <w:kern w:val="21"/>
              </w:rPr>
            </w:pPr>
            <w:r>
              <w:rPr>
                <w:rFonts w:hint="eastAsia"/>
                <w:color w:val="auto"/>
                <w:sz w:val="22"/>
                <w:szCs w:val="22"/>
              </w:rPr>
              <w:t>0.34</w:t>
            </w:r>
          </w:p>
        </w:tc>
        <w:tc>
          <w:tcPr>
            <w:tcW w:w="640" w:type="pct"/>
            <w:vAlign w:val="center"/>
          </w:tcPr>
          <w:p>
            <w:pPr>
              <w:adjustRightInd w:val="0"/>
              <w:snapToGrid w:val="0"/>
              <w:jc w:val="center"/>
              <w:rPr>
                <w:bCs/>
                <w:color w:val="auto"/>
                <w:kern w:val="21"/>
              </w:rPr>
            </w:pPr>
            <w:r>
              <w:rPr>
                <w:rFonts w:hint="eastAsia"/>
                <w:color w:val="auto"/>
                <w:sz w:val="22"/>
                <w:szCs w:val="22"/>
              </w:rPr>
              <w:t>5.47</w:t>
            </w:r>
          </w:p>
        </w:tc>
        <w:tc>
          <w:tcPr>
            <w:tcW w:w="640" w:type="pct"/>
            <w:vAlign w:val="center"/>
          </w:tcPr>
          <w:p>
            <w:pPr>
              <w:adjustRightInd w:val="0"/>
              <w:snapToGrid w:val="0"/>
              <w:jc w:val="center"/>
              <w:rPr>
                <w:bCs/>
                <w:color w:val="auto"/>
                <w:kern w:val="21"/>
              </w:rPr>
            </w:pPr>
            <w:r>
              <w:rPr>
                <w:rFonts w:hint="eastAsia"/>
                <w:color w:val="auto"/>
                <w:sz w:val="22"/>
                <w:szCs w:val="22"/>
              </w:rPr>
              <w:t>64.22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0" w:type="pct"/>
            <w:vAlign w:val="center"/>
          </w:tcPr>
          <w:p>
            <w:pPr>
              <w:adjustRightInd w:val="0"/>
              <w:snapToGrid w:val="0"/>
              <w:jc w:val="center"/>
              <w:rPr>
                <w:bCs/>
                <w:color w:val="auto"/>
                <w:kern w:val="21"/>
              </w:rPr>
            </w:pPr>
            <w:r>
              <w:rPr>
                <w:rFonts w:hint="eastAsia"/>
                <w:color w:val="auto"/>
                <w:kern w:val="21"/>
                <w:lang w:val="en-US" w:eastAsia="zh-CN"/>
              </w:rPr>
              <w:t>同</w:t>
            </w:r>
            <w:r>
              <w:rPr>
                <w:color w:val="auto"/>
                <w:kern w:val="21"/>
              </w:rPr>
              <w:t>盟污水处理厂收水水质要求</w:t>
            </w:r>
          </w:p>
        </w:tc>
        <w:tc>
          <w:tcPr>
            <w:tcW w:w="660" w:type="pct"/>
            <w:vAlign w:val="center"/>
          </w:tcPr>
          <w:p>
            <w:pPr>
              <w:adjustRightInd w:val="0"/>
              <w:snapToGrid w:val="0"/>
              <w:jc w:val="center"/>
              <w:rPr>
                <w:bCs/>
                <w:color w:val="auto"/>
                <w:kern w:val="21"/>
              </w:rPr>
            </w:pPr>
            <w:r>
              <w:rPr>
                <w:rFonts w:hint="eastAsia"/>
                <w:bCs/>
                <w:color w:val="auto"/>
                <w:kern w:val="21"/>
              </w:rPr>
              <w:t>/</w:t>
            </w:r>
          </w:p>
        </w:tc>
        <w:tc>
          <w:tcPr>
            <w:tcW w:w="640" w:type="pct"/>
            <w:vAlign w:val="center"/>
          </w:tcPr>
          <w:p>
            <w:pPr>
              <w:adjustRightInd w:val="0"/>
              <w:snapToGrid w:val="0"/>
              <w:jc w:val="center"/>
              <w:rPr>
                <w:bCs/>
                <w:color w:val="auto"/>
                <w:kern w:val="21"/>
              </w:rPr>
            </w:pPr>
            <w:r>
              <w:rPr>
                <w:rFonts w:hint="eastAsia"/>
                <w:bCs/>
                <w:color w:val="auto"/>
                <w:kern w:val="21"/>
              </w:rPr>
              <w:t>350</w:t>
            </w:r>
          </w:p>
        </w:tc>
        <w:tc>
          <w:tcPr>
            <w:tcW w:w="640" w:type="pct"/>
            <w:vAlign w:val="center"/>
          </w:tcPr>
          <w:p>
            <w:pPr>
              <w:adjustRightInd w:val="0"/>
              <w:snapToGrid w:val="0"/>
              <w:jc w:val="center"/>
              <w:rPr>
                <w:bCs/>
                <w:color w:val="auto"/>
                <w:kern w:val="21"/>
              </w:rPr>
            </w:pPr>
            <w:r>
              <w:rPr>
                <w:rFonts w:hint="eastAsia"/>
                <w:bCs/>
                <w:color w:val="auto"/>
                <w:kern w:val="21"/>
              </w:rPr>
              <w:t>35</w:t>
            </w:r>
          </w:p>
        </w:tc>
        <w:tc>
          <w:tcPr>
            <w:tcW w:w="640" w:type="pct"/>
            <w:vAlign w:val="center"/>
          </w:tcPr>
          <w:p>
            <w:pPr>
              <w:adjustRightInd w:val="0"/>
              <w:snapToGrid w:val="0"/>
              <w:jc w:val="center"/>
              <w:rPr>
                <w:bCs/>
                <w:color w:val="auto"/>
                <w:kern w:val="21"/>
              </w:rPr>
            </w:pPr>
            <w:r>
              <w:rPr>
                <w:rFonts w:hint="eastAsia"/>
                <w:bCs/>
                <w:color w:val="auto"/>
                <w:kern w:val="21"/>
              </w:rPr>
              <w:t>3.5</w:t>
            </w:r>
          </w:p>
        </w:tc>
        <w:tc>
          <w:tcPr>
            <w:tcW w:w="640" w:type="pct"/>
            <w:vAlign w:val="center"/>
          </w:tcPr>
          <w:p>
            <w:pPr>
              <w:adjustRightInd w:val="0"/>
              <w:snapToGrid w:val="0"/>
              <w:jc w:val="center"/>
              <w:rPr>
                <w:bCs/>
                <w:color w:val="auto"/>
                <w:kern w:val="21"/>
              </w:rPr>
            </w:pPr>
            <w:r>
              <w:rPr>
                <w:rFonts w:hint="eastAsia"/>
                <w:bCs/>
                <w:color w:val="auto"/>
                <w:kern w:val="21"/>
              </w:rPr>
              <w:t>50</w:t>
            </w:r>
          </w:p>
        </w:tc>
        <w:tc>
          <w:tcPr>
            <w:tcW w:w="640" w:type="pct"/>
            <w:vAlign w:val="center"/>
          </w:tcPr>
          <w:p>
            <w:pPr>
              <w:adjustRightInd w:val="0"/>
              <w:snapToGrid w:val="0"/>
              <w:jc w:val="center"/>
              <w:rPr>
                <w:bCs/>
                <w:color w:val="auto"/>
                <w:kern w:val="21"/>
              </w:rPr>
            </w:pPr>
            <w:r>
              <w:rPr>
                <w:rFonts w:hint="eastAsia"/>
                <w:bCs/>
                <w:color w:val="auto"/>
                <w:kern w:val="21"/>
              </w:rPr>
              <w:t>230</w:t>
            </w:r>
          </w:p>
        </w:tc>
      </w:tr>
    </w:tbl>
    <w:p>
      <w:pPr>
        <w:pStyle w:val="32"/>
        <w:keepNext w:val="0"/>
        <w:keepLines w:val="0"/>
        <w:pageBreakBefore w:val="0"/>
        <w:widowControl/>
        <w:kinsoku/>
        <w:wordWrap/>
        <w:overflowPunct/>
        <w:topLinePunct w:val="0"/>
        <w:autoSpaceDE/>
        <w:autoSpaceDN/>
        <w:bidi w:val="0"/>
        <w:adjustRightInd w:val="0"/>
        <w:snapToGrid w:val="0"/>
        <w:spacing w:before="0" w:beforeLines="50" w:after="0" w:line="360" w:lineRule="auto"/>
        <w:ind w:firstLine="480" w:firstLineChars="200"/>
        <w:textAlignment w:val="auto"/>
        <w:rPr>
          <w:color w:val="auto"/>
          <w:kern w:val="21"/>
          <w:sz w:val="24"/>
        </w:rPr>
      </w:pPr>
      <w:r>
        <w:rPr>
          <w:color w:val="auto"/>
          <w:kern w:val="21"/>
          <w:sz w:val="24"/>
        </w:rPr>
        <w:t>由上表可知，厂区总排口废水量为</w:t>
      </w:r>
      <w:r>
        <w:rPr>
          <w:rFonts w:hint="eastAsia"/>
          <w:color w:val="auto"/>
          <w:kern w:val="21"/>
          <w:sz w:val="24"/>
        </w:rPr>
        <w:t>39.5063</w:t>
      </w:r>
      <w:r>
        <w:rPr>
          <w:color w:val="auto"/>
          <w:kern w:val="21"/>
          <w:sz w:val="24"/>
        </w:rPr>
        <w:t>m</w:t>
      </w:r>
      <w:r>
        <w:rPr>
          <w:rFonts w:hint="eastAsia"/>
          <w:color w:val="auto"/>
          <w:kern w:val="21"/>
          <w:sz w:val="24"/>
          <w:vertAlign w:val="superscript"/>
        </w:rPr>
        <w:t>3</w:t>
      </w:r>
      <w:r>
        <w:rPr>
          <w:color w:val="auto"/>
          <w:kern w:val="21"/>
          <w:sz w:val="24"/>
        </w:rPr>
        <w:t>/d，废水中污染物排放浓度分别为</w:t>
      </w:r>
      <w:r>
        <w:rPr>
          <w:snapToGrid w:val="0"/>
          <w:color w:val="auto"/>
          <w:kern w:val="21"/>
          <w:sz w:val="24"/>
        </w:rPr>
        <w:t xml:space="preserve">COD </w:t>
      </w:r>
      <w:r>
        <w:rPr>
          <w:rFonts w:hint="eastAsia"/>
          <w:snapToGrid w:val="0"/>
          <w:color w:val="auto"/>
          <w:kern w:val="21"/>
          <w:sz w:val="24"/>
        </w:rPr>
        <w:t>70.85mg/L</w:t>
      </w:r>
      <w:r>
        <w:rPr>
          <w:snapToGrid w:val="0"/>
          <w:color w:val="auto"/>
          <w:kern w:val="21"/>
          <w:sz w:val="24"/>
        </w:rPr>
        <w:t>、NH</w:t>
      </w:r>
      <w:r>
        <w:rPr>
          <w:snapToGrid w:val="0"/>
          <w:color w:val="auto"/>
          <w:kern w:val="21"/>
          <w:sz w:val="24"/>
          <w:vertAlign w:val="subscript"/>
        </w:rPr>
        <w:t>3</w:t>
      </w:r>
      <w:r>
        <w:rPr>
          <w:snapToGrid w:val="0"/>
          <w:color w:val="auto"/>
          <w:kern w:val="21"/>
          <w:sz w:val="24"/>
        </w:rPr>
        <w:t>-N</w:t>
      </w:r>
      <w:r>
        <w:rPr>
          <w:rFonts w:hint="eastAsia"/>
          <w:snapToGrid w:val="0"/>
          <w:color w:val="auto"/>
          <w:kern w:val="21"/>
          <w:sz w:val="24"/>
        </w:rPr>
        <w:t>3.42</w:t>
      </w:r>
      <w:r>
        <w:rPr>
          <w:snapToGrid w:val="0"/>
          <w:color w:val="auto"/>
          <w:kern w:val="21"/>
          <w:sz w:val="24"/>
        </w:rPr>
        <w:t>mg/L</w:t>
      </w:r>
      <w:r>
        <w:rPr>
          <w:color w:val="auto"/>
          <w:kern w:val="21"/>
          <w:sz w:val="24"/>
        </w:rPr>
        <w:t>、TP</w:t>
      </w:r>
      <w:r>
        <w:rPr>
          <w:rFonts w:hint="eastAsia"/>
          <w:color w:val="auto"/>
          <w:kern w:val="21"/>
          <w:sz w:val="24"/>
        </w:rPr>
        <w:t>0.34</w:t>
      </w:r>
      <w:r>
        <w:rPr>
          <w:color w:val="auto"/>
          <w:kern w:val="21"/>
          <w:sz w:val="24"/>
        </w:rPr>
        <w:t>mg/L、TN</w:t>
      </w:r>
      <w:r>
        <w:rPr>
          <w:rFonts w:hint="eastAsia"/>
          <w:color w:val="auto"/>
          <w:kern w:val="21"/>
          <w:sz w:val="24"/>
        </w:rPr>
        <w:t>5.47</w:t>
      </w:r>
      <w:r>
        <w:rPr>
          <w:color w:val="auto"/>
          <w:kern w:val="21"/>
          <w:sz w:val="24"/>
        </w:rPr>
        <w:t>mg/L、</w:t>
      </w:r>
      <w:r>
        <w:rPr>
          <w:rFonts w:hint="eastAsia"/>
          <w:bCs/>
          <w:color w:val="auto"/>
          <w:kern w:val="21"/>
          <w:sz w:val="24"/>
        </w:rPr>
        <w:t>SS</w:t>
      </w:r>
      <w:r>
        <w:rPr>
          <w:rFonts w:hint="eastAsia"/>
          <w:color w:val="auto"/>
          <w:kern w:val="21"/>
          <w:sz w:val="24"/>
          <w:lang w:bidi="ar"/>
        </w:rPr>
        <w:t>64.22</w:t>
      </w:r>
      <w:r>
        <w:rPr>
          <w:color w:val="auto"/>
          <w:kern w:val="21"/>
          <w:sz w:val="24"/>
        </w:rPr>
        <w:t>mg/L</w:t>
      </w:r>
      <w:r>
        <w:rPr>
          <w:rFonts w:hint="eastAsia"/>
          <w:color w:val="auto"/>
          <w:kern w:val="21"/>
          <w:sz w:val="24"/>
        </w:rPr>
        <w:t>，可满足同盟污水处理厂收水水质标准。</w:t>
      </w:r>
    </w:p>
    <w:p>
      <w:pPr>
        <w:pStyle w:val="5"/>
        <w:keepNext w:val="0"/>
        <w:keepLines w:val="0"/>
        <w:tabs>
          <w:tab w:val="left" w:pos="998"/>
        </w:tabs>
        <w:snapToGrid w:val="0"/>
        <w:spacing w:before="0" w:beforeLines="0" w:after="0" w:afterLines="0"/>
        <w:jc w:val="both"/>
        <w:rPr>
          <w:bCs w:val="0"/>
          <w:color w:val="auto"/>
          <w:kern w:val="21"/>
          <w:sz w:val="28"/>
          <w:szCs w:val="28"/>
        </w:rPr>
      </w:pPr>
      <w:r>
        <w:rPr>
          <w:rFonts w:eastAsia="宋体"/>
          <w:color w:val="auto"/>
          <w:kern w:val="21"/>
          <w:sz w:val="28"/>
          <w:szCs w:val="28"/>
        </w:rPr>
        <w:t>3.</w:t>
      </w:r>
      <w:r>
        <w:rPr>
          <w:rFonts w:hint="eastAsia" w:eastAsia="宋体"/>
          <w:color w:val="auto"/>
          <w:kern w:val="21"/>
          <w:sz w:val="28"/>
          <w:szCs w:val="28"/>
        </w:rPr>
        <w:t>4</w:t>
      </w:r>
      <w:r>
        <w:rPr>
          <w:rFonts w:eastAsia="宋体"/>
          <w:color w:val="auto"/>
          <w:kern w:val="21"/>
          <w:sz w:val="28"/>
          <w:szCs w:val="28"/>
        </w:rPr>
        <w:t>.3</w:t>
      </w:r>
      <w:r>
        <w:rPr>
          <w:color w:val="auto"/>
          <w:kern w:val="21"/>
          <w:sz w:val="28"/>
          <w:szCs w:val="28"/>
        </w:rPr>
        <w:t>噪声污染源分析</w:t>
      </w:r>
    </w:p>
    <w:p>
      <w:pPr>
        <w:pStyle w:val="32"/>
        <w:adjustRightInd w:val="0"/>
        <w:snapToGrid w:val="0"/>
        <w:spacing w:after="0" w:line="360" w:lineRule="auto"/>
        <w:ind w:firstLine="480" w:firstLineChars="200"/>
        <w:rPr>
          <w:color w:val="auto"/>
          <w:kern w:val="21"/>
          <w:sz w:val="24"/>
        </w:rPr>
      </w:pPr>
      <w:r>
        <w:rPr>
          <w:color w:val="auto"/>
          <w:kern w:val="21"/>
          <w:sz w:val="24"/>
          <w:lang w:val="en-US"/>
        </w:rPr>
        <w:t>本</w:t>
      </w:r>
      <w:r>
        <w:rPr>
          <w:color w:val="auto"/>
          <w:kern w:val="21"/>
          <w:sz w:val="24"/>
        </w:rPr>
        <w:t>项目实行三班8小时制，噪声源</w:t>
      </w:r>
      <w:r>
        <w:rPr>
          <w:rFonts w:hint="eastAsia"/>
          <w:color w:val="auto"/>
          <w:kern w:val="21"/>
          <w:sz w:val="24"/>
          <w:lang w:eastAsia="zh-CN"/>
        </w:rPr>
        <w:t>主要为</w:t>
      </w:r>
      <w:r>
        <w:rPr>
          <w:color w:val="auto"/>
          <w:kern w:val="21"/>
          <w:sz w:val="24"/>
        </w:rPr>
        <w:t>折弯机</w:t>
      </w:r>
      <w:r>
        <w:rPr>
          <w:color w:val="auto"/>
          <w:kern w:val="21"/>
          <w:sz w:val="24"/>
          <w:lang w:val="en-US"/>
        </w:rPr>
        <w:t>、冲床、</w:t>
      </w:r>
      <w:r>
        <w:rPr>
          <w:color w:val="auto"/>
          <w:kern w:val="21"/>
          <w:sz w:val="24"/>
        </w:rPr>
        <w:t>电镀</w:t>
      </w:r>
      <w:r>
        <w:rPr>
          <w:color w:val="auto"/>
          <w:kern w:val="21"/>
          <w:sz w:val="24"/>
          <w:lang w:val="en-US"/>
        </w:rPr>
        <w:t>生产线的行车</w:t>
      </w:r>
      <w:r>
        <w:rPr>
          <w:color w:val="auto"/>
          <w:kern w:val="21"/>
          <w:sz w:val="24"/>
        </w:rPr>
        <w:t>等生产设备</w:t>
      </w:r>
      <w:r>
        <w:rPr>
          <w:color w:val="auto"/>
          <w:kern w:val="21"/>
          <w:sz w:val="24"/>
          <w:lang w:val="en-US"/>
        </w:rPr>
        <w:t>和各类</w:t>
      </w:r>
      <w:r>
        <w:rPr>
          <w:color w:val="auto"/>
          <w:kern w:val="21"/>
          <w:sz w:val="24"/>
        </w:rPr>
        <w:t>风机、水泵、</w:t>
      </w:r>
      <w:r>
        <w:rPr>
          <w:color w:val="auto"/>
          <w:kern w:val="21"/>
          <w:sz w:val="24"/>
          <w:lang w:val="en-US"/>
        </w:rPr>
        <w:t>空压机</w:t>
      </w:r>
      <w:r>
        <w:rPr>
          <w:color w:val="auto"/>
          <w:kern w:val="21"/>
          <w:sz w:val="24"/>
        </w:rPr>
        <w:t>等公辅工程设备运行时产生的机械噪声，源强为7</w:t>
      </w:r>
      <w:r>
        <w:rPr>
          <w:rFonts w:hint="eastAsia"/>
          <w:color w:val="auto"/>
          <w:kern w:val="21"/>
          <w:sz w:val="24"/>
          <w:lang w:val="en-US" w:eastAsia="zh-CN"/>
        </w:rPr>
        <w:t>0</w:t>
      </w:r>
      <w:r>
        <w:rPr>
          <w:color w:val="auto"/>
          <w:kern w:val="21"/>
          <w:sz w:val="24"/>
        </w:rPr>
        <w:t>～</w:t>
      </w:r>
      <w:r>
        <w:rPr>
          <w:color w:val="auto"/>
          <w:kern w:val="21"/>
          <w:sz w:val="24"/>
          <w:lang w:val="en-US"/>
        </w:rPr>
        <w:t>90</w:t>
      </w:r>
      <w:r>
        <w:rPr>
          <w:color w:val="auto"/>
          <w:kern w:val="21"/>
          <w:sz w:val="24"/>
        </w:rPr>
        <w:t>dB（A）。</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项目主要噪声污染源源强核算结果及相关参数见</w:t>
      </w:r>
      <w:r>
        <w:rPr>
          <w:color w:val="auto"/>
        </w:rPr>
        <w:fldChar w:fldCharType="begin"/>
      </w:r>
      <w:r>
        <w:rPr>
          <w:color w:val="auto"/>
        </w:rPr>
        <w:instrText xml:space="preserve"> HYPERLINK \l "_bookmark41" </w:instrText>
      </w:r>
      <w:r>
        <w:rPr>
          <w:color w:val="auto"/>
        </w:rPr>
        <w:fldChar w:fldCharType="separate"/>
      </w:r>
      <w:r>
        <w:rPr>
          <w:color w:val="auto"/>
          <w:kern w:val="21"/>
          <w:sz w:val="24"/>
          <w:lang w:val="en-US"/>
        </w:rPr>
        <w:t>表3.</w:t>
      </w:r>
      <w:r>
        <w:rPr>
          <w:rFonts w:hint="eastAsia"/>
          <w:color w:val="auto"/>
          <w:kern w:val="21"/>
          <w:sz w:val="24"/>
          <w:lang w:val="en-US"/>
        </w:rPr>
        <w:t>4</w:t>
      </w:r>
      <w:r>
        <w:rPr>
          <w:color w:val="auto"/>
          <w:kern w:val="21"/>
          <w:sz w:val="24"/>
          <w:lang w:val="en-US"/>
        </w:rPr>
        <w:t>-</w:t>
      </w:r>
      <w:r>
        <w:rPr>
          <w:rFonts w:hint="eastAsia"/>
          <w:color w:val="auto"/>
          <w:kern w:val="21"/>
          <w:sz w:val="24"/>
          <w:lang w:val="en-US"/>
        </w:rPr>
        <w:t>1</w:t>
      </w:r>
      <w:r>
        <w:rPr>
          <w:rFonts w:hint="eastAsia"/>
          <w:color w:val="auto"/>
          <w:kern w:val="21"/>
          <w:sz w:val="24"/>
          <w:lang w:val="en-US"/>
        </w:rPr>
        <w:fldChar w:fldCharType="end"/>
      </w:r>
      <w:r>
        <w:rPr>
          <w:rFonts w:hint="eastAsia"/>
          <w:color w:val="auto"/>
          <w:kern w:val="21"/>
          <w:sz w:val="24"/>
          <w:lang w:val="en-US"/>
        </w:rPr>
        <w:t>1</w:t>
      </w:r>
      <w:r>
        <w:rPr>
          <w:color w:val="auto"/>
          <w:kern w:val="21"/>
          <w:sz w:val="24"/>
          <w:lang w:val="en-US"/>
        </w:rPr>
        <w:t>。</w:t>
      </w:r>
    </w:p>
    <w:p>
      <w:pPr>
        <w:tabs>
          <w:tab w:val="left" w:pos="998"/>
        </w:tabs>
        <w:adjustRightInd w:val="0"/>
        <w:snapToGrid w:val="0"/>
        <w:spacing w:line="360" w:lineRule="auto"/>
        <w:rPr>
          <w:color w:val="auto"/>
          <w:kern w:val="21"/>
          <w:sz w:val="24"/>
          <w:szCs w:val="24"/>
        </w:rPr>
        <w:sectPr>
          <w:pgSz w:w="11907" w:h="16840"/>
          <w:pgMar w:top="1440" w:right="1800" w:bottom="1440" w:left="1800" w:header="1134" w:footer="1186" w:gutter="0"/>
          <w:cols w:space="720" w:num="1"/>
        </w:sectPr>
      </w:pPr>
      <w:bookmarkStart w:id="192" w:name="_bookmark41"/>
      <w:bookmarkEnd w:id="192"/>
    </w:p>
    <w:p>
      <w:pPr>
        <w:adjustRightInd w:val="0"/>
        <w:snapToGrid w:val="0"/>
        <w:jc w:val="center"/>
        <w:rPr>
          <w:rFonts w:eastAsia="黑体"/>
          <w:color w:val="auto"/>
          <w:kern w:val="21"/>
          <w:sz w:val="24"/>
          <w:szCs w:val="24"/>
        </w:rPr>
      </w:pPr>
      <w:r>
        <w:rPr>
          <w:rFonts w:eastAsia="黑体"/>
          <w:color w:val="auto"/>
          <w:kern w:val="21"/>
          <w:sz w:val="24"/>
          <w:szCs w:val="24"/>
        </w:rPr>
        <w:t>表3.</w:t>
      </w:r>
      <w:r>
        <w:rPr>
          <w:rFonts w:hint="eastAsia" w:eastAsia="黑体"/>
          <w:color w:val="auto"/>
          <w:kern w:val="21"/>
          <w:sz w:val="24"/>
          <w:szCs w:val="24"/>
        </w:rPr>
        <w:t>4</w:t>
      </w:r>
      <w:r>
        <w:rPr>
          <w:rFonts w:eastAsia="黑体"/>
          <w:color w:val="auto"/>
          <w:kern w:val="21"/>
          <w:sz w:val="24"/>
          <w:szCs w:val="24"/>
        </w:rPr>
        <w:t>-</w:t>
      </w:r>
      <w:r>
        <w:rPr>
          <w:rFonts w:hint="eastAsia" w:eastAsia="黑体"/>
          <w:color w:val="auto"/>
          <w:kern w:val="21"/>
          <w:sz w:val="24"/>
          <w:szCs w:val="24"/>
        </w:rPr>
        <w:t>16</w:t>
      </w:r>
      <w:r>
        <w:rPr>
          <w:rFonts w:eastAsia="黑体"/>
          <w:color w:val="auto"/>
          <w:kern w:val="21"/>
          <w:sz w:val="24"/>
          <w:szCs w:val="24"/>
        </w:rPr>
        <w:t xml:space="preserve">  噪声污染源源强核算结果及相关参数一览表</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276"/>
        <w:gridCol w:w="1842"/>
        <w:gridCol w:w="1418"/>
        <w:gridCol w:w="1134"/>
        <w:gridCol w:w="1102"/>
        <w:gridCol w:w="2016"/>
        <w:gridCol w:w="1134"/>
        <w:gridCol w:w="1134"/>
        <w:gridCol w:w="872"/>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restart"/>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主要生产单元</w:t>
            </w:r>
          </w:p>
        </w:tc>
        <w:tc>
          <w:tcPr>
            <w:tcW w:w="1276" w:type="dxa"/>
            <w:vMerge w:val="restart"/>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工艺</w:t>
            </w:r>
          </w:p>
        </w:tc>
        <w:tc>
          <w:tcPr>
            <w:tcW w:w="1842" w:type="dxa"/>
            <w:vMerge w:val="restart"/>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生产设施</w:t>
            </w:r>
          </w:p>
        </w:tc>
        <w:tc>
          <w:tcPr>
            <w:tcW w:w="1418" w:type="dxa"/>
            <w:vMerge w:val="restart"/>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声源类型（频发、偶发等）</w:t>
            </w:r>
          </w:p>
        </w:tc>
        <w:tc>
          <w:tcPr>
            <w:tcW w:w="2236" w:type="dxa"/>
            <w:gridSpan w:val="2"/>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噪声产生量</w:t>
            </w:r>
          </w:p>
        </w:tc>
        <w:tc>
          <w:tcPr>
            <w:tcW w:w="3150" w:type="dxa"/>
            <w:gridSpan w:val="2"/>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降噪措施</w:t>
            </w:r>
          </w:p>
        </w:tc>
        <w:tc>
          <w:tcPr>
            <w:tcW w:w="2006" w:type="dxa"/>
            <w:gridSpan w:val="2"/>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噪声排放量</w:t>
            </w:r>
          </w:p>
        </w:tc>
        <w:tc>
          <w:tcPr>
            <w:tcW w:w="1289" w:type="dxa"/>
            <w:vMerge w:val="restart"/>
            <w:shd w:val="clear" w:color="auto" w:fill="auto"/>
            <w:vAlign w:val="center"/>
          </w:tcPr>
          <w:p>
            <w:pPr>
              <w:widowControl w:val="0"/>
              <w:tabs>
                <w:tab w:val="left" w:pos="998"/>
              </w:tabs>
              <w:adjustRightInd w:val="0"/>
              <w:snapToGrid w:val="0"/>
              <w:jc w:val="center"/>
              <w:rPr>
                <w:color w:val="auto"/>
                <w:kern w:val="21"/>
              </w:rPr>
            </w:pPr>
            <w:r>
              <w:rPr>
                <w:b/>
                <w:bCs/>
                <w:color w:val="auto"/>
                <w:kern w:val="21"/>
              </w:rPr>
              <w:t>持续时间（h）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b/>
                <w:bCs/>
                <w:color w:val="auto"/>
                <w:kern w:val="21"/>
              </w:rPr>
            </w:pPr>
          </w:p>
        </w:tc>
        <w:tc>
          <w:tcPr>
            <w:tcW w:w="1276" w:type="dxa"/>
            <w:vMerge w:val="continue"/>
            <w:shd w:val="clear" w:color="auto" w:fill="auto"/>
            <w:vAlign w:val="center"/>
          </w:tcPr>
          <w:p>
            <w:pPr>
              <w:widowControl w:val="0"/>
              <w:tabs>
                <w:tab w:val="left" w:pos="998"/>
              </w:tabs>
              <w:adjustRightInd w:val="0"/>
              <w:snapToGrid w:val="0"/>
              <w:jc w:val="center"/>
              <w:rPr>
                <w:b/>
                <w:bCs/>
                <w:color w:val="auto"/>
                <w:kern w:val="21"/>
              </w:rPr>
            </w:pPr>
          </w:p>
        </w:tc>
        <w:tc>
          <w:tcPr>
            <w:tcW w:w="1842" w:type="dxa"/>
            <w:vMerge w:val="continue"/>
            <w:shd w:val="clear" w:color="auto" w:fill="auto"/>
            <w:vAlign w:val="center"/>
          </w:tcPr>
          <w:p>
            <w:pPr>
              <w:widowControl w:val="0"/>
              <w:tabs>
                <w:tab w:val="left" w:pos="998"/>
              </w:tabs>
              <w:adjustRightInd w:val="0"/>
              <w:snapToGrid w:val="0"/>
              <w:jc w:val="center"/>
              <w:rPr>
                <w:b/>
                <w:bCs/>
                <w:color w:val="auto"/>
                <w:kern w:val="21"/>
              </w:rPr>
            </w:pPr>
          </w:p>
        </w:tc>
        <w:tc>
          <w:tcPr>
            <w:tcW w:w="1418" w:type="dxa"/>
            <w:vMerge w:val="continue"/>
            <w:shd w:val="clear" w:color="auto" w:fill="auto"/>
            <w:vAlign w:val="center"/>
          </w:tcPr>
          <w:p>
            <w:pPr>
              <w:widowControl w:val="0"/>
              <w:tabs>
                <w:tab w:val="left" w:pos="998"/>
              </w:tabs>
              <w:adjustRightInd w:val="0"/>
              <w:snapToGrid w:val="0"/>
              <w:jc w:val="center"/>
              <w:rPr>
                <w:b/>
                <w:bCs/>
                <w:color w:val="auto"/>
                <w:kern w:val="21"/>
              </w:rPr>
            </w:pPr>
          </w:p>
        </w:tc>
        <w:tc>
          <w:tcPr>
            <w:tcW w:w="1134" w:type="dxa"/>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核算方法</w:t>
            </w:r>
          </w:p>
        </w:tc>
        <w:tc>
          <w:tcPr>
            <w:tcW w:w="1102" w:type="dxa"/>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噪声值</w:t>
            </w:r>
          </w:p>
        </w:tc>
        <w:tc>
          <w:tcPr>
            <w:tcW w:w="2016" w:type="dxa"/>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工艺</w:t>
            </w:r>
          </w:p>
        </w:tc>
        <w:tc>
          <w:tcPr>
            <w:tcW w:w="1134" w:type="dxa"/>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降噪效果</w:t>
            </w:r>
          </w:p>
        </w:tc>
        <w:tc>
          <w:tcPr>
            <w:tcW w:w="1134" w:type="dxa"/>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核算方法</w:t>
            </w:r>
          </w:p>
        </w:tc>
        <w:tc>
          <w:tcPr>
            <w:tcW w:w="872" w:type="dxa"/>
            <w:shd w:val="clear" w:color="auto" w:fill="auto"/>
            <w:vAlign w:val="center"/>
          </w:tcPr>
          <w:p>
            <w:pPr>
              <w:widowControl w:val="0"/>
              <w:tabs>
                <w:tab w:val="left" w:pos="998"/>
              </w:tabs>
              <w:adjustRightInd w:val="0"/>
              <w:snapToGrid w:val="0"/>
              <w:jc w:val="center"/>
              <w:rPr>
                <w:b/>
                <w:bCs/>
                <w:color w:val="auto"/>
                <w:kern w:val="21"/>
              </w:rPr>
            </w:pPr>
            <w:r>
              <w:rPr>
                <w:b/>
                <w:bCs/>
                <w:color w:val="auto"/>
                <w:kern w:val="21"/>
              </w:rPr>
              <w:t>噪声值</w:t>
            </w:r>
          </w:p>
        </w:tc>
        <w:tc>
          <w:tcPr>
            <w:tcW w:w="1289" w:type="dxa"/>
            <w:vMerge w:val="continue"/>
            <w:shd w:val="clear" w:color="auto" w:fill="auto"/>
            <w:vAlign w:val="center"/>
          </w:tcPr>
          <w:p>
            <w:pPr>
              <w:widowControl w:val="0"/>
              <w:tabs>
                <w:tab w:val="left" w:pos="998"/>
              </w:tabs>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restart"/>
            <w:shd w:val="clear" w:color="auto" w:fill="auto"/>
            <w:vAlign w:val="center"/>
          </w:tcPr>
          <w:p>
            <w:pPr>
              <w:widowControl w:val="0"/>
              <w:tabs>
                <w:tab w:val="left" w:pos="998"/>
              </w:tabs>
              <w:adjustRightInd w:val="0"/>
              <w:snapToGrid w:val="0"/>
              <w:jc w:val="center"/>
              <w:rPr>
                <w:color w:val="auto"/>
                <w:kern w:val="21"/>
              </w:rPr>
            </w:pPr>
            <w:r>
              <w:rPr>
                <w:color w:val="auto"/>
                <w:kern w:val="21"/>
              </w:rPr>
              <w:t>北厂房</w:t>
            </w: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二级碱液喷淋中和塔</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风机（8台）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tabs>
                <w:tab w:val="left" w:pos="998"/>
              </w:tabs>
              <w:adjustRightInd w:val="0"/>
              <w:snapToGrid w:val="0"/>
              <w:jc w:val="center"/>
              <w:rPr>
                <w:color w:val="auto"/>
                <w:kern w:val="21"/>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color w:val="auto"/>
                <w:kern w:val="21"/>
              </w:rPr>
            </w:pPr>
            <w:r>
              <w:rPr>
                <w:color w:val="auto"/>
                <w:kern w:val="21"/>
              </w:rPr>
              <w:t>80</w:t>
            </w:r>
          </w:p>
        </w:tc>
        <w:tc>
          <w:tcPr>
            <w:tcW w:w="2016" w:type="dxa"/>
            <w:vMerge w:val="restart"/>
            <w:shd w:val="clear" w:color="auto" w:fill="auto"/>
            <w:vAlign w:val="center"/>
          </w:tcPr>
          <w:p>
            <w:pPr>
              <w:widowControl w:val="0"/>
              <w:adjustRightInd w:val="0"/>
              <w:snapToGrid w:val="0"/>
              <w:jc w:val="center"/>
              <w:textAlignment w:val="baseline"/>
              <w:rPr>
                <w:color w:val="auto"/>
                <w:kern w:val="21"/>
              </w:rPr>
            </w:pPr>
            <w:r>
              <w:rPr>
                <w:color w:val="auto"/>
                <w:kern w:val="21"/>
              </w:rPr>
              <w:t>设置基础减振，厂房隔声</w:t>
            </w:r>
          </w:p>
        </w:tc>
        <w:tc>
          <w:tcPr>
            <w:tcW w:w="1134" w:type="dxa"/>
            <w:shd w:val="clear" w:color="auto" w:fill="auto"/>
            <w:vAlign w:val="center"/>
          </w:tcPr>
          <w:p>
            <w:pPr>
              <w:widowControl w:val="0"/>
              <w:tabs>
                <w:tab w:val="left" w:pos="998"/>
              </w:tabs>
              <w:adjustRightInd w:val="0"/>
              <w:snapToGrid w:val="0"/>
              <w:jc w:val="center"/>
              <w:rPr>
                <w:rFonts w:hint="default" w:eastAsia="宋体"/>
                <w:color w:val="auto"/>
                <w:kern w:val="21"/>
                <w:lang w:val="en-US" w:eastAsia="zh-CN"/>
              </w:rPr>
            </w:pPr>
            <w:r>
              <w:rPr>
                <w:rFonts w:hint="eastAsia"/>
                <w:color w:val="auto"/>
                <w:kern w:val="21"/>
                <w:lang w:val="en-US" w:eastAsia="zh-CN"/>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64</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电镀</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行车（</w:t>
            </w:r>
            <w:r>
              <w:rPr>
                <w:rFonts w:hint="eastAsia"/>
                <w:color w:val="auto"/>
                <w:kern w:val="21"/>
              </w:rPr>
              <w:t>25台</w:t>
            </w:r>
            <w:r>
              <w:rPr>
                <w:color w:val="auto"/>
                <w:kern w:val="21"/>
              </w:rPr>
              <w:t>）</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rFonts w:hint="eastAsia" w:eastAsia="宋体"/>
                <w:color w:val="auto"/>
                <w:kern w:val="21"/>
                <w:lang w:val="en-US" w:eastAsia="zh-CN"/>
              </w:rPr>
            </w:pPr>
            <w:r>
              <w:rPr>
                <w:color w:val="auto"/>
                <w:kern w:val="21"/>
              </w:rPr>
              <w:t>7</w:t>
            </w:r>
            <w:r>
              <w:rPr>
                <w:rFonts w:hint="eastAsia"/>
                <w:color w:val="auto"/>
                <w:kern w:val="21"/>
                <w:lang w:val="en-US" w:eastAsia="zh-CN"/>
              </w:rPr>
              <w:t>2</w:t>
            </w:r>
          </w:p>
        </w:tc>
        <w:tc>
          <w:tcPr>
            <w:tcW w:w="2016" w:type="dxa"/>
            <w:vMerge w:val="continue"/>
            <w:shd w:val="clear" w:color="auto" w:fill="auto"/>
            <w:vAlign w:val="center"/>
          </w:tcPr>
          <w:p>
            <w:pPr>
              <w:widowControl w:val="0"/>
              <w:tabs>
                <w:tab w:val="left" w:pos="998"/>
              </w:tabs>
              <w:adjustRightInd w:val="0"/>
              <w:snapToGrid w:val="0"/>
              <w:jc w:val="center"/>
              <w:rPr>
                <w:color w:val="auto"/>
                <w:kern w:val="21"/>
              </w:rPr>
            </w:pPr>
          </w:p>
        </w:tc>
        <w:tc>
          <w:tcPr>
            <w:tcW w:w="1134" w:type="dxa"/>
            <w:shd w:val="clear" w:color="auto" w:fill="auto"/>
            <w:vAlign w:val="center"/>
          </w:tcPr>
          <w:p>
            <w:pPr>
              <w:widowControl w:val="0"/>
              <w:jc w:val="center"/>
              <w:rPr>
                <w:color w:val="auto"/>
              </w:rPr>
            </w:pPr>
            <w:r>
              <w:rPr>
                <w:rFonts w:hint="eastAsia"/>
                <w:color w:val="auto"/>
                <w:kern w:val="21"/>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color w:val="auto"/>
                <w:kern w:val="21"/>
              </w:rPr>
            </w:pPr>
            <w:r>
              <w:rPr>
                <w:rFonts w:hint="eastAsia"/>
                <w:color w:val="auto"/>
                <w:kern w:val="21"/>
              </w:rPr>
              <w:t>61</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空压机</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空压机（6台）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color w:val="auto"/>
                <w:kern w:val="21"/>
              </w:rPr>
            </w:pPr>
            <w:r>
              <w:rPr>
                <w:color w:val="auto"/>
                <w:kern w:val="21"/>
              </w:rPr>
              <w:t>90</w:t>
            </w:r>
          </w:p>
        </w:tc>
        <w:tc>
          <w:tcPr>
            <w:tcW w:w="2016" w:type="dxa"/>
            <w:shd w:val="clear" w:color="auto" w:fill="auto"/>
            <w:vAlign w:val="center"/>
          </w:tcPr>
          <w:p>
            <w:pPr>
              <w:widowControl w:val="0"/>
              <w:adjustRightInd w:val="0"/>
              <w:snapToGrid w:val="0"/>
              <w:jc w:val="center"/>
              <w:textAlignment w:val="baseline"/>
              <w:rPr>
                <w:color w:val="auto"/>
                <w:kern w:val="21"/>
              </w:rPr>
            </w:pPr>
            <w:r>
              <w:rPr>
                <w:color w:val="auto"/>
                <w:kern w:val="21"/>
              </w:rPr>
              <w:t>设置隔音罩，厂房隔声，基础减振，</w:t>
            </w:r>
          </w:p>
        </w:tc>
        <w:tc>
          <w:tcPr>
            <w:tcW w:w="1134" w:type="dxa"/>
            <w:shd w:val="clear" w:color="auto" w:fill="auto"/>
            <w:vAlign w:val="center"/>
          </w:tcPr>
          <w:p>
            <w:pPr>
              <w:widowControl w:val="0"/>
              <w:jc w:val="center"/>
              <w:rPr>
                <w:color w:val="auto"/>
              </w:rPr>
            </w:pPr>
            <w:r>
              <w:rPr>
                <w:rFonts w:hint="eastAsia"/>
                <w:color w:val="auto"/>
                <w:kern w:val="21"/>
              </w:rPr>
              <w:t>30</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color w:val="auto"/>
                <w:kern w:val="21"/>
              </w:rPr>
            </w:pPr>
            <w:r>
              <w:rPr>
                <w:rFonts w:hint="eastAsia"/>
                <w:color w:val="auto"/>
                <w:kern w:val="21"/>
              </w:rPr>
              <w:t>68</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restart"/>
            <w:shd w:val="clear" w:color="auto" w:fill="auto"/>
            <w:vAlign w:val="center"/>
          </w:tcPr>
          <w:p>
            <w:pPr>
              <w:widowControl w:val="0"/>
              <w:tabs>
                <w:tab w:val="left" w:pos="998"/>
              </w:tabs>
              <w:adjustRightInd w:val="0"/>
              <w:snapToGrid w:val="0"/>
              <w:jc w:val="center"/>
              <w:rPr>
                <w:color w:val="auto"/>
                <w:kern w:val="21"/>
              </w:rPr>
            </w:pPr>
            <w:r>
              <w:rPr>
                <w:color w:val="auto"/>
                <w:kern w:val="21"/>
              </w:rPr>
              <w:t>厂房</w:t>
            </w: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冲压</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钢壳冲床（</w:t>
            </w:r>
            <w:r>
              <w:rPr>
                <w:rFonts w:hint="eastAsia"/>
                <w:color w:val="auto"/>
                <w:kern w:val="21"/>
              </w:rPr>
              <w:t>105</w:t>
            </w:r>
            <w:r>
              <w:rPr>
                <w:color w:val="auto"/>
                <w:kern w:val="21"/>
              </w:rPr>
              <w:t>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color w:val="auto"/>
                <w:kern w:val="21"/>
              </w:rPr>
            </w:pPr>
            <w:r>
              <w:rPr>
                <w:color w:val="auto"/>
                <w:kern w:val="21"/>
              </w:rPr>
              <w:t>85</w:t>
            </w:r>
          </w:p>
        </w:tc>
        <w:tc>
          <w:tcPr>
            <w:tcW w:w="2016" w:type="dxa"/>
            <w:vMerge w:val="restart"/>
            <w:shd w:val="clear" w:color="auto" w:fill="auto"/>
            <w:vAlign w:val="center"/>
          </w:tcPr>
          <w:p>
            <w:pPr>
              <w:widowControl w:val="0"/>
              <w:adjustRightInd w:val="0"/>
              <w:snapToGrid w:val="0"/>
              <w:jc w:val="center"/>
              <w:textAlignment w:val="baseline"/>
              <w:rPr>
                <w:color w:val="auto"/>
                <w:kern w:val="21"/>
              </w:rPr>
            </w:pPr>
            <w:r>
              <w:rPr>
                <w:color w:val="auto"/>
                <w:kern w:val="21"/>
              </w:rPr>
              <w:t>设置基础减振，厂房隔声</w:t>
            </w:r>
          </w:p>
          <w:p>
            <w:pPr>
              <w:widowControl w:val="0"/>
              <w:adjustRightInd w:val="0"/>
              <w:snapToGrid w:val="0"/>
              <w:jc w:val="center"/>
              <w:textAlignment w:val="baseline"/>
              <w:rPr>
                <w:color w:val="auto"/>
                <w:kern w:val="21"/>
              </w:rPr>
            </w:pPr>
          </w:p>
        </w:tc>
        <w:tc>
          <w:tcPr>
            <w:tcW w:w="1134" w:type="dxa"/>
            <w:shd w:val="clear" w:color="auto" w:fill="auto"/>
            <w:vAlign w:val="center"/>
          </w:tcPr>
          <w:p>
            <w:pPr>
              <w:widowControl w:val="0"/>
              <w:jc w:val="center"/>
              <w:rPr>
                <w:rFonts w:hint="default" w:eastAsia="宋体"/>
                <w:color w:val="auto"/>
                <w:lang w:val="en-US" w:eastAsia="zh-CN"/>
              </w:rPr>
            </w:pPr>
            <w:r>
              <w:rPr>
                <w:rFonts w:hint="eastAsia"/>
                <w:color w:val="auto"/>
                <w:kern w:val="21"/>
                <w:lang w:val="en-US" w:eastAsia="zh-CN"/>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80</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冲压</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盖帽冲床（</w:t>
            </w:r>
            <w:r>
              <w:rPr>
                <w:rFonts w:hint="eastAsia"/>
                <w:color w:val="auto"/>
                <w:kern w:val="21"/>
              </w:rPr>
              <w:t>30</w:t>
            </w:r>
            <w:r>
              <w:rPr>
                <w:color w:val="auto"/>
                <w:kern w:val="21"/>
              </w:rPr>
              <w:t>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color w:val="auto"/>
                <w:kern w:val="21"/>
              </w:rPr>
            </w:pPr>
            <w:r>
              <w:rPr>
                <w:color w:val="auto"/>
                <w:kern w:val="21"/>
              </w:rPr>
              <w:t>85</w:t>
            </w:r>
          </w:p>
        </w:tc>
        <w:tc>
          <w:tcPr>
            <w:tcW w:w="2016" w:type="dxa"/>
            <w:vMerge w:val="continue"/>
            <w:shd w:val="clear" w:color="auto" w:fill="auto"/>
            <w:vAlign w:val="center"/>
          </w:tcPr>
          <w:p>
            <w:pPr>
              <w:widowControl w:val="0"/>
              <w:tabs>
                <w:tab w:val="left" w:pos="998"/>
              </w:tabs>
              <w:adjustRightInd w:val="0"/>
              <w:snapToGrid w:val="0"/>
              <w:jc w:val="center"/>
              <w:rPr>
                <w:color w:val="auto"/>
                <w:kern w:val="21"/>
              </w:rPr>
            </w:pPr>
          </w:p>
        </w:tc>
        <w:tc>
          <w:tcPr>
            <w:tcW w:w="1134" w:type="dxa"/>
            <w:shd w:val="clear" w:color="auto" w:fill="auto"/>
            <w:vAlign w:val="center"/>
          </w:tcPr>
          <w:p>
            <w:pPr>
              <w:widowControl w:val="0"/>
              <w:jc w:val="center"/>
              <w:rPr>
                <w:color w:val="auto"/>
              </w:rPr>
            </w:pPr>
            <w:r>
              <w:rPr>
                <w:rFonts w:hint="eastAsia"/>
                <w:color w:val="auto"/>
                <w:kern w:val="21"/>
                <w:lang w:val="en-US" w:eastAsia="zh-CN"/>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75</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模修</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模修车床</w:t>
            </w:r>
            <w:r>
              <w:rPr>
                <w:rFonts w:hint="eastAsia"/>
                <w:color w:val="auto"/>
                <w:kern w:val="21"/>
              </w:rPr>
              <w:t>（2台）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75</w:t>
            </w:r>
          </w:p>
        </w:tc>
        <w:tc>
          <w:tcPr>
            <w:tcW w:w="2016" w:type="dxa"/>
            <w:vMerge w:val="continue"/>
            <w:shd w:val="clear" w:color="auto" w:fill="auto"/>
            <w:vAlign w:val="center"/>
          </w:tcPr>
          <w:p>
            <w:pPr>
              <w:widowControl w:val="0"/>
              <w:tabs>
                <w:tab w:val="left" w:pos="998"/>
              </w:tabs>
              <w:adjustRightInd w:val="0"/>
              <w:snapToGrid w:val="0"/>
              <w:jc w:val="center"/>
              <w:rPr>
                <w:color w:val="auto"/>
                <w:kern w:val="21"/>
              </w:rPr>
            </w:pPr>
          </w:p>
        </w:tc>
        <w:tc>
          <w:tcPr>
            <w:tcW w:w="1134" w:type="dxa"/>
            <w:shd w:val="clear" w:color="auto" w:fill="auto"/>
            <w:vAlign w:val="center"/>
          </w:tcPr>
          <w:p>
            <w:pPr>
              <w:widowControl w:val="0"/>
              <w:jc w:val="center"/>
              <w:rPr>
                <w:color w:val="auto"/>
                <w:kern w:val="21"/>
              </w:rPr>
            </w:pPr>
            <w:r>
              <w:rPr>
                <w:rFonts w:hint="eastAsia"/>
                <w:color w:val="auto"/>
                <w:kern w:val="21"/>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53</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下料</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下料机（</w:t>
            </w:r>
            <w:r>
              <w:rPr>
                <w:rFonts w:hint="eastAsia"/>
                <w:color w:val="auto"/>
                <w:kern w:val="21"/>
              </w:rPr>
              <w:t>4</w:t>
            </w:r>
            <w:r>
              <w:rPr>
                <w:color w:val="auto"/>
                <w:kern w:val="21"/>
              </w:rPr>
              <w:t>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85</w:t>
            </w:r>
          </w:p>
        </w:tc>
        <w:tc>
          <w:tcPr>
            <w:tcW w:w="2016" w:type="dxa"/>
            <w:vMerge w:val="continue"/>
            <w:shd w:val="clear" w:color="auto" w:fill="auto"/>
            <w:vAlign w:val="center"/>
          </w:tcPr>
          <w:p>
            <w:pPr>
              <w:widowControl w:val="0"/>
              <w:tabs>
                <w:tab w:val="left" w:pos="998"/>
              </w:tabs>
              <w:adjustRightInd w:val="0"/>
              <w:snapToGrid w:val="0"/>
              <w:jc w:val="center"/>
              <w:rPr>
                <w:color w:val="auto"/>
                <w:kern w:val="21"/>
              </w:rPr>
            </w:pPr>
          </w:p>
        </w:tc>
        <w:tc>
          <w:tcPr>
            <w:tcW w:w="1134" w:type="dxa"/>
            <w:shd w:val="clear" w:color="auto" w:fill="auto"/>
            <w:vAlign w:val="center"/>
          </w:tcPr>
          <w:p>
            <w:pPr>
              <w:widowControl w:val="0"/>
              <w:jc w:val="center"/>
              <w:rPr>
                <w:rFonts w:hint="default" w:eastAsia="宋体"/>
                <w:color w:val="auto"/>
                <w:lang w:val="en-US" w:eastAsia="zh-CN"/>
              </w:rPr>
            </w:pPr>
            <w:r>
              <w:rPr>
                <w:rFonts w:hint="eastAsia"/>
                <w:color w:val="auto"/>
                <w:kern w:val="21"/>
                <w:lang w:val="en-US" w:eastAsia="zh-CN"/>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color w:val="auto"/>
                <w:kern w:val="21"/>
              </w:rPr>
            </w:pPr>
            <w:r>
              <w:rPr>
                <w:color w:val="auto"/>
                <w:kern w:val="21"/>
              </w:rPr>
              <w:t>66</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折弯</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折弯机（</w:t>
            </w:r>
            <w:r>
              <w:rPr>
                <w:rFonts w:hint="eastAsia"/>
                <w:color w:val="auto"/>
                <w:kern w:val="21"/>
              </w:rPr>
              <w:t>10</w:t>
            </w:r>
            <w:r>
              <w:rPr>
                <w:color w:val="auto"/>
                <w:kern w:val="21"/>
              </w:rPr>
              <w:t>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75</w:t>
            </w:r>
          </w:p>
        </w:tc>
        <w:tc>
          <w:tcPr>
            <w:tcW w:w="2016" w:type="dxa"/>
            <w:vMerge w:val="continue"/>
            <w:shd w:val="clear" w:color="auto" w:fill="auto"/>
            <w:vAlign w:val="center"/>
          </w:tcPr>
          <w:p>
            <w:pPr>
              <w:widowControl w:val="0"/>
              <w:tabs>
                <w:tab w:val="left" w:pos="998"/>
              </w:tabs>
              <w:adjustRightInd w:val="0"/>
              <w:snapToGrid w:val="0"/>
              <w:jc w:val="center"/>
              <w:rPr>
                <w:color w:val="auto"/>
                <w:kern w:val="21"/>
              </w:rPr>
            </w:pPr>
          </w:p>
        </w:tc>
        <w:tc>
          <w:tcPr>
            <w:tcW w:w="1134" w:type="dxa"/>
            <w:shd w:val="clear" w:color="auto" w:fill="auto"/>
            <w:vAlign w:val="center"/>
          </w:tcPr>
          <w:p>
            <w:pPr>
              <w:widowControl w:val="0"/>
              <w:jc w:val="center"/>
              <w:rPr>
                <w:rFonts w:hint="default" w:eastAsia="宋体"/>
                <w:color w:val="auto"/>
                <w:lang w:val="en-US" w:eastAsia="zh-CN"/>
              </w:rPr>
            </w:pPr>
            <w:r>
              <w:rPr>
                <w:rFonts w:hint="eastAsia"/>
                <w:color w:val="auto"/>
                <w:kern w:val="21"/>
                <w:lang w:val="en-US" w:eastAsia="zh-CN"/>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color w:val="auto"/>
                <w:kern w:val="21"/>
              </w:rPr>
            </w:pPr>
            <w:r>
              <w:rPr>
                <w:rFonts w:hint="eastAsia"/>
                <w:color w:val="auto"/>
                <w:kern w:val="21"/>
              </w:rPr>
              <w:t>60</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7920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9" w:type="dxa"/>
            <w:vMerge w:val="continue"/>
            <w:shd w:val="clear" w:color="auto" w:fill="auto"/>
            <w:vAlign w:val="center"/>
          </w:tcPr>
          <w:p>
            <w:pPr>
              <w:widowControl w:val="0"/>
              <w:tabs>
                <w:tab w:val="left" w:pos="998"/>
              </w:tabs>
              <w:adjustRightInd w:val="0"/>
              <w:snapToGrid w:val="0"/>
              <w:jc w:val="center"/>
              <w:rPr>
                <w:color w:val="auto"/>
                <w:kern w:val="21"/>
              </w:rPr>
            </w:pPr>
          </w:p>
        </w:tc>
        <w:tc>
          <w:tcPr>
            <w:tcW w:w="1276" w:type="dxa"/>
            <w:shd w:val="clear" w:color="auto" w:fill="auto"/>
            <w:vAlign w:val="center"/>
          </w:tcPr>
          <w:p>
            <w:pPr>
              <w:widowControl w:val="0"/>
              <w:tabs>
                <w:tab w:val="left" w:pos="998"/>
              </w:tabs>
              <w:adjustRightInd w:val="0"/>
              <w:snapToGrid w:val="0"/>
              <w:jc w:val="center"/>
              <w:rPr>
                <w:color w:val="auto"/>
                <w:kern w:val="21"/>
              </w:rPr>
            </w:pPr>
            <w:r>
              <w:rPr>
                <w:color w:val="auto"/>
                <w:kern w:val="21"/>
              </w:rPr>
              <w:t>焊接</w:t>
            </w:r>
          </w:p>
        </w:tc>
        <w:tc>
          <w:tcPr>
            <w:tcW w:w="1842" w:type="dxa"/>
            <w:shd w:val="clear" w:color="auto" w:fill="auto"/>
            <w:vAlign w:val="center"/>
          </w:tcPr>
          <w:p>
            <w:pPr>
              <w:widowControl w:val="0"/>
              <w:tabs>
                <w:tab w:val="left" w:pos="998"/>
              </w:tabs>
              <w:adjustRightInd w:val="0"/>
              <w:snapToGrid w:val="0"/>
              <w:jc w:val="center"/>
              <w:rPr>
                <w:color w:val="auto"/>
                <w:kern w:val="21"/>
              </w:rPr>
            </w:pPr>
            <w:r>
              <w:rPr>
                <w:color w:val="auto"/>
                <w:kern w:val="21"/>
              </w:rPr>
              <w:t>电焊机（</w:t>
            </w:r>
            <w:r>
              <w:rPr>
                <w:rFonts w:hint="eastAsia"/>
                <w:color w:val="auto"/>
                <w:kern w:val="21"/>
              </w:rPr>
              <w:t>20</w:t>
            </w:r>
            <w:r>
              <w:rPr>
                <w:color w:val="auto"/>
                <w:kern w:val="21"/>
              </w:rPr>
              <w:t>台）</w:t>
            </w:r>
          </w:p>
        </w:tc>
        <w:tc>
          <w:tcPr>
            <w:tcW w:w="1418" w:type="dxa"/>
            <w:shd w:val="clear" w:color="auto" w:fill="auto"/>
            <w:vAlign w:val="center"/>
          </w:tcPr>
          <w:p>
            <w:pPr>
              <w:widowControl w:val="0"/>
              <w:tabs>
                <w:tab w:val="left" w:pos="998"/>
              </w:tabs>
              <w:adjustRightInd w:val="0"/>
              <w:snapToGrid w:val="0"/>
              <w:jc w:val="center"/>
              <w:rPr>
                <w:color w:val="auto"/>
                <w:kern w:val="21"/>
              </w:rPr>
            </w:pPr>
            <w:r>
              <w:rPr>
                <w:color w:val="auto"/>
                <w:kern w:val="21"/>
              </w:rPr>
              <w:t>频发</w:t>
            </w:r>
          </w:p>
        </w:tc>
        <w:tc>
          <w:tcPr>
            <w:tcW w:w="1134" w:type="dxa"/>
            <w:shd w:val="clear" w:color="auto" w:fill="auto"/>
            <w:vAlign w:val="center"/>
          </w:tcPr>
          <w:p>
            <w:pPr>
              <w:widowControl w:val="0"/>
              <w:jc w:val="center"/>
              <w:rPr>
                <w:color w:val="auto"/>
              </w:rPr>
            </w:pPr>
            <w:r>
              <w:rPr>
                <w:color w:val="auto"/>
                <w:kern w:val="21"/>
              </w:rPr>
              <w:t>类比法</w:t>
            </w:r>
          </w:p>
        </w:tc>
        <w:tc>
          <w:tcPr>
            <w:tcW w:w="1102" w:type="dxa"/>
            <w:shd w:val="clear" w:color="auto" w:fill="auto"/>
            <w:vAlign w:val="center"/>
          </w:tcPr>
          <w:p>
            <w:pPr>
              <w:widowControl w:val="0"/>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70</w:t>
            </w:r>
          </w:p>
        </w:tc>
        <w:tc>
          <w:tcPr>
            <w:tcW w:w="2016" w:type="dxa"/>
            <w:vMerge w:val="continue"/>
            <w:shd w:val="clear" w:color="auto" w:fill="auto"/>
            <w:vAlign w:val="center"/>
          </w:tcPr>
          <w:p>
            <w:pPr>
              <w:widowControl w:val="0"/>
              <w:tabs>
                <w:tab w:val="left" w:pos="998"/>
              </w:tabs>
              <w:adjustRightInd w:val="0"/>
              <w:snapToGrid w:val="0"/>
              <w:jc w:val="center"/>
              <w:rPr>
                <w:color w:val="auto"/>
                <w:kern w:val="21"/>
              </w:rPr>
            </w:pPr>
          </w:p>
        </w:tc>
        <w:tc>
          <w:tcPr>
            <w:tcW w:w="1134" w:type="dxa"/>
            <w:shd w:val="clear" w:color="auto" w:fill="auto"/>
            <w:vAlign w:val="center"/>
          </w:tcPr>
          <w:p>
            <w:pPr>
              <w:widowControl w:val="0"/>
              <w:jc w:val="center"/>
              <w:rPr>
                <w:rFonts w:hint="default" w:eastAsia="宋体"/>
                <w:color w:val="auto"/>
                <w:lang w:val="en-US" w:eastAsia="zh-CN"/>
              </w:rPr>
            </w:pPr>
            <w:r>
              <w:rPr>
                <w:rFonts w:hint="eastAsia"/>
                <w:color w:val="auto"/>
                <w:kern w:val="21"/>
                <w:lang w:val="en-US" w:eastAsia="zh-CN"/>
              </w:rPr>
              <w:t>25</w:t>
            </w:r>
          </w:p>
        </w:tc>
        <w:tc>
          <w:tcPr>
            <w:tcW w:w="1134" w:type="dxa"/>
            <w:shd w:val="clear" w:color="auto" w:fill="auto"/>
            <w:vAlign w:val="center"/>
          </w:tcPr>
          <w:p>
            <w:pPr>
              <w:widowControl w:val="0"/>
              <w:jc w:val="center"/>
              <w:rPr>
                <w:color w:val="auto"/>
              </w:rPr>
            </w:pPr>
            <w:r>
              <w:rPr>
                <w:color w:val="auto"/>
                <w:kern w:val="21"/>
              </w:rPr>
              <w:t>类比法</w:t>
            </w:r>
          </w:p>
        </w:tc>
        <w:tc>
          <w:tcPr>
            <w:tcW w:w="872" w:type="dxa"/>
            <w:shd w:val="clear" w:color="auto" w:fill="auto"/>
            <w:vAlign w:val="center"/>
          </w:tcPr>
          <w:p>
            <w:pPr>
              <w:adjustRightInd w:val="0"/>
              <w:snapToGrid w:val="0"/>
              <w:jc w:val="center"/>
              <w:textAlignment w:val="baseline"/>
              <w:rPr>
                <w:rFonts w:hint="default" w:eastAsia="宋体"/>
                <w:color w:val="auto"/>
                <w:kern w:val="21"/>
                <w:lang w:val="en-US" w:eastAsia="zh-CN"/>
              </w:rPr>
            </w:pPr>
            <w:r>
              <w:rPr>
                <w:rFonts w:hint="eastAsia"/>
                <w:color w:val="auto"/>
                <w:kern w:val="21"/>
                <w:lang w:val="en-US" w:eastAsia="zh-CN"/>
              </w:rPr>
              <w:t>58</w:t>
            </w:r>
          </w:p>
        </w:tc>
        <w:tc>
          <w:tcPr>
            <w:tcW w:w="1289" w:type="dxa"/>
            <w:shd w:val="clear" w:color="auto" w:fill="auto"/>
            <w:vAlign w:val="center"/>
          </w:tcPr>
          <w:p>
            <w:pPr>
              <w:widowControl w:val="0"/>
              <w:tabs>
                <w:tab w:val="left" w:pos="998"/>
              </w:tabs>
              <w:adjustRightInd w:val="0"/>
              <w:snapToGrid w:val="0"/>
              <w:jc w:val="center"/>
              <w:rPr>
                <w:color w:val="auto"/>
                <w:kern w:val="21"/>
              </w:rPr>
            </w:pPr>
            <w:r>
              <w:rPr>
                <w:rFonts w:hint="eastAsia"/>
                <w:color w:val="auto"/>
                <w:kern w:val="21"/>
              </w:rPr>
              <w:t>3300</w:t>
            </w:r>
          </w:p>
        </w:tc>
      </w:tr>
    </w:tbl>
    <w:p>
      <w:pPr>
        <w:tabs>
          <w:tab w:val="left" w:pos="998"/>
        </w:tabs>
        <w:adjustRightInd w:val="0"/>
        <w:snapToGrid w:val="0"/>
        <w:spacing w:line="360" w:lineRule="auto"/>
        <w:rPr>
          <w:color w:val="auto"/>
          <w:kern w:val="21"/>
          <w:sz w:val="24"/>
          <w:szCs w:val="24"/>
        </w:rPr>
      </w:pPr>
    </w:p>
    <w:p>
      <w:pPr>
        <w:tabs>
          <w:tab w:val="left" w:pos="998"/>
        </w:tabs>
        <w:adjustRightInd w:val="0"/>
        <w:snapToGrid w:val="0"/>
        <w:spacing w:line="360" w:lineRule="auto"/>
        <w:rPr>
          <w:color w:val="auto"/>
          <w:kern w:val="21"/>
          <w:sz w:val="24"/>
          <w:szCs w:val="24"/>
        </w:rPr>
        <w:sectPr>
          <w:pgSz w:w="16840" w:h="11907" w:orient="landscape"/>
          <w:pgMar w:top="1800" w:right="1440" w:bottom="1800" w:left="1440" w:header="1134" w:footer="1186" w:gutter="0"/>
          <w:cols w:space="720" w:num="1"/>
          <w:docGrid w:linePitch="286" w:charSpace="0"/>
        </w:sectPr>
      </w:pPr>
    </w:p>
    <w:p>
      <w:pPr>
        <w:pStyle w:val="5"/>
        <w:keepNext w:val="0"/>
        <w:keepLines w:val="0"/>
        <w:tabs>
          <w:tab w:val="left" w:pos="998"/>
        </w:tabs>
        <w:snapToGrid w:val="0"/>
        <w:spacing w:before="0" w:beforeLines="0" w:after="0" w:afterLines="0"/>
        <w:jc w:val="both"/>
        <w:rPr>
          <w:rFonts w:eastAsia="宋体"/>
          <w:color w:val="auto"/>
          <w:kern w:val="21"/>
          <w:sz w:val="28"/>
          <w:szCs w:val="28"/>
        </w:rPr>
      </w:pPr>
      <w:r>
        <w:rPr>
          <w:rFonts w:hint="eastAsia" w:eastAsia="宋体"/>
          <w:color w:val="auto"/>
          <w:kern w:val="21"/>
          <w:sz w:val="28"/>
          <w:szCs w:val="28"/>
        </w:rPr>
        <w:t>3.4.4</w:t>
      </w:r>
      <w:r>
        <w:rPr>
          <w:rFonts w:eastAsia="宋体"/>
          <w:color w:val="auto"/>
          <w:kern w:val="21"/>
          <w:sz w:val="28"/>
          <w:szCs w:val="28"/>
        </w:rPr>
        <w:t>固废污染源分析</w:t>
      </w:r>
    </w:p>
    <w:p>
      <w:pPr>
        <w:pStyle w:val="32"/>
        <w:adjustRightInd w:val="0"/>
        <w:snapToGrid w:val="0"/>
        <w:spacing w:after="0" w:line="360" w:lineRule="auto"/>
        <w:ind w:firstLine="480" w:firstLineChars="200"/>
        <w:rPr>
          <w:color w:val="auto"/>
          <w:kern w:val="21"/>
          <w:sz w:val="24"/>
        </w:rPr>
      </w:pPr>
      <w:r>
        <w:rPr>
          <w:color w:val="auto"/>
          <w:kern w:val="21"/>
          <w:sz w:val="24"/>
        </w:rPr>
        <w:t>本项目产生的一般固废主要为</w:t>
      </w:r>
      <w:r>
        <w:rPr>
          <w:color w:val="auto"/>
          <w:kern w:val="21"/>
          <w:sz w:val="24"/>
          <w:lang w:val="en-US"/>
        </w:rPr>
        <w:t>边角料</w:t>
      </w:r>
      <w:r>
        <w:rPr>
          <w:color w:val="auto"/>
          <w:kern w:val="21"/>
          <w:sz w:val="24"/>
        </w:rPr>
        <w:t>、</w:t>
      </w:r>
      <w:r>
        <w:rPr>
          <w:color w:val="auto"/>
          <w:kern w:val="21"/>
          <w:sz w:val="24"/>
          <w:lang w:val="en-US"/>
        </w:rPr>
        <w:t>不合格镀件、纯水制备</w:t>
      </w:r>
      <w:r>
        <w:rPr>
          <w:rFonts w:hint="eastAsia"/>
          <w:color w:val="auto"/>
          <w:kern w:val="21"/>
          <w:sz w:val="24"/>
          <w:lang w:val="en-US" w:eastAsia="zh-CN"/>
        </w:rPr>
        <w:t>废</w:t>
      </w:r>
      <w:r>
        <w:rPr>
          <w:rFonts w:hint="eastAsia"/>
          <w:color w:val="auto"/>
          <w:kern w:val="21"/>
          <w:sz w:val="24"/>
          <w:lang w:val="en-US"/>
        </w:rPr>
        <w:t>RO膜、除尘器粉尘以及</w:t>
      </w:r>
      <w:r>
        <w:rPr>
          <w:color w:val="auto"/>
          <w:kern w:val="21"/>
          <w:sz w:val="24"/>
        </w:rPr>
        <w:t>生活垃圾</w:t>
      </w:r>
      <w:r>
        <w:rPr>
          <w:rFonts w:hint="eastAsia"/>
          <w:color w:val="auto"/>
          <w:kern w:val="21"/>
          <w:sz w:val="24"/>
          <w:lang w:val="en-US"/>
        </w:rPr>
        <w:t>；危险废物为镀镍槽液、镀锌槽液、含镍废物、含锌废物、含铬废物、</w:t>
      </w:r>
      <w:r>
        <w:rPr>
          <w:rFonts w:hint="eastAsia"/>
          <w:snapToGrid w:val="0"/>
          <w:color w:val="auto"/>
          <w:kern w:val="21"/>
          <w:sz w:val="24"/>
        </w:rPr>
        <w:t>气浮池污油</w:t>
      </w:r>
      <w:r>
        <w:rPr>
          <w:rFonts w:hint="eastAsia"/>
          <w:color w:val="auto"/>
          <w:kern w:val="21"/>
          <w:sz w:val="24"/>
          <w:lang w:val="en-US"/>
        </w:rPr>
        <w:t>、废机油、污水反渗透膜、生化处理污泥</w:t>
      </w:r>
      <w:r>
        <w:rPr>
          <w:color w:val="auto"/>
          <w:kern w:val="21"/>
          <w:sz w:val="24"/>
        </w:rPr>
        <w:t>。</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1、一般工业固体废物</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（1）边角料</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本项目机加工工段会产生边角料，根据物料衡算，钢带边角料产生率为</w:t>
      </w:r>
      <w:r>
        <w:rPr>
          <w:rFonts w:hint="eastAsia"/>
          <w:color w:val="auto"/>
          <w:kern w:val="21"/>
          <w:sz w:val="24"/>
          <w:lang w:val="en-US"/>
        </w:rPr>
        <w:t>78%，钢卷边角料产生率为85%，</w:t>
      </w:r>
      <w:r>
        <w:rPr>
          <w:rFonts w:hint="eastAsia"/>
          <w:color w:val="auto"/>
          <w:kern w:val="21"/>
          <w:sz w:val="24"/>
          <w:lang w:val="en-US" w:eastAsia="zh-CN"/>
        </w:rPr>
        <w:t>即</w:t>
      </w:r>
      <w:r>
        <w:rPr>
          <w:rFonts w:hint="eastAsia"/>
          <w:color w:val="auto"/>
          <w:kern w:val="21"/>
          <w:sz w:val="24"/>
          <w:lang w:val="en-US"/>
        </w:rPr>
        <w:t>11308吨，暂存于厂区北侧的一般固废暂存间，</w:t>
      </w:r>
      <w:r>
        <w:rPr>
          <w:rFonts w:hint="eastAsia"/>
          <w:color w:val="auto"/>
          <w:kern w:val="21"/>
          <w:sz w:val="24"/>
          <w:lang w:val="en-US" w:eastAsia="zh-CN"/>
        </w:rPr>
        <w:t>定期</w:t>
      </w:r>
      <w:r>
        <w:rPr>
          <w:color w:val="auto"/>
          <w:kern w:val="21"/>
          <w:sz w:val="24"/>
          <w:lang w:val="en-US"/>
        </w:rPr>
        <w:t>外售</w:t>
      </w:r>
      <w:r>
        <w:rPr>
          <w:rFonts w:hint="eastAsia"/>
          <w:color w:val="auto"/>
          <w:kern w:val="21"/>
          <w:sz w:val="24"/>
          <w:lang w:val="en-US" w:eastAsia="zh-CN"/>
        </w:rPr>
        <w:t>综合利用</w:t>
      </w:r>
      <w:r>
        <w:rPr>
          <w:color w:val="auto"/>
          <w:kern w:val="21"/>
          <w:sz w:val="24"/>
          <w:lang w:val="en-US"/>
        </w:rPr>
        <w:t>。</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w:t>
      </w:r>
      <w:r>
        <w:rPr>
          <w:rFonts w:hint="eastAsia"/>
          <w:color w:val="auto"/>
          <w:kern w:val="21"/>
          <w:sz w:val="24"/>
          <w:lang w:val="en-US"/>
        </w:rPr>
        <w:t>2</w:t>
      </w:r>
      <w:r>
        <w:rPr>
          <w:color w:val="auto"/>
          <w:kern w:val="21"/>
          <w:sz w:val="24"/>
          <w:lang w:val="en-US"/>
        </w:rPr>
        <w:t>）不合格镀件</w:t>
      </w:r>
    </w:p>
    <w:p>
      <w:pPr>
        <w:pStyle w:val="32"/>
        <w:adjustRightInd w:val="0"/>
        <w:snapToGrid w:val="0"/>
        <w:spacing w:after="0" w:line="360" w:lineRule="auto"/>
        <w:ind w:firstLine="480" w:firstLineChars="200"/>
        <w:rPr>
          <w:color w:val="auto"/>
          <w:kern w:val="21"/>
          <w:sz w:val="24"/>
          <w:u w:val="single"/>
          <w:lang w:val="en-US"/>
        </w:rPr>
      </w:pPr>
      <w:r>
        <w:rPr>
          <w:rFonts w:hint="eastAsia"/>
          <w:color w:val="auto"/>
          <w:kern w:val="21"/>
          <w:sz w:val="24"/>
          <w:lang w:val="en-US"/>
        </w:rPr>
        <w:t>项目镀镍、镀锌后的镀件需进行检验，通过外观、镀层的平整性等指标筛选出不合格产品，类比</w:t>
      </w:r>
      <w:r>
        <w:rPr>
          <w:rFonts w:hint="eastAsia"/>
          <w:color w:val="auto"/>
          <w:kern w:val="21"/>
          <w:sz w:val="24"/>
        </w:rPr>
        <w:t>新乡市盛达电源科技有限公司年产30亿只锂电池钢壳项目不合格产品率，本项目</w:t>
      </w:r>
      <w:r>
        <w:rPr>
          <w:rFonts w:hint="eastAsia"/>
          <w:color w:val="auto"/>
          <w:kern w:val="21"/>
          <w:sz w:val="24"/>
          <w:lang w:val="en-US"/>
        </w:rPr>
        <w:t>不合格产品约为19.76t，暂存于厂区北侧的一般固废暂存间，定期</w:t>
      </w:r>
      <w:r>
        <w:rPr>
          <w:color w:val="auto"/>
          <w:kern w:val="21"/>
          <w:sz w:val="24"/>
          <w:lang w:val="en-US"/>
        </w:rPr>
        <w:t>外售</w:t>
      </w:r>
      <w:r>
        <w:rPr>
          <w:rFonts w:hint="eastAsia"/>
          <w:color w:val="auto"/>
          <w:kern w:val="21"/>
          <w:sz w:val="24"/>
          <w:lang w:val="en-US" w:eastAsia="zh-CN"/>
        </w:rPr>
        <w:t>综合利用</w:t>
      </w:r>
      <w:r>
        <w:rPr>
          <w:color w:val="auto"/>
          <w:kern w:val="21"/>
          <w:sz w:val="24"/>
          <w:lang w:val="en-US"/>
        </w:rPr>
        <w:t>。</w:t>
      </w:r>
    </w:p>
    <w:p>
      <w:pPr>
        <w:pStyle w:val="32"/>
        <w:adjustRightInd w:val="0"/>
        <w:snapToGrid w:val="0"/>
        <w:spacing w:after="0" w:line="360" w:lineRule="auto"/>
        <w:ind w:firstLine="480" w:firstLineChars="200"/>
        <w:rPr>
          <w:color w:val="auto"/>
          <w:kern w:val="21"/>
          <w:sz w:val="24"/>
          <w:lang w:val="en-US"/>
        </w:rPr>
      </w:pPr>
      <w:r>
        <w:rPr>
          <w:color w:val="auto"/>
          <w:kern w:val="21"/>
          <w:sz w:val="24"/>
        </w:rPr>
        <w:t>（</w:t>
      </w:r>
      <w:r>
        <w:rPr>
          <w:rFonts w:hint="eastAsia"/>
          <w:color w:val="auto"/>
          <w:kern w:val="21"/>
          <w:sz w:val="24"/>
          <w:lang w:val="en-US"/>
        </w:rPr>
        <w:t>3</w:t>
      </w:r>
      <w:r>
        <w:rPr>
          <w:color w:val="auto"/>
          <w:kern w:val="21"/>
          <w:sz w:val="24"/>
        </w:rPr>
        <w:t>）废纯水制备</w:t>
      </w:r>
      <w:r>
        <w:rPr>
          <w:rFonts w:hint="eastAsia"/>
          <w:color w:val="auto"/>
          <w:kern w:val="21"/>
          <w:sz w:val="24"/>
          <w:lang w:eastAsia="zh-CN"/>
        </w:rPr>
        <w:t>废</w:t>
      </w:r>
      <w:r>
        <w:rPr>
          <w:color w:val="auto"/>
          <w:kern w:val="21"/>
          <w:sz w:val="24"/>
          <w:lang w:val="en-US"/>
        </w:rPr>
        <w:t>RO膜</w:t>
      </w:r>
    </w:p>
    <w:p>
      <w:pPr>
        <w:pStyle w:val="32"/>
        <w:adjustRightInd w:val="0"/>
        <w:snapToGrid w:val="0"/>
        <w:spacing w:after="0" w:line="360" w:lineRule="auto"/>
        <w:ind w:firstLine="480" w:firstLineChars="200"/>
        <w:rPr>
          <w:color w:val="auto"/>
          <w:kern w:val="21"/>
          <w:sz w:val="24"/>
        </w:rPr>
      </w:pPr>
      <w:r>
        <w:rPr>
          <w:color w:val="auto"/>
          <w:kern w:val="21"/>
          <w:sz w:val="24"/>
        </w:rPr>
        <w:t>废</w:t>
      </w:r>
      <w:r>
        <w:rPr>
          <w:color w:val="auto"/>
          <w:kern w:val="21"/>
          <w:sz w:val="24"/>
          <w:lang w:val="en-US"/>
        </w:rPr>
        <w:t>RO膜</w:t>
      </w:r>
      <w:r>
        <w:rPr>
          <w:color w:val="auto"/>
          <w:kern w:val="21"/>
          <w:sz w:val="24"/>
        </w:rPr>
        <w:t>来自</w:t>
      </w:r>
      <w:r>
        <w:rPr>
          <w:rFonts w:hint="eastAsia"/>
          <w:color w:val="auto"/>
          <w:kern w:val="21"/>
          <w:sz w:val="24"/>
          <w:lang w:val="en-US"/>
        </w:rPr>
        <w:t>制水设备，RO膜每年交由厂家反冲洗1次，每三年更换1次，每次更换量为0.6t</w:t>
      </w:r>
      <w:r>
        <w:rPr>
          <w:color w:val="auto"/>
          <w:kern w:val="21"/>
          <w:sz w:val="24"/>
        </w:rPr>
        <w:t>，</w:t>
      </w:r>
      <w:r>
        <w:rPr>
          <w:rFonts w:hint="eastAsia"/>
          <w:color w:val="auto"/>
          <w:kern w:val="21"/>
          <w:sz w:val="24"/>
          <w:lang w:val="en-US"/>
        </w:rPr>
        <w:t>折合废RO膜产生量为0.2t/a</w:t>
      </w:r>
      <w:r>
        <w:rPr>
          <w:rFonts w:hint="eastAsia"/>
          <w:color w:val="auto"/>
          <w:kern w:val="21"/>
          <w:sz w:val="24"/>
        </w:rPr>
        <w:t>，</w:t>
      </w:r>
      <w:r>
        <w:rPr>
          <w:rFonts w:hint="eastAsia"/>
          <w:color w:val="auto"/>
          <w:kern w:val="21"/>
          <w:sz w:val="24"/>
          <w:lang w:val="en-US"/>
        </w:rPr>
        <w:t>废RO膜暂存于一般固废间，由更换厂家回收处理</w:t>
      </w:r>
      <w:r>
        <w:rPr>
          <w:color w:val="auto"/>
          <w:kern w:val="21"/>
          <w:sz w:val="24"/>
        </w:rPr>
        <w:t>。</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（4）除尘器粉尘</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焊接烟气采用袋式除尘器</w:t>
      </w:r>
      <w:r>
        <w:rPr>
          <w:rFonts w:hint="eastAsia"/>
          <w:color w:val="auto"/>
          <w:kern w:val="21"/>
          <w:sz w:val="24"/>
          <w:lang w:val="en-US" w:eastAsia="zh-CN"/>
        </w:rPr>
        <w:t>处理</w:t>
      </w:r>
      <w:r>
        <w:rPr>
          <w:rFonts w:hint="eastAsia"/>
          <w:color w:val="auto"/>
          <w:kern w:val="21"/>
          <w:sz w:val="24"/>
          <w:lang w:val="en-US"/>
        </w:rPr>
        <w:t>，除尘器收集的粉尘主要为金属及颗粒物，属于一般固废，</w:t>
      </w:r>
      <w:r>
        <w:rPr>
          <w:rFonts w:hint="eastAsia"/>
          <w:b/>
          <w:bCs/>
          <w:color w:val="auto"/>
          <w:kern w:val="21"/>
          <w:sz w:val="24"/>
          <w:u w:val="single"/>
          <w:lang w:val="en-US"/>
        </w:rPr>
        <w:t>产生量为1.38</w:t>
      </w:r>
      <w:r>
        <w:rPr>
          <w:rFonts w:hint="eastAsia"/>
          <w:b/>
          <w:bCs/>
          <w:color w:val="auto"/>
          <w:kern w:val="21"/>
          <w:sz w:val="24"/>
          <w:u w:val="single"/>
          <w:lang w:val="en-US" w:eastAsia="zh-CN"/>
        </w:rPr>
        <w:t>9</w:t>
      </w:r>
      <w:r>
        <w:rPr>
          <w:rFonts w:hint="eastAsia"/>
          <w:b/>
          <w:bCs/>
          <w:color w:val="auto"/>
          <w:kern w:val="21"/>
          <w:sz w:val="24"/>
          <w:u w:val="single"/>
          <w:lang w:val="en-US"/>
        </w:rPr>
        <w:t>t/a</w:t>
      </w:r>
      <w:r>
        <w:rPr>
          <w:rFonts w:hint="eastAsia"/>
          <w:color w:val="auto"/>
          <w:kern w:val="21"/>
          <w:sz w:val="24"/>
          <w:lang w:val="en-US"/>
        </w:rPr>
        <w:t>，暂存于厂区北侧的一般固废暂存间，定期外售</w:t>
      </w:r>
      <w:r>
        <w:rPr>
          <w:rFonts w:hint="eastAsia"/>
          <w:color w:val="auto"/>
          <w:kern w:val="21"/>
          <w:sz w:val="24"/>
          <w:lang w:val="en-US" w:eastAsia="zh-CN"/>
        </w:rPr>
        <w:t>综合利用</w:t>
      </w:r>
      <w:r>
        <w:rPr>
          <w:color w:val="auto"/>
          <w:kern w:val="21"/>
          <w:sz w:val="24"/>
          <w:lang w:val="en-US"/>
        </w:rPr>
        <w:t>。</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2、生活垃圾</w:t>
      </w:r>
    </w:p>
    <w:p>
      <w:pPr>
        <w:pStyle w:val="32"/>
        <w:adjustRightInd w:val="0"/>
        <w:snapToGrid w:val="0"/>
        <w:spacing w:after="0" w:line="360" w:lineRule="auto"/>
        <w:ind w:firstLine="480" w:firstLineChars="200"/>
        <w:rPr>
          <w:color w:val="auto"/>
          <w:kern w:val="21"/>
          <w:sz w:val="24"/>
        </w:rPr>
      </w:pPr>
      <w:r>
        <w:rPr>
          <w:color w:val="auto"/>
          <w:kern w:val="21"/>
          <w:sz w:val="24"/>
        </w:rPr>
        <w:t>本项目劳动定员</w:t>
      </w:r>
      <w:r>
        <w:rPr>
          <w:rFonts w:hint="eastAsia"/>
          <w:color w:val="auto"/>
          <w:kern w:val="21"/>
          <w:sz w:val="24"/>
          <w:lang w:val="en-US"/>
        </w:rPr>
        <w:t>1</w:t>
      </w:r>
      <w:r>
        <w:rPr>
          <w:color w:val="auto"/>
          <w:kern w:val="21"/>
          <w:sz w:val="24"/>
          <w:lang w:val="en-US"/>
        </w:rPr>
        <w:t>00</w:t>
      </w:r>
      <w:r>
        <w:rPr>
          <w:color w:val="auto"/>
          <w:kern w:val="21"/>
          <w:sz w:val="24"/>
        </w:rPr>
        <w:t>人，不在厂区食宿，生活垃圾产生量按0.</w:t>
      </w:r>
      <w:r>
        <w:rPr>
          <w:rFonts w:hint="eastAsia"/>
          <w:color w:val="auto"/>
          <w:kern w:val="21"/>
          <w:sz w:val="24"/>
        </w:rPr>
        <w:t>2</w:t>
      </w:r>
      <w:r>
        <w:rPr>
          <w:color w:val="auto"/>
          <w:kern w:val="21"/>
          <w:sz w:val="24"/>
        </w:rPr>
        <w:t>kg/d•人计，则产生量为</w:t>
      </w:r>
      <w:r>
        <w:rPr>
          <w:rFonts w:hint="eastAsia"/>
          <w:color w:val="auto"/>
          <w:kern w:val="21"/>
          <w:sz w:val="24"/>
          <w:lang w:val="en-US"/>
        </w:rPr>
        <w:t>6.6</w:t>
      </w:r>
      <w:r>
        <w:rPr>
          <w:color w:val="auto"/>
          <w:kern w:val="21"/>
          <w:sz w:val="24"/>
        </w:rPr>
        <w:t>t/a，厂区垃圾桶收集后，</w:t>
      </w:r>
      <w:r>
        <w:rPr>
          <w:rFonts w:hint="eastAsia"/>
          <w:color w:val="auto"/>
          <w:kern w:val="21"/>
          <w:sz w:val="24"/>
        </w:rPr>
        <w:t>定期运往垃圾中转站</w:t>
      </w:r>
      <w:r>
        <w:rPr>
          <w:color w:val="auto"/>
          <w:kern w:val="21"/>
          <w:sz w:val="24"/>
        </w:rPr>
        <w:t>。</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3、危险废物</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（1）镀镍槽液</w:t>
      </w:r>
    </w:p>
    <w:p>
      <w:pPr>
        <w:pStyle w:val="32"/>
        <w:adjustRightInd w:val="0"/>
        <w:snapToGrid w:val="0"/>
        <w:spacing w:after="0" w:line="360" w:lineRule="auto"/>
        <w:ind w:firstLine="482" w:firstLineChars="200"/>
        <w:rPr>
          <w:color w:val="auto"/>
          <w:kern w:val="21"/>
          <w:sz w:val="24"/>
          <w:lang w:val="en-US"/>
        </w:rPr>
      </w:pPr>
      <w:r>
        <w:rPr>
          <w:rFonts w:hint="eastAsia"/>
          <w:b/>
          <w:color w:val="auto"/>
          <w:kern w:val="21"/>
          <w:sz w:val="24"/>
          <w:u w:val="single"/>
          <w:lang w:val="en-US"/>
        </w:rPr>
        <w:t>镀镍槽液日常生产过程</w:t>
      </w:r>
      <w:r>
        <w:rPr>
          <w:rFonts w:hint="eastAsia"/>
          <w:b/>
          <w:color w:val="auto"/>
          <w:kern w:val="21"/>
          <w:sz w:val="24"/>
          <w:u w:val="single"/>
          <w:lang w:val="en-US" w:eastAsia="zh-CN"/>
        </w:rPr>
        <w:t>中</w:t>
      </w:r>
      <w:r>
        <w:rPr>
          <w:rFonts w:hint="eastAsia"/>
          <w:b/>
          <w:color w:val="auto"/>
          <w:kern w:val="21"/>
          <w:sz w:val="24"/>
          <w:u w:val="single"/>
          <w:lang w:val="en-US"/>
        </w:rPr>
        <w:t>循环过滤使用不排放，但长时间使用后会出现槽液老化，影响使用效果，需进行整体更换。镀槽槽液平均每5年更换一次，根据表3.2-4</w:t>
      </w:r>
      <w:r>
        <w:rPr>
          <w:rFonts w:hint="eastAsia"/>
          <w:b/>
          <w:color w:val="auto"/>
          <w:kern w:val="21"/>
          <w:sz w:val="24"/>
          <w:u w:val="single"/>
          <w:lang w:val="en-US" w:eastAsia="zh-CN"/>
        </w:rPr>
        <w:t>可知，</w:t>
      </w:r>
      <w:r>
        <w:rPr>
          <w:rFonts w:hint="eastAsia"/>
          <w:b/>
          <w:color w:val="auto"/>
          <w:kern w:val="21"/>
          <w:sz w:val="24"/>
          <w:u w:val="single"/>
          <w:lang w:val="en-US"/>
        </w:rPr>
        <w:t>本项目设置6条钢壳镀镍线、3条盖帽镀镍线，每条钢壳镀镍线设置镀镍槽40个，每条盖帽镀镍线设置镀镍槽10个，单个槽有效容积2.43m</w:t>
      </w:r>
      <w:r>
        <w:rPr>
          <w:rFonts w:hint="eastAsia"/>
          <w:b/>
          <w:color w:val="auto"/>
          <w:kern w:val="21"/>
          <w:sz w:val="24"/>
          <w:u w:val="single"/>
          <w:vertAlign w:val="superscript"/>
          <w:lang w:val="en-US"/>
        </w:rPr>
        <w:t>3</w:t>
      </w:r>
      <w:r>
        <w:rPr>
          <w:rFonts w:hint="eastAsia"/>
          <w:b/>
          <w:color w:val="auto"/>
          <w:kern w:val="21"/>
          <w:sz w:val="24"/>
          <w:u w:val="single"/>
          <w:lang w:val="en-US"/>
        </w:rPr>
        <w:t xml:space="preserve"> ，则项目镀镍槽液总容积656.1m</w:t>
      </w:r>
      <w:r>
        <w:rPr>
          <w:rFonts w:hint="eastAsia"/>
          <w:b/>
          <w:color w:val="auto"/>
          <w:kern w:val="21"/>
          <w:sz w:val="24"/>
          <w:u w:val="single"/>
          <w:vertAlign w:val="superscript"/>
          <w:lang w:val="en-US"/>
        </w:rPr>
        <w:t>3</w:t>
      </w:r>
      <w:r>
        <w:rPr>
          <w:rFonts w:hint="eastAsia"/>
          <w:b/>
          <w:color w:val="auto"/>
          <w:kern w:val="21"/>
          <w:sz w:val="24"/>
          <w:u w:val="single"/>
          <w:vertAlign w:val="baseline"/>
          <w:lang w:val="en-US" w:eastAsia="zh-CN"/>
        </w:rPr>
        <w:t>，约合656.1t</w:t>
      </w:r>
      <w:r>
        <w:rPr>
          <w:rFonts w:hint="eastAsia"/>
          <w:b/>
          <w:color w:val="auto"/>
          <w:kern w:val="21"/>
          <w:sz w:val="24"/>
          <w:u w:val="single"/>
          <w:lang w:val="en-US"/>
        </w:rPr>
        <w:t>。</w:t>
      </w:r>
      <w:r>
        <w:rPr>
          <w:color w:val="auto"/>
          <w:kern w:val="21"/>
          <w:sz w:val="24"/>
        </w:rPr>
        <w:t>根据《国家危险废物名录》</w:t>
      </w:r>
      <w:r>
        <w:rPr>
          <w:color w:val="auto"/>
          <w:kern w:val="21"/>
          <w:sz w:val="24"/>
          <w:szCs w:val="22"/>
          <w:lang w:val="en-US"/>
        </w:rPr>
        <w:t>（20</w:t>
      </w:r>
      <w:r>
        <w:rPr>
          <w:rFonts w:hint="eastAsia"/>
          <w:color w:val="auto"/>
          <w:kern w:val="21"/>
          <w:sz w:val="24"/>
          <w:szCs w:val="22"/>
          <w:lang w:val="en-US"/>
        </w:rPr>
        <w:t>21</w:t>
      </w:r>
      <w:r>
        <w:rPr>
          <w:color w:val="auto"/>
          <w:kern w:val="21"/>
          <w:sz w:val="24"/>
          <w:szCs w:val="22"/>
          <w:lang w:val="en-US"/>
        </w:rPr>
        <w:t>年本）</w:t>
      </w:r>
      <w:r>
        <w:rPr>
          <w:color w:val="auto"/>
          <w:kern w:val="21"/>
          <w:sz w:val="24"/>
        </w:rPr>
        <w:t>，镀镍槽液属于危险废物HW17表面处理废物</w:t>
      </w:r>
      <w:r>
        <w:rPr>
          <w:rFonts w:hint="eastAsia"/>
          <w:color w:val="auto"/>
          <w:kern w:val="21"/>
          <w:sz w:val="24"/>
        </w:rPr>
        <w:t>，</w:t>
      </w:r>
      <w:r>
        <w:rPr>
          <w:rFonts w:hint="eastAsia"/>
          <w:color w:val="auto"/>
          <w:kern w:val="21"/>
          <w:sz w:val="24"/>
          <w:lang w:val="en-US"/>
        </w:rPr>
        <w:t>废物代码336-054-17。镀液更换时，危废处理单位派遣危废</w:t>
      </w:r>
      <w:r>
        <w:rPr>
          <w:rFonts w:hint="eastAsia"/>
          <w:color w:val="auto"/>
          <w:kern w:val="21"/>
          <w:sz w:val="24"/>
          <w:lang w:val="en-US" w:eastAsia="zh-CN"/>
        </w:rPr>
        <w:t>转运</w:t>
      </w:r>
      <w:r>
        <w:rPr>
          <w:rFonts w:hint="eastAsia"/>
          <w:color w:val="auto"/>
          <w:kern w:val="21"/>
          <w:sz w:val="24"/>
          <w:lang w:val="en-US"/>
        </w:rPr>
        <w:t>罐车至厂内，将槽液用泵抽至封闭罐车后，直接拉走，不在厂区暂存。</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（2）镀锌槽液</w:t>
      </w:r>
    </w:p>
    <w:p>
      <w:pPr>
        <w:pStyle w:val="32"/>
        <w:adjustRightInd w:val="0"/>
        <w:snapToGrid w:val="0"/>
        <w:spacing w:after="0" w:line="360" w:lineRule="auto"/>
        <w:ind w:firstLine="482" w:firstLineChars="200"/>
        <w:rPr>
          <w:color w:val="auto"/>
          <w:kern w:val="21"/>
          <w:sz w:val="24"/>
        </w:rPr>
      </w:pPr>
      <w:r>
        <w:rPr>
          <w:rFonts w:hint="eastAsia"/>
          <w:b/>
          <w:color w:val="auto"/>
          <w:kern w:val="21"/>
          <w:sz w:val="24"/>
          <w:u w:val="single"/>
          <w:lang w:val="en-US"/>
        </w:rPr>
        <w:t>镀锌槽液日常生产过程</w:t>
      </w:r>
      <w:r>
        <w:rPr>
          <w:rFonts w:hint="eastAsia"/>
          <w:b/>
          <w:color w:val="auto"/>
          <w:kern w:val="21"/>
          <w:sz w:val="24"/>
          <w:u w:val="single"/>
          <w:lang w:val="en-US" w:eastAsia="zh-CN"/>
        </w:rPr>
        <w:t>中</w:t>
      </w:r>
      <w:r>
        <w:rPr>
          <w:rFonts w:hint="eastAsia"/>
          <w:b/>
          <w:color w:val="auto"/>
          <w:kern w:val="21"/>
          <w:sz w:val="24"/>
          <w:u w:val="single"/>
          <w:lang w:val="en-US"/>
        </w:rPr>
        <w:t>循环过滤使用不排放，但长时间使用后会出现槽液老化，影响使用效果，需进行整体更换。镀槽槽液平均每5年更换一次，根据表3.2-4，本项目设置1条电池箱镀锌线，设置镀锌槽2个，单个槽有效容积10.71m</w:t>
      </w:r>
      <w:r>
        <w:rPr>
          <w:rFonts w:hint="eastAsia"/>
          <w:b/>
          <w:color w:val="auto"/>
          <w:kern w:val="21"/>
          <w:sz w:val="24"/>
          <w:u w:val="single"/>
          <w:vertAlign w:val="superscript"/>
          <w:lang w:val="en-US"/>
        </w:rPr>
        <w:t>3</w:t>
      </w:r>
      <w:r>
        <w:rPr>
          <w:rFonts w:hint="eastAsia"/>
          <w:b/>
          <w:color w:val="auto"/>
          <w:kern w:val="21"/>
          <w:sz w:val="24"/>
          <w:u w:val="single"/>
          <w:vertAlign w:val="baseline"/>
          <w:lang w:val="en-US" w:eastAsia="zh-CN"/>
        </w:rPr>
        <w:t>，则</w:t>
      </w:r>
      <w:r>
        <w:rPr>
          <w:rFonts w:hint="eastAsia"/>
          <w:b/>
          <w:color w:val="auto"/>
          <w:kern w:val="21"/>
          <w:sz w:val="24"/>
          <w:u w:val="single"/>
          <w:lang w:val="en-US"/>
        </w:rPr>
        <w:t>项目镀锌槽液总容积21.42m</w:t>
      </w:r>
      <w:r>
        <w:rPr>
          <w:rFonts w:hint="eastAsia"/>
          <w:b/>
          <w:color w:val="auto"/>
          <w:kern w:val="21"/>
          <w:sz w:val="24"/>
          <w:u w:val="single"/>
          <w:vertAlign w:val="superscript"/>
          <w:lang w:val="en-US"/>
        </w:rPr>
        <w:t>3</w:t>
      </w:r>
      <w:r>
        <w:rPr>
          <w:rFonts w:hint="eastAsia"/>
          <w:b/>
          <w:color w:val="auto"/>
          <w:kern w:val="21"/>
          <w:sz w:val="24"/>
          <w:u w:val="single"/>
          <w:vertAlign w:val="baseline"/>
          <w:lang w:val="en-US" w:eastAsia="zh-CN"/>
        </w:rPr>
        <w:t>，约合21.42t。</w:t>
      </w:r>
      <w:r>
        <w:rPr>
          <w:color w:val="auto"/>
          <w:kern w:val="21"/>
          <w:sz w:val="24"/>
        </w:rPr>
        <w:t>根据《国家危险废物名录》</w:t>
      </w:r>
      <w:r>
        <w:rPr>
          <w:color w:val="auto"/>
          <w:kern w:val="21"/>
          <w:sz w:val="24"/>
          <w:szCs w:val="22"/>
          <w:lang w:val="en-US"/>
        </w:rPr>
        <w:t>（20</w:t>
      </w:r>
      <w:r>
        <w:rPr>
          <w:rFonts w:hint="eastAsia"/>
          <w:color w:val="auto"/>
          <w:kern w:val="21"/>
          <w:sz w:val="24"/>
          <w:szCs w:val="22"/>
          <w:lang w:val="en-US"/>
        </w:rPr>
        <w:t>21</w:t>
      </w:r>
      <w:r>
        <w:rPr>
          <w:color w:val="auto"/>
          <w:kern w:val="21"/>
          <w:sz w:val="24"/>
          <w:szCs w:val="22"/>
          <w:lang w:val="en-US"/>
        </w:rPr>
        <w:t>年本）</w:t>
      </w:r>
      <w:r>
        <w:rPr>
          <w:color w:val="auto"/>
          <w:kern w:val="21"/>
          <w:sz w:val="24"/>
        </w:rPr>
        <w:t>，</w:t>
      </w:r>
      <w:r>
        <w:rPr>
          <w:rFonts w:hint="eastAsia"/>
          <w:color w:val="auto"/>
          <w:kern w:val="21"/>
          <w:sz w:val="24"/>
          <w:lang w:val="en-US"/>
        </w:rPr>
        <w:t>镀锌槽液</w:t>
      </w:r>
      <w:r>
        <w:rPr>
          <w:color w:val="auto"/>
          <w:kern w:val="21"/>
          <w:sz w:val="24"/>
        </w:rPr>
        <w:t>属于危险废物HW17表面处理废物</w:t>
      </w:r>
      <w:r>
        <w:rPr>
          <w:rFonts w:hint="eastAsia"/>
          <w:color w:val="auto"/>
          <w:kern w:val="21"/>
          <w:sz w:val="24"/>
        </w:rPr>
        <w:t>，</w:t>
      </w:r>
      <w:r>
        <w:rPr>
          <w:rFonts w:hint="eastAsia"/>
          <w:color w:val="auto"/>
          <w:kern w:val="21"/>
          <w:sz w:val="24"/>
          <w:lang w:val="en-US"/>
        </w:rPr>
        <w:t>废物代码336-052-17。镀液更换时，危废处理单位派遣危废</w:t>
      </w:r>
      <w:r>
        <w:rPr>
          <w:rFonts w:hint="eastAsia"/>
          <w:color w:val="auto"/>
          <w:kern w:val="21"/>
          <w:sz w:val="24"/>
          <w:lang w:val="en-US" w:eastAsia="zh-CN"/>
        </w:rPr>
        <w:t>转运</w:t>
      </w:r>
      <w:r>
        <w:rPr>
          <w:rFonts w:hint="eastAsia"/>
          <w:color w:val="auto"/>
          <w:kern w:val="21"/>
          <w:sz w:val="24"/>
          <w:lang w:val="en-US"/>
        </w:rPr>
        <w:t>罐车至厂内，将槽液用泵抽至封闭罐车后，直接拉走，不在厂区暂存。</w:t>
      </w:r>
    </w:p>
    <w:p>
      <w:pPr>
        <w:pStyle w:val="32"/>
        <w:adjustRightInd w:val="0"/>
        <w:snapToGrid w:val="0"/>
        <w:spacing w:after="0" w:line="360" w:lineRule="auto"/>
        <w:ind w:firstLine="480" w:firstLineChars="200"/>
        <w:rPr>
          <w:color w:val="auto"/>
          <w:kern w:val="21"/>
          <w:sz w:val="24"/>
          <w:lang w:val="en-US"/>
        </w:rPr>
      </w:pPr>
      <w:r>
        <w:rPr>
          <w:color w:val="auto"/>
          <w:kern w:val="21"/>
          <w:sz w:val="24"/>
        </w:rPr>
        <w:t>（</w:t>
      </w:r>
      <w:r>
        <w:rPr>
          <w:rFonts w:hint="eastAsia"/>
          <w:color w:val="auto"/>
          <w:kern w:val="21"/>
          <w:sz w:val="24"/>
          <w:lang w:val="en-US"/>
        </w:rPr>
        <w:t>3</w:t>
      </w:r>
      <w:r>
        <w:rPr>
          <w:color w:val="auto"/>
          <w:kern w:val="21"/>
          <w:sz w:val="24"/>
        </w:rPr>
        <w:t>）</w:t>
      </w:r>
      <w:r>
        <w:rPr>
          <w:rFonts w:hint="eastAsia"/>
          <w:color w:val="auto"/>
          <w:kern w:val="21"/>
          <w:sz w:val="24"/>
          <w:lang w:val="en-US"/>
        </w:rPr>
        <w:t>含镍废物</w:t>
      </w:r>
    </w:p>
    <w:p>
      <w:pPr>
        <w:pStyle w:val="32"/>
        <w:adjustRightInd w:val="0"/>
        <w:snapToGrid w:val="0"/>
        <w:spacing w:after="0" w:line="360" w:lineRule="auto"/>
        <w:ind w:firstLine="482" w:firstLineChars="200"/>
        <w:rPr>
          <w:color w:val="auto"/>
          <w:kern w:val="21"/>
          <w:sz w:val="24"/>
          <w:highlight w:val="none"/>
        </w:rPr>
      </w:pPr>
      <w:r>
        <w:rPr>
          <w:b/>
          <w:color w:val="auto"/>
          <w:kern w:val="21"/>
          <w:sz w:val="24"/>
          <w:u w:val="single"/>
        </w:rPr>
        <w:t>镀镍槽液经过滤</w:t>
      </w:r>
      <w:r>
        <w:rPr>
          <w:rFonts w:hint="eastAsia"/>
          <w:b/>
          <w:color w:val="auto"/>
          <w:kern w:val="21"/>
          <w:sz w:val="24"/>
          <w:u w:val="single"/>
          <w:lang w:val="en-US"/>
        </w:rPr>
        <w:t>系统过滤后循环使用，过滤系统会</w:t>
      </w:r>
      <w:r>
        <w:rPr>
          <w:b/>
          <w:color w:val="auto"/>
          <w:kern w:val="21"/>
          <w:sz w:val="24"/>
          <w:u w:val="single"/>
        </w:rPr>
        <w:t>产生</w:t>
      </w:r>
      <w:r>
        <w:rPr>
          <w:rFonts w:hint="eastAsia"/>
          <w:b/>
          <w:color w:val="auto"/>
          <w:kern w:val="21"/>
          <w:sz w:val="24"/>
          <w:u w:val="single"/>
          <w:lang w:val="en-US"/>
        </w:rPr>
        <w:t>含镍</w:t>
      </w:r>
      <w:r>
        <w:rPr>
          <w:b/>
          <w:color w:val="auto"/>
          <w:kern w:val="21"/>
          <w:sz w:val="24"/>
          <w:u w:val="single"/>
        </w:rPr>
        <w:t>滤渣</w:t>
      </w:r>
      <w:r>
        <w:rPr>
          <w:rFonts w:hint="eastAsia"/>
          <w:b/>
          <w:color w:val="auto"/>
          <w:kern w:val="21"/>
          <w:sz w:val="24"/>
          <w:u w:val="single"/>
        </w:rPr>
        <w:t>、</w:t>
      </w:r>
      <w:r>
        <w:rPr>
          <w:rFonts w:hint="eastAsia"/>
          <w:b/>
          <w:color w:val="auto"/>
          <w:kern w:val="21"/>
          <w:sz w:val="24"/>
          <w:u w:val="single"/>
          <w:lang w:val="en-US"/>
        </w:rPr>
        <w:t>废滤芯</w:t>
      </w:r>
      <w:r>
        <w:rPr>
          <w:b/>
          <w:color w:val="auto"/>
          <w:kern w:val="21"/>
          <w:sz w:val="24"/>
          <w:u w:val="single"/>
        </w:rPr>
        <w:t>，根据物料平衡，项目</w:t>
      </w:r>
      <w:r>
        <w:rPr>
          <w:rFonts w:hint="eastAsia"/>
          <w:b/>
          <w:color w:val="auto"/>
          <w:kern w:val="21"/>
          <w:sz w:val="24"/>
          <w:u w:val="single"/>
          <w:lang w:val="en-US"/>
        </w:rPr>
        <w:t>含镍</w:t>
      </w:r>
      <w:r>
        <w:rPr>
          <w:b/>
          <w:color w:val="auto"/>
          <w:kern w:val="21"/>
          <w:sz w:val="24"/>
          <w:u w:val="single"/>
        </w:rPr>
        <w:t>滤渣</w:t>
      </w:r>
      <w:r>
        <w:rPr>
          <w:rFonts w:hint="eastAsia"/>
          <w:b/>
          <w:color w:val="auto"/>
          <w:kern w:val="21"/>
          <w:sz w:val="24"/>
          <w:u w:val="single"/>
        </w:rPr>
        <w:t>、</w:t>
      </w:r>
      <w:r>
        <w:rPr>
          <w:rFonts w:hint="eastAsia"/>
          <w:b/>
          <w:color w:val="auto"/>
          <w:kern w:val="21"/>
          <w:sz w:val="24"/>
          <w:u w:val="single"/>
          <w:lang w:val="en-US"/>
        </w:rPr>
        <w:t>废滤芯中带出的含镍量为1.423t/a，加之滤芯本身重量，则</w:t>
      </w:r>
      <w:r>
        <w:rPr>
          <w:b/>
          <w:color w:val="auto"/>
          <w:kern w:val="21"/>
          <w:sz w:val="24"/>
          <w:u w:val="single"/>
        </w:rPr>
        <w:t>产生量约</w:t>
      </w:r>
      <w:r>
        <w:rPr>
          <w:b/>
          <w:color w:val="auto"/>
          <w:kern w:val="21"/>
          <w:sz w:val="24"/>
          <w:highlight w:val="none"/>
          <w:u w:val="single"/>
        </w:rPr>
        <w:t>为</w:t>
      </w:r>
      <w:r>
        <w:rPr>
          <w:rFonts w:hint="eastAsia"/>
          <w:b/>
          <w:color w:val="auto"/>
          <w:kern w:val="21"/>
          <w:sz w:val="24"/>
          <w:highlight w:val="none"/>
          <w:u w:val="single"/>
          <w:lang w:val="en-US"/>
        </w:rPr>
        <w:t>5.751</w:t>
      </w:r>
      <w:r>
        <w:rPr>
          <w:b/>
          <w:color w:val="auto"/>
          <w:kern w:val="21"/>
          <w:sz w:val="24"/>
          <w:highlight w:val="none"/>
          <w:u w:val="single"/>
        </w:rPr>
        <w:t>t/a；混凝沉淀产生的絮状物和钒花沉淀称为含镍污泥，</w:t>
      </w:r>
      <w:r>
        <w:rPr>
          <w:rFonts w:hint="eastAsia"/>
          <w:b/>
          <w:color w:val="auto"/>
          <w:kern w:val="21"/>
          <w:sz w:val="24"/>
          <w:highlight w:val="none"/>
          <w:u w:val="single"/>
          <w:lang w:val="en-US"/>
        </w:rPr>
        <w:t>含镍污泥经高压隔膜压滤机压滤后</w:t>
      </w:r>
      <w:r>
        <w:rPr>
          <w:b/>
          <w:color w:val="auto"/>
          <w:kern w:val="21"/>
          <w:sz w:val="24"/>
          <w:highlight w:val="none"/>
          <w:u w:val="single"/>
        </w:rPr>
        <w:t>含水率按</w:t>
      </w:r>
      <w:r>
        <w:rPr>
          <w:rFonts w:hint="eastAsia"/>
          <w:b/>
          <w:color w:val="auto"/>
          <w:kern w:val="21"/>
          <w:sz w:val="24"/>
          <w:highlight w:val="none"/>
          <w:u w:val="single"/>
        </w:rPr>
        <w:t>80%计，则</w:t>
      </w:r>
      <w:r>
        <w:rPr>
          <w:b/>
          <w:color w:val="auto"/>
          <w:kern w:val="21"/>
          <w:sz w:val="24"/>
          <w:highlight w:val="none"/>
          <w:u w:val="single"/>
        </w:rPr>
        <w:t>产生量为</w:t>
      </w:r>
      <w:r>
        <w:rPr>
          <w:rFonts w:hint="eastAsia"/>
          <w:b/>
          <w:color w:val="auto"/>
          <w:kern w:val="21"/>
          <w:sz w:val="24"/>
          <w:highlight w:val="none"/>
          <w:u w:val="single"/>
        </w:rPr>
        <w:t>39.88t/a；</w:t>
      </w:r>
      <w:r>
        <w:rPr>
          <w:b/>
          <w:color w:val="auto"/>
          <w:kern w:val="21"/>
          <w:sz w:val="24"/>
          <w:highlight w:val="none"/>
          <w:u w:val="single"/>
        </w:rPr>
        <w:t>含镍废水处理系统中最终蒸发结晶产生的结晶盐为含镍废物</w:t>
      </w:r>
      <w:r>
        <w:rPr>
          <w:rFonts w:hint="eastAsia"/>
          <w:b/>
          <w:color w:val="auto"/>
          <w:kern w:val="21"/>
          <w:sz w:val="24"/>
          <w:highlight w:val="none"/>
          <w:u w:val="single"/>
        </w:rPr>
        <w:t>，</w:t>
      </w:r>
      <w:r>
        <w:rPr>
          <w:rFonts w:hint="eastAsia"/>
          <w:b/>
          <w:color w:val="auto"/>
          <w:kern w:val="21"/>
          <w:sz w:val="24"/>
          <w:highlight w:val="none"/>
          <w:u w:val="single"/>
          <w:lang w:val="en-US" w:eastAsia="zh-CN"/>
        </w:rPr>
        <w:t>根据元素</w:t>
      </w:r>
      <w:r>
        <w:rPr>
          <w:rFonts w:hint="eastAsia"/>
          <w:b/>
          <w:color w:val="auto"/>
          <w:kern w:val="21"/>
          <w:sz w:val="24"/>
          <w:highlight w:val="none"/>
          <w:u w:val="single"/>
        </w:rPr>
        <w:t>平衡</w:t>
      </w:r>
      <w:r>
        <w:rPr>
          <w:rFonts w:hint="eastAsia"/>
          <w:b/>
          <w:color w:val="auto"/>
          <w:kern w:val="21"/>
          <w:sz w:val="24"/>
          <w:highlight w:val="none"/>
          <w:u w:val="single"/>
          <w:lang w:val="en-US" w:eastAsia="zh-CN"/>
        </w:rPr>
        <w:t>结晶盐中含镍</w:t>
      </w:r>
      <w:r>
        <w:rPr>
          <w:rFonts w:hint="eastAsia"/>
          <w:b/>
          <w:color w:val="auto"/>
          <w:kern w:val="21"/>
          <w:sz w:val="24"/>
          <w:highlight w:val="none"/>
          <w:u w:val="single"/>
          <w:lang w:eastAsia="zh-CN"/>
        </w:rPr>
        <w:t>（</w:t>
      </w:r>
      <w:r>
        <w:rPr>
          <w:rFonts w:hint="eastAsia"/>
          <w:b/>
          <w:color w:val="auto"/>
          <w:kern w:val="21"/>
          <w:sz w:val="24"/>
          <w:highlight w:val="none"/>
          <w:u w:val="single"/>
          <w:lang w:val="en-US" w:eastAsia="zh-CN"/>
        </w:rPr>
        <w:t>2.047t/a</w:t>
      </w:r>
      <w:r>
        <w:rPr>
          <w:rFonts w:hint="eastAsia"/>
          <w:b/>
          <w:color w:val="auto"/>
          <w:kern w:val="21"/>
          <w:sz w:val="24"/>
          <w:highlight w:val="none"/>
          <w:u w:val="single"/>
          <w:lang w:eastAsia="zh-CN"/>
        </w:rPr>
        <w:t>）</w:t>
      </w:r>
      <w:r>
        <w:rPr>
          <w:rFonts w:hint="eastAsia"/>
          <w:b/>
          <w:color w:val="auto"/>
          <w:kern w:val="21"/>
          <w:sz w:val="24"/>
          <w:highlight w:val="none"/>
          <w:u w:val="single"/>
        </w:rPr>
        <w:t>及水平衡中结晶</w:t>
      </w:r>
      <w:r>
        <w:rPr>
          <w:rFonts w:hint="eastAsia"/>
          <w:b/>
          <w:color w:val="auto"/>
          <w:kern w:val="21"/>
          <w:sz w:val="24"/>
          <w:highlight w:val="none"/>
          <w:u w:val="single"/>
          <w:lang w:val="en-US" w:eastAsia="zh-CN"/>
        </w:rPr>
        <w:t>盐</w:t>
      </w:r>
      <w:r>
        <w:rPr>
          <w:rFonts w:hint="eastAsia"/>
          <w:b/>
          <w:color w:val="auto"/>
          <w:kern w:val="21"/>
          <w:sz w:val="24"/>
          <w:highlight w:val="none"/>
          <w:u w:val="single"/>
        </w:rPr>
        <w:t>含水量</w:t>
      </w:r>
      <w:r>
        <w:rPr>
          <w:rFonts w:hint="eastAsia"/>
          <w:b/>
          <w:color w:val="auto"/>
          <w:kern w:val="21"/>
          <w:sz w:val="24"/>
          <w:highlight w:val="none"/>
          <w:u w:val="single"/>
          <w:lang w:eastAsia="zh-CN"/>
        </w:rPr>
        <w:t>（</w:t>
      </w:r>
      <w:r>
        <w:rPr>
          <w:rFonts w:hint="eastAsia"/>
          <w:b/>
          <w:color w:val="auto"/>
          <w:kern w:val="21"/>
          <w:sz w:val="24"/>
          <w:highlight w:val="none"/>
          <w:u w:val="single"/>
          <w:lang w:val="en-US" w:eastAsia="zh-CN"/>
        </w:rPr>
        <w:t>2.212t/a</w:t>
      </w:r>
      <w:r>
        <w:rPr>
          <w:rFonts w:hint="eastAsia"/>
          <w:b/>
          <w:color w:val="auto"/>
          <w:kern w:val="21"/>
          <w:sz w:val="24"/>
          <w:highlight w:val="none"/>
          <w:u w:val="single"/>
          <w:lang w:eastAsia="zh-CN"/>
        </w:rPr>
        <w:t>）</w:t>
      </w:r>
      <w:r>
        <w:rPr>
          <w:rFonts w:hint="eastAsia"/>
          <w:b/>
          <w:color w:val="auto"/>
          <w:kern w:val="21"/>
          <w:sz w:val="24"/>
          <w:highlight w:val="none"/>
          <w:u w:val="single"/>
        </w:rPr>
        <w:t>，则</w:t>
      </w:r>
      <w:r>
        <w:rPr>
          <w:rFonts w:hint="eastAsia"/>
          <w:b/>
          <w:color w:val="auto"/>
          <w:kern w:val="21"/>
          <w:sz w:val="24"/>
          <w:highlight w:val="none"/>
          <w:u w:val="single"/>
          <w:lang w:val="en-US" w:eastAsia="zh-CN"/>
        </w:rPr>
        <w:t>含镍</w:t>
      </w:r>
      <w:r>
        <w:rPr>
          <w:rFonts w:hint="eastAsia"/>
          <w:b/>
          <w:color w:val="auto"/>
          <w:kern w:val="21"/>
          <w:sz w:val="24"/>
          <w:highlight w:val="none"/>
          <w:u w:val="single"/>
        </w:rPr>
        <w:t>结晶盐</w:t>
      </w:r>
      <w:r>
        <w:rPr>
          <w:b/>
          <w:color w:val="auto"/>
          <w:kern w:val="21"/>
          <w:sz w:val="24"/>
          <w:highlight w:val="none"/>
          <w:u w:val="single"/>
        </w:rPr>
        <w:t>产生量为</w:t>
      </w:r>
      <w:r>
        <w:rPr>
          <w:rFonts w:hint="eastAsia"/>
          <w:b/>
          <w:color w:val="auto"/>
          <w:kern w:val="21"/>
          <w:sz w:val="24"/>
          <w:highlight w:val="none"/>
          <w:u w:val="single"/>
        </w:rPr>
        <w:t>4.259t/a。</w:t>
      </w:r>
      <w:r>
        <w:rPr>
          <w:color w:val="auto"/>
          <w:kern w:val="21"/>
          <w:sz w:val="24"/>
          <w:highlight w:val="none"/>
        </w:rPr>
        <w:t>根据《国家危险废物名录》</w:t>
      </w:r>
      <w:r>
        <w:rPr>
          <w:color w:val="auto"/>
          <w:kern w:val="21"/>
          <w:sz w:val="24"/>
          <w:szCs w:val="22"/>
          <w:highlight w:val="none"/>
          <w:lang w:val="en-US"/>
        </w:rPr>
        <w:t>（20</w:t>
      </w:r>
      <w:r>
        <w:rPr>
          <w:rFonts w:hint="eastAsia"/>
          <w:color w:val="auto"/>
          <w:kern w:val="21"/>
          <w:sz w:val="24"/>
          <w:szCs w:val="22"/>
          <w:highlight w:val="none"/>
          <w:lang w:val="en-US"/>
        </w:rPr>
        <w:t>21</w:t>
      </w:r>
      <w:r>
        <w:rPr>
          <w:color w:val="auto"/>
          <w:kern w:val="21"/>
          <w:sz w:val="24"/>
          <w:szCs w:val="22"/>
          <w:highlight w:val="none"/>
          <w:lang w:val="en-US"/>
        </w:rPr>
        <w:t>年本）</w:t>
      </w:r>
      <w:r>
        <w:rPr>
          <w:color w:val="auto"/>
          <w:kern w:val="21"/>
          <w:sz w:val="24"/>
          <w:highlight w:val="none"/>
        </w:rPr>
        <w:t>，该类固废属于危险废物HW17表面处理废物</w:t>
      </w:r>
      <w:r>
        <w:rPr>
          <w:rFonts w:hint="eastAsia"/>
          <w:color w:val="auto"/>
          <w:kern w:val="21"/>
          <w:sz w:val="24"/>
          <w:highlight w:val="none"/>
        </w:rPr>
        <w:t>，</w:t>
      </w:r>
      <w:r>
        <w:rPr>
          <w:rFonts w:hint="eastAsia"/>
          <w:color w:val="auto"/>
          <w:kern w:val="21"/>
          <w:sz w:val="24"/>
          <w:highlight w:val="none"/>
          <w:lang w:val="en-US"/>
        </w:rPr>
        <w:t>废物代码336-054-17</w:t>
      </w:r>
      <w:r>
        <w:rPr>
          <w:rFonts w:hint="eastAsia"/>
          <w:color w:val="auto"/>
          <w:kern w:val="21"/>
          <w:sz w:val="24"/>
          <w:highlight w:val="none"/>
        </w:rPr>
        <w:t>。</w:t>
      </w:r>
      <w:r>
        <w:rPr>
          <w:rFonts w:hint="eastAsia"/>
          <w:color w:val="auto"/>
          <w:kern w:val="21"/>
          <w:sz w:val="24"/>
          <w:highlight w:val="none"/>
          <w:lang w:val="en-US"/>
        </w:rPr>
        <w:t>含镍危废由铁桶收集后，在</w:t>
      </w:r>
      <w:r>
        <w:rPr>
          <w:color w:val="auto"/>
          <w:kern w:val="21"/>
          <w:sz w:val="24"/>
          <w:highlight w:val="none"/>
        </w:rPr>
        <w:t>厂区北侧危废暂存间</w:t>
      </w:r>
      <w:r>
        <w:rPr>
          <w:rFonts w:hint="eastAsia"/>
          <w:color w:val="auto"/>
          <w:kern w:val="21"/>
          <w:sz w:val="24"/>
          <w:highlight w:val="none"/>
          <w:lang w:val="en-US"/>
        </w:rPr>
        <w:t>暂存</w:t>
      </w:r>
      <w:r>
        <w:rPr>
          <w:color w:val="auto"/>
          <w:kern w:val="21"/>
          <w:sz w:val="24"/>
          <w:highlight w:val="none"/>
        </w:rPr>
        <w:t>，交由有资质单位安全处理。</w:t>
      </w:r>
    </w:p>
    <w:p>
      <w:pPr>
        <w:pStyle w:val="32"/>
        <w:adjustRightInd w:val="0"/>
        <w:snapToGrid w:val="0"/>
        <w:spacing w:after="0" w:line="360" w:lineRule="auto"/>
        <w:ind w:firstLine="480" w:firstLineChars="200"/>
        <w:rPr>
          <w:color w:val="auto"/>
          <w:kern w:val="21"/>
          <w:sz w:val="24"/>
          <w:highlight w:val="none"/>
          <w:lang w:val="en-US"/>
        </w:rPr>
      </w:pPr>
      <w:r>
        <w:rPr>
          <w:color w:val="auto"/>
          <w:kern w:val="21"/>
          <w:sz w:val="24"/>
          <w:highlight w:val="none"/>
        </w:rPr>
        <w:t>（</w:t>
      </w:r>
      <w:r>
        <w:rPr>
          <w:rFonts w:hint="eastAsia"/>
          <w:color w:val="auto"/>
          <w:kern w:val="21"/>
          <w:sz w:val="24"/>
          <w:highlight w:val="none"/>
          <w:lang w:val="en-US"/>
        </w:rPr>
        <w:t>3</w:t>
      </w:r>
      <w:r>
        <w:rPr>
          <w:color w:val="auto"/>
          <w:kern w:val="21"/>
          <w:sz w:val="24"/>
          <w:highlight w:val="none"/>
        </w:rPr>
        <w:t>）</w:t>
      </w:r>
      <w:r>
        <w:rPr>
          <w:rFonts w:hint="eastAsia"/>
          <w:color w:val="auto"/>
          <w:kern w:val="21"/>
          <w:sz w:val="24"/>
          <w:highlight w:val="none"/>
          <w:lang w:val="en-US"/>
        </w:rPr>
        <w:t>含锌废物</w:t>
      </w:r>
    </w:p>
    <w:p>
      <w:pPr>
        <w:pStyle w:val="32"/>
        <w:adjustRightInd w:val="0"/>
        <w:snapToGrid w:val="0"/>
        <w:spacing w:after="0" w:line="360" w:lineRule="auto"/>
        <w:ind w:firstLine="482" w:firstLineChars="200"/>
        <w:rPr>
          <w:b/>
          <w:color w:val="auto"/>
          <w:kern w:val="21"/>
          <w:sz w:val="24"/>
          <w:highlight w:val="none"/>
        </w:rPr>
      </w:pPr>
      <w:r>
        <w:rPr>
          <w:b/>
          <w:color w:val="auto"/>
          <w:kern w:val="21"/>
          <w:sz w:val="24"/>
          <w:highlight w:val="none"/>
          <w:u w:val="single"/>
        </w:rPr>
        <w:t>镀锌槽液经过滤</w:t>
      </w:r>
      <w:r>
        <w:rPr>
          <w:rFonts w:hint="eastAsia"/>
          <w:b/>
          <w:color w:val="auto"/>
          <w:kern w:val="21"/>
          <w:sz w:val="24"/>
          <w:highlight w:val="none"/>
          <w:u w:val="single"/>
          <w:lang w:val="en-US"/>
        </w:rPr>
        <w:t>系统过滤后循环使用，过滤系统会</w:t>
      </w:r>
      <w:r>
        <w:rPr>
          <w:b/>
          <w:color w:val="auto"/>
          <w:kern w:val="21"/>
          <w:sz w:val="24"/>
          <w:highlight w:val="none"/>
          <w:u w:val="single"/>
        </w:rPr>
        <w:t>产生</w:t>
      </w:r>
      <w:r>
        <w:rPr>
          <w:rFonts w:hint="eastAsia"/>
          <w:b/>
          <w:color w:val="auto"/>
          <w:kern w:val="21"/>
          <w:sz w:val="24"/>
          <w:highlight w:val="none"/>
          <w:u w:val="single"/>
          <w:lang w:val="en-US"/>
        </w:rPr>
        <w:t>含锌</w:t>
      </w:r>
      <w:r>
        <w:rPr>
          <w:b/>
          <w:color w:val="auto"/>
          <w:kern w:val="21"/>
          <w:sz w:val="24"/>
          <w:highlight w:val="none"/>
          <w:u w:val="single"/>
        </w:rPr>
        <w:t>滤渣</w:t>
      </w:r>
      <w:r>
        <w:rPr>
          <w:rFonts w:hint="eastAsia"/>
          <w:b/>
          <w:color w:val="auto"/>
          <w:kern w:val="21"/>
          <w:sz w:val="24"/>
          <w:highlight w:val="none"/>
          <w:u w:val="single"/>
        </w:rPr>
        <w:t>、</w:t>
      </w:r>
      <w:r>
        <w:rPr>
          <w:rFonts w:hint="eastAsia"/>
          <w:b/>
          <w:color w:val="auto"/>
          <w:kern w:val="21"/>
          <w:sz w:val="24"/>
          <w:highlight w:val="none"/>
          <w:u w:val="single"/>
          <w:lang w:val="en-US"/>
        </w:rPr>
        <w:t>废滤芯</w:t>
      </w:r>
      <w:r>
        <w:rPr>
          <w:b/>
          <w:color w:val="auto"/>
          <w:kern w:val="21"/>
          <w:sz w:val="24"/>
          <w:highlight w:val="none"/>
          <w:u w:val="single"/>
        </w:rPr>
        <w:t>，根据物料平衡，项目</w:t>
      </w:r>
      <w:r>
        <w:rPr>
          <w:rFonts w:hint="eastAsia"/>
          <w:b/>
          <w:color w:val="auto"/>
          <w:kern w:val="21"/>
          <w:sz w:val="24"/>
          <w:highlight w:val="none"/>
          <w:u w:val="single"/>
          <w:lang w:val="en-US"/>
        </w:rPr>
        <w:t>含锌</w:t>
      </w:r>
      <w:r>
        <w:rPr>
          <w:b/>
          <w:color w:val="auto"/>
          <w:kern w:val="21"/>
          <w:sz w:val="24"/>
          <w:highlight w:val="none"/>
          <w:u w:val="single"/>
        </w:rPr>
        <w:t>滤渣</w:t>
      </w:r>
      <w:r>
        <w:rPr>
          <w:rFonts w:hint="eastAsia"/>
          <w:b/>
          <w:color w:val="auto"/>
          <w:kern w:val="21"/>
          <w:sz w:val="24"/>
          <w:highlight w:val="none"/>
          <w:u w:val="single"/>
        </w:rPr>
        <w:t>、</w:t>
      </w:r>
      <w:r>
        <w:rPr>
          <w:rFonts w:hint="eastAsia"/>
          <w:b/>
          <w:color w:val="auto"/>
          <w:kern w:val="21"/>
          <w:sz w:val="24"/>
          <w:highlight w:val="none"/>
          <w:u w:val="single"/>
          <w:lang w:val="en-US"/>
        </w:rPr>
        <w:t>废滤芯中带出的含锌量为0.0656t/a，加之滤芯本身重量，则</w:t>
      </w:r>
      <w:r>
        <w:rPr>
          <w:b/>
          <w:color w:val="auto"/>
          <w:kern w:val="21"/>
          <w:sz w:val="24"/>
          <w:highlight w:val="none"/>
          <w:u w:val="single"/>
        </w:rPr>
        <w:t>产生量约为</w:t>
      </w:r>
      <w:r>
        <w:rPr>
          <w:rFonts w:hint="eastAsia"/>
          <w:b/>
          <w:color w:val="auto"/>
          <w:kern w:val="21"/>
          <w:sz w:val="24"/>
          <w:highlight w:val="none"/>
          <w:u w:val="single"/>
          <w:lang w:val="en-US"/>
        </w:rPr>
        <w:t>0.261</w:t>
      </w:r>
      <w:r>
        <w:rPr>
          <w:b/>
          <w:color w:val="auto"/>
          <w:kern w:val="21"/>
          <w:sz w:val="24"/>
          <w:highlight w:val="none"/>
          <w:u w:val="single"/>
        </w:rPr>
        <w:t>t/a；混凝沉淀产生的絮状物和沉淀称为含锌污泥，</w:t>
      </w:r>
      <w:r>
        <w:rPr>
          <w:rFonts w:hint="eastAsia"/>
          <w:b/>
          <w:color w:val="auto"/>
          <w:kern w:val="21"/>
          <w:sz w:val="24"/>
          <w:highlight w:val="none"/>
          <w:u w:val="single"/>
          <w:lang w:val="en-US"/>
        </w:rPr>
        <w:t>含锌污泥经高压隔膜压滤机压滤后</w:t>
      </w:r>
      <w:r>
        <w:rPr>
          <w:b/>
          <w:color w:val="auto"/>
          <w:kern w:val="21"/>
          <w:sz w:val="24"/>
          <w:highlight w:val="none"/>
          <w:u w:val="single"/>
        </w:rPr>
        <w:t>含水率按</w:t>
      </w:r>
      <w:r>
        <w:rPr>
          <w:rFonts w:hint="eastAsia"/>
          <w:b/>
          <w:color w:val="auto"/>
          <w:kern w:val="21"/>
          <w:sz w:val="24"/>
          <w:highlight w:val="none"/>
          <w:u w:val="single"/>
        </w:rPr>
        <w:t>80%计，</w:t>
      </w:r>
      <w:r>
        <w:rPr>
          <w:b/>
          <w:color w:val="auto"/>
          <w:kern w:val="21"/>
          <w:sz w:val="24"/>
          <w:highlight w:val="none"/>
          <w:u w:val="single"/>
        </w:rPr>
        <w:t>产生量为</w:t>
      </w:r>
      <w:r>
        <w:rPr>
          <w:rFonts w:hint="eastAsia"/>
          <w:b/>
          <w:color w:val="auto"/>
          <w:kern w:val="21"/>
          <w:sz w:val="24"/>
          <w:highlight w:val="none"/>
          <w:u w:val="single"/>
        </w:rPr>
        <w:t>2.275t/a；</w:t>
      </w:r>
      <w:r>
        <w:rPr>
          <w:b/>
          <w:color w:val="auto"/>
          <w:kern w:val="21"/>
          <w:sz w:val="24"/>
          <w:highlight w:val="none"/>
          <w:u w:val="single"/>
        </w:rPr>
        <w:t>含锌废水处理系统中最终蒸发结晶产生的结晶盐为含锌废物，</w:t>
      </w:r>
      <w:r>
        <w:rPr>
          <w:rFonts w:hint="eastAsia"/>
          <w:b/>
          <w:color w:val="auto"/>
          <w:kern w:val="21"/>
          <w:sz w:val="24"/>
          <w:highlight w:val="none"/>
          <w:u w:val="single"/>
          <w:lang w:val="en-US" w:eastAsia="zh-CN"/>
        </w:rPr>
        <w:t>根</w:t>
      </w:r>
      <w:r>
        <w:rPr>
          <w:rFonts w:hint="eastAsia"/>
          <w:b/>
          <w:color w:val="auto"/>
          <w:kern w:val="21"/>
          <w:sz w:val="24"/>
          <w:u w:val="single"/>
          <w:lang w:val="en-US" w:eastAsia="zh-CN"/>
        </w:rPr>
        <w:t>据元素</w:t>
      </w:r>
      <w:r>
        <w:rPr>
          <w:rFonts w:hint="eastAsia"/>
          <w:b/>
          <w:color w:val="auto"/>
          <w:kern w:val="21"/>
          <w:sz w:val="24"/>
          <w:u w:val="single"/>
        </w:rPr>
        <w:t>平衡</w:t>
      </w:r>
      <w:r>
        <w:rPr>
          <w:rFonts w:hint="eastAsia"/>
          <w:b/>
          <w:color w:val="auto"/>
          <w:kern w:val="21"/>
          <w:sz w:val="24"/>
          <w:u w:val="single"/>
          <w:lang w:val="en-US" w:eastAsia="zh-CN"/>
        </w:rPr>
        <w:t>结晶盐中含锌</w:t>
      </w:r>
      <w:r>
        <w:rPr>
          <w:rFonts w:hint="eastAsia"/>
          <w:b/>
          <w:color w:val="auto"/>
          <w:kern w:val="21"/>
          <w:sz w:val="24"/>
          <w:u w:val="single"/>
          <w:lang w:eastAsia="zh-CN"/>
        </w:rPr>
        <w:t>（</w:t>
      </w:r>
      <w:r>
        <w:rPr>
          <w:rFonts w:hint="eastAsia"/>
          <w:b/>
          <w:color w:val="auto"/>
          <w:kern w:val="21"/>
          <w:sz w:val="24"/>
          <w:u w:val="single"/>
          <w:lang w:val="en-US" w:eastAsia="zh-CN"/>
        </w:rPr>
        <w:t>0.017t/a</w:t>
      </w:r>
      <w:r>
        <w:rPr>
          <w:rFonts w:hint="eastAsia"/>
          <w:b/>
          <w:color w:val="auto"/>
          <w:kern w:val="21"/>
          <w:sz w:val="24"/>
          <w:u w:val="single"/>
          <w:lang w:eastAsia="zh-CN"/>
        </w:rPr>
        <w:t>）</w:t>
      </w:r>
      <w:r>
        <w:rPr>
          <w:rFonts w:hint="eastAsia"/>
          <w:b/>
          <w:color w:val="auto"/>
          <w:kern w:val="21"/>
          <w:sz w:val="24"/>
          <w:u w:val="single"/>
        </w:rPr>
        <w:t>及水平衡中结晶</w:t>
      </w:r>
      <w:r>
        <w:rPr>
          <w:rFonts w:hint="eastAsia"/>
          <w:b/>
          <w:color w:val="auto"/>
          <w:kern w:val="21"/>
          <w:sz w:val="24"/>
          <w:u w:val="single"/>
          <w:lang w:val="en-US" w:eastAsia="zh-CN"/>
        </w:rPr>
        <w:t>盐</w:t>
      </w:r>
      <w:r>
        <w:rPr>
          <w:rFonts w:hint="eastAsia"/>
          <w:b/>
          <w:color w:val="auto"/>
          <w:kern w:val="21"/>
          <w:sz w:val="24"/>
          <w:u w:val="single"/>
        </w:rPr>
        <w:t>含水量</w:t>
      </w:r>
      <w:r>
        <w:rPr>
          <w:rFonts w:hint="eastAsia"/>
          <w:b/>
          <w:color w:val="auto"/>
          <w:kern w:val="21"/>
          <w:sz w:val="24"/>
          <w:u w:val="single"/>
          <w:lang w:eastAsia="zh-CN"/>
        </w:rPr>
        <w:t>（</w:t>
      </w:r>
      <w:r>
        <w:rPr>
          <w:rFonts w:hint="eastAsia"/>
          <w:b/>
          <w:color w:val="auto"/>
          <w:kern w:val="21"/>
          <w:sz w:val="24"/>
          <w:u w:val="single"/>
          <w:lang w:val="en-US" w:eastAsia="zh-CN"/>
        </w:rPr>
        <w:t>0.018t/a</w:t>
      </w:r>
      <w:r>
        <w:rPr>
          <w:rFonts w:hint="eastAsia"/>
          <w:b/>
          <w:color w:val="auto"/>
          <w:kern w:val="21"/>
          <w:sz w:val="24"/>
          <w:u w:val="single"/>
          <w:lang w:eastAsia="zh-CN"/>
        </w:rPr>
        <w:t>）</w:t>
      </w:r>
      <w:r>
        <w:rPr>
          <w:rFonts w:hint="eastAsia"/>
          <w:b/>
          <w:color w:val="auto"/>
          <w:kern w:val="21"/>
          <w:sz w:val="24"/>
          <w:u w:val="single"/>
        </w:rPr>
        <w:t>，则</w:t>
      </w:r>
      <w:r>
        <w:rPr>
          <w:rFonts w:hint="eastAsia"/>
          <w:b/>
          <w:color w:val="auto"/>
          <w:kern w:val="21"/>
          <w:sz w:val="24"/>
          <w:u w:val="single"/>
          <w:lang w:val="en-US" w:eastAsia="zh-CN"/>
        </w:rPr>
        <w:t>含锌</w:t>
      </w:r>
      <w:r>
        <w:rPr>
          <w:rFonts w:hint="eastAsia"/>
          <w:b/>
          <w:color w:val="auto"/>
          <w:kern w:val="21"/>
          <w:sz w:val="24"/>
          <w:u w:val="single"/>
        </w:rPr>
        <w:t>结晶盐</w:t>
      </w:r>
      <w:r>
        <w:rPr>
          <w:b/>
          <w:color w:val="auto"/>
          <w:kern w:val="21"/>
          <w:sz w:val="24"/>
          <w:u w:val="single"/>
        </w:rPr>
        <w:t>产生量为</w:t>
      </w:r>
      <w:r>
        <w:rPr>
          <w:rFonts w:hint="eastAsia"/>
          <w:b/>
          <w:color w:val="auto"/>
          <w:kern w:val="21"/>
          <w:sz w:val="24"/>
          <w:highlight w:val="none"/>
          <w:u w:val="single"/>
        </w:rPr>
        <w:t>0.035t/a。</w:t>
      </w:r>
      <w:r>
        <w:rPr>
          <w:color w:val="auto"/>
          <w:kern w:val="21"/>
          <w:sz w:val="24"/>
          <w:highlight w:val="none"/>
        </w:rPr>
        <w:t>根据《国家危险废物名录》</w:t>
      </w:r>
      <w:r>
        <w:rPr>
          <w:color w:val="auto"/>
          <w:kern w:val="21"/>
          <w:sz w:val="24"/>
          <w:szCs w:val="22"/>
          <w:highlight w:val="none"/>
          <w:lang w:val="en-US"/>
        </w:rPr>
        <w:t>（20</w:t>
      </w:r>
      <w:r>
        <w:rPr>
          <w:rFonts w:hint="eastAsia"/>
          <w:color w:val="auto"/>
          <w:kern w:val="21"/>
          <w:sz w:val="24"/>
          <w:szCs w:val="22"/>
          <w:highlight w:val="none"/>
          <w:lang w:val="en-US"/>
        </w:rPr>
        <w:t>21</w:t>
      </w:r>
      <w:r>
        <w:rPr>
          <w:color w:val="auto"/>
          <w:kern w:val="21"/>
          <w:sz w:val="24"/>
          <w:szCs w:val="22"/>
          <w:highlight w:val="none"/>
          <w:lang w:val="en-US"/>
        </w:rPr>
        <w:t>年本）</w:t>
      </w:r>
      <w:r>
        <w:rPr>
          <w:color w:val="auto"/>
          <w:kern w:val="21"/>
          <w:sz w:val="24"/>
          <w:highlight w:val="none"/>
        </w:rPr>
        <w:t>，该类固废属于危险废物HW17表面处理废物</w:t>
      </w:r>
      <w:r>
        <w:rPr>
          <w:rFonts w:hint="eastAsia"/>
          <w:color w:val="auto"/>
          <w:kern w:val="21"/>
          <w:sz w:val="24"/>
          <w:highlight w:val="none"/>
        </w:rPr>
        <w:t>，</w:t>
      </w:r>
      <w:r>
        <w:rPr>
          <w:rFonts w:hint="eastAsia"/>
          <w:color w:val="auto"/>
          <w:kern w:val="21"/>
          <w:sz w:val="24"/>
          <w:highlight w:val="none"/>
          <w:lang w:val="en-US"/>
        </w:rPr>
        <w:t>废物代码336-052-17</w:t>
      </w:r>
      <w:r>
        <w:rPr>
          <w:rFonts w:hint="eastAsia"/>
          <w:color w:val="auto"/>
          <w:kern w:val="21"/>
          <w:sz w:val="24"/>
          <w:highlight w:val="none"/>
        </w:rPr>
        <w:t>。</w:t>
      </w:r>
      <w:r>
        <w:rPr>
          <w:rFonts w:hint="eastAsia"/>
          <w:color w:val="auto"/>
          <w:kern w:val="21"/>
          <w:sz w:val="24"/>
          <w:highlight w:val="none"/>
          <w:lang w:val="en-US"/>
        </w:rPr>
        <w:t>含</w:t>
      </w:r>
      <w:r>
        <w:rPr>
          <w:color w:val="auto"/>
          <w:kern w:val="21"/>
          <w:sz w:val="24"/>
          <w:highlight w:val="none"/>
        </w:rPr>
        <w:t>锌</w:t>
      </w:r>
      <w:r>
        <w:rPr>
          <w:rFonts w:hint="eastAsia"/>
          <w:color w:val="auto"/>
          <w:kern w:val="21"/>
          <w:sz w:val="24"/>
          <w:highlight w:val="none"/>
          <w:lang w:val="en-US"/>
        </w:rPr>
        <w:t>危废由铁桶收集后，在</w:t>
      </w:r>
      <w:r>
        <w:rPr>
          <w:color w:val="auto"/>
          <w:kern w:val="21"/>
          <w:sz w:val="24"/>
          <w:highlight w:val="none"/>
        </w:rPr>
        <w:t>厂区北侧危废暂存间</w:t>
      </w:r>
      <w:r>
        <w:rPr>
          <w:rFonts w:hint="eastAsia"/>
          <w:color w:val="auto"/>
          <w:kern w:val="21"/>
          <w:sz w:val="24"/>
          <w:highlight w:val="none"/>
          <w:lang w:val="en-US"/>
        </w:rPr>
        <w:t>暂存</w:t>
      </w:r>
      <w:r>
        <w:rPr>
          <w:color w:val="auto"/>
          <w:kern w:val="21"/>
          <w:sz w:val="24"/>
          <w:highlight w:val="none"/>
        </w:rPr>
        <w:t>，交由有资质单位安全处理。</w:t>
      </w:r>
    </w:p>
    <w:p>
      <w:pPr>
        <w:pStyle w:val="32"/>
        <w:adjustRightInd w:val="0"/>
        <w:snapToGrid w:val="0"/>
        <w:spacing w:after="0" w:line="360" w:lineRule="auto"/>
        <w:ind w:firstLine="480" w:firstLineChars="200"/>
        <w:rPr>
          <w:color w:val="auto"/>
          <w:kern w:val="21"/>
          <w:sz w:val="24"/>
          <w:highlight w:val="none"/>
        </w:rPr>
      </w:pPr>
      <w:r>
        <w:rPr>
          <w:color w:val="auto"/>
          <w:kern w:val="21"/>
          <w:sz w:val="24"/>
          <w:highlight w:val="none"/>
        </w:rPr>
        <w:t>（</w:t>
      </w:r>
      <w:r>
        <w:rPr>
          <w:rFonts w:hint="eastAsia"/>
          <w:color w:val="auto"/>
          <w:kern w:val="21"/>
          <w:sz w:val="24"/>
          <w:highlight w:val="none"/>
          <w:lang w:val="en-US"/>
        </w:rPr>
        <w:t>4</w:t>
      </w:r>
      <w:r>
        <w:rPr>
          <w:color w:val="auto"/>
          <w:kern w:val="21"/>
          <w:sz w:val="24"/>
          <w:highlight w:val="none"/>
        </w:rPr>
        <w:t>）</w:t>
      </w:r>
      <w:r>
        <w:rPr>
          <w:rFonts w:hint="eastAsia"/>
          <w:color w:val="auto"/>
          <w:kern w:val="21"/>
          <w:sz w:val="24"/>
          <w:highlight w:val="none"/>
          <w:lang w:val="en-US"/>
        </w:rPr>
        <w:t>含铬废物</w:t>
      </w:r>
    </w:p>
    <w:p>
      <w:pPr>
        <w:pStyle w:val="32"/>
        <w:adjustRightInd w:val="0"/>
        <w:snapToGrid w:val="0"/>
        <w:spacing w:after="0" w:line="360" w:lineRule="auto"/>
        <w:ind w:firstLine="482" w:firstLineChars="200"/>
        <w:rPr>
          <w:color w:val="auto"/>
          <w:kern w:val="21"/>
          <w:sz w:val="24"/>
          <w:u w:val="single"/>
        </w:rPr>
      </w:pPr>
      <w:r>
        <w:rPr>
          <w:rFonts w:hint="eastAsia"/>
          <w:b/>
          <w:color w:val="auto"/>
          <w:kern w:val="21"/>
          <w:sz w:val="24"/>
          <w:highlight w:val="none"/>
          <w:u w:val="single"/>
          <w:lang w:val="en-US"/>
        </w:rPr>
        <w:t>本项目钝化过程和清洗过程的废水含有铬，含铬废水经化学沉淀法处理，含铬污泥</w:t>
      </w:r>
      <w:r>
        <w:rPr>
          <w:b/>
          <w:color w:val="auto"/>
          <w:kern w:val="21"/>
          <w:sz w:val="24"/>
          <w:highlight w:val="none"/>
          <w:u w:val="single"/>
        </w:rPr>
        <w:t>，</w:t>
      </w:r>
      <w:r>
        <w:rPr>
          <w:rFonts w:hint="eastAsia"/>
          <w:b/>
          <w:color w:val="auto"/>
          <w:kern w:val="21"/>
          <w:sz w:val="24"/>
          <w:highlight w:val="none"/>
          <w:u w:val="single"/>
          <w:lang w:val="en-US"/>
        </w:rPr>
        <w:t>含铬污泥经高压隔膜压滤机压滤后</w:t>
      </w:r>
      <w:r>
        <w:rPr>
          <w:b/>
          <w:color w:val="auto"/>
          <w:kern w:val="21"/>
          <w:sz w:val="24"/>
          <w:highlight w:val="none"/>
          <w:u w:val="single"/>
        </w:rPr>
        <w:t>含水率按</w:t>
      </w:r>
      <w:r>
        <w:rPr>
          <w:rFonts w:hint="eastAsia"/>
          <w:b/>
          <w:color w:val="auto"/>
          <w:kern w:val="21"/>
          <w:sz w:val="24"/>
          <w:highlight w:val="none"/>
          <w:u w:val="single"/>
        </w:rPr>
        <w:t>80%计，则</w:t>
      </w:r>
      <w:r>
        <w:rPr>
          <w:b/>
          <w:color w:val="auto"/>
          <w:kern w:val="21"/>
          <w:sz w:val="24"/>
          <w:highlight w:val="none"/>
          <w:u w:val="single"/>
        </w:rPr>
        <w:t>产生量为</w:t>
      </w:r>
      <w:r>
        <w:rPr>
          <w:rFonts w:hint="eastAsia"/>
          <w:b/>
          <w:color w:val="auto"/>
          <w:kern w:val="21"/>
          <w:sz w:val="24"/>
          <w:highlight w:val="none"/>
          <w:u w:val="single"/>
          <w:lang w:val="en-US"/>
        </w:rPr>
        <w:t>70.3</w:t>
      </w:r>
      <w:r>
        <w:rPr>
          <w:b/>
          <w:color w:val="auto"/>
          <w:kern w:val="21"/>
          <w:sz w:val="24"/>
          <w:highlight w:val="none"/>
          <w:u w:val="single"/>
        </w:rPr>
        <w:t>t/a，根据物料平衡，项目</w:t>
      </w:r>
      <w:r>
        <w:rPr>
          <w:rFonts w:hint="eastAsia"/>
          <w:b/>
          <w:color w:val="auto"/>
          <w:kern w:val="21"/>
          <w:sz w:val="24"/>
          <w:highlight w:val="none"/>
          <w:u w:val="single"/>
          <w:lang w:val="en-US"/>
        </w:rPr>
        <w:t>含铬</w:t>
      </w:r>
      <w:r>
        <w:rPr>
          <w:b/>
          <w:color w:val="auto"/>
          <w:kern w:val="21"/>
          <w:sz w:val="24"/>
          <w:highlight w:val="none"/>
          <w:u w:val="single"/>
        </w:rPr>
        <w:t>滤渣</w:t>
      </w:r>
      <w:r>
        <w:rPr>
          <w:rFonts w:hint="eastAsia"/>
          <w:b/>
          <w:color w:val="auto"/>
          <w:kern w:val="21"/>
          <w:sz w:val="24"/>
          <w:highlight w:val="none"/>
          <w:u w:val="single"/>
        </w:rPr>
        <w:t>、</w:t>
      </w:r>
      <w:r>
        <w:rPr>
          <w:rFonts w:hint="eastAsia"/>
          <w:b/>
          <w:color w:val="auto"/>
          <w:kern w:val="21"/>
          <w:sz w:val="24"/>
          <w:highlight w:val="none"/>
          <w:u w:val="single"/>
          <w:lang w:val="en-US"/>
        </w:rPr>
        <w:t>废滤芯中带出的含铬量为0.248t/a，加之滤芯本身重量，则产生量为0.992t/a，</w:t>
      </w:r>
      <w:r>
        <w:rPr>
          <w:b/>
          <w:color w:val="auto"/>
          <w:kern w:val="21"/>
          <w:sz w:val="24"/>
          <w:highlight w:val="none"/>
          <w:u w:val="single"/>
        </w:rPr>
        <w:t>含铬废水处理系统产生的最终蒸发结晶产生的结晶盐为含铬废物</w:t>
      </w:r>
      <w:r>
        <w:rPr>
          <w:rFonts w:hint="eastAsia"/>
          <w:b/>
          <w:color w:val="auto"/>
          <w:kern w:val="21"/>
          <w:sz w:val="24"/>
          <w:highlight w:val="none"/>
          <w:u w:val="single"/>
        </w:rPr>
        <w:t>，</w:t>
      </w:r>
      <w:r>
        <w:rPr>
          <w:rFonts w:hint="eastAsia"/>
          <w:b/>
          <w:color w:val="auto"/>
          <w:kern w:val="21"/>
          <w:sz w:val="24"/>
          <w:highlight w:val="none"/>
          <w:u w:val="single"/>
          <w:lang w:val="en-US" w:eastAsia="zh-CN"/>
        </w:rPr>
        <w:t>根据元素</w:t>
      </w:r>
      <w:r>
        <w:rPr>
          <w:rFonts w:hint="eastAsia"/>
          <w:b/>
          <w:color w:val="auto"/>
          <w:kern w:val="21"/>
          <w:sz w:val="24"/>
          <w:highlight w:val="none"/>
          <w:u w:val="single"/>
        </w:rPr>
        <w:t>平衡</w:t>
      </w:r>
      <w:r>
        <w:rPr>
          <w:rFonts w:hint="eastAsia"/>
          <w:b/>
          <w:color w:val="auto"/>
          <w:kern w:val="21"/>
          <w:sz w:val="24"/>
          <w:highlight w:val="none"/>
          <w:u w:val="single"/>
          <w:lang w:val="en-US" w:eastAsia="zh-CN"/>
        </w:rPr>
        <w:t>结晶盐中含铬</w:t>
      </w:r>
      <w:r>
        <w:rPr>
          <w:rFonts w:hint="eastAsia"/>
          <w:b/>
          <w:color w:val="auto"/>
          <w:kern w:val="21"/>
          <w:sz w:val="24"/>
          <w:highlight w:val="none"/>
          <w:u w:val="single"/>
          <w:lang w:eastAsia="zh-CN"/>
        </w:rPr>
        <w:t>（</w:t>
      </w:r>
      <w:r>
        <w:rPr>
          <w:rFonts w:hint="eastAsia"/>
          <w:b/>
          <w:color w:val="auto"/>
          <w:kern w:val="21"/>
          <w:sz w:val="24"/>
          <w:highlight w:val="none"/>
          <w:u w:val="single"/>
          <w:lang w:val="en-US" w:eastAsia="zh-CN"/>
        </w:rPr>
        <w:t>0.6742t/a</w:t>
      </w:r>
      <w:r>
        <w:rPr>
          <w:rFonts w:hint="eastAsia"/>
          <w:b/>
          <w:color w:val="auto"/>
          <w:kern w:val="21"/>
          <w:sz w:val="24"/>
          <w:highlight w:val="none"/>
          <w:u w:val="single"/>
          <w:lang w:eastAsia="zh-CN"/>
        </w:rPr>
        <w:t>）</w:t>
      </w:r>
      <w:r>
        <w:rPr>
          <w:rFonts w:hint="eastAsia"/>
          <w:b/>
          <w:color w:val="auto"/>
          <w:kern w:val="21"/>
          <w:sz w:val="24"/>
          <w:highlight w:val="none"/>
          <w:u w:val="single"/>
        </w:rPr>
        <w:t>及水平衡中结晶</w:t>
      </w:r>
      <w:r>
        <w:rPr>
          <w:rFonts w:hint="eastAsia"/>
          <w:b/>
          <w:color w:val="auto"/>
          <w:kern w:val="21"/>
          <w:sz w:val="24"/>
          <w:highlight w:val="none"/>
          <w:u w:val="single"/>
          <w:lang w:val="en-US" w:eastAsia="zh-CN"/>
        </w:rPr>
        <w:t>盐</w:t>
      </w:r>
      <w:r>
        <w:rPr>
          <w:rFonts w:hint="eastAsia"/>
          <w:b/>
          <w:color w:val="auto"/>
          <w:kern w:val="21"/>
          <w:sz w:val="24"/>
          <w:highlight w:val="none"/>
          <w:u w:val="single"/>
        </w:rPr>
        <w:t>含水量</w:t>
      </w:r>
      <w:r>
        <w:rPr>
          <w:rFonts w:hint="eastAsia"/>
          <w:b/>
          <w:color w:val="auto"/>
          <w:kern w:val="21"/>
          <w:sz w:val="24"/>
          <w:highlight w:val="none"/>
          <w:u w:val="single"/>
          <w:lang w:eastAsia="zh-CN"/>
        </w:rPr>
        <w:t>（</w:t>
      </w:r>
      <w:r>
        <w:rPr>
          <w:rFonts w:hint="eastAsia"/>
          <w:b/>
          <w:color w:val="auto"/>
          <w:kern w:val="21"/>
          <w:sz w:val="24"/>
          <w:highlight w:val="none"/>
          <w:u w:val="single"/>
          <w:lang w:val="en-US" w:eastAsia="zh-CN"/>
        </w:rPr>
        <w:t>0.7287t/a</w:t>
      </w:r>
      <w:r>
        <w:rPr>
          <w:rFonts w:hint="eastAsia"/>
          <w:b/>
          <w:color w:val="auto"/>
          <w:kern w:val="21"/>
          <w:sz w:val="24"/>
          <w:highlight w:val="none"/>
          <w:u w:val="single"/>
          <w:lang w:eastAsia="zh-CN"/>
        </w:rPr>
        <w:t>）</w:t>
      </w:r>
      <w:r>
        <w:rPr>
          <w:rFonts w:hint="eastAsia"/>
          <w:b/>
          <w:color w:val="auto"/>
          <w:kern w:val="21"/>
          <w:sz w:val="24"/>
          <w:highlight w:val="none"/>
          <w:u w:val="single"/>
        </w:rPr>
        <w:t>，</w:t>
      </w:r>
      <w:r>
        <w:rPr>
          <w:rFonts w:hint="eastAsia"/>
          <w:b/>
          <w:color w:val="auto"/>
          <w:kern w:val="21"/>
          <w:sz w:val="24"/>
          <w:highlight w:val="none"/>
          <w:u w:val="single"/>
          <w:lang w:val="en-US" w:eastAsia="zh-CN"/>
        </w:rPr>
        <w:t>则含铬</w:t>
      </w:r>
      <w:r>
        <w:rPr>
          <w:rFonts w:hint="eastAsia"/>
          <w:b/>
          <w:color w:val="auto"/>
          <w:kern w:val="21"/>
          <w:sz w:val="24"/>
          <w:highlight w:val="none"/>
          <w:u w:val="single"/>
        </w:rPr>
        <w:t>结晶盐</w:t>
      </w:r>
      <w:r>
        <w:rPr>
          <w:b/>
          <w:color w:val="auto"/>
          <w:kern w:val="21"/>
          <w:sz w:val="24"/>
          <w:highlight w:val="none"/>
          <w:u w:val="single"/>
        </w:rPr>
        <w:t>产生量为</w:t>
      </w:r>
      <w:r>
        <w:rPr>
          <w:rFonts w:hint="eastAsia"/>
          <w:b/>
          <w:color w:val="auto"/>
          <w:kern w:val="21"/>
          <w:sz w:val="24"/>
          <w:highlight w:val="none"/>
          <w:u w:val="single"/>
        </w:rPr>
        <w:t>1.4029t/a。</w:t>
      </w:r>
      <w:r>
        <w:rPr>
          <w:color w:val="auto"/>
          <w:kern w:val="21"/>
          <w:sz w:val="24"/>
          <w:highlight w:val="none"/>
        </w:rPr>
        <w:t>根据《国家危险废物名录》</w:t>
      </w:r>
      <w:r>
        <w:rPr>
          <w:color w:val="auto"/>
          <w:kern w:val="21"/>
          <w:sz w:val="24"/>
          <w:szCs w:val="22"/>
          <w:highlight w:val="none"/>
          <w:lang w:val="en-US"/>
        </w:rPr>
        <w:t>（20</w:t>
      </w:r>
      <w:r>
        <w:rPr>
          <w:rFonts w:hint="eastAsia"/>
          <w:color w:val="auto"/>
          <w:kern w:val="21"/>
          <w:sz w:val="24"/>
          <w:szCs w:val="22"/>
          <w:highlight w:val="none"/>
          <w:lang w:val="en-US"/>
        </w:rPr>
        <w:t>21</w:t>
      </w:r>
      <w:r>
        <w:rPr>
          <w:color w:val="auto"/>
          <w:kern w:val="21"/>
          <w:sz w:val="24"/>
          <w:szCs w:val="22"/>
          <w:highlight w:val="none"/>
          <w:lang w:val="en-US"/>
        </w:rPr>
        <w:t>年本）</w:t>
      </w:r>
      <w:r>
        <w:rPr>
          <w:color w:val="auto"/>
          <w:kern w:val="21"/>
          <w:sz w:val="24"/>
          <w:highlight w:val="none"/>
        </w:rPr>
        <w:t>，该类固废属于危险废物HW17表面处理废物</w:t>
      </w:r>
      <w:r>
        <w:rPr>
          <w:rFonts w:hint="eastAsia"/>
          <w:color w:val="auto"/>
          <w:kern w:val="21"/>
          <w:sz w:val="24"/>
          <w:highlight w:val="none"/>
        </w:rPr>
        <w:t>，</w:t>
      </w:r>
      <w:r>
        <w:rPr>
          <w:rFonts w:hint="eastAsia"/>
          <w:color w:val="auto"/>
          <w:kern w:val="21"/>
          <w:sz w:val="24"/>
          <w:highlight w:val="none"/>
          <w:lang w:val="en-US"/>
        </w:rPr>
        <w:t>废物代码336-068-17。含铬危废由铁桶收集后，在</w:t>
      </w:r>
      <w:r>
        <w:rPr>
          <w:color w:val="auto"/>
          <w:kern w:val="21"/>
          <w:sz w:val="24"/>
          <w:highlight w:val="none"/>
        </w:rPr>
        <w:t>厂区北侧危废暂存间</w:t>
      </w:r>
      <w:r>
        <w:rPr>
          <w:rFonts w:hint="eastAsia"/>
          <w:color w:val="auto"/>
          <w:kern w:val="21"/>
          <w:sz w:val="24"/>
          <w:highlight w:val="none"/>
          <w:lang w:val="en-US"/>
        </w:rPr>
        <w:t>暂存</w:t>
      </w:r>
      <w:r>
        <w:rPr>
          <w:color w:val="auto"/>
          <w:kern w:val="21"/>
          <w:sz w:val="24"/>
          <w:highlight w:val="none"/>
        </w:rPr>
        <w:t>，交</w:t>
      </w:r>
      <w:r>
        <w:rPr>
          <w:color w:val="auto"/>
          <w:kern w:val="21"/>
          <w:sz w:val="24"/>
        </w:rPr>
        <w:t>由有资质单位安全处理。</w:t>
      </w:r>
    </w:p>
    <w:p>
      <w:pPr>
        <w:pStyle w:val="32"/>
        <w:adjustRightInd w:val="0"/>
        <w:snapToGrid w:val="0"/>
        <w:spacing w:after="0" w:line="360" w:lineRule="auto"/>
        <w:ind w:firstLine="480" w:firstLineChars="200"/>
        <w:rPr>
          <w:color w:val="auto"/>
          <w:kern w:val="21"/>
          <w:sz w:val="24"/>
        </w:rPr>
      </w:pPr>
      <w:r>
        <w:rPr>
          <w:color w:val="auto"/>
          <w:kern w:val="21"/>
          <w:sz w:val="24"/>
        </w:rPr>
        <w:t>（</w:t>
      </w:r>
      <w:r>
        <w:rPr>
          <w:rFonts w:hint="eastAsia"/>
          <w:color w:val="auto"/>
          <w:kern w:val="21"/>
          <w:sz w:val="24"/>
        </w:rPr>
        <w:t>5</w:t>
      </w:r>
      <w:r>
        <w:rPr>
          <w:color w:val="auto"/>
          <w:kern w:val="21"/>
          <w:sz w:val="24"/>
        </w:rPr>
        <w:t>）</w:t>
      </w:r>
      <w:r>
        <w:rPr>
          <w:rFonts w:hint="eastAsia"/>
          <w:color w:val="auto"/>
          <w:kern w:val="21"/>
          <w:sz w:val="24"/>
        </w:rPr>
        <w:t>气浮</w:t>
      </w:r>
      <w:r>
        <w:rPr>
          <w:color w:val="auto"/>
          <w:kern w:val="21"/>
          <w:sz w:val="24"/>
        </w:rPr>
        <w:t>池污油</w:t>
      </w:r>
    </w:p>
    <w:p>
      <w:pPr>
        <w:pStyle w:val="32"/>
        <w:adjustRightInd w:val="0"/>
        <w:snapToGrid w:val="0"/>
        <w:spacing w:after="0" w:line="360" w:lineRule="auto"/>
        <w:ind w:firstLine="482" w:firstLineChars="200"/>
        <w:rPr>
          <w:color w:val="auto"/>
          <w:kern w:val="21"/>
          <w:sz w:val="24"/>
        </w:rPr>
      </w:pPr>
      <w:r>
        <w:rPr>
          <w:rFonts w:hint="eastAsia"/>
          <w:b/>
          <w:color w:val="auto"/>
          <w:kern w:val="21"/>
          <w:sz w:val="24"/>
          <w:u w:val="single"/>
        </w:rPr>
        <w:t>项目</w:t>
      </w:r>
      <w:r>
        <w:rPr>
          <w:rFonts w:hint="eastAsia"/>
          <w:b/>
          <w:color w:val="auto"/>
          <w:kern w:val="21"/>
          <w:sz w:val="24"/>
          <w:u w:val="single"/>
          <w:lang w:eastAsia="zh-CN"/>
        </w:rPr>
        <w:t>含油废水</w:t>
      </w:r>
      <w:r>
        <w:rPr>
          <w:rFonts w:hint="eastAsia"/>
          <w:b/>
          <w:color w:val="auto"/>
          <w:kern w:val="21"/>
          <w:sz w:val="24"/>
          <w:u w:val="single"/>
        </w:rPr>
        <w:t>需进行</w:t>
      </w:r>
      <w:r>
        <w:rPr>
          <w:rFonts w:hint="eastAsia"/>
          <w:b/>
          <w:color w:val="auto"/>
          <w:kern w:val="21"/>
          <w:sz w:val="24"/>
          <w:u w:val="single"/>
          <w:lang w:val="en-US"/>
        </w:rPr>
        <w:t>破乳</w:t>
      </w:r>
      <w:r>
        <w:rPr>
          <w:rFonts w:hint="eastAsia"/>
          <w:b/>
          <w:color w:val="auto"/>
          <w:kern w:val="21"/>
          <w:sz w:val="24"/>
          <w:u w:val="single"/>
          <w:lang w:val="en-US" w:eastAsia="zh-CN"/>
        </w:rPr>
        <w:t>和</w:t>
      </w:r>
      <w:r>
        <w:rPr>
          <w:rFonts w:hint="eastAsia"/>
          <w:b/>
          <w:color w:val="auto"/>
          <w:kern w:val="21"/>
          <w:sz w:val="24"/>
          <w:u w:val="single"/>
          <w:lang w:val="en-US"/>
        </w:rPr>
        <w:t>混凝气浮预处理，</w:t>
      </w:r>
      <w:r>
        <w:rPr>
          <w:rFonts w:hint="eastAsia"/>
          <w:b/>
          <w:color w:val="auto"/>
          <w:kern w:val="21"/>
          <w:sz w:val="24"/>
          <w:u w:val="single"/>
        </w:rPr>
        <w:t>预处理过程会产生</w:t>
      </w:r>
      <w:r>
        <w:rPr>
          <w:b/>
          <w:color w:val="auto"/>
          <w:kern w:val="21"/>
          <w:sz w:val="24"/>
          <w:u w:val="single"/>
        </w:rPr>
        <w:t>污油，根据《国家危险废物名录》</w:t>
      </w:r>
      <w:r>
        <w:rPr>
          <w:b/>
          <w:color w:val="auto"/>
          <w:kern w:val="21"/>
          <w:sz w:val="24"/>
          <w:szCs w:val="22"/>
          <w:u w:val="single"/>
          <w:lang w:val="en-US"/>
        </w:rPr>
        <w:t>（20</w:t>
      </w:r>
      <w:r>
        <w:rPr>
          <w:rFonts w:hint="eastAsia"/>
          <w:b/>
          <w:color w:val="auto"/>
          <w:kern w:val="21"/>
          <w:sz w:val="24"/>
          <w:szCs w:val="22"/>
          <w:u w:val="single"/>
          <w:lang w:val="en-US"/>
        </w:rPr>
        <w:t>21</w:t>
      </w:r>
      <w:r>
        <w:rPr>
          <w:b/>
          <w:color w:val="auto"/>
          <w:kern w:val="21"/>
          <w:sz w:val="24"/>
          <w:szCs w:val="22"/>
          <w:u w:val="single"/>
          <w:lang w:val="en-US"/>
        </w:rPr>
        <w:t>年本），此类废物属于</w:t>
      </w:r>
      <w:r>
        <w:rPr>
          <w:b/>
          <w:color w:val="auto"/>
          <w:kern w:val="21"/>
          <w:sz w:val="24"/>
          <w:u w:val="single"/>
        </w:rPr>
        <w:t>危险废物HW</w:t>
      </w:r>
      <w:r>
        <w:rPr>
          <w:rFonts w:hint="eastAsia"/>
          <w:b/>
          <w:color w:val="auto"/>
          <w:kern w:val="21"/>
          <w:sz w:val="24"/>
          <w:u w:val="single"/>
        </w:rPr>
        <w:t>08废矿物油与含矿物油废物，</w:t>
      </w:r>
      <w:r>
        <w:rPr>
          <w:rFonts w:hint="eastAsia"/>
          <w:b/>
          <w:color w:val="auto"/>
          <w:kern w:val="21"/>
          <w:sz w:val="24"/>
          <w:u w:val="single"/>
          <w:lang w:val="en-US"/>
        </w:rPr>
        <w:t>废物代码900-210-08，根据工程分析中含油废水的去除效率计算，其产生量为0.099t/a，</w:t>
      </w:r>
      <w:r>
        <w:rPr>
          <w:rFonts w:hint="eastAsia"/>
          <w:color w:val="auto"/>
          <w:kern w:val="21"/>
          <w:sz w:val="24"/>
          <w:lang w:val="en-US"/>
        </w:rPr>
        <w:t>由铁桶收集后，在</w:t>
      </w:r>
      <w:r>
        <w:rPr>
          <w:color w:val="auto"/>
          <w:kern w:val="21"/>
          <w:sz w:val="24"/>
        </w:rPr>
        <w:t>厂区北侧危废暂存间</w:t>
      </w:r>
      <w:r>
        <w:rPr>
          <w:rFonts w:hint="eastAsia"/>
          <w:color w:val="auto"/>
          <w:kern w:val="21"/>
          <w:sz w:val="24"/>
          <w:lang w:val="en-US"/>
        </w:rPr>
        <w:t>暂存</w:t>
      </w:r>
      <w:r>
        <w:rPr>
          <w:color w:val="auto"/>
          <w:kern w:val="21"/>
          <w:sz w:val="24"/>
        </w:rPr>
        <w:t>，交由有资质单位安全处理。</w:t>
      </w:r>
    </w:p>
    <w:p>
      <w:pPr>
        <w:pStyle w:val="32"/>
        <w:adjustRightInd w:val="0"/>
        <w:snapToGrid w:val="0"/>
        <w:spacing w:after="0" w:line="360" w:lineRule="auto"/>
        <w:ind w:firstLine="480" w:firstLineChars="200"/>
        <w:rPr>
          <w:color w:val="auto"/>
          <w:kern w:val="21"/>
          <w:sz w:val="24"/>
        </w:rPr>
      </w:pPr>
      <w:r>
        <w:rPr>
          <w:color w:val="auto"/>
          <w:kern w:val="21"/>
          <w:sz w:val="24"/>
        </w:rPr>
        <w:t>（</w:t>
      </w:r>
      <w:r>
        <w:rPr>
          <w:rFonts w:hint="eastAsia"/>
          <w:color w:val="auto"/>
          <w:kern w:val="21"/>
          <w:sz w:val="24"/>
          <w:lang w:val="en-US"/>
        </w:rPr>
        <w:t>6</w:t>
      </w:r>
      <w:r>
        <w:rPr>
          <w:color w:val="auto"/>
          <w:kern w:val="21"/>
          <w:sz w:val="24"/>
        </w:rPr>
        <w:t>）废机油</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本项目废机油主要产生于设备检修过程中，产生量</w:t>
      </w:r>
      <w:r>
        <w:rPr>
          <w:rFonts w:hint="eastAsia"/>
          <w:color w:val="auto"/>
          <w:kern w:val="21"/>
          <w:sz w:val="24"/>
          <w:lang w:val="en-US"/>
        </w:rPr>
        <w:t>1</w:t>
      </w:r>
      <w:r>
        <w:rPr>
          <w:color w:val="auto"/>
          <w:kern w:val="21"/>
          <w:sz w:val="24"/>
          <w:lang w:val="en-US"/>
        </w:rPr>
        <w:t>t/a，废机油属于危险废物，危废类别为HW08废矿物油与含矿物油废物，废物代码为900-2</w:t>
      </w:r>
      <w:r>
        <w:rPr>
          <w:rFonts w:hint="eastAsia"/>
          <w:color w:val="auto"/>
          <w:kern w:val="21"/>
          <w:sz w:val="24"/>
          <w:lang w:val="en-US"/>
        </w:rPr>
        <w:t>49</w:t>
      </w:r>
      <w:r>
        <w:rPr>
          <w:color w:val="auto"/>
          <w:kern w:val="21"/>
          <w:sz w:val="24"/>
          <w:lang w:val="en-US"/>
        </w:rPr>
        <w:t>-08。废机油经塑料桶收集后，暂存于危废暂存间，定期交由资质单位安全处理。</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（7）废水反渗透膜</w:t>
      </w:r>
    </w:p>
    <w:p>
      <w:pPr>
        <w:pStyle w:val="32"/>
        <w:adjustRightInd w:val="0"/>
        <w:snapToGrid w:val="0"/>
        <w:spacing w:after="0" w:line="360" w:lineRule="auto"/>
        <w:ind w:firstLine="482" w:firstLineChars="200"/>
        <w:rPr>
          <w:color w:val="auto"/>
          <w:kern w:val="21"/>
          <w:sz w:val="24"/>
          <w:lang w:val="en-US"/>
        </w:rPr>
      </w:pPr>
      <w:r>
        <w:rPr>
          <w:rFonts w:hint="eastAsia"/>
          <w:b/>
          <w:color w:val="auto"/>
          <w:kern w:val="21"/>
          <w:sz w:val="24"/>
          <w:u w:val="single"/>
          <w:lang w:val="en-US"/>
        </w:rPr>
        <w:t>废水零排放系统深度处理段的ECRO、DTEO、RO反渗透会产生废反渗透膜，根据设计资料，反渗透膜使用寿命为三年，到期后全部更换，更换下来的反渗透膜属于危险废物，根据设计资料，每次更换约6t，</w:t>
      </w:r>
      <w:r>
        <w:rPr>
          <w:rFonts w:hint="eastAsia"/>
          <w:color w:val="auto"/>
          <w:kern w:val="21"/>
          <w:sz w:val="24"/>
          <w:lang w:val="en-US"/>
        </w:rPr>
        <w:t>由铁桶收集后，在</w:t>
      </w:r>
      <w:r>
        <w:rPr>
          <w:color w:val="auto"/>
          <w:kern w:val="21"/>
          <w:sz w:val="24"/>
        </w:rPr>
        <w:t>厂区北侧危废暂存间</w:t>
      </w:r>
      <w:r>
        <w:rPr>
          <w:rFonts w:hint="eastAsia"/>
          <w:color w:val="auto"/>
          <w:kern w:val="21"/>
          <w:sz w:val="24"/>
          <w:lang w:val="en-US"/>
        </w:rPr>
        <w:t>暂存</w:t>
      </w:r>
      <w:r>
        <w:rPr>
          <w:color w:val="auto"/>
          <w:kern w:val="21"/>
          <w:sz w:val="24"/>
        </w:rPr>
        <w:t>，交由有资质单位安全处理。</w:t>
      </w:r>
    </w:p>
    <w:p>
      <w:pPr>
        <w:pStyle w:val="32"/>
        <w:adjustRightInd w:val="0"/>
        <w:snapToGrid w:val="0"/>
        <w:spacing w:after="0" w:line="360" w:lineRule="auto"/>
        <w:ind w:firstLine="480" w:firstLineChars="200"/>
        <w:rPr>
          <w:color w:val="auto"/>
          <w:kern w:val="21"/>
          <w:sz w:val="24"/>
        </w:rPr>
      </w:pPr>
      <w:r>
        <w:rPr>
          <w:color w:val="auto"/>
          <w:kern w:val="21"/>
          <w:sz w:val="24"/>
          <w:lang w:val="en-US"/>
        </w:rPr>
        <w:t>（</w:t>
      </w:r>
      <w:r>
        <w:rPr>
          <w:rFonts w:hint="eastAsia"/>
          <w:color w:val="auto"/>
          <w:kern w:val="21"/>
          <w:sz w:val="24"/>
          <w:lang w:val="en-US"/>
        </w:rPr>
        <w:t>8</w:t>
      </w:r>
      <w:r>
        <w:rPr>
          <w:color w:val="auto"/>
          <w:kern w:val="21"/>
          <w:sz w:val="24"/>
          <w:lang w:val="en-US"/>
        </w:rPr>
        <w:t>）</w:t>
      </w:r>
      <w:r>
        <w:rPr>
          <w:rFonts w:hint="eastAsia"/>
          <w:color w:val="auto"/>
          <w:kern w:val="21"/>
          <w:sz w:val="24"/>
        </w:rPr>
        <w:t>生化处理</w:t>
      </w:r>
      <w:r>
        <w:rPr>
          <w:rFonts w:hint="eastAsia"/>
          <w:color w:val="auto"/>
          <w:kern w:val="21"/>
          <w:sz w:val="24"/>
          <w:lang w:val="en-US"/>
        </w:rPr>
        <w:t>污泥</w:t>
      </w:r>
    </w:p>
    <w:p>
      <w:pPr>
        <w:pStyle w:val="32"/>
        <w:adjustRightInd w:val="0"/>
        <w:snapToGrid w:val="0"/>
        <w:spacing w:after="0" w:line="360" w:lineRule="auto"/>
        <w:ind w:firstLine="482" w:firstLineChars="200"/>
        <w:rPr>
          <w:color w:val="auto"/>
          <w:kern w:val="21"/>
          <w:sz w:val="24"/>
          <w:lang w:val="en-US"/>
        </w:rPr>
      </w:pPr>
      <w:r>
        <w:rPr>
          <w:rFonts w:hint="eastAsia"/>
          <w:b/>
          <w:color w:val="auto"/>
          <w:kern w:val="21"/>
          <w:sz w:val="24"/>
          <w:u w:val="single"/>
          <w:lang w:val="en-US"/>
        </w:rPr>
        <w:t>预处理后废水进入零排处理系统，处理系统生化处理段产生污泥，根据工程分析，生化污泥产生量为161.788t/a（60%含水率）</w:t>
      </w:r>
      <w:r>
        <w:rPr>
          <w:rFonts w:hint="eastAsia"/>
          <w:color w:val="auto"/>
          <w:kern w:val="21"/>
          <w:sz w:val="24"/>
          <w:lang w:val="en-US"/>
        </w:rPr>
        <w:t>。此污泥含有铬、镍、锌等重金属，属于危险废物，脱水后由铁桶收集，暂存于危废间，</w:t>
      </w:r>
      <w:r>
        <w:rPr>
          <w:color w:val="auto"/>
          <w:kern w:val="21"/>
          <w:sz w:val="24"/>
          <w:lang w:val="en-US"/>
        </w:rPr>
        <w:t>定期交由资质单位安全处理</w:t>
      </w:r>
      <w:r>
        <w:rPr>
          <w:rFonts w:hint="eastAsia"/>
          <w:color w:val="auto"/>
          <w:kern w:val="21"/>
          <w:sz w:val="24"/>
          <w:lang w:val="en-US"/>
        </w:rPr>
        <w:t>。</w:t>
      </w:r>
    </w:p>
    <w:p>
      <w:pPr>
        <w:adjustRightInd w:val="0"/>
        <w:snapToGrid w:val="0"/>
        <w:spacing w:line="360" w:lineRule="auto"/>
        <w:ind w:firstLine="480" w:firstLineChars="200"/>
        <w:rPr>
          <w:color w:val="auto"/>
          <w:kern w:val="21"/>
          <w:sz w:val="24"/>
          <w:szCs w:val="24"/>
        </w:rPr>
      </w:pPr>
      <w:bookmarkStart w:id="193" w:name="_Toc457372992"/>
      <w:bookmarkStart w:id="194" w:name="_Toc456624539"/>
      <w:bookmarkStart w:id="195" w:name="_Toc458095125"/>
      <w:bookmarkStart w:id="196" w:name="_Toc481678825"/>
      <w:bookmarkStart w:id="197" w:name="_Toc476200766"/>
      <w:bookmarkStart w:id="198" w:name="_Toc477244117"/>
      <w:bookmarkStart w:id="199" w:name="_Toc478128008"/>
      <w:bookmarkStart w:id="200" w:name="_Toc456944814"/>
      <w:bookmarkStart w:id="201" w:name="_Toc476833642"/>
      <w:bookmarkStart w:id="202" w:name="_Toc481607930"/>
      <w:bookmarkStart w:id="203" w:name="_Toc464742439"/>
      <w:bookmarkStart w:id="204" w:name="_Toc456012930"/>
      <w:bookmarkStart w:id="205" w:name="_Toc455002369"/>
      <w:r>
        <w:rPr>
          <w:color w:val="auto"/>
          <w:kern w:val="21"/>
          <w:sz w:val="24"/>
          <w:szCs w:val="24"/>
        </w:rPr>
        <w:t>项目固体废物污染源源强核算结果及相关参数见表3.</w:t>
      </w:r>
      <w:r>
        <w:rPr>
          <w:rFonts w:hint="eastAsia"/>
          <w:color w:val="auto"/>
          <w:kern w:val="21"/>
          <w:sz w:val="24"/>
          <w:szCs w:val="24"/>
        </w:rPr>
        <w:t>4</w:t>
      </w:r>
      <w:r>
        <w:rPr>
          <w:color w:val="auto"/>
          <w:kern w:val="21"/>
          <w:sz w:val="24"/>
          <w:szCs w:val="24"/>
        </w:rPr>
        <w:t>-</w:t>
      </w:r>
      <w:r>
        <w:rPr>
          <w:rFonts w:hint="eastAsia"/>
          <w:color w:val="auto"/>
          <w:kern w:val="21"/>
          <w:sz w:val="24"/>
          <w:szCs w:val="24"/>
        </w:rPr>
        <w:t>17</w:t>
      </w:r>
      <w:r>
        <w:rPr>
          <w:color w:val="auto"/>
          <w:kern w:val="21"/>
          <w:sz w:val="24"/>
          <w:szCs w:val="24"/>
        </w:rPr>
        <w:t>。</w:t>
      </w:r>
    </w:p>
    <w:bookmarkEnd w:id="193"/>
    <w:bookmarkEnd w:id="194"/>
    <w:bookmarkEnd w:id="195"/>
    <w:bookmarkEnd w:id="196"/>
    <w:bookmarkEnd w:id="197"/>
    <w:bookmarkEnd w:id="198"/>
    <w:bookmarkEnd w:id="199"/>
    <w:bookmarkEnd w:id="200"/>
    <w:bookmarkEnd w:id="201"/>
    <w:bookmarkEnd w:id="202"/>
    <w:bookmarkEnd w:id="203"/>
    <w:bookmarkEnd w:id="204"/>
    <w:bookmarkEnd w:id="205"/>
    <w:p>
      <w:pPr>
        <w:tabs>
          <w:tab w:val="left" w:pos="3227"/>
        </w:tabs>
        <w:adjustRightInd w:val="0"/>
        <w:snapToGrid w:val="0"/>
        <w:jc w:val="center"/>
        <w:rPr>
          <w:rFonts w:eastAsia="黑体"/>
          <w:color w:val="auto"/>
          <w:kern w:val="21"/>
          <w:sz w:val="24"/>
          <w:szCs w:val="24"/>
          <w:u w:val="single"/>
        </w:rPr>
        <w:sectPr>
          <w:pgSz w:w="11907" w:h="16840"/>
          <w:pgMar w:top="1440" w:right="1800" w:bottom="1440" w:left="1800" w:header="1134" w:footer="1186" w:gutter="0"/>
          <w:cols w:space="720" w:num="1"/>
        </w:sectPr>
      </w:pPr>
    </w:p>
    <w:p>
      <w:pPr>
        <w:tabs>
          <w:tab w:val="left" w:pos="3227"/>
        </w:tabs>
        <w:adjustRightInd w:val="0"/>
        <w:snapToGrid w:val="0"/>
        <w:jc w:val="center"/>
        <w:rPr>
          <w:rFonts w:eastAsia="黑体"/>
          <w:color w:val="auto"/>
          <w:kern w:val="21"/>
          <w:sz w:val="24"/>
          <w:szCs w:val="24"/>
          <w:u w:val="single"/>
        </w:rPr>
      </w:pPr>
      <w:r>
        <w:rPr>
          <w:rFonts w:eastAsia="黑体"/>
          <w:color w:val="auto"/>
          <w:kern w:val="21"/>
          <w:sz w:val="24"/>
          <w:szCs w:val="24"/>
        </w:rPr>
        <w:t>表3.</w:t>
      </w:r>
      <w:r>
        <w:rPr>
          <w:rFonts w:hint="eastAsia" w:eastAsia="黑体"/>
          <w:color w:val="auto"/>
          <w:kern w:val="21"/>
          <w:sz w:val="24"/>
          <w:szCs w:val="24"/>
        </w:rPr>
        <w:t>4-17</w:t>
      </w:r>
      <w:r>
        <w:rPr>
          <w:rFonts w:eastAsia="黑体"/>
          <w:color w:val="auto"/>
          <w:kern w:val="21"/>
          <w:sz w:val="24"/>
          <w:szCs w:val="24"/>
        </w:rPr>
        <w:t xml:space="preserve">  固体废物污染源源强核算结果及相关参数一览表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5"/>
        <w:gridCol w:w="1267"/>
        <w:gridCol w:w="1267"/>
        <w:gridCol w:w="1267"/>
        <w:gridCol w:w="1267"/>
        <w:gridCol w:w="1267"/>
        <w:gridCol w:w="1267"/>
        <w:gridCol w:w="1268"/>
        <w:gridCol w:w="1268"/>
        <w:gridCol w:w="1268"/>
        <w:gridCol w:w="12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531"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固体废物名称</w:t>
            </w:r>
          </w:p>
        </w:tc>
        <w:tc>
          <w:tcPr>
            <w:tcW w:w="447"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固废属性</w:t>
            </w:r>
          </w:p>
        </w:tc>
        <w:tc>
          <w:tcPr>
            <w:tcW w:w="447"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废物代码</w:t>
            </w:r>
          </w:p>
        </w:tc>
        <w:tc>
          <w:tcPr>
            <w:tcW w:w="2235" w:type="pct"/>
            <w:gridSpan w:val="5"/>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产生量</w:t>
            </w:r>
          </w:p>
        </w:tc>
        <w:tc>
          <w:tcPr>
            <w:tcW w:w="894" w:type="pct"/>
            <w:gridSpan w:val="2"/>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处置措施</w:t>
            </w:r>
          </w:p>
        </w:tc>
        <w:tc>
          <w:tcPr>
            <w:tcW w:w="446"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核算方法</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产生量（t/a）</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形态</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主要成分</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有害成分</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工艺</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处置量（t/a）</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边角料</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一般固废</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384-001-01</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类比法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11308</w:t>
            </w:r>
          </w:p>
        </w:tc>
        <w:tc>
          <w:tcPr>
            <w:tcW w:w="447" w:type="pct"/>
            <w:shd w:val="clear" w:color="auto" w:fill="auto"/>
            <w:vAlign w:val="center"/>
          </w:tcPr>
          <w:p>
            <w:pPr>
              <w:widowControl w:val="0"/>
              <w:adjustRightInd w:val="0"/>
              <w:snapToGrid w:val="0"/>
              <w:jc w:val="center"/>
              <w:rPr>
                <w:b/>
                <w:color w:val="auto"/>
                <w:kern w:val="21"/>
                <w:u w:val="single"/>
              </w:rPr>
            </w:pPr>
            <w:r>
              <w:rPr>
                <w:b/>
                <w:color w:val="auto"/>
                <w:kern w:val="21"/>
                <w:u w:val="single"/>
              </w:rPr>
              <w:t>固体</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钢</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w:t>
            </w:r>
          </w:p>
        </w:tc>
        <w:tc>
          <w:tcPr>
            <w:tcW w:w="447"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一般固废间</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11308</w:t>
            </w:r>
          </w:p>
        </w:tc>
        <w:tc>
          <w:tcPr>
            <w:tcW w:w="446"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收集后外售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不合格镀件</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一般固废</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900-999-99</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类比法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19.76</w:t>
            </w:r>
          </w:p>
        </w:tc>
        <w:tc>
          <w:tcPr>
            <w:tcW w:w="447" w:type="pct"/>
            <w:shd w:val="clear" w:color="auto" w:fill="auto"/>
            <w:vAlign w:val="center"/>
          </w:tcPr>
          <w:p>
            <w:pPr>
              <w:widowControl w:val="0"/>
              <w:adjustRightInd w:val="0"/>
              <w:snapToGrid w:val="0"/>
              <w:jc w:val="center"/>
              <w:rPr>
                <w:b/>
                <w:color w:val="auto"/>
                <w:kern w:val="21"/>
                <w:u w:val="single"/>
              </w:rPr>
            </w:pPr>
            <w:r>
              <w:rPr>
                <w:b/>
                <w:color w:val="auto"/>
                <w:kern w:val="21"/>
                <w:u w:val="single"/>
              </w:rPr>
              <w:t>固体</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钢</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19.76</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除尘器粉尘</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一般固废</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900-999-66</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rFonts w:hint="default" w:eastAsia="宋体"/>
                <w:b/>
                <w:color w:val="auto"/>
                <w:kern w:val="21"/>
                <w:szCs w:val="21"/>
                <w:u w:val="single"/>
                <w:lang w:val="en-US" w:eastAsia="zh-CN"/>
              </w:rPr>
            </w:pPr>
            <w:r>
              <w:rPr>
                <w:rFonts w:hint="eastAsia"/>
                <w:b/>
                <w:color w:val="auto"/>
                <w:kern w:val="21"/>
                <w:szCs w:val="21"/>
                <w:u w:val="single"/>
                <w:lang w:val="en-US" w:eastAsia="zh-CN"/>
              </w:rPr>
              <w:t>1.389</w:t>
            </w:r>
          </w:p>
        </w:tc>
        <w:tc>
          <w:tcPr>
            <w:tcW w:w="447" w:type="pct"/>
            <w:shd w:val="clear" w:color="auto" w:fill="auto"/>
            <w:vAlign w:val="center"/>
          </w:tcPr>
          <w:p>
            <w:pPr>
              <w:widowControl w:val="0"/>
              <w:adjustRightInd w:val="0"/>
              <w:snapToGrid w:val="0"/>
              <w:jc w:val="center"/>
              <w:rPr>
                <w:b/>
                <w:color w:val="auto"/>
                <w:kern w:val="21"/>
                <w:u w:val="single"/>
              </w:rPr>
            </w:pPr>
            <w:r>
              <w:rPr>
                <w:b/>
                <w:color w:val="auto"/>
                <w:kern w:val="21"/>
                <w:u w:val="single"/>
              </w:rPr>
              <w:t>固体</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颗粒物</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rFonts w:hint="default" w:eastAsia="宋体"/>
                <w:b/>
                <w:color w:val="auto"/>
                <w:kern w:val="21"/>
                <w:szCs w:val="21"/>
                <w:u w:val="single"/>
                <w:lang w:val="en-US" w:eastAsia="zh-CN"/>
              </w:rPr>
            </w:pPr>
            <w:r>
              <w:rPr>
                <w:rFonts w:hint="eastAsia"/>
                <w:b/>
                <w:color w:val="auto"/>
                <w:kern w:val="21"/>
                <w:szCs w:val="21"/>
                <w:u w:val="single"/>
                <w:lang w:val="en-US" w:eastAsia="zh-CN"/>
              </w:rPr>
              <w:t>1.389</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废纯水制备RO膜</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一般固废</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900-999-99</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类比法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0.2</w:t>
            </w:r>
          </w:p>
        </w:tc>
        <w:tc>
          <w:tcPr>
            <w:tcW w:w="447" w:type="pct"/>
            <w:shd w:val="clear" w:color="auto" w:fill="auto"/>
            <w:vAlign w:val="center"/>
          </w:tcPr>
          <w:p>
            <w:pPr>
              <w:widowControl w:val="0"/>
              <w:adjustRightInd w:val="0"/>
              <w:snapToGrid w:val="0"/>
              <w:jc w:val="center"/>
              <w:rPr>
                <w:b/>
                <w:color w:val="auto"/>
                <w:kern w:val="21"/>
                <w:u w:val="single"/>
              </w:rPr>
            </w:pPr>
            <w:r>
              <w:rPr>
                <w:b/>
                <w:color w:val="auto"/>
                <w:kern w:val="21"/>
                <w:u w:val="single"/>
              </w:rPr>
              <w:t>固体</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RO膜</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0.2</w:t>
            </w:r>
          </w:p>
        </w:tc>
        <w:tc>
          <w:tcPr>
            <w:tcW w:w="446"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生活垃圾</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一般固废</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6.6</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u w:val="single"/>
              </w:rPr>
              <w:t>固体</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生活垃圾</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垃圾桶收集</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6.6</w:t>
            </w:r>
          </w:p>
        </w:tc>
        <w:tc>
          <w:tcPr>
            <w:tcW w:w="446" w:type="pct"/>
            <w:shd w:val="clear" w:color="auto" w:fill="auto"/>
            <w:vAlign w:val="center"/>
          </w:tcPr>
          <w:p>
            <w:pPr>
              <w:widowControl w:val="0"/>
              <w:tabs>
                <w:tab w:val="left" w:pos="3227"/>
              </w:tabs>
              <w:adjustRightInd w:val="0"/>
              <w:snapToGrid w:val="0"/>
              <w:jc w:val="center"/>
              <w:rPr>
                <w:b/>
                <w:color w:val="auto"/>
                <w:kern w:val="21"/>
                <w:u w:val="single"/>
              </w:rPr>
            </w:pPr>
            <w:r>
              <w:rPr>
                <w:rFonts w:hint="eastAsia"/>
                <w:b/>
                <w:color w:val="auto"/>
                <w:kern w:val="21"/>
                <w:u w:val="single"/>
              </w:rPr>
              <w:t>运往垃圾中转站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镀镍槽液</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336-054-17</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656.1</w:t>
            </w:r>
            <w:r>
              <w:rPr>
                <w:b/>
                <w:color w:val="auto"/>
                <w:kern w:val="21"/>
                <w:szCs w:val="21"/>
                <w:u w:val="single"/>
              </w:rPr>
              <w:t>（5a）</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液体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水、镍</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镍</w:t>
            </w:r>
          </w:p>
        </w:tc>
        <w:tc>
          <w:tcPr>
            <w:tcW w:w="447"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直接运走</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656.1</w:t>
            </w:r>
            <w:r>
              <w:rPr>
                <w:b/>
                <w:color w:val="auto"/>
                <w:kern w:val="21"/>
                <w:szCs w:val="21"/>
                <w:u w:val="single"/>
              </w:rPr>
              <w:t>（5a）</w:t>
            </w:r>
          </w:p>
        </w:tc>
        <w:tc>
          <w:tcPr>
            <w:tcW w:w="446"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交由资质的危废单位处理处置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镀锌槽液</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336-052-17</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21.42</w:t>
            </w:r>
            <w:r>
              <w:rPr>
                <w:b/>
                <w:color w:val="auto"/>
                <w:kern w:val="21"/>
                <w:szCs w:val="21"/>
                <w:u w:val="single"/>
              </w:rPr>
              <w:t>（5a）</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液体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水、锌</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锌</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21.42</w:t>
            </w:r>
            <w:r>
              <w:rPr>
                <w:b/>
                <w:color w:val="auto"/>
                <w:kern w:val="21"/>
                <w:szCs w:val="21"/>
                <w:u w:val="single"/>
              </w:rPr>
              <w:t>（5a）</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含镍废物</w:t>
            </w:r>
          </w:p>
        </w:tc>
        <w:tc>
          <w:tcPr>
            <w:tcW w:w="447"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336-054-17</w:t>
            </w:r>
          </w:p>
        </w:tc>
        <w:tc>
          <w:tcPr>
            <w:tcW w:w="447"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rFonts w:hint="eastAsia"/>
                <w:b/>
                <w:color w:val="auto"/>
                <w:kern w:val="21"/>
                <w:szCs w:val="21"/>
                <w:highlight w:val="none"/>
                <w:u w:val="single"/>
              </w:rPr>
              <w:t>49.89</w:t>
            </w:r>
          </w:p>
        </w:tc>
        <w:tc>
          <w:tcPr>
            <w:tcW w:w="447" w:type="pct"/>
            <w:shd w:val="clear" w:color="auto" w:fill="auto"/>
            <w:vAlign w:val="center"/>
          </w:tcPr>
          <w:p>
            <w:pPr>
              <w:widowControl w:val="0"/>
              <w:adjustRightInd w:val="0"/>
              <w:snapToGrid w:val="0"/>
              <w:jc w:val="center"/>
              <w:rPr>
                <w:b/>
                <w:color w:val="auto"/>
                <w:kern w:val="21"/>
                <w:highlight w:val="none"/>
                <w:u w:val="single"/>
              </w:rPr>
            </w:pPr>
            <w:r>
              <w:rPr>
                <w:b/>
                <w:color w:val="auto"/>
                <w:kern w:val="21"/>
                <w:highlight w:val="none"/>
                <w:u w:val="single"/>
              </w:rPr>
              <w:t>固体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镍</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镍</w:t>
            </w:r>
          </w:p>
        </w:tc>
        <w:tc>
          <w:tcPr>
            <w:tcW w:w="447" w:type="pct"/>
            <w:vMerge w:val="restar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收集于危险废物暂存间（</w:t>
            </w:r>
            <w:r>
              <w:rPr>
                <w:rFonts w:hint="eastAsia"/>
                <w:b/>
                <w:color w:val="auto"/>
                <w:kern w:val="21"/>
                <w:u w:val="single"/>
              </w:rPr>
              <w:t>150</w:t>
            </w:r>
            <w:r>
              <w:rPr>
                <w:b/>
                <w:color w:val="auto"/>
                <w:kern w:val="21"/>
                <w:u w:val="single"/>
              </w:rPr>
              <w:t>m</w:t>
            </w:r>
            <w:r>
              <w:rPr>
                <w:b/>
                <w:color w:val="auto"/>
                <w:kern w:val="21"/>
                <w:u w:val="single"/>
                <w:vertAlign w:val="superscript"/>
              </w:rPr>
              <w:t>2</w:t>
            </w:r>
            <w:r>
              <w:rPr>
                <w:b/>
                <w:color w:val="auto"/>
                <w:kern w:val="21"/>
                <w:u w:val="single"/>
              </w:rPr>
              <w:t>）暂存</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49.89</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含锌废物</w:t>
            </w:r>
          </w:p>
        </w:tc>
        <w:tc>
          <w:tcPr>
            <w:tcW w:w="447"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336-052-17</w:t>
            </w:r>
          </w:p>
        </w:tc>
        <w:tc>
          <w:tcPr>
            <w:tcW w:w="447"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rFonts w:hint="eastAsia"/>
                <w:b/>
                <w:color w:val="auto"/>
                <w:kern w:val="21"/>
                <w:szCs w:val="21"/>
                <w:highlight w:val="none"/>
                <w:u w:val="single"/>
              </w:rPr>
              <w:t>2.571</w:t>
            </w:r>
          </w:p>
        </w:tc>
        <w:tc>
          <w:tcPr>
            <w:tcW w:w="447" w:type="pct"/>
            <w:shd w:val="clear" w:color="auto" w:fill="auto"/>
            <w:vAlign w:val="center"/>
          </w:tcPr>
          <w:p>
            <w:pPr>
              <w:widowControl w:val="0"/>
              <w:adjustRightInd w:val="0"/>
              <w:snapToGrid w:val="0"/>
              <w:jc w:val="center"/>
              <w:rPr>
                <w:b/>
                <w:color w:val="auto"/>
                <w:kern w:val="21"/>
                <w:highlight w:val="none"/>
                <w:u w:val="single"/>
              </w:rPr>
            </w:pPr>
            <w:r>
              <w:rPr>
                <w:b/>
                <w:color w:val="auto"/>
                <w:kern w:val="21"/>
                <w:highlight w:val="none"/>
                <w:u w:val="single"/>
              </w:rPr>
              <w:t>固体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锌</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锌</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2.571</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含铬废物</w:t>
            </w:r>
          </w:p>
        </w:tc>
        <w:tc>
          <w:tcPr>
            <w:tcW w:w="447"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336-068-17</w:t>
            </w:r>
          </w:p>
        </w:tc>
        <w:tc>
          <w:tcPr>
            <w:tcW w:w="447" w:type="pct"/>
            <w:shd w:val="clear" w:color="auto" w:fill="auto"/>
            <w:vAlign w:val="center"/>
          </w:tcPr>
          <w:p>
            <w:pPr>
              <w:widowControl w:val="0"/>
              <w:tabs>
                <w:tab w:val="left" w:pos="3227"/>
              </w:tabs>
              <w:adjustRightInd w:val="0"/>
              <w:snapToGrid w:val="0"/>
              <w:jc w:val="center"/>
              <w:rPr>
                <w:b/>
                <w:color w:val="auto"/>
                <w:kern w:val="21"/>
                <w:highlight w:val="none"/>
                <w:u w:val="single"/>
              </w:rPr>
            </w:pPr>
            <w:r>
              <w:rPr>
                <w:b/>
                <w:color w:val="auto"/>
                <w:kern w:val="21"/>
                <w:highlight w:val="none"/>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rFonts w:hint="eastAsia"/>
                <w:b/>
                <w:color w:val="auto"/>
                <w:kern w:val="21"/>
                <w:szCs w:val="21"/>
                <w:highlight w:val="none"/>
                <w:u w:val="single"/>
              </w:rPr>
              <w:t>72.6949</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highlight w:val="none"/>
                <w:u w:val="single"/>
              </w:rPr>
              <w:t>固体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铬</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highlight w:val="none"/>
                <w:u w:val="single"/>
              </w:rPr>
            </w:pPr>
            <w:r>
              <w:rPr>
                <w:b/>
                <w:color w:val="auto"/>
                <w:kern w:val="21"/>
                <w:szCs w:val="21"/>
                <w:highlight w:val="none"/>
                <w:u w:val="single"/>
              </w:rPr>
              <w:t>铬</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72.6949</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rFonts w:hint="eastAsia"/>
                <w:b/>
                <w:color w:val="auto"/>
                <w:kern w:val="21"/>
                <w:u w:val="single"/>
              </w:rPr>
              <w:t>气浮池污油</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900-210-08</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物料衡算法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0.099</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液体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浮油</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浮油</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0.099</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废机油</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900-249-08</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类比法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1</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液体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废矿物油</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废矿物油</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u w:val="single"/>
              </w:rPr>
              <w:t>1</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rFonts w:hint="eastAsia"/>
                <w:b/>
                <w:color w:val="auto"/>
                <w:kern w:val="21"/>
                <w:u w:val="single"/>
              </w:rPr>
              <w:t>废水反渗透膜</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900-041-49</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类比法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6（3a）</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u w:val="single"/>
              </w:rPr>
              <w:t>固体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反渗透膜</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重金属</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6（3a）</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1"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生化处理污泥</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危险废物</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336-06</w:t>
            </w:r>
            <w:r>
              <w:rPr>
                <w:rFonts w:hint="eastAsia"/>
                <w:b/>
                <w:color w:val="auto"/>
                <w:kern w:val="21"/>
                <w:szCs w:val="21"/>
                <w:u w:val="single"/>
              </w:rPr>
              <w:t>3</w:t>
            </w:r>
            <w:r>
              <w:rPr>
                <w:b/>
                <w:color w:val="auto"/>
                <w:kern w:val="21"/>
                <w:szCs w:val="21"/>
                <w:u w:val="single"/>
              </w:rPr>
              <w:t>-17</w:t>
            </w: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b/>
                <w:color w:val="auto"/>
                <w:kern w:val="21"/>
                <w:u w:val="single"/>
              </w:rPr>
              <w:t>类比法</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rFonts w:hint="eastAsia"/>
                <w:b/>
                <w:color w:val="auto"/>
                <w:kern w:val="21"/>
                <w:szCs w:val="21"/>
                <w:u w:val="single"/>
              </w:rPr>
              <w:t>161.788</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u w:val="single"/>
              </w:rPr>
              <w:t>固体</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污泥</w:t>
            </w:r>
          </w:p>
        </w:tc>
        <w:tc>
          <w:tcPr>
            <w:tcW w:w="447" w:type="pct"/>
            <w:shd w:val="clear" w:color="auto" w:fill="auto"/>
            <w:vAlign w:val="center"/>
          </w:tcPr>
          <w:p>
            <w:pPr>
              <w:pStyle w:val="33"/>
              <w:widowControl w:val="0"/>
              <w:adjustRightInd w:val="0"/>
              <w:snapToGrid w:val="0"/>
              <w:spacing w:after="0"/>
              <w:ind w:left="0" w:leftChars="0"/>
              <w:jc w:val="center"/>
              <w:rPr>
                <w:b/>
                <w:color w:val="auto"/>
                <w:kern w:val="21"/>
                <w:szCs w:val="21"/>
                <w:u w:val="single"/>
              </w:rPr>
            </w:pPr>
            <w:r>
              <w:rPr>
                <w:b/>
                <w:color w:val="auto"/>
                <w:kern w:val="21"/>
                <w:szCs w:val="21"/>
                <w:u w:val="single"/>
              </w:rPr>
              <w:t>重金属</w:t>
            </w:r>
          </w:p>
        </w:tc>
        <w:tc>
          <w:tcPr>
            <w:tcW w:w="447"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c>
          <w:tcPr>
            <w:tcW w:w="447" w:type="pct"/>
            <w:shd w:val="clear" w:color="auto" w:fill="auto"/>
            <w:vAlign w:val="center"/>
          </w:tcPr>
          <w:p>
            <w:pPr>
              <w:widowControl w:val="0"/>
              <w:tabs>
                <w:tab w:val="left" w:pos="3227"/>
              </w:tabs>
              <w:adjustRightInd w:val="0"/>
              <w:snapToGrid w:val="0"/>
              <w:jc w:val="center"/>
              <w:rPr>
                <w:b/>
                <w:color w:val="auto"/>
                <w:kern w:val="21"/>
                <w:u w:val="single"/>
              </w:rPr>
            </w:pPr>
            <w:r>
              <w:rPr>
                <w:rFonts w:hint="eastAsia"/>
                <w:b/>
                <w:color w:val="auto"/>
                <w:kern w:val="21"/>
                <w:u w:val="single"/>
              </w:rPr>
              <w:t>161.788</w:t>
            </w:r>
          </w:p>
        </w:tc>
        <w:tc>
          <w:tcPr>
            <w:tcW w:w="446" w:type="pct"/>
            <w:vMerge w:val="continue"/>
            <w:shd w:val="clear" w:color="auto" w:fill="auto"/>
            <w:vAlign w:val="center"/>
          </w:tcPr>
          <w:p>
            <w:pPr>
              <w:widowControl w:val="0"/>
              <w:tabs>
                <w:tab w:val="left" w:pos="3227"/>
              </w:tabs>
              <w:adjustRightInd w:val="0"/>
              <w:snapToGrid w:val="0"/>
              <w:jc w:val="center"/>
              <w:rPr>
                <w:b/>
                <w:color w:val="auto"/>
                <w:kern w:val="21"/>
                <w:u w:val="single"/>
              </w:rPr>
            </w:pPr>
          </w:p>
        </w:tc>
      </w:tr>
    </w:tbl>
    <w:p>
      <w:pPr>
        <w:widowControl w:val="0"/>
        <w:tabs>
          <w:tab w:val="left" w:pos="3227"/>
        </w:tabs>
        <w:adjustRightInd w:val="0"/>
        <w:snapToGrid w:val="0"/>
        <w:jc w:val="center"/>
        <w:rPr>
          <w:rFonts w:ascii="宋体" w:hAnsi="宋体"/>
          <w:color w:val="auto"/>
          <w:kern w:val="21"/>
        </w:rPr>
      </w:pPr>
    </w:p>
    <w:p>
      <w:pPr>
        <w:tabs>
          <w:tab w:val="left" w:pos="3227"/>
        </w:tabs>
        <w:adjustRightInd w:val="0"/>
        <w:snapToGrid w:val="0"/>
        <w:jc w:val="center"/>
        <w:rPr>
          <w:rFonts w:eastAsia="黑体"/>
          <w:color w:val="auto"/>
          <w:kern w:val="21"/>
          <w:sz w:val="24"/>
          <w:szCs w:val="24"/>
          <w:u w:val="single"/>
        </w:rPr>
        <w:sectPr>
          <w:pgSz w:w="16840" w:h="11907" w:orient="landscape"/>
          <w:pgMar w:top="1800" w:right="1440" w:bottom="1800" w:left="1440" w:header="1134" w:footer="1186" w:gutter="0"/>
          <w:cols w:space="720" w:num="1"/>
          <w:docGrid w:linePitch="286" w:charSpace="0"/>
        </w:sectPr>
      </w:pP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206" w:name="_Toc11623"/>
      <w:bookmarkStart w:id="207" w:name="_Toc10365_WPSOffice_Level2"/>
      <w:bookmarkStart w:id="208" w:name="_Toc112338942"/>
      <w:bookmarkStart w:id="209" w:name="_Toc29229"/>
      <w:r>
        <w:rPr>
          <w:bCs w:val="0"/>
          <w:color w:val="auto"/>
          <w:kern w:val="0"/>
          <w:szCs w:val="20"/>
          <w:lang w:val="en-US"/>
        </w:rPr>
        <w:t>3.5清洁生产分析</w:t>
      </w:r>
      <w:bookmarkEnd w:id="206"/>
      <w:bookmarkEnd w:id="207"/>
      <w:bookmarkEnd w:id="208"/>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3.5.1原辅材料和能源</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本项目在满足生产及产品质量要求的前提下，尽可能采用无毒、无害或低毒、低害、易于降解、便于回收利用的材料作为替代品，减轻对环境的危害。</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本项目生产过程中需要加热工序采用蒸汽加热，主热源为天然气锅炉，供热稳定，工程采用的能源为获嘉县产业集聚区集中供给的天然气，符合清洁能源要求。</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3.5.</w:t>
      </w:r>
      <w:r>
        <w:rPr>
          <w:rFonts w:hint="eastAsia" w:eastAsia="黑体"/>
          <w:color w:val="auto"/>
          <w:kern w:val="21"/>
          <w:sz w:val="28"/>
          <w:szCs w:val="28"/>
        </w:rPr>
        <w:t>2生产工艺先进性</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）电镀生产线工艺自动化程度高，进料</w:t>
      </w:r>
      <w:r>
        <w:rPr>
          <w:color w:val="auto"/>
          <w:kern w:val="21"/>
          <w:sz w:val="24"/>
        </w:rPr>
        <w:t>-</w:t>
      </w:r>
      <w:r>
        <w:rPr>
          <w:rFonts w:hint="eastAsia"/>
          <w:color w:val="auto"/>
          <w:kern w:val="21"/>
          <w:sz w:val="24"/>
        </w:rPr>
        <w:t>电镀</w:t>
      </w:r>
      <w:r>
        <w:rPr>
          <w:color w:val="auto"/>
          <w:kern w:val="21"/>
          <w:sz w:val="24"/>
        </w:rPr>
        <w:t>-</w:t>
      </w:r>
      <w:r>
        <w:rPr>
          <w:rFonts w:hint="eastAsia"/>
          <w:color w:val="auto"/>
          <w:kern w:val="21"/>
          <w:sz w:val="24"/>
        </w:rPr>
        <w:t>清洗</w:t>
      </w:r>
      <w:r>
        <w:rPr>
          <w:color w:val="auto"/>
          <w:kern w:val="21"/>
          <w:sz w:val="24"/>
        </w:rPr>
        <w:t>-</w:t>
      </w:r>
      <w:r>
        <w:rPr>
          <w:rFonts w:hint="eastAsia"/>
          <w:color w:val="auto"/>
          <w:kern w:val="21"/>
          <w:sz w:val="24"/>
        </w:rPr>
        <w:t>收料等工序均在生产线上进行，能有效防止跑冒滴漏现象。</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（2）各电镀生产线使用高频开关电源和脉冲电源，其直流母线压降不超过</w:t>
      </w:r>
      <w:r>
        <w:rPr>
          <w:color w:val="auto"/>
          <w:kern w:val="21"/>
          <w:sz w:val="24"/>
        </w:rPr>
        <w:t>10%</w:t>
      </w:r>
      <w:r>
        <w:rPr>
          <w:rFonts w:hint="eastAsia"/>
          <w:color w:val="auto"/>
          <w:kern w:val="21"/>
          <w:sz w:val="24"/>
        </w:rPr>
        <w:t>，并且定期对极杠进行清理，保持极杠清洁、导电良好。</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（3）各电镀线镀液采用连续过滤技术，即每个镀槽均配备一个预备槽，预备槽与本槽之间通过过滤机连接，预备槽中添加有滤芯去除溶液中的杂质，同时通过可编程控制器控制本槽补加和调整溶液。</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（4）各电镀线通过镀件缓慢出槽以延长镀液滴流时间至</w:t>
      </w:r>
      <w:r>
        <w:rPr>
          <w:color w:val="auto"/>
          <w:kern w:val="21"/>
          <w:sz w:val="24"/>
        </w:rPr>
        <w:t>7</w:t>
      </w:r>
      <w:r>
        <w:rPr>
          <w:rFonts w:hint="eastAsia"/>
          <w:color w:val="auto"/>
          <w:kern w:val="21"/>
          <w:sz w:val="24"/>
          <w:lang w:eastAsia="zh-CN"/>
        </w:rPr>
        <w:t>～</w:t>
      </w:r>
      <w:r>
        <w:rPr>
          <w:color w:val="auto"/>
          <w:kern w:val="21"/>
          <w:sz w:val="24"/>
        </w:rPr>
        <w:t xml:space="preserve">10s </w:t>
      </w:r>
      <w:r>
        <w:rPr>
          <w:rFonts w:hint="eastAsia"/>
          <w:color w:val="auto"/>
          <w:kern w:val="21"/>
          <w:sz w:val="24"/>
        </w:rPr>
        <w:t>使得镀液回流效率达到</w:t>
      </w:r>
      <w:r>
        <w:rPr>
          <w:color w:val="auto"/>
          <w:kern w:val="21"/>
          <w:sz w:val="24"/>
        </w:rPr>
        <w:t>50%</w:t>
      </w:r>
      <w:r>
        <w:rPr>
          <w:rFonts w:hint="eastAsia"/>
          <w:color w:val="auto"/>
          <w:kern w:val="21"/>
          <w:sz w:val="24"/>
        </w:rPr>
        <w:t>以上。</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（5）各电镀槽和清洗槽之间设置桥接，可有效减少带出液的跑冒滴漏，也减少了进入清洗槽的带出镀液量，减少清洗水用量。</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（6）各电镀环节镀槽下均设置镀液回收槽，采用纯水进行静止水浸洗，当浸洗液达到一定的浓度后，向镀槽中添加，可以将镀件表面带出的镀液回收</w:t>
      </w:r>
      <w:r>
        <w:rPr>
          <w:color w:val="auto"/>
          <w:kern w:val="21"/>
          <w:sz w:val="24"/>
        </w:rPr>
        <w:t>80%</w:t>
      </w:r>
      <w:r>
        <w:rPr>
          <w:rFonts w:hint="eastAsia"/>
          <w:color w:val="auto"/>
          <w:kern w:val="21"/>
          <w:sz w:val="24"/>
        </w:rPr>
        <w:t>。</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（7）电镀各工段后配套的水洗采用二级或三级逆流水洗和喷淋水洗相结合的方式，逆流水洗适用于生产批量较大、用水量较大的连续生产车间，比一般并列水洗省水节约新鲜水用量</w:t>
      </w:r>
      <w:r>
        <w:rPr>
          <w:color w:val="auto"/>
          <w:kern w:val="21"/>
          <w:sz w:val="24"/>
        </w:rPr>
        <w:t>60%</w:t>
      </w:r>
      <w:r>
        <w:rPr>
          <w:rFonts w:hint="eastAsia"/>
          <w:color w:val="auto"/>
          <w:kern w:val="21"/>
          <w:sz w:val="24"/>
        </w:rPr>
        <w:t>，且各槽的水以重力自流方式连续逆流补给，</w:t>
      </w:r>
      <w:r>
        <w:rPr>
          <w:rFonts w:hint="eastAsia"/>
          <w:color w:val="auto"/>
          <w:kern w:val="21"/>
          <w:sz w:val="24"/>
          <w:lang w:eastAsia="zh-CN"/>
        </w:rPr>
        <w:t>无需</w:t>
      </w:r>
      <w:r>
        <w:rPr>
          <w:rFonts w:hint="eastAsia"/>
          <w:color w:val="auto"/>
          <w:kern w:val="21"/>
          <w:sz w:val="24"/>
        </w:rPr>
        <w:t>动力提升。</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（8）含镍废水、含铬废水、含锌废水均实现全部回用，做到涉重废水零排放。</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rPr>
        <w:t>（9）</w:t>
      </w:r>
      <w:r>
        <w:rPr>
          <w:rFonts w:hint="eastAsia"/>
          <w:color w:val="auto"/>
          <w:kern w:val="21"/>
          <w:sz w:val="24"/>
          <w:lang w:val="en-US"/>
        </w:rPr>
        <w:t>本项目采用低浓度铬酸钝化工艺。</w:t>
      </w:r>
    </w:p>
    <w:p>
      <w:pPr>
        <w:pStyle w:val="32"/>
        <w:adjustRightInd w:val="0"/>
        <w:snapToGrid w:val="0"/>
        <w:spacing w:after="0" w:line="360" w:lineRule="auto"/>
        <w:ind w:firstLine="480" w:firstLineChars="200"/>
        <w:rPr>
          <w:color w:val="auto"/>
          <w:kern w:val="21"/>
          <w:sz w:val="24"/>
        </w:rPr>
      </w:pPr>
      <w:r>
        <w:rPr>
          <w:rFonts w:hint="eastAsia"/>
          <w:color w:val="auto"/>
          <w:kern w:val="21"/>
          <w:sz w:val="24"/>
          <w:lang w:val="en-US"/>
        </w:rPr>
        <w:t>（10）电镀生产线</w:t>
      </w:r>
      <w:r>
        <w:rPr>
          <w:color w:val="auto"/>
          <w:kern w:val="21"/>
          <w:sz w:val="24"/>
        </w:rPr>
        <w:t>采用全密封设计，侧面活动门，方便进入生产线，顶部采用透明PVC板，以方便生产线有足够的光度</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（11）</w:t>
      </w:r>
      <w:r>
        <w:rPr>
          <w:color w:val="auto"/>
          <w:kern w:val="21"/>
          <w:sz w:val="24"/>
        </w:rPr>
        <w:t>本项目</w:t>
      </w:r>
      <w:r>
        <w:rPr>
          <w:rFonts w:hint="eastAsia"/>
          <w:color w:val="auto"/>
          <w:kern w:val="21"/>
          <w:sz w:val="24"/>
          <w:lang w:val="en-US"/>
        </w:rPr>
        <w:t>单位产品新鲜水用量为0.0071t/m</w:t>
      </w:r>
      <w:r>
        <w:rPr>
          <w:rFonts w:hint="eastAsia"/>
          <w:color w:val="auto"/>
          <w:kern w:val="21"/>
          <w:sz w:val="24"/>
          <w:vertAlign w:val="superscript"/>
          <w:lang w:val="en-US"/>
        </w:rPr>
        <w:t>2</w:t>
      </w:r>
      <w:r>
        <w:rPr>
          <w:rFonts w:hint="eastAsia"/>
          <w:color w:val="auto"/>
          <w:kern w:val="21"/>
          <w:sz w:val="24"/>
          <w:lang w:val="en-US"/>
        </w:rPr>
        <w:t>，</w:t>
      </w:r>
      <w:r>
        <w:rPr>
          <w:color w:val="auto"/>
          <w:kern w:val="21"/>
          <w:sz w:val="24"/>
        </w:rPr>
        <w:t>生产线电镀用水重复利用率约为</w:t>
      </w:r>
      <w:r>
        <w:rPr>
          <w:rFonts w:hint="eastAsia"/>
          <w:color w:val="auto"/>
          <w:kern w:val="21"/>
          <w:sz w:val="24"/>
          <w:lang w:val="en-US"/>
        </w:rPr>
        <w:t>90</w:t>
      </w:r>
      <w:r>
        <w:rPr>
          <w:rFonts w:eastAsia="Times New Roman"/>
          <w:color w:val="auto"/>
          <w:kern w:val="21"/>
          <w:sz w:val="24"/>
        </w:rPr>
        <w:t>%</w:t>
      </w:r>
      <w:r>
        <w:rPr>
          <w:rFonts w:hint="eastAsia"/>
          <w:color w:val="auto"/>
          <w:kern w:val="21"/>
          <w:sz w:val="24"/>
          <w:lang w:val="en-US"/>
        </w:rPr>
        <w:t>，符合清洁生产</w:t>
      </w:r>
      <w:r>
        <w:rPr>
          <w:rFonts w:hint="eastAsia"/>
          <w:color w:val="auto"/>
          <w:kern w:val="21"/>
          <w:sz w:val="24"/>
          <w:lang w:val="en-US"/>
        </w:rPr>
        <w:fldChar w:fldCharType="begin"/>
      </w:r>
      <w:r>
        <w:rPr>
          <w:rFonts w:hint="eastAsia"/>
          <w:color w:val="auto"/>
          <w:kern w:val="21"/>
          <w:sz w:val="24"/>
          <w:lang w:val="en-US"/>
        </w:rPr>
        <w:instrText xml:space="preserve"> = 1 \* ROMAN \* MERGEFORMAT </w:instrText>
      </w:r>
      <w:r>
        <w:rPr>
          <w:rFonts w:hint="eastAsia"/>
          <w:color w:val="auto"/>
          <w:kern w:val="21"/>
          <w:sz w:val="24"/>
          <w:lang w:val="en-US"/>
        </w:rPr>
        <w:fldChar w:fldCharType="separate"/>
      </w:r>
      <w:r>
        <w:rPr>
          <w:color w:val="auto"/>
        </w:rPr>
        <w:t>I</w:t>
      </w:r>
      <w:r>
        <w:rPr>
          <w:rFonts w:hint="eastAsia"/>
          <w:color w:val="auto"/>
          <w:kern w:val="21"/>
          <w:sz w:val="24"/>
          <w:lang w:val="en-US"/>
        </w:rPr>
        <w:fldChar w:fldCharType="end"/>
      </w:r>
      <w:r>
        <w:rPr>
          <w:rFonts w:hint="eastAsia"/>
          <w:color w:val="auto"/>
          <w:kern w:val="21"/>
          <w:sz w:val="24"/>
          <w:lang w:val="en-US"/>
        </w:rPr>
        <w:t>级要求</w:t>
      </w:r>
      <w:r>
        <w:rPr>
          <w:color w:val="auto"/>
          <w:kern w:val="21"/>
          <w:sz w:val="24"/>
        </w:rPr>
        <w:t>。</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2）对电镀槽进行廊道式封闭，生产间歇时投加酸雾抑制剂，并设置槽边双侧抽风</w:t>
      </w:r>
      <w:r>
        <w:rPr>
          <w:rFonts w:hint="eastAsia"/>
          <w:color w:val="auto"/>
          <w:kern w:val="21"/>
          <w:sz w:val="24"/>
          <w:lang w:eastAsia="zh-CN"/>
        </w:rPr>
        <w:t>及</w:t>
      </w:r>
      <w:r>
        <w:rPr>
          <w:rFonts w:hint="eastAsia"/>
          <w:color w:val="auto"/>
          <w:kern w:val="21"/>
          <w:sz w:val="24"/>
        </w:rPr>
        <w:t>顶吸抽风提高废气的集气效率，减少无组织排放量。</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3.5.</w:t>
      </w:r>
      <w:r>
        <w:rPr>
          <w:rFonts w:hint="eastAsia" w:eastAsia="黑体"/>
          <w:color w:val="auto"/>
          <w:kern w:val="21"/>
          <w:sz w:val="28"/>
          <w:szCs w:val="28"/>
        </w:rPr>
        <w:t>3装备水平及自动化控制</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1、装备水平</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本项目电镀线装备水平处于国内先进水平。根据电镀工艺要求选用的清洁的电镀工艺；在烘干、电镀过程及加热等方面采取节能措施；电镀槽设置桥接及挡板；生产线全自动化生产；多级镀液回收及末端回用水。</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2、自动化控制</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本项目电镀生产线采用全自动控制系统，即上料、下料采用人工外，工件从前处理至最后电镀清洗完成全部电脑操作，自动完成，根据工艺要求在电脑中设置电镀时间、选择电流强度、清洗水流量等。一方面，可大幅提高工作效率，降低人工成本，同时，便于在线监测和回收，控制清洗水流量既能满足清洗质量要求，又最大程度的减少用水，人工较难控制；对电镀产品的稳定性也有良好的保障，相对人工操作，可减少排污，更有利于生产车间的整体环境及降低废水处理成本。</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厂区污水处理站采用自动化程序，包含</w:t>
      </w:r>
      <w:r>
        <w:rPr>
          <w:b/>
          <w:bCs/>
          <w:color w:val="auto"/>
          <w:kern w:val="21"/>
          <w:sz w:val="24"/>
          <w:u w:val="single"/>
        </w:rPr>
        <w:t>自动加药装置等；出水口</w:t>
      </w:r>
      <w:r>
        <w:rPr>
          <w:rFonts w:hint="eastAsia"/>
          <w:b/>
          <w:bCs/>
          <w:color w:val="auto"/>
          <w:kern w:val="21"/>
          <w:sz w:val="24"/>
          <w:u w:val="single"/>
        </w:rPr>
        <w:t>pH</w:t>
      </w:r>
      <w:r>
        <w:rPr>
          <w:b/>
          <w:bCs/>
          <w:color w:val="auto"/>
          <w:kern w:val="21"/>
          <w:sz w:val="24"/>
          <w:u w:val="single"/>
        </w:rPr>
        <w:t>自动监测装置等自动化程序控制，</w:t>
      </w:r>
      <w:r>
        <w:rPr>
          <w:rFonts w:hint="eastAsia"/>
          <w:b/>
          <w:bCs/>
          <w:color w:val="auto"/>
          <w:kern w:val="21"/>
          <w:sz w:val="24"/>
          <w:u w:val="single"/>
        </w:rPr>
        <w:t>自控系统由管理层、控制管理层、现场控制层三层组成，控制系统结构采用集散型控制系统，以便于实现“集中管理，分散控制”的三级控制。指挥权集中、控制权分散、注重功能分散，以求控制灵活，提高整个系统的可靠性。</w:t>
      </w:r>
      <w:r>
        <w:rPr>
          <w:b/>
          <w:bCs/>
          <w:color w:val="auto"/>
          <w:kern w:val="21"/>
          <w:sz w:val="24"/>
          <w:u w:val="single"/>
        </w:rPr>
        <w:t xml:space="preserve">PLC </w:t>
      </w:r>
      <w:r>
        <w:rPr>
          <w:rFonts w:hint="eastAsia"/>
          <w:b/>
          <w:bCs/>
          <w:color w:val="auto"/>
          <w:kern w:val="21"/>
          <w:sz w:val="24"/>
          <w:u w:val="single"/>
        </w:rPr>
        <w:t>用于监控水泵、阀⻔、电机等的运行和操作，仪表用于检测水的</w:t>
      </w:r>
      <w:r>
        <w:rPr>
          <w:b/>
          <w:bCs/>
          <w:color w:val="auto"/>
          <w:kern w:val="21"/>
          <w:sz w:val="24"/>
          <w:u w:val="single"/>
        </w:rPr>
        <w:t>pH</w:t>
      </w:r>
      <w:r>
        <w:rPr>
          <w:rFonts w:hint="eastAsia"/>
          <w:b/>
          <w:bCs/>
          <w:color w:val="auto"/>
          <w:kern w:val="21"/>
          <w:sz w:val="24"/>
          <w:u w:val="single"/>
        </w:rPr>
        <w:t>、电导、温度等水质参数。</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3、电镀装备节能降耗</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本项目电镀装备节能降耗方面采取如下措施：</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①根据工艺要求，选用高效节能的整流装置和设备；</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②与钢制镀槽相互接触的部件都应该采取绝缘措施，防止漏电；</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③镀件的烘干，使用节电技术；</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④使用酸雾抑雾剂，减少排风设备的电能消耗；</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⑤尽量采用活性阳极，使用性能良好的电镀添加剂，降低槽电压，提高电流效率，节省电能，延长整流设备的使用寿命；</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⑥前处理工序推广使用配有搅拌装置的中低温工艺；</w:t>
      </w:r>
    </w:p>
    <w:p>
      <w:pPr>
        <w:pStyle w:val="32"/>
        <w:adjustRightInd w:val="0"/>
        <w:snapToGrid w:val="0"/>
        <w:spacing w:after="0" w:line="360" w:lineRule="auto"/>
        <w:ind w:firstLine="482" w:firstLineChars="200"/>
        <w:rPr>
          <w:b/>
          <w:bCs/>
          <w:color w:val="auto"/>
          <w:kern w:val="21"/>
          <w:sz w:val="24"/>
          <w:u w:val="single"/>
        </w:rPr>
      </w:pPr>
      <w:r>
        <w:rPr>
          <w:rFonts w:hint="eastAsia"/>
          <w:b/>
          <w:bCs/>
          <w:color w:val="auto"/>
          <w:kern w:val="21"/>
          <w:sz w:val="24"/>
          <w:u w:val="single"/>
        </w:rPr>
        <w:t>⑦热力设备、管道、阀门、法兰等都应考虑采取隔热保温措施；</w:t>
      </w:r>
    </w:p>
    <w:p>
      <w:pPr>
        <w:pStyle w:val="32"/>
        <w:adjustRightInd w:val="0"/>
        <w:snapToGrid w:val="0"/>
        <w:spacing w:after="0" w:line="360" w:lineRule="auto"/>
        <w:ind w:firstLine="482" w:firstLineChars="200"/>
        <w:rPr>
          <w:b/>
          <w:color w:val="auto"/>
          <w:kern w:val="21"/>
          <w:sz w:val="24"/>
          <w:u w:val="single"/>
        </w:rPr>
      </w:pPr>
      <w:r>
        <w:rPr>
          <w:rFonts w:hint="eastAsia"/>
          <w:b/>
          <w:bCs/>
          <w:color w:val="auto"/>
          <w:kern w:val="21"/>
          <w:sz w:val="24"/>
          <w:u w:val="single"/>
        </w:rPr>
        <w:t>⑧有生产用水计量装置和车间排放口废水计量装置</w:t>
      </w:r>
      <w:r>
        <w:rPr>
          <w:rFonts w:hint="eastAsia"/>
          <w:color w:val="auto"/>
          <w:kern w:val="21"/>
          <w:sz w:val="24"/>
        </w:rPr>
        <w:t>。</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3.5.</w:t>
      </w:r>
      <w:r>
        <w:rPr>
          <w:rFonts w:hint="eastAsia" w:eastAsia="黑体"/>
          <w:color w:val="auto"/>
          <w:kern w:val="21"/>
          <w:sz w:val="28"/>
          <w:szCs w:val="28"/>
        </w:rPr>
        <w:t>4污染控制措施</w:t>
      </w:r>
    </w:p>
    <w:p>
      <w:pPr>
        <w:adjustRightInd w:val="0"/>
        <w:snapToGrid w:val="0"/>
        <w:spacing w:line="360" w:lineRule="auto"/>
        <w:ind w:firstLine="480"/>
        <w:rPr>
          <w:color w:val="auto"/>
          <w:kern w:val="21"/>
          <w:sz w:val="24"/>
        </w:rPr>
      </w:pPr>
      <w:r>
        <w:rPr>
          <w:rFonts w:hint="eastAsia"/>
          <w:color w:val="auto"/>
          <w:kern w:val="21"/>
          <w:sz w:val="24"/>
        </w:rPr>
        <w:t>1、废水污染控制措施</w:t>
      </w:r>
    </w:p>
    <w:p>
      <w:pPr>
        <w:adjustRightInd w:val="0"/>
        <w:snapToGrid w:val="0"/>
        <w:spacing w:line="360" w:lineRule="auto"/>
        <w:ind w:firstLine="480" w:firstLineChars="200"/>
        <w:rPr>
          <w:color w:val="auto"/>
          <w:kern w:val="21"/>
          <w:sz w:val="24"/>
          <w:szCs w:val="24"/>
        </w:rPr>
      </w:pPr>
      <w:r>
        <w:rPr>
          <w:rFonts w:ascii="宋体" w:hAnsi="宋体" w:cs="宋体"/>
          <w:color w:val="auto"/>
          <w:kern w:val="0"/>
          <w:sz w:val="24"/>
          <w:szCs w:val="24"/>
          <w:lang w:val="zh-CN" w:bidi="zh-CN"/>
        </w:rPr>
        <w:t>本项目建设</w:t>
      </w:r>
      <w:r>
        <w:rPr>
          <w:rFonts w:hint="eastAsia" w:ascii="宋体" w:hAnsi="宋体" w:cs="宋体"/>
          <w:color w:val="auto"/>
          <w:kern w:val="0"/>
          <w:sz w:val="24"/>
          <w:szCs w:val="24"/>
          <w:lang w:val="en-US" w:bidi="zh-CN"/>
        </w:rPr>
        <w:t>1座</w:t>
      </w:r>
      <w:r>
        <w:rPr>
          <w:rFonts w:hint="eastAsia" w:hAnsi="宋体" w:cs="宋体"/>
          <w:color w:val="auto"/>
          <w:kern w:val="0"/>
          <w:sz w:val="24"/>
          <w:szCs w:val="24"/>
          <w:lang w:val="zh-CN" w:bidi="zh-CN"/>
        </w:rPr>
        <w:t>450m</w:t>
      </w:r>
      <w:r>
        <w:rPr>
          <w:rFonts w:hint="eastAsia" w:hAnsi="宋体" w:cs="宋体"/>
          <w:color w:val="auto"/>
          <w:kern w:val="0"/>
          <w:sz w:val="24"/>
          <w:szCs w:val="24"/>
          <w:vertAlign w:val="superscript"/>
          <w:lang w:val="zh-CN" w:bidi="zh-CN"/>
        </w:rPr>
        <w:t>3</w:t>
      </w:r>
      <w:r>
        <w:rPr>
          <w:rFonts w:hint="eastAsia" w:hAnsi="宋体" w:cs="宋体"/>
          <w:color w:val="auto"/>
          <w:kern w:val="0"/>
          <w:sz w:val="24"/>
          <w:szCs w:val="24"/>
          <w:lang w:val="zh-CN" w:bidi="zh-CN"/>
        </w:rPr>
        <w:t>/d</w:t>
      </w:r>
      <w:r>
        <w:rPr>
          <w:rFonts w:ascii="宋体" w:hAnsi="宋体" w:cs="宋体"/>
          <w:color w:val="auto"/>
          <w:kern w:val="0"/>
          <w:sz w:val="24"/>
          <w:szCs w:val="24"/>
          <w:lang w:val="zh-CN" w:bidi="zh-CN"/>
        </w:rPr>
        <w:t>的污水处理</w:t>
      </w:r>
      <w:r>
        <w:rPr>
          <w:color w:val="auto"/>
          <w:kern w:val="21"/>
          <w:sz w:val="24"/>
        </w:rPr>
        <w:t>站，</w:t>
      </w:r>
      <w:r>
        <w:rPr>
          <w:color w:val="auto"/>
          <w:kern w:val="21"/>
          <w:sz w:val="24"/>
          <w:szCs w:val="24"/>
        </w:rPr>
        <w:t>含镍废水进入含镍废水预处理系统（</w:t>
      </w:r>
      <w:r>
        <w:rPr>
          <w:rFonts w:hint="eastAsia"/>
          <w:color w:val="auto"/>
          <w:kern w:val="21"/>
          <w:sz w:val="24"/>
          <w:szCs w:val="24"/>
        </w:rPr>
        <w:t>pH调节→混凝沉淀→回调→多介质过滤</w:t>
      </w:r>
      <w:r>
        <w:rPr>
          <w:color w:val="auto"/>
          <w:kern w:val="21"/>
          <w:sz w:val="24"/>
          <w:szCs w:val="24"/>
        </w:rPr>
        <w:t>）；含锌废水进入含锌废水预处理系统（</w:t>
      </w:r>
      <w:r>
        <w:rPr>
          <w:rFonts w:hint="eastAsia"/>
          <w:color w:val="auto"/>
          <w:kern w:val="21"/>
          <w:sz w:val="24"/>
          <w:szCs w:val="24"/>
        </w:rPr>
        <w:t>pH调节→混凝沉淀→回调→多介质过滤</w:t>
      </w:r>
      <w:r>
        <w:rPr>
          <w:color w:val="auto"/>
          <w:kern w:val="21"/>
          <w:sz w:val="24"/>
          <w:szCs w:val="24"/>
        </w:rPr>
        <w:t>）；含铬废水进入含铬废水预处理系统（</w:t>
      </w:r>
      <w:r>
        <w:rPr>
          <w:rFonts w:hint="eastAsia"/>
          <w:color w:val="auto"/>
          <w:kern w:val="21"/>
          <w:sz w:val="24"/>
          <w:szCs w:val="24"/>
        </w:rPr>
        <w:t>还原→pH调节→混凝沉淀→回调→多介质过滤</w:t>
      </w:r>
      <w:r>
        <w:rPr>
          <w:color w:val="auto"/>
          <w:kern w:val="21"/>
          <w:sz w:val="24"/>
          <w:szCs w:val="24"/>
        </w:rPr>
        <w:t>）；地面清洗废水进入地面清洗废水预处理系统（</w:t>
      </w:r>
      <w:r>
        <w:rPr>
          <w:rFonts w:hint="eastAsia"/>
          <w:color w:val="auto"/>
          <w:kern w:val="21"/>
          <w:sz w:val="24"/>
          <w:szCs w:val="24"/>
        </w:rPr>
        <w:t>氧化→pH调节→混凝沉淀→还原→混凝沉淀→回调→多介质过滤</w:t>
      </w:r>
      <w:r>
        <w:rPr>
          <w:color w:val="auto"/>
          <w:kern w:val="21"/>
          <w:sz w:val="24"/>
          <w:szCs w:val="24"/>
        </w:rPr>
        <w:t>）；</w:t>
      </w:r>
      <w:r>
        <w:rPr>
          <w:rFonts w:hint="eastAsia"/>
          <w:color w:val="auto"/>
          <w:kern w:val="21"/>
          <w:sz w:val="24"/>
        </w:rPr>
        <w:t>含油废水进入含油废水预处理系统（经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→混凝→气浮）预处理后，再与酸性废水一同进入酸性废水预处理系统（pH调节→混凝沉淀→回调→多介质过滤）。</w:t>
      </w:r>
    </w:p>
    <w:p>
      <w:pPr>
        <w:adjustRightInd w:val="0"/>
        <w:snapToGrid w:val="0"/>
        <w:spacing w:line="360" w:lineRule="auto"/>
        <w:ind w:firstLine="480"/>
        <w:rPr>
          <w:color w:val="auto"/>
          <w:kern w:val="21"/>
          <w:sz w:val="24"/>
          <w:szCs w:val="24"/>
          <w:u w:val="single"/>
        </w:rPr>
      </w:pPr>
      <w:r>
        <w:rPr>
          <w:color w:val="auto"/>
          <w:kern w:val="21"/>
          <w:sz w:val="24"/>
          <w:szCs w:val="24"/>
        </w:rPr>
        <w:t>经预处理后的各股废水一</w:t>
      </w:r>
      <w:r>
        <w:rPr>
          <w:rFonts w:hint="eastAsia"/>
          <w:color w:val="auto"/>
          <w:kern w:val="21"/>
          <w:sz w:val="24"/>
          <w:szCs w:val="24"/>
          <w:lang w:eastAsia="zh-CN"/>
        </w:rPr>
        <w:t>同</w:t>
      </w:r>
      <w:r>
        <w:rPr>
          <w:color w:val="auto"/>
          <w:kern w:val="21"/>
          <w:sz w:val="24"/>
          <w:szCs w:val="24"/>
        </w:rPr>
        <w:t>进入零排放处理系统</w:t>
      </w:r>
      <w:r>
        <w:rPr>
          <w:rFonts w:hint="eastAsia"/>
          <w:color w:val="auto"/>
          <w:kern w:val="21"/>
          <w:sz w:val="24"/>
          <w:szCs w:val="24"/>
          <w:lang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rPr>
        <w:t>处理</w:t>
      </w:r>
      <w:r>
        <w:rPr>
          <w:color w:val="auto"/>
          <w:kern w:val="21"/>
          <w:sz w:val="24"/>
          <w:szCs w:val="24"/>
        </w:rPr>
        <w:t>，</w:t>
      </w:r>
      <w:r>
        <w:rPr>
          <w:rFonts w:hint="eastAsia"/>
          <w:color w:val="auto"/>
          <w:kern w:val="21"/>
          <w:sz w:val="24"/>
          <w:szCs w:val="24"/>
          <w:lang w:eastAsia="zh-CN"/>
        </w:rPr>
        <w:t>深度处理后全部回用于生产线</w:t>
      </w:r>
      <w:r>
        <w:rPr>
          <w:color w:val="auto"/>
          <w:kern w:val="21"/>
          <w:sz w:val="24"/>
          <w:szCs w:val="24"/>
        </w:rPr>
        <w:t>，结晶盐</w:t>
      </w:r>
      <w:r>
        <w:rPr>
          <w:rFonts w:hint="eastAsia"/>
          <w:color w:val="auto"/>
          <w:kern w:val="21"/>
          <w:sz w:val="24"/>
          <w:szCs w:val="24"/>
          <w:lang w:eastAsia="zh-CN"/>
        </w:rPr>
        <w:t>作为</w:t>
      </w:r>
      <w:r>
        <w:rPr>
          <w:color w:val="auto"/>
          <w:kern w:val="21"/>
          <w:sz w:val="24"/>
          <w:szCs w:val="24"/>
        </w:rPr>
        <w:t>危废处置。纯水制备浓水、</w:t>
      </w:r>
      <w:r>
        <w:rPr>
          <w:rFonts w:hint="eastAsia"/>
          <w:color w:val="auto"/>
          <w:kern w:val="21"/>
          <w:sz w:val="24"/>
          <w:szCs w:val="24"/>
          <w:lang w:eastAsia="zh-CN"/>
        </w:rPr>
        <w:t>锅炉浓水</w:t>
      </w:r>
      <w:r>
        <w:rPr>
          <w:color w:val="auto"/>
          <w:kern w:val="21"/>
          <w:sz w:val="24"/>
          <w:szCs w:val="24"/>
        </w:rPr>
        <w:t>及生活污水经市政管网</w:t>
      </w:r>
      <w:r>
        <w:rPr>
          <w:rFonts w:hint="eastAsia"/>
          <w:color w:val="auto"/>
          <w:kern w:val="21"/>
          <w:sz w:val="24"/>
          <w:szCs w:val="24"/>
        </w:rPr>
        <w:t>排入同盟污水处理厂。</w:t>
      </w:r>
    </w:p>
    <w:p>
      <w:pPr>
        <w:adjustRightInd w:val="0"/>
        <w:snapToGrid w:val="0"/>
        <w:spacing w:line="360" w:lineRule="auto"/>
        <w:ind w:firstLine="480"/>
        <w:rPr>
          <w:color w:val="auto"/>
          <w:kern w:val="21"/>
          <w:sz w:val="24"/>
          <w:szCs w:val="24"/>
        </w:rPr>
      </w:pPr>
      <w:r>
        <w:rPr>
          <w:rFonts w:hint="eastAsia"/>
          <w:color w:val="auto"/>
          <w:kern w:val="21"/>
          <w:sz w:val="24"/>
          <w:szCs w:val="24"/>
        </w:rPr>
        <w:t>污水处理站采用污水处理全套自动控制系统，可精确控制污水处理系统的运行，并及时发现异常采取措施，大大降低了事故发生率，能有效控制污水处理系统的稳定运行。</w:t>
      </w:r>
    </w:p>
    <w:p>
      <w:pPr>
        <w:adjustRightInd w:val="0"/>
        <w:snapToGrid w:val="0"/>
        <w:spacing w:line="360" w:lineRule="auto"/>
        <w:ind w:firstLine="480"/>
        <w:rPr>
          <w:color w:val="auto"/>
          <w:kern w:val="21"/>
          <w:sz w:val="24"/>
          <w:szCs w:val="24"/>
        </w:rPr>
      </w:pPr>
      <w:r>
        <w:rPr>
          <w:rFonts w:hint="eastAsia"/>
          <w:color w:val="auto"/>
          <w:kern w:val="21"/>
          <w:sz w:val="24"/>
          <w:szCs w:val="24"/>
        </w:rPr>
        <w:t>2、废气污染控制措施</w:t>
      </w:r>
    </w:p>
    <w:p>
      <w:pPr>
        <w:adjustRightInd w:val="0"/>
        <w:snapToGrid w:val="0"/>
        <w:spacing w:line="360" w:lineRule="auto"/>
        <w:ind w:firstLine="480" w:firstLineChars="200"/>
        <w:rPr>
          <w:color w:val="auto"/>
          <w:kern w:val="21"/>
          <w:sz w:val="24"/>
        </w:rPr>
      </w:pPr>
      <w:r>
        <w:rPr>
          <w:rFonts w:hint="eastAsia"/>
          <w:color w:val="auto"/>
          <w:kern w:val="21"/>
          <w:sz w:val="24"/>
        </w:rPr>
        <w:t>电镀生产线设置全封闭，酸洗槽设置槽边双侧抽风及顶吸罩吸收氯化氢，与酸储罐废气一同经二级碱液喷淋中和塔处理后，于15m高排气筒排放，废气处理均二级碱液喷淋中和塔，对氯化氢去除率达到95%</w:t>
      </w:r>
      <w:r>
        <w:rPr>
          <w:color w:val="auto"/>
          <w:kern w:val="21"/>
          <w:sz w:val="24"/>
        </w:rPr>
        <w:t>；锅炉采用清洁能源并使用低氮燃烧器</w:t>
      </w:r>
      <w:r>
        <w:rPr>
          <w:rFonts w:hint="eastAsia"/>
          <w:color w:val="auto"/>
          <w:kern w:val="21"/>
          <w:sz w:val="24"/>
        </w:rPr>
        <w:t>+烟气再循环</w:t>
      </w:r>
      <w:r>
        <w:rPr>
          <w:color w:val="auto"/>
          <w:kern w:val="21"/>
          <w:sz w:val="24"/>
        </w:rPr>
        <w:t>；污水站恶臭经收集后采用生物除臭处理后于</w:t>
      </w:r>
      <w:r>
        <w:rPr>
          <w:rFonts w:hint="eastAsia"/>
          <w:color w:val="auto"/>
          <w:kern w:val="21"/>
          <w:sz w:val="24"/>
          <w:lang w:eastAsia="zh-CN"/>
        </w:rPr>
        <w:t>15m高排气筒</w:t>
      </w:r>
      <w:r>
        <w:rPr>
          <w:rFonts w:hint="eastAsia"/>
          <w:color w:val="auto"/>
          <w:kern w:val="21"/>
          <w:sz w:val="24"/>
        </w:rPr>
        <w:t>排放；焊接烟尘收集后采用袋式除尘器处理，处理后由</w:t>
      </w:r>
      <w:r>
        <w:rPr>
          <w:rFonts w:hint="eastAsia"/>
          <w:color w:val="auto"/>
          <w:kern w:val="21"/>
          <w:sz w:val="24"/>
          <w:lang w:eastAsia="zh-CN"/>
        </w:rPr>
        <w:t>15m高排气筒</w:t>
      </w:r>
      <w:r>
        <w:rPr>
          <w:rFonts w:hint="eastAsia"/>
          <w:color w:val="auto"/>
          <w:kern w:val="21"/>
          <w:sz w:val="24"/>
        </w:rPr>
        <w:t>排放。</w:t>
      </w:r>
    </w:p>
    <w:p>
      <w:pPr>
        <w:adjustRightInd w:val="0"/>
        <w:snapToGrid w:val="0"/>
        <w:spacing w:line="360" w:lineRule="auto"/>
        <w:ind w:firstLine="480" w:firstLineChars="200"/>
        <w:rPr>
          <w:color w:val="auto"/>
          <w:kern w:val="21"/>
          <w:sz w:val="24"/>
        </w:rPr>
      </w:pPr>
      <w:r>
        <w:rPr>
          <w:rFonts w:hint="eastAsia"/>
          <w:color w:val="auto"/>
          <w:kern w:val="21"/>
          <w:sz w:val="24"/>
        </w:rPr>
        <w:t>3、废物综合利用</w:t>
      </w:r>
    </w:p>
    <w:p>
      <w:pPr>
        <w:adjustRightInd w:val="0"/>
        <w:snapToGrid w:val="0"/>
        <w:spacing w:line="360" w:lineRule="auto"/>
        <w:ind w:firstLine="480" w:firstLineChars="200"/>
        <w:rPr>
          <w:color w:val="auto"/>
          <w:kern w:val="21"/>
          <w:sz w:val="24"/>
        </w:rPr>
      </w:pPr>
      <w:r>
        <w:rPr>
          <w:rFonts w:hint="eastAsia"/>
          <w:color w:val="auto"/>
          <w:kern w:val="21"/>
          <w:sz w:val="24"/>
        </w:rPr>
        <w:t>危险废物厂内集中收集暂存在危废暂存库，定期委托有资质单位处置；一般固废综合</w:t>
      </w:r>
      <w:r>
        <w:rPr>
          <w:rFonts w:hint="eastAsia"/>
          <w:color w:val="auto"/>
          <w:kern w:val="21"/>
          <w:sz w:val="24"/>
          <w:lang w:eastAsia="zh-CN"/>
        </w:rPr>
        <w:t>利用</w:t>
      </w:r>
      <w:r>
        <w:rPr>
          <w:rFonts w:hint="eastAsia"/>
          <w:color w:val="auto"/>
          <w:kern w:val="21"/>
          <w:sz w:val="24"/>
        </w:rPr>
        <w:t>。</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3.5.</w:t>
      </w:r>
      <w:r>
        <w:rPr>
          <w:rFonts w:hint="eastAsia" w:eastAsia="黑体"/>
          <w:color w:val="auto"/>
          <w:kern w:val="21"/>
          <w:sz w:val="28"/>
          <w:szCs w:val="28"/>
        </w:rPr>
        <w:t>5管理水平</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1</w:t>
      </w:r>
      <w:r>
        <w:rPr>
          <w:rFonts w:hint="eastAsia"/>
          <w:color w:val="auto"/>
          <w:kern w:val="21"/>
          <w:sz w:val="24"/>
        </w:rPr>
        <w:t>）建立以目标管理体系为核心的公司生产管理制度和环境管理制度。该体系是以公司的整体架构为基准，建立三层金字塔形组织结构，其中公司的中高级管理者重点参与公司整体战略的制定与实施，并协调中层各个职能部门，将降低成本的目标分解到各个环节；中级干部以及研发的业务骨干，主要承担任务的分发过程、细节制定与实施；底层员工在严格的管理和监督体系下快速完成相应工作，并保证很高的良品率，同时严格的目标管理体系使得最底层的员工能够</w:t>
      </w:r>
      <w:r>
        <w:rPr>
          <w:rFonts w:hint="eastAsia"/>
          <w:color w:val="auto"/>
          <w:kern w:val="21"/>
          <w:sz w:val="24"/>
          <w:lang w:eastAsia="zh-CN"/>
        </w:rPr>
        <w:t>迅速地掌握</w:t>
      </w:r>
      <w:r>
        <w:rPr>
          <w:rFonts w:hint="eastAsia"/>
          <w:color w:val="auto"/>
          <w:kern w:val="21"/>
          <w:sz w:val="24"/>
        </w:rPr>
        <w:t>生产经验。</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2</w:t>
      </w:r>
      <w:r>
        <w:rPr>
          <w:rFonts w:hint="eastAsia"/>
          <w:color w:val="auto"/>
          <w:kern w:val="21"/>
          <w:sz w:val="24"/>
        </w:rPr>
        <w:t>）生产、废水处理等岗位员工经专业技能培训，获得行业培训机构颁发的合格证书。特殊岗位操作人员取得相关工种职业技能鉴定等级证书，持证上岗。企业有中级及以上职称的技术管理人员。</w:t>
      </w:r>
    </w:p>
    <w:p>
      <w:pPr>
        <w:adjustRightInd w:val="0"/>
        <w:snapToGrid w:val="0"/>
        <w:spacing w:line="360" w:lineRule="auto"/>
        <w:ind w:firstLine="480" w:firstLineChars="200"/>
        <w:rPr>
          <w:color w:val="auto"/>
          <w:kern w:val="21"/>
          <w:sz w:val="24"/>
        </w:rPr>
      </w:pPr>
      <w:r>
        <w:rPr>
          <w:rFonts w:hint="eastAsia"/>
          <w:color w:val="auto"/>
          <w:kern w:val="21"/>
          <w:sz w:val="24"/>
        </w:rPr>
        <w:t>（</w:t>
      </w:r>
      <w:r>
        <w:rPr>
          <w:color w:val="auto"/>
          <w:kern w:val="21"/>
          <w:sz w:val="24"/>
        </w:rPr>
        <w:t>3</w:t>
      </w:r>
      <w:r>
        <w:rPr>
          <w:rFonts w:hint="eastAsia"/>
          <w:color w:val="auto"/>
          <w:kern w:val="21"/>
          <w:sz w:val="24"/>
        </w:rPr>
        <w:t>）强化生产设备的使用、维护以及检修，减少跑冒滴漏或非正常工况产生，制定奖惩等措施鼓励员工节约使用原材料，节约消耗。</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3.5.</w:t>
      </w:r>
      <w:r>
        <w:rPr>
          <w:rFonts w:hint="eastAsia" w:eastAsia="黑体"/>
          <w:color w:val="auto"/>
          <w:kern w:val="21"/>
          <w:sz w:val="28"/>
          <w:szCs w:val="28"/>
        </w:rPr>
        <w:t>6清洁生产水平</w:t>
      </w:r>
    </w:p>
    <w:p>
      <w:pPr>
        <w:pStyle w:val="6"/>
        <w:spacing w:before="0" w:after="0" w:line="360" w:lineRule="auto"/>
        <w:rPr>
          <w:b w:val="0"/>
          <w:color w:val="auto"/>
          <w:sz w:val="24"/>
          <w:szCs w:val="24"/>
        </w:rPr>
      </w:pPr>
      <w:r>
        <w:rPr>
          <w:b w:val="0"/>
          <w:color w:val="auto"/>
          <w:sz w:val="24"/>
          <w:szCs w:val="24"/>
        </w:rPr>
        <w:t>3.5.</w:t>
      </w:r>
      <w:r>
        <w:rPr>
          <w:rFonts w:hint="eastAsia"/>
          <w:b w:val="0"/>
          <w:color w:val="auto"/>
          <w:sz w:val="24"/>
          <w:szCs w:val="24"/>
        </w:rPr>
        <w:t>6.1</w:t>
      </w:r>
      <w:r>
        <w:rPr>
          <w:b w:val="0"/>
          <w:color w:val="auto"/>
          <w:sz w:val="24"/>
          <w:szCs w:val="24"/>
        </w:rPr>
        <w:t>评价方法</w:t>
      </w:r>
    </w:p>
    <w:p>
      <w:pPr>
        <w:pStyle w:val="32"/>
        <w:adjustRightInd w:val="0"/>
        <w:snapToGrid w:val="0"/>
        <w:spacing w:after="0" w:line="360" w:lineRule="auto"/>
        <w:rPr>
          <w:color w:val="auto"/>
          <w:kern w:val="21"/>
          <w:sz w:val="24"/>
        </w:rPr>
      </w:pPr>
      <w:r>
        <w:rPr>
          <w:color w:val="auto"/>
          <w:kern w:val="21"/>
          <w:sz w:val="24"/>
        </w:rPr>
        <w:t>（</w:t>
      </w:r>
      <w:r>
        <w:rPr>
          <w:color w:val="auto"/>
          <w:kern w:val="21"/>
          <w:sz w:val="24"/>
          <w:lang w:val="en-US"/>
        </w:rPr>
        <w:t>1</w:t>
      </w:r>
      <w:r>
        <w:rPr>
          <w:color w:val="auto"/>
          <w:kern w:val="21"/>
          <w:sz w:val="24"/>
        </w:rPr>
        <w:t>）指标无量纲化</w:t>
      </w:r>
    </w:p>
    <w:p>
      <w:pPr>
        <w:pStyle w:val="32"/>
        <w:adjustRightInd w:val="0"/>
        <w:snapToGrid w:val="0"/>
        <w:spacing w:after="0" w:line="360" w:lineRule="auto"/>
        <w:ind w:firstLine="480" w:firstLineChars="200"/>
        <w:rPr>
          <w:color w:val="auto"/>
          <w:kern w:val="21"/>
          <w:sz w:val="24"/>
        </w:rPr>
      </w:pPr>
      <w:r>
        <w:rPr>
          <w:color w:val="auto"/>
          <w:kern w:val="21"/>
          <w:sz w:val="24"/>
        </w:rPr>
        <w:t>不同清洁生产指标由于量纲不同，不能直接比较，需要建立原始指标的函数。</w:t>
      </w:r>
    </w:p>
    <w:p>
      <w:pPr>
        <w:pStyle w:val="32"/>
        <w:adjustRightInd w:val="0"/>
        <w:snapToGrid w:val="0"/>
        <w:spacing w:after="0" w:line="360" w:lineRule="auto"/>
        <w:jc w:val="center"/>
        <w:rPr>
          <w:color w:val="auto"/>
          <w:kern w:val="21"/>
          <w:sz w:val="24"/>
        </w:rPr>
      </w:pPr>
      <w:r>
        <w:rPr>
          <w:color w:val="auto"/>
          <w:kern w:val="21"/>
          <w:sz w:val="24"/>
          <w:lang w:val="en-US"/>
        </w:rPr>
        <w:drawing>
          <wp:inline distT="0" distB="0" distL="0" distR="0">
            <wp:extent cx="2365375" cy="622300"/>
            <wp:effectExtent l="0" t="0" r="15875" b="6350"/>
            <wp:docPr id="20"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21"/>
                    <pic:cNvPicPr>
                      <a:picLocks noChangeAspect="1" noChangeArrowheads="1"/>
                    </pic:cNvPicPr>
                  </pic:nvPicPr>
                  <pic:blipFill>
                    <a:blip r:embed="rId65"/>
                    <a:srcRect/>
                    <a:stretch>
                      <a:fillRect/>
                    </a:stretch>
                  </pic:blipFill>
                  <pic:spPr>
                    <a:xfrm>
                      <a:off x="0" y="0"/>
                      <a:ext cx="2365375" cy="622300"/>
                    </a:xfrm>
                    <a:prstGeom prst="rect">
                      <a:avLst/>
                    </a:prstGeom>
                    <a:noFill/>
                    <a:ln>
                      <a:noFill/>
                    </a:ln>
                    <a:effectLst/>
                  </pic:spPr>
                </pic:pic>
              </a:graphicData>
            </a:graphic>
          </wp:inline>
        </w:drawing>
      </w:r>
      <w:r>
        <w:rPr>
          <w:color w:val="auto"/>
          <w:kern w:val="21"/>
          <w:sz w:val="24"/>
        </w:rPr>
        <w:t xml:space="preserve">     （1）</w:t>
      </w:r>
    </w:p>
    <w:p>
      <w:pPr>
        <w:pStyle w:val="32"/>
        <w:adjustRightInd w:val="0"/>
        <w:snapToGrid w:val="0"/>
        <w:spacing w:after="0" w:line="360" w:lineRule="auto"/>
        <w:rPr>
          <w:color w:val="auto"/>
          <w:kern w:val="21"/>
          <w:sz w:val="24"/>
          <w:lang w:val="en-US"/>
        </w:rPr>
      </w:pPr>
      <w:r>
        <w:rPr>
          <w:color w:val="auto"/>
          <w:kern w:val="21"/>
          <w:sz w:val="24"/>
          <w:lang w:val="en-US"/>
        </w:rPr>
        <w:t xml:space="preserve">    </w:t>
      </w:r>
      <w:r>
        <w:rPr>
          <w:color w:val="auto"/>
          <w:kern w:val="21"/>
          <w:sz w:val="24"/>
        </w:rPr>
        <w:t>式中，xij表示第i个一级指标下的第</w:t>
      </w:r>
      <w:r>
        <w:rPr>
          <w:color w:val="auto"/>
          <w:kern w:val="21"/>
          <w:sz w:val="24"/>
          <w:lang w:val="en-US"/>
        </w:rPr>
        <w:t>j个二级指标；gk表示二级指标基准值，其中g1为</w:t>
      </w:r>
      <w:r>
        <w:rPr>
          <w:color w:val="auto"/>
          <w:kern w:val="21"/>
          <w:sz w:val="24"/>
          <w:lang w:val="en-US"/>
        </w:rPr>
        <w:fldChar w:fldCharType="begin"/>
      </w:r>
      <w:r>
        <w:rPr>
          <w:color w:val="auto"/>
          <w:kern w:val="21"/>
          <w:sz w:val="24"/>
          <w:lang w:val="en-US"/>
        </w:rPr>
        <w:instrText xml:space="preserve"> = 1 \* ROMAN \* MERGEFORMAT </w:instrText>
      </w:r>
      <w:r>
        <w:rPr>
          <w:color w:val="auto"/>
          <w:kern w:val="21"/>
          <w:sz w:val="24"/>
          <w:lang w:val="en-US"/>
        </w:rPr>
        <w:fldChar w:fldCharType="separate"/>
      </w:r>
      <w:r>
        <w:rPr>
          <w:color w:val="auto"/>
          <w:kern w:val="21"/>
        </w:rPr>
        <w:t>I</w:t>
      </w:r>
      <w:r>
        <w:rPr>
          <w:color w:val="auto"/>
          <w:kern w:val="21"/>
          <w:sz w:val="24"/>
          <w:lang w:val="en-US"/>
        </w:rPr>
        <w:fldChar w:fldCharType="end"/>
      </w:r>
      <w:r>
        <w:rPr>
          <w:color w:val="auto"/>
          <w:kern w:val="21"/>
          <w:sz w:val="24"/>
          <w:lang w:val="en-US"/>
        </w:rPr>
        <w:t>级水平，g2为</w:t>
      </w:r>
      <w:r>
        <w:rPr>
          <w:color w:val="auto"/>
          <w:kern w:val="21"/>
          <w:sz w:val="24"/>
          <w:lang w:val="en-US"/>
        </w:rPr>
        <w:fldChar w:fldCharType="begin"/>
      </w:r>
      <w:r>
        <w:rPr>
          <w:color w:val="auto"/>
          <w:kern w:val="21"/>
          <w:sz w:val="24"/>
          <w:lang w:val="en-US"/>
        </w:rPr>
        <w:instrText xml:space="preserve"> = 2 \* ROMAN \* MERGEFORMAT </w:instrText>
      </w:r>
      <w:r>
        <w:rPr>
          <w:color w:val="auto"/>
          <w:kern w:val="21"/>
          <w:sz w:val="24"/>
          <w:lang w:val="en-US"/>
        </w:rPr>
        <w:fldChar w:fldCharType="separate"/>
      </w:r>
      <w:r>
        <w:rPr>
          <w:color w:val="auto"/>
          <w:kern w:val="21"/>
        </w:rPr>
        <w:t>II</w:t>
      </w:r>
      <w:r>
        <w:rPr>
          <w:color w:val="auto"/>
          <w:kern w:val="21"/>
          <w:sz w:val="24"/>
          <w:lang w:val="en-US"/>
        </w:rPr>
        <w:fldChar w:fldCharType="end"/>
      </w:r>
      <w:r>
        <w:rPr>
          <w:color w:val="auto"/>
          <w:kern w:val="21"/>
          <w:sz w:val="24"/>
          <w:lang w:val="en-US"/>
        </w:rPr>
        <w:t>级水平，g3为</w:t>
      </w:r>
      <w:r>
        <w:rPr>
          <w:color w:val="auto"/>
          <w:kern w:val="21"/>
          <w:sz w:val="24"/>
          <w:lang w:val="en-US"/>
        </w:rPr>
        <w:fldChar w:fldCharType="begin"/>
      </w:r>
      <w:r>
        <w:rPr>
          <w:color w:val="auto"/>
          <w:kern w:val="21"/>
          <w:sz w:val="24"/>
          <w:lang w:val="en-US"/>
        </w:rPr>
        <w:instrText xml:space="preserve"> = 3 \* ROMAN \* MERGEFORMAT </w:instrText>
      </w:r>
      <w:r>
        <w:rPr>
          <w:color w:val="auto"/>
          <w:kern w:val="21"/>
          <w:sz w:val="24"/>
          <w:lang w:val="en-US"/>
        </w:rPr>
        <w:fldChar w:fldCharType="separate"/>
      </w:r>
      <w:r>
        <w:rPr>
          <w:color w:val="auto"/>
          <w:kern w:val="21"/>
        </w:rPr>
        <w:t>III</w:t>
      </w:r>
      <w:r>
        <w:rPr>
          <w:color w:val="auto"/>
          <w:kern w:val="21"/>
          <w:sz w:val="24"/>
          <w:lang w:val="en-US"/>
        </w:rPr>
        <w:fldChar w:fldCharType="end"/>
      </w:r>
      <w:r>
        <w:rPr>
          <w:color w:val="auto"/>
          <w:kern w:val="21"/>
          <w:sz w:val="24"/>
          <w:lang w:val="en-US"/>
        </w:rPr>
        <w:t>级水平；Ygk（</w:t>
      </w:r>
      <w:r>
        <w:rPr>
          <w:color w:val="auto"/>
          <w:kern w:val="21"/>
          <w:sz w:val="24"/>
        </w:rPr>
        <w:t>xij</w:t>
      </w:r>
      <w:r>
        <w:rPr>
          <w:color w:val="auto"/>
          <w:kern w:val="21"/>
          <w:sz w:val="24"/>
          <w:lang w:val="en-US"/>
        </w:rPr>
        <w:t>）为二级指标</w:t>
      </w:r>
      <w:r>
        <w:rPr>
          <w:color w:val="auto"/>
          <w:kern w:val="21"/>
          <w:sz w:val="24"/>
        </w:rPr>
        <w:t>xij对于级别</w:t>
      </w:r>
      <w:r>
        <w:rPr>
          <w:color w:val="auto"/>
          <w:kern w:val="21"/>
          <w:sz w:val="24"/>
          <w:lang w:val="en-US"/>
        </w:rPr>
        <w:t>gk的函数。</w:t>
      </w:r>
    </w:p>
    <w:p>
      <w:pPr>
        <w:pStyle w:val="32"/>
        <w:adjustRightInd w:val="0"/>
        <w:snapToGrid w:val="0"/>
        <w:spacing w:line="360" w:lineRule="auto"/>
        <w:jc w:val="center"/>
        <w:rPr>
          <w:color w:val="auto"/>
          <w:kern w:val="21"/>
          <w:sz w:val="24"/>
        </w:rPr>
      </w:pPr>
      <w:r>
        <w:rPr>
          <w:color w:val="auto"/>
          <w:kern w:val="21"/>
          <w:sz w:val="24"/>
          <w:lang w:val="en-US"/>
        </w:rPr>
        <w:drawing>
          <wp:inline distT="0" distB="0" distL="0" distR="0">
            <wp:extent cx="2100580" cy="706755"/>
            <wp:effectExtent l="0" t="0" r="13970" b="17145"/>
            <wp:docPr id="21"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2"/>
                    <pic:cNvPicPr>
                      <a:picLocks noChangeAspect="1" noChangeArrowheads="1"/>
                    </pic:cNvPicPr>
                  </pic:nvPicPr>
                  <pic:blipFill>
                    <a:blip r:embed="rId66"/>
                    <a:srcRect/>
                    <a:stretch>
                      <a:fillRect/>
                    </a:stretch>
                  </pic:blipFill>
                  <pic:spPr>
                    <a:xfrm>
                      <a:off x="0" y="0"/>
                      <a:ext cx="2100580" cy="705878"/>
                    </a:xfrm>
                    <a:prstGeom prst="rect">
                      <a:avLst/>
                    </a:prstGeom>
                    <a:noFill/>
                    <a:ln>
                      <a:noFill/>
                    </a:ln>
                    <a:effectLst/>
                  </pic:spPr>
                </pic:pic>
              </a:graphicData>
            </a:graphic>
          </wp:inline>
        </w:drawing>
      </w:r>
      <w:r>
        <w:rPr>
          <w:color w:val="auto"/>
          <w:kern w:val="21"/>
          <w:sz w:val="24"/>
        </w:rPr>
        <w:t>（2）</w:t>
      </w:r>
    </w:p>
    <w:p>
      <w:pPr>
        <w:pStyle w:val="32"/>
        <w:adjustRightInd w:val="0"/>
        <w:snapToGrid w:val="0"/>
        <w:spacing w:after="0" w:line="360" w:lineRule="auto"/>
        <w:ind w:firstLine="480" w:firstLineChars="200"/>
        <w:rPr>
          <w:color w:val="auto"/>
          <w:kern w:val="21"/>
          <w:sz w:val="24"/>
        </w:rPr>
      </w:pPr>
      <w:r>
        <w:rPr>
          <w:color w:val="auto"/>
          <w:kern w:val="21"/>
          <w:sz w:val="24"/>
        </w:rPr>
        <w:t>式中，wi为第i个一级指标的权重，</w:t>
      </w:r>
      <w:r>
        <w:rPr>
          <w:color w:val="auto"/>
          <w:kern w:val="21"/>
          <w:sz w:val="24"/>
          <w:lang w:val="en-US"/>
        </w:rPr>
        <w:t>w</w:t>
      </w:r>
      <w:r>
        <w:rPr>
          <w:color w:val="auto"/>
          <w:kern w:val="21"/>
          <w:sz w:val="24"/>
        </w:rPr>
        <w:t>ij为第i个一级指标下的第j个二级指标的权重，</w:t>
      </w:r>
      <w:r>
        <w:rPr>
          <w:color w:val="auto"/>
          <w:kern w:val="21"/>
          <w:sz w:val="24"/>
          <w:lang w:val="en-US"/>
        </w:rPr>
        <w:t>m</w:t>
      </w:r>
      <w:r>
        <w:rPr>
          <w:color w:val="auto"/>
          <w:kern w:val="21"/>
          <w:sz w:val="24"/>
        </w:rPr>
        <w:t>为一级指标的个数；ni为第i个一级指标下二级指标的个数。</w:t>
      </w:r>
    </w:p>
    <w:p>
      <w:pPr>
        <w:pStyle w:val="6"/>
        <w:spacing w:before="0" w:after="0" w:line="360" w:lineRule="auto"/>
        <w:rPr>
          <w:b w:val="0"/>
          <w:color w:val="auto"/>
          <w:sz w:val="24"/>
          <w:szCs w:val="24"/>
        </w:rPr>
      </w:pPr>
      <w:r>
        <w:rPr>
          <w:b w:val="0"/>
          <w:color w:val="auto"/>
          <w:sz w:val="24"/>
          <w:szCs w:val="24"/>
        </w:rPr>
        <w:t>3.5.</w:t>
      </w:r>
      <w:r>
        <w:rPr>
          <w:rFonts w:hint="eastAsia"/>
          <w:b w:val="0"/>
          <w:color w:val="auto"/>
          <w:sz w:val="24"/>
          <w:szCs w:val="24"/>
        </w:rPr>
        <w:t>6.2</w:t>
      </w:r>
      <w:r>
        <w:rPr>
          <w:b w:val="0"/>
          <w:color w:val="auto"/>
          <w:sz w:val="24"/>
          <w:szCs w:val="24"/>
        </w:rPr>
        <w:t>清洁生产企业等级评定</w:t>
      </w:r>
    </w:p>
    <w:p>
      <w:pPr>
        <w:adjustRightInd w:val="0"/>
        <w:snapToGrid w:val="0"/>
        <w:spacing w:line="360" w:lineRule="auto"/>
        <w:ind w:firstLine="482" w:firstLineChars="200"/>
        <w:rPr>
          <w:b/>
          <w:bCs/>
          <w:color w:val="auto"/>
          <w:kern w:val="21"/>
          <w:sz w:val="24"/>
          <w:szCs w:val="24"/>
          <w:u w:val="single"/>
        </w:rPr>
      </w:pPr>
      <w:r>
        <w:rPr>
          <w:b/>
          <w:bCs/>
          <w:color w:val="auto"/>
          <w:kern w:val="21"/>
          <w:sz w:val="24"/>
          <w:szCs w:val="24"/>
          <w:u w:val="single"/>
        </w:rPr>
        <w:t>本项目评价指标体系采用限定性指标评价和指标分级加权评价相结合的方法。在限定性指标达到III级水平的基础上，采用指标分级加权评价方法，计算行业清洁生产综合评价指数。根据综合评价指数，确定清洁生产水平等级。</w:t>
      </w:r>
    </w:p>
    <w:p>
      <w:pPr>
        <w:pStyle w:val="32"/>
        <w:adjustRightInd w:val="0"/>
        <w:snapToGrid w:val="0"/>
        <w:spacing w:after="0" w:line="360" w:lineRule="auto"/>
        <w:ind w:firstLine="482" w:firstLineChars="200"/>
        <w:rPr>
          <w:b/>
          <w:bCs/>
          <w:color w:val="auto"/>
          <w:kern w:val="21"/>
          <w:sz w:val="24"/>
          <w:u w:val="single"/>
        </w:rPr>
      </w:pPr>
      <w:r>
        <w:rPr>
          <w:b/>
          <w:bCs/>
          <w:color w:val="auto"/>
          <w:kern w:val="21"/>
          <w:sz w:val="24"/>
          <w:u w:val="single"/>
        </w:rPr>
        <w:t>对电镀企业清洁生产水平的评价，是以其清洁生产综合评价指数为依据的， 对达到一定综合评价指数的企业，分别评定为清洁生产领先企业、清洁生产先进 企业或清洁生产一般企业。</w:t>
      </w:r>
    </w:p>
    <w:p>
      <w:pPr>
        <w:pStyle w:val="32"/>
        <w:adjustRightInd w:val="0"/>
        <w:snapToGrid w:val="0"/>
        <w:spacing w:after="0" w:line="360" w:lineRule="auto"/>
        <w:ind w:firstLine="482" w:firstLineChars="200"/>
        <w:rPr>
          <w:b/>
          <w:bCs/>
          <w:color w:val="auto"/>
          <w:kern w:val="21"/>
          <w:sz w:val="24"/>
          <w:u w:val="single"/>
        </w:rPr>
      </w:pPr>
      <w:r>
        <w:rPr>
          <w:b/>
          <w:bCs/>
          <w:color w:val="auto"/>
          <w:kern w:val="21"/>
          <w:sz w:val="24"/>
          <w:u w:val="single"/>
        </w:rPr>
        <w:t>根据目前我国电镀行业的实际情况，不同等级的清洁生产企业的综合评价指 数见表3.</w:t>
      </w:r>
      <w:r>
        <w:rPr>
          <w:b/>
          <w:bCs/>
          <w:color w:val="auto"/>
          <w:kern w:val="21"/>
          <w:sz w:val="24"/>
          <w:u w:val="single"/>
          <w:lang w:val="en-US"/>
        </w:rPr>
        <w:t>5</w:t>
      </w:r>
      <w:r>
        <w:rPr>
          <w:b/>
          <w:bCs/>
          <w:color w:val="auto"/>
          <w:kern w:val="21"/>
          <w:sz w:val="24"/>
          <w:u w:val="single"/>
        </w:rPr>
        <w:t>-1。</w:t>
      </w:r>
    </w:p>
    <w:p>
      <w:pPr>
        <w:tabs>
          <w:tab w:val="left" w:pos="912"/>
        </w:tabs>
        <w:adjustRightInd w:val="0"/>
        <w:snapToGrid w:val="0"/>
        <w:jc w:val="center"/>
        <w:rPr>
          <w:rFonts w:eastAsia="黑体"/>
          <w:b/>
          <w:bCs/>
          <w:color w:val="auto"/>
          <w:kern w:val="21"/>
          <w:sz w:val="24"/>
          <w:szCs w:val="24"/>
          <w:u w:val="single"/>
        </w:rPr>
      </w:pPr>
      <w:r>
        <w:rPr>
          <w:rFonts w:eastAsia="黑体"/>
          <w:b/>
          <w:bCs/>
          <w:color w:val="auto"/>
          <w:kern w:val="21"/>
          <w:sz w:val="24"/>
          <w:szCs w:val="24"/>
          <w:u w:val="single"/>
        </w:rPr>
        <w:t>表3.5-1    电镀行业不同等级清洁生产企业综合评价指数</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091"/>
        <w:gridCol w:w="5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91" w:type="dxa"/>
            <w:vAlign w:val="center"/>
          </w:tcPr>
          <w:p>
            <w:pPr>
              <w:pStyle w:val="377"/>
              <w:adjustRightInd w:val="0"/>
              <w:snapToGrid w:val="0"/>
              <w:jc w:val="center"/>
              <w:rPr>
                <w:b/>
                <w:bCs/>
                <w:color w:val="auto"/>
                <w:kern w:val="21"/>
                <w:u w:val="single"/>
              </w:rPr>
            </w:pPr>
            <w:r>
              <w:rPr>
                <w:b/>
                <w:bCs/>
                <w:color w:val="auto"/>
                <w:kern w:val="21"/>
                <w:u w:val="single"/>
              </w:rPr>
              <w:t>企业清洁生产水平</w:t>
            </w:r>
          </w:p>
        </w:tc>
        <w:tc>
          <w:tcPr>
            <w:tcW w:w="5413" w:type="dxa"/>
            <w:vAlign w:val="center"/>
          </w:tcPr>
          <w:p>
            <w:pPr>
              <w:pStyle w:val="377"/>
              <w:adjustRightInd w:val="0"/>
              <w:snapToGrid w:val="0"/>
              <w:jc w:val="center"/>
              <w:rPr>
                <w:b/>
                <w:bCs/>
                <w:color w:val="auto"/>
                <w:kern w:val="21"/>
                <w:u w:val="single"/>
              </w:rPr>
            </w:pPr>
            <w:r>
              <w:rPr>
                <w:b/>
                <w:bCs/>
                <w:color w:val="auto"/>
                <w:kern w:val="21"/>
                <w:u w:val="single"/>
              </w:rPr>
              <w:t>评定条件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91" w:type="dxa"/>
            <w:vAlign w:val="center"/>
          </w:tcPr>
          <w:p>
            <w:pPr>
              <w:pStyle w:val="377"/>
              <w:adjustRightInd w:val="0"/>
              <w:snapToGrid w:val="0"/>
              <w:jc w:val="center"/>
              <w:rPr>
                <w:b/>
                <w:bCs/>
                <w:color w:val="auto"/>
                <w:kern w:val="21"/>
                <w:u w:val="single"/>
              </w:rPr>
            </w:pPr>
            <w:r>
              <w:rPr>
                <w:b/>
                <w:bCs/>
                <w:color w:val="auto"/>
                <w:kern w:val="21"/>
                <w:u w:val="single"/>
              </w:rPr>
              <w:t>Ⅰ级（国际清洁生产领先水平）</w:t>
            </w:r>
          </w:p>
        </w:tc>
        <w:tc>
          <w:tcPr>
            <w:tcW w:w="5413" w:type="dxa"/>
            <w:vAlign w:val="center"/>
          </w:tcPr>
          <w:p>
            <w:pPr>
              <w:pStyle w:val="377"/>
              <w:adjustRightInd w:val="0"/>
              <w:snapToGrid w:val="0"/>
              <w:jc w:val="center"/>
              <w:rPr>
                <w:b/>
                <w:bCs/>
                <w:color w:val="auto"/>
                <w:kern w:val="21"/>
                <w:u w:val="single"/>
              </w:rPr>
            </w:pPr>
            <w:r>
              <w:rPr>
                <w:b/>
                <w:bCs/>
                <w:color w:val="auto"/>
                <w:kern w:val="21"/>
                <w:u w:val="single"/>
              </w:rPr>
              <w:t>同时满足：YⅠ≥85；限定性指标全部满足Ⅰ级基准值要求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91" w:type="dxa"/>
            <w:vAlign w:val="center"/>
          </w:tcPr>
          <w:p>
            <w:pPr>
              <w:pStyle w:val="377"/>
              <w:adjustRightInd w:val="0"/>
              <w:snapToGrid w:val="0"/>
              <w:jc w:val="center"/>
              <w:rPr>
                <w:b/>
                <w:bCs/>
                <w:color w:val="auto"/>
                <w:kern w:val="21"/>
                <w:u w:val="single"/>
              </w:rPr>
            </w:pPr>
            <w:r>
              <w:rPr>
                <w:b/>
                <w:bCs/>
                <w:color w:val="auto"/>
                <w:kern w:val="21"/>
                <w:u w:val="single"/>
              </w:rPr>
              <w:t>Ⅱ级（国内清洁生产先进水平）</w:t>
            </w:r>
          </w:p>
        </w:tc>
        <w:tc>
          <w:tcPr>
            <w:tcW w:w="5413" w:type="dxa"/>
            <w:vAlign w:val="center"/>
          </w:tcPr>
          <w:p>
            <w:pPr>
              <w:pStyle w:val="377"/>
              <w:adjustRightInd w:val="0"/>
              <w:snapToGrid w:val="0"/>
              <w:jc w:val="center"/>
              <w:rPr>
                <w:b/>
                <w:bCs/>
                <w:color w:val="auto"/>
                <w:kern w:val="21"/>
                <w:u w:val="single"/>
              </w:rPr>
            </w:pPr>
            <w:r>
              <w:rPr>
                <w:b/>
                <w:bCs/>
                <w:color w:val="auto"/>
                <w:kern w:val="21"/>
                <w:u w:val="single"/>
              </w:rPr>
              <w:t>同时满足：YⅡ≥85；限定性指标全部满足Ⅱ级基准值要求及以上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091" w:type="dxa"/>
            <w:vAlign w:val="center"/>
          </w:tcPr>
          <w:p>
            <w:pPr>
              <w:pStyle w:val="377"/>
              <w:adjustRightInd w:val="0"/>
              <w:snapToGrid w:val="0"/>
              <w:jc w:val="center"/>
              <w:rPr>
                <w:b/>
                <w:bCs/>
                <w:color w:val="auto"/>
                <w:kern w:val="21"/>
                <w:u w:val="single"/>
              </w:rPr>
            </w:pPr>
            <w:r>
              <w:rPr>
                <w:b/>
                <w:bCs/>
                <w:color w:val="auto"/>
                <w:kern w:val="21"/>
                <w:u w:val="single"/>
              </w:rPr>
              <w:t>Ⅲ级（国内清洁生产基本水平）</w:t>
            </w:r>
          </w:p>
        </w:tc>
        <w:tc>
          <w:tcPr>
            <w:tcW w:w="5413" w:type="dxa"/>
            <w:vAlign w:val="center"/>
          </w:tcPr>
          <w:p>
            <w:pPr>
              <w:pStyle w:val="377"/>
              <w:adjustRightInd w:val="0"/>
              <w:snapToGrid w:val="0"/>
              <w:ind w:right="1"/>
              <w:jc w:val="center"/>
              <w:rPr>
                <w:b/>
                <w:bCs/>
                <w:color w:val="auto"/>
                <w:kern w:val="21"/>
                <w:u w:val="single"/>
              </w:rPr>
            </w:pPr>
            <w:r>
              <w:rPr>
                <w:b/>
                <w:bCs/>
                <w:color w:val="auto"/>
                <w:kern w:val="21"/>
                <w:u w:val="single"/>
              </w:rPr>
              <w:t>同时满足：YⅢ=100</w:t>
            </w:r>
          </w:p>
        </w:tc>
      </w:tr>
    </w:tbl>
    <w:p>
      <w:pPr>
        <w:spacing w:before="13" w:line="140" w:lineRule="exact"/>
        <w:rPr>
          <w:b/>
          <w:bCs/>
          <w:color w:val="auto"/>
          <w:kern w:val="21"/>
          <w:sz w:val="14"/>
          <w:szCs w:val="14"/>
          <w:u w:val="single"/>
        </w:rPr>
      </w:pPr>
    </w:p>
    <w:p>
      <w:pPr>
        <w:pStyle w:val="32"/>
        <w:adjustRightInd w:val="0"/>
        <w:snapToGrid w:val="0"/>
        <w:spacing w:after="0" w:line="360" w:lineRule="auto"/>
        <w:ind w:firstLine="482" w:firstLineChars="200"/>
        <w:rPr>
          <w:b/>
          <w:bCs/>
          <w:color w:val="auto"/>
          <w:kern w:val="21"/>
          <w:sz w:val="24"/>
          <w:u w:val="single"/>
        </w:rPr>
      </w:pPr>
      <w:r>
        <w:rPr>
          <w:b/>
          <w:bCs/>
          <w:color w:val="auto"/>
          <w:kern w:val="21"/>
          <w:sz w:val="24"/>
          <w:u w:val="single"/>
        </w:rPr>
        <w:t>根据表</w:t>
      </w:r>
      <w:r>
        <w:rPr>
          <w:rFonts w:eastAsia="Times New Roman"/>
          <w:b/>
          <w:bCs/>
          <w:color w:val="auto"/>
          <w:kern w:val="21"/>
          <w:sz w:val="24"/>
          <w:u w:val="single"/>
        </w:rPr>
        <w:t>3.</w:t>
      </w:r>
      <w:r>
        <w:rPr>
          <w:b/>
          <w:bCs/>
          <w:color w:val="auto"/>
          <w:kern w:val="21"/>
          <w:sz w:val="24"/>
          <w:u w:val="single"/>
          <w:lang w:val="en-US"/>
        </w:rPr>
        <w:t>5</w:t>
      </w:r>
      <w:r>
        <w:rPr>
          <w:rFonts w:eastAsia="Times New Roman"/>
          <w:b/>
          <w:bCs/>
          <w:color w:val="auto"/>
          <w:kern w:val="21"/>
          <w:sz w:val="24"/>
          <w:u w:val="single"/>
        </w:rPr>
        <w:t>-2</w:t>
      </w:r>
      <w:r>
        <w:rPr>
          <w:b/>
          <w:bCs/>
          <w:color w:val="auto"/>
          <w:kern w:val="21"/>
          <w:sz w:val="24"/>
          <w:u w:val="single"/>
        </w:rPr>
        <w:t>和公式（</w:t>
      </w:r>
      <w:r>
        <w:rPr>
          <w:rFonts w:eastAsia="Times New Roman"/>
          <w:b/>
          <w:bCs/>
          <w:color w:val="auto"/>
          <w:kern w:val="21"/>
          <w:sz w:val="24"/>
          <w:u w:val="single"/>
        </w:rPr>
        <w:t>1</w:t>
      </w:r>
      <w:r>
        <w:rPr>
          <w:b/>
          <w:bCs/>
          <w:color w:val="auto"/>
          <w:kern w:val="21"/>
          <w:sz w:val="24"/>
          <w:u w:val="single"/>
        </w:rPr>
        <w:t>），公式（</w:t>
      </w:r>
      <w:r>
        <w:rPr>
          <w:rFonts w:eastAsia="Times New Roman"/>
          <w:b/>
          <w:bCs/>
          <w:color w:val="auto"/>
          <w:kern w:val="21"/>
          <w:sz w:val="24"/>
          <w:u w:val="single"/>
        </w:rPr>
        <w:t>2</w:t>
      </w:r>
      <w:r>
        <w:rPr>
          <w:b/>
          <w:bCs/>
          <w:color w:val="auto"/>
          <w:kern w:val="21"/>
          <w:sz w:val="24"/>
          <w:u w:val="single"/>
        </w:rPr>
        <w:t>），本项目综合评价指数为</w:t>
      </w:r>
      <w:r>
        <w:rPr>
          <w:rFonts w:hint="eastAsia"/>
          <w:b/>
          <w:bCs/>
          <w:color w:val="auto"/>
          <w:kern w:val="21"/>
          <w:sz w:val="24"/>
          <w:u w:val="single"/>
          <w:lang w:val="en-US"/>
        </w:rPr>
        <w:t>100</w:t>
      </w:r>
      <w:r>
        <w:rPr>
          <w:b/>
          <w:bCs/>
          <w:color w:val="auto"/>
          <w:kern w:val="21"/>
          <w:sz w:val="24"/>
          <w:u w:val="single"/>
        </w:rPr>
        <w:t>，清洁生产水平为</w:t>
      </w:r>
      <w:r>
        <w:rPr>
          <w:rFonts w:hint="eastAsia"/>
          <w:b/>
          <w:bCs/>
          <w:color w:val="auto"/>
          <w:kern w:val="21"/>
          <w:sz w:val="24"/>
          <w:u w:val="single"/>
          <w:lang w:val="en-US"/>
        </w:rPr>
        <w:t>国际</w:t>
      </w:r>
      <w:r>
        <w:rPr>
          <w:b/>
          <w:bCs/>
          <w:color w:val="auto"/>
          <w:kern w:val="21"/>
          <w:sz w:val="24"/>
          <w:u w:val="single"/>
        </w:rPr>
        <w:t>清洁生产</w:t>
      </w:r>
      <w:r>
        <w:rPr>
          <w:rFonts w:hint="eastAsia"/>
          <w:b/>
          <w:bCs/>
          <w:color w:val="auto"/>
          <w:kern w:val="21"/>
          <w:sz w:val="24"/>
          <w:u w:val="single"/>
          <w:lang w:val="en-US"/>
        </w:rPr>
        <w:t>领先</w:t>
      </w:r>
      <w:r>
        <w:rPr>
          <w:b/>
          <w:bCs/>
          <w:color w:val="auto"/>
          <w:kern w:val="21"/>
          <w:sz w:val="24"/>
          <w:u w:val="single"/>
        </w:rPr>
        <w:t>水平。</w:t>
      </w:r>
    </w:p>
    <w:p>
      <w:pPr>
        <w:pStyle w:val="32"/>
        <w:adjustRightInd w:val="0"/>
        <w:snapToGrid w:val="0"/>
        <w:spacing w:after="0" w:line="360" w:lineRule="auto"/>
        <w:ind w:firstLine="482" w:firstLineChars="200"/>
        <w:rPr>
          <w:b/>
          <w:bCs/>
          <w:color w:val="auto"/>
          <w:kern w:val="21"/>
          <w:sz w:val="24"/>
          <w:u w:val="single"/>
        </w:rPr>
      </w:pPr>
      <w:r>
        <w:rPr>
          <w:b/>
          <w:bCs/>
          <w:color w:val="auto"/>
          <w:kern w:val="21"/>
          <w:sz w:val="24"/>
          <w:u w:val="single"/>
        </w:rPr>
        <w:t>由上述分析可知，本项目生产工艺技术先进、成熟、可靠，使用的能源为清 洁能源电，采用了稳妥可靠的废水、废气处理措施，大大降低了污染物的排放量， 符合清洁生产的指导思想，符合我国的环境保护政策和有关规定。</w:t>
      </w:r>
    </w:p>
    <w:p>
      <w:pPr>
        <w:pStyle w:val="32"/>
        <w:adjustRightInd w:val="0"/>
        <w:snapToGrid w:val="0"/>
        <w:spacing w:after="0" w:line="360" w:lineRule="auto"/>
        <w:ind w:firstLine="480" w:firstLineChars="200"/>
        <w:rPr>
          <w:color w:val="auto"/>
          <w:kern w:val="21"/>
          <w:sz w:val="24"/>
        </w:rPr>
      </w:pPr>
      <w:r>
        <w:rPr>
          <w:rFonts w:hint="eastAsia"/>
          <w:color w:val="auto"/>
          <w:kern w:val="21"/>
          <w:sz w:val="24"/>
        </w:rPr>
        <w:t>对照已制定的《电镀行业清洁生产评价标准指标体系》，本项目综合电镀清洁生产水平分析详见表</w:t>
      </w:r>
      <w:r>
        <w:rPr>
          <w:color w:val="auto"/>
          <w:kern w:val="21"/>
          <w:sz w:val="24"/>
        </w:rPr>
        <w:t>3.</w:t>
      </w:r>
      <w:r>
        <w:rPr>
          <w:rFonts w:hint="eastAsia"/>
          <w:color w:val="auto"/>
          <w:kern w:val="21"/>
          <w:sz w:val="24"/>
        </w:rPr>
        <w:t>5</w:t>
      </w:r>
      <w:r>
        <w:rPr>
          <w:color w:val="auto"/>
          <w:kern w:val="21"/>
          <w:sz w:val="24"/>
        </w:rPr>
        <w:t>-</w:t>
      </w:r>
      <w:r>
        <w:rPr>
          <w:rFonts w:hint="eastAsia"/>
          <w:color w:val="auto"/>
          <w:kern w:val="21"/>
          <w:sz w:val="24"/>
        </w:rPr>
        <w:t>2。</w:t>
      </w:r>
    </w:p>
    <w:p>
      <w:pPr>
        <w:spacing w:line="321" w:lineRule="auto"/>
        <w:rPr>
          <w:color w:val="auto"/>
          <w:kern w:val="21"/>
        </w:rPr>
      </w:pPr>
    </w:p>
    <w:p>
      <w:pPr>
        <w:spacing w:line="321" w:lineRule="auto"/>
        <w:rPr>
          <w:color w:val="auto"/>
          <w:kern w:val="21"/>
        </w:rPr>
        <w:sectPr>
          <w:pgSz w:w="11907" w:h="16840"/>
          <w:pgMar w:top="1440" w:right="1800" w:bottom="1440" w:left="1800" w:header="1134" w:footer="1186" w:gutter="0"/>
          <w:cols w:space="720" w:num="1"/>
        </w:sectPr>
      </w:pPr>
    </w:p>
    <w:p>
      <w:pPr>
        <w:tabs>
          <w:tab w:val="left" w:pos="5953"/>
        </w:tabs>
        <w:adjustRightInd w:val="0"/>
        <w:snapToGrid w:val="0"/>
        <w:jc w:val="center"/>
        <w:rPr>
          <w:rFonts w:eastAsia="黑体"/>
          <w:color w:val="auto"/>
          <w:kern w:val="21"/>
          <w:sz w:val="24"/>
          <w:szCs w:val="24"/>
        </w:rPr>
      </w:pPr>
      <w:r>
        <w:rPr>
          <w:rFonts w:eastAsia="黑体"/>
          <w:color w:val="auto"/>
          <w:kern w:val="21"/>
          <w:sz w:val="24"/>
          <w:szCs w:val="24"/>
        </w:rPr>
        <w:t>表3.5-2    本项目电镀清洁生产评价指标及级别</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7"/>
        <w:gridCol w:w="1051"/>
        <w:gridCol w:w="717"/>
        <w:gridCol w:w="1606"/>
        <w:gridCol w:w="464"/>
        <w:gridCol w:w="765"/>
        <w:gridCol w:w="2341"/>
        <w:gridCol w:w="1577"/>
        <w:gridCol w:w="1836"/>
        <w:gridCol w:w="1670"/>
        <w:gridCol w:w="605"/>
        <w:gridCol w:w="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Merge w:val="restart"/>
            <w:vAlign w:val="center"/>
          </w:tcPr>
          <w:p>
            <w:pPr>
              <w:pStyle w:val="377"/>
              <w:adjustRightInd w:val="0"/>
              <w:snapToGrid w:val="0"/>
              <w:jc w:val="center"/>
              <w:rPr>
                <w:b/>
                <w:bCs/>
                <w:color w:val="auto"/>
                <w:kern w:val="21"/>
              </w:rPr>
            </w:pPr>
          </w:p>
          <w:p>
            <w:pPr>
              <w:pStyle w:val="377"/>
              <w:adjustRightInd w:val="0"/>
              <w:snapToGrid w:val="0"/>
              <w:jc w:val="center"/>
              <w:rPr>
                <w:b/>
                <w:bCs/>
                <w:color w:val="auto"/>
                <w:kern w:val="21"/>
              </w:rPr>
            </w:pPr>
            <w:r>
              <w:rPr>
                <w:b/>
                <w:bCs/>
                <w:color w:val="auto"/>
                <w:kern w:val="21"/>
              </w:rPr>
              <w:t>序号</w:t>
            </w:r>
          </w:p>
        </w:tc>
        <w:tc>
          <w:tcPr>
            <w:tcW w:w="1051" w:type="dxa"/>
            <w:vMerge w:val="restart"/>
            <w:vAlign w:val="center"/>
          </w:tcPr>
          <w:p>
            <w:pPr>
              <w:pStyle w:val="377"/>
              <w:adjustRightInd w:val="0"/>
              <w:snapToGrid w:val="0"/>
              <w:jc w:val="center"/>
              <w:rPr>
                <w:b/>
                <w:bCs/>
                <w:color w:val="auto"/>
                <w:kern w:val="21"/>
              </w:rPr>
            </w:pPr>
            <w:r>
              <w:rPr>
                <w:b/>
                <w:bCs/>
                <w:color w:val="auto"/>
                <w:kern w:val="21"/>
              </w:rPr>
              <w:t>一级指标</w:t>
            </w:r>
          </w:p>
        </w:tc>
        <w:tc>
          <w:tcPr>
            <w:tcW w:w="717" w:type="dxa"/>
            <w:vMerge w:val="restart"/>
            <w:vAlign w:val="center"/>
          </w:tcPr>
          <w:p>
            <w:pPr>
              <w:pStyle w:val="377"/>
              <w:adjustRightInd w:val="0"/>
              <w:snapToGrid w:val="0"/>
              <w:jc w:val="center"/>
              <w:rPr>
                <w:b/>
                <w:bCs/>
                <w:color w:val="auto"/>
                <w:kern w:val="21"/>
              </w:rPr>
            </w:pPr>
            <w:r>
              <w:rPr>
                <w:b/>
                <w:bCs/>
                <w:color w:val="auto"/>
                <w:kern w:val="21"/>
              </w:rPr>
              <w:t>一级指标权重</w:t>
            </w:r>
          </w:p>
        </w:tc>
        <w:tc>
          <w:tcPr>
            <w:tcW w:w="1606" w:type="dxa"/>
            <w:vMerge w:val="restart"/>
            <w:vAlign w:val="center"/>
          </w:tcPr>
          <w:p>
            <w:pPr>
              <w:pStyle w:val="377"/>
              <w:adjustRightInd w:val="0"/>
              <w:snapToGrid w:val="0"/>
              <w:jc w:val="center"/>
              <w:rPr>
                <w:b/>
                <w:bCs/>
                <w:color w:val="auto"/>
                <w:kern w:val="21"/>
              </w:rPr>
            </w:pPr>
            <w:r>
              <w:rPr>
                <w:b/>
                <w:bCs/>
                <w:color w:val="auto"/>
                <w:kern w:val="21"/>
              </w:rPr>
              <w:t>二级指标</w:t>
            </w:r>
          </w:p>
        </w:tc>
        <w:tc>
          <w:tcPr>
            <w:tcW w:w="464" w:type="dxa"/>
            <w:vMerge w:val="restart"/>
            <w:vAlign w:val="center"/>
          </w:tcPr>
          <w:p>
            <w:pPr>
              <w:pStyle w:val="377"/>
              <w:adjustRightInd w:val="0"/>
              <w:snapToGrid w:val="0"/>
              <w:jc w:val="center"/>
              <w:rPr>
                <w:b/>
                <w:bCs/>
                <w:color w:val="auto"/>
                <w:kern w:val="21"/>
              </w:rPr>
            </w:pPr>
            <w:r>
              <w:rPr>
                <w:b/>
                <w:bCs/>
                <w:color w:val="auto"/>
                <w:kern w:val="21"/>
              </w:rPr>
              <w:t>单位</w:t>
            </w:r>
          </w:p>
        </w:tc>
        <w:tc>
          <w:tcPr>
            <w:tcW w:w="765" w:type="dxa"/>
            <w:vMerge w:val="restart"/>
            <w:vAlign w:val="center"/>
          </w:tcPr>
          <w:p>
            <w:pPr>
              <w:pStyle w:val="377"/>
              <w:adjustRightInd w:val="0"/>
              <w:snapToGrid w:val="0"/>
              <w:jc w:val="center"/>
              <w:rPr>
                <w:b/>
                <w:bCs/>
                <w:color w:val="auto"/>
                <w:kern w:val="21"/>
              </w:rPr>
            </w:pPr>
            <w:r>
              <w:rPr>
                <w:b/>
                <w:bCs/>
                <w:color w:val="auto"/>
                <w:kern w:val="21"/>
              </w:rPr>
              <w:t>二级指标权重</w:t>
            </w:r>
          </w:p>
        </w:tc>
        <w:tc>
          <w:tcPr>
            <w:tcW w:w="2341" w:type="dxa"/>
            <w:vMerge w:val="restart"/>
            <w:vAlign w:val="center"/>
          </w:tcPr>
          <w:p>
            <w:pPr>
              <w:pStyle w:val="377"/>
              <w:adjustRightInd w:val="0"/>
              <w:snapToGrid w:val="0"/>
              <w:jc w:val="center"/>
              <w:rPr>
                <w:b/>
                <w:bCs/>
                <w:color w:val="auto"/>
                <w:kern w:val="21"/>
              </w:rPr>
            </w:pPr>
            <w:r>
              <w:rPr>
                <w:b/>
                <w:bCs/>
                <w:color w:val="auto"/>
                <w:kern w:val="21"/>
              </w:rPr>
              <w:t>Ⅰ级基准值</w:t>
            </w:r>
          </w:p>
        </w:tc>
        <w:tc>
          <w:tcPr>
            <w:tcW w:w="1577" w:type="dxa"/>
            <w:vMerge w:val="restart"/>
            <w:vAlign w:val="center"/>
          </w:tcPr>
          <w:p>
            <w:pPr>
              <w:pStyle w:val="377"/>
              <w:adjustRightInd w:val="0"/>
              <w:snapToGrid w:val="0"/>
              <w:jc w:val="center"/>
              <w:rPr>
                <w:b/>
                <w:bCs/>
                <w:color w:val="auto"/>
                <w:kern w:val="21"/>
              </w:rPr>
            </w:pPr>
            <w:r>
              <w:rPr>
                <w:b/>
                <w:bCs/>
                <w:color w:val="auto"/>
                <w:kern w:val="21"/>
              </w:rPr>
              <w:t>Ⅱ级基准值</w:t>
            </w:r>
          </w:p>
        </w:tc>
        <w:tc>
          <w:tcPr>
            <w:tcW w:w="1836" w:type="dxa"/>
            <w:vMerge w:val="restart"/>
            <w:vAlign w:val="center"/>
          </w:tcPr>
          <w:p>
            <w:pPr>
              <w:pStyle w:val="377"/>
              <w:adjustRightInd w:val="0"/>
              <w:snapToGrid w:val="0"/>
              <w:jc w:val="center"/>
              <w:rPr>
                <w:b/>
                <w:bCs/>
                <w:color w:val="auto"/>
                <w:kern w:val="21"/>
              </w:rPr>
            </w:pPr>
            <w:r>
              <w:rPr>
                <w:b/>
                <w:bCs/>
                <w:color w:val="auto"/>
                <w:kern w:val="21"/>
              </w:rPr>
              <w:t>Ⅲ级基准值</w:t>
            </w:r>
          </w:p>
        </w:tc>
        <w:tc>
          <w:tcPr>
            <w:tcW w:w="2275" w:type="dxa"/>
            <w:gridSpan w:val="2"/>
            <w:vAlign w:val="center"/>
          </w:tcPr>
          <w:p>
            <w:pPr>
              <w:pStyle w:val="377"/>
              <w:adjustRightInd w:val="0"/>
              <w:snapToGrid w:val="0"/>
              <w:jc w:val="center"/>
              <w:rPr>
                <w:b/>
                <w:bCs/>
                <w:color w:val="auto"/>
                <w:kern w:val="21"/>
              </w:rPr>
            </w:pPr>
            <w:r>
              <w:rPr>
                <w:b/>
                <w:bCs/>
                <w:color w:val="auto"/>
                <w:kern w:val="21"/>
              </w:rPr>
              <w:t>本项目</w:t>
            </w:r>
            <w:r>
              <w:rPr>
                <w:rFonts w:hint="eastAsia"/>
                <w:b/>
                <w:bCs/>
                <w:color w:val="auto"/>
                <w:kern w:val="21"/>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Merge w:val="continue"/>
            <w:vAlign w:val="center"/>
          </w:tcPr>
          <w:p>
            <w:pPr>
              <w:adjustRightInd w:val="0"/>
              <w:snapToGrid w:val="0"/>
              <w:jc w:val="center"/>
              <w:rPr>
                <w:b/>
                <w:bCs/>
                <w:color w:val="auto"/>
                <w:kern w:val="21"/>
              </w:rPr>
            </w:pPr>
          </w:p>
        </w:tc>
        <w:tc>
          <w:tcPr>
            <w:tcW w:w="1051" w:type="dxa"/>
            <w:vMerge w:val="continue"/>
            <w:vAlign w:val="center"/>
          </w:tcPr>
          <w:p>
            <w:pPr>
              <w:adjustRightInd w:val="0"/>
              <w:snapToGrid w:val="0"/>
              <w:jc w:val="center"/>
              <w:rPr>
                <w:b/>
                <w:bCs/>
                <w:color w:val="auto"/>
                <w:kern w:val="21"/>
              </w:rPr>
            </w:pPr>
          </w:p>
        </w:tc>
        <w:tc>
          <w:tcPr>
            <w:tcW w:w="717" w:type="dxa"/>
            <w:vMerge w:val="continue"/>
            <w:vAlign w:val="center"/>
          </w:tcPr>
          <w:p>
            <w:pPr>
              <w:adjustRightInd w:val="0"/>
              <w:snapToGrid w:val="0"/>
              <w:jc w:val="center"/>
              <w:rPr>
                <w:b/>
                <w:bCs/>
                <w:color w:val="auto"/>
                <w:kern w:val="21"/>
              </w:rPr>
            </w:pPr>
          </w:p>
        </w:tc>
        <w:tc>
          <w:tcPr>
            <w:tcW w:w="1606" w:type="dxa"/>
            <w:vMerge w:val="continue"/>
            <w:vAlign w:val="center"/>
          </w:tcPr>
          <w:p>
            <w:pPr>
              <w:adjustRightInd w:val="0"/>
              <w:snapToGrid w:val="0"/>
              <w:jc w:val="center"/>
              <w:rPr>
                <w:b/>
                <w:bCs/>
                <w:color w:val="auto"/>
                <w:kern w:val="21"/>
              </w:rPr>
            </w:pPr>
          </w:p>
        </w:tc>
        <w:tc>
          <w:tcPr>
            <w:tcW w:w="464" w:type="dxa"/>
            <w:vMerge w:val="continue"/>
            <w:vAlign w:val="center"/>
          </w:tcPr>
          <w:p>
            <w:pPr>
              <w:adjustRightInd w:val="0"/>
              <w:snapToGrid w:val="0"/>
              <w:jc w:val="center"/>
              <w:rPr>
                <w:b/>
                <w:bCs/>
                <w:color w:val="auto"/>
                <w:kern w:val="21"/>
              </w:rPr>
            </w:pPr>
          </w:p>
        </w:tc>
        <w:tc>
          <w:tcPr>
            <w:tcW w:w="765" w:type="dxa"/>
            <w:vMerge w:val="continue"/>
            <w:vAlign w:val="center"/>
          </w:tcPr>
          <w:p>
            <w:pPr>
              <w:adjustRightInd w:val="0"/>
              <w:snapToGrid w:val="0"/>
              <w:jc w:val="center"/>
              <w:rPr>
                <w:b/>
                <w:bCs/>
                <w:color w:val="auto"/>
                <w:kern w:val="21"/>
              </w:rPr>
            </w:pPr>
          </w:p>
        </w:tc>
        <w:tc>
          <w:tcPr>
            <w:tcW w:w="2341" w:type="dxa"/>
            <w:vMerge w:val="continue"/>
            <w:vAlign w:val="center"/>
          </w:tcPr>
          <w:p>
            <w:pPr>
              <w:adjustRightInd w:val="0"/>
              <w:snapToGrid w:val="0"/>
              <w:jc w:val="center"/>
              <w:rPr>
                <w:b/>
                <w:bCs/>
                <w:color w:val="auto"/>
                <w:kern w:val="21"/>
              </w:rPr>
            </w:pPr>
          </w:p>
        </w:tc>
        <w:tc>
          <w:tcPr>
            <w:tcW w:w="1577" w:type="dxa"/>
            <w:vMerge w:val="continue"/>
            <w:vAlign w:val="center"/>
          </w:tcPr>
          <w:p>
            <w:pPr>
              <w:adjustRightInd w:val="0"/>
              <w:snapToGrid w:val="0"/>
              <w:jc w:val="center"/>
              <w:rPr>
                <w:b/>
                <w:bCs/>
                <w:color w:val="auto"/>
                <w:kern w:val="21"/>
              </w:rPr>
            </w:pPr>
          </w:p>
        </w:tc>
        <w:tc>
          <w:tcPr>
            <w:tcW w:w="1836" w:type="dxa"/>
            <w:vMerge w:val="continue"/>
            <w:vAlign w:val="center"/>
          </w:tcPr>
          <w:p>
            <w:pPr>
              <w:adjustRightInd w:val="0"/>
              <w:snapToGrid w:val="0"/>
              <w:jc w:val="center"/>
              <w:rPr>
                <w:b/>
                <w:bCs/>
                <w:color w:val="auto"/>
                <w:kern w:val="21"/>
              </w:rPr>
            </w:pPr>
          </w:p>
        </w:tc>
        <w:tc>
          <w:tcPr>
            <w:tcW w:w="1670" w:type="dxa"/>
            <w:vAlign w:val="center"/>
          </w:tcPr>
          <w:p>
            <w:pPr>
              <w:pStyle w:val="377"/>
              <w:adjustRightInd w:val="0"/>
              <w:snapToGrid w:val="0"/>
              <w:jc w:val="center"/>
              <w:rPr>
                <w:b/>
                <w:bCs/>
                <w:color w:val="auto"/>
                <w:kern w:val="21"/>
              </w:rPr>
            </w:pPr>
            <w:r>
              <w:rPr>
                <w:b/>
                <w:bCs/>
                <w:color w:val="auto"/>
                <w:kern w:val="21"/>
              </w:rPr>
              <w:t>指标</w:t>
            </w:r>
          </w:p>
        </w:tc>
        <w:tc>
          <w:tcPr>
            <w:tcW w:w="605" w:type="dxa"/>
            <w:vAlign w:val="center"/>
          </w:tcPr>
          <w:p>
            <w:pPr>
              <w:pStyle w:val="377"/>
              <w:adjustRightInd w:val="0"/>
              <w:snapToGrid w:val="0"/>
              <w:jc w:val="center"/>
              <w:rPr>
                <w:b/>
                <w:bCs/>
                <w:color w:val="auto"/>
                <w:kern w:val="21"/>
              </w:rPr>
            </w:pPr>
            <w:r>
              <w:rPr>
                <w:b/>
                <w:bCs/>
                <w:color w:val="auto"/>
                <w:kern w:val="21"/>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w:t>
            </w:r>
          </w:p>
        </w:tc>
        <w:tc>
          <w:tcPr>
            <w:tcW w:w="1051" w:type="dxa"/>
            <w:vMerge w:val="restart"/>
            <w:vAlign w:val="center"/>
          </w:tcPr>
          <w:p>
            <w:pPr>
              <w:pStyle w:val="377"/>
              <w:adjustRightInd w:val="0"/>
              <w:snapToGrid w:val="0"/>
              <w:jc w:val="center"/>
              <w:rPr>
                <w:color w:val="auto"/>
                <w:kern w:val="21"/>
              </w:rPr>
            </w:pPr>
            <w:r>
              <w:rPr>
                <w:color w:val="auto"/>
                <w:kern w:val="21"/>
              </w:rPr>
              <w:t>生产工艺及装备指标</w:t>
            </w:r>
          </w:p>
        </w:tc>
        <w:tc>
          <w:tcPr>
            <w:tcW w:w="717" w:type="dxa"/>
            <w:vMerge w:val="restart"/>
            <w:vAlign w:val="center"/>
          </w:tcPr>
          <w:p>
            <w:pPr>
              <w:pStyle w:val="377"/>
              <w:adjustRightInd w:val="0"/>
              <w:snapToGrid w:val="0"/>
              <w:jc w:val="center"/>
              <w:rPr>
                <w:rFonts w:eastAsia="Times New Roman"/>
                <w:color w:val="auto"/>
                <w:kern w:val="21"/>
              </w:rPr>
            </w:pPr>
            <w:r>
              <w:rPr>
                <w:color w:val="auto"/>
                <w:kern w:val="21"/>
              </w:rPr>
              <w:t>0.33</w:t>
            </w:r>
          </w:p>
        </w:tc>
        <w:tc>
          <w:tcPr>
            <w:tcW w:w="2070" w:type="dxa"/>
            <w:gridSpan w:val="2"/>
            <w:vAlign w:val="center"/>
          </w:tcPr>
          <w:p>
            <w:pPr>
              <w:pStyle w:val="377"/>
              <w:adjustRightInd w:val="0"/>
              <w:snapToGrid w:val="0"/>
              <w:jc w:val="center"/>
              <w:rPr>
                <w:color w:val="auto"/>
                <w:kern w:val="21"/>
              </w:rPr>
            </w:pPr>
            <w:r>
              <w:rPr>
                <w:color w:val="auto"/>
                <w:kern w:val="21"/>
              </w:rPr>
              <w:t>采用清洁生产工艺①</w:t>
            </w:r>
          </w:p>
        </w:tc>
        <w:tc>
          <w:tcPr>
            <w:tcW w:w="765" w:type="dxa"/>
            <w:vAlign w:val="center"/>
          </w:tcPr>
          <w:p>
            <w:pPr>
              <w:pStyle w:val="377"/>
              <w:adjustRightInd w:val="0"/>
              <w:snapToGrid w:val="0"/>
              <w:jc w:val="center"/>
              <w:rPr>
                <w:rFonts w:eastAsia="Times New Roman"/>
                <w:color w:val="auto"/>
                <w:kern w:val="21"/>
              </w:rPr>
            </w:pPr>
            <w:r>
              <w:rPr>
                <w:color w:val="auto"/>
                <w:kern w:val="21"/>
              </w:rPr>
              <w:t>0.15</w:t>
            </w:r>
          </w:p>
        </w:tc>
        <w:tc>
          <w:tcPr>
            <w:tcW w:w="2341" w:type="dxa"/>
            <w:vAlign w:val="center"/>
          </w:tcPr>
          <w:p>
            <w:pPr>
              <w:pStyle w:val="377"/>
              <w:adjustRightInd w:val="0"/>
              <w:snapToGrid w:val="0"/>
              <w:jc w:val="center"/>
              <w:rPr>
                <w:color w:val="auto"/>
                <w:kern w:val="21"/>
              </w:rPr>
            </w:pPr>
            <w:r>
              <w:rPr>
                <w:rFonts w:eastAsia="Times New Roman"/>
                <w:color w:val="auto"/>
                <w:kern w:val="21"/>
              </w:rPr>
              <w:t>1</w:t>
            </w:r>
            <w:r>
              <w:rPr>
                <w:color w:val="auto"/>
                <w:kern w:val="21"/>
              </w:rPr>
              <w:t>、民用产品采用低铬</w:t>
            </w:r>
            <w:r>
              <w:rPr>
                <w:color w:val="auto"/>
                <w:kern w:val="21"/>
                <w:vertAlign w:val="superscript"/>
              </w:rPr>
              <w:t>⑨</w:t>
            </w:r>
            <w:r>
              <w:rPr>
                <w:color w:val="auto"/>
                <w:kern w:val="21"/>
              </w:rPr>
              <w:t>或三价铬钝化</w:t>
            </w:r>
          </w:p>
          <w:p>
            <w:pPr>
              <w:pStyle w:val="377"/>
              <w:adjustRightInd w:val="0"/>
              <w:snapToGrid w:val="0"/>
              <w:jc w:val="center"/>
              <w:rPr>
                <w:color w:val="auto"/>
                <w:kern w:val="21"/>
              </w:rPr>
            </w:pPr>
            <w:r>
              <w:rPr>
                <w:rFonts w:eastAsia="Times New Roman"/>
                <w:color w:val="auto"/>
                <w:kern w:val="21"/>
              </w:rPr>
              <w:t>2</w:t>
            </w:r>
            <w:r>
              <w:rPr>
                <w:color w:val="auto"/>
                <w:kern w:val="21"/>
              </w:rPr>
              <w:t>、民用产品采用无氰镀锌</w:t>
            </w:r>
          </w:p>
          <w:p>
            <w:pPr>
              <w:pStyle w:val="377"/>
              <w:adjustRightInd w:val="0"/>
              <w:snapToGrid w:val="0"/>
              <w:jc w:val="center"/>
              <w:rPr>
                <w:color w:val="auto"/>
                <w:kern w:val="21"/>
              </w:rPr>
            </w:pPr>
            <w:r>
              <w:rPr>
                <w:rFonts w:eastAsia="Times New Roman"/>
                <w:color w:val="auto"/>
                <w:kern w:val="21"/>
              </w:rPr>
              <w:t>3</w:t>
            </w:r>
            <w:r>
              <w:rPr>
                <w:color w:val="auto"/>
                <w:kern w:val="21"/>
              </w:rPr>
              <w:t>、使用金属回收工艺</w:t>
            </w:r>
          </w:p>
          <w:p>
            <w:pPr>
              <w:pStyle w:val="377"/>
              <w:adjustRightInd w:val="0"/>
              <w:snapToGrid w:val="0"/>
              <w:jc w:val="center"/>
              <w:rPr>
                <w:color w:val="auto"/>
                <w:kern w:val="21"/>
              </w:rPr>
            </w:pPr>
            <w:r>
              <w:rPr>
                <w:rFonts w:eastAsia="Times New Roman"/>
                <w:color w:val="auto"/>
                <w:kern w:val="21"/>
              </w:rPr>
              <w:t>4</w:t>
            </w:r>
            <w:r>
              <w:rPr>
                <w:color w:val="auto"/>
                <w:kern w:val="21"/>
              </w:rPr>
              <w:t>、电子元件采用无铅镀层替代铅锡合金</w:t>
            </w:r>
          </w:p>
        </w:tc>
        <w:tc>
          <w:tcPr>
            <w:tcW w:w="3413" w:type="dxa"/>
            <w:gridSpan w:val="2"/>
            <w:vAlign w:val="center"/>
          </w:tcPr>
          <w:p>
            <w:pPr>
              <w:pStyle w:val="377"/>
              <w:adjustRightInd w:val="0"/>
              <w:snapToGrid w:val="0"/>
              <w:jc w:val="center"/>
              <w:rPr>
                <w:color w:val="auto"/>
                <w:kern w:val="21"/>
              </w:rPr>
            </w:pPr>
            <w:r>
              <w:rPr>
                <w:rFonts w:eastAsia="Times New Roman"/>
                <w:color w:val="auto"/>
                <w:kern w:val="21"/>
              </w:rPr>
              <w:t>1</w:t>
            </w:r>
            <w:r>
              <w:rPr>
                <w:color w:val="auto"/>
                <w:kern w:val="21"/>
              </w:rPr>
              <w:t>、民用产品采用低铬</w:t>
            </w:r>
            <w:r>
              <w:rPr>
                <w:color w:val="auto"/>
                <w:kern w:val="21"/>
                <w:vertAlign w:val="superscript"/>
              </w:rPr>
              <w:t>⑨</w:t>
            </w:r>
            <w:r>
              <w:rPr>
                <w:color w:val="auto"/>
                <w:kern w:val="21"/>
              </w:rPr>
              <w:t>或三价铬钝化</w:t>
            </w:r>
          </w:p>
          <w:p>
            <w:pPr>
              <w:pStyle w:val="377"/>
              <w:adjustRightInd w:val="0"/>
              <w:snapToGrid w:val="0"/>
              <w:jc w:val="center"/>
              <w:rPr>
                <w:color w:val="auto"/>
                <w:kern w:val="21"/>
              </w:rPr>
            </w:pPr>
            <w:r>
              <w:rPr>
                <w:rFonts w:eastAsia="Times New Roman"/>
                <w:color w:val="auto"/>
                <w:kern w:val="21"/>
              </w:rPr>
              <w:t>2</w:t>
            </w:r>
            <w:r>
              <w:rPr>
                <w:color w:val="auto"/>
                <w:kern w:val="21"/>
              </w:rPr>
              <w:t>、民用产品采用无氰镀锌</w:t>
            </w:r>
          </w:p>
          <w:p>
            <w:pPr>
              <w:pStyle w:val="377"/>
              <w:adjustRightInd w:val="0"/>
              <w:snapToGrid w:val="0"/>
              <w:jc w:val="center"/>
              <w:rPr>
                <w:color w:val="auto"/>
                <w:kern w:val="21"/>
              </w:rPr>
            </w:pPr>
            <w:r>
              <w:rPr>
                <w:rFonts w:eastAsia="Times New Roman"/>
                <w:color w:val="auto"/>
                <w:kern w:val="21"/>
              </w:rPr>
              <w:t>3</w:t>
            </w:r>
            <w:r>
              <w:rPr>
                <w:color w:val="auto"/>
                <w:kern w:val="21"/>
              </w:rPr>
              <w:t>、使用金属回收工艺</w:t>
            </w:r>
          </w:p>
        </w:tc>
        <w:tc>
          <w:tcPr>
            <w:tcW w:w="1670" w:type="dxa"/>
            <w:vAlign w:val="center"/>
          </w:tcPr>
          <w:p>
            <w:pPr>
              <w:pStyle w:val="377"/>
              <w:adjustRightInd w:val="0"/>
              <w:snapToGrid w:val="0"/>
              <w:jc w:val="center"/>
              <w:rPr>
                <w:color w:val="auto"/>
                <w:kern w:val="21"/>
              </w:rPr>
            </w:pPr>
            <w:r>
              <w:rPr>
                <w:rFonts w:hint="eastAsia"/>
                <w:color w:val="auto"/>
                <w:kern w:val="21"/>
              </w:rPr>
              <w:t>本项目</w:t>
            </w:r>
            <w:r>
              <w:rPr>
                <w:color w:val="auto"/>
                <w:kern w:val="21"/>
              </w:rPr>
              <w:t>采用低铬钝化</w:t>
            </w:r>
            <w:r>
              <w:rPr>
                <w:rFonts w:hint="eastAsia"/>
                <w:color w:val="auto"/>
                <w:kern w:val="21"/>
              </w:rPr>
              <w:t>，且采用电镀后三步回收水洗，配备回收槽，将</w:t>
            </w:r>
            <w:r>
              <w:rPr>
                <w:color w:val="auto"/>
                <w:kern w:val="21"/>
              </w:rPr>
              <w:t>金属回收</w:t>
            </w:r>
            <w:r>
              <w:rPr>
                <w:rFonts w:hint="eastAsia"/>
                <w:color w:val="auto"/>
                <w:kern w:val="21"/>
              </w:rPr>
              <w:t>，</w:t>
            </w:r>
            <w:r>
              <w:rPr>
                <w:color w:val="auto"/>
                <w:kern w:val="21"/>
              </w:rPr>
              <w:t>镀锌采用无氰镀锌，不涉及铅镀层</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1102"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2</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color w:val="auto"/>
                <w:kern w:val="21"/>
              </w:rPr>
              <w:t>清洁生产过程控制</w:t>
            </w:r>
          </w:p>
        </w:tc>
        <w:tc>
          <w:tcPr>
            <w:tcW w:w="765" w:type="dxa"/>
            <w:vAlign w:val="center"/>
          </w:tcPr>
          <w:p>
            <w:pPr>
              <w:pStyle w:val="377"/>
              <w:adjustRightInd w:val="0"/>
              <w:snapToGrid w:val="0"/>
              <w:jc w:val="center"/>
              <w:rPr>
                <w:rFonts w:eastAsia="Times New Roman"/>
                <w:color w:val="auto"/>
                <w:kern w:val="21"/>
              </w:rPr>
            </w:pPr>
            <w:r>
              <w:rPr>
                <w:color w:val="auto"/>
                <w:kern w:val="21"/>
              </w:rPr>
              <w:t>0.15</w:t>
            </w:r>
          </w:p>
        </w:tc>
        <w:tc>
          <w:tcPr>
            <w:tcW w:w="2341" w:type="dxa"/>
            <w:vAlign w:val="center"/>
          </w:tcPr>
          <w:p>
            <w:pPr>
              <w:pStyle w:val="377"/>
              <w:adjustRightInd w:val="0"/>
              <w:snapToGrid w:val="0"/>
              <w:jc w:val="center"/>
              <w:rPr>
                <w:color w:val="auto"/>
                <w:kern w:val="21"/>
              </w:rPr>
            </w:pPr>
            <w:r>
              <w:rPr>
                <w:rFonts w:eastAsia="Times New Roman"/>
                <w:color w:val="auto"/>
                <w:kern w:val="21"/>
              </w:rPr>
              <w:t>1</w:t>
            </w:r>
            <w:r>
              <w:rPr>
                <w:color w:val="auto"/>
                <w:kern w:val="21"/>
              </w:rPr>
              <w:t>、镀镍、锌溶液连续过滤</w:t>
            </w:r>
          </w:p>
          <w:p>
            <w:pPr>
              <w:pStyle w:val="377"/>
              <w:adjustRightInd w:val="0"/>
              <w:snapToGrid w:val="0"/>
              <w:jc w:val="center"/>
              <w:rPr>
                <w:color w:val="auto"/>
                <w:kern w:val="21"/>
              </w:rPr>
            </w:pPr>
            <w:r>
              <w:rPr>
                <w:rFonts w:eastAsia="Times New Roman"/>
                <w:color w:val="auto"/>
                <w:kern w:val="21"/>
              </w:rPr>
              <w:t>2</w:t>
            </w:r>
            <w:r>
              <w:rPr>
                <w:color w:val="auto"/>
                <w:kern w:val="21"/>
              </w:rPr>
              <w:t>、及时补加和调整溶液</w:t>
            </w:r>
          </w:p>
          <w:p>
            <w:pPr>
              <w:pStyle w:val="377"/>
              <w:adjustRightInd w:val="0"/>
              <w:snapToGrid w:val="0"/>
              <w:jc w:val="center"/>
              <w:rPr>
                <w:color w:val="auto"/>
                <w:kern w:val="21"/>
              </w:rPr>
            </w:pPr>
            <w:r>
              <w:rPr>
                <w:rFonts w:eastAsia="Times New Roman"/>
                <w:color w:val="auto"/>
                <w:kern w:val="21"/>
              </w:rPr>
              <w:t>3</w:t>
            </w:r>
            <w:r>
              <w:rPr>
                <w:color w:val="auto"/>
                <w:kern w:val="21"/>
              </w:rPr>
              <w:t>、定期去除溶液中的杂质</w:t>
            </w:r>
          </w:p>
        </w:tc>
        <w:tc>
          <w:tcPr>
            <w:tcW w:w="3413" w:type="dxa"/>
            <w:gridSpan w:val="2"/>
            <w:vAlign w:val="center"/>
          </w:tcPr>
          <w:p>
            <w:pPr>
              <w:pStyle w:val="377"/>
              <w:adjustRightInd w:val="0"/>
              <w:snapToGrid w:val="0"/>
              <w:jc w:val="center"/>
              <w:rPr>
                <w:color w:val="auto"/>
                <w:kern w:val="21"/>
              </w:rPr>
            </w:pPr>
            <w:r>
              <w:rPr>
                <w:rFonts w:eastAsia="Times New Roman"/>
                <w:color w:val="auto"/>
                <w:kern w:val="21"/>
              </w:rPr>
              <w:t>1</w:t>
            </w:r>
            <w:r>
              <w:rPr>
                <w:color w:val="auto"/>
                <w:kern w:val="21"/>
              </w:rPr>
              <w:t>、镀镍溶液连续过滤</w:t>
            </w:r>
          </w:p>
          <w:p>
            <w:pPr>
              <w:pStyle w:val="377"/>
              <w:adjustRightInd w:val="0"/>
              <w:snapToGrid w:val="0"/>
              <w:jc w:val="center"/>
              <w:rPr>
                <w:color w:val="auto"/>
                <w:kern w:val="21"/>
              </w:rPr>
            </w:pPr>
            <w:r>
              <w:rPr>
                <w:rFonts w:eastAsia="Times New Roman"/>
                <w:color w:val="auto"/>
                <w:kern w:val="21"/>
              </w:rPr>
              <w:t>2</w:t>
            </w:r>
            <w:r>
              <w:rPr>
                <w:color w:val="auto"/>
                <w:kern w:val="21"/>
              </w:rPr>
              <w:t>、及时补加和调整溶液</w:t>
            </w:r>
          </w:p>
          <w:p>
            <w:pPr>
              <w:pStyle w:val="377"/>
              <w:adjustRightInd w:val="0"/>
              <w:snapToGrid w:val="0"/>
              <w:jc w:val="center"/>
              <w:rPr>
                <w:color w:val="auto"/>
                <w:kern w:val="21"/>
              </w:rPr>
            </w:pPr>
            <w:r>
              <w:rPr>
                <w:rFonts w:eastAsia="Times New Roman"/>
                <w:color w:val="auto"/>
                <w:kern w:val="21"/>
              </w:rPr>
              <w:t>3</w:t>
            </w:r>
            <w:r>
              <w:rPr>
                <w:color w:val="auto"/>
                <w:kern w:val="21"/>
              </w:rPr>
              <w:t>、定期去除溶液中的杂质</w:t>
            </w:r>
          </w:p>
        </w:tc>
        <w:tc>
          <w:tcPr>
            <w:tcW w:w="1670" w:type="dxa"/>
            <w:vAlign w:val="center"/>
          </w:tcPr>
          <w:p>
            <w:pPr>
              <w:pStyle w:val="377"/>
              <w:adjustRightInd w:val="0"/>
              <w:snapToGrid w:val="0"/>
              <w:jc w:val="center"/>
              <w:rPr>
                <w:color w:val="auto"/>
                <w:kern w:val="21"/>
              </w:rPr>
            </w:pPr>
            <w:r>
              <w:rPr>
                <w:rFonts w:eastAsia="Times New Roman"/>
                <w:color w:val="auto"/>
                <w:kern w:val="21"/>
              </w:rPr>
              <w:t>1</w:t>
            </w:r>
            <w:r>
              <w:rPr>
                <w:color w:val="auto"/>
                <w:kern w:val="21"/>
              </w:rPr>
              <w:t>、镀镍、锌溶液连续过滤</w:t>
            </w:r>
          </w:p>
          <w:p>
            <w:pPr>
              <w:pStyle w:val="377"/>
              <w:adjustRightInd w:val="0"/>
              <w:snapToGrid w:val="0"/>
              <w:jc w:val="center"/>
              <w:rPr>
                <w:color w:val="auto"/>
                <w:kern w:val="21"/>
              </w:rPr>
            </w:pPr>
            <w:r>
              <w:rPr>
                <w:rFonts w:eastAsia="Times New Roman"/>
                <w:color w:val="auto"/>
                <w:kern w:val="21"/>
              </w:rPr>
              <w:t>2</w:t>
            </w:r>
            <w:r>
              <w:rPr>
                <w:color w:val="auto"/>
                <w:kern w:val="21"/>
              </w:rPr>
              <w:t>、及时补加和调整溶液</w:t>
            </w:r>
          </w:p>
          <w:p>
            <w:pPr>
              <w:pStyle w:val="377"/>
              <w:adjustRightInd w:val="0"/>
              <w:snapToGrid w:val="0"/>
              <w:jc w:val="center"/>
              <w:rPr>
                <w:color w:val="auto"/>
                <w:kern w:val="21"/>
              </w:rPr>
            </w:pPr>
            <w:r>
              <w:rPr>
                <w:rFonts w:eastAsia="Times New Roman"/>
                <w:color w:val="auto"/>
                <w:kern w:val="21"/>
              </w:rPr>
              <w:t>3</w:t>
            </w:r>
            <w:r>
              <w:rPr>
                <w:color w:val="auto"/>
                <w:kern w:val="21"/>
              </w:rPr>
              <w:t>、定期去除溶液中的杂质</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3</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color w:val="auto"/>
                <w:kern w:val="21"/>
              </w:rPr>
              <w:t>电镀生产线要求</w:t>
            </w:r>
          </w:p>
        </w:tc>
        <w:tc>
          <w:tcPr>
            <w:tcW w:w="765" w:type="dxa"/>
            <w:vAlign w:val="center"/>
          </w:tcPr>
          <w:p>
            <w:pPr>
              <w:pStyle w:val="377"/>
              <w:adjustRightInd w:val="0"/>
              <w:snapToGrid w:val="0"/>
              <w:jc w:val="center"/>
              <w:rPr>
                <w:rFonts w:eastAsia="Times New Roman"/>
                <w:color w:val="auto"/>
                <w:kern w:val="21"/>
              </w:rPr>
            </w:pPr>
            <w:r>
              <w:rPr>
                <w:color w:val="auto"/>
                <w:kern w:val="21"/>
              </w:rPr>
              <w:t>0.4</w:t>
            </w:r>
          </w:p>
        </w:tc>
        <w:tc>
          <w:tcPr>
            <w:tcW w:w="2341" w:type="dxa"/>
            <w:vAlign w:val="center"/>
          </w:tcPr>
          <w:p>
            <w:pPr>
              <w:pStyle w:val="377"/>
              <w:adjustRightInd w:val="0"/>
              <w:snapToGrid w:val="0"/>
              <w:jc w:val="center"/>
              <w:rPr>
                <w:color w:val="auto"/>
                <w:kern w:val="21"/>
              </w:rPr>
            </w:pPr>
            <w:r>
              <w:rPr>
                <w:color w:val="auto"/>
                <w:kern w:val="21"/>
              </w:rPr>
              <w:t>电镀生产线采用节能措施</w:t>
            </w:r>
            <w:r>
              <w:rPr>
                <w:rFonts w:hint="eastAsia" w:ascii="宋体" w:hAnsi="宋体" w:cs="宋体"/>
                <w:color w:val="auto"/>
                <w:kern w:val="21"/>
                <w:vertAlign w:val="superscript"/>
              </w:rPr>
              <w:t>②</w:t>
            </w:r>
            <w:r>
              <w:rPr>
                <w:color w:val="auto"/>
                <w:kern w:val="21"/>
              </w:rPr>
              <w:t>，</w:t>
            </w:r>
            <w:r>
              <w:rPr>
                <w:rFonts w:eastAsia="Times New Roman"/>
                <w:color w:val="auto"/>
                <w:kern w:val="21"/>
              </w:rPr>
              <w:t>70%</w:t>
            </w:r>
            <w:r>
              <w:rPr>
                <w:color w:val="auto"/>
                <w:kern w:val="21"/>
              </w:rPr>
              <w:t>生产线实现自动化或半自动化</w:t>
            </w:r>
            <w:r>
              <w:rPr>
                <w:rFonts w:hint="eastAsia" w:ascii="宋体" w:hAnsi="宋体" w:cs="宋体"/>
                <w:color w:val="auto"/>
                <w:kern w:val="21"/>
                <w:vertAlign w:val="superscript"/>
              </w:rPr>
              <w:t>⑦</w:t>
            </w:r>
          </w:p>
        </w:tc>
        <w:tc>
          <w:tcPr>
            <w:tcW w:w="1577" w:type="dxa"/>
            <w:vAlign w:val="center"/>
          </w:tcPr>
          <w:p>
            <w:pPr>
              <w:pStyle w:val="377"/>
              <w:adjustRightInd w:val="0"/>
              <w:snapToGrid w:val="0"/>
              <w:jc w:val="center"/>
              <w:rPr>
                <w:color w:val="auto"/>
                <w:kern w:val="21"/>
              </w:rPr>
            </w:pPr>
            <w:r>
              <w:rPr>
                <w:color w:val="auto"/>
                <w:kern w:val="21"/>
              </w:rPr>
              <w:t>电镀生产线采用节能措施</w:t>
            </w:r>
            <w:r>
              <w:rPr>
                <w:rFonts w:hint="eastAsia" w:ascii="宋体" w:hAnsi="宋体" w:cs="宋体"/>
                <w:color w:val="auto"/>
                <w:kern w:val="21"/>
                <w:vertAlign w:val="superscript"/>
              </w:rPr>
              <w:t>②</w:t>
            </w:r>
            <w:r>
              <w:rPr>
                <w:color w:val="auto"/>
                <w:kern w:val="21"/>
              </w:rPr>
              <w:t>，</w:t>
            </w:r>
            <w:r>
              <w:rPr>
                <w:rFonts w:eastAsia="Times New Roman"/>
                <w:color w:val="auto"/>
                <w:kern w:val="21"/>
              </w:rPr>
              <w:t>50%</w:t>
            </w:r>
            <w:r>
              <w:rPr>
                <w:color w:val="auto"/>
                <w:kern w:val="21"/>
              </w:rPr>
              <w:t>生产线实现自动化或半自动化</w:t>
            </w:r>
            <w:r>
              <w:rPr>
                <w:rFonts w:hint="eastAsia" w:ascii="宋体" w:hAnsi="宋体" w:cs="宋体"/>
                <w:color w:val="auto"/>
                <w:kern w:val="21"/>
                <w:vertAlign w:val="superscript"/>
              </w:rPr>
              <w:t>⑦</w:t>
            </w:r>
          </w:p>
        </w:tc>
        <w:tc>
          <w:tcPr>
            <w:tcW w:w="1836" w:type="dxa"/>
            <w:vAlign w:val="center"/>
          </w:tcPr>
          <w:p>
            <w:pPr>
              <w:pStyle w:val="377"/>
              <w:adjustRightInd w:val="0"/>
              <w:snapToGrid w:val="0"/>
              <w:jc w:val="center"/>
              <w:rPr>
                <w:color w:val="auto"/>
                <w:kern w:val="21"/>
              </w:rPr>
            </w:pPr>
            <w:r>
              <w:rPr>
                <w:color w:val="auto"/>
                <w:kern w:val="21"/>
              </w:rPr>
              <w:t>电镀生产线采用节能措施</w:t>
            </w:r>
            <w:r>
              <w:rPr>
                <w:color w:val="auto"/>
                <w:kern w:val="21"/>
                <w:vertAlign w:val="superscript"/>
              </w:rPr>
              <w:t>②</w:t>
            </w:r>
          </w:p>
        </w:tc>
        <w:tc>
          <w:tcPr>
            <w:tcW w:w="1670" w:type="dxa"/>
            <w:vAlign w:val="center"/>
          </w:tcPr>
          <w:p>
            <w:pPr>
              <w:pStyle w:val="377"/>
              <w:adjustRightInd w:val="0"/>
              <w:snapToGrid w:val="0"/>
              <w:jc w:val="center"/>
              <w:rPr>
                <w:color w:val="auto"/>
                <w:kern w:val="21"/>
              </w:rPr>
            </w:pPr>
            <w:r>
              <w:rPr>
                <w:color w:val="auto"/>
                <w:kern w:val="21"/>
              </w:rPr>
              <w:t>电镀生产线采用节能措施，</w:t>
            </w:r>
            <w:r>
              <w:rPr>
                <w:rFonts w:hint="eastAsia"/>
                <w:color w:val="auto"/>
                <w:kern w:val="21"/>
              </w:rPr>
              <w:t>电镀</w:t>
            </w:r>
            <w:r>
              <w:rPr>
                <w:color w:val="auto"/>
                <w:kern w:val="21"/>
              </w:rPr>
              <w:t>生产线实现</w:t>
            </w:r>
            <w:r>
              <w:rPr>
                <w:rFonts w:hint="eastAsia"/>
                <w:color w:val="auto"/>
                <w:kern w:val="21"/>
              </w:rPr>
              <w:t>全部</w:t>
            </w:r>
            <w:r>
              <w:rPr>
                <w:color w:val="auto"/>
                <w:kern w:val="21"/>
              </w:rPr>
              <w:t>自动化</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4</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b/>
                <w:color w:val="auto"/>
                <w:kern w:val="21"/>
                <w:u w:val="single"/>
              </w:rPr>
            </w:pPr>
            <w:r>
              <w:rPr>
                <w:b/>
                <w:color w:val="auto"/>
                <w:kern w:val="21"/>
                <w:u w:val="single"/>
              </w:rPr>
              <w:t>有节水设施</w:t>
            </w:r>
          </w:p>
        </w:tc>
        <w:tc>
          <w:tcPr>
            <w:tcW w:w="765" w:type="dxa"/>
            <w:vAlign w:val="center"/>
          </w:tcPr>
          <w:p>
            <w:pPr>
              <w:pStyle w:val="377"/>
              <w:adjustRightInd w:val="0"/>
              <w:snapToGrid w:val="0"/>
              <w:jc w:val="center"/>
              <w:rPr>
                <w:rFonts w:eastAsia="Times New Roman"/>
                <w:b/>
                <w:color w:val="auto"/>
                <w:kern w:val="21"/>
                <w:u w:val="single"/>
              </w:rPr>
            </w:pPr>
            <w:r>
              <w:rPr>
                <w:b/>
                <w:color w:val="auto"/>
                <w:kern w:val="21"/>
                <w:u w:val="single"/>
              </w:rPr>
              <w:t>0.3</w:t>
            </w:r>
          </w:p>
        </w:tc>
        <w:tc>
          <w:tcPr>
            <w:tcW w:w="3918" w:type="dxa"/>
            <w:gridSpan w:val="2"/>
            <w:vAlign w:val="center"/>
          </w:tcPr>
          <w:p>
            <w:pPr>
              <w:pStyle w:val="377"/>
              <w:adjustRightInd w:val="0"/>
              <w:snapToGrid w:val="0"/>
              <w:jc w:val="center"/>
              <w:rPr>
                <w:b/>
                <w:color w:val="auto"/>
                <w:kern w:val="21"/>
                <w:u w:val="single"/>
              </w:rPr>
            </w:pPr>
            <w:r>
              <w:rPr>
                <w:b/>
                <w:color w:val="auto"/>
                <w:kern w:val="21"/>
                <w:u w:val="single"/>
              </w:rPr>
              <w:t>根据工艺选择逆流漂洗、淋洗、喷洗，电镀无单槽清洗等节水方式，有用水计量装置，有在线水回收设施</w:t>
            </w:r>
          </w:p>
        </w:tc>
        <w:tc>
          <w:tcPr>
            <w:tcW w:w="1836" w:type="dxa"/>
            <w:vAlign w:val="center"/>
          </w:tcPr>
          <w:p>
            <w:pPr>
              <w:pStyle w:val="377"/>
              <w:adjustRightInd w:val="0"/>
              <w:snapToGrid w:val="0"/>
              <w:jc w:val="center"/>
              <w:rPr>
                <w:b/>
                <w:color w:val="auto"/>
                <w:kern w:val="21"/>
                <w:u w:val="single"/>
              </w:rPr>
            </w:pPr>
            <w:r>
              <w:rPr>
                <w:b/>
                <w:color w:val="auto"/>
                <w:kern w:val="21"/>
                <w:u w:val="single"/>
              </w:rPr>
              <w:t>根据工艺选择逆流漂洗、喷淋等，电镀无单槽清洗等节水方式，有用水计量装置</w:t>
            </w:r>
          </w:p>
        </w:tc>
        <w:tc>
          <w:tcPr>
            <w:tcW w:w="1670" w:type="dxa"/>
            <w:vAlign w:val="center"/>
          </w:tcPr>
          <w:p>
            <w:pPr>
              <w:widowControl w:val="0"/>
              <w:autoSpaceDE w:val="0"/>
              <w:autoSpaceDN w:val="0"/>
              <w:adjustRightInd w:val="0"/>
              <w:rPr>
                <w:b/>
                <w:color w:val="auto"/>
                <w:kern w:val="21"/>
                <w:u w:val="single"/>
              </w:rPr>
            </w:pPr>
            <w:r>
              <w:rPr>
                <w:b/>
                <w:color w:val="auto"/>
                <w:kern w:val="21"/>
                <w:u w:val="single"/>
              </w:rPr>
              <w:t>根据</w:t>
            </w:r>
            <w:r>
              <w:rPr>
                <w:rFonts w:hint="eastAsia"/>
                <w:b/>
                <w:color w:val="auto"/>
                <w:kern w:val="21"/>
                <w:u w:val="single"/>
              </w:rPr>
              <w:t>工艺需要前处理除油及酸洗采用二级逆流水洗，</w:t>
            </w:r>
            <w:r>
              <w:rPr>
                <w:b/>
                <w:color w:val="auto"/>
                <w:kern w:val="21"/>
                <w:u w:val="single"/>
              </w:rPr>
              <w:t>电镀</w:t>
            </w:r>
            <w:r>
              <w:rPr>
                <w:rFonts w:hint="eastAsia"/>
                <w:b/>
                <w:color w:val="auto"/>
                <w:kern w:val="21"/>
                <w:u w:val="single"/>
              </w:rPr>
              <w:t>采用二级及以上逆流漂洗等节水方式，安装</w:t>
            </w:r>
            <w:r>
              <w:rPr>
                <w:b/>
                <w:color w:val="auto"/>
                <w:kern w:val="21"/>
                <w:u w:val="single"/>
              </w:rPr>
              <w:t>用水计量装置，</w:t>
            </w:r>
            <w:r>
              <w:rPr>
                <w:rFonts w:hint="eastAsia"/>
                <w:b/>
                <w:color w:val="auto"/>
                <w:kern w:val="21"/>
                <w:u w:val="single"/>
              </w:rPr>
              <w:t>建设废水零排系统，将含重金属废水经深度处理后出水回用于生产线</w:t>
            </w:r>
          </w:p>
        </w:tc>
        <w:tc>
          <w:tcPr>
            <w:tcW w:w="605" w:type="dxa"/>
            <w:vAlign w:val="center"/>
          </w:tcPr>
          <w:p>
            <w:pPr>
              <w:pStyle w:val="377"/>
              <w:adjustRightInd w:val="0"/>
              <w:snapToGrid w:val="0"/>
              <w:jc w:val="center"/>
              <w:rPr>
                <w:b/>
                <w:color w:val="auto"/>
                <w:kern w:val="21"/>
                <w:u w:val="single"/>
              </w:rPr>
            </w:pPr>
            <w:r>
              <w:rPr>
                <w:b/>
                <w:color w:val="auto"/>
                <w:kern w:val="21"/>
                <w:u w:val="single"/>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5</w:t>
            </w:r>
          </w:p>
        </w:tc>
        <w:tc>
          <w:tcPr>
            <w:tcW w:w="1051" w:type="dxa"/>
            <w:vAlign w:val="center"/>
          </w:tcPr>
          <w:p>
            <w:pPr>
              <w:pStyle w:val="377"/>
              <w:adjustRightInd w:val="0"/>
              <w:snapToGrid w:val="0"/>
              <w:jc w:val="center"/>
              <w:rPr>
                <w:color w:val="auto"/>
                <w:kern w:val="21"/>
              </w:rPr>
            </w:pPr>
            <w:r>
              <w:rPr>
                <w:color w:val="auto"/>
                <w:kern w:val="21"/>
              </w:rPr>
              <w:t>资源消耗指标</w:t>
            </w:r>
          </w:p>
        </w:tc>
        <w:tc>
          <w:tcPr>
            <w:tcW w:w="717" w:type="dxa"/>
            <w:vAlign w:val="center"/>
          </w:tcPr>
          <w:p>
            <w:pPr>
              <w:pStyle w:val="377"/>
              <w:adjustRightInd w:val="0"/>
              <w:snapToGrid w:val="0"/>
              <w:jc w:val="center"/>
              <w:rPr>
                <w:rFonts w:eastAsia="Times New Roman"/>
                <w:color w:val="auto"/>
                <w:kern w:val="21"/>
              </w:rPr>
            </w:pPr>
            <w:r>
              <w:rPr>
                <w:color w:val="auto"/>
                <w:kern w:val="21"/>
              </w:rPr>
              <w:t>0.10</w:t>
            </w:r>
          </w:p>
        </w:tc>
        <w:tc>
          <w:tcPr>
            <w:tcW w:w="1606" w:type="dxa"/>
            <w:vAlign w:val="center"/>
          </w:tcPr>
          <w:p>
            <w:pPr>
              <w:pStyle w:val="377"/>
              <w:adjustRightInd w:val="0"/>
              <w:snapToGrid w:val="0"/>
              <w:jc w:val="center"/>
              <w:rPr>
                <w:color w:val="auto"/>
                <w:kern w:val="21"/>
              </w:rPr>
            </w:pPr>
            <w:r>
              <w:rPr>
                <w:rFonts w:eastAsia="Times New Roman"/>
                <w:color w:val="auto"/>
                <w:kern w:val="21"/>
              </w:rPr>
              <w:t>*</w:t>
            </w:r>
            <w:r>
              <w:rPr>
                <w:color w:val="auto"/>
                <w:kern w:val="21"/>
              </w:rPr>
              <w:t>单位产品每次清洗取水量 ③</w:t>
            </w:r>
          </w:p>
        </w:tc>
        <w:tc>
          <w:tcPr>
            <w:tcW w:w="464" w:type="dxa"/>
            <w:vAlign w:val="center"/>
          </w:tcPr>
          <w:p>
            <w:pPr>
              <w:pStyle w:val="377"/>
              <w:adjustRightInd w:val="0"/>
              <w:snapToGrid w:val="0"/>
              <w:jc w:val="center"/>
              <w:rPr>
                <w:rFonts w:eastAsia="Times New Roman"/>
                <w:color w:val="auto"/>
                <w:kern w:val="21"/>
              </w:rPr>
            </w:pPr>
            <w:r>
              <w:rPr>
                <w:color w:val="auto"/>
                <w:kern w:val="21"/>
              </w:rPr>
              <w:t>L/m</w:t>
            </w:r>
            <w:r>
              <w:rPr>
                <w:color w:val="auto"/>
                <w:kern w:val="21"/>
                <w:vertAlign w:val="superscript"/>
              </w:rPr>
              <w:t>2</w:t>
            </w:r>
          </w:p>
        </w:tc>
        <w:tc>
          <w:tcPr>
            <w:tcW w:w="765" w:type="dxa"/>
            <w:vAlign w:val="center"/>
          </w:tcPr>
          <w:p>
            <w:pPr>
              <w:pStyle w:val="377"/>
              <w:adjustRightInd w:val="0"/>
              <w:snapToGrid w:val="0"/>
              <w:jc w:val="center"/>
              <w:rPr>
                <w:rFonts w:eastAsia="Times New Roman"/>
                <w:color w:val="auto"/>
                <w:kern w:val="21"/>
              </w:rPr>
            </w:pPr>
            <w:r>
              <w:rPr>
                <w:color w:val="auto"/>
                <w:kern w:val="21"/>
              </w:rPr>
              <w:t>1</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≤8</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≤24</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≤40</w:t>
            </w:r>
          </w:p>
        </w:tc>
        <w:tc>
          <w:tcPr>
            <w:tcW w:w="1670" w:type="dxa"/>
            <w:vAlign w:val="center"/>
          </w:tcPr>
          <w:p>
            <w:pPr>
              <w:pStyle w:val="377"/>
              <w:adjustRightInd w:val="0"/>
              <w:snapToGrid w:val="0"/>
              <w:jc w:val="center"/>
              <w:rPr>
                <w:color w:val="auto"/>
                <w:kern w:val="21"/>
              </w:rPr>
            </w:pPr>
            <w:r>
              <w:rPr>
                <w:rFonts w:hint="eastAsia"/>
                <w:color w:val="auto"/>
                <w:kern w:val="21"/>
              </w:rPr>
              <w:t>7.1</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6</w:t>
            </w:r>
          </w:p>
        </w:tc>
        <w:tc>
          <w:tcPr>
            <w:tcW w:w="1051" w:type="dxa"/>
            <w:vMerge w:val="restart"/>
            <w:vAlign w:val="center"/>
          </w:tcPr>
          <w:p>
            <w:pPr>
              <w:pStyle w:val="377"/>
              <w:adjustRightInd w:val="0"/>
              <w:snapToGrid w:val="0"/>
              <w:jc w:val="center"/>
              <w:rPr>
                <w:color w:val="auto"/>
                <w:kern w:val="21"/>
              </w:rPr>
            </w:pPr>
            <w:r>
              <w:rPr>
                <w:color w:val="auto"/>
                <w:kern w:val="21"/>
              </w:rPr>
              <w:t>资源综合利用指标</w:t>
            </w:r>
          </w:p>
        </w:tc>
        <w:tc>
          <w:tcPr>
            <w:tcW w:w="717" w:type="dxa"/>
            <w:vMerge w:val="restart"/>
            <w:vAlign w:val="center"/>
          </w:tcPr>
          <w:p>
            <w:pPr>
              <w:pStyle w:val="377"/>
              <w:adjustRightInd w:val="0"/>
              <w:snapToGrid w:val="0"/>
              <w:jc w:val="center"/>
              <w:rPr>
                <w:rFonts w:eastAsia="Times New Roman"/>
                <w:color w:val="auto"/>
                <w:kern w:val="21"/>
              </w:rPr>
            </w:pPr>
            <w:r>
              <w:rPr>
                <w:color w:val="auto"/>
                <w:kern w:val="21"/>
              </w:rPr>
              <w:t>0.18</w:t>
            </w:r>
          </w:p>
        </w:tc>
        <w:tc>
          <w:tcPr>
            <w:tcW w:w="1606" w:type="dxa"/>
            <w:vAlign w:val="center"/>
          </w:tcPr>
          <w:p>
            <w:pPr>
              <w:pStyle w:val="377"/>
              <w:adjustRightInd w:val="0"/>
              <w:snapToGrid w:val="0"/>
              <w:jc w:val="center"/>
              <w:rPr>
                <w:color w:val="auto"/>
                <w:kern w:val="21"/>
              </w:rPr>
            </w:pPr>
            <w:r>
              <w:rPr>
                <w:color w:val="auto"/>
                <w:kern w:val="21"/>
              </w:rPr>
              <w:t>锌利用率④</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≥82</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≥80</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≥75</w:t>
            </w:r>
          </w:p>
        </w:tc>
        <w:tc>
          <w:tcPr>
            <w:tcW w:w="1670" w:type="dxa"/>
            <w:vAlign w:val="center"/>
          </w:tcPr>
          <w:p>
            <w:pPr>
              <w:pStyle w:val="377"/>
              <w:adjustRightInd w:val="0"/>
              <w:snapToGrid w:val="0"/>
              <w:jc w:val="center"/>
              <w:rPr>
                <w:color w:val="auto"/>
                <w:kern w:val="21"/>
              </w:rPr>
            </w:pPr>
            <w:r>
              <w:rPr>
                <w:rFonts w:hint="eastAsia"/>
                <w:color w:val="auto"/>
                <w:kern w:val="21"/>
              </w:rPr>
              <w:t>95.20</w:t>
            </w:r>
          </w:p>
        </w:tc>
        <w:tc>
          <w:tcPr>
            <w:tcW w:w="605" w:type="dxa"/>
            <w:vAlign w:val="center"/>
          </w:tcPr>
          <w:p>
            <w:pPr>
              <w:pStyle w:val="377"/>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7</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铜利用率④</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≥90</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≥80</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≥75</w:t>
            </w:r>
          </w:p>
        </w:tc>
        <w:tc>
          <w:tcPr>
            <w:tcW w:w="1670" w:type="dxa"/>
            <w:vAlign w:val="center"/>
          </w:tcPr>
          <w:p>
            <w:pPr>
              <w:pStyle w:val="377"/>
              <w:adjustRightInd w:val="0"/>
              <w:snapToGrid w:val="0"/>
              <w:jc w:val="center"/>
              <w:rPr>
                <w:rFonts w:eastAsia="Times New Roman"/>
                <w:color w:val="auto"/>
                <w:kern w:val="21"/>
              </w:rPr>
            </w:pPr>
            <w:r>
              <w:rPr>
                <w:color w:val="auto"/>
                <w:kern w:val="21"/>
              </w:rPr>
              <w:t>/</w:t>
            </w:r>
          </w:p>
        </w:tc>
        <w:tc>
          <w:tcPr>
            <w:tcW w:w="605" w:type="dxa"/>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8</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镍利用率④</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≥95</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≥85</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≥80</w:t>
            </w:r>
          </w:p>
        </w:tc>
        <w:tc>
          <w:tcPr>
            <w:tcW w:w="1670" w:type="dxa"/>
            <w:vAlign w:val="center"/>
          </w:tcPr>
          <w:p>
            <w:pPr>
              <w:pStyle w:val="377"/>
              <w:adjustRightInd w:val="0"/>
              <w:snapToGrid w:val="0"/>
              <w:jc w:val="center"/>
              <w:rPr>
                <w:color w:val="auto"/>
                <w:kern w:val="21"/>
              </w:rPr>
            </w:pPr>
            <w:r>
              <w:rPr>
                <w:rFonts w:hint="eastAsia"/>
                <w:color w:val="auto"/>
                <w:kern w:val="21"/>
              </w:rPr>
              <w:t>98.41</w:t>
            </w:r>
          </w:p>
        </w:tc>
        <w:tc>
          <w:tcPr>
            <w:tcW w:w="605" w:type="dxa"/>
            <w:vAlign w:val="center"/>
          </w:tcPr>
          <w:p>
            <w:pPr>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9</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装饰铬利用率④</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≥60</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≥24</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≥20</w:t>
            </w:r>
          </w:p>
        </w:tc>
        <w:tc>
          <w:tcPr>
            <w:tcW w:w="1670" w:type="dxa"/>
            <w:vAlign w:val="center"/>
          </w:tcPr>
          <w:p>
            <w:pPr>
              <w:pStyle w:val="377"/>
              <w:adjustRightInd w:val="0"/>
              <w:snapToGrid w:val="0"/>
              <w:jc w:val="center"/>
              <w:rPr>
                <w:rFonts w:eastAsia="Times New Roman"/>
                <w:color w:val="auto"/>
                <w:kern w:val="21"/>
              </w:rPr>
            </w:pPr>
            <w:r>
              <w:rPr>
                <w:color w:val="auto"/>
                <w:kern w:val="21"/>
              </w:rPr>
              <w:t>/</w:t>
            </w:r>
          </w:p>
        </w:tc>
        <w:tc>
          <w:tcPr>
            <w:tcW w:w="605" w:type="dxa"/>
            <w:vAlign w:val="center"/>
          </w:tcPr>
          <w:p>
            <w:pPr>
              <w:pStyle w:val="377"/>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10</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硬铬利用率④</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≥90</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≥80</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≥70</w:t>
            </w:r>
          </w:p>
        </w:tc>
        <w:tc>
          <w:tcPr>
            <w:tcW w:w="1670" w:type="dxa"/>
            <w:vAlign w:val="center"/>
          </w:tcPr>
          <w:p>
            <w:pPr>
              <w:pStyle w:val="377"/>
              <w:adjustRightInd w:val="0"/>
              <w:snapToGrid w:val="0"/>
              <w:jc w:val="center"/>
              <w:rPr>
                <w:rFonts w:eastAsia="Times New Roman"/>
                <w:color w:val="auto"/>
                <w:kern w:val="21"/>
              </w:rPr>
            </w:pPr>
            <w:r>
              <w:rPr>
                <w:color w:val="auto"/>
                <w:kern w:val="21"/>
              </w:rPr>
              <w:t>/</w:t>
            </w:r>
          </w:p>
        </w:tc>
        <w:tc>
          <w:tcPr>
            <w:tcW w:w="605" w:type="dxa"/>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11</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金利用率④</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≥98</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≥95</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≥90</w:t>
            </w:r>
          </w:p>
        </w:tc>
        <w:tc>
          <w:tcPr>
            <w:tcW w:w="1670" w:type="dxa"/>
            <w:vAlign w:val="center"/>
          </w:tcPr>
          <w:p>
            <w:pPr>
              <w:pStyle w:val="377"/>
              <w:adjustRightInd w:val="0"/>
              <w:snapToGrid w:val="0"/>
              <w:jc w:val="center"/>
              <w:rPr>
                <w:rFonts w:eastAsia="Times New Roman"/>
                <w:color w:val="auto"/>
                <w:kern w:val="21"/>
              </w:rPr>
            </w:pPr>
            <w:r>
              <w:rPr>
                <w:color w:val="auto"/>
                <w:kern w:val="21"/>
              </w:rPr>
              <w:t>/</w:t>
            </w:r>
          </w:p>
        </w:tc>
        <w:tc>
          <w:tcPr>
            <w:tcW w:w="605" w:type="dxa"/>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12</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银利用率④（含氰镀银）</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0.8/n</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≥98</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≥95</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≥90</w:t>
            </w:r>
          </w:p>
        </w:tc>
        <w:tc>
          <w:tcPr>
            <w:tcW w:w="1670" w:type="dxa"/>
            <w:vAlign w:val="center"/>
          </w:tcPr>
          <w:p>
            <w:pPr>
              <w:pStyle w:val="377"/>
              <w:adjustRightInd w:val="0"/>
              <w:snapToGrid w:val="0"/>
              <w:jc w:val="center"/>
              <w:rPr>
                <w:rFonts w:eastAsia="Times New Roman"/>
                <w:color w:val="auto"/>
                <w:kern w:val="21"/>
              </w:rPr>
            </w:pPr>
            <w:r>
              <w:rPr>
                <w:color w:val="auto"/>
                <w:kern w:val="21"/>
              </w:rPr>
              <w:t>/</w:t>
            </w:r>
          </w:p>
        </w:tc>
        <w:tc>
          <w:tcPr>
            <w:tcW w:w="605" w:type="dxa"/>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13</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1606" w:type="dxa"/>
            <w:vAlign w:val="center"/>
          </w:tcPr>
          <w:p>
            <w:pPr>
              <w:pStyle w:val="377"/>
              <w:adjustRightInd w:val="0"/>
              <w:snapToGrid w:val="0"/>
              <w:jc w:val="center"/>
              <w:rPr>
                <w:color w:val="auto"/>
                <w:kern w:val="21"/>
              </w:rPr>
            </w:pPr>
            <w:r>
              <w:rPr>
                <w:color w:val="auto"/>
                <w:kern w:val="21"/>
              </w:rPr>
              <w:t>电镀用水重复利用率</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0.2</w:t>
            </w:r>
          </w:p>
        </w:tc>
        <w:tc>
          <w:tcPr>
            <w:tcW w:w="2341" w:type="dxa"/>
            <w:vAlign w:val="center"/>
          </w:tcPr>
          <w:p>
            <w:pPr>
              <w:pStyle w:val="377"/>
              <w:adjustRightInd w:val="0"/>
              <w:snapToGrid w:val="0"/>
              <w:jc w:val="center"/>
              <w:rPr>
                <w:rFonts w:eastAsia="Times New Roman"/>
                <w:color w:val="auto"/>
                <w:kern w:val="21"/>
              </w:rPr>
            </w:pPr>
            <w:r>
              <w:rPr>
                <w:rFonts w:eastAsia="Times New Roman"/>
                <w:color w:val="auto"/>
                <w:kern w:val="21"/>
              </w:rPr>
              <w:t>≥60</w:t>
            </w:r>
          </w:p>
        </w:tc>
        <w:tc>
          <w:tcPr>
            <w:tcW w:w="1577" w:type="dxa"/>
            <w:vAlign w:val="center"/>
          </w:tcPr>
          <w:p>
            <w:pPr>
              <w:pStyle w:val="377"/>
              <w:adjustRightInd w:val="0"/>
              <w:snapToGrid w:val="0"/>
              <w:jc w:val="center"/>
              <w:rPr>
                <w:rFonts w:eastAsia="Times New Roman"/>
                <w:color w:val="auto"/>
                <w:kern w:val="21"/>
              </w:rPr>
            </w:pPr>
            <w:r>
              <w:rPr>
                <w:rFonts w:eastAsia="Times New Roman"/>
                <w:color w:val="auto"/>
                <w:kern w:val="21"/>
              </w:rPr>
              <w:t>≥40</w:t>
            </w:r>
          </w:p>
        </w:tc>
        <w:tc>
          <w:tcPr>
            <w:tcW w:w="1836" w:type="dxa"/>
            <w:vAlign w:val="center"/>
          </w:tcPr>
          <w:p>
            <w:pPr>
              <w:pStyle w:val="377"/>
              <w:adjustRightInd w:val="0"/>
              <w:snapToGrid w:val="0"/>
              <w:jc w:val="center"/>
              <w:rPr>
                <w:rFonts w:eastAsia="Times New Roman"/>
                <w:color w:val="auto"/>
                <w:kern w:val="21"/>
              </w:rPr>
            </w:pPr>
            <w:r>
              <w:rPr>
                <w:rFonts w:eastAsia="Times New Roman"/>
                <w:color w:val="auto"/>
                <w:kern w:val="21"/>
              </w:rPr>
              <w:t>≥30</w:t>
            </w:r>
          </w:p>
        </w:tc>
        <w:tc>
          <w:tcPr>
            <w:tcW w:w="1670" w:type="dxa"/>
            <w:vAlign w:val="center"/>
          </w:tcPr>
          <w:p>
            <w:pPr>
              <w:pStyle w:val="377"/>
              <w:adjustRightInd w:val="0"/>
              <w:snapToGrid w:val="0"/>
              <w:jc w:val="center"/>
              <w:rPr>
                <w:color w:val="auto"/>
                <w:kern w:val="21"/>
              </w:rPr>
            </w:pPr>
            <w:r>
              <w:rPr>
                <w:rFonts w:hint="eastAsia"/>
                <w:color w:val="auto"/>
                <w:kern w:val="21"/>
              </w:rPr>
              <w:t>82</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14</w:t>
            </w:r>
          </w:p>
        </w:tc>
        <w:tc>
          <w:tcPr>
            <w:tcW w:w="1051" w:type="dxa"/>
            <w:vMerge w:val="restart"/>
            <w:vAlign w:val="center"/>
          </w:tcPr>
          <w:p>
            <w:pPr>
              <w:pStyle w:val="377"/>
              <w:adjustRightInd w:val="0"/>
              <w:snapToGrid w:val="0"/>
              <w:jc w:val="center"/>
              <w:rPr>
                <w:color w:val="auto"/>
                <w:kern w:val="21"/>
              </w:rPr>
            </w:pPr>
            <w:r>
              <w:rPr>
                <w:color w:val="auto"/>
                <w:kern w:val="21"/>
              </w:rPr>
              <w:t>污染物产生指标</w:t>
            </w:r>
          </w:p>
        </w:tc>
        <w:tc>
          <w:tcPr>
            <w:tcW w:w="717" w:type="dxa"/>
            <w:vMerge w:val="restart"/>
            <w:vAlign w:val="center"/>
          </w:tcPr>
          <w:p>
            <w:pPr>
              <w:pStyle w:val="377"/>
              <w:adjustRightInd w:val="0"/>
              <w:snapToGrid w:val="0"/>
              <w:jc w:val="center"/>
              <w:rPr>
                <w:rFonts w:eastAsia="Times New Roman"/>
                <w:color w:val="auto"/>
                <w:kern w:val="21"/>
              </w:rPr>
            </w:pPr>
            <w:r>
              <w:rPr>
                <w:color w:val="auto"/>
                <w:kern w:val="21"/>
              </w:rPr>
              <w:t>0.16</w:t>
            </w:r>
          </w:p>
        </w:tc>
        <w:tc>
          <w:tcPr>
            <w:tcW w:w="1606" w:type="dxa"/>
            <w:vAlign w:val="center"/>
          </w:tcPr>
          <w:p>
            <w:pPr>
              <w:pStyle w:val="377"/>
              <w:adjustRightInd w:val="0"/>
              <w:snapToGrid w:val="0"/>
              <w:jc w:val="center"/>
              <w:rPr>
                <w:color w:val="auto"/>
                <w:kern w:val="21"/>
              </w:rPr>
            </w:pPr>
            <w:r>
              <w:rPr>
                <w:rFonts w:eastAsia="Times New Roman"/>
                <w:color w:val="auto"/>
                <w:kern w:val="21"/>
              </w:rPr>
              <w:t>*</w:t>
            </w:r>
            <w:r>
              <w:rPr>
                <w:color w:val="auto"/>
                <w:kern w:val="21"/>
              </w:rPr>
              <w:t>电镀废水处理率⑩</w:t>
            </w:r>
          </w:p>
        </w:tc>
        <w:tc>
          <w:tcPr>
            <w:tcW w:w="464" w:type="dxa"/>
            <w:vAlign w:val="center"/>
          </w:tcPr>
          <w:p>
            <w:pPr>
              <w:pStyle w:val="377"/>
              <w:adjustRightInd w:val="0"/>
              <w:snapToGrid w:val="0"/>
              <w:jc w:val="center"/>
              <w:rPr>
                <w:rFonts w:eastAsia="Times New Roman"/>
                <w:color w:val="auto"/>
                <w:kern w:val="21"/>
              </w:rPr>
            </w:pPr>
            <w:r>
              <w:rPr>
                <w:color w:val="auto"/>
                <w:kern w:val="21"/>
              </w:rPr>
              <w:t>%</w:t>
            </w:r>
          </w:p>
        </w:tc>
        <w:tc>
          <w:tcPr>
            <w:tcW w:w="765" w:type="dxa"/>
            <w:vAlign w:val="center"/>
          </w:tcPr>
          <w:p>
            <w:pPr>
              <w:pStyle w:val="377"/>
              <w:adjustRightInd w:val="0"/>
              <w:snapToGrid w:val="0"/>
              <w:jc w:val="center"/>
              <w:rPr>
                <w:rFonts w:eastAsia="Times New Roman"/>
                <w:color w:val="auto"/>
                <w:kern w:val="21"/>
              </w:rPr>
            </w:pPr>
            <w:r>
              <w:rPr>
                <w:color w:val="auto"/>
                <w:kern w:val="21"/>
              </w:rPr>
              <w:t>0.5</w:t>
            </w:r>
          </w:p>
        </w:tc>
        <w:tc>
          <w:tcPr>
            <w:tcW w:w="5754" w:type="dxa"/>
            <w:gridSpan w:val="3"/>
            <w:vAlign w:val="center"/>
          </w:tcPr>
          <w:p>
            <w:pPr>
              <w:pStyle w:val="377"/>
              <w:adjustRightInd w:val="0"/>
              <w:snapToGrid w:val="0"/>
              <w:jc w:val="center"/>
              <w:rPr>
                <w:rFonts w:eastAsia="Times New Roman"/>
                <w:color w:val="auto"/>
                <w:kern w:val="21"/>
              </w:rPr>
            </w:pPr>
            <w:r>
              <w:rPr>
                <w:color w:val="auto"/>
                <w:kern w:val="21"/>
              </w:rPr>
              <w:t>100</w:t>
            </w:r>
          </w:p>
        </w:tc>
        <w:tc>
          <w:tcPr>
            <w:tcW w:w="1670" w:type="dxa"/>
            <w:vAlign w:val="center"/>
          </w:tcPr>
          <w:p>
            <w:pPr>
              <w:pStyle w:val="377"/>
              <w:adjustRightInd w:val="0"/>
              <w:snapToGrid w:val="0"/>
              <w:jc w:val="center"/>
              <w:rPr>
                <w:rFonts w:eastAsia="Times New Roman"/>
                <w:color w:val="auto"/>
                <w:kern w:val="21"/>
              </w:rPr>
            </w:pPr>
            <w:r>
              <w:rPr>
                <w:color w:val="auto"/>
                <w:kern w:val="21"/>
              </w:rPr>
              <w:t>100</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Merge w:val="restart"/>
            <w:vAlign w:val="center"/>
          </w:tcPr>
          <w:p>
            <w:pPr>
              <w:pStyle w:val="377"/>
              <w:adjustRightInd w:val="0"/>
              <w:snapToGrid w:val="0"/>
              <w:jc w:val="center"/>
              <w:rPr>
                <w:rFonts w:eastAsia="Times New Roman"/>
                <w:color w:val="auto"/>
                <w:kern w:val="21"/>
              </w:rPr>
            </w:pPr>
            <w:r>
              <w:rPr>
                <w:color w:val="auto"/>
                <w:kern w:val="21"/>
              </w:rPr>
              <w:t>15</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color w:val="auto"/>
                <w:kern w:val="21"/>
              </w:rPr>
              <w:t>有减少重金属污染物污染预防措施⑤</w:t>
            </w:r>
          </w:p>
        </w:tc>
        <w:tc>
          <w:tcPr>
            <w:tcW w:w="765" w:type="dxa"/>
            <w:vAlign w:val="center"/>
          </w:tcPr>
          <w:p>
            <w:pPr>
              <w:pStyle w:val="377"/>
              <w:adjustRightInd w:val="0"/>
              <w:snapToGrid w:val="0"/>
              <w:jc w:val="center"/>
              <w:rPr>
                <w:rFonts w:eastAsia="Times New Roman"/>
                <w:color w:val="auto"/>
                <w:kern w:val="21"/>
              </w:rPr>
            </w:pPr>
            <w:r>
              <w:rPr>
                <w:color w:val="auto"/>
                <w:kern w:val="21"/>
              </w:rPr>
              <w:t>0.2</w:t>
            </w:r>
          </w:p>
        </w:tc>
        <w:tc>
          <w:tcPr>
            <w:tcW w:w="3918" w:type="dxa"/>
            <w:gridSpan w:val="2"/>
            <w:vAlign w:val="center"/>
          </w:tcPr>
          <w:p>
            <w:pPr>
              <w:pStyle w:val="377"/>
              <w:adjustRightInd w:val="0"/>
              <w:snapToGrid w:val="0"/>
              <w:jc w:val="center"/>
              <w:rPr>
                <w:color w:val="auto"/>
                <w:kern w:val="21"/>
              </w:rPr>
            </w:pPr>
            <w:r>
              <w:rPr>
                <w:color w:val="auto"/>
                <w:kern w:val="21"/>
              </w:rPr>
              <w:t>使用四项以上（含四项）减少镀液带出措施</w:t>
            </w:r>
          </w:p>
        </w:tc>
        <w:tc>
          <w:tcPr>
            <w:tcW w:w="1836" w:type="dxa"/>
            <w:vAlign w:val="center"/>
          </w:tcPr>
          <w:p>
            <w:pPr>
              <w:pStyle w:val="377"/>
              <w:adjustRightInd w:val="0"/>
              <w:snapToGrid w:val="0"/>
              <w:jc w:val="center"/>
              <w:rPr>
                <w:color w:val="auto"/>
                <w:kern w:val="21"/>
              </w:rPr>
            </w:pPr>
            <w:r>
              <w:rPr>
                <w:color w:val="auto"/>
                <w:kern w:val="21"/>
              </w:rPr>
              <w:t>至少使用三项减少镀液带出措施</w:t>
            </w:r>
          </w:p>
        </w:tc>
        <w:tc>
          <w:tcPr>
            <w:tcW w:w="1670" w:type="dxa"/>
            <w:vAlign w:val="center"/>
          </w:tcPr>
          <w:p>
            <w:pPr>
              <w:pStyle w:val="377"/>
              <w:adjustRightInd w:val="0"/>
              <w:snapToGrid w:val="0"/>
              <w:jc w:val="center"/>
              <w:rPr>
                <w:color w:val="auto"/>
                <w:kern w:val="21"/>
              </w:rPr>
            </w:pPr>
            <w:r>
              <w:rPr>
                <w:rFonts w:hint="eastAsia"/>
                <w:color w:val="auto"/>
                <w:kern w:val="21"/>
              </w:rPr>
              <w:t>镀件缓慢出槽以延长镀液滴流 时间、</w:t>
            </w:r>
            <w:r>
              <w:rPr>
                <w:color w:val="auto"/>
                <w:kern w:val="21"/>
              </w:rPr>
              <w:t>科学装装件、</w:t>
            </w:r>
            <w:r>
              <w:rPr>
                <w:rFonts w:hint="eastAsia"/>
                <w:color w:val="auto"/>
                <w:kern w:val="21"/>
              </w:rPr>
              <w:t>设置</w:t>
            </w:r>
            <w:r>
              <w:rPr>
                <w:color w:val="auto"/>
                <w:kern w:val="21"/>
              </w:rPr>
              <w:t>镀液回收槽、镀槽间装导流板、在线回收重金属</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Merge w:val="continue"/>
            <w:vAlign w:val="center"/>
          </w:tcPr>
          <w:p>
            <w:pPr>
              <w:adjustRightInd w:val="0"/>
              <w:snapToGrid w:val="0"/>
              <w:jc w:val="center"/>
              <w:rPr>
                <w:color w:val="auto"/>
                <w:kern w:val="21"/>
              </w:rPr>
            </w:pP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rFonts w:eastAsia="Times New Roman"/>
                <w:color w:val="auto"/>
                <w:kern w:val="21"/>
              </w:rPr>
              <w:t>*</w:t>
            </w:r>
            <w:r>
              <w:rPr>
                <w:color w:val="auto"/>
                <w:kern w:val="21"/>
              </w:rPr>
              <w:t>危险废物污染预防措施</w:t>
            </w:r>
          </w:p>
        </w:tc>
        <w:tc>
          <w:tcPr>
            <w:tcW w:w="765" w:type="dxa"/>
            <w:vAlign w:val="center"/>
          </w:tcPr>
          <w:p>
            <w:pPr>
              <w:pStyle w:val="377"/>
              <w:adjustRightInd w:val="0"/>
              <w:snapToGrid w:val="0"/>
              <w:jc w:val="center"/>
              <w:rPr>
                <w:rFonts w:eastAsia="Times New Roman"/>
                <w:color w:val="auto"/>
                <w:kern w:val="21"/>
              </w:rPr>
            </w:pPr>
            <w:r>
              <w:rPr>
                <w:color w:val="auto"/>
                <w:kern w:val="21"/>
              </w:rPr>
              <w:t>0.3</w:t>
            </w:r>
          </w:p>
        </w:tc>
        <w:tc>
          <w:tcPr>
            <w:tcW w:w="5754" w:type="dxa"/>
            <w:gridSpan w:val="3"/>
            <w:vAlign w:val="center"/>
          </w:tcPr>
          <w:p>
            <w:pPr>
              <w:pStyle w:val="377"/>
              <w:adjustRightInd w:val="0"/>
              <w:snapToGrid w:val="0"/>
              <w:jc w:val="center"/>
              <w:rPr>
                <w:color w:val="auto"/>
                <w:kern w:val="21"/>
              </w:rPr>
            </w:pPr>
            <w:r>
              <w:rPr>
                <w:color w:val="auto"/>
                <w:kern w:val="21"/>
              </w:rPr>
              <w:t>电镀污泥和废液在企业内回收或送到有资质单位回收重金属，交外单位转移须提供危险废物转移联单</w:t>
            </w:r>
          </w:p>
        </w:tc>
        <w:tc>
          <w:tcPr>
            <w:tcW w:w="1670" w:type="dxa"/>
            <w:vAlign w:val="center"/>
          </w:tcPr>
          <w:p>
            <w:pPr>
              <w:pStyle w:val="377"/>
              <w:adjustRightInd w:val="0"/>
              <w:snapToGrid w:val="0"/>
              <w:jc w:val="center"/>
              <w:rPr>
                <w:color w:val="auto"/>
                <w:kern w:val="21"/>
              </w:rPr>
            </w:pPr>
            <w:r>
              <w:rPr>
                <w:color w:val="auto"/>
                <w:kern w:val="21"/>
              </w:rPr>
              <w:t>符合</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16</w:t>
            </w:r>
          </w:p>
        </w:tc>
        <w:tc>
          <w:tcPr>
            <w:tcW w:w="1051" w:type="dxa"/>
            <w:vAlign w:val="center"/>
          </w:tcPr>
          <w:p>
            <w:pPr>
              <w:pStyle w:val="377"/>
              <w:adjustRightInd w:val="0"/>
              <w:snapToGrid w:val="0"/>
              <w:jc w:val="center"/>
              <w:rPr>
                <w:color w:val="auto"/>
                <w:kern w:val="21"/>
              </w:rPr>
            </w:pPr>
            <w:r>
              <w:rPr>
                <w:color w:val="auto"/>
                <w:kern w:val="21"/>
              </w:rPr>
              <w:t>产品特征指标</w:t>
            </w:r>
          </w:p>
        </w:tc>
        <w:tc>
          <w:tcPr>
            <w:tcW w:w="717" w:type="dxa"/>
            <w:vAlign w:val="center"/>
          </w:tcPr>
          <w:p>
            <w:pPr>
              <w:pStyle w:val="377"/>
              <w:adjustRightInd w:val="0"/>
              <w:snapToGrid w:val="0"/>
              <w:jc w:val="center"/>
              <w:rPr>
                <w:rFonts w:eastAsia="Times New Roman"/>
                <w:color w:val="auto"/>
                <w:kern w:val="21"/>
              </w:rPr>
            </w:pPr>
            <w:r>
              <w:rPr>
                <w:color w:val="auto"/>
                <w:kern w:val="21"/>
              </w:rPr>
              <w:t>0.07</w:t>
            </w:r>
          </w:p>
        </w:tc>
        <w:tc>
          <w:tcPr>
            <w:tcW w:w="2070" w:type="dxa"/>
            <w:gridSpan w:val="2"/>
            <w:vAlign w:val="center"/>
          </w:tcPr>
          <w:p>
            <w:pPr>
              <w:pStyle w:val="377"/>
              <w:adjustRightInd w:val="0"/>
              <w:snapToGrid w:val="0"/>
              <w:jc w:val="center"/>
              <w:rPr>
                <w:color w:val="auto"/>
                <w:kern w:val="21"/>
              </w:rPr>
            </w:pPr>
            <w:r>
              <w:rPr>
                <w:color w:val="auto"/>
                <w:kern w:val="21"/>
              </w:rPr>
              <w:t>产品合格率保障措施⑥</w:t>
            </w:r>
          </w:p>
        </w:tc>
        <w:tc>
          <w:tcPr>
            <w:tcW w:w="765" w:type="dxa"/>
            <w:vAlign w:val="center"/>
          </w:tcPr>
          <w:p>
            <w:pPr>
              <w:pStyle w:val="377"/>
              <w:adjustRightInd w:val="0"/>
              <w:snapToGrid w:val="0"/>
              <w:jc w:val="center"/>
              <w:rPr>
                <w:rFonts w:eastAsia="Times New Roman"/>
                <w:color w:val="auto"/>
                <w:kern w:val="21"/>
              </w:rPr>
            </w:pPr>
            <w:r>
              <w:rPr>
                <w:color w:val="auto"/>
                <w:kern w:val="21"/>
              </w:rPr>
              <w:t>1</w:t>
            </w:r>
          </w:p>
        </w:tc>
        <w:tc>
          <w:tcPr>
            <w:tcW w:w="2341" w:type="dxa"/>
            <w:vAlign w:val="center"/>
          </w:tcPr>
          <w:p>
            <w:pPr>
              <w:pStyle w:val="377"/>
              <w:adjustRightInd w:val="0"/>
              <w:snapToGrid w:val="0"/>
              <w:jc w:val="center"/>
              <w:rPr>
                <w:color w:val="auto"/>
                <w:kern w:val="21"/>
              </w:rPr>
            </w:pPr>
            <w:r>
              <w:rPr>
                <w:color w:val="auto"/>
                <w:kern w:val="21"/>
              </w:rPr>
              <w:t>有镀液成分和杂质定量检测措施、有记录产品质量检测设备和产品检测记录</w:t>
            </w:r>
          </w:p>
        </w:tc>
        <w:tc>
          <w:tcPr>
            <w:tcW w:w="3413" w:type="dxa"/>
            <w:gridSpan w:val="2"/>
            <w:vAlign w:val="center"/>
          </w:tcPr>
          <w:p>
            <w:pPr>
              <w:pStyle w:val="377"/>
              <w:adjustRightInd w:val="0"/>
              <w:snapToGrid w:val="0"/>
              <w:jc w:val="center"/>
              <w:rPr>
                <w:color w:val="auto"/>
                <w:kern w:val="21"/>
              </w:rPr>
            </w:pPr>
            <w:r>
              <w:rPr>
                <w:color w:val="auto"/>
                <w:kern w:val="21"/>
              </w:rPr>
              <w:t>有镀液成分定量检测措施、有记录；有产品质量检测设备和产品 检测记录</w:t>
            </w:r>
          </w:p>
        </w:tc>
        <w:tc>
          <w:tcPr>
            <w:tcW w:w="1670" w:type="dxa"/>
            <w:vAlign w:val="center"/>
          </w:tcPr>
          <w:p>
            <w:pPr>
              <w:pStyle w:val="377"/>
              <w:adjustRightInd w:val="0"/>
              <w:snapToGrid w:val="0"/>
              <w:jc w:val="center"/>
              <w:rPr>
                <w:color w:val="auto"/>
                <w:kern w:val="21"/>
              </w:rPr>
            </w:pPr>
            <w:r>
              <w:rPr>
                <w:color w:val="auto"/>
                <w:kern w:val="21"/>
              </w:rPr>
              <w:t>有镀液成分定量检测及杂质定量检测措施、有记录；有产品质量检测设备和产品检测记录</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17</w:t>
            </w:r>
          </w:p>
        </w:tc>
        <w:tc>
          <w:tcPr>
            <w:tcW w:w="1051" w:type="dxa"/>
            <w:vMerge w:val="restart"/>
            <w:vAlign w:val="center"/>
          </w:tcPr>
          <w:p>
            <w:pPr>
              <w:pStyle w:val="377"/>
              <w:adjustRightInd w:val="0"/>
              <w:snapToGrid w:val="0"/>
              <w:jc w:val="center"/>
              <w:rPr>
                <w:color w:val="auto"/>
                <w:kern w:val="21"/>
              </w:rPr>
            </w:pPr>
            <w:r>
              <w:rPr>
                <w:color w:val="auto"/>
                <w:kern w:val="21"/>
              </w:rPr>
              <w:t>管理指标</w:t>
            </w:r>
          </w:p>
        </w:tc>
        <w:tc>
          <w:tcPr>
            <w:tcW w:w="717" w:type="dxa"/>
            <w:vMerge w:val="restart"/>
            <w:vAlign w:val="center"/>
          </w:tcPr>
          <w:p>
            <w:pPr>
              <w:pStyle w:val="377"/>
              <w:adjustRightInd w:val="0"/>
              <w:snapToGrid w:val="0"/>
              <w:jc w:val="center"/>
              <w:rPr>
                <w:rFonts w:eastAsia="Times New Roman"/>
                <w:color w:val="auto"/>
                <w:kern w:val="21"/>
              </w:rPr>
            </w:pPr>
            <w:r>
              <w:rPr>
                <w:color w:val="auto"/>
                <w:kern w:val="21"/>
              </w:rPr>
              <w:t>0.16</w:t>
            </w:r>
          </w:p>
        </w:tc>
        <w:tc>
          <w:tcPr>
            <w:tcW w:w="2070" w:type="dxa"/>
            <w:gridSpan w:val="2"/>
            <w:vAlign w:val="center"/>
          </w:tcPr>
          <w:p>
            <w:pPr>
              <w:pStyle w:val="377"/>
              <w:adjustRightInd w:val="0"/>
              <w:snapToGrid w:val="0"/>
              <w:jc w:val="center"/>
              <w:rPr>
                <w:color w:val="auto"/>
                <w:kern w:val="21"/>
              </w:rPr>
            </w:pPr>
            <w:r>
              <w:rPr>
                <w:rFonts w:eastAsia="Times New Roman"/>
                <w:color w:val="auto"/>
                <w:kern w:val="21"/>
              </w:rPr>
              <w:t>*</w:t>
            </w:r>
            <w:r>
              <w:rPr>
                <w:color w:val="auto"/>
                <w:kern w:val="21"/>
              </w:rPr>
              <w:t>环境法律法规标准执行情况</w:t>
            </w:r>
          </w:p>
        </w:tc>
        <w:tc>
          <w:tcPr>
            <w:tcW w:w="765" w:type="dxa"/>
            <w:vAlign w:val="center"/>
          </w:tcPr>
          <w:p>
            <w:pPr>
              <w:pStyle w:val="377"/>
              <w:adjustRightInd w:val="0"/>
              <w:snapToGrid w:val="0"/>
              <w:jc w:val="center"/>
              <w:rPr>
                <w:rFonts w:eastAsia="Times New Roman"/>
                <w:color w:val="auto"/>
                <w:kern w:val="21"/>
              </w:rPr>
            </w:pPr>
            <w:r>
              <w:rPr>
                <w:color w:val="auto"/>
                <w:kern w:val="21"/>
              </w:rPr>
              <w:t>0.2</w:t>
            </w:r>
          </w:p>
        </w:tc>
        <w:tc>
          <w:tcPr>
            <w:tcW w:w="5754" w:type="dxa"/>
            <w:gridSpan w:val="3"/>
            <w:vAlign w:val="center"/>
          </w:tcPr>
          <w:p>
            <w:pPr>
              <w:pStyle w:val="377"/>
              <w:adjustRightInd w:val="0"/>
              <w:snapToGrid w:val="0"/>
              <w:jc w:val="center"/>
              <w:rPr>
                <w:color w:val="auto"/>
                <w:kern w:val="21"/>
              </w:rPr>
            </w:pPr>
            <w:r>
              <w:rPr>
                <w:color w:val="auto"/>
                <w:kern w:val="21"/>
              </w:rPr>
              <w:t>废水、废气、噪声等污染物排放符合国家和地方排放标准；主要污染物排放应达到国家和地方污染物排放总量控制指标</w:t>
            </w:r>
          </w:p>
        </w:tc>
        <w:tc>
          <w:tcPr>
            <w:tcW w:w="1670" w:type="dxa"/>
            <w:vAlign w:val="center"/>
          </w:tcPr>
          <w:p>
            <w:pPr>
              <w:pStyle w:val="377"/>
              <w:adjustRightInd w:val="0"/>
              <w:snapToGrid w:val="0"/>
              <w:jc w:val="center"/>
              <w:rPr>
                <w:color w:val="auto"/>
                <w:kern w:val="21"/>
              </w:rPr>
            </w:pPr>
            <w:r>
              <w:rPr>
                <w:color w:val="auto"/>
                <w:kern w:val="21"/>
              </w:rPr>
              <w:t>符合</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18</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rFonts w:eastAsia="Times New Roman"/>
                <w:color w:val="auto"/>
                <w:kern w:val="21"/>
              </w:rPr>
              <w:t>*</w:t>
            </w:r>
            <w:r>
              <w:rPr>
                <w:color w:val="auto"/>
                <w:kern w:val="21"/>
              </w:rPr>
              <w:t>产业政策执行情况</w:t>
            </w:r>
          </w:p>
        </w:tc>
        <w:tc>
          <w:tcPr>
            <w:tcW w:w="765" w:type="dxa"/>
            <w:vAlign w:val="center"/>
          </w:tcPr>
          <w:p>
            <w:pPr>
              <w:pStyle w:val="377"/>
              <w:adjustRightInd w:val="0"/>
              <w:snapToGrid w:val="0"/>
              <w:jc w:val="center"/>
              <w:rPr>
                <w:rFonts w:eastAsia="Times New Roman"/>
                <w:color w:val="auto"/>
                <w:kern w:val="21"/>
              </w:rPr>
            </w:pPr>
            <w:r>
              <w:rPr>
                <w:color w:val="auto"/>
                <w:kern w:val="21"/>
              </w:rPr>
              <w:t>0.2</w:t>
            </w:r>
          </w:p>
        </w:tc>
        <w:tc>
          <w:tcPr>
            <w:tcW w:w="5754" w:type="dxa"/>
            <w:gridSpan w:val="3"/>
            <w:vAlign w:val="center"/>
          </w:tcPr>
          <w:p>
            <w:pPr>
              <w:pStyle w:val="377"/>
              <w:adjustRightInd w:val="0"/>
              <w:snapToGrid w:val="0"/>
              <w:jc w:val="center"/>
              <w:rPr>
                <w:color w:val="auto"/>
                <w:kern w:val="21"/>
              </w:rPr>
            </w:pPr>
            <w:r>
              <w:rPr>
                <w:color w:val="auto"/>
                <w:kern w:val="21"/>
              </w:rPr>
              <w:t>生产规模和工艺符合国家和地方相关产业政策</w:t>
            </w:r>
          </w:p>
        </w:tc>
        <w:tc>
          <w:tcPr>
            <w:tcW w:w="1670" w:type="dxa"/>
            <w:vAlign w:val="center"/>
          </w:tcPr>
          <w:p>
            <w:pPr>
              <w:pStyle w:val="377"/>
              <w:adjustRightInd w:val="0"/>
              <w:snapToGrid w:val="0"/>
              <w:jc w:val="center"/>
              <w:rPr>
                <w:color w:val="auto"/>
                <w:kern w:val="21"/>
              </w:rPr>
            </w:pPr>
            <w:r>
              <w:rPr>
                <w:color w:val="auto"/>
                <w:kern w:val="21"/>
              </w:rPr>
              <w:t>符合</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color w:val="auto"/>
                <w:kern w:val="21"/>
              </w:rPr>
            </w:pPr>
          </w:p>
          <w:p>
            <w:pPr>
              <w:pStyle w:val="377"/>
              <w:adjustRightInd w:val="0"/>
              <w:snapToGrid w:val="0"/>
              <w:jc w:val="center"/>
              <w:rPr>
                <w:color w:val="auto"/>
                <w:kern w:val="21"/>
              </w:rPr>
            </w:pPr>
          </w:p>
          <w:p>
            <w:pPr>
              <w:pStyle w:val="377"/>
              <w:adjustRightInd w:val="0"/>
              <w:snapToGrid w:val="0"/>
              <w:jc w:val="center"/>
              <w:rPr>
                <w:rFonts w:eastAsia="Times New Roman"/>
                <w:color w:val="auto"/>
                <w:kern w:val="21"/>
              </w:rPr>
            </w:pPr>
            <w:r>
              <w:rPr>
                <w:color w:val="auto"/>
                <w:kern w:val="21"/>
              </w:rPr>
              <w:t>19</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color w:val="auto"/>
                <w:kern w:val="21"/>
              </w:rPr>
              <w:t>环境管理体系制度及清洁生产审核情况</w:t>
            </w:r>
          </w:p>
        </w:tc>
        <w:tc>
          <w:tcPr>
            <w:tcW w:w="765" w:type="dxa"/>
            <w:vAlign w:val="center"/>
          </w:tcPr>
          <w:p>
            <w:pPr>
              <w:pStyle w:val="377"/>
              <w:adjustRightInd w:val="0"/>
              <w:snapToGrid w:val="0"/>
              <w:jc w:val="center"/>
              <w:rPr>
                <w:rFonts w:eastAsia="Times New Roman"/>
                <w:color w:val="auto"/>
                <w:kern w:val="21"/>
              </w:rPr>
            </w:pPr>
            <w:r>
              <w:rPr>
                <w:color w:val="auto"/>
                <w:kern w:val="21"/>
              </w:rPr>
              <w:t>0.1</w:t>
            </w:r>
          </w:p>
        </w:tc>
        <w:tc>
          <w:tcPr>
            <w:tcW w:w="2341" w:type="dxa"/>
            <w:vAlign w:val="center"/>
          </w:tcPr>
          <w:p>
            <w:pPr>
              <w:pStyle w:val="377"/>
              <w:adjustRightInd w:val="0"/>
              <w:snapToGrid w:val="0"/>
              <w:jc w:val="center"/>
              <w:rPr>
                <w:color w:val="auto"/>
                <w:kern w:val="21"/>
              </w:rPr>
            </w:pPr>
            <w:r>
              <w:rPr>
                <w:color w:val="auto"/>
                <w:kern w:val="21"/>
              </w:rPr>
              <w:t>按照</w:t>
            </w:r>
            <w:r>
              <w:rPr>
                <w:rFonts w:eastAsia="Times New Roman"/>
                <w:color w:val="auto"/>
                <w:kern w:val="21"/>
              </w:rPr>
              <w:t>GB/T 24001</w:t>
            </w:r>
            <w:r>
              <w:rPr>
                <w:color w:val="auto"/>
                <w:kern w:val="21"/>
              </w:rPr>
              <w:t>建立并运行环境管理体系，环境管理程序文件及作业文件齐备； 按照国家和地方要求，开展清洁生产审核</w:t>
            </w:r>
          </w:p>
        </w:tc>
        <w:tc>
          <w:tcPr>
            <w:tcW w:w="3413" w:type="dxa"/>
            <w:gridSpan w:val="2"/>
            <w:vAlign w:val="center"/>
          </w:tcPr>
          <w:p>
            <w:pPr>
              <w:pStyle w:val="377"/>
              <w:adjustRightInd w:val="0"/>
              <w:snapToGrid w:val="0"/>
              <w:jc w:val="center"/>
              <w:rPr>
                <w:color w:val="auto"/>
                <w:kern w:val="21"/>
              </w:rPr>
            </w:pPr>
            <w:r>
              <w:rPr>
                <w:color w:val="auto"/>
                <w:kern w:val="21"/>
              </w:rPr>
              <w:t>拥有健全的环境管理体系和完备的管理文件；按照国家和地方要求，开展清洁生产审核</w:t>
            </w:r>
          </w:p>
        </w:tc>
        <w:tc>
          <w:tcPr>
            <w:tcW w:w="1670" w:type="dxa"/>
            <w:vAlign w:val="center"/>
          </w:tcPr>
          <w:p>
            <w:pPr>
              <w:pStyle w:val="377"/>
              <w:adjustRightInd w:val="0"/>
              <w:snapToGrid w:val="0"/>
              <w:jc w:val="center"/>
              <w:rPr>
                <w:color w:val="auto"/>
                <w:kern w:val="21"/>
              </w:rPr>
            </w:pPr>
            <w:r>
              <w:rPr>
                <w:color w:val="auto"/>
                <w:kern w:val="21"/>
              </w:rPr>
              <w:t>本次环评要求按Ⅰ级要求执行</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20</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rFonts w:eastAsia="Times New Roman"/>
                <w:color w:val="auto"/>
                <w:kern w:val="21"/>
              </w:rPr>
              <w:t>*</w:t>
            </w:r>
            <w:r>
              <w:rPr>
                <w:color w:val="auto"/>
                <w:kern w:val="21"/>
              </w:rPr>
              <w:t>危险化学品管理</w:t>
            </w:r>
          </w:p>
        </w:tc>
        <w:tc>
          <w:tcPr>
            <w:tcW w:w="765" w:type="dxa"/>
            <w:vAlign w:val="center"/>
          </w:tcPr>
          <w:p>
            <w:pPr>
              <w:pStyle w:val="377"/>
              <w:adjustRightInd w:val="0"/>
              <w:snapToGrid w:val="0"/>
              <w:jc w:val="center"/>
              <w:rPr>
                <w:rFonts w:eastAsia="Times New Roman"/>
                <w:color w:val="auto"/>
                <w:kern w:val="21"/>
              </w:rPr>
            </w:pPr>
            <w:r>
              <w:rPr>
                <w:color w:val="auto"/>
                <w:kern w:val="21"/>
              </w:rPr>
              <w:t>0.10</w:t>
            </w:r>
          </w:p>
        </w:tc>
        <w:tc>
          <w:tcPr>
            <w:tcW w:w="5754" w:type="dxa"/>
            <w:gridSpan w:val="3"/>
            <w:vAlign w:val="center"/>
          </w:tcPr>
          <w:p>
            <w:pPr>
              <w:pStyle w:val="377"/>
              <w:adjustRightInd w:val="0"/>
              <w:snapToGrid w:val="0"/>
              <w:jc w:val="center"/>
              <w:rPr>
                <w:color w:val="auto"/>
                <w:kern w:val="21"/>
              </w:rPr>
            </w:pPr>
            <w:r>
              <w:rPr>
                <w:color w:val="auto"/>
                <w:kern w:val="21"/>
              </w:rPr>
              <w:t>符合《危险化学品安全管理条例》相关要求</w:t>
            </w:r>
          </w:p>
        </w:tc>
        <w:tc>
          <w:tcPr>
            <w:tcW w:w="1670" w:type="dxa"/>
            <w:vAlign w:val="center"/>
          </w:tcPr>
          <w:p>
            <w:pPr>
              <w:pStyle w:val="377"/>
              <w:adjustRightInd w:val="0"/>
              <w:snapToGrid w:val="0"/>
              <w:jc w:val="center"/>
              <w:rPr>
                <w:color w:val="auto"/>
                <w:kern w:val="21"/>
              </w:rPr>
            </w:pPr>
            <w:r>
              <w:rPr>
                <w:color w:val="auto"/>
                <w:kern w:val="21"/>
              </w:rPr>
              <w:t>符合</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25" w:type="dxa"/>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21</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color w:val="auto"/>
                <w:kern w:val="21"/>
              </w:rPr>
              <w:t>废水、废气处理设施运行管理</w:t>
            </w:r>
          </w:p>
        </w:tc>
        <w:tc>
          <w:tcPr>
            <w:tcW w:w="765" w:type="dxa"/>
            <w:vAlign w:val="center"/>
          </w:tcPr>
          <w:p>
            <w:pPr>
              <w:pStyle w:val="377"/>
              <w:adjustRightInd w:val="0"/>
              <w:snapToGrid w:val="0"/>
              <w:jc w:val="center"/>
              <w:rPr>
                <w:rFonts w:eastAsia="Times New Roman"/>
                <w:color w:val="auto"/>
                <w:kern w:val="21"/>
              </w:rPr>
            </w:pPr>
            <w:r>
              <w:rPr>
                <w:color w:val="auto"/>
                <w:kern w:val="21"/>
              </w:rPr>
              <w:t>0.1</w:t>
            </w:r>
          </w:p>
        </w:tc>
        <w:tc>
          <w:tcPr>
            <w:tcW w:w="2341" w:type="dxa"/>
            <w:vAlign w:val="center"/>
          </w:tcPr>
          <w:p>
            <w:pPr>
              <w:pStyle w:val="377"/>
              <w:adjustRightInd w:val="0"/>
              <w:snapToGrid w:val="0"/>
              <w:jc w:val="center"/>
              <w:rPr>
                <w:color w:val="auto"/>
                <w:kern w:val="21"/>
              </w:rPr>
            </w:pPr>
            <w:r>
              <w:rPr>
                <w:color w:val="auto"/>
                <w:kern w:val="21"/>
              </w:rPr>
              <w:t>非电镀车间废水不得混入电镀废水处理系统；建有废水处理设施运行中控系统，包括自动加药装置等；出水口有</w:t>
            </w:r>
            <w:r>
              <w:rPr>
                <w:rFonts w:hint="eastAsia"/>
                <w:color w:val="auto"/>
                <w:kern w:val="21"/>
              </w:rPr>
              <w:t>pH</w:t>
            </w:r>
            <w:r>
              <w:rPr>
                <w:color w:val="auto"/>
                <w:kern w:val="21"/>
              </w:rPr>
              <w:t>自动监测装置，建立治污设施运行台账；对有害气体有良好净化装置，并定期检测</w:t>
            </w:r>
          </w:p>
        </w:tc>
        <w:tc>
          <w:tcPr>
            <w:tcW w:w="1577" w:type="dxa"/>
            <w:vAlign w:val="center"/>
          </w:tcPr>
          <w:p>
            <w:pPr>
              <w:pStyle w:val="377"/>
              <w:adjustRightInd w:val="0"/>
              <w:snapToGrid w:val="0"/>
              <w:jc w:val="center"/>
              <w:rPr>
                <w:color w:val="auto"/>
                <w:kern w:val="21"/>
              </w:rPr>
            </w:pPr>
            <w:r>
              <w:rPr>
                <w:color w:val="auto"/>
                <w:kern w:val="21"/>
              </w:rPr>
              <w:t>非电镀车间废水不得混入电镀废水处理系统；建立治污设施运行台账，有自动加药装置，出水口有</w:t>
            </w:r>
            <w:r>
              <w:rPr>
                <w:rFonts w:hint="eastAsia"/>
                <w:color w:val="auto"/>
                <w:kern w:val="21"/>
              </w:rPr>
              <w:t>pH</w:t>
            </w:r>
            <w:r>
              <w:rPr>
                <w:color w:val="auto"/>
                <w:kern w:val="21"/>
              </w:rPr>
              <w:t>自动监测装置；对有害气体有良好净化装 置，并定期检测</w:t>
            </w:r>
          </w:p>
        </w:tc>
        <w:tc>
          <w:tcPr>
            <w:tcW w:w="1836" w:type="dxa"/>
            <w:vAlign w:val="center"/>
          </w:tcPr>
          <w:p>
            <w:pPr>
              <w:pStyle w:val="377"/>
              <w:adjustRightInd w:val="0"/>
              <w:snapToGrid w:val="0"/>
              <w:jc w:val="center"/>
              <w:rPr>
                <w:color w:val="auto"/>
                <w:kern w:val="21"/>
              </w:rPr>
            </w:pPr>
            <w:r>
              <w:rPr>
                <w:color w:val="auto"/>
                <w:kern w:val="21"/>
              </w:rPr>
              <w:t>非电镀车间废水不得混入电镀废水处理系统；建立治污设施运行台账，出水口有</w:t>
            </w:r>
            <w:r>
              <w:rPr>
                <w:rFonts w:hint="eastAsia"/>
                <w:color w:val="auto"/>
                <w:kern w:val="21"/>
              </w:rPr>
              <w:t>pH</w:t>
            </w:r>
            <w:r>
              <w:rPr>
                <w:rFonts w:eastAsia="Times New Roman"/>
                <w:color w:val="auto"/>
                <w:kern w:val="21"/>
              </w:rPr>
              <w:t xml:space="preserve"> </w:t>
            </w:r>
            <w:r>
              <w:rPr>
                <w:color w:val="auto"/>
                <w:kern w:val="21"/>
              </w:rPr>
              <w:t>自动监测装置，对有害气体有良好净化装置，并定期检测</w:t>
            </w:r>
          </w:p>
        </w:tc>
        <w:tc>
          <w:tcPr>
            <w:tcW w:w="1670" w:type="dxa"/>
            <w:vAlign w:val="center"/>
          </w:tcPr>
          <w:p>
            <w:pPr>
              <w:pStyle w:val="377"/>
              <w:adjustRightInd w:val="0"/>
              <w:snapToGrid w:val="0"/>
              <w:jc w:val="center"/>
              <w:rPr>
                <w:color w:val="auto"/>
                <w:kern w:val="21"/>
              </w:rPr>
            </w:pPr>
            <w:r>
              <w:rPr>
                <w:color w:val="auto"/>
                <w:kern w:val="21"/>
              </w:rPr>
              <w:t>电镀废水分类 收集；建立治污设施运行台账，有自动加药装置，出水口有</w:t>
            </w:r>
            <w:r>
              <w:rPr>
                <w:rFonts w:hint="eastAsia"/>
                <w:color w:val="auto"/>
                <w:kern w:val="21"/>
              </w:rPr>
              <w:t>pH</w:t>
            </w:r>
            <w:r>
              <w:rPr>
                <w:rFonts w:eastAsia="Times New Roman"/>
                <w:color w:val="auto"/>
                <w:kern w:val="21"/>
              </w:rPr>
              <w:t xml:space="preserve"> </w:t>
            </w:r>
            <w:r>
              <w:rPr>
                <w:color w:val="auto"/>
                <w:kern w:val="21"/>
              </w:rPr>
              <w:t>自动监测装置；对有害气体有 良好净化装置，并定期检测</w:t>
            </w:r>
          </w:p>
        </w:tc>
        <w:tc>
          <w:tcPr>
            <w:tcW w:w="605" w:type="dxa"/>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22</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rFonts w:eastAsia="Times New Roman"/>
                <w:color w:val="auto"/>
                <w:kern w:val="21"/>
              </w:rPr>
              <w:t>*</w:t>
            </w:r>
            <w:r>
              <w:rPr>
                <w:color w:val="auto"/>
                <w:kern w:val="21"/>
              </w:rPr>
              <w:t>危险废物处理处置</w:t>
            </w:r>
          </w:p>
        </w:tc>
        <w:tc>
          <w:tcPr>
            <w:tcW w:w="765" w:type="dxa"/>
            <w:vAlign w:val="center"/>
          </w:tcPr>
          <w:p>
            <w:pPr>
              <w:pStyle w:val="377"/>
              <w:adjustRightInd w:val="0"/>
              <w:snapToGrid w:val="0"/>
              <w:jc w:val="center"/>
              <w:rPr>
                <w:rFonts w:eastAsia="Times New Roman"/>
                <w:color w:val="auto"/>
                <w:kern w:val="21"/>
              </w:rPr>
            </w:pPr>
            <w:r>
              <w:rPr>
                <w:color w:val="auto"/>
                <w:kern w:val="21"/>
              </w:rPr>
              <w:t>0.1</w:t>
            </w:r>
          </w:p>
        </w:tc>
        <w:tc>
          <w:tcPr>
            <w:tcW w:w="5754" w:type="dxa"/>
            <w:gridSpan w:val="3"/>
            <w:vAlign w:val="center"/>
          </w:tcPr>
          <w:p>
            <w:pPr>
              <w:pStyle w:val="377"/>
              <w:adjustRightInd w:val="0"/>
              <w:snapToGrid w:val="0"/>
              <w:jc w:val="center"/>
              <w:rPr>
                <w:color w:val="auto"/>
                <w:kern w:val="21"/>
              </w:rPr>
            </w:pPr>
            <w:r>
              <w:rPr>
                <w:color w:val="auto"/>
                <w:kern w:val="21"/>
              </w:rPr>
              <w:t>危险废物按照</w:t>
            </w:r>
            <w:r>
              <w:rPr>
                <w:rFonts w:eastAsia="Times New Roman"/>
                <w:color w:val="auto"/>
                <w:kern w:val="21"/>
              </w:rPr>
              <w:t>GB 18597</w:t>
            </w:r>
            <w:r>
              <w:rPr>
                <w:color w:val="auto"/>
                <w:kern w:val="21"/>
              </w:rPr>
              <w:t>等相关规定执行</w:t>
            </w:r>
          </w:p>
        </w:tc>
        <w:tc>
          <w:tcPr>
            <w:tcW w:w="1670" w:type="dxa"/>
            <w:vAlign w:val="center"/>
          </w:tcPr>
          <w:p>
            <w:pPr>
              <w:pStyle w:val="377"/>
              <w:adjustRightInd w:val="0"/>
              <w:snapToGrid w:val="0"/>
              <w:jc w:val="center"/>
              <w:rPr>
                <w:color w:val="auto"/>
                <w:kern w:val="21"/>
              </w:rPr>
            </w:pPr>
            <w:r>
              <w:rPr>
                <w:color w:val="auto"/>
                <w:kern w:val="21"/>
              </w:rPr>
              <w:t>符合</w:t>
            </w:r>
          </w:p>
        </w:tc>
        <w:tc>
          <w:tcPr>
            <w:tcW w:w="630" w:type="dxa"/>
            <w:gridSpan w:val="2"/>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23</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color w:val="auto"/>
                <w:kern w:val="21"/>
              </w:rPr>
              <w:t>能源计量器具配备情况</w:t>
            </w:r>
          </w:p>
        </w:tc>
        <w:tc>
          <w:tcPr>
            <w:tcW w:w="765" w:type="dxa"/>
            <w:vAlign w:val="center"/>
          </w:tcPr>
          <w:p>
            <w:pPr>
              <w:pStyle w:val="377"/>
              <w:adjustRightInd w:val="0"/>
              <w:snapToGrid w:val="0"/>
              <w:jc w:val="center"/>
              <w:rPr>
                <w:rFonts w:eastAsia="Times New Roman"/>
                <w:color w:val="auto"/>
                <w:kern w:val="21"/>
              </w:rPr>
            </w:pPr>
            <w:r>
              <w:rPr>
                <w:color w:val="auto"/>
                <w:kern w:val="21"/>
              </w:rPr>
              <w:t>0.1</w:t>
            </w:r>
          </w:p>
        </w:tc>
        <w:tc>
          <w:tcPr>
            <w:tcW w:w="5754" w:type="dxa"/>
            <w:gridSpan w:val="3"/>
            <w:vAlign w:val="center"/>
          </w:tcPr>
          <w:p>
            <w:pPr>
              <w:pStyle w:val="377"/>
              <w:adjustRightInd w:val="0"/>
              <w:snapToGrid w:val="0"/>
              <w:jc w:val="center"/>
              <w:rPr>
                <w:color w:val="auto"/>
                <w:kern w:val="21"/>
              </w:rPr>
            </w:pPr>
            <w:r>
              <w:rPr>
                <w:color w:val="auto"/>
                <w:kern w:val="21"/>
              </w:rPr>
              <w:t>能源计量器具配备率符合</w:t>
            </w:r>
            <w:r>
              <w:rPr>
                <w:rFonts w:eastAsia="Times New Roman"/>
                <w:color w:val="auto"/>
                <w:kern w:val="21"/>
              </w:rPr>
              <w:t>GB17167</w:t>
            </w:r>
            <w:r>
              <w:rPr>
                <w:color w:val="auto"/>
                <w:kern w:val="21"/>
              </w:rPr>
              <w:t>标准</w:t>
            </w:r>
          </w:p>
        </w:tc>
        <w:tc>
          <w:tcPr>
            <w:tcW w:w="1670" w:type="dxa"/>
            <w:vAlign w:val="center"/>
          </w:tcPr>
          <w:p>
            <w:pPr>
              <w:pStyle w:val="377"/>
              <w:adjustRightInd w:val="0"/>
              <w:snapToGrid w:val="0"/>
              <w:jc w:val="center"/>
              <w:rPr>
                <w:color w:val="auto"/>
                <w:kern w:val="21"/>
              </w:rPr>
            </w:pPr>
            <w:r>
              <w:rPr>
                <w:color w:val="auto"/>
                <w:kern w:val="21"/>
              </w:rPr>
              <w:t>符合</w:t>
            </w:r>
          </w:p>
        </w:tc>
        <w:tc>
          <w:tcPr>
            <w:tcW w:w="630" w:type="dxa"/>
            <w:gridSpan w:val="2"/>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07" w:type="dxa"/>
            <w:vAlign w:val="center"/>
          </w:tcPr>
          <w:p>
            <w:pPr>
              <w:pStyle w:val="377"/>
              <w:adjustRightInd w:val="0"/>
              <w:snapToGrid w:val="0"/>
              <w:jc w:val="center"/>
              <w:rPr>
                <w:rFonts w:eastAsia="Times New Roman"/>
                <w:color w:val="auto"/>
                <w:kern w:val="21"/>
              </w:rPr>
            </w:pPr>
            <w:r>
              <w:rPr>
                <w:color w:val="auto"/>
                <w:kern w:val="21"/>
              </w:rPr>
              <w:t>24</w:t>
            </w:r>
          </w:p>
        </w:tc>
        <w:tc>
          <w:tcPr>
            <w:tcW w:w="1051" w:type="dxa"/>
            <w:vMerge w:val="continue"/>
            <w:vAlign w:val="center"/>
          </w:tcPr>
          <w:p>
            <w:pPr>
              <w:adjustRightInd w:val="0"/>
              <w:snapToGrid w:val="0"/>
              <w:jc w:val="center"/>
              <w:rPr>
                <w:color w:val="auto"/>
                <w:kern w:val="21"/>
              </w:rPr>
            </w:pPr>
          </w:p>
        </w:tc>
        <w:tc>
          <w:tcPr>
            <w:tcW w:w="717" w:type="dxa"/>
            <w:vMerge w:val="continue"/>
            <w:vAlign w:val="center"/>
          </w:tcPr>
          <w:p>
            <w:pPr>
              <w:adjustRightInd w:val="0"/>
              <w:snapToGrid w:val="0"/>
              <w:jc w:val="center"/>
              <w:rPr>
                <w:color w:val="auto"/>
                <w:kern w:val="21"/>
              </w:rPr>
            </w:pPr>
          </w:p>
        </w:tc>
        <w:tc>
          <w:tcPr>
            <w:tcW w:w="2070" w:type="dxa"/>
            <w:gridSpan w:val="2"/>
            <w:vAlign w:val="center"/>
          </w:tcPr>
          <w:p>
            <w:pPr>
              <w:pStyle w:val="377"/>
              <w:adjustRightInd w:val="0"/>
              <w:snapToGrid w:val="0"/>
              <w:jc w:val="center"/>
              <w:rPr>
                <w:color w:val="auto"/>
                <w:kern w:val="21"/>
              </w:rPr>
            </w:pPr>
            <w:r>
              <w:rPr>
                <w:rFonts w:eastAsia="Times New Roman"/>
                <w:color w:val="auto"/>
                <w:kern w:val="21"/>
              </w:rPr>
              <w:t>*</w:t>
            </w:r>
            <w:r>
              <w:rPr>
                <w:color w:val="auto"/>
                <w:kern w:val="21"/>
              </w:rPr>
              <w:t>环境应急预案</w:t>
            </w:r>
          </w:p>
        </w:tc>
        <w:tc>
          <w:tcPr>
            <w:tcW w:w="765" w:type="dxa"/>
            <w:vAlign w:val="center"/>
          </w:tcPr>
          <w:p>
            <w:pPr>
              <w:pStyle w:val="377"/>
              <w:adjustRightInd w:val="0"/>
              <w:snapToGrid w:val="0"/>
              <w:jc w:val="center"/>
              <w:rPr>
                <w:rFonts w:eastAsia="Times New Roman"/>
                <w:color w:val="auto"/>
                <w:kern w:val="21"/>
              </w:rPr>
            </w:pPr>
            <w:r>
              <w:rPr>
                <w:color w:val="auto"/>
                <w:kern w:val="21"/>
              </w:rPr>
              <w:t>0.1</w:t>
            </w:r>
          </w:p>
        </w:tc>
        <w:tc>
          <w:tcPr>
            <w:tcW w:w="5754" w:type="dxa"/>
            <w:gridSpan w:val="3"/>
            <w:vAlign w:val="center"/>
          </w:tcPr>
          <w:p>
            <w:pPr>
              <w:pStyle w:val="377"/>
              <w:adjustRightInd w:val="0"/>
              <w:snapToGrid w:val="0"/>
              <w:jc w:val="center"/>
              <w:rPr>
                <w:color w:val="auto"/>
                <w:kern w:val="21"/>
              </w:rPr>
            </w:pPr>
            <w:r>
              <w:rPr>
                <w:color w:val="auto"/>
                <w:kern w:val="21"/>
              </w:rPr>
              <w:t>编制系统的环境应急预案并开展环境应急演练</w:t>
            </w:r>
          </w:p>
        </w:tc>
        <w:tc>
          <w:tcPr>
            <w:tcW w:w="1670" w:type="dxa"/>
            <w:vAlign w:val="center"/>
          </w:tcPr>
          <w:p>
            <w:pPr>
              <w:pStyle w:val="377"/>
              <w:adjustRightInd w:val="0"/>
              <w:snapToGrid w:val="0"/>
              <w:jc w:val="center"/>
              <w:rPr>
                <w:color w:val="auto"/>
                <w:kern w:val="21"/>
              </w:rPr>
            </w:pPr>
            <w:r>
              <w:rPr>
                <w:color w:val="auto"/>
                <w:kern w:val="21"/>
              </w:rPr>
              <w:t>本次环评提出要求</w:t>
            </w:r>
          </w:p>
        </w:tc>
        <w:tc>
          <w:tcPr>
            <w:tcW w:w="630" w:type="dxa"/>
            <w:gridSpan w:val="2"/>
            <w:vAlign w:val="center"/>
          </w:tcPr>
          <w:p>
            <w:pPr>
              <w:pStyle w:val="377"/>
              <w:adjustRightInd w:val="0"/>
              <w:snapToGrid w:val="0"/>
              <w:jc w:val="center"/>
              <w:rPr>
                <w:color w:val="auto"/>
                <w:kern w:val="21"/>
              </w:rPr>
            </w:pPr>
            <w:r>
              <w:rPr>
                <w:color w:val="auto"/>
                <w:kern w:val="21"/>
              </w:rPr>
              <w:t>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3064" w:type="dxa"/>
            <w:gridSpan w:val="12"/>
            <w:vAlign w:val="center"/>
          </w:tcPr>
          <w:p>
            <w:pPr>
              <w:pStyle w:val="377"/>
              <w:adjustRightInd w:val="0"/>
              <w:snapToGrid w:val="0"/>
              <w:rPr>
                <w:color w:val="auto"/>
                <w:kern w:val="21"/>
              </w:rPr>
            </w:pPr>
            <w:r>
              <w:rPr>
                <w:color w:val="auto"/>
                <w:kern w:val="21"/>
              </w:rPr>
              <w:t>注：带</w:t>
            </w:r>
            <w:r>
              <w:rPr>
                <w:rFonts w:hint="eastAsia"/>
                <w:color w:val="auto"/>
                <w:kern w:val="21"/>
              </w:rPr>
              <w:t>“</w:t>
            </w:r>
            <w:r>
              <w:rPr>
                <w:color w:val="auto"/>
                <w:kern w:val="21"/>
              </w:rPr>
              <w:t>*</w:t>
            </w:r>
            <w:r>
              <w:rPr>
                <w:rFonts w:hint="eastAsia"/>
                <w:color w:val="auto"/>
                <w:kern w:val="21"/>
              </w:rPr>
              <w:t>”</w:t>
            </w:r>
            <w:r>
              <w:rPr>
                <w:color w:val="auto"/>
                <w:kern w:val="21"/>
              </w:rPr>
              <w:t>号的指标为限定性指标。</w:t>
            </w:r>
          </w:p>
          <w:p>
            <w:pPr>
              <w:pStyle w:val="377"/>
              <w:adjustRightInd w:val="0"/>
              <w:snapToGrid w:val="0"/>
              <w:rPr>
                <w:color w:val="auto"/>
                <w:kern w:val="21"/>
              </w:rPr>
            </w:pPr>
            <w:r>
              <w:rPr>
                <w:color w:val="auto"/>
                <w:kern w:val="21"/>
              </w:rPr>
              <w:t>1、使用金属回收工艺可以选用镀液回收槽、离子交换法回收、膜处理回收、电镀污泥</w:t>
            </w:r>
            <w:r>
              <w:rPr>
                <w:rFonts w:hint="eastAsia"/>
                <w:color w:val="auto"/>
                <w:kern w:val="21"/>
                <w:lang w:eastAsia="zh-CN"/>
              </w:rPr>
              <w:t>交由</w:t>
            </w:r>
            <w:r>
              <w:rPr>
                <w:color w:val="auto"/>
                <w:kern w:val="21"/>
              </w:rPr>
              <w:t>资质单位回收金属等方法。</w:t>
            </w:r>
          </w:p>
          <w:p>
            <w:pPr>
              <w:pStyle w:val="377"/>
              <w:adjustRightInd w:val="0"/>
              <w:snapToGrid w:val="0"/>
              <w:rPr>
                <w:color w:val="auto"/>
                <w:kern w:val="21"/>
              </w:rPr>
            </w:pPr>
            <w:r>
              <w:rPr>
                <w:color w:val="auto"/>
                <w:kern w:val="21"/>
              </w:rPr>
              <w:t>2、电镀生产线节能措施包括使用高频开关电源和/或可控硅整流器和/或脉冲电源， 其直流母线压降不超过10%并且极杠清洁、导电良好、淘汰高耗能设备、使用清洁燃料。</w:t>
            </w:r>
          </w:p>
          <w:p>
            <w:pPr>
              <w:pStyle w:val="377"/>
              <w:adjustRightInd w:val="0"/>
              <w:snapToGrid w:val="0"/>
              <w:rPr>
                <w:color w:val="auto"/>
                <w:kern w:val="21"/>
              </w:rPr>
            </w:pPr>
            <w:r>
              <w:rPr>
                <w:color w:val="auto"/>
                <w:kern w:val="21"/>
              </w:rPr>
              <w:t>3、</w:t>
            </w:r>
            <w:r>
              <w:rPr>
                <w:rFonts w:hint="eastAsia"/>
                <w:color w:val="auto"/>
                <w:kern w:val="21"/>
              </w:rPr>
              <w:t>“</w:t>
            </w:r>
            <w:r>
              <w:rPr>
                <w:color w:val="auto"/>
                <w:kern w:val="21"/>
              </w:rPr>
              <w:t>每次清洗取水量</w:t>
            </w:r>
            <w:r>
              <w:rPr>
                <w:rFonts w:hint="eastAsia"/>
                <w:color w:val="auto"/>
                <w:kern w:val="21"/>
              </w:rPr>
              <w:t>”</w:t>
            </w:r>
            <w:r>
              <w:rPr>
                <w:color w:val="auto"/>
                <w:kern w:val="21"/>
              </w:rPr>
              <w:t>是指按操作规程每次清洗所耗用水量，多级逆流水洗按级数计算清洗次数。</w:t>
            </w:r>
          </w:p>
          <w:p>
            <w:pPr>
              <w:pStyle w:val="377"/>
              <w:adjustRightInd w:val="0"/>
              <w:snapToGrid w:val="0"/>
              <w:rPr>
                <w:color w:val="auto"/>
                <w:kern w:val="21"/>
              </w:rPr>
            </w:pPr>
            <w:r>
              <w:rPr>
                <w:color w:val="auto"/>
                <w:kern w:val="21"/>
              </w:rPr>
              <w:t>4、镀锌、铜、镍、装饰铬、硬铬、镀金和含氰镀银为七个常规镀种，计算金属利用率时n为被审核镀种数；镀锡、无氰镀银等其他镀种可以参照</w:t>
            </w:r>
            <w:r>
              <w:rPr>
                <w:rFonts w:hint="eastAsia"/>
                <w:color w:val="auto"/>
                <w:kern w:val="21"/>
              </w:rPr>
              <w:t>“</w:t>
            </w:r>
            <w:r>
              <w:rPr>
                <w:color w:val="auto"/>
                <w:kern w:val="21"/>
              </w:rPr>
              <w:t>铜利用率</w:t>
            </w:r>
            <w:r>
              <w:rPr>
                <w:rFonts w:hint="eastAsia"/>
                <w:color w:val="auto"/>
                <w:kern w:val="21"/>
              </w:rPr>
              <w:t>”</w:t>
            </w:r>
            <w:r>
              <w:rPr>
                <w:color w:val="auto"/>
                <w:kern w:val="21"/>
              </w:rPr>
              <w:t>计算。</w:t>
            </w:r>
          </w:p>
          <w:p>
            <w:pPr>
              <w:pStyle w:val="377"/>
              <w:adjustRightInd w:val="0"/>
              <w:snapToGrid w:val="0"/>
              <w:rPr>
                <w:color w:val="auto"/>
                <w:kern w:val="21"/>
              </w:rPr>
            </w:pPr>
            <w:r>
              <w:rPr>
                <w:color w:val="auto"/>
                <w:kern w:val="21"/>
              </w:rPr>
              <w:t>5、减少单位产品重金属污染物产生量的措施包括：镀件缓慢出槽以延长镀液滴流时间（影响产品质量的除外）、挂具浸塑、科学装挂镀件、增加镀液回收槽、镀槽间装导流板，槽上喷雾清洗或淋洗（非加热镀槽除外）、在线或离线回收重金属等。</w:t>
            </w:r>
          </w:p>
          <w:p>
            <w:pPr>
              <w:pStyle w:val="377"/>
              <w:adjustRightInd w:val="0"/>
              <w:snapToGrid w:val="0"/>
              <w:rPr>
                <w:color w:val="auto"/>
                <w:kern w:val="21"/>
              </w:rPr>
            </w:pPr>
            <w:r>
              <w:rPr>
                <w:color w:val="auto"/>
                <w:kern w:val="21"/>
              </w:rPr>
              <w:t>6、提高电镀产品合格率是最有效减少污染物产生的措施，</w:t>
            </w:r>
            <w:r>
              <w:rPr>
                <w:rFonts w:hint="eastAsia"/>
                <w:color w:val="auto"/>
                <w:kern w:val="21"/>
              </w:rPr>
              <w:t>“</w:t>
            </w:r>
            <w:r>
              <w:rPr>
                <w:color w:val="auto"/>
                <w:kern w:val="21"/>
              </w:rPr>
              <w:t>有镀液成分和杂质定量检测措施、有记录</w:t>
            </w:r>
            <w:r>
              <w:rPr>
                <w:rFonts w:hint="eastAsia"/>
                <w:color w:val="auto"/>
                <w:kern w:val="21"/>
              </w:rPr>
              <w:t>”</w:t>
            </w:r>
            <w:r>
              <w:rPr>
                <w:color w:val="auto"/>
                <w:kern w:val="21"/>
              </w:rPr>
              <w:t>是指使用仪器定量检测镀液成分和主要杂质并有日常运行记录或委外检测报告。</w:t>
            </w:r>
          </w:p>
          <w:p>
            <w:pPr>
              <w:pStyle w:val="377"/>
              <w:adjustRightInd w:val="0"/>
              <w:snapToGrid w:val="0"/>
              <w:rPr>
                <w:color w:val="auto"/>
                <w:kern w:val="21"/>
              </w:rPr>
            </w:pPr>
            <w:r>
              <w:rPr>
                <w:color w:val="auto"/>
                <w:kern w:val="21"/>
              </w:rPr>
              <w:t>7、自动生产线所占百分比以产能计算；多品种、小批量生产的电镀企业（车间）对生产线自动化没有要求。</w:t>
            </w:r>
          </w:p>
          <w:p>
            <w:pPr>
              <w:pStyle w:val="377"/>
              <w:adjustRightInd w:val="0"/>
              <w:snapToGrid w:val="0"/>
              <w:rPr>
                <w:color w:val="auto"/>
                <w:kern w:val="21"/>
              </w:rPr>
            </w:pPr>
            <w:r>
              <w:rPr>
                <w:color w:val="auto"/>
                <w:kern w:val="21"/>
              </w:rPr>
              <w:t>8、生产车间基本要求： 设备和管道无跑、 冒、 滴、 漏， 有可靠的防范泄漏措施、 生产作业地面、 输送废水管道、 废水处理系统有防腐防渗措施、有酸雾、氰化氢、 氟化物、颗粒物等废气净化设施，有运行记录。</w:t>
            </w:r>
          </w:p>
          <w:p>
            <w:pPr>
              <w:pStyle w:val="377"/>
              <w:adjustRightInd w:val="0"/>
              <w:snapToGrid w:val="0"/>
              <w:rPr>
                <w:color w:val="auto"/>
                <w:kern w:val="21"/>
              </w:rPr>
            </w:pPr>
            <w:r>
              <w:rPr>
                <w:color w:val="auto"/>
                <w:kern w:val="21"/>
              </w:rPr>
              <w:t>9、低铬钝化指钝化液中铬酐含量低于5g/L。</w:t>
            </w:r>
          </w:p>
          <w:p>
            <w:pPr>
              <w:pStyle w:val="377"/>
              <w:adjustRightInd w:val="0"/>
              <w:snapToGrid w:val="0"/>
              <w:rPr>
                <w:color w:val="auto"/>
                <w:kern w:val="21"/>
              </w:rPr>
            </w:pPr>
            <w:r>
              <w:rPr>
                <w:color w:val="auto"/>
                <w:kern w:val="21"/>
              </w:rPr>
              <w:t>10、电镀废水处理量应≥电镀车间（生产线）总用水量的85%（高温处理槽为主的生产线除外）。</w:t>
            </w:r>
          </w:p>
          <w:p>
            <w:pPr>
              <w:pStyle w:val="377"/>
              <w:adjustRightInd w:val="0"/>
              <w:snapToGrid w:val="0"/>
              <w:rPr>
                <w:color w:val="auto"/>
                <w:kern w:val="21"/>
              </w:rPr>
            </w:pPr>
            <w:r>
              <w:rPr>
                <w:color w:val="auto"/>
                <w:kern w:val="21"/>
              </w:rPr>
              <w:t>11、非电镀车间废水：电镀车间废水包括电镀车间生产、现场洗手、洗工服、洗澡、化验室等产生的废水。其他无关车间并不含重金属的废水为</w:t>
            </w:r>
            <w:r>
              <w:rPr>
                <w:rFonts w:hint="eastAsia"/>
                <w:color w:val="auto"/>
                <w:kern w:val="21"/>
              </w:rPr>
              <w:t>“</w:t>
            </w:r>
            <w:r>
              <w:rPr>
                <w:color w:val="auto"/>
                <w:kern w:val="21"/>
              </w:rPr>
              <w:t>非电镀车间废水</w:t>
            </w:r>
            <w:r>
              <w:rPr>
                <w:rFonts w:hint="eastAsia"/>
                <w:color w:val="auto"/>
                <w:kern w:val="21"/>
              </w:rPr>
              <w:t>”</w:t>
            </w:r>
          </w:p>
        </w:tc>
      </w:tr>
    </w:tbl>
    <w:p>
      <w:pPr>
        <w:pStyle w:val="32"/>
        <w:adjustRightInd w:val="0"/>
        <w:snapToGrid w:val="0"/>
        <w:spacing w:after="0" w:line="360" w:lineRule="auto"/>
        <w:ind w:firstLine="482" w:firstLineChars="200"/>
        <w:rPr>
          <w:b/>
          <w:color w:val="auto"/>
          <w:kern w:val="21"/>
          <w:sz w:val="24"/>
          <w:u w:val="single"/>
        </w:rPr>
      </w:pPr>
      <w:bookmarkStart w:id="210" w:name="_Toc26277"/>
      <w:bookmarkStart w:id="211" w:name="_Toc26687_WPSOffice_Level1"/>
      <w:r>
        <w:rPr>
          <w:rFonts w:hint="eastAsia"/>
          <w:b/>
          <w:color w:val="auto"/>
          <w:kern w:val="21"/>
          <w:sz w:val="24"/>
          <w:u w:val="single"/>
        </w:rPr>
        <w:t>对照我国制定的《电镀行业清洁生产评价标准指标体系》，本项目电镀生产线各项限定性指标均达到Ⅰ级基准值要求及以上，综合评价指标指数Y</w:t>
      </w:r>
      <w:r>
        <w:rPr>
          <w:b/>
          <w:color w:val="auto"/>
          <w:kern w:val="21"/>
          <w:sz w:val="24"/>
          <w:u w:val="single"/>
          <w:vertAlign w:val="subscript"/>
        </w:rPr>
        <w:fldChar w:fldCharType="begin"/>
      </w:r>
      <w:r>
        <w:rPr>
          <w:b/>
          <w:color w:val="auto"/>
          <w:kern w:val="21"/>
          <w:sz w:val="24"/>
          <w:u w:val="single"/>
          <w:vertAlign w:val="subscript"/>
        </w:rPr>
        <w:instrText xml:space="preserve"> </w:instrText>
      </w:r>
      <w:r>
        <w:rPr>
          <w:rFonts w:hint="eastAsia"/>
          <w:b/>
          <w:color w:val="auto"/>
          <w:kern w:val="21"/>
          <w:sz w:val="24"/>
          <w:u w:val="single"/>
          <w:vertAlign w:val="subscript"/>
        </w:rPr>
        <w:instrText xml:space="preserve">= 1 \* ROMAN</w:instrText>
      </w:r>
      <w:r>
        <w:rPr>
          <w:b/>
          <w:color w:val="auto"/>
          <w:kern w:val="21"/>
          <w:sz w:val="24"/>
          <w:u w:val="single"/>
          <w:vertAlign w:val="subscript"/>
        </w:rPr>
        <w:instrText xml:space="preserve"> </w:instrText>
      </w:r>
      <w:r>
        <w:rPr>
          <w:b/>
          <w:color w:val="auto"/>
          <w:kern w:val="21"/>
          <w:sz w:val="24"/>
          <w:u w:val="single"/>
          <w:vertAlign w:val="subscript"/>
        </w:rPr>
        <w:fldChar w:fldCharType="separate"/>
      </w:r>
      <w:r>
        <w:rPr>
          <w:b/>
          <w:color w:val="auto"/>
          <w:kern w:val="21"/>
          <w:sz w:val="24"/>
          <w:u w:val="single"/>
          <w:vertAlign w:val="subscript"/>
        </w:rPr>
        <w:t>I</w:t>
      </w:r>
      <w:r>
        <w:rPr>
          <w:b/>
          <w:color w:val="auto"/>
          <w:kern w:val="21"/>
          <w:sz w:val="24"/>
          <w:u w:val="single"/>
          <w:vertAlign w:val="subscript"/>
        </w:rPr>
        <w:fldChar w:fldCharType="end"/>
      </w:r>
      <w:r>
        <w:rPr>
          <w:rFonts w:hint="eastAsia"/>
          <w:b/>
          <w:color w:val="auto"/>
          <w:kern w:val="21"/>
          <w:sz w:val="24"/>
          <w:u w:val="single"/>
        </w:rPr>
        <w:t>为100，则本项目电镀生产线清洁生产水平为Ⅰ级，达到国际清洁生产先进水平。</w:t>
      </w:r>
    </w:p>
    <w:p>
      <w:pPr>
        <w:pStyle w:val="32"/>
        <w:adjustRightInd w:val="0"/>
        <w:snapToGrid w:val="0"/>
        <w:spacing w:after="0" w:line="360" w:lineRule="auto"/>
        <w:ind w:firstLine="480" w:firstLineChars="200"/>
        <w:rPr>
          <w:color w:val="auto"/>
          <w:kern w:val="21"/>
          <w:sz w:val="24"/>
          <w:lang w:val="en-US"/>
        </w:rPr>
        <w:sectPr>
          <w:headerReference r:id="rId16" w:type="default"/>
          <w:footerReference r:id="rId17" w:type="default"/>
          <w:pgSz w:w="16838" w:h="11906" w:orient="landscape"/>
          <w:pgMar w:top="1440" w:right="1800" w:bottom="1440" w:left="1800" w:header="1134" w:footer="907" w:gutter="0"/>
          <w:cols w:space="720" w:num="1"/>
          <w:docGrid w:linePitch="312" w:charSpace="0"/>
        </w:sectPr>
      </w:pPr>
    </w:p>
    <w:p>
      <w:pPr>
        <w:pStyle w:val="5"/>
        <w:keepNext w:val="0"/>
        <w:keepLines w:val="0"/>
        <w:snapToGrid w:val="0"/>
        <w:spacing w:before="0" w:beforeLines="0" w:after="0" w:afterLines="0"/>
        <w:jc w:val="both"/>
        <w:rPr>
          <w:bCs w:val="0"/>
          <w:color w:val="auto"/>
          <w:kern w:val="21"/>
          <w:sz w:val="28"/>
          <w:szCs w:val="28"/>
        </w:rPr>
      </w:pPr>
      <w:bookmarkStart w:id="212" w:name="_Toc30579_WPSOffice_Level2"/>
      <w:bookmarkStart w:id="213" w:name="_Toc23455_WPSOffice_Level1"/>
      <w:r>
        <w:rPr>
          <w:bCs w:val="0"/>
          <w:color w:val="auto"/>
          <w:kern w:val="21"/>
          <w:sz w:val="28"/>
          <w:szCs w:val="28"/>
        </w:rPr>
        <w:t>3.5.</w:t>
      </w:r>
      <w:r>
        <w:rPr>
          <w:rFonts w:hint="eastAsia"/>
          <w:bCs w:val="0"/>
          <w:color w:val="auto"/>
          <w:kern w:val="21"/>
          <w:sz w:val="28"/>
          <w:szCs w:val="28"/>
        </w:rPr>
        <w:t>7持续</w:t>
      </w:r>
      <w:r>
        <w:rPr>
          <w:bCs w:val="0"/>
          <w:color w:val="auto"/>
          <w:kern w:val="21"/>
          <w:sz w:val="28"/>
          <w:szCs w:val="28"/>
        </w:rPr>
        <w:t>清洁生产</w:t>
      </w:r>
    </w:p>
    <w:p>
      <w:pPr>
        <w:pStyle w:val="6"/>
        <w:spacing w:before="0" w:after="0" w:line="360" w:lineRule="auto"/>
        <w:rPr>
          <w:b w:val="0"/>
          <w:color w:val="auto"/>
          <w:sz w:val="24"/>
          <w:szCs w:val="24"/>
        </w:rPr>
      </w:pPr>
      <w:r>
        <w:rPr>
          <w:rFonts w:hint="eastAsia"/>
          <w:b w:val="0"/>
          <w:color w:val="auto"/>
          <w:sz w:val="24"/>
          <w:szCs w:val="24"/>
        </w:rPr>
        <w:t>3.5.7.1持续清洁生产的必要性</w:t>
      </w:r>
    </w:p>
    <w:p>
      <w:pPr>
        <w:pStyle w:val="32"/>
        <w:adjustRightInd w:val="0"/>
        <w:snapToGrid w:val="0"/>
        <w:spacing w:after="0" w:line="360" w:lineRule="auto"/>
        <w:rPr>
          <w:color w:val="auto"/>
          <w:kern w:val="21"/>
          <w:sz w:val="24"/>
          <w:lang w:val="en-US"/>
        </w:rPr>
      </w:pPr>
      <w:r>
        <w:rPr>
          <w:rFonts w:hint="eastAsia"/>
          <w:color w:val="auto"/>
          <w:kern w:val="21"/>
          <w:sz w:val="24"/>
          <w:lang w:val="en-US"/>
        </w:rPr>
        <w:t xml:space="preserve">    持续清洁生产的必要性见表3.5-4。</w:t>
      </w:r>
    </w:p>
    <w:p>
      <w:pPr>
        <w:pStyle w:val="32"/>
        <w:adjustRightInd w:val="0"/>
        <w:snapToGrid w:val="0"/>
        <w:spacing w:after="0"/>
        <w:jc w:val="center"/>
        <w:rPr>
          <w:rFonts w:eastAsia="黑体"/>
          <w:color w:val="auto"/>
          <w:kern w:val="21"/>
          <w:sz w:val="24"/>
          <w:lang w:val="en-US"/>
        </w:rPr>
      </w:pPr>
      <w:r>
        <w:rPr>
          <w:rFonts w:eastAsia="黑体"/>
          <w:color w:val="auto"/>
          <w:kern w:val="21"/>
          <w:sz w:val="24"/>
        </w:rPr>
        <w:t>表</w:t>
      </w:r>
      <w:r>
        <w:rPr>
          <w:rFonts w:eastAsia="黑体"/>
          <w:color w:val="auto"/>
          <w:kern w:val="21"/>
          <w:sz w:val="24"/>
          <w:lang w:val="en-US"/>
        </w:rPr>
        <w:t>3.5-</w:t>
      </w:r>
      <w:r>
        <w:rPr>
          <w:rFonts w:hint="eastAsia" w:eastAsia="黑体"/>
          <w:color w:val="auto"/>
          <w:kern w:val="21"/>
          <w:sz w:val="24"/>
          <w:lang w:val="en-US"/>
        </w:rPr>
        <w:t>4</w:t>
      </w:r>
      <w:r>
        <w:rPr>
          <w:rFonts w:eastAsia="黑体"/>
          <w:color w:val="auto"/>
          <w:kern w:val="21"/>
          <w:sz w:val="24"/>
          <w:lang w:val="en-US"/>
        </w:rPr>
        <w:t xml:space="preserve">  企业实行持续清洁生产的必要性</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7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7"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序号</w:t>
            </w:r>
          </w:p>
        </w:tc>
        <w:tc>
          <w:tcPr>
            <w:tcW w:w="7627" w:type="dxa"/>
            <w:vAlign w:val="center"/>
          </w:tcPr>
          <w:p>
            <w:pPr>
              <w:pStyle w:val="32"/>
              <w:adjustRightInd w:val="0"/>
              <w:snapToGrid w:val="0"/>
              <w:spacing w:after="0"/>
              <w:jc w:val="center"/>
              <w:rPr>
                <w:b/>
                <w:bCs/>
                <w:color w:val="auto"/>
                <w:kern w:val="21"/>
                <w:szCs w:val="21"/>
                <w:lang w:val="en-US"/>
              </w:rPr>
            </w:pPr>
            <w:r>
              <w:rPr>
                <w:rFonts w:hint="eastAsia" w:ascii="宋体" w:hAnsi="宋体"/>
                <w:b/>
                <w:bCs/>
                <w:color w:val="auto"/>
                <w:kern w:val="21"/>
                <w:szCs w:val="21"/>
                <w:lang w:val="en-US"/>
              </w:rPr>
              <w:t>企业实行持续清洁生产的必要性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7" w:type="dxa"/>
            <w:vAlign w:val="center"/>
          </w:tcPr>
          <w:p>
            <w:pPr>
              <w:pStyle w:val="32"/>
              <w:adjustRightInd w:val="0"/>
              <w:snapToGrid w:val="0"/>
              <w:spacing w:after="0"/>
              <w:jc w:val="center"/>
              <w:rPr>
                <w:color w:val="auto"/>
                <w:kern w:val="21"/>
                <w:szCs w:val="21"/>
                <w:lang w:val="en-US"/>
              </w:rPr>
            </w:pPr>
            <w:r>
              <w:rPr>
                <w:color w:val="auto"/>
                <w:kern w:val="21"/>
                <w:szCs w:val="21"/>
                <w:lang w:val="en-US"/>
              </w:rPr>
              <w:t>1</w:t>
            </w:r>
          </w:p>
        </w:tc>
        <w:tc>
          <w:tcPr>
            <w:tcW w:w="7627" w:type="dxa"/>
            <w:vAlign w:val="center"/>
          </w:tcPr>
          <w:p>
            <w:pPr>
              <w:pStyle w:val="32"/>
              <w:adjustRightInd w:val="0"/>
              <w:snapToGrid w:val="0"/>
              <w:spacing w:after="0"/>
              <w:jc w:val="center"/>
              <w:rPr>
                <w:color w:val="auto"/>
                <w:kern w:val="21"/>
                <w:szCs w:val="21"/>
                <w:lang w:val="en-US"/>
              </w:rPr>
            </w:pPr>
            <w:r>
              <w:rPr>
                <w:rFonts w:hint="eastAsia" w:ascii="宋体" w:hAnsi="宋体"/>
                <w:color w:val="auto"/>
                <w:kern w:val="21"/>
                <w:szCs w:val="21"/>
                <w:lang w:val="en-US"/>
              </w:rPr>
              <w:t>为最大限度地节约资源，减少排污，企业应该有领导、有组织、有计划地按照《清洁生产促进法》中的规定和《工业企业清洁生产手册》上推荐的清洁生产内容开展清洁生产工作。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7" w:type="dxa"/>
            <w:vAlign w:val="center"/>
          </w:tcPr>
          <w:p>
            <w:pPr>
              <w:pStyle w:val="32"/>
              <w:adjustRightInd w:val="0"/>
              <w:snapToGrid w:val="0"/>
              <w:spacing w:after="0"/>
              <w:jc w:val="center"/>
              <w:rPr>
                <w:color w:val="auto"/>
                <w:kern w:val="21"/>
                <w:szCs w:val="21"/>
                <w:lang w:val="en-US"/>
              </w:rPr>
            </w:pPr>
            <w:r>
              <w:rPr>
                <w:color w:val="auto"/>
                <w:kern w:val="21"/>
                <w:szCs w:val="21"/>
                <w:lang w:val="en-US"/>
              </w:rPr>
              <w:t>2</w:t>
            </w:r>
          </w:p>
        </w:tc>
        <w:tc>
          <w:tcPr>
            <w:tcW w:w="7627" w:type="dxa"/>
            <w:vAlign w:val="center"/>
          </w:tcPr>
          <w:p>
            <w:pPr>
              <w:pStyle w:val="32"/>
              <w:adjustRightInd w:val="0"/>
              <w:snapToGrid w:val="0"/>
              <w:spacing w:after="0"/>
              <w:jc w:val="center"/>
              <w:rPr>
                <w:color w:val="auto"/>
                <w:kern w:val="21"/>
                <w:szCs w:val="21"/>
                <w:lang w:val="en-US"/>
              </w:rPr>
            </w:pPr>
            <w:r>
              <w:rPr>
                <w:color w:val="auto"/>
                <w:kern w:val="21"/>
                <w:szCs w:val="21"/>
                <w:lang w:val="en-US"/>
              </w:rPr>
              <w:t>评价清洁生产分析中所确定的清洁生产方案，应给以逐步实施。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7" w:type="dxa"/>
            <w:vAlign w:val="center"/>
          </w:tcPr>
          <w:p>
            <w:pPr>
              <w:pStyle w:val="32"/>
              <w:adjustRightInd w:val="0"/>
              <w:snapToGrid w:val="0"/>
              <w:spacing w:after="0"/>
              <w:jc w:val="center"/>
              <w:rPr>
                <w:color w:val="auto"/>
                <w:kern w:val="21"/>
                <w:szCs w:val="21"/>
                <w:lang w:val="en-US"/>
              </w:rPr>
            </w:pPr>
            <w:r>
              <w:rPr>
                <w:color w:val="auto"/>
                <w:kern w:val="21"/>
                <w:szCs w:val="21"/>
                <w:lang w:val="en-US"/>
              </w:rPr>
              <w:t>3</w:t>
            </w:r>
          </w:p>
        </w:tc>
        <w:tc>
          <w:tcPr>
            <w:tcW w:w="7627" w:type="dxa"/>
            <w:vAlign w:val="center"/>
          </w:tcPr>
          <w:p>
            <w:pPr>
              <w:pStyle w:val="32"/>
              <w:adjustRightInd w:val="0"/>
              <w:snapToGrid w:val="0"/>
              <w:spacing w:after="0"/>
              <w:jc w:val="center"/>
              <w:rPr>
                <w:color w:val="auto"/>
                <w:kern w:val="21"/>
                <w:szCs w:val="21"/>
                <w:lang w:val="en-US"/>
              </w:rPr>
            </w:pPr>
            <w:r>
              <w:rPr>
                <w:rFonts w:hint="eastAsia" w:ascii="宋体" w:hAnsi="宋体"/>
                <w:color w:val="auto"/>
                <w:kern w:val="21"/>
                <w:szCs w:val="21"/>
                <w:lang w:val="en-US"/>
              </w:rPr>
              <w:t>企业在发展过程中会不断出现新问题，需要一个</w:t>
            </w:r>
            <w:r>
              <w:rPr>
                <w:rFonts w:hint="eastAsia" w:ascii="宋体" w:hAnsi="宋体"/>
                <w:color w:val="auto"/>
                <w:kern w:val="21"/>
                <w:szCs w:val="21"/>
                <w:lang w:val="en-US" w:eastAsia="zh-CN"/>
              </w:rPr>
              <w:t>不断的清洁</w:t>
            </w:r>
            <w:r>
              <w:rPr>
                <w:rFonts w:hint="eastAsia" w:ascii="宋体" w:hAnsi="宋体"/>
                <w:color w:val="auto"/>
                <w:kern w:val="21"/>
                <w:szCs w:val="21"/>
                <w:lang w:val="en-US"/>
              </w:rPr>
              <w:t>生产过程，针对企业在每一个新的发展阶段出现的问题都能发现和解决，并不断减少企业资源消耗和废物排放，进一步提高企业清洁生产水平。</w:t>
            </w:r>
          </w:p>
        </w:tc>
      </w:tr>
    </w:tbl>
    <w:p>
      <w:pPr>
        <w:pStyle w:val="6"/>
        <w:spacing w:before="120" w:beforeLines="50" w:after="0" w:line="360" w:lineRule="auto"/>
        <w:rPr>
          <w:b w:val="0"/>
          <w:color w:val="auto"/>
          <w:sz w:val="24"/>
          <w:szCs w:val="24"/>
        </w:rPr>
      </w:pPr>
      <w:r>
        <w:rPr>
          <w:rFonts w:hint="eastAsia"/>
          <w:b w:val="0"/>
          <w:color w:val="auto"/>
          <w:sz w:val="24"/>
          <w:szCs w:val="24"/>
        </w:rPr>
        <w:t>3.5.7.2建立和完善清洁生产组织</w:t>
      </w:r>
    </w:p>
    <w:p>
      <w:pPr>
        <w:pStyle w:val="32"/>
        <w:adjustRightInd w:val="0"/>
        <w:snapToGrid w:val="0"/>
        <w:spacing w:after="0" w:line="360" w:lineRule="auto"/>
        <w:ind w:firstLine="480" w:firstLineChars="200"/>
        <w:rPr>
          <w:color w:val="auto"/>
          <w:kern w:val="21"/>
          <w:sz w:val="24"/>
        </w:rPr>
      </w:pPr>
      <w:r>
        <w:rPr>
          <w:color w:val="auto"/>
          <w:kern w:val="21"/>
          <w:sz w:val="24"/>
        </w:rPr>
        <w:t>清洁生产是一个动态的、相对的概念，是一个连续的过程，因而需有一个固定的机构和工作人员来组织协调这方面的工作，以巩固已取得的清洁生产成果，并使企业清洁生产工作持续地开展下去。</w:t>
      </w:r>
    </w:p>
    <w:p>
      <w:pPr>
        <w:pStyle w:val="32"/>
        <w:adjustRightInd w:val="0"/>
        <w:snapToGrid w:val="0"/>
        <w:spacing w:after="0" w:line="360" w:lineRule="auto"/>
        <w:rPr>
          <w:color w:val="auto"/>
          <w:kern w:val="21"/>
          <w:sz w:val="24"/>
        </w:rPr>
      </w:pPr>
      <w:r>
        <w:rPr>
          <w:rFonts w:hint="eastAsia"/>
          <w:color w:val="auto"/>
          <w:kern w:val="21"/>
          <w:sz w:val="24"/>
        </w:rPr>
        <w:t>（</w:t>
      </w:r>
      <w:r>
        <w:rPr>
          <w:rFonts w:hint="eastAsia"/>
          <w:color w:val="auto"/>
          <w:kern w:val="21"/>
          <w:sz w:val="24"/>
          <w:lang w:val="en-US"/>
        </w:rPr>
        <w:t>1</w:t>
      </w:r>
      <w:r>
        <w:rPr>
          <w:rFonts w:hint="eastAsia"/>
          <w:color w:val="auto"/>
          <w:kern w:val="21"/>
          <w:sz w:val="24"/>
        </w:rPr>
        <w:t>）</w:t>
      </w:r>
      <w:r>
        <w:rPr>
          <w:color w:val="auto"/>
          <w:kern w:val="21"/>
          <w:sz w:val="24"/>
        </w:rPr>
        <w:t>成立清洁生产组织</w:t>
      </w:r>
    </w:p>
    <w:p>
      <w:pPr>
        <w:pStyle w:val="32"/>
        <w:adjustRightInd w:val="0"/>
        <w:snapToGrid w:val="0"/>
        <w:spacing w:after="0" w:line="360" w:lineRule="auto"/>
        <w:ind w:firstLine="480" w:firstLineChars="200"/>
        <w:rPr>
          <w:color w:val="auto"/>
          <w:kern w:val="21"/>
          <w:sz w:val="24"/>
        </w:rPr>
      </w:pPr>
      <w:r>
        <w:rPr>
          <w:color w:val="auto"/>
          <w:kern w:val="21"/>
          <w:sz w:val="24"/>
        </w:rPr>
        <w:t>评价建议该企业单独设立清洁生产办公室，直接归属厂长领导，实行专人负责制，配备人员须具备以下能力：熟练掌握清洁生产知识，熟悉企业环保情况，了解企业生产工艺和国内最先进技术动态和发展方向，具有较强的工作协调能力、有较好的工作责任心和敬业精神。</w:t>
      </w:r>
    </w:p>
    <w:p>
      <w:pPr>
        <w:pStyle w:val="32"/>
        <w:adjustRightInd w:val="0"/>
        <w:snapToGrid w:val="0"/>
        <w:spacing w:after="0" w:line="360" w:lineRule="auto"/>
        <w:rPr>
          <w:color w:val="auto"/>
          <w:kern w:val="21"/>
          <w:sz w:val="24"/>
        </w:rPr>
      </w:pPr>
      <w:r>
        <w:rPr>
          <w:rFonts w:hint="eastAsia"/>
          <w:color w:val="auto"/>
          <w:kern w:val="21"/>
          <w:sz w:val="24"/>
        </w:rPr>
        <w:t>（</w:t>
      </w:r>
      <w:r>
        <w:rPr>
          <w:rFonts w:hint="eastAsia"/>
          <w:color w:val="auto"/>
          <w:kern w:val="21"/>
          <w:sz w:val="24"/>
          <w:lang w:val="en-US"/>
        </w:rPr>
        <w:t>2</w:t>
      </w:r>
      <w:r>
        <w:rPr>
          <w:rFonts w:hint="eastAsia"/>
          <w:color w:val="auto"/>
          <w:kern w:val="21"/>
          <w:sz w:val="24"/>
        </w:rPr>
        <w:t>）</w:t>
      </w:r>
      <w:r>
        <w:rPr>
          <w:color w:val="auto"/>
          <w:kern w:val="21"/>
          <w:sz w:val="24"/>
        </w:rPr>
        <w:t>清洁生产组织的任务</w:t>
      </w:r>
    </w:p>
    <w:p>
      <w:pPr>
        <w:pStyle w:val="32"/>
        <w:adjustRightInd w:val="0"/>
        <w:snapToGrid w:val="0"/>
        <w:spacing w:after="0" w:line="360" w:lineRule="auto"/>
        <w:ind w:firstLine="480" w:firstLineChars="200"/>
        <w:rPr>
          <w:color w:val="auto"/>
          <w:kern w:val="21"/>
          <w:sz w:val="24"/>
        </w:rPr>
      </w:pPr>
      <w:r>
        <w:rPr>
          <w:color w:val="auto"/>
          <w:kern w:val="21"/>
          <w:sz w:val="24"/>
        </w:rPr>
        <w:t>①组织协调并监督管理各项清洁生产方案的实施；②定期组织对企业职工的清洁生产教育和培训；③制定清洁生产相关制度及激励机制；④收集并宣传相关清洁生产信息，为下一轮清洁生产做好准备；⑤负责清洁生产活动的日常管理。</w:t>
      </w:r>
    </w:p>
    <w:p>
      <w:pPr>
        <w:pStyle w:val="32"/>
        <w:adjustRightInd w:val="0"/>
        <w:snapToGrid w:val="0"/>
        <w:spacing w:after="0" w:line="360" w:lineRule="auto"/>
        <w:rPr>
          <w:color w:val="auto"/>
          <w:kern w:val="21"/>
          <w:sz w:val="24"/>
        </w:rPr>
      </w:pPr>
      <w:r>
        <w:rPr>
          <w:rFonts w:hint="eastAsia"/>
          <w:color w:val="auto"/>
          <w:kern w:val="21"/>
          <w:sz w:val="24"/>
        </w:rPr>
        <w:t>（</w:t>
      </w:r>
      <w:r>
        <w:rPr>
          <w:rFonts w:hint="eastAsia"/>
          <w:color w:val="auto"/>
          <w:kern w:val="21"/>
          <w:sz w:val="24"/>
          <w:lang w:val="en-US"/>
        </w:rPr>
        <w:t>3</w:t>
      </w:r>
      <w:r>
        <w:rPr>
          <w:rFonts w:hint="eastAsia"/>
          <w:color w:val="auto"/>
          <w:kern w:val="21"/>
          <w:sz w:val="24"/>
        </w:rPr>
        <w:t>）</w:t>
      </w:r>
      <w:r>
        <w:rPr>
          <w:color w:val="auto"/>
          <w:kern w:val="21"/>
          <w:sz w:val="24"/>
        </w:rPr>
        <w:t>建立和完善清洁生产管理制度</w:t>
      </w:r>
    </w:p>
    <w:p>
      <w:pPr>
        <w:pStyle w:val="32"/>
        <w:adjustRightInd w:val="0"/>
        <w:snapToGrid w:val="0"/>
        <w:spacing w:after="0" w:line="360" w:lineRule="auto"/>
        <w:ind w:firstLine="480" w:firstLineChars="200"/>
        <w:rPr>
          <w:color w:val="auto"/>
          <w:kern w:val="21"/>
          <w:sz w:val="24"/>
        </w:rPr>
      </w:pPr>
      <w:r>
        <w:rPr>
          <w:color w:val="auto"/>
          <w:kern w:val="21"/>
          <w:sz w:val="24"/>
        </w:rPr>
        <w:t>主要是把清洁生产方案纳入企业的日常管理轨道，建立资金管理制度以保证稳定的清洁生产资金来源，建立激励机制提高企业员工的自主清洁生产意识。</w:t>
      </w:r>
    </w:p>
    <w:p>
      <w:pPr>
        <w:pStyle w:val="32"/>
        <w:adjustRightInd w:val="0"/>
        <w:snapToGrid w:val="0"/>
        <w:spacing w:after="0" w:line="360" w:lineRule="auto"/>
        <w:rPr>
          <w:color w:val="auto"/>
          <w:kern w:val="21"/>
          <w:sz w:val="24"/>
        </w:rPr>
      </w:pPr>
      <w:r>
        <w:rPr>
          <w:rFonts w:hint="eastAsia"/>
          <w:color w:val="auto"/>
          <w:kern w:val="21"/>
          <w:sz w:val="24"/>
        </w:rPr>
        <w:t>（</w:t>
      </w:r>
      <w:r>
        <w:rPr>
          <w:rFonts w:hint="eastAsia"/>
          <w:color w:val="auto"/>
          <w:kern w:val="21"/>
          <w:sz w:val="24"/>
          <w:lang w:val="en-US"/>
        </w:rPr>
        <w:t>4</w:t>
      </w:r>
      <w:r>
        <w:rPr>
          <w:rFonts w:hint="eastAsia"/>
          <w:color w:val="auto"/>
          <w:kern w:val="21"/>
          <w:sz w:val="24"/>
        </w:rPr>
        <w:t>）</w:t>
      </w:r>
      <w:r>
        <w:rPr>
          <w:color w:val="auto"/>
          <w:kern w:val="21"/>
          <w:sz w:val="24"/>
        </w:rPr>
        <w:t>把清洁生产纳入企业的日常管理</w:t>
      </w:r>
    </w:p>
    <w:p>
      <w:pPr>
        <w:pStyle w:val="32"/>
        <w:adjustRightInd w:val="0"/>
        <w:snapToGrid w:val="0"/>
        <w:spacing w:after="0" w:line="360" w:lineRule="auto"/>
        <w:ind w:firstLine="480" w:firstLineChars="200"/>
        <w:rPr>
          <w:color w:val="auto"/>
          <w:kern w:val="21"/>
          <w:sz w:val="24"/>
        </w:rPr>
      </w:pPr>
      <w:r>
        <w:rPr>
          <w:color w:val="auto"/>
          <w:kern w:val="21"/>
          <w:sz w:val="24"/>
        </w:rPr>
        <w:t>把清洁生产的成果及时纳入企业的日常管理轨道，是巩固清洁生产成效的重要手段，特别是把清洁生产分析产生的一些无、低费方案及时纳入企业的日常管</w:t>
      </w:r>
    </w:p>
    <w:p>
      <w:pPr>
        <w:pStyle w:val="32"/>
        <w:adjustRightInd w:val="0"/>
        <w:snapToGrid w:val="0"/>
        <w:spacing w:after="0" w:line="360" w:lineRule="auto"/>
        <w:rPr>
          <w:color w:val="auto"/>
          <w:kern w:val="21"/>
          <w:sz w:val="24"/>
        </w:rPr>
      </w:pPr>
      <w:r>
        <w:rPr>
          <w:color w:val="auto"/>
          <w:kern w:val="21"/>
          <w:sz w:val="24"/>
        </w:rPr>
        <w:t>理轨道。</w:t>
      </w:r>
    </w:p>
    <w:p>
      <w:pPr>
        <w:pStyle w:val="32"/>
        <w:adjustRightInd w:val="0"/>
        <w:snapToGrid w:val="0"/>
        <w:spacing w:after="0" w:line="360" w:lineRule="auto"/>
        <w:ind w:firstLine="480" w:firstLineChars="200"/>
        <w:rPr>
          <w:color w:val="auto"/>
          <w:kern w:val="21"/>
          <w:sz w:val="24"/>
        </w:rPr>
      </w:pPr>
      <w:r>
        <w:rPr>
          <w:color w:val="auto"/>
          <w:kern w:val="21"/>
          <w:sz w:val="24"/>
        </w:rPr>
        <w:t>1）加强管理措施，形成清洁生产分析制度；</w:t>
      </w:r>
    </w:p>
    <w:p>
      <w:pPr>
        <w:pStyle w:val="32"/>
        <w:adjustRightInd w:val="0"/>
        <w:snapToGrid w:val="0"/>
        <w:spacing w:after="0" w:line="360" w:lineRule="auto"/>
        <w:ind w:firstLine="480" w:firstLineChars="200"/>
        <w:rPr>
          <w:color w:val="auto"/>
          <w:kern w:val="21"/>
          <w:sz w:val="24"/>
        </w:rPr>
      </w:pPr>
      <w:r>
        <w:rPr>
          <w:color w:val="auto"/>
          <w:kern w:val="21"/>
          <w:sz w:val="24"/>
        </w:rPr>
        <w:t>2）把清洁生产分析提出的岗位操作改进措施写进岗位的操作规程，并要求严格遵照执行；</w:t>
      </w:r>
    </w:p>
    <w:p>
      <w:pPr>
        <w:pStyle w:val="32"/>
        <w:adjustRightInd w:val="0"/>
        <w:snapToGrid w:val="0"/>
        <w:spacing w:after="0" w:line="360" w:lineRule="auto"/>
        <w:ind w:firstLine="480" w:firstLineChars="200"/>
        <w:rPr>
          <w:color w:val="auto"/>
          <w:kern w:val="21"/>
          <w:sz w:val="24"/>
        </w:rPr>
      </w:pPr>
      <w:r>
        <w:rPr>
          <w:color w:val="auto"/>
          <w:kern w:val="21"/>
          <w:sz w:val="24"/>
        </w:rPr>
        <w:t>3）把清洁生产分析提出的工艺过程控制的改进措施写入企业技术规范。</w:t>
      </w:r>
    </w:p>
    <w:p>
      <w:pPr>
        <w:pStyle w:val="32"/>
        <w:adjustRightInd w:val="0"/>
        <w:snapToGrid w:val="0"/>
        <w:spacing w:after="0" w:line="360" w:lineRule="auto"/>
        <w:rPr>
          <w:color w:val="auto"/>
          <w:kern w:val="21"/>
          <w:sz w:val="24"/>
        </w:rPr>
      </w:pPr>
      <w:r>
        <w:rPr>
          <w:rFonts w:hint="eastAsia"/>
          <w:color w:val="auto"/>
          <w:kern w:val="21"/>
          <w:sz w:val="24"/>
        </w:rPr>
        <w:t>（</w:t>
      </w:r>
      <w:r>
        <w:rPr>
          <w:rFonts w:hint="eastAsia"/>
          <w:color w:val="auto"/>
          <w:kern w:val="21"/>
          <w:sz w:val="24"/>
          <w:lang w:val="en-US"/>
        </w:rPr>
        <w:t>5</w:t>
      </w:r>
      <w:r>
        <w:rPr>
          <w:rFonts w:hint="eastAsia"/>
          <w:color w:val="auto"/>
          <w:kern w:val="21"/>
          <w:sz w:val="24"/>
        </w:rPr>
        <w:t>）</w:t>
      </w:r>
      <w:r>
        <w:rPr>
          <w:color w:val="auto"/>
          <w:kern w:val="21"/>
          <w:sz w:val="24"/>
        </w:rPr>
        <w:t>保证稳定的清洁生产资金来源</w:t>
      </w:r>
    </w:p>
    <w:p>
      <w:pPr>
        <w:pStyle w:val="32"/>
        <w:adjustRightInd w:val="0"/>
        <w:snapToGrid w:val="0"/>
        <w:spacing w:after="0" w:line="360" w:lineRule="auto"/>
        <w:ind w:firstLine="480" w:firstLineChars="200"/>
        <w:rPr>
          <w:color w:val="auto"/>
          <w:kern w:val="21"/>
          <w:sz w:val="24"/>
        </w:rPr>
      </w:pPr>
      <w:r>
        <w:rPr>
          <w:color w:val="auto"/>
          <w:kern w:val="21"/>
          <w:sz w:val="24"/>
        </w:rPr>
        <w:t>清洁生产的资金来源可以有多种渠道，但是清洁生产管理制度的一项重要作用是保证实施清洁生产所产生的经济效益，全部或部分地用于清洁生产，持续滚动地推进清洁生产，建议企业对清洁生产的投资和效益</w:t>
      </w:r>
      <w:r>
        <w:rPr>
          <w:rFonts w:hint="eastAsia"/>
          <w:color w:val="auto"/>
          <w:kern w:val="21"/>
          <w:sz w:val="24"/>
          <w:lang w:eastAsia="zh-CN"/>
        </w:rPr>
        <w:t>单独建账</w:t>
      </w:r>
      <w:r>
        <w:rPr>
          <w:color w:val="auto"/>
          <w:kern w:val="21"/>
          <w:sz w:val="24"/>
        </w:rPr>
        <w:t>。</w:t>
      </w:r>
    </w:p>
    <w:p>
      <w:pPr>
        <w:pStyle w:val="32"/>
        <w:adjustRightInd w:val="0"/>
        <w:snapToGrid w:val="0"/>
        <w:spacing w:after="0" w:line="360" w:lineRule="auto"/>
        <w:rPr>
          <w:color w:val="auto"/>
          <w:kern w:val="21"/>
          <w:sz w:val="24"/>
        </w:rPr>
      </w:pPr>
      <w:r>
        <w:rPr>
          <w:rFonts w:hint="eastAsia"/>
          <w:color w:val="auto"/>
          <w:kern w:val="21"/>
          <w:sz w:val="24"/>
        </w:rPr>
        <w:t>（</w:t>
      </w:r>
      <w:r>
        <w:rPr>
          <w:rFonts w:hint="eastAsia"/>
          <w:color w:val="auto"/>
          <w:kern w:val="21"/>
          <w:sz w:val="24"/>
          <w:lang w:val="en-US"/>
        </w:rPr>
        <w:t>6</w:t>
      </w:r>
      <w:r>
        <w:rPr>
          <w:rFonts w:hint="eastAsia"/>
          <w:color w:val="auto"/>
          <w:kern w:val="21"/>
          <w:sz w:val="24"/>
        </w:rPr>
        <w:t>）</w:t>
      </w:r>
      <w:r>
        <w:rPr>
          <w:color w:val="auto"/>
          <w:kern w:val="21"/>
          <w:sz w:val="24"/>
        </w:rPr>
        <w:t>建立和完善清洁生产奖惩机制</w:t>
      </w:r>
    </w:p>
    <w:p>
      <w:pPr>
        <w:pStyle w:val="32"/>
        <w:adjustRightInd w:val="0"/>
        <w:snapToGrid w:val="0"/>
        <w:spacing w:after="0" w:line="360" w:lineRule="auto"/>
        <w:ind w:firstLine="480" w:firstLineChars="200"/>
        <w:rPr>
          <w:color w:val="auto"/>
          <w:kern w:val="21"/>
          <w:sz w:val="24"/>
        </w:rPr>
      </w:pPr>
      <w:r>
        <w:rPr>
          <w:color w:val="auto"/>
          <w:kern w:val="21"/>
          <w:sz w:val="24"/>
        </w:rPr>
        <w:t>在企业奖惩方面与清洁生产挂钩，建立清洁生产奖惩激励机制，以调动全体职工参与清洁生产的积极性，将清洁生产变为职工的自觉行为。</w:t>
      </w:r>
    </w:p>
    <w:p>
      <w:pPr>
        <w:pStyle w:val="6"/>
        <w:spacing w:before="120" w:beforeLines="50" w:after="0" w:line="360" w:lineRule="auto"/>
        <w:rPr>
          <w:b w:val="0"/>
          <w:color w:val="auto"/>
          <w:sz w:val="24"/>
          <w:szCs w:val="24"/>
        </w:rPr>
      </w:pPr>
      <w:r>
        <w:rPr>
          <w:rFonts w:hint="eastAsia"/>
          <w:b w:val="0"/>
          <w:color w:val="auto"/>
          <w:sz w:val="24"/>
          <w:szCs w:val="24"/>
        </w:rPr>
        <w:t>3.5.7.3搞好职工培训工作</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 xml:space="preserve">清洁生产措施能否顺利落实，清洁生产目标能否达到与企业每个职工的素质有很大关系，评价建议企业应对职工加强关于清洁生产方面的培训工作，不仅对操作工人进行培训，也要对各层干部、工程技术人员、车间班主任培训，并把实现清洁生产目标具体分配到每一个人，每一个环节都有专人负责，以利于清洁生产目标的实现，针对培训内容，制订出合理的培训计划。 </w:t>
      </w:r>
    </w:p>
    <w:p>
      <w:pPr>
        <w:pStyle w:val="32"/>
        <w:adjustRightInd w:val="0"/>
        <w:snapToGrid w:val="0"/>
        <w:spacing w:after="0" w:line="360" w:lineRule="auto"/>
        <w:ind w:firstLine="480" w:firstLineChars="200"/>
        <w:rPr>
          <w:color w:val="auto"/>
          <w:kern w:val="21"/>
          <w:sz w:val="24"/>
        </w:rPr>
      </w:pPr>
      <w:r>
        <w:rPr>
          <w:color w:val="auto"/>
          <w:kern w:val="21"/>
          <w:sz w:val="24"/>
        </w:rPr>
        <w:t xml:space="preserve">清洁生产是长期、动态的发展过程，因此应考虑企业的发展情况，制定长期的清洁生产方案。根据本项目具体情况，评价建议企业执行如下清洁生产计划： </w:t>
      </w:r>
    </w:p>
    <w:p>
      <w:pPr>
        <w:pStyle w:val="32"/>
        <w:adjustRightInd w:val="0"/>
        <w:snapToGrid w:val="0"/>
        <w:spacing w:after="0"/>
        <w:jc w:val="center"/>
        <w:rPr>
          <w:rFonts w:eastAsia="黑体"/>
          <w:color w:val="auto"/>
          <w:kern w:val="21"/>
          <w:sz w:val="24"/>
          <w:lang w:val="en-US"/>
        </w:rPr>
      </w:pPr>
      <w:r>
        <w:rPr>
          <w:rFonts w:eastAsia="黑体"/>
          <w:color w:val="auto"/>
          <w:kern w:val="21"/>
          <w:sz w:val="24"/>
        </w:rPr>
        <w:t>表</w:t>
      </w:r>
      <w:r>
        <w:rPr>
          <w:rFonts w:eastAsia="黑体"/>
          <w:color w:val="auto"/>
          <w:kern w:val="21"/>
          <w:sz w:val="24"/>
          <w:lang w:val="en-US"/>
        </w:rPr>
        <w:t>3.5-</w:t>
      </w:r>
      <w:r>
        <w:rPr>
          <w:rFonts w:hint="eastAsia" w:eastAsia="黑体"/>
          <w:color w:val="auto"/>
          <w:kern w:val="21"/>
          <w:sz w:val="24"/>
          <w:lang w:val="en-US"/>
        </w:rPr>
        <w:t>5</w:t>
      </w:r>
      <w:r>
        <w:rPr>
          <w:rFonts w:eastAsia="黑体"/>
          <w:color w:val="auto"/>
          <w:kern w:val="21"/>
          <w:sz w:val="24"/>
          <w:lang w:val="en-US"/>
        </w:rPr>
        <w:t xml:space="preserve">  清洁生产</w:t>
      </w:r>
      <w:r>
        <w:rPr>
          <w:rFonts w:hint="eastAsia" w:eastAsia="黑体"/>
          <w:color w:val="auto"/>
          <w:kern w:val="21"/>
          <w:sz w:val="24"/>
          <w:lang w:val="en-US"/>
        </w:rPr>
        <w:t>计划表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2088"/>
        <w:gridCol w:w="5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序号</w:t>
            </w:r>
          </w:p>
        </w:tc>
        <w:tc>
          <w:tcPr>
            <w:tcW w:w="2088" w:type="dxa"/>
            <w:vAlign w:val="center"/>
          </w:tcPr>
          <w:p>
            <w:pPr>
              <w:pStyle w:val="32"/>
              <w:adjustRightInd w:val="0"/>
              <w:snapToGrid w:val="0"/>
              <w:spacing w:after="0"/>
              <w:jc w:val="center"/>
              <w:rPr>
                <w:b/>
                <w:bCs/>
                <w:color w:val="auto"/>
                <w:kern w:val="21"/>
                <w:szCs w:val="21"/>
                <w:lang w:val="en-US"/>
              </w:rPr>
            </w:pPr>
            <w:r>
              <w:rPr>
                <w:rFonts w:hint="eastAsia"/>
                <w:b/>
                <w:bCs/>
                <w:color w:val="auto"/>
                <w:kern w:val="21"/>
                <w:szCs w:val="21"/>
                <w:lang w:val="en-US"/>
              </w:rPr>
              <w:t>项目</w:t>
            </w:r>
          </w:p>
        </w:tc>
        <w:tc>
          <w:tcPr>
            <w:tcW w:w="5737" w:type="dxa"/>
            <w:vAlign w:val="center"/>
          </w:tcPr>
          <w:p>
            <w:pPr>
              <w:pStyle w:val="32"/>
              <w:adjustRightInd w:val="0"/>
              <w:snapToGrid w:val="0"/>
              <w:spacing w:after="0"/>
              <w:jc w:val="center"/>
              <w:rPr>
                <w:b/>
                <w:bCs/>
                <w:color w:val="auto"/>
                <w:kern w:val="21"/>
                <w:szCs w:val="21"/>
                <w:lang w:val="en-US"/>
              </w:rPr>
            </w:pPr>
            <w:r>
              <w:rPr>
                <w:rFonts w:hint="eastAsia"/>
                <w:b/>
                <w:bCs/>
                <w:color w:val="auto"/>
                <w:kern w:val="21"/>
                <w:szCs w:val="21"/>
                <w:lang w:val="en-US"/>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pStyle w:val="32"/>
              <w:adjustRightInd w:val="0"/>
              <w:snapToGrid w:val="0"/>
              <w:spacing w:after="0"/>
              <w:jc w:val="center"/>
              <w:rPr>
                <w:color w:val="auto"/>
                <w:kern w:val="21"/>
                <w:szCs w:val="21"/>
                <w:lang w:val="en-US"/>
              </w:rPr>
            </w:pPr>
            <w:r>
              <w:rPr>
                <w:color w:val="auto"/>
                <w:kern w:val="21"/>
                <w:szCs w:val="21"/>
                <w:lang w:val="en-US"/>
              </w:rPr>
              <w:t>1</w:t>
            </w:r>
          </w:p>
        </w:tc>
        <w:tc>
          <w:tcPr>
            <w:tcW w:w="2088" w:type="dxa"/>
            <w:vAlign w:val="center"/>
          </w:tcPr>
          <w:p>
            <w:pPr>
              <w:pStyle w:val="32"/>
              <w:adjustRightInd w:val="0"/>
              <w:snapToGrid w:val="0"/>
              <w:spacing w:after="0"/>
              <w:jc w:val="center"/>
              <w:rPr>
                <w:color w:val="auto"/>
                <w:kern w:val="21"/>
                <w:szCs w:val="21"/>
                <w:lang w:val="en-US"/>
              </w:rPr>
            </w:pPr>
            <w:r>
              <w:rPr>
                <w:rFonts w:hint="eastAsia"/>
                <w:color w:val="auto"/>
                <w:kern w:val="21"/>
                <w:szCs w:val="21"/>
                <w:lang w:val="en-US"/>
              </w:rPr>
              <w:t>组件清洁生产机构</w:t>
            </w:r>
          </w:p>
        </w:tc>
        <w:tc>
          <w:tcPr>
            <w:tcW w:w="5737" w:type="dxa"/>
            <w:vAlign w:val="center"/>
          </w:tcPr>
          <w:p>
            <w:pPr>
              <w:pStyle w:val="32"/>
              <w:adjustRightInd w:val="0"/>
              <w:snapToGrid w:val="0"/>
              <w:spacing w:after="0"/>
              <w:jc w:val="center"/>
              <w:rPr>
                <w:rFonts w:ascii="宋体" w:hAnsi="宋体"/>
                <w:color w:val="auto"/>
                <w:kern w:val="21"/>
                <w:szCs w:val="21"/>
                <w:lang w:val="en-US"/>
              </w:rPr>
            </w:pPr>
            <w:r>
              <w:rPr>
                <w:rFonts w:hint="eastAsia" w:ascii="宋体" w:hAnsi="宋体"/>
                <w:color w:val="auto"/>
                <w:kern w:val="21"/>
                <w:szCs w:val="21"/>
                <w:lang w:val="en-US"/>
              </w:rPr>
              <w:t>建立清洁生产办公室，全面开展企业的清洁生产工作。建立下属分支机构，例如新技术研究与开发、清洁生产管理等。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pStyle w:val="32"/>
              <w:adjustRightInd w:val="0"/>
              <w:snapToGrid w:val="0"/>
              <w:spacing w:after="0"/>
              <w:jc w:val="center"/>
              <w:rPr>
                <w:color w:val="auto"/>
                <w:kern w:val="21"/>
                <w:szCs w:val="21"/>
                <w:lang w:val="en-US"/>
              </w:rPr>
            </w:pPr>
            <w:r>
              <w:rPr>
                <w:color w:val="auto"/>
                <w:kern w:val="21"/>
                <w:szCs w:val="21"/>
                <w:lang w:val="en-US"/>
              </w:rPr>
              <w:t>2</w:t>
            </w:r>
          </w:p>
        </w:tc>
        <w:tc>
          <w:tcPr>
            <w:tcW w:w="2088" w:type="dxa"/>
            <w:vAlign w:val="center"/>
          </w:tcPr>
          <w:p>
            <w:pPr>
              <w:pStyle w:val="32"/>
              <w:adjustRightInd w:val="0"/>
              <w:snapToGrid w:val="0"/>
              <w:spacing w:after="0"/>
              <w:jc w:val="center"/>
              <w:rPr>
                <w:color w:val="auto"/>
                <w:kern w:val="21"/>
                <w:szCs w:val="21"/>
                <w:lang w:val="en-US"/>
              </w:rPr>
            </w:pPr>
            <w:r>
              <w:rPr>
                <w:rFonts w:hint="eastAsia"/>
                <w:color w:val="auto"/>
                <w:kern w:val="21"/>
                <w:szCs w:val="21"/>
                <w:lang w:val="en-US"/>
              </w:rPr>
              <w:t>清洁生产方案实施</w:t>
            </w:r>
          </w:p>
        </w:tc>
        <w:tc>
          <w:tcPr>
            <w:tcW w:w="5737" w:type="dxa"/>
            <w:vAlign w:val="center"/>
          </w:tcPr>
          <w:p>
            <w:pPr>
              <w:pStyle w:val="32"/>
              <w:adjustRightInd w:val="0"/>
              <w:snapToGrid w:val="0"/>
              <w:spacing w:after="0"/>
              <w:jc w:val="center"/>
              <w:rPr>
                <w:color w:val="auto"/>
                <w:kern w:val="21"/>
                <w:szCs w:val="21"/>
                <w:lang w:val="en-US"/>
              </w:rPr>
            </w:pPr>
            <w:r>
              <w:rPr>
                <w:rFonts w:hint="eastAsia" w:ascii="宋体" w:hAnsi="宋体"/>
                <w:color w:val="auto"/>
                <w:kern w:val="21"/>
                <w:szCs w:val="21"/>
                <w:lang w:val="en-US"/>
              </w:rPr>
              <w:t>在企业内部各个生产环节推行清洁生产。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pStyle w:val="32"/>
              <w:adjustRightInd w:val="0"/>
              <w:snapToGrid w:val="0"/>
              <w:spacing w:after="0"/>
              <w:jc w:val="center"/>
              <w:rPr>
                <w:color w:val="auto"/>
                <w:kern w:val="21"/>
                <w:szCs w:val="21"/>
                <w:lang w:val="en-US"/>
              </w:rPr>
            </w:pPr>
            <w:r>
              <w:rPr>
                <w:color w:val="auto"/>
                <w:kern w:val="21"/>
                <w:szCs w:val="21"/>
                <w:lang w:val="en-US"/>
              </w:rPr>
              <w:t>3</w:t>
            </w:r>
          </w:p>
        </w:tc>
        <w:tc>
          <w:tcPr>
            <w:tcW w:w="2088" w:type="dxa"/>
            <w:vAlign w:val="center"/>
          </w:tcPr>
          <w:p>
            <w:pPr>
              <w:pStyle w:val="32"/>
              <w:adjustRightInd w:val="0"/>
              <w:snapToGrid w:val="0"/>
              <w:spacing w:after="0"/>
              <w:jc w:val="center"/>
              <w:rPr>
                <w:color w:val="auto"/>
                <w:kern w:val="21"/>
                <w:szCs w:val="21"/>
                <w:lang w:val="en-US"/>
              </w:rPr>
            </w:pPr>
            <w:r>
              <w:rPr>
                <w:rFonts w:hint="eastAsia"/>
                <w:color w:val="auto"/>
                <w:kern w:val="21"/>
                <w:szCs w:val="21"/>
                <w:lang w:val="en-US"/>
              </w:rPr>
              <w:t>清洁生产培训</w:t>
            </w:r>
          </w:p>
        </w:tc>
        <w:tc>
          <w:tcPr>
            <w:tcW w:w="5737" w:type="dxa"/>
            <w:vAlign w:val="center"/>
          </w:tcPr>
          <w:p>
            <w:pPr>
              <w:pStyle w:val="32"/>
              <w:adjustRightInd w:val="0"/>
              <w:snapToGrid w:val="0"/>
              <w:spacing w:after="0"/>
              <w:jc w:val="center"/>
              <w:rPr>
                <w:rFonts w:ascii="宋体" w:hAnsi="宋体"/>
                <w:color w:val="auto"/>
                <w:kern w:val="21"/>
                <w:szCs w:val="21"/>
                <w:lang w:val="en-US"/>
              </w:rPr>
            </w:pPr>
            <w:r>
              <w:rPr>
                <w:rFonts w:hint="eastAsia" w:ascii="宋体" w:hAnsi="宋体"/>
                <w:color w:val="auto"/>
                <w:kern w:val="21"/>
                <w:szCs w:val="21"/>
                <w:lang w:val="en-US"/>
              </w:rPr>
              <w:t>分层次对企业工作人员进行清洁生产培训。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vAlign w:val="center"/>
          </w:tcPr>
          <w:p>
            <w:pPr>
              <w:pStyle w:val="32"/>
              <w:adjustRightInd w:val="0"/>
              <w:snapToGrid w:val="0"/>
              <w:spacing w:after="0"/>
              <w:jc w:val="center"/>
              <w:rPr>
                <w:color w:val="auto"/>
                <w:kern w:val="21"/>
                <w:szCs w:val="21"/>
                <w:lang w:val="en-US"/>
              </w:rPr>
            </w:pPr>
            <w:r>
              <w:rPr>
                <w:rFonts w:hint="eastAsia"/>
                <w:color w:val="auto"/>
                <w:kern w:val="21"/>
                <w:szCs w:val="21"/>
                <w:lang w:val="en-US"/>
              </w:rPr>
              <w:t>4</w:t>
            </w:r>
          </w:p>
        </w:tc>
        <w:tc>
          <w:tcPr>
            <w:tcW w:w="2088" w:type="dxa"/>
            <w:vAlign w:val="center"/>
          </w:tcPr>
          <w:p>
            <w:pPr>
              <w:pStyle w:val="32"/>
              <w:adjustRightInd w:val="0"/>
              <w:snapToGrid w:val="0"/>
              <w:spacing w:after="0"/>
              <w:jc w:val="center"/>
              <w:rPr>
                <w:color w:val="auto"/>
                <w:kern w:val="21"/>
                <w:szCs w:val="21"/>
                <w:lang w:val="en-US"/>
              </w:rPr>
            </w:pPr>
            <w:r>
              <w:rPr>
                <w:rFonts w:hint="eastAsia"/>
                <w:color w:val="auto"/>
                <w:kern w:val="21"/>
                <w:szCs w:val="21"/>
                <w:lang w:val="en-US"/>
              </w:rPr>
              <w:t>清洁生产审计</w:t>
            </w:r>
          </w:p>
        </w:tc>
        <w:tc>
          <w:tcPr>
            <w:tcW w:w="5737" w:type="dxa"/>
            <w:vAlign w:val="center"/>
          </w:tcPr>
          <w:p>
            <w:pPr>
              <w:pStyle w:val="32"/>
              <w:adjustRightInd w:val="0"/>
              <w:snapToGrid w:val="0"/>
              <w:spacing w:after="0"/>
              <w:jc w:val="center"/>
              <w:rPr>
                <w:rFonts w:ascii="宋体" w:hAnsi="宋体"/>
                <w:color w:val="auto"/>
                <w:kern w:val="21"/>
                <w:szCs w:val="21"/>
                <w:lang w:val="en-US"/>
              </w:rPr>
            </w:pPr>
            <w:r>
              <w:rPr>
                <w:color w:val="auto"/>
                <w:kern w:val="21"/>
                <w:szCs w:val="21"/>
                <w:lang w:val="en-US"/>
              </w:rPr>
              <w:t>开展清洁生产审计工作，积极进行ISO1400</w:t>
            </w:r>
            <w:r>
              <w:rPr>
                <w:rFonts w:hint="eastAsia"/>
                <w:color w:val="auto"/>
                <w:kern w:val="21"/>
                <w:szCs w:val="21"/>
                <w:lang w:val="en-US"/>
              </w:rPr>
              <w:t>1</w:t>
            </w:r>
            <w:r>
              <w:rPr>
                <w:color w:val="auto"/>
                <w:kern w:val="21"/>
                <w:szCs w:val="21"/>
                <w:lang w:val="en-US"/>
              </w:rPr>
              <w:t>认证</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214" w:name="_Toc25352"/>
      <w:bookmarkStart w:id="215" w:name="_Toc112338943"/>
      <w:r>
        <w:rPr>
          <w:bCs w:val="0"/>
          <w:color w:val="auto"/>
          <w:kern w:val="0"/>
          <w:szCs w:val="20"/>
          <w:lang w:val="en-US"/>
        </w:rPr>
        <w:t>3.</w:t>
      </w:r>
      <w:r>
        <w:rPr>
          <w:rFonts w:hint="eastAsia"/>
          <w:bCs w:val="0"/>
          <w:color w:val="auto"/>
          <w:kern w:val="0"/>
          <w:szCs w:val="20"/>
          <w:lang w:val="en-US"/>
        </w:rPr>
        <w:t>6</w:t>
      </w:r>
      <w:r>
        <w:rPr>
          <w:bCs w:val="0"/>
          <w:color w:val="auto"/>
          <w:kern w:val="0"/>
          <w:szCs w:val="20"/>
          <w:lang w:val="en-US"/>
        </w:rPr>
        <w:t>项目污染物排放汇总</w:t>
      </w:r>
      <w:bookmarkEnd w:id="212"/>
      <w:bookmarkEnd w:id="214"/>
      <w:bookmarkEnd w:id="215"/>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项目污染物产生量、排放量及削减见表3.</w:t>
      </w:r>
      <w:r>
        <w:rPr>
          <w:rFonts w:hint="eastAsia"/>
          <w:color w:val="auto"/>
          <w:kern w:val="21"/>
          <w:sz w:val="24"/>
          <w:lang w:val="en-US"/>
        </w:rPr>
        <w:t>6</w:t>
      </w:r>
      <w:r>
        <w:rPr>
          <w:color w:val="auto"/>
          <w:kern w:val="21"/>
          <w:sz w:val="24"/>
          <w:lang w:val="en-US"/>
        </w:rPr>
        <w:t>-1。</w:t>
      </w:r>
    </w:p>
    <w:p>
      <w:pPr>
        <w:tabs>
          <w:tab w:val="left" w:pos="2867"/>
        </w:tabs>
        <w:adjustRightInd w:val="0"/>
        <w:snapToGrid w:val="0"/>
        <w:jc w:val="center"/>
        <w:rPr>
          <w:rFonts w:eastAsia="黑体"/>
          <w:color w:val="auto"/>
          <w:kern w:val="21"/>
          <w:sz w:val="24"/>
          <w:szCs w:val="24"/>
        </w:rPr>
      </w:pPr>
    </w:p>
    <w:p>
      <w:pPr>
        <w:tabs>
          <w:tab w:val="left" w:pos="2867"/>
        </w:tabs>
        <w:adjustRightInd w:val="0"/>
        <w:snapToGrid w:val="0"/>
        <w:jc w:val="center"/>
        <w:rPr>
          <w:rFonts w:eastAsia="黑体"/>
          <w:color w:val="auto"/>
          <w:kern w:val="21"/>
          <w:sz w:val="24"/>
          <w:szCs w:val="24"/>
        </w:rPr>
      </w:pPr>
    </w:p>
    <w:p>
      <w:pPr>
        <w:tabs>
          <w:tab w:val="left" w:pos="2867"/>
        </w:tabs>
        <w:adjustRightInd w:val="0"/>
        <w:snapToGrid w:val="0"/>
        <w:jc w:val="center"/>
        <w:rPr>
          <w:rFonts w:eastAsia="黑体"/>
          <w:color w:val="auto"/>
          <w:kern w:val="21"/>
          <w:sz w:val="24"/>
          <w:szCs w:val="24"/>
        </w:rPr>
      </w:pPr>
    </w:p>
    <w:p>
      <w:pPr>
        <w:tabs>
          <w:tab w:val="left" w:pos="2867"/>
        </w:tabs>
        <w:adjustRightInd w:val="0"/>
        <w:snapToGrid w:val="0"/>
        <w:jc w:val="both"/>
        <w:rPr>
          <w:rFonts w:eastAsia="黑体"/>
          <w:color w:val="auto"/>
          <w:kern w:val="21"/>
          <w:sz w:val="24"/>
          <w:szCs w:val="24"/>
        </w:rPr>
      </w:pPr>
    </w:p>
    <w:p>
      <w:pPr>
        <w:tabs>
          <w:tab w:val="left" w:pos="2867"/>
        </w:tabs>
        <w:adjustRightInd w:val="0"/>
        <w:snapToGrid w:val="0"/>
        <w:jc w:val="center"/>
        <w:rPr>
          <w:rFonts w:eastAsia="黑体"/>
          <w:color w:val="auto"/>
          <w:kern w:val="21"/>
          <w:sz w:val="24"/>
          <w:szCs w:val="24"/>
        </w:rPr>
      </w:pPr>
      <w:r>
        <w:rPr>
          <w:rFonts w:eastAsia="黑体"/>
          <w:color w:val="auto"/>
          <w:kern w:val="21"/>
          <w:sz w:val="24"/>
          <w:szCs w:val="24"/>
        </w:rPr>
        <w:t>表 3.</w:t>
      </w:r>
      <w:r>
        <w:rPr>
          <w:rFonts w:hint="eastAsia" w:eastAsia="黑体"/>
          <w:color w:val="auto"/>
          <w:kern w:val="21"/>
          <w:sz w:val="24"/>
          <w:szCs w:val="24"/>
        </w:rPr>
        <w:t>6</w:t>
      </w:r>
      <w:r>
        <w:rPr>
          <w:rFonts w:eastAsia="黑体"/>
          <w:color w:val="auto"/>
          <w:kern w:val="21"/>
          <w:sz w:val="24"/>
          <w:szCs w:val="24"/>
        </w:rPr>
        <w:t>-1项目污染物产生量、排放量及削减量一览表</w:t>
      </w:r>
    </w:p>
    <w:tbl>
      <w:tblPr>
        <w:tblStyle w:val="83"/>
        <w:tblW w:w="86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662"/>
        <w:gridCol w:w="1634"/>
        <w:gridCol w:w="1634"/>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101" w:type="dxa"/>
            <w:vAlign w:val="center"/>
          </w:tcPr>
          <w:p>
            <w:pPr>
              <w:widowControl w:val="0"/>
              <w:snapToGrid w:val="0"/>
              <w:spacing w:line="240" w:lineRule="atLeast"/>
              <w:jc w:val="center"/>
              <w:rPr>
                <w:b/>
                <w:bCs/>
                <w:color w:val="auto"/>
                <w:sz w:val="21"/>
                <w:szCs w:val="21"/>
              </w:rPr>
            </w:pPr>
            <w:r>
              <w:rPr>
                <w:b/>
                <w:bCs/>
                <w:color w:val="auto"/>
                <w:sz w:val="21"/>
                <w:szCs w:val="21"/>
              </w:rPr>
              <w:t>种类</w:t>
            </w:r>
          </w:p>
        </w:tc>
        <w:tc>
          <w:tcPr>
            <w:tcW w:w="2662" w:type="dxa"/>
            <w:vAlign w:val="center"/>
          </w:tcPr>
          <w:p>
            <w:pPr>
              <w:widowControl w:val="0"/>
              <w:snapToGrid w:val="0"/>
              <w:spacing w:line="240" w:lineRule="atLeast"/>
              <w:jc w:val="center"/>
              <w:rPr>
                <w:b/>
                <w:bCs/>
                <w:color w:val="auto"/>
                <w:sz w:val="21"/>
                <w:szCs w:val="21"/>
              </w:rPr>
            </w:pPr>
            <w:r>
              <w:rPr>
                <w:b/>
                <w:bCs/>
                <w:color w:val="auto"/>
                <w:sz w:val="21"/>
                <w:szCs w:val="21"/>
              </w:rPr>
              <w:t>污染物名称</w:t>
            </w:r>
          </w:p>
        </w:tc>
        <w:tc>
          <w:tcPr>
            <w:tcW w:w="1634" w:type="dxa"/>
            <w:vAlign w:val="center"/>
          </w:tcPr>
          <w:p>
            <w:pPr>
              <w:widowControl w:val="0"/>
              <w:snapToGrid w:val="0"/>
              <w:spacing w:line="240" w:lineRule="atLeast"/>
              <w:jc w:val="center"/>
              <w:rPr>
                <w:b/>
                <w:bCs/>
                <w:color w:val="auto"/>
                <w:sz w:val="21"/>
                <w:szCs w:val="21"/>
              </w:rPr>
            </w:pPr>
            <w:r>
              <w:rPr>
                <w:b/>
                <w:bCs/>
                <w:color w:val="auto"/>
                <w:sz w:val="21"/>
                <w:szCs w:val="21"/>
              </w:rPr>
              <w:t>产生量（t/a）</w:t>
            </w:r>
          </w:p>
        </w:tc>
        <w:tc>
          <w:tcPr>
            <w:tcW w:w="1634" w:type="dxa"/>
            <w:vAlign w:val="center"/>
          </w:tcPr>
          <w:p>
            <w:pPr>
              <w:widowControl w:val="0"/>
              <w:snapToGrid w:val="0"/>
              <w:spacing w:line="240" w:lineRule="atLeast"/>
              <w:jc w:val="center"/>
              <w:rPr>
                <w:b/>
                <w:bCs/>
                <w:color w:val="auto"/>
                <w:sz w:val="21"/>
                <w:szCs w:val="21"/>
              </w:rPr>
            </w:pPr>
            <w:r>
              <w:rPr>
                <w:b/>
                <w:bCs/>
                <w:color w:val="auto"/>
                <w:sz w:val="21"/>
                <w:szCs w:val="21"/>
              </w:rPr>
              <w:t>削减量（t/a）</w:t>
            </w:r>
          </w:p>
        </w:tc>
        <w:tc>
          <w:tcPr>
            <w:tcW w:w="1632" w:type="dxa"/>
            <w:vAlign w:val="center"/>
          </w:tcPr>
          <w:p>
            <w:pPr>
              <w:widowControl w:val="0"/>
              <w:snapToGrid w:val="0"/>
              <w:spacing w:line="240" w:lineRule="atLeast"/>
              <w:jc w:val="center"/>
              <w:rPr>
                <w:b/>
                <w:bCs/>
                <w:color w:val="auto"/>
                <w:sz w:val="21"/>
                <w:szCs w:val="21"/>
              </w:rPr>
            </w:pPr>
            <w:r>
              <w:rPr>
                <w:b/>
                <w:bCs/>
                <w:color w:val="auto"/>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restart"/>
            <w:vAlign w:val="center"/>
          </w:tcPr>
          <w:p>
            <w:pPr>
              <w:widowControl w:val="0"/>
              <w:snapToGrid w:val="0"/>
              <w:spacing w:line="240" w:lineRule="atLeast"/>
              <w:jc w:val="center"/>
              <w:rPr>
                <w:color w:val="auto"/>
                <w:sz w:val="21"/>
                <w:szCs w:val="21"/>
              </w:rPr>
            </w:pPr>
            <w:r>
              <w:rPr>
                <w:color w:val="auto"/>
                <w:sz w:val="21"/>
                <w:szCs w:val="21"/>
              </w:rPr>
              <w:t>废气</w:t>
            </w:r>
          </w:p>
        </w:tc>
        <w:tc>
          <w:tcPr>
            <w:tcW w:w="2662" w:type="dxa"/>
            <w:vAlign w:val="center"/>
          </w:tcPr>
          <w:p>
            <w:pPr>
              <w:widowControl w:val="0"/>
              <w:snapToGrid w:val="0"/>
              <w:spacing w:line="240" w:lineRule="atLeast"/>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2.827</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2.262</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snapToGrid w:val="0"/>
              <w:spacing w:line="240" w:lineRule="atLeast"/>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4.768</w:t>
            </w:r>
            <w:r>
              <w:rPr>
                <w:color w:val="auto"/>
                <w:sz w:val="21"/>
                <w:szCs w:val="21"/>
              </w:rPr>
              <w:t>×10</w:t>
            </w:r>
            <w:r>
              <w:rPr>
                <w:color w:val="auto"/>
                <w:sz w:val="21"/>
                <w:szCs w:val="21"/>
                <w:vertAlign w:val="superscript"/>
              </w:rPr>
              <w:t>-</w:t>
            </w:r>
            <w:r>
              <w:rPr>
                <w:rFonts w:hint="eastAsia"/>
                <w:color w:val="auto"/>
                <w:sz w:val="21"/>
                <w:szCs w:val="21"/>
                <w:vertAlign w:val="superscript"/>
              </w:rPr>
              <w:t>3</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0.715</w:t>
            </w:r>
            <w:r>
              <w:rPr>
                <w:color w:val="auto"/>
                <w:sz w:val="21"/>
                <w:szCs w:val="21"/>
              </w:rPr>
              <w:t>×10</w:t>
            </w:r>
            <w:r>
              <w:rPr>
                <w:color w:val="auto"/>
                <w:sz w:val="21"/>
                <w:szCs w:val="21"/>
                <w:vertAlign w:val="superscript"/>
              </w:rPr>
              <w:t>-</w:t>
            </w:r>
            <w:r>
              <w:rPr>
                <w:rFonts w:hint="eastAsia"/>
                <w:color w:val="auto"/>
                <w:sz w:val="21"/>
                <w:szCs w:val="21"/>
                <w:vertAlign w:val="superscript"/>
              </w:rPr>
              <w:t>3</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4.05</w:t>
            </w:r>
            <w:r>
              <w:rPr>
                <w:rFonts w:hint="eastAsia"/>
                <w:color w:val="auto"/>
                <w:sz w:val="21"/>
                <w:szCs w:val="21"/>
                <w:lang w:val="en-US" w:eastAsia="zh-CN"/>
              </w:rPr>
              <w:t>3</w:t>
            </w:r>
            <w:r>
              <w:rPr>
                <w:color w:val="auto"/>
                <w:sz w:val="21"/>
                <w:szCs w:val="21"/>
              </w:rPr>
              <w:t>×10</w:t>
            </w:r>
            <w:r>
              <w:rPr>
                <w:color w:val="auto"/>
                <w:sz w:val="21"/>
                <w:szCs w:val="21"/>
                <w:vertAlign w:val="superscript"/>
              </w:rPr>
              <w:t>-</w:t>
            </w:r>
            <w:r>
              <w:rPr>
                <w:rFonts w:hint="eastAsia"/>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snapToGrid w:val="0"/>
              <w:spacing w:line="240" w:lineRule="atLeast"/>
              <w:jc w:val="center"/>
              <w:rPr>
                <w:color w:val="auto"/>
                <w:sz w:val="21"/>
                <w:szCs w:val="21"/>
              </w:rPr>
            </w:pPr>
            <w:r>
              <w:rPr>
                <w:rFonts w:hint="eastAsia"/>
                <w:color w:val="auto"/>
                <w:sz w:val="21"/>
                <w:szCs w:val="21"/>
              </w:rPr>
              <w:t>HCl</w:t>
            </w:r>
          </w:p>
        </w:tc>
        <w:tc>
          <w:tcPr>
            <w:tcW w:w="1634" w:type="dxa"/>
            <w:vAlign w:val="center"/>
          </w:tcPr>
          <w:p>
            <w:pPr>
              <w:widowControl w:val="0"/>
              <w:snapToGrid w:val="0"/>
              <w:spacing w:line="240" w:lineRule="atLeast"/>
              <w:jc w:val="center"/>
              <w:rPr>
                <w:rFonts w:hint="eastAsia" w:eastAsia="宋体"/>
                <w:b/>
                <w:bCs/>
                <w:color w:val="auto"/>
                <w:sz w:val="21"/>
                <w:szCs w:val="21"/>
                <w:highlight w:val="none"/>
                <w:u w:val="single"/>
                <w:lang w:val="en-US" w:eastAsia="zh-CN"/>
              </w:rPr>
            </w:pPr>
            <w:r>
              <w:rPr>
                <w:rFonts w:hint="eastAsia"/>
                <w:b/>
                <w:bCs/>
                <w:color w:val="auto"/>
                <w:sz w:val="21"/>
                <w:szCs w:val="21"/>
                <w:highlight w:val="none"/>
                <w:u w:val="single"/>
              </w:rPr>
              <w:t>5.36</w:t>
            </w:r>
            <w:r>
              <w:rPr>
                <w:rFonts w:hint="eastAsia"/>
                <w:b/>
                <w:bCs/>
                <w:color w:val="auto"/>
                <w:sz w:val="21"/>
                <w:szCs w:val="21"/>
                <w:highlight w:val="none"/>
                <w:u w:val="single"/>
                <w:lang w:val="en-US" w:eastAsia="zh-CN"/>
              </w:rPr>
              <w:t>2</w:t>
            </w:r>
          </w:p>
        </w:tc>
        <w:tc>
          <w:tcPr>
            <w:tcW w:w="1634" w:type="dxa"/>
            <w:vAlign w:val="center"/>
          </w:tcPr>
          <w:p>
            <w:pPr>
              <w:widowControl w:val="0"/>
              <w:snapToGrid w:val="0"/>
              <w:spacing w:line="240" w:lineRule="atLeast"/>
              <w:jc w:val="center"/>
              <w:rPr>
                <w:rFonts w:hint="default" w:eastAsia="宋体"/>
                <w:b/>
                <w:bCs/>
                <w:color w:val="auto"/>
                <w:sz w:val="21"/>
                <w:szCs w:val="21"/>
                <w:highlight w:val="none"/>
                <w:u w:val="single"/>
                <w:lang w:val="en-US" w:eastAsia="zh-CN"/>
              </w:rPr>
            </w:pPr>
            <w:r>
              <w:rPr>
                <w:rFonts w:hint="eastAsia"/>
                <w:b/>
                <w:bCs/>
                <w:color w:val="auto"/>
                <w:sz w:val="21"/>
                <w:szCs w:val="21"/>
                <w:highlight w:val="none"/>
                <w:u w:val="single"/>
              </w:rPr>
              <w:t>4.8</w:t>
            </w:r>
            <w:r>
              <w:rPr>
                <w:rFonts w:hint="eastAsia"/>
                <w:b/>
                <w:bCs/>
                <w:color w:val="auto"/>
                <w:sz w:val="21"/>
                <w:szCs w:val="21"/>
                <w:highlight w:val="none"/>
                <w:u w:val="single"/>
                <w:lang w:val="en-US" w:eastAsia="zh-CN"/>
              </w:rPr>
              <w:t>40</w:t>
            </w:r>
          </w:p>
        </w:tc>
        <w:tc>
          <w:tcPr>
            <w:tcW w:w="1632" w:type="dxa"/>
            <w:vAlign w:val="center"/>
          </w:tcPr>
          <w:p>
            <w:pPr>
              <w:widowControl w:val="0"/>
              <w:snapToGrid w:val="0"/>
              <w:spacing w:line="240" w:lineRule="atLeast"/>
              <w:jc w:val="center"/>
              <w:rPr>
                <w:rFonts w:hint="eastAsia" w:eastAsia="宋体"/>
                <w:b/>
                <w:bCs/>
                <w:color w:val="auto"/>
                <w:sz w:val="21"/>
                <w:szCs w:val="21"/>
                <w:highlight w:val="none"/>
                <w:u w:val="single"/>
                <w:lang w:val="en-US" w:eastAsia="zh-CN"/>
              </w:rPr>
            </w:pPr>
            <w:r>
              <w:rPr>
                <w:rFonts w:hint="eastAsia"/>
                <w:b/>
                <w:bCs/>
                <w:color w:val="auto"/>
                <w:sz w:val="21"/>
                <w:szCs w:val="21"/>
                <w:highlight w:val="none"/>
                <w:u w:val="single"/>
              </w:rPr>
              <w:t>0.52</w:t>
            </w:r>
            <w:r>
              <w:rPr>
                <w:rFonts w:hint="eastAsia"/>
                <w:b/>
                <w:bCs/>
                <w:color w:val="auto"/>
                <w:sz w:val="21"/>
                <w:szCs w:val="21"/>
                <w:highlight w:val="none"/>
                <w:u w:val="singl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snapToGrid w:val="0"/>
              <w:spacing w:line="240" w:lineRule="atLeast"/>
              <w:jc w:val="center"/>
              <w:rPr>
                <w:b/>
                <w:bCs/>
                <w:color w:val="auto"/>
                <w:sz w:val="21"/>
                <w:szCs w:val="21"/>
                <w:u w:val="single"/>
              </w:rPr>
            </w:pPr>
            <w:r>
              <w:rPr>
                <w:b/>
                <w:bCs/>
                <w:color w:val="auto"/>
                <w:sz w:val="21"/>
                <w:szCs w:val="21"/>
                <w:u w:val="single"/>
              </w:rPr>
              <w:t>颗粒物</w:t>
            </w:r>
          </w:p>
        </w:tc>
        <w:tc>
          <w:tcPr>
            <w:tcW w:w="1634"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1.849</w:t>
            </w:r>
          </w:p>
        </w:tc>
        <w:tc>
          <w:tcPr>
            <w:tcW w:w="1634" w:type="dxa"/>
            <w:vAlign w:val="center"/>
          </w:tcPr>
          <w:p>
            <w:pPr>
              <w:widowControl w:val="0"/>
              <w:snapToGrid w:val="0"/>
              <w:spacing w:line="240" w:lineRule="atLeast"/>
              <w:jc w:val="center"/>
              <w:rPr>
                <w:rFonts w:hint="eastAsia" w:eastAsia="宋体"/>
                <w:b/>
                <w:bCs/>
                <w:color w:val="auto"/>
                <w:sz w:val="21"/>
                <w:szCs w:val="21"/>
                <w:u w:val="single"/>
                <w:lang w:val="en-US" w:eastAsia="zh-CN"/>
              </w:rPr>
            </w:pPr>
            <w:r>
              <w:rPr>
                <w:rFonts w:hint="eastAsia"/>
                <w:b/>
                <w:bCs/>
                <w:color w:val="auto"/>
                <w:sz w:val="21"/>
                <w:szCs w:val="21"/>
                <w:u w:val="single"/>
              </w:rPr>
              <w:t>1.38</w:t>
            </w:r>
            <w:r>
              <w:rPr>
                <w:rFonts w:hint="eastAsia"/>
                <w:b/>
                <w:bCs/>
                <w:color w:val="auto"/>
                <w:sz w:val="21"/>
                <w:szCs w:val="21"/>
                <w:u w:val="single"/>
                <w:lang w:val="en-US" w:eastAsia="zh-CN"/>
              </w:rPr>
              <w:t>9</w:t>
            </w:r>
          </w:p>
        </w:tc>
        <w:tc>
          <w:tcPr>
            <w:tcW w:w="1632"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rPr>
              <w:t>0.</w:t>
            </w:r>
            <w:r>
              <w:rPr>
                <w:rFonts w:hint="eastAsia"/>
                <w:b/>
                <w:bCs/>
                <w:color w:val="auto"/>
                <w:sz w:val="21"/>
                <w:szCs w:val="21"/>
                <w:u w:val="single"/>
                <w:lang w:val="en-US" w:eastAsia="zh-CN"/>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0.435</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jc w:val="center"/>
              <w:rPr>
                <w:color w:val="auto"/>
                <w:sz w:val="21"/>
                <w:szCs w:val="21"/>
              </w:rPr>
            </w:pPr>
            <w:r>
              <w:rPr>
                <w:rFonts w:hint="eastAsia"/>
                <w:color w:val="auto"/>
                <w:sz w:val="21"/>
                <w:szCs w:val="21"/>
              </w:rPr>
              <w:t>NOx</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1.316</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1.316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restart"/>
            <w:vAlign w:val="center"/>
          </w:tcPr>
          <w:p>
            <w:pPr>
              <w:widowControl w:val="0"/>
              <w:snapToGrid w:val="0"/>
              <w:spacing w:line="240" w:lineRule="atLeast"/>
              <w:jc w:val="center"/>
              <w:rPr>
                <w:color w:val="auto"/>
                <w:sz w:val="21"/>
                <w:szCs w:val="21"/>
              </w:rPr>
            </w:pPr>
            <w:r>
              <w:rPr>
                <w:color w:val="auto"/>
                <w:sz w:val="21"/>
                <w:szCs w:val="21"/>
              </w:rPr>
              <w:t>废水</w:t>
            </w: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水量</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13037.079</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13037.079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COD</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b/>
                <w:bCs/>
                <w:color w:val="auto"/>
                <w:sz w:val="21"/>
                <w:szCs w:val="21"/>
                <w:u w:val="single"/>
                <w:lang w:val="en-US" w:eastAsia="zh-CN"/>
              </w:rPr>
              <w:t>1.004</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b/>
                <w:bCs/>
                <w:color w:val="auto"/>
                <w:sz w:val="21"/>
                <w:szCs w:val="21"/>
                <w:u w:val="single"/>
                <w:lang w:val="en-US" w:eastAsia="zh-CN"/>
              </w:rPr>
              <w:t>0.08</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8"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氨氮</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0.045</w:t>
            </w:r>
          </w:p>
        </w:tc>
        <w:tc>
          <w:tcPr>
            <w:tcW w:w="1634" w:type="dxa"/>
            <w:vAlign w:val="center"/>
          </w:tcPr>
          <w:p>
            <w:pPr>
              <w:widowControl w:val="0"/>
              <w:snapToGrid w:val="0"/>
              <w:spacing w:line="240" w:lineRule="atLeast"/>
              <w:jc w:val="center"/>
              <w:rPr>
                <w:rFonts w:hint="eastAsia" w:eastAsia="宋体"/>
                <w:color w:val="auto"/>
                <w:sz w:val="21"/>
                <w:szCs w:val="21"/>
                <w:lang w:eastAsia="zh-CN"/>
              </w:rPr>
            </w:pPr>
            <w:r>
              <w:rPr>
                <w:rFonts w:hint="eastAsia"/>
                <w:color w:val="auto"/>
                <w:sz w:val="21"/>
                <w:szCs w:val="21"/>
                <w:lang w:val="en-US" w:eastAsia="zh-CN"/>
              </w:rPr>
              <w:t>0</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TP</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0.004</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color w:val="auto"/>
                <w:sz w:val="21"/>
                <w:szCs w:val="21"/>
                <w:lang w:val="en-US" w:eastAsia="zh-CN"/>
              </w:rPr>
              <w:t>0</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TN</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0.071</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color w:val="auto"/>
                <w:sz w:val="21"/>
                <w:szCs w:val="21"/>
                <w:lang w:val="en-US" w:eastAsia="zh-CN"/>
              </w:rPr>
              <w:t>0</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SS</w:t>
            </w:r>
          </w:p>
        </w:tc>
        <w:tc>
          <w:tcPr>
            <w:tcW w:w="1634"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0.955</w:t>
            </w:r>
          </w:p>
        </w:tc>
        <w:tc>
          <w:tcPr>
            <w:tcW w:w="1634"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0.118</w:t>
            </w:r>
          </w:p>
        </w:tc>
        <w:tc>
          <w:tcPr>
            <w:tcW w:w="1632"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jc w:val="center"/>
        </w:trPr>
        <w:tc>
          <w:tcPr>
            <w:tcW w:w="1101" w:type="dxa"/>
            <w:vMerge w:val="restart"/>
            <w:vAlign w:val="center"/>
          </w:tcPr>
          <w:p>
            <w:pPr>
              <w:widowControl w:val="0"/>
              <w:snapToGrid w:val="0"/>
              <w:spacing w:line="240" w:lineRule="atLeast"/>
              <w:jc w:val="center"/>
              <w:rPr>
                <w:color w:val="auto"/>
                <w:sz w:val="21"/>
                <w:szCs w:val="21"/>
              </w:rPr>
            </w:pPr>
            <w:r>
              <w:rPr>
                <w:color w:val="auto"/>
                <w:sz w:val="21"/>
                <w:szCs w:val="21"/>
              </w:rPr>
              <w:t>固废</w:t>
            </w:r>
          </w:p>
        </w:tc>
        <w:tc>
          <w:tcPr>
            <w:tcW w:w="2662" w:type="dxa"/>
            <w:vAlign w:val="center"/>
          </w:tcPr>
          <w:p>
            <w:pPr>
              <w:widowControl w:val="0"/>
              <w:autoSpaceDE w:val="0"/>
              <w:autoSpaceDN w:val="0"/>
              <w:adjustRightInd w:val="0"/>
              <w:snapToGrid w:val="0"/>
              <w:spacing w:line="240" w:lineRule="atLeast"/>
              <w:jc w:val="center"/>
              <w:rPr>
                <w:b/>
                <w:bCs/>
                <w:color w:val="auto"/>
                <w:sz w:val="21"/>
                <w:szCs w:val="21"/>
                <w:u w:val="single"/>
              </w:rPr>
            </w:pPr>
            <w:r>
              <w:rPr>
                <w:b/>
                <w:bCs/>
                <w:color w:val="auto"/>
                <w:sz w:val="21"/>
                <w:szCs w:val="21"/>
                <w:u w:val="single"/>
              </w:rPr>
              <w:t>一般固废</w:t>
            </w:r>
          </w:p>
        </w:tc>
        <w:tc>
          <w:tcPr>
            <w:tcW w:w="1634" w:type="dxa"/>
            <w:vAlign w:val="center"/>
          </w:tcPr>
          <w:p>
            <w:pPr>
              <w:widowControl w:val="0"/>
              <w:jc w:val="center"/>
              <w:rPr>
                <w:rFonts w:hint="eastAsia" w:eastAsia="宋体"/>
                <w:b/>
                <w:bCs/>
                <w:color w:val="auto"/>
                <w:sz w:val="21"/>
                <w:szCs w:val="21"/>
                <w:u w:val="single"/>
                <w:lang w:val="en-US" w:eastAsia="zh-CN"/>
              </w:rPr>
            </w:pPr>
            <w:r>
              <w:rPr>
                <w:rFonts w:hint="eastAsia"/>
                <w:b/>
                <w:bCs/>
                <w:color w:val="auto"/>
                <w:sz w:val="21"/>
                <w:szCs w:val="21"/>
                <w:u w:val="single"/>
              </w:rPr>
              <w:t>11335.94</w:t>
            </w:r>
            <w:r>
              <w:rPr>
                <w:rFonts w:hint="eastAsia"/>
                <w:b/>
                <w:bCs/>
                <w:color w:val="auto"/>
                <w:sz w:val="21"/>
                <w:szCs w:val="21"/>
                <w:u w:val="single"/>
                <w:lang w:val="en-US" w:eastAsia="zh-CN"/>
              </w:rPr>
              <w:t>9</w:t>
            </w:r>
          </w:p>
        </w:tc>
        <w:tc>
          <w:tcPr>
            <w:tcW w:w="1634" w:type="dxa"/>
            <w:vAlign w:val="center"/>
          </w:tcPr>
          <w:p>
            <w:pPr>
              <w:widowControl w:val="0"/>
              <w:jc w:val="center"/>
              <w:rPr>
                <w:rFonts w:hint="eastAsia" w:eastAsia="宋体"/>
                <w:b/>
                <w:bCs/>
                <w:color w:val="auto"/>
                <w:sz w:val="21"/>
                <w:szCs w:val="21"/>
                <w:u w:val="single"/>
                <w:lang w:val="en-US" w:eastAsia="zh-CN"/>
              </w:rPr>
            </w:pPr>
            <w:r>
              <w:rPr>
                <w:rFonts w:hint="eastAsia"/>
                <w:b/>
                <w:bCs/>
                <w:color w:val="auto"/>
                <w:sz w:val="21"/>
                <w:szCs w:val="21"/>
                <w:u w:val="single"/>
              </w:rPr>
              <w:t>11335.94</w:t>
            </w:r>
            <w:r>
              <w:rPr>
                <w:rFonts w:hint="eastAsia"/>
                <w:b/>
                <w:bCs/>
                <w:color w:val="auto"/>
                <w:sz w:val="21"/>
                <w:szCs w:val="21"/>
                <w:u w:val="single"/>
                <w:lang w:val="en-US" w:eastAsia="zh-CN"/>
              </w:rPr>
              <w:t>9</w:t>
            </w:r>
          </w:p>
        </w:tc>
        <w:tc>
          <w:tcPr>
            <w:tcW w:w="1632" w:type="dxa"/>
            <w:vAlign w:val="center"/>
          </w:tcPr>
          <w:p>
            <w:pPr>
              <w:widowControl w:val="0"/>
              <w:jc w:val="center"/>
              <w:rPr>
                <w:b/>
                <w:bCs/>
                <w:color w:val="auto"/>
                <w:sz w:val="21"/>
                <w:szCs w:val="21"/>
                <w:u w:val="single"/>
              </w:rPr>
            </w:pPr>
            <w:r>
              <w:rPr>
                <w:rFonts w:hint="eastAsia"/>
                <w:b/>
                <w:bCs/>
                <w:color w:val="auto"/>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autoSpaceDE w:val="0"/>
              <w:autoSpaceDN w:val="0"/>
              <w:adjustRightInd w:val="0"/>
              <w:snapToGrid w:val="0"/>
              <w:spacing w:line="240" w:lineRule="atLeast"/>
              <w:jc w:val="center"/>
              <w:rPr>
                <w:color w:val="auto"/>
                <w:sz w:val="21"/>
                <w:szCs w:val="21"/>
              </w:rPr>
            </w:pPr>
            <w:r>
              <w:rPr>
                <w:color w:val="auto"/>
                <w:sz w:val="21"/>
                <w:szCs w:val="21"/>
              </w:rPr>
              <w:t>危险废物</w:t>
            </w:r>
          </w:p>
        </w:tc>
        <w:tc>
          <w:tcPr>
            <w:tcW w:w="1634" w:type="dxa"/>
            <w:vAlign w:val="center"/>
          </w:tcPr>
          <w:p>
            <w:pPr>
              <w:widowControl w:val="0"/>
              <w:jc w:val="center"/>
              <w:rPr>
                <w:bCs/>
                <w:color w:val="auto"/>
                <w:sz w:val="21"/>
                <w:szCs w:val="21"/>
              </w:rPr>
            </w:pPr>
            <w:r>
              <w:rPr>
                <w:rFonts w:hint="eastAsia"/>
                <w:bCs/>
                <w:color w:val="auto"/>
                <w:sz w:val="21"/>
                <w:szCs w:val="21"/>
              </w:rPr>
              <w:t>425.5469</w:t>
            </w:r>
          </w:p>
        </w:tc>
        <w:tc>
          <w:tcPr>
            <w:tcW w:w="1634" w:type="dxa"/>
            <w:vAlign w:val="center"/>
          </w:tcPr>
          <w:p>
            <w:pPr>
              <w:widowControl w:val="0"/>
              <w:jc w:val="center"/>
              <w:rPr>
                <w:bCs/>
                <w:color w:val="auto"/>
                <w:sz w:val="21"/>
                <w:szCs w:val="21"/>
              </w:rPr>
            </w:pPr>
            <w:r>
              <w:rPr>
                <w:rFonts w:hint="eastAsia"/>
                <w:bCs/>
                <w:color w:val="auto"/>
                <w:sz w:val="21"/>
                <w:szCs w:val="21"/>
              </w:rPr>
              <w:t>425.5469</w:t>
            </w:r>
          </w:p>
        </w:tc>
        <w:tc>
          <w:tcPr>
            <w:tcW w:w="1632" w:type="dxa"/>
            <w:vAlign w:val="center"/>
          </w:tcPr>
          <w:p>
            <w:pPr>
              <w:widowControl w:val="0"/>
              <w:jc w:val="center"/>
              <w:rPr>
                <w:bCs/>
                <w:color w:val="auto"/>
                <w:sz w:val="21"/>
                <w:szCs w:val="21"/>
              </w:rPr>
            </w:pPr>
            <w:r>
              <w:rPr>
                <w:rFonts w:hint="eastAsia"/>
                <w:bCs/>
                <w:color w:val="auto"/>
                <w:sz w:val="21"/>
                <w:szCs w:val="21"/>
              </w:rPr>
              <w:t>0</w:t>
            </w:r>
          </w:p>
        </w:tc>
      </w:tr>
    </w:tbl>
    <w:p>
      <w:pPr>
        <w:pStyle w:val="4"/>
        <w:widowControl w:val="0"/>
        <w:tabs>
          <w:tab w:val="left" w:pos="1200"/>
          <w:tab w:val="left" w:pos="1571"/>
          <w:tab w:val="left" w:pos="1680"/>
        </w:tabs>
        <w:snapToGrid w:val="0"/>
        <w:spacing w:before="60" w:beforeLines="0" w:after="120" w:afterLines="0" w:line="560" w:lineRule="exact"/>
        <w:textAlignment w:val="baseline"/>
        <w:rPr>
          <w:rFonts w:hint="eastAsia"/>
          <w:b/>
          <w:bCs/>
          <w:color w:val="auto"/>
          <w:kern w:val="21"/>
          <w:u w:val="single"/>
          <w:lang w:val="en-US" w:eastAsia="zh-CN"/>
        </w:rPr>
      </w:pPr>
      <w:r>
        <w:rPr>
          <w:rFonts w:hint="eastAsia"/>
          <w:b/>
          <w:bCs/>
          <w:color w:val="auto"/>
          <w:kern w:val="0"/>
          <w:szCs w:val="20"/>
          <w:u w:val="single"/>
          <w:lang w:val="en-US" w:eastAsia="zh-CN"/>
        </w:rPr>
        <w:t>3.7</w:t>
      </w:r>
      <w:r>
        <w:rPr>
          <w:rFonts w:hint="eastAsia"/>
          <w:b/>
          <w:bCs/>
          <w:color w:val="auto"/>
          <w:kern w:val="21"/>
          <w:u w:val="single"/>
          <w:lang w:val="en-US" w:eastAsia="zh-CN"/>
        </w:rPr>
        <w:t>总量控制指标</w:t>
      </w:r>
    </w:p>
    <w:p>
      <w:pPr>
        <w:keepNext w:val="0"/>
        <w:keepLines w:val="0"/>
        <w:pageBreakBefore w:val="0"/>
        <w:widowControl/>
        <w:kinsoku/>
        <w:wordWrap/>
        <w:overflowPunct/>
        <w:topLinePunct w:val="0"/>
        <w:autoSpaceDE/>
        <w:autoSpaceDN/>
        <w:bidi w:val="0"/>
        <w:spacing w:line="360" w:lineRule="auto"/>
        <w:ind w:firstLine="482" w:firstLineChars="200"/>
        <w:textAlignment w:val="auto"/>
        <w:rPr>
          <w:rFonts w:hint="eastAsia" w:ascii="Times New Roman" w:hAnsi="Times New Roman" w:eastAsia="宋体" w:cs="Times New Roman"/>
          <w:b/>
          <w:bCs/>
          <w:color w:val="auto"/>
          <w:sz w:val="24"/>
          <w:u w:val="single"/>
          <w:lang w:eastAsia="zh-CN"/>
        </w:rPr>
      </w:pPr>
      <w:r>
        <w:rPr>
          <w:rFonts w:hint="default" w:ascii="Times New Roman" w:hAnsi="Times New Roman" w:eastAsia="宋体" w:cs="Times New Roman"/>
          <w:b/>
          <w:bCs/>
          <w:color w:val="auto"/>
          <w:sz w:val="24"/>
          <w:u w:val="single"/>
        </w:rPr>
        <w:t>根据《关于做好</w:t>
      </w:r>
      <w:r>
        <w:rPr>
          <w:rFonts w:hint="eastAsia" w:cs="Times New Roman"/>
          <w:b/>
          <w:bCs/>
          <w:color w:val="auto"/>
          <w:sz w:val="24"/>
          <w:u w:val="single"/>
          <w:lang w:eastAsia="zh-CN"/>
        </w:rPr>
        <w:t>“</w:t>
      </w:r>
      <w:r>
        <w:rPr>
          <w:rFonts w:hint="default" w:ascii="Times New Roman" w:hAnsi="Times New Roman" w:eastAsia="宋体" w:cs="Times New Roman"/>
          <w:b/>
          <w:bCs/>
          <w:color w:val="auto"/>
          <w:sz w:val="24"/>
          <w:u w:val="single"/>
        </w:rPr>
        <w:t>十四五</w:t>
      </w:r>
      <w:r>
        <w:rPr>
          <w:rFonts w:hint="eastAsia" w:cs="Times New Roman"/>
          <w:b/>
          <w:bCs/>
          <w:color w:val="auto"/>
          <w:sz w:val="24"/>
          <w:u w:val="single"/>
          <w:lang w:eastAsia="zh-CN"/>
        </w:rPr>
        <w:t>”</w:t>
      </w:r>
      <w:r>
        <w:rPr>
          <w:rFonts w:hint="default" w:ascii="Times New Roman" w:hAnsi="Times New Roman" w:eastAsia="宋体" w:cs="Times New Roman"/>
          <w:b/>
          <w:bCs/>
          <w:color w:val="auto"/>
          <w:sz w:val="24"/>
          <w:u w:val="single"/>
        </w:rPr>
        <w:t>主要污染物总量减排工作的通知》（环办综合函[2021]323 号）要求，</w:t>
      </w:r>
      <w:r>
        <w:rPr>
          <w:rFonts w:hint="eastAsia" w:cs="Times New Roman"/>
          <w:b/>
          <w:bCs/>
          <w:color w:val="auto"/>
          <w:sz w:val="24"/>
          <w:u w:val="single"/>
          <w:lang w:eastAsia="zh-CN"/>
        </w:rPr>
        <w:t>“</w:t>
      </w:r>
      <w:r>
        <w:rPr>
          <w:rFonts w:hint="default" w:ascii="Times New Roman" w:hAnsi="Times New Roman" w:eastAsia="宋体" w:cs="Times New Roman"/>
          <w:b/>
          <w:bCs/>
          <w:color w:val="auto"/>
          <w:sz w:val="24"/>
          <w:u w:val="single"/>
        </w:rPr>
        <w:t>十四五</w:t>
      </w:r>
      <w:r>
        <w:rPr>
          <w:rFonts w:hint="eastAsia" w:cs="Times New Roman"/>
          <w:b/>
          <w:bCs/>
          <w:color w:val="auto"/>
          <w:sz w:val="24"/>
          <w:u w:val="single"/>
          <w:lang w:eastAsia="zh-CN"/>
        </w:rPr>
        <w:t>”</w:t>
      </w:r>
      <w:r>
        <w:rPr>
          <w:rFonts w:hint="default" w:ascii="Times New Roman" w:hAnsi="Times New Roman" w:eastAsia="宋体" w:cs="Times New Roman"/>
          <w:b/>
          <w:bCs/>
          <w:color w:val="auto"/>
          <w:sz w:val="24"/>
          <w:u w:val="single"/>
        </w:rPr>
        <w:t>期间总量控制指标为NOx、VOCs、COD、NH</w:t>
      </w:r>
      <w:r>
        <w:rPr>
          <w:rFonts w:hint="default" w:ascii="Times New Roman" w:hAnsi="Times New Roman" w:eastAsia="宋体" w:cs="Times New Roman"/>
          <w:b/>
          <w:bCs/>
          <w:color w:val="auto"/>
          <w:sz w:val="24"/>
          <w:u w:val="single"/>
          <w:vertAlign w:val="subscript"/>
        </w:rPr>
        <w:t>3</w:t>
      </w:r>
      <w:r>
        <w:rPr>
          <w:rFonts w:hint="default" w:ascii="Times New Roman" w:hAnsi="Times New Roman" w:eastAsia="宋体" w:cs="Times New Roman"/>
          <w:b/>
          <w:bCs/>
          <w:color w:val="auto"/>
          <w:sz w:val="24"/>
          <w:u w:val="single"/>
        </w:rPr>
        <w:t>-N</w:t>
      </w:r>
      <w:r>
        <w:rPr>
          <w:rFonts w:hint="eastAsia" w:cs="Times New Roman"/>
          <w:b/>
          <w:bCs/>
          <w:color w:val="auto"/>
          <w:sz w:val="24"/>
          <w:u w:val="single"/>
          <w:lang w:eastAsia="zh-CN"/>
        </w:rPr>
        <w:t>，</w:t>
      </w:r>
      <w:r>
        <w:rPr>
          <w:rFonts w:hint="eastAsia" w:cs="Times New Roman"/>
          <w:b/>
          <w:bCs/>
          <w:color w:val="auto"/>
          <w:sz w:val="24"/>
          <w:u w:val="single"/>
          <w:lang w:val="en-US" w:eastAsia="zh-CN"/>
        </w:rPr>
        <w:t>并</w:t>
      </w:r>
      <w:r>
        <w:rPr>
          <w:rFonts w:hint="eastAsia" w:cs="Times New Roman"/>
          <w:b/>
          <w:bCs/>
          <w:color w:val="auto"/>
          <w:sz w:val="24"/>
          <w:u w:val="single"/>
          <w:lang w:eastAsia="zh-CN"/>
        </w:rPr>
        <w:t>结合当地环境保护管理要求，本项目总量控制指标为</w:t>
      </w:r>
      <w:r>
        <w:rPr>
          <w:rFonts w:hint="default" w:ascii="Times New Roman" w:hAnsi="Times New Roman" w:eastAsia="宋体" w:cs="Times New Roman"/>
          <w:b/>
          <w:bCs/>
          <w:color w:val="auto"/>
          <w:sz w:val="24"/>
          <w:u w:val="single"/>
        </w:rPr>
        <w:t>NOx</w:t>
      </w:r>
      <w:r>
        <w:rPr>
          <w:rFonts w:hint="eastAsia" w:cs="Times New Roman"/>
          <w:b/>
          <w:bCs/>
          <w:color w:val="auto"/>
          <w:sz w:val="24"/>
          <w:u w:val="single"/>
          <w:lang w:eastAsia="zh-CN"/>
        </w:rPr>
        <w:t>、</w:t>
      </w:r>
      <w:r>
        <w:rPr>
          <w:rFonts w:hint="eastAsia" w:ascii="Times New Roman" w:hAnsi="Times New Roman" w:cs="Times New Roman"/>
          <w:b/>
          <w:bCs/>
          <w:color w:val="auto"/>
          <w:sz w:val="24"/>
          <w:u w:val="single"/>
          <w:lang w:val="en-US" w:eastAsia="zh-CN"/>
        </w:rPr>
        <w:t>SO</w:t>
      </w:r>
      <w:r>
        <w:rPr>
          <w:rFonts w:hint="eastAsia" w:ascii="Times New Roman" w:hAnsi="Times New Roman" w:cs="Times New Roman"/>
          <w:b/>
          <w:bCs/>
          <w:color w:val="auto"/>
          <w:sz w:val="24"/>
          <w:u w:val="single"/>
          <w:vertAlign w:val="subscript"/>
          <w:lang w:val="en-US" w:eastAsia="zh-CN"/>
        </w:rPr>
        <w:t>2</w:t>
      </w:r>
      <w:r>
        <w:rPr>
          <w:rFonts w:hint="eastAsia" w:cs="Times New Roman"/>
          <w:b/>
          <w:bCs/>
          <w:color w:val="auto"/>
          <w:sz w:val="24"/>
          <w:u w:val="single"/>
          <w:vertAlign w:val="baseline"/>
          <w:lang w:val="en-US" w:eastAsia="zh-CN"/>
        </w:rPr>
        <w:t>、颗粒物、</w:t>
      </w:r>
      <w:r>
        <w:rPr>
          <w:rFonts w:hint="default" w:ascii="Times New Roman" w:hAnsi="Times New Roman" w:eastAsia="宋体" w:cs="Times New Roman"/>
          <w:b/>
          <w:bCs/>
          <w:color w:val="auto"/>
          <w:sz w:val="24"/>
          <w:u w:val="single"/>
        </w:rPr>
        <w:t>COD、NH</w:t>
      </w:r>
      <w:r>
        <w:rPr>
          <w:rFonts w:hint="default" w:ascii="Times New Roman" w:hAnsi="Times New Roman" w:eastAsia="宋体" w:cs="Times New Roman"/>
          <w:b/>
          <w:bCs/>
          <w:color w:val="auto"/>
          <w:sz w:val="24"/>
          <w:u w:val="single"/>
          <w:vertAlign w:val="subscript"/>
        </w:rPr>
        <w:t>3</w:t>
      </w:r>
      <w:r>
        <w:rPr>
          <w:rFonts w:hint="default" w:ascii="Times New Roman" w:hAnsi="Times New Roman" w:eastAsia="宋体" w:cs="Times New Roman"/>
          <w:b/>
          <w:bCs/>
          <w:color w:val="auto"/>
          <w:sz w:val="24"/>
          <w:u w:val="single"/>
        </w:rPr>
        <w:t>-N</w:t>
      </w:r>
      <w:r>
        <w:rPr>
          <w:rFonts w:hint="eastAsia" w:cs="Times New Roman"/>
          <w:b/>
          <w:bCs/>
          <w:color w:val="auto"/>
          <w:sz w:val="24"/>
          <w:u w:val="single"/>
          <w:lang w:eastAsia="zh-CN"/>
        </w:rPr>
        <w:t>。</w:t>
      </w:r>
    </w:p>
    <w:p>
      <w:pPr>
        <w:pStyle w:val="5"/>
        <w:bidi w:val="0"/>
        <w:rPr>
          <w:rFonts w:hint="eastAsia"/>
          <w:b/>
          <w:bCs w:val="0"/>
          <w:u w:val="single"/>
          <w:lang w:val="en-US" w:eastAsia="zh-CN"/>
        </w:rPr>
      </w:pPr>
      <w:r>
        <w:rPr>
          <w:rFonts w:hint="eastAsia"/>
          <w:b/>
          <w:bCs w:val="0"/>
          <w:u w:val="single"/>
          <w:lang w:val="en-US" w:eastAsia="zh-CN"/>
        </w:rPr>
        <w:t>3.7.1大气污染物总量控制指标</w:t>
      </w:r>
    </w:p>
    <w:p>
      <w:pPr>
        <w:keepNext w:val="0"/>
        <w:keepLines w:val="0"/>
        <w:pageBreakBefore w:val="0"/>
        <w:widowControl/>
        <w:numPr>
          <w:ilvl w:val="0"/>
          <w:numId w:val="1"/>
        </w:numPr>
        <w:kinsoku/>
        <w:wordWrap/>
        <w:overflowPunct/>
        <w:topLinePunct w:val="0"/>
        <w:autoSpaceDE/>
        <w:autoSpaceDN/>
        <w:bidi w:val="0"/>
        <w:adjustRightInd/>
        <w:snapToGrid/>
        <w:spacing w:line="360" w:lineRule="auto"/>
        <w:ind w:firstLine="482" w:firstLineChars="200"/>
        <w:textAlignment w:val="auto"/>
        <w:rPr>
          <w:rFonts w:hint="eastAsia" w:cs="Times New Roman"/>
          <w:b/>
          <w:bCs/>
          <w:color w:val="auto"/>
          <w:sz w:val="24"/>
          <w:u w:val="single"/>
          <w:lang w:eastAsia="zh-CN"/>
        </w:rPr>
      </w:pPr>
      <w:r>
        <w:rPr>
          <w:rFonts w:hint="eastAsia" w:cs="Times New Roman"/>
          <w:b/>
          <w:bCs/>
          <w:color w:val="auto"/>
          <w:sz w:val="24"/>
          <w:u w:val="single"/>
          <w:lang w:eastAsia="zh-CN"/>
        </w:rPr>
        <w:t>锅炉废气：</w:t>
      </w: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u w:val="single"/>
          <w:lang w:val="en-US" w:eastAsia="zh-CN"/>
        </w:rPr>
      </w:pPr>
      <w:r>
        <w:rPr>
          <w:rFonts w:hint="eastAsia" w:ascii="Times New Roman" w:hAnsi="Times New Roman" w:eastAsia="宋体" w:cs="Times New Roman"/>
          <w:b/>
          <w:bCs/>
          <w:color w:val="auto"/>
          <w:sz w:val="24"/>
          <w:u w:val="single"/>
        </w:rPr>
        <w:t>本项目</w:t>
      </w:r>
      <w:r>
        <w:rPr>
          <w:rFonts w:hint="eastAsia" w:cs="Times New Roman"/>
          <w:b/>
          <w:bCs/>
          <w:color w:val="auto"/>
          <w:sz w:val="24"/>
          <w:u w:val="single"/>
          <w:lang w:val="en-US" w:eastAsia="zh-CN"/>
        </w:rPr>
        <w:t>拟</w:t>
      </w:r>
      <w:r>
        <w:rPr>
          <w:rFonts w:hint="eastAsia" w:ascii="Times New Roman" w:hAnsi="Times New Roman" w:eastAsia="宋体" w:cs="Times New Roman"/>
          <w:b/>
          <w:bCs/>
          <w:color w:val="auto"/>
          <w:sz w:val="24"/>
          <w:u w:val="single"/>
        </w:rPr>
        <w:t>设置</w:t>
      </w:r>
      <w:r>
        <w:rPr>
          <w:rFonts w:hint="eastAsia" w:cs="Times New Roman"/>
          <w:b/>
          <w:bCs/>
          <w:color w:val="auto"/>
          <w:sz w:val="24"/>
          <w:u w:val="single"/>
          <w:lang w:val="en-US" w:eastAsia="zh-CN"/>
        </w:rPr>
        <w:t>2</w:t>
      </w:r>
      <w:r>
        <w:rPr>
          <w:rFonts w:hint="eastAsia" w:ascii="Times New Roman" w:hAnsi="Times New Roman" w:eastAsia="宋体" w:cs="Times New Roman"/>
          <w:b/>
          <w:bCs/>
          <w:color w:val="auto"/>
          <w:sz w:val="24"/>
          <w:u w:val="single"/>
        </w:rPr>
        <w:t>台</w:t>
      </w:r>
      <w:r>
        <w:rPr>
          <w:rFonts w:hint="eastAsia" w:cs="Times New Roman"/>
          <w:b/>
          <w:bCs/>
          <w:color w:val="auto"/>
          <w:sz w:val="24"/>
          <w:u w:val="single"/>
          <w:lang w:val="en-US" w:eastAsia="zh-CN"/>
        </w:rPr>
        <w:t>燃气</w:t>
      </w:r>
      <w:r>
        <w:rPr>
          <w:rFonts w:hint="eastAsia" w:ascii="Times New Roman" w:hAnsi="Times New Roman" w:eastAsia="宋体" w:cs="Times New Roman"/>
          <w:b/>
          <w:bCs/>
          <w:color w:val="auto"/>
          <w:sz w:val="24"/>
          <w:u w:val="single"/>
        </w:rPr>
        <w:t>锅炉，</w:t>
      </w:r>
      <w:r>
        <w:rPr>
          <w:rFonts w:hint="eastAsia" w:cs="Times New Roman"/>
          <w:b/>
          <w:bCs/>
          <w:color w:val="auto"/>
          <w:sz w:val="24"/>
          <w:u w:val="single"/>
          <w:lang w:val="en-US" w:eastAsia="zh-CN"/>
        </w:rPr>
        <w:t>1</w:t>
      </w:r>
      <w:r>
        <w:rPr>
          <w:rFonts w:hint="eastAsia" w:ascii="Times New Roman" w:hAnsi="Times New Roman" w:eastAsia="宋体" w:cs="Times New Roman"/>
          <w:b/>
          <w:bCs/>
          <w:color w:val="auto"/>
          <w:sz w:val="24"/>
          <w:u w:val="single"/>
        </w:rPr>
        <w:t>台6t/h</w:t>
      </w:r>
      <w:r>
        <w:rPr>
          <w:rFonts w:hint="eastAsia" w:cs="Times New Roman"/>
          <w:b/>
          <w:bCs/>
          <w:color w:val="auto"/>
          <w:sz w:val="24"/>
          <w:u w:val="single"/>
          <w:lang w:val="en-US" w:eastAsia="zh-CN"/>
        </w:rPr>
        <w:t>和1</w:t>
      </w:r>
      <w:r>
        <w:rPr>
          <w:rFonts w:hint="eastAsia" w:ascii="Times New Roman" w:hAnsi="Times New Roman" w:eastAsia="宋体" w:cs="Times New Roman"/>
          <w:b/>
          <w:bCs/>
          <w:color w:val="auto"/>
          <w:sz w:val="24"/>
          <w:u w:val="single"/>
        </w:rPr>
        <w:t>台4t/h，冬季同时使用</w:t>
      </w:r>
      <w:r>
        <w:rPr>
          <w:rFonts w:hint="eastAsia" w:cs="Times New Roman"/>
          <w:b/>
          <w:bCs/>
          <w:color w:val="auto"/>
          <w:sz w:val="24"/>
          <w:u w:val="single"/>
          <w:lang w:val="en-US" w:eastAsia="zh-CN"/>
        </w:rPr>
        <w:t>2</w:t>
      </w:r>
      <w:r>
        <w:rPr>
          <w:rFonts w:hint="eastAsia" w:ascii="Times New Roman" w:hAnsi="Times New Roman" w:eastAsia="宋体" w:cs="Times New Roman"/>
          <w:b/>
          <w:bCs/>
          <w:color w:val="auto"/>
          <w:sz w:val="24"/>
          <w:u w:val="single"/>
        </w:rPr>
        <w:t>台，其他</w:t>
      </w:r>
      <w:r>
        <w:rPr>
          <w:rFonts w:hint="eastAsia" w:cs="Times New Roman"/>
          <w:b/>
          <w:bCs/>
          <w:color w:val="auto"/>
          <w:sz w:val="24"/>
          <w:u w:val="single"/>
          <w:lang w:val="en-US" w:eastAsia="zh-CN"/>
        </w:rPr>
        <w:t>季节</w:t>
      </w:r>
      <w:r>
        <w:rPr>
          <w:rFonts w:hint="eastAsia" w:ascii="Times New Roman" w:hAnsi="Times New Roman" w:eastAsia="宋体" w:cs="Times New Roman"/>
          <w:b/>
          <w:bCs/>
          <w:color w:val="auto"/>
          <w:sz w:val="24"/>
          <w:u w:val="single"/>
        </w:rPr>
        <w:t>仅使用</w:t>
      </w:r>
      <w:r>
        <w:rPr>
          <w:rFonts w:hint="eastAsia" w:cs="Times New Roman"/>
          <w:b/>
          <w:bCs/>
          <w:color w:val="auto"/>
          <w:sz w:val="24"/>
          <w:u w:val="single"/>
          <w:lang w:val="en-US" w:eastAsia="zh-CN"/>
        </w:rPr>
        <w:t>1台</w:t>
      </w:r>
      <w:r>
        <w:rPr>
          <w:rFonts w:hint="eastAsia" w:ascii="Times New Roman" w:hAnsi="Times New Roman" w:eastAsia="宋体" w:cs="Times New Roman"/>
          <w:b/>
          <w:bCs/>
          <w:color w:val="auto"/>
          <w:sz w:val="24"/>
          <w:u w:val="single"/>
        </w:rPr>
        <w:t>6t/h</w:t>
      </w:r>
      <w:r>
        <w:rPr>
          <w:rFonts w:hint="eastAsia" w:cs="Times New Roman"/>
          <w:b/>
          <w:bCs/>
          <w:color w:val="auto"/>
          <w:sz w:val="24"/>
          <w:u w:val="single"/>
          <w:lang w:val="en-US" w:eastAsia="zh-CN"/>
        </w:rPr>
        <w:t>的</w:t>
      </w:r>
      <w:r>
        <w:rPr>
          <w:rFonts w:hint="eastAsia" w:ascii="Times New Roman" w:hAnsi="Times New Roman" w:eastAsia="宋体" w:cs="Times New Roman"/>
          <w:b/>
          <w:bCs/>
          <w:color w:val="auto"/>
          <w:sz w:val="24"/>
          <w:u w:val="single"/>
        </w:rPr>
        <w:t>燃气锅炉</w:t>
      </w:r>
      <w:r>
        <w:rPr>
          <w:rFonts w:hint="eastAsia" w:cs="Times New Roman"/>
          <w:b/>
          <w:bCs/>
          <w:color w:val="auto"/>
          <w:sz w:val="24"/>
          <w:u w:val="single"/>
          <w:lang w:eastAsia="zh-CN"/>
        </w:rPr>
        <w:t>。</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NOx排放量=排放速率（kg/h）×排放时间（h）</w:t>
      </w:r>
    </w:p>
    <w:p>
      <w:pPr>
        <w:keepNext w:val="0"/>
        <w:keepLines w:val="0"/>
        <w:pageBreakBefore w:val="0"/>
        <w:widowControl/>
        <w:kinsoku/>
        <w:wordWrap/>
        <w:overflowPunct/>
        <w:topLinePunct w:val="0"/>
        <w:autoSpaceDE/>
        <w:autoSpaceDN/>
        <w:bidi w:val="0"/>
        <w:adjustRightInd/>
        <w:snapToGrid/>
        <w:spacing w:line="360" w:lineRule="auto"/>
        <w:ind w:firstLine="1928" w:firstLineChars="8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=0.136×7920+0.0906</w:t>
      </w:r>
      <w:r>
        <w:rPr>
          <w:rFonts w:hint="eastAsia" w:cs="Times New Roman"/>
          <w:b/>
          <w:bCs/>
          <w:color w:val="auto"/>
          <w:sz w:val="24"/>
          <w:u w:val="single"/>
          <w:lang w:val="en-US" w:eastAsia="zh-CN"/>
        </w:rPr>
        <w:t>×</w:t>
      </w:r>
      <w:r>
        <w:rPr>
          <w:rFonts w:hint="eastAsia" w:ascii="Times New Roman" w:hAnsi="Times New Roman" w:eastAsia="宋体" w:cs="Times New Roman"/>
          <w:b/>
          <w:bCs/>
          <w:color w:val="auto"/>
          <w:sz w:val="24"/>
          <w:u w:val="single"/>
        </w:rPr>
        <w:t>2640</w:t>
      </w:r>
    </w:p>
    <w:p>
      <w:pPr>
        <w:keepNext w:val="0"/>
        <w:keepLines w:val="0"/>
        <w:pageBreakBefore w:val="0"/>
        <w:widowControl/>
        <w:kinsoku/>
        <w:wordWrap/>
        <w:overflowPunct/>
        <w:topLinePunct w:val="0"/>
        <w:autoSpaceDE/>
        <w:autoSpaceDN/>
        <w:bidi w:val="0"/>
        <w:adjustRightInd/>
        <w:snapToGrid/>
        <w:spacing w:line="360" w:lineRule="auto"/>
        <w:ind w:firstLine="1928" w:firstLineChars="8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=1316.3kg/a=1.316t/a；</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lang w:eastAsia="zh-CN"/>
        </w:rPr>
        <w:t>颗粒物排放量</w:t>
      </w:r>
      <w:r>
        <w:rPr>
          <w:rFonts w:hint="eastAsia" w:ascii="Times New Roman" w:hAnsi="Times New Roman" w:eastAsia="宋体" w:cs="Times New Roman"/>
          <w:b/>
          <w:bCs/>
          <w:color w:val="auto"/>
          <w:sz w:val="24"/>
          <w:u w:val="single"/>
          <w:lang w:val="en-US" w:eastAsia="zh-CN"/>
        </w:rPr>
        <w:t>=</w:t>
      </w:r>
      <w:r>
        <w:rPr>
          <w:rFonts w:hint="eastAsia" w:ascii="Times New Roman" w:hAnsi="Times New Roman" w:eastAsia="宋体" w:cs="Times New Roman"/>
          <w:b/>
          <w:bCs/>
          <w:color w:val="auto"/>
          <w:sz w:val="24"/>
          <w:u w:val="single"/>
        </w:rPr>
        <w:t>排放速率（kg/h）×排放时间（h）</w:t>
      </w:r>
    </w:p>
    <w:p>
      <w:pPr>
        <w:keepNext w:val="0"/>
        <w:keepLines w:val="0"/>
        <w:pageBreakBefore w:val="0"/>
        <w:widowControl/>
        <w:kinsoku/>
        <w:wordWrap/>
        <w:overflowPunct/>
        <w:topLinePunct w:val="0"/>
        <w:autoSpaceDE/>
        <w:autoSpaceDN/>
        <w:bidi w:val="0"/>
        <w:adjustRightInd/>
        <w:snapToGrid/>
        <w:spacing w:line="360" w:lineRule="auto"/>
        <w:ind w:firstLine="1928" w:firstLineChars="8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=0.</w:t>
      </w:r>
      <w:r>
        <w:rPr>
          <w:rFonts w:hint="eastAsia" w:ascii="Times New Roman" w:hAnsi="Times New Roman" w:eastAsia="宋体" w:cs="Times New Roman"/>
          <w:b/>
          <w:bCs/>
          <w:color w:val="auto"/>
          <w:sz w:val="24"/>
          <w:u w:val="single"/>
          <w:lang w:val="en-US" w:eastAsia="zh-CN"/>
        </w:rPr>
        <w:t>0232</w:t>
      </w:r>
      <w:r>
        <w:rPr>
          <w:rFonts w:hint="eastAsia" w:ascii="Times New Roman" w:hAnsi="Times New Roman" w:eastAsia="宋体" w:cs="Times New Roman"/>
          <w:b/>
          <w:bCs/>
          <w:color w:val="auto"/>
          <w:sz w:val="24"/>
          <w:u w:val="single"/>
        </w:rPr>
        <w:t>×7920+0.</w:t>
      </w:r>
      <w:r>
        <w:rPr>
          <w:rFonts w:hint="eastAsia" w:ascii="Times New Roman" w:hAnsi="Times New Roman" w:eastAsia="宋体" w:cs="Times New Roman"/>
          <w:b/>
          <w:bCs/>
          <w:color w:val="auto"/>
          <w:sz w:val="24"/>
          <w:u w:val="single"/>
          <w:lang w:val="en-US" w:eastAsia="zh-CN"/>
        </w:rPr>
        <w:t>0155</w:t>
      </w:r>
      <w:r>
        <w:rPr>
          <w:rFonts w:hint="eastAsia" w:cs="Times New Roman"/>
          <w:b/>
          <w:bCs/>
          <w:color w:val="auto"/>
          <w:sz w:val="24"/>
          <w:u w:val="single"/>
          <w:lang w:val="en-US" w:eastAsia="zh-CN"/>
        </w:rPr>
        <w:t>×</w:t>
      </w:r>
      <w:r>
        <w:rPr>
          <w:rFonts w:hint="eastAsia" w:ascii="Times New Roman" w:hAnsi="Times New Roman" w:eastAsia="宋体" w:cs="Times New Roman"/>
          <w:b/>
          <w:bCs/>
          <w:color w:val="auto"/>
          <w:sz w:val="24"/>
          <w:u w:val="single"/>
        </w:rPr>
        <w:t>2640</w:t>
      </w:r>
    </w:p>
    <w:p>
      <w:pPr>
        <w:keepNext w:val="0"/>
        <w:keepLines w:val="0"/>
        <w:pageBreakBefore w:val="0"/>
        <w:widowControl/>
        <w:kinsoku/>
        <w:wordWrap/>
        <w:overflowPunct/>
        <w:topLinePunct w:val="0"/>
        <w:autoSpaceDE/>
        <w:autoSpaceDN/>
        <w:bidi w:val="0"/>
        <w:adjustRightInd/>
        <w:snapToGrid/>
        <w:spacing w:line="360" w:lineRule="auto"/>
        <w:ind w:firstLine="1928" w:firstLineChars="8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w:t>
      </w:r>
      <w:r>
        <w:rPr>
          <w:rFonts w:hint="eastAsia" w:ascii="Times New Roman" w:hAnsi="Times New Roman" w:eastAsia="宋体" w:cs="Times New Roman"/>
          <w:b/>
          <w:bCs/>
          <w:color w:val="auto"/>
          <w:sz w:val="24"/>
          <w:u w:val="single"/>
          <w:lang w:val="en-US" w:eastAsia="zh-CN"/>
        </w:rPr>
        <w:t>224.664</w:t>
      </w:r>
      <w:r>
        <w:rPr>
          <w:rFonts w:hint="eastAsia" w:ascii="Times New Roman" w:hAnsi="Times New Roman" w:eastAsia="宋体" w:cs="Times New Roman"/>
          <w:b/>
          <w:bCs/>
          <w:color w:val="auto"/>
          <w:sz w:val="24"/>
          <w:u w:val="single"/>
        </w:rPr>
        <w:t>kg/a=</w:t>
      </w:r>
      <w:r>
        <w:rPr>
          <w:rFonts w:hint="eastAsia" w:ascii="Times New Roman" w:hAnsi="Times New Roman" w:eastAsia="宋体" w:cs="Times New Roman"/>
          <w:b/>
          <w:bCs/>
          <w:color w:val="auto"/>
          <w:sz w:val="24"/>
          <w:u w:val="single"/>
          <w:lang w:val="en-US" w:eastAsia="zh-CN"/>
        </w:rPr>
        <w:t>0.225</w:t>
      </w:r>
      <w:r>
        <w:rPr>
          <w:rFonts w:hint="eastAsia" w:ascii="Times New Roman" w:hAnsi="Times New Roman" w:eastAsia="宋体" w:cs="Times New Roman"/>
          <w:b/>
          <w:bCs/>
          <w:color w:val="auto"/>
          <w:sz w:val="24"/>
          <w:u w:val="single"/>
        </w:rPr>
        <w:t>t/a；</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u w:val="single"/>
        </w:rPr>
      </w:pPr>
      <w:r>
        <w:rPr>
          <w:rFonts w:hint="eastAsia" w:ascii="Times New Roman" w:hAnsi="Times New Roman" w:cs="Times New Roman"/>
          <w:b/>
          <w:bCs/>
          <w:color w:val="auto"/>
          <w:sz w:val="24"/>
          <w:u w:val="single"/>
          <w:lang w:val="en-US" w:eastAsia="zh-CN"/>
        </w:rPr>
        <w:t>SO</w:t>
      </w:r>
      <w:r>
        <w:rPr>
          <w:rFonts w:hint="eastAsia" w:ascii="Times New Roman" w:hAnsi="Times New Roman" w:cs="Times New Roman"/>
          <w:b/>
          <w:bCs/>
          <w:color w:val="auto"/>
          <w:sz w:val="24"/>
          <w:u w:val="single"/>
          <w:vertAlign w:val="subscript"/>
          <w:lang w:val="en-US" w:eastAsia="zh-CN"/>
        </w:rPr>
        <w:t>2</w:t>
      </w:r>
      <w:r>
        <w:rPr>
          <w:rFonts w:hint="eastAsia" w:ascii="Times New Roman" w:hAnsi="Times New Roman" w:cs="Times New Roman"/>
          <w:b/>
          <w:bCs/>
          <w:color w:val="auto"/>
          <w:sz w:val="24"/>
          <w:u w:val="single"/>
          <w:vertAlign w:val="baseline"/>
          <w:lang w:val="en-US" w:eastAsia="zh-CN"/>
        </w:rPr>
        <w:t>排放量</w:t>
      </w:r>
      <w:r>
        <w:rPr>
          <w:rFonts w:hint="eastAsia" w:ascii="Times New Roman" w:hAnsi="Times New Roman" w:eastAsia="宋体" w:cs="Times New Roman"/>
          <w:b/>
          <w:bCs/>
          <w:color w:val="auto"/>
          <w:sz w:val="24"/>
          <w:u w:val="single"/>
          <w:lang w:eastAsia="zh-CN"/>
        </w:rPr>
        <w:t>排放量</w:t>
      </w:r>
      <w:r>
        <w:rPr>
          <w:rFonts w:hint="eastAsia" w:ascii="Times New Roman" w:hAnsi="Times New Roman" w:eastAsia="宋体" w:cs="Times New Roman"/>
          <w:b/>
          <w:bCs/>
          <w:color w:val="auto"/>
          <w:sz w:val="24"/>
          <w:u w:val="single"/>
          <w:lang w:val="en-US" w:eastAsia="zh-CN"/>
        </w:rPr>
        <w:t>=</w:t>
      </w:r>
      <w:r>
        <w:rPr>
          <w:rFonts w:hint="eastAsia" w:ascii="Times New Roman" w:hAnsi="Times New Roman" w:eastAsia="宋体" w:cs="Times New Roman"/>
          <w:b/>
          <w:bCs/>
          <w:color w:val="auto"/>
          <w:sz w:val="24"/>
          <w:u w:val="single"/>
        </w:rPr>
        <w:t>排放速率（kg/h）×排放时间（h）</w:t>
      </w:r>
    </w:p>
    <w:p>
      <w:pPr>
        <w:keepNext w:val="0"/>
        <w:keepLines w:val="0"/>
        <w:pageBreakBefore w:val="0"/>
        <w:widowControl/>
        <w:kinsoku/>
        <w:wordWrap/>
        <w:overflowPunct/>
        <w:topLinePunct w:val="0"/>
        <w:autoSpaceDE/>
        <w:autoSpaceDN/>
        <w:bidi w:val="0"/>
        <w:adjustRightInd/>
        <w:snapToGrid/>
        <w:spacing w:line="360" w:lineRule="auto"/>
        <w:ind w:firstLine="2409" w:firstLineChars="10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=0.</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449</w:t>
      </w:r>
      <w:r>
        <w:rPr>
          <w:rFonts w:hint="eastAsia" w:ascii="Times New Roman" w:hAnsi="Times New Roman" w:eastAsia="宋体" w:cs="Times New Roman"/>
          <w:b/>
          <w:bCs/>
          <w:color w:val="auto"/>
          <w:sz w:val="24"/>
          <w:u w:val="single"/>
        </w:rPr>
        <w:t>×7920+0.</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299×</w:t>
      </w:r>
      <w:r>
        <w:rPr>
          <w:rFonts w:hint="eastAsia" w:ascii="Times New Roman" w:hAnsi="Times New Roman" w:eastAsia="宋体" w:cs="Times New Roman"/>
          <w:b/>
          <w:bCs/>
          <w:color w:val="auto"/>
          <w:sz w:val="24"/>
          <w:u w:val="single"/>
        </w:rPr>
        <w:t>2640</w:t>
      </w:r>
    </w:p>
    <w:p>
      <w:pPr>
        <w:keepNext w:val="0"/>
        <w:keepLines w:val="0"/>
        <w:pageBreakBefore w:val="0"/>
        <w:widowControl/>
        <w:kinsoku/>
        <w:wordWrap/>
        <w:overflowPunct/>
        <w:topLinePunct w:val="0"/>
        <w:autoSpaceDE/>
        <w:autoSpaceDN/>
        <w:bidi w:val="0"/>
        <w:adjustRightInd/>
        <w:snapToGrid/>
        <w:spacing w:line="360" w:lineRule="auto"/>
        <w:ind w:firstLine="2409" w:firstLineChars="10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w:t>
      </w:r>
      <w:r>
        <w:rPr>
          <w:rFonts w:hint="eastAsia" w:cs="Times New Roman"/>
          <w:b/>
          <w:bCs/>
          <w:color w:val="auto"/>
          <w:sz w:val="24"/>
          <w:u w:val="single"/>
          <w:lang w:val="en-US" w:eastAsia="zh-CN"/>
        </w:rPr>
        <w:t>434.544</w:t>
      </w:r>
      <w:r>
        <w:rPr>
          <w:rFonts w:hint="eastAsia" w:ascii="Times New Roman" w:hAnsi="Times New Roman" w:eastAsia="宋体" w:cs="Times New Roman"/>
          <w:b/>
          <w:bCs/>
          <w:color w:val="auto"/>
          <w:sz w:val="24"/>
          <w:u w:val="single"/>
        </w:rPr>
        <w:t>kg/a=</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435</w:t>
      </w:r>
      <w:r>
        <w:rPr>
          <w:rFonts w:hint="eastAsia" w:ascii="Times New Roman" w:hAnsi="Times New Roman" w:eastAsia="宋体" w:cs="Times New Roman"/>
          <w:b/>
          <w:bCs/>
          <w:color w:val="auto"/>
          <w:sz w:val="24"/>
          <w:u w:val="single"/>
        </w:rPr>
        <w:t>t/a；</w:t>
      </w:r>
    </w:p>
    <w:p>
      <w:pPr>
        <w:pStyle w:val="43"/>
        <w:keepNext w:val="0"/>
        <w:keepLines w:val="0"/>
        <w:pageBreakBefore w:val="0"/>
        <w:widowControl/>
        <w:numPr>
          <w:ilvl w:val="0"/>
          <w:numId w:val="1"/>
        </w:numPr>
        <w:kinsoku/>
        <w:wordWrap/>
        <w:overflowPunct/>
        <w:topLinePunct w:val="0"/>
        <w:autoSpaceDE/>
        <w:autoSpaceDN/>
        <w:bidi w:val="0"/>
        <w:adjustRightInd/>
        <w:snapToGrid/>
        <w:spacing w:line="360" w:lineRule="auto"/>
        <w:ind w:left="0" w:leftChars="0" w:firstLine="482" w:firstLineChars="200"/>
        <w:textAlignment w:val="auto"/>
        <w:rPr>
          <w:rFonts w:hint="eastAsia" w:ascii="Times New Roman" w:hAnsi="Times New Roman" w:cs="Times New Roman"/>
          <w:b/>
          <w:bCs/>
          <w:color w:val="auto"/>
          <w:sz w:val="24"/>
          <w:u w:val="single"/>
          <w:lang w:eastAsia="zh-CN"/>
        </w:rPr>
      </w:pPr>
      <w:r>
        <w:rPr>
          <w:rFonts w:hint="eastAsia" w:ascii="Times New Roman" w:hAnsi="Times New Roman" w:cs="Times New Roman"/>
          <w:b/>
          <w:bCs/>
          <w:color w:val="auto"/>
          <w:sz w:val="24"/>
          <w:u w:val="single"/>
          <w:lang w:eastAsia="zh-CN"/>
        </w:rPr>
        <w:t>焊接烟尘</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u w:val="single"/>
        </w:rPr>
      </w:pPr>
      <w:r>
        <w:rPr>
          <w:rFonts w:hint="eastAsia" w:ascii="Times New Roman" w:hAnsi="Times New Roman" w:cs="Times New Roman"/>
          <w:b/>
          <w:bCs/>
          <w:color w:val="auto"/>
          <w:sz w:val="24"/>
          <w:u w:val="single"/>
          <w:lang w:eastAsia="zh-CN"/>
        </w:rPr>
        <w:t>烟尘有组织排放量</w:t>
      </w:r>
      <w:r>
        <w:rPr>
          <w:rFonts w:hint="eastAsia" w:ascii="Times New Roman" w:hAnsi="Times New Roman" w:cs="Times New Roman"/>
          <w:b/>
          <w:bCs/>
          <w:color w:val="auto"/>
          <w:sz w:val="24"/>
          <w:u w:val="single"/>
          <w:lang w:val="en-US" w:eastAsia="zh-CN"/>
        </w:rPr>
        <w:t>=</w:t>
      </w:r>
      <w:r>
        <w:rPr>
          <w:rFonts w:hint="eastAsia" w:ascii="Times New Roman" w:hAnsi="Times New Roman" w:eastAsia="宋体" w:cs="Times New Roman"/>
          <w:b/>
          <w:bCs/>
          <w:color w:val="auto"/>
          <w:sz w:val="24"/>
          <w:u w:val="single"/>
        </w:rPr>
        <w:t>排放速率（kg/h）×排放时间（h）</w:t>
      </w:r>
    </w:p>
    <w:p>
      <w:pPr>
        <w:keepNext w:val="0"/>
        <w:keepLines w:val="0"/>
        <w:pageBreakBefore w:val="0"/>
        <w:widowControl/>
        <w:kinsoku/>
        <w:wordWrap/>
        <w:overflowPunct/>
        <w:topLinePunct w:val="0"/>
        <w:autoSpaceDE/>
        <w:autoSpaceDN/>
        <w:bidi w:val="0"/>
        <w:adjustRightInd/>
        <w:snapToGrid/>
        <w:spacing w:line="360" w:lineRule="auto"/>
        <w:ind w:firstLine="2409" w:firstLineChars="1000"/>
        <w:textAlignment w:val="auto"/>
        <w:rPr>
          <w:rFonts w:hint="eastAsia" w:cs="Times New Roman"/>
          <w:b/>
          <w:bCs/>
          <w:color w:val="auto"/>
          <w:sz w:val="24"/>
          <w:u w:val="single"/>
          <w:lang w:val="en-US" w:eastAsia="zh-CN"/>
        </w:rPr>
      </w:pPr>
      <w:r>
        <w:rPr>
          <w:rFonts w:hint="eastAsia" w:ascii="Times New Roman" w:hAnsi="Times New Roman" w:eastAsia="宋体" w:cs="Times New Roman"/>
          <w:b/>
          <w:bCs/>
          <w:color w:val="auto"/>
          <w:sz w:val="24"/>
          <w:u w:val="single"/>
        </w:rPr>
        <w:t>=0.</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221</w:t>
      </w:r>
      <w:r>
        <w:rPr>
          <w:rFonts w:hint="eastAsia" w:ascii="Times New Roman" w:hAnsi="Times New Roman" w:eastAsia="宋体" w:cs="Times New Roman"/>
          <w:b/>
          <w:bCs/>
          <w:color w:val="auto"/>
          <w:sz w:val="24"/>
          <w:u w:val="single"/>
        </w:rPr>
        <w:t>×</w:t>
      </w:r>
      <w:r>
        <w:rPr>
          <w:rFonts w:hint="eastAsia" w:cs="Times New Roman"/>
          <w:b/>
          <w:bCs/>
          <w:color w:val="auto"/>
          <w:sz w:val="24"/>
          <w:u w:val="single"/>
          <w:lang w:val="en-US" w:eastAsia="zh-CN"/>
        </w:rPr>
        <w:t>3300</w:t>
      </w:r>
    </w:p>
    <w:p>
      <w:pPr>
        <w:keepNext w:val="0"/>
        <w:keepLines w:val="0"/>
        <w:pageBreakBefore w:val="0"/>
        <w:widowControl/>
        <w:kinsoku/>
        <w:wordWrap/>
        <w:overflowPunct/>
        <w:topLinePunct w:val="0"/>
        <w:autoSpaceDE/>
        <w:autoSpaceDN/>
        <w:bidi w:val="0"/>
        <w:adjustRightInd/>
        <w:snapToGrid/>
        <w:spacing w:line="360" w:lineRule="auto"/>
        <w:ind w:firstLine="2409" w:firstLineChars="10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w:t>
      </w:r>
      <w:r>
        <w:rPr>
          <w:rFonts w:hint="eastAsia" w:cs="Times New Roman"/>
          <w:b/>
          <w:bCs/>
          <w:color w:val="auto"/>
          <w:sz w:val="24"/>
          <w:u w:val="single"/>
          <w:lang w:val="en-US" w:eastAsia="zh-CN"/>
        </w:rPr>
        <w:t>72.93</w:t>
      </w:r>
      <w:r>
        <w:rPr>
          <w:rFonts w:hint="eastAsia" w:ascii="Times New Roman" w:hAnsi="Times New Roman" w:eastAsia="宋体" w:cs="Times New Roman"/>
          <w:b/>
          <w:bCs/>
          <w:color w:val="auto"/>
          <w:sz w:val="24"/>
          <w:u w:val="single"/>
        </w:rPr>
        <w:t>kg/a=</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073</w:t>
      </w:r>
      <w:r>
        <w:rPr>
          <w:rFonts w:hint="eastAsia" w:ascii="Times New Roman" w:hAnsi="Times New Roman" w:eastAsia="宋体" w:cs="Times New Roman"/>
          <w:b/>
          <w:bCs/>
          <w:color w:val="auto"/>
          <w:sz w:val="24"/>
          <w:u w:val="single"/>
        </w:rPr>
        <w:t>t/a；</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u w:val="single"/>
        </w:rPr>
      </w:pPr>
      <w:r>
        <w:rPr>
          <w:rFonts w:hint="eastAsia" w:ascii="Times New Roman" w:hAnsi="Times New Roman" w:cs="Times New Roman"/>
          <w:b/>
          <w:bCs/>
          <w:color w:val="auto"/>
          <w:sz w:val="24"/>
          <w:u w:val="single"/>
          <w:lang w:eastAsia="zh-CN"/>
        </w:rPr>
        <w:t>烟尘</w:t>
      </w:r>
      <w:r>
        <w:rPr>
          <w:rFonts w:hint="eastAsia" w:cs="Times New Roman"/>
          <w:b/>
          <w:bCs/>
          <w:color w:val="auto"/>
          <w:sz w:val="24"/>
          <w:u w:val="single"/>
          <w:lang w:eastAsia="zh-CN"/>
        </w:rPr>
        <w:t>无</w:t>
      </w:r>
      <w:r>
        <w:rPr>
          <w:rFonts w:hint="eastAsia" w:ascii="Times New Roman" w:hAnsi="Times New Roman" w:cs="Times New Roman"/>
          <w:b/>
          <w:bCs/>
          <w:color w:val="auto"/>
          <w:sz w:val="24"/>
          <w:u w:val="single"/>
          <w:lang w:eastAsia="zh-CN"/>
        </w:rPr>
        <w:t>组织排放量</w:t>
      </w:r>
      <w:r>
        <w:rPr>
          <w:rFonts w:hint="eastAsia" w:ascii="Times New Roman" w:hAnsi="Times New Roman" w:cs="Times New Roman"/>
          <w:b/>
          <w:bCs/>
          <w:color w:val="auto"/>
          <w:sz w:val="24"/>
          <w:u w:val="single"/>
          <w:lang w:val="en-US" w:eastAsia="zh-CN"/>
        </w:rPr>
        <w:t>=</w:t>
      </w:r>
      <w:r>
        <w:rPr>
          <w:rFonts w:hint="eastAsia" w:ascii="Times New Roman" w:hAnsi="Times New Roman" w:eastAsia="宋体" w:cs="Times New Roman"/>
          <w:b/>
          <w:bCs/>
          <w:color w:val="auto"/>
          <w:sz w:val="24"/>
          <w:u w:val="single"/>
        </w:rPr>
        <w:t>排放速率（kg/h）×排放时间（h）</w:t>
      </w:r>
    </w:p>
    <w:p>
      <w:pPr>
        <w:keepNext w:val="0"/>
        <w:keepLines w:val="0"/>
        <w:pageBreakBefore w:val="0"/>
        <w:widowControl/>
        <w:kinsoku/>
        <w:wordWrap/>
        <w:overflowPunct/>
        <w:topLinePunct w:val="0"/>
        <w:autoSpaceDE/>
        <w:autoSpaceDN/>
        <w:bidi w:val="0"/>
        <w:adjustRightInd/>
        <w:snapToGrid/>
        <w:spacing w:line="360" w:lineRule="auto"/>
        <w:ind w:firstLine="2409" w:firstLineChars="1000"/>
        <w:textAlignment w:val="auto"/>
        <w:rPr>
          <w:rFonts w:hint="eastAsia" w:cs="Times New Roman"/>
          <w:b/>
          <w:bCs/>
          <w:color w:val="auto"/>
          <w:sz w:val="24"/>
          <w:u w:val="single"/>
          <w:lang w:val="en-US" w:eastAsia="zh-CN"/>
        </w:rPr>
      </w:pPr>
      <w:r>
        <w:rPr>
          <w:rFonts w:hint="eastAsia" w:ascii="Times New Roman" w:hAnsi="Times New Roman" w:eastAsia="宋体" w:cs="Times New Roman"/>
          <w:b/>
          <w:bCs/>
          <w:color w:val="auto"/>
          <w:sz w:val="24"/>
          <w:u w:val="single"/>
        </w:rPr>
        <w:t>=0.</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492</w:t>
      </w:r>
      <w:r>
        <w:rPr>
          <w:rFonts w:hint="eastAsia" w:ascii="Times New Roman" w:hAnsi="Times New Roman" w:eastAsia="宋体" w:cs="Times New Roman"/>
          <w:b/>
          <w:bCs/>
          <w:color w:val="auto"/>
          <w:sz w:val="24"/>
          <w:u w:val="single"/>
        </w:rPr>
        <w:t>×</w:t>
      </w:r>
      <w:r>
        <w:rPr>
          <w:rFonts w:hint="eastAsia" w:cs="Times New Roman"/>
          <w:b/>
          <w:bCs/>
          <w:color w:val="auto"/>
          <w:sz w:val="24"/>
          <w:u w:val="single"/>
          <w:lang w:val="en-US" w:eastAsia="zh-CN"/>
        </w:rPr>
        <w:t>3300</w:t>
      </w:r>
    </w:p>
    <w:p>
      <w:pPr>
        <w:keepNext w:val="0"/>
        <w:keepLines w:val="0"/>
        <w:pageBreakBefore w:val="0"/>
        <w:widowControl/>
        <w:kinsoku/>
        <w:wordWrap/>
        <w:overflowPunct/>
        <w:topLinePunct w:val="0"/>
        <w:autoSpaceDE/>
        <w:autoSpaceDN/>
        <w:bidi w:val="0"/>
        <w:adjustRightInd/>
        <w:snapToGrid/>
        <w:spacing w:line="360" w:lineRule="auto"/>
        <w:ind w:firstLine="2409" w:firstLineChars="1000"/>
        <w:textAlignment w:val="auto"/>
        <w:rPr>
          <w:rFonts w:hint="eastAsia" w:ascii="Times New Roman" w:hAnsi="Times New Roman" w:eastAsia="宋体" w:cs="Times New Roman"/>
          <w:b/>
          <w:bCs/>
          <w:color w:val="auto"/>
          <w:sz w:val="24"/>
          <w:u w:val="single"/>
        </w:rPr>
      </w:pPr>
      <w:r>
        <w:rPr>
          <w:rFonts w:hint="eastAsia" w:ascii="Times New Roman" w:hAnsi="Times New Roman" w:eastAsia="宋体" w:cs="Times New Roman"/>
          <w:b/>
          <w:bCs/>
          <w:color w:val="auto"/>
          <w:sz w:val="24"/>
          <w:u w:val="single"/>
        </w:rPr>
        <w:t>=</w:t>
      </w:r>
      <w:r>
        <w:rPr>
          <w:rFonts w:hint="eastAsia" w:cs="Times New Roman"/>
          <w:b/>
          <w:bCs/>
          <w:color w:val="auto"/>
          <w:sz w:val="24"/>
          <w:u w:val="single"/>
          <w:lang w:val="en-US" w:eastAsia="zh-CN"/>
        </w:rPr>
        <w:t>162.36</w:t>
      </w:r>
      <w:r>
        <w:rPr>
          <w:rFonts w:hint="eastAsia" w:ascii="Times New Roman" w:hAnsi="Times New Roman" w:eastAsia="宋体" w:cs="Times New Roman"/>
          <w:b/>
          <w:bCs/>
          <w:color w:val="auto"/>
          <w:sz w:val="24"/>
          <w:u w:val="single"/>
        </w:rPr>
        <w:t>kg/a=</w:t>
      </w:r>
      <w:r>
        <w:rPr>
          <w:rFonts w:hint="eastAsia" w:ascii="Times New Roman" w:hAnsi="Times New Roman" w:eastAsia="宋体" w:cs="Times New Roman"/>
          <w:b/>
          <w:bCs/>
          <w:color w:val="auto"/>
          <w:sz w:val="24"/>
          <w:u w:val="single"/>
          <w:lang w:val="en-US" w:eastAsia="zh-CN"/>
        </w:rPr>
        <w:t>0.</w:t>
      </w:r>
      <w:r>
        <w:rPr>
          <w:rFonts w:hint="eastAsia" w:cs="Times New Roman"/>
          <w:b/>
          <w:bCs/>
          <w:color w:val="auto"/>
          <w:sz w:val="24"/>
          <w:u w:val="single"/>
          <w:lang w:val="en-US" w:eastAsia="zh-CN"/>
        </w:rPr>
        <w:t>162</w:t>
      </w:r>
      <w:r>
        <w:rPr>
          <w:rFonts w:hint="eastAsia" w:ascii="Times New Roman" w:hAnsi="Times New Roman" w:eastAsia="宋体" w:cs="Times New Roman"/>
          <w:b/>
          <w:bCs/>
          <w:color w:val="auto"/>
          <w:sz w:val="24"/>
          <w:u w:val="single"/>
        </w:rPr>
        <w:t>t/a；</w:t>
      </w:r>
    </w:p>
    <w:p>
      <w:pPr>
        <w:pStyle w:val="43"/>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Times New Roman" w:hAnsi="Times New Roman" w:cs="Times New Roman"/>
          <w:b/>
          <w:bCs/>
          <w:color w:val="auto"/>
          <w:sz w:val="24"/>
          <w:u w:val="single"/>
          <w:lang w:val="en-US" w:eastAsia="zh-CN"/>
        </w:rPr>
      </w:pPr>
      <w:r>
        <w:rPr>
          <w:rFonts w:hint="eastAsia" w:ascii="Times New Roman" w:hAnsi="Times New Roman" w:cs="Times New Roman"/>
          <w:b/>
          <w:bCs/>
          <w:color w:val="auto"/>
          <w:sz w:val="24"/>
          <w:u w:val="none"/>
          <w:lang w:val="en-US" w:eastAsia="zh-CN"/>
        </w:rPr>
        <w:t xml:space="preserve">    </w:t>
      </w:r>
      <w:r>
        <w:rPr>
          <w:rFonts w:hint="eastAsia" w:ascii="Times New Roman" w:hAnsi="Times New Roman" w:cs="Times New Roman"/>
          <w:b/>
          <w:bCs/>
          <w:color w:val="auto"/>
          <w:sz w:val="24"/>
          <w:u w:val="single"/>
          <w:lang w:val="en-US" w:eastAsia="zh-CN"/>
        </w:rPr>
        <w:t>颗粒物总排放量=0.225+0.073+0.162=0.460t/a。</w:t>
      </w:r>
    </w:p>
    <w:p>
      <w:pPr>
        <w:pStyle w:val="43"/>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u w:val="single"/>
          <w:vertAlign w:val="baseline"/>
          <w:lang w:val="en-US" w:eastAsia="zh-CN"/>
        </w:rPr>
      </w:pPr>
      <w:r>
        <w:rPr>
          <w:rFonts w:hint="eastAsia" w:ascii="Times New Roman" w:hAnsi="Times New Roman" w:cs="Times New Roman"/>
          <w:b/>
          <w:bCs/>
          <w:color w:val="auto"/>
          <w:sz w:val="24"/>
          <w:u w:val="single"/>
          <w:lang w:val="en-US" w:eastAsia="zh-CN"/>
        </w:rPr>
        <w:t>综上所述，本项目大气污染物总量控制指标为：</w:t>
      </w:r>
      <w:r>
        <w:rPr>
          <w:rFonts w:hint="eastAsia" w:ascii="Times New Roman" w:hAnsi="Times New Roman" w:eastAsia="宋体" w:cs="Times New Roman"/>
          <w:b/>
          <w:bCs/>
          <w:color w:val="auto"/>
          <w:sz w:val="24"/>
          <w:u w:val="single"/>
        </w:rPr>
        <w:t>NOx</w:t>
      </w:r>
      <w:r>
        <w:rPr>
          <w:rFonts w:hint="eastAsia" w:ascii="Times New Roman" w:hAnsi="Times New Roman" w:cs="Times New Roman"/>
          <w:b/>
          <w:bCs/>
          <w:color w:val="auto"/>
          <w:sz w:val="24"/>
          <w:u w:val="single"/>
          <w:lang w:val="en-US" w:eastAsia="zh-CN"/>
        </w:rPr>
        <w:t xml:space="preserve"> 1.316t/a、SO</w:t>
      </w:r>
      <w:r>
        <w:rPr>
          <w:rFonts w:hint="eastAsia" w:ascii="Times New Roman" w:hAnsi="Times New Roman" w:cs="Times New Roman"/>
          <w:b/>
          <w:bCs/>
          <w:color w:val="auto"/>
          <w:sz w:val="24"/>
          <w:u w:val="single"/>
          <w:vertAlign w:val="subscript"/>
          <w:lang w:val="en-US" w:eastAsia="zh-CN"/>
        </w:rPr>
        <w:t>2</w:t>
      </w:r>
      <w:r>
        <w:rPr>
          <w:rFonts w:hint="eastAsia" w:ascii="Times New Roman" w:hAnsi="Times New Roman" w:cs="Times New Roman"/>
          <w:b/>
          <w:bCs/>
          <w:color w:val="auto"/>
          <w:sz w:val="24"/>
          <w:u w:val="single"/>
          <w:vertAlign w:val="baseline"/>
          <w:lang w:val="en-US" w:eastAsia="zh-CN"/>
        </w:rPr>
        <w:t xml:space="preserve"> 0.435t/a、颗粒物 0.460t/a。</w:t>
      </w:r>
    </w:p>
    <w:p>
      <w:pPr>
        <w:pStyle w:val="5"/>
        <w:bidi w:val="0"/>
        <w:rPr>
          <w:rFonts w:hint="eastAsia"/>
          <w:b/>
          <w:bCs w:val="0"/>
          <w:u w:val="single"/>
          <w:lang w:val="en-US" w:eastAsia="zh-CN"/>
        </w:rPr>
      </w:pPr>
      <w:r>
        <w:rPr>
          <w:rFonts w:hint="eastAsia"/>
          <w:b/>
          <w:bCs w:val="0"/>
          <w:u w:val="single"/>
          <w:lang w:val="en-US" w:eastAsia="zh-CN"/>
        </w:rPr>
        <w:t xml:space="preserve">  3.7.2废水污染物总量控制指标</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b/>
          <w:bCs/>
          <w:color w:val="auto"/>
          <w:sz w:val="24"/>
          <w:u w:val="single"/>
        </w:rPr>
      </w:pPr>
      <w:r>
        <w:rPr>
          <w:rFonts w:hint="eastAsia"/>
          <w:b/>
          <w:bCs/>
          <w:color w:val="auto"/>
          <w:sz w:val="24"/>
          <w:u w:val="single"/>
        </w:rPr>
        <w:t>（1）本工程</w:t>
      </w:r>
      <w:r>
        <w:rPr>
          <w:rFonts w:hint="eastAsia"/>
          <w:b/>
          <w:bCs/>
          <w:color w:val="auto"/>
          <w:sz w:val="24"/>
          <w:u w:val="single"/>
          <w:lang w:val="en-US" w:eastAsia="zh-CN"/>
        </w:rPr>
        <w:t>总排口</w:t>
      </w:r>
      <w:r>
        <w:rPr>
          <w:rFonts w:hint="eastAsia"/>
          <w:b/>
          <w:bCs/>
          <w:color w:val="auto"/>
          <w:sz w:val="24"/>
          <w:u w:val="single"/>
        </w:rPr>
        <w:t>总量排放情况</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rFonts w:hint="eastAsia"/>
          <w:b/>
          <w:bCs/>
          <w:color w:val="auto"/>
          <w:sz w:val="24"/>
          <w:u w:val="single"/>
        </w:rPr>
        <w:t>废水排放量</w:t>
      </w:r>
      <w:r>
        <w:rPr>
          <w:b/>
          <w:bCs/>
          <w:color w:val="auto"/>
          <w:sz w:val="24"/>
          <w:u w:val="single"/>
        </w:rPr>
        <w:t>=</w:t>
      </w:r>
      <w:r>
        <w:rPr>
          <w:rFonts w:hint="eastAsia"/>
          <w:b/>
          <w:bCs/>
          <w:color w:val="auto"/>
          <w:sz w:val="24"/>
          <w:u w:val="single"/>
        </w:rPr>
        <w:t>日排水量（</w:t>
      </w:r>
      <w:r>
        <w:rPr>
          <w:b/>
          <w:bCs/>
          <w:color w:val="auto"/>
          <w:sz w:val="24"/>
          <w:u w:val="single"/>
        </w:rPr>
        <w:t>m</w:t>
      </w:r>
      <w:r>
        <w:rPr>
          <w:b/>
          <w:bCs/>
          <w:color w:val="auto"/>
          <w:sz w:val="24"/>
          <w:u w:val="single"/>
          <w:vertAlign w:val="superscript"/>
        </w:rPr>
        <w:t>3</w:t>
      </w:r>
      <w:r>
        <w:rPr>
          <w:b/>
          <w:bCs/>
          <w:color w:val="auto"/>
          <w:sz w:val="24"/>
          <w:u w:val="single"/>
        </w:rPr>
        <w:t>/d</w:t>
      </w:r>
      <w:r>
        <w:rPr>
          <w:rFonts w:hint="eastAsia"/>
          <w:b/>
          <w:bCs/>
          <w:color w:val="auto"/>
          <w:sz w:val="24"/>
          <w:u w:val="single"/>
        </w:rPr>
        <w:t>）×工作天数（</w:t>
      </w:r>
      <w:r>
        <w:rPr>
          <w:b/>
          <w:bCs/>
          <w:color w:val="auto"/>
          <w:sz w:val="24"/>
          <w:u w:val="single"/>
        </w:rPr>
        <w:t>d</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1677" w:firstLineChars="696"/>
        <w:textAlignment w:val="auto"/>
        <w:rPr>
          <w:b/>
          <w:bCs/>
          <w:color w:val="auto"/>
          <w:sz w:val="24"/>
          <w:u w:val="single"/>
        </w:rPr>
      </w:pPr>
      <w:r>
        <w:rPr>
          <w:b/>
          <w:bCs/>
          <w:color w:val="auto"/>
          <w:sz w:val="24"/>
          <w:u w:val="single"/>
        </w:rPr>
        <w:t>=</w:t>
      </w:r>
      <w:r>
        <w:rPr>
          <w:rFonts w:hint="eastAsia"/>
          <w:b/>
          <w:bCs/>
          <w:color w:val="auto"/>
          <w:sz w:val="24"/>
          <w:u w:val="single"/>
        </w:rPr>
        <w:t>39.5063</w:t>
      </w:r>
      <w:r>
        <w:rPr>
          <w:b/>
          <w:bCs/>
          <w:color w:val="auto"/>
          <w:sz w:val="24"/>
          <w:u w:val="single"/>
        </w:rPr>
        <w:t>m</w:t>
      </w:r>
      <w:r>
        <w:rPr>
          <w:b/>
          <w:bCs/>
          <w:color w:val="auto"/>
          <w:sz w:val="24"/>
          <w:u w:val="single"/>
          <w:vertAlign w:val="superscript"/>
        </w:rPr>
        <w:t>3</w:t>
      </w:r>
      <w:r>
        <w:rPr>
          <w:b/>
          <w:bCs/>
          <w:color w:val="auto"/>
          <w:sz w:val="24"/>
          <w:u w:val="single"/>
        </w:rPr>
        <w:t>/d</w:t>
      </w:r>
      <w:r>
        <w:rPr>
          <w:rFonts w:hint="eastAsia"/>
          <w:b/>
          <w:bCs/>
          <w:color w:val="auto"/>
          <w:sz w:val="24"/>
          <w:u w:val="single"/>
        </w:rPr>
        <w:t>×</w:t>
      </w:r>
      <w:r>
        <w:rPr>
          <w:b/>
          <w:bCs/>
          <w:color w:val="auto"/>
          <w:sz w:val="24"/>
          <w:u w:val="single"/>
        </w:rPr>
        <w:t>3</w:t>
      </w:r>
      <w:r>
        <w:rPr>
          <w:rFonts w:hint="eastAsia"/>
          <w:b/>
          <w:bCs/>
          <w:color w:val="auto"/>
          <w:sz w:val="24"/>
          <w:u w:val="single"/>
        </w:rPr>
        <w:t>30</w:t>
      </w:r>
      <w:r>
        <w:rPr>
          <w:b/>
          <w:bCs/>
          <w:color w:val="auto"/>
          <w:sz w:val="24"/>
          <w:u w:val="single"/>
        </w:rPr>
        <w:t>d =</w:t>
      </w:r>
      <w:r>
        <w:rPr>
          <w:rFonts w:hint="eastAsia"/>
          <w:b/>
          <w:bCs/>
          <w:color w:val="auto"/>
          <w:sz w:val="24"/>
          <w:u w:val="single"/>
        </w:rPr>
        <w:t>13037.079</w:t>
      </w:r>
      <w:r>
        <w:rPr>
          <w:b/>
          <w:bCs/>
          <w:color w:val="auto"/>
          <w:sz w:val="24"/>
          <w:u w:val="single"/>
        </w:rPr>
        <w:t>m</w:t>
      </w:r>
      <w:r>
        <w:rPr>
          <w:b/>
          <w:bCs/>
          <w:color w:val="auto"/>
          <w:sz w:val="24"/>
          <w:u w:val="single"/>
          <w:vertAlign w:val="superscript"/>
        </w:rPr>
        <w:t>3</w:t>
      </w:r>
      <w:r>
        <w:rPr>
          <w:b/>
          <w:bCs/>
          <w:color w:val="auto"/>
          <w:sz w:val="24"/>
          <w:u w:val="single"/>
        </w:rPr>
        <w:t>/a</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b/>
          <w:bCs/>
          <w:color w:val="auto"/>
          <w:sz w:val="24"/>
          <w:u w:val="single"/>
        </w:rPr>
      </w:pPr>
      <w:r>
        <w:rPr>
          <w:b/>
          <w:bCs/>
          <w:color w:val="auto"/>
          <w:sz w:val="24"/>
          <w:u w:val="single"/>
        </w:rPr>
        <w:t xml:space="preserve">COD </w:t>
      </w:r>
      <w:r>
        <w:rPr>
          <w:rFonts w:hint="eastAsia"/>
          <w:b/>
          <w:bCs/>
          <w:color w:val="auto"/>
          <w:sz w:val="24"/>
          <w:u w:val="single"/>
        </w:rPr>
        <w:t>排放量</w:t>
      </w:r>
      <w:r>
        <w:rPr>
          <w:b/>
          <w:bCs/>
          <w:color w:val="auto"/>
          <w:sz w:val="24"/>
          <w:u w:val="single"/>
        </w:rPr>
        <w:t>=</w:t>
      </w:r>
      <w:r>
        <w:rPr>
          <w:rFonts w:hint="eastAsia"/>
          <w:b/>
          <w:bCs/>
          <w:color w:val="auto"/>
          <w:sz w:val="24"/>
          <w:u w:val="single"/>
        </w:rPr>
        <w:t>废水量×浓度</w:t>
      </w:r>
    </w:p>
    <w:p>
      <w:pPr>
        <w:keepNext w:val="0"/>
        <w:keepLines w:val="0"/>
        <w:pageBreakBefore w:val="0"/>
        <w:widowControl/>
        <w:kinsoku/>
        <w:wordWrap/>
        <w:overflowPunct/>
        <w:topLinePunct w:val="0"/>
        <w:autoSpaceDE/>
        <w:autoSpaceDN/>
        <w:bidi w:val="0"/>
        <w:adjustRightInd/>
        <w:snapToGrid/>
        <w:spacing w:line="360" w:lineRule="auto"/>
        <w:ind w:firstLine="1928" w:firstLineChars="800"/>
        <w:textAlignment w:val="auto"/>
        <w:rPr>
          <w:b/>
          <w:bCs/>
          <w:color w:val="auto"/>
          <w:sz w:val="24"/>
          <w:u w:val="single"/>
        </w:rPr>
      </w:pPr>
      <w:r>
        <w:rPr>
          <w:b/>
          <w:bCs/>
          <w:color w:val="auto"/>
          <w:sz w:val="24"/>
          <w:u w:val="single"/>
        </w:rPr>
        <w:t>=</w:t>
      </w:r>
      <w:r>
        <w:rPr>
          <w:rFonts w:hint="eastAsia"/>
          <w:b/>
          <w:bCs/>
          <w:color w:val="auto"/>
          <w:sz w:val="24"/>
          <w:u w:val="single"/>
        </w:rPr>
        <w:t>13037.079</w:t>
      </w:r>
      <w:r>
        <w:rPr>
          <w:b/>
          <w:bCs/>
          <w:color w:val="auto"/>
          <w:sz w:val="24"/>
          <w:u w:val="single"/>
        </w:rPr>
        <w:t>m</w:t>
      </w:r>
      <w:r>
        <w:rPr>
          <w:b/>
          <w:bCs/>
          <w:color w:val="auto"/>
          <w:sz w:val="24"/>
          <w:u w:val="single"/>
          <w:vertAlign w:val="superscript"/>
        </w:rPr>
        <w:t>3</w:t>
      </w:r>
      <w:r>
        <w:rPr>
          <w:b/>
          <w:bCs/>
          <w:color w:val="auto"/>
          <w:sz w:val="24"/>
          <w:u w:val="single"/>
        </w:rPr>
        <w:t>/d</w:t>
      </w:r>
      <w:r>
        <w:rPr>
          <w:rFonts w:hint="eastAsia"/>
          <w:b/>
          <w:bCs/>
          <w:color w:val="auto"/>
          <w:sz w:val="24"/>
          <w:u w:val="single"/>
        </w:rPr>
        <w:t>×70.85</w:t>
      </w:r>
      <w:r>
        <w:rPr>
          <w:b/>
          <w:bCs/>
          <w:color w:val="auto"/>
          <w:sz w:val="24"/>
          <w:u w:val="single"/>
        </w:rPr>
        <w:t>mg/L</w:t>
      </w:r>
      <w:r>
        <w:rPr>
          <w:rFonts w:hint="eastAsia"/>
          <w:b/>
          <w:bCs/>
          <w:color w:val="auto"/>
          <w:sz w:val="24"/>
          <w:u w:val="single"/>
        </w:rPr>
        <w:t>×</w:t>
      </w:r>
      <w:r>
        <w:rPr>
          <w:b/>
          <w:bCs/>
          <w:color w:val="auto"/>
          <w:sz w:val="24"/>
          <w:u w:val="single"/>
        </w:rPr>
        <w:t>10</w:t>
      </w:r>
      <w:r>
        <w:rPr>
          <w:b/>
          <w:bCs/>
          <w:color w:val="auto"/>
          <w:sz w:val="24"/>
          <w:u w:val="single"/>
          <w:vertAlign w:val="superscript"/>
        </w:rPr>
        <w:t>-6</w:t>
      </w:r>
      <w:r>
        <w:rPr>
          <w:b/>
          <w:bCs/>
          <w:color w:val="auto"/>
          <w:sz w:val="24"/>
          <w:u w:val="single"/>
        </w:rPr>
        <w:t>=0</w:t>
      </w:r>
      <w:r>
        <w:rPr>
          <w:rFonts w:hint="eastAsia"/>
          <w:b/>
          <w:bCs/>
          <w:color w:val="auto"/>
          <w:sz w:val="24"/>
          <w:u w:val="single"/>
        </w:rPr>
        <w:t>.924</w:t>
      </w:r>
      <w:r>
        <w:rPr>
          <w:b/>
          <w:bCs/>
          <w:color w:val="auto"/>
          <w:sz w:val="24"/>
          <w:u w:val="single"/>
        </w:rPr>
        <w:t>t/a</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rFonts w:hint="eastAsia"/>
          <w:b/>
          <w:bCs/>
          <w:color w:val="auto"/>
          <w:sz w:val="24"/>
          <w:u w:val="single"/>
        </w:rPr>
        <w:t>氨氮排放量</w:t>
      </w:r>
      <w:r>
        <w:rPr>
          <w:b/>
          <w:bCs/>
          <w:color w:val="auto"/>
          <w:sz w:val="24"/>
          <w:u w:val="single"/>
        </w:rPr>
        <w:t>=</w:t>
      </w:r>
      <w:r>
        <w:rPr>
          <w:rFonts w:hint="eastAsia"/>
          <w:b/>
          <w:bCs/>
          <w:color w:val="auto"/>
          <w:sz w:val="24"/>
          <w:u w:val="single"/>
        </w:rPr>
        <w:t>废水量×浓度</w:t>
      </w:r>
    </w:p>
    <w:p>
      <w:pPr>
        <w:keepNext w:val="0"/>
        <w:keepLines w:val="0"/>
        <w:pageBreakBefore w:val="0"/>
        <w:widowControl/>
        <w:kinsoku/>
        <w:wordWrap/>
        <w:overflowPunct/>
        <w:topLinePunct w:val="0"/>
        <w:autoSpaceDE/>
        <w:autoSpaceDN/>
        <w:bidi w:val="0"/>
        <w:adjustRightInd/>
        <w:snapToGrid/>
        <w:spacing w:line="360" w:lineRule="auto"/>
        <w:ind w:firstLine="1687" w:firstLineChars="700"/>
        <w:textAlignment w:val="auto"/>
        <w:rPr>
          <w:b/>
          <w:bCs/>
          <w:color w:val="auto"/>
          <w:sz w:val="24"/>
          <w:u w:val="single"/>
        </w:rPr>
      </w:pPr>
      <w:r>
        <w:rPr>
          <w:b/>
          <w:bCs/>
          <w:color w:val="auto"/>
          <w:sz w:val="24"/>
          <w:u w:val="single"/>
        </w:rPr>
        <w:t>=</w:t>
      </w:r>
      <w:r>
        <w:rPr>
          <w:rFonts w:hint="eastAsia"/>
          <w:b/>
          <w:bCs/>
          <w:color w:val="auto"/>
          <w:sz w:val="24"/>
          <w:u w:val="single"/>
        </w:rPr>
        <w:t>13037.079</w:t>
      </w:r>
      <w:r>
        <w:rPr>
          <w:b/>
          <w:bCs/>
          <w:color w:val="auto"/>
          <w:sz w:val="24"/>
          <w:u w:val="single"/>
        </w:rPr>
        <w:t>m</w:t>
      </w:r>
      <w:r>
        <w:rPr>
          <w:b/>
          <w:bCs/>
          <w:color w:val="auto"/>
          <w:sz w:val="24"/>
          <w:u w:val="single"/>
          <w:vertAlign w:val="superscript"/>
        </w:rPr>
        <w:t>3</w:t>
      </w:r>
      <w:r>
        <w:rPr>
          <w:b/>
          <w:bCs/>
          <w:color w:val="auto"/>
          <w:sz w:val="24"/>
          <w:u w:val="single"/>
        </w:rPr>
        <w:t>/d</w:t>
      </w:r>
      <w:r>
        <w:rPr>
          <w:rFonts w:hint="eastAsia"/>
          <w:b/>
          <w:bCs/>
          <w:color w:val="auto"/>
          <w:sz w:val="24"/>
          <w:u w:val="single"/>
        </w:rPr>
        <w:t>×3.42</w:t>
      </w:r>
      <w:r>
        <w:rPr>
          <w:b/>
          <w:bCs/>
          <w:color w:val="auto"/>
          <w:sz w:val="24"/>
          <w:u w:val="single"/>
        </w:rPr>
        <w:t>mg/L</w:t>
      </w:r>
      <w:r>
        <w:rPr>
          <w:rFonts w:hint="eastAsia"/>
          <w:b/>
          <w:bCs/>
          <w:color w:val="auto"/>
          <w:sz w:val="24"/>
          <w:u w:val="single"/>
        </w:rPr>
        <w:t>×</w:t>
      </w:r>
      <w:r>
        <w:rPr>
          <w:b/>
          <w:bCs/>
          <w:color w:val="auto"/>
          <w:sz w:val="24"/>
          <w:u w:val="single"/>
        </w:rPr>
        <w:t>10</w:t>
      </w:r>
      <w:r>
        <w:rPr>
          <w:b/>
          <w:bCs/>
          <w:color w:val="auto"/>
          <w:sz w:val="24"/>
          <w:u w:val="single"/>
          <w:vertAlign w:val="superscript"/>
        </w:rPr>
        <w:t>-6</w:t>
      </w:r>
      <w:r>
        <w:rPr>
          <w:b/>
          <w:bCs/>
          <w:color w:val="auto"/>
          <w:sz w:val="24"/>
          <w:u w:val="single"/>
        </w:rPr>
        <w:t>=0</w:t>
      </w:r>
      <w:r>
        <w:rPr>
          <w:rFonts w:hint="eastAsia"/>
          <w:b/>
          <w:bCs/>
          <w:color w:val="auto"/>
          <w:sz w:val="24"/>
          <w:u w:val="single"/>
        </w:rPr>
        <w:t>.045</w:t>
      </w:r>
      <w:r>
        <w:rPr>
          <w:b/>
          <w:bCs/>
          <w:color w:val="auto"/>
          <w:sz w:val="24"/>
          <w:u w:val="single"/>
        </w:rPr>
        <w:t>t/a</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b/>
          <w:bCs/>
          <w:color w:val="auto"/>
          <w:sz w:val="24"/>
          <w:u w:val="single"/>
        </w:rPr>
      </w:pPr>
      <w:r>
        <w:rPr>
          <w:rFonts w:hint="eastAsia"/>
          <w:b/>
          <w:bCs/>
          <w:color w:val="auto"/>
          <w:sz w:val="24"/>
          <w:u w:val="single"/>
        </w:rPr>
        <w:t>（2）本工程</w:t>
      </w:r>
      <w:r>
        <w:rPr>
          <w:rFonts w:hint="eastAsia"/>
          <w:b/>
          <w:bCs/>
          <w:color w:val="auto"/>
          <w:sz w:val="24"/>
          <w:u w:val="single"/>
          <w:lang w:val="en-US" w:eastAsia="zh-CN"/>
        </w:rPr>
        <w:t>排入</w:t>
      </w:r>
      <w:r>
        <w:rPr>
          <w:rFonts w:hint="eastAsia"/>
          <w:b/>
          <w:bCs/>
          <w:color w:val="auto"/>
          <w:sz w:val="24"/>
          <w:u w:val="single"/>
        </w:rPr>
        <w:t>外环境总量</w:t>
      </w:r>
      <w:r>
        <w:rPr>
          <w:rFonts w:hint="eastAsia"/>
          <w:b/>
          <w:bCs/>
          <w:color w:val="auto"/>
          <w:sz w:val="24"/>
          <w:u w:val="single"/>
          <w:lang w:val="en-US" w:eastAsia="zh-CN"/>
        </w:rPr>
        <w:t>控制</w:t>
      </w:r>
      <w:r>
        <w:rPr>
          <w:rFonts w:hint="eastAsia"/>
          <w:b/>
          <w:bCs/>
          <w:color w:val="auto"/>
          <w:sz w:val="24"/>
          <w:u w:val="single"/>
        </w:rPr>
        <w:t>情况【</w:t>
      </w:r>
      <w:r>
        <w:rPr>
          <w:rFonts w:hint="eastAsia"/>
          <w:b/>
          <w:bCs/>
          <w:color w:val="auto"/>
          <w:sz w:val="24"/>
          <w:u w:val="single"/>
          <w:lang w:eastAsia="zh-CN"/>
        </w:rPr>
        <w:t>按同盟污水处理厂出水指标</w:t>
      </w:r>
      <w:r>
        <w:rPr>
          <w:b/>
          <w:bCs/>
          <w:color w:val="auto"/>
          <w:kern w:val="0"/>
          <w:sz w:val="24"/>
          <w:szCs w:val="20"/>
          <w:u w:val="single"/>
          <w:lang w:bidi="zh-CN"/>
        </w:rPr>
        <w:t>《地表水环境质量标准》（GB3838-2002）</w:t>
      </w:r>
      <w:r>
        <w:rPr>
          <w:b/>
          <w:bCs/>
          <w:color w:val="auto"/>
          <w:kern w:val="0"/>
          <w:sz w:val="24"/>
          <w:szCs w:val="20"/>
          <w:u w:val="single"/>
          <w:lang w:bidi="zh-CN"/>
        </w:rPr>
        <w:fldChar w:fldCharType="begin"/>
      </w:r>
      <w:r>
        <w:rPr>
          <w:b/>
          <w:bCs/>
          <w:color w:val="auto"/>
          <w:kern w:val="0"/>
          <w:sz w:val="24"/>
          <w:szCs w:val="20"/>
          <w:u w:val="single"/>
          <w:lang w:bidi="zh-CN"/>
        </w:rPr>
        <w:instrText xml:space="preserve"> = 4 \* ROMAN </w:instrText>
      </w:r>
      <w:r>
        <w:rPr>
          <w:b/>
          <w:bCs/>
          <w:color w:val="auto"/>
          <w:kern w:val="0"/>
          <w:sz w:val="24"/>
          <w:szCs w:val="20"/>
          <w:u w:val="single"/>
          <w:lang w:bidi="zh-CN"/>
        </w:rPr>
        <w:fldChar w:fldCharType="separate"/>
      </w:r>
      <w:r>
        <w:rPr>
          <w:b/>
          <w:bCs/>
          <w:color w:val="auto"/>
          <w:kern w:val="0"/>
          <w:sz w:val="24"/>
          <w:szCs w:val="20"/>
          <w:u w:val="single"/>
          <w:lang w:bidi="zh-CN"/>
        </w:rPr>
        <w:t>IV</w:t>
      </w:r>
      <w:r>
        <w:rPr>
          <w:b/>
          <w:bCs/>
          <w:color w:val="auto"/>
          <w:kern w:val="0"/>
          <w:sz w:val="24"/>
          <w:szCs w:val="20"/>
          <w:u w:val="single"/>
          <w:lang w:bidi="zh-CN"/>
        </w:rPr>
        <w:fldChar w:fldCharType="end"/>
      </w:r>
      <w:r>
        <w:rPr>
          <w:b/>
          <w:bCs/>
          <w:color w:val="auto"/>
          <w:kern w:val="0"/>
          <w:sz w:val="24"/>
          <w:szCs w:val="20"/>
          <w:u w:val="single"/>
          <w:lang w:bidi="zh-CN"/>
        </w:rPr>
        <w:t>类标准</w:t>
      </w:r>
      <w:r>
        <w:rPr>
          <w:rFonts w:hint="eastAsia"/>
          <w:b/>
          <w:bCs/>
          <w:color w:val="auto"/>
          <w:sz w:val="24"/>
          <w:u w:val="single"/>
        </w:rPr>
        <w:t>（</w:t>
      </w:r>
      <w:r>
        <w:rPr>
          <w:b/>
          <w:bCs/>
          <w:color w:val="auto"/>
          <w:sz w:val="24"/>
          <w:u w:val="single"/>
        </w:rPr>
        <w:t>COD</w:t>
      </w:r>
      <w:r>
        <w:rPr>
          <w:rFonts w:hint="eastAsia"/>
          <w:b/>
          <w:bCs/>
          <w:color w:val="auto"/>
          <w:sz w:val="24"/>
          <w:u w:val="single"/>
        </w:rPr>
        <w:t>30</w:t>
      </w:r>
      <w:r>
        <w:rPr>
          <w:b/>
          <w:bCs/>
          <w:color w:val="auto"/>
          <w:sz w:val="24"/>
          <w:u w:val="single"/>
        </w:rPr>
        <w:t>mg/L</w:t>
      </w:r>
      <w:r>
        <w:rPr>
          <w:rFonts w:hint="eastAsia"/>
          <w:b/>
          <w:bCs/>
          <w:color w:val="auto"/>
          <w:sz w:val="24"/>
          <w:u w:val="single"/>
        </w:rPr>
        <w:t>、</w:t>
      </w:r>
      <w:r>
        <w:rPr>
          <w:b/>
          <w:bCs/>
          <w:color w:val="auto"/>
          <w:sz w:val="24"/>
          <w:u w:val="single"/>
        </w:rPr>
        <w:t>NH</w:t>
      </w:r>
      <w:r>
        <w:rPr>
          <w:b/>
          <w:bCs/>
          <w:color w:val="auto"/>
          <w:sz w:val="24"/>
          <w:u w:val="single"/>
          <w:vertAlign w:val="subscript"/>
        </w:rPr>
        <w:t>3</w:t>
      </w:r>
      <w:r>
        <w:rPr>
          <w:b/>
          <w:bCs/>
          <w:color w:val="auto"/>
          <w:sz w:val="24"/>
          <w:u w:val="single"/>
        </w:rPr>
        <w:t>-N</w:t>
      </w:r>
      <w:r>
        <w:rPr>
          <w:rFonts w:hint="eastAsia"/>
          <w:b/>
          <w:bCs/>
          <w:color w:val="auto"/>
          <w:sz w:val="24"/>
          <w:u w:val="single"/>
        </w:rPr>
        <w:t>1.5</w:t>
      </w:r>
      <w:r>
        <w:rPr>
          <w:b/>
          <w:bCs/>
          <w:color w:val="auto"/>
          <w:sz w:val="24"/>
          <w:u w:val="single"/>
        </w:rPr>
        <w:t>mg/L</w:t>
      </w:r>
      <w:r>
        <w:rPr>
          <w:rFonts w:hint="eastAsia"/>
          <w:b/>
          <w:bCs/>
          <w:color w:val="auto"/>
          <w:sz w:val="24"/>
          <w:u w:val="single"/>
        </w:rPr>
        <w:t>）排放浓度</w:t>
      </w:r>
      <w:r>
        <w:rPr>
          <w:rFonts w:hint="eastAsia"/>
          <w:b/>
          <w:bCs/>
          <w:color w:val="auto"/>
          <w:sz w:val="24"/>
          <w:u w:val="single"/>
          <w:lang w:val="en-US" w:eastAsia="zh-CN"/>
        </w:rPr>
        <w:t>进行</w:t>
      </w:r>
      <w:r>
        <w:rPr>
          <w:rFonts w:hint="eastAsia"/>
          <w:b/>
          <w:bCs/>
          <w:color w:val="auto"/>
          <w:sz w:val="24"/>
          <w:u w:val="single"/>
        </w:rPr>
        <w:t>计算】：</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b/>
          <w:bCs/>
          <w:color w:val="auto"/>
          <w:sz w:val="24"/>
          <w:u w:val="single"/>
        </w:rPr>
        <w:t xml:space="preserve">COD </w:t>
      </w:r>
      <w:r>
        <w:rPr>
          <w:rFonts w:hint="eastAsia"/>
          <w:b/>
          <w:bCs/>
          <w:color w:val="auto"/>
          <w:sz w:val="24"/>
          <w:u w:val="single"/>
        </w:rPr>
        <w:t>排放量</w:t>
      </w:r>
      <w:r>
        <w:rPr>
          <w:b/>
          <w:bCs/>
          <w:color w:val="auto"/>
          <w:sz w:val="24"/>
          <w:u w:val="single"/>
        </w:rPr>
        <w:t>=</w:t>
      </w:r>
      <w:r>
        <w:rPr>
          <w:rFonts w:hint="eastAsia"/>
          <w:b/>
          <w:bCs/>
          <w:color w:val="auto"/>
          <w:sz w:val="24"/>
          <w:u w:val="single"/>
        </w:rPr>
        <w:t>废水量×浓度</w:t>
      </w:r>
    </w:p>
    <w:p>
      <w:pPr>
        <w:keepNext w:val="0"/>
        <w:keepLines w:val="0"/>
        <w:pageBreakBefore w:val="0"/>
        <w:widowControl/>
        <w:kinsoku/>
        <w:wordWrap/>
        <w:overflowPunct/>
        <w:topLinePunct w:val="0"/>
        <w:autoSpaceDE/>
        <w:autoSpaceDN/>
        <w:bidi w:val="0"/>
        <w:adjustRightInd/>
        <w:snapToGrid/>
        <w:spacing w:line="360" w:lineRule="auto"/>
        <w:ind w:firstLine="1918" w:firstLineChars="796"/>
        <w:textAlignment w:val="auto"/>
        <w:rPr>
          <w:b/>
          <w:bCs/>
          <w:color w:val="auto"/>
          <w:sz w:val="24"/>
          <w:u w:val="single"/>
        </w:rPr>
      </w:pPr>
      <w:r>
        <w:rPr>
          <w:b/>
          <w:bCs/>
          <w:color w:val="auto"/>
          <w:sz w:val="24"/>
          <w:u w:val="single"/>
        </w:rPr>
        <w:t>=</w:t>
      </w:r>
      <w:r>
        <w:rPr>
          <w:rFonts w:hint="eastAsia"/>
          <w:b/>
          <w:bCs/>
          <w:color w:val="auto"/>
          <w:sz w:val="24"/>
          <w:u w:val="single"/>
        </w:rPr>
        <w:t>13037.079</w:t>
      </w:r>
      <w:r>
        <w:rPr>
          <w:b/>
          <w:bCs/>
          <w:color w:val="auto"/>
          <w:sz w:val="24"/>
          <w:u w:val="single"/>
        </w:rPr>
        <w:t>m</w:t>
      </w:r>
      <w:r>
        <w:rPr>
          <w:b/>
          <w:bCs/>
          <w:color w:val="auto"/>
          <w:sz w:val="24"/>
          <w:u w:val="single"/>
          <w:vertAlign w:val="superscript"/>
        </w:rPr>
        <w:t>3</w:t>
      </w:r>
      <w:r>
        <w:rPr>
          <w:b/>
          <w:bCs/>
          <w:color w:val="auto"/>
          <w:sz w:val="24"/>
          <w:u w:val="single"/>
        </w:rPr>
        <w:t>/d</w:t>
      </w:r>
      <w:r>
        <w:rPr>
          <w:rFonts w:hint="eastAsia"/>
          <w:b/>
          <w:bCs/>
          <w:color w:val="auto"/>
          <w:sz w:val="24"/>
          <w:u w:val="single"/>
        </w:rPr>
        <w:t>×30</w:t>
      </w:r>
      <w:r>
        <w:rPr>
          <w:b/>
          <w:bCs/>
          <w:color w:val="auto"/>
          <w:sz w:val="24"/>
          <w:u w:val="single"/>
        </w:rPr>
        <w:t>mg/L</w:t>
      </w:r>
      <w:r>
        <w:rPr>
          <w:rFonts w:hint="eastAsia"/>
          <w:b/>
          <w:bCs/>
          <w:color w:val="auto"/>
          <w:sz w:val="24"/>
          <w:u w:val="single"/>
        </w:rPr>
        <w:t>×</w:t>
      </w:r>
      <w:r>
        <w:rPr>
          <w:b/>
          <w:bCs/>
          <w:color w:val="auto"/>
          <w:sz w:val="24"/>
          <w:u w:val="single"/>
        </w:rPr>
        <w:t>10</w:t>
      </w:r>
      <w:r>
        <w:rPr>
          <w:b/>
          <w:bCs/>
          <w:color w:val="auto"/>
          <w:sz w:val="24"/>
          <w:u w:val="single"/>
          <w:vertAlign w:val="superscript"/>
        </w:rPr>
        <w:t>-6</w:t>
      </w:r>
      <w:r>
        <w:rPr>
          <w:b/>
          <w:bCs/>
          <w:color w:val="auto"/>
          <w:sz w:val="24"/>
          <w:u w:val="single"/>
        </w:rPr>
        <w:t>=0</w:t>
      </w:r>
      <w:r>
        <w:rPr>
          <w:rFonts w:hint="eastAsia"/>
          <w:b/>
          <w:bCs/>
          <w:color w:val="auto"/>
          <w:sz w:val="24"/>
          <w:u w:val="single"/>
        </w:rPr>
        <w:t>.391</w:t>
      </w:r>
      <w:r>
        <w:rPr>
          <w:b/>
          <w:bCs/>
          <w:color w:val="auto"/>
          <w:sz w:val="24"/>
          <w:u w:val="single"/>
        </w:rPr>
        <w:t>t/a</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rFonts w:hint="eastAsia"/>
          <w:b/>
          <w:bCs/>
          <w:color w:val="auto"/>
          <w:sz w:val="24"/>
          <w:u w:val="single"/>
        </w:rPr>
        <w:t>氨氮排放量</w:t>
      </w:r>
      <w:r>
        <w:rPr>
          <w:b/>
          <w:bCs/>
          <w:color w:val="auto"/>
          <w:sz w:val="24"/>
          <w:u w:val="single"/>
        </w:rPr>
        <w:t>=</w:t>
      </w:r>
      <w:r>
        <w:rPr>
          <w:rFonts w:hint="eastAsia"/>
          <w:b/>
          <w:bCs/>
          <w:color w:val="auto"/>
          <w:sz w:val="24"/>
          <w:u w:val="single"/>
        </w:rPr>
        <w:t>废水量×浓度</w:t>
      </w:r>
    </w:p>
    <w:p>
      <w:pPr>
        <w:keepNext w:val="0"/>
        <w:keepLines w:val="0"/>
        <w:pageBreakBefore w:val="0"/>
        <w:widowControl/>
        <w:kinsoku/>
        <w:wordWrap/>
        <w:overflowPunct/>
        <w:topLinePunct w:val="0"/>
        <w:autoSpaceDE/>
        <w:autoSpaceDN/>
        <w:bidi w:val="0"/>
        <w:adjustRightInd/>
        <w:snapToGrid/>
        <w:spacing w:line="360" w:lineRule="auto"/>
        <w:ind w:firstLine="1677" w:firstLineChars="696"/>
        <w:textAlignment w:val="auto"/>
        <w:rPr>
          <w:rFonts w:hint="eastAsia"/>
          <w:b/>
          <w:bCs/>
          <w:color w:val="auto"/>
          <w:sz w:val="24"/>
          <w:u w:val="single"/>
        </w:rPr>
      </w:pPr>
      <w:r>
        <w:rPr>
          <w:b/>
          <w:bCs/>
          <w:color w:val="auto"/>
          <w:sz w:val="24"/>
          <w:u w:val="single"/>
        </w:rPr>
        <w:t>=</w:t>
      </w:r>
      <w:r>
        <w:rPr>
          <w:rFonts w:hint="eastAsia"/>
          <w:b/>
          <w:bCs/>
          <w:color w:val="auto"/>
          <w:sz w:val="24"/>
          <w:u w:val="single"/>
        </w:rPr>
        <w:t>13037.079</w:t>
      </w:r>
      <w:r>
        <w:rPr>
          <w:b/>
          <w:bCs/>
          <w:color w:val="auto"/>
          <w:sz w:val="24"/>
          <w:u w:val="single"/>
        </w:rPr>
        <w:t>m</w:t>
      </w:r>
      <w:r>
        <w:rPr>
          <w:b/>
          <w:bCs/>
          <w:color w:val="auto"/>
          <w:sz w:val="24"/>
          <w:u w:val="single"/>
          <w:vertAlign w:val="superscript"/>
        </w:rPr>
        <w:t>3</w:t>
      </w:r>
      <w:r>
        <w:rPr>
          <w:b/>
          <w:bCs/>
          <w:color w:val="auto"/>
          <w:sz w:val="24"/>
          <w:u w:val="single"/>
        </w:rPr>
        <w:t>/d</w:t>
      </w:r>
      <w:r>
        <w:rPr>
          <w:rFonts w:hint="eastAsia"/>
          <w:b/>
          <w:bCs/>
          <w:color w:val="auto"/>
          <w:sz w:val="24"/>
          <w:u w:val="single"/>
        </w:rPr>
        <w:t>×1.5</w:t>
      </w:r>
      <w:r>
        <w:rPr>
          <w:b/>
          <w:bCs/>
          <w:color w:val="auto"/>
          <w:sz w:val="24"/>
          <w:u w:val="single"/>
        </w:rPr>
        <w:t>mg/L</w:t>
      </w:r>
      <w:r>
        <w:rPr>
          <w:rFonts w:hint="eastAsia"/>
          <w:b/>
          <w:bCs/>
          <w:color w:val="auto"/>
          <w:sz w:val="24"/>
          <w:u w:val="single"/>
        </w:rPr>
        <w:t>×</w:t>
      </w:r>
      <w:r>
        <w:rPr>
          <w:b/>
          <w:bCs/>
          <w:color w:val="auto"/>
          <w:sz w:val="24"/>
          <w:u w:val="single"/>
        </w:rPr>
        <w:t>10</w:t>
      </w:r>
      <w:r>
        <w:rPr>
          <w:b/>
          <w:bCs/>
          <w:color w:val="auto"/>
          <w:sz w:val="24"/>
          <w:u w:val="single"/>
          <w:vertAlign w:val="superscript"/>
        </w:rPr>
        <w:t>-6</w:t>
      </w:r>
      <w:r>
        <w:rPr>
          <w:b/>
          <w:bCs/>
          <w:color w:val="auto"/>
          <w:sz w:val="24"/>
          <w:u w:val="single"/>
        </w:rPr>
        <w:t>=</w:t>
      </w:r>
      <w:r>
        <w:rPr>
          <w:rFonts w:hint="eastAsia"/>
          <w:b/>
          <w:bCs/>
          <w:color w:val="auto"/>
          <w:sz w:val="24"/>
          <w:u w:val="single"/>
        </w:rPr>
        <w:t>0.020</w:t>
      </w:r>
      <w:r>
        <w:rPr>
          <w:b/>
          <w:bCs/>
          <w:color w:val="auto"/>
          <w:sz w:val="24"/>
          <w:u w:val="single"/>
        </w:rPr>
        <w:t>t/a</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eastAsia"/>
          <w:b/>
          <w:bCs/>
          <w:color w:val="auto"/>
          <w:sz w:val="24"/>
          <w:u w:val="single"/>
        </w:rPr>
      </w:pPr>
      <w:r>
        <w:rPr>
          <w:rFonts w:hint="eastAsia"/>
          <w:b/>
          <w:bCs/>
          <w:color w:val="auto"/>
          <w:sz w:val="24"/>
          <w:u w:val="single"/>
          <w:lang w:eastAsia="zh-CN"/>
        </w:rPr>
        <w:t>（</w:t>
      </w:r>
      <w:r>
        <w:rPr>
          <w:rFonts w:hint="eastAsia"/>
          <w:b/>
          <w:bCs/>
          <w:color w:val="auto"/>
          <w:sz w:val="24"/>
          <w:u w:val="single"/>
          <w:lang w:val="en-US" w:eastAsia="zh-CN"/>
        </w:rPr>
        <w:t>3</w:t>
      </w:r>
      <w:r>
        <w:rPr>
          <w:rFonts w:hint="eastAsia"/>
          <w:b/>
          <w:bCs/>
          <w:color w:val="auto"/>
          <w:sz w:val="24"/>
          <w:u w:val="single"/>
          <w:lang w:eastAsia="zh-CN"/>
        </w:rPr>
        <w:t>）</w:t>
      </w:r>
      <w:r>
        <w:rPr>
          <w:rFonts w:hint="eastAsia"/>
          <w:b/>
          <w:bCs/>
          <w:color w:val="auto"/>
          <w:sz w:val="24"/>
          <w:u w:val="single"/>
        </w:rPr>
        <w:t>全厂总量控制指标</w:t>
      </w:r>
    </w:p>
    <w:p>
      <w:pPr>
        <w:pStyle w:val="43"/>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u w:val="single"/>
          <w:vertAlign w:val="baseline"/>
          <w:lang w:val="en-US" w:eastAsia="zh-CN"/>
        </w:rPr>
      </w:pPr>
      <w:r>
        <w:rPr>
          <w:b/>
          <w:bCs/>
          <w:color w:val="auto"/>
          <w:sz w:val="24"/>
          <w:u w:val="single"/>
        </w:rPr>
        <w:t>大气污染物总量控制</w:t>
      </w:r>
      <w:r>
        <w:rPr>
          <w:rFonts w:hint="eastAsia"/>
          <w:b/>
          <w:bCs/>
          <w:color w:val="auto"/>
          <w:sz w:val="24"/>
          <w:u w:val="single"/>
          <w:lang w:val="en-US" w:eastAsia="zh-CN"/>
        </w:rPr>
        <w:t>指标</w:t>
      </w:r>
      <w:r>
        <w:rPr>
          <w:b/>
          <w:bCs/>
          <w:color w:val="auto"/>
          <w:sz w:val="24"/>
          <w:u w:val="single"/>
        </w:rPr>
        <w:t>：</w:t>
      </w:r>
      <w:r>
        <w:rPr>
          <w:rFonts w:hint="eastAsia" w:ascii="Times New Roman" w:hAnsi="Times New Roman" w:eastAsia="宋体" w:cs="Times New Roman"/>
          <w:b/>
          <w:bCs/>
          <w:color w:val="auto"/>
          <w:sz w:val="24"/>
          <w:u w:val="single"/>
        </w:rPr>
        <w:t>NOx</w:t>
      </w:r>
      <w:r>
        <w:rPr>
          <w:rFonts w:hint="eastAsia" w:ascii="Times New Roman" w:hAnsi="Times New Roman" w:cs="Times New Roman"/>
          <w:b/>
          <w:bCs/>
          <w:color w:val="auto"/>
          <w:sz w:val="24"/>
          <w:u w:val="single"/>
          <w:lang w:val="en-US" w:eastAsia="zh-CN"/>
        </w:rPr>
        <w:t xml:space="preserve"> 1.316t/a、SO</w:t>
      </w:r>
      <w:r>
        <w:rPr>
          <w:rFonts w:hint="eastAsia" w:ascii="Times New Roman" w:hAnsi="Times New Roman" w:cs="Times New Roman"/>
          <w:b/>
          <w:bCs/>
          <w:color w:val="auto"/>
          <w:sz w:val="24"/>
          <w:u w:val="single"/>
          <w:vertAlign w:val="subscript"/>
          <w:lang w:val="en-US" w:eastAsia="zh-CN"/>
        </w:rPr>
        <w:t>2</w:t>
      </w:r>
      <w:r>
        <w:rPr>
          <w:rFonts w:hint="eastAsia" w:ascii="Times New Roman" w:hAnsi="Times New Roman" w:cs="Times New Roman"/>
          <w:b/>
          <w:bCs/>
          <w:color w:val="auto"/>
          <w:sz w:val="24"/>
          <w:u w:val="single"/>
          <w:vertAlign w:val="baseline"/>
          <w:lang w:val="en-US" w:eastAsia="zh-CN"/>
        </w:rPr>
        <w:t xml:space="preserve"> 0.435t/a、颗粒物 0.460t/a。</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rFonts w:hint="eastAsia"/>
          <w:b/>
          <w:bCs/>
          <w:color w:val="auto"/>
          <w:sz w:val="24"/>
          <w:u w:val="single"/>
        </w:rPr>
        <w:t>水污染物总量控制</w:t>
      </w:r>
      <w:r>
        <w:rPr>
          <w:rFonts w:hint="eastAsia"/>
          <w:b/>
          <w:bCs/>
          <w:color w:val="auto"/>
          <w:sz w:val="24"/>
          <w:u w:val="single"/>
          <w:lang w:val="en-US" w:eastAsia="zh-CN"/>
        </w:rPr>
        <w:t>指标</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rFonts w:hint="eastAsia"/>
          <w:b/>
          <w:bCs/>
          <w:color w:val="auto"/>
          <w:sz w:val="24"/>
          <w:u w:val="single"/>
        </w:rPr>
        <w:t>厂区总排口控制指标为</w:t>
      </w:r>
      <w:r>
        <w:rPr>
          <w:b/>
          <w:bCs/>
          <w:color w:val="auto"/>
          <w:sz w:val="24"/>
          <w:u w:val="single"/>
        </w:rPr>
        <w:t xml:space="preserve">COD </w:t>
      </w:r>
      <w:r>
        <w:rPr>
          <w:rFonts w:hint="eastAsia"/>
          <w:b/>
          <w:bCs/>
          <w:color w:val="auto"/>
          <w:sz w:val="24"/>
          <w:u w:val="single"/>
        </w:rPr>
        <w:t>0.924</w:t>
      </w:r>
      <w:r>
        <w:rPr>
          <w:b/>
          <w:bCs/>
          <w:color w:val="auto"/>
          <w:sz w:val="24"/>
          <w:u w:val="single"/>
        </w:rPr>
        <w:t>t/a、NH</w:t>
      </w:r>
      <w:r>
        <w:rPr>
          <w:b/>
          <w:bCs/>
          <w:color w:val="auto"/>
          <w:sz w:val="24"/>
          <w:u w:val="single"/>
          <w:vertAlign w:val="subscript"/>
        </w:rPr>
        <w:t>3</w:t>
      </w:r>
      <w:r>
        <w:rPr>
          <w:b/>
          <w:bCs/>
          <w:color w:val="auto"/>
          <w:sz w:val="24"/>
          <w:u w:val="single"/>
        </w:rPr>
        <w:t>-N</w:t>
      </w:r>
      <w:r>
        <w:rPr>
          <w:rFonts w:hint="eastAsia"/>
          <w:b/>
          <w:bCs/>
          <w:color w:val="auto"/>
          <w:sz w:val="24"/>
          <w:u w:val="single"/>
          <w:lang w:val="en-US" w:eastAsia="zh-CN"/>
        </w:rPr>
        <w:t xml:space="preserve"> </w:t>
      </w:r>
      <w:r>
        <w:rPr>
          <w:rFonts w:hint="eastAsia"/>
          <w:b/>
          <w:bCs/>
          <w:color w:val="auto"/>
          <w:sz w:val="24"/>
          <w:u w:val="single"/>
        </w:rPr>
        <w:t>0.045</w:t>
      </w:r>
      <w:r>
        <w:rPr>
          <w:b/>
          <w:bCs/>
          <w:color w:val="auto"/>
          <w:sz w:val="24"/>
          <w:u w:val="single"/>
        </w:rPr>
        <w:t>t/a</w:t>
      </w:r>
      <w:r>
        <w:rPr>
          <w:rFonts w:hint="eastAsia"/>
          <w:b/>
          <w:bCs/>
          <w:color w:val="auto"/>
          <w:sz w:val="24"/>
          <w:u w:val="single"/>
        </w:rPr>
        <w:t>。</w:t>
      </w:r>
    </w:p>
    <w:p>
      <w:pPr>
        <w:keepNext w:val="0"/>
        <w:keepLines w:val="0"/>
        <w:pageBreakBefore w:val="0"/>
        <w:widowControl/>
        <w:kinsoku/>
        <w:wordWrap/>
        <w:overflowPunct/>
        <w:topLinePunct w:val="0"/>
        <w:autoSpaceDE/>
        <w:autoSpaceDN/>
        <w:bidi w:val="0"/>
        <w:adjustRightInd/>
        <w:snapToGrid/>
        <w:spacing w:line="360" w:lineRule="auto"/>
        <w:ind w:firstLine="472" w:firstLineChars="196"/>
        <w:textAlignment w:val="auto"/>
        <w:rPr>
          <w:rFonts w:hint="eastAsia"/>
          <w:b/>
          <w:bCs/>
          <w:color w:val="auto"/>
          <w:sz w:val="24"/>
          <w:u w:val="single"/>
        </w:rPr>
      </w:pPr>
      <w:r>
        <w:rPr>
          <w:rFonts w:hint="eastAsia"/>
          <w:b/>
          <w:bCs/>
          <w:color w:val="auto"/>
          <w:sz w:val="24"/>
          <w:u w:val="single"/>
        </w:rPr>
        <w:t>通过同盟污水处理</w:t>
      </w:r>
      <w:r>
        <w:rPr>
          <w:rFonts w:hint="eastAsia"/>
          <w:b/>
          <w:bCs/>
          <w:color w:val="auto"/>
          <w:sz w:val="24"/>
          <w:u w:val="single"/>
          <w:lang w:val="en-US" w:eastAsia="zh-CN"/>
        </w:rPr>
        <w:t>厂</w:t>
      </w:r>
      <w:r>
        <w:rPr>
          <w:rFonts w:hint="eastAsia"/>
          <w:b/>
          <w:bCs/>
          <w:color w:val="auto"/>
          <w:sz w:val="24"/>
          <w:u w:val="single"/>
        </w:rPr>
        <w:t>处理后排入水环境污染物总量控制指标为</w:t>
      </w:r>
      <w:r>
        <w:rPr>
          <w:b/>
          <w:bCs/>
          <w:color w:val="auto"/>
          <w:sz w:val="24"/>
          <w:u w:val="single"/>
        </w:rPr>
        <w:t>COD</w:t>
      </w:r>
      <w:r>
        <w:rPr>
          <w:rFonts w:hint="eastAsia"/>
          <w:b/>
          <w:bCs/>
          <w:color w:val="auto"/>
          <w:sz w:val="24"/>
          <w:u w:val="single"/>
          <w:lang w:val="en-US" w:eastAsia="zh-CN"/>
        </w:rPr>
        <w:t xml:space="preserve"> </w:t>
      </w:r>
      <w:r>
        <w:rPr>
          <w:rFonts w:hint="eastAsia"/>
          <w:b/>
          <w:bCs/>
          <w:color w:val="auto"/>
          <w:sz w:val="24"/>
          <w:u w:val="single"/>
        </w:rPr>
        <w:t>0.391</w:t>
      </w:r>
      <w:r>
        <w:rPr>
          <w:b/>
          <w:bCs/>
          <w:color w:val="auto"/>
          <w:sz w:val="24"/>
          <w:u w:val="single"/>
        </w:rPr>
        <w:t>t/a、NH</w:t>
      </w:r>
      <w:r>
        <w:rPr>
          <w:b/>
          <w:bCs/>
          <w:color w:val="auto"/>
          <w:sz w:val="24"/>
          <w:u w:val="single"/>
          <w:vertAlign w:val="subscript"/>
        </w:rPr>
        <w:t>3</w:t>
      </w:r>
      <w:r>
        <w:rPr>
          <w:b/>
          <w:bCs/>
          <w:color w:val="auto"/>
          <w:sz w:val="24"/>
          <w:u w:val="single"/>
        </w:rPr>
        <w:t xml:space="preserve">-N </w:t>
      </w:r>
      <w:r>
        <w:rPr>
          <w:rFonts w:hint="eastAsia"/>
          <w:b/>
          <w:bCs/>
          <w:color w:val="auto"/>
          <w:sz w:val="24"/>
          <w:u w:val="single"/>
        </w:rPr>
        <w:t>0.020</w:t>
      </w:r>
      <w:r>
        <w:rPr>
          <w:b/>
          <w:bCs/>
          <w:color w:val="auto"/>
          <w:sz w:val="24"/>
          <w:u w:val="single"/>
        </w:rPr>
        <w:t>t/a</w:t>
      </w:r>
      <w:r>
        <w:rPr>
          <w:rFonts w:hint="eastAsia"/>
          <w:b/>
          <w:bCs/>
          <w:color w:val="auto"/>
          <w:sz w:val="24"/>
          <w:u w:val="single"/>
        </w:rPr>
        <w:t>。</w:t>
      </w:r>
    </w:p>
    <w:p>
      <w:pPr>
        <w:pStyle w:val="5"/>
        <w:bidi w:val="0"/>
        <w:rPr>
          <w:rFonts w:hint="eastAsia"/>
          <w:b/>
          <w:bCs w:val="0"/>
          <w:u w:val="single"/>
          <w:lang w:val="en-US" w:eastAsia="zh-CN"/>
        </w:rPr>
      </w:pPr>
      <w:r>
        <w:rPr>
          <w:rFonts w:hint="eastAsia"/>
          <w:b/>
          <w:bCs w:val="0"/>
          <w:u w:val="single"/>
          <w:lang w:val="en-US" w:eastAsia="zh-CN"/>
        </w:rPr>
        <w:t>3.7.3总量来源</w:t>
      </w:r>
    </w:p>
    <w:p>
      <w:pPr>
        <w:pStyle w:val="496"/>
        <w:keepNext w:val="0"/>
        <w:keepLines w:val="0"/>
        <w:pageBreakBefore w:val="0"/>
        <w:widowControl w:val="0"/>
        <w:shd w:val="clear" w:color="auto" w:fill="auto"/>
        <w:kinsoku/>
        <w:wordWrap/>
        <w:overflowPunct/>
        <w:topLinePunct w:val="0"/>
        <w:autoSpaceDE/>
        <w:autoSpaceDN/>
        <w:bidi w:val="0"/>
        <w:adjustRightInd/>
        <w:snapToGrid/>
        <w:spacing w:line="360" w:lineRule="auto"/>
        <w:ind w:left="0" w:right="0" w:firstLine="482" w:firstLineChars="200"/>
        <w:jc w:val="both"/>
        <w:textAlignment w:val="auto"/>
        <w:rPr>
          <w:rFonts w:hint="eastAsia" w:ascii="Times New Roman" w:hAnsi="Times New Roman" w:cs="Times New Roman"/>
          <w:b/>
          <w:bCs/>
          <w:color w:val="auto"/>
          <w:spacing w:val="0"/>
          <w:w w:val="100"/>
          <w:position w:val="0"/>
          <w:sz w:val="24"/>
          <w:szCs w:val="24"/>
          <w:u w:val="single"/>
          <w:lang w:val="en-US" w:eastAsia="zh-CN" w:bidi="en-US"/>
        </w:rPr>
      </w:pPr>
      <w:r>
        <w:rPr>
          <w:rFonts w:hint="eastAsia" w:ascii="Times New Roman" w:hAnsi="Times New Roman" w:cs="Times New Roman"/>
          <w:b/>
          <w:bCs/>
          <w:color w:val="auto"/>
          <w:spacing w:val="0"/>
          <w:w w:val="100"/>
          <w:position w:val="0"/>
          <w:sz w:val="24"/>
          <w:szCs w:val="24"/>
          <w:u w:val="single"/>
          <w:lang w:val="en-US" w:eastAsia="zh-CN" w:bidi="en-US"/>
        </w:rPr>
        <w:t>本项目</w:t>
      </w:r>
      <w:r>
        <w:rPr>
          <w:rFonts w:hint="default" w:ascii="Times New Roman" w:hAnsi="Times New Roman" w:cs="Times New Roman"/>
          <w:b/>
          <w:bCs/>
          <w:color w:val="auto"/>
          <w:spacing w:val="0"/>
          <w:w w:val="100"/>
          <w:position w:val="0"/>
          <w:sz w:val="24"/>
          <w:szCs w:val="24"/>
          <w:u w:val="single"/>
          <w:lang w:val="en-US" w:eastAsia="zh-CN" w:bidi="en-US"/>
        </w:rPr>
        <w:t>新增主要污染物总量指标为：</w:t>
      </w:r>
      <w:r>
        <w:rPr>
          <w:rFonts w:hint="default" w:ascii="Times New Roman" w:hAnsi="Times New Roman"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0.391</w:t>
      </w:r>
      <w:r>
        <w:rPr>
          <w:rFonts w:hint="default" w:ascii="Times New Roman" w:hAnsi="Times New Roman" w:cs="Times New Roman"/>
          <w:b/>
          <w:bCs/>
          <w:color w:val="auto"/>
          <w:spacing w:val="0"/>
          <w:w w:val="100"/>
          <w:position w:val="0"/>
          <w:sz w:val="24"/>
          <w:szCs w:val="24"/>
          <w:u w:val="single"/>
          <w:lang w:val="en-US" w:eastAsia="en-US" w:bidi="en-US"/>
        </w:rPr>
        <w:t>t/a</w:t>
      </w:r>
      <w:r>
        <w:rPr>
          <w:rFonts w:hint="default" w:ascii="Times New Roman" w:hAnsi="Times New Roman" w:cs="Times New Roman"/>
          <w:b/>
          <w:bCs/>
          <w:color w:val="auto"/>
          <w:spacing w:val="0"/>
          <w:w w:val="100"/>
          <w:position w:val="0"/>
          <w:sz w:val="24"/>
          <w:szCs w:val="24"/>
          <w:u w:val="single"/>
          <w:lang w:val="en-US" w:eastAsia="zh-CN" w:bidi="en-US"/>
        </w:rPr>
        <w:t>、氨氮</w:t>
      </w:r>
      <w:r>
        <w:rPr>
          <w:rFonts w:hint="eastAsia" w:ascii="Times New Roman" w:hAnsi="Times New Roman" w:cs="Times New Roman"/>
          <w:b/>
          <w:bCs/>
          <w:color w:val="auto"/>
          <w:spacing w:val="0"/>
          <w:w w:val="100"/>
          <w:position w:val="0"/>
          <w:sz w:val="24"/>
          <w:szCs w:val="24"/>
          <w:u w:val="single"/>
          <w:lang w:val="en-US" w:eastAsia="zh-CN" w:bidi="en-US"/>
        </w:rPr>
        <w:t>0.020</w:t>
      </w:r>
      <w:r>
        <w:rPr>
          <w:rFonts w:hint="default" w:ascii="Times New Roman" w:hAnsi="Times New Roman"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w:t>
      </w:r>
      <w:r>
        <w:rPr>
          <w:rFonts w:hint="eastAsia" w:ascii="Times New Roman" w:hAnsi="Times New Roman" w:cs="Times New Roman"/>
          <w:b/>
          <w:bCs/>
          <w:color w:val="auto"/>
          <w:spacing w:val="0"/>
          <w:w w:val="100"/>
          <w:position w:val="0"/>
          <w:sz w:val="24"/>
          <w:szCs w:val="24"/>
          <w:u w:val="single"/>
          <w:lang w:val="en-US" w:eastAsia="zh-CN" w:bidi="en-US"/>
        </w:rPr>
        <w:tab/>
      </w:r>
      <w:r>
        <w:rPr>
          <w:rFonts w:hint="eastAsia" w:ascii="Times New Roman" w:hAnsi="Times New Roman" w:cs="Times New Roman"/>
          <w:b/>
          <w:bCs/>
          <w:color w:val="auto"/>
          <w:spacing w:val="0"/>
          <w:w w:val="100"/>
          <w:position w:val="0"/>
          <w:sz w:val="24"/>
          <w:szCs w:val="24"/>
          <w:u w:val="single"/>
          <w:lang w:val="en-US" w:eastAsia="zh-CN" w:bidi="en-US"/>
        </w:rPr>
        <w:t>SO</w:t>
      </w:r>
      <w:r>
        <w:rPr>
          <w:rFonts w:hint="eastAsia" w:ascii="Times New Roman" w:hAnsi="Times New Roman" w:cs="Times New Roman"/>
          <w:b/>
          <w:bCs/>
          <w:color w:val="auto"/>
          <w:spacing w:val="0"/>
          <w:w w:val="100"/>
          <w:position w:val="0"/>
          <w:sz w:val="24"/>
          <w:szCs w:val="24"/>
          <w:u w:val="single"/>
          <w:vertAlign w:val="subscript"/>
          <w:lang w:val="en-US" w:eastAsia="zh-CN" w:bidi="en-US"/>
        </w:rPr>
        <w:t xml:space="preserve">2 </w:t>
      </w:r>
      <w:r>
        <w:rPr>
          <w:rFonts w:hint="eastAsia" w:ascii="Times New Roman" w:hAnsi="Times New Roman" w:cs="Times New Roman"/>
          <w:b/>
          <w:bCs/>
          <w:color w:val="auto"/>
          <w:spacing w:val="0"/>
          <w:w w:val="100"/>
          <w:position w:val="0"/>
          <w:sz w:val="24"/>
          <w:szCs w:val="24"/>
          <w:u w:val="single"/>
          <w:lang w:val="en-US" w:eastAsia="zh-CN" w:bidi="en-US"/>
        </w:rPr>
        <w:t>0.435t/a、</w:t>
      </w:r>
      <w:r>
        <w:rPr>
          <w:rFonts w:hint="default" w:ascii="Times New Roman" w:hAnsi="Times New Roman"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1.316</w:t>
      </w:r>
      <w:r>
        <w:rPr>
          <w:rFonts w:hint="default" w:ascii="Times New Roman" w:hAnsi="Times New Roman"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、颗粒物0.460t/a。</w:t>
      </w:r>
    </w:p>
    <w:p>
      <w:pPr>
        <w:pStyle w:val="496"/>
        <w:keepNext w:val="0"/>
        <w:keepLines w:val="0"/>
        <w:pageBreakBefore w:val="0"/>
        <w:widowControl w:val="0"/>
        <w:shd w:val="clear" w:color="auto" w:fill="auto"/>
        <w:kinsoku/>
        <w:wordWrap/>
        <w:overflowPunct/>
        <w:topLinePunct w:val="0"/>
        <w:autoSpaceDE/>
        <w:autoSpaceDN/>
        <w:bidi w:val="0"/>
        <w:adjustRightInd/>
        <w:snapToGrid/>
        <w:spacing w:line="360" w:lineRule="auto"/>
        <w:ind w:left="0" w:right="0" w:firstLine="482" w:firstLineChars="200"/>
        <w:jc w:val="both"/>
        <w:textAlignment w:val="auto"/>
        <w:rPr>
          <w:rFonts w:hint="default" w:ascii="Times New Roman" w:hAnsi="Times New Roman" w:cs="Times New Roman"/>
          <w:b/>
          <w:bCs/>
          <w:color w:val="auto"/>
          <w:spacing w:val="0"/>
          <w:w w:val="100"/>
          <w:position w:val="0"/>
          <w:sz w:val="24"/>
          <w:szCs w:val="24"/>
          <w:u w:val="single"/>
          <w:lang w:val="en-US" w:eastAsia="zh-CN" w:bidi="en-US"/>
        </w:rPr>
      </w:pPr>
      <w:r>
        <w:rPr>
          <w:rFonts w:hint="eastAsia" w:ascii="Times New Roman" w:hAnsi="Times New Roman" w:cs="Times New Roman"/>
          <w:b/>
          <w:bCs/>
          <w:color w:val="auto"/>
          <w:spacing w:val="0"/>
          <w:w w:val="100"/>
          <w:position w:val="0"/>
          <w:sz w:val="24"/>
          <w:szCs w:val="24"/>
          <w:u w:val="single"/>
          <w:lang w:val="en-US" w:eastAsia="zh-CN" w:bidi="en-US"/>
        </w:rPr>
        <w:t>项目废水经获嘉县同盟污水处理厂处理后排入共产主义渠，该河段水质达标，预支总量进行单倍替代。项目废水排放所需替代量为</w:t>
      </w:r>
      <w:r>
        <w:rPr>
          <w:rFonts w:hint="default" w:ascii="Times New Roman" w:hAnsi="Times New Roman" w:eastAsia="宋体"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0.391</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default" w:ascii="Times New Roman" w:hAnsi="Times New Roman" w:eastAsia="宋体" w:cs="Times New Roman"/>
          <w:b/>
          <w:bCs/>
          <w:color w:val="auto"/>
          <w:spacing w:val="0"/>
          <w:w w:val="100"/>
          <w:position w:val="0"/>
          <w:sz w:val="24"/>
          <w:szCs w:val="24"/>
          <w:u w:val="single"/>
        </w:rPr>
        <w:t>、氨氮</w:t>
      </w:r>
      <w:r>
        <w:rPr>
          <w:rFonts w:hint="eastAsia" w:ascii="Times New Roman" w:hAnsi="Times New Roman" w:cs="Times New Roman"/>
          <w:b/>
          <w:bCs/>
          <w:color w:val="auto"/>
          <w:spacing w:val="0"/>
          <w:w w:val="100"/>
          <w:position w:val="0"/>
          <w:sz w:val="24"/>
          <w:szCs w:val="24"/>
          <w:u w:val="single"/>
          <w:lang w:val="en-US" w:eastAsia="zh-CN"/>
        </w:rPr>
        <w:t>0.020</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从平原示范区污水处理厂提标改造产生的减排剩余量（</w:t>
      </w:r>
      <w:r>
        <w:rPr>
          <w:rFonts w:hint="default" w:ascii="Times New Roman" w:hAnsi="Times New Roman" w:eastAsia="宋体"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11.24016</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default" w:ascii="Times New Roman" w:hAnsi="Times New Roman" w:eastAsia="宋体" w:cs="Times New Roman"/>
          <w:b/>
          <w:bCs/>
          <w:color w:val="auto"/>
          <w:spacing w:val="0"/>
          <w:w w:val="100"/>
          <w:position w:val="0"/>
          <w:sz w:val="24"/>
          <w:szCs w:val="24"/>
          <w:u w:val="single"/>
        </w:rPr>
        <w:t>、氨氮</w:t>
      </w:r>
      <w:r>
        <w:rPr>
          <w:rFonts w:hint="eastAsia" w:ascii="Times New Roman" w:hAnsi="Times New Roman" w:cs="Times New Roman"/>
          <w:b/>
          <w:bCs/>
          <w:color w:val="auto"/>
          <w:spacing w:val="0"/>
          <w:w w:val="100"/>
          <w:position w:val="0"/>
          <w:sz w:val="24"/>
          <w:szCs w:val="24"/>
          <w:u w:val="single"/>
          <w:lang w:val="en-US" w:eastAsia="zh-CN"/>
        </w:rPr>
        <w:t>18.40676</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eastAsia" w:ascii="Times New Roman" w:hAnsi="Times New Roman" w:cs="Times New Roman"/>
          <w:b/>
          <w:bCs/>
          <w:color w:val="auto"/>
          <w:spacing w:val="0"/>
          <w:w w:val="100"/>
          <w:position w:val="0"/>
          <w:sz w:val="24"/>
          <w:szCs w:val="24"/>
          <w:u w:val="single"/>
          <w:lang w:val="en-US" w:eastAsia="zh-CN" w:bidi="en-US"/>
        </w:rPr>
        <w:t>）中扣除；项目废气排放预支增量进行双倍替代，双倍替代量为</w:t>
      </w:r>
      <w:r>
        <w:rPr>
          <w:rFonts w:hint="eastAsia" w:ascii="Times New Roman" w:hAnsi="Times New Roman" w:cs="Times New Roman"/>
          <w:b/>
          <w:bCs/>
          <w:color w:val="auto"/>
          <w:spacing w:val="0"/>
          <w:w w:val="100"/>
          <w:position w:val="0"/>
          <w:sz w:val="24"/>
          <w:szCs w:val="24"/>
          <w:u w:val="single"/>
          <w:lang w:val="en-US" w:eastAsia="zh-CN"/>
        </w:rPr>
        <w:t>SO</w:t>
      </w:r>
      <w:r>
        <w:rPr>
          <w:rFonts w:hint="eastAsia" w:ascii="Times New Roman" w:hAnsi="Times New Roman" w:cs="Times New Roman"/>
          <w:b/>
          <w:bCs/>
          <w:color w:val="auto"/>
          <w:spacing w:val="0"/>
          <w:w w:val="100"/>
          <w:position w:val="0"/>
          <w:sz w:val="24"/>
          <w:szCs w:val="24"/>
          <w:u w:val="single"/>
          <w:vertAlign w:val="subscript"/>
          <w:lang w:val="en-US" w:eastAsia="zh-CN"/>
        </w:rPr>
        <w:t>2</w:t>
      </w:r>
      <w:r>
        <w:rPr>
          <w:rFonts w:hint="eastAsia" w:ascii="Times New Roman" w:hAnsi="Times New Roman" w:cs="Times New Roman"/>
          <w:b/>
          <w:bCs/>
          <w:color w:val="auto"/>
          <w:spacing w:val="0"/>
          <w:w w:val="100"/>
          <w:position w:val="0"/>
          <w:sz w:val="24"/>
          <w:szCs w:val="24"/>
          <w:u w:val="single"/>
          <w:vertAlign w:val="baseline"/>
          <w:lang w:val="en-US" w:eastAsia="zh-CN"/>
        </w:rPr>
        <w:t xml:space="preserve"> 0.870t/a、</w:t>
      </w:r>
      <w:r>
        <w:rPr>
          <w:rFonts w:hint="default" w:ascii="Times New Roman" w:hAnsi="Times New Roman" w:eastAsia="宋体"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2.632</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、颗粒物0.920t/a均从获嘉县华夏建材有限公司企业注销产生的减排剩余量（</w:t>
      </w:r>
      <w:r>
        <w:rPr>
          <w:rFonts w:hint="eastAsia" w:ascii="Times New Roman" w:hAnsi="Times New Roman" w:cs="Times New Roman"/>
          <w:b/>
          <w:bCs/>
          <w:color w:val="auto"/>
          <w:spacing w:val="0"/>
          <w:w w:val="100"/>
          <w:position w:val="0"/>
          <w:sz w:val="24"/>
          <w:szCs w:val="24"/>
          <w:u w:val="single"/>
          <w:lang w:val="en-US" w:eastAsia="zh-CN"/>
        </w:rPr>
        <w:t>SO</w:t>
      </w:r>
      <w:r>
        <w:rPr>
          <w:rFonts w:hint="eastAsia" w:ascii="Times New Roman" w:hAnsi="Times New Roman" w:cs="Times New Roman"/>
          <w:b/>
          <w:bCs/>
          <w:color w:val="auto"/>
          <w:spacing w:val="0"/>
          <w:w w:val="100"/>
          <w:position w:val="0"/>
          <w:sz w:val="24"/>
          <w:szCs w:val="24"/>
          <w:u w:val="single"/>
          <w:vertAlign w:val="subscript"/>
          <w:lang w:val="en-US" w:eastAsia="zh-CN"/>
        </w:rPr>
        <w:t>2</w:t>
      </w:r>
      <w:r>
        <w:rPr>
          <w:rFonts w:hint="eastAsia" w:ascii="Times New Roman" w:hAnsi="Times New Roman" w:cs="Times New Roman"/>
          <w:b/>
          <w:bCs/>
          <w:color w:val="auto"/>
          <w:spacing w:val="0"/>
          <w:w w:val="100"/>
          <w:position w:val="0"/>
          <w:sz w:val="24"/>
          <w:szCs w:val="24"/>
          <w:u w:val="single"/>
          <w:vertAlign w:val="baseline"/>
          <w:lang w:val="en-US" w:eastAsia="zh-CN"/>
        </w:rPr>
        <w:t xml:space="preserve"> 5.6928t、</w:t>
      </w:r>
      <w:r>
        <w:rPr>
          <w:rFonts w:hint="default" w:ascii="Times New Roman" w:hAnsi="Times New Roman" w:eastAsia="宋体"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7.591</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eastAsia" w:ascii="Times New Roman" w:hAnsi="Times New Roman" w:cs="Times New Roman"/>
          <w:b/>
          <w:bCs/>
          <w:color w:val="auto"/>
          <w:spacing w:val="0"/>
          <w:w w:val="100"/>
          <w:position w:val="0"/>
          <w:sz w:val="24"/>
          <w:szCs w:val="24"/>
          <w:u w:val="single"/>
          <w:lang w:val="en-US" w:eastAsia="zh-CN" w:bidi="en-US"/>
        </w:rPr>
        <w:t>、颗粒物10.8632t）中扣除。项目重点污染物排放总量替代方案见附件12。</w:t>
      </w:r>
    </w:p>
    <w:p>
      <w:pPr>
        <w:pStyle w:val="496"/>
        <w:keepNext w:val="0"/>
        <w:keepLines w:val="0"/>
        <w:pageBreakBefore w:val="0"/>
        <w:widowControl w:val="0"/>
        <w:numPr>
          <w:ilvl w:val="0"/>
          <w:numId w:val="0"/>
        </w:numPr>
        <w:shd w:val="clear" w:color="auto" w:fill="auto"/>
        <w:kinsoku/>
        <w:wordWrap/>
        <w:overflowPunct/>
        <w:topLinePunct w:val="0"/>
        <w:autoSpaceDE/>
        <w:autoSpaceDN/>
        <w:bidi w:val="0"/>
        <w:adjustRightInd/>
        <w:snapToGrid/>
        <w:spacing w:line="360" w:lineRule="auto"/>
        <w:ind w:leftChars="0" w:right="0" w:rightChars="0" w:firstLine="482" w:firstLineChars="200"/>
        <w:jc w:val="both"/>
        <w:textAlignment w:val="auto"/>
        <w:rPr>
          <w:rFonts w:hint="eastAsia" w:ascii="Times New Roman" w:hAnsi="Times New Roman" w:eastAsia="宋体" w:cs="Times New Roman"/>
          <w:b/>
          <w:bCs/>
          <w:color w:val="auto"/>
          <w:kern w:val="21"/>
          <w:sz w:val="24"/>
          <w:szCs w:val="24"/>
          <w:u w:val="single"/>
          <w:lang w:val="en-US" w:eastAsia="zh-CN"/>
        </w:rPr>
      </w:pPr>
      <w:r>
        <w:rPr>
          <w:rFonts w:hint="default" w:ascii="Times New Roman" w:hAnsi="Times New Roman" w:eastAsia="宋体" w:cs="Times New Roman"/>
          <w:b/>
          <w:bCs/>
          <w:color w:val="auto"/>
          <w:spacing w:val="0"/>
          <w:w w:val="100"/>
          <w:position w:val="0"/>
          <w:sz w:val="24"/>
          <w:szCs w:val="24"/>
          <w:u w:val="single"/>
        </w:rPr>
        <w:t>综上所述，项目重点污染物排放总量均有替代来源</w:t>
      </w:r>
      <w:r>
        <w:rPr>
          <w:rFonts w:hint="eastAsia" w:ascii="Times New Roman" w:hAnsi="Times New Roman" w:cs="Times New Roman"/>
          <w:b/>
          <w:bCs/>
          <w:color w:val="auto"/>
          <w:spacing w:val="0"/>
          <w:w w:val="100"/>
          <w:position w:val="0"/>
          <w:sz w:val="24"/>
          <w:szCs w:val="24"/>
          <w:u w:val="single"/>
          <w:lang w:eastAsia="zh-CN"/>
        </w:rPr>
        <w:t>。</w:t>
      </w:r>
    </w:p>
    <w:p>
      <w:pPr>
        <w:pStyle w:val="43"/>
        <w:rPr>
          <w:rFonts w:hint="eastAsia"/>
          <w:b/>
          <w:bCs/>
          <w:color w:val="auto"/>
          <w:sz w:val="24"/>
          <w:u w:val="single"/>
          <w:lang w:val="en-US" w:eastAsia="zh-CN"/>
        </w:rPr>
      </w:pPr>
    </w:p>
    <w:p>
      <w:pPr>
        <w:pStyle w:val="43"/>
        <w:rPr>
          <w:rFonts w:hint="default"/>
          <w:b/>
          <w:bCs/>
          <w:color w:val="auto"/>
          <w:sz w:val="24"/>
          <w:u w:val="single"/>
          <w:lang w:val="en-US" w:eastAsia="zh-CN"/>
        </w:rPr>
      </w:pPr>
    </w:p>
    <w:p>
      <w:pPr>
        <w:pStyle w:val="43"/>
        <w:rPr>
          <w:rFonts w:hint="eastAsia" w:eastAsia="宋体"/>
          <w:b/>
          <w:bCs/>
          <w:color w:val="auto"/>
          <w:u w:val="single"/>
          <w:lang w:eastAsia="zh-CN"/>
        </w:rPr>
      </w:pPr>
    </w:p>
    <w:p>
      <w:pPr>
        <w:rPr>
          <w:rFonts w:hint="eastAsia"/>
          <w:color w:val="auto"/>
          <w:lang w:val="en-US" w:eastAsia="zh-CN"/>
        </w:rPr>
      </w:pPr>
    </w:p>
    <w:p>
      <w:pPr>
        <w:rPr>
          <w:rFonts w:hint="eastAsia"/>
          <w:color w:val="auto"/>
          <w:lang w:val="en-US" w:eastAsia="zh-CN"/>
        </w:rPr>
      </w:pPr>
    </w:p>
    <w:p>
      <w:pPr>
        <w:rPr>
          <w:rFonts w:hint="eastAsia"/>
          <w:bCs w:val="0"/>
          <w:color w:val="auto"/>
          <w:kern w:val="21"/>
          <w:sz w:val="28"/>
          <w:szCs w:val="28"/>
          <w:lang w:val="en-US" w:eastAsia="zh-CN"/>
        </w:rPr>
      </w:pPr>
    </w:p>
    <w:p>
      <w:pPr>
        <w:pStyle w:val="43"/>
        <w:rPr>
          <w:rFonts w:hint="default"/>
          <w:color w:val="auto"/>
          <w:lang w:val="en-US" w:eastAsia="zh-CN"/>
        </w:rPr>
        <w:sectPr>
          <w:pgSz w:w="11906" w:h="16838"/>
          <w:pgMar w:top="1440" w:right="1800" w:bottom="1440" w:left="1800" w:header="1134" w:footer="1134" w:gutter="0"/>
          <w:cols w:space="720" w:num="1"/>
          <w:docGrid w:linePitch="312" w:charSpace="0"/>
        </w:sectPr>
      </w:pPr>
    </w:p>
    <w:bookmarkEnd w:id="209"/>
    <w:bookmarkEnd w:id="210"/>
    <w:bookmarkEnd w:id="211"/>
    <w:bookmarkEnd w:id="213"/>
    <w:p>
      <w:pPr>
        <w:pStyle w:val="3"/>
        <w:rPr>
          <w:color w:val="auto"/>
        </w:rPr>
      </w:pPr>
      <w:bookmarkStart w:id="216" w:name="_Toc58828271"/>
      <w:bookmarkStart w:id="217" w:name="_Toc112338944"/>
      <w:bookmarkStart w:id="218" w:name="_Toc23335"/>
      <w:bookmarkStart w:id="219" w:name="_Toc2617_WPSOffice_Level2"/>
      <w:r>
        <w:rPr>
          <w:rFonts w:hint="eastAsia"/>
          <w:color w:val="auto"/>
        </w:rPr>
        <w:t xml:space="preserve">第四章 </w:t>
      </w:r>
      <w:bookmarkEnd w:id="216"/>
      <w:r>
        <w:rPr>
          <w:rFonts w:hint="eastAsia"/>
          <w:color w:val="auto"/>
        </w:rPr>
        <w:t>环境现状调查与评价</w:t>
      </w:r>
      <w:bookmarkEnd w:id="217"/>
    </w:p>
    <w:p>
      <w:pPr>
        <w:pStyle w:val="4"/>
        <w:spacing w:before="156" w:after="156"/>
        <w:rPr>
          <w:color w:val="auto"/>
        </w:rPr>
      </w:pPr>
      <w:bookmarkStart w:id="220" w:name="_Toc112338945"/>
      <w:bookmarkStart w:id="221" w:name="_Toc58828272"/>
      <w:bookmarkStart w:id="222" w:name="_Toc428287176"/>
      <w:bookmarkStart w:id="223" w:name="_Toc429318390"/>
      <w:bookmarkStart w:id="224" w:name="_Toc428286782"/>
      <w:bookmarkStart w:id="225" w:name="_Toc428286861"/>
      <w:bookmarkStart w:id="226" w:name="_Toc429318405"/>
      <w:bookmarkStart w:id="227" w:name="_Toc410051662"/>
      <w:bookmarkStart w:id="228" w:name="_Toc428287222"/>
      <w:bookmarkStart w:id="229" w:name="_Toc310408269"/>
      <w:r>
        <w:rPr>
          <w:rFonts w:hint="eastAsia"/>
          <w:color w:val="auto"/>
        </w:rPr>
        <w:t>4.1自然环境概况</w:t>
      </w:r>
      <w:bookmarkEnd w:id="220"/>
      <w:bookmarkEnd w:id="221"/>
    </w:p>
    <w:bookmarkEnd w:id="222"/>
    <w:bookmarkEnd w:id="223"/>
    <w:bookmarkEnd w:id="224"/>
    <w:p>
      <w:pPr>
        <w:adjustRightInd w:val="0"/>
        <w:snapToGrid w:val="0"/>
        <w:spacing w:line="360" w:lineRule="auto"/>
        <w:outlineLvl w:val="2"/>
        <w:rPr>
          <w:rFonts w:eastAsia="黑体"/>
          <w:color w:val="auto"/>
          <w:kern w:val="21"/>
          <w:sz w:val="28"/>
          <w:szCs w:val="28"/>
        </w:rPr>
      </w:pPr>
      <w:bookmarkStart w:id="230" w:name="_Toc428287529"/>
      <w:bookmarkStart w:id="231" w:name="_Toc428286783"/>
      <w:bookmarkStart w:id="232" w:name="_Toc428287177"/>
      <w:r>
        <w:rPr>
          <w:rFonts w:hint="eastAsia" w:eastAsia="黑体"/>
          <w:color w:val="auto"/>
          <w:kern w:val="21"/>
          <w:sz w:val="28"/>
          <w:szCs w:val="28"/>
        </w:rPr>
        <w:t>4.1.1</w:t>
      </w:r>
      <w:r>
        <w:rPr>
          <w:rFonts w:eastAsia="黑体"/>
          <w:color w:val="auto"/>
          <w:kern w:val="21"/>
          <w:sz w:val="28"/>
          <w:szCs w:val="28"/>
        </w:rPr>
        <w:t>地理位置</w:t>
      </w:r>
      <w:bookmarkEnd w:id="230"/>
      <w:bookmarkEnd w:id="231"/>
      <w:bookmarkEnd w:id="232"/>
    </w:p>
    <w:p>
      <w:pPr>
        <w:adjustRightInd w:val="0"/>
        <w:snapToGrid w:val="0"/>
        <w:spacing w:line="360" w:lineRule="auto"/>
        <w:ind w:firstLine="480" w:firstLineChars="200"/>
        <w:textAlignment w:val="baseline"/>
        <w:rPr>
          <w:color w:val="auto"/>
          <w:spacing w:val="-6"/>
          <w:kern w:val="0"/>
          <w:sz w:val="24"/>
          <w:szCs w:val="20"/>
        </w:rPr>
      </w:pPr>
      <w:r>
        <w:rPr>
          <w:color w:val="auto"/>
          <w:kern w:val="0"/>
          <w:sz w:val="24"/>
          <w:szCs w:val="20"/>
        </w:rPr>
        <w:t>获嘉县位于河南省北部，属新乡市管辖，居于新乡市西侧，北隔大沙河与辉县市相望，东与新乡县接壤，南邻黄河，西与焦作市的武陟、修武两县交界。距省会郑州70km，北依太行，距首都北京600km，西至焦作市40km，东至新乡市20km，地理坐标为东经113°30′-113°44′，北纬35°02′-35°20′，辖区面积473km</w:t>
      </w:r>
      <w:r>
        <w:rPr>
          <w:color w:val="auto"/>
          <w:kern w:val="0"/>
          <w:sz w:val="24"/>
          <w:szCs w:val="20"/>
          <w:vertAlign w:val="superscript"/>
        </w:rPr>
        <w:t>2</w:t>
      </w:r>
      <w:r>
        <w:rPr>
          <w:color w:val="auto"/>
          <w:kern w:val="0"/>
          <w:sz w:val="24"/>
          <w:szCs w:val="20"/>
        </w:rPr>
        <w:t>。</w:t>
      </w:r>
    </w:p>
    <w:p>
      <w:pPr>
        <w:adjustRightInd w:val="0"/>
        <w:snapToGrid w:val="0"/>
        <w:spacing w:line="360" w:lineRule="auto"/>
        <w:ind w:firstLine="480" w:firstLineChars="200"/>
        <w:textAlignment w:val="baseline"/>
        <w:rPr>
          <w:color w:val="auto"/>
          <w:spacing w:val="-6"/>
          <w:kern w:val="0"/>
          <w:sz w:val="24"/>
          <w:szCs w:val="20"/>
        </w:rPr>
      </w:pPr>
      <w:r>
        <w:rPr>
          <w:color w:val="auto"/>
          <w:kern w:val="0"/>
          <w:sz w:val="24"/>
          <w:szCs w:val="24"/>
        </w:rPr>
        <w:t>获嘉县产业集聚区为一区两园，由位于现状城区以南和以东的两个用地片区组成，总规划面积7.95km</w:t>
      </w:r>
      <w:r>
        <w:rPr>
          <w:color w:val="auto"/>
          <w:kern w:val="0"/>
          <w:sz w:val="24"/>
          <w:szCs w:val="24"/>
          <w:vertAlign w:val="superscript"/>
        </w:rPr>
        <w:t>2</w:t>
      </w:r>
      <w:r>
        <w:rPr>
          <w:color w:val="auto"/>
          <w:kern w:val="0"/>
          <w:sz w:val="24"/>
          <w:szCs w:val="24"/>
        </w:rPr>
        <w:t>。南部片区位于新月铁路以南，包括煤化工基地和嘉苑新区，北至金化路、南至南环路、西至西环路、东至共产主义渠，东西长约4.8km，南北宽约1.1km，规划范围面积5.31 km</w:t>
      </w:r>
      <w:r>
        <w:rPr>
          <w:color w:val="auto"/>
          <w:kern w:val="0"/>
          <w:sz w:val="24"/>
          <w:szCs w:val="24"/>
          <w:vertAlign w:val="superscript"/>
        </w:rPr>
        <w:t>2</w:t>
      </w:r>
      <w:r>
        <w:rPr>
          <w:rFonts w:hint="eastAsia"/>
          <w:color w:val="auto"/>
          <w:kern w:val="0"/>
          <w:sz w:val="24"/>
          <w:szCs w:val="24"/>
        </w:rPr>
        <w:t>；</w:t>
      </w:r>
      <w:r>
        <w:rPr>
          <w:color w:val="auto"/>
          <w:kern w:val="0"/>
          <w:sz w:val="24"/>
          <w:szCs w:val="24"/>
        </w:rPr>
        <w:t>东部片区位于城区共产主义渠以东，东至获嘉县行政边界、西至城区共产主义渠、北至新焦公路、南至新月铁路，东西长约3km，南北宽约1km，规划范围面积2.64 km</w:t>
      </w:r>
      <w:r>
        <w:rPr>
          <w:color w:val="auto"/>
          <w:kern w:val="0"/>
          <w:sz w:val="24"/>
          <w:szCs w:val="24"/>
          <w:vertAlign w:val="superscript"/>
        </w:rPr>
        <w:t>2</w:t>
      </w:r>
      <w:r>
        <w:rPr>
          <w:color w:val="auto"/>
          <w:kern w:val="0"/>
          <w:sz w:val="24"/>
          <w:szCs w:val="24"/>
        </w:rPr>
        <w:t>。</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河南中能锂动电源有限公司</w:t>
      </w:r>
      <w:r>
        <w:rPr>
          <w:rFonts w:hint="eastAsia"/>
          <w:color w:val="auto"/>
          <w:kern w:val="0"/>
          <w:sz w:val="24"/>
          <w:szCs w:val="20"/>
          <w:lang w:eastAsia="zh-CN"/>
        </w:rPr>
        <w:t>拟</w:t>
      </w:r>
      <w:r>
        <w:rPr>
          <w:rFonts w:hint="eastAsia"/>
          <w:color w:val="auto"/>
          <w:kern w:val="0"/>
          <w:sz w:val="24"/>
          <w:szCs w:val="20"/>
        </w:rPr>
        <w:t>投资56000万元进行“年产79.2198亿只电池配件项目”的建设。</w:t>
      </w:r>
      <w:r>
        <w:rPr>
          <w:color w:val="auto"/>
          <w:kern w:val="0"/>
          <w:sz w:val="24"/>
          <w:szCs w:val="20"/>
        </w:rPr>
        <w:t>该项目位于新乡市获嘉县产业集聚区</w:t>
      </w:r>
      <w:r>
        <w:rPr>
          <w:rFonts w:hint="eastAsia"/>
          <w:color w:val="auto"/>
          <w:kern w:val="0"/>
          <w:sz w:val="24"/>
          <w:szCs w:val="20"/>
        </w:rPr>
        <w:t>北区城东片区安王路与梧桐交叉口西北角。</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项目厂址位于新乡市获嘉县产业集聚区北区城东片区安王路与梧桐路交叉口西北角，</w:t>
      </w:r>
      <w:r>
        <w:rPr>
          <w:color w:val="auto"/>
          <w:kern w:val="0"/>
          <w:sz w:val="24"/>
          <w:szCs w:val="20"/>
        </w:rPr>
        <w:t>厂区四周环境为：东临河南奔茨新能源有限公司和</w:t>
      </w:r>
      <w:r>
        <w:rPr>
          <w:rFonts w:hint="eastAsia"/>
          <w:color w:val="auto"/>
          <w:kern w:val="0"/>
          <w:sz w:val="24"/>
          <w:szCs w:val="20"/>
        </w:rPr>
        <w:t>河南华圣曦铝业有限公司；西临获嘉县华夏建材有限公司；南临新乡沅嘉汽车制造有限公司及梧桐路，隔梧桐路为壹仓优品；北临邦力电器；东北276m为前李村，北侧740m为后李村。西侧1323m为共产主义渠；</w:t>
      </w:r>
      <w:r>
        <w:rPr>
          <w:color w:val="auto"/>
          <w:kern w:val="0"/>
          <w:sz w:val="24"/>
          <w:szCs w:val="20"/>
        </w:rPr>
        <w:t>详见下图</w:t>
      </w:r>
      <w:r>
        <w:rPr>
          <w:rFonts w:hint="eastAsia"/>
          <w:color w:val="auto"/>
          <w:kern w:val="0"/>
          <w:sz w:val="24"/>
          <w:szCs w:val="20"/>
        </w:rPr>
        <w:t>4.1-1</w:t>
      </w:r>
      <w:r>
        <w:rPr>
          <w:color w:val="auto"/>
          <w:kern w:val="0"/>
          <w:sz w:val="24"/>
          <w:szCs w:val="20"/>
        </w:rPr>
        <w:t>。</w:t>
      </w:r>
    </w:p>
    <w:p>
      <w:pPr>
        <w:adjustRightInd w:val="0"/>
        <w:snapToGrid w:val="0"/>
        <w:spacing w:line="360" w:lineRule="auto"/>
        <w:jc w:val="center"/>
        <w:textAlignment w:val="baseline"/>
        <w:rPr>
          <w:color w:val="auto"/>
          <w:kern w:val="0"/>
          <w:sz w:val="24"/>
          <w:szCs w:val="24"/>
        </w:rPr>
      </w:pPr>
      <w:r>
        <w:rPr>
          <w:color w:val="auto"/>
        </w:rPr>
        <w:drawing>
          <wp:inline distT="0" distB="0" distL="0" distR="0">
            <wp:extent cx="5216525" cy="3430270"/>
            <wp:effectExtent l="9525" t="9525" r="12700" b="2730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noChangeArrowheads="1"/>
                    </pic:cNvPicPr>
                  </pic:nvPicPr>
                  <pic:blipFill>
                    <a:blip r:embed="rId49"/>
                    <a:srcRect/>
                    <a:stretch>
                      <a:fillRect/>
                    </a:stretch>
                  </pic:blipFill>
                  <pic:spPr>
                    <a:xfrm>
                      <a:off x="0" y="0"/>
                      <a:ext cx="5216525" cy="3430270"/>
                    </a:xfrm>
                    <a:prstGeom prst="rect">
                      <a:avLst/>
                    </a:prstGeom>
                    <a:noFill/>
                    <a:ln w="6350" cmpd="sng">
                      <a:solidFill>
                        <a:srgbClr val="000000"/>
                      </a:solidFill>
                      <a:miter lim="800000"/>
                      <a:headEnd/>
                      <a:tailEnd/>
                    </a:ln>
                    <a:effectLst/>
                  </pic:spPr>
                </pic:pic>
              </a:graphicData>
            </a:graphic>
          </wp:inline>
        </w:drawing>
      </w:r>
    </w:p>
    <w:p>
      <w:pPr>
        <w:jc w:val="center"/>
        <w:rPr>
          <w:rFonts w:eastAsia="黑体"/>
          <w:color w:val="auto"/>
          <w:sz w:val="24"/>
          <w:szCs w:val="20"/>
        </w:rPr>
      </w:pPr>
      <w:r>
        <w:rPr>
          <w:rFonts w:eastAsia="黑体"/>
          <w:color w:val="auto"/>
          <w:sz w:val="24"/>
          <w:szCs w:val="20"/>
        </w:rPr>
        <w:t>图</w:t>
      </w:r>
      <w:r>
        <w:rPr>
          <w:rFonts w:hint="eastAsia" w:eastAsia="黑体"/>
          <w:color w:val="auto"/>
          <w:sz w:val="24"/>
          <w:szCs w:val="20"/>
        </w:rPr>
        <w:t>4.1</w:t>
      </w:r>
      <w:r>
        <w:rPr>
          <w:rFonts w:eastAsia="黑体"/>
          <w:color w:val="auto"/>
          <w:sz w:val="24"/>
          <w:szCs w:val="20"/>
        </w:rPr>
        <w:t>-</w:t>
      </w:r>
      <w:r>
        <w:rPr>
          <w:rFonts w:hint="eastAsia" w:eastAsia="黑体"/>
          <w:color w:val="auto"/>
          <w:sz w:val="24"/>
          <w:szCs w:val="20"/>
        </w:rPr>
        <w:t>1</w:t>
      </w:r>
      <w:r>
        <w:rPr>
          <w:rFonts w:eastAsia="黑体"/>
          <w:color w:val="auto"/>
          <w:sz w:val="24"/>
          <w:szCs w:val="20"/>
        </w:rPr>
        <w:t xml:space="preserve">   项目周围环境情况示意图</w:t>
      </w:r>
    </w:p>
    <w:p>
      <w:pPr>
        <w:adjustRightInd w:val="0"/>
        <w:snapToGrid w:val="0"/>
        <w:spacing w:line="360" w:lineRule="auto"/>
        <w:outlineLvl w:val="2"/>
        <w:rPr>
          <w:rFonts w:eastAsia="黑体"/>
          <w:color w:val="auto"/>
          <w:kern w:val="21"/>
          <w:sz w:val="28"/>
          <w:szCs w:val="28"/>
        </w:rPr>
      </w:pPr>
      <w:bookmarkStart w:id="233" w:name="_Toc428287180"/>
      <w:bookmarkStart w:id="234" w:name="_Toc428287532"/>
      <w:bookmarkStart w:id="235" w:name="_Toc428286786"/>
      <w:r>
        <w:rPr>
          <w:rFonts w:hint="eastAsia" w:eastAsia="黑体"/>
          <w:color w:val="auto"/>
          <w:kern w:val="21"/>
          <w:sz w:val="28"/>
          <w:szCs w:val="28"/>
        </w:rPr>
        <w:t>4.1.2</w:t>
      </w:r>
      <w:r>
        <w:rPr>
          <w:rFonts w:eastAsia="黑体"/>
          <w:color w:val="auto"/>
          <w:kern w:val="21"/>
          <w:sz w:val="28"/>
          <w:szCs w:val="28"/>
        </w:rPr>
        <w:t>气候气象</w:t>
      </w:r>
      <w:bookmarkEnd w:id="233"/>
      <w:bookmarkEnd w:id="234"/>
      <w:bookmarkEnd w:id="235"/>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获嘉县县域气候温和，属暖温带大陆性季风气候。春季干旱多风沙，夏季炎热雨量大，秋季凉爽时令短，冬季寒冷少雨雪，气温的四季变化，具有典型的大陆性气候特征，即冬冷夏热。年平均气温为14.4℃，最冷月（一月）平均气温为-0.1℃，最热月（七月）平均气温27.1℃。 由于处于东亚中纬度平原上，日照比较充足，年均日照时数为2206.4小时，年均日照率50%，光照时间长，太阳辐射量大，光热资源丰富。多年年均降水量为563.8毫米，且年降水量季节分布很不均匀，大雨高度集中于夏季。年平均绝对湿度为13.0毫巴，春季和夏初干旱明显，单靠降水不能补偿土壤因蒸发而失掉的水分。平均冻结期为30天，无霜期为216天，年平均风速为2.08m/s，境内地形平坦，南北气流畅通，加之季风气候特征明显，主导风向为东北风。</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4.1.3地形地貌</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获嘉县地处黄河中下游，古黄河流经县境，在北部边缘与太行山冲积扇前交接；中南部以古阳堤为界，堤南为古黄河故道，堤北为古老的黄河泛滥区。长期以来，黄河泥沙堆积，泛道淤高，主流南迁，古阳堤以北形成了古黄河背河洼地。由此形成了获嘉县地势西南向东北倾斜，海拔高度在74.2</w:t>
      </w:r>
      <w:r>
        <w:rPr>
          <w:rFonts w:hint="eastAsia"/>
          <w:color w:val="auto"/>
          <w:kern w:val="0"/>
          <w:sz w:val="24"/>
          <w:szCs w:val="20"/>
          <w:lang w:eastAsia="zh-CN"/>
        </w:rPr>
        <w:t>～</w:t>
      </w:r>
      <w:r>
        <w:rPr>
          <w:rFonts w:hint="eastAsia"/>
          <w:color w:val="auto"/>
          <w:kern w:val="0"/>
          <w:sz w:val="24"/>
          <w:szCs w:val="20"/>
        </w:rPr>
        <w:t>87.5m之间（最低点楼村74.2m，最高点宣阳驿87.5m）。地势自然坡度西高东低，坡度为三千分之一，南高北低，坡度为五千分之一，属典型的平原县区。</w:t>
      </w:r>
    </w:p>
    <w:p>
      <w:pPr>
        <w:adjustRightInd w:val="0"/>
        <w:snapToGrid w:val="0"/>
        <w:spacing w:line="360" w:lineRule="auto"/>
        <w:outlineLvl w:val="2"/>
        <w:rPr>
          <w:rFonts w:eastAsia="黑体"/>
          <w:color w:val="auto"/>
          <w:kern w:val="21"/>
          <w:sz w:val="28"/>
          <w:szCs w:val="28"/>
        </w:rPr>
      </w:pPr>
      <w:bookmarkStart w:id="236" w:name="_Toc428286785"/>
      <w:bookmarkStart w:id="237" w:name="_Toc428287531"/>
      <w:bookmarkStart w:id="238" w:name="_Toc428287179"/>
      <w:r>
        <w:rPr>
          <w:rFonts w:hint="eastAsia" w:eastAsia="黑体"/>
          <w:color w:val="auto"/>
          <w:kern w:val="21"/>
          <w:sz w:val="28"/>
          <w:szCs w:val="28"/>
        </w:rPr>
        <w:t>4.1.4</w:t>
      </w:r>
      <w:r>
        <w:rPr>
          <w:rFonts w:eastAsia="黑体"/>
          <w:color w:val="auto"/>
          <w:kern w:val="21"/>
          <w:sz w:val="28"/>
          <w:szCs w:val="28"/>
        </w:rPr>
        <w:t>水文地质</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获嘉县地质情况简单，表层全为第四系冲击地层，在第四系之下，基岩地表没有出露。古生界主要有奥陶系、石炭系、二迭系，新生界有新第三系、第四系。</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获嘉县在大地构造位置上属于中朝准地台次级单元的山西台隆与华北凹陷的过渡地带。县境北部地层产状走向为北西~南东，倾向南西，倾角30度左右。凤凰岭新层南侧岩层产状为北东45度，倾向南东，倾角30度左右。构造以断裂为主，自北向南有五条断层存在。以凤凰岭~货架断层及柏山~古固寨断层为主。</w:t>
      </w:r>
    </w:p>
    <w:p>
      <w:pPr>
        <w:adjustRightInd w:val="0"/>
        <w:snapToGrid w:val="0"/>
        <w:spacing w:line="360" w:lineRule="auto"/>
        <w:ind w:firstLine="480" w:firstLineChars="200"/>
        <w:textAlignment w:val="baseline"/>
        <w:rPr>
          <w:color w:val="auto"/>
          <w:kern w:val="28"/>
          <w:sz w:val="24"/>
          <w:szCs w:val="20"/>
        </w:rPr>
      </w:pPr>
      <w:r>
        <w:rPr>
          <w:color w:val="auto"/>
          <w:kern w:val="0"/>
          <w:sz w:val="24"/>
          <w:szCs w:val="20"/>
        </w:rPr>
        <w:t>中更新世以来，黄河流经获嘉县，在县境内沉积了100</w:t>
      </w:r>
      <w:r>
        <w:rPr>
          <w:rFonts w:hAnsi="宋体"/>
          <w:color w:val="auto"/>
          <w:kern w:val="0"/>
          <w:sz w:val="24"/>
          <w:szCs w:val="20"/>
        </w:rPr>
        <w:t>～</w:t>
      </w:r>
      <w:r>
        <w:rPr>
          <w:color w:val="auto"/>
          <w:kern w:val="0"/>
          <w:sz w:val="24"/>
          <w:szCs w:val="20"/>
        </w:rPr>
        <w:t>150m</w:t>
      </w:r>
      <w:r>
        <w:rPr>
          <w:rFonts w:hAnsi="宋体"/>
          <w:color w:val="auto"/>
          <w:kern w:val="0"/>
          <w:sz w:val="24"/>
          <w:szCs w:val="20"/>
        </w:rPr>
        <w:t>的松散堆积物，形成了松散岩类孔隙水。埋藏的黄河古道，控制了孔隙水的空间分布，形成了调节能力较强的地下水库。获嘉县地下水类型为第四系和第三系上部的松散岩类孔隙水，根据不同时代和埋藏条件可分为浅层含水组、中层含水组和深层含水组。</w:t>
      </w:r>
      <w:r>
        <w:rPr>
          <w:color w:val="auto"/>
          <w:kern w:val="0"/>
          <w:sz w:val="24"/>
          <w:szCs w:val="20"/>
        </w:rPr>
        <w:t>该地区浅层地下水顶板埋深4</w:t>
      </w:r>
      <w:r>
        <w:rPr>
          <w:rFonts w:hAnsi="宋体"/>
          <w:color w:val="auto"/>
          <w:kern w:val="0"/>
          <w:sz w:val="24"/>
          <w:szCs w:val="20"/>
        </w:rPr>
        <w:t>～</w:t>
      </w:r>
      <w:r>
        <w:rPr>
          <w:color w:val="auto"/>
          <w:kern w:val="0"/>
          <w:sz w:val="24"/>
          <w:szCs w:val="20"/>
        </w:rPr>
        <w:t>8m，底板埋深71</w:t>
      </w:r>
      <w:r>
        <w:rPr>
          <w:rFonts w:hAnsi="宋体"/>
          <w:color w:val="auto"/>
          <w:kern w:val="0"/>
          <w:sz w:val="24"/>
          <w:szCs w:val="20"/>
        </w:rPr>
        <w:t>～</w:t>
      </w:r>
      <w:r>
        <w:rPr>
          <w:color w:val="auto"/>
          <w:kern w:val="0"/>
          <w:sz w:val="24"/>
          <w:szCs w:val="20"/>
        </w:rPr>
        <w:t>87m</w:t>
      </w:r>
      <w:r>
        <w:rPr>
          <w:rFonts w:hAnsi="宋体"/>
          <w:color w:val="auto"/>
          <w:kern w:val="0"/>
          <w:sz w:val="24"/>
          <w:szCs w:val="20"/>
        </w:rPr>
        <w:t>，以中砂为主。中层水顶板埋深</w:t>
      </w:r>
      <w:r>
        <w:rPr>
          <w:color w:val="auto"/>
          <w:kern w:val="0"/>
          <w:sz w:val="24"/>
          <w:szCs w:val="20"/>
        </w:rPr>
        <w:t>73</w:t>
      </w:r>
      <w:r>
        <w:rPr>
          <w:rFonts w:hAnsi="宋体"/>
          <w:color w:val="auto"/>
          <w:kern w:val="0"/>
          <w:sz w:val="24"/>
          <w:szCs w:val="20"/>
        </w:rPr>
        <w:t>～</w:t>
      </w:r>
      <w:r>
        <w:rPr>
          <w:color w:val="auto"/>
          <w:kern w:val="0"/>
          <w:sz w:val="24"/>
          <w:szCs w:val="20"/>
        </w:rPr>
        <w:t>97m</w:t>
      </w:r>
      <w:r>
        <w:rPr>
          <w:rFonts w:hAnsi="宋体"/>
          <w:color w:val="auto"/>
          <w:kern w:val="0"/>
          <w:sz w:val="24"/>
          <w:szCs w:val="20"/>
        </w:rPr>
        <w:t>，底板埋深</w:t>
      </w:r>
      <w:r>
        <w:rPr>
          <w:color w:val="auto"/>
          <w:kern w:val="0"/>
          <w:sz w:val="24"/>
          <w:szCs w:val="20"/>
        </w:rPr>
        <w:t>124</w:t>
      </w:r>
      <w:r>
        <w:rPr>
          <w:rFonts w:hAnsi="宋体"/>
          <w:color w:val="auto"/>
          <w:kern w:val="0"/>
          <w:sz w:val="24"/>
          <w:szCs w:val="20"/>
        </w:rPr>
        <w:t>～</w:t>
      </w:r>
      <w:r>
        <w:rPr>
          <w:color w:val="auto"/>
          <w:kern w:val="0"/>
          <w:sz w:val="24"/>
          <w:szCs w:val="20"/>
        </w:rPr>
        <w:t>137m</w:t>
      </w:r>
      <w:r>
        <w:rPr>
          <w:rFonts w:hAnsi="宋体"/>
          <w:color w:val="auto"/>
          <w:kern w:val="0"/>
          <w:sz w:val="24"/>
          <w:szCs w:val="20"/>
        </w:rPr>
        <w:t>，以中细砂为主。地下水矿化度小于</w:t>
      </w:r>
      <w:r>
        <w:rPr>
          <w:color w:val="auto"/>
          <w:kern w:val="0"/>
          <w:sz w:val="24"/>
          <w:szCs w:val="20"/>
        </w:rPr>
        <w:t>0.7g/L</w:t>
      </w:r>
      <w:r>
        <w:rPr>
          <w:rFonts w:hAnsi="宋体"/>
          <w:color w:val="auto"/>
          <w:kern w:val="0"/>
          <w:sz w:val="24"/>
          <w:szCs w:val="20"/>
        </w:rPr>
        <w:t>。</w:t>
      </w:r>
    </w:p>
    <w:bookmarkEnd w:id="236"/>
    <w:bookmarkEnd w:id="237"/>
    <w:bookmarkEnd w:id="238"/>
    <w:p>
      <w:pPr>
        <w:adjustRightInd w:val="0"/>
        <w:snapToGrid w:val="0"/>
        <w:spacing w:line="360" w:lineRule="auto"/>
        <w:outlineLvl w:val="2"/>
        <w:rPr>
          <w:rFonts w:eastAsia="黑体"/>
          <w:color w:val="auto"/>
          <w:kern w:val="21"/>
          <w:sz w:val="28"/>
          <w:szCs w:val="28"/>
        </w:rPr>
      </w:pPr>
      <w:bookmarkStart w:id="239" w:name="_Toc428287533"/>
      <w:bookmarkStart w:id="240" w:name="_Toc428287181"/>
      <w:bookmarkStart w:id="241" w:name="_Toc428286787"/>
      <w:r>
        <w:rPr>
          <w:rFonts w:hint="eastAsia" w:eastAsia="黑体"/>
          <w:color w:val="auto"/>
          <w:kern w:val="21"/>
          <w:sz w:val="28"/>
          <w:szCs w:val="28"/>
        </w:rPr>
        <w:t>4.1.5</w:t>
      </w:r>
      <w:r>
        <w:rPr>
          <w:rFonts w:eastAsia="黑体"/>
          <w:color w:val="auto"/>
          <w:kern w:val="21"/>
          <w:sz w:val="28"/>
          <w:szCs w:val="28"/>
        </w:rPr>
        <w:t>地表水环境</w:t>
      </w:r>
      <w:bookmarkEnd w:id="239"/>
      <w:bookmarkEnd w:id="240"/>
      <w:bookmarkEnd w:id="241"/>
    </w:p>
    <w:p>
      <w:pPr>
        <w:adjustRightInd w:val="0"/>
        <w:snapToGrid w:val="0"/>
        <w:spacing w:line="360" w:lineRule="auto"/>
        <w:ind w:firstLine="480" w:firstLineChars="200"/>
        <w:textAlignment w:val="baseline"/>
        <w:rPr>
          <w:color w:val="auto"/>
          <w:kern w:val="0"/>
          <w:sz w:val="24"/>
          <w:szCs w:val="20"/>
        </w:rPr>
      </w:pPr>
      <w:bookmarkStart w:id="242" w:name="_Toc428287534"/>
      <w:bookmarkStart w:id="243" w:name="_Toc428287182"/>
      <w:bookmarkStart w:id="244" w:name="_Toc428286788"/>
      <w:r>
        <w:rPr>
          <w:color w:val="auto"/>
          <w:kern w:val="0"/>
          <w:sz w:val="24"/>
          <w:szCs w:val="20"/>
        </w:rPr>
        <w:t>流经获嘉县的天然河流有大沙河、大狮涝河，均属海河水系；人工渠道有共产主义渠。</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（1）大沙河：发源于</w:t>
      </w:r>
      <w:r>
        <w:rPr>
          <w:rFonts w:hint="eastAsia"/>
          <w:color w:val="auto"/>
          <w:kern w:val="0"/>
          <w:sz w:val="24"/>
          <w:szCs w:val="20"/>
          <w:lang w:eastAsia="zh-CN"/>
        </w:rPr>
        <w:t>山西省陵川县</w:t>
      </w:r>
      <w:r>
        <w:rPr>
          <w:color w:val="auto"/>
          <w:kern w:val="0"/>
          <w:sz w:val="24"/>
          <w:szCs w:val="20"/>
        </w:rPr>
        <w:t>夺火镇，流经河南省博爱、焦作、武陟、获嘉、辉县，经新乡县西永康北入共产主义渠，全长115.5km，流域面积2688km</w:t>
      </w:r>
      <w:r>
        <w:rPr>
          <w:color w:val="auto"/>
          <w:kern w:val="0"/>
          <w:sz w:val="24"/>
          <w:szCs w:val="20"/>
          <w:vertAlign w:val="superscript"/>
        </w:rPr>
        <w:t>2</w:t>
      </w:r>
      <w:r>
        <w:rPr>
          <w:color w:val="auto"/>
          <w:kern w:val="0"/>
          <w:sz w:val="24"/>
          <w:szCs w:val="20"/>
        </w:rPr>
        <w:t>。大沙河，坡陡、流急。1964年、1978年又进行扩挖并兴建桥、涵、闸等工程，除涝标准2</w:t>
      </w:r>
      <w:r>
        <w:rPr>
          <w:rFonts w:hint="eastAsia"/>
          <w:color w:val="auto"/>
          <w:kern w:val="0"/>
          <w:sz w:val="24"/>
          <w:szCs w:val="20"/>
          <w:lang w:eastAsia="zh-CN"/>
        </w:rPr>
        <w:t>～</w:t>
      </w:r>
      <w:r>
        <w:rPr>
          <w:color w:val="auto"/>
          <w:kern w:val="0"/>
          <w:sz w:val="24"/>
          <w:szCs w:val="20"/>
        </w:rPr>
        <w:t>10年一遇，现防洪标准达20年一遇，最大行洪流量可达980~1260m</w:t>
      </w:r>
      <w:r>
        <w:rPr>
          <w:color w:val="auto"/>
          <w:kern w:val="0"/>
          <w:sz w:val="24"/>
          <w:szCs w:val="20"/>
          <w:vertAlign w:val="superscript"/>
        </w:rPr>
        <w:t>3</w:t>
      </w:r>
      <w:r>
        <w:rPr>
          <w:color w:val="auto"/>
          <w:kern w:val="0"/>
          <w:sz w:val="24"/>
          <w:szCs w:val="20"/>
        </w:rPr>
        <w:t>/s。</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（2）大狮涝河：发源于武陟县大樊，近西南－东北向流经获嘉县西北部，在刘桥东汇入卫河，为季节性排涝河。</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（3）共产主义渠：为1958年人工开挖的引黄济卫河道，源于武陟县秦广，在境内照镜楼村北与大沙河交汇。区内长10.5km，设计宽100m，河深3.5m，流量200m</w:t>
      </w:r>
      <w:r>
        <w:rPr>
          <w:color w:val="auto"/>
          <w:kern w:val="0"/>
          <w:sz w:val="24"/>
          <w:szCs w:val="20"/>
          <w:vertAlign w:val="superscript"/>
        </w:rPr>
        <w:t>3</w:t>
      </w:r>
      <w:r>
        <w:rPr>
          <w:color w:val="auto"/>
          <w:kern w:val="0"/>
          <w:sz w:val="24"/>
          <w:szCs w:val="20"/>
        </w:rPr>
        <w:t>/s。输水后引起两岸地下水位抬高，造成农田盐碱化，于1961年停止引水，成为获嘉县的排涝河道</w:t>
      </w:r>
      <w:r>
        <w:rPr>
          <w:rFonts w:hint="eastAsia"/>
          <w:color w:val="auto"/>
          <w:kern w:val="0"/>
          <w:sz w:val="24"/>
          <w:szCs w:val="20"/>
        </w:rPr>
        <w:t>，</w:t>
      </w:r>
      <w:r>
        <w:rPr>
          <w:bCs/>
          <w:color w:val="auto"/>
          <w:sz w:val="24"/>
          <w:szCs w:val="24"/>
          <w:lang w:bidi="en-US"/>
        </w:rPr>
        <w:t>根据新乡市生态环境局《关于下达</w:t>
      </w:r>
      <w:r>
        <w:rPr>
          <w:rFonts w:hint="eastAsia"/>
          <w:bCs/>
          <w:color w:val="auto"/>
          <w:sz w:val="24"/>
          <w:szCs w:val="24"/>
          <w:lang w:bidi="en-US"/>
        </w:rPr>
        <w:t>2022年地表水环境质量暂定目标的函</w:t>
      </w:r>
      <w:r>
        <w:rPr>
          <w:bCs/>
          <w:color w:val="auto"/>
          <w:sz w:val="24"/>
          <w:szCs w:val="24"/>
          <w:lang w:bidi="en-US"/>
        </w:rPr>
        <w:t>》，</w:t>
      </w:r>
      <w:r>
        <w:rPr>
          <w:rFonts w:hint="eastAsia"/>
          <w:color w:val="auto"/>
          <w:kern w:val="0"/>
          <w:sz w:val="24"/>
          <w:szCs w:val="20"/>
        </w:rPr>
        <w:t>规</w:t>
      </w:r>
      <w:r>
        <w:rPr>
          <w:color w:val="auto"/>
          <w:kern w:val="0"/>
          <w:sz w:val="24"/>
          <w:szCs w:val="20"/>
        </w:rPr>
        <w:t>划功能</w:t>
      </w:r>
      <w:r>
        <w:rPr>
          <w:rFonts w:hint="eastAsia"/>
          <w:color w:val="auto"/>
          <w:kern w:val="0"/>
          <w:sz w:val="24"/>
          <w:szCs w:val="20"/>
        </w:rPr>
        <w:t>水体</w:t>
      </w:r>
      <w:r>
        <w:rPr>
          <w:color w:val="auto"/>
          <w:kern w:val="0"/>
          <w:sz w:val="24"/>
          <w:szCs w:val="20"/>
        </w:rPr>
        <w:t>为</w:t>
      </w:r>
      <w:r>
        <w:rPr>
          <w:color w:val="auto"/>
          <w:kern w:val="0"/>
          <w:sz w:val="24"/>
          <w:szCs w:val="20"/>
        </w:rPr>
        <w:fldChar w:fldCharType="begin"/>
      </w:r>
      <w:r>
        <w:rPr>
          <w:color w:val="auto"/>
          <w:kern w:val="0"/>
          <w:sz w:val="24"/>
          <w:szCs w:val="20"/>
        </w:rPr>
        <w:instrText xml:space="preserve"> = 4 \* ROMAN \* MERGEFORMAT </w:instrText>
      </w:r>
      <w:r>
        <w:rPr>
          <w:color w:val="auto"/>
          <w:kern w:val="0"/>
          <w:sz w:val="24"/>
          <w:szCs w:val="20"/>
        </w:rPr>
        <w:fldChar w:fldCharType="separate"/>
      </w:r>
      <w:r>
        <w:rPr>
          <w:color w:val="auto"/>
        </w:rPr>
        <w:t>IV</w:t>
      </w:r>
      <w:r>
        <w:rPr>
          <w:color w:val="auto"/>
          <w:kern w:val="0"/>
          <w:sz w:val="24"/>
          <w:szCs w:val="20"/>
        </w:rPr>
        <w:fldChar w:fldCharType="end"/>
      </w:r>
      <w:r>
        <w:rPr>
          <w:color w:val="auto"/>
          <w:kern w:val="0"/>
          <w:sz w:val="24"/>
          <w:szCs w:val="20"/>
        </w:rPr>
        <w:t>类功能区</w:t>
      </w:r>
      <w:r>
        <w:rPr>
          <w:rFonts w:hint="eastAsia"/>
          <w:color w:val="auto"/>
          <w:kern w:val="0"/>
          <w:sz w:val="24"/>
          <w:szCs w:val="20"/>
        </w:rPr>
        <w:t>。</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w:t>
      </w:r>
      <w:r>
        <w:rPr>
          <w:rFonts w:hint="eastAsia"/>
          <w:color w:val="auto"/>
          <w:kern w:val="0"/>
          <w:sz w:val="24"/>
          <w:szCs w:val="20"/>
          <w:lang w:eastAsia="zh-CN"/>
        </w:rPr>
        <w:t>纯水制备浓水、锅炉浓水及经化粪池处理后生活污水直接排入厂区总排口，经市政管</w:t>
      </w:r>
      <w:r>
        <w:rPr>
          <w:rFonts w:hint="eastAsia"/>
          <w:color w:val="auto"/>
          <w:kern w:val="0"/>
          <w:sz w:val="24"/>
          <w:szCs w:val="20"/>
        </w:rPr>
        <w:t>网排至</w:t>
      </w:r>
      <w:r>
        <w:rPr>
          <w:color w:val="auto"/>
          <w:kern w:val="0"/>
          <w:sz w:val="24"/>
          <w:szCs w:val="20"/>
        </w:rPr>
        <w:t>同盟污水处理厂</w:t>
      </w:r>
      <w:r>
        <w:rPr>
          <w:rFonts w:hint="eastAsia"/>
          <w:color w:val="auto"/>
          <w:kern w:val="0"/>
          <w:sz w:val="24"/>
          <w:szCs w:val="24"/>
        </w:rPr>
        <w:t>进一步处理，目前同盟污水处理厂</w:t>
      </w:r>
      <w:r>
        <w:rPr>
          <w:color w:val="auto"/>
          <w:kern w:val="0"/>
          <w:sz w:val="24"/>
          <w:szCs w:val="20"/>
        </w:rPr>
        <w:t>处理后的废水达到</w:t>
      </w:r>
      <w:r>
        <w:rPr>
          <w:bCs/>
          <w:color w:val="auto"/>
          <w:kern w:val="0"/>
          <w:sz w:val="24"/>
          <w:szCs w:val="20"/>
          <w:lang w:bidi="zh-CN"/>
        </w:rPr>
        <w:t>《地表水环境质量标准》（GB3838-2002）</w:t>
      </w:r>
      <w:r>
        <w:rPr>
          <w:bCs/>
          <w:color w:val="auto"/>
          <w:kern w:val="0"/>
          <w:sz w:val="24"/>
          <w:szCs w:val="20"/>
          <w:lang w:bidi="zh-CN"/>
        </w:rPr>
        <w:fldChar w:fldCharType="begin"/>
      </w:r>
      <w:r>
        <w:rPr>
          <w:bCs/>
          <w:color w:val="auto"/>
          <w:kern w:val="0"/>
          <w:sz w:val="24"/>
          <w:szCs w:val="20"/>
          <w:lang w:bidi="zh-CN"/>
        </w:rPr>
        <w:instrText xml:space="preserve"> = 4 \* ROMAN \* MERGEFORMAT </w:instrText>
      </w:r>
      <w:r>
        <w:rPr>
          <w:bCs/>
          <w:color w:val="auto"/>
          <w:kern w:val="0"/>
          <w:sz w:val="24"/>
          <w:szCs w:val="20"/>
          <w:lang w:bidi="zh-CN"/>
        </w:rPr>
        <w:fldChar w:fldCharType="separate"/>
      </w:r>
      <w:r>
        <w:rPr>
          <w:color w:val="auto"/>
        </w:rPr>
        <w:t>IV</w:t>
      </w:r>
      <w:r>
        <w:rPr>
          <w:bCs/>
          <w:color w:val="auto"/>
          <w:kern w:val="0"/>
          <w:sz w:val="24"/>
          <w:szCs w:val="20"/>
          <w:lang w:bidi="zh-CN"/>
        </w:rPr>
        <w:fldChar w:fldCharType="end"/>
      </w:r>
      <w:r>
        <w:rPr>
          <w:bCs/>
          <w:color w:val="auto"/>
          <w:kern w:val="0"/>
          <w:sz w:val="24"/>
          <w:szCs w:val="20"/>
          <w:lang w:bidi="zh-CN"/>
        </w:rPr>
        <w:t>类标准及</w:t>
      </w:r>
      <w:r>
        <w:rPr>
          <w:color w:val="auto"/>
          <w:kern w:val="0"/>
          <w:sz w:val="24"/>
          <w:szCs w:val="20"/>
        </w:rPr>
        <w:t>《城镇污水处理厂污染物排放标准》（GB18918-2002）一级A标准后</w:t>
      </w:r>
      <w:r>
        <w:rPr>
          <w:rFonts w:hint="eastAsia"/>
          <w:color w:val="auto"/>
          <w:kern w:val="0"/>
          <w:sz w:val="24"/>
          <w:szCs w:val="20"/>
        </w:rPr>
        <w:t>最终排入</w:t>
      </w:r>
      <w:r>
        <w:rPr>
          <w:color w:val="auto"/>
          <w:kern w:val="0"/>
          <w:sz w:val="24"/>
          <w:szCs w:val="20"/>
        </w:rPr>
        <w:t>共产主义渠。</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4.1.6</w:t>
      </w:r>
      <w:r>
        <w:rPr>
          <w:rFonts w:eastAsia="黑体"/>
          <w:color w:val="auto"/>
          <w:kern w:val="21"/>
          <w:sz w:val="28"/>
          <w:szCs w:val="28"/>
        </w:rPr>
        <w:t>地下水环境</w:t>
      </w:r>
      <w:bookmarkEnd w:id="242"/>
      <w:bookmarkEnd w:id="243"/>
      <w:bookmarkEnd w:id="244"/>
    </w:p>
    <w:p>
      <w:pPr>
        <w:adjustRightInd w:val="0"/>
        <w:snapToGrid w:val="0"/>
        <w:spacing w:line="360" w:lineRule="auto"/>
        <w:ind w:firstLine="480" w:firstLineChars="200"/>
        <w:textAlignment w:val="baseline"/>
        <w:rPr>
          <w:color w:val="auto"/>
          <w:kern w:val="0"/>
          <w:sz w:val="24"/>
          <w:szCs w:val="20"/>
        </w:rPr>
      </w:pPr>
      <w:bookmarkStart w:id="245" w:name="_Toc428287183"/>
      <w:bookmarkStart w:id="246" w:name="_Toc428286789"/>
      <w:bookmarkStart w:id="247" w:name="_Toc428287535"/>
      <w:bookmarkStart w:id="248" w:name="_Toc245634107"/>
      <w:bookmarkStart w:id="249" w:name="_Toc245630714"/>
      <w:bookmarkStart w:id="250" w:name="_Toc251338304"/>
      <w:bookmarkStart w:id="251" w:name="_Toc242350681"/>
      <w:bookmarkStart w:id="252" w:name="_Toc249411650"/>
      <w:r>
        <w:rPr>
          <w:color w:val="auto"/>
          <w:kern w:val="0"/>
          <w:sz w:val="24"/>
          <w:szCs w:val="20"/>
        </w:rPr>
        <w:t>获嘉县的地址、地貌构造条件，控制和影响着县境内地下水的赋存和分布规律。大气降水入渗为本县地下水的主要补给源。在古阳堤以南的古河道密集带、饱气带盐性颗粒粗，有利于入渗，而在古黄河背河洼地及交接洼地是汇集地表水、地下水的场所，径流条件差，蒸发作用强，入渗性低。</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获嘉县浅层地下水流向，在冯庄、亢村一带，向北径流，水力坡度1/1600~1/1200；在狮子营~位庄一带，向南径流，水力坡度1/600~1/1200。评价区地下水流向从西南至东北。</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4.1.7</w:t>
      </w:r>
      <w:r>
        <w:rPr>
          <w:rFonts w:eastAsia="黑体"/>
          <w:color w:val="auto"/>
          <w:kern w:val="21"/>
          <w:sz w:val="28"/>
          <w:szCs w:val="28"/>
        </w:rPr>
        <w:t>土壤</w:t>
      </w:r>
      <w:bookmarkEnd w:id="245"/>
      <w:bookmarkEnd w:id="246"/>
      <w:bookmarkEnd w:id="247"/>
      <w:r>
        <w:rPr>
          <w:rFonts w:eastAsia="黑体"/>
          <w:color w:val="auto"/>
          <w:kern w:val="21"/>
          <w:sz w:val="28"/>
          <w:szCs w:val="28"/>
        </w:rPr>
        <w:t>植被</w:t>
      </w:r>
    </w:p>
    <w:bookmarkEnd w:id="248"/>
    <w:bookmarkEnd w:id="249"/>
    <w:bookmarkEnd w:id="250"/>
    <w:bookmarkEnd w:id="251"/>
    <w:bookmarkEnd w:id="252"/>
    <w:p>
      <w:pPr>
        <w:adjustRightInd w:val="0"/>
        <w:snapToGrid w:val="0"/>
        <w:spacing w:line="360" w:lineRule="auto"/>
        <w:ind w:firstLine="480" w:firstLineChars="200"/>
        <w:textAlignment w:val="baseline"/>
        <w:rPr>
          <w:color w:val="auto"/>
          <w:kern w:val="0"/>
          <w:sz w:val="24"/>
          <w:szCs w:val="20"/>
        </w:rPr>
      </w:pPr>
      <w:bookmarkStart w:id="253" w:name="_Toc329586405"/>
      <w:bookmarkStart w:id="254" w:name="_Toc428286790"/>
      <w:bookmarkStart w:id="255" w:name="_Toc428287184"/>
      <w:bookmarkStart w:id="256" w:name="_Toc417375754"/>
      <w:bookmarkStart w:id="257" w:name="_Toc329590313"/>
      <w:bookmarkStart w:id="258" w:name="_Toc429318391"/>
      <w:r>
        <w:rPr>
          <w:color w:val="auto"/>
          <w:kern w:val="0"/>
          <w:sz w:val="24"/>
          <w:szCs w:val="20"/>
        </w:rPr>
        <w:t>获嘉县土壤深厚疏松，熟化程度高，分为2个土类、5个亚类、9个土属、53个土种。潮土类面积最大，分布最广，面积为4.68万公顷，占全县土地总面积的99.28%。自然资源比较丰富，植物有粮食作物、经济作物、蔬菜作物以及林果、自然植被等。野生动物有兽类、鸟类、爬行类、两栖类、鱼类、昆虫等。具有开采价值的矿产有石灰岩、赤铁矿、铝土和煤4种。</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获嘉县植被多为农作物栽培植被片，成片林植被分布在故道沙区。其余植被系统为人工植被，人工栽培的杨柳、旱柳与农作物组成的大面积的人工农田林网。</w:t>
      </w:r>
    </w:p>
    <w:bookmarkEnd w:id="253"/>
    <w:bookmarkEnd w:id="254"/>
    <w:bookmarkEnd w:id="255"/>
    <w:bookmarkEnd w:id="256"/>
    <w:bookmarkEnd w:id="257"/>
    <w:bookmarkEnd w:id="258"/>
    <w:p>
      <w:pPr>
        <w:pStyle w:val="4"/>
        <w:spacing w:before="156" w:after="156"/>
        <w:rPr>
          <w:color w:val="auto"/>
        </w:rPr>
      </w:pPr>
      <w:bookmarkStart w:id="259" w:name="_Toc112338946"/>
      <w:bookmarkStart w:id="260" w:name="_Toc58828273"/>
      <w:r>
        <w:rPr>
          <w:rFonts w:hint="eastAsia"/>
          <w:color w:val="auto"/>
        </w:rPr>
        <w:t>4.2环境质量现状监测与评价</w:t>
      </w:r>
      <w:bookmarkEnd w:id="259"/>
      <w:bookmarkEnd w:id="260"/>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4.2.1现状监测数据来源</w:t>
      </w:r>
      <w:bookmarkEnd w:id="225"/>
      <w:bookmarkEnd w:id="226"/>
      <w:bookmarkEnd w:id="227"/>
      <w:bookmarkEnd w:id="228"/>
    </w:p>
    <w:bookmarkEnd w:id="229"/>
    <w:p>
      <w:pPr>
        <w:spacing w:line="360" w:lineRule="auto"/>
        <w:ind w:firstLine="480" w:firstLineChars="200"/>
        <w:rPr>
          <w:color w:val="auto"/>
          <w:kern w:val="0"/>
          <w:sz w:val="24"/>
          <w:szCs w:val="28"/>
        </w:rPr>
      </w:pPr>
      <w:bookmarkStart w:id="261" w:name="_Toc199565748"/>
      <w:bookmarkStart w:id="262" w:name="_Toc199566844"/>
      <w:bookmarkStart w:id="263" w:name="_Toc324839600"/>
      <w:bookmarkStart w:id="264" w:name="_Toc311812644"/>
      <w:bookmarkStart w:id="265" w:name="_Toc324839303"/>
      <w:bookmarkStart w:id="266" w:name="_Toc502244697"/>
      <w:bookmarkStart w:id="267" w:name="_Toc428287224"/>
      <w:bookmarkStart w:id="268" w:name="_Toc310408270"/>
      <w:bookmarkStart w:id="269" w:name="_Toc428286863"/>
      <w:bookmarkStart w:id="270" w:name="_Toc429318407"/>
      <w:r>
        <w:rPr>
          <w:color w:val="auto"/>
          <w:kern w:val="0"/>
          <w:sz w:val="24"/>
          <w:szCs w:val="28"/>
        </w:rPr>
        <w:t>环境空气质量评价因子中基本污染物（SO</w:t>
      </w:r>
      <w:r>
        <w:rPr>
          <w:color w:val="auto"/>
          <w:kern w:val="0"/>
          <w:sz w:val="24"/>
          <w:szCs w:val="28"/>
          <w:vertAlign w:val="subscript"/>
        </w:rPr>
        <w:t>2</w:t>
      </w:r>
      <w:r>
        <w:rPr>
          <w:color w:val="auto"/>
          <w:kern w:val="0"/>
          <w:sz w:val="24"/>
          <w:szCs w:val="28"/>
        </w:rPr>
        <w:t>、NO</w:t>
      </w:r>
      <w:r>
        <w:rPr>
          <w:color w:val="auto"/>
          <w:kern w:val="0"/>
          <w:sz w:val="24"/>
          <w:szCs w:val="28"/>
          <w:vertAlign w:val="subscript"/>
        </w:rPr>
        <w:t>2</w:t>
      </w:r>
      <w:r>
        <w:rPr>
          <w:color w:val="auto"/>
          <w:kern w:val="0"/>
          <w:sz w:val="24"/>
          <w:szCs w:val="28"/>
        </w:rPr>
        <w:t>、PM</w:t>
      </w:r>
      <w:r>
        <w:rPr>
          <w:color w:val="auto"/>
          <w:kern w:val="0"/>
          <w:sz w:val="24"/>
          <w:szCs w:val="28"/>
          <w:vertAlign w:val="subscript"/>
        </w:rPr>
        <w:t>10</w:t>
      </w:r>
      <w:r>
        <w:rPr>
          <w:color w:val="auto"/>
          <w:kern w:val="0"/>
          <w:sz w:val="24"/>
          <w:szCs w:val="28"/>
        </w:rPr>
        <w:t>、PM</w:t>
      </w:r>
      <w:r>
        <w:rPr>
          <w:color w:val="auto"/>
          <w:kern w:val="0"/>
          <w:sz w:val="24"/>
          <w:szCs w:val="28"/>
          <w:vertAlign w:val="subscript"/>
        </w:rPr>
        <w:t>2.5</w:t>
      </w:r>
      <w:r>
        <w:rPr>
          <w:color w:val="auto"/>
          <w:kern w:val="0"/>
          <w:sz w:val="24"/>
          <w:szCs w:val="28"/>
        </w:rPr>
        <w:t>、CO、O</w:t>
      </w:r>
      <w:r>
        <w:rPr>
          <w:color w:val="auto"/>
          <w:kern w:val="0"/>
          <w:sz w:val="24"/>
          <w:szCs w:val="28"/>
          <w:vertAlign w:val="subscript"/>
        </w:rPr>
        <w:t>3</w:t>
      </w:r>
      <w:r>
        <w:rPr>
          <w:color w:val="auto"/>
          <w:kern w:val="0"/>
          <w:sz w:val="24"/>
          <w:szCs w:val="28"/>
        </w:rPr>
        <w:t>）环境质量现状数据来源于</w:t>
      </w:r>
      <w:r>
        <w:rPr>
          <w:rFonts w:hint="eastAsia" w:ascii="宋体" w:hAnsi="宋体"/>
          <w:color w:val="auto"/>
          <w:kern w:val="0"/>
          <w:sz w:val="24"/>
          <w:szCs w:val="28"/>
        </w:rPr>
        <w:t>由“新乡市生态环境局发布的新乡</w:t>
      </w:r>
      <w:r>
        <w:rPr>
          <w:rFonts w:hint="eastAsia" w:ascii="宋体" w:hAnsi="宋体"/>
          <w:b w:val="0"/>
          <w:bCs w:val="0"/>
          <w:color w:val="auto"/>
          <w:kern w:val="0"/>
          <w:sz w:val="24"/>
          <w:szCs w:val="28"/>
          <w:u w:val="none"/>
        </w:rPr>
        <w:t>市</w:t>
      </w:r>
      <w:r>
        <w:rPr>
          <w:rFonts w:hint="eastAsia"/>
          <w:b/>
          <w:bCs/>
          <w:color w:val="auto"/>
          <w:kern w:val="0"/>
          <w:sz w:val="24"/>
          <w:szCs w:val="28"/>
          <w:u w:val="single"/>
          <w:lang w:val="en-US" w:eastAsia="zh-CN"/>
        </w:rPr>
        <w:t>2022</w:t>
      </w:r>
      <w:r>
        <w:rPr>
          <w:rFonts w:hint="eastAsia" w:ascii="宋体" w:hAnsi="宋体"/>
          <w:color w:val="auto"/>
          <w:kern w:val="0"/>
          <w:sz w:val="24"/>
          <w:szCs w:val="28"/>
        </w:rPr>
        <w:t>年环境质量公报”</w:t>
      </w:r>
      <w:r>
        <w:rPr>
          <w:color w:val="auto"/>
          <w:kern w:val="0"/>
          <w:sz w:val="24"/>
          <w:szCs w:val="28"/>
        </w:rPr>
        <w:t>；特征污染物（氯化氢、硫酸雾、铬酸雾、氨气</w:t>
      </w:r>
      <w:r>
        <w:rPr>
          <w:rFonts w:hint="eastAsia"/>
          <w:color w:val="auto"/>
          <w:kern w:val="0"/>
          <w:sz w:val="24"/>
          <w:szCs w:val="28"/>
        </w:rPr>
        <w:t>、硫化氢、臭气浓度</w:t>
      </w:r>
      <w:r>
        <w:rPr>
          <w:color w:val="auto"/>
          <w:kern w:val="0"/>
          <w:sz w:val="24"/>
          <w:szCs w:val="28"/>
        </w:rPr>
        <w:t>）环境质量现状数据来源于本次环评委托</w:t>
      </w:r>
      <w:r>
        <w:rPr>
          <w:rFonts w:hint="eastAsia"/>
          <w:color w:val="auto"/>
          <w:kern w:val="0"/>
          <w:sz w:val="24"/>
          <w:szCs w:val="28"/>
        </w:rPr>
        <w:t>河南</w:t>
      </w:r>
      <w:r>
        <w:rPr>
          <w:color w:val="auto"/>
          <w:kern w:val="0"/>
          <w:sz w:val="24"/>
          <w:szCs w:val="28"/>
        </w:rPr>
        <w:t>鼎泰检测技术有限公司于2021年</w:t>
      </w:r>
      <w:r>
        <w:rPr>
          <w:rFonts w:hint="eastAsia"/>
          <w:color w:val="auto"/>
          <w:kern w:val="0"/>
          <w:sz w:val="24"/>
          <w:szCs w:val="28"/>
        </w:rPr>
        <w:t>9</w:t>
      </w:r>
      <w:r>
        <w:rPr>
          <w:color w:val="auto"/>
          <w:kern w:val="0"/>
          <w:sz w:val="24"/>
          <w:szCs w:val="28"/>
        </w:rPr>
        <w:t>月</w:t>
      </w:r>
      <w:r>
        <w:rPr>
          <w:rFonts w:hint="eastAsia"/>
          <w:color w:val="auto"/>
          <w:kern w:val="0"/>
          <w:sz w:val="24"/>
          <w:szCs w:val="28"/>
        </w:rPr>
        <w:t>16</w:t>
      </w:r>
      <w:r>
        <w:rPr>
          <w:color w:val="auto"/>
          <w:kern w:val="0"/>
          <w:sz w:val="24"/>
          <w:szCs w:val="28"/>
        </w:rPr>
        <w:t>日</w:t>
      </w:r>
      <w:r>
        <w:rPr>
          <w:rFonts w:hint="eastAsia"/>
          <w:color w:val="auto"/>
          <w:kern w:val="0"/>
          <w:sz w:val="24"/>
          <w:szCs w:val="28"/>
          <w:lang w:eastAsia="zh-CN"/>
        </w:rPr>
        <w:t>～</w:t>
      </w:r>
      <w:r>
        <w:rPr>
          <w:rFonts w:hint="eastAsia"/>
          <w:color w:val="auto"/>
          <w:kern w:val="0"/>
          <w:sz w:val="24"/>
          <w:szCs w:val="28"/>
        </w:rPr>
        <w:t>22</w:t>
      </w:r>
      <w:r>
        <w:rPr>
          <w:color w:val="auto"/>
          <w:kern w:val="0"/>
          <w:sz w:val="24"/>
          <w:szCs w:val="28"/>
        </w:rPr>
        <w:t>日进行的</w:t>
      </w:r>
      <w:r>
        <w:rPr>
          <w:rFonts w:hint="eastAsia"/>
          <w:color w:val="auto"/>
          <w:kern w:val="0"/>
          <w:sz w:val="24"/>
          <w:szCs w:val="28"/>
        </w:rPr>
        <w:t>监测；</w:t>
      </w:r>
    </w:p>
    <w:p>
      <w:pPr>
        <w:spacing w:line="360" w:lineRule="auto"/>
        <w:ind w:firstLine="480" w:firstLineChars="200"/>
        <w:rPr>
          <w:b/>
          <w:bCs/>
          <w:color w:val="auto"/>
          <w:kern w:val="0"/>
          <w:sz w:val="24"/>
          <w:szCs w:val="28"/>
          <w:u w:val="single"/>
        </w:rPr>
      </w:pPr>
      <w:r>
        <w:rPr>
          <w:color w:val="auto"/>
          <w:kern w:val="0"/>
          <w:sz w:val="24"/>
          <w:szCs w:val="28"/>
        </w:rPr>
        <w:t>地表水环境质量现状监测数据来源：</w:t>
      </w:r>
      <w:r>
        <w:rPr>
          <w:rFonts w:ascii="宋体" w:hAnsi="宋体" w:eastAsia="宋体" w:cs="宋体"/>
          <w:b/>
          <w:bCs/>
          <w:sz w:val="24"/>
          <w:szCs w:val="24"/>
          <w:u w:val="single"/>
        </w:rPr>
        <w:t>引用新乡市环境监测站对共产主义渠西永康断面2022年1-12月的平均监测数据</w:t>
      </w:r>
      <w:r>
        <w:rPr>
          <w:rFonts w:hint="eastAsia" w:ascii="宋体" w:hAnsi="宋体" w:eastAsia="宋体" w:cs="宋体"/>
          <w:b/>
          <w:bCs/>
          <w:sz w:val="24"/>
          <w:szCs w:val="24"/>
          <w:u w:val="single"/>
          <w:lang w:eastAsia="zh-CN"/>
        </w:rPr>
        <w:t>。</w:t>
      </w:r>
    </w:p>
    <w:p>
      <w:pPr>
        <w:spacing w:line="360" w:lineRule="auto"/>
        <w:ind w:firstLine="480" w:firstLineChars="200"/>
        <w:rPr>
          <w:color w:val="auto"/>
          <w:kern w:val="0"/>
          <w:sz w:val="24"/>
          <w:szCs w:val="28"/>
        </w:rPr>
      </w:pPr>
      <w:r>
        <w:rPr>
          <w:color w:val="auto"/>
          <w:kern w:val="0"/>
          <w:sz w:val="24"/>
          <w:szCs w:val="28"/>
        </w:rPr>
        <w:t>声环境质量现状来源于本次环评委托河南</w:t>
      </w:r>
      <w:r>
        <w:rPr>
          <w:rFonts w:hint="eastAsia"/>
          <w:color w:val="auto"/>
          <w:kern w:val="0"/>
          <w:sz w:val="24"/>
          <w:szCs w:val="28"/>
        </w:rPr>
        <w:t>鼎泰</w:t>
      </w:r>
      <w:r>
        <w:rPr>
          <w:color w:val="auto"/>
          <w:kern w:val="0"/>
          <w:sz w:val="24"/>
          <w:szCs w:val="28"/>
        </w:rPr>
        <w:t>检测科技有限公司于2021年</w:t>
      </w:r>
      <w:r>
        <w:rPr>
          <w:rFonts w:hint="eastAsia"/>
          <w:color w:val="auto"/>
          <w:kern w:val="0"/>
          <w:sz w:val="24"/>
          <w:szCs w:val="28"/>
        </w:rPr>
        <w:t>9</w:t>
      </w:r>
      <w:r>
        <w:rPr>
          <w:color w:val="auto"/>
          <w:kern w:val="0"/>
          <w:sz w:val="24"/>
          <w:szCs w:val="28"/>
        </w:rPr>
        <w:t>月</w:t>
      </w:r>
      <w:r>
        <w:rPr>
          <w:rFonts w:hint="eastAsia"/>
          <w:color w:val="auto"/>
          <w:kern w:val="0"/>
          <w:sz w:val="24"/>
          <w:szCs w:val="28"/>
        </w:rPr>
        <w:t>16</w:t>
      </w:r>
      <w:r>
        <w:rPr>
          <w:color w:val="auto"/>
          <w:kern w:val="0"/>
          <w:sz w:val="24"/>
          <w:szCs w:val="28"/>
        </w:rPr>
        <w:t>日</w:t>
      </w:r>
      <w:r>
        <w:rPr>
          <w:rFonts w:hint="eastAsia"/>
          <w:color w:val="auto"/>
          <w:kern w:val="0"/>
          <w:sz w:val="24"/>
          <w:szCs w:val="28"/>
          <w:lang w:eastAsia="zh-CN"/>
        </w:rPr>
        <w:t>～</w:t>
      </w:r>
      <w:r>
        <w:rPr>
          <w:rFonts w:hint="eastAsia"/>
          <w:color w:val="auto"/>
          <w:kern w:val="0"/>
          <w:sz w:val="24"/>
          <w:szCs w:val="28"/>
        </w:rPr>
        <w:t>17</w:t>
      </w:r>
      <w:r>
        <w:rPr>
          <w:color w:val="auto"/>
          <w:kern w:val="0"/>
          <w:sz w:val="24"/>
          <w:szCs w:val="28"/>
        </w:rPr>
        <w:t>日进行的监测。</w:t>
      </w:r>
    </w:p>
    <w:p>
      <w:pPr>
        <w:spacing w:line="360" w:lineRule="auto"/>
        <w:ind w:firstLine="480" w:firstLineChars="200"/>
        <w:rPr>
          <w:color w:val="auto"/>
          <w:kern w:val="0"/>
          <w:sz w:val="24"/>
          <w:szCs w:val="28"/>
        </w:rPr>
      </w:pPr>
      <w:r>
        <w:rPr>
          <w:color w:val="auto"/>
          <w:kern w:val="0"/>
          <w:sz w:val="24"/>
          <w:szCs w:val="28"/>
        </w:rPr>
        <w:t>地下水环境质量现状数据引用</w:t>
      </w:r>
      <w:r>
        <w:rPr>
          <w:rFonts w:hint="eastAsia"/>
          <w:color w:val="auto"/>
          <w:kern w:val="0"/>
          <w:sz w:val="24"/>
          <w:szCs w:val="28"/>
        </w:rPr>
        <w:t>《河南大成包装材料有限公司年产15万吨工业钢丝（非普通松弛级别）建设项目环境影响评价报告书》以及本次环评委托</w:t>
      </w:r>
    </w:p>
    <w:p>
      <w:pPr>
        <w:spacing w:line="360" w:lineRule="auto"/>
        <w:rPr>
          <w:color w:val="auto"/>
          <w:kern w:val="0"/>
          <w:sz w:val="24"/>
          <w:szCs w:val="28"/>
        </w:rPr>
      </w:pPr>
      <w:r>
        <w:rPr>
          <w:color w:val="auto"/>
          <w:kern w:val="0"/>
          <w:sz w:val="24"/>
          <w:szCs w:val="28"/>
        </w:rPr>
        <w:t>河南鼎泰检测科技有限公司于2021年</w:t>
      </w:r>
      <w:r>
        <w:rPr>
          <w:rFonts w:hint="eastAsia"/>
          <w:color w:val="auto"/>
          <w:kern w:val="0"/>
          <w:sz w:val="24"/>
          <w:szCs w:val="28"/>
        </w:rPr>
        <w:t>9</w:t>
      </w:r>
      <w:r>
        <w:rPr>
          <w:color w:val="auto"/>
          <w:kern w:val="0"/>
          <w:sz w:val="24"/>
          <w:szCs w:val="28"/>
        </w:rPr>
        <w:t>月</w:t>
      </w:r>
      <w:r>
        <w:rPr>
          <w:rFonts w:hint="eastAsia"/>
          <w:color w:val="auto"/>
          <w:kern w:val="0"/>
          <w:sz w:val="24"/>
          <w:szCs w:val="28"/>
        </w:rPr>
        <w:t>16</w:t>
      </w:r>
      <w:r>
        <w:rPr>
          <w:color w:val="auto"/>
          <w:kern w:val="0"/>
          <w:sz w:val="24"/>
          <w:szCs w:val="28"/>
        </w:rPr>
        <w:t>日</w:t>
      </w:r>
      <w:r>
        <w:rPr>
          <w:rFonts w:hint="eastAsia"/>
          <w:color w:val="auto"/>
          <w:kern w:val="0"/>
          <w:sz w:val="24"/>
          <w:szCs w:val="28"/>
          <w:lang w:eastAsia="zh-CN"/>
        </w:rPr>
        <w:t>～</w:t>
      </w:r>
      <w:r>
        <w:rPr>
          <w:color w:val="auto"/>
          <w:kern w:val="0"/>
          <w:sz w:val="24"/>
          <w:szCs w:val="28"/>
        </w:rPr>
        <w:t>3日进行的监测。</w:t>
      </w:r>
    </w:p>
    <w:p>
      <w:pPr>
        <w:spacing w:line="360" w:lineRule="auto"/>
        <w:ind w:firstLine="480" w:firstLineChars="200"/>
        <w:rPr>
          <w:color w:val="auto"/>
          <w:kern w:val="0"/>
          <w:sz w:val="24"/>
          <w:szCs w:val="28"/>
        </w:rPr>
      </w:pPr>
      <w:r>
        <w:rPr>
          <w:rFonts w:hint="eastAsia"/>
          <w:color w:val="auto"/>
          <w:kern w:val="0"/>
          <w:sz w:val="24"/>
          <w:szCs w:val="28"/>
        </w:rPr>
        <w:t>土壤</w:t>
      </w:r>
      <w:r>
        <w:rPr>
          <w:color w:val="auto"/>
          <w:kern w:val="0"/>
          <w:sz w:val="24"/>
          <w:szCs w:val="28"/>
        </w:rPr>
        <w:t>环境质量现状数据</w:t>
      </w:r>
      <w:r>
        <w:rPr>
          <w:rFonts w:hint="eastAsia"/>
          <w:color w:val="auto"/>
          <w:kern w:val="0"/>
          <w:sz w:val="24"/>
          <w:szCs w:val="28"/>
          <w:lang w:eastAsia="zh-CN"/>
        </w:rPr>
        <w:t>来源于</w:t>
      </w:r>
      <w:r>
        <w:rPr>
          <w:rFonts w:hint="eastAsia"/>
          <w:color w:val="auto"/>
          <w:kern w:val="0"/>
          <w:sz w:val="24"/>
          <w:szCs w:val="28"/>
        </w:rPr>
        <w:t>本次环评委托</w:t>
      </w:r>
      <w:r>
        <w:rPr>
          <w:color w:val="auto"/>
          <w:kern w:val="0"/>
          <w:sz w:val="24"/>
          <w:szCs w:val="28"/>
        </w:rPr>
        <w:t>河南鼎泰检测科技有限公司于2021年</w:t>
      </w:r>
      <w:r>
        <w:rPr>
          <w:rFonts w:hint="eastAsia"/>
          <w:color w:val="auto"/>
          <w:kern w:val="0"/>
          <w:sz w:val="24"/>
          <w:szCs w:val="28"/>
        </w:rPr>
        <w:t>9</w:t>
      </w:r>
      <w:r>
        <w:rPr>
          <w:color w:val="auto"/>
          <w:kern w:val="0"/>
          <w:sz w:val="24"/>
          <w:szCs w:val="28"/>
        </w:rPr>
        <w:t>月</w:t>
      </w:r>
      <w:r>
        <w:rPr>
          <w:rFonts w:hint="eastAsia"/>
          <w:color w:val="auto"/>
          <w:kern w:val="0"/>
          <w:sz w:val="24"/>
          <w:szCs w:val="28"/>
        </w:rPr>
        <w:t>16</w:t>
      </w:r>
      <w:r>
        <w:rPr>
          <w:color w:val="auto"/>
          <w:kern w:val="0"/>
          <w:sz w:val="24"/>
          <w:szCs w:val="28"/>
        </w:rPr>
        <w:t>日进行的监测。</w:t>
      </w:r>
      <w:r>
        <w:rPr>
          <w:rFonts w:hint="eastAsia"/>
          <w:color w:val="auto"/>
          <w:kern w:val="0"/>
          <w:sz w:val="24"/>
          <w:szCs w:val="20"/>
        </w:rPr>
        <w:t>本次现状监测数据来源详见表4.2-1。</w:t>
      </w:r>
    </w:p>
    <w:p>
      <w:pPr>
        <w:adjustRightInd w:val="0"/>
        <w:snapToGrid w:val="0"/>
        <w:jc w:val="center"/>
        <w:rPr>
          <w:rFonts w:eastAsia="黑体"/>
          <w:snapToGrid w:val="0"/>
          <w:color w:val="auto"/>
          <w:kern w:val="21"/>
          <w:sz w:val="24"/>
        </w:rPr>
      </w:pPr>
      <w:r>
        <w:rPr>
          <w:rFonts w:hint="eastAsia" w:eastAsia="黑体"/>
          <w:snapToGrid w:val="0"/>
          <w:color w:val="auto"/>
          <w:kern w:val="21"/>
          <w:sz w:val="24"/>
        </w:rPr>
        <w:t>表</w:t>
      </w:r>
      <w:r>
        <w:rPr>
          <w:rFonts w:eastAsia="黑体"/>
          <w:snapToGrid w:val="0"/>
          <w:color w:val="auto"/>
          <w:kern w:val="21"/>
          <w:sz w:val="24"/>
        </w:rPr>
        <w:t xml:space="preserve">4.2-1 </w:t>
      </w:r>
      <w:r>
        <w:rPr>
          <w:rFonts w:hint="eastAsia" w:eastAsia="黑体"/>
          <w:snapToGrid w:val="0"/>
          <w:color w:val="auto"/>
          <w:kern w:val="21"/>
          <w:sz w:val="24"/>
        </w:rPr>
        <w:t xml:space="preserve"> 现状调查数据来源一览表</w:t>
      </w:r>
    </w:p>
    <w:tbl>
      <w:tblPr>
        <w:tblStyle w:val="8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517"/>
        <w:gridCol w:w="1687"/>
        <w:gridCol w:w="2981"/>
        <w:gridCol w:w="24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shd w:val="clear" w:color="auto" w:fill="auto"/>
            <w:vAlign w:val="center"/>
          </w:tcPr>
          <w:p>
            <w:pPr>
              <w:widowControl w:val="0"/>
              <w:adjustRightInd w:val="0"/>
              <w:snapToGrid w:val="0"/>
              <w:jc w:val="center"/>
              <w:textAlignment w:val="baseline"/>
              <w:rPr>
                <w:b/>
                <w:color w:val="auto"/>
              </w:rPr>
            </w:pPr>
            <w:r>
              <w:rPr>
                <w:rFonts w:hint="eastAsia"/>
                <w:b/>
                <w:color w:val="auto"/>
              </w:rPr>
              <w:t>现状监测项目</w:t>
            </w:r>
          </w:p>
        </w:tc>
        <w:tc>
          <w:tcPr>
            <w:tcW w:w="1292" w:type="pct"/>
            <w:gridSpan w:val="2"/>
            <w:shd w:val="clear" w:color="auto" w:fill="auto"/>
            <w:vAlign w:val="center"/>
          </w:tcPr>
          <w:p>
            <w:pPr>
              <w:widowControl w:val="0"/>
              <w:adjustRightInd w:val="0"/>
              <w:snapToGrid w:val="0"/>
              <w:jc w:val="center"/>
              <w:textAlignment w:val="baseline"/>
              <w:rPr>
                <w:b/>
                <w:color w:val="auto"/>
              </w:rPr>
            </w:pPr>
            <w:r>
              <w:rPr>
                <w:rFonts w:hint="eastAsia"/>
                <w:b/>
                <w:color w:val="auto"/>
              </w:rPr>
              <w:t>监测点位</w:t>
            </w:r>
          </w:p>
        </w:tc>
        <w:tc>
          <w:tcPr>
            <w:tcW w:w="1748" w:type="pct"/>
            <w:shd w:val="clear" w:color="auto" w:fill="auto"/>
            <w:vAlign w:val="center"/>
          </w:tcPr>
          <w:p>
            <w:pPr>
              <w:widowControl w:val="0"/>
              <w:adjustRightInd w:val="0"/>
              <w:snapToGrid w:val="0"/>
              <w:jc w:val="center"/>
              <w:textAlignment w:val="baseline"/>
              <w:rPr>
                <w:b/>
                <w:color w:val="auto"/>
              </w:rPr>
            </w:pPr>
            <w:r>
              <w:rPr>
                <w:rFonts w:hint="eastAsia"/>
                <w:b/>
                <w:color w:val="auto"/>
              </w:rPr>
              <w:t>调查因子</w:t>
            </w:r>
          </w:p>
        </w:tc>
        <w:tc>
          <w:tcPr>
            <w:tcW w:w="1444" w:type="pct"/>
            <w:shd w:val="clear" w:color="auto" w:fill="auto"/>
            <w:vAlign w:val="center"/>
          </w:tcPr>
          <w:p>
            <w:pPr>
              <w:widowControl w:val="0"/>
              <w:adjustRightInd w:val="0"/>
              <w:snapToGrid w:val="0"/>
              <w:jc w:val="center"/>
              <w:textAlignment w:val="baseline"/>
              <w:rPr>
                <w:b/>
                <w:color w:val="auto"/>
              </w:rPr>
            </w:pPr>
            <w:r>
              <w:rPr>
                <w:rFonts w:hint="eastAsia"/>
                <w:b/>
                <w:color w:val="auto"/>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环境</w:t>
            </w:r>
          </w:p>
          <w:p>
            <w:pPr>
              <w:widowControl w:val="0"/>
              <w:adjustRightInd w:val="0"/>
              <w:snapToGrid w:val="0"/>
              <w:jc w:val="center"/>
              <w:textAlignment w:val="baseline"/>
              <w:rPr>
                <w:color w:val="auto"/>
              </w:rPr>
            </w:pPr>
            <w:r>
              <w:rPr>
                <w:rFonts w:hint="eastAsia"/>
                <w:color w:val="auto"/>
              </w:rPr>
              <w:t>空气</w:t>
            </w: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新乡市</w:t>
            </w:r>
          </w:p>
        </w:tc>
        <w:tc>
          <w:tcPr>
            <w:tcW w:w="1748" w:type="pct"/>
            <w:shd w:val="clear" w:color="auto" w:fill="auto"/>
            <w:vAlign w:val="center"/>
          </w:tcPr>
          <w:p>
            <w:pPr>
              <w:widowControl w:val="0"/>
              <w:tabs>
                <w:tab w:val="left" w:pos="30"/>
              </w:tabs>
              <w:adjustRightInd w:val="0"/>
              <w:snapToGrid w:val="0"/>
              <w:jc w:val="center"/>
              <w:textAlignment w:val="baseline"/>
              <w:rPr>
                <w:color w:val="auto"/>
              </w:rPr>
            </w:pPr>
            <w:r>
              <w:rPr>
                <w:color w:val="auto"/>
              </w:rPr>
              <w:t>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、PM</w:t>
            </w:r>
            <w:r>
              <w:rPr>
                <w:color w:val="auto"/>
                <w:vertAlign w:val="subscript"/>
              </w:rPr>
              <w:t>2.5</w:t>
            </w:r>
            <w:r>
              <w:rPr>
                <w:color w:val="auto"/>
              </w:rPr>
              <w:t>、CO、O</w:t>
            </w:r>
            <w:r>
              <w:rPr>
                <w:color w:val="auto"/>
                <w:vertAlign w:val="subscript"/>
              </w:rPr>
              <w:t>3</w:t>
            </w:r>
          </w:p>
        </w:tc>
        <w:tc>
          <w:tcPr>
            <w:tcW w:w="1444" w:type="pct"/>
            <w:shd w:val="clear" w:color="auto" w:fill="auto"/>
            <w:vAlign w:val="center"/>
          </w:tcPr>
          <w:p>
            <w:pPr>
              <w:widowControl w:val="0"/>
              <w:adjustRightInd w:val="0"/>
              <w:snapToGrid w:val="0"/>
              <w:jc w:val="center"/>
              <w:textAlignment w:val="baseline"/>
              <w:rPr>
                <w:rFonts w:hint="eastAsia" w:eastAsia="宋体"/>
                <w:color w:val="auto"/>
                <w:lang w:eastAsia="zh-CN"/>
              </w:rPr>
            </w:pPr>
            <w:r>
              <w:rPr>
                <w:rFonts w:hint="eastAsia"/>
                <w:color w:val="auto"/>
              </w:rPr>
              <w:t>新乡市生态环境局发布的新乡市</w:t>
            </w:r>
            <w:r>
              <w:rPr>
                <w:rFonts w:hint="eastAsia"/>
                <w:b/>
                <w:bCs/>
                <w:color w:val="auto"/>
                <w:u w:val="single"/>
                <w:lang w:val="en-US" w:eastAsia="zh-CN"/>
              </w:rPr>
              <w:t>2022</w:t>
            </w:r>
            <w:r>
              <w:rPr>
                <w:rFonts w:hint="eastAsia"/>
                <w:color w:val="auto"/>
              </w:rPr>
              <w:t>年环境质量公报</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continue"/>
            <w:shd w:val="clear" w:color="auto" w:fill="auto"/>
            <w:vAlign w:val="center"/>
          </w:tcPr>
          <w:p>
            <w:pPr>
              <w:widowControl w:val="0"/>
              <w:adjustRightInd w:val="0"/>
              <w:snapToGrid w:val="0"/>
              <w:jc w:val="center"/>
              <w:textAlignment w:val="baseline"/>
              <w:rPr>
                <w:color w:val="auto"/>
              </w:rPr>
            </w:pPr>
          </w:p>
        </w:tc>
        <w:tc>
          <w:tcPr>
            <w:tcW w:w="1292" w:type="pct"/>
            <w:gridSpan w:val="2"/>
            <w:shd w:val="clear" w:color="auto" w:fill="auto"/>
            <w:vAlign w:val="center"/>
          </w:tcPr>
          <w:p>
            <w:pPr>
              <w:widowControl w:val="0"/>
              <w:adjustRightInd w:val="0"/>
              <w:snapToGrid w:val="0"/>
              <w:jc w:val="both"/>
              <w:textAlignment w:val="baseline"/>
              <w:rPr>
                <w:color w:val="auto"/>
              </w:rPr>
            </w:pPr>
            <w:r>
              <w:rPr>
                <w:rFonts w:hint="eastAsia"/>
                <w:color w:val="auto"/>
              </w:rPr>
              <w:t>厂址、陈孝村、孝合村</w:t>
            </w:r>
          </w:p>
        </w:tc>
        <w:tc>
          <w:tcPr>
            <w:tcW w:w="1748" w:type="pct"/>
            <w:shd w:val="clear" w:color="auto" w:fill="auto"/>
            <w:vAlign w:val="center"/>
          </w:tcPr>
          <w:p>
            <w:pPr>
              <w:widowControl w:val="0"/>
              <w:tabs>
                <w:tab w:val="left" w:pos="30"/>
              </w:tabs>
              <w:adjustRightInd w:val="0"/>
              <w:snapToGrid w:val="0"/>
              <w:jc w:val="center"/>
              <w:textAlignment w:val="baseline"/>
              <w:rPr>
                <w:color w:val="auto"/>
              </w:rPr>
            </w:pPr>
            <w:r>
              <w:rPr>
                <w:rFonts w:hint="eastAsia"/>
                <w:color w:val="auto"/>
              </w:rPr>
              <w:t>HCL、硫酸雾、铬酸雾、氨气、硫化氢、臭气浓度</w:t>
            </w:r>
          </w:p>
        </w:tc>
        <w:tc>
          <w:tcPr>
            <w:tcW w:w="1444" w:type="pct"/>
            <w:shd w:val="clear" w:color="auto" w:fill="auto"/>
            <w:vAlign w:val="center"/>
          </w:tcPr>
          <w:p>
            <w:pPr>
              <w:widowControl w:val="0"/>
              <w:adjustRightInd w:val="0"/>
              <w:snapToGrid w:val="0"/>
              <w:jc w:val="center"/>
              <w:textAlignment w:val="baseline"/>
              <w:rPr>
                <w:rFonts w:hint="eastAsia" w:eastAsia="宋体"/>
                <w:color w:val="auto"/>
                <w:lang w:eastAsia="zh-CN"/>
              </w:rPr>
            </w:pPr>
            <w:r>
              <w:rPr>
                <w:rFonts w:hint="eastAsia"/>
                <w:color w:val="auto"/>
              </w:rPr>
              <w:t>委托河南鼎泰检测技术有限公司于2021年9月16日</w:t>
            </w:r>
            <w:r>
              <w:rPr>
                <w:rFonts w:hint="eastAsia" w:ascii="宋体" w:hAnsi="宋体"/>
                <w:color w:val="auto"/>
              </w:rPr>
              <w:t>～</w:t>
            </w:r>
            <w:r>
              <w:rPr>
                <w:rFonts w:hint="eastAsia"/>
                <w:color w:val="auto"/>
              </w:rPr>
              <w:t>22日监测</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514" w:type="pct"/>
            <w:shd w:val="clear" w:color="auto" w:fill="auto"/>
            <w:vAlign w:val="center"/>
          </w:tcPr>
          <w:p>
            <w:pPr>
              <w:widowControl w:val="0"/>
              <w:adjustRightInd w:val="0"/>
              <w:snapToGrid w:val="0"/>
              <w:jc w:val="center"/>
              <w:textAlignment w:val="baseline"/>
              <w:rPr>
                <w:color w:val="auto"/>
              </w:rPr>
            </w:pPr>
            <w:r>
              <w:rPr>
                <w:color w:val="auto"/>
              </w:rPr>
              <w:t>地表水</w:t>
            </w: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共渠西永康断面</w:t>
            </w:r>
          </w:p>
        </w:tc>
        <w:tc>
          <w:tcPr>
            <w:tcW w:w="1748" w:type="pct"/>
            <w:shd w:val="clear" w:color="auto" w:fill="auto"/>
            <w:vAlign w:val="center"/>
          </w:tcPr>
          <w:p>
            <w:pPr>
              <w:widowControl w:val="0"/>
              <w:adjustRightInd w:val="0"/>
              <w:snapToGrid w:val="0"/>
              <w:jc w:val="center"/>
              <w:textAlignment w:val="baseline"/>
              <w:rPr>
                <w:color w:val="auto"/>
              </w:rPr>
            </w:pPr>
            <w:r>
              <w:rPr>
                <w:rFonts w:hint="eastAsia"/>
                <w:color w:val="auto"/>
              </w:rPr>
              <w:t>COD、氨氮、总磷</w:t>
            </w:r>
          </w:p>
        </w:tc>
        <w:tc>
          <w:tcPr>
            <w:tcW w:w="1444" w:type="pct"/>
            <w:shd w:val="clear" w:color="auto" w:fill="auto"/>
            <w:vAlign w:val="center"/>
          </w:tcPr>
          <w:p>
            <w:pPr>
              <w:widowControl w:val="0"/>
              <w:adjustRightInd w:val="0"/>
              <w:snapToGrid w:val="0"/>
              <w:jc w:val="center"/>
              <w:textAlignment w:val="baseline"/>
              <w:rPr>
                <w:rFonts w:hint="eastAsia" w:eastAsia="宋体"/>
                <w:color w:val="auto"/>
                <w:lang w:eastAsia="zh-CN"/>
              </w:rPr>
            </w:pPr>
            <w:r>
              <w:rPr>
                <w:rFonts w:hint="default" w:ascii="Times New Roman" w:hAnsi="Times New Roman" w:cs="Times New Roman"/>
                <w:b/>
                <w:bCs/>
                <w:color w:val="auto"/>
                <w:sz w:val="21"/>
                <w:szCs w:val="21"/>
                <w:u w:val="single"/>
              </w:rPr>
              <w:t>引用</w:t>
            </w:r>
            <w:r>
              <w:rPr>
                <w:rFonts w:hint="default" w:ascii="Times New Roman" w:hAnsi="Times New Roman" w:eastAsia="宋体" w:cs="Times New Roman"/>
                <w:b/>
                <w:bCs/>
                <w:sz w:val="21"/>
                <w:szCs w:val="21"/>
                <w:u w:val="single"/>
              </w:rPr>
              <w:t>本评价引用新乡市环境监测站对共产主义渠西永康断面2022年1-12月的平均监测数据</w:t>
            </w:r>
            <w:r>
              <w:rPr>
                <w:rFonts w:hint="eastAsia"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地下水</w:t>
            </w: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厂址</w:t>
            </w:r>
          </w:p>
        </w:tc>
        <w:tc>
          <w:tcPr>
            <w:tcW w:w="1748" w:type="pct"/>
            <w:shd w:val="clear" w:color="auto" w:fill="auto"/>
            <w:vAlign w:val="center"/>
          </w:tcPr>
          <w:p>
            <w:pPr>
              <w:widowControl w:val="0"/>
              <w:adjustRightInd w:val="0"/>
              <w:snapToGrid w:val="0"/>
              <w:jc w:val="center"/>
              <w:textAlignment w:val="baseline"/>
              <w:rPr>
                <w:color w:val="auto"/>
              </w:rPr>
            </w:pPr>
            <w:r>
              <w:rPr>
                <w:rFonts w:hint="eastAsia"/>
                <w:color w:val="auto"/>
              </w:rPr>
              <w:t>包气带；PH值、K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perscript"/>
              </w:rPr>
              <w:t>3-</w:t>
            </w:r>
            <w:r>
              <w:rPr>
                <w:rFonts w:hint="eastAsia"/>
                <w:color w:val="auto"/>
              </w:rPr>
              <w:t>、Cl</w:t>
            </w:r>
            <w:r>
              <w:rPr>
                <w:rFonts w:hint="eastAsia"/>
                <w:color w:val="auto"/>
                <w:vertAlign w:val="superscript"/>
              </w:rPr>
              <w:t>-</w:t>
            </w:r>
            <w:r>
              <w:rPr>
                <w:rFonts w:hint="eastAsia"/>
                <w:color w:val="auto"/>
              </w:rPr>
              <w:t>、SO</w:t>
            </w:r>
            <w:r>
              <w:rPr>
                <w:rFonts w:hint="eastAsia"/>
                <w:color w:val="auto"/>
                <w:vertAlign w:val="subscript"/>
              </w:rPr>
              <w:t>4</w:t>
            </w:r>
            <w:r>
              <w:rPr>
                <w:rFonts w:hint="eastAsia"/>
                <w:color w:val="auto"/>
                <w:vertAlign w:val="superscript"/>
              </w:rPr>
              <w:t>2-</w:t>
            </w:r>
            <w:r>
              <w:rPr>
                <w:rFonts w:hint="eastAsia"/>
                <w:color w:val="auto"/>
              </w:rPr>
              <w:t>、氨氮、亚硝酸盐、挥发性酚类、砷、汞、铬（六价）、总硬度、铅、铁、锌、镍、溶解性总固体、总大肠菌群、阴离子合成洗涤剂、耗氧量，同时记录水温、水位埋深、井深、监测井经纬度坐标、海拔高度</w:t>
            </w:r>
          </w:p>
        </w:tc>
        <w:tc>
          <w:tcPr>
            <w:tcW w:w="1444" w:type="pct"/>
            <w:shd w:val="clear" w:color="auto" w:fill="auto"/>
            <w:vAlign w:val="center"/>
          </w:tcPr>
          <w:p>
            <w:pPr>
              <w:widowControl w:val="0"/>
              <w:adjustRightInd w:val="0"/>
              <w:snapToGrid w:val="0"/>
              <w:jc w:val="center"/>
              <w:textAlignment w:val="baseline"/>
              <w:rPr>
                <w:rFonts w:hint="eastAsia" w:eastAsia="宋体"/>
                <w:b/>
                <w:color w:val="auto"/>
                <w:lang w:eastAsia="zh-CN"/>
              </w:rPr>
            </w:pPr>
            <w:r>
              <w:rPr>
                <w:rFonts w:hint="eastAsia"/>
                <w:color w:val="auto"/>
              </w:rPr>
              <w:t>委托河南鼎泰检测技术有限公司于2021年9月16日</w:t>
            </w:r>
            <w:r>
              <w:rPr>
                <w:rFonts w:hint="eastAsia" w:ascii="宋体" w:hAnsi="宋体"/>
                <w:color w:val="auto"/>
              </w:rPr>
              <w:t>～</w:t>
            </w:r>
            <w:r>
              <w:rPr>
                <w:rFonts w:hint="eastAsia"/>
                <w:color w:val="auto"/>
              </w:rPr>
              <w:t>18日监测</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continue"/>
            <w:shd w:val="clear" w:color="auto" w:fill="auto"/>
            <w:vAlign w:val="center"/>
          </w:tcPr>
          <w:p>
            <w:pPr>
              <w:widowControl w:val="0"/>
              <w:adjustRightInd w:val="0"/>
              <w:snapToGrid w:val="0"/>
              <w:jc w:val="center"/>
              <w:textAlignment w:val="baseline"/>
              <w:rPr>
                <w:color w:val="auto"/>
              </w:rPr>
            </w:pP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陈孝村、前李村</w:t>
            </w:r>
          </w:p>
        </w:tc>
        <w:tc>
          <w:tcPr>
            <w:tcW w:w="1748" w:type="pct"/>
            <w:shd w:val="clear" w:color="auto" w:fill="auto"/>
            <w:vAlign w:val="center"/>
          </w:tcPr>
          <w:p>
            <w:pPr>
              <w:widowControl w:val="0"/>
              <w:adjustRightInd w:val="0"/>
              <w:snapToGrid w:val="0"/>
              <w:jc w:val="center"/>
              <w:textAlignment w:val="baseline"/>
              <w:rPr>
                <w:color w:val="auto"/>
              </w:rPr>
            </w:pPr>
            <w:r>
              <w:rPr>
                <w:rFonts w:hint="eastAsia"/>
                <w:color w:val="auto"/>
              </w:rPr>
              <w:t>PH值、K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perscript"/>
              </w:rPr>
              <w:t>3-</w:t>
            </w:r>
            <w:r>
              <w:rPr>
                <w:rFonts w:hint="eastAsia"/>
                <w:color w:val="auto"/>
              </w:rPr>
              <w:t>、Cl</w:t>
            </w:r>
            <w:r>
              <w:rPr>
                <w:rFonts w:hint="eastAsia"/>
                <w:color w:val="auto"/>
                <w:vertAlign w:val="superscript"/>
              </w:rPr>
              <w:t>-</w:t>
            </w:r>
            <w:r>
              <w:rPr>
                <w:rFonts w:hint="eastAsia"/>
                <w:color w:val="auto"/>
              </w:rPr>
              <w:t>、SO4</w:t>
            </w:r>
            <w:r>
              <w:rPr>
                <w:rFonts w:hint="eastAsia"/>
                <w:color w:val="auto"/>
                <w:vertAlign w:val="superscript"/>
              </w:rPr>
              <w:t>2-</w:t>
            </w:r>
            <w:r>
              <w:rPr>
                <w:rFonts w:hint="eastAsia"/>
                <w:color w:val="auto"/>
              </w:rPr>
              <w:t>、氨氮、亚硝酸盐、挥发性酚类、砷、汞、铬（六价）、总硬度、铅、铁、锌、溶解性总固体、总大肠菌群、阴离子合成洗涤剂、耗氧量，同时记录水温、水位埋深、井深、监测井经纬度坐标、海拔高度</w:t>
            </w:r>
          </w:p>
        </w:tc>
        <w:tc>
          <w:tcPr>
            <w:tcW w:w="1444" w:type="pct"/>
            <w:shd w:val="clear" w:color="auto" w:fill="auto"/>
            <w:vAlign w:val="center"/>
          </w:tcPr>
          <w:p>
            <w:pPr>
              <w:widowControl w:val="0"/>
              <w:adjustRightInd w:val="0"/>
              <w:snapToGrid w:val="0"/>
              <w:jc w:val="center"/>
              <w:textAlignment w:val="baseline"/>
              <w:rPr>
                <w:rFonts w:hint="eastAsia" w:eastAsia="宋体"/>
                <w:b/>
                <w:color w:val="auto"/>
                <w:lang w:eastAsia="zh-CN"/>
              </w:rPr>
            </w:pPr>
            <w:r>
              <w:rPr>
                <w:rFonts w:hint="eastAsia"/>
                <w:color w:val="auto"/>
              </w:rPr>
              <w:t>引用河南大成包装材料有限公司年产15万吨工业钢丝（非普通松弛级别）建设项目环境影响评价报告书，河南松筠检测技术有限公司于2020年12月3日</w:t>
            </w:r>
            <w:r>
              <w:rPr>
                <w:rFonts w:hint="eastAsia"/>
                <w:color w:val="auto"/>
                <w:lang w:eastAsia="zh-CN"/>
              </w:rPr>
              <w:t>～</w:t>
            </w:r>
            <w:r>
              <w:rPr>
                <w:rFonts w:hint="eastAsia"/>
                <w:color w:val="auto"/>
              </w:rPr>
              <w:t>12月5日监测</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continue"/>
            <w:shd w:val="clear" w:color="auto" w:fill="auto"/>
            <w:vAlign w:val="center"/>
          </w:tcPr>
          <w:p>
            <w:pPr>
              <w:widowControl w:val="0"/>
              <w:adjustRightInd w:val="0"/>
              <w:snapToGrid w:val="0"/>
              <w:jc w:val="center"/>
              <w:textAlignment w:val="baseline"/>
              <w:rPr>
                <w:color w:val="auto"/>
              </w:rPr>
            </w:pP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陈孝村、前李村</w:t>
            </w:r>
          </w:p>
        </w:tc>
        <w:tc>
          <w:tcPr>
            <w:tcW w:w="1748" w:type="pct"/>
            <w:shd w:val="clear" w:color="auto" w:fill="auto"/>
            <w:vAlign w:val="center"/>
          </w:tcPr>
          <w:p>
            <w:pPr>
              <w:widowControl w:val="0"/>
              <w:adjustRightInd w:val="0"/>
              <w:snapToGrid w:val="0"/>
              <w:jc w:val="both"/>
              <w:textAlignment w:val="baseline"/>
              <w:rPr>
                <w:color w:val="auto"/>
              </w:rPr>
            </w:pPr>
            <w:r>
              <w:rPr>
                <w:rFonts w:hint="eastAsia"/>
                <w:color w:val="auto"/>
              </w:rPr>
              <w:t>镍</w:t>
            </w:r>
          </w:p>
        </w:tc>
        <w:tc>
          <w:tcPr>
            <w:tcW w:w="1444" w:type="pct"/>
            <w:shd w:val="clear" w:color="auto" w:fill="auto"/>
            <w:vAlign w:val="center"/>
          </w:tcPr>
          <w:p>
            <w:pPr>
              <w:widowControl w:val="0"/>
              <w:adjustRightInd w:val="0"/>
              <w:snapToGrid w:val="0"/>
              <w:jc w:val="center"/>
              <w:textAlignment w:val="baseline"/>
              <w:rPr>
                <w:rFonts w:hint="eastAsia" w:eastAsia="宋体"/>
                <w:b/>
                <w:color w:val="auto"/>
                <w:lang w:eastAsia="zh-CN"/>
              </w:rPr>
            </w:pPr>
            <w:r>
              <w:rPr>
                <w:rFonts w:hint="eastAsia"/>
                <w:color w:val="auto"/>
              </w:rPr>
              <w:t>委托河南鼎泰检测技术有限公司于2021年9月16日</w:t>
            </w:r>
            <w:r>
              <w:rPr>
                <w:rFonts w:hint="eastAsia" w:ascii="宋体" w:hAnsi="宋体"/>
                <w:color w:val="auto"/>
              </w:rPr>
              <w:t>～</w:t>
            </w:r>
            <w:r>
              <w:rPr>
                <w:rFonts w:hint="eastAsia"/>
                <w:color w:val="auto"/>
              </w:rPr>
              <w:t>18日监测</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514"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土壤</w:t>
            </w:r>
          </w:p>
          <w:p>
            <w:pPr>
              <w:widowControl w:val="0"/>
              <w:adjustRightInd w:val="0"/>
              <w:snapToGrid w:val="0"/>
              <w:jc w:val="center"/>
              <w:textAlignment w:val="baseline"/>
              <w:rPr>
                <w:color w:val="auto"/>
              </w:rPr>
            </w:pPr>
            <w:r>
              <w:rPr>
                <w:rFonts w:hint="eastAsia"/>
                <w:color w:val="auto"/>
              </w:rPr>
              <w:t>环境</w:t>
            </w: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厂外1km范围内2个表层样1#</w:t>
            </w:r>
            <w:r>
              <w:rPr>
                <w:rFonts w:hint="eastAsia" w:ascii="宋体" w:hAnsi="宋体"/>
                <w:color w:val="auto"/>
              </w:rPr>
              <w:t>～</w:t>
            </w:r>
            <w:r>
              <w:rPr>
                <w:rFonts w:hint="eastAsia"/>
                <w:color w:val="auto"/>
              </w:rPr>
              <w:t>2#</w:t>
            </w:r>
          </w:p>
        </w:tc>
        <w:tc>
          <w:tcPr>
            <w:tcW w:w="1748" w:type="pct"/>
            <w:shd w:val="clear" w:color="auto" w:fill="auto"/>
            <w:vAlign w:val="center"/>
          </w:tcPr>
          <w:p>
            <w:pPr>
              <w:widowControl w:val="0"/>
              <w:adjustRightInd w:val="0"/>
              <w:snapToGrid w:val="0"/>
              <w:jc w:val="center"/>
              <w:textAlignment w:val="baseline"/>
              <w:rPr>
                <w:color w:val="auto"/>
              </w:rPr>
            </w:pPr>
            <w:r>
              <w:rPr>
                <w:color w:val="auto"/>
              </w:rPr>
              <w:t>pH、Zn、Ni、Cr、石油烃</w:t>
            </w:r>
          </w:p>
        </w:tc>
        <w:tc>
          <w:tcPr>
            <w:tcW w:w="1444" w:type="pct"/>
            <w:vMerge w:val="restart"/>
            <w:shd w:val="clear" w:color="auto" w:fill="auto"/>
            <w:vAlign w:val="center"/>
          </w:tcPr>
          <w:p>
            <w:pPr>
              <w:widowControl w:val="0"/>
              <w:adjustRightInd w:val="0"/>
              <w:snapToGrid w:val="0"/>
              <w:jc w:val="center"/>
              <w:textAlignment w:val="baseline"/>
              <w:rPr>
                <w:rFonts w:hint="eastAsia" w:eastAsia="宋体"/>
                <w:color w:val="auto"/>
                <w:lang w:eastAsia="zh-CN"/>
              </w:rPr>
            </w:pPr>
            <w:r>
              <w:rPr>
                <w:rFonts w:hint="eastAsia"/>
                <w:color w:val="auto"/>
              </w:rPr>
              <w:t>委托河南鼎泰检测技术有限公司于2021年9月16日监测</w:t>
            </w: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continue"/>
            <w:shd w:val="clear" w:color="auto" w:fill="auto"/>
            <w:vAlign w:val="center"/>
          </w:tcPr>
          <w:p>
            <w:pPr>
              <w:widowControl w:val="0"/>
              <w:adjustRightInd w:val="0"/>
              <w:snapToGrid w:val="0"/>
              <w:jc w:val="center"/>
              <w:textAlignment w:val="baseline"/>
              <w:rPr>
                <w:color w:val="auto"/>
              </w:rPr>
            </w:pPr>
          </w:p>
        </w:tc>
        <w:tc>
          <w:tcPr>
            <w:tcW w:w="303"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厂内3个柱状样</w:t>
            </w:r>
          </w:p>
        </w:tc>
        <w:tc>
          <w:tcPr>
            <w:tcW w:w="988" w:type="pct"/>
            <w:shd w:val="clear" w:color="auto" w:fill="auto"/>
            <w:vAlign w:val="center"/>
          </w:tcPr>
          <w:p>
            <w:pPr>
              <w:widowControl w:val="0"/>
              <w:adjustRightInd w:val="0"/>
              <w:snapToGrid w:val="0"/>
              <w:jc w:val="center"/>
              <w:textAlignment w:val="baseline"/>
              <w:rPr>
                <w:color w:val="auto"/>
              </w:rPr>
            </w:pPr>
            <w:r>
              <w:rPr>
                <w:rFonts w:hint="eastAsia"/>
                <w:color w:val="auto"/>
              </w:rPr>
              <w:t>拟建电镀车间附近3#</w:t>
            </w:r>
          </w:p>
        </w:tc>
        <w:tc>
          <w:tcPr>
            <w:tcW w:w="1748" w:type="pct"/>
            <w:vMerge w:val="restart"/>
            <w:shd w:val="clear" w:color="auto" w:fill="auto"/>
            <w:vAlign w:val="center"/>
          </w:tcPr>
          <w:p>
            <w:pPr>
              <w:widowControl w:val="0"/>
              <w:adjustRightInd w:val="0"/>
              <w:snapToGrid w:val="0"/>
              <w:jc w:val="center"/>
              <w:textAlignment w:val="baseline"/>
              <w:rPr>
                <w:color w:val="auto"/>
              </w:rPr>
            </w:pPr>
            <w:r>
              <w:rPr>
                <w:color w:val="auto"/>
              </w:rPr>
              <w:t>pH、Zn、Ni、Cr</w:t>
            </w:r>
            <w:r>
              <w:rPr>
                <w:color w:val="auto"/>
                <w:vertAlign w:val="superscript"/>
              </w:rPr>
              <w:t>+6</w:t>
            </w:r>
            <w:r>
              <w:rPr>
                <w:color w:val="auto"/>
              </w:rPr>
              <w:t>、石油烃</w:t>
            </w:r>
          </w:p>
        </w:tc>
        <w:tc>
          <w:tcPr>
            <w:tcW w:w="1444" w:type="pct"/>
            <w:vMerge w:val="continue"/>
            <w:shd w:val="clear" w:color="auto" w:fill="auto"/>
            <w:vAlign w:val="center"/>
          </w:tcPr>
          <w:p>
            <w:pPr>
              <w:widowControl w:val="0"/>
              <w:adjustRightInd w:val="0"/>
              <w:snapToGrid w:val="0"/>
              <w:jc w:val="center"/>
              <w:textAlignment w:val="baseline"/>
              <w:rPr>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 w:hRule="atLeast"/>
        </w:trPr>
        <w:tc>
          <w:tcPr>
            <w:tcW w:w="514" w:type="pct"/>
            <w:vMerge w:val="continue"/>
            <w:shd w:val="clear" w:color="auto" w:fill="auto"/>
            <w:vAlign w:val="center"/>
          </w:tcPr>
          <w:p>
            <w:pPr>
              <w:widowControl w:val="0"/>
              <w:adjustRightInd w:val="0"/>
              <w:snapToGrid w:val="0"/>
              <w:jc w:val="center"/>
              <w:textAlignment w:val="baseline"/>
              <w:rPr>
                <w:color w:val="auto"/>
              </w:rPr>
            </w:pPr>
          </w:p>
        </w:tc>
        <w:tc>
          <w:tcPr>
            <w:tcW w:w="303" w:type="pct"/>
            <w:vMerge w:val="continue"/>
            <w:shd w:val="clear" w:color="auto" w:fill="auto"/>
            <w:vAlign w:val="center"/>
          </w:tcPr>
          <w:p>
            <w:pPr>
              <w:widowControl w:val="0"/>
              <w:adjustRightInd w:val="0"/>
              <w:snapToGrid w:val="0"/>
              <w:jc w:val="center"/>
              <w:textAlignment w:val="baseline"/>
              <w:rPr>
                <w:color w:val="auto"/>
              </w:rPr>
            </w:pPr>
          </w:p>
        </w:tc>
        <w:tc>
          <w:tcPr>
            <w:tcW w:w="988" w:type="pct"/>
            <w:shd w:val="clear" w:color="auto" w:fill="auto"/>
            <w:vAlign w:val="center"/>
          </w:tcPr>
          <w:p>
            <w:pPr>
              <w:widowControl w:val="0"/>
              <w:adjustRightInd w:val="0"/>
              <w:snapToGrid w:val="0"/>
              <w:jc w:val="center"/>
              <w:textAlignment w:val="baseline"/>
              <w:rPr>
                <w:color w:val="auto"/>
              </w:rPr>
            </w:pPr>
            <w:r>
              <w:rPr>
                <w:rFonts w:hint="eastAsia"/>
                <w:color w:val="auto"/>
              </w:rPr>
              <w:t>拟建污水处理站附近4#</w:t>
            </w:r>
          </w:p>
        </w:tc>
        <w:tc>
          <w:tcPr>
            <w:tcW w:w="1748" w:type="pct"/>
            <w:vMerge w:val="continue"/>
            <w:shd w:val="clear" w:color="auto" w:fill="auto"/>
            <w:vAlign w:val="center"/>
          </w:tcPr>
          <w:p>
            <w:pPr>
              <w:widowControl w:val="0"/>
              <w:adjustRightInd w:val="0"/>
              <w:snapToGrid w:val="0"/>
              <w:jc w:val="center"/>
              <w:textAlignment w:val="baseline"/>
              <w:rPr>
                <w:color w:val="auto"/>
              </w:rPr>
            </w:pPr>
          </w:p>
        </w:tc>
        <w:tc>
          <w:tcPr>
            <w:tcW w:w="1444" w:type="pct"/>
            <w:vMerge w:val="continue"/>
            <w:shd w:val="clear" w:color="auto" w:fill="auto"/>
            <w:vAlign w:val="center"/>
          </w:tcPr>
          <w:p>
            <w:pPr>
              <w:widowControl w:val="0"/>
              <w:adjustRightInd w:val="0"/>
              <w:snapToGrid w:val="0"/>
              <w:jc w:val="center"/>
              <w:textAlignment w:val="baseline"/>
              <w:rPr>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vMerge w:val="continue"/>
            <w:shd w:val="clear" w:color="auto" w:fill="auto"/>
            <w:vAlign w:val="center"/>
          </w:tcPr>
          <w:p>
            <w:pPr>
              <w:widowControl w:val="0"/>
              <w:adjustRightInd w:val="0"/>
              <w:snapToGrid w:val="0"/>
              <w:jc w:val="center"/>
              <w:textAlignment w:val="baseline"/>
              <w:rPr>
                <w:color w:val="auto"/>
              </w:rPr>
            </w:pPr>
          </w:p>
        </w:tc>
        <w:tc>
          <w:tcPr>
            <w:tcW w:w="303" w:type="pct"/>
            <w:vMerge w:val="continue"/>
            <w:shd w:val="clear" w:color="auto" w:fill="auto"/>
            <w:vAlign w:val="center"/>
          </w:tcPr>
          <w:p>
            <w:pPr>
              <w:widowControl w:val="0"/>
              <w:adjustRightInd w:val="0"/>
              <w:snapToGrid w:val="0"/>
              <w:jc w:val="center"/>
              <w:textAlignment w:val="baseline"/>
              <w:rPr>
                <w:color w:val="auto"/>
              </w:rPr>
            </w:pPr>
          </w:p>
        </w:tc>
        <w:tc>
          <w:tcPr>
            <w:tcW w:w="988" w:type="pct"/>
            <w:shd w:val="clear" w:color="auto" w:fill="auto"/>
            <w:vAlign w:val="center"/>
          </w:tcPr>
          <w:p>
            <w:pPr>
              <w:widowControl w:val="0"/>
              <w:adjustRightInd w:val="0"/>
              <w:snapToGrid w:val="0"/>
              <w:jc w:val="both"/>
              <w:textAlignment w:val="baseline"/>
              <w:rPr>
                <w:color w:val="auto"/>
              </w:rPr>
            </w:pPr>
            <w:r>
              <w:rPr>
                <w:rFonts w:hint="eastAsia"/>
                <w:color w:val="auto"/>
              </w:rPr>
              <w:t>拟建机加工车间附近5#</w:t>
            </w:r>
          </w:p>
        </w:tc>
        <w:tc>
          <w:tcPr>
            <w:tcW w:w="1748" w:type="pct"/>
            <w:vMerge w:val="restart"/>
            <w:shd w:val="clear" w:color="auto" w:fill="auto"/>
            <w:vAlign w:val="center"/>
          </w:tcPr>
          <w:p>
            <w:pPr>
              <w:widowControl w:val="0"/>
              <w:adjustRightInd w:val="0"/>
              <w:snapToGrid w:val="0"/>
              <w:jc w:val="center"/>
              <w:textAlignment w:val="baseline"/>
              <w:rPr>
                <w:color w:val="auto"/>
              </w:rPr>
            </w:pPr>
            <w:r>
              <w:rPr>
                <w:color w:val="auto"/>
              </w:rPr>
              <w:t>GB36600-2018表1中45项基本因子+ pH、Zn、Ni、Cr</w:t>
            </w:r>
            <w:r>
              <w:rPr>
                <w:color w:val="auto"/>
                <w:vertAlign w:val="superscript"/>
              </w:rPr>
              <w:t>+6</w:t>
            </w:r>
            <w:r>
              <w:rPr>
                <w:color w:val="auto"/>
              </w:rPr>
              <w:t>、石油烃</w:t>
            </w:r>
          </w:p>
        </w:tc>
        <w:tc>
          <w:tcPr>
            <w:tcW w:w="1444" w:type="pct"/>
            <w:vMerge w:val="continue"/>
            <w:shd w:val="clear" w:color="auto" w:fill="auto"/>
            <w:vAlign w:val="center"/>
          </w:tcPr>
          <w:p>
            <w:pPr>
              <w:widowControl w:val="0"/>
              <w:adjustRightInd w:val="0"/>
              <w:snapToGrid w:val="0"/>
              <w:jc w:val="center"/>
              <w:textAlignment w:val="baseline"/>
              <w:rPr>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trPr>
        <w:tc>
          <w:tcPr>
            <w:tcW w:w="514" w:type="pct"/>
            <w:vMerge w:val="continue"/>
            <w:shd w:val="clear" w:color="auto" w:fill="auto"/>
            <w:vAlign w:val="center"/>
          </w:tcPr>
          <w:p>
            <w:pPr>
              <w:widowControl w:val="0"/>
              <w:adjustRightInd w:val="0"/>
              <w:snapToGrid w:val="0"/>
              <w:jc w:val="center"/>
              <w:textAlignment w:val="baseline"/>
              <w:rPr>
                <w:color w:val="auto"/>
              </w:rPr>
            </w:pPr>
          </w:p>
        </w:tc>
        <w:tc>
          <w:tcPr>
            <w:tcW w:w="303" w:type="pct"/>
            <w:shd w:val="clear" w:color="auto" w:fill="auto"/>
            <w:vAlign w:val="center"/>
          </w:tcPr>
          <w:p>
            <w:pPr>
              <w:widowControl w:val="0"/>
              <w:adjustRightInd w:val="0"/>
              <w:snapToGrid w:val="0"/>
              <w:jc w:val="center"/>
              <w:textAlignment w:val="baseline"/>
              <w:rPr>
                <w:color w:val="auto"/>
              </w:rPr>
            </w:pPr>
            <w:r>
              <w:rPr>
                <w:rFonts w:hint="eastAsia"/>
                <w:color w:val="auto"/>
              </w:rPr>
              <w:t>厂内1个表层样</w:t>
            </w:r>
          </w:p>
        </w:tc>
        <w:tc>
          <w:tcPr>
            <w:tcW w:w="988" w:type="pct"/>
            <w:shd w:val="clear" w:color="auto" w:fill="auto"/>
            <w:vAlign w:val="center"/>
          </w:tcPr>
          <w:p>
            <w:pPr>
              <w:widowControl w:val="0"/>
              <w:adjustRightInd w:val="0"/>
              <w:snapToGrid w:val="0"/>
              <w:jc w:val="center"/>
              <w:textAlignment w:val="baseline"/>
              <w:rPr>
                <w:color w:val="auto"/>
              </w:rPr>
            </w:pPr>
            <w:r>
              <w:rPr>
                <w:rFonts w:hint="eastAsia"/>
                <w:color w:val="auto"/>
              </w:rPr>
              <w:t>厂内背景点</w:t>
            </w:r>
          </w:p>
        </w:tc>
        <w:tc>
          <w:tcPr>
            <w:tcW w:w="1748" w:type="pct"/>
            <w:vMerge w:val="continue"/>
            <w:shd w:val="clear" w:color="auto" w:fill="auto"/>
            <w:vAlign w:val="center"/>
          </w:tcPr>
          <w:p>
            <w:pPr>
              <w:widowControl w:val="0"/>
              <w:adjustRightInd w:val="0"/>
              <w:snapToGrid w:val="0"/>
              <w:jc w:val="center"/>
              <w:textAlignment w:val="baseline"/>
              <w:rPr>
                <w:color w:val="auto"/>
              </w:rPr>
            </w:pPr>
          </w:p>
        </w:tc>
        <w:tc>
          <w:tcPr>
            <w:tcW w:w="1444" w:type="pct"/>
            <w:vMerge w:val="continue"/>
            <w:shd w:val="clear" w:color="auto" w:fill="auto"/>
            <w:vAlign w:val="center"/>
          </w:tcPr>
          <w:p>
            <w:pPr>
              <w:widowControl w:val="0"/>
              <w:adjustRightInd w:val="0"/>
              <w:snapToGrid w:val="0"/>
              <w:jc w:val="center"/>
              <w:textAlignment w:val="baseline"/>
              <w:rPr>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4" w:type="pct"/>
            <w:shd w:val="clear" w:color="auto" w:fill="auto"/>
            <w:vAlign w:val="center"/>
          </w:tcPr>
          <w:p>
            <w:pPr>
              <w:widowControl w:val="0"/>
              <w:adjustRightInd w:val="0"/>
              <w:snapToGrid w:val="0"/>
              <w:jc w:val="center"/>
              <w:textAlignment w:val="baseline"/>
              <w:rPr>
                <w:color w:val="auto"/>
              </w:rPr>
            </w:pPr>
            <w:r>
              <w:rPr>
                <w:rFonts w:hint="eastAsia"/>
                <w:color w:val="auto"/>
              </w:rPr>
              <w:t>噪声</w:t>
            </w:r>
          </w:p>
          <w:p>
            <w:pPr>
              <w:widowControl w:val="0"/>
              <w:adjustRightInd w:val="0"/>
              <w:snapToGrid w:val="0"/>
              <w:jc w:val="center"/>
              <w:textAlignment w:val="baseline"/>
              <w:rPr>
                <w:color w:val="auto"/>
              </w:rPr>
            </w:pPr>
            <w:r>
              <w:rPr>
                <w:rFonts w:hint="eastAsia"/>
                <w:color w:val="auto"/>
              </w:rPr>
              <w:t>环境</w:t>
            </w:r>
          </w:p>
        </w:tc>
        <w:tc>
          <w:tcPr>
            <w:tcW w:w="1292"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南厂界、东厂界、西厂界、北厂界</w:t>
            </w:r>
          </w:p>
        </w:tc>
        <w:tc>
          <w:tcPr>
            <w:tcW w:w="1748" w:type="pct"/>
            <w:shd w:val="clear" w:color="auto" w:fill="auto"/>
            <w:vAlign w:val="center"/>
          </w:tcPr>
          <w:p>
            <w:pPr>
              <w:widowControl w:val="0"/>
              <w:adjustRightInd w:val="0"/>
              <w:snapToGrid w:val="0"/>
              <w:jc w:val="center"/>
              <w:textAlignment w:val="baseline"/>
              <w:rPr>
                <w:color w:val="auto"/>
              </w:rPr>
            </w:pPr>
            <w:r>
              <w:rPr>
                <w:color w:val="auto"/>
              </w:rPr>
              <w:t>等效A声级</w:t>
            </w:r>
          </w:p>
        </w:tc>
        <w:tc>
          <w:tcPr>
            <w:tcW w:w="1444" w:type="pct"/>
            <w:vMerge w:val="continue"/>
            <w:shd w:val="clear" w:color="auto" w:fill="auto"/>
            <w:vAlign w:val="center"/>
          </w:tcPr>
          <w:p>
            <w:pPr>
              <w:widowControl w:val="0"/>
              <w:adjustRightInd w:val="0"/>
              <w:snapToGrid w:val="0"/>
              <w:jc w:val="center"/>
              <w:textAlignment w:val="baseline"/>
              <w:rPr>
                <w:b/>
                <w:color w:val="auto"/>
              </w:rPr>
            </w:pPr>
          </w:p>
        </w:tc>
      </w:tr>
    </w:tbl>
    <w:p>
      <w:pPr>
        <w:adjustRightInd w:val="0"/>
        <w:snapToGrid w:val="0"/>
        <w:spacing w:after="156" w:afterLines="50" w:line="520" w:lineRule="exact"/>
        <w:ind w:firstLine="480" w:firstLineChars="200"/>
        <w:textAlignment w:val="baseline"/>
        <w:rPr>
          <w:color w:val="auto"/>
          <w:kern w:val="0"/>
          <w:sz w:val="24"/>
          <w:szCs w:val="20"/>
        </w:rPr>
      </w:pPr>
      <w:r>
        <w:rPr>
          <w:rFonts w:hint="eastAsia"/>
          <w:color w:val="auto"/>
          <w:kern w:val="0"/>
          <w:sz w:val="24"/>
          <w:szCs w:val="20"/>
        </w:rPr>
        <w:t>本次评价根据以上监测数据对本项目所在区域环境质量进行评价。</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4.2.2环境空气质量现状</w:t>
      </w:r>
      <w:bookmarkEnd w:id="261"/>
      <w:bookmarkEnd w:id="262"/>
      <w:r>
        <w:rPr>
          <w:rFonts w:hint="eastAsia" w:eastAsia="黑体"/>
          <w:color w:val="auto"/>
          <w:kern w:val="21"/>
          <w:sz w:val="28"/>
          <w:szCs w:val="28"/>
        </w:rPr>
        <w:t>评价</w:t>
      </w:r>
      <w:bookmarkEnd w:id="263"/>
      <w:bookmarkEnd w:id="264"/>
      <w:bookmarkEnd w:id="265"/>
      <w:bookmarkEnd w:id="266"/>
    </w:p>
    <w:p>
      <w:pPr>
        <w:pStyle w:val="6"/>
        <w:spacing w:before="0" w:after="156" w:afterLines="50" w:line="360" w:lineRule="auto"/>
        <w:rPr>
          <w:b w:val="0"/>
          <w:color w:val="auto"/>
          <w:sz w:val="24"/>
          <w:szCs w:val="24"/>
        </w:rPr>
      </w:pPr>
      <w:bookmarkStart w:id="271" w:name="_Toc324839601"/>
      <w:bookmarkStart w:id="272" w:name="_Toc324839304"/>
      <w:r>
        <w:rPr>
          <w:rFonts w:hint="eastAsia"/>
          <w:b w:val="0"/>
          <w:color w:val="auto"/>
          <w:sz w:val="24"/>
          <w:szCs w:val="24"/>
        </w:rPr>
        <w:t>4.2.2.1基本污染物环境质量现状评价</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根据大气功能区划分原则，项目所在区域为二类功能区，环境空气质量应执行《环境空气质量标准》（</w:t>
      </w:r>
      <w:r>
        <w:rPr>
          <w:color w:val="auto"/>
          <w:kern w:val="0"/>
          <w:sz w:val="24"/>
          <w:szCs w:val="20"/>
        </w:rPr>
        <w:t>GB3095-2012</w:t>
      </w:r>
      <w:r>
        <w:rPr>
          <w:rFonts w:hint="eastAsia"/>
          <w:color w:val="auto"/>
          <w:kern w:val="0"/>
          <w:sz w:val="24"/>
          <w:szCs w:val="20"/>
        </w:rPr>
        <w:t>）二级标准。根据新乡市</w:t>
      </w:r>
      <w:r>
        <w:rPr>
          <w:rFonts w:hint="eastAsia"/>
          <w:b/>
          <w:bCs/>
          <w:color w:val="auto"/>
          <w:kern w:val="0"/>
          <w:sz w:val="24"/>
          <w:szCs w:val="20"/>
          <w:u w:val="single"/>
          <w:lang w:val="en-US" w:eastAsia="zh-CN"/>
        </w:rPr>
        <w:t>2022</w:t>
      </w:r>
      <w:r>
        <w:rPr>
          <w:rFonts w:hint="eastAsia"/>
          <w:color w:val="auto"/>
          <w:kern w:val="0"/>
          <w:sz w:val="24"/>
          <w:szCs w:val="20"/>
        </w:rPr>
        <w:t>年环境空气监测数据的统计结果，区域空气质量现状数据如下表所示。</w:t>
      </w:r>
    </w:p>
    <w:p>
      <w:pPr>
        <w:adjustRightInd w:val="0"/>
        <w:snapToGrid w:val="0"/>
        <w:jc w:val="center"/>
        <w:rPr>
          <w:rFonts w:eastAsia="黑体"/>
          <w:snapToGrid w:val="0"/>
          <w:color w:val="auto"/>
          <w:kern w:val="21"/>
          <w:sz w:val="24"/>
          <w:u w:val="single"/>
        </w:rPr>
      </w:pPr>
      <w:r>
        <w:rPr>
          <w:rFonts w:hint="eastAsia" w:eastAsia="黑体"/>
          <w:snapToGrid w:val="0"/>
          <w:color w:val="auto"/>
          <w:kern w:val="21"/>
          <w:sz w:val="24"/>
          <w:u w:val="single"/>
        </w:rPr>
        <w:t>表</w:t>
      </w:r>
      <w:r>
        <w:rPr>
          <w:rFonts w:eastAsia="黑体"/>
          <w:snapToGrid w:val="0"/>
          <w:color w:val="auto"/>
          <w:kern w:val="21"/>
          <w:sz w:val="24"/>
          <w:u w:val="single"/>
        </w:rPr>
        <w:t>4.2-1</w:t>
      </w:r>
      <w:r>
        <w:rPr>
          <w:rFonts w:hint="eastAsia" w:eastAsia="黑体"/>
          <w:snapToGrid w:val="0"/>
          <w:color w:val="auto"/>
          <w:kern w:val="21"/>
          <w:sz w:val="24"/>
          <w:u w:val="single"/>
        </w:rPr>
        <w:t xml:space="preserve">   区域空气质量现状评价表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57" w:type="dxa"/>
          <w:left w:w="108" w:type="dxa"/>
          <w:bottom w:w="57" w:type="dxa"/>
          <w:right w:w="108" w:type="dxa"/>
        </w:tblCellMar>
      </w:tblPr>
      <w:tblGrid>
        <w:gridCol w:w="787"/>
        <w:gridCol w:w="2261"/>
        <w:gridCol w:w="1204"/>
        <w:gridCol w:w="1120"/>
        <w:gridCol w:w="952"/>
        <w:gridCol w:w="1138"/>
        <w:gridCol w:w="102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8" w:space="0"/>
              <w:left w:val="single" w:color="auto" w:sz="8" w:space="0"/>
              <w:bottom w:val="single" w:color="auto" w:sz="6" w:space="0"/>
              <w:right w:val="single" w:color="auto" w:sz="6" w:space="0"/>
            </w:tcBorders>
            <w:tcMar>
              <w:top w:w="57" w:type="dxa"/>
              <w:left w:w="85" w:type="dxa"/>
              <w:bottom w:w="57" w:type="dxa"/>
              <w:right w:w="85" w:type="dxa"/>
            </w:tcMar>
            <w:vAlign w:val="center"/>
          </w:tcPr>
          <w:p>
            <w:pPr>
              <w:jc w:val="center"/>
              <w:rPr>
                <w:rFonts w:cs="宋体"/>
                <w:b/>
                <w:color w:val="auto"/>
                <w:szCs w:val="20"/>
              </w:rPr>
            </w:pPr>
            <w:r>
              <w:rPr>
                <w:rFonts w:hint="eastAsia" w:cs="宋体"/>
                <w:b/>
                <w:color w:val="auto"/>
                <w:szCs w:val="20"/>
              </w:rPr>
              <w:t>污染物</w:t>
            </w:r>
          </w:p>
        </w:tc>
        <w:tc>
          <w:tcPr>
            <w:tcW w:w="1333" w:type="pct"/>
            <w:tcBorders>
              <w:top w:val="single" w:color="auto" w:sz="8" w:space="0"/>
              <w:left w:val="single" w:color="auto" w:sz="6" w:space="0"/>
              <w:bottom w:val="single" w:color="auto" w:sz="6" w:space="0"/>
              <w:right w:val="single" w:color="auto" w:sz="6" w:space="0"/>
            </w:tcBorders>
            <w:tcMar>
              <w:top w:w="57" w:type="dxa"/>
              <w:left w:w="85" w:type="dxa"/>
              <w:bottom w:w="57" w:type="dxa"/>
              <w:right w:w="85" w:type="dxa"/>
            </w:tcMar>
            <w:vAlign w:val="center"/>
          </w:tcPr>
          <w:p>
            <w:pPr>
              <w:jc w:val="center"/>
              <w:rPr>
                <w:rFonts w:cs="宋体"/>
                <w:b/>
                <w:color w:val="auto"/>
                <w:szCs w:val="20"/>
              </w:rPr>
            </w:pPr>
            <w:r>
              <w:rPr>
                <w:rFonts w:hint="eastAsia" w:cs="宋体"/>
                <w:b/>
                <w:color w:val="auto"/>
                <w:szCs w:val="20"/>
              </w:rPr>
              <w:t>年评价指标</w:t>
            </w:r>
          </w:p>
        </w:tc>
        <w:tc>
          <w:tcPr>
            <w:tcW w:w="710" w:type="pct"/>
            <w:tcBorders>
              <w:top w:val="single" w:color="auto" w:sz="8" w:space="0"/>
              <w:left w:val="single" w:color="auto" w:sz="6" w:space="0"/>
              <w:bottom w:val="single" w:color="auto" w:sz="6" w:space="0"/>
              <w:right w:val="single" w:color="auto" w:sz="6" w:space="0"/>
            </w:tcBorders>
            <w:tcMar>
              <w:top w:w="57" w:type="dxa"/>
              <w:left w:w="85" w:type="dxa"/>
              <w:bottom w:w="57" w:type="dxa"/>
              <w:right w:w="85" w:type="dxa"/>
            </w:tcMar>
            <w:vAlign w:val="center"/>
          </w:tcPr>
          <w:p>
            <w:pPr>
              <w:jc w:val="center"/>
              <w:rPr>
                <w:rFonts w:cs="宋体"/>
                <w:b/>
                <w:color w:val="auto"/>
                <w:szCs w:val="20"/>
              </w:rPr>
            </w:pPr>
            <w:r>
              <w:rPr>
                <w:rFonts w:hint="eastAsia" w:cs="宋体"/>
                <w:b/>
                <w:color w:val="auto"/>
                <w:szCs w:val="20"/>
              </w:rPr>
              <w:t>现状浓度</w:t>
            </w:r>
            <w:r>
              <w:rPr>
                <w:rFonts w:cs="宋体"/>
                <w:b/>
                <w:color w:val="auto"/>
                <w:szCs w:val="20"/>
              </w:rPr>
              <w:t>/</w:t>
            </w:r>
            <w:r>
              <w:rPr>
                <w:rFonts w:hint="eastAsia" w:cs="宋体"/>
                <w:b/>
                <w:color w:val="auto"/>
                <w:szCs w:val="20"/>
              </w:rPr>
              <w:t>（</w:t>
            </w:r>
            <w:r>
              <w:rPr>
                <w:rFonts w:cs="宋体"/>
                <w:b/>
                <w:color w:val="auto"/>
                <w:szCs w:val="20"/>
              </w:rPr>
              <w:t>μg/m</w:t>
            </w:r>
            <w:r>
              <w:rPr>
                <w:rFonts w:cs="宋体"/>
                <w:b/>
                <w:color w:val="auto"/>
                <w:szCs w:val="20"/>
                <w:vertAlign w:val="superscript"/>
              </w:rPr>
              <w:t>3</w:t>
            </w:r>
            <w:r>
              <w:rPr>
                <w:rFonts w:hint="eastAsia" w:cs="宋体"/>
                <w:b/>
                <w:color w:val="auto"/>
                <w:szCs w:val="20"/>
              </w:rPr>
              <w:t>）</w:t>
            </w:r>
          </w:p>
        </w:tc>
        <w:tc>
          <w:tcPr>
            <w:tcW w:w="660" w:type="pct"/>
            <w:tcBorders>
              <w:top w:val="single" w:color="auto" w:sz="8" w:space="0"/>
              <w:left w:val="single" w:color="auto" w:sz="6" w:space="0"/>
              <w:bottom w:val="single" w:color="auto" w:sz="6" w:space="0"/>
              <w:right w:val="single" w:color="auto" w:sz="6" w:space="0"/>
            </w:tcBorders>
            <w:tcMar>
              <w:top w:w="57" w:type="dxa"/>
              <w:left w:w="85" w:type="dxa"/>
              <w:bottom w:w="57" w:type="dxa"/>
              <w:right w:w="85" w:type="dxa"/>
            </w:tcMar>
            <w:vAlign w:val="center"/>
          </w:tcPr>
          <w:p>
            <w:pPr>
              <w:jc w:val="center"/>
              <w:rPr>
                <w:rFonts w:cs="宋体"/>
                <w:b/>
                <w:color w:val="auto"/>
                <w:szCs w:val="20"/>
              </w:rPr>
            </w:pPr>
            <w:r>
              <w:rPr>
                <w:rFonts w:hint="eastAsia" w:cs="宋体"/>
                <w:b/>
                <w:color w:val="auto"/>
                <w:szCs w:val="20"/>
              </w:rPr>
              <w:t>标准值</w:t>
            </w:r>
            <w:r>
              <w:rPr>
                <w:rFonts w:cs="宋体"/>
                <w:b/>
                <w:color w:val="auto"/>
                <w:szCs w:val="20"/>
              </w:rPr>
              <w:t>/</w:t>
            </w:r>
            <w:r>
              <w:rPr>
                <w:rFonts w:hint="eastAsia" w:cs="宋体"/>
                <w:b/>
                <w:color w:val="auto"/>
                <w:szCs w:val="20"/>
              </w:rPr>
              <w:t>（</w:t>
            </w:r>
            <w:r>
              <w:rPr>
                <w:rFonts w:cs="宋体"/>
                <w:b/>
                <w:bCs/>
                <w:color w:val="auto"/>
                <w:szCs w:val="20"/>
              </w:rPr>
              <w:t>μ</w:t>
            </w:r>
            <w:r>
              <w:rPr>
                <w:rFonts w:cs="宋体"/>
                <w:b/>
                <w:color w:val="auto"/>
                <w:szCs w:val="20"/>
              </w:rPr>
              <w:t>g/m</w:t>
            </w:r>
            <w:r>
              <w:rPr>
                <w:rFonts w:cs="宋体"/>
                <w:b/>
                <w:color w:val="auto"/>
                <w:szCs w:val="20"/>
                <w:vertAlign w:val="superscript"/>
              </w:rPr>
              <w:t>3</w:t>
            </w:r>
            <w:r>
              <w:rPr>
                <w:rFonts w:hint="eastAsia" w:cs="宋体"/>
                <w:b/>
                <w:color w:val="auto"/>
                <w:szCs w:val="20"/>
              </w:rPr>
              <w:t>）</w:t>
            </w:r>
          </w:p>
        </w:tc>
        <w:tc>
          <w:tcPr>
            <w:tcW w:w="561" w:type="pct"/>
            <w:tcBorders>
              <w:top w:val="single" w:color="auto" w:sz="8" w:space="0"/>
              <w:left w:val="single" w:color="auto" w:sz="6" w:space="0"/>
              <w:bottom w:val="single" w:color="auto" w:sz="6" w:space="0"/>
              <w:right w:val="single" w:color="auto" w:sz="4" w:space="0"/>
            </w:tcBorders>
            <w:tcMar>
              <w:top w:w="57" w:type="dxa"/>
              <w:left w:w="85" w:type="dxa"/>
              <w:bottom w:w="57" w:type="dxa"/>
              <w:right w:w="85" w:type="dxa"/>
            </w:tcMar>
            <w:vAlign w:val="center"/>
          </w:tcPr>
          <w:p>
            <w:pPr>
              <w:jc w:val="center"/>
              <w:rPr>
                <w:rFonts w:cs="宋体"/>
                <w:b/>
                <w:color w:val="auto"/>
                <w:szCs w:val="20"/>
              </w:rPr>
            </w:pPr>
            <w:r>
              <w:rPr>
                <w:rFonts w:hint="eastAsia" w:cs="宋体"/>
                <w:b/>
                <w:color w:val="auto"/>
                <w:szCs w:val="20"/>
              </w:rPr>
              <w:t>占标率（</w:t>
            </w:r>
            <w:r>
              <w:rPr>
                <w:rFonts w:cs="宋体"/>
                <w:b/>
                <w:color w:val="auto"/>
                <w:szCs w:val="20"/>
              </w:rPr>
              <w:t>%</w:t>
            </w:r>
            <w:r>
              <w:rPr>
                <w:rFonts w:hint="eastAsia" w:cs="宋体"/>
                <w:b/>
                <w:color w:val="auto"/>
                <w:szCs w:val="20"/>
              </w:rPr>
              <w:t>）</w:t>
            </w:r>
          </w:p>
        </w:tc>
        <w:tc>
          <w:tcPr>
            <w:tcW w:w="671" w:type="pct"/>
            <w:tcBorders>
              <w:top w:val="single" w:color="auto" w:sz="8" w:space="0"/>
              <w:left w:val="single" w:color="auto" w:sz="4" w:space="0"/>
              <w:bottom w:val="single" w:color="auto" w:sz="6" w:space="0"/>
              <w:right w:val="single" w:color="auto" w:sz="6" w:space="0"/>
            </w:tcBorders>
            <w:vAlign w:val="center"/>
          </w:tcPr>
          <w:p>
            <w:pPr>
              <w:jc w:val="center"/>
              <w:rPr>
                <w:rFonts w:cs="宋体"/>
                <w:b/>
                <w:color w:val="auto"/>
                <w:szCs w:val="20"/>
              </w:rPr>
            </w:pPr>
            <w:r>
              <w:rPr>
                <w:rFonts w:hint="eastAsia" w:cs="宋体"/>
                <w:b/>
                <w:color w:val="auto"/>
                <w:szCs w:val="20"/>
              </w:rPr>
              <w:t>超标倍数</w:t>
            </w:r>
          </w:p>
        </w:tc>
        <w:tc>
          <w:tcPr>
            <w:tcW w:w="601" w:type="pct"/>
            <w:tcBorders>
              <w:top w:val="single" w:color="auto" w:sz="8" w:space="0"/>
              <w:left w:val="single" w:color="auto" w:sz="6" w:space="0"/>
              <w:bottom w:val="single" w:color="auto" w:sz="6" w:space="0"/>
              <w:right w:val="single" w:color="auto" w:sz="8" w:space="0"/>
            </w:tcBorders>
            <w:tcMar>
              <w:top w:w="57" w:type="dxa"/>
              <w:left w:w="85" w:type="dxa"/>
              <w:bottom w:w="57" w:type="dxa"/>
              <w:right w:w="85" w:type="dxa"/>
            </w:tcMar>
            <w:vAlign w:val="center"/>
          </w:tcPr>
          <w:p>
            <w:pPr>
              <w:jc w:val="center"/>
              <w:rPr>
                <w:rFonts w:cs="宋体"/>
                <w:b/>
                <w:color w:val="auto"/>
                <w:szCs w:val="20"/>
              </w:rPr>
            </w:pPr>
            <w:r>
              <w:rPr>
                <w:rFonts w:hint="eastAsia" w:cs="宋体"/>
                <w:b/>
                <w:color w:val="auto"/>
                <w:szCs w:val="20"/>
              </w:rPr>
              <w:t>达标情况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6" w:space="0"/>
              <w:left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PM</w:t>
            </w:r>
            <w:r>
              <w:rPr>
                <w:color w:val="auto"/>
                <w:vertAlign w:val="subscript"/>
              </w:rPr>
              <w:t>10</w:t>
            </w:r>
          </w:p>
        </w:tc>
        <w:tc>
          <w:tcPr>
            <w:tcW w:w="1333"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rFonts w:hint="eastAsia"/>
                <w:color w:val="auto"/>
              </w:rPr>
              <w:t>年平均质量浓度</w:t>
            </w:r>
          </w:p>
        </w:tc>
        <w:tc>
          <w:tcPr>
            <w:tcW w:w="71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89</w:t>
            </w:r>
          </w:p>
        </w:tc>
        <w:tc>
          <w:tcPr>
            <w:tcW w:w="66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70</w:t>
            </w:r>
          </w:p>
        </w:tc>
        <w:tc>
          <w:tcPr>
            <w:tcW w:w="561" w:type="pct"/>
            <w:tcBorders>
              <w:top w:val="single" w:color="auto" w:sz="6" w:space="0"/>
              <w:left w:val="single" w:color="auto" w:sz="6" w:space="0"/>
              <w:bottom w:val="single" w:color="auto" w:sz="6" w:space="0"/>
              <w:right w:val="single" w:color="auto" w:sz="4"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127</w:t>
            </w:r>
          </w:p>
        </w:tc>
        <w:tc>
          <w:tcPr>
            <w:tcW w:w="671" w:type="pct"/>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0.27</w:t>
            </w:r>
          </w:p>
        </w:tc>
        <w:tc>
          <w:tcPr>
            <w:tcW w:w="601" w:type="pct"/>
            <w:tcBorders>
              <w:top w:val="single" w:color="auto" w:sz="6" w:space="0"/>
              <w:left w:val="single" w:color="auto" w:sz="6" w:space="0"/>
              <w:bottom w:val="single" w:color="auto" w:sz="6" w:space="0"/>
              <w:right w:val="single" w:color="auto" w:sz="8" w:space="0"/>
            </w:tcBorders>
            <w:tcMar>
              <w:top w:w="57" w:type="dxa"/>
              <w:left w:w="85" w:type="dxa"/>
              <w:bottom w:w="57" w:type="dxa"/>
              <w:right w:w="85" w:type="dxa"/>
            </w:tcMar>
            <w:vAlign w:val="center"/>
          </w:tcPr>
          <w:p>
            <w:pPr>
              <w:contextualSpacing/>
              <w:jc w:val="center"/>
              <w:rPr>
                <w:color w:val="auto"/>
              </w:rPr>
            </w:pPr>
            <w:r>
              <w:rPr>
                <w:rFonts w:hint="eastAsia"/>
                <w:color w:val="auto"/>
              </w:rPr>
              <w:t>超标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6" w:space="0"/>
              <w:left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PM</w:t>
            </w:r>
            <w:r>
              <w:rPr>
                <w:color w:val="auto"/>
                <w:vertAlign w:val="subscript"/>
              </w:rPr>
              <w:t>2.5</w:t>
            </w:r>
          </w:p>
        </w:tc>
        <w:tc>
          <w:tcPr>
            <w:tcW w:w="1333"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rFonts w:hint="eastAsia"/>
                <w:color w:val="auto"/>
              </w:rPr>
              <w:t>年平均质量浓度</w:t>
            </w:r>
          </w:p>
        </w:tc>
        <w:tc>
          <w:tcPr>
            <w:tcW w:w="71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50</w:t>
            </w:r>
          </w:p>
        </w:tc>
        <w:tc>
          <w:tcPr>
            <w:tcW w:w="66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35</w:t>
            </w:r>
          </w:p>
        </w:tc>
        <w:tc>
          <w:tcPr>
            <w:tcW w:w="561" w:type="pct"/>
            <w:tcBorders>
              <w:top w:val="single" w:color="auto" w:sz="6" w:space="0"/>
              <w:left w:val="single" w:color="auto" w:sz="6" w:space="0"/>
              <w:bottom w:val="single" w:color="auto" w:sz="6" w:space="0"/>
              <w:right w:val="single" w:color="auto" w:sz="4"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143</w:t>
            </w:r>
          </w:p>
        </w:tc>
        <w:tc>
          <w:tcPr>
            <w:tcW w:w="671" w:type="pct"/>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0.43</w:t>
            </w:r>
          </w:p>
        </w:tc>
        <w:tc>
          <w:tcPr>
            <w:tcW w:w="601" w:type="pct"/>
            <w:tcBorders>
              <w:top w:val="single" w:color="auto" w:sz="6" w:space="0"/>
              <w:left w:val="single" w:color="auto" w:sz="6" w:space="0"/>
              <w:bottom w:val="single" w:color="auto" w:sz="6" w:space="0"/>
              <w:right w:val="single" w:color="auto" w:sz="8" w:space="0"/>
            </w:tcBorders>
            <w:tcMar>
              <w:top w:w="57" w:type="dxa"/>
              <w:left w:w="85" w:type="dxa"/>
              <w:bottom w:w="57" w:type="dxa"/>
              <w:right w:w="85" w:type="dxa"/>
            </w:tcMar>
            <w:vAlign w:val="center"/>
          </w:tcPr>
          <w:p>
            <w:pPr>
              <w:contextualSpacing/>
              <w:jc w:val="center"/>
              <w:rPr>
                <w:color w:val="auto"/>
              </w:rPr>
            </w:pPr>
            <w:r>
              <w:rPr>
                <w:rFonts w:hint="eastAsia"/>
                <w:color w:val="auto"/>
              </w:rPr>
              <w:t>超标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6" w:space="0"/>
              <w:left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SO</w:t>
            </w:r>
            <w:r>
              <w:rPr>
                <w:color w:val="auto"/>
                <w:vertAlign w:val="subscript"/>
              </w:rPr>
              <w:t>2</w:t>
            </w:r>
          </w:p>
        </w:tc>
        <w:tc>
          <w:tcPr>
            <w:tcW w:w="1333"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rFonts w:hint="eastAsia"/>
                <w:color w:val="auto"/>
              </w:rPr>
              <w:t>年平均质量浓度</w:t>
            </w:r>
          </w:p>
        </w:tc>
        <w:tc>
          <w:tcPr>
            <w:tcW w:w="71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10</w:t>
            </w:r>
          </w:p>
        </w:tc>
        <w:tc>
          <w:tcPr>
            <w:tcW w:w="66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60</w:t>
            </w:r>
          </w:p>
        </w:tc>
        <w:tc>
          <w:tcPr>
            <w:tcW w:w="561" w:type="pct"/>
            <w:tcBorders>
              <w:top w:val="single" w:color="auto" w:sz="6" w:space="0"/>
              <w:left w:val="single" w:color="auto" w:sz="6" w:space="0"/>
              <w:bottom w:val="single" w:color="auto" w:sz="6" w:space="0"/>
              <w:right w:val="single" w:color="auto" w:sz="4"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17</w:t>
            </w:r>
          </w:p>
        </w:tc>
        <w:tc>
          <w:tcPr>
            <w:tcW w:w="671" w:type="pct"/>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napToGrid w:val="0"/>
              <w:jc w:val="center"/>
              <w:rPr>
                <w:color w:val="auto"/>
              </w:rPr>
            </w:pPr>
            <w:r>
              <w:rPr>
                <w:rFonts w:hint="eastAsia"/>
                <w:color w:val="auto"/>
              </w:rPr>
              <w:t>/</w:t>
            </w:r>
          </w:p>
        </w:tc>
        <w:tc>
          <w:tcPr>
            <w:tcW w:w="601" w:type="pct"/>
            <w:tcBorders>
              <w:top w:val="single" w:color="auto" w:sz="6" w:space="0"/>
              <w:left w:val="single" w:color="auto" w:sz="6" w:space="0"/>
              <w:bottom w:val="single" w:color="auto" w:sz="6" w:space="0"/>
              <w:right w:val="single" w:color="auto" w:sz="8" w:space="0"/>
            </w:tcBorders>
            <w:tcMar>
              <w:top w:w="57" w:type="dxa"/>
              <w:left w:w="85" w:type="dxa"/>
              <w:bottom w:w="57" w:type="dxa"/>
              <w:right w:w="85" w:type="dxa"/>
            </w:tcMar>
            <w:vAlign w:val="center"/>
          </w:tcPr>
          <w:p>
            <w:pPr>
              <w:contextualSpacing/>
              <w:jc w:val="center"/>
              <w:rPr>
                <w:color w:val="auto"/>
              </w:rPr>
            </w:pPr>
            <w:r>
              <w:rPr>
                <w:rFonts w:hint="eastAsia"/>
                <w:color w:val="auto"/>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6" w:space="0"/>
              <w:left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NO</w:t>
            </w:r>
            <w:r>
              <w:rPr>
                <w:color w:val="auto"/>
                <w:vertAlign w:val="subscript"/>
              </w:rPr>
              <w:t>2</w:t>
            </w:r>
          </w:p>
        </w:tc>
        <w:tc>
          <w:tcPr>
            <w:tcW w:w="1333"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rFonts w:hint="eastAsia"/>
                <w:color w:val="auto"/>
              </w:rPr>
              <w:t>年平均质量浓度</w:t>
            </w:r>
          </w:p>
        </w:tc>
        <w:tc>
          <w:tcPr>
            <w:tcW w:w="71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30</w:t>
            </w:r>
          </w:p>
        </w:tc>
        <w:tc>
          <w:tcPr>
            <w:tcW w:w="66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40</w:t>
            </w:r>
          </w:p>
        </w:tc>
        <w:tc>
          <w:tcPr>
            <w:tcW w:w="561" w:type="pct"/>
            <w:tcBorders>
              <w:top w:val="single" w:color="auto" w:sz="6" w:space="0"/>
              <w:left w:val="single" w:color="auto" w:sz="6" w:space="0"/>
              <w:bottom w:val="single" w:color="auto" w:sz="6" w:space="0"/>
              <w:right w:val="single" w:color="auto" w:sz="4"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75</w:t>
            </w:r>
          </w:p>
        </w:tc>
        <w:tc>
          <w:tcPr>
            <w:tcW w:w="671" w:type="pct"/>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napToGrid w:val="0"/>
              <w:jc w:val="center"/>
              <w:rPr>
                <w:color w:val="auto"/>
              </w:rPr>
            </w:pPr>
            <w:r>
              <w:rPr>
                <w:rFonts w:hint="eastAsia"/>
                <w:color w:val="auto"/>
              </w:rPr>
              <w:t>/</w:t>
            </w:r>
          </w:p>
        </w:tc>
        <w:tc>
          <w:tcPr>
            <w:tcW w:w="601" w:type="pct"/>
            <w:tcBorders>
              <w:top w:val="single" w:color="auto" w:sz="6" w:space="0"/>
              <w:left w:val="single" w:color="auto" w:sz="6" w:space="0"/>
              <w:bottom w:val="single" w:color="auto" w:sz="6" w:space="0"/>
              <w:right w:val="single" w:color="auto" w:sz="8" w:space="0"/>
            </w:tcBorders>
            <w:tcMar>
              <w:top w:w="57" w:type="dxa"/>
              <w:left w:w="85" w:type="dxa"/>
              <w:bottom w:w="57" w:type="dxa"/>
              <w:right w:w="85" w:type="dxa"/>
            </w:tcMar>
            <w:vAlign w:val="center"/>
          </w:tcPr>
          <w:p>
            <w:pPr>
              <w:contextualSpacing/>
              <w:jc w:val="center"/>
              <w:rPr>
                <w:color w:val="auto"/>
              </w:rPr>
            </w:pPr>
            <w:r>
              <w:rPr>
                <w:rFonts w:hint="eastAsia"/>
                <w:color w:val="auto"/>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6" w:space="0"/>
              <w:left w:val="single" w:color="auto" w:sz="8"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CO</w:t>
            </w:r>
          </w:p>
        </w:tc>
        <w:tc>
          <w:tcPr>
            <w:tcW w:w="1333"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rFonts w:hint="eastAsia"/>
                <w:color w:val="auto"/>
              </w:rPr>
              <w:t>2</w:t>
            </w:r>
            <w:r>
              <w:rPr>
                <w:color w:val="auto"/>
              </w:rPr>
              <w:t>4</w:t>
            </w:r>
            <w:r>
              <w:rPr>
                <w:rFonts w:hint="eastAsia"/>
                <w:color w:val="auto"/>
              </w:rPr>
              <w:t>h第</w:t>
            </w:r>
            <w:r>
              <w:rPr>
                <w:color w:val="auto"/>
              </w:rPr>
              <w:t>95</w:t>
            </w:r>
            <w:r>
              <w:rPr>
                <w:rFonts w:hint="eastAsia"/>
                <w:color w:val="auto"/>
              </w:rPr>
              <w:t>百分位浓度</w:t>
            </w:r>
          </w:p>
        </w:tc>
        <w:tc>
          <w:tcPr>
            <w:tcW w:w="71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autoSpaceDE w:val="0"/>
              <w:autoSpaceDN w:val="0"/>
              <w:adjustRightInd w:val="0"/>
              <w:snapToGrid w:val="0"/>
              <w:jc w:val="center"/>
              <w:rPr>
                <w:color w:val="auto"/>
              </w:rPr>
            </w:pPr>
            <w:r>
              <w:rPr>
                <w:color w:val="auto"/>
              </w:rPr>
              <w:t>1.</w:t>
            </w:r>
            <w:r>
              <w:rPr>
                <w:rFonts w:hint="eastAsia"/>
                <w:color w:val="auto"/>
                <w:lang w:val="en-US" w:eastAsia="zh-CN"/>
              </w:rPr>
              <w:t>4</w:t>
            </w:r>
            <w:r>
              <w:rPr>
                <w:color w:val="auto"/>
              </w:rPr>
              <w:t>mg/m</w:t>
            </w:r>
            <w:r>
              <w:rPr>
                <w:color w:val="auto"/>
                <w:vertAlign w:val="superscript"/>
              </w:rPr>
              <w:t>3</w:t>
            </w:r>
          </w:p>
        </w:tc>
        <w:tc>
          <w:tcPr>
            <w:tcW w:w="660" w:type="pct"/>
            <w:tcBorders>
              <w:top w:val="single" w:color="auto" w:sz="6" w:space="0"/>
              <w:left w:val="single" w:color="auto" w:sz="6" w:space="0"/>
              <w:bottom w:val="single" w:color="auto" w:sz="6"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4mg/m</w:t>
            </w:r>
            <w:r>
              <w:rPr>
                <w:color w:val="auto"/>
                <w:vertAlign w:val="superscript"/>
              </w:rPr>
              <w:t>3</w:t>
            </w:r>
          </w:p>
        </w:tc>
        <w:tc>
          <w:tcPr>
            <w:tcW w:w="561" w:type="pct"/>
            <w:tcBorders>
              <w:top w:val="single" w:color="auto" w:sz="6" w:space="0"/>
              <w:left w:val="single" w:color="auto" w:sz="6" w:space="0"/>
              <w:bottom w:val="single" w:color="auto" w:sz="6" w:space="0"/>
              <w:right w:val="single" w:color="auto" w:sz="4"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35</w:t>
            </w:r>
          </w:p>
        </w:tc>
        <w:tc>
          <w:tcPr>
            <w:tcW w:w="671" w:type="pct"/>
            <w:tcBorders>
              <w:top w:val="single" w:color="auto" w:sz="6" w:space="0"/>
              <w:left w:val="single" w:color="auto" w:sz="4" w:space="0"/>
              <w:bottom w:val="single" w:color="auto" w:sz="6" w:space="0"/>
              <w:right w:val="single" w:color="auto" w:sz="6" w:space="0"/>
            </w:tcBorders>
            <w:vAlign w:val="center"/>
          </w:tcPr>
          <w:p>
            <w:pPr>
              <w:autoSpaceDE w:val="0"/>
              <w:autoSpaceDN w:val="0"/>
              <w:adjustRightInd w:val="0"/>
              <w:snapToGrid w:val="0"/>
              <w:jc w:val="center"/>
              <w:rPr>
                <w:color w:val="auto"/>
              </w:rPr>
            </w:pPr>
            <w:r>
              <w:rPr>
                <w:rFonts w:hint="eastAsia"/>
                <w:color w:val="auto"/>
              </w:rPr>
              <w:t>/</w:t>
            </w:r>
          </w:p>
        </w:tc>
        <w:tc>
          <w:tcPr>
            <w:tcW w:w="601" w:type="pct"/>
            <w:tcBorders>
              <w:top w:val="single" w:color="auto" w:sz="6" w:space="0"/>
              <w:left w:val="single" w:color="auto" w:sz="6" w:space="0"/>
              <w:bottom w:val="single" w:color="auto" w:sz="6" w:space="0"/>
              <w:right w:val="single" w:color="auto" w:sz="8" w:space="0"/>
            </w:tcBorders>
            <w:tcMar>
              <w:top w:w="57" w:type="dxa"/>
              <w:left w:w="85" w:type="dxa"/>
              <w:bottom w:w="57" w:type="dxa"/>
              <w:right w:w="85" w:type="dxa"/>
            </w:tcMar>
            <w:vAlign w:val="center"/>
          </w:tcPr>
          <w:p>
            <w:pPr>
              <w:contextualSpacing/>
              <w:jc w:val="center"/>
              <w:rPr>
                <w:color w:val="auto"/>
              </w:rPr>
            </w:pPr>
            <w:r>
              <w:rPr>
                <w:rFonts w:hint="eastAsia"/>
                <w:color w:val="auto"/>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57" w:type="dxa"/>
            <w:left w:w="108" w:type="dxa"/>
            <w:bottom w:w="57" w:type="dxa"/>
            <w:right w:w="108" w:type="dxa"/>
          </w:tblCellMar>
        </w:tblPrEx>
        <w:trPr>
          <w:cantSplit/>
          <w:trHeight w:val="312" w:hRule="atLeast"/>
          <w:jc w:val="center"/>
        </w:trPr>
        <w:tc>
          <w:tcPr>
            <w:tcW w:w="464" w:type="pct"/>
            <w:tcBorders>
              <w:top w:val="single" w:color="auto" w:sz="6" w:space="0"/>
              <w:left w:val="single" w:color="auto" w:sz="8" w:space="0"/>
              <w:bottom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O</w:t>
            </w:r>
            <w:r>
              <w:rPr>
                <w:color w:val="auto"/>
                <w:vertAlign w:val="subscript"/>
              </w:rPr>
              <w:t>3</w:t>
            </w:r>
          </w:p>
        </w:tc>
        <w:tc>
          <w:tcPr>
            <w:tcW w:w="1333" w:type="pct"/>
            <w:tcBorders>
              <w:top w:val="single" w:color="auto" w:sz="6" w:space="0"/>
              <w:left w:val="single" w:color="auto" w:sz="6" w:space="0"/>
              <w:bottom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rFonts w:hint="eastAsia"/>
                <w:color w:val="auto"/>
              </w:rPr>
              <w:t>日最大8h滑动平均值的第</w:t>
            </w:r>
            <w:r>
              <w:rPr>
                <w:color w:val="auto"/>
              </w:rPr>
              <w:t>90</w:t>
            </w:r>
            <w:r>
              <w:rPr>
                <w:rFonts w:hint="eastAsia"/>
                <w:color w:val="auto"/>
              </w:rPr>
              <w:t>百分位数</w:t>
            </w:r>
          </w:p>
        </w:tc>
        <w:tc>
          <w:tcPr>
            <w:tcW w:w="710" w:type="pct"/>
            <w:tcBorders>
              <w:top w:val="single" w:color="auto" w:sz="6" w:space="0"/>
              <w:left w:val="single" w:color="auto" w:sz="6" w:space="0"/>
              <w:bottom w:val="single" w:color="auto" w:sz="8" w:space="0"/>
              <w:right w:val="single" w:color="auto" w:sz="6"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rPr>
              <w:t>1</w:t>
            </w:r>
            <w:r>
              <w:rPr>
                <w:rFonts w:hint="eastAsia"/>
                <w:color w:val="auto"/>
                <w:lang w:val="en-US" w:eastAsia="zh-CN"/>
              </w:rPr>
              <w:t>82</w:t>
            </w:r>
          </w:p>
        </w:tc>
        <w:tc>
          <w:tcPr>
            <w:tcW w:w="660" w:type="pct"/>
            <w:tcBorders>
              <w:top w:val="single" w:color="auto" w:sz="6" w:space="0"/>
              <w:left w:val="single" w:color="auto" w:sz="6" w:space="0"/>
              <w:bottom w:val="single" w:color="auto" w:sz="8" w:space="0"/>
              <w:right w:val="single" w:color="auto" w:sz="6" w:space="0"/>
            </w:tcBorders>
            <w:tcMar>
              <w:top w:w="57" w:type="dxa"/>
              <w:left w:w="85" w:type="dxa"/>
              <w:bottom w:w="57" w:type="dxa"/>
              <w:right w:w="85" w:type="dxa"/>
            </w:tcMar>
            <w:vAlign w:val="center"/>
          </w:tcPr>
          <w:p>
            <w:pPr>
              <w:contextualSpacing/>
              <w:jc w:val="center"/>
              <w:rPr>
                <w:color w:val="auto"/>
              </w:rPr>
            </w:pPr>
            <w:r>
              <w:rPr>
                <w:color w:val="auto"/>
              </w:rPr>
              <w:t>160</w:t>
            </w:r>
          </w:p>
        </w:tc>
        <w:tc>
          <w:tcPr>
            <w:tcW w:w="561" w:type="pct"/>
            <w:tcBorders>
              <w:top w:val="single" w:color="auto" w:sz="6" w:space="0"/>
              <w:left w:val="single" w:color="auto" w:sz="6" w:space="0"/>
              <w:bottom w:val="single" w:color="auto" w:sz="8" w:space="0"/>
              <w:right w:val="single" w:color="auto" w:sz="4" w:space="0"/>
            </w:tcBorders>
            <w:tcMar>
              <w:top w:w="57" w:type="dxa"/>
              <w:left w:w="85" w:type="dxa"/>
              <w:bottom w:w="57" w:type="dxa"/>
              <w:right w:w="85" w:type="dxa"/>
            </w:tcMar>
            <w:vAlign w:val="center"/>
          </w:tcPr>
          <w:p>
            <w:pPr>
              <w:autoSpaceDE w:val="0"/>
              <w:autoSpaceDN w:val="0"/>
              <w:adjustRightInd w:val="0"/>
              <w:snapToGrid w:val="0"/>
              <w:jc w:val="center"/>
              <w:rPr>
                <w:rFonts w:hint="default" w:eastAsia="宋体"/>
                <w:color w:val="auto"/>
                <w:lang w:val="en-US" w:eastAsia="zh-CN"/>
              </w:rPr>
            </w:pPr>
            <w:r>
              <w:rPr>
                <w:rFonts w:hint="eastAsia"/>
                <w:color w:val="auto"/>
                <w:lang w:val="en-US" w:eastAsia="zh-CN"/>
              </w:rPr>
              <w:t>114</w:t>
            </w:r>
          </w:p>
        </w:tc>
        <w:tc>
          <w:tcPr>
            <w:tcW w:w="671" w:type="pct"/>
            <w:tcBorders>
              <w:top w:val="single" w:color="auto" w:sz="6" w:space="0"/>
              <w:left w:val="single" w:color="auto" w:sz="4" w:space="0"/>
              <w:bottom w:val="single" w:color="auto" w:sz="8" w:space="0"/>
              <w:right w:val="single" w:color="auto" w:sz="6" w:space="0"/>
            </w:tcBorders>
            <w:vAlign w:val="center"/>
          </w:tcPr>
          <w:p>
            <w:pPr>
              <w:autoSpaceDE w:val="0"/>
              <w:autoSpaceDN w:val="0"/>
              <w:adjustRightInd w:val="0"/>
              <w:snapToGrid w:val="0"/>
              <w:jc w:val="center"/>
              <w:rPr>
                <w:rFonts w:hint="default" w:eastAsia="宋体"/>
                <w:color w:val="auto"/>
                <w:lang w:val="en-US" w:eastAsia="zh-CN"/>
              </w:rPr>
            </w:pPr>
            <w:r>
              <w:rPr>
                <w:rFonts w:hint="eastAsia"/>
                <w:color w:val="auto"/>
              </w:rPr>
              <w:t>0.</w:t>
            </w:r>
            <w:r>
              <w:rPr>
                <w:rFonts w:hint="eastAsia"/>
                <w:color w:val="auto"/>
                <w:lang w:val="en-US" w:eastAsia="zh-CN"/>
              </w:rPr>
              <w:t>14</w:t>
            </w:r>
          </w:p>
        </w:tc>
        <w:tc>
          <w:tcPr>
            <w:tcW w:w="601" w:type="pct"/>
            <w:tcBorders>
              <w:top w:val="single" w:color="auto" w:sz="6" w:space="0"/>
              <w:left w:val="single" w:color="auto" w:sz="6" w:space="0"/>
              <w:bottom w:val="single" w:color="auto" w:sz="8" w:space="0"/>
              <w:right w:val="single" w:color="auto" w:sz="8" w:space="0"/>
            </w:tcBorders>
            <w:tcMar>
              <w:top w:w="57" w:type="dxa"/>
              <w:left w:w="85" w:type="dxa"/>
              <w:bottom w:w="57" w:type="dxa"/>
              <w:right w:w="85" w:type="dxa"/>
            </w:tcMar>
            <w:vAlign w:val="center"/>
          </w:tcPr>
          <w:p>
            <w:pPr>
              <w:contextualSpacing/>
              <w:jc w:val="center"/>
              <w:rPr>
                <w:color w:val="auto"/>
              </w:rPr>
            </w:pPr>
            <w:r>
              <w:rPr>
                <w:rFonts w:hint="eastAsia"/>
                <w:color w:val="auto"/>
              </w:rPr>
              <w:t>超标</w:t>
            </w:r>
          </w:p>
        </w:tc>
      </w:tr>
    </w:tbl>
    <w:p>
      <w:pPr>
        <w:adjustRightInd w:val="0"/>
        <w:snapToGrid w:val="0"/>
        <w:spacing w:before="156" w:beforeLines="50" w:line="360" w:lineRule="auto"/>
        <w:ind w:firstLine="480" w:firstLineChars="200"/>
        <w:textAlignment w:val="baseline"/>
        <w:rPr>
          <w:color w:val="auto"/>
          <w:kern w:val="0"/>
          <w:sz w:val="24"/>
          <w:szCs w:val="20"/>
        </w:rPr>
      </w:pPr>
      <w:r>
        <w:rPr>
          <w:rFonts w:hint="eastAsia"/>
          <w:color w:val="auto"/>
          <w:kern w:val="0"/>
          <w:sz w:val="24"/>
          <w:szCs w:val="20"/>
        </w:rPr>
        <w:t>由上表可知，其中</w:t>
      </w:r>
      <w:r>
        <w:rPr>
          <w:color w:val="auto"/>
          <w:kern w:val="0"/>
          <w:sz w:val="24"/>
          <w:szCs w:val="20"/>
        </w:rPr>
        <w:t>PM</w:t>
      </w:r>
      <w:r>
        <w:rPr>
          <w:color w:val="auto"/>
          <w:kern w:val="0"/>
          <w:sz w:val="24"/>
          <w:szCs w:val="20"/>
          <w:vertAlign w:val="subscript"/>
        </w:rPr>
        <w:t>10</w:t>
      </w:r>
      <w:r>
        <w:rPr>
          <w:rFonts w:hint="eastAsia"/>
          <w:color w:val="auto"/>
          <w:kern w:val="0"/>
          <w:sz w:val="24"/>
          <w:szCs w:val="20"/>
        </w:rPr>
        <w:t>、</w:t>
      </w:r>
      <w:r>
        <w:rPr>
          <w:color w:val="auto"/>
          <w:kern w:val="0"/>
          <w:sz w:val="24"/>
          <w:szCs w:val="20"/>
        </w:rPr>
        <w:t>PM</w:t>
      </w:r>
      <w:r>
        <w:rPr>
          <w:color w:val="auto"/>
          <w:kern w:val="0"/>
          <w:sz w:val="24"/>
          <w:szCs w:val="20"/>
          <w:vertAlign w:val="subscript"/>
        </w:rPr>
        <w:t>2.5</w:t>
      </w:r>
      <w:r>
        <w:rPr>
          <w:rFonts w:hint="eastAsia"/>
          <w:color w:val="auto"/>
          <w:kern w:val="0"/>
          <w:sz w:val="24"/>
          <w:szCs w:val="20"/>
        </w:rPr>
        <w:t>和</w:t>
      </w:r>
      <w:r>
        <w:rPr>
          <w:color w:val="auto"/>
          <w:kern w:val="0"/>
          <w:sz w:val="24"/>
          <w:szCs w:val="20"/>
        </w:rPr>
        <w:t>O</w:t>
      </w:r>
      <w:r>
        <w:rPr>
          <w:color w:val="auto"/>
          <w:kern w:val="0"/>
          <w:sz w:val="24"/>
          <w:szCs w:val="20"/>
          <w:vertAlign w:val="subscript"/>
        </w:rPr>
        <w:t>3</w:t>
      </w:r>
      <w:r>
        <w:rPr>
          <w:rFonts w:hint="eastAsia"/>
          <w:color w:val="auto"/>
          <w:kern w:val="0"/>
          <w:sz w:val="24"/>
          <w:szCs w:val="20"/>
        </w:rPr>
        <w:t>均不能够满足《环境空气质量标准》（</w:t>
      </w:r>
      <w:r>
        <w:rPr>
          <w:color w:val="auto"/>
          <w:kern w:val="0"/>
          <w:sz w:val="24"/>
          <w:szCs w:val="20"/>
        </w:rPr>
        <w:t>GB3095-2012</w:t>
      </w:r>
      <w:r>
        <w:rPr>
          <w:rFonts w:hint="eastAsia"/>
          <w:color w:val="auto"/>
          <w:kern w:val="0"/>
          <w:sz w:val="24"/>
          <w:szCs w:val="20"/>
        </w:rPr>
        <w:t>）二级标准要求。根据《环境影响评价技术导则大气环境》（</w:t>
      </w:r>
      <w:r>
        <w:rPr>
          <w:color w:val="auto"/>
          <w:kern w:val="0"/>
          <w:sz w:val="24"/>
          <w:szCs w:val="20"/>
        </w:rPr>
        <w:t>HJ2.2-2018</w:t>
      </w:r>
      <w:r>
        <w:rPr>
          <w:rFonts w:hint="eastAsia"/>
          <w:color w:val="auto"/>
          <w:kern w:val="0"/>
          <w:sz w:val="24"/>
          <w:szCs w:val="20"/>
        </w:rPr>
        <w:t>），本项目所在区域属于未达标区。空气质量超标原因主要为：①冬季供暖锅炉以及部分企业燃煤锅炉启动，且冬季大气自净能力下降，污染扩散气象条件差；②区域内汽车等交通源增加，污染物排放量增大；③天气干燥，尘土较多。因此超标现象属于区域性污染问题。</w:t>
      </w:r>
    </w:p>
    <w:p>
      <w:pPr>
        <w:pStyle w:val="6"/>
        <w:keepNext/>
        <w:keepLines/>
        <w:pageBreakBefore w:val="0"/>
        <w:widowControl/>
        <w:kinsoku/>
        <w:wordWrap/>
        <w:overflowPunct/>
        <w:topLinePunct w:val="0"/>
        <w:autoSpaceDE/>
        <w:autoSpaceDN/>
        <w:bidi w:val="0"/>
        <w:adjustRightInd/>
        <w:snapToGrid/>
        <w:spacing w:before="0" w:after="0" w:line="360" w:lineRule="auto"/>
        <w:ind w:firstLine="480" w:firstLineChars="200"/>
        <w:textAlignment w:val="auto"/>
        <w:rPr>
          <w:b w:val="0"/>
          <w:color w:val="auto"/>
          <w:sz w:val="24"/>
          <w:szCs w:val="24"/>
        </w:rPr>
      </w:pPr>
      <w:r>
        <w:rPr>
          <w:rFonts w:hint="eastAsia" w:ascii="Times New Roman" w:hAnsi="Times New Roman" w:eastAsia="宋体" w:cs="Times New Roman"/>
          <w:b w:val="0"/>
          <w:bCs w:val="0"/>
          <w:color w:val="auto"/>
          <w:kern w:val="0"/>
          <w:sz w:val="24"/>
          <w:szCs w:val="20"/>
          <w:lang w:val="en-US" w:eastAsia="zh-CN" w:bidi="ar-SA"/>
        </w:rPr>
        <w:t>目前，新乡市正在实施《新乡市环境污染防治攻坚指挥部办公室关于印发新乡市深入打好秋冬季重污染天气消除、夏季臭氧污染防治和柴油货车污染治理攻坚战实施方案的通知》（新环攻坚办〔2023〕73号）、《新乡市环境污染防治攻坚指挥部办公室关于印发《新乡市2023年蓝天保卫战实施方案》的通知》（新环攻坚办[2023]77号）等一系列措施，将不断改善区域大气环境质量。</w:t>
      </w:r>
      <w:r>
        <w:rPr>
          <w:rFonts w:hint="eastAsia"/>
          <w:b w:val="0"/>
          <w:color w:val="auto"/>
          <w:sz w:val="24"/>
          <w:szCs w:val="24"/>
        </w:rPr>
        <w:t>4.2.2.2其他因子监测点位</w:t>
      </w:r>
      <w:bookmarkEnd w:id="271"/>
      <w:bookmarkEnd w:id="272"/>
      <w:r>
        <w:rPr>
          <w:rFonts w:hint="eastAsia"/>
          <w:b w:val="0"/>
          <w:color w:val="auto"/>
          <w:sz w:val="24"/>
          <w:szCs w:val="24"/>
        </w:rPr>
        <w:t>及监测因子</w:t>
      </w:r>
    </w:p>
    <w:p>
      <w:pPr>
        <w:adjustRightInd w:val="0"/>
        <w:snapToGrid w:val="0"/>
        <w:spacing w:line="360" w:lineRule="auto"/>
        <w:ind w:firstLine="480" w:firstLineChars="200"/>
        <w:textAlignment w:val="baseline"/>
        <w:rPr>
          <w:color w:val="auto"/>
          <w:kern w:val="0"/>
          <w:sz w:val="24"/>
          <w:szCs w:val="20"/>
        </w:rPr>
      </w:pPr>
      <w:bookmarkStart w:id="273" w:name="_Toc324839604"/>
      <w:bookmarkStart w:id="274" w:name="_Toc324839307"/>
      <w:r>
        <w:rPr>
          <w:color w:val="auto"/>
          <w:kern w:val="0"/>
          <w:sz w:val="24"/>
          <w:szCs w:val="20"/>
        </w:rPr>
        <w:t>为了解其他</w:t>
      </w:r>
      <w:r>
        <w:rPr>
          <w:rFonts w:hint="eastAsia"/>
          <w:color w:val="auto"/>
          <w:kern w:val="0"/>
          <w:sz w:val="24"/>
          <w:szCs w:val="20"/>
        </w:rPr>
        <w:t>特征污染物环境质量现状</w:t>
      </w:r>
      <w:r>
        <w:rPr>
          <w:color w:val="auto"/>
          <w:kern w:val="0"/>
          <w:sz w:val="24"/>
          <w:szCs w:val="20"/>
        </w:rPr>
        <w:t>，</w:t>
      </w:r>
      <w:r>
        <w:rPr>
          <w:rFonts w:hint="eastAsia"/>
          <w:color w:val="auto"/>
          <w:kern w:val="0"/>
          <w:sz w:val="24"/>
          <w:szCs w:val="20"/>
        </w:rPr>
        <w:t>本次环</w:t>
      </w:r>
      <w:r>
        <w:rPr>
          <w:color w:val="auto"/>
          <w:kern w:val="0"/>
          <w:sz w:val="24"/>
          <w:szCs w:val="20"/>
        </w:rPr>
        <w:t>评委</w:t>
      </w:r>
      <w:r>
        <w:rPr>
          <w:rFonts w:hint="eastAsia"/>
          <w:color w:val="auto"/>
          <w:kern w:val="0"/>
          <w:sz w:val="24"/>
          <w:szCs w:val="20"/>
        </w:rPr>
        <w:t>托</w:t>
      </w:r>
      <w:r>
        <w:rPr>
          <w:color w:val="auto"/>
          <w:kern w:val="0"/>
          <w:sz w:val="24"/>
          <w:szCs w:val="20"/>
        </w:rPr>
        <w:t>河南</w:t>
      </w:r>
      <w:r>
        <w:rPr>
          <w:rFonts w:hint="eastAsia"/>
          <w:color w:val="auto"/>
          <w:kern w:val="0"/>
          <w:sz w:val="24"/>
          <w:szCs w:val="20"/>
        </w:rPr>
        <w:t>鼎泰</w:t>
      </w:r>
      <w:r>
        <w:rPr>
          <w:color w:val="auto"/>
          <w:kern w:val="0"/>
          <w:sz w:val="24"/>
          <w:szCs w:val="20"/>
        </w:rPr>
        <w:t>检测科技有限公司</w:t>
      </w:r>
      <w:r>
        <w:rPr>
          <w:rFonts w:hint="eastAsia"/>
          <w:color w:val="auto"/>
          <w:kern w:val="0"/>
          <w:sz w:val="24"/>
          <w:szCs w:val="20"/>
        </w:rPr>
        <w:t>于2021年9月16日</w:t>
      </w:r>
      <w:r>
        <w:rPr>
          <w:rFonts w:hint="eastAsia"/>
          <w:color w:val="auto"/>
          <w:kern w:val="0"/>
          <w:sz w:val="24"/>
          <w:szCs w:val="20"/>
          <w:lang w:eastAsia="zh-CN"/>
        </w:rPr>
        <w:t>～</w:t>
      </w:r>
      <w:r>
        <w:rPr>
          <w:rFonts w:hint="eastAsia"/>
          <w:color w:val="auto"/>
          <w:kern w:val="0"/>
          <w:sz w:val="24"/>
          <w:szCs w:val="20"/>
        </w:rPr>
        <w:t>22日对项目周边</w:t>
      </w:r>
      <w:r>
        <w:rPr>
          <w:rFonts w:hint="eastAsia"/>
          <w:color w:val="auto"/>
          <w:kern w:val="0"/>
          <w:sz w:val="24"/>
          <w:szCs w:val="20"/>
          <w:lang w:eastAsia="zh-CN"/>
        </w:rPr>
        <w:t>大气</w:t>
      </w:r>
      <w:r>
        <w:rPr>
          <w:rFonts w:hint="eastAsia"/>
          <w:color w:val="auto"/>
          <w:kern w:val="0"/>
          <w:sz w:val="24"/>
          <w:szCs w:val="20"/>
        </w:rPr>
        <w:t>环境进行补充监测。</w:t>
      </w:r>
    </w:p>
    <w:p>
      <w:pPr>
        <w:spacing w:line="360" w:lineRule="auto"/>
        <w:rPr>
          <w:rFonts w:ascii="宋体" w:hAnsi="宋体"/>
          <w:color w:val="auto"/>
          <w:kern w:val="0"/>
          <w:sz w:val="24"/>
          <w:szCs w:val="20"/>
        </w:rPr>
      </w:pPr>
      <w:r>
        <w:rPr>
          <w:rFonts w:hint="eastAsia" w:ascii="宋体" w:hAnsi="宋体"/>
          <w:color w:val="auto"/>
          <w:kern w:val="0"/>
          <w:sz w:val="24"/>
          <w:szCs w:val="20"/>
        </w:rPr>
        <w:t>（1）监测点位</w:t>
      </w:r>
    </w:p>
    <w:p>
      <w:pPr>
        <w:spacing w:line="360" w:lineRule="auto"/>
        <w:ind w:firstLine="480" w:firstLineChars="200"/>
        <w:rPr>
          <w:color w:val="auto"/>
          <w:kern w:val="0"/>
          <w:sz w:val="24"/>
          <w:szCs w:val="28"/>
        </w:rPr>
      </w:pPr>
      <w:r>
        <w:rPr>
          <w:color w:val="auto"/>
          <w:kern w:val="0"/>
          <w:sz w:val="24"/>
          <w:szCs w:val="28"/>
        </w:rPr>
        <w:t>根据区域环境特征、主导风向及周围环境敏感点分布状况，本项目环境空气质量现状监测共布设3个监测点，分别为厂址及下风向的陈孝村和前李村，各监测点位基本信息表见表4.2-2。监测点布设位置详见附图</w:t>
      </w:r>
      <w:r>
        <w:rPr>
          <w:rFonts w:hint="eastAsia"/>
          <w:color w:val="auto"/>
          <w:kern w:val="0"/>
          <w:sz w:val="24"/>
          <w:szCs w:val="28"/>
        </w:rPr>
        <w:t>十</w:t>
      </w:r>
      <w:r>
        <w:rPr>
          <w:color w:val="auto"/>
          <w:kern w:val="0"/>
          <w:sz w:val="24"/>
          <w:szCs w:val="28"/>
        </w:rPr>
        <w:t>。</w:t>
      </w:r>
    </w:p>
    <w:p>
      <w:pPr>
        <w:adjustRightInd w:val="0"/>
        <w:snapToGrid w:val="0"/>
        <w:jc w:val="center"/>
        <w:rPr>
          <w:rFonts w:eastAsia="黑体"/>
          <w:snapToGrid w:val="0"/>
          <w:color w:val="auto"/>
          <w:kern w:val="21"/>
          <w:sz w:val="24"/>
        </w:rPr>
      </w:pPr>
      <w:r>
        <w:rPr>
          <w:rFonts w:eastAsia="黑体"/>
          <w:snapToGrid w:val="0"/>
          <w:color w:val="auto"/>
          <w:kern w:val="21"/>
          <w:sz w:val="24"/>
        </w:rPr>
        <w:t>表4.2-2     环境空气监测布点及监测因子一览表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2125"/>
        <w:gridCol w:w="994"/>
        <w:gridCol w:w="1699"/>
        <w:gridCol w:w="1421"/>
        <w:gridCol w:w="161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5" w:type="pct"/>
            <w:vAlign w:val="center"/>
          </w:tcPr>
          <w:p>
            <w:pPr>
              <w:jc w:val="center"/>
              <w:rPr>
                <w:b/>
                <w:color w:val="auto"/>
                <w:szCs w:val="20"/>
              </w:rPr>
            </w:pPr>
            <w:r>
              <w:rPr>
                <w:b/>
                <w:color w:val="auto"/>
                <w:szCs w:val="20"/>
              </w:rPr>
              <w:t>编号</w:t>
            </w:r>
          </w:p>
        </w:tc>
        <w:tc>
          <w:tcPr>
            <w:tcW w:w="1246" w:type="pct"/>
            <w:vAlign w:val="center"/>
          </w:tcPr>
          <w:p>
            <w:pPr>
              <w:jc w:val="center"/>
              <w:rPr>
                <w:b/>
                <w:color w:val="auto"/>
                <w:szCs w:val="20"/>
              </w:rPr>
            </w:pPr>
            <w:r>
              <w:rPr>
                <w:b/>
                <w:color w:val="auto"/>
                <w:szCs w:val="20"/>
              </w:rPr>
              <w:t>监测点名称</w:t>
            </w:r>
          </w:p>
        </w:tc>
        <w:tc>
          <w:tcPr>
            <w:tcW w:w="583" w:type="pct"/>
            <w:vAlign w:val="center"/>
          </w:tcPr>
          <w:p>
            <w:pPr>
              <w:jc w:val="center"/>
              <w:rPr>
                <w:b/>
                <w:color w:val="auto"/>
                <w:szCs w:val="20"/>
              </w:rPr>
            </w:pPr>
            <w:r>
              <w:rPr>
                <w:b/>
                <w:color w:val="auto"/>
                <w:szCs w:val="20"/>
              </w:rPr>
              <w:t>方位</w:t>
            </w:r>
          </w:p>
        </w:tc>
        <w:tc>
          <w:tcPr>
            <w:tcW w:w="996" w:type="pct"/>
            <w:tcBorders>
              <w:right w:val="single" w:color="auto" w:sz="4" w:space="0"/>
            </w:tcBorders>
            <w:vAlign w:val="center"/>
          </w:tcPr>
          <w:p>
            <w:pPr>
              <w:jc w:val="center"/>
              <w:rPr>
                <w:b/>
                <w:color w:val="auto"/>
                <w:szCs w:val="20"/>
              </w:rPr>
            </w:pPr>
            <w:r>
              <w:rPr>
                <w:b/>
                <w:color w:val="auto"/>
                <w:szCs w:val="20"/>
              </w:rPr>
              <w:t>距厂界距离（m）</w:t>
            </w:r>
          </w:p>
        </w:tc>
        <w:tc>
          <w:tcPr>
            <w:tcW w:w="833" w:type="pct"/>
            <w:tcBorders>
              <w:left w:val="single" w:color="auto" w:sz="4" w:space="0"/>
            </w:tcBorders>
            <w:vAlign w:val="center"/>
          </w:tcPr>
          <w:p>
            <w:pPr>
              <w:jc w:val="center"/>
              <w:rPr>
                <w:b/>
                <w:color w:val="auto"/>
                <w:szCs w:val="20"/>
              </w:rPr>
            </w:pPr>
            <w:r>
              <w:rPr>
                <w:b/>
                <w:color w:val="auto"/>
                <w:szCs w:val="20"/>
              </w:rPr>
              <w:t>监测因子</w:t>
            </w:r>
          </w:p>
        </w:tc>
        <w:tc>
          <w:tcPr>
            <w:tcW w:w="946" w:type="pct"/>
            <w:vAlign w:val="center"/>
          </w:tcPr>
          <w:p>
            <w:pPr>
              <w:jc w:val="center"/>
              <w:rPr>
                <w:b/>
                <w:color w:val="auto"/>
                <w:szCs w:val="20"/>
              </w:rPr>
            </w:pPr>
            <w:r>
              <w:rPr>
                <w:b/>
                <w:color w:val="auto"/>
                <w:szCs w:val="20"/>
              </w:rPr>
              <w:t>功能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1#</w:t>
            </w:r>
          </w:p>
        </w:tc>
        <w:tc>
          <w:tcPr>
            <w:tcW w:w="1246" w:type="pct"/>
            <w:vAlign w:val="center"/>
          </w:tcPr>
          <w:p>
            <w:pPr>
              <w:contextualSpacing/>
              <w:jc w:val="center"/>
              <w:textAlignment w:val="baseline"/>
              <w:rPr>
                <w:color w:val="auto"/>
                <w:kern w:val="0"/>
              </w:rPr>
            </w:pPr>
            <w:r>
              <w:rPr>
                <w:color w:val="auto"/>
                <w:kern w:val="0"/>
              </w:rPr>
              <w:t>厂址处</w:t>
            </w:r>
          </w:p>
        </w:tc>
        <w:tc>
          <w:tcPr>
            <w:tcW w:w="583" w:type="pct"/>
            <w:vAlign w:val="center"/>
          </w:tcPr>
          <w:p>
            <w:pPr>
              <w:contextualSpacing/>
              <w:jc w:val="center"/>
              <w:textAlignment w:val="baseline"/>
              <w:rPr>
                <w:color w:val="auto"/>
                <w:kern w:val="0"/>
              </w:rPr>
            </w:pPr>
            <w:r>
              <w:rPr>
                <w:color w:val="auto"/>
                <w:kern w:val="0"/>
              </w:rPr>
              <w:t>/</w:t>
            </w:r>
          </w:p>
        </w:tc>
        <w:tc>
          <w:tcPr>
            <w:tcW w:w="996" w:type="pct"/>
            <w:tcBorders>
              <w:right w:val="single" w:color="auto" w:sz="4" w:space="0"/>
            </w:tcBorders>
            <w:vAlign w:val="center"/>
          </w:tcPr>
          <w:p>
            <w:pPr>
              <w:contextualSpacing/>
              <w:jc w:val="center"/>
              <w:textAlignment w:val="baseline"/>
              <w:rPr>
                <w:color w:val="auto"/>
                <w:kern w:val="0"/>
              </w:rPr>
            </w:pPr>
            <w:r>
              <w:rPr>
                <w:color w:val="auto"/>
                <w:kern w:val="0"/>
              </w:rPr>
              <w:t>/</w:t>
            </w:r>
          </w:p>
        </w:tc>
        <w:tc>
          <w:tcPr>
            <w:tcW w:w="833" w:type="pct"/>
            <w:vMerge w:val="restart"/>
            <w:tcBorders>
              <w:left w:val="single" w:color="auto" w:sz="4" w:space="0"/>
            </w:tcBorders>
            <w:vAlign w:val="center"/>
          </w:tcPr>
          <w:p>
            <w:pPr>
              <w:contextualSpacing/>
              <w:jc w:val="center"/>
              <w:textAlignment w:val="baseline"/>
              <w:rPr>
                <w:color w:val="auto"/>
                <w:kern w:val="0"/>
              </w:rPr>
            </w:pPr>
            <w:r>
              <w:rPr>
                <w:color w:val="auto"/>
                <w:kern w:val="0"/>
              </w:rPr>
              <w:t>HCL、硫酸雾、铬酸雾</w:t>
            </w:r>
            <w:r>
              <w:rPr>
                <w:rFonts w:hint="eastAsia"/>
                <w:color w:val="auto"/>
                <w:kern w:val="0"/>
              </w:rPr>
              <w:t>、氨、硫化氢、臭气浓度</w:t>
            </w:r>
          </w:p>
        </w:tc>
        <w:tc>
          <w:tcPr>
            <w:tcW w:w="946" w:type="pct"/>
            <w:vAlign w:val="center"/>
          </w:tcPr>
          <w:p>
            <w:pPr>
              <w:contextualSpacing/>
              <w:jc w:val="center"/>
              <w:textAlignment w:val="baseline"/>
              <w:rPr>
                <w:color w:val="auto"/>
                <w:kern w:val="0"/>
              </w:rPr>
            </w:pPr>
            <w:r>
              <w:rPr>
                <w:rFonts w:hint="eastAsia"/>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5" w:type="pct"/>
            <w:vAlign w:val="center"/>
          </w:tcPr>
          <w:p>
            <w:pPr>
              <w:contextualSpacing/>
              <w:jc w:val="center"/>
              <w:textAlignment w:val="baseline"/>
              <w:rPr>
                <w:color w:val="auto"/>
                <w:kern w:val="0"/>
              </w:rPr>
            </w:pPr>
            <w:r>
              <w:rPr>
                <w:color w:val="auto"/>
                <w:kern w:val="0"/>
              </w:rPr>
              <w:t>2#</w:t>
            </w:r>
          </w:p>
        </w:tc>
        <w:tc>
          <w:tcPr>
            <w:tcW w:w="1246" w:type="pct"/>
            <w:vAlign w:val="center"/>
          </w:tcPr>
          <w:p>
            <w:pPr>
              <w:contextualSpacing/>
              <w:jc w:val="center"/>
              <w:textAlignment w:val="baseline"/>
              <w:rPr>
                <w:color w:val="auto"/>
                <w:kern w:val="0"/>
              </w:rPr>
            </w:pPr>
            <w:r>
              <w:rPr>
                <w:color w:val="auto"/>
                <w:kern w:val="0"/>
              </w:rPr>
              <w:t>陈孝村</w:t>
            </w:r>
          </w:p>
        </w:tc>
        <w:tc>
          <w:tcPr>
            <w:tcW w:w="583" w:type="pct"/>
            <w:vAlign w:val="center"/>
          </w:tcPr>
          <w:p>
            <w:pPr>
              <w:contextualSpacing/>
              <w:jc w:val="center"/>
              <w:textAlignment w:val="baseline"/>
              <w:rPr>
                <w:color w:val="auto"/>
                <w:kern w:val="0"/>
              </w:rPr>
            </w:pPr>
            <w:r>
              <w:rPr>
                <w:rFonts w:hint="eastAsia"/>
                <w:color w:val="auto"/>
                <w:kern w:val="0"/>
              </w:rPr>
              <w:t>SSW</w:t>
            </w:r>
          </w:p>
        </w:tc>
        <w:tc>
          <w:tcPr>
            <w:tcW w:w="996" w:type="pct"/>
            <w:tcBorders>
              <w:right w:val="single" w:color="auto" w:sz="4" w:space="0"/>
            </w:tcBorders>
            <w:vAlign w:val="center"/>
          </w:tcPr>
          <w:p>
            <w:pPr>
              <w:contextualSpacing/>
              <w:jc w:val="center"/>
              <w:textAlignment w:val="baseline"/>
              <w:rPr>
                <w:color w:val="auto"/>
                <w:kern w:val="0"/>
              </w:rPr>
            </w:pPr>
            <w:r>
              <w:rPr>
                <w:color w:val="auto"/>
                <w:kern w:val="0"/>
              </w:rPr>
              <w:t>2560</w:t>
            </w:r>
          </w:p>
        </w:tc>
        <w:tc>
          <w:tcPr>
            <w:tcW w:w="833" w:type="pct"/>
            <w:vMerge w:val="continue"/>
            <w:tcBorders>
              <w:left w:val="single" w:color="auto" w:sz="4" w:space="0"/>
            </w:tcBorders>
            <w:vAlign w:val="center"/>
          </w:tcPr>
          <w:p>
            <w:pPr>
              <w:contextualSpacing/>
              <w:jc w:val="center"/>
              <w:textAlignment w:val="baseline"/>
              <w:rPr>
                <w:color w:val="auto"/>
                <w:kern w:val="0"/>
              </w:rPr>
            </w:pPr>
          </w:p>
        </w:tc>
        <w:tc>
          <w:tcPr>
            <w:tcW w:w="946" w:type="pct"/>
            <w:vAlign w:val="center"/>
          </w:tcPr>
          <w:p>
            <w:pPr>
              <w:contextualSpacing/>
              <w:jc w:val="center"/>
              <w:textAlignment w:val="baseline"/>
              <w:rPr>
                <w:color w:val="auto"/>
                <w:kern w:val="0"/>
              </w:rPr>
            </w:pPr>
            <w:r>
              <w:rPr>
                <w:color w:val="auto"/>
                <w:kern w:val="0"/>
              </w:rPr>
              <w:t>下风向</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5" w:type="pct"/>
            <w:vAlign w:val="center"/>
          </w:tcPr>
          <w:p>
            <w:pPr>
              <w:contextualSpacing/>
              <w:jc w:val="center"/>
              <w:textAlignment w:val="baseline"/>
              <w:rPr>
                <w:color w:val="auto"/>
                <w:kern w:val="0"/>
              </w:rPr>
            </w:pPr>
            <w:r>
              <w:rPr>
                <w:color w:val="auto"/>
                <w:kern w:val="0"/>
              </w:rPr>
              <w:t>3#</w:t>
            </w:r>
          </w:p>
        </w:tc>
        <w:tc>
          <w:tcPr>
            <w:tcW w:w="1246" w:type="pct"/>
            <w:vAlign w:val="center"/>
          </w:tcPr>
          <w:p>
            <w:pPr>
              <w:contextualSpacing/>
              <w:jc w:val="center"/>
              <w:textAlignment w:val="baseline"/>
              <w:rPr>
                <w:color w:val="auto"/>
                <w:kern w:val="0"/>
              </w:rPr>
            </w:pPr>
            <w:r>
              <w:rPr>
                <w:color w:val="auto"/>
                <w:kern w:val="0"/>
              </w:rPr>
              <w:t>孝合村</w:t>
            </w:r>
          </w:p>
        </w:tc>
        <w:tc>
          <w:tcPr>
            <w:tcW w:w="583" w:type="pct"/>
            <w:vAlign w:val="center"/>
          </w:tcPr>
          <w:p>
            <w:pPr>
              <w:contextualSpacing/>
              <w:jc w:val="center"/>
              <w:textAlignment w:val="baseline"/>
              <w:rPr>
                <w:color w:val="auto"/>
                <w:kern w:val="0"/>
              </w:rPr>
            </w:pPr>
            <w:r>
              <w:rPr>
                <w:rFonts w:hint="eastAsia"/>
                <w:color w:val="auto"/>
                <w:kern w:val="0"/>
              </w:rPr>
              <w:t>SW</w:t>
            </w:r>
          </w:p>
        </w:tc>
        <w:tc>
          <w:tcPr>
            <w:tcW w:w="996" w:type="pct"/>
            <w:tcBorders>
              <w:right w:val="single" w:color="auto" w:sz="4" w:space="0"/>
            </w:tcBorders>
            <w:vAlign w:val="center"/>
          </w:tcPr>
          <w:p>
            <w:pPr>
              <w:contextualSpacing/>
              <w:jc w:val="center"/>
              <w:textAlignment w:val="baseline"/>
              <w:rPr>
                <w:color w:val="auto"/>
                <w:kern w:val="0"/>
              </w:rPr>
            </w:pPr>
            <w:r>
              <w:rPr>
                <w:color w:val="auto"/>
                <w:kern w:val="0"/>
              </w:rPr>
              <w:t>2060</w:t>
            </w:r>
          </w:p>
        </w:tc>
        <w:tc>
          <w:tcPr>
            <w:tcW w:w="833" w:type="pct"/>
            <w:vMerge w:val="continue"/>
            <w:tcBorders>
              <w:left w:val="single" w:color="auto" w:sz="4" w:space="0"/>
            </w:tcBorders>
            <w:vAlign w:val="center"/>
          </w:tcPr>
          <w:p>
            <w:pPr>
              <w:contextualSpacing/>
              <w:jc w:val="center"/>
              <w:textAlignment w:val="baseline"/>
              <w:rPr>
                <w:color w:val="auto"/>
                <w:kern w:val="0"/>
              </w:rPr>
            </w:pPr>
          </w:p>
        </w:tc>
        <w:tc>
          <w:tcPr>
            <w:tcW w:w="946" w:type="pct"/>
            <w:vAlign w:val="center"/>
          </w:tcPr>
          <w:p>
            <w:pPr>
              <w:contextualSpacing/>
              <w:jc w:val="center"/>
              <w:textAlignment w:val="baseline"/>
              <w:rPr>
                <w:color w:val="auto"/>
                <w:kern w:val="0"/>
              </w:rPr>
            </w:pPr>
            <w:r>
              <w:rPr>
                <w:color w:val="auto"/>
                <w:kern w:val="0"/>
              </w:rPr>
              <w:t>下风向</w:t>
            </w:r>
          </w:p>
        </w:tc>
      </w:tr>
    </w:tbl>
    <w:p>
      <w:pPr>
        <w:rPr>
          <w:color w:val="auto"/>
          <w:kern w:val="0"/>
          <w:sz w:val="24"/>
          <w:szCs w:val="20"/>
        </w:rPr>
      </w:pPr>
    </w:p>
    <w:p>
      <w:pPr>
        <w:spacing w:line="360" w:lineRule="auto"/>
        <w:rPr>
          <w:rFonts w:ascii="宋体" w:hAnsi="宋体"/>
          <w:color w:val="auto"/>
          <w:kern w:val="0"/>
          <w:sz w:val="24"/>
          <w:szCs w:val="20"/>
        </w:rPr>
      </w:pPr>
      <w:r>
        <w:rPr>
          <w:rFonts w:hint="eastAsia" w:ascii="宋体" w:hAnsi="宋体"/>
          <w:color w:val="auto"/>
          <w:kern w:val="0"/>
          <w:sz w:val="24"/>
          <w:szCs w:val="20"/>
        </w:rPr>
        <w:t>（2）监测时间和频率</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受建设单位委托，河南鼎泰检测技术有限公司于2021年9月16日</w:t>
      </w:r>
      <w:r>
        <w:rPr>
          <w:rFonts w:hint="eastAsia"/>
          <w:color w:val="auto"/>
          <w:kern w:val="0"/>
          <w:sz w:val="24"/>
          <w:szCs w:val="20"/>
          <w:lang w:eastAsia="zh-CN"/>
        </w:rPr>
        <w:t>～</w:t>
      </w:r>
      <w:r>
        <w:rPr>
          <w:rFonts w:hint="eastAsia"/>
          <w:color w:val="auto"/>
          <w:kern w:val="0"/>
          <w:sz w:val="24"/>
          <w:szCs w:val="20"/>
        </w:rPr>
        <w:t>22日、对3个监测点位进行了连续7天的环境空气质量现状监测，监测因子及频率见表4.2-3。</w:t>
      </w:r>
    </w:p>
    <w:p>
      <w:pPr>
        <w:adjustRightInd w:val="0"/>
        <w:snapToGrid w:val="0"/>
        <w:jc w:val="center"/>
        <w:rPr>
          <w:rFonts w:eastAsia="黑体"/>
          <w:snapToGrid w:val="0"/>
          <w:color w:val="auto"/>
          <w:kern w:val="21"/>
          <w:sz w:val="24"/>
        </w:rPr>
      </w:pPr>
    </w:p>
    <w:p>
      <w:pPr>
        <w:pStyle w:val="2"/>
        <w:rPr>
          <w:rFonts w:eastAsia="黑体"/>
          <w:snapToGrid w:val="0"/>
          <w:color w:val="auto"/>
          <w:kern w:val="21"/>
          <w:sz w:val="24"/>
        </w:rPr>
      </w:pPr>
    </w:p>
    <w:p/>
    <w:p>
      <w:pPr>
        <w:adjustRightInd w:val="0"/>
        <w:snapToGrid w:val="0"/>
        <w:jc w:val="center"/>
        <w:rPr>
          <w:rFonts w:eastAsia="黑体"/>
          <w:snapToGrid w:val="0"/>
          <w:color w:val="auto"/>
          <w:kern w:val="21"/>
          <w:sz w:val="24"/>
        </w:rPr>
      </w:pPr>
    </w:p>
    <w:p>
      <w:pPr>
        <w:adjustRightInd w:val="0"/>
        <w:snapToGrid w:val="0"/>
        <w:jc w:val="center"/>
        <w:rPr>
          <w:rFonts w:eastAsia="黑体"/>
          <w:snapToGrid w:val="0"/>
          <w:color w:val="auto"/>
          <w:kern w:val="21"/>
          <w:sz w:val="24"/>
        </w:rPr>
      </w:pPr>
      <w:r>
        <w:rPr>
          <w:rFonts w:hint="eastAsia" w:eastAsia="黑体"/>
          <w:snapToGrid w:val="0"/>
          <w:color w:val="auto"/>
          <w:kern w:val="21"/>
          <w:sz w:val="24"/>
        </w:rPr>
        <w:t>表4.2-3   监测因子及频率一览表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526"/>
        <w:gridCol w:w="1416"/>
        <w:gridCol w:w="558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5" w:type="pct"/>
            <w:vAlign w:val="center"/>
          </w:tcPr>
          <w:p>
            <w:pPr>
              <w:jc w:val="center"/>
              <w:rPr>
                <w:rFonts w:cs="宋体"/>
                <w:b/>
                <w:color w:val="auto"/>
                <w:szCs w:val="20"/>
              </w:rPr>
            </w:pPr>
            <w:r>
              <w:rPr>
                <w:rFonts w:hint="eastAsia" w:cs="宋体"/>
                <w:b/>
                <w:color w:val="auto"/>
                <w:szCs w:val="20"/>
              </w:rPr>
              <w:t>监测因子</w:t>
            </w:r>
          </w:p>
        </w:tc>
        <w:tc>
          <w:tcPr>
            <w:tcW w:w="830" w:type="pct"/>
            <w:vAlign w:val="center"/>
          </w:tcPr>
          <w:p>
            <w:pPr>
              <w:jc w:val="center"/>
              <w:rPr>
                <w:rFonts w:cs="宋体"/>
                <w:b/>
                <w:color w:val="auto"/>
                <w:szCs w:val="20"/>
              </w:rPr>
            </w:pPr>
            <w:r>
              <w:rPr>
                <w:rFonts w:hint="eastAsia" w:cs="宋体"/>
                <w:b/>
                <w:color w:val="auto"/>
                <w:szCs w:val="20"/>
              </w:rPr>
              <w:t>监测项目</w:t>
            </w:r>
          </w:p>
        </w:tc>
        <w:tc>
          <w:tcPr>
            <w:tcW w:w="3275" w:type="pct"/>
            <w:vAlign w:val="center"/>
          </w:tcPr>
          <w:p>
            <w:pPr>
              <w:jc w:val="center"/>
              <w:rPr>
                <w:rFonts w:cs="宋体"/>
                <w:b/>
                <w:color w:val="auto"/>
                <w:szCs w:val="20"/>
              </w:rPr>
            </w:pPr>
            <w:r>
              <w:rPr>
                <w:rFonts w:hint="eastAsia" w:cs="宋体"/>
                <w:b/>
                <w:color w:val="auto"/>
                <w:szCs w:val="20"/>
              </w:rPr>
              <w:t>监测频率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5" w:type="pct"/>
            <w:vMerge w:val="restart"/>
            <w:vAlign w:val="center"/>
          </w:tcPr>
          <w:p>
            <w:pPr>
              <w:contextualSpacing/>
              <w:jc w:val="center"/>
              <w:textAlignment w:val="baseline"/>
              <w:rPr>
                <w:color w:val="auto"/>
                <w:kern w:val="0"/>
              </w:rPr>
            </w:pPr>
            <w:r>
              <w:rPr>
                <w:rFonts w:hint="eastAsia"/>
                <w:color w:val="auto"/>
                <w:kern w:val="0"/>
              </w:rPr>
              <w:t>HCL、硫酸雾</w:t>
            </w:r>
          </w:p>
        </w:tc>
        <w:tc>
          <w:tcPr>
            <w:tcW w:w="830" w:type="pct"/>
            <w:vAlign w:val="center"/>
          </w:tcPr>
          <w:p>
            <w:pPr>
              <w:contextualSpacing/>
              <w:jc w:val="center"/>
              <w:textAlignment w:val="baseline"/>
              <w:rPr>
                <w:color w:val="auto"/>
                <w:kern w:val="0"/>
              </w:rPr>
            </w:pPr>
            <w:r>
              <w:rPr>
                <w:rFonts w:hint="eastAsia"/>
                <w:color w:val="auto"/>
                <w:kern w:val="0"/>
              </w:rPr>
              <w:t>1h浓度值</w:t>
            </w:r>
          </w:p>
        </w:tc>
        <w:tc>
          <w:tcPr>
            <w:tcW w:w="3275" w:type="pct"/>
            <w:vAlign w:val="center"/>
          </w:tcPr>
          <w:p>
            <w:pPr>
              <w:contextualSpacing/>
              <w:jc w:val="center"/>
              <w:textAlignment w:val="baseline"/>
              <w:rPr>
                <w:color w:val="auto"/>
                <w:kern w:val="0"/>
              </w:rPr>
            </w:pPr>
            <w:r>
              <w:rPr>
                <w:color w:val="auto"/>
                <w:kern w:val="0"/>
              </w:rPr>
              <w:t>连续监测</w:t>
            </w:r>
            <w:r>
              <w:rPr>
                <w:rFonts w:hint="eastAsia"/>
                <w:color w:val="auto"/>
                <w:kern w:val="0"/>
              </w:rPr>
              <w:t>7</w:t>
            </w:r>
            <w:r>
              <w:rPr>
                <w:color w:val="auto"/>
                <w:kern w:val="0"/>
              </w:rPr>
              <w:t>天，每天</w:t>
            </w:r>
            <w:r>
              <w:rPr>
                <w:rFonts w:hint="eastAsia"/>
                <w:color w:val="auto"/>
                <w:kern w:val="0"/>
              </w:rPr>
              <w:t>02、08、14、20时采样4次，每次采样时间不少于45min，取每次监测时段的1h浓度值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5" w:type="pct"/>
            <w:vMerge w:val="continue"/>
            <w:vAlign w:val="center"/>
          </w:tcPr>
          <w:p>
            <w:pPr>
              <w:contextualSpacing/>
              <w:jc w:val="center"/>
              <w:textAlignment w:val="baseline"/>
              <w:rPr>
                <w:color w:val="auto"/>
                <w:kern w:val="0"/>
              </w:rPr>
            </w:pPr>
          </w:p>
        </w:tc>
        <w:tc>
          <w:tcPr>
            <w:tcW w:w="830" w:type="pct"/>
            <w:vAlign w:val="center"/>
          </w:tcPr>
          <w:p>
            <w:pPr>
              <w:contextualSpacing/>
              <w:jc w:val="center"/>
              <w:textAlignment w:val="baseline"/>
              <w:rPr>
                <w:color w:val="auto"/>
                <w:kern w:val="0"/>
              </w:rPr>
            </w:pPr>
            <w:r>
              <w:rPr>
                <w:rFonts w:hint="eastAsia"/>
                <w:color w:val="auto"/>
                <w:kern w:val="0"/>
              </w:rPr>
              <w:t>日均值</w:t>
            </w:r>
          </w:p>
        </w:tc>
        <w:tc>
          <w:tcPr>
            <w:tcW w:w="3275" w:type="pct"/>
            <w:vAlign w:val="center"/>
          </w:tcPr>
          <w:p>
            <w:pPr>
              <w:contextualSpacing/>
              <w:jc w:val="center"/>
              <w:textAlignment w:val="baseline"/>
              <w:rPr>
                <w:color w:val="auto"/>
                <w:kern w:val="0"/>
              </w:rPr>
            </w:pPr>
            <w:r>
              <w:rPr>
                <w:color w:val="auto"/>
                <w:kern w:val="0"/>
              </w:rPr>
              <w:t>连续监测</w:t>
            </w:r>
            <w:r>
              <w:rPr>
                <w:rFonts w:hint="eastAsia"/>
                <w:color w:val="auto"/>
                <w:kern w:val="0"/>
              </w:rPr>
              <w:t>7</w:t>
            </w:r>
            <w:r>
              <w:rPr>
                <w:color w:val="auto"/>
                <w:kern w:val="0"/>
              </w:rPr>
              <w:t>天，</w:t>
            </w:r>
            <w:r>
              <w:rPr>
                <w:rFonts w:hint="eastAsia"/>
                <w:color w:val="auto"/>
                <w:kern w:val="0"/>
              </w:rPr>
              <w:t>每日</w:t>
            </w:r>
            <w:r>
              <w:rPr>
                <w:color w:val="auto"/>
                <w:kern w:val="0"/>
              </w:rPr>
              <w:t>采样不少于</w:t>
            </w:r>
            <w:r>
              <w:rPr>
                <w:rFonts w:hint="eastAsia"/>
                <w:color w:val="auto"/>
                <w:kern w:val="0"/>
              </w:rPr>
              <w:t>20小时</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95" w:type="pct"/>
            <w:vAlign w:val="center"/>
          </w:tcPr>
          <w:p>
            <w:pPr>
              <w:contextualSpacing/>
              <w:jc w:val="center"/>
              <w:textAlignment w:val="baseline"/>
              <w:rPr>
                <w:color w:val="auto"/>
                <w:kern w:val="0"/>
              </w:rPr>
            </w:pPr>
            <w:r>
              <w:rPr>
                <w:rFonts w:hint="eastAsia"/>
                <w:color w:val="auto"/>
                <w:kern w:val="0"/>
              </w:rPr>
              <w:t>铬酸雾、氨、硫化氢、臭气浓度</w:t>
            </w:r>
          </w:p>
        </w:tc>
        <w:tc>
          <w:tcPr>
            <w:tcW w:w="830" w:type="pct"/>
            <w:vAlign w:val="center"/>
          </w:tcPr>
          <w:p>
            <w:pPr>
              <w:contextualSpacing/>
              <w:jc w:val="center"/>
              <w:textAlignment w:val="baseline"/>
              <w:rPr>
                <w:color w:val="auto"/>
                <w:kern w:val="0"/>
              </w:rPr>
            </w:pPr>
            <w:r>
              <w:rPr>
                <w:rFonts w:hint="eastAsia"/>
                <w:color w:val="auto"/>
                <w:kern w:val="0"/>
              </w:rPr>
              <w:t>小时值</w:t>
            </w:r>
          </w:p>
        </w:tc>
        <w:tc>
          <w:tcPr>
            <w:tcW w:w="3275" w:type="pct"/>
            <w:vAlign w:val="center"/>
          </w:tcPr>
          <w:p>
            <w:pPr>
              <w:contextualSpacing/>
              <w:jc w:val="center"/>
              <w:textAlignment w:val="baseline"/>
              <w:rPr>
                <w:color w:val="auto"/>
                <w:kern w:val="0"/>
              </w:rPr>
            </w:pPr>
            <w:r>
              <w:rPr>
                <w:color w:val="auto"/>
                <w:kern w:val="0"/>
              </w:rPr>
              <w:t>连续监测</w:t>
            </w:r>
            <w:r>
              <w:rPr>
                <w:rFonts w:hint="eastAsia"/>
                <w:color w:val="auto"/>
                <w:kern w:val="0"/>
              </w:rPr>
              <w:t>7</w:t>
            </w:r>
            <w:r>
              <w:rPr>
                <w:color w:val="auto"/>
                <w:kern w:val="0"/>
              </w:rPr>
              <w:t>天，每天</w:t>
            </w:r>
            <w:r>
              <w:rPr>
                <w:rFonts w:hint="eastAsia"/>
                <w:color w:val="auto"/>
                <w:kern w:val="0"/>
              </w:rPr>
              <w:t>02、08、14、20时采样4次，每次采样时间不少于45min，取每次监测时段的1h浓度值</w:t>
            </w:r>
          </w:p>
        </w:tc>
      </w:tr>
    </w:tbl>
    <w:p>
      <w:pPr>
        <w:spacing w:line="360" w:lineRule="auto"/>
        <w:rPr>
          <w:rFonts w:ascii="宋体" w:hAnsi="宋体"/>
          <w:color w:val="auto"/>
          <w:kern w:val="0"/>
          <w:sz w:val="24"/>
          <w:szCs w:val="20"/>
        </w:rPr>
      </w:pPr>
      <w:r>
        <w:rPr>
          <w:rFonts w:hint="eastAsia" w:ascii="宋体" w:hAnsi="宋体"/>
          <w:color w:val="auto"/>
          <w:kern w:val="0"/>
          <w:sz w:val="24"/>
          <w:szCs w:val="20"/>
        </w:rPr>
        <w:t>（3）监测分析方法</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环境空气监测中的采样点、采样环境、采样高度及采样频率的要求，按《环境监测技术规范》（大气部分）和</w:t>
      </w:r>
      <w:r>
        <w:rPr>
          <w:color w:val="auto"/>
          <w:kern w:val="0"/>
          <w:sz w:val="24"/>
          <w:szCs w:val="20"/>
        </w:rPr>
        <w:t>《</w:t>
      </w:r>
      <w:r>
        <w:rPr>
          <w:rFonts w:hint="eastAsia"/>
          <w:color w:val="auto"/>
          <w:kern w:val="0"/>
          <w:sz w:val="24"/>
          <w:szCs w:val="20"/>
        </w:rPr>
        <w:t>空气和废气监测分析方法</w:t>
      </w:r>
      <w:r>
        <w:rPr>
          <w:color w:val="auto"/>
          <w:kern w:val="0"/>
          <w:sz w:val="24"/>
          <w:szCs w:val="20"/>
        </w:rPr>
        <w:t>》</w:t>
      </w:r>
      <w:r>
        <w:rPr>
          <w:rFonts w:hint="eastAsia"/>
          <w:color w:val="auto"/>
          <w:kern w:val="0"/>
          <w:sz w:val="24"/>
          <w:szCs w:val="20"/>
        </w:rPr>
        <w:t>执行。各项监测因子分析方法见表4.2-4。</w:t>
      </w:r>
    </w:p>
    <w:p>
      <w:pPr>
        <w:adjustRightInd w:val="0"/>
        <w:snapToGrid w:val="0"/>
        <w:jc w:val="center"/>
        <w:rPr>
          <w:rFonts w:eastAsia="黑体"/>
          <w:snapToGrid w:val="0"/>
          <w:color w:val="auto"/>
          <w:kern w:val="21"/>
          <w:sz w:val="24"/>
        </w:rPr>
      </w:pPr>
      <w:r>
        <w:rPr>
          <w:rFonts w:hint="eastAsia" w:eastAsia="黑体"/>
          <w:snapToGrid w:val="0"/>
          <w:color w:val="auto"/>
          <w:kern w:val="21"/>
          <w:sz w:val="24"/>
        </w:rPr>
        <w:t>表4.2-4   环境空气污染物分析方法一览表</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28" w:type="dxa"/>
          <w:bottom w:w="0" w:type="dxa"/>
          <w:right w:w="28" w:type="dxa"/>
        </w:tblCellMar>
      </w:tblPr>
      <w:tblGrid>
        <w:gridCol w:w="1210"/>
        <w:gridCol w:w="3019"/>
        <w:gridCol w:w="1550"/>
        <w:gridCol w:w="1397"/>
        <w:gridCol w:w="119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jc w:val="center"/>
              <w:rPr>
                <w:b/>
                <w:color w:val="auto"/>
                <w:szCs w:val="20"/>
              </w:rPr>
            </w:pPr>
            <w:r>
              <w:rPr>
                <w:b/>
                <w:color w:val="auto"/>
                <w:szCs w:val="20"/>
              </w:rPr>
              <w:t>检测因子</w:t>
            </w:r>
          </w:p>
        </w:tc>
        <w:tc>
          <w:tcPr>
            <w:tcW w:w="1848" w:type="pct"/>
            <w:vAlign w:val="center"/>
          </w:tcPr>
          <w:p>
            <w:pPr>
              <w:jc w:val="center"/>
              <w:rPr>
                <w:b/>
                <w:color w:val="auto"/>
                <w:szCs w:val="20"/>
              </w:rPr>
            </w:pPr>
            <w:r>
              <w:rPr>
                <w:b/>
                <w:color w:val="auto"/>
                <w:szCs w:val="20"/>
              </w:rPr>
              <w:t>分析方法</w:t>
            </w:r>
          </w:p>
        </w:tc>
        <w:tc>
          <w:tcPr>
            <w:tcW w:w="792" w:type="pct"/>
            <w:vAlign w:val="center"/>
          </w:tcPr>
          <w:p>
            <w:pPr>
              <w:contextualSpacing/>
              <w:jc w:val="center"/>
              <w:textAlignment w:val="baseline"/>
              <w:rPr>
                <w:b/>
                <w:color w:val="auto"/>
                <w:kern w:val="0"/>
              </w:rPr>
            </w:pPr>
            <w:r>
              <w:rPr>
                <w:b/>
                <w:color w:val="auto"/>
                <w:kern w:val="0"/>
              </w:rPr>
              <w:t>方法来源</w:t>
            </w:r>
          </w:p>
        </w:tc>
        <w:tc>
          <w:tcPr>
            <w:tcW w:w="879" w:type="pct"/>
            <w:vAlign w:val="center"/>
          </w:tcPr>
          <w:p>
            <w:pPr>
              <w:contextualSpacing/>
              <w:jc w:val="center"/>
              <w:textAlignment w:val="baseline"/>
              <w:rPr>
                <w:b/>
                <w:color w:val="auto"/>
                <w:kern w:val="0"/>
              </w:rPr>
            </w:pPr>
            <w:r>
              <w:rPr>
                <w:b/>
                <w:color w:val="auto"/>
                <w:kern w:val="0"/>
              </w:rPr>
              <w:t>使用仪器</w:t>
            </w:r>
          </w:p>
        </w:tc>
        <w:tc>
          <w:tcPr>
            <w:tcW w:w="714" w:type="pct"/>
            <w:vAlign w:val="center"/>
          </w:tcPr>
          <w:p>
            <w:pPr>
              <w:jc w:val="center"/>
              <w:rPr>
                <w:b/>
                <w:color w:val="auto"/>
                <w:szCs w:val="20"/>
              </w:rPr>
            </w:pPr>
            <w:r>
              <w:rPr>
                <w:b/>
                <w:color w:val="auto"/>
                <w:szCs w:val="20"/>
              </w:rPr>
              <w:t>检出限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contextualSpacing/>
              <w:jc w:val="center"/>
              <w:textAlignment w:val="baseline"/>
              <w:rPr>
                <w:color w:val="auto"/>
                <w:kern w:val="0"/>
              </w:rPr>
            </w:pPr>
            <w:r>
              <w:rPr>
                <w:color w:val="auto"/>
                <w:kern w:val="0"/>
              </w:rPr>
              <w:t>HCL</w:t>
            </w:r>
          </w:p>
        </w:tc>
        <w:tc>
          <w:tcPr>
            <w:tcW w:w="1848" w:type="pct"/>
            <w:vAlign w:val="center"/>
          </w:tcPr>
          <w:p>
            <w:pPr>
              <w:contextualSpacing/>
              <w:jc w:val="center"/>
              <w:textAlignment w:val="baseline"/>
              <w:rPr>
                <w:color w:val="auto"/>
                <w:kern w:val="0"/>
                <w:szCs w:val="24"/>
              </w:rPr>
            </w:pPr>
            <w:r>
              <w:rPr>
                <w:color w:val="auto"/>
                <w:kern w:val="0"/>
                <w:szCs w:val="24"/>
              </w:rPr>
              <w:t>环境空气和废气氯化氢的测定离子色谱法</w:t>
            </w:r>
          </w:p>
        </w:tc>
        <w:tc>
          <w:tcPr>
            <w:tcW w:w="792" w:type="pct"/>
            <w:vAlign w:val="center"/>
          </w:tcPr>
          <w:p>
            <w:pPr>
              <w:contextualSpacing/>
              <w:jc w:val="center"/>
              <w:textAlignment w:val="baseline"/>
              <w:rPr>
                <w:color w:val="auto"/>
                <w:kern w:val="0"/>
              </w:rPr>
            </w:pPr>
            <w:r>
              <w:rPr>
                <w:color w:val="auto"/>
                <w:kern w:val="0"/>
              </w:rPr>
              <w:t>HJ 544-2016</w:t>
            </w:r>
          </w:p>
        </w:tc>
        <w:tc>
          <w:tcPr>
            <w:tcW w:w="879" w:type="pct"/>
            <w:vAlign w:val="center"/>
          </w:tcPr>
          <w:p>
            <w:pPr>
              <w:contextualSpacing/>
              <w:jc w:val="center"/>
              <w:textAlignment w:val="baseline"/>
              <w:rPr>
                <w:color w:val="auto"/>
                <w:kern w:val="0"/>
              </w:rPr>
            </w:pPr>
            <w:r>
              <w:rPr>
                <w:color w:val="auto"/>
                <w:kern w:val="0"/>
              </w:rPr>
              <w:t>CIC-100型</w:t>
            </w:r>
          </w:p>
          <w:p>
            <w:pPr>
              <w:contextualSpacing/>
              <w:jc w:val="center"/>
              <w:textAlignment w:val="baseline"/>
              <w:rPr>
                <w:color w:val="auto"/>
                <w:kern w:val="0"/>
              </w:rPr>
            </w:pPr>
            <w:r>
              <w:rPr>
                <w:color w:val="auto"/>
                <w:kern w:val="0"/>
              </w:rPr>
              <w:t>离子色谱仪</w:t>
            </w:r>
          </w:p>
        </w:tc>
        <w:tc>
          <w:tcPr>
            <w:tcW w:w="714" w:type="pct"/>
            <w:vAlign w:val="center"/>
          </w:tcPr>
          <w:p>
            <w:pPr>
              <w:contextualSpacing/>
              <w:jc w:val="center"/>
              <w:textAlignment w:val="baseline"/>
              <w:rPr>
                <w:color w:val="auto"/>
                <w:kern w:val="0"/>
                <w:szCs w:val="24"/>
              </w:rPr>
            </w:pPr>
            <w:r>
              <w:rPr>
                <w:color w:val="auto"/>
                <w:kern w:val="0"/>
                <w:szCs w:val="24"/>
              </w:rPr>
              <w:t>0.02</w:t>
            </w:r>
            <w:r>
              <w:rPr>
                <w:color w:val="auto"/>
                <w:kern w:val="0"/>
              </w:rPr>
              <w:t xml:space="preserve"> mg/m</w:t>
            </w:r>
            <w:r>
              <w:rPr>
                <w:color w:val="auto"/>
                <w:kern w:val="0"/>
                <w:vertAlign w:val="superscript"/>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contextualSpacing/>
              <w:jc w:val="center"/>
              <w:textAlignment w:val="baseline"/>
              <w:rPr>
                <w:color w:val="auto"/>
                <w:kern w:val="0"/>
              </w:rPr>
            </w:pPr>
            <w:r>
              <w:rPr>
                <w:color w:val="auto"/>
                <w:kern w:val="0"/>
              </w:rPr>
              <w:t>硫酸雾</w:t>
            </w:r>
          </w:p>
        </w:tc>
        <w:tc>
          <w:tcPr>
            <w:tcW w:w="1848" w:type="pct"/>
            <w:vAlign w:val="center"/>
          </w:tcPr>
          <w:p>
            <w:pPr>
              <w:contextualSpacing/>
              <w:jc w:val="center"/>
              <w:textAlignment w:val="baseline"/>
              <w:rPr>
                <w:color w:val="auto"/>
                <w:kern w:val="0"/>
                <w:szCs w:val="24"/>
              </w:rPr>
            </w:pPr>
            <w:r>
              <w:rPr>
                <w:color w:val="auto"/>
                <w:kern w:val="0"/>
              </w:rPr>
              <w:t>固定污染源废气 硫酸雾的测定 离子色谱法</w:t>
            </w:r>
          </w:p>
        </w:tc>
        <w:tc>
          <w:tcPr>
            <w:tcW w:w="792" w:type="pct"/>
            <w:vAlign w:val="center"/>
          </w:tcPr>
          <w:p>
            <w:pPr>
              <w:contextualSpacing/>
              <w:jc w:val="center"/>
              <w:textAlignment w:val="baseline"/>
              <w:rPr>
                <w:color w:val="auto"/>
                <w:kern w:val="0"/>
              </w:rPr>
            </w:pPr>
            <w:r>
              <w:rPr>
                <w:color w:val="auto"/>
                <w:kern w:val="0"/>
              </w:rPr>
              <w:t>HJ 544-2016</w:t>
            </w:r>
          </w:p>
        </w:tc>
        <w:tc>
          <w:tcPr>
            <w:tcW w:w="879" w:type="pct"/>
            <w:vAlign w:val="center"/>
          </w:tcPr>
          <w:p>
            <w:pPr>
              <w:contextualSpacing/>
              <w:jc w:val="center"/>
              <w:textAlignment w:val="baseline"/>
              <w:rPr>
                <w:color w:val="auto"/>
                <w:kern w:val="0"/>
              </w:rPr>
            </w:pPr>
            <w:r>
              <w:rPr>
                <w:color w:val="auto"/>
                <w:kern w:val="0"/>
              </w:rPr>
              <w:t>CIC-100型</w:t>
            </w:r>
          </w:p>
          <w:p>
            <w:pPr>
              <w:contextualSpacing/>
              <w:jc w:val="center"/>
              <w:textAlignment w:val="baseline"/>
              <w:rPr>
                <w:color w:val="auto"/>
                <w:kern w:val="0"/>
              </w:rPr>
            </w:pPr>
            <w:r>
              <w:rPr>
                <w:color w:val="auto"/>
                <w:kern w:val="0"/>
              </w:rPr>
              <w:t>离子色谱仪</w:t>
            </w:r>
          </w:p>
        </w:tc>
        <w:tc>
          <w:tcPr>
            <w:tcW w:w="714" w:type="pct"/>
            <w:vAlign w:val="center"/>
          </w:tcPr>
          <w:p>
            <w:pPr>
              <w:contextualSpacing/>
              <w:jc w:val="center"/>
              <w:textAlignment w:val="baseline"/>
              <w:rPr>
                <w:color w:val="auto"/>
                <w:kern w:val="0"/>
                <w:szCs w:val="24"/>
              </w:rPr>
            </w:pPr>
            <w:r>
              <w:rPr>
                <w:color w:val="auto"/>
                <w:kern w:val="0"/>
              </w:rPr>
              <w:t>0.005mg/m</w:t>
            </w:r>
            <w:r>
              <w:rPr>
                <w:color w:val="auto"/>
                <w:kern w:val="0"/>
                <w:vertAlign w:val="superscript"/>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contextualSpacing/>
              <w:jc w:val="center"/>
              <w:textAlignment w:val="baseline"/>
              <w:rPr>
                <w:color w:val="auto"/>
                <w:kern w:val="0"/>
              </w:rPr>
            </w:pPr>
            <w:r>
              <w:rPr>
                <w:color w:val="auto"/>
                <w:kern w:val="0"/>
              </w:rPr>
              <w:t>铬酸雾</w:t>
            </w:r>
          </w:p>
        </w:tc>
        <w:tc>
          <w:tcPr>
            <w:tcW w:w="1848" w:type="pct"/>
            <w:vAlign w:val="center"/>
          </w:tcPr>
          <w:p>
            <w:pPr>
              <w:contextualSpacing/>
              <w:jc w:val="center"/>
              <w:textAlignment w:val="baseline"/>
              <w:rPr>
                <w:color w:val="auto"/>
                <w:kern w:val="0"/>
              </w:rPr>
            </w:pPr>
            <w:r>
              <w:rPr>
                <w:bCs/>
                <w:color w:val="auto"/>
                <w:kern w:val="21"/>
              </w:rPr>
              <w:t>固定污染源排气中铬酸雾的测定 二苯基碳酰二肼分光光度法</w:t>
            </w:r>
          </w:p>
        </w:tc>
        <w:tc>
          <w:tcPr>
            <w:tcW w:w="792" w:type="pct"/>
            <w:vAlign w:val="center"/>
          </w:tcPr>
          <w:p>
            <w:pPr>
              <w:tabs>
                <w:tab w:val="left" w:pos="510"/>
                <w:tab w:val="center" w:pos="1259"/>
              </w:tabs>
              <w:topLinePunct/>
              <w:adjustRightInd w:val="0"/>
              <w:snapToGrid w:val="0"/>
              <w:jc w:val="center"/>
              <w:rPr>
                <w:color w:val="auto"/>
                <w:kern w:val="21"/>
              </w:rPr>
            </w:pPr>
            <w:r>
              <w:rPr>
                <w:color w:val="auto"/>
                <w:kern w:val="21"/>
              </w:rPr>
              <w:t xml:space="preserve">HJ 29-1999 </w:t>
            </w:r>
          </w:p>
        </w:tc>
        <w:tc>
          <w:tcPr>
            <w:tcW w:w="879" w:type="pct"/>
            <w:vAlign w:val="center"/>
          </w:tcPr>
          <w:p>
            <w:pPr>
              <w:topLinePunct/>
              <w:adjustRightInd w:val="0"/>
              <w:snapToGrid w:val="0"/>
              <w:jc w:val="center"/>
              <w:rPr>
                <w:color w:val="auto"/>
                <w:kern w:val="21"/>
              </w:rPr>
            </w:pPr>
            <w:r>
              <w:rPr>
                <w:color w:val="auto"/>
                <w:kern w:val="21"/>
              </w:rPr>
              <w:t>T6新世纪紫外可见分光光度计</w:t>
            </w:r>
          </w:p>
        </w:tc>
        <w:tc>
          <w:tcPr>
            <w:tcW w:w="714" w:type="pct"/>
            <w:vAlign w:val="center"/>
          </w:tcPr>
          <w:p>
            <w:pPr>
              <w:topLinePunct/>
              <w:adjustRightInd w:val="0"/>
              <w:snapToGrid w:val="0"/>
              <w:jc w:val="center"/>
              <w:rPr>
                <w:color w:val="auto"/>
                <w:kern w:val="21"/>
              </w:rPr>
            </w:pPr>
            <w:r>
              <w:rPr>
                <w:bCs/>
                <w:color w:val="auto"/>
                <w:kern w:val="21"/>
              </w:rPr>
              <w:t>0.0005</w:t>
            </w:r>
            <w:r>
              <w:rPr>
                <w:color w:val="auto"/>
                <w:kern w:val="21"/>
              </w:rPr>
              <w:t>mg/</w:t>
            </w:r>
            <w:r>
              <w:rPr>
                <w:snapToGrid w:val="0"/>
                <w:color w:val="auto"/>
                <w:kern w:val="21"/>
              </w:rPr>
              <w:t>m</w:t>
            </w:r>
            <w:r>
              <w:rPr>
                <w:snapToGrid w:val="0"/>
                <w:color w:val="auto"/>
                <w:kern w:val="21"/>
                <w:vertAlign w:val="superscript"/>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jc w:val="center"/>
              <w:rPr>
                <w:bCs/>
                <w:color w:val="auto"/>
              </w:rPr>
            </w:pPr>
            <w:r>
              <w:rPr>
                <w:rFonts w:hint="eastAsia"/>
                <w:bCs/>
                <w:color w:val="auto"/>
              </w:rPr>
              <w:t>氨</w:t>
            </w:r>
          </w:p>
        </w:tc>
        <w:tc>
          <w:tcPr>
            <w:tcW w:w="1848" w:type="pct"/>
            <w:vAlign w:val="center"/>
          </w:tcPr>
          <w:p>
            <w:pPr>
              <w:jc w:val="center"/>
              <w:rPr>
                <w:bCs/>
                <w:color w:val="auto"/>
              </w:rPr>
            </w:pPr>
            <w:r>
              <w:rPr>
                <w:rFonts w:hint="eastAsia"/>
                <w:bCs/>
                <w:color w:val="auto"/>
              </w:rPr>
              <w:t xml:space="preserve">环境空气和废气 氨的测定 纳氏试剂分光光度法 </w:t>
            </w:r>
          </w:p>
        </w:tc>
        <w:tc>
          <w:tcPr>
            <w:tcW w:w="792" w:type="pct"/>
            <w:vAlign w:val="center"/>
          </w:tcPr>
          <w:p>
            <w:pPr>
              <w:jc w:val="center"/>
              <w:rPr>
                <w:bCs/>
                <w:color w:val="auto"/>
              </w:rPr>
            </w:pPr>
            <w:r>
              <w:rPr>
                <w:rFonts w:hint="eastAsia"/>
                <w:bCs/>
                <w:color w:val="auto"/>
              </w:rPr>
              <w:t>HJ 533-2009</w:t>
            </w:r>
          </w:p>
        </w:tc>
        <w:tc>
          <w:tcPr>
            <w:tcW w:w="879" w:type="pct"/>
            <w:vAlign w:val="center"/>
          </w:tcPr>
          <w:p>
            <w:pPr>
              <w:jc w:val="center"/>
              <w:rPr>
                <w:bCs/>
                <w:color w:val="auto"/>
              </w:rPr>
            </w:pPr>
            <w:r>
              <w:rPr>
                <w:rFonts w:hint="eastAsia"/>
                <w:bCs/>
                <w:color w:val="auto"/>
              </w:rPr>
              <w:t>TU-1810 紫外可见分光光度计 JQYQ-003-3</w:t>
            </w:r>
          </w:p>
        </w:tc>
        <w:tc>
          <w:tcPr>
            <w:tcW w:w="714" w:type="pct"/>
            <w:vAlign w:val="center"/>
          </w:tcPr>
          <w:p>
            <w:pPr>
              <w:jc w:val="center"/>
              <w:rPr>
                <w:bCs/>
                <w:color w:val="auto"/>
              </w:rPr>
            </w:pPr>
            <w:r>
              <w:rPr>
                <w:rFonts w:hint="eastAsia"/>
                <w:bCs/>
                <w:color w:val="auto"/>
              </w:rPr>
              <w:t>0.01mg/m</w:t>
            </w:r>
            <w:r>
              <w:rPr>
                <w:rFonts w:hint="eastAsia"/>
                <w:bCs/>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jc w:val="center"/>
              <w:rPr>
                <w:bCs/>
                <w:color w:val="auto"/>
              </w:rPr>
            </w:pPr>
            <w:r>
              <w:rPr>
                <w:rFonts w:hint="eastAsia"/>
                <w:bCs/>
                <w:color w:val="auto"/>
              </w:rPr>
              <w:t>硫化氢</w:t>
            </w:r>
          </w:p>
        </w:tc>
        <w:tc>
          <w:tcPr>
            <w:tcW w:w="1848" w:type="pct"/>
            <w:vAlign w:val="center"/>
          </w:tcPr>
          <w:p>
            <w:pPr>
              <w:jc w:val="center"/>
              <w:rPr>
                <w:bCs/>
                <w:color w:val="auto"/>
              </w:rPr>
            </w:pPr>
            <w:r>
              <w:rPr>
                <w:rFonts w:hint="eastAsia"/>
                <w:bCs/>
                <w:color w:val="auto"/>
              </w:rPr>
              <w:t>环境空气 硫化氢 亚甲基蓝分光光度法 《空气和废气监测分析方法》</w:t>
            </w:r>
          </w:p>
        </w:tc>
        <w:tc>
          <w:tcPr>
            <w:tcW w:w="792" w:type="pct"/>
            <w:vAlign w:val="center"/>
          </w:tcPr>
          <w:p>
            <w:pPr>
              <w:jc w:val="center"/>
              <w:rPr>
                <w:bCs/>
                <w:color w:val="auto"/>
              </w:rPr>
            </w:pPr>
            <w:r>
              <w:rPr>
                <w:rFonts w:hint="eastAsia"/>
                <w:bCs/>
                <w:color w:val="auto"/>
              </w:rPr>
              <w:t>（第四版增补版）国家环境保护总局 （2003）</w:t>
            </w:r>
          </w:p>
        </w:tc>
        <w:tc>
          <w:tcPr>
            <w:tcW w:w="879" w:type="pct"/>
            <w:vAlign w:val="center"/>
          </w:tcPr>
          <w:p>
            <w:pPr>
              <w:jc w:val="center"/>
              <w:rPr>
                <w:bCs/>
                <w:color w:val="auto"/>
              </w:rPr>
            </w:pPr>
            <w:r>
              <w:rPr>
                <w:rFonts w:hint="eastAsia"/>
                <w:bCs/>
                <w:color w:val="auto"/>
              </w:rPr>
              <w:t>TU-1810 紫外可见分</w:t>
            </w:r>
          </w:p>
          <w:p>
            <w:pPr>
              <w:jc w:val="center"/>
              <w:rPr>
                <w:bCs/>
                <w:color w:val="auto"/>
              </w:rPr>
            </w:pPr>
            <w:r>
              <w:rPr>
                <w:rFonts w:hint="eastAsia"/>
                <w:bCs/>
                <w:color w:val="auto"/>
              </w:rPr>
              <w:t>光光度计 JQYQ-003-3</w:t>
            </w:r>
          </w:p>
        </w:tc>
        <w:tc>
          <w:tcPr>
            <w:tcW w:w="714" w:type="pct"/>
            <w:vAlign w:val="center"/>
          </w:tcPr>
          <w:p>
            <w:pPr>
              <w:jc w:val="center"/>
              <w:rPr>
                <w:bCs/>
                <w:color w:val="auto"/>
              </w:rPr>
            </w:pPr>
            <w:r>
              <w:rPr>
                <w:rFonts w:hint="eastAsia"/>
                <w:bCs/>
                <w:color w:val="auto"/>
              </w:rPr>
              <w:t>0.001mg/m</w:t>
            </w:r>
            <w:r>
              <w:rPr>
                <w:rFonts w:hint="eastAsia"/>
                <w:bCs/>
                <w:color w:val="auto"/>
                <w:vertAlign w:val="superscript"/>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rPr>
        <w:tc>
          <w:tcPr>
            <w:tcW w:w="767" w:type="pct"/>
            <w:vAlign w:val="center"/>
          </w:tcPr>
          <w:p>
            <w:pPr>
              <w:jc w:val="center"/>
              <w:rPr>
                <w:rFonts w:hint="eastAsia" w:eastAsia="宋体"/>
                <w:bCs/>
                <w:color w:val="auto"/>
                <w:lang w:eastAsia="zh-CN"/>
              </w:rPr>
            </w:pPr>
            <w:r>
              <w:rPr>
                <w:rFonts w:hint="eastAsia"/>
                <w:bCs/>
                <w:color w:val="auto"/>
                <w:lang w:eastAsia="zh-CN"/>
              </w:rPr>
              <w:t>臭气浓度</w:t>
            </w:r>
          </w:p>
        </w:tc>
        <w:tc>
          <w:tcPr>
            <w:tcW w:w="1848" w:type="pct"/>
            <w:vAlign w:val="center"/>
          </w:tcPr>
          <w:p>
            <w:pPr>
              <w:jc w:val="center"/>
              <w:rPr>
                <w:rFonts w:hint="default" w:eastAsia="宋体"/>
                <w:bCs/>
                <w:color w:val="auto"/>
                <w:lang w:val="en-US" w:eastAsia="zh-CN"/>
              </w:rPr>
            </w:pPr>
            <w:r>
              <w:rPr>
                <w:rFonts w:hint="eastAsia"/>
                <w:bCs/>
                <w:color w:val="auto"/>
                <w:lang w:eastAsia="zh-CN"/>
              </w:rPr>
              <w:t>空气质量</w:t>
            </w:r>
            <w:r>
              <w:rPr>
                <w:rFonts w:hint="eastAsia"/>
                <w:bCs/>
                <w:color w:val="auto"/>
                <w:lang w:val="en-US" w:eastAsia="zh-CN"/>
              </w:rPr>
              <w:t xml:space="preserve"> 恶臭的测定 三点比较式臭袋法</w:t>
            </w:r>
          </w:p>
        </w:tc>
        <w:tc>
          <w:tcPr>
            <w:tcW w:w="792" w:type="pct"/>
            <w:vAlign w:val="center"/>
          </w:tcPr>
          <w:p>
            <w:pPr>
              <w:jc w:val="center"/>
              <w:rPr>
                <w:rFonts w:hint="eastAsia"/>
                <w:bCs/>
                <w:color w:val="auto"/>
              </w:rPr>
            </w:pPr>
            <w:r>
              <w:rPr>
                <w:rFonts w:hint="eastAsia"/>
                <w:bCs/>
                <w:color w:val="auto"/>
                <w:lang w:val="en-US" w:eastAsia="zh-CN"/>
              </w:rPr>
              <w:t>GB/T14675-1993</w:t>
            </w:r>
          </w:p>
        </w:tc>
        <w:tc>
          <w:tcPr>
            <w:tcW w:w="879" w:type="pct"/>
            <w:vAlign w:val="center"/>
          </w:tcPr>
          <w:p>
            <w:pPr>
              <w:jc w:val="center"/>
              <w:rPr>
                <w:rFonts w:hint="eastAsia" w:eastAsia="宋体"/>
                <w:bCs/>
                <w:color w:val="auto"/>
                <w:lang w:val="en-US" w:eastAsia="zh-CN"/>
              </w:rPr>
            </w:pPr>
            <w:r>
              <w:rPr>
                <w:rFonts w:hint="eastAsia"/>
                <w:bCs/>
                <w:color w:val="auto"/>
                <w:lang w:val="en-US" w:eastAsia="zh-CN"/>
              </w:rPr>
              <w:t>/</w:t>
            </w:r>
          </w:p>
        </w:tc>
        <w:tc>
          <w:tcPr>
            <w:tcW w:w="714" w:type="pct"/>
            <w:vAlign w:val="center"/>
          </w:tcPr>
          <w:p>
            <w:pPr>
              <w:jc w:val="center"/>
              <w:rPr>
                <w:rFonts w:hint="default" w:eastAsia="宋体"/>
                <w:bCs/>
                <w:color w:val="auto"/>
                <w:lang w:val="en-US" w:eastAsia="zh-CN"/>
              </w:rPr>
            </w:pPr>
            <w:r>
              <w:rPr>
                <w:rFonts w:hint="eastAsia"/>
                <w:bCs/>
                <w:color w:val="auto"/>
                <w:lang w:val="en-US" w:eastAsia="zh-CN"/>
              </w:rPr>
              <w:t>10（无量纲）</w:t>
            </w:r>
          </w:p>
        </w:tc>
      </w:tr>
    </w:tbl>
    <w:p>
      <w:pPr>
        <w:keepNext w:val="0"/>
        <w:keepLines w:val="0"/>
        <w:pageBreakBefore w:val="0"/>
        <w:widowControl/>
        <w:kinsoku/>
        <w:wordWrap/>
        <w:overflowPunct/>
        <w:topLinePunct w:val="0"/>
        <w:autoSpaceDE/>
        <w:autoSpaceDN/>
        <w:bidi w:val="0"/>
        <w:adjustRightInd/>
        <w:snapToGrid/>
        <w:spacing w:before="157" w:beforeLines="50" w:line="360" w:lineRule="auto"/>
        <w:textAlignment w:val="auto"/>
        <w:rPr>
          <w:rFonts w:ascii="宋体" w:hAnsi="宋体"/>
          <w:color w:val="auto"/>
          <w:kern w:val="0"/>
          <w:sz w:val="24"/>
          <w:szCs w:val="20"/>
        </w:rPr>
      </w:pPr>
      <w:r>
        <w:rPr>
          <w:rFonts w:hint="eastAsia" w:ascii="宋体" w:hAnsi="宋体"/>
          <w:color w:val="auto"/>
          <w:kern w:val="0"/>
          <w:sz w:val="24"/>
          <w:szCs w:val="20"/>
        </w:rPr>
        <w:t xml:space="preserve">（4）评价标准 </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本次评价标准基本因子执行《环境空气质量标准》（</w:t>
      </w:r>
      <w:r>
        <w:rPr>
          <w:color w:val="auto"/>
          <w:kern w:val="0"/>
          <w:sz w:val="24"/>
          <w:szCs w:val="20"/>
        </w:rPr>
        <w:t>GB3095-</w:t>
      </w:r>
      <w:r>
        <w:rPr>
          <w:rFonts w:hint="eastAsia"/>
          <w:color w:val="auto"/>
          <w:kern w:val="0"/>
          <w:sz w:val="24"/>
          <w:szCs w:val="20"/>
        </w:rPr>
        <w:t>2012）二级标准，特征因子中HCL、硫酸雾、氨、臭气浓度执行《环境影响评价技术导则 大气环境》（HJ2.2-2018）附录D要求，铬酸雾烃执行</w:t>
      </w:r>
      <w:r>
        <w:rPr>
          <w:color w:val="auto"/>
          <w:kern w:val="0"/>
          <w:sz w:val="24"/>
          <w:szCs w:val="20"/>
        </w:rPr>
        <w:t>《</w:t>
      </w:r>
      <w:r>
        <w:rPr>
          <w:rFonts w:hint="eastAsia"/>
          <w:color w:val="auto"/>
          <w:kern w:val="0"/>
          <w:sz w:val="24"/>
          <w:szCs w:val="20"/>
        </w:rPr>
        <w:t>大气</w:t>
      </w:r>
      <w:r>
        <w:rPr>
          <w:color w:val="auto"/>
          <w:kern w:val="0"/>
          <w:sz w:val="24"/>
          <w:szCs w:val="20"/>
        </w:rPr>
        <w:t>污染物</w:t>
      </w:r>
      <w:r>
        <w:rPr>
          <w:rFonts w:hint="eastAsia"/>
          <w:color w:val="auto"/>
          <w:kern w:val="0"/>
          <w:sz w:val="24"/>
          <w:szCs w:val="20"/>
        </w:rPr>
        <w:t>综合</w:t>
      </w:r>
      <w:r>
        <w:rPr>
          <w:color w:val="auto"/>
          <w:kern w:val="0"/>
          <w:sz w:val="24"/>
          <w:szCs w:val="20"/>
        </w:rPr>
        <w:t>排放标准详解》</w:t>
      </w:r>
      <w:r>
        <w:rPr>
          <w:rFonts w:hint="eastAsia"/>
          <w:color w:val="auto"/>
          <w:kern w:val="0"/>
          <w:sz w:val="24"/>
          <w:szCs w:val="20"/>
        </w:rPr>
        <w:t>要求，浓度标准限值见表4.2-5。</w:t>
      </w:r>
    </w:p>
    <w:p>
      <w:pPr>
        <w:adjustRightInd w:val="0"/>
        <w:snapToGrid w:val="0"/>
        <w:jc w:val="center"/>
        <w:rPr>
          <w:rFonts w:eastAsia="黑体"/>
          <w:snapToGrid w:val="0"/>
          <w:color w:val="auto"/>
          <w:kern w:val="21"/>
          <w:sz w:val="24"/>
        </w:rPr>
      </w:pPr>
    </w:p>
    <w:p>
      <w:pPr>
        <w:pStyle w:val="2"/>
      </w:pPr>
    </w:p>
    <w:p>
      <w:pPr>
        <w:adjustRightInd w:val="0"/>
        <w:snapToGrid w:val="0"/>
        <w:jc w:val="center"/>
        <w:rPr>
          <w:rFonts w:eastAsia="黑体"/>
          <w:snapToGrid w:val="0"/>
          <w:color w:val="auto"/>
          <w:kern w:val="21"/>
          <w:sz w:val="24"/>
        </w:rPr>
      </w:pPr>
    </w:p>
    <w:p>
      <w:pPr>
        <w:adjustRightInd w:val="0"/>
        <w:snapToGrid w:val="0"/>
        <w:jc w:val="center"/>
        <w:rPr>
          <w:rFonts w:eastAsia="黑体"/>
          <w:snapToGrid w:val="0"/>
          <w:color w:val="auto"/>
          <w:kern w:val="21"/>
          <w:sz w:val="24"/>
        </w:rPr>
      </w:pPr>
      <w:r>
        <w:rPr>
          <w:rFonts w:eastAsia="黑体"/>
          <w:snapToGrid w:val="0"/>
          <w:color w:val="auto"/>
          <w:kern w:val="21"/>
          <w:sz w:val="24"/>
        </w:rPr>
        <w:t>表4.2-5    特征因子环境空气质量现状评价执行标准</w:t>
      </w:r>
    </w:p>
    <w:tbl>
      <w:tblPr>
        <w:tblStyle w:val="83"/>
        <w:tblW w:w="5000" w:type="pct"/>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718"/>
        <w:gridCol w:w="1419"/>
        <w:gridCol w:w="1702"/>
        <w:gridCol w:w="1276"/>
        <w:gridCol w:w="3213"/>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431" w:type="pct"/>
            <w:tcBorders>
              <w:bottom w:val="single" w:color="000000" w:sz="4" w:space="0"/>
              <w:right w:val="single" w:color="000000" w:sz="4" w:space="0"/>
            </w:tcBorders>
            <w:shd w:val="clear" w:color="auto" w:fill="auto"/>
            <w:vAlign w:val="center"/>
          </w:tcPr>
          <w:p>
            <w:pPr>
              <w:widowControl w:val="0"/>
              <w:autoSpaceDE w:val="0"/>
              <w:autoSpaceDN w:val="0"/>
              <w:spacing w:before="51"/>
              <w:ind w:right="154"/>
              <w:jc w:val="center"/>
              <w:rPr>
                <w:b/>
                <w:color w:val="auto"/>
                <w:sz w:val="22"/>
                <w:szCs w:val="22"/>
                <w:lang w:val="zh-CN" w:bidi="zh-CN"/>
              </w:rPr>
            </w:pPr>
            <w:r>
              <w:rPr>
                <w:b/>
                <w:color w:val="auto"/>
                <w:sz w:val="22"/>
                <w:szCs w:val="22"/>
                <w:lang w:val="zh-CN" w:bidi="zh-CN"/>
              </w:rPr>
              <w:t>序号</w:t>
            </w:r>
          </w:p>
        </w:tc>
        <w:tc>
          <w:tcPr>
            <w:tcW w:w="852" w:type="pct"/>
            <w:tcBorders>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51"/>
              <w:ind w:left="132" w:right="97"/>
              <w:jc w:val="center"/>
              <w:rPr>
                <w:b/>
                <w:color w:val="auto"/>
                <w:sz w:val="22"/>
                <w:szCs w:val="22"/>
                <w:lang w:val="zh-CN" w:bidi="zh-CN"/>
              </w:rPr>
            </w:pPr>
            <w:r>
              <w:rPr>
                <w:b/>
                <w:color w:val="auto"/>
                <w:sz w:val="22"/>
                <w:szCs w:val="22"/>
                <w:lang w:val="zh-CN" w:bidi="zh-CN"/>
              </w:rPr>
              <w:t>污染物</w:t>
            </w:r>
          </w:p>
        </w:tc>
        <w:tc>
          <w:tcPr>
            <w:tcW w:w="1022" w:type="pct"/>
            <w:tcBorders>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51"/>
              <w:ind w:left="139" w:right="107"/>
              <w:jc w:val="center"/>
              <w:rPr>
                <w:b/>
                <w:color w:val="auto"/>
                <w:sz w:val="22"/>
                <w:szCs w:val="22"/>
                <w:lang w:val="zh-CN" w:bidi="zh-CN"/>
              </w:rPr>
            </w:pPr>
            <w:r>
              <w:rPr>
                <w:b/>
                <w:color w:val="auto"/>
                <w:sz w:val="22"/>
                <w:szCs w:val="22"/>
                <w:lang w:val="zh-CN" w:bidi="zh-CN"/>
              </w:rPr>
              <w:t>小时平均浓度</w:t>
            </w:r>
          </w:p>
        </w:tc>
        <w:tc>
          <w:tcPr>
            <w:tcW w:w="766" w:type="pct"/>
            <w:tcBorders>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51"/>
              <w:ind w:left="243"/>
              <w:jc w:val="center"/>
              <w:rPr>
                <w:b/>
                <w:color w:val="auto"/>
                <w:sz w:val="22"/>
                <w:szCs w:val="22"/>
                <w:lang w:val="zh-CN" w:bidi="zh-CN"/>
              </w:rPr>
            </w:pPr>
            <w:r>
              <w:rPr>
                <w:b/>
                <w:color w:val="auto"/>
                <w:sz w:val="22"/>
                <w:szCs w:val="22"/>
                <w:lang w:val="zh-CN" w:bidi="zh-CN"/>
              </w:rPr>
              <w:t>日均浓度</w:t>
            </w:r>
          </w:p>
        </w:tc>
        <w:tc>
          <w:tcPr>
            <w:tcW w:w="1929" w:type="pct"/>
            <w:tcBorders>
              <w:left w:val="single" w:color="000000" w:sz="4" w:space="0"/>
              <w:bottom w:val="single" w:color="000000" w:sz="4" w:space="0"/>
            </w:tcBorders>
            <w:shd w:val="clear" w:color="auto" w:fill="auto"/>
            <w:vAlign w:val="center"/>
          </w:tcPr>
          <w:p>
            <w:pPr>
              <w:widowControl w:val="0"/>
              <w:autoSpaceDE w:val="0"/>
              <w:autoSpaceDN w:val="0"/>
              <w:spacing w:before="51"/>
              <w:ind w:left="586" w:right="543"/>
              <w:jc w:val="center"/>
              <w:rPr>
                <w:b/>
                <w:color w:val="auto"/>
                <w:sz w:val="22"/>
                <w:szCs w:val="22"/>
                <w:lang w:val="zh-CN" w:bidi="zh-CN"/>
              </w:rPr>
            </w:pPr>
            <w:r>
              <w:rPr>
                <w:b/>
                <w:color w:val="auto"/>
                <w:sz w:val="22"/>
                <w:szCs w:val="22"/>
                <w:lang w:val="zh-CN" w:bidi="zh-CN"/>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8" w:hRule="atLeast"/>
        </w:trPr>
        <w:tc>
          <w:tcPr>
            <w:tcW w:w="431" w:type="pct"/>
            <w:tcBorders>
              <w:top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1"/>
              <w:jc w:val="center"/>
              <w:rPr>
                <w:color w:val="auto"/>
                <w:sz w:val="22"/>
                <w:szCs w:val="22"/>
                <w:lang w:val="zh-CN" w:bidi="zh-CN"/>
              </w:rPr>
            </w:pPr>
            <w:r>
              <w:rPr>
                <w:color w:val="auto"/>
                <w:sz w:val="22"/>
                <w:szCs w:val="22"/>
                <w:lang w:val="zh-CN" w:bidi="zh-CN"/>
              </w:rPr>
              <w:t>1</w:t>
            </w:r>
          </w:p>
        </w:tc>
        <w:tc>
          <w:tcPr>
            <w:tcW w:w="85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2"/>
              <w:ind w:left="129" w:right="97"/>
              <w:jc w:val="center"/>
              <w:rPr>
                <w:color w:val="auto"/>
                <w:sz w:val="22"/>
                <w:szCs w:val="22"/>
                <w:lang w:val="zh-CN" w:bidi="zh-CN"/>
              </w:rPr>
            </w:pPr>
            <w:r>
              <w:rPr>
                <w:color w:val="auto"/>
                <w:position w:val="2"/>
                <w:sz w:val="22"/>
                <w:szCs w:val="22"/>
                <w:lang w:val="zh-CN" w:bidi="zh-CN"/>
              </w:rPr>
              <w:t>HCL</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58"/>
              <w:ind w:left="136" w:right="107"/>
              <w:jc w:val="center"/>
              <w:rPr>
                <w:color w:val="auto"/>
                <w:sz w:val="14"/>
                <w:szCs w:val="22"/>
                <w:lang w:val="zh-CN" w:bidi="zh-CN"/>
              </w:rPr>
            </w:pPr>
            <w:r>
              <w:rPr>
                <w:color w:val="auto"/>
                <w:sz w:val="22"/>
                <w:szCs w:val="22"/>
                <w:lang w:val="zh-CN" w:bidi="zh-CN"/>
              </w:rPr>
              <w:t>50μg/m</w:t>
            </w:r>
            <w:r>
              <w:rPr>
                <w:color w:val="auto"/>
                <w:position w:val="7"/>
                <w:sz w:val="14"/>
                <w:szCs w:val="22"/>
                <w:lang w:val="zh-CN" w:bidi="zh-CN"/>
              </w:rPr>
              <w:t>3</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7"/>
              <w:jc w:val="center"/>
              <w:rPr>
                <w:color w:val="auto"/>
                <w:sz w:val="22"/>
                <w:szCs w:val="22"/>
                <w:lang w:val="zh-CN" w:bidi="zh-CN"/>
              </w:rPr>
            </w:pPr>
            <w:r>
              <w:rPr>
                <w:color w:val="auto"/>
                <w:sz w:val="22"/>
                <w:szCs w:val="22"/>
                <w:lang w:val="zh-CN" w:bidi="zh-CN"/>
              </w:rPr>
              <w:t>15μg/m</w:t>
            </w:r>
            <w:r>
              <w:rPr>
                <w:color w:val="auto"/>
                <w:position w:val="7"/>
                <w:sz w:val="14"/>
                <w:szCs w:val="22"/>
                <w:lang w:val="zh-CN" w:bidi="zh-CN"/>
              </w:rPr>
              <w:t>3</w:t>
            </w:r>
          </w:p>
        </w:tc>
        <w:tc>
          <w:tcPr>
            <w:tcW w:w="1929" w:type="pct"/>
            <w:vMerge w:val="restart"/>
            <w:tcBorders>
              <w:top w:val="single" w:color="000000" w:sz="4" w:space="0"/>
              <w:left w:val="single" w:color="000000" w:sz="4" w:space="0"/>
              <w:bottom w:val="single" w:color="000000" w:sz="4" w:space="0"/>
            </w:tcBorders>
            <w:shd w:val="clear" w:color="auto" w:fill="auto"/>
            <w:vAlign w:val="center"/>
          </w:tcPr>
          <w:p>
            <w:pPr>
              <w:widowControl w:val="0"/>
              <w:autoSpaceDE w:val="0"/>
              <w:autoSpaceDN w:val="0"/>
              <w:ind w:left="157"/>
              <w:jc w:val="center"/>
              <w:rPr>
                <w:color w:val="auto"/>
                <w:sz w:val="22"/>
                <w:szCs w:val="22"/>
                <w:lang w:val="zh-CN" w:bidi="zh-CN"/>
              </w:rPr>
            </w:pPr>
            <w:r>
              <w:rPr>
                <w:color w:val="auto"/>
                <w:sz w:val="22"/>
                <w:szCs w:val="22"/>
                <w:lang w:val="zh-CN" w:bidi="zh-CN"/>
              </w:rPr>
              <w:t>《环境影响评价技术导则 大气环境》（</w:t>
            </w:r>
            <w:r>
              <w:rPr>
                <w:rFonts w:eastAsia="Times New Roman"/>
                <w:color w:val="auto"/>
                <w:sz w:val="22"/>
                <w:szCs w:val="22"/>
                <w:lang w:val="zh-CN" w:bidi="zh-CN"/>
              </w:rPr>
              <w:t>HJ2.2-2018</w:t>
            </w:r>
            <w:r>
              <w:rPr>
                <w:color w:val="auto"/>
                <w:sz w:val="22"/>
                <w:szCs w:val="22"/>
                <w:lang w:val="zh-CN" w:bidi="zh-CN"/>
              </w:rPr>
              <w:t>）附录</w:t>
            </w:r>
            <w:r>
              <w:rPr>
                <w:rFonts w:eastAsia="Times New Roman"/>
                <w:color w:val="auto"/>
                <w:sz w:val="22"/>
                <w:szCs w:val="22"/>
                <w:lang w:val="zh-CN" w:bidi="zh-CN"/>
              </w:rPr>
              <w:t>D</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8" w:hRule="atLeast"/>
        </w:trPr>
        <w:tc>
          <w:tcPr>
            <w:tcW w:w="431" w:type="pct"/>
            <w:tcBorders>
              <w:top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5"/>
              <w:ind w:left="31"/>
              <w:jc w:val="center"/>
              <w:rPr>
                <w:color w:val="auto"/>
                <w:sz w:val="22"/>
                <w:szCs w:val="22"/>
                <w:lang w:val="zh-CN" w:bidi="zh-CN"/>
              </w:rPr>
            </w:pPr>
            <w:r>
              <w:rPr>
                <w:color w:val="auto"/>
                <w:sz w:val="22"/>
                <w:szCs w:val="22"/>
                <w:lang w:val="zh-CN" w:bidi="zh-CN"/>
              </w:rPr>
              <w:t>2</w:t>
            </w:r>
          </w:p>
        </w:tc>
        <w:tc>
          <w:tcPr>
            <w:tcW w:w="85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4"/>
              <w:ind w:left="130" w:right="97"/>
              <w:jc w:val="center"/>
              <w:rPr>
                <w:color w:val="auto"/>
                <w:sz w:val="14"/>
                <w:szCs w:val="22"/>
                <w:lang w:val="zh-CN" w:bidi="zh-CN"/>
              </w:rPr>
            </w:pPr>
            <w:r>
              <w:rPr>
                <w:color w:val="auto"/>
                <w:position w:val="2"/>
                <w:sz w:val="22"/>
                <w:szCs w:val="22"/>
                <w:lang w:val="zh-CN" w:bidi="zh-CN"/>
              </w:rPr>
              <w:t>硫酸雾</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0"/>
              <w:ind w:left="136" w:right="107"/>
              <w:jc w:val="center"/>
              <w:rPr>
                <w:color w:val="auto"/>
                <w:sz w:val="14"/>
                <w:szCs w:val="22"/>
                <w:lang w:val="zh-CN" w:bidi="zh-CN"/>
              </w:rPr>
            </w:pPr>
            <w:r>
              <w:rPr>
                <w:color w:val="auto"/>
                <w:sz w:val="22"/>
                <w:szCs w:val="22"/>
                <w:lang w:val="zh-CN" w:bidi="zh-CN"/>
              </w:rPr>
              <w:t>300μg/m</w:t>
            </w:r>
            <w:r>
              <w:rPr>
                <w:color w:val="auto"/>
                <w:position w:val="7"/>
                <w:sz w:val="14"/>
                <w:szCs w:val="22"/>
                <w:lang w:val="zh-CN" w:bidi="zh-CN"/>
              </w:rPr>
              <w:t>3</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5"/>
              <w:ind w:left="37"/>
              <w:jc w:val="center"/>
              <w:rPr>
                <w:color w:val="auto"/>
                <w:sz w:val="22"/>
                <w:szCs w:val="22"/>
                <w:lang w:val="zh-CN" w:bidi="zh-CN"/>
              </w:rPr>
            </w:pPr>
            <w:r>
              <w:rPr>
                <w:color w:val="auto"/>
                <w:sz w:val="22"/>
                <w:szCs w:val="22"/>
                <w:lang w:val="zh-CN" w:bidi="zh-CN"/>
              </w:rPr>
              <w:t>100μg/m</w:t>
            </w:r>
            <w:r>
              <w:rPr>
                <w:color w:val="auto"/>
                <w:position w:val="7"/>
                <w:sz w:val="14"/>
                <w:szCs w:val="22"/>
                <w:lang w:val="zh-CN" w:bidi="zh-CN"/>
              </w:rPr>
              <w:t>3</w:t>
            </w:r>
          </w:p>
        </w:tc>
        <w:tc>
          <w:tcPr>
            <w:tcW w:w="1929" w:type="pct"/>
            <w:vMerge w:val="continue"/>
            <w:tcBorders>
              <w:top w:val="single" w:color="000000" w:sz="4" w:space="0"/>
              <w:left w:val="single" w:color="000000" w:sz="4" w:space="0"/>
              <w:bottom w:val="single" w:color="000000" w:sz="4" w:space="0"/>
            </w:tcBorders>
            <w:shd w:val="clear" w:color="auto" w:fill="auto"/>
            <w:vAlign w:val="center"/>
          </w:tcPr>
          <w:p>
            <w:pPr>
              <w:widowControl w:val="0"/>
              <w:autoSpaceDE w:val="0"/>
              <w:autoSpaceDN w:val="0"/>
              <w:ind w:left="157"/>
              <w:jc w:val="center"/>
              <w:rPr>
                <w:color w:val="auto"/>
                <w:sz w:val="22"/>
                <w:szCs w:val="22"/>
                <w:lang w:val="zh-CN" w:bidi="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38" w:hRule="atLeast"/>
        </w:trPr>
        <w:tc>
          <w:tcPr>
            <w:tcW w:w="431" w:type="pct"/>
            <w:tcBorders>
              <w:top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1"/>
              <w:jc w:val="center"/>
              <w:rPr>
                <w:color w:val="auto"/>
                <w:sz w:val="22"/>
                <w:szCs w:val="22"/>
                <w:lang w:val="zh-CN" w:bidi="zh-CN"/>
              </w:rPr>
            </w:pPr>
            <w:r>
              <w:rPr>
                <w:color w:val="auto"/>
                <w:sz w:val="22"/>
                <w:szCs w:val="22"/>
                <w:lang w:val="zh-CN" w:bidi="zh-CN"/>
              </w:rPr>
              <w:t>3</w:t>
            </w:r>
          </w:p>
        </w:tc>
        <w:tc>
          <w:tcPr>
            <w:tcW w:w="852"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color w:val="auto"/>
                <w:kern w:val="21"/>
              </w:rPr>
            </w:pPr>
            <w:r>
              <w:rPr>
                <w:rFonts w:hint="eastAsia"/>
                <w:color w:val="auto"/>
                <w:kern w:val="21"/>
              </w:rPr>
              <w:t>H</w:t>
            </w:r>
            <w:r>
              <w:rPr>
                <w:rFonts w:hint="eastAsia"/>
                <w:color w:val="auto"/>
                <w:kern w:val="21"/>
                <w:vertAlign w:val="subscript"/>
              </w:rPr>
              <w:t>2</w:t>
            </w:r>
            <w:r>
              <w:rPr>
                <w:rFonts w:hint="eastAsia"/>
                <w:color w:val="auto"/>
                <w:kern w:val="21"/>
              </w:rPr>
              <w:t>S</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58"/>
              <w:ind w:left="136" w:right="107"/>
              <w:jc w:val="center"/>
              <w:rPr>
                <w:color w:val="auto"/>
                <w:sz w:val="22"/>
                <w:szCs w:val="22"/>
                <w:lang w:val="zh-CN" w:bidi="zh-CN"/>
              </w:rPr>
            </w:pPr>
            <w:r>
              <w:rPr>
                <w:rFonts w:hint="eastAsia"/>
                <w:color w:val="auto"/>
                <w:kern w:val="21"/>
              </w:rPr>
              <w:t>10u</w:t>
            </w:r>
            <w:r>
              <w:rPr>
                <w:color w:val="auto"/>
                <w:kern w:val="21"/>
              </w:rPr>
              <w:t>g/m</w:t>
            </w:r>
            <w:r>
              <w:rPr>
                <w:color w:val="auto"/>
                <w:kern w:val="21"/>
                <w:vertAlign w:val="superscript"/>
              </w:rPr>
              <w:t>3</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7"/>
              <w:jc w:val="center"/>
              <w:rPr>
                <w:color w:val="auto"/>
                <w:sz w:val="22"/>
                <w:szCs w:val="22"/>
                <w:lang w:val="zh-CN" w:bidi="zh-CN"/>
              </w:rPr>
            </w:pPr>
            <w:r>
              <w:rPr>
                <w:rFonts w:hint="eastAsia"/>
                <w:color w:val="auto"/>
                <w:sz w:val="22"/>
                <w:szCs w:val="22"/>
                <w:lang w:val="zh-CN" w:bidi="zh-CN"/>
              </w:rPr>
              <w:t>/</w:t>
            </w:r>
          </w:p>
        </w:tc>
        <w:tc>
          <w:tcPr>
            <w:tcW w:w="1929" w:type="pct"/>
            <w:vMerge w:val="continue"/>
            <w:tcBorders>
              <w:top w:val="single" w:color="000000" w:sz="4" w:space="0"/>
              <w:left w:val="single" w:color="000000" w:sz="4" w:space="0"/>
              <w:bottom w:val="single" w:color="000000" w:sz="4" w:space="0"/>
            </w:tcBorders>
            <w:shd w:val="clear" w:color="auto" w:fill="auto"/>
            <w:vAlign w:val="center"/>
          </w:tcPr>
          <w:p>
            <w:pPr>
              <w:widowControl w:val="0"/>
              <w:autoSpaceDE w:val="0"/>
              <w:autoSpaceDN w:val="0"/>
              <w:ind w:left="157"/>
              <w:jc w:val="center"/>
              <w:rPr>
                <w:color w:val="auto"/>
                <w:sz w:val="22"/>
                <w:szCs w:val="22"/>
                <w:lang w:val="zh-CN" w:bidi="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431" w:type="pct"/>
            <w:tcBorders>
              <w:top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1"/>
              <w:jc w:val="center"/>
              <w:rPr>
                <w:color w:val="auto"/>
                <w:sz w:val="22"/>
                <w:szCs w:val="22"/>
                <w:lang w:val="zh-CN" w:bidi="zh-CN"/>
              </w:rPr>
            </w:pPr>
            <w:r>
              <w:rPr>
                <w:color w:val="auto"/>
                <w:sz w:val="22"/>
                <w:szCs w:val="22"/>
                <w:lang w:val="zh-CN" w:bidi="zh-CN"/>
              </w:rPr>
              <w:t>4</w:t>
            </w:r>
          </w:p>
        </w:tc>
        <w:tc>
          <w:tcPr>
            <w:tcW w:w="852"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color w:val="auto"/>
                <w:kern w:val="21"/>
              </w:rPr>
            </w:pPr>
            <w:r>
              <w:rPr>
                <w:rFonts w:hint="eastAsia"/>
                <w:color w:val="auto"/>
                <w:kern w:val="21"/>
              </w:rPr>
              <w:t>NH</w:t>
            </w:r>
            <w:r>
              <w:rPr>
                <w:rFonts w:hint="eastAsia"/>
                <w:color w:val="auto"/>
                <w:kern w:val="21"/>
                <w:vertAlign w:val="subscript"/>
              </w:rPr>
              <w:t>3</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0"/>
              <w:ind w:left="136" w:right="107"/>
              <w:jc w:val="center"/>
              <w:rPr>
                <w:color w:val="auto"/>
                <w:sz w:val="14"/>
                <w:szCs w:val="22"/>
                <w:lang w:val="zh-CN" w:bidi="zh-CN"/>
              </w:rPr>
            </w:pPr>
            <w:r>
              <w:rPr>
                <w:rFonts w:hint="eastAsia"/>
                <w:color w:val="auto"/>
                <w:kern w:val="21"/>
              </w:rPr>
              <w:t>200u</w:t>
            </w:r>
            <w:r>
              <w:rPr>
                <w:color w:val="auto"/>
                <w:kern w:val="21"/>
              </w:rPr>
              <w:t>g/m</w:t>
            </w:r>
            <w:r>
              <w:rPr>
                <w:color w:val="auto"/>
                <w:kern w:val="21"/>
                <w:vertAlign w:val="superscript"/>
              </w:rPr>
              <w:t>3</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5"/>
              <w:ind w:left="37"/>
              <w:jc w:val="center"/>
              <w:rPr>
                <w:color w:val="auto"/>
                <w:sz w:val="22"/>
                <w:szCs w:val="22"/>
                <w:lang w:val="zh-CN" w:bidi="zh-CN"/>
              </w:rPr>
            </w:pPr>
            <w:r>
              <w:rPr>
                <w:rFonts w:hint="eastAsia"/>
                <w:color w:val="auto"/>
                <w:sz w:val="22"/>
                <w:szCs w:val="22"/>
                <w:lang w:val="zh-CN" w:bidi="zh-CN"/>
              </w:rPr>
              <w:t>/</w:t>
            </w:r>
          </w:p>
        </w:tc>
        <w:tc>
          <w:tcPr>
            <w:tcW w:w="1929" w:type="pct"/>
            <w:vMerge w:val="continue"/>
            <w:tcBorders>
              <w:top w:val="nil"/>
              <w:left w:val="single" w:color="000000" w:sz="4" w:space="0"/>
              <w:bottom w:val="single" w:color="000000" w:sz="4" w:space="0"/>
            </w:tcBorders>
            <w:shd w:val="clear" w:color="auto" w:fill="auto"/>
            <w:vAlign w:val="center"/>
          </w:tcPr>
          <w:p>
            <w:pPr>
              <w:widowControl w:val="0"/>
              <w:autoSpaceDE w:val="0"/>
              <w:autoSpaceDN w:val="0"/>
              <w:jc w:val="center"/>
              <w:rPr>
                <w:color w:val="auto"/>
                <w:sz w:val="2"/>
                <w:szCs w:val="2"/>
                <w:lang w:val="zh-CN" w:bidi="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3" w:hRule="atLeast"/>
        </w:trPr>
        <w:tc>
          <w:tcPr>
            <w:tcW w:w="431" w:type="pct"/>
            <w:tcBorders>
              <w:top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1"/>
              <w:jc w:val="center"/>
              <w:rPr>
                <w:color w:val="auto"/>
                <w:sz w:val="22"/>
                <w:szCs w:val="22"/>
                <w:lang w:val="zh-CN" w:bidi="zh-CN"/>
              </w:rPr>
            </w:pPr>
            <w:r>
              <w:rPr>
                <w:rFonts w:hint="eastAsia"/>
                <w:color w:val="auto"/>
                <w:sz w:val="22"/>
                <w:szCs w:val="22"/>
                <w:lang w:val="zh-CN" w:bidi="zh-CN"/>
              </w:rPr>
              <w:t>5</w:t>
            </w:r>
          </w:p>
        </w:tc>
        <w:tc>
          <w:tcPr>
            <w:tcW w:w="852"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color w:val="auto"/>
                <w:kern w:val="21"/>
              </w:rPr>
            </w:pPr>
            <w:r>
              <w:rPr>
                <w:color w:val="auto"/>
                <w:kern w:val="21"/>
              </w:rPr>
              <w:t>铬酸雾</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color w:val="auto"/>
                <w:kern w:val="21"/>
              </w:rPr>
            </w:pPr>
            <w:r>
              <w:rPr>
                <w:color w:val="auto"/>
                <w:kern w:val="21"/>
              </w:rPr>
              <w:t>0.006μg/m</w:t>
            </w:r>
            <w:r>
              <w:rPr>
                <w:color w:val="auto"/>
                <w:kern w:val="21"/>
                <w:sz w:val="22"/>
                <w:vertAlign w:val="superscript"/>
              </w:rPr>
              <w:t>3</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color w:val="auto"/>
                <w:kern w:val="21"/>
              </w:rPr>
            </w:pPr>
            <w:r>
              <w:rPr>
                <w:color w:val="auto"/>
                <w:kern w:val="21"/>
              </w:rPr>
              <w:t>/</w:t>
            </w:r>
          </w:p>
        </w:tc>
        <w:tc>
          <w:tcPr>
            <w:tcW w:w="1929" w:type="pct"/>
            <w:tcBorders>
              <w:top w:val="single" w:color="000000" w:sz="4" w:space="0"/>
              <w:left w:val="single" w:color="000000" w:sz="4" w:space="0"/>
              <w:bottom w:val="single" w:color="000000" w:sz="4" w:space="0"/>
            </w:tcBorders>
            <w:shd w:val="clear" w:color="auto" w:fill="auto"/>
            <w:vAlign w:val="center"/>
          </w:tcPr>
          <w:p>
            <w:pPr>
              <w:adjustRightInd w:val="0"/>
              <w:snapToGrid w:val="0"/>
              <w:jc w:val="center"/>
              <w:rPr>
                <w:color w:val="auto"/>
                <w:kern w:val="21"/>
              </w:rPr>
            </w:pPr>
            <w:r>
              <w:rPr>
                <w:color w:val="auto"/>
                <w:kern w:val="21"/>
              </w:rPr>
              <w:t>《大气污染物综合排放标准》（GB16297-1996）详解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43" w:hRule="atLeast"/>
        </w:trPr>
        <w:tc>
          <w:tcPr>
            <w:tcW w:w="431" w:type="pct"/>
            <w:tcBorders>
              <w:top w:val="single" w:color="000000" w:sz="4" w:space="0"/>
              <w:bottom w:val="single" w:color="000000" w:sz="4" w:space="0"/>
              <w:right w:val="single" w:color="000000" w:sz="4" w:space="0"/>
            </w:tcBorders>
            <w:shd w:val="clear" w:color="auto" w:fill="auto"/>
            <w:vAlign w:val="center"/>
          </w:tcPr>
          <w:p>
            <w:pPr>
              <w:widowControl w:val="0"/>
              <w:autoSpaceDE w:val="0"/>
              <w:autoSpaceDN w:val="0"/>
              <w:spacing w:before="63"/>
              <w:ind w:left="31"/>
              <w:jc w:val="center"/>
              <w:rPr>
                <w:rFonts w:hint="default"/>
                <w:color w:val="auto"/>
                <w:sz w:val="22"/>
                <w:szCs w:val="22"/>
                <w:lang w:val="en-US" w:bidi="zh-CN"/>
              </w:rPr>
            </w:pPr>
            <w:r>
              <w:rPr>
                <w:rFonts w:hint="eastAsia"/>
                <w:color w:val="auto"/>
                <w:sz w:val="22"/>
                <w:szCs w:val="22"/>
                <w:lang w:val="en-US" w:bidi="zh-CN"/>
              </w:rPr>
              <w:t>6</w:t>
            </w:r>
          </w:p>
        </w:tc>
        <w:tc>
          <w:tcPr>
            <w:tcW w:w="852"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rFonts w:hint="default" w:eastAsia="宋体"/>
                <w:color w:val="auto"/>
                <w:kern w:val="21"/>
                <w:lang w:val="en-US" w:eastAsia="zh-CN"/>
              </w:rPr>
            </w:pPr>
            <w:r>
              <w:rPr>
                <w:rFonts w:hint="eastAsia"/>
                <w:color w:val="auto"/>
                <w:kern w:val="21"/>
                <w:lang w:val="en-US" w:eastAsia="zh-CN"/>
              </w:rPr>
              <w:t>臭气浓度</w:t>
            </w:r>
          </w:p>
        </w:tc>
        <w:tc>
          <w:tcPr>
            <w:tcW w:w="1022"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rFonts w:hint="default" w:eastAsia="宋体"/>
                <w:color w:val="auto"/>
                <w:kern w:val="21"/>
                <w:lang w:val="en-US" w:eastAsia="zh-CN"/>
              </w:rPr>
            </w:pPr>
            <w:r>
              <w:rPr>
                <w:rFonts w:hint="eastAsia"/>
                <w:color w:val="auto"/>
                <w:kern w:val="21"/>
                <w:lang w:val="en-US" w:eastAsia="zh-CN"/>
              </w:rPr>
              <w:t>/</w:t>
            </w:r>
          </w:p>
        </w:tc>
        <w:tc>
          <w:tcPr>
            <w:tcW w:w="766" w:type="pct"/>
            <w:tcBorders>
              <w:top w:val="single" w:color="000000" w:sz="4" w:space="0"/>
              <w:left w:val="single" w:color="000000" w:sz="4" w:space="0"/>
              <w:bottom w:val="single" w:color="000000" w:sz="4" w:space="0"/>
              <w:right w:val="single" w:color="000000" w:sz="4" w:space="0"/>
            </w:tcBorders>
            <w:shd w:val="clear" w:color="auto" w:fill="auto"/>
            <w:vAlign w:val="center"/>
          </w:tcPr>
          <w:p>
            <w:pPr>
              <w:adjustRightInd w:val="0"/>
              <w:snapToGrid w:val="0"/>
              <w:jc w:val="center"/>
              <w:rPr>
                <w:rFonts w:hint="eastAsia" w:eastAsia="宋体"/>
                <w:color w:val="auto"/>
                <w:kern w:val="21"/>
                <w:lang w:val="en-US" w:eastAsia="zh-CN"/>
              </w:rPr>
            </w:pPr>
            <w:r>
              <w:rPr>
                <w:rFonts w:hint="eastAsia"/>
                <w:color w:val="auto"/>
                <w:kern w:val="21"/>
                <w:lang w:val="en-US" w:eastAsia="zh-CN"/>
              </w:rPr>
              <w:t>/</w:t>
            </w:r>
          </w:p>
        </w:tc>
        <w:tc>
          <w:tcPr>
            <w:tcW w:w="1929" w:type="pct"/>
            <w:tcBorders>
              <w:top w:val="single" w:color="000000" w:sz="4" w:space="0"/>
              <w:left w:val="single" w:color="000000" w:sz="4" w:space="0"/>
            </w:tcBorders>
            <w:shd w:val="clear" w:color="auto" w:fill="auto"/>
            <w:vAlign w:val="center"/>
          </w:tcPr>
          <w:p>
            <w:pPr>
              <w:adjustRightInd w:val="0"/>
              <w:snapToGrid w:val="0"/>
              <w:jc w:val="center"/>
              <w:rPr>
                <w:rFonts w:hint="eastAsia" w:eastAsia="宋体"/>
                <w:color w:val="auto"/>
                <w:kern w:val="21"/>
                <w:lang w:val="en-US" w:eastAsia="zh-CN"/>
              </w:rPr>
            </w:pPr>
            <w:r>
              <w:rPr>
                <w:rFonts w:hint="eastAsia"/>
                <w:color w:val="auto"/>
                <w:kern w:val="21"/>
                <w:lang w:val="en-US" w:eastAsia="zh-CN"/>
              </w:rPr>
              <w:t>/</w:t>
            </w:r>
          </w:p>
        </w:tc>
      </w:tr>
    </w:tbl>
    <w:p>
      <w:pPr>
        <w:keepNext w:val="0"/>
        <w:keepLines w:val="0"/>
        <w:pageBreakBefore w:val="0"/>
        <w:widowControl/>
        <w:kinsoku/>
        <w:wordWrap/>
        <w:overflowPunct/>
        <w:topLinePunct w:val="0"/>
        <w:autoSpaceDE/>
        <w:autoSpaceDN/>
        <w:bidi w:val="0"/>
        <w:adjustRightInd/>
        <w:snapToGrid/>
        <w:spacing w:before="157" w:beforeLines="50" w:line="360" w:lineRule="auto"/>
        <w:textAlignment w:val="auto"/>
        <w:rPr>
          <w:color w:val="auto"/>
          <w:kern w:val="0"/>
          <w:sz w:val="24"/>
          <w:szCs w:val="20"/>
        </w:rPr>
      </w:pPr>
      <w:r>
        <w:rPr>
          <w:color w:val="auto"/>
          <w:kern w:val="0"/>
          <w:sz w:val="24"/>
          <w:szCs w:val="20"/>
        </w:rPr>
        <w:t>（5）评价方法</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环境空气质量现状评价方法采用统计监测浓度范围，同时计算其超标率及最大值超标倍数。采用单因子污染指数法进行评价，计算公式如下：</w:t>
      </w:r>
    </w:p>
    <w:p>
      <w:pPr>
        <w:spacing w:line="360" w:lineRule="auto"/>
        <w:jc w:val="center"/>
        <w:rPr>
          <w:color w:val="auto"/>
          <w:position w:val="-24"/>
          <w:sz w:val="24"/>
          <w:szCs w:val="28"/>
        </w:rPr>
      </w:pPr>
      <w:r>
        <w:rPr>
          <w:color w:val="auto"/>
          <w:position w:val="-24"/>
          <w:sz w:val="24"/>
          <w:szCs w:val="28"/>
        </w:rPr>
        <w:t>Pi=Ci/Si</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P</w:t>
      </w:r>
      <w:r>
        <w:rPr>
          <w:color w:val="auto"/>
          <w:sz w:val="24"/>
          <w:szCs w:val="28"/>
          <w:vertAlign w:val="subscript"/>
        </w:rPr>
        <w:t>i</w:t>
      </w:r>
      <w:r>
        <w:rPr>
          <w:color w:val="auto"/>
          <w:kern w:val="0"/>
          <w:sz w:val="24"/>
          <w:szCs w:val="20"/>
        </w:rPr>
        <w:t>:i种污染物的单因子污染指数</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C</w:t>
      </w:r>
      <w:r>
        <w:rPr>
          <w:color w:val="auto"/>
          <w:sz w:val="24"/>
          <w:szCs w:val="28"/>
          <w:vertAlign w:val="subscript"/>
        </w:rPr>
        <w:t>i</w:t>
      </w:r>
      <w:r>
        <w:rPr>
          <w:color w:val="auto"/>
          <w:kern w:val="0"/>
          <w:sz w:val="24"/>
          <w:szCs w:val="20"/>
        </w:rPr>
        <w:t>:i种污染物的实测浓度（μg/m</w:t>
      </w:r>
      <w:r>
        <w:rPr>
          <w:color w:val="auto"/>
          <w:kern w:val="0"/>
          <w:sz w:val="24"/>
          <w:szCs w:val="20"/>
          <w:vertAlign w:val="superscript"/>
        </w:rPr>
        <w:t>3</w:t>
      </w:r>
      <w:r>
        <w:rPr>
          <w:color w:val="auto"/>
          <w:kern w:val="0"/>
          <w:sz w:val="24"/>
          <w:szCs w:val="20"/>
        </w:rPr>
        <w:t>）</w:t>
      </w:r>
    </w:p>
    <w:p>
      <w:pPr>
        <w:adjustRightInd w:val="0"/>
        <w:snapToGrid w:val="0"/>
        <w:spacing w:line="360" w:lineRule="auto"/>
        <w:ind w:firstLine="480" w:firstLineChars="200"/>
        <w:textAlignment w:val="baseline"/>
        <w:rPr>
          <w:rFonts w:eastAsia="楷体"/>
          <w:b/>
          <w:color w:val="auto"/>
          <w:kern w:val="0"/>
          <w:sz w:val="28"/>
          <w:szCs w:val="20"/>
        </w:rPr>
      </w:pPr>
      <w:r>
        <w:rPr>
          <w:color w:val="auto"/>
          <w:kern w:val="0"/>
          <w:sz w:val="24"/>
          <w:szCs w:val="20"/>
        </w:rPr>
        <w:t>S</w:t>
      </w:r>
      <w:r>
        <w:rPr>
          <w:color w:val="auto"/>
          <w:sz w:val="24"/>
          <w:szCs w:val="28"/>
          <w:vertAlign w:val="subscript"/>
        </w:rPr>
        <w:t>i</w:t>
      </w:r>
      <w:r>
        <w:rPr>
          <w:color w:val="auto"/>
          <w:kern w:val="0"/>
          <w:sz w:val="24"/>
          <w:szCs w:val="20"/>
        </w:rPr>
        <w:t>:i种污染物的评价标准（μg/m</w:t>
      </w:r>
      <w:r>
        <w:rPr>
          <w:color w:val="auto"/>
          <w:kern w:val="0"/>
          <w:sz w:val="24"/>
          <w:szCs w:val="20"/>
          <w:vertAlign w:val="superscript"/>
        </w:rPr>
        <w:t>3</w:t>
      </w:r>
      <w:r>
        <w:rPr>
          <w:color w:val="auto"/>
          <w:kern w:val="0"/>
          <w:sz w:val="24"/>
          <w:szCs w:val="20"/>
        </w:rPr>
        <w:t>）</w:t>
      </w:r>
    </w:p>
    <w:p>
      <w:pPr>
        <w:spacing w:line="360" w:lineRule="auto"/>
        <w:rPr>
          <w:color w:val="auto"/>
          <w:kern w:val="0"/>
          <w:sz w:val="24"/>
          <w:szCs w:val="20"/>
        </w:rPr>
      </w:pPr>
      <w:r>
        <w:rPr>
          <w:color w:val="auto"/>
          <w:kern w:val="0"/>
          <w:sz w:val="24"/>
          <w:szCs w:val="20"/>
        </w:rPr>
        <w:t>（6）监测结果统计分析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各污染物浓度监测</w:t>
      </w:r>
      <w:r>
        <w:rPr>
          <w:bCs/>
          <w:color w:val="auto"/>
          <w:kern w:val="0"/>
          <w:sz w:val="24"/>
          <w:szCs w:val="20"/>
        </w:rPr>
        <w:t>数据</w:t>
      </w:r>
      <w:r>
        <w:rPr>
          <w:color w:val="auto"/>
          <w:kern w:val="0"/>
          <w:sz w:val="24"/>
          <w:szCs w:val="20"/>
        </w:rPr>
        <w:t>统计见表4.2-6。</w:t>
      </w:r>
    </w:p>
    <w:p>
      <w:pPr>
        <w:adjustRightInd w:val="0"/>
        <w:snapToGrid w:val="0"/>
        <w:jc w:val="center"/>
        <w:rPr>
          <w:rFonts w:eastAsia="黑体"/>
          <w:snapToGrid w:val="0"/>
          <w:color w:val="auto"/>
          <w:kern w:val="21"/>
          <w:sz w:val="24"/>
        </w:rPr>
      </w:pPr>
      <w:r>
        <w:rPr>
          <w:rFonts w:eastAsia="黑体"/>
          <w:snapToGrid w:val="0"/>
          <w:color w:val="auto"/>
          <w:kern w:val="21"/>
          <w:sz w:val="24"/>
        </w:rPr>
        <w:t>表4.2-6</w:t>
      </w:r>
      <w:r>
        <w:rPr>
          <w:rFonts w:hint="eastAsia" w:eastAsia="黑体"/>
          <w:snapToGrid w:val="0"/>
          <w:color w:val="auto"/>
          <w:kern w:val="21"/>
          <w:sz w:val="24"/>
        </w:rPr>
        <w:t xml:space="preserve">   </w:t>
      </w:r>
      <w:r>
        <w:rPr>
          <w:rFonts w:eastAsia="黑体"/>
          <w:snapToGrid w:val="0"/>
          <w:color w:val="auto"/>
          <w:kern w:val="21"/>
          <w:sz w:val="24"/>
        </w:rPr>
        <w:t>环境空气质量监测结果及评价统计结果</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8"/>
        <w:gridCol w:w="1243"/>
        <w:gridCol w:w="1346"/>
        <w:gridCol w:w="1277"/>
        <w:gridCol w:w="1276"/>
        <w:gridCol w:w="936"/>
        <w:gridCol w:w="12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shd w:val="clear" w:color="auto" w:fill="auto"/>
            <w:vAlign w:val="center"/>
          </w:tcPr>
          <w:p>
            <w:pPr>
              <w:widowControl w:val="0"/>
              <w:adjustRightInd w:val="0"/>
              <w:snapToGrid w:val="0"/>
              <w:jc w:val="center"/>
              <w:textAlignment w:val="baseline"/>
              <w:rPr>
                <w:b/>
                <w:color w:val="auto"/>
              </w:rPr>
            </w:pPr>
            <w:r>
              <w:rPr>
                <w:b/>
                <w:color w:val="auto"/>
              </w:rPr>
              <w:t>监测项目</w:t>
            </w:r>
          </w:p>
        </w:tc>
        <w:tc>
          <w:tcPr>
            <w:tcW w:w="729" w:type="pct"/>
            <w:shd w:val="clear" w:color="auto" w:fill="auto"/>
            <w:vAlign w:val="center"/>
          </w:tcPr>
          <w:p>
            <w:pPr>
              <w:widowControl w:val="0"/>
              <w:adjustRightInd w:val="0"/>
              <w:snapToGrid w:val="0"/>
              <w:jc w:val="center"/>
              <w:textAlignment w:val="baseline"/>
              <w:rPr>
                <w:b/>
                <w:color w:val="auto"/>
              </w:rPr>
            </w:pPr>
            <w:r>
              <w:rPr>
                <w:b/>
                <w:color w:val="auto"/>
              </w:rPr>
              <w:t>点位</w:t>
            </w:r>
          </w:p>
        </w:tc>
        <w:tc>
          <w:tcPr>
            <w:tcW w:w="789" w:type="pct"/>
            <w:shd w:val="clear" w:color="auto" w:fill="auto"/>
            <w:vAlign w:val="center"/>
          </w:tcPr>
          <w:p>
            <w:pPr>
              <w:widowControl w:val="0"/>
              <w:adjustRightInd w:val="0"/>
              <w:snapToGrid w:val="0"/>
              <w:jc w:val="center"/>
              <w:textAlignment w:val="baseline"/>
              <w:rPr>
                <w:b/>
                <w:color w:val="auto"/>
              </w:rPr>
            </w:pPr>
            <w:r>
              <w:rPr>
                <w:b/>
                <w:color w:val="auto"/>
              </w:rPr>
              <w:t>浓度范围</w:t>
            </w:r>
          </w:p>
        </w:tc>
        <w:tc>
          <w:tcPr>
            <w:tcW w:w="749" w:type="pct"/>
            <w:shd w:val="clear" w:color="auto" w:fill="auto"/>
            <w:vAlign w:val="center"/>
          </w:tcPr>
          <w:p>
            <w:pPr>
              <w:widowControl w:val="0"/>
              <w:adjustRightInd w:val="0"/>
              <w:snapToGrid w:val="0"/>
              <w:jc w:val="center"/>
              <w:textAlignment w:val="baseline"/>
              <w:rPr>
                <w:b/>
                <w:color w:val="auto"/>
              </w:rPr>
            </w:pPr>
            <w:r>
              <w:rPr>
                <w:b/>
                <w:color w:val="auto"/>
              </w:rPr>
              <w:t>标准限值</w:t>
            </w:r>
          </w:p>
        </w:tc>
        <w:tc>
          <w:tcPr>
            <w:tcW w:w="748" w:type="pct"/>
            <w:shd w:val="clear" w:color="auto" w:fill="auto"/>
            <w:vAlign w:val="center"/>
          </w:tcPr>
          <w:p>
            <w:pPr>
              <w:widowControl w:val="0"/>
              <w:adjustRightInd w:val="0"/>
              <w:snapToGrid w:val="0"/>
              <w:jc w:val="center"/>
              <w:textAlignment w:val="baseline"/>
              <w:rPr>
                <w:b/>
                <w:color w:val="auto"/>
              </w:rPr>
            </w:pPr>
            <w:r>
              <w:rPr>
                <w:b/>
                <w:color w:val="auto"/>
              </w:rPr>
              <w:t>最大浓度</w:t>
            </w:r>
          </w:p>
          <w:p>
            <w:pPr>
              <w:widowControl w:val="0"/>
              <w:adjustRightInd w:val="0"/>
              <w:snapToGrid w:val="0"/>
              <w:jc w:val="center"/>
              <w:textAlignment w:val="baseline"/>
              <w:rPr>
                <w:b/>
                <w:color w:val="auto"/>
              </w:rPr>
            </w:pPr>
            <w:r>
              <w:rPr>
                <w:b/>
                <w:color w:val="auto"/>
              </w:rPr>
              <w:t>占标率</w:t>
            </w: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b/>
                <w:color w:val="auto"/>
              </w:rPr>
              <w:t>超标率</w:t>
            </w:r>
          </w:p>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b/>
                <w:color w:val="auto"/>
              </w:rPr>
              <w:t>最大超</w:t>
            </w:r>
          </w:p>
          <w:p>
            <w:pPr>
              <w:widowControl w:val="0"/>
              <w:adjustRightInd w:val="0"/>
              <w:snapToGrid w:val="0"/>
              <w:jc w:val="center"/>
              <w:textAlignment w:val="baseline"/>
              <w:rPr>
                <w:b/>
                <w:color w:val="auto"/>
              </w:rPr>
            </w:pPr>
            <w:r>
              <w:rPr>
                <w:b/>
                <w:color w:val="auto"/>
              </w:rPr>
              <w:t>标倍数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HCL</w:t>
            </w:r>
          </w:p>
          <w:p>
            <w:pPr>
              <w:widowControl w:val="0"/>
              <w:adjustRightInd w:val="0"/>
              <w:snapToGrid w:val="0"/>
              <w:jc w:val="center"/>
              <w:textAlignment w:val="baseline"/>
              <w:rPr>
                <w:color w:val="auto"/>
              </w:rPr>
            </w:pPr>
            <w:r>
              <w:rPr>
                <w:color w:val="auto"/>
              </w:rPr>
              <w:t>1h均值</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restart"/>
            <w:shd w:val="clear" w:color="auto" w:fill="auto"/>
            <w:vAlign w:val="center"/>
          </w:tcPr>
          <w:p>
            <w:pPr>
              <w:widowControl w:val="0"/>
              <w:adjustRightInd w:val="0"/>
              <w:snapToGrid w:val="0"/>
              <w:jc w:val="center"/>
              <w:textAlignment w:val="baseline"/>
              <w:rPr>
                <w:color w:val="auto"/>
              </w:rPr>
            </w:pPr>
            <w:r>
              <w:rPr>
                <w:rFonts w:hint="eastAsia" w:cs="宋体"/>
                <w:color w:val="auto"/>
                <w:lang w:val="zh-CN" w:bidi="zh-CN"/>
              </w:rPr>
              <w:t>5</w:t>
            </w:r>
            <w:r>
              <w:rPr>
                <w:rFonts w:cs="宋体"/>
                <w:color w:val="auto"/>
                <w:lang w:val="zh-CN" w:bidi="zh-CN"/>
              </w:rPr>
              <w:t>0μg</w:t>
            </w:r>
            <w:r>
              <w:rPr>
                <w:rFonts w:hint="eastAsia"/>
                <w:color w:val="auto"/>
              </w:rPr>
              <w:t xml:space="preserve"> /m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HCL</w:t>
            </w:r>
          </w:p>
          <w:p>
            <w:pPr>
              <w:widowControl w:val="0"/>
              <w:adjustRightInd w:val="0"/>
              <w:snapToGrid w:val="0"/>
              <w:jc w:val="center"/>
              <w:textAlignment w:val="baseline"/>
              <w:rPr>
                <w:color w:val="auto"/>
              </w:rPr>
            </w:pPr>
            <w:r>
              <w:rPr>
                <w:color w:val="auto"/>
              </w:rPr>
              <w:t>日均值</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15</w:t>
            </w:r>
            <w:r>
              <w:rPr>
                <w:rFonts w:cs="宋体"/>
                <w:color w:val="auto"/>
                <w:lang w:val="zh-CN" w:bidi="zh-CN"/>
              </w:rPr>
              <w:t>μg</w:t>
            </w:r>
            <w:r>
              <w:rPr>
                <w:rFonts w:hint="eastAsia"/>
                <w:color w:val="auto"/>
              </w:rPr>
              <w:t xml:space="preserve"> /m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硫酸雾</w:t>
            </w:r>
          </w:p>
          <w:p>
            <w:pPr>
              <w:widowControl w:val="0"/>
              <w:adjustRightInd w:val="0"/>
              <w:snapToGrid w:val="0"/>
              <w:jc w:val="center"/>
              <w:textAlignment w:val="baseline"/>
              <w:rPr>
                <w:color w:val="auto"/>
              </w:rPr>
            </w:pPr>
            <w:r>
              <w:rPr>
                <w:color w:val="auto"/>
              </w:rPr>
              <w:t>1h均值</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300</w:t>
            </w:r>
            <w:r>
              <w:rPr>
                <w:rFonts w:cs="宋体"/>
                <w:color w:val="auto"/>
                <w:lang w:val="zh-CN" w:bidi="zh-CN"/>
              </w:rPr>
              <w:t>μg</w:t>
            </w:r>
            <w:r>
              <w:rPr>
                <w:rFonts w:hint="eastAsia"/>
                <w:color w:val="auto"/>
              </w:rPr>
              <w:t xml:space="preserve"> /m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硫酸雾</w:t>
            </w:r>
          </w:p>
          <w:p>
            <w:pPr>
              <w:widowControl w:val="0"/>
              <w:adjustRightInd w:val="0"/>
              <w:snapToGrid w:val="0"/>
              <w:jc w:val="center"/>
              <w:textAlignment w:val="baseline"/>
              <w:rPr>
                <w:color w:val="auto"/>
              </w:rPr>
            </w:pPr>
            <w:r>
              <w:rPr>
                <w:color w:val="auto"/>
              </w:rPr>
              <w:t>日均值</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restart"/>
            <w:shd w:val="clear" w:color="auto" w:fill="auto"/>
            <w:vAlign w:val="center"/>
          </w:tcPr>
          <w:p>
            <w:pPr>
              <w:widowControl w:val="0"/>
              <w:adjustRightInd w:val="0"/>
              <w:snapToGrid w:val="0"/>
              <w:jc w:val="center"/>
              <w:textAlignment w:val="baseline"/>
              <w:rPr>
                <w:b/>
                <w:color w:val="auto"/>
                <w:u w:val="single"/>
              </w:rPr>
            </w:pPr>
            <w:r>
              <w:rPr>
                <w:rFonts w:hint="eastAsia"/>
                <w:color w:val="auto"/>
              </w:rPr>
              <w:t>100</w:t>
            </w:r>
            <w:r>
              <w:rPr>
                <w:rFonts w:cs="宋体"/>
                <w:color w:val="auto"/>
                <w:lang w:val="zh-CN" w:bidi="zh-CN"/>
              </w:rPr>
              <w:t>μg</w:t>
            </w:r>
            <w:r>
              <w:rPr>
                <w:rFonts w:hint="eastAsia"/>
                <w:color w:val="auto"/>
              </w:rPr>
              <w:t xml:space="preserve"> /m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铬酸雾</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0.006mg/m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color w:val="auto"/>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color w:val="auto"/>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color w:val="auto"/>
              </w:rPr>
            </w:pPr>
            <w:r>
              <w:rPr>
                <w:rFonts w:hint="eastAsia"/>
                <w:color w:val="auto"/>
              </w:rPr>
              <w:t>ND</w:t>
            </w:r>
          </w:p>
        </w:tc>
        <w:tc>
          <w:tcPr>
            <w:tcW w:w="749" w:type="pct"/>
            <w:vMerge w:val="continue"/>
            <w:shd w:val="clear" w:color="auto" w:fill="auto"/>
            <w:vAlign w:val="center"/>
          </w:tcPr>
          <w:p>
            <w:pPr>
              <w:widowControl w:val="0"/>
              <w:adjustRightInd w:val="0"/>
              <w:snapToGrid w:val="0"/>
              <w:jc w:val="center"/>
              <w:textAlignment w:val="baseline"/>
              <w:rPr>
                <w:color w:val="auto"/>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氨</w:t>
            </w:r>
          </w:p>
          <w:p>
            <w:pPr>
              <w:widowControl w:val="0"/>
              <w:adjustRightInd w:val="0"/>
              <w:snapToGrid w:val="0"/>
              <w:jc w:val="center"/>
              <w:textAlignment w:val="baseline"/>
              <w:rPr>
                <w:color w:val="auto"/>
              </w:rPr>
            </w:pPr>
            <w:r>
              <w:rPr>
                <w:color w:val="auto"/>
              </w:rPr>
              <w:t>1h均值</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b/>
                <w:bCs/>
                <w:color w:val="auto"/>
                <w:u w:val="single"/>
              </w:rPr>
            </w:pPr>
            <w:r>
              <w:rPr>
                <w:rFonts w:hint="eastAsia"/>
                <w:b/>
                <w:bCs/>
                <w:color w:val="auto"/>
                <w:u w:val="single"/>
              </w:rPr>
              <w:t>20-60</w:t>
            </w:r>
          </w:p>
        </w:tc>
        <w:tc>
          <w:tcPr>
            <w:tcW w:w="749" w:type="pct"/>
            <w:vMerge w:val="restart"/>
            <w:shd w:val="clear" w:color="auto" w:fill="auto"/>
            <w:vAlign w:val="center"/>
          </w:tcPr>
          <w:p>
            <w:pPr>
              <w:widowControl w:val="0"/>
              <w:adjustRightInd w:val="0"/>
              <w:snapToGrid w:val="0"/>
              <w:jc w:val="center"/>
              <w:textAlignment w:val="baseline"/>
              <w:rPr>
                <w:color w:val="auto"/>
              </w:rPr>
            </w:pPr>
            <w:r>
              <w:rPr>
                <w:rFonts w:hint="eastAsia"/>
                <w:color w:val="auto"/>
              </w:rPr>
              <w:t>200ug/m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b/>
                <w:bCs/>
                <w:color w:val="auto"/>
                <w:u w:val="single"/>
              </w:rPr>
            </w:pPr>
            <w:r>
              <w:rPr>
                <w:rFonts w:hint="eastAsia"/>
                <w:b/>
                <w:bCs/>
                <w:color w:val="auto"/>
                <w:u w:val="single"/>
              </w:rPr>
              <w:t>20-30</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b/>
                <w:bCs/>
                <w:color w:val="auto"/>
                <w:u w:val="single"/>
              </w:rPr>
            </w:pPr>
            <w:r>
              <w:rPr>
                <w:rFonts w:hint="eastAsia"/>
                <w:b/>
                <w:bCs/>
                <w:color w:val="auto"/>
                <w:u w:val="single"/>
              </w:rPr>
              <w:t>20-30</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硫化氢</w:t>
            </w:r>
          </w:p>
          <w:p>
            <w:pPr>
              <w:widowControl w:val="0"/>
              <w:adjustRightInd w:val="0"/>
              <w:snapToGrid w:val="0"/>
              <w:jc w:val="center"/>
              <w:textAlignment w:val="baseline"/>
              <w:rPr>
                <w:b/>
                <w:color w:val="auto"/>
                <w:u w:val="single"/>
              </w:rPr>
            </w:pPr>
            <w:r>
              <w:rPr>
                <w:color w:val="auto"/>
              </w:rPr>
              <w:t>1h均值</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b/>
                <w:bCs/>
                <w:color w:val="auto"/>
                <w:u w:val="single"/>
              </w:rPr>
            </w:pPr>
            <w:r>
              <w:rPr>
                <w:rFonts w:hint="eastAsia"/>
                <w:b/>
                <w:bCs/>
                <w:color w:val="auto"/>
                <w:u w:val="single"/>
              </w:rPr>
              <w:t>2-6</w:t>
            </w:r>
          </w:p>
        </w:tc>
        <w:tc>
          <w:tcPr>
            <w:tcW w:w="749" w:type="pct"/>
            <w:vMerge w:val="restart"/>
            <w:shd w:val="clear" w:color="auto" w:fill="auto"/>
            <w:vAlign w:val="center"/>
          </w:tcPr>
          <w:p>
            <w:pPr>
              <w:widowControl w:val="0"/>
              <w:adjustRightInd w:val="0"/>
              <w:snapToGrid w:val="0"/>
              <w:jc w:val="center"/>
              <w:textAlignment w:val="baseline"/>
              <w:rPr>
                <w:b/>
                <w:color w:val="auto"/>
                <w:u w:val="single"/>
              </w:rPr>
            </w:pPr>
            <w:r>
              <w:rPr>
                <w:rFonts w:hint="eastAsia"/>
                <w:color w:val="auto"/>
              </w:rPr>
              <w:t>10ug/m</w:t>
            </w:r>
            <w:r>
              <w:rPr>
                <w:rFonts w:hint="eastAsia"/>
                <w:color w:val="auto"/>
                <w:vertAlign w:val="superscript"/>
              </w:rPr>
              <w:t>3</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b/>
                <w:bCs/>
                <w:color w:val="auto"/>
                <w:u w:val="single"/>
              </w:rPr>
            </w:pPr>
            <w:r>
              <w:rPr>
                <w:rFonts w:hint="eastAsia"/>
                <w:b/>
                <w:bCs/>
                <w:color w:val="auto"/>
                <w:u w:val="single"/>
              </w:rPr>
              <w:t>2</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b/>
                <w:bCs/>
                <w:color w:val="auto"/>
                <w:u w:val="single"/>
              </w:rPr>
            </w:pPr>
            <w:r>
              <w:rPr>
                <w:rFonts w:hint="eastAsia"/>
                <w:b/>
                <w:bCs/>
                <w:color w:val="auto"/>
                <w:u w:val="single"/>
              </w:rPr>
              <w:t>2-3</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restart"/>
            <w:shd w:val="clear" w:color="auto" w:fill="auto"/>
            <w:vAlign w:val="center"/>
          </w:tcPr>
          <w:p>
            <w:pPr>
              <w:widowControl w:val="0"/>
              <w:adjustRightInd w:val="0"/>
              <w:snapToGrid w:val="0"/>
              <w:jc w:val="center"/>
              <w:textAlignment w:val="baseline"/>
              <w:rPr>
                <w:color w:val="auto"/>
              </w:rPr>
            </w:pPr>
            <w:r>
              <w:rPr>
                <w:color w:val="auto"/>
              </w:rPr>
              <w:t>臭气浓度</w:t>
            </w:r>
          </w:p>
        </w:tc>
        <w:tc>
          <w:tcPr>
            <w:tcW w:w="729" w:type="pct"/>
            <w:shd w:val="clear" w:color="auto" w:fill="auto"/>
            <w:vAlign w:val="center"/>
          </w:tcPr>
          <w:p>
            <w:pPr>
              <w:widowControl w:val="0"/>
              <w:adjustRightInd w:val="0"/>
              <w:snapToGrid w:val="0"/>
              <w:jc w:val="center"/>
              <w:textAlignment w:val="baseline"/>
              <w:rPr>
                <w:color w:val="auto"/>
              </w:rPr>
            </w:pPr>
            <w:r>
              <w:rPr>
                <w:color w:val="auto"/>
              </w:rPr>
              <w:t>厂址</w:t>
            </w:r>
          </w:p>
        </w:tc>
        <w:tc>
          <w:tcPr>
            <w:tcW w:w="789" w:type="pct"/>
            <w:shd w:val="clear" w:color="auto" w:fill="auto"/>
            <w:vAlign w:val="center"/>
          </w:tcPr>
          <w:p>
            <w:pPr>
              <w:widowControl w:val="0"/>
              <w:adjustRightInd w:val="0"/>
              <w:snapToGrid w:val="0"/>
              <w:jc w:val="center"/>
              <w:textAlignment w:val="baseline"/>
              <w:rPr>
                <w:color w:val="auto"/>
              </w:rPr>
            </w:pPr>
            <w:r>
              <w:rPr>
                <w:color w:val="auto"/>
              </w:rPr>
              <w:t>＜</w:t>
            </w:r>
            <w:r>
              <w:rPr>
                <w:rFonts w:hint="eastAsia"/>
                <w:color w:val="auto"/>
              </w:rPr>
              <w:t>10</w:t>
            </w:r>
          </w:p>
        </w:tc>
        <w:tc>
          <w:tcPr>
            <w:tcW w:w="749" w:type="pct"/>
            <w:vMerge w:val="restart"/>
            <w:shd w:val="clear" w:color="auto" w:fill="auto"/>
            <w:vAlign w:val="center"/>
          </w:tcPr>
          <w:p>
            <w:pPr>
              <w:widowControl w:val="0"/>
              <w:adjustRightInd w:val="0"/>
              <w:snapToGrid w:val="0"/>
              <w:jc w:val="center"/>
              <w:textAlignment w:val="baseline"/>
              <w:rPr>
                <w:b/>
                <w:color w:val="auto"/>
                <w:u w:val="single"/>
              </w:rPr>
            </w:pPr>
            <w:r>
              <w:rPr>
                <w:rFonts w:hint="eastAsia"/>
                <w:b/>
                <w:color w:val="auto"/>
                <w:u w:val="single"/>
              </w:rPr>
              <w:t>/</w:t>
            </w: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陈孝村</w:t>
            </w:r>
          </w:p>
        </w:tc>
        <w:tc>
          <w:tcPr>
            <w:tcW w:w="789" w:type="pct"/>
            <w:shd w:val="clear" w:color="auto" w:fill="auto"/>
            <w:vAlign w:val="center"/>
          </w:tcPr>
          <w:p>
            <w:pPr>
              <w:widowControl w:val="0"/>
              <w:adjustRightInd w:val="0"/>
              <w:snapToGrid w:val="0"/>
              <w:jc w:val="center"/>
              <w:textAlignment w:val="baseline"/>
              <w:rPr>
                <w:color w:val="auto"/>
              </w:rPr>
            </w:pPr>
            <w:r>
              <w:rPr>
                <w:color w:val="auto"/>
              </w:rPr>
              <w:t>＜</w:t>
            </w:r>
            <w:r>
              <w:rPr>
                <w:rFonts w:hint="eastAsia"/>
                <w:color w:val="auto"/>
              </w:rPr>
              <w:t>10</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8" w:type="pct"/>
            <w:vMerge w:val="continue"/>
            <w:shd w:val="clear" w:color="auto" w:fill="auto"/>
            <w:vAlign w:val="center"/>
          </w:tcPr>
          <w:p>
            <w:pPr>
              <w:widowControl w:val="0"/>
              <w:adjustRightInd w:val="0"/>
              <w:snapToGrid w:val="0"/>
              <w:jc w:val="center"/>
              <w:textAlignment w:val="baseline"/>
              <w:rPr>
                <w:b/>
                <w:color w:val="auto"/>
                <w:u w:val="single"/>
              </w:rPr>
            </w:pPr>
          </w:p>
        </w:tc>
        <w:tc>
          <w:tcPr>
            <w:tcW w:w="729" w:type="pct"/>
            <w:shd w:val="clear" w:color="auto" w:fill="auto"/>
            <w:vAlign w:val="center"/>
          </w:tcPr>
          <w:p>
            <w:pPr>
              <w:widowControl w:val="0"/>
              <w:adjustRightInd w:val="0"/>
              <w:snapToGrid w:val="0"/>
              <w:jc w:val="center"/>
              <w:textAlignment w:val="baseline"/>
              <w:rPr>
                <w:color w:val="auto"/>
              </w:rPr>
            </w:pPr>
            <w:r>
              <w:rPr>
                <w:color w:val="auto"/>
              </w:rPr>
              <w:t>孝合村</w:t>
            </w:r>
          </w:p>
        </w:tc>
        <w:tc>
          <w:tcPr>
            <w:tcW w:w="789" w:type="pct"/>
            <w:shd w:val="clear" w:color="auto" w:fill="auto"/>
            <w:vAlign w:val="center"/>
          </w:tcPr>
          <w:p>
            <w:pPr>
              <w:widowControl w:val="0"/>
              <w:adjustRightInd w:val="0"/>
              <w:snapToGrid w:val="0"/>
              <w:jc w:val="center"/>
              <w:textAlignment w:val="baseline"/>
              <w:rPr>
                <w:color w:val="auto"/>
              </w:rPr>
            </w:pPr>
            <w:r>
              <w:rPr>
                <w:color w:val="auto"/>
              </w:rPr>
              <w:t>＜</w:t>
            </w:r>
            <w:r>
              <w:rPr>
                <w:rFonts w:hint="eastAsia"/>
                <w:color w:val="auto"/>
              </w:rPr>
              <w:t>10</w:t>
            </w:r>
          </w:p>
        </w:tc>
        <w:tc>
          <w:tcPr>
            <w:tcW w:w="749" w:type="pct"/>
            <w:vMerge w:val="continue"/>
            <w:shd w:val="clear" w:color="auto" w:fill="auto"/>
            <w:vAlign w:val="center"/>
          </w:tcPr>
          <w:p>
            <w:pPr>
              <w:widowControl w:val="0"/>
              <w:adjustRightInd w:val="0"/>
              <w:snapToGrid w:val="0"/>
              <w:jc w:val="center"/>
              <w:textAlignment w:val="baseline"/>
              <w:rPr>
                <w:b/>
                <w:color w:val="auto"/>
                <w:u w:val="single"/>
              </w:rPr>
            </w:pPr>
          </w:p>
        </w:tc>
        <w:tc>
          <w:tcPr>
            <w:tcW w:w="74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549"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c>
          <w:tcPr>
            <w:tcW w:w="728" w:type="pct"/>
            <w:shd w:val="clear" w:color="auto" w:fill="auto"/>
            <w:vAlign w:val="center"/>
          </w:tcPr>
          <w:p>
            <w:pPr>
              <w:widowControl w:val="0"/>
              <w:adjustRightInd w:val="0"/>
              <w:snapToGrid w:val="0"/>
              <w:jc w:val="center"/>
              <w:textAlignment w:val="baseline"/>
              <w:rPr>
                <w:b/>
                <w:color w:val="auto"/>
              </w:rPr>
            </w:pPr>
            <w:r>
              <w:rPr>
                <w:rFonts w:hint="eastAsia"/>
                <w:b/>
                <w:color w:val="auto"/>
              </w:rPr>
              <w:t>/</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rPr>
      </w:pPr>
      <w:r>
        <w:rPr>
          <w:color w:val="auto"/>
          <w:kern w:val="21"/>
          <w:sz w:val="24"/>
        </w:rPr>
        <w:t xml:space="preserve">从以上监测结果可以看出，项目所选取的各监测点位的特征因子 </w:t>
      </w:r>
      <w:r>
        <w:rPr>
          <w:rFonts w:hint="eastAsia"/>
          <w:color w:val="auto"/>
          <w:kern w:val="21"/>
          <w:sz w:val="24"/>
        </w:rPr>
        <w:t>HCL和硫酸雾</w:t>
      </w:r>
      <w:r>
        <w:rPr>
          <w:color w:val="auto"/>
          <w:kern w:val="21"/>
          <w:sz w:val="24"/>
        </w:rPr>
        <w:t>的</w:t>
      </w:r>
      <w:r>
        <w:rPr>
          <w:rFonts w:hint="eastAsia"/>
          <w:color w:val="auto"/>
          <w:kern w:val="21"/>
          <w:sz w:val="24"/>
        </w:rPr>
        <w:t>1</w:t>
      </w:r>
      <w:r>
        <w:rPr>
          <w:color w:val="auto"/>
          <w:kern w:val="21"/>
          <w:sz w:val="24"/>
        </w:rPr>
        <w:t>小时平均值</w:t>
      </w:r>
      <w:r>
        <w:rPr>
          <w:rFonts w:hint="eastAsia"/>
          <w:color w:val="auto"/>
          <w:kern w:val="21"/>
          <w:sz w:val="24"/>
        </w:rPr>
        <w:t>和日均值及氨、硫化氢1小时均值</w:t>
      </w:r>
      <w:r>
        <w:rPr>
          <w:color w:val="auto"/>
          <w:kern w:val="21"/>
          <w:sz w:val="24"/>
        </w:rPr>
        <w:t>均能满足《环境影响评价技术导则 大气环境》（HJ2.2-2018）附录 D 要求；</w:t>
      </w:r>
      <w:r>
        <w:rPr>
          <w:rFonts w:hint="eastAsia"/>
          <w:color w:val="auto"/>
          <w:kern w:val="21"/>
          <w:sz w:val="24"/>
        </w:rPr>
        <w:t>铬酸雾</w:t>
      </w:r>
      <w:r>
        <w:rPr>
          <w:rFonts w:hint="eastAsia"/>
          <w:color w:val="auto"/>
          <w:kern w:val="21"/>
          <w:sz w:val="24"/>
          <w:lang w:eastAsia="zh-CN"/>
        </w:rPr>
        <w:t>小时</w:t>
      </w:r>
      <w:r>
        <w:rPr>
          <w:color w:val="auto"/>
          <w:kern w:val="21"/>
          <w:sz w:val="24"/>
        </w:rPr>
        <w:t>值能够满足《大气污染物综合排放标准》（GB16297-1996）详解要求；项目周围环境质量较好。</w:t>
      </w:r>
    </w:p>
    <w:bookmarkEnd w:id="273"/>
    <w:bookmarkEnd w:id="274"/>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4.2.3地表水环境质量现状监测与评价</w:t>
      </w:r>
      <w:bookmarkEnd w:id="267"/>
      <w:bookmarkEnd w:id="268"/>
      <w:bookmarkEnd w:id="269"/>
      <w:bookmarkEnd w:id="270"/>
    </w:p>
    <w:p>
      <w:pPr>
        <w:adjustRightInd w:val="0"/>
        <w:snapToGrid w:val="0"/>
        <w:spacing w:line="360" w:lineRule="auto"/>
        <w:ind w:firstLine="480" w:firstLineChars="200"/>
        <w:jc w:val="both"/>
        <w:rPr>
          <w:color w:val="auto"/>
          <w:kern w:val="21"/>
          <w:sz w:val="24"/>
        </w:rPr>
      </w:pPr>
      <w:r>
        <w:rPr>
          <w:rFonts w:ascii="宋体" w:hAnsi="宋体"/>
          <w:bCs/>
          <w:color w:val="auto"/>
          <w:kern w:val="21"/>
          <w:sz w:val="24"/>
          <w:szCs w:val="24"/>
        </w:rPr>
        <w:t>本项目外排废水</w:t>
      </w:r>
      <w:r>
        <w:rPr>
          <w:rFonts w:hint="eastAsia" w:ascii="宋体" w:hAnsi="宋体"/>
          <w:bCs/>
          <w:color w:val="auto"/>
          <w:kern w:val="21"/>
          <w:sz w:val="24"/>
          <w:szCs w:val="24"/>
        </w:rPr>
        <w:t>主要为锅炉</w:t>
      </w:r>
      <w:r>
        <w:rPr>
          <w:rFonts w:hint="eastAsia" w:ascii="宋体" w:hAnsi="宋体"/>
          <w:bCs/>
          <w:color w:val="auto"/>
          <w:kern w:val="21"/>
          <w:sz w:val="24"/>
          <w:szCs w:val="24"/>
          <w:lang w:eastAsia="zh-CN"/>
        </w:rPr>
        <w:t>浓水、纯水制备浓水及</w:t>
      </w:r>
      <w:r>
        <w:rPr>
          <w:rFonts w:hint="eastAsia" w:ascii="宋体" w:hAnsi="宋体"/>
          <w:bCs/>
          <w:color w:val="auto"/>
          <w:kern w:val="21"/>
          <w:sz w:val="24"/>
          <w:szCs w:val="24"/>
        </w:rPr>
        <w:t>生活污水，外排废水经市政管网</w:t>
      </w:r>
      <w:r>
        <w:rPr>
          <w:rFonts w:ascii="宋体" w:hAnsi="宋体"/>
          <w:bCs/>
          <w:color w:val="auto"/>
          <w:kern w:val="21"/>
          <w:sz w:val="24"/>
          <w:szCs w:val="24"/>
        </w:rPr>
        <w:t>排入同盟污水处理厂进一步处理，达到</w:t>
      </w:r>
      <w:r>
        <w:rPr>
          <w:rFonts w:ascii="宋体" w:hAnsi="宋体"/>
          <w:bCs/>
          <w:color w:val="auto"/>
          <w:kern w:val="0"/>
          <w:sz w:val="24"/>
          <w:szCs w:val="24"/>
        </w:rPr>
        <w:t>《地表水环境质量标准》（</w:t>
      </w:r>
      <w:r>
        <w:rPr>
          <w:bCs/>
          <w:color w:val="auto"/>
          <w:kern w:val="0"/>
          <w:sz w:val="24"/>
          <w:szCs w:val="24"/>
        </w:rPr>
        <w:t>GB3838-2002</w:t>
      </w:r>
      <w:r>
        <w:rPr>
          <w:rFonts w:ascii="宋体" w:hAnsi="宋体"/>
          <w:bCs/>
          <w:color w:val="auto"/>
          <w:kern w:val="0"/>
          <w:sz w:val="24"/>
          <w:szCs w:val="24"/>
        </w:rPr>
        <w:t>）</w:t>
      </w:r>
      <w:r>
        <w:rPr>
          <w:bCs/>
          <w:color w:val="auto"/>
          <w:kern w:val="0"/>
          <w:sz w:val="24"/>
          <w:szCs w:val="24"/>
        </w:rPr>
        <w:t>IV</w:t>
      </w:r>
      <w:r>
        <w:rPr>
          <w:rFonts w:ascii="宋体" w:hAnsi="宋体"/>
          <w:bCs/>
          <w:color w:val="auto"/>
          <w:kern w:val="0"/>
          <w:sz w:val="24"/>
          <w:szCs w:val="24"/>
        </w:rPr>
        <w:t>类标准及</w:t>
      </w:r>
      <w:r>
        <w:rPr>
          <w:rFonts w:ascii="宋体" w:hAnsi="宋体"/>
          <w:color w:val="auto"/>
          <w:kern w:val="0"/>
          <w:sz w:val="24"/>
          <w:szCs w:val="24"/>
        </w:rPr>
        <w:t>《城镇污水处理厂污染物排放标准》（</w:t>
      </w:r>
      <w:r>
        <w:rPr>
          <w:color w:val="auto"/>
          <w:kern w:val="0"/>
          <w:sz w:val="24"/>
          <w:szCs w:val="24"/>
        </w:rPr>
        <w:t>GB18918-2002</w:t>
      </w:r>
      <w:r>
        <w:rPr>
          <w:rFonts w:ascii="宋体" w:hAnsi="宋体"/>
          <w:color w:val="auto"/>
          <w:kern w:val="0"/>
          <w:sz w:val="24"/>
          <w:szCs w:val="24"/>
        </w:rPr>
        <w:t>）</w:t>
      </w:r>
      <w:r>
        <w:rPr>
          <w:rFonts w:ascii="宋体" w:hAnsi="宋体"/>
          <w:color w:val="auto"/>
          <w:kern w:val="21"/>
          <w:sz w:val="24"/>
          <w:szCs w:val="24"/>
        </w:rPr>
        <w:t>一级</w:t>
      </w:r>
      <w:r>
        <w:rPr>
          <w:color w:val="auto"/>
          <w:kern w:val="21"/>
          <w:sz w:val="24"/>
          <w:szCs w:val="24"/>
        </w:rPr>
        <w:t>A</w:t>
      </w:r>
      <w:r>
        <w:rPr>
          <w:rFonts w:ascii="宋体" w:hAnsi="宋体"/>
          <w:color w:val="auto"/>
          <w:kern w:val="21"/>
          <w:sz w:val="24"/>
          <w:szCs w:val="24"/>
        </w:rPr>
        <w:t>标准后排入共产主义渠</w:t>
      </w:r>
      <w:r>
        <w:rPr>
          <w:rFonts w:hint="eastAsia" w:ascii="宋体" w:hAnsi="宋体"/>
          <w:color w:val="auto"/>
          <w:kern w:val="21"/>
          <w:sz w:val="24"/>
          <w:szCs w:val="24"/>
        </w:rPr>
        <w:t>。因此本次评价，地表水环境质量数据引用共产主义渠西永康断面的常规自动监测数据。</w:t>
      </w:r>
    </w:p>
    <w:p>
      <w:pPr>
        <w:pStyle w:val="6"/>
        <w:spacing w:before="0" w:after="0" w:line="360" w:lineRule="auto"/>
        <w:rPr>
          <w:b w:val="0"/>
          <w:color w:val="auto"/>
          <w:sz w:val="24"/>
          <w:szCs w:val="24"/>
        </w:rPr>
      </w:pPr>
      <w:r>
        <w:rPr>
          <w:rFonts w:hint="eastAsia"/>
          <w:b w:val="0"/>
          <w:color w:val="auto"/>
          <w:sz w:val="24"/>
          <w:szCs w:val="24"/>
        </w:rPr>
        <w:t>4.2.3.1</w:t>
      </w:r>
      <w:r>
        <w:rPr>
          <w:b w:val="0"/>
          <w:color w:val="auto"/>
          <w:sz w:val="24"/>
          <w:szCs w:val="24"/>
        </w:rPr>
        <w:t>项目纳污水体环境概况</w:t>
      </w:r>
    </w:p>
    <w:p>
      <w:pPr>
        <w:adjustRightInd w:val="0"/>
        <w:snapToGrid w:val="0"/>
        <w:spacing w:before="156" w:beforeLines="50" w:line="360" w:lineRule="auto"/>
        <w:ind w:firstLine="480" w:firstLineChars="200"/>
        <w:textAlignment w:val="baseline"/>
        <w:rPr>
          <w:rFonts w:hint="eastAsia" w:eastAsia="宋体"/>
          <w:b/>
          <w:bCs/>
          <w:color w:val="auto"/>
          <w:kern w:val="0"/>
          <w:sz w:val="24"/>
          <w:szCs w:val="20"/>
          <w:u w:val="single"/>
          <w:lang w:eastAsia="zh-CN"/>
        </w:rPr>
      </w:pPr>
      <w:r>
        <w:rPr>
          <w:color w:val="auto"/>
          <w:kern w:val="0"/>
          <w:sz w:val="24"/>
          <w:szCs w:val="20"/>
        </w:rPr>
        <w:t>经调查，目前同盟污水处理厂现状纳污水体为共产主义渠</w:t>
      </w:r>
      <w:r>
        <w:rPr>
          <w:rFonts w:hint="eastAsia"/>
          <w:color w:val="auto"/>
          <w:kern w:val="0"/>
          <w:sz w:val="24"/>
          <w:szCs w:val="20"/>
        </w:rPr>
        <w:t>，</w:t>
      </w:r>
      <w:r>
        <w:rPr>
          <w:color w:val="auto"/>
          <w:kern w:val="0"/>
          <w:sz w:val="24"/>
          <w:szCs w:val="20"/>
        </w:rPr>
        <w:t>距离同盟污水处理厂排污口下游最近的断面为共渠西永康断面</w:t>
      </w:r>
      <w:r>
        <w:rPr>
          <w:rFonts w:hint="eastAsia"/>
          <w:color w:val="auto"/>
          <w:kern w:val="0"/>
          <w:sz w:val="24"/>
          <w:szCs w:val="20"/>
        </w:rPr>
        <w:t>。</w:t>
      </w:r>
      <w:r>
        <w:rPr>
          <w:rFonts w:hint="eastAsia"/>
          <w:b/>
          <w:bCs/>
          <w:color w:val="auto"/>
          <w:kern w:val="0"/>
          <w:sz w:val="24"/>
          <w:szCs w:val="20"/>
          <w:u w:val="single"/>
        </w:rPr>
        <w:t>本次评价</w:t>
      </w:r>
      <w:r>
        <w:rPr>
          <w:rFonts w:ascii="宋体" w:hAnsi="宋体" w:eastAsia="宋体" w:cs="宋体"/>
          <w:b/>
          <w:bCs/>
          <w:sz w:val="24"/>
          <w:szCs w:val="24"/>
          <w:u w:val="single"/>
        </w:rPr>
        <w:t>引用新乡市环境监测站对共产主义渠西永康断面2022年1-12月的平均监测数据</w:t>
      </w:r>
      <w:r>
        <w:rPr>
          <w:rFonts w:hint="eastAsia" w:ascii="宋体" w:hAnsi="宋体" w:eastAsia="宋体" w:cs="宋体"/>
          <w:b/>
          <w:bCs/>
          <w:sz w:val="24"/>
          <w:szCs w:val="24"/>
          <w:u w:val="single"/>
          <w:lang w:eastAsia="zh-CN"/>
        </w:rPr>
        <w:t>。</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根据新乡市水功能区划，共产主义渠</w:t>
      </w:r>
      <w:r>
        <w:rPr>
          <w:rFonts w:hint="eastAsia"/>
          <w:color w:val="auto"/>
          <w:kern w:val="0"/>
          <w:sz w:val="24"/>
          <w:szCs w:val="20"/>
        </w:rPr>
        <w:t>水功能区划为</w:t>
      </w:r>
      <w:r>
        <w:rPr>
          <w:color w:val="auto"/>
          <w:kern w:val="21"/>
          <w:sz w:val="24"/>
          <w:szCs w:val="24"/>
        </w:rPr>
        <w:t>IV</w:t>
      </w:r>
      <w:r>
        <w:rPr>
          <w:rFonts w:hint="eastAsia"/>
          <w:color w:val="auto"/>
          <w:kern w:val="0"/>
          <w:sz w:val="24"/>
          <w:szCs w:val="20"/>
        </w:rPr>
        <w:t>类水体</w:t>
      </w:r>
      <w:r>
        <w:rPr>
          <w:color w:val="auto"/>
          <w:kern w:val="0"/>
          <w:sz w:val="24"/>
          <w:szCs w:val="20"/>
        </w:rPr>
        <w:t>。</w:t>
      </w:r>
      <w:r>
        <w:rPr>
          <w:rFonts w:hint="eastAsia"/>
          <w:color w:val="auto"/>
          <w:kern w:val="0"/>
          <w:sz w:val="24"/>
          <w:szCs w:val="20"/>
        </w:rPr>
        <w:t>项目附近地表水体分布示意图详见图4.2-1。</w:t>
      </w:r>
    </w:p>
    <w:p>
      <w:pPr>
        <w:spacing w:line="360" w:lineRule="auto"/>
        <w:rPr>
          <w:rFonts w:eastAsia="黑体"/>
          <w:color w:val="auto"/>
          <w:sz w:val="24"/>
          <w:szCs w:val="20"/>
        </w:rPr>
      </w:pPr>
      <w:r>
        <w:rPr>
          <w:color w:val="auto"/>
        </w:rPr>
        <w:drawing>
          <wp:inline distT="0" distB="0" distL="0" distR="0">
            <wp:extent cx="5256530" cy="4043680"/>
            <wp:effectExtent l="9525" t="9525" r="10795" b="23495"/>
            <wp:docPr id="23" name="图片 3" descr="说明: C:\Users\admin\AppData\Local\Temp\16336740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说明: C:\Users\admin\AppData\Local\Temp\1633674036(1).png"/>
                    <pic:cNvPicPr>
                      <a:picLocks noChangeAspect="1" noChangeArrowheads="1"/>
                    </pic:cNvPicPr>
                  </pic:nvPicPr>
                  <pic:blipFill>
                    <a:blip r:embed="rId67"/>
                    <a:srcRect/>
                    <a:stretch>
                      <a:fillRect/>
                    </a:stretch>
                  </pic:blipFill>
                  <pic:spPr>
                    <a:xfrm>
                      <a:off x="0" y="0"/>
                      <a:ext cx="5256530" cy="4043680"/>
                    </a:xfrm>
                    <a:prstGeom prst="rect">
                      <a:avLst/>
                    </a:prstGeom>
                    <a:noFill/>
                    <a:ln w="9525" cmpd="sng">
                      <a:solidFill>
                        <a:srgbClr val="000000"/>
                      </a:solidFill>
                      <a:miter lim="800000"/>
                      <a:headEnd/>
                      <a:tailEnd/>
                    </a:ln>
                    <a:effectLst/>
                  </pic:spPr>
                </pic:pic>
              </a:graphicData>
            </a:graphic>
          </wp:inline>
        </w:drawing>
      </w:r>
      <w:r>
        <w:rPr>
          <w:color w:val="auto"/>
        </w:rPr>
        <mc:AlternateContent>
          <mc:Choice Requires="wps">
            <w:drawing>
              <wp:anchor distT="0" distB="0" distL="114300" distR="114300" simplePos="0" relativeHeight="251676672" behindDoc="0" locked="0" layoutInCell="1" allowOverlap="1">
                <wp:simplePos x="0" y="0"/>
                <wp:positionH relativeFrom="column">
                  <wp:posOffset>4207510</wp:posOffset>
                </wp:positionH>
                <wp:positionV relativeFrom="paragraph">
                  <wp:posOffset>2725420</wp:posOffset>
                </wp:positionV>
                <wp:extent cx="199390" cy="130810"/>
                <wp:effectExtent l="4445" t="5080" r="5715" b="16510"/>
                <wp:wrapNone/>
                <wp:docPr id="160" name="矩形 9"/>
                <wp:cNvGraphicFramePr/>
                <a:graphic xmlns:a="http://schemas.openxmlformats.org/drawingml/2006/main">
                  <a:graphicData uri="http://schemas.microsoft.com/office/word/2010/wordprocessingShape">
                    <wps:wsp>
                      <wps:cNvSpPr>
                        <a:spLocks noChangeArrowheads="1"/>
                      </wps:cNvSpPr>
                      <wps:spPr bwMode="auto">
                        <a:xfrm>
                          <a:off x="0" y="0"/>
                          <a:ext cx="199390" cy="130810"/>
                        </a:xfrm>
                        <a:prstGeom prst="rect">
                          <a:avLst/>
                        </a:prstGeom>
                        <a:solidFill>
                          <a:srgbClr val="00B0F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id="矩形 9" o:spid="_x0000_s1026" o:spt="1" style="position:absolute;left:0pt;margin-left:331.3pt;margin-top:214.6pt;height:10.3pt;width:15.7pt;z-index:251676672;mso-width-relative:page;mso-height-relative:page;" fillcolor="#00B0F0" filled="t" stroked="t" coordsize="21600,21600" o:gfxdata="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XCL7X1wAAAAsBAAAPAAAAAAAAAAEAIAAAACIAAABkcnMvZG93&#10;bnJldi54bWxQSwECFAAUAAAACACHTuJA+FPiCToCAABwBAAADgAAAAAAAAABACAAAAAmAQAAZHJz&#10;L2Uyb0RvYy54bWxQSwUGAAAAAAYABgBZAQAA0gUAAAAA&#10;">
                <v:fill on="t" focussize="0,0"/>
                <v:stroke color="#000000" miterlimit="8" joinstyle="miter"/>
                <v:imagedata o:title=""/>
                <o:lock v:ext="edit" aspectratio="f"/>
              </v:rect>
            </w:pict>
          </mc:Fallback>
        </mc:AlternateContent>
      </w:r>
    </w:p>
    <w:p>
      <w:pPr>
        <w:adjustRightInd w:val="0"/>
        <w:snapToGrid w:val="0"/>
        <w:jc w:val="center"/>
        <w:rPr>
          <w:rFonts w:eastAsia="黑体"/>
          <w:snapToGrid w:val="0"/>
          <w:color w:val="auto"/>
          <w:kern w:val="21"/>
          <w:sz w:val="24"/>
        </w:rPr>
      </w:pPr>
      <w:r>
        <w:rPr>
          <w:rFonts w:hint="eastAsia" w:eastAsia="黑体"/>
          <w:snapToGrid w:val="0"/>
          <w:color w:val="auto"/>
          <w:kern w:val="21"/>
          <w:sz w:val="24"/>
        </w:rPr>
        <w:t>图4.2-1  项目附近地表水体分布示意图</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为反映本项目纳污水体</w:t>
      </w:r>
      <w:r>
        <w:rPr>
          <w:color w:val="auto"/>
          <w:kern w:val="0"/>
          <w:sz w:val="24"/>
          <w:szCs w:val="20"/>
        </w:rPr>
        <w:t>共产主义渠</w:t>
      </w:r>
      <w:r>
        <w:rPr>
          <w:rFonts w:hint="eastAsia"/>
          <w:color w:val="auto"/>
          <w:kern w:val="0"/>
          <w:sz w:val="24"/>
          <w:szCs w:val="20"/>
        </w:rPr>
        <w:t>的环境质量现状，本次评价引用新乡市环境监测站编制的监测通报中</w:t>
      </w:r>
      <w:r>
        <w:rPr>
          <w:color w:val="auto"/>
          <w:kern w:val="0"/>
          <w:sz w:val="24"/>
          <w:szCs w:val="20"/>
        </w:rPr>
        <w:t>共渠西永康断面</w:t>
      </w:r>
      <w:r>
        <w:rPr>
          <w:rFonts w:hint="eastAsia"/>
          <w:color w:val="auto"/>
          <w:kern w:val="0"/>
          <w:sz w:val="24"/>
          <w:szCs w:val="20"/>
        </w:rPr>
        <w:t>监测数据来进行说明。</w:t>
      </w:r>
    </w:p>
    <w:p>
      <w:pPr>
        <w:pStyle w:val="6"/>
        <w:spacing w:before="0" w:after="0" w:line="360" w:lineRule="auto"/>
        <w:rPr>
          <w:b w:val="0"/>
          <w:color w:val="auto"/>
          <w:sz w:val="24"/>
          <w:szCs w:val="24"/>
        </w:rPr>
      </w:pPr>
      <w:r>
        <w:rPr>
          <w:rFonts w:hint="eastAsia"/>
          <w:b w:val="0"/>
          <w:color w:val="auto"/>
          <w:sz w:val="24"/>
          <w:szCs w:val="24"/>
        </w:rPr>
        <w:t>4.2.3.2共产主义渠</w:t>
      </w:r>
      <w:r>
        <w:rPr>
          <w:b w:val="0"/>
          <w:color w:val="auto"/>
          <w:sz w:val="24"/>
          <w:szCs w:val="24"/>
        </w:rPr>
        <w:t>水质现状</w:t>
      </w:r>
    </w:p>
    <w:p>
      <w:pPr>
        <w:adjustRightInd w:val="0"/>
        <w:snapToGrid w:val="0"/>
        <w:spacing w:before="156" w:beforeLines="50" w:line="360" w:lineRule="auto"/>
        <w:ind w:firstLine="480" w:firstLineChars="200"/>
        <w:textAlignment w:val="baseline"/>
        <w:rPr>
          <w:rFonts w:eastAsia="黑体"/>
          <w:b/>
          <w:bCs w:val="0"/>
          <w:color w:val="auto"/>
          <w:kern w:val="21"/>
          <w:sz w:val="24"/>
          <w:szCs w:val="24"/>
          <w:u w:val="single"/>
        </w:rPr>
      </w:pPr>
      <w:r>
        <w:rPr>
          <w:rFonts w:ascii="宋体" w:hAnsi="宋体"/>
          <w:bCs/>
          <w:color w:val="auto"/>
          <w:kern w:val="0"/>
          <w:sz w:val="24"/>
          <w:szCs w:val="24"/>
        </w:rPr>
        <w:t>为反映本项目纳污水体</w:t>
      </w:r>
      <w:r>
        <w:rPr>
          <w:rFonts w:hint="eastAsia" w:ascii="宋体" w:hAnsi="宋体"/>
          <w:bCs/>
          <w:color w:val="auto"/>
          <w:kern w:val="0"/>
          <w:sz w:val="24"/>
          <w:szCs w:val="24"/>
        </w:rPr>
        <w:t>共产主义渠</w:t>
      </w:r>
      <w:r>
        <w:rPr>
          <w:rFonts w:ascii="宋体" w:hAnsi="宋体"/>
          <w:bCs/>
          <w:color w:val="auto"/>
          <w:kern w:val="0"/>
          <w:sz w:val="24"/>
          <w:szCs w:val="24"/>
        </w:rPr>
        <w:t>的环境质量现状，</w:t>
      </w:r>
      <w:r>
        <w:rPr>
          <w:rFonts w:ascii="宋体" w:hAnsi="宋体"/>
          <w:b/>
          <w:bCs w:val="0"/>
          <w:color w:val="auto"/>
          <w:kern w:val="0"/>
          <w:sz w:val="24"/>
          <w:szCs w:val="24"/>
          <w:u w:val="single"/>
        </w:rPr>
        <w:t>本次评价引用</w:t>
      </w:r>
      <w:r>
        <w:rPr>
          <w:rFonts w:ascii="宋体" w:hAnsi="宋体" w:eastAsia="宋体" w:cs="宋体"/>
          <w:b/>
          <w:bCs/>
          <w:sz w:val="24"/>
          <w:szCs w:val="24"/>
          <w:u w:val="single"/>
        </w:rPr>
        <w:t>本评价引用新乡市环境监测站对共产主义渠西永康断面2022年1-12月的平均监测数据</w:t>
      </w:r>
      <w:r>
        <w:rPr>
          <w:rFonts w:hint="eastAsia" w:ascii="宋体" w:hAnsi="宋体" w:eastAsia="宋体" w:cs="宋体"/>
          <w:b/>
          <w:bCs/>
          <w:sz w:val="24"/>
          <w:szCs w:val="24"/>
          <w:u w:val="single"/>
          <w:lang w:eastAsia="zh-CN"/>
        </w:rPr>
        <w:t>。</w:t>
      </w:r>
      <w:r>
        <w:rPr>
          <w:rFonts w:ascii="宋体" w:hAnsi="宋体"/>
          <w:b/>
          <w:bCs w:val="0"/>
          <w:color w:val="auto"/>
          <w:kern w:val="0"/>
          <w:sz w:val="24"/>
          <w:szCs w:val="24"/>
          <w:u w:val="single"/>
        </w:rPr>
        <w:t>详见</w:t>
      </w:r>
      <w:r>
        <w:rPr>
          <w:rFonts w:hint="eastAsia" w:ascii="宋体" w:hAnsi="宋体"/>
          <w:b/>
          <w:bCs w:val="0"/>
          <w:color w:val="auto"/>
          <w:kern w:val="0"/>
          <w:sz w:val="24"/>
          <w:szCs w:val="24"/>
          <w:u w:val="single"/>
        </w:rPr>
        <w:t>下表</w:t>
      </w:r>
      <w:r>
        <w:rPr>
          <w:rFonts w:hint="eastAsia"/>
          <w:b/>
          <w:bCs w:val="0"/>
          <w:color w:val="auto"/>
          <w:kern w:val="0"/>
          <w:sz w:val="24"/>
          <w:szCs w:val="24"/>
          <w:u w:val="single"/>
        </w:rPr>
        <w:t>4.2-7</w:t>
      </w:r>
      <w:r>
        <w:rPr>
          <w:rFonts w:ascii="宋体" w:hAnsi="宋体"/>
          <w:b/>
          <w:bCs w:val="0"/>
          <w:color w:val="auto"/>
          <w:kern w:val="0"/>
          <w:sz w:val="24"/>
          <w:szCs w:val="24"/>
          <w:u w:val="single"/>
        </w:rPr>
        <w:t>：</w:t>
      </w:r>
    </w:p>
    <w:p>
      <w:pPr>
        <w:adjustRightInd w:val="0"/>
        <w:snapToGrid w:val="0"/>
        <w:jc w:val="center"/>
        <w:rPr>
          <w:rFonts w:eastAsia="黑体"/>
          <w:b/>
          <w:bCs w:val="0"/>
          <w:color w:val="auto"/>
          <w:kern w:val="21"/>
          <w:sz w:val="24"/>
          <w:szCs w:val="24"/>
          <w:u w:val="single"/>
        </w:rPr>
      </w:pPr>
      <w:r>
        <w:rPr>
          <w:rFonts w:ascii="黑体" w:hAnsi="黑体" w:eastAsia="黑体"/>
          <w:b/>
          <w:bCs w:val="0"/>
          <w:color w:val="auto"/>
          <w:kern w:val="21"/>
          <w:sz w:val="24"/>
          <w:szCs w:val="24"/>
          <w:u w:val="single"/>
        </w:rPr>
        <w:t>表</w:t>
      </w:r>
      <w:r>
        <w:rPr>
          <w:rFonts w:eastAsia="黑体"/>
          <w:b/>
          <w:bCs w:val="0"/>
          <w:color w:val="auto"/>
          <w:kern w:val="21"/>
          <w:sz w:val="24"/>
          <w:szCs w:val="24"/>
          <w:u w:val="single"/>
        </w:rPr>
        <w:t xml:space="preserve">4.2-7   </w:t>
      </w:r>
      <w:r>
        <w:rPr>
          <w:rFonts w:ascii="黑体" w:hAnsi="黑体" w:eastAsia="黑体"/>
          <w:b/>
          <w:bCs w:val="0"/>
          <w:color w:val="auto"/>
          <w:kern w:val="21"/>
          <w:sz w:val="24"/>
          <w:szCs w:val="24"/>
          <w:u w:val="single"/>
        </w:rPr>
        <w:t>共产主义渠</w:t>
      </w:r>
      <w:r>
        <w:rPr>
          <w:rFonts w:hint="eastAsia" w:ascii="黑体" w:hAnsi="黑体" w:eastAsia="黑体"/>
          <w:b/>
          <w:bCs w:val="0"/>
          <w:color w:val="auto"/>
          <w:kern w:val="21"/>
          <w:sz w:val="24"/>
          <w:szCs w:val="24"/>
          <w:u w:val="single"/>
          <w:lang w:val="en-US" w:eastAsia="zh-CN"/>
        </w:rPr>
        <w:t>西永康断面2022年平均监测数据</w:t>
      </w:r>
      <w:r>
        <w:rPr>
          <w:rFonts w:ascii="黑体" w:hAnsi="黑体" w:eastAsia="黑体"/>
          <w:b/>
          <w:bCs w:val="0"/>
          <w:color w:val="auto"/>
          <w:kern w:val="21"/>
          <w:sz w:val="24"/>
          <w:szCs w:val="24"/>
          <w:u w:val="single"/>
        </w:rPr>
        <w:t>一览表 单位：</w:t>
      </w:r>
      <w:r>
        <w:rPr>
          <w:rFonts w:eastAsia="黑体"/>
          <w:b/>
          <w:bCs w:val="0"/>
          <w:color w:val="auto"/>
          <w:kern w:val="21"/>
          <w:sz w:val="24"/>
          <w:szCs w:val="24"/>
          <w:u w:val="single"/>
        </w:rPr>
        <w:t>mg/L</w:t>
      </w:r>
    </w:p>
    <w:p>
      <w:pPr>
        <w:pStyle w:val="2"/>
        <w:ind w:left="0" w:leftChars="0" w:firstLine="0" w:firstLineChars="0"/>
      </w:pPr>
    </w:p>
    <w:tbl>
      <w:tblPr>
        <w:tblStyle w:val="83"/>
        <w:tblW w:w="4998"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714"/>
        <w:gridCol w:w="2420"/>
        <w:gridCol w:w="1463"/>
        <w:gridCol w:w="1460"/>
        <w:gridCol w:w="146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005" w:type="pct"/>
            <w:vMerge w:val="restart"/>
            <w:tcBorders>
              <w:top w:val="single" w:color="auto" w:sz="8" w:space="0"/>
              <w:left w:val="single" w:color="auto" w:sz="8" w:space="0"/>
              <w:bottom w:val="single" w:color="auto" w:sz="6" w:space="0"/>
              <w:right w:val="single" w:color="auto" w:sz="6" w:space="0"/>
            </w:tcBorders>
            <w:vAlign w:val="center"/>
          </w:tcPr>
          <w:p>
            <w:pPr>
              <w:jc w:val="center"/>
              <w:rPr>
                <w:rFonts w:cs="宋体"/>
                <w:b/>
                <w:bCs/>
                <w:color w:val="auto"/>
                <w:u w:val="single"/>
              </w:rPr>
            </w:pPr>
            <w:r>
              <w:rPr>
                <w:rFonts w:hint="eastAsia" w:ascii="宋体" w:hAnsi="宋体"/>
                <w:b/>
                <w:bCs/>
                <w:color w:val="auto"/>
                <w:u w:val="single"/>
              </w:rPr>
              <w:t>监测项目</w:t>
            </w:r>
          </w:p>
        </w:tc>
        <w:tc>
          <w:tcPr>
            <w:tcW w:w="1419" w:type="pct"/>
            <w:vMerge w:val="restart"/>
            <w:tcBorders>
              <w:top w:val="single" w:color="auto" w:sz="8" w:space="0"/>
              <w:left w:val="single" w:color="auto" w:sz="6" w:space="0"/>
              <w:bottom w:val="single" w:color="auto" w:sz="6" w:space="0"/>
              <w:right w:val="single" w:color="auto" w:sz="6" w:space="0"/>
            </w:tcBorders>
            <w:vAlign w:val="center"/>
          </w:tcPr>
          <w:p>
            <w:pPr>
              <w:jc w:val="center"/>
              <w:rPr>
                <w:rFonts w:cs="宋体"/>
                <w:b/>
                <w:bCs/>
                <w:color w:val="auto"/>
                <w:u w:val="single"/>
              </w:rPr>
            </w:pPr>
            <w:r>
              <w:rPr>
                <w:rFonts w:hint="eastAsia" w:ascii="宋体" w:hAnsi="宋体"/>
                <w:b/>
                <w:bCs/>
                <w:color w:val="auto"/>
                <w:u w:val="single"/>
              </w:rPr>
              <w:t>监测时间</w:t>
            </w:r>
          </w:p>
        </w:tc>
        <w:tc>
          <w:tcPr>
            <w:tcW w:w="2575" w:type="pct"/>
            <w:gridSpan w:val="3"/>
            <w:tcBorders>
              <w:top w:val="single" w:color="auto" w:sz="8" w:space="0"/>
              <w:left w:val="single" w:color="auto" w:sz="6" w:space="0"/>
              <w:bottom w:val="single" w:color="auto" w:sz="6" w:space="0"/>
              <w:right w:val="single" w:color="auto" w:sz="6" w:space="0"/>
            </w:tcBorders>
            <w:vAlign w:val="center"/>
          </w:tcPr>
          <w:p>
            <w:pPr>
              <w:jc w:val="center"/>
              <w:rPr>
                <w:rFonts w:cs="宋体"/>
                <w:b/>
                <w:bCs/>
                <w:color w:val="auto"/>
                <w:u w:val="single"/>
              </w:rPr>
            </w:pPr>
            <w:r>
              <w:rPr>
                <w:rFonts w:hint="eastAsia" w:ascii="宋体" w:hAnsi="宋体"/>
                <w:b/>
                <w:bCs/>
                <w:color w:val="auto"/>
                <w:u w:val="single"/>
              </w:rPr>
              <w:t>监测结果（</w:t>
            </w:r>
            <w:r>
              <w:rPr>
                <w:rFonts w:hint="eastAsia"/>
                <w:b/>
                <w:bCs/>
                <w:color w:val="auto"/>
                <w:u w:val="single"/>
              </w:rPr>
              <w:t>mg/L</w:t>
            </w:r>
            <w:r>
              <w:rPr>
                <w:rFonts w:hint="eastAsia" w:ascii="宋体" w:hAnsi="宋体"/>
                <w:b/>
                <w:bCs/>
                <w:color w:val="auto"/>
                <w:u w:val="singl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005" w:type="pct"/>
            <w:vMerge w:val="continue"/>
            <w:tcBorders>
              <w:top w:val="single" w:color="auto" w:sz="8" w:space="0"/>
              <w:left w:val="single" w:color="auto" w:sz="8" w:space="0"/>
              <w:bottom w:val="single" w:color="auto" w:sz="6" w:space="0"/>
              <w:right w:val="single" w:color="auto" w:sz="6" w:space="0"/>
            </w:tcBorders>
            <w:vAlign w:val="center"/>
          </w:tcPr>
          <w:p>
            <w:pPr>
              <w:rPr>
                <w:rFonts w:cs="宋体"/>
                <w:b/>
                <w:bCs/>
                <w:color w:val="auto"/>
                <w:u w:val="single"/>
              </w:rPr>
            </w:pPr>
          </w:p>
        </w:tc>
        <w:tc>
          <w:tcPr>
            <w:tcW w:w="1419" w:type="pct"/>
            <w:vMerge w:val="continue"/>
            <w:tcBorders>
              <w:top w:val="single" w:color="auto" w:sz="8" w:space="0"/>
              <w:left w:val="single" w:color="auto" w:sz="6" w:space="0"/>
              <w:bottom w:val="single" w:color="auto" w:sz="6" w:space="0"/>
              <w:right w:val="single" w:color="auto" w:sz="6" w:space="0"/>
            </w:tcBorders>
            <w:vAlign w:val="center"/>
          </w:tcPr>
          <w:p>
            <w:pPr>
              <w:rPr>
                <w:rFonts w:cs="宋体"/>
                <w:b/>
                <w:bCs/>
                <w:color w:val="auto"/>
                <w:u w:val="single"/>
              </w:rPr>
            </w:pPr>
          </w:p>
        </w:tc>
        <w:tc>
          <w:tcPr>
            <w:tcW w:w="858" w:type="pct"/>
            <w:tcBorders>
              <w:top w:val="single" w:color="auto" w:sz="6" w:space="0"/>
              <w:left w:val="single" w:color="auto" w:sz="6" w:space="0"/>
              <w:bottom w:val="single" w:color="auto" w:sz="6" w:space="0"/>
              <w:right w:val="single" w:color="auto" w:sz="6" w:space="0"/>
            </w:tcBorders>
            <w:vAlign w:val="center"/>
          </w:tcPr>
          <w:p>
            <w:pPr>
              <w:jc w:val="center"/>
              <w:rPr>
                <w:rFonts w:cs="宋体"/>
                <w:b/>
                <w:bCs/>
                <w:color w:val="auto"/>
                <w:u w:val="single"/>
              </w:rPr>
            </w:pPr>
            <w:r>
              <w:rPr>
                <w:rFonts w:hint="eastAsia"/>
                <w:b/>
                <w:bCs/>
                <w:color w:val="auto"/>
                <w:u w:val="single"/>
              </w:rPr>
              <w:t>COD</w:t>
            </w:r>
          </w:p>
        </w:tc>
        <w:tc>
          <w:tcPr>
            <w:tcW w:w="856" w:type="pct"/>
            <w:tcBorders>
              <w:top w:val="single" w:color="auto" w:sz="6" w:space="0"/>
              <w:left w:val="single" w:color="auto" w:sz="6" w:space="0"/>
              <w:bottom w:val="single" w:color="auto" w:sz="6" w:space="0"/>
              <w:right w:val="single" w:color="auto" w:sz="6" w:space="0"/>
            </w:tcBorders>
            <w:vAlign w:val="center"/>
          </w:tcPr>
          <w:p>
            <w:pPr>
              <w:jc w:val="center"/>
              <w:rPr>
                <w:rFonts w:cs="宋体"/>
                <w:b/>
                <w:bCs/>
                <w:color w:val="auto"/>
                <w:u w:val="single"/>
              </w:rPr>
            </w:pPr>
            <w:r>
              <w:rPr>
                <w:rFonts w:hint="eastAsia" w:ascii="宋体" w:hAnsi="宋体"/>
                <w:b/>
                <w:bCs/>
                <w:color w:val="auto"/>
                <w:u w:val="single"/>
              </w:rPr>
              <w:t>氨氮</w:t>
            </w:r>
          </w:p>
        </w:tc>
        <w:tc>
          <w:tcPr>
            <w:tcW w:w="860" w:type="pct"/>
            <w:tcBorders>
              <w:top w:val="single" w:color="auto" w:sz="6" w:space="0"/>
              <w:left w:val="single" w:color="auto" w:sz="6" w:space="0"/>
              <w:bottom w:val="single" w:color="auto" w:sz="6" w:space="0"/>
              <w:right w:val="single" w:color="auto" w:sz="6" w:space="0"/>
            </w:tcBorders>
            <w:vAlign w:val="center"/>
          </w:tcPr>
          <w:p>
            <w:pPr>
              <w:jc w:val="center"/>
              <w:rPr>
                <w:rFonts w:cs="宋体"/>
                <w:b/>
                <w:bCs/>
                <w:color w:val="auto"/>
                <w:u w:val="single"/>
              </w:rPr>
            </w:pPr>
            <w:r>
              <w:rPr>
                <w:rFonts w:hint="eastAsia" w:ascii="宋体" w:hAnsi="宋体"/>
                <w:b/>
                <w:bCs/>
                <w:color w:val="auto"/>
                <w:u w:val="single"/>
              </w:rPr>
              <w:t>总磷</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1005" w:type="pct"/>
            <w:tcBorders>
              <w:top w:val="single" w:color="auto" w:sz="6" w:space="0"/>
              <w:left w:val="single" w:color="auto" w:sz="8" w:space="0"/>
              <w:bottom w:val="single" w:color="auto" w:sz="6" w:space="0"/>
              <w:right w:val="single" w:color="auto" w:sz="6" w:space="0"/>
            </w:tcBorders>
            <w:vAlign w:val="center"/>
          </w:tcPr>
          <w:p>
            <w:pPr>
              <w:contextualSpacing/>
              <w:jc w:val="center"/>
              <w:textAlignment w:val="baseline"/>
              <w:rPr>
                <w:b/>
                <w:bCs/>
                <w:color w:val="auto"/>
                <w:kern w:val="0"/>
                <w:u w:val="single"/>
              </w:rPr>
            </w:pPr>
            <w:r>
              <w:rPr>
                <w:rFonts w:hint="eastAsia" w:ascii="宋体" w:hAnsi="宋体"/>
                <w:b/>
                <w:bCs/>
                <w:color w:val="auto"/>
                <w:kern w:val="0"/>
                <w:u w:val="single"/>
              </w:rPr>
              <w:t>西永康断面</w:t>
            </w:r>
          </w:p>
        </w:tc>
        <w:tc>
          <w:tcPr>
            <w:tcW w:w="1419" w:type="pct"/>
            <w:tcBorders>
              <w:top w:val="single" w:color="auto" w:sz="6" w:space="0"/>
              <w:left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2022年1-12月</w:t>
            </w:r>
          </w:p>
        </w:tc>
        <w:tc>
          <w:tcPr>
            <w:tcW w:w="858"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23.6</w:t>
            </w:r>
          </w:p>
        </w:tc>
        <w:tc>
          <w:tcPr>
            <w:tcW w:w="856"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1.5</w:t>
            </w:r>
          </w:p>
        </w:tc>
        <w:tc>
          <w:tcPr>
            <w:tcW w:w="860"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0.2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24" w:type="pct"/>
            <w:gridSpan w:val="2"/>
            <w:tcBorders>
              <w:top w:val="single" w:color="auto" w:sz="6" w:space="0"/>
              <w:left w:val="single" w:color="auto" w:sz="8" w:space="0"/>
              <w:bottom w:val="single" w:color="auto" w:sz="6" w:space="0"/>
              <w:right w:val="single" w:color="auto" w:sz="6" w:space="0"/>
            </w:tcBorders>
            <w:vAlign w:val="center"/>
          </w:tcPr>
          <w:p>
            <w:pPr>
              <w:contextualSpacing/>
              <w:jc w:val="center"/>
              <w:textAlignment w:val="baseline"/>
              <w:rPr>
                <w:b/>
                <w:bCs/>
                <w:color w:val="auto"/>
                <w:kern w:val="0"/>
                <w:u w:val="single"/>
              </w:rPr>
            </w:pPr>
            <w:r>
              <w:rPr>
                <w:rFonts w:hint="eastAsia" w:ascii="宋体" w:hAnsi="宋体"/>
                <w:b/>
                <w:bCs/>
                <w:color w:val="auto"/>
                <w:kern w:val="0"/>
                <w:u w:val="single"/>
              </w:rPr>
              <w:t>《地表水环境质量标准》（</w:t>
            </w:r>
            <w:r>
              <w:rPr>
                <w:b/>
                <w:bCs/>
                <w:color w:val="auto"/>
                <w:kern w:val="0"/>
                <w:u w:val="single"/>
              </w:rPr>
              <w:t>GB3838-2002</w:t>
            </w:r>
            <w:r>
              <w:rPr>
                <w:rFonts w:hint="eastAsia" w:ascii="宋体" w:hAnsi="宋体"/>
                <w:b/>
                <w:bCs/>
                <w:color w:val="auto"/>
                <w:kern w:val="0"/>
                <w:u w:val="single"/>
              </w:rPr>
              <w:t>）</w:t>
            </w:r>
            <w:r>
              <w:rPr>
                <w:rFonts w:hint="eastAsia"/>
                <w:b/>
                <w:bCs/>
                <w:color w:val="auto"/>
                <w:kern w:val="0"/>
                <w:u w:val="single"/>
              </w:rPr>
              <w:t>V</w:t>
            </w:r>
            <w:r>
              <w:rPr>
                <w:rFonts w:hint="eastAsia" w:ascii="宋体" w:hAnsi="宋体"/>
                <w:b/>
                <w:bCs/>
                <w:color w:val="auto"/>
                <w:kern w:val="0"/>
                <w:u w:val="single"/>
              </w:rPr>
              <w:t>类</w:t>
            </w:r>
          </w:p>
        </w:tc>
        <w:tc>
          <w:tcPr>
            <w:tcW w:w="858"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b/>
                <w:bCs/>
                <w:color w:val="auto"/>
                <w:kern w:val="0"/>
                <w:u w:val="single"/>
              </w:rPr>
            </w:pPr>
            <w:r>
              <w:rPr>
                <w:rFonts w:hint="eastAsia" w:ascii="宋体" w:hAnsi="宋体"/>
                <w:b/>
                <w:bCs/>
                <w:color w:val="auto"/>
                <w:kern w:val="0"/>
                <w:u w:val="single"/>
              </w:rPr>
              <w:t>≤</w:t>
            </w:r>
            <w:r>
              <w:rPr>
                <w:rFonts w:hint="eastAsia"/>
                <w:b/>
                <w:bCs/>
                <w:color w:val="auto"/>
                <w:kern w:val="0"/>
                <w:u w:val="single"/>
              </w:rPr>
              <w:t>30</w:t>
            </w:r>
          </w:p>
        </w:tc>
        <w:tc>
          <w:tcPr>
            <w:tcW w:w="856"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b/>
                <w:bCs/>
                <w:color w:val="auto"/>
                <w:kern w:val="0"/>
                <w:u w:val="single"/>
              </w:rPr>
            </w:pPr>
            <w:r>
              <w:rPr>
                <w:rFonts w:hint="eastAsia" w:ascii="宋体" w:hAnsi="宋体"/>
                <w:b/>
                <w:bCs/>
                <w:color w:val="auto"/>
                <w:kern w:val="0"/>
                <w:u w:val="single"/>
              </w:rPr>
              <w:t>≤</w:t>
            </w:r>
            <w:r>
              <w:rPr>
                <w:rFonts w:hint="eastAsia"/>
                <w:b/>
                <w:bCs/>
                <w:color w:val="auto"/>
                <w:kern w:val="0"/>
                <w:u w:val="single"/>
              </w:rPr>
              <w:t>1.5</w:t>
            </w:r>
          </w:p>
        </w:tc>
        <w:tc>
          <w:tcPr>
            <w:tcW w:w="860"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b/>
                <w:bCs/>
                <w:color w:val="auto"/>
                <w:kern w:val="0"/>
                <w:u w:val="single"/>
              </w:rPr>
            </w:pPr>
            <w:r>
              <w:rPr>
                <w:rFonts w:hint="eastAsia" w:ascii="宋体" w:hAnsi="宋体"/>
                <w:b/>
                <w:bCs/>
                <w:color w:val="auto"/>
                <w:kern w:val="0"/>
                <w:u w:val="single"/>
              </w:rPr>
              <w:t>≤</w:t>
            </w:r>
            <w:r>
              <w:rPr>
                <w:rFonts w:hint="eastAsia"/>
                <w:b/>
                <w:bCs/>
                <w:color w:val="auto"/>
                <w:kern w:val="0"/>
                <w:u w:val="single"/>
              </w:rPr>
              <w:t>0.3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24" w:type="pct"/>
            <w:gridSpan w:val="2"/>
            <w:tcBorders>
              <w:top w:val="single" w:color="auto" w:sz="6" w:space="0"/>
              <w:left w:val="single" w:color="auto" w:sz="8"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ascii="宋体" w:hAnsi="宋体"/>
                <w:b/>
                <w:bCs/>
                <w:color w:val="auto"/>
                <w:kern w:val="0"/>
                <w:u w:val="single"/>
                <w:lang w:val="en-US" w:eastAsia="zh-CN"/>
              </w:rPr>
              <w:t>污染指数</w:t>
            </w:r>
          </w:p>
        </w:tc>
        <w:tc>
          <w:tcPr>
            <w:tcW w:w="858"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0.79</w:t>
            </w:r>
          </w:p>
        </w:tc>
        <w:tc>
          <w:tcPr>
            <w:tcW w:w="856"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1.0</w:t>
            </w:r>
          </w:p>
        </w:tc>
        <w:tc>
          <w:tcPr>
            <w:tcW w:w="860"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0.67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24" w:type="pct"/>
            <w:gridSpan w:val="2"/>
            <w:tcBorders>
              <w:top w:val="single" w:color="auto" w:sz="6" w:space="0"/>
              <w:left w:val="single" w:color="auto" w:sz="8" w:space="0"/>
              <w:bottom w:val="single" w:color="auto" w:sz="6" w:space="0"/>
              <w:right w:val="single" w:color="auto" w:sz="6" w:space="0"/>
            </w:tcBorders>
            <w:vAlign w:val="center"/>
          </w:tcPr>
          <w:p>
            <w:pPr>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超标倍数</w:t>
            </w:r>
          </w:p>
        </w:tc>
        <w:tc>
          <w:tcPr>
            <w:tcW w:w="858"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0</w:t>
            </w:r>
          </w:p>
        </w:tc>
        <w:tc>
          <w:tcPr>
            <w:tcW w:w="856"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0</w:t>
            </w:r>
          </w:p>
        </w:tc>
        <w:tc>
          <w:tcPr>
            <w:tcW w:w="860" w:type="pct"/>
            <w:tcBorders>
              <w:top w:val="single" w:color="auto" w:sz="6" w:space="0"/>
              <w:left w:val="single" w:color="auto" w:sz="6" w:space="0"/>
              <w:bottom w:val="single" w:color="auto" w:sz="6" w:space="0"/>
              <w:right w:val="single" w:color="auto" w:sz="6" w:space="0"/>
            </w:tcBorders>
            <w:vAlign w:val="center"/>
          </w:tcPr>
          <w:p>
            <w:pPr>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2424" w:type="pct"/>
            <w:gridSpan w:val="2"/>
            <w:tcBorders>
              <w:top w:val="single" w:color="auto" w:sz="6" w:space="0"/>
              <w:left w:val="single" w:color="auto" w:sz="8" w:space="0"/>
              <w:bottom w:val="single" w:color="auto" w:sz="8" w:space="0"/>
              <w:right w:val="single" w:color="auto" w:sz="6" w:space="0"/>
            </w:tcBorders>
            <w:vAlign w:val="center"/>
          </w:tcPr>
          <w:p>
            <w:pPr>
              <w:contextualSpacing/>
              <w:jc w:val="center"/>
              <w:textAlignment w:val="baseline"/>
              <w:rPr>
                <w:rFonts w:hint="default"/>
                <w:b/>
                <w:bCs/>
                <w:color w:val="auto"/>
                <w:kern w:val="0"/>
                <w:u w:val="single"/>
                <w:lang w:val="en-US" w:eastAsia="zh-CN"/>
              </w:rPr>
            </w:pPr>
            <w:r>
              <w:rPr>
                <w:rFonts w:hint="eastAsia"/>
                <w:b/>
                <w:bCs/>
                <w:color w:val="auto"/>
                <w:kern w:val="0"/>
                <w:u w:val="single"/>
                <w:lang w:val="en-US" w:eastAsia="zh-CN"/>
              </w:rPr>
              <w:t>达标分析</w:t>
            </w:r>
          </w:p>
        </w:tc>
        <w:tc>
          <w:tcPr>
            <w:tcW w:w="858" w:type="pct"/>
            <w:tcBorders>
              <w:top w:val="single" w:color="auto" w:sz="6" w:space="0"/>
              <w:left w:val="single" w:color="auto" w:sz="6" w:space="0"/>
              <w:bottom w:val="single" w:color="auto" w:sz="8" w:space="0"/>
              <w:right w:val="single" w:color="auto" w:sz="6" w:space="0"/>
            </w:tcBorders>
            <w:vAlign w:val="center"/>
          </w:tcPr>
          <w:p>
            <w:pPr>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达标</w:t>
            </w:r>
          </w:p>
        </w:tc>
        <w:tc>
          <w:tcPr>
            <w:tcW w:w="856" w:type="pct"/>
            <w:tcBorders>
              <w:top w:val="single" w:color="auto" w:sz="6" w:space="0"/>
              <w:left w:val="single" w:color="auto" w:sz="6" w:space="0"/>
              <w:bottom w:val="single" w:color="auto" w:sz="8" w:space="0"/>
              <w:right w:val="single" w:color="auto" w:sz="6" w:space="0"/>
            </w:tcBorders>
            <w:vAlign w:val="center"/>
          </w:tcPr>
          <w:p>
            <w:pPr>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达标</w:t>
            </w:r>
          </w:p>
        </w:tc>
        <w:tc>
          <w:tcPr>
            <w:tcW w:w="860" w:type="pct"/>
            <w:tcBorders>
              <w:top w:val="single" w:color="auto" w:sz="6" w:space="0"/>
              <w:left w:val="single" w:color="auto" w:sz="6" w:space="0"/>
              <w:bottom w:val="single" w:color="auto" w:sz="8" w:space="0"/>
              <w:right w:val="single" w:color="auto" w:sz="6" w:space="0"/>
            </w:tcBorders>
            <w:vAlign w:val="center"/>
          </w:tcPr>
          <w:p>
            <w:pPr>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达标</w:t>
            </w:r>
          </w:p>
        </w:tc>
      </w:tr>
    </w:tbl>
    <w:p>
      <w:pPr>
        <w:adjustRightInd w:val="0"/>
        <w:snapToGrid w:val="0"/>
        <w:spacing w:before="156" w:beforeLines="50" w:line="360" w:lineRule="auto"/>
        <w:ind w:firstLine="480" w:firstLineChars="200"/>
        <w:textAlignment w:val="baseline"/>
        <w:rPr>
          <w:rFonts w:hint="default" w:ascii="Times New Roman" w:hAnsi="Times New Roman" w:cs="Times New Roman"/>
          <w:b/>
          <w:bCs w:val="0"/>
          <w:u w:val="single"/>
        </w:rPr>
      </w:pPr>
      <w:r>
        <w:rPr>
          <w:rFonts w:hint="default" w:ascii="Times New Roman" w:hAnsi="Times New Roman" w:cs="Times New Roman"/>
          <w:b/>
          <w:bCs w:val="0"/>
          <w:color w:val="auto"/>
          <w:kern w:val="0"/>
          <w:sz w:val="24"/>
          <w:szCs w:val="24"/>
          <w:u w:val="single"/>
        </w:rPr>
        <w:t>由上表可知，共渠西永康断面</w:t>
      </w:r>
      <w:r>
        <w:rPr>
          <w:rFonts w:hint="default" w:ascii="Times New Roman" w:hAnsi="Times New Roman" w:cs="Times New Roman"/>
          <w:b/>
          <w:bCs w:val="0"/>
          <w:color w:val="auto"/>
          <w:kern w:val="0"/>
          <w:sz w:val="24"/>
          <w:szCs w:val="24"/>
          <w:u w:val="single"/>
          <w:lang w:val="en-US" w:eastAsia="zh-CN"/>
        </w:rPr>
        <w:t>2022年1-12月水质监测平均数据</w:t>
      </w:r>
      <w:r>
        <w:rPr>
          <w:rFonts w:hint="default" w:ascii="Times New Roman" w:hAnsi="Times New Roman" w:cs="Times New Roman"/>
          <w:b/>
          <w:bCs w:val="0"/>
          <w:color w:val="auto"/>
          <w:kern w:val="0"/>
          <w:sz w:val="24"/>
          <w:szCs w:val="24"/>
          <w:u w:val="single"/>
        </w:rPr>
        <w:t>COD</w:t>
      </w:r>
      <w:r>
        <w:rPr>
          <w:rFonts w:hint="default" w:ascii="Times New Roman" w:hAnsi="Times New Roman" w:cs="Times New Roman"/>
          <w:b/>
          <w:bCs w:val="0"/>
          <w:color w:val="auto"/>
          <w:kern w:val="0"/>
          <w:sz w:val="24"/>
          <w:szCs w:val="24"/>
          <w:u w:val="single"/>
          <w:lang w:eastAsia="zh-CN"/>
        </w:rPr>
        <w:t>、</w:t>
      </w:r>
      <w:r>
        <w:rPr>
          <w:rFonts w:hint="default" w:ascii="Times New Roman" w:hAnsi="Times New Roman" w:cs="Times New Roman"/>
          <w:b/>
          <w:bCs w:val="0"/>
          <w:color w:val="auto"/>
          <w:kern w:val="0"/>
          <w:sz w:val="24"/>
          <w:szCs w:val="24"/>
          <w:u w:val="single"/>
        </w:rPr>
        <w:t>氨氮</w:t>
      </w:r>
      <w:r>
        <w:rPr>
          <w:rFonts w:hint="default" w:ascii="Times New Roman" w:hAnsi="Times New Roman" w:cs="Times New Roman"/>
          <w:b/>
          <w:bCs w:val="0"/>
          <w:color w:val="auto"/>
          <w:kern w:val="0"/>
          <w:sz w:val="24"/>
          <w:szCs w:val="24"/>
          <w:u w:val="single"/>
          <w:lang w:eastAsia="zh-CN"/>
        </w:rPr>
        <w:t>、</w:t>
      </w:r>
      <w:r>
        <w:rPr>
          <w:rFonts w:hint="default" w:ascii="Times New Roman" w:hAnsi="Times New Roman" w:cs="Times New Roman"/>
          <w:b/>
          <w:bCs w:val="0"/>
          <w:color w:val="auto"/>
          <w:kern w:val="0"/>
          <w:sz w:val="24"/>
          <w:szCs w:val="24"/>
          <w:u w:val="single"/>
        </w:rPr>
        <w:t>TP</w:t>
      </w:r>
      <w:r>
        <w:rPr>
          <w:rFonts w:hint="default" w:ascii="Times New Roman" w:hAnsi="Times New Roman" w:cs="Times New Roman"/>
          <w:b/>
          <w:bCs w:val="0"/>
          <w:color w:val="auto"/>
          <w:kern w:val="0"/>
          <w:sz w:val="24"/>
          <w:szCs w:val="24"/>
          <w:u w:val="single"/>
          <w:lang w:eastAsia="zh-CN"/>
        </w:rPr>
        <w:t>，</w:t>
      </w:r>
      <w:r>
        <w:rPr>
          <w:rFonts w:hint="default" w:ascii="Times New Roman" w:hAnsi="Times New Roman" w:cs="Times New Roman"/>
          <w:b/>
          <w:bCs w:val="0"/>
          <w:color w:val="auto"/>
          <w:kern w:val="0"/>
          <w:sz w:val="24"/>
          <w:szCs w:val="24"/>
          <w:u w:val="single"/>
        </w:rPr>
        <w:t>三个污染因子</w:t>
      </w:r>
      <w:r>
        <w:rPr>
          <w:rFonts w:hint="default" w:ascii="Times New Roman" w:hAnsi="Times New Roman" w:cs="Times New Roman"/>
          <w:b/>
          <w:bCs w:val="0"/>
          <w:color w:val="auto"/>
          <w:kern w:val="0"/>
          <w:sz w:val="24"/>
          <w:szCs w:val="24"/>
          <w:u w:val="single"/>
          <w:lang w:val="en-US" w:eastAsia="zh-CN"/>
        </w:rPr>
        <w:t>浓度</w:t>
      </w:r>
      <w:r>
        <w:rPr>
          <w:rFonts w:hint="default" w:ascii="Times New Roman" w:hAnsi="Times New Roman" w:eastAsia="宋体" w:cs="Times New Roman"/>
          <w:b/>
          <w:bCs w:val="0"/>
          <w:sz w:val="24"/>
          <w:szCs w:val="24"/>
          <w:u w:val="single"/>
        </w:rPr>
        <w:t>均能够满足《地表水环境质量标准》（GB3838-2002）IV类标准限值。</w:t>
      </w:r>
      <w:r>
        <w:rPr>
          <w:rFonts w:hint="default" w:ascii="Times New Roman" w:hAnsi="Times New Roman" w:eastAsia="宋体" w:cs="Times New Roman"/>
          <w:b/>
          <w:bCs w:val="0"/>
          <w:sz w:val="24"/>
          <w:szCs w:val="24"/>
          <w:u w:val="single"/>
          <w:lang w:val="en-US" w:eastAsia="zh-CN"/>
        </w:rPr>
        <w:t>同时</w:t>
      </w:r>
      <w:r>
        <w:rPr>
          <w:rFonts w:hint="default" w:ascii="Times New Roman" w:hAnsi="Times New Roman" w:eastAsia="宋体" w:cs="Times New Roman"/>
          <w:b/>
          <w:bCs w:val="0"/>
          <w:sz w:val="24"/>
          <w:szCs w:val="24"/>
          <w:u w:val="single"/>
        </w:rPr>
        <w:t>新乡市</w:t>
      </w:r>
      <w:r>
        <w:rPr>
          <w:rFonts w:hint="default" w:ascii="Times New Roman" w:hAnsi="Times New Roman" w:eastAsia="宋体" w:cs="Times New Roman"/>
          <w:b/>
          <w:bCs w:val="0"/>
          <w:sz w:val="24"/>
          <w:szCs w:val="24"/>
          <w:u w:val="single"/>
          <w:lang w:val="en-US" w:eastAsia="zh-CN"/>
        </w:rPr>
        <w:t>目前</w:t>
      </w:r>
      <w:r>
        <w:rPr>
          <w:rFonts w:hint="default" w:ascii="Times New Roman" w:hAnsi="Times New Roman" w:eastAsia="宋体" w:cs="Times New Roman"/>
          <w:b/>
          <w:bCs w:val="0"/>
          <w:sz w:val="24"/>
          <w:szCs w:val="24"/>
          <w:u w:val="single"/>
        </w:rPr>
        <w:t>正在推进实施《新乡市2023年碧水保卫战实施方案》（新环攻坚办[2023] 66号），将继续改善新乡市水环境质量。</w:t>
      </w:r>
    </w:p>
    <w:p>
      <w:pPr>
        <w:adjustRightInd w:val="0"/>
        <w:snapToGrid w:val="0"/>
        <w:spacing w:line="360" w:lineRule="auto"/>
        <w:outlineLvl w:val="2"/>
        <w:rPr>
          <w:rFonts w:eastAsia="黑体"/>
          <w:color w:val="auto"/>
          <w:kern w:val="21"/>
          <w:sz w:val="28"/>
          <w:szCs w:val="28"/>
        </w:rPr>
      </w:pPr>
      <w:bookmarkStart w:id="275" w:name="_Toc502244696"/>
      <w:bookmarkStart w:id="276" w:name="_Toc429318409"/>
      <w:bookmarkStart w:id="277" w:name="_Toc428286865"/>
      <w:bookmarkStart w:id="278" w:name="_Toc428287226"/>
      <w:r>
        <w:rPr>
          <w:rFonts w:hint="eastAsia" w:eastAsia="黑体"/>
          <w:color w:val="auto"/>
          <w:kern w:val="21"/>
          <w:sz w:val="28"/>
          <w:szCs w:val="28"/>
        </w:rPr>
        <w:t>4.2.4声环境质量现状监测</w:t>
      </w:r>
    </w:p>
    <w:p>
      <w:pPr>
        <w:pStyle w:val="6"/>
        <w:spacing w:before="0" w:after="0" w:line="360" w:lineRule="auto"/>
        <w:rPr>
          <w:b w:val="0"/>
          <w:color w:val="auto"/>
          <w:sz w:val="24"/>
          <w:szCs w:val="24"/>
        </w:rPr>
      </w:pPr>
      <w:r>
        <w:rPr>
          <w:rFonts w:hint="eastAsia"/>
          <w:b w:val="0"/>
          <w:color w:val="auto"/>
          <w:sz w:val="24"/>
          <w:szCs w:val="24"/>
        </w:rPr>
        <w:t>4.2.4.1监测布点</w:t>
      </w:r>
    </w:p>
    <w:p>
      <w:pPr>
        <w:adjustRightInd w:val="0"/>
        <w:snapToGrid w:val="0"/>
        <w:spacing w:line="360" w:lineRule="auto"/>
        <w:ind w:firstLine="480" w:firstLineChars="200"/>
        <w:textAlignment w:val="baseline"/>
        <w:rPr>
          <w:bCs/>
          <w:color w:val="auto"/>
          <w:kern w:val="0"/>
          <w:sz w:val="24"/>
          <w:szCs w:val="20"/>
        </w:rPr>
      </w:pPr>
      <w:r>
        <w:rPr>
          <w:rFonts w:hint="eastAsia"/>
          <w:bCs/>
          <w:color w:val="auto"/>
          <w:kern w:val="0"/>
          <w:sz w:val="24"/>
          <w:szCs w:val="20"/>
        </w:rPr>
        <w:t>本次评价布设4个声环境质量现状监测点，分别是东厂界、南厂界、西厂界和北厂界，其中西厂界和北厂界为工业共用墙。</w:t>
      </w:r>
    </w:p>
    <w:p>
      <w:pPr>
        <w:pStyle w:val="6"/>
        <w:spacing w:before="0" w:after="0" w:line="360" w:lineRule="auto"/>
        <w:rPr>
          <w:b w:val="0"/>
          <w:color w:val="auto"/>
          <w:sz w:val="24"/>
          <w:szCs w:val="24"/>
        </w:rPr>
      </w:pPr>
      <w:r>
        <w:rPr>
          <w:rFonts w:hint="eastAsia"/>
          <w:b w:val="0"/>
          <w:color w:val="auto"/>
          <w:sz w:val="24"/>
          <w:szCs w:val="24"/>
        </w:rPr>
        <w:t>4.2.4.2监测方法和频率</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监测点位及监测时间见下表4.2-8。</w:t>
      </w:r>
    </w:p>
    <w:p>
      <w:pPr>
        <w:adjustRightInd w:val="0"/>
        <w:snapToGrid w:val="0"/>
        <w:jc w:val="center"/>
        <w:rPr>
          <w:rFonts w:ascii="黑体" w:hAnsi="黑体" w:eastAsia="黑体"/>
          <w:color w:val="auto"/>
          <w:sz w:val="24"/>
          <w:szCs w:val="24"/>
        </w:rPr>
      </w:pPr>
      <w:r>
        <w:rPr>
          <w:rFonts w:hint="eastAsia" w:ascii="黑体" w:hAnsi="黑体" w:eastAsia="黑体"/>
          <w:color w:val="auto"/>
          <w:sz w:val="24"/>
          <w:szCs w:val="24"/>
        </w:rPr>
        <w:t>表4.2-8   声环境现状监测点位及监测时间表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235"/>
        <w:gridCol w:w="1842"/>
        <w:gridCol w:w="1985"/>
        <w:gridCol w:w="246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35" w:type="dxa"/>
            <w:vAlign w:val="center"/>
          </w:tcPr>
          <w:p>
            <w:pPr>
              <w:jc w:val="center"/>
              <w:rPr>
                <w:rFonts w:cs="宋体"/>
                <w:b/>
                <w:color w:val="auto"/>
                <w:szCs w:val="20"/>
              </w:rPr>
            </w:pPr>
            <w:r>
              <w:rPr>
                <w:rFonts w:hint="eastAsia" w:cs="宋体"/>
                <w:b/>
                <w:color w:val="auto"/>
                <w:szCs w:val="20"/>
              </w:rPr>
              <w:t>监测点位置</w:t>
            </w:r>
          </w:p>
        </w:tc>
        <w:tc>
          <w:tcPr>
            <w:tcW w:w="1842" w:type="dxa"/>
            <w:vAlign w:val="center"/>
          </w:tcPr>
          <w:p>
            <w:pPr>
              <w:jc w:val="center"/>
              <w:rPr>
                <w:rFonts w:cs="宋体"/>
                <w:b/>
                <w:color w:val="auto"/>
                <w:szCs w:val="20"/>
              </w:rPr>
            </w:pPr>
            <w:r>
              <w:rPr>
                <w:rFonts w:hint="eastAsia" w:cs="宋体"/>
                <w:b/>
                <w:color w:val="auto"/>
                <w:szCs w:val="20"/>
              </w:rPr>
              <w:t>监测因子</w:t>
            </w:r>
          </w:p>
        </w:tc>
        <w:tc>
          <w:tcPr>
            <w:tcW w:w="1985" w:type="dxa"/>
            <w:vAlign w:val="center"/>
          </w:tcPr>
          <w:p>
            <w:pPr>
              <w:jc w:val="center"/>
              <w:rPr>
                <w:rFonts w:cs="宋体"/>
                <w:b/>
                <w:color w:val="auto"/>
                <w:szCs w:val="20"/>
              </w:rPr>
            </w:pPr>
            <w:r>
              <w:rPr>
                <w:rFonts w:hint="eastAsia" w:cs="宋体"/>
                <w:b/>
                <w:color w:val="auto"/>
                <w:szCs w:val="20"/>
              </w:rPr>
              <w:t>监测频率</w:t>
            </w:r>
          </w:p>
        </w:tc>
        <w:tc>
          <w:tcPr>
            <w:tcW w:w="2466" w:type="dxa"/>
            <w:vAlign w:val="center"/>
          </w:tcPr>
          <w:p>
            <w:pPr>
              <w:jc w:val="center"/>
              <w:rPr>
                <w:rFonts w:cs="宋体"/>
                <w:b/>
                <w:color w:val="auto"/>
                <w:szCs w:val="20"/>
              </w:rPr>
            </w:pPr>
            <w:r>
              <w:rPr>
                <w:rFonts w:hint="eastAsia" w:cs="宋体"/>
                <w:b/>
                <w:color w:val="auto"/>
                <w:szCs w:val="20"/>
              </w:rPr>
              <w:t>监测方法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2235" w:type="dxa"/>
            <w:vAlign w:val="center"/>
          </w:tcPr>
          <w:p>
            <w:pPr>
              <w:contextualSpacing/>
              <w:jc w:val="center"/>
              <w:textAlignment w:val="baseline"/>
              <w:rPr>
                <w:color w:val="auto"/>
                <w:kern w:val="0"/>
              </w:rPr>
            </w:pPr>
            <w:r>
              <w:rPr>
                <w:rFonts w:hint="eastAsia"/>
                <w:color w:val="auto"/>
                <w:kern w:val="0"/>
              </w:rPr>
              <w:t>东厂界</w:t>
            </w:r>
          </w:p>
        </w:tc>
        <w:tc>
          <w:tcPr>
            <w:tcW w:w="1842" w:type="dxa"/>
            <w:vMerge w:val="restart"/>
            <w:vAlign w:val="center"/>
          </w:tcPr>
          <w:p>
            <w:pPr>
              <w:contextualSpacing/>
              <w:jc w:val="center"/>
              <w:textAlignment w:val="baseline"/>
              <w:rPr>
                <w:color w:val="auto"/>
                <w:kern w:val="0"/>
              </w:rPr>
            </w:pPr>
            <w:r>
              <w:rPr>
                <w:rFonts w:hint="eastAsia"/>
                <w:color w:val="auto"/>
                <w:kern w:val="0"/>
              </w:rPr>
              <w:t>等效连续A声级</w:t>
            </w:r>
          </w:p>
        </w:tc>
        <w:tc>
          <w:tcPr>
            <w:tcW w:w="1985" w:type="dxa"/>
            <w:vMerge w:val="restart"/>
            <w:vAlign w:val="center"/>
          </w:tcPr>
          <w:p>
            <w:pPr>
              <w:contextualSpacing/>
              <w:jc w:val="center"/>
              <w:textAlignment w:val="baseline"/>
              <w:rPr>
                <w:color w:val="auto"/>
                <w:kern w:val="0"/>
              </w:rPr>
            </w:pPr>
            <w:r>
              <w:rPr>
                <w:rFonts w:hint="eastAsia"/>
                <w:color w:val="auto"/>
                <w:kern w:val="0"/>
              </w:rPr>
              <w:t>连续监测</w:t>
            </w:r>
            <w:r>
              <w:rPr>
                <w:color w:val="auto"/>
                <w:kern w:val="0"/>
              </w:rPr>
              <w:t>2</w:t>
            </w:r>
            <w:r>
              <w:rPr>
                <w:rFonts w:hint="eastAsia"/>
                <w:color w:val="auto"/>
                <w:kern w:val="0"/>
              </w:rPr>
              <w:t>天，每天昼夜各监测一次</w:t>
            </w:r>
          </w:p>
        </w:tc>
        <w:tc>
          <w:tcPr>
            <w:tcW w:w="2466" w:type="dxa"/>
            <w:vMerge w:val="restart"/>
            <w:vAlign w:val="center"/>
          </w:tcPr>
          <w:p>
            <w:pPr>
              <w:contextualSpacing/>
              <w:jc w:val="center"/>
              <w:textAlignment w:val="baseline"/>
              <w:rPr>
                <w:color w:val="auto"/>
                <w:kern w:val="0"/>
              </w:rPr>
            </w:pPr>
            <w:r>
              <w:rPr>
                <w:rFonts w:hint="eastAsia"/>
                <w:color w:val="auto"/>
                <w:kern w:val="0"/>
              </w:rPr>
              <w:t>《声环境质量标准》GB3096-2008附录B《声环境功能区监测方法》</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35" w:type="dxa"/>
            <w:vAlign w:val="center"/>
          </w:tcPr>
          <w:p>
            <w:pPr>
              <w:contextualSpacing/>
              <w:jc w:val="center"/>
              <w:textAlignment w:val="baseline"/>
              <w:rPr>
                <w:color w:val="auto"/>
                <w:kern w:val="0"/>
              </w:rPr>
            </w:pPr>
            <w:r>
              <w:rPr>
                <w:rFonts w:hint="eastAsia"/>
                <w:color w:val="auto"/>
                <w:kern w:val="0"/>
              </w:rPr>
              <w:t>南厂界</w:t>
            </w:r>
          </w:p>
        </w:tc>
        <w:tc>
          <w:tcPr>
            <w:tcW w:w="1842" w:type="dxa"/>
            <w:vMerge w:val="continue"/>
            <w:vAlign w:val="center"/>
          </w:tcPr>
          <w:p>
            <w:pPr>
              <w:contextualSpacing/>
              <w:jc w:val="center"/>
              <w:textAlignment w:val="baseline"/>
              <w:rPr>
                <w:color w:val="auto"/>
                <w:kern w:val="0"/>
              </w:rPr>
            </w:pPr>
          </w:p>
        </w:tc>
        <w:tc>
          <w:tcPr>
            <w:tcW w:w="1985" w:type="dxa"/>
            <w:vMerge w:val="continue"/>
            <w:vAlign w:val="center"/>
          </w:tcPr>
          <w:p>
            <w:pPr>
              <w:contextualSpacing/>
              <w:jc w:val="center"/>
              <w:textAlignment w:val="baseline"/>
              <w:rPr>
                <w:color w:val="auto"/>
                <w:kern w:val="0"/>
              </w:rPr>
            </w:pPr>
          </w:p>
        </w:tc>
        <w:tc>
          <w:tcPr>
            <w:tcW w:w="2466" w:type="dxa"/>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35" w:type="dxa"/>
            <w:vAlign w:val="center"/>
          </w:tcPr>
          <w:p>
            <w:pPr>
              <w:contextualSpacing/>
              <w:jc w:val="center"/>
              <w:textAlignment w:val="baseline"/>
              <w:rPr>
                <w:color w:val="auto"/>
                <w:kern w:val="0"/>
              </w:rPr>
            </w:pPr>
            <w:r>
              <w:rPr>
                <w:rFonts w:hint="eastAsia"/>
                <w:color w:val="auto"/>
                <w:kern w:val="0"/>
              </w:rPr>
              <w:t>西厂界</w:t>
            </w:r>
          </w:p>
        </w:tc>
        <w:tc>
          <w:tcPr>
            <w:tcW w:w="1842" w:type="dxa"/>
            <w:vMerge w:val="continue"/>
            <w:vAlign w:val="center"/>
          </w:tcPr>
          <w:p>
            <w:pPr>
              <w:contextualSpacing/>
              <w:jc w:val="center"/>
              <w:textAlignment w:val="baseline"/>
              <w:rPr>
                <w:color w:val="auto"/>
                <w:kern w:val="0"/>
              </w:rPr>
            </w:pPr>
          </w:p>
        </w:tc>
        <w:tc>
          <w:tcPr>
            <w:tcW w:w="1985" w:type="dxa"/>
            <w:vMerge w:val="continue"/>
            <w:vAlign w:val="center"/>
          </w:tcPr>
          <w:p>
            <w:pPr>
              <w:contextualSpacing/>
              <w:jc w:val="center"/>
              <w:textAlignment w:val="baseline"/>
              <w:rPr>
                <w:color w:val="auto"/>
                <w:kern w:val="0"/>
              </w:rPr>
            </w:pPr>
          </w:p>
        </w:tc>
        <w:tc>
          <w:tcPr>
            <w:tcW w:w="2466" w:type="dxa"/>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35" w:type="dxa"/>
            <w:vAlign w:val="center"/>
          </w:tcPr>
          <w:p>
            <w:pPr>
              <w:contextualSpacing/>
              <w:jc w:val="center"/>
              <w:textAlignment w:val="baseline"/>
              <w:rPr>
                <w:color w:val="auto"/>
                <w:kern w:val="0"/>
              </w:rPr>
            </w:pPr>
            <w:r>
              <w:rPr>
                <w:rFonts w:hint="eastAsia"/>
                <w:color w:val="auto"/>
                <w:kern w:val="0"/>
              </w:rPr>
              <w:t>北厂界</w:t>
            </w:r>
          </w:p>
        </w:tc>
        <w:tc>
          <w:tcPr>
            <w:tcW w:w="1842" w:type="dxa"/>
            <w:vMerge w:val="continue"/>
            <w:vAlign w:val="center"/>
          </w:tcPr>
          <w:p>
            <w:pPr>
              <w:contextualSpacing/>
              <w:jc w:val="center"/>
              <w:textAlignment w:val="baseline"/>
              <w:rPr>
                <w:color w:val="auto"/>
                <w:kern w:val="0"/>
              </w:rPr>
            </w:pPr>
          </w:p>
        </w:tc>
        <w:tc>
          <w:tcPr>
            <w:tcW w:w="1985" w:type="dxa"/>
            <w:vMerge w:val="continue"/>
            <w:vAlign w:val="center"/>
          </w:tcPr>
          <w:p>
            <w:pPr>
              <w:contextualSpacing/>
              <w:jc w:val="center"/>
              <w:textAlignment w:val="baseline"/>
              <w:rPr>
                <w:color w:val="auto"/>
                <w:kern w:val="0"/>
              </w:rPr>
            </w:pPr>
          </w:p>
        </w:tc>
        <w:tc>
          <w:tcPr>
            <w:tcW w:w="2466" w:type="dxa"/>
            <w:vMerge w:val="continue"/>
            <w:vAlign w:val="center"/>
          </w:tcPr>
          <w:p>
            <w:pPr>
              <w:contextualSpacing/>
              <w:jc w:val="center"/>
              <w:textAlignment w:val="baseline"/>
              <w:rPr>
                <w:color w:val="auto"/>
                <w:kern w:val="0"/>
              </w:rPr>
            </w:pPr>
          </w:p>
        </w:tc>
      </w:tr>
    </w:tbl>
    <w:p>
      <w:pPr>
        <w:pStyle w:val="6"/>
        <w:spacing w:before="0" w:after="0" w:line="360" w:lineRule="auto"/>
        <w:rPr>
          <w:b w:val="0"/>
          <w:color w:val="auto"/>
          <w:sz w:val="24"/>
          <w:szCs w:val="24"/>
        </w:rPr>
      </w:pPr>
      <w:r>
        <w:rPr>
          <w:rFonts w:hint="eastAsia"/>
          <w:b w:val="0"/>
          <w:color w:val="auto"/>
          <w:sz w:val="24"/>
          <w:szCs w:val="24"/>
        </w:rPr>
        <w:t>4.2.4.3评价标准</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根据获嘉县生态环境局对本项目批复的执行标准文件，本项目厂界执行《声环境质量标准》</w:t>
      </w:r>
      <w:r>
        <w:rPr>
          <w:color w:val="auto"/>
          <w:kern w:val="0"/>
          <w:sz w:val="24"/>
          <w:szCs w:val="20"/>
        </w:rPr>
        <w:t>（GB3096-2008）</w:t>
      </w:r>
      <w:r>
        <w:rPr>
          <w:rFonts w:hint="eastAsia"/>
          <w:color w:val="auto"/>
          <w:kern w:val="0"/>
          <w:sz w:val="24"/>
          <w:szCs w:val="20"/>
        </w:rPr>
        <w:t>3类</w:t>
      </w:r>
      <w:r>
        <w:rPr>
          <w:color w:val="auto"/>
          <w:kern w:val="0"/>
          <w:sz w:val="24"/>
          <w:szCs w:val="20"/>
        </w:rPr>
        <w:t>标准</w:t>
      </w:r>
      <w:r>
        <w:rPr>
          <w:rFonts w:hint="eastAsia"/>
          <w:color w:val="auto"/>
          <w:kern w:val="0"/>
          <w:sz w:val="24"/>
          <w:szCs w:val="20"/>
        </w:rPr>
        <w:t>。</w:t>
      </w:r>
    </w:p>
    <w:p>
      <w:pPr>
        <w:adjustRightInd w:val="0"/>
        <w:snapToGrid w:val="0"/>
        <w:jc w:val="center"/>
        <w:rPr>
          <w:rFonts w:ascii="黑体" w:hAnsi="黑体" w:eastAsia="黑体"/>
          <w:color w:val="auto"/>
          <w:sz w:val="24"/>
          <w:szCs w:val="24"/>
        </w:rPr>
      </w:pPr>
      <w:r>
        <w:rPr>
          <w:rFonts w:ascii="黑体" w:hAnsi="黑体" w:eastAsia="黑体"/>
          <w:color w:val="auto"/>
          <w:sz w:val="24"/>
          <w:szCs w:val="24"/>
        </w:rPr>
        <w:t>表</w:t>
      </w:r>
      <w:r>
        <w:rPr>
          <w:rFonts w:hint="eastAsia" w:ascii="黑体" w:hAnsi="黑体" w:eastAsia="黑体"/>
          <w:color w:val="auto"/>
          <w:sz w:val="24"/>
          <w:szCs w:val="24"/>
        </w:rPr>
        <w:t xml:space="preserve">4.2-9   </w:t>
      </w:r>
      <w:r>
        <w:rPr>
          <w:rFonts w:ascii="黑体" w:hAnsi="黑体" w:eastAsia="黑体"/>
          <w:color w:val="auto"/>
          <w:sz w:val="24"/>
          <w:szCs w:val="24"/>
        </w:rPr>
        <w:t>声环境现状监测评价标准</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072"/>
        <w:gridCol w:w="2004"/>
        <w:gridCol w:w="445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215" w:type="pct"/>
            <w:vAlign w:val="center"/>
          </w:tcPr>
          <w:p>
            <w:pPr>
              <w:jc w:val="center"/>
              <w:rPr>
                <w:rFonts w:cs="宋体"/>
                <w:b/>
                <w:color w:val="auto"/>
                <w:szCs w:val="20"/>
              </w:rPr>
            </w:pPr>
            <w:r>
              <w:rPr>
                <w:rFonts w:cs="宋体"/>
                <w:b/>
                <w:color w:val="auto"/>
                <w:szCs w:val="20"/>
              </w:rPr>
              <w:t>位 置</w:t>
            </w:r>
          </w:p>
        </w:tc>
        <w:tc>
          <w:tcPr>
            <w:tcW w:w="1175" w:type="pct"/>
            <w:vAlign w:val="center"/>
          </w:tcPr>
          <w:p>
            <w:pPr>
              <w:jc w:val="center"/>
              <w:rPr>
                <w:rFonts w:cs="宋体"/>
                <w:b/>
                <w:color w:val="auto"/>
                <w:szCs w:val="20"/>
              </w:rPr>
            </w:pPr>
            <w:r>
              <w:rPr>
                <w:rFonts w:cs="宋体"/>
                <w:b/>
                <w:color w:val="auto"/>
                <w:szCs w:val="20"/>
              </w:rPr>
              <w:t>标准值dB（A）</w:t>
            </w:r>
          </w:p>
        </w:tc>
        <w:tc>
          <w:tcPr>
            <w:tcW w:w="2610" w:type="pct"/>
            <w:vAlign w:val="center"/>
          </w:tcPr>
          <w:p>
            <w:pPr>
              <w:jc w:val="center"/>
              <w:rPr>
                <w:rFonts w:cs="宋体"/>
                <w:b/>
                <w:color w:val="auto"/>
                <w:szCs w:val="20"/>
              </w:rPr>
            </w:pPr>
            <w:r>
              <w:rPr>
                <w:rFonts w:cs="宋体"/>
                <w:b/>
                <w:color w:val="auto"/>
                <w:szCs w:val="20"/>
              </w:rPr>
              <w:t>标准来源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1215" w:type="pct"/>
            <w:vAlign w:val="center"/>
          </w:tcPr>
          <w:p>
            <w:pPr>
              <w:contextualSpacing/>
              <w:jc w:val="center"/>
              <w:textAlignment w:val="baseline"/>
              <w:rPr>
                <w:color w:val="auto"/>
                <w:kern w:val="0"/>
              </w:rPr>
            </w:pPr>
            <w:r>
              <w:rPr>
                <w:rFonts w:hint="eastAsia"/>
                <w:color w:val="auto"/>
                <w:kern w:val="0"/>
              </w:rPr>
              <w:t>东、南、西、北厂界</w:t>
            </w:r>
          </w:p>
        </w:tc>
        <w:tc>
          <w:tcPr>
            <w:tcW w:w="1175" w:type="pct"/>
            <w:vAlign w:val="center"/>
          </w:tcPr>
          <w:p>
            <w:pPr>
              <w:contextualSpacing/>
              <w:jc w:val="center"/>
              <w:textAlignment w:val="baseline"/>
              <w:rPr>
                <w:color w:val="auto"/>
                <w:kern w:val="0"/>
              </w:rPr>
            </w:pPr>
            <w:r>
              <w:rPr>
                <w:color w:val="auto"/>
                <w:kern w:val="0"/>
              </w:rPr>
              <w:t>昼6</w:t>
            </w:r>
            <w:r>
              <w:rPr>
                <w:rFonts w:hint="eastAsia"/>
                <w:color w:val="auto"/>
                <w:kern w:val="0"/>
              </w:rPr>
              <w:t>5</w:t>
            </w:r>
            <w:r>
              <w:rPr>
                <w:color w:val="auto"/>
                <w:kern w:val="0"/>
              </w:rPr>
              <w:t>、夜5</w:t>
            </w:r>
            <w:r>
              <w:rPr>
                <w:rFonts w:hint="eastAsia"/>
                <w:color w:val="auto"/>
                <w:kern w:val="0"/>
              </w:rPr>
              <w:t>5</w:t>
            </w:r>
          </w:p>
        </w:tc>
        <w:tc>
          <w:tcPr>
            <w:tcW w:w="2610" w:type="pct"/>
            <w:vAlign w:val="center"/>
          </w:tcPr>
          <w:p>
            <w:pPr>
              <w:contextualSpacing/>
              <w:jc w:val="center"/>
              <w:textAlignment w:val="baseline"/>
              <w:rPr>
                <w:color w:val="auto"/>
                <w:kern w:val="0"/>
              </w:rPr>
            </w:pPr>
            <w:r>
              <w:rPr>
                <w:color w:val="auto"/>
                <w:kern w:val="0"/>
              </w:rPr>
              <w:t>《声环境质量标准》（GB3096-2008</w:t>
            </w:r>
            <w:r>
              <w:rPr>
                <w:rFonts w:hint="eastAsia"/>
                <w:color w:val="auto"/>
                <w:kern w:val="0"/>
              </w:rPr>
              <w:t>）3类</w:t>
            </w:r>
          </w:p>
        </w:tc>
      </w:tr>
    </w:tbl>
    <w:p>
      <w:pPr>
        <w:pStyle w:val="6"/>
        <w:spacing w:before="0" w:after="0" w:line="360" w:lineRule="auto"/>
        <w:rPr>
          <w:b w:val="0"/>
          <w:color w:val="auto"/>
          <w:sz w:val="24"/>
          <w:szCs w:val="24"/>
        </w:rPr>
      </w:pPr>
      <w:r>
        <w:rPr>
          <w:rFonts w:hint="eastAsia"/>
          <w:b w:val="0"/>
          <w:color w:val="auto"/>
          <w:sz w:val="24"/>
          <w:szCs w:val="24"/>
        </w:rPr>
        <w:t>4.2.4.4评价方法</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根据噪声现状监测统计结果的等效声级，采用与评价标准直接比较的方法，对评价范围内的声环境现状进行评价。</w:t>
      </w:r>
    </w:p>
    <w:p>
      <w:pPr>
        <w:pStyle w:val="6"/>
        <w:spacing w:before="0" w:after="0" w:line="360" w:lineRule="auto"/>
        <w:rPr>
          <w:b w:val="0"/>
          <w:color w:val="auto"/>
          <w:sz w:val="24"/>
          <w:szCs w:val="24"/>
        </w:rPr>
      </w:pPr>
      <w:r>
        <w:rPr>
          <w:rFonts w:hint="eastAsia"/>
          <w:b w:val="0"/>
          <w:color w:val="auto"/>
          <w:sz w:val="24"/>
          <w:szCs w:val="24"/>
        </w:rPr>
        <w:t>4.2.4.5监测结果统计和评价结果</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各监测点现状监测统计结果见下表4.2-10。</w:t>
      </w:r>
    </w:p>
    <w:p>
      <w:pPr>
        <w:adjustRightInd w:val="0"/>
        <w:snapToGrid w:val="0"/>
        <w:jc w:val="center"/>
        <w:rPr>
          <w:rFonts w:ascii="黑体" w:hAnsi="黑体" w:eastAsia="黑体"/>
          <w:color w:val="auto"/>
          <w:sz w:val="24"/>
          <w:szCs w:val="24"/>
        </w:rPr>
      </w:pPr>
      <w:r>
        <w:rPr>
          <w:rFonts w:hint="eastAsia" w:ascii="黑体" w:hAnsi="黑体" w:eastAsia="黑体"/>
          <w:color w:val="auto"/>
          <w:sz w:val="24"/>
          <w:szCs w:val="24"/>
        </w:rPr>
        <w:t>表4.2-10   噪声监测结果一览表</w:t>
      </w:r>
    </w:p>
    <w:tbl>
      <w:tblPr>
        <w:tblStyle w:val="83"/>
        <w:tblpPr w:leftFromText="180" w:rightFromText="180" w:vertAnchor="text" w:tblpXSpec="center" w:tblpY="1"/>
        <w:tblOverlap w:val="never"/>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095"/>
        <w:gridCol w:w="1559"/>
        <w:gridCol w:w="2409"/>
        <w:gridCol w:w="246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blHeader/>
        </w:trPr>
        <w:tc>
          <w:tcPr>
            <w:tcW w:w="1228" w:type="pct"/>
            <w:vMerge w:val="restart"/>
            <w:tcBorders>
              <w:top w:val="single" w:color="auto" w:sz="8" w:space="0"/>
            </w:tcBorders>
            <w:vAlign w:val="center"/>
          </w:tcPr>
          <w:p>
            <w:pPr>
              <w:jc w:val="center"/>
              <w:rPr>
                <w:rFonts w:cs="宋体"/>
                <w:b/>
                <w:color w:val="auto"/>
                <w:szCs w:val="20"/>
              </w:rPr>
            </w:pPr>
            <w:r>
              <w:rPr>
                <w:rFonts w:cs="宋体"/>
                <w:b/>
                <w:color w:val="auto"/>
                <w:szCs w:val="20"/>
              </w:rPr>
              <w:t>监测</w:t>
            </w:r>
            <w:r>
              <w:rPr>
                <w:rFonts w:hint="eastAsia" w:cs="宋体"/>
                <w:b/>
                <w:color w:val="auto"/>
                <w:szCs w:val="20"/>
              </w:rPr>
              <w:t>日期</w:t>
            </w:r>
          </w:p>
        </w:tc>
        <w:tc>
          <w:tcPr>
            <w:tcW w:w="914" w:type="pct"/>
            <w:vMerge w:val="restart"/>
            <w:tcBorders>
              <w:top w:val="single" w:color="auto" w:sz="8" w:space="0"/>
            </w:tcBorders>
            <w:vAlign w:val="center"/>
          </w:tcPr>
          <w:p>
            <w:pPr>
              <w:jc w:val="center"/>
              <w:rPr>
                <w:rFonts w:cs="宋体"/>
                <w:b/>
                <w:color w:val="auto"/>
                <w:szCs w:val="20"/>
              </w:rPr>
            </w:pPr>
            <w:r>
              <w:rPr>
                <w:rFonts w:cs="宋体"/>
                <w:b/>
                <w:color w:val="auto"/>
                <w:szCs w:val="20"/>
              </w:rPr>
              <w:t>监测点位</w:t>
            </w:r>
          </w:p>
        </w:tc>
        <w:tc>
          <w:tcPr>
            <w:tcW w:w="2857" w:type="pct"/>
            <w:gridSpan w:val="2"/>
            <w:tcBorders>
              <w:top w:val="single" w:color="auto" w:sz="8" w:space="0"/>
            </w:tcBorders>
            <w:vAlign w:val="center"/>
          </w:tcPr>
          <w:p>
            <w:pPr>
              <w:jc w:val="center"/>
              <w:rPr>
                <w:rFonts w:cs="宋体"/>
                <w:b/>
                <w:color w:val="auto"/>
                <w:szCs w:val="20"/>
              </w:rPr>
            </w:pPr>
            <w:r>
              <w:rPr>
                <w:rFonts w:cs="宋体"/>
                <w:b/>
                <w:color w:val="auto"/>
                <w:szCs w:val="20"/>
              </w:rPr>
              <w:t>监测结果dB（A）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blHeader/>
        </w:trPr>
        <w:tc>
          <w:tcPr>
            <w:tcW w:w="1228" w:type="pct"/>
            <w:vMerge w:val="continue"/>
            <w:vAlign w:val="center"/>
          </w:tcPr>
          <w:p>
            <w:pPr>
              <w:jc w:val="center"/>
              <w:rPr>
                <w:rFonts w:cs="宋体"/>
                <w:b/>
                <w:color w:val="auto"/>
                <w:szCs w:val="20"/>
              </w:rPr>
            </w:pPr>
          </w:p>
        </w:tc>
        <w:tc>
          <w:tcPr>
            <w:tcW w:w="914" w:type="pct"/>
            <w:vMerge w:val="continue"/>
            <w:vAlign w:val="center"/>
          </w:tcPr>
          <w:p>
            <w:pPr>
              <w:jc w:val="center"/>
              <w:rPr>
                <w:rFonts w:cs="宋体"/>
                <w:b/>
                <w:color w:val="auto"/>
                <w:szCs w:val="20"/>
              </w:rPr>
            </w:pPr>
          </w:p>
        </w:tc>
        <w:tc>
          <w:tcPr>
            <w:tcW w:w="1412" w:type="pct"/>
            <w:vAlign w:val="center"/>
          </w:tcPr>
          <w:p>
            <w:pPr>
              <w:jc w:val="center"/>
              <w:rPr>
                <w:rFonts w:cs="宋体"/>
                <w:b/>
                <w:color w:val="auto"/>
                <w:szCs w:val="20"/>
              </w:rPr>
            </w:pPr>
            <w:r>
              <w:rPr>
                <w:rFonts w:cs="宋体"/>
                <w:b/>
                <w:color w:val="auto"/>
                <w:szCs w:val="20"/>
              </w:rPr>
              <w:t>昼间</w:t>
            </w:r>
          </w:p>
        </w:tc>
        <w:tc>
          <w:tcPr>
            <w:tcW w:w="1444" w:type="pct"/>
            <w:vAlign w:val="center"/>
          </w:tcPr>
          <w:p>
            <w:pPr>
              <w:jc w:val="center"/>
              <w:rPr>
                <w:rFonts w:cs="宋体"/>
                <w:b/>
                <w:color w:val="auto"/>
                <w:szCs w:val="20"/>
              </w:rPr>
            </w:pPr>
            <w:r>
              <w:rPr>
                <w:rFonts w:cs="宋体"/>
                <w:b/>
                <w:color w:val="auto"/>
                <w:szCs w:val="20"/>
              </w:rPr>
              <w:t>夜间</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516" w:hRule="atLeast"/>
        </w:trPr>
        <w:tc>
          <w:tcPr>
            <w:tcW w:w="1228" w:type="pct"/>
            <w:vMerge w:val="restart"/>
            <w:vAlign w:val="center"/>
          </w:tcPr>
          <w:p>
            <w:pPr>
              <w:contextualSpacing/>
              <w:jc w:val="center"/>
              <w:textAlignment w:val="baseline"/>
              <w:rPr>
                <w:color w:val="auto"/>
                <w:kern w:val="0"/>
              </w:rPr>
            </w:pPr>
            <w:r>
              <w:rPr>
                <w:rFonts w:hint="eastAsia"/>
                <w:color w:val="auto"/>
                <w:kern w:val="0"/>
              </w:rPr>
              <w:t>2021.9.16~2021.9.17</w:t>
            </w:r>
          </w:p>
        </w:tc>
        <w:tc>
          <w:tcPr>
            <w:tcW w:w="914" w:type="pct"/>
            <w:vAlign w:val="center"/>
          </w:tcPr>
          <w:p>
            <w:pPr>
              <w:contextualSpacing/>
              <w:jc w:val="center"/>
              <w:textAlignment w:val="baseline"/>
              <w:rPr>
                <w:color w:val="auto"/>
                <w:kern w:val="0"/>
              </w:rPr>
            </w:pPr>
            <w:r>
              <w:rPr>
                <w:rFonts w:hint="eastAsia"/>
                <w:color w:val="auto"/>
                <w:kern w:val="0"/>
              </w:rPr>
              <w:t>东边</w:t>
            </w:r>
            <w:r>
              <w:rPr>
                <w:color w:val="auto"/>
                <w:kern w:val="0"/>
              </w:rPr>
              <w:t>界</w:t>
            </w:r>
          </w:p>
        </w:tc>
        <w:tc>
          <w:tcPr>
            <w:tcW w:w="1412" w:type="pct"/>
            <w:vAlign w:val="center"/>
          </w:tcPr>
          <w:p>
            <w:pPr>
              <w:contextualSpacing/>
              <w:jc w:val="center"/>
              <w:textAlignment w:val="baseline"/>
              <w:rPr>
                <w:color w:val="auto"/>
                <w:kern w:val="0"/>
              </w:rPr>
            </w:pPr>
            <w:r>
              <w:rPr>
                <w:rFonts w:hint="eastAsia"/>
                <w:color w:val="auto"/>
                <w:kern w:val="0"/>
              </w:rPr>
              <w:t>53.5~54.2</w:t>
            </w:r>
          </w:p>
        </w:tc>
        <w:tc>
          <w:tcPr>
            <w:tcW w:w="1444" w:type="pct"/>
            <w:vAlign w:val="center"/>
          </w:tcPr>
          <w:p>
            <w:pPr>
              <w:contextualSpacing/>
              <w:jc w:val="center"/>
              <w:textAlignment w:val="baseline"/>
              <w:rPr>
                <w:color w:val="auto"/>
                <w:kern w:val="0"/>
              </w:rPr>
            </w:pPr>
            <w:r>
              <w:rPr>
                <w:rFonts w:hint="eastAsia"/>
                <w:color w:val="auto"/>
                <w:kern w:val="0"/>
              </w:rPr>
              <w:t>42.8~43.1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1228" w:type="pct"/>
            <w:vMerge w:val="continue"/>
            <w:vAlign w:val="center"/>
          </w:tcPr>
          <w:p>
            <w:pPr>
              <w:contextualSpacing/>
              <w:jc w:val="center"/>
              <w:textAlignment w:val="baseline"/>
              <w:rPr>
                <w:color w:val="auto"/>
                <w:kern w:val="0"/>
              </w:rPr>
            </w:pPr>
          </w:p>
        </w:tc>
        <w:tc>
          <w:tcPr>
            <w:tcW w:w="914" w:type="pct"/>
            <w:vAlign w:val="center"/>
          </w:tcPr>
          <w:p>
            <w:pPr>
              <w:contextualSpacing/>
              <w:jc w:val="center"/>
              <w:textAlignment w:val="baseline"/>
              <w:rPr>
                <w:color w:val="auto"/>
                <w:kern w:val="0"/>
              </w:rPr>
            </w:pPr>
            <w:r>
              <w:rPr>
                <w:rFonts w:hint="eastAsia"/>
                <w:color w:val="auto"/>
                <w:kern w:val="0"/>
              </w:rPr>
              <w:t>南边</w:t>
            </w:r>
            <w:r>
              <w:rPr>
                <w:color w:val="auto"/>
                <w:kern w:val="0"/>
              </w:rPr>
              <w:t>界</w:t>
            </w:r>
          </w:p>
        </w:tc>
        <w:tc>
          <w:tcPr>
            <w:tcW w:w="1412" w:type="pct"/>
            <w:vAlign w:val="center"/>
          </w:tcPr>
          <w:p>
            <w:pPr>
              <w:contextualSpacing/>
              <w:jc w:val="center"/>
              <w:textAlignment w:val="baseline"/>
              <w:rPr>
                <w:color w:val="auto"/>
                <w:kern w:val="0"/>
              </w:rPr>
            </w:pPr>
            <w:r>
              <w:rPr>
                <w:rFonts w:hint="eastAsia"/>
                <w:color w:val="auto"/>
                <w:kern w:val="0"/>
              </w:rPr>
              <w:t>52.7~53.1</w:t>
            </w:r>
          </w:p>
        </w:tc>
        <w:tc>
          <w:tcPr>
            <w:tcW w:w="1444" w:type="pct"/>
            <w:vAlign w:val="center"/>
          </w:tcPr>
          <w:p>
            <w:pPr>
              <w:contextualSpacing/>
              <w:jc w:val="center"/>
              <w:textAlignment w:val="baseline"/>
              <w:rPr>
                <w:color w:val="auto"/>
                <w:kern w:val="0"/>
              </w:rPr>
            </w:pPr>
            <w:r>
              <w:rPr>
                <w:rFonts w:hint="eastAsia"/>
                <w:color w:val="auto"/>
                <w:kern w:val="0"/>
              </w:rPr>
              <w:t>41.9~42.4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1228" w:type="pct"/>
            <w:vMerge w:val="continue"/>
            <w:vAlign w:val="center"/>
          </w:tcPr>
          <w:p>
            <w:pPr>
              <w:contextualSpacing/>
              <w:jc w:val="center"/>
              <w:textAlignment w:val="baseline"/>
              <w:rPr>
                <w:color w:val="auto"/>
                <w:kern w:val="0"/>
              </w:rPr>
            </w:pPr>
          </w:p>
        </w:tc>
        <w:tc>
          <w:tcPr>
            <w:tcW w:w="914" w:type="pct"/>
            <w:vAlign w:val="center"/>
          </w:tcPr>
          <w:p>
            <w:pPr>
              <w:contextualSpacing/>
              <w:jc w:val="center"/>
              <w:textAlignment w:val="baseline"/>
              <w:rPr>
                <w:color w:val="auto"/>
                <w:kern w:val="0"/>
              </w:rPr>
            </w:pPr>
            <w:r>
              <w:rPr>
                <w:rFonts w:hint="eastAsia"/>
                <w:color w:val="auto"/>
                <w:kern w:val="0"/>
              </w:rPr>
              <w:t>西边界</w:t>
            </w:r>
          </w:p>
        </w:tc>
        <w:tc>
          <w:tcPr>
            <w:tcW w:w="1412" w:type="pct"/>
            <w:vAlign w:val="center"/>
          </w:tcPr>
          <w:p>
            <w:pPr>
              <w:contextualSpacing/>
              <w:jc w:val="center"/>
              <w:textAlignment w:val="baseline"/>
              <w:rPr>
                <w:color w:val="auto"/>
                <w:kern w:val="0"/>
              </w:rPr>
            </w:pPr>
            <w:r>
              <w:rPr>
                <w:rFonts w:hint="eastAsia"/>
                <w:color w:val="auto"/>
                <w:kern w:val="0"/>
              </w:rPr>
              <w:t>54.1~56.2</w:t>
            </w:r>
          </w:p>
        </w:tc>
        <w:tc>
          <w:tcPr>
            <w:tcW w:w="1444" w:type="pct"/>
            <w:vAlign w:val="center"/>
          </w:tcPr>
          <w:p>
            <w:pPr>
              <w:contextualSpacing/>
              <w:jc w:val="center"/>
              <w:textAlignment w:val="baseline"/>
              <w:rPr>
                <w:color w:val="auto"/>
                <w:kern w:val="0"/>
              </w:rPr>
            </w:pPr>
            <w:r>
              <w:rPr>
                <w:rFonts w:hint="eastAsia"/>
                <w:color w:val="auto"/>
                <w:kern w:val="0"/>
              </w:rPr>
              <w:t>42.6~44.1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1228" w:type="pct"/>
            <w:vMerge w:val="continue"/>
            <w:vAlign w:val="center"/>
          </w:tcPr>
          <w:p>
            <w:pPr>
              <w:contextualSpacing/>
              <w:jc w:val="center"/>
              <w:textAlignment w:val="baseline"/>
              <w:rPr>
                <w:color w:val="auto"/>
                <w:kern w:val="0"/>
              </w:rPr>
            </w:pPr>
          </w:p>
        </w:tc>
        <w:tc>
          <w:tcPr>
            <w:tcW w:w="914" w:type="pct"/>
            <w:vAlign w:val="center"/>
          </w:tcPr>
          <w:p>
            <w:pPr>
              <w:contextualSpacing/>
              <w:jc w:val="center"/>
              <w:textAlignment w:val="baseline"/>
              <w:rPr>
                <w:color w:val="auto"/>
                <w:kern w:val="0"/>
              </w:rPr>
            </w:pPr>
            <w:r>
              <w:rPr>
                <w:rFonts w:hint="eastAsia"/>
                <w:color w:val="auto"/>
                <w:kern w:val="0"/>
              </w:rPr>
              <w:t>北边界</w:t>
            </w:r>
          </w:p>
        </w:tc>
        <w:tc>
          <w:tcPr>
            <w:tcW w:w="1412" w:type="pct"/>
            <w:vAlign w:val="center"/>
          </w:tcPr>
          <w:p>
            <w:pPr>
              <w:contextualSpacing/>
              <w:jc w:val="center"/>
              <w:textAlignment w:val="baseline"/>
              <w:rPr>
                <w:color w:val="auto"/>
                <w:kern w:val="0"/>
              </w:rPr>
            </w:pPr>
            <w:r>
              <w:rPr>
                <w:rFonts w:hint="eastAsia"/>
                <w:color w:val="auto"/>
                <w:kern w:val="0"/>
              </w:rPr>
              <w:t>52.3~54.5</w:t>
            </w:r>
          </w:p>
        </w:tc>
        <w:tc>
          <w:tcPr>
            <w:tcW w:w="1444" w:type="pct"/>
            <w:vAlign w:val="center"/>
          </w:tcPr>
          <w:p>
            <w:pPr>
              <w:contextualSpacing/>
              <w:jc w:val="center"/>
              <w:textAlignment w:val="baseline"/>
              <w:rPr>
                <w:color w:val="auto"/>
                <w:kern w:val="0"/>
              </w:rPr>
            </w:pPr>
            <w:r>
              <w:rPr>
                <w:rFonts w:hint="eastAsia"/>
                <w:color w:val="auto"/>
                <w:kern w:val="0"/>
              </w:rPr>
              <w:t>42.3~43.6</w:t>
            </w:r>
          </w:p>
        </w:tc>
      </w:tr>
    </w:tbl>
    <w:p>
      <w:pPr>
        <w:adjustRightInd w:val="0"/>
        <w:snapToGrid w:val="0"/>
        <w:spacing w:before="156" w:beforeLines="50" w:line="360" w:lineRule="auto"/>
        <w:ind w:firstLine="480" w:firstLineChars="200"/>
        <w:textAlignment w:val="baseline"/>
        <w:rPr>
          <w:color w:val="auto"/>
          <w:kern w:val="0"/>
          <w:sz w:val="24"/>
          <w:szCs w:val="20"/>
        </w:rPr>
      </w:pPr>
      <w:r>
        <w:rPr>
          <w:rFonts w:hint="eastAsia"/>
          <w:color w:val="auto"/>
          <w:kern w:val="0"/>
          <w:sz w:val="24"/>
          <w:szCs w:val="20"/>
        </w:rPr>
        <w:t>由监测结果可知：目前项目各厂界现状可以满足</w:t>
      </w:r>
      <w:r>
        <w:rPr>
          <w:color w:val="auto"/>
          <w:kern w:val="0"/>
          <w:sz w:val="24"/>
          <w:szCs w:val="20"/>
        </w:rPr>
        <w:t>《声环境质量标准》（GB3096-2008</w:t>
      </w:r>
      <w:r>
        <w:rPr>
          <w:rFonts w:hint="eastAsia"/>
          <w:color w:val="auto"/>
          <w:kern w:val="0"/>
          <w:sz w:val="24"/>
          <w:szCs w:val="20"/>
        </w:rPr>
        <w:t>）3类标准的要求。</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4.2.5地下水环境现状评价</w:t>
      </w:r>
      <w:bookmarkEnd w:id="275"/>
    </w:p>
    <w:p>
      <w:pPr>
        <w:pStyle w:val="6"/>
        <w:spacing w:before="0" w:after="0" w:line="360" w:lineRule="auto"/>
        <w:rPr>
          <w:b w:val="0"/>
          <w:color w:val="auto"/>
          <w:sz w:val="24"/>
          <w:szCs w:val="24"/>
        </w:rPr>
      </w:pPr>
      <w:r>
        <w:rPr>
          <w:rFonts w:hint="eastAsia"/>
          <w:b w:val="0"/>
          <w:color w:val="auto"/>
          <w:sz w:val="24"/>
          <w:szCs w:val="24"/>
        </w:rPr>
        <w:t>4.2.5.1监测点的布设</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0"/>
        </w:rPr>
        <w:t>本次地下水根据工程特征、区域环境特征及地下水流向（西南向东北），结合评价区域水资源利用和居民点生活用水情况，</w:t>
      </w:r>
      <w:r>
        <w:rPr>
          <w:color w:val="auto"/>
          <w:kern w:val="0"/>
          <w:sz w:val="24"/>
          <w:szCs w:val="24"/>
        </w:rPr>
        <w:t>同时考虑项目租用现有厂房进行建设存在厂中厂情况，故包气带设置</w:t>
      </w:r>
      <w:r>
        <w:rPr>
          <w:rFonts w:hint="eastAsia"/>
          <w:color w:val="auto"/>
          <w:kern w:val="0"/>
          <w:sz w:val="24"/>
          <w:szCs w:val="24"/>
        </w:rPr>
        <w:t>1</w:t>
      </w:r>
      <w:r>
        <w:rPr>
          <w:color w:val="auto"/>
          <w:kern w:val="0"/>
          <w:sz w:val="24"/>
          <w:szCs w:val="24"/>
        </w:rPr>
        <w:t>个监测点位</w:t>
      </w:r>
      <w:r>
        <w:rPr>
          <w:color w:val="auto"/>
          <w:kern w:val="0"/>
          <w:sz w:val="24"/>
          <w:szCs w:val="20"/>
        </w:rPr>
        <w:t>，地下水设置3个水质监测点位和6个地水位监测点，3个地下水水质监测点位分别为厂址、陈孝村和前李村，6个地下水水位监测点位分别为厂址、陈孝村、前李村、后李村、孝合村和</w:t>
      </w:r>
      <w:r>
        <w:rPr>
          <w:color w:val="auto"/>
          <w:kern w:val="0"/>
          <w:sz w:val="24"/>
          <w:szCs w:val="24"/>
        </w:rPr>
        <w:t>前寺庄村。</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陈孝村和前李村常规水质监测及特征污染因子锌以及除厂址外5个点位的地下水水位监测数据引用《河南大成包装材料有限公司年产15万吨工业钢丝（非普通松弛级别）建设项目环境影响评价报告书》（报批版），河南松筠检测技术有限公司于2020年12月3日</w:t>
      </w:r>
      <w:r>
        <w:rPr>
          <w:rFonts w:hint="eastAsia"/>
          <w:color w:val="auto"/>
          <w:kern w:val="0"/>
          <w:sz w:val="24"/>
          <w:szCs w:val="20"/>
          <w:lang w:eastAsia="zh-CN"/>
        </w:rPr>
        <w:t>～</w:t>
      </w:r>
      <w:r>
        <w:rPr>
          <w:color w:val="auto"/>
          <w:kern w:val="0"/>
          <w:sz w:val="24"/>
          <w:szCs w:val="20"/>
        </w:rPr>
        <w:t>12月5日的监测数据。</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本项目补充监测了厂址监测点位的常规因子及特征污染因子锌和镍，陈孝村和前李村监测点位的特征污染因子镍。本项目包气带</w:t>
      </w:r>
      <w:r>
        <w:rPr>
          <w:rFonts w:hint="eastAsia"/>
          <w:color w:val="auto"/>
          <w:kern w:val="0"/>
          <w:sz w:val="24"/>
          <w:szCs w:val="20"/>
        </w:rPr>
        <w:t>监测</w:t>
      </w:r>
      <w:r>
        <w:rPr>
          <w:color w:val="auto"/>
          <w:kern w:val="0"/>
          <w:sz w:val="24"/>
          <w:szCs w:val="20"/>
        </w:rPr>
        <w:t>和补充监测委托河南鼎泰检测技术有限公司于2021年9月16日～18日进行。</w:t>
      </w:r>
    </w:p>
    <w:p>
      <w:pPr>
        <w:adjustRightInd w:val="0"/>
        <w:snapToGrid w:val="0"/>
        <w:spacing w:line="360" w:lineRule="auto"/>
        <w:ind w:firstLine="480" w:firstLineChars="200"/>
        <w:textAlignment w:val="baseline"/>
        <w:rPr>
          <w:color w:val="auto"/>
          <w:kern w:val="0"/>
          <w:sz w:val="24"/>
          <w:szCs w:val="20"/>
        </w:rPr>
      </w:pPr>
      <w:bookmarkStart w:id="279" w:name="_Toc324839301"/>
      <w:bookmarkStart w:id="280" w:name="_Toc324839598"/>
      <w:r>
        <w:rPr>
          <w:color w:val="auto"/>
          <w:kern w:val="0"/>
          <w:sz w:val="24"/>
          <w:szCs w:val="20"/>
        </w:rPr>
        <w:t>包气带监测点位详见表4</w:t>
      </w:r>
      <w:r>
        <w:rPr>
          <w:rFonts w:hint="eastAsia"/>
          <w:color w:val="auto"/>
          <w:kern w:val="0"/>
          <w:sz w:val="24"/>
          <w:szCs w:val="20"/>
        </w:rPr>
        <w:t>.2</w:t>
      </w:r>
      <w:r>
        <w:rPr>
          <w:color w:val="auto"/>
          <w:kern w:val="0"/>
          <w:sz w:val="24"/>
          <w:szCs w:val="20"/>
        </w:rPr>
        <w:t>-1</w:t>
      </w:r>
      <w:r>
        <w:rPr>
          <w:rFonts w:hint="eastAsia"/>
          <w:color w:val="auto"/>
          <w:kern w:val="0"/>
          <w:sz w:val="24"/>
          <w:szCs w:val="20"/>
        </w:rPr>
        <w:t>1</w:t>
      </w:r>
      <w:r>
        <w:rPr>
          <w:color w:val="auto"/>
          <w:kern w:val="0"/>
          <w:sz w:val="24"/>
          <w:szCs w:val="20"/>
        </w:rPr>
        <w:t>，水质、水位监测点位详见表4</w:t>
      </w:r>
      <w:r>
        <w:rPr>
          <w:rFonts w:hint="eastAsia"/>
          <w:color w:val="auto"/>
          <w:kern w:val="0"/>
          <w:sz w:val="24"/>
          <w:szCs w:val="20"/>
        </w:rPr>
        <w:t>.2</w:t>
      </w:r>
      <w:r>
        <w:rPr>
          <w:color w:val="auto"/>
          <w:kern w:val="0"/>
          <w:sz w:val="24"/>
          <w:szCs w:val="20"/>
        </w:rPr>
        <w:t>-1</w:t>
      </w:r>
      <w:r>
        <w:rPr>
          <w:rFonts w:hint="eastAsia"/>
          <w:color w:val="auto"/>
          <w:kern w:val="0"/>
          <w:sz w:val="24"/>
          <w:szCs w:val="20"/>
        </w:rPr>
        <w:t>2</w:t>
      </w:r>
      <w:r>
        <w:rPr>
          <w:color w:val="auto"/>
          <w:kern w:val="0"/>
          <w:sz w:val="24"/>
          <w:szCs w:val="20"/>
        </w:rPr>
        <w:t>。</w:t>
      </w:r>
    </w:p>
    <w:p>
      <w:pPr>
        <w:adjustRightInd w:val="0"/>
        <w:snapToGrid w:val="0"/>
        <w:jc w:val="center"/>
        <w:rPr>
          <w:rFonts w:ascii="黑体" w:hAnsi="黑体" w:eastAsia="黑体"/>
          <w:color w:val="auto"/>
          <w:sz w:val="24"/>
          <w:szCs w:val="24"/>
        </w:rPr>
      </w:pPr>
      <w:r>
        <w:rPr>
          <w:rFonts w:hint="eastAsia" w:ascii="黑体" w:hAnsi="黑体" w:eastAsia="黑体"/>
          <w:color w:val="auto"/>
          <w:sz w:val="24"/>
          <w:szCs w:val="24"/>
        </w:rPr>
        <w:t>表4.2-11   包气带监测点位布设情况一览表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7"/>
        <w:gridCol w:w="2877"/>
        <w:gridCol w:w="1803"/>
        <w:gridCol w:w="2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813" w:type="pct"/>
            <w:shd w:val="clear" w:color="auto" w:fill="auto"/>
            <w:vAlign w:val="center"/>
          </w:tcPr>
          <w:p>
            <w:pPr>
              <w:widowControl w:val="0"/>
              <w:jc w:val="center"/>
              <w:rPr>
                <w:b/>
                <w:color w:val="auto"/>
              </w:rPr>
            </w:pPr>
            <w:r>
              <w:rPr>
                <w:rFonts w:hint="eastAsia"/>
                <w:b/>
                <w:color w:val="auto"/>
              </w:rPr>
              <w:t>序号</w:t>
            </w:r>
          </w:p>
        </w:tc>
        <w:tc>
          <w:tcPr>
            <w:tcW w:w="1687" w:type="pct"/>
            <w:shd w:val="clear" w:color="auto" w:fill="auto"/>
            <w:vAlign w:val="center"/>
          </w:tcPr>
          <w:p>
            <w:pPr>
              <w:widowControl w:val="0"/>
              <w:jc w:val="center"/>
              <w:rPr>
                <w:b/>
                <w:color w:val="auto"/>
              </w:rPr>
            </w:pPr>
            <w:r>
              <w:rPr>
                <w:rFonts w:hint="eastAsia"/>
                <w:b/>
                <w:color w:val="auto"/>
              </w:rPr>
              <w:t>监测点位置</w:t>
            </w:r>
          </w:p>
        </w:tc>
        <w:tc>
          <w:tcPr>
            <w:tcW w:w="1057" w:type="pct"/>
            <w:shd w:val="clear" w:color="auto" w:fill="auto"/>
            <w:vAlign w:val="center"/>
          </w:tcPr>
          <w:p>
            <w:pPr>
              <w:widowControl w:val="0"/>
              <w:jc w:val="center"/>
              <w:rPr>
                <w:b/>
                <w:color w:val="auto"/>
              </w:rPr>
            </w:pPr>
            <w:r>
              <w:rPr>
                <w:rFonts w:hint="eastAsia"/>
                <w:b/>
                <w:color w:val="auto"/>
              </w:rPr>
              <w:t>功能</w:t>
            </w:r>
          </w:p>
        </w:tc>
        <w:tc>
          <w:tcPr>
            <w:tcW w:w="1443" w:type="pct"/>
            <w:shd w:val="clear" w:color="auto" w:fill="auto"/>
            <w:vAlign w:val="center"/>
          </w:tcPr>
          <w:p>
            <w:pPr>
              <w:widowControl w:val="0"/>
              <w:jc w:val="center"/>
              <w:rPr>
                <w:b/>
                <w:color w:val="auto"/>
              </w:rPr>
            </w:pPr>
            <w:r>
              <w:rPr>
                <w:rFonts w:hint="eastAsia"/>
                <w:b/>
                <w:color w:val="auto"/>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813" w:type="pct"/>
            <w:shd w:val="clear" w:color="auto" w:fill="auto"/>
            <w:vAlign w:val="center"/>
          </w:tcPr>
          <w:p>
            <w:pPr>
              <w:widowControl w:val="0"/>
              <w:jc w:val="center"/>
              <w:rPr>
                <w:color w:val="auto"/>
              </w:rPr>
            </w:pPr>
            <w:r>
              <w:rPr>
                <w:rFonts w:hint="eastAsia"/>
                <w:color w:val="auto"/>
              </w:rPr>
              <w:t>1</w:t>
            </w:r>
          </w:p>
        </w:tc>
        <w:tc>
          <w:tcPr>
            <w:tcW w:w="1687" w:type="pct"/>
            <w:shd w:val="clear" w:color="auto" w:fill="auto"/>
            <w:vAlign w:val="center"/>
          </w:tcPr>
          <w:p>
            <w:pPr>
              <w:widowControl w:val="0"/>
              <w:jc w:val="center"/>
              <w:rPr>
                <w:color w:val="auto"/>
              </w:rPr>
            </w:pPr>
            <w:r>
              <w:rPr>
                <w:color w:val="auto"/>
              </w:rPr>
              <w:t>拟建电镀生产车间附近</w:t>
            </w:r>
          </w:p>
        </w:tc>
        <w:tc>
          <w:tcPr>
            <w:tcW w:w="1057" w:type="pct"/>
            <w:shd w:val="clear" w:color="auto" w:fill="auto"/>
            <w:vAlign w:val="center"/>
          </w:tcPr>
          <w:p>
            <w:pPr>
              <w:widowControl w:val="0"/>
              <w:jc w:val="center"/>
              <w:rPr>
                <w:color w:val="auto"/>
              </w:rPr>
            </w:pPr>
            <w:r>
              <w:rPr>
                <w:rFonts w:hint="eastAsia"/>
                <w:color w:val="auto"/>
              </w:rPr>
              <w:t>监控点</w:t>
            </w:r>
          </w:p>
        </w:tc>
        <w:tc>
          <w:tcPr>
            <w:tcW w:w="1443" w:type="pct"/>
            <w:shd w:val="clear" w:color="auto" w:fill="auto"/>
            <w:vAlign w:val="center"/>
          </w:tcPr>
          <w:p>
            <w:pPr>
              <w:widowControl w:val="0"/>
              <w:jc w:val="center"/>
              <w:rPr>
                <w:color w:val="auto"/>
              </w:rPr>
            </w:pPr>
            <w:r>
              <w:rPr>
                <w:rFonts w:hint="eastAsia"/>
                <w:color w:val="auto"/>
              </w:rPr>
              <w:t>0</w:t>
            </w:r>
            <w:r>
              <w:rPr>
                <w:rFonts w:hint="eastAsia" w:ascii="宋体" w:hAnsi="宋体"/>
                <w:color w:val="auto"/>
              </w:rPr>
              <w:t>～</w:t>
            </w:r>
            <w:r>
              <w:rPr>
                <w:rFonts w:hint="eastAsia"/>
                <w:color w:val="auto"/>
              </w:rPr>
              <w:t>20cm取1个混合样</w:t>
            </w:r>
          </w:p>
        </w:tc>
      </w:tr>
    </w:tbl>
    <w:p>
      <w:pPr>
        <w:adjustRightInd w:val="0"/>
        <w:snapToGrid w:val="0"/>
        <w:spacing w:before="156" w:beforeLines="50"/>
        <w:jc w:val="center"/>
        <w:rPr>
          <w:rFonts w:ascii="黑体" w:hAnsi="黑体" w:eastAsia="黑体"/>
          <w:color w:val="auto"/>
          <w:sz w:val="24"/>
          <w:szCs w:val="24"/>
        </w:rPr>
      </w:pPr>
      <w:r>
        <w:rPr>
          <w:rFonts w:hint="eastAsia" w:ascii="黑体" w:hAnsi="黑体" w:eastAsia="黑体"/>
          <w:color w:val="auto"/>
          <w:sz w:val="24"/>
          <w:szCs w:val="24"/>
        </w:rPr>
        <w:t>表4.2-12  地下水环境现状水质监测点位一览表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994"/>
        <w:gridCol w:w="1700"/>
        <w:gridCol w:w="1136"/>
        <w:gridCol w:w="402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jc w:val="center"/>
              <w:rPr>
                <w:b/>
                <w:color w:val="auto"/>
              </w:rPr>
            </w:pPr>
            <w:r>
              <w:rPr>
                <w:b/>
                <w:color w:val="auto"/>
              </w:rPr>
              <w:t>编号</w:t>
            </w:r>
          </w:p>
        </w:tc>
        <w:tc>
          <w:tcPr>
            <w:tcW w:w="583" w:type="pct"/>
            <w:vAlign w:val="center"/>
          </w:tcPr>
          <w:p>
            <w:pPr>
              <w:jc w:val="center"/>
              <w:rPr>
                <w:b/>
                <w:color w:val="auto"/>
              </w:rPr>
            </w:pPr>
            <w:r>
              <w:rPr>
                <w:b/>
                <w:color w:val="auto"/>
              </w:rPr>
              <w:t>监测点</w:t>
            </w:r>
          </w:p>
        </w:tc>
        <w:tc>
          <w:tcPr>
            <w:tcW w:w="997" w:type="pct"/>
            <w:vAlign w:val="center"/>
          </w:tcPr>
          <w:p>
            <w:pPr>
              <w:jc w:val="center"/>
              <w:rPr>
                <w:b/>
                <w:color w:val="auto"/>
              </w:rPr>
            </w:pPr>
            <w:r>
              <w:rPr>
                <w:b/>
                <w:color w:val="auto"/>
              </w:rPr>
              <w:t>方位及距离</w:t>
            </w:r>
          </w:p>
        </w:tc>
        <w:tc>
          <w:tcPr>
            <w:tcW w:w="666" w:type="pct"/>
            <w:vAlign w:val="center"/>
          </w:tcPr>
          <w:p>
            <w:pPr>
              <w:jc w:val="center"/>
              <w:rPr>
                <w:b/>
                <w:color w:val="auto"/>
              </w:rPr>
            </w:pPr>
            <w:r>
              <w:rPr>
                <w:b/>
                <w:color w:val="auto"/>
              </w:rPr>
              <w:t>点位属性</w:t>
            </w:r>
          </w:p>
        </w:tc>
        <w:tc>
          <w:tcPr>
            <w:tcW w:w="2358" w:type="pct"/>
            <w:vAlign w:val="center"/>
          </w:tcPr>
          <w:p>
            <w:pPr>
              <w:jc w:val="center"/>
              <w:rPr>
                <w:b/>
                <w:color w:val="auto"/>
              </w:rPr>
            </w:pPr>
            <w:r>
              <w:rPr>
                <w:b/>
                <w:color w:val="auto"/>
              </w:rPr>
              <w:t>监测因子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1#</w:t>
            </w:r>
          </w:p>
        </w:tc>
        <w:tc>
          <w:tcPr>
            <w:tcW w:w="583" w:type="pct"/>
            <w:vAlign w:val="center"/>
          </w:tcPr>
          <w:p>
            <w:pPr>
              <w:contextualSpacing/>
              <w:jc w:val="center"/>
              <w:textAlignment w:val="baseline"/>
              <w:rPr>
                <w:color w:val="auto"/>
                <w:kern w:val="0"/>
              </w:rPr>
            </w:pPr>
            <w:r>
              <w:rPr>
                <w:color w:val="auto"/>
                <w:kern w:val="0"/>
              </w:rPr>
              <w:t>陈孝村</w:t>
            </w:r>
          </w:p>
        </w:tc>
        <w:tc>
          <w:tcPr>
            <w:tcW w:w="997" w:type="pct"/>
            <w:vAlign w:val="center"/>
          </w:tcPr>
          <w:p>
            <w:pPr>
              <w:contextualSpacing/>
              <w:jc w:val="center"/>
              <w:textAlignment w:val="baseline"/>
              <w:rPr>
                <w:color w:val="auto"/>
                <w:kern w:val="0"/>
              </w:rPr>
            </w:pPr>
            <w:r>
              <w:rPr>
                <w:rFonts w:hint="eastAsia"/>
                <w:color w:val="auto"/>
                <w:kern w:val="0"/>
              </w:rPr>
              <w:t>SW</w:t>
            </w:r>
            <w:r>
              <w:rPr>
                <w:color w:val="auto"/>
                <w:kern w:val="0"/>
              </w:rPr>
              <w:t>，2539m</w:t>
            </w:r>
          </w:p>
        </w:tc>
        <w:tc>
          <w:tcPr>
            <w:tcW w:w="666" w:type="pct"/>
            <w:vMerge w:val="restart"/>
            <w:vAlign w:val="center"/>
          </w:tcPr>
          <w:p>
            <w:pPr>
              <w:contextualSpacing/>
              <w:jc w:val="center"/>
              <w:textAlignment w:val="baseline"/>
              <w:rPr>
                <w:color w:val="auto"/>
                <w:kern w:val="0"/>
              </w:rPr>
            </w:pPr>
            <w:r>
              <w:rPr>
                <w:color w:val="auto"/>
                <w:kern w:val="0"/>
              </w:rPr>
              <w:t>水质监测点</w:t>
            </w:r>
          </w:p>
        </w:tc>
        <w:tc>
          <w:tcPr>
            <w:tcW w:w="2358" w:type="pct"/>
            <w:vMerge w:val="restart"/>
            <w:vAlign w:val="center"/>
          </w:tcPr>
          <w:p>
            <w:pPr>
              <w:contextualSpacing/>
              <w:jc w:val="center"/>
              <w:textAlignment w:val="baseline"/>
              <w:rPr>
                <w:color w:val="auto"/>
                <w:kern w:val="0"/>
              </w:rPr>
            </w:pPr>
            <w:r>
              <w:rPr>
                <w:color w:val="auto"/>
                <w:kern w:val="0"/>
              </w:rPr>
              <w:t>PH值、K</w:t>
            </w:r>
            <w:r>
              <w:rPr>
                <w:color w:val="auto"/>
                <w:kern w:val="0"/>
                <w:vertAlign w:val="superscript"/>
              </w:rPr>
              <w:t>+</w:t>
            </w:r>
            <w:r>
              <w:rPr>
                <w:color w:val="auto"/>
                <w:kern w:val="0"/>
              </w:rPr>
              <w:t>、Na</w:t>
            </w:r>
            <w:r>
              <w:rPr>
                <w:color w:val="auto"/>
                <w:kern w:val="0"/>
                <w:vertAlign w:val="superscript"/>
              </w:rPr>
              <w:t>+</w:t>
            </w:r>
            <w:r>
              <w:rPr>
                <w:color w:val="auto"/>
                <w:kern w:val="0"/>
              </w:rPr>
              <w:t>、Ca</w:t>
            </w:r>
            <w:r>
              <w:rPr>
                <w:color w:val="auto"/>
                <w:kern w:val="0"/>
                <w:vertAlign w:val="superscript"/>
              </w:rPr>
              <w:t>2+</w:t>
            </w:r>
            <w:r>
              <w:rPr>
                <w:color w:val="auto"/>
                <w:kern w:val="0"/>
              </w:rPr>
              <w:t>、Mg</w:t>
            </w:r>
            <w:r>
              <w:rPr>
                <w:color w:val="auto"/>
                <w:kern w:val="0"/>
                <w:vertAlign w:val="superscript"/>
              </w:rPr>
              <w:t>2</w:t>
            </w:r>
            <w:r>
              <w:rPr>
                <w:color w:val="auto"/>
                <w:kern w:val="0"/>
              </w:rPr>
              <w:t>+、CO3</w:t>
            </w:r>
            <w:r>
              <w:rPr>
                <w:color w:val="auto"/>
                <w:kern w:val="0"/>
                <w:vertAlign w:val="superscript"/>
              </w:rPr>
              <w:t>2-</w:t>
            </w:r>
            <w:r>
              <w:rPr>
                <w:color w:val="auto"/>
                <w:kern w:val="0"/>
              </w:rPr>
              <w:t>、HCO</w:t>
            </w:r>
            <w:r>
              <w:rPr>
                <w:color w:val="auto"/>
                <w:kern w:val="0"/>
                <w:vertAlign w:val="superscript"/>
              </w:rPr>
              <w:t>3-</w:t>
            </w:r>
            <w:r>
              <w:rPr>
                <w:color w:val="auto"/>
                <w:kern w:val="0"/>
              </w:rPr>
              <w:t>、Cl-、SO4</w:t>
            </w:r>
            <w:r>
              <w:rPr>
                <w:color w:val="auto"/>
                <w:kern w:val="0"/>
                <w:vertAlign w:val="superscript"/>
              </w:rPr>
              <w:t>2-</w:t>
            </w:r>
            <w:r>
              <w:rPr>
                <w:color w:val="auto"/>
                <w:kern w:val="0"/>
              </w:rPr>
              <w:t>、氨氮、亚硝酸盐、挥发性酚类、砷、汞、铬（六价）、总硬度、铅、铁、锌、镍、溶解性总固体、总大肠菌群、阴离子合成洗涤剂、耗氧量，同时记录水温、水位埋深、井深、监测井经纬度坐标、海拔高度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2#</w:t>
            </w:r>
          </w:p>
        </w:tc>
        <w:tc>
          <w:tcPr>
            <w:tcW w:w="583" w:type="pct"/>
            <w:vAlign w:val="center"/>
          </w:tcPr>
          <w:p>
            <w:pPr>
              <w:contextualSpacing/>
              <w:jc w:val="center"/>
              <w:textAlignment w:val="baseline"/>
              <w:rPr>
                <w:color w:val="auto"/>
                <w:kern w:val="0"/>
              </w:rPr>
            </w:pPr>
            <w:r>
              <w:rPr>
                <w:color w:val="auto"/>
                <w:kern w:val="0"/>
              </w:rPr>
              <w:t>厂址</w:t>
            </w:r>
          </w:p>
        </w:tc>
        <w:tc>
          <w:tcPr>
            <w:tcW w:w="997" w:type="pct"/>
            <w:vAlign w:val="center"/>
          </w:tcPr>
          <w:p>
            <w:pPr>
              <w:contextualSpacing/>
              <w:jc w:val="center"/>
              <w:textAlignment w:val="baseline"/>
              <w:rPr>
                <w:color w:val="auto"/>
                <w:kern w:val="0"/>
              </w:rPr>
            </w:pPr>
            <w:r>
              <w:rPr>
                <w:color w:val="auto"/>
                <w:kern w:val="0"/>
              </w:rPr>
              <w:t>/</w:t>
            </w:r>
          </w:p>
        </w:tc>
        <w:tc>
          <w:tcPr>
            <w:tcW w:w="666" w:type="pct"/>
            <w:vMerge w:val="continue"/>
            <w:vAlign w:val="center"/>
          </w:tcPr>
          <w:p>
            <w:pPr>
              <w:contextualSpacing/>
              <w:jc w:val="center"/>
              <w:textAlignment w:val="baseline"/>
              <w:rPr>
                <w:color w:val="auto"/>
                <w:kern w:val="0"/>
              </w:rPr>
            </w:pPr>
          </w:p>
        </w:tc>
        <w:tc>
          <w:tcPr>
            <w:tcW w:w="235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3#</w:t>
            </w:r>
          </w:p>
        </w:tc>
        <w:tc>
          <w:tcPr>
            <w:tcW w:w="583" w:type="pct"/>
            <w:vAlign w:val="center"/>
          </w:tcPr>
          <w:p>
            <w:pPr>
              <w:contextualSpacing/>
              <w:jc w:val="center"/>
              <w:textAlignment w:val="baseline"/>
              <w:rPr>
                <w:color w:val="auto"/>
                <w:kern w:val="0"/>
              </w:rPr>
            </w:pPr>
            <w:r>
              <w:rPr>
                <w:color w:val="auto"/>
                <w:kern w:val="0"/>
              </w:rPr>
              <w:t>前李庄</w:t>
            </w:r>
          </w:p>
        </w:tc>
        <w:tc>
          <w:tcPr>
            <w:tcW w:w="997" w:type="pct"/>
            <w:vAlign w:val="center"/>
          </w:tcPr>
          <w:p>
            <w:pPr>
              <w:contextualSpacing/>
              <w:jc w:val="center"/>
              <w:textAlignment w:val="baseline"/>
              <w:rPr>
                <w:color w:val="auto"/>
                <w:kern w:val="0"/>
              </w:rPr>
            </w:pPr>
            <w:r>
              <w:rPr>
                <w:rFonts w:hint="eastAsia"/>
                <w:color w:val="auto"/>
                <w:kern w:val="0"/>
              </w:rPr>
              <w:t>NE</w:t>
            </w:r>
            <w:r>
              <w:rPr>
                <w:color w:val="auto"/>
                <w:kern w:val="0"/>
              </w:rPr>
              <w:t>，276m</w:t>
            </w:r>
          </w:p>
        </w:tc>
        <w:tc>
          <w:tcPr>
            <w:tcW w:w="666" w:type="pct"/>
            <w:vMerge w:val="continue"/>
            <w:vAlign w:val="center"/>
          </w:tcPr>
          <w:p>
            <w:pPr>
              <w:contextualSpacing/>
              <w:jc w:val="center"/>
              <w:textAlignment w:val="baseline"/>
              <w:rPr>
                <w:color w:val="auto"/>
                <w:kern w:val="0"/>
              </w:rPr>
            </w:pPr>
          </w:p>
        </w:tc>
        <w:tc>
          <w:tcPr>
            <w:tcW w:w="235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4#</w:t>
            </w:r>
          </w:p>
        </w:tc>
        <w:tc>
          <w:tcPr>
            <w:tcW w:w="583" w:type="pct"/>
            <w:vAlign w:val="center"/>
          </w:tcPr>
          <w:p>
            <w:pPr>
              <w:jc w:val="center"/>
              <w:rPr>
                <w:color w:val="auto"/>
              </w:rPr>
            </w:pPr>
            <w:r>
              <w:rPr>
                <w:color w:val="auto"/>
              </w:rPr>
              <w:t>陈孝村</w:t>
            </w:r>
          </w:p>
        </w:tc>
        <w:tc>
          <w:tcPr>
            <w:tcW w:w="997" w:type="pct"/>
            <w:vAlign w:val="center"/>
          </w:tcPr>
          <w:p>
            <w:pPr>
              <w:jc w:val="center"/>
              <w:rPr>
                <w:color w:val="auto"/>
              </w:rPr>
            </w:pPr>
            <w:r>
              <w:rPr>
                <w:rFonts w:hint="eastAsia"/>
                <w:color w:val="auto"/>
              </w:rPr>
              <w:t>SW</w:t>
            </w:r>
            <w:r>
              <w:rPr>
                <w:color w:val="auto"/>
              </w:rPr>
              <w:t>，2539m</w:t>
            </w:r>
          </w:p>
        </w:tc>
        <w:tc>
          <w:tcPr>
            <w:tcW w:w="666" w:type="pct"/>
            <w:vMerge w:val="restart"/>
            <w:vAlign w:val="center"/>
          </w:tcPr>
          <w:p>
            <w:pPr>
              <w:jc w:val="center"/>
              <w:rPr>
                <w:color w:val="auto"/>
              </w:rPr>
            </w:pPr>
            <w:r>
              <w:rPr>
                <w:color w:val="auto"/>
              </w:rPr>
              <w:t>水位点位</w:t>
            </w:r>
          </w:p>
        </w:tc>
        <w:tc>
          <w:tcPr>
            <w:tcW w:w="2358" w:type="pct"/>
            <w:vMerge w:val="restart"/>
            <w:vAlign w:val="center"/>
          </w:tcPr>
          <w:p>
            <w:pPr>
              <w:contextualSpacing/>
              <w:jc w:val="center"/>
              <w:textAlignment w:val="baseline"/>
              <w:rPr>
                <w:color w:val="auto"/>
                <w:kern w:val="0"/>
              </w:rPr>
            </w:pPr>
            <w:r>
              <w:rPr>
                <w:color w:val="auto"/>
                <w:kern w:val="0"/>
              </w:rPr>
              <w:t>井深，水位</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5#</w:t>
            </w:r>
          </w:p>
        </w:tc>
        <w:tc>
          <w:tcPr>
            <w:tcW w:w="583" w:type="pct"/>
            <w:vAlign w:val="center"/>
          </w:tcPr>
          <w:p>
            <w:pPr>
              <w:jc w:val="center"/>
              <w:rPr>
                <w:color w:val="auto"/>
              </w:rPr>
            </w:pPr>
            <w:r>
              <w:rPr>
                <w:color w:val="auto"/>
              </w:rPr>
              <w:t>孝合村</w:t>
            </w:r>
          </w:p>
        </w:tc>
        <w:tc>
          <w:tcPr>
            <w:tcW w:w="997" w:type="pct"/>
            <w:vAlign w:val="center"/>
          </w:tcPr>
          <w:p>
            <w:pPr>
              <w:jc w:val="center"/>
              <w:rPr>
                <w:color w:val="auto"/>
              </w:rPr>
            </w:pPr>
            <w:r>
              <w:rPr>
                <w:rFonts w:hint="eastAsia"/>
                <w:color w:val="auto"/>
              </w:rPr>
              <w:t>SSW</w:t>
            </w:r>
            <w:r>
              <w:rPr>
                <w:color w:val="auto"/>
              </w:rPr>
              <w:t>，2076m</w:t>
            </w:r>
          </w:p>
        </w:tc>
        <w:tc>
          <w:tcPr>
            <w:tcW w:w="666" w:type="pct"/>
            <w:vMerge w:val="continue"/>
            <w:vAlign w:val="center"/>
          </w:tcPr>
          <w:p>
            <w:pPr>
              <w:jc w:val="center"/>
              <w:rPr>
                <w:color w:val="auto"/>
              </w:rPr>
            </w:pPr>
          </w:p>
        </w:tc>
        <w:tc>
          <w:tcPr>
            <w:tcW w:w="235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6#</w:t>
            </w:r>
          </w:p>
        </w:tc>
        <w:tc>
          <w:tcPr>
            <w:tcW w:w="583" w:type="pct"/>
            <w:vAlign w:val="center"/>
          </w:tcPr>
          <w:p>
            <w:pPr>
              <w:jc w:val="center"/>
              <w:rPr>
                <w:color w:val="auto"/>
              </w:rPr>
            </w:pPr>
            <w:r>
              <w:rPr>
                <w:color w:val="auto"/>
              </w:rPr>
              <w:t>厂址</w:t>
            </w:r>
          </w:p>
        </w:tc>
        <w:tc>
          <w:tcPr>
            <w:tcW w:w="997" w:type="pct"/>
            <w:vAlign w:val="center"/>
          </w:tcPr>
          <w:p>
            <w:pPr>
              <w:jc w:val="center"/>
              <w:rPr>
                <w:color w:val="auto"/>
              </w:rPr>
            </w:pPr>
            <w:r>
              <w:rPr>
                <w:color w:val="auto"/>
              </w:rPr>
              <w:t>/</w:t>
            </w:r>
          </w:p>
        </w:tc>
        <w:tc>
          <w:tcPr>
            <w:tcW w:w="666" w:type="pct"/>
            <w:vMerge w:val="continue"/>
            <w:vAlign w:val="center"/>
          </w:tcPr>
          <w:p>
            <w:pPr>
              <w:jc w:val="center"/>
              <w:rPr>
                <w:color w:val="auto"/>
              </w:rPr>
            </w:pPr>
          </w:p>
        </w:tc>
        <w:tc>
          <w:tcPr>
            <w:tcW w:w="235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7#</w:t>
            </w:r>
          </w:p>
        </w:tc>
        <w:tc>
          <w:tcPr>
            <w:tcW w:w="583" w:type="pct"/>
            <w:vAlign w:val="center"/>
          </w:tcPr>
          <w:p>
            <w:pPr>
              <w:jc w:val="center"/>
              <w:rPr>
                <w:color w:val="auto"/>
              </w:rPr>
            </w:pPr>
            <w:r>
              <w:rPr>
                <w:color w:val="auto"/>
              </w:rPr>
              <w:t>前李庄</w:t>
            </w:r>
          </w:p>
        </w:tc>
        <w:tc>
          <w:tcPr>
            <w:tcW w:w="997" w:type="pct"/>
            <w:vAlign w:val="center"/>
          </w:tcPr>
          <w:p>
            <w:pPr>
              <w:jc w:val="center"/>
              <w:rPr>
                <w:color w:val="auto"/>
              </w:rPr>
            </w:pPr>
            <w:r>
              <w:rPr>
                <w:rFonts w:hint="eastAsia"/>
                <w:color w:val="auto"/>
              </w:rPr>
              <w:t>NE</w:t>
            </w:r>
            <w:r>
              <w:rPr>
                <w:color w:val="auto"/>
              </w:rPr>
              <w:t>，276m</w:t>
            </w:r>
          </w:p>
        </w:tc>
        <w:tc>
          <w:tcPr>
            <w:tcW w:w="666" w:type="pct"/>
            <w:vMerge w:val="continue"/>
            <w:vAlign w:val="center"/>
          </w:tcPr>
          <w:p>
            <w:pPr>
              <w:jc w:val="center"/>
              <w:rPr>
                <w:color w:val="auto"/>
              </w:rPr>
            </w:pPr>
          </w:p>
        </w:tc>
        <w:tc>
          <w:tcPr>
            <w:tcW w:w="235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8#</w:t>
            </w:r>
          </w:p>
        </w:tc>
        <w:tc>
          <w:tcPr>
            <w:tcW w:w="583" w:type="pct"/>
            <w:vAlign w:val="center"/>
          </w:tcPr>
          <w:p>
            <w:pPr>
              <w:jc w:val="center"/>
              <w:rPr>
                <w:color w:val="auto"/>
              </w:rPr>
            </w:pPr>
            <w:r>
              <w:rPr>
                <w:color w:val="auto"/>
              </w:rPr>
              <w:t>前寺庄村</w:t>
            </w:r>
          </w:p>
        </w:tc>
        <w:tc>
          <w:tcPr>
            <w:tcW w:w="997" w:type="pct"/>
            <w:vAlign w:val="center"/>
          </w:tcPr>
          <w:p>
            <w:pPr>
              <w:jc w:val="center"/>
              <w:rPr>
                <w:color w:val="auto"/>
              </w:rPr>
            </w:pPr>
            <w:r>
              <w:rPr>
                <w:rFonts w:hint="eastAsia"/>
                <w:color w:val="auto"/>
              </w:rPr>
              <w:t>NE</w:t>
            </w:r>
            <w:r>
              <w:rPr>
                <w:color w:val="auto"/>
              </w:rPr>
              <w:t>，1458m</w:t>
            </w:r>
          </w:p>
        </w:tc>
        <w:tc>
          <w:tcPr>
            <w:tcW w:w="666" w:type="pct"/>
            <w:vMerge w:val="continue"/>
            <w:vAlign w:val="center"/>
          </w:tcPr>
          <w:p>
            <w:pPr>
              <w:jc w:val="center"/>
              <w:rPr>
                <w:color w:val="auto"/>
              </w:rPr>
            </w:pPr>
          </w:p>
        </w:tc>
        <w:tc>
          <w:tcPr>
            <w:tcW w:w="235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96" w:type="pct"/>
            <w:vAlign w:val="center"/>
          </w:tcPr>
          <w:p>
            <w:pPr>
              <w:contextualSpacing/>
              <w:jc w:val="center"/>
              <w:textAlignment w:val="baseline"/>
              <w:rPr>
                <w:color w:val="auto"/>
                <w:kern w:val="0"/>
              </w:rPr>
            </w:pPr>
            <w:r>
              <w:rPr>
                <w:color w:val="auto"/>
                <w:kern w:val="0"/>
              </w:rPr>
              <w:t>9#</w:t>
            </w:r>
          </w:p>
        </w:tc>
        <w:tc>
          <w:tcPr>
            <w:tcW w:w="583" w:type="pct"/>
            <w:vAlign w:val="center"/>
          </w:tcPr>
          <w:p>
            <w:pPr>
              <w:jc w:val="center"/>
              <w:rPr>
                <w:color w:val="auto"/>
              </w:rPr>
            </w:pPr>
            <w:r>
              <w:rPr>
                <w:color w:val="auto"/>
              </w:rPr>
              <w:t>后李村</w:t>
            </w:r>
          </w:p>
        </w:tc>
        <w:tc>
          <w:tcPr>
            <w:tcW w:w="997" w:type="pct"/>
            <w:vAlign w:val="center"/>
          </w:tcPr>
          <w:p>
            <w:pPr>
              <w:jc w:val="center"/>
              <w:rPr>
                <w:color w:val="auto"/>
              </w:rPr>
            </w:pPr>
            <w:r>
              <w:rPr>
                <w:rFonts w:hint="eastAsia"/>
                <w:color w:val="auto"/>
              </w:rPr>
              <w:t>N</w:t>
            </w:r>
            <w:r>
              <w:rPr>
                <w:color w:val="auto"/>
              </w:rPr>
              <w:t>，740m</w:t>
            </w:r>
          </w:p>
        </w:tc>
        <w:tc>
          <w:tcPr>
            <w:tcW w:w="666" w:type="pct"/>
            <w:vMerge w:val="continue"/>
            <w:vAlign w:val="center"/>
          </w:tcPr>
          <w:p>
            <w:pPr>
              <w:jc w:val="center"/>
              <w:rPr>
                <w:color w:val="auto"/>
              </w:rPr>
            </w:pPr>
          </w:p>
        </w:tc>
        <w:tc>
          <w:tcPr>
            <w:tcW w:w="2358" w:type="pct"/>
            <w:vMerge w:val="continue"/>
            <w:vAlign w:val="center"/>
          </w:tcPr>
          <w:p>
            <w:pPr>
              <w:contextualSpacing/>
              <w:jc w:val="center"/>
              <w:textAlignment w:val="baseline"/>
              <w:rPr>
                <w:color w:val="auto"/>
                <w:kern w:val="0"/>
              </w:rPr>
            </w:pPr>
          </w:p>
        </w:tc>
      </w:tr>
    </w:tbl>
    <w:p>
      <w:pPr>
        <w:pStyle w:val="6"/>
        <w:spacing w:before="0" w:after="0" w:line="360" w:lineRule="auto"/>
        <w:rPr>
          <w:snapToGrid w:val="0"/>
          <w:color w:val="auto"/>
          <w:kern w:val="0"/>
          <w:sz w:val="24"/>
          <w:szCs w:val="20"/>
        </w:rPr>
      </w:pPr>
      <w:r>
        <w:rPr>
          <w:rFonts w:hint="eastAsia"/>
          <w:b w:val="0"/>
          <w:color w:val="auto"/>
          <w:sz w:val="24"/>
          <w:szCs w:val="24"/>
        </w:rPr>
        <w:t>4.2.5.2监测因子、分析方法及监测频率</w:t>
      </w:r>
    </w:p>
    <w:p>
      <w:pPr>
        <w:adjustRightInd w:val="0"/>
        <w:snapToGrid w:val="0"/>
        <w:spacing w:before="156" w:beforeLines="50" w:line="360" w:lineRule="auto"/>
        <w:ind w:firstLine="480" w:firstLineChars="200"/>
        <w:textAlignment w:val="baseline"/>
        <w:rPr>
          <w:color w:val="auto"/>
          <w:kern w:val="0"/>
          <w:sz w:val="24"/>
          <w:szCs w:val="20"/>
        </w:rPr>
      </w:pPr>
      <w:r>
        <w:rPr>
          <w:color w:val="auto"/>
          <w:kern w:val="0"/>
          <w:sz w:val="24"/>
          <w:szCs w:val="20"/>
        </w:rPr>
        <w:t>本次地下水</w:t>
      </w:r>
      <w:r>
        <w:rPr>
          <w:rFonts w:hint="eastAsia"/>
          <w:color w:val="auto"/>
          <w:kern w:val="0"/>
          <w:sz w:val="24"/>
          <w:szCs w:val="20"/>
        </w:rPr>
        <w:t>水质</w:t>
      </w:r>
      <w:r>
        <w:rPr>
          <w:color w:val="auto"/>
          <w:kern w:val="0"/>
          <w:sz w:val="24"/>
          <w:szCs w:val="20"/>
        </w:rPr>
        <w:t>现状监测因子选取pH值、K</w:t>
      </w:r>
      <w:r>
        <w:rPr>
          <w:color w:val="auto"/>
          <w:kern w:val="0"/>
          <w:sz w:val="24"/>
          <w:szCs w:val="20"/>
          <w:vertAlign w:val="superscript"/>
        </w:rPr>
        <w:t>+</w:t>
      </w:r>
      <w:r>
        <w:rPr>
          <w:color w:val="auto"/>
          <w:kern w:val="0"/>
          <w:sz w:val="24"/>
          <w:szCs w:val="20"/>
        </w:rPr>
        <w:t>、Na</w:t>
      </w:r>
      <w:r>
        <w:rPr>
          <w:color w:val="auto"/>
          <w:kern w:val="0"/>
          <w:sz w:val="24"/>
          <w:szCs w:val="20"/>
          <w:vertAlign w:val="superscript"/>
        </w:rPr>
        <w:t>+</w:t>
      </w:r>
      <w:r>
        <w:rPr>
          <w:color w:val="auto"/>
          <w:kern w:val="0"/>
          <w:sz w:val="24"/>
          <w:szCs w:val="20"/>
        </w:rPr>
        <w:t>、Ca</w:t>
      </w:r>
      <w:r>
        <w:rPr>
          <w:color w:val="auto"/>
          <w:kern w:val="0"/>
          <w:sz w:val="24"/>
          <w:szCs w:val="20"/>
          <w:vertAlign w:val="superscript"/>
        </w:rPr>
        <w:t>2+</w:t>
      </w:r>
      <w:r>
        <w:rPr>
          <w:color w:val="auto"/>
          <w:kern w:val="0"/>
          <w:sz w:val="24"/>
          <w:szCs w:val="20"/>
        </w:rPr>
        <w:t>、Mg</w:t>
      </w:r>
      <w:r>
        <w:rPr>
          <w:color w:val="auto"/>
          <w:kern w:val="0"/>
          <w:sz w:val="24"/>
          <w:szCs w:val="20"/>
          <w:vertAlign w:val="superscript"/>
        </w:rPr>
        <w:t>2+</w:t>
      </w:r>
      <w:r>
        <w:rPr>
          <w:color w:val="auto"/>
          <w:kern w:val="0"/>
          <w:sz w:val="24"/>
          <w:szCs w:val="20"/>
        </w:rPr>
        <w:t>、CO</w:t>
      </w:r>
      <w:r>
        <w:rPr>
          <w:color w:val="auto"/>
          <w:kern w:val="0"/>
          <w:sz w:val="24"/>
          <w:szCs w:val="20"/>
          <w:vertAlign w:val="subscript"/>
        </w:rPr>
        <w:t>3</w:t>
      </w:r>
      <w:r>
        <w:rPr>
          <w:color w:val="auto"/>
          <w:kern w:val="0"/>
          <w:sz w:val="24"/>
          <w:szCs w:val="20"/>
          <w:vertAlign w:val="superscript"/>
        </w:rPr>
        <w:t>2-</w:t>
      </w:r>
      <w:r>
        <w:rPr>
          <w:color w:val="auto"/>
          <w:kern w:val="0"/>
          <w:sz w:val="24"/>
          <w:szCs w:val="20"/>
        </w:rPr>
        <w:t>、HCO</w:t>
      </w:r>
      <w:r>
        <w:rPr>
          <w:color w:val="auto"/>
          <w:kern w:val="0"/>
          <w:sz w:val="24"/>
          <w:szCs w:val="20"/>
          <w:vertAlign w:val="superscript"/>
        </w:rPr>
        <w:t>3-</w:t>
      </w:r>
      <w:r>
        <w:rPr>
          <w:color w:val="auto"/>
          <w:kern w:val="0"/>
          <w:sz w:val="24"/>
          <w:szCs w:val="20"/>
        </w:rPr>
        <w:t>、Cl</w:t>
      </w:r>
      <w:r>
        <w:rPr>
          <w:color w:val="auto"/>
          <w:kern w:val="0"/>
          <w:sz w:val="24"/>
          <w:szCs w:val="20"/>
          <w:vertAlign w:val="superscript"/>
        </w:rPr>
        <w:t>-</w:t>
      </w:r>
      <w:r>
        <w:rPr>
          <w:color w:val="auto"/>
          <w:kern w:val="0"/>
          <w:sz w:val="24"/>
          <w:szCs w:val="20"/>
        </w:rPr>
        <w:t>、SO</w:t>
      </w:r>
      <w:r>
        <w:rPr>
          <w:color w:val="auto"/>
          <w:kern w:val="0"/>
          <w:sz w:val="24"/>
          <w:szCs w:val="20"/>
          <w:vertAlign w:val="subscript"/>
        </w:rPr>
        <w:t>4</w:t>
      </w:r>
      <w:r>
        <w:rPr>
          <w:color w:val="auto"/>
          <w:kern w:val="0"/>
          <w:sz w:val="24"/>
          <w:szCs w:val="20"/>
          <w:vertAlign w:val="superscript"/>
        </w:rPr>
        <w:t>2-</w:t>
      </w:r>
      <w:r>
        <w:rPr>
          <w:color w:val="auto"/>
          <w:kern w:val="0"/>
          <w:sz w:val="24"/>
          <w:szCs w:val="20"/>
        </w:rPr>
        <w:t>、氨氮、亚硝酸盐、挥发性酚类、砷、汞、铬（六价）、铬、总硬度、铅、铁、锌</w:t>
      </w:r>
      <w:r>
        <w:rPr>
          <w:rFonts w:hint="eastAsia"/>
          <w:color w:val="auto"/>
          <w:kern w:val="0"/>
          <w:sz w:val="24"/>
          <w:szCs w:val="20"/>
        </w:rPr>
        <w:t>、镍、</w:t>
      </w:r>
      <w:r>
        <w:rPr>
          <w:color w:val="auto"/>
          <w:kern w:val="0"/>
          <w:sz w:val="24"/>
          <w:szCs w:val="20"/>
        </w:rPr>
        <w:t>溶解性总固体、阴离子合成洗涤剂、耗氧量、井深、水位</w:t>
      </w:r>
      <w:r>
        <w:rPr>
          <w:rFonts w:hint="eastAsia"/>
          <w:color w:val="auto"/>
          <w:kern w:val="0"/>
          <w:sz w:val="24"/>
          <w:szCs w:val="20"/>
        </w:rPr>
        <w:t>。各监测因子的监测分析方法及监测频率详见表4.2-13。</w:t>
      </w:r>
    </w:p>
    <w:bookmarkEnd w:id="279"/>
    <w:bookmarkEnd w:id="280"/>
    <w:p>
      <w:pPr>
        <w:keepNext w:val="0"/>
        <w:keepLines w:val="0"/>
        <w:pageBreakBefore w:val="0"/>
        <w:widowControl/>
        <w:kinsoku/>
        <w:wordWrap/>
        <w:overflowPunct/>
        <w:topLinePunct w:val="0"/>
        <w:autoSpaceDE/>
        <w:autoSpaceDN/>
        <w:bidi w:val="0"/>
        <w:adjustRightInd/>
        <w:snapToGrid/>
        <w:jc w:val="center"/>
        <w:textAlignment w:val="auto"/>
        <w:rPr>
          <w:rFonts w:ascii="黑体" w:hAnsi="黑体" w:eastAsia="黑体"/>
          <w:color w:val="auto"/>
          <w:sz w:val="24"/>
          <w:szCs w:val="24"/>
        </w:rPr>
      </w:pPr>
      <w:r>
        <w:rPr>
          <w:rFonts w:hint="eastAsia" w:ascii="黑体" w:hAnsi="黑体" w:eastAsia="黑体"/>
          <w:color w:val="auto"/>
          <w:sz w:val="24"/>
          <w:szCs w:val="24"/>
        </w:rPr>
        <w:t>表4.2-13         监测方法及监测频次一览表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28" w:type="dxa"/>
          <w:bottom w:w="0" w:type="dxa"/>
          <w:right w:w="28" w:type="dxa"/>
        </w:tblCellMar>
      </w:tblPr>
      <w:tblGrid>
        <w:gridCol w:w="756"/>
        <w:gridCol w:w="1254"/>
        <w:gridCol w:w="2629"/>
        <w:gridCol w:w="1101"/>
        <w:gridCol w:w="1591"/>
        <w:gridCol w:w="1037"/>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tblHeader/>
          <w:jc w:val="center"/>
        </w:trPr>
        <w:tc>
          <w:tcPr>
            <w:tcW w:w="452" w:type="pct"/>
            <w:vAlign w:val="center"/>
          </w:tcPr>
          <w:p>
            <w:pPr>
              <w:jc w:val="center"/>
              <w:rPr>
                <w:rFonts w:cs="宋体"/>
                <w:b/>
                <w:color w:val="auto"/>
                <w:szCs w:val="20"/>
              </w:rPr>
            </w:pPr>
            <w:r>
              <w:rPr>
                <w:rFonts w:hint="eastAsia" w:cs="宋体"/>
                <w:b/>
                <w:color w:val="auto"/>
                <w:szCs w:val="20"/>
              </w:rPr>
              <w:t>序号</w:t>
            </w:r>
          </w:p>
        </w:tc>
        <w:tc>
          <w:tcPr>
            <w:tcW w:w="749" w:type="pct"/>
            <w:vAlign w:val="center"/>
          </w:tcPr>
          <w:p>
            <w:pPr>
              <w:jc w:val="center"/>
              <w:rPr>
                <w:rFonts w:cs="宋体"/>
                <w:b/>
                <w:color w:val="auto"/>
                <w:szCs w:val="20"/>
              </w:rPr>
            </w:pPr>
            <w:r>
              <w:rPr>
                <w:rFonts w:hint="eastAsia" w:cs="宋体"/>
                <w:b/>
                <w:color w:val="auto"/>
                <w:szCs w:val="20"/>
              </w:rPr>
              <w:t>监测项目</w:t>
            </w:r>
          </w:p>
        </w:tc>
        <w:tc>
          <w:tcPr>
            <w:tcW w:w="1570" w:type="pct"/>
            <w:vAlign w:val="center"/>
          </w:tcPr>
          <w:p>
            <w:pPr>
              <w:jc w:val="center"/>
              <w:rPr>
                <w:rFonts w:cs="宋体"/>
                <w:b/>
                <w:color w:val="auto"/>
                <w:szCs w:val="20"/>
              </w:rPr>
            </w:pPr>
            <w:r>
              <w:rPr>
                <w:rFonts w:hint="eastAsia" w:cs="宋体"/>
                <w:b/>
                <w:color w:val="auto"/>
                <w:szCs w:val="20"/>
              </w:rPr>
              <w:t>分析方法</w:t>
            </w:r>
          </w:p>
        </w:tc>
        <w:tc>
          <w:tcPr>
            <w:tcW w:w="657" w:type="pct"/>
            <w:vAlign w:val="center"/>
          </w:tcPr>
          <w:p>
            <w:pPr>
              <w:jc w:val="center"/>
              <w:rPr>
                <w:rFonts w:cs="宋体"/>
                <w:b/>
                <w:color w:val="auto"/>
                <w:szCs w:val="20"/>
              </w:rPr>
            </w:pPr>
            <w:r>
              <w:rPr>
                <w:rFonts w:hint="eastAsia" w:cs="宋体"/>
                <w:b/>
                <w:color w:val="auto"/>
                <w:szCs w:val="20"/>
              </w:rPr>
              <w:t>监测下限（mg/L）</w:t>
            </w:r>
          </w:p>
        </w:tc>
        <w:tc>
          <w:tcPr>
            <w:tcW w:w="950" w:type="pct"/>
            <w:vAlign w:val="center"/>
          </w:tcPr>
          <w:p>
            <w:pPr>
              <w:jc w:val="center"/>
              <w:rPr>
                <w:rFonts w:cs="宋体"/>
                <w:b/>
                <w:color w:val="auto"/>
                <w:szCs w:val="20"/>
              </w:rPr>
            </w:pPr>
            <w:r>
              <w:rPr>
                <w:rFonts w:hint="eastAsia" w:cs="宋体"/>
                <w:b/>
                <w:color w:val="auto"/>
                <w:szCs w:val="20"/>
              </w:rPr>
              <w:t>方法依据</w:t>
            </w:r>
          </w:p>
        </w:tc>
        <w:tc>
          <w:tcPr>
            <w:tcW w:w="619" w:type="pct"/>
            <w:vAlign w:val="center"/>
          </w:tcPr>
          <w:p>
            <w:pPr>
              <w:jc w:val="center"/>
              <w:rPr>
                <w:rFonts w:hint="eastAsia" w:eastAsia="宋体" w:cs="宋体"/>
                <w:b/>
                <w:color w:val="auto"/>
                <w:szCs w:val="20"/>
                <w:lang w:eastAsia="zh-CN"/>
              </w:rPr>
            </w:pPr>
            <w:r>
              <w:rPr>
                <w:rFonts w:hint="eastAsia" w:cs="宋体"/>
                <w:b/>
                <w:color w:val="auto"/>
                <w:szCs w:val="20"/>
              </w:rPr>
              <w:t>检测</w:t>
            </w:r>
            <w:r>
              <w:rPr>
                <w:rFonts w:hint="eastAsia" w:cs="宋体"/>
                <w:b/>
                <w:color w:val="auto"/>
                <w:szCs w:val="20"/>
                <w:lang w:eastAsia="zh-CN"/>
              </w:rPr>
              <w:t>频次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w:t>
            </w:r>
          </w:p>
        </w:tc>
        <w:tc>
          <w:tcPr>
            <w:tcW w:w="749" w:type="pct"/>
            <w:vAlign w:val="center"/>
          </w:tcPr>
          <w:p>
            <w:pPr>
              <w:contextualSpacing/>
              <w:jc w:val="center"/>
              <w:textAlignment w:val="baseline"/>
              <w:rPr>
                <w:color w:val="auto"/>
                <w:kern w:val="0"/>
              </w:rPr>
            </w:pPr>
            <w:r>
              <w:rPr>
                <w:color w:val="auto"/>
                <w:kern w:val="0"/>
              </w:rPr>
              <w:t>pH值</w:t>
            </w:r>
          </w:p>
        </w:tc>
        <w:tc>
          <w:tcPr>
            <w:tcW w:w="1570" w:type="pct"/>
            <w:vAlign w:val="center"/>
          </w:tcPr>
          <w:p>
            <w:pPr>
              <w:contextualSpacing/>
              <w:jc w:val="center"/>
              <w:textAlignment w:val="baseline"/>
              <w:rPr>
                <w:color w:val="auto"/>
                <w:kern w:val="0"/>
              </w:rPr>
            </w:pPr>
            <w:r>
              <w:rPr>
                <w:color w:val="auto"/>
                <w:kern w:val="0"/>
              </w:rPr>
              <w:t>生活饮用水标准检验方法 感官性状和物理指标玻璃电极法</w:t>
            </w:r>
          </w:p>
        </w:tc>
        <w:tc>
          <w:tcPr>
            <w:tcW w:w="657" w:type="pct"/>
            <w:vAlign w:val="center"/>
          </w:tcPr>
          <w:p>
            <w:pPr>
              <w:contextualSpacing/>
              <w:jc w:val="center"/>
              <w:textAlignment w:val="baseline"/>
              <w:rPr>
                <w:color w:val="auto"/>
                <w:kern w:val="0"/>
              </w:rPr>
            </w:pPr>
            <w:r>
              <w:rPr>
                <w:color w:val="auto"/>
                <w:kern w:val="0"/>
              </w:rPr>
              <w:t>/</w:t>
            </w:r>
          </w:p>
        </w:tc>
        <w:tc>
          <w:tcPr>
            <w:tcW w:w="950" w:type="pct"/>
            <w:vAlign w:val="center"/>
          </w:tcPr>
          <w:p>
            <w:pPr>
              <w:contextualSpacing/>
              <w:jc w:val="center"/>
              <w:textAlignment w:val="baseline"/>
              <w:rPr>
                <w:color w:val="auto"/>
                <w:kern w:val="0"/>
              </w:rPr>
            </w:pPr>
            <w:r>
              <w:rPr>
                <w:color w:val="auto"/>
                <w:kern w:val="0"/>
              </w:rPr>
              <w:t>GB/T 5750.4-2006</w:t>
            </w:r>
          </w:p>
        </w:tc>
        <w:tc>
          <w:tcPr>
            <w:tcW w:w="619" w:type="pct"/>
            <w:vMerge w:val="restart"/>
            <w:vAlign w:val="center"/>
          </w:tcPr>
          <w:p>
            <w:pPr>
              <w:contextualSpacing/>
              <w:jc w:val="center"/>
              <w:textAlignment w:val="baseline"/>
              <w:rPr>
                <w:color w:val="auto"/>
                <w:kern w:val="0"/>
              </w:rPr>
            </w:pPr>
            <w:r>
              <w:rPr>
                <w:rFonts w:hint="eastAsia"/>
                <w:color w:val="auto"/>
                <w:kern w:val="0"/>
              </w:rPr>
              <w:t>连续3天，每天1次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2</w:t>
            </w:r>
          </w:p>
        </w:tc>
        <w:tc>
          <w:tcPr>
            <w:tcW w:w="749" w:type="pct"/>
            <w:vAlign w:val="center"/>
          </w:tcPr>
          <w:p>
            <w:pPr>
              <w:contextualSpacing/>
              <w:jc w:val="center"/>
              <w:textAlignment w:val="baseline"/>
              <w:rPr>
                <w:color w:val="auto"/>
                <w:kern w:val="0"/>
              </w:rPr>
            </w:pPr>
            <w:r>
              <w:rPr>
                <w:color w:val="auto"/>
                <w:kern w:val="0"/>
              </w:rPr>
              <w:t>K</w:t>
            </w:r>
            <w:r>
              <w:rPr>
                <w:color w:val="auto"/>
                <w:kern w:val="0"/>
                <w:vertAlign w:val="superscript"/>
              </w:rPr>
              <w:t>+</w:t>
            </w:r>
          </w:p>
        </w:tc>
        <w:tc>
          <w:tcPr>
            <w:tcW w:w="1570" w:type="pct"/>
            <w:vAlign w:val="center"/>
          </w:tcPr>
          <w:p>
            <w:pPr>
              <w:contextualSpacing/>
              <w:jc w:val="center"/>
              <w:textAlignment w:val="baseline"/>
              <w:rPr>
                <w:color w:val="auto"/>
                <w:kern w:val="0"/>
              </w:rPr>
            </w:pPr>
            <w:r>
              <w:rPr>
                <w:color w:val="auto"/>
                <w:kern w:val="0"/>
              </w:rPr>
              <w:t>生活饮用水标准检验方法 金属指标 火焰原子吸收分光光度法</w:t>
            </w:r>
          </w:p>
        </w:tc>
        <w:tc>
          <w:tcPr>
            <w:tcW w:w="657" w:type="pct"/>
            <w:vAlign w:val="center"/>
          </w:tcPr>
          <w:p>
            <w:pPr>
              <w:contextualSpacing/>
              <w:jc w:val="center"/>
              <w:textAlignment w:val="baseline"/>
              <w:rPr>
                <w:color w:val="auto"/>
                <w:kern w:val="0"/>
              </w:rPr>
            </w:pPr>
            <w:r>
              <w:rPr>
                <w:color w:val="auto"/>
                <w:kern w:val="0"/>
              </w:rPr>
              <w:t>0.05mg/L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3</w:t>
            </w:r>
          </w:p>
        </w:tc>
        <w:tc>
          <w:tcPr>
            <w:tcW w:w="749" w:type="pct"/>
            <w:vAlign w:val="center"/>
          </w:tcPr>
          <w:p>
            <w:pPr>
              <w:contextualSpacing/>
              <w:jc w:val="center"/>
              <w:textAlignment w:val="baseline"/>
              <w:rPr>
                <w:color w:val="auto"/>
                <w:kern w:val="0"/>
              </w:rPr>
            </w:pPr>
            <w:r>
              <w:rPr>
                <w:color w:val="auto"/>
                <w:kern w:val="0"/>
              </w:rPr>
              <w:t>Na</w:t>
            </w:r>
            <w:r>
              <w:rPr>
                <w:color w:val="auto"/>
                <w:kern w:val="0"/>
                <w:vertAlign w:val="superscript"/>
              </w:rPr>
              <w:t>+</w:t>
            </w:r>
          </w:p>
        </w:tc>
        <w:tc>
          <w:tcPr>
            <w:tcW w:w="1570" w:type="pct"/>
            <w:vAlign w:val="center"/>
          </w:tcPr>
          <w:p>
            <w:pPr>
              <w:contextualSpacing/>
              <w:jc w:val="center"/>
              <w:textAlignment w:val="baseline"/>
              <w:rPr>
                <w:color w:val="auto"/>
                <w:kern w:val="0"/>
              </w:rPr>
            </w:pPr>
            <w:r>
              <w:rPr>
                <w:color w:val="auto"/>
                <w:kern w:val="0"/>
              </w:rPr>
              <w:t>生活饮用水标准检验方法 金属指标 火焰原子吸收分光光度法</w:t>
            </w:r>
          </w:p>
        </w:tc>
        <w:tc>
          <w:tcPr>
            <w:tcW w:w="657" w:type="pct"/>
            <w:vAlign w:val="center"/>
          </w:tcPr>
          <w:p>
            <w:pPr>
              <w:contextualSpacing/>
              <w:jc w:val="center"/>
              <w:textAlignment w:val="baseline"/>
              <w:rPr>
                <w:color w:val="auto"/>
                <w:kern w:val="0"/>
              </w:rPr>
            </w:pPr>
            <w:r>
              <w:rPr>
                <w:color w:val="auto"/>
                <w:kern w:val="0"/>
              </w:rPr>
              <w:t>0.01mg/L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4</w:t>
            </w:r>
          </w:p>
        </w:tc>
        <w:tc>
          <w:tcPr>
            <w:tcW w:w="749" w:type="pct"/>
            <w:vAlign w:val="center"/>
          </w:tcPr>
          <w:p>
            <w:pPr>
              <w:contextualSpacing/>
              <w:jc w:val="center"/>
              <w:textAlignment w:val="baseline"/>
              <w:rPr>
                <w:color w:val="auto"/>
                <w:kern w:val="0"/>
              </w:rPr>
            </w:pPr>
            <w:r>
              <w:rPr>
                <w:color w:val="auto"/>
                <w:kern w:val="0"/>
              </w:rPr>
              <w:t>Ca</w:t>
            </w:r>
            <w:r>
              <w:rPr>
                <w:color w:val="auto"/>
                <w:kern w:val="0"/>
                <w:vertAlign w:val="superscript"/>
              </w:rPr>
              <w:t>2+</w:t>
            </w:r>
          </w:p>
        </w:tc>
        <w:tc>
          <w:tcPr>
            <w:tcW w:w="1570" w:type="pct"/>
            <w:vMerge w:val="restart"/>
            <w:vAlign w:val="center"/>
          </w:tcPr>
          <w:p>
            <w:pPr>
              <w:contextualSpacing/>
              <w:jc w:val="center"/>
              <w:textAlignment w:val="baseline"/>
              <w:rPr>
                <w:color w:val="auto"/>
                <w:kern w:val="0"/>
              </w:rPr>
            </w:pPr>
            <w:r>
              <w:rPr>
                <w:color w:val="auto"/>
                <w:kern w:val="0"/>
              </w:rPr>
              <w:t>水质 钙和镁的测定 原子吸收分光光度法</w:t>
            </w:r>
          </w:p>
        </w:tc>
        <w:tc>
          <w:tcPr>
            <w:tcW w:w="657" w:type="pct"/>
            <w:vAlign w:val="center"/>
          </w:tcPr>
          <w:p>
            <w:pPr>
              <w:contextualSpacing/>
              <w:jc w:val="center"/>
              <w:textAlignment w:val="baseline"/>
              <w:rPr>
                <w:color w:val="auto"/>
                <w:kern w:val="0"/>
              </w:rPr>
            </w:pPr>
            <w:r>
              <w:rPr>
                <w:color w:val="auto"/>
                <w:kern w:val="0"/>
              </w:rPr>
              <w:t>0.02mg/L</w:t>
            </w:r>
          </w:p>
        </w:tc>
        <w:tc>
          <w:tcPr>
            <w:tcW w:w="950" w:type="pct"/>
            <w:vMerge w:val="restart"/>
            <w:vAlign w:val="center"/>
          </w:tcPr>
          <w:p>
            <w:pPr>
              <w:contextualSpacing/>
              <w:jc w:val="center"/>
              <w:textAlignment w:val="baseline"/>
              <w:rPr>
                <w:color w:val="auto"/>
                <w:kern w:val="0"/>
              </w:rPr>
            </w:pPr>
            <w:r>
              <w:rPr>
                <w:color w:val="auto"/>
                <w:kern w:val="0"/>
              </w:rPr>
              <w:t>GB 11905-1989</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5</w:t>
            </w:r>
          </w:p>
        </w:tc>
        <w:tc>
          <w:tcPr>
            <w:tcW w:w="749" w:type="pct"/>
            <w:vAlign w:val="center"/>
          </w:tcPr>
          <w:p>
            <w:pPr>
              <w:contextualSpacing/>
              <w:jc w:val="center"/>
              <w:textAlignment w:val="baseline"/>
              <w:rPr>
                <w:color w:val="auto"/>
                <w:kern w:val="0"/>
              </w:rPr>
            </w:pPr>
            <w:r>
              <w:rPr>
                <w:color w:val="auto"/>
                <w:kern w:val="0"/>
              </w:rPr>
              <w:t>Mg</w:t>
            </w:r>
            <w:r>
              <w:rPr>
                <w:color w:val="auto"/>
                <w:kern w:val="0"/>
                <w:vertAlign w:val="superscript"/>
              </w:rPr>
              <w:t>2+</w:t>
            </w:r>
          </w:p>
        </w:tc>
        <w:tc>
          <w:tcPr>
            <w:tcW w:w="1570" w:type="pct"/>
            <w:vMerge w:val="continue"/>
            <w:vAlign w:val="center"/>
          </w:tcPr>
          <w:p>
            <w:pPr>
              <w:contextualSpacing/>
              <w:jc w:val="center"/>
              <w:textAlignment w:val="baseline"/>
              <w:rPr>
                <w:color w:val="auto"/>
                <w:kern w:val="0"/>
              </w:rPr>
            </w:pPr>
          </w:p>
        </w:tc>
        <w:tc>
          <w:tcPr>
            <w:tcW w:w="657" w:type="pct"/>
            <w:vAlign w:val="center"/>
          </w:tcPr>
          <w:p>
            <w:pPr>
              <w:contextualSpacing/>
              <w:jc w:val="center"/>
              <w:textAlignment w:val="baseline"/>
              <w:rPr>
                <w:color w:val="auto"/>
                <w:kern w:val="0"/>
              </w:rPr>
            </w:pPr>
            <w:r>
              <w:rPr>
                <w:color w:val="auto"/>
                <w:kern w:val="0"/>
              </w:rPr>
              <w:t>0.002mg/L</w:t>
            </w:r>
          </w:p>
        </w:tc>
        <w:tc>
          <w:tcPr>
            <w:tcW w:w="950" w:type="pct"/>
            <w:vMerge w:val="continue"/>
            <w:vAlign w:val="center"/>
          </w:tcPr>
          <w:p>
            <w:pPr>
              <w:contextualSpacing/>
              <w:jc w:val="center"/>
              <w:textAlignment w:val="baseline"/>
              <w:rPr>
                <w:color w:val="auto"/>
                <w:kern w:val="0"/>
              </w:rPr>
            </w:pP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6</w:t>
            </w:r>
          </w:p>
        </w:tc>
        <w:tc>
          <w:tcPr>
            <w:tcW w:w="749" w:type="pct"/>
            <w:vAlign w:val="center"/>
          </w:tcPr>
          <w:p>
            <w:pPr>
              <w:contextualSpacing/>
              <w:jc w:val="center"/>
              <w:textAlignment w:val="baseline"/>
              <w:rPr>
                <w:color w:val="auto"/>
                <w:kern w:val="0"/>
              </w:rPr>
            </w:pPr>
            <w:r>
              <w:rPr>
                <w:color w:val="auto"/>
                <w:kern w:val="0"/>
              </w:rPr>
              <w:t>CO</w:t>
            </w:r>
            <w:r>
              <w:rPr>
                <w:color w:val="auto"/>
                <w:kern w:val="0"/>
                <w:vertAlign w:val="subscript"/>
              </w:rPr>
              <w:t>3</w:t>
            </w:r>
            <w:r>
              <w:rPr>
                <w:color w:val="auto"/>
                <w:kern w:val="0"/>
                <w:vertAlign w:val="superscript"/>
              </w:rPr>
              <w:t>2-</w:t>
            </w:r>
          </w:p>
        </w:tc>
        <w:tc>
          <w:tcPr>
            <w:tcW w:w="1570" w:type="pct"/>
            <w:vAlign w:val="center"/>
          </w:tcPr>
          <w:p>
            <w:pPr>
              <w:contextualSpacing/>
              <w:jc w:val="center"/>
              <w:textAlignment w:val="baseline"/>
              <w:rPr>
                <w:color w:val="auto"/>
                <w:kern w:val="0"/>
              </w:rPr>
            </w:pPr>
            <w:r>
              <w:rPr>
                <w:color w:val="auto"/>
                <w:kern w:val="0"/>
              </w:rPr>
              <w:t>水和废水监测分析方法  （第四版增补版）酸碱指示剂滴定法</w:t>
            </w:r>
          </w:p>
        </w:tc>
        <w:tc>
          <w:tcPr>
            <w:tcW w:w="657" w:type="pct"/>
            <w:vAlign w:val="center"/>
          </w:tcPr>
          <w:p>
            <w:pPr>
              <w:contextualSpacing/>
              <w:jc w:val="center"/>
              <w:textAlignment w:val="baseline"/>
              <w:rPr>
                <w:color w:val="auto"/>
                <w:kern w:val="0"/>
              </w:rPr>
            </w:pPr>
            <w:r>
              <w:rPr>
                <w:rFonts w:hint="eastAsia"/>
                <w:color w:val="auto"/>
                <w:kern w:val="0"/>
              </w:rPr>
              <w:t>0.08</w:t>
            </w:r>
            <w:r>
              <w:rPr>
                <w:color w:val="auto"/>
                <w:kern w:val="0"/>
              </w:rPr>
              <w:t>mmol/L</w:t>
            </w:r>
          </w:p>
        </w:tc>
        <w:tc>
          <w:tcPr>
            <w:tcW w:w="950" w:type="pct"/>
            <w:vAlign w:val="center"/>
          </w:tcPr>
          <w:p>
            <w:pPr>
              <w:contextualSpacing/>
              <w:jc w:val="center"/>
              <w:textAlignment w:val="baseline"/>
              <w:rPr>
                <w:color w:val="auto"/>
                <w:kern w:val="0"/>
              </w:rPr>
            </w:pPr>
            <w:r>
              <w:rPr>
                <w:rFonts w:hint="eastAsia"/>
                <w:color w:val="auto"/>
                <w:kern w:val="0"/>
              </w:rPr>
              <w:t>/</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7</w:t>
            </w:r>
          </w:p>
        </w:tc>
        <w:tc>
          <w:tcPr>
            <w:tcW w:w="749" w:type="pct"/>
            <w:vAlign w:val="center"/>
          </w:tcPr>
          <w:p>
            <w:pPr>
              <w:contextualSpacing/>
              <w:jc w:val="center"/>
              <w:textAlignment w:val="baseline"/>
              <w:rPr>
                <w:color w:val="auto"/>
                <w:kern w:val="0"/>
              </w:rPr>
            </w:pPr>
            <w:r>
              <w:rPr>
                <w:color w:val="auto"/>
                <w:kern w:val="0"/>
              </w:rPr>
              <w:t>HCO</w:t>
            </w:r>
            <w:r>
              <w:rPr>
                <w:color w:val="auto"/>
                <w:kern w:val="0"/>
                <w:vertAlign w:val="subscript"/>
              </w:rPr>
              <w:t>3</w:t>
            </w:r>
            <w:r>
              <w:rPr>
                <w:color w:val="auto"/>
                <w:kern w:val="0"/>
                <w:vertAlign w:val="superscript"/>
              </w:rPr>
              <w:t>-</w:t>
            </w:r>
          </w:p>
        </w:tc>
        <w:tc>
          <w:tcPr>
            <w:tcW w:w="1570" w:type="pct"/>
            <w:vAlign w:val="center"/>
          </w:tcPr>
          <w:p>
            <w:pPr>
              <w:contextualSpacing/>
              <w:jc w:val="center"/>
              <w:textAlignment w:val="baseline"/>
              <w:rPr>
                <w:color w:val="auto"/>
                <w:kern w:val="0"/>
              </w:rPr>
            </w:pPr>
            <w:r>
              <w:rPr>
                <w:color w:val="auto"/>
                <w:kern w:val="0"/>
              </w:rPr>
              <w:t>水和废水监测分析方法  （第四版增补版）酸碱指示剂滴定法</w:t>
            </w:r>
          </w:p>
        </w:tc>
        <w:tc>
          <w:tcPr>
            <w:tcW w:w="657" w:type="pct"/>
            <w:vAlign w:val="center"/>
          </w:tcPr>
          <w:p>
            <w:pPr>
              <w:contextualSpacing/>
              <w:jc w:val="center"/>
              <w:textAlignment w:val="baseline"/>
              <w:rPr>
                <w:color w:val="auto"/>
                <w:kern w:val="0"/>
              </w:rPr>
            </w:pPr>
            <w:r>
              <w:rPr>
                <w:rFonts w:hint="eastAsia"/>
                <w:color w:val="auto"/>
                <w:kern w:val="0"/>
              </w:rPr>
              <w:t>0.08</w:t>
            </w:r>
            <w:r>
              <w:rPr>
                <w:color w:val="auto"/>
                <w:kern w:val="0"/>
              </w:rPr>
              <w:t>mmol/L</w:t>
            </w:r>
          </w:p>
        </w:tc>
        <w:tc>
          <w:tcPr>
            <w:tcW w:w="950" w:type="pct"/>
            <w:vAlign w:val="center"/>
          </w:tcPr>
          <w:p>
            <w:pPr>
              <w:contextualSpacing/>
              <w:jc w:val="center"/>
              <w:textAlignment w:val="baseline"/>
              <w:rPr>
                <w:color w:val="auto"/>
                <w:kern w:val="0"/>
              </w:rPr>
            </w:pPr>
            <w:r>
              <w:rPr>
                <w:rFonts w:hint="eastAsia"/>
                <w:color w:val="auto"/>
                <w:kern w:val="0"/>
              </w:rPr>
              <w:t>/</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8</w:t>
            </w:r>
          </w:p>
        </w:tc>
        <w:tc>
          <w:tcPr>
            <w:tcW w:w="749" w:type="pct"/>
            <w:vAlign w:val="center"/>
          </w:tcPr>
          <w:p>
            <w:pPr>
              <w:contextualSpacing/>
              <w:jc w:val="center"/>
              <w:textAlignment w:val="baseline"/>
              <w:rPr>
                <w:color w:val="auto"/>
                <w:kern w:val="0"/>
              </w:rPr>
            </w:pPr>
            <w:r>
              <w:rPr>
                <w:color w:val="auto"/>
                <w:kern w:val="0"/>
              </w:rPr>
              <w:t>Cl</w:t>
            </w:r>
            <w:r>
              <w:rPr>
                <w:color w:val="auto"/>
                <w:kern w:val="0"/>
                <w:vertAlign w:val="superscript"/>
              </w:rPr>
              <w:t>-</w:t>
            </w:r>
          </w:p>
        </w:tc>
        <w:tc>
          <w:tcPr>
            <w:tcW w:w="1570" w:type="pct"/>
            <w:vAlign w:val="center"/>
          </w:tcPr>
          <w:p>
            <w:pPr>
              <w:contextualSpacing/>
              <w:jc w:val="center"/>
              <w:textAlignment w:val="baseline"/>
              <w:rPr>
                <w:color w:val="auto"/>
                <w:kern w:val="0"/>
              </w:rPr>
            </w:pPr>
            <w:r>
              <w:rPr>
                <w:color w:val="auto"/>
                <w:kern w:val="0"/>
              </w:rPr>
              <w:t>水质 无机阴离子（F</w:t>
            </w:r>
            <w:r>
              <w:rPr>
                <w:color w:val="auto"/>
                <w:kern w:val="0"/>
                <w:vertAlign w:val="superscript"/>
              </w:rPr>
              <w:t>-</w:t>
            </w:r>
            <w:r>
              <w:rPr>
                <w:color w:val="auto"/>
                <w:kern w:val="0"/>
              </w:rPr>
              <w:t>、Cl</w:t>
            </w:r>
            <w:r>
              <w:rPr>
                <w:color w:val="auto"/>
                <w:kern w:val="0"/>
                <w:vertAlign w:val="superscript"/>
              </w:rPr>
              <w:t>-</w:t>
            </w:r>
            <w:r>
              <w:rPr>
                <w:color w:val="auto"/>
                <w:kern w:val="0"/>
              </w:rPr>
              <w:t>、NO</w:t>
            </w:r>
            <w:r>
              <w:rPr>
                <w:color w:val="auto"/>
                <w:kern w:val="0"/>
                <w:vertAlign w:val="subscript"/>
              </w:rPr>
              <w:t>2</w:t>
            </w:r>
            <w:r>
              <w:rPr>
                <w:color w:val="auto"/>
                <w:kern w:val="0"/>
                <w:vertAlign w:val="superscript"/>
              </w:rPr>
              <w:t>-</w:t>
            </w:r>
            <w:r>
              <w:rPr>
                <w:color w:val="auto"/>
                <w:kern w:val="0"/>
              </w:rPr>
              <w:t>、Br</w:t>
            </w:r>
            <w:r>
              <w:rPr>
                <w:color w:val="auto"/>
                <w:kern w:val="0"/>
                <w:vertAlign w:val="superscript"/>
              </w:rPr>
              <w:t>-</w:t>
            </w:r>
            <w:r>
              <w:rPr>
                <w:color w:val="auto"/>
                <w:kern w:val="0"/>
              </w:rPr>
              <w:t>、NO</w:t>
            </w:r>
            <w:r>
              <w:rPr>
                <w:color w:val="auto"/>
                <w:kern w:val="0"/>
                <w:vertAlign w:val="subscript"/>
              </w:rPr>
              <w:t>3</w:t>
            </w:r>
            <w:r>
              <w:rPr>
                <w:color w:val="auto"/>
                <w:kern w:val="0"/>
                <w:vertAlign w:val="superscript"/>
              </w:rPr>
              <w:t>-</w:t>
            </w:r>
            <w:r>
              <w:rPr>
                <w:color w:val="auto"/>
                <w:kern w:val="0"/>
              </w:rPr>
              <w:t>、PO</w:t>
            </w:r>
            <w:r>
              <w:rPr>
                <w:color w:val="auto"/>
                <w:kern w:val="0"/>
                <w:vertAlign w:val="subscript"/>
              </w:rPr>
              <w:t>4</w:t>
            </w:r>
            <w:r>
              <w:rPr>
                <w:color w:val="auto"/>
                <w:kern w:val="0"/>
                <w:vertAlign w:val="superscript"/>
              </w:rPr>
              <w:t>3-</w:t>
            </w:r>
            <w:r>
              <w:rPr>
                <w:color w:val="auto"/>
                <w:kern w:val="0"/>
              </w:rPr>
              <w:t>、SO</w:t>
            </w:r>
            <w:r>
              <w:rPr>
                <w:color w:val="auto"/>
                <w:kern w:val="0"/>
                <w:vertAlign w:val="subscript"/>
              </w:rPr>
              <w:t>3</w:t>
            </w:r>
            <w:r>
              <w:rPr>
                <w:color w:val="auto"/>
                <w:kern w:val="0"/>
                <w:vertAlign w:val="superscript"/>
              </w:rPr>
              <w:t>2-</w:t>
            </w:r>
            <w:r>
              <w:rPr>
                <w:color w:val="auto"/>
                <w:kern w:val="0"/>
              </w:rPr>
              <w:t>、SO</w:t>
            </w:r>
            <w:r>
              <w:rPr>
                <w:color w:val="auto"/>
                <w:kern w:val="0"/>
                <w:vertAlign w:val="subscript"/>
              </w:rPr>
              <w:t>4</w:t>
            </w:r>
            <w:r>
              <w:rPr>
                <w:color w:val="auto"/>
                <w:kern w:val="0"/>
                <w:vertAlign w:val="superscript"/>
              </w:rPr>
              <w:t>2-</w:t>
            </w:r>
            <w:r>
              <w:rPr>
                <w:color w:val="auto"/>
                <w:kern w:val="0"/>
              </w:rPr>
              <w:t>）的测定  离子色谱法</w:t>
            </w:r>
          </w:p>
        </w:tc>
        <w:tc>
          <w:tcPr>
            <w:tcW w:w="657" w:type="pct"/>
            <w:vAlign w:val="center"/>
          </w:tcPr>
          <w:p>
            <w:pPr>
              <w:contextualSpacing/>
              <w:jc w:val="center"/>
              <w:textAlignment w:val="baseline"/>
              <w:rPr>
                <w:color w:val="auto"/>
                <w:kern w:val="0"/>
              </w:rPr>
            </w:pPr>
            <w:r>
              <w:rPr>
                <w:color w:val="auto"/>
                <w:kern w:val="0"/>
              </w:rPr>
              <w:t>0.007mg/L</w:t>
            </w:r>
          </w:p>
        </w:tc>
        <w:tc>
          <w:tcPr>
            <w:tcW w:w="950" w:type="pct"/>
            <w:vAlign w:val="center"/>
          </w:tcPr>
          <w:p>
            <w:pPr>
              <w:contextualSpacing/>
              <w:jc w:val="center"/>
              <w:textAlignment w:val="baseline"/>
              <w:rPr>
                <w:color w:val="auto"/>
                <w:kern w:val="0"/>
              </w:rPr>
            </w:pPr>
            <w:r>
              <w:rPr>
                <w:color w:val="auto"/>
                <w:kern w:val="0"/>
              </w:rPr>
              <w:t>HJ 84-2016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9</w:t>
            </w:r>
          </w:p>
        </w:tc>
        <w:tc>
          <w:tcPr>
            <w:tcW w:w="749" w:type="pct"/>
            <w:vAlign w:val="center"/>
          </w:tcPr>
          <w:p>
            <w:pPr>
              <w:contextualSpacing/>
              <w:jc w:val="center"/>
              <w:textAlignment w:val="baseline"/>
              <w:rPr>
                <w:color w:val="auto"/>
                <w:kern w:val="0"/>
              </w:rPr>
            </w:pPr>
            <w:r>
              <w:rPr>
                <w:color w:val="auto"/>
                <w:kern w:val="0"/>
              </w:rPr>
              <w:t>SO</w:t>
            </w:r>
            <w:r>
              <w:rPr>
                <w:color w:val="auto"/>
                <w:kern w:val="0"/>
                <w:vertAlign w:val="subscript"/>
              </w:rPr>
              <w:t>4</w:t>
            </w:r>
            <w:r>
              <w:rPr>
                <w:color w:val="auto"/>
                <w:kern w:val="0"/>
                <w:vertAlign w:val="superscript"/>
              </w:rPr>
              <w:t>2-</w:t>
            </w:r>
          </w:p>
        </w:tc>
        <w:tc>
          <w:tcPr>
            <w:tcW w:w="1570" w:type="pct"/>
            <w:vAlign w:val="center"/>
          </w:tcPr>
          <w:p>
            <w:pPr>
              <w:contextualSpacing/>
              <w:jc w:val="center"/>
              <w:textAlignment w:val="baseline"/>
              <w:rPr>
                <w:color w:val="auto"/>
                <w:kern w:val="0"/>
              </w:rPr>
            </w:pPr>
            <w:r>
              <w:rPr>
                <w:color w:val="auto"/>
                <w:kern w:val="0"/>
              </w:rPr>
              <w:t>水质 无机阴离子（F</w:t>
            </w:r>
            <w:r>
              <w:rPr>
                <w:color w:val="auto"/>
                <w:kern w:val="0"/>
                <w:vertAlign w:val="superscript"/>
              </w:rPr>
              <w:t>-</w:t>
            </w:r>
            <w:r>
              <w:rPr>
                <w:color w:val="auto"/>
                <w:kern w:val="0"/>
              </w:rPr>
              <w:t>、Cl</w:t>
            </w:r>
            <w:r>
              <w:rPr>
                <w:color w:val="auto"/>
                <w:kern w:val="0"/>
                <w:vertAlign w:val="superscript"/>
              </w:rPr>
              <w:t>-</w:t>
            </w:r>
            <w:r>
              <w:rPr>
                <w:color w:val="auto"/>
                <w:kern w:val="0"/>
              </w:rPr>
              <w:t>、NO</w:t>
            </w:r>
            <w:r>
              <w:rPr>
                <w:color w:val="auto"/>
                <w:kern w:val="0"/>
                <w:vertAlign w:val="subscript"/>
              </w:rPr>
              <w:t>2</w:t>
            </w:r>
            <w:r>
              <w:rPr>
                <w:color w:val="auto"/>
                <w:kern w:val="0"/>
                <w:vertAlign w:val="superscript"/>
              </w:rPr>
              <w:t>-</w:t>
            </w:r>
            <w:r>
              <w:rPr>
                <w:color w:val="auto"/>
                <w:kern w:val="0"/>
              </w:rPr>
              <w:t>、Br</w:t>
            </w:r>
            <w:r>
              <w:rPr>
                <w:color w:val="auto"/>
                <w:kern w:val="0"/>
                <w:vertAlign w:val="superscript"/>
              </w:rPr>
              <w:t>-</w:t>
            </w:r>
            <w:r>
              <w:rPr>
                <w:color w:val="auto"/>
                <w:kern w:val="0"/>
              </w:rPr>
              <w:t>、NO</w:t>
            </w:r>
            <w:r>
              <w:rPr>
                <w:color w:val="auto"/>
                <w:kern w:val="0"/>
                <w:vertAlign w:val="subscript"/>
              </w:rPr>
              <w:t>3</w:t>
            </w:r>
            <w:r>
              <w:rPr>
                <w:color w:val="auto"/>
                <w:kern w:val="0"/>
                <w:vertAlign w:val="superscript"/>
              </w:rPr>
              <w:t>-</w:t>
            </w:r>
            <w:r>
              <w:rPr>
                <w:color w:val="auto"/>
                <w:kern w:val="0"/>
              </w:rPr>
              <w:t>、PO</w:t>
            </w:r>
            <w:r>
              <w:rPr>
                <w:color w:val="auto"/>
                <w:kern w:val="0"/>
                <w:vertAlign w:val="subscript"/>
              </w:rPr>
              <w:t>4</w:t>
            </w:r>
            <w:r>
              <w:rPr>
                <w:color w:val="auto"/>
                <w:kern w:val="0"/>
                <w:vertAlign w:val="superscript"/>
              </w:rPr>
              <w:t>3-</w:t>
            </w:r>
            <w:r>
              <w:rPr>
                <w:color w:val="auto"/>
                <w:kern w:val="0"/>
              </w:rPr>
              <w:t>、SO</w:t>
            </w:r>
            <w:r>
              <w:rPr>
                <w:color w:val="auto"/>
                <w:kern w:val="0"/>
                <w:vertAlign w:val="subscript"/>
              </w:rPr>
              <w:t>3</w:t>
            </w:r>
            <w:r>
              <w:rPr>
                <w:color w:val="auto"/>
                <w:kern w:val="0"/>
                <w:vertAlign w:val="superscript"/>
              </w:rPr>
              <w:t>2-</w:t>
            </w:r>
            <w:r>
              <w:rPr>
                <w:color w:val="auto"/>
                <w:kern w:val="0"/>
              </w:rPr>
              <w:t>、SO</w:t>
            </w:r>
            <w:r>
              <w:rPr>
                <w:color w:val="auto"/>
                <w:kern w:val="0"/>
                <w:vertAlign w:val="subscript"/>
              </w:rPr>
              <w:t>4</w:t>
            </w:r>
            <w:r>
              <w:rPr>
                <w:color w:val="auto"/>
                <w:kern w:val="0"/>
                <w:vertAlign w:val="superscript"/>
              </w:rPr>
              <w:t>2-</w:t>
            </w:r>
            <w:r>
              <w:rPr>
                <w:color w:val="auto"/>
                <w:kern w:val="0"/>
              </w:rPr>
              <w:t>）的测定  离子色谱法</w:t>
            </w:r>
          </w:p>
        </w:tc>
        <w:tc>
          <w:tcPr>
            <w:tcW w:w="657" w:type="pct"/>
            <w:vAlign w:val="center"/>
          </w:tcPr>
          <w:p>
            <w:pPr>
              <w:contextualSpacing/>
              <w:jc w:val="center"/>
              <w:textAlignment w:val="baseline"/>
              <w:rPr>
                <w:color w:val="auto"/>
                <w:kern w:val="0"/>
              </w:rPr>
            </w:pPr>
            <w:r>
              <w:rPr>
                <w:color w:val="auto"/>
                <w:kern w:val="0"/>
              </w:rPr>
              <w:t>0.018mg/L</w:t>
            </w:r>
          </w:p>
        </w:tc>
        <w:tc>
          <w:tcPr>
            <w:tcW w:w="950" w:type="pct"/>
            <w:vAlign w:val="center"/>
          </w:tcPr>
          <w:p>
            <w:pPr>
              <w:contextualSpacing/>
              <w:jc w:val="center"/>
              <w:textAlignment w:val="baseline"/>
              <w:rPr>
                <w:color w:val="auto"/>
                <w:kern w:val="0"/>
              </w:rPr>
            </w:pPr>
            <w:r>
              <w:rPr>
                <w:color w:val="auto"/>
                <w:kern w:val="0"/>
              </w:rPr>
              <w:t>HJ 84-2016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10</w:t>
            </w:r>
          </w:p>
        </w:tc>
        <w:tc>
          <w:tcPr>
            <w:tcW w:w="749" w:type="pct"/>
            <w:vAlign w:val="center"/>
          </w:tcPr>
          <w:p>
            <w:pPr>
              <w:contextualSpacing/>
              <w:jc w:val="center"/>
              <w:textAlignment w:val="baseline"/>
              <w:rPr>
                <w:color w:val="auto"/>
                <w:kern w:val="0"/>
              </w:rPr>
            </w:pPr>
            <w:r>
              <w:rPr>
                <w:color w:val="auto"/>
                <w:kern w:val="0"/>
              </w:rPr>
              <w:t>氨氮</w:t>
            </w:r>
          </w:p>
        </w:tc>
        <w:tc>
          <w:tcPr>
            <w:tcW w:w="1570" w:type="pct"/>
            <w:vAlign w:val="center"/>
          </w:tcPr>
          <w:p>
            <w:pPr>
              <w:contextualSpacing/>
              <w:jc w:val="center"/>
              <w:textAlignment w:val="baseline"/>
              <w:rPr>
                <w:color w:val="auto"/>
                <w:kern w:val="0"/>
              </w:rPr>
            </w:pPr>
            <w:r>
              <w:rPr>
                <w:color w:val="auto"/>
                <w:kern w:val="0"/>
              </w:rPr>
              <w:t>生活饮用水标准检验方法 无机非金属指标  纳氏试剂分光光度法</w:t>
            </w:r>
          </w:p>
        </w:tc>
        <w:tc>
          <w:tcPr>
            <w:tcW w:w="657" w:type="pct"/>
            <w:vAlign w:val="center"/>
          </w:tcPr>
          <w:p>
            <w:pPr>
              <w:contextualSpacing/>
              <w:jc w:val="center"/>
              <w:textAlignment w:val="baseline"/>
              <w:rPr>
                <w:color w:val="auto"/>
                <w:kern w:val="0"/>
              </w:rPr>
            </w:pPr>
            <w:r>
              <w:rPr>
                <w:color w:val="auto"/>
                <w:kern w:val="0"/>
              </w:rPr>
              <w:t>0.02</w:t>
            </w:r>
            <w:r>
              <w:rPr>
                <w:rFonts w:hint="eastAsia"/>
                <w:color w:val="auto"/>
                <w:kern w:val="0"/>
              </w:rPr>
              <w:t>5</w:t>
            </w:r>
            <w:r>
              <w:rPr>
                <w:color w:val="auto"/>
                <w:kern w:val="0"/>
              </w:rPr>
              <w:t>mg/L</w:t>
            </w:r>
          </w:p>
        </w:tc>
        <w:tc>
          <w:tcPr>
            <w:tcW w:w="950" w:type="pct"/>
            <w:vMerge w:val="restart"/>
            <w:vAlign w:val="center"/>
          </w:tcPr>
          <w:p>
            <w:pPr>
              <w:contextualSpacing/>
              <w:jc w:val="center"/>
              <w:textAlignment w:val="baseline"/>
              <w:rPr>
                <w:color w:val="auto"/>
                <w:kern w:val="0"/>
              </w:rPr>
            </w:pPr>
            <w:r>
              <w:rPr>
                <w:color w:val="auto"/>
                <w:kern w:val="0"/>
              </w:rPr>
              <w:t>GB/T 5750.5-2006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11</w:t>
            </w:r>
          </w:p>
        </w:tc>
        <w:tc>
          <w:tcPr>
            <w:tcW w:w="749" w:type="pct"/>
            <w:vAlign w:val="center"/>
          </w:tcPr>
          <w:p>
            <w:pPr>
              <w:contextualSpacing/>
              <w:jc w:val="center"/>
              <w:textAlignment w:val="baseline"/>
              <w:rPr>
                <w:color w:val="auto"/>
                <w:kern w:val="0"/>
              </w:rPr>
            </w:pPr>
            <w:r>
              <w:rPr>
                <w:color w:val="auto"/>
                <w:kern w:val="0"/>
              </w:rPr>
              <w:t>亚硝酸盐</w:t>
            </w:r>
          </w:p>
        </w:tc>
        <w:tc>
          <w:tcPr>
            <w:tcW w:w="1570" w:type="pct"/>
            <w:vAlign w:val="center"/>
          </w:tcPr>
          <w:p>
            <w:pPr>
              <w:contextualSpacing/>
              <w:jc w:val="center"/>
              <w:textAlignment w:val="baseline"/>
              <w:rPr>
                <w:color w:val="auto"/>
                <w:kern w:val="0"/>
              </w:rPr>
            </w:pPr>
            <w:r>
              <w:rPr>
                <w:color w:val="auto"/>
                <w:kern w:val="0"/>
              </w:rPr>
              <w:t>生活饮用水标准检验方法 无机非金属指标  重氮偶合分光光度法</w:t>
            </w:r>
          </w:p>
        </w:tc>
        <w:tc>
          <w:tcPr>
            <w:tcW w:w="657" w:type="pct"/>
            <w:vAlign w:val="center"/>
          </w:tcPr>
          <w:p>
            <w:pPr>
              <w:contextualSpacing/>
              <w:jc w:val="center"/>
              <w:textAlignment w:val="baseline"/>
              <w:rPr>
                <w:color w:val="auto"/>
                <w:kern w:val="0"/>
              </w:rPr>
            </w:pPr>
            <w:r>
              <w:rPr>
                <w:color w:val="auto"/>
                <w:kern w:val="0"/>
              </w:rPr>
              <w:t>0.001mg/L</w:t>
            </w:r>
          </w:p>
        </w:tc>
        <w:tc>
          <w:tcPr>
            <w:tcW w:w="950" w:type="pct"/>
            <w:vMerge w:val="continue"/>
            <w:vAlign w:val="center"/>
          </w:tcPr>
          <w:p>
            <w:pPr>
              <w:contextualSpacing/>
              <w:jc w:val="center"/>
              <w:textAlignment w:val="baseline"/>
              <w:rPr>
                <w:color w:val="auto"/>
                <w:kern w:val="0"/>
              </w:rPr>
            </w:pP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12</w:t>
            </w:r>
          </w:p>
        </w:tc>
        <w:tc>
          <w:tcPr>
            <w:tcW w:w="749" w:type="pct"/>
            <w:vAlign w:val="center"/>
          </w:tcPr>
          <w:p>
            <w:pPr>
              <w:contextualSpacing/>
              <w:jc w:val="center"/>
              <w:textAlignment w:val="baseline"/>
              <w:rPr>
                <w:color w:val="auto"/>
                <w:kern w:val="0"/>
              </w:rPr>
            </w:pPr>
            <w:r>
              <w:rPr>
                <w:color w:val="auto"/>
                <w:kern w:val="0"/>
              </w:rPr>
              <w:t>挥发性酚类</w:t>
            </w:r>
          </w:p>
        </w:tc>
        <w:tc>
          <w:tcPr>
            <w:tcW w:w="1570" w:type="pct"/>
            <w:vAlign w:val="center"/>
          </w:tcPr>
          <w:p>
            <w:pPr>
              <w:contextualSpacing/>
              <w:jc w:val="center"/>
              <w:textAlignment w:val="baseline"/>
              <w:rPr>
                <w:color w:val="auto"/>
                <w:kern w:val="0"/>
              </w:rPr>
            </w:pPr>
            <w:r>
              <w:rPr>
                <w:color w:val="auto"/>
                <w:kern w:val="0"/>
              </w:rPr>
              <w:t>水质 挥发酚的测定 4-氨基安替比林分光光度法</w:t>
            </w:r>
          </w:p>
        </w:tc>
        <w:tc>
          <w:tcPr>
            <w:tcW w:w="657" w:type="pct"/>
            <w:vAlign w:val="center"/>
          </w:tcPr>
          <w:p>
            <w:pPr>
              <w:contextualSpacing/>
              <w:jc w:val="center"/>
              <w:textAlignment w:val="baseline"/>
              <w:rPr>
                <w:color w:val="auto"/>
                <w:kern w:val="0"/>
              </w:rPr>
            </w:pPr>
            <w:r>
              <w:rPr>
                <w:color w:val="auto"/>
                <w:kern w:val="0"/>
              </w:rPr>
              <w:t>0.00</w:t>
            </w:r>
            <w:r>
              <w:rPr>
                <w:rFonts w:hint="eastAsia"/>
                <w:color w:val="auto"/>
                <w:kern w:val="0"/>
              </w:rPr>
              <w:t>03</w:t>
            </w:r>
            <w:r>
              <w:rPr>
                <w:color w:val="auto"/>
                <w:kern w:val="0"/>
              </w:rPr>
              <w:t>mg/L</w:t>
            </w:r>
          </w:p>
        </w:tc>
        <w:tc>
          <w:tcPr>
            <w:tcW w:w="950" w:type="pct"/>
            <w:vAlign w:val="center"/>
          </w:tcPr>
          <w:p>
            <w:pPr>
              <w:contextualSpacing/>
              <w:jc w:val="center"/>
              <w:textAlignment w:val="baseline"/>
              <w:rPr>
                <w:color w:val="auto"/>
                <w:kern w:val="0"/>
              </w:rPr>
            </w:pPr>
            <w:r>
              <w:rPr>
                <w:color w:val="auto"/>
                <w:kern w:val="0"/>
              </w:rPr>
              <w:t>HJ 503-2009</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13</w:t>
            </w:r>
          </w:p>
        </w:tc>
        <w:tc>
          <w:tcPr>
            <w:tcW w:w="749" w:type="pct"/>
            <w:vAlign w:val="center"/>
          </w:tcPr>
          <w:p>
            <w:pPr>
              <w:contextualSpacing/>
              <w:jc w:val="center"/>
              <w:textAlignment w:val="baseline"/>
              <w:rPr>
                <w:color w:val="auto"/>
                <w:kern w:val="0"/>
              </w:rPr>
            </w:pPr>
            <w:r>
              <w:rPr>
                <w:color w:val="auto"/>
                <w:kern w:val="0"/>
              </w:rPr>
              <w:t>砷</w:t>
            </w:r>
          </w:p>
        </w:tc>
        <w:tc>
          <w:tcPr>
            <w:tcW w:w="1570" w:type="pct"/>
            <w:vAlign w:val="center"/>
          </w:tcPr>
          <w:p>
            <w:pPr>
              <w:contextualSpacing/>
              <w:jc w:val="center"/>
              <w:textAlignment w:val="baseline"/>
              <w:rPr>
                <w:bCs/>
                <w:color w:val="auto"/>
                <w:kern w:val="0"/>
              </w:rPr>
            </w:pPr>
            <w:r>
              <w:rPr>
                <w:color w:val="auto"/>
                <w:kern w:val="0"/>
              </w:rPr>
              <w:t>生活饮用水标准检验方法 金属指标  氢化物原子荧光法</w:t>
            </w:r>
          </w:p>
        </w:tc>
        <w:tc>
          <w:tcPr>
            <w:tcW w:w="657" w:type="pct"/>
            <w:vAlign w:val="center"/>
          </w:tcPr>
          <w:p>
            <w:pPr>
              <w:contextualSpacing/>
              <w:jc w:val="center"/>
              <w:textAlignment w:val="baseline"/>
              <w:rPr>
                <w:color w:val="auto"/>
              </w:rPr>
            </w:pPr>
            <w:r>
              <w:rPr>
                <w:color w:val="auto"/>
                <w:kern w:val="0"/>
              </w:rPr>
              <w:t>1.0μg/L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14</w:t>
            </w:r>
          </w:p>
        </w:tc>
        <w:tc>
          <w:tcPr>
            <w:tcW w:w="749" w:type="pct"/>
            <w:vAlign w:val="center"/>
          </w:tcPr>
          <w:p>
            <w:pPr>
              <w:contextualSpacing/>
              <w:jc w:val="center"/>
              <w:textAlignment w:val="baseline"/>
              <w:rPr>
                <w:color w:val="auto"/>
                <w:kern w:val="0"/>
              </w:rPr>
            </w:pPr>
            <w:r>
              <w:rPr>
                <w:color w:val="auto"/>
                <w:kern w:val="0"/>
              </w:rPr>
              <w:t>汞</w:t>
            </w:r>
          </w:p>
        </w:tc>
        <w:tc>
          <w:tcPr>
            <w:tcW w:w="1570" w:type="pct"/>
            <w:vAlign w:val="center"/>
          </w:tcPr>
          <w:p>
            <w:pPr>
              <w:contextualSpacing/>
              <w:jc w:val="center"/>
              <w:textAlignment w:val="baseline"/>
              <w:rPr>
                <w:color w:val="auto"/>
                <w:kern w:val="0"/>
              </w:rPr>
            </w:pPr>
            <w:r>
              <w:rPr>
                <w:color w:val="auto"/>
                <w:kern w:val="0"/>
              </w:rPr>
              <w:t>生活饮用水标准检验方法 金属指标  原子荧光法</w:t>
            </w:r>
          </w:p>
        </w:tc>
        <w:tc>
          <w:tcPr>
            <w:tcW w:w="657" w:type="pct"/>
            <w:vAlign w:val="center"/>
          </w:tcPr>
          <w:p>
            <w:pPr>
              <w:contextualSpacing/>
              <w:jc w:val="center"/>
              <w:textAlignment w:val="baseline"/>
              <w:rPr>
                <w:color w:val="auto"/>
                <w:kern w:val="0"/>
              </w:rPr>
            </w:pPr>
            <w:r>
              <w:rPr>
                <w:color w:val="auto"/>
                <w:kern w:val="0"/>
              </w:rPr>
              <w:t>0.1μg/L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color w:val="auto"/>
                <w:kern w:val="0"/>
              </w:rPr>
            </w:pPr>
            <w:r>
              <w:rPr>
                <w:rFonts w:hint="eastAsia"/>
                <w:color w:val="auto"/>
                <w:kern w:val="0"/>
              </w:rPr>
              <w:t>15</w:t>
            </w:r>
          </w:p>
        </w:tc>
        <w:tc>
          <w:tcPr>
            <w:tcW w:w="749" w:type="pct"/>
            <w:vAlign w:val="center"/>
          </w:tcPr>
          <w:p>
            <w:pPr>
              <w:contextualSpacing/>
              <w:jc w:val="center"/>
              <w:textAlignment w:val="baseline"/>
              <w:rPr>
                <w:color w:val="auto"/>
                <w:kern w:val="0"/>
              </w:rPr>
            </w:pPr>
            <w:r>
              <w:rPr>
                <w:color w:val="auto"/>
                <w:kern w:val="0"/>
              </w:rPr>
              <w:t>六价铬</w:t>
            </w:r>
          </w:p>
        </w:tc>
        <w:tc>
          <w:tcPr>
            <w:tcW w:w="1570" w:type="pct"/>
            <w:vAlign w:val="center"/>
          </w:tcPr>
          <w:p>
            <w:pPr>
              <w:contextualSpacing/>
              <w:jc w:val="center"/>
              <w:textAlignment w:val="baseline"/>
              <w:rPr>
                <w:color w:val="auto"/>
                <w:kern w:val="0"/>
              </w:rPr>
            </w:pPr>
            <w:r>
              <w:rPr>
                <w:color w:val="auto"/>
                <w:kern w:val="0"/>
              </w:rPr>
              <w:t>生活饮用水标准检验方法 金属指标  二苯碳酰二肼分光光度法</w:t>
            </w:r>
          </w:p>
        </w:tc>
        <w:tc>
          <w:tcPr>
            <w:tcW w:w="657" w:type="pct"/>
            <w:vAlign w:val="center"/>
          </w:tcPr>
          <w:p>
            <w:pPr>
              <w:contextualSpacing/>
              <w:jc w:val="center"/>
              <w:textAlignment w:val="baseline"/>
              <w:rPr>
                <w:color w:val="auto"/>
                <w:kern w:val="0"/>
              </w:rPr>
            </w:pPr>
            <w:r>
              <w:rPr>
                <w:color w:val="auto"/>
                <w:kern w:val="0"/>
              </w:rPr>
              <w:t>0.004mg/L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16</w:t>
            </w:r>
          </w:p>
        </w:tc>
        <w:tc>
          <w:tcPr>
            <w:tcW w:w="749" w:type="pct"/>
            <w:vAlign w:val="center"/>
          </w:tcPr>
          <w:p>
            <w:pPr>
              <w:contextualSpacing/>
              <w:jc w:val="center"/>
              <w:textAlignment w:val="baseline"/>
              <w:rPr>
                <w:color w:val="auto"/>
                <w:kern w:val="0"/>
              </w:rPr>
            </w:pPr>
            <w:r>
              <w:rPr>
                <w:color w:val="auto"/>
                <w:kern w:val="0"/>
              </w:rPr>
              <w:t>总硬度</w:t>
            </w:r>
          </w:p>
        </w:tc>
        <w:tc>
          <w:tcPr>
            <w:tcW w:w="1570" w:type="pct"/>
            <w:vAlign w:val="center"/>
          </w:tcPr>
          <w:p>
            <w:pPr>
              <w:contextualSpacing/>
              <w:jc w:val="center"/>
              <w:textAlignment w:val="baseline"/>
              <w:rPr>
                <w:color w:val="auto"/>
                <w:kern w:val="0"/>
              </w:rPr>
            </w:pPr>
            <w:r>
              <w:rPr>
                <w:color w:val="auto"/>
                <w:kern w:val="0"/>
              </w:rPr>
              <w:t>生活饮用水标准检验方法 感官性状和物理指标  乙二胺四乙酸二钠滴定法</w:t>
            </w:r>
          </w:p>
        </w:tc>
        <w:tc>
          <w:tcPr>
            <w:tcW w:w="657" w:type="pct"/>
            <w:vAlign w:val="center"/>
          </w:tcPr>
          <w:p>
            <w:pPr>
              <w:contextualSpacing/>
              <w:jc w:val="center"/>
              <w:textAlignment w:val="baseline"/>
              <w:rPr>
                <w:color w:val="auto"/>
                <w:kern w:val="0"/>
              </w:rPr>
            </w:pPr>
            <w:r>
              <w:rPr>
                <w:color w:val="auto"/>
                <w:kern w:val="0"/>
              </w:rPr>
              <w:t>1.0mg/L</w:t>
            </w:r>
          </w:p>
        </w:tc>
        <w:tc>
          <w:tcPr>
            <w:tcW w:w="950" w:type="pct"/>
            <w:vAlign w:val="center"/>
          </w:tcPr>
          <w:p>
            <w:pPr>
              <w:contextualSpacing/>
              <w:jc w:val="center"/>
              <w:textAlignment w:val="baseline"/>
              <w:rPr>
                <w:color w:val="auto"/>
                <w:kern w:val="0"/>
              </w:rPr>
            </w:pPr>
            <w:r>
              <w:rPr>
                <w:color w:val="auto"/>
                <w:kern w:val="0"/>
              </w:rPr>
              <w:t>GB/T 5750.4-2006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17</w:t>
            </w:r>
          </w:p>
        </w:tc>
        <w:tc>
          <w:tcPr>
            <w:tcW w:w="749" w:type="pct"/>
            <w:vAlign w:val="center"/>
          </w:tcPr>
          <w:p>
            <w:pPr>
              <w:contextualSpacing/>
              <w:jc w:val="center"/>
              <w:textAlignment w:val="baseline"/>
              <w:rPr>
                <w:color w:val="auto"/>
                <w:kern w:val="0"/>
              </w:rPr>
            </w:pPr>
            <w:r>
              <w:rPr>
                <w:color w:val="auto"/>
                <w:kern w:val="0"/>
              </w:rPr>
              <w:t>铅</w:t>
            </w:r>
          </w:p>
        </w:tc>
        <w:tc>
          <w:tcPr>
            <w:tcW w:w="1570" w:type="pct"/>
            <w:vAlign w:val="center"/>
          </w:tcPr>
          <w:p>
            <w:pPr>
              <w:contextualSpacing/>
              <w:jc w:val="center"/>
              <w:textAlignment w:val="baseline"/>
              <w:rPr>
                <w:color w:val="auto"/>
                <w:kern w:val="0"/>
              </w:rPr>
            </w:pPr>
            <w:r>
              <w:rPr>
                <w:color w:val="auto"/>
                <w:kern w:val="0"/>
              </w:rPr>
              <w:t>生活饮用水标准检验方法 金属指标  无火焰原子吸收分光光度法</w:t>
            </w:r>
          </w:p>
        </w:tc>
        <w:tc>
          <w:tcPr>
            <w:tcW w:w="657" w:type="pct"/>
            <w:vAlign w:val="center"/>
          </w:tcPr>
          <w:p>
            <w:pPr>
              <w:contextualSpacing/>
              <w:jc w:val="center"/>
              <w:textAlignment w:val="baseline"/>
              <w:rPr>
                <w:color w:val="auto"/>
                <w:kern w:val="0"/>
              </w:rPr>
            </w:pPr>
            <w:r>
              <w:rPr>
                <w:color w:val="auto"/>
                <w:kern w:val="0"/>
              </w:rPr>
              <w:t>2.5μg/L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18</w:t>
            </w:r>
          </w:p>
        </w:tc>
        <w:tc>
          <w:tcPr>
            <w:tcW w:w="749" w:type="pct"/>
            <w:vAlign w:val="center"/>
          </w:tcPr>
          <w:p>
            <w:pPr>
              <w:contextualSpacing/>
              <w:jc w:val="center"/>
              <w:textAlignment w:val="baseline"/>
              <w:rPr>
                <w:color w:val="auto"/>
                <w:kern w:val="0"/>
              </w:rPr>
            </w:pPr>
            <w:r>
              <w:rPr>
                <w:color w:val="auto"/>
                <w:kern w:val="0"/>
              </w:rPr>
              <w:t>铁</w:t>
            </w:r>
          </w:p>
        </w:tc>
        <w:tc>
          <w:tcPr>
            <w:tcW w:w="1570" w:type="pct"/>
            <w:vAlign w:val="center"/>
          </w:tcPr>
          <w:p>
            <w:pPr>
              <w:contextualSpacing/>
              <w:jc w:val="center"/>
              <w:textAlignment w:val="baseline"/>
              <w:rPr>
                <w:color w:val="auto"/>
                <w:kern w:val="0"/>
              </w:rPr>
            </w:pPr>
            <w:r>
              <w:rPr>
                <w:color w:val="auto"/>
                <w:kern w:val="0"/>
              </w:rPr>
              <w:t>水质 铁、锰的测定 火焰原子吸收分光光度法</w:t>
            </w:r>
          </w:p>
        </w:tc>
        <w:tc>
          <w:tcPr>
            <w:tcW w:w="657" w:type="pct"/>
            <w:vAlign w:val="center"/>
          </w:tcPr>
          <w:p>
            <w:pPr>
              <w:contextualSpacing/>
              <w:jc w:val="center"/>
              <w:textAlignment w:val="baseline"/>
              <w:rPr>
                <w:color w:val="auto"/>
                <w:kern w:val="0"/>
              </w:rPr>
            </w:pPr>
            <w:r>
              <w:rPr>
                <w:color w:val="auto"/>
                <w:kern w:val="0"/>
              </w:rPr>
              <w:t>0.03mg/L</w:t>
            </w:r>
          </w:p>
        </w:tc>
        <w:tc>
          <w:tcPr>
            <w:tcW w:w="950" w:type="pct"/>
            <w:vAlign w:val="center"/>
          </w:tcPr>
          <w:p>
            <w:pPr>
              <w:contextualSpacing/>
              <w:jc w:val="center"/>
              <w:textAlignment w:val="baseline"/>
              <w:rPr>
                <w:color w:val="auto"/>
                <w:kern w:val="0"/>
              </w:rPr>
            </w:pPr>
            <w:r>
              <w:rPr>
                <w:color w:val="auto"/>
                <w:kern w:val="0"/>
              </w:rPr>
              <w:t>GB 11911-1989</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19</w:t>
            </w:r>
          </w:p>
        </w:tc>
        <w:tc>
          <w:tcPr>
            <w:tcW w:w="749" w:type="pct"/>
            <w:vAlign w:val="center"/>
          </w:tcPr>
          <w:p>
            <w:pPr>
              <w:contextualSpacing/>
              <w:jc w:val="center"/>
              <w:textAlignment w:val="baseline"/>
              <w:rPr>
                <w:color w:val="auto"/>
                <w:kern w:val="0"/>
              </w:rPr>
            </w:pPr>
            <w:r>
              <w:rPr>
                <w:color w:val="auto"/>
                <w:kern w:val="0"/>
              </w:rPr>
              <w:t>锌</w:t>
            </w:r>
          </w:p>
        </w:tc>
        <w:tc>
          <w:tcPr>
            <w:tcW w:w="1570" w:type="pct"/>
            <w:vAlign w:val="center"/>
          </w:tcPr>
          <w:p>
            <w:pPr>
              <w:contextualSpacing/>
              <w:jc w:val="center"/>
              <w:textAlignment w:val="baseline"/>
              <w:rPr>
                <w:color w:val="auto"/>
                <w:kern w:val="0"/>
              </w:rPr>
            </w:pPr>
            <w:r>
              <w:rPr>
                <w:color w:val="auto"/>
                <w:kern w:val="0"/>
              </w:rPr>
              <w:t>生活饮用水标准检验方法 金属指标原子吸收分光光度法</w:t>
            </w:r>
          </w:p>
        </w:tc>
        <w:tc>
          <w:tcPr>
            <w:tcW w:w="657" w:type="pct"/>
            <w:vAlign w:val="center"/>
          </w:tcPr>
          <w:p>
            <w:pPr>
              <w:contextualSpacing/>
              <w:jc w:val="center"/>
              <w:textAlignment w:val="baseline"/>
              <w:rPr>
                <w:color w:val="auto"/>
                <w:kern w:val="0"/>
              </w:rPr>
            </w:pPr>
            <w:r>
              <w:rPr>
                <w:color w:val="auto"/>
                <w:kern w:val="0"/>
              </w:rPr>
              <w:t>0.05mg/L</w:t>
            </w:r>
          </w:p>
        </w:tc>
        <w:tc>
          <w:tcPr>
            <w:tcW w:w="950" w:type="pct"/>
            <w:vAlign w:val="center"/>
          </w:tcPr>
          <w:p>
            <w:pPr>
              <w:contextualSpacing/>
              <w:jc w:val="center"/>
              <w:textAlignment w:val="baseline"/>
              <w:rPr>
                <w:color w:val="auto"/>
                <w:kern w:val="0"/>
              </w:rPr>
            </w:pPr>
            <w:r>
              <w:rPr>
                <w:color w:val="auto"/>
                <w:kern w:val="0"/>
              </w:rPr>
              <w:t>GB/T 5750.6-2006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20</w:t>
            </w:r>
          </w:p>
        </w:tc>
        <w:tc>
          <w:tcPr>
            <w:tcW w:w="749" w:type="pct"/>
            <w:vAlign w:val="center"/>
          </w:tcPr>
          <w:p>
            <w:pPr>
              <w:contextualSpacing/>
              <w:jc w:val="center"/>
              <w:textAlignment w:val="baseline"/>
              <w:rPr>
                <w:color w:val="auto"/>
                <w:kern w:val="0"/>
              </w:rPr>
            </w:pPr>
            <w:r>
              <w:rPr>
                <w:color w:val="auto"/>
                <w:kern w:val="0"/>
              </w:rPr>
              <w:t>镍</w:t>
            </w:r>
          </w:p>
        </w:tc>
        <w:tc>
          <w:tcPr>
            <w:tcW w:w="1570" w:type="pct"/>
            <w:vAlign w:val="center"/>
          </w:tcPr>
          <w:p>
            <w:pPr>
              <w:ind w:left="210" w:hanging="210" w:hangingChars="100"/>
              <w:contextualSpacing/>
              <w:textAlignment w:val="baseline"/>
              <w:rPr>
                <w:color w:val="auto"/>
                <w:kern w:val="0"/>
              </w:rPr>
            </w:pPr>
            <w:r>
              <w:rPr>
                <w:rFonts w:hint="eastAsia"/>
                <w:color w:val="auto"/>
                <w:kern w:val="0"/>
              </w:rPr>
              <w:t xml:space="preserve">生活饮用水标准检验方法 金属指标 </w:t>
            </w:r>
            <w:r>
              <w:rPr>
                <w:color w:val="auto"/>
                <w:kern w:val="0"/>
              </w:rPr>
              <w:t>原子吸收分光光度法</w:t>
            </w:r>
          </w:p>
        </w:tc>
        <w:tc>
          <w:tcPr>
            <w:tcW w:w="657" w:type="pct"/>
            <w:vAlign w:val="center"/>
          </w:tcPr>
          <w:p>
            <w:pPr>
              <w:contextualSpacing/>
              <w:jc w:val="center"/>
              <w:textAlignment w:val="baseline"/>
              <w:rPr>
                <w:color w:val="auto"/>
                <w:kern w:val="0"/>
              </w:rPr>
            </w:pPr>
            <w:r>
              <w:rPr>
                <w:color w:val="auto"/>
                <w:kern w:val="0"/>
              </w:rPr>
              <w:t>0.0</w:t>
            </w:r>
            <w:r>
              <w:rPr>
                <w:rFonts w:hint="eastAsia"/>
                <w:color w:val="auto"/>
                <w:kern w:val="0"/>
              </w:rPr>
              <w:t>0</w:t>
            </w:r>
            <w:r>
              <w:rPr>
                <w:color w:val="auto"/>
                <w:kern w:val="0"/>
              </w:rPr>
              <w:t>5mg/L</w:t>
            </w:r>
          </w:p>
        </w:tc>
        <w:tc>
          <w:tcPr>
            <w:tcW w:w="950" w:type="pct"/>
            <w:vAlign w:val="center"/>
          </w:tcPr>
          <w:p>
            <w:pPr>
              <w:contextualSpacing/>
              <w:jc w:val="center"/>
              <w:textAlignment w:val="baseline"/>
              <w:rPr>
                <w:color w:val="auto"/>
                <w:kern w:val="0"/>
              </w:rPr>
            </w:pPr>
            <w:r>
              <w:rPr>
                <w:rFonts w:hint="eastAsia"/>
                <w:color w:val="auto"/>
                <w:kern w:val="0"/>
              </w:rPr>
              <w:t>GB/T5750-2006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21</w:t>
            </w:r>
          </w:p>
        </w:tc>
        <w:tc>
          <w:tcPr>
            <w:tcW w:w="749" w:type="pct"/>
            <w:vAlign w:val="center"/>
          </w:tcPr>
          <w:p>
            <w:pPr>
              <w:contextualSpacing/>
              <w:jc w:val="center"/>
              <w:textAlignment w:val="baseline"/>
              <w:rPr>
                <w:color w:val="auto"/>
                <w:kern w:val="0"/>
              </w:rPr>
            </w:pPr>
            <w:r>
              <w:rPr>
                <w:color w:val="auto"/>
                <w:kern w:val="0"/>
              </w:rPr>
              <w:t>溶解性总固体</w:t>
            </w:r>
          </w:p>
        </w:tc>
        <w:tc>
          <w:tcPr>
            <w:tcW w:w="1570" w:type="pct"/>
            <w:vAlign w:val="center"/>
          </w:tcPr>
          <w:p>
            <w:pPr>
              <w:contextualSpacing/>
              <w:jc w:val="center"/>
              <w:textAlignment w:val="baseline"/>
              <w:rPr>
                <w:color w:val="auto"/>
                <w:kern w:val="0"/>
              </w:rPr>
            </w:pPr>
            <w:r>
              <w:rPr>
                <w:color w:val="auto"/>
                <w:kern w:val="0"/>
              </w:rPr>
              <w:t>生活饮用水标准检验方法 感官性状和物理指标  称量法</w:t>
            </w:r>
          </w:p>
        </w:tc>
        <w:tc>
          <w:tcPr>
            <w:tcW w:w="657" w:type="pct"/>
            <w:vAlign w:val="center"/>
          </w:tcPr>
          <w:p>
            <w:pPr>
              <w:contextualSpacing/>
              <w:jc w:val="center"/>
              <w:textAlignment w:val="baseline"/>
              <w:rPr>
                <w:color w:val="auto"/>
                <w:kern w:val="0"/>
              </w:rPr>
            </w:pPr>
            <w:r>
              <w:rPr>
                <w:color w:val="auto"/>
                <w:kern w:val="0"/>
              </w:rPr>
              <w:t>/</w:t>
            </w:r>
          </w:p>
        </w:tc>
        <w:tc>
          <w:tcPr>
            <w:tcW w:w="950" w:type="pct"/>
            <w:vAlign w:val="center"/>
          </w:tcPr>
          <w:p>
            <w:pPr>
              <w:contextualSpacing/>
              <w:jc w:val="center"/>
              <w:textAlignment w:val="baseline"/>
              <w:rPr>
                <w:color w:val="auto"/>
                <w:kern w:val="0"/>
              </w:rPr>
            </w:pPr>
            <w:r>
              <w:rPr>
                <w:color w:val="auto"/>
                <w:kern w:val="0"/>
              </w:rPr>
              <w:t>GB/T 5750.4-2006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22</w:t>
            </w:r>
          </w:p>
        </w:tc>
        <w:tc>
          <w:tcPr>
            <w:tcW w:w="749" w:type="pct"/>
            <w:vAlign w:val="center"/>
          </w:tcPr>
          <w:p>
            <w:pPr>
              <w:contextualSpacing/>
              <w:jc w:val="center"/>
              <w:textAlignment w:val="baseline"/>
              <w:rPr>
                <w:color w:val="auto"/>
                <w:kern w:val="0"/>
              </w:rPr>
            </w:pPr>
            <w:r>
              <w:rPr>
                <w:rFonts w:hint="eastAsia"/>
                <w:color w:val="auto"/>
                <w:kern w:val="0"/>
              </w:rPr>
              <w:t>总大肠菌群</w:t>
            </w:r>
          </w:p>
        </w:tc>
        <w:tc>
          <w:tcPr>
            <w:tcW w:w="1570" w:type="pct"/>
            <w:vAlign w:val="center"/>
          </w:tcPr>
          <w:p>
            <w:pPr>
              <w:contextualSpacing/>
              <w:jc w:val="center"/>
              <w:textAlignment w:val="baseline"/>
              <w:rPr>
                <w:color w:val="auto"/>
                <w:kern w:val="0"/>
              </w:rPr>
            </w:pPr>
            <w:r>
              <w:rPr>
                <w:color w:val="auto"/>
                <w:kern w:val="0"/>
              </w:rPr>
              <w:t>水质</w:t>
            </w:r>
            <w:r>
              <w:rPr>
                <w:rFonts w:hint="eastAsia"/>
                <w:color w:val="auto"/>
                <w:kern w:val="0"/>
              </w:rPr>
              <w:t xml:space="preserve"> 总大肠菌群和粪大肠菌群的测定 纸片快速法</w:t>
            </w:r>
          </w:p>
        </w:tc>
        <w:tc>
          <w:tcPr>
            <w:tcW w:w="657" w:type="pct"/>
            <w:vAlign w:val="center"/>
          </w:tcPr>
          <w:p>
            <w:pPr>
              <w:contextualSpacing/>
              <w:jc w:val="center"/>
              <w:textAlignment w:val="baseline"/>
              <w:rPr>
                <w:color w:val="auto"/>
                <w:kern w:val="0"/>
              </w:rPr>
            </w:pPr>
            <w:r>
              <w:rPr>
                <w:rFonts w:hint="eastAsia"/>
                <w:color w:val="auto"/>
                <w:kern w:val="0"/>
              </w:rPr>
              <w:t>20MPN/L</w:t>
            </w:r>
          </w:p>
        </w:tc>
        <w:tc>
          <w:tcPr>
            <w:tcW w:w="950" w:type="pct"/>
            <w:vAlign w:val="center"/>
          </w:tcPr>
          <w:p>
            <w:pPr>
              <w:contextualSpacing/>
              <w:jc w:val="center"/>
              <w:textAlignment w:val="baseline"/>
              <w:rPr>
                <w:color w:val="auto"/>
                <w:kern w:val="0"/>
              </w:rPr>
            </w:pPr>
            <w:r>
              <w:rPr>
                <w:rFonts w:hint="eastAsia"/>
                <w:color w:val="auto"/>
                <w:kern w:val="0"/>
              </w:rPr>
              <w:t>HJ755-2015</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23</w:t>
            </w:r>
          </w:p>
        </w:tc>
        <w:tc>
          <w:tcPr>
            <w:tcW w:w="749" w:type="pct"/>
            <w:vAlign w:val="center"/>
          </w:tcPr>
          <w:p>
            <w:pPr>
              <w:contextualSpacing/>
              <w:jc w:val="center"/>
              <w:textAlignment w:val="baseline"/>
              <w:rPr>
                <w:color w:val="auto"/>
                <w:kern w:val="0"/>
              </w:rPr>
            </w:pPr>
            <w:r>
              <w:rPr>
                <w:color w:val="auto"/>
                <w:kern w:val="0"/>
              </w:rPr>
              <w:t>耗氧量</w:t>
            </w:r>
          </w:p>
        </w:tc>
        <w:tc>
          <w:tcPr>
            <w:tcW w:w="1570" w:type="pct"/>
            <w:vAlign w:val="center"/>
          </w:tcPr>
          <w:p>
            <w:pPr>
              <w:contextualSpacing/>
              <w:jc w:val="center"/>
              <w:textAlignment w:val="baseline"/>
              <w:rPr>
                <w:color w:val="auto"/>
                <w:kern w:val="0"/>
              </w:rPr>
            </w:pPr>
            <w:r>
              <w:rPr>
                <w:color w:val="auto"/>
                <w:kern w:val="0"/>
              </w:rPr>
              <w:t>生活饮用水标准检验方法 有机物综合指标酸性高锰酸钾滴定法</w:t>
            </w:r>
          </w:p>
        </w:tc>
        <w:tc>
          <w:tcPr>
            <w:tcW w:w="657" w:type="pct"/>
            <w:vAlign w:val="center"/>
          </w:tcPr>
          <w:p>
            <w:pPr>
              <w:contextualSpacing/>
              <w:jc w:val="center"/>
              <w:textAlignment w:val="baseline"/>
              <w:rPr>
                <w:color w:val="auto"/>
                <w:kern w:val="0"/>
              </w:rPr>
            </w:pPr>
            <w:r>
              <w:rPr>
                <w:color w:val="auto"/>
                <w:kern w:val="0"/>
              </w:rPr>
              <w:t>0.05mg/L</w:t>
            </w:r>
          </w:p>
        </w:tc>
        <w:tc>
          <w:tcPr>
            <w:tcW w:w="950" w:type="pct"/>
            <w:vAlign w:val="center"/>
          </w:tcPr>
          <w:p>
            <w:pPr>
              <w:contextualSpacing/>
              <w:jc w:val="center"/>
              <w:textAlignment w:val="baseline"/>
              <w:rPr>
                <w:color w:val="auto"/>
                <w:spacing w:val="-9"/>
                <w:kern w:val="0"/>
              </w:rPr>
            </w:pPr>
            <w:r>
              <w:rPr>
                <w:color w:val="auto"/>
                <w:kern w:val="0"/>
              </w:rPr>
              <w:t>GB/T 5750.7-2006</w:t>
            </w:r>
          </w:p>
        </w:tc>
        <w:tc>
          <w:tcPr>
            <w:tcW w:w="619"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452" w:type="pct"/>
            <w:vAlign w:val="center"/>
          </w:tcPr>
          <w:p>
            <w:pPr>
              <w:contextualSpacing/>
              <w:jc w:val="center"/>
              <w:textAlignment w:val="baseline"/>
              <w:rPr>
                <w:rFonts w:hint="default" w:eastAsia="宋体"/>
                <w:color w:val="auto"/>
                <w:kern w:val="0"/>
                <w:lang w:val="en-US" w:eastAsia="zh-CN"/>
              </w:rPr>
            </w:pPr>
            <w:r>
              <w:rPr>
                <w:rFonts w:hint="eastAsia"/>
                <w:color w:val="auto"/>
                <w:kern w:val="0"/>
                <w:lang w:val="en-US" w:eastAsia="zh-CN"/>
              </w:rPr>
              <w:t>24</w:t>
            </w:r>
          </w:p>
        </w:tc>
        <w:tc>
          <w:tcPr>
            <w:tcW w:w="749" w:type="pct"/>
            <w:vAlign w:val="center"/>
          </w:tcPr>
          <w:p>
            <w:pPr>
              <w:contextualSpacing/>
              <w:jc w:val="center"/>
              <w:textAlignment w:val="baseline"/>
              <w:rPr>
                <w:color w:val="auto"/>
                <w:kern w:val="0"/>
              </w:rPr>
            </w:pPr>
            <w:r>
              <w:rPr>
                <w:color w:val="auto"/>
                <w:kern w:val="0"/>
              </w:rPr>
              <w:t>阴离子合成洗涤剂</w:t>
            </w:r>
          </w:p>
        </w:tc>
        <w:tc>
          <w:tcPr>
            <w:tcW w:w="1570" w:type="pct"/>
            <w:vAlign w:val="center"/>
          </w:tcPr>
          <w:p>
            <w:pPr>
              <w:contextualSpacing/>
              <w:jc w:val="center"/>
              <w:textAlignment w:val="baseline"/>
              <w:rPr>
                <w:color w:val="auto"/>
                <w:kern w:val="0"/>
              </w:rPr>
            </w:pPr>
            <w:r>
              <w:rPr>
                <w:color w:val="auto"/>
                <w:kern w:val="0"/>
              </w:rPr>
              <w:t>生活饮用水标准检验方法 感官性状和物理指标亚甲蓝分光光度法</w:t>
            </w:r>
          </w:p>
        </w:tc>
        <w:tc>
          <w:tcPr>
            <w:tcW w:w="657" w:type="pct"/>
            <w:vAlign w:val="center"/>
          </w:tcPr>
          <w:p>
            <w:pPr>
              <w:contextualSpacing/>
              <w:jc w:val="center"/>
              <w:textAlignment w:val="baseline"/>
              <w:rPr>
                <w:color w:val="auto"/>
                <w:kern w:val="0"/>
              </w:rPr>
            </w:pPr>
            <w:r>
              <w:rPr>
                <w:color w:val="auto"/>
                <w:kern w:val="0"/>
              </w:rPr>
              <w:t>0.050mg/L</w:t>
            </w:r>
          </w:p>
        </w:tc>
        <w:tc>
          <w:tcPr>
            <w:tcW w:w="950" w:type="pct"/>
            <w:vAlign w:val="center"/>
          </w:tcPr>
          <w:p>
            <w:pPr>
              <w:contextualSpacing/>
              <w:jc w:val="center"/>
              <w:textAlignment w:val="baseline"/>
              <w:rPr>
                <w:color w:val="auto"/>
                <w:spacing w:val="-9"/>
                <w:kern w:val="0"/>
              </w:rPr>
            </w:pPr>
            <w:r>
              <w:rPr>
                <w:color w:val="auto"/>
                <w:kern w:val="0"/>
              </w:rPr>
              <w:t>GB/T 5750.4-2006</w:t>
            </w:r>
          </w:p>
        </w:tc>
        <w:tc>
          <w:tcPr>
            <w:tcW w:w="619" w:type="pct"/>
            <w:vMerge w:val="continue"/>
            <w:vAlign w:val="center"/>
          </w:tcPr>
          <w:p>
            <w:pPr>
              <w:contextualSpacing/>
              <w:jc w:val="center"/>
              <w:textAlignment w:val="baseline"/>
              <w:rPr>
                <w:color w:val="auto"/>
                <w:kern w:val="0"/>
              </w:rPr>
            </w:pPr>
          </w:p>
        </w:tc>
      </w:tr>
    </w:tbl>
    <w:p>
      <w:pPr>
        <w:pStyle w:val="6"/>
        <w:spacing w:before="0" w:after="0" w:line="360" w:lineRule="auto"/>
        <w:rPr>
          <w:b w:val="0"/>
          <w:color w:val="auto"/>
          <w:sz w:val="24"/>
          <w:szCs w:val="24"/>
        </w:rPr>
      </w:pPr>
      <w:r>
        <w:rPr>
          <w:rFonts w:hint="eastAsia"/>
          <w:b w:val="0"/>
          <w:color w:val="auto"/>
          <w:sz w:val="24"/>
          <w:szCs w:val="24"/>
        </w:rPr>
        <w:t>4.2.5.4评价标准</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本项目地下水现状质量评价</w:t>
      </w:r>
      <w:r>
        <w:rPr>
          <w:color w:val="auto"/>
          <w:kern w:val="0"/>
          <w:sz w:val="24"/>
          <w:szCs w:val="20"/>
        </w:rPr>
        <w:t>执行《地下水质量标准》（GB/T14848-</w:t>
      </w:r>
      <w:r>
        <w:rPr>
          <w:rFonts w:hint="eastAsia"/>
          <w:color w:val="auto"/>
          <w:kern w:val="0"/>
          <w:sz w:val="24"/>
          <w:szCs w:val="20"/>
        </w:rPr>
        <w:t>2017</w:t>
      </w:r>
      <w:r>
        <w:rPr>
          <w:color w:val="auto"/>
          <w:kern w:val="0"/>
          <w:sz w:val="24"/>
          <w:szCs w:val="20"/>
        </w:rPr>
        <w:t>）中的</w:t>
      </w:r>
      <w:r>
        <w:rPr>
          <w:rFonts w:hint="eastAsia" w:ascii="宋体" w:hAnsi="宋体" w:cs="宋体"/>
          <w:color w:val="auto"/>
          <w:kern w:val="0"/>
          <w:sz w:val="24"/>
          <w:szCs w:val="20"/>
        </w:rPr>
        <w:t>Ⅲ</w:t>
      </w:r>
      <w:r>
        <w:rPr>
          <w:color w:val="auto"/>
          <w:kern w:val="0"/>
          <w:sz w:val="24"/>
          <w:szCs w:val="20"/>
        </w:rPr>
        <w:t>类标准，见</w:t>
      </w:r>
      <w:r>
        <w:rPr>
          <w:rFonts w:hint="eastAsia"/>
          <w:color w:val="auto"/>
          <w:kern w:val="0"/>
          <w:sz w:val="24"/>
          <w:szCs w:val="20"/>
        </w:rPr>
        <w:t>下</w:t>
      </w:r>
      <w:r>
        <w:rPr>
          <w:color w:val="auto"/>
          <w:kern w:val="0"/>
          <w:sz w:val="24"/>
          <w:szCs w:val="20"/>
        </w:rPr>
        <w:t>表。</w:t>
      </w:r>
    </w:p>
    <w:p>
      <w:pPr>
        <w:ind w:firstLine="1440" w:firstLineChars="600"/>
        <w:rPr>
          <w:rFonts w:ascii="黑体" w:hAnsi="黑体" w:eastAsia="黑体"/>
          <w:color w:val="auto"/>
          <w:sz w:val="24"/>
          <w:szCs w:val="24"/>
        </w:rPr>
      </w:pPr>
      <w:r>
        <w:rPr>
          <w:rFonts w:ascii="黑体" w:hAnsi="黑体" w:eastAsia="黑体"/>
          <w:color w:val="auto"/>
          <w:sz w:val="24"/>
          <w:szCs w:val="24"/>
        </w:rPr>
        <w:t>表</w:t>
      </w:r>
      <w:r>
        <w:rPr>
          <w:rFonts w:hint="eastAsia" w:ascii="黑体" w:hAnsi="黑体" w:eastAsia="黑体"/>
          <w:color w:val="auto"/>
          <w:sz w:val="24"/>
          <w:szCs w:val="24"/>
        </w:rPr>
        <w:t xml:space="preserve">4.2-14  </w:t>
      </w:r>
      <w:r>
        <w:rPr>
          <w:rFonts w:hint="eastAsia" w:ascii="黑体" w:hAnsi="黑体" w:eastAsia="黑体"/>
          <w:color w:val="auto"/>
          <w:sz w:val="24"/>
          <w:szCs w:val="24"/>
          <w:lang w:val="en-US" w:eastAsia="zh-CN"/>
        </w:rPr>
        <w:t xml:space="preserve">    </w:t>
      </w:r>
      <w:r>
        <w:rPr>
          <w:rFonts w:hint="eastAsia" w:ascii="黑体" w:hAnsi="黑体" w:eastAsia="黑体"/>
          <w:color w:val="auto"/>
          <w:sz w:val="24"/>
          <w:szCs w:val="24"/>
        </w:rPr>
        <w:t xml:space="preserve">  </w:t>
      </w:r>
      <w:r>
        <w:rPr>
          <w:rFonts w:ascii="黑体" w:hAnsi="黑体" w:eastAsia="黑体"/>
          <w:color w:val="auto"/>
          <w:sz w:val="24"/>
          <w:szCs w:val="24"/>
        </w:rPr>
        <w:t xml:space="preserve">地下水质量标准       </w:t>
      </w:r>
      <w:r>
        <w:rPr>
          <w:rFonts w:hint="eastAsia" w:ascii="黑体" w:hAnsi="黑体" w:eastAsia="黑体"/>
          <w:color w:val="auto"/>
          <w:sz w:val="24"/>
          <w:szCs w:val="24"/>
        </w:rPr>
        <w:t xml:space="preserve">   </w:t>
      </w:r>
      <w:r>
        <w:rPr>
          <w:rFonts w:ascii="黑体" w:hAnsi="黑体" w:eastAsia="黑体"/>
          <w:color w:val="auto"/>
          <w:sz w:val="24"/>
          <w:szCs w:val="24"/>
        </w:rPr>
        <w:t xml:space="preserve"> 单位：mg/L</w:t>
      </w:r>
    </w:p>
    <w:tbl>
      <w:tblPr>
        <w:tblStyle w:val="83"/>
        <w:tblW w:w="5000"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108" w:type="dxa"/>
          <w:bottom w:w="0" w:type="dxa"/>
          <w:right w:w="108" w:type="dxa"/>
        </w:tblCellMar>
      </w:tblPr>
      <w:tblGrid>
        <w:gridCol w:w="1526"/>
        <w:gridCol w:w="1395"/>
        <w:gridCol w:w="1155"/>
        <w:gridCol w:w="1561"/>
        <w:gridCol w:w="1276"/>
        <w:gridCol w:w="1615"/>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jc w:val="center"/>
              <w:rPr>
                <w:rFonts w:cs="宋体"/>
                <w:b/>
                <w:color w:val="auto"/>
                <w:szCs w:val="20"/>
              </w:rPr>
            </w:pPr>
            <w:r>
              <w:rPr>
                <w:rFonts w:cs="宋体"/>
                <w:b/>
                <w:color w:val="auto"/>
                <w:szCs w:val="20"/>
              </w:rPr>
              <w:t>项目</w:t>
            </w:r>
          </w:p>
        </w:tc>
        <w:tc>
          <w:tcPr>
            <w:tcW w:w="818" w:type="pct"/>
            <w:tcMar>
              <w:left w:w="0" w:type="dxa"/>
              <w:right w:w="0" w:type="dxa"/>
            </w:tcMar>
            <w:vAlign w:val="center"/>
          </w:tcPr>
          <w:p>
            <w:pPr>
              <w:jc w:val="center"/>
              <w:rPr>
                <w:rFonts w:cs="宋体"/>
                <w:b/>
                <w:color w:val="auto"/>
                <w:szCs w:val="20"/>
              </w:rPr>
            </w:pPr>
            <w:r>
              <w:rPr>
                <w:rFonts w:hint="eastAsia" w:ascii="宋体" w:hAnsi="宋体" w:cs="宋体"/>
                <w:b/>
                <w:color w:val="auto"/>
                <w:szCs w:val="20"/>
              </w:rPr>
              <w:t>Ⅲ</w:t>
            </w:r>
            <w:r>
              <w:rPr>
                <w:rFonts w:cs="宋体"/>
                <w:b/>
                <w:color w:val="auto"/>
                <w:szCs w:val="20"/>
              </w:rPr>
              <w:t>类标准限值</w:t>
            </w:r>
          </w:p>
        </w:tc>
        <w:tc>
          <w:tcPr>
            <w:tcW w:w="677" w:type="pct"/>
            <w:vAlign w:val="center"/>
          </w:tcPr>
          <w:p>
            <w:pPr>
              <w:jc w:val="center"/>
              <w:rPr>
                <w:rFonts w:cs="宋体"/>
                <w:b/>
                <w:color w:val="auto"/>
                <w:szCs w:val="20"/>
              </w:rPr>
            </w:pPr>
            <w:r>
              <w:rPr>
                <w:rFonts w:cs="宋体"/>
                <w:b/>
                <w:color w:val="auto"/>
                <w:szCs w:val="20"/>
              </w:rPr>
              <w:t>项目</w:t>
            </w:r>
          </w:p>
        </w:tc>
        <w:tc>
          <w:tcPr>
            <w:tcW w:w="915" w:type="pct"/>
            <w:vAlign w:val="center"/>
          </w:tcPr>
          <w:p>
            <w:pPr>
              <w:jc w:val="center"/>
              <w:rPr>
                <w:rFonts w:cs="宋体"/>
                <w:b/>
                <w:color w:val="auto"/>
                <w:szCs w:val="20"/>
              </w:rPr>
            </w:pPr>
            <w:r>
              <w:rPr>
                <w:rFonts w:hint="eastAsia" w:ascii="宋体" w:hAnsi="宋体" w:cs="宋体"/>
                <w:b/>
                <w:color w:val="auto"/>
                <w:szCs w:val="20"/>
              </w:rPr>
              <w:t>Ⅲ</w:t>
            </w:r>
            <w:r>
              <w:rPr>
                <w:rFonts w:cs="宋体"/>
                <w:b/>
                <w:color w:val="auto"/>
                <w:szCs w:val="20"/>
              </w:rPr>
              <w:t>类标准限值</w:t>
            </w:r>
          </w:p>
        </w:tc>
        <w:tc>
          <w:tcPr>
            <w:tcW w:w="748" w:type="pct"/>
            <w:vAlign w:val="center"/>
          </w:tcPr>
          <w:p>
            <w:pPr>
              <w:jc w:val="center"/>
              <w:rPr>
                <w:rFonts w:cs="宋体"/>
                <w:b/>
                <w:color w:val="auto"/>
                <w:szCs w:val="20"/>
              </w:rPr>
            </w:pPr>
            <w:r>
              <w:rPr>
                <w:rFonts w:cs="宋体"/>
                <w:b/>
                <w:color w:val="auto"/>
                <w:szCs w:val="20"/>
              </w:rPr>
              <w:t>项目</w:t>
            </w:r>
          </w:p>
        </w:tc>
        <w:tc>
          <w:tcPr>
            <w:tcW w:w="947" w:type="pct"/>
            <w:vAlign w:val="center"/>
          </w:tcPr>
          <w:p>
            <w:pPr>
              <w:jc w:val="center"/>
              <w:rPr>
                <w:rFonts w:cs="宋体"/>
                <w:b/>
                <w:color w:val="auto"/>
                <w:szCs w:val="20"/>
              </w:rPr>
            </w:pPr>
            <w:r>
              <w:rPr>
                <w:rFonts w:hint="eastAsia" w:ascii="宋体" w:hAnsi="宋体" w:cs="宋体"/>
                <w:b/>
                <w:color w:val="auto"/>
                <w:szCs w:val="20"/>
              </w:rPr>
              <w:t>Ⅲ</w:t>
            </w:r>
            <w:r>
              <w:rPr>
                <w:rFonts w:cs="宋体"/>
                <w:b/>
                <w:color w:val="auto"/>
                <w:szCs w:val="20"/>
              </w:rPr>
              <w:t>类标准限值</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pH值</w:t>
            </w:r>
          </w:p>
        </w:tc>
        <w:tc>
          <w:tcPr>
            <w:tcW w:w="818" w:type="pct"/>
            <w:vAlign w:val="center"/>
          </w:tcPr>
          <w:p>
            <w:pPr>
              <w:contextualSpacing/>
              <w:jc w:val="center"/>
              <w:textAlignment w:val="baseline"/>
              <w:rPr>
                <w:color w:val="auto"/>
                <w:kern w:val="0"/>
              </w:rPr>
            </w:pPr>
            <w:r>
              <w:rPr>
                <w:color w:val="auto"/>
                <w:kern w:val="0"/>
              </w:rPr>
              <w:t>6.5~8.5</w:t>
            </w:r>
          </w:p>
        </w:tc>
        <w:tc>
          <w:tcPr>
            <w:tcW w:w="677" w:type="pct"/>
            <w:vAlign w:val="center"/>
          </w:tcPr>
          <w:p>
            <w:pPr>
              <w:adjustRightInd w:val="0"/>
              <w:snapToGrid w:val="0"/>
              <w:jc w:val="center"/>
              <w:textAlignment w:val="center"/>
              <w:rPr>
                <w:color w:val="auto"/>
                <w:kern w:val="0"/>
              </w:rPr>
            </w:pPr>
            <w:r>
              <w:rPr>
                <w:color w:val="auto"/>
                <w:kern w:val="0"/>
              </w:rPr>
              <w:t>SO</w:t>
            </w:r>
            <w:r>
              <w:rPr>
                <w:color w:val="auto"/>
                <w:kern w:val="0"/>
                <w:vertAlign w:val="subscript"/>
              </w:rPr>
              <w:t>4</w:t>
            </w:r>
            <w:r>
              <w:rPr>
                <w:color w:val="auto"/>
                <w:kern w:val="0"/>
                <w:vertAlign w:val="superscript"/>
              </w:rPr>
              <w:t>2-</w:t>
            </w:r>
          </w:p>
        </w:tc>
        <w:tc>
          <w:tcPr>
            <w:tcW w:w="915" w:type="pct"/>
            <w:vAlign w:val="center"/>
          </w:tcPr>
          <w:p>
            <w:pPr>
              <w:contextualSpacing/>
              <w:jc w:val="center"/>
              <w:textAlignment w:val="baseline"/>
              <w:rPr>
                <w:color w:val="auto"/>
                <w:kern w:val="0"/>
              </w:rPr>
            </w:pPr>
            <w:r>
              <w:rPr>
                <w:rFonts w:hint="eastAsia"/>
                <w:color w:val="auto"/>
                <w:kern w:val="0"/>
              </w:rPr>
              <w:t>250</w:t>
            </w:r>
          </w:p>
        </w:tc>
        <w:tc>
          <w:tcPr>
            <w:tcW w:w="748" w:type="pct"/>
            <w:vAlign w:val="center"/>
          </w:tcPr>
          <w:p>
            <w:pPr>
              <w:adjustRightInd w:val="0"/>
              <w:snapToGrid w:val="0"/>
              <w:jc w:val="center"/>
              <w:textAlignment w:val="center"/>
              <w:rPr>
                <w:color w:val="auto"/>
                <w:kern w:val="0"/>
              </w:rPr>
            </w:pPr>
            <w:r>
              <w:rPr>
                <w:color w:val="auto"/>
                <w:kern w:val="0"/>
              </w:rPr>
              <w:t>汞</w:t>
            </w:r>
          </w:p>
        </w:tc>
        <w:tc>
          <w:tcPr>
            <w:tcW w:w="947" w:type="pct"/>
            <w:vAlign w:val="center"/>
          </w:tcPr>
          <w:p>
            <w:pPr>
              <w:contextualSpacing/>
              <w:jc w:val="center"/>
              <w:textAlignment w:val="baseline"/>
              <w:rPr>
                <w:color w:val="auto"/>
                <w:kern w:val="0"/>
              </w:rPr>
            </w:pPr>
            <w:r>
              <w:rPr>
                <w:rFonts w:hint="eastAsia"/>
                <w:color w:val="auto"/>
                <w:kern w:val="0"/>
              </w:rPr>
              <w:t>0.001</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K</w:t>
            </w:r>
            <w:r>
              <w:rPr>
                <w:color w:val="auto"/>
                <w:kern w:val="0"/>
                <w:vertAlign w:val="superscript"/>
              </w:rPr>
              <w:t>+</w:t>
            </w:r>
          </w:p>
        </w:tc>
        <w:tc>
          <w:tcPr>
            <w:tcW w:w="818" w:type="pct"/>
            <w:vAlign w:val="center"/>
          </w:tcPr>
          <w:p>
            <w:pPr>
              <w:contextualSpacing/>
              <w:jc w:val="center"/>
              <w:textAlignment w:val="baseline"/>
              <w:rPr>
                <w:color w:val="auto"/>
                <w:kern w:val="0"/>
              </w:rPr>
            </w:pPr>
            <w:r>
              <w:rPr>
                <w:rFonts w:hint="eastAsia"/>
                <w:color w:val="auto"/>
                <w:kern w:val="0"/>
              </w:rPr>
              <w:t>/</w:t>
            </w:r>
          </w:p>
        </w:tc>
        <w:tc>
          <w:tcPr>
            <w:tcW w:w="677" w:type="pct"/>
            <w:vAlign w:val="center"/>
          </w:tcPr>
          <w:p>
            <w:pPr>
              <w:adjustRightInd w:val="0"/>
              <w:snapToGrid w:val="0"/>
              <w:jc w:val="center"/>
              <w:textAlignment w:val="center"/>
              <w:rPr>
                <w:color w:val="auto"/>
                <w:kern w:val="0"/>
              </w:rPr>
            </w:pPr>
            <w:r>
              <w:rPr>
                <w:color w:val="auto"/>
                <w:kern w:val="0"/>
              </w:rPr>
              <w:t>总硬度</w:t>
            </w:r>
          </w:p>
        </w:tc>
        <w:tc>
          <w:tcPr>
            <w:tcW w:w="915" w:type="pct"/>
            <w:vAlign w:val="center"/>
          </w:tcPr>
          <w:p>
            <w:pPr>
              <w:contextualSpacing/>
              <w:jc w:val="center"/>
              <w:textAlignment w:val="baseline"/>
              <w:rPr>
                <w:color w:val="auto"/>
                <w:kern w:val="0"/>
              </w:rPr>
            </w:pPr>
            <w:r>
              <w:rPr>
                <w:rFonts w:hint="eastAsia"/>
                <w:color w:val="auto"/>
                <w:kern w:val="0"/>
              </w:rPr>
              <w:t>450</w:t>
            </w:r>
          </w:p>
        </w:tc>
        <w:tc>
          <w:tcPr>
            <w:tcW w:w="748" w:type="pct"/>
            <w:vAlign w:val="center"/>
          </w:tcPr>
          <w:p>
            <w:pPr>
              <w:adjustRightInd w:val="0"/>
              <w:snapToGrid w:val="0"/>
              <w:jc w:val="center"/>
              <w:textAlignment w:val="center"/>
              <w:rPr>
                <w:color w:val="auto"/>
                <w:kern w:val="0"/>
              </w:rPr>
            </w:pPr>
            <w:r>
              <w:rPr>
                <w:color w:val="auto"/>
                <w:kern w:val="0"/>
              </w:rPr>
              <w:t>砷</w:t>
            </w:r>
          </w:p>
        </w:tc>
        <w:tc>
          <w:tcPr>
            <w:tcW w:w="947" w:type="pct"/>
            <w:vAlign w:val="center"/>
          </w:tcPr>
          <w:p>
            <w:pPr>
              <w:contextualSpacing/>
              <w:jc w:val="center"/>
              <w:textAlignment w:val="baseline"/>
              <w:rPr>
                <w:color w:val="auto"/>
                <w:kern w:val="0"/>
              </w:rPr>
            </w:pPr>
            <w:r>
              <w:rPr>
                <w:rFonts w:hint="eastAsia"/>
                <w:color w:val="auto"/>
                <w:kern w:val="0"/>
              </w:rPr>
              <w:t>0.01</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Na</w:t>
            </w:r>
            <w:r>
              <w:rPr>
                <w:color w:val="auto"/>
                <w:kern w:val="0"/>
                <w:vertAlign w:val="superscript"/>
              </w:rPr>
              <w:t>+</w:t>
            </w:r>
          </w:p>
        </w:tc>
        <w:tc>
          <w:tcPr>
            <w:tcW w:w="818" w:type="pct"/>
            <w:vAlign w:val="center"/>
          </w:tcPr>
          <w:p>
            <w:pPr>
              <w:contextualSpacing/>
              <w:jc w:val="center"/>
              <w:textAlignment w:val="baseline"/>
              <w:rPr>
                <w:color w:val="auto"/>
                <w:kern w:val="0"/>
              </w:rPr>
            </w:pPr>
            <w:r>
              <w:rPr>
                <w:rFonts w:hint="eastAsia"/>
                <w:color w:val="auto"/>
                <w:kern w:val="0"/>
              </w:rPr>
              <w:t>/</w:t>
            </w:r>
          </w:p>
        </w:tc>
        <w:tc>
          <w:tcPr>
            <w:tcW w:w="677" w:type="pct"/>
            <w:vAlign w:val="center"/>
          </w:tcPr>
          <w:p>
            <w:pPr>
              <w:adjustRightInd w:val="0"/>
              <w:snapToGrid w:val="0"/>
              <w:jc w:val="center"/>
              <w:textAlignment w:val="center"/>
              <w:rPr>
                <w:color w:val="auto"/>
                <w:kern w:val="0"/>
              </w:rPr>
            </w:pPr>
            <w:r>
              <w:rPr>
                <w:color w:val="auto"/>
                <w:kern w:val="0"/>
              </w:rPr>
              <w:t>溶解性总固体</w:t>
            </w:r>
          </w:p>
        </w:tc>
        <w:tc>
          <w:tcPr>
            <w:tcW w:w="915" w:type="pct"/>
            <w:vAlign w:val="center"/>
          </w:tcPr>
          <w:p>
            <w:pPr>
              <w:contextualSpacing/>
              <w:jc w:val="center"/>
              <w:textAlignment w:val="baseline"/>
              <w:rPr>
                <w:color w:val="auto"/>
                <w:kern w:val="0"/>
              </w:rPr>
            </w:pPr>
            <w:r>
              <w:rPr>
                <w:rFonts w:hint="eastAsia"/>
                <w:color w:val="auto"/>
                <w:kern w:val="0"/>
              </w:rPr>
              <w:t>1000</w:t>
            </w:r>
          </w:p>
        </w:tc>
        <w:tc>
          <w:tcPr>
            <w:tcW w:w="748" w:type="pct"/>
            <w:vAlign w:val="center"/>
          </w:tcPr>
          <w:p>
            <w:pPr>
              <w:adjustRightInd w:val="0"/>
              <w:snapToGrid w:val="0"/>
              <w:jc w:val="center"/>
              <w:textAlignment w:val="center"/>
              <w:rPr>
                <w:color w:val="auto"/>
                <w:kern w:val="0"/>
              </w:rPr>
            </w:pPr>
            <w:r>
              <w:rPr>
                <w:color w:val="auto"/>
                <w:kern w:val="0"/>
              </w:rPr>
              <w:t>铁</w:t>
            </w:r>
          </w:p>
        </w:tc>
        <w:tc>
          <w:tcPr>
            <w:tcW w:w="947" w:type="pct"/>
            <w:vAlign w:val="center"/>
          </w:tcPr>
          <w:p>
            <w:pPr>
              <w:contextualSpacing/>
              <w:jc w:val="center"/>
              <w:textAlignment w:val="baseline"/>
              <w:rPr>
                <w:color w:val="auto"/>
                <w:kern w:val="0"/>
              </w:rPr>
            </w:pPr>
            <w:r>
              <w:rPr>
                <w:rFonts w:hint="eastAsia"/>
                <w:color w:val="auto"/>
                <w:kern w:val="0"/>
              </w:rPr>
              <w:t>0.3</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Ca</w:t>
            </w:r>
            <w:r>
              <w:rPr>
                <w:color w:val="auto"/>
                <w:kern w:val="0"/>
                <w:vertAlign w:val="superscript"/>
              </w:rPr>
              <w:t>2+</w:t>
            </w:r>
          </w:p>
        </w:tc>
        <w:tc>
          <w:tcPr>
            <w:tcW w:w="818" w:type="pct"/>
            <w:vAlign w:val="center"/>
          </w:tcPr>
          <w:p>
            <w:pPr>
              <w:contextualSpacing/>
              <w:jc w:val="center"/>
              <w:textAlignment w:val="baseline"/>
              <w:rPr>
                <w:color w:val="auto"/>
                <w:kern w:val="0"/>
              </w:rPr>
            </w:pPr>
            <w:r>
              <w:rPr>
                <w:rFonts w:hint="eastAsia"/>
                <w:color w:val="auto"/>
                <w:kern w:val="0"/>
              </w:rPr>
              <w:t>/</w:t>
            </w:r>
          </w:p>
        </w:tc>
        <w:tc>
          <w:tcPr>
            <w:tcW w:w="677" w:type="pct"/>
            <w:vAlign w:val="center"/>
          </w:tcPr>
          <w:p>
            <w:pPr>
              <w:adjustRightInd w:val="0"/>
              <w:snapToGrid w:val="0"/>
              <w:jc w:val="center"/>
              <w:textAlignment w:val="center"/>
              <w:rPr>
                <w:color w:val="auto"/>
                <w:kern w:val="0"/>
              </w:rPr>
            </w:pPr>
            <w:r>
              <w:rPr>
                <w:color w:val="auto"/>
                <w:kern w:val="0"/>
              </w:rPr>
              <w:t>氨氮</w:t>
            </w:r>
          </w:p>
        </w:tc>
        <w:tc>
          <w:tcPr>
            <w:tcW w:w="915" w:type="pct"/>
            <w:vAlign w:val="center"/>
          </w:tcPr>
          <w:p>
            <w:pPr>
              <w:contextualSpacing/>
              <w:jc w:val="center"/>
              <w:textAlignment w:val="baseline"/>
              <w:rPr>
                <w:color w:val="auto"/>
                <w:kern w:val="0"/>
              </w:rPr>
            </w:pPr>
            <w:r>
              <w:rPr>
                <w:rFonts w:hint="eastAsia"/>
                <w:color w:val="auto"/>
                <w:kern w:val="0"/>
              </w:rPr>
              <w:t>0.5</w:t>
            </w:r>
          </w:p>
        </w:tc>
        <w:tc>
          <w:tcPr>
            <w:tcW w:w="748" w:type="pct"/>
            <w:vAlign w:val="center"/>
          </w:tcPr>
          <w:p>
            <w:pPr>
              <w:adjustRightInd w:val="0"/>
              <w:snapToGrid w:val="0"/>
              <w:jc w:val="center"/>
              <w:textAlignment w:val="center"/>
              <w:rPr>
                <w:color w:val="auto"/>
                <w:kern w:val="0"/>
              </w:rPr>
            </w:pPr>
            <w:r>
              <w:rPr>
                <w:rFonts w:hint="eastAsia"/>
                <w:color w:val="auto"/>
                <w:kern w:val="0"/>
              </w:rPr>
              <w:t>锌</w:t>
            </w:r>
          </w:p>
        </w:tc>
        <w:tc>
          <w:tcPr>
            <w:tcW w:w="947" w:type="pct"/>
            <w:vAlign w:val="center"/>
          </w:tcPr>
          <w:p>
            <w:pPr>
              <w:contextualSpacing/>
              <w:jc w:val="center"/>
              <w:textAlignment w:val="baseline"/>
              <w:rPr>
                <w:color w:val="auto"/>
                <w:kern w:val="0"/>
              </w:rPr>
            </w:pPr>
            <w:r>
              <w:rPr>
                <w:rFonts w:hint="eastAsia"/>
                <w:color w:val="auto"/>
                <w:kern w:val="0"/>
              </w:rPr>
              <w:t>1.00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Mg</w:t>
            </w:r>
            <w:r>
              <w:rPr>
                <w:color w:val="auto"/>
                <w:kern w:val="0"/>
                <w:vertAlign w:val="superscript"/>
              </w:rPr>
              <w:t>2+</w:t>
            </w:r>
          </w:p>
        </w:tc>
        <w:tc>
          <w:tcPr>
            <w:tcW w:w="818" w:type="pct"/>
            <w:vAlign w:val="center"/>
          </w:tcPr>
          <w:p>
            <w:pPr>
              <w:contextualSpacing/>
              <w:jc w:val="center"/>
              <w:textAlignment w:val="baseline"/>
              <w:rPr>
                <w:color w:val="auto"/>
                <w:kern w:val="0"/>
              </w:rPr>
            </w:pPr>
            <w:r>
              <w:rPr>
                <w:rFonts w:hint="eastAsia"/>
                <w:color w:val="auto"/>
                <w:kern w:val="0"/>
              </w:rPr>
              <w:t>/</w:t>
            </w:r>
          </w:p>
        </w:tc>
        <w:tc>
          <w:tcPr>
            <w:tcW w:w="677" w:type="pct"/>
            <w:vAlign w:val="center"/>
          </w:tcPr>
          <w:p>
            <w:pPr>
              <w:adjustRightInd w:val="0"/>
              <w:snapToGrid w:val="0"/>
              <w:jc w:val="center"/>
              <w:textAlignment w:val="center"/>
              <w:rPr>
                <w:color w:val="auto"/>
                <w:kern w:val="0"/>
              </w:rPr>
            </w:pPr>
            <w:r>
              <w:rPr>
                <w:color w:val="auto"/>
                <w:kern w:val="0"/>
              </w:rPr>
              <w:t>亚硝酸盐</w:t>
            </w:r>
          </w:p>
        </w:tc>
        <w:tc>
          <w:tcPr>
            <w:tcW w:w="915" w:type="pct"/>
            <w:vAlign w:val="center"/>
          </w:tcPr>
          <w:p>
            <w:pPr>
              <w:contextualSpacing/>
              <w:jc w:val="center"/>
              <w:textAlignment w:val="baseline"/>
              <w:rPr>
                <w:color w:val="auto"/>
                <w:kern w:val="0"/>
              </w:rPr>
            </w:pPr>
            <w:r>
              <w:rPr>
                <w:rFonts w:hint="eastAsia"/>
                <w:color w:val="auto"/>
                <w:kern w:val="0"/>
              </w:rPr>
              <w:t>1.00</w:t>
            </w:r>
          </w:p>
        </w:tc>
        <w:tc>
          <w:tcPr>
            <w:tcW w:w="748" w:type="pct"/>
            <w:vAlign w:val="center"/>
          </w:tcPr>
          <w:p>
            <w:pPr>
              <w:contextualSpacing/>
              <w:jc w:val="center"/>
              <w:textAlignment w:val="baseline"/>
              <w:rPr>
                <w:color w:val="auto"/>
                <w:kern w:val="0"/>
              </w:rPr>
            </w:pPr>
            <w:r>
              <w:rPr>
                <w:rFonts w:hint="eastAsia"/>
                <w:color w:val="auto"/>
                <w:kern w:val="0"/>
              </w:rPr>
              <w:t>镍</w:t>
            </w:r>
          </w:p>
        </w:tc>
        <w:tc>
          <w:tcPr>
            <w:tcW w:w="947" w:type="pct"/>
            <w:vAlign w:val="center"/>
          </w:tcPr>
          <w:p>
            <w:pPr>
              <w:contextualSpacing/>
              <w:jc w:val="center"/>
              <w:textAlignment w:val="baseline"/>
              <w:rPr>
                <w:color w:val="auto"/>
                <w:kern w:val="0"/>
              </w:rPr>
            </w:pPr>
            <w:r>
              <w:rPr>
                <w:rFonts w:hint="eastAsia"/>
                <w:color w:val="auto"/>
                <w:kern w:val="0"/>
              </w:rPr>
              <w:t>0.02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CO</w:t>
            </w:r>
            <w:r>
              <w:rPr>
                <w:color w:val="auto"/>
                <w:kern w:val="0"/>
                <w:vertAlign w:val="subscript"/>
              </w:rPr>
              <w:t>3</w:t>
            </w:r>
            <w:r>
              <w:rPr>
                <w:color w:val="auto"/>
                <w:kern w:val="0"/>
                <w:vertAlign w:val="superscript"/>
              </w:rPr>
              <w:t>2-</w:t>
            </w:r>
          </w:p>
        </w:tc>
        <w:tc>
          <w:tcPr>
            <w:tcW w:w="818" w:type="pct"/>
            <w:vAlign w:val="center"/>
          </w:tcPr>
          <w:p>
            <w:pPr>
              <w:contextualSpacing/>
              <w:jc w:val="center"/>
              <w:textAlignment w:val="baseline"/>
              <w:rPr>
                <w:color w:val="auto"/>
                <w:kern w:val="0"/>
              </w:rPr>
            </w:pPr>
            <w:r>
              <w:rPr>
                <w:rFonts w:hint="eastAsia"/>
                <w:color w:val="auto"/>
                <w:kern w:val="0"/>
              </w:rPr>
              <w:t>/</w:t>
            </w:r>
          </w:p>
        </w:tc>
        <w:tc>
          <w:tcPr>
            <w:tcW w:w="677" w:type="pct"/>
            <w:vAlign w:val="center"/>
          </w:tcPr>
          <w:p>
            <w:pPr>
              <w:adjustRightInd w:val="0"/>
              <w:snapToGrid w:val="0"/>
              <w:jc w:val="center"/>
              <w:textAlignment w:val="center"/>
              <w:rPr>
                <w:color w:val="auto"/>
                <w:kern w:val="0"/>
              </w:rPr>
            </w:pPr>
            <w:r>
              <w:rPr>
                <w:color w:val="auto"/>
                <w:kern w:val="0"/>
              </w:rPr>
              <w:t>挥发酚</w:t>
            </w:r>
          </w:p>
        </w:tc>
        <w:tc>
          <w:tcPr>
            <w:tcW w:w="915" w:type="pct"/>
            <w:vAlign w:val="center"/>
          </w:tcPr>
          <w:p>
            <w:pPr>
              <w:contextualSpacing/>
              <w:jc w:val="center"/>
              <w:textAlignment w:val="baseline"/>
              <w:rPr>
                <w:color w:val="auto"/>
                <w:kern w:val="0"/>
              </w:rPr>
            </w:pPr>
            <w:r>
              <w:rPr>
                <w:rFonts w:hint="eastAsia"/>
                <w:color w:val="auto"/>
                <w:kern w:val="0"/>
              </w:rPr>
              <w:t>0.002</w:t>
            </w:r>
          </w:p>
        </w:tc>
        <w:tc>
          <w:tcPr>
            <w:tcW w:w="748" w:type="pct"/>
            <w:vAlign w:val="center"/>
          </w:tcPr>
          <w:p>
            <w:pPr>
              <w:adjustRightInd w:val="0"/>
              <w:snapToGrid w:val="0"/>
              <w:jc w:val="center"/>
              <w:textAlignment w:val="baseline"/>
              <w:rPr>
                <w:color w:val="auto"/>
                <w:kern w:val="0"/>
              </w:rPr>
            </w:pPr>
            <w:r>
              <w:rPr>
                <w:rFonts w:hint="eastAsia"/>
                <w:color w:val="auto"/>
                <w:kern w:val="0"/>
              </w:rPr>
              <w:t>耗氧量</w:t>
            </w:r>
          </w:p>
        </w:tc>
        <w:tc>
          <w:tcPr>
            <w:tcW w:w="947" w:type="pct"/>
            <w:vAlign w:val="center"/>
          </w:tcPr>
          <w:p>
            <w:pPr>
              <w:contextualSpacing/>
              <w:jc w:val="center"/>
              <w:textAlignment w:val="baseline"/>
              <w:rPr>
                <w:color w:val="auto"/>
                <w:kern w:val="0"/>
              </w:rPr>
            </w:pPr>
            <w:r>
              <w:rPr>
                <w:rFonts w:hint="eastAsia"/>
                <w:color w:val="auto"/>
                <w:kern w:val="0"/>
              </w:rPr>
              <w:t>3.0</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HCO</w:t>
            </w:r>
            <w:r>
              <w:rPr>
                <w:color w:val="auto"/>
                <w:kern w:val="0"/>
                <w:vertAlign w:val="subscript"/>
              </w:rPr>
              <w:t>3</w:t>
            </w:r>
            <w:r>
              <w:rPr>
                <w:color w:val="auto"/>
                <w:kern w:val="0"/>
                <w:vertAlign w:val="superscript"/>
              </w:rPr>
              <w:t>-</w:t>
            </w:r>
          </w:p>
        </w:tc>
        <w:tc>
          <w:tcPr>
            <w:tcW w:w="818" w:type="pct"/>
            <w:vAlign w:val="center"/>
          </w:tcPr>
          <w:p>
            <w:pPr>
              <w:contextualSpacing/>
              <w:jc w:val="center"/>
              <w:textAlignment w:val="baseline"/>
              <w:rPr>
                <w:color w:val="auto"/>
                <w:kern w:val="0"/>
              </w:rPr>
            </w:pPr>
            <w:r>
              <w:rPr>
                <w:rFonts w:hint="eastAsia"/>
                <w:color w:val="auto"/>
                <w:kern w:val="0"/>
              </w:rPr>
              <w:t>/</w:t>
            </w:r>
          </w:p>
        </w:tc>
        <w:tc>
          <w:tcPr>
            <w:tcW w:w="677" w:type="pct"/>
            <w:vAlign w:val="center"/>
          </w:tcPr>
          <w:p>
            <w:pPr>
              <w:adjustRightInd w:val="0"/>
              <w:snapToGrid w:val="0"/>
              <w:jc w:val="center"/>
              <w:textAlignment w:val="center"/>
              <w:rPr>
                <w:color w:val="auto"/>
                <w:kern w:val="0"/>
              </w:rPr>
            </w:pPr>
            <w:r>
              <w:rPr>
                <w:color w:val="auto"/>
                <w:kern w:val="0"/>
              </w:rPr>
              <w:t>六价铬</w:t>
            </w:r>
          </w:p>
        </w:tc>
        <w:tc>
          <w:tcPr>
            <w:tcW w:w="915" w:type="pct"/>
            <w:vAlign w:val="center"/>
          </w:tcPr>
          <w:p>
            <w:pPr>
              <w:contextualSpacing/>
              <w:jc w:val="center"/>
              <w:textAlignment w:val="baseline"/>
              <w:rPr>
                <w:color w:val="auto"/>
                <w:kern w:val="0"/>
              </w:rPr>
            </w:pPr>
            <w:r>
              <w:rPr>
                <w:rFonts w:hint="eastAsia"/>
                <w:color w:val="auto"/>
                <w:kern w:val="0"/>
              </w:rPr>
              <w:t>0.05</w:t>
            </w:r>
          </w:p>
        </w:tc>
        <w:tc>
          <w:tcPr>
            <w:tcW w:w="748" w:type="pct"/>
            <w:vAlign w:val="center"/>
          </w:tcPr>
          <w:p>
            <w:pPr>
              <w:adjustRightInd w:val="0"/>
              <w:snapToGrid w:val="0"/>
              <w:jc w:val="center"/>
              <w:textAlignment w:val="baseline"/>
              <w:rPr>
                <w:color w:val="auto"/>
                <w:kern w:val="0"/>
              </w:rPr>
            </w:pPr>
            <w:r>
              <w:rPr>
                <w:rFonts w:hint="eastAsia"/>
                <w:color w:val="auto"/>
                <w:kern w:val="0"/>
              </w:rPr>
              <w:t>阴离子合成洗涤剂</w:t>
            </w:r>
          </w:p>
        </w:tc>
        <w:tc>
          <w:tcPr>
            <w:tcW w:w="947" w:type="pct"/>
            <w:vAlign w:val="center"/>
          </w:tcPr>
          <w:p>
            <w:pPr>
              <w:contextualSpacing/>
              <w:jc w:val="center"/>
              <w:textAlignment w:val="baseline"/>
              <w:rPr>
                <w:color w:val="auto"/>
                <w:kern w:val="0"/>
              </w:rPr>
            </w:pPr>
            <w:r>
              <w:rPr>
                <w:rFonts w:hint="eastAsia"/>
                <w:color w:val="auto"/>
                <w:kern w:val="0"/>
              </w:rPr>
              <w:t>0.3</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95" w:type="pct"/>
            <w:vAlign w:val="center"/>
          </w:tcPr>
          <w:p>
            <w:pPr>
              <w:adjustRightInd w:val="0"/>
              <w:snapToGrid w:val="0"/>
              <w:jc w:val="center"/>
              <w:textAlignment w:val="center"/>
              <w:rPr>
                <w:color w:val="auto"/>
                <w:kern w:val="0"/>
              </w:rPr>
            </w:pPr>
            <w:r>
              <w:rPr>
                <w:color w:val="auto"/>
                <w:kern w:val="0"/>
              </w:rPr>
              <w:t>Cl</w:t>
            </w:r>
            <w:r>
              <w:rPr>
                <w:color w:val="auto"/>
                <w:kern w:val="0"/>
                <w:vertAlign w:val="superscript"/>
              </w:rPr>
              <w:t>-</w:t>
            </w:r>
          </w:p>
        </w:tc>
        <w:tc>
          <w:tcPr>
            <w:tcW w:w="818" w:type="pct"/>
            <w:vAlign w:val="center"/>
          </w:tcPr>
          <w:p>
            <w:pPr>
              <w:contextualSpacing/>
              <w:jc w:val="center"/>
              <w:textAlignment w:val="baseline"/>
              <w:rPr>
                <w:color w:val="auto"/>
                <w:kern w:val="0"/>
              </w:rPr>
            </w:pPr>
            <w:r>
              <w:rPr>
                <w:rFonts w:hint="eastAsia"/>
                <w:color w:val="auto"/>
                <w:kern w:val="0"/>
              </w:rPr>
              <w:t>250</w:t>
            </w:r>
          </w:p>
        </w:tc>
        <w:tc>
          <w:tcPr>
            <w:tcW w:w="677" w:type="pct"/>
            <w:vAlign w:val="center"/>
          </w:tcPr>
          <w:p>
            <w:pPr>
              <w:adjustRightInd w:val="0"/>
              <w:snapToGrid w:val="0"/>
              <w:jc w:val="center"/>
              <w:textAlignment w:val="center"/>
              <w:rPr>
                <w:color w:val="auto"/>
                <w:kern w:val="0"/>
              </w:rPr>
            </w:pPr>
            <w:r>
              <w:rPr>
                <w:color w:val="auto"/>
                <w:kern w:val="0"/>
              </w:rPr>
              <w:t>铅</w:t>
            </w:r>
          </w:p>
        </w:tc>
        <w:tc>
          <w:tcPr>
            <w:tcW w:w="915" w:type="pct"/>
            <w:vAlign w:val="center"/>
          </w:tcPr>
          <w:p>
            <w:pPr>
              <w:contextualSpacing/>
              <w:jc w:val="center"/>
              <w:textAlignment w:val="baseline"/>
              <w:rPr>
                <w:color w:val="auto"/>
                <w:kern w:val="0"/>
              </w:rPr>
            </w:pPr>
            <w:r>
              <w:rPr>
                <w:rFonts w:hint="eastAsia"/>
                <w:color w:val="auto"/>
                <w:kern w:val="0"/>
              </w:rPr>
              <w:t>0.01</w:t>
            </w:r>
          </w:p>
        </w:tc>
        <w:tc>
          <w:tcPr>
            <w:tcW w:w="748" w:type="pct"/>
            <w:vAlign w:val="center"/>
          </w:tcPr>
          <w:p>
            <w:pPr>
              <w:adjustRightInd w:val="0"/>
              <w:snapToGrid w:val="0"/>
              <w:jc w:val="center"/>
              <w:textAlignment w:val="baseline"/>
              <w:rPr>
                <w:color w:val="auto"/>
                <w:kern w:val="0"/>
              </w:rPr>
            </w:pPr>
            <w:r>
              <w:rPr>
                <w:rFonts w:hint="eastAsia"/>
                <w:color w:val="auto"/>
                <w:kern w:val="0"/>
              </w:rPr>
              <w:t>/</w:t>
            </w:r>
          </w:p>
        </w:tc>
        <w:tc>
          <w:tcPr>
            <w:tcW w:w="947" w:type="pct"/>
            <w:vAlign w:val="center"/>
          </w:tcPr>
          <w:p>
            <w:pPr>
              <w:contextualSpacing/>
              <w:jc w:val="center"/>
              <w:textAlignment w:val="baseline"/>
              <w:rPr>
                <w:color w:val="auto"/>
                <w:kern w:val="0"/>
              </w:rPr>
            </w:pPr>
            <w:r>
              <w:rPr>
                <w:rFonts w:hint="eastAsia"/>
                <w:color w:val="auto"/>
                <w:kern w:val="0"/>
              </w:rPr>
              <w:t>/</w:t>
            </w:r>
          </w:p>
        </w:tc>
      </w:tr>
    </w:tbl>
    <w:p>
      <w:pPr>
        <w:pStyle w:val="6"/>
        <w:spacing w:before="0" w:after="0" w:line="360" w:lineRule="auto"/>
        <w:rPr>
          <w:b w:val="0"/>
          <w:color w:val="auto"/>
          <w:sz w:val="24"/>
          <w:szCs w:val="24"/>
        </w:rPr>
      </w:pPr>
      <w:r>
        <w:rPr>
          <w:rFonts w:hint="eastAsia"/>
          <w:b w:val="0"/>
          <w:color w:val="auto"/>
          <w:sz w:val="24"/>
          <w:szCs w:val="24"/>
        </w:rPr>
        <w:t>4.2.5.5评价方法</w:t>
      </w:r>
    </w:p>
    <w:p>
      <w:pPr>
        <w:adjustRightInd w:val="0"/>
        <w:snapToGrid w:val="0"/>
        <w:spacing w:line="360" w:lineRule="auto"/>
        <w:ind w:firstLine="480" w:firstLineChars="200"/>
        <w:textAlignment w:val="baseline"/>
        <w:rPr>
          <w:rFonts w:hAnsi="宋体"/>
          <w:color w:val="auto"/>
          <w:kern w:val="0"/>
          <w:sz w:val="24"/>
          <w:szCs w:val="20"/>
        </w:rPr>
      </w:pPr>
      <w:r>
        <w:rPr>
          <w:rFonts w:hint="eastAsia" w:hAnsi="宋体"/>
          <w:color w:val="auto"/>
          <w:kern w:val="0"/>
          <w:sz w:val="24"/>
          <w:szCs w:val="20"/>
        </w:rPr>
        <w:t>根据地下水环境质量现状监测结果，采用单项标准指数法对地表水环境质量现状进行评价。单项标准指数法计算公式如下：</w:t>
      </w:r>
    </w:p>
    <w:p>
      <w:pPr>
        <w:adjustRightInd w:val="0"/>
        <w:snapToGrid w:val="0"/>
        <w:spacing w:line="360" w:lineRule="auto"/>
        <w:ind w:firstLine="480" w:firstLineChars="200"/>
        <w:textAlignment w:val="baseline"/>
        <w:rPr>
          <w:rFonts w:hint="eastAsia" w:hAnsi="宋体" w:eastAsia="宋体"/>
          <w:color w:val="auto"/>
          <w:kern w:val="0"/>
          <w:sz w:val="24"/>
          <w:szCs w:val="20"/>
          <w:lang w:eastAsia="zh-CN"/>
        </w:rPr>
      </w:pPr>
      <w:r>
        <w:rPr>
          <w:rFonts w:hint="eastAsia" w:hAnsi="宋体"/>
          <w:color w:val="auto"/>
          <w:kern w:val="0"/>
          <w:sz w:val="24"/>
          <w:szCs w:val="20"/>
        </w:rPr>
        <w:t>对于一般污染物</w:t>
      </w:r>
      <w:r>
        <w:rPr>
          <w:rFonts w:hint="eastAsia" w:hAnsi="宋体"/>
          <w:color w:val="auto"/>
          <w:kern w:val="0"/>
          <w:sz w:val="24"/>
          <w:szCs w:val="20"/>
          <w:lang w:eastAsia="zh-CN"/>
        </w:rPr>
        <w:t>：</w:t>
      </w:r>
    </w:p>
    <w:p>
      <w:pPr>
        <w:adjustRightInd w:val="0"/>
        <w:snapToGrid w:val="0"/>
        <w:spacing w:line="360" w:lineRule="auto"/>
        <w:ind w:firstLine="960" w:firstLineChars="400"/>
        <w:jc w:val="both"/>
        <w:textAlignment w:val="baseline"/>
        <w:rPr>
          <w:color w:val="auto"/>
          <w:kern w:val="0"/>
          <w:sz w:val="24"/>
          <w:szCs w:val="20"/>
        </w:rPr>
      </w:pPr>
      <w:r>
        <w:rPr>
          <w:color w:val="auto"/>
          <w:kern w:val="0"/>
          <w:sz w:val="24"/>
          <w:szCs w:val="20"/>
        </w:rPr>
        <w:object>
          <v:shape id="_x0000_i1029" o:spt="75" alt="" type="#_x0000_t75" style="height:23.4pt;width:118.35pt;" o:ole="t" filled="f" o:preferrelative="t" stroked="f" coordsize="21600,21600">
            <v:path/>
            <v:fill on="f" focussize="0,0"/>
            <v:stroke on="f"/>
            <v:imagedata r:id="rId69" o:title=""/>
            <o:lock v:ext="edit" aspectratio="t"/>
            <w10:wrap type="none"/>
            <w10:anchorlock/>
          </v:shape>
          <o:OLEObject Type="Embed" ProgID="Equation.3" ShapeID="_x0000_i1029" DrawAspect="Content" ObjectID="_1468075731" r:id="rId68">
            <o:LockedField>false</o:LockedField>
          </o:OLEObject>
        </w:object>
      </w:r>
    </w:p>
    <w:p>
      <w:pPr>
        <w:adjustRightInd w:val="0"/>
        <w:snapToGrid w:val="0"/>
        <w:spacing w:line="360" w:lineRule="auto"/>
        <w:ind w:firstLine="720" w:firstLineChars="300"/>
        <w:jc w:val="both"/>
        <w:textAlignment w:val="baseline"/>
        <w:rPr>
          <w:color w:val="auto"/>
          <w:kern w:val="0"/>
          <w:sz w:val="24"/>
          <w:szCs w:val="20"/>
        </w:rPr>
      </w:pPr>
      <w:r>
        <w:rPr>
          <w:color w:val="auto"/>
          <w:kern w:val="0"/>
          <w:sz w:val="24"/>
          <w:szCs w:val="20"/>
        </w:rPr>
        <w:t>式中，Si</w:t>
      </w:r>
      <w:r>
        <w:rPr>
          <w:rFonts w:hint="eastAsia"/>
          <w:color w:val="auto"/>
          <w:kern w:val="0"/>
          <w:sz w:val="24"/>
          <w:szCs w:val="20"/>
          <w:lang w:val="en-US" w:eastAsia="zh-CN"/>
        </w:rPr>
        <w:t>,</w:t>
      </w:r>
      <w:r>
        <w:rPr>
          <w:color w:val="auto"/>
          <w:kern w:val="0"/>
          <w:sz w:val="24"/>
          <w:szCs w:val="20"/>
        </w:rPr>
        <w:t>j——标准指数；</w:t>
      </w:r>
    </w:p>
    <w:p>
      <w:pPr>
        <w:adjustRightInd w:val="0"/>
        <w:snapToGrid w:val="0"/>
        <w:spacing w:line="360" w:lineRule="auto"/>
        <w:ind w:firstLine="480" w:firstLineChars="200"/>
        <w:jc w:val="center"/>
        <w:textAlignment w:val="baseline"/>
        <w:rPr>
          <w:color w:val="auto"/>
          <w:kern w:val="0"/>
          <w:sz w:val="24"/>
          <w:szCs w:val="20"/>
        </w:rPr>
      </w:pPr>
      <w:r>
        <w:rPr>
          <w:color w:val="auto"/>
          <w:kern w:val="0"/>
          <w:sz w:val="24"/>
          <w:szCs w:val="20"/>
        </w:rPr>
        <w:t>ci,j——评价因子i在j点时的实测统计代表值，mg/L；</w:t>
      </w:r>
    </w:p>
    <w:p>
      <w:pPr>
        <w:adjustRightInd w:val="0"/>
        <w:snapToGrid w:val="0"/>
        <w:spacing w:line="360" w:lineRule="auto"/>
        <w:ind w:firstLine="1440" w:firstLineChars="600"/>
        <w:jc w:val="both"/>
        <w:textAlignment w:val="baseline"/>
        <w:rPr>
          <w:color w:val="auto"/>
          <w:kern w:val="0"/>
          <w:sz w:val="24"/>
          <w:szCs w:val="20"/>
        </w:rPr>
      </w:pPr>
      <w:r>
        <w:rPr>
          <w:color w:val="auto"/>
          <w:kern w:val="0"/>
          <w:sz w:val="24"/>
          <w:szCs w:val="20"/>
        </w:rPr>
        <w:t>cs,j——评价因子i的评价标准限值，mg/L。</w:t>
      </w:r>
    </w:p>
    <w:p>
      <w:pPr>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pH的标准指数计算公式为：</w:t>
      </w:r>
    </w:p>
    <w:p>
      <w:pPr>
        <w:adjustRightInd w:val="0"/>
        <w:snapToGrid w:val="0"/>
        <w:spacing w:line="360" w:lineRule="auto"/>
        <w:ind w:firstLine="960" w:firstLineChars="400"/>
        <w:jc w:val="both"/>
        <w:textAlignment w:val="baseline"/>
        <w:rPr>
          <w:color w:val="auto"/>
          <w:kern w:val="0"/>
          <w:sz w:val="24"/>
          <w:szCs w:val="20"/>
        </w:rPr>
      </w:pPr>
      <w:r>
        <w:rPr>
          <w:color w:val="auto"/>
          <w:kern w:val="0"/>
          <w:sz w:val="24"/>
          <w:szCs w:val="20"/>
        </w:rPr>
        <w:t>当</w:t>
      </w:r>
      <w:r>
        <w:rPr>
          <w:color w:val="auto"/>
          <w:kern w:val="0"/>
          <w:position w:val="-14"/>
          <w:sz w:val="24"/>
          <w:szCs w:val="20"/>
        </w:rPr>
        <w:object>
          <v:shape id="_x0000_i1030" o:spt="75" alt="" type="#_x0000_t75" style="height:12.75pt;width:51pt;" o:ole="t" filled="f" o:preferrelative="t" stroked="f" coordsize="21600,21600">
            <v:path/>
            <v:fill on="f" focussize="0,0"/>
            <v:stroke on="f"/>
            <v:imagedata r:id="rId71" o:title=""/>
            <o:lock v:ext="edit" aspectratio="t"/>
            <w10:wrap type="none"/>
            <w10:anchorlock/>
          </v:shape>
          <o:OLEObject Type="Embed" ProgID="Equation.3" ShapeID="_x0000_i1030" DrawAspect="Content" ObjectID="_1468075732" r:id="rId70">
            <o:LockedField>false</o:LockedField>
          </o:OLEObject>
        </w:object>
      </w:r>
      <w:r>
        <w:rPr>
          <w:color w:val="auto"/>
          <w:kern w:val="0"/>
          <w:sz w:val="24"/>
          <w:szCs w:val="20"/>
        </w:rPr>
        <w:t>，</w:t>
      </w:r>
      <w:r>
        <w:rPr>
          <w:color w:val="auto"/>
          <w:kern w:val="0"/>
          <w:position w:val="-30"/>
          <w:sz w:val="24"/>
          <w:szCs w:val="20"/>
        </w:rPr>
        <w:object>
          <v:shape id="_x0000_i1031" o:spt="75" alt="" type="#_x0000_t75" style="height:43.5pt;width:84.7pt;" o:ole="t" filled="f" o:preferrelative="t" stroked="f" coordsize="21600,21600">
            <v:path/>
            <v:fill on="f" focussize="0,0"/>
            <v:stroke on="f"/>
            <v:imagedata r:id="rId73" o:title=""/>
            <o:lock v:ext="edit" aspectratio="t"/>
            <w10:wrap type="none"/>
            <w10:anchorlock/>
          </v:shape>
          <o:OLEObject Type="Embed" ProgID="Equation.3" ShapeID="_x0000_i1031" DrawAspect="Content" ObjectID="_1468075733" r:id="rId72">
            <o:LockedField>false</o:LockedField>
          </o:OLEObject>
        </w:object>
      </w:r>
      <w:r>
        <w:rPr>
          <w:color w:val="auto"/>
          <w:kern w:val="0"/>
          <w:sz w:val="24"/>
          <w:szCs w:val="20"/>
        </w:rPr>
        <w:t>；</w:t>
      </w:r>
    </w:p>
    <w:p>
      <w:pPr>
        <w:adjustRightInd w:val="0"/>
        <w:snapToGrid w:val="0"/>
        <w:spacing w:line="360" w:lineRule="auto"/>
        <w:ind w:firstLine="960" w:firstLineChars="400"/>
        <w:jc w:val="both"/>
        <w:textAlignment w:val="baseline"/>
        <w:rPr>
          <w:color w:val="auto"/>
          <w:kern w:val="0"/>
          <w:sz w:val="24"/>
          <w:szCs w:val="20"/>
        </w:rPr>
      </w:pPr>
      <w:r>
        <w:rPr>
          <w:color w:val="auto"/>
          <w:kern w:val="0"/>
          <w:sz w:val="24"/>
          <w:szCs w:val="20"/>
        </w:rPr>
        <w:t>当</w:t>
      </w:r>
      <w:r>
        <w:rPr>
          <w:color w:val="auto"/>
          <w:kern w:val="0"/>
          <w:position w:val="-14"/>
          <w:sz w:val="24"/>
          <w:szCs w:val="20"/>
        </w:rPr>
        <w:object>
          <v:shape id="_x0000_i1032" o:spt="75" alt="" type="#_x0000_t75" style="height:12.75pt;width:51pt;" o:ole="t" filled="f" o:preferrelative="t" stroked="f" coordsize="21600,21600">
            <v:path/>
            <v:fill on="f" focussize="0,0"/>
            <v:stroke on="f"/>
            <v:imagedata r:id="rId75" o:title=""/>
            <o:lock v:ext="edit" aspectratio="t"/>
            <w10:wrap type="none"/>
            <w10:anchorlock/>
          </v:shape>
          <o:OLEObject Type="Embed" ProgID="Equation.3" ShapeID="_x0000_i1032" DrawAspect="Content" ObjectID="_1468075734" r:id="rId74">
            <o:LockedField>false</o:LockedField>
          </o:OLEObject>
        </w:object>
      </w:r>
      <w:r>
        <w:rPr>
          <w:color w:val="auto"/>
          <w:kern w:val="0"/>
          <w:sz w:val="24"/>
          <w:szCs w:val="20"/>
        </w:rPr>
        <w:t>，</w:t>
      </w:r>
      <w:r>
        <w:rPr>
          <w:color w:val="auto"/>
          <w:kern w:val="0"/>
          <w:position w:val="-30"/>
          <w:sz w:val="24"/>
          <w:szCs w:val="20"/>
        </w:rPr>
        <w:object>
          <v:shape id="_x0000_i1033" o:spt="75" alt="" type="#_x0000_t75" style="height:36.75pt;width:93pt;" o:ole="t" filled="f" o:preferrelative="t" stroked="f" coordsize="21600,21600">
            <v:path/>
            <v:fill on="f" focussize="0,0"/>
            <v:stroke on="f"/>
            <v:imagedata r:id="rId77" o:title=""/>
            <o:lock v:ext="edit" aspectratio="t"/>
            <w10:wrap type="none"/>
            <w10:anchorlock/>
          </v:shape>
          <o:OLEObject Type="Embed" ProgID="Equation.3" ShapeID="_x0000_i1033" DrawAspect="Content" ObjectID="_1468075735" r:id="rId76">
            <o:LockedField>false</o:LockedField>
          </o:OLEObject>
        </w:object>
      </w:r>
      <w:r>
        <w:rPr>
          <w:color w:val="auto"/>
          <w:kern w:val="0"/>
          <w:sz w:val="24"/>
          <w:szCs w:val="20"/>
        </w:rPr>
        <w:t>。</w:t>
      </w:r>
    </w:p>
    <w:p>
      <w:pPr>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式中，S</w:t>
      </w:r>
      <w:r>
        <w:rPr>
          <w:color w:val="auto"/>
          <w:kern w:val="0"/>
          <w:sz w:val="24"/>
          <w:szCs w:val="20"/>
          <w:vertAlign w:val="subscript"/>
        </w:rPr>
        <w:t>pH,j</w:t>
      </w:r>
      <w:r>
        <w:rPr>
          <w:color w:val="auto"/>
          <w:kern w:val="0"/>
          <w:sz w:val="24"/>
          <w:szCs w:val="20"/>
        </w:rPr>
        <w:t>——pH的标准指数；</w:t>
      </w:r>
    </w:p>
    <w:p>
      <w:pPr>
        <w:adjustRightInd w:val="0"/>
        <w:snapToGrid w:val="0"/>
        <w:spacing w:line="360" w:lineRule="auto"/>
        <w:ind w:firstLine="1200" w:firstLineChars="500"/>
        <w:jc w:val="both"/>
        <w:textAlignment w:val="baseline"/>
        <w:rPr>
          <w:color w:val="auto"/>
          <w:kern w:val="0"/>
          <w:sz w:val="24"/>
          <w:szCs w:val="20"/>
        </w:rPr>
      </w:pPr>
      <w:r>
        <w:rPr>
          <w:color w:val="auto"/>
          <w:kern w:val="0"/>
          <w:sz w:val="24"/>
          <w:szCs w:val="20"/>
        </w:rPr>
        <w:t>pH</w:t>
      </w:r>
      <w:r>
        <w:rPr>
          <w:color w:val="auto"/>
          <w:kern w:val="0"/>
          <w:sz w:val="24"/>
          <w:szCs w:val="20"/>
          <w:vertAlign w:val="subscript"/>
        </w:rPr>
        <w:t>j</w:t>
      </w:r>
      <w:r>
        <w:rPr>
          <w:color w:val="auto"/>
          <w:kern w:val="0"/>
          <w:sz w:val="24"/>
          <w:szCs w:val="20"/>
        </w:rPr>
        <w:t>——pH实测统计代表值；</w:t>
      </w:r>
    </w:p>
    <w:p>
      <w:pPr>
        <w:adjustRightInd w:val="0"/>
        <w:snapToGrid w:val="0"/>
        <w:spacing w:line="360" w:lineRule="auto"/>
        <w:ind w:firstLine="1200" w:firstLineChars="500"/>
        <w:jc w:val="both"/>
        <w:textAlignment w:val="baseline"/>
        <w:rPr>
          <w:color w:val="auto"/>
          <w:kern w:val="0"/>
          <w:sz w:val="24"/>
          <w:szCs w:val="20"/>
        </w:rPr>
      </w:pPr>
      <w:r>
        <w:rPr>
          <w:color w:val="auto"/>
          <w:kern w:val="0"/>
          <w:sz w:val="24"/>
          <w:szCs w:val="20"/>
        </w:rPr>
        <w:t>pH</w:t>
      </w:r>
      <w:r>
        <w:rPr>
          <w:color w:val="auto"/>
          <w:kern w:val="0"/>
          <w:sz w:val="24"/>
          <w:szCs w:val="20"/>
          <w:vertAlign w:val="subscript"/>
        </w:rPr>
        <w:t>sd</w:t>
      </w:r>
      <w:r>
        <w:rPr>
          <w:color w:val="auto"/>
          <w:kern w:val="0"/>
          <w:sz w:val="24"/>
          <w:szCs w:val="20"/>
        </w:rPr>
        <w:t>——评价标准中pH的下限值；</w:t>
      </w:r>
    </w:p>
    <w:p>
      <w:pPr>
        <w:adjustRightInd w:val="0"/>
        <w:snapToGrid w:val="0"/>
        <w:spacing w:line="360" w:lineRule="auto"/>
        <w:ind w:firstLine="1200" w:firstLineChars="500"/>
        <w:jc w:val="both"/>
        <w:textAlignment w:val="baseline"/>
        <w:rPr>
          <w:color w:val="auto"/>
          <w:kern w:val="0"/>
          <w:sz w:val="24"/>
          <w:szCs w:val="20"/>
        </w:rPr>
      </w:pPr>
      <w:r>
        <w:rPr>
          <w:color w:val="auto"/>
          <w:kern w:val="0"/>
          <w:sz w:val="24"/>
          <w:szCs w:val="20"/>
        </w:rPr>
        <w:t>pH</w:t>
      </w:r>
      <w:r>
        <w:rPr>
          <w:color w:val="auto"/>
          <w:kern w:val="0"/>
          <w:sz w:val="24"/>
          <w:szCs w:val="20"/>
          <w:vertAlign w:val="subscript"/>
        </w:rPr>
        <w:t>su</w:t>
      </w:r>
      <w:r>
        <w:rPr>
          <w:color w:val="auto"/>
          <w:kern w:val="0"/>
          <w:sz w:val="24"/>
          <w:szCs w:val="20"/>
        </w:rPr>
        <w:t>——评价标准中pH的上限值。</w:t>
      </w:r>
    </w:p>
    <w:p>
      <w:pPr>
        <w:adjustRightInd w:val="0"/>
        <w:snapToGrid w:val="0"/>
        <w:spacing w:line="360" w:lineRule="auto"/>
        <w:ind w:firstLine="720" w:firstLineChars="300"/>
        <w:textAlignment w:val="baseline"/>
        <w:rPr>
          <w:color w:val="auto"/>
          <w:kern w:val="0"/>
          <w:sz w:val="24"/>
          <w:szCs w:val="20"/>
        </w:rPr>
      </w:pPr>
      <w:r>
        <w:rPr>
          <w:color w:val="auto"/>
          <w:kern w:val="0"/>
          <w:sz w:val="24"/>
          <w:szCs w:val="20"/>
        </w:rPr>
        <w:t>对现状监测数据进行统计整理，列表统计各监测点测值范围、标准指数范围、超标率、最大超标倍数。</w:t>
      </w:r>
    </w:p>
    <w:p>
      <w:pPr>
        <w:pStyle w:val="6"/>
        <w:spacing w:before="0" w:after="0" w:line="360" w:lineRule="auto"/>
        <w:rPr>
          <w:b w:val="0"/>
          <w:color w:val="auto"/>
          <w:sz w:val="24"/>
          <w:szCs w:val="24"/>
        </w:rPr>
      </w:pPr>
      <w:r>
        <w:rPr>
          <w:rFonts w:hint="eastAsia"/>
          <w:b w:val="0"/>
          <w:color w:val="auto"/>
          <w:sz w:val="24"/>
          <w:szCs w:val="24"/>
        </w:rPr>
        <w:t>4.2.5.6监测结果统计分析与评价</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本次评价地下水现状统计结果详见表4.2-15~4.2-18。</w:t>
      </w:r>
    </w:p>
    <w:p>
      <w:pPr>
        <w:spacing w:before="156" w:beforeLines="50"/>
        <w:ind w:firstLine="1200" w:firstLineChars="500"/>
        <w:rPr>
          <w:rFonts w:ascii="黑体" w:hAnsi="黑体" w:eastAsia="黑体"/>
          <w:color w:val="auto"/>
          <w:sz w:val="24"/>
          <w:szCs w:val="24"/>
        </w:rPr>
      </w:pPr>
      <w:r>
        <w:rPr>
          <w:rFonts w:hint="eastAsia" w:ascii="黑体" w:hAnsi="黑体" w:eastAsia="黑体"/>
          <w:color w:val="auto"/>
          <w:sz w:val="24"/>
          <w:szCs w:val="24"/>
        </w:rPr>
        <w:t>表4.2-15  包气带质量现状监测统计结果  单位： mg/L</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72"/>
        <w:gridCol w:w="51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77" w:type="pct"/>
            <w:vMerge w:val="restart"/>
            <w:shd w:val="clear" w:color="auto" w:fill="auto"/>
            <w:vAlign w:val="center"/>
          </w:tcPr>
          <w:p>
            <w:pPr>
              <w:widowControl w:val="0"/>
              <w:spacing w:line="360" w:lineRule="auto"/>
              <w:jc w:val="center"/>
              <w:rPr>
                <w:b/>
                <w:color w:val="auto"/>
              </w:rPr>
            </w:pPr>
            <w:r>
              <w:rPr>
                <w:rFonts w:hint="eastAsia"/>
                <w:b/>
                <w:color w:val="auto"/>
              </w:rPr>
              <w:t>监测项目</w:t>
            </w:r>
          </w:p>
        </w:tc>
        <w:tc>
          <w:tcPr>
            <w:tcW w:w="3023" w:type="pct"/>
            <w:shd w:val="clear" w:color="auto" w:fill="auto"/>
            <w:vAlign w:val="center"/>
          </w:tcPr>
          <w:p>
            <w:pPr>
              <w:widowControl w:val="0"/>
              <w:spacing w:line="360" w:lineRule="auto"/>
              <w:jc w:val="center"/>
              <w:rPr>
                <w:b/>
                <w:color w:val="auto"/>
              </w:rPr>
            </w:pPr>
            <w:r>
              <w:rPr>
                <w:rFonts w:hint="eastAsia"/>
                <w:b/>
                <w:color w:val="auto"/>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77" w:type="pct"/>
            <w:vMerge w:val="continue"/>
            <w:shd w:val="clear" w:color="auto" w:fill="auto"/>
            <w:vAlign w:val="center"/>
          </w:tcPr>
          <w:p>
            <w:pPr>
              <w:widowControl w:val="0"/>
              <w:spacing w:line="360" w:lineRule="auto"/>
              <w:jc w:val="center"/>
              <w:rPr>
                <w:b/>
                <w:color w:val="auto"/>
              </w:rPr>
            </w:pPr>
          </w:p>
        </w:tc>
        <w:tc>
          <w:tcPr>
            <w:tcW w:w="3023" w:type="pct"/>
            <w:shd w:val="clear" w:color="auto" w:fill="auto"/>
            <w:vAlign w:val="center"/>
          </w:tcPr>
          <w:p>
            <w:pPr>
              <w:widowControl w:val="0"/>
              <w:spacing w:line="360" w:lineRule="auto"/>
              <w:jc w:val="center"/>
              <w:rPr>
                <w:b/>
                <w:color w:val="auto"/>
              </w:rPr>
            </w:pPr>
            <w:r>
              <w:rPr>
                <w:rFonts w:hint="eastAsia"/>
                <w:b/>
                <w:color w:val="auto"/>
              </w:rPr>
              <w:t>拟建电镀车间附近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77" w:type="pct"/>
            <w:shd w:val="clear" w:color="auto" w:fill="auto"/>
            <w:vAlign w:val="center"/>
          </w:tcPr>
          <w:p>
            <w:pPr>
              <w:widowControl w:val="0"/>
              <w:spacing w:line="360" w:lineRule="auto"/>
              <w:jc w:val="center"/>
              <w:rPr>
                <w:color w:val="auto"/>
              </w:rPr>
            </w:pPr>
            <w:r>
              <w:rPr>
                <w:rFonts w:hint="eastAsia"/>
                <w:color w:val="auto"/>
              </w:rPr>
              <w:t>pH（无量纲）</w:t>
            </w:r>
          </w:p>
        </w:tc>
        <w:tc>
          <w:tcPr>
            <w:tcW w:w="3023" w:type="pct"/>
            <w:shd w:val="clear" w:color="auto" w:fill="auto"/>
            <w:vAlign w:val="center"/>
          </w:tcPr>
          <w:p>
            <w:pPr>
              <w:widowControl w:val="0"/>
              <w:spacing w:line="360" w:lineRule="auto"/>
              <w:jc w:val="center"/>
              <w:rPr>
                <w:color w:val="auto"/>
              </w:rPr>
            </w:pPr>
            <w:r>
              <w:rPr>
                <w:rFonts w:hint="eastAsia"/>
                <w:color w:val="auto"/>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77" w:type="pct"/>
            <w:shd w:val="clear" w:color="auto" w:fill="auto"/>
            <w:vAlign w:val="center"/>
          </w:tcPr>
          <w:p>
            <w:pPr>
              <w:widowControl w:val="0"/>
              <w:spacing w:line="360" w:lineRule="auto"/>
              <w:jc w:val="center"/>
              <w:rPr>
                <w:color w:val="auto"/>
              </w:rPr>
            </w:pPr>
            <w:r>
              <w:rPr>
                <w:rFonts w:hint="eastAsia"/>
                <w:color w:val="auto"/>
              </w:rPr>
              <w:t>耗氧量（COD</w:t>
            </w:r>
            <w:r>
              <w:rPr>
                <w:rFonts w:hint="eastAsia"/>
                <w:color w:val="auto"/>
                <w:vertAlign w:val="subscript"/>
              </w:rPr>
              <w:t>Mn</w:t>
            </w:r>
            <w:r>
              <w:rPr>
                <w:rFonts w:hint="eastAsia"/>
                <w:color w:val="auto"/>
              </w:rPr>
              <w:t>，以O</w:t>
            </w:r>
            <w:r>
              <w:rPr>
                <w:rFonts w:hint="eastAsia"/>
                <w:color w:val="auto"/>
                <w:vertAlign w:val="subscript"/>
              </w:rPr>
              <w:t>2</w:t>
            </w:r>
            <w:r>
              <w:rPr>
                <w:rFonts w:hint="eastAsia"/>
                <w:color w:val="auto"/>
              </w:rPr>
              <w:t>计）</w:t>
            </w:r>
          </w:p>
        </w:tc>
        <w:tc>
          <w:tcPr>
            <w:tcW w:w="3023" w:type="pct"/>
            <w:shd w:val="clear" w:color="auto" w:fill="auto"/>
            <w:vAlign w:val="center"/>
          </w:tcPr>
          <w:p>
            <w:pPr>
              <w:widowControl w:val="0"/>
              <w:spacing w:line="360" w:lineRule="auto"/>
              <w:jc w:val="center"/>
              <w:rPr>
                <w:color w:val="auto"/>
              </w:rPr>
            </w:pPr>
            <w:r>
              <w:rPr>
                <w:rFonts w:hint="eastAsia"/>
                <w:color w:val="auto"/>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1977" w:type="pct"/>
            <w:shd w:val="clear" w:color="auto" w:fill="auto"/>
            <w:vAlign w:val="center"/>
          </w:tcPr>
          <w:p>
            <w:pPr>
              <w:widowControl w:val="0"/>
              <w:spacing w:line="360" w:lineRule="auto"/>
              <w:jc w:val="center"/>
              <w:rPr>
                <w:color w:val="auto"/>
              </w:rPr>
            </w:pPr>
            <w:r>
              <w:rPr>
                <w:rFonts w:hint="eastAsia"/>
                <w:color w:val="auto"/>
              </w:rPr>
              <w:t>氨氮（以氮计）</w:t>
            </w:r>
          </w:p>
        </w:tc>
        <w:tc>
          <w:tcPr>
            <w:tcW w:w="1" w:type="pct"/>
            <w:shd w:val="clear" w:color="auto" w:fill="auto"/>
            <w:vAlign w:val="center"/>
          </w:tcPr>
          <w:p>
            <w:pPr>
              <w:widowControl w:val="0"/>
              <w:spacing w:line="360" w:lineRule="auto"/>
              <w:jc w:val="center"/>
              <w:rPr>
                <w:color w:val="auto"/>
              </w:rPr>
            </w:pPr>
            <w:r>
              <w:rPr>
                <w:rFonts w:hint="eastAsia"/>
                <w:color w:val="auto"/>
              </w:rPr>
              <w:t>0.069</w:t>
            </w:r>
          </w:p>
        </w:tc>
      </w:tr>
    </w:tbl>
    <w:p>
      <w:pPr>
        <w:spacing w:before="156" w:beforeLines="50"/>
        <w:ind w:firstLine="1200" w:firstLineChars="500"/>
        <w:rPr>
          <w:rFonts w:ascii="黑体" w:hAnsi="黑体" w:eastAsia="黑体"/>
          <w:color w:val="auto"/>
          <w:sz w:val="24"/>
          <w:szCs w:val="24"/>
        </w:rPr>
      </w:pPr>
      <w:r>
        <w:rPr>
          <w:rFonts w:hint="eastAsia" w:ascii="黑体" w:hAnsi="黑体" w:eastAsia="黑体"/>
          <w:color w:val="auto"/>
          <w:sz w:val="24"/>
          <w:szCs w:val="24"/>
        </w:rPr>
        <w:t>表4.2-16    水位监测点布设情况一览表</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835"/>
        <w:gridCol w:w="2455"/>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b/>
                <w:color w:val="auto"/>
              </w:rPr>
            </w:pPr>
            <w:r>
              <w:rPr>
                <w:b/>
                <w:color w:val="auto"/>
              </w:rPr>
              <w:t>编号</w:t>
            </w:r>
          </w:p>
        </w:tc>
        <w:tc>
          <w:tcPr>
            <w:tcW w:w="2835" w:type="dxa"/>
            <w:shd w:val="clear" w:color="auto" w:fill="auto"/>
            <w:vAlign w:val="center"/>
          </w:tcPr>
          <w:p>
            <w:pPr>
              <w:widowControl w:val="0"/>
              <w:spacing w:line="480" w:lineRule="exact"/>
              <w:jc w:val="center"/>
              <w:rPr>
                <w:b/>
                <w:color w:val="auto"/>
              </w:rPr>
            </w:pPr>
            <w:r>
              <w:rPr>
                <w:b/>
                <w:color w:val="auto"/>
              </w:rPr>
              <w:t>监测点位</w:t>
            </w:r>
          </w:p>
        </w:tc>
        <w:tc>
          <w:tcPr>
            <w:tcW w:w="2455" w:type="dxa"/>
            <w:shd w:val="clear" w:color="auto" w:fill="auto"/>
            <w:vAlign w:val="center"/>
          </w:tcPr>
          <w:p>
            <w:pPr>
              <w:widowControl w:val="0"/>
              <w:spacing w:line="480" w:lineRule="exact"/>
              <w:jc w:val="center"/>
              <w:rPr>
                <w:b/>
                <w:color w:val="auto"/>
              </w:rPr>
            </w:pPr>
            <w:r>
              <w:rPr>
                <w:b/>
                <w:color w:val="auto"/>
              </w:rPr>
              <w:t>井深（m）</w:t>
            </w:r>
          </w:p>
        </w:tc>
        <w:tc>
          <w:tcPr>
            <w:tcW w:w="2131" w:type="dxa"/>
            <w:shd w:val="clear" w:color="auto" w:fill="auto"/>
            <w:vAlign w:val="center"/>
          </w:tcPr>
          <w:p>
            <w:pPr>
              <w:widowControl w:val="0"/>
              <w:spacing w:line="480" w:lineRule="exact"/>
              <w:jc w:val="center"/>
              <w:rPr>
                <w:b/>
                <w:color w:val="auto"/>
              </w:rPr>
            </w:pPr>
            <w:r>
              <w:rPr>
                <w:b/>
                <w:color w:val="auto"/>
              </w:rPr>
              <w:t>水位（m）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color w:val="auto"/>
              </w:rPr>
            </w:pPr>
            <w:r>
              <w:rPr>
                <w:color w:val="auto"/>
              </w:rPr>
              <w:t>1</w:t>
            </w:r>
          </w:p>
        </w:tc>
        <w:tc>
          <w:tcPr>
            <w:tcW w:w="2835" w:type="dxa"/>
            <w:shd w:val="clear" w:color="auto" w:fill="auto"/>
            <w:vAlign w:val="center"/>
          </w:tcPr>
          <w:p>
            <w:pPr>
              <w:widowControl w:val="0"/>
              <w:spacing w:line="480" w:lineRule="exact"/>
              <w:jc w:val="center"/>
              <w:rPr>
                <w:color w:val="auto"/>
              </w:rPr>
            </w:pPr>
            <w:r>
              <w:rPr>
                <w:color w:val="auto"/>
              </w:rPr>
              <w:t>陈孝村</w:t>
            </w:r>
          </w:p>
        </w:tc>
        <w:tc>
          <w:tcPr>
            <w:tcW w:w="2455" w:type="dxa"/>
            <w:shd w:val="clear" w:color="auto" w:fill="auto"/>
            <w:vAlign w:val="center"/>
          </w:tcPr>
          <w:p>
            <w:pPr>
              <w:widowControl w:val="0"/>
              <w:spacing w:line="480" w:lineRule="exact"/>
              <w:jc w:val="center"/>
              <w:rPr>
                <w:color w:val="auto"/>
              </w:rPr>
            </w:pPr>
            <w:r>
              <w:rPr>
                <w:color w:val="auto"/>
              </w:rPr>
              <w:t>90</w:t>
            </w:r>
          </w:p>
        </w:tc>
        <w:tc>
          <w:tcPr>
            <w:tcW w:w="2131" w:type="dxa"/>
            <w:shd w:val="clear" w:color="auto" w:fill="auto"/>
            <w:vAlign w:val="center"/>
          </w:tcPr>
          <w:p>
            <w:pPr>
              <w:widowControl w:val="0"/>
              <w:spacing w:line="480" w:lineRule="exact"/>
              <w:jc w:val="center"/>
              <w:rPr>
                <w:color w:val="auto"/>
              </w:rPr>
            </w:pPr>
            <w:r>
              <w:rPr>
                <w:color w:val="auto"/>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color w:val="auto"/>
              </w:rPr>
            </w:pPr>
            <w:r>
              <w:rPr>
                <w:color w:val="auto"/>
              </w:rPr>
              <w:t>2</w:t>
            </w:r>
          </w:p>
        </w:tc>
        <w:tc>
          <w:tcPr>
            <w:tcW w:w="2835" w:type="dxa"/>
            <w:shd w:val="clear" w:color="auto" w:fill="auto"/>
            <w:vAlign w:val="center"/>
          </w:tcPr>
          <w:p>
            <w:pPr>
              <w:widowControl w:val="0"/>
              <w:spacing w:line="480" w:lineRule="exact"/>
              <w:jc w:val="center"/>
              <w:rPr>
                <w:color w:val="auto"/>
              </w:rPr>
            </w:pPr>
            <w:r>
              <w:rPr>
                <w:color w:val="auto"/>
              </w:rPr>
              <w:t>孝合村</w:t>
            </w:r>
          </w:p>
        </w:tc>
        <w:tc>
          <w:tcPr>
            <w:tcW w:w="2455" w:type="dxa"/>
            <w:shd w:val="clear" w:color="auto" w:fill="auto"/>
            <w:vAlign w:val="center"/>
          </w:tcPr>
          <w:p>
            <w:pPr>
              <w:widowControl w:val="0"/>
              <w:spacing w:line="480" w:lineRule="exact"/>
              <w:jc w:val="center"/>
              <w:rPr>
                <w:color w:val="auto"/>
              </w:rPr>
            </w:pPr>
            <w:r>
              <w:rPr>
                <w:color w:val="auto"/>
              </w:rPr>
              <w:t>120</w:t>
            </w:r>
          </w:p>
        </w:tc>
        <w:tc>
          <w:tcPr>
            <w:tcW w:w="2131" w:type="dxa"/>
            <w:shd w:val="clear" w:color="auto" w:fill="auto"/>
            <w:vAlign w:val="center"/>
          </w:tcPr>
          <w:p>
            <w:pPr>
              <w:widowControl w:val="0"/>
              <w:spacing w:line="480" w:lineRule="exact"/>
              <w:jc w:val="center"/>
              <w:rPr>
                <w:color w:val="auto"/>
              </w:rPr>
            </w:pP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color w:val="auto"/>
              </w:rPr>
            </w:pPr>
            <w:r>
              <w:rPr>
                <w:color w:val="auto"/>
              </w:rPr>
              <w:t>3</w:t>
            </w:r>
          </w:p>
        </w:tc>
        <w:tc>
          <w:tcPr>
            <w:tcW w:w="2835" w:type="dxa"/>
            <w:shd w:val="clear" w:color="auto" w:fill="auto"/>
            <w:vAlign w:val="center"/>
          </w:tcPr>
          <w:p>
            <w:pPr>
              <w:widowControl w:val="0"/>
              <w:spacing w:line="480" w:lineRule="exact"/>
              <w:jc w:val="center"/>
              <w:rPr>
                <w:color w:val="auto"/>
              </w:rPr>
            </w:pPr>
            <w:r>
              <w:rPr>
                <w:color w:val="auto"/>
              </w:rPr>
              <w:t>厂址</w:t>
            </w:r>
          </w:p>
        </w:tc>
        <w:tc>
          <w:tcPr>
            <w:tcW w:w="2455" w:type="dxa"/>
            <w:shd w:val="clear" w:color="auto" w:fill="auto"/>
            <w:vAlign w:val="center"/>
          </w:tcPr>
          <w:p>
            <w:pPr>
              <w:widowControl w:val="0"/>
              <w:spacing w:line="480" w:lineRule="exact"/>
              <w:jc w:val="center"/>
              <w:rPr>
                <w:color w:val="auto"/>
              </w:rPr>
            </w:pPr>
            <w:r>
              <w:rPr>
                <w:rFonts w:hint="eastAsia"/>
                <w:color w:val="auto"/>
              </w:rPr>
              <w:t>120</w:t>
            </w:r>
          </w:p>
        </w:tc>
        <w:tc>
          <w:tcPr>
            <w:tcW w:w="2131" w:type="dxa"/>
            <w:shd w:val="clear" w:color="auto" w:fill="auto"/>
            <w:vAlign w:val="center"/>
          </w:tcPr>
          <w:p>
            <w:pPr>
              <w:widowControl w:val="0"/>
              <w:spacing w:line="480" w:lineRule="exact"/>
              <w:jc w:val="center"/>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color w:val="auto"/>
              </w:rPr>
            </w:pPr>
            <w:r>
              <w:rPr>
                <w:color w:val="auto"/>
              </w:rPr>
              <w:t>4</w:t>
            </w:r>
          </w:p>
        </w:tc>
        <w:tc>
          <w:tcPr>
            <w:tcW w:w="2835" w:type="dxa"/>
            <w:shd w:val="clear" w:color="auto" w:fill="auto"/>
            <w:vAlign w:val="center"/>
          </w:tcPr>
          <w:p>
            <w:pPr>
              <w:widowControl w:val="0"/>
              <w:spacing w:line="480" w:lineRule="exact"/>
              <w:jc w:val="center"/>
              <w:rPr>
                <w:color w:val="auto"/>
              </w:rPr>
            </w:pPr>
            <w:r>
              <w:rPr>
                <w:color w:val="auto"/>
              </w:rPr>
              <w:t>前李庄</w:t>
            </w:r>
          </w:p>
        </w:tc>
        <w:tc>
          <w:tcPr>
            <w:tcW w:w="2455" w:type="dxa"/>
            <w:shd w:val="clear" w:color="auto" w:fill="auto"/>
            <w:vAlign w:val="center"/>
          </w:tcPr>
          <w:p>
            <w:pPr>
              <w:widowControl w:val="0"/>
              <w:spacing w:line="480" w:lineRule="exact"/>
              <w:jc w:val="center"/>
              <w:rPr>
                <w:color w:val="auto"/>
              </w:rPr>
            </w:pPr>
            <w:r>
              <w:rPr>
                <w:color w:val="auto"/>
              </w:rPr>
              <w:t>100</w:t>
            </w:r>
          </w:p>
        </w:tc>
        <w:tc>
          <w:tcPr>
            <w:tcW w:w="2131" w:type="dxa"/>
            <w:shd w:val="clear" w:color="auto" w:fill="auto"/>
            <w:vAlign w:val="center"/>
          </w:tcPr>
          <w:p>
            <w:pPr>
              <w:widowControl w:val="0"/>
              <w:spacing w:line="480" w:lineRule="exact"/>
              <w:jc w:val="center"/>
              <w:rPr>
                <w:color w:val="auto"/>
              </w:rPr>
            </w:pPr>
            <w:r>
              <w:rPr>
                <w:color w:val="auto"/>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color w:val="auto"/>
              </w:rPr>
            </w:pPr>
            <w:r>
              <w:rPr>
                <w:color w:val="auto"/>
              </w:rPr>
              <w:t>5</w:t>
            </w:r>
          </w:p>
        </w:tc>
        <w:tc>
          <w:tcPr>
            <w:tcW w:w="2835" w:type="dxa"/>
            <w:shd w:val="clear" w:color="auto" w:fill="auto"/>
            <w:vAlign w:val="center"/>
          </w:tcPr>
          <w:p>
            <w:pPr>
              <w:widowControl w:val="0"/>
              <w:spacing w:line="480" w:lineRule="exact"/>
              <w:jc w:val="center"/>
              <w:rPr>
                <w:color w:val="auto"/>
              </w:rPr>
            </w:pPr>
            <w:r>
              <w:rPr>
                <w:color w:val="auto"/>
              </w:rPr>
              <w:t>前寺庄村</w:t>
            </w:r>
          </w:p>
        </w:tc>
        <w:tc>
          <w:tcPr>
            <w:tcW w:w="2455" w:type="dxa"/>
            <w:shd w:val="clear" w:color="auto" w:fill="auto"/>
            <w:vAlign w:val="center"/>
          </w:tcPr>
          <w:p>
            <w:pPr>
              <w:widowControl w:val="0"/>
              <w:spacing w:line="480" w:lineRule="exact"/>
              <w:jc w:val="center"/>
              <w:rPr>
                <w:color w:val="auto"/>
              </w:rPr>
            </w:pPr>
            <w:r>
              <w:rPr>
                <w:color w:val="auto"/>
              </w:rPr>
              <w:t>130</w:t>
            </w:r>
          </w:p>
        </w:tc>
        <w:tc>
          <w:tcPr>
            <w:tcW w:w="2131" w:type="dxa"/>
            <w:shd w:val="clear" w:color="auto" w:fill="auto"/>
            <w:vAlign w:val="center"/>
          </w:tcPr>
          <w:p>
            <w:pPr>
              <w:widowControl w:val="0"/>
              <w:spacing w:line="480" w:lineRule="exact"/>
              <w:jc w:val="center"/>
              <w:rPr>
                <w:color w:val="auto"/>
              </w:rPr>
            </w:pPr>
            <w:r>
              <w:rPr>
                <w:color w:val="auto"/>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1" w:type="dxa"/>
            <w:shd w:val="clear" w:color="auto" w:fill="auto"/>
            <w:vAlign w:val="center"/>
          </w:tcPr>
          <w:p>
            <w:pPr>
              <w:widowControl w:val="0"/>
              <w:spacing w:line="480" w:lineRule="exact"/>
              <w:jc w:val="center"/>
              <w:rPr>
                <w:color w:val="auto"/>
              </w:rPr>
            </w:pPr>
            <w:r>
              <w:rPr>
                <w:color w:val="auto"/>
              </w:rPr>
              <w:t>6</w:t>
            </w:r>
          </w:p>
        </w:tc>
        <w:tc>
          <w:tcPr>
            <w:tcW w:w="2835" w:type="dxa"/>
            <w:shd w:val="clear" w:color="auto" w:fill="auto"/>
            <w:vAlign w:val="center"/>
          </w:tcPr>
          <w:p>
            <w:pPr>
              <w:widowControl w:val="0"/>
              <w:spacing w:line="480" w:lineRule="exact"/>
              <w:jc w:val="center"/>
              <w:rPr>
                <w:color w:val="auto"/>
              </w:rPr>
            </w:pPr>
            <w:r>
              <w:rPr>
                <w:color w:val="auto"/>
              </w:rPr>
              <w:t>后李村</w:t>
            </w:r>
          </w:p>
        </w:tc>
        <w:tc>
          <w:tcPr>
            <w:tcW w:w="2455" w:type="dxa"/>
            <w:shd w:val="clear" w:color="auto" w:fill="auto"/>
            <w:vAlign w:val="center"/>
          </w:tcPr>
          <w:p>
            <w:pPr>
              <w:widowControl w:val="0"/>
              <w:spacing w:line="480" w:lineRule="exact"/>
              <w:jc w:val="center"/>
              <w:rPr>
                <w:color w:val="auto"/>
              </w:rPr>
            </w:pPr>
            <w:r>
              <w:rPr>
                <w:color w:val="auto"/>
              </w:rPr>
              <w:t>130</w:t>
            </w:r>
          </w:p>
        </w:tc>
        <w:tc>
          <w:tcPr>
            <w:tcW w:w="2131" w:type="dxa"/>
            <w:shd w:val="clear" w:color="auto" w:fill="auto"/>
            <w:vAlign w:val="center"/>
          </w:tcPr>
          <w:p>
            <w:pPr>
              <w:widowControl w:val="0"/>
              <w:spacing w:line="480" w:lineRule="exact"/>
              <w:jc w:val="center"/>
              <w:rPr>
                <w:color w:val="auto"/>
              </w:rPr>
            </w:pPr>
            <w:r>
              <w:rPr>
                <w:color w:val="auto"/>
              </w:rPr>
              <w:t>28</w:t>
            </w:r>
          </w:p>
        </w:tc>
      </w:tr>
    </w:tbl>
    <w:p>
      <w:pPr>
        <w:spacing w:before="156" w:beforeLines="50"/>
        <w:ind w:firstLine="1200" w:firstLineChars="500"/>
        <w:rPr>
          <w:rFonts w:ascii="黑体" w:hAnsi="黑体" w:eastAsia="黑体"/>
          <w:color w:val="auto"/>
          <w:sz w:val="24"/>
          <w:szCs w:val="24"/>
        </w:rPr>
      </w:pPr>
      <w:r>
        <w:rPr>
          <w:rFonts w:hint="eastAsia" w:ascii="黑体" w:hAnsi="黑体" w:eastAsia="黑体"/>
          <w:color w:val="auto"/>
          <w:sz w:val="24"/>
          <w:szCs w:val="24"/>
        </w:rPr>
        <w:t>表4.2-17   地下水离子成分监测结果统计一览表  单位：mg/L</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867"/>
        <w:gridCol w:w="1072"/>
        <w:gridCol w:w="913"/>
        <w:gridCol w:w="1134"/>
        <w:gridCol w:w="992"/>
        <w:gridCol w:w="1559"/>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trPr>
        <w:tc>
          <w:tcPr>
            <w:tcW w:w="1084" w:type="dxa"/>
            <w:tcBorders>
              <w:tl2br w:val="single" w:color="auto" w:sz="4" w:space="0"/>
            </w:tcBorders>
            <w:shd w:val="clear" w:color="auto" w:fill="auto"/>
            <w:vAlign w:val="center"/>
          </w:tcPr>
          <w:p>
            <w:pPr>
              <w:widowControl w:val="0"/>
              <w:tabs>
                <w:tab w:val="left" w:pos="645"/>
              </w:tabs>
              <w:jc w:val="center"/>
              <w:rPr>
                <w:b/>
                <w:color w:val="auto"/>
              </w:rPr>
            </w:pPr>
            <w:r>
              <w:rPr>
                <w:rFonts w:hint="eastAsia"/>
                <w:b/>
                <w:color w:val="auto"/>
              </w:rPr>
              <w:t xml:space="preserve">   </w:t>
            </w:r>
            <w:r>
              <w:rPr>
                <w:b/>
                <w:color w:val="auto"/>
              </w:rPr>
              <w:t>点位</w:t>
            </w:r>
          </w:p>
          <w:p>
            <w:pPr>
              <w:widowControl w:val="0"/>
              <w:tabs>
                <w:tab w:val="left" w:pos="1274"/>
              </w:tabs>
              <w:jc w:val="both"/>
              <w:rPr>
                <w:b/>
                <w:color w:val="auto"/>
              </w:rPr>
            </w:pPr>
            <w:r>
              <w:rPr>
                <w:rFonts w:hint="eastAsia"/>
                <w:b/>
                <w:color w:val="auto"/>
              </w:rPr>
              <w:t>项目</w:t>
            </w:r>
          </w:p>
        </w:tc>
        <w:tc>
          <w:tcPr>
            <w:tcW w:w="867" w:type="dxa"/>
            <w:shd w:val="clear" w:color="auto" w:fill="auto"/>
            <w:vAlign w:val="center"/>
          </w:tcPr>
          <w:p>
            <w:pPr>
              <w:widowControl w:val="0"/>
              <w:jc w:val="both"/>
              <w:rPr>
                <w:b/>
                <w:color w:val="auto"/>
              </w:rPr>
            </w:pPr>
            <w:r>
              <w:rPr>
                <w:rFonts w:hint="eastAsia"/>
                <w:b/>
                <w:color w:val="auto"/>
              </w:rPr>
              <w:t>标准限值</w:t>
            </w:r>
          </w:p>
        </w:tc>
        <w:tc>
          <w:tcPr>
            <w:tcW w:w="1072" w:type="dxa"/>
            <w:shd w:val="clear" w:color="auto" w:fill="auto"/>
            <w:vAlign w:val="center"/>
          </w:tcPr>
          <w:p>
            <w:pPr>
              <w:widowControl w:val="0"/>
              <w:jc w:val="center"/>
              <w:rPr>
                <w:color w:val="auto"/>
              </w:rPr>
            </w:pPr>
            <w:r>
              <w:rPr>
                <w:rFonts w:hint="eastAsia"/>
                <w:b/>
                <w:color w:val="auto"/>
              </w:rPr>
              <w:t>陈孝村</w:t>
            </w:r>
          </w:p>
        </w:tc>
        <w:tc>
          <w:tcPr>
            <w:tcW w:w="913" w:type="dxa"/>
            <w:shd w:val="clear" w:color="auto" w:fill="auto"/>
            <w:vAlign w:val="center"/>
          </w:tcPr>
          <w:p>
            <w:pPr>
              <w:widowControl w:val="0"/>
              <w:jc w:val="center"/>
              <w:rPr>
                <w:b/>
                <w:color w:val="auto"/>
              </w:rPr>
            </w:pPr>
            <w:r>
              <w:rPr>
                <w:rFonts w:hint="eastAsia"/>
                <w:b/>
                <w:color w:val="auto"/>
              </w:rPr>
              <w:t>达标</w:t>
            </w:r>
          </w:p>
          <w:p>
            <w:pPr>
              <w:widowControl w:val="0"/>
              <w:jc w:val="center"/>
              <w:rPr>
                <w:b/>
                <w:color w:val="auto"/>
              </w:rPr>
            </w:pPr>
            <w:r>
              <w:rPr>
                <w:rFonts w:hint="eastAsia"/>
                <w:b/>
                <w:color w:val="auto"/>
              </w:rPr>
              <w:t>分析</w:t>
            </w:r>
          </w:p>
        </w:tc>
        <w:tc>
          <w:tcPr>
            <w:tcW w:w="1134" w:type="dxa"/>
            <w:shd w:val="clear" w:color="auto" w:fill="auto"/>
            <w:vAlign w:val="center"/>
          </w:tcPr>
          <w:p>
            <w:pPr>
              <w:widowControl w:val="0"/>
              <w:jc w:val="center"/>
              <w:rPr>
                <w:b/>
                <w:color w:val="auto"/>
              </w:rPr>
            </w:pPr>
            <w:r>
              <w:rPr>
                <w:rFonts w:hint="eastAsia"/>
                <w:b/>
                <w:color w:val="auto"/>
              </w:rPr>
              <w:t>厂址</w:t>
            </w:r>
          </w:p>
        </w:tc>
        <w:tc>
          <w:tcPr>
            <w:tcW w:w="992" w:type="dxa"/>
            <w:shd w:val="clear" w:color="auto" w:fill="auto"/>
            <w:vAlign w:val="center"/>
          </w:tcPr>
          <w:p>
            <w:pPr>
              <w:widowControl w:val="0"/>
              <w:jc w:val="center"/>
              <w:rPr>
                <w:b/>
                <w:color w:val="auto"/>
              </w:rPr>
            </w:pPr>
            <w:r>
              <w:rPr>
                <w:rFonts w:hint="eastAsia"/>
                <w:b/>
                <w:color w:val="auto"/>
              </w:rPr>
              <w:t>达标</w:t>
            </w:r>
          </w:p>
          <w:p>
            <w:pPr>
              <w:widowControl w:val="0"/>
              <w:jc w:val="center"/>
              <w:rPr>
                <w:b/>
                <w:color w:val="auto"/>
              </w:rPr>
            </w:pPr>
            <w:r>
              <w:rPr>
                <w:rFonts w:hint="eastAsia"/>
                <w:b/>
                <w:color w:val="auto"/>
              </w:rPr>
              <w:t>分析</w:t>
            </w:r>
          </w:p>
        </w:tc>
        <w:tc>
          <w:tcPr>
            <w:tcW w:w="1559" w:type="dxa"/>
            <w:shd w:val="clear" w:color="auto" w:fill="auto"/>
            <w:vAlign w:val="center"/>
          </w:tcPr>
          <w:p>
            <w:pPr>
              <w:widowControl w:val="0"/>
              <w:jc w:val="center"/>
              <w:rPr>
                <w:b/>
                <w:color w:val="auto"/>
              </w:rPr>
            </w:pPr>
            <w:r>
              <w:rPr>
                <w:rFonts w:hint="eastAsia"/>
                <w:b/>
                <w:color w:val="auto"/>
              </w:rPr>
              <w:t>前李村</w:t>
            </w:r>
          </w:p>
        </w:tc>
        <w:tc>
          <w:tcPr>
            <w:tcW w:w="901" w:type="dxa"/>
            <w:shd w:val="clear" w:color="auto" w:fill="auto"/>
            <w:vAlign w:val="center"/>
          </w:tcPr>
          <w:p>
            <w:pPr>
              <w:widowControl w:val="0"/>
              <w:jc w:val="center"/>
              <w:rPr>
                <w:b/>
                <w:color w:val="auto"/>
              </w:rPr>
            </w:pPr>
            <w:r>
              <w:rPr>
                <w:rFonts w:hint="eastAsia"/>
                <w:b/>
                <w:color w:val="auto"/>
              </w:rPr>
              <w:t>达标</w:t>
            </w:r>
          </w:p>
          <w:p>
            <w:pPr>
              <w:widowControl w:val="0"/>
              <w:jc w:val="center"/>
              <w:rPr>
                <w:b/>
                <w:color w:val="auto"/>
              </w:rPr>
            </w:pPr>
            <w:r>
              <w:rPr>
                <w:rFonts w:hint="eastAsia"/>
                <w:b/>
                <w:color w:val="auto"/>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K</w:t>
            </w:r>
            <w:r>
              <w:rPr>
                <w:color w:val="auto"/>
                <w:vertAlign w:val="superscript"/>
              </w:rPr>
              <w:t>+</w:t>
            </w:r>
          </w:p>
        </w:tc>
        <w:tc>
          <w:tcPr>
            <w:tcW w:w="867" w:type="dxa"/>
            <w:shd w:val="clear" w:color="auto" w:fill="auto"/>
            <w:vAlign w:val="center"/>
          </w:tcPr>
          <w:p>
            <w:pPr>
              <w:widowControl w:val="0"/>
              <w:jc w:val="center"/>
              <w:rPr>
                <w:b/>
                <w:color w:val="auto"/>
              </w:rPr>
            </w:pPr>
            <w:r>
              <w:rPr>
                <w:rFonts w:hint="eastAsia"/>
                <w:b/>
                <w:color w:val="auto"/>
              </w:rPr>
              <w:t>/</w:t>
            </w:r>
          </w:p>
        </w:tc>
        <w:tc>
          <w:tcPr>
            <w:tcW w:w="1072" w:type="dxa"/>
            <w:shd w:val="clear" w:color="auto" w:fill="auto"/>
            <w:vAlign w:val="center"/>
          </w:tcPr>
          <w:p>
            <w:pPr>
              <w:widowControl w:val="0"/>
              <w:adjustRightInd w:val="0"/>
              <w:snapToGrid w:val="0"/>
              <w:jc w:val="center"/>
              <w:textAlignment w:val="baseline"/>
              <w:rPr>
                <w:color w:val="auto"/>
              </w:rPr>
            </w:pPr>
            <w:r>
              <w:rPr>
                <w:color w:val="auto"/>
              </w:rPr>
              <w:t>0.64-1.92</w:t>
            </w:r>
          </w:p>
        </w:tc>
        <w:tc>
          <w:tcPr>
            <w:tcW w:w="913" w:type="dxa"/>
            <w:shd w:val="clear" w:color="auto" w:fill="auto"/>
            <w:vAlign w:val="center"/>
          </w:tcPr>
          <w:p>
            <w:pPr>
              <w:widowControl w:val="0"/>
              <w:jc w:val="center"/>
              <w:rPr>
                <w:b/>
                <w:color w:val="auto"/>
              </w:rPr>
            </w:pPr>
            <w:r>
              <w:rPr>
                <w:rFonts w:hint="eastAsia"/>
                <w:b/>
                <w:color w:val="auto"/>
              </w:rPr>
              <w:t>/</w:t>
            </w:r>
          </w:p>
        </w:tc>
        <w:tc>
          <w:tcPr>
            <w:tcW w:w="1134" w:type="dxa"/>
            <w:shd w:val="clear" w:color="auto" w:fill="auto"/>
            <w:vAlign w:val="center"/>
          </w:tcPr>
          <w:p>
            <w:pPr>
              <w:widowControl w:val="0"/>
              <w:jc w:val="center"/>
              <w:rPr>
                <w:b/>
                <w:bCs w:val="0"/>
                <w:color w:val="auto"/>
                <w:u w:val="single"/>
              </w:rPr>
            </w:pPr>
            <w:r>
              <w:rPr>
                <w:rFonts w:hint="eastAsia"/>
                <w:b/>
                <w:bCs w:val="0"/>
                <w:color w:val="auto"/>
                <w:u w:val="single"/>
              </w:rPr>
              <w:t>1.25-1.33</w:t>
            </w:r>
          </w:p>
        </w:tc>
        <w:tc>
          <w:tcPr>
            <w:tcW w:w="992" w:type="dxa"/>
            <w:shd w:val="clear" w:color="auto" w:fill="auto"/>
            <w:vAlign w:val="center"/>
          </w:tcPr>
          <w:p>
            <w:pPr>
              <w:widowControl w:val="0"/>
              <w:jc w:val="center"/>
              <w:rPr>
                <w:b/>
                <w:color w:val="auto"/>
              </w:rPr>
            </w:pPr>
            <w:r>
              <w:rPr>
                <w:rFonts w:hint="eastAsia"/>
                <w:b/>
                <w:color w:val="auto"/>
              </w:rPr>
              <w:t>/</w:t>
            </w:r>
          </w:p>
        </w:tc>
        <w:tc>
          <w:tcPr>
            <w:tcW w:w="1559" w:type="dxa"/>
            <w:shd w:val="clear" w:color="auto" w:fill="auto"/>
            <w:vAlign w:val="center"/>
          </w:tcPr>
          <w:p>
            <w:pPr>
              <w:widowControl w:val="0"/>
              <w:adjustRightInd w:val="0"/>
              <w:snapToGrid w:val="0"/>
              <w:jc w:val="center"/>
              <w:textAlignment w:val="baseline"/>
              <w:rPr>
                <w:b w:val="0"/>
                <w:bCs w:val="0"/>
                <w:color w:val="auto"/>
              </w:rPr>
            </w:pPr>
            <w:r>
              <w:rPr>
                <w:rFonts w:hint="eastAsia"/>
                <w:b w:val="0"/>
                <w:bCs w:val="0"/>
                <w:color w:val="auto"/>
              </w:rPr>
              <w:t>0.86-1.13</w:t>
            </w:r>
          </w:p>
        </w:tc>
        <w:tc>
          <w:tcPr>
            <w:tcW w:w="901" w:type="dxa"/>
            <w:shd w:val="clear" w:color="auto" w:fill="auto"/>
            <w:vAlign w:val="center"/>
          </w:tcPr>
          <w:p>
            <w:pPr>
              <w:widowControl w:val="0"/>
              <w:jc w:val="center"/>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Na</w:t>
            </w:r>
            <w:r>
              <w:rPr>
                <w:color w:val="auto"/>
                <w:vertAlign w:val="superscript"/>
              </w:rPr>
              <w:t>+</w:t>
            </w:r>
          </w:p>
        </w:tc>
        <w:tc>
          <w:tcPr>
            <w:tcW w:w="867" w:type="dxa"/>
            <w:shd w:val="clear" w:color="auto" w:fill="auto"/>
            <w:vAlign w:val="center"/>
          </w:tcPr>
          <w:p>
            <w:pPr>
              <w:widowControl w:val="0"/>
              <w:jc w:val="center"/>
              <w:rPr>
                <w:b/>
                <w:color w:val="auto"/>
              </w:rPr>
            </w:pPr>
            <w:r>
              <w:rPr>
                <w:rFonts w:hint="eastAsia"/>
                <w:b/>
                <w:color w:val="auto"/>
              </w:rPr>
              <w:t>/</w:t>
            </w:r>
          </w:p>
        </w:tc>
        <w:tc>
          <w:tcPr>
            <w:tcW w:w="1072" w:type="dxa"/>
            <w:shd w:val="clear" w:color="auto" w:fill="auto"/>
            <w:vAlign w:val="center"/>
          </w:tcPr>
          <w:p>
            <w:pPr>
              <w:widowControl w:val="0"/>
              <w:adjustRightInd w:val="0"/>
              <w:snapToGrid w:val="0"/>
              <w:jc w:val="center"/>
              <w:textAlignment w:val="baseline"/>
              <w:rPr>
                <w:color w:val="auto"/>
              </w:rPr>
            </w:pPr>
            <w:r>
              <w:rPr>
                <w:color w:val="auto"/>
              </w:rPr>
              <w:t>159-181</w:t>
            </w:r>
          </w:p>
        </w:tc>
        <w:tc>
          <w:tcPr>
            <w:tcW w:w="913" w:type="dxa"/>
            <w:shd w:val="clear" w:color="auto" w:fill="auto"/>
            <w:vAlign w:val="center"/>
          </w:tcPr>
          <w:p>
            <w:pPr>
              <w:widowControl w:val="0"/>
              <w:jc w:val="center"/>
              <w:rPr>
                <w:b/>
                <w:color w:val="auto"/>
              </w:rPr>
            </w:pPr>
            <w:r>
              <w:rPr>
                <w:rFonts w:hint="eastAsia"/>
                <w:b/>
                <w:color w:val="auto"/>
              </w:rPr>
              <w:t>/</w:t>
            </w:r>
          </w:p>
        </w:tc>
        <w:tc>
          <w:tcPr>
            <w:tcW w:w="1134" w:type="dxa"/>
            <w:shd w:val="clear" w:color="auto" w:fill="auto"/>
            <w:vAlign w:val="center"/>
          </w:tcPr>
          <w:p>
            <w:pPr>
              <w:widowControl w:val="0"/>
              <w:jc w:val="center"/>
              <w:rPr>
                <w:b/>
                <w:bCs w:val="0"/>
                <w:color w:val="auto"/>
                <w:u w:val="single"/>
              </w:rPr>
            </w:pPr>
            <w:r>
              <w:rPr>
                <w:rFonts w:hint="eastAsia"/>
                <w:b/>
                <w:bCs w:val="0"/>
                <w:color w:val="auto"/>
                <w:u w:val="single"/>
              </w:rPr>
              <w:t>18.7-20.6</w:t>
            </w:r>
          </w:p>
        </w:tc>
        <w:tc>
          <w:tcPr>
            <w:tcW w:w="992" w:type="dxa"/>
            <w:shd w:val="clear" w:color="auto" w:fill="auto"/>
            <w:vAlign w:val="center"/>
          </w:tcPr>
          <w:p>
            <w:pPr>
              <w:widowControl w:val="0"/>
              <w:jc w:val="center"/>
              <w:rPr>
                <w:b/>
                <w:color w:val="auto"/>
              </w:rPr>
            </w:pPr>
            <w:r>
              <w:rPr>
                <w:rFonts w:hint="eastAsia"/>
                <w:b/>
                <w:color w:val="auto"/>
              </w:rPr>
              <w:t>/</w:t>
            </w:r>
          </w:p>
        </w:tc>
        <w:tc>
          <w:tcPr>
            <w:tcW w:w="1559" w:type="dxa"/>
            <w:shd w:val="clear" w:color="auto" w:fill="auto"/>
            <w:vAlign w:val="center"/>
          </w:tcPr>
          <w:p>
            <w:pPr>
              <w:widowControl w:val="0"/>
              <w:adjustRightInd w:val="0"/>
              <w:snapToGrid w:val="0"/>
              <w:jc w:val="center"/>
              <w:textAlignment w:val="baseline"/>
              <w:rPr>
                <w:b w:val="0"/>
                <w:bCs w:val="0"/>
                <w:color w:val="auto"/>
              </w:rPr>
            </w:pPr>
            <w:r>
              <w:rPr>
                <w:rFonts w:hint="eastAsia"/>
                <w:b w:val="0"/>
                <w:bCs w:val="0"/>
                <w:color w:val="auto"/>
              </w:rPr>
              <w:t>124-132</w:t>
            </w:r>
          </w:p>
        </w:tc>
        <w:tc>
          <w:tcPr>
            <w:tcW w:w="901" w:type="dxa"/>
            <w:shd w:val="clear" w:color="auto" w:fill="auto"/>
            <w:vAlign w:val="center"/>
          </w:tcPr>
          <w:p>
            <w:pPr>
              <w:widowControl w:val="0"/>
              <w:jc w:val="center"/>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Ca</w:t>
            </w:r>
            <w:r>
              <w:rPr>
                <w:color w:val="auto"/>
                <w:vertAlign w:val="superscript"/>
              </w:rPr>
              <w:t>2+</w:t>
            </w:r>
          </w:p>
        </w:tc>
        <w:tc>
          <w:tcPr>
            <w:tcW w:w="867" w:type="dxa"/>
            <w:shd w:val="clear" w:color="auto" w:fill="auto"/>
            <w:vAlign w:val="center"/>
          </w:tcPr>
          <w:p>
            <w:pPr>
              <w:widowControl w:val="0"/>
              <w:jc w:val="center"/>
              <w:rPr>
                <w:b/>
                <w:color w:val="auto"/>
              </w:rPr>
            </w:pPr>
            <w:r>
              <w:rPr>
                <w:rFonts w:hint="eastAsia"/>
                <w:b/>
                <w:color w:val="auto"/>
              </w:rPr>
              <w:t>/</w:t>
            </w:r>
          </w:p>
        </w:tc>
        <w:tc>
          <w:tcPr>
            <w:tcW w:w="1072" w:type="dxa"/>
            <w:shd w:val="clear" w:color="auto" w:fill="auto"/>
            <w:vAlign w:val="center"/>
          </w:tcPr>
          <w:p>
            <w:pPr>
              <w:widowControl w:val="0"/>
              <w:adjustRightInd w:val="0"/>
              <w:snapToGrid w:val="0"/>
              <w:jc w:val="center"/>
              <w:textAlignment w:val="baseline"/>
              <w:rPr>
                <w:color w:val="auto"/>
              </w:rPr>
            </w:pPr>
            <w:r>
              <w:rPr>
                <w:color w:val="auto"/>
              </w:rPr>
              <w:t>51.6-54.9</w:t>
            </w:r>
          </w:p>
        </w:tc>
        <w:tc>
          <w:tcPr>
            <w:tcW w:w="913" w:type="dxa"/>
            <w:shd w:val="clear" w:color="auto" w:fill="auto"/>
            <w:vAlign w:val="center"/>
          </w:tcPr>
          <w:p>
            <w:pPr>
              <w:widowControl w:val="0"/>
              <w:jc w:val="center"/>
              <w:rPr>
                <w:b/>
                <w:color w:val="auto"/>
              </w:rPr>
            </w:pPr>
            <w:r>
              <w:rPr>
                <w:rFonts w:hint="eastAsia"/>
                <w:b/>
                <w:color w:val="auto"/>
              </w:rPr>
              <w:t>/</w:t>
            </w:r>
          </w:p>
        </w:tc>
        <w:tc>
          <w:tcPr>
            <w:tcW w:w="1134" w:type="dxa"/>
            <w:shd w:val="clear" w:color="auto" w:fill="auto"/>
            <w:vAlign w:val="center"/>
          </w:tcPr>
          <w:p>
            <w:pPr>
              <w:widowControl w:val="0"/>
              <w:jc w:val="center"/>
              <w:rPr>
                <w:b/>
                <w:bCs w:val="0"/>
                <w:color w:val="auto"/>
                <w:u w:val="single"/>
              </w:rPr>
            </w:pPr>
            <w:r>
              <w:rPr>
                <w:rFonts w:hint="eastAsia"/>
                <w:b/>
                <w:bCs w:val="0"/>
                <w:color w:val="auto"/>
                <w:u w:val="single"/>
              </w:rPr>
              <w:t>50.2-53.3</w:t>
            </w:r>
          </w:p>
        </w:tc>
        <w:tc>
          <w:tcPr>
            <w:tcW w:w="992" w:type="dxa"/>
            <w:shd w:val="clear" w:color="auto" w:fill="auto"/>
            <w:vAlign w:val="center"/>
          </w:tcPr>
          <w:p>
            <w:pPr>
              <w:widowControl w:val="0"/>
              <w:jc w:val="center"/>
              <w:rPr>
                <w:b/>
                <w:color w:val="auto"/>
              </w:rPr>
            </w:pPr>
            <w:r>
              <w:rPr>
                <w:rFonts w:hint="eastAsia"/>
                <w:b/>
                <w:color w:val="auto"/>
              </w:rPr>
              <w:t>/</w:t>
            </w:r>
          </w:p>
        </w:tc>
        <w:tc>
          <w:tcPr>
            <w:tcW w:w="1559" w:type="dxa"/>
            <w:shd w:val="clear" w:color="auto" w:fill="auto"/>
            <w:vAlign w:val="center"/>
          </w:tcPr>
          <w:p>
            <w:pPr>
              <w:widowControl w:val="0"/>
              <w:adjustRightInd w:val="0"/>
              <w:snapToGrid w:val="0"/>
              <w:jc w:val="center"/>
              <w:textAlignment w:val="baseline"/>
              <w:rPr>
                <w:b w:val="0"/>
                <w:bCs w:val="0"/>
                <w:color w:val="auto"/>
              </w:rPr>
            </w:pPr>
            <w:r>
              <w:rPr>
                <w:rFonts w:hint="eastAsia"/>
                <w:b w:val="0"/>
                <w:bCs w:val="0"/>
                <w:color w:val="auto"/>
              </w:rPr>
              <w:t>61.7-64.2</w:t>
            </w:r>
          </w:p>
        </w:tc>
        <w:tc>
          <w:tcPr>
            <w:tcW w:w="901" w:type="dxa"/>
            <w:shd w:val="clear" w:color="auto" w:fill="auto"/>
            <w:vAlign w:val="center"/>
          </w:tcPr>
          <w:p>
            <w:pPr>
              <w:widowControl w:val="0"/>
              <w:jc w:val="center"/>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Mg</w:t>
            </w:r>
            <w:r>
              <w:rPr>
                <w:color w:val="auto"/>
                <w:vertAlign w:val="superscript"/>
              </w:rPr>
              <w:t>2+</w:t>
            </w:r>
          </w:p>
        </w:tc>
        <w:tc>
          <w:tcPr>
            <w:tcW w:w="867" w:type="dxa"/>
            <w:shd w:val="clear" w:color="auto" w:fill="auto"/>
            <w:vAlign w:val="center"/>
          </w:tcPr>
          <w:p>
            <w:pPr>
              <w:widowControl w:val="0"/>
              <w:jc w:val="center"/>
              <w:rPr>
                <w:b/>
                <w:color w:val="auto"/>
              </w:rPr>
            </w:pPr>
            <w:r>
              <w:rPr>
                <w:rFonts w:hint="eastAsia"/>
                <w:b/>
                <w:color w:val="auto"/>
              </w:rPr>
              <w:t>/</w:t>
            </w:r>
          </w:p>
        </w:tc>
        <w:tc>
          <w:tcPr>
            <w:tcW w:w="1072" w:type="dxa"/>
            <w:shd w:val="clear" w:color="auto" w:fill="auto"/>
            <w:vAlign w:val="center"/>
          </w:tcPr>
          <w:p>
            <w:pPr>
              <w:widowControl w:val="0"/>
              <w:adjustRightInd w:val="0"/>
              <w:snapToGrid w:val="0"/>
              <w:jc w:val="center"/>
              <w:textAlignment w:val="baseline"/>
              <w:rPr>
                <w:color w:val="auto"/>
              </w:rPr>
            </w:pPr>
            <w:r>
              <w:rPr>
                <w:color w:val="auto"/>
              </w:rPr>
              <w:t>46.3-49.7</w:t>
            </w:r>
          </w:p>
        </w:tc>
        <w:tc>
          <w:tcPr>
            <w:tcW w:w="913" w:type="dxa"/>
            <w:shd w:val="clear" w:color="auto" w:fill="auto"/>
            <w:vAlign w:val="center"/>
          </w:tcPr>
          <w:p>
            <w:pPr>
              <w:widowControl w:val="0"/>
              <w:jc w:val="center"/>
              <w:rPr>
                <w:b/>
                <w:color w:val="auto"/>
              </w:rPr>
            </w:pPr>
            <w:r>
              <w:rPr>
                <w:rFonts w:hint="eastAsia"/>
                <w:b/>
                <w:color w:val="auto"/>
              </w:rPr>
              <w:t>/</w:t>
            </w:r>
          </w:p>
        </w:tc>
        <w:tc>
          <w:tcPr>
            <w:tcW w:w="1134" w:type="dxa"/>
            <w:shd w:val="clear" w:color="auto" w:fill="auto"/>
            <w:vAlign w:val="center"/>
          </w:tcPr>
          <w:p>
            <w:pPr>
              <w:widowControl w:val="0"/>
              <w:jc w:val="center"/>
              <w:rPr>
                <w:b/>
                <w:bCs w:val="0"/>
                <w:color w:val="auto"/>
                <w:u w:val="single"/>
              </w:rPr>
            </w:pPr>
            <w:r>
              <w:rPr>
                <w:rFonts w:hint="eastAsia"/>
                <w:b/>
                <w:bCs w:val="0"/>
                <w:color w:val="auto"/>
                <w:u w:val="single"/>
              </w:rPr>
              <w:t>20.8-22.6</w:t>
            </w:r>
          </w:p>
        </w:tc>
        <w:tc>
          <w:tcPr>
            <w:tcW w:w="992" w:type="dxa"/>
            <w:shd w:val="clear" w:color="auto" w:fill="auto"/>
            <w:vAlign w:val="center"/>
          </w:tcPr>
          <w:p>
            <w:pPr>
              <w:widowControl w:val="0"/>
              <w:jc w:val="center"/>
              <w:rPr>
                <w:b/>
                <w:color w:val="auto"/>
              </w:rPr>
            </w:pPr>
            <w:r>
              <w:rPr>
                <w:rFonts w:hint="eastAsia"/>
                <w:b/>
                <w:color w:val="auto"/>
              </w:rPr>
              <w:t>/</w:t>
            </w:r>
          </w:p>
        </w:tc>
        <w:tc>
          <w:tcPr>
            <w:tcW w:w="1559" w:type="dxa"/>
            <w:shd w:val="clear" w:color="auto" w:fill="auto"/>
            <w:vAlign w:val="center"/>
          </w:tcPr>
          <w:p>
            <w:pPr>
              <w:widowControl w:val="0"/>
              <w:adjustRightInd w:val="0"/>
              <w:snapToGrid w:val="0"/>
              <w:jc w:val="center"/>
              <w:textAlignment w:val="baseline"/>
              <w:rPr>
                <w:b w:val="0"/>
                <w:bCs w:val="0"/>
                <w:color w:val="auto"/>
              </w:rPr>
            </w:pPr>
            <w:r>
              <w:rPr>
                <w:rFonts w:hint="eastAsia"/>
                <w:b w:val="0"/>
                <w:bCs w:val="0"/>
                <w:color w:val="auto"/>
              </w:rPr>
              <w:t>41.7-42.9</w:t>
            </w:r>
          </w:p>
        </w:tc>
        <w:tc>
          <w:tcPr>
            <w:tcW w:w="901" w:type="dxa"/>
            <w:shd w:val="clear" w:color="auto" w:fill="auto"/>
            <w:vAlign w:val="center"/>
          </w:tcPr>
          <w:p>
            <w:pPr>
              <w:widowControl w:val="0"/>
              <w:jc w:val="center"/>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CO</w:t>
            </w:r>
            <w:r>
              <w:rPr>
                <w:color w:val="auto"/>
                <w:vertAlign w:val="subscript"/>
              </w:rPr>
              <w:t>3</w:t>
            </w:r>
            <w:r>
              <w:rPr>
                <w:color w:val="auto"/>
                <w:vertAlign w:val="superscript"/>
              </w:rPr>
              <w:t>2-</w:t>
            </w:r>
          </w:p>
        </w:tc>
        <w:tc>
          <w:tcPr>
            <w:tcW w:w="867" w:type="dxa"/>
            <w:shd w:val="clear" w:color="auto" w:fill="auto"/>
            <w:vAlign w:val="center"/>
          </w:tcPr>
          <w:p>
            <w:pPr>
              <w:widowControl w:val="0"/>
              <w:jc w:val="center"/>
              <w:rPr>
                <w:b/>
                <w:color w:val="auto"/>
              </w:rPr>
            </w:pPr>
            <w:r>
              <w:rPr>
                <w:rFonts w:hint="eastAsia"/>
                <w:b/>
                <w:color w:val="auto"/>
              </w:rPr>
              <w:t>/</w:t>
            </w:r>
          </w:p>
        </w:tc>
        <w:tc>
          <w:tcPr>
            <w:tcW w:w="1072" w:type="dxa"/>
            <w:shd w:val="clear" w:color="auto" w:fill="auto"/>
            <w:vAlign w:val="center"/>
          </w:tcPr>
          <w:p>
            <w:pPr>
              <w:widowControl w:val="0"/>
              <w:adjustRightInd w:val="0"/>
              <w:snapToGrid w:val="0"/>
              <w:jc w:val="center"/>
              <w:textAlignment w:val="baseline"/>
              <w:rPr>
                <w:color w:val="auto"/>
              </w:rPr>
            </w:pPr>
            <w:r>
              <w:rPr>
                <w:color w:val="auto"/>
              </w:rPr>
              <w:t>未检出</w:t>
            </w:r>
          </w:p>
        </w:tc>
        <w:tc>
          <w:tcPr>
            <w:tcW w:w="913" w:type="dxa"/>
            <w:shd w:val="clear" w:color="auto" w:fill="auto"/>
            <w:vAlign w:val="center"/>
          </w:tcPr>
          <w:p>
            <w:pPr>
              <w:widowControl w:val="0"/>
              <w:jc w:val="center"/>
              <w:rPr>
                <w:b/>
                <w:color w:val="auto"/>
              </w:rPr>
            </w:pPr>
            <w:r>
              <w:rPr>
                <w:rFonts w:hint="eastAsia"/>
                <w:b/>
                <w:color w:val="auto"/>
              </w:rPr>
              <w:t>/</w:t>
            </w:r>
          </w:p>
        </w:tc>
        <w:tc>
          <w:tcPr>
            <w:tcW w:w="1134" w:type="dxa"/>
            <w:shd w:val="clear" w:color="auto" w:fill="auto"/>
            <w:vAlign w:val="center"/>
          </w:tcPr>
          <w:p>
            <w:pPr>
              <w:widowControl w:val="0"/>
              <w:jc w:val="center"/>
              <w:rPr>
                <w:bCs/>
                <w:color w:val="auto"/>
              </w:rPr>
            </w:pPr>
            <w:r>
              <w:rPr>
                <w:bCs/>
                <w:color w:val="auto"/>
              </w:rPr>
              <w:t>未检出</w:t>
            </w:r>
          </w:p>
        </w:tc>
        <w:tc>
          <w:tcPr>
            <w:tcW w:w="992" w:type="dxa"/>
            <w:shd w:val="clear" w:color="auto" w:fill="auto"/>
            <w:vAlign w:val="center"/>
          </w:tcPr>
          <w:p>
            <w:pPr>
              <w:widowControl w:val="0"/>
              <w:jc w:val="center"/>
              <w:rPr>
                <w:b/>
                <w:color w:val="auto"/>
              </w:rPr>
            </w:pPr>
            <w:r>
              <w:rPr>
                <w:rFonts w:hint="eastAsia"/>
                <w:b/>
                <w:color w:val="auto"/>
              </w:rPr>
              <w:t>/</w:t>
            </w:r>
          </w:p>
        </w:tc>
        <w:tc>
          <w:tcPr>
            <w:tcW w:w="1559" w:type="dxa"/>
            <w:shd w:val="clear" w:color="auto" w:fill="auto"/>
            <w:vAlign w:val="center"/>
          </w:tcPr>
          <w:p>
            <w:pPr>
              <w:widowControl w:val="0"/>
              <w:adjustRightInd w:val="0"/>
              <w:snapToGrid w:val="0"/>
              <w:jc w:val="center"/>
              <w:textAlignment w:val="baseline"/>
              <w:rPr>
                <w:color w:val="auto"/>
              </w:rPr>
            </w:pPr>
            <w:r>
              <w:rPr>
                <w:rFonts w:hAnsi="宋体"/>
                <w:color w:val="auto"/>
              </w:rPr>
              <w:t>未检出</w:t>
            </w:r>
          </w:p>
        </w:tc>
        <w:tc>
          <w:tcPr>
            <w:tcW w:w="901" w:type="dxa"/>
            <w:shd w:val="clear" w:color="auto" w:fill="auto"/>
            <w:vAlign w:val="center"/>
          </w:tcPr>
          <w:p>
            <w:pPr>
              <w:widowControl w:val="0"/>
              <w:jc w:val="center"/>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HCO</w:t>
            </w:r>
            <w:r>
              <w:rPr>
                <w:color w:val="auto"/>
                <w:vertAlign w:val="subscript"/>
              </w:rPr>
              <w:t>3</w:t>
            </w:r>
            <w:r>
              <w:rPr>
                <w:color w:val="auto"/>
                <w:vertAlign w:val="superscript"/>
              </w:rPr>
              <w:t>2-</w:t>
            </w:r>
          </w:p>
        </w:tc>
        <w:tc>
          <w:tcPr>
            <w:tcW w:w="867" w:type="dxa"/>
            <w:shd w:val="clear" w:color="auto" w:fill="auto"/>
            <w:vAlign w:val="center"/>
          </w:tcPr>
          <w:p>
            <w:pPr>
              <w:widowControl w:val="0"/>
              <w:jc w:val="center"/>
              <w:rPr>
                <w:b/>
                <w:color w:val="auto"/>
              </w:rPr>
            </w:pPr>
            <w:r>
              <w:rPr>
                <w:rFonts w:hint="eastAsia"/>
                <w:b/>
                <w:color w:val="auto"/>
              </w:rPr>
              <w:t>/</w:t>
            </w:r>
          </w:p>
        </w:tc>
        <w:tc>
          <w:tcPr>
            <w:tcW w:w="1072" w:type="dxa"/>
            <w:shd w:val="clear" w:color="auto" w:fill="auto"/>
            <w:vAlign w:val="center"/>
          </w:tcPr>
          <w:p>
            <w:pPr>
              <w:widowControl w:val="0"/>
              <w:adjustRightInd w:val="0"/>
              <w:snapToGrid w:val="0"/>
              <w:jc w:val="center"/>
              <w:textAlignment w:val="baseline"/>
              <w:rPr>
                <w:color w:val="auto"/>
              </w:rPr>
            </w:pPr>
            <w:r>
              <w:rPr>
                <w:color w:val="auto"/>
              </w:rPr>
              <w:t>6.57-6.90</w:t>
            </w:r>
          </w:p>
        </w:tc>
        <w:tc>
          <w:tcPr>
            <w:tcW w:w="913" w:type="dxa"/>
            <w:shd w:val="clear" w:color="auto" w:fill="auto"/>
            <w:vAlign w:val="center"/>
          </w:tcPr>
          <w:p>
            <w:pPr>
              <w:widowControl w:val="0"/>
              <w:jc w:val="center"/>
              <w:rPr>
                <w:b/>
                <w:color w:val="auto"/>
              </w:rPr>
            </w:pPr>
            <w:r>
              <w:rPr>
                <w:rFonts w:hint="eastAsia"/>
                <w:b/>
                <w:color w:val="auto"/>
              </w:rPr>
              <w:t>/</w:t>
            </w:r>
          </w:p>
        </w:tc>
        <w:tc>
          <w:tcPr>
            <w:tcW w:w="1134" w:type="dxa"/>
            <w:shd w:val="clear" w:color="auto" w:fill="auto"/>
            <w:vAlign w:val="center"/>
          </w:tcPr>
          <w:p>
            <w:pPr>
              <w:widowControl w:val="0"/>
              <w:jc w:val="center"/>
              <w:rPr>
                <w:bCs/>
                <w:color w:val="auto"/>
              </w:rPr>
            </w:pPr>
            <w:r>
              <w:rPr>
                <w:rFonts w:hint="eastAsia"/>
                <w:bCs/>
                <w:color w:val="auto"/>
              </w:rPr>
              <w:t>6.43-7.5</w:t>
            </w:r>
          </w:p>
        </w:tc>
        <w:tc>
          <w:tcPr>
            <w:tcW w:w="992" w:type="dxa"/>
            <w:shd w:val="clear" w:color="auto" w:fill="auto"/>
            <w:vAlign w:val="center"/>
          </w:tcPr>
          <w:p>
            <w:pPr>
              <w:widowControl w:val="0"/>
              <w:jc w:val="center"/>
              <w:rPr>
                <w:b/>
                <w:color w:val="auto"/>
              </w:rPr>
            </w:pPr>
            <w:r>
              <w:rPr>
                <w:rFonts w:hint="eastAsia"/>
                <w:b/>
                <w:color w:val="auto"/>
              </w:rPr>
              <w:t>/</w:t>
            </w:r>
          </w:p>
        </w:tc>
        <w:tc>
          <w:tcPr>
            <w:tcW w:w="1559" w:type="dxa"/>
            <w:shd w:val="clear" w:color="auto" w:fill="auto"/>
            <w:vAlign w:val="center"/>
          </w:tcPr>
          <w:p>
            <w:pPr>
              <w:widowControl w:val="0"/>
              <w:adjustRightInd w:val="0"/>
              <w:snapToGrid w:val="0"/>
              <w:jc w:val="center"/>
              <w:textAlignment w:val="baseline"/>
              <w:rPr>
                <w:color w:val="auto"/>
              </w:rPr>
            </w:pPr>
            <w:r>
              <w:rPr>
                <w:rFonts w:hint="eastAsia"/>
                <w:color w:val="auto"/>
              </w:rPr>
              <w:t>6.18-6.34</w:t>
            </w:r>
          </w:p>
        </w:tc>
        <w:tc>
          <w:tcPr>
            <w:tcW w:w="901" w:type="dxa"/>
            <w:shd w:val="clear" w:color="auto" w:fill="auto"/>
            <w:vAlign w:val="center"/>
          </w:tcPr>
          <w:p>
            <w:pPr>
              <w:widowControl w:val="0"/>
              <w:jc w:val="center"/>
              <w:rPr>
                <w:b/>
                <w:color w:val="auto"/>
              </w:rPr>
            </w:pPr>
            <w:r>
              <w:rPr>
                <w:rFonts w:hint="eastAsia"/>
                <w:b/>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Cl</w:t>
            </w:r>
            <w:r>
              <w:rPr>
                <w:color w:val="auto"/>
                <w:vertAlign w:val="superscript"/>
              </w:rPr>
              <w:t>-</w:t>
            </w:r>
          </w:p>
        </w:tc>
        <w:tc>
          <w:tcPr>
            <w:tcW w:w="867" w:type="dxa"/>
            <w:shd w:val="clear" w:color="auto" w:fill="auto"/>
            <w:vAlign w:val="center"/>
          </w:tcPr>
          <w:p>
            <w:pPr>
              <w:widowControl w:val="0"/>
              <w:jc w:val="center"/>
              <w:rPr>
                <w:bCs/>
                <w:color w:val="auto"/>
              </w:rPr>
            </w:pPr>
            <w:r>
              <w:rPr>
                <w:rFonts w:hint="eastAsia"/>
                <w:bCs/>
                <w:color w:val="auto"/>
              </w:rPr>
              <w:t>250</w:t>
            </w:r>
          </w:p>
        </w:tc>
        <w:tc>
          <w:tcPr>
            <w:tcW w:w="1072" w:type="dxa"/>
            <w:shd w:val="clear" w:color="auto" w:fill="auto"/>
            <w:vAlign w:val="center"/>
          </w:tcPr>
          <w:p>
            <w:pPr>
              <w:widowControl w:val="0"/>
              <w:adjustRightInd w:val="0"/>
              <w:snapToGrid w:val="0"/>
              <w:jc w:val="center"/>
              <w:textAlignment w:val="baseline"/>
              <w:rPr>
                <w:color w:val="auto"/>
              </w:rPr>
            </w:pPr>
            <w:r>
              <w:rPr>
                <w:color w:val="auto"/>
              </w:rPr>
              <w:t>63.9-66.2</w:t>
            </w:r>
          </w:p>
        </w:tc>
        <w:tc>
          <w:tcPr>
            <w:tcW w:w="913" w:type="dxa"/>
            <w:shd w:val="clear" w:color="auto" w:fill="auto"/>
          </w:tcPr>
          <w:p>
            <w:pPr>
              <w:widowControl w:val="0"/>
              <w:jc w:val="center"/>
              <w:rPr>
                <w:color w:val="auto"/>
              </w:rPr>
            </w:pPr>
            <w:r>
              <w:rPr>
                <w:rFonts w:hint="eastAsia"/>
                <w:color w:val="auto"/>
              </w:rPr>
              <w:t>达标</w:t>
            </w:r>
          </w:p>
        </w:tc>
        <w:tc>
          <w:tcPr>
            <w:tcW w:w="1134" w:type="dxa"/>
            <w:shd w:val="clear" w:color="auto" w:fill="auto"/>
            <w:vAlign w:val="center"/>
          </w:tcPr>
          <w:p>
            <w:pPr>
              <w:widowControl w:val="0"/>
              <w:jc w:val="center"/>
              <w:rPr>
                <w:bCs/>
                <w:color w:val="auto"/>
              </w:rPr>
            </w:pPr>
            <w:r>
              <w:rPr>
                <w:rFonts w:hint="eastAsia"/>
                <w:bCs/>
                <w:color w:val="auto"/>
              </w:rPr>
              <w:t>31-35</w:t>
            </w:r>
          </w:p>
        </w:tc>
        <w:tc>
          <w:tcPr>
            <w:tcW w:w="992" w:type="dxa"/>
            <w:shd w:val="clear" w:color="auto" w:fill="auto"/>
          </w:tcPr>
          <w:p>
            <w:pPr>
              <w:widowControl w:val="0"/>
              <w:jc w:val="center"/>
              <w:rPr>
                <w:color w:val="auto"/>
              </w:rPr>
            </w:pPr>
            <w:r>
              <w:rPr>
                <w:rFonts w:hint="eastAsia"/>
                <w:color w:val="auto"/>
              </w:rPr>
              <w:t>达标</w:t>
            </w:r>
          </w:p>
        </w:tc>
        <w:tc>
          <w:tcPr>
            <w:tcW w:w="1559" w:type="dxa"/>
            <w:shd w:val="clear" w:color="auto" w:fill="auto"/>
            <w:vAlign w:val="center"/>
          </w:tcPr>
          <w:p>
            <w:pPr>
              <w:widowControl w:val="0"/>
              <w:adjustRightInd w:val="0"/>
              <w:snapToGrid w:val="0"/>
              <w:jc w:val="center"/>
              <w:textAlignment w:val="baseline"/>
              <w:rPr>
                <w:color w:val="auto"/>
              </w:rPr>
            </w:pPr>
            <w:r>
              <w:rPr>
                <w:rFonts w:hint="eastAsia"/>
                <w:color w:val="auto"/>
              </w:rPr>
              <w:t>53.7-55.8</w:t>
            </w:r>
          </w:p>
        </w:tc>
        <w:tc>
          <w:tcPr>
            <w:tcW w:w="901" w:type="dxa"/>
            <w:shd w:val="clear" w:color="auto" w:fill="auto"/>
          </w:tcPr>
          <w:p>
            <w:pPr>
              <w:widowControl w:val="0"/>
              <w:jc w:val="center"/>
              <w:rPr>
                <w:color w:val="auto"/>
              </w:rPr>
            </w:pPr>
            <w:r>
              <w:rPr>
                <w:rFonts w:hint="eastAsia"/>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4" w:type="dxa"/>
            <w:shd w:val="clear" w:color="auto" w:fill="auto"/>
            <w:vAlign w:val="center"/>
          </w:tcPr>
          <w:p>
            <w:pPr>
              <w:widowControl w:val="0"/>
              <w:jc w:val="center"/>
              <w:rPr>
                <w:color w:val="auto"/>
              </w:rPr>
            </w:pPr>
            <w:r>
              <w:rPr>
                <w:color w:val="auto"/>
              </w:rPr>
              <w:t>SO</w:t>
            </w:r>
            <w:r>
              <w:rPr>
                <w:color w:val="auto"/>
                <w:vertAlign w:val="subscript"/>
              </w:rPr>
              <w:t>4</w:t>
            </w:r>
            <w:r>
              <w:rPr>
                <w:color w:val="auto"/>
                <w:vertAlign w:val="superscript"/>
              </w:rPr>
              <w:t>2-</w:t>
            </w:r>
          </w:p>
        </w:tc>
        <w:tc>
          <w:tcPr>
            <w:tcW w:w="867" w:type="dxa"/>
            <w:shd w:val="clear" w:color="auto" w:fill="auto"/>
            <w:vAlign w:val="center"/>
          </w:tcPr>
          <w:p>
            <w:pPr>
              <w:widowControl w:val="0"/>
              <w:jc w:val="center"/>
              <w:rPr>
                <w:bCs/>
                <w:color w:val="auto"/>
              </w:rPr>
            </w:pPr>
            <w:r>
              <w:rPr>
                <w:rFonts w:hint="eastAsia"/>
                <w:bCs/>
                <w:color w:val="auto"/>
              </w:rPr>
              <w:t>250</w:t>
            </w:r>
          </w:p>
        </w:tc>
        <w:tc>
          <w:tcPr>
            <w:tcW w:w="1072" w:type="dxa"/>
            <w:shd w:val="clear" w:color="auto" w:fill="auto"/>
            <w:vAlign w:val="center"/>
          </w:tcPr>
          <w:p>
            <w:pPr>
              <w:widowControl w:val="0"/>
              <w:adjustRightInd w:val="0"/>
              <w:snapToGrid w:val="0"/>
              <w:jc w:val="center"/>
              <w:textAlignment w:val="baseline"/>
              <w:rPr>
                <w:color w:val="auto"/>
              </w:rPr>
            </w:pPr>
            <w:r>
              <w:rPr>
                <w:color w:val="auto"/>
              </w:rPr>
              <w:t>224-231</w:t>
            </w:r>
          </w:p>
        </w:tc>
        <w:tc>
          <w:tcPr>
            <w:tcW w:w="913" w:type="dxa"/>
            <w:shd w:val="clear" w:color="auto" w:fill="auto"/>
          </w:tcPr>
          <w:p>
            <w:pPr>
              <w:widowControl w:val="0"/>
              <w:jc w:val="center"/>
              <w:rPr>
                <w:color w:val="auto"/>
              </w:rPr>
            </w:pPr>
            <w:r>
              <w:rPr>
                <w:rFonts w:hint="eastAsia"/>
                <w:color w:val="auto"/>
              </w:rPr>
              <w:t>达标</w:t>
            </w:r>
          </w:p>
        </w:tc>
        <w:tc>
          <w:tcPr>
            <w:tcW w:w="1134" w:type="dxa"/>
            <w:shd w:val="clear" w:color="auto" w:fill="auto"/>
            <w:vAlign w:val="center"/>
          </w:tcPr>
          <w:p>
            <w:pPr>
              <w:widowControl w:val="0"/>
              <w:jc w:val="center"/>
              <w:rPr>
                <w:bCs/>
                <w:color w:val="auto"/>
              </w:rPr>
            </w:pPr>
            <w:r>
              <w:rPr>
                <w:rFonts w:hint="eastAsia"/>
                <w:bCs/>
                <w:color w:val="auto"/>
              </w:rPr>
              <w:t>178-188</w:t>
            </w:r>
          </w:p>
        </w:tc>
        <w:tc>
          <w:tcPr>
            <w:tcW w:w="992" w:type="dxa"/>
            <w:shd w:val="clear" w:color="auto" w:fill="auto"/>
          </w:tcPr>
          <w:p>
            <w:pPr>
              <w:widowControl w:val="0"/>
              <w:jc w:val="center"/>
              <w:rPr>
                <w:color w:val="auto"/>
              </w:rPr>
            </w:pPr>
            <w:r>
              <w:rPr>
                <w:rFonts w:hint="eastAsia"/>
                <w:color w:val="auto"/>
              </w:rPr>
              <w:t>达标</w:t>
            </w:r>
          </w:p>
        </w:tc>
        <w:tc>
          <w:tcPr>
            <w:tcW w:w="1559" w:type="dxa"/>
            <w:shd w:val="clear" w:color="auto" w:fill="auto"/>
            <w:vAlign w:val="center"/>
          </w:tcPr>
          <w:p>
            <w:pPr>
              <w:widowControl w:val="0"/>
              <w:adjustRightInd w:val="0"/>
              <w:snapToGrid w:val="0"/>
              <w:jc w:val="center"/>
              <w:textAlignment w:val="baseline"/>
              <w:rPr>
                <w:color w:val="auto"/>
              </w:rPr>
            </w:pPr>
            <w:r>
              <w:rPr>
                <w:rFonts w:hint="eastAsia"/>
                <w:color w:val="auto"/>
              </w:rPr>
              <w:t>221-237</w:t>
            </w:r>
          </w:p>
        </w:tc>
        <w:tc>
          <w:tcPr>
            <w:tcW w:w="901" w:type="dxa"/>
            <w:shd w:val="clear" w:color="auto" w:fill="auto"/>
          </w:tcPr>
          <w:p>
            <w:pPr>
              <w:widowControl w:val="0"/>
              <w:jc w:val="center"/>
              <w:rPr>
                <w:color w:val="auto"/>
              </w:rPr>
            </w:pPr>
            <w:r>
              <w:rPr>
                <w:rFonts w:hint="eastAsia"/>
                <w:color w:val="auto"/>
              </w:rPr>
              <w:t>达标</w:t>
            </w:r>
          </w:p>
        </w:tc>
      </w:tr>
    </w:tbl>
    <w:p>
      <w:pPr>
        <w:spacing w:before="156" w:beforeLines="50"/>
        <w:ind w:firstLine="1200" w:firstLineChars="500"/>
        <w:rPr>
          <w:rFonts w:ascii="黑体" w:hAnsi="黑体" w:eastAsia="黑体"/>
          <w:color w:val="auto"/>
          <w:sz w:val="24"/>
          <w:szCs w:val="24"/>
        </w:rPr>
      </w:pPr>
      <w:r>
        <w:rPr>
          <w:rFonts w:hint="eastAsia" w:ascii="黑体" w:hAnsi="黑体" w:eastAsia="黑体"/>
          <w:color w:val="auto"/>
          <w:sz w:val="24"/>
          <w:szCs w:val="24"/>
        </w:rPr>
        <w:t>表4.2-18    地下水现状监测结果统计一览表</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559"/>
        <w:gridCol w:w="1985"/>
        <w:gridCol w:w="1701"/>
        <w:gridCol w:w="1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43" w:type="dxa"/>
            <w:gridSpan w:val="2"/>
            <w:shd w:val="clear" w:color="auto" w:fill="auto"/>
            <w:vAlign w:val="center"/>
          </w:tcPr>
          <w:p>
            <w:pPr>
              <w:widowControl w:val="0"/>
              <w:spacing w:line="480" w:lineRule="exact"/>
              <w:jc w:val="center"/>
              <w:rPr>
                <w:b/>
                <w:color w:val="auto"/>
              </w:rPr>
            </w:pPr>
            <w:r>
              <w:rPr>
                <w:b/>
                <w:color w:val="auto"/>
              </w:rPr>
              <w:t>监测因子</w:t>
            </w:r>
          </w:p>
        </w:tc>
        <w:tc>
          <w:tcPr>
            <w:tcW w:w="1985" w:type="dxa"/>
            <w:shd w:val="clear" w:color="auto" w:fill="auto"/>
            <w:vAlign w:val="center"/>
          </w:tcPr>
          <w:p>
            <w:pPr>
              <w:widowControl w:val="0"/>
              <w:spacing w:line="480" w:lineRule="exact"/>
              <w:jc w:val="center"/>
              <w:rPr>
                <w:b/>
                <w:color w:val="auto"/>
              </w:rPr>
            </w:pPr>
            <w:r>
              <w:rPr>
                <w:b/>
                <w:color w:val="auto"/>
              </w:rPr>
              <w:t>陈孝村</w:t>
            </w:r>
          </w:p>
        </w:tc>
        <w:tc>
          <w:tcPr>
            <w:tcW w:w="1701" w:type="dxa"/>
            <w:shd w:val="clear" w:color="auto" w:fill="auto"/>
            <w:vAlign w:val="center"/>
          </w:tcPr>
          <w:p>
            <w:pPr>
              <w:widowControl w:val="0"/>
              <w:spacing w:line="480" w:lineRule="exact"/>
              <w:jc w:val="center"/>
              <w:rPr>
                <w:b/>
                <w:color w:val="auto"/>
              </w:rPr>
            </w:pPr>
            <w:r>
              <w:rPr>
                <w:b/>
                <w:color w:val="auto"/>
              </w:rPr>
              <w:t>厂址</w:t>
            </w:r>
          </w:p>
        </w:tc>
        <w:tc>
          <w:tcPr>
            <w:tcW w:w="1893" w:type="dxa"/>
            <w:shd w:val="clear" w:color="auto" w:fill="auto"/>
            <w:vAlign w:val="center"/>
          </w:tcPr>
          <w:p>
            <w:pPr>
              <w:widowControl w:val="0"/>
              <w:spacing w:line="480" w:lineRule="exact"/>
              <w:jc w:val="center"/>
              <w:rPr>
                <w:b/>
                <w:color w:val="auto"/>
              </w:rPr>
            </w:pPr>
            <w:r>
              <w:rPr>
                <w:b/>
                <w:color w:val="auto"/>
              </w:rPr>
              <w:t>前李村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pH</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7.05～7.16</w:t>
            </w:r>
          </w:p>
        </w:tc>
        <w:tc>
          <w:tcPr>
            <w:tcW w:w="1701" w:type="dxa"/>
            <w:shd w:val="clear" w:color="auto" w:fill="auto"/>
            <w:vAlign w:val="center"/>
          </w:tcPr>
          <w:p>
            <w:pPr>
              <w:widowControl w:val="0"/>
              <w:spacing w:line="480" w:lineRule="exact"/>
              <w:jc w:val="center"/>
              <w:rPr>
                <w:b/>
                <w:color w:val="auto"/>
              </w:rPr>
            </w:pPr>
            <w:r>
              <w:rPr>
                <w:rFonts w:hint="eastAsia"/>
                <w:bCs/>
                <w:color w:val="auto"/>
              </w:rPr>
              <w:t>6.9</w:t>
            </w:r>
            <w:r>
              <w:rPr>
                <w:rFonts w:hint="eastAsia" w:ascii="宋体" w:hAnsi="宋体"/>
                <w:bCs/>
                <w:color w:val="auto"/>
              </w:rPr>
              <w:t>～</w:t>
            </w:r>
            <w:r>
              <w:rPr>
                <w:rFonts w:hint="eastAsia"/>
                <w:bCs/>
                <w:color w:val="auto"/>
              </w:rPr>
              <w:t>7.3</w:t>
            </w:r>
          </w:p>
        </w:tc>
        <w:tc>
          <w:tcPr>
            <w:tcW w:w="1893" w:type="dxa"/>
            <w:shd w:val="clear" w:color="auto" w:fill="auto"/>
            <w:vAlign w:val="center"/>
          </w:tcPr>
          <w:p>
            <w:pPr>
              <w:widowControl w:val="0"/>
              <w:spacing w:line="480" w:lineRule="exact"/>
              <w:jc w:val="center"/>
              <w:rPr>
                <w:b/>
                <w:color w:val="auto"/>
              </w:rPr>
            </w:pPr>
            <w:r>
              <w:rPr>
                <w:color w:val="auto"/>
              </w:rPr>
              <w:t>6.97～7.10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0.03</w:t>
            </w:r>
            <w:r>
              <w:rPr>
                <w:color w:val="auto"/>
              </w:rPr>
              <w:t>～</w:t>
            </w:r>
            <w:r>
              <w:rPr>
                <w:rFonts w:hint="eastAsia"/>
                <w:color w:val="auto"/>
              </w:rPr>
              <w:t>0.11</w:t>
            </w:r>
          </w:p>
        </w:tc>
        <w:tc>
          <w:tcPr>
            <w:tcW w:w="1701" w:type="dxa"/>
            <w:shd w:val="clear" w:color="auto" w:fill="auto"/>
            <w:vAlign w:val="center"/>
          </w:tcPr>
          <w:p>
            <w:pPr>
              <w:widowControl w:val="0"/>
              <w:spacing w:line="480" w:lineRule="exact"/>
              <w:jc w:val="center"/>
              <w:rPr>
                <w:b/>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0.06</w:t>
            </w:r>
            <w:r>
              <w:rPr>
                <w:color w:val="auto"/>
              </w:rPr>
              <w:t>～</w:t>
            </w:r>
            <w:r>
              <w:rPr>
                <w:rFonts w:hint="eastAsia"/>
                <w:color w:val="auto"/>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color w:val="auto"/>
              </w:rPr>
            </w:pPr>
            <w:r>
              <w:rPr>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总硬度</w:t>
            </w:r>
          </w:p>
        </w:tc>
        <w:tc>
          <w:tcPr>
            <w:tcW w:w="1559" w:type="dxa"/>
            <w:shd w:val="clear" w:color="auto" w:fill="auto"/>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348～353</w:t>
            </w:r>
          </w:p>
        </w:tc>
        <w:tc>
          <w:tcPr>
            <w:tcW w:w="1701" w:type="dxa"/>
            <w:shd w:val="clear" w:color="auto" w:fill="auto"/>
            <w:vAlign w:val="center"/>
          </w:tcPr>
          <w:p>
            <w:pPr>
              <w:widowControl w:val="0"/>
              <w:spacing w:line="480" w:lineRule="exact"/>
              <w:jc w:val="center"/>
              <w:rPr>
                <w:color w:val="auto"/>
              </w:rPr>
            </w:pPr>
            <w:r>
              <w:rPr>
                <w:rFonts w:hint="eastAsia"/>
                <w:color w:val="auto"/>
              </w:rPr>
              <w:t>375</w:t>
            </w:r>
            <w:r>
              <w:rPr>
                <w:rFonts w:hint="eastAsia" w:ascii="宋体" w:hAnsi="宋体"/>
                <w:color w:val="auto"/>
              </w:rPr>
              <w:t>～</w:t>
            </w:r>
            <w:r>
              <w:rPr>
                <w:rFonts w:hint="eastAsia"/>
                <w:color w:val="auto"/>
              </w:rPr>
              <w:t>385</w:t>
            </w:r>
          </w:p>
        </w:tc>
        <w:tc>
          <w:tcPr>
            <w:tcW w:w="1893" w:type="dxa"/>
            <w:shd w:val="clear" w:color="auto" w:fill="auto"/>
            <w:vAlign w:val="center"/>
          </w:tcPr>
          <w:p>
            <w:pPr>
              <w:widowControl w:val="0"/>
              <w:spacing w:line="480" w:lineRule="exact"/>
              <w:jc w:val="center"/>
              <w:rPr>
                <w:b/>
                <w:color w:val="auto"/>
              </w:rPr>
            </w:pPr>
            <w:r>
              <w:rPr>
                <w:color w:val="auto"/>
              </w:rPr>
              <w:t>350～362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color w:val="auto"/>
              </w:rPr>
              <w:t>0.77～0.78</w:t>
            </w:r>
          </w:p>
        </w:tc>
        <w:tc>
          <w:tcPr>
            <w:tcW w:w="1701" w:type="dxa"/>
            <w:shd w:val="clear" w:color="auto" w:fill="auto"/>
            <w:vAlign w:val="center"/>
          </w:tcPr>
          <w:p>
            <w:pPr>
              <w:widowControl w:val="0"/>
              <w:spacing w:line="480" w:lineRule="exact"/>
              <w:jc w:val="center"/>
              <w:rPr>
                <w:color w:val="auto"/>
              </w:rPr>
            </w:pPr>
            <w:r>
              <w:rPr>
                <w:rFonts w:hint="eastAsia"/>
                <w:color w:val="auto"/>
              </w:rPr>
              <w:t>0.83</w:t>
            </w:r>
            <w:r>
              <w:rPr>
                <w:rFonts w:hint="eastAsia" w:ascii="宋体" w:hAnsi="宋体"/>
                <w:color w:val="auto"/>
              </w:rPr>
              <w:t>～</w:t>
            </w:r>
            <w:r>
              <w:rPr>
                <w:rFonts w:hint="eastAsia"/>
                <w:color w:val="auto"/>
              </w:rPr>
              <w:t>0.86</w:t>
            </w:r>
          </w:p>
        </w:tc>
        <w:tc>
          <w:tcPr>
            <w:tcW w:w="1893" w:type="dxa"/>
            <w:shd w:val="clear" w:color="auto" w:fill="auto"/>
            <w:vAlign w:val="center"/>
          </w:tcPr>
          <w:p>
            <w:pPr>
              <w:widowControl w:val="0"/>
              <w:spacing w:line="480" w:lineRule="exact"/>
              <w:jc w:val="center"/>
              <w:rPr>
                <w:bCs/>
                <w:color w:val="auto"/>
              </w:rPr>
            </w:pPr>
            <w:r>
              <w:rPr>
                <w:rFonts w:hint="eastAsia"/>
                <w:bCs/>
                <w:color w:val="auto"/>
              </w:rPr>
              <w:t>0.78</w:t>
            </w:r>
            <w:r>
              <w:rPr>
                <w:bCs/>
                <w:color w:val="auto"/>
              </w:rPr>
              <w:t>～</w:t>
            </w:r>
            <w:r>
              <w:rPr>
                <w:rFonts w:hint="eastAsia"/>
                <w:bCs/>
                <w:color w:val="auto"/>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bCs/>
                <w:color w:val="auto"/>
              </w:rPr>
            </w:pPr>
            <w:r>
              <w:rPr>
                <w:rFonts w:hint="eastAsia"/>
                <w:bCs/>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bCs/>
                <w:color w:val="auto"/>
              </w:rPr>
            </w:pPr>
            <w:r>
              <w:rPr>
                <w:rFonts w:hint="eastAsia"/>
                <w:bCs/>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溶解性总固体</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bCs/>
                <w:color w:val="auto"/>
              </w:rPr>
            </w:pPr>
            <w:r>
              <w:rPr>
                <w:bCs/>
                <w:color w:va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940～954</w:t>
            </w:r>
          </w:p>
        </w:tc>
        <w:tc>
          <w:tcPr>
            <w:tcW w:w="1701" w:type="dxa"/>
            <w:shd w:val="clear" w:color="auto" w:fill="auto"/>
            <w:vAlign w:val="center"/>
          </w:tcPr>
          <w:p>
            <w:pPr>
              <w:widowControl w:val="0"/>
              <w:spacing w:line="480" w:lineRule="exact"/>
              <w:jc w:val="center"/>
              <w:rPr>
                <w:color w:val="auto"/>
              </w:rPr>
            </w:pPr>
            <w:r>
              <w:rPr>
                <w:rFonts w:hint="eastAsia"/>
                <w:color w:val="auto"/>
              </w:rPr>
              <w:t>419</w:t>
            </w:r>
            <w:r>
              <w:rPr>
                <w:rFonts w:hint="eastAsia" w:ascii="宋体" w:hAnsi="宋体"/>
                <w:color w:val="auto"/>
              </w:rPr>
              <w:t>～</w:t>
            </w:r>
            <w:r>
              <w:rPr>
                <w:rFonts w:hint="eastAsia"/>
                <w:color w:val="auto"/>
              </w:rPr>
              <w:t>426</w:t>
            </w:r>
          </w:p>
        </w:tc>
        <w:tc>
          <w:tcPr>
            <w:tcW w:w="1893" w:type="dxa"/>
            <w:shd w:val="clear" w:color="auto" w:fill="auto"/>
            <w:vAlign w:val="center"/>
          </w:tcPr>
          <w:p>
            <w:pPr>
              <w:widowControl w:val="0"/>
              <w:spacing w:line="480" w:lineRule="exact"/>
              <w:jc w:val="center"/>
              <w:rPr>
                <w:bCs/>
                <w:color w:val="auto"/>
              </w:rPr>
            </w:pPr>
            <w:r>
              <w:rPr>
                <w:bCs/>
                <w:color w:val="auto"/>
              </w:rPr>
              <w:t>906～918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0.94</w:t>
            </w:r>
            <w:r>
              <w:rPr>
                <w:color w:val="auto"/>
              </w:rPr>
              <w:t>～</w:t>
            </w:r>
            <w:r>
              <w:rPr>
                <w:rFonts w:hint="eastAsia"/>
                <w:color w:val="auto"/>
              </w:rPr>
              <w:t>0.95</w:t>
            </w:r>
          </w:p>
        </w:tc>
        <w:tc>
          <w:tcPr>
            <w:tcW w:w="1701" w:type="dxa"/>
            <w:shd w:val="clear" w:color="auto" w:fill="auto"/>
            <w:vAlign w:val="center"/>
          </w:tcPr>
          <w:p>
            <w:pPr>
              <w:widowControl w:val="0"/>
              <w:spacing w:line="480" w:lineRule="exact"/>
              <w:jc w:val="center"/>
              <w:rPr>
                <w:color w:val="auto"/>
              </w:rPr>
            </w:pPr>
            <w:r>
              <w:rPr>
                <w:rFonts w:hint="eastAsia"/>
                <w:color w:val="auto"/>
              </w:rPr>
              <w:t>0.419</w:t>
            </w:r>
            <w:r>
              <w:rPr>
                <w:rFonts w:hint="eastAsia" w:ascii="宋体" w:hAnsi="宋体"/>
                <w:color w:val="auto"/>
              </w:rPr>
              <w:t>～</w:t>
            </w:r>
            <w:r>
              <w:rPr>
                <w:rFonts w:hint="eastAsia"/>
                <w:color w:val="auto"/>
              </w:rPr>
              <w:t>0.426</w:t>
            </w:r>
          </w:p>
        </w:tc>
        <w:tc>
          <w:tcPr>
            <w:tcW w:w="1893" w:type="dxa"/>
            <w:shd w:val="clear" w:color="auto" w:fill="auto"/>
            <w:vAlign w:val="center"/>
          </w:tcPr>
          <w:p>
            <w:pPr>
              <w:widowControl w:val="0"/>
              <w:spacing w:line="480" w:lineRule="exact"/>
              <w:jc w:val="center"/>
              <w:rPr>
                <w:bCs/>
                <w:color w:val="auto"/>
              </w:rPr>
            </w:pPr>
            <w:r>
              <w:rPr>
                <w:rFonts w:hint="eastAsia"/>
                <w:bCs/>
                <w:color w:val="auto"/>
              </w:rPr>
              <w:t>0.91</w:t>
            </w:r>
            <w:r>
              <w:rPr>
                <w:bCs/>
                <w:color w:val="auto"/>
              </w:rPr>
              <w:t>～</w:t>
            </w:r>
            <w:r>
              <w:rPr>
                <w:rFonts w:hint="eastAsia"/>
                <w:bCs/>
                <w:color w:val="auto"/>
              </w:rPr>
              <w:t>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bCs/>
                <w:color w:val="auto"/>
              </w:rPr>
            </w:pPr>
            <w:r>
              <w:rPr>
                <w:rFonts w:hint="eastAsia"/>
                <w:bCs/>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bCs/>
                <w:color w:val="auto"/>
              </w:rPr>
            </w:pPr>
            <w:r>
              <w:rPr>
                <w:rFonts w:hint="eastAsia"/>
                <w:bCs/>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氨氮</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rFonts w:hint="eastAsia"/>
                <w:color w:val="auto"/>
              </w:rPr>
              <w:t>0.048</w:t>
            </w:r>
            <w:r>
              <w:rPr>
                <w:rFonts w:hint="eastAsia" w:ascii="宋体" w:hAnsi="宋体"/>
                <w:color w:val="auto"/>
              </w:rPr>
              <w:t>～</w:t>
            </w:r>
            <w:r>
              <w:rPr>
                <w:rFonts w:hint="eastAsia"/>
                <w:color w:val="auto"/>
              </w:rPr>
              <w:t>0.055</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0.096</w:t>
            </w:r>
            <w:r>
              <w:rPr>
                <w:rFonts w:hint="eastAsia" w:ascii="宋体" w:hAnsi="宋体"/>
                <w:color w:val="auto"/>
              </w:rPr>
              <w:t>～</w:t>
            </w:r>
            <w:r>
              <w:rPr>
                <w:rFonts w:hint="eastAsia"/>
                <w:color w:val="auto"/>
              </w:rPr>
              <w:t>0.11</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亚硝酸盐</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挥发酚</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六价铬</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铅</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b/>
                <w:color w:val="auto"/>
              </w:rPr>
            </w:pPr>
            <w:r>
              <w:rPr>
                <w:color w:val="auto"/>
              </w:rPr>
              <w:t>3.6×10</w:t>
            </w:r>
            <w:r>
              <w:rPr>
                <w:color w:val="auto"/>
                <w:vertAlign w:val="superscript"/>
              </w:rPr>
              <w:t>-3</w:t>
            </w:r>
            <w:r>
              <w:rPr>
                <w:color w:val="auto"/>
              </w:rPr>
              <w:t>～3.9×10</w:t>
            </w:r>
            <w:r>
              <w:rPr>
                <w:color w:val="auto"/>
                <w:vertAlign w:val="superscript"/>
              </w:rPr>
              <w:t>-3</w:t>
            </w:r>
          </w:p>
        </w:tc>
        <w:tc>
          <w:tcPr>
            <w:tcW w:w="1701" w:type="dxa"/>
            <w:shd w:val="clear" w:color="auto" w:fill="auto"/>
            <w:vAlign w:val="center"/>
          </w:tcPr>
          <w:p>
            <w:pPr>
              <w:widowControl w:val="0"/>
              <w:spacing w:line="480" w:lineRule="exact"/>
              <w:jc w:val="center"/>
              <w:rPr>
                <w:color w:val="auto"/>
              </w:rPr>
            </w:pPr>
            <w:r>
              <w:rPr>
                <w:rFonts w:hint="eastAsia"/>
                <w:color w:val="auto"/>
              </w:rPr>
              <w:t>未检出</w:t>
            </w:r>
          </w:p>
        </w:tc>
        <w:tc>
          <w:tcPr>
            <w:tcW w:w="1893" w:type="dxa"/>
            <w:shd w:val="clear" w:color="auto" w:fill="auto"/>
            <w:vAlign w:val="center"/>
          </w:tcPr>
          <w:p>
            <w:pPr>
              <w:widowControl w:val="0"/>
              <w:spacing w:line="480" w:lineRule="exact"/>
              <w:jc w:val="center"/>
              <w:rPr>
                <w:color w:val="auto"/>
              </w:rPr>
            </w:pPr>
            <w:r>
              <w:rPr>
                <w:color w:val="auto"/>
              </w:rPr>
              <w:t>4.2×10</w:t>
            </w:r>
            <w:r>
              <w:rPr>
                <w:color w:val="auto"/>
                <w:vertAlign w:val="superscript"/>
              </w:rPr>
              <w:t>-3</w:t>
            </w:r>
            <w:r>
              <w:rPr>
                <w:color w:val="auto"/>
              </w:rPr>
              <w:t>～4.6×10</w:t>
            </w:r>
            <w:r>
              <w:rPr>
                <w:color w:val="auto"/>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0.36</w:t>
            </w:r>
            <w:r>
              <w:rPr>
                <w:color w:val="auto"/>
              </w:rPr>
              <w:t>～</w:t>
            </w:r>
            <w:r>
              <w:rPr>
                <w:rFonts w:hint="eastAsia"/>
                <w:color w:val="auto"/>
              </w:rPr>
              <w:t>0.39</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0.42</w:t>
            </w:r>
            <w:r>
              <w:rPr>
                <w:color w:val="auto"/>
              </w:rPr>
              <w:t>～</w:t>
            </w:r>
            <w:r>
              <w:rPr>
                <w:rFonts w:hint="eastAsia"/>
                <w:color w:val="auto"/>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汞</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砷</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0.0019~0.0021</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0.019-0.025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0.19</w:t>
            </w:r>
            <w:r>
              <w:rPr>
                <w:color w:val="auto"/>
              </w:rPr>
              <w:t>～</w:t>
            </w:r>
            <w:r>
              <w:rPr>
                <w:rFonts w:hint="eastAsia"/>
                <w:color w:val="auto"/>
              </w:rPr>
              <w:t>0.21</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0.19</w:t>
            </w:r>
            <w:r>
              <w:rPr>
                <w:color w:val="auto"/>
              </w:rPr>
              <w:t>～</w:t>
            </w:r>
            <w:r>
              <w:rPr>
                <w:rFonts w:hint="eastAsia"/>
                <w:color w:val="auto"/>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铁</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0.04～0.05</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0.10～0.13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0.13</w:t>
            </w:r>
            <w:r>
              <w:rPr>
                <w:color w:val="auto"/>
              </w:rPr>
              <w:t>～</w:t>
            </w:r>
            <w:r>
              <w:rPr>
                <w:rFonts w:hint="eastAsia"/>
                <w:color w:val="auto"/>
              </w:rPr>
              <w:t>0.17</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0.33</w:t>
            </w:r>
            <w:r>
              <w:rPr>
                <w:color w:val="auto"/>
              </w:rPr>
              <w:t>～</w:t>
            </w:r>
            <w:r>
              <w:rPr>
                <w:rFonts w:hint="eastAsia"/>
                <w:color w:val="auto"/>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锌</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0.21～0.22</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0.19～0.25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0.21</w:t>
            </w:r>
            <w:r>
              <w:rPr>
                <w:color w:val="auto"/>
              </w:rPr>
              <w:t>～</w:t>
            </w:r>
            <w:r>
              <w:rPr>
                <w:rFonts w:hint="eastAsia"/>
                <w:color w:val="auto"/>
              </w:rPr>
              <w:t>0.22</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color w:val="auto"/>
              </w:rPr>
              <w:t>0.19～0.25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镍</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耗氧量</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0.56～0.68</w:t>
            </w:r>
          </w:p>
        </w:tc>
        <w:tc>
          <w:tcPr>
            <w:tcW w:w="1701" w:type="dxa"/>
            <w:shd w:val="clear" w:color="auto" w:fill="auto"/>
            <w:vAlign w:val="center"/>
          </w:tcPr>
          <w:p>
            <w:pPr>
              <w:widowControl w:val="0"/>
              <w:spacing w:line="480" w:lineRule="exact"/>
              <w:jc w:val="center"/>
              <w:rPr>
                <w:color w:val="auto"/>
              </w:rPr>
            </w:pPr>
            <w:r>
              <w:rPr>
                <w:rFonts w:hint="eastAsia"/>
                <w:color w:val="auto"/>
              </w:rPr>
              <w:t>1.36</w:t>
            </w:r>
          </w:p>
        </w:tc>
        <w:tc>
          <w:tcPr>
            <w:tcW w:w="1893" w:type="dxa"/>
            <w:shd w:val="clear" w:color="auto" w:fill="auto"/>
            <w:vAlign w:val="center"/>
          </w:tcPr>
          <w:p>
            <w:pPr>
              <w:widowControl w:val="0"/>
              <w:spacing w:line="480" w:lineRule="exact"/>
              <w:jc w:val="center"/>
              <w:rPr>
                <w:color w:val="auto"/>
              </w:rPr>
            </w:pPr>
            <w:r>
              <w:rPr>
                <w:color w:val="auto"/>
              </w:rPr>
              <w:t>0.62～0.71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0.19</w:t>
            </w:r>
            <w:r>
              <w:rPr>
                <w:color w:val="auto"/>
              </w:rPr>
              <w:t>～</w:t>
            </w:r>
            <w:r>
              <w:rPr>
                <w:rFonts w:hint="eastAsia"/>
                <w:color w:val="auto"/>
              </w:rPr>
              <w:t>0.23</w:t>
            </w:r>
          </w:p>
        </w:tc>
        <w:tc>
          <w:tcPr>
            <w:tcW w:w="1701" w:type="dxa"/>
            <w:shd w:val="clear" w:color="auto" w:fill="auto"/>
            <w:vAlign w:val="center"/>
          </w:tcPr>
          <w:p>
            <w:pPr>
              <w:widowControl w:val="0"/>
              <w:spacing w:line="480" w:lineRule="exact"/>
              <w:jc w:val="center"/>
              <w:rPr>
                <w:color w:val="auto"/>
              </w:rPr>
            </w:pPr>
            <w:r>
              <w:rPr>
                <w:rFonts w:hint="eastAsia"/>
                <w:color w:val="auto"/>
              </w:rPr>
              <w:t>0.45</w:t>
            </w:r>
          </w:p>
        </w:tc>
        <w:tc>
          <w:tcPr>
            <w:tcW w:w="1893" w:type="dxa"/>
            <w:shd w:val="clear" w:color="auto" w:fill="auto"/>
            <w:vAlign w:val="center"/>
          </w:tcPr>
          <w:p>
            <w:pPr>
              <w:widowControl w:val="0"/>
              <w:spacing w:line="480" w:lineRule="exact"/>
              <w:jc w:val="center"/>
              <w:rPr>
                <w:color w:val="auto"/>
              </w:rPr>
            </w:pPr>
            <w:r>
              <w:rPr>
                <w:rFonts w:hint="eastAsia"/>
                <w:color w:val="auto"/>
              </w:rPr>
              <w:t>0.21</w:t>
            </w:r>
            <w:r>
              <w:rPr>
                <w:color w:val="auto"/>
              </w:rPr>
              <w:t>～</w:t>
            </w:r>
            <w:r>
              <w:rPr>
                <w:rFonts w:hint="eastAsia"/>
                <w:color w:val="auto"/>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0</w:t>
            </w:r>
          </w:p>
        </w:tc>
        <w:tc>
          <w:tcPr>
            <w:tcW w:w="1701" w:type="dxa"/>
            <w:shd w:val="clear" w:color="auto" w:fill="auto"/>
            <w:vAlign w:val="center"/>
          </w:tcPr>
          <w:p>
            <w:pPr>
              <w:widowControl w:val="0"/>
              <w:spacing w:line="480" w:lineRule="exact"/>
              <w:jc w:val="center"/>
              <w:rPr>
                <w:color w:val="auto"/>
              </w:rPr>
            </w:pPr>
            <w:r>
              <w:rPr>
                <w:rFonts w:hint="eastAsia"/>
                <w:color w:val="auto"/>
              </w:rPr>
              <w:t>0</w:t>
            </w:r>
          </w:p>
        </w:tc>
        <w:tc>
          <w:tcPr>
            <w:tcW w:w="1893" w:type="dxa"/>
            <w:shd w:val="clear" w:color="auto" w:fill="auto"/>
            <w:vAlign w:val="center"/>
          </w:tcPr>
          <w:p>
            <w:pPr>
              <w:widowControl w:val="0"/>
              <w:spacing w:line="480" w:lineRule="exact"/>
              <w:jc w:val="center"/>
              <w:rPr>
                <w:color w:val="auto"/>
              </w:rPr>
            </w:pPr>
            <w:r>
              <w:rPr>
                <w:rFonts w:hint="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restart"/>
            <w:shd w:val="clear" w:color="auto" w:fill="auto"/>
            <w:vAlign w:val="center"/>
          </w:tcPr>
          <w:p>
            <w:pPr>
              <w:widowControl w:val="0"/>
              <w:spacing w:line="480" w:lineRule="exact"/>
              <w:jc w:val="center"/>
              <w:rPr>
                <w:color w:val="auto"/>
              </w:rPr>
            </w:pPr>
            <w:r>
              <w:rPr>
                <w:color w:val="auto"/>
              </w:rPr>
              <w:t>阴离子合成洗涤剂</w:t>
            </w:r>
          </w:p>
        </w:tc>
        <w:tc>
          <w:tcPr>
            <w:tcW w:w="1559" w:type="dxa"/>
            <w:shd w:val="clear" w:color="auto" w:fill="auto"/>
            <w:vAlign w:val="center"/>
          </w:tcPr>
          <w:p>
            <w:pPr>
              <w:widowControl w:val="0"/>
              <w:spacing w:line="480" w:lineRule="exact"/>
              <w:jc w:val="center"/>
              <w:rPr>
                <w:color w:val="auto"/>
              </w:rPr>
            </w:pPr>
            <w:r>
              <w:rPr>
                <w:color w:val="auto"/>
              </w:rPr>
              <w:t>标准</w:t>
            </w:r>
          </w:p>
        </w:tc>
        <w:tc>
          <w:tcPr>
            <w:tcW w:w="5579" w:type="dxa"/>
            <w:gridSpan w:val="3"/>
            <w:shd w:val="clear" w:color="auto" w:fill="auto"/>
            <w:vAlign w:val="center"/>
          </w:tcPr>
          <w:p>
            <w:pPr>
              <w:widowControl w:val="0"/>
              <w:spacing w:line="480" w:lineRule="exact"/>
              <w:jc w:val="center"/>
              <w:rPr>
                <w:color w:val="auto"/>
              </w:rPr>
            </w:pPr>
            <w:r>
              <w:rPr>
                <w:color w:val="auto"/>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监测值</w:t>
            </w:r>
          </w:p>
        </w:tc>
        <w:tc>
          <w:tcPr>
            <w:tcW w:w="1985" w:type="dxa"/>
            <w:shd w:val="clear" w:color="auto" w:fill="auto"/>
            <w:vAlign w:val="center"/>
          </w:tcPr>
          <w:p>
            <w:pPr>
              <w:widowControl w:val="0"/>
              <w:spacing w:line="480" w:lineRule="exact"/>
              <w:jc w:val="center"/>
              <w:rPr>
                <w:color w:val="auto"/>
              </w:rPr>
            </w:pPr>
            <w:r>
              <w:rPr>
                <w:color w:val="auto"/>
              </w:rPr>
              <w:t>未检出</w:t>
            </w:r>
          </w:p>
        </w:tc>
        <w:tc>
          <w:tcPr>
            <w:tcW w:w="1701" w:type="dxa"/>
            <w:shd w:val="clear" w:color="auto" w:fill="auto"/>
            <w:vAlign w:val="center"/>
          </w:tcPr>
          <w:p>
            <w:pPr>
              <w:widowControl w:val="0"/>
              <w:spacing w:line="480" w:lineRule="exact"/>
              <w:jc w:val="center"/>
              <w:rPr>
                <w:color w:val="auto"/>
              </w:rPr>
            </w:pPr>
            <w:r>
              <w:rPr>
                <w:color w:val="auto"/>
              </w:rPr>
              <w:t>未检出</w:t>
            </w:r>
          </w:p>
        </w:tc>
        <w:tc>
          <w:tcPr>
            <w:tcW w:w="1893" w:type="dxa"/>
            <w:shd w:val="clear" w:color="auto" w:fill="auto"/>
            <w:vAlign w:val="center"/>
          </w:tcPr>
          <w:p>
            <w:pPr>
              <w:widowControl w:val="0"/>
              <w:spacing w:line="480" w:lineRule="exact"/>
              <w:jc w:val="center"/>
              <w:rPr>
                <w:color w:val="auto"/>
              </w:rPr>
            </w:pPr>
            <w:r>
              <w:rPr>
                <w:color w:val="auto"/>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标准指数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color w:val="auto"/>
              </w:rPr>
            </w:pPr>
          </w:p>
        </w:tc>
        <w:tc>
          <w:tcPr>
            <w:tcW w:w="1559" w:type="dxa"/>
            <w:shd w:val="clear" w:color="auto" w:fill="auto"/>
            <w:vAlign w:val="center"/>
          </w:tcPr>
          <w:p>
            <w:pPr>
              <w:widowControl w:val="0"/>
              <w:spacing w:line="480" w:lineRule="exact"/>
              <w:jc w:val="center"/>
              <w:rPr>
                <w:color w:val="auto"/>
              </w:rPr>
            </w:pPr>
            <w:r>
              <w:rPr>
                <w:color w:val="auto"/>
              </w:rPr>
              <w:t>超标率（%）</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vMerge w:val="continue"/>
            <w:shd w:val="clear" w:color="auto" w:fill="auto"/>
            <w:vAlign w:val="center"/>
          </w:tcPr>
          <w:p>
            <w:pPr>
              <w:widowControl w:val="0"/>
              <w:spacing w:line="480" w:lineRule="exact"/>
              <w:jc w:val="center"/>
              <w:rPr>
                <w:b/>
                <w:color w:val="auto"/>
              </w:rPr>
            </w:pPr>
          </w:p>
        </w:tc>
        <w:tc>
          <w:tcPr>
            <w:tcW w:w="1559" w:type="dxa"/>
            <w:shd w:val="clear" w:color="auto" w:fill="auto"/>
            <w:vAlign w:val="center"/>
          </w:tcPr>
          <w:p>
            <w:pPr>
              <w:widowControl w:val="0"/>
              <w:spacing w:line="480" w:lineRule="exact"/>
              <w:jc w:val="center"/>
              <w:rPr>
                <w:color w:val="auto"/>
              </w:rPr>
            </w:pPr>
            <w:r>
              <w:rPr>
                <w:color w:val="auto"/>
              </w:rPr>
              <w:t>最大超标倍数</w:t>
            </w:r>
          </w:p>
        </w:tc>
        <w:tc>
          <w:tcPr>
            <w:tcW w:w="1985" w:type="dxa"/>
            <w:shd w:val="clear" w:color="auto" w:fill="auto"/>
            <w:vAlign w:val="center"/>
          </w:tcPr>
          <w:p>
            <w:pPr>
              <w:widowControl w:val="0"/>
              <w:spacing w:line="480" w:lineRule="exact"/>
              <w:jc w:val="center"/>
              <w:rPr>
                <w:color w:val="auto"/>
              </w:rPr>
            </w:pPr>
            <w:r>
              <w:rPr>
                <w:rFonts w:hint="eastAsia"/>
                <w:color w:val="auto"/>
              </w:rPr>
              <w:t>/</w:t>
            </w:r>
          </w:p>
        </w:tc>
        <w:tc>
          <w:tcPr>
            <w:tcW w:w="1701" w:type="dxa"/>
            <w:shd w:val="clear" w:color="auto" w:fill="auto"/>
            <w:vAlign w:val="center"/>
          </w:tcPr>
          <w:p>
            <w:pPr>
              <w:widowControl w:val="0"/>
              <w:spacing w:line="480" w:lineRule="exact"/>
              <w:jc w:val="center"/>
              <w:rPr>
                <w:color w:val="auto"/>
              </w:rPr>
            </w:pPr>
            <w:r>
              <w:rPr>
                <w:rFonts w:hint="eastAsia"/>
                <w:color w:val="auto"/>
              </w:rPr>
              <w:t>/</w:t>
            </w:r>
          </w:p>
        </w:tc>
        <w:tc>
          <w:tcPr>
            <w:tcW w:w="1893" w:type="dxa"/>
            <w:shd w:val="clear" w:color="auto" w:fill="auto"/>
            <w:vAlign w:val="center"/>
          </w:tcPr>
          <w:p>
            <w:pPr>
              <w:widowControl w:val="0"/>
              <w:spacing w:line="480" w:lineRule="exact"/>
              <w:jc w:val="center"/>
              <w:rPr>
                <w:color w:val="auto"/>
              </w:rPr>
            </w:pPr>
            <w:r>
              <w:rPr>
                <w:rFonts w:hint="eastAsia"/>
                <w:color w:val="auto"/>
              </w:rPr>
              <w:t>/</w:t>
            </w:r>
          </w:p>
        </w:tc>
      </w:tr>
    </w:tbl>
    <w:p>
      <w:pPr>
        <w:adjustRightInd w:val="0"/>
        <w:snapToGrid w:val="0"/>
        <w:spacing w:before="156" w:beforeLines="50" w:line="360" w:lineRule="auto"/>
        <w:ind w:firstLine="480" w:firstLineChars="200"/>
        <w:textAlignment w:val="baseline"/>
        <w:rPr>
          <w:color w:val="auto"/>
          <w:kern w:val="0"/>
          <w:sz w:val="24"/>
          <w:szCs w:val="20"/>
        </w:rPr>
      </w:pPr>
      <w:r>
        <w:rPr>
          <w:rFonts w:hint="eastAsia"/>
          <w:color w:val="auto"/>
          <w:kern w:val="0"/>
          <w:sz w:val="24"/>
          <w:szCs w:val="20"/>
        </w:rPr>
        <w:t>由以上监测统计结果分析可知，评价区域内三个监测点位的地下水水质因子</w:t>
      </w:r>
      <w:r>
        <w:rPr>
          <w:color w:val="auto"/>
          <w:kern w:val="0"/>
          <w:sz w:val="24"/>
          <w:szCs w:val="20"/>
        </w:rPr>
        <w:t>pH值、K</w:t>
      </w:r>
      <w:r>
        <w:rPr>
          <w:color w:val="auto"/>
          <w:kern w:val="0"/>
          <w:sz w:val="24"/>
          <w:szCs w:val="20"/>
          <w:vertAlign w:val="superscript"/>
        </w:rPr>
        <w:t>+</w:t>
      </w:r>
      <w:r>
        <w:rPr>
          <w:color w:val="auto"/>
          <w:kern w:val="0"/>
          <w:sz w:val="24"/>
          <w:szCs w:val="20"/>
        </w:rPr>
        <w:t>、Na</w:t>
      </w:r>
      <w:r>
        <w:rPr>
          <w:color w:val="auto"/>
          <w:kern w:val="0"/>
          <w:sz w:val="24"/>
          <w:szCs w:val="20"/>
          <w:vertAlign w:val="superscript"/>
        </w:rPr>
        <w:t>+</w:t>
      </w:r>
      <w:r>
        <w:rPr>
          <w:color w:val="auto"/>
          <w:kern w:val="0"/>
          <w:sz w:val="24"/>
          <w:szCs w:val="20"/>
        </w:rPr>
        <w:t>、Ca</w:t>
      </w:r>
      <w:r>
        <w:rPr>
          <w:color w:val="auto"/>
          <w:kern w:val="0"/>
          <w:sz w:val="24"/>
          <w:szCs w:val="20"/>
          <w:vertAlign w:val="superscript"/>
        </w:rPr>
        <w:t>2+</w:t>
      </w:r>
      <w:r>
        <w:rPr>
          <w:color w:val="auto"/>
          <w:kern w:val="0"/>
          <w:sz w:val="24"/>
          <w:szCs w:val="20"/>
        </w:rPr>
        <w:t>、Mg</w:t>
      </w:r>
      <w:r>
        <w:rPr>
          <w:color w:val="auto"/>
          <w:kern w:val="0"/>
          <w:sz w:val="24"/>
          <w:szCs w:val="20"/>
          <w:vertAlign w:val="superscript"/>
        </w:rPr>
        <w:t>2+</w:t>
      </w:r>
      <w:r>
        <w:rPr>
          <w:color w:val="auto"/>
          <w:kern w:val="0"/>
          <w:sz w:val="24"/>
          <w:szCs w:val="20"/>
        </w:rPr>
        <w:t>、CO</w:t>
      </w:r>
      <w:r>
        <w:rPr>
          <w:color w:val="auto"/>
          <w:kern w:val="0"/>
          <w:sz w:val="24"/>
          <w:szCs w:val="20"/>
          <w:vertAlign w:val="subscript"/>
        </w:rPr>
        <w:t>3</w:t>
      </w:r>
      <w:r>
        <w:rPr>
          <w:color w:val="auto"/>
          <w:kern w:val="0"/>
          <w:sz w:val="24"/>
          <w:szCs w:val="20"/>
          <w:vertAlign w:val="superscript"/>
        </w:rPr>
        <w:t>2-</w:t>
      </w:r>
      <w:r>
        <w:rPr>
          <w:color w:val="auto"/>
          <w:kern w:val="0"/>
          <w:sz w:val="24"/>
          <w:szCs w:val="20"/>
        </w:rPr>
        <w:t>、HCO</w:t>
      </w:r>
      <w:r>
        <w:rPr>
          <w:color w:val="auto"/>
          <w:kern w:val="0"/>
          <w:sz w:val="24"/>
          <w:szCs w:val="20"/>
          <w:vertAlign w:val="superscript"/>
        </w:rPr>
        <w:t>3-</w:t>
      </w:r>
      <w:r>
        <w:rPr>
          <w:color w:val="auto"/>
          <w:kern w:val="0"/>
          <w:sz w:val="24"/>
          <w:szCs w:val="20"/>
        </w:rPr>
        <w:t>、Cl</w:t>
      </w:r>
      <w:r>
        <w:rPr>
          <w:color w:val="auto"/>
          <w:kern w:val="0"/>
          <w:sz w:val="24"/>
          <w:szCs w:val="20"/>
          <w:vertAlign w:val="superscript"/>
        </w:rPr>
        <w:t>-</w:t>
      </w:r>
      <w:r>
        <w:rPr>
          <w:color w:val="auto"/>
          <w:kern w:val="0"/>
          <w:sz w:val="24"/>
          <w:szCs w:val="20"/>
        </w:rPr>
        <w:t>、SO</w:t>
      </w:r>
      <w:r>
        <w:rPr>
          <w:color w:val="auto"/>
          <w:kern w:val="0"/>
          <w:sz w:val="24"/>
          <w:szCs w:val="20"/>
          <w:vertAlign w:val="subscript"/>
        </w:rPr>
        <w:t>4</w:t>
      </w:r>
      <w:r>
        <w:rPr>
          <w:color w:val="auto"/>
          <w:kern w:val="0"/>
          <w:sz w:val="24"/>
          <w:szCs w:val="20"/>
          <w:vertAlign w:val="superscript"/>
        </w:rPr>
        <w:t>2-</w:t>
      </w:r>
      <w:r>
        <w:rPr>
          <w:color w:val="auto"/>
          <w:kern w:val="0"/>
          <w:sz w:val="24"/>
          <w:szCs w:val="20"/>
        </w:rPr>
        <w:t>、氨氮、亚硝酸盐、挥发性酚类、砷、汞、铬（六价）、总硬度、铅、铁、锌、</w:t>
      </w:r>
      <w:r>
        <w:rPr>
          <w:rFonts w:hint="eastAsia"/>
          <w:color w:val="auto"/>
          <w:kern w:val="0"/>
          <w:sz w:val="24"/>
          <w:szCs w:val="20"/>
        </w:rPr>
        <w:t>镍、</w:t>
      </w:r>
      <w:r>
        <w:rPr>
          <w:color w:val="auto"/>
          <w:kern w:val="0"/>
          <w:sz w:val="24"/>
          <w:szCs w:val="20"/>
        </w:rPr>
        <w:t>溶解性总固体、阴离子合成洗涤剂、耗氧量</w:t>
      </w:r>
      <w:r>
        <w:rPr>
          <w:rFonts w:hint="eastAsia"/>
          <w:color w:val="auto"/>
          <w:kern w:val="0"/>
          <w:sz w:val="24"/>
          <w:szCs w:val="20"/>
        </w:rPr>
        <w:t>均能满足</w:t>
      </w:r>
      <w:r>
        <w:rPr>
          <w:color w:val="auto"/>
          <w:kern w:val="0"/>
          <w:sz w:val="24"/>
          <w:szCs w:val="20"/>
        </w:rPr>
        <w:t>《地下水质量标准》（GB/T14843-</w:t>
      </w:r>
      <w:r>
        <w:rPr>
          <w:rFonts w:hint="eastAsia"/>
          <w:color w:val="auto"/>
          <w:kern w:val="0"/>
          <w:sz w:val="24"/>
          <w:szCs w:val="20"/>
        </w:rPr>
        <w:t>2017</w:t>
      </w:r>
      <w:r>
        <w:rPr>
          <w:color w:val="auto"/>
          <w:kern w:val="0"/>
          <w:sz w:val="24"/>
          <w:szCs w:val="20"/>
        </w:rPr>
        <w:t>）</w:t>
      </w:r>
      <w:r>
        <w:rPr>
          <w:rFonts w:hint="eastAsia" w:cs="宋体"/>
          <w:color w:val="auto"/>
          <w:kern w:val="0"/>
          <w:sz w:val="24"/>
          <w:szCs w:val="20"/>
        </w:rPr>
        <w:t>Ⅲ</w:t>
      </w:r>
      <w:r>
        <w:rPr>
          <w:color w:val="auto"/>
          <w:kern w:val="0"/>
          <w:sz w:val="24"/>
          <w:szCs w:val="20"/>
        </w:rPr>
        <w:t>类标准</w:t>
      </w:r>
      <w:r>
        <w:rPr>
          <w:rFonts w:hint="eastAsia"/>
          <w:color w:val="auto"/>
          <w:kern w:val="0"/>
          <w:sz w:val="24"/>
          <w:szCs w:val="20"/>
        </w:rPr>
        <w:t>的要求。</w:t>
      </w:r>
    </w:p>
    <w:bookmarkEnd w:id="276"/>
    <w:bookmarkEnd w:id="277"/>
    <w:bookmarkEnd w:id="278"/>
    <w:p>
      <w:pPr>
        <w:adjustRightInd w:val="0"/>
        <w:snapToGrid w:val="0"/>
        <w:spacing w:line="360" w:lineRule="auto"/>
        <w:outlineLvl w:val="2"/>
        <w:rPr>
          <w:rFonts w:eastAsia="黑体"/>
          <w:color w:val="auto"/>
          <w:kern w:val="21"/>
          <w:sz w:val="28"/>
          <w:szCs w:val="28"/>
        </w:rPr>
      </w:pPr>
      <w:bookmarkStart w:id="281" w:name="_Toc535836888"/>
      <w:r>
        <w:rPr>
          <w:rFonts w:hint="eastAsia" w:eastAsia="黑体"/>
          <w:color w:val="auto"/>
          <w:kern w:val="21"/>
          <w:sz w:val="28"/>
          <w:szCs w:val="28"/>
        </w:rPr>
        <w:t>4.2.6土壤环境质量现状监测与评价</w:t>
      </w:r>
      <w:bookmarkEnd w:id="281"/>
    </w:p>
    <w:p>
      <w:pPr>
        <w:pStyle w:val="6"/>
        <w:spacing w:before="0" w:after="0" w:line="360" w:lineRule="auto"/>
        <w:rPr>
          <w:b w:val="0"/>
          <w:color w:val="auto"/>
          <w:sz w:val="24"/>
          <w:szCs w:val="24"/>
        </w:rPr>
      </w:pPr>
      <w:r>
        <w:rPr>
          <w:rFonts w:hint="eastAsia"/>
          <w:b w:val="0"/>
          <w:color w:val="auto"/>
          <w:sz w:val="24"/>
          <w:szCs w:val="24"/>
        </w:rPr>
        <w:t>4.2.6.1土壤监测布点及监测因子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本次项目在厂址及附近共设置</w:t>
      </w:r>
      <w:r>
        <w:rPr>
          <w:rFonts w:hint="eastAsia"/>
          <w:color w:val="auto"/>
          <w:kern w:val="0"/>
          <w:sz w:val="24"/>
          <w:szCs w:val="20"/>
        </w:rPr>
        <w:t>6</w:t>
      </w:r>
      <w:r>
        <w:rPr>
          <w:color w:val="auto"/>
          <w:kern w:val="0"/>
          <w:sz w:val="24"/>
          <w:szCs w:val="20"/>
        </w:rPr>
        <w:t>个监测点位，其中厂区外</w:t>
      </w:r>
      <w:r>
        <w:rPr>
          <w:rFonts w:hint="eastAsia"/>
          <w:color w:val="auto"/>
          <w:kern w:val="0"/>
          <w:sz w:val="24"/>
          <w:szCs w:val="20"/>
        </w:rPr>
        <w:t>2</w:t>
      </w:r>
      <w:r>
        <w:rPr>
          <w:color w:val="auto"/>
          <w:kern w:val="0"/>
          <w:sz w:val="24"/>
          <w:szCs w:val="20"/>
        </w:rPr>
        <w:t>个点位，厂区内</w:t>
      </w:r>
      <w:r>
        <w:rPr>
          <w:rFonts w:hint="eastAsia"/>
          <w:color w:val="auto"/>
          <w:kern w:val="0"/>
          <w:sz w:val="24"/>
          <w:szCs w:val="20"/>
        </w:rPr>
        <w:t>4</w:t>
      </w:r>
      <w:r>
        <w:rPr>
          <w:color w:val="auto"/>
          <w:kern w:val="0"/>
          <w:sz w:val="24"/>
          <w:szCs w:val="20"/>
        </w:rPr>
        <w:t>个点位，本次土壤环境质量现状监测委托河南鼎泰检测技术有限公司进行，检测时间为2021年9月16日，各监测点位及监测因子详见表4.2-19，监测布点图见附图</w:t>
      </w:r>
      <w:r>
        <w:rPr>
          <w:rFonts w:hint="eastAsia"/>
          <w:color w:val="auto"/>
          <w:kern w:val="0"/>
          <w:sz w:val="24"/>
          <w:szCs w:val="20"/>
        </w:rPr>
        <w:t>十</w:t>
      </w:r>
      <w:r>
        <w:rPr>
          <w:color w:val="auto"/>
          <w:kern w:val="0"/>
          <w:sz w:val="24"/>
          <w:szCs w:val="20"/>
        </w:rPr>
        <w:t>。</w:t>
      </w:r>
    </w:p>
    <w:p>
      <w:pPr>
        <w:spacing w:before="156" w:beforeLines="50"/>
        <w:jc w:val="center"/>
        <w:rPr>
          <w:rFonts w:ascii="黑体" w:hAnsi="黑体" w:eastAsia="黑体"/>
          <w:color w:val="auto"/>
          <w:sz w:val="24"/>
          <w:szCs w:val="24"/>
        </w:rPr>
      </w:pPr>
      <w:r>
        <w:rPr>
          <w:rFonts w:hint="eastAsia" w:ascii="黑体" w:hAnsi="黑体" w:eastAsia="黑体"/>
          <w:color w:val="auto"/>
          <w:sz w:val="24"/>
          <w:szCs w:val="24"/>
        </w:rPr>
        <w:t>表4.2-19       土壤监测点位表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555"/>
        <w:gridCol w:w="546"/>
        <w:gridCol w:w="1699"/>
        <w:gridCol w:w="2074"/>
        <w:gridCol w:w="2463"/>
        <w:gridCol w:w="119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jc w:val="center"/>
              <w:rPr>
                <w:rFonts w:cs="宋体"/>
                <w:b/>
                <w:color w:val="auto"/>
                <w:szCs w:val="20"/>
              </w:rPr>
            </w:pPr>
            <w:r>
              <w:rPr>
                <w:rFonts w:cs="宋体"/>
                <w:b/>
                <w:color w:val="auto"/>
                <w:szCs w:val="20"/>
              </w:rPr>
              <w:t>序号</w:t>
            </w:r>
          </w:p>
        </w:tc>
        <w:tc>
          <w:tcPr>
            <w:tcW w:w="1316" w:type="pct"/>
            <w:gridSpan w:val="2"/>
            <w:vAlign w:val="center"/>
          </w:tcPr>
          <w:p>
            <w:pPr>
              <w:jc w:val="center"/>
              <w:rPr>
                <w:rFonts w:cs="宋体"/>
                <w:b/>
                <w:color w:val="auto"/>
                <w:szCs w:val="20"/>
              </w:rPr>
            </w:pPr>
            <w:r>
              <w:rPr>
                <w:rFonts w:hint="eastAsia" w:cs="宋体"/>
                <w:b/>
                <w:color w:val="auto"/>
                <w:szCs w:val="20"/>
              </w:rPr>
              <w:t>点位</w:t>
            </w:r>
            <w:r>
              <w:rPr>
                <w:rFonts w:cs="宋体"/>
                <w:b/>
                <w:color w:val="auto"/>
                <w:szCs w:val="20"/>
              </w:rPr>
              <w:t>名称</w:t>
            </w:r>
          </w:p>
        </w:tc>
        <w:tc>
          <w:tcPr>
            <w:tcW w:w="1216" w:type="pct"/>
            <w:vAlign w:val="center"/>
          </w:tcPr>
          <w:p>
            <w:pPr>
              <w:jc w:val="center"/>
              <w:rPr>
                <w:rFonts w:cs="宋体"/>
                <w:b/>
                <w:color w:val="auto"/>
                <w:szCs w:val="20"/>
              </w:rPr>
            </w:pPr>
            <w:r>
              <w:rPr>
                <w:rFonts w:cs="宋体"/>
                <w:b/>
                <w:color w:val="auto"/>
                <w:szCs w:val="20"/>
              </w:rPr>
              <w:t>经纬度</w:t>
            </w:r>
          </w:p>
        </w:tc>
        <w:tc>
          <w:tcPr>
            <w:tcW w:w="1444" w:type="pct"/>
            <w:vAlign w:val="center"/>
          </w:tcPr>
          <w:p>
            <w:pPr>
              <w:jc w:val="center"/>
              <w:rPr>
                <w:rFonts w:cs="宋体"/>
                <w:b/>
                <w:color w:val="auto"/>
                <w:szCs w:val="20"/>
              </w:rPr>
            </w:pPr>
            <w:r>
              <w:rPr>
                <w:rFonts w:cs="宋体"/>
                <w:b/>
                <w:color w:val="auto"/>
                <w:szCs w:val="20"/>
              </w:rPr>
              <w:t>监测因子</w:t>
            </w:r>
          </w:p>
        </w:tc>
        <w:tc>
          <w:tcPr>
            <w:tcW w:w="698" w:type="pct"/>
            <w:vAlign w:val="center"/>
          </w:tcPr>
          <w:p>
            <w:pPr>
              <w:jc w:val="center"/>
              <w:rPr>
                <w:rFonts w:cs="宋体"/>
                <w:b/>
                <w:color w:val="auto"/>
                <w:szCs w:val="20"/>
              </w:rPr>
            </w:pPr>
            <w:r>
              <w:rPr>
                <w:rFonts w:cs="宋体"/>
                <w:b/>
                <w:color w:val="auto"/>
                <w:szCs w:val="20"/>
              </w:rPr>
              <w:t>采样深度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6"/>
            <w:vAlign w:val="center"/>
          </w:tcPr>
          <w:p>
            <w:pPr>
              <w:contextualSpacing/>
              <w:jc w:val="center"/>
              <w:textAlignment w:val="baseline"/>
              <w:rPr>
                <w:color w:val="auto"/>
                <w:kern w:val="0"/>
              </w:rPr>
            </w:pPr>
            <w:r>
              <w:rPr>
                <w:rFonts w:hint="eastAsia"/>
                <w:color w:val="auto"/>
                <w:kern w:val="0"/>
              </w:rPr>
              <w:t>厂区外1km范围内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contextualSpacing/>
              <w:jc w:val="center"/>
              <w:textAlignment w:val="baseline"/>
              <w:rPr>
                <w:color w:val="auto"/>
                <w:kern w:val="0"/>
              </w:rPr>
            </w:pPr>
            <w:r>
              <w:rPr>
                <w:color w:val="auto"/>
                <w:kern w:val="0"/>
              </w:rPr>
              <w:t>1</w:t>
            </w:r>
          </w:p>
        </w:tc>
        <w:tc>
          <w:tcPr>
            <w:tcW w:w="320" w:type="pct"/>
            <w:vMerge w:val="restart"/>
            <w:vAlign w:val="center"/>
          </w:tcPr>
          <w:p>
            <w:pPr>
              <w:contextualSpacing/>
              <w:jc w:val="center"/>
              <w:textAlignment w:val="baseline"/>
              <w:rPr>
                <w:color w:val="auto"/>
                <w:kern w:val="0"/>
              </w:rPr>
            </w:pPr>
            <w:r>
              <w:rPr>
                <w:rFonts w:hint="eastAsia"/>
                <w:color w:val="auto"/>
                <w:kern w:val="0"/>
              </w:rPr>
              <w:t>2个表层样</w:t>
            </w:r>
          </w:p>
        </w:tc>
        <w:tc>
          <w:tcPr>
            <w:tcW w:w="996" w:type="pct"/>
            <w:vAlign w:val="center"/>
          </w:tcPr>
          <w:p>
            <w:pPr>
              <w:contextualSpacing/>
              <w:jc w:val="center"/>
              <w:textAlignment w:val="baseline"/>
              <w:rPr>
                <w:color w:val="auto"/>
                <w:kern w:val="0"/>
              </w:rPr>
            </w:pPr>
            <w:r>
              <w:rPr>
                <w:rFonts w:hint="eastAsia"/>
                <w:color w:val="auto"/>
                <w:kern w:val="0"/>
              </w:rPr>
              <w:t>T1厂外上风向表层样</w:t>
            </w:r>
          </w:p>
        </w:tc>
        <w:tc>
          <w:tcPr>
            <w:tcW w:w="1216" w:type="pct"/>
            <w:vAlign w:val="center"/>
          </w:tcPr>
          <w:p>
            <w:pPr>
              <w:contextualSpacing/>
              <w:jc w:val="center"/>
              <w:textAlignment w:val="baseline"/>
              <w:rPr>
                <w:color w:val="auto"/>
                <w:kern w:val="0"/>
              </w:rPr>
            </w:pPr>
            <w:r>
              <w:rPr>
                <w:rFonts w:hint="eastAsia"/>
                <w:color w:val="auto"/>
                <w:kern w:val="0"/>
              </w:rPr>
              <w:t>E113°42′49.29″</w:t>
            </w:r>
          </w:p>
          <w:p>
            <w:pPr>
              <w:contextualSpacing/>
              <w:jc w:val="center"/>
              <w:textAlignment w:val="baseline"/>
              <w:rPr>
                <w:color w:val="auto"/>
                <w:kern w:val="0"/>
              </w:rPr>
            </w:pPr>
            <w:r>
              <w:rPr>
                <w:rFonts w:hint="eastAsia"/>
                <w:color w:val="auto"/>
                <w:kern w:val="0"/>
              </w:rPr>
              <w:t>N35°16′10.58″</w:t>
            </w:r>
          </w:p>
        </w:tc>
        <w:tc>
          <w:tcPr>
            <w:tcW w:w="1444" w:type="pct"/>
            <w:vAlign w:val="center"/>
          </w:tcPr>
          <w:p>
            <w:pPr>
              <w:contextualSpacing/>
              <w:jc w:val="center"/>
              <w:textAlignment w:val="baseline"/>
              <w:rPr>
                <w:color w:val="auto"/>
                <w:kern w:val="0"/>
              </w:rPr>
            </w:pPr>
            <w:r>
              <w:rPr>
                <w:rFonts w:hint="eastAsia"/>
                <w:color w:val="auto"/>
                <w:kern w:val="0"/>
              </w:rPr>
              <w:t>pH、Zn、Ni、Cr</w:t>
            </w:r>
            <w:r>
              <w:rPr>
                <w:color w:val="auto"/>
              </w:rPr>
              <w:t>、石油烃</w:t>
            </w:r>
          </w:p>
        </w:tc>
        <w:tc>
          <w:tcPr>
            <w:tcW w:w="698" w:type="pct"/>
            <w:vMerge w:val="restart"/>
            <w:vAlign w:val="center"/>
          </w:tcPr>
          <w:p>
            <w:pPr>
              <w:contextualSpacing/>
              <w:jc w:val="center"/>
              <w:textAlignment w:val="baseline"/>
              <w:rPr>
                <w:color w:val="auto"/>
                <w:kern w:val="0"/>
              </w:rPr>
            </w:pPr>
            <w:r>
              <w:rPr>
                <w:color w:val="auto"/>
                <w:kern w:val="0"/>
              </w:rPr>
              <w:t>0-0.</w:t>
            </w:r>
            <w:r>
              <w:rPr>
                <w:rFonts w:hint="eastAsia"/>
                <w:color w:val="auto"/>
                <w:kern w:val="0"/>
              </w:rPr>
              <w:t>2</w:t>
            </w:r>
            <w:r>
              <w:rPr>
                <w:color w:val="auto"/>
                <w:kern w:val="0"/>
              </w:rPr>
              <w:t>m</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contextualSpacing/>
              <w:jc w:val="center"/>
              <w:textAlignment w:val="baseline"/>
              <w:rPr>
                <w:color w:val="auto"/>
                <w:kern w:val="0"/>
              </w:rPr>
            </w:pPr>
            <w:r>
              <w:rPr>
                <w:color w:val="auto"/>
                <w:kern w:val="0"/>
              </w:rPr>
              <w:t>2</w:t>
            </w:r>
          </w:p>
        </w:tc>
        <w:tc>
          <w:tcPr>
            <w:tcW w:w="320" w:type="pct"/>
            <w:vMerge w:val="continue"/>
            <w:vAlign w:val="center"/>
          </w:tcPr>
          <w:p>
            <w:pPr>
              <w:contextualSpacing/>
              <w:jc w:val="center"/>
              <w:textAlignment w:val="baseline"/>
              <w:rPr>
                <w:color w:val="auto"/>
                <w:kern w:val="0"/>
              </w:rPr>
            </w:pPr>
          </w:p>
        </w:tc>
        <w:tc>
          <w:tcPr>
            <w:tcW w:w="996" w:type="pct"/>
            <w:vAlign w:val="center"/>
          </w:tcPr>
          <w:p>
            <w:pPr>
              <w:contextualSpacing/>
              <w:jc w:val="center"/>
              <w:textAlignment w:val="baseline"/>
              <w:rPr>
                <w:color w:val="auto"/>
                <w:kern w:val="0"/>
              </w:rPr>
            </w:pPr>
            <w:r>
              <w:rPr>
                <w:rFonts w:hint="eastAsia"/>
                <w:color w:val="auto"/>
                <w:kern w:val="0"/>
              </w:rPr>
              <w:t>T2厂外下风向表层样</w:t>
            </w:r>
          </w:p>
        </w:tc>
        <w:tc>
          <w:tcPr>
            <w:tcW w:w="1216" w:type="pct"/>
            <w:vAlign w:val="center"/>
          </w:tcPr>
          <w:p>
            <w:pPr>
              <w:contextualSpacing/>
              <w:jc w:val="center"/>
              <w:textAlignment w:val="baseline"/>
              <w:rPr>
                <w:color w:val="auto"/>
                <w:kern w:val="0"/>
              </w:rPr>
            </w:pPr>
            <w:r>
              <w:rPr>
                <w:rFonts w:hint="eastAsia"/>
                <w:color w:val="auto"/>
                <w:kern w:val="0"/>
              </w:rPr>
              <w:t>E113°42′21.46″</w:t>
            </w:r>
          </w:p>
          <w:p>
            <w:pPr>
              <w:contextualSpacing/>
              <w:jc w:val="center"/>
              <w:textAlignment w:val="baseline"/>
              <w:rPr>
                <w:color w:val="auto"/>
                <w:kern w:val="0"/>
              </w:rPr>
            </w:pPr>
            <w:r>
              <w:rPr>
                <w:rFonts w:hint="eastAsia"/>
                <w:color w:val="auto"/>
                <w:kern w:val="0"/>
              </w:rPr>
              <w:t>N35°15′40.67″</w:t>
            </w:r>
          </w:p>
        </w:tc>
        <w:tc>
          <w:tcPr>
            <w:tcW w:w="1444" w:type="pct"/>
            <w:vAlign w:val="center"/>
          </w:tcPr>
          <w:p>
            <w:pPr>
              <w:contextualSpacing/>
              <w:jc w:val="center"/>
              <w:textAlignment w:val="baseline"/>
              <w:rPr>
                <w:color w:val="auto"/>
                <w:kern w:val="0"/>
              </w:rPr>
            </w:pPr>
            <w:r>
              <w:rPr>
                <w:rFonts w:hint="eastAsia"/>
                <w:color w:val="auto"/>
                <w:kern w:val="0"/>
              </w:rPr>
              <w:t>pH、Zn、Ni、Cr</w:t>
            </w:r>
            <w:r>
              <w:rPr>
                <w:color w:val="auto"/>
              </w:rPr>
              <w:t>、石油烃</w:t>
            </w:r>
          </w:p>
        </w:tc>
        <w:tc>
          <w:tcPr>
            <w:tcW w:w="69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6"/>
            <w:vAlign w:val="center"/>
          </w:tcPr>
          <w:p>
            <w:pPr>
              <w:contextualSpacing/>
              <w:jc w:val="center"/>
              <w:textAlignment w:val="baseline"/>
              <w:rPr>
                <w:color w:val="auto"/>
                <w:kern w:val="0"/>
              </w:rPr>
            </w:pPr>
            <w:r>
              <w:rPr>
                <w:rFonts w:hint="eastAsia"/>
                <w:color w:val="auto"/>
                <w:kern w:val="0"/>
              </w:rPr>
              <w:t>厂区内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contextualSpacing/>
              <w:jc w:val="center"/>
              <w:textAlignment w:val="baseline"/>
              <w:rPr>
                <w:color w:val="auto"/>
                <w:kern w:val="0"/>
              </w:rPr>
            </w:pPr>
            <w:r>
              <w:rPr>
                <w:rFonts w:hint="eastAsia"/>
                <w:color w:val="auto"/>
                <w:kern w:val="0"/>
              </w:rPr>
              <w:t>3</w:t>
            </w:r>
          </w:p>
        </w:tc>
        <w:tc>
          <w:tcPr>
            <w:tcW w:w="320" w:type="pct"/>
            <w:vMerge w:val="restart"/>
            <w:vAlign w:val="center"/>
          </w:tcPr>
          <w:p>
            <w:pPr>
              <w:contextualSpacing/>
              <w:jc w:val="center"/>
              <w:textAlignment w:val="baseline"/>
              <w:rPr>
                <w:color w:val="auto"/>
                <w:kern w:val="0"/>
              </w:rPr>
            </w:pPr>
            <w:r>
              <w:rPr>
                <w:rFonts w:hint="eastAsia"/>
                <w:color w:val="auto"/>
                <w:kern w:val="0"/>
              </w:rPr>
              <w:t>3个柱状样点</w:t>
            </w:r>
          </w:p>
        </w:tc>
        <w:tc>
          <w:tcPr>
            <w:tcW w:w="996" w:type="pct"/>
            <w:vAlign w:val="center"/>
          </w:tcPr>
          <w:p>
            <w:pPr>
              <w:widowControl w:val="0"/>
              <w:adjustRightInd w:val="0"/>
              <w:snapToGrid w:val="0"/>
              <w:jc w:val="center"/>
              <w:textAlignment w:val="baseline"/>
              <w:rPr>
                <w:color w:val="auto"/>
              </w:rPr>
            </w:pPr>
            <w:r>
              <w:rPr>
                <w:rFonts w:hint="eastAsia"/>
                <w:color w:val="auto"/>
              </w:rPr>
              <w:t>T3厂区内机加工车间附近</w:t>
            </w:r>
          </w:p>
        </w:tc>
        <w:tc>
          <w:tcPr>
            <w:tcW w:w="1216" w:type="pct"/>
            <w:vAlign w:val="center"/>
          </w:tcPr>
          <w:p>
            <w:pPr>
              <w:contextualSpacing/>
              <w:jc w:val="center"/>
              <w:textAlignment w:val="baseline"/>
              <w:rPr>
                <w:color w:val="auto"/>
                <w:kern w:val="0"/>
              </w:rPr>
            </w:pPr>
            <w:r>
              <w:rPr>
                <w:rFonts w:hint="eastAsia"/>
                <w:color w:val="auto"/>
                <w:kern w:val="0"/>
              </w:rPr>
              <w:t>E113°43′1.18″</w:t>
            </w:r>
          </w:p>
          <w:p>
            <w:pPr>
              <w:contextualSpacing/>
              <w:jc w:val="center"/>
              <w:textAlignment w:val="baseline"/>
              <w:rPr>
                <w:color w:val="auto"/>
                <w:kern w:val="0"/>
              </w:rPr>
            </w:pPr>
            <w:r>
              <w:rPr>
                <w:rFonts w:hint="eastAsia"/>
                <w:color w:val="auto"/>
                <w:kern w:val="0"/>
              </w:rPr>
              <w:t>N35°15′56.39″</w:t>
            </w:r>
          </w:p>
        </w:tc>
        <w:tc>
          <w:tcPr>
            <w:tcW w:w="1444" w:type="pct"/>
            <w:vMerge w:val="restart"/>
            <w:vAlign w:val="center"/>
          </w:tcPr>
          <w:p>
            <w:pPr>
              <w:contextualSpacing/>
              <w:jc w:val="center"/>
              <w:textAlignment w:val="baseline"/>
              <w:rPr>
                <w:color w:val="auto"/>
                <w:kern w:val="0"/>
              </w:rPr>
            </w:pPr>
            <w:r>
              <w:rPr>
                <w:rFonts w:hint="eastAsia"/>
                <w:color w:val="auto"/>
                <w:kern w:val="0"/>
              </w:rPr>
              <w:t>pH、Zn、Ni、Cr</w:t>
            </w:r>
            <w:r>
              <w:rPr>
                <w:rFonts w:hint="eastAsia"/>
                <w:color w:val="auto"/>
                <w:kern w:val="0"/>
                <w:vertAlign w:val="superscript"/>
              </w:rPr>
              <w:t>+6</w:t>
            </w:r>
            <w:r>
              <w:rPr>
                <w:color w:val="auto"/>
              </w:rPr>
              <w:t>、石油烃</w:t>
            </w:r>
          </w:p>
        </w:tc>
        <w:tc>
          <w:tcPr>
            <w:tcW w:w="698" w:type="pct"/>
            <w:vMerge w:val="restart"/>
            <w:vAlign w:val="center"/>
          </w:tcPr>
          <w:p>
            <w:pPr>
              <w:contextualSpacing/>
              <w:jc w:val="center"/>
              <w:textAlignment w:val="baseline"/>
              <w:rPr>
                <w:color w:val="auto"/>
                <w:kern w:val="0"/>
              </w:rPr>
            </w:pPr>
            <w:r>
              <w:rPr>
                <w:color w:val="auto"/>
                <w:kern w:val="0"/>
              </w:rPr>
              <w:t>0-0.5m、0.5-1.5m、1.5-3m分别各取1个样</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contextualSpacing/>
              <w:jc w:val="center"/>
              <w:textAlignment w:val="baseline"/>
              <w:rPr>
                <w:color w:val="auto"/>
                <w:kern w:val="0"/>
              </w:rPr>
            </w:pPr>
            <w:r>
              <w:rPr>
                <w:rFonts w:hint="eastAsia"/>
                <w:color w:val="auto"/>
                <w:kern w:val="0"/>
              </w:rPr>
              <w:t>4</w:t>
            </w:r>
          </w:p>
        </w:tc>
        <w:tc>
          <w:tcPr>
            <w:tcW w:w="320" w:type="pct"/>
            <w:vMerge w:val="continue"/>
            <w:vAlign w:val="center"/>
          </w:tcPr>
          <w:p>
            <w:pPr>
              <w:contextualSpacing/>
              <w:jc w:val="center"/>
              <w:textAlignment w:val="baseline"/>
              <w:rPr>
                <w:color w:val="auto"/>
                <w:kern w:val="0"/>
              </w:rPr>
            </w:pPr>
          </w:p>
        </w:tc>
        <w:tc>
          <w:tcPr>
            <w:tcW w:w="996" w:type="pct"/>
            <w:vAlign w:val="center"/>
          </w:tcPr>
          <w:p>
            <w:pPr>
              <w:widowControl w:val="0"/>
              <w:adjustRightInd w:val="0"/>
              <w:snapToGrid w:val="0"/>
              <w:jc w:val="center"/>
              <w:textAlignment w:val="baseline"/>
              <w:rPr>
                <w:color w:val="auto"/>
              </w:rPr>
            </w:pPr>
            <w:r>
              <w:rPr>
                <w:rFonts w:hint="eastAsia"/>
                <w:color w:val="auto"/>
              </w:rPr>
              <w:t>T4厂区内拟建污水处理设施附近</w:t>
            </w:r>
          </w:p>
        </w:tc>
        <w:tc>
          <w:tcPr>
            <w:tcW w:w="1216" w:type="pct"/>
            <w:vAlign w:val="center"/>
          </w:tcPr>
          <w:p>
            <w:pPr>
              <w:contextualSpacing/>
              <w:jc w:val="center"/>
              <w:textAlignment w:val="baseline"/>
              <w:rPr>
                <w:color w:val="auto"/>
                <w:kern w:val="0"/>
              </w:rPr>
            </w:pPr>
            <w:r>
              <w:rPr>
                <w:rFonts w:hint="eastAsia"/>
                <w:color w:val="auto"/>
                <w:kern w:val="0"/>
              </w:rPr>
              <w:t>E113°42′31.96″</w:t>
            </w:r>
          </w:p>
          <w:p>
            <w:pPr>
              <w:contextualSpacing/>
              <w:jc w:val="center"/>
              <w:textAlignment w:val="baseline"/>
              <w:rPr>
                <w:color w:val="auto"/>
                <w:kern w:val="0"/>
              </w:rPr>
            </w:pPr>
            <w:r>
              <w:rPr>
                <w:rFonts w:hint="eastAsia"/>
                <w:color w:val="auto"/>
                <w:kern w:val="0"/>
              </w:rPr>
              <w:t>N35°16′02.61″</w:t>
            </w:r>
          </w:p>
        </w:tc>
        <w:tc>
          <w:tcPr>
            <w:tcW w:w="1444" w:type="pct"/>
            <w:vMerge w:val="continue"/>
            <w:vAlign w:val="center"/>
          </w:tcPr>
          <w:p>
            <w:pPr>
              <w:contextualSpacing/>
              <w:jc w:val="center"/>
              <w:textAlignment w:val="baseline"/>
              <w:rPr>
                <w:color w:val="auto"/>
                <w:kern w:val="0"/>
              </w:rPr>
            </w:pPr>
          </w:p>
        </w:tc>
        <w:tc>
          <w:tcPr>
            <w:tcW w:w="69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contextualSpacing/>
              <w:jc w:val="center"/>
              <w:textAlignment w:val="baseline"/>
              <w:rPr>
                <w:color w:val="auto"/>
                <w:kern w:val="0"/>
              </w:rPr>
            </w:pPr>
            <w:r>
              <w:rPr>
                <w:rFonts w:hint="eastAsia"/>
                <w:color w:val="auto"/>
                <w:kern w:val="0"/>
              </w:rPr>
              <w:t>5</w:t>
            </w:r>
          </w:p>
        </w:tc>
        <w:tc>
          <w:tcPr>
            <w:tcW w:w="320" w:type="pct"/>
            <w:vMerge w:val="continue"/>
            <w:vAlign w:val="center"/>
          </w:tcPr>
          <w:p>
            <w:pPr>
              <w:contextualSpacing/>
              <w:jc w:val="center"/>
              <w:textAlignment w:val="baseline"/>
              <w:rPr>
                <w:color w:val="auto"/>
                <w:kern w:val="0"/>
              </w:rPr>
            </w:pPr>
          </w:p>
        </w:tc>
        <w:tc>
          <w:tcPr>
            <w:tcW w:w="996" w:type="pct"/>
            <w:vAlign w:val="center"/>
          </w:tcPr>
          <w:p>
            <w:pPr>
              <w:contextualSpacing/>
              <w:jc w:val="center"/>
              <w:textAlignment w:val="baseline"/>
              <w:rPr>
                <w:color w:val="auto"/>
                <w:kern w:val="0"/>
              </w:rPr>
            </w:pPr>
            <w:r>
              <w:rPr>
                <w:rFonts w:hint="eastAsia"/>
                <w:color w:val="auto"/>
              </w:rPr>
              <w:t>T5厂区内电镀车间附近</w:t>
            </w:r>
          </w:p>
        </w:tc>
        <w:tc>
          <w:tcPr>
            <w:tcW w:w="1216" w:type="pct"/>
            <w:vAlign w:val="center"/>
          </w:tcPr>
          <w:p>
            <w:pPr>
              <w:contextualSpacing/>
              <w:jc w:val="center"/>
              <w:textAlignment w:val="baseline"/>
              <w:rPr>
                <w:color w:val="auto"/>
                <w:kern w:val="0"/>
              </w:rPr>
            </w:pPr>
            <w:r>
              <w:rPr>
                <w:rFonts w:hint="eastAsia"/>
                <w:color w:val="auto"/>
                <w:kern w:val="0"/>
              </w:rPr>
              <w:t>E113°42′37.55″</w:t>
            </w:r>
          </w:p>
          <w:p>
            <w:pPr>
              <w:contextualSpacing/>
              <w:jc w:val="center"/>
              <w:textAlignment w:val="baseline"/>
              <w:rPr>
                <w:color w:val="auto"/>
                <w:kern w:val="0"/>
              </w:rPr>
            </w:pPr>
            <w:r>
              <w:rPr>
                <w:rFonts w:hint="eastAsia"/>
                <w:color w:val="auto"/>
                <w:kern w:val="0"/>
              </w:rPr>
              <w:t>N35°16′04.48″</w:t>
            </w:r>
          </w:p>
        </w:tc>
        <w:tc>
          <w:tcPr>
            <w:tcW w:w="1444" w:type="pct"/>
            <w:vMerge w:val="restart"/>
            <w:vAlign w:val="center"/>
          </w:tcPr>
          <w:p>
            <w:pPr>
              <w:contextualSpacing/>
              <w:jc w:val="center"/>
              <w:textAlignment w:val="baseline"/>
              <w:rPr>
                <w:color w:val="auto"/>
                <w:kern w:val="0"/>
              </w:rPr>
            </w:pPr>
            <w:r>
              <w:rPr>
                <w:color w:val="auto"/>
              </w:rPr>
              <w:t>GB36600-2018表1中45项基本因子+ pH、Zn、Ni、Cr</w:t>
            </w:r>
            <w:r>
              <w:rPr>
                <w:color w:val="auto"/>
                <w:vertAlign w:val="superscript"/>
              </w:rPr>
              <w:t>+6</w:t>
            </w:r>
            <w:r>
              <w:rPr>
                <w:color w:val="auto"/>
              </w:rPr>
              <w:t>、石油烃</w:t>
            </w:r>
          </w:p>
        </w:tc>
        <w:tc>
          <w:tcPr>
            <w:tcW w:w="698" w:type="pct"/>
            <w:vMerge w:val="continue"/>
            <w:vAlign w:val="center"/>
          </w:tcPr>
          <w:p>
            <w:pPr>
              <w:contextualSpacing/>
              <w:jc w:val="center"/>
              <w:textAlignment w:val="baseline"/>
              <w:rPr>
                <w:color w:val="auto"/>
                <w:kern w:val="0"/>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26" w:type="pct"/>
            <w:vAlign w:val="center"/>
          </w:tcPr>
          <w:p>
            <w:pPr>
              <w:contextualSpacing/>
              <w:jc w:val="center"/>
              <w:textAlignment w:val="baseline"/>
              <w:rPr>
                <w:color w:val="auto"/>
                <w:kern w:val="0"/>
              </w:rPr>
            </w:pPr>
            <w:r>
              <w:rPr>
                <w:rFonts w:hint="eastAsia"/>
                <w:color w:val="auto"/>
                <w:kern w:val="0"/>
              </w:rPr>
              <w:t>6</w:t>
            </w:r>
          </w:p>
        </w:tc>
        <w:tc>
          <w:tcPr>
            <w:tcW w:w="320" w:type="pct"/>
            <w:vAlign w:val="center"/>
          </w:tcPr>
          <w:p>
            <w:pPr>
              <w:contextualSpacing/>
              <w:jc w:val="center"/>
              <w:textAlignment w:val="baseline"/>
              <w:rPr>
                <w:color w:val="auto"/>
                <w:kern w:val="0"/>
              </w:rPr>
            </w:pPr>
            <w:r>
              <w:rPr>
                <w:rFonts w:hint="eastAsia"/>
                <w:color w:val="auto"/>
                <w:kern w:val="0"/>
              </w:rPr>
              <w:t>1个表层样点</w:t>
            </w:r>
          </w:p>
        </w:tc>
        <w:tc>
          <w:tcPr>
            <w:tcW w:w="996" w:type="pct"/>
            <w:vAlign w:val="center"/>
          </w:tcPr>
          <w:p>
            <w:pPr>
              <w:contextualSpacing/>
              <w:jc w:val="center"/>
              <w:textAlignment w:val="baseline"/>
              <w:rPr>
                <w:color w:val="auto"/>
                <w:kern w:val="0"/>
              </w:rPr>
            </w:pPr>
            <w:r>
              <w:rPr>
                <w:rFonts w:hint="eastAsia"/>
                <w:color w:val="auto"/>
                <w:kern w:val="0"/>
              </w:rPr>
              <w:t>T6厂址内背景点</w:t>
            </w:r>
          </w:p>
        </w:tc>
        <w:tc>
          <w:tcPr>
            <w:tcW w:w="1216" w:type="pct"/>
            <w:vAlign w:val="center"/>
          </w:tcPr>
          <w:p>
            <w:pPr>
              <w:contextualSpacing/>
              <w:jc w:val="center"/>
              <w:textAlignment w:val="baseline"/>
              <w:rPr>
                <w:color w:val="auto"/>
                <w:kern w:val="0"/>
              </w:rPr>
            </w:pPr>
            <w:r>
              <w:rPr>
                <w:rFonts w:hint="eastAsia"/>
                <w:color w:val="auto"/>
                <w:kern w:val="0"/>
              </w:rPr>
              <w:t>E113°42′32.65″</w:t>
            </w:r>
          </w:p>
          <w:p>
            <w:pPr>
              <w:contextualSpacing/>
              <w:jc w:val="center"/>
              <w:textAlignment w:val="baseline"/>
              <w:rPr>
                <w:color w:val="auto"/>
                <w:kern w:val="0"/>
              </w:rPr>
            </w:pPr>
            <w:r>
              <w:rPr>
                <w:rFonts w:hint="eastAsia"/>
                <w:color w:val="auto"/>
                <w:kern w:val="0"/>
              </w:rPr>
              <w:t>N35°15′57.49″</w:t>
            </w:r>
          </w:p>
        </w:tc>
        <w:tc>
          <w:tcPr>
            <w:tcW w:w="1444" w:type="pct"/>
            <w:vMerge w:val="continue"/>
            <w:vAlign w:val="center"/>
          </w:tcPr>
          <w:p>
            <w:pPr>
              <w:contextualSpacing/>
              <w:jc w:val="center"/>
              <w:textAlignment w:val="baseline"/>
              <w:rPr>
                <w:color w:val="auto"/>
                <w:kern w:val="0"/>
              </w:rPr>
            </w:pPr>
          </w:p>
        </w:tc>
        <w:tc>
          <w:tcPr>
            <w:tcW w:w="698" w:type="pct"/>
            <w:vAlign w:val="center"/>
          </w:tcPr>
          <w:p>
            <w:pPr>
              <w:contextualSpacing/>
              <w:jc w:val="center"/>
              <w:textAlignment w:val="baseline"/>
              <w:rPr>
                <w:color w:val="auto"/>
                <w:kern w:val="0"/>
              </w:rPr>
            </w:pPr>
            <w:r>
              <w:rPr>
                <w:color w:val="auto"/>
                <w:kern w:val="0"/>
              </w:rPr>
              <w:t>0-0.</w:t>
            </w:r>
            <w:r>
              <w:rPr>
                <w:rFonts w:hint="eastAsia"/>
                <w:color w:val="auto"/>
                <w:kern w:val="0"/>
              </w:rPr>
              <w:t>2</w:t>
            </w:r>
            <w:r>
              <w:rPr>
                <w:color w:val="auto"/>
                <w:kern w:val="0"/>
              </w:rPr>
              <w:t>m</w:t>
            </w:r>
          </w:p>
        </w:tc>
      </w:tr>
    </w:tbl>
    <w:p>
      <w:pPr>
        <w:pStyle w:val="6"/>
        <w:spacing w:before="0" w:after="0" w:line="360" w:lineRule="auto"/>
        <w:rPr>
          <w:b w:val="0"/>
          <w:color w:val="auto"/>
          <w:sz w:val="24"/>
          <w:szCs w:val="24"/>
        </w:rPr>
      </w:pPr>
      <w:r>
        <w:rPr>
          <w:rFonts w:hint="eastAsia"/>
          <w:b w:val="0"/>
          <w:color w:val="auto"/>
          <w:sz w:val="24"/>
          <w:szCs w:val="24"/>
        </w:rPr>
        <w:t>4.2.6.2监测方法及监测频率</w:t>
      </w:r>
    </w:p>
    <w:p>
      <w:pPr>
        <w:adjustRightInd w:val="0"/>
        <w:snapToGrid w:val="0"/>
        <w:spacing w:line="520" w:lineRule="exact"/>
        <w:ind w:firstLine="480" w:firstLineChars="200"/>
        <w:textAlignment w:val="baseline"/>
        <w:rPr>
          <w:color w:val="auto"/>
          <w:kern w:val="0"/>
          <w:sz w:val="24"/>
          <w:szCs w:val="20"/>
        </w:rPr>
      </w:pPr>
      <w:r>
        <w:rPr>
          <w:rFonts w:hint="eastAsia"/>
          <w:color w:val="auto"/>
          <w:kern w:val="0"/>
          <w:sz w:val="24"/>
          <w:szCs w:val="20"/>
        </w:rPr>
        <w:t>土壤监测按照HJ/T166、HJ25.1、HJ25.2执行，每个样监测1次，每个点位报一组有效数据。土壤监测因子的</w:t>
      </w:r>
      <w:r>
        <w:rPr>
          <w:rFonts w:hint="eastAsia"/>
          <w:color w:val="auto"/>
          <w:kern w:val="0"/>
          <w:sz w:val="24"/>
        </w:rPr>
        <w:t>监测分析方法见下表4.2-20</w:t>
      </w:r>
      <w:r>
        <w:rPr>
          <w:rFonts w:hint="eastAsia"/>
          <w:color w:val="auto"/>
          <w:spacing w:val="3"/>
          <w:kern w:val="0"/>
          <w:sz w:val="24"/>
          <w:szCs w:val="20"/>
        </w:rPr>
        <w:t>。</w:t>
      </w:r>
    </w:p>
    <w:p>
      <w:pPr>
        <w:spacing w:before="156" w:beforeLines="50"/>
        <w:ind w:firstLine="480" w:firstLineChars="200"/>
        <w:jc w:val="center"/>
        <w:rPr>
          <w:rFonts w:eastAsia="黑体"/>
          <w:color w:val="auto"/>
          <w:sz w:val="24"/>
          <w:szCs w:val="24"/>
        </w:rPr>
      </w:pPr>
      <w:r>
        <w:rPr>
          <w:rFonts w:eastAsia="黑体"/>
          <w:color w:val="auto"/>
          <w:sz w:val="24"/>
          <w:szCs w:val="24"/>
        </w:rPr>
        <w:t>表</w:t>
      </w:r>
      <w:r>
        <w:rPr>
          <w:rFonts w:eastAsia="黑体"/>
          <w:color w:val="auto"/>
          <w:spacing w:val="6"/>
          <w:sz w:val="24"/>
          <w:szCs w:val="24"/>
        </w:rPr>
        <w:t xml:space="preserve">4.2-20  </w:t>
      </w:r>
      <w:r>
        <w:rPr>
          <w:rFonts w:eastAsia="黑体"/>
          <w:color w:val="auto"/>
          <w:sz w:val="24"/>
          <w:szCs w:val="24"/>
        </w:rPr>
        <w:t>土壤监测因子分析方法一览表</w:t>
      </w:r>
    </w:p>
    <w:tbl>
      <w:tblPr>
        <w:tblStyle w:val="83"/>
        <w:tblW w:w="5053"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fixed"/>
        <w:tblCellMar>
          <w:top w:w="0" w:type="dxa"/>
          <w:left w:w="108" w:type="dxa"/>
          <w:bottom w:w="0" w:type="dxa"/>
          <w:right w:w="108" w:type="dxa"/>
        </w:tblCellMar>
      </w:tblPr>
      <w:tblGrid>
        <w:gridCol w:w="1431"/>
        <w:gridCol w:w="4114"/>
        <w:gridCol w:w="1941"/>
        <w:gridCol w:w="1132"/>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b/>
                <w:bCs/>
                <w:color w:val="auto"/>
                <w:kern w:val="0"/>
              </w:rPr>
            </w:pPr>
            <w:r>
              <w:rPr>
                <w:b/>
                <w:bCs/>
                <w:color w:val="auto"/>
                <w:kern w:val="0"/>
              </w:rPr>
              <w:t>监测项目</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b/>
                <w:bCs/>
                <w:color w:val="auto"/>
                <w:kern w:val="0"/>
              </w:rPr>
            </w:pPr>
            <w:r>
              <w:rPr>
                <w:rFonts w:hint="eastAsia"/>
                <w:b/>
                <w:bCs/>
                <w:color w:val="auto"/>
                <w:kern w:val="0"/>
              </w:rPr>
              <w:t>方法</w:t>
            </w:r>
            <w:r>
              <w:rPr>
                <w:b/>
                <w:bCs/>
                <w:color w:val="auto"/>
                <w:kern w:val="0"/>
              </w:rPr>
              <w:t>标准</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b/>
                <w:bCs/>
                <w:color w:val="auto"/>
                <w:kern w:val="0"/>
              </w:rPr>
            </w:pPr>
            <w:r>
              <w:rPr>
                <w:b/>
                <w:bCs/>
                <w:color w:val="auto"/>
                <w:kern w:val="0"/>
              </w:rPr>
              <w:t>监测仪器</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b/>
                <w:bCs/>
                <w:color w:val="auto"/>
                <w:kern w:val="0"/>
              </w:rPr>
            </w:pPr>
            <w:r>
              <w:rPr>
                <w:b/>
                <w:bCs/>
                <w:color w:val="auto"/>
                <w:kern w:val="0"/>
              </w:rPr>
              <w:t>检出限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pH值</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土壤检测 第2部分：土壤pH的测定玻璃电极法NY/T 1121.2-2006</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酸度计</w:t>
            </w:r>
            <w:r>
              <w:rPr>
                <w:rFonts w:hint="eastAsia"/>
                <w:color w:val="auto"/>
                <w:kern w:val="0"/>
              </w:rPr>
              <w:t>PHS-3C</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锌</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铜、锌、铅、镍、铬的测定 火焰原子吸收分光光度法 HJ 491-2019</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原子吸收分光光度计</w:t>
            </w:r>
            <w:r>
              <w:rPr>
                <w:rFonts w:hint="eastAsia"/>
                <w:color w:val="auto"/>
                <w:kern w:val="0"/>
              </w:rPr>
              <w:t>TAS-990AFG</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土壤质量 总汞、总砷、总铅的测定 原子荧光法 第2部分：土壤中总砷的测定</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GB/T 22105.2-2008</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原子荧光光度计</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rFonts w:hint="eastAsia"/>
                <w:color w:val="auto"/>
                <w:kern w:val="0"/>
              </w:rPr>
              <w:t>PF31</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镉</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土壤质量 铅、镉的测定 石墨炉原子吸收分光光度法</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GB/T 17141-1997</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原子吸收分光光度计TAS-990AFG</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六价铬</w:t>
            </w:r>
          </w:p>
        </w:tc>
        <w:tc>
          <w:tcPr>
            <w:tcW w:w="2387"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bCs/>
                <w:color w:val="auto"/>
                <w:kern w:val="0"/>
              </w:rPr>
              <w:t>固体废物 六价铬的测定 碱消解火焰原子吸收分光光度法   HJ 687-2014</w:t>
            </w:r>
          </w:p>
        </w:tc>
        <w:tc>
          <w:tcPr>
            <w:tcW w:w="1126"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原子吸收分光光度计TAS-990AFG</w:t>
            </w:r>
          </w:p>
        </w:tc>
        <w:tc>
          <w:tcPr>
            <w:tcW w:w="657"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2mg/kg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rFonts w:hint="eastAsia"/>
                <w:color w:val="auto"/>
                <w:kern w:val="0"/>
              </w:rPr>
              <w:t>总</w:t>
            </w:r>
            <w:r>
              <w:rPr>
                <w:color w:val="auto"/>
                <w:kern w:val="0"/>
              </w:rPr>
              <w:t>铬</w:t>
            </w:r>
          </w:p>
        </w:tc>
        <w:tc>
          <w:tcPr>
            <w:tcW w:w="2387" w:type="pct"/>
            <w:vAlign w:val="center"/>
          </w:tcPr>
          <w:p>
            <w:pPr>
              <w:keepNext w:val="0"/>
              <w:keepLines w:val="0"/>
              <w:pageBreakBefore w:val="0"/>
              <w:widowControl/>
              <w:kinsoku/>
              <w:wordWrap/>
              <w:overflowPunct/>
              <w:topLinePunct w:val="0"/>
              <w:autoSpaceDE/>
              <w:autoSpaceDN/>
              <w:bidi w:val="0"/>
              <w:contextualSpacing/>
              <w:jc w:val="center"/>
              <w:textAlignment w:val="baseline"/>
              <w:rPr>
                <w:bCs/>
                <w:color w:val="auto"/>
                <w:kern w:val="0"/>
              </w:rPr>
            </w:pPr>
            <w:r>
              <w:rPr>
                <w:rFonts w:hint="eastAsia"/>
                <w:bCs/>
                <w:color w:val="auto"/>
                <w:kern w:val="0"/>
              </w:rPr>
              <w:t>土壤和沉积物土壤和沉积物 铜、 锌、铅、镍、铬的测定 火焰原子吸 收分光光度法 HJ491-2019</w:t>
            </w:r>
          </w:p>
        </w:tc>
        <w:tc>
          <w:tcPr>
            <w:tcW w:w="1126"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原子吸收分光光度计TAS-990AFG</w:t>
            </w:r>
          </w:p>
        </w:tc>
        <w:tc>
          <w:tcPr>
            <w:tcW w:w="657"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2mg/kg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铜</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土壤质量 铜、锌的测定 火焰原子吸收分光光度法</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GB/T 17138-1997</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原子吸收分光光度计TAS-990AFG</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铅</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土壤质量 铅、镉的测定 石墨炉原子吸收分光光度法</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GB/T 17141-1997</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原子吸收分光光度计TAS-990AFG</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汞</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土壤质量 总汞的测定 冷原子吸收分光光度法</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GB/T 17136-1997</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rFonts w:hint="eastAsia"/>
                <w:color w:val="auto"/>
                <w:kern w:val="0"/>
              </w:rPr>
              <w:t>原子荧光光度计</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PF31</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0.005mg/kg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镍</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土壤质量 镍的测定 火焰原子吸收分光光度法</w:t>
            </w:r>
          </w:p>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GB/T 17139-1997</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rFonts w:hint="eastAsia"/>
                <w:color w:val="auto"/>
                <w:kern w:val="0"/>
              </w:rPr>
              <w:t>原子吸收分光光度计TAS-990AFG</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5mg/kg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四氯化碳</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气相色谱质谱联用</w:t>
            </w:r>
            <w:r>
              <w:rPr>
                <w:rFonts w:hint="eastAsia"/>
                <w:color w:val="auto"/>
                <w:kern w:val="0"/>
              </w:rPr>
              <w:t>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2.1µg/kg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氯仿</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1.5µg/kg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氯甲烷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吹扫补集气相色谱-质谱法   HJ 605-2011</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1.0µg/kg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1,1-二氯乙烷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1.6µg/kg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1,2-二氯乙烷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1.3µg/kg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1,1-二氯乙烯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0.8µg/kg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顺-1,2-二氯乙烯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0.9µg/kg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反-1,2-二氯乙烯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气相色谱质谱联用仪</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0.9µg/kg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二氯甲烷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2.6µg/kg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1,2-二氯丙烷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1.9µg/kg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1,1,1,2-四氯乙烷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1.0µg/kg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1,1,2,2-四氯乙烷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1.0µg/kg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四氯乙烯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0.8µg/kg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1,1,1-三氯乙烷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1,1,2-三氯乙烷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1.4µg/kg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三氯乙烯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气相色谱质谱联用仪</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0.9µg/kg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1,2,3-三氯丙烷</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气相色谱质谱联用仪</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1.0µg/kg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1.5µg/kg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1.6µg/kg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氯苯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1.1µg/kg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1,2-二氯苯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1.0µg/kg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1,4-二氯苯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1.2µg/kg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乙苯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1.2µg/kg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苯乙烯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1.6µg/kg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甲苯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2.0µg/kg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间二甲苯+对二甲苯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3.6µg/kg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邻二甲苯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土壤和沉积物 挥发性有机物的测定 顶空/气相色谱-质谱法   HJ 642-2013</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1.3µg/kg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硝基苯</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0.09mg/kg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苯胺</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2-氯酚</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0.06mg/kg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苯并【a】蒽</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苯并【a】芘</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苯并【b】荧蒽</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0.2mg/kg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苯并【k】荧蒽</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䓛</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二苯并【a，h】蒽</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茚并【1,2,3-cd】芘</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0.1mg/kg</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830"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萘</w:t>
            </w:r>
          </w:p>
        </w:tc>
        <w:tc>
          <w:tcPr>
            <w:tcW w:w="238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土壤和沉积物 半挥发性有机物的测定 气相色谱-质谱法</w:t>
            </w:r>
          </w:p>
          <w:p>
            <w:pPr>
              <w:keepNext w:val="0"/>
              <w:keepLines w:val="0"/>
              <w:pageBreakBefore w:val="0"/>
              <w:widowControl/>
              <w:kinsoku/>
              <w:wordWrap/>
              <w:overflowPunct/>
              <w:topLinePunct w:val="0"/>
              <w:autoSpaceDE/>
              <w:autoSpaceDN/>
              <w:bidi w:val="0"/>
              <w:adjustRightInd w:val="0"/>
              <w:snapToGrid w:val="0"/>
              <w:jc w:val="center"/>
              <w:textAlignment w:val="baseline"/>
              <w:rPr>
                <w:color w:val="auto"/>
                <w:kern w:val="0"/>
              </w:rPr>
            </w:pPr>
            <w:r>
              <w:rPr>
                <w:color w:val="auto"/>
                <w:kern w:val="0"/>
              </w:rPr>
              <w:t>HJ 834-2017</w:t>
            </w:r>
          </w:p>
        </w:tc>
        <w:tc>
          <w:tcPr>
            <w:tcW w:w="1126" w:type="pct"/>
            <w:vAlign w:val="center"/>
          </w:tcPr>
          <w:p>
            <w:pPr>
              <w:keepNext w:val="0"/>
              <w:keepLines w:val="0"/>
              <w:pageBreakBefore w:val="0"/>
              <w:widowControl/>
              <w:kinsoku/>
              <w:wordWrap/>
              <w:overflowPunct/>
              <w:topLinePunct w:val="0"/>
              <w:autoSpaceDE/>
              <w:autoSpaceDN/>
              <w:bidi w:val="0"/>
              <w:jc w:val="center"/>
              <w:rPr>
                <w:color w:val="auto"/>
              </w:rPr>
            </w:pPr>
            <w:r>
              <w:rPr>
                <w:rFonts w:hint="eastAsia"/>
                <w:color w:val="auto"/>
              </w:rPr>
              <w:t>气相色谱质谱联用5977BGC/MSD</w:t>
            </w:r>
          </w:p>
        </w:tc>
        <w:tc>
          <w:tcPr>
            <w:tcW w:w="657" w:type="pct"/>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kern w:val="0"/>
              </w:rPr>
            </w:pPr>
            <w:r>
              <w:rPr>
                <w:color w:val="auto"/>
                <w:kern w:val="0"/>
              </w:rPr>
              <w:t>0.09mg/kg</w:t>
            </w:r>
          </w:p>
        </w:tc>
      </w:tr>
    </w:tbl>
    <w:p>
      <w:pPr>
        <w:pStyle w:val="6"/>
        <w:spacing w:before="0" w:after="0" w:line="360" w:lineRule="auto"/>
        <w:rPr>
          <w:b w:val="0"/>
          <w:color w:val="auto"/>
          <w:sz w:val="24"/>
          <w:szCs w:val="24"/>
        </w:rPr>
      </w:pPr>
      <w:r>
        <w:rPr>
          <w:rFonts w:hint="eastAsia"/>
          <w:b w:val="0"/>
          <w:color w:val="auto"/>
          <w:sz w:val="24"/>
          <w:szCs w:val="24"/>
        </w:rPr>
        <w:t>4.2.6.3评价标准</w:t>
      </w:r>
    </w:p>
    <w:p>
      <w:pPr>
        <w:spacing w:line="360" w:lineRule="auto"/>
        <w:ind w:firstLine="480" w:firstLineChars="200"/>
        <w:rPr>
          <w:color w:val="auto"/>
          <w:sz w:val="24"/>
          <w:szCs w:val="24"/>
        </w:rPr>
      </w:pPr>
      <w:r>
        <w:rPr>
          <w:rFonts w:hint="eastAsia"/>
          <w:color w:val="auto"/>
          <w:sz w:val="24"/>
          <w:szCs w:val="24"/>
        </w:rPr>
        <w:t>本项目土壤环境质量标准执行</w:t>
      </w:r>
      <w:r>
        <w:rPr>
          <w:rFonts w:hint="eastAsia"/>
          <w:color w:val="auto"/>
          <w:kern w:val="0"/>
          <w:sz w:val="24"/>
          <w:szCs w:val="20"/>
        </w:rPr>
        <w:t>《土壤环境质量-建设用地土壤污染风险管控标准（试行）》（GB36600-2018）表1中二类用地的标准限值，具体相关指标见表4.2-21。</w:t>
      </w:r>
    </w:p>
    <w:p>
      <w:pPr>
        <w:spacing w:before="156" w:beforeLines="50" w:line="360" w:lineRule="auto"/>
        <w:ind w:firstLine="480" w:firstLineChars="200"/>
        <w:jc w:val="center"/>
        <w:rPr>
          <w:rFonts w:eastAsia="黑体"/>
          <w:color w:val="auto"/>
          <w:sz w:val="24"/>
          <w:szCs w:val="24"/>
        </w:rPr>
      </w:pPr>
      <w:r>
        <w:rPr>
          <w:rFonts w:eastAsia="黑体"/>
          <w:color w:val="auto"/>
          <w:sz w:val="24"/>
          <w:szCs w:val="24"/>
        </w:rPr>
        <w:t xml:space="preserve">表4.2-21 </w:t>
      </w:r>
      <w:r>
        <w:rPr>
          <w:rFonts w:hint="eastAsia" w:eastAsia="黑体"/>
          <w:color w:val="auto"/>
          <w:sz w:val="24"/>
          <w:szCs w:val="24"/>
        </w:rPr>
        <w:t xml:space="preserve">  </w:t>
      </w:r>
      <w:r>
        <w:rPr>
          <w:rFonts w:eastAsia="黑体"/>
          <w:color w:val="auto"/>
          <w:sz w:val="24"/>
          <w:szCs w:val="24"/>
        </w:rPr>
        <w:t>土壤现状环境质量评价标准一览表（</w:t>
      </w:r>
      <w:r>
        <w:rPr>
          <w:rFonts w:hint="eastAsia" w:eastAsia="黑体"/>
          <w:color w:val="auto"/>
          <w:sz w:val="24"/>
          <w:szCs w:val="24"/>
        </w:rPr>
        <w:t>建设</w:t>
      </w:r>
      <w:r>
        <w:rPr>
          <w:rFonts w:eastAsia="黑体"/>
          <w:color w:val="auto"/>
          <w:sz w:val="24"/>
          <w:szCs w:val="24"/>
        </w:rPr>
        <w:t>用地）</w:t>
      </w:r>
      <w:r>
        <w:rPr>
          <w:rFonts w:hint="eastAsia" w:eastAsia="黑体"/>
          <w:color w:val="auto"/>
          <w:sz w:val="24"/>
          <w:szCs w:val="24"/>
        </w:rPr>
        <w:t xml:space="preserve">  单位：mg/kg</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977"/>
        <w:gridCol w:w="1703"/>
        <w:gridCol w:w="710"/>
        <w:gridCol w:w="1820"/>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序号</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评价因子</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标准限值</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（第二类用地）</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序号</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评价因子</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标准限值</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rPr>
            </w:pPr>
            <w:r>
              <w:rPr>
                <w:b/>
                <w:color w:val="auto"/>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pH值（无量纲）</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25</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1,2,3-三氯丙烷</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60</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26</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氯乙烯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镉</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65</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27</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铬（六价铬）</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5.7</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28</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氯苯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铜</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18000</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29</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1,2-二氯苯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铅</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800</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30</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1,4-二氯苯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7</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汞</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31</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乙苯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8</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镍</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900</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32</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苯乙烯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9</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四氯化碳</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33</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甲苯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10</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氯仿</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0.9</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34</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间+对二甲苯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氯甲烷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37</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35</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邻二甲苯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1,1二氯乙烷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9</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36</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硝基苯</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13</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1,2二氯乙烷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37</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苯胺</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14</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1,1二氯乙烯</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66</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38</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2-氯酚</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15</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顺-1,2-二氯乙烯</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596</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39</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bookmarkStart w:id="282" w:name="OLE_LINK1"/>
            <w:r>
              <w:rPr>
                <w:color w:val="auto"/>
              </w:rPr>
              <w:t>苯并[a]蒽</w:t>
            </w:r>
            <w:bookmarkEnd w:id="282"/>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16</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反-1,2-二氯乙烯</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54</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40</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苯并[a]芘</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17</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二氯甲烷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616</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41</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苯并[a]荧蒽</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18</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1,2-二氯丙烷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42</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auto"/>
              </w:rPr>
            </w:pPr>
            <w:r>
              <w:rPr>
                <w:color w:val="auto"/>
              </w:rPr>
              <w:t>苯并[k]荧蒽</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19</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1,1,1,2-四氯乙烷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10</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43</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䓛</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20</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1,1,2,2-四氯乙烷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6.8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44</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二苯并[a,h]蒽</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21</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四氯乙烯</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53</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45</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茚并[1,2,3-cd]</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22</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1,1,1,-三氯乙烷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840</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46</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萘</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23</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1,1,2-三氯乙烷</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47</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锌</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24</w:t>
            </w:r>
          </w:p>
        </w:tc>
        <w:tc>
          <w:tcPr>
            <w:tcW w:w="115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三氯乙烯</w:t>
            </w:r>
          </w:p>
        </w:tc>
        <w:tc>
          <w:tcPr>
            <w:tcW w:w="99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2.8</w:t>
            </w:r>
          </w:p>
        </w:tc>
        <w:tc>
          <w:tcPr>
            <w:tcW w:w="41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48</w:t>
            </w:r>
          </w:p>
        </w:tc>
        <w:tc>
          <w:tcPr>
            <w:tcW w:w="1067"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石油烃</w:t>
            </w:r>
          </w:p>
        </w:tc>
        <w:tc>
          <w:tcPr>
            <w:tcW w:w="958"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pPr>
            <w:r>
              <w:rPr>
                <w:color w:val="auto"/>
              </w:rPr>
              <w:t>4500</w:t>
            </w:r>
          </w:p>
        </w:tc>
      </w:tr>
    </w:tbl>
    <w:p>
      <w:pPr>
        <w:pStyle w:val="6"/>
        <w:spacing w:before="0" w:after="0" w:line="360" w:lineRule="auto"/>
        <w:rPr>
          <w:b w:val="0"/>
          <w:color w:val="auto"/>
          <w:sz w:val="24"/>
          <w:szCs w:val="24"/>
        </w:rPr>
      </w:pPr>
      <w:r>
        <w:rPr>
          <w:rFonts w:hint="eastAsia"/>
          <w:b w:val="0"/>
          <w:color w:val="auto"/>
          <w:sz w:val="24"/>
          <w:szCs w:val="24"/>
        </w:rPr>
        <w:t>4.2.6.2土壤环境质量评价结果分析</w:t>
      </w:r>
    </w:p>
    <w:p>
      <w:pPr>
        <w:spacing w:line="360" w:lineRule="auto"/>
        <w:ind w:firstLine="480" w:firstLineChars="200"/>
        <w:rPr>
          <w:color w:val="auto"/>
          <w:sz w:val="24"/>
          <w:szCs w:val="24"/>
        </w:rPr>
      </w:pPr>
      <w:r>
        <w:rPr>
          <w:color w:val="auto"/>
          <w:sz w:val="24"/>
          <w:szCs w:val="24"/>
        </w:rPr>
        <w:t>土壤环境质量现状监测数据统计结果分析见表</w:t>
      </w:r>
      <w:r>
        <w:rPr>
          <w:rFonts w:hint="eastAsia"/>
          <w:color w:val="auto"/>
          <w:sz w:val="24"/>
          <w:szCs w:val="24"/>
        </w:rPr>
        <w:t>4.2-23</w:t>
      </w:r>
      <w:r>
        <w:rPr>
          <w:color w:val="auto"/>
          <w:sz w:val="24"/>
          <w:szCs w:val="24"/>
        </w:rPr>
        <w:t>和表</w:t>
      </w:r>
      <w:r>
        <w:rPr>
          <w:rFonts w:hint="eastAsia"/>
          <w:color w:val="auto"/>
          <w:sz w:val="24"/>
          <w:szCs w:val="24"/>
        </w:rPr>
        <w:t>4.2-24</w:t>
      </w:r>
      <w:r>
        <w:rPr>
          <w:color w:val="auto"/>
          <w:sz w:val="24"/>
          <w:szCs w:val="24"/>
        </w:rPr>
        <w:t>。</w:t>
      </w:r>
    </w:p>
    <w:p>
      <w:pPr>
        <w:spacing w:before="156" w:beforeLines="50"/>
        <w:ind w:firstLine="960" w:firstLineChars="400"/>
        <w:rPr>
          <w:rFonts w:eastAsia="黑体"/>
          <w:color w:val="auto"/>
          <w:sz w:val="24"/>
          <w:szCs w:val="24"/>
        </w:rPr>
      </w:pPr>
      <w:r>
        <w:rPr>
          <w:rFonts w:eastAsia="黑体"/>
          <w:color w:val="auto"/>
          <w:sz w:val="24"/>
          <w:szCs w:val="24"/>
        </w:rPr>
        <w:t xml:space="preserve">表4.2-23 </w:t>
      </w:r>
      <w:r>
        <w:rPr>
          <w:rFonts w:hint="eastAsia" w:eastAsia="黑体"/>
          <w:color w:val="auto"/>
          <w:sz w:val="24"/>
          <w:szCs w:val="24"/>
        </w:rPr>
        <w:t xml:space="preserve"> </w:t>
      </w:r>
      <w:r>
        <w:rPr>
          <w:rFonts w:eastAsia="黑体"/>
          <w:color w:val="auto"/>
          <w:sz w:val="24"/>
          <w:szCs w:val="24"/>
        </w:rPr>
        <w:t xml:space="preserve"> 厂区外土壤现状监测结果一览表    单位：mg/kg</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0"/>
        <w:gridCol w:w="1670"/>
        <w:gridCol w:w="1706"/>
        <w:gridCol w:w="1706"/>
        <w:gridCol w:w="1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020" w:type="pct"/>
            <w:vMerge w:val="restart"/>
            <w:tcBorders>
              <w:tl2br w:val="single" w:color="auto" w:sz="4" w:space="0"/>
            </w:tcBorders>
            <w:shd w:val="clear" w:color="auto" w:fill="auto"/>
            <w:vAlign w:val="center"/>
          </w:tcPr>
          <w:p>
            <w:pPr>
              <w:widowControl w:val="0"/>
              <w:jc w:val="center"/>
              <w:rPr>
                <w:color w:val="auto"/>
              </w:rPr>
            </w:pPr>
            <w:r>
              <w:rPr>
                <w:rFonts w:hint="eastAsia"/>
                <w:color w:val="auto"/>
              </w:rPr>
              <w:t xml:space="preserve">        </w:t>
            </w:r>
            <w:r>
              <w:rPr>
                <w:color w:val="auto"/>
              </w:rPr>
              <w:t>项目</w:t>
            </w:r>
          </w:p>
          <w:p>
            <w:pPr>
              <w:widowControl w:val="0"/>
              <w:rPr>
                <w:color w:val="auto"/>
              </w:rPr>
            </w:pPr>
            <w:r>
              <w:rPr>
                <w:color w:val="auto"/>
              </w:rPr>
              <w:t>点位</w:t>
            </w:r>
          </w:p>
        </w:tc>
        <w:tc>
          <w:tcPr>
            <w:tcW w:w="979" w:type="pct"/>
            <w:shd w:val="clear" w:color="auto" w:fill="auto"/>
            <w:vAlign w:val="center"/>
          </w:tcPr>
          <w:p>
            <w:pPr>
              <w:widowControl w:val="0"/>
              <w:jc w:val="center"/>
              <w:rPr>
                <w:color w:val="auto"/>
              </w:rPr>
            </w:pPr>
            <w:r>
              <w:rPr>
                <w:color w:val="auto"/>
              </w:rPr>
              <w:t>上风向1#</w:t>
            </w:r>
          </w:p>
        </w:tc>
        <w:tc>
          <w:tcPr>
            <w:tcW w:w="1000" w:type="pct"/>
            <w:shd w:val="clear" w:color="auto" w:fill="auto"/>
            <w:vAlign w:val="center"/>
          </w:tcPr>
          <w:p>
            <w:pPr>
              <w:widowControl w:val="0"/>
              <w:jc w:val="center"/>
              <w:rPr>
                <w:color w:val="auto"/>
              </w:rPr>
            </w:pPr>
            <w:r>
              <w:rPr>
                <w:color w:val="auto"/>
              </w:rPr>
              <w:t>上风向2#</w:t>
            </w:r>
          </w:p>
        </w:tc>
        <w:tc>
          <w:tcPr>
            <w:tcW w:w="1000" w:type="pct"/>
            <w:vMerge w:val="restart"/>
            <w:shd w:val="clear" w:color="auto" w:fill="auto"/>
            <w:vAlign w:val="center"/>
          </w:tcPr>
          <w:p>
            <w:pPr>
              <w:widowControl w:val="0"/>
              <w:jc w:val="center"/>
              <w:rPr>
                <w:color w:val="auto"/>
              </w:rPr>
            </w:pPr>
            <w:r>
              <w:rPr>
                <w:color w:val="auto"/>
              </w:rPr>
              <w:t>标准</w:t>
            </w:r>
          </w:p>
        </w:tc>
        <w:tc>
          <w:tcPr>
            <w:tcW w:w="1000" w:type="pct"/>
            <w:vMerge w:val="restart"/>
            <w:shd w:val="clear" w:color="auto" w:fill="auto"/>
            <w:vAlign w:val="center"/>
          </w:tcPr>
          <w:p>
            <w:pPr>
              <w:widowControl w:val="0"/>
              <w:jc w:val="center"/>
              <w:rPr>
                <w:color w:val="auto"/>
              </w:rPr>
            </w:pPr>
            <w:r>
              <w:rPr>
                <w:color w:val="auto"/>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trPr>
        <w:tc>
          <w:tcPr>
            <w:tcW w:w="1020" w:type="pct"/>
            <w:vMerge w:val="continue"/>
            <w:tcBorders>
              <w:tl2br w:val="single" w:color="auto" w:sz="4" w:space="0"/>
            </w:tcBorders>
            <w:shd w:val="clear" w:color="auto" w:fill="auto"/>
            <w:vAlign w:val="center"/>
          </w:tcPr>
          <w:p>
            <w:pPr>
              <w:widowControl w:val="0"/>
              <w:jc w:val="center"/>
              <w:rPr>
                <w:color w:val="auto"/>
              </w:rPr>
            </w:pPr>
          </w:p>
        </w:tc>
        <w:tc>
          <w:tcPr>
            <w:tcW w:w="979" w:type="pct"/>
            <w:shd w:val="clear" w:color="auto" w:fill="auto"/>
            <w:vAlign w:val="center"/>
          </w:tcPr>
          <w:p>
            <w:pPr>
              <w:widowControl w:val="0"/>
              <w:jc w:val="center"/>
              <w:rPr>
                <w:color w:val="auto"/>
              </w:rPr>
            </w:pPr>
            <w:r>
              <w:rPr>
                <w:color w:val="auto"/>
              </w:rPr>
              <w:t>0-20（cm）</w:t>
            </w:r>
          </w:p>
        </w:tc>
        <w:tc>
          <w:tcPr>
            <w:tcW w:w="1000" w:type="pct"/>
            <w:shd w:val="clear" w:color="auto" w:fill="auto"/>
            <w:vAlign w:val="center"/>
          </w:tcPr>
          <w:p>
            <w:pPr>
              <w:widowControl w:val="0"/>
              <w:jc w:val="center"/>
              <w:rPr>
                <w:color w:val="auto"/>
              </w:rPr>
            </w:pPr>
            <w:r>
              <w:rPr>
                <w:color w:val="auto"/>
              </w:rPr>
              <w:t>0-20（cm）</w:t>
            </w:r>
          </w:p>
        </w:tc>
        <w:tc>
          <w:tcPr>
            <w:tcW w:w="1000" w:type="pct"/>
            <w:vMerge w:val="continue"/>
            <w:shd w:val="clear" w:color="auto" w:fill="auto"/>
            <w:vAlign w:val="center"/>
          </w:tcPr>
          <w:p>
            <w:pPr>
              <w:widowControl w:val="0"/>
              <w:jc w:val="center"/>
              <w:rPr>
                <w:color w:val="auto"/>
              </w:rPr>
            </w:pPr>
          </w:p>
        </w:tc>
        <w:tc>
          <w:tcPr>
            <w:tcW w:w="1000" w:type="pct"/>
            <w:vMerge w:val="continue"/>
            <w:shd w:val="clear" w:color="auto" w:fill="auto"/>
            <w:vAlign w:val="center"/>
          </w:tcPr>
          <w:p>
            <w:pPr>
              <w:widowControl w:val="0"/>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widowControl w:val="0"/>
              <w:jc w:val="center"/>
              <w:rPr>
                <w:color w:val="auto"/>
              </w:rPr>
            </w:pPr>
            <w:r>
              <w:rPr>
                <w:color w:val="auto"/>
              </w:rPr>
              <w:t>pH值</w:t>
            </w:r>
          </w:p>
        </w:tc>
        <w:tc>
          <w:tcPr>
            <w:tcW w:w="979" w:type="pct"/>
            <w:shd w:val="clear" w:color="auto" w:fill="auto"/>
            <w:vAlign w:val="center"/>
          </w:tcPr>
          <w:p>
            <w:pPr>
              <w:widowControl w:val="0"/>
              <w:jc w:val="center"/>
              <w:rPr>
                <w:color w:val="auto"/>
              </w:rPr>
            </w:pPr>
            <w:r>
              <w:rPr>
                <w:color w:val="auto"/>
              </w:rPr>
              <w:t>7.4</w:t>
            </w:r>
          </w:p>
        </w:tc>
        <w:tc>
          <w:tcPr>
            <w:tcW w:w="1000" w:type="pct"/>
            <w:shd w:val="clear" w:color="auto" w:fill="auto"/>
            <w:vAlign w:val="center"/>
          </w:tcPr>
          <w:p>
            <w:pPr>
              <w:widowControl w:val="0"/>
              <w:jc w:val="center"/>
              <w:rPr>
                <w:color w:val="auto"/>
              </w:rPr>
            </w:pPr>
            <w:r>
              <w:rPr>
                <w:color w:val="auto"/>
              </w:rPr>
              <w:t>7.1</w:t>
            </w:r>
          </w:p>
        </w:tc>
        <w:tc>
          <w:tcPr>
            <w:tcW w:w="1000" w:type="pct"/>
            <w:shd w:val="clear" w:color="auto" w:fill="auto"/>
            <w:vAlign w:val="center"/>
          </w:tcPr>
          <w:p>
            <w:pPr>
              <w:widowControl w:val="0"/>
              <w:jc w:val="center"/>
              <w:rPr>
                <w:color w:val="auto"/>
              </w:rPr>
            </w:pPr>
            <w:r>
              <w:rPr>
                <w:rFonts w:hint="eastAsia"/>
                <w:color w:val="auto"/>
              </w:rPr>
              <w:t>/</w:t>
            </w:r>
          </w:p>
        </w:tc>
        <w:tc>
          <w:tcPr>
            <w:tcW w:w="1000" w:type="pct"/>
            <w:shd w:val="clear" w:color="auto" w:fill="auto"/>
            <w:vAlign w:val="center"/>
          </w:tcPr>
          <w:p>
            <w:pPr>
              <w:widowControl w:val="0"/>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widowControl w:val="0"/>
              <w:jc w:val="center"/>
              <w:rPr>
                <w:color w:val="auto"/>
              </w:rPr>
            </w:pPr>
            <w:r>
              <w:rPr>
                <w:color w:val="auto"/>
              </w:rPr>
              <w:t>铬（六价）</w:t>
            </w:r>
          </w:p>
        </w:tc>
        <w:tc>
          <w:tcPr>
            <w:tcW w:w="979" w:type="pct"/>
            <w:shd w:val="clear" w:color="auto" w:fill="auto"/>
            <w:vAlign w:val="center"/>
          </w:tcPr>
          <w:p>
            <w:pPr>
              <w:widowControl w:val="0"/>
              <w:jc w:val="center"/>
              <w:rPr>
                <w:color w:val="auto"/>
              </w:rPr>
            </w:pPr>
            <w:r>
              <w:rPr>
                <w:color w:val="auto"/>
              </w:rPr>
              <w:t>ND</w:t>
            </w:r>
          </w:p>
        </w:tc>
        <w:tc>
          <w:tcPr>
            <w:tcW w:w="1000" w:type="pct"/>
            <w:shd w:val="clear" w:color="auto" w:fill="auto"/>
            <w:vAlign w:val="center"/>
          </w:tcPr>
          <w:p>
            <w:pPr>
              <w:widowControl w:val="0"/>
              <w:jc w:val="center"/>
              <w:rPr>
                <w:color w:val="auto"/>
              </w:rPr>
            </w:pPr>
            <w:r>
              <w:rPr>
                <w:color w:val="auto"/>
              </w:rPr>
              <w:t>ND</w:t>
            </w:r>
          </w:p>
        </w:tc>
        <w:tc>
          <w:tcPr>
            <w:tcW w:w="1000" w:type="pct"/>
            <w:shd w:val="clear" w:color="auto" w:fill="auto"/>
            <w:vAlign w:val="center"/>
          </w:tcPr>
          <w:p>
            <w:pPr>
              <w:widowControl w:val="0"/>
              <w:jc w:val="center"/>
              <w:rPr>
                <w:color w:val="auto"/>
              </w:rPr>
            </w:pPr>
            <w:r>
              <w:rPr>
                <w:rFonts w:hint="eastAsia"/>
                <w:color w:val="auto"/>
              </w:rPr>
              <w:t>5.7</w:t>
            </w:r>
          </w:p>
        </w:tc>
        <w:tc>
          <w:tcPr>
            <w:tcW w:w="1000"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widowControl w:val="0"/>
              <w:jc w:val="center"/>
              <w:rPr>
                <w:color w:val="auto"/>
              </w:rPr>
            </w:pPr>
            <w:r>
              <w:rPr>
                <w:color w:val="auto"/>
              </w:rPr>
              <w:t>锌</w:t>
            </w:r>
          </w:p>
        </w:tc>
        <w:tc>
          <w:tcPr>
            <w:tcW w:w="979" w:type="pct"/>
            <w:shd w:val="clear" w:color="auto" w:fill="auto"/>
            <w:vAlign w:val="center"/>
          </w:tcPr>
          <w:p>
            <w:pPr>
              <w:widowControl w:val="0"/>
              <w:jc w:val="center"/>
              <w:rPr>
                <w:color w:val="auto"/>
              </w:rPr>
            </w:pPr>
            <w:r>
              <w:rPr>
                <w:color w:val="auto"/>
              </w:rPr>
              <w:t>49.2</w:t>
            </w:r>
          </w:p>
        </w:tc>
        <w:tc>
          <w:tcPr>
            <w:tcW w:w="1000" w:type="pct"/>
            <w:shd w:val="clear" w:color="auto" w:fill="auto"/>
            <w:vAlign w:val="center"/>
          </w:tcPr>
          <w:p>
            <w:pPr>
              <w:widowControl w:val="0"/>
              <w:jc w:val="center"/>
              <w:rPr>
                <w:color w:val="auto"/>
              </w:rPr>
            </w:pPr>
            <w:r>
              <w:rPr>
                <w:color w:val="auto"/>
              </w:rPr>
              <w:t>63.5</w:t>
            </w:r>
          </w:p>
        </w:tc>
        <w:tc>
          <w:tcPr>
            <w:tcW w:w="1000" w:type="pct"/>
            <w:shd w:val="clear" w:color="auto" w:fill="auto"/>
            <w:vAlign w:val="center"/>
          </w:tcPr>
          <w:p>
            <w:pPr>
              <w:widowControl w:val="0"/>
              <w:jc w:val="center"/>
              <w:rPr>
                <w:color w:val="auto"/>
              </w:rPr>
            </w:pPr>
            <w:r>
              <w:rPr>
                <w:rFonts w:hint="eastAsia"/>
                <w:color w:val="auto"/>
              </w:rPr>
              <w:t>/</w:t>
            </w:r>
          </w:p>
        </w:tc>
        <w:tc>
          <w:tcPr>
            <w:tcW w:w="1000" w:type="pct"/>
            <w:shd w:val="clear" w:color="auto" w:fill="auto"/>
            <w:vAlign w:val="center"/>
          </w:tcPr>
          <w:p>
            <w:pPr>
              <w:widowControl w:val="0"/>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widowControl w:val="0"/>
              <w:jc w:val="center"/>
              <w:rPr>
                <w:color w:val="auto"/>
              </w:rPr>
            </w:pPr>
            <w:r>
              <w:rPr>
                <w:color w:val="auto"/>
              </w:rPr>
              <w:t>镍</w:t>
            </w:r>
          </w:p>
        </w:tc>
        <w:tc>
          <w:tcPr>
            <w:tcW w:w="979" w:type="pct"/>
            <w:shd w:val="clear" w:color="auto" w:fill="auto"/>
            <w:vAlign w:val="center"/>
          </w:tcPr>
          <w:p>
            <w:pPr>
              <w:widowControl w:val="0"/>
              <w:jc w:val="center"/>
              <w:rPr>
                <w:color w:val="auto"/>
              </w:rPr>
            </w:pPr>
            <w:r>
              <w:rPr>
                <w:color w:val="auto"/>
              </w:rPr>
              <w:t>38</w:t>
            </w:r>
          </w:p>
        </w:tc>
        <w:tc>
          <w:tcPr>
            <w:tcW w:w="1000" w:type="pct"/>
            <w:shd w:val="clear" w:color="auto" w:fill="auto"/>
            <w:vAlign w:val="center"/>
          </w:tcPr>
          <w:p>
            <w:pPr>
              <w:widowControl w:val="0"/>
              <w:jc w:val="center"/>
              <w:rPr>
                <w:color w:val="auto"/>
              </w:rPr>
            </w:pPr>
            <w:r>
              <w:rPr>
                <w:color w:val="auto"/>
              </w:rPr>
              <w:t>51</w:t>
            </w:r>
          </w:p>
        </w:tc>
        <w:tc>
          <w:tcPr>
            <w:tcW w:w="1000" w:type="pct"/>
            <w:shd w:val="clear" w:color="auto" w:fill="auto"/>
            <w:vAlign w:val="center"/>
          </w:tcPr>
          <w:p>
            <w:pPr>
              <w:widowControl w:val="0"/>
              <w:jc w:val="center"/>
              <w:rPr>
                <w:color w:val="auto"/>
              </w:rPr>
            </w:pPr>
            <w:r>
              <w:rPr>
                <w:rFonts w:hint="eastAsia"/>
                <w:color w:val="auto"/>
              </w:rPr>
              <w:t>900</w:t>
            </w:r>
          </w:p>
        </w:tc>
        <w:tc>
          <w:tcPr>
            <w:tcW w:w="1000"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20" w:type="pct"/>
            <w:shd w:val="clear" w:color="auto" w:fill="auto"/>
            <w:vAlign w:val="center"/>
          </w:tcPr>
          <w:p>
            <w:pPr>
              <w:widowControl w:val="0"/>
              <w:jc w:val="center"/>
              <w:rPr>
                <w:color w:val="auto"/>
              </w:rPr>
            </w:pPr>
            <w:r>
              <w:rPr>
                <w:color w:val="auto"/>
              </w:rPr>
              <w:t>石油烃</w:t>
            </w:r>
          </w:p>
        </w:tc>
        <w:tc>
          <w:tcPr>
            <w:tcW w:w="979" w:type="pct"/>
            <w:shd w:val="clear" w:color="auto" w:fill="auto"/>
            <w:vAlign w:val="center"/>
          </w:tcPr>
          <w:p>
            <w:pPr>
              <w:widowControl w:val="0"/>
              <w:jc w:val="center"/>
              <w:rPr>
                <w:color w:val="auto"/>
              </w:rPr>
            </w:pPr>
            <w:r>
              <w:rPr>
                <w:rFonts w:hint="eastAsia"/>
                <w:color w:val="auto"/>
              </w:rPr>
              <w:t>62</w:t>
            </w:r>
          </w:p>
        </w:tc>
        <w:tc>
          <w:tcPr>
            <w:tcW w:w="1000" w:type="pct"/>
            <w:shd w:val="clear" w:color="auto" w:fill="auto"/>
            <w:vAlign w:val="center"/>
          </w:tcPr>
          <w:p>
            <w:pPr>
              <w:widowControl w:val="0"/>
              <w:jc w:val="center"/>
              <w:rPr>
                <w:color w:val="auto"/>
              </w:rPr>
            </w:pPr>
            <w:r>
              <w:rPr>
                <w:rFonts w:hint="eastAsia"/>
                <w:color w:val="auto"/>
              </w:rPr>
              <w:t>74</w:t>
            </w:r>
          </w:p>
        </w:tc>
        <w:tc>
          <w:tcPr>
            <w:tcW w:w="1000" w:type="pct"/>
            <w:shd w:val="clear" w:color="auto" w:fill="auto"/>
            <w:vAlign w:val="center"/>
          </w:tcPr>
          <w:p>
            <w:pPr>
              <w:widowControl w:val="0"/>
              <w:jc w:val="center"/>
              <w:rPr>
                <w:color w:val="auto"/>
              </w:rPr>
            </w:pPr>
            <w:r>
              <w:rPr>
                <w:rFonts w:hint="eastAsia"/>
                <w:color w:val="auto"/>
              </w:rPr>
              <w:t>4500</w:t>
            </w:r>
          </w:p>
        </w:tc>
        <w:tc>
          <w:tcPr>
            <w:tcW w:w="1000" w:type="pct"/>
            <w:shd w:val="clear" w:color="auto" w:fill="auto"/>
            <w:vAlign w:val="center"/>
          </w:tcPr>
          <w:p>
            <w:pPr>
              <w:widowControl w:val="0"/>
              <w:jc w:val="center"/>
              <w:rPr>
                <w:color w:val="auto"/>
              </w:rPr>
            </w:pPr>
            <w:r>
              <w:rPr>
                <w:color w:val="auto"/>
              </w:rPr>
              <w:t>达标</w:t>
            </w:r>
          </w:p>
        </w:tc>
      </w:tr>
    </w:tbl>
    <w:p>
      <w:pPr>
        <w:spacing w:before="156" w:beforeLines="50"/>
        <w:jc w:val="center"/>
        <w:rPr>
          <w:rFonts w:eastAsia="黑体"/>
          <w:color w:val="auto"/>
          <w:sz w:val="24"/>
          <w:szCs w:val="24"/>
        </w:rPr>
      </w:pPr>
      <w:r>
        <w:rPr>
          <w:rFonts w:hint="eastAsia" w:eastAsia="黑体"/>
          <w:color w:val="auto"/>
          <w:sz w:val="24"/>
          <w:szCs w:val="24"/>
        </w:rPr>
        <w:t>表4.2-24     厂区内土壤现状监测结果一览表     单位：mg/kg</w:t>
      </w:r>
    </w:p>
    <w:tbl>
      <w:tblPr>
        <w:tblStyle w:val="83"/>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897"/>
        <w:gridCol w:w="329"/>
        <w:gridCol w:w="568"/>
        <w:gridCol w:w="566"/>
        <w:gridCol w:w="333"/>
        <w:gridCol w:w="897"/>
        <w:gridCol w:w="901"/>
        <w:gridCol w:w="902"/>
        <w:gridCol w:w="897"/>
        <w:gridCol w:w="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Merge w:val="restart"/>
            <w:tcBorders>
              <w:tl2br w:val="single" w:color="auto" w:sz="4" w:space="0"/>
            </w:tcBorders>
            <w:shd w:val="clear" w:color="auto" w:fill="auto"/>
            <w:vAlign w:val="center"/>
          </w:tcPr>
          <w:p>
            <w:pPr>
              <w:widowControl w:val="0"/>
              <w:adjustRightInd w:val="0"/>
              <w:snapToGrid w:val="0"/>
              <w:jc w:val="center"/>
              <w:textAlignment w:val="baseline"/>
              <w:rPr>
                <w:b/>
                <w:color w:val="auto"/>
              </w:rPr>
            </w:pPr>
            <w:bookmarkStart w:id="283" w:name="_Toc428286813"/>
            <w:bookmarkStart w:id="284" w:name="_Toc429318397"/>
            <w:bookmarkStart w:id="285" w:name="_Toc428287207"/>
            <w:r>
              <w:rPr>
                <w:b/>
                <w:color w:val="auto"/>
              </w:rPr>
              <w:t>点位</w:t>
            </w:r>
          </w:p>
          <w:p>
            <w:pPr>
              <w:widowControl w:val="0"/>
              <w:adjustRightInd w:val="0"/>
              <w:snapToGrid w:val="0"/>
              <w:jc w:val="both"/>
              <w:textAlignment w:val="baseline"/>
              <w:rPr>
                <w:b/>
                <w:color w:val="auto"/>
              </w:rPr>
            </w:pPr>
            <w:r>
              <w:rPr>
                <w:b/>
                <w:color w:val="auto"/>
              </w:rPr>
              <w:t>因子</w:t>
            </w:r>
          </w:p>
        </w:tc>
        <w:tc>
          <w:tcPr>
            <w:tcW w:w="1579" w:type="pct"/>
            <w:gridSpan w:val="5"/>
            <w:shd w:val="clear" w:color="auto" w:fill="auto"/>
            <w:vAlign w:val="center"/>
          </w:tcPr>
          <w:p>
            <w:pPr>
              <w:widowControl w:val="0"/>
              <w:adjustRightInd w:val="0"/>
              <w:snapToGrid w:val="0"/>
              <w:jc w:val="center"/>
              <w:textAlignment w:val="baseline"/>
              <w:rPr>
                <w:b/>
                <w:color w:val="auto"/>
              </w:rPr>
            </w:pPr>
            <w:r>
              <w:rPr>
                <w:rFonts w:hint="eastAsia"/>
                <w:b/>
                <w:color w:val="auto"/>
              </w:rPr>
              <w:t>4</w:t>
            </w:r>
            <w:r>
              <w:rPr>
                <w:b/>
                <w:color w:val="auto"/>
              </w:rPr>
              <w:t>#拟建污水处理设施附近（m）</w:t>
            </w:r>
          </w:p>
        </w:tc>
        <w:tc>
          <w:tcPr>
            <w:tcW w:w="1583" w:type="pct"/>
            <w:gridSpan w:val="3"/>
            <w:shd w:val="clear" w:color="auto" w:fill="auto"/>
            <w:vAlign w:val="center"/>
          </w:tcPr>
          <w:p>
            <w:pPr>
              <w:widowControl w:val="0"/>
              <w:adjustRightInd w:val="0"/>
              <w:snapToGrid w:val="0"/>
              <w:jc w:val="center"/>
              <w:textAlignment w:val="baseline"/>
              <w:rPr>
                <w:b/>
                <w:color w:val="auto"/>
              </w:rPr>
            </w:pPr>
            <w:r>
              <w:rPr>
                <w:rFonts w:hint="eastAsia"/>
                <w:b/>
                <w:color w:val="auto"/>
              </w:rPr>
              <w:t>3</w:t>
            </w:r>
            <w:r>
              <w:rPr>
                <w:b/>
                <w:color w:val="auto"/>
              </w:rPr>
              <w:t>#拟建机加工车间附近（m）</w:t>
            </w:r>
          </w:p>
        </w:tc>
        <w:tc>
          <w:tcPr>
            <w:tcW w:w="526" w:type="pct"/>
            <w:vMerge w:val="restart"/>
            <w:shd w:val="clear" w:color="auto" w:fill="auto"/>
            <w:vAlign w:val="center"/>
          </w:tcPr>
          <w:p>
            <w:pPr>
              <w:widowControl w:val="0"/>
              <w:adjustRightInd w:val="0"/>
              <w:snapToGrid w:val="0"/>
              <w:jc w:val="center"/>
              <w:textAlignment w:val="baseline"/>
              <w:rPr>
                <w:b/>
                <w:color w:val="auto"/>
              </w:rPr>
            </w:pPr>
            <w:r>
              <w:rPr>
                <w:b/>
                <w:color w:val="auto"/>
              </w:rPr>
              <w:t>标准</w:t>
            </w:r>
          </w:p>
        </w:tc>
        <w:tc>
          <w:tcPr>
            <w:tcW w:w="472" w:type="pct"/>
            <w:vMerge w:val="restart"/>
            <w:shd w:val="clear" w:color="auto" w:fill="auto"/>
            <w:vAlign w:val="center"/>
          </w:tcPr>
          <w:p>
            <w:pPr>
              <w:widowControl w:val="0"/>
              <w:adjustRightInd w:val="0"/>
              <w:snapToGrid w:val="0"/>
              <w:jc w:val="center"/>
              <w:textAlignment w:val="baseline"/>
              <w:rPr>
                <w:b/>
                <w:color w:val="auto"/>
              </w:rPr>
            </w:pPr>
            <w:r>
              <w:rPr>
                <w:b/>
                <w:color w:val="auto"/>
              </w:rPr>
              <w:t>达标</w:t>
            </w:r>
          </w:p>
          <w:p>
            <w:pPr>
              <w:widowControl w:val="0"/>
              <w:adjustRightInd w:val="0"/>
              <w:snapToGrid w:val="0"/>
              <w:jc w:val="center"/>
              <w:textAlignment w:val="baseline"/>
              <w:rPr>
                <w:b/>
                <w:color w:val="auto"/>
              </w:rPr>
            </w:pPr>
            <w:r>
              <w:rPr>
                <w:b/>
                <w:color w:val="auto"/>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Merge w:val="continue"/>
            <w:tcBorders>
              <w:tl2br w:val="single" w:color="auto" w:sz="4" w:space="0"/>
            </w:tcBorders>
            <w:shd w:val="clear" w:color="auto" w:fill="auto"/>
            <w:vAlign w:val="center"/>
          </w:tcPr>
          <w:p>
            <w:pPr>
              <w:widowControl w:val="0"/>
              <w:jc w:val="center"/>
              <w:rPr>
                <w:color w:val="auto"/>
              </w:rPr>
            </w:pPr>
          </w:p>
        </w:tc>
        <w:tc>
          <w:tcPr>
            <w:tcW w:w="526" w:type="pct"/>
            <w:shd w:val="clear" w:color="auto" w:fill="auto"/>
            <w:vAlign w:val="center"/>
          </w:tcPr>
          <w:p>
            <w:pPr>
              <w:widowControl w:val="0"/>
              <w:jc w:val="center"/>
              <w:rPr>
                <w:b/>
                <w:color w:val="auto"/>
              </w:rPr>
            </w:pPr>
            <w:r>
              <w:rPr>
                <w:b/>
                <w:color w:val="auto"/>
              </w:rPr>
              <w:t>0-0.5</w:t>
            </w:r>
          </w:p>
        </w:tc>
        <w:tc>
          <w:tcPr>
            <w:tcW w:w="526" w:type="pct"/>
            <w:gridSpan w:val="2"/>
            <w:shd w:val="clear" w:color="auto" w:fill="auto"/>
            <w:vAlign w:val="center"/>
          </w:tcPr>
          <w:p>
            <w:pPr>
              <w:widowControl w:val="0"/>
              <w:jc w:val="center"/>
              <w:rPr>
                <w:b/>
                <w:color w:val="auto"/>
              </w:rPr>
            </w:pPr>
            <w:r>
              <w:rPr>
                <w:b/>
                <w:color w:val="auto"/>
              </w:rPr>
              <w:t>0.5-1.5</w:t>
            </w:r>
          </w:p>
        </w:tc>
        <w:tc>
          <w:tcPr>
            <w:tcW w:w="527" w:type="pct"/>
            <w:gridSpan w:val="2"/>
            <w:shd w:val="clear" w:color="auto" w:fill="auto"/>
            <w:vAlign w:val="center"/>
          </w:tcPr>
          <w:p>
            <w:pPr>
              <w:widowControl w:val="0"/>
              <w:jc w:val="center"/>
              <w:rPr>
                <w:b/>
                <w:color w:val="auto"/>
              </w:rPr>
            </w:pPr>
            <w:r>
              <w:rPr>
                <w:b/>
                <w:color w:val="auto"/>
              </w:rPr>
              <w:t>1.5-3.0</w:t>
            </w:r>
          </w:p>
        </w:tc>
        <w:tc>
          <w:tcPr>
            <w:tcW w:w="526" w:type="pct"/>
            <w:shd w:val="clear" w:color="auto" w:fill="auto"/>
            <w:vAlign w:val="center"/>
          </w:tcPr>
          <w:p>
            <w:pPr>
              <w:widowControl w:val="0"/>
              <w:jc w:val="center"/>
              <w:rPr>
                <w:b/>
                <w:color w:val="auto"/>
              </w:rPr>
            </w:pPr>
            <w:r>
              <w:rPr>
                <w:b/>
                <w:color w:val="auto"/>
              </w:rPr>
              <w:t>0-0.5</w:t>
            </w:r>
          </w:p>
        </w:tc>
        <w:tc>
          <w:tcPr>
            <w:tcW w:w="528" w:type="pct"/>
            <w:shd w:val="clear" w:color="auto" w:fill="auto"/>
            <w:vAlign w:val="center"/>
          </w:tcPr>
          <w:p>
            <w:pPr>
              <w:widowControl w:val="0"/>
              <w:jc w:val="center"/>
              <w:rPr>
                <w:b/>
                <w:color w:val="auto"/>
              </w:rPr>
            </w:pPr>
            <w:r>
              <w:rPr>
                <w:b/>
                <w:color w:val="auto"/>
              </w:rPr>
              <w:t>0.5-1.5</w:t>
            </w:r>
          </w:p>
        </w:tc>
        <w:tc>
          <w:tcPr>
            <w:tcW w:w="529" w:type="pct"/>
            <w:shd w:val="clear" w:color="auto" w:fill="auto"/>
            <w:vAlign w:val="center"/>
          </w:tcPr>
          <w:p>
            <w:pPr>
              <w:widowControl w:val="0"/>
              <w:jc w:val="center"/>
              <w:rPr>
                <w:b/>
                <w:color w:val="auto"/>
              </w:rPr>
            </w:pPr>
            <w:r>
              <w:rPr>
                <w:b/>
                <w:color w:val="auto"/>
              </w:rPr>
              <w:t>1.5-3.0</w:t>
            </w:r>
          </w:p>
        </w:tc>
        <w:tc>
          <w:tcPr>
            <w:tcW w:w="526" w:type="pct"/>
            <w:vMerge w:val="continue"/>
            <w:shd w:val="clear" w:color="auto" w:fill="auto"/>
            <w:vAlign w:val="center"/>
          </w:tcPr>
          <w:p>
            <w:pPr>
              <w:widowControl w:val="0"/>
              <w:adjustRightInd w:val="0"/>
              <w:snapToGrid w:val="0"/>
              <w:jc w:val="center"/>
              <w:textAlignment w:val="baseline"/>
              <w:rPr>
                <w:color w:val="auto"/>
              </w:rPr>
            </w:pPr>
          </w:p>
        </w:tc>
        <w:tc>
          <w:tcPr>
            <w:tcW w:w="472" w:type="pct"/>
            <w:vMerge w:val="continue"/>
            <w:shd w:val="clear" w:color="auto" w:fill="auto"/>
            <w:vAlign w:val="center"/>
          </w:tcPr>
          <w:p>
            <w:pPr>
              <w:widowControl w:val="0"/>
              <w:adjustRightInd w:val="0"/>
              <w:snapToGrid w:val="0"/>
              <w:jc w:val="center"/>
              <w:textAlignment w:val="baseline"/>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pH值（无量纲）</w:t>
            </w:r>
          </w:p>
        </w:tc>
        <w:tc>
          <w:tcPr>
            <w:tcW w:w="526" w:type="pct"/>
            <w:shd w:val="clear" w:color="auto" w:fill="auto"/>
            <w:vAlign w:val="center"/>
          </w:tcPr>
          <w:p>
            <w:pPr>
              <w:widowControl w:val="0"/>
              <w:jc w:val="center"/>
              <w:rPr>
                <w:color w:val="auto"/>
              </w:rPr>
            </w:pPr>
            <w:r>
              <w:rPr>
                <w:rFonts w:hint="eastAsia"/>
                <w:color w:val="auto"/>
              </w:rPr>
              <w:t>7.5</w:t>
            </w:r>
          </w:p>
        </w:tc>
        <w:tc>
          <w:tcPr>
            <w:tcW w:w="526" w:type="pct"/>
            <w:gridSpan w:val="2"/>
            <w:shd w:val="clear" w:color="auto" w:fill="auto"/>
            <w:vAlign w:val="center"/>
          </w:tcPr>
          <w:p>
            <w:pPr>
              <w:widowControl w:val="0"/>
              <w:jc w:val="center"/>
              <w:rPr>
                <w:color w:val="auto"/>
              </w:rPr>
            </w:pPr>
            <w:r>
              <w:rPr>
                <w:rFonts w:hint="eastAsia"/>
                <w:color w:val="auto"/>
              </w:rPr>
              <w:t>7.2</w:t>
            </w:r>
          </w:p>
        </w:tc>
        <w:tc>
          <w:tcPr>
            <w:tcW w:w="527" w:type="pct"/>
            <w:gridSpan w:val="2"/>
            <w:shd w:val="clear" w:color="auto" w:fill="auto"/>
            <w:vAlign w:val="center"/>
          </w:tcPr>
          <w:p>
            <w:pPr>
              <w:widowControl w:val="0"/>
              <w:jc w:val="center"/>
              <w:rPr>
                <w:color w:val="auto"/>
              </w:rPr>
            </w:pPr>
            <w:r>
              <w:rPr>
                <w:rFonts w:hint="eastAsia"/>
                <w:color w:val="auto"/>
              </w:rPr>
              <w:t>6.8</w:t>
            </w:r>
          </w:p>
        </w:tc>
        <w:tc>
          <w:tcPr>
            <w:tcW w:w="526" w:type="pct"/>
            <w:shd w:val="clear" w:color="auto" w:fill="auto"/>
            <w:vAlign w:val="center"/>
          </w:tcPr>
          <w:p>
            <w:pPr>
              <w:widowControl w:val="0"/>
              <w:jc w:val="center"/>
              <w:rPr>
                <w:color w:val="auto"/>
              </w:rPr>
            </w:pPr>
            <w:r>
              <w:rPr>
                <w:rFonts w:hint="eastAsia"/>
                <w:color w:val="auto"/>
              </w:rPr>
              <w:t>7.5</w:t>
            </w:r>
          </w:p>
        </w:tc>
        <w:tc>
          <w:tcPr>
            <w:tcW w:w="528" w:type="pct"/>
            <w:shd w:val="clear" w:color="auto" w:fill="auto"/>
            <w:vAlign w:val="center"/>
          </w:tcPr>
          <w:p>
            <w:pPr>
              <w:widowControl w:val="0"/>
              <w:jc w:val="center"/>
              <w:rPr>
                <w:color w:val="auto"/>
              </w:rPr>
            </w:pPr>
            <w:r>
              <w:rPr>
                <w:color w:val="auto"/>
              </w:rPr>
              <w:t>7.</w:t>
            </w:r>
            <w:r>
              <w:rPr>
                <w:rFonts w:hint="eastAsia"/>
                <w:color w:val="auto"/>
              </w:rPr>
              <w:t>3</w:t>
            </w:r>
          </w:p>
        </w:tc>
        <w:tc>
          <w:tcPr>
            <w:tcW w:w="529" w:type="pct"/>
            <w:shd w:val="clear" w:color="auto" w:fill="auto"/>
            <w:vAlign w:val="center"/>
          </w:tcPr>
          <w:p>
            <w:pPr>
              <w:widowControl w:val="0"/>
              <w:jc w:val="center"/>
              <w:rPr>
                <w:color w:val="auto"/>
              </w:rPr>
            </w:pPr>
            <w:r>
              <w:rPr>
                <w:color w:val="auto"/>
              </w:rPr>
              <w:t>7.</w:t>
            </w:r>
            <w:r>
              <w:rPr>
                <w:rFonts w:hint="eastAsia"/>
                <w:color w:val="auto"/>
              </w:rPr>
              <w:t>0</w:t>
            </w:r>
          </w:p>
        </w:tc>
        <w:tc>
          <w:tcPr>
            <w:tcW w:w="526" w:type="pct"/>
            <w:shd w:val="clear" w:color="auto" w:fill="auto"/>
            <w:vAlign w:val="center"/>
          </w:tcPr>
          <w:p>
            <w:pPr>
              <w:widowControl w:val="0"/>
              <w:adjustRightInd w:val="0"/>
              <w:snapToGrid w:val="0"/>
              <w:jc w:val="center"/>
              <w:textAlignment w:val="baseline"/>
              <w:rPr>
                <w:color w:val="auto"/>
              </w:rPr>
            </w:pPr>
            <w:r>
              <w:rPr>
                <w:color w:val="auto"/>
              </w:rPr>
              <w:t>/</w:t>
            </w:r>
          </w:p>
        </w:tc>
        <w:tc>
          <w:tcPr>
            <w:tcW w:w="472" w:type="pct"/>
            <w:shd w:val="clear" w:color="auto" w:fill="auto"/>
            <w:vAlign w:val="center"/>
          </w:tcPr>
          <w:p>
            <w:pPr>
              <w:widowControl w:val="0"/>
              <w:adjustRightInd w:val="0"/>
              <w:snapToGrid w:val="0"/>
              <w:jc w:val="center"/>
              <w:textAlignment w:val="baseline"/>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铬（六价铬）</w:t>
            </w:r>
          </w:p>
        </w:tc>
        <w:tc>
          <w:tcPr>
            <w:tcW w:w="526" w:type="pct"/>
            <w:shd w:val="clear" w:color="auto" w:fill="auto"/>
            <w:vAlign w:val="center"/>
          </w:tcPr>
          <w:p>
            <w:pPr>
              <w:widowControl w:val="0"/>
              <w:jc w:val="center"/>
              <w:rPr>
                <w:color w:val="auto"/>
              </w:rPr>
            </w:pPr>
            <w:r>
              <w:rPr>
                <w:color w:val="auto"/>
              </w:rPr>
              <w:t>ND</w:t>
            </w:r>
          </w:p>
        </w:tc>
        <w:tc>
          <w:tcPr>
            <w:tcW w:w="526" w:type="pct"/>
            <w:gridSpan w:val="2"/>
            <w:shd w:val="clear" w:color="auto" w:fill="auto"/>
            <w:vAlign w:val="center"/>
          </w:tcPr>
          <w:p>
            <w:pPr>
              <w:widowControl w:val="0"/>
              <w:jc w:val="center"/>
              <w:rPr>
                <w:color w:val="auto"/>
              </w:rPr>
            </w:pPr>
            <w:r>
              <w:rPr>
                <w:color w:val="auto"/>
              </w:rPr>
              <w:t>ND</w:t>
            </w:r>
          </w:p>
        </w:tc>
        <w:tc>
          <w:tcPr>
            <w:tcW w:w="52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ND</w:t>
            </w:r>
          </w:p>
        </w:tc>
        <w:tc>
          <w:tcPr>
            <w:tcW w:w="528" w:type="pct"/>
            <w:shd w:val="clear" w:color="auto" w:fill="auto"/>
            <w:vAlign w:val="center"/>
          </w:tcPr>
          <w:p>
            <w:pPr>
              <w:widowControl w:val="0"/>
              <w:jc w:val="center"/>
              <w:rPr>
                <w:color w:val="auto"/>
              </w:rPr>
            </w:pPr>
            <w:r>
              <w:rPr>
                <w:color w:val="auto"/>
              </w:rPr>
              <w:t>ND</w:t>
            </w:r>
          </w:p>
        </w:tc>
        <w:tc>
          <w:tcPr>
            <w:tcW w:w="529" w:type="pct"/>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adjustRightInd w:val="0"/>
              <w:snapToGrid w:val="0"/>
              <w:jc w:val="center"/>
              <w:textAlignment w:val="baseline"/>
              <w:rPr>
                <w:color w:val="auto"/>
              </w:rPr>
            </w:pPr>
            <w:r>
              <w:rPr>
                <w:color w:val="auto"/>
              </w:rPr>
              <w:t>5.7</w:t>
            </w:r>
          </w:p>
        </w:tc>
        <w:tc>
          <w:tcPr>
            <w:tcW w:w="472" w:type="pct"/>
            <w:shd w:val="clear" w:color="auto" w:fill="auto"/>
            <w:vAlign w:val="center"/>
          </w:tcPr>
          <w:p>
            <w:pPr>
              <w:widowControl w:val="0"/>
              <w:adjustRightInd w:val="0"/>
              <w:snapToGrid w:val="0"/>
              <w:jc w:val="center"/>
              <w:textAlignment w:val="baseline"/>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镍</w:t>
            </w:r>
          </w:p>
        </w:tc>
        <w:tc>
          <w:tcPr>
            <w:tcW w:w="526" w:type="pct"/>
            <w:shd w:val="clear" w:color="auto" w:fill="auto"/>
            <w:vAlign w:val="center"/>
          </w:tcPr>
          <w:p>
            <w:pPr>
              <w:widowControl w:val="0"/>
              <w:adjustRightInd w:val="0"/>
              <w:snapToGrid w:val="0"/>
              <w:jc w:val="center"/>
              <w:textAlignment w:val="baseline"/>
              <w:rPr>
                <w:color w:val="auto"/>
              </w:rPr>
            </w:pPr>
            <w:r>
              <w:rPr>
                <w:color w:val="auto"/>
              </w:rPr>
              <w:t>72</w:t>
            </w:r>
          </w:p>
        </w:tc>
        <w:tc>
          <w:tcPr>
            <w:tcW w:w="526" w:type="pct"/>
            <w:gridSpan w:val="2"/>
            <w:shd w:val="clear" w:color="auto" w:fill="auto"/>
            <w:vAlign w:val="center"/>
          </w:tcPr>
          <w:p>
            <w:pPr>
              <w:widowControl w:val="0"/>
              <w:adjustRightInd w:val="0"/>
              <w:snapToGrid w:val="0"/>
              <w:jc w:val="center"/>
              <w:textAlignment w:val="baseline"/>
              <w:rPr>
                <w:color w:val="auto"/>
              </w:rPr>
            </w:pPr>
            <w:r>
              <w:rPr>
                <w:color w:val="auto"/>
              </w:rPr>
              <w:t>96</w:t>
            </w:r>
          </w:p>
        </w:tc>
        <w:tc>
          <w:tcPr>
            <w:tcW w:w="527" w:type="pct"/>
            <w:gridSpan w:val="2"/>
            <w:shd w:val="clear" w:color="auto" w:fill="auto"/>
            <w:vAlign w:val="center"/>
          </w:tcPr>
          <w:p>
            <w:pPr>
              <w:widowControl w:val="0"/>
              <w:adjustRightInd w:val="0"/>
              <w:snapToGrid w:val="0"/>
              <w:jc w:val="center"/>
              <w:textAlignment w:val="baseline"/>
              <w:rPr>
                <w:color w:val="auto"/>
              </w:rPr>
            </w:pPr>
            <w:r>
              <w:rPr>
                <w:color w:val="auto"/>
              </w:rPr>
              <w:t>54</w:t>
            </w:r>
          </w:p>
        </w:tc>
        <w:tc>
          <w:tcPr>
            <w:tcW w:w="526" w:type="pct"/>
            <w:shd w:val="clear" w:color="auto" w:fill="auto"/>
            <w:vAlign w:val="center"/>
          </w:tcPr>
          <w:p>
            <w:pPr>
              <w:widowControl w:val="0"/>
              <w:adjustRightInd w:val="0"/>
              <w:snapToGrid w:val="0"/>
              <w:jc w:val="center"/>
              <w:textAlignment w:val="baseline"/>
              <w:rPr>
                <w:color w:val="auto"/>
              </w:rPr>
            </w:pPr>
            <w:r>
              <w:rPr>
                <w:rFonts w:hint="eastAsia"/>
                <w:color w:val="auto"/>
              </w:rPr>
              <w:t>25</w:t>
            </w:r>
          </w:p>
        </w:tc>
        <w:tc>
          <w:tcPr>
            <w:tcW w:w="528" w:type="pct"/>
            <w:shd w:val="clear" w:color="auto" w:fill="auto"/>
            <w:vAlign w:val="center"/>
          </w:tcPr>
          <w:p>
            <w:pPr>
              <w:widowControl w:val="0"/>
              <w:adjustRightInd w:val="0"/>
              <w:snapToGrid w:val="0"/>
              <w:jc w:val="center"/>
              <w:textAlignment w:val="baseline"/>
              <w:rPr>
                <w:color w:val="auto"/>
              </w:rPr>
            </w:pPr>
            <w:r>
              <w:rPr>
                <w:rFonts w:hint="eastAsia"/>
                <w:color w:val="auto"/>
              </w:rPr>
              <w:t>81</w:t>
            </w:r>
          </w:p>
        </w:tc>
        <w:tc>
          <w:tcPr>
            <w:tcW w:w="529" w:type="pct"/>
            <w:shd w:val="clear" w:color="auto" w:fill="auto"/>
            <w:vAlign w:val="center"/>
          </w:tcPr>
          <w:p>
            <w:pPr>
              <w:widowControl w:val="0"/>
              <w:adjustRightInd w:val="0"/>
              <w:snapToGrid w:val="0"/>
              <w:jc w:val="center"/>
              <w:textAlignment w:val="baseline"/>
              <w:rPr>
                <w:color w:val="auto"/>
              </w:rPr>
            </w:pPr>
            <w:r>
              <w:rPr>
                <w:rFonts w:hint="eastAsia"/>
                <w:color w:val="auto"/>
              </w:rPr>
              <w:t>39</w:t>
            </w:r>
          </w:p>
        </w:tc>
        <w:tc>
          <w:tcPr>
            <w:tcW w:w="526" w:type="pct"/>
            <w:shd w:val="clear" w:color="auto" w:fill="auto"/>
            <w:vAlign w:val="center"/>
          </w:tcPr>
          <w:p>
            <w:pPr>
              <w:widowControl w:val="0"/>
              <w:adjustRightInd w:val="0"/>
              <w:snapToGrid w:val="0"/>
              <w:jc w:val="center"/>
              <w:textAlignment w:val="baseline"/>
              <w:rPr>
                <w:color w:val="auto"/>
              </w:rPr>
            </w:pPr>
            <w:r>
              <w:rPr>
                <w:color w:val="auto"/>
              </w:rPr>
              <w:t>900</w:t>
            </w:r>
          </w:p>
        </w:tc>
        <w:tc>
          <w:tcPr>
            <w:tcW w:w="472" w:type="pct"/>
            <w:shd w:val="clear" w:color="auto" w:fill="auto"/>
            <w:vAlign w:val="center"/>
          </w:tcPr>
          <w:p>
            <w:pPr>
              <w:widowControl w:val="0"/>
              <w:adjustRightInd w:val="0"/>
              <w:snapToGrid w:val="0"/>
              <w:jc w:val="center"/>
              <w:textAlignment w:val="baseline"/>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锌</w:t>
            </w:r>
          </w:p>
        </w:tc>
        <w:tc>
          <w:tcPr>
            <w:tcW w:w="526" w:type="pct"/>
            <w:shd w:val="clear" w:color="auto" w:fill="auto"/>
            <w:vAlign w:val="center"/>
          </w:tcPr>
          <w:p>
            <w:pPr>
              <w:widowControl w:val="0"/>
              <w:adjustRightInd w:val="0"/>
              <w:snapToGrid w:val="0"/>
              <w:jc w:val="center"/>
              <w:textAlignment w:val="baseline"/>
              <w:rPr>
                <w:color w:val="auto"/>
              </w:rPr>
            </w:pPr>
            <w:r>
              <w:rPr>
                <w:color w:val="auto"/>
              </w:rPr>
              <w:t>66.3</w:t>
            </w:r>
          </w:p>
        </w:tc>
        <w:tc>
          <w:tcPr>
            <w:tcW w:w="526" w:type="pct"/>
            <w:gridSpan w:val="2"/>
            <w:shd w:val="clear" w:color="auto" w:fill="auto"/>
            <w:vAlign w:val="center"/>
          </w:tcPr>
          <w:p>
            <w:pPr>
              <w:widowControl w:val="0"/>
              <w:adjustRightInd w:val="0"/>
              <w:snapToGrid w:val="0"/>
              <w:jc w:val="center"/>
              <w:textAlignment w:val="baseline"/>
              <w:rPr>
                <w:color w:val="auto"/>
              </w:rPr>
            </w:pPr>
            <w:r>
              <w:rPr>
                <w:color w:val="auto"/>
              </w:rPr>
              <w:t>45.9</w:t>
            </w:r>
          </w:p>
        </w:tc>
        <w:tc>
          <w:tcPr>
            <w:tcW w:w="527" w:type="pct"/>
            <w:gridSpan w:val="2"/>
            <w:shd w:val="clear" w:color="auto" w:fill="auto"/>
            <w:vAlign w:val="center"/>
          </w:tcPr>
          <w:p>
            <w:pPr>
              <w:widowControl w:val="0"/>
              <w:adjustRightInd w:val="0"/>
              <w:snapToGrid w:val="0"/>
              <w:jc w:val="center"/>
              <w:textAlignment w:val="baseline"/>
              <w:rPr>
                <w:color w:val="auto"/>
              </w:rPr>
            </w:pPr>
            <w:r>
              <w:rPr>
                <w:color w:val="auto"/>
              </w:rPr>
              <w:t>32.6</w:t>
            </w:r>
          </w:p>
        </w:tc>
        <w:tc>
          <w:tcPr>
            <w:tcW w:w="526" w:type="pct"/>
            <w:shd w:val="clear" w:color="auto" w:fill="auto"/>
            <w:vAlign w:val="center"/>
          </w:tcPr>
          <w:p>
            <w:pPr>
              <w:widowControl w:val="0"/>
              <w:adjustRightInd w:val="0"/>
              <w:snapToGrid w:val="0"/>
              <w:jc w:val="center"/>
              <w:textAlignment w:val="baseline"/>
              <w:rPr>
                <w:color w:val="auto"/>
              </w:rPr>
            </w:pPr>
            <w:r>
              <w:rPr>
                <w:rFonts w:hint="eastAsia"/>
                <w:color w:val="auto"/>
              </w:rPr>
              <w:t>55.7</w:t>
            </w:r>
          </w:p>
        </w:tc>
        <w:tc>
          <w:tcPr>
            <w:tcW w:w="528" w:type="pct"/>
            <w:shd w:val="clear" w:color="auto" w:fill="auto"/>
            <w:vAlign w:val="center"/>
          </w:tcPr>
          <w:p>
            <w:pPr>
              <w:widowControl w:val="0"/>
              <w:adjustRightInd w:val="0"/>
              <w:snapToGrid w:val="0"/>
              <w:jc w:val="center"/>
              <w:textAlignment w:val="baseline"/>
              <w:rPr>
                <w:color w:val="auto"/>
              </w:rPr>
            </w:pPr>
            <w:r>
              <w:rPr>
                <w:rFonts w:hint="eastAsia"/>
                <w:color w:val="auto"/>
              </w:rPr>
              <w:t>49.6</w:t>
            </w:r>
          </w:p>
        </w:tc>
        <w:tc>
          <w:tcPr>
            <w:tcW w:w="529" w:type="pct"/>
            <w:shd w:val="clear" w:color="auto" w:fill="auto"/>
            <w:vAlign w:val="center"/>
          </w:tcPr>
          <w:p>
            <w:pPr>
              <w:widowControl w:val="0"/>
              <w:adjustRightInd w:val="0"/>
              <w:snapToGrid w:val="0"/>
              <w:jc w:val="center"/>
              <w:textAlignment w:val="baseline"/>
              <w:rPr>
                <w:color w:val="auto"/>
              </w:rPr>
            </w:pPr>
            <w:r>
              <w:rPr>
                <w:rFonts w:hint="eastAsia"/>
                <w:color w:val="auto"/>
              </w:rPr>
              <w:t>32.3</w:t>
            </w:r>
          </w:p>
        </w:tc>
        <w:tc>
          <w:tcPr>
            <w:tcW w:w="526" w:type="pct"/>
            <w:shd w:val="clear" w:color="auto" w:fill="auto"/>
            <w:vAlign w:val="center"/>
          </w:tcPr>
          <w:p>
            <w:pPr>
              <w:widowControl w:val="0"/>
              <w:adjustRightInd w:val="0"/>
              <w:snapToGrid w:val="0"/>
              <w:jc w:val="center"/>
              <w:textAlignment w:val="baseline"/>
              <w:rPr>
                <w:color w:val="auto"/>
              </w:rPr>
            </w:pPr>
            <w:r>
              <w:rPr>
                <w:color w:val="auto"/>
              </w:rPr>
              <w:t>/</w:t>
            </w:r>
          </w:p>
        </w:tc>
        <w:tc>
          <w:tcPr>
            <w:tcW w:w="472" w:type="pct"/>
            <w:shd w:val="clear" w:color="auto" w:fill="auto"/>
            <w:vAlign w:val="center"/>
          </w:tcPr>
          <w:p>
            <w:pPr>
              <w:widowControl w:val="0"/>
              <w:adjustRightInd w:val="0"/>
              <w:snapToGrid w:val="0"/>
              <w:jc w:val="center"/>
              <w:textAlignment w:val="baseline"/>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石油烃</w:t>
            </w:r>
          </w:p>
        </w:tc>
        <w:tc>
          <w:tcPr>
            <w:tcW w:w="526" w:type="pct"/>
            <w:shd w:val="clear" w:color="auto" w:fill="auto"/>
            <w:vAlign w:val="center"/>
          </w:tcPr>
          <w:p>
            <w:pPr>
              <w:widowControl w:val="0"/>
              <w:adjustRightInd w:val="0"/>
              <w:snapToGrid w:val="0"/>
              <w:jc w:val="center"/>
              <w:textAlignment w:val="baseline"/>
              <w:rPr>
                <w:color w:val="auto"/>
              </w:rPr>
            </w:pPr>
            <w:r>
              <w:rPr>
                <w:rFonts w:hint="eastAsia"/>
                <w:color w:val="auto"/>
              </w:rPr>
              <w:t>112</w:t>
            </w:r>
          </w:p>
        </w:tc>
        <w:tc>
          <w:tcPr>
            <w:tcW w:w="526"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101</w:t>
            </w:r>
          </w:p>
        </w:tc>
        <w:tc>
          <w:tcPr>
            <w:tcW w:w="527"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89</w:t>
            </w:r>
          </w:p>
        </w:tc>
        <w:tc>
          <w:tcPr>
            <w:tcW w:w="526" w:type="pct"/>
            <w:shd w:val="clear" w:color="auto" w:fill="auto"/>
            <w:vAlign w:val="center"/>
          </w:tcPr>
          <w:p>
            <w:pPr>
              <w:widowControl w:val="0"/>
              <w:adjustRightInd w:val="0"/>
              <w:snapToGrid w:val="0"/>
              <w:jc w:val="center"/>
              <w:textAlignment w:val="baseline"/>
              <w:rPr>
                <w:color w:val="auto"/>
              </w:rPr>
            </w:pPr>
            <w:r>
              <w:rPr>
                <w:rFonts w:hint="eastAsia"/>
                <w:color w:val="auto"/>
              </w:rPr>
              <w:t>125</w:t>
            </w:r>
          </w:p>
        </w:tc>
        <w:tc>
          <w:tcPr>
            <w:tcW w:w="528" w:type="pct"/>
            <w:shd w:val="clear" w:color="auto" w:fill="auto"/>
            <w:vAlign w:val="center"/>
          </w:tcPr>
          <w:p>
            <w:pPr>
              <w:widowControl w:val="0"/>
              <w:adjustRightInd w:val="0"/>
              <w:snapToGrid w:val="0"/>
              <w:jc w:val="center"/>
              <w:textAlignment w:val="baseline"/>
              <w:rPr>
                <w:color w:val="auto"/>
              </w:rPr>
            </w:pPr>
            <w:r>
              <w:rPr>
                <w:rFonts w:hint="eastAsia"/>
                <w:color w:val="auto"/>
              </w:rPr>
              <w:t>113</w:t>
            </w:r>
          </w:p>
        </w:tc>
        <w:tc>
          <w:tcPr>
            <w:tcW w:w="529" w:type="pct"/>
            <w:shd w:val="clear" w:color="auto" w:fill="auto"/>
            <w:vAlign w:val="center"/>
          </w:tcPr>
          <w:p>
            <w:pPr>
              <w:widowControl w:val="0"/>
              <w:adjustRightInd w:val="0"/>
              <w:snapToGrid w:val="0"/>
              <w:jc w:val="center"/>
              <w:textAlignment w:val="baseline"/>
              <w:rPr>
                <w:color w:val="auto"/>
              </w:rPr>
            </w:pPr>
            <w:r>
              <w:rPr>
                <w:rFonts w:hint="eastAsia"/>
                <w:color w:val="auto"/>
              </w:rPr>
              <w:t>102</w:t>
            </w:r>
          </w:p>
        </w:tc>
        <w:tc>
          <w:tcPr>
            <w:tcW w:w="526" w:type="pct"/>
            <w:shd w:val="clear" w:color="auto" w:fill="auto"/>
            <w:vAlign w:val="center"/>
          </w:tcPr>
          <w:p>
            <w:pPr>
              <w:widowControl w:val="0"/>
              <w:adjustRightInd w:val="0"/>
              <w:snapToGrid w:val="0"/>
              <w:jc w:val="center"/>
              <w:textAlignment w:val="baseline"/>
              <w:rPr>
                <w:color w:val="auto"/>
              </w:rPr>
            </w:pPr>
            <w:r>
              <w:rPr>
                <w:rFonts w:hint="eastAsia"/>
                <w:color w:val="auto"/>
              </w:rPr>
              <w:t>4500</w:t>
            </w:r>
          </w:p>
        </w:tc>
        <w:tc>
          <w:tcPr>
            <w:tcW w:w="472" w:type="pct"/>
            <w:shd w:val="clear" w:color="auto" w:fill="auto"/>
            <w:vAlign w:val="center"/>
          </w:tcPr>
          <w:p>
            <w:pPr>
              <w:widowControl w:val="0"/>
              <w:adjustRightInd w:val="0"/>
              <w:snapToGrid w:val="0"/>
              <w:jc w:val="center"/>
              <w:textAlignment w:val="baseline"/>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Merge w:val="restart"/>
            <w:tcBorders>
              <w:tl2br w:val="single" w:color="auto" w:sz="4" w:space="0"/>
            </w:tcBorders>
            <w:shd w:val="clear" w:color="auto" w:fill="auto"/>
            <w:vAlign w:val="center"/>
          </w:tcPr>
          <w:p>
            <w:pPr>
              <w:widowControl w:val="0"/>
              <w:jc w:val="center"/>
              <w:rPr>
                <w:b/>
                <w:color w:val="auto"/>
              </w:rPr>
            </w:pPr>
            <w:r>
              <w:rPr>
                <w:rFonts w:hint="eastAsia"/>
                <w:b/>
                <w:color w:val="auto"/>
              </w:rPr>
              <w:t xml:space="preserve">    </w:t>
            </w:r>
            <w:r>
              <w:rPr>
                <w:b/>
                <w:color w:val="auto"/>
              </w:rPr>
              <w:t>点位</w:t>
            </w:r>
          </w:p>
          <w:p>
            <w:pPr>
              <w:widowControl w:val="0"/>
              <w:jc w:val="both"/>
              <w:rPr>
                <w:b/>
                <w:color w:val="auto"/>
              </w:rPr>
            </w:pPr>
            <w:r>
              <w:rPr>
                <w:b/>
                <w:color w:val="auto"/>
              </w:rPr>
              <w:t>因子</w:t>
            </w:r>
          </w:p>
        </w:tc>
        <w:tc>
          <w:tcPr>
            <w:tcW w:w="2105" w:type="pct"/>
            <w:gridSpan w:val="6"/>
            <w:shd w:val="clear" w:color="auto" w:fill="auto"/>
            <w:vAlign w:val="center"/>
          </w:tcPr>
          <w:p>
            <w:pPr>
              <w:widowControl w:val="0"/>
              <w:adjustRightInd w:val="0"/>
              <w:snapToGrid w:val="0"/>
              <w:jc w:val="center"/>
              <w:textAlignment w:val="baseline"/>
              <w:rPr>
                <w:b/>
                <w:color w:val="auto"/>
              </w:rPr>
            </w:pPr>
            <w:r>
              <w:rPr>
                <w:rFonts w:hint="eastAsia"/>
                <w:b/>
                <w:color w:val="auto"/>
              </w:rPr>
              <w:t>5</w:t>
            </w:r>
            <w:r>
              <w:rPr>
                <w:b/>
                <w:color w:val="auto"/>
              </w:rPr>
              <w:t>#拟建电镀车间附近（m）</w:t>
            </w:r>
          </w:p>
        </w:tc>
        <w:tc>
          <w:tcPr>
            <w:tcW w:w="1057" w:type="pct"/>
            <w:gridSpan w:val="2"/>
            <w:shd w:val="clear" w:color="auto" w:fill="auto"/>
            <w:vAlign w:val="center"/>
          </w:tcPr>
          <w:p>
            <w:pPr>
              <w:widowControl w:val="0"/>
              <w:adjustRightInd w:val="0"/>
              <w:snapToGrid w:val="0"/>
              <w:jc w:val="center"/>
              <w:textAlignment w:val="baseline"/>
              <w:rPr>
                <w:b/>
                <w:color w:val="auto"/>
              </w:rPr>
            </w:pPr>
            <w:r>
              <w:rPr>
                <w:rFonts w:hint="eastAsia"/>
                <w:b/>
                <w:color w:val="auto"/>
              </w:rPr>
              <w:t>6#厂内表层样（m）</w:t>
            </w:r>
          </w:p>
        </w:tc>
        <w:tc>
          <w:tcPr>
            <w:tcW w:w="526" w:type="pct"/>
            <w:vMerge w:val="restart"/>
            <w:shd w:val="clear" w:color="auto" w:fill="auto"/>
            <w:vAlign w:val="center"/>
          </w:tcPr>
          <w:p>
            <w:pPr>
              <w:widowControl w:val="0"/>
              <w:adjustRightInd w:val="0"/>
              <w:snapToGrid w:val="0"/>
              <w:jc w:val="center"/>
              <w:textAlignment w:val="baseline"/>
              <w:rPr>
                <w:b/>
                <w:color w:val="auto"/>
              </w:rPr>
            </w:pPr>
            <w:r>
              <w:rPr>
                <w:b/>
                <w:color w:val="auto"/>
              </w:rPr>
              <w:t>标准</w:t>
            </w:r>
          </w:p>
        </w:tc>
        <w:tc>
          <w:tcPr>
            <w:tcW w:w="472" w:type="pct"/>
            <w:vMerge w:val="restart"/>
            <w:shd w:val="clear" w:color="auto" w:fill="auto"/>
            <w:vAlign w:val="center"/>
          </w:tcPr>
          <w:p>
            <w:pPr>
              <w:widowControl w:val="0"/>
              <w:adjustRightInd w:val="0"/>
              <w:snapToGrid w:val="0"/>
              <w:jc w:val="center"/>
              <w:textAlignment w:val="baseline"/>
              <w:rPr>
                <w:b/>
                <w:color w:val="auto"/>
              </w:rPr>
            </w:pPr>
            <w:r>
              <w:rPr>
                <w:b/>
                <w:color w:val="auto"/>
              </w:rPr>
              <w:t>达标</w:t>
            </w:r>
          </w:p>
          <w:p>
            <w:pPr>
              <w:widowControl w:val="0"/>
              <w:adjustRightInd w:val="0"/>
              <w:snapToGrid w:val="0"/>
              <w:jc w:val="center"/>
              <w:textAlignment w:val="baseline"/>
              <w:rPr>
                <w:b/>
                <w:color w:val="auto"/>
              </w:rPr>
            </w:pPr>
            <w:r>
              <w:rPr>
                <w:b/>
                <w:color w:val="auto"/>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vMerge w:val="continue"/>
            <w:tcBorders>
              <w:tl2br w:val="single" w:color="auto" w:sz="4" w:space="0"/>
            </w:tcBorders>
            <w:shd w:val="clear" w:color="auto" w:fill="auto"/>
            <w:vAlign w:val="center"/>
          </w:tcPr>
          <w:p>
            <w:pPr>
              <w:widowControl w:val="0"/>
              <w:jc w:val="center"/>
              <w:rPr>
                <w:color w:val="auto"/>
              </w:rPr>
            </w:pPr>
          </w:p>
        </w:tc>
        <w:tc>
          <w:tcPr>
            <w:tcW w:w="719" w:type="pct"/>
            <w:gridSpan w:val="2"/>
            <w:shd w:val="clear" w:color="auto" w:fill="auto"/>
            <w:vAlign w:val="center"/>
          </w:tcPr>
          <w:p>
            <w:pPr>
              <w:widowControl w:val="0"/>
              <w:adjustRightInd w:val="0"/>
              <w:snapToGrid w:val="0"/>
              <w:jc w:val="center"/>
              <w:textAlignment w:val="baseline"/>
              <w:rPr>
                <w:b/>
                <w:color w:val="auto"/>
              </w:rPr>
            </w:pPr>
            <w:r>
              <w:rPr>
                <w:b/>
                <w:color w:val="auto"/>
              </w:rPr>
              <w:t>0-0.5</w:t>
            </w:r>
          </w:p>
        </w:tc>
        <w:tc>
          <w:tcPr>
            <w:tcW w:w="665" w:type="pct"/>
            <w:gridSpan w:val="2"/>
            <w:shd w:val="clear" w:color="auto" w:fill="auto"/>
            <w:vAlign w:val="center"/>
          </w:tcPr>
          <w:p>
            <w:pPr>
              <w:widowControl w:val="0"/>
              <w:adjustRightInd w:val="0"/>
              <w:snapToGrid w:val="0"/>
              <w:jc w:val="center"/>
              <w:textAlignment w:val="baseline"/>
              <w:rPr>
                <w:b/>
                <w:color w:val="auto"/>
              </w:rPr>
            </w:pPr>
            <w:r>
              <w:rPr>
                <w:b/>
                <w:color w:val="auto"/>
              </w:rPr>
              <w:t>0.5-1.5</w:t>
            </w:r>
          </w:p>
        </w:tc>
        <w:tc>
          <w:tcPr>
            <w:tcW w:w="721" w:type="pct"/>
            <w:gridSpan w:val="2"/>
            <w:shd w:val="clear" w:color="auto" w:fill="auto"/>
            <w:vAlign w:val="center"/>
          </w:tcPr>
          <w:p>
            <w:pPr>
              <w:widowControl w:val="0"/>
              <w:adjustRightInd w:val="0"/>
              <w:snapToGrid w:val="0"/>
              <w:jc w:val="center"/>
              <w:textAlignment w:val="baseline"/>
              <w:rPr>
                <w:b/>
                <w:color w:val="auto"/>
              </w:rPr>
            </w:pPr>
            <w:r>
              <w:rPr>
                <w:b/>
                <w:color w:val="auto"/>
              </w:rPr>
              <w:t>1.5-3.0</w:t>
            </w:r>
          </w:p>
        </w:tc>
        <w:tc>
          <w:tcPr>
            <w:tcW w:w="1057" w:type="pct"/>
            <w:gridSpan w:val="2"/>
            <w:shd w:val="clear" w:color="auto" w:fill="auto"/>
            <w:vAlign w:val="center"/>
          </w:tcPr>
          <w:p>
            <w:pPr>
              <w:widowControl w:val="0"/>
              <w:adjustRightInd w:val="0"/>
              <w:snapToGrid w:val="0"/>
              <w:jc w:val="center"/>
              <w:textAlignment w:val="baseline"/>
              <w:rPr>
                <w:b/>
                <w:color w:val="auto"/>
              </w:rPr>
            </w:pPr>
            <w:r>
              <w:rPr>
                <w:rFonts w:hint="eastAsia"/>
                <w:b/>
                <w:color w:val="auto"/>
              </w:rPr>
              <w:t>0-0.2</w:t>
            </w:r>
          </w:p>
        </w:tc>
        <w:tc>
          <w:tcPr>
            <w:tcW w:w="526" w:type="pct"/>
            <w:vMerge w:val="continue"/>
            <w:shd w:val="clear" w:color="auto" w:fill="auto"/>
            <w:vAlign w:val="center"/>
          </w:tcPr>
          <w:p>
            <w:pPr>
              <w:widowControl w:val="0"/>
              <w:adjustRightInd w:val="0"/>
              <w:snapToGrid w:val="0"/>
              <w:jc w:val="center"/>
              <w:textAlignment w:val="baseline"/>
              <w:rPr>
                <w:color w:val="auto"/>
              </w:rPr>
            </w:pPr>
          </w:p>
        </w:tc>
        <w:tc>
          <w:tcPr>
            <w:tcW w:w="472" w:type="pct"/>
            <w:vMerge w:val="continue"/>
            <w:shd w:val="clear" w:color="auto" w:fill="auto"/>
            <w:vAlign w:val="center"/>
          </w:tcPr>
          <w:p>
            <w:pPr>
              <w:widowControl w:val="0"/>
              <w:adjustRightInd w:val="0"/>
              <w:snapToGrid w:val="0"/>
              <w:jc w:val="center"/>
              <w:textAlignment w:val="baseline"/>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pH值（无量纲）</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7.6</w:t>
            </w:r>
          </w:p>
        </w:tc>
        <w:tc>
          <w:tcPr>
            <w:tcW w:w="665" w:type="pct"/>
            <w:gridSpan w:val="2"/>
            <w:shd w:val="clear" w:color="auto" w:fill="auto"/>
            <w:vAlign w:val="center"/>
          </w:tcPr>
          <w:p>
            <w:pPr>
              <w:widowControl w:val="0"/>
              <w:adjustRightInd w:val="0"/>
              <w:snapToGrid w:val="0"/>
              <w:jc w:val="center"/>
              <w:textAlignment w:val="baseline"/>
              <w:rPr>
                <w:color w:val="auto"/>
              </w:rPr>
            </w:pPr>
            <w:r>
              <w:rPr>
                <w:color w:val="auto"/>
              </w:rPr>
              <w:t>7.5</w:t>
            </w:r>
          </w:p>
        </w:tc>
        <w:tc>
          <w:tcPr>
            <w:tcW w:w="721" w:type="pct"/>
            <w:gridSpan w:val="2"/>
            <w:shd w:val="clear" w:color="auto" w:fill="auto"/>
            <w:vAlign w:val="center"/>
          </w:tcPr>
          <w:p>
            <w:pPr>
              <w:widowControl w:val="0"/>
              <w:adjustRightInd w:val="0"/>
              <w:snapToGrid w:val="0"/>
              <w:jc w:val="center"/>
              <w:textAlignment w:val="baseline"/>
              <w:rPr>
                <w:color w:val="auto"/>
              </w:rPr>
            </w:pPr>
            <w:r>
              <w:rPr>
                <w:color w:val="auto"/>
              </w:rPr>
              <w:t>6.8</w:t>
            </w:r>
          </w:p>
        </w:tc>
        <w:tc>
          <w:tcPr>
            <w:tcW w:w="1057"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7.3</w:t>
            </w:r>
          </w:p>
        </w:tc>
        <w:tc>
          <w:tcPr>
            <w:tcW w:w="526" w:type="pct"/>
            <w:shd w:val="clear" w:color="auto" w:fill="auto"/>
            <w:vAlign w:val="center"/>
          </w:tcPr>
          <w:p>
            <w:pPr>
              <w:widowControl w:val="0"/>
              <w:adjustRightInd w:val="0"/>
              <w:snapToGrid w:val="0"/>
              <w:jc w:val="center"/>
              <w:textAlignment w:val="baseline"/>
              <w:rPr>
                <w:color w:val="auto"/>
              </w:rPr>
            </w:pPr>
            <w:r>
              <w:rPr>
                <w:color w:val="auto"/>
              </w:rPr>
              <w:t>/</w:t>
            </w:r>
          </w:p>
        </w:tc>
        <w:tc>
          <w:tcPr>
            <w:tcW w:w="472" w:type="pct"/>
            <w:shd w:val="clear" w:color="auto" w:fill="auto"/>
            <w:vAlign w:val="center"/>
          </w:tcPr>
          <w:p>
            <w:pPr>
              <w:widowControl w:val="0"/>
              <w:adjustRightInd w:val="0"/>
              <w:snapToGrid w:val="0"/>
              <w:jc w:val="center"/>
              <w:textAlignment w:val="baseline"/>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砷</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8.05</w:t>
            </w:r>
          </w:p>
        </w:tc>
        <w:tc>
          <w:tcPr>
            <w:tcW w:w="665" w:type="pct"/>
            <w:gridSpan w:val="2"/>
            <w:shd w:val="clear" w:color="auto" w:fill="auto"/>
            <w:vAlign w:val="center"/>
          </w:tcPr>
          <w:p>
            <w:pPr>
              <w:widowControl w:val="0"/>
              <w:adjustRightInd w:val="0"/>
              <w:snapToGrid w:val="0"/>
              <w:jc w:val="center"/>
              <w:textAlignment w:val="baseline"/>
              <w:rPr>
                <w:color w:val="auto"/>
              </w:rPr>
            </w:pPr>
            <w:r>
              <w:rPr>
                <w:color w:val="auto"/>
              </w:rPr>
              <w:t>6.43</w:t>
            </w:r>
          </w:p>
        </w:tc>
        <w:tc>
          <w:tcPr>
            <w:tcW w:w="721" w:type="pct"/>
            <w:gridSpan w:val="2"/>
            <w:shd w:val="clear" w:color="auto" w:fill="auto"/>
            <w:vAlign w:val="center"/>
          </w:tcPr>
          <w:p>
            <w:pPr>
              <w:widowControl w:val="0"/>
              <w:jc w:val="center"/>
              <w:rPr>
                <w:color w:val="auto"/>
              </w:rPr>
            </w:pPr>
            <w:r>
              <w:rPr>
                <w:color w:val="auto"/>
              </w:rPr>
              <w:t>7.26</w:t>
            </w:r>
          </w:p>
        </w:tc>
        <w:tc>
          <w:tcPr>
            <w:tcW w:w="1057" w:type="pct"/>
            <w:gridSpan w:val="2"/>
            <w:shd w:val="clear" w:color="auto" w:fill="auto"/>
            <w:vAlign w:val="center"/>
          </w:tcPr>
          <w:p>
            <w:pPr>
              <w:widowControl w:val="0"/>
              <w:jc w:val="center"/>
              <w:rPr>
                <w:color w:val="auto"/>
              </w:rPr>
            </w:pPr>
            <w:r>
              <w:rPr>
                <w:rFonts w:hint="eastAsia"/>
                <w:color w:val="auto"/>
              </w:rPr>
              <w:t>5.82</w:t>
            </w:r>
          </w:p>
        </w:tc>
        <w:tc>
          <w:tcPr>
            <w:tcW w:w="526" w:type="pct"/>
            <w:shd w:val="clear" w:color="auto" w:fill="auto"/>
            <w:vAlign w:val="center"/>
          </w:tcPr>
          <w:p>
            <w:pPr>
              <w:widowControl w:val="0"/>
              <w:jc w:val="center"/>
              <w:rPr>
                <w:color w:val="auto"/>
              </w:rPr>
            </w:pPr>
            <w:r>
              <w:rPr>
                <w:color w:val="auto"/>
              </w:rPr>
              <w:t>60</w:t>
            </w:r>
          </w:p>
        </w:tc>
        <w:tc>
          <w:tcPr>
            <w:tcW w:w="472" w:type="pct"/>
            <w:shd w:val="clear" w:color="auto" w:fill="auto"/>
            <w:vAlign w:val="center"/>
          </w:tcPr>
          <w:p>
            <w:pPr>
              <w:widowControl w:val="0"/>
              <w:adjustRightInd w:val="0"/>
              <w:snapToGrid w:val="0"/>
              <w:jc w:val="center"/>
              <w:textAlignment w:val="baseline"/>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镉</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0.31</w:t>
            </w:r>
          </w:p>
        </w:tc>
        <w:tc>
          <w:tcPr>
            <w:tcW w:w="665" w:type="pct"/>
            <w:gridSpan w:val="2"/>
            <w:shd w:val="clear" w:color="auto" w:fill="auto"/>
            <w:vAlign w:val="center"/>
          </w:tcPr>
          <w:p>
            <w:pPr>
              <w:widowControl w:val="0"/>
              <w:adjustRightInd w:val="0"/>
              <w:snapToGrid w:val="0"/>
              <w:jc w:val="center"/>
              <w:textAlignment w:val="baseline"/>
              <w:rPr>
                <w:color w:val="auto"/>
              </w:rPr>
            </w:pPr>
            <w:r>
              <w:rPr>
                <w:color w:val="auto"/>
              </w:rPr>
              <w:t>0.28</w:t>
            </w:r>
          </w:p>
        </w:tc>
        <w:tc>
          <w:tcPr>
            <w:tcW w:w="721" w:type="pct"/>
            <w:gridSpan w:val="2"/>
            <w:shd w:val="clear" w:color="auto" w:fill="auto"/>
            <w:vAlign w:val="center"/>
          </w:tcPr>
          <w:p>
            <w:pPr>
              <w:widowControl w:val="0"/>
              <w:jc w:val="center"/>
              <w:rPr>
                <w:color w:val="auto"/>
              </w:rPr>
            </w:pPr>
            <w:r>
              <w:rPr>
                <w:color w:val="auto"/>
              </w:rPr>
              <w:t>0.19</w:t>
            </w:r>
          </w:p>
        </w:tc>
        <w:tc>
          <w:tcPr>
            <w:tcW w:w="1057" w:type="pct"/>
            <w:gridSpan w:val="2"/>
            <w:shd w:val="clear" w:color="auto" w:fill="auto"/>
            <w:vAlign w:val="center"/>
          </w:tcPr>
          <w:p>
            <w:pPr>
              <w:widowControl w:val="0"/>
              <w:jc w:val="center"/>
              <w:rPr>
                <w:color w:val="auto"/>
              </w:rPr>
            </w:pPr>
            <w:r>
              <w:rPr>
                <w:rFonts w:hint="eastAsia"/>
                <w:color w:val="auto"/>
              </w:rPr>
              <w:t>0.25</w:t>
            </w:r>
          </w:p>
        </w:tc>
        <w:tc>
          <w:tcPr>
            <w:tcW w:w="526" w:type="pct"/>
            <w:shd w:val="clear" w:color="auto" w:fill="auto"/>
            <w:vAlign w:val="center"/>
          </w:tcPr>
          <w:p>
            <w:pPr>
              <w:widowControl w:val="0"/>
              <w:jc w:val="center"/>
              <w:rPr>
                <w:color w:val="auto"/>
              </w:rPr>
            </w:pPr>
            <w:r>
              <w:rPr>
                <w:color w:val="auto"/>
              </w:rPr>
              <w:t>65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铬（六价铬）</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5.7</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铜</w:t>
            </w:r>
          </w:p>
        </w:tc>
        <w:tc>
          <w:tcPr>
            <w:tcW w:w="719"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21</w:t>
            </w:r>
          </w:p>
        </w:tc>
        <w:tc>
          <w:tcPr>
            <w:tcW w:w="665"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18</w:t>
            </w:r>
          </w:p>
        </w:tc>
        <w:tc>
          <w:tcPr>
            <w:tcW w:w="721" w:type="pct"/>
            <w:gridSpan w:val="2"/>
            <w:shd w:val="clear" w:color="auto" w:fill="auto"/>
            <w:vAlign w:val="center"/>
          </w:tcPr>
          <w:p>
            <w:pPr>
              <w:widowControl w:val="0"/>
              <w:jc w:val="center"/>
              <w:rPr>
                <w:color w:val="auto"/>
              </w:rPr>
            </w:pPr>
            <w:r>
              <w:rPr>
                <w:color w:val="auto"/>
              </w:rPr>
              <w:t>14</w:t>
            </w:r>
          </w:p>
        </w:tc>
        <w:tc>
          <w:tcPr>
            <w:tcW w:w="1057" w:type="pct"/>
            <w:gridSpan w:val="2"/>
            <w:shd w:val="clear" w:color="auto" w:fill="auto"/>
            <w:vAlign w:val="center"/>
          </w:tcPr>
          <w:p>
            <w:pPr>
              <w:widowControl w:val="0"/>
              <w:jc w:val="center"/>
              <w:rPr>
                <w:color w:val="auto"/>
              </w:rPr>
            </w:pPr>
            <w:r>
              <w:rPr>
                <w:rFonts w:hint="eastAsia"/>
                <w:color w:val="auto"/>
              </w:rPr>
              <w:t>19</w:t>
            </w:r>
          </w:p>
        </w:tc>
        <w:tc>
          <w:tcPr>
            <w:tcW w:w="526" w:type="pct"/>
            <w:shd w:val="clear" w:color="auto" w:fill="auto"/>
            <w:vAlign w:val="center"/>
          </w:tcPr>
          <w:p>
            <w:pPr>
              <w:widowControl w:val="0"/>
              <w:jc w:val="center"/>
              <w:rPr>
                <w:color w:val="auto"/>
              </w:rPr>
            </w:pPr>
            <w:r>
              <w:rPr>
                <w:color w:val="auto"/>
              </w:rPr>
              <w:t>18000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铅</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18.4</w:t>
            </w:r>
          </w:p>
        </w:tc>
        <w:tc>
          <w:tcPr>
            <w:tcW w:w="665" w:type="pct"/>
            <w:gridSpan w:val="2"/>
            <w:shd w:val="clear" w:color="auto" w:fill="auto"/>
            <w:vAlign w:val="center"/>
          </w:tcPr>
          <w:p>
            <w:pPr>
              <w:widowControl w:val="0"/>
              <w:adjustRightInd w:val="0"/>
              <w:snapToGrid w:val="0"/>
              <w:jc w:val="center"/>
              <w:textAlignment w:val="baseline"/>
              <w:rPr>
                <w:color w:val="auto"/>
              </w:rPr>
            </w:pPr>
            <w:r>
              <w:rPr>
                <w:color w:val="auto"/>
              </w:rPr>
              <w:t>13.5</w:t>
            </w:r>
          </w:p>
        </w:tc>
        <w:tc>
          <w:tcPr>
            <w:tcW w:w="721" w:type="pct"/>
            <w:gridSpan w:val="2"/>
            <w:shd w:val="clear" w:color="auto" w:fill="auto"/>
            <w:vAlign w:val="center"/>
          </w:tcPr>
          <w:p>
            <w:pPr>
              <w:widowControl w:val="0"/>
              <w:jc w:val="center"/>
              <w:rPr>
                <w:color w:val="auto"/>
              </w:rPr>
            </w:pPr>
            <w:r>
              <w:rPr>
                <w:color w:val="auto"/>
              </w:rPr>
              <w:t>9.2</w:t>
            </w:r>
          </w:p>
        </w:tc>
        <w:tc>
          <w:tcPr>
            <w:tcW w:w="1057" w:type="pct"/>
            <w:gridSpan w:val="2"/>
            <w:shd w:val="clear" w:color="auto" w:fill="auto"/>
            <w:vAlign w:val="center"/>
          </w:tcPr>
          <w:p>
            <w:pPr>
              <w:widowControl w:val="0"/>
              <w:jc w:val="center"/>
              <w:rPr>
                <w:color w:val="auto"/>
              </w:rPr>
            </w:pPr>
            <w:r>
              <w:rPr>
                <w:rFonts w:hint="eastAsia"/>
                <w:color w:val="auto"/>
              </w:rPr>
              <w:t>12.3</w:t>
            </w:r>
          </w:p>
        </w:tc>
        <w:tc>
          <w:tcPr>
            <w:tcW w:w="526" w:type="pct"/>
            <w:shd w:val="clear" w:color="auto" w:fill="auto"/>
            <w:vAlign w:val="center"/>
          </w:tcPr>
          <w:p>
            <w:pPr>
              <w:widowControl w:val="0"/>
              <w:jc w:val="center"/>
              <w:rPr>
                <w:color w:val="auto"/>
              </w:rPr>
            </w:pPr>
            <w:r>
              <w:rPr>
                <w:color w:val="auto"/>
              </w:rPr>
              <w:t>800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汞</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0.0</w:t>
            </w:r>
            <w:r>
              <w:rPr>
                <w:rFonts w:hint="eastAsia"/>
                <w:color w:val="auto"/>
              </w:rPr>
              <w:t>86</w:t>
            </w:r>
          </w:p>
        </w:tc>
        <w:tc>
          <w:tcPr>
            <w:tcW w:w="665" w:type="pct"/>
            <w:gridSpan w:val="2"/>
            <w:shd w:val="clear" w:color="auto" w:fill="auto"/>
            <w:vAlign w:val="center"/>
          </w:tcPr>
          <w:p>
            <w:pPr>
              <w:widowControl w:val="0"/>
              <w:adjustRightInd w:val="0"/>
              <w:snapToGrid w:val="0"/>
              <w:jc w:val="center"/>
              <w:textAlignment w:val="baseline"/>
              <w:rPr>
                <w:color w:val="auto"/>
              </w:rPr>
            </w:pPr>
            <w:r>
              <w:rPr>
                <w:color w:val="auto"/>
              </w:rPr>
              <w:t>0.</w:t>
            </w:r>
            <w:r>
              <w:rPr>
                <w:rFonts w:hint="eastAsia"/>
                <w:color w:val="auto"/>
              </w:rPr>
              <w:t>079</w:t>
            </w:r>
          </w:p>
        </w:tc>
        <w:tc>
          <w:tcPr>
            <w:tcW w:w="721" w:type="pct"/>
            <w:gridSpan w:val="2"/>
            <w:shd w:val="clear" w:color="auto" w:fill="auto"/>
            <w:vAlign w:val="center"/>
          </w:tcPr>
          <w:p>
            <w:pPr>
              <w:widowControl w:val="0"/>
              <w:jc w:val="center"/>
              <w:rPr>
                <w:color w:val="auto"/>
              </w:rPr>
            </w:pPr>
            <w:r>
              <w:rPr>
                <w:color w:val="auto"/>
              </w:rPr>
              <w:t>0.</w:t>
            </w:r>
            <w:r>
              <w:rPr>
                <w:rFonts w:hint="eastAsia"/>
                <w:color w:val="auto"/>
              </w:rPr>
              <w:t>062</w:t>
            </w:r>
          </w:p>
        </w:tc>
        <w:tc>
          <w:tcPr>
            <w:tcW w:w="1057" w:type="pct"/>
            <w:gridSpan w:val="2"/>
            <w:shd w:val="clear" w:color="auto" w:fill="auto"/>
            <w:vAlign w:val="center"/>
          </w:tcPr>
          <w:p>
            <w:pPr>
              <w:widowControl w:val="0"/>
              <w:jc w:val="center"/>
              <w:rPr>
                <w:color w:val="auto"/>
              </w:rPr>
            </w:pPr>
            <w:r>
              <w:rPr>
                <w:rFonts w:hint="eastAsia"/>
                <w:color w:val="auto"/>
              </w:rPr>
              <w:t>0.065</w:t>
            </w:r>
          </w:p>
        </w:tc>
        <w:tc>
          <w:tcPr>
            <w:tcW w:w="526" w:type="pct"/>
            <w:shd w:val="clear" w:color="auto" w:fill="auto"/>
            <w:vAlign w:val="center"/>
          </w:tcPr>
          <w:p>
            <w:pPr>
              <w:widowControl w:val="0"/>
              <w:jc w:val="center"/>
              <w:rPr>
                <w:color w:val="auto"/>
              </w:rPr>
            </w:pPr>
            <w:r>
              <w:rPr>
                <w:color w:val="auto"/>
              </w:rPr>
              <w:t>38</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镍</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88</w:t>
            </w:r>
          </w:p>
        </w:tc>
        <w:tc>
          <w:tcPr>
            <w:tcW w:w="665"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75</w:t>
            </w:r>
          </w:p>
        </w:tc>
        <w:tc>
          <w:tcPr>
            <w:tcW w:w="721"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63</w:t>
            </w:r>
          </w:p>
        </w:tc>
        <w:tc>
          <w:tcPr>
            <w:tcW w:w="1057"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49</w:t>
            </w:r>
          </w:p>
        </w:tc>
        <w:tc>
          <w:tcPr>
            <w:tcW w:w="526" w:type="pct"/>
            <w:shd w:val="clear" w:color="auto" w:fill="auto"/>
            <w:vAlign w:val="center"/>
          </w:tcPr>
          <w:p>
            <w:pPr>
              <w:widowControl w:val="0"/>
              <w:jc w:val="center"/>
              <w:rPr>
                <w:color w:val="auto"/>
              </w:rPr>
            </w:pPr>
            <w:r>
              <w:rPr>
                <w:color w:val="auto"/>
              </w:rPr>
              <w:t>900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四氯化碳</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2.8</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氯仿</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0.9</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氯甲烷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37</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1,1二氯乙烷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9</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1,2二氯乙烷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1,1二氯乙烯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66</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顺-1,2-二氯乙烯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596</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反-1,2-二氯乙烯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54</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二氯甲烷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616</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1,2-二氯丙烷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1,1,1,2-四氯乙烷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1,1,2,2-四氯乙烷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6.8</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四氯乙烯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53</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1,1,1,-三氯乙烷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840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1,1,2-三氯乙烷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2.8</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三氯乙烯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2.8</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1,2,3-三氯丙烷</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0.5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0.43</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4</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氯苯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270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1,2-二氯苯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560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1,4-二氯苯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乙苯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28</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苯乙烯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1290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甲苯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1200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间+对二甲苯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570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邻二甲苯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640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硝基苯</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76</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苯胺</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260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2-氯酚</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2256</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苯并[a]蒽</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苯并[a]芘</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苯并[a]荧蒽</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苯并[k]荧蒽</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70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䓛</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4500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二苯并[a,h]蒽</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茚并[1,2,3-cd]</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15</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萘</w:t>
            </w:r>
          </w:p>
        </w:tc>
        <w:tc>
          <w:tcPr>
            <w:tcW w:w="719" w:type="pct"/>
            <w:gridSpan w:val="2"/>
            <w:shd w:val="clear" w:color="auto" w:fill="auto"/>
            <w:vAlign w:val="center"/>
          </w:tcPr>
          <w:p>
            <w:pPr>
              <w:widowControl w:val="0"/>
              <w:jc w:val="center"/>
              <w:rPr>
                <w:color w:val="auto"/>
              </w:rPr>
            </w:pPr>
            <w:r>
              <w:rPr>
                <w:color w:val="auto"/>
              </w:rPr>
              <w:t>ND</w:t>
            </w:r>
          </w:p>
        </w:tc>
        <w:tc>
          <w:tcPr>
            <w:tcW w:w="665" w:type="pct"/>
            <w:gridSpan w:val="2"/>
            <w:shd w:val="clear" w:color="auto" w:fill="auto"/>
            <w:vAlign w:val="center"/>
          </w:tcPr>
          <w:p>
            <w:pPr>
              <w:widowControl w:val="0"/>
              <w:jc w:val="center"/>
              <w:rPr>
                <w:color w:val="auto"/>
              </w:rPr>
            </w:pPr>
            <w:r>
              <w:rPr>
                <w:color w:val="auto"/>
              </w:rPr>
              <w:t>ND</w:t>
            </w:r>
          </w:p>
        </w:tc>
        <w:tc>
          <w:tcPr>
            <w:tcW w:w="721" w:type="pct"/>
            <w:gridSpan w:val="2"/>
            <w:shd w:val="clear" w:color="auto" w:fill="auto"/>
            <w:vAlign w:val="center"/>
          </w:tcPr>
          <w:p>
            <w:pPr>
              <w:widowControl w:val="0"/>
              <w:jc w:val="center"/>
              <w:rPr>
                <w:color w:val="auto"/>
              </w:rPr>
            </w:pPr>
            <w:r>
              <w:rPr>
                <w:color w:val="auto"/>
              </w:rPr>
              <w:t>ND</w:t>
            </w:r>
          </w:p>
        </w:tc>
        <w:tc>
          <w:tcPr>
            <w:tcW w:w="1057" w:type="pct"/>
            <w:gridSpan w:val="2"/>
            <w:shd w:val="clear" w:color="auto" w:fill="auto"/>
            <w:vAlign w:val="center"/>
          </w:tcPr>
          <w:p>
            <w:pPr>
              <w:widowControl w:val="0"/>
              <w:jc w:val="center"/>
              <w:rPr>
                <w:color w:val="auto"/>
              </w:rPr>
            </w:pPr>
            <w:r>
              <w:rPr>
                <w:color w:val="auto"/>
              </w:rPr>
              <w:t>ND</w:t>
            </w:r>
          </w:p>
        </w:tc>
        <w:tc>
          <w:tcPr>
            <w:tcW w:w="526" w:type="pct"/>
            <w:shd w:val="clear" w:color="auto" w:fill="auto"/>
            <w:vAlign w:val="center"/>
          </w:tcPr>
          <w:p>
            <w:pPr>
              <w:widowControl w:val="0"/>
              <w:jc w:val="center"/>
              <w:rPr>
                <w:color w:val="auto"/>
              </w:rPr>
            </w:pPr>
            <w:r>
              <w:rPr>
                <w:color w:val="auto"/>
              </w:rPr>
              <w:t>70</w:t>
            </w:r>
          </w:p>
        </w:tc>
        <w:tc>
          <w:tcPr>
            <w:tcW w:w="472" w:type="pct"/>
            <w:shd w:val="clear" w:color="auto" w:fill="auto"/>
            <w:vAlign w:val="center"/>
          </w:tcPr>
          <w:p>
            <w:pPr>
              <w:widowControl w:val="0"/>
              <w:jc w:val="center"/>
              <w:rPr>
                <w:color w:val="auto"/>
              </w:rPr>
            </w:pPr>
            <w:r>
              <w:rPr>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锌</w:t>
            </w:r>
          </w:p>
        </w:tc>
        <w:tc>
          <w:tcPr>
            <w:tcW w:w="719" w:type="pct"/>
            <w:gridSpan w:val="2"/>
            <w:shd w:val="clear" w:color="auto" w:fill="auto"/>
            <w:vAlign w:val="center"/>
          </w:tcPr>
          <w:p>
            <w:pPr>
              <w:widowControl w:val="0"/>
              <w:adjustRightInd w:val="0"/>
              <w:snapToGrid w:val="0"/>
              <w:jc w:val="center"/>
              <w:textAlignment w:val="baseline"/>
              <w:rPr>
                <w:color w:val="auto"/>
              </w:rPr>
            </w:pPr>
            <w:r>
              <w:rPr>
                <w:color w:val="auto"/>
              </w:rPr>
              <w:t>64.3</w:t>
            </w:r>
          </w:p>
        </w:tc>
        <w:tc>
          <w:tcPr>
            <w:tcW w:w="665"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52.5</w:t>
            </w:r>
          </w:p>
        </w:tc>
        <w:tc>
          <w:tcPr>
            <w:tcW w:w="721" w:type="pct"/>
            <w:gridSpan w:val="2"/>
            <w:shd w:val="clear" w:color="auto" w:fill="auto"/>
            <w:vAlign w:val="center"/>
          </w:tcPr>
          <w:p>
            <w:pPr>
              <w:widowControl w:val="0"/>
              <w:adjustRightInd w:val="0"/>
              <w:snapToGrid w:val="0"/>
              <w:jc w:val="center"/>
              <w:textAlignment w:val="baseline"/>
              <w:rPr>
                <w:color w:val="auto"/>
              </w:rPr>
            </w:pPr>
            <w:r>
              <w:rPr>
                <w:color w:val="auto"/>
              </w:rPr>
              <w:t>44.8</w:t>
            </w:r>
          </w:p>
        </w:tc>
        <w:tc>
          <w:tcPr>
            <w:tcW w:w="1057"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36.2</w:t>
            </w:r>
          </w:p>
        </w:tc>
        <w:tc>
          <w:tcPr>
            <w:tcW w:w="526" w:type="pct"/>
            <w:shd w:val="clear" w:color="auto" w:fill="auto"/>
            <w:vAlign w:val="center"/>
          </w:tcPr>
          <w:p>
            <w:pPr>
              <w:widowControl w:val="0"/>
              <w:jc w:val="center"/>
              <w:rPr>
                <w:color w:val="auto"/>
              </w:rPr>
            </w:pPr>
            <w:r>
              <w:rPr>
                <w:color w:val="auto"/>
              </w:rPr>
              <w:t>/</w:t>
            </w:r>
          </w:p>
        </w:tc>
        <w:tc>
          <w:tcPr>
            <w:tcW w:w="472" w:type="pct"/>
            <w:shd w:val="clear" w:color="auto" w:fill="auto"/>
            <w:vAlign w:val="center"/>
          </w:tcPr>
          <w:p>
            <w:pPr>
              <w:widowControl w:val="0"/>
              <w:adjustRightInd w:val="0"/>
              <w:snapToGrid w:val="0"/>
              <w:jc w:val="center"/>
              <w:textAlignment w:val="baseline"/>
              <w:rPr>
                <w:color w:val="auto"/>
              </w:rPr>
            </w:pPr>
            <w:r>
              <w:rPr>
                <w:rFonts w:hint="eastAsia"/>
                <w:color w:val="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 w:type="pct"/>
            <w:shd w:val="clear" w:color="auto" w:fill="auto"/>
            <w:vAlign w:val="center"/>
          </w:tcPr>
          <w:p>
            <w:pPr>
              <w:widowControl w:val="0"/>
              <w:jc w:val="center"/>
              <w:rPr>
                <w:color w:val="auto"/>
              </w:rPr>
            </w:pPr>
            <w:r>
              <w:rPr>
                <w:color w:val="auto"/>
              </w:rPr>
              <w:t>石油烃</w:t>
            </w:r>
          </w:p>
        </w:tc>
        <w:tc>
          <w:tcPr>
            <w:tcW w:w="719"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108</w:t>
            </w:r>
          </w:p>
        </w:tc>
        <w:tc>
          <w:tcPr>
            <w:tcW w:w="665"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95</w:t>
            </w:r>
          </w:p>
        </w:tc>
        <w:tc>
          <w:tcPr>
            <w:tcW w:w="721" w:type="pct"/>
            <w:gridSpan w:val="2"/>
            <w:shd w:val="clear" w:color="auto" w:fill="auto"/>
            <w:vAlign w:val="center"/>
          </w:tcPr>
          <w:p>
            <w:pPr>
              <w:widowControl w:val="0"/>
              <w:adjustRightInd w:val="0"/>
              <w:snapToGrid w:val="0"/>
              <w:jc w:val="center"/>
              <w:textAlignment w:val="baseline"/>
              <w:rPr>
                <w:color w:val="auto"/>
              </w:rPr>
            </w:pPr>
            <w:r>
              <w:rPr>
                <w:rFonts w:hint="eastAsia"/>
                <w:color w:val="auto"/>
              </w:rPr>
              <w:t>82</w:t>
            </w:r>
          </w:p>
        </w:tc>
        <w:tc>
          <w:tcPr>
            <w:tcW w:w="1057" w:type="pct"/>
            <w:gridSpan w:val="2"/>
            <w:shd w:val="clear" w:color="auto" w:fill="auto"/>
            <w:vAlign w:val="center"/>
          </w:tcPr>
          <w:p>
            <w:pPr>
              <w:widowControl w:val="0"/>
              <w:adjustRightInd w:val="0"/>
              <w:snapToGrid w:val="0"/>
              <w:jc w:val="center"/>
              <w:textAlignment w:val="baseline"/>
              <w:rPr>
                <w:color w:val="auto"/>
              </w:rPr>
            </w:pPr>
          </w:p>
        </w:tc>
        <w:tc>
          <w:tcPr>
            <w:tcW w:w="526" w:type="pct"/>
            <w:shd w:val="clear" w:color="auto" w:fill="auto"/>
            <w:vAlign w:val="center"/>
          </w:tcPr>
          <w:p>
            <w:pPr>
              <w:widowControl w:val="0"/>
              <w:adjustRightInd w:val="0"/>
              <w:snapToGrid w:val="0"/>
              <w:jc w:val="center"/>
              <w:textAlignment w:val="baseline"/>
              <w:rPr>
                <w:color w:val="auto"/>
              </w:rPr>
            </w:pPr>
            <w:r>
              <w:rPr>
                <w:rFonts w:hint="eastAsia"/>
                <w:color w:val="auto"/>
              </w:rPr>
              <w:t>4500</w:t>
            </w:r>
          </w:p>
        </w:tc>
        <w:tc>
          <w:tcPr>
            <w:tcW w:w="472" w:type="pct"/>
            <w:shd w:val="clear" w:color="auto" w:fill="auto"/>
            <w:vAlign w:val="center"/>
          </w:tcPr>
          <w:p>
            <w:pPr>
              <w:widowControl w:val="0"/>
              <w:adjustRightInd w:val="0"/>
              <w:snapToGrid w:val="0"/>
              <w:jc w:val="center"/>
              <w:textAlignment w:val="baseline"/>
              <w:rPr>
                <w:color w:val="auto"/>
              </w:rPr>
            </w:pPr>
            <w:r>
              <w:rPr>
                <w:color w:val="auto"/>
              </w:rPr>
              <w:t>达标</w:t>
            </w:r>
          </w:p>
        </w:tc>
      </w:tr>
    </w:tbl>
    <w:p>
      <w:pPr>
        <w:adjustRightInd w:val="0"/>
        <w:snapToGrid w:val="0"/>
        <w:spacing w:line="520" w:lineRule="exact"/>
        <w:ind w:firstLine="480" w:firstLineChars="200"/>
        <w:textAlignment w:val="baseline"/>
        <w:rPr>
          <w:color w:val="auto"/>
          <w:kern w:val="0"/>
          <w:sz w:val="24"/>
          <w:szCs w:val="20"/>
        </w:rPr>
        <w:sectPr>
          <w:headerReference r:id="rId18" w:type="default"/>
          <w:pgSz w:w="11906" w:h="16838"/>
          <w:pgMar w:top="1440" w:right="1797" w:bottom="1440" w:left="1797" w:header="851" w:footer="992" w:gutter="0"/>
          <w:cols w:space="425" w:num="1"/>
          <w:docGrid w:type="linesAndChars" w:linePitch="312" w:charSpace="0"/>
        </w:sectPr>
      </w:pPr>
      <w:r>
        <w:rPr>
          <w:rFonts w:hint="eastAsia"/>
          <w:color w:val="auto"/>
          <w:kern w:val="0"/>
          <w:sz w:val="24"/>
          <w:szCs w:val="20"/>
        </w:rPr>
        <w:t>由监测结果可知，厂区内外各监测点位的土壤监测值均符合《土壤环境质量建设用地土壤污染风险管控标准（试行）》（</w:t>
      </w:r>
      <w:r>
        <w:rPr>
          <w:color w:val="auto"/>
          <w:kern w:val="0"/>
          <w:sz w:val="24"/>
          <w:szCs w:val="20"/>
        </w:rPr>
        <w:t>GB36600-2018</w:t>
      </w:r>
      <w:r>
        <w:rPr>
          <w:rFonts w:hint="eastAsia"/>
          <w:color w:val="auto"/>
          <w:kern w:val="0"/>
          <w:sz w:val="24"/>
          <w:szCs w:val="20"/>
        </w:rPr>
        <w:t>）表</w:t>
      </w:r>
      <w:r>
        <w:rPr>
          <w:color w:val="auto"/>
          <w:kern w:val="0"/>
          <w:sz w:val="24"/>
          <w:szCs w:val="20"/>
        </w:rPr>
        <w:t>1</w:t>
      </w:r>
      <w:r>
        <w:rPr>
          <w:rFonts w:hint="eastAsia"/>
          <w:color w:val="auto"/>
          <w:kern w:val="0"/>
          <w:sz w:val="24"/>
          <w:szCs w:val="20"/>
        </w:rPr>
        <w:t>基本项目第二类用地筛选值的限值要求。其中厂区内监测点位评价因子锌，由于国家环境土壤环境质量标准和河南省地方标准中没有重金属锌的浓度标准限值要求，故厂区内监测点位重金属锌的浓度监测值仅作为现状背景值。</w:t>
      </w:r>
    </w:p>
    <w:p>
      <w:pPr>
        <w:adjustRightInd w:val="0"/>
        <w:snapToGrid w:val="0"/>
        <w:spacing w:line="360" w:lineRule="auto"/>
        <w:outlineLvl w:val="2"/>
        <w:rPr>
          <w:rFonts w:eastAsia="黑体"/>
          <w:color w:val="auto"/>
          <w:kern w:val="21"/>
          <w:sz w:val="28"/>
          <w:szCs w:val="28"/>
        </w:rPr>
      </w:pPr>
      <w:bookmarkStart w:id="286" w:name="_Toc58828274"/>
      <w:r>
        <w:rPr>
          <w:rFonts w:hint="eastAsia" w:eastAsia="黑体"/>
          <w:color w:val="auto"/>
          <w:kern w:val="21"/>
          <w:sz w:val="28"/>
          <w:szCs w:val="28"/>
        </w:rPr>
        <w:t>4.2.7</w:t>
      </w:r>
      <w:r>
        <w:rPr>
          <w:rFonts w:eastAsia="黑体"/>
          <w:color w:val="auto"/>
          <w:kern w:val="21"/>
          <w:sz w:val="28"/>
          <w:szCs w:val="28"/>
        </w:rPr>
        <w:t>区域污染源调查</w:t>
      </w:r>
      <w:bookmarkEnd w:id="283"/>
      <w:bookmarkEnd w:id="284"/>
      <w:bookmarkEnd w:id="285"/>
      <w:bookmarkEnd w:id="286"/>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区域主要企业污染源排放情况见</w:t>
      </w:r>
      <w:r>
        <w:rPr>
          <w:rFonts w:hint="eastAsia"/>
          <w:color w:val="auto"/>
          <w:kern w:val="0"/>
          <w:sz w:val="24"/>
          <w:szCs w:val="20"/>
        </w:rPr>
        <w:t>下表4.2-25</w:t>
      </w:r>
      <w:r>
        <w:rPr>
          <w:color w:val="auto"/>
          <w:kern w:val="0"/>
          <w:sz w:val="24"/>
          <w:szCs w:val="20"/>
        </w:rPr>
        <w:t>。</w:t>
      </w:r>
    </w:p>
    <w:p>
      <w:pPr>
        <w:spacing w:before="120" w:beforeLines="50"/>
        <w:ind w:firstLine="480" w:firstLineChars="200"/>
        <w:rPr>
          <w:rFonts w:eastAsia="黑体"/>
          <w:color w:val="auto"/>
          <w:sz w:val="24"/>
          <w:szCs w:val="24"/>
        </w:rPr>
      </w:pPr>
      <w:r>
        <w:rPr>
          <w:rFonts w:eastAsia="黑体"/>
          <w:color w:val="auto"/>
          <w:sz w:val="24"/>
          <w:szCs w:val="24"/>
        </w:rPr>
        <w:t>表4.2-25         区域内主要企业污染物排放情况一览表</w:t>
      </w:r>
      <w:r>
        <w:rPr>
          <w:rFonts w:hint="eastAsia" w:eastAsia="黑体"/>
          <w:color w:val="auto"/>
          <w:sz w:val="24"/>
          <w:szCs w:val="24"/>
        </w:rPr>
        <w:t xml:space="preserve">     单位：t/a</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78"/>
        <w:gridCol w:w="2832"/>
        <w:gridCol w:w="851"/>
        <w:gridCol w:w="709"/>
        <w:gridCol w:w="850"/>
        <w:gridCol w:w="851"/>
        <w:gridCol w:w="899"/>
        <w:gridCol w:w="85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4"/>
              <w:rPr>
                <w:color w:val="auto"/>
              </w:rPr>
            </w:pPr>
            <w:r>
              <w:rPr>
                <w:rFonts w:hint="eastAsia"/>
                <w:color w:val="auto"/>
              </w:rPr>
              <w:t>序号</w:t>
            </w:r>
          </w:p>
        </w:tc>
        <w:tc>
          <w:tcPr>
            <w:tcW w:w="2832" w:type="dxa"/>
            <w:vAlign w:val="center"/>
          </w:tcPr>
          <w:p>
            <w:pPr>
              <w:pStyle w:val="424"/>
              <w:rPr>
                <w:color w:val="auto"/>
              </w:rPr>
            </w:pPr>
            <w:r>
              <w:rPr>
                <w:rFonts w:hint="eastAsia"/>
                <w:color w:val="auto"/>
              </w:rPr>
              <w:t>企业名称</w:t>
            </w:r>
          </w:p>
        </w:tc>
        <w:tc>
          <w:tcPr>
            <w:tcW w:w="851" w:type="dxa"/>
            <w:vAlign w:val="center"/>
          </w:tcPr>
          <w:p>
            <w:pPr>
              <w:pStyle w:val="424"/>
              <w:rPr>
                <w:color w:val="auto"/>
              </w:rPr>
            </w:pPr>
            <w:r>
              <w:rPr>
                <w:color w:val="auto"/>
              </w:rPr>
              <w:t>SO</w:t>
            </w:r>
            <w:r>
              <w:rPr>
                <w:color w:val="auto"/>
                <w:vertAlign w:val="subscript"/>
              </w:rPr>
              <w:t>2</w:t>
            </w:r>
          </w:p>
        </w:tc>
        <w:tc>
          <w:tcPr>
            <w:tcW w:w="709" w:type="dxa"/>
            <w:vAlign w:val="center"/>
          </w:tcPr>
          <w:p>
            <w:pPr>
              <w:pStyle w:val="424"/>
              <w:rPr>
                <w:color w:val="auto"/>
              </w:rPr>
            </w:pPr>
            <w:r>
              <w:rPr>
                <w:color w:val="auto"/>
              </w:rPr>
              <w:t>NOx</w:t>
            </w:r>
          </w:p>
        </w:tc>
        <w:tc>
          <w:tcPr>
            <w:tcW w:w="850" w:type="dxa"/>
            <w:vAlign w:val="center"/>
          </w:tcPr>
          <w:p>
            <w:pPr>
              <w:pStyle w:val="424"/>
              <w:rPr>
                <w:color w:val="auto"/>
              </w:rPr>
            </w:pPr>
            <w:r>
              <w:rPr>
                <w:rFonts w:hint="eastAsia"/>
                <w:color w:val="auto"/>
              </w:rPr>
              <w:t>颗粒物</w:t>
            </w:r>
          </w:p>
        </w:tc>
        <w:tc>
          <w:tcPr>
            <w:tcW w:w="851" w:type="dxa"/>
            <w:vAlign w:val="center"/>
          </w:tcPr>
          <w:p>
            <w:pPr>
              <w:pStyle w:val="424"/>
              <w:rPr>
                <w:b/>
                <w:bCs w:val="0"/>
                <w:color w:val="auto"/>
                <w:u w:val="single"/>
              </w:rPr>
            </w:pPr>
            <w:r>
              <w:rPr>
                <w:rFonts w:hint="eastAsia"/>
                <w:b/>
                <w:bCs w:val="0"/>
                <w:color w:val="auto"/>
                <w:u w:val="single"/>
              </w:rPr>
              <w:t>VOCs</w:t>
            </w:r>
          </w:p>
        </w:tc>
        <w:tc>
          <w:tcPr>
            <w:tcW w:w="899" w:type="dxa"/>
            <w:vAlign w:val="center"/>
          </w:tcPr>
          <w:p>
            <w:pPr>
              <w:pStyle w:val="424"/>
              <w:rPr>
                <w:b/>
                <w:bCs w:val="0"/>
                <w:color w:val="auto"/>
              </w:rPr>
            </w:pPr>
            <w:r>
              <w:rPr>
                <w:b/>
                <w:bCs w:val="0"/>
                <w:color w:val="auto"/>
              </w:rPr>
              <w:t>COD</w:t>
            </w:r>
          </w:p>
        </w:tc>
        <w:tc>
          <w:tcPr>
            <w:tcW w:w="858" w:type="dxa"/>
            <w:vAlign w:val="center"/>
          </w:tcPr>
          <w:p>
            <w:pPr>
              <w:pStyle w:val="424"/>
              <w:rPr>
                <w:color w:val="auto"/>
              </w:rPr>
            </w:pPr>
            <w:r>
              <w:rPr>
                <w:color w:val="auto"/>
              </w:rPr>
              <w:t>NH</w:t>
            </w:r>
            <w:r>
              <w:rPr>
                <w:color w:val="auto"/>
                <w:vertAlign w:val="subscript"/>
              </w:rPr>
              <w:t>3</w:t>
            </w:r>
            <w:r>
              <w:rPr>
                <w:color w:val="auto"/>
              </w:rPr>
              <w:t>-N</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w:t>
            </w:r>
          </w:p>
        </w:tc>
        <w:tc>
          <w:tcPr>
            <w:tcW w:w="2832" w:type="dxa"/>
            <w:vAlign w:val="center"/>
          </w:tcPr>
          <w:p>
            <w:pPr>
              <w:pStyle w:val="421"/>
              <w:rPr>
                <w:color w:val="auto"/>
              </w:rPr>
            </w:pPr>
            <w:r>
              <w:rPr>
                <w:rFonts w:hint="eastAsia"/>
                <w:color w:val="auto"/>
              </w:rPr>
              <w:t>新乡市中新化工有限责任公司</w:t>
            </w:r>
          </w:p>
        </w:tc>
        <w:tc>
          <w:tcPr>
            <w:tcW w:w="851" w:type="dxa"/>
            <w:vAlign w:val="center"/>
          </w:tcPr>
          <w:p>
            <w:pPr>
              <w:pStyle w:val="421"/>
              <w:rPr>
                <w:color w:val="auto"/>
              </w:rPr>
            </w:pPr>
            <w:r>
              <w:rPr>
                <w:color w:val="auto"/>
              </w:rPr>
              <w:t>191</w:t>
            </w:r>
          </w:p>
        </w:tc>
        <w:tc>
          <w:tcPr>
            <w:tcW w:w="709" w:type="dxa"/>
            <w:vAlign w:val="center"/>
          </w:tcPr>
          <w:p>
            <w:pPr>
              <w:pStyle w:val="421"/>
              <w:rPr>
                <w:color w:val="auto"/>
              </w:rPr>
            </w:pPr>
            <w:r>
              <w:rPr>
                <w:color w:val="auto"/>
              </w:rPr>
              <w:t>76.5</w:t>
            </w:r>
          </w:p>
        </w:tc>
        <w:tc>
          <w:tcPr>
            <w:tcW w:w="850" w:type="dxa"/>
            <w:vAlign w:val="center"/>
          </w:tcPr>
          <w:p>
            <w:pPr>
              <w:pStyle w:val="421"/>
              <w:rPr>
                <w:color w:val="auto"/>
              </w:rPr>
            </w:pPr>
            <w:r>
              <w:rPr>
                <w:color w:val="auto"/>
              </w:rPr>
              <w:t>59.9</w:t>
            </w:r>
          </w:p>
        </w:tc>
        <w:tc>
          <w:tcPr>
            <w:tcW w:w="851" w:type="dxa"/>
            <w:vAlign w:val="center"/>
          </w:tcPr>
          <w:p>
            <w:pPr>
              <w:pStyle w:val="421"/>
              <w:rPr>
                <w:b/>
                <w:bCs w:val="0"/>
                <w:color w:val="auto"/>
                <w:u w:val="single"/>
              </w:rPr>
            </w:pPr>
            <w:r>
              <w:rPr>
                <w:rFonts w:hint="eastAsia"/>
                <w:b/>
                <w:bCs w:val="0"/>
                <w:color w:val="auto"/>
                <w:u w:val="single"/>
              </w:rPr>
              <w:t>1.6934</w:t>
            </w:r>
          </w:p>
        </w:tc>
        <w:tc>
          <w:tcPr>
            <w:tcW w:w="899" w:type="dxa"/>
            <w:vAlign w:val="center"/>
          </w:tcPr>
          <w:p>
            <w:pPr>
              <w:pStyle w:val="421"/>
              <w:rPr>
                <w:color w:val="auto"/>
              </w:rPr>
            </w:pPr>
            <w:r>
              <w:rPr>
                <w:color w:val="auto"/>
              </w:rPr>
              <w:t>163.04</w:t>
            </w:r>
          </w:p>
        </w:tc>
        <w:tc>
          <w:tcPr>
            <w:tcW w:w="858" w:type="dxa"/>
            <w:vAlign w:val="center"/>
          </w:tcPr>
          <w:p>
            <w:pPr>
              <w:pStyle w:val="421"/>
              <w:rPr>
                <w:color w:val="auto"/>
              </w:rPr>
            </w:pPr>
            <w:r>
              <w:rPr>
                <w:color w:val="auto"/>
              </w:rPr>
              <w:t>2.4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2</w:t>
            </w:r>
          </w:p>
        </w:tc>
        <w:tc>
          <w:tcPr>
            <w:tcW w:w="2832" w:type="dxa"/>
            <w:vAlign w:val="center"/>
          </w:tcPr>
          <w:p>
            <w:pPr>
              <w:pStyle w:val="421"/>
              <w:rPr>
                <w:color w:val="auto"/>
              </w:rPr>
            </w:pPr>
            <w:r>
              <w:rPr>
                <w:rFonts w:hint="eastAsia"/>
                <w:color w:val="auto"/>
              </w:rPr>
              <w:t>河南金天化工有限公司</w:t>
            </w:r>
          </w:p>
        </w:tc>
        <w:tc>
          <w:tcPr>
            <w:tcW w:w="851" w:type="dxa"/>
            <w:vAlign w:val="center"/>
          </w:tcPr>
          <w:p>
            <w:pPr>
              <w:pStyle w:val="421"/>
              <w:rPr>
                <w:color w:val="auto"/>
              </w:rPr>
            </w:pPr>
            <w:r>
              <w:rPr>
                <w:color w:val="auto"/>
              </w:rPr>
              <w:t>182.675</w:t>
            </w:r>
          </w:p>
        </w:tc>
        <w:tc>
          <w:tcPr>
            <w:tcW w:w="709" w:type="dxa"/>
            <w:vAlign w:val="center"/>
          </w:tcPr>
          <w:p>
            <w:pPr>
              <w:pStyle w:val="421"/>
              <w:rPr>
                <w:color w:val="auto"/>
              </w:rPr>
            </w:pPr>
            <w:r>
              <w:rPr>
                <w:color w:val="auto"/>
              </w:rPr>
              <w:t>300.5</w:t>
            </w:r>
          </w:p>
        </w:tc>
        <w:tc>
          <w:tcPr>
            <w:tcW w:w="850" w:type="dxa"/>
            <w:vAlign w:val="center"/>
          </w:tcPr>
          <w:p>
            <w:pPr>
              <w:pStyle w:val="421"/>
              <w:rPr>
                <w:color w:val="auto"/>
              </w:rPr>
            </w:pPr>
            <w:r>
              <w:rPr>
                <w:color w:val="auto"/>
              </w:rPr>
              <w:t>67.6</w:t>
            </w:r>
          </w:p>
        </w:tc>
        <w:tc>
          <w:tcPr>
            <w:tcW w:w="851" w:type="dxa"/>
            <w:vAlign w:val="center"/>
          </w:tcPr>
          <w:p>
            <w:pPr>
              <w:pStyle w:val="421"/>
              <w:rPr>
                <w:b/>
                <w:bCs w:val="0"/>
                <w:color w:val="auto"/>
                <w:u w:val="single"/>
              </w:rPr>
            </w:pPr>
            <w:r>
              <w:rPr>
                <w:rFonts w:hint="eastAsia"/>
                <w:b/>
                <w:bCs w:val="0"/>
                <w:color w:val="auto"/>
                <w:u w:val="single"/>
              </w:rPr>
              <w:t>0.30</w:t>
            </w:r>
          </w:p>
        </w:tc>
        <w:tc>
          <w:tcPr>
            <w:tcW w:w="899" w:type="dxa"/>
            <w:vAlign w:val="center"/>
          </w:tcPr>
          <w:p>
            <w:pPr>
              <w:pStyle w:val="421"/>
              <w:rPr>
                <w:color w:val="auto"/>
              </w:rPr>
            </w:pPr>
            <w:r>
              <w:rPr>
                <w:rFonts w:hint="eastAsia"/>
                <w:color w:val="auto"/>
              </w:rPr>
              <w:t>180</w:t>
            </w:r>
          </w:p>
        </w:tc>
        <w:tc>
          <w:tcPr>
            <w:tcW w:w="858" w:type="dxa"/>
            <w:vAlign w:val="center"/>
          </w:tcPr>
          <w:p>
            <w:pPr>
              <w:pStyle w:val="421"/>
              <w:rPr>
                <w:color w:val="auto"/>
              </w:rPr>
            </w:pPr>
            <w:r>
              <w:rPr>
                <w:rFonts w:hint="eastAsia"/>
                <w:color w:val="auto"/>
              </w:rPr>
              <w:t>30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3</w:t>
            </w:r>
          </w:p>
        </w:tc>
        <w:tc>
          <w:tcPr>
            <w:tcW w:w="2832" w:type="dxa"/>
            <w:vAlign w:val="center"/>
          </w:tcPr>
          <w:p>
            <w:pPr>
              <w:pStyle w:val="421"/>
              <w:rPr>
                <w:color w:val="auto"/>
              </w:rPr>
            </w:pPr>
            <w:r>
              <w:rPr>
                <w:rFonts w:hint="eastAsia"/>
                <w:color w:val="auto"/>
              </w:rPr>
              <w:t>河南八方新材料有限公司</w:t>
            </w:r>
          </w:p>
        </w:tc>
        <w:tc>
          <w:tcPr>
            <w:tcW w:w="851" w:type="dxa"/>
            <w:vAlign w:val="center"/>
          </w:tcPr>
          <w:p>
            <w:pPr>
              <w:pStyle w:val="421"/>
              <w:rPr>
                <w:color w:val="auto"/>
              </w:rPr>
            </w:pPr>
            <w:r>
              <w:rPr>
                <w:rFonts w:hint="eastAsia"/>
                <w:color w:val="auto"/>
              </w:rPr>
              <w:t>0.093</w:t>
            </w:r>
          </w:p>
        </w:tc>
        <w:tc>
          <w:tcPr>
            <w:tcW w:w="709" w:type="dxa"/>
            <w:vAlign w:val="center"/>
          </w:tcPr>
          <w:p>
            <w:pPr>
              <w:pStyle w:val="421"/>
              <w:rPr>
                <w:color w:val="auto"/>
              </w:rPr>
            </w:pPr>
            <w:r>
              <w:rPr>
                <w:rFonts w:hint="eastAsia"/>
                <w:color w:val="auto"/>
              </w:rPr>
              <w:t>0.130</w:t>
            </w:r>
          </w:p>
        </w:tc>
        <w:tc>
          <w:tcPr>
            <w:tcW w:w="850" w:type="dxa"/>
            <w:vAlign w:val="center"/>
          </w:tcPr>
          <w:p>
            <w:pPr>
              <w:pStyle w:val="421"/>
              <w:rPr>
                <w:color w:val="auto"/>
              </w:rPr>
            </w:pPr>
            <w:r>
              <w:rPr>
                <w:rFonts w:hint="eastAsia"/>
                <w:color w:val="auto"/>
              </w:rPr>
              <w:t>0.2</w:t>
            </w:r>
          </w:p>
        </w:tc>
        <w:tc>
          <w:tcPr>
            <w:tcW w:w="851" w:type="dxa"/>
            <w:vAlign w:val="center"/>
          </w:tcPr>
          <w:p>
            <w:pPr>
              <w:pStyle w:val="421"/>
              <w:rPr>
                <w:b/>
                <w:bCs w:val="0"/>
                <w:color w:val="auto"/>
                <w:u w:val="single"/>
              </w:rPr>
            </w:pPr>
            <w:r>
              <w:rPr>
                <w:rFonts w:hint="eastAsia"/>
                <w:b/>
                <w:bCs w:val="0"/>
                <w:color w:val="auto"/>
                <w:u w:val="single"/>
              </w:rPr>
              <w:t>8.369</w:t>
            </w:r>
          </w:p>
        </w:tc>
        <w:tc>
          <w:tcPr>
            <w:tcW w:w="899" w:type="dxa"/>
            <w:vAlign w:val="center"/>
          </w:tcPr>
          <w:p>
            <w:pPr>
              <w:pStyle w:val="421"/>
              <w:rPr>
                <w:color w:val="auto"/>
              </w:rPr>
            </w:pPr>
            <w:r>
              <w:rPr>
                <w:rFonts w:hint="eastAsia"/>
                <w:color w:val="auto"/>
              </w:rPr>
              <w:t>0.515</w:t>
            </w:r>
          </w:p>
        </w:tc>
        <w:tc>
          <w:tcPr>
            <w:tcW w:w="858" w:type="dxa"/>
            <w:vAlign w:val="center"/>
          </w:tcPr>
          <w:p>
            <w:pPr>
              <w:pStyle w:val="421"/>
              <w:rPr>
                <w:color w:val="auto"/>
              </w:rPr>
            </w:pPr>
            <w:r>
              <w:rPr>
                <w:rFonts w:hint="eastAsia"/>
                <w:color w:val="auto"/>
              </w:rPr>
              <w:t>0.018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4</w:t>
            </w:r>
          </w:p>
        </w:tc>
        <w:tc>
          <w:tcPr>
            <w:tcW w:w="2832" w:type="dxa"/>
            <w:vAlign w:val="center"/>
          </w:tcPr>
          <w:p>
            <w:pPr>
              <w:pStyle w:val="421"/>
              <w:rPr>
                <w:color w:val="auto"/>
              </w:rPr>
            </w:pPr>
            <w:r>
              <w:rPr>
                <w:rFonts w:hint="eastAsia"/>
                <w:color w:val="auto"/>
              </w:rPr>
              <w:t>河南正大化工有限公司</w:t>
            </w:r>
          </w:p>
        </w:tc>
        <w:tc>
          <w:tcPr>
            <w:tcW w:w="851" w:type="dxa"/>
            <w:vAlign w:val="center"/>
          </w:tcPr>
          <w:p>
            <w:pPr>
              <w:pStyle w:val="421"/>
              <w:rPr>
                <w:color w:val="auto"/>
              </w:rPr>
            </w:pPr>
            <w:r>
              <w:rPr>
                <w:rFonts w:hint="eastAsia"/>
                <w:color w:val="auto"/>
              </w:rPr>
              <w:t>0.059</w:t>
            </w:r>
          </w:p>
        </w:tc>
        <w:tc>
          <w:tcPr>
            <w:tcW w:w="709" w:type="dxa"/>
            <w:vAlign w:val="center"/>
          </w:tcPr>
          <w:p>
            <w:pPr>
              <w:pStyle w:val="421"/>
              <w:rPr>
                <w:color w:val="auto"/>
              </w:rPr>
            </w:pPr>
            <w:r>
              <w:rPr>
                <w:rFonts w:hint="eastAsia"/>
                <w:color w:val="auto"/>
              </w:rPr>
              <w:t>0.082</w:t>
            </w:r>
          </w:p>
        </w:tc>
        <w:tc>
          <w:tcPr>
            <w:tcW w:w="850" w:type="dxa"/>
            <w:vAlign w:val="center"/>
          </w:tcPr>
          <w:p>
            <w:pPr>
              <w:pStyle w:val="421"/>
              <w:rPr>
                <w:color w:val="auto"/>
              </w:rPr>
            </w:pPr>
            <w:r>
              <w:rPr>
                <w:rFonts w:hint="eastAsia"/>
                <w:color w:val="auto"/>
              </w:rPr>
              <w:t>0.171</w:t>
            </w:r>
          </w:p>
        </w:tc>
        <w:tc>
          <w:tcPr>
            <w:tcW w:w="851" w:type="dxa"/>
            <w:vAlign w:val="center"/>
          </w:tcPr>
          <w:p>
            <w:pPr>
              <w:pStyle w:val="421"/>
              <w:rPr>
                <w:b/>
                <w:bCs w:val="0"/>
                <w:color w:val="auto"/>
                <w:u w:val="single"/>
              </w:rPr>
            </w:pPr>
            <w:r>
              <w:rPr>
                <w:rFonts w:hint="eastAsia"/>
                <w:b/>
                <w:bCs w:val="0"/>
                <w:color w:val="auto"/>
                <w:u w:val="single"/>
              </w:rPr>
              <w:t>1.556</w:t>
            </w:r>
          </w:p>
        </w:tc>
        <w:tc>
          <w:tcPr>
            <w:tcW w:w="899" w:type="dxa"/>
            <w:vAlign w:val="center"/>
          </w:tcPr>
          <w:p>
            <w:pPr>
              <w:pStyle w:val="421"/>
              <w:rPr>
                <w:color w:val="auto"/>
              </w:rPr>
            </w:pPr>
            <w:r>
              <w:rPr>
                <w:rFonts w:hint="eastAsia"/>
                <w:color w:val="auto"/>
              </w:rPr>
              <w:t>0.752</w:t>
            </w:r>
          </w:p>
        </w:tc>
        <w:tc>
          <w:tcPr>
            <w:tcW w:w="858" w:type="dxa"/>
            <w:vAlign w:val="center"/>
          </w:tcPr>
          <w:p>
            <w:pPr>
              <w:pStyle w:val="421"/>
              <w:rPr>
                <w:color w:val="auto"/>
              </w:rPr>
            </w:pPr>
            <w:r>
              <w:rPr>
                <w:rFonts w:hint="eastAsia"/>
                <w:color w:val="auto"/>
              </w:rPr>
              <w:t>0.075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5</w:t>
            </w:r>
          </w:p>
        </w:tc>
        <w:tc>
          <w:tcPr>
            <w:tcW w:w="2832" w:type="dxa"/>
            <w:vAlign w:val="center"/>
          </w:tcPr>
          <w:p>
            <w:pPr>
              <w:pStyle w:val="421"/>
              <w:rPr>
                <w:color w:val="auto"/>
              </w:rPr>
            </w:pPr>
            <w:r>
              <w:rPr>
                <w:rFonts w:hint="eastAsia"/>
                <w:color w:val="auto"/>
              </w:rPr>
              <w:t>河南宝河树脂有限公司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5.435</w:t>
            </w:r>
          </w:p>
        </w:tc>
        <w:tc>
          <w:tcPr>
            <w:tcW w:w="851" w:type="dxa"/>
            <w:vAlign w:val="center"/>
          </w:tcPr>
          <w:p>
            <w:pPr>
              <w:pStyle w:val="421"/>
              <w:rPr>
                <w:b/>
                <w:bCs w:val="0"/>
                <w:color w:val="auto"/>
                <w:u w:val="single"/>
              </w:rPr>
            </w:pPr>
            <w:r>
              <w:rPr>
                <w:rFonts w:hint="eastAsia"/>
                <w:b/>
                <w:bCs w:val="0"/>
                <w:color w:val="auto"/>
                <w:u w:val="single"/>
              </w:rPr>
              <w:t>0.493</w:t>
            </w:r>
          </w:p>
        </w:tc>
        <w:tc>
          <w:tcPr>
            <w:tcW w:w="899" w:type="dxa"/>
            <w:vAlign w:val="center"/>
          </w:tcPr>
          <w:p>
            <w:pPr>
              <w:pStyle w:val="421"/>
              <w:rPr>
                <w:color w:val="auto"/>
              </w:rPr>
            </w:pPr>
            <w:r>
              <w:rPr>
                <w:rFonts w:hint="eastAsia"/>
                <w:color w:val="auto"/>
              </w:rPr>
              <w:t>0.56</w:t>
            </w:r>
          </w:p>
        </w:tc>
        <w:tc>
          <w:tcPr>
            <w:tcW w:w="858" w:type="dxa"/>
            <w:vAlign w:val="center"/>
          </w:tcPr>
          <w:p>
            <w:pPr>
              <w:pStyle w:val="421"/>
              <w:rPr>
                <w:color w:val="auto"/>
              </w:rPr>
            </w:pPr>
            <w:r>
              <w:rPr>
                <w:rFonts w:hint="eastAsia"/>
                <w:color w:val="auto"/>
              </w:rPr>
              <w:t>0.006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6</w:t>
            </w:r>
          </w:p>
        </w:tc>
        <w:tc>
          <w:tcPr>
            <w:tcW w:w="2832" w:type="dxa"/>
            <w:vAlign w:val="center"/>
          </w:tcPr>
          <w:p>
            <w:pPr>
              <w:pStyle w:val="421"/>
              <w:rPr>
                <w:color w:val="auto"/>
              </w:rPr>
            </w:pPr>
            <w:r>
              <w:rPr>
                <w:rFonts w:hint="eastAsia"/>
                <w:color w:val="auto"/>
              </w:rPr>
              <w:t>新乡市欧唯特塑业有限公司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val="0"/>
                <w:color w:val="auto"/>
                <w:u w:val="single"/>
              </w:rPr>
            </w:pPr>
            <w:r>
              <w:rPr>
                <w:rFonts w:hint="eastAsia"/>
                <w:b/>
                <w:bCs w:val="0"/>
                <w:color w:val="auto"/>
                <w:u w:val="single"/>
              </w:rPr>
              <w:t>5.0458</w:t>
            </w:r>
          </w:p>
        </w:tc>
        <w:tc>
          <w:tcPr>
            <w:tcW w:w="899" w:type="dxa"/>
            <w:vAlign w:val="center"/>
          </w:tcPr>
          <w:p>
            <w:pPr>
              <w:pStyle w:val="421"/>
              <w:rPr>
                <w:color w:val="auto"/>
              </w:rPr>
            </w:pPr>
            <w:r>
              <w:rPr>
                <w:rFonts w:hint="eastAsia"/>
                <w:color w:val="auto"/>
              </w:rPr>
              <w:t>0.9148</w:t>
            </w:r>
          </w:p>
        </w:tc>
        <w:tc>
          <w:tcPr>
            <w:tcW w:w="858" w:type="dxa"/>
            <w:vAlign w:val="center"/>
          </w:tcPr>
          <w:p>
            <w:pPr>
              <w:pStyle w:val="421"/>
              <w:rPr>
                <w:color w:val="auto"/>
              </w:rPr>
            </w:pPr>
            <w:r>
              <w:rPr>
                <w:rFonts w:hint="eastAsia"/>
                <w:color w:val="auto"/>
              </w:rPr>
              <w:t>0.0239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7</w:t>
            </w:r>
          </w:p>
        </w:tc>
        <w:tc>
          <w:tcPr>
            <w:tcW w:w="2832" w:type="dxa"/>
            <w:vAlign w:val="center"/>
          </w:tcPr>
          <w:p>
            <w:pPr>
              <w:pStyle w:val="421"/>
              <w:rPr>
                <w:color w:val="auto"/>
              </w:rPr>
            </w:pPr>
            <w:r>
              <w:rPr>
                <w:rFonts w:hint="eastAsia"/>
                <w:color w:val="auto"/>
              </w:rPr>
              <w:t>河南猎金科技开发有限公司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val="0"/>
                <w:color w:val="auto"/>
                <w:u w:val="single"/>
              </w:rPr>
            </w:pPr>
            <w:r>
              <w:rPr>
                <w:rFonts w:hint="eastAsia"/>
                <w:b/>
                <w:bCs w:val="0"/>
                <w:color w:val="auto"/>
                <w:u w:val="single"/>
              </w:rPr>
              <w:t>0.1858</w:t>
            </w:r>
          </w:p>
        </w:tc>
        <w:tc>
          <w:tcPr>
            <w:tcW w:w="899" w:type="dxa"/>
            <w:vAlign w:val="center"/>
          </w:tcPr>
          <w:p>
            <w:pPr>
              <w:pStyle w:val="421"/>
              <w:rPr>
                <w:color w:val="auto"/>
              </w:rPr>
            </w:pPr>
            <w:r>
              <w:rPr>
                <w:rFonts w:hint="eastAsia"/>
                <w:color w:val="auto"/>
              </w:rPr>
              <w:t>0.08</w:t>
            </w:r>
          </w:p>
        </w:tc>
        <w:tc>
          <w:tcPr>
            <w:tcW w:w="858" w:type="dxa"/>
            <w:vAlign w:val="center"/>
          </w:tcPr>
          <w:p>
            <w:pPr>
              <w:pStyle w:val="421"/>
              <w:rPr>
                <w:color w:val="auto"/>
              </w:rPr>
            </w:pPr>
            <w:r>
              <w:rPr>
                <w:rFonts w:hint="eastAsia"/>
                <w:color w:val="auto"/>
              </w:rPr>
              <w:t>0.0035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8</w:t>
            </w:r>
          </w:p>
        </w:tc>
        <w:tc>
          <w:tcPr>
            <w:tcW w:w="2832" w:type="dxa"/>
            <w:vAlign w:val="center"/>
          </w:tcPr>
          <w:p>
            <w:pPr>
              <w:pStyle w:val="421"/>
              <w:rPr>
                <w:color w:val="auto"/>
              </w:rPr>
            </w:pPr>
            <w:r>
              <w:rPr>
                <w:rFonts w:hint="eastAsia"/>
                <w:color w:val="auto"/>
              </w:rPr>
              <w:t>获嘉县博利装饰装潢有限公司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rFonts w:hint="eastAsia"/>
                <w:color w:val="auto"/>
              </w:rPr>
              <w:t>1.2561</w:t>
            </w:r>
          </w:p>
        </w:tc>
        <w:tc>
          <w:tcPr>
            <w:tcW w:w="858" w:type="dxa"/>
            <w:vAlign w:val="center"/>
          </w:tcPr>
          <w:p>
            <w:pPr>
              <w:pStyle w:val="421"/>
              <w:rPr>
                <w:color w:val="auto"/>
              </w:rPr>
            </w:pPr>
            <w:r>
              <w:rPr>
                <w:rFonts w:hint="eastAsia"/>
                <w:color w:val="auto"/>
              </w:rPr>
              <w:t>0.0367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9</w:t>
            </w:r>
          </w:p>
        </w:tc>
        <w:tc>
          <w:tcPr>
            <w:tcW w:w="2832" w:type="dxa"/>
            <w:vAlign w:val="center"/>
          </w:tcPr>
          <w:p>
            <w:pPr>
              <w:pStyle w:val="421"/>
              <w:rPr>
                <w:color w:val="auto"/>
              </w:rPr>
            </w:pPr>
            <w:r>
              <w:rPr>
                <w:rFonts w:hint="eastAsia"/>
                <w:color w:val="auto"/>
              </w:rPr>
              <w:t>河南省金凤化工有限公司</w:t>
            </w:r>
          </w:p>
        </w:tc>
        <w:tc>
          <w:tcPr>
            <w:tcW w:w="851" w:type="dxa"/>
            <w:vAlign w:val="center"/>
          </w:tcPr>
          <w:p>
            <w:pPr>
              <w:pStyle w:val="421"/>
              <w:rPr>
                <w:color w:val="auto"/>
              </w:rPr>
            </w:pPr>
            <w:r>
              <w:rPr>
                <w:rFonts w:hint="eastAsia"/>
                <w:color w:val="auto"/>
              </w:rPr>
              <w:t>0.022</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0.031</w:t>
            </w:r>
          </w:p>
        </w:tc>
        <w:tc>
          <w:tcPr>
            <w:tcW w:w="851" w:type="dxa"/>
            <w:vAlign w:val="center"/>
          </w:tcPr>
          <w:p>
            <w:pPr>
              <w:pStyle w:val="421"/>
              <w:rPr>
                <w:b/>
                <w:bCs w:val="0"/>
                <w:color w:val="auto"/>
                <w:u w:val="single"/>
              </w:rPr>
            </w:pPr>
            <w:r>
              <w:rPr>
                <w:rFonts w:hint="eastAsia"/>
                <w:b/>
                <w:bCs w:val="0"/>
                <w:color w:val="auto"/>
                <w:u w:val="single"/>
              </w:rPr>
              <w:t>2.07</w:t>
            </w:r>
          </w:p>
        </w:tc>
        <w:tc>
          <w:tcPr>
            <w:tcW w:w="899" w:type="dxa"/>
            <w:vAlign w:val="center"/>
          </w:tcPr>
          <w:p>
            <w:pPr>
              <w:pStyle w:val="421"/>
              <w:rPr>
                <w:color w:val="auto"/>
              </w:rPr>
            </w:pPr>
            <w:r>
              <w:rPr>
                <w:rFonts w:hint="eastAsia"/>
                <w:color w:val="auto"/>
              </w:rPr>
              <w:t>0.284</w:t>
            </w:r>
          </w:p>
        </w:tc>
        <w:tc>
          <w:tcPr>
            <w:tcW w:w="858" w:type="dxa"/>
            <w:vAlign w:val="center"/>
          </w:tcPr>
          <w:p>
            <w:pPr>
              <w:pStyle w:val="421"/>
              <w:rPr>
                <w:color w:val="auto"/>
              </w:rPr>
            </w:pPr>
            <w:r>
              <w:rPr>
                <w:rFonts w:hint="eastAsia"/>
                <w:color w:val="auto"/>
              </w:rPr>
              <w:t>0.0209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10</w:t>
            </w:r>
          </w:p>
        </w:tc>
        <w:tc>
          <w:tcPr>
            <w:tcW w:w="2832" w:type="dxa"/>
            <w:vAlign w:val="center"/>
          </w:tcPr>
          <w:p>
            <w:pPr>
              <w:pStyle w:val="421"/>
              <w:rPr>
                <w:color w:val="auto"/>
              </w:rPr>
            </w:pPr>
            <w:r>
              <w:rPr>
                <w:rFonts w:hint="eastAsia"/>
                <w:color w:val="auto"/>
              </w:rPr>
              <w:t>河南立佳涂料有限公司</w:t>
            </w:r>
          </w:p>
        </w:tc>
        <w:tc>
          <w:tcPr>
            <w:tcW w:w="851" w:type="dxa"/>
            <w:vAlign w:val="center"/>
          </w:tcPr>
          <w:p>
            <w:pPr>
              <w:pStyle w:val="421"/>
              <w:rPr>
                <w:color w:val="auto"/>
              </w:rPr>
            </w:pPr>
            <w:r>
              <w:rPr>
                <w:rFonts w:hint="eastAsia"/>
                <w:color w:val="auto"/>
              </w:rPr>
              <w:t>0.017</w:t>
            </w:r>
          </w:p>
        </w:tc>
        <w:tc>
          <w:tcPr>
            <w:tcW w:w="709" w:type="dxa"/>
            <w:vAlign w:val="center"/>
          </w:tcPr>
          <w:p>
            <w:pPr>
              <w:pStyle w:val="421"/>
              <w:rPr>
                <w:color w:val="auto"/>
              </w:rPr>
            </w:pPr>
            <w:r>
              <w:rPr>
                <w:rFonts w:hint="eastAsia"/>
                <w:color w:val="auto"/>
              </w:rPr>
              <w:t>0.157</w:t>
            </w:r>
          </w:p>
        </w:tc>
        <w:tc>
          <w:tcPr>
            <w:tcW w:w="850" w:type="dxa"/>
            <w:vAlign w:val="center"/>
          </w:tcPr>
          <w:p>
            <w:pPr>
              <w:pStyle w:val="421"/>
              <w:rPr>
                <w:color w:val="auto"/>
              </w:rPr>
            </w:pPr>
            <w:r>
              <w:rPr>
                <w:rFonts w:hint="eastAsia"/>
                <w:color w:val="auto"/>
              </w:rPr>
              <w:t>2.66</w:t>
            </w:r>
          </w:p>
        </w:tc>
        <w:tc>
          <w:tcPr>
            <w:tcW w:w="851" w:type="dxa"/>
            <w:vAlign w:val="center"/>
          </w:tcPr>
          <w:p>
            <w:pPr>
              <w:pStyle w:val="421"/>
              <w:rPr>
                <w:b/>
                <w:bCs w:val="0"/>
                <w:color w:val="auto"/>
                <w:u w:val="single"/>
              </w:rPr>
            </w:pPr>
            <w:r>
              <w:rPr>
                <w:rFonts w:hint="eastAsia"/>
                <w:b/>
                <w:bCs w:val="0"/>
                <w:color w:val="auto"/>
                <w:u w:val="single"/>
              </w:rPr>
              <w:t>0.165</w:t>
            </w:r>
          </w:p>
        </w:tc>
        <w:tc>
          <w:tcPr>
            <w:tcW w:w="899" w:type="dxa"/>
            <w:vAlign w:val="center"/>
          </w:tcPr>
          <w:p>
            <w:pPr>
              <w:pStyle w:val="421"/>
              <w:rPr>
                <w:color w:val="auto"/>
              </w:rPr>
            </w:pPr>
            <w:r>
              <w:rPr>
                <w:rFonts w:hint="eastAsia"/>
                <w:color w:val="auto"/>
              </w:rPr>
              <w:t>0.68</w:t>
            </w:r>
          </w:p>
        </w:tc>
        <w:tc>
          <w:tcPr>
            <w:tcW w:w="858" w:type="dxa"/>
            <w:vAlign w:val="center"/>
          </w:tcPr>
          <w:p>
            <w:pPr>
              <w:pStyle w:val="421"/>
              <w:rPr>
                <w:color w:val="auto"/>
              </w:rPr>
            </w:pPr>
            <w:r>
              <w:rPr>
                <w:rFonts w:hint="eastAsia"/>
                <w:color w:val="auto"/>
              </w:rPr>
              <w:t>0.04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11</w:t>
            </w:r>
          </w:p>
        </w:tc>
        <w:tc>
          <w:tcPr>
            <w:tcW w:w="2832" w:type="dxa"/>
            <w:vAlign w:val="center"/>
          </w:tcPr>
          <w:p>
            <w:pPr>
              <w:pStyle w:val="421"/>
              <w:rPr>
                <w:color w:val="auto"/>
              </w:rPr>
            </w:pPr>
            <w:r>
              <w:rPr>
                <w:rFonts w:hint="eastAsia"/>
                <w:color w:val="auto"/>
              </w:rPr>
              <w:t>河南长远油墨涂料有限公司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val="0"/>
                <w:color w:val="auto"/>
                <w:u w:val="single"/>
              </w:rPr>
            </w:pPr>
            <w:r>
              <w:rPr>
                <w:rFonts w:hint="eastAsia"/>
                <w:b/>
                <w:bCs w:val="0"/>
                <w:color w:val="auto"/>
                <w:u w:val="single"/>
              </w:rPr>
              <w:t>0.93</w:t>
            </w:r>
          </w:p>
        </w:tc>
        <w:tc>
          <w:tcPr>
            <w:tcW w:w="899" w:type="dxa"/>
            <w:vAlign w:val="center"/>
          </w:tcPr>
          <w:p>
            <w:pPr>
              <w:pStyle w:val="421"/>
              <w:rPr>
                <w:color w:val="auto"/>
              </w:rPr>
            </w:pPr>
            <w:r>
              <w:rPr>
                <w:rFonts w:hint="eastAsia"/>
                <w:color w:val="auto"/>
              </w:rPr>
              <w:t>0.012</w:t>
            </w:r>
          </w:p>
        </w:tc>
        <w:tc>
          <w:tcPr>
            <w:tcW w:w="858" w:type="dxa"/>
            <w:vAlign w:val="center"/>
          </w:tcPr>
          <w:p>
            <w:pPr>
              <w:pStyle w:val="421"/>
              <w:rPr>
                <w:color w:val="auto"/>
              </w:rPr>
            </w:pPr>
            <w:r>
              <w:rPr>
                <w:rFonts w:hint="eastAsia"/>
                <w:color w:val="auto"/>
              </w:rPr>
              <w:t>0.0012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12</w:t>
            </w:r>
          </w:p>
        </w:tc>
        <w:tc>
          <w:tcPr>
            <w:tcW w:w="2832" w:type="dxa"/>
            <w:vAlign w:val="center"/>
          </w:tcPr>
          <w:p>
            <w:pPr>
              <w:pStyle w:val="421"/>
              <w:rPr>
                <w:color w:val="auto"/>
              </w:rPr>
            </w:pPr>
            <w:r>
              <w:rPr>
                <w:rFonts w:hint="eastAsia"/>
                <w:color w:val="auto"/>
              </w:rPr>
              <w:t>新乡市腾飞纸业有限公司</w:t>
            </w:r>
          </w:p>
        </w:tc>
        <w:tc>
          <w:tcPr>
            <w:tcW w:w="851" w:type="dxa"/>
            <w:vAlign w:val="center"/>
          </w:tcPr>
          <w:p>
            <w:pPr>
              <w:pStyle w:val="421"/>
              <w:rPr>
                <w:color w:val="auto"/>
              </w:rPr>
            </w:pPr>
            <w:r>
              <w:rPr>
                <w:color w:val="auto"/>
              </w:rPr>
              <w:t>46.4</w:t>
            </w:r>
          </w:p>
        </w:tc>
        <w:tc>
          <w:tcPr>
            <w:tcW w:w="709" w:type="dxa"/>
            <w:vAlign w:val="center"/>
          </w:tcPr>
          <w:p>
            <w:pPr>
              <w:pStyle w:val="421"/>
              <w:rPr>
                <w:color w:val="auto"/>
              </w:rPr>
            </w:pPr>
            <w:r>
              <w:rPr>
                <w:color w:val="auto"/>
              </w:rPr>
              <w:t>46.4</w:t>
            </w:r>
          </w:p>
        </w:tc>
        <w:tc>
          <w:tcPr>
            <w:tcW w:w="850" w:type="dxa"/>
            <w:vAlign w:val="center"/>
          </w:tcPr>
          <w:p>
            <w:pPr>
              <w:pStyle w:val="421"/>
              <w:rPr>
                <w:color w:val="auto"/>
              </w:rPr>
            </w:pPr>
            <w:r>
              <w:rPr>
                <w:color w:val="auto"/>
              </w:rPr>
              <w:t>6.96</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136.13</w:t>
            </w:r>
          </w:p>
        </w:tc>
        <w:tc>
          <w:tcPr>
            <w:tcW w:w="858" w:type="dxa"/>
            <w:vAlign w:val="center"/>
          </w:tcPr>
          <w:p>
            <w:pPr>
              <w:pStyle w:val="421"/>
              <w:rPr>
                <w:color w:val="auto"/>
              </w:rPr>
            </w:pPr>
            <w:r>
              <w:rPr>
                <w:color w:val="auto"/>
              </w:rPr>
              <w:t>0.180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13</w:t>
            </w:r>
          </w:p>
        </w:tc>
        <w:tc>
          <w:tcPr>
            <w:tcW w:w="2832" w:type="dxa"/>
            <w:vAlign w:val="center"/>
          </w:tcPr>
          <w:p>
            <w:pPr>
              <w:pStyle w:val="421"/>
              <w:rPr>
                <w:color w:val="auto"/>
              </w:rPr>
            </w:pPr>
            <w:r>
              <w:rPr>
                <w:rFonts w:hint="eastAsia"/>
                <w:color w:val="auto"/>
              </w:rPr>
              <w:t>获嘉县阳光油脂化工有限公司</w:t>
            </w:r>
          </w:p>
        </w:tc>
        <w:tc>
          <w:tcPr>
            <w:tcW w:w="851" w:type="dxa"/>
            <w:vAlign w:val="center"/>
          </w:tcPr>
          <w:p>
            <w:pPr>
              <w:pStyle w:val="421"/>
              <w:rPr>
                <w:color w:val="auto"/>
              </w:rPr>
            </w:pPr>
            <w:r>
              <w:rPr>
                <w:color w:val="auto"/>
              </w:rPr>
              <w:t>3.1</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color w:val="auto"/>
              </w:rPr>
              <w:t>1.9</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0.33</w:t>
            </w:r>
          </w:p>
        </w:tc>
        <w:tc>
          <w:tcPr>
            <w:tcW w:w="858" w:type="dxa"/>
            <w:vAlign w:val="center"/>
          </w:tcPr>
          <w:p>
            <w:pPr>
              <w:pStyle w:val="421"/>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14</w:t>
            </w:r>
          </w:p>
        </w:tc>
        <w:tc>
          <w:tcPr>
            <w:tcW w:w="2832" w:type="dxa"/>
            <w:vAlign w:val="center"/>
          </w:tcPr>
          <w:p>
            <w:pPr>
              <w:pStyle w:val="421"/>
              <w:rPr>
                <w:color w:val="auto"/>
              </w:rPr>
            </w:pPr>
            <w:r>
              <w:rPr>
                <w:rFonts w:hint="eastAsia"/>
                <w:color w:val="auto"/>
              </w:rPr>
              <w:t>英联饲料（上海）有限公司</w:t>
            </w:r>
          </w:p>
        </w:tc>
        <w:tc>
          <w:tcPr>
            <w:tcW w:w="851" w:type="dxa"/>
            <w:vAlign w:val="center"/>
          </w:tcPr>
          <w:p>
            <w:pPr>
              <w:pStyle w:val="421"/>
              <w:rPr>
                <w:color w:val="auto"/>
              </w:rPr>
            </w:pPr>
            <w:r>
              <w:rPr>
                <w:color w:val="auto"/>
              </w:rPr>
              <w:t>1.82</w:t>
            </w:r>
          </w:p>
        </w:tc>
        <w:tc>
          <w:tcPr>
            <w:tcW w:w="709" w:type="dxa"/>
            <w:vAlign w:val="center"/>
          </w:tcPr>
          <w:p>
            <w:pPr>
              <w:pStyle w:val="421"/>
              <w:rPr>
                <w:color w:val="auto"/>
              </w:rPr>
            </w:pPr>
          </w:p>
        </w:tc>
        <w:tc>
          <w:tcPr>
            <w:tcW w:w="850" w:type="dxa"/>
            <w:vAlign w:val="center"/>
          </w:tcPr>
          <w:p>
            <w:pPr>
              <w:pStyle w:val="421"/>
              <w:rPr>
                <w:color w:val="auto"/>
              </w:rPr>
            </w:pPr>
            <w:r>
              <w:rPr>
                <w:color w:val="auto"/>
              </w:rPr>
              <w:t>0.53</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0.28</w:t>
            </w:r>
          </w:p>
        </w:tc>
        <w:tc>
          <w:tcPr>
            <w:tcW w:w="858" w:type="dxa"/>
            <w:vAlign w:val="center"/>
          </w:tcPr>
          <w:p>
            <w:pPr>
              <w:pStyle w:val="421"/>
              <w:rPr>
                <w:color w:val="auto"/>
              </w:rPr>
            </w:pPr>
            <w:r>
              <w:rPr>
                <w:color w:val="auto"/>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15</w:t>
            </w:r>
          </w:p>
        </w:tc>
        <w:tc>
          <w:tcPr>
            <w:tcW w:w="2832" w:type="dxa"/>
            <w:vAlign w:val="center"/>
          </w:tcPr>
          <w:p>
            <w:pPr>
              <w:pStyle w:val="421"/>
              <w:rPr>
                <w:color w:val="auto"/>
              </w:rPr>
            </w:pPr>
            <w:r>
              <w:rPr>
                <w:rFonts w:hint="eastAsia"/>
                <w:color w:val="auto"/>
              </w:rPr>
              <w:t>获嘉县城关镇长有机械厂</w:t>
            </w:r>
          </w:p>
        </w:tc>
        <w:tc>
          <w:tcPr>
            <w:tcW w:w="851" w:type="dxa"/>
            <w:vAlign w:val="center"/>
          </w:tcPr>
          <w:p>
            <w:pPr>
              <w:pStyle w:val="421"/>
              <w:rPr>
                <w:color w:val="auto"/>
              </w:rPr>
            </w:pPr>
            <w:r>
              <w:rPr>
                <w:color w:val="auto"/>
              </w:rPr>
              <w:t>/</w:t>
            </w:r>
          </w:p>
        </w:tc>
        <w:tc>
          <w:tcPr>
            <w:tcW w:w="709" w:type="dxa"/>
            <w:vAlign w:val="center"/>
          </w:tcPr>
          <w:p>
            <w:pPr>
              <w:pStyle w:val="421"/>
              <w:rPr>
                <w:color w:val="auto"/>
              </w:rPr>
            </w:pPr>
            <w:r>
              <w:rPr>
                <w:color w:val="auto"/>
              </w:rPr>
              <w:t>/</w:t>
            </w:r>
          </w:p>
        </w:tc>
        <w:tc>
          <w:tcPr>
            <w:tcW w:w="850" w:type="dxa"/>
            <w:vAlign w:val="center"/>
          </w:tcPr>
          <w:p>
            <w:pPr>
              <w:pStyle w:val="421"/>
              <w:rPr>
                <w:color w:val="auto"/>
              </w:rPr>
            </w:pPr>
            <w:r>
              <w:rPr>
                <w:color w:val="auto"/>
              </w:rPr>
              <w:t>0.983</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0.005</w:t>
            </w:r>
          </w:p>
        </w:tc>
        <w:tc>
          <w:tcPr>
            <w:tcW w:w="858" w:type="dxa"/>
            <w:vAlign w:val="center"/>
          </w:tcPr>
          <w:p>
            <w:pPr>
              <w:pStyle w:val="421"/>
              <w:rPr>
                <w:color w:val="auto"/>
              </w:rPr>
            </w:pPr>
            <w:r>
              <w:rPr>
                <w:color w:val="auto"/>
              </w:rPr>
              <w:t>0.0005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16</w:t>
            </w:r>
          </w:p>
        </w:tc>
        <w:tc>
          <w:tcPr>
            <w:tcW w:w="2832" w:type="dxa"/>
            <w:vAlign w:val="center"/>
          </w:tcPr>
          <w:p>
            <w:pPr>
              <w:pStyle w:val="421"/>
              <w:rPr>
                <w:color w:val="auto"/>
              </w:rPr>
            </w:pPr>
            <w:r>
              <w:rPr>
                <w:rFonts w:hint="eastAsia"/>
                <w:color w:val="auto"/>
              </w:rPr>
              <w:t>获嘉县富泰机械有限公司</w:t>
            </w:r>
          </w:p>
        </w:tc>
        <w:tc>
          <w:tcPr>
            <w:tcW w:w="851" w:type="dxa"/>
            <w:vAlign w:val="center"/>
          </w:tcPr>
          <w:p>
            <w:pPr>
              <w:pStyle w:val="421"/>
              <w:rPr>
                <w:color w:val="auto"/>
              </w:rPr>
            </w:pPr>
            <w:r>
              <w:rPr>
                <w:color w:val="auto"/>
              </w:rPr>
              <w:t>/</w:t>
            </w:r>
          </w:p>
        </w:tc>
        <w:tc>
          <w:tcPr>
            <w:tcW w:w="709" w:type="dxa"/>
            <w:vAlign w:val="center"/>
          </w:tcPr>
          <w:p>
            <w:pPr>
              <w:pStyle w:val="421"/>
              <w:rPr>
                <w:color w:val="auto"/>
              </w:rPr>
            </w:pPr>
            <w:r>
              <w:rPr>
                <w:color w:val="auto"/>
              </w:rPr>
              <w:t>/</w:t>
            </w:r>
          </w:p>
        </w:tc>
        <w:tc>
          <w:tcPr>
            <w:tcW w:w="850" w:type="dxa"/>
            <w:vAlign w:val="center"/>
          </w:tcPr>
          <w:p>
            <w:pPr>
              <w:pStyle w:val="421"/>
              <w:rPr>
                <w:color w:val="auto"/>
              </w:rPr>
            </w:pPr>
            <w:r>
              <w:rPr>
                <w:color w:val="auto"/>
              </w:rPr>
              <w:t>/</w:t>
            </w:r>
          </w:p>
        </w:tc>
        <w:tc>
          <w:tcPr>
            <w:tcW w:w="851" w:type="dxa"/>
            <w:vAlign w:val="center"/>
          </w:tcPr>
          <w:p>
            <w:pPr>
              <w:pStyle w:val="421"/>
              <w:rPr>
                <w:b/>
                <w:bCs w:val="0"/>
                <w:color w:val="auto"/>
                <w:u w:val="single"/>
              </w:rPr>
            </w:pPr>
            <w:r>
              <w:rPr>
                <w:rFonts w:hint="eastAsia"/>
                <w:b/>
                <w:bCs w:val="0"/>
                <w:color w:val="auto"/>
                <w:u w:val="single"/>
              </w:rPr>
              <w:t>0.227</w:t>
            </w:r>
          </w:p>
        </w:tc>
        <w:tc>
          <w:tcPr>
            <w:tcW w:w="899" w:type="dxa"/>
            <w:vAlign w:val="center"/>
          </w:tcPr>
          <w:p>
            <w:pPr>
              <w:pStyle w:val="421"/>
              <w:rPr>
                <w:color w:val="auto"/>
              </w:rPr>
            </w:pPr>
            <w:r>
              <w:rPr>
                <w:color w:val="auto"/>
              </w:rPr>
              <w:t>0.013</w:t>
            </w:r>
          </w:p>
        </w:tc>
        <w:tc>
          <w:tcPr>
            <w:tcW w:w="858" w:type="dxa"/>
            <w:vAlign w:val="center"/>
          </w:tcPr>
          <w:p>
            <w:pPr>
              <w:pStyle w:val="421"/>
              <w:rPr>
                <w:color w:val="auto"/>
              </w:rPr>
            </w:pPr>
            <w:r>
              <w:rPr>
                <w:color w:val="auto"/>
              </w:rPr>
              <w:t>0.0013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17</w:t>
            </w:r>
          </w:p>
        </w:tc>
        <w:tc>
          <w:tcPr>
            <w:tcW w:w="2832" w:type="dxa"/>
            <w:vAlign w:val="center"/>
          </w:tcPr>
          <w:p>
            <w:pPr>
              <w:pStyle w:val="421"/>
              <w:rPr>
                <w:color w:val="auto"/>
              </w:rPr>
            </w:pPr>
            <w:r>
              <w:rPr>
                <w:rFonts w:hint="eastAsia"/>
                <w:color w:val="auto"/>
              </w:rPr>
              <w:t>获嘉县华厦建材有限公司</w:t>
            </w:r>
          </w:p>
        </w:tc>
        <w:tc>
          <w:tcPr>
            <w:tcW w:w="851" w:type="dxa"/>
            <w:vAlign w:val="center"/>
          </w:tcPr>
          <w:p>
            <w:pPr>
              <w:pStyle w:val="421"/>
              <w:rPr>
                <w:color w:val="auto"/>
              </w:rPr>
            </w:pPr>
            <w:r>
              <w:rPr>
                <w:color w:val="auto"/>
              </w:rPr>
              <w:t>0.984</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color w:val="auto"/>
              </w:rPr>
              <w:t>1.2163</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0.075</w:t>
            </w:r>
          </w:p>
        </w:tc>
        <w:tc>
          <w:tcPr>
            <w:tcW w:w="858" w:type="dxa"/>
            <w:vAlign w:val="center"/>
          </w:tcPr>
          <w:p>
            <w:pPr>
              <w:pStyle w:val="421"/>
              <w:rPr>
                <w:color w:val="auto"/>
              </w:rPr>
            </w:pPr>
            <w:r>
              <w:rPr>
                <w:color w:val="auto"/>
              </w:rPr>
              <w:t>0.0075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color w:val="auto"/>
              </w:rPr>
              <w:t>18</w:t>
            </w:r>
          </w:p>
        </w:tc>
        <w:tc>
          <w:tcPr>
            <w:tcW w:w="2832" w:type="dxa"/>
            <w:vAlign w:val="center"/>
          </w:tcPr>
          <w:p>
            <w:pPr>
              <w:pStyle w:val="421"/>
              <w:rPr>
                <w:color w:val="auto"/>
              </w:rPr>
            </w:pPr>
            <w:r>
              <w:rPr>
                <w:rFonts w:hint="eastAsia"/>
                <w:color w:val="auto"/>
              </w:rPr>
              <w:t>河南晶瑞日用品股份有限公司</w:t>
            </w:r>
          </w:p>
        </w:tc>
        <w:tc>
          <w:tcPr>
            <w:tcW w:w="851" w:type="dxa"/>
            <w:vAlign w:val="center"/>
          </w:tcPr>
          <w:p>
            <w:pPr>
              <w:pStyle w:val="421"/>
              <w:rPr>
                <w:color w:val="auto"/>
              </w:rPr>
            </w:pPr>
            <w:r>
              <w:rPr>
                <w:color w:val="auto"/>
              </w:rPr>
              <w:t>8.46</w:t>
            </w:r>
          </w:p>
        </w:tc>
        <w:tc>
          <w:tcPr>
            <w:tcW w:w="709" w:type="dxa"/>
            <w:vAlign w:val="center"/>
          </w:tcPr>
          <w:p>
            <w:pPr>
              <w:pStyle w:val="421"/>
              <w:rPr>
                <w:color w:val="auto"/>
              </w:rPr>
            </w:pPr>
            <w:r>
              <w:rPr>
                <w:color w:val="auto"/>
              </w:rPr>
              <w:t>18.15</w:t>
            </w:r>
          </w:p>
        </w:tc>
        <w:tc>
          <w:tcPr>
            <w:tcW w:w="850" w:type="dxa"/>
            <w:vAlign w:val="center"/>
          </w:tcPr>
          <w:p>
            <w:pPr>
              <w:pStyle w:val="421"/>
              <w:rPr>
                <w:color w:val="auto"/>
              </w:rPr>
            </w:pPr>
            <w:r>
              <w:rPr>
                <w:color w:val="auto"/>
              </w:rPr>
              <w:t>1.64</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0.49</w:t>
            </w:r>
          </w:p>
        </w:tc>
        <w:tc>
          <w:tcPr>
            <w:tcW w:w="858" w:type="dxa"/>
            <w:vAlign w:val="center"/>
          </w:tcPr>
          <w:p>
            <w:pPr>
              <w:pStyle w:val="421"/>
              <w:rPr>
                <w:color w:val="auto"/>
              </w:rPr>
            </w:pPr>
            <w:r>
              <w:rPr>
                <w:color w:val="auto"/>
              </w:rPr>
              <w:t>0.049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19</w:t>
            </w:r>
          </w:p>
        </w:tc>
        <w:tc>
          <w:tcPr>
            <w:tcW w:w="2832" w:type="dxa"/>
            <w:vAlign w:val="center"/>
          </w:tcPr>
          <w:p>
            <w:pPr>
              <w:pStyle w:val="421"/>
              <w:rPr>
                <w:color w:val="auto"/>
              </w:rPr>
            </w:pPr>
            <w:r>
              <w:rPr>
                <w:rFonts w:hint="eastAsia"/>
                <w:color w:val="auto"/>
              </w:rPr>
              <w:t>新乡市喜盈盈机械制造有限公司</w:t>
            </w:r>
          </w:p>
        </w:tc>
        <w:tc>
          <w:tcPr>
            <w:tcW w:w="851" w:type="dxa"/>
            <w:vAlign w:val="center"/>
          </w:tcPr>
          <w:p>
            <w:pPr>
              <w:pStyle w:val="421"/>
              <w:rPr>
                <w:color w:val="auto"/>
              </w:rPr>
            </w:pPr>
            <w:r>
              <w:rPr>
                <w:color w:val="auto"/>
              </w:rPr>
              <w:t>0.06</w:t>
            </w:r>
          </w:p>
        </w:tc>
        <w:tc>
          <w:tcPr>
            <w:tcW w:w="709" w:type="dxa"/>
            <w:vAlign w:val="center"/>
          </w:tcPr>
          <w:p>
            <w:pPr>
              <w:pStyle w:val="421"/>
              <w:rPr>
                <w:color w:val="auto"/>
              </w:rPr>
            </w:pPr>
            <w:r>
              <w:rPr>
                <w:color w:val="auto"/>
              </w:rPr>
              <w:t>0.0748</w:t>
            </w:r>
          </w:p>
        </w:tc>
        <w:tc>
          <w:tcPr>
            <w:tcW w:w="850" w:type="dxa"/>
            <w:vAlign w:val="center"/>
          </w:tcPr>
          <w:p>
            <w:pPr>
              <w:pStyle w:val="421"/>
              <w:rPr>
                <w:color w:val="auto"/>
              </w:rPr>
            </w:pPr>
            <w:r>
              <w:rPr>
                <w:color w:val="auto"/>
              </w:rPr>
              <w:t>0.0096</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0.1</w:t>
            </w:r>
          </w:p>
        </w:tc>
        <w:tc>
          <w:tcPr>
            <w:tcW w:w="858" w:type="dxa"/>
            <w:vAlign w:val="center"/>
          </w:tcPr>
          <w:p>
            <w:pPr>
              <w:pStyle w:val="421"/>
              <w:rPr>
                <w:color w:val="auto"/>
              </w:rPr>
            </w:pPr>
            <w:r>
              <w:rPr>
                <w:color w:val="auto"/>
              </w:rPr>
              <w:t>0.01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20</w:t>
            </w:r>
          </w:p>
        </w:tc>
        <w:tc>
          <w:tcPr>
            <w:tcW w:w="2832" w:type="dxa"/>
            <w:vAlign w:val="center"/>
          </w:tcPr>
          <w:p>
            <w:pPr>
              <w:pStyle w:val="421"/>
              <w:rPr>
                <w:color w:val="auto"/>
              </w:rPr>
            </w:pPr>
            <w:r>
              <w:rPr>
                <w:rFonts w:hint="eastAsia"/>
                <w:color w:val="auto"/>
              </w:rPr>
              <w:t>河南省大安消防器材有限公司</w:t>
            </w:r>
          </w:p>
        </w:tc>
        <w:tc>
          <w:tcPr>
            <w:tcW w:w="851" w:type="dxa"/>
            <w:vAlign w:val="center"/>
          </w:tcPr>
          <w:p>
            <w:pPr>
              <w:pStyle w:val="421"/>
              <w:rPr>
                <w:color w:val="auto"/>
              </w:rPr>
            </w:pPr>
            <w:r>
              <w:rPr>
                <w:color w:val="auto"/>
              </w:rPr>
              <w:t>0.006</w:t>
            </w:r>
          </w:p>
        </w:tc>
        <w:tc>
          <w:tcPr>
            <w:tcW w:w="709" w:type="dxa"/>
            <w:vAlign w:val="center"/>
          </w:tcPr>
          <w:p>
            <w:pPr>
              <w:pStyle w:val="421"/>
              <w:rPr>
                <w:color w:val="auto"/>
              </w:rPr>
            </w:pPr>
            <w:r>
              <w:rPr>
                <w:color w:val="auto"/>
              </w:rPr>
              <w:t>0.0281</w:t>
            </w:r>
          </w:p>
        </w:tc>
        <w:tc>
          <w:tcPr>
            <w:tcW w:w="850" w:type="dxa"/>
            <w:vAlign w:val="center"/>
          </w:tcPr>
          <w:p>
            <w:pPr>
              <w:pStyle w:val="421"/>
              <w:rPr>
                <w:color w:val="auto"/>
              </w:rPr>
            </w:pPr>
            <w:r>
              <w:rPr>
                <w:color w:val="auto"/>
              </w:rPr>
              <w:t>0.0268</w:t>
            </w:r>
          </w:p>
        </w:tc>
        <w:tc>
          <w:tcPr>
            <w:tcW w:w="851" w:type="dxa"/>
            <w:vAlign w:val="center"/>
          </w:tcPr>
          <w:p>
            <w:pPr>
              <w:pStyle w:val="421"/>
              <w:rPr>
                <w:b/>
                <w:bCs w:val="0"/>
                <w:color w:val="auto"/>
                <w:u w:val="single"/>
              </w:rPr>
            </w:pPr>
            <w:r>
              <w:rPr>
                <w:rFonts w:hint="eastAsia"/>
                <w:b/>
                <w:bCs w:val="0"/>
                <w:color w:val="auto"/>
                <w:u w:val="single"/>
              </w:rPr>
              <w:t>0.42</w:t>
            </w:r>
          </w:p>
        </w:tc>
        <w:tc>
          <w:tcPr>
            <w:tcW w:w="899" w:type="dxa"/>
            <w:vAlign w:val="center"/>
          </w:tcPr>
          <w:p>
            <w:pPr>
              <w:pStyle w:val="421"/>
              <w:rPr>
                <w:color w:val="auto"/>
              </w:rPr>
            </w:pPr>
            <w:r>
              <w:rPr>
                <w:color w:val="auto"/>
              </w:rPr>
              <w:t>0.0281</w:t>
            </w:r>
          </w:p>
        </w:tc>
        <w:tc>
          <w:tcPr>
            <w:tcW w:w="858" w:type="dxa"/>
            <w:vAlign w:val="center"/>
          </w:tcPr>
          <w:p>
            <w:pPr>
              <w:pStyle w:val="421"/>
              <w:rPr>
                <w:color w:val="auto"/>
              </w:rPr>
            </w:pPr>
            <w:r>
              <w:rPr>
                <w:color w:val="auto"/>
              </w:rPr>
              <w:t>0.0028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21</w:t>
            </w:r>
          </w:p>
        </w:tc>
        <w:tc>
          <w:tcPr>
            <w:tcW w:w="2832" w:type="dxa"/>
            <w:vAlign w:val="center"/>
          </w:tcPr>
          <w:p>
            <w:pPr>
              <w:pStyle w:val="421"/>
              <w:rPr>
                <w:color w:val="auto"/>
              </w:rPr>
            </w:pPr>
            <w:r>
              <w:rPr>
                <w:rFonts w:hint="eastAsia"/>
                <w:color w:val="auto"/>
              </w:rPr>
              <w:t>新乡空间钢结构工程有限公司</w:t>
            </w:r>
          </w:p>
        </w:tc>
        <w:tc>
          <w:tcPr>
            <w:tcW w:w="851" w:type="dxa"/>
            <w:vAlign w:val="center"/>
          </w:tcPr>
          <w:p>
            <w:pPr>
              <w:pStyle w:val="421"/>
              <w:rPr>
                <w:color w:val="auto"/>
              </w:rPr>
            </w:pPr>
            <w:r>
              <w:rPr>
                <w:color w:val="auto"/>
              </w:rPr>
              <w:t>/</w:t>
            </w:r>
          </w:p>
        </w:tc>
        <w:tc>
          <w:tcPr>
            <w:tcW w:w="709" w:type="dxa"/>
            <w:vAlign w:val="center"/>
          </w:tcPr>
          <w:p>
            <w:pPr>
              <w:pStyle w:val="421"/>
              <w:rPr>
                <w:color w:val="auto"/>
              </w:rPr>
            </w:pPr>
            <w:r>
              <w:rPr>
                <w:color w:val="auto"/>
              </w:rPr>
              <w:t>/</w:t>
            </w:r>
          </w:p>
        </w:tc>
        <w:tc>
          <w:tcPr>
            <w:tcW w:w="850" w:type="dxa"/>
            <w:vAlign w:val="center"/>
          </w:tcPr>
          <w:p>
            <w:pPr>
              <w:pStyle w:val="421"/>
              <w:rPr>
                <w:color w:val="auto"/>
              </w:rPr>
            </w:pPr>
            <w:r>
              <w:rPr>
                <w:color w:val="auto"/>
              </w:rPr>
              <w:t>0.015</w:t>
            </w:r>
          </w:p>
        </w:tc>
        <w:tc>
          <w:tcPr>
            <w:tcW w:w="851" w:type="dxa"/>
            <w:vAlign w:val="center"/>
          </w:tcPr>
          <w:p>
            <w:pPr>
              <w:pStyle w:val="421"/>
              <w:rPr>
                <w:b/>
                <w:bCs w:val="0"/>
                <w:color w:val="auto"/>
                <w:u w:val="single"/>
              </w:rPr>
            </w:pPr>
            <w:r>
              <w:rPr>
                <w:rFonts w:hint="eastAsia"/>
                <w:b/>
                <w:bCs w:val="0"/>
                <w:color w:val="auto"/>
                <w:u w:val="single"/>
              </w:rPr>
              <w:t>0.753</w:t>
            </w:r>
          </w:p>
        </w:tc>
        <w:tc>
          <w:tcPr>
            <w:tcW w:w="899" w:type="dxa"/>
            <w:vAlign w:val="center"/>
          </w:tcPr>
          <w:p>
            <w:pPr>
              <w:pStyle w:val="421"/>
              <w:rPr>
                <w:color w:val="auto"/>
              </w:rPr>
            </w:pPr>
            <w:r>
              <w:rPr>
                <w:color w:val="auto"/>
              </w:rPr>
              <w:t>0.0144</w:t>
            </w:r>
          </w:p>
        </w:tc>
        <w:tc>
          <w:tcPr>
            <w:tcW w:w="858" w:type="dxa"/>
            <w:vAlign w:val="center"/>
          </w:tcPr>
          <w:p>
            <w:pPr>
              <w:pStyle w:val="421"/>
              <w:rPr>
                <w:color w:val="auto"/>
              </w:rPr>
            </w:pPr>
            <w:r>
              <w:rPr>
                <w:color w:val="auto"/>
              </w:rPr>
              <w:t>0.0014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22</w:t>
            </w:r>
          </w:p>
        </w:tc>
        <w:tc>
          <w:tcPr>
            <w:tcW w:w="2832" w:type="dxa"/>
            <w:vAlign w:val="center"/>
          </w:tcPr>
          <w:p>
            <w:pPr>
              <w:pStyle w:val="421"/>
              <w:rPr>
                <w:color w:val="auto"/>
              </w:rPr>
            </w:pPr>
            <w:r>
              <w:rPr>
                <w:rFonts w:hint="eastAsia"/>
                <w:color w:val="auto"/>
              </w:rPr>
              <w:t>河南大成包装材料有限公司</w:t>
            </w:r>
          </w:p>
        </w:tc>
        <w:tc>
          <w:tcPr>
            <w:tcW w:w="851" w:type="dxa"/>
            <w:vAlign w:val="center"/>
          </w:tcPr>
          <w:p>
            <w:pPr>
              <w:pStyle w:val="421"/>
              <w:rPr>
                <w:color w:val="auto"/>
              </w:rPr>
            </w:pPr>
            <w:r>
              <w:rPr>
                <w:color w:val="auto"/>
              </w:rPr>
              <w:t>0.96</w:t>
            </w:r>
          </w:p>
        </w:tc>
        <w:tc>
          <w:tcPr>
            <w:tcW w:w="709" w:type="dxa"/>
            <w:vAlign w:val="center"/>
          </w:tcPr>
          <w:p>
            <w:pPr>
              <w:pStyle w:val="421"/>
              <w:rPr>
                <w:color w:val="auto"/>
              </w:rPr>
            </w:pPr>
            <w:r>
              <w:rPr>
                <w:color w:val="auto"/>
              </w:rPr>
              <w:t>4.49</w:t>
            </w:r>
          </w:p>
        </w:tc>
        <w:tc>
          <w:tcPr>
            <w:tcW w:w="850" w:type="dxa"/>
            <w:vAlign w:val="center"/>
          </w:tcPr>
          <w:p>
            <w:pPr>
              <w:pStyle w:val="421"/>
              <w:rPr>
                <w:color w:val="auto"/>
              </w:rPr>
            </w:pPr>
            <w:r>
              <w:rPr>
                <w:color w:val="auto"/>
              </w:rPr>
              <w:t>1.576</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1.2355</w:t>
            </w:r>
          </w:p>
        </w:tc>
        <w:tc>
          <w:tcPr>
            <w:tcW w:w="858" w:type="dxa"/>
            <w:vAlign w:val="center"/>
          </w:tcPr>
          <w:p>
            <w:pPr>
              <w:pStyle w:val="421"/>
              <w:rPr>
                <w:color w:val="auto"/>
              </w:rPr>
            </w:pPr>
            <w:r>
              <w:rPr>
                <w:color w:val="auto"/>
              </w:rPr>
              <w:t>0.0631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23</w:t>
            </w:r>
          </w:p>
        </w:tc>
        <w:tc>
          <w:tcPr>
            <w:tcW w:w="2832" w:type="dxa"/>
            <w:vAlign w:val="center"/>
          </w:tcPr>
          <w:p>
            <w:pPr>
              <w:pStyle w:val="421"/>
              <w:rPr>
                <w:color w:val="auto"/>
              </w:rPr>
            </w:pPr>
            <w:r>
              <w:rPr>
                <w:rFonts w:hint="eastAsia"/>
                <w:color w:val="auto"/>
              </w:rPr>
              <w:t>河南华伦科技有限公司</w:t>
            </w:r>
          </w:p>
        </w:tc>
        <w:tc>
          <w:tcPr>
            <w:tcW w:w="851" w:type="dxa"/>
            <w:vAlign w:val="center"/>
          </w:tcPr>
          <w:p>
            <w:pPr>
              <w:pStyle w:val="421"/>
              <w:rPr>
                <w:color w:val="auto"/>
              </w:rPr>
            </w:pPr>
            <w:r>
              <w:rPr>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color w:val="auto"/>
              </w:rPr>
              <w:t>0.235</w:t>
            </w:r>
          </w:p>
        </w:tc>
        <w:tc>
          <w:tcPr>
            <w:tcW w:w="851" w:type="dxa"/>
            <w:vAlign w:val="center"/>
          </w:tcPr>
          <w:p>
            <w:pPr>
              <w:pStyle w:val="421"/>
              <w:rPr>
                <w:b/>
                <w:bCs w:val="0"/>
                <w:color w:val="auto"/>
                <w:u w:val="single"/>
              </w:rPr>
            </w:pPr>
            <w:r>
              <w:rPr>
                <w:rFonts w:hint="eastAsia"/>
                <w:b/>
                <w:bCs w:val="0"/>
                <w:color w:val="auto"/>
                <w:u w:val="single"/>
              </w:rPr>
              <w:t>/</w:t>
            </w:r>
          </w:p>
        </w:tc>
        <w:tc>
          <w:tcPr>
            <w:tcW w:w="899" w:type="dxa"/>
            <w:vAlign w:val="center"/>
          </w:tcPr>
          <w:p>
            <w:pPr>
              <w:pStyle w:val="421"/>
              <w:rPr>
                <w:color w:val="auto"/>
              </w:rPr>
            </w:pPr>
            <w:r>
              <w:rPr>
                <w:color w:val="auto"/>
              </w:rPr>
              <w:t>0.386</w:t>
            </w:r>
          </w:p>
        </w:tc>
        <w:tc>
          <w:tcPr>
            <w:tcW w:w="858" w:type="dxa"/>
            <w:vAlign w:val="center"/>
          </w:tcPr>
          <w:p>
            <w:pPr>
              <w:pStyle w:val="421"/>
              <w:rPr>
                <w:color w:val="auto"/>
              </w:rPr>
            </w:pPr>
            <w:r>
              <w:rPr>
                <w:color w:val="auto"/>
              </w:rPr>
              <w:t>0.034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24</w:t>
            </w:r>
          </w:p>
        </w:tc>
        <w:tc>
          <w:tcPr>
            <w:tcW w:w="2832" w:type="dxa"/>
            <w:vAlign w:val="center"/>
          </w:tcPr>
          <w:p>
            <w:pPr>
              <w:pStyle w:val="421"/>
              <w:rPr>
                <w:color w:val="auto"/>
              </w:rPr>
            </w:pPr>
            <w:r>
              <w:rPr>
                <w:rFonts w:hint="eastAsia"/>
                <w:color w:val="auto"/>
              </w:rPr>
              <w:t>河南万工环保材料有限公司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color w:val="auto"/>
                <w:u w:val="single"/>
              </w:rPr>
            </w:pPr>
            <w:r>
              <w:rPr>
                <w:rFonts w:hint="eastAsia"/>
                <w:b/>
                <w:bCs/>
                <w:color w:val="auto"/>
                <w:u w:val="single"/>
              </w:rPr>
              <w:t>1.6650</w:t>
            </w:r>
          </w:p>
        </w:tc>
        <w:tc>
          <w:tcPr>
            <w:tcW w:w="899" w:type="dxa"/>
            <w:vAlign w:val="center"/>
          </w:tcPr>
          <w:p>
            <w:pPr>
              <w:pStyle w:val="421"/>
              <w:rPr>
                <w:color w:val="auto"/>
              </w:rPr>
            </w:pPr>
            <w:r>
              <w:rPr>
                <w:rFonts w:hint="eastAsia"/>
                <w:color w:val="auto"/>
              </w:rPr>
              <w:t>0.0746</w:t>
            </w:r>
          </w:p>
        </w:tc>
        <w:tc>
          <w:tcPr>
            <w:tcW w:w="858" w:type="dxa"/>
            <w:vAlign w:val="center"/>
          </w:tcPr>
          <w:p>
            <w:pPr>
              <w:pStyle w:val="421"/>
              <w:rPr>
                <w:color w:val="auto"/>
              </w:rPr>
            </w:pPr>
            <w:r>
              <w:rPr>
                <w:rFonts w:hint="eastAsia"/>
                <w:color w:val="auto"/>
              </w:rPr>
              <w:t>0.0075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25</w:t>
            </w:r>
          </w:p>
        </w:tc>
        <w:tc>
          <w:tcPr>
            <w:tcW w:w="2832" w:type="dxa"/>
            <w:vAlign w:val="center"/>
          </w:tcPr>
          <w:p>
            <w:pPr>
              <w:pStyle w:val="421"/>
              <w:rPr>
                <w:color w:val="auto"/>
              </w:rPr>
            </w:pPr>
            <w:r>
              <w:rPr>
                <w:color w:val="auto"/>
              </w:rPr>
              <w:t>河南海光新型材料有限公司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color w:val="auto"/>
                <w:u w:val="single"/>
              </w:rPr>
            </w:pPr>
            <w:r>
              <w:rPr>
                <w:rFonts w:hint="eastAsia"/>
                <w:b/>
                <w:bCs/>
                <w:color w:val="auto"/>
                <w:u w:val="single"/>
              </w:rPr>
              <w:t>0.8450</w:t>
            </w:r>
          </w:p>
        </w:tc>
        <w:tc>
          <w:tcPr>
            <w:tcW w:w="899" w:type="dxa"/>
            <w:vAlign w:val="center"/>
          </w:tcPr>
          <w:p>
            <w:pPr>
              <w:pStyle w:val="421"/>
              <w:rPr>
                <w:color w:val="auto"/>
              </w:rPr>
            </w:pPr>
            <w:r>
              <w:rPr>
                <w:rFonts w:hint="eastAsia"/>
                <w:color w:val="auto"/>
              </w:rPr>
              <w:t>0.060</w:t>
            </w:r>
          </w:p>
        </w:tc>
        <w:tc>
          <w:tcPr>
            <w:tcW w:w="858" w:type="dxa"/>
            <w:vAlign w:val="center"/>
          </w:tcPr>
          <w:p>
            <w:pPr>
              <w:pStyle w:val="421"/>
              <w:rPr>
                <w:color w:val="auto"/>
              </w:rPr>
            </w:pPr>
            <w:r>
              <w:rPr>
                <w:rFonts w:hint="eastAsia"/>
                <w:color w:val="auto"/>
              </w:rPr>
              <w:t>0.0060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26</w:t>
            </w:r>
          </w:p>
        </w:tc>
        <w:tc>
          <w:tcPr>
            <w:tcW w:w="2832" w:type="dxa"/>
            <w:vAlign w:val="center"/>
          </w:tcPr>
          <w:p>
            <w:pPr>
              <w:pStyle w:val="421"/>
              <w:rPr>
                <w:color w:val="auto"/>
              </w:rPr>
            </w:pPr>
            <w:r>
              <w:rPr>
                <w:color w:val="auto"/>
              </w:rPr>
              <w:t>新乡市荣耀皮革助剂科技有限公司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w:t>
            </w:r>
          </w:p>
        </w:tc>
        <w:tc>
          <w:tcPr>
            <w:tcW w:w="851" w:type="dxa"/>
            <w:vAlign w:val="center"/>
          </w:tcPr>
          <w:p>
            <w:pPr>
              <w:pStyle w:val="421"/>
              <w:rPr>
                <w:b/>
                <w:bCs/>
                <w:color w:val="auto"/>
                <w:u w:val="single"/>
              </w:rPr>
            </w:pPr>
            <w:r>
              <w:rPr>
                <w:rFonts w:hint="eastAsia"/>
                <w:b/>
                <w:bCs/>
                <w:color w:val="auto"/>
                <w:u w:val="single"/>
              </w:rPr>
              <w:t>0.2000</w:t>
            </w:r>
          </w:p>
        </w:tc>
        <w:tc>
          <w:tcPr>
            <w:tcW w:w="899" w:type="dxa"/>
            <w:vAlign w:val="center"/>
          </w:tcPr>
          <w:p>
            <w:pPr>
              <w:pStyle w:val="421"/>
              <w:rPr>
                <w:color w:val="auto"/>
              </w:rPr>
            </w:pPr>
            <w:r>
              <w:rPr>
                <w:rFonts w:hint="eastAsia"/>
                <w:color w:val="auto"/>
              </w:rPr>
              <w:t>0.0065</w:t>
            </w:r>
          </w:p>
        </w:tc>
        <w:tc>
          <w:tcPr>
            <w:tcW w:w="858" w:type="dxa"/>
            <w:vAlign w:val="center"/>
          </w:tcPr>
          <w:p>
            <w:pPr>
              <w:pStyle w:val="421"/>
              <w:rPr>
                <w:color w:val="auto"/>
              </w:rPr>
            </w:pPr>
            <w:r>
              <w:rPr>
                <w:rFonts w:hint="eastAsia"/>
                <w:color w:val="auto"/>
              </w:rPr>
              <w:t>0.0006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78" w:type="dxa"/>
            <w:vAlign w:val="center"/>
          </w:tcPr>
          <w:p>
            <w:pPr>
              <w:pStyle w:val="421"/>
              <w:rPr>
                <w:color w:val="auto"/>
              </w:rPr>
            </w:pPr>
            <w:r>
              <w:rPr>
                <w:rFonts w:hint="eastAsia"/>
                <w:color w:val="auto"/>
              </w:rPr>
              <w:t>27</w:t>
            </w:r>
          </w:p>
        </w:tc>
        <w:tc>
          <w:tcPr>
            <w:tcW w:w="2832" w:type="dxa"/>
            <w:vAlign w:val="center"/>
          </w:tcPr>
          <w:p>
            <w:pPr>
              <w:pStyle w:val="421"/>
              <w:rPr>
                <w:color w:val="auto"/>
              </w:rPr>
            </w:pPr>
            <w:r>
              <w:rPr>
                <w:color w:val="auto"/>
              </w:rPr>
              <w:t>新乡市蓝溪科技有限公司</w:t>
            </w:r>
          </w:p>
        </w:tc>
        <w:tc>
          <w:tcPr>
            <w:tcW w:w="851" w:type="dxa"/>
            <w:vAlign w:val="center"/>
          </w:tcPr>
          <w:p>
            <w:pPr>
              <w:pStyle w:val="421"/>
              <w:rPr>
                <w:color w:val="auto"/>
              </w:rPr>
            </w:pPr>
            <w:r>
              <w:rPr>
                <w:rFonts w:hint="eastAsia"/>
                <w:color w:val="auto"/>
              </w:rPr>
              <w:t>/</w:t>
            </w:r>
          </w:p>
        </w:tc>
        <w:tc>
          <w:tcPr>
            <w:tcW w:w="709" w:type="dxa"/>
            <w:vAlign w:val="center"/>
          </w:tcPr>
          <w:p>
            <w:pPr>
              <w:pStyle w:val="421"/>
              <w:rPr>
                <w:color w:val="auto"/>
              </w:rPr>
            </w:pPr>
            <w:r>
              <w:rPr>
                <w:rFonts w:hint="eastAsia"/>
                <w:color w:val="auto"/>
              </w:rPr>
              <w:t>/</w:t>
            </w:r>
          </w:p>
        </w:tc>
        <w:tc>
          <w:tcPr>
            <w:tcW w:w="850" w:type="dxa"/>
            <w:vAlign w:val="center"/>
          </w:tcPr>
          <w:p>
            <w:pPr>
              <w:pStyle w:val="421"/>
              <w:rPr>
                <w:color w:val="auto"/>
              </w:rPr>
            </w:pPr>
            <w:r>
              <w:rPr>
                <w:rFonts w:hint="eastAsia"/>
                <w:color w:val="auto"/>
              </w:rPr>
              <w:t>0.2456</w:t>
            </w:r>
          </w:p>
        </w:tc>
        <w:tc>
          <w:tcPr>
            <w:tcW w:w="851" w:type="dxa"/>
            <w:vAlign w:val="center"/>
          </w:tcPr>
          <w:p>
            <w:pPr>
              <w:pStyle w:val="421"/>
              <w:rPr>
                <w:b/>
                <w:bCs/>
                <w:color w:val="auto"/>
                <w:u w:val="single"/>
              </w:rPr>
            </w:pPr>
            <w:r>
              <w:rPr>
                <w:rFonts w:hint="eastAsia"/>
                <w:b/>
                <w:bCs/>
                <w:color w:val="auto"/>
                <w:u w:val="single"/>
              </w:rPr>
              <w:t>0.1599</w:t>
            </w:r>
          </w:p>
        </w:tc>
        <w:tc>
          <w:tcPr>
            <w:tcW w:w="899" w:type="dxa"/>
            <w:vAlign w:val="center"/>
          </w:tcPr>
          <w:p>
            <w:pPr>
              <w:pStyle w:val="421"/>
              <w:rPr>
                <w:color w:val="auto"/>
              </w:rPr>
            </w:pPr>
            <w:r>
              <w:rPr>
                <w:rFonts w:hint="eastAsia"/>
                <w:color w:val="auto"/>
              </w:rPr>
              <w:t>1.3033</w:t>
            </w:r>
          </w:p>
        </w:tc>
        <w:tc>
          <w:tcPr>
            <w:tcW w:w="858" w:type="dxa"/>
            <w:vAlign w:val="center"/>
          </w:tcPr>
          <w:p>
            <w:pPr>
              <w:pStyle w:val="421"/>
              <w:rPr>
                <w:color w:val="auto"/>
              </w:rPr>
            </w:pPr>
            <w:r>
              <w:rPr>
                <w:rFonts w:hint="eastAsia"/>
                <w:color w:val="auto"/>
              </w:rPr>
              <w:t>0.1303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510" w:type="dxa"/>
            <w:gridSpan w:val="2"/>
            <w:vAlign w:val="center"/>
          </w:tcPr>
          <w:p>
            <w:pPr>
              <w:pStyle w:val="421"/>
              <w:rPr>
                <w:color w:val="auto"/>
              </w:rPr>
            </w:pPr>
            <w:r>
              <w:rPr>
                <w:rFonts w:hint="eastAsia"/>
                <w:color w:val="auto"/>
              </w:rPr>
              <w:t>共计</w:t>
            </w:r>
          </w:p>
        </w:tc>
        <w:tc>
          <w:tcPr>
            <w:tcW w:w="851" w:type="dxa"/>
            <w:vAlign w:val="center"/>
          </w:tcPr>
          <w:p>
            <w:pPr>
              <w:pStyle w:val="421"/>
              <w:rPr>
                <w:color w:val="auto"/>
              </w:rPr>
            </w:pPr>
            <w:r>
              <w:rPr>
                <w:rFonts w:hint="eastAsia"/>
                <w:color w:val="auto"/>
              </w:rPr>
              <w:t>435.656</w:t>
            </w:r>
          </w:p>
        </w:tc>
        <w:tc>
          <w:tcPr>
            <w:tcW w:w="709" w:type="dxa"/>
            <w:vAlign w:val="center"/>
          </w:tcPr>
          <w:p>
            <w:pPr>
              <w:pStyle w:val="421"/>
              <w:rPr>
                <w:color w:val="auto"/>
              </w:rPr>
            </w:pPr>
            <w:r>
              <w:rPr>
                <w:rFonts w:hint="eastAsia"/>
                <w:color w:val="auto"/>
              </w:rPr>
              <w:t>446.5119</w:t>
            </w:r>
          </w:p>
        </w:tc>
        <w:tc>
          <w:tcPr>
            <w:tcW w:w="850" w:type="dxa"/>
            <w:vAlign w:val="center"/>
          </w:tcPr>
          <w:p>
            <w:pPr>
              <w:pStyle w:val="421"/>
              <w:rPr>
                <w:color w:val="auto"/>
              </w:rPr>
            </w:pPr>
            <w:r>
              <w:rPr>
                <w:rFonts w:hint="eastAsia"/>
                <w:color w:val="auto"/>
              </w:rPr>
              <w:t>151.3343</w:t>
            </w:r>
          </w:p>
        </w:tc>
        <w:tc>
          <w:tcPr>
            <w:tcW w:w="851" w:type="dxa"/>
            <w:vAlign w:val="center"/>
          </w:tcPr>
          <w:p>
            <w:pPr>
              <w:pStyle w:val="421"/>
              <w:rPr>
                <w:b/>
                <w:bCs/>
                <w:color w:val="auto"/>
                <w:u w:val="single"/>
              </w:rPr>
            </w:pPr>
            <w:r>
              <w:rPr>
                <w:rFonts w:hint="eastAsia"/>
                <w:b/>
                <w:bCs/>
                <w:color w:val="auto"/>
                <w:u w:val="single"/>
              </w:rPr>
              <w:t>25.0779</w:t>
            </w:r>
          </w:p>
        </w:tc>
        <w:tc>
          <w:tcPr>
            <w:tcW w:w="899" w:type="dxa"/>
            <w:vAlign w:val="center"/>
          </w:tcPr>
          <w:p>
            <w:pPr>
              <w:pStyle w:val="421"/>
              <w:rPr>
                <w:color w:val="auto"/>
              </w:rPr>
            </w:pPr>
            <w:r>
              <w:rPr>
                <w:rFonts w:hint="eastAsia"/>
                <w:color w:val="auto"/>
              </w:rPr>
              <w:t>488.6253</w:t>
            </w:r>
          </w:p>
        </w:tc>
        <w:tc>
          <w:tcPr>
            <w:tcW w:w="858" w:type="dxa"/>
            <w:vAlign w:val="center"/>
          </w:tcPr>
          <w:p>
            <w:pPr>
              <w:pStyle w:val="421"/>
              <w:rPr>
                <w:color w:val="auto"/>
              </w:rPr>
            </w:pPr>
            <w:r>
              <w:rPr>
                <w:rFonts w:hint="eastAsia"/>
                <w:color w:val="auto"/>
              </w:rPr>
              <w:t>33.1192</w:t>
            </w:r>
          </w:p>
        </w:tc>
      </w:tr>
    </w:tbl>
    <w:p>
      <w:pPr>
        <w:adjustRightInd w:val="0"/>
        <w:snapToGrid w:val="0"/>
        <w:spacing w:line="520" w:lineRule="exact"/>
        <w:ind w:firstLine="480" w:firstLineChars="200"/>
        <w:textAlignment w:val="baseline"/>
        <w:rPr>
          <w:color w:val="auto"/>
          <w:kern w:val="0"/>
          <w:sz w:val="24"/>
          <w:szCs w:val="20"/>
        </w:rPr>
      </w:pPr>
    </w:p>
    <w:p>
      <w:pPr>
        <w:rPr>
          <w:color w:val="auto"/>
        </w:rPr>
      </w:pPr>
      <w:r>
        <w:rPr>
          <w:color w:val="auto"/>
        </w:rPr>
        <w:br w:type="page"/>
      </w:r>
    </w:p>
    <w:p>
      <w:pPr>
        <w:pStyle w:val="3"/>
        <w:keepNext/>
        <w:keepLines/>
        <w:pageBreakBefore w:val="0"/>
        <w:widowControl/>
        <w:tabs>
          <w:tab w:val="left" w:pos="1652"/>
        </w:tabs>
        <w:kinsoku/>
        <w:wordWrap/>
        <w:overflowPunct/>
        <w:topLinePunct w:val="0"/>
        <w:autoSpaceDE/>
        <w:autoSpaceDN/>
        <w:bidi w:val="0"/>
        <w:adjustRightInd w:val="0"/>
        <w:snapToGrid/>
        <w:spacing w:before="1260" w:line="520" w:lineRule="exact"/>
        <w:jc w:val="left"/>
        <w:textAlignment w:val="auto"/>
        <w:rPr>
          <w:rFonts w:hint="eastAsia"/>
          <w:color w:val="auto"/>
        </w:rPr>
      </w:pPr>
      <w:bookmarkStart w:id="287" w:name="_Toc324839611"/>
      <w:bookmarkStart w:id="288" w:name="_Toc33416068"/>
      <w:bookmarkStart w:id="289" w:name="_Toc112338947"/>
      <w:bookmarkStart w:id="290" w:name="_Toc324839314"/>
      <w:bookmarkStart w:id="291" w:name="_Toc58828275"/>
      <w:bookmarkStart w:id="292" w:name="_Toc311812647"/>
      <w:r>
        <w:rPr>
          <w:rFonts w:hint="eastAsia"/>
          <w:color w:val="auto"/>
          <w:lang w:eastAsia="zh-CN"/>
        </w:rPr>
        <w:tab/>
      </w:r>
      <w:r>
        <w:rPr>
          <w:rFonts w:hint="eastAsia"/>
          <w:color w:val="auto"/>
        </w:rPr>
        <w:t>第五章 环境影响预测与评价</w:t>
      </w:r>
      <w:bookmarkEnd w:id="287"/>
      <w:bookmarkEnd w:id="288"/>
      <w:bookmarkEnd w:id="289"/>
      <w:bookmarkEnd w:id="290"/>
      <w:bookmarkEnd w:id="291"/>
      <w:bookmarkEnd w:id="292"/>
    </w:p>
    <w:p>
      <w:pPr>
        <w:pStyle w:val="4"/>
        <w:spacing w:before="120" w:after="120"/>
        <w:rPr>
          <w:color w:val="auto"/>
        </w:rPr>
      </w:pPr>
      <w:bookmarkStart w:id="293" w:name="_Toc324839315"/>
      <w:bookmarkStart w:id="294" w:name="_Toc324839612"/>
      <w:bookmarkStart w:id="295" w:name="_Toc58828276"/>
      <w:bookmarkStart w:id="296" w:name="_Toc112338948"/>
      <w:r>
        <w:rPr>
          <w:color w:val="auto"/>
        </w:rPr>
        <w:t>5.1环境空气质量影响预测</w:t>
      </w:r>
      <w:bookmarkEnd w:id="293"/>
      <w:bookmarkEnd w:id="294"/>
      <w:bookmarkEnd w:id="295"/>
      <w:r>
        <w:rPr>
          <w:color w:val="auto"/>
        </w:rPr>
        <w:t>与评价</w:t>
      </w:r>
      <w:bookmarkEnd w:id="296"/>
    </w:p>
    <w:p>
      <w:pPr>
        <w:adjustRightInd w:val="0"/>
        <w:snapToGrid w:val="0"/>
        <w:spacing w:line="360" w:lineRule="auto"/>
        <w:outlineLvl w:val="2"/>
        <w:rPr>
          <w:rFonts w:eastAsia="黑体"/>
          <w:color w:val="auto"/>
          <w:kern w:val="21"/>
          <w:sz w:val="28"/>
          <w:szCs w:val="28"/>
        </w:rPr>
      </w:pPr>
      <w:bookmarkStart w:id="297" w:name="_Toc525977831"/>
      <w:bookmarkStart w:id="298" w:name="_Toc511983168"/>
      <w:bookmarkStart w:id="299" w:name="_Toc324839613"/>
      <w:bookmarkStart w:id="300" w:name="_Toc302145935"/>
      <w:bookmarkStart w:id="301" w:name="_Toc324839316"/>
      <w:bookmarkStart w:id="302" w:name="_Toc22179"/>
      <w:bookmarkStart w:id="303" w:name="_Toc300681306"/>
      <w:bookmarkStart w:id="304" w:name="_Toc304300430"/>
      <w:bookmarkStart w:id="305" w:name="_Toc324839325"/>
      <w:bookmarkStart w:id="306" w:name="_Toc324839622"/>
      <w:bookmarkStart w:id="307" w:name="_Toc198193468"/>
      <w:bookmarkStart w:id="308" w:name="_Toc227946422"/>
      <w:bookmarkStart w:id="309" w:name="_Toc311812648"/>
      <w:r>
        <w:rPr>
          <w:rFonts w:eastAsia="黑体"/>
          <w:color w:val="auto"/>
          <w:kern w:val="21"/>
          <w:sz w:val="28"/>
          <w:szCs w:val="28"/>
        </w:rPr>
        <w:t>5.1.1气象观测资料统计</w:t>
      </w:r>
      <w:bookmarkEnd w:id="297"/>
      <w:bookmarkEnd w:id="298"/>
    </w:p>
    <w:bookmarkEnd w:id="299"/>
    <w:bookmarkEnd w:id="300"/>
    <w:bookmarkEnd w:id="301"/>
    <w:bookmarkEnd w:id="302"/>
    <w:bookmarkEnd w:id="303"/>
    <w:bookmarkEnd w:id="304"/>
    <w:p>
      <w:pPr>
        <w:pStyle w:val="6"/>
        <w:pageBreakBefore w:val="0"/>
        <w:widowControl/>
        <w:kinsoku/>
        <w:wordWrap/>
        <w:overflowPunct/>
        <w:topLinePunct w:val="0"/>
        <w:autoSpaceDE/>
        <w:autoSpaceDN/>
        <w:bidi w:val="0"/>
        <w:spacing w:before="0" w:after="0" w:line="360" w:lineRule="auto"/>
        <w:textAlignment w:val="auto"/>
        <w:rPr>
          <w:b w:val="0"/>
          <w:color w:val="auto"/>
          <w:sz w:val="24"/>
          <w:szCs w:val="24"/>
        </w:rPr>
      </w:pPr>
      <w:r>
        <w:rPr>
          <w:b w:val="0"/>
          <w:color w:val="auto"/>
          <w:sz w:val="24"/>
          <w:szCs w:val="24"/>
        </w:rPr>
        <w:t>5.1.1.</w:t>
      </w:r>
      <w:r>
        <w:rPr>
          <w:rFonts w:hint="eastAsia"/>
          <w:b w:val="0"/>
          <w:color w:val="auto"/>
          <w:sz w:val="24"/>
          <w:szCs w:val="24"/>
        </w:rPr>
        <w:t>1</w:t>
      </w:r>
      <w:r>
        <w:rPr>
          <w:b w:val="0"/>
          <w:color w:val="auto"/>
          <w:sz w:val="24"/>
          <w:szCs w:val="24"/>
        </w:rPr>
        <w:t>资料来源</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kern w:val="0"/>
          <w:sz w:val="24"/>
          <w:szCs w:val="24"/>
        </w:rPr>
      </w:pPr>
      <w:r>
        <w:rPr>
          <w:color w:val="auto"/>
          <w:kern w:val="0"/>
          <w:sz w:val="24"/>
          <w:szCs w:val="24"/>
        </w:rPr>
        <w:t>本次长期气象观测资料根据获嘉县气象站（53988）气象数据统计分析。</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both"/>
        <w:textAlignment w:val="auto"/>
        <w:rPr>
          <w:color w:val="auto"/>
          <w:kern w:val="0"/>
          <w:sz w:val="24"/>
          <w:szCs w:val="20"/>
        </w:rPr>
      </w:pPr>
      <w:r>
        <w:rPr>
          <w:color w:val="auto"/>
          <w:kern w:val="0"/>
          <w:sz w:val="24"/>
          <w:szCs w:val="24"/>
        </w:rPr>
        <w:t xml:space="preserve">获嘉县气象站（53988）属于国家一般气象站，地理坐标为E </w:t>
      </w:r>
      <w:r>
        <w:rPr>
          <w:color w:val="auto"/>
          <w:kern w:val="0"/>
          <w:sz w:val="24"/>
          <w:szCs w:val="20"/>
        </w:rPr>
        <w:t>113.718487940</w:t>
      </w:r>
      <w:r>
        <w:rPr>
          <w:color w:val="auto"/>
          <w:kern w:val="0"/>
          <w:sz w:val="24"/>
          <w:szCs w:val="24"/>
        </w:rPr>
        <w:t xml:space="preserve">°，N </w:t>
      </w:r>
      <w:r>
        <w:rPr>
          <w:color w:val="auto"/>
          <w:kern w:val="0"/>
          <w:sz w:val="24"/>
          <w:szCs w:val="20"/>
        </w:rPr>
        <w:t>35.266094288</w:t>
      </w:r>
      <w:r>
        <w:rPr>
          <w:color w:val="auto"/>
          <w:kern w:val="0"/>
          <w:sz w:val="24"/>
          <w:szCs w:val="24"/>
        </w:rPr>
        <w:t>°，海拔高度75.6 m。该气象站位于本项目东南侧，距本项目约700m，与本项目所在区域地理特征基本一致，可以直接使用。根据《环境影响评价技术导则  大气环境》(HJ2.2-2018</w:t>
      </w:r>
      <w:r>
        <w:rPr>
          <w:rFonts w:hint="eastAsia"/>
          <w:color w:val="auto"/>
          <w:kern w:val="0"/>
          <w:sz w:val="24"/>
          <w:szCs w:val="24"/>
          <w:lang w:eastAsia="zh-CN"/>
        </w:rPr>
        <w:t>）</w:t>
      </w:r>
      <w:r>
        <w:rPr>
          <w:color w:val="auto"/>
          <w:kern w:val="0"/>
          <w:sz w:val="24"/>
          <w:szCs w:val="24"/>
        </w:rPr>
        <w:t>附录B要求，</w:t>
      </w:r>
      <w:r>
        <w:rPr>
          <w:color w:val="auto"/>
          <w:kern w:val="0"/>
          <w:sz w:val="24"/>
          <w:szCs w:val="20"/>
        </w:rPr>
        <w:t>评价收集了获嘉县连续20年（2001-2020，20年）的气象统计资料。具体统计结果如下表5.1-1：</w:t>
      </w:r>
    </w:p>
    <w:p>
      <w:pPr>
        <w:keepNext w:val="0"/>
        <w:keepLines w:val="0"/>
        <w:pageBreakBefore w:val="0"/>
        <w:widowControl/>
        <w:kinsoku/>
        <w:wordWrap/>
        <w:overflowPunct/>
        <w:topLinePunct w:val="0"/>
        <w:autoSpaceDE/>
        <w:autoSpaceDN/>
        <w:bidi w:val="0"/>
        <w:adjustRightInd/>
        <w:snapToGrid/>
        <w:ind w:firstLine="960" w:firstLineChars="400"/>
        <w:jc w:val="center"/>
        <w:textAlignment w:val="auto"/>
        <w:rPr>
          <w:rFonts w:eastAsia="黑体"/>
          <w:color w:val="auto"/>
          <w:sz w:val="24"/>
          <w:szCs w:val="24"/>
        </w:rPr>
      </w:pPr>
      <w:r>
        <w:rPr>
          <w:rFonts w:eastAsia="黑体"/>
          <w:color w:val="auto"/>
          <w:sz w:val="24"/>
          <w:szCs w:val="24"/>
        </w:rPr>
        <w:t>表5.1-1   获嘉县气象站常规气象项目统计（2001-2020）</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851"/>
        <w:gridCol w:w="2551"/>
        <w:gridCol w:w="1560"/>
        <w:gridCol w:w="1842"/>
        <w:gridCol w:w="150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4" w:space="0"/>
              <w:left w:val="single" w:color="auto" w:sz="4" w:space="0"/>
              <w:bottom w:val="single" w:color="auto" w:sz="6" w:space="0"/>
              <w:right w:val="single" w:color="auto" w:sz="6" w:space="0"/>
            </w:tcBorders>
            <w:vAlign w:val="center"/>
          </w:tcPr>
          <w:p>
            <w:pPr>
              <w:autoSpaceDE w:val="0"/>
              <w:autoSpaceDN w:val="0"/>
              <w:adjustRightInd w:val="0"/>
              <w:snapToGrid w:val="0"/>
              <w:ind w:firstLine="420"/>
              <w:jc w:val="center"/>
              <w:rPr>
                <w:rFonts w:hint="default" w:ascii="Times New Roman" w:hAnsi="Times New Roman" w:cs="Times New Roman"/>
                <w:b/>
                <w:color w:val="auto"/>
              </w:rPr>
            </w:pPr>
            <w:r>
              <w:rPr>
                <w:rFonts w:hint="default" w:ascii="Times New Roman" w:hAnsi="Times New Roman" w:cs="Times New Roman"/>
                <w:b/>
                <w:color w:val="auto"/>
              </w:rPr>
              <w:t>统计项目</w:t>
            </w:r>
          </w:p>
        </w:tc>
        <w:tc>
          <w:tcPr>
            <w:tcW w:w="1560"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napToGrid w:val="0"/>
              <w:ind w:firstLine="420"/>
              <w:rPr>
                <w:rFonts w:hint="default" w:ascii="Times New Roman" w:hAnsi="Times New Roman" w:cs="Times New Roman"/>
                <w:b/>
                <w:color w:val="auto"/>
              </w:rPr>
            </w:pPr>
            <w:r>
              <w:rPr>
                <w:rFonts w:hint="default" w:ascii="Times New Roman" w:hAnsi="Times New Roman" w:cs="Times New Roman"/>
                <w:b/>
                <w:color w:val="auto"/>
              </w:rPr>
              <w:t>统计值</w:t>
            </w:r>
          </w:p>
        </w:tc>
        <w:tc>
          <w:tcPr>
            <w:tcW w:w="1842"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snapToGrid w:val="0"/>
              <w:ind w:firstLine="211" w:firstLineChars="100"/>
              <w:rPr>
                <w:rFonts w:hint="default" w:ascii="Times New Roman" w:hAnsi="Times New Roman" w:cs="Times New Roman"/>
                <w:b/>
                <w:color w:val="auto"/>
              </w:rPr>
            </w:pPr>
            <w:r>
              <w:rPr>
                <w:rFonts w:hint="default" w:ascii="Times New Roman" w:hAnsi="Times New Roman" w:cs="Times New Roman"/>
                <w:b/>
                <w:color w:val="auto"/>
              </w:rPr>
              <w:t>极值出现时间</w:t>
            </w:r>
          </w:p>
        </w:tc>
        <w:tc>
          <w:tcPr>
            <w:tcW w:w="1508" w:type="dxa"/>
            <w:tcBorders>
              <w:top w:val="single" w:color="auto" w:sz="4" w:space="0"/>
              <w:left w:val="single" w:color="auto" w:sz="6" w:space="0"/>
              <w:bottom w:val="single" w:color="auto" w:sz="6" w:space="0"/>
              <w:right w:val="single" w:color="auto" w:sz="4" w:space="0"/>
            </w:tcBorders>
            <w:vAlign w:val="center"/>
          </w:tcPr>
          <w:p>
            <w:pPr>
              <w:autoSpaceDE w:val="0"/>
              <w:autoSpaceDN w:val="0"/>
              <w:adjustRightInd w:val="0"/>
              <w:snapToGrid w:val="0"/>
              <w:ind w:firstLine="420"/>
              <w:jc w:val="center"/>
              <w:rPr>
                <w:rFonts w:hint="default" w:ascii="Times New Roman" w:hAnsi="Times New Roman" w:cs="Times New Roman"/>
                <w:b/>
                <w:color w:val="auto"/>
              </w:rPr>
            </w:pPr>
            <w:r>
              <w:rPr>
                <w:rFonts w:hint="default" w:ascii="Times New Roman" w:hAnsi="Times New Roman" w:cs="Times New Roman"/>
                <w:b/>
                <w:color w:val="auto"/>
              </w:rPr>
              <w:t>极值**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多年平均气温（℃）</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15.0</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累年极端最高气温（℃）</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39.3</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2012-06-13</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41.3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累年极端最低气温（℃）</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-9.9</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2008-12-22</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-12.3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多年平均气压（hPa）</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1007.3</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多年平均水汽压（hPa）</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13.2</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多年平均相对湿度</w:t>
            </w:r>
            <w:r>
              <w:rPr>
                <w:rFonts w:hint="default" w:ascii="Times New Roman" w:hAnsi="Times New Roman" w:cs="Times New Roman"/>
                <w:color w:val="auto"/>
                <w:lang w:eastAsia="zh-CN"/>
              </w:rPr>
              <w:t>(</w:t>
            </w:r>
            <w:r>
              <w:rPr>
                <w:rFonts w:hint="default" w:ascii="Times New Roman" w:hAnsi="Times New Roman" w:cs="Times New Roman"/>
                <w:color w:val="auto"/>
              </w:rPr>
              <w:t>%)</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65.8</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多年平均降雨量</w:t>
            </w:r>
            <w:r>
              <w:rPr>
                <w:rFonts w:hint="default" w:ascii="Times New Roman" w:hAnsi="Times New Roman" w:cs="Times New Roman"/>
                <w:color w:val="auto"/>
                <w:lang w:eastAsia="zh-CN"/>
              </w:rPr>
              <w:t>(</w:t>
            </w:r>
            <w:r>
              <w:rPr>
                <w:rFonts w:hint="default" w:ascii="Times New Roman" w:hAnsi="Times New Roman" w:cs="Times New Roman"/>
                <w:color w:val="auto"/>
              </w:rPr>
              <w:t>mm)</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559.3</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2016-07-09</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182.8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851" w:type="dxa"/>
            <w:vMerge w:val="restart"/>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灾害天</w:t>
            </w:r>
          </w:p>
          <w:p>
            <w:pPr>
              <w:contextualSpacing/>
              <w:jc w:val="center"/>
              <w:rPr>
                <w:rFonts w:hint="default" w:ascii="Times New Roman" w:hAnsi="Times New Roman" w:cs="Times New Roman"/>
                <w:color w:val="auto"/>
              </w:rPr>
            </w:pPr>
            <w:r>
              <w:rPr>
                <w:rFonts w:hint="default" w:ascii="Times New Roman" w:hAnsi="Times New Roman" w:cs="Times New Roman"/>
                <w:color w:val="auto"/>
              </w:rPr>
              <w:t>气统计</w:t>
            </w:r>
          </w:p>
        </w:tc>
        <w:tc>
          <w:tcPr>
            <w:tcW w:w="2551"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多年平均沙暴日数</w:t>
            </w:r>
            <w:r>
              <w:rPr>
                <w:rFonts w:hint="default" w:ascii="Times New Roman" w:hAnsi="Times New Roman" w:cs="Times New Roman"/>
                <w:color w:val="auto"/>
                <w:lang w:eastAsia="zh-CN"/>
              </w:rPr>
              <w:t>(</w:t>
            </w:r>
            <w:r>
              <w:rPr>
                <w:rFonts w:hint="default" w:ascii="Times New Roman" w:hAnsi="Times New Roman" w:cs="Times New Roman"/>
                <w:color w:val="auto"/>
              </w:rPr>
              <w:t>d)</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0.0</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851" w:type="dxa"/>
            <w:vMerge w:val="continue"/>
            <w:tcBorders>
              <w:top w:val="single" w:color="auto" w:sz="6" w:space="0"/>
              <w:left w:val="single" w:color="auto" w:sz="4" w:space="0"/>
              <w:bottom w:val="single" w:color="auto" w:sz="6" w:space="0"/>
              <w:right w:val="single" w:color="auto" w:sz="6" w:space="0"/>
            </w:tcBorders>
            <w:vAlign w:val="center"/>
          </w:tcPr>
          <w:p>
            <w:pPr>
              <w:rPr>
                <w:rFonts w:hint="default" w:ascii="Times New Roman" w:hAnsi="Times New Roman" w:cs="Times New Roman"/>
                <w:color w:val="auto"/>
              </w:rPr>
            </w:pPr>
          </w:p>
        </w:tc>
        <w:tc>
          <w:tcPr>
            <w:tcW w:w="2551"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多年平均雷暴日数</w:t>
            </w:r>
            <w:r>
              <w:rPr>
                <w:rFonts w:hint="default" w:ascii="Times New Roman" w:hAnsi="Times New Roman" w:cs="Times New Roman"/>
                <w:color w:val="auto"/>
                <w:lang w:eastAsia="zh-CN"/>
              </w:rPr>
              <w:t>(</w:t>
            </w:r>
            <w:r>
              <w:rPr>
                <w:rFonts w:hint="default" w:ascii="Times New Roman" w:hAnsi="Times New Roman" w:cs="Times New Roman"/>
                <w:color w:val="auto"/>
              </w:rPr>
              <w:t>d)</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17.8</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851" w:type="dxa"/>
            <w:vMerge w:val="continue"/>
            <w:tcBorders>
              <w:top w:val="single" w:color="auto" w:sz="6" w:space="0"/>
              <w:left w:val="single" w:color="auto" w:sz="4" w:space="0"/>
              <w:bottom w:val="single" w:color="auto" w:sz="6" w:space="0"/>
              <w:right w:val="single" w:color="auto" w:sz="6" w:space="0"/>
            </w:tcBorders>
            <w:vAlign w:val="center"/>
          </w:tcPr>
          <w:p>
            <w:pPr>
              <w:rPr>
                <w:rFonts w:hint="default" w:ascii="Times New Roman" w:hAnsi="Times New Roman" w:cs="Times New Roman"/>
                <w:color w:val="auto"/>
              </w:rPr>
            </w:pPr>
          </w:p>
        </w:tc>
        <w:tc>
          <w:tcPr>
            <w:tcW w:w="2551"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多年平均冰雹日数</w:t>
            </w:r>
            <w:r>
              <w:rPr>
                <w:rFonts w:hint="default" w:ascii="Times New Roman" w:hAnsi="Times New Roman" w:cs="Times New Roman"/>
                <w:color w:val="auto"/>
                <w:lang w:eastAsia="zh-CN"/>
              </w:rPr>
              <w:t>(</w:t>
            </w:r>
            <w:r>
              <w:rPr>
                <w:rFonts w:hint="default" w:ascii="Times New Roman" w:hAnsi="Times New Roman" w:cs="Times New Roman"/>
                <w:color w:val="auto"/>
              </w:rPr>
              <w:t>d)</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0.3</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851" w:type="dxa"/>
            <w:vMerge w:val="continue"/>
            <w:tcBorders>
              <w:top w:val="single" w:color="auto" w:sz="6" w:space="0"/>
              <w:left w:val="single" w:color="auto" w:sz="4" w:space="0"/>
              <w:bottom w:val="single" w:color="auto" w:sz="6" w:space="0"/>
              <w:right w:val="single" w:color="auto" w:sz="6" w:space="0"/>
            </w:tcBorders>
            <w:vAlign w:val="center"/>
          </w:tcPr>
          <w:p>
            <w:pPr>
              <w:rPr>
                <w:rFonts w:hint="default" w:ascii="Times New Roman" w:hAnsi="Times New Roman" w:cs="Times New Roman"/>
                <w:color w:val="auto"/>
              </w:rPr>
            </w:pPr>
          </w:p>
        </w:tc>
        <w:tc>
          <w:tcPr>
            <w:tcW w:w="2551"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多年平均大风日数</w:t>
            </w:r>
            <w:r>
              <w:rPr>
                <w:rFonts w:hint="default" w:ascii="Times New Roman" w:hAnsi="Times New Roman" w:cs="Times New Roman"/>
                <w:color w:val="auto"/>
                <w:lang w:eastAsia="zh-CN"/>
              </w:rPr>
              <w:t>(</w:t>
            </w:r>
            <w:r>
              <w:rPr>
                <w:rFonts w:hint="default" w:ascii="Times New Roman" w:hAnsi="Times New Roman" w:cs="Times New Roman"/>
                <w:color w:val="auto"/>
              </w:rPr>
              <w:t>d)</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4.0</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多年实测极大风速（m/s）、相应风向</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20.9</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2018-06-11</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28.5、NNW</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多年平均风速（m/s）</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1.7</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多年主导风向、风向频率</w:t>
            </w:r>
            <w:r>
              <w:rPr>
                <w:rFonts w:hint="default" w:ascii="Times New Roman" w:hAnsi="Times New Roman" w:cs="Times New Roman"/>
                <w:color w:val="auto"/>
                <w:lang w:eastAsia="zh-CN"/>
              </w:rPr>
              <w:t>(</w:t>
            </w:r>
            <w:r>
              <w:rPr>
                <w:rFonts w:hint="default" w:ascii="Times New Roman" w:hAnsi="Times New Roman" w:cs="Times New Roman"/>
                <w:color w:val="auto"/>
              </w:rPr>
              <w:t>%)</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ENE、9.4%</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402" w:type="dxa"/>
            <w:gridSpan w:val="2"/>
            <w:tcBorders>
              <w:top w:val="single" w:color="auto" w:sz="6" w:space="0"/>
              <w:left w:val="single" w:color="auto" w:sz="4"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多年静风频率</w:t>
            </w:r>
            <w:r>
              <w:rPr>
                <w:rFonts w:hint="default" w:ascii="Times New Roman" w:hAnsi="Times New Roman" w:cs="Times New Roman"/>
                <w:color w:val="auto"/>
                <w:lang w:eastAsia="zh-CN"/>
              </w:rPr>
              <w:t>（</w:t>
            </w:r>
            <w:r>
              <w:rPr>
                <w:rFonts w:hint="default" w:ascii="Times New Roman" w:hAnsi="Times New Roman" w:cs="Times New Roman"/>
                <w:color w:val="auto"/>
              </w:rPr>
              <w:t>风速&lt;0.2m/s</w:t>
            </w:r>
            <w:r>
              <w:rPr>
                <w:rFonts w:hint="eastAsia" w:cs="Times New Roman"/>
                <w:color w:val="auto"/>
                <w:lang w:eastAsia="zh-CN"/>
              </w:rPr>
              <w:t>）</w:t>
            </w:r>
            <w:r>
              <w:rPr>
                <w:rFonts w:hint="default" w:ascii="Times New Roman" w:hAnsi="Times New Roman" w:cs="Times New Roman"/>
                <w:color w:val="auto"/>
              </w:rPr>
              <w:t>(%)</w:t>
            </w:r>
          </w:p>
        </w:tc>
        <w:tc>
          <w:tcPr>
            <w:tcW w:w="1560"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28.2</w:t>
            </w:r>
          </w:p>
        </w:tc>
        <w:tc>
          <w:tcPr>
            <w:tcW w:w="1842" w:type="dxa"/>
            <w:tcBorders>
              <w:top w:val="single" w:color="auto" w:sz="6" w:space="0"/>
              <w:left w:val="single" w:color="auto" w:sz="6" w:space="0"/>
              <w:bottom w:val="single" w:color="auto" w:sz="6" w:space="0"/>
              <w:right w:val="single" w:color="auto" w:sz="6"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c>
          <w:tcPr>
            <w:tcW w:w="1508" w:type="dxa"/>
            <w:tcBorders>
              <w:top w:val="single" w:color="auto" w:sz="6" w:space="0"/>
              <w:left w:val="single" w:color="auto" w:sz="6" w:space="0"/>
              <w:bottom w:val="single" w:color="auto" w:sz="6" w:space="0"/>
              <w:right w:val="single" w:color="auto" w:sz="4" w:space="0"/>
            </w:tcBorders>
            <w:vAlign w:val="center"/>
          </w:tcPr>
          <w:p>
            <w:pPr>
              <w:contextualSpacing/>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8312" w:type="dxa"/>
            <w:gridSpan w:val="5"/>
            <w:tcBorders>
              <w:top w:val="single" w:color="auto" w:sz="6" w:space="0"/>
              <w:left w:val="single" w:color="auto" w:sz="4" w:space="0"/>
              <w:bottom w:val="single" w:color="auto" w:sz="4" w:space="0"/>
              <w:right w:val="single" w:color="auto" w:sz="4" w:space="0"/>
            </w:tcBorders>
            <w:vAlign w:val="center"/>
          </w:tcPr>
          <w:p>
            <w:pPr>
              <w:contextualSpacing/>
              <w:rPr>
                <w:rFonts w:hint="default" w:ascii="Times New Roman" w:hAnsi="Times New Roman" w:cs="Times New Roman"/>
                <w:color w:val="auto"/>
              </w:rPr>
            </w:pPr>
            <w:r>
              <w:rPr>
                <w:rFonts w:hint="default" w:ascii="Times New Roman" w:hAnsi="Times New Roman" w:cs="Times New Roman"/>
                <w:b/>
                <w:color w:val="auto"/>
              </w:rPr>
              <w:t>*</w:t>
            </w:r>
            <w:r>
              <w:rPr>
                <w:rFonts w:hint="default" w:ascii="Times New Roman" w:hAnsi="Times New Roman" w:cs="Times New Roman"/>
                <w:color w:val="auto"/>
              </w:rPr>
              <w:t>统计值代表均质；**极值代表极端值</w:t>
            </w:r>
          </w:p>
        </w:tc>
      </w:tr>
    </w:tbl>
    <w:p>
      <w:pPr>
        <w:pStyle w:val="6"/>
        <w:spacing w:before="0" w:after="0" w:line="360" w:lineRule="auto"/>
        <w:rPr>
          <w:b w:val="0"/>
          <w:color w:val="auto"/>
          <w:sz w:val="24"/>
          <w:szCs w:val="24"/>
        </w:rPr>
      </w:pPr>
      <w:r>
        <w:rPr>
          <w:b w:val="0"/>
          <w:color w:val="auto"/>
          <w:sz w:val="24"/>
          <w:szCs w:val="24"/>
        </w:rPr>
        <w:t>5.1.1.2气象站风观测数据统计</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（1）月平均风速</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获嘉县气象站月平均风速如表5.1-2，03月平均风速最大（2.2米/秒），09月风最小（1.3米/秒）。</w:t>
      </w:r>
    </w:p>
    <w:p>
      <w:pPr>
        <w:ind w:firstLine="960" w:firstLineChars="400"/>
        <w:jc w:val="center"/>
        <w:rPr>
          <w:rFonts w:eastAsia="黑体"/>
          <w:color w:val="auto"/>
          <w:sz w:val="24"/>
          <w:szCs w:val="24"/>
        </w:rPr>
      </w:pPr>
      <w:r>
        <w:rPr>
          <w:rFonts w:eastAsia="黑体"/>
          <w:color w:val="auto"/>
          <w:sz w:val="24"/>
          <w:szCs w:val="24"/>
        </w:rPr>
        <w:t>表5.1-2   获嘉县气象站月平均风速统计（单位 m/s）</w:t>
      </w:r>
    </w:p>
    <w:tbl>
      <w:tblPr>
        <w:tblStyle w:val="83"/>
        <w:tblW w:w="5000" w:type="pct"/>
        <w:jc w:val="center"/>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Layout w:type="autofit"/>
        <w:tblCellMar>
          <w:top w:w="0" w:type="dxa"/>
          <w:left w:w="0" w:type="dxa"/>
          <w:bottom w:w="0" w:type="dxa"/>
          <w:right w:w="0" w:type="dxa"/>
        </w:tblCellMar>
      </w:tblPr>
      <w:tblGrid>
        <w:gridCol w:w="998"/>
        <w:gridCol w:w="602"/>
        <w:gridCol w:w="620"/>
        <w:gridCol w:w="600"/>
        <w:gridCol w:w="620"/>
        <w:gridCol w:w="620"/>
        <w:gridCol w:w="600"/>
        <w:gridCol w:w="620"/>
        <w:gridCol w:w="620"/>
        <w:gridCol w:w="600"/>
        <w:gridCol w:w="620"/>
        <w:gridCol w:w="600"/>
        <w:gridCol w:w="613"/>
      </w:tblGrid>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487" w:hRule="atLeast"/>
          <w:jc w:val="center"/>
        </w:trPr>
        <w:tc>
          <w:tcPr>
            <w:tcW w:w="599" w:type="pct"/>
            <w:shd w:val="clear" w:color="auto" w:fill="auto"/>
            <w:vAlign w:val="center"/>
          </w:tcPr>
          <w:p>
            <w:pPr>
              <w:jc w:val="center"/>
              <w:rPr>
                <w:b/>
                <w:color w:val="auto"/>
                <w:szCs w:val="20"/>
              </w:rPr>
            </w:pPr>
            <w:r>
              <w:rPr>
                <w:color w:val="auto"/>
              </w:rPr>
              <w:drawing>
                <wp:anchor distT="0" distB="0" distL="114300" distR="114300" simplePos="0" relativeHeight="251677696" behindDoc="1" locked="0" layoutInCell="0" allowOverlap="1">
                  <wp:simplePos x="0" y="0"/>
                  <wp:positionH relativeFrom="column">
                    <wp:posOffset>1280795</wp:posOffset>
                  </wp:positionH>
                  <wp:positionV relativeFrom="paragraph">
                    <wp:posOffset>95250</wp:posOffset>
                  </wp:positionV>
                  <wp:extent cx="1270" cy="20320"/>
                  <wp:effectExtent l="0" t="0" r="17780" b="8255"/>
                  <wp:wrapNone/>
                  <wp:docPr id="15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图片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78720" behindDoc="1" locked="0" layoutInCell="0" allowOverlap="1">
                  <wp:simplePos x="0" y="0"/>
                  <wp:positionH relativeFrom="column">
                    <wp:posOffset>1671955</wp:posOffset>
                  </wp:positionH>
                  <wp:positionV relativeFrom="paragraph">
                    <wp:posOffset>95250</wp:posOffset>
                  </wp:positionV>
                  <wp:extent cx="1270" cy="20320"/>
                  <wp:effectExtent l="0" t="0" r="17780" b="8255"/>
                  <wp:wrapNone/>
                  <wp:docPr id="15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图片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79744" behindDoc="1" locked="0" layoutInCell="0" allowOverlap="1">
                  <wp:simplePos x="0" y="0"/>
                  <wp:positionH relativeFrom="column">
                    <wp:posOffset>2059305</wp:posOffset>
                  </wp:positionH>
                  <wp:positionV relativeFrom="paragraph">
                    <wp:posOffset>95250</wp:posOffset>
                  </wp:positionV>
                  <wp:extent cx="1270" cy="20320"/>
                  <wp:effectExtent l="0" t="0" r="17780" b="8255"/>
                  <wp:wrapNone/>
                  <wp:docPr id="15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图片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0768" behindDoc="1" locked="0" layoutInCell="0" allowOverlap="1">
                  <wp:simplePos x="0" y="0"/>
                  <wp:positionH relativeFrom="column">
                    <wp:posOffset>2447925</wp:posOffset>
                  </wp:positionH>
                  <wp:positionV relativeFrom="paragraph">
                    <wp:posOffset>95250</wp:posOffset>
                  </wp:positionV>
                  <wp:extent cx="1270" cy="20320"/>
                  <wp:effectExtent l="0" t="0" r="17780" b="8255"/>
                  <wp:wrapNone/>
                  <wp:docPr id="15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图片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1792" behindDoc="1" locked="0" layoutInCell="0" allowOverlap="1">
                  <wp:simplePos x="0" y="0"/>
                  <wp:positionH relativeFrom="column">
                    <wp:posOffset>2836545</wp:posOffset>
                  </wp:positionH>
                  <wp:positionV relativeFrom="paragraph">
                    <wp:posOffset>95250</wp:posOffset>
                  </wp:positionV>
                  <wp:extent cx="1270" cy="20320"/>
                  <wp:effectExtent l="0" t="0" r="17780" b="8255"/>
                  <wp:wrapNone/>
                  <wp:docPr id="15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图片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2816" behindDoc="1" locked="0" layoutInCell="0" allowOverlap="1">
                  <wp:simplePos x="0" y="0"/>
                  <wp:positionH relativeFrom="column">
                    <wp:posOffset>3223895</wp:posOffset>
                  </wp:positionH>
                  <wp:positionV relativeFrom="paragraph">
                    <wp:posOffset>95250</wp:posOffset>
                  </wp:positionV>
                  <wp:extent cx="1270" cy="20320"/>
                  <wp:effectExtent l="0" t="0" r="17780" b="8255"/>
                  <wp:wrapNone/>
                  <wp:docPr id="15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图片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3840" behindDoc="1" locked="0" layoutInCell="0" allowOverlap="1">
                  <wp:simplePos x="0" y="0"/>
                  <wp:positionH relativeFrom="column">
                    <wp:posOffset>3612515</wp:posOffset>
                  </wp:positionH>
                  <wp:positionV relativeFrom="paragraph">
                    <wp:posOffset>95250</wp:posOffset>
                  </wp:positionV>
                  <wp:extent cx="1270" cy="20320"/>
                  <wp:effectExtent l="0" t="0" r="17780" b="8255"/>
                  <wp:wrapNone/>
                  <wp:docPr id="15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图片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4864" behindDoc="1" locked="0" layoutInCell="0" allowOverlap="1">
                  <wp:simplePos x="0" y="0"/>
                  <wp:positionH relativeFrom="column">
                    <wp:posOffset>4003675</wp:posOffset>
                  </wp:positionH>
                  <wp:positionV relativeFrom="paragraph">
                    <wp:posOffset>95250</wp:posOffset>
                  </wp:positionV>
                  <wp:extent cx="1270" cy="20320"/>
                  <wp:effectExtent l="0" t="0" r="17780" b="8255"/>
                  <wp:wrapNone/>
                  <wp:docPr id="15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图片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5888" behindDoc="1" locked="0" layoutInCell="0" allowOverlap="1">
                  <wp:simplePos x="0" y="0"/>
                  <wp:positionH relativeFrom="column">
                    <wp:posOffset>4392295</wp:posOffset>
                  </wp:positionH>
                  <wp:positionV relativeFrom="paragraph">
                    <wp:posOffset>95250</wp:posOffset>
                  </wp:positionV>
                  <wp:extent cx="1270" cy="20320"/>
                  <wp:effectExtent l="0" t="0" r="17780" b="8255"/>
                  <wp:wrapNone/>
                  <wp:docPr id="15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图片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6912" behindDoc="1" locked="0" layoutInCell="0" allowOverlap="1">
                  <wp:simplePos x="0" y="0"/>
                  <wp:positionH relativeFrom="column">
                    <wp:posOffset>4780915</wp:posOffset>
                  </wp:positionH>
                  <wp:positionV relativeFrom="paragraph">
                    <wp:posOffset>95250</wp:posOffset>
                  </wp:positionV>
                  <wp:extent cx="1270" cy="20320"/>
                  <wp:effectExtent l="0" t="0" r="17780" b="8255"/>
                  <wp:wrapNone/>
                  <wp:docPr id="15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图片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7936" behindDoc="1" locked="0" layoutInCell="0" allowOverlap="1">
                  <wp:simplePos x="0" y="0"/>
                  <wp:positionH relativeFrom="column">
                    <wp:posOffset>5169535</wp:posOffset>
                  </wp:positionH>
                  <wp:positionV relativeFrom="paragraph">
                    <wp:posOffset>95250</wp:posOffset>
                  </wp:positionV>
                  <wp:extent cx="1270" cy="20320"/>
                  <wp:effectExtent l="0" t="0" r="17780" b="8255"/>
                  <wp:wrapNone/>
                  <wp:docPr id="15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图片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688960" behindDoc="1" locked="0" layoutInCell="0" allowOverlap="1">
                  <wp:simplePos x="0" y="0"/>
                  <wp:positionH relativeFrom="column">
                    <wp:posOffset>5555615</wp:posOffset>
                  </wp:positionH>
                  <wp:positionV relativeFrom="paragraph">
                    <wp:posOffset>95250</wp:posOffset>
                  </wp:positionV>
                  <wp:extent cx="1270" cy="20320"/>
                  <wp:effectExtent l="0" t="0" r="17780" b="8255"/>
                  <wp:wrapNone/>
                  <wp:docPr id="15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图片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b/>
                <w:color w:val="auto"/>
                <w:szCs w:val="20"/>
              </w:rPr>
              <w:t>月份</w:t>
            </w:r>
          </w:p>
        </w:tc>
        <w:tc>
          <w:tcPr>
            <w:tcW w:w="361" w:type="pct"/>
            <w:shd w:val="clear" w:color="auto" w:fill="auto"/>
            <w:vAlign w:val="center"/>
          </w:tcPr>
          <w:p>
            <w:pPr>
              <w:jc w:val="center"/>
              <w:rPr>
                <w:b/>
                <w:color w:val="auto"/>
                <w:szCs w:val="20"/>
              </w:rPr>
            </w:pPr>
            <w:r>
              <w:rPr>
                <w:b/>
                <w:color w:val="auto"/>
                <w:szCs w:val="20"/>
              </w:rPr>
              <w:t>1</w:t>
            </w:r>
          </w:p>
        </w:tc>
        <w:tc>
          <w:tcPr>
            <w:tcW w:w="372" w:type="pct"/>
            <w:shd w:val="clear" w:color="auto" w:fill="auto"/>
            <w:vAlign w:val="center"/>
          </w:tcPr>
          <w:p>
            <w:pPr>
              <w:jc w:val="center"/>
              <w:rPr>
                <w:b/>
                <w:color w:val="auto"/>
                <w:szCs w:val="20"/>
              </w:rPr>
            </w:pPr>
            <w:r>
              <w:rPr>
                <w:b/>
                <w:color w:val="auto"/>
                <w:szCs w:val="20"/>
              </w:rPr>
              <w:t>2</w:t>
            </w:r>
          </w:p>
        </w:tc>
        <w:tc>
          <w:tcPr>
            <w:tcW w:w="360" w:type="pct"/>
            <w:shd w:val="clear" w:color="auto" w:fill="auto"/>
            <w:vAlign w:val="center"/>
          </w:tcPr>
          <w:p>
            <w:pPr>
              <w:jc w:val="center"/>
              <w:rPr>
                <w:b/>
                <w:color w:val="auto"/>
                <w:szCs w:val="20"/>
              </w:rPr>
            </w:pPr>
            <w:r>
              <w:rPr>
                <w:b/>
                <w:color w:val="auto"/>
                <w:szCs w:val="20"/>
              </w:rPr>
              <w:t>3</w:t>
            </w:r>
          </w:p>
        </w:tc>
        <w:tc>
          <w:tcPr>
            <w:tcW w:w="372" w:type="pct"/>
            <w:shd w:val="clear" w:color="auto" w:fill="auto"/>
            <w:vAlign w:val="center"/>
          </w:tcPr>
          <w:p>
            <w:pPr>
              <w:jc w:val="center"/>
              <w:rPr>
                <w:b/>
                <w:color w:val="auto"/>
                <w:szCs w:val="20"/>
              </w:rPr>
            </w:pPr>
            <w:r>
              <w:rPr>
                <w:b/>
                <w:color w:val="auto"/>
                <w:szCs w:val="20"/>
              </w:rPr>
              <w:t>4</w:t>
            </w:r>
          </w:p>
        </w:tc>
        <w:tc>
          <w:tcPr>
            <w:tcW w:w="372" w:type="pct"/>
            <w:shd w:val="clear" w:color="auto" w:fill="auto"/>
            <w:vAlign w:val="center"/>
          </w:tcPr>
          <w:p>
            <w:pPr>
              <w:jc w:val="center"/>
              <w:rPr>
                <w:b/>
                <w:color w:val="auto"/>
                <w:szCs w:val="20"/>
              </w:rPr>
            </w:pPr>
            <w:r>
              <w:rPr>
                <w:b/>
                <w:color w:val="auto"/>
                <w:szCs w:val="20"/>
              </w:rPr>
              <w:t>5</w:t>
            </w:r>
          </w:p>
        </w:tc>
        <w:tc>
          <w:tcPr>
            <w:tcW w:w="360" w:type="pct"/>
            <w:shd w:val="clear" w:color="auto" w:fill="auto"/>
            <w:vAlign w:val="center"/>
          </w:tcPr>
          <w:p>
            <w:pPr>
              <w:jc w:val="center"/>
              <w:rPr>
                <w:b/>
                <w:color w:val="auto"/>
                <w:szCs w:val="20"/>
              </w:rPr>
            </w:pPr>
            <w:r>
              <w:rPr>
                <w:b/>
                <w:color w:val="auto"/>
                <w:szCs w:val="20"/>
              </w:rPr>
              <w:t>6</w:t>
            </w:r>
          </w:p>
        </w:tc>
        <w:tc>
          <w:tcPr>
            <w:tcW w:w="372" w:type="pct"/>
            <w:shd w:val="clear" w:color="auto" w:fill="auto"/>
            <w:vAlign w:val="center"/>
          </w:tcPr>
          <w:p>
            <w:pPr>
              <w:jc w:val="center"/>
              <w:rPr>
                <w:b/>
                <w:color w:val="auto"/>
                <w:szCs w:val="20"/>
              </w:rPr>
            </w:pPr>
            <w:r>
              <w:rPr>
                <w:b/>
                <w:color w:val="auto"/>
                <w:szCs w:val="20"/>
              </w:rPr>
              <w:t>7</w:t>
            </w:r>
          </w:p>
        </w:tc>
        <w:tc>
          <w:tcPr>
            <w:tcW w:w="372" w:type="pct"/>
            <w:shd w:val="clear" w:color="auto" w:fill="auto"/>
            <w:vAlign w:val="center"/>
          </w:tcPr>
          <w:p>
            <w:pPr>
              <w:jc w:val="center"/>
              <w:rPr>
                <w:b/>
                <w:color w:val="auto"/>
                <w:szCs w:val="20"/>
              </w:rPr>
            </w:pPr>
            <w:r>
              <w:rPr>
                <w:b/>
                <w:color w:val="auto"/>
                <w:szCs w:val="20"/>
              </w:rPr>
              <w:t>8</w:t>
            </w:r>
          </w:p>
        </w:tc>
        <w:tc>
          <w:tcPr>
            <w:tcW w:w="360" w:type="pct"/>
            <w:shd w:val="clear" w:color="auto" w:fill="auto"/>
            <w:vAlign w:val="center"/>
          </w:tcPr>
          <w:p>
            <w:pPr>
              <w:jc w:val="center"/>
              <w:rPr>
                <w:b/>
                <w:color w:val="auto"/>
                <w:szCs w:val="20"/>
              </w:rPr>
            </w:pPr>
            <w:r>
              <w:rPr>
                <w:b/>
                <w:color w:val="auto"/>
                <w:szCs w:val="20"/>
              </w:rPr>
              <w:t>9</w:t>
            </w:r>
          </w:p>
        </w:tc>
        <w:tc>
          <w:tcPr>
            <w:tcW w:w="372" w:type="pct"/>
            <w:shd w:val="clear" w:color="auto" w:fill="auto"/>
            <w:vAlign w:val="center"/>
          </w:tcPr>
          <w:p>
            <w:pPr>
              <w:jc w:val="center"/>
              <w:rPr>
                <w:b/>
                <w:color w:val="auto"/>
                <w:szCs w:val="20"/>
              </w:rPr>
            </w:pPr>
            <w:r>
              <w:rPr>
                <w:b/>
                <w:color w:val="auto"/>
                <w:szCs w:val="20"/>
              </w:rPr>
              <w:t>10</w:t>
            </w:r>
          </w:p>
        </w:tc>
        <w:tc>
          <w:tcPr>
            <w:tcW w:w="360" w:type="pct"/>
            <w:shd w:val="clear" w:color="auto" w:fill="auto"/>
            <w:vAlign w:val="center"/>
          </w:tcPr>
          <w:p>
            <w:pPr>
              <w:jc w:val="center"/>
              <w:rPr>
                <w:b/>
                <w:color w:val="auto"/>
                <w:szCs w:val="20"/>
              </w:rPr>
            </w:pPr>
            <w:r>
              <w:rPr>
                <w:b/>
                <w:color w:val="auto"/>
                <w:szCs w:val="20"/>
              </w:rPr>
              <w:t>11</w:t>
            </w:r>
          </w:p>
        </w:tc>
        <w:tc>
          <w:tcPr>
            <w:tcW w:w="368" w:type="pct"/>
            <w:shd w:val="clear" w:color="auto" w:fill="auto"/>
            <w:vAlign w:val="center"/>
          </w:tcPr>
          <w:p>
            <w:pPr>
              <w:jc w:val="center"/>
              <w:rPr>
                <w:b/>
                <w:color w:val="auto"/>
                <w:szCs w:val="20"/>
              </w:rPr>
            </w:pPr>
            <w:r>
              <w:rPr>
                <w:b/>
                <w:color w:val="auto"/>
                <w:szCs w:val="20"/>
              </w:rPr>
              <w:t>12</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399" w:hRule="atLeast"/>
          <w:jc w:val="center"/>
        </w:trPr>
        <w:tc>
          <w:tcPr>
            <w:tcW w:w="599" w:type="pct"/>
            <w:shd w:val="clear" w:color="auto" w:fill="auto"/>
            <w:vAlign w:val="center"/>
          </w:tcPr>
          <w:p>
            <w:pPr>
              <w:contextualSpacing/>
              <w:jc w:val="center"/>
              <w:textAlignment w:val="baseline"/>
              <w:rPr>
                <w:color w:val="auto"/>
                <w:kern w:val="0"/>
              </w:rPr>
            </w:pPr>
            <w:r>
              <w:rPr>
                <w:color w:val="auto"/>
                <w:kern w:val="0"/>
              </w:rPr>
              <w:t>平均风速</w:t>
            </w:r>
          </w:p>
        </w:tc>
        <w:tc>
          <w:tcPr>
            <w:tcW w:w="361" w:type="pct"/>
            <w:shd w:val="clear" w:color="auto" w:fill="auto"/>
            <w:vAlign w:val="center"/>
          </w:tcPr>
          <w:p>
            <w:pPr>
              <w:contextualSpacing/>
              <w:jc w:val="center"/>
              <w:textAlignment w:val="baseline"/>
              <w:rPr>
                <w:color w:val="auto"/>
                <w:kern w:val="0"/>
              </w:rPr>
            </w:pPr>
            <w:r>
              <w:rPr>
                <w:color w:val="auto"/>
                <w:kern w:val="0"/>
              </w:rPr>
              <w:t>1.5</w:t>
            </w:r>
          </w:p>
        </w:tc>
        <w:tc>
          <w:tcPr>
            <w:tcW w:w="372" w:type="pct"/>
            <w:shd w:val="clear" w:color="auto" w:fill="auto"/>
            <w:vAlign w:val="center"/>
          </w:tcPr>
          <w:p>
            <w:pPr>
              <w:contextualSpacing/>
              <w:jc w:val="center"/>
              <w:textAlignment w:val="baseline"/>
              <w:rPr>
                <w:color w:val="auto"/>
                <w:kern w:val="0"/>
              </w:rPr>
            </w:pPr>
            <w:r>
              <w:rPr>
                <w:color w:val="auto"/>
                <w:kern w:val="0"/>
              </w:rPr>
              <w:t>1.9</w:t>
            </w:r>
          </w:p>
        </w:tc>
        <w:tc>
          <w:tcPr>
            <w:tcW w:w="360" w:type="pct"/>
            <w:shd w:val="clear" w:color="auto" w:fill="auto"/>
            <w:vAlign w:val="center"/>
          </w:tcPr>
          <w:p>
            <w:pPr>
              <w:contextualSpacing/>
              <w:jc w:val="center"/>
              <w:textAlignment w:val="baseline"/>
              <w:rPr>
                <w:color w:val="auto"/>
                <w:kern w:val="0"/>
              </w:rPr>
            </w:pPr>
            <w:r>
              <w:rPr>
                <w:color w:val="auto"/>
                <w:kern w:val="0"/>
              </w:rPr>
              <w:t>2.2</w:t>
            </w:r>
          </w:p>
        </w:tc>
        <w:tc>
          <w:tcPr>
            <w:tcW w:w="372" w:type="pct"/>
            <w:shd w:val="clear" w:color="auto" w:fill="auto"/>
            <w:vAlign w:val="center"/>
          </w:tcPr>
          <w:p>
            <w:pPr>
              <w:contextualSpacing/>
              <w:jc w:val="center"/>
              <w:textAlignment w:val="baseline"/>
              <w:rPr>
                <w:color w:val="auto"/>
                <w:kern w:val="0"/>
              </w:rPr>
            </w:pPr>
            <w:r>
              <w:rPr>
                <w:color w:val="auto"/>
                <w:kern w:val="0"/>
              </w:rPr>
              <w:t>2.0</w:t>
            </w:r>
          </w:p>
        </w:tc>
        <w:tc>
          <w:tcPr>
            <w:tcW w:w="372" w:type="pct"/>
            <w:shd w:val="clear" w:color="auto" w:fill="auto"/>
            <w:vAlign w:val="center"/>
          </w:tcPr>
          <w:p>
            <w:pPr>
              <w:contextualSpacing/>
              <w:jc w:val="center"/>
              <w:textAlignment w:val="baseline"/>
              <w:rPr>
                <w:color w:val="auto"/>
                <w:kern w:val="0"/>
              </w:rPr>
            </w:pPr>
            <w:r>
              <w:rPr>
                <w:color w:val="auto"/>
                <w:kern w:val="0"/>
              </w:rPr>
              <w:t>1.8</w:t>
            </w:r>
          </w:p>
        </w:tc>
        <w:tc>
          <w:tcPr>
            <w:tcW w:w="360" w:type="pct"/>
            <w:shd w:val="clear" w:color="auto" w:fill="auto"/>
            <w:vAlign w:val="center"/>
          </w:tcPr>
          <w:p>
            <w:pPr>
              <w:contextualSpacing/>
              <w:jc w:val="center"/>
              <w:textAlignment w:val="baseline"/>
              <w:rPr>
                <w:color w:val="auto"/>
                <w:kern w:val="0"/>
              </w:rPr>
            </w:pPr>
            <w:r>
              <w:rPr>
                <w:color w:val="auto"/>
                <w:kern w:val="0"/>
              </w:rPr>
              <w:t>1.7</w:t>
            </w:r>
          </w:p>
        </w:tc>
        <w:tc>
          <w:tcPr>
            <w:tcW w:w="372" w:type="pct"/>
            <w:shd w:val="clear" w:color="auto" w:fill="auto"/>
            <w:vAlign w:val="center"/>
          </w:tcPr>
          <w:p>
            <w:pPr>
              <w:contextualSpacing/>
              <w:jc w:val="center"/>
              <w:textAlignment w:val="baseline"/>
              <w:rPr>
                <w:color w:val="auto"/>
                <w:kern w:val="0"/>
              </w:rPr>
            </w:pPr>
            <w:r>
              <w:rPr>
                <w:color w:val="auto"/>
                <w:kern w:val="0"/>
              </w:rPr>
              <w:t>1.4</w:t>
            </w:r>
          </w:p>
        </w:tc>
        <w:tc>
          <w:tcPr>
            <w:tcW w:w="372" w:type="pct"/>
            <w:shd w:val="clear" w:color="auto" w:fill="auto"/>
            <w:vAlign w:val="center"/>
          </w:tcPr>
          <w:p>
            <w:pPr>
              <w:contextualSpacing/>
              <w:jc w:val="center"/>
              <w:textAlignment w:val="baseline"/>
              <w:rPr>
                <w:color w:val="auto"/>
                <w:kern w:val="0"/>
              </w:rPr>
            </w:pPr>
            <w:r>
              <w:rPr>
                <w:color w:val="auto"/>
                <w:kern w:val="0"/>
              </w:rPr>
              <w:t>1.4</w:t>
            </w:r>
          </w:p>
        </w:tc>
        <w:tc>
          <w:tcPr>
            <w:tcW w:w="360" w:type="pct"/>
            <w:shd w:val="clear" w:color="auto" w:fill="auto"/>
            <w:vAlign w:val="center"/>
          </w:tcPr>
          <w:p>
            <w:pPr>
              <w:contextualSpacing/>
              <w:jc w:val="center"/>
              <w:textAlignment w:val="baseline"/>
              <w:rPr>
                <w:color w:val="auto"/>
                <w:kern w:val="0"/>
              </w:rPr>
            </w:pPr>
            <w:r>
              <w:rPr>
                <w:color w:val="auto"/>
                <w:kern w:val="0"/>
              </w:rPr>
              <w:t>1.3</w:t>
            </w:r>
          </w:p>
        </w:tc>
        <w:tc>
          <w:tcPr>
            <w:tcW w:w="372" w:type="pct"/>
            <w:shd w:val="clear" w:color="auto" w:fill="auto"/>
            <w:vAlign w:val="center"/>
          </w:tcPr>
          <w:p>
            <w:pPr>
              <w:contextualSpacing/>
              <w:jc w:val="center"/>
              <w:textAlignment w:val="baseline"/>
              <w:rPr>
                <w:color w:val="auto"/>
                <w:kern w:val="0"/>
              </w:rPr>
            </w:pPr>
            <w:r>
              <w:rPr>
                <w:color w:val="auto"/>
                <w:kern w:val="0"/>
              </w:rPr>
              <w:t>1.5</w:t>
            </w:r>
          </w:p>
        </w:tc>
        <w:tc>
          <w:tcPr>
            <w:tcW w:w="360" w:type="pct"/>
            <w:shd w:val="clear" w:color="auto" w:fill="auto"/>
            <w:vAlign w:val="center"/>
          </w:tcPr>
          <w:p>
            <w:pPr>
              <w:contextualSpacing/>
              <w:jc w:val="center"/>
              <w:textAlignment w:val="baseline"/>
              <w:rPr>
                <w:color w:val="auto"/>
                <w:kern w:val="0"/>
              </w:rPr>
            </w:pPr>
            <w:r>
              <w:rPr>
                <w:color w:val="auto"/>
                <w:kern w:val="0"/>
              </w:rPr>
              <w:t>1.5</w:t>
            </w:r>
          </w:p>
        </w:tc>
        <w:tc>
          <w:tcPr>
            <w:tcW w:w="368" w:type="pct"/>
            <w:shd w:val="clear" w:color="auto" w:fill="auto"/>
            <w:vAlign w:val="center"/>
          </w:tcPr>
          <w:p>
            <w:pPr>
              <w:contextualSpacing/>
              <w:jc w:val="center"/>
              <w:textAlignment w:val="baseline"/>
              <w:rPr>
                <w:color w:val="auto"/>
                <w:kern w:val="0"/>
              </w:rPr>
            </w:pPr>
            <w:r>
              <w:rPr>
                <w:color w:val="auto"/>
                <w:kern w:val="0"/>
              </w:rPr>
              <w:t>1.6</w:t>
            </w:r>
          </w:p>
        </w:tc>
      </w:tr>
    </w:tbl>
    <w:p>
      <w:pPr>
        <w:adjustRightInd w:val="0"/>
        <w:snapToGrid w:val="0"/>
        <w:spacing w:before="120" w:line="520" w:lineRule="exact"/>
        <w:ind w:firstLine="420" w:firstLineChars="200"/>
        <w:textAlignment w:val="baseline"/>
        <w:rPr>
          <w:color w:val="auto"/>
          <w:kern w:val="0"/>
          <w:sz w:val="24"/>
          <w:szCs w:val="20"/>
        </w:rPr>
      </w:pPr>
      <w:r>
        <w:rPr>
          <w:color w:val="auto"/>
        </w:rPr>
        <w:drawing>
          <wp:anchor distT="0" distB="0" distL="114300" distR="114300" simplePos="0" relativeHeight="251689984" behindDoc="1" locked="0" layoutInCell="0" allowOverlap="1">
            <wp:simplePos x="0" y="0"/>
            <wp:positionH relativeFrom="column">
              <wp:posOffset>1280795</wp:posOffset>
            </wp:positionH>
            <wp:positionV relativeFrom="paragraph">
              <wp:posOffset>-384175</wp:posOffset>
            </wp:positionV>
            <wp:extent cx="1270" cy="10160"/>
            <wp:effectExtent l="0" t="0" r="0" b="0"/>
            <wp:wrapNone/>
            <wp:docPr id="15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图片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1008" behindDoc="1" locked="0" layoutInCell="0" allowOverlap="1">
            <wp:simplePos x="0" y="0"/>
            <wp:positionH relativeFrom="column">
              <wp:posOffset>1671955</wp:posOffset>
            </wp:positionH>
            <wp:positionV relativeFrom="paragraph">
              <wp:posOffset>-384175</wp:posOffset>
            </wp:positionV>
            <wp:extent cx="1270" cy="10160"/>
            <wp:effectExtent l="0" t="0" r="0" b="0"/>
            <wp:wrapNone/>
            <wp:docPr id="15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图片 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2032" behindDoc="1" locked="0" layoutInCell="0" allowOverlap="1">
            <wp:simplePos x="0" y="0"/>
            <wp:positionH relativeFrom="column">
              <wp:posOffset>2059305</wp:posOffset>
            </wp:positionH>
            <wp:positionV relativeFrom="paragraph">
              <wp:posOffset>-384175</wp:posOffset>
            </wp:positionV>
            <wp:extent cx="1270" cy="10160"/>
            <wp:effectExtent l="0" t="0" r="0" b="0"/>
            <wp:wrapNone/>
            <wp:docPr id="15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图片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3056" behindDoc="1" locked="0" layoutInCell="0" allowOverlap="1">
            <wp:simplePos x="0" y="0"/>
            <wp:positionH relativeFrom="column">
              <wp:posOffset>2447925</wp:posOffset>
            </wp:positionH>
            <wp:positionV relativeFrom="paragraph">
              <wp:posOffset>-384175</wp:posOffset>
            </wp:positionV>
            <wp:extent cx="1270" cy="10160"/>
            <wp:effectExtent l="0" t="0" r="0" b="0"/>
            <wp:wrapNone/>
            <wp:docPr id="15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图片 1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4080" behindDoc="1" locked="0" layoutInCell="0" allowOverlap="1">
            <wp:simplePos x="0" y="0"/>
            <wp:positionH relativeFrom="column">
              <wp:posOffset>2836545</wp:posOffset>
            </wp:positionH>
            <wp:positionV relativeFrom="paragraph">
              <wp:posOffset>-384175</wp:posOffset>
            </wp:positionV>
            <wp:extent cx="1270" cy="10160"/>
            <wp:effectExtent l="0" t="0" r="0" b="0"/>
            <wp:wrapNone/>
            <wp:docPr id="15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图片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5104" behindDoc="1" locked="0" layoutInCell="0" allowOverlap="1">
            <wp:simplePos x="0" y="0"/>
            <wp:positionH relativeFrom="column">
              <wp:posOffset>3223895</wp:posOffset>
            </wp:positionH>
            <wp:positionV relativeFrom="paragraph">
              <wp:posOffset>-384175</wp:posOffset>
            </wp:positionV>
            <wp:extent cx="1270" cy="10160"/>
            <wp:effectExtent l="0" t="0" r="0" b="0"/>
            <wp:wrapNone/>
            <wp:docPr id="15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图片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6128" behindDoc="1" locked="0" layoutInCell="0" allowOverlap="1">
            <wp:simplePos x="0" y="0"/>
            <wp:positionH relativeFrom="column">
              <wp:posOffset>3612515</wp:posOffset>
            </wp:positionH>
            <wp:positionV relativeFrom="paragraph">
              <wp:posOffset>-384175</wp:posOffset>
            </wp:positionV>
            <wp:extent cx="1270" cy="10160"/>
            <wp:effectExtent l="0" t="0" r="0" b="0"/>
            <wp:wrapNone/>
            <wp:docPr id="15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图片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7152" behindDoc="1" locked="0" layoutInCell="0" allowOverlap="1">
            <wp:simplePos x="0" y="0"/>
            <wp:positionH relativeFrom="column">
              <wp:posOffset>4003675</wp:posOffset>
            </wp:positionH>
            <wp:positionV relativeFrom="paragraph">
              <wp:posOffset>-384175</wp:posOffset>
            </wp:positionV>
            <wp:extent cx="1270" cy="10160"/>
            <wp:effectExtent l="0" t="0" r="0" b="0"/>
            <wp:wrapNone/>
            <wp:docPr id="15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图片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8176" behindDoc="1" locked="0" layoutInCell="0" allowOverlap="1">
            <wp:simplePos x="0" y="0"/>
            <wp:positionH relativeFrom="column">
              <wp:posOffset>4392295</wp:posOffset>
            </wp:positionH>
            <wp:positionV relativeFrom="paragraph">
              <wp:posOffset>-384175</wp:posOffset>
            </wp:positionV>
            <wp:extent cx="1270" cy="10160"/>
            <wp:effectExtent l="0" t="0" r="0" b="0"/>
            <wp:wrapNone/>
            <wp:docPr id="15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图片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699200" behindDoc="1" locked="0" layoutInCell="0" allowOverlap="1">
            <wp:simplePos x="0" y="0"/>
            <wp:positionH relativeFrom="column">
              <wp:posOffset>4780915</wp:posOffset>
            </wp:positionH>
            <wp:positionV relativeFrom="paragraph">
              <wp:posOffset>-384175</wp:posOffset>
            </wp:positionV>
            <wp:extent cx="1270" cy="10160"/>
            <wp:effectExtent l="0" t="0" r="0" b="0"/>
            <wp:wrapNone/>
            <wp:docPr id="15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图片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700224" behindDoc="1" locked="0" layoutInCell="0" allowOverlap="1">
            <wp:simplePos x="0" y="0"/>
            <wp:positionH relativeFrom="column">
              <wp:posOffset>5169535</wp:posOffset>
            </wp:positionH>
            <wp:positionV relativeFrom="paragraph">
              <wp:posOffset>-384175</wp:posOffset>
            </wp:positionV>
            <wp:extent cx="1270" cy="10160"/>
            <wp:effectExtent l="0" t="0" r="0" b="0"/>
            <wp:wrapNone/>
            <wp:docPr id="15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图片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701248" behindDoc="1" locked="0" layoutInCell="0" allowOverlap="1">
            <wp:simplePos x="0" y="0"/>
            <wp:positionH relativeFrom="column">
              <wp:posOffset>5555615</wp:posOffset>
            </wp:positionH>
            <wp:positionV relativeFrom="paragraph">
              <wp:posOffset>-384175</wp:posOffset>
            </wp:positionV>
            <wp:extent cx="1270" cy="10160"/>
            <wp:effectExtent l="0" t="0" r="0" b="0"/>
            <wp:wrapNone/>
            <wp:docPr id="153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图片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color w:val="auto"/>
        </w:rPr>
        <w:drawing>
          <wp:anchor distT="0" distB="0" distL="114300" distR="114300" simplePos="0" relativeHeight="251702272" behindDoc="1" locked="0" layoutInCell="0" allowOverlap="1">
            <wp:simplePos x="0" y="0"/>
            <wp:positionH relativeFrom="column">
              <wp:posOffset>1280795</wp:posOffset>
            </wp:positionH>
            <wp:positionV relativeFrom="paragraph">
              <wp:posOffset>-19685</wp:posOffset>
            </wp:positionV>
            <wp:extent cx="1270" cy="20320"/>
            <wp:effectExtent l="0" t="0" r="17780" b="8255"/>
            <wp:wrapNone/>
            <wp:docPr id="15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图片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3296" behindDoc="1" locked="0" layoutInCell="0" allowOverlap="1">
            <wp:simplePos x="0" y="0"/>
            <wp:positionH relativeFrom="column">
              <wp:posOffset>1671955</wp:posOffset>
            </wp:positionH>
            <wp:positionV relativeFrom="paragraph">
              <wp:posOffset>-19685</wp:posOffset>
            </wp:positionV>
            <wp:extent cx="1270" cy="20320"/>
            <wp:effectExtent l="0" t="0" r="17780" b="8255"/>
            <wp:wrapNone/>
            <wp:docPr id="15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图片 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4320" behindDoc="1" locked="0" layoutInCell="0" allowOverlap="1">
            <wp:simplePos x="0" y="0"/>
            <wp:positionH relativeFrom="column">
              <wp:posOffset>2059305</wp:posOffset>
            </wp:positionH>
            <wp:positionV relativeFrom="paragraph">
              <wp:posOffset>-19685</wp:posOffset>
            </wp:positionV>
            <wp:extent cx="1270" cy="20320"/>
            <wp:effectExtent l="0" t="0" r="17780" b="8255"/>
            <wp:wrapNone/>
            <wp:docPr id="15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图片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5344" behindDoc="1" locked="0" layoutInCell="0" allowOverlap="1">
            <wp:simplePos x="0" y="0"/>
            <wp:positionH relativeFrom="column">
              <wp:posOffset>2447925</wp:posOffset>
            </wp:positionH>
            <wp:positionV relativeFrom="paragraph">
              <wp:posOffset>-19685</wp:posOffset>
            </wp:positionV>
            <wp:extent cx="1270" cy="20320"/>
            <wp:effectExtent l="0" t="0" r="17780" b="8255"/>
            <wp:wrapNone/>
            <wp:docPr id="15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图片 2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6368" behindDoc="1" locked="0" layoutInCell="0" allowOverlap="1">
            <wp:simplePos x="0" y="0"/>
            <wp:positionH relativeFrom="column">
              <wp:posOffset>2836545</wp:posOffset>
            </wp:positionH>
            <wp:positionV relativeFrom="paragraph">
              <wp:posOffset>-19685</wp:posOffset>
            </wp:positionV>
            <wp:extent cx="1270" cy="20320"/>
            <wp:effectExtent l="0" t="0" r="17780" b="8255"/>
            <wp:wrapNone/>
            <wp:docPr id="15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图片 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7392" behindDoc="1" locked="0" layoutInCell="0" allowOverlap="1">
            <wp:simplePos x="0" y="0"/>
            <wp:positionH relativeFrom="column">
              <wp:posOffset>3223895</wp:posOffset>
            </wp:positionH>
            <wp:positionV relativeFrom="paragraph">
              <wp:posOffset>-19685</wp:posOffset>
            </wp:positionV>
            <wp:extent cx="1270" cy="20320"/>
            <wp:effectExtent l="0" t="0" r="17780" b="8255"/>
            <wp:wrapNone/>
            <wp:docPr id="15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图片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8416" behindDoc="1" locked="0" layoutInCell="0" allowOverlap="1">
            <wp:simplePos x="0" y="0"/>
            <wp:positionH relativeFrom="column">
              <wp:posOffset>3612515</wp:posOffset>
            </wp:positionH>
            <wp:positionV relativeFrom="paragraph">
              <wp:posOffset>-19685</wp:posOffset>
            </wp:positionV>
            <wp:extent cx="1270" cy="20320"/>
            <wp:effectExtent l="0" t="0" r="17780" b="8255"/>
            <wp:wrapNone/>
            <wp:docPr id="15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图片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09440" behindDoc="1" locked="0" layoutInCell="0" allowOverlap="1">
            <wp:simplePos x="0" y="0"/>
            <wp:positionH relativeFrom="column">
              <wp:posOffset>4003675</wp:posOffset>
            </wp:positionH>
            <wp:positionV relativeFrom="paragraph">
              <wp:posOffset>-19685</wp:posOffset>
            </wp:positionV>
            <wp:extent cx="1270" cy="20320"/>
            <wp:effectExtent l="0" t="0" r="17780" b="8255"/>
            <wp:wrapNone/>
            <wp:docPr id="152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图片 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0464" behindDoc="1" locked="0" layoutInCell="0" allowOverlap="1">
            <wp:simplePos x="0" y="0"/>
            <wp:positionH relativeFrom="column">
              <wp:posOffset>4392295</wp:posOffset>
            </wp:positionH>
            <wp:positionV relativeFrom="paragraph">
              <wp:posOffset>-19685</wp:posOffset>
            </wp:positionV>
            <wp:extent cx="1270" cy="20320"/>
            <wp:effectExtent l="0" t="0" r="17780" b="8255"/>
            <wp:wrapNone/>
            <wp:docPr id="15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图片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1488" behindDoc="1" locked="0" layoutInCell="0" allowOverlap="1">
            <wp:simplePos x="0" y="0"/>
            <wp:positionH relativeFrom="column">
              <wp:posOffset>4780915</wp:posOffset>
            </wp:positionH>
            <wp:positionV relativeFrom="paragraph">
              <wp:posOffset>-19685</wp:posOffset>
            </wp:positionV>
            <wp:extent cx="1270" cy="20320"/>
            <wp:effectExtent l="0" t="0" r="17780" b="8255"/>
            <wp:wrapNone/>
            <wp:docPr id="152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 name="图片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2512" behindDoc="1" locked="0" layoutInCell="0" allowOverlap="1">
            <wp:simplePos x="0" y="0"/>
            <wp:positionH relativeFrom="column">
              <wp:posOffset>5169535</wp:posOffset>
            </wp:positionH>
            <wp:positionV relativeFrom="paragraph">
              <wp:posOffset>-19685</wp:posOffset>
            </wp:positionV>
            <wp:extent cx="1270" cy="20320"/>
            <wp:effectExtent l="0" t="0" r="17780" b="8255"/>
            <wp:wrapNone/>
            <wp:docPr id="152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图片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13536" behindDoc="1" locked="0" layoutInCell="0" allowOverlap="1">
            <wp:simplePos x="0" y="0"/>
            <wp:positionH relativeFrom="column">
              <wp:posOffset>5555615</wp:posOffset>
            </wp:positionH>
            <wp:positionV relativeFrom="paragraph">
              <wp:posOffset>-19685</wp:posOffset>
            </wp:positionV>
            <wp:extent cx="1270" cy="20320"/>
            <wp:effectExtent l="0" t="0" r="17780" b="8255"/>
            <wp:wrapNone/>
            <wp:docPr id="15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 name="图片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kern w:val="0"/>
          <w:sz w:val="24"/>
          <w:szCs w:val="20"/>
        </w:rPr>
        <w:t>（2）风向特征</w:t>
      </w:r>
    </w:p>
    <w:p>
      <w:pPr>
        <w:adjustRightInd w:val="0"/>
        <w:snapToGrid w:val="0"/>
        <w:spacing w:before="120" w:line="520" w:lineRule="exact"/>
        <w:ind w:firstLine="480" w:firstLineChars="200"/>
        <w:textAlignment w:val="baseline"/>
        <w:rPr>
          <w:color w:val="auto"/>
          <w:kern w:val="0"/>
          <w:sz w:val="24"/>
          <w:szCs w:val="20"/>
        </w:rPr>
      </w:pPr>
      <w:r>
        <w:rPr>
          <w:color w:val="auto"/>
          <w:kern w:val="0"/>
          <w:sz w:val="24"/>
          <w:szCs w:val="20"/>
        </w:rPr>
        <w:t>近20年资料分析的风向玫瑰图如图5-1所示，获嘉县气象站主要风向为C和ENE、NE、SW，占51.7％，其中以ENE为主风向，占到全年9.4％左右。</w:t>
      </w:r>
    </w:p>
    <w:p>
      <w:pPr>
        <w:ind w:firstLine="960" w:firstLineChars="400"/>
        <w:jc w:val="center"/>
        <w:rPr>
          <w:rFonts w:eastAsia="黑体"/>
          <w:color w:val="auto"/>
          <w:sz w:val="24"/>
          <w:szCs w:val="24"/>
        </w:rPr>
      </w:pPr>
      <w:r>
        <w:rPr>
          <w:rFonts w:eastAsia="黑体"/>
          <w:color w:val="auto"/>
          <w:sz w:val="24"/>
          <w:szCs w:val="24"/>
        </w:rPr>
        <w:t xml:space="preserve">表5.1-3   </w:t>
      </w:r>
      <w:r>
        <w:rPr>
          <w:rFonts w:hint="eastAsia" w:eastAsia="黑体"/>
          <w:color w:val="auto"/>
          <w:sz w:val="24"/>
          <w:szCs w:val="24"/>
        </w:rPr>
        <w:t xml:space="preserve"> </w:t>
      </w:r>
      <w:r>
        <w:rPr>
          <w:rFonts w:eastAsia="黑体"/>
          <w:color w:val="auto"/>
          <w:sz w:val="24"/>
          <w:szCs w:val="24"/>
        </w:rPr>
        <w:t xml:space="preserve">获嘉县气象站年风向频率统计 </w:t>
      </w:r>
      <w:r>
        <w:rPr>
          <w:rFonts w:hint="eastAsia" w:eastAsia="黑体"/>
          <w:color w:val="auto"/>
          <w:sz w:val="24"/>
          <w:szCs w:val="24"/>
        </w:rPr>
        <w:t xml:space="preserve"> </w:t>
      </w:r>
      <w:r>
        <w:rPr>
          <w:rFonts w:eastAsia="黑体"/>
          <w:color w:val="auto"/>
          <w:sz w:val="24"/>
          <w:szCs w:val="24"/>
        </w:rPr>
        <w:t xml:space="preserve">  单位：%</w:t>
      </w:r>
    </w:p>
    <w:tbl>
      <w:tblPr>
        <w:tblStyle w:val="83"/>
        <w:tblW w:w="4979" w:type="pct"/>
        <w:jc w:val="center"/>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Layout w:type="autofit"/>
        <w:tblCellMar>
          <w:top w:w="0" w:type="dxa"/>
          <w:left w:w="0" w:type="dxa"/>
          <w:bottom w:w="0" w:type="dxa"/>
          <w:right w:w="0" w:type="dxa"/>
        </w:tblCellMar>
      </w:tblPr>
      <w:tblGrid>
        <w:gridCol w:w="469"/>
        <w:gridCol w:w="518"/>
        <w:gridCol w:w="460"/>
        <w:gridCol w:w="414"/>
        <w:gridCol w:w="448"/>
        <w:gridCol w:w="426"/>
        <w:gridCol w:w="427"/>
        <w:gridCol w:w="443"/>
        <w:gridCol w:w="428"/>
        <w:gridCol w:w="428"/>
        <w:gridCol w:w="460"/>
        <w:gridCol w:w="417"/>
        <w:gridCol w:w="556"/>
        <w:gridCol w:w="317"/>
        <w:gridCol w:w="588"/>
        <w:gridCol w:w="378"/>
        <w:gridCol w:w="530"/>
        <w:gridCol w:w="591"/>
      </w:tblGrid>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510" w:hRule="atLeast"/>
          <w:jc w:val="center"/>
        </w:trPr>
        <w:tc>
          <w:tcPr>
            <w:tcW w:w="283" w:type="pct"/>
            <w:tcBorders>
              <w:top w:val="single" w:color="000001" w:sz="8" w:space="0"/>
              <w:left w:val="single" w:color="000001" w:sz="8" w:space="0"/>
              <w:bottom w:val="single" w:color="000001" w:sz="6" w:space="0"/>
              <w:right w:val="single" w:color="000001" w:sz="6" w:space="0"/>
            </w:tcBorders>
            <w:vAlign w:val="center"/>
          </w:tcPr>
          <w:p>
            <w:pPr>
              <w:jc w:val="center"/>
              <w:rPr>
                <w:b/>
                <w:color w:val="auto"/>
                <w:szCs w:val="20"/>
              </w:rPr>
            </w:pPr>
            <w:r>
              <w:rPr>
                <w:color w:val="auto"/>
              </w:rPr>
              <w:drawing>
                <wp:anchor distT="0" distB="0" distL="114300" distR="114300" simplePos="0" relativeHeight="251739136" behindDoc="1" locked="0" layoutInCell="0" allowOverlap="1">
                  <wp:simplePos x="0" y="0"/>
                  <wp:positionH relativeFrom="column">
                    <wp:posOffset>380365</wp:posOffset>
                  </wp:positionH>
                  <wp:positionV relativeFrom="paragraph">
                    <wp:posOffset>95250</wp:posOffset>
                  </wp:positionV>
                  <wp:extent cx="1270" cy="20320"/>
                  <wp:effectExtent l="0" t="0" r="17780" b="8255"/>
                  <wp:wrapNone/>
                  <wp:docPr id="1524" name="图片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 name="图片 618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0160" behindDoc="1" locked="0" layoutInCell="0" allowOverlap="1">
                  <wp:simplePos x="0" y="0"/>
                  <wp:positionH relativeFrom="column">
                    <wp:posOffset>814705</wp:posOffset>
                  </wp:positionH>
                  <wp:positionV relativeFrom="paragraph">
                    <wp:posOffset>95250</wp:posOffset>
                  </wp:positionV>
                  <wp:extent cx="1270" cy="20320"/>
                  <wp:effectExtent l="0" t="0" r="17780" b="8255"/>
                  <wp:wrapNone/>
                  <wp:docPr id="1523" name="图片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图片 618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1184" behindDoc="1" locked="0" layoutInCell="0" allowOverlap="1">
                  <wp:simplePos x="0" y="0"/>
                  <wp:positionH relativeFrom="column">
                    <wp:posOffset>1174115</wp:posOffset>
                  </wp:positionH>
                  <wp:positionV relativeFrom="paragraph">
                    <wp:posOffset>95250</wp:posOffset>
                  </wp:positionV>
                  <wp:extent cx="1270" cy="20320"/>
                  <wp:effectExtent l="0" t="0" r="17780" b="8255"/>
                  <wp:wrapNone/>
                  <wp:docPr id="1522" name="图片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图片 61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2208" behindDoc="1" locked="0" layoutInCell="0" allowOverlap="1">
                  <wp:simplePos x="0" y="0"/>
                  <wp:positionH relativeFrom="column">
                    <wp:posOffset>1533525</wp:posOffset>
                  </wp:positionH>
                  <wp:positionV relativeFrom="paragraph">
                    <wp:posOffset>95250</wp:posOffset>
                  </wp:positionV>
                  <wp:extent cx="1270" cy="20320"/>
                  <wp:effectExtent l="0" t="0" r="17780" b="8255"/>
                  <wp:wrapNone/>
                  <wp:docPr id="1521" name="图片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图片 61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3232" behindDoc="1" locked="0" layoutInCell="0" allowOverlap="1">
                  <wp:simplePos x="0" y="0"/>
                  <wp:positionH relativeFrom="column">
                    <wp:posOffset>1894205</wp:posOffset>
                  </wp:positionH>
                  <wp:positionV relativeFrom="paragraph">
                    <wp:posOffset>95250</wp:posOffset>
                  </wp:positionV>
                  <wp:extent cx="1270" cy="20320"/>
                  <wp:effectExtent l="0" t="0" r="17780" b="8255"/>
                  <wp:wrapNone/>
                  <wp:docPr id="1520" name="图片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图片 61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4256" behindDoc="1" locked="0" layoutInCell="0" allowOverlap="1">
                  <wp:simplePos x="0" y="0"/>
                  <wp:positionH relativeFrom="column">
                    <wp:posOffset>2253615</wp:posOffset>
                  </wp:positionH>
                  <wp:positionV relativeFrom="paragraph">
                    <wp:posOffset>95250</wp:posOffset>
                  </wp:positionV>
                  <wp:extent cx="1270" cy="20320"/>
                  <wp:effectExtent l="0" t="0" r="17780" b="8255"/>
                  <wp:wrapNone/>
                  <wp:docPr id="1519" name="图片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图片 61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5280" behindDoc="1" locked="0" layoutInCell="0" allowOverlap="1">
                  <wp:simplePos x="0" y="0"/>
                  <wp:positionH relativeFrom="column">
                    <wp:posOffset>2613025</wp:posOffset>
                  </wp:positionH>
                  <wp:positionV relativeFrom="paragraph">
                    <wp:posOffset>95250</wp:posOffset>
                  </wp:positionV>
                  <wp:extent cx="1270" cy="20320"/>
                  <wp:effectExtent l="0" t="0" r="17780" b="8255"/>
                  <wp:wrapNone/>
                  <wp:docPr id="1518" name="图片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图片 618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6304" behindDoc="1" locked="0" layoutInCell="0" allowOverlap="1">
                  <wp:simplePos x="0" y="0"/>
                  <wp:positionH relativeFrom="column">
                    <wp:posOffset>2973705</wp:posOffset>
                  </wp:positionH>
                  <wp:positionV relativeFrom="paragraph">
                    <wp:posOffset>95250</wp:posOffset>
                  </wp:positionV>
                  <wp:extent cx="1270" cy="20320"/>
                  <wp:effectExtent l="0" t="0" r="17780" b="8255"/>
                  <wp:wrapNone/>
                  <wp:docPr id="1517" name="图片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图片 61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7328" behindDoc="1" locked="0" layoutInCell="0" allowOverlap="1">
                  <wp:simplePos x="0" y="0"/>
                  <wp:positionH relativeFrom="column">
                    <wp:posOffset>3333115</wp:posOffset>
                  </wp:positionH>
                  <wp:positionV relativeFrom="paragraph">
                    <wp:posOffset>95250</wp:posOffset>
                  </wp:positionV>
                  <wp:extent cx="1270" cy="20320"/>
                  <wp:effectExtent l="0" t="0" r="17780" b="8255"/>
                  <wp:wrapNone/>
                  <wp:docPr id="1516" name="图片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图片 61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8352" behindDoc="1" locked="0" layoutInCell="0" allowOverlap="1">
                  <wp:simplePos x="0" y="0"/>
                  <wp:positionH relativeFrom="column">
                    <wp:posOffset>3692525</wp:posOffset>
                  </wp:positionH>
                  <wp:positionV relativeFrom="paragraph">
                    <wp:posOffset>95250</wp:posOffset>
                  </wp:positionV>
                  <wp:extent cx="1270" cy="20320"/>
                  <wp:effectExtent l="0" t="0" r="17780" b="8255"/>
                  <wp:wrapNone/>
                  <wp:docPr id="1515" name="图片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图片 61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49376" behindDoc="1" locked="0" layoutInCell="0" allowOverlap="1">
                  <wp:simplePos x="0" y="0"/>
                  <wp:positionH relativeFrom="column">
                    <wp:posOffset>4053205</wp:posOffset>
                  </wp:positionH>
                  <wp:positionV relativeFrom="paragraph">
                    <wp:posOffset>95250</wp:posOffset>
                  </wp:positionV>
                  <wp:extent cx="1270" cy="20320"/>
                  <wp:effectExtent l="0" t="0" r="17780" b="8255"/>
                  <wp:wrapNone/>
                  <wp:docPr id="1514" name="图片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图片 619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50400" behindDoc="1" locked="0" layoutInCell="0" allowOverlap="1">
                  <wp:simplePos x="0" y="0"/>
                  <wp:positionH relativeFrom="column">
                    <wp:posOffset>4412615</wp:posOffset>
                  </wp:positionH>
                  <wp:positionV relativeFrom="paragraph">
                    <wp:posOffset>95250</wp:posOffset>
                  </wp:positionV>
                  <wp:extent cx="1270" cy="20320"/>
                  <wp:effectExtent l="0" t="0" r="17780" b="8255"/>
                  <wp:wrapNone/>
                  <wp:docPr id="1513" name="图片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619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51424" behindDoc="1" locked="0" layoutInCell="0" allowOverlap="1">
                  <wp:simplePos x="0" y="0"/>
                  <wp:positionH relativeFrom="column">
                    <wp:posOffset>4862195</wp:posOffset>
                  </wp:positionH>
                  <wp:positionV relativeFrom="paragraph">
                    <wp:posOffset>95250</wp:posOffset>
                  </wp:positionV>
                  <wp:extent cx="1270" cy="20320"/>
                  <wp:effectExtent l="0" t="0" r="17780" b="8255"/>
                  <wp:wrapNone/>
                  <wp:docPr id="1512" name="图片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图片 619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52448" behindDoc="1" locked="0" layoutInCell="0" allowOverlap="1">
                  <wp:simplePos x="0" y="0"/>
                  <wp:positionH relativeFrom="column">
                    <wp:posOffset>5132705</wp:posOffset>
                  </wp:positionH>
                  <wp:positionV relativeFrom="paragraph">
                    <wp:posOffset>95250</wp:posOffset>
                  </wp:positionV>
                  <wp:extent cx="1270" cy="20320"/>
                  <wp:effectExtent l="0" t="0" r="17780" b="8255"/>
                  <wp:wrapNone/>
                  <wp:docPr id="1511" name="图片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61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53472" behindDoc="1" locked="0" layoutInCell="0" allowOverlap="1">
                  <wp:simplePos x="0" y="0"/>
                  <wp:positionH relativeFrom="column">
                    <wp:posOffset>5582285</wp:posOffset>
                  </wp:positionH>
                  <wp:positionV relativeFrom="paragraph">
                    <wp:posOffset>95250</wp:posOffset>
                  </wp:positionV>
                  <wp:extent cx="1270" cy="20320"/>
                  <wp:effectExtent l="0" t="0" r="17780" b="8255"/>
                  <wp:wrapNone/>
                  <wp:docPr id="1510" name="图片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图片 619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54496" behindDoc="1" locked="0" layoutInCell="0" allowOverlap="1">
                  <wp:simplePos x="0" y="0"/>
                  <wp:positionH relativeFrom="column">
                    <wp:posOffset>5851525</wp:posOffset>
                  </wp:positionH>
                  <wp:positionV relativeFrom="paragraph">
                    <wp:posOffset>95250</wp:posOffset>
                  </wp:positionV>
                  <wp:extent cx="1270" cy="20320"/>
                  <wp:effectExtent l="0" t="0" r="17780" b="8255"/>
                  <wp:wrapNone/>
                  <wp:docPr id="1509" name="图片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61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color w:val="auto"/>
              </w:rPr>
              <w:drawing>
                <wp:anchor distT="0" distB="0" distL="114300" distR="114300" simplePos="0" relativeHeight="251755520" behindDoc="1" locked="0" layoutInCell="0" allowOverlap="1">
                  <wp:simplePos x="0" y="0"/>
                  <wp:positionH relativeFrom="column">
                    <wp:posOffset>6302375</wp:posOffset>
                  </wp:positionH>
                  <wp:positionV relativeFrom="paragraph">
                    <wp:posOffset>95250</wp:posOffset>
                  </wp:positionV>
                  <wp:extent cx="1270" cy="20320"/>
                  <wp:effectExtent l="0" t="0" r="17780" b="8255"/>
                  <wp:wrapNone/>
                  <wp:docPr id="1508" name="图片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619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270" cy="20320"/>
                          </a:xfrm>
                          <a:prstGeom prst="rect">
                            <a:avLst/>
                          </a:prstGeom>
                          <a:noFill/>
                          <a:ln>
                            <a:noFill/>
                          </a:ln>
                        </pic:spPr>
                      </pic:pic>
                    </a:graphicData>
                  </a:graphic>
                </wp:anchor>
              </w:drawing>
            </w:r>
            <w:r>
              <w:rPr>
                <w:b/>
                <w:color w:val="auto"/>
                <w:szCs w:val="20"/>
              </w:rPr>
              <w:t>风向</w:t>
            </w:r>
          </w:p>
        </w:tc>
        <w:tc>
          <w:tcPr>
            <w:tcW w:w="313" w:type="pct"/>
            <w:tcBorders>
              <w:top w:val="single" w:color="000001" w:sz="8" w:space="0"/>
              <w:left w:val="single" w:color="000001" w:sz="6" w:space="0"/>
              <w:bottom w:val="single" w:color="000001" w:sz="6" w:space="0"/>
              <w:right w:val="single" w:color="000001" w:sz="6" w:space="0"/>
            </w:tcBorders>
            <w:vAlign w:val="center"/>
          </w:tcPr>
          <w:p>
            <w:pPr>
              <w:jc w:val="center"/>
              <w:rPr>
                <w:b/>
                <w:color w:val="auto"/>
                <w:w w:val="94"/>
                <w:szCs w:val="20"/>
              </w:rPr>
            </w:pPr>
            <w:r>
              <w:rPr>
                <w:b/>
                <w:color w:val="auto"/>
                <w:w w:val="94"/>
                <w:szCs w:val="20"/>
              </w:rPr>
              <w:t>N</w:t>
            </w:r>
          </w:p>
        </w:tc>
        <w:tc>
          <w:tcPr>
            <w:tcW w:w="277"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NNE</w:t>
            </w:r>
          </w:p>
        </w:tc>
        <w:tc>
          <w:tcPr>
            <w:tcW w:w="250" w:type="pct"/>
            <w:tcBorders>
              <w:top w:val="single" w:color="000001" w:sz="8" w:space="0"/>
              <w:left w:val="single" w:color="000001" w:sz="6" w:space="0"/>
              <w:bottom w:val="single" w:color="000001" w:sz="6" w:space="0"/>
              <w:right w:val="single" w:color="000001" w:sz="6" w:space="0"/>
            </w:tcBorders>
            <w:vAlign w:val="center"/>
          </w:tcPr>
          <w:p>
            <w:pPr>
              <w:jc w:val="center"/>
              <w:rPr>
                <w:b/>
                <w:color w:val="auto"/>
                <w:w w:val="95"/>
                <w:szCs w:val="20"/>
              </w:rPr>
            </w:pPr>
            <w:r>
              <w:rPr>
                <w:b/>
                <w:color w:val="auto"/>
                <w:w w:val="95"/>
                <w:szCs w:val="20"/>
              </w:rPr>
              <w:t>NE</w:t>
            </w:r>
          </w:p>
        </w:tc>
        <w:tc>
          <w:tcPr>
            <w:tcW w:w="269"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ENE</w:t>
            </w:r>
          </w:p>
        </w:tc>
        <w:tc>
          <w:tcPr>
            <w:tcW w:w="257" w:type="pct"/>
            <w:tcBorders>
              <w:top w:val="single" w:color="000001" w:sz="8" w:space="0"/>
              <w:left w:val="single" w:color="000001" w:sz="6" w:space="0"/>
              <w:bottom w:val="single" w:color="000001" w:sz="6" w:space="0"/>
              <w:right w:val="single" w:color="000001" w:sz="6" w:space="0"/>
            </w:tcBorders>
            <w:vAlign w:val="center"/>
          </w:tcPr>
          <w:p>
            <w:pPr>
              <w:jc w:val="center"/>
              <w:rPr>
                <w:b/>
                <w:color w:val="auto"/>
                <w:w w:val="94"/>
                <w:szCs w:val="20"/>
              </w:rPr>
            </w:pPr>
            <w:r>
              <w:rPr>
                <w:b/>
                <w:color w:val="auto"/>
                <w:w w:val="94"/>
                <w:szCs w:val="20"/>
              </w:rPr>
              <w:t>E</w:t>
            </w:r>
          </w:p>
        </w:tc>
        <w:tc>
          <w:tcPr>
            <w:tcW w:w="258"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ESE</w:t>
            </w:r>
          </w:p>
        </w:tc>
        <w:tc>
          <w:tcPr>
            <w:tcW w:w="267" w:type="pct"/>
            <w:tcBorders>
              <w:top w:val="single" w:color="000001" w:sz="8" w:space="0"/>
              <w:left w:val="single" w:color="000001" w:sz="6" w:space="0"/>
              <w:bottom w:val="single" w:color="000001" w:sz="6" w:space="0"/>
              <w:right w:val="single" w:color="000001" w:sz="6" w:space="0"/>
            </w:tcBorders>
            <w:vAlign w:val="center"/>
          </w:tcPr>
          <w:p>
            <w:pPr>
              <w:jc w:val="center"/>
              <w:rPr>
                <w:b/>
                <w:color w:val="auto"/>
                <w:w w:val="95"/>
                <w:szCs w:val="20"/>
              </w:rPr>
            </w:pPr>
            <w:r>
              <w:rPr>
                <w:b/>
                <w:color w:val="auto"/>
                <w:w w:val="95"/>
                <w:szCs w:val="20"/>
              </w:rPr>
              <w:t>SE</w:t>
            </w:r>
          </w:p>
        </w:tc>
        <w:tc>
          <w:tcPr>
            <w:tcW w:w="258"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SSE</w:t>
            </w:r>
          </w:p>
        </w:tc>
        <w:tc>
          <w:tcPr>
            <w:tcW w:w="258" w:type="pct"/>
            <w:tcBorders>
              <w:top w:val="single" w:color="000001" w:sz="8" w:space="0"/>
              <w:left w:val="single" w:color="000001" w:sz="6" w:space="0"/>
              <w:bottom w:val="single" w:color="000001" w:sz="6" w:space="0"/>
              <w:right w:val="single" w:color="000001" w:sz="6" w:space="0"/>
            </w:tcBorders>
            <w:vAlign w:val="center"/>
          </w:tcPr>
          <w:p>
            <w:pPr>
              <w:jc w:val="center"/>
              <w:rPr>
                <w:b/>
                <w:color w:val="auto"/>
                <w:w w:val="94"/>
                <w:szCs w:val="20"/>
              </w:rPr>
            </w:pPr>
            <w:r>
              <w:rPr>
                <w:b/>
                <w:color w:val="auto"/>
                <w:w w:val="94"/>
                <w:szCs w:val="20"/>
              </w:rPr>
              <w:t>S</w:t>
            </w:r>
          </w:p>
        </w:tc>
        <w:tc>
          <w:tcPr>
            <w:tcW w:w="277"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SSW</w:t>
            </w:r>
          </w:p>
        </w:tc>
        <w:tc>
          <w:tcPr>
            <w:tcW w:w="251"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SW</w:t>
            </w:r>
          </w:p>
        </w:tc>
        <w:tc>
          <w:tcPr>
            <w:tcW w:w="335"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WSW</w:t>
            </w:r>
          </w:p>
        </w:tc>
        <w:tc>
          <w:tcPr>
            <w:tcW w:w="191" w:type="pct"/>
            <w:tcBorders>
              <w:top w:val="single" w:color="000001" w:sz="8" w:space="0"/>
              <w:left w:val="single" w:color="000001" w:sz="6" w:space="0"/>
              <w:bottom w:val="single" w:color="000001" w:sz="6" w:space="0"/>
              <w:right w:val="single" w:color="000001" w:sz="6" w:space="0"/>
            </w:tcBorders>
            <w:vAlign w:val="center"/>
          </w:tcPr>
          <w:p>
            <w:pPr>
              <w:jc w:val="center"/>
              <w:rPr>
                <w:b/>
                <w:color w:val="auto"/>
                <w:w w:val="94"/>
                <w:szCs w:val="20"/>
              </w:rPr>
            </w:pPr>
            <w:r>
              <w:rPr>
                <w:b/>
                <w:color w:val="auto"/>
                <w:w w:val="94"/>
                <w:szCs w:val="20"/>
              </w:rPr>
              <w:t>W</w:t>
            </w:r>
          </w:p>
        </w:tc>
        <w:tc>
          <w:tcPr>
            <w:tcW w:w="354"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WNW</w:t>
            </w:r>
          </w:p>
        </w:tc>
        <w:tc>
          <w:tcPr>
            <w:tcW w:w="227"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NW</w:t>
            </w:r>
          </w:p>
        </w:tc>
        <w:tc>
          <w:tcPr>
            <w:tcW w:w="319" w:type="pct"/>
            <w:tcBorders>
              <w:top w:val="single" w:color="000001" w:sz="8" w:space="0"/>
              <w:left w:val="single" w:color="000001" w:sz="6" w:space="0"/>
              <w:bottom w:val="single" w:color="000001" w:sz="6" w:space="0"/>
              <w:right w:val="single" w:color="000001" w:sz="6" w:space="0"/>
            </w:tcBorders>
            <w:vAlign w:val="center"/>
          </w:tcPr>
          <w:p>
            <w:pPr>
              <w:jc w:val="center"/>
              <w:rPr>
                <w:b/>
                <w:color w:val="auto"/>
                <w:szCs w:val="20"/>
              </w:rPr>
            </w:pPr>
            <w:r>
              <w:rPr>
                <w:b/>
                <w:color w:val="auto"/>
                <w:szCs w:val="20"/>
              </w:rPr>
              <w:t>NNW</w:t>
            </w:r>
          </w:p>
        </w:tc>
        <w:tc>
          <w:tcPr>
            <w:tcW w:w="356" w:type="pct"/>
            <w:tcBorders>
              <w:top w:val="single" w:color="000001" w:sz="8" w:space="0"/>
              <w:left w:val="single" w:color="000001" w:sz="6" w:space="0"/>
              <w:bottom w:val="single" w:color="000001" w:sz="6" w:space="0"/>
              <w:right w:val="single" w:color="000001" w:sz="8" w:space="0"/>
            </w:tcBorders>
            <w:vAlign w:val="center"/>
          </w:tcPr>
          <w:p>
            <w:pPr>
              <w:jc w:val="center"/>
              <w:rPr>
                <w:b/>
                <w:color w:val="auto"/>
                <w:w w:val="94"/>
                <w:szCs w:val="20"/>
              </w:rPr>
            </w:pPr>
            <w:r>
              <w:rPr>
                <w:b/>
                <w:color w:val="auto"/>
                <w:w w:val="94"/>
                <w:szCs w:val="20"/>
              </w:rPr>
              <w:t>C</w:t>
            </w:r>
          </w:p>
        </w:tc>
      </w:tr>
      <w:tr>
        <w:tblPrEx>
          <w:tblBorders>
            <w:top w:val="single" w:color="000001" w:sz="8" w:space="0"/>
            <w:left w:val="single" w:color="000001" w:sz="8" w:space="0"/>
            <w:bottom w:val="single" w:color="000001" w:sz="8" w:space="0"/>
            <w:right w:val="single" w:color="000001" w:sz="8" w:space="0"/>
            <w:insideH w:val="single" w:color="000001" w:sz="6" w:space="0"/>
            <w:insideV w:val="single" w:color="000001" w:sz="6" w:space="0"/>
          </w:tblBorders>
          <w:tblCellMar>
            <w:top w:w="0" w:type="dxa"/>
            <w:left w:w="0" w:type="dxa"/>
            <w:bottom w:w="0" w:type="dxa"/>
            <w:right w:w="0" w:type="dxa"/>
          </w:tblCellMar>
        </w:tblPrEx>
        <w:trPr>
          <w:trHeight w:val="510" w:hRule="atLeast"/>
          <w:jc w:val="center"/>
        </w:trPr>
        <w:tc>
          <w:tcPr>
            <w:tcW w:w="283" w:type="pct"/>
            <w:tcBorders>
              <w:top w:val="single" w:color="000001" w:sz="6" w:space="0"/>
              <w:left w:val="single" w:color="000001" w:sz="8" w:space="0"/>
              <w:bottom w:val="single" w:color="000001" w:sz="8" w:space="0"/>
              <w:right w:val="single" w:color="000001" w:sz="6" w:space="0"/>
            </w:tcBorders>
            <w:vAlign w:val="center"/>
          </w:tcPr>
          <w:p>
            <w:pPr>
              <w:jc w:val="center"/>
              <w:rPr>
                <w:color w:val="auto"/>
                <w:kern w:val="0"/>
              </w:rPr>
            </w:pPr>
            <w:r>
              <w:rPr>
                <w:color w:val="auto"/>
                <w:kern w:val="0"/>
              </w:rPr>
              <w:t>频率</w:t>
            </w:r>
          </w:p>
        </w:tc>
        <w:tc>
          <w:tcPr>
            <w:tcW w:w="313"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2.5</w:t>
            </w:r>
          </w:p>
        </w:tc>
        <w:tc>
          <w:tcPr>
            <w:tcW w:w="277"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3.9</w:t>
            </w:r>
          </w:p>
        </w:tc>
        <w:tc>
          <w:tcPr>
            <w:tcW w:w="250"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7.7</w:t>
            </w:r>
          </w:p>
        </w:tc>
        <w:tc>
          <w:tcPr>
            <w:tcW w:w="269"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9.4</w:t>
            </w:r>
          </w:p>
        </w:tc>
        <w:tc>
          <w:tcPr>
            <w:tcW w:w="257"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5.9</w:t>
            </w:r>
          </w:p>
        </w:tc>
        <w:tc>
          <w:tcPr>
            <w:tcW w:w="258"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3.5</w:t>
            </w:r>
          </w:p>
        </w:tc>
        <w:tc>
          <w:tcPr>
            <w:tcW w:w="267"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4.4</w:t>
            </w:r>
          </w:p>
        </w:tc>
        <w:tc>
          <w:tcPr>
            <w:tcW w:w="258"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4.3</w:t>
            </w:r>
          </w:p>
        </w:tc>
        <w:tc>
          <w:tcPr>
            <w:tcW w:w="258"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5.3</w:t>
            </w:r>
          </w:p>
        </w:tc>
        <w:tc>
          <w:tcPr>
            <w:tcW w:w="277"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4.6</w:t>
            </w:r>
          </w:p>
        </w:tc>
        <w:tc>
          <w:tcPr>
            <w:tcW w:w="251"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6.4</w:t>
            </w:r>
          </w:p>
        </w:tc>
        <w:tc>
          <w:tcPr>
            <w:tcW w:w="335"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5.3</w:t>
            </w:r>
          </w:p>
        </w:tc>
        <w:tc>
          <w:tcPr>
            <w:tcW w:w="191"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3.6</w:t>
            </w:r>
          </w:p>
        </w:tc>
        <w:tc>
          <w:tcPr>
            <w:tcW w:w="354"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2.0</w:t>
            </w:r>
          </w:p>
        </w:tc>
        <w:tc>
          <w:tcPr>
            <w:tcW w:w="227"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1.5</w:t>
            </w:r>
          </w:p>
        </w:tc>
        <w:tc>
          <w:tcPr>
            <w:tcW w:w="319" w:type="pct"/>
            <w:tcBorders>
              <w:top w:val="single" w:color="000001" w:sz="6" w:space="0"/>
              <w:left w:val="single" w:color="000001" w:sz="6" w:space="0"/>
              <w:bottom w:val="single" w:color="000001" w:sz="8" w:space="0"/>
              <w:right w:val="single" w:color="000001" w:sz="6" w:space="0"/>
            </w:tcBorders>
            <w:vAlign w:val="center"/>
          </w:tcPr>
          <w:p>
            <w:pPr>
              <w:jc w:val="center"/>
              <w:rPr>
                <w:b/>
                <w:color w:val="auto"/>
                <w:szCs w:val="20"/>
              </w:rPr>
            </w:pPr>
            <w:r>
              <w:rPr>
                <w:b/>
                <w:color w:val="auto"/>
                <w:szCs w:val="20"/>
              </w:rPr>
              <w:t>1.4</w:t>
            </w:r>
          </w:p>
        </w:tc>
        <w:tc>
          <w:tcPr>
            <w:tcW w:w="356" w:type="pct"/>
            <w:tcBorders>
              <w:top w:val="single" w:color="000001" w:sz="6" w:space="0"/>
              <w:left w:val="single" w:color="000001" w:sz="6" w:space="0"/>
              <w:bottom w:val="single" w:color="000001" w:sz="8" w:space="0"/>
              <w:right w:val="single" w:color="000001" w:sz="8" w:space="0"/>
            </w:tcBorders>
            <w:vAlign w:val="center"/>
          </w:tcPr>
          <w:p>
            <w:pPr>
              <w:spacing w:before="81" w:line="275" w:lineRule="exact"/>
              <w:ind w:left="86"/>
              <w:rPr>
                <w:b/>
                <w:color w:val="auto"/>
                <w:szCs w:val="20"/>
              </w:rPr>
            </w:pPr>
            <w:r>
              <w:rPr>
                <w:b/>
                <w:color w:val="auto"/>
                <w:szCs w:val="20"/>
              </w:rPr>
              <w:t>28.</w:t>
            </w:r>
            <w:r>
              <w:rPr>
                <w:b/>
                <w:color w:val="auto"/>
              </w:rPr>
              <w:t>2</w:t>
            </w:r>
          </w:p>
        </w:tc>
      </w:tr>
    </w:tbl>
    <w:p>
      <w:pPr>
        <w:jc w:val="center"/>
        <w:rPr>
          <w:color w:val="auto"/>
        </w:rPr>
      </w:pPr>
    </w:p>
    <w:p>
      <w:pPr>
        <w:jc w:val="center"/>
        <w:rPr>
          <w:color w:val="auto"/>
        </w:rPr>
      </w:pPr>
    </w:p>
    <w:p>
      <w:pPr>
        <w:jc w:val="center"/>
        <w:rPr>
          <w:rFonts w:eastAsia="黑体"/>
          <w:color w:val="auto"/>
          <w:sz w:val="24"/>
          <w:szCs w:val="20"/>
        </w:rPr>
      </w:pPr>
      <w:r>
        <w:rPr>
          <w:color w:val="auto"/>
        </w:rPr>
        <w:drawing>
          <wp:inline distT="0" distB="0" distL="0" distR="0">
            <wp:extent cx="2919730" cy="2494915"/>
            <wp:effectExtent l="0" t="0" r="13970" b="635"/>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jpeg"/>
                    <pic:cNvPicPr>
                      <a:picLocks noChangeAspect="1" noChangeArrowheads="1"/>
                    </pic:cNvPicPr>
                  </pic:nvPicPr>
                  <pic:blipFill>
                    <a:blip r:embed="rId80"/>
                    <a:srcRect/>
                    <a:stretch>
                      <a:fillRect/>
                    </a:stretch>
                  </pic:blipFill>
                  <pic:spPr>
                    <a:xfrm>
                      <a:off x="0" y="0"/>
                      <a:ext cx="2919730" cy="2494915"/>
                    </a:xfrm>
                    <a:prstGeom prst="rect">
                      <a:avLst/>
                    </a:prstGeom>
                    <a:noFill/>
                    <a:ln>
                      <a:noFill/>
                    </a:ln>
                  </pic:spPr>
                </pic:pic>
              </a:graphicData>
            </a:graphic>
          </wp:inline>
        </w:drawing>
      </w:r>
    </w:p>
    <w:p>
      <w:pPr>
        <w:ind w:firstLine="960" w:firstLineChars="400"/>
        <w:jc w:val="center"/>
        <w:rPr>
          <w:rFonts w:eastAsia="黑体"/>
          <w:color w:val="auto"/>
          <w:sz w:val="24"/>
          <w:szCs w:val="24"/>
        </w:rPr>
      </w:pPr>
      <w:r>
        <w:rPr>
          <w:rFonts w:eastAsia="黑体"/>
          <w:color w:val="auto"/>
          <w:sz w:val="24"/>
          <w:szCs w:val="24"/>
        </w:rPr>
        <w:drawing>
          <wp:anchor distT="0" distB="0" distL="114300" distR="114300" simplePos="0" relativeHeight="251714560" behindDoc="1" locked="0" layoutInCell="0" allowOverlap="1">
            <wp:simplePos x="0" y="0"/>
            <wp:positionH relativeFrom="column">
              <wp:posOffset>380365</wp:posOffset>
            </wp:positionH>
            <wp:positionV relativeFrom="paragraph">
              <wp:posOffset>-384175</wp:posOffset>
            </wp:positionV>
            <wp:extent cx="1270" cy="10160"/>
            <wp:effectExtent l="0" t="0" r="0" b="0"/>
            <wp:wrapNone/>
            <wp:docPr id="150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15584" behindDoc="1" locked="0" layoutInCell="0" allowOverlap="1">
            <wp:simplePos x="0" y="0"/>
            <wp:positionH relativeFrom="column">
              <wp:posOffset>814705</wp:posOffset>
            </wp:positionH>
            <wp:positionV relativeFrom="paragraph">
              <wp:posOffset>-384175</wp:posOffset>
            </wp:positionV>
            <wp:extent cx="1270" cy="10160"/>
            <wp:effectExtent l="0" t="0" r="0" b="0"/>
            <wp:wrapNone/>
            <wp:docPr id="150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图片 5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16608" behindDoc="1" locked="0" layoutInCell="0" allowOverlap="1">
            <wp:simplePos x="0" y="0"/>
            <wp:positionH relativeFrom="column">
              <wp:posOffset>1174115</wp:posOffset>
            </wp:positionH>
            <wp:positionV relativeFrom="paragraph">
              <wp:posOffset>-384175</wp:posOffset>
            </wp:positionV>
            <wp:extent cx="1270" cy="10160"/>
            <wp:effectExtent l="0" t="0" r="0" b="0"/>
            <wp:wrapNone/>
            <wp:docPr id="150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图片 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17632" behindDoc="1" locked="0" layoutInCell="0" allowOverlap="1">
            <wp:simplePos x="0" y="0"/>
            <wp:positionH relativeFrom="column">
              <wp:posOffset>1533525</wp:posOffset>
            </wp:positionH>
            <wp:positionV relativeFrom="paragraph">
              <wp:posOffset>-384175</wp:posOffset>
            </wp:positionV>
            <wp:extent cx="1270" cy="10160"/>
            <wp:effectExtent l="0" t="0" r="0" b="0"/>
            <wp:wrapNone/>
            <wp:docPr id="150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图片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18656" behindDoc="1" locked="0" layoutInCell="0" allowOverlap="1">
            <wp:simplePos x="0" y="0"/>
            <wp:positionH relativeFrom="column">
              <wp:posOffset>1894205</wp:posOffset>
            </wp:positionH>
            <wp:positionV relativeFrom="paragraph">
              <wp:posOffset>-384175</wp:posOffset>
            </wp:positionV>
            <wp:extent cx="1270" cy="10160"/>
            <wp:effectExtent l="0" t="0" r="0" b="0"/>
            <wp:wrapNone/>
            <wp:docPr id="150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图片 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19680" behindDoc="1" locked="0" layoutInCell="0" allowOverlap="1">
            <wp:simplePos x="0" y="0"/>
            <wp:positionH relativeFrom="column">
              <wp:posOffset>2253615</wp:posOffset>
            </wp:positionH>
            <wp:positionV relativeFrom="paragraph">
              <wp:posOffset>-384175</wp:posOffset>
            </wp:positionV>
            <wp:extent cx="1270" cy="10160"/>
            <wp:effectExtent l="0" t="0" r="0" b="0"/>
            <wp:wrapNone/>
            <wp:docPr id="150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图片 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0704" behindDoc="1" locked="0" layoutInCell="0" allowOverlap="1">
            <wp:simplePos x="0" y="0"/>
            <wp:positionH relativeFrom="column">
              <wp:posOffset>2613025</wp:posOffset>
            </wp:positionH>
            <wp:positionV relativeFrom="paragraph">
              <wp:posOffset>-384175</wp:posOffset>
            </wp:positionV>
            <wp:extent cx="1270" cy="10160"/>
            <wp:effectExtent l="0" t="0" r="0" b="0"/>
            <wp:wrapNone/>
            <wp:docPr id="150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图片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1728" behindDoc="1" locked="0" layoutInCell="0" allowOverlap="1">
            <wp:simplePos x="0" y="0"/>
            <wp:positionH relativeFrom="column">
              <wp:posOffset>2973705</wp:posOffset>
            </wp:positionH>
            <wp:positionV relativeFrom="paragraph">
              <wp:posOffset>-384175</wp:posOffset>
            </wp:positionV>
            <wp:extent cx="1270" cy="10160"/>
            <wp:effectExtent l="0" t="0" r="0" b="0"/>
            <wp:wrapNone/>
            <wp:docPr id="149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图片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2752" behindDoc="1" locked="0" layoutInCell="0" allowOverlap="1">
            <wp:simplePos x="0" y="0"/>
            <wp:positionH relativeFrom="column">
              <wp:posOffset>3333115</wp:posOffset>
            </wp:positionH>
            <wp:positionV relativeFrom="paragraph">
              <wp:posOffset>-384175</wp:posOffset>
            </wp:positionV>
            <wp:extent cx="1270" cy="10160"/>
            <wp:effectExtent l="0" t="0" r="0" b="0"/>
            <wp:wrapNone/>
            <wp:docPr id="149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图片 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3776" behindDoc="1" locked="0" layoutInCell="0" allowOverlap="1">
            <wp:simplePos x="0" y="0"/>
            <wp:positionH relativeFrom="column">
              <wp:posOffset>3692525</wp:posOffset>
            </wp:positionH>
            <wp:positionV relativeFrom="paragraph">
              <wp:posOffset>-384175</wp:posOffset>
            </wp:positionV>
            <wp:extent cx="1270" cy="10160"/>
            <wp:effectExtent l="0" t="0" r="0" b="0"/>
            <wp:wrapNone/>
            <wp:docPr id="149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6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4800" behindDoc="1" locked="0" layoutInCell="0" allowOverlap="1">
            <wp:simplePos x="0" y="0"/>
            <wp:positionH relativeFrom="column">
              <wp:posOffset>4053205</wp:posOffset>
            </wp:positionH>
            <wp:positionV relativeFrom="paragraph">
              <wp:posOffset>-384175</wp:posOffset>
            </wp:positionV>
            <wp:extent cx="1270" cy="10160"/>
            <wp:effectExtent l="0" t="0" r="0" b="0"/>
            <wp:wrapNone/>
            <wp:docPr id="149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图片 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5824" behindDoc="1" locked="0" layoutInCell="0" allowOverlap="1">
            <wp:simplePos x="0" y="0"/>
            <wp:positionH relativeFrom="column">
              <wp:posOffset>4412615</wp:posOffset>
            </wp:positionH>
            <wp:positionV relativeFrom="paragraph">
              <wp:posOffset>-384175</wp:posOffset>
            </wp:positionV>
            <wp:extent cx="1270" cy="10160"/>
            <wp:effectExtent l="0" t="0" r="0" b="0"/>
            <wp:wrapNone/>
            <wp:docPr id="149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图片 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6848" behindDoc="1" locked="0" layoutInCell="0" allowOverlap="1">
            <wp:simplePos x="0" y="0"/>
            <wp:positionH relativeFrom="column">
              <wp:posOffset>4862195</wp:posOffset>
            </wp:positionH>
            <wp:positionV relativeFrom="paragraph">
              <wp:posOffset>-384175</wp:posOffset>
            </wp:positionV>
            <wp:extent cx="1270" cy="10160"/>
            <wp:effectExtent l="0" t="0" r="0" b="0"/>
            <wp:wrapNone/>
            <wp:docPr id="149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7872" behindDoc="1" locked="0" layoutInCell="0" allowOverlap="1">
            <wp:simplePos x="0" y="0"/>
            <wp:positionH relativeFrom="column">
              <wp:posOffset>5132705</wp:posOffset>
            </wp:positionH>
            <wp:positionV relativeFrom="paragraph">
              <wp:posOffset>-384175</wp:posOffset>
            </wp:positionV>
            <wp:extent cx="1270" cy="10160"/>
            <wp:effectExtent l="0" t="0" r="0" b="0"/>
            <wp:wrapNone/>
            <wp:docPr id="149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图片 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8896" behindDoc="1" locked="0" layoutInCell="0" allowOverlap="1">
            <wp:simplePos x="0" y="0"/>
            <wp:positionH relativeFrom="column">
              <wp:posOffset>5582285</wp:posOffset>
            </wp:positionH>
            <wp:positionV relativeFrom="paragraph">
              <wp:posOffset>-384175</wp:posOffset>
            </wp:positionV>
            <wp:extent cx="1270" cy="10160"/>
            <wp:effectExtent l="0" t="0" r="0" b="0"/>
            <wp:wrapNone/>
            <wp:docPr id="149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图片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29920" behindDoc="1" locked="0" layoutInCell="0" allowOverlap="1">
            <wp:simplePos x="0" y="0"/>
            <wp:positionH relativeFrom="column">
              <wp:posOffset>5851525</wp:posOffset>
            </wp:positionH>
            <wp:positionV relativeFrom="paragraph">
              <wp:posOffset>-384175</wp:posOffset>
            </wp:positionV>
            <wp:extent cx="1270" cy="10160"/>
            <wp:effectExtent l="0" t="0" r="0" b="0"/>
            <wp:wrapNone/>
            <wp:docPr id="149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图片 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drawing>
          <wp:anchor distT="0" distB="0" distL="114300" distR="114300" simplePos="0" relativeHeight="251730944" behindDoc="1" locked="0" layoutInCell="0" allowOverlap="1">
            <wp:simplePos x="0" y="0"/>
            <wp:positionH relativeFrom="column">
              <wp:posOffset>6302375</wp:posOffset>
            </wp:positionH>
            <wp:positionV relativeFrom="paragraph">
              <wp:posOffset>-384175</wp:posOffset>
            </wp:positionV>
            <wp:extent cx="1270" cy="10160"/>
            <wp:effectExtent l="0" t="0" r="0" b="0"/>
            <wp:wrapNone/>
            <wp:docPr id="1490"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图片 7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1270" cy="10160"/>
                    </a:xfrm>
                    <a:prstGeom prst="rect">
                      <a:avLst/>
                    </a:prstGeom>
                    <a:noFill/>
                    <a:ln>
                      <a:noFill/>
                    </a:ln>
                  </pic:spPr>
                </pic:pic>
              </a:graphicData>
            </a:graphic>
          </wp:anchor>
        </w:drawing>
      </w:r>
      <w:r>
        <w:rPr>
          <w:rFonts w:eastAsia="黑体"/>
          <w:color w:val="auto"/>
          <w:sz w:val="24"/>
          <w:szCs w:val="24"/>
        </w:rPr>
        <w:t>图5.1-1获嘉县风向玫瑰图（静风频率28.2%）</w:t>
      </w:r>
    </w:p>
    <w:p>
      <w:pPr>
        <w:adjustRightInd w:val="0"/>
        <w:snapToGrid w:val="0"/>
        <w:spacing w:line="520" w:lineRule="exact"/>
        <w:ind w:firstLine="480" w:firstLineChars="200"/>
        <w:rPr>
          <w:color w:val="auto"/>
          <w:kern w:val="0"/>
          <w:sz w:val="24"/>
          <w:szCs w:val="20"/>
        </w:rPr>
      </w:pPr>
      <w:r>
        <w:rPr>
          <w:color w:val="auto"/>
          <w:kern w:val="0"/>
          <w:sz w:val="24"/>
          <w:szCs w:val="20"/>
        </w:rPr>
        <w:t>各月风向频率如下：</w:t>
      </w:r>
    </w:p>
    <w:p>
      <w:pPr>
        <w:ind w:firstLine="960" w:firstLineChars="400"/>
        <w:jc w:val="center"/>
        <w:rPr>
          <w:rFonts w:eastAsia="黑体"/>
          <w:color w:val="auto"/>
          <w:sz w:val="24"/>
          <w:szCs w:val="24"/>
        </w:rPr>
      </w:pPr>
      <w:r>
        <w:rPr>
          <w:rFonts w:eastAsia="黑体"/>
          <w:color w:val="auto"/>
          <w:sz w:val="24"/>
          <w:szCs w:val="24"/>
        </w:rPr>
        <w:t>表5.1-4</w:t>
      </w:r>
      <w:r>
        <w:rPr>
          <w:rFonts w:hint="eastAsia" w:eastAsia="黑体"/>
          <w:color w:val="auto"/>
          <w:sz w:val="24"/>
          <w:szCs w:val="24"/>
        </w:rPr>
        <w:t xml:space="preserve">   </w:t>
      </w:r>
      <w:r>
        <w:rPr>
          <w:rFonts w:eastAsia="黑体"/>
          <w:color w:val="auto"/>
          <w:sz w:val="24"/>
          <w:szCs w:val="24"/>
        </w:rPr>
        <w:t>获嘉县气象站（2001-2020）各月风向频率</w:t>
      </w:r>
      <w:r>
        <w:rPr>
          <w:rFonts w:hint="eastAsia" w:eastAsia="黑体"/>
          <w:color w:val="auto"/>
          <w:sz w:val="24"/>
          <w:szCs w:val="24"/>
        </w:rPr>
        <w:t xml:space="preserve">   </w:t>
      </w:r>
      <w:r>
        <w:rPr>
          <w:rFonts w:eastAsia="黑体"/>
          <w:color w:val="auto"/>
          <w:sz w:val="24"/>
          <w:szCs w:val="24"/>
        </w:rPr>
        <w:t>单位</w:t>
      </w:r>
      <w:r>
        <w:rPr>
          <w:rFonts w:hint="eastAsia" w:eastAsia="黑体"/>
          <w:color w:val="auto"/>
          <w:sz w:val="24"/>
          <w:szCs w:val="24"/>
          <w:lang w:eastAsia="zh-CN"/>
        </w:rPr>
        <w:t>：</w:t>
      </w:r>
      <w:r>
        <w:rPr>
          <w:rFonts w:eastAsia="黑体"/>
          <w:color w:val="auto"/>
          <w:sz w:val="24"/>
          <w:szCs w:val="24"/>
        </w:rPr>
        <w:t>%</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498"/>
        <w:gridCol w:w="313"/>
        <w:gridCol w:w="508"/>
        <w:gridCol w:w="435"/>
        <w:gridCol w:w="480"/>
        <w:gridCol w:w="435"/>
        <w:gridCol w:w="442"/>
        <w:gridCol w:w="313"/>
        <w:gridCol w:w="428"/>
        <w:gridCol w:w="425"/>
        <w:gridCol w:w="508"/>
        <w:gridCol w:w="425"/>
        <w:gridCol w:w="603"/>
        <w:gridCol w:w="345"/>
        <w:gridCol w:w="645"/>
        <w:gridCol w:w="445"/>
        <w:gridCol w:w="592"/>
        <w:gridCol w:w="49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b/>
                <w:color w:val="auto"/>
                <w:szCs w:val="20"/>
              </w:rPr>
            </w:pPr>
            <w:r>
              <w:rPr>
                <w:b/>
                <w:color w:val="auto"/>
                <w:szCs w:val="20"/>
              </w:rPr>
              <w:t>月份</w:t>
            </w:r>
          </w:p>
        </w:tc>
        <w:tc>
          <w:tcPr>
            <w:tcW w:w="188" w:type="pct"/>
            <w:tcMar>
              <w:top w:w="0" w:type="dxa"/>
              <w:left w:w="0" w:type="dxa"/>
              <w:bottom w:w="0" w:type="dxa"/>
              <w:right w:w="0" w:type="dxa"/>
            </w:tcMar>
            <w:vAlign w:val="center"/>
          </w:tcPr>
          <w:p>
            <w:pPr>
              <w:jc w:val="center"/>
              <w:rPr>
                <w:b/>
                <w:color w:val="auto"/>
                <w:szCs w:val="20"/>
              </w:rPr>
            </w:pPr>
            <w:r>
              <w:rPr>
                <w:b/>
                <w:color w:val="auto"/>
                <w:szCs w:val="20"/>
              </w:rPr>
              <w:t>N</w:t>
            </w:r>
          </w:p>
        </w:tc>
        <w:tc>
          <w:tcPr>
            <w:tcW w:w="305" w:type="pct"/>
            <w:tcMar>
              <w:top w:w="0" w:type="dxa"/>
              <w:left w:w="0" w:type="dxa"/>
              <w:bottom w:w="0" w:type="dxa"/>
              <w:right w:w="0" w:type="dxa"/>
            </w:tcMar>
            <w:vAlign w:val="center"/>
          </w:tcPr>
          <w:p>
            <w:pPr>
              <w:jc w:val="center"/>
              <w:rPr>
                <w:b/>
                <w:color w:val="auto"/>
                <w:szCs w:val="20"/>
              </w:rPr>
            </w:pPr>
            <w:r>
              <w:rPr>
                <w:b/>
                <w:color w:val="auto"/>
                <w:szCs w:val="20"/>
              </w:rPr>
              <w:t>NNE</w:t>
            </w:r>
          </w:p>
        </w:tc>
        <w:tc>
          <w:tcPr>
            <w:tcW w:w="261" w:type="pct"/>
            <w:tcMar>
              <w:top w:w="0" w:type="dxa"/>
              <w:left w:w="0" w:type="dxa"/>
              <w:bottom w:w="0" w:type="dxa"/>
              <w:right w:w="0" w:type="dxa"/>
            </w:tcMar>
            <w:vAlign w:val="center"/>
          </w:tcPr>
          <w:p>
            <w:pPr>
              <w:jc w:val="center"/>
              <w:rPr>
                <w:b/>
                <w:color w:val="auto"/>
                <w:szCs w:val="20"/>
              </w:rPr>
            </w:pPr>
            <w:r>
              <w:rPr>
                <w:b/>
                <w:color w:val="auto"/>
                <w:szCs w:val="20"/>
              </w:rPr>
              <w:t>NE</w:t>
            </w:r>
          </w:p>
        </w:tc>
        <w:tc>
          <w:tcPr>
            <w:tcW w:w="288" w:type="pct"/>
            <w:tcMar>
              <w:top w:w="0" w:type="dxa"/>
              <w:left w:w="0" w:type="dxa"/>
              <w:bottom w:w="0" w:type="dxa"/>
              <w:right w:w="0" w:type="dxa"/>
            </w:tcMar>
            <w:vAlign w:val="center"/>
          </w:tcPr>
          <w:p>
            <w:pPr>
              <w:jc w:val="center"/>
              <w:rPr>
                <w:b/>
                <w:color w:val="auto"/>
                <w:szCs w:val="20"/>
              </w:rPr>
            </w:pPr>
            <w:r>
              <w:rPr>
                <w:b/>
                <w:color w:val="auto"/>
                <w:szCs w:val="20"/>
              </w:rPr>
              <w:t>ENE</w:t>
            </w:r>
          </w:p>
        </w:tc>
        <w:tc>
          <w:tcPr>
            <w:tcW w:w="261" w:type="pct"/>
            <w:tcMar>
              <w:top w:w="0" w:type="dxa"/>
              <w:left w:w="0" w:type="dxa"/>
              <w:bottom w:w="0" w:type="dxa"/>
              <w:right w:w="0" w:type="dxa"/>
            </w:tcMar>
            <w:vAlign w:val="center"/>
          </w:tcPr>
          <w:p>
            <w:pPr>
              <w:jc w:val="center"/>
              <w:rPr>
                <w:b/>
                <w:color w:val="auto"/>
                <w:szCs w:val="20"/>
              </w:rPr>
            </w:pPr>
            <w:r>
              <w:rPr>
                <w:b/>
                <w:color w:val="auto"/>
                <w:szCs w:val="20"/>
              </w:rPr>
              <w:t>E</w:t>
            </w:r>
          </w:p>
        </w:tc>
        <w:tc>
          <w:tcPr>
            <w:tcW w:w="265" w:type="pct"/>
            <w:tcMar>
              <w:top w:w="0" w:type="dxa"/>
              <w:left w:w="0" w:type="dxa"/>
              <w:bottom w:w="0" w:type="dxa"/>
              <w:right w:w="0" w:type="dxa"/>
            </w:tcMar>
            <w:vAlign w:val="center"/>
          </w:tcPr>
          <w:p>
            <w:pPr>
              <w:jc w:val="center"/>
              <w:rPr>
                <w:b/>
                <w:color w:val="auto"/>
                <w:szCs w:val="20"/>
              </w:rPr>
            </w:pPr>
            <w:r>
              <w:rPr>
                <w:b/>
                <w:color w:val="auto"/>
                <w:szCs w:val="20"/>
              </w:rPr>
              <w:t>ESE</w:t>
            </w:r>
          </w:p>
        </w:tc>
        <w:tc>
          <w:tcPr>
            <w:tcW w:w="188" w:type="pct"/>
            <w:tcMar>
              <w:top w:w="0" w:type="dxa"/>
              <w:left w:w="0" w:type="dxa"/>
              <w:bottom w:w="0" w:type="dxa"/>
              <w:right w:w="0" w:type="dxa"/>
            </w:tcMar>
            <w:vAlign w:val="center"/>
          </w:tcPr>
          <w:p>
            <w:pPr>
              <w:jc w:val="center"/>
              <w:rPr>
                <w:b/>
                <w:color w:val="auto"/>
                <w:szCs w:val="20"/>
              </w:rPr>
            </w:pPr>
            <w:r>
              <w:rPr>
                <w:b/>
                <w:color w:val="auto"/>
                <w:szCs w:val="20"/>
              </w:rPr>
              <w:t>SE</w:t>
            </w:r>
          </w:p>
        </w:tc>
        <w:tc>
          <w:tcPr>
            <w:tcW w:w="257" w:type="pct"/>
            <w:tcMar>
              <w:top w:w="0" w:type="dxa"/>
              <w:left w:w="0" w:type="dxa"/>
              <w:bottom w:w="0" w:type="dxa"/>
              <w:right w:w="0" w:type="dxa"/>
            </w:tcMar>
            <w:vAlign w:val="center"/>
          </w:tcPr>
          <w:p>
            <w:pPr>
              <w:jc w:val="center"/>
              <w:rPr>
                <w:b/>
                <w:color w:val="auto"/>
                <w:szCs w:val="20"/>
              </w:rPr>
            </w:pPr>
            <w:r>
              <w:rPr>
                <w:b/>
                <w:color w:val="auto"/>
                <w:szCs w:val="20"/>
              </w:rPr>
              <w:t>SSE</w:t>
            </w:r>
          </w:p>
        </w:tc>
        <w:tc>
          <w:tcPr>
            <w:tcW w:w="255" w:type="pct"/>
            <w:tcMar>
              <w:top w:w="0" w:type="dxa"/>
              <w:left w:w="0" w:type="dxa"/>
              <w:bottom w:w="0" w:type="dxa"/>
              <w:right w:w="0" w:type="dxa"/>
            </w:tcMar>
            <w:vAlign w:val="center"/>
          </w:tcPr>
          <w:p>
            <w:pPr>
              <w:jc w:val="center"/>
              <w:rPr>
                <w:b/>
                <w:color w:val="auto"/>
                <w:szCs w:val="20"/>
              </w:rPr>
            </w:pPr>
            <w:r>
              <w:rPr>
                <w:b/>
                <w:color w:val="auto"/>
                <w:szCs w:val="20"/>
              </w:rPr>
              <w:t>S</w:t>
            </w:r>
          </w:p>
        </w:tc>
        <w:tc>
          <w:tcPr>
            <w:tcW w:w="305" w:type="pct"/>
            <w:tcMar>
              <w:top w:w="0" w:type="dxa"/>
              <w:left w:w="0" w:type="dxa"/>
              <w:bottom w:w="0" w:type="dxa"/>
              <w:right w:w="0" w:type="dxa"/>
            </w:tcMar>
            <w:vAlign w:val="center"/>
          </w:tcPr>
          <w:p>
            <w:pPr>
              <w:jc w:val="center"/>
              <w:rPr>
                <w:b/>
                <w:color w:val="auto"/>
                <w:szCs w:val="20"/>
              </w:rPr>
            </w:pPr>
            <w:r>
              <w:rPr>
                <w:b/>
                <w:color w:val="auto"/>
                <w:szCs w:val="20"/>
              </w:rPr>
              <w:t>SSW</w:t>
            </w:r>
          </w:p>
        </w:tc>
        <w:tc>
          <w:tcPr>
            <w:tcW w:w="255" w:type="pct"/>
            <w:tcMar>
              <w:top w:w="0" w:type="dxa"/>
              <w:left w:w="0" w:type="dxa"/>
              <w:bottom w:w="0" w:type="dxa"/>
              <w:right w:w="0" w:type="dxa"/>
            </w:tcMar>
            <w:vAlign w:val="center"/>
          </w:tcPr>
          <w:p>
            <w:pPr>
              <w:jc w:val="center"/>
              <w:rPr>
                <w:b/>
                <w:color w:val="auto"/>
                <w:szCs w:val="20"/>
              </w:rPr>
            </w:pPr>
            <w:r>
              <w:rPr>
                <w:b/>
                <w:color w:val="auto"/>
                <w:szCs w:val="20"/>
              </w:rPr>
              <w:t>SW</w:t>
            </w:r>
          </w:p>
        </w:tc>
        <w:tc>
          <w:tcPr>
            <w:tcW w:w="362" w:type="pct"/>
            <w:tcMar>
              <w:top w:w="0" w:type="dxa"/>
              <w:left w:w="0" w:type="dxa"/>
              <w:bottom w:w="0" w:type="dxa"/>
              <w:right w:w="0" w:type="dxa"/>
            </w:tcMar>
            <w:vAlign w:val="center"/>
          </w:tcPr>
          <w:p>
            <w:pPr>
              <w:jc w:val="center"/>
              <w:rPr>
                <w:b/>
                <w:color w:val="auto"/>
                <w:szCs w:val="20"/>
              </w:rPr>
            </w:pPr>
            <w:r>
              <w:rPr>
                <w:b/>
                <w:color w:val="auto"/>
                <w:szCs w:val="20"/>
              </w:rPr>
              <w:t>WSW</w:t>
            </w:r>
          </w:p>
        </w:tc>
        <w:tc>
          <w:tcPr>
            <w:tcW w:w="207" w:type="pct"/>
            <w:tcMar>
              <w:top w:w="0" w:type="dxa"/>
              <w:left w:w="0" w:type="dxa"/>
              <w:bottom w:w="0" w:type="dxa"/>
              <w:right w:w="0" w:type="dxa"/>
            </w:tcMar>
            <w:vAlign w:val="center"/>
          </w:tcPr>
          <w:p>
            <w:pPr>
              <w:jc w:val="center"/>
              <w:rPr>
                <w:b/>
                <w:color w:val="auto"/>
                <w:szCs w:val="20"/>
              </w:rPr>
            </w:pPr>
            <w:r>
              <w:rPr>
                <w:b/>
                <w:color w:val="auto"/>
                <w:szCs w:val="20"/>
              </w:rPr>
              <w:t>W</w:t>
            </w:r>
          </w:p>
        </w:tc>
        <w:tc>
          <w:tcPr>
            <w:tcW w:w="387" w:type="pct"/>
            <w:tcMar>
              <w:top w:w="0" w:type="dxa"/>
              <w:left w:w="0" w:type="dxa"/>
              <w:bottom w:w="0" w:type="dxa"/>
              <w:right w:w="0" w:type="dxa"/>
            </w:tcMar>
            <w:vAlign w:val="center"/>
          </w:tcPr>
          <w:p>
            <w:pPr>
              <w:jc w:val="center"/>
              <w:rPr>
                <w:b/>
                <w:color w:val="auto"/>
                <w:szCs w:val="20"/>
              </w:rPr>
            </w:pPr>
            <w:r>
              <w:rPr>
                <w:b/>
                <w:color w:val="auto"/>
                <w:szCs w:val="20"/>
              </w:rPr>
              <w:t>WNW</w:t>
            </w:r>
          </w:p>
        </w:tc>
        <w:tc>
          <w:tcPr>
            <w:tcW w:w="267" w:type="pct"/>
            <w:tcMar>
              <w:top w:w="0" w:type="dxa"/>
              <w:left w:w="0" w:type="dxa"/>
              <w:bottom w:w="0" w:type="dxa"/>
              <w:right w:w="0" w:type="dxa"/>
            </w:tcMar>
            <w:vAlign w:val="center"/>
          </w:tcPr>
          <w:p>
            <w:pPr>
              <w:jc w:val="center"/>
              <w:rPr>
                <w:b/>
                <w:color w:val="auto"/>
                <w:szCs w:val="20"/>
              </w:rPr>
            </w:pPr>
            <w:r>
              <w:rPr>
                <w:b/>
                <w:color w:val="auto"/>
                <w:szCs w:val="20"/>
              </w:rPr>
              <w:t>NW</w:t>
            </w:r>
          </w:p>
        </w:tc>
        <w:tc>
          <w:tcPr>
            <w:tcW w:w="355" w:type="pct"/>
            <w:tcMar>
              <w:top w:w="0" w:type="dxa"/>
              <w:left w:w="0" w:type="dxa"/>
              <w:bottom w:w="0" w:type="dxa"/>
              <w:right w:w="0" w:type="dxa"/>
            </w:tcMar>
            <w:vAlign w:val="center"/>
          </w:tcPr>
          <w:p>
            <w:pPr>
              <w:jc w:val="center"/>
              <w:rPr>
                <w:b/>
                <w:color w:val="auto"/>
                <w:szCs w:val="20"/>
              </w:rPr>
            </w:pPr>
            <w:r>
              <w:rPr>
                <w:b/>
                <w:color w:val="auto"/>
                <w:szCs w:val="20"/>
              </w:rPr>
              <w:t>NNW</w:t>
            </w:r>
          </w:p>
        </w:tc>
        <w:tc>
          <w:tcPr>
            <w:tcW w:w="295" w:type="pct"/>
            <w:tcMar>
              <w:top w:w="0" w:type="dxa"/>
              <w:left w:w="0" w:type="dxa"/>
              <w:bottom w:w="0" w:type="dxa"/>
              <w:right w:w="0" w:type="dxa"/>
            </w:tcMar>
            <w:vAlign w:val="center"/>
          </w:tcPr>
          <w:p>
            <w:pPr>
              <w:jc w:val="center"/>
              <w:rPr>
                <w:b/>
                <w:color w:val="auto"/>
                <w:szCs w:val="20"/>
              </w:rPr>
            </w:pPr>
            <w:r>
              <w:rPr>
                <w:b/>
                <w:color w:val="auto"/>
                <w:szCs w:val="20"/>
              </w:rPr>
              <w:t>静风</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1</w:t>
            </w:r>
          </w:p>
        </w:tc>
        <w:tc>
          <w:tcPr>
            <w:tcW w:w="188" w:type="pct"/>
            <w:tcMar>
              <w:top w:w="0" w:type="dxa"/>
              <w:left w:w="0" w:type="dxa"/>
              <w:bottom w:w="0" w:type="dxa"/>
              <w:right w:w="0" w:type="dxa"/>
            </w:tcMar>
            <w:vAlign w:val="center"/>
          </w:tcPr>
          <w:p>
            <w:pPr>
              <w:jc w:val="center"/>
              <w:rPr>
                <w:color w:val="auto"/>
                <w:kern w:val="0"/>
              </w:rPr>
            </w:pPr>
            <w:r>
              <w:rPr>
                <w:color w:val="auto"/>
                <w:kern w:val="0"/>
              </w:rPr>
              <w:t>2.6</w:t>
            </w:r>
          </w:p>
        </w:tc>
        <w:tc>
          <w:tcPr>
            <w:tcW w:w="305" w:type="pct"/>
            <w:tcMar>
              <w:top w:w="0" w:type="dxa"/>
              <w:left w:w="0" w:type="dxa"/>
              <w:bottom w:w="0" w:type="dxa"/>
              <w:right w:w="0" w:type="dxa"/>
            </w:tcMar>
            <w:vAlign w:val="center"/>
          </w:tcPr>
          <w:p>
            <w:pPr>
              <w:jc w:val="center"/>
              <w:rPr>
                <w:color w:val="auto"/>
                <w:kern w:val="0"/>
              </w:rPr>
            </w:pPr>
            <w:r>
              <w:rPr>
                <w:color w:val="auto"/>
                <w:kern w:val="0"/>
              </w:rPr>
              <w:t>4.5</w:t>
            </w:r>
          </w:p>
        </w:tc>
        <w:tc>
          <w:tcPr>
            <w:tcW w:w="261" w:type="pct"/>
            <w:tcMar>
              <w:top w:w="0" w:type="dxa"/>
              <w:left w:w="0" w:type="dxa"/>
              <w:bottom w:w="0" w:type="dxa"/>
              <w:right w:w="0" w:type="dxa"/>
            </w:tcMar>
            <w:vAlign w:val="center"/>
          </w:tcPr>
          <w:p>
            <w:pPr>
              <w:jc w:val="center"/>
              <w:rPr>
                <w:color w:val="auto"/>
                <w:kern w:val="0"/>
              </w:rPr>
            </w:pPr>
            <w:r>
              <w:rPr>
                <w:color w:val="auto"/>
                <w:kern w:val="0"/>
              </w:rPr>
              <w:t>6.4</w:t>
            </w:r>
          </w:p>
        </w:tc>
        <w:tc>
          <w:tcPr>
            <w:tcW w:w="288" w:type="pct"/>
            <w:tcMar>
              <w:top w:w="0" w:type="dxa"/>
              <w:left w:w="0" w:type="dxa"/>
              <w:bottom w:w="0" w:type="dxa"/>
              <w:right w:w="0" w:type="dxa"/>
            </w:tcMar>
            <w:vAlign w:val="center"/>
          </w:tcPr>
          <w:p>
            <w:pPr>
              <w:jc w:val="center"/>
              <w:rPr>
                <w:color w:val="auto"/>
                <w:kern w:val="0"/>
              </w:rPr>
            </w:pPr>
            <w:r>
              <w:rPr>
                <w:color w:val="auto"/>
                <w:kern w:val="0"/>
              </w:rPr>
              <w:t>9.0</w:t>
            </w:r>
          </w:p>
        </w:tc>
        <w:tc>
          <w:tcPr>
            <w:tcW w:w="261" w:type="pct"/>
            <w:tcMar>
              <w:top w:w="0" w:type="dxa"/>
              <w:left w:w="0" w:type="dxa"/>
              <w:bottom w:w="0" w:type="dxa"/>
              <w:right w:w="0" w:type="dxa"/>
            </w:tcMar>
            <w:vAlign w:val="center"/>
          </w:tcPr>
          <w:p>
            <w:pPr>
              <w:jc w:val="center"/>
              <w:rPr>
                <w:color w:val="auto"/>
                <w:kern w:val="0"/>
              </w:rPr>
            </w:pPr>
            <w:r>
              <w:rPr>
                <w:color w:val="auto"/>
                <w:kern w:val="0"/>
              </w:rPr>
              <w:t>6.8</w:t>
            </w:r>
          </w:p>
        </w:tc>
        <w:tc>
          <w:tcPr>
            <w:tcW w:w="265" w:type="pct"/>
            <w:tcMar>
              <w:top w:w="0" w:type="dxa"/>
              <w:left w:w="0" w:type="dxa"/>
              <w:bottom w:w="0" w:type="dxa"/>
              <w:right w:w="0" w:type="dxa"/>
            </w:tcMar>
            <w:vAlign w:val="center"/>
          </w:tcPr>
          <w:p>
            <w:pPr>
              <w:jc w:val="center"/>
              <w:rPr>
                <w:color w:val="auto"/>
                <w:kern w:val="0"/>
              </w:rPr>
            </w:pPr>
            <w:r>
              <w:rPr>
                <w:color w:val="auto"/>
                <w:kern w:val="0"/>
              </w:rPr>
              <w:t>3.5</w:t>
            </w:r>
          </w:p>
        </w:tc>
        <w:tc>
          <w:tcPr>
            <w:tcW w:w="188" w:type="pct"/>
            <w:tcMar>
              <w:top w:w="0" w:type="dxa"/>
              <w:left w:w="0" w:type="dxa"/>
              <w:bottom w:w="0" w:type="dxa"/>
              <w:right w:w="0" w:type="dxa"/>
            </w:tcMar>
            <w:vAlign w:val="center"/>
          </w:tcPr>
          <w:p>
            <w:pPr>
              <w:jc w:val="center"/>
              <w:rPr>
                <w:color w:val="auto"/>
                <w:kern w:val="0"/>
              </w:rPr>
            </w:pPr>
            <w:r>
              <w:rPr>
                <w:color w:val="auto"/>
                <w:kern w:val="0"/>
              </w:rPr>
              <w:t>2.7</w:t>
            </w:r>
          </w:p>
        </w:tc>
        <w:tc>
          <w:tcPr>
            <w:tcW w:w="257" w:type="pct"/>
            <w:tcMar>
              <w:top w:w="0" w:type="dxa"/>
              <w:left w:w="0" w:type="dxa"/>
              <w:bottom w:w="0" w:type="dxa"/>
              <w:right w:w="0" w:type="dxa"/>
            </w:tcMar>
            <w:vAlign w:val="center"/>
          </w:tcPr>
          <w:p>
            <w:pPr>
              <w:jc w:val="center"/>
              <w:rPr>
                <w:color w:val="auto"/>
                <w:kern w:val="0"/>
              </w:rPr>
            </w:pPr>
            <w:r>
              <w:rPr>
                <w:color w:val="auto"/>
                <w:kern w:val="0"/>
              </w:rPr>
              <w:t>2.5</w:t>
            </w:r>
          </w:p>
        </w:tc>
        <w:tc>
          <w:tcPr>
            <w:tcW w:w="255" w:type="pct"/>
            <w:tcMar>
              <w:top w:w="0" w:type="dxa"/>
              <w:left w:w="0" w:type="dxa"/>
              <w:bottom w:w="0" w:type="dxa"/>
              <w:right w:w="0" w:type="dxa"/>
            </w:tcMar>
            <w:vAlign w:val="center"/>
          </w:tcPr>
          <w:p>
            <w:pPr>
              <w:jc w:val="center"/>
              <w:rPr>
                <w:color w:val="auto"/>
                <w:kern w:val="0"/>
              </w:rPr>
            </w:pPr>
            <w:r>
              <w:rPr>
                <w:color w:val="auto"/>
                <w:kern w:val="0"/>
              </w:rPr>
              <w:t>4.5</w:t>
            </w:r>
          </w:p>
        </w:tc>
        <w:tc>
          <w:tcPr>
            <w:tcW w:w="305" w:type="pct"/>
            <w:tcMar>
              <w:top w:w="0" w:type="dxa"/>
              <w:left w:w="0" w:type="dxa"/>
              <w:bottom w:w="0" w:type="dxa"/>
              <w:right w:w="0" w:type="dxa"/>
            </w:tcMar>
            <w:vAlign w:val="center"/>
          </w:tcPr>
          <w:p>
            <w:pPr>
              <w:jc w:val="center"/>
              <w:rPr>
                <w:color w:val="auto"/>
                <w:kern w:val="0"/>
              </w:rPr>
            </w:pPr>
            <w:r>
              <w:rPr>
                <w:color w:val="auto"/>
                <w:kern w:val="0"/>
              </w:rPr>
              <w:t>4.5</w:t>
            </w:r>
          </w:p>
        </w:tc>
        <w:tc>
          <w:tcPr>
            <w:tcW w:w="255" w:type="pct"/>
            <w:tcMar>
              <w:top w:w="0" w:type="dxa"/>
              <w:left w:w="0" w:type="dxa"/>
              <w:bottom w:w="0" w:type="dxa"/>
              <w:right w:w="0" w:type="dxa"/>
            </w:tcMar>
            <w:vAlign w:val="center"/>
          </w:tcPr>
          <w:p>
            <w:pPr>
              <w:jc w:val="center"/>
              <w:rPr>
                <w:color w:val="auto"/>
                <w:kern w:val="0"/>
              </w:rPr>
            </w:pPr>
            <w:r>
              <w:rPr>
                <w:color w:val="auto"/>
                <w:kern w:val="0"/>
              </w:rPr>
              <w:t>4.6</w:t>
            </w:r>
          </w:p>
        </w:tc>
        <w:tc>
          <w:tcPr>
            <w:tcW w:w="362" w:type="pct"/>
            <w:tcMar>
              <w:top w:w="0" w:type="dxa"/>
              <w:left w:w="0" w:type="dxa"/>
              <w:bottom w:w="0" w:type="dxa"/>
              <w:right w:w="0" w:type="dxa"/>
            </w:tcMar>
            <w:vAlign w:val="center"/>
          </w:tcPr>
          <w:p>
            <w:pPr>
              <w:jc w:val="center"/>
              <w:rPr>
                <w:color w:val="auto"/>
                <w:kern w:val="0"/>
              </w:rPr>
            </w:pPr>
            <w:r>
              <w:rPr>
                <w:color w:val="auto"/>
                <w:kern w:val="0"/>
              </w:rPr>
              <w:t>6.5</w:t>
            </w:r>
          </w:p>
        </w:tc>
        <w:tc>
          <w:tcPr>
            <w:tcW w:w="207" w:type="pct"/>
            <w:tcMar>
              <w:top w:w="0" w:type="dxa"/>
              <w:left w:w="0" w:type="dxa"/>
              <w:bottom w:w="0" w:type="dxa"/>
              <w:right w:w="0" w:type="dxa"/>
            </w:tcMar>
            <w:vAlign w:val="center"/>
          </w:tcPr>
          <w:p>
            <w:pPr>
              <w:jc w:val="center"/>
              <w:rPr>
                <w:color w:val="auto"/>
                <w:kern w:val="0"/>
              </w:rPr>
            </w:pPr>
            <w:r>
              <w:rPr>
                <w:color w:val="auto"/>
                <w:kern w:val="0"/>
              </w:rPr>
              <w:t>4.9</w:t>
            </w:r>
          </w:p>
        </w:tc>
        <w:tc>
          <w:tcPr>
            <w:tcW w:w="387" w:type="pct"/>
            <w:tcMar>
              <w:top w:w="0" w:type="dxa"/>
              <w:left w:w="0" w:type="dxa"/>
              <w:bottom w:w="0" w:type="dxa"/>
              <w:right w:w="0" w:type="dxa"/>
            </w:tcMar>
            <w:vAlign w:val="center"/>
          </w:tcPr>
          <w:p>
            <w:pPr>
              <w:jc w:val="center"/>
              <w:rPr>
                <w:color w:val="auto"/>
                <w:kern w:val="0"/>
              </w:rPr>
            </w:pPr>
            <w:r>
              <w:rPr>
                <w:color w:val="auto"/>
                <w:kern w:val="0"/>
              </w:rPr>
              <w:t>3.0</w:t>
            </w:r>
          </w:p>
        </w:tc>
        <w:tc>
          <w:tcPr>
            <w:tcW w:w="267" w:type="pct"/>
            <w:tcMar>
              <w:top w:w="0" w:type="dxa"/>
              <w:left w:w="0" w:type="dxa"/>
              <w:bottom w:w="0" w:type="dxa"/>
              <w:right w:w="0" w:type="dxa"/>
            </w:tcMar>
            <w:vAlign w:val="center"/>
          </w:tcPr>
          <w:p>
            <w:pPr>
              <w:jc w:val="center"/>
              <w:rPr>
                <w:color w:val="auto"/>
                <w:kern w:val="0"/>
              </w:rPr>
            </w:pPr>
            <w:r>
              <w:rPr>
                <w:color w:val="auto"/>
                <w:kern w:val="0"/>
              </w:rPr>
              <w:t>1.3</w:t>
            </w:r>
          </w:p>
        </w:tc>
        <w:tc>
          <w:tcPr>
            <w:tcW w:w="355" w:type="pct"/>
            <w:tcMar>
              <w:top w:w="0" w:type="dxa"/>
              <w:left w:w="0" w:type="dxa"/>
              <w:bottom w:w="0" w:type="dxa"/>
              <w:right w:w="0" w:type="dxa"/>
            </w:tcMar>
            <w:vAlign w:val="center"/>
          </w:tcPr>
          <w:p>
            <w:pPr>
              <w:jc w:val="center"/>
              <w:rPr>
                <w:color w:val="auto"/>
                <w:kern w:val="0"/>
              </w:rPr>
            </w:pPr>
            <w:r>
              <w:rPr>
                <w:color w:val="auto"/>
                <w:kern w:val="0"/>
              </w:rPr>
              <w:t>1.4</w:t>
            </w:r>
          </w:p>
        </w:tc>
        <w:tc>
          <w:tcPr>
            <w:tcW w:w="295" w:type="pct"/>
            <w:tcMar>
              <w:top w:w="0" w:type="dxa"/>
              <w:left w:w="0" w:type="dxa"/>
              <w:bottom w:w="0" w:type="dxa"/>
              <w:right w:w="0" w:type="dxa"/>
            </w:tcMar>
            <w:vAlign w:val="center"/>
          </w:tcPr>
          <w:p>
            <w:pPr>
              <w:spacing w:before="79"/>
              <w:rPr>
                <w:color w:val="auto"/>
                <w:kern w:val="0"/>
              </w:rPr>
            </w:pPr>
            <w:r>
              <w:rPr>
                <w:color w:val="auto"/>
                <w:kern w:val="0"/>
              </w:rPr>
              <w:t>31.5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2</w:t>
            </w:r>
          </w:p>
        </w:tc>
        <w:tc>
          <w:tcPr>
            <w:tcW w:w="188" w:type="pct"/>
            <w:tcMar>
              <w:top w:w="0" w:type="dxa"/>
              <w:left w:w="0" w:type="dxa"/>
              <w:bottom w:w="0" w:type="dxa"/>
              <w:right w:w="0" w:type="dxa"/>
            </w:tcMar>
            <w:vAlign w:val="center"/>
          </w:tcPr>
          <w:p>
            <w:pPr>
              <w:jc w:val="center"/>
              <w:rPr>
                <w:color w:val="auto"/>
                <w:kern w:val="0"/>
              </w:rPr>
            </w:pPr>
            <w:r>
              <w:rPr>
                <w:color w:val="auto"/>
                <w:kern w:val="0"/>
              </w:rPr>
              <w:t>2.5</w:t>
            </w:r>
          </w:p>
        </w:tc>
        <w:tc>
          <w:tcPr>
            <w:tcW w:w="305" w:type="pct"/>
            <w:tcMar>
              <w:top w:w="0" w:type="dxa"/>
              <w:left w:w="0" w:type="dxa"/>
              <w:bottom w:w="0" w:type="dxa"/>
              <w:right w:w="0" w:type="dxa"/>
            </w:tcMar>
            <w:vAlign w:val="center"/>
          </w:tcPr>
          <w:p>
            <w:pPr>
              <w:jc w:val="center"/>
              <w:rPr>
                <w:color w:val="auto"/>
                <w:kern w:val="0"/>
              </w:rPr>
            </w:pPr>
            <w:r>
              <w:rPr>
                <w:color w:val="auto"/>
                <w:kern w:val="0"/>
              </w:rPr>
              <w:t>3.5</w:t>
            </w:r>
          </w:p>
        </w:tc>
        <w:tc>
          <w:tcPr>
            <w:tcW w:w="261" w:type="pct"/>
            <w:tcMar>
              <w:top w:w="0" w:type="dxa"/>
              <w:left w:w="0" w:type="dxa"/>
              <w:bottom w:w="0" w:type="dxa"/>
              <w:right w:w="0" w:type="dxa"/>
            </w:tcMar>
            <w:vAlign w:val="center"/>
          </w:tcPr>
          <w:p>
            <w:pPr>
              <w:jc w:val="center"/>
              <w:rPr>
                <w:color w:val="auto"/>
                <w:kern w:val="0"/>
              </w:rPr>
            </w:pPr>
            <w:r>
              <w:rPr>
                <w:color w:val="auto"/>
                <w:kern w:val="0"/>
              </w:rPr>
              <w:t>8.5</w:t>
            </w:r>
          </w:p>
        </w:tc>
        <w:tc>
          <w:tcPr>
            <w:tcW w:w="288" w:type="pct"/>
            <w:tcMar>
              <w:top w:w="0" w:type="dxa"/>
              <w:left w:w="0" w:type="dxa"/>
              <w:bottom w:w="0" w:type="dxa"/>
              <w:right w:w="0" w:type="dxa"/>
            </w:tcMar>
            <w:vAlign w:val="center"/>
          </w:tcPr>
          <w:p>
            <w:pPr>
              <w:spacing w:before="78"/>
              <w:ind w:left="85"/>
              <w:rPr>
                <w:color w:val="auto"/>
                <w:kern w:val="0"/>
              </w:rPr>
            </w:pPr>
            <w:r>
              <w:rPr>
                <w:color w:val="auto"/>
                <w:kern w:val="0"/>
              </w:rPr>
              <w:t>11.9</w:t>
            </w:r>
          </w:p>
        </w:tc>
        <w:tc>
          <w:tcPr>
            <w:tcW w:w="261" w:type="pct"/>
            <w:tcMar>
              <w:top w:w="0" w:type="dxa"/>
              <w:left w:w="0" w:type="dxa"/>
              <w:bottom w:w="0" w:type="dxa"/>
              <w:right w:w="0" w:type="dxa"/>
            </w:tcMar>
            <w:vAlign w:val="center"/>
          </w:tcPr>
          <w:p>
            <w:pPr>
              <w:jc w:val="center"/>
              <w:rPr>
                <w:color w:val="auto"/>
                <w:kern w:val="0"/>
              </w:rPr>
            </w:pPr>
            <w:r>
              <w:rPr>
                <w:color w:val="auto"/>
                <w:kern w:val="0"/>
              </w:rPr>
              <w:t>8.3</w:t>
            </w:r>
          </w:p>
        </w:tc>
        <w:tc>
          <w:tcPr>
            <w:tcW w:w="265" w:type="pct"/>
            <w:tcMar>
              <w:top w:w="0" w:type="dxa"/>
              <w:left w:w="0" w:type="dxa"/>
              <w:bottom w:w="0" w:type="dxa"/>
              <w:right w:w="0" w:type="dxa"/>
            </w:tcMar>
            <w:vAlign w:val="center"/>
          </w:tcPr>
          <w:p>
            <w:pPr>
              <w:jc w:val="center"/>
              <w:rPr>
                <w:color w:val="auto"/>
                <w:kern w:val="0"/>
              </w:rPr>
            </w:pPr>
            <w:r>
              <w:rPr>
                <w:color w:val="auto"/>
                <w:kern w:val="0"/>
              </w:rPr>
              <w:t>4.2</w:t>
            </w:r>
          </w:p>
        </w:tc>
        <w:tc>
          <w:tcPr>
            <w:tcW w:w="188" w:type="pct"/>
            <w:tcMar>
              <w:top w:w="0" w:type="dxa"/>
              <w:left w:w="0" w:type="dxa"/>
              <w:bottom w:w="0" w:type="dxa"/>
              <w:right w:w="0" w:type="dxa"/>
            </w:tcMar>
            <w:vAlign w:val="center"/>
          </w:tcPr>
          <w:p>
            <w:pPr>
              <w:jc w:val="center"/>
              <w:rPr>
                <w:color w:val="auto"/>
                <w:kern w:val="0"/>
              </w:rPr>
            </w:pPr>
            <w:r>
              <w:rPr>
                <w:color w:val="auto"/>
                <w:kern w:val="0"/>
              </w:rPr>
              <w:t>3.3</w:t>
            </w:r>
          </w:p>
        </w:tc>
        <w:tc>
          <w:tcPr>
            <w:tcW w:w="257" w:type="pct"/>
            <w:tcMar>
              <w:top w:w="0" w:type="dxa"/>
              <w:left w:w="0" w:type="dxa"/>
              <w:bottom w:w="0" w:type="dxa"/>
              <w:right w:w="0" w:type="dxa"/>
            </w:tcMar>
            <w:vAlign w:val="center"/>
          </w:tcPr>
          <w:p>
            <w:pPr>
              <w:jc w:val="center"/>
              <w:rPr>
                <w:color w:val="auto"/>
                <w:kern w:val="0"/>
              </w:rPr>
            </w:pPr>
            <w:r>
              <w:rPr>
                <w:color w:val="auto"/>
                <w:kern w:val="0"/>
              </w:rPr>
              <w:t>3.8</w:t>
            </w:r>
          </w:p>
        </w:tc>
        <w:tc>
          <w:tcPr>
            <w:tcW w:w="255" w:type="pct"/>
            <w:tcMar>
              <w:top w:w="0" w:type="dxa"/>
              <w:left w:w="0" w:type="dxa"/>
              <w:bottom w:w="0" w:type="dxa"/>
              <w:right w:w="0" w:type="dxa"/>
            </w:tcMar>
            <w:vAlign w:val="center"/>
          </w:tcPr>
          <w:p>
            <w:pPr>
              <w:jc w:val="center"/>
              <w:rPr>
                <w:color w:val="auto"/>
                <w:kern w:val="0"/>
              </w:rPr>
            </w:pPr>
            <w:r>
              <w:rPr>
                <w:color w:val="auto"/>
                <w:kern w:val="0"/>
              </w:rPr>
              <w:t>4.5</w:t>
            </w:r>
          </w:p>
        </w:tc>
        <w:tc>
          <w:tcPr>
            <w:tcW w:w="305" w:type="pct"/>
            <w:tcMar>
              <w:top w:w="0" w:type="dxa"/>
              <w:left w:w="0" w:type="dxa"/>
              <w:bottom w:w="0" w:type="dxa"/>
              <w:right w:w="0" w:type="dxa"/>
            </w:tcMar>
            <w:vAlign w:val="center"/>
          </w:tcPr>
          <w:p>
            <w:pPr>
              <w:jc w:val="center"/>
              <w:rPr>
                <w:color w:val="auto"/>
                <w:kern w:val="0"/>
              </w:rPr>
            </w:pPr>
            <w:r>
              <w:rPr>
                <w:color w:val="auto"/>
                <w:kern w:val="0"/>
              </w:rPr>
              <w:t>3.7</w:t>
            </w:r>
          </w:p>
        </w:tc>
        <w:tc>
          <w:tcPr>
            <w:tcW w:w="255" w:type="pct"/>
            <w:tcMar>
              <w:top w:w="0" w:type="dxa"/>
              <w:left w:w="0" w:type="dxa"/>
              <w:bottom w:w="0" w:type="dxa"/>
              <w:right w:w="0" w:type="dxa"/>
            </w:tcMar>
            <w:vAlign w:val="center"/>
          </w:tcPr>
          <w:p>
            <w:pPr>
              <w:jc w:val="center"/>
              <w:rPr>
                <w:color w:val="auto"/>
                <w:kern w:val="0"/>
              </w:rPr>
            </w:pPr>
            <w:r>
              <w:rPr>
                <w:color w:val="auto"/>
                <w:kern w:val="0"/>
              </w:rPr>
              <w:t>5.8</w:t>
            </w:r>
          </w:p>
        </w:tc>
        <w:tc>
          <w:tcPr>
            <w:tcW w:w="362" w:type="pct"/>
            <w:tcMar>
              <w:top w:w="0" w:type="dxa"/>
              <w:left w:w="0" w:type="dxa"/>
              <w:bottom w:w="0" w:type="dxa"/>
              <w:right w:w="0" w:type="dxa"/>
            </w:tcMar>
            <w:vAlign w:val="center"/>
          </w:tcPr>
          <w:p>
            <w:pPr>
              <w:jc w:val="center"/>
              <w:rPr>
                <w:color w:val="auto"/>
                <w:kern w:val="0"/>
              </w:rPr>
            </w:pPr>
            <w:r>
              <w:rPr>
                <w:color w:val="auto"/>
                <w:kern w:val="0"/>
              </w:rPr>
              <w:t>5.7</w:t>
            </w:r>
          </w:p>
        </w:tc>
        <w:tc>
          <w:tcPr>
            <w:tcW w:w="207" w:type="pct"/>
            <w:tcMar>
              <w:top w:w="0" w:type="dxa"/>
              <w:left w:w="0" w:type="dxa"/>
              <w:bottom w:w="0" w:type="dxa"/>
              <w:right w:w="0" w:type="dxa"/>
            </w:tcMar>
            <w:vAlign w:val="center"/>
          </w:tcPr>
          <w:p>
            <w:pPr>
              <w:jc w:val="center"/>
              <w:rPr>
                <w:color w:val="auto"/>
                <w:kern w:val="0"/>
              </w:rPr>
            </w:pPr>
            <w:r>
              <w:rPr>
                <w:color w:val="auto"/>
                <w:kern w:val="0"/>
              </w:rPr>
              <w:t>3.8</w:t>
            </w:r>
          </w:p>
        </w:tc>
        <w:tc>
          <w:tcPr>
            <w:tcW w:w="387" w:type="pct"/>
            <w:tcMar>
              <w:top w:w="0" w:type="dxa"/>
              <w:left w:w="0" w:type="dxa"/>
              <w:bottom w:w="0" w:type="dxa"/>
              <w:right w:w="0" w:type="dxa"/>
            </w:tcMar>
            <w:vAlign w:val="center"/>
          </w:tcPr>
          <w:p>
            <w:pPr>
              <w:jc w:val="center"/>
              <w:rPr>
                <w:color w:val="auto"/>
                <w:kern w:val="0"/>
              </w:rPr>
            </w:pPr>
            <w:r>
              <w:rPr>
                <w:color w:val="auto"/>
                <w:kern w:val="0"/>
              </w:rPr>
              <w:t>1.5</w:t>
            </w:r>
          </w:p>
        </w:tc>
        <w:tc>
          <w:tcPr>
            <w:tcW w:w="267" w:type="pct"/>
            <w:tcMar>
              <w:top w:w="0" w:type="dxa"/>
              <w:left w:w="0" w:type="dxa"/>
              <w:bottom w:w="0" w:type="dxa"/>
              <w:right w:w="0" w:type="dxa"/>
            </w:tcMar>
            <w:vAlign w:val="center"/>
          </w:tcPr>
          <w:p>
            <w:pPr>
              <w:jc w:val="center"/>
              <w:rPr>
                <w:color w:val="auto"/>
                <w:kern w:val="0"/>
              </w:rPr>
            </w:pPr>
            <w:r>
              <w:rPr>
                <w:color w:val="auto"/>
                <w:kern w:val="0"/>
              </w:rPr>
              <w:t>1.4</w:t>
            </w:r>
          </w:p>
        </w:tc>
        <w:tc>
          <w:tcPr>
            <w:tcW w:w="355" w:type="pct"/>
            <w:tcMar>
              <w:top w:w="0" w:type="dxa"/>
              <w:left w:w="0" w:type="dxa"/>
              <w:bottom w:w="0" w:type="dxa"/>
              <w:right w:w="0" w:type="dxa"/>
            </w:tcMar>
            <w:vAlign w:val="center"/>
          </w:tcPr>
          <w:p>
            <w:pPr>
              <w:jc w:val="center"/>
              <w:rPr>
                <w:color w:val="auto"/>
                <w:kern w:val="0"/>
              </w:rPr>
            </w:pPr>
            <w:r>
              <w:rPr>
                <w:color w:val="auto"/>
                <w:kern w:val="0"/>
              </w:rPr>
              <w:t>1.5</w:t>
            </w:r>
          </w:p>
        </w:tc>
        <w:tc>
          <w:tcPr>
            <w:tcW w:w="295" w:type="pct"/>
            <w:tcMar>
              <w:top w:w="0" w:type="dxa"/>
              <w:left w:w="0" w:type="dxa"/>
              <w:bottom w:w="0" w:type="dxa"/>
              <w:right w:w="0" w:type="dxa"/>
            </w:tcMar>
            <w:vAlign w:val="center"/>
          </w:tcPr>
          <w:p>
            <w:pPr>
              <w:spacing w:before="78"/>
              <w:rPr>
                <w:color w:val="auto"/>
                <w:kern w:val="0"/>
              </w:rPr>
            </w:pPr>
            <w:r>
              <w:rPr>
                <w:color w:val="auto"/>
                <w:kern w:val="0"/>
              </w:rPr>
              <w:t>26.3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3</w:t>
            </w:r>
          </w:p>
        </w:tc>
        <w:tc>
          <w:tcPr>
            <w:tcW w:w="188" w:type="pct"/>
            <w:tcMar>
              <w:top w:w="0" w:type="dxa"/>
              <w:left w:w="0" w:type="dxa"/>
              <w:bottom w:w="0" w:type="dxa"/>
              <w:right w:w="0" w:type="dxa"/>
            </w:tcMar>
            <w:vAlign w:val="center"/>
          </w:tcPr>
          <w:p>
            <w:pPr>
              <w:jc w:val="center"/>
              <w:rPr>
                <w:color w:val="auto"/>
                <w:kern w:val="0"/>
              </w:rPr>
            </w:pPr>
            <w:r>
              <w:rPr>
                <w:color w:val="auto"/>
                <w:kern w:val="0"/>
              </w:rPr>
              <w:t>2.7</w:t>
            </w:r>
          </w:p>
        </w:tc>
        <w:tc>
          <w:tcPr>
            <w:tcW w:w="305" w:type="pct"/>
            <w:tcMar>
              <w:top w:w="0" w:type="dxa"/>
              <w:left w:w="0" w:type="dxa"/>
              <w:bottom w:w="0" w:type="dxa"/>
              <w:right w:w="0" w:type="dxa"/>
            </w:tcMar>
            <w:vAlign w:val="center"/>
          </w:tcPr>
          <w:p>
            <w:pPr>
              <w:jc w:val="center"/>
              <w:rPr>
                <w:color w:val="auto"/>
                <w:kern w:val="0"/>
              </w:rPr>
            </w:pPr>
            <w:r>
              <w:rPr>
                <w:color w:val="auto"/>
                <w:kern w:val="0"/>
              </w:rPr>
              <w:t>3.9</w:t>
            </w:r>
          </w:p>
        </w:tc>
        <w:tc>
          <w:tcPr>
            <w:tcW w:w="261" w:type="pct"/>
            <w:tcMar>
              <w:top w:w="0" w:type="dxa"/>
              <w:left w:w="0" w:type="dxa"/>
              <w:bottom w:w="0" w:type="dxa"/>
              <w:right w:w="0" w:type="dxa"/>
            </w:tcMar>
            <w:vAlign w:val="center"/>
          </w:tcPr>
          <w:p>
            <w:pPr>
              <w:jc w:val="center"/>
              <w:rPr>
                <w:color w:val="auto"/>
                <w:kern w:val="0"/>
              </w:rPr>
            </w:pPr>
            <w:r>
              <w:rPr>
                <w:color w:val="auto"/>
                <w:kern w:val="0"/>
              </w:rPr>
              <w:t>9.4</w:t>
            </w:r>
          </w:p>
        </w:tc>
        <w:tc>
          <w:tcPr>
            <w:tcW w:w="288" w:type="pct"/>
            <w:tcMar>
              <w:top w:w="0" w:type="dxa"/>
              <w:left w:w="0" w:type="dxa"/>
              <w:bottom w:w="0" w:type="dxa"/>
              <w:right w:w="0" w:type="dxa"/>
            </w:tcMar>
            <w:vAlign w:val="center"/>
          </w:tcPr>
          <w:p>
            <w:pPr>
              <w:jc w:val="center"/>
              <w:rPr>
                <w:color w:val="auto"/>
                <w:kern w:val="0"/>
              </w:rPr>
            </w:pPr>
            <w:r>
              <w:rPr>
                <w:color w:val="auto"/>
                <w:kern w:val="0"/>
              </w:rPr>
              <w:t>8.3</w:t>
            </w:r>
          </w:p>
        </w:tc>
        <w:tc>
          <w:tcPr>
            <w:tcW w:w="261" w:type="pct"/>
            <w:tcMar>
              <w:top w:w="0" w:type="dxa"/>
              <w:left w:w="0" w:type="dxa"/>
              <w:bottom w:w="0" w:type="dxa"/>
              <w:right w:w="0" w:type="dxa"/>
            </w:tcMar>
            <w:vAlign w:val="center"/>
          </w:tcPr>
          <w:p>
            <w:pPr>
              <w:jc w:val="center"/>
              <w:rPr>
                <w:color w:val="auto"/>
                <w:kern w:val="0"/>
              </w:rPr>
            </w:pPr>
            <w:r>
              <w:rPr>
                <w:color w:val="auto"/>
                <w:kern w:val="0"/>
              </w:rPr>
              <w:t>7.5</w:t>
            </w:r>
          </w:p>
        </w:tc>
        <w:tc>
          <w:tcPr>
            <w:tcW w:w="265" w:type="pct"/>
            <w:tcMar>
              <w:top w:w="0" w:type="dxa"/>
              <w:left w:w="0" w:type="dxa"/>
              <w:bottom w:w="0" w:type="dxa"/>
              <w:right w:w="0" w:type="dxa"/>
            </w:tcMar>
            <w:vAlign w:val="center"/>
          </w:tcPr>
          <w:p>
            <w:pPr>
              <w:jc w:val="center"/>
              <w:rPr>
                <w:color w:val="auto"/>
                <w:kern w:val="0"/>
              </w:rPr>
            </w:pPr>
            <w:r>
              <w:rPr>
                <w:color w:val="auto"/>
                <w:kern w:val="0"/>
              </w:rPr>
              <w:t>4.2</w:t>
            </w:r>
          </w:p>
        </w:tc>
        <w:tc>
          <w:tcPr>
            <w:tcW w:w="188" w:type="pct"/>
            <w:tcMar>
              <w:top w:w="0" w:type="dxa"/>
              <w:left w:w="0" w:type="dxa"/>
              <w:bottom w:w="0" w:type="dxa"/>
              <w:right w:w="0" w:type="dxa"/>
            </w:tcMar>
            <w:vAlign w:val="center"/>
          </w:tcPr>
          <w:p>
            <w:pPr>
              <w:jc w:val="center"/>
              <w:rPr>
                <w:color w:val="auto"/>
                <w:kern w:val="0"/>
              </w:rPr>
            </w:pPr>
            <w:r>
              <w:rPr>
                <w:color w:val="auto"/>
                <w:kern w:val="0"/>
              </w:rPr>
              <w:t>4.2</w:t>
            </w:r>
          </w:p>
        </w:tc>
        <w:tc>
          <w:tcPr>
            <w:tcW w:w="257" w:type="pct"/>
            <w:tcMar>
              <w:top w:w="0" w:type="dxa"/>
              <w:left w:w="0" w:type="dxa"/>
              <w:bottom w:w="0" w:type="dxa"/>
              <w:right w:w="0" w:type="dxa"/>
            </w:tcMar>
            <w:vAlign w:val="center"/>
          </w:tcPr>
          <w:p>
            <w:pPr>
              <w:jc w:val="center"/>
              <w:rPr>
                <w:color w:val="auto"/>
                <w:kern w:val="0"/>
              </w:rPr>
            </w:pPr>
            <w:r>
              <w:rPr>
                <w:color w:val="auto"/>
                <w:kern w:val="0"/>
              </w:rPr>
              <w:t>3.9</w:t>
            </w:r>
          </w:p>
        </w:tc>
        <w:tc>
          <w:tcPr>
            <w:tcW w:w="255" w:type="pct"/>
            <w:tcMar>
              <w:top w:w="0" w:type="dxa"/>
              <w:left w:w="0" w:type="dxa"/>
              <w:bottom w:w="0" w:type="dxa"/>
              <w:right w:w="0" w:type="dxa"/>
            </w:tcMar>
            <w:vAlign w:val="center"/>
          </w:tcPr>
          <w:p>
            <w:pPr>
              <w:jc w:val="center"/>
              <w:rPr>
                <w:color w:val="auto"/>
                <w:kern w:val="0"/>
              </w:rPr>
            </w:pPr>
            <w:r>
              <w:rPr>
                <w:color w:val="auto"/>
                <w:kern w:val="0"/>
              </w:rPr>
              <w:t>6.0</w:t>
            </w:r>
          </w:p>
        </w:tc>
        <w:tc>
          <w:tcPr>
            <w:tcW w:w="305" w:type="pct"/>
            <w:tcMar>
              <w:top w:w="0" w:type="dxa"/>
              <w:left w:w="0" w:type="dxa"/>
              <w:bottom w:w="0" w:type="dxa"/>
              <w:right w:w="0" w:type="dxa"/>
            </w:tcMar>
            <w:vAlign w:val="center"/>
          </w:tcPr>
          <w:p>
            <w:pPr>
              <w:jc w:val="center"/>
              <w:rPr>
                <w:color w:val="auto"/>
                <w:kern w:val="0"/>
              </w:rPr>
            </w:pPr>
            <w:r>
              <w:rPr>
                <w:color w:val="auto"/>
                <w:kern w:val="0"/>
              </w:rPr>
              <w:t>5.5</w:t>
            </w:r>
          </w:p>
        </w:tc>
        <w:tc>
          <w:tcPr>
            <w:tcW w:w="255" w:type="pct"/>
            <w:tcMar>
              <w:top w:w="0" w:type="dxa"/>
              <w:left w:w="0" w:type="dxa"/>
              <w:bottom w:w="0" w:type="dxa"/>
              <w:right w:w="0" w:type="dxa"/>
            </w:tcMar>
            <w:vAlign w:val="center"/>
          </w:tcPr>
          <w:p>
            <w:pPr>
              <w:jc w:val="center"/>
              <w:rPr>
                <w:color w:val="auto"/>
                <w:kern w:val="0"/>
              </w:rPr>
            </w:pPr>
            <w:r>
              <w:rPr>
                <w:color w:val="auto"/>
                <w:kern w:val="0"/>
              </w:rPr>
              <w:t>7.4</w:t>
            </w:r>
          </w:p>
        </w:tc>
        <w:tc>
          <w:tcPr>
            <w:tcW w:w="362" w:type="pct"/>
            <w:tcMar>
              <w:top w:w="0" w:type="dxa"/>
              <w:left w:w="0" w:type="dxa"/>
              <w:bottom w:w="0" w:type="dxa"/>
              <w:right w:w="0" w:type="dxa"/>
            </w:tcMar>
            <w:vAlign w:val="center"/>
          </w:tcPr>
          <w:p>
            <w:pPr>
              <w:jc w:val="center"/>
              <w:rPr>
                <w:color w:val="auto"/>
                <w:kern w:val="0"/>
              </w:rPr>
            </w:pPr>
            <w:r>
              <w:rPr>
                <w:color w:val="auto"/>
                <w:kern w:val="0"/>
              </w:rPr>
              <w:t>6.8</w:t>
            </w:r>
          </w:p>
        </w:tc>
        <w:tc>
          <w:tcPr>
            <w:tcW w:w="207" w:type="pct"/>
            <w:tcMar>
              <w:top w:w="0" w:type="dxa"/>
              <w:left w:w="0" w:type="dxa"/>
              <w:bottom w:w="0" w:type="dxa"/>
              <w:right w:w="0" w:type="dxa"/>
            </w:tcMar>
            <w:vAlign w:val="center"/>
          </w:tcPr>
          <w:p>
            <w:pPr>
              <w:jc w:val="center"/>
              <w:rPr>
                <w:color w:val="auto"/>
                <w:kern w:val="0"/>
              </w:rPr>
            </w:pPr>
            <w:r>
              <w:rPr>
                <w:color w:val="auto"/>
                <w:kern w:val="0"/>
              </w:rPr>
              <w:t>4.3</w:t>
            </w:r>
          </w:p>
        </w:tc>
        <w:tc>
          <w:tcPr>
            <w:tcW w:w="387" w:type="pct"/>
            <w:tcMar>
              <w:top w:w="0" w:type="dxa"/>
              <w:left w:w="0" w:type="dxa"/>
              <w:bottom w:w="0" w:type="dxa"/>
              <w:right w:w="0" w:type="dxa"/>
            </w:tcMar>
            <w:vAlign w:val="center"/>
          </w:tcPr>
          <w:p>
            <w:pPr>
              <w:jc w:val="center"/>
              <w:rPr>
                <w:color w:val="auto"/>
                <w:kern w:val="0"/>
              </w:rPr>
            </w:pPr>
            <w:r>
              <w:rPr>
                <w:color w:val="auto"/>
                <w:kern w:val="0"/>
              </w:rPr>
              <w:t>2.4</w:t>
            </w:r>
          </w:p>
        </w:tc>
        <w:tc>
          <w:tcPr>
            <w:tcW w:w="267" w:type="pct"/>
            <w:tcMar>
              <w:top w:w="0" w:type="dxa"/>
              <w:left w:w="0" w:type="dxa"/>
              <w:bottom w:w="0" w:type="dxa"/>
              <w:right w:w="0" w:type="dxa"/>
            </w:tcMar>
            <w:vAlign w:val="center"/>
          </w:tcPr>
          <w:p>
            <w:pPr>
              <w:jc w:val="center"/>
              <w:rPr>
                <w:color w:val="auto"/>
                <w:kern w:val="0"/>
              </w:rPr>
            </w:pPr>
            <w:r>
              <w:rPr>
                <w:color w:val="auto"/>
                <w:kern w:val="0"/>
              </w:rPr>
              <w:t>1.7</w:t>
            </w:r>
          </w:p>
        </w:tc>
        <w:tc>
          <w:tcPr>
            <w:tcW w:w="355" w:type="pct"/>
            <w:tcMar>
              <w:top w:w="0" w:type="dxa"/>
              <w:left w:w="0" w:type="dxa"/>
              <w:bottom w:w="0" w:type="dxa"/>
              <w:right w:w="0" w:type="dxa"/>
            </w:tcMar>
            <w:vAlign w:val="center"/>
          </w:tcPr>
          <w:p>
            <w:pPr>
              <w:jc w:val="center"/>
              <w:rPr>
                <w:color w:val="auto"/>
                <w:kern w:val="0"/>
              </w:rPr>
            </w:pPr>
            <w:r>
              <w:rPr>
                <w:color w:val="auto"/>
                <w:kern w:val="0"/>
              </w:rPr>
              <w:t>1.6</w:t>
            </w:r>
          </w:p>
        </w:tc>
        <w:tc>
          <w:tcPr>
            <w:tcW w:w="295" w:type="pct"/>
            <w:tcMar>
              <w:top w:w="0" w:type="dxa"/>
              <w:left w:w="0" w:type="dxa"/>
              <w:bottom w:w="0" w:type="dxa"/>
              <w:right w:w="0" w:type="dxa"/>
            </w:tcMar>
            <w:vAlign w:val="center"/>
          </w:tcPr>
          <w:p>
            <w:pPr>
              <w:spacing w:before="79"/>
              <w:rPr>
                <w:color w:val="auto"/>
                <w:kern w:val="0"/>
              </w:rPr>
            </w:pPr>
            <w:r>
              <w:rPr>
                <w:color w:val="auto"/>
                <w:kern w:val="0"/>
              </w:rPr>
              <w:t>20.2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4</w:t>
            </w:r>
          </w:p>
        </w:tc>
        <w:tc>
          <w:tcPr>
            <w:tcW w:w="188" w:type="pct"/>
            <w:tcMar>
              <w:top w:w="0" w:type="dxa"/>
              <w:left w:w="0" w:type="dxa"/>
              <w:bottom w:w="0" w:type="dxa"/>
              <w:right w:w="0" w:type="dxa"/>
            </w:tcMar>
            <w:vAlign w:val="center"/>
          </w:tcPr>
          <w:p>
            <w:pPr>
              <w:jc w:val="center"/>
              <w:rPr>
                <w:color w:val="auto"/>
                <w:kern w:val="0"/>
              </w:rPr>
            </w:pPr>
            <w:r>
              <w:rPr>
                <w:color w:val="auto"/>
                <w:kern w:val="0"/>
              </w:rPr>
              <w:t>1.9</w:t>
            </w:r>
          </w:p>
        </w:tc>
        <w:tc>
          <w:tcPr>
            <w:tcW w:w="305" w:type="pct"/>
            <w:tcMar>
              <w:top w:w="0" w:type="dxa"/>
              <w:left w:w="0" w:type="dxa"/>
              <w:bottom w:w="0" w:type="dxa"/>
              <w:right w:w="0" w:type="dxa"/>
            </w:tcMar>
            <w:vAlign w:val="center"/>
          </w:tcPr>
          <w:p>
            <w:pPr>
              <w:jc w:val="center"/>
              <w:rPr>
                <w:color w:val="auto"/>
                <w:kern w:val="0"/>
              </w:rPr>
            </w:pPr>
            <w:r>
              <w:rPr>
                <w:color w:val="auto"/>
                <w:kern w:val="0"/>
              </w:rPr>
              <w:t>3.3</w:t>
            </w:r>
          </w:p>
        </w:tc>
        <w:tc>
          <w:tcPr>
            <w:tcW w:w="261" w:type="pct"/>
            <w:tcMar>
              <w:top w:w="0" w:type="dxa"/>
              <w:left w:w="0" w:type="dxa"/>
              <w:bottom w:w="0" w:type="dxa"/>
              <w:right w:w="0" w:type="dxa"/>
            </w:tcMar>
            <w:vAlign w:val="center"/>
          </w:tcPr>
          <w:p>
            <w:pPr>
              <w:jc w:val="center"/>
              <w:rPr>
                <w:color w:val="auto"/>
                <w:kern w:val="0"/>
              </w:rPr>
            </w:pPr>
            <w:r>
              <w:rPr>
                <w:color w:val="auto"/>
                <w:kern w:val="0"/>
              </w:rPr>
              <w:t>7.7</w:t>
            </w:r>
          </w:p>
        </w:tc>
        <w:tc>
          <w:tcPr>
            <w:tcW w:w="288" w:type="pct"/>
            <w:tcMar>
              <w:top w:w="0" w:type="dxa"/>
              <w:left w:w="0" w:type="dxa"/>
              <w:bottom w:w="0" w:type="dxa"/>
              <w:right w:w="0" w:type="dxa"/>
            </w:tcMar>
            <w:vAlign w:val="center"/>
          </w:tcPr>
          <w:p>
            <w:pPr>
              <w:jc w:val="center"/>
              <w:rPr>
                <w:color w:val="auto"/>
                <w:kern w:val="0"/>
              </w:rPr>
            </w:pPr>
            <w:r>
              <w:rPr>
                <w:color w:val="auto"/>
                <w:kern w:val="0"/>
              </w:rPr>
              <w:t>9.8</w:t>
            </w:r>
          </w:p>
        </w:tc>
        <w:tc>
          <w:tcPr>
            <w:tcW w:w="261" w:type="pct"/>
            <w:tcMar>
              <w:top w:w="0" w:type="dxa"/>
              <w:left w:w="0" w:type="dxa"/>
              <w:bottom w:w="0" w:type="dxa"/>
              <w:right w:w="0" w:type="dxa"/>
            </w:tcMar>
            <w:vAlign w:val="center"/>
          </w:tcPr>
          <w:p>
            <w:pPr>
              <w:jc w:val="center"/>
              <w:rPr>
                <w:color w:val="auto"/>
                <w:kern w:val="0"/>
              </w:rPr>
            </w:pPr>
            <w:r>
              <w:rPr>
                <w:color w:val="auto"/>
                <w:kern w:val="0"/>
              </w:rPr>
              <w:t>5.1</w:t>
            </w:r>
          </w:p>
        </w:tc>
        <w:tc>
          <w:tcPr>
            <w:tcW w:w="265" w:type="pct"/>
            <w:tcMar>
              <w:top w:w="0" w:type="dxa"/>
              <w:left w:w="0" w:type="dxa"/>
              <w:bottom w:w="0" w:type="dxa"/>
              <w:right w:w="0" w:type="dxa"/>
            </w:tcMar>
            <w:vAlign w:val="center"/>
          </w:tcPr>
          <w:p>
            <w:pPr>
              <w:jc w:val="center"/>
              <w:rPr>
                <w:color w:val="auto"/>
                <w:kern w:val="0"/>
              </w:rPr>
            </w:pPr>
            <w:r>
              <w:rPr>
                <w:color w:val="auto"/>
                <w:kern w:val="0"/>
              </w:rPr>
              <w:t>4.5</w:t>
            </w:r>
          </w:p>
        </w:tc>
        <w:tc>
          <w:tcPr>
            <w:tcW w:w="188" w:type="pct"/>
            <w:tcMar>
              <w:top w:w="0" w:type="dxa"/>
              <w:left w:w="0" w:type="dxa"/>
              <w:bottom w:w="0" w:type="dxa"/>
              <w:right w:w="0" w:type="dxa"/>
            </w:tcMar>
            <w:vAlign w:val="center"/>
          </w:tcPr>
          <w:p>
            <w:pPr>
              <w:jc w:val="center"/>
              <w:rPr>
                <w:color w:val="auto"/>
                <w:kern w:val="0"/>
              </w:rPr>
            </w:pPr>
            <w:r>
              <w:rPr>
                <w:color w:val="auto"/>
                <w:kern w:val="0"/>
              </w:rPr>
              <w:t>5.8</w:t>
            </w:r>
          </w:p>
        </w:tc>
        <w:tc>
          <w:tcPr>
            <w:tcW w:w="257" w:type="pct"/>
            <w:tcMar>
              <w:top w:w="0" w:type="dxa"/>
              <w:left w:w="0" w:type="dxa"/>
              <w:bottom w:w="0" w:type="dxa"/>
              <w:right w:w="0" w:type="dxa"/>
            </w:tcMar>
            <w:vAlign w:val="center"/>
          </w:tcPr>
          <w:p>
            <w:pPr>
              <w:jc w:val="center"/>
              <w:rPr>
                <w:color w:val="auto"/>
                <w:kern w:val="0"/>
              </w:rPr>
            </w:pPr>
            <w:r>
              <w:rPr>
                <w:color w:val="auto"/>
                <w:kern w:val="0"/>
              </w:rPr>
              <w:t>5.0</w:t>
            </w:r>
          </w:p>
        </w:tc>
        <w:tc>
          <w:tcPr>
            <w:tcW w:w="255" w:type="pct"/>
            <w:tcMar>
              <w:top w:w="0" w:type="dxa"/>
              <w:left w:w="0" w:type="dxa"/>
              <w:bottom w:w="0" w:type="dxa"/>
              <w:right w:w="0" w:type="dxa"/>
            </w:tcMar>
            <w:vAlign w:val="center"/>
          </w:tcPr>
          <w:p>
            <w:pPr>
              <w:jc w:val="center"/>
              <w:rPr>
                <w:color w:val="auto"/>
                <w:kern w:val="0"/>
              </w:rPr>
            </w:pPr>
            <w:r>
              <w:rPr>
                <w:color w:val="auto"/>
                <w:kern w:val="0"/>
              </w:rPr>
              <w:t>6.7</w:t>
            </w:r>
          </w:p>
        </w:tc>
        <w:tc>
          <w:tcPr>
            <w:tcW w:w="305" w:type="pct"/>
            <w:tcMar>
              <w:top w:w="0" w:type="dxa"/>
              <w:left w:w="0" w:type="dxa"/>
              <w:bottom w:w="0" w:type="dxa"/>
              <w:right w:w="0" w:type="dxa"/>
            </w:tcMar>
            <w:vAlign w:val="center"/>
          </w:tcPr>
          <w:p>
            <w:pPr>
              <w:jc w:val="center"/>
              <w:rPr>
                <w:color w:val="auto"/>
                <w:kern w:val="0"/>
              </w:rPr>
            </w:pPr>
            <w:r>
              <w:rPr>
                <w:color w:val="auto"/>
                <w:kern w:val="0"/>
              </w:rPr>
              <w:t>6.3</w:t>
            </w:r>
          </w:p>
        </w:tc>
        <w:tc>
          <w:tcPr>
            <w:tcW w:w="255" w:type="pct"/>
            <w:tcMar>
              <w:top w:w="0" w:type="dxa"/>
              <w:left w:w="0" w:type="dxa"/>
              <w:bottom w:w="0" w:type="dxa"/>
              <w:right w:w="0" w:type="dxa"/>
            </w:tcMar>
            <w:vAlign w:val="center"/>
          </w:tcPr>
          <w:p>
            <w:pPr>
              <w:jc w:val="center"/>
              <w:rPr>
                <w:color w:val="auto"/>
                <w:kern w:val="0"/>
              </w:rPr>
            </w:pPr>
            <w:r>
              <w:rPr>
                <w:color w:val="auto"/>
                <w:kern w:val="0"/>
              </w:rPr>
              <w:t>7.5</w:t>
            </w:r>
          </w:p>
        </w:tc>
        <w:tc>
          <w:tcPr>
            <w:tcW w:w="362" w:type="pct"/>
            <w:tcMar>
              <w:top w:w="0" w:type="dxa"/>
              <w:left w:w="0" w:type="dxa"/>
              <w:bottom w:w="0" w:type="dxa"/>
              <w:right w:w="0" w:type="dxa"/>
            </w:tcMar>
            <w:vAlign w:val="center"/>
          </w:tcPr>
          <w:p>
            <w:pPr>
              <w:jc w:val="center"/>
              <w:rPr>
                <w:color w:val="auto"/>
                <w:kern w:val="0"/>
              </w:rPr>
            </w:pPr>
            <w:r>
              <w:rPr>
                <w:color w:val="auto"/>
                <w:kern w:val="0"/>
              </w:rPr>
              <w:t>6.1</w:t>
            </w:r>
          </w:p>
        </w:tc>
        <w:tc>
          <w:tcPr>
            <w:tcW w:w="207" w:type="pct"/>
            <w:tcMar>
              <w:top w:w="0" w:type="dxa"/>
              <w:left w:w="0" w:type="dxa"/>
              <w:bottom w:w="0" w:type="dxa"/>
              <w:right w:w="0" w:type="dxa"/>
            </w:tcMar>
            <w:vAlign w:val="center"/>
          </w:tcPr>
          <w:p>
            <w:pPr>
              <w:jc w:val="center"/>
              <w:rPr>
                <w:color w:val="auto"/>
                <w:kern w:val="0"/>
              </w:rPr>
            </w:pPr>
            <w:r>
              <w:rPr>
                <w:color w:val="auto"/>
                <w:kern w:val="0"/>
              </w:rPr>
              <w:t>2.3</w:t>
            </w:r>
          </w:p>
        </w:tc>
        <w:tc>
          <w:tcPr>
            <w:tcW w:w="387" w:type="pct"/>
            <w:tcMar>
              <w:top w:w="0" w:type="dxa"/>
              <w:left w:w="0" w:type="dxa"/>
              <w:bottom w:w="0" w:type="dxa"/>
              <w:right w:w="0" w:type="dxa"/>
            </w:tcMar>
            <w:vAlign w:val="center"/>
          </w:tcPr>
          <w:p>
            <w:pPr>
              <w:jc w:val="center"/>
              <w:rPr>
                <w:color w:val="auto"/>
                <w:kern w:val="0"/>
              </w:rPr>
            </w:pPr>
            <w:r>
              <w:rPr>
                <w:color w:val="auto"/>
                <w:kern w:val="0"/>
              </w:rPr>
              <w:t>1.2</w:t>
            </w:r>
          </w:p>
        </w:tc>
        <w:tc>
          <w:tcPr>
            <w:tcW w:w="267" w:type="pct"/>
            <w:tcMar>
              <w:top w:w="0" w:type="dxa"/>
              <w:left w:w="0" w:type="dxa"/>
              <w:bottom w:w="0" w:type="dxa"/>
              <w:right w:w="0" w:type="dxa"/>
            </w:tcMar>
            <w:vAlign w:val="center"/>
          </w:tcPr>
          <w:p>
            <w:pPr>
              <w:jc w:val="center"/>
              <w:rPr>
                <w:color w:val="auto"/>
                <w:kern w:val="0"/>
              </w:rPr>
            </w:pPr>
            <w:r>
              <w:rPr>
                <w:color w:val="auto"/>
                <w:kern w:val="0"/>
              </w:rPr>
              <w:t>1.2</w:t>
            </w:r>
          </w:p>
        </w:tc>
        <w:tc>
          <w:tcPr>
            <w:tcW w:w="355" w:type="pct"/>
            <w:tcMar>
              <w:top w:w="0" w:type="dxa"/>
              <w:left w:w="0" w:type="dxa"/>
              <w:bottom w:w="0" w:type="dxa"/>
              <w:right w:w="0" w:type="dxa"/>
            </w:tcMar>
            <w:vAlign w:val="center"/>
          </w:tcPr>
          <w:p>
            <w:pPr>
              <w:jc w:val="center"/>
              <w:rPr>
                <w:color w:val="auto"/>
                <w:kern w:val="0"/>
              </w:rPr>
            </w:pPr>
            <w:r>
              <w:rPr>
                <w:color w:val="auto"/>
                <w:kern w:val="0"/>
              </w:rPr>
              <w:t>1.0</w:t>
            </w:r>
          </w:p>
        </w:tc>
        <w:tc>
          <w:tcPr>
            <w:tcW w:w="295" w:type="pct"/>
            <w:tcMar>
              <w:top w:w="0" w:type="dxa"/>
              <w:left w:w="0" w:type="dxa"/>
              <w:bottom w:w="0" w:type="dxa"/>
              <w:right w:w="0" w:type="dxa"/>
            </w:tcMar>
            <w:vAlign w:val="center"/>
          </w:tcPr>
          <w:p>
            <w:pPr>
              <w:spacing w:before="79"/>
              <w:rPr>
                <w:color w:val="auto"/>
                <w:kern w:val="0"/>
              </w:rPr>
            </w:pPr>
            <w:r>
              <w:rPr>
                <w:color w:val="auto"/>
                <w:kern w:val="0"/>
              </w:rPr>
              <w:t>24.6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5</w:t>
            </w:r>
          </w:p>
        </w:tc>
        <w:tc>
          <w:tcPr>
            <w:tcW w:w="188" w:type="pct"/>
            <w:tcMar>
              <w:top w:w="0" w:type="dxa"/>
              <w:left w:w="0" w:type="dxa"/>
              <w:bottom w:w="0" w:type="dxa"/>
              <w:right w:w="0" w:type="dxa"/>
            </w:tcMar>
            <w:vAlign w:val="center"/>
          </w:tcPr>
          <w:p>
            <w:pPr>
              <w:jc w:val="center"/>
              <w:rPr>
                <w:color w:val="auto"/>
                <w:kern w:val="0"/>
              </w:rPr>
            </w:pPr>
            <w:r>
              <w:rPr>
                <w:color w:val="auto"/>
                <w:kern w:val="0"/>
              </w:rPr>
              <w:t>1.9</w:t>
            </w:r>
          </w:p>
        </w:tc>
        <w:tc>
          <w:tcPr>
            <w:tcW w:w="305" w:type="pct"/>
            <w:tcMar>
              <w:top w:w="0" w:type="dxa"/>
              <w:left w:w="0" w:type="dxa"/>
              <w:bottom w:w="0" w:type="dxa"/>
              <w:right w:w="0" w:type="dxa"/>
            </w:tcMar>
            <w:vAlign w:val="center"/>
          </w:tcPr>
          <w:p>
            <w:pPr>
              <w:jc w:val="center"/>
              <w:rPr>
                <w:color w:val="auto"/>
                <w:kern w:val="0"/>
              </w:rPr>
            </w:pPr>
            <w:r>
              <w:rPr>
                <w:color w:val="auto"/>
                <w:kern w:val="0"/>
              </w:rPr>
              <w:t>3.5</w:t>
            </w:r>
          </w:p>
        </w:tc>
        <w:tc>
          <w:tcPr>
            <w:tcW w:w="261" w:type="pct"/>
            <w:tcMar>
              <w:top w:w="0" w:type="dxa"/>
              <w:left w:w="0" w:type="dxa"/>
              <w:bottom w:w="0" w:type="dxa"/>
              <w:right w:w="0" w:type="dxa"/>
            </w:tcMar>
            <w:vAlign w:val="center"/>
          </w:tcPr>
          <w:p>
            <w:pPr>
              <w:jc w:val="center"/>
              <w:rPr>
                <w:color w:val="auto"/>
                <w:kern w:val="0"/>
              </w:rPr>
            </w:pPr>
            <w:r>
              <w:rPr>
                <w:color w:val="auto"/>
                <w:kern w:val="0"/>
              </w:rPr>
              <w:t>6.7</w:t>
            </w:r>
          </w:p>
        </w:tc>
        <w:tc>
          <w:tcPr>
            <w:tcW w:w="288" w:type="pct"/>
            <w:tcMar>
              <w:top w:w="0" w:type="dxa"/>
              <w:left w:w="0" w:type="dxa"/>
              <w:bottom w:w="0" w:type="dxa"/>
              <w:right w:w="0" w:type="dxa"/>
            </w:tcMar>
            <w:vAlign w:val="center"/>
          </w:tcPr>
          <w:p>
            <w:pPr>
              <w:jc w:val="center"/>
              <w:rPr>
                <w:color w:val="auto"/>
                <w:kern w:val="0"/>
              </w:rPr>
            </w:pPr>
            <w:r>
              <w:rPr>
                <w:color w:val="auto"/>
                <w:kern w:val="0"/>
              </w:rPr>
              <w:t>8.9</w:t>
            </w:r>
          </w:p>
        </w:tc>
        <w:tc>
          <w:tcPr>
            <w:tcW w:w="261" w:type="pct"/>
            <w:tcMar>
              <w:top w:w="0" w:type="dxa"/>
              <w:left w:w="0" w:type="dxa"/>
              <w:bottom w:w="0" w:type="dxa"/>
              <w:right w:w="0" w:type="dxa"/>
            </w:tcMar>
            <w:vAlign w:val="center"/>
          </w:tcPr>
          <w:p>
            <w:pPr>
              <w:jc w:val="center"/>
              <w:rPr>
                <w:color w:val="auto"/>
                <w:kern w:val="0"/>
              </w:rPr>
            </w:pPr>
            <w:r>
              <w:rPr>
                <w:color w:val="auto"/>
                <w:kern w:val="0"/>
              </w:rPr>
              <w:t>5.7</w:t>
            </w:r>
          </w:p>
        </w:tc>
        <w:tc>
          <w:tcPr>
            <w:tcW w:w="265" w:type="pct"/>
            <w:tcMar>
              <w:top w:w="0" w:type="dxa"/>
              <w:left w:w="0" w:type="dxa"/>
              <w:bottom w:w="0" w:type="dxa"/>
              <w:right w:w="0" w:type="dxa"/>
            </w:tcMar>
            <w:vAlign w:val="center"/>
          </w:tcPr>
          <w:p>
            <w:pPr>
              <w:jc w:val="center"/>
              <w:rPr>
                <w:color w:val="auto"/>
                <w:kern w:val="0"/>
              </w:rPr>
            </w:pPr>
            <w:r>
              <w:rPr>
                <w:color w:val="auto"/>
                <w:kern w:val="0"/>
              </w:rPr>
              <w:t>3.3</w:t>
            </w:r>
          </w:p>
        </w:tc>
        <w:tc>
          <w:tcPr>
            <w:tcW w:w="188" w:type="pct"/>
            <w:tcMar>
              <w:top w:w="0" w:type="dxa"/>
              <w:left w:w="0" w:type="dxa"/>
              <w:bottom w:w="0" w:type="dxa"/>
              <w:right w:w="0" w:type="dxa"/>
            </w:tcMar>
            <w:vAlign w:val="center"/>
          </w:tcPr>
          <w:p>
            <w:pPr>
              <w:jc w:val="center"/>
              <w:rPr>
                <w:color w:val="auto"/>
                <w:kern w:val="0"/>
              </w:rPr>
            </w:pPr>
            <w:r>
              <w:rPr>
                <w:color w:val="auto"/>
                <w:kern w:val="0"/>
              </w:rPr>
              <w:t>5.4</w:t>
            </w:r>
          </w:p>
        </w:tc>
        <w:tc>
          <w:tcPr>
            <w:tcW w:w="257" w:type="pct"/>
            <w:tcMar>
              <w:top w:w="0" w:type="dxa"/>
              <w:left w:w="0" w:type="dxa"/>
              <w:bottom w:w="0" w:type="dxa"/>
              <w:right w:w="0" w:type="dxa"/>
            </w:tcMar>
            <w:vAlign w:val="center"/>
          </w:tcPr>
          <w:p>
            <w:pPr>
              <w:jc w:val="center"/>
              <w:rPr>
                <w:color w:val="auto"/>
                <w:kern w:val="0"/>
              </w:rPr>
            </w:pPr>
            <w:r>
              <w:rPr>
                <w:color w:val="auto"/>
                <w:kern w:val="0"/>
              </w:rPr>
              <w:t>5.8</w:t>
            </w:r>
          </w:p>
        </w:tc>
        <w:tc>
          <w:tcPr>
            <w:tcW w:w="255" w:type="pct"/>
            <w:tcMar>
              <w:top w:w="0" w:type="dxa"/>
              <w:left w:w="0" w:type="dxa"/>
              <w:bottom w:w="0" w:type="dxa"/>
              <w:right w:w="0" w:type="dxa"/>
            </w:tcMar>
            <w:vAlign w:val="center"/>
          </w:tcPr>
          <w:p>
            <w:pPr>
              <w:jc w:val="center"/>
              <w:rPr>
                <w:color w:val="auto"/>
                <w:kern w:val="0"/>
              </w:rPr>
            </w:pPr>
            <w:r>
              <w:rPr>
                <w:color w:val="auto"/>
                <w:kern w:val="0"/>
              </w:rPr>
              <w:t>6.1</w:t>
            </w:r>
          </w:p>
        </w:tc>
        <w:tc>
          <w:tcPr>
            <w:tcW w:w="305" w:type="pct"/>
            <w:tcMar>
              <w:top w:w="0" w:type="dxa"/>
              <w:left w:w="0" w:type="dxa"/>
              <w:bottom w:w="0" w:type="dxa"/>
              <w:right w:w="0" w:type="dxa"/>
            </w:tcMar>
            <w:vAlign w:val="center"/>
          </w:tcPr>
          <w:p>
            <w:pPr>
              <w:jc w:val="center"/>
              <w:rPr>
                <w:color w:val="auto"/>
                <w:kern w:val="0"/>
              </w:rPr>
            </w:pPr>
            <w:r>
              <w:rPr>
                <w:color w:val="auto"/>
                <w:kern w:val="0"/>
              </w:rPr>
              <w:t>7.4</w:t>
            </w:r>
          </w:p>
        </w:tc>
        <w:tc>
          <w:tcPr>
            <w:tcW w:w="255" w:type="pct"/>
            <w:tcMar>
              <w:top w:w="0" w:type="dxa"/>
              <w:left w:w="0" w:type="dxa"/>
              <w:bottom w:w="0" w:type="dxa"/>
              <w:right w:w="0" w:type="dxa"/>
            </w:tcMar>
            <w:vAlign w:val="center"/>
          </w:tcPr>
          <w:p>
            <w:pPr>
              <w:jc w:val="center"/>
              <w:rPr>
                <w:color w:val="auto"/>
                <w:kern w:val="0"/>
              </w:rPr>
            </w:pPr>
            <w:r>
              <w:rPr>
                <w:color w:val="auto"/>
                <w:kern w:val="0"/>
              </w:rPr>
              <w:t>8.2</w:t>
            </w:r>
          </w:p>
        </w:tc>
        <w:tc>
          <w:tcPr>
            <w:tcW w:w="362" w:type="pct"/>
            <w:tcMar>
              <w:top w:w="0" w:type="dxa"/>
              <w:left w:w="0" w:type="dxa"/>
              <w:bottom w:w="0" w:type="dxa"/>
              <w:right w:w="0" w:type="dxa"/>
            </w:tcMar>
            <w:vAlign w:val="center"/>
          </w:tcPr>
          <w:p>
            <w:pPr>
              <w:jc w:val="center"/>
              <w:rPr>
                <w:color w:val="auto"/>
                <w:kern w:val="0"/>
              </w:rPr>
            </w:pPr>
            <w:r>
              <w:rPr>
                <w:color w:val="auto"/>
                <w:kern w:val="0"/>
              </w:rPr>
              <w:t>6.1</w:t>
            </w:r>
          </w:p>
        </w:tc>
        <w:tc>
          <w:tcPr>
            <w:tcW w:w="207" w:type="pct"/>
            <w:tcMar>
              <w:top w:w="0" w:type="dxa"/>
              <w:left w:w="0" w:type="dxa"/>
              <w:bottom w:w="0" w:type="dxa"/>
              <w:right w:w="0" w:type="dxa"/>
            </w:tcMar>
            <w:vAlign w:val="center"/>
          </w:tcPr>
          <w:p>
            <w:pPr>
              <w:jc w:val="center"/>
              <w:rPr>
                <w:color w:val="auto"/>
                <w:kern w:val="0"/>
              </w:rPr>
            </w:pPr>
            <w:r>
              <w:rPr>
                <w:color w:val="auto"/>
                <w:kern w:val="0"/>
              </w:rPr>
              <w:t>3.1</w:t>
            </w:r>
          </w:p>
        </w:tc>
        <w:tc>
          <w:tcPr>
            <w:tcW w:w="387" w:type="pct"/>
            <w:tcMar>
              <w:top w:w="0" w:type="dxa"/>
              <w:left w:w="0" w:type="dxa"/>
              <w:bottom w:w="0" w:type="dxa"/>
              <w:right w:w="0" w:type="dxa"/>
            </w:tcMar>
            <w:vAlign w:val="center"/>
          </w:tcPr>
          <w:p>
            <w:pPr>
              <w:jc w:val="center"/>
              <w:rPr>
                <w:color w:val="auto"/>
                <w:kern w:val="0"/>
              </w:rPr>
            </w:pPr>
            <w:r>
              <w:rPr>
                <w:color w:val="auto"/>
                <w:kern w:val="0"/>
              </w:rPr>
              <w:t>1.6</w:t>
            </w:r>
          </w:p>
        </w:tc>
        <w:tc>
          <w:tcPr>
            <w:tcW w:w="267" w:type="pct"/>
            <w:tcMar>
              <w:top w:w="0" w:type="dxa"/>
              <w:left w:w="0" w:type="dxa"/>
              <w:bottom w:w="0" w:type="dxa"/>
              <w:right w:w="0" w:type="dxa"/>
            </w:tcMar>
            <w:vAlign w:val="center"/>
          </w:tcPr>
          <w:p>
            <w:pPr>
              <w:jc w:val="center"/>
              <w:rPr>
                <w:color w:val="auto"/>
                <w:kern w:val="0"/>
              </w:rPr>
            </w:pPr>
            <w:r>
              <w:rPr>
                <w:color w:val="auto"/>
                <w:kern w:val="0"/>
              </w:rPr>
              <w:t>1.3</w:t>
            </w:r>
          </w:p>
        </w:tc>
        <w:tc>
          <w:tcPr>
            <w:tcW w:w="355" w:type="pct"/>
            <w:tcMar>
              <w:top w:w="0" w:type="dxa"/>
              <w:left w:w="0" w:type="dxa"/>
              <w:bottom w:w="0" w:type="dxa"/>
              <w:right w:w="0" w:type="dxa"/>
            </w:tcMar>
            <w:vAlign w:val="center"/>
          </w:tcPr>
          <w:p>
            <w:pPr>
              <w:jc w:val="center"/>
              <w:rPr>
                <w:color w:val="auto"/>
                <w:kern w:val="0"/>
              </w:rPr>
            </w:pPr>
            <w:r>
              <w:rPr>
                <w:color w:val="auto"/>
                <w:kern w:val="0"/>
              </w:rPr>
              <w:t>1.2</w:t>
            </w:r>
          </w:p>
        </w:tc>
        <w:tc>
          <w:tcPr>
            <w:tcW w:w="295" w:type="pct"/>
            <w:tcMar>
              <w:top w:w="0" w:type="dxa"/>
              <w:left w:w="0" w:type="dxa"/>
              <w:bottom w:w="0" w:type="dxa"/>
              <w:right w:w="0" w:type="dxa"/>
            </w:tcMar>
            <w:vAlign w:val="center"/>
          </w:tcPr>
          <w:p>
            <w:pPr>
              <w:spacing w:before="79"/>
              <w:rPr>
                <w:color w:val="auto"/>
                <w:kern w:val="0"/>
              </w:rPr>
            </w:pPr>
            <w:r>
              <w:rPr>
                <w:color w:val="auto"/>
                <w:kern w:val="0"/>
              </w:rPr>
              <w:t>23.8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6</w:t>
            </w:r>
          </w:p>
        </w:tc>
        <w:tc>
          <w:tcPr>
            <w:tcW w:w="188" w:type="pct"/>
            <w:tcMar>
              <w:top w:w="0" w:type="dxa"/>
              <w:left w:w="0" w:type="dxa"/>
              <w:bottom w:w="0" w:type="dxa"/>
              <w:right w:w="0" w:type="dxa"/>
            </w:tcMar>
            <w:vAlign w:val="center"/>
          </w:tcPr>
          <w:p>
            <w:pPr>
              <w:jc w:val="center"/>
              <w:rPr>
                <w:color w:val="auto"/>
                <w:kern w:val="0"/>
              </w:rPr>
            </w:pPr>
            <w:r>
              <w:rPr>
                <w:color w:val="auto"/>
                <w:kern w:val="0"/>
              </w:rPr>
              <w:t>2.0</w:t>
            </w:r>
          </w:p>
        </w:tc>
        <w:tc>
          <w:tcPr>
            <w:tcW w:w="305" w:type="pct"/>
            <w:tcMar>
              <w:top w:w="0" w:type="dxa"/>
              <w:left w:w="0" w:type="dxa"/>
              <w:bottom w:w="0" w:type="dxa"/>
              <w:right w:w="0" w:type="dxa"/>
            </w:tcMar>
            <w:vAlign w:val="center"/>
          </w:tcPr>
          <w:p>
            <w:pPr>
              <w:jc w:val="center"/>
              <w:rPr>
                <w:color w:val="auto"/>
                <w:kern w:val="0"/>
              </w:rPr>
            </w:pPr>
            <w:r>
              <w:rPr>
                <w:color w:val="auto"/>
                <w:kern w:val="0"/>
              </w:rPr>
              <w:t>3.3</w:t>
            </w:r>
          </w:p>
        </w:tc>
        <w:tc>
          <w:tcPr>
            <w:tcW w:w="261" w:type="pct"/>
            <w:tcMar>
              <w:top w:w="0" w:type="dxa"/>
              <w:left w:w="0" w:type="dxa"/>
              <w:bottom w:w="0" w:type="dxa"/>
              <w:right w:w="0" w:type="dxa"/>
            </w:tcMar>
            <w:vAlign w:val="center"/>
          </w:tcPr>
          <w:p>
            <w:pPr>
              <w:jc w:val="center"/>
              <w:rPr>
                <w:color w:val="auto"/>
                <w:kern w:val="0"/>
              </w:rPr>
            </w:pPr>
            <w:r>
              <w:rPr>
                <w:color w:val="auto"/>
                <w:kern w:val="0"/>
              </w:rPr>
              <w:t>8.5</w:t>
            </w:r>
          </w:p>
        </w:tc>
        <w:tc>
          <w:tcPr>
            <w:tcW w:w="288" w:type="pct"/>
            <w:tcMar>
              <w:top w:w="0" w:type="dxa"/>
              <w:left w:w="0" w:type="dxa"/>
              <w:bottom w:w="0" w:type="dxa"/>
              <w:right w:w="0" w:type="dxa"/>
            </w:tcMar>
            <w:vAlign w:val="center"/>
          </w:tcPr>
          <w:p>
            <w:pPr>
              <w:jc w:val="center"/>
              <w:rPr>
                <w:color w:val="auto"/>
                <w:kern w:val="0"/>
              </w:rPr>
            </w:pPr>
            <w:r>
              <w:rPr>
                <w:color w:val="auto"/>
                <w:kern w:val="0"/>
              </w:rPr>
              <w:t>9.6</w:t>
            </w:r>
          </w:p>
        </w:tc>
        <w:tc>
          <w:tcPr>
            <w:tcW w:w="261" w:type="pct"/>
            <w:tcMar>
              <w:top w:w="0" w:type="dxa"/>
              <w:left w:w="0" w:type="dxa"/>
              <w:bottom w:w="0" w:type="dxa"/>
              <w:right w:w="0" w:type="dxa"/>
            </w:tcMar>
            <w:vAlign w:val="center"/>
          </w:tcPr>
          <w:p>
            <w:pPr>
              <w:jc w:val="center"/>
              <w:rPr>
                <w:color w:val="auto"/>
                <w:kern w:val="0"/>
              </w:rPr>
            </w:pPr>
            <w:r>
              <w:rPr>
                <w:color w:val="auto"/>
                <w:kern w:val="0"/>
              </w:rPr>
              <w:t>7.2</w:t>
            </w:r>
          </w:p>
        </w:tc>
        <w:tc>
          <w:tcPr>
            <w:tcW w:w="265" w:type="pct"/>
            <w:tcMar>
              <w:top w:w="0" w:type="dxa"/>
              <w:left w:w="0" w:type="dxa"/>
              <w:bottom w:w="0" w:type="dxa"/>
              <w:right w:w="0" w:type="dxa"/>
            </w:tcMar>
            <w:vAlign w:val="center"/>
          </w:tcPr>
          <w:p>
            <w:pPr>
              <w:jc w:val="center"/>
              <w:rPr>
                <w:color w:val="auto"/>
                <w:kern w:val="0"/>
              </w:rPr>
            </w:pPr>
            <w:r>
              <w:rPr>
                <w:color w:val="auto"/>
                <w:kern w:val="0"/>
              </w:rPr>
              <w:t>4.0</w:t>
            </w:r>
          </w:p>
        </w:tc>
        <w:tc>
          <w:tcPr>
            <w:tcW w:w="188" w:type="pct"/>
            <w:tcMar>
              <w:top w:w="0" w:type="dxa"/>
              <w:left w:w="0" w:type="dxa"/>
              <w:bottom w:w="0" w:type="dxa"/>
              <w:right w:w="0" w:type="dxa"/>
            </w:tcMar>
            <w:vAlign w:val="center"/>
          </w:tcPr>
          <w:p>
            <w:pPr>
              <w:jc w:val="center"/>
              <w:rPr>
                <w:color w:val="auto"/>
                <w:kern w:val="0"/>
              </w:rPr>
            </w:pPr>
            <w:r>
              <w:rPr>
                <w:color w:val="auto"/>
                <w:kern w:val="0"/>
              </w:rPr>
              <w:t>7.1</w:t>
            </w:r>
          </w:p>
        </w:tc>
        <w:tc>
          <w:tcPr>
            <w:tcW w:w="257" w:type="pct"/>
            <w:tcMar>
              <w:top w:w="0" w:type="dxa"/>
              <w:left w:w="0" w:type="dxa"/>
              <w:bottom w:w="0" w:type="dxa"/>
              <w:right w:w="0" w:type="dxa"/>
            </w:tcMar>
            <w:vAlign w:val="center"/>
          </w:tcPr>
          <w:p>
            <w:pPr>
              <w:jc w:val="center"/>
              <w:rPr>
                <w:color w:val="auto"/>
                <w:kern w:val="0"/>
              </w:rPr>
            </w:pPr>
            <w:r>
              <w:rPr>
                <w:color w:val="auto"/>
                <w:kern w:val="0"/>
              </w:rPr>
              <w:t>6.6</w:t>
            </w:r>
          </w:p>
        </w:tc>
        <w:tc>
          <w:tcPr>
            <w:tcW w:w="255" w:type="pct"/>
            <w:tcMar>
              <w:top w:w="0" w:type="dxa"/>
              <w:left w:w="0" w:type="dxa"/>
              <w:bottom w:w="0" w:type="dxa"/>
              <w:right w:w="0" w:type="dxa"/>
            </w:tcMar>
            <w:vAlign w:val="center"/>
          </w:tcPr>
          <w:p>
            <w:pPr>
              <w:jc w:val="center"/>
              <w:rPr>
                <w:color w:val="auto"/>
                <w:kern w:val="0"/>
              </w:rPr>
            </w:pPr>
            <w:r>
              <w:rPr>
                <w:color w:val="auto"/>
                <w:kern w:val="0"/>
              </w:rPr>
              <w:t>7.3</w:t>
            </w:r>
          </w:p>
        </w:tc>
        <w:tc>
          <w:tcPr>
            <w:tcW w:w="305" w:type="pct"/>
            <w:tcMar>
              <w:top w:w="0" w:type="dxa"/>
              <w:left w:w="0" w:type="dxa"/>
              <w:bottom w:w="0" w:type="dxa"/>
              <w:right w:w="0" w:type="dxa"/>
            </w:tcMar>
            <w:vAlign w:val="center"/>
          </w:tcPr>
          <w:p>
            <w:pPr>
              <w:jc w:val="center"/>
              <w:rPr>
                <w:color w:val="auto"/>
                <w:kern w:val="0"/>
              </w:rPr>
            </w:pPr>
            <w:r>
              <w:rPr>
                <w:color w:val="auto"/>
                <w:kern w:val="0"/>
              </w:rPr>
              <w:t>4.5</w:t>
            </w:r>
          </w:p>
        </w:tc>
        <w:tc>
          <w:tcPr>
            <w:tcW w:w="255" w:type="pct"/>
            <w:tcMar>
              <w:top w:w="0" w:type="dxa"/>
              <w:left w:w="0" w:type="dxa"/>
              <w:bottom w:w="0" w:type="dxa"/>
              <w:right w:w="0" w:type="dxa"/>
            </w:tcMar>
            <w:vAlign w:val="center"/>
          </w:tcPr>
          <w:p>
            <w:pPr>
              <w:jc w:val="center"/>
              <w:rPr>
                <w:color w:val="auto"/>
                <w:kern w:val="0"/>
              </w:rPr>
            </w:pPr>
            <w:r>
              <w:rPr>
                <w:color w:val="auto"/>
                <w:kern w:val="0"/>
              </w:rPr>
              <w:t>6.1</w:t>
            </w:r>
          </w:p>
        </w:tc>
        <w:tc>
          <w:tcPr>
            <w:tcW w:w="362" w:type="pct"/>
            <w:tcMar>
              <w:top w:w="0" w:type="dxa"/>
              <w:left w:w="0" w:type="dxa"/>
              <w:bottom w:w="0" w:type="dxa"/>
              <w:right w:w="0" w:type="dxa"/>
            </w:tcMar>
            <w:vAlign w:val="center"/>
          </w:tcPr>
          <w:p>
            <w:pPr>
              <w:jc w:val="center"/>
              <w:rPr>
                <w:color w:val="auto"/>
                <w:kern w:val="0"/>
              </w:rPr>
            </w:pPr>
            <w:r>
              <w:rPr>
                <w:color w:val="auto"/>
                <w:kern w:val="0"/>
              </w:rPr>
              <w:t>4.0</w:t>
            </w:r>
          </w:p>
        </w:tc>
        <w:tc>
          <w:tcPr>
            <w:tcW w:w="207" w:type="pct"/>
            <w:tcMar>
              <w:top w:w="0" w:type="dxa"/>
              <w:left w:w="0" w:type="dxa"/>
              <w:bottom w:w="0" w:type="dxa"/>
              <w:right w:w="0" w:type="dxa"/>
            </w:tcMar>
            <w:vAlign w:val="center"/>
          </w:tcPr>
          <w:p>
            <w:pPr>
              <w:jc w:val="center"/>
              <w:rPr>
                <w:color w:val="auto"/>
                <w:kern w:val="0"/>
              </w:rPr>
            </w:pPr>
            <w:r>
              <w:rPr>
                <w:color w:val="auto"/>
                <w:kern w:val="0"/>
              </w:rPr>
              <w:t>2.3</w:t>
            </w:r>
          </w:p>
        </w:tc>
        <w:tc>
          <w:tcPr>
            <w:tcW w:w="387" w:type="pct"/>
            <w:tcMar>
              <w:top w:w="0" w:type="dxa"/>
              <w:left w:w="0" w:type="dxa"/>
              <w:bottom w:w="0" w:type="dxa"/>
              <w:right w:w="0" w:type="dxa"/>
            </w:tcMar>
            <w:vAlign w:val="center"/>
          </w:tcPr>
          <w:p>
            <w:pPr>
              <w:jc w:val="center"/>
              <w:rPr>
                <w:color w:val="auto"/>
                <w:kern w:val="0"/>
              </w:rPr>
            </w:pPr>
            <w:r>
              <w:rPr>
                <w:color w:val="auto"/>
                <w:kern w:val="0"/>
              </w:rPr>
              <w:t>1.6</w:t>
            </w:r>
          </w:p>
        </w:tc>
        <w:tc>
          <w:tcPr>
            <w:tcW w:w="267" w:type="pct"/>
            <w:tcMar>
              <w:top w:w="0" w:type="dxa"/>
              <w:left w:w="0" w:type="dxa"/>
              <w:bottom w:w="0" w:type="dxa"/>
              <w:right w:w="0" w:type="dxa"/>
            </w:tcMar>
            <w:vAlign w:val="center"/>
          </w:tcPr>
          <w:p>
            <w:pPr>
              <w:jc w:val="center"/>
              <w:rPr>
                <w:color w:val="auto"/>
                <w:kern w:val="0"/>
              </w:rPr>
            </w:pPr>
            <w:r>
              <w:rPr>
                <w:color w:val="auto"/>
                <w:kern w:val="0"/>
              </w:rPr>
              <w:t>1.6</w:t>
            </w:r>
          </w:p>
        </w:tc>
        <w:tc>
          <w:tcPr>
            <w:tcW w:w="355" w:type="pct"/>
            <w:tcMar>
              <w:top w:w="0" w:type="dxa"/>
              <w:left w:w="0" w:type="dxa"/>
              <w:bottom w:w="0" w:type="dxa"/>
              <w:right w:w="0" w:type="dxa"/>
            </w:tcMar>
            <w:vAlign w:val="center"/>
          </w:tcPr>
          <w:p>
            <w:pPr>
              <w:jc w:val="center"/>
              <w:rPr>
                <w:color w:val="auto"/>
                <w:kern w:val="0"/>
              </w:rPr>
            </w:pPr>
            <w:r>
              <w:rPr>
                <w:color w:val="auto"/>
                <w:kern w:val="0"/>
              </w:rPr>
              <w:t>1.6</w:t>
            </w:r>
          </w:p>
        </w:tc>
        <w:tc>
          <w:tcPr>
            <w:tcW w:w="295" w:type="pct"/>
            <w:tcMar>
              <w:top w:w="0" w:type="dxa"/>
              <w:left w:w="0" w:type="dxa"/>
              <w:bottom w:w="0" w:type="dxa"/>
              <w:right w:w="0" w:type="dxa"/>
            </w:tcMar>
            <w:vAlign w:val="center"/>
          </w:tcPr>
          <w:p>
            <w:pPr>
              <w:spacing w:before="79"/>
              <w:rPr>
                <w:color w:val="auto"/>
                <w:kern w:val="0"/>
              </w:rPr>
            </w:pPr>
            <w:r>
              <w:rPr>
                <w:color w:val="auto"/>
                <w:kern w:val="0"/>
              </w:rPr>
              <w:t>22.8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7</w:t>
            </w:r>
          </w:p>
        </w:tc>
        <w:tc>
          <w:tcPr>
            <w:tcW w:w="188" w:type="pct"/>
            <w:tcMar>
              <w:top w:w="0" w:type="dxa"/>
              <w:left w:w="0" w:type="dxa"/>
              <w:bottom w:w="0" w:type="dxa"/>
              <w:right w:w="0" w:type="dxa"/>
            </w:tcMar>
            <w:vAlign w:val="center"/>
          </w:tcPr>
          <w:p>
            <w:pPr>
              <w:jc w:val="center"/>
              <w:rPr>
                <w:color w:val="auto"/>
                <w:kern w:val="0"/>
              </w:rPr>
            </w:pPr>
            <w:r>
              <w:rPr>
                <w:color w:val="auto"/>
                <w:kern w:val="0"/>
              </w:rPr>
              <w:t>3.1</w:t>
            </w:r>
          </w:p>
        </w:tc>
        <w:tc>
          <w:tcPr>
            <w:tcW w:w="305" w:type="pct"/>
            <w:tcMar>
              <w:top w:w="0" w:type="dxa"/>
              <w:left w:w="0" w:type="dxa"/>
              <w:bottom w:w="0" w:type="dxa"/>
              <w:right w:w="0" w:type="dxa"/>
            </w:tcMar>
            <w:vAlign w:val="center"/>
          </w:tcPr>
          <w:p>
            <w:pPr>
              <w:jc w:val="center"/>
              <w:rPr>
                <w:color w:val="auto"/>
                <w:kern w:val="0"/>
              </w:rPr>
            </w:pPr>
            <w:r>
              <w:rPr>
                <w:color w:val="auto"/>
                <w:kern w:val="0"/>
              </w:rPr>
              <w:t>4.6</w:t>
            </w:r>
          </w:p>
        </w:tc>
        <w:tc>
          <w:tcPr>
            <w:tcW w:w="261" w:type="pct"/>
            <w:tcMar>
              <w:top w:w="0" w:type="dxa"/>
              <w:left w:w="0" w:type="dxa"/>
              <w:bottom w:w="0" w:type="dxa"/>
              <w:right w:w="0" w:type="dxa"/>
            </w:tcMar>
            <w:vAlign w:val="center"/>
          </w:tcPr>
          <w:p>
            <w:pPr>
              <w:jc w:val="center"/>
              <w:rPr>
                <w:color w:val="auto"/>
                <w:kern w:val="0"/>
              </w:rPr>
            </w:pPr>
            <w:r>
              <w:rPr>
                <w:color w:val="auto"/>
                <w:kern w:val="0"/>
              </w:rPr>
              <w:t>7.8</w:t>
            </w:r>
          </w:p>
        </w:tc>
        <w:tc>
          <w:tcPr>
            <w:tcW w:w="288" w:type="pct"/>
            <w:tcMar>
              <w:top w:w="0" w:type="dxa"/>
              <w:left w:w="0" w:type="dxa"/>
              <w:bottom w:w="0" w:type="dxa"/>
              <w:right w:w="0" w:type="dxa"/>
            </w:tcMar>
            <w:vAlign w:val="center"/>
          </w:tcPr>
          <w:p>
            <w:pPr>
              <w:spacing w:before="79"/>
              <w:ind w:left="85"/>
              <w:rPr>
                <w:color w:val="auto"/>
                <w:kern w:val="0"/>
              </w:rPr>
            </w:pPr>
            <w:r>
              <w:rPr>
                <w:color w:val="auto"/>
                <w:kern w:val="0"/>
              </w:rPr>
              <w:t>10.6</w:t>
            </w:r>
          </w:p>
        </w:tc>
        <w:tc>
          <w:tcPr>
            <w:tcW w:w="261" w:type="pct"/>
            <w:tcMar>
              <w:top w:w="0" w:type="dxa"/>
              <w:left w:w="0" w:type="dxa"/>
              <w:bottom w:w="0" w:type="dxa"/>
              <w:right w:w="0" w:type="dxa"/>
            </w:tcMar>
            <w:vAlign w:val="center"/>
          </w:tcPr>
          <w:p>
            <w:pPr>
              <w:jc w:val="center"/>
              <w:rPr>
                <w:color w:val="auto"/>
                <w:kern w:val="0"/>
              </w:rPr>
            </w:pPr>
            <w:r>
              <w:rPr>
                <w:color w:val="auto"/>
                <w:kern w:val="0"/>
              </w:rPr>
              <w:t>6.7</w:t>
            </w:r>
          </w:p>
        </w:tc>
        <w:tc>
          <w:tcPr>
            <w:tcW w:w="265" w:type="pct"/>
            <w:tcMar>
              <w:top w:w="0" w:type="dxa"/>
              <w:left w:w="0" w:type="dxa"/>
              <w:bottom w:w="0" w:type="dxa"/>
              <w:right w:w="0" w:type="dxa"/>
            </w:tcMar>
            <w:vAlign w:val="center"/>
          </w:tcPr>
          <w:p>
            <w:pPr>
              <w:jc w:val="center"/>
              <w:rPr>
                <w:color w:val="auto"/>
                <w:kern w:val="0"/>
              </w:rPr>
            </w:pPr>
            <w:r>
              <w:rPr>
                <w:color w:val="auto"/>
                <w:kern w:val="0"/>
              </w:rPr>
              <w:t>4.3</w:t>
            </w:r>
          </w:p>
        </w:tc>
        <w:tc>
          <w:tcPr>
            <w:tcW w:w="188" w:type="pct"/>
            <w:tcMar>
              <w:top w:w="0" w:type="dxa"/>
              <w:left w:w="0" w:type="dxa"/>
              <w:bottom w:w="0" w:type="dxa"/>
              <w:right w:w="0" w:type="dxa"/>
            </w:tcMar>
            <w:vAlign w:val="center"/>
          </w:tcPr>
          <w:p>
            <w:pPr>
              <w:jc w:val="center"/>
              <w:rPr>
                <w:color w:val="auto"/>
                <w:kern w:val="0"/>
              </w:rPr>
            </w:pPr>
            <w:r>
              <w:rPr>
                <w:color w:val="auto"/>
                <w:kern w:val="0"/>
              </w:rPr>
              <w:t>7.1</w:t>
            </w:r>
          </w:p>
        </w:tc>
        <w:tc>
          <w:tcPr>
            <w:tcW w:w="257" w:type="pct"/>
            <w:tcMar>
              <w:top w:w="0" w:type="dxa"/>
              <w:left w:w="0" w:type="dxa"/>
              <w:bottom w:w="0" w:type="dxa"/>
              <w:right w:w="0" w:type="dxa"/>
            </w:tcMar>
            <w:vAlign w:val="center"/>
          </w:tcPr>
          <w:p>
            <w:pPr>
              <w:jc w:val="center"/>
              <w:rPr>
                <w:color w:val="auto"/>
                <w:kern w:val="0"/>
              </w:rPr>
            </w:pPr>
            <w:r>
              <w:rPr>
                <w:color w:val="auto"/>
                <w:kern w:val="0"/>
              </w:rPr>
              <w:t>5.0</w:t>
            </w:r>
          </w:p>
        </w:tc>
        <w:tc>
          <w:tcPr>
            <w:tcW w:w="255" w:type="pct"/>
            <w:tcMar>
              <w:top w:w="0" w:type="dxa"/>
              <w:left w:w="0" w:type="dxa"/>
              <w:bottom w:w="0" w:type="dxa"/>
              <w:right w:w="0" w:type="dxa"/>
            </w:tcMar>
            <w:vAlign w:val="center"/>
          </w:tcPr>
          <w:p>
            <w:pPr>
              <w:jc w:val="center"/>
              <w:rPr>
                <w:color w:val="auto"/>
                <w:kern w:val="0"/>
              </w:rPr>
            </w:pPr>
            <w:r>
              <w:rPr>
                <w:color w:val="auto"/>
                <w:kern w:val="0"/>
              </w:rPr>
              <w:t>6.2</w:t>
            </w:r>
          </w:p>
        </w:tc>
        <w:tc>
          <w:tcPr>
            <w:tcW w:w="305" w:type="pct"/>
            <w:tcMar>
              <w:top w:w="0" w:type="dxa"/>
              <w:left w:w="0" w:type="dxa"/>
              <w:bottom w:w="0" w:type="dxa"/>
              <w:right w:w="0" w:type="dxa"/>
            </w:tcMar>
            <w:vAlign w:val="center"/>
          </w:tcPr>
          <w:p>
            <w:pPr>
              <w:jc w:val="center"/>
              <w:rPr>
                <w:color w:val="auto"/>
                <w:kern w:val="0"/>
              </w:rPr>
            </w:pPr>
            <w:r>
              <w:rPr>
                <w:color w:val="auto"/>
                <w:kern w:val="0"/>
              </w:rPr>
              <w:t>3.1</w:t>
            </w:r>
          </w:p>
        </w:tc>
        <w:tc>
          <w:tcPr>
            <w:tcW w:w="255" w:type="pct"/>
            <w:tcMar>
              <w:top w:w="0" w:type="dxa"/>
              <w:left w:w="0" w:type="dxa"/>
              <w:bottom w:w="0" w:type="dxa"/>
              <w:right w:w="0" w:type="dxa"/>
            </w:tcMar>
            <w:vAlign w:val="center"/>
          </w:tcPr>
          <w:p>
            <w:pPr>
              <w:jc w:val="center"/>
              <w:rPr>
                <w:color w:val="auto"/>
                <w:kern w:val="0"/>
              </w:rPr>
            </w:pPr>
            <w:r>
              <w:rPr>
                <w:color w:val="auto"/>
                <w:kern w:val="0"/>
              </w:rPr>
              <w:t>4.9</w:t>
            </w:r>
          </w:p>
        </w:tc>
        <w:tc>
          <w:tcPr>
            <w:tcW w:w="362" w:type="pct"/>
            <w:tcMar>
              <w:top w:w="0" w:type="dxa"/>
              <w:left w:w="0" w:type="dxa"/>
              <w:bottom w:w="0" w:type="dxa"/>
              <w:right w:w="0" w:type="dxa"/>
            </w:tcMar>
            <w:vAlign w:val="center"/>
          </w:tcPr>
          <w:p>
            <w:pPr>
              <w:jc w:val="center"/>
              <w:rPr>
                <w:color w:val="auto"/>
                <w:kern w:val="0"/>
              </w:rPr>
            </w:pPr>
            <w:r>
              <w:rPr>
                <w:color w:val="auto"/>
                <w:kern w:val="0"/>
              </w:rPr>
              <w:t>2.6</w:t>
            </w:r>
          </w:p>
        </w:tc>
        <w:tc>
          <w:tcPr>
            <w:tcW w:w="207" w:type="pct"/>
            <w:tcMar>
              <w:top w:w="0" w:type="dxa"/>
              <w:left w:w="0" w:type="dxa"/>
              <w:bottom w:w="0" w:type="dxa"/>
              <w:right w:w="0" w:type="dxa"/>
            </w:tcMar>
            <w:vAlign w:val="center"/>
          </w:tcPr>
          <w:p>
            <w:pPr>
              <w:jc w:val="center"/>
              <w:rPr>
                <w:color w:val="auto"/>
                <w:kern w:val="0"/>
              </w:rPr>
            </w:pPr>
            <w:r>
              <w:rPr>
                <w:color w:val="auto"/>
                <w:kern w:val="0"/>
              </w:rPr>
              <w:t>1.9</w:t>
            </w:r>
          </w:p>
        </w:tc>
        <w:tc>
          <w:tcPr>
            <w:tcW w:w="387" w:type="pct"/>
            <w:tcMar>
              <w:top w:w="0" w:type="dxa"/>
              <w:left w:w="0" w:type="dxa"/>
              <w:bottom w:w="0" w:type="dxa"/>
              <w:right w:w="0" w:type="dxa"/>
            </w:tcMar>
            <w:vAlign w:val="center"/>
          </w:tcPr>
          <w:p>
            <w:pPr>
              <w:jc w:val="center"/>
              <w:rPr>
                <w:color w:val="auto"/>
                <w:kern w:val="0"/>
              </w:rPr>
            </w:pPr>
            <w:r>
              <w:rPr>
                <w:color w:val="auto"/>
                <w:kern w:val="0"/>
              </w:rPr>
              <w:t>1.5</w:t>
            </w:r>
          </w:p>
        </w:tc>
        <w:tc>
          <w:tcPr>
            <w:tcW w:w="267" w:type="pct"/>
            <w:tcMar>
              <w:top w:w="0" w:type="dxa"/>
              <w:left w:w="0" w:type="dxa"/>
              <w:bottom w:w="0" w:type="dxa"/>
              <w:right w:w="0" w:type="dxa"/>
            </w:tcMar>
            <w:vAlign w:val="center"/>
          </w:tcPr>
          <w:p>
            <w:pPr>
              <w:jc w:val="center"/>
              <w:rPr>
                <w:color w:val="auto"/>
                <w:kern w:val="0"/>
              </w:rPr>
            </w:pPr>
            <w:r>
              <w:rPr>
                <w:color w:val="auto"/>
                <w:kern w:val="0"/>
              </w:rPr>
              <w:t>1.1</w:t>
            </w:r>
          </w:p>
        </w:tc>
        <w:tc>
          <w:tcPr>
            <w:tcW w:w="355" w:type="pct"/>
            <w:tcMar>
              <w:top w:w="0" w:type="dxa"/>
              <w:left w:w="0" w:type="dxa"/>
              <w:bottom w:w="0" w:type="dxa"/>
              <w:right w:w="0" w:type="dxa"/>
            </w:tcMar>
            <w:vAlign w:val="center"/>
          </w:tcPr>
          <w:p>
            <w:pPr>
              <w:jc w:val="center"/>
              <w:rPr>
                <w:color w:val="auto"/>
                <w:kern w:val="0"/>
              </w:rPr>
            </w:pPr>
            <w:r>
              <w:rPr>
                <w:color w:val="auto"/>
                <w:kern w:val="0"/>
              </w:rPr>
              <w:t>1.3</w:t>
            </w:r>
          </w:p>
        </w:tc>
        <w:tc>
          <w:tcPr>
            <w:tcW w:w="295" w:type="pct"/>
            <w:tcMar>
              <w:top w:w="0" w:type="dxa"/>
              <w:left w:w="0" w:type="dxa"/>
              <w:bottom w:w="0" w:type="dxa"/>
              <w:right w:w="0" w:type="dxa"/>
            </w:tcMar>
            <w:vAlign w:val="center"/>
          </w:tcPr>
          <w:p>
            <w:pPr>
              <w:spacing w:before="79"/>
              <w:rPr>
                <w:color w:val="auto"/>
                <w:kern w:val="0"/>
              </w:rPr>
            </w:pPr>
            <w:r>
              <w:rPr>
                <w:color w:val="auto"/>
                <w:kern w:val="0"/>
              </w:rPr>
              <w:t>28.3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8</w:t>
            </w:r>
          </w:p>
        </w:tc>
        <w:tc>
          <w:tcPr>
            <w:tcW w:w="188" w:type="pct"/>
            <w:tcMar>
              <w:top w:w="0" w:type="dxa"/>
              <w:left w:w="0" w:type="dxa"/>
              <w:bottom w:w="0" w:type="dxa"/>
              <w:right w:w="0" w:type="dxa"/>
            </w:tcMar>
            <w:vAlign w:val="center"/>
          </w:tcPr>
          <w:p>
            <w:pPr>
              <w:jc w:val="center"/>
              <w:rPr>
                <w:color w:val="auto"/>
                <w:kern w:val="0"/>
              </w:rPr>
            </w:pPr>
            <w:r>
              <w:rPr>
                <w:color w:val="auto"/>
                <w:kern w:val="0"/>
              </w:rPr>
              <w:t>4.2</w:t>
            </w:r>
          </w:p>
        </w:tc>
        <w:tc>
          <w:tcPr>
            <w:tcW w:w="305" w:type="pct"/>
            <w:tcMar>
              <w:top w:w="0" w:type="dxa"/>
              <w:left w:w="0" w:type="dxa"/>
              <w:bottom w:w="0" w:type="dxa"/>
              <w:right w:w="0" w:type="dxa"/>
            </w:tcMar>
            <w:vAlign w:val="center"/>
          </w:tcPr>
          <w:p>
            <w:pPr>
              <w:jc w:val="center"/>
              <w:rPr>
                <w:color w:val="auto"/>
                <w:kern w:val="0"/>
              </w:rPr>
            </w:pPr>
            <w:r>
              <w:rPr>
                <w:color w:val="auto"/>
                <w:kern w:val="0"/>
              </w:rPr>
              <w:t>4.2</w:t>
            </w:r>
          </w:p>
        </w:tc>
        <w:tc>
          <w:tcPr>
            <w:tcW w:w="261" w:type="pct"/>
            <w:tcMar>
              <w:top w:w="0" w:type="dxa"/>
              <w:left w:w="0" w:type="dxa"/>
              <w:bottom w:w="0" w:type="dxa"/>
              <w:right w:w="0" w:type="dxa"/>
            </w:tcMar>
            <w:vAlign w:val="center"/>
          </w:tcPr>
          <w:p>
            <w:pPr>
              <w:jc w:val="center"/>
              <w:rPr>
                <w:color w:val="auto"/>
                <w:kern w:val="0"/>
              </w:rPr>
            </w:pPr>
            <w:r>
              <w:rPr>
                <w:color w:val="auto"/>
                <w:kern w:val="0"/>
              </w:rPr>
              <w:t>9.8</w:t>
            </w:r>
          </w:p>
        </w:tc>
        <w:tc>
          <w:tcPr>
            <w:tcW w:w="288" w:type="pct"/>
            <w:tcMar>
              <w:top w:w="0" w:type="dxa"/>
              <w:left w:w="0" w:type="dxa"/>
              <w:bottom w:w="0" w:type="dxa"/>
              <w:right w:w="0" w:type="dxa"/>
            </w:tcMar>
            <w:vAlign w:val="center"/>
          </w:tcPr>
          <w:p>
            <w:pPr>
              <w:spacing w:before="79"/>
              <w:ind w:left="85"/>
              <w:rPr>
                <w:color w:val="auto"/>
                <w:kern w:val="0"/>
              </w:rPr>
            </w:pPr>
            <w:r>
              <w:rPr>
                <w:color w:val="auto"/>
                <w:kern w:val="0"/>
              </w:rPr>
              <w:t>11.0</w:t>
            </w:r>
          </w:p>
        </w:tc>
        <w:tc>
          <w:tcPr>
            <w:tcW w:w="261" w:type="pct"/>
            <w:tcMar>
              <w:top w:w="0" w:type="dxa"/>
              <w:left w:w="0" w:type="dxa"/>
              <w:bottom w:w="0" w:type="dxa"/>
              <w:right w:w="0" w:type="dxa"/>
            </w:tcMar>
            <w:vAlign w:val="center"/>
          </w:tcPr>
          <w:p>
            <w:pPr>
              <w:jc w:val="center"/>
              <w:rPr>
                <w:color w:val="auto"/>
                <w:kern w:val="0"/>
              </w:rPr>
            </w:pPr>
            <w:r>
              <w:rPr>
                <w:color w:val="auto"/>
                <w:kern w:val="0"/>
              </w:rPr>
              <w:t>5.4</w:t>
            </w:r>
          </w:p>
        </w:tc>
        <w:tc>
          <w:tcPr>
            <w:tcW w:w="265" w:type="pct"/>
            <w:tcMar>
              <w:top w:w="0" w:type="dxa"/>
              <w:left w:w="0" w:type="dxa"/>
              <w:bottom w:w="0" w:type="dxa"/>
              <w:right w:w="0" w:type="dxa"/>
            </w:tcMar>
            <w:vAlign w:val="center"/>
          </w:tcPr>
          <w:p>
            <w:pPr>
              <w:jc w:val="center"/>
              <w:rPr>
                <w:color w:val="auto"/>
                <w:kern w:val="0"/>
              </w:rPr>
            </w:pPr>
            <w:r>
              <w:rPr>
                <w:color w:val="auto"/>
                <w:kern w:val="0"/>
              </w:rPr>
              <w:t>4.1</w:t>
            </w:r>
          </w:p>
        </w:tc>
        <w:tc>
          <w:tcPr>
            <w:tcW w:w="188" w:type="pct"/>
            <w:tcMar>
              <w:top w:w="0" w:type="dxa"/>
              <w:left w:w="0" w:type="dxa"/>
              <w:bottom w:w="0" w:type="dxa"/>
              <w:right w:w="0" w:type="dxa"/>
            </w:tcMar>
            <w:vAlign w:val="center"/>
          </w:tcPr>
          <w:p>
            <w:pPr>
              <w:jc w:val="center"/>
              <w:rPr>
                <w:color w:val="auto"/>
                <w:kern w:val="0"/>
              </w:rPr>
            </w:pPr>
            <w:r>
              <w:rPr>
                <w:color w:val="auto"/>
                <w:kern w:val="0"/>
              </w:rPr>
              <w:t>5.4</w:t>
            </w:r>
          </w:p>
        </w:tc>
        <w:tc>
          <w:tcPr>
            <w:tcW w:w="257" w:type="pct"/>
            <w:tcMar>
              <w:top w:w="0" w:type="dxa"/>
              <w:left w:w="0" w:type="dxa"/>
              <w:bottom w:w="0" w:type="dxa"/>
              <w:right w:w="0" w:type="dxa"/>
            </w:tcMar>
            <w:vAlign w:val="center"/>
          </w:tcPr>
          <w:p>
            <w:pPr>
              <w:jc w:val="center"/>
              <w:rPr>
                <w:color w:val="auto"/>
                <w:kern w:val="0"/>
              </w:rPr>
            </w:pPr>
            <w:r>
              <w:rPr>
                <w:color w:val="auto"/>
                <w:kern w:val="0"/>
              </w:rPr>
              <w:t>4.4</w:t>
            </w:r>
          </w:p>
        </w:tc>
        <w:tc>
          <w:tcPr>
            <w:tcW w:w="255" w:type="pct"/>
            <w:tcMar>
              <w:top w:w="0" w:type="dxa"/>
              <w:left w:w="0" w:type="dxa"/>
              <w:bottom w:w="0" w:type="dxa"/>
              <w:right w:w="0" w:type="dxa"/>
            </w:tcMar>
            <w:vAlign w:val="center"/>
          </w:tcPr>
          <w:p>
            <w:pPr>
              <w:jc w:val="center"/>
              <w:rPr>
                <w:color w:val="auto"/>
                <w:kern w:val="0"/>
              </w:rPr>
            </w:pPr>
            <w:r>
              <w:rPr>
                <w:color w:val="auto"/>
                <w:kern w:val="0"/>
              </w:rPr>
              <w:t>4.3</w:t>
            </w:r>
          </w:p>
        </w:tc>
        <w:tc>
          <w:tcPr>
            <w:tcW w:w="305" w:type="pct"/>
            <w:tcMar>
              <w:top w:w="0" w:type="dxa"/>
              <w:left w:w="0" w:type="dxa"/>
              <w:bottom w:w="0" w:type="dxa"/>
              <w:right w:w="0" w:type="dxa"/>
            </w:tcMar>
            <w:vAlign w:val="center"/>
          </w:tcPr>
          <w:p>
            <w:pPr>
              <w:jc w:val="center"/>
              <w:rPr>
                <w:color w:val="auto"/>
                <w:kern w:val="0"/>
              </w:rPr>
            </w:pPr>
            <w:r>
              <w:rPr>
                <w:color w:val="auto"/>
                <w:kern w:val="0"/>
              </w:rPr>
              <w:t>2.7</w:t>
            </w:r>
          </w:p>
        </w:tc>
        <w:tc>
          <w:tcPr>
            <w:tcW w:w="255" w:type="pct"/>
            <w:tcMar>
              <w:top w:w="0" w:type="dxa"/>
              <w:left w:w="0" w:type="dxa"/>
              <w:bottom w:w="0" w:type="dxa"/>
              <w:right w:w="0" w:type="dxa"/>
            </w:tcMar>
            <w:vAlign w:val="center"/>
          </w:tcPr>
          <w:p>
            <w:pPr>
              <w:jc w:val="center"/>
              <w:rPr>
                <w:color w:val="auto"/>
                <w:kern w:val="0"/>
              </w:rPr>
            </w:pPr>
            <w:r>
              <w:rPr>
                <w:color w:val="auto"/>
                <w:kern w:val="0"/>
              </w:rPr>
              <w:t>3.9</w:t>
            </w:r>
          </w:p>
        </w:tc>
        <w:tc>
          <w:tcPr>
            <w:tcW w:w="362" w:type="pct"/>
            <w:tcMar>
              <w:top w:w="0" w:type="dxa"/>
              <w:left w:w="0" w:type="dxa"/>
              <w:bottom w:w="0" w:type="dxa"/>
              <w:right w:w="0" w:type="dxa"/>
            </w:tcMar>
            <w:vAlign w:val="center"/>
          </w:tcPr>
          <w:p>
            <w:pPr>
              <w:jc w:val="center"/>
              <w:rPr>
                <w:color w:val="auto"/>
                <w:kern w:val="0"/>
              </w:rPr>
            </w:pPr>
            <w:r>
              <w:rPr>
                <w:color w:val="auto"/>
                <w:kern w:val="0"/>
              </w:rPr>
              <w:t>2.8</w:t>
            </w:r>
          </w:p>
        </w:tc>
        <w:tc>
          <w:tcPr>
            <w:tcW w:w="207" w:type="pct"/>
            <w:tcMar>
              <w:top w:w="0" w:type="dxa"/>
              <w:left w:w="0" w:type="dxa"/>
              <w:bottom w:w="0" w:type="dxa"/>
              <w:right w:w="0" w:type="dxa"/>
            </w:tcMar>
            <w:vAlign w:val="center"/>
          </w:tcPr>
          <w:p>
            <w:pPr>
              <w:jc w:val="center"/>
              <w:rPr>
                <w:color w:val="auto"/>
                <w:kern w:val="0"/>
              </w:rPr>
            </w:pPr>
            <w:r>
              <w:rPr>
                <w:color w:val="auto"/>
                <w:kern w:val="0"/>
              </w:rPr>
              <w:t>1.2</w:t>
            </w:r>
          </w:p>
        </w:tc>
        <w:tc>
          <w:tcPr>
            <w:tcW w:w="387" w:type="pct"/>
            <w:tcMar>
              <w:top w:w="0" w:type="dxa"/>
              <w:left w:w="0" w:type="dxa"/>
              <w:bottom w:w="0" w:type="dxa"/>
              <w:right w:w="0" w:type="dxa"/>
            </w:tcMar>
            <w:vAlign w:val="center"/>
          </w:tcPr>
          <w:p>
            <w:pPr>
              <w:jc w:val="center"/>
              <w:rPr>
                <w:color w:val="auto"/>
                <w:kern w:val="0"/>
              </w:rPr>
            </w:pPr>
            <w:r>
              <w:rPr>
                <w:color w:val="auto"/>
                <w:kern w:val="0"/>
              </w:rPr>
              <w:t>1.8</w:t>
            </w:r>
          </w:p>
        </w:tc>
        <w:tc>
          <w:tcPr>
            <w:tcW w:w="267" w:type="pct"/>
            <w:tcMar>
              <w:top w:w="0" w:type="dxa"/>
              <w:left w:w="0" w:type="dxa"/>
              <w:bottom w:w="0" w:type="dxa"/>
              <w:right w:w="0" w:type="dxa"/>
            </w:tcMar>
            <w:vAlign w:val="center"/>
          </w:tcPr>
          <w:p>
            <w:pPr>
              <w:jc w:val="center"/>
              <w:rPr>
                <w:color w:val="auto"/>
                <w:kern w:val="0"/>
              </w:rPr>
            </w:pPr>
            <w:r>
              <w:rPr>
                <w:color w:val="auto"/>
                <w:kern w:val="0"/>
              </w:rPr>
              <w:t>1.9</w:t>
            </w:r>
          </w:p>
        </w:tc>
        <w:tc>
          <w:tcPr>
            <w:tcW w:w="355" w:type="pct"/>
            <w:tcMar>
              <w:top w:w="0" w:type="dxa"/>
              <w:left w:w="0" w:type="dxa"/>
              <w:bottom w:w="0" w:type="dxa"/>
              <w:right w:w="0" w:type="dxa"/>
            </w:tcMar>
            <w:vAlign w:val="center"/>
          </w:tcPr>
          <w:p>
            <w:pPr>
              <w:jc w:val="center"/>
              <w:rPr>
                <w:color w:val="auto"/>
                <w:kern w:val="0"/>
              </w:rPr>
            </w:pPr>
            <w:r>
              <w:rPr>
                <w:color w:val="auto"/>
                <w:kern w:val="0"/>
              </w:rPr>
              <w:t>2.4</w:t>
            </w:r>
          </w:p>
        </w:tc>
        <w:tc>
          <w:tcPr>
            <w:tcW w:w="295" w:type="pct"/>
            <w:tcMar>
              <w:top w:w="0" w:type="dxa"/>
              <w:left w:w="0" w:type="dxa"/>
              <w:bottom w:w="0" w:type="dxa"/>
              <w:right w:w="0" w:type="dxa"/>
            </w:tcMar>
            <w:vAlign w:val="center"/>
          </w:tcPr>
          <w:p>
            <w:pPr>
              <w:spacing w:before="79"/>
              <w:rPr>
                <w:color w:val="auto"/>
                <w:kern w:val="0"/>
              </w:rPr>
            </w:pPr>
            <w:r>
              <w:rPr>
                <w:color w:val="auto"/>
                <w:kern w:val="0"/>
              </w:rPr>
              <w:t>30.7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9</w:t>
            </w:r>
          </w:p>
        </w:tc>
        <w:tc>
          <w:tcPr>
            <w:tcW w:w="188" w:type="pct"/>
            <w:tcMar>
              <w:top w:w="0" w:type="dxa"/>
              <w:left w:w="0" w:type="dxa"/>
              <w:bottom w:w="0" w:type="dxa"/>
              <w:right w:w="0" w:type="dxa"/>
            </w:tcMar>
            <w:vAlign w:val="center"/>
          </w:tcPr>
          <w:p>
            <w:pPr>
              <w:jc w:val="center"/>
              <w:rPr>
                <w:color w:val="auto"/>
                <w:kern w:val="0"/>
              </w:rPr>
            </w:pPr>
            <w:r>
              <w:rPr>
                <w:color w:val="auto"/>
                <w:kern w:val="0"/>
              </w:rPr>
              <w:t>3.2</w:t>
            </w:r>
          </w:p>
        </w:tc>
        <w:tc>
          <w:tcPr>
            <w:tcW w:w="305" w:type="pct"/>
            <w:tcMar>
              <w:top w:w="0" w:type="dxa"/>
              <w:left w:w="0" w:type="dxa"/>
              <w:bottom w:w="0" w:type="dxa"/>
              <w:right w:w="0" w:type="dxa"/>
            </w:tcMar>
            <w:vAlign w:val="center"/>
          </w:tcPr>
          <w:p>
            <w:pPr>
              <w:jc w:val="center"/>
              <w:rPr>
                <w:color w:val="auto"/>
                <w:kern w:val="0"/>
              </w:rPr>
            </w:pPr>
            <w:r>
              <w:rPr>
                <w:color w:val="auto"/>
                <w:kern w:val="0"/>
              </w:rPr>
              <w:t>4.6</w:t>
            </w:r>
          </w:p>
        </w:tc>
        <w:tc>
          <w:tcPr>
            <w:tcW w:w="261" w:type="pct"/>
            <w:tcMar>
              <w:top w:w="0" w:type="dxa"/>
              <w:left w:w="0" w:type="dxa"/>
              <w:bottom w:w="0" w:type="dxa"/>
              <w:right w:w="0" w:type="dxa"/>
            </w:tcMar>
            <w:vAlign w:val="center"/>
          </w:tcPr>
          <w:p>
            <w:pPr>
              <w:jc w:val="center"/>
              <w:rPr>
                <w:color w:val="auto"/>
                <w:kern w:val="0"/>
              </w:rPr>
            </w:pPr>
            <w:r>
              <w:rPr>
                <w:color w:val="auto"/>
                <w:kern w:val="0"/>
              </w:rPr>
              <w:t>9.5</w:t>
            </w:r>
          </w:p>
        </w:tc>
        <w:tc>
          <w:tcPr>
            <w:tcW w:w="288" w:type="pct"/>
            <w:tcMar>
              <w:top w:w="0" w:type="dxa"/>
              <w:left w:w="0" w:type="dxa"/>
              <w:bottom w:w="0" w:type="dxa"/>
              <w:right w:w="0" w:type="dxa"/>
            </w:tcMar>
            <w:vAlign w:val="center"/>
          </w:tcPr>
          <w:p>
            <w:pPr>
              <w:jc w:val="center"/>
              <w:rPr>
                <w:color w:val="auto"/>
                <w:kern w:val="0"/>
              </w:rPr>
            </w:pPr>
            <w:r>
              <w:rPr>
                <w:color w:val="auto"/>
                <w:kern w:val="0"/>
              </w:rPr>
              <w:t>8.9</w:t>
            </w:r>
          </w:p>
        </w:tc>
        <w:tc>
          <w:tcPr>
            <w:tcW w:w="261" w:type="pct"/>
            <w:tcMar>
              <w:top w:w="0" w:type="dxa"/>
              <w:left w:w="0" w:type="dxa"/>
              <w:bottom w:w="0" w:type="dxa"/>
              <w:right w:w="0" w:type="dxa"/>
            </w:tcMar>
            <w:vAlign w:val="center"/>
          </w:tcPr>
          <w:p>
            <w:pPr>
              <w:jc w:val="center"/>
              <w:rPr>
                <w:color w:val="auto"/>
                <w:kern w:val="0"/>
              </w:rPr>
            </w:pPr>
            <w:r>
              <w:rPr>
                <w:color w:val="auto"/>
                <w:kern w:val="0"/>
              </w:rPr>
              <w:t>4.4</w:t>
            </w:r>
          </w:p>
        </w:tc>
        <w:tc>
          <w:tcPr>
            <w:tcW w:w="265" w:type="pct"/>
            <w:tcMar>
              <w:top w:w="0" w:type="dxa"/>
              <w:left w:w="0" w:type="dxa"/>
              <w:bottom w:w="0" w:type="dxa"/>
              <w:right w:w="0" w:type="dxa"/>
            </w:tcMar>
            <w:vAlign w:val="center"/>
          </w:tcPr>
          <w:p>
            <w:pPr>
              <w:jc w:val="center"/>
              <w:rPr>
                <w:color w:val="auto"/>
                <w:kern w:val="0"/>
              </w:rPr>
            </w:pPr>
            <w:r>
              <w:rPr>
                <w:color w:val="auto"/>
                <w:kern w:val="0"/>
              </w:rPr>
              <w:t>2.9</w:t>
            </w:r>
          </w:p>
        </w:tc>
        <w:tc>
          <w:tcPr>
            <w:tcW w:w="188" w:type="pct"/>
            <w:tcMar>
              <w:top w:w="0" w:type="dxa"/>
              <w:left w:w="0" w:type="dxa"/>
              <w:bottom w:w="0" w:type="dxa"/>
              <w:right w:w="0" w:type="dxa"/>
            </w:tcMar>
            <w:vAlign w:val="center"/>
          </w:tcPr>
          <w:p>
            <w:pPr>
              <w:jc w:val="center"/>
              <w:rPr>
                <w:color w:val="auto"/>
                <w:kern w:val="0"/>
              </w:rPr>
            </w:pPr>
            <w:r>
              <w:rPr>
                <w:color w:val="auto"/>
                <w:kern w:val="0"/>
              </w:rPr>
              <w:t>3.7</w:t>
            </w:r>
          </w:p>
        </w:tc>
        <w:tc>
          <w:tcPr>
            <w:tcW w:w="257" w:type="pct"/>
            <w:tcMar>
              <w:top w:w="0" w:type="dxa"/>
              <w:left w:w="0" w:type="dxa"/>
              <w:bottom w:w="0" w:type="dxa"/>
              <w:right w:w="0" w:type="dxa"/>
            </w:tcMar>
            <w:vAlign w:val="center"/>
          </w:tcPr>
          <w:p>
            <w:pPr>
              <w:jc w:val="center"/>
              <w:rPr>
                <w:color w:val="auto"/>
                <w:kern w:val="0"/>
              </w:rPr>
            </w:pPr>
            <w:r>
              <w:rPr>
                <w:color w:val="auto"/>
                <w:kern w:val="0"/>
              </w:rPr>
              <w:t>4.7</w:t>
            </w:r>
          </w:p>
        </w:tc>
        <w:tc>
          <w:tcPr>
            <w:tcW w:w="255" w:type="pct"/>
            <w:tcMar>
              <w:top w:w="0" w:type="dxa"/>
              <w:left w:w="0" w:type="dxa"/>
              <w:bottom w:w="0" w:type="dxa"/>
              <w:right w:w="0" w:type="dxa"/>
            </w:tcMar>
            <w:vAlign w:val="center"/>
          </w:tcPr>
          <w:p>
            <w:pPr>
              <w:jc w:val="center"/>
              <w:rPr>
                <w:color w:val="auto"/>
                <w:kern w:val="0"/>
              </w:rPr>
            </w:pPr>
            <w:r>
              <w:rPr>
                <w:color w:val="auto"/>
                <w:kern w:val="0"/>
              </w:rPr>
              <w:t>4.6</w:t>
            </w:r>
          </w:p>
        </w:tc>
        <w:tc>
          <w:tcPr>
            <w:tcW w:w="305" w:type="pct"/>
            <w:tcMar>
              <w:top w:w="0" w:type="dxa"/>
              <w:left w:w="0" w:type="dxa"/>
              <w:bottom w:w="0" w:type="dxa"/>
              <w:right w:w="0" w:type="dxa"/>
            </w:tcMar>
            <w:vAlign w:val="center"/>
          </w:tcPr>
          <w:p>
            <w:pPr>
              <w:jc w:val="center"/>
              <w:rPr>
                <w:color w:val="auto"/>
                <w:kern w:val="0"/>
              </w:rPr>
            </w:pPr>
            <w:r>
              <w:rPr>
                <w:color w:val="auto"/>
                <w:kern w:val="0"/>
              </w:rPr>
              <w:t>4.9</w:t>
            </w:r>
          </w:p>
        </w:tc>
        <w:tc>
          <w:tcPr>
            <w:tcW w:w="255" w:type="pct"/>
            <w:tcMar>
              <w:top w:w="0" w:type="dxa"/>
              <w:left w:w="0" w:type="dxa"/>
              <w:bottom w:w="0" w:type="dxa"/>
              <w:right w:w="0" w:type="dxa"/>
            </w:tcMar>
            <w:vAlign w:val="center"/>
          </w:tcPr>
          <w:p>
            <w:pPr>
              <w:jc w:val="center"/>
              <w:rPr>
                <w:color w:val="auto"/>
                <w:kern w:val="0"/>
              </w:rPr>
            </w:pPr>
            <w:r>
              <w:rPr>
                <w:color w:val="auto"/>
                <w:kern w:val="0"/>
              </w:rPr>
              <w:t>3.7</w:t>
            </w:r>
          </w:p>
        </w:tc>
        <w:tc>
          <w:tcPr>
            <w:tcW w:w="362" w:type="pct"/>
            <w:tcMar>
              <w:top w:w="0" w:type="dxa"/>
              <w:left w:w="0" w:type="dxa"/>
              <w:bottom w:w="0" w:type="dxa"/>
              <w:right w:w="0" w:type="dxa"/>
            </w:tcMar>
            <w:vAlign w:val="center"/>
          </w:tcPr>
          <w:p>
            <w:pPr>
              <w:jc w:val="center"/>
              <w:rPr>
                <w:color w:val="auto"/>
                <w:kern w:val="0"/>
              </w:rPr>
            </w:pPr>
            <w:r>
              <w:rPr>
                <w:color w:val="auto"/>
                <w:kern w:val="0"/>
              </w:rPr>
              <w:t>3.1</w:t>
            </w:r>
          </w:p>
        </w:tc>
        <w:tc>
          <w:tcPr>
            <w:tcW w:w="207" w:type="pct"/>
            <w:tcMar>
              <w:top w:w="0" w:type="dxa"/>
              <w:left w:w="0" w:type="dxa"/>
              <w:bottom w:w="0" w:type="dxa"/>
              <w:right w:w="0" w:type="dxa"/>
            </w:tcMar>
            <w:vAlign w:val="center"/>
          </w:tcPr>
          <w:p>
            <w:pPr>
              <w:jc w:val="center"/>
              <w:rPr>
                <w:color w:val="auto"/>
                <w:kern w:val="0"/>
              </w:rPr>
            </w:pPr>
            <w:r>
              <w:rPr>
                <w:color w:val="auto"/>
                <w:kern w:val="0"/>
              </w:rPr>
              <w:t>2.2</w:t>
            </w:r>
          </w:p>
        </w:tc>
        <w:tc>
          <w:tcPr>
            <w:tcW w:w="387" w:type="pct"/>
            <w:tcMar>
              <w:top w:w="0" w:type="dxa"/>
              <w:left w:w="0" w:type="dxa"/>
              <w:bottom w:w="0" w:type="dxa"/>
              <w:right w:w="0" w:type="dxa"/>
            </w:tcMar>
            <w:vAlign w:val="center"/>
          </w:tcPr>
          <w:p>
            <w:pPr>
              <w:jc w:val="center"/>
              <w:rPr>
                <w:color w:val="auto"/>
                <w:kern w:val="0"/>
              </w:rPr>
            </w:pPr>
            <w:r>
              <w:rPr>
                <w:color w:val="auto"/>
                <w:kern w:val="0"/>
              </w:rPr>
              <w:t>1.2</w:t>
            </w:r>
          </w:p>
        </w:tc>
        <w:tc>
          <w:tcPr>
            <w:tcW w:w="267" w:type="pct"/>
            <w:tcMar>
              <w:top w:w="0" w:type="dxa"/>
              <w:left w:w="0" w:type="dxa"/>
              <w:bottom w:w="0" w:type="dxa"/>
              <w:right w:w="0" w:type="dxa"/>
            </w:tcMar>
            <w:vAlign w:val="center"/>
          </w:tcPr>
          <w:p>
            <w:pPr>
              <w:jc w:val="center"/>
              <w:rPr>
                <w:color w:val="auto"/>
                <w:kern w:val="0"/>
              </w:rPr>
            </w:pPr>
            <w:r>
              <w:rPr>
                <w:color w:val="auto"/>
                <w:kern w:val="0"/>
              </w:rPr>
              <w:t>1.6</w:t>
            </w:r>
          </w:p>
        </w:tc>
        <w:tc>
          <w:tcPr>
            <w:tcW w:w="355" w:type="pct"/>
            <w:tcMar>
              <w:top w:w="0" w:type="dxa"/>
              <w:left w:w="0" w:type="dxa"/>
              <w:bottom w:w="0" w:type="dxa"/>
              <w:right w:w="0" w:type="dxa"/>
            </w:tcMar>
            <w:vAlign w:val="center"/>
          </w:tcPr>
          <w:p>
            <w:pPr>
              <w:jc w:val="center"/>
              <w:rPr>
                <w:color w:val="auto"/>
                <w:kern w:val="0"/>
              </w:rPr>
            </w:pPr>
            <w:r>
              <w:rPr>
                <w:color w:val="auto"/>
                <w:kern w:val="0"/>
              </w:rPr>
              <w:t>1.5</w:t>
            </w:r>
          </w:p>
        </w:tc>
        <w:tc>
          <w:tcPr>
            <w:tcW w:w="295" w:type="pct"/>
            <w:tcMar>
              <w:top w:w="0" w:type="dxa"/>
              <w:left w:w="0" w:type="dxa"/>
              <w:bottom w:w="0" w:type="dxa"/>
              <w:right w:w="0" w:type="dxa"/>
            </w:tcMar>
            <w:vAlign w:val="center"/>
          </w:tcPr>
          <w:p>
            <w:pPr>
              <w:spacing w:before="80"/>
              <w:rPr>
                <w:color w:val="auto"/>
                <w:kern w:val="0"/>
              </w:rPr>
            </w:pPr>
            <w:r>
              <w:rPr>
                <w:color w:val="auto"/>
                <w:kern w:val="0"/>
              </w:rPr>
              <w:t>35.2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10</w:t>
            </w:r>
          </w:p>
        </w:tc>
        <w:tc>
          <w:tcPr>
            <w:tcW w:w="188" w:type="pct"/>
            <w:tcMar>
              <w:top w:w="0" w:type="dxa"/>
              <w:left w:w="0" w:type="dxa"/>
              <w:bottom w:w="0" w:type="dxa"/>
              <w:right w:w="0" w:type="dxa"/>
            </w:tcMar>
            <w:vAlign w:val="center"/>
          </w:tcPr>
          <w:p>
            <w:pPr>
              <w:jc w:val="center"/>
              <w:rPr>
                <w:color w:val="auto"/>
                <w:kern w:val="0"/>
              </w:rPr>
            </w:pPr>
            <w:r>
              <w:rPr>
                <w:color w:val="auto"/>
                <w:kern w:val="0"/>
              </w:rPr>
              <w:t>1.9</w:t>
            </w:r>
          </w:p>
        </w:tc>
        <w:tc>
          <w:tcPr>
            <w:tcW w:w="305" w:type="pct"/>
            <w:tcMar>
              <w:top w:w="0" w:type="dxa"/>
              <w:left w:w="0" w:type="dxa"/>
              <w:bottom w:w="0" w:type="dxa"/>
              <w:right w:w="0" w:type="dxa"/>
            </w:tcMar>
            <w:vAlign w:val="center"/>
          </w:tcPr>
          <w:p>
            <w:pPr>
              <w:jc w:val="center"/>
              <w:rPr>
                <w:color w:val="auto"/>
                <w:kern w:val="0"/>
              </w:rPr>
            </w:pPr>
            <w:r>
              <w:rPr>
                <w:color w:val="auto"/>
                <w:kern w:val="0"/>
              </w:rPr>
              <w:t>3.4</w:t>
            </w:r>
          </w:p>
        </w:tc>
        <w:tc>
          <w:tcPr>
            <w:tcW w:w="261" w:type="pct"/>
            <w:tcMar>
              <w:top w:w="0" w:type="dxa"/>
              <w:left w:w="0" w:type="dxa"/>
              <w:bottom w:w="0" w:type="dxa"/>
              <w:right w:w="0" w:type="dxa"/>
            </w:tcMar>
            <w:vAlign w:val="center"/>
          </w:tcPr>
          <w:p>
            <w:pPr>
              <w:jc w:val="center"/>
              <w:rPr>
                <w:color w:val="auto"/>
                <w:kern w:val="0"/>
              </w:rPr>
            </w:pPr>
            <w:r>
              <w:rPr>
                <w:color w:val="auto"/>
                <w:kern w:val="0"/>
              </w:rPr>
              <w:t>6.9</w:t>
            </w:r>
          </w:p>
        </w:tc>
        <w:tc>
          <w:tcPr>
            <w:tcW w:w="288" w:type="pct"/>
            <w:tcMar>
              <w:top w:w="0" w:type="dxa"/>
              <w:left w:w="0" w:type="dxa"/>
              <w:bottom w:w="0" w:type="dxa"/>
              <w:right w:w="0" w:type="dxa"/>
            </w:tcMar>
            <w:vAlign w:val="center"/>
          </w:tcPr>
          <w:p>
            <w:pPr>
              <w:jc w:val="center"/>
              <w:rPr>
                <w:color w:val="auto"/>
                <w:kern w:val="0"/>
              </w:rPr>
            </w:pPr>
            <w:r>
              <w:rPr>
                <w:color w:val="auto"/>
                <w:kern w:val="0"/>
              </w:rPr>
              <w:t>9.3</w:t>
            </w:r>
          </w:p>
        </w:tc>
        <w:tc>
          <w:tcPr>
            <w:tcW w:w="261" w:type="pct"/>
            <w:tcMar>
              <w:top w:w="0" w:type="dxa"/>
              <w:left w:w="0" w:type="dxa"/>
              <w:bottom w:w="0" w:type="dxa"/>
              <w:right w:w="0" w:type="dxa"/>
            </w:tcMar>
            <w:vAlign w:val="center"/>
          </w:tcPr>
          <w:p>
            <w:pPr>
              <w:jc w:val="center"/>
              <w:rPr>
                <w:color w:val="auto"/>
                <w:kern w:val="0"/>
              </w:rPr>
            </w:pPr>
            <w:r>
              <w:rPr>
                <w:color w:val="auto"/>
                <w:kern w:val="0"/>
              </w:rPr>
              <w:t>4.6</w:t>
            </w:r>
          </w:p>
        </w:tc>
        <w:tc>
          <w:tcPr>
            <w:tcW w:w="265" w:type="pct"/>
            <w:tcMar>
              <w:top w:w="0" w:type="dxa"/>
              <w:left w:w="0" w:type="dxa"/>
              <w:bottom w:w="0" w:type="dxa"/>
              <w:right w:w="0" w:type="dxa"/>
            </w:tcMar>
            <w:vAlign w:val="center"/>
          </w:tcPr>
          <w:p>
            <w:pPr>
              <w:jc w:val="center"/>
              <w:rPr>
                <w:color w:val="auto"/>
                <w:kern w:val="0"/>
              </w:rPr>
            </w:pPr>
            <w:r>
              <w:rPr>
                <w:color w:val="auto"/>
                <w:kern w:val="0"/>
              </w:rPr>
              <w:t>2.0</w:t>
            </w:r>
          </w:p>
        </w:tc>
        <w:tc>
          <w:tcPr>
            <w:tcW w:w="188" w:type="pct"/>
            <w:tcMar>
              <w:top w:w="0" w:type="dxa"/>
              <w:left w:w="0" w:type="dxa"/>
              <w:bottom w:w="0" w:type="dxa"/>
              <w:right w:w="0" w:type="dxa"/>
            </w:tcMar>
            <w:vAlign w:val="center"/>
          </w:tcPr>
          <w:p>
            <w:pPr>
              <w:jc w:val="center"/>
              <w:rPr>
                <w:color w:val="auto"/>
                <w:kern w:val="0"/>
              </w:rPr>
            </w:pPr>
            <w:r>
              <w:rPr>
                <w:color w:val="auto"/>
                <w:kern w:val="0"/>
              </w:rPr>
              <w:t>2.4</w:t>
            </w:r>
          </w:p>
        </w:tc>
        <w:tc>
          <w:tcPr>
            <w:tcW w:w="257" w:type="pct"/>
            <w:tcMar>
              <w:top w:w="0" w:type="dxa"/>
              <w:left w:w="0" w:type="dxa"/>
              <w:bottom w:w="0" w:type="dxa"/>
              <w:right w:w="0" w:type="dxa"/>
            </w:tcMar>
            <w:vAlign w:val="center"/>
          </w:tcPr>
          <w:p>
            <w:pPr>
              <w:jc w:val="center"/>
              <w:rPr>
                <w:color w:val="auto"/>
                <w:kern w:val="0"/>
              </w:rPr>
            </w:pPr>
            <w:r>
              <w:rPr>
                <w:color w:val="auto"/>
                <w:kern w:val="0"/>
              </w:rPr>
              <w:t>4.0</w:t>
            </w:r>
          </w:p>
        </w:tc>
        <w:tc>
          <w:tcPr>
            <w:tcW w:w="255" w:type="pct"/>
            <w:tcMar>
              <w:top w:w="0" w:type="dxa"/>
              <w:left w:w="0" w:type="dxa"/>
              <w:bottom w:w="0" w:type="dxa"/>
              <w:right w:w="0" w:type="dxa"/>
            </w:tcMar>
            <w:vAlign w:val="center"/>
          </w:tcPr>
          <w:p>
            <w:pPr>
              <w:jc w:val="center"/>
              <w:rPr>
                <w:color w:val="auto"/>
                <w:kern w:val="0"/>
              </w:rPr>
            </w:pPr>
            <w:r>
              <w:rPr>
                <w:color w:val="auto"/>
                <w:kern w:val="0"/>
              </w:rPr>
              <w:t>4.7</w:t>
            </w:r>
          </w:p>
        </w:tc>
        <w:tc>
          <w:tcPr>
            <w:tcW w:w="305" w:type="pct"/>
            <w:tcMar>
              <w:top w:w="0" w:type="dxa"/>
              <w:left w:w="0" w:type="dxa"/>
              <w:bottom w:w="0" w:type="dxa"/>
              <w:right w:w="0" w:type="dxa"/>
            </w:tcMar>
            <w:vAlign w:val="center"/>
          </w:tcPr>
          <w:p>
            <w:pPr>
              <w:jc w:val="center"/>
              <w:rPr>
                <w:color w:val="auto"/>
                <w:kern w:val="0"/>
              </w:rPr>
            </w:pPr>
            <w:r>
              <w:rPr>
                <w:color w:val="auto"/>
                <w:kern w:val="0"/>
              </w:rPr>
              <w:t>5.6</w:t>
            </w:r>
          </w:p>
        </w:tc>
        <w:tc>
          <w:tcPr>
            <w:tcW w:w="255" w:type="pct"/>
            <w:tcMar>
              <w:top w:w="0" w:type="dxa"/>
              <w:left w:w="0" w:type="dxa"/>
              <w:bottom w:w="0" w:type="dxa"/>
              <w:right w:w="0" w:type="dxa"/>
            </w:tcMar>
            <w:vAlign w:val="center"/>
          </w:tcPr>
          <w:p>
            <w:pPr>
              <w:jc w:val="center"/>
              <w:rPr>
                <w:color w:val="auto"/>
                <w:kern w:val="0"/>
              </w:rPr>
            </w:pPr>
            <w:r>
              <w:rPr>
                <w:color w:val="auto"/>
                <w:kern w:val="0"/>
              </w:rPr>
              <w:t>8.5</w:t>
            </w:r>
          </w:p>
        </w:tc>
        <w:tc>
          <w:tcPr>
            <w:tcW w:w="362" w:type="pct"/>
            <w:tcMar>
              <w:top w:w="0" w:type="dxa"/>
              <w:left w:w="0" w:type="dxa"/>
              <w:bottom w:w="0" w:type="dxa"/>
              <w:right w:w="0" w:type="dxa"/>
            </w:tcMar>
            <w:vAlign w:val="center"/>
          </w:tcPr>
          <w:p>
            <w:pPr>
              <w:jc w:val="center"/>
              <w:rPr>
                <w:color w:val="auto"/>
                <w:kern w:val="0"/>
              </w:rPr>
            </w:pPr>
            <w:r>
              <w:rPr>
                <w:color w:val="auto"/>
                <w:kern w:val="0"/>
              </w:rPr>
              <w:t>6.0</w:t>
            </w:r>
          </w:p>
        </w:tc>
        <w:tc>
          <w:tcPr>
            <w:tcW w:w="207" w:type="pct"/>
            <w:tcMar>
              <w:top w:w="0" w:type="dxa"/>
              <w:left w:w="0" w:type="dxa"/>
              <w:bottom w:w="0" w:type="dxa"/>
              <w:right w:w="0" w:type="dxa"/>
            </w:tcMar>
            <w:vAlign w:val="center"/>
          </w:tcPr>
          <w:p>
            <w:pPr>
              <w:jc w:val="center"/>
              <w:rPr>
                <w:color w:val="auto"/>
                <w:kern w:val="0"/>
              </w:rPr>
            </w:pPr>
            <w:r>
              <w:rPr>
                <w:color w:val="auto"/>
                <w:kern w:val="0"/>
              </w:rPr>
              <w:t>4.3</w:t>
            </w:r>
          </w:p>
        </w:tc>
        <w:tc>
          <w:tcPr>
            <w:tcW w:w="387" w:type="pct"/>
            <w:tcMar>
              <w:top w:w="0" w:type="dxa"/>
              <w:left w:w="0" w:type="dxa"/>
              <w:bottom w:w="0" w:type="dxa"/>
              <w:right w:w="0" w:type="dxa"/>
            </w:tcMar>
            <w:vAlign w:val="center"/>
          </w:tcPr>
          <w:p>
            <w:pPr>
              <w:jc w:val="center"/>
              <w:rPr>
                <w:color w:val="auto"/>
                <w:kern w:val="0"/>
              </w:rPr>
            </w:pPr>
            <w:r>
              <w:rPr>
                <w:color w:val="auto"/>
                <w:kern w:val="0"/>
              </w:rPr>
              <w:t>1.8</w:t>
            </w:r>
          </w:p>
        </w:tc>
        <w:tc>
          <w:tcPr>
            <w:tcW w:w="267" w:type="pct"/>
            <w:tcMar>
              <w:top w:w="0" w:type="dxa"/>
              <w:left w:w="0" w:type="dxa"/>
              <w:bottom w:w="0" w:type="dxa"/>
              <w:right w:w="0" w:type="dxa"/>
            </w:tcMar>
            <w:vAlign w:val="center"/>
          </w:tcPr>
          <w:p>
            <w:pPr>
              <w:jc w:val="center"/>
              <w:rPr>
                <w:color w:val="auto"/>
                <w:kern w:val="0"/>
              </w:rPr>
            </w:pPr>
            <w:r>
              <w:rPr>
                <w:color w:val="auto"/>
                <w:kern w:val="0"/>
              </w:rPr>
              <w:t>1.5</w:t>
            </w:r>
          </w:p>
        </w:tc>
        <w:tc>
          <w:tcPr>
            <w:tcW w:w="355" w:type="pct"/>
            <w:tcMar>
              <w:top w:w="0" w:type="dxa"/>
              <w:left w:w="0" w:type="dxa"/>
              <w:bottom w:w="0" w:type="dxa"/>
              <w:right w:w="0" w:type="dxa"/>
            </w:tcMar>
            <w:vAlign w:val="center"/>
          </w:tcPr>
          <w:p>
            <w:pPr>
              <w:jc w:val="center"/>
              <w:rPr>
                <w:color w:val="auto"/>
                <w:kern w:val="0"/>
              </w:rPr>
            </w:pPr>
            <w:r>
              <w:rPr>
                <w:color w:val="auto"/>
                <w:kern w:val="0"/>
              </w:rPr>
              <w:t>1.2</w:t>
            </w:r>
          </w:p>
        </w:tc>
        <w:tc>
          <w:tcPr>
            <w:tcW w:w="295" w:type="pct"/>
            <w:tcMar>
              <w:top w:w="0" w:type="dxa"/>
              <w:left w:w="0" w:type="dxa"/>
              <w:bottom w:w="0" w:type="dxa"/>
              <w:right w:w="0" w:type="dxa"/>
            </w:tcMar>
            <w:vAlign w:val="center"/>
          </w:tcPr>
          <w:p>
            <w:pPr>
              <w:spacing w:before="79"/>
              <w:rPr>
                <w:color w:val="auto"/>
                <w:kern w:val="0"/>
              </w:rPr>
            </w:pPr>
            <w:r>
              <w:rPr>
                <w:color w:val="auto"/>
                <w:kern w:val="0"/>
              </w:rPr>
              <w:t>32.1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11</w:t>
            </w:r>
          </w:p>
        </w:tc>
        <w:tc>
          <w:tcPr>
            <w:tcW w:w="188" w:type="pct"/>
            <w:tcMar>
              <w:top w:w="0" w:type="dxa"/>
              <w:left w:w="0" w:type="dxa"/>
              <w:bottom w:w="0" w:type="dxa"/>
              <w:right w:w="0" w:type="dxa"/>
            </w:tcMar>
            <w:vAlign w:val="center"/>
          </w:tcPr>
          <w:p>
            <w:pPr>
              <w:jc w:val="center"/>
              <w:rPr>
                <w:color w:val="auto"/>
                <w:kern w:val="0"/>
              </w:rPr>
            </w:pPr>
            <w:r>
              <w:rPr>
                <w:color w:val="auto"/>
                <w:kern w:val="0"/>
              </w:rPr>
              <w:t>1.9</w:t>
            </w:r>
          </w:p>
        </w:tc>
        <w:tc>
          <w:tcPr>
            <w:tcW w:w="305" w:type="pct"/>
            <w:tcMar>
              <w:top w:w="0" w:type="dxa"/>
              <w:left w:w="0" w:type="dxa"/>
              <w:bottom w:w="0" w:type="dxa"/>
              <w:right w:w="0" w:type="dxa"/>
            </w:tcMar>
            <w:vAlign w:val="center"/>
          </w:tcPr>
          <w:p>
            <w:pPr>
              <w:jc w:val="center"/>
              <w:rPr>
                <w:color w:val="auto"/>
                <w:kern w:val="0"/>
              </w:rPr>
            </w:pPr>
            <w:r>
              <w:rPr>
                <w:color w:val="auto"/>
                <w:kern w:val="0"/>
              </w:rPr>
              <w:t>3.8</w:t>
            </w:r>
          </w:p>
        </w:tc>
        <w:tc>
          <w:tcPr>
            <w:tcW w:w="261" w:type="pct"/>
            <w:tcMar>
              <w:top w:w="0" w:type="dxa"/>
              <w:left w:w="0" w:type="dxa"/>
              <w:bottom w:w="0" w:type="dxa"/>
              <w:right w:w="0" w:type="dxa"/>
            </w:tcMar>
            <w:vAlign w:val="center"/>
          </w:tcPr>
          <w:p>
            <w:pPr>
              <w:jc w:val="center"/>
              <w:rPr>
                <w:color w:val="auto"/>
                <w:kern w:val="0"/>
              </w:rPr>
            </w:pPr>
            <w:r>
              <w:rPr>
                <w:color w:val="auto"/>
                <w:kern w:val="0"/>
              </w:rPr>
              <w:t>6.5</w:t>
            </w:r>
          </w:p>
        </w:tc>
        <w:tc>
          <w:tcPr>
            <w:tcW w:w="288" w:type="pct"/>
            <w:tcMar>
              <w:top w:w="0" w:type="dxa"/>
              <w:left w:w="0" w:type="dxa"/>
              <w:bottom w:w="0" w:type="dxa"/>
              <w:right w:w="0" w:type="dxa"/>
            </w:tcMar>
            <w:vAlign w:val="center"/>
          </w:tcPr>
          <w:p>
            <w:pPr>
              <w:jc w:val="center"/>
              <w:rPr>
                <w:color w:val="auto"/>
                <w:kern w:val="0"/>
              </w:rPr>
            </w:pPr>
            <w:r>
              <w:rPr>
                <w:color w:val="auto"/>
                <w:kern w:val="0"/>
              </w:rPr>
              <w:t>8.5</w:t>
            </w:r>
          </w:p>
        </w:tc>
        <w:tc>
          <w:tcPr>
            <w:tcW w:w="261" w:type="pct"/>
            <w:tcMar>
              <w:top w:w="0" w:type="dxa"/>
              <w:left w:w="0" w:type="dxa"/>
              <w:bottom w:w="0" w:type="dxa"/>
              <w:right w:w="0" w:type="dxa"/>
            </w:tcMar>
            <w:vAlign w:val="center"/>
          </w:tcPr>
          <w:p>
            <w:pPr>
              <w:jc w:val="center"/>
              <w:rPr>
                <w:color w:val="auto"/>
                <w:kern w:val="0"/>
              </w:rPr>
            </w:pPr>
            <w:r>
              <w:rPr>
                <w:color w:val="auto"/>
                <w:kern w:val="0"/>
              </w:rPr>
              <w:t>3.9</w:t>
            </w:r>
          </w:p>
        </w:tc>
        <w:tc>
          <w:tcPr>
            <w:tcW w:w="265" w:type="pct"/>
            <w:tcMar>
              <w:top w:w="0" w:type="dxa"/>
              <w:left w:w="0" w:type="dxa"/>
              <w:bottom w:w="0" w:type="dxa"/>
              <w:right w:w="0" w:type="dxa"/>
            </w:tcMar>
            <w:vAlign w:val="center"/>
          </w:tcPr>
          <w:p>
            <w:pPr>
              <w:jc w:val="center"/>
              <w:rPr>
                <w:color w:val="auto"/>
                <w:kern w:val="0"/>
              </w:rPr>
            </w:pPr>
            <w:r>
              <w:rPr>
                <w:color w:val="auto"/>
                <w:kern w:val="0"/>
              </w:rPr>
              <w:t>1.9</w:t>
            </w:r>
          </w:p>
        </w:tc>
        <w:tc>
          <w:tcPr>
            <w:tcW w:w="188" w:type="pct"/>
            <w:tcMar>
              <w:top w:w="0" w:type="dxa"/>
              <w:left w:w="0" w:type="dxa"/>
              <w:bottom w:w="0" w:type="dxa"/>
              <w:right w:w="0" w:type="dxa"/>
            </w:tcMar>
            <w:vAlign w:val="center"/>
          </w:tcPr>
          <w:p>
            <w:pPr>
              <w:jc w:val="center"/>
              <w:rPr>
                <w:color w:val="auto"/>
                <w:kern w:val="0"/>
              </w:rPr>
            </w:pPr>
            <w:r>
              <w:rPr>
                <w:color w:val="auto"/>
                <w:kern w:val="0"/>
              </w:rPr>
              <w:t>3.4</w:t>
            </w:r>
          </w:p>
        </w:tc>
        <w:tc>
          <w:tcPr>
            <w:tcW w:w="257" w:type="pct"/>
            <w:tcMar>
              <w:top w:w="0" w:type="dxa"/>
              <w:left w:w="0" w:type="dxa"/>
              <w:bottom w:w="0" w:type="dxa"/>
              <w:right w:w="0" w:type="dxa"/>
            </w:tcMar>
            <w:vAlign w:val="center"/>
          </w:tcPr>
          <w:p>
            <w:pPr>
              <w:jc w:val="center"/>
              <w:rPr>
                <w:color w:val="auto"/>
                <w:kern w:val="0"/>
              </w:rPr>
            </w:pPr>
            <w:r>
              <w:rPr>
                <w:color w:val="auto"/>
                <w:kern w:val="0"/>
              </w:rPr>
              <w:t>3.2</w:t>
            </w:r>
          </w:p>
        </w:tc>
        <w:tc>
          <w:tcPr>
            <w:tcW w:w="255" w:type="pct"/>
            <w:tcMar>
              <w:top w:w="0" w:type="dxa"/>
              <w:left w:w="0" w:type="dxa"/>
              <w:bottom w:w="0" w:type="dxa"/>
              <w:right w:w="0" w:type="dxa"/>
            </w:tcMar>
            <w:vAlign w:val="center"/>
          </w:tcPr>
          <w:p>
            <w:pPr>
              <w:jc w:val="center"/>
              <w:rPr>
                <w:color w:val="auto"/>
                <w:kern w:val="0"/>
              </w:rPr>
            </w:pPr>
            <w:r>
              <w:rPr>
                <w:color w:val="auto"/>
                <w:kern w:val="0"/>
              </w:rPr>
              <w:t>4.6</w:t>
            </w:r>
          </w:p>
        </w:tc>
        <w:tc>
          <w:tcPr>
            <w:tcW w:w="305" w:type="pct"/>
            <w:tcMar>
              <w:top w:w="0" w:type="dxa"/>
              <w:left w:w="0" w:type="dxa"/>
              <w:bottom w:w="0" w:type="dxa"/>
              <w:right w:w="0" w:type="dxa"/>
            </w:tcMar>
            <w:vAlign w:val="center"/>
          </w:tcPr>
          <w:p>
            <w:pPr>
              <w:jc w:val="center"/>
              <w:rPr>
                <w:color w:val="auto"/>
                <w:kern w:val="0"/>
              </w:rPr>
            </w:pPr>
            <w:r>
              <w:rPr>
                <w:color w:val="auto"/>
                <w:kern w:val="0"/>
              </w:rPr>
              <w:t>4.1</w:t>
            </w:r>
          </w:p>
        </w:tc>
        <w:tc>
          <w:tcPr>
            <w:tcW w:w="255" w:type="pct"/>
            <w:tcMar>
              <w:top w:w="0" w:type="dxa"/>
              <w:left w:w="0" w:type="dxa"/>
              <w:bottom w:w="0" w:type="dxa"/>
              <w:right w:w="0" w:type="dxa"/>
            </w:tcMar>
            <w:vAlign w:val="center"/>
          </w:tcPr>
          <w:p>
            <w:pPr>
              <w:jc w:val="center"/>
              <w:rPr>
                <w:color w:val="auto"/>
                <w:kern w:val="0"/>
              </w:rPr>
            </w:pPr>
            <w:r>
              <w:rPr>
                <w:color w:val="auto"/>
                <w:kern w:val="0"/>
              </w:rPr>
              <w:t>7.7</w:t>
            </w:r>
          </w:p>
        </w:tc>
        <w:tc>
          <w:tcPr>
            <w:tcW w:w="362" w:type="pct"/>
            <w:tcMar>
              <w:top w:w="0" w:type="dxa"/>
              <w:left w:w="0" w:type="dxa"/>
              <w:bottom w:w="0" w:type="dxa"/>
              <w:right w:w="0" w:type="dxa"/>
            </w:tcMar>
            <w:vAlign w:val="center"/>
          </w:tcPr>
          <w:p>
            <w:pPr>
              <w:jc w:val="center"/>
              <w:rPr>
                <w:color w:val="auto"/>
                <w:kern w:val="0"/>
              </w:rPr>
            </w:pPr>
            <w:r>
              <w:rPr>
                <w:color w:val="auto"/>
                <w:kern w:val="0"/>
              </w:rPr>
              <w:t>7.0</w:t>
            </w:r>
          </w:p>
        </w:tc>
        <w:tc>
          <w:tcPr>
            <w:tcW w:w="207" w:type="pct"/>
            <w:tcMar>
              <w:top w:w="0" w:type="dxa"/>
              <w:left w:w="0" w:type="dxa"/>
              <w:bottom w:w="0" w:type="dxa"/>
              <w:right w:w="0" w:type="dxa"/>
            </w:tcMar>
            <w:vAlign w:val="center"/>
          </w:tcPr>
          <w:p>
            <w:pPr>
              <w:jc w:val="center"/>
              <w:rPr>
                <w:color w:val="auto"/>
                <w:kern w:val="0"/>
              </w:rPr>
            </w:pPr>
            <w:r>
              <w:rPr>
                <w:color w:val="auto"/>
                <w:kern w:val="0"/>
              </w:rPr>
              <w:t>5.3</w:t>
            </w:r>
          </w:p>
        </w:tc>
        <w:tc>
          <w:tcPr>
            <w:tcW w:w="387" w:type="pct"/>
            <w:tcMar>
              <w:top w:w="0" w:type="dxa"/>
              <w:left w:w="0" w:type="dxa"/>
              <w:bottom w:w="0" w:type="dxa"/>
              <w:right w:w="0" w:type="dxa"/>
            </w:tcMar>
            <w:vAlign w:val="center"/>
          </w:tcPr>
          <w:p>
            <w:pPr>
              <w:jc w:val="center"/>
              <w:rPr>
                <w:color w:val="auto"/>
                <w:kern w:val="0"/>
              </w:rPr>
            </w:pPr>
            <w:r>
              <w:rPr>
                <w:color w:val="auto"/>
                <w:kern w:val="0"/>
              </w:rPr>
              <w:t>2.4</w:t>
            </w:r>
          </w:p>
        </w:tc>
        <w:tc>
          <w:tcPr>
            <w:tcW w:w="267" w:type="pct"/>
            <w:tcMar>
              <w:top w:w="0" w:type="dxa"/>
              <w:left w:w="0" w:type="dxa"/>
              <w:bottom w:w="0" w:type="dxa"/>
              <w:right w:w="0" w:type="dxa"/>
            </w:tcMar>
            <w:vAlign w:val="center"/>
          </w:tcPr>
          <w:p>
            <w:pPr>
              <w:jc w:val="center"/>
              <w:rPr>
                <w:color w:val="auto"/>
                <w:kern w:val="0"/>
              </w:rPr>
            </w:pPr>
            <w:r>
              <w:rPr>
                <w:color w:val="auto"/>
                <w:kern w:val="0"/>
              </w:rPr>
              <w:t>1.2</w:t>
            </w:r>
          </w:p>
        </w:tc>
        <w:tc>
          <w:tcPr>
            <w:tcW w:w="355" w:type="pct"/>
            <w:tcMar>
              <w:top w:w="0" w:type="dxa"/>
              <w:left w:w="0" w:type="dxa"/>
              <w:bottom w:w="0" w:type="dxa"/>
              <w:right w:w="0" w:type="dxa"/>
            </w:tcMar>
            <w:vAlign w:val="center"/>
          </w:tcPr>
          <w:p>
            <w:pPr>
              <w:jc w:val="center"/>
              <w:rPr>
                <w:color w:val="auto"/>
                <w:kern w:val="0"/>
              </w:rPr>
            </w:pPr>
            <w:r>
              <w:rPr>
                <w:color w:val="auto"/>
                <w:kern w:val="0"/>
              </w:rPr>
              <w:t>1.1</w:t>
            </w:r>
          </w:p>
        </w:tc>
        <w:tc>
          <w:tcPr>
            <w:tcW w:w="295" w:type="pct"/>
            <w:tcMar>
              <w:top w:w="0" w:type="dxa"/>
              <w:left w:w="0" w:type="dxa"/>
              <w:bottom w:w="0" w:type="dxa"/>
              <w:right w:w="0" w:type="dxa"/>
            </w:tcMar>
            <w:vAlign w:val="center"/>
          </w:tcPr>
          <w:p>
            <w:pPr>
              <w:spacing w:before="80"/>
              <w:rPr>
                <w:color w:val="auto"/>
                <w:kern w:val="0"/>
              </w:rPr>
            </w:pPr>
            <w:r>
              <w:rPr>
                <w:color w:val="auto"/>
                <w:kern w:val="0"/>
              </w:rPr>
              <w:t>33.3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9" w:type="pct"/>
            <w:tcMar>
              <w:top w:w="0" w:type="dxa"/>
              <w:left w:w="0" w:type="dxa"/>
              <w:bottom w:w="0" w:type="dxa"/>
              <w:right w:w="0" w:type="dxa"/>
            </w:tcMar>
            <w:vAlign w:val="center"/>
          </w:tcPr>
          <w:p>
            <w:pPr>
              <w:jc w:val="center"/>
              <w:rPr>
                <w:color w:val="auto"/>
                <w:kern w:val="0"/>
              </w:rPr>
            </w:pPr>
            <w:r>
              <w:rPr>
                <w:color w:val="auto"/>
                <w:kern w:val="0"/>
              </w:rPr>
              <w:t>12</w:t>
            </w:r>
          </w:p>
        </w:tc>
        <w:tc>
          <w:tcPr>
            <w:tcW w:w="188" w:type="pct"/>
            <w:tcMar>
              <w:top w:w="0" w:type="dxa"/>
              <w:left w:w="0" w:type="dxa"/>
              <w:bottom w:w="0" w:type="dxa"/>
              <w:right w:w="0" w:type="dxa"/>
            </w:tcMar>
            <w:vAlign w:val="center"/>
          </w:tcPr>
          <w:p>
            <w:pPr>
              <w:jc w:val="center"/>
              <w:rPr>
                <w:color w:val="auto"/>
                <w:kern w:val="0"/>
              </w:rPr>
            </w:pPr>
            <w:r>
              <w:rPr>
                <w:color w:val="auto"/>
                <w:kern w:val="0"/>
              </w:rPr>
              <w:t>2.3</w:t>
            </w:r>
          </w:p>
        </w:tc>
        <w:tc>
          <w:tcPr>
            <w:tcW w:w="305" w:type="pct"/>
            <w:tcMar>
              <w:top w:w="0" w:type="dxa"/>
              <w:left w:w="0" w:type="dxa"/>
              <w:bottom w:w="0" w:type="dxa"/>
              <w:right w:w="0" w:type="dxa"/>
            </w:tcMar>
            <w:vAlign w:val="center"/>
          </w:tcPr>
          <w:p>
            <w:pPr>
              <w:jc w:val="center"/>
              <w:rPr>
                <w:color w:val="auto"/>
                <w:kern w:val="0"/>
              </w:rPr>
            </w:pPr>
            <w:r>
              <w:rPr>
                <w:color w:val="auto"/>
                <w:kern w:val="0"/>
              </w:rPr>
              <w:t>4.0</w:t>
            </w:r>
          </w:p>
        </w:tc>
        <w:tc>
          <w:tcPr>
            <w:tcW w:w="261" w:type="pct"/>
            <w:tcMar>
              <w:top w:w="0" w:type="dxa"/>
              <w:left w:w="0" w:type="dxa"/>
              <w:bottom w:w="0" w:type="dxa"/>
              <w:right w:w="0" w:type="dxa"/>
            </w:tcMar>
            <w:vAlign w:val="center"/>
          </w:tcPr>
          <w:p>
            <w:pPr>
              <w:jc w:val="center"/>
              <w:rPr>
                <w:color w:val="auto"/>
                <w:kern w:val="0"/>
              </w:rPr>
            </w:pPr>
            <w:r>
              <w:rPr>
                <w:color w:val="auto"/>
                <w:kern w:val="0"/>
              </w:rPr>
              <w:t>5.4</w:t>
            </w:r>
          </w:p>
        </w:tc>
        <w:tc>
          <w:tcPr>
            <w:tcW w:w="288" w:type="pct"/>
            <w:tcMar>
              <w:top w:w="0" w:type="dxa"/>
              <w:left w:w="0" w:type="dxa"/>
              <w:bottom w:w="0" w:type="dxa"/>
              <w:right w:w="0" w:type="dxa"/>
            </w:tcMar>
            <w:vAlign w:val="center"/>
          </w:tcPr>
          <w:p>
            <w:pPr>
              <w:jc w:val="center"/>
              <w:rPr>
                <w:color w:val="auto"/>
                <w:kern w:val="0"/>
              </w:rPr>
            </w:pPr>
            <w:r>
              <w:rPr>
                <w:color w:val="auto"/>
                <w:kern w:val="0"/>
              </w:rPr>
              <w:t>7.3</w:t>
            </w:r>
          </w:p>
        </w:tc>
        <w:tc>
          <w:tcPr>
            <w:tcW w:w="261" w:type="pct"/>
            <w:tcMar>
              <w:top w:w="0" w:type="dxa"/>
              <w:left w:w="0" w:type="dxa"/>
              <w:bottom w:w="0" w:type="dxa"/>
              <w:right w:w="0" w:type="dxa"/>
            </w:tcMar>
            <w:vAlign w:val="center"/>
          </w:tcPr>
          <w:p>
            <w:pPr>
              <w:jc w:val="center"/>
              <w:rPr>
                <w:color w:val="auto"/>
                <w:kern w:val="0"/>
              </w:rPr>
            </w:pPr>
            <w:r>
              <w:rPr>
                <w:color w:val="auto"/>
                <w:kern w:val="0"/>
              </w:rPr>
              <w:t>5.0</w:t>
            </w:r>
          </w:p>
        </w:tc>
        <w:tc>
          <w:tcPr>
            <w:tcW w:w="265" w:type="pct"/>
            <w:tcMar>
              <w:top w:w="0" w:type="dxa"/>
              <w:left w:w="0" w:type="dxa"/>
              <w:bottom w:w="0" w:type="dxa"/>
              <w:right w:w="0" w:type="dxa"/>
            </w:tcMar>
            <w:vAlign w:val="center"/>
          </w:tcPr>
          <w:p>
            <w:pPr>
              <w:jc w:val="center"/>
              <w:rPr>
                <w:color w:val="auto"/>
                <w:kern w:val="0"/>
              </w:rPr>
            </w:pPr>
            <w:r>
              <w:rPr>
                <w:color w:val="auto"/>
                <w:kern w:val="0"/>
              </w:rPr>
              <w:t>3.4</w:t>
            </w:r>
          </w:p>
        </w:tc>
        <w:tc>
          <w:tcPr>
            <w:tcW w:w="188" w:type="pct"/>
            <w:tcMar>
              <w:top w:w="0" w:type="dxa"/>
              <w:left w:w="0" w:type="dxa"/>
              <w:bottom w:w="0" w:type="dxa"/>
              <w:right w:w="0" w:type="dxa"/>
            </w:tcMar>
            <w:vAlign w:val="center"/>
          </w:tcPr>
          <w:p>
            <w:pPr>
              <w:jc w:val="center"/>
              <w:rPr>
                <w:color w:val="auto"/>
                <w:kern w:val="0"/>
              </w:rPr>
            </w:pPr>
            <w:r>
              <w:rPr>
                <w:color w:val="auto"/>
                <w:kern w:val="0"/>
              </w:rPr>
              <w:t>2.9</w:t>
            </w:r>
          </w:p>
        </w:tc>
        <w:tc>
          <w:tcPr>
            <w:tcW w:w="257" w:type="pct"/>
            <w:tcMar>
              <w:top w:w="0" w:type="dxa"/>
              <w:left w:w="0" w:type="dxa"/>
              <w:bottom w:w="0" w:type="dxa"/>
              <w:right w:w="0" w:type="dxa"/>
            </w:tcMar>
            <w:vAlign w:val="center"/>
          </w:tcPr>
          <w:p>
            <w:pPr>
              <w:jc w:val="center"/>
              <w:rPr>
                <w:color w:val="auto"/>
                <w:kern w:val="0"/>
              </w:rPr>
            </w:pPr>
            <w:r>
              <w:rPr>
                <w:color w:val="auto"/>
                <w:kern w:val="0"/>
              </w:rPr>
              <w:t>2.7</w:t>
            </w:r>
          </w:p>
        </w:tc>
        <w:tc>
          <w:tcPr>
            <w:tcW w:w="255" w:type="pct"/>
            <w:tcMar>
              <w:top w:w="0" w:type="dxa"/>
              <w:left w:w="0" w:type="dxa"/>
              <w:bottom w:w="0" w:type="dxa"/>
              <w:right w:w="0" w:type="dxa"/>
            </w:tcMar>
            <w:vAlign w:val="center"/>
          </w:tcPr>
          <w:p>
            <w:pPr>
              <w:jc w:val="center"/>
              <w:rPr>
                <w:color w:val="auto"/>
                <w:kern w:val="0"/>
              </w:rPr>
            </w:pPr>
            <w:r>
              <w:rPr>
                <w:color w:val="auto"/>
                <w:kern w:val="0"/>
              </w:rPr>
              <w:t>3.6</w:t>
            </w:r>
          </w:p>
        </w:tc>
        <w:tc>
          <w:tcPr>
            <w:tcW w:w="305" w:type="pct"/>
            <w:tcMar>
              <w:top w:w="0" w:type="dxa"/>
              <w:left w:w="0" w:type="dxa"/>
              <w:bottom w:w="0" w:type="dxa"/>
              <w:right w:w="0" w:type="dxa"/>
            </w:tcMar>
            <w:vAlign w:val="center"/>
          </w:tcPr>
          <w:p>
            <w:pPr>
              <w:jc w:val="center"/>
              <w:rPr>
                <w:color w:val="auto"/>
                <w:kern w:val="0"/>
              </w:rPr>
            </w:pPr>
            <w:r>
              <w:rPr>
                <w:color w:val="auto"/>
                <w:kern w:val="0"/>
              </w:rPr>
              <w:t>3.1</w:t>
            </w:r>
          </w:p>
        </w:tc>
        <w:tc>
          <w:tcPr>
            <w:tcW w:w="255" w:type="pct"/>
            <w:tcMar>
              <w:top w:w="0" w:type="dxa"/>
              <w:left w:w="0" w:type="dxa"/>
              <w:bottom w:w="0" w:type="dxa"/>
              <w:right w:w="0" w:type="dxa"/>
            </w:tcMar>
            <w:vAlign w:val="center"/>
          </w:tcPr>
          <w:p>
            <w:pPr>
              <w:jc w:val="center"/>
              <w:rPr>
                <w:color w:val="auto"/>
                <w:kern w:val="0"/>
              </w:rPr>
            </w:pPr>
            <w:r>
              <w:rPr>
                <w:color w:val="auto"/>
                <w:kern w:val="0"/>
              </w:rPr>
              <w:t>8.3</w:t>
            </w:r>
          </w:p>
        </w:tc>
        <w:tc>
          <w:tcPr>
            <w:tcW w:w="362" w:type="pct"/>
            <w:tcMar>
              <w:top w:w="0" w:type="dxa"/>
              <w:left w:w="0" w:type="dxa"/>
              <w:bottom w:w="0" w:type="dxa"/>
              <w:right w:w="0" w:type="dxa"/>
            </w:tcMar>
            <w:vAlign w:val="center"/>
          </w:tcPr>
          <w:p>
            <w:pPr>
              <w:jc w:val="center"/>
              <w:rPr>
                <w:color w:val="auto"/>
                <w:kern w:val="0"/>
              </w:rPr>
            </w:pPr>
            <w:r>
              <w:rPr>
                <w:color w:val="auto"/>
                <w:kern w:val="0"/>
              </w:rPr>
              <w:t>7.0</w:t>
            </w:r>
          </w:p>
        </w:tc>
        <w:tc>
          <w:tcPr>
            <w:tcW w:w="207" w:type="pct"/>
            <w:tcMar>
              <w:top w:w="0" w:type="dxa"/>
              <w:left w:w="0" w:type="dxa"/>
              <w:bottom w:w="0" w:type="dxa"/>
              <w:right w:w="0" w:type="dxa"/>
            </w:tcMar>
            <w:vAlign w:val="center"/>
          </w:tcPr>
          <w:p>
            <w:pPr>
              <w:jc w:val="center"/>
              <w:rPr>
                <w:color w:val="auto"/>
                <w:kern w:val="0"/>
              </w:rPr>
            </w:pPr>
            <w:r>
              <w:rPr>
                <w:color w:val="auto"/>
                <w:kern w:val="0"/>
              </w:rPr>
              <w:t>8.1</w:t>
            </w:r>
          </w:p>
        </w:tc>
        <w:tc>
          <w:tcPr>
            <w:tcW w:w="387" w:type="pct"/>
            <w:tcMar>
              <w:top w:w="0" w:type="dxa"/>
              <w:left w:w="0" w:type="dxa"/>
              <w:bottom w:w="0" w:type="dxa"/>
              <w:right w:w="0" w:type="dxa"/>
            </w:tcMar>
            <w:vAlign w:val="center"/>
          </w:tcPr>
          <w:p>
            <w:pPr>
              <w:jc w:val="center"/>
              <w:rPr>
                <w:color w:val="auto"/>
                <w:kern w:val="0"/>
              </w:rPr>
            </w:pPr>
            <w:r>
              <w:rPr>
                <w:color w:val="auto"/>
                <w:kern w:val="0"/>
              </w:rPr>
              <w:t>3.7</w:t>
            </w:r>
          </w:p>
        </w:tc>
        <w:tc>
          <w:tcPr>
            <w:tcW w:w="267" w:type="pct"/>
            <w:tcMar>
              <w:top w:w="0" w:type="dxa"/>
              <w:left w:w="0" w:type="dxa"/>
              <w:bottom w:w="0" w:type="dxa"/>
              <w:right w:w="0" w:type="dxa"/>
            </w:tcMar>
            <w:vAlign w:val="center"/>
          </w:tcPr>
          <w:p>
            <w:pPr>
              <w:jc w:val="center"/>
              <w:rPr>
                <w:color w:val="auto"/>
                <w:kern w:val="0"/>
              </w:rPr>
            </w:pPr>
            <w:r>
              <w:rPr>
                <w:color w:val="auto"/>
                <w:kern w:val="0"/>
              </w:rPr>
              <w:t>2.0</w:t>
            </w:r>
          </w:p>
        </w:tc>
        <w:tc>
          <w:tcPr>
            <w:tcW w:w="355" w:type="pct"/>
            <w:tcMar>
              <w:top w:w="0" w:type="dxa"/>
              <w:left w:w="0" w:type="dxa"/>
              <w:bottom w:w="0" w:type="dxa"/>
              <w:right w:w="0" w:type="dxa"/>
            </w:tcMar>
            <w:vAlign w:val="center"/>
          </w:tcPr>
          <w:p>
            <w:pPr>
              <w:jc w:val="center"/>
              <w:rPr>
                <w:color w:val="auto"/>
                <w:kern w:val="0"/>
              </w:rPr>
            </w:pPr>
            <w:r>
              <w:rPr>
                <w:color w:val="auto"/>
                <w:kern w:val="0"/>
              </w:rPr>
              <w:t>1.4</w:t>
            </w:r>
          </w:p>
        </w:tc>
        <w:tc>
          <w:tcPr>
            <w:tcW w:w="295" w:type="pct"/>
            <w:tcMar>
              <w:top w:w="0" w:type="dxa"/>
              <w:left w:w="0" w:type="dxa"/>
              <w:bottom w:w="0" w:type="dxa"/>
              <w:right w:w="0" w:type="dxa"/>
            </w:tcMar>
            <w:vAlign w:val="center"/>
          </w:tcPr>
          <w:p>
            <w:pPr>
              <w:spacing w:before="79"/>
              <w:rPr>
                <w:color w:val="auto"/>
                <w:kern w:val="0"/>
              </w:rPr>
            </w:pPr>
            <w:r>
              <w:rPr>
                <w:color w:val="auto"/>
                <w:kern w:val="0"/>
              </w:rPr>
              <w:t>29.8</w:t>
            </w:r>
          </w:p>
        </w:tc>
      </w:tr>
    </w:tbl>
    <w:p>
      <w:pPr>
        <w:adjustRightInd w:val="0"/>
        <w:snapToGrid w:val="0"/>
        <w:textAlignment w:val="baseline"/>
        <w:rPr>
          <w:color w:val="auto"/>
        </w:rPr>
      </w:pPr>
    </w:p>
    <w:p>
      <w:pPr>
        <w:adjustRightInd w:val="0"/>
        <w:snapToGrid w:val="0"/>
        <w:textAlignment w:val="baseline"/>
        <w:rPr>
          <w:color w:val="auto"/>
        </w:rPr>
      </w:pPr>
    </w:p>
    <w:p>
      <w:pPr>
        <w:adjustRightInd w:val="0"/>
        <w:snapToGrid w:val="0"/>
        <w:textAlignment w:val="baseline"/>
        <w:rPr>
          <w:color w:val="auto"/>
        </w:rPr>
      </w:pPr>
    </w:p>
    <w:p>
      <w:pPr>
        <w:adjustRightInd w:val="0"/>
        <w:snapToGrid w:val="0"/>
        <w:textAlignment w:val="baseline"/>
        <w:rPr>
          <w:color w:val="auto"/>
          <w:kern w:val="0"/>
          <w:sz w:val="24"/>
          <w:szCs w:val="20"/>
        </w:rPr>
      </w:pPr>
      <w:r>
        <w:rPr>
          <w:color w:val="auto"/>
        </w:rPr>
        <w:drawing>
          <wp:inline distT="0" distB="0" distL="0" distR="0">
            <wp:extent cx="5275580" cy="2286635"/>
            <wp:effectExtent l="0" t="0" r="1270" b="18415"/>
            <wp:docPr id="31" name="图片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44"/>
                    <pic:cNvPicPr>
                      <a:picLocks noChangeAspect="1" noChangeArrowheads="1"/>
                    </pic:cNvPicPr>
                  </pic:nvPicPr>
                  <pic:blipFill>
                    <a:blip r:embed="rId81"/>
                    <a:srcRect/>
                    <a:stretch>
                      <a:fillRect/>
                    </a:stretch>
                  </pic:blipFill>
                  <pic:spPr>
                    <a:xfrm>
                      <a:off x="0" y="0"/>
                      <a:ext cx="5275580" cy="2286635"/>
                    </a:xfrm>
                    <a:prstGeom prst="rect">
                      <a:avLst/>
                    </a:prstGeom>
                    <a:noFill/>
                    <a:ln>
                      <a:noFill/>
                    </a:ln>
                  </pic:spPr>
                </pic:pic>
              </a:graphicData>
            </a:graphic>
          </wp:inline>
        </w:drawing>
      </w:r>
    </w:p>
    <w:p>
      <w:pPr>
        <w:adjustRightInd w:val="0"/>
        <w:snapToGrid w:val="0"/>
        <w:textAlignment w:val="baseline"/>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r>
        <w:rPr>
          <w:color w:val="auto"/>
        </w:rPr>
        <w:drawing>
          <wp:inline distT="0" distB="0" distL="0" distR="0">
            <wp:extent cx="5278755" cy="2058670"/>
            <wp:effectExtent l="0" t="0" r="17145" b="17780"/>
            <wp:docPr id="32"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6"/>
                    <pic:cNvPicPr>
                      <a:picLocks noChangeAspect="1" noChangeArrowheads="1"/>
                    </pic:cNvPicPr>
                  </pic:nvPicPr>
                  <pic:blipFill>
                    <a:blip r:embed="rId82"/>
                    <a:srcRect/>
                    <a:stretch>
                      <a:fillRect/>
                    </a:stretch>
                  </pic:blipFill>
                  <pic:spPr>
                    <a:xfrm>
                      <a:off x="0" y="0"/>
                      <a:ext cx="5278755" cy="2058670"/>
                    </a:xfrm>
                    <a:prstGeom prst="rect">
                      <a:avLst/>
                    </a:prstGeom>
                    <a:noFill/>
                    <a:ln>
                      <a:noFill/>
                    </a:ln>
                  </pic:spPr>
                </pic:pic>
              </a:graphicData>
            </a:graphic>
          </wp:inline>
        </w:drawing>
      </w: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adjustRightInd w:val="0"/>
        <w:snapToGrid w:val="0"/>
        <w:textAlignment w:val="baseline"/>
        <w:rPr>
          <w:color w:val="auto"/>
          <w:kern w:val="0"/>
          <w:sz w:val="24"/>
          <w:szCs w:val="20"/>
        </w:rPr>
      </w:pPr>
      <w:r>
        <w:rPr>
          <w:color w:val="auto"/>
        </w:rPr>
        <w:drawing>
          <wp:inline distT="0" distB="0" distL="0" distR="0">
            <wp:extent cx="5278755" cy="2324735"/>
            <wp:effectExtent l="0" t="0" r="17145" b="18415"/>
            <wp:docPr id="3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7"/>
                    <pic:cNvPicPr>
                      <a:picLocks noChangeAspect="1" noChangeArrowheads="1"/>
                    </pic:cNvPicPr>
                  </pic:nvPicPr>
                  <pic:blipFill>
                    <a:blip r:embed="rId83"/>
                    <a:srcRect/>
                    <a:stretch>
                      <a:fillRect/>
                    </a:stretch>
                  </pic:blipFill>
                  <pic:spPr>
                    <a:xfrm>
                      <a:off x="0" y="0"/>
                      <a:ext cx="5278755" cy="2324735"/>
                    </a:xfrm>
                    <a:prstGeom prst="rect">
                      <a:avLst/>
                    </a:prstGeom>
                    <a:noFill/>
                    <a:ln>
                      <a:noFill/>
                    </a:ln>
                  </pic:spPr>
                </pic:pic>
              </a:graphicData>
            </a:graphic>
          </wp:inline>
        </w:drawing>
      </w:r>
    </w:p>
    <w:p>
      <w:pPr>
        <w:adjustRightInd w:val="0"/>
        <w:snapToGrid w:val="0"/>
        <w:textAlignment w:val="baseline"/>
        <w:rPr>
          <w:color w:val="auto"/>
        </w:rPr>
      </w:pPr>
    </w:p>
    <w:p>
      <w:pPr>
        <w:adjustRightInd w:val="0"/>
        <w:snapToGrid w:val="0"/>
        <w:textAlignment w:val="baseline"/>
        <w:rPr>
          <w:color w:val="auto"/>
        </w:rPr>
      </w:pPr>
    </w:p>
    <w:p>
      <w:pPr>
        <w:adjustRightInd w:val="0"/>
        <w:snapToGrid w:val="0"/>
        <w:textAlignment w:val="baseline"/>
        <w:rPr>
          <w:color w:val="auto"/>
          <w:kern w:val="0"/>
          <w:sz w:val="24"/>
          <w:szCs w:val="20"/>
        </w:rPr>
      </w:pPr>
      <w:r>
        <w:rPr>
          <w:color w:val="auto"/>
        </w:rPr>
        <w:drawing>
          <wp:inline distT="0" distB="0" distL="0" distR="0">
            <wp:extent cx="5278755" cy="2324735"/>
            <wp:effectExtent l="0" t="0" r="17145" b="18415"/>
            <wp:docPr id="34"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8"/>
                    <pic:cNvPicPr>
                      <a:picLocks noChangeAspect="1" noChangeArrowheads="1"/>
                    </pic:cNvPicPr>
                  </pic:nvPicPr>
                  <pic:blipFill>
                    <a:blip r:embed="rId84"/>
                    <a:srcRect/>
                    <a:stretch>
                      <a:fillRect/>
                    </a:stretch>
                  </pic:blipFill>
                  <pic:spPr>
                    <a:xfrm>
                      <a:off x="0" y="0"/>
                      <a:ext cx="5278755" cy="2324735"/>
                    </a:xfrm>
                    <a:prstGeom prst="rect">
                      <a:avLst/>
                    </a:prstGeom>
                    <a:noFill/>
                    <a:ln>
                      <a:noFill/>
                    </a:ln>
                  </pic:spPr>
                </pic:pic>
              </a:graphicData>
            </a:graphic>
          </wp:inline>
        </w:drawing>
      </w:r>
    </w:p>
    <w:p>
      <w:pPr>
        <w:adjustRightInd w:val="0"/>
        <w:snapToGrid w:val="0"/>
        <w:textAlignment w:val="baseline"/>
        <w:rPr>
          <w:color w:val="auto"/>
        </w:rPr>
      </w:pPr>
    </w:p>
    <w:p>
      <w:pPr>
        <w:adjustRightInd w:val="0"/>
        <w:snapToGrid w:val="0"/>
        <w:textAlignment w:val="baseline"/>
        <w:rPr>
          <w:color w:val="auto"/>
        </w:rPr>
      </w:pPr>
    </w:p>
    <w:p>
      <w:pPr>
        <w:adjustRightInd w:val="0"/>
        <w:snapToGrid w:val="0"/>
        <w:textAlignment w:val="baseline"/>
        <w:rPr>
          <w:color w:val="auto"/>
        </w:rPr>
      </w:pPr>
    </w:p>
    <w:p>
      <w:pPr>
        <w:adjustRightInd w:val="0"/>
        <w:snapToGrid w:val="0"/>
        <w:textAlignment w:val="baseline"/>
        <w:rPr>
          <w:color w:val="auto"/>
        </w:rPr>
      </w:pPr>
      <w:r>
        <w:rPr>
          <w:color w:val="auto"/>
        </w:rPr>
        <w:drawing>
          <wp:inline distT="0" distB="0" distL="0" distR="0">
            <wp:extent cx="5278755" cy="2315210"/>
            <wp:effectExtent l="0" t="0" r="17145" b="8890"/>
            <wp:docPr id="3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9"/>
                    <pic:cNvPicPr>
                      <a:picLocks noChangeAspect="1" noChangeArrowheads="1"/>
                    </pic:cNvPicPr>
                  </pic:nvPicPr>
                  <pic:blipFill>
                    <a:blip r:embed="rId85"/>
                    <a:srcRect/>
                    <a:stretch>
                      <a:fillRect/>
                    </a:stretch>
                  </pic:blipFill>
                  <pic:spPr>
                    <a:xfrm>
                      <a:off x="0" y="0"/>
                      <a:ext cx="5278755" cy="2315210"/>
                    </a:xfrm>
                    <a:prstGeom prst="rect">
                      <a:avLst/>
                    </a:prstGeom>
                    <a:noFill/>
                    <a:ln>
                      <a:noFill/>
                    </a:ln>
                  </pic:spPr>
                </pic:pic>
              </a:graphicData>
            </a:graphic>
          </wp:inline>
        </w:drawing>
      </w: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adjustRightInd w:val="0"/>
        <w:snapToGrid w:val="0"/>
        <w:textAlignment w:val="baseline"/>
        <w:rPr>
          <w:color w:val="auto"/>
          <w:kern w:val="0"/>
          <w:sz w:val="24"/>
          <w:szCs w:val="20"/>
        </w:rPr>
      </w:pPr>
      <w:r>
        <w:rPr>
          <w:color w:val="auto"/>
        </w:rPr>
        <w:drawing>
          <wp:inline distT="0" distB="0" distL="0" distR="0">
            <wp:extent cx="5275580" cy="2353310"/>
            <wp:effectExtent l="0" t="0" r="1270" b="8890"/>
            <wp:docPr id="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0"/>
                    <pic:cNvPicPr>
                      <a:picLocks noChangeAspect="1" noChangeArrowheads="1"/>
                    </pic:cNvPicPr>
                  </pic:nvPicPr>
                  <pic:blipFill>
                    <a:blip r:embed="rId86"/>
                    <a:srcRect/>
                    <a:stretch>
                      <a:fillRect/>
                    </a:stretch>
                  </pic:blipFill>
                  <pic:spPr>
                    <a:xfrm>
                      <a:off x="0" y="0"/>
                      <a:ext cx="5275580" cy="2353310"/>
                    </a:xfrm>
                    <a:prstGeom prst="rect">
                      <a:avLst/>
                    </a:prstGeom>
                    <a:noFill/>
                    <a:ln>
                      <a:noFill/>
                    </a:ln>
                  </pic:spPr>
                </pic:pic>
              </a:graphicData>
            </a:graphic>
          </wp:inline>
        </w:drawing>
      </w:r>
    </w:p>
    <w:p>
      <w:pPr>
        <w:jc w:val="center"/>
        <w:rPr>
          <w:rFonts w:eastAsia="黑体"/>
          <w:color w:val="auto"/>
          <w:sz w:val="24"/>
          <w:szCs w:val="24"/>
        </w:rPr>
      </w:pPr>
    </w:p>
    <w:p>
      <w:pPr>
        <w:jc w:val="center"/>
        <w:rPr>
          <w:rFonts w:eastAsia="黑体"/>
          <w:color w:val="auto"/>
          <w:sz w:val="24"/>
          <w:szCs w:val="24"/>
        </w:rPr>
      </w:pPr>
      <w:r>
        <w:rPr>
          <w:rFonts w:eastAsia="黑体"/>
          <w:color w:val="auto"/>
          <w:sz w:val="24"/>
          <w:szCs w:val="24"/>
        </w:rPr>
        <w:t>图5.1-2  获嘉县月风向玫瑰图</w:t>
      </w:r>
    </w:p>
    <w:p>
      <w:pPr>
        <w:pStyle w:val="43"/>
      </w:pPr>
    </w:p>
    <w:p>
      <w:pPr>
        <w:adjustRightInd w:val="0"/>
        <w:snapToGrid w:val="0"/>
        <w:spacing w:line="520" w:lineRule="exact"/>
        <w:textAlignment w:val="baseline"/>
        <w:rPr>
          <w:b/>
          <w:color w:val="auto"/>
          <w:kern w:val="0"/>
          <w:sz w:val="24"/>
          <w:szCs w:val="20"/>
        </w:rPr>
      </w:pPr>
      <w:r>
        <w:rPr>
          <w:color w:val="auto"/>
          <w:kern w:val="0"/>
          <w:sz w:val="24"/>
          <w:szCs w:val="20"/>
        </w:rPr>
        <w:t>（3）风速年际变化特征与周期分析</w:t>
      </w:r>
    </w:p>
    <w:p>
      <w:pPr>
        <w:adjustRightInd w:val="0"/>
        <w:snapToGrid w:val="0"/>
        <w:spacing w:line="520" w:lineRule="exact"/>
        <w:ind w:firstLine="480" w:firstLineChars="200"/>
        <w:rPr>
          <w:color w:val="auto"/>
          <w:kern w:val="0"/>
          <w:sz w:val="24"/>
          <w:szCs w:val="20"/>
        </w:rPr>
      </w:pPr>
      <w:r>
        <w:rPr>
          <w:color w:val="auto"/>
          <w:kern w:val="0"/>
          <w:sz w:val="24"/>
          <w:szCs w:val="20"/>
        </w:rPr>
        <w:t>根据近20年资料分析，获嘉县气象站风速呈</w:t>
      </w:r>
      <w:r>
        <w:rPr>
          <w:rFonts w:hint="eastAsia"/>
          <w:color w:val="auto"/>
          <w:kern w:val="0"/>
          <w:sz w:val="24"/>
          <w:szCs w:val="20"/>
          <w:lang w:eastAsia="zh-CN"/>
        </w:rPr>
        <w:t>向下</w:t>
      </w:r>
      <w:r>
        <w:rPr>
          <w:color w:val="auto"/>
          <w:kern w:val="0"/>
          <w:sz w:val="24"/>
          <w:szCs w:val="20"/>
        </w:rPr>
        <w:t>上升趋势，每年上升0.04%，2018年年平均风速最大（2.5米/秒），2001年年平均风速最小（0.5米/秒），周期为5年。获嘉县近20年风速变化见下图：</w:t>
      </w:r>
    </w:p>
    <w:p>
      <w:pPr>
        <w:adjustRightInd w:val="0"/>
        <w:snapToGrid w:val="0"/>
        <w:jc w:val="center"/>
        <w:rPr>
          <w:color w:val="auto"/>
        </w:rPr>
      </w:pPr>
    </w:p>
    <w:p>
      <w:pPr>
        <w:adjustRightInd w:val="0"/>
        <w:snapToGrid w:val="0"/>
        <w:jc w:val="center"/>
        <w:rPr>
          <w:color w:val="auto"/>
          <w:kern w:val="0"/>
          <w:sz w:val="24"/>
          <w:szCs w:val="20"/>
        </w:rPr>
      </w:pPr>
      <w:r>
        <w:rPr>
          <w:color w:val="auto"/>
        </w:rPr>
        <w:drawing>
          <wp:inline distT="0" distB="0" distL="0" distR="0">
            <wp:extent cx="3715385" cy="2877820"/>
            <wp:effectExtent l="0" t="0" r="18415" b="17780"/>
            <wp:docPr id="3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4.jpeg"/>
                    <pic:cNvPicPr>
                      <a:picLocks noChangeAspect="1" noChangeArrowheads="1"/>
                    </pic:cNvPicPr>
                  </pic:nvPicPr>
                  <pic:blipFill>
                    <a:blip r:embed="rId87"/>
                    <a:srcRect/>
                    <a:stretch>
                      <a:fillRect/>
                    </a:stretch>
                  </pic:blipFill>
                  <pic:spPr>
                    <a:xfrm>
                      <a:off x="0" y="0"/>
                      <a:ext cx="3715385" cy="2877820"/>
                    </a:xfrm>
                    <a:prstGeom prst="rect">
                      <a:avLst/>
                    </a:prstGeom>
                    <a:noFill/>
                    <a:ln>
                      <a:noFill/>
                    </a:ln>
                  </pic:spPr>
                </pic:pic>
              </a:graphicData>
            </a:graphic>
          </wp:inline>
        </w:drawing>
      </w:r>
    </w:p>
    <w:p>
      <w:pPr>
        <w:jc w:val="center"/>
        <w:rPr>
          <w:rFonts w:eastAsia="黑体"/>
          <w:color w:val="auto"/>
          <w:sz w:val="24"/>
          <w:szCs w:val="24"/>
        </w:rPr>
      </w:pPr>
      <w:r>
        <w:rPr>
          <w:rFonts w:eastAsia="黑体"/>
          <w:color w:val="auto"/>
          <w:sz w:val="24"/>
          <w:szCs w:val="24"/>
        </w:rPr>
        <w:t>图5.1-3  获嘉县年平均风速（单位：m/s，虚线为趋势线）</w:t>
      </w:r>
    </w:p>
    <w:p>
      <w:pPr>
        <w:pStyle w:val="6"/>
        <w:spacing w:before="0" w:after="0" w:line="360" w:lineRule="auto"/>
        <w:rPr>
          <w:b w:val="0"/>
          <w:color w:val="auto"/>
          <w:sz w:val="24"/>
          <w:szCs w:val="24"/>
        </w:rPr>
      </w:pPr>
      <w:r>
        <w:rPr>
          <w:b w:val="0"/>
          <w:color w:val="auto"/>
          <w:sz w:val="24"/>
          <w:szCs w:val="24"/>
        </w:rPr>
        <w:t>5.1.1.3气象站温度分析</w:t>
      </w:r>
    </w:p>
    <w:p>
      <w:pPr>
        <w:adjustRightInd w:val="0"/>
        <w:snapToGrid w:val="0"/>
        <w:spacing w:line="520" w:lineRule="exact"/>
        <w:ind w:firstLine="480" w:firstLineChars="200"/>
        <w:rPr>
          <w:color w:val="auto"/>
          <w:kern w:val="0"/>
          <w:sz w:val="24"/>
          <w:szCs w:val="20"/>
        </w:rPr>
      </w:pPr>
      <w:r>
        <w:rPr>
          <w:color w:val="auto"/>
          <w:kern w:val="0"/>
          <w:sz w:val="24"/>
          <w:szCs w:val="20"/>
        </w:rPr>
        <w:t>（1）月平均气温与极端气温</w:t>
      </w:r>
    </w:p>
    <w:p>
      <w:pPr>
        <w:adjustRightInd w:val="0"/>
        <w:snapToGrid w:val="0"/>
        <w:spacing w:line="520" w:lineRule="exact"/>
        <w:ind w:firstLine="480" w:firstLineChars="200"/>
        <w:rPr>
          <w:color w:val="auto"/>
          <w:kern w:val="0"/>
          <w:sz w:val="24"/>
          <w:szCs w:val="24"/>
        </w:rPr>
      </w:pPr>
      <w:r>
        <w:rPr>
          <w:color w:val="auto"/>
          <w:kern w:val="0"/>
          <w:sz w:val="24"/>
          <w:szCs w:val="24"/>
        </w:rPr>
        <w:t>获嘉气象站07月气温最高（27.6℃），01月气温最低（0.1℃），近20年极端最高气温出现在 2012-06-13（41.3℃），近20年极端最低气温出现在2008-12-22（-12.3℃）。</w:t>
      </w:r>
    </w:p>
    <w:p>
      <w:pPr>
        <w:jc w:val="center"/>
        <w:rPr>
          <w:color w:val="auto"/>
        </w:rPr>
      </w:pPr>
    </w:p>
    <w:p>
      <w:pPr>
        <w:jc w:val="center"/>
        <w:rPr>
          <w:rFonts w:eastAsia="黑体"/>
          <w:color w:val="auto"/>
          <w:sz w:val="24"/>
          <w:szCs w:val="20"/>
        </w:rPr>
      </w:pPr>
      <w:r>
        <w:rPr>
          <w:color w:val="auto"/>
        </w:rPr>
        <w:drawing>
          <wp:inline distT="0" distB="0" distL="0" distR="0">
            <wp:extent cx="4209415" cy="3072765"/>
            <wp:effectExtent l="0" t="0" r="635" b="13335"/>
            <wp:docPr id="3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jpeg"/>
                    <pic:cNvPicPr>
                      <a:picLocks noChangeAspect="1" noChangeArrowheads="1"/>
                    </pic:cNvPicPr>
                  </pic:nvPicPr>
                  <pic:blipFill>
                    <a:blip r:embed="rId88"/>
                    <a:srcRect/>
                    <a:stretch>
                      <a:fillRect/>
                    </a:stretch>
                  </pic:blipFill>
                  <pic:spPr>
                    <a:xfrm>
                      <a:off x="0" y="0"/>
                      <a:ext cx="4209415" cy="3072765"/>
                    </a:xfrm>
                    <a:prstGeom prst="rect">
                      <a:avLst/>
                    </a:prstGeom>
                    <a:noFill/>
                    <a:ln>
                      <a:noFill/>
                    </a:ln>
                  </pic:spPr>
                </pic:pic>
              </a:graphicData>
            </a:graphic>
          </wp:inline>
        </w:drawing>
      </w:r>
    </w:p>
    <w:p>
      <w:pPr>
        <w:ind w:firstLine="960" w:firstLineChars="400"/>
        <w:jc w:val="center"/>
        <w:rPr>
          <w:rFonts w:eastAsia="黑体"/>
          <w:color w:val="auto"/>
          <w:szCs w:val="24"/>
        </w:rPr>
      </w:pPr>
      <w:r>
        <w:rPr>
          <w:rFonts w:eastAsia="黑体"/>
          <w:color w:val="auto"/>
          <w:sz w:val="24"/>
          <w:szCs w:val="24"/>
        </w:rPr>
        <w:t>图5.1-4 获嘉县月平均气温（单位：℃，虚线为趋势线）</w:t>
      </w:r>
    </w:p>
    <w:p>
      <w:pPr>
        <w:adjustRightInd w:val="0"/>
        <w:snapToGrid w:val="0"/>
        <w:spacing w:line="520" w:lineRule="exact"/>
        <w:ind w:firstLine="480" w:firstLineChars="200"/>
        <w:rPr>
          <w:color w:val="auto"/>
          <w:kern w:val="0"/>
          <w:sz w:val="24"/>
          <w:szCs w:val="24"/>
        </w:rPr>
      </w:pPr>
      <w:r>
        <w:rPr>
          <w:color w:val="auto"/>
          <w:kern w:val="0"/>
          <w:sz w:val="24"/>
          <w:szCs w:val="24"/>
        </w:rPr>
        <w:t>（2）温度年际变化趋势与周期分析</w:t>
      </w:r>
    </w:p>
    <w:p>
      <w:pPr>
        <w:adjustRightInd w:val="0"/>
        <w:snapToGrid w:val="0"/>
        <w:spacing w:line="520" w:lineRule="exact"/>
        <w:ind w:firstLine="480" w:firstLineChars="200"/>
        <w:rPr>
          <w:color w:val="auto"/>
          <w:kern w:val="0"/>
          <w:sz w:val="24"/>
          <w:szCs w:val="20"/>
        </w:rPr>
      </w:pPr>
      <w:r>
        <w:rPr>
          <w:color w:val="auto"/>
          <w:kern w:val="0"/>
          <w:sz w:val="24"/>
          <w:szCs w:val="20"/>
        </w:rPr>
        <w:t>获嘉县气象站近20年气温呈现上升趋势，每年上升0.04%，2017年平均气温最高（15.7</w:t>
      </w:r>
      <w:r>
        <w:rPr>
          <w:color w:val="auto"/>
          <w:kern w:val="0"/>
          <w:sz w:val="24"/>
          <w:szCs w:val="24"/>
        </w:rPr>
        <w:t>℃</w:t>
      </w:r>
      <w:r>
        <w:rPr>
          <w:color w:val="auto"/>
          <w:kern w:val="0"/>
          <w:sz w:val="24"/>
          <w:szCs w:val="20"/>
        </w:rPr>
        <w:t>），2003年年平均气温最低（14.0</w:t>
      </w:r>
      <w:r>
        <w:rPr>
          <w:color w:val="auto"/>
          <w:kern w:val="0"/>
          <w:sz w:val="24"/>
          <w:szCs w:val="24"/>
        </w:rPr>
        <w:t>℃</w:t>
      </w:r>
      <w:r>
        <w:rPr>
          <w:color w:val="auto"/>
          <w:kern w:val="0"/>
          <w:sz w:val="24"/>
          <w:szCs w:val="20"/>
        </w:rPr>
        <w:t>），无明显周期。获嘉县近20年年平均气温变化见下图：</w:t>
      </w:r>
    </w:p>
    <w:p>
      <w:pPr>
        <w:jc w:val="center"/>
        <w:rPr>
          <w:color w:val="auto"/>
        </w:rPr>
      </w:pPr>
    </w:p>
    <w:p>
      <w:pPr>
        <w:jc w:val="center"/>
        <w:rPr>
          <w:rFonts w:eastAsia="黑体"/>
          <w:color w:val="auto"/>
          <w:sz w:val="24"/>
          <w:szCs w:val="20"/>
        </w:rPr>
      </w:pPr>
      <w:r>
        <w:rPr>
          <w:color w:val="auto"/>
        </w:rPr>
        <w:drawing>
          <wp:inline distT="0" distB="0" distL="0" distR="0">
            <wp:extent cx="3512185" cy="2527300"/>
            <wp:effectExtent l="0" t="0" r="12065" b="6350"/>
            <wp:docPr id="3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6.jpeg"/>
                    <pic:cNvPicPr>
                      <a:picLocks noChangeAspect="1" noChangeArrowheads="1"/>
                    </pic:cNvPicPr>
                  </pic:nvPicPr>
                  <pic:blipFill>
                    <a:blip r:embed="rId89"/>
                    <a:srcRect/>
                    <a:stretch>
                      <a:fillRect/>
                    </a:stretch>
                  </pic:blipFill>
                  <pic:spPr>
                    <a:xfrm>
                      <a:off x="0" y="0"/>
                      <a:ext cx="3512185" cy="2527300"/>
                    </a:xfrm>
                    <a:prstGeom prst="rect">
                      <a:avLst/>
                    </a:prstGeom>
                    <a:noFill/>
                    <a:ln>
                      <a:noFill/>
                    </a:ln>
                  </pic:spPr>
                </pic:pic>
              </a:graphicData>
            </a:graphic>
          </wp:inline>
        </w:drawing>
      </w:r>
    </w:p>
    <w:p>
      <w:pPr>
        <w:ind w:firstLine="960" w:firstLineChars="400"/>
        <w:jc w:val="center"/>
        <w:rPr>
          <w:rFonts w:eastAsia="黑体"/>
          <w:color w:val="auto"/>
          <w:sz w:val="24"/>
          <w:szCs w:val="24"/>
        </w:rPr>
      </w:pPr>
      <w:r>
        <w:rPr>
          <w:rFonts w:eastAsia="黑体"/>
          <w:color w:val="auto"/>
          <w:sz w:val="24"/>
          <w:szCs w:val="24"/>
        </w:rPr>
        <w:t>图5.1-5 获嘉县年平均气温（单位：℃，虚线为趋势线）</w:t>
      </w:r>
    </w:p>
    <w:p>
      <w:pPr>
        <w:pStyle w:val="6"/>
        <w:spacing w:before="120" w:beforeLines="50" w:after="0" w:line="360" w:lineRule="auto"/>
        <w:rPr>
          <w:b w:val="0"/>
          <w:color w:val="auto"/>
          <w:sz w:val="24"/>
          <w:szCs w:val="24"/>
        </w:rPr>
      </w:pPr>
      <w:r>
        <w:rPr>
          <w:b w:val="0"/>
          <w:color w:val="auto"/>
          <w:sz w:val="24"/>
          <w:szCs w:val="24"/>
        </w:rPr>
        <w:t>5.1.1.4气象站降水量分析</w:t>
      </w:r>
    </w:p>
    <w:p>
      <w:pPr>
        <w:adjustRightInd w:val="0"/>
        <w:snapToGrid w:val="0"/>
        <w:spacing w:line="360" w:lineRule="auto"/>
        <w:ind w:firstLine="480" w:firstLineChars="200"/>
        <w:rPr>
          <w:color w:val="auto"/>
          <w:kern w:val="0"/>
          <w:sz w:val="24"/>
          <w:szCs w:val="20"/>
        </w:rPr>
      </w:pPr>
      <w:r>
        <w:rPr>
          <w:color w:val="auto"/>
          <w:kern w:val="0"/>
          <w:sz w:val="24"/>
          <w:szCs w:val="20"/>
        </w:rPr>
        <w:t>（1）月平均降水与极端降水</w:t>
      </w:r>
    </w:p>
    <w:p>
      <w:pPr>
        <w:adjustRightInd w:val="0"/>
        <w:snapToGrid w:val="0"/>
        <w:spacing w:line="360" w:lineRule="auto"/>
        <w:ind w:firstLine="480" w:firstLineChars="200"/>
        <w:rPr>
          <w:color w:val="auto"/>
          <w:kern w:val="0"/>
          <w:sz w:val="24"/>
          <w:szCs w:val="24"/>
        </w:rPr>
      </w:pPr>
      <w:r>
        <w:rPr>
          <w:color w:val="auto"/>
          <w:kern w:val="0"/>
          <w:sz w:val="24"/>
          <w:szCs w:val="24"/>
        </w:rPr>
        <w:t>获嘉气象站07月降水量最大（160.7毫米），12月降水量最小（5.4毫米），近20年极端最大日降水出现在2016-07-09（182.8毫米）。</w:t>
      </w:r>
    </w:p>
    <w:p>
      <w:pPr>
        <w:jc w:val="center"/>
        <w:rPr>
          <w:color w:val="auto"/>
        </w:rPr>
      </w:pPr>
    </w:p>
    <w:p>
      <w:pPr>
        <w:jc w:val="center"/>
        <w:rPr>
          <w:rFonts w:eastAsia="黑体"/>
          <w:color w:val="auto"/>
          <w:sz w:val="24"/>
          <w:szCs w:val="20"/>
        </w:rPr>
      </w:pPr>
      <w:r>
        <w:rPr>
          <w:color w:val="auto"/>
        </w:rPr>
        <w:drawing>
          <wp:inline distT="0" distB="0" distL="0" distR="0">
            <wp:extent cx="3867785" cy="2759710"/>
            <wp:effectExtent l="0" t="0" r="18415" b="2540"/>
            <wp:docPr id="40"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7.jpeg"/>
                    <pic:cNvPicPr>
                      <a:picLocks noChangeAspect="1" noChangeArrowheads="1"/>
                    </pic:cNvPicPr>
                  </pic:nvPicPr>
                  <pic:blipFill>
                    <a:blip r:embed="rId90"/>
                    <a:srcRect/>
                    <a:stretch>
                      <a:fillRect/>
                    </a:stretch>
                  </pic:blipFill>
                  <pic:spPr>
                    <a:xfrm>
                      <a:off x="0" y="0"/>
                      <a:ext cx="3867785" cy="2759710"/>
                    </a:xfrm>
                    <a:prstGeom prst="rect">
                      <a:avLst/>
                    </a:prstGeom>
                    <a:noFill/>
                    <a:ln>
                      <a:noFill/>
                    </a:ln>
                  </pic:spPr>
                </pic:pic>
              </a:graphicData>
            </a:graphic>
          </wp:inline>
        </w:drawing>
      </w:r>
    </w:p>
    <w:p>
      <w:pPr>
        <w:ind w:firstLine="960" w:firstLineChars="400"/>
        <w:jc w:val="center"/>
        <w:rPr>
          <w:rFonts w:eastAsia="黑体"/>
          <w:color w:val="auto"/>
          <w:sz w:val="24"/>
          <w:szCs w:val="24"/>
        </w:rPr>
      </w:pPr>
      <w:r>
        <w:rPr>
          <w:rFonts w:eastAsia="黑体"/>
          <w:color w:val="auto"/>
          <w:sz w:val="24"/>
          <w:szCs w:val="24"/>
        </w:rPr>
        <w:t>图5.1 -6  获嘉县月平均降水量（单位：毫米）</w:t>
      </w:r>
    </w:p>
    <w:p>
      <w:pPr>
        <w:adjustRightInd w:val="0"/>
        <w:snapToGrid w:val="0"/>
        <w:spacing w:line="520" w:lineRule="exact"/>
        <w:ind w:firstLine="480" w:firstLineChars="200"/>
        <w:rPr>
          <w:color w:val="auto"/>
          <w:kern w:val="0"/>
          <w:sz w:val="24"/>
          <w:szCs w:val="20"/>
        </w:rPr>
      </w:pPr>
      <w:r>
        <w:rPr>
          <w:color w:val="auto"/>
          <w:kern w:val="0"/>
          <w:sz w:val="24"/>
          <w:szCs w:val="20"/>
        </w:rPr>
        <w:t>（2）降水年际变化趋势与周期分析</w:t>
      </w:r>
    </w:p>
    <w:p>
      <w:pPr>
        <w:adjustRightInd w:val="0"/>
        <w:snapToGrid w:val="0"/>
        <w:spacing w:line="520" w:lineRule="exact"/>
        <w:ind w:firstLine="720" w:firstLineChars="300"/>
        <w:rPr>
          <w:color w:val="auto"/>
          <w:kern w:val="0"/>
          <w:sz w:val="24"/>
          <w:szCs w:val="20"/>
        </w:rPr>
      </w:pPr>
      <w:r>
        <w:rPr>
          <w:color w:val="auto"/>
          <w:kern w:val="0"/>
          <w:sz w:val="24"/>
          <w:szCs w:val="20"/>
        </w:rPr>
        <w:t>获嘉县气象站近20年年降水总量无明显变化趋势，2016年年总降水量最大（845.0毫米），2019年年总降水量最小（273.1毫米），周期为2-3年。</w:t>
      </w:r>
    </w:p>
    <w:p>
      <w:pPr>
        <w:jc w:val="center"/>
        <w:rPr>
          <w:color w:val="auto"/>
        </w:rPr>
      </w:pPr>
    </w:p>
    <w:p>
      <w:pPr>
        <w:jc w:val="center"/>
        <w:rPr>
          <w:rFonts w:eastAsia="黑体"/>
          <w:color w:val="auto"/>
          <w:sz w:val="24"/>
          <w:szCs w:val="20"/>
        </w:rPr>
      </w:pPr>
      <w:r>
        <w:rPr>
          <w:color w:val="auto"/>
        </w:rPr>
        <w:drawing>
          <wp:inline distT="0" distB="0" distL="0" distR="0">
            <wp:extent cx="3930650" cy="2877820"/>
            <wp:effectExtent l="0" t="0" r="12700" b="17780"/>
            <wp:docPr id="4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8.jpeg"/>
                    <pic:cNvPicPr>
                      <a:picLocks noChangeAspect="1" noChangeArrowheads="1"/>
                    </pic:cNvPicPr>
                  </pic:nvPicPr>
                  <pic:blipFill>
                    <a:blip r:embed="rId91"/>
                    <a:srcRect/>
                    <a:stretch>
                      <a:fillRect/>
                    </a:stretch>
                  </pic:blipFill>
                  <pic:spPr>
                    <a:xfrm>
                      <a:off x="0" y="0"/>
                      <a:ext cx="3930650" cy="2877820"/>
                    </a:xfrm>
                    <a:prstGeom prst="rect">
                      <a:avLst/>
                    </a:prstGeom>
                    <a:noFill/>
                    <a:ln>
                      <a:noFill/>
                    </a:ln>
                  </pic:spPr>
                </pic:pic>
              </a:graphicData>
            </a:graphic>
          </wp:inline>
        </w:drawing>
      </w:r>
    </w:p>
    <w:p>
      <w:pPr>
        <w:jc w:val="center"/>
        <w:rPr>
          <w:rFonts w:eastAsia="黑体"/>
          <w:color w:val="auto"/>
          <w:szCs w:val="24"/>
        </w:rPr>
      </w:pPr>
      <w:r>
        <w:rPr>
          <w:rFonts w:eastAsia="黑体"/>
          <w:color w:val="auto"/>
          <w:sz w:val="24"/>
          <w:szCs w:val="24"/>
        </w:rPr>
        <w:t>图5.1-7  获嘉县年总降水量（单位</w:t>
      </w:r>
      <w:r>
        <w:rPr>
          <w:rFonts w:hint="eastAsia" w:eastAsia="黑体"/>
          <w:color w:val="auto"/>
          <w:sz w:val="24"/>
          <w:szCs w:val="24"/>
          <w:lang w:eastAsia="zh-CN"/>
        </w:rPr>
        <w:t>：</w:t>
      </w:r>
      <w:r>
        <w:rPr>
          <w:rFonts w:eastAsia="黑体"/>
          <w:color w:val="auto"/>
          <w:sz w:val="24"/>
          <w:szCs w:val="24"/>
        </w:rPr>
        <w:t>mm，虚线为趋势线）</w:t>
      </w:r>
    </w:p>
    <w:p>
      <w:pPr>
        <w:pStyle w:val="6"/>
        <w:spacing w:before="120" w:beforeLines="50" w:after="0" w:line="360" w:lineRule="auto"/>
        <w:rPr>
          <w:b w:val="0"/>
          <w:color w:val="auto"/>
          <w:sz w:val="24"/>
          <w:szCs w:val="24"/>
        </w:rPr>
      </w:pPr>
      <w:r>
        <w:rPr>
          <w:b w:val="0"/>
          <w:color w:val="auto"/>
          <w:sz w:val="24"/>
          <w:szCs w:val="24"/>
        </w:rPr>
        <w:t>5.1.1.5气象站湿度分析</w:t>
      </w:r>
    </w:p>
    <w:p>
      <w:pPr>
        <w:adjustRightInd w:val="0"/>
        <w:snapToGrid w:val="0"/>
        <w:spacing w:line="520" w:lineRule="exact"/>
        <w:ind w:firstLine="480" w:firstLineChars="200"/>
        <w:rPr>
          <w:color w:val="auto"/>
          <w:kern w:val="0"/>
          <w:sz w:val="24"/>
          <w:szCs w:val="20"/>
        </w:rPr>
      </w:pPr>
      <w:r>
        <w:rPr>
          <w:color w:val="auto"/>
          <w:kern w:val="0"/>
          <w:sz w:val="24"/>
          <w:szCs w:val="20"/>
        </w:rPr>
        <w:t>（1）月相对湿度分析</w:t>
      </w:r>
    </w:p>
    <w:p>
      <w:pPr>
        <w:adjustRightInd w:val="0"/>
        <w:snapToGrid w:val="0"/>
        <w:spacing w:line="520" w:lineRule="exact"/>
        <w:ind w:firstLine="480" w:firstLineChars="200"/>
        <w:rPr>
          <w:rFonts w:eastAsia="黑体"/>
          <w:color w:val="auto"/>
          <w:sz w:val="24"/>
          <w:szCs w:val="20"/>
        </w:rPr>
      </w:pPr>
      <w:r>
        <w:rPr>
          <w:color w:val="auto"/>
          <w:kern w:val="0"/>
          <w:sz w:val="24"/>
          <w:szCs w:val="24"/>
        </w:rPr>
        <w:t>获嘉气象站08月平均相对湿度最大（78.8%），03月平均相对湿度最小（55.1%）。</w:t>
      </w:r>
    </w:p>
    <w:p>
      <w:pPr>
        <w:jc w:val="center"/>
        <w:rPr>
          <w:rFonts w:eastAsia="黑体"/>
          <w:color w:val="auto"/>
          <w:sz w:val="24"/>
          <w:szCs w:val="20"/>
        </w:rPr>
      </w:pPr>
      <w:r>
        <w:rPr>
          <w:color w:val="auto"/>
        </w:rPr>
        <w:drawing>
          <wp:inline distT="0" distB="0" distL="0" distR="0">
            <wp:extent cx="3778250" cy="2867025"/>
            <wp:effectExtent l="0" t="0" r="12700" b="9525"/>
            <wp:docPr id="42"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a:picLocks noChangeAspect="1" noChangeArrowheads="1"/>
                    </pic:cNvPicPr>
                  </pic:nvPicPr>
                  <pic:blipFill>
                    <a:blip r:embed="rId92"/>
                    <a:srcRect/>
                    <a:stretch>
                      <a:fillRect/>
                    </a:stretch>
                  </pic:blipFill>
                  <pic:spPr>
                    <a:xfrm>
                      <a:off x="0" y="0"/>
                      <a:ext cx="3778250" cy="2867025"/>
                    </a:xfrm>
                    <a:prstGeom prst="rect">
                      <a:avLst/>
                    </a:prstGeom>
                    <a:noFill/>
                    <a:ln>
                      <a:noFill/>
                    </a:ln>
                  </pic:spPr>
                </pic:pic>
              </a:graphicData>
            </a:graphic>
          </wp:inline>
        </w:drawing>
      </w:r>
    </w:p>
    <w:p>
      <w:pPr>
        <w:jc w:val="center"/>
        <w:rPr>
          <w:rFonts w:eastAsia="黑体"/>
          <w:color w:val="auto"/>
          <w:sz w:val="24"/>
          <w:szCs w:val="24"/>
        </w:rPr>
      </w:pPr>
      <w:r>
        <w:rPr>
          <w:rFonts w:eastAsia="黑体"/>
          <w:color w:val="auto"/>
          <w:sz w:val="24"/>
          <w:szCs w:val="24"/>
        </w:rPr>
        <w:t>图5.1-8  获嘉月平均相对湿度（纵轴为百分比）</w:t>
      </w:r>
    </w:p>
    <w:p>
      <w:pPr>
        <w:adjustRightInd w:val="0"/>
        <w:snapToGrid w:val="0"/>
        <w:spacing w:line="520" w:lineRule="exact"/>
        <w:ind w:firstLine="480" w:firstLineChars="200"/>
        <w:rPr>
          <w:color w:val="auto"/>
          <w:kern w:val="0"/>
          <w:sz w:val="24"/>
          <w:szCs w:val="20"/>
        </w:rPr>
      </w:pPr>
      <w:r>
        <w:rPr>
          <w:color w:val="auto"/>
          <w:kern w:val="0"/>
          <w:sz w:val="24"/>
          <w:szCs w:val="20"/>
        </w:rPr>
        <w:t>（2）相对湿度年际变化趋势与周期分析</w:t>
      </w:r>
    </w:p>
    <w:p>
      <w:pPr>
        <w:adjustRightInd w:val="0"/>
        <w:snapToGrid w:val="0"/>
        <w:spacing w:line="520" w:lineRule="exact"/>
        <w:ind w:firstLine="480" w:firstLineChars="200"/>
        <w:rPr>
          <w:color w:val="auto"/>
          <w:kern w:val="0"/>
          <w:sz w:val="24"/>
          <w:szCs w:val="20"/>
        </w:rPr>
      </w:pPr>
      <w:r>
        <w:rPr>
          <w:color w:val="auto"/>
          <w:kern w:val="0"/>
          <w:sz w:val="24"/>
          <w:szCs w:val="20"/>
        </w:rPr>
        <w:t>获嘉气象站近20年年平均相对湿度呈现下降趋势，每年下降0.26%，2003年年平均相对湿度最大（74.0%），2012年年平均相对湿度最小（60%），周期为10年。获嘉近20年年平均相对湿度变化见下图：</w:t>
      </w:r>
    </w:p>
    <w:p>
      <w:pPr>
        <w:jc w:val="center"/>
        <w:rPr>
          <w:rFonts w:eastAsia="黑体"/>
          <w:color w:val="auto"/>
          <w:sz w:val="24"/>
          <w:szCs w:val="20"/>
        </w:rPr>
      </w:pPr>
      <w:r>
        <w:rPr>
          <w:color w:val="auto"/>
        </w:rPr>
        <w:drawing>
          <wp:inline distT="0" distB="0" distL="0" distR="0">
            <wp:extent cx="3647440" cy="2905125"/>
            <wp:effectExtent l="0" t="0" r="10160" b="9525"/>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jpeg"/>
                    <pic:cNvPicPr>
                      <a:picLocks noChangeAspect="1" noChangeArrowheads="1"/>
                    </pic:cNvPicPr>
                  </pic:nvPicPr>
                  <pic:blipFill>
                    <a:blip r:embed="rId93"/>
                    <a:srcRect/>
                    <a:stretch>
                      <a:fillRect/>
                    </a:stretch>
                  </pic:blipFill>
                  <pic:spPr>
                    <a:xfrm>
                      <a:off x="0" y="0"/>
                      <a:ext cx="3647440" cy="2905125"/>
                    </a:xfrm>
                    <a:prstGeom prst="rect">
                      <a:avLst/>
                    </a:prstGeom>
                    <a:noFill/>
                    <a:ln>
                      <a:noFill/>
                    </a:ln>
                  </pic:spPr>
                </pic:pic>
              </a:graphicData>
            </a:graphic>
          </wp:inline>
        </w:drawing>
      </w:r>
    </w:p>
    <w:p>
      <w:pPr>
        <w:jc w:val="center"/>
        <w:rPr>
          <w:rFonts w:eastAsia="黑体"/>
          <w:color w:val="auto"/>
          <w:sz w:val="32"/>
          <w:szCs w:val="20"/>
        </w:rPr>
      </w:pPr>
      <w:r>
        <w:rPr>
          <w:rFonts w:hint="eastAsia" w:eastAsia="黑体"/>
          <w:color w:val="auto"/>
          <w:sz w:val="24"/>
          <w:szCs w:val="24"/>
        </w:rPr>
        <w:t>图</w:t>
      </w:r>
      <w:r>
        <w:rPr>
          <w:rFonts w:eastAsia="黑体"/>
          <w:color w:val="auto"/>
          <w:sz w:val="24"/>
          <w:szCs w:val="24"/>
        </w:rPr>
        <w:t>5</w:t>
      </w:r>
      <w:r>
        <w:rPr>
          <w:rFonts w:hint="eastAsia" w:eastAsia="黑体"/>
          <w:color w:val="auto"/>
          <w:sz w:val="24"/>
          <w:szCs w:val="24"/>
        </w:rPr>
        <w:t>.1</w:t>
      </w:r>
      <w:r>
        <w:rPr>
          <w:rFonts w:eastAsia="黑体"/>
          <w:color w:val="auto"/>
          <w:sz w:val="24"/>
          <w:szCs w:val="24"/>
        </w:rPr>
        <w:t>-9</w:t>
      </w:r>
      <w:r>
        <w:rPr>
          <w:rFonts w:hint="eastAsia" w:eastAsia="黑体"/>
          <w:color w:val="auto"/>
          <w:sz w:val="24"/>
          <w:szCs w:val="24"/>
        </w:rPr>
        <w:t xml:space="preserve"> </w:t>
      </w:r>
      <w:r>
        <w:rPr>
          <w:rFonts w:eastAsia="黑体"/>
          <w:color w:val="auto"/>
          <w:sz w:val="24"/>
          <w:szCs w:val="24"/>
        </w:rPr>
        <w:t xml:space="preserve"> </w:t>
      </w:r>
      <w:r>
        <w:rPr>
          <w:rFonts w:hint="eastAsia" w:eastAsia="黑体"/>
          <w:color w:val="auto"/>
          <w:sz w:val="24"/>
          <w:szCs w:val="24"/>
        </w:rPr>
        <w:t>获嘉县年平均相对湿度（纵轴为百分比，虚线为趋势线）</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5.1.2环境空气质量预测</w:t>
      </w:r>
    </w:p>
    <w:p>
      <w:pPr>
        <w:pStyle w:val="6"/>
        <w:spacing w:before="0" w:after="0" w:line="360" w:lineRule="auto"/>
        <w:rPr>
          <w:b w:val="0"/>
          <w:color w:val="auto"/>
          <w:sz w:val="24"/>
          <w:szCs w:val="24"/>
        </w:rPr>
      </w:pPr>
      <w:r>
        <w:rPr>
          <w:b w:val="0"/>
          <w:color w:val="auto"/>
          <w:sz w:val="24"/>
          <w:szCs w:val="24"/>
        </w:rPr>
        <w:t>5.1.2.1预测因子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根据工程分析结果，确定本次环境空气影响预测因子为：颗粒物、SO</w:t>
      </w:r>
      <w:r>
        <w:rPr>
          <w:color w:val="auto"/>
          <w:kern w:val="0"/>
          <w:sz w:val="24"/>
          <w:szCs w:val="20"/>
          <w:vertAlign w:val="subscript"/>
        </w:rPr>
        <w:t>2</w:t>
      </w:r>
      <w:r>
        <w:rPr>
          <w:color w:val="auto"/>
          <w:kern w:val="0"/>
          <w:sz w:val="24"/>
          <w:szCs w:val="20"/>
        </w:rPr>
        <w:t>、NO</w:t>
      </w:r>
      <w:r>
        <w:rPr>
          <w:color w:val="auto"/>
          <w:kern w:val="0"/>
          <w:sz w:val="24"/>
          <w:szCs w:val="20"/>
          <w:vertAlign w:val="subscript"/>
        </w:rPr>
        <w:t>2</w:t>
      </w:r>
      <w:r>
        <w:rPr>
          <w:color w:val="auto"/>
          <w:kern w:val="0"/>
          <w:sz w:val="24"/>
          <w:szCs w:val="20"/>
        </w:rPr>
        <w:t>、氯化氢、</w:t>
      </w:r>
      <w:r>
        <w:rPr>
          <w:rFonts w:hint="eastAsia"/>
          <w:color w:val="auto"/>
          <w:kern w:val="0"/>
          <w:sz w:val="24"/>
          <w:szCs w:val="20"/>
        </w:rPr>
        <w:t>NH</w:t>
      </w:r>
      <w:r>
        <w:rPr>
          <w:rFonts w:hint="eastAsia"/>
          <w:color w:val="auto"/>
          <w:kern w:val="0"/>
          <w:sz w:val="24"/>
          <w:szCs w:val="20"/>
          <w:vertAlign w:val="subscript"/>
        </w:rPr>
        <w:t>3</w:t>
      </w:r>
      <w:r>
        <w:rPr>
          <w:rFonts w:hint="eastAsia"/>
          <w:color w:val="auto"/>
          <w:kern w:val="0"/>
          <w:sz w:val="24"/>
          <w:szCs w:val="20"/>
        </w:rPr>
        <w:t>、H</w:t>
      </w:r>
      <w:r>
        <w:rPr>
          <w:rFonts w:hint="eastAsia"/>
          <w:color w:val="auto"/>
          <w:kern w:val="0"/>
          <w:sz w:val="24"/>
          <w:szCs w:val="20"/>
          <w:vertAlign w:val="subscript"/>
        </w:rPr>
        <w:t>2</w:t>
      </w:r>
      <w:r>
        <w:rPr>
          <w:rFonts w:hint="eastAsia"/>
          <w:color w:val="auto"/>
          <w:kern w:val="0"/>
          <w:sz w:val="24"/>
          <w:szCs w:val="20"/>
        </w:rPr>
        <w:t>S</w:t>
      </w:r>
      <w:r>
        <w:rPr>
          <w:color w:val="auto"/>
          <w:kern w:val="0"/>
          <w:sz w:val="24"/>
          <w:szCs w:val="20"/>
        </w:rPr>
        <w:t>。</w:t>
      </w:r>
    </w:p>
    <w:p>
      <w:pPr>
        <w:pStyle w:val="6"/>
        <w:spacing w:before="0" w:after="0" w:line="360" w:lineRule="auto"/>
        <w:rPr>
          <w:b w:val="0"/>
          <w:color w:val="auto"/>
          <w:sz w:val="24"/>
          <w:szCs w:val="24"/>
        </w:rPr>
      </w:pPr>
      <w:bookmarkStart w:id="310" w:name="_Toc324839615"/>
      <w:bookmarkStart w:id="311" w:name="_Toc324839318"/>
      <w:r>
        <w:rPr>
          <w:b w:val="0"/>
          <w:color w:val="auto"/>
          <w:sz w:val="24"/>
          <w:szCs w:val="24"/>
        </w:rPr>
        <w:t>5.1.2.2评价标准</w:t>
      </w:r>
      <w:bookmarkEnd w:id="310"/>
      <w:bookmarkEnd w:id="311"/>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本次评价执行标准详见表5.1-5。</w:t>
      </w:r>
    </w:p>
    <w:p>
      <w:pPr>
        <w:ind w:firstLine="960" w:firstLineChars="400"/>
        <w:jc w:val="center"/>
        <w:rPr>
          <w:rFonts w:eastAsia="黑体"/>
          <w:color w:val="auto"/>
          <w:sz w:val="24"/>
          <w:szCs w:val="24"/>
        </w:rPr>
      </w:pPr>
      <w:r>
        <w:rPr>
          <w:rFonts w:eastAsia="黑体"/>
          <w:color w:val="auto"/>
          <w:sz w:val="24"/>
          <w:szCs w:val="24"/>
        </w:rPr>
        <w:t>表5.1-5</w:t>
      </w:r>
      <w:r>
        <w:rPr>
          <w:rFonts w:hint="eastAsia" w:eastAsia="黑体"/>
          <w:color w:val="auto"/>
          <w:sz w:val="24"/>
          <w:szCs w:val="24"/>
        </w:rPr>
        <w:t xml:space="preserve">   </w:t>
      </w:r>
      <w:r>
        <w:rPr>
          <w:rFonts w:eastAsia="黑体"/>
          <w:color w:val="auto"/>
          <w:sz w:val="24"/>
          <w:szCs w:val="24"/>
        </w:rPr>
        <w:t>本项目大气预测评价标准一览表</w:t>
      </w:r>
    </w:p>
    <w:tbl>
      <w:tblPr>
        <w:tblStyle w:val="83"/>
        <w:tblW w:w="5252" w:type="pct"/>
        <w:jc w:val="center"/>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Layout w:type="autofit"/>
        <w:tblCellMar>
          <w:top w:w="0" w:type="dxa"/>
          <w:left w:w="28" w:type="dxa"/>
          <w:bottom w:w="0" w:type="dxa"/>
          <w:right w:w="28" w:type="dxa"/>
        </w:tblCellMar>
      </w:tblPr>
      <w:tblGrid>
        <w:gridCol w:w="1123"/>
        <w:gridCol w:w="1275"/>
        <w:gridCol w:w="1243"/>
        <w:gridCol w:w="5150"/>
      </w:tblGrid>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tblHeader/>
          <w:jc w:val="center"/>
        </w:trPr>
        <w:tc>
          <w:tcPr>
            <w:tcW w:w="639" w:type="pct"/>
            <w:vAlign w:val="center"/>
          </w:tcPr>
          <w:p>
            <w:pPr>
              <w:jc w:val="center"/>
              <w:rPr>
                <w:b/>
                <w:color w:val="auto"/>
                <w:szCs w:val="20"/>
              </w:rPr>
            </w:pPr>
            <w:r>
              <w:rPr>
                <w:b/>
                <w:color w:val="auto"/>
                <w:szCs w:val="20"/>
              </w:rPr>
              <w:t>污染物名称</w:t>
            </w:r>
          </w:p>
        </w:tc>
        <w:tc>
          <w:tcPr>
            <w:tcW w:w="1432" w:type="pct"/>
            <w:gridSpan w:val="2"/>
            <w:vAlign w:val="center"/>
          </w:tcPr>
          <w:p>
            <w:pPr>
              <w:jc w:val="center"/>
              <w:rPr>
                <w:b/>
                <w:color w:val="auto"/>
                <w:szCs w:val="20"/>
              </w:rPr>
            </w:pPr>
            <w:r>
              <w:rPr>
                <w:b/>
                <w:color w:val="auto"/>
                <w:szCs w:val="20"/>
              </w:rPr>
              <w:t>标准限值</w:t>
            </w:r>
          </w:p>
        </w:tc>
        <w:tc>
          <w:tcPr>
            <w:tcW w:w="2929" w:type="pct"/>
            <w:vAlign w:val="center"/>
          </w:tcPr>
          <w:p>
            <w:pPr>
              <w:jc w:val="center"/>
              <w:rPr>
                <w:b/>
                <w:color w:val="auto"/>
                <w:szCs w:val="20"/>
              </w:rPr>
            </w:pPr>
            <w:r>
              <w:rPr>
                <w:b/>
                <w:color w:val="auto"/>
                <w:szCs w:val="20"/>
              </w:rPr>
              <w:t>标准来源</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restart"/>
            <w:vAlign w:val="center"/>
          </w:tcPr>
          <w:p>
            <w:pPr>
              <w:contextualSpacing/>
              <w:jc w:val="center"/>
              <w:textAlignment w:val="baseline"/>
              <w:rPr>
                <w:color w:val="auto"/>
                <w:kern w:val="0"/>
              </w:rPr>
            </w:pPr>
            <w:r>
              <w:rPr>
                <w:color w:val="auto"/>
                <w:kern w:val="0"/>
              </w:rPr>
              <w:t>PM</w:t>
            </w:r>
            <w:r>
              <w:rPr>
                <w:color w:val="auto"/>
                <w:kern w:val="0"/>
                <w:vertAlign w:val="subscript"/>
              </w:rPr>
              <w:t>10</w:t>
            </w:r>
          </w:p>
        </w:tc>
        <w:tc>
          <w:tcPr>
            <w:tcW w:w="725" w:type="pct"/>
            <w:vAlign w:val="center"/>
          </w:tcPr>
          <w:p>
            <w:pPr>
              <w:contextualSpacing/>
              <w:jc w:val="center"/>
              <w:textAlignment w:val="baseline"/>
              <w:rPr>
                <w:color w:val="auto"/>
                <w:kern w:val="0"/>
              </w:rPr>
            </w:pPr>
            <w:r>
              <w:rPr>
                <w:color w:val="auto"/>
                <w:kern w:val="0"/>
              </w:rPr>
              <w:t>日平均</w:t>
            </w:r>
          </w:p>
        </w:tc>
        <w:tc>
          <w:tcPr>
            <w:tcW w:w="707" w:type="pct"/>
            <w:vAlign w:val="center"/>
          </w:tcPr>
          <w:p>
            <w:pPr>
              <w:contextualSpacing/>
              <w:jc w:val="center"/>
              <w:textAlignment w:val="baseline"/>
              <w:rPr>
                <w:color w:val="auto"/>
                <w:kern w:val="0"/>
              </w:rPr>
            </w:pPr>
            <w:r>
              <w:rPr>
                <w:color w:val="auto"/>
                <w:kern w:val="0"/>
              </w:rPr>
              <w:t>150ug/m</w:t>
            </w:r>
            <w:r>
              <w:rPr>
                <w:color w:val="auto"/>
                <w:kern w:val="0"/>
                <w:vertAlign w:val="superscript"/>
              </w:rPr>
              <w:t>3</w:t>
            </w:r>
          </w:p>
        </w:tc>
        <w:tc>
          <w:tcPr>
            <w:tcW w:w="2929" w:type="pct"/>
            <w:vMerge w:val="restart"/>
            <w:vAlign w:val="center"/>
          </w:tcPr>
          <w:p>
            <w:pPr>
              <w:contextualSpacing/>
              <w:jc w:val="center"/>
              <w:textAlignment w:val="baseline"/>
              <w:rPr>
                <w:color w:val="auto"/>
                <w:kern w:val="0"/>
              </w:rPr>
            </w:pPr>
            <w:r>
              <w:rPr>
                <w:color w:val="auto"/>
                <w:kern w:val="0"/>
              </w:rPr>
              <w:t>《环境空气质量标准》（GB3095-2012）二级</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contextualSpacing/>
              <w:jc w:val="center"/>
              <w:textAlignment w:val="baseline"/>
              <w:rPr>
                <w:color w:val="auto"/>
                <w:kern w:val="0"/>
              </w:rPr>
            </w:pPr>
            <w:r>
              <w:rPr>
                <w:color w:val="auto"/>
                <w:kern w:val="0"/>
              </w:rPr>
              <w:t>年平均</w:t>
            </w:r>
          </w:p>
        </w:tc>
        <w:tc>
          <w:tcPr>
            <w:tcW w:w="707" w:type="pct"/>
            <w:vAlign w:val="center"/>
          </w:tcPr>
          <w:p>
            <w:pPr>
              <w:contextualSpacing/>
              <w:jc w:val="center"/>
              <w:textAlignment w:val="baseline"/>
              <w:rPr>
                <w:color w:val="auto"/>
                <w:kern w:val="0"/>
              </w:rPr>
            </w:pPr>
            <w:r>
              <w:rPr>
                <w:color w:val="auto"/>
                <w:kern w:val="0"/>
              </w:rPr>
              <w:t>70ug/m</w:t>
            </w:r>
            <w:r>
              <w:rPr>
                <w:color w:val="auto"/>
                <w:kern w:val="0"/>
                <w:vertAlign w:val="superscript"/>
              </w:rPr>
              <w:t>3</w:t>
            </w:r>
          </w:p>
        </w:tc>
        <w:tc>
          <w:tcPr>
            <w:tcW w:w="2929" w:type="pct"/>
            <w:vMerge w:val="continue"/>
            <w:vAlign w:val="center"/>
          </w:tcPr>
          <w:p>
            <w:pPr>
              <w:contextualSpacing/>
              <w:jc w:val="center"/>
              <w:textAlignment w:val="baseline"/>
              <w:rPr>
                <w:color w:val="auto"/>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restart"/>
            <w:vAlign w:val="center"/>
          </w:tcPr>
          <w:p>
            <w:pPr>
              <w:contextualSpacing/>
              <w:jc w:val="center"/>
              <w:textAlignment w:val="baseline"/>
              <w:rPr>
                <w:color w:val="auto"/>
                <w:kern w:val="0"/>
              </w:rPr>
            </w:pPr>
            <w:r>
              <w:rPr>
                <w:color w:val="auto"/>
                <w:kern w:val="0"/>
              </w:rPr>
              <w:t>SO</w:t>
            </w:r>
            <w:r>
              <w:rPr>
                <w:color w:val="auto"/>
                <w:kern w:val="0"/>
                <w:vertAlign w:val="subscript"/>
              </w:rPr>
              <w:t>2</w:t>
            </w:r>
          </w:p>
        </w:tc>
        <w:tc>
          <w:tcPr>
            <w:tcW w:w="725" w:type="pct"/>
            <w:vAlign w:val="center"/>
          </w:tcPr>
          <w:p>
            <w:pPr>
              <w:contextualSpacing/>
              <w:jc w:val="center"/>
              <w:textAlignment w:val="baseline"/>
              <w:rPr>
                <w:color w:val="auto"/>
                <w:kern w:val="0"/>
              </w:rPr>
            </w:pPr>
            <w:r>
              <w:rPr>
                <w:color w:val="auto"/>
                <w:kern w:val="0"/>
              </w:rPr>
              <w:t>1h平均值</w:t>
            </w:r>
          </w:p>
        </w:tc>
        <w:tc>
          <w:tcPr>
            <w:tcW w:w="707" w:type="pct"/>
            <w:vAlign w:val="center"/>
          </w:tcPr>
          <w:p>
            <w:pPr>
              <w:jc w:val="center"/>
              <w:rPr>
                <w:color w:val="auto"/>
              </w:rPr>
            </w:pPr>
            <w:r>
              <w:rPr>
                <w:color w:val="auto"/>
                <w:kern w:val="0"/>
              </w:rPr>
              <w:t>500ug/m</w:t>
            </w:r>
            <w:r>
              <w:rPr>
                <w:color w:val="auto"/>
                <w:kern w:val="0"/>
                <w:vertAlign w:val="superscript"/>
              </w:rPr>
              <w:t>3</w:t>
            </w:r>
          </w:p>
        </w:tc>
        <w:tc>
          <w:tcPr>
            <w:tcW w:w="2929" w:type="pct"/>
            <w:vMerge w:val="restart"/>
            <w:vAlign w:val="center"/>
          </w:tcPr>
          <w:p>
            <w:pPr>
              <w:contextualSpacing/>
              <w:jc w:val="center"/>
              <w:textAlignment w:val="baseline"/>
              <w:rPr>
                <w:color w:val="auto"/>
                <w:kern w:val="0"/>
              </w:rPr>
            </w:pPr>
            <w:r>
              <w:rPr>
                <w:color w:val="auto"/>
                <w:kern w:val="0"/>
              </w:rPr>
              <w:t>《环境空气质量标准》（GB3095-2012）二级</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jc w:val="center"/>
              <w:rPr>
                <w:color w:val="auto"/>
              </w:rPr>
            </w:pPr>
            <w:r>
              <w:rPr>
                <w:color w:val="auto"/>
              </w:rPr>
              <w:t>日平均</w:t>
            </w:r>
          </w:p>
        </w:tc>
        <w:tc>
          <w:tcPr>
            <w:tcW w:w="707" w:type="pct"/>
            <w:vAlign w:val="center"/>
          </w:tcPr>
          <w:p>
            <w:pPr>
              <w:jc w:val="center"/>
              <w:rPr>
                <w:color w:val="auto"/>
              </w:rPr>
            </w:pPr>
            <w:r>
              <w:rPr>
                <w:color w:val="auto"/>
                <w:kern w:val="0"/>
              </w:rPr>
              <w:t>150ug/m</w:t>
            </w:r>
            <w:r>
              <w:rPr>
                <w:color w:val="auto"/>
                <w:kern w:val="0"/>
                <w:vertAlign w:val="superscript"/>
              </w:rPr>
              <w:t>3</w:t>
            </w:r>
          </w:p>
        </w:tc>
        <w:tc>
          <w:tcPr>
            <w:tcW w:w="2929" w:type="pct"/>
            <w:vMerge w:val="continue"/>
            <w:vAlign w:val="center"/>
          </w:tcPr>
          <w:p>
            <w:pPr>
              <w:contextualSpacing/>
              <w:jc w:val="center"/>
              <w:textAlignment w:val="baseline"/>
              <w:rPr>
                <w:color w:val="auto"/>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jc w:val="center"/>
              <w:rPr>
                <w:color w:val="auto"/>
              </w:rPr>
            </w:pPr>
            <w:r>
              <w:rPr>
                <w:color w:val="auto"/>
              </w:rPr>
              <w:t>年平均</w:t>
            </w:r>
          </w:p>
        </w:tc>
        <w:tc>
          <w:tcPr>
            <w:tcW w:w="707" w:type="pct"/>
            <w:vAlign w:val="center"/>
          </w:tcPr>
          <w:p>
            <w:pPr>
              <w:jc w:val="center"/>
              <w:rPr>
                <w:color w:val="auto"/>
              </w:rPr>
            </w:pPr>
            <w:r>
              <w:rPr>
                <w:color w:val="auto"/>
                <w:kern w:val="0"/>
              </w:rPr>
              <w:t>60ug/m</w:t>
            </w:r>
            <w:r>
              <w:rPr>
                <w:color w:val="auto"/>
                <w:kern w:val="0"/>
                <w:vertAlign w:val="superscript"/>
              </w:rPr>
              <w:t>3</w:t>
            </w:r>
          </w:p>
        </w:tc>
        <w:tc>
          <w:tcPr>
            <w:tcW w:w="2929" w:type="pct"/>
            <w:vMerge w:val="continue"/>
            <w:vAlign w:val="center"/>
          </w:tcPr>
          <w:p>
            <w:pPr>
              <w:contextualSpacing/>
              <w:jc w:val="center"/>
              <w:textAlignment w:val="baseline"/>
              <w:rPr>
                <w:color w:val="auto"/>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restart"/>
            <w:vAlign w:val="center"/>
          </w:tcPr>
          <w:p>
            <w:pPr>
              <w:contextualSpacing/>
              <w:jc w:val="center"/>
              <w:textAlignment w:val="baseline"/>
              <w:rPr>
                <w:color w:val="auto"/>
                <w:kern w:val="0"/>
              </w:rPr>
            </w:pPr>
            <w:r>
              <w:rPr>
                <w:color w:val="auto"/>
                <w:kern w:val="0"/>
              </w:rPr>
              <w:t>NO</w:t>
            </w:r>
            <w:r>
              <w:rPr>
                <w:color w:val="auto"/>
                <w:kern w:val="0"/>
                <w:vertAlign w:val="subscript"/>
              </w:rPr>
              <w:t>2</w:t>
            </w:r>
          </w:p>
        </w:tc>
        <w:tc>
          <w:tcPr>
            <w:tcW w:w="725" w:type="pct"/>
            <w:vAlign w:val="center"/>
          </w:tcPr>
          <w:p>
            <w:pPr>
              <w:contextualSpacing/>
              <w:jc w:val="center"/>
              <w:textAlignment w:val="baseline"/>
              <w:rPr>
                <w:color w:val="auto"/>
                <w:kern w:val="0"/>
              </w:rPr>
            </w:pPr>
            <w:r>
              <w:rPr>
                <w:color w:val="auto"/>
                <w:kern w:val="0"/>
              </w:rPr>
              <w:t>1h平均值</w:t>
            </w:r>
          </w:p>
        </w:tc>
        <w:tc>
          <w:tcPr>
            <w:tcW w:w="707" w:type="pct"/>
            <w:vAlign w:val="center"/>
          </w:tcPr>
          <w:p>
            <w:pPr>
              <w:contextualSpacing/>
              <w:jc w:val="center"/>
              <w:textAlignment w:val="baseline"/>
              <w:rPr>
                <w:color w:val="auto"/>
                <w:kern w:val="0"/>
              </w:rPr>
            </w:pPr>
            <w:r>
              <w:rPr>
                <w:color w:val="auto"/>
                <w:kern w:val="0"/>
              </w:rPr>
              <w:t>200 ug/m</w:t>
            </w:r>
            <w:r>
              <w:rPr>
                <w:color w:val="auto"/>
                <w:kern w:val="0"/>
                <w:vertAlign w:val="superscript"/>
              </w:rPr>
              <w:t>3</w:t>
            </w:r>
          </w:p>
        </w:tc>
        <w:tc>
          <w:tcPr>
            <w:tcW w:w="2929" w:type="pct"/>
            <w:vMerge w:val="restart"/>
            <w:vAlign w:val="center"/>
          </w:tcPr>
          <w:p>
            <w:pPr>
              <w:contextualSpacing/>
              <w:jc w:val="center"/>
              <w:textAlignment w:val="baseline"/>
              <w:rPr>
                <w:color w:val="auto"/>
                <w:kern w:val="0"/>
              </w:rPr>
            </w:pPr>
            <w:r>
              <w:rPr>
                <w:color w:val="auto"/>
                <w:kern w:val="0"/>
              </w:rPr>
              <w:t>《环境空气质量标准》（GB3095-2012）二级</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jc w:val="center"/>
              <w:rPr>
                <w:color w:val="auto"/>
              </w:rPr>
            </w:pPr>
            <w:r>
              <w:rPr>
                <w:color w:val="auto"/>
              </w:rPr>
              <w:t>日平均</w:t>
            </w:r>
          </w:p>
        </w:tc>
        <w:tc>
          <w:tcPr>
            <w:tcW w:w="707" w:type="pct"/>
            <w:vAlign w:val="center"/>
          </w:tcPr>
          <w:p>
            <w:pPr>
              <w:contextualSpacing/>
              <w:jc w:val="center"/>
              <w:textAlignment w:val="baseline"/>
              <w:rPr>
                <w:color w:val="auto"/>
                <w:kern w:val="0"/>
              </w:rPr>
            </w:pPr>
            <w:r>
              <w:rPr>
                <w:color w:val="auto"/>
                <w:kern w:val="0"/>
              </w:rPr>
              <w:t>80 ug/m</w:t>
            </w:r>
            <w:r>
              <w:rPr>
                <w:color w:val="auto"/>
                <w:kern w:val="0"/>
                <w:vertAlign w:val="superscript"/>
              </w:rPr>
              <w:t>3</w:t>
            </w:r>
          </w:p>
        </w:tc>
        <w:tc>
          <w:tcPr>
            <w:tcW w:w="2929" w:type="pct"/>
            <w:vMerge w:val="continue"/>
            <w:vAlign w:val="center"/>
          </w:tcPr>
          <w:p>
            <w:pPr>
              <w:contextualSpacing/>
              <w:jc w:val="center"/>
              <w:textAlignment w:val="baseline"/>
              <w:rPr>
                <w:color w:val="auto"/>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jc w:val="center"/>
              <w:rPr>
                <w:color w:val="auto"/>
              </w:rPr>
            </w:pPr>
            <w:r>
              <w:rPr>
                <w:color w:val="auto"/>
              </w:rPr>
              <w:t>年平均</w:t>
            </w:r>
          </w:p>
        </w:tc>
        <w:tc>
          <w:tcPr>
            <w:tcW w:w="707" w:type="pct"/>
            <w:vAlign w:val="center"/>
          </w:tcPr>
          <w:p>
            <w:pPr>
              <w:contextualSpacing/>
              <w:jc w:val="center"/>
              <w:textAlignment w:val="baseline"/>
              <w:rPr>
                <w:color w:val="auto"/>
                <w:kern w:val="0"/>
              </w:rPr>
            </w:pPr>
            <w:r>
              <w:rPr>
                <w:color w:val="auto"/>
                <w:kern w:val="0"/>
              </w:rPr>
              <w:t>40 ug/m</w:t>
            </w:r>
            <w:r>
              <w:rPr>
                <w:color w:val="auto"/>
                <w:kern w:val="0"/>
                <w:vertAlign w:val="superscript"/>
              </w:rPr>
              <w:t>3</w:t>
            </w:r>
          </w:p>
        </w:tc>
        <w:tc>
          <w:tcPr>
            <w:tcW w:w="2929" w:type="pct"/>
            <w:vMerge w:val="continue"/>
            <w:vAlign w:val="center"/>
          </w:tcPr>
          <w:p>
            <w:pPr>
              <w:contextualSpacing/>
              <w:jc w:val="center"/>
              <w:textAlignment w:val="baseline"/>
              <w:rPr>
                <w:color w:val="auto"/>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restart"/>
            <w:vAlign w:val="center"/>
          </w:tcPr>
          <w:p>
            <w:pPr>
              <w:contextualSpacing/>
              <w:jc w:val="center"/>
              <w:textAlignment w:val="baseline"/>
              <w:rPr>
                <w:color w:val="auto"/>
                <w:kern w:val="0"/>
              </w:rPr>
            </w:pPr>
            <w:r>
              <w:rPr>
                <w:color w:val="auto"/>
                <w:kern w:val="0"/>
              </w:rPr>
              <w:t>氯化氢</w:t>
            </w:r>
          </w:p>
        </w:tc>
        <w:tc>
          <w:tcPr>
            <w:tcW w:w="725" w:type="pct"/>
            <w:vAlign w:val="center"/>
          </w:tcPr>
          <w:p>
            <w:pPr>
              <w:contextualSpacing/>
              <w:jc w:val="center"/>
              <w:textAlignment w:val="baseline"/>
              <w:rPr>
                <w:color w:val="auto"/>
                <w:kern w:val="0"/>
              </w:rPr>
            </w:pPr>
            <w:r>
              <w:rPr>
                <w:color w:val="auto"/>
                <w:kern w:val="0"/>
              </w:rPr>
              <w:t>1h平均值</w:t>
            </w:r>
          </w:p>
        </w:tc>
        <w:tc>
          <w:tcPr>
            <w:tcW w:w="707" w:type="pct"/>
            <w:vAlign w:val="center"/>
          </w:tcPr>
          <w:p>
            <w:pPr>
              <w:contextualSpacing/>
              <w:jc w:val="center"/>
              <w:textAlignment w:val="baseline"/>
              <w:rPr>
                <w:color w:val="auto"/>
                <w:kern w:val="0"/>
              </w:rPr>
            </w:pPr>
            <w:r>
              <w:rPr>
                <w:color w:val="auto"/>
                <w:kern w:val="0"/>
              </w:rPr>
              <w:t>50µg/m</w:t>
            </w:r>
            <w:r>
              <w:rPr>
                <w:color w:val="auto"/>
                <w:kern w:val="0"/>
                <w:vertAlign w:val="superscript"/>
              </w:rPr>
              <w:t>3</w:t>
            </w:r>
          </w:p>
        </w:tc>
        <w:tc>
          <w:tcPr>
            <w:tcW w:w="2929" w:type="pct"/>
            <w:vMerge w:val="restart"/>
            <w:vAlign w:val="center"/>
          </w:tcPr>
          <w:p>
            <w:pPr>
              <w:contextualSpacing/>
              <w:jc w:val="center"/>
              <w:textAlignment w:val="baseline"/>
              <w:rPr>
                <w:color w:val="auto"/>
                <w:kern w:val="0"/>
              </w:rPr>
            </w:pPr>
            <w:r>
              <w:rPr>
                <w:color w:val="auto"/>
                <w:kern w:val="0"/>
              </w:rPr>
              <w:t xml:space="preserve">《大气环境影响评价技术导则》（HJ2.2-2018）附录D </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contextualSpacing/>
              <w:jc w:val="center"/>
              <w:textAlignment w:val="baseline"/>
              <w:rPr>
                <w:color w:val="auto"/>
                <w:kern w:val="0"/>
              </w:rPr>
            </w:pPr>
            <w:r>
              <w:rPr>
                <w:color w:val="auto"/>
                <w:kern w:val="0"/>
              </w:rPr>
              <w:t>日均值</w:t>
            </w:r>
          </w:p>
        </w:tc>
        <w:tc>
          <w:tcPr>
            <w:tcW w:w="707" w:type="pct"/>
            <w:vAlign w:val="center"/>
          </w:tcPr>
          <w:p>
            <w:pPr>
              <w:contextualSpacing/>
              <w:jc w:val="center"/>
              <w:textAlignment w:val="baseline"/>
              <w:rPr>
                <w:color w:val="auto"/>
                <w:kern w:val="0"/>
              </w:rPr>
            </w:pPr>
            <w:r>
              <w:rPr>
                <w:color w:val="auto"/>
                <w:kern w:val="0"/>
              </w:rPr>
              <w:t>15µg/m</w:t>
            </w:r>
            <w:r>
              <w:rPr>
                <w:color w:val="auto"/>
                <w:kern w:val="0"/>
                <w:vertAlign w:val="superscript"/>
              </w:rPr>
              <w:t>3</w:t>
            </w:r>
          </w:p>
        </w:tc>
        <w:tc>
          <w:tcPr>
            <w:tcW w:w="2929" w:type="pct"/>
            <w:vMerge w:val="continue"/>
            <w:vAlign w:val="center"/>
          </w:tcPr>
          <w:p>
            <w:pPr>
              <w:contextualSpacing/>
              <w:jc w:val="center"/>
              <w:textAlignment w:val="baseline"/>
              <w:rPr>
                <w:color w:val="auto"/>
                <w:kern w:val="0"/>
              </w:rPr>
            </w:pP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54"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contextualSpacing/>
              <w:jc w:val="center"/>
              <w:textAlignment w:val="baseline"/>
              <w:rPr>
                <w:color w:val="auto"/>
                <w:kern w:val="0"/>
              </w:rPr>
            </w:pPr>
            <w:r>
              <w:rPr>
                <w:color w:val="auto"/>
                <w:kern w:val="0"/>
              </w:rPr>
              <w:t>厂界浓度</w:t>
            </w:r>
          </w:p>
        </w:tc>
        <w:tc>
          <w:tcPr>
            <w:tcW w:w="707" w:type="pct"/>
            <w:vAlign w:val="center"/>
          </w:tcPr>
          <w:p>
            <w:pPr>
              <w:contextualSpacing/>
              <w:jc w:val="center"/>
              <w:textAlignment w:val="baseline"/>
              <w:rPr>
                <w:color w:val="auto"/>
                <w:kern w:val="0"/>
              </w:rPr>
            </w:pPr>
            <w:r>
              <w:rPr>
                <w:rFonts w:hint="eastAsia"/>
                <w:color w:val="auto"/>
                <w:kern w:val="0"/>
              </w:rPr>
              <w:t>0.2</w:t>
            </w:r>
            <w:r>
              <w:rPr>
                <w:color w:val="auto"/>
                <w:kern w:val="0"/>
              </w:rPr>
              <w:t>mg/m</w:t>
            </w:r>
            <w:r>
              <w:rPr>
                <w:color w:val="auto"/>
                <w:kern w:val="0"/>
                <w:vertAlign w:val="superscript"/>
              </w:rPr>
              <w:t>3</w:t>
            </w:r>
          </w:p>
        </w:tc>
        <w:tc>
          <w:tcPr>
            <w:tcW w:w="2929" w:type="pct"/>
            <w:vAlign w:val="center"/>
          </w:tcPr>
          <w:p>
            <w:pPr>
              <w:contextualSpacing/>
              <w:jc w:val="center"/>
              <w:textAlignment w:val="baseline"/>
              <w:rPr>
                <w:color w:val="auto"/>
                <w:kern w:val="0"/>
              </w:rPr>
            </w:pPr>
            <w:r>
              <w:rPr>
                <w:color w:val="auto"/>
                <w:kern w:val="21"/>
              </w:rPr>
              <w:t>《大气污染物综合排放标准》（GB16297-1996）表</w:t>
            </w:r>
            <w:r>
              <w:rPr>
                <w:rFonts w:hint="eastAsia"/>
                <w:color w:val="auto"/>
                <w:kern w:val="21"/>
              </w:rPr>
              <w:t>2</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325" w:hRule="atLeast"/>
          <w:jc w:val="center"/>
        </w:trPr>
        <w:tc>
          <w:tcPr>
            <w:tcW w:w="639" w:type="pct"/>
            <w:vMerge w:val="restart"/>
            <w:vAlign w:val="center"/>
          </w:tcPr>
          <w:p>
            <w:pPr>
              <w:contextualSpacing/>
              <w:jc w:val="center"/>
              <w:textAlignment w:val="baseline"/>
              <w:rPr>
                <w:color w:val="auto"/>
                <w:kern w:val="0"/>
              </w:rPr>
            </w:pPr>
            <w:r>
              <w:rPr>
                <w:rFonts w:hint="eastAsia"/>
                <w:color w:val="auto"/>
                <w:kern w:val="0"/>
              </w:rPr>
              <w:t>氨</w:t>
            </w:r>
          </w:p>
        </w:tc>
        <w:tc>
          <w:tcPr>
            <w:tcW w:w="725" w:type="pct"/>
            <w:vAlign w:val="center"/>
          </w:tcPr>
          <w:p>
            <w:pPr>
              <w:contextualSpacing/>
              <w:jc w:val="center"/>
              <w:textAlignment w:val="baseline"/>
              <w:rPr>
                <w:color w:val="auto"/>
                <w:kern w:val="0"/>
              </w:rPr>
            </w:pPr>
            <w:r>
              <w:rPr>
                <w:color w:val="auto"/>
                <w:kern w:val="0"/>
              </w:rPr>
              <w:t>1h平均值</w:t>
            </w:r>
          </w:p>
        </w:tc>
        <w:tc>
          <w:tcPr>
            <w:tcW w:w="707" w:type="pct"/>
            <w:vAlign w:val="center"/>
          </w:tcPr>
          <w:p>
            <w:pPr>
              <w:contextualSpacing/>
              <w:jc w:val="center"/>
              <w:textAlignment w:val="baseline"/>
              <w:rPr>
                <w:color w:val="auto"/>
                <w:kern w:val="0"/>
              </w:rPr>
            </w:pPr>
            <w:r>
              <w:rPr>
                <w:rFonts w:hint="eastAsia"/>
                <w:color w:val="auto"/>
                <w:kern w:val="0"/>
              </w:rPr>
              <w:t>200</w:t>
            </w:r>
            <w:r>
              <w:rPr>
                <w:color w:val="auto"/>
                <w:kern w:val="0"/>
              </w:rPr>
              <w:t xml:space="preserve"> ug/m</w:t>
            </w:r>
            <w:r>
              <w:rPr>
                <w:color w:val="auto"/>
                <w:kern w:val="0"/>
                <w:vertAlign w:val="superscript"/>
              </w:rPr>
              <w:t>3</w:t>
            </w:r>
          </w:p>
        </w:tc>
        <w:tc>
          <w:tcPr>
            <w:tcW w:w="2929" w:type="pct"/>
            <w:vAlign w:val="center"/>
          </w:tcPr>
          <w:p>
            <w:pPr>
              <w:contextualSpacing/>
              <w:jc w:val="center"/>
              <w:textAlignment w:val="baseline"/>
              <w:rPr>
                <w:color w:val="auto"/>
                <w:kern w:val="0"/>
              </w:rPr>
            </w:pPr>
            <w:r>
              <w:rPr>
                <w:color w:val="auto"/>
                <w:kern w:val="0"/>
              </w:rPr>
              <w:t>《大气环境影响评价技术导则》（HJ2.2-2018）附录D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16"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contextualSpacing/>
              <w:jc w:val="center"/>
              <w:textAlignment w:val="baseline"/>
              <w:rPr>
                <w:color w:val="auto"/>
                <w:kern w:val="0"/>
              </w:rPr>
            </w:pPr>
            <w:r>
              <w:rPr>
                <w:color w:val="auto"/>
                <w:kern w:val="0"/>
              </w:rPr>
              <w:t>厂界浓度</w:t>
            </w:r>
          </w:p>
        </w:tc>
        <w:tc>
          <w:tcPr>
            <w:tcW w:w="707" w:type="pct"/>
            <w:vAlign w:val="center"/>
          </w:tcPr>
          <w:p>
            <w:pPr>
              <w:contextualSpacing/>
              <w:jc w:val="center"/>
              <w:textAlignment w:val="baseline"/>
              <w:rPr>
                <w:color w:val="auto"/>
                <w:kern w:val="0"/>
              </w:rPr>
            </w:pPr>
            <w:r>
              <w:rPr>
                <w:rFonts w:hint="eastAsia"/>
                <w:color w:val="auto"/>
                <w:kern w:val="0"/>
              </w:rPr>
              <w:t>1.5 mg/m</w:t>
            </w:r>
            <w:r>
              <w:rPr>
                <w:rFonts w:hint="eastAsia"/>
                <w:color w:val="auto"/>
                <w:kern w:val="0"/>
                <w:vertAlign w:val="superscript"/>
              </w:rPr>
              <w:t>3</w:t>
            </w:r>
          </w:p>
        </w:tc>
        <w:tc>
          <w:tcPr>
            <w:tcW w:w="2929" w:type="pct"/>
            <w:vAlign w:val="center"/>
          </w:tcPr>
          <w:p>
            <w:pPr>
              <w:contextualSpacing/>
              <w:jc w:val="center"/>
              <w:textAlignment w:val="baseline"/>
              <w:rPr>
                <w:color w:val="auto"/>
                <w:kern w:val="0"/>
              </w:rPr>
            </w:pPr>
            <w:r>
              <w:rPr>
                <w:rFonts w:hint="eastAsia"/>
                <w:color w:val="auto"/>
                <w:kern w:val="0"/>
              </w:rPr>
              <w:t>《恶臭污染物排放标准》（GB14554-93）</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16" w:hRule="atLeast"/>
          <w:jc w:val="center"/>
        </w:trPr>
        <w:tc>
          <w:tcPr>
            <w:tcW w:w="639" w:type="pct"/>
            <w:vMerge w:val="restart"/>
            <w:vAlign w:val="center"/>
          </w:tcPr>
          <w:p>
            <w:pPr>
              <w:contextualSpacing/>
              <w:jc w:val="center"/>
              <w:textAlignment w:val="baseline"/>
              <w:rPr>
                <w:color w:val="auto"/>
                <w:kern w:val="0"/>
              </w:rPr>
            </w:pPr>
            <w:r>
              <w:rPr>
                <w:rFonts w:hint="eastAsia"/>
                <w:color w:val="auto"/>
                <w:kern w:val="0"/>
              </w:rPr>
              <w:t>硫化氢</w:t>
            </w:r>
          </w:p>
        </w:tc>
        <w:tc>
          <w:tcPr>
            <w:tcW w:w="725" w:type="pct"/>
            <w:vAlign w:val="center"/>
          </w:tcPr>
          <w:p>
            <w:pPr>
              <w:contextualSpacing/>
              <w:jc w:val="center"/>
              <w:textAlignment w:val="baseline"/>
              <w:rPr>
                <w:color w:val="auto"/>
                <w:kern w:val="0"/>
              </w:rPr>
            </w:pPr>
            <w:r>
              <w:rPr>
                <w:color w:val="auto"/>
                <w:kern w:val="0"/>
              </w:rPr>
              <w:t>1h平均值</w:t>
            </w:r>
          </w:p>
        </w:tc>
        <w:tc>
          <w:tcPr>
            <w:tcW w:w="707" w:type="pct"/>
            <w:vAlign w:val="center"/>
          </w:tcPr>
          <w:p>
            <w:pPr>
              <w:contextualSpacing/>
              <w:jc w:val="center"/>
              <w:textAlignment w:val="baseline"/>
              <w:rPr>
                <w:color w:val="auto"/>
                <w:kern w:val="0"/>
              </w:rPr>
            </w:pPr>
            <w:r>
              <w:rPr>
                <w:rFonts w:hint="eastAsia"/>
                <w:color w:val="auto"/>
                <w:kern w:val="0"/>
              </w:rPr>
              <w:t>10</w:t>
            </w:r>
            <w:r>
              <w:rPr>
                <w:color w:val="auto"/>
                <w:kern w:val="0"/>
              </w:rPr>
              <w:t>µg/m</w:t>
            </w:r>
            <w:r>
              <w:rPr>
                <w:color w:val="auto"/>
                <w:kern w:val="0"/>
                <w:vertAlign w:val="superscript"/>
              </w:rPr>
              <w:t>3</w:t>
            </w:r>
          </w:p>
        </w:tc>
        <w:tc>
          <w:tcPr>
            <w:tcW w:w="2929" w:type="pct"/>
            <w:vAlign w:val="center"/>
          </w:tcPr>
          <w:p>
            <w:pPr>
              <w:contextualSpacing/>
              <w:jc w:val="center"/>
              <w:textAlignment w:val="baseline"/>
              <w:rPr>
                <w:color w:val="auto"/>
                <w:kern w:val="0"/>
              </w:rPr>
            </w:pPr>
            <w:r>
              <w:rPr>
                <w:color w:val="auto"/>
                <w:kern w:val="0"/>
              </w:rPr>
              <w:t>《大气环境影响评价技术导则》（HJ2.2-2018）附录D</w:t>
            </w:r>
          </w:p>
        </w:tc>
      </w:tr>
      <w:tr>
        <w:tblPrEx>
          <w:tblBorders>
            <w:top w:val="single" w:color="000000" w:sz="8" w:space="0"/>
            <w:left w:val="single" w:color="000000" w:sz="8" w:space="0"/>
            <w:bottom w:val="single" w:color="000000" w:sz="8" w:space="0"/>
            <w:right w:val="single" w:color="000000" w:sz="8" w:space="0"/>
            <w:insideH w:val="single" w:color="000000" w:sz="6" w:space="0"/>
            <w:insideV w:val="single" w:color="000000" w:sz="6" w:space="0"/>
          </w:tblBorders>
          <w:tblCellMar>
            <w:top w:w="0" w:type="dxa"/>
            <w:left w:w="28" w:type="dxa"/>
            <w:bottom w:w="0" w:type="dxa"/>
            <w:right w:w="28" w:type="dxa"/>
          </w:tblCellMar>
        </w:tblPrEx>
        <w:trPr>
          <w:trHeight w:val="416" w:hRule="atLeast"/>
          <w:jc w:val="center"/>
        </w:trPr>
        <w:tc>
          <w:tcPr>
            <w:tcW w:w="639" w:type="pct"/>
            <w:vMerge w:val="continue"/>
            <w:vAlign w:val="center"/>
          </w:tcPr>
          <w:p>
            <w:pPr>
              <w:contextualSpacing/>
              <w:jc w:val="center"/>
              <w:textAlignment w:val="baseline"/>
              <w:rPr>
                <w:color w:val="auto"/>
                <w:kern w:val="0"/>
              </w:rPr>
            </w:pPr>
          </w:p>
        </w:tc>
        <w:tc>
          <w:tcPr>
            <w:tcW w:w="725" w:type="pct"/>
            <w:vAlign w:val="center"/>
          </w:tcPr>
          <w:p>
            <w:pPr>
              <w:contextualSpacing/>
              <w:jc w:val="center"/>
              <w:textAlignment w:val="baseline"/>
              <w:rPr>
                <w:color w:val="auto"/>
                <w:kern w:val="0"/>
              </w:rPr>
            </w:pPr>
            <w:r>
              <w:rPr>
                <w:color w:val="auto"/>
                <w:kern w:val="0"/>
              </w:rPr>
              <w:t>厂界浓度</w:t>
            </w:r>
          </w:p>
        </w:tc>
        <w:tc>
          <w:tcPr>
            <w:tcW w:w="707" w:type="pct"/>
            <w:vAlign w:val="center"/>
          </w:tcPr>
          <w:p>
            <w:pPr>
              <w:contextualSpacing/>
              <w:jc w:val="center"/>
              <w:textAlignment w:val="baseline"/>
              <w:rPr>
                <w:color w:val="auto"/>
                <w:kern w:val="0"/>
              </w:rPr>
            </w:pPr>
            <w:r>
              <w:rPr>
                <w:rFonts w:hint="eastAsia"/>
                <w:color w:val="auto"/>
                <w:kern w:val="0"/>
              </w:rPr>
              <w:t>0.06 mg/m</w:t>
            </w:r>
            <w:r>
              <w:rPr>
                <w:rFonts w:hint="eastAsia"/>
                <w:color w:val="auto"/>
                <w:kern w:val="0"/>
                <w:vertAlign w:val="superscript"/>
              </w:rPr>
              <w:t>3</w:t>
            </w:r>
          </w:p>
        </w:tc>
        <w:tc>
          <w:tcPr>
            <w:tcW w:w="2929" w:type="pct"/>
            <w:vAlign w:val="center"/>
          </w:tcPr>
          <w:p>
            <w:pPr>
              <w:contextualSpacing/>
              <w:jc w:val="center"/>
              <w:textAlignment w:val="baseline"/>
              <w:rPr>
                <w:color w:val="auto"/>
                <w:kern w:val="0"/>
              </w:rPr>
            </w:pPr>
            <w:r>
              <w:rPr>
                <w:rFonts w:hint="eastAsia"/>
                <w:color w:val="auto"/>
                <w:kern w:val="0"/>
              </w:rPr>
              <w:t>《恶臭污染物排放标准》（GB14554-93）</w:t>
            </w:r>
          </w:p>
        </w:tc>
      </w:tr>
    </w:tbl>
    <w:p>
      <w:pPr>
        <w:pStyle w:val="6"/>
        <w:spacing w:before="0" w:after="0" w:line="360" w:lineRule="auto"/>
        <w:rPr>
          <w:b w:val="0"/>
          <w:color w:val="auto"/>
          <w:sz w:val="24"/>
          <w:szCs w:val="24"/>
        </w:rPr>
      </w:pPr>
      <w:bookmarkStart w:id="312" w:name="_Toc324839618"/>
      <w:bookmarkStart w:id="313" w:name="_Toc302145940"/>
      <w:bookmarkStart w:id="314" w:name="_Toc324839321"/>
      <w:bookmarkStart w:id="315" w:name="_Toc300681311"/>
      <w:bookmarkStart w:id="316" w:name="_Toc304300435"/>
      <w:r>
        <w:rPr>
          <w:b w:val="0"/>
          <w:color w:val="auto"/>
          <w:sz w:val="24"/>
          <w:szCs w:val="24"/>
        </w:rPr>
        <w:t>5.1.2.3预测参数</w:t>
      </w:r>
      <w:bookmarkEnd w:id="312"/>
      <w:bookmarkEnd w:id="313"/>
      <w:bookmarkEnd w:id="314"/>
      <w:bookmarkEnd w:id="315"/>
      <w:bookmarkEnd w:id="316"/>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本次工程涉及到的废气污染源的各项污染物参数见下表。</w:t>
      </w:r>
    </w:p>
    <w:p>
      <w:pPr>
        <w:spacing w:before="240" w:beforeLines="100" w:after="120" w:afterLines="50"/>
        <w:ind w:firstLine="1205" w:firstLineChars="500"/>
        <w:rPr>
          <w:b/>
          <w:color w:val="auto"/>
          <w:sz w:val="24"/>
          <w:szCs w:val="24"/>
        </w:rPr>
        <w:sectPr>
          <w:headerReference r:id="rId19" w:type="default"/>
          <w:pgSz w:w="11907" w:h="16840"/>
          <w:pgMar w:top="1440" w:right="1797" w:bottom="1440" w:left="1797" w:header="907" w:footer="907" w:gutter="0"/>
          <w:cols w:space="425" w:num="1"/>
          <w:docGrid w:linePitch="380" w:charSpace="0"/>
        </w:sectPr>
      </w:pPr>
      <w:bookmarkStart w:id="317" w:name="_Toc304300436"/>
      <w:bookmarkStart w:id="318" w:name="_Toc324839619"/>
      <w:bookmarkStart w:id="319" w:name="_Toc324839322"/>
      <w:bookmarkStart w:id="320" w:name="_Toc300681312"/>
      <w:bookmarkStart w:id="321" w:name="_Toc302145941"/>
    </w:p>
    <w:p>
      <w:pPr>
        <w:ind w:firstLine="960" w:firstLineChars="400"/>
        <w:jc w:val="center"/>
        <w:rPr>
          <w:rFonts w:eastAsia="黑体"/>
          <w:color w:val="auto"/>
          <w:sz w:val="24"/>
          <w:szCs w:val="24"/>
        </w:rPr>
      </w:pPr>
      <w:r>
        <w:rPr>
          <w:rFonts w:eastAsia="黑体"/>
          <w:color w:val="auto"/>
          <w:sz w:val="24"/>
          <w:szCs w:val="24"/>
        </w:rPr>
        <w:t>表5.1-6</w:t>
      </w:r>
      <w:r>
        <w:rPr>
          <w:rFonts w:hint="eastAsia" w:eastAsia="黑体"/>
          <w:color w:val="auto"/>
          <w:sz w:val="24"/>
          <w:szCs w:val="24"/>
        </w:rPr>
        <w:t xml:space="preserve">    </w:t>
      </w:r>
      <w:r>
        <w:rPr>
          <w:rFonts w:eastAsia="黑体"/>
          <w:color w:val="auto"/>
          <w:sz w:val="24"/>
          <w:szCs w:val="24"/>
        </w:rPr>
        <w:t>本项目有组织排放点源参数表一览表</w:t>
      </w:r>
    </w:p>
    <w:tbl>
      <w:tblPr>
        <w:tblStyle w:val="83"/>
        <w:tblW w:w="49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2"/>
        <w:gridCol w:w="852"/>
        <w:gridCol w:w="1134"/>
        <w:gridCol w:w="1277"/>
        <w:gridCol w:w="709"/>
        <w:gridCol w:w="565"/>
        <w:gridCol w:w="709"/>
        <w:gridCol w:w="709"/>
        <w:gridCol w:w="709"/>
        <w:gridCol w:w="709"/>
        <w:gridCol w:w="605"/>
        <w:gridCol w:w="813"/>
        <w:gridCol w:w="850"/>
        <w:gridCol w:w="850"/>
        <w:gridCol w:w="852"/>
        <w:gridCol w:w="850"/>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4" w:type="pct"/>
            <w:gridSpan w:val="2"/>
            <w:vMerge w:val="restart"/>
            <w:vAlign w:val="center"/>
          </w:tcPr>
          <w:p>
            <w:pPr>
              <w:adjustRightInd w:val="0"/>
              <w:snapToGrid w:val="0"/>
              <w:jc w:val="center"/>
              <w:rPr>
                <w:b/>
                <w:bCs/>
                <w:color w:val="auto"/>
                <w:kern w:val="21"/>
              </w:rPr>
            </w:pPr>
            <w:r>
              <w:rPr>
                <w:b/>
                <w:bCs/>
                <w:color w:val="auto"/>
                <w:kern w:val="21"/>
              </w:rPr>
              <w:t>排气筒名称/编号</w:t>
            </w:r>
          </w:p>
        </w:tc>
        <w:tc>
          <w:tcPr>
            <w:tcW w:w="857" w:type="pct"/>
            <w:gridSpan w:val="2"/>
            <w:vAlign w:val="center"/>
          </w:tcPr>
          <w:p>
            <w:pPr>
              <w:adjustRightInd w:val="0"/>
              <w:snapToGrid w:val="0"/>
              <w:jc w:val="center"/>
              <w:rPr>
                <w:b/>
                <w:bCs/>
                <w:color w:val="auto"/>
                <w:kern w:val="21"/>
              </w:rPr>
            </w:pPr>
            <w:r>
              <w:rPr>
                <w:b/>
                <w:bCs/>
                <w:color w:val="auto"/>
                <w:kern w:val="21"/>
              </w:rPr>
              <w:t>排气筒底部中心坐标/m</w:t>
            </w:r>
          </w:p>
        </w:tc>
        <w:tc>
          <w:tcPr>
            <w:tcW w:w="705" w:type="pct"/>
            <w:gridSpan w:val="3"/>
            <w:vAlign w:val="center"/>
          </w:tcPr>
          <w:p>
            <w:pPr>
              <w:adjustRightInd w:val="0"/>
              <w:snapToGrid w:val="0"/>
              <w:jc w:val="center"/>
              <w:rPr>
                <w:b/>
                <w:bCs/>
                <w:color w:val="auto"/>
                <w:kern w:val="21"/>
              </w:rPr>
            </w:pPr>
            <w:r>
              <w:rPr>
                <w:b/>
                <w:bCs/>
                <w:color w:val="auto"/>
                <w:kern w:val="21"/>
              </w:rPr>
              <w:t>排气筒参数（m）</w:t>
            </w:r>
          </w:p>
        </w:tc>
        <w:tc>
          <w:tcPr>
            <w:tcW w:w="252" w:type="pct"/>
            <w:vMerge w:val="restart"/>
            <w:vAlign w:val="center"/>
          </w:tcPr>
          <w:p>
            <w:pPr>
              <w:adjustRightInd w:val="0"/>
              <w:snapToGrid w:val="0"/>
              <w:jc w:val="center"/>
              <w:rPr>
                <w:b/>
                <w:bCs/>
                <w:color w:val="auto"/>
                <w:kern w:val="21"/>
              </w:rPr>
            </w:pPr>
            <w:r>
              <w:rPr>
                <w:b/>
                <w:bCs/>
                <w:color w:val="auto"/>
                <w:kern w:val="21"/>
              </w:rPr>
              <w:t>烟气</w:t>
            </w:r>
          </w:p>
          <w:p>
            <w:pPr>
              <w:adjustRightInd w:val="0"/>
              <w:snapToGrid w:val="0"/>
              <w:jc w:val="center"/>
              <w:rPr>
                <w:b/>
                <w:bCs/>
                <w:color w:val="auto"/>
                <w:kern w:val="21"/>
              </w:rPr>
            </w:pPr>
            <w:r>
              <w:rPr>
                <w:b/>
                <w:bCs/>
                <w:color w:val="auto"/>
                <w:kern w:val="21"/>
              </w:rPr>
              <w:t>流速/（m/s）</w:t>
            </w:r>
          </w:p>
        </w:tc>
        <w:tc>
          <w:tcPr>
            <w:tcW w:w="252" w:type="pct"/>
            <w:vMerge w:val="restart"/>
            <w:vAlign w:val="center"/>
          </w:tcPr>
          <w:p>
            <w:pPr>
              <w:adjustRightInd w:val="0"/>
              <w:snapToGrid w:val="0"/>
              <w:jc w:val="center"/>
              <w:rPr>
                <w:b/>
                <w:bCs/>
                <w:color w:val="auto"/>
                <w:kern w:val="21"/>
              </w:rPr>
            </w:pPr>
            <w:r>
              <w:rPr>
                <w:b/>
                <w:bCs/>
                <w:color w:val="auto"/>
                <w:kern w:val="21"/>
              </w:rPr>
              <w:t>烟气温度/℃</w:t>
            </w:r>
          </w:p>
        </w:tc>
        <w:tc>
          <w:tcPr>
            <w:tcW w:w="252" w:type="pct"/>
            <w:vMerge w:val="restart"/>
            <w:vAlign w:val="center"/>
          </w:tcPr>
          <w:p>
            <w:pPr>
              <w:adjustRightInd w:val="0"/>
              <w:snapToGrid w:val="0"/>
              <w:jc w:val="center"/>
              <w:rPr>
                <w:b/>
                <w:bCs/>
                <w:color w:val="auto"/>
                <w:kern w:val="21"/>
              </w:rPr>
            </w:pPr>
            <w:r>
              <w:rPr>
                <w:b/>
                <w:bCs/>
                <w:color w:val="auto"/>
                <w:kern w:val="21"/>
              </w:rPr>
              <w:t>年排放小时数/h</w:t>
            </w:r>
          </w:p>
        </w:tc>
        <w:tc>
          <w:tcPr>
            <w:tcW w:w="215" w:type="pct"/>
            <w:vMerge w:val="restart"/>
            <w:vAlign w:val="center"/>
          </w:tcPr>
          <w:p>
            <w:pPr>
              <w:adjustRightInd w:val="0"/>
              <w:snapToGrid w:val="0"/>
              <w:jc w:val="center"/>
              <w:rPr>
                <w:b/>
                <w:bCs/>
                <w:color w:val="auto"/>
                <w:kern w:val="21"/>
              </w:rPr>
            </w:pPr>
            <w:r>
              <w:rPr>
                <w:b/>
                <w:bCs/>
                <w:color w:val="auto"/>
                <w:kern w:val="21"/>
              </w:rPr>
              <w:t>排放</w:t>
            </w:r>
          </w:p>
          <w:p>
            <w:pPr>
              <w:adjustRightInd w:val="0"/>
              <w:snapToGrid w:val="0"/>
              <w:jc w:val="center"/>
              <w:rPr>
                <w:b/>
                <w:bCs/>
                <w:color w:val="auto"/>
                <w:kern w:val="21"/>
              </w:rPr>
            </w:pPr>
            <w:r>
              <w:rPr>
                <w:b/>
                <w:bCs/>
                <w:color w:val="auto"/>
                <w:kern w:val="21"/>
              </w:rPr>
              <w:t>工况</w:t>
            </w:r>
          </w:p>
        </w:tc>
        <w:tc>
          <w:tcPr>
            <w:tcW w:w="1843" w:type="pct"/>
            <w:gridSpan w:val="6"/>
            <w:vAlign w:val="center"/>
          </w:tcPr>
          <w:p>
            <w:pPr>
              <w:adjustRightInd w:val="0"/>
              <w:snapToGrid w:val="0"/>
              <w:jc w:val="center"/>
              <w:rPr>
                <w:b/>
                <w:bCs/>
                <w:color w:val="auto"/>
                <w:kern w:val="21"/>
              </w:rPr>
            </w:pPr>
            <w:r>
              <w:rPr>
                <w:b/>
                <w:bCs/>
                <w:color w:val="auto"/>
                <w:kern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4" w:type="pct"/>
            <w:gridSpan w:val="2"/>
            <w:vMerge w:val="continue"/>
            <w:vAlign w:val="center"/>
          </w:tcPr>
          <w:p>
            <w:pPr>
              <w:adjustRightInd w:val="0"/>
              <w:snapToGrid w:val="0"/>
              <w:jc w:val="center"/>
              <w:rPr>
                <w:b/>
                <w:bCs/>
                <w:color w:val="auto"/>
                <w:kern w:val="21"/>
              </w:rPr>
            </w:pPr>
          </w:p>
        </w:tc>
        <w:tc>
          <w:tcPr>
            <w:tcW w:w="403" w:type="pct"/>
            <w:vAlign w:val="center"/>
          </w:tcPr>
          <w:p>
            <w:pPr>
              <w:adjustRightInd w:val="0"/>
              <w:snapToGrid w:val="0"/>
              <w:jc w:val="center"/>
              <w:rPr>
                <w:b/>
                <w:bCs/>
                <w:color w:val="auto"/>
                <w:kern w:val="21"/>
              </w:rPr>
            </w:pPr>
            <w:r>
              <w:rPr>
                <w:b/>
                <w:bCs/>
                <w:color w:val="auto"/>
                <w:kern w:val="21"/>
              </w:rPr>
              <w:t>X</w:t>
            </w:r>
          </w:p>
        </w:tc>
        <w:tc>
          <w:tcPr>
            <w:tcW w:w="454" w:type="pct"/>
            <w:vAlign w:val="center"/>
          </w:tcPr>
          <w:p>
            <w:pPr>
              <w:adjustRightInd w:val="0"/>
              <w:snapToGrid w:val="0"/>
              <w:jc w:val="center"/>
              <w:rPr>
                <w:b/>
                <w:bCs/>
                <w:color w:val="auto"/>
                <w:kern w:val="21"/>
              </w:rPr>
            </w:pPr>
            <w:r>
              <w:rPr>
                <w:b/>
                <w:bCs/>
                <w:color w:val="auto"/>
                <w:kern w:val="21"/>
              </w:rPr>
              <w:t>Y</w:t>
            </w:r>
          </w:p>
        </w:tc>
        <w:tc>
          <w:tcPr>
            <w:tcW w:w="252" w:type="pct"/>
            <w:vAlign w:val="center"/>
          </w:tcPr>
          <w:p>
            <w:pPr>
              <w:adjustRightInd w:val="0"/>
              <w:snapToGrid w:val="0"/>
              <w:jc w:val="center"/>
              <w:rPr>
                <w:b/>
                <w:bCs/>
                <w:color w:val="auto"/>
                <w:kern w:val="21"/>
              </w:rPr>
            </w:pPr>
            <w:r>
              <w:rPr>
                <w:b/>
                <w:bCs/>
                <w:color w:val="auto"/>
                <w:kern w:val="21"/>
              </w:rPr>
              <w:t>底部</w:t>
            </w:r>
          </w:p>
          <w:p>
            <w:pPr>
              <w:adjustRightInd w:val="0"/>
              <w:snapToGrid w:val="0"/>
              <w:jc w:val="center"/>
              <w:rPr>
                <w:b/>
                <w:bCs/>
                <w:color w:val="auto"/>
                <w:kern w:val="21"/>
              </w:rPr>
            </w:pPr>
            <w:r>
              <w:rPr>
                <w:b/>
                <w:bCs/>
                <w:color w:val="auto"/>
                <w:kern w:val="21"/>
              </w:rPr>
              <w:t>海拔</w:t>
            </w:r>
          </w:p>
        </w:tc>
        <w:tc>
          <w:tcPr>
            <w:tcW w:w="201" w:type="pct"/>
            <w:vAlign w:val="center"/>
          </w:tcPr>
          <w:p>
            <w:pPr>
              <w:adjustRightInd w:val="0"/>
              <w:snapToGrid w:val="0"/>
              <w:jc w:val="center"/>
              <w:rPr>
                <w:b/>
                <w:bCs/>
                <w:color w:val="auto"/>
                <w:kern w:val="21"/>
              </w:rPr>
            </w:pPr>
            <w:r>
              <w:rPr>
                <w:b/>
                <w:bCs/>
                <w:color w:val="auto"/>
                <w:kern w:val="21"/>
              </w:rPr>
              <w:t>高度</w:t>
            </w:r>
          </w:p>
        </w:tc>
        <w:tc>
          <w:tcPr>
            <w:tcW w:w="252" w:type="pct"/>
            <w:vAlign w:val="center"/>
          </w:tcPr>
          <w:p>
            <w:pPr>
              <w:adjustRightInd w:val="0"/>
              <w:snapToGrid w:val="0"/>
              <w:jc w:val="center"/>
              <w:rPr>
                <w:b/>
                <w:bCs/>
                <w:color w:val="auto"/>
                <w:kern w:val="21"/>
              </w:rPr>
            </w:pPr>
            <w:r>
              <w:rPr>
                <w:b/>
                <w:bCs/>
                <w:color w:val="auto"/>
                <w:kern w:val="21"/>
              </w:rPr>
              <w:t>出口</w:t>
            </w:r>
          </w:p>
          <w:p>
            <w:pPr>
              <w:adjustRightInd w:val="0"/>
              <w:snapToGrid w:val="0"/>
              <w:jc w:val="center"/>
              <w:rPr>
                <w:b/>
                <w:bCs/>
                <w:color w:val="auto"/>
                <w:kern w:val="21"/>
              </w:rPr>
            </w:pPr>
            <w:r>
              <w:rPr>
                <w:b/>
                <w:bCs/>
                <w:color w:val="auto"/>
                <w:kern w:val="21"/>
              </w:rPr>
              <w:t>内径</w:t>
            </w:r>
          </w:p>
        </w:tc>
        <w:tc>
          <w:tcPr>
            <w:tcW w:w="252" w:type="pct"/>
            <w:vMerge w:val="continue"/>
            <w:vAlign w:val="center"/>
          </w:tcPr>
          <w:p>
            <w:pPr>
              <w:adjustRightInd w:val="0"/>
              <w:snapToGrid w:val="0"/>
              <w:jc w:val="center"/>
              <w:rPr>
                <w:b/>
                <w:bCs/>
                <w:color w:val="auto"/>
                <w:kern w:val="21"/>
              </w:rPr>
            </w:pPr>
          </w:p>
        </w:tc>
        <w:tc>
          <w:tcPr>
            <w:tcW w:w="252" w:type="pct"/>
            <w:vMerge w:val="continue"/>
            <w:vAlign w:val="center"/>
          </w:tcPr>
          <w:p>
            <w:pPr>
              <w:adjustRightInd w:val="0"/>
              <w:snapToGrid w:val="0"/>
              <w:jc w:val="center"/>
              <w:rPr>
                <w:b/>
                <w:bCs/>
                <w:color w:val="auto"/>
                <w:kern w:val="21"/>
              </w:rPr>
            </w:pPr>
          </w:p>
        </w:tc>
        <w:tc>
          <w:tcPr>
            <w:tcW w:w="252" w:type="pct"/>
            <w:vMerge w:val="continue"/>
            <w:vAlign w:val="center"/>
          </w:tcPr>
          <w:p>
            <w:pPr>
              <w:adjustRightInd w:val="0"/>
              <w:snapToGrid w:val="0"/>
              <w:jc w:val="center"/>
              <w:rPr>
                <w:b/>
                <w:bCs/>
                <w:color w:val="auto"/>
                <w:kern w:val="21"/>
              </w:rPr>
            </w:pPr>
          </w:p>
        </w:tc>
        <w:tc>
          <w:tcPr>
            <w:tcW w:w="215" w:type="pct"/>
            <w:vMerge w:val="continue"/>
            <w:vAlign w:val="center"/>
          </w:tcPr>
          <w:p>
            <w:pPr>
              <w:adjustRightInd w:val="0"/>
              <w:snapToGrid w:val="0"/>
              <w:jc w:val="center"/>
              <w:rPr>
                <w:b/>
                <w:bCs/>
                <w:color w:val="auto"/>
                <w:kern w:val="21"/>
              </w:rPr>
            </w:pPr>
          </w:p>
        </w:tc>
        <w:tc>
          <w:tcPr>
            <w:tcW w:w="289" w:type="pct"/>
            <w:vAlign w:val="center"/>
          </w:tcPr>
          <w:p>
            <w:pPr>
              <w:adjustRightInd w:val="0"/>
              <w:snapToGrid w:val="0"/>
              <w:jc w:val="center"/>
              <w:rPr>
                <w:b/>
                <w:bCs/>
                <w:color w:val="auto"/>
                <w:kern w:val="21"/>
              </w:rPr>
            </w:pPr>
            <w:r>
              <w:rPr>
                <w:b/>
                <w:bCs/>
                <w:color w:val="auto"/>
                <w:kern w:val="21"/>
              </w:rPr>
              <w:t>颗粒物</w:t>
            </w:r>
          </w:p>
        </w:tc>
        <w:tc>
          <w:tcPr>
            <w:tcW w:w="302" w:type="pct"/>
            <w:vAlign w:val="center"/>
          </w:tcPr>
          <w:p>
            <w:pPr>
              <w:adjustRightInd w:val="0"/>
              <w:snapToGrid w:val="0"/>
              <w:jc w:val="center"/>
              <w:rPr>
                <w:b/>
                <w:bCs/>
                <w:color w:val="auto"/>
                <w:kern w:val="21"/>
              </w:rPr>
            </w:pPr>
            <w:r>
              <w:rPr>
                <w:b/>
                <w:bCs/>
                <w:color w:val="auto"/>
                <w:kern w:val="21"/>
              </w:rPr>
              <w:t>SO</w:t>
            </w:r>
            <w:r>
              <w:rPr>
                <w:b/>
                <w:bCs/>
                <w:color w:val="auto"/>
                <w:kern w:val="21"/>
                <w:vertAlign w:val="subscript"/>
              </w:rPr>
              <w:t>2</w:t>
            </w:r>
          </w:p>
        </w:tc>
        <w:tc>
          <w:tcPr>
            <w:tcW w:w="302" w:type="pct"/>
            <w:vAlign w:val="center"/>
          </w:tcPr>
          <w:p>
            <w:pPr>
              <w:adjustRightInd w:val="0"/>
              <w:snapToGrid w:val="0"/>
              <w:jc w:val="center"/>
              <w:rPr>
                <w:b/>
                <w:bCs/>
                <w:color w:val="auto"/>
                <w:kern w:val="21"/>
              </w:rPr>
            </w:pPr>
            <w:r>
              <w:rPr>
                <w:b/>
                <w:bCs/>
                <w:color w:val="auto"/>
                <w:kern w:val="21"/>
              </w:rPr>
              <w:t>NOx</w:t>
            </w:r>
          </w:p>
        </w:tc>
        <w:tc>
          <w:tcPr>
            <w:tcW w:w="303" w:type="pct"/>
            <w:vAlign w:val="center"/>
          </w:tcPr>
          <w:p>
            <w:pPr>
              <w:adjustRightInd w:val="0"/>
              <w:snapToGrid w:val="0"/>
              <w:jc w:val="center"/>
              <w:rPr>
                <w:b/>
                <w:bCs/>
                <w:color w:val="auto"/>
                <w:kern w:val="21"/>
              </w:rPr>
            </w:pPr>
            <w:r>
              <w:rPr>
                <w:b/>
                <w:bCs/>
                <w:color w:val="auto"/>
                <w:kern w:val="21"/>
              </w:rPr>
              <w:t>氯化氢</w:t>
            </w:r>
          </w:p>
        </w:tc>
        <w:tc>
          <w:tcPr>
            <w:tcW w:w="302" w:type="pct"/>
            <w:vAlign w:val="center"/>
          </w:tcPr>
          <w:p>
            <w:pPr>
              <w:adjustRightInd w:val="0"/>
              <w:snapToGrid w:val="0"/>
              <w:ind w:firstLine="211" w:firstLineChars="100"/>
              <w:rPr>
                <w:b/>
                <w:bCs/>
                <w:color w:val="auto"/>
                <w:kern w:val="21"/>
              </w:rPr>
            </w:pPr>
            <w:r>
              <w:rPr>
                <w:rFonts w:hint="eastAsia"/>
                <w:b/>
                <w:bCs/>
                <w:color w:val="auto"/>
                <w:kern w:val="21"/>
              </w:rPr>
              <w:t>氨</w:t>
            </w:r>
          </w:p>
        </w:tc>
        <w:tc>
          <w:tcPr>
            <w:tcW w:w="345" w:type="pct"/>
            <w:vAlign w:val="center"/>
          </w:tcPr>
          <w:p>
            <w:pPr>
              <w:adjustRightInd w:val="0"/>
              <w:snapToGrid w:val="0"/>
              <w:jc w:val="center"/>
              <w:rPr>
                <w:b/>
                <w:bCs/>
                <w:color w:val="auto"/>
                <w:kern w:val="21"/>
              </w:rPr>
            </w:pPr>
            <w:r>
              <w:rPr>
                <w:b/>
                <w:bCs/>
                <w:color w:val="auto"/>
                <w:kern w:val="21"/>
              </w:rPr>
              <w:t>硫化氢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 w:type="pct"/>
            <w:vAlign w:val="center"/>
          </w:tcPr>
          <w:p>
            <w:pPr>
              <w:adjustRightInd w:val="0"/>
              <w:snapToGrid w:val="0"/>
              <w:jc w:val="center"/>
              <w:rPr>
                <w:color w:val="auto"/>
                <w:kern w:val="21"/>
              </w:rPr>
            </w:pPr>
            <w:r>
              <w:rPr>
                <w:color w:val="auto"/>
                <w:kern w:val="21"/>
              </w:rPr>
              <w:t>二级碱液喷淋中和塔</w:t>
            </w:r>
          </w:p>
        </w:tc>
        <w:tc>
          <w:tcPr>
            <w:tcW w:w="303" w:type="pct"/>
            <w:vAlign w:val="center"/>
          </w:tcPr>
          <w:p>
            <w:pPr>
              <w:adjustRightInd w:val="0"/>
              <w:snapToGrid w:val="0"/>
              <w:jc w:val="center"/>
              <w:rPr>
                <w:color w:val="auto"/>
                <w:kern w:val="21"/>
              </w:rPr>
            </w:pPr>
            <w:r>
              <w:rPr>
                <w:color w:val="auto"/>
                <w:kern w:val="21"/>
              </w:rPr>
              <w:t>DA00</w:t>
            </w:r>
            <w:r>
              <w:rPr>
                <w:rFonts w:hint="eastAsia"/>
                <w:color w:val="auto"/>
                <w:kern w:val="21"/>
              </w:rPr>
              <w:t>1</w:t>
            </w:r>
          </w:p>
        </w:tc>
        <w:tc>
          <w:tcPr>
            <w:tcW w:w="403" w:type="pct"/>
            <w:vAlign w:val="center"/>
          </w:tcPr>
          <w:p>
            <w:pPr>
              <w:adjustRightInd w:val="0"/>
              <w:snapToGrid w:val="0"/>
              <w:jc w:val="center"/>
              <w:rPr>
                <w:color w:val="auto"/>
                <w:kern w:val="21"/>
              </w:rPr>
            </w:pPr>
            <w:r>
              <w:rPr>
                <w:color w:val="auto"/>
                <w:kern w:val="0"/>
              </w:rPr>
              <w:t>35.267791</w:t>
            </w:r>
          </w:p>
        </w:tc>
        <w:tc>
          <w:tcPr>
            <w:tcW w:w="454" w:type="pct"/>
            <w:vAlign w:val="center"/>
          </w:tcPr>
          <w:p>
            <w:pPr>
              <w:adjustRightInd w:val="0"/>
              <w:snapToGrid w:val="0"/>
              <w:jc w:val="center"/>
              <w:rPr>
                <w:color w:val="auto"/>
                <w:kern w:val="21"/>
              </w:rPr>
            </w:pPr>
            <w:r>
              <w:rPr>
                <w:color w:val="auto"/>
                <w:kern w:val="21"/>
              </w:rPr>
              <w:t>113.708958</w:t>
            </w:r>
          </w:p>
        </w:tc>
        <w:tc>
          <w:tcPr>
            <w:tcW w:w="252" w:type="pct"/>
            <w:vAlign w:val="center"/>
          </w:tcPr>
          <w:p>
            <w:pPr>
              <w:adjustRightInd w:val="0"/>
              <w:snapToGrid w:val="0"/>
              <w:jc w:val="center"/>
              <w:rPr>
                <w:color w:val="auto"/>
                <w:kern w:val="21"/>
              </w:rPr>
            </w:pPr>
            <w:r>
              <w:rPr>
                <w:rFonts w:hint="eastAsia"/>
                <w:color w:val="auto"/>
                <w:kern w:val="21"/>
              </w:rPr>
              <w:t>76</w:t>
            </w:r>
          </w:p>
        </w:tc>
        <w:tc>
          <w:tcPr>
            <w:tcW w:w="201" w:type="pct"/>
            <w:vAlign w:val="center"/>
          </w:tcPr>
          <w:p>
            <w:pPr>
              <w:adjustRightInd w:val="0"/>
              <w:snapToGrid w:val="0"/>
              <w:jc w:val="center"/>
              <w:rPr>
                <w:color w:val="auto"/>
                <w:kern w:val="21"/>
              </w:rPr>
            </w:pPr>
            <w:r>
              <w:rPr>
                <w:rFonts w:hint="eastAsia"/>
                <w:color w:val="auto"/>
                <w:kern w:val="21"/>
              </w:rPr>
              <w:t>15</w:t>
            </w:r>
          </w:p>
        </w:tc>
        <w:tc>
          <w:tcPr>
            <w:tcW w:w="252" w:type="pct"/>
            <w:vAlign w:val="center"/>
          </w:tcPr>
          <w:p>
            <w:pPr>
              <w:adjustRightInd w:val="0"/>
              <w:snapToGrid w:val="0"/>
              <w:jc w:val="center"/>
              <w:rPr>
                <w:color w:val="auto"/>
                <w:kern w:val="21"/>
              </w:rPr>
            </w:pPr>
            <w:r>
              <w:rPr>
                <w:rFonts w:hint="eastAsia"/>
                <w:color w:val="auto"/>
                <w:kern w:val="21"/>
              </w:rPr>
              <w:t>1.0</w:t>
            </w:r>
          </w:p>
        </w:tc>
        <w:tc>
          <w:tcPr>
            <w:tcW w:w="252" w:type="pct"/>
            <w:vAlign w:val="center"/>
          </w:tcPr>
          <w:p>
            <w:pPr>
              <w:adjustRightInd w:val="0"/>
              <w:snapToGrid w:val="0"/>
              <w:jc w:val="center"/>
              <w:rPr>
                <w:color w:val="auto"/>
                <w:kern w:val="21"/>
              </w:rPr>
            </w:pPr>
            <w:r>
              <w:rPr>
                <w:rFonts w:hint="eastAsia"/>
                <w:bCs/>
                <w:color w:val="auto"/>
                <w:kern w:val="21"/>
              </w:rPr>
              <w:t>13.45</w:t>
            </w:r>
          </w:p>
        </w:tc>
        <w:tc>
          <w:tcPr>
            <w:tcW w:w="252" w:type="pct"/>
            <w:vAlign w:val="center"/>
          </w:tcPr>
          <w:p>
            <w:pPr>
              <w:adjustRightInd w:val="0"/>
              <w:snapToGrid w:val="0"/>
              <w:jc w:val="center"/>
              <w:rPr>
                <w:color w:val="auto"/>
                <w:kern w:val="21"/>
              </w:rPr>
            </w:pPr>
            <w:r>
              <w:rPr>
                <w:rFonts w:hint="eastAsia"/>
                <w:color w:val="auto"/>
                <w:kern w:val="21"/>
              </w:rPr>
              <w:t>25</w:t>
            </w:r>
          </w:p>
        </w:tc>
        <w:tc>
          <w:tcPr>
            <w:tcW w:w="252" w:type="pct"/>
            <w:vAlign w:val="center"/>
          </w:tcPr>
          <w:p>
            <w:pPr>
              <w:adjustRightInd w:val="0"/>
              <w:snapToGrid w:val="0"/>
              <w:jc w:val="center"/>
              <w:rPr>
                <w:color w:val="auto"/>
                <w:kern w:val="21"/>
              </w:rPr>
            </w:pPr>
            <w:r>
              <w:rPr>
                <w:rFonts w:hint="eastAsia"/>
                <w:color w:val="auto"/>
                <w:kern w:val="21"/>
              </w:rPr>
              <w:t>7920</w:t>
            </w:r>
          </w:p>
        </w:tc>
        <w:tc>
          <w:tcPr>
            <w:tcW w:w="215" w:type="pct"/>
            <w:vMerge w:val="restart"/>
            <w:vAlign w:val="center"/>
          </w:tcPr>
          <w:p>
            <w:pPr>
              <w:adjustRightInd w:val="0"/>
              <w:snapToGrid w:val="0"/>
              <w:jc w:val="center"/>
              <w:rPr>
                <w:color w:val="auto"/>
                <w:kern w:val="21"/>
              </w:rPr>
            </w:pPr>
            <w:r>
              <w:rPr>
                <w:color w:val="auto"/>
                <w:kern w:val="21"/>
              </w:rPr>
              <w:t>正</w:t>
            </w:r>
          </w:p>
          <w:p>
            <w:pPr>
              <w:adjustRightInd w:val="0"/>
              <w:snapToGrid w:val="0"/>
              <w:jc w:val="center"/>
              <w:rPr>
                <w:color w:val="auto"/>
                <w:kern w:val="21"/>
              </w:rPr>
            </w:pPr>
            <w:r>
              <w:rPr>
                <w:color w:val="auto"/>
                <w:kern w:val="21"/>
              </w:rPr>
              <w:t>常</w:t>
            </w:r>
          </w:p>
          <w:p>
            <w:pPr>
              <w:adjustRightInd w:val="0"/>
              <w:snapToGrid w:val="0"/>
              <w:jc w:val="center"/>
              <w:rPr>
                <w:color w:val="auto"/>
                <w:kern w:val="21"/>
              </w:rPr>
            </w:pPr>
            <w:r>
              <w:rPr>
                <w:color w:val="auto"/>
                <w:kern w:val="21"/>
              </w:rPr>
              <w:t>排</w:t>
            </w:r>
          </w:p>
          <w:p>
            <w:pPr>
              <w:adjustRightInd w:val="0"/>
              <w:snapToGrid w:val="0"/>
              <w:jc w:val="center"/>
              <w:rPr>
                <w:color w:val="auto"/>
                <w:kern w:val="21"/>
              </w:rPr>
            </w:pPr>
            <w:r>
              <w:rPr>
                <w:color w:val="auto"/>
                <w:kern w:val="21"/>
              </w:rPr>
              <w:t>放</w:t>
            </w:r>
          </w:p>
        </w:tc>
        <w:tc>
          <w:tcPr>
            <w:tcW w:w="289"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jc w:val="center"/>
              <w:rPr>
                <w:color w:val="auto"/>
                <w:kern w:val="21"/>
              </w:rPr>
            </w:pPr>
            <w:r>
              <w:rPr>
                <w:rFonts w:hint="eastAsia"/>
                <w:color w:val="auto"/>
                <w:kern w:val="21"/>
              </w:rPr>
              <w:t>/</w:t>
            </w:r>
          </w:p>
        </w:tc>
        <w:tc>
          <w:tcPr>
            <w:tcW w:w="303" w:type="pct"/>
            <w:vAlign w:val="center"/>
          </w:tcPr>
          <w:p>
            <w:pPr>
              <w:adjustRightInd w:val="0"/>
              <w:snapToGrid w:val="0"/>
              <w:jc w:val="center"/>
              <w:rPr>
                <w:rFonts w:hint="eastAsia" w:eastAsia="宋体"/>
                <w:color w:val="auto"/>
                <w:kern w:val="21"/>
                <w:lang w:val="en-US" w:eastAsia="zh-CN"/>
              </w:rPr>
            </w:pPr>
            <w:r>
              <w:rPr>
                <w:rFonts w:hint="eastAsia"/>
                <w:b/>
                <w:color w:val="auto"/>
                <w:kern w:val="21"/>
                <w:u w:val="single"/>
              </w:rPr>
              <w:t>0.034</w:t>
            </w:r>
            <w:r>
              <w:rPr>
                <w:rFonts w:hint="eastAsia"/>
                <w:b/>
                <w:color w:val="auto"/>
                <w:kern w:val="21"/>
                <w:u w:val="single"/>
                <w:lang w:val="en-US" w:eastAsia="zh-CN"/>
              </w:rPr>
              <w:t>2</w:t>
            </w:r>
          </w:p>
        </w:tc>
        <w:tc>
          <w:tcPr>
            <w:tcW w:w="302" w:type="pct"/>
            <w:vAlign w:val="center"/>
          </w:tcPr>
          <w:p>
            <w:pPr>
              <w:adjustRightInd w:val="0"/>
              <w:snapToGrid w:val="0"/>
              <w:jc w:val="center"/>
              <w:rPr>
                <w:color w:val="auto"/>
                <w:kern w:val="21"/>
              </w:rPr>
            </w:pPr>
            <w:r>
              <w:rPr>
                <w:rFonts w:hint="eastAsia"/>
                <w:color w:val="auto"/>
                <w:kern w:val="21"/>
              </w:rPr>
              <w:t>/</w:t>
            </w:r>
          </w:p>
        </w:tc>
        <w:tc>
          <w:tcPr>
            <w:tcW w:w="345" w:type="pct"/>
            <w:vAlign w:val="center"/>
          </w:tcPr>
          <w:p>
            <w:pPr>
              <w:adjustRightInd w:val="0"/>
              <w:snapToGrid w:val="0"/>
              <w:jc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 w:type="pct"/>
            <w:vAlign w:val="center"/>
          </w:tcPr>
          <w:p>
            <w:pPr>
              <w:adjustRightInd w:val="0"/>
              <w:snapToGrid w:val="0"/>
              <w:jc w:val="center"/>
              <w:rPr>
                <w:color w:val="auto"/>
                <w:kern w:val="21"/>
              </w:rPr>
            </w:pPr>
            <w:r>
              <w:rPr>
                <w:color w:val="auto"/>
                <w:kern w:val="21"/>
              </w:rPr>
              <w:t>燃气锅炉</w:t>
            </w:r>
          </w:p>
        </w:tc>
        <w:tc>
          <w:tcPr>
            <w:tcW w:w="303" w:type="pct"/>
            <w:vAlign w:val="center"/>
          </w:tcPr>
          <w:p>
            <w:pPr>
              <w:adjustRightInd w:val="0"/>
              <w:snapToGrid w:val="0"/>
              <w:jc w:val="center"/>
              <w:rPr>
                <w:color w:val="auto"/>
                <w:kern w:val="21"/>
              </w:rPr>
            </w:pPr>
            <w:r>
              <w:rPr>
                <w:color w:val="auto"/>
                <w:kern w:val="21"/>
              </w:rPr>
              <w:t>DA00</w:t>
            </w:r>
            <w:r>
              <w:rPr>
                <w:rFonts w:hint="eastAsia"/>
                <w:color w:val="auto"/>
                <w:kern w:val="21"/>
              </w:rPr>
              <w:t>2</w:t>
            </w:r>
          </w:p>
        </w:tc>
        <w:tc>
          <w:tcPr>
            <w:tcW w:w="403" w:type="pct"/>
            <w:vAlign w:val="center"/>
          </w:tcPr>
          <w:p>
            <w:pPr>
              <w:adjustRightInd w:val="0"/>
              <w:snapToGrid w:val="0"/>
              <w:jc w:val="center"/>
              <w:rPr>
                <w:color w:val="auto"/>
                <w:kern w:val="0"/>
              </w:rPr>
            </w:pPr>
            <w:r>
              <w:rPr>
                <w:color w:val="auto"/>
                <w:kern w:val="0"/>
              </w:rPr>
              <w:t>35.267613</w:t>
            </w:r>
          </w:p>
        </w:tc>
        <w:tc>
          <w:tcPr>
            <w:tcW w:w="454" w:type="pct"/>
            <w:vAlign w:val="center"/>
          </w:tcPr>
          <w:p>
            <w:pPr>
              <w:adjustRightInd w:val="0"/>
              <w:snapToGrid w:val="0"/>
              <w:jc w:val="center"/>
              <w:rPr>
                <w:color w:val="auto"/>
                <w:kern w:val="21"/>
              </w:rPr>
            </w:pPr>
            <w:r>
              <w:rPr>
                <w:color w:val="auto"/>
                <w:kern w:val="0"/>
              </w:rPr>
              <w:t>113.708989</w:t>
            </w:r>
          </w:p>
        </w:tc>
        <w:tc>
          <w:tcPr>
            <w:tcW w:w="252" w:type="pct"/>
            <w:vAlign w:val="center"/>
          </w:tcPr>
          <w:p>
            <w:pPr>
              <w:adjustRightInd w:val="0"/>
              <w:snapToGrid w:val="0"/>
              <w:jc w:val="center"/>
              <w:rPr>
                <w:color w:val="auto"/>
                <w:kern w:val="21"/>
              </w:rPr>
            </w:pPr>
            <w:r>
              <w:rPr>
                <w:rFonts w:hint="eastAsia"/>
                <w:color w:val="auto"/>
                <w:kern w:val="21"/>
              </w:rPr>
              <w:t>76</w:t>
            </w:r>
          </w:p>
        </w:tc>
        <w:tc>
          <w:tcPr>
            <w:tcW w:w="201" w:type="pct"/>
            <w:vAlign w:val="center"/>
          </w:tcPr>
          <w:p>
            <w:pPr>
              <w:adjustRightInd w:val="0"/>
              <w:snapToGrid w:val="0"/>
              <w:jc w:val="center"/>
              <w:rPr>
                <w:color w:val="auto"/>
                <w:kern w:val="21"/>
              </w:rPr>
            </w:pPr>
            <w:r>
              <w:rPr>
                <w:rFonts w:hint="eastAsia"/>
                <w:color w:val="auto"/>
                <w:kern w:val="21"/>
              </w:rPr>
              <w:t>15</w:t>
            </w:r>
          </w:p>
        </w:tc>
        <w:tc>
          <w:tcPr>
            <w:tcW w:w="252" w:type="pct"/>
            <w:vAlign w:val="center"/>
          </w:tcPr>
          <w:p>
            <w:pPr>
              <w:adjustRightInd w:val="0"/>
              <w:snapToGrid w:val="0"/>
              <w:jc w:val="center"/>
              <w:rPr>
                <w:color w:val="auto"/>
                <w:kern w:val="21"/>
              </w:rPr>
            </w:pPr>
            <w:r>
              <w:rPr>
                <w:rFonts w:hint="eastAsia"/>
                <w:color w:val="auto"/>
                <w:kern w:val="21"/>
              </w:rPr>
              <w:t>0.5</w:t>
            </w:r>
          </w:p>
        </w:tc>
        <w:tc>
          <w:tcPr>
            <w:tcW w:w="252" w:type="pct"/>
            <w:vAlign w:val="center"/>
          </w:tcPr>
          <w:p>
            <w:pPr>
              <w:adjustRightInd w:val="0"/>
              <w:snapToGrid w:val="0"/>
              <w:jc w:val="center"/>
              <w:rPr>
                <w:color w:val="auto"/>
                <w:kern w:val="21"/>
              </w:rPr>
            </w:pPr>
            <w:r>
              <w:rPr>
                <w:rFonts w:hint="eastAsia"/>
                <w:color w:val="auto"/>
                <w:kern w:val="21"/>
              </w:rPr>
              <w:t>11.41</w:t>
            </w:r>
          </w:p>
        </w:tc>
        <w:tc>
          <w:tcPr>
            <w:tcW w:w="252" w:type="pct"/>
            <w:vAlign w:val="center"/>
          </w:tcPr>
          <w:p>
            <w:pPr>
              <w:adjustRightInd w:val="0"/>
              <w:snapToGrid w:val="0"/>
              <w:jc w:val="center"/>
              <w:rPr>
                <w:color w:val="auto"/>
                <w:kern w:val="21"/>
              </w:rPr>
            </w:pPr>
            <w:r>
              <w:rPr>
                <w:rFonts w:hint="eastAsia"/>
                <w:color w:val="auto"/>
                <w:kern w:val="21"/>
              </w:rPr>
              <w:t>50</w:t>
            </w:r>
          </w:p>
        </w:tc>
        <w:tc>
          <w:tcPr>
            <w:tcW w:w="252" w:type="pct"/>
            <w:vAlign w:val="center"/>
          </w:tcPr>
          <w:p>
            <w:pPr>
              <w:adjustRightInd w:val="0"/>
              <w:snapToGrid w:val="0"/>
              <w:jc w:val="center"/>
              <w:rPr>
                <w:color w:val="auto"/>
                <w:kern w:val="21"/>
              </w:rPr>
            </w:pPr>
            <w:r>
              <w:rPr>
                <w:rFonts w:hint="eastAsia"/>
                <w:bCs/>
                <w:color w:val="auto"/>
                <w:kern w:val="21"/>
              </w:rPr>
              <w:t>7920/2640</w:t>
            </w:r>
          </w:p>
        </w:tc>
        <w:tc>
          <w:tcPr>
            <w:tcW w:w="215" w:type="pct"/>
            <w:vMerge w:val="continue"/>
            <w:vAlign w:val="center"/>
          </w:tcPr>
          <w:p>
            <w:pPr>
              <w:adjustRightInd w:val="0"/>
              <w:snapToGrid w:val="0"/>
              <w:jc w:val="center"/>
              <w:rPr>
                <w:color w:val="auto"/>
                <w:kern w:val="21"/>
              </w:rPr>
            </w:pPr>
          </w:p>
        </w:tc>
        <w:tc>
          <w:tcPr>
            <w:tcW w:w="289" w:type="pct"/>
            <w:vAlign w:val="center"/>
          </w:tcPr>
          <w:p>
            <w:pPr>
              <w:adjustRightInd w:val="0"/>
              <w:snapToGrid w:val="0"/>
              <w:jc w:val="center"/>
              <w:rPr>
                <w:color w:val="auto"/>
                <w:kern w:val="21"/>
              </w:rPr>
            </w:pPr>
            <w:r>
              <w:rPr>
                <w:rFonts w:hint="eastAsia"/>
                <w:bCs/>
                <w:color w:val="auto"/>
                <w:kern w:val="21"/>
              </w:rPr>
              <w:t>0.0378</w:t>
            </w:r>
          </w:p>
        </w:tc>
        <w:tc>
          <w:tcPr>
            <w:tcW w:w="302" w:type="pct"/>
            <w:vAlign w:val="center"/>
          </w:tcPr>
          <w:p>
            <w:pPr>
              <w:adjustRightInd w:val="0"/>
              <w:snapToGrid w:val="0"/>
              <w:jc w:val="center"/>
              <w:rPr>
                <w:color w:val="auto"/>
                <w:kern w:val="21"/>
              </w:rPr>
            </w:pPr>
            <w:r>
              <w:rPr>
                <w:rFonts w:hint="eastAsia"/>
                <w:bCs/>
                <w:color w:val="auto"/>
                <w:kern w:val="21"/>
              </w:rPr>
              <w:t>0.0748</w:t>
            </w:r>
          </w:p>
        </w:tc>
        <w:tc>
          <w:tcPr>
            <w:tcW w:w="302" w:type="pct"/>
            <w:vAlign w:val="center"/>
          </w:tcPr>
          <w:p>
            <w:pPr>
              <w:adjustRightInd w:val="0"/>
              <w:snapToGrid w:val="0"/>
              <w:jc w:val="center"/>
              <w:rPr>
                <w:color w:val="auto"/>
                <w:kern w:val="21"/>
              </w:rPr>
            </w:pPr>
            <w:r>
              <w:rPr>
                <w:rFonts w:hint="eastAsia"/>
                <w:bCs/>
                <w:color w:val="auto"/>
                <w:kern w:val="21"/>
              </w:rPr>
              <w:t>0.2266</w:t>
            </w:r>
          </w:p>
        </w:tc>
        <w:tc>
          <w:tcPr>
            <w:tcW w:w="303"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jc w:val="center"/>
              <w:rPr>
                <w:color w:val="auto"/>
                <w:kern w:val="21"/>
              </w:rPr>
            </w:pPr>
            <w:r>
              <w:rPr>
                <w:rFonts w:hint="eastAsia"/>
                <w:color w:val="auto"/>
                <w:kern w:val="21"/>
              </w:rPr>
              <w:t>/</w:t>
            </w:r>
          </w:p>
        </w:tc>
        <w:tc>
          <w:tcPr>
            <w:tcW w:w="345" w:type="pct"/>
            <w:vAlign w:val="center"/>
          </w:tcPr>
          <w:p>
            <w:pPr>
              <w:adjustRightInd w:val="0"/>
              <w:snapToGrid w:val="0"/>
              <w:jc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 w:type="pct"/>
            <w:vAlign w:val="center"/>
          </w:tcPr>
          <w:p>
            <w:pPr>
              <w:adjustRightInd w:val="0"/>
              <w:snapToGrid w:val="0"/>
              <w:jc w:val="center"/>
              <w:rPr>
                <w:color w:val="auto"/>
                <w:kern w:val="21"/>
              </w:rPr>
            </w:pPr>
            <w:r>
              <w:rPr>
                <w:rFonts w:hint="eastAsia"/>
                <w:color w:val="auto"/>
                <w:kern w:val="21"/>
              </w:rPr>
              <w:t>恶臭排气筒</w:t>
            </w:r>
          </w:p>
        </w:tc>
        <w:tc>
          <w:tcPr>
            <w:tcW w:w="303" w:type="pct"/>
            <w:vAlign w:val="center"/>
          </w:tcPr>
          <w:p>
            <w:pPr>
              <w:adjustRightInd w:val="0"/>
              <w:snapToGrid w:val="0"/>
              <w:jc w:val="center"/>
              <w:rPr>
                <w:color w:val="auto"/>
                <w:kern w:val="21"/>
              </w:rPr>
            </w:pPr>
            <w:r>
              <w:rPr>
                <w:color w:val="auto"/>
                <w:kern w:val="21"/>
              </w:rPr>
              <w:t>DA00</w:t>
            </w:r>
            <w:r>
              <w:rPr>
                <w:rFonts w:hint="eastAsia"/>
                <w:color w:val="auto"/>
                <w:kern w:val="21"/>
              </w:rPr>
              <w:t>3</w:t>
            </w:r>
          </w:p>
        </w:tc>
        <w:tc>
          <w:tcPr>
            <w:tcW w:w="403" w:type="pct"/>
            <w:vAlign w:val="center"/>
          </w:tcPr>
          <w:p>
            <w:pPr>
              <w:adjustRightInd w:val="0"/>
              <w:snapToGrid w:val="0"/>
              <w:jc w:val="center"/>
              <w:rPr>
                <w:color w:val="auto"/>
                <w:kern w:val="0"/>
              </w:rPr>
            </w:pPr>
            <w:r>
              <w:rPr>
                <w:color w:val="auto"/>
                <w:kern w:val="0"/>
              </w:rPr>
              <w:t>35.</w:t>
            </w:r>
            <w:r>
              <w:rPr>
                <w:rFonts w:hint="eastAsia"/>
                <w:color w:val="auto"/>
                <w:kern w:val="0"/>
              </w:rPr>
              <w:t>267833</w:t>
            </w:r>
          </w:p>
        </w:tc>
        <w:tc>
          <w:tcPr>
            <w:tcW w:w="454" w:type="pct"/>
            <w:vAlign w:val="center"/>
          </w:tcPr>
          <w:p>
            <w:pPr>
              <w:adjustRightInd w:val="0"/>
              <w:snapToGrid w:val="0"/>
              <w:jc w:val="center"/>
              <w:rPr>
                <w:color w:val="auto"/>
                <w:kern w:val="0"/>
              </w:rPr>
            </w:pPr>
            <w:r>
              <w:rPr>
                <w:rFonts w:hint="eastAsia"/>
                <w:bCs/>
                <w:color w:val="auto"/>
                <w:kern w:val="0"/>
              </w:rPr>
              <w:t>113.708861</w:t>
            </w:r>
          </w:p>
        </w:tc>
        <w:tc>
          <w:tcPr>
            <w:tcW w:w="252" w:type="pct"/>
            <w:vAlign w:val="center"/>
          </w:tcPr>
          <w:p>
            <w:pPr>
              <w:adjustRightInd w:val="0"/>
              <w:snapToGrid w:val="0"/>
              <w:jc w:val="center"/>
              <w:rPr>
                <w:color w:val="auto"/>
                <w:kern w:val="21"/>
              </w:rPr>
            </w:pPr>
            <w:r>
              <w:rPr>
                <w:rFonts w:hint="eastAsia"/>
                <w:color w:val="auto"/>
                <w:kern w:val="21"/>
              </w:rPr>
              <w:t>76</w:t>
            </w:r>
          </w:p>
        </w:tc>
        <w:tc>
          <w:tcPr>
            <w:tcW w:w="201" w:type="pct"/>
            <w:vAlign w:val="center"/>
          </w:tcPr>
          <w:p>
            <w:pPr>
              <w:adjustRightInd w:val="0"/>
              <w:snapToGrid w:val="0"/>
              <w:jc w:val="center"/>
              <w:rPr>
                <w:color w:val="auto"/>
                <w:kern w:val="21"/>
              </w:rPr>
            </w:pPr>
            <w:r>
              <w:rPr>
                <w:rFonts w:hint="eastAsia"/>
                <w:color w:val="auto"/>
                <w:kern w:val="21"/>
              </w:rPr>
              <w:t>15</w:t>
            </w:r>
          </w:p>
        </w:tc>
        <w:tc>
          <w:tcPr>
            <w:tcW w:w="252" w:type="pct"/>
            <w:vAlign w:val="center"/>
          </w:tcPr>
          <w:p>
            <w:pPr>
              <w:adjustRightInd w:val="0"/>
              <w:snapToGrid w:val="0"/>
              <w:jc w:val="center"/>
              <w:rPr>
                <w:color w:val="auto"/>
                <w:kern w:val="21"/>
              </w:rPr>
            </w:pPr>
            <w:r>
              <w:rPr>
                <w:rFonts w:hint="eastAsia"/>
                <w:color w:val="auto"/>
                <w:kern w:val="21"/>
              </w:rPr>
              <w:t>0.5</w:t>
            </w:r>
          </w:p>
        </w:tc>
        <w:tc>
          <w:tcPr>
            <w:tcW w:w="252" w:type="pct"/>
            <w:vAlign w:val="center"/>
          </w:tcPr>
          <w:p>
            <w:pPr>
              <w:adjustRightInd w:val="0"/>
              <w:snapToGrid w:val="0"/>
              <w:jc w:val="center"/>
              <w:rPr>
                <w:color w:val="auto"/>
                <w:kern w:val="21"/>
              </w:rPr>
            </w:pPr>
            <w:r>
              <w:rPr>
                <w:rFonts w:hint="eastAsia"/>
                <w:color w:val="auto"/>
                <w:kern w:val="21"/>
              </w:rPr>
              <w:t>7.08</w:t>
            </w:r>
          </w:p>
        </w:tc>
        <w:tc>
          <w:tcPr>
            <w:tcW w:w="252" w:type="pct"/>
            <w:vAlign w:val="center"/>
          </w:tcPr>
          <w:p>
            <w:pPr>
              <w:adjustRightInd w:val="0"/>
              <w:snapToGrid w:val="0"/>
              <w:jc w:val="center"/>
              <w:rPr>
                <w:color w:val="auto"/>
                <w:kern w:val="21"/>
              </w:rPr>
            </w:pPr>
            <w:r>
              <w:rPr>
                <w:rFonts w:hint="eastAsia"/>
                <w:color w:val="auto"/>
                <w:kern w:val="21"/>
              </w:rPr>
              <w:t>25</w:t>
            </w:r>
          </w:p>
        </w:tc>
        <w:tc>
          <w:tcPr>
            <w:tcW w:w="252" w:type="pct"/>
            <w:vAlign w:val="center"/>
          </w:tcPr>
          <w:p>
            <w:pPr>
              <w:adjustRightInd w:val="0"/>
              <w:snapToGrid w:val="0"/>
              <w:jc w:val="center"/>
              <w:rPr>
                <w:color w:val="auto"/>
                <w:kern w:val="21"/>
              </w:rPr>
            </w:pPr>
            <w:r>
              <w:rPr>
                <w:rFonts w:hint="eastAsia"/>
                <w:color w:val="auto"/>
                <w:kern w:val="21"/>
              </w:rPr>
              <w:t>7920</w:t>
            </w:r>
          </w:p>
        </w:tc>
        <w:tc>
          <w:tcPr>
            <w:tcW w:w="215" w:type="pct"/>
            <w:vMerge w:val="continue"/>
            <w:vAlign w:val="center"/>
          </w:tcPr>
          <w:p>
            <w:pPr>
              <w:adjustRightInd w:val="0"/>
              <w:snapToGrid w:val="0"/>
              <w:jc w:val="center"/>
              <w:rPr>
                <w:color w:val="auto"/>
                <w:kern w:val="21"/>
              </w:rPr>
            </w:pPr>
          </w:p>
        </w:tc>
        <w:tc>
          <w:tcPr>
            <w:tcW w:w="289"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jc w:val="center"/>
              <w:rPr>
                <w:color w:val="auto"/>
                <w:kern w:val="21"/>
              </w:rPr>
            </w:pPr>
            <w:r>
              <w:rPr>
                <w:rFonts w:hint="eastAsia"/>
                <w:color w:val="auto"/>
                <w:kern w:val="21"/>
              </w:rPr>
              <w:t>/</w:t>
            </w:r>
          </w:p>
        </w:tc>
        <w:tc>
          <w:tcPr>
            <w:tcW w:w="303"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rPr>
                <w:b/>
                <w:color w:val="auto"/>
                <w:kern w:val="21"/>
                <w:u w:val="single"/>
              </w:rPr>
            </w:pPr>
            <w:r>
              <w:rPr>
                <w:rFonts w:hint="eastAsia"/>
                <w:b/>
                <w:color w:val="auto"/>
                <w:kern w:val="21"/>
                <w:u w:val="single"/>
              </w:rPr>
              <w:t>0.0714</w:t>
            </w:r>
          </w:p>
        </w:tc>
        <w:tc>
          <w:tcPr>
            <w:tcW w:w="345" w:type="pct"/>
            <w:vAlign w:val="center"/>
          </w:tcPr>
          <w:p>
            <w:pPr>
              <w:adjustRightInd w:val="0"/>
              <w:snapToGrid w:val="0"/>
              <w:jc w:val="center"/>
              <w:rPr>
                <w:b/>
                <w:color w:val="auto"/>
                <w:kern w:val="21"/>
                <w:u w:val="single"/>
              </w:rPr>
            </w:pPr>
            <w:r>
              <w:rPr>
                <w:rFonts w:hint="eastAsia"/>
                <w:b/>
                <w:color w:val="auto"/>
                <w:kern w:val="21"/>
                <w:u w:val="single"/>
              </w:rPr>
              <w:t>5.117×10</w:t>
            </w:r>
            <w:r>
              <w:rPr>
                <w:rFonts w:hint="eastAsia"/>
                <w:b/>
                <w:color w:val="auto"/>
                <w:kern w:val="21"/>
                <w:u w:val="single"/>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1" w:type="pct"/>
            <w:vAlign w:val="center"/>
          </w:tcPr>
          <w:p>
            <w:pPr>
              <w:adjustRightInd w:val="0"/>
              <w:snapToGrid w:val="0"/>
              <w:rPr>
                <w:color w:val="auto"/>
                <w:kern w:val="21"/>
              </w:rPr>
            </w:pPr>
            <w:r>
              <w:rPr>
                <w:color w:val="auto"/>
                <w:kern w:val="21"/>
              </w:rPr>
              <w:t>除尘器排气筒</w:t>
            </w:r>
          </w:p>
        </w:tc>
        <w:tc>
          <w:tcPr>
            <w:tcW w:w="303" w:type="pct"/>
            <w:vAlign w:val="center"/>
          </w:tcPr>
          <w:p>
            <w:pPr>
              <w:adjustRightInd w:val="0"/>
              <w:snapToGrid w:val="0"/>
              <w:jc w:val="center"/>
              <w:rPr>
                <w:color w:val="auto"/>
                <w:kern w:val="21"/>
              </w:rPr>
            </w:pPr>
            <w:r>
              <w:rPr>
                <w:color w:val="auto"/>
                <w:kern w:val="21"/>
              </w:rPr>
              <w:t>DA</w:t>
            </w:r>
            <w:r>
              <w:rPr>
                <w:rFonts w:hint="eastAsia"/>
                <w:color w:val="auto"/>
                <w:kern w:val="21"/>
              </w:rPr>
              <w:t>004</w:t>
            </w:r>
          </w:p>
        </w:tc>
        <w:tc>
          <w:tcPr>
            <w:tcW w:w="403" w:type="pct"/>
            <w:vAlign w:val="center"/>
          </w:tcPr>
          <w:p>
            <w:pPr>
              <w:jc w:val="center"/>
              <w:rPr>
                <w:color w:val="auto"/>
              </w:rPr>
            </w:pPr>
            <w:r>
              <w:rPr>
                <w:color w:val="auto"/>
              </w:rPr>
              <w:t>35.268207</w:t>
            </w:r>
          </w:p>
        </w:tc>
        <w:tc>
          <w:tcPr>
            <w:tcW w:w="454" w:type="pct"/>
            <w:vAlign w:val="center"/>
          </w:tcPr>
          <w:p>
            <w:pPr>
              <w:jc w:val="center"/>
              <w:rPr>
                <w:color w:val="auto"/>
              </w:rPr>
            </w:pPr>
            <w:r>
              <w:rPr>
                <w:color w:val="auto"/>
              </w:rPr>
              <w:t>113.709028</w:t>
            </w:r>
          </w:p>
        </w:tc>
        <w:tc>
          <w:tcPr>
            <w:tcW w:w="252" w:type="pct"/>
            <w:vAlign w:val="center"/>
          </w:tcPr>
          <w:p>
            <w:pPr>
              <w:adjustRightInd w:val="0"/>
              <w:snapToGrid w:val="0"/>
              <w:jc w:val="center"/>
              <w:rPr>
                <w:color w:val="auto"/>
                <w:kern w:val="21"/>
              </w:rPr>
            </w:pPr>
            <w:r>
              <w:rPr>
                <w:color w:val="auto"/>
                <w:kern w:val="21"/>
              </w:rPr>
              <w:t>76</w:t>
            </w:r>
          </w:p>
        </w:tc>
        <w:tc>
          <w:tcPr>
            <w:tcW w:w="201" w:type="pct"/>
            <w:vAlign w:val="center"/>
          </w:tcPr>
          <w:p>
            <w:pPr>
              <w:adjustRightInd w:val="0"/>
              <w:snapToGrid w:val="0"/>
              <w:jc w:val="center"/>
              <w:rPr>
                <w:color w:val="auto"/>
                <w:kern w:val="21"/>
              </w:rPr>
            </w:pPr>
            <w:r>
              <w:rPr>
                <w:color w:val="auto"/>
                <w:kern w:val="21"/>
              </w:rPr>
              <w:t>15</w:t>
            </w:r>
          </w:p>
        </w:tc>
        <w:tc>
          <w:tcPr>
            <w:tcW w:w="252" w:type="pct"/>
            <w:vAlign w:val="center"/>
          </w:tcPr>
          <w:p>
            <w:pPr>
              <w:adjustRightInd w:val="0"/>
              <w:snapToGrid w:val="0"/>
              <w:jc w:val="center"/>
              <w:rPr>
                <w:color w:val="auto"/>
                <w:kern w:val="21"/>
              </w:rPr>
            </w:pPr>
            <w:r>
              <w:rPr>
                <w:color w:val="auto"/>
                <w:kern w:val="21"/>
              </w:rPr>
              <w:t>0.5</w:t>
            </w:r>
          </w:p>
        </w:tc>
        <w:tc>
          <w:tcPr>
            <w:tcW w:w="252" w:type="pct"/>
            <w:vAlign w:val="center"/>
          </w:tcPr>
          <w:p>
            <w:pPr>
              <w:adjustRightInd w:val="0"/>
              <w:snapToGrid w:val="0"/>
              <w:jc w:val="center"/>
              <w:rPr>
                <w:color w:val="auto"/>
                <w:kern w:val="21"/>
              </w:rPr>
            </w:pPr>
            <w:r>
              <w:rPr>
                <w:rFonts w:hint="eastAsia"/>
                <w:color w:val="auto"/>
                <w:kern w:val="21"/>
              </w:rPr>
              <w:t>7.08</w:t>
            </w:r>
          </w:p>
        </w:tc>
        <w:tc>
          <w:tcPr>
            <w:tcW w:w="252" w:type="pct"/>
            <w:vAlign w:val="center"/>
          </w:tcPr>
          <w:p>
            <w:pPr>
              <w:adjustRightInd w:val="0"/>
              <w:snapToGrid w:val="0"/>
              <w:jc w:val="center"/>
              <w:rPr>
                <w:color w:val="auto"/>
                <w:kern w:val="21"/>
              </w:rPr>
            </w:pPr>
            <w:r>
              <w:rPr>
                <w:rFonts w:hint="eastAsia"/>
                <w:color w:val="auto"/>
                <w:kern w:val="21"/>
              </w:rPr>
              <w:t>25</w:t>
            </w:r>
          </w:p>
        </w:tc>
        <w:tc>
          <w:tcPr>
            <w:tcW w:w="252" w:type="pct"/>
            <w:vAlign w:val="center"/>
          </w:tcPr>
          <w:p>
            <w:pPr>
              <w:adjustRightInd w:val="0"/>
              <w:snapToGrid w:val="0"/>
              <w:jc w:val="center"/>
              <w:rPr>
                <w:color w:val="auto"/>
                <w:kern w:val="21"/>
              </w:rPr>
            </w:pPr>
            <w:r>
              <w:rPr>
                <w:rFonts w:hint="eastAsia"/>
                <w:b/>
                <w:color w:val="auto"/>
                <w:kern w:val="21"/>
                <w:u w:val="single"/>
              </w:rPr>
              <w:t>3300</w:t>
            </w:r>
          </w:p>
        </w:tc>
        <w:tc>
          <w:tcPr>
            <w:tcW w:w="215" w:type="pct"/>
            <w:vMerge w:val="continue"/>
            <w:vAlign w:val="center"/>
          </w:tcPr>
          <w:p>
            <w:pPr>
              <w:adjustRightInd w:val="0"/>
              <w:snapToGrid w:val="0"/>
              <w:jc w:val="center"/>
              <w:rPr>
                <w:color w:val="auto"/>
                <w:kern w:val="21"/>
              </w:rPr>
            </w:pPr>
          </w:p>
        </w:tc>
        <w:tc>
          <w:tcPr>
            <w:tcW w:w="289" w:type="pct"/>
            <w:vAlign w:val="center"/>
          </w:tcPr>
          <w:p>
            <w:pPr>
              <w:adjustRightInd w:val="0"/>
              <w:snapToGrid w:val="0"/>
              <w:jc w:val="center"/>
              <w:rPr>
                <w:b/>
                <w:color w:val="auto"/>
                <w:kern w:val="21"/>
                <w:u w:val="single"/>
              </w:rPr>
            </w:pPr>
            <w:r>
              <w:rPr>
                <w:rFonts w:hint="eastAsia"/>
                <w:b/>
                <w:color w:val="auto"/>
                <w:kern w:val="21"/>
                <w:u w:val="single"/>
              </w:rPr>
              <w:t>0.221</w:t>
            </w:r>
          </w:p>
        </w:tc>
        <w:tc>
          <w:tcPr>
            <w:tcW w:w="302" w:type="pct"/>
            <w:vAlign w:val="center"/>
          </w:tcPr>
          <w:p>
            <w:pPr>
              <w:adjustRightInd w:val="0"/>
              <w:snapToGrid w:val="0"/>
              <w:jc w:val="center"/>
              <w:rPr>
                <w:color w:val="auto"/>
                <w:kern w:val="21"/>
              </w:rPr>
            </w:pPr>
            <w:r>
              <w:rPr>
                <w:rFonts w:hint="eastAsia"/>
                <w:color w:val="auto"/>
                <w:kern w:val="21"/>
              </w:rPr>
              <w:t>/</w:t>
            </w:r>
          </w:p>
        </w:tc>
        <w:tc>
          <w:tcPr>
            <w:tcW w:w="302" w:type="pct"/>
            <w:vAlign w:val="center"/>
          </w:tcPr>
          <w:p>
            <w:pPr>
              <w:adjustRightInd w:val="0"/>
              <w:snapToGrid w:val="0"/>
              <w:jc w:val="center"/>
              <w:rPr>
                <w:color w:val="auto"/>
                <w:kern w:val="21"/>
              </w:rPr>
            </w:pPr>
            <w:r>
              <w:rPr>
                <w:color w:val="auto"/>
                <w:kern w:val="21"/>
              </w:rPr>
              <w:t>/</w:t>
            </w:r>
          </w:p>
        </w:tc>
        <w:tc>
          <w:tcPr>
            <w:tcW w:w="303" w:type="pct"/>
            <w:vAlign w:val="center"/>
          </w:tcPr>
          <w:p>
            <w:pPr>
              <w:adjustRightInd w:val="0"/>
              <w:snapToGrid w:val="0"/>
              <w:jc w:val="center"/>
              <w:rPr>
                <w:color w:val="auto"/>
                <w:kern w:val="21"/>
              </w:rPr>
            </w:pPr>
            <w:r>
              <w:rPr>
                <w:color w:val="auto"/>
                <w:kern w:val="21"/>
              </w:rPr>
              <w:t>/</w:t>
            </w:r>
          </w:p>
        </w:tc>
        <w:tc>
          <w:tcPr>
            <w:tcW w:w="302" w:type="pct"/>
            <w:vAlign w:val="center"/>
          </w:tcPr>
          <w:p>
            <w:pPr>
              <w:adjustRightInd w:val="0"/>
              <w:snapToGrid w:val="0"/>
              <w:jc w:val="center"/>
              <w:rPr>
                <w:color w:val="auto"/>
                <w:kern w:val="21"/>
              </w:rPr>
            </w:pPr>
            <w:r>
              <w:rPr>
                <w:rFonts w:hint="eastAsia"/>
                <w:color w:val="auto"/>
                <w:kern w:val="21"/>
              </w:rPr>
              <w:t>/</w:t>
            </w:r>
          </w:p>
        </w:tc>
        <w:tc>
          <w:tcPr>
            <w:tcW w:w="345" w:type="pct"/>
            <w:vAlign w:val="center"/>
          </w:tcPr>
          <w:p>
            <w:pPr>
              <w:adjustRightInd w:val="0"/>
              <w:snapToGrid w:val="0"/>
              <w:jc w:val="center"/>
              <w:rPr>
                <w:color w:val="auto"/>
                <w:kern w:val="21"/>
              </w:rPr>
            </w:pPr>
            <w:r>
              <w:rPr>
                <w:rFonts w:hint="eastAsia"/>
                <w:color w:val="auto"/>
                <w:kern w:val="21"/>
              </w:rPr>
              <w:t>/</w:t>
            </w:r>
          </w:p>
        </w:tc>
      </w:tr>
    </w:tbl>
    <w:p>
      <w:pPr>
        <w:ind w:firstLine="960" w:firstLineChars="400"/>
        <w:jc w:val="center"/>
        <w:rPr>
          <w:rFonts w:eastAsia="黑体"/>
          <w:color w:val="auto"/>
          <w:szCs w:val="24"/>
        </w:rPr>
      </w:pPr>
      <w:r>
        <w:rPr>
          <w:rFonts w:eastAsia="黑体"/>
          <w:color w:val="auto"/>
          <w:sz w:val="24"/>
          <w:szCs w:val="24"/>
        </w:rPr>
        <w:t>表5.1-7     本项目面源源强及有关参数一览表</w:t>
      </w:r>
    </w:p>
    <w:tbl>
      <w:tblPr>
        <w:tblStyle w:val="83"/>
        <w:tblW w:w="4997"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0" w:type="dxa"/>
          <w:bottom w:w="0" w:type="dxa"/>
          <w:right w:w="0" w:type="dxa"/>
        </w:tblCellMar>
      </w:tblPr>
      <w:tblGrid>
        <w:gridCol w:w="989"/>
        <w:gridCol w:w="909"/>
        <w:gridCol w:w="1006"/>
        <w:gridCol w:w="1073"/>
        <w:gridCol w:w="1132"/>
        <w:gridCol w:w="1135"/>
        <w:gridCol w:w="1132"/>
        <w:gridCol w:w="1984"/>
        <w:gridCol w:w="1560"/>
        <w:gridCol w:w="1163"/>
        <w:gridCol w:w="981"/>
        <w:gridCol w:w="90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13" w:hRule="atLeast"/>
          <w:jc w:val="center"/>
        </w:trPr>
        <w:tc>
          <w:tcPr>
            <w:tcW w:w="354" w:type="pct"/>
            <w:vMerge w:val="restart"/>
            <w:vAlign w:val="center"/>
          </w:tcPr>
          <w:p>
            <w:pPr>
              <w:jc w:val="center"/>
              <w:rPr>
                <w:b/>
                <w:color w:val="auto"/>
                <w:szCs w:val="20"/>
              </w:rPr>
            </w:pPr>
            <w:r>
              <w:rPr>
                <w:b/>
                <w:color w:val="auto"/>
                <w:szCs w:val="20"/>
              </w:rPr>
              <w:t>面源名称</w:t>
            </w:r>
          </w:p>
        </w:tc>
        <w:tc>
          <w:tcPr>
            <w:tcW w:w="325" w:type="pct"/>
            <w:vMerge w:val="restart"/>
            <w:vAlign w:val="center"/>
          </w:tcPr>
          <w:p>
            <w:pPr>
              <w:jc w:val="center"/>
              <w:rPr>
                <w:b/>
                <w:color w:val="auto"/>
                <w:szCs w:val="20"/>
              </w:rPr>
            </w:pPr>
            <w:r>
              <w:rPr>
                <w:b/>
                <w:color w:val="auto"/>
                <w:szCs w:val="20"/>
              </w:rPr>
              <w:t>X坐标</w:t>
            </w:r>
            <w:r>
              <w:rPr>
                <w:rFonts w:hint="eastAsia"/>
                <w:b/>
                <w:color w:val="auto"/>
                <w:szCs w:val="20"/>
              </w:rPr>
              <w:t>（m）</w:t>
            </w:r>
          </w:p>
        </w:tc>
        <w:tc>
          <w:tcPr>
            <w:tcW w:w="360" w:type="pct"/>
            <w:vMerge w:val="restart"/>
            <w:vAlign w:val="center"/>
          </w:tcPr>
          <w:p>
            <w:pPr>
              <w:jc w:val="center"/>
              <w:rPr>
                <w:b/>
                <w:color w:val="auto"/>
                <w:szCs w:val="20"/>
              </w:rPr>
            </w:pPr>
            <w:r>
              <w:rPr>
                <w:b/>
                <w:color w:val="auto"/>
                <w:szCs w:val="20"/>
              </w:rPr>
              <w:t>Y坐标</w:t>
            </w:r>
            <w:r>
              <w:rPr>
                <w:rFonts w:hint="eastAsia"/>
                <w:b/>
                <w:color w:val="auto"/>
                <w:szCs w:val="20"/>
              </w:rPr>
              <w:t>（m）</w:t>
            </w:r>
          </w:p>
        </w:tc>
        <w:tc>
          <w:tcPr>
            <w:tcW w:w="384" w:type="pct"/>
            <w:vMerge w:val="restart"/>
            <w:vAlign w:val="center"/>
          </w:tcPr>
          <w:p>
            <w:pPr>
              <w:jc w:val="center"/>
              <w:rPr>
                <w:b/>
                <w:color w:val="auto"/>
                <w:szCs w:val="20"/>
              </w:rPr>
            </w:pPr>
            <w:r>
              <w:rPr>
                <w:b/>
                <w:color w:val="auto"/>
                <w:szCs w:val="20"/>
              </w:rPr>
              <w:t>海拔高度</w:t>
            </w:r>
            <w:r>
              <w:rPr>
                <w:rFonts w:hint="eastAsia"/>
                <w:b/>
                <w:color w:val="auto"/>
                <w:szCs w:val="20"/>
              </w:rPr>
              <w:t>（m）</w:t>
            </w:r>
          </w:p>
        </w:tc>
        <w:tc>
          <w:tcPr>
            <w:tcW w:w="405" w:type="pct"/>
            <w:vMerge w:val="restart"/>
            <w:vAlign w:val="center"/>
          </w:tcPr>
          <w:p>
            <w:pPr>
              <w:jc w:val="center"/>
              <w:rPr>
                <w:b/>
                <w:color w:val="auto"/>
                <w:szCs w:val="20"/>
              </w:rPr>
            </w:pPr>
            <w:r>
              <w:rPr>
                <w:b/>
                <w:color w:val="auto"/>
                <w:szCs w:val="20"/>
              </w:rPr>
              <w:t>面源长度</w:t>
            </w:r>
            <w:r>
              <w:rPr>
                <w:rFonts w:hint="eastAsia"/>
                <w:b/>
                <w:color w:val="auto"/>
                <w:szCs w:val="20"/>
              </w:rPr>
              <w:t>（m）</w:t>
            </w:r>
          </w:p>
        </w:tc>
        <w:tc>
          <w:tcPr>
            <w:tcW w:w="406" w:type="pct"/>
            <w:vMerge w:val="restart"/>
            <w:vAlign w:val="center"/>
          </w:tcPr>
          <w:p>
            <w:pPr>
              <w:jc w:val="center"/>
              <w:rPr>
                <w:b/>
                <w:color w:val="auto"/>
                <w:szCs w:val="20"/>
              </w:rPr>
            </w:pPr>
            <w:r>
              <w:rPr>
                <w:b/>
                <w:color w:val="auto"/>
                <w:szCs w:val="20"/>
              </w:rPr>
              <w:t>面源宽度</w:t>
            </w:r>
            <w:r>
              <w:rPr>
                <w:rFonts w:hint="eastAsia"/>
                <w:b/>
                <w:color w:val="auto"/>
                <w:szCs w:val="20"/>
              </w:rPr>
              <w:t>（m）</w:t>
            </w:r>
          </w:p>
        </w:tc>
        <w:tc>
          <w:tcPr>
            <w:tcW w:w="405" w:type="pct"/>
            <w:vMerge w:val="restart"/>
            <w:vAlign w:val="center"/>
          </w:tcPr>
          <w:p>
            <w:pPr>
              <w:jc w:val="center"/>
              <w:rPr>
                <w:b/>
                <w:color w:val="auto"/>
                <w:szCs w:val="20"/>
              </w:rPr>
            </w:pPr>
            <w:r>
              <w:rPr>
                <w:b/>
                <w:color w:val="auto"/>
                <w:szCs w:val="20"/>
              </w:rPr>
              <w:t>与正北夹角</w:t>
            </w:r>
            <w:r>
              <w:rPr>
                <w:rFonts w:hint="eastAsia"/>
                <w:b/>
                <w:color w:val="auto"/>
                <w:szCs w:val="20"/>
              </w:rPr>
              <w:t>（°）</w:t>
            </w:r>
          </w:p>
        </w:tc>
        <w:tc>
          <w:tcPr>
            <w:tcW w:w="710" w:type="pct"/>
            <w:vMerge w:val="restart"/>
            <w:vAlign w:val="center"/>
          </w:tcPr>
          <w:p>
            <w:pPr>
              <w:jc w:val="center"/>
              <w:rPr>
                <w:b/>
                <w:color w:val="auto"/>
                <w:szCs w:val="20"/>
              </w:rPr>
            </w:pPr>
            <w:r>
              <w:rPr>
                <w:b/>
                <w:color w:val="auto"/>
                <w:szCs w:val="20"/>
              </w:rPr>
              <w:t>面源初始排放高度</w:t>
            </w:r>
            <w:r>
              <w:rPr>
                <w:rFonts w:hint="eastAsia"/>
                <w:b/>
                <w:color w:val="auto"/>
                <w:szCs w:val="20"/>
              </w:rPr>
              <w:t>（m）</w:t>
            </w:r>
          </w:p>
        </w:tc>
        <w:tc>
          <w:tcPr>
            <w:tcW w:w="558" w:type="pct"/>
            <w:vMerge w:val="restart"/>
            <w:vAlign w:val="center"/>
          </w:tcPr>
          <w:p>
            <w:pPr>
              <w:jc w:val="center"/>
              <w:rPr>
                <w:b/>
                <w:color w:val="auto"/>
                <w:szCs w:val="20"/>
              </w:rPr>
            </w:pPr>
            <w:r>
              <w:rPr>
                <w:b/>
                <w:color w:val="auto"/>
                <w:szCs w:val="20"/>
              </w:rPr>
              <w:t>年排放小时数（h）</w:t>
            </w:r>
          </w:p>
        </w:tc>
        <w:tc>
          <w:tcPr>
            <w:tcW w:w="416" w:type="pct"/>
            <w:vMerge w:val="restart"/>
            <w:vAlign w:val="center"/>
          </w:tcPr>
          <w:p>
            <w:pPr>
              <w:jc w:val="center"/>
              <w:rPr>
                <w:b/>
                <w:color w:val="auto"/>
                <w:szCs w:val="20"/>
              </w:rPr>
            </w:pPr>
            <w:r>
              <w:rPr>
                <w:b/>
                <w:color w:val="auto"/>
                <w:szCs w:val="20"/>
              </w:rPr>
              <w:t>排放工况</w:t>
            </w:r>
          </w:p>
        </w:tc>
        <w:tc>
          <w:tcPr>
            <w:tcW w:w="676" w:type="pct"/>
            <w:gridSpan w:val="2"/>
            <w:vAlign w:val="center"/>
          </w:tcPr>
          <w:p>
            <w:pPr>
              <w:jc w:val="center"/>
              <w:rPr>
                <w:b/>
                <w:color w:val="auto"/>
                <w:szCs w:val="20"/>
              </w:rPr>
            </w:pPr>
            <w:r>
              <w:rPr>
                <w:b/>
                <w:color w:val="auto"/>
                <w:szCs w:val="20"/>
              </w:rPr>
              <w:t>污染源</w:t>
            </w:r>
            <w:r>
              <w:rPr>
                <w:rFonts w:hint="eastAsia"/>
                <w:b/>
                <w:color w:val="auto"/>
                <w:szCs w:val="20"/>
              </w:rPr>
              <w:t>（t/a）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22" w:hRule="atLeast"/>
          <w:jc w:val="center"/>
        </w:trPr>
        <w:tc>
          <w:tcPr>
            <w:tcW w:w="354" w:type="pct"/>
            <w:vMerge w:val="continue"/>
            <w:vAlign w:val="center"/>
          </w:tcPr>
          <w:p>
            <w:pPr>
              <w:jc w:val="center"/>
              <w:rPr>
                <w:b/>
                <w:color w:val="auto"/>
                <w:szCs w:val="20"/>
              </w:rPr>
            </w:pPr>
          </w:p>
        </w:tc>
        <w:tc>
          <w:tcPr>
            <w:tcW w:w="325" w:type="pct"/>
            <w:vMerge w:val="continue"/>
            <w:vAlign w:val="center"/>
          </w:tcPr>
          <w:p>
            <w:pPr>
              <w:jc w:val="center"/>
              <w:rPr>
                <w:b/>
                <w:color w:val="auto"/>
                <w:szCs w:val="20"/>
              </w:rPr>
            </w:pPr>
          </w:p>
        </w:tc>
        <w:tc>
          <w:tcPr>
            <w:tcW w:w="360" w:type="pct"/>
            <w:vMerge w:val="continue"/>
            <w:vAlign w:val="center"/>
          </w:tcPr>
          <w:p>
            <w:pPr>
              <w:jc w:val="center"/>
              <w:rPr>
                <w:b/>
                <w:color w:val="auto"/>
                <w:szCs w:val="20"/>
              </w:rPr>
            </w:pPr>
          </w:p>
        </w:tc>
        <w:tc>
          <w:tcPr>
            <w:tcW w:w="384" w:type="pct"/>
            <w:vMerge w:val="continue"/>
            <w:vAlign w:val="center"/>
          </w:tcPr>
          <w:p>
            <w:pPr>
              <w:jc w:val="center"/>
              <w:rPr>
                <w:b/>
                <w:color w:val="auto"/>
                <w:szCs w:val="20"/>
              </w:rPr>
            </w:pPr>
          </w:p>
        </w:tc>
        <w:tc>
          <w:tcPr>
            <w:tcW w:w="405" w:type="pct"/>
            <w:vMerge w:val="continue"/>
            <w:vAlign w:val="center"/>
          </w:tcPr>
          <w:p>
            <w:pPr>
              <w:jc w:val="center"/>
              <w:rPr>
                <w:b/>
                <w:color w:val="auto"/>
                <w:szCs w:val="20"/>
                <w:vertAlign w:val="subscript"/>
              </w:rPr>
            </w:pPr>
          </w:p>
        </w:tc>
        <w:tc>
          <w:tcPr>
            <w:tcW w:w="406" w:type="pct"/>
            <w:vMerge w:val="continue"/>
            <w:vAlign w:val="center"/>
          </w:tcPr>
          <w:p>
            <w:pPr>
              <w:jc w:val="center"/>
              <w:rPr>
                <w:b/>
                <w:color w:val="auto"/>
                <w:szCs w:val="20"/>
                <w:vertAlign w:val="subscript"/>
              </w:rPr>
            </w:pPr>
          </w:p>
        </w:tc>
        <w:tc>
          <w:tcPr>
            <w:tcW w:w="405" w:type="pct"/>
            <w:vMerge w:val="continue"/>
            <w:vAlign w:val="center"/>
          </w:tcPr>
          <w:p>
            <w:pPr>
              <w:jc w:val="center"/>
              <w:rPr>
                <w:b/>
                <w:color w:val="auto"/>
                <w:szCs w:val="20"/>
              </w:rPr>
            </w:pPr>
          </w:p>
        </w:tc>
        <w:tc>
          <w:tcPr>
            <w:tcW w:w="710" w:type="pct"/>
            <w:vMerge w:val="continue"/>
            <w:vAlign w:val="center"/>
          </w:tcPr>
          <w:p>
            <w:pPr>
              <w:jc w:val="center"/>
              <w:rPr>
                <w:b/>
                <w:color w:val="auto"/>
                <w:szCs w:val="20"/>
              </w:rPr>
            </w:pPr>
          </w:p>
        </w:tc>
        <w:tc>
          <w:tcPr>
            <w:tcW w:w="558" w:type="pct"/>
            <w:vMerge w:val="continue"/>
            <w:vAlign w:val="center"/>
          </w:tcPr>
          <w:p>
            <w:pPr>
              <w:jc w:val="center"/>
              <w:rPr>
                <w:b/>
                <w:color w:val="auto"/>
                <w:szCs w:val="20"/>
              </w:rPr>
            </w:pPr>
          </w:p>
        </w:tc>
        <w:tc>
          <w:tcPr>
            <w:tcW w:w="416" w:type="pct"/>
            <w:vMerge w:val="continue"/>
            <w:vAlign w:val="center"/>
          </w:tcPr>
          <w:p>
            <w:pPr>
              <w:jc w:val="center"/>
              <w:rPr>
                <w:b/>
                <w:color w:val="auto"/>
                <w:szCs w:val="20"/>
              </w:rPr>
            </w:pPr>
          </w:p>
        </w:tc>
        <w:tc>
          <w:tcPr>
            <w:tcW w:w="351" w:type="pct"/>
            <w:vAlign w:val="center"/>
          </w:tcPr>
          <w:p>
            <w:pPr>
              <w:jc w:val="center"/>
              <w:rPr>
                <w:b/>
                <w:color w:val="auto"/>
                <w:szCs w:val="20"/>
              </w:rPr>
            </w:pPr>
            <w:r>
              <w:rPr>
                <w:b/>
                <w:color w:val="auto"/>
                <w:szCs w:val="20"/>
              </w:rPr>
              <w:t>颗粒物</w:t>
            </w:r>
          </w:p>
        </w:tc>
        <w:tc>
          <w:tcPr>
            <w:tcW w:w="325" w:type="pct"/>
            <w:vAlign w:val="center"/>
          </w:tcPr>
          <w:p>
            <w:pPr>
              <w:jc w:val="center"/>
              <w:rPr>
                <w:b/>
                <w:color w:val="auto"/>
                <w:szCs w:val="20"/>
              </w:rPr>
            </w:pPr>
            <w:r>
              <w:rPr>
                <w:b/>
                <w:color w:val="auto"/>
                <w:szCs w:val="20"/>
              </w:rPr>
              <w:t>氯化氢</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82" w:hRule="atLeast"/>
          <w:jc w:val="center"/>
        </w:trPr>
        <w:tc>
          <w:tcPr>
            <w:tcW w:w="354" w:type="pct"/>
            <w:vAlign w:val="center"/>
          </w:tcPr>
          <w:p>
            <w:pPr>
              <w:contextualSpacing/>
              <w:jc w:val="center"/>
              <w:textAlignment w:val="baseline"/>
              <w:rPr>
                <w:color w:val="auto"/>
                <w:kern w:val="0"/>
              </w:rPr>
            </w:pPr>
            <w:r>
              <w:rPr>
                <w:color w:val="auto"/>
                <w:kern w:val="0"/>
              </w:rPr>
              <w:t>北车间</w:t>
            </w:r>
          </w:p>
        </w:tc>
        <w:tc>
          <w:tcPr>
            <w:tcW w:w="325" w:type="pct"/>
            <w:vAlign w:val="center"/>
          </w:tcPr>
          <w:p>
            <w:pPr>
              <w:jc w:val="center"/>
              <w:rPr>
                <w:color w:val="auto"/>
              </w:rPr>
            </w:pPr>
            <w:r>
              <w:rPr>
                <w:color w:val="auto"/>
              </w:rPr>
              <w:t>35.267828</w:t>
            </w:r>
          </w:p>
        </w:tc>
        <w:tc>
          <w:tcPr>
            <w:tcW w:w="360" w:type="pct"/>
            <w:vAlign w:val="center"/>
          </w:tcPr>
          <w:p>
            <w:pPr>
              <w:jc w:val="center"/>
              <w:rPr>
                <w:color w:val="auto"/>
              </w:rPr>
            </w:pPr>
            <w:r>
              <w:rPr>
                <w:color w:val="auto"/>
              </w:rPr>
              <w:t>113.709649</w:t>
            </w:r>
          </w:p>
        </w:tc>
        <w:tc>
          <w:tcPr>
            <w:tcW w:w="384" w:type="pct"/>
            <w:vAlign w:val="center"/>
          </w:tcPr>
          <w:p>
            <w:pPr>
              <w:contextualSpacing/>
              <w:jc w:val="center"/>
              <w:textAlignment w:val="baseline"/>
              <w:rPr>
                <w:color w:val="auto"/>
                <w:kern w:val="0"/>
              </w:rPr>
            </w:pPr>
            <w:r>
              <w:rPr>
                <w:color w:val="auto"/>
                <w:kern w:val="0"/>
              </w:rPr>
              <w:t>76</w:t>
            </w:r>
          </w:p>
        </w:tc>
        <w:tc>
          <w:tcPr>
            <w:tcW w:w="405" w:type="pct"/>
            <w:vAlign w:val="center"/>
          </w:tcPr>
          <w:p>
            <w:pPr>
              <w:contextualSpacing/>
              <w:jc w:val="center"/>
              <w:textAlignment w:val="baseline"/>
              <w:rPr>
                <w:color w:val="auto"/>
                <w:kern w:val="0"/>
              </w:rPr>
            </w:pPr>
            <w:r>
              <w:rPr>
                <w:color w:val="auto"/>
                <w:kern w:val="0"/>
              </w:rPr>
              <w:t>126</w:t>
            </w:r>
          </w:p>
        </w:tc>
        <w:tc>
          <w:tcPr>
            <w:tcW w:w="406" w:type="pct"/>
            <w:vAlign w:val="center"/>
          </w:tcPr>
          <w:p>
            <w:pPr>
              <w:contextualSpacing/>
              <w:jc w:val="center"/>
              <w:textAlignment w:val="baseline"/>
              <w:rPr>
                <w:color w:val="auto"/>
                <w:kern w:val="0"/>
              </w:rPr>
            </w:pPr>
            <w:r>
              <w:rPr>
                <w:color w:val="auto"/>
                <w:kern w:val="0"/>
              </w:rPr>
              <w:t>100</w:t>
            </w:r>
          </w:p>
        </w:tc>
        <w:tc>
          <w:tcPr>
            <w:tcW w:w="405" w:type="pct"/>
            <w:vAlign w:val="center"/>
          </w:tcPr>
          <w:p>
            <w:pPr>
              <w:contextualSpacing/>
              <w:jc w:val="center"/>
              <w:textAlignment w:val="baseline"/>
              <w:rPr>
                <w:color w:val="auto"/>
                <w:kern w:val="0"/>
              </w:rPr>
            </w:pPr>
            <w:r>
              <w:rPr>
                <w:rFonts w:hint="eastAsia"/>
                <w:color w:val="auto"/>
                <w:kern w:val="0"/>
              </w:rPr>
              <w:t>81.6</w:t>
            </w:r>
          </w:p>
        </w:tc>
        <w:tc>
          <w:tcPr>
            <w:tcW w:w="710" w:type="pct"/>
            <w:vAlign w:val="center"/>
          </w:tcPr>
          <w:p>
            <w:pPr>
              <w:contextualSpacing/>
              <w:jc w:val="center"/>
              <w:textAlignment w:val="baseline"/>
              <w:rPr>
                <w:color w:val="auto"/>
                <w:kern w:val="0"/>
              </w:rPr>
            </w:pPr>
            <w:r>
              <w:rPr>
                <w:color w:val="auto"/>
                <w:kern w:val="0"/>
              </w:rPr>
              <w:t>12</w:t>
            </w:r>
          </w:p>
        </w:tc>
        <w:tc>
          <w:tcPr>
            <w:tcW w:w="558" w:type="pct"/>
            <w:vAlign w:val="center"/>
          </w:tcPr>
          <w:p>
            <w:pPr>
              <w:contextualSpacing/>
              <w:jc w:val="center"/>
              <w:textAlignment w:val="baseline"/>
              <w:rPr>
                <w:color w:val="auto"/>
                <w:kern w:val="0"/>
              </w:rPr>
            </w:pPr>
            <w:r>
              <w:rPr>
                <w:rFonts w:hint="eastAsia"/>
                <w:color w:val="auto"/>
                <w:kern w:val="0"/>
              </w:rPr>
              <w:t>7920</w:t>
            </w:r>
          </w:p>
        </w:tc>
        <w:tc>
          <w:tcPr>
            <w:tcW w:w="416" w:type="pct"/>
            <w:vMerge w:val="restart"/>
            <w:vAlign w:val="center"/>
          </w:tcPr>
          <w:p>
            <w:pPr>
              <w:contextualSpacing/>
              <w:jc w:val="center"/>
              <w:textAlignment w:val="baseline"/>
              <w:rPr>
                <w:color w:val="auto"/>
                <w:kern w:val="0"/>
              </w:rPr>
            </w:pPr>
            <w:r>
              <w:rPr>
                <w:color w:val="auto"/>
                <w:kern w:val="0"/>
              </w:rPr>
              <w:t>正常</w:t>
            </w:r>
          </w:p>
        </w:tc>
        <w:tc>
          <w:tcPr>
            <w:tcW w:w="351" w:type="pct"/>
            <w:vAlign w:val="center"/>
          </w:tcPr>
          <w:p>
            <w:pPr>
              <w:contextualSpacing/>
              <w:jc w:val="center"/>
              <w:textAlignment w:val="baseline"/>
              <w:rPr>
                <w:color w:val="auto"/>
                <w:kern w:val="0"/>
              </w:rPr>
            </w:pPr>
            <w:r>
              <w:rPr>
                <w:rFonts w:hint="eastAsia"/>
                <w:color w:val="auto"/>
                <w:kern w:val="0"/>
              </w:rPr>
              <w:t>/</w:t>
            </w:r>
          </w:p>
        </w:tc>
        <w:tc>
          <w:tcPr>
            <w:tcW w:w="325" w:type="pct"/>
            <w:vAlign w:val="center"/>
          </w:tcPr>
          <w:p>
            <w:pPr>
              <w:contextualSpacing/>
              <w:jc w:val="center"/>
              <w:textAlignment w:val="baseline"/>
              <w:rPr>
                <w:color w:val="auto"/>
                <w:kern w:val="0"/>
              </w:rPr>
            </w:pPr>
            <w:r>
              <w:rPr>
                <w:rFonts w:hint="eastAsia"/>
                <w:color w:val="auto"/>
                <w:kern w:val="0"/>
              </w:rPr>
              <w:t>0.268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82" w:hRule="atLeast"/>
          <w:jc w:val="center"/>
        </w:trPr>
        <w:tc>
          <w:tcPr>
            <w:tcW w:w="354" w:type="pct"/>
            <w:vAlign w:val="center"/>
          </w:tcPr>
          <w:p>
            <w:pPr>
              <w:contextualSpacing/>
              <w:jc w:val="center"/>
              <w:textAlignment w:val="baseline"/>
              <w:rPr>
                <w:color w:val="auto"/>
                <w:kern w:val="0"/>
              </w:rPr>
            </w:pPr>
            <w:r>
              <w:rPr>
                <w:color w:val="auto"/>
                <w:kern w:val="0"/>
              </w:rPr>
              <w:t>南车间</w:t>
            </w:r>
          </w:p>
        </w:tc>
        <w:tc>
          <w:tcPr>
            <w:tcW w:w="325" w:type="pct"/>
            <w:vAlign w:val="center"/>
          </w:tcPr>
          <w:p>
            <w:pPr>
              <w:jc w:val="center"/>
              <w:rPr>
                <w:color w:val="auto"/>
              </w:rPr>
            </w:pPr>
            <w:r>
              <w:rPr>
                <w:color w:val="auto"/>
              </w:rPr>
              <w:t>35.266077</w:t>
            </w:r>
          </w:p>
        </w:tc>
        <w:tc>
          <w:tcPr>
            <w:tcW w:w="360" w:type="pct"/>
            <w:vAlign w:val="center"/>
          </w:tcPr>
          <w:p>
            <w:pPr>
              <w:jc w:val="center"/>
              <w:rPr>
                <w:color w:val="auto"/>
              </w:rPr>
            </w:pPr>
            <w:r>
              <w:rPr>
                <w:color w:val="auto"/>
              </w:rPr>
              <w:t>113.709971</w:t>
            </w:r>
          </w:p>
        </w:tc>
        <w:tc>
          <w:tcPr>
            <w:tcW w:w="384" w:type="pct"/>
            <w:vAlign w:val="center"/>
          </w:tcPr>
          <w:p>
            <w:pPr>
              <w:contextualSpacing/>
              <w:jc w:val="center"/>
              <w:textAlignment w:val="baseline"/>
              <w:rPr>
                <w:color w:val="auto"/>
                <w:kern w:val="0"/>
              </w:rPr>
            </w:pPr>
            <w:r>
              <w:rPr>
                <w:rFonts w:hint="eastAsia"/>
                <w:color w:val="auto"/>
                <w:kern w:val="0"/>
              </w:rPr>
              <w:t>76</w:t>
            </w:r>
          </w:p>
        </w:tc>
        <w:tc>
          <w:tcPr>
            <w:tcW w:w="405" w:type="pct"/>
            <w:vAlign w:val="center"/>
          </w:tcPr>
          <w:p>
            <w:pPr>
              <w:contextualSpacing/>
              <w:jc w:val="center"/>
              <w:textAlignment w:val="baseline"/>
              <w:rPr>
                <w:color w:val="auto"/>
                <w:kern w:val="0"/>
              </w:rPr>
            </w:pPr>
            <w:r>
              <w:rPr>
                <w:rFonts w:hint="eastAsia"/>
                <w:color w:val="auto"/>
                <w:kern w:val="0"/>
              </w:rPr>
              <w:t>126</w:t>
            </w:r>
          </w:p>
        </w:tc>
        <w:tc>
          <w:tcPr>
            <w:tcW w:w="406" w:type="pct"/>
            <w:vAlign w:val="center"/>
          </w:tcPr>
          <w:p>
            <w:pPr>
              <w:contextualSpacing/>
              <w:jc w:val="center"/>
              <w:textAlignment w:val="baseline"/>
              <w:rPr>
                <w:color w:val="auto"/>
                <w:kern w:val="0"/>
              </w:rPr>
            </w:pPr>
            <w:r>
              <w:rPr>
                <w:rFonts w:hint="eastAsia"/>
                <w:color w:val="auto"/>
                <w:kern w:val="0"/>
              </w:rPr>
              <w:t>60</w:t>
            </w:r>
          </w:p>
        </w:tc>
        <w:tc>
          <w:tcPr>
            <w:tcW w:w="405" w:type="pct"/>
            <w:vAlign w:val="center"/>
          </w:tcPr>
          <w:p>
            <w:pPr>
              <w:contextualSpacing/>
              <w:jc w:val="center"/>
              <w:textAlignment w:val="baseline"/>
              <w:rPr>
                <w:color w:val="auto"/>
                <w:kern w:val="0"/>
              </w:rPr>
            </w:pPr>
            <w:r>
              <w:rPr>
                <w:rFonts w:hint="eastAsia"/>
                <w:color w:val="auto"/>
                <w:kern w:val="0"/>
              </w:rPr>
              <w:t>81.6</w:t>
            </w:r>
          </w:p>
        </w:tc>
        <w:tc>
          <w:tcPr>
            <w:tcW w:w="710" w:type="pct"/>
            <w:vAlign w:val="center"/>
          </w:tcPr>
          <w:p>
            <w:pPr>
              <w:contextualSpacing/>
              <w:jc w:val="center"/>
              <w:textAlignment w:val="baseline"/>
              <w:rPr>
                <w:color w:val="auto"/>
                <w:kern w:val="0"/>
              </w:rPr>
            </w:pPr>
            <w:r>
              <w:rPr>
                <w:rFonts w:hint="eastAsia"/>
                <w:color w:val="auto"/>
                <w:kern w:val="0"/>
              </w:rPr>
              <w:t>12</w:t>
            </w:r>
          </w:p>
        </w:tc>
        <w:tc>
          <w:tcPr>
            <w:tcW w:w="558" w:type="pct"/>
            <w:vAlign w:val="center"/>
          </w:tcPr>
          <w:p>
            <w:pPr>
              <w:contextualSpacing/>
              <w:jc w:val="center"/>
              <w:textAlignment w:val="baseline"/>
              <w:rPr>
                <w:color w:val="auto"/>
                <w:kern w:val="0"/>
              </w:rPr>
            </w:pPr>
            <w:r>
              <w:rPr>
                <w:rFonts w:hint="eastAsia"/>
                <w:b/>
                <w:bCs/>
                <w:color w:val="auto"/>
                <w:kern w:val="0"/>
                <w:u w:val="single"/>
              </w:rPr>
              <w:t>3300</w:t>
            </w:r>
          </w:p>
        </w:tc>
        <w:tc>
          <w:tcPr>
            <w:tcW w:w="416" w:type="pct"/>
            <w:vMerge w:val="continue"/>
            <w:vAlign w:val="center"/>
          </w:tcPr>
          <w:p>
            <w:pPr>
              <w:contextualSpacing/>
              <w:jc w:val="center"/>
              <w:textAlignment w:val="baseline"/>
              <w:rPr>
                <w:color w:val="auto"/>
                <w:kern w:val="0"/>
              </w:rPr>
            </w:pPr>
          </w:p>
        </w:tc>
        <w:tc>
          <w:tcPr>
            <w:tcW w:w="351" w:type="pct"/>
            <w:vAlign w:val="center"/>
          </w:tcPr>
          <w:p>
            <w:pPr>
              <w:contextualSpacing/>
              <w:jc w:val="center"/>
              <w:textAlignment w:val="baseline"/>
              <w:rPr>
                <w:rFonts w:hint="eastAsia" w:eastAsia="宋体"/>
                <w:color w:val="auto"/>
                <w:kern w:val="0"/>
                <w:lang w:val="en-US" w:eastAsia="zh-CN"/>
              </w:rPr>
            </w:pPr>
            <w:r>
              <w:rPr>
                <w:rFonts w:hint="eastAsia"/>
                <w:b/>
                <w:color w:val="auto"/>
                <w:kern w:val="0"/>
                <w:u w:val="single"/>
              </w:rPr>
              <w:t>0.16</w:t>
            </w:r>
            <w:r>
              <w:rPr>
                <w:rFonts w:hint="eastAsia"/>
                <w:b/>
                <w:color w:val="auto"/>
                <w:kern w:val="0"/>
                <w:u w:val="single"/>
                <w:lang w:val="en-US" w:eastAsia="zh-CN"/>
              </w:rPr>
              <w:t>2</w:t>
            </w:r>
          </w:p>
        </w:tc>
        <w:tc>
          <w:tcPr>
            <w:tcW w:w="325" w:type="pct"/>
            <w:vAlign w:val="center"/>
          </w:tcPr>
          <w:p>
            <w:pPr>
              <w:contextualSpacing/>
              <w:jc w:val="center"/>
              <w:textAlignment w:val="baseline"/>
              <w:rPr>
                <w:color w:val="auto"/>
                <w:kern w:val="0"/>
              </w:rPr>
            </w:pPr>
            <w:r>
              <w:rPr>
                <w:rFonts w:hint="eastAsia"/>
                <w:color w:val="auto"/>
                <w:kern w:val="0"/>
              </w:rPr>
              <w:t>/</w:t>
            </w:r>
          </w:p>
        </w:tc>
      </w:tr>
    </w:tbl>
    <w:p>
      <w:pPr>
        <w:rPr>
          <w:color w:val="auto"/>
        </w:rPr>
      </w:pPr>
      <w:bookmarkStart w:id="322" w:name="_Toc324839319"/>
      <w:bookmarkStart w:id="323" w:name="_Toc324839616"/>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840" w:firstLineChars="400"/>
        <w:jc w:val="center"/>
        <w:rPr>
          <w:rFonts w:eastAsia="黑体"/>
          <w:color w:val="auto"/>
          <w:szCs w:val="24"/>
        </w:rPr>
      </w:pPr>
    </w:p>
    <w:p>
      <w:pPr>
        <w:ind w:firstLine="960" w:firstLineChars="400"/>
        <w:jc w:val="center"/>
        <w:rPr>
          <w:rFonts w:eastAsia="黑体"/>
          <w:color w:val="auto"/>
          <w:sz w:val="24"/>
          <w:szCs w:val="24"/>
        </w:rPr>
      </w:pPr>
      <w:r>
        <w:rPr>
          <w:rFonts w:eastAsia="黑体"/>
          <w:color w:val="auto"/>
          <w:sz w:val="24"/>
          <w:szCs w:val="24"/>
        </w:rPr>
        <w:t>表5.1-8        本项目非正常工况有组织排放点源参数表一览表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963"/>
        <w:gridCol w:w="1267"/>
        <w:gridCol w:w="1409"/>
        <w:gridCol w:w="800"/>
        <w:gridCol w:w="791"/>
        <w:gridCol w:w="950"/>
        <w:gridCol w:w="953"/>
        <w:gridCol w:w="849"/>
        <w:gridCol w:w="788"/>
        <w:gridCol w:w="964"/>
        <w:gridCol w:w="1520"/>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769" w:type="pct"/>
            <w:gridSpan w:val="2"/>
            <w:vMerge w:val="restart"/>
            <w:vAlign w:val="center"/>
          </w:tcPr>
          <w:p>
            <w:pPr>
              <w:adjustRightInd w:val="0"/>
              <w:snapToGrid w:val="0"/>
              <w:jc w:val="center"/>
              <w:rPr>
                <w:b/>
                <w:color w:val="auto"/>
                <w:kern w:val="21"/>
              </w:rPr>
            </w:pPr>
            <w:r>
              <w:rPr>
                <w:b/>
                <w:color w:val="auto"/>
                <w:kern w:val="21"/>
              </w:rPr>
              <w:t>排气筒名称/编号</w:t>
            </w:r>
          </w:p>
        </w:tc>
        <w:tc>
          <w:tcPr>
            <w:tcW w:w="944" w:type="pct"/>
            <w:gridSpan w:val="2"/>
            <w:vAlign w:val="center"/>
          </w:tcPr>
          <w:p>
            <w:pPr>
              <w:adjustRightInd w:val="0"/>
              <w:snapToGrid w:val="0"/>
              <w:jc w:val="center"/>
              <w:rPr>
                <w:b/>
                <w:color w:val="auto"/>
                <w:kern w:val="21"/>
              </w:rPr>
            </w:pPr>
            <w:r>
              <w:rPr>
                <w:b/>
                <w:color w:val="auto"/>
                <w:kern w:val="21"/>
              </w:rPr>
              <w:t>排气筒底部中心坐标/m</w:t>
            </w:r>
          </w:p>
        </w:tc>
        <w:tc>
          <w:tcPr>
            <w:tcW w:w="896" w:type="pct"/>
            <w:gridSpan w:val="3"/>
            <w:vAlign w:val="center"/>
          </w:tcPr>
          <w:p>
            <w:pPr>
              <w:adjustRightInd w:val="0"/>
              <w:snapToGrid w:val="0"/>
              <w:jc w:val="center"/>
              <w:rPr>
                <w:b/>
                <w:color w:val="auto"/>
                <w:kern w:val="21"/>
              </w:rPr>
            </w:pPr>
            <w:r>
              <w:rPr>
                <w:b/>
                <w:color w:val="auto"/>
                <w:kern w:val="21"/>
              </w:rPr>
              <w:t>排气筒参数（m）</w:t>
            </w:r>
          </w:p>
        </w:tc>
        <w:tc>
          <w:tcPr>
            <w:tcW w:w="336" w:type="pct"/>
            <w:vMerge w:val="restart"/>
            <w:vAlign w:val="center"/>
          </w:tcPr>
          <w:p>
            <w:pPr>
              <w:adjustRightInd w:val="0"/>
              <w:snapToGrid w:val="0"/>
              <w:jc w:val="center"/>
              <w:rPr>
                <w:b/>
                <w:color w:val="auto"/>
                <w:kern w:val="21"/>
              </w:rPr>
            </w:pPr>
            <w:r>
              <w:rPr>
                <w:b/>
                <w:color w:val="auto"/>
                <w:kern w:val="21"/>
              </w:rPr>
              <w:t>烟气</w:t>
            </w:r>
          </w:p>
          <w:p>
            <w:pPr>
              <w:adjustRightInd w:val="0"/>
              <w:snapToGrid w:val="0"/>
              <w:jc w:val="center"/>
              <w:rPr>
                <w:b/>
                <w:color w:val="auto"/>
                <w:kern w:val="21"/>
              </w:rPr>
            </w:pPr>
            <w:r>
              <w:rPr>
                <w:b/>
                <w:color w:val="auto"/>
                <w:kern w:val="21"/>
              </w:rPr>
              <w:t>流速/（m/s）</w:t>
            </w:r>
          </w:p>
        </w:tc>
        <w:tc>
          <w:tcPr>
            <w:tcW w:w="299" w:type="pct"/>
            <w:vMerge w:val="restart"/>
            <w:vAlign w:val="center"/>
          </w:tcPr>
          <w:p>
            <w:pPr>
              <w:adjustRightInd w:val="0"/>
              <w:snapToGrid w:val="0"/>
              <w:jc w:val="center"/>
              <w:rPr>
                <w:b/>
                <w:color w:val="auto"/>
                <w:kern w:val="21"/>
              </w:rPr>
            </w:pPr>
            <w:r>
              <w:rPr>
                <w:b/>
                <w:color w:val="auto"/>
                <w:kern w:val="21"/>
              </w:rPr>
              <w:t>烟气温度（℃）</w:t>
            </w:r>
          </w:p>
        </w:tc>
        <w:tc>
          <w:tcPr>
            <w:tcW w:w="278" w:type="pct"/>
            <w:vMerge w:val="restart"/>
            <w:vAlign w:val="center"/>
          </w:tcPr>
          <w:p>
            <w:pPr>
              <w:adjustRightInd w:val="0"/>
              <w:snapToGrid w:val="0"/>
              <w:rPr>
                <w:b/>
                <w:color w:val="auto"/>
                <w:kern w:val="21"/>
              </w:rPr>
            </w:pPr>
            <w:r>
              <w:rPr>
                <w:b/>
                <w:color w:val="auto"/>
                <w:kern w:val="21"/>
              </w:rPr>
              <w:t>排放时间（h）</w:t>
            </w:r>
          </w:p>
        </w:tc>
        <w:tc>
          <w:tcPr>
            <w:tcW w:w="340" w:type="pct"/>
            <w:vMerge w:val="restart"/>
            <w:vAlign w:val="center"/>
          </w:tcPr>
          <w:p>
            <w:pPr>
              <w:adjustRightInd w:val="0"/>
              <w:snapToGrid w:val="0"/>
              <w:jc w:val="center"/>
              <w:rPr>
                <w:b/>
                <w:color w:val="auto"/>
                <w:kern w:val="21"/>
              </w:rPr>
            </w:pPr>
            <w:r>
              <w:rPr>
                <w:b/>
                <w:color w:val="auto"/>
                <w:kern w:val="21"/>
              </w:rPr>
              <w:t>排放</w:t>
            </w:r>
          </w:p>
          <w:p>
            <w:pPr>
              <w:adjustRightInd w:val="0"/>
              <w:snapToGrid w:val="0"/>
              <w:jc w:val="center"/>
              <w:rPr>
                <w:b/>
                <w:color w:val="auto"/>
                <w:kern w:val="21"/>
              </w:rPr>
            </w:pPr>
            <w:r>
              <w:rPr>
                <w:b/>
                <w:color w:val="auto"/>
                <w:kern w:val="21"/>
              </w:rPr>
              <w:t>工况</w:t>
            </w:r>
          </w:p>
        </w:tc>
        <w:tc>
          <w:tcPr>
            <w:tcW w:w="1138" w:type="pct"/>
            <w:gridSpan w:val="2"/>
            <w:vAlign w:val="center"/>
          </w:tcPr>
          <w:p>
            <w:pPr>
              <w:adjustRightInd w:val="0"/>
              <w:snapToGrid w:val="0"/>
              <w:jc w:val="center"/>
              <w:rPr>
                <w:b/>
                <w:color w:val="auto"/>
                <w:kern w:val="21"/>
              </w:rPr>
            </w:pPr>
            <w:r>
              <w:rPr>
                <w:b/>
                <w:color w:val="auto"/>
                <w:kern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69" w:type="pct"/>
            <w:gridSpan w:val="2"/>
            <w:vMerge w:val="continue"/>
            <w:vAlign w:val="center"/>
          </w:tcPr>
          <w:p>
            <w:pPr>
              <w:adjustRightInd w:val="0"/>
              <w:snapToGrid w:val="0"/>
              <w:jc w:val="center"/>
              <w:rPr>
                <w:b/>
                <w:color w:val="auto"/>
                <w:kern w:val="21"/>
              </w:rPr>
            </w:pPr>
          </w:p>
        </w:tc>
        <w:tc>
          <w:tcPr>
            <w:tcW w:w="447" w:type="pct"/>
            <w:vAlign w:val="center"/>
          </w:tcPr>
          <w:p>
            <w:pPr>
              <w:adjustRightInd w:val="0"/>
              <w:snapToGrid w:val="0"/>
              <w:jc w:val="center"/>
              <w:rPr>
                <w:b/>
                <w:color w:val="auto"/>
                <w:kern w:val="21"/>
              </w:rPr>
            </w:pPr>
            <w:r>
              <w:rPr>
                <w:b/>
                <w:color w:val="auto"/>
                <w:kern w:val="21"/>
              </w:rPr>
              <w:t>X</w:t>
            </w:r>
          </w:p>
        </w:tc>
        <w:tc>
          <w:tcPr>
            <w:tcW w:w="497" w:type="pct"/>
            <w:vAlign w:val="center"/>
          </w:tcPr>
          <w:p>
            <w:pPr>
              <w:adjustRightInd w:val="0"/>
              <w:snapToGrid w:val="0"/>
              <w:jc w:val="center"/>
              <w:rPr>
                <w:b/>
                <w:color w:val="auto"/>
                <w:kern w:val="21"/>
              </w:rPr>
            </w:pPr>
            <w:r>
              <w:rPr>
                <w:b/>
                <w:color w:val="auto"/>
                <w:kern w:val="21"/>
              </w:rPr>
              <w:t>Y</w:t>
            </w:r>
          </w:p>
        </w:tc>
        <w:tc>
          <w:tcPr>
            <w:tcW w:w="282" w:type="pct"/>
            <w:vAlign w:val="center"/>
          </w:tcPr>
          <w:p>
            <w:pPr>
              <w:adjustRightInd w:val="0"/>
              <w:snapToGrid w:val="0"/>
              <w:jc w:val="center"/>
              <w:rPr>
                <w:b/>
                <w:color w:val="auto"/>
                <w:kern w:val="21"/>
              </w:rPr>
            </w:pPr>
            <w:r>
              <w:rPr>
                <w:b/>
                <w:color w:val="auto"/>
                <w:kern w:val="21"/>
              </w:rPr>
              <w:t>底部海拔</w:t>
            </w:r>
          </w:p>
        </w:tc>
        <w:tc>
          <w:tcPr>
            <w:tcW w:w="279" w:type="pct"/>
            <w:vAlign w:val="center"/>
          </w:tcPr>
          <w:p>
            <w:pPr>
              <w:adjustRightInd w:val="0"/>
              <w:snapToGrid w:val="0"/>
              <w:jc w:val="center"/>
              <w:rPr>
                <w:b/>
                <w:color w:val="auto"/>
                <w:kern w:val="21"/>
              </w:rPr>
            </w:pPr>
            <w:r>
              <w:rPr>
                <w:b/>
                <w:color w:val="auto"/>
                <w:kern w:val="21"/>
              </w:rPr>
              <w:t>高度</w:t>
            </w:r>
          </w:p>
        </w:tc>
        <w:tc>
          <w:tcPr>
            <w:tcW w:w="335" w:type="pct"/>
            <w:vAlign w:val="center"/>
          </w:tcPr>
          <w:p>
            <w:pPr>
              <w:adjustRightInd w:val="0"/>
              <w:snapToGrid w:val="0"/>
              <w:jc w:val="center"/>
              <w:rPr>
                <w:b/>
                <w:color w:val="auto"/>
                <w:kern w:val="21"/>
              </w:rPr>
            </w:pPr>
            <w:r>
              <w:rPr>
                <w:b/>
                <w:color w:val="auto"/>
                <w:kern w:val="21"/>
              </w:rPr>
              <w:t>出口</w:t>
            </w:r>
          </w:p>
          <w:p>
            <w:pPr>
              <w:adjustRightInd w:val="0"/>
              <w:snapToGrid w:val="0"/>
              <w:jc w:val="center"/>
              <w:rPr>
                <w:b/>
                <w:color w:val="auto"/>
                <w:kern w:val="21"/>
              </w:rPr>
            </w:pPr>
            <w:r>
              <w:rPr>
                <w:b/>
                <w:color w:val="auto"/>
                <w:kern w:val="21"/>
              </w:rPr>
              <w:t>内径</w:t>
            </w:r>
          </w:p>
        </w:tc>
        <w:tc>
          <w:tcPr>
            <w:tcW w:w="336" w:type="pct"/>
            <w:vMerge w:val="continue"/>
            <w:vAlign w:val="center"/>
          </w:tcPr>
          <w:p>
            <w:pPr>
              <w:adjustRightInd w:val="0"/>
              <w:snapToGrid w:val="0"/>
              <w:jc w:val="center"/>
              <w:rPr>
                <w:b/>
                <w:color w:val="auto"/>
                <w:kern w:val="21"/>
              </w:rPr>
            </w:pPr>
          </w:p>
        </w:tc>
        <w:tc>
          <w:tcPr>
            <w:tcW w:w="299" w:type="pct"/>
            <w:vMerge w:val="continue"/>
            <w:vAlign w:val="center"/>
          </w:tcPr>
          <w:p>
            <w:pPr>
              <w:adjustRightInd w:val="0"/>
              <w:snapToGrid w:val="0"/>
              <w:jc w:val="center"/>
              <w:rPr>
                <w:b/>
                <w:color w:val="auto"/>
                <w:kern w:val="21"/>
              </w:rPr>
            </w:pPr>
          </w:p>
        </w:tc>
        <w:tc>
          <w:tcPr>
            <w:tcW w:w="278" w:type="pct"/>
            <w:vMerge w:val="continue"/>
            <w:vAlign w:val="center"/>
          </w:tcPr>
          <w:p>
            <w:pPr>
              <w:adjustRightInd w:val="0"/>
              <w:snapToGrid w:val="0"/>
              <w:jc w:val="center"/>
              <w:rPr>
                <w:b/>
                <w:color w:val="auto"/>
                <w:kern w:val="21"/>
              </w:rPr>
            </w:pPr>
          </w:p>
        </w:tc>
        <w:tc>
          <w:tcPr>
            <w:tcW w:w="340" w:type="pct"/>
            <w:vMerge w:val="continue"/>
            <w:vAlign w:val="center"/>
          </w:tcPr>
          <w:p>
            <w:pPr>
              <w:adjustRightInd w:val="0"/>
              <w:snapToGrid w:val="0"/>
              <w:jc w:val="center"/>
              <w:rPr>
                <w:b/>
                <w:color w:val="auto"/>
                <w:kern w:val="21"/>
              </w:rPr>
            </w:pPr>
          </w:p>
        </w:tc>
        <w:tc>
          <w:tcPr>
            <w:tcW w:w="536" w:type="pct"/>
            <w:vAlign w:val="center"/>
          </w:tcPr>
          <w:p>
            <w:pPr>
              <w:adjustRightInd w:val="0"/>
              <w:snapToGrid w:val="0"/>
              <w:jc w:val="center"/>
              <w:rPr>
                <w:b/>
                <w:color w:val="auto"/>
                <w:kern w:val="21"/>
              </w:rPr>
            </w:pPr>
            <w:r>
              <w:rPr>
                <w:b/>
                <w:color w:val="auto"/>
                <w:kern w:val="21"/>
              </w:rPr>
              <w:t>颗粒物</w:t>
            </w:r>
          </w:p>
        </w:tc>
        <w:tc>
          <w:tcPr>
            <w:tcW w:w="602" w:type="pct"/>
            <w:vAlign w:val="center"/>
          </w:tcPr>
          <w:p>
            <w:pPr>
              <w:adjustRightInd w:val="0"/>
              <w:snapToGrid w:val="0"/>
              <w:jc w:val="center"/>
              <w:rPr>
                <w:b/>
                <w:color w:val="auto"/>
                <w:kern w:val="21"/>
              </w:rPr>
            </w:pPr>
            <w:r>
              <w:rPr>
                <w:b/>
                <w:color w:val="auto"/>
                <w:kern w:val="21"/>
              </w:rPr>
              <w:t>氯化氢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pPr>
              <w:adjustRightInd w:val="0"/>
              <w:snapToGrid w:val="0"/>
              <w:jc w:val="center"/>
              <w:rPr>
                <w:color w:val="auto"/>
                <w:kern w:val="21"/>
              </w:rPr>
            </w:pPr>
            <w:r>
              <w:rPr>
                <w:color w:val="auto"/>
                <w:kern w:val="21"/>
              </w:rPr>
              <w:t>二级碱液喷淋中和塔</w:t>
            </w:r>
          </w:p>
        </w:tc>
        <w:tc>
          <w:tcPr>
            <w:tcW w:w="340" w:type="pct"/>
            <w:vAlign w:val="center"/>
          </w:tcPr>
          <w:p>
            <w:pPr>
              <w:adjustRightInd w:val="0"/>
              <w:snapToGrid w:val="0"/>
              <w:jc w:val="center"/>
              <w:rPr>
                <w:b/>
                <w:color w:val="auto"/>
                <w:kern w:val="21"/>
              </w:rPr>
            </w:pPr>
            <w:r>
              <w:rPr>
                <w:color w:val="auto"/>
                <w:kern w:val="21"/>
              </w:rPr>
              <w:t>DA00</w:t>
            </w:r>
            <w:r>
              <w:rPr>
                <w:rFonts w:hint="eastAsia"/>
                <w:color w:val="auto"/>
                <w:kern w:val="21"/>
              </w:rPr>
              <w:t>1</w:t>
            </w:r>
          </w:p>
        </w:tc>
        <w:tc>
          <w:tcPr>
            <w:tcW w:w="447" w:type="pct"/>
            <w:vAlign w:val="center"/>
          </w:tcPr>
          <w:p>
            <w:pPr>
              <w:adjustRightInd w:val="0"/>
              <w:snapToGrid w:val="0"/>
              <w:jc w:val="center"/>
              <w:rPr>
                <w:color w:val="auto"/>
                <w:kern w:val="21"/>
              </w:rPr>
            </w:pPr>
            <w:r>
              <w:rPr>
                <w:color w:val="auto"/>
                <w:kern w:val="0"/>
              </w:rPr>
              <w:t>35.267791</w:t>
            </w:r>
          </w:p>
        </w:tc>
        <w:tc>
          <w:tcPr>
            <w:tcW w:w="497" w:type="pct"/>
            <w:vAlign w:val="center"/>
          </w:tcPr>
          <w:p>
            <w:pPr>
              <w:adjustRightInd w:val="0"/>
              <w:snapToGrid w:val="0"/>
              <w:jc w:val="center"/>
              <w:rPr>
                <w:color w:val="auto"/>
                <w:kern w:val="21"/>
              </w:rPr>
            </w:pPr>
            <w:r>
              <w:rPr>
                <w:color w:val="auto"/>
                <w:kern w:val="21"/>
              </w:rPr>
              <w:t>113.708958</w:t>
            </w:r>
          </w:p>
        </w:tc>
        <w:tc>
          <w:tcPr>
            <w:tcW w:w="282" w:type="pct"/>
            <w:vAlign w:val="center"/>
          </w:tcPr>
          <w:p>
            <w:pPr>
              <w:adjustRightInd w:val="0"/>
              <w:snapToGrid w:val="0"/>
              <w:jc w:val="center"/>
              <w:rPr>
                <w:color w:val="auto"/>
                <w:kern w:val="21"/>
              </w:rPr>
            </w:pPr>
            <w:r>
              <w:rPr>
                <w:color w:val="auto"/>
                <w:kern w:val="21"/>
              </w:rPr>
              <w:t>76</w:t>
            </w:r>
          </w:p>
        </w:tc>
        <w:tc>
          <w:tcPr>
            <w:tcW w:w="279" w:type="pct"/>
            <w:vAlign w:val="center"/>
          </w:tcPr>
          <w:p>
            <w:pPr>
              <w:adjustRightInd w:val="0"/>
              <w:snapToGrid w:val="0"/>
              <w:jc w:val="center"/>
              <w:rPr>
                <w:color w:val="auto"/>
                <w:kern w:val="21"/>
              </w:rPr>
            </w:pPr>
            <w:r>
              <w:rPr>
                <w:color w:val="auto"/>
                <w:kern w:val="21"/>
              </w:rPr>
              <w:t>15</w:t>
            </w:r>
          </w:p>
        </w:tc>
        <w:tc>
          <w:tcPr>
            <w:tcW w:w="335" w:type="pct"/>
            <w:vAlign w:val="center"/>
          </w:tcPr>
          <w:p>
            <w:pPr>
              <w:adjustRightInd w:val="0"/>
              <w:snapToGrid w:val="0"/>
              <w:jc w:val="center"/>
              <w:rPr>
                <w:color w:val="auto"/>
                <w:kern w:val="21"/>
              </w:rPr>
            </w:pPr>
            <w:r>
              <w:rPr>
                <w:color w:val="auto"/>
                <w:kern w:val="21"/>
              </w:rPr>
              <w:t>1.0</w:t>
            </w:r>
          </w:p>
        </w:tc>
        <w:tc>
          <w:tcPr>
            <w:tcW w:w="336" w:type="pct"/>
            <w:vAlign w:val="center"/>
          </w:tcPr>
          <w:p>
            <w:pPr>
              <w:adjustRightInd w:val="0"/>
              <w:snapToGrid w:val="0"/>
              <w:jc w:val="center"/>
              <w:rPr>
                <w:color w:val="auto"/>
                <w:kern w:val="21"/>
              </w:rPr>
            </w:pPr>
            <w:r>
              <w:rPr>
                <w:rFonts w:hint="eastAsia"/>
                <w:color w:val="auto"/>
                <w:kern w:val="21"/>
              </w:rPr>
              <w:t>8.32</w:t>
            </w:r>
          </w:p>
        </w:tc>
        <w:tc>
          <w:tcPr>
            <w:tcW w:w="299" w:type="pct"/>
            <w:vAlign w:val="center"/>
          </w:tcPr>
          <w:p>
            <w:pPr>
              <w:adjustRightInd w:val="0"/>
              <w:snapToGrid w:val="0"/>
              <w:jc w:val="center"/>
              <w:rPr>
                <w:color w:val="auto"/>
                <w:kern w:val="21"/>
              </w:rPr>
            </w:pPr>
            <w:r>
              <w:rPr>
                <w:color w:val="auto"/>
                <w:kern w:val="21"/>
              </w:rPr>
              <w:t>25</w:t>
            </w:r>
          </w:p>
        </w:tc>
        <w:tc>
          <w:tcPr>
            <w:tcW w:w="278" w:type="pct"/>
            <w:vAlign w:val="center"/>
          </w:tcPr>
          <w:p>
            <w:pPr>
              <w:adjustRightInd w:val="0"/>
              <w:snapToGrid w:val="0"/>
              <w:jc w:val="center"/>
              <w:rPr>
                <w:color w:val="auto"/>
                <w:kern w:val="21"/>
              </w:rPr>
            </w:pPr>
            <w:r>
              <w:rPr>
                <w:color w:val="auto"/>
                <w:kern w:val="21"/>
              </w:rPr>
              <w:t>1</w:t>
            </w:r>
          </w:p>
        </w:tc>
        <w:tc>
          <w:tcPr>
            <w:tcW w:w="340" w:type="pct"/>
            <w:vMerge w:val="restart"/>
            <w:vAlign w:val="center"/>
          </w:tcPr>
          <w:p>
            <w:pPr>
              <w:adjustRightInd w:val="0"/>
              <w:snapToGrid w:val="0"/>
              <w:jc w:val="center"/>
              <w:rPr>
                <w:color w:val="auto"/>
                <w:kern w:val="21"/>
              </w:rPr>
            </w:pPr>
            <w:r>
              <w:rPr>
                <w:color w:val="auto"/>
                <w:kern w:val="21"/>
              </w:rPr>
              <w:t>非正常</w:t>
            </w:r>
          </w:p>
          <w:p>
            <w:pPr>
              <w:adjustRightInd w:val="0"/>
              <w:snapToGrid w:val="0"/>
              <w:jc w:val="center"/>
              <w:rPr>
                <w:color w:val="auto"/>
                <w:kern w:val="21"/>
              </w:rPr>
            </w:pPr>
            <w:r>
              <w:rPr>
                <w:color w:val="auto"/>
                <w:kern w:val="21"/>
              </w:rPr>
              <w:t>排放</w:t>
            </w:r>
          </w:p>
        </w:tc>
        <w:tc>
          <w:tcPr>
            <w:tcW w:w="536" w:type="pct"/>
            <w:vAlign w:val="center"/>
          </w:tcPr>
          <w:p>
            <w:pPr>
              <w:adjustRightInd w:val="0"/>
              <w:snapToGrid w:val="0"/>
              <w:jc w:val="center"/>
              <w:rPr>
                <w:color w:val="auto"/>
                <w:kern w:val="21"/>
              </w:rPr>
            </w:pPr>
            <w:r>
              <w:rPr>
                <w:color w:val="auto"/>
                <w:kern w:val="21"/>
              </w:rPr>
              <w:t>/</w:t>
            </w:r>
          </w:p>
        </w:tc>
        <w:tc>
          <w:tcPr>
            <w:tcW w:w="602" w:type="pct"/>
            <w:vAlign w:val="center"/>
          </w:tcPr>
          <w:p>
            <w:pPr>
              <w:adjustRightInd w:val="0"/>
              <w:snapToGrid w:val="0"/>
              <w:jc w:val="center"/>
              <w:rPr>
                <w:color w:val="auto"/>
                <w:kern w:val="21"/>
              </w:rPr>
            </w:pPr>
            <w:r>
              <w:rPr>
                <w:rFonts w:hint="eastAsia"/>
                <w:b/>
                <w:color w:val="auto"/>
                <w:kern w:val="21"/>
                <w:u w:val="single"/>
              </w:rPr>
              <w:t>0.6816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29" w:type="pct"/>
            <w:vAlign w:val="center"/>
          </w:tcPr>
          <w:p>
            <w:pPr>
              <w:adjustRightInd w:val="0"/>
              <w:snapToGrid w:val="0"/>
              <w:jc w:val="center"/>
              <w:rPr>
                <w:color w:val="auto"/>
                <w:kern w:val="21"/>
              </w:rPr>
            </w:pPr>
            <w:r>
              <w:rPr>
                <w:color w:val="auto"/>
                <w:kern w:val="21"/>
              </w:rPr>
              <w:t>除尘器</w:t>
            </w:r>
          </w:p>
        </w:tc>
        <w:tc>
          <w:tcPr>
            <w:tcW w:w="340" w:type="pct"/>
            <w:vAlign w:val="center"/>
          </w:tcPr>
          <w:p>
            <w:pPr>
              <w:adjustRightInd w:val="0"/>
              <w:snapToGrid w:val="0"/>
              <w:jc w:val="center"/>
              <w:rPr>
                <w:b/>
                <w:color w:val="auto"/>
                <w:kern w:val="21"/>
              </w:rPr>
            </w:pPr>
            <w:r>
              <w:rPr>
                <w:color w:val="auto"/>
                <w:kern w:val="21"/>
              </w:rPr>
              <w:t>DA</w:t>
            </w:r>
            <w:r>
              <w:rPr>
                <w:rFonts w:hint="eastAsia"/>
                <w:color w:val="auto"/>
                <w:kern w:val="21"/>
              </w:rPr>
              <w:t>004</w:t>
            </w:r>
          </w:p>
        </w:tc>
        <w:tc>
          <w:tcPr>
            <w:tcW w:w="447" w:type="pct"/>
            <w:vAlign w:val="center"/>
          </w:tcPr>
          <w:p>
            <w:pPr>
              <w:jc w:val="center"/>
              <w:rPr>
                <w:color w:val="auto"/>
              </w:rPr>
            </w:pPr>
            <w:r>
              <w:rPr>
                <w:color w:val="auto"/>
              </w:rPr>
              <w:t>35.268207</w:t>
            </w:r>
          </w:p>
        </w:tc>
        <w:tc>
          <w:tcPr>
            <w:tcW w:w="497" w:type="pct"/>
            <w:vAlign w:val="center"/>
          </w:tcPr>
          <w:p>
            <w:pPr>
              <w:jc w:val="center"/>
              <w:rPr>
                <w:color w:val="auto"/>
              </w:rPr>
            </w:pPr>
            <w:r>
              <w:rPr>
                <w:color w:val="auto"/>
              </w:rPr>
              <w:t>113.709028</w:t>
            </w:r>
          </w:p>
        </w:tc>
        <w:tc>
          <w:tcPr>
            <w:tcW w:w="282" w:type="pct"/>
            <w:vAlign w:val="center"/>
          </w:tcPr>
          <w:p>
            <w:pPr>
              <w:adjustRightInd w:val="0"/>
              <w:snapToGrid w:val="0"/>
              <w:jc w:val="center"/>
              <w:rPr>
                <w:color w:val="auto"/>
                <w:kern w:val="21"/>
              </w:rPr>
            </w:pPr>
            <w:r>
              <w:rPr>
                <w:color w:val="auto"/>
                <w:kern w:val="21"/>
              </w:rPr>
              <w:t>76</w:t>
            </w:r>
          </w:p>
        </w:tc>
        <w:tc>
          <w:tcPr>
            <w:tcW w:w="279" w:type="pct"/>
            <w:vAlign w:val="center"/>
          </w:tcPr>
          <w:p>
            <w:pPr>
              <w:adjustRightInd w:val="0"/>
              <w:snapToGrid w:val="0"/>
              <w:jc w:val="center"/>
              <w:rPr>
                <w:color w:val="auto"/>
                <w:kern w:val="21"/>
              </w:rPr>
            </w:pPr>
            <w:r>
              <w:rPr>
                <w:color w:val="auto"/>
                <w:kern w:val="21"/>
              </w:rPr>
              <w:t>15</w:t>
            </w:r>
          </w:p>
        </w:tc>
        <w:tc>
          <w:tcPr>
            <w:tcW w:w="335" w:type="pct"/>
            <w:vAlign w:val="center"/>
          </w:tcPr>
          <w:p>
            <w:pPr>
              <w:adjustRightInd w:val="0"/>
              <w:snapToGrid w:val="0"/>
              <w:jc w:val="center"/>
              <w:rPr>
                <w:color w:val="auto"/>
                <w:kern w:val="21"/>
              </w:rPr>
            </w:pPr>
            <w:r>
              <w:rPr>
                <w:color w:val="auto"/>
                <w:kern w:val="21"/>
              </w:rPr>
              <w:t>0.5</w:t>
            </w:r>
          </w:p>
        </w:tc>
        <w:tc>
          <w:tcPr>
            <w:tcW w:w="336" w:type="pct"/>
            <w:vAlign w:val="center"/>
          </w:tcPr>
          <w:p>
            <w:pPr>
              <w:adjustRightInd w:val="0"/>
              <w:snapToGrid w:val="0"/>
              <w:jc w:val="center"/>
              <w:rPr>
                <w:color w:val="auto"/>
                <w:kern w:val="21"/>
              </w:rPr>
            </w:pPr>
            <w:r>
              <w:rPr>
                <w:rFonts w:hint="eastAsia"/>
                <w:color w:val="auto"/>
                <w:kern w:val="21"/>
              </w:rPr>
              <w:t>7.08</w:t>
            </w:r>
          </w:p>
        </w:tc>
        <w:tc>
          <w:tcPr>
            <w:tcW w:w="299" w:type="pct"/>
            <w:vAlign w:val="center"/>
          </w:tcPr>
          <w:p>
            <w:pPr>
              <w:adjustRightInd w:val="0"/>
              <w:snapToGrid w:val="0"/>
              <w:jc w:val="center"/>
              <w:rPr>
                <w:color w:val="auto"/>
                <w:kern w:val="21"/>
              </w:rPr>
            </w:pPr>
            <w:r>
              <w:rPr>
                <w:color w:val="auto"/>
                <w:kern w:val="21"/>
              </w:rPr>
              <w:t>25</w:t>
            </w:r>
          </w:p>
        </w:tc>
        <w:tc>
          <w:tcPr>
            <w:tcW w:w="278" w:type="pct"/>
            <w:vAlign w:val="center"/>
          </w:tcPr>
          <w:p>
            <w:pPr>
              <w:adjustRightInd w:val="0"/>
              <w:snapToGrid w:val="0"/>
              <w:jc w:val="center"/>
              <w:rPr>
                <w:color w:val="auto"/>
                <w:kern w:val="21"/>
              </w:rPr>
            </w:pPr>
            <w:r>
              <w:rPr>
                <w:color w:val="auto"/>
                <w:kern w:val="21"/>
              </w:rPr>
              <w:t>1</w:t>
            </w:r>
          </w:p>
        </w:tc>
        <w:tc>
          <w:tcPr>
            <w:tcW w:w="340" w:type="pct"/>
            <w:vMerge w:val="continue"/>
            <w:vAlign w:val="center"/>
          </w:tcPr>
          <w:p>
            <w:pPr>
              <w:adjustRightInd w:val="0"/>
              <w:snapToGrid w:val="0"/>
              <w:jc w:val="center"/>
              <w:rPr>
                <w:color w:val="auto"/>
                <w:kern w:val="21"/>
              </w:rPr>
            </w:pPr>
          </w:p>
        </w:tc>
        <w:tc>
          <w:tcPr>
            <w:tcW w:w="536" w:type="pct"/>
            <w:vAlign w:val="center"/>
          </w:tcPr>
          <w:p>
            <w:pPr>
              <w:adjustRightInd w:val="0"/>
              <w:snapToGrid w:val="0"/>
              <w:jc w:val="center"/>
              <w:rPr>
                <w:rFonts w:hint="default" w:eastAsia="宋体"/>
                <w:color w:val="auto"/>
                <w:kern w:val="21"/>
                <w:lang w:val="en-US" w:eastAsia="zh-CN"/>
              </w:rPr>
            </w:pPr>
            <w:r>
              <w:rPr>
                <w:rFonts w:hint="eastAsia"/>
                <w:bCs/>
                <w:color w:val="auto"/>
                <w:kern w:val="21"/>
              </w:rPr>
              <w:t>0.</w:t>
            </w:r>
            <w:r>
              <w:rPr>
                <w:rFonts w:hint="eastAsia"/>
                <w:bCs/>
                <w:color w:val="auto"/>
                <w:kern w:val="21"/>
                <w:lang w:val="en-US" w:eastAsia="zh-CN"/>
              </w:rPr>
              <w:t>4428</w:t>
            </w:r>
          </w:p>
        </w:tc>
        <w:tc>
          <w:tcPr>
            <w:tcW w:w="602" w:type="pct"/>
            <w:vAlign w:val="center"/>
          </w:tcPr>
          <w:p>
            <w:pPr>
              <w:adjustRightInd w:val="0"/>
              <w:snapToGrid w:val="0"/>
              <w:jc w:val="center"/>
              <w:rPr>
                <w:b/>
                <w:color w:val="auto"/>
                <w:kern w:val="21"/>
              </w:rPr>
            </w:pPr>
            <w:r>
              <w:rPr>
                <w:b/>
                <w:color w:val="auto"/>
                <w:kern w:val="21"/>
              </w:rPr>
              <w:t>/</w:t>
            </w:r>
          </w:p>
        </w:tc>
      </w:tr>
    </w:tbl>
    <w:p>
      <w:pPr>
        <w:spacing w:before="240" w:beforeLines="100" w:after="120" w:afterLines="50"/>
        <w:ind w:firstLine="1205" w:firstLineChars="500"/>
        <w:jc w:val="center"/>
        <w:rPr>
          <w:b/>
          <w:color w:val="auto"/>
          <w:sz w:val="24"/>
          <w:szCs w:val="24"/>
        </w:rPr>
      </w:pPr>
    </w:p>
    <w:p>
      <w:pPr>
        <w:rPr>
          <w:color w:val="auto"/>
        </w:rPr>
        <w:sectPr>
          <w:pgSz w:w="16840" w:h="11907" w:orient="landscape"/>
          <w:pgMar w:top="1797" w:right="1440" w:bottom="1797" w:left="1440" w:header="907" w:footer="907" w:gutter="0"/>
          <w:cols w:space="425" w:num="1"/>
          <w:docGrid w:linePitch="380" w:charSpace="0"/>
        </w:sectPr>
      </w:pPr>
    </w:p>
    <w:p>
      <w:pPr>
        <w:pStyle w:val="6"/>
        <w:spacing w:before="0" w:after="0" w:line="360" w:lineRule="auto"/>
        <w:rPr>
          <w:b w:val="0"/>
          <w:color w:val="auto"/>
          <w:sz w:val="24"/>
          <w:szCs w:val="24"/>
        </w:rPr>
      </w:pPr>
      <w:r>
        <w:rPr>
          <w:b w:val="0"/>
          <w:color w:val="auto"/>
          <w:sz w:val="24"/>
          <w:szCs w:val="24"/>
        </w:rPr>
        <w:t>5.1.2.4评价工作等级</w:t>
      </w:r>
      <w:bookmarkEnd w:id="322"/>
      <w:bookmarkEnd w:id="323"/>
    </w:p>
    <w:p>
      <w:pPr>
        <w:adjustRightInd w:val="0"/>
        <w:snapToGrid w:val="0"/>
        <w:spacing w:before="120" w:beforeLines="50" w:line="360" w:lineRule="auto"/>
        <w:ind w:firstLine="480" w:firstLineChars="200"/>
        <w:textAlignment w:val="baseline"/>
        <w:rPr>
          <w:color w:val="auto"/>
          <w:kern w:val="0"/>
          <w:sz w:val="24"/>
          <w:szCs w:val="20"/>
        </w:rPr>
      </w:pPr>
      <w:r>
        <w:rPr>
          <w:color w:val="auto"/>
          <w:kern w:val="0"/>
          <w:sz w:val="24"/>
          <w:szCs w:val="20"/>
        </w:rPr>
        <w:t>（1）模型参数</w:t>
      </w:r>
    </w:p>
    <w:p>
      <w:pPr>
        <w:adjustRightInd w:val="0"/>
        <w:snapToGrid w:val="0"/>
        <w:spacing w:before="120" w:beforeLines="50" w:line="360" w:lineRule="auto"/>
        <w:ind w:firstLine="480" w:firstLineChars="200"/>
        <w:textAlignment w:val="baseline"/>
        <w:rPr>
          <w:color w:val="auto"/>
          <w:kern w:val="0"/>
          <w:sz w:val="24"/>
          <w:szCs w:val="20"/>
        </w:rPr>
      </w:pPr>
      <w:r>
        <w:rPr>
          <w:color w:val="auto"/>
          <w:kern w:val="0"/>
          <w:sz w:val="24"/>
          <w:szCs w:val="20"/>
        </w:rPr>
        <w:t>本项目大气环境影响评价等级确定采用《环境影响评价技术导则  大气环境》（HJ2.2-2018）推荐的估算模式AERSCREEN计算工程主要污染源污染物的最大落地浓度及其出现距离，估算模型参数见下表：</w:t>
      </w:r>
    </w:p>
    <w:p>
      <w:pPr>
        <w:ind w:firstLine="960" w:firstLineChars="400"/>
        <w:jc w:val="center"/>
        <w:rPr>
          <w:rFonts w:eastAsia="黑体"/>
          <w:color w:val="auto"/>
          <w:sz w:val="24"/>
          <w:szCs w:val="24"/>
        </w:rPr>
      </w:pPr>
      <w:r>
        <w:rPr>
          <w:rFonts w:eastAsia="黑体"/>
          <w:color w:val="auto"/>
          <w:sz w:val="24"/>
          <w:szCs w:val="24"/>
        </w:rPr>
        <w:t>表5.1-9    估算模型参数表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28" w:type="dxa"/>
          <w:bottom w:w="0" w:type="dxa"/>
          <w:right w:w="28" w:type="dxa"/>
        </w:tblCellMar>
      </w:tblPr>
      <w:tblGrid>
        <w:gridCol w:w="2197"/>
        <w:gridCol w:w="3391"/>
        <w:gridCol w:w="278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7" w:type="dxa"/>
            <w:gridSpan w:val="2"/>
            <w:vAlign w:val="center"/>
          </w:tcPr>
          <w:p>
            <w:pPr>
              <w:jc w:val="center"/>
              <w:rPr>
                <w:b/>
                <w:bCs/>
                <w:color w:val="auto"/>
                <w:szCs w:val="20"/>
              </w:rPr>
            </w:pPr>
            <w:r>
              <w:rPr>
                <w:b/>
                <w:bCs/>
                <w:color w:val="auto"/>
                <w:szCs w:val="20"/>
              </w:rPr>
              <w:t>参数</w:t>
            </w:r>
          </w:p>
        </w:tc>
        <w:tc>
          <w:tcPr>
            <w:tcW w:w="2781" w:type="dxa"/>
            <w:vAlign w:val="center"/>
          </w:tcPr>
          <w:p>
            <w:pPr>
              <w:jc w:val="center"/>
              <w:rPr>
                <w:b/>
                <w:bCs/>
                <w:color w:val="auto"/>
                <w:szCs w:val="20"/>
              </w:rPr>
            </w:pPr>
            <w:r>
              <w:rPr>
                <w:b/>
                <w:bCs/>
                <w:color w:val="auto"/>
                <w:szCs w:val="20"/>
              </w:rPr>
              <w:t>取值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restart"/>
            <w:vAlign w:val="center"/>
          </w:tcPr>
          <w:p>
            <w:pPr>
              <w:contextualSpacing/>
              <w:jc w:val="center"/>
              <w:textAlignment w:val="baseline"/>
              <w:rPr>
                <w:color w:val="auto"/>
                <w:kern w:val="0"/>
              </w:rPr>
            </w:pPr>
            <w:r>
              <w:rPr>
                <w:color w:val="auto"/>
                <w:kern w:val="0"/>
              </w:rPr>
              <w:t>城市/农村选项</w:t>
            </w:r>
          </w:p>
        </w:tc>
        <w:tc>
          <w:tcPr>
            <w:tcW w:w="3391" w:type="dxa"/>
            <w:vAlign w:val="center"/>
          </w:tcPr>
          <w:p>
            <w:pPr>
              <w:contextualSpacing/>
              <w:jc w:val="center"/>
              <w:textAlignment w:val="baseline"/>
              <w:rPr>
                <w:color w:val="auto"/>
                <w:kern w:val="0"/>
              </w:rPr>
            </w:pPr>
            <w:r>
              <w:rPr>
                <w:color w:val="auto"/>
                <w:kern w:val="0"/>
              </w:rPr>
              <w:t>城市/农村</w:t>
            </w:r>
          </w:p>
        </w:tc>
        <w:tc>
          <w:tcPr>
            <w:tcW w:w="2781" w:type="dxa"/>
            <w:vAlign w:val="center"/>
          </w:tcPr>
          <w:p>
            <w:pPr>
              <w:contextualSpacing/>
              <w:jc w:val="center"/>
              <w:textAlignment w:val="baseline"/>
              <w:rPr>
                <w:color w:val="auto"/>
                <w:kern w:val="0"/>
              </w:rPr>
            </w:pPr>
            <w:r>
              <w:rPr>
                <w:b/>
                <w:bCs/>
                <w:color w:val="auto"/>
                <w:kern w:val="0"/>
                <w:u w:val="single"/>
              </w:rPr>
              <w:t>农村</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continue"/>
            <w:vAlign w:val="center"/>
          </w:tcPr>
          <w:p>
            <w:pPr>
              <w:contextualSpacing/>
              <w:jc w:val="center"/>
              <w:textAlignment w:val="baseline"/>
              <w:rPr>
                <w:color w:val="auto"/>
                <w:kern w:val="0"/>
              </w:rPr>
            </w:pPr>
          </w:p>
        </w:tc>
        <w:tc>
          <w:tcPr>
            <w:tcW w:w="3391" w:type="dxa"/>
            <w:vAlign w:val="center"/>
          </w:tcPr>
          <w:p>
            <w:pPr>
              <w:contextualSpacing/>
              <w:jc w:val="center"/>
              <w:textAlignment w:val="baseline"/>
              <w:rPr>
                <w:color w:val="auto"/>
                <w:kern w:val="0"/>
              </w:rPr>
            </w:pPr>
            <w:r>
              <w:rPr>
                <w:color w:val="auto"/>
                <w:kern w:val="0"/>
              </w:rPr>
              <w:t>人口数（城市选项时）</w:t>
            </w:r>
          </w:p>
        </w:tc>
        <w:tc>
          <w:tcPr>
            <w:tcW w:w="2781" w:type="dxa"/>
            <w:vAlign w:val="center"/>
          </w:tcPr>
          <w:p>
            <w:pPr>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7" w:type="dxa"/>
            <w:gridSpan w:val="2"/>
            <w:vAlign w:val="center"/>
          </w:tcPr>
          <w:p>
            <w:pPr>
              <w:contextualSpacing/>
              <w:jc w:val="center"/>
              <w:textAlignment w:val="baseline"/>
              <w:rPr>
                <w:color w:val="auto"/>
                <w:kern w:val="0"/>
              </w:rPr>
            </w:pPr>
            <w:r>
              <w:rPr>
                <w:color w:val="auto"/>
                <w:kern w:val="0"/>
              </w:rPr>
              <w:t>最高环境温度/℃</w:t>
            </w:r>
          </w:p>
        </w:tc>
        <w:tc>
          <w:tcPr>
            <w:tcW w:w="2781" w:type="dxa"/>
            <w:vAlign w:val="center"/>
          </w:tcPr>
          <w:p>
            <w:pPr>
              <w:contextualSpacing/>
              <w:jc w:val="center"/>
              <w:textAlignment w:val="baseline"/>
              <w:rPr>
                <w:color w:val="auto"/>
                <w:kern w:val="0"/>
              </w:rPr>
            </w:pPr>
            <w:r>
              <w:rPr>
                <w:color w:val="auto"/>
                <w:kern w:val="0"/>
              </w:rPr>
              <w:t>39.3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7" w:type="dxa"/>
            <w:gridSpan w:val="2"/>
            <w:vAlign w:val="center"/>
          </w:tcPr>
          <w:p>
            <w:pPr>
              <w:contextualSpacing/>
              <w:jc w:val="center"/>
              <w:textAlignment w:val="baseline"/>
              <w:rPr>
                <w:color w:val="auto"/>
                <w:kern w:val="0"/>
              </w:rPr>
            </w:pPr>
            <w:r>
              <w:rPr>
                <w:color w:val="auto"/>
                <w:kern w:val="0"/>
              </w:rPr>
              <w:t>最低环境温度/℃</w:t>
            </w:r>
          </w:p>
        </w:tc>
        <w:tc>
          <w:tcPr>
            <w:tcW w:w="2781" w:type="dxa"/>
            <w:vAlign w:val="center"/>
          </w:tcPr>
          <w:p>
            <w:pPr>
              <w:contextualSpacing/>
              <w:jc w:val="center"/>
              <w:textAlignment w:val="baseline"/>
              <w:rPr>
                <w:color w:val="auto"/>
                <w:kern w:val="0"/>
              </w:rPr>
            </w:pPr>
            <w:r>
              <w:rPr>
                <w:color w:val="auto"/>
                <w:kern w:val="0"/>
              </w:rPr>
              <w:t>-9.9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7" w:type="dxa"/>
            <w:gridSpan w:val="2"/>
            <w:vAlign w:val="center"/>
          </w:tcPr>
          <w:p>
            <w:pPr>
              <w:contextualSpacing/>
              <w:jc w:val="center"/>
              <w:textAlignment w:val="baseline"/>
              <w:rPr>
                <w:color w:val="auto"/>
                <w:kern w:val="0"/>
              </w:rPr>
            </w:pPr>
            <w:r>
              <w:rPr>
                <w:color w:val="auto"/>
                <w:kern w:val="0"/>
              </w:rPr>
              <w:t>土地利用类型</w:t>
            </w:r>
          </w:p>
        </w:tc>
        <w:tc>
          <w:tcPr>
            <w:tcW w:w="2781" w:type="dxa"/>
            <w:vAlign w:val="center"/>
          </w:tcPr>
          <w:p>
            <w:pPr>
              <w:contextualSpacing/>
              <w:jc w:val="center"/>
              <w:textAlignment w:val="baseline"/>
              <w:rPr>
                <w:color w:val="auto"/>
                <w:kern w:val="0"/>
              </w:rPr>
            </w:pPr>
            <w:r>
              <w:rPr>
                <w:color w:val="auto"/>
                <w:kern w:val="0"/>
              </w:rPr>
              <w:t>农作地</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5587" w:type="dxa"/>
            <w:gridSpan w:val="2"/>
            <w:vAlign w:val="center"/>
          </w:tcPr>
          <w:p>
            <w:pPr>
              <w:contextualSpacing/>
              <w:jc w:val="center"/>
              <w:textAlignment w:val="baseline"/>
              <w:rPr>
                <w:color w:val="auto"/>
                <w:kern w:val="0"/>
              </w:rPr>
            </w:pPr>
            <w:r>
              <w:rPr>
                <w:color w:val="auto"/>
                <w:kern w:val="0"/>
              </w:rPr>
              <w:t>区域湿度条件</w:t>
            </w:r>
          </w:p>
        </w:tc>
        <w:tc>
          <w:tcPr>
            <w:tcW w:w="2781" w:type="dxa"/>
            <w:vAlign w:val="center"/>
          </w:tcPr>
          <w:p>
            <w:pPr>
              <w:contextualSpacing/>
              <w:jc w:val="center"/>
              <w:textAlignment w:val="baseline"/>
              <w:rPr>
                <w:color w:val="auto"/>
                <w:kern w:val="0"/>
              </w:rPr>
            </w:pPr>
            <w:r>
              <w:rPr>
                <w:color w:val="auto"/>
                <w:kern w:val="0"/>
              </w:rPr>
              <w:t>中等湿度气候</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restart"/>
            <w:vAlign w:val="center"/>
          </w:tcPr>
          <w:p>
            <w:pPr>
              <w:contextualSpacing/>
              <w:jc w:val="center"/>
              <w:textAlignment w:val="baseline"/>
              <w:rPr>
                <w:color w:val="auto"/>
                <w:kern w:val="0"/>
              </w:rPr>
            </w:pPr>
            <w:r>
              <w:rPr>
                <w:color w:val="auto"/>
                <w:kern w:val="0"/>
              </w:rPr>
              <w:t>是否考虑地形</w:t>
            </w:r>
          </w:p>
        </w:tc>
        <w:tc>
          <w:tcPr>
            <w:tcW w:w="3391" w:type="dxa"/>
            <w:vAlign w:val="center"/>
          </w:tcPr>
          <w:p>
            <w:pPr>
              <w:contextualSpacing/>
              <w:jc w:val="center"/>
              <w:textAlignment w:val="baseline"/>
              <w:rPr>
                <w:color w:val="auto"/>
                <w:kern w:val="0"/>
              </w:rPr>
            </w:pPr>
            <w:r>
              <w:rPr>
                <w:color w:val="auto"/>
                <w:kern w:val="0"/>
              </w:rPr>
              <w:t>考虑地形</w:t>
            </w:r>
          </w:p>
        </w:tc>
        <w:tc>
          <w:tcPr>
            <w:tcW w:w="2781" w:type="dxa"/>
            <w:vAlign w:val="center"/>
          </w:tcPr>
          <w:p>
            <w:pPr>
              <w:contextualSpacing/>
              <w:jc w:val="center"/>
              <w:textAlignment w:val="baseline"/>
              <w:rPr>
                <w:color w:val="auto"/>
                <w:kern w:val="0"/>
              </w:rPr>
            </w:pPr>
            <w:r>
              <w:rPr>
                <w:color w:val="auto"/>
                <w:kern w:val="0"/>
              </w:rPr>
              <w:t>是</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continue"/>
            <w:vAlign w:val="center"/>
          </w:tcPr>
          <w:p>
            <w:pPr>
              <w:contextualSpacing/>
              <w:jc w:val="center"/>
              <w:textAlignment w:val="baseline"/>
              <w:rPr>
                <w:color w:val="auto"/>
                <w:kern w:val="0"/>
              </w:rPr>
            </w:pPr>
          </w:p>
        </w:tc>
        <w:tc>
          <w:tcPr>
            <w:tcW w:w="3391" w:type="dxa"/>
            <w:vAlign w:val="center"/>
          </w:tcPr>
          <w:p>
            <w:pPr>
              <w:contextualSpacing/>
              <w:jc w:val="center"/>
              <w:textAlignment w:val="baseline"/>
              <w:rPr>
                <w:color w:val="auto"/>
                <w:kern w:val="0"/>
              </w:rPr>
            </w:pPr>
            <w:r>
              <w:rPr>
                <w:color w:val="auto"/>
                <w:kern w:val="0"/>
              </w:rPr>
              <w:t>地形数据分辨率/m</w:t>
            </w:r>
          </w:p>
        </w:tc>
        <w:tc>
          <w:tcPr>
            <w:tcW w:w="2781" w:type="dxa"/>
            <w:vAlign w:val="center"/>
          </w:tcPr>
          <w:p>
            <w:pPr>
              <w:contextualSpacing/>
              <w:jc w:val="center"/>
              <w:textAlignment w:val="baseline"/>
              <w:rPr>
                <w:color w:val="auto"/>
                <w:kern w:val="0"/>
              </w:rPr>
            </w:pPr>
            <w:r>
              <w:rPr>
                <w:color w:val="auto"/>
                <w:kern w:val="0"/>
              </w:rPr>
              <w:t>90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restart"/>
            <w:vAlign w:val="center"/>
          </w:tcPr>
          <w:p>
            <w:pPr>
              <w:contextualSpacing/>
              <w:jc w:val="center"/>
              <w:textAlignment w:val="baseline"/>
              <w:rPr>
                <w:color w:val="auto"/>
                <w:kern w:val="0"/>
              </w:rPr>
            </w:pPr>
            <w:r>
              <w:rPr>
                <w:color w:val="auto"/>
                <w:kern w:val="0"/>
              </w:rPr>
              <w:t>是否考虑岸线熏烟</w:t>
            </w:r>
          </w:p>
        </w:tc>
        <w:tc>
          <w:tcPr>
            <w:tcW w:w="3391" w:type="dxa"/>
            <w:vAlign w:val="center"/>
          </w:tcPr>
          <w:p>
            <w:pPr>
              <w:contextualSpacing/>
              <w:jc w:val="center"/>
              <w:textAlignment w:val="baseline"/>
              <w:rPr>
                <w:color w:val="auto"/>
                <w:kern w:val="0"/>
              </w:rPr>
            </w:pPr>
            <w:r>
              <w:rPr>
                <w:color w:val="auto"/>
                <w:kern w:val="0"/>
              </w:rPr>
              <w:t>考虑岸线熏烟</w:t>
            </w:r>
          </w:p>
        </w:tc>
        <w:tc>
          <w:tcPr>
            <w:tcW w:w="2781" w:type="dxa"/>
            <w:vAlign w:val="center"/>
          </w:tcPr>
          <w:p>
            <w:pPr>
              <w:contextualSpacing/>
              <w:jc w:val="center"/>
              <w:textAlignment w:val="baseline"/>
              <w:rPr>
                <w:color w:val="auto"/>
                <w:kern w:val="0"/>
              </w:rPr>
            </w:pPr>
            <w:r>
              <w:rPr>
                <w:color w:val="auto"/>
                <w:kern w:val="0"/>
              </w:rPr>
              <w:t>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continue"/>
            <w:vAlign w:val="center"/>
          </w:tcPr>
          <w:p>
            <w:pPr>
              <w:contextualSpacing/>
              <w:jc w:val="center"/>
              <w:textAlignment w:val="baseline"/>
              <w:rPr>
                <w:color w:val="auto"/>
                <w:kern w:val="0"/>
              </w:rPr>
            </w:pPr>
          </w:p>
        </w:tc>
        <w:tc>
          <w:tcPr>
            <w:tcW w:w="3391" w:type="dxa"/>
            <w:vAlign w:val="center"/>
          </w:tcPr>
          <w:p>
            <w:pPr>
              <w:contextualSpacing/>
              <w:jc w:val="center"/>
              <w:textAlignment w:val="baseline"/>
              <w:rPr>
                <w:color w:val="auto"/>
                <w:kern w:val="0"/>
              </w:rPr>
            </w:pPr>
            <w:r>
              <w:rPr>
                <w:color w:val="auto"/>
                <w:kern w:val="0"/>
              </w:rPr>
              <w:t>岸线距离/km</w:t>
            </w:r>
          </w:p>
        </w:tc>
        <w:tc>
          <w:tcPr>
            <w:tcW w:w="2781" w:type="dxa"/>
            <w:vAlign w:val="center"/>
          </w:tcPr>
          <w:p>
            <w:pPr>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54" w:hRule="atLeast"/>
          <w:jc w:val="center"/>
        </w:trPr>
        <w:tc>
          <w:tcPr>
            <w:tcW w:w="2196" w:type="dxa"/>
            <w:vMerge w:val="continue"/>
            <w:vAlign w:val="center"/>
          </w:tcPr>
          <w:p>
            <w:pPr>
              <w:contextualSpacing/>
              <w:jc w:val="center"/>
              <w:textAlignment w:val="baseline"/>
              <w:rPr>
                <w:color w:val="auto"/>
                <w:kern w:val="0"/>
              </w:rPr>
            </w:pPr>
          </w:p>
        </w:tc>
        <w:tc>
          <w:tcPr>
            <w:tcW w:w="3391" w:type="dxa"/>
            <w:vAlign w:val="center"/>
          </w:tcPr>
          <w:p>
            <w:pPr>
              <w:contextualSpacing/>
              <w:jc w:val="center"/>
              <w:textAlignment w:val="baseline"/>
              <w:rPr>
                <w:color w:val="auto"/>
                <w:kern w:val="0"/>
              </w:rPr>
            </w:pPr>
            <w:r>
              <w:rPr>
                <w:color w:val="auto"/>
                <w:kern w:val="0"/>
              </w:rPr>
              <w:t>岸线方向/ º</w:t>
            </w:r>
          </w:p>
        </w:tc>
        <w:tc>
          <w:tcPr>
            <w:tcW w:w="2781" w:type="dxa"/>
            <w:vAlign w:val="center"/>
          </w:tcPr>
          <w:p>
            <w:pPr>
              <w:contextualSpacing/>
              <w:jc w:val="center"/>
              <w:textAlignment w:val="baseline"/>
              <w:rPr>
                <w:color w:val="auto"/>
                <w:kern w:val="0"/>
              </w:rPr>
            </w:pPr>
            <w:r>
              <w:rPr>
                <w:color w:val="auto"/>
                <w:kern w:val="0"/>
              </w:rPr>
              <w:t>/</w:t>
            </w:r>
          </w:p>
        </w:tc>
      </w:tr>
    </w:tbl>
    <w:p>
      <w:pPr>
        <w:spacing w:line="520" w:lineRule="exact"/>
        <w:ind w:firstLine="480" w:firstLineChars="200"/>
        <w:rPr>
          <w:color w:val="auto"/>
          <w:sz w:val="24"/>
          <w:szCs w:val="24"/>
        </w:rPr>
      </w:pPr>
      <w:r>
        <w:rPr>
          <w:color w:val="auto"/>
          <w:sz w:val="24"/>
          <w:szCs w:val="24"/>
        </w:rPr>
        <w:t>（2）估算结果</w:t>
      </w:r>
    </w:p>
    <w:p>
      <w:pPr>
        <w:adjustRightInd w:val="0"/>
        <w:snapToGrid w:val="0"/>
        <w:spacing w:line="520" w:lineRule="exact"/>
        <w:ind w:firstLine="720" w:firstLineChars="300"/>
        <w:textAlignment w:val="baseline"/>
        <w:rPr>
          <w:color w:val="auto"/>
          <w:kern w:val="0"/>
          <w:sz w:val="24"/>
          <w:szCs w:val="20"/>
        </w:rPr>
      </w:pPr>
      <w:r>
        <w:rPr>
          <w:color w:val="auto"/>
          <w:kern w:val="0"/>
          <w:sz w:val="24"/>
          <w:szCs w:val="20"/>
        </w:rPr>
        <w:t>评价根据AERSCREEN估算模式分别计算每一种污染物的最大地面质量浓度占标率P</w:t>
      </w:r>
      <w:r>
        <w:rPr>
          <w:color w:val="auto"/>
          <w:kern w:val="0"/>
          <w:sz w:val="24"/>
          <w:szCs w:val="20"/>
          <w:vertAlign w:val="subscript"/>
        </w:rPr>
        <w:t>i</w:t>
      </w:r>
      <w:r>
        <w:rPr>
          <w:color w:val="auto"/>
          <w:kern w:val="0"/>
          <w:sz w:val="24"/>
          <w:szCs w:val="20"/>
        </w:rPr>
        <w:t>（第i个污染物），及第i个污染物的地面质量达标准浓度限值10%时所对应的最远距离D</w:t>
      </w:r>
      <w:r>
        <w:rPr>
          <w:color w:val="auto"/>
          <w:kern w:val="0"/>
          <w:sz w:val="24"/>
          <w:szCs w:val="20"/>
          <w:vertAlign w:val="subscript"/>
        </w:rPr>
        <w:t>10%</w:t>
      </w:r>
      <w:r>
        <w:rPr>
          <w:color w:val="auto"/>
          <w:kern w:val="0"/>
          <w:sz w:val="24"/>
          <w:szCs w:val="20"/>
        </w:rPr>
        <w:t>。其中P</w:t>
      </w:r>
      <w:r>
        <w:rPr>
          <w:color w:val="auto"/>
          <w:kern w:val="0"/>
          <w:sz w:val="24"/>
          <w:szCs w:val="20"/>
          <w:vertAlign w:val="subscript"/>
        </w:rPr>
        <w:t>i</w:t>
      </w:r>
      <w:r>
        <w:rPr>
          <w:color w:val="auto"/>
          <w:kern w:val="0"/>
          <w:sz w:val="24"/>
          <w:szCs w:val="20"/>
        </w:rPr>
        <w:t>定义为：</w:t>
      </w:r>
    </w:p>
    <w:p>
      <w:pPr>
        <w:adjustRightInd w:val="0"/>
        <w:snapToGrid w:val="0"/>
        <w:spacing w:before="120" w:line="520" w:lineRule="exact"/>
        <w:ind w:firstLine="630" w:firstLineChars="300"/>
        <w:textAlignment w:val="baseline"/>
        <w:rPr>
          <w:color w:val="auto"/>
          <w:kern w:val="0"/>
          <w:sz w:val="24"/>
          <w:szCs w:val="20"/>
        </w:rPr>
      </w:pPr>
      <w:r>
        <w:rPr>
          <w:color w:val="auto"/>
        </w:rPr>
        <w:drawing>
          <wp:anchor distT="0" distB="0" distL="114300" distR="114300" simplePos="0" relativeHeight="251759616" behindDoc="0" locked="0" layoutInCell="1" allowOverlap="1">
            <wp:simplePos x="0" y="0"/>
            <wp:positionH relativeFrom="column">
              <wp:posOffset>1897380</wp:posOffset>
            </wp:positionH>
            <wp:positionV relativeFrom="paragraph">
              <wp:posOffset>28575</wp:posOffset>
            </wp:positionV>
            <wp:extent cx="1227455" cy="476250"/>
            <wp:effectExtent l="0" t="0" r="10795" b="0"/>
            <wp:wrapNone/>
            <wp:docPr id="1475" name="图片 43" descr="说明: 154210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图片 43" descr="说明: 1542103095"/>
                    <pic:cNvPicPr>
                      <a:picLocks noChangeAspect="1" noChangeArrowheads="1"/>
                    </pic:cNvPicPr>
                  </pic:nvPicPr>
                  <pic:blipFill>
                    <a:blip r:embed="rId45"/>
                    <a:srcRect/>
                    <a:stretch>
                      <a:fillRect/>
                    </a:stretch>
                  </pic:blipFill>
                  <pic:spPr>
                    <a:xfrm>
                      <a:off x="0" y="0"/>
                      <a:ext cx="1227455" cy="476250"/>
                    </a:xfrm>
                    <a:prstGeom prst="rect">
                      <a:avLst/>
                    </a:prstGeom>
                    <a:noFill/>
                    <a:ln>
                      <a:noFill/>
                    </a:ln>
                  </pic:spPr>
                </pic:pic>
              </a:graphicData>
            </a:graphic>
          </wp:anchor>
        </w:drawing>
      </w:r>
      <w:r>
        <w:rPr>
          <w:color w:val="auto"/>
          <w:kern w:val="0"/>
          <w:sz w:val="24"/>
          <w:szCs w:val="20"/>
        </w:rPr>
        <w:t xml:space="preserve">                      </w:t>
      </w:r>
    </w:p>
    <w:p>
      <w:pPr>
        <w:adjustRightInd w:val="0"/>
        <w:snapToGrid w:val="0"/>
        <w:spacing w:before="120" w:line="520" w:lineRule="exact"/>
        <w:ind w:firstLine="720" w:firstLineChars="300"/>
        <w:textAlignment w:val="baseline"/>
        <w:rPr>
          <w:color w:val="auto"/>
          <w:kern w:val="0"/>
          <w:sz w:val="24"/>
          <w:szCs w:val="20"/>
        </w:rPr>
      </w:pPr>
      <w:r>
        <w:rPr>
          <w:color w:val="auto"/>
          <w:kern w:val="0"/>
          <w:sz w:val="24"/>
          <w:szCs w:val="20"/>
        </w:rPr>
        <w:t xml:space="preserve">   式中：Pi—第i个污染物的最大地面质量浓度占标率，%；</w:t>
      </w:r>
    </w:p>
    <w:p>
      <w:pPr>
        <w:adjustRightInd w:val="0"/>
        <w:snapToGrid w:val="0"/>
        <w:spacing w:before="120" w:line="520" w:lineRule="exact"/>
        <w:ind w:firstLine="720" w:firstLineChars="300"/>
        <w:textAlignment w:val="baseline"/>
        <w:rPr>
          <w:color w:val="auto"/>
          <w:kern w:val="0"/>
          <w:sz w:val="24"/>
          <w:szCs w:val="20"/>
        </w:rPr>
      </w:pPr>
      <w:r>
        <w:rPr>
          <w:color w:val="auto"/>
          <w:kern w:val="0"/>
          <w:sz w:val="24"/>
          <w:szCs w:val="20"/>
        </w:rPr>
        <w:t xml:space="preserve">    C</w:t>
      </w:r>
      <w:r>
        <w:rPr>
          <w:color w:val="auto"/>
          <w:kern w:val="0"/>
          <w:sz w:val="24"/>
          <w:szCs w:val="20"/>
          <w:vertAlign w:val="subscript"/>
        </w:rPr>
        <w:t>i</w:t>
      </w:r>
      <w:r>
        <w:rPr>
          <w:color w:val="auto"/>
          <w:kern w:val="0"/>
          <w:sz w:val="24"/>
          <w:szCs w:val="20"/>
        </w:rPr>
        <w:t>—采用估算模式计算出来的第i个污染物最大地面质量浓度，ug/m</w:t>
      </w:r>
      <w:r>
        <w:rPr>
          <w:color w:val="auto"/>
          <w:kern w:val="0"/>
          <w:sz w:val="24"/>
          <w:szCs w:val="20"/>
          <w:vertAlign w:val="superscript"/>
        </w:rPr>
        <w:t>3</w:t>
      </w:r>
      <w:r>
        <w:rPr>
          <w:color w:val="auto"/>
          <w:kern w:val="0"/>
          <w:sz w:val="24"/>
          <w:szCs w:val="20"/>
        </w:rPr>
        <w:t>；</w:t>
      </w:r>
    </w:p>
    <w:p>
      <w:pPr>
        <w:adjustRightInd w:val="0"/>
        <w:snapToGrid w:val="0"/>
        <w:spacing w:before="120" w:line="520" w:lineRule="exact"/>
        <w:ind w:firstLine="720" w:firstLineChars="300"/>
        <w:textAlignment w:val="baseline"/>
        <w:rPr>
          <w:color w:val="auto"/>
          <w:kern w:val="0"/>
          <w:sz w:val="24"/>
          <w:szCs w:val="20"/>
        </w:rPr>
      </w:pPr>
      <w:r>
        <w:rPr>
          <w:color w:val="auto"/>
          <w:kern w:val="0"/>
          <w:sz w:val="24"/>
          <w:szCs w:val="20"/>
        </w:rPr>
        <w:t xml:space="preserve">    C</w:t>
      </w:r>
      <w:r>
        <w:rPr>
          <w:color w:val="auto"/>
          <w:kern w:val="0"/>
          <w:sz w:val="24"/>
          <w:szCs w:val="20"/>
          <w:vertAlign w:val="subscript"/>
        </w:rPr>
        <w:t>0i</w:t>
      </w:r>
      <w:r>
        <w:rPr>
          <w:color w:val="auto"/>
          <w:kern w:val="0"/>
          <w:sz w:val="24"/>
          <w:szCs w:val="20"/>
        </w:rPr>
        <w:t>―第i个污染物的环境空气质量浓度标准，ug/m</w:t>
      </w:r>
      <w:r>
        <w:rPr>
          <w:color w:val="auto"/>
          <w:kern w:val="0"/>
          <w:sz w:val="24"/>
          <w:szCs w:val="20"/>
          <w:vertAlign w:val="superscript"/>
        </w:rPr>
        <w:t>3</w:t>
      </w:r>
      <w:r>
        <w:rPr>
          <w:color w:val="auto"/>
          <w:kern w:val="0"/>
          <w:sz w:val="24"/>
          <w:szCs w:val="20"/>
        </w:rPr>
        <w:t>；</w:t>
      </w:r>
    </w:p>
    <w:p>
      <w:pPr>
        <w:adjustRightInd w:val="0"/>
        <w:snapToGrid w:val="0"/>
        <w:spacing w:before="120" w:line="520" w:lineRule="exact"/>
        <w:ind w:firstLine="720" w:firstLineChars="300"/>
        <w:textAlignment w:val="baseline"/>
        <w:rPr>
          <w:color w:val="auto"/>
          <w:kern w:val="0"/>
          <w:sz w:val="24"/>
          <w:szCs w:val="20"/>
        </w:rPr>
      </w:pPr>
      <w:r>
        <w:rPr>
          <w:color w:val="auto"/>
          <w:kern w:val="0"/>
          <w:sz w:val="24"/>
          <w:szCs w:val="20"/>
        </w:rPr>
        <w:t xml:space="preserve">   C</w:t>
      </w:r>
      <w:r>
        <w:rPr>
          <w:color w:val="auto"/>
          <w:kern w:val="0"/>
          <w:sz w:val="24"/>
          <w:szCs w:val="20"/>
          <w:vertAlign w:val="subscript"/>
        </w:rPr>
        <w:t>0i</w:t>
      </w:r>
      <w:r>
        <w:rPr>
          <w:color w:val="auto"/>
          <w:kern w:val="0"/>
          <w:sz w:val="24"/>
          <w:szCs w:val="20"/>
        </w:rPr>
        <w:t>―一般选用《环境空气质量标准》（GB3095-2012）中1h平均质量浓度的二级浓度限值；若没有1h质量浓度值，将日均浓度按3倍折算为1h平均质量浓度进行评价。</w:t>
      </w:r>
    </w:p>
    <w:p>
      <w:pPr>
        <w:adjustRightInd w:val="0"/>
        <w:snapToGrid w:val="0"/>
        <w:spacing w:before="120" w:line="520" w:lineRule="exact"/>
        <w:ind w:firstLine="720" w:firstLineChars="300"/>
        <w:textAlignment w:val="baseline"/>
        <w:rPr>
          <w:color w:val="auto"/>
          <w:kern w:val="0"/>
          <w:sz w:val="24"/>
          <w:szCs w:val="20"/>
        </w:rPr>
      </w:pPr>
      <w:r>
        <w:rPr>
          <w:color w:val="auto"/>
          <w:kern w:val="0"/>
          <w:sz w:val="24"/>
          <w:szCs w:val="20"/>
        </w:rPr>
        <w:t>根据《环境影响评价技术导则-大气环境》（HJ2.2-2018），本项目大气环境评价工作等级判据如下表</w:t>
      </w:r>
    </w:p>
    <w:p>
      <w:pPr>
        <w:ind w:firstLine="960" w:firstLineChars="400"/>
        <w:jc w:val="center"/>
        <w:rPr>
          <w:rFonts w:eastAsia="黑体"/>
          <w:color w:val="auto"/>
          <w:sz w:val="24"/>
          <w:szCs w:val="24"/>
        </w:rPr>
      </w:pPr>
      <w:r>
        <w:rPr>
          <w:rFonts w:eastAsia="黑体"/>
          <w:color w:val="auto"/>
          <w:sz w:val="24"/>
          <w:szCs w:val="24"/>
        </w:rPr>
        <w:t>表5.1-10</w:t>
      </w:r>
      <w:r>
        <w:rPr>
          <w:rFonts w:hint="eastAsia" w:eastAsia="黑体"/>
          <w:color w:val="auto"/>
          <w:sz w:val="24"/>
          <w:szCs w:val="24"/>
        </w:rPr>
        <w:t xml:space="preserve">    </w:t>
      </w:r>
      <w:r>
        <w:rPr>
          <w:rFonts w:eastAsia="黑体"/>
          <w:color w:val="auto"/>
          <w:sz w:val="24"/>
          <w:szCs w:val="24"/>
        </w:rPr>
        <w:t>大气环境评价等级判据</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5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shd w:val="clear" w:color="auto" w:fill="auto"/>
            <w:vAlign w:val="center"/>
          </w:tcPr>
          <w:p>
            <w:pPr>
              <w:widowControl w:val="0"/>
              <w:adjustRightInd w:val="0"/>
              <w:snapToGrid w:val="0"/>
              <w:jc w:val="center"/>
              <w:textAlignment w:val="baseline"/>
              <w:rPr>
                <w:b/>
                <w:color w:val="auto"/>
                <w:kern w:val="0"/>
                <w:sz w:val="24"/>
                <w:szCs w:val="20"/>
              </w:rPr>
            </w:pPr>
            <w:r>
              <w:rPr>
                <w:b/>
                <w:color w:val="auto"/>
                <w:kern w:val="0"/>
                <w:sz w:val="24"/>
                <w:szCs w:val="20"/>
              </w:rPr>
              <w:t>评价工作等级</w:t>
            </w:r>
          </w:p>
        </w:tc>
        <w:tc>
          <w:tcPr>
            <w:tcW w:w="5869" w:type="dxa"/>
            <w:shd w:val="clear" w:color="auto" w:fill="auto"/>
            <w:vAlign w:val="center"/>
          </w:tcPr>
          <w:p>
            <w:pPr>
              <w:widowControl w:val="0"/>
              <w:adjustRightInd w:val="0"/>
              <w:snapToGrid w:val="0"/>
              <w:jc w:val="center"/>
              <w:textAlignment w:val="baseline"/>
              <w:rPr>
                <w:b/>
                <w:color w:val="auto"/>
                <w:kern w:val="0"/>
                <w:sz w:val="24"/>
                <w:szCs w:val="20"/>
              </w:rPr>
            </w:pPr>
            <w:r>
              <w:rPr>
                <w:b/>
                <w:color w:val="auto"/>
                <w:kern w:val="0"/>
                <w:sz w:val="24"/>
                <w:szCs w:val="20"/>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shd w:val="clear" w:color="auto" w:fill="auto"/>
            <w:vAlign w:val="center"/>
          </w:tcPr>
          <w:p>
            <w:pPr>
              <w:widowControl w:val="0"/>
              <w:adjustRightInd w:val="0"/>
              <w:snapToGrid w:val="0"/>
              <w:jc w:val="center"/>
              <w:textAlignment w:val="baseline"/>
              <w:rPr>
                <w:color w:val="auto"/>
                <w:kern w:val="0"/>
                <w:sz w:val="24"/>
                <w:szCs w:val="20"/>
              </w:rPr>
            </w:pPr>
            <w:r>
              <w:rPr>
                <w:color w:val="auto"/>
                <w:kern w:val="0"/>
                <w:sz w:val="24"/>
                <w:szCs w:val="20"/>
              </w:rPr>
              <w:t>一级</w:t>
            </w:r>
          </w:p>
        </w:tc>
        <w:tc>
          <w:tcPr>
            <w:tcW w:w="5869" w:type="dxa"/>
            <w:shd w:val="clear" w:color="auto" w:fill="auto"/>
            <w:vAlign w:val="center"/>
          </w:tcPr>
          <w:p>
            <w:pPr>
              <w:widowControl w:val="0"/>
              <w:adjustRightInd w:val="0"/>
              <w:snapToGrid w:val="0"/>
              <w:jc w:val="center"/>
              <w:textAlignment w:val="baseline"/>
              <w:rPr>
                <w:color w:val="auto"/>
                <w:kern w:val="0"/>
                <w:sz w:val="24"/>
                <w:szCs w:val="20"/>
              </w:rPr>
            </w:pPr>
            <w:r>
              <w:rPr>
                <w:color w:val="auto"/>
                <w:kern w:val="0"/>
                <w:sz w:val="24"/>
                <w:szCs w:val="20"/>
              </w:rPr>
              <w:t>P</w:t>
            </w:r>
            <w:r>
              <w:rPr>
                <w:color w:val="auto"/>
                <w:kern w:val="0"/>
                <w:sz w:val="24"/>
                <w:szCs w:val="20"/>
                <w:vertAlign w:val="subscript"/>
              </w:rPr>
              <w:t>max</w:t>
            </w:r>
            <w:r>
              <w:rPr>
                <w:color w:val="auto"/>
                <w:kern w:val="0"/>
                <w:sz w:val="24"/>
                <w:szCs w:val="2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shd w:val="clear" w:color="auto" w:fill="auto"/>
            <w:vAlign w:val="center"/>
          </w:tcPr>
          <w:p>
            <w:pPr>
              <w:widowControl w:val="0"/>
              <w:adjustRightInd w:val="0"/>
              <w:snapToGrid w:val="0"/>
              <w:jc w:val="center"/>
              <w:textAlignment w:val="baseline"/>
              <w:rPr>
                <w:color w:val="auto"/>
                <w:kern w:val="0"/>
                <w:sz w:val="24"/>
                <w:szCs w:val="20"/>
              </w:rPr>
            </w:pPr>
            <w:r>
              <w:rPr>
                <w:color w:val="auto"/>
                <w:kern w:val="0"/>
                <w:sz w:val="24"/>
                <w:szCs w:val="20"/>
              </w:rPr>
              <w:t>二级</w:t>
            </w:r>
          </w:p>
        </w:tc>
        <w:tc>
          <w:tcPr>
            <w:tcW w:w="5869" w:type="dxa"/>
            <w:shd w:val="clear" w:color="auto" w:fill="auto"/>
            <w:vAlign w:val="center"/>
          </w:tcPr>
          <w:p>
            <w:pPr>
              <w:widowControl w:val="0"/>
              <w:adjustRightInd w:val="0"/>
              <w:snapToGrid w:val="0"/>
              <w:jc w:val="center"/>
              <w:textAlignment w:val="baseline"/>
              <w:rPr>
                <w:color w:val="auto"/>
                <w:kern w:val="0"/>
                <w:sz w:val="24"/>
                <w:szCs w:val="20"/>
              </w:rPr>
            </w:pPr>
            <w:r>
              <w:rPr>
                <w:color w:val="auto"/>
                <w:kern w:val="0"/>
                <w:sz w:val="24"/>
                <w:szCs w:val="20"/>
              </w:rPr>
              <w:t>1%≤P</w:t>
            </w:r>
            <w:r>
              <w:rPr>
                <w:color w:val="auto"/>
                <w:kern w:val="0"/>
                <w:sz w:val="24"/>
                <w:szCs w:val="20"/>
                <w:vertAlign w:val="subscript"/>
              </w:rPr>
              <w:t>max</w:t>
            </w:r>
            <w:r>
              <w:rPr>
                <w:color w:val="auto"/>
                <w:kern w:val="0"/>
                <w:sz w:val="24"/>
                <w:szCs w:val="2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0" w:type="dxa"/>
            <w:shd w:val="clear" w:color="auto" w:fill="auto"/>
            <w:vAlign w:val="center"/>
          </w:tcPr>
          <w:p>
            <w:pPr>
              <w:widowControl w:val="0"/>
              <w:adjustRightInd w:val="0"/>
              <w:snapToGrid w:val="0"/>
              <w:jc w:val="center"/>
              <w:textAlignment w:val="baseline"/>
              <w:rPr>
                <w:color w:val="auto"/>
                <w:kern w:val="0"/>
                <w:sz w:val="24"/>
                <w:szCs w:val="20"/>
              </w:rPr>
            </w:pPr>
            <w:r>
              <w:rPr>
                <w:color w:val="auto"/>
                <w:kern w:val="0"/>
                <w:sz w:val="24"/>
                <w:szCs w:val="20"/>
              </w:rPr>
              <w:t>三级</w:t>
            </w:r>
          </w:p>
        </w:tc>
        <w:tc>
          <w:tcPr>
            <w:tcW w:w="5869" w:type="dxa"/>
            <w:shd w:val="clear" w:color="auto" w:fill="auto"/>
            <w:vAlign w:val="center"/>
          </w:tcPr>
          <w:p>
            <w:pPr>
              <w:widowControl w:val="0"/>
              <w:adjustRightInd w:val="0"/>
              <w:snapToGrid w:val="0"/>
              <w:jc w:val="center"/>
              <w:textAlignment w:val="baseline"/>
              <w:rPr>
                <w:color w:val="auto"/>
                <w:kern w:val="0"/>
                <w:sz w:val="24"/>
                <w:szCs w:val="20"/>
              </w:rPr>
            </w:pPr>
            <w:r>
              <w:rPr>
                <w:color w:val="auto"/>
                <w:kern w:val="0"/>
                <w:sz w:val="24"/>
                <w:szCs w:val="20"/>
              </w:rPr>
              <w:t>P</w:t>
            </w:r>
            <w:r>
              <w:rPr>
                <w:color w:val="auto"/>
                <w:kern w:val="0"/>
                <w:sz w:val="24"/>
                <w:szCs w:val="20"/>
                <w:vertAlign w:val="subscript"/>
              </w:rPr>
              <w:t>max</w:t>
            </w:r>
            <w:r>
              <w:rPr>
                <w:color w:val="auto"/>
                <w:kern w:val="0"/>
                <w:sz w:val="24"/>
                <w:szCs w:val="20"/>
              </w:rPr>
              <w:t>＜1%</w:t>
            </w:r>
          </w:p>
        </w:tc>
      </w:tr>
    </w:tbl>
    <w:p>
      <w:pPr>
        <w:adjustRightInd w:val="0"/>
        <w:snapToGrid w:val="0"/>
        <w:spacing w:before="120" w:line="520" w:lineRule="exact"/>
        <w:ind w:firstLine="720" w:firstLineChars="300"/>
        <w:textAlignment w:val="baseline"/>
        <w:rPr>
          <w:color w:val="auto"/>
          <w:kern w:val="0"/>
          <w:sz w:val="24"/>
          <w:szCs w:val="20"/>
        </w:rPr>
      </w:pPr>
      <w:r>
        <w:rPr>
          <w:color w:val="auto"/>
          <w:kern w:val="0"/>
          <w:sz w:val="24"/>
          <w:szCs w:val="20"/>
        </w:rPr>
        <w:t>根据以上原则，采用AERSCREEN估算模式计算结果，从而确定评价等级，计算结果见下表：</w:t>
      </w:r>
    </w:p>
    <w:p>
      <w:pPr>
        <w:ind w:firstLine="960" w:firstLineChars="400"/>
        <w:jc w:val="center"/>
        <w:rPr>
          <w:rFonts w:eastAsia="黑体"/>
          <w:bCs/>
          <w:color w:val="auto"/>
          <w:sz w:val="24"/>
          <w:szCs w:val="24"/>
        </w:rPr>
      </w:pPr>
      <w:bookmarkStart w:id="324" w:name="_Toc302145937"/>
      <w:bookmarkStart w:id="325" w:name="_Toc324839617"/>
      <w:bookmarkStart w:id="326" w:name="_Toc304300432"/>
      <w:bookmarkStart w:id="327" w:name="_Toc300681308"/>
      <w:bookmarkStart w:id="328" w:name="_Toc324839320"/>
      <w:r>
        <w:rPr>
          <w:rFonts w:eastAsia="黑体"/>
          <w:bCs/>
          <w:color w:val="auto"/>
          <w:sz w:val="24"/>
          <w:szCs w:val="24"/>
        </w:rPr>
        <w:t>表5.1-11</w:t>
      </w:r>
      <w:r>
        <w:rPr>
          <w:rFonts w:hint="eastAsia" w:eastAsia="黑体"/>
          <w:bCs/>
          <w:color w:val="auto"/>
          <w:sz w:val="24"/>
          <w:szCs w:val="24"/>
        </w:rPr>
        <w:t xml:space="preserve">    </w:t>
      </w:r>
      <w:r>
        <w:rPr>
          <w:rFonts w:eastAsia="黑体"/>
          <w:bCs/>
          <w:color w:val="auto"/>
          <w:sz w:val="24"/>
          <w:szCs w:val="24"/>
        </w:rPr>
        <w:t>污染源估算模式计算结果一览表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099"/>
        <w:gridCol w:w="1416"/>
        <w:gridCol w:w="1324"/>
        <w:gridCol w:w="1370"/>
        <w:gridCol w:w="1418"/>
        <w:gridCol w:w="850"/>
        <w:gridCol w:w="105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8" w:space="0"/>
              <w:left w:val="single" w:color="auto" w:sz="8" w:space="0"/>
              <w:bottom w:val="single" w:color="auto" w:sz="6" w:space="0"/>
              <w:right w:val="single" w:color="auto" w:sz="6" w:space="0"/>
            </w:tcBorders>
            <w:vAlign w:val="center"/>
          </w:tcPr>
          <w:p>
            <w:pPr>
              <w:jc w:val="center"/>
              <w:rPr>
                <w:b/>
                <w:bCs/>
                <w:color w:val="auto"/>
              </w:rPr>
            </w:pPr>
            <w:r>
              <w:rPr>
                <w:b/>
                <w:bCs/>
                <w:color w:val="auto"/>
              </w:rPr>
              <w:t>排放源</w:t>
            </w:r>
          </w:p>
        </w:tc>
        <w:tc>
          <w:tcPr>
            <w:tcW w:w="830"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污染因子</w:t>
            </w:r>
          </w:p>
        </w:tc>
        <w:tc>
          <w:tcPr>
            <w:tcW w:w="776"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最大地面浓度出现距离（m）</w:t>
            </w:r>
          </w:p>
        </w:tc>
        <w:tc>
          <w:tcPr>
            <w:tcW w:w="803"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最大落地浓度mg/m</w:t>
            </w:r>
            <w:r>
              <w:rPr>
                <w:b/>
                <w:bCs/>
                <w:color w:val="auto"/>
                <w:vertAlign w:val="superscript"/>
              </w:rPr>
              <w:t>3</w:t>
            </w:r>
          </w:p>
        </w:tc>
        <w:tc>
          <w:tcPr>
            <w:tcW w:w="831" w:type="pct"/>
            <w:tcBorders>
              <w:top w:val="single" w:color="auto" w:sz="8" w:space="0"/>
              <w:left w:val="single" w:color="auto" w:sz="6" w:space="0"/>
              <w:bottom w:val="single" w:color="auto" w:sz="6" w:space="0"/>
              <w:right w:val="single" w:color="auto" w:sz="6" w:space="0"/>
            </w:tcBorders>
            <w:vAlign w:val="center"/>
          </w:tcPr>
          <w:p>
            <w:pPr>
              <w:jc w:val="center"/>
              <w:rPr>
                <w:b/>
                <w:bCs/>
                <w:color w:val="auto"/>
              </w:rPr>
            </w:pPr>
            <w:r>
              <w:rPr>
                <w:b/>
                <w:bCs/>
                <w:color w:val="auto"/>
              </w:rPr>
              <w:t>最大占标率</w:t>
            </w:r>
          </w:p>
          <w:p>
            <w:pPr>
              <w:jc w:val="center"/>
              <w:rPr>
                <w:b/>
                <w:bCs/>
                <w:color w:val="auto"/>
              </w:rPr>
            </w:pPr>
            <w:r>
              <w:rPr>
                <w:b/>
                <w:bCs/>
                <w:color w:val="auto"/>
              </w:rPr>
              <w:t>P</w:t>
            </w:r>
            <w:r>
              <w:rPr>
                <w:b/>
                <w:bCs/>
                <w:color w:val="auto"/>
                <w:vertAlign w:val="subscript"/>
              </w:rPr>
              <w:t>max</w:t>
            </w:r>
            <w:r>
              <w:rPr>
                <w:b/>
                <w:bCs/>
                <w:color w:val="auto"/>
              </w:rPr>
              <w:t>%</w:t>
            </w:r>
          </w:p>
        </w:tc>
        <w:tc>
          <w:tcPr>
            <w:tcW w:w="498" w:type="pct"/>
            <w:tcBorders>
              <w:top w:val="single" w:color="auto" w:sz="8" w:space="0"/>
              <w:left w:val="single" w:color="auto" w:sz="6" w:space="0"/>
              <w:bottom w:val="single" w:color="auto" w:sz="6" w:space="0"/>
              <w:right w:val="single" w:color="auto" w:sz="6" w:space="0"/>
            </w:tcBorders>
            <w:vAlign w:val="center"/>
          </w:tcPr>
          <w:p>
            <w:pPr>
              <w:jc w:val="center"/>
              <w:rPr>
                <w:b/>
                <w:bCs/>
                <w:color w:val="auto"/>
                <w:vertAlign w:val="subscript"/>
              </w:rPr>
            </w:pPr>
            <w:r>
              <w:rPr>
                <w:b/>
                <w:bCs/>
                <w:color w:val="auto"/>
              </w:rPr>
              <w:t>D</w:t>
            </w:r>
            <w:r>
              <w:rPr>
                <w:b/>
                <w:bCs/>
                <w:color w:val="auto"/>
                <w:vertAlign w:val="subscript"/>
              </w:rPr>
              <w:t>10%</w:t>
            </w:r>
          </w:p>
        </w:tc>
        <w:tc>
          <w:tcPr>
            <w:tcW w:w="616" w:type="pct"/>
            <w:tcBorders>
              <w:top w:val="single" w:color="auto" w:sz="8" w:space="0"/>
              <w:left w:val="single" w:color="auto" w:sz="6" w:space="0"/>
              <w:bottom w:val="single" w:color="auto" w:sz="6" w:space="0"/>
              <w:right w:val="single" w:color="auto" w:sz="8" w:space="0"/>
            </w:tcBorders>
            <w:vAlign w:val="center"/>
          </w:tcPr>
          <w:p>
            <w:pPr>
              <w:jc w:val="center"/>
              <w:rPr>
                <w:b/>
                <w:bCs/>
                <w:color w:val="auto"/>
              </w:rPr>
            </w:pPr>
            <w:r>
              <w:rPr>
                <w:b/>
                <w:bCs/>
                <w:color w:val="auto"/>
              </w:rPr>
              <w:t>评价</w:t>
            </w:r>
          </w:p>
          <w:p>
            <w:pPr>
              <w:jc w:val="center"/>
              <w:rPr>
                <w:b/>
                <w:bCs/>
                <w:color w:val="auto"/>
              </w:rPr>
            </w:pPr>
            <w:r>
              <w:rPr>
                <w:b/>
                <w:bCs/>
                <w:color w:val="auto"/>
              </w:rPr>
              <w:t>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bottom w:val="single" w:color="auto" w:sz="6" w:space="0"/>
              <w:right w:val="single" w:color="auto" w:sz="6" w:space="0"/>
            </w:tcBorders>
            <w:vAlign w:val="center"/>
          </w:tcPr>
          <w:p>
            <w:pPr>
              <w:jc w:val="center"/>
              <w:rPr>
                <w:b/>
                <w:bCs/>
                <w:color w:val="auto"/>
                <w:u w:val="single"/>
              </w:rPr>
            </w:pPr>
            <w:r>
              <w:rPr>
                <w:b/>
                <w:bCs/>
                <w:color w:val="auto"/>
                <w:kern w:val="0"/>
                <w:u w:val="single"/>
              </w:rPr>
              <w:t>DA001</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HCl</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300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5.49×10</w:t>
            </w:r>
            <w:r>
              <w:rPr>
                <w:rFonts w:hint="eastAsia"/>
                <w:b/>
                <w:bCs/>
                <w:color w:val="auto"/>
                <w:kern w:val="0"/>
                <w:u w:val="single"/>
                <w:vertAlign w:val="superscript"/>
              </w:rPr>
              <w:t>-4</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b/>
                <w:bCs/>
                <w:color w:val="auto"/>
                <w:kern w:val="0"/>
                <w:u w:val="single"/>
                <w:lang w:val="en-US" w:eastAsia="zh-CN"/>
              </w:rPr>
            </w:pPr>
            <w:r>
              <w:rPr>
                <w:rFonts w:hint="eastAsia"/>
                <w:b/>
                <w:bCs/>
                <w:color w:val="auto"/>
                <w:kern w:val="0"/>
                <w:u w:val="single"/>
              </w:rPr>
              <w:t>1.1</w:t>
            </w:r>
            <w:r>
              <w:rPr>
                <w:rFonts w:hint="eastAsia"/>
                <w:b/>
                <w:bCs/>
                <w:color w:val="auto"/>
                <w:kern w:val="0"/>
                <w:u w:val="single"/>
                <w:lang w:val="en-US" w:eastAsia="zh-CN"/>
              </w:rPr>
              <w:t>0</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restart"/>
            <w:tcBorders>
              <w:top w:val="single" w:color="auto" w:sz="6" w:space="0"/>
              <w:left w:val="single" w:color="auto" w:sz="8" w:space="0"/>
              <w:right w:val="single" w:color="auto" w:sz="6" w:space="0"/>
            </w:tcBorders>
            <w:vAlign w:val="center"/>
          </w:tcPr>
          <w:p>
            <w:pPr>
              <w:jc w:val="center"/>
              <w:rPr>
                <w:bCs/>
                <w:color w:val="auto"/>
              </w:rPr>
            </w:pPr>
            <w:r>
              <w:rPr>
                <w:bCs/>
                <w:color w:val="auto"/>
                <w:kern w:val="0"/>
              </w:rPr>
              <w:t>DA00</w:t>
            </w:r>
            <w:r>
              <w:rPr>
                <w:rFonts w:hint="eastAsia"/>
                <w:bCs/>
                <w:color w:val="auto"/>
                <w:kern w:val="0"/>
              </w:rPr>
              <w:t>2</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bCs/>
                <w:color w:val="auto"/>
                <w:kern w:val="0"/>
              </w:rPr>
              <w:t>PM10</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320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1.443×10</w:t>
            </w:r>
            <w:r>
              <w:rPr>
                <w:rFonts w:hint="eastAsia"/>
                <w:bCs/>
                <w:color w:val="auto"/>
                <w:kern w:val="0"/>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0.32</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Cs/>
                <w:color w:val="auto"/>
                <w:kern w:val="0"/>
              </w:rPr>
            </w:pPr>
            <w:r>
              <w:rPr>
                <w:rFonts w:hint="eastAsia"/>
                <w:bCs/>
                <w:color w:val="auto"/>
                <w:kern w:val="0"/>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continue"/>
            <w:tcBorders>
              <w:left w:val="single" w:color="auto" w:sz="8" w:space="0"/>
              <w:right w:val="single" w:color="auto" w:sz="6" w:space="0"/>
            </w:tcBorders>
            <w:vAlign w:val="center"/>
          </w:tcPr>
          <w:p>
            <w:pPr>
              <w:jc w:val="center"/>
              <w:rPr>
                <w:bCs/>
                <w:color w:val="auto"/>
                <w:kern w:val="0"/>
              </w:rPr>
            </w:pP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bCs/>
                <w:color w:val="auto"/>
                <w:kern w:val="0"/>
              </w:rPr>
              <w:t>SO</w:t>
            </w:r>
            <w:r>
              <w:rPr>
                <w:bCs/>
                <w:color w:val="auto"/>
                <w:kern w:val="0"/>
                <w:vertAlign w:val="subscript"/>
              </w:rPr>
              <w:t>2</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320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2.84×10</w:t>
            </w:r>
            <w:r>
              <w:rPr>
                <w:rFonts w:hint="eastAsia"/>
                <w:bCs/>
                <w:color w:val="auto"/>
                <w:kern w:val="0"/>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0.57</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Cs/>
                <w:color w:val="auto"/>
                <w:kern w:val="0"/>
              </w:rPr>
            </w:pPr>
            <w:r>
              <w:rPr>
                <w:rFonts w:hint="eastAsia"/>
                <w:bCs/>
                <w:color w:val="auto"/>
                <w:kern w:val="0"/>
              </w:rPr>
              <w:t>三</w:t>
            </w:r>
            <w:r>
              <w:rPr>
                <w:bCs/>
                <w:color w:val="auto"/>
                <w:kern w:val="0"/>
              </w:rPr>
              <w:t>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continue"/>
            <w:tcBorders>
              <w:left w:val="single" w:color="auto" w:sz="8" w:space="0"/>
              <w:right w:val="single" w:color="auto" w:sz="6" w:space="0"/>
            </w:tcBorders>
            <w:vAlign w:val="center"/>
          </w:tcPr>
          <w:p>
            <w:pPr>
              <w:jc w:val="center"/>
              <w:rPr>
                <w:bCs/>
                <w:color w:val="auto"/>
              </w:rPr>
            </w:pP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bCs/>
                <w:color w:val="auto"/>
                <w:kern w:val="0"/>
              </w:rPr>
              <w:t>NO</w:t>
            </w:r>
            <w:r>
              <w:rPr>
                <w:bCs/>
                <w:color w:val="auto"/>
                <w:kern w:val="0"/>
                <w:vertAlign w:val="subscript"/>
              </w:rPr>
              <w:t>X</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320</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8.62×10</w:t>
            </w:r>
            <w:r>
              <w:rPr>
                <w:rFonts w:hint="eastAsia"/>
                <w:bCs/>
                <w:color w:val="auto"/>
                <w:kern w:val="0"/>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4.31</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Cs/>
                <w:color w:val="auto"/>
                <w:kern w:val="0"/>
              </w:rPr>
            </w:pPr>
            <w:r>
              <w:rPr>
                <w:rFonts w:hint="eastAsia"/>
                <w:bCs/>
                <w:color w:val="auto"/>
                <w:kern w:val="0"/>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Cs/>
                <w:color w:val="auto"/>
                <w:kern w:val="0"/>
              </w:rPr>
            </w:pPr>
            <w:r>
              <w:rPr>
                <w:bCs/>
                <w:color w:val="auto"/>
                <w:kern w:val="0"/>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restart"/>
            <w:tcBorders>
              <w:top w:val="single" w:color="auto" w:sz="6" w:space="0"/>
              <w:left w:val="single" w:color="auto" w:sz="8" w:space="0"/>
              <w:right w:val="single" w:color="auto" w:sz="6" w:space="0"/>
            </w:tcBorders>
            <w:vAlign w:val="center"/>
          </w:tcPr>
          <w:p>
            <w:pPr>
              <w:jc w:val="center"/>
              <w:rPr>
                <w:b/>
                <w:bCs/>
                <w:color w:val="auto"/>
                <w:u w:val="single"/>
              </w:rPr>
            </w:pPr>
            <w:r>
              <w:rPr>
                <w:b/>
                <w:bCs/>
                <w:color w:val="auto"/>
                <w:kern w:val="0"/>
                <w:u w:val="single"/>
              </w:rPr>
              <w:t>DA00</w:t>
            </w:r>
            <w:r>
              <w:rPr>
                <w:rFonts w:hint="eastAsia"/>
                <w:b/>
                <w:bCs/>
                <w:color w:val="auto"/>
                <w:kern w:val="0"/>
                <w:u w:val="single"/>
              </w:rPr>
              <w:t>3</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NH</w:t>
            </w:r>
            <w:r>
              <w:rPr>
                <w:rFonts w:hint="eastAsia"/>
                <w:b/>
                <w:bCs/>
                <w:color w:val="auto"/>
                <w:kern w:val="0"/>
                <w:u w:val="single"/>
                <w:vertAlign w:val="subscript"/>
              </w:rPr>
              <w:t>3</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286</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3.35×10</w:t>
            </w:r>
            <w:r>
              <w:rPr>
                <w:rFonts w:hint="eastAsia"/>
                <w:b/>
                <w:bCs/>
                <w:color w:val="auto"/>
                <w:kern w:val="0"/>
                <w:u w:val="single"/>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1.68</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二</w:t>
            </w:r>
            <w:r>
              <w:rPr>
                <w:b/>
                <w:bCs/>
                <w:color w:val="auto"/>
                <w:kern w:val="0"/>
                <w:u w:val="single"/>
              </w:rPr>
              <w:t>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vMerge w:val="continue"/>
            <w:tcBorders>
              <w:left w:val="single" w:color="auto" w:sz="8" w:space="0"/>
              <w:right w:val="single" w:color="auto" w:sz="6" w:space="0"/>
            </w:tcBorders>
            <w:vAlign w:val="center"/>
          </w:tcPr>
          <w:p>
            <w:pPr>
              <w:jc w:val="center"/>
              <w:rPr>
                <w:b/>
                <w:bCs/>
                <w:color w:val="auto"/>
                <w:kern w:val="0"/>
                <w:u w:val="single"/>
              </w:rPr>
            </w:pP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H</w:t>
            </w:r>
            <w:r>
              <w:rPr>
                <w:rFonts w:hint="eastAsia"/>
                <w:b/>
                <w:bCs/>
                <w:color w:val="auto"/>
                <w:kern w:val="0"/>
                <w:u w:val="single"/>
                <w:vertAlign w:val="subscript"/>
              </w:rPr>
              <w:t>2</w:t>
            </w:r>
            <w:r>
              <w:rPr>
                <w:rFonts w:hint="eastAsia"/>
                <w:b/>
                <w:bCs/>
                <w:color w:val="auto"/>
                <w:kern w:val="0"/>
                <w:u w:val="single"/>
              </w:rPr>
              <w:t>S</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286</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2.40×10</w:t>
            </w:r>
            <w:r>
              <w:rPr>
                <w:rFonts w:hint="eastAsia"/>
                <w:b/>
                <w:bCs/>
                <w:color w:val="auto"/>
                <w:kern w:val="0"/>
                <w:u w:val="single"/>
                <w:vertAlign w:val="superscript"/>
              </w:rPr>
              <w:t>-5</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0.24</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right w:val="single" w:color="auto" w:sz="6" w:space="0"/>
            </w:tcBorders>
            <w:vAlign w:val="center"/>
          </w:tcPr>
          <w:p>
            <w:pPr>
              <w:jc w:val="center"/>
              <w:rPr>
                <w:b/>
                <w:bCs/>
                <w:color w:val="auto"/>
                <w:u w:val="single"/>
              </w:rPr>
            </w:pPr>
            <w:r>
              <w:rPr>
                <w:b/>
                <w:bCs/>
                <w:color w:val="auto"/>
                <w:kern w:val="0"/>
                <w:u w:val="single"/>
              </w:rPr>
              <w:t>DA00</w:t>
            </w:r>
            <w:r>
              <w:rPr>
                <w:rFonts w:hint="eastAsia"/>
                <w:b/>
                <w:bCs/>
                <w:color w:val="auto"/>
                <w:kern w:val="0"/>
                <w:u w:val="single"/>
              </w:rPr>
              <w:t>4</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颗粒物</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254</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1.30×10</w:t>
            </w:r>
            <w:r>
              <w:rPr>
                <w:rFonts w:hint="eastAsia"/>
                <w:b/>
                <w:bCs/>
                <w:color w:val="auto"/>
                <w:kern w:val="0"/>
                <w:u w:val="single"/>
                <w:vertAlign w:val="superscript"/>
              </w:rPr>
              <w:t>-2</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rFonts w:hint="eastAsia" w:eastAsia="宋体"/>
                <w:b/>
                <w:bCs/>
                <w:color w:val="auto"/>
                <w:kern w:val="0"/>
                <w:u w:val="single"/>
                <w:lang w:val="en-US" w:eastAsia="zh-CN"/>
              </w:rPr>
            </w:pPr>
            <w:r>
              <w:rPr>
                <w:rFonts w:hint="eastAsia"/>
                <w:b/>
                <w:bCs/>
                <w:color w:val="auto"/>
                <w:kern w:val="0"/>
                <w:u w:val="single"/>
              </w:rPr>
              <w:t>2.9</w:t>
            </w:r>
            <w:r>
              <w:rPr>
                <w:rFonts w:hint="eastAsia"/>
                <w:b/>
                <w:bCs/>
                <w:color w:val="auto"/>
                <w:kern w:val="0"/>
                <w:u w:val="single"/>
                <w:lang w:val="en-US" w:eastAsia="zh-CN"/>
              </w:rPr>
              <w:t>0</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lang w:eastAsia="zh-CN"/>
              </w:rPr>
              <w:t>二</w:t>
            </w:r>
            <w:r>
              <w:rPr>
                <w:b/>
                <w:bCs/>
                <w:color w:val="auto"/>
                <w:kern w:val="0"/>
                <w:u w:val="single"/>
              </w:rPr>
              <w:t>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right w:val="single" w:color="auto" w:sz="6" w:space="0"/>
            </w:tcBorders>
            <w:vAlign w:val="center"/>
          </w:tcPr>
          <w:p>
            <w:pPr>
              <w:jc w:val="center"/>
              <w:rPr>
                <w:bCs/>
                <w:color w:val="auto"/>
                <w:kern w:val="0"/>
              </w:rPr>
            </w:pPr>
            <w:r>
              <w:rPr>
                <w:bCs/>
                <w:snapToGrid w:val="0"/>
                <w:color w:val="auto"/>
              </w:rPr>
              <w:t>北车间</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b/>
                <w:color w:val="auto"/>
                <w:kern w:val="0"/>
                <w:u w:val="single"/>
              </w:rPr>
              <w:t>HCl</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177</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3.25×10</w:t>
            </w:r>
            <w:r>
              <w:rPr>
                <w:rFonts w:hint="eastAsia"/>
                <w:b/>
                <w:color w:val="auto"/>
                <w:kern w:val="0"/>
                <w:u w:val="single"/>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6.50</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color w:val="auto"/>
                <w:kern w:val="0"/>
                <w:u w:val="single"/>
              </w:rPr>
            </w:pPr>
            <w:r>
              <w:rPr>
                <w:rFonts w:hint="eastAsia"/>
                <w:b/>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color w:val="auto"/>
                <w:kern w:val="0"/>
                <w:u w:val="single"/>
              </w:rPr>
            </w:pPr>
            <w:r>
              <w:rPr>
                <w:b/>
                <w:color w:val="auto"/>
                <w:kern w:val="0"/>
                <w:u w:val="single"/>
              </w:rPr>
              <w:t>二级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644" w:type="pct"/>
            <w:tcBorders>
              <w:top w:val="single" w:color="auto" w:sz="6" w:space="0"/>
              <w:left w:val="single" w:color="auto" w:sz="8" w:space="0"/>
              <w:bottom w:val="single" w:color="auto" w:sz="6" w:space="0"/>
              <w:right w:val="single" w:color="auto" w:sz="6" w:space="0"/>
            </w:tcBorders>
            <w:vAlign w:val="center"/>
          </w:tcPr>
          <w:p>
            <w:pPr>
              <w:jc w:val="center"/>
              <w:rPr>
                <w:color w:val="auto"/>
                <w:kern w:val="0"/>
              </w:rPr>
            </w:pPr>
            <w:r>
              <w:rPr>
                <w:color w:val="auto"/>
                <w:kern w:val="0"/>
              </w:rPr>
              <w:t>南车间</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颗粒物</w:t>
            </w:r>
          </w:p>
        </w:tc>
        <w:tc>
          <w:tcPr>
            <w:tcW w:w="77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255</w:t>
            </w:r>
          </w:p>
        </w:tc>
        <w:tc>
          <w:tcPr>
            <w:tcW w:w="803"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2.82×10</w:t>
            </w:r>
            <w:r>
              <w:rPr>
                <w:rFonts w:hint="eastAsia"/>
                <w:b/>
                <w:bCs/>
                <w:color w:val="auto"/>
                <w:kern w:val="0"/>
                <w:u w:val="single"/>
                <w:vertAlign w:val="superscript"/>
              </w:rPr>
              <w:t>-3</w:t>
            </w:r>
          </w:p>
        </w:tc>
        <w:tc>
          <w:tcPr>
            <w:tcW w:w="831"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0.63</w:t>
            </w:r>
          </w:p>
        </w:tc>
        <w:tc>
          <w:tcPr>
            <w:tcW w:w="49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w:t>
            </w:r>
          </w:p>
        </w:tc>
        <w:tc>
          <w:tcPr>
            <w:tcW w:w="616"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三级</w:t>
            </w:r>
          </w:p>
        </w:tc>
      </w:tr>
    </w:tbl>
    <w:p>
      <w:pPr>
        <w:spacing w:line="360" w:lineRule="auto"/>
        <w:rPr>
          <w:color w:val="auto"/>
          <w:sz w:val="24"/>
          <w:szCs w:val="24"/>
        </w:rPr>
      </w:pPr>
      <w:r>
        <w:rPr>
          <w:color w:val="auto"/>
        </w:rPr>
        <w:t xml:space="preserve">  </w:t>
      </w:r>
      <w:r>
        <w:rPr>
          <w:color w:val="auto"/>
          <w:sz w:val="24"/>
          <w:szCs w:val="24"/>
        </w:rPr>
        <w:t xml:space="preserve"> 根据上表中的计算结果可知，本项目排放污染物最大地面浓度占标率为</w:t>
      </w:r>
      <w:r>
        <w:rPr>
          <w:b/>
          <w:bCs/>
          <w:color w:val="auto"/>
          <w:sz w:val="24"/>
          <w:szCs w:val="24"/>
          <w:u w:val="single"/>
        </w:rPr>
        <w:t>p</w:t>
      </w:r>
      <w:r>
        <w:rPr>
          <w:b/>
          <w:bCs/>
          <w:color w:val="auto"/>
          <w:sz w:val="24"/>
          <w:szCs w:val="24"/>
          <w:u w:val="single"/>
          <w:vertAlign w:val="subscript"/>
        </w:rPr>
        <w:t>max=</w:t>
      </w:r>
      <w:r>
        <w:rPr>
          <w:rFonts w:hint="eastAsia"/>
          <w:b/>
          <w:bCs/>
          <w:color w:val="auto"/>
          <w:sz w:val="24"/>
          <w:szCs w:val="24"/>
          <w:u w:val="single"/>
          <w:vertAlign w:val="baseline"/>
          <w:lang w:val="en-US" w:eastAsia="zh-CN"/>
        </w:rPr>
        <w:t>6.50</w:t>
      </w:r>
      <w:r>
        <w:rPr>
          <w:b/>
          <w:bCs/>
          <w:color w:val="auto"/>
          <w:sz w:val="24"/>
          <w:szCs w:val="24"/>
          <w:u w:val="single"/>
        </w:rPr>
        <w:t>%，</w:t>
      </w:r>
      <w:r>
        <w:rPr>
          <w:color w:val="auto"/>
          <w:sz w:val="24"/>
          <w:szCs w:val="24"/>
        </w:rPr>
        <w:t>属于</w:t>
      </w:r>
      <w:r>
        <w:rPr>
          <w:color w:val="auto"/>
          <w:sz w:val="24"/>
        </w:rPr>
        <w:t>1%≤P</w:t>
      </w:r>
      <w:r>
        <w:rPr>
          <w:color w:val="auto"/>
          <w:sz w:val="24"/>
          <w:vertAlign w:val="subscript"/>
        </w:rPr>
        <w:t>max</w:t>
      </w:r>
      <w:r>
        <w:rPr>
          <w:color w:val="auto"/>
          <w:sz w:val="24"/>
        </w:rPr>
        <w:t>＜10%，最远影响距离D</w:t>
      </w:r>
      <w:r>
        <w:rPr>
          <w:color w:val="auto"/>
          <w:sz w:val="24"/>
          <w:vertAlign w:val="subscript"/>
        </w:rPr>
        <w:t>10%</w:t>
      </w:r>
      <w:r>
        <w:rPr>
          <w:color w:val="auto"/>
          <w:sz w:val="24"/>
        </w:rPr>
        <w:t>未出现。根据评价等级判断标准，确定该项目评价等级为二级。</w:t>
      </w:r>
    </w:p>
    <w:p>
      <w:pPr>
        <w:pStyle w:val="6"/>
        <w:spacing w:before="0" w:after="0" w:line="360" w:lineRule="auto"/>
        <w:rPr>
          <w:b w:val="0"/>
          <w:color w:val="auto"/>
          <w:sz w:val="24"/>
          <w:szCs w:val="24"/>
        </w:rPr>
      </w:pPr>
      <w:r>
        <w:rPr>
          <w:b w:val="0"/>
          <w:color w:val="auto"/>
          <w:sz w:val="24"/>
          <w:szCs w:val="24"/>
        </w:rPr>
        <w:t>5.1.2.5评价范围</w:t>
      </w:r>
      <w:bookmarkEnd w:id="324"/>
      <w:bookmarkEnd w:id="325"/>
      <w:bookmarkEnd w:id="326"/>
      <w:bookmarkEnd w:id="327"/>
      <w:bookmarkEnd w:id="328"/>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以项目厂址为中心区域，边长为5km的区域，评价区内覆盖的主要保护目标为敏感点。项目评价范围及敏感点分布示意图见下图5-1，项目评价范围内敏感点分布情况见下表5.1-10。</w:t>
      </w:r>
    </w:p>
    <w:p>
      <w:pPr>
        <w:adjustRightInd w:val="0"/>
        <w:snapToGrid w:val="0"/>
        <w:spacing w:before="120" w:line="520" w:lineRule="exact"/>
        <w:ind w:firstLine="420" w:firstLineChars="200"/>
        <w:textAlignment w:val="baseline"/>
        <w:rPr>
          <w:color w:val="auto"/>
          <w:kern w:val="0"/>
          <w:sz w:val="24"/>
          <w:szCs w:val="20"/>
        </w:rPr>
      </w:pPr>
      <w:r>
        <w:rPr>
          <w:color w:val="auto"/>
        </w:rPr>
        <mc:AlternateContent>
          <mc:Choice Requires="wpg">
            <w:drawing>
              <wp:anchor distT="0" distB="0" distL="114300" distR="114300" simplePos="0" relativeHeight="251760640" behindDoc="0" locked="0" layoutInCell="1" allowOverlap="1">
                <wp:simplePos x="0" y="0"/>
                <wp:positionH relativeFrom="column">
                  <wp:posOffset>57785</wp:posOffset>
                </wp:positionH>
                <wp:positionV relativeFrom="paragraph">
                  <wp:posOffset>158750</wp:posOffset>
                </wp:positionV>
                <wp:extent cx="5397500" cy="3295650"/>
                <wp:effectExtent l="9525" t="9525" r="22225" b="9525"/>
                <wp:wrapNone/>
                <wp:docPr id="620" name="组合 50"/>
                <wp:cNvGraphicFramePr/>
                <a:graphic xmlns:a="http://schemas.openxmlformats.org/drawingml/2006/main">
                  <a:graphicData uri="http://schemas.microsoft.com/office/word/2010/wordprocessingGroup">
                    <wpg:wgp>
                      <wpg:cNvGrpSpPr/>
                      <wpg:grpSpPr>
                        <a:xfrm>
                          <a:off x="0" y="0"/>
                          <a:ext cx="5397500" cy="3295650"/>
                          <a:chOff x="0" y="0"/>
                          <a:chExt cx="5397335" cy="3295402"/>
                        </a:xfrm>
                      </wpg:grpSpPr>
                      <pic:pic xmlns:pic="http://schemas.openxmlformats.org/drawingml/2006/picture">
                        <pic:nvPicPr>
                          <pic:cNvPr id="156" name="图片 44" descr="C:\Users\admin\AppData\Local\Temp\1634701938(1).png"/>
                          <pic:cNvPicPr>
                            <a:picLocks noChangeAspect="1"/>
                          </pic:cNvPicPr>
                        </pic:nvPicPr>
                        <pic:blipFill>
                          <a:blip r:embed="rId94"/>
                          <a:srcRect/>
                          <a:stretch>
                            <a:fillRect/>
                          </a:stretch>
                        </pic:blipFill>
                        <pic:spPr>
                          <a:xfrm>
                            <a:off x="0" y="0"/>
                            <a:ext cx="5397335" cy="3295402"/>
                          </a:xfrm>
                          <a:prstGeom prst="rect">
                            <a:avLst/>
                          </a:prstGeom>
                          <a:noFill/>
                          <a:ln w="9525">
                            <a:solidFill>
                              <a:srgbClr val="000000"/>
                            </a:solidFill>
                            <a:miter lim="800000"/>
                            <a:headEnd/>
                            <a:tailEnd/>
                          </a:ln>
                        </pic:spPr>
                      </pic:pic>
                      <wps:wsp>
                        <wps:cNvPr id="157" name="直接箭头连接符 46"/>
                        <wps:cNvCnPr>
                          <a:cxnSpLocks noChangeShapeType="1"/>
                        </wps:cNvCnPr>
                        <wps:spPr bwMode="auto">
                          <a:xfrm>
                            <a:off x="2327563" y="1662545"/>
                            <a:ext cx="1279051" cy="0"/>
                          </a:xfrm>
                          <a:prstGeom prst="straightConnector1">
                            <a:avLst/>
                          </a:prstGeom>
                          <a:noFill/>
                          <a:ln w="9525" algn="ctr">
                            <a:solidFill>
                              <a:srgbClr val="FFFF00"/>
                            </a:solidFill>
                            <a:round/>
                            <a:tailEnd type="arrow" w="med" len="med"/>
                          </a:ln>
                        </wps:spPr>
                        <wps:bodyPr/>
                      </wps:wsp>
                      <wps:wsp>
                        <wps:cNvPr id="158" name="直接箭头连接符 47"/>
                        <wps:cNvCnPr>
                          <a:cxnSpLocks noChangeShapeType="1"/>
                        </wps:cNvCnPr>
                        <wps:spPr bwMode="auto">
                          <a:xfrm>
                            <a:off x="2327563" y="1668483"/>
                            <a:ext cx="0" cy="1217221"/>
                          </a:xfrm>
                          <a:prstGeom prst="straightConnector1">
                            <a:avLst/>
                          </a:prstGeom>
                          <a:noFill/>
                          <a:ln w="9525" algn="ctr">
                            <a:solidFill>
                              <a:srgbClr val="FFFF00"/>
                            </a:solidFill>
                            <a:round/>
                            <a:tailEnd type="arrow" w="med" len="med"/>
                          </a:ln>
                        </wps:spPr>
                        <wps:bodyPr/>
                      </wps:wsp>
                      <wps:wsp>
                        <wps:cNvPr id="159" name="文本框 48"/>
                        <wps:cNvSpPr txBox="1">
                          <a:spLocks noChangeArrowheads="1"/>
                        </wps:cNvSpPr>
                        <wps:spPr bwMode="auto">
                          <a:xfrm>
                            <a:off x="2642260" y="1472540"/>
                            <a:ext cx="600501" cy="238835"/>
                          </a:xfrm>
                          <a:prstGeom prst="rect">
                            <a:avLst/>
                          </a:prstGeom>
                          <a:noFill/>
                          <a:ln>
                            <a:noFill/>
                          </a:ln>
                        </wps:spPr>
                        <wps:txbx>
                          <w:txbxContent>
                            <w:p>
                              <w:r>
                                <w:rPr>
                                  <w:rFonts w:hint="eastAsia"/>
                                </w:rPr>
                                <w:t>2.5km</w:t>
                              </w:r>
                            </w:p>
                          </w:txbxContent>
                        </wps:txbx>
                        <wps:bodyPr rot="0" vert="horz" wrap="square" lIns="91440" tIns="45720" rIns="91440" bIns="45720" anchor="t" anchorCtr="0" upright="1">
                          <a:noAutofit/>
                        </wps:bodyPr>
                      </wps:wsp>
                    </wpg:wgp>
                  </a:graphicData>
                </a:graphic>
              </wp:anchor>
            </w:drawing>
          </mc:Choice>
          <mc:Fallback>
            <w:pict>
              <v:group id="组合 50" o:spid="_x0000_s1026" o:spt="203" style="position:absolute;left:0pt;margin-left:4.55pt;margin-top:12.5pt;height:259.5pt;width:425pt;z-index:251760640;mso-width-relative:page;mso-height-relative:page;" coordsize="5397335,3295402" o:gfxdata="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">
                <o:lock v:ext="edit" aspectratio="f"/>
                <v:shape id="图片 44" o:spid="_x0000_s1026" o:spt="75" alt="C:\Users\admin\AppData\Local\Temp\1634701938(1).png" type="#_x0000_t75" style="position:absolute;left:0;top:0;height:3295402;width:5397335;" filled="f" o:preferrelative="t" stroked="t" coordsize="21600,21600" o:gfxdata="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2zUAvQAA&#10;ANwAAAAPAAAAAAAAAAEAIAAAACIAAABkcnMvZG93bnJldi54bWxQSwECFAAUAAAACACHTuJAMy8F&#10;njsAAAA5AAAAEAAAAAAAAAABACAAAAAMAQAAZHJzL3NoYXBleG1sLnhtbFBLBQYAAAAABgAGAFsB&#10;AAC2AwAAAAA=&#10;">
                  <v:fill on="f" focussize="0,0"/>
                  <v:stroke color="#000000" miterlimit="8" joinstyle="miter"/>
                  <v:imagedata r:id="rId94" o:title=""/>
                  <o:lock v:ext="edit" aspectratio="t"/>
                </v:shape>
                <v:shape id="直接箭头连接符 46" o:spid="_x0000_s1026" o:spt="32" type="#_x0000_t32" style="position:absolute;left:2327563;top:1662545;height:0;width:1279051;" filled="f" stroked="t" coordsize="21600,21600" o:gfxdata="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2Fbx7sAAADc&#10;AAAADwAAAAAAAAABACAAAAAiAAAAZHJzL2Rvd25yZXYueG1sUEsBAhQAFAAAAAgAh07iQDMvBZ47&#10;AAAAOQAAABAAAAAAAAAAAQAgAAAACgEAAGRycy9zaGFwZXhtbC54bWxQSwUGAAAAAAYABgBbAQAA&#10;tAMAAAAA&#10;">
                  <v:fill on="f" focussize="0,0"/>
                  <v:stroke color="#FFFF00" joinstyle="round" endarrow="open"/>
                  <v:imagedata o:title=""/>
                  <o:lock v:ext="edit" aspectratio="f"/>
                </v:shape>
                <v:shape id="直接箭头连接符 47" o:spid="_x0000_s1026" o:spt="32" type="#_x0000_t32" style="position:absolute;left:2327563;top:1668483;height:1217221;width:0;" filled="f" stroked="t" coordsize="21600,21600" o:gfxdata="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7+z7W/&#10;AAAA3AAAAA8AAAAAAAAAAQAgAAAAIgAAAGRycy9kb3ducmV2LnhtbFBLAQIUABQAAAAIAIdO4kAz&#10;LwWeOwAAADkAAAAQAAAAAAAAAAEAIAAAAA4BAABkcnMvc2hhcGV4bWwueG1sUEsFBgAAAAAGAAYA&#10;WwEAALgDAAAAAA==&#10;">
                  <v:fill on="f" focussize="0,0"/>
                  <v:stroke color="#FFFF00" joinstyle="round" endarrow="open"/>
                  <v:imagedata o:title=""/>
                  <o:lock v:ext="edit" aspectratio="f"/>
                </v:shape>
                <v:shape id="文本框 48" o:spid="_x0000_s1026" o:spt="202" type="#_x0000_t202" style="position:absolute;left:2642260;top:1472540;height:238835;width:600501;" filled="f" stroked="f" coordsize="21600,21600" o:gfxdata="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h57t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r>
                          <w:rPr>
                            <w:rFonts w:hint="eastAsia"/>
                          </w:rPr>
                          <w:t>2.5km</w:t>
                        </w:r>
                      </w:p>
                    </w:txbxContent>
                  </v:textbox>
                </v:shape>
              </v:group>
            </w:pict>
          </mc:Fallback>
        </mc:AlternateContent>
      </w: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20" w:firstLineChars="200"/>
        <w:textAlignment w:val="baseline"/>
        <w:rPr>
          <w:color w:val="auto"/>
          <w:kern w:val="0"/>
          <w:sz w:val="24"/>
          <w:szCs w:val="20"/>
        </w:rPr>
      </w:pPr>
      <w:r>
        <w:rPr>
          <w:color w:val="auto"/>
        </w:rPr>
        <mc:AlternateContent>
          <mc:Choice Requires="wps">
            <w:drawing>
              <wp:anchor distT="0" distB="0" distL="114300" distR="114300" simplePos="0" relativeHeight="251761664" behindDoc="0" locked="0" layoutInCell="1" allowOverlap="1">
                <wp:simplePos x="0" y="0"/>
                <wp:positionH relativeFrom="column">
                  <wp:posOffset>1890395</wp:posOffset>
                </wp:positionH>
                <wp:positionV relativeFrom="paragraph">
                  <wp:posOffset>237490</wp:posOffset>
                </wp:positionV>
                <wp:extent cx="600075" cy="238760"/>
                <wp:effectExtent l="0" t="0" r="0" b="0"/>
                <wp:wrapNone/>
                <wp:docPr id="153" name="文本框 49"/>
                <wp:cNvGraphicFramePr/>
                <a:graphic xmlns:a="http://schemas.openxmlformats.org/drawingml/2006/main">
                  <a:graphicData uri="http://schemas.microsoft.com/office/word/2010/wordprocessingShape">
                    <wps:wsp>
                      <wps:cNvSpPr txBox="1"/>
                      <wps:spPr>
                        <a:xfrm>
                          <a:off x="0" y="0"/>
                          <a:ext cx="600075" cy="238760"/>
                        </a:xfrm>
                        <a:prstGeom prst="rect">
                          <a:avLst/>
                        </a:prstGeom>
                        <a:noFill/>
                        <a:ln w="6350">
                          <a:noFill/>
                        </a:ln>
                        <a:effectLst/>
                      </wps:spPr>
                      <wps:txbx>
                        <w:txbxContent>
                          <w:p>
                            <w:r>
                              <w:rPr>
                                <w:rFonts w:hint="eastAsia"/>
                              </w:rPr>
                              <w:t>2.5km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9" o:spid="_x0000_s1026" o:spt="202" type="#_x0000_t202" style="position:absolute;left:0pt;margin-left:148.85pt;margin-top:18.7pt;height:18.8pt;width:47.25pt;z-index:251761664;mso-width-relative:page;mso-height-relative:page;" filled="f" stroked="f" coordsize="21600,21600" o:gfxdata="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b/HNQ9sAAAAJAQAADwAAAAAAAAABACAA&#10;AAAiAAAAZHJzL2Rvd25yZXYueG1sUEsBAhQAFAAAAAgAh07iQGiKzd1DAgAAdgQAAA4AAAAAAAAA&#10;AQAgAAAAKgEAAGRycy9lMm9Eb2MueG1sUEsFBgAAAAAGAAYAWQEAAN8FAAAAAA==&#10;">
                <v:fill on="f" focussize="0,0"/>
                <v:stroke on="f" weight="0.5pt"/>
                <v:imagedata o:title=""/>
                <o:lock v:ext="edit" aspectratio="f"/>
                <v:textbox>
                  <w:txbxContent>
                    <w:p>
                      <w:r>
                        <w:rPr>
                          <w:rFonts w:hint="eastAsia"/>
                        </w:rPr>
                        <w:t>2.5km</w:t>
                      </w:r>
                    </w:p>
                  </w:txbxContent>
                </v:textbox>
              </v:shape>
            </w:pict>
          </mc:Fallback>
        </mc:AlternateContent>
      </w: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line="360" w:lineRule="auto"/>
        <w:jc w:val="center"/>
        <w:textAlignment w:val="baseline"/>
        <w:rPr>
          <w:b/>
          <w:color w:val="auto"/>
          <w:kern w:val="0"/>
          <w:sz w:val="24"/>
          <w:szCs w:val="20"/>
        </w:rPr>
      </w:pPr>
    </w:p>
    <w:p>
      <w:pPr>
        <w:keepNext w:val="0"/>
        <w:keepLines w:val="0"/>
        <w:pageBreakBefore w:val="0"/>
        <w:widowControl/>
        <w:kinsoku/>
        <w:wordWrap/>
        <w:overflowPunct/>
        <w:topLinePunct w:val="0"/>
        <w:autoSpaceDE/>
        <w:autoSpaceDN/>
        <w:bidi w:val="0"/>
        <w:adjustRightInd/>
        <w:snapToGrid/>
        <w:spacing w:before="191" w:beforeLines="50"/>
        <w:ind w:firstLine="960" w:firstLineChars="400"/>
        <w:jc w:val="center"/>
        <w:textAlignment w:val="auto"/>
        <w:rPr>
          <w:rFonts w:eastAsia="黑体"/>
          <w:color w:val="auto"/>
          <w:sz w:val="24"/>
          <w:szCs w:val="24"/>
        </w:rPr>
      </w:pPr>
      <w:r>
        <w:rPr>
          <w:rFonts w:eastAsia="黑体"/>
          <w:color w:val="auto"/>
          <w:sz w:val="24"/>
          <w:szCs w:val="24"/>
        </w:rPr>
        <w:t>图5.1-10       评价范围及敏感点分布示意图</w:t>
      </w:r>
    </w:p>
    <w:p>
      <w:pPr>
        <w:ind w:firstLine="960" w:firstLineChars="400"/>
        <w:jc w:val="center"/>
        <w:rPr>
          <w:rFonts w:eastAsia="黑体"/>
          <w:color w:val="auto"/>
          <w:sz w:val="24"/>
          <w:szCs w:val="24"/>
        </w:rPr>
      </w:pPr>
    </w:p>
    <w:p>
      <w:pPr>
        <w:ind w:firstLine="2160" w:firstLineChars="900"/>
        <w:jc w:val="both"/>
        <w:rPr>
          <w:rFonts w:eastAsia="黑体"/>
          <w:color w:val="auto"/>
          <w:sz w:val="24"/>
          <w:szCs w:val="24"/>
        </w:rPr>
      </w:pPr>
      <w:r>
        <w:rPr>
          <w:rFonts w:eastAsia="黑体"/>
          <w:color w:val="auto"/>
          <w:sz w:val="24"/>
          <w:szCs w:val="24"/>
        </w:rPr>
        <w:t xml:space="preserve">表5.1-12 </w:t>
      </w:r>
      <w:r>
        <w:rPr>
          <w:rFonts w:hint="eastAsia" w:eastAsia="黑体"/>
          <w:color w:val="auto"/>
          <w:sz w:val="24"/>
          <w:szCs w:val="24"/>
          <w:lang w:val="en-US" w:eastAsia="zh-CN"/>
        </w:rPr>
        <w:t xml:space="preserve"> </w:t>
      </w:r>
      <w:r>
        <w:rPr>
          <w:rFonts w:eastAsia="黑体"/>
          <w:color w:val="auto"/>
          <w:sz w:val="24"/>
          <w:szCs w:val="24"/>
        </w:rPr>
        <w:t xml:space="preserve"> 项目评价范围内敏感点分布情况</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108" w:type="dxa"/>
          <w:bottom w:w="57" w:type="dxa"/>
          <w:right w:w="108" w:type="dxa"/>
        </w:tblCellMar>
      </w:tblPr>
      <w:tblGrid>
        <w:gridCol w:w="680"/>
        <w:gridCol w:w="1069"/>
        <w:gridCol w:w="1309"/>
        <w:gridCol w:w="1160"/>
        <w:gridCol w:w="1000"/>
        <w:gridCol w:w="1017"/>
        <w:gridCol w:w="816"/>
        <w:gridCol w:w="664"/>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Merge w:val="restart"/>
            <w:vAlign w:val="center"/>
          </w:tcPr>
          <w:p>
            <w:pPr>
              <w:adjustRightInd w:val="0"/>
              <w:snapToGrid w:val="0"/>
              <w:jc w:val="center"/>
              <w:rPr>
                <w:b/>
                <w:bCs/>
                <w:color w:val="auto"/>
              </w:rPr>
            </w:pPr>
            <w:r>
              <w:rPr>
                <w:b/>
                <w:bCs/>
                <w:color w:val="auto"/>
              </w:rPr>
              <w:t>序号</w:t>
            </w:r>
          </w:p>
        </w:tc>
        <w:tc>
          <w:tcPr>
            <w:tcW w:w="627" w:type="pct"/>
            <w:vMerge w:val="restart"/>
            <w:vAlign w:val="center"/>
          </w:tcPr>
          <w:p>
            <w:pPr>
              <w:adjustRightInd w:val="0"/>
              <w:snapToGrid w:val="0"/>
              <w:jc w:val="center"/>
              <w:rPr>
                <w:b/>
                <w:bCs/>
                <w:color w:val="auto"/>
              </w:rPr>
            </w:pPr>
            <w:r>
              <w:rPr>
                <w:b/>
                <w:bCs/>
                <w:color w:val="auto"/>
              </w:rPr>
              <w:t>名称</w:t>
            </w:r>
          </w:p>
        </w:tc>
        <w:tc>
          <w:tcPr>
            <w:tcW w:w="1447" w:type="pct"/>
            <w:gridSpan w:val="2"/>
            <w:vAlign w:val="center"/>
          </w:tcPr>
          <w:p>
            <w:pPr>
              <w:adjustRightInd w:val="0"/>
              <w:snapToGrid w:val="0"/>
              <w:jc w:val="center"/>
              <w:rPr>
                <w:b/>
                <w:bCs/>
                <w:color w:val="auto"/>
              </w:rPr>
            </w:pPr>
            <w:r>
              <w:rPr>
                <w:b/>
                <w:bCs/>
                <w:color w:val="auto"/>
              </w:rPr>
              <w:t>坐标</w:t>
            </w:r>
          </w:p>
        </w:tc>
        <w:tc>
          <w:tcPr>
            <w:tcW w:w="586" w:type="pct"/>
            <w:vMerge w:val="restart"/>
            <w:vAlign w:val="center"/>
          </w:tcPr>
          <w:p>
            <w:pPr>
              <w:adjustRightInd w:val="0"/>
              <w:snapToGrid w:val="0"/>
              <w:jc w:val="center"/>
              <w:rPr>
                <w:b/>
                <w:bCs/>
                <w:color w:val="auto"/>
              </w:rPr>
            </w:pPr>
            <w:r>
              <w:rPr>
                <w:b/>
                <w:bCs/>
                <w:color w:val="auto"/>
              </w:rPr>
              <w:t>保护</w:t>
            </w:r>
          </w:p>
          <w:p>
            <w:pPr>
              <w:adjustRightInd w:val="0"/>
              <w:snapToGrid w:val="0"/>
              <w:jc w:val="center"/>
              <w:rPr>
                <w:b/>
                <w:bCs/>
                <w:color w:val="auto"/>
              </w:rPr>
            </w:pPr>
            <w:r>
              <w:rPr>
                <w:b/>
                <w:bCs/>
                <w:color w:val="auto"/>
              </w:rPr>
              <w:t>对象</w:t>
            </w:r>
          </w:p>
        </w:tc>
        <w:tc>
          <w:tcPr>
            <w:tcW w:w="596" w:type="pct"/>
            <w:vMerge w:val="restart"/>
            <w:vAlign w:val="center"/>
          </w:tcPr>
          <w:p>
            <w:pPr>
              <w:adjustRightInd w:val="0"/>
              <w:snapToGrid w:val="0"/>
              <w:jc w:val="center"/>
              <w:rPr>
                <w:b/>
                <w:bCs/>
                <w:color w:val="auto"/>
              </w:rPr>
            </w:pPr>
            <w:r>
              <w:rPr>
                <w:b/>
                <w:bCs/>
                <w:color w:val="auto"/>
              </w:rPr>
              <w:t>保护内容</w:t>
            </w:r>
          </w:p>
        </w:tc>
        <w:tc>
          <w:tcPr>
            <w:tcW w:w="478" w:type="pct"/>
            <w:vMerge w:val="restart"/>
            <w:vAlign w:val="center"/>
          </w:tcPr>
          <w:p>
            <w:pPr>
              <w:adjustRightInd w:val="0"/>
              <w:snapToGrid w:val="0"/>
              <w:jc w:val="center"/>
              <w:rPr>
                <w:b/>
                <w:bCs/>
                <w:color w:val="auto"/>
              </w:rPr>
            </w:pPr>
            <w:r>
              <w:rPr>
                <w:b/>
                <w:bCs/>
                <w:color w:val="auto"/>
              </w:rPr>
              <w:t>环境功能区</w:t>
            </w:r>
          </w:p>
        </w:tc>
        <w:tc>
          <w:tcPr>
            <w:tcW w:w="389" w:type="pct"/>
            <w:vMerge w:val="restart"/>
            <w:vAlign w:val="center"/>
          </w:tcPr>
          <w:p>
            <w:pPr>
              <w:adjustRightInd w:val="0"/>
              <w:snapToGrid w:val="0"/>
              <w:jc w:val="center"/>
              <w:rPr>
                <w:b/>
                <w:bCs/>
                <w:color w:val="auto"/>
              </w:rPr>
            </w:pPr>
            <w:r>
              <w:rPr>
                <w:b/>
                <w:bCs/>
                <w:color w:val="auto"/>
              </w:rPr>
              <w:t>方位</w:t>
            </w:r>
          </w:p>
        </w:tc>
        <w:tc>
          <w:tcPr>
            <w:tcW w:w="477" w:type="pct"/>
            <w:vMerge w:val="restart"/>
            <w:vAlign w:val="center"/>
          </w:tcPr>
          <w:p>
            <w:pPr>
              <w:adjustRightInd w:val="0"/>
              <w:snapToGrid w:val="0"/>
              <w:jc w:val="center"/>
              <w:rPr>
                <w:b/>
                <w:bCs/>
                <w:color w:val="auto"/>
              </w:rPr>
            </w:pPr>
            <w:r>
              <w:rPr>
                <w:b/>
                <w:bCs/>
                <w:color w:val="auto"/>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Merge w:val="continue"/>
            <w:vAlign w:val="center"/>
          </w:tcPr>
          <w:p>
            <w:pPr>
              <w:adjustRightInd w:val="0"/>
              <w:snapToGrid w:val="0"/>
              <w:jc w:val="center"/>
              <w:rPr>
                <w:b/>
                <w:bCs/>
                <w:color w:val="auto"/>
              </w:rPr>
            </w:pPr>
          </w:p>
        </w:tc>
        <w:tc>
          <w:tcPr>
            <w:tcW w:w="627" w:type="pct"/>
            <w:vMerge w:val="continue"/>
            <w:vAlign w:val="center"/>
          </w:tcPr>
          <w:p>
            <w:pPr>
              <w:adjustRightInd w:val="0"/>
              <w:snapToGrid w:val="0"/>
              <w:jc w:val="center"/>
              <w:rPr>
                <w:b/>
                <w:bCs/>
                <w:color w:val="auto"/>
              </w:rPr>
            </w:pPr>
          </w:p>
        </w:tc>
        <w:tc>
          <w:tcPr>
            <w:tcW w:w="767" w:type="pct"/>
            <w:vAlign w:val="center"/>
          </w:tcPr>
          <w:p>
            <w:pPr>
              <w:adjustRightInd w:val="0"/>
              <w:snapToGrid w:val="0"/>
              <w:jc w:val="center"/>
              <w:rPr>
                <w:b/>
                <w:bCs/>
                <w:color w:val="auto"/>
              </w:rPr>
            </w:pPr>
            <w:r>
              <w:rPr>
                <w:b/>
                <w:bCs/>
                <w:color w:val="auto"/>
              </w:rPr>
              <w:t>X</w:t>
            </w:r>
          </w:p>
        </w:tc>
        <w:tc>
          <w:tcPr>
            <w:tcW w:w="680" w:type="pct"/>
            <w:vAlign w:val="center"/>
          </w:tcPr>
          <w:p>
            <w:pPr>
              <w:adjustRightInd w:val="0"/>
              <w:snapToGrid w:val="0"/>
              <w:jc w:val="center"/>
              <w:rPr>
                <w:b/>
                <w:bCs/>
                <w:color w:val="auto"/>
              </w:rPr>
            </w:pPr>
            <w:r>
              <w:rPr>
                <w:b/>
                <w:bCs/>
                <w:color w:val="auto"/>
              </w:rPr>
              <w:t>Y</w:t>
            </w:r>
          </w:p>
        </w:tc>
        <w:tc>
          <w:tcPr>
            <w:tcW w:w="586" w:type="pct"/>
            <w:vMerge w:val="continue"/>
            <w:vAlign w:val="center"/>
          </w:tcPr>
          <w:p>
            <w:pPr>
              <w:adjustRightInd w:val="0"/>
              <w:snapToGrid w:val="0"/>
              <w:jc w:val="center"/>
              <w:rPr>
                <w:b/>
                <w:bCs/>
                <w:color w:val="auto"/>
              </w:rPr>
            </w:pPr>
          </w:p>
        </w:tc>
        <w:tc>
          <w:tcPr>
            <w:tcW w:w="596" w:type="pct"/>
            <w:vMerge w:val="continue"/>
            <w:vAlign w:val="center"/>
          </w:tcPr>
          <w:p>
            <w:pPr>
              <w:adjustRightInd w:val="0"/>
              <w:snapToGrid w:val="0"/>
              <w:jc w:val="center"/>
              <w:rPr>
                <w:b/>
                <w:bCs/>
                <w:color w:val="auto"/>
              </w:rPr>
            </w:pPr>
          </w:p>
        </w:tc>
        <w:tc>
          <w:tcPr>
            <w:tcW w:w="478" w:type="pct"/>
            <w:vMerge w:val="continue"/>
            <w:vAlign w:val="center"/>
          </w:tcPr>
          <w:p>
            <w:pPr>
              <w:adjustRightInd w:val="0"/>
              <w:snapToGrid w:val="0"/>
              <w:jc w:val="center"/>
              <w:rPr>
                <w:b/>
                <w:bCs/>
                <w:color w:val="auto"/>
              </w:rPr>
            </w:pPr>
          </w:p>
        </w:tc>
        <w:tc>
          <w:tcPr>
            <w:tcW w:w="389" w:type="pct"/>
            <w:vMerge w:val="continue"/>
            <w:vAlign w:val="center"/>
          </w:tcPr>
          <w:p>
            <w:pPr>
              <w:jc w:val="center"/>
              <w:rPr>
                <w:b/>
                <w:bCs/>
                <w:color w:val="auto"/>
              </w:rPr>
            </w:pPr>
          </w:p>
        </w:tc>
        <w:tc>
          <w:tcPr>
            <w:tcW w:w="477" w:type="pct"/>
            <w:vMerge w:val="continue"/>
            <w:vAlign w:val="center"/>
          </w:tcPr>
          <w:p>
            <w:pPr>
              <w:jc w:val="center"/>
              <w:rPr>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adjustRightInd w:val="0"/>
              <w:snapToGrid w:val="0"/>
              <w:jc w:val="center"/>
              <w:rPr>
                <w:color w:val="auto"/>
              </w:rPr>
            </w:pPr>
            <w:r>
              <w:rPr>
                <w:color w:val="auto"/>
              </w:rPr>
              <w:t>1</w:t>
            </w:r>
          </w:p>
        </w:tc>
        <w:tc>
          <w:tcPr>
            <w:tcW w:w="627" w:type="pct"/>
            <w:vAlign w:val="center"/>
          </w:tcPr>
          <w:p>
            <w:pPr>
              <w:jc w:val="center"/>
              <w:rPr>
                <w:color w:val="auto"/>
                <w:kern w:val="0"/>
              </w:rPr>
            </w:pPr>
            <w:r>
              <w:rPr>
                <w:color w:val="auto"/>
                <w:kern w:val="0"/>
              </w:rPr>
              <w:t>前李村</w:t>
            </w:r>
          </w:p>
        </w:tc>
        <w:tc>
          <w:tcPr>
            <w:tcW w:w="767" w:type="pct"/>
            <w:vAlign w:val="center"/>
          </w:tcPr>
          <w:p>
            <w:pPr>
              <w:jc w:val="center"/>
              <w:rPr>
                <w:color w:val="auto"/>
                <w:kern w:val="0"/>
              </w:rPr>
            </w:pPr>
            <w:r>
              <w:rPr>
                <w:color w:val="auto"/>
                <w:kern w:val="0"/>
              </w:rPr>
              <w:t>113.710475</w:t>
            </w:r>
          </w:p>
        </w:tc>
        <w:tc>
          <w:tcPr>
            <w:tcW w:w="680" w:type="pct"/>
            <w:vAlign w:val="center"/>
          </w:tcPr>
          <w:p>
            <w:pPr>
              <w:jc w:val="center"/>
              <w:rPr>
                <w:color w:val="auto"/>
                <w:kern w:val="0"/>
              </w:rPr>
            </w:pPr>
            <w:r>
              <w:rPr>
                <w:color w:val="auto"/>
                <w:kern w:val="0"/>
              </w:rPr>
              <w:t>35.271573</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900人</w:t>
            </w:r>
          </w:p>
          <w:p>
            <w:pPr>
              <w:adjustRightInd w:val="0"/>
              <w:snapToGrid w:val="0"/>
              <w:jc w:val="center"/>
              <w:rPr>
                <w:color w:val="auto"/>
              </w:rPr>
            </w:pPr>
            <w:r>
              <w:rPr>
                <w:color w:val="auto"/>
              </w:rPr>
              <w:t>250户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p>
        </w:tc>
        <w:tc>
          <w:tcPr>
            <w:tcW w:w="477" w:type="pct"/>
            <w:vAlign w:val="center"/>
          </w:tcPr>
          <w:p>
            <w:pPr>
              <w:jc w:val="center"/>
              <w:rPr>
                <w:color w:val="auto"/>
                <w:kern w:val="0"/>
              </w:rPr>
            </w:pPr>
            <w:r>
              <w:rPr>
                <w:color w:val="auto"/>
                <w:kern w:val="0"/>
              </w:rPr>
              <w:t>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adjustRightInd w:val="0"/>
              <w:snapToGrid w:val="0"/>
              <w:jc w:val="center"/>
              <w:rPr>
                <w:color w:val="auto"/>
              </w:rPr>
            </w:pPr>
            <w:r>
              <w:rPr>
                <w:color w:val="auto"/>
              </w:rPr>
              <w:t>2</w:t>
            </w:r>
          </w:p>
        </w:tc>
        <w:tc>
          <w:tcPr>
            <w:tcW w:w="627" w:type="pct"/>
            <w:vAlign w:val="center"/>
          </w:tcPr>
          <w:p>
            <w:pPr>
              <w:pStyle w:val="342"/>
              <w:jc w:val="center"/>
              <w:rPr>
                <w:color w:val="auto"/>
                <w:sz w:val="21"/>
                <w:szCs w:val="21"/>
              </w:rPr>
            </w:pPr>
            <w:r>
              <w:rPr>
                <w:color w:val="auto"/>
                <w:sz w:val="21"/>
                <w:szCs w:val="21"/>
              </w:rPr>
              <w:t>获嘉县气象站</w:t>
            </w:r>
          </w:p>
        </w:tc>
        <w:tc>
          <w:tcPr>
            <w:tcW w:w="767" w:type="pct"/>
            <w:vAlign w:val="center"/>
          </w:tcPr>
          <w:p>
            <w:pPr>
              <w:pStyle w:val="342"/>
              <w:jc w:val="center"/>
              <w:rPr>
                <w:color w:val="auto"/>
                <w:sz w:val="21"/>
                <w:szCs w:val="21"/>
              </w:rPr>
            </w:pPr>
            <w:r>
              <w:rPr>
                <w:color w:val="auto"/>
                <w:sz w:val="21"/>
                <w:szCs w:val="21"/>
              </w:rPr>
              <w:t>113.71848</w:t>
            </w:r>
            <w:r>
              <w:rPr>
                <w:rFonts w:hint="eastAsia"/>
                <w:color w:val="auto"/>
                <w:sz w:val="21"/>
                <w:szCs w:val="21"/>
              </w:rPr>
              <w:t>8</w:t>
            </w:r>
          </w:p>
        </w:tc>
        <w:tc>
          <w:tcPr>
            <w:tcW w:w="680" w:type="pct"/>
            <w:vAlign w:val="center"/>
          </w:tcPr>
          <w:p>
            <w:pPr>
              <w:pStyle w:val="342"/>
              <w:jc w:val="center"/>
              <w:rPr>
                <w:color w:val="auto"/>
                <w:sz w:val="21"/>
                <w:szCs w:val="21"/>
              </w:rPr>
            </w:pPr>
            <w:r>
              <w:rPr>
                <w:color w:val="auto"/>
                <w:sz w:val="21"/>
                <w:szCs w:val="21"/>
              </w:rPr>
              <w:t>35.266094</w:t>
            </w:r>
          </w:p>
        </w:tc>
        <w:tc>
          <w:tcPr>
            <w:tcW w:w="586" w:type="pct"/>
            <w:vAlign w:val="center"/>
          </w:tcPr>
          <w:p>
            <w:pPr>
              <w:adjustRightInd w:val="0"/>
              <w:snapToGrid w:val="0"/>
              <w:jc w:val="center"/>
              <w:rPr>
                <w:color w:val="auto"/>
              </w:rPr>
            </w:pPr>
            <w:r>
              <w:rPr>
                <w:color w:val="auto"/>
              </w:rPr>
              <w:t>科研单位</w:t>
            </w:r>
          </w:p>
        </w:tc>
        <w:tc>
          <w:tcPr>
            <w:tcW w:w="596" w:type="pct"/>
            <w:vAlign w:val="center"/>
          </w:tcPr>
          <w:p>
            <w:pPr>
              <w:adjustRightInd w:val="0"/>
              <w:snapToGrid w:val="0"/>
              <w:jc w:val="center"/>
              <w:rPr>
                <w:color w:val="auto"/>
              </w:rPr>
            </w:pPr>
            <w:r>
              <w:rPr>
                <w:rFonts w:hint="eastAsia"/>
                <w:color w:val="auto"/>
              </w:rPr>
              <w:t>气象站</w:t>
            </w:r>
          </w:p>
        </w:tc>
        <w:tc>
          <w:tcPr>
            <w:tcW w:w="478" w:type="pct"/>
            <w:vAlign w:val="center"/>
          </w:tcPr>
          <w:p>
            <w:pPr>
              <w:jc w:val="center"/>
              <w:rPr>
                <w:color w:val="auto"/>
              </w:rPr>
            </w:pPr>
            <w:r>
              <w:rPr>
                <w:rFonts w:hint="eastAsia"/>
                <w:color w:val="auto"/>
              </w:rPr>
              <w:t>2类</w:t>
            </w:r>
          </w:p>
        </w:tc>
        <w:tc>
          <w:tcPr>
            <w:tcW w:w="389" w:type="pct"/>
            <w:vAlign w:val="center"/>
          </w:tcPr>
          <w:p>
            <w:pPr>
              <w:pStyle w:val="342"/>
              <w:jc w:val="center"/>
              <w:rPr>
                <w:color w:val="auto"/>
                <w:sz w:val="21"/>
                <w:szCs w:val="21"/>
              </w:rPr>
            </w:pPr>
            <w:r>
              <w:rPr>
                <w:rFonts w:hint="eastAsia"/>
                <w:color w:val="auto"/>
              </w:rPr>
              <w:t>SE</w:t>
            </w:r>
          </w:p>
        </w:tc>
        <w:tc>
          <w:tcPr>
            <w:tcW w:w="477" w:type="pct"/>
            <w:vAlign w:val="center"/>
          </w:tcPr>
          <w:p>
            <w:pPr>
              <w:pStyle w:val="342"/>
              <w:jc w:val="center"/>
              <w:rPr>
                <w:color w:val="auto"/>
                <w:sz w:val="21"/>
                <w:szCs w:val="21"/>
              </w:rPr>
            </w:pPr>
            <w:r>
              <w:rPr>
                <w:rFonts w:hint="eastAsia"/>
                <w:color w:val="auto"/>
                <w:sz w:val="21"/>
                <w:szCs w:val="21"/>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adjustRightInd w:val="0"/>
              <w:snapToGrid w:val="0"/>
              <w:jc w:val="center"/>
              <w:rPr>
                <w:color w:val="auto"/>
              </w:rPr>
            </w:pPr>
            <w:r>
              <w:rPr>
                <w:color w:val="auto"/>
              </w:rPr>
              <w:t>3</w:t>
            </w:r>
          </w:p>
        </w:tc>
        <w:tc>
          <w:tcPr>
            <w:tcW w:w="627" w:type="pct"/>
            <w:vAlign w:val="center"/>
          </w:tcPr>
          <w:p>
            <w:pPr>
              <w:jc w:val="center"/>
              <w:rPr>
                <w:color w:val="auto"/>
                <w:kern w:val="0"/>
              </w:rPr>
            </w:pPr>
            <w:r>
              <w:rPr>
                <w:color w:val="auto"/>
                <w:kern w:val="0"/>
              </w:rPr>
              <w:t>后李村</w:t>
            </w:r>
          </w:p>
        </w:tc>
        <w:tc>
          <w:tcPr>
            <w:tcW w:w="767" w:type="pct"/>
            <w:vAlign w:val="center"/>
          </w:tcPr>
          <w:p>
            <w:pPr>
              <w:jc w:val="center"/>
              <w:rPr>
                <w:color w:val="auto"/>
                <w:kern w:val="0"/>
              </w:rPr>
            </w:pPr>
            <w:r>
              <w:rPr>
                <w:color w:val="auto"/>
                <w:kern w:val="0"/>
              </w:rPr>
              <w:t>113.710904</w:t>
            </w:r>
          </w:p>
        </w:tc>
        <w:tc>
          <w:tcPr>
            <w:tcW w:w="680" w:type="pct"/>
            <w:vAlign w:val="center"/>
          </w:tcPr>
          <w:p>
            <w:pPr>
              <w:jc w:val="center"/>
              <w:rPr>
                <w:color w:val="auto"/>
                <w:kern w:val="0"/>
              </w:rPr>
            </w:pPr>
            <w:r>
              <w:rPr>
                <w:color w:val="auto"/>
                <w:kern w:val="0"/>
              </w:rPr>
              <w:t>35.275435</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2000人</w:t>
            </w:r>
          </w:p>
          <w:p>
            <w:pPr>
              <w:adjustRightInd w:val="0"/>
              <w:snapToGrid w:val="0"/>
              <w:jc w:val="center"/>
              <w:rPr>
                <w:color w:val="auto"/>
              </w:rPr>
            </w:pPr>
            <w:r>
              <w:rPr>
                <w:color w:val="auto"/>
              </w:rPr>
              <w:t>570户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p>
        </w:tc>
        <w:tc>
          <w:tcPr>
            <w:tcW w:w="477" w:type="pct"/>
            <w:vAlign w:val="center"/>
          </w:tcPr>
          <w:p>
            <w:pPr>
              <w:jc w:val="center"/>
              <w:rPr>
                <w:color w:val="auto"/>
                <w:kern w:val="0"/>
              </w:rPr>
            </w:pPr>
            <w:r>
              <w:rPr>
                <w:color w:val="auto"/>
                <w:kern w:val="0"/>
              </w:rPr>
              <w:t>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4</w:t>
            </w:r>
          </w:p>
        </w:tc>
        <w:tc>
          <w:tcPr>
            <w:tcW w:w="627" w:type="pct"/>
            <w:vAlign w:val="center"/>
          </w:tcPr>
          <w:p>
            <w:pPr>
              <w:jc w:val="center"/>
              <w:rPr>
                <w:color w:val="auto"/>
                <w:kern w:val="0"/>
              </w:rPr>
            </w:pPr>
            <w:r>
              <w:rPr>
                <w:color w:val="auto"/>
                <w:kern w:val="0"/>
              </w:rPr>
              <w:t>彦当村</w:t>
            </w:r>
          </w:p>
        </w:tc>
        <w:tc>
          <w:tcPr>
            <w:tcW w:w="767" w:type="pct"/>
            <w:vAlign w:val="center"/>
          </w:tcPr>
          <w:p>
            <w:pPr>
              <w:jc w:val="center"/>
              <w:rPr>
                <w:color w:val="auto"/>
                <w:kern w:val="0"/>
              </w:rPr>
            </w:pPr>
            <w:r>
              <w:rPr>
                <w:color w:val="auto"/>
                <w:kern w:val="0"/>
              </w:rPr>
              <w:t>113.692450</w:t>
            </w:r>
          </w:p>
        </w:tc>
        <w:tc>
          <w:tcPr>
            <w:tcW w:w="680" w:type="pct"/>
            <w:vAlign w:val="center"/>
          </w:tcPr>
          <w:p>
            <w:pPr>
              <w:jc w:val="center"/>
              <w:rPr>
                <w:color w:val="auto"/>
                <w:kern w:val="0"/>
              </w:rPr>
            </w:pPr>
            <w:r>
              <w:rPr>
                <w:color w:val="auto"/>
                <w:kern w:val="0"/>
              </w:rPr>
              <w:t>35.268569</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2288人</w:t>
            </w:r>
          </w:p>
          <w:p>
            <w:pPr>
              <w:adjustRightInd w:val="0"/>
              <w:snapToGrid w:val="0"/>
              <w:jc w:val="center"/>
              <w:rPr>
                <w:color w:val="auto"/>
              </w:rPr>
            </w:pPr>
            <w:r>
              <w:rPr>
                <w:color w:val="auto"/>
              </w:rPr>
              <w:t>580户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rFonts w:hint="eastAsia"/>
                <w:color w:val="auto"/>
                <w:kern w:val="0"/>
              </w:rPr>
              <w:t>W</w:t>
            </w:r>
          </w:p>
        </w:tc>
        <w:tc>
          <w:tcPr>
            <w:tcW w:w="477" w:type="pct"/>
            <w:vAlign w:val="center"/>
          </w:tcPr>
          <w:p>
            <w:pPr>
              <w:jc w:val="center"/>
              <w:rPr>
                <w:color w:val="auto"/>
                <w:kern w:val="0"/>
              </w:rPr>
            </w:pPr>
            <w:r>
              <w:rPr>
                <w:color w:val="auto"/>
                <w:kern w:val="0"/>
              </w:rPr>
              <w:t>1441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5</w:t>
            </w:r>
          </w:p>
        </w:tc>
        <w:tc>
          <w:tcPr>
            <w:tcW w:w="627" w:type="pct"/>
            <w:vAlign w:val="center"/>
          </w:tcPr>
          <w:p>
            <w:pPr>
              <w:jc w:val="center"/>
              <w:rPr>
                <w:color w:val="auto"/>
                <w:kern w:val="0"/>
              </w:rPr>
            </w:pPr>
            <w:r>
              <w:rPr>
                <w:color w:val="auto"/>
                <w:kern w:val="0"/>
              </w:rPr>
              <w:t>前寺庄村</w:t>
            </w:r>
          </w:p>
        </w:tc>
        <w:tc>
          <w:tcPr>
            <w:tcW w:w="767" w:type="pct"/>
            <w:vAlign w:val="center"/>
          </w:tcPr>
          <w:p>
            <w:pPr>
              <w:jc w:val="center"/>
              <w:rPr>
                <w:color w:val="auto"/>
                <w:kern w:val="0"/>
              </w:rPr>
            </w:pPr>
            <w:r>
              <w:rPr>
                <w:color w:val="auto"/>
                <w:kern w:val="0"/>
              </w:rPr>
              <w:t>113.724379</w:t>
            </w:r>
          </w:p>
        </w:tc>
        <w:tc>
          <w:tcPr>
            <w:tcW w:w="680" w:type="pct"/>
            <w:vAlign w:val="center"/>
          </w:tcPr>
          <w:p>
            <w:pPr>
              <w:jc w:val="center"/>
              <w:rPr>
                <w:color w:val="auto"/>
                <w:kern w:val="0"/>
              </w:rPr>
            </w:pPr>
            <w:r>
              <w:rPr>
                <w:color w:val="auto"/>
                <w:kern w:val="0"/>
              </w:rPr>
              <w:t>35.277066</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1076人</w:t>
            </w:r>
          </w:p>
          <w:p>
            <w:pPr>
              <w:adjustRightInd w:val="0"/>
              <w:snapToGrid w:val="0"/>
              <w:jc w:val="center"/>
              <w:rPr>
                <w:color w:val="auto"/>
              </w:rPr>
            </w:pPr>
            <w:r>
              <w:rPr>
                <w:color w:val="auto"/>
              </w:rPr>
              <w:t>309户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r>
              <w:rPr>
                <w:rFonts w:hint="eastAsia"/>
                <w:color w:val="auto"/>
                <w:kern w:val="0"/>
              </w:rPr>
              <w:t>E</w:t>
            </w:r>
          </w:p>
        </w:tc>
        <w:tc>
          <w:tcPr>
            <w:tcW w:w="477" w:type="pct"/>
            <w:vAlign w:val="center"/>
          </w:tcPr>
          <w:p>
            <w:pPr>
              <w:jc w:val="center"/>
              <w:rPr>
                <w:color w:val="auto"/>
                <w:kern w:val="0"/>
              </w:rPr>
            </w:pPr>
            <w:r>
              <w:rPr>
                <w:color w:val="auto"/>
                <w:kern w:val="0"/>
              </w:rPr>
              <w:t>1475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6</w:t>
            </w:r>
          </w:p>
        </w:tc>
        <w:tc>
          <w:tcPr>
            <w:tcW w:w="627" w:type="pct"/>
            <w:vAlign w:val="center"/>
          </w:tcPr>
          <w:p>
            <w:pPr>
              <w:jc w:val="center"/>
              <w:rPr>
                <w:color w:val="auto"/>
                <w:kern w:val="0"/>
              </w:rPr>
            </w:pPr>
            <w:r>
              <w:rPr>
                <w:color w:val="auto"/>
                <w:kern w:val="0"/>
              </w:rPr>
              <w:t>获嘉县</w:t>
            </w:r>
          </w:p>
          <w:p>
            <w:pPr>
              <w:jc w:val="center"/>
              <w:rPr>
                <w:color w:val="auto"/>
                <w:kern w:val="0"/>
              </w:rPr>
            </w:pPr>
            <w:r>
              <w:rPr>
                <w:color w:val="auto"/>
                <w:kern w:val="0"/>
              </w:rPr>
              <w:t>中专</w:t>
            </w:r>
          </w:p>
        </w:tc>
        <w:tc>
          <w:tcPr>
            <w:tcW w:w="767" w:type="pct"/>
            <w:vAlign w:val="center"/>
          </w:tcPr>
          <w:p>
            <w:pPr>
              <w:jc w:val="center"/>
              <w:rPr>
                <w:color w:val="auto"/>
                <w:kern w:val="0"/>
              </w:rPr>
            </w:pPr>
            <w:r>
              <w:rPr>
                <w:color w:val="auto"/>
                <w:kern w:val="0"/>
              </w:rPr>
              <w:t>113.685756</w:t>
            </w:r>
          </w:p>
        </w:tc>
        <w:tc>
          <w:tcPr>
            <w:tcW w:w="680" w:type="pct"/>
            <w:vAlign w:val="center"/>
          </w:tcPr>
          <w:p>
            <w:pPr>
              <w:jc w:val="center"/>
              <w:rPr>
                <w:color w:val="auto"/>
                <w:kern w:val="0"/>
              </w:rPr>
            </w:pPr>
            <w:r>
              <w:rPr>
                <w:color w:val="auto"/>
                <w:kern w:val="0"/>
              </w:rPr>
              <w:t>35.264878</w:t>
            </w:r>
          </w:p>
        </w:tc>
        <w:tc>
          <w:tcPr>
            <w:tcW w:w="586" w:type="pct"/>
            <w:vAlign w:val="center"/>
          </w:tcPr>
          <w:p>
            <w:pPr>
              <w:adjustRightInd w:val="0"/>
              <w:snapToGrid w:val="0"/>
              <w:jc w:val="center"/>
              <w:rPr>
                <w:color w:val="auto"/>
              </w:rPr>
            </w:pPr>
            <w:r>
              <w:rPr>
                <w:color w:val="auto"/>
              </w:rPr>
              <w:t>学校</w:t>
            </w:r>
          </w:p>
        </w:tc>
        <w:tc>
          <w:tcPr>
            <w:tcW w:w="596" w:type="pct"/>
            <w:vAlign w:val="center"/>
          </w:tcPr>
          <w:p>
            <w:pPr>
              <w:adjustRightInd w:val="0"/>
              <w:snapToGrid w:val="0"/>
              <w:jc w:val="center"/>
              <w:rPr>
                <w:color w:val="auto"/>
              </w:rPr>
            </w:pPr>
            <w:r>
              <w:rPr>
                <w:color w:val="auto"/>
              </w:rPr>
              <w:t>师生1627人</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rFonts w:hint="eastAsia"/>
                <w:color w:val="auto"/>
                <w:kern w:val="0"/>
              </w:rPr>
              <w:t>W</w:t>
            </w:r>
          </w:p>
        </w:tc>
        <w:tc>
          <w:tcPr>
            <w:tcW w:w="477" w:type="pct"/>
            <w:vAlign w:val="center"/>
          </w:tcPr>
          <w:p>
            <w:pPr>
              <w:jc w:val="center"/>
              <w:rPr>
                <w:color w:val="auto"/>
                <w:kern w:val="0"/>
              </w:rPr>
            </w:pPr>
            <w:r>
              <w:rPr>
                <w:color w:val="auto"/>
                <w:kern w:val="0"/>
              </w:rPr>
              <w:t>1824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7</w:t>
            </w:r>
          </w:p>
        </w:tc>
        <w:tc>
          <w:tcPr>
            <w:tcW w:w="627" w:type="pct"/>
            <w:vAlign w:val="center"/>
          </w:tcPr>
          <w:p>
            <w:pPr>
              <w:jc w:val="center"/>
              <w:rPr>
                <w:color w:val="auto"/>
                <w:kern w:val="0"/>
              </w:rPr>
            </w:pPr>
            <w:r>
              <w:rPr>
                <w:color w:val="auto"/>
                <w:kern w:val="0"/>
              </w:rPr>
              <w:t>桑庄村</w:t>
            </w:r>
          </w:p>
        </w:tc>
        <w:tc>
          <w:tcPr>
            <w:tcW w:w="767" w:type="pct"/>
            <w:vAlign w:val="center"/>
          </w:tcPr>
          <w:p>
            <w:pPr>
              <w:jc w:val="center"/>
              <w:rPr>
                <w:color w:val="auto"/>
                <w:kern w:val="0"/>
              </w:rPr>
            </w:pPr>
            <w:r>
              <w:rPr>
                <w:color w:val="auto"/>
                <w:kern w:val="0"/>
              </w:rPr>
              <w:t>113.691764</w:t>
            </w:r>
          </w:p>
        </w:tc>
        <w:tc>
          <w:tcPr>
            <w:tcW w:w="680" w:type="pct"/>
            <w:vAlign w:val="center"/>
          </w:tcPr>
          <w:p>
            <w:pPr>
              <w:jc w:val="center"/>
              <w:rPr>
                <w:color w:val="auto"/>
                <w:kern w:val="0"/>
              </w:rPr>
            </w:pPr>
            <w:r>
              <w:rPr>
                <w:color w:val="auto"/>
                <w:kern w:val="0"/>
              </w:rPr>
              <w:t>35.281272</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936人</w:t>
            </w:r>
          </w:p>
          <w:p>
            <w:pPr>
              <w:adjustRightInd w:val="0"/>
              <w:snapToGrid w:val="0"/>
              <w:jc w:val="center"/>
              <w:rPr>
                <w:color w:val="auto"/>
              </w:rPr>
            </w:pPr>
            <w:r>
              <w:rPr>
                <w:color w:val="auto"/>
              </w:rPr>
              <w:t>260户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r>
              <w:rPr>
                <w:rFonts w:hint="eastAsia"/>
                <w:color w:val="auto"/>
                <w:kern w:val="0"/>
              </w:rPr>
              <w:t>W</w:t>
            </w:r>
          </w:p>
        </w:tc>
        <w:tc>
          <w:tcPr>
            <w:tcW w:w="477" w:type="pct"/>
            <w:vAlign w:val="center"/>
          </w:tcPr>
          <w:p>
            <w:pPr>
              <w:jc w:val="center"/>
              <w:rPr>
                <w:color w:val="auto"/>
                <w:kern w:val="0"/>
              </w:rPr>
            </w:pPr>
            <w:r>
              <w:rPr>
                <w:color w:val="auto"/>
                <w:kern w:val="0"/>
              </w:rPr>
              <w:t>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90" w:hRule="atLeast"/>
          <w:tblHeader/>
          <w:jc w:val="center"/>
        </w:trPr>
        <w:tc>
          <w:tcPr>
            <w:tcW w:w="399" w:type="pct"/>
            <w:vAlign w:val="center"/>
          </w:tcPr>
          <w:p>
            <w:pPr>
              <w:jc w:val="center"/>
              <w:rPr>
                <w:color w:val="auto"/>
                <w:kern w:val="0"/>
              </w:rPr>
            </w:pPr>
            <w:r>
              <w:rPr>
                <w:color w:val="auto"/>
                <w:kern w:val="0"/>
              </w:rPr>
              <w:t>8</w:t>
            </w:r>
          </w:p>
        </w:tc>
        <w:tc>
          <w:tcPr>
            <w:tcW w:w="627" w:type="pct"/>
            <w:vAlign w:val="center"/>
          </w:tcPr>
          <w:p>
            <w:pPr>
              <w:jc w:val="center"/>
              <w:rPr>
                <w:color w:val="auto"/>
                <w:kern w:val="0"/>
              </w:rPr>
            </w:pPr>
            <w:r>
              <w:rPr>
                <w:color w:val="auto"/>
                <w:kern w:val="0"/>
              </w:rPr>
              <w:t>后寺庄村</w:t>
            </w:r>
          </w:p>
        </w:tc>
        <w:tc>
          <w:tcPr>
            <w:tcW w:w="767" w:type="pct"/>
            <w:vAlign w:val="center"/>
          </w:tcPr>
          <w:p>
            <w:pPr>
              <w:jc w:val="center"/>
              <w:rPr>
                <w:color w:val="auto"/>
                <w:kern w:val="0"/>
              </w:rPr>
            </w:pPr>
            <w:r>
              <w:rPr>
                <w:color w:val="auto"/>
                <w:kern w:val="0"/>
              </w:rPr>
              <w:t>113.727126</w:t>
            </w:r>
          </w:p>
        </w:tc>
        <w:tc>
          <w:tcPr>
            <w:tcW w:w="680" w:type="pct"/>
            <w:vAlign w:val="center"/>
          </w:tcPr>
          <w:p>
            <w:pPr>
              <w:jc w:val="center"/>
              <w:rPr>
                <w:color w:val="auto"/>
                <w:kern w:val="0"/>
              </w:rPr>
            </w:pPr>
            <w:r>
              <w:rPr>
                <w:color w:val="auto"/>
                <w:kern w:val="0"/>
              </w:rPr>
              <w:t>35.282130</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940人</w:t>
            </w:r>
          </w:p>
          <w:p>
            <w:pPr>
              <w:adjustRightInd w:val="0"/>
              <w:snapToGrid w:val="0"/>
              <w:jc w:val="center"/>
              <w:rPr>
                <w:color w:val="auto"/>
              </w:rPr>
            </w:pPr>
            <w:r>
              <w:rPr>
                <w:color w:val="auto"/>
              </w:rPr>
              <w:t>260户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r>
              <w:rPr>
                <w:rFonts w:hint="eastAsia"/>
                <w:color w:val="auto"/>
                <w:kern w:val="0"/>
              </w:rPr>
              <w:t>E</w:t>
            </w:r>
          </w:p>
        </w:tc>
        <w:tc>
          <w:tcPr>
            <w:tcW w:w="477" w:type="pct"/>
            <w:vAlign w:val="center"/>
          </w:tcPr>
          <w:p>
            <w:pPr>
              <w:jc w:val="center"/>
              <w:rPr>
                <w:color w:val="auto"/>
                <w:kern w:val="0"/>
              </w:rPr>
            </w:pPr>
            <w:r>
              <w:rPr>
                <w:color w:val="auto"/>
                <w:kern w:val="0"/>
              </w:rPr>
              <w:t>2043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9</w:t>
            </w:r>
          </w:p>
        </w:tc>
        <w:tc>
          <w:tcPr>
            <w:tcW w:w="627" w:type="pct"/>
            <w:vAlign w:val="center"/>
          </w:tcPr>
          <w:p>
            <w:pPr>
              <w:jc w:val="center"/>
              <w:rPr>
                <w:color w:val="auto"/>
                <w:kern w:val="0"/>
              </w:rPr>
            </w:pPr>
            <w:r>
              <w:rPr>
                <w:color w:val="auto"/>
                <w:kern w:val="0"/>
              </w:rPr>
              <w:t>孝合村</w:t>
            </w:r>
          </w:p>
        </w:tc>
        <w:tc>
          <w:tcPr>
            <w:tcW w:w="767" w:type="pct"/>
            <w:vAlign w:val="center"/>
          </w:tcPr>
          <w:p>
            <w:pPr>
              <w:jc w:val="center"/>
              <w:rPr>
                <w:color w:val="auto"/>
                <w:kern w:val="0"/>
              </w:rPr>
            </w:pPr>
            <w:r>
              <w:rPr>
                <w:color w:val="auto"/>
                <w:kern w:val="0"/>
              </w:rPr>
              <w:t>113.705068</w:t>
            </w:r>
          </w:p>
        </w:tc>
        <w:tc>
          <w:tcPr>
            <w:tcW w:w="680" w:type="pct"/>
            <w:vAlign w:val="center"/>
          </w:tcPr>
          <w:p>
            <w:pPr>
              <w:jc w:val="center"/>
              <w:rPr>
                <w:color w:val="auto"/>
                <w:kern w:val="0"/>
              </w:rPr>
            </w:pPr>
            <w:r>
              <w:rPr>
                <w:color w:val="auto"/>
                <w:kern w:val="0"/>
              </w:rPr>
              <w:t>35.246510</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905人</w:t>
            </w:r>
          </w:p>
          <w:p>
            <w:pPr>
              <w:adjustRightInd w:val="0"/>
              <w:snapToGrid w:val="0"/>
              <w:jc w:val="center"/>
              <w:rPr>
                <w:color w:val="auto"/>
              </w:rPr>
            </w:pPr>
            <w:r>
              <w:rPr>
                <w:color w:val="auto"/>
              </w:rPr>
              <w:t>250户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S</w:t>
            </w:r>
          </w:p>
        </w:tc>
        <w:tc>
          <w:tcPr>
            <w:tcW w:w="477" w:type="pct"/>
            <w:vAlign w:val="center"/>
          </w:tcPr>
          <w:p>
            <w:pPr>
              <w:jc w:val="center"/>
              <w:rPr>
                <w:color w:val="auto"/>
                <w:kern w:val="0"/>
              </w:rPr>
            </w:pPr>
            <w:r>
              <w:rPr>
                <w:color w:val="auto"/>
                <w:kern w:val="0"/>
              </w:rPr>
              <w:t>2068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10</w:t>
            </w:r>
          </w:p>
        </w:tc>
        <w:tc>
          <w:tcPr>
            <w:tcW w:w="627" w:type="pct"/>
            <w:vAlign w:val="center"/>
          </w:tcPr>
          <w:p>
            <w:pPr>
              <w:jc w:val="center"/>
              <w:rPr>
                <w:color w:val="auto"/>
                <w:kern w:val="0"/>
              </w:rPr>
            </w:pPr>
            <w:r>
              <w:rPr>
                <w:color w:val="auto"/>
                <w:kern w:val="0"/>
              </w:rPr>
              <w:t>东仓村</w:t>
            </w:r>
          </w:p>
        </w:tc>
        <w:tc>
          <w:tcPr>
            <w:tcW w:w="767" w:type="pct"/>
            <w:vAlign w:val="center"/>
          </w:tcPr>
          <w:p>
            <w:pPr>
              <w:jc w:val="center"/>
              <w:rPr>
                <w:color w:val="auto"/>
                <w:kern w:val="0"/>
              </w:rPr>
            </w:pPr>
            <w:r>
              <w:rPr>
                <w:color w:val="auto"/>
                <w:kern w:val="0"/>
              </w:rPr>
              <w:t>113.711505</w:t>
            </w:r>
          </w:p>
        </w:tc>
        <w:tc>
          <w:tcPr>
            <w:tcW w:w="680" w:type="pct"/>
            <w:vAlign w:val="center"/>
          </w:tcPr>
          <w:p>
            <w:pPr>
              <w:jc w:val="center"/>
              <w:rPr>
                <w:color w:val="auto"/>
                <w:kern w:val="0"/>
              </w:rPr>
            </w:pPr>
            <w:r>
              <w:rPr>
                <w:color w:val="auto"/>
                <w:kern w:val="0"/>
              </w:rPr>
              <w:t>35.288567</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1485人</w:t>
            </w:r>
          </w:p>
          <w:p>
            <w:pPr>
              <w:adjustRightInd w:val="0"/>
              <w:snapToGrid w:val="0"/>
              <w:jc w:val="center"/>
              <w:rPr>
                <w:color w:val="auto"/>
              </w:rPr>
            </w:pPr>
            <w:r>
              <w:rPr>
                <w:color w:val="auto"/>
              </w:rPr>
              <w:t>425户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p>
        </w:tc>
        <w:tc>
          <w:tcPr>
            <w:tcW w:w="477" w:type="pct"/>
            <w:vAlign w:val="center"/>
          </w:tcPr>
          <w:p>
            <w:pPr>
              <w:jc w:val="center"/>
              <w:rPr>
                <w:color w:val="auto"/>
                <w:kern w:val="0"/>
              </w:rPr>
            </w:pPr>
            <w:r>
              <w:rPr>
                <w:color w:val="auto"/>
                <w:kern w:val="0"/>
              </w:rPr>
              <w:t>2126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11</w:t>
            </w:r>
          </w:p>
        </w:tc>
        <w:tc>
          <w:tcPr>
            <w:tcW w:w="627" w:type="pct"/>
            <w:vAlign w:val="center"/>
          </w:tcPr>
          <w:p>
            <w:pPr>
              <w:jc w:val="center"/>
              <w:rPr>
                <w:color w:val="auto"/>
                <w:kern w:val="0"/>
              </w:rPr>
            </w:pPr>
            <w:r>
              <w:rPr>
                <w:color w:val="auto"/>
                <w:kern w:val="0"/>
              </w:rPr>
              <w:t>陈孝村</w:t>
            </w:r>
          </w:p>
        </w:tc>
        <w:tc>
          <w:tcPr>
            <w:tcW w:w="767" w:type="pct"/>
            <w:vAlign w:val="center"/>
          </w:tcPr>
          <w:p>
            <w:pPr>
              <w:jc w:val="center"/>
              <w:rPr>
                <w:color w:val="auto"/>
                <w:kern w:val="0"/>
              </w:rPr>
            </w:pPr>
            <w:r>
              <w:rPr>
                <w:color w:val="auto"/>
                <w:kern w:val="0"/>
              </w:rPr>
              <w:t>113.695369</w:t>
            </w:r>
          </w:p>
        </w:tc>
        <w:tc>
          <w:tcPr>
            <w:tcW w:w="680" w:type="pct"/>
            <w:vAlign w:val="center"/>
          </w:tcPr>
          <w:p>
            <w:pPr>
              <w:jc w:val="center"/>
              <w:rPr>
                <w:color w:val="auto"/>
                <w:kern w:val="0"/>
              </w:rPr>
            </w:pPr>
            <w:r>
              <w:rPr>
                <w:color w:val="auto"/>
                <w:kern w:val="0"/>
              </w:rPr>
              <w:t>35.244536</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1080人</w:t>
            </w:r>
          </w:p>
          <w:p>
            <w:pPr>
              <w:adjustRightInd w:val="0"/>
              <w:snapToGrid w:val="0"/>
              <w:jc w:val="center"/>
              <w:rPr>
                <w:color w:val="auto"/>
              </w:rPr>
            </w:pPr>
            <w:r>
              <w:rPr>
                <w:color w:val="auto"/>
              </w:rPr>
              <w:t>310户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S</w:t>
            </w:r>
            <w:r>
              <w:rPr>
                <w:rFonts w:hint="eastAsia"/>
                <w:color w:val="auto"/>
                <w:kern w:val="0"/>
              </w:rPr>
              <w:t>W</w:t>
            </w:r>
          </w:p>
        </w:tc>
        <w:tc>
          <w:tcPr>
            <w:tcW w:w="477" w:type="pct"/>
            <w:vAlign w:val="center"/>
          </w:tcPr>
          <w:p>
            <w:pPr>
              <w:jc w:val="center"/>
              <w:rPr>
                <w:color w:val="auto"/>
                <w:kern w:val="0"/>
              </w:rPr>
            </w:pPr>
            <w:r>
              <w:rPr>
                <w:color w:val="auto"/>
                <w:kern w:val="0"/>
              </w:rPr>
              <w:t>2548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color w:val="auto"/>
                <w:kern w:val="0"/>
              </w:rPr>
              <w:t>12</w:t>
            </w:r>
          </w:p>
        </w:tc>
        <w:tc>
          <w:tcPr>
            <w:tcW w:w="627" w:type="pct"/>
            <w:vAlign w:val="center"/>
          </w:tcPr>
          <w:p>
            <w:pPr>
              <w:jc w:val="center"/>
              <w:rPr>
                <w:color w:val="auto"/>
                <w:kern w:val="0"/>
              </w:rPr>
            </w:pPr>
            <w:r>
              <w:rPr>
                <w:color w:val="auto"/>
                <w:kern w:val="0"/>
              </w:rPr>
              <w:t>武贾洲村</w:t>
            </w:r>
          </w:p>
        </w:tc>
        <w:tc>
          <w:tcPr>
            <w:tcW w:w="767" w:type="pct"/>
            <w:vAlign w:val="center"/>
          </w:tcPr>
          <w:p>
            <w:pPr>
              <w:jc w:val="center"/>
              <w:rPr>
                <w:color w:val="auto"/>
                <w:kern w:val="0"/>
              </w:rPr>
            </w:pPr>
            <w:r>
              <w:rPr>
                <w:color w:val="auto"/>
                <w:kern w:val="0"/>
              </w:rPr>
              <w:t>113.724294</w:t>
            </w:r>
          </w:p>
        </w:tc>
        <w:tc>
          <w:tcPr>
            <w:tcW w:w="680" w:type="pct"/>
            <w:vAlign w:val="center"/>
          </w:tcPr>
          <w:p>
            <w:pPr>
              <w:jc w:val="center"/>
              <w:rPr>
                <w:color w:val="auto"/>
                <w:kern w:val="0"/>
              </w:rPr>
            </w:pPr>
            <w:r>
              <w:rPr>
                <w:color w:val="auto"/>
                <w:kern w:val="0"/>
              </w:rPr>
              <w:t>35.243849</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580人</w:t>
            </w:r>
          </w:p>
          <w:p>
            <w:pPr>
              <w:adjustRightInd w:val="0"/>
              <w:snapToGrid w:val="0"/>
              <w:jc w:val="center"/>
              <w:rPr>
                <w:color w:val="auto"/>
              </w:rPr>
            </w:pPr>
            <w:r>
              <w:rPr>
                <w:color w:val="auto"/>
              </w:rPr>
              <w:t>165户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S</w:t>
            </w:r>
            <w:r>
              <w:rPr>
                <w:rFonts w:hint="eastAsia"/>
                <w:color w:val="auto"/>
                <w:kern w:val="0"/>
              </w:rPr>
              <w:t>E</w:t>
            </w:r>
          </w:p>
        </w:tc>
        <w:tc>
          <w:tcPr>
            <w:tcW w:w="477" w:type="pct"/>
            <w:vAlign w:val="center"/>
          </w:tcPr>
          <w:p>
            <w:pPr>
              <w:jc w:val="center"/>
              <w:rPr>
                <w:color w:val="auto"/>
                <w:kern w:val="0"/>
              </w:rPr>
            </w:pPr>
            <w:r>
              <w:rPr>
                <w:color w:val="auto"/>
                <w:kern w:val="0"/>
              </w:rPr>
              <w:t>2680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399" w:type="pct"/>
            <w:vAlign w:val="center"/>
          </w:tcPr>
          <w:p>
            <w:pPr>
              <w:jc w:val="center"/>
              <w:rPr>
                <w:color w:val="auto"/>
                <w:kern w:val="0"/>
              </w:rPr>
            </w:pPr>
            <w:r>
              <w:rPr>
                <w:rFonts w:hint="eastAsia"/>
                <w:color w:val="auto"/>
                <w:kern w:val="0"/>
              </w:rPr>
              <w:t>13</w:t>
            </w:r>
          </w:p>
        </w:tc>
        <w:tc>
          <w:tcPr>
            <w:tcW w:w="627" w:type="pct"/>
            <w:vAlign w:val="center"/>
          </w:tcPr>
          <w:p>
            <w:pPr>
              <w:jc w:val="center"/>
              <w:rPr>
                <w:color w:val="auto"/>
                <w:kern w:val="0"/>
              </w:rPr>
            </w:pPr>
            <w:r>
              <w:rPr>
                <w:color w:val="auto"/>
                <w:kern w:val="0"/>
              </w:rPr>
              <w:t>照镜镇</w:t>
            </w:r>
          </w:p>
        </w:tc>
        <w:tc>
          <w:tcPr>
            <w:tcW w:w="767" w:type="pct"/>
            <w:vAlign w:val="center"/>
          </w:tcPr>
          <w:p>
            <w:pPr>
              <w:jc w:val="center"/>
              <w:rPr>
                <w:color w:val="auto"/>
                <w:kern w:val="0"/>
              </w:rPr>
            </w:pPr>
            <w:r>
              <w:rPr>
                <w:color w:val="auto"/>
                <w:kern w:val="0"/>
              </w:rPr>
              <w:t>113.691249</w:t>
            </w:r>
          </w:p>
        </w:tc>
        <w:tc>
          <w:tcPr>
            <w:tcW w:w="680" w:type="pct"/>
            <w:vAlign w:val="center"/>
          </w:tcPr>
          <w:p>
            <w:pPr>
              <w:jc w:val="center"/>
              <w:rPr>
                <w:color w:val="auto"/>
                <w:kern w:val="0"/>
              </w:rPr>
            </w:pPr>
            <w:r>
              <w:rPr>
                <w:color w:val="auto"/>
                <w:kern w:val="0"/>
              </w:rPr>
              <w:t>35.290284</w:t>
            </w:r>
          </w:p>
        </w:tc>
        <w:tc>
          <w:tcPr>
            <w:tcW w:w="586" w:type="pct"/>
            <w:vAlign w:val="center"/>
          </w:tcPr>
          <w:p>
            <w:pPr>
              <w:adjustRightInd w:val="0"/>
              <w:snapToGrid w:val="0"/>
              <w:jc w:val="center"/>
              <w:rPr>
                <w:color w:val="auto"/>
              </w:rPr>
            </w:pPr>
            <w:r>
              <w:rPr>
                <w:color w:val="auto"/>
              </w:rPr>
              <w:t>居民区</w:t>
            </w:r>
          </w:p>
        </w:tc>
        <w:tc>
          <w:tcPr>
            <w:tcW w:w="596" w:type="pct"/>
            <w:vAlign w:val="center"/>
          </w:tcPr>
          <w:p>
            <w:pPr>
              <w:adjustRightInd w:val="0"/>
              <w:snapToGrid w:val="0"/>
              <w:jc w:val="center"/>
              <w:rPr>
                <w:color w:val="auto"/>
              </w:rPr>
            </w:pPr>
            <w:r>
              <w:rPr>
                <w:color w:val="auto"/>
              </w:rPr>
              <w:t>2948人</w:t>
            </w:r>
          </w:p>
          <w:p>
            <w:pPr>
              <w:adjustRightInd w:val="0"/>
              <w:snapToGrid w:val="0"/>
              <w:jc w:val="center"/>
              <w:rPr>
                <w:color w:val="auto"/>
              </w:rPr>
            </w:pPr>
            <w:r>
              <w:rPr>
                <w:color w:val="auto"/>
              </w:rPr>
              <w:t>850户</w:t>
            </w:r>
          </w:p>
        </w:tc>
        <w:tc>
          <w:tcPr>
            <w:tcW w:w="478" w:type="pct"/>
            <w:vAlign w:val="center"/>
          </w:tcPr>
          <w:p>
            <w:pPr>
              <w:jc w:val="center"/>
              <w:rPr>
                <w:color w:val="auto"/>
              </w:rPr>
            </w:pPr>
            <w:r>
              <w:rPr>
                <w:color w:val="auto"/>
              </w:rPr>
              <w:t>2类</w:t>
            </w:r>
          </w:p>
        </w:tc>
        <w:tc>
          <w:tcPr>
            <w:tcW w:w="389" w:type="pct"/>
            <w:vAlign w:val="center"/>
          </w:tcPr>
          <w:p>
            <w:pPr>
              <w:jc w:val="center"/>
              <w:rPr>
                <w:color w:val="auto"/>
                <w:kern w:val="0"/>
              </w:rPr>
            </w:pPr>
            <w:r>
              <w:rPr>
                <w:color w:val="auto"/>
                <w:kern w:val="0"/>
              </w:rPr>
              <w:t>N</w:t>
            </w:r>
            <w:r>
              <w:rPr>
                <w:rFonts w:hint="eastAsia"/>
                <w:color w:val="auto"/>
                <w:kern w:val="0"/>
              </w:rPr>
              <w:t>W</w:t>
            </w:r>
          </w:p>
        </w:tc>
        <w:tc>
          <w:tcPr>
            <w:tcW w:w="477" w:type="pct"/>
            <w:vAlign w:val="center"/>
          </w:tcPr>
          <w:p>
            <w:pPr>
              <w:jc w:val="center"/>
              <w:rPr>
                <w:color w:val="auto"/>
                <w:kern w:val="0"/>
              </w:rPr>
            </w:pPr>
            <w:r>
              <w:rPr>
                <w:color w:val="auto"/>
                <w:kern w:val="0"/>
              </w:rPr>
              <w:t>2771</w:t>
            </w:r>
          </w:p>
        </w:tc>
      </w:tr>
    </w:tbl>
    <w:p>
      <w:pPr>
        <w:pStyle w:val="6"/>
        <w:keepNext/>
        <w:keepLines/>
        <w:pageBreakBefore w:val="0"/>
        <w:widowControl/>
        <w:kinsoku/>
        <w:wordWrap/>
        <w:overflowPunct/>
        <w:topLinePunct w:val="0"/>
        <w:autoSpaceDE/>
        <w:autoSpaceDN/>
        <w:bidi w:val="0"/>
        <w:adjustRightInd/>
        <w:snapToGrid/>
        <w:spacing w:before="191" w:beforeLines="50" w:after="0" w:line="360" w:lineRule="auto"/>
        <w:textAlignment w:val="auto"/>
        <w:rPr>
          <w:b w:val="0"/>
          <w:color w:val="auto"/>
          <w:sz w:val="24"/>
          <w:szCs w:val="24"/>
        </w:rPr>
      </w:pPr>
      <w:r>
        <w:rPr>
          <w:b w:val="0"/>
          <w:color w:val="auto"/>
          <w:sz w:val="24"/>
          <w:szCs w:val="24"/>
        </w:rPr>
        <w:t>5.1.2.6大气环境影响预测</w:t>
      </w:r>
      <w:bookmarkEnd w:id="317"/>
      <w:bookmarkEnd w:id="318"/>
      <w:bookmarkEnd w:id="319"/>
      <w:bookmarkEnd w:id="320"/>
      <w:bookmarkEnd w:id="321"/>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该项目大气环境评价设定为二级，根据导则要求，本评价对大气环境影响分析的内容如下：</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1）有组织排放浓度达标分析；</w:t>
      </w:r>
    </w:p>
    <w:p>
      <w:pPr>
        <w:tabs>
          <w:tab w:val="left" w:pos="4815"/>
        </w:tabs>
        <w:adjustRightInd w:val="0"/>
        <w:snapToGrid w:val="0"/>
        <w:spacing w:line="520" w:lineRule="exact"/>
        <w:ind w:firstLine="480" w:firstLineChars="200"/>
        <w:textAlignment w:val="baseline"/>
        <w:rPr>
          <w:color w:val="auto"/>
          <w:kern w:val="0"/>
          <w:sz w:val="24"/>
          <w:szCs w:val="20"/>
        </w:rPr>
      </w:pPr>
      <w:r>
        <w:rPr>
          <w:color w:val="auto"/>
          <w:kern w:val="0"/>
          <w:sz w:val="24"/>
          <w:szCs w:val="20"/>
        </w:rPr>
        <w:t>2）无组织排放厂界浓度达标分析；</w:t>
      </w:r>
      <w:r>
        <w:rPr>
          <w:color w:val="auto"/>
          <w:kern w:val="0"/>
          <w:sz w:val="24"/>
          <w:szCs w:val="20"/>
        </w:rPr>
        <w:tab/>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3）对敏感点的环境影响预测及达标分析；</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4）厂界浓度预测达标分析</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5）大气环境防护距离的确定</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6）非正常工况污染物排放浓度达标分析。</w:t>
      </w:r>
    </w:p>
    <w:p>
      <w:pPr>
        <w:adjustRightInd w:val="0"/>
        <w:snapToGrid w:val="0"/>
        <w:spacing w:line="520" w:lineRule="exact"/>
        <w:textAlignment w:val="baseline"/>
        <w:rPr>
          <w:color w:val="auto"/>
          <w:kern w:val="0"/>
          <w:sz w:val="24"/>
          <w:szCs w:val="20"/>
        </w:rPr>
      </w:pPr>
      <w:r>
        <w:rPr>
          <w:color w:val="auto"/>
          <w:kern w:val="0"/>
          <w:sz w:val="24"/>
          <w:szCs w:val="20"/>
        </w:rPr>
        <w:t>（1）本项目有组织污染物排放预测结果</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本项目有组织污染物排放估算模式预测结果见表5.1-13～表5.1-14。</w:t>
      </w: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ind w:firstLine="480" w:firstLineChars="200"/>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sectPr>
          <w:pgSz w:w="11907" w:h="16840"/>
          <w:pgMar w:top="1440" w:right="1797" w:bottom="1440" w:left="1797" w:header="907" w:footer="907" w:gutter="0"/>
          <w:cols w:space="425" w:num="1"/>
          <w:docGrid w:linePitch="380" w:charSpace="0"/>
        </w:sectPr>
      </w:pPr>
    </w:p>
    <w:p>
      <w:pPr>
        <w:ind w:firstLine="960" w:firstLineChars="400"/>
        <w:jc w:val="center"/>
        <w:rPr>
          <w:rFonts w:eastAsia="黑体"/>
          <w:color w:val="auto"/>
          <w:sz w:val="24"/>
          <w:szCs w:val="24"/>
        </w:rPr>
      </w:pPr>
      <w:r>
        <w:rPr>
          <w:rFonts w:eastAsia="黑体"/>
          <w:color w:val="auto"/>
          <w:sz w:val="24"/>
          <w:szCs w:val="24"/>
        </w:rPr>
        <w:t>表5.1-13     本项目有组织污染物排放估算模式预测结果1</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8"/>
        <w:gridCol w:w="1259"/>
        <w:gridCol w:w="96"/>
        <w:gridCol w:w="1217"/>
        <w:gridCol w:w="647"/>
        <w:gridCol w:w="632"/>
        <w:gridCol w:w="627"/>
        <w:gridCol w:w="774"/>
        <w:gridCol w:w="1112"/>
        <w:gridCol w:w="292"/>
        <w:gridCol w:w="1109"/>
        <w:gridCol w:w="1676"/>
        <w:gridCol w:w="1653"/>
        <w:gridCol w:w="1619"/>
        <w:gridCol w:w="1455"/>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8" w:hRule="atLeast"/>
          <w:jc w:val="center"/>
        </w:trPr>
        <w:tc>
          <w:tcPr>
            <w:tcW w:w="481" w:type="pct"/>
            <w:gridSpan w:val="3"/>
            <w:vMerge w:val="restart"/>
            <w:vAlign w:val="center"/>
          </w:tcPr>
          <w:p>
            <w:pPr>
              <w:jc w:val="center"/>
              <w:rPr>
                <w:b/>
                <w:bCs/>
                <w:color w:val="auto"/>
                <w:szCs w:val="20"/>
              </w:rPr>
            </w:pPr>
            <w:r>
              <w:rPr>
                <w:b/>
                <w:bCs/>
                <w:color w:val="auto"/>
                <w:szCs w:val="20"/>
              </w:rPr>
              <w:t>下风向距离</w:t>
            </w:r>
          </w:p>
          <w:p>
            <w:pPr>
              <w:jc w:val="center"/>
              <w:rPr>
                <w:color w:val="auto"/>
                <w:szCs w:val="20"/>
              </w:rPr>
            </w:pPr>
            <w:r>
              <w:rPr>
                <w:b/>
                <w:bCs/>
                <w:color w:val="auto"/>
                <w:szCs w:val="20"/>
              </w:rPr>
              <w:t>D(m)</w:t>
            </w:r>
          </w:p>
        </w:tc>
        <w:tc>
          <w:tcPr>
            <w:tcW w:w="1101" w:type="pct"/>
            <w:gridSpan w:val="4"/>
            <w:vAlign w:val="center"/>
          </w:tcPr>
          <w:p>
            <w:pPr>
              <w:jc w:val="center"/>
              <w:rPr>
                <w:b/>
                <w:bCs/>
                <w:color w:val="auto"/>
                <w:szCs w:val="20"/>
                <w:u w:val="single"/>
              </w:rPr>
            </w:pPr>
            <w:r>
              <w:rPr>
                <w:rFonts w:hint="eastAsia"/>
                <w:b/>
                <w:bCs/>
                <w:color w:val="auto"/>
                <w:szCs w:val="20"/>
                <w:u w:val="single"/>
              </w:rPr>
              <w:t>二级碱液喷淋中和塔</w:t>
            </w:r>
            <w:r>
              <w:rPr>
                <w:b/>
                <w:bCs/>
                <w:color w:val="auto"/>
                <w:szCs w:val="20"/>
                <w:u w:val="single"/>
              </w:rPr>
              <w:t>排气筒DA001</w:t>
            </w:r>
          </w:p>
        </w:tc>
        <w:tc>
          <w:tcPr>
            <w:tcW w:w="3417" w:type="pct"/>
            <w:gridSpan w:val="8"/>
            <w:tcBorders>
              <w:right w:val="single" w:color="auto" w:sz="4" w:space="0"/>
            </w:tcBorders>
            <w:vAlign w:val="center"/>
          </w:tcPr>
          <w:p>
            <w:pPr>
              <w:jc w:val="center"/>
              <w:rPr>
                <w:b/>
                <w:bCs/>
                <w:color w:val="auto"/>
                <w:szCs w:val="20"/>
              </w:rPr>
            </w:pPr>
            <w:r>
              <w:rPr>
                <w:rFonts w:hint="eastAsia"/>
                <w:b/>
                <w:bCs/>
                <w:color w:val="auto"/>
                <w:szCs w:val="20"/>
              </w:rPr>
              <w:t>天然气燃烧排气筒DA002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481" w:type="pct"/>
            <w:gridSpan w:val="3"/>
            <w:vMerge w:val="continue"/>
            <w:vAlign w:val="center"/>
          </w:tcPr>
          <w:p>
            <w:pPr>
              <w:jc w:val="center"/>
              <w:rPr>
                <w:color w:val="auto"/>
                <w:szCs w:val="20"/>
              </w:rPr>
            </w:pPr>
          </w:p>
        </w:tc>
        <w:tc>
          <w:tcPr>
            <w:tcW w:w="1101" w:type="pct"/>
            <w:gridSpan w:val="4"/>
            <w:vAlign w:val="center"/>
          </w:tcPr>
          <w:p>
            <w:pPr>
              <w:jc w:val="center"/>
              <w:rPr>
                <w:b/>
                <w:bCs/>
                <w:color w:val="auto"/>
                <w:szCs w:val="20"/>
                <w:u w:val="single"/>
              </w:rPr>
            </w:pPr>
            <w:r>
              <w:rPr>
                <w:rFonts w:hint="eastAsia"/>
                <w:b/>
                <w:bCs/>
                <w:color w:val="auto"/>
                <w:szCs w:val="20"/>
                <w:u w:val="single"/>
              </w:rPr>
              <w:t>HCL</w:t>
            </w:r>
          </w:p>
        </w:tc>
        <w:tc>
          <w:tcPr>
            <w:tcW w:w="1159" w:type="pct"/>
            <w:gridSpan w:val="4"/>
            <w:tcBorders>
              <w:right w:val="single" w:color="auto" w:sz="4" w:space="0"/>
            </w:tcBorders>
            <w:vAlign w:val="center"/>
          </w:tcPr>
          <w:p>
            <w:pPr>
              <w:jc w:val="center"/>
              <w:rPr>
                <w:b/>
                <w:bCs/>
                <w:color w:val="auto"/>
              </w:rPr>
            </w:pPr>
            <w:r>
              <w:rPr>
                <w:rFonts w:hint="eastAsia"/>
                <w:b/>
                <w:bCs/>
                <w:color w:val="auto"/>
              </w:rPr>
              <w:t>颗粒物</w:t>
            </w:r>
          </w:p>
        </w:tc>
        <w:tc>
          <w:tcPr>
            <w:tcW w:w="1174" w:type="pct"/>
            <w:gridSpan w:val="2"/>
            <w:tcBorders>
              <w:right w:val="single" w:color="auto" w:sz="4" w:space="0"/>
            </w:tcBorders>
            <w:vAlign w:val="center"/>
          </w:tcPr>
          <w:p>
            <w:pPr>
              <w:jc w:val="center"/>
              <w:rPr>
                <w:b/>
                <w:bCs/>
                <w:color w:val="auto"/>
              </w:rPr>
            </w:pPr>
            <w:r>
              <w:rPr>
                <w:rFonts w:hint="eastAsia"/>
                <w:b/>
                <w:bCs/>
                <w:color w:val="auto"/>
              </w:rPr>
              <w:t>SO</w:t>
            </w:r>
            <w:r>
              <w:rPr>
                <w:rFonts w:hint="eastAsia"/>
                <w:b/>
                <w:bCs/>
                <w:color w:val="auto"/>
                <w:vertAlign w:val="subscript"/>
              </w:rPr>
              <w:t>2</w:t>
            </w:r>
          </w:p>
        </w:tc>
        <w:tc>
          <w:tcPr>
            <w:tcW w:w="1084" w:type="pct"/>
            <w:gridSpan w:val="2"/>
            <w:tcBorders>
              <w:right w:val="single" w:color="auto" w:sz="4" w:space="0"/>
            </w:tcBorders>
            <w:vAlign w:val="center"/>
          </w:tcPr>
          <w:p>
            <w:pPr>
              <w:jc w:val="center"/>
              <w:rPr>
                <w:b/>
                <w:bCs/>
                <w:color w:val="auto"/>
              </w:rPr>
            </w:pPr>
            <w:r>
              <w:rPr>
                <w:rFonts w:hint="eastAsia"/>
                <w:b/>
                <w:bCs/>
                <w:color w:val="auto"/>
              </w:rPr>
              <w:t>NO</w:t>
            </w:r>
            <w:r>
              <w:rPr>
                <w:rFonts w:hint="eastAsia"/>
                <w:b/>
                <w:bCs/>
                <w:color w:val="auto"/>
                <w:vertAlign w:val="subscript"/>
              </w:rPr>
              <w:t>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Merge w:val="continue"/>
            <w:vAlign w:val="center"/>
          </w:tcPr>
          <w:p>
            <w:pPr>
              <w:spacing w:before="120"/>
              <w:jc w:val="center"/>
              <w:rPr>
                <w:color w:val="auto"/>
                <w:szCs w:val="20"/>
              </w:rPr>
            </w:pPr>
          </w:p>
        </w:tc>
        <w:tc>
          <w:tcPr>
            <w:tcW w:w="657" w:type="pct"/>
            <w:gridSpan w:val="2"/>
            <w:vAlign w:val="center"/>
          </w:tcPr>
          <w:p>
            <w:pPr>
              <w:jc w:val="center"/>
              <w:rPr>
                <w:b/>
                <w:bCs/>
                <w:color w:val="auto"/>
                <w:szCs w:val="20"/>
                <w:u w:val="single"/>
              </w:rPr>
            </w:pPr>
            <w:r>
              <w:rPr>
                <w:b/>
                <w:bCs/>
                <w:color w:val="auto"/>
                <w:szCs w:val="20"/>
                <w:u w:val="single"/>
              </w:rPr>
              <w:t>预测浓度</w:t>
            </w:r>
            <w:r>
              <w:rPr>
                <w:rFonts w:hint="eastAsia"/>
                <w:b/>
                <w:bCs/>
                <w:color w:val="auto"/>
                <w:szCs w:val="20"/>
                <w:u w:val="single"/>
                <w:lang w:eastAsia="zh-CN"/>
              </w:rPr>
              <w:t>(</w:t>
            </w:r>
            <w:r>
              <w:rPr>
                <w:b/>
                <w:bCs/>
                <w:color w:val="auto"/>
                <w:szCs w:val="20"/>
                <w:u w:val="single"/>
              </w:rPr>
              <w:t>mg/m</w:t>
            </w:r>
            <w:r>
              <w:rPr>
                <w:b/>
                <w:bCs/>
                <w:color w:val="auto"/>
                <w:szCs w:val="20"/>
                <w:u w:val="single"/>
                <w:vertAlign w:val="superscript"/>
              </w:rPr>
              <w:t>3</w:t>
            </w:r>
            <w:r>
              <w:rPr>
                <w:b/>
                <w:bCs/>
                <w:color w:val="auto"/>
                <w:szCs w:val="20"/>
                <w:u w:val="single"/>
              </w:rPr>
              <w:t>)</w:t>
            </w:r>
          </w:p>
        </w:tc>
        <w:tc>
          <w:tcPr>
            <w:tcW w:w="444" w:type="pct"/>
            <w:gridSpan w:val="2"/>
            <w:vAlign w:val="center"/>
          </w:tcPr>
          <w:p>
            <w:pPr>
              <w:jc w:val="center"/>
              <w:rPr>
                <w:b/>
                <w:bCs/>
                <w:color w:val="auto"/>
                <w:szCs w:val="20"/>
                <w:u w:val="single"/>
              </w:rPr>
            </w:pPr>
            <w:r>
              <w:rPr>
                <w:b/>
                <w:bCs/>
                <w:color w:val="auto"/>
                <w:szCs w:val="20"/>
                <w:u w:val="single"/>
              </w:rPr>
              <w:t>占标率</w:t>
            </w:r>
            <w:r>
              <w:rPr>
                <w:rFonts w:hint="eastAsia"/>
                <w:b/>
                <w:bCs/>
                <w:color w:val="auto"/>
                <w:szCs w:val="20"/>
                <w:u w:val="single"/>
                <w:lang w:eastAsia="zh-CN"/>
              </w:rPr>
              <w:t>(</w:t>
            </w:r>
            <w:r>
              <w:rPr>
                <w:b/>
                <w:bCs/>
                <w:color w:val="auto"/>
                <w:szCs w:val="20"/>
                <w:u w:val="single"/>
              </w:rPr>
              <w:t>%)</w:t>
            </w:r>
          </w:p>
        </w:tc>
        <w:tc>
          <w:tcPr>
            <w:tcW w:w="665" w:type="pct"/>
            <w:gridSpan w:val="2"/>
            <w:vAlign w:val="center"/>
          </w:tcPr>
          <w:p>
            <w:pPr>
              <w:jc w:val="center"/>
              <w:rPr>
                <w:color w:val="auto"/>
                <w:szCs w:val="20"/>
              </w:rPr>
            </w:pPr>
            <w:r>
              <w:rPr>
                <w:color w:val="auto"/>
                <w:szCs w:val="20"/>
              </w:rPr>
              <w:t>预测浓度</w:t>
            </w:r>
            <w:r>
              <w:rPr>
                <w:rFonts w:hint="eastAsia"/>
                <w:color w:val="auto"/>
                <w:szCs w:val="20"/>
                <w:lang w:eastAsia="zh-CN"/>
              </w:rPr>
              <w:t>(</w:t>
            </w:r>
            <w:r>
              <w:rPr>
                <w:color w:val="auto"/>
                <w:szCs w:val="20"/>
              </w:rPr>
              <w:t>mg/m</w:t>
            </w:r>
            <w:r>
              <w:rPr>
                <w:color w:val="auto"/>
                <w:szCs w:val="20"/>
                <w:vertAlign w:val="superscript"/>
              </w:rPr>
              <w:t>3</w:t>
            </w:r>
            <w:r>
              <w:rPr>
                <w:color w:val="auto"/>
                <w:szCs w:val="20"/>
              </w:rPr>
              <w:t>)</w:t>
            </w:r>
          </w:p>
        </w:tc>
        <w:tc>
          <w:tcPr>
            <w:tcW w:w="493" w:type="pct"/>
            <w:gridSpan w:val="2"/>
            <w:vAlign w:val="center"/>
          </w:tcPr>
          <w:p>
            <w:pPr>
              <w:jc w:val="center"/>
              <w:rPr>
                <w:color w:val="auto"/>
                <w:szCs w:val="20"/>
              </w:rPr>
            </w:pPr>
            <w:r>
              <w:rPr>
                <w:color w:val="auto"/>
                <w:szCs w:val="20"/>
              </w:rPr>
              <w:t>占标率</w:t>
            </w:r>
            <w:r>
              <w:rPr>
                <w:rFonts w:hint="eastAsia"/>
                <w:color w:val="auto"/>
                <w:szCs w:val="20"/>
                <w:lang w:eastAsia="zh-CN"/>
              </w:rPr>
              <w:t>(</w:t>
            </w:r>
            <w:r>
              <w:rPr>
                <w:color w:val="auto"/>
                <w:szCs w:val="20"/>
              </w:rPr>
              <w:t>%)</w:t>
            </w:r>
          </w:p>
        </w:tc>
        <w:tc>
          <w:tcPr>
            <w:tcW w:w="591" w:type="pct"/>
            <w:vAlign w:val="center"/>
          </w:tcPr>
          <w:p>
            <w:pPr>
              <w:jc w:val="center"/>
              <w:rPr>
                <w:color w:val="auto"/>
                <w:szCs w:val="20"/>
              </w:rPr>
            </w:pPr>
            <w:r>
              <w:rPr>
                <w:color w:val="auto"/>
                <w:szCs w:val="20"/>
              </w:rPr>
              <w:t>预测浓度</w:t>
            </w:r>
            <w:r>
              <w:rPr>
                <w:rFonts w:hint="eastAsia"/>
                <w:color w:val="auto"/>
                <w:szCs w:val="20"/>
                <w:lang w:eastAsia="zh-CN"/>
              </w:rPr>
              <w:t>(</w:t>
            </w:r>
            <w:r>
              <w:rPr>
                <w:color w:val="auto"/>
                <w:szCs w:val="20"/>
              </w:rPr>
              <w:t>mg/m</w:t>
            </w:r>
            <w:r>
              <w:rPr>
                <w:color w:val="auto"/>
                <w:szCs w:val="20"/>
                <w:vertAlign w:val="superscript"/>
              </w:rPr>
              <w:t>3</w:t>
            </w:r>
            <w:r>
              <w:rPr>
                <w:color w:val="auto"/>
                <w:szCs w:val="20"/>
              </w:rPr>
              <w:t>)</w:t>
            </w:r>
          </w:p>
        </w:tc>
        <w:tc>
          <w:tcPr>
            <w:tcW w:w="583" w:type="pct"/>
            <w:vAlign w:val="center"/>
          </w:tcPr>
          <w:p>
            <w:pPr>
              <w:jc w:val="center"/>
              <w:rPr>
                <w:color w:val="auto"/>
                <w:szCs w:val="20"/>
              </w:rPr>
            </w:pPr>
            <w:r>
              <w:rPr>
                <w:color w:val="auto"/>
                <w:szCs w:val="20"/>
              </w:rPr>
              <w:t>占标率</w:t>
            </w:r>
            <w:r>
              <w:rPr>
                <w:rFonts w:hint="eastAsia"/>
                <w:color w:val="auto"/>
                <w:szCs w:val="20"/>
                <w:lang w:eastAsia="zh-CN"/>
              </w:rPr>
              <w:t>(</w:t>
            </w:r>
            <w:r>
              <w:rPr>
                <w:color w:val="auto"/>
                <w:szCs w:val="20"/>
              </w:rPr>
              <w:t>%)</w:t>
            </w:r>
          </w:p>
        </w:tc>
        <w:tc>
          <w:tcPr>
            <w:tcW w:w="571" w:type="pct"/>
            <w:tcBorders>
              <w:right w:val="single" w:color="auto" w:sz="4" w:space="0"/>
            </w:tcBorders>
            <w:vAlign w:val="center"/>
          </w:tcPr>
          <w:p>
            <w:pPr>
              <w:jc w:val="center"/>
              <w:rPr>
                <w:color w:val="auto"/>
                <w:szCs w:val="20"/>
              </w:rPr>
            </w:pPr>
            <w:r>
              <w:rPr>
                <w:color w:val="auto"/>
                <w:szCs w:val="20"/>
              </w:rPr>
              <w:t>预测浓度</w:t>
            </w:r>
            <w:r>
              <w:rPr>
                <w:rFonts w:hint="eastAsia"/>
                <w:color w:val="auto"/>
                <w:szCs w:val="20"/>
                <w:lang w:eastAsia="zh-CN"/>
              </w:rPr>
              <w:t>(</w:t>
            </w:r>
            <w:r>
              <w:rPr>
                <w:color w:val="auto"/>
                <w:szCs w:val="20"/>
              </w:rPr>
              <w:t>mg/m</w:t>
            </w:r>
            <w:r>
              <w:rPr>
                <w:color w:val="auto"/>
                <w:szCs w:val="20"/>
                <w:vertAlign w:val="superscript"/>
              </w:rPr>
              <w:t>3</w:t>
            </w:r>
            <w:r>
              <w:rPr>
                <w:color w:val="auto"/>
                <w:szCs w:val="20"/>
              </w:rPr>
              <w:t>)</w:t>
            </w:r>
          </w:p>
        </w:tc>
        <w:tc>
          <w:tcPr>
            <w:tcW w:w="513" w:type="pct"/>
            <w:tcBorders>
              <w:right w:val="single" w:color="auto" w:sz="4" w:space="0"/>
            </w:tcBorders>
            <w:vAlign w:val="center"/>
          </w:tcPr>
          <w:p>
            <w:pPr>
              <w:jc w:val="center"/>
              <w:rPr>
                <w:color w:val="auto"/>
                <w:szCs w:val="20"/>
              </w:rPr>
            </w:pPr>
            <w:r>
              <w:rPr>
                <w:color w:val="auto"/>
                <w:szCs w:val="20"/>
              </w:rPr>
              <w:t>占标率</w:t>
            </w:r>
            <w:r>
              <w:rPr>
                <w:rFonts w:hint="eastAsia"/>
                <w:color w:val="auto"/>
                <w:szCs w:val="20"/>
                <w:lang w:eastAsia="zh-CN"/>
              </w:rPr>
              <w:t>(</w:t>
            </w:r>
            <w:r>
              <w:rPr>
                <w:color w:val="auto"/>
                <w:szCs w:val="2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10</w:t>
            </w:r>
          </w:p>
        </w:tc>
        <w:tc>
          <w:tcPr>
            <w:tcW w:w="657" w:type="pct"/>
            <w:gridSpan w:val="2"/>
            <w:vAlign w:val="center"/>
          </w:tcPr>
          <w:p>
            <w:pPr>
              <w:jc w:val="center"/>
              <w:rPr>
                <w:b/>
                <w:bCs/>
                <w:color w:val="auto"/>
                <w:u w:val="single"/>
              </w:rPr>
            </w:pPr>
            <w:r>
              <w:rPr>
                <w:rFonts w:hint="eastAsia"/>
                <w:b/>
                <w:bCs/>
                <w:color w:val="auto"/>
                <w:u w:val="single"/>
              </w:rPr>
              <w:t>1.45E-12</w:t>
            </w:r>
          </w:p>
        </w:tc>
        <w:tc>
          <w:tcPr>
            <w:tcW w:w="444" w:type="pct"/>
            <w:gridSpan w:val="2"/>
            <w:vAlign w:val="center"/>
          </w:tcPr>
          <w:p>
            <w:pPr>
              <w:jc w:val="center"/>
              <w:rPr>
                <w:b/>
                <w:bCs/>
                <w:color w:val="auto"/>
                <w:u w:val="single"/>
              </w:rPr>
            </w:pPr>
            <w:r>
              <w:rPr>
                <w:rFonts w:hint="eastAsia"/>
                <w:b/>
                <w:bCs/>
                <w:color w:val="auto"/>
                <w:u w:val="single"/>
              </w:rPr>
              <w:t>0.00</w:t>
            </w:r>
          </w:p>
        </w:tc>
        <w:tc>
          <w:tcPr>
            <w:tcW w:w="665" w:type="pct"/>
            <w:gridSpan w:val="2"/>
            <w:vAlign w:val="center"/>
          </w:tcPr>
          <w:p>
            <w:pPr>
              <w:jc w:val="center"/>
              <w:rPr>
                <w:color w:val="auto"/>
              </w:rPr>
            </w:pPr>
            <w:r>
              <w:rPr>
                <w:color w:val="auto"/>
              </w:rPr>
              <w:t>3.31E-20</w:t>
            </w:r>
          </w:p>
        </w:tc>
        <w:tc>
          <w:tcPr>
            <w:tcW w:w="493" w:type="pct"/>
            <w:gridSpan w:val="2"/>
            <w:vAlign w:val="center"/>
          </w:tcPr>
          <w:p>
            <w:pPr>
              <w:jc w:val="center"/>
              <w:rPr>
                <w:color w:val="auto"/>
              </w:rPr>
            </w:pPr>
            <w:r>
              <w:rPr>
                <w:color w:val="auto"/>
              </w:rPr>
              <w:t>0.00</w:t>
            </w:r>
          </w:p>
        </w:tc>
        <w:tc>
          <w:tcPr>
            <w:tcW w:w="591" w:type="pct"/>
            <w:vAlign w:val="center"/>
          </w:tcPr>
          <w:p>
            <w:pPr>
              <w:jc w:val="center"/>
              <w:rPr>
                <w:color w:val="auto"/>
              </w:rPr>
            </w:pPr>
            <w:r>
              <w:rPr>
                <w:color w:val="auto"/>
              </w:rPr>
              <w:t>2.35E-19</w:t>
            </w:r>
          </w:p>
        </w:tc>
        <w:tc>
          <w:tcPr>
            <w:tcW w:w="583" w:type="pct"/>
            <w:vAlign w:val="center"/>
          </w:tcPr>
          <w:p>
            <w:pPr>
              <w:jc w:val="center"/>
              <w:rPr>
                <w:color w:val="auto"/>
              </w:rPr>
            </w:pPr>
            <w:r>
              <w:rPr>
                <w:color w:val="auto"/>
              </w:rPr>
              <w:t>0.00</w:t>
            </w:r>
          </w:p>
        </w:tc>
        <w:tc>
          <w:tcPr>
            <w:tcW w:w="571" w:type="pct"/>
            <w:tcBorders>
              <w:right w:val="single" w:color="auto" w:sz="4" w:space="0"/>
            </w:tcBorders>
            <w:vAlign w:val="center"/>
          </w:tcPr>
          <w:p>
            <w:pPr>
              <w:jc w:val="center"/>
              <w:rPr>
                <w:color w:val="auto"/>
              </w:rPr>
            </w:pPr>
            <w:r>
              <w:rPr>
                <w:color w:val="auto"/>
              </w:rPr>
              <w:t>1.98E-19</w:t>
            </w:r>
          </w:p>
        </w:tc>
        <w:tc>
          <w:tcPr>
            <w:tcW w:w="513" w:type="pct"/>
            <w:tcBorders>
              <w:right w:val="single" w:color="auto" w:sz="4" w:space="0"/>
            </w:tcBorders>
            <w:vAlign w:val="center"/>
          </w:tcPr>
          <w:p>
            <w:pPr>
              <w:jc w:val="center"/>
              <w:rPr>
                <w:color w:val="auto"/>
              </w:rPr>
            </w:pPr>
            <w:r>
              <w:rPr>
                <w:color w:val="auto"/>
              </w:rPr>
              <w:t>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100</w:t>
            </w:r>
          </w:p>
        </w:tc>
        <w:tc>
          <w:tcPr>
            <w:tcW w:w="657" w:type="pct"/>
            <w:gridSpan w:val="2"/>
            <w:vAlign w:val="center"/>
          </w:tcPr>
          <w:p>
            <w:pPr>
              <w:jc w:val="center"/>
              <w:rPr>
                <w:b/>
                <w:bCs/>
                <w:color w:val="auto"/>
                <w:u w:val="single"/>
              </w:rPr>
            </w:pPr>
            <w:r>
              <w:rPr>
                <w:rFonts w:hint="eastAsia"/>
                <w:b/>
                <w:bCs/>
                <w:color w:val="auto"/>
                <w:u w:val="single"/>
              </w:rPr>
              <w:t>3.76E-04</w:t>
            </w:r>
          </w:p>
        </w:tc>
        <w:tc>
          <w:tcPr>
            <w:tcW w:w="444" w:type="pct"/>
            <w:gridSpan w:val="2"/>
            <w:vAlign w:val="center"/>
          </w:tcPr>
          <w:p>
            <w:pPr>
              <w:jc w:val="center"/>
              <w:rPr>
                <w:b/>
                <w:bCs/>
                <w:color w:val="auto"/>
                <w:u w:val="single"/>
              </w:rPr>
            </w:pPr>
            <w:r>
              <w:rPr>
                <w:rFonts w:hint="eastAsia"/>
                <w:b/>
                <w:bCs/>
                <w:color w:val="auto"/>
                <w:u w:val="single"/>
              </w:rPr>
              <w:t>0.75</w:t>
            </w:r>
          </w:p>
        </w:tc>
        <w:tc>
          <w:tcPr>
            <w:tcW w:w="665" w:type="pct"/>
            <w:gridSpan w:val="2"/>
            <w:vAlign w:val="center"/>
          </w:tcPr>
          <w:p>
            <w:pPr>
              <w:jc w:val="center"/>
              <w:rPr>
                <w:color w:val="auto"/>
              </w:rPr>
            </w:pPr>
            <w:r>
              <w:rPr>
                <w:color w:val="auto"/>
              </w:rPr>
              <w:t>1.10E-03</w:t>
            </w:r>
          </w:p>
        </w:tc>
        <w:tc>
          <w:tcPr>
            <w:tcW w:w="493" w:type="pct"/>
            <w:gridSpan w:val="2"/>
            <w:vAlign w:val="center"/>
          </w:tcPr>
          <w:p>
            <w:pPr>
              <w:jc w:val="center"/>
              <w:rPr>
                <w:color w:val="auto"/>
              </w:rPr>
            </w:pPr>
            <w:r>
              <w:rPr>
                <w:color w:val="auto"/>
              </w:rPr>
              <w:t>0.24</w:t>
            </w:r>
          </w:p>
        </w:tc>
        <w:tc>
          <w:tcPr>
            <w:tcW w:w="591" w:type="pct"/>
            <w:vAlign w:val="center"/>
          </w:tcPr>
          <w:p>
            <w:pPr>
              <w:jc w:val="center"/>
              <w:rPr>
                <w:color w:val="auto"/>
              </w:rPr>
            </w:pPr>
            <w:r>
              <w:rPr>
                <w:color w:val="auto"/>
              </w:rPr>
              <w:t>7.80E-03</w:t>
            </w:r>
          </w:p>
        </w:tc>
        <w:tc>
          <w:tcPr>
            <w:tcW w:w="583" w:type="pct"/>
            <w:vAlign w:val="center"/>
          </w:tcPr>
          <w:p>
            <w:pPr>
              <w:jc w:val="center"/>
              <w:rPr>
                <w:color w:val="auto"/>
              </w:rPr>
            </w:pPr>
            <w:r>
              <w:rPr>
                <w:color w:val="auto"/>
              </w:rPr>
              <w:t>1.56</w:t>
            </w:r>
          </w:p>
        </w:tc>
        <w:tc>
          <w:tcPr>
            <w:tcW w:w="571" w:type="pct"/>
            <w:tcBorders>
              <w:right w:val="single" w:color="auto" w:sz="4" w:space="0"/>
            </w:tcBorders>
            <w:vAlign w:val="center"/>
          </w:tcPr>
          <w:p>
            <w:pPr>
              <w:jc w:val="center"/>
              <w:rPr>
                <w:color w:val="auto"/>
              </w:rPr>
            </w:pPr>
            <w:r>
              <w:rPr>
                <w:color w:val="auto"/>
              </w:rPr>
              <w:t>6.57E-03</w:t>
            </w:r>
          </w:p>
        </w:tc>
        <w:tc>
          <w:tcPr>
            <w:tcW w:w="513" w:type="pct"/>
            <w:tcBorders>
              <w:right w:val="single" w:color="auto" w:sz="4" w:space="0"/>
            </w:tcBorders>
            <w:vAlign w:val="center"/>
          </w:tcPr>
          <w:p>
            <w:pPr>
              <w:jc w:val="center"/>
              <w:rPr>
                <w:color w:val="auto"/>
              </w:rPr>
            </w:pPr>
            <w:r>
              <w:rPr>
                <w:color w:val="auto"/>
              </w:rPr>
              <w:t>3.28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200</w:t>
            </w:r>
          </w:p>
        </w:tc>
        <w:tc>
          <w:tcPr>
            <w:tcW w:w="657" w:type="pct"/>
            <w:gridSpan w:val="2"/>
            <w:vAlign w:val="center"/>
          </w:tcPr>
          <w:p>
            <w:pPr>
              <w:jc w:val="center"/>
              <w:rPr>
                <w:b/>
                <w:bCs/>
                <w:color w:val="auto"/>
                <w:u w:val="single"/>
              </w:rPr>
            </w:pPr>
            <w:r>
              <w:rPr>
                <w:rFonts w:hint="eastAsia"/>
                <w:b/>
                <w:bCs/>
                <w:color w:val="auto"/>
                <w:u w:val="single"/>
              </w:rPr>
              <w:t>5.17E-04</w:t>
            </w:r>
          </w:p>
        </w:tc>
        <w:tc>
          <w:tcPr>
            <w:tcW w:w="444" w:type="pct"/>
            <w:gridSpan w:val="2"/>
            <w:vAlign w:val="center"/>
          </w:tcPr>
          <w:p>
            <w:pPr>
              <w:jc w:val="center"/>
              <w:rPr>
                <w:b/>
                <w:bCs/>
                <w:color w:val="auto"/>
                <w:u w:val="single"/>
              </w:rPr>
            </w:pPr>
            <w:r>
              <w:rPr>
                <w:rFonts w:hint="eastAsia"/>
                <w:b/>
                <w:bCs/>
                <w:color w:val="auto"/>
                <w:u w:val="single"/>
              </w:rPr>
              <w:t>1.03</w:t>
            </w:r>
          </w:p>
        </w:tc>
        <w:tc>
          <w:tcPr>
            <w:tcW w:w="665" w:type="pct"/>
            <w:gridSpan w:val="2"/>
            <w:vAlign w:val="center"/>
          </w:tcPr>
          <w:p>
            <w:pPr>
              <w:jc w:val="center"/>
              <w:rPr>
                <w:color w:val="auto"/>
              </w:rPr>
            </w:pPr>
            <w:r>
              <w:rPr>
                <w:color w:val="auto"/>
              </w:rPr>
              <w:t>1.35E-03</w:t>
            </w:r>
          </w:p>
        </w:tc>
        <w:tc>
          <w:tcPr>
            <w:tcW w:w="493" w:type="pct"/>
            <w:gridSpan w:val="2"/>
            <w:vAlign w:val="center"/>
          </w:tcPr>
          <w:p>
            <w:pPr>
              <w:jc w:val="center"/>
              <w:rPr>
                <w:color w:val="auto"/>
              </w:rPr>
            </w:pPr>
            <w:r>
              <w:rPr>
                <w:color w:val="auto"/>
              </w:rPr>
              <w:t>0.30</w:t>
            </w:r>
          </w:p>
        </w:tc>
        <w:tc>
          <w:tcPr>
            <w:tcW w:w="591" w:type="pct"/>
            <w:vAlign w:val="center"/>
          </w:tcPr>
          <w:p>
            <w:pPr>
              <w:jc w:val="center"/>
              <w:rPr>
                <w:color w:val="auto"/>
              </w:rPr>
            </w:pPr>
            <w:r>
              <w:rPr>
                <w:color w:val="auto"/>
              </w:rPr>
              <w:t>9.58E-03</w:t>
            </w:r>
          </w:p>
        </w:tc>
        <w:tc>
          <w:tcPr>
            <w:tcW w:w="583" w:type="pct"/>
            <w:vAlign w:val="center"/>
          </w:tcPr>
          <w:p>
            <w:pPr>
              <w:jc w:val="center"/>
              <w:rPr>
                <w:color w:val="auto"/>
              </w:rPr>
            </w:pPr>
            <w:r>
              <w:rPr>
                <w:color w:val="auto"/>
              </w:rPr>
              <w:t>1.92</w:t>
            </w:r>
          </w:p>
        </w:tc>
        <w:tc>
          <w:tcPr>
            <w:tcW w:w="571" w:type="pct"/>
            <w:tcBorders>
              <w:right w:val="single" w:color="auto" w:sz="4" w:space="0"/>
            </w:tcBorders>
            <w:vAlign w:val="center"/>
          </w:tcPr>
          <w:p>
            <w:pPr>
              <w:jc w:val="center"/>
              <w:rPr>
                <w:color w:val="auto"/>
              </w:rPr>
            </w:pPr>
            <w:r>
              <w:rPr>
                <w:color w:val="auto"/>
              </w:rPr>
              <w:t>8.07E-03</w:t>
            </w:r>
          </w:p>
        </w:tc>
        <w:tc>
          <w:tcPr>
            <w:tcW w:w="513" w:type="pct"/>
            <w:tcBorders>
              <w:right w:val="single" w:color="auto" w:sz="4" w:space="0"/>
            </w:tcBorders>
            <w:vAlign w:val="center"/>
          </w:tcPr>
          <w:p>
            <w:pPr>
              <w:jc w:val="center"/>
              <w:rPr>
                <w:color w:val="auto"/>
              </w:rPr>
            </w:pPr>
            <w:r>
              <w:rPr>
                <w:color w:val="auto"/>
              </w:rPr>
              <w:t>4.03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300</w:t>
            </w:r>
          </w:p>
        </w:tc>
        <w:tc>
          <w:tcPr>
            <w:tcW w:w="657" w:type="pct"/>
            <w:gridSpan w:val="2"/>
            <w:vAlign w:val="center"/>
          </w:tcPr>
          <w:p>
            <w:pPr>
              <w:jc w:val="center"/>
              <w:rPr>
                <w:b/>
                <w:bCs/>
                <w:color w:val="auto"/>
                <w:u w:val="single"/>
              </w:rPr>
            </w:pPr>
            <w:r>
              <w:rPr>
                <w:rFonts w:hint="eastAsia"/>
                <w:b/>
                <w:bCs/>
                <w:color w:val="auto"/>
                <w:u w:val="single"/>
              </w:rPr>
              <w:t>5.48E-04</w:t>
            </w:r>
          </w:p>
        </w:tc>
        <w:tc>
          <w:tcPr>
            <w:tcW w:w="444" w:type="pct"/>
            <w:gridSpan w:val="2"/>
            <w:vAlign w:val="center"/>
          </w:tcPr>
          <w:p>
            <w:pPr>
              <w:jc w:val="center"/>
              <w:rPr>
                <w:b/>
                <w:bCs/>
                <w:color w:val="auto"/>
                <w:u w:val="single"/>
              </w:rPr>
            </w:pPr>
            <w:r>
              <w:rPr>
                <w:rFonts w:hint="eastAsia"/>
                <w:b/>
                <w:bCs/>
                <w:color w:val="auto"/>
                <w:u w:val="single"/>
              </w:rPr>
              <w:t>1.10</w:t>
            </w:r>
          </w:p>
        </w:tc>
        <w:tc>
          <w:tcPr>
            <w:tcW w:w="665" w:type="pct"/>
            <w:gridSpan w:val="2"/>
            <w:vAlign w:val="center"/>
          </w:tcPr>
          <w:p>
            <w:pPr>
              <w:jc w:val="center"/>
              <w:rPr>
                <w:color w:val="auto"/>
              </w:rPr>
            </w:pPr>
            <w:r>
              <w:rPr>
                <w:color w:val="auto"/>
              </w:rPr>
              <w:t>1.43E-03</w:t>
            </w:r>
          </w:p>
        </w:tc>
        <w:tc>
          <w:tcPr>
            <w:tcW w:w="493" w:type="pct"/>
            <w:gridSpan w:val="2"/>
            <w:vAlign w:val="center"/>
          </w:tcPr>
          <w:p>
            <w:pPr>
              <w:jc w:val="center"/>
              <w:rPr>
                <w:color w:val="auto"/>
              </w:rPr>
            </w:pPr>
            <w:r>
              <w:rPr>
                <w:color w:val="auto"/>
              </w:rPr>
              <w:t>0.32</w:t>
            </w:r>
          </w:p>
        </w:tc>
        <w:tc>
          <w:tcPr>
            <w:tcW w:w="591" w:type="pct"/>
            <w:vAlign w:val="center"/>
          </w:tcPr>
          <w:p>
            <w:pPr>
              <w:jc w:val="center"/>
              <w:rPr>
                <w:color w:val="auto"/>
              </w:rPr>
            </w:pPr>
            <w:r>
              <w:rPr>
                <w:color w:val="auto"/>
              </w:rPr>
              <w:t>9.56E-03</w:t>
            </w:r>
          </w:p>
        </w:tc>
        <w:tc>
          <w:tcPr>
            <w:tcW w:w="583" w:type="pct"/>
            <w:vAlign w:val="center"/>
          </w:tcPr>
          <w:p>
            <w:pPr>
              <w:jc w:val="center"/>
              <w:rPr>
                <w:color w:val="auto"/>
              </w:rPr>
            </w:pPr>
            <w:r>
              <w:rPr>
                <w:color w:val="auto"/>
              </w:rPr>
              <w:t>1.91</w:t>
            </w:r>
          </w:p>
        </w:tc>
        <w:tc>
          <w:tcPr>
            <w:tcW w:w="571" w:type="pct"/>
            <w:tcBorders>
              <w:right w:val="single" w:color="auto" w:sz="4" w:space="0"/>
            </w:tcBorders>
            <w:vAlign w:val="center"/>
          </w:tcPr>
          <w:p>
            <w:pPr>
              <w:jc w:val="center"/>
              <w:rPr>
                <w:color w:val="auto"/>
              </w:rPr>
            </w:pPr>
            <w:r>
              <w:rPr>
                <w:color w:val="auto"/>
              </w:rPr>
              <w:t>8.57E-03</w:t>
            </w:r>
          </w:p>
        </w:tc>
        <w:tc>
          <w:tcPr>
            <w:tcW w:w="513" w:type="pct"/>
            <w:tcBorders>
              <w:right w:val="single" w:color="auto" w:sz="4" w:space="0"/>
            </w:tcBorders>
            <w:vAlign w:val="center"/>
          </w:tcPr>
          <w:p>
            <w:pPr>
              <w:jc w:val="center"/>
              <w:rPr>
                <w:color w:val="auto"/>
              </w:rPr>
            </w:pPr>
            <w:r>
              <w:rPr>
                <w:rFonts w:hint="eastAsia"/>
                <w:color w:val="auto"/>
              </w:rPr>
              <w:t>4.28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400</w:t>
            </w:r>
          </w:p>
        </w:tc>
        <w:tc>
          <w:tcPr>
            <w:tcW w:w="657" w:type="pct"/>
            <w:gridSpan w:val="2"/>
            <w:vAlign w:val="center"/>
          </w:tcPr>
          <w:p>
            <w:pPr>
              <w:jc w:val="center"/>
              <w:rPr>
                <w:b/>
                <w:bCs/>
                <w:color w:val="auto"/>
                <w:u w:val="single"/>
              </w:rPr>
            </w:pPr>
            <w:r>
              <w:rPr>
                <w:rFonts w:hint="eastAsia"/>
                <w:b/>
                <w:bCs/>
                <w:color w:val="auto"/>
                <w:u w:val="single"/>
              </w:rPr>
              <w:t>5.29E-04</w:t>
            </w:r>
          </w:p>
        </w:tc>
        <w:tc>
          <w:tcPr>
            <w:tcW w:w="444" w:type="pct"/>
            <w:gridSpan w:val="2"/>
            <w:vAlign w:val="center"/>
          </w:tcPr>
          <w:p>
            <w:pPr>
              <w:jc w:val="center"/>
              <w:rPr>
                <w:b/>
                <w:bCs/>
                <w:color w:val="auto"/>
                <w:u w:val="single"/>
              </w:rPr>
            </w:pPr>
            <w:r>
              <w:rPr>
                <w:rFonts w:hint="eastAsia"/>
                <w:b/>
                <w:bCs/>
                <w:color w:val="auto"/>
                <w:u w:val="single"/>
              </w:rPr>
              <w:t>1.06</w:t>
            </w:r>
          </w:p>
        </w:tc>
        <w:tc>
          <w:tcPr>
            <w:tcW w:w="665" w:type="pct"/>
            <w:gridSpan w:val="2"/>
            <w:vAlign w:val="center"/>
          </w:tcPr>
          <w:p>
            <w:pPr>
              <w:jc w:val="center"/>
              <w:rPr>
                <w:color w:val="auto"/>
              </w:rPr>
            </w:pPr>
            <w:r>
              <w:rPr>
                <w:color w:val="auto"/>
              </w:rPr>
              <w:t>1.34E-03</w:t>
            </w:r>
          </w:p>
        </w:tc>
        <w:tc>
          <w:tcPr>
            <w:tcW w:w="493" w:type="pct"/>
            <w:gridSpan w:val="2"/>
            <w:vAlign w:val="center"/>
          </w:tcPr>
          <w:p>
            <w:pPr>
              <w:jc w:val="center"/>
              <w:rPr>
                <w:color w:val="auto"/>
              </w:rPr>
            </w:pPr>
            <w:r>
              <w:rPr>
                <w:color w:val="auto"/>
              </w:rPr>
              <w:t>0.30</w:t>
            </w:r>
          </w:p>
        </w:tc>
        <w:tc>
          <w:tcPr>
            <w:tcW w:w="591" w:type="pct"/>
            <w:vAlign w:val="center"/>
          </w:tcPr>
          <w:p>
            <w:pPr>
              <w:jc w:val="center"/>
              <w:rPr>
                <w:color w:val="auto"/>
              </w:rPr>
            </w:pPr>
            <w:r>
              <w:rPr>
                <w:color w:val="auto"/>
              </w:rPr>
              <w:t>8.48E-03</w:t>
            </w:r>
          </w:p>
        </w:tc>
        <w:tc>
          <w:tcPr>
            <w:tcW w:w="583" w:type="pct"/>
            <w:vAlign w:val="center"/>
          </w:tcPr>
          <w:p>
            <w:pPr>
              <w:jc w:val="center"/>
              <w:rPr>
                <w:color w:val="auto"/>
              </w:rPr>
            </w:pPr>
            <w:r>
              <w:rPr>
                <w:color w:val="auto"/>
              </w:rPr>
              <w:t>1.70</w:t>
            </w:r>
          </w:p>
        </w:tc>
        <w:tc>
          <w:tcPr>
            <w:tcW w:w="571" w:type="pct"/>
            <w:tcBorders>
              <w:right w:val="single" w:color="auto" w:sz="4" w:space="0"/>
            </w:tcBorders>
            <w:vAlign w:val="center"/>
          </w:tcPr>
          <w:p>
            <w:pPr>
              <w:jc w:val="center"/>
              <w:rPr>
                <w:color w:val="auto"/>
              </w:rPr>
            </w:pPr>
            <w:r>
              <w:rPr>
                <w:color w:val="auto"/>
              </w:rPr>
              <w:t>8.05E-03</w:t>
            </w:r>
          </w:p>
        </w:tc>
        <w:tc>
          <w:tcPr>
            <w:tcW w:w="513" w:type="pct"/>
            <w:tcBorders>
              <w:right w:val="single" w:color="auto" w:sz="4" w:space="0"/>
            </w:tcBorders>
            <w:vAlign w:val="center"/>
          </w:tcPr>
          <w:p>
            <w:pPr>
              <w:jc w:val="center"/>
              <w:rPr>
                <w:color w:val="auto"/>
              </w:rPr>
            </w:pPr>
            <w:r>
              <w:rPr>
                <w:color w:val="auto"/>
              </w:rPr>
              <w:t>4.02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500</w:t>
            </w:r>
          </w:p>
        </w:tc>
        <w:tc>
          <w:tcPr>
            <w:tcW w:w="657" w:type="pct"/>
            <w:gridSpan w:val="2"/>
            <w:vAlign w:val="center"/>
          </w:tcPr>
          <w:p>
            <w:pPr>
              <w:jc w:val="center"/>
              <w:rPr>
                <w:b/>
                <w:bCs/>
                <w:color w:val="auto"/>
                <w:u w:val="single"/>
              </w:rPr>
            </w:pPr>
            <w:r>
              <w:rPr>
                <w:rFonts w:hint="eastAsia"/>
                <w:b/>
                <w:bCs/>
                <w:color w:val="auto"/>
                <w:u w:val="single"/>
              </w:rPr>
              <w:t>4.93E-04</w:t>
            </w:r>
          </w:p>
        </w:tc>
        <w:tc>
          <w:tcPr>
            <w:tcW w:w="444" w:type="pct"/>
            <w:gridSpan w:val="2"/>
            <w:vAlign w:val="center"/>
          </w:tcPr>
          <w:p>
            <w:pPr>
              <w:jc w:val="center"/>
              <w:rPr>
                <w:b/>
                <w:bCs/>
                <w:color w:val="auto"/>
                <w:u w:val="single"/>
              </w:rPr>
            </w:pPr>
            <w:r>
              <w:rPr>
                <w:rFonts w:hint="eastAsia"/>
                <w:b/>
                <w:bCs/>
                <w:color w:val="auto"/>
                <w:u w:val="single"/>
              </w:rPr>
              <w:t>0.99</w:t>
            </w:r>
          </w:p>
        </w:tc>
        <w:tc>
          <w:tcPr>
            <w:tcW w:w="665" w:type="pct"/>
            <w:gridSpan w:val="2"/>
            <w:vAlign w:val="center"/>
          </w:tcPr>
          <w:p>
            <w:pPr>
              <w:jc w:val="center"/>
              <w:rPr>
                <w:color w:val="auto"/>
              </w:rPr>
            </w:pPr>
            <w:r>
              <w:rPr>
                <w:color w:val="auto"/>
              </w:rPr>
              <w:t>1.19E-03</w:t>
            </w:r>
          </w:p>
        </w:tc>
        <w:tc>
          <w:tcPr>
            <w:tcW w:w="493" w:type="pct"/>
            <w:gridSpan w:val="2"/>
            <w:vAlign w:val="center"/>
          </w:tcPr>
          <w:p>
            <w:pPr>
              <w:jc w:val="center"/>
              <w:rPr>
                <w:color w:val="auto"/>
              </w:rPr>
            </w:pPr>
            <w:r>
              <w:rPr>
                <w:color w:val="auto"/>
              </w:rPr>
              <w:t>0.26</w:t>
            </w:r>
          </w:p>
        </w:tc>
        <w:tc>
          <w:tcPr>
            <w:tcW w:w="591" w:type="pct"/>
            <w:vAlign w:val="center"/>
          </w:tcPr>
          <w:p>
            <w:pPr>
              <w:jc w:val="center"/>
              <w:rPr>
                <w:color w:val="auto"/>
              </w:rPr>
            </w:pPr>
            <w:r>
              <w:rPr>
                <w:color w:val="auto"/>
              </w:rPr>
              <w:t>8.60E-03</w:t>
            </w:r>
          </w:p>
        </w:tc>
        <w:tc>
          <w:tcPr>
            <w:tcW w:w="583" w:type="pct"/>
            <w:vAlign w:val="center"/>
          </w:tcPr>
          <w:p>
            <w:pPr>
              <w:jc w:val="center"/>
              <w:rPr>
                <w:color w:val="auto"/>
              </w:rPr>
            </w:pPr>
            <w:r>
              <w:rPr>
                <w:color w:val="auto"/>
              </w:rPr>
              <w:t>1.72</w:t>
            </w:r>
          </w:p>
        </w:tc>
        <w:tc>
          <w:tcPr>
            <w:tcW w:w="571" w:type="pct"/>
            <w:tcBorders>
              <w:right w:val="single" w:color="auto" w:sz="4" w:space="0"/>
            </w:tcBorders>
            <w:vAlign w:val="center"/>
          </w:tcPr>
          <w:p>
            <w:pPr>
              <w:jc w:val="center"/>
              <w:rPr>
                <w:color w:val="auto"/>
              </w:rPr>
            </w:pPr>
            <w:r>
              <w:rPr>
                <w:color w:val="auto"/>
              </w:rPr>
              <w:t>7.14E-03</w:t>
            </w:r>
          </w:p>
        </w:tc>
        <w:tc>
          <w:tcPr>
            <w:tcW w:w="513" w:type="pct"/>
            <w:tcBorders>
              <w:right w:val="single" w:color="auto" w:sz="4" w:space="0"/>
            </w:tcBorders>
            <w:vAlign w:val="center"/>
          </w:tcPr>
          <w:p>
            <w:pPr>
              <w:jc w:val="center"/>
              <w:rPr>
                <w:color w:val="auto"/>
              </w:rPr>
            </w:pPr>
            <w:r>
              <w:rPr>
                <w:color w:val="auto"/>
              </w:rPr>
              <w:t>3.57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600</w:t>
            </w:r>
          </w:p>
        </w:tc>
        <w:tc>
          <w:tcPr>
            <w:tcW w:w="657" w:type="pct"/>
            <w:gridSpan w:val="2"/>
            <w:vAlign w:val="center"/>
          </w:tcPr>
          <w:p>
            <w:pPr>
              <w:jc w:val="center"/>
              <w:rPr>
                <w:b/>
                <w:bCs/>
                <w:color w:val="auto"/>
                <w:u w:val="single"/>
              </w:rPr>
            </w:pPr>
            <w:r>
              <w:rPr>
                <w:rFonts w:hint="eastAsia"/>
                <w:b/>
                <w:bCs/>
                <w:color w:val="auto"/>
                <w:u w:val="single"/>
              </w:rPr>
              <w:t>4.61E-04</w:t>
            </w:r>
          </w:p>
        </w:tc>
        <w:tc>
          <w:tcPr>
            <w:tcW w:w="444" w:type="pct"/>
            <w:gridSpan w:val="2"/>
            <w:vAlign w:val="center"/>
          </w:tcPr>
          <w:p>
            <w:pPr>
              <w:jc w:val="center"/>
              <w:rPr>
                <w:b/>
                <w:bCs/>
                <w:color w:val="auto"/>
                <w:u w:val="single"/>
              </w:rPr>
            </w:pPr>
            <w:r>
              <w:rPr>
                <w:rFonts w:hint="eastAsia"/>
                <w:b/>
                <w:bCs/>
                <w:color w:val="auto"/>
                <w:u w:val="single"/>
              </w:rPr>
              <w:t>0.92</w:t>
            </w:r>
          </w:p>
        </w:tc>
        <w:tc>
          <w:tcPr>
            <w:tcW w:w="665" w:type="pct"/>
            <w:gridSpan w:val="2"/>
            <w:vAlign w:val="center"/>
          </w:tcPr>
          <w:p>
            <w:pPr>
              <w:jc w:val="center"/>
              <w:rPr>
                <w:color w:val="auto"/>
              </w:rPr>
            </w:pPr>
            <w:r>
              <w:rPr>
                <w:color w:val="auto"/>
              </w:rPr>
              <w:t>1.21E-03</w:t>
            </w:r>
          </w:p>
        </w:tc>
        <w:tc>
          <w:tcPr>
            <w:tcW w:w="493" w:type="pct"/>
            <w:gridSpan w:val="2"/>
            <w:vAlign w:val="center"/>
          </w:tcPr>
          <w:p>
            <w:pPr>
              <w:jc w:val="center"/>
              <w:rPr>
                <w:color w:val="auto"/>
              </w:rPr>
            </w:pPr>
            <w:r>
              <w:rPr>
                <w:color w:val="auto"/>
              </w:rPr>
              <w:t>0.27</w:t>
            </w:r>
          </w:p>
        </w:tc>
        <w:tc>
          <w:tcPr>
            <w:tcW w:w="591" w:type="pct"/>
            <w:vAlign w:val="center"/>
          </w:tcPr>
          <w:p>
            <w:pPr>
              <w:jc w:val="center"/>
              <w:rPr>
                <w:color w:val="auto"/>
              </w:rPr>
            </w:pPr>
            <w:r>
              <w:rPr>
                <w:color w:val="auto"/>
              </w:rPr>
              <w:t>8.26E-03</w:t>
            </w:r>
          </w:p>
        </w:tc>
        <w:tc>
          <w:tcPr>
            <w:tcW w:w="583" w:type="pct"/>
            <w:vAlign w:val="center"/>
          </w:tcPr>
          <w:p>
            <w:pPr>
              <w:jc w:val="center"/>
              <w:rPr>
                <w:color w:val="auto"/>
              </w:rPr>
            </w:pPr>
            <w:r>
              <w:rPr>
                <w:color w:val="auto"/>
              </w:rPr>
              <w:t>1.65</w:t>
            </w:r>
          </w:p>
        </w:tc>
        <w:tc>
          <w:tcPr>
            <w:tcW w:w="571" w:type="pct"/>
            <w:tcBorders>
              <w:right w:val="single" w:color="auto" w:sz="4" w:space="0"/>
            </w:tcBorders>
            <w:vAlign w:val="center"/>
          </w:tcPr>
          <w:p>
            <w:pPr>
              <w:jc w:val="center"/>
              <w:rPr>
                <w:color w:val="auto"/>
              </w:rPr>
            </w:pPr>
            <w:r>
              <w:rPr>
                <w:color w:val="auto"/>
              </w:rPr>
              <w:t>7.24E-03</w:t>
            </w:r>
          </w:p>
        </w:tc>
        <w:tc>
          <w:tcPr>
            <w:tcW w:w="513" w:type="pct"/>
            <w:tcBorders>
              <w:right w:val="single" w:color="auto" w:sz="4" w:space="0"/>
            </w:tcBorders>
            <w:vAlign w:val="center"/>
          </w:tcPr>
          <w:p>
            <w:pPr>
              <w:jc w:val="center"/>
              <w:rPr>
                <w:color w:val="auto"/>
              </w:rPr>
            </w:pPr>
            <w:r>
              <w:rPr>
                <w:color w:val="auto"/>
              </w:rPr>
              <w:t>3.62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700</w:t>
            </w:r>
          </w:p>
        </w:tc>
        <w:tc>
          <w:tcPr>
            <w:tcW w:w="657" w:type="pct"/>
            <w:gridSpan w:val="2"/>
            <w:vAlign w:val="center"/>
          </w:tcPr>
          <w:p>
            <w:pPr>
              <w:jc w:val="center"/>
              <w:rPr>
                <w:b/>
                <w:bCs/>
                <w:color w:val="auto"/>
                <w:u w:val="single"/>
              </w:rPr>
            </w:pPr>
            <w:r>
              <w:rPr>
                <w:rFonts w:hint="eastAsia"/>
                <w:b/>
                <w:bCs/>
                <w:color w:val="auto"/>
                <w:u w:val="single"/>
              </w:rPr>
              <w:t>4.48E-04</w:t>
            </w:r>
          </w:p>
        </w:tc>
        <w:tc>
          <w:tcPr>
            <w:tcW w:w="444" w:type="pct"/>
            <w:gridSpan w:val="2"/>
            <w:vAlign w:val="center"/>
          </w:tcPr>
          <w:p>
            <w:pPr>
              <w:jc w:val="center"/>
              <w:rPr>
                <w:b/>
                <w:bCs/>
                <w:color w:val="auto"/>
                <w:u w:val="single"/>
              </w:rPr>
            </w:pPr>
            <w:r>
              <w:rPr>
                <w:rFonts w:hint="eastAsia"/>
                <w:b/>
                <w:bCs/>
                <w:color w:val="auto"/>
                <w:u w:val="single"/>
              </w:rPr>
              <w:t>0.90</w:t>
            </w:r>
          </w:p>
        </w:tc>
        <w:tc>
          <w:tcPr>
            <w:tcW w:w="665" w:type="pct"/>
            <w:gridSpan w:val="2"/>
            <w:vAlign w:val="center"/>
          </w:tcPr>
          <w:p>
            <w:pPr>
              <w:jc w:val="center"/>
              <w:rPr>
                <w:color w:val="auto"/>
              </w:rPr>
            </w:pPr>
            <w:r>
              <w:rPr>
                <w:color w:val="auto"/>
              </w:rPr>
              <w:t>1.16E-03</w:t>
            </w:r>
          </w:p>
        </w:tc>
        <w:tc>
          <w:tcPr>
            <w:tcW w:w="493" w:type="pct"/>
            <w:gridSpan w:val="2"/>
            <w:vAlign w:val="center"/>
          </w:tcPr>
          <w:p>
            <w:pPr>
              <w:jc w:val="center"/>
              <w:rPr>
                <w:color w:val="auto"/>
              </w:rPr>
            </w:pPr>
            <w:r>
              <w:rPr>
                <w:color w:val="auto"/>
              </w:rPr>
              <w:t>0.26</w:t>
            </w:r>
          </w:p>
        </w:tc>
        <w:tc>
          <w:tcPr>
            <w:tcW w:w="591" w:type="pct"/>
            <w:vAlign w:val="center"/>
          </w:tcPr>
          <w:p>
            <w:pPr>
              <w:jc w:val="center"/>
              <w:rPr>
                <w:color w:val="auto"/>
              </w:rPr>
            </w:pPr>
            <w:r>
              <w:rPr>
                <w:color w:val="auto"/>
              </w:rPr>
              <w:t>9.56E-03</w:t>
            </w:r>
          </w:p>
        </w:tc>
        <w:tc>
          <w:tcPr>
            <w:tcW w:w="583" w:type="pct"/>
            <w:vAlign w:val="center"/>
          </w:tcPr>
          <w:p>
            <w:pPr>
              <w:jc w:val="center"/>
              <w:rPr>
                <w:color w:val="auto"/>
              </w:rPr>
            </w:pPr>
            <w:r>
              <w:rPr>
                <w:color w:val="auto"/>
              </w:rPr>
              <w:t>1.91</w:t>
            </w:r>
          </w:p>
        </w:tc>
        <w:tc>
          <w:tcPr>
            <w:tcW w:w="571" w:type="pct"/>
            <w:tcBorders>
              <w:right w:val="single" w:color="auto" w:sz="4" w:space="0"/>
            </w:tcBorders>
            <w:vAlign w:val="center"/>
          </w:tcPr>
          <w:p>
            <w:pPr>
              <w:jc w:val="center"/>
              <w:rPr>
                <w:color w:val="auto"/>
              </w:rPr>
            </w:pPr>
            <w:r>
              <w:rPr>
                <w:color w:val="auto"/>
              </w:rPr>
              <w:t>6.96E-03</w:t>
            </w:r>
          </w:p>
        </w:tc>
        <w:tc>
          <w:tcPr>
            <w:tcW w:w="513" w:type="pct"/>
            <w:tcBorders>
              <w:right w:val="single" w:color="auto" w:sz="4" w:space="0"/>
            </w:tcBorders>
            <w:vAlign w:val="center"/>
          </w:tcPr>
          <w:p>
            <w:pPr>
              <w:jc w:val="center"/>
              <w:rPr>
                <w:color w:val="auto"/>
              </w:rPr>
            </w:pPr>
            <w:r>
              <w:rPr>
                <w:color w:val="auto"/>
              </w:rPr>
              <w:t>3.48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800</w:t>
            </w:r>
          </w:p>
        </w:tc>
        <w:tc>
          <w:tcPr>
            <w:tcW w:w="657" w:type="pct"/>
            <w:gridSpan w:val="2"/>
            <w:vAlign w:val="center"/>
          </w:tcPr>
          <w:p>
            <w:pPr>
              <w:jc w:val="center"/>
              <w:rPr>
                <w:b/>
                <w:bCs/>
                <w:color w:val="auto"/>
                <w:u w:val="single"/>
              </w:rPr>
            </w:pPr>
            <w:r>
              <w:rPr>
                <w:rFonts w:hint="eastAsia"/>
                <w:b/>
                <w:bCs/>
                <w:color w:val="auto"/>
                <w:u w:val="single"/>
              </w:rPr>
              <w:t>4.59E-04</w:t>
            </w:r>
          </w:p>
        </w:tc>
        <w:tc>
          <w:tcPr>
            <w:tcW w:w="444" w:type="pct"/>
            <w:gridSpan w:val="2"/>
            <w:vAlign w:val="center"/>
          </w:tcPr>
          <w:p>
            <w:pPr>
              <w:jc w:val="center"/>
              <w:rPr>
                <w:b/>
                <w:bCs/>
                <w:color w:val="auto"/>
                <w:u w:val="single"/>
              </w:rPr>
            </w:pPr>
            <w:r>
              <w:rPr>
                <w:rFonts w:hint="eastAsia"/>
                <w:b/>
                <w:bCs/>
                <w:color w:val="auto"/>
                <w:u w:val="single"/>
              </w:rPr>
              <w:t>0.92</w:t>
            </w:r>
          </w:p>
        </w:tc>
        <w:tc>
          <w:tcPr>
            <w:tcW w:w="665" w:type="pct"/>
            <w:gridSpan w:val="2"/>
            <w:vAlign w:val="center"/>
          </w:tcPr>
          <w:p>
            <w:pPr>
              <w:jc w:val="center"/>
              <w:rPr>
                <w:color w:val="auto"/>
              </w:rPr>
            </w:pPr>
            <w:r>
              <w:rPr>
                <w:color w:val="auto"/>
              </w:rPr>
              <w:t>1.08E-03</w:t>
            </w:r>
          </w:p>
        </w:tc>
        <w:tc>
          <w:tcPr>
            <w:tcW w:w="493" w:type="pct"/>
            <w:gridSpan w:val="2"/>
            <w:vAlign w:val="center"/>
          </w:tcPr>
          <w:p>
            <w:pPr>
              <w:jc w:val="center"/>
              <w:rPr>
                <w:color w:val="auto"/>
              </w:rPr>
            </w:pPr>
            <w:r>
              <w:rPr>
                <w:color w:val="auto"/>
              </w:rPr>
              <w:t>0.24</w:t>
            </w:r>
          </w:p>
        </w:tc>
        <w:tc>
          <w:tcPr>
            <w:tcW w:w="591" w:type="pct"/>
            <w:vAlign w:val="center"/>
          </w:tcPr>
          <w:p>
            <w:pPr>
              <w:jc w:val="center"/>
              <w:rPr>
                <w:color w:val="auto"/>
              </w:rPr>
            </w:pPr>
            <w:r>
              <w:rPr>
                <w:color w:val="auto"/>
              </w:rPr>
              <w:t>7.68E-03</w:t>
            </w:r>
          </w:p>
        </w:tc>
        <w:tc>
          <w:tcPr>
            <w:tcW w:w="583" w:type="pct"/>
            <w:vAlign w:val="center"/>
          </w:tcPr>
          <w:p>
            <w:pPr>
              <w:jc w:val="center"/>
              <w:rPr>
                <w:color w:val="auto"/>
              </w:rPr>
            </w:pPr>
            <w:r>
              <w:rPr>
                <w:color w:val="auto"/>
              </w:rPr>
              <w:t>1.54</w:t>
            </w:r>
          </w:p>
        </w:tc>
        <w:tc>
          <w:tcPr>
            <w:tcW w:w="571" w:type="pct"/>
            <w:tcBorders>
              <w:right w:val="single" w:color="auto" w:sz="4" w:space="0"/>
            </w:tcBorders>
            <w:vAlign w:val="center"/>
          </w:tcPr>
          <w:p>
            <w:pPr>
              <w:jc w:val="center"/>
              <w:rPr>
                <w:color w:val="auto"/>
              </w:rPr>
            </w:pPr>
            <w:r>
              <w:rPr>
                <w:color w:val="auto"/>
              </w:rPr>
              <w:t>6.47E-03</w:t>
            </w:r>
          </w:p>
        </w:tc>
        <w:tc>
          <w:tcPr>
            <w:tcW w:w="513" w:type="pct"/>
            <w:tcBorders>
              <w:right w:val="single" w:color="auto" w:sz="4" w:space="0"/>
            </w:tcBorders>
            <w:vAlign w:val="center"/>
          </w:tcPr>
          <w:p>
            <w:pPr>
              <w:jc w:val="center"/>
              <w:rPr>
                <w:color w:val="auto"/>
              </w:rPr>
            </w:pPr>
            <w:r>
              <w:rPr>
                <w:color w:val="auto"/>
              </w:rPr>
              <w:t>3.23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900</w:t>
            </w:r>
          </w:p>
        </w:tc>
        <w:tc>
          <w:tcPr>
            <w:tcW w:w="657" w:type="pct"/>
            <w:gridSpan w:val="2"/>
            <w:vAlign w:val="center"/>
          </w:tcPr>
          <w:p>
            <w:pPr>
              <w:jc w:val="center"/>
              <w:rPr>
                <w:b/>
                <w:bCs/>
                <w:color w:val="auto"/>
                <w:u w:val="single"/>
              </w:rPr>
            </w:pPr>
            <w:r>
              <w:rPr>
                <w:rFonts w:hint="eastAsia"/>
                <w:b/>
                <w:bCs/>
                <w:color w:val="auto"/>
                <w:u w:val="single"/>
              </w:rPr>
              <w:t>5.08E-04</w:t>
            </w:r>
          </w:p>
        </w:tc>
        <w:tc>
          <w:tcPr>
            <w:tcW w:w="444" w:type="pct"/>
            <w:gridSpan w:val="2"/>
            <w:vAlign w:val="center"/>
          </w:tcPr>
          <w:p>
            <w:pPr>
              <w:jc w:val="center"/>
              <w:rPr>
                <w:b/>
                <w:bCs/>
                <w:color w:val="auto"/>
                <w:u w:val="single"/>
              </w:rPr>
            </w:pPr>
            <w:r>
              <w:rPr>
                <w:rFonts w:hint="eastAsia"/>
                <w:b/>
                <w:bCs/>
                <w:color w:val="auto"/>
                <w:u w:val="single"/>
              </w:rPr>
              <w:t>1.02</w:t>
            </w:r>
          </w:p>
        </w:tc>
        <w:tc>
          <w:tcPr>
            <w:tcW w:w="665" w:type="pct"/>
            <w:gridSpan w:val="2"/>
            <w:vAlign w:val="center"/>
          </w:tcPr>
          <w:p>
            <w:pPr>
              <w:jc w:val="center"/>
              <w:rPr>
                <w:color w:val="auto"/>
              </w:rPr>
            </w:pPr>
            <w:r>
              <w:rPr>
                <w:color w:val="auto"/>
              </w:rPr>
              <w:t>9.87E-04</w:t>
            </w:r>
          </w:p>
        </w:tc>
        <w:tc>
          <w:tcPr>
            <w:tcW w:w="493" w:type="pct"/>
            <w:gridSpan w:val="2"/>
            <w:vAlign w:val="center"/>
          </w:tcPr>
          <w:p>
            <w:pPr>
              <w:jc w:val="center"/>
              <w:rPr>
                <w:color w:val="auto"/>
              </w:rPr>
            </w:pPr>
            <w:r>
              <w:rPr>
                <w:color w:val="auto"/>
              </w:rPr>
              <w:t>0.22</w:t>
            </w:r>
          </w:p>
        </w:tc>
        <w:tc>
          <w:tcPr>
            <w:tcW w:w="591" w:type="pct"/>
            <w:vAlign w:val="center"/>
          </w:tcPr>
          <w:p>
            <w:pPr>
              <w:jc w:val="center"/>
              <w:rPr>
                <w:color w:val="auto"/>
              </w:rPr>
            </w:pPr>
            <w:r>
              <w:rPr>
                <w:color w:val="auto"/>
              </w:rPr>
              <w:t>7.03E-03</w:t>
            </w:r>
          </w:p>
        </w:tc>
        <w:tc>
          <w:tcPr>
            <w:tcW w:w="583" w:type="pct"/>
            <w:vAlign w:val="center"/>
          </w:tcPr>
          <w:p>
            <w:pPr>
              <w:jc w:val="center"/>
              <w:rPr>
                <w:color w:val="auto"/>
              </w:rPr>
            </w:pPr>
            <w:r>
              <w:rPr>
                <w:color w:val="auto"/>
              </w:rPr>
              <w:t>1.41</w:t>
            </w:r>
          </w:p>
        </w:tc>
        <w:tc>
          <w:tcPr>
            <w:tcW w:w="571" w:type="pct"/>
            <w:tcBorders>
              <w:right w:val="single" w:color="auto" w:sz="4" w:space="0"/>
            </w:tcBorders>
            <w:vAlign w:val="center"/>
          </w:tcPr>
          <w:p>
            <w:pPr>
              <w:jc w:val="center"/>
              <w:rPr>
                <w:color w:val="auto"/>
              </w:rPr>
            </w:pPr>
            <w:r>
              <w:rPr>
                <w:color w:val="auto"/>
              </w:rPr>
              <w:t>5.92E-03</w:t>
            </w:r>
          </w:p>
        </w:tc>
        <w:tc>
          <w:tcPr>
            <w:tcW w:w="513" w:type="pct"/>
            <w:tcBorders>
              <w:right w:val="single" w:color="auto" w:sz="4" w:space="0"/>
            </w:tcBorders>
            <w:vAlign w:val="center"/>
          </w:tcPr>
          <w:p>
            <w:pPr>
              <w:jc w:val="center"/>
              <w:rPr>
                <w:color w:val="auto"/>
              </w:rPr>
            </w:pPr>
            <w:r>
              <w:rPr>
                <w:color w:val="auto"/>
              </w:rPr>
              <w:t>2.96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1000</w:t>
            </w:r>
          </w:p>
        </w:tc>
        <w:tc>
          <w:tcPr>
            <w:tcW w:w="657" w:type="pct"/>
            <w:gridSpan w:val="2"/>
            <w:vAlign w:val="center"/>
          </w:tcPr>
          <w:p>
            <w:pPr>
              <w:jc w:val="center"/>
              <w:rPr>
                <w:b/>
                <w:bCs/>
                <w:color w:val="auto"/>
                <w:u w:val="single"/>
              </w:rPr>
            </w:pPr>
            <w:r>
              <w:rPr>
                <w:rFonts w:hint="eastAsia"/>
                <w:b/>
                <w:bCs/>
                <w:color w:val="auto"/>
                <w:u w:val="single"/>
              </w:rPr>
              <w:t>5.37E-04</w:t>
            </w:r>
          </w:p>
        </w:tc>
        <w:tc>
          <w:tcPr>
            <w:tcW w:w="444" w:type="pct"/>
            <w:gridSpan w:val="2"/>
            <w:vAlign w:val="center"/>
          </w:tcPr>
          <w:p>
            <w:pPr>
              <w:jc w:val="center"/>
              <w:rPr>
                <w:b/>
                <w:bCs/>
                <w:color w:val="auto"/>
                <w:u w:val="single"/>
              </w:rPr>
            </w:pPr>
            <w:r>
              <w:rPr>
                <w:rFonts w:hint="eastAsia"/>
                <w:b/>
                <w:bCs/>
                <w:color w:val="auto"/>
                <w:u w:val="single"/>
              </w:rPr>
              <w:t>1.07</w:t>
            </w:r>
          </w:p>
        </w:tc>
        <w:tc>
          <w:tcPr>
            <w:tcW w:w="665" w:type="pct"/>
            <w:gridSpan w:val="2"/>
            <w:vAlign w:val="center"/>
          </w:tcPr>
          <w:p>
            <w:pPr>
              <w:jc w:val="center"/>
              <w:rPr>
                <w:color w:val="auto"/>
              </w:rPr>
            </w:pPr>
            <w:r>
              <w:rPr>
                <w:color w:val="auto"/>
              </w:rPr>
              <w:t>8.97E-04</w:t>
            </w:r>
          </w:p>
        </w:tc>
        <w:tc>
          <w:tcPr>
            <w:tcW w:w="493" w:type="pct"/>
            <w:gridSpan w:val="2"/>
            <w:vAlign w:val="center"/>
          </w:tcPr>
          <w:p>
            <w:pPr>
              <w:jc w:val="center"/>
              <w:rPr>
                <w:color w:val="auto"/>
              </w:rPr>
            </w:pPr>
            <w:r>
              <w:rPr>
                <w:color w:val="auto"/>
              </w:rPr>
              <w:t>0.20</w:t>
            </w:r>
          </w:p>
        </w:tc>
        <w:tc>
          <w:tcPr>
            <w:tcW w:w="591" w:type="pct"/>
            <w:vAlign w:val="center"/>
          </w:tcPr>
          <w:p>
            <w:pPr>
              <w:jc w:val="center"/>
              <w:rPr>
                <w:color w:val="auto"/>
              </w:rPr>
            </w:pPr>
            <w:r>
              <w:rPr>
                <w:color w:val="auto"/>
              </w:rPr>
              <w:t>6.39E-03</w:t>
            </w:r>
          </w:p>
        </w:tc>
        <w:tc>
          <w:tcPr>
            <w:tcW w:w="583" w:type="pct"/>
            <w:vAlign w:val="center"/>
          </w:tcPr>
          <w:p>
            <w:pPr>
              <w:jc w:val="center"/>
              <w:rPr>
                <w:color w:val="auto"/>
              </w:rPr>
            </w:pPr>
            <w:r>
              <w:rPr>
                <w:color w:val="auto"/>
              </w:rPr>
              <w:t>1.28</w:t>
            </w:r>
          </w:p>
        </w:tc>
        <w:tc>
          <w:tcPr>
            <w:tcW w:w="571" w:type="pct"/>
            <w:tcBorders>
              <w:right w:val="single" w:color="auto" w:sz="4" w:space="0"/>
            </w:tcBorders>
            <w:vAlign w:val="center"/>
          </w:tcPr>
          <w:p>
            <w:pPr>
              <w:jc w:val="center"/>
              <w:rPr>
                <w:color w:val="auto"/>
              </w:rPr>
            </w:pPr>
            <w:r>
              <w:rPr>
                <w:color w:val="auto"/>
              </w:rPr>
              <w:t>5.38E-03</w:t>
            </w:r>
          </w:p>
        </w:tc>
        <w:tc>
          <w:tcPr>
            <w:tcW w:w="513" w:type="pct"/>
            <w:tcBorders>
              <w:right w:val="single" w:color="auto" w:sz="4" w:space="0"/>
            </w:tcBorders>
            <w:vAlign w:val="center"/>
          </w:tcPr>
          <w:p>
            <w:pPr>
              <w:jc w:val="center"/>
              <w:rPr>
                <w:color w:val="auto"/>
              </w:rPr>
            </w:pPr>
            <w:r>
              <w:rPr>
                <w:color w:val="auto"/>
              </w:rPr>
              <w:t>2.69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1100</w:t>
            </w:r>
          </w:p>
        </w:tc>
        <w:tc>
          <w:tcPr>
            <w:tcW w:w="657" w:type="pct"/>
            <w:gridSpan w:val="2"/>
            <w:vAlign w:val="center"/>
          </w:tcPr>
          <w:p>
            <w:pPr>
              <w:jc w:val="center"/>
              <w:rPr>
                <w:b/>
                <w:bCs/>
                <w:color w:val="auto"/>
                <w:u w:val="single"/>
              </w:rPr>
            </w:pPr>
            <w:r>
              <w:rPr>
                <w:rFonts w:hint="eastAsia"/>
                <w:b/>
                <w:bCs/>
                <w:color w:val="auto"/>
                <w:u w:val="single"/>
              </w:rPr>
              <w:t>5.42E-04</w:t>
            </w:r>
          </w:p>
        </w:tc>
        <w:tc>
          <w:tcPr>
            <w:tcW w:w="444" w:type="pct"/>
            <w:gridSpan w:val="2"/>
            <w:vAlign w:val="center"/>
          </w:tcPr>
          <w:p>
            <w:pPr>
              <w:jc w:val="center"/>
              <w:rPr>
                <w:b/>
                <w:bCs/>
                <w:color w:val="auto"/>
                <w:u w:val="single"/>
              </w:rPr>
            </w:pPr>
            <w:r>
              <w:rPr>
                <w:rFonts w:hint="eastAsia"/>
                <w:b/>
                <w:bCs/>
                <w:color w:val="auto"/>
                <w:u w:val="single"/>
              </w:rPr>
              <w:t>1.08</w:t>
            </w:r>
          </w:p>
        </w:tc>
        <w:tc>
          <w:tcPr>
            <w:tcW w:w="665" w:type="pct"/>
            <w:gridSpan w:val="2"/>
            <w:vAlign w:val="center"/>
          </w:tcPr>
          <w:p>
            <w:pPr>
              <w:jc w:val="center"/>
              <w:rPr>
                <w:color w:val="auto"/>
              </w:rPr>
            </w:pPr>
            <w:r>
              <w:rPr>
                <w:color w:val="auto"/>
              </w:rPr>
              <w:t>8.16E-04</w:t>
            </w:r>
          </w:p>
        </w:tc>
        <w:tc>
          <w:tcPr>
            <w:tcW w:w="493" w:type="pct"/>
            <w:gridSpan w:val="2"/>
            <w:vAlign w:val="center"/>
          </w:tcPr>
          <w:p>
            <w:pPr>
              <w:jc w:val="center"/>
              <w:rPr>
                <w:color w:val="auto"/>
              </w:rPr>
            </w:pPr>
            <w:r>
              <w:rPr>
                <w:color w:val="auto"/>
              </w:rPr>
              <w:t>0.18</w:t>
            </w:r>
          </w:p>
        </w:tc>
        <w:tc>
          <w:tcPr>
            <w:tcW w:w="591" w:type="pct"/>
            <w:vAlign w:val="center"/>
          </w:tcPr>
          <w:p>
            <w:pPr>
              <w:jc w:val="center"/>
              <w:rPr>
                <w:color w:val="auto"/>
              </w:rPr>
            </w:pPr>
            <w:r>
              <w:rPr>
                <w:color w:val="auto"/>
              </w:rPr>
              <w:t>5.81E-03</w:t>
            </w:r>
          </w:p>
        </w:tc>
        <w:tc>
          <w:tcPr>
            <w:tcW w:w="583" w:type="pct"/>
            <w:vAlign w:val="center"/>
          </w:tcPr>
          <w:p>
            <w:pPr>
              <w:jc w:val="center"/>
              <w:rPr>
                <w:color w:val="auto"/>
              </w:rPr>
            </w:pPr>
            <w:r>
              <w:rPr>
                <w:color w:val="auto"/>
              </w:rPr>
              <w:t>1.16</w:t>
            </w:r>
          </w:p>
        </w:tc>
        <w:tc>
          <w:tcPr>
            <w:tcW w:w="571" w:type="pct"/>
            <w:tcBorders>
              <w:right w:val="single" w:color="auto" w:sz="4" w:space="0"/>
            </w:tcBorders>
            <w:vAlign w:val="center"/>
          </w:tcPr>
          <w:p>
            <w:pPr>
              <w:jc w:val="center"/>
              <w:rPr>
                <w:color w:val="auto"/>
              </w:rPr>
            </w:pPr>
            <w:r>
              <w:rPr>
                <w:color w:val="auto"/>
              </w:rPr>
              <w:t>4.89E-03</w:t>
            </w:r>
          </w:p>
        </w:tc>
        <w:tc>
          <w:tcPr>
            <w:tcW w:w="513" w:type="pct"/>
            <w:tcBorders>
              <w:right w:val="single" w:color="auto" w:sz="4" w:space="0"/>
            </w:tcBorders>
            <w:vAlign w:val="center"/>
          </w:tcPr>
          <w:p>
            <w:pPr>
              <w:jc w:val="center"/>
              <w:rPr>
                <w:color w:val="auto"/>
              </w:rPr>
            </w:pPr>
            <w:r>
              <w:rPr>
                <w:color w:val="auto"/>
              </w:rPr>
              <w:t>2.45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1200</w:t>
            </w:r>
          </w:p>
        </w:tc>
        <w:tc>
          <w:tcPr>
            <w:tcW w:w="657" w:type="pct"/>
            <w:gridSpan w:val="2"/>
            <w:vAlign w:val="center"/>
          </w:tcPr>
          <w:p>
            <w:pPr>
              <w:jc w:val="center"/>
              <w:rPr>
                <w:b/>
                <w:bCs/>
                <w:color w:val="auto"/>
                <w:u w:val="single"/>
              </w:rPr>
            </w:pPr>
            <w:r>
              <w:rPr>
                <w:rFonts w:hint="eastAsia"/>
                <w:b/>
                <w:bCs/>
                <w:color w:val="auto"/>
                <w:u w:val="single"/>
              </w:rPr>
              <w:t>5.39E-04</w:t>
            </w:r>
          </w:p>
        </w:tc>
        <w:tc>
          <w:tcPr>
            <w:tcW w:w="444" w:type="pct"/>
            <w:gridSpan w:val="2"/>
            <w:vAlign w:val="center"/>
          </w:tcPr>
          <w:p>
            <w:pPr>
              <w:jc w:val="center"/>
              <w:rPr>
                <w:b/>
                <w:bCs/>
                <w:color w:val="auto"/>
                <w:u w:val="single"/>
              </w:rPr>
            </w:pPr>
            <w:r>
              <w:rPr>
                <w:rFonts w:hint="eastAsia"/>
                <w:b/>
                <w:bCs/>
                <w:color w:val="auto"/>
                <w:u w:val="single"/>
              </w:rPr>
              <w:t>1.08</w:t>
            </w:r>
          </w:p>
        </w:tc>
        <w:tc>
          <w:tcPr>
            <w:tcW w:w="665" w:type="pct"/>
            <w:gridSpan w:val="2"/>
            <w:vAlign w:val="center"/>
          </w:tcPr>
          <w:p>
            <w:pPr>
              <w:jc w:val="center"/>
              <w:rPr>
                <w:color w:val="auto"/>
              </w:rPr>
            </w:pPr>
            <w:r>
              <w:rPr>
                <w:color w:val="auto"/>
              </w:rPr>
              <w:t>7.44E-04</w:t>
            </w:r>
          </w:p>
        </w:tc>
        <w:tc>
          <w:tcPr>
            <w:tcW w:w="493" w:type="pct"/>
            <w:gridSpan w:val="2"/>
            <w:vAlign w:val="center"/>
          </w:tcPr>
          <w:p>
            <w:pPr>
              <w:jc w:val="center"/>
              <w:rPr>
                <w:color w:val="auto"/>
              </w:rPr>
            </w:pPr>
            <w:r>
              <w:rPr>
                <w:color w:val="auto"/>
              </w:rPr>
              <w:t>0.17</w:t>
            </w:r>
          </w:p>
        </w:tc>
        <w:tc>
          <w:tcPr>
            <w:tcW w:w="591" w:type="pct"/>
            <w:vAlign w:val="center"/>
          </w:tcPr>
          <w:p>
            <w:pPr>
              <w:jc w:val="center"/>
              <w:rPr>
                <w:color w:val="auto"/>
              </w:rPr>
            </w:pPr>
            <w:r>
              <w:rPr>
                <w:color w:val="auto"/>
              </w:rPr>
              <w:t>5.30E-03</w:t>
            </w:r>
          </w:p>
        </w:tc>
        <w:tc>
          <w:tcPr>
            <w:tcW w:w="583" w:type="pct"/>
            <w:vAlign w:val="center"/>
          </w:tcPr>
          <w:p>
            <w:pPr>
              <w:jc w:val="center"/>
              <w:rPr>
                <w:color w:val="auto"/>
              </w:rPr>
            </w:pPr>
            <w:r>
              <w:rPr>
                <w:color w:val="auto"/>
              </w:rPr>
              <w:t>1.06</w:t>
            </w:r>
          </w:p>
        </w:tc>
        <w:tc>
          <w:tcPr>
            <w:tcW w:w="571" w:type="pct"/>
            <w:tcBorders>
              <w:right w:val="single" w:color="auto" w:sz="4" w:space="0"/>
            </w:tcBorders>
            <w:vAlign w:val="center"/>
          </w:tcPr>
          <w:p>
            <w:pPr>
              <w:jc w:val="center"/>
              <w:rPr>
                <w:color w:val="auto"/>
              </w:rPr>
            </w:pPr>
            <w:r>
              <w:rPr>
                <w:color w:val="auto"/>
              </w:rPr>
              <w:t>4.47E-03</w:t>
            </w:r>
          </w:p>
        </w:tc>
        <w:tc>
          <w:tcPr>
            <w:tcW w:w="513" w:type="pct"/>
            <w:tcBorders>
              <w:right w:val="single" w:color="auto" w:sz="4" w:space="0"/>
            </w:tcBorders>
            <w:vAlign w:val="center"/>
          </w:tcPr>
          <w:p>
            <w:pPr>
              <w:jc w:val="center"/>
              <w:rPr>
                <w:color w:val="auto"/>
              </w:rPr>
            </w:pPr>
            <w:r>
              <w:rPr>
                <w:color w:val="auto"/>
              </w:rPr>
              <w:t>2.23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1300</w:t>
            </w:r>
          </w:p>
        </w:tc>
        <w:tc>
          <w:tcPr>
            <w:tcW w:w="657" w:type="pct"/>
            <w:gridSpan w:val="2"/>
            <w:vAlign w:val="center"/>
          </w:tcPr>
          <w:p>
            <w:pPr>
              <w:jc w:val="center"/>
              <w:rPr>
                <w:b/>
                <w:bCs/>
                <w:color w:val="auto"/>
                <w:u w:val="single"/>
              </w:rPr>
            </w:pPr>
            <w:r>
              <w:rPr>
                <w:rFonts w:hint="eastAsia"/>
                <w:b/>
                <w:bCs/>
                <w:color w:val="auto"/>
                <w:u w:val="single"/>
              </w:rPr>
              <w:t>5.31E-04</w:t>
            </w:r>
          </w:p>
        </w:tc>
        <w:tc>
          <w:tcPr>
            <w:tcW w:w="444" w:type="pct"/>
            <w:gridSpan w:val="2"/>
            <w:vAlign w:val="center"/>
          </w:tcPr>
          <w:p>
            <w:pPr>
              <w:jc w:val="center"/>
              <w:rPr>
                <w:b/>
                <w:bCs/>
                <w:color w:val="auto"/>
                <w:u w:val="single"/>
              </w:rPr>
            </w:pPr>
            <w:r>
              <w:rPr>
                <w:rFonts w:hint="eastAsia"/>
                <w:b/>
                <w:bCs/>
                <w:color w:val="auto"/>
                <w:u w:val="single"/>
              </w:rPr>
              <w:t>1.06</w:t>
            </w:r>
          </w:p>
        </w:tc>
        <w:tc>
          <w:tcPr>
            <w:tcW w:w="665" w:type="pct"/>
            <w:gridSpan w:val="2"/>
            <w:vAlign w:val="center"/>
          </w:tcPr>
          <w:p>
            <w:pPr>
              <w:jc w:val="center"/>
              <w:rPr>
                <w:color w:val="auto"/>
              </w:rPr>
            </w:pPr>
            <w:r>
              <w:rPr>
                <w:color w:val="auto"/>
              </w:rPr>
              <w:t>6.82E-04</w:t>
            </w:r>
          </w:p>
        </w:tc>
        <w:tc>
          <w:tcPr>
            <w:tcW w:w="493" w:type="pct"/>
            <w:gridSpan w:val="2"/>
            <w:vAlign w:val="center"/>
          </w:tcPr>
          <w:p>
            <w:pPr>
              <w:jc w:val="center"/>
              <w:rPr>
                <w:color w:val="auto"/>
              </w:rPr>
            </w:pPr>
            <w:r>
              <w:rPr>
                <w:color w:val="auto"/>
              </w:rPr>
              <w:t>0.15</w:t>
            </w:r>
          </w:p>
        </w:tc>
        <w:tc>
          <w:tcPr>
            <w:tcW w:w="591" w:type="pct"/>
            <w:vAlign w:val="center"/>
          </w:tcPr>
          <w:p>
            <w:pPr>
              <w:jc w:val="center"/>
              <w:rPr>
                <w:color w:val="auto"/>
              </w:rPr>
            </w:pPr>
            <w:r>
              <w:rPr>
                <w:color w:val="auto"/>
              </w:rPr>
              <w:t>4.86E-03</w:t>
            </w:r>
          </w:p>
        </w:tc>
        <w:tc>
          <w:tcPr>
            <w:tcW w:w="583" w:type="pct"/>
            <w:vAlign w:val="center"/>
          </w:tcPr>
          <w:p>
            <w:pPr>
              <w:jc w:val="center"/>
              <w:rPr>
                <w:color w:val="auto"/>
              </w:rPr>
            </w:pPr>
            <w:r>
              <w:rPr>
                <w:color w:val="auto"/>
              </w:rPr>
              <w:t>0.97</w:t>
            </w:r>
          </w:p>
        </w:tc>
        <w:tc>
          <w:tcPr>
            <w:tcW w:w="571" w:type="pct"/>
            <w:tcBorders>
              <w:right w:val="single" w:color="auto" w:sz="4" w:space="0"/>
            </w:tcBorders>
            <w:vAlign w:val="center"/>
          </w:tcPr>
          <w:p>
            <w:pPr>
              <w:jc w:val="center"/>
              <w:rPr>
                <w:color w:val="auto"/>
              </w:rPr>
            </w:pPr>
            <w:r>
              <w:rPr>
                <w:color w:val="auto"/>
              </w:rPr>
              <w:t>4.09E-03</w:t>
            </w:r>
          </w:p>
        </w:tc>
        <w:tc>
          <w:tcPr>
            <w:tcW w:w="513" w:type="pct"/>
            <w:tcBorders>
              <w:right w:val="single" w:color="auto" w:sz="4" w:space="0"/>
            </w:tcBorders>
            <w:vAlign w:val="center"/>
          </w:tcPr>
          <w:p>
            <w:pPr>
              <w:jc w:val="center"/>
              <w:rPr>
                <w:color w:val="auto"/>
              </w:rPr>
            </w:pPr>
            <w:r>
              <w:rPr>
                <w:color w:val="auto"/>
              </w:rPr>
              <w:t>2.04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1400</w:t>
            </w:r>
          </w:p>
        </w:tc>
        <w:tc>
          <w:tcPr>
            <w:tcW w:w="657" w:type="pct"/>
            <w:gridSpan w:val="2"/>
            <w:vAlign w:val="center"/>
          </w:tcPr>
          <w:p>
            <w:pPr>
              <w:jc w:val="center"/>
              <w:rPr>
                <w:b/>
                <w:bCs/>
                <w:color w:val="auto"/>
                <w:u w:val="single"/>
              </w:rPr>
            </w:pPr>
            <w:r>
              <w:rPr>
                <w:rFonts w:hint="eastAsia"/>
                <w:b/>
                <w:bCs/>
                <w:color w:val="auto"/>
                <w:u w:val="single"/>
              </w:rPr>
              <w:t>5.19E-04</w:t>
            </w:r>
          </w:p>
        </w:tc>
        <w:tc>
          <w:tcPr>
            <w:tcW w:w="444" w:type="pct"/>
            <w:gridSpan w:val="2"/>
            <w:vAlign w:val="center"/>
          </w:tcPr>
          <w:p>
            <w:pPr>
              <w:jc w:val="center"/>
              <w:rPr>
                <w:b/>
                <w:bCs/>
                <w:color w:val="auto"/>
                <w:u w:val="single"/>
              </w:rPr>
            </w:pPr>
            <w:r>
              <w:rPr>
                <w:rFonts w:hint="eastAsia"/>
                <w:b/>
                <w:bCs/>
                <w:color w:val="auto"/>
                <w:u w:val="single"/>
              </w:rPr>
              <w:t>1.04</w:t>
            </w:r>
          </w:p>
        </w:tc>
        <w:tc>
          <w:tcPr>
            <w:tcW w:w="665" w:type="pct"/>
            <w:gridSpan w:val="2"/>
            <w:vAlign w:val="center"/>
          </w:tcPr>
          <w:p>
            <w:pPr>
              <w:jc w:val="center"/>
              <w:rPr>
                <w:color w:val="auto"/>
              </w:rPr>
            </w:pPr>
            <w:r>
              <w:rPr>
                <w:color w:val="auto"/>
              </w:rPr>
              <w:t>6.26E-04</w:t>
            </w:r>
          </w:p>
        </w:tc>
        <w:tc>
          <w:tcPr>
            <w:tcW w:w="493" w:type="pct"/>
            <w:gridSpan w:val="2"/>
            <w:vAlign w:val="center"/>
          </w:tcPr>
          <w:p>
            <w:pPr>
              <w:jc w:val="center"/>
              <w:rPr>
                <w:color w:val="auto"/>
              </w:rPr>
            </w:pPr>
            <w:r>
              <w:rPr>
                <w:color w:val="auto"/>
              </w:rPr>
              <w:t>0.14</w:t>
            </w:r>
          </w:p>
        </w:tc>
        <w:tc>
          <w:tcPr>
            <w:tcW w:w="591" w:type="pct"/>
            <w:vAlign w:val="center"/>
          </w:tcPr>
          <w:p>
            <w:pPr>
              <w:jc w:val="center"/>
              <w:rPr>
                <w:color w:val="auto"/>
              </w:rPr>
            </w:pPr>
            <w:r>
              <w:rPr>
                <w:color w:val="auto"/>
              </w:rPr>
              <w:t>4.46E-03</w:t>
            </w:r>
          </w:p>
        </w:tc>
        <w:tc>
          <w:tcPr>
            <w:tcW w:w="583" w:type="pct"/>
            <w:vAlign w:val="center"/>
          </w:tcPr>
          <w:p>
            <w:pPr>
              <w:jc w:val="center"/>
              <w:rPr>
                <w:color w:val="auto"/>
              </w:rPr>
            </w:pPr>
            <w:r>
              <w:rPr>
                <w:color w:val="auto"/>
              </w:rPr>
              <w:t>0.89</w:t>
            </w:r>
          </w:p>
        </w:tc>
        <w:tc>
          <w:tcPr>
            <w:tcW w:w="571" w:type="pct"/>
            <w:tcBorders>
              <w:right w:val="single" w:color="auto" w:sz="4" w:space="0"/>
            </w:tcBorders>
            <w:vAlign w:val="center"/>
          </w:tcPr>
          <w:p>
            <w:pPr>
              <w:jc w:val="center"/>
              <w:rPr>
                <w:color w:val="auto"/>
              </w:rPr>
            </w:pPr>
            <w:r>
              <w:rPr>
                <w:color w:val="auto"/>
              </w:rPr>
              <w:t>3.76E-03</w:t>
            </w:r>
          </w:p>
        </w:tc>
        <w:tc>
          <w:tcPr>
            <w:tcW w:w="513" w:type="pct"/>
            <w:tcBorders>
              <w:right w:val="single" w:color="auto" w:sz="4" w:space="0"/>
            </w:tcBorders>
            <w:vAlign w:val="center"/>
          </w:tcPr>
          <w:p>
            <w:pPr>
              <w:jc w:val="center"/>
              <w:rPr>
                <w:color w:val="auto"/>
              </w:rPr>
            </w:pPr>
            <w:r>
              <w:rPr>
                <w:color w:val="auto"/>
              </w:rPr>
              <w:t>1.88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1500</w:t>
            </w:r>
          </w:p>
        </w:tc>
        <w:tc>
          <w:tcPr>
            <w:tcW w:w="657" w:type="pct"/>
            <w:gridSpan w:val="2"/>
            <w:vAlign w:val="center"/>
          </w:tcPr>
          <w:p>
            <w:pPr>
              <w:jc w:val="center"/>
              <w:rPr>
                <w:b/>
                <w:bCs/>
                <w:color w:val="auto"/>
                <w:u w:val="single"/>
              </w:rPr>
            </w:pPr>
            <w:r>
              <w:rPr>
                <w:rFonts w:hint="eastAsia"/>
                <w:b/>
                <w:bCs/>
                <w:color w:val="auto"/>
                <w:u w:val="single"/>
              </w:rPr>
              <w:t>5.16E-04</w:t>
            </w:r>
          </w:p>
        </w:tc>
        <w:tc>
          <w:tcPr>
            <w:tcW w:w="444" w:type="pct"/>
            <w:gridSpan w:val="2"/>
            <w:vAlign w:val="center"/>
          </w:tcPr>
          <w:p>
            <w:pPr>
              <w:jc w:val="center"/>
              <w:rPr>
                <w:b/>
                <w:bCs/>
                <w:color w:val="auto"/>
                <w:u w:val="single"/>
              </w:rPr>
            </w:pPr>
            <w:r>
              <w:rPr>
                <w:rFonts w:hint="eastAsia"/>
                <w:b/>
                <w:bCs/>
                <w:color w:val="auto"/>
                <w:u w:val="single"/>
              </w:rPr>
              <w:t>1.03</w:t>
            </w:r>
          </w:p>
        </w:tc>
        <w:tc>
          <w:tcPr>
            <w:tcW w:w="665" w:type="pct"/>
            <w:gridSpan w:val="2"/>
            <w:vAlign w:val="center"/>
          </w:tcPr>
          <w:p>
            <w:pPr>
              <w:jc w:val="center"/>
              <w:rPr>
                <w:color w:val="auto"/>
              </w:rPr>
            </w:pPr>
            <w:r>
              <w:rPr>
                <w:color w:val="auto"/>
              </w:rPr>
              <w:t>5.78E-04</w:t>
            </w:r>
          </w:p>
        </w:tc>
        <w:tc>
          <w:tcPr>
            <w:tcW w:w="493" w:type="pct"/>
            <w:gridSpan w:val="2"/>
            <w:vAlign w:val="center"/>
          </w:tcPr>
          <w:p>
            <w:pPr>
              <w:jc w:val="center"/>
              <w:rPr>
                <w:color w:val="auto"/>
              </w:rPr>
            </w:pPr>
            <w:r>
              <w:rPr>
                <w:color w:val="auto"/>
              </w:rPr>
              <w:t>0.13</w:t>
            </w:r>
          </w:p>
        </w:tc>
        <w:tc>
          <w:tcPr>
            <w:tcW w:w="591" w:type="pct"/>
            <w:vAlign w:val="center"/>
          </w:tcPr>
          <w:p>
            <w:pPr>
              <w:jc w:val="center"/>
              <w:rPr>
                <w:color w:val="auto"/>
              </w:rPr>
            </w:pPr>
            <w:r>
              <w:rPr>
                <w:color w:val="auto"/>
              </w:rPr>
              <w:t>4.11E-03</w:t>
            </w:r>
          </w:p>
        </w:tc>
        <w:tc>
          <w:tcPr>
            <w:tcW w:w="583" w:type="pct"/>
            <w:vAlign w:val="center"/>
          </w:tcPr>
          <w:p>
            <w:pPr>
              <w:jc w:val="center"/>
              <w:rPr>
                <w:color w:val="auto"/>
              </w:rPr>
            </w:pPr>
            <w:r>
              <w:rPr>
                <w:color w:val="auto"/>
              </w:rPr>
              <w:t>0.82</w:t>
            </w:r>
          </w:p>
        </w:tc>
        <w:tc>
          <w:tcPr>
            <w:tcW w:w="571" w:type="pct"/>
            <w:tcBorders>
              <w:right w:val="single" w:color="auto" w:sz="4" w:space="0"/>
            </w:tcBorders>
            <w:vAlign w:val="center"/>
          </w:tcPr>
          <w:p>
            <w:pPr>
              <w:jc w:val="center"/>
              <w:rPr>
                <w:color w:val="auto"/>
              </w:rPr>
            </w:pPr>
            <w:r>
              <w:rPr>
                <w:color w:val="auto"/>
              </w:rPr>
              <w:t>3.46E-03</w:t>
            </w:r>
          </w:p>
        </w:tc>
        <w:tc>
          <w:tcPr>
            <w:tcW w:w="513" w:type="pct"/>
            <w:tcBorders>
              <w:right w:val="single" w:color="auto" w:sz="4" w:space="0"/>
            </w:tcBorders>
            <w:vAlign w:val="center"/>
          </w:tcPr>
          <w:p>
            <w:pPr>
              <w:jc w:val="center"/>
              <w:rPr>
                <w:color w:val="auto"/>
              </w:rPr>
            </w:pPr>
            <w:r>
              <w:rPr>
                <w:color w:val="auto"/>
              </w:rPr>
              <w:t>1.73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1600</w:t>
            </w:r>
          </w:p>
        </w:tc>
        <w:tc>
          <w:tcPr>
            <w:tcW w:w="657" w:type="pct"/>
            <w:gridSpan w:val="2"/>
            <w:vAlign w:val="center"/>
          </w:tcPr>
          <w:p>
            <w:pPr>
              <w:jc w:val="center"/>
              <w:rPr>
                <w:b/>
                <w:bCs/>
                <w:color w:val="auto"/>
                <w:u w:val="single"/>
              </w:rPr>
            </w:pPr>
            <w:r>
              <w:rPr>
                <w:rFonts w:hint="eastAsia"/>
                <w:b/>
                <w:bCs/>
                <w:color w:val="auto"/>
                <w:u w:val="single"/>
              </w:rPr>
              <w:t>5.27E-04</w:t>
            </w:r>
          </w:p>
        </w:tc>
        <w:tc>
          <w:tcPr>
            <w:tcW w:w="444" w:type="pct"/>
            <w:gridSpan w:val="2"/>
            <w:vAlign w:val="center"/>
          </w:tcPr>
          <w:p>
            <w:pPr>
              <w:jc w:val="center"/>
              <w:rPr>
                <w:b/>
                <w:bCs/>
                <w:color w:val="auto"/>
                <w:u w:val="single"/>
              </w:rPr>
            </w:pPr>
            <w:r>
              <w:rPr>
                <w:rFonts w:hint="eastAsia"/>
                <w:b/>
                <w:bCs/>
                <w:color w:val="auto"/>
                <w:u w:val="single"/>
              </w:rPr>
              <w:t>1.05</w:t>
            </w:r>
          </w:p>
        </w:tc>
        <w:tc>
          <w:tcPr>
            <w:tcW w:w="665" w:type="pct"/>
            <w:gridSpan w:val="2"/>
            <w:vAlign w:val="center"/>
          </w:tcPr>
          <w:p>
            <w:pPr>
              <w:jc w:val="center"/>
              <w:rPr>
                <w:color w:val="auto"/>
              </w:rPr>
            </w:pPr>
            <w:r>
              <w:rPr>
                <w:color w:val="auto"/>
              </w:rPr>
              <w:t>5.39E-04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3.84E-03</w:t>
            </w:r>
          </w:p>
        </w:tc>
        <w:tc>
          <w:tcPr>
            <w:tcW w:w="583" w:type="pct"/>
            <w:vAlign w:val="center"/>
          </w:tcPr>
          <w:p>
            <w:pPr>
              <w:jc w:val="center"/>
              <w:rPr>
                <w:color w:val="auto"/>
              </w:rPr>
            </w:pPr>
            <w:r>
              <w:rPr>
                <w:color w:val="auto"/>
              </w:rPr>
              <w:t>0.77</w:t>
            </w:r>
          </w:p>
        </w:tc>
        <w:tc>
          <w:tcPr>
            <w:tcW w:w="571" w:type="pct"/>
            <w:tcBorders>
              <w:right w:val="single" w:color="auto" w:sz="4" w:space="0"/>
            </w:tcBorders>
            <w:vAlign w:val="center"/>
          </w:tcPr>
          <w:p>
            <w:pPr>
              <w:jc w:val="center"/>
              <w:rPr>
                <w:color w:val="auto"/>
              </w:rPr>
            </w:pPr>
            <w:r>
              <w:rPr>
                <w:color w:val="auto"/>
              </w:rPr>
              <w:t>3.23E-03</w:t>
            </w:r>
          </w:p>
        </w:tc>
        <w:tc>
          <w:tcPr>
            <w:tcW w:w="513" w:type="pct"/>
            <w:tcBorders>
              <w:right w:val="single" w:color="auto" w:sz="4" w:space="0"/>
            </w:tcBorders>
            <w:vAlign w:val="center"/>
          </w:tcPr>
          <w:p>
            <w:pPr>
              <w:jc w:val="center"/>
              <w:rPr>
                <w:color w:val="auto"/>
              </w:rPr>
            </w:pPr>
            <w:r>
              <w:rPr>
                <w:color w:val="auto"/>
              </w:rPr>
              <w:t>1.62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1700</w:t>
            </w:r>
          </w:p>
        </w:tc>
        <w:tc>
          <w:tcPr>
            <w:tcW w:w="657" w:type="pct"/>
            <w:gridSpan w:val="2"/>
            <w:vAlign w:val="center"/>
          </w:tcPr>
          <w:p>
            <w:pPr>
              <w:jc w:val="center"/>
              <w:rPr>
                <w:b/>
                <w:bCs/>
                <w:color w:val="auto"/>
                <w:u w:val="single"/>
              </w:rPr>
            </w:pPr>
            <w:r>
              <w:rPr>
                <w:rFonts w:hint="eastAsia"/>
                <w:b/>
                <w:bCs/>
                <w:color w:val="auto"/>
                <w:u w:val="single"/>
              </w:rPr>
              <w:t>5.34E-04</w:t>
            </w:r>
          </w:p>
        </w:tc>
        <w:tc>
          <w:tcPr>
            <w:tcW w:w="444" w:type="pct"/>
            <w:gridSpan w:val="2"/>
            <w:vAlign w:val="center"/>
          </w:tcPr>
          <w:p>
            <w:pPr>
              <w:jc w:val="center"/>
              <w:rPr>
                <w:b/>
                <w:bCs/>
                <w:color w:val="auto"/>
                <w:u w:val="single"/>
              </w:rPr>
            </w:pPr>
            <w:r>
              <w:rPr>
                <w:rFonts w:hint="eastAsia"/>
                <w:b/>
                <w:bCs/>
                <w:color w:val="auto"/>
                <w:u w:val="single"/>
              </w:rPr>
              <w:t>1.07</w:t>
            </w:r>
          </w:p>
        </w:tc>
        <w:tc>
          <w:tcPr>
            <w:tcW w:w="665" w:type="pct"/>
            <w:gridSpan w:val="2"/>
            <w:vAlign w:val="center"/>
          </w:tcPr>
          <w:p>
            <w:pPr>
              <w:jc w:val="center"/>
              <w:rPr>
                <w:color w:val="auto"/>
              </w:rPr>
            </w:pPr>
            <w:r>
              <w:rPr>
                <w:color w:val="auto"/>
              </w:rPr>
              <w:t>5.48E-04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3.91E-03</w:t>
            </w:r>
          </w:p>
        </w:tc>
        <w:tc>
          <w:tcPr>
            <w:tcW w:w="583" w:type="pct"/>
            <w:vAlign w:val="center"/>
          </w:tcPr>
          <w:p>
            <w:pPr>
              <w:jc w:val="center"/>
              <w:rPr>
                <w:color w:val="auto"/>
              </w:rPr>
            </w:pPr>
            <w:r>
              <w:rPr>
                <w:color w:val="auto"/>
              </w:rPr>
              <w:t>0.78</w:t>
            </w:r>
          </w:p>
        </w:tc>
        <w:tc>
          <w:tcPr>
            <w:tcW w:w="571" w:type="pct"/>
            <w:tcBorders>
              <w:right w:val="single" w:color="auto" w:sz="4" w:space="0"/>
            </w:tcBorders>
            <w:vAlign w:val="center"/>
          </w:tcPr>
          <w:p>
            <w:pPr>
              <w:jc w:val="center"/>
              <w:rPr>
                <w:color w:val="auto"/>
              </w:rPr>
            </w:pPr>
            <w:r>
              <w:rPr>
                <w:color w:val="auto"/>
              </w:rPr>
              <w:t>3.29E-03</w:t>
            </w:r>
          </w:p>
        </w:tc>
        <w:tc>
          <w:tcPr>
            <w:tcW w:w="513" w:type="pct"/>
            <w:tcBorders>
              <w:right w:val="single" w:color="auto" w:sz="4" w:space="0"/>
            </w:tcBorders>
            <w:vAlign w:val="center"/>
          </w:tcPr>
          <w:p>
            <w:pPr>
              <w:jc w:val="center"/>
              <w:rPr>
                <w:color w:val="auto"/>
              </w:rPr>
            </w:pPr>
            <w:r>
              <w:rPr>
                <w:color w:val="auto"/>
              </w:rPr>
              <w:t>1.64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1800</w:t>
            </w:r>
          </w:p>
        </w:tc>
        <w:tc>
          <w:tcPr>
            <w:tcW w:w="657" w:type="pct"/>
            <w:gridSpan w:val="2"/>
            <w:vAlign w:val="center"/>
          </w:tcPr>
          <w:p>
            <w:pPr>
              <w:jc w:val="center"/>
              <w:rPr>
                <w:b/>
                <w:bCs/>
                <w:color w:val="auto"/>
                <w:u w:val="single"/>
              </w:rPr>
            </w:pPr>
            <w:r>
              <w:rPr>
                <w:rFonts w:hint="eastAsia"/>
                <w:b/>
                <w:bCs/>
                <w:color w:val="auto"/>
                <w:u w:val="single"/>
              </w:rPr>
              <w:t>5.37E-04</w:t>
            </w:r>
          </w:p>
        </w:tc>
        <w:tc>
          <w:tcPr>
            <w:tcW w:w="444" w:type="pct"/>
            <w:gridSpan w:val="2"/>
            <w:vAlign w:val="center"/>
          </w:tcPr>
          <w:p>
            <w:pPr>
              <w:jc w:val="center"/>
              <w:rPr>
                <w:b/>
                <w:bCs/>
                <w:color w:val="auto"/>
                <w:u w:val="single"/>
              </w:rPr>
            </w:pPr>
            <w:r>
              <w:rPr>
                <w:rFonts w:hint="eastAsia"/>
                <w:b/>
                <w:bCs/>
                <w:color w:val="auto"/>
                <w:u w:val="single"/>
              </w:rPr>
              <w:t>1.07</w:t>
            </w:r>
          </w:p>
        </w:tc>
        <w:tc>
          <w:tcPr>
            <w:tcW w:w="665" w:type="pct"/>
            <w:gridSpan w:val="2"/>
            <w:vAlign w:val="center"/>
          </w:tcPr>
          <w:p>
            <w:pPr>
              <w:jc w:val="center"/>
              <w:rPr>
                <w:color w:val="auto"/>
              </w:rPr>
            </w:pPr>
            <w:r>
              <w:rPr>
                <w:color w:val="auto"/>
              </w:rPr>
              <w:t>5.54E-04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3.95E-03</w:t>
            </w:r>
          </w:p>
        </w:tc>
        <w:tc>
          <w:tcPr>
            <w:tcW w:w="583" w:type="pct"/>
            <w:vAlign w:val="center"/>
          </w:tcPr>
          <w:p>
            <w:pPr>
              <w:jc w:val="center"/>
              <w:rPr>
                <w:color w:val="auto"/>
              </w:rPr>
            </w:pPr>
            <w:r>
              <w:rPr>
                <w:color w:val="auto"/>
              </w:rPr>
              <w:t>0.79</w:t>
            </w:r>
          </w:p>
        </w:tc>
        <w:tc>
          <w:tcPr>
            <w:tcW w:w="571" w:type="pct"/>
            <w:tcBorders>
              <w:right w:val="single" w:color="auto" w:sz="4" w:space="0"/>
            </w:tcBorders>
            <w:vAlign w:val="center"/>
          </w:tcPr>
          <w:p>
            <w:pPr>
              <w:jc w:val="center"/>
              <w:rPr>
                <w:color w:val="auto"/>
              </w:rPr>
            </w:pPr>
            <w:r>
              <w:rPr>
                <w:color w:val="auto"/>
              </w:rPr>
              <w:t>3.32E-03</w:t>
            </w:r>
          </w:p>
        </w:tc>
        <w:tc>
          <w:tcPr>
            <w:tcW w:w="513" w:type="pct"/>
            <w:tcBorders>
              <w:right w:val="single" w:color="auto" w:sz="4" w:space="0"/>
            </w:tcBorders>
            <w:vAlign w:val="center"/>
          </w:tcPr>
          <w:p>
            <w:pPr>
              <w:jc w:val="center"/>
              <w:rPr>
                <w:color w:val="auto"/>
              </w:rPr>
            </w:pPr>
            <w:r>
              <w:rPr>
                <w:color w:val="auto"/>
              </w:rPr>
              <w:t>1.66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1900</w:t>
            </w:r>
          </w:p>
        </w:tc>
        <w:tc>
          <w:tcPr>
            <w:tcW w:w="657" w:type="pct"/>
            <w:gridSpan w:val="2"/>
            <w:vAlign w:val="center"/>
          </w:tcPr>
          <w:p>
            <w:pPr>
              <w:jc w:val="center"/>
              <w:rPr>
                <w:b/>
                <w:bCs/>
                <w:color w:val="auto"/>
                <w:u w:val="single"/>
              </w:rPr>
            </w:pPr>
            <w:r>
              <w:rPr>
                <w:rFonts w:hint="eastAsia"/>
                <w:b/>
                <w:bCs/>
                <w:color w:val="auto"/>
                <w:u w:val="single"/>
              </w:rPr>
              <w:t>5.37E-04</w:t>
            </w:r>
          </w:p>
        </w:tc>
        <w:tc>
          <w:tcPr>
            <w:tcW w:w="444" w:type="pct"/>
            <w:gridSpan w:val="2"/>
            <w:vAlign w:val="center"/>
          </w:tcPr>
          <w:p>
            <w:pPr>
              <w:jc w:val="center"/>
              <w:rPr>
                <w:b/>
                <w:bCs/>
                <w:color w:val="auto"/>
                <w:u w:val="single"/>
              </w:rPr>
            </w:pPr>
            <w:r>
              <w:rPr>
                <w:rFonts w:hint="eastAsia"/>
                <w:b/>
                <w:bCs/>
                <w:color w:val="auto"/>
                <w:u w:val="single"/>
              </w:rPr>
              <w:t>1.07</w:t>
            </w:r>
          </w:p>
        </w:tc>
        <w:tc>
          <w:tcPr>
            <w:tcW w:w="665" w:type="pct"/>
            <w:gridSpan w:val="2"/>
            <w:vAlign w:val="center"/>
          </w:tcPr>
          <w:p>
            <w:pPr>
              <w:jc w:val="center"/>
              <w:rPr>
                <w:color w:val="auto"/>
              </w:rPr>
            </w:pPr>
            <w:r>
              <w:rPr>
                <w:color w:val="auto"/>
              </w:rPr>
              <w:t>5.56E-04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3.96E-03</w:t>
            </w:r>
          </w:p>
        </w:tc>
        <w:tc>
          <w:tcPr>
            <w:tcW w:w="583" w:type="pct"/>
            <w:vAlign w:val="center"/>
          </w:tcPr>
          <w:p>
            <w:pPr>
              <w:jc w:val="center"/>
              <w:rPr>
                <w:color w:val="auto"/>
              </w:rPr>
            </w:pPr>
            <w:r>
              <w:rPr>
                <w:rFonts w:hint="eastAsia"/>
                <w:color w:val="auto"/>
              </w:rPr>
              <w:t>0.79</w:t>
            </w:r>
          </w:p>
        </w:tc>
        <w:tc>
          <w:tcPr>
            <w:tcW w:w="571" w:type="pct"/>
            <w:tcBorders>
              <w:right w:val="single" w:color="auto" w:sz="4" w:space="0"/>
            </w:tcBorders>
            <w:vAlign w:val="center"/>
          </w:tcPr>
          <w:p>
            <w:pPr>
              <w:jc w:val="center"/>
              <w:rPr>
                <w:color w:val="auto"/>
              </w:rPr>
            </w:pPr>
            <w:r>
              <w:rPr>
                <w:color w:val="auto"/>
              </w:rPr>
              <w:t>3.34E-03</w:t>
            </w:r>
          </w:p>
        </w:tc>
        <w:tc>
          <w:tcPr>
            <w:tcW w:w="513" w:type="pct"/>
            <w:tcBorders>
              <w:right w:val="single" w:color="auto" w:sz="4" w:space="0"/>
            </w:tcBorders>
            <w:vAlign w:val="center"/>
          </w:tcPr>
          <w:p>
            <w:pPr>
              <w:jc w:val="center"/>
              <w:rPr>
                <w:color w:val="auto"/>
              </w:rPr>
            </w:pPr>
            <w:r>
              <w:rPr>
                <w:rFonts w:hint="eastAsia"/>
                <w:color w:val="auto"/>
              </w:rPr>
              <w:t>1.67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2000</w:t>
            </w:r>
          </w:p>
        </w:tc>
        <w:tc>
          <w:tcPr>
            <w:tcW w:w="657" w:type="pct"/>
            <w:gridSpan w:val="2"/>
            <w:vAlign w:val="center"/>
          </w:tcPr>
          <w:p>
            <w:pPr>
              <w:jc w:val="center"/>
              <w:rPr>
                <w:b/>
                <w:bCs/>
                <w:color w:val="auto"/>
                <w:u w:val="single"/>
              </w:rPr>
            </w:pPr>
            <w:r>
              <w:rPr>
                <w:rFonts w:hint="eastAsia"/>
                <w:b/>
                <w:bCs/>
                <w:color w:val="auto"/>
                <w:u w:val="single"/>
              </w:rPr>
              <w:t>5.35E-04</w:t>
            </w:r>
          </w:p>
        </w:tc>
        <w:tc>
          <w:tcPr>
            <w:tcW w:w="444" w:type="pct"/>
            <w:gridSpan w:val="2"/>
            <w:vAlign w:val="center"/>
          </w:tcPr>
          <w:p>
            <w:pPr>
              <w:jc w:val="center"/>
              <w:rPr>
                <w:b/>
                <w:bCs/>
                <w:color w:val="auto"/>
                <w:u w:val="single"/>
              </w:rPr>
            </w:pPr>
            <w:r>
              <w:rPr>
                <w:rFonts w:hint="eastAsia"/>
                <w:b/>
                <w:bCs/>
                <w:color w:val="auto"/>
                <w:u w:val="single"/>
              </w:rPr>
              <w:t>1.07</w:t>
            </w:r>
          </w:p>
        </w:tc>
        <w:tc>
          <w:tcPr>
            <w:tcW w:w="665" w:type="pct"/>
            <w:gridSpan w:val="2"/>
            <w:vAlign w:val="center"/>
          </w:tcPr>
          <w:p>
            <w:pPr>
              <w:jc w:val="center"/>
              <w:rPr>
                <w:color w:val="auto"/>
              </w:rPr>
            </w:pPr>
            <w:r>
              <w:rPr>
                <w:color w:val="auto"/>
              </w:rPr>
              <w:t>5.56E-04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3.96E-03</w:t>
            </w:r>
          </w:p>
        </w:tc>
        <w:tc>
          <w:tcPr>
            <w:tcW w:w="583" w:type="pct"/>
            <w:vAlign w:val="center"/>
          </w:tcPr>
          <w:p>
            <w:pPr>
              <w:jc w:val="center"/>
              <w:rPr>
                <w:color w:val="auto"/>
              </w:rPr>
            </w:pPr>
            <w:r>
              <w:rPr>
                <w:rFonts w:hint="eastAsia"/>
                <w:color w:val="auto"/>
              </w:rPr>
              <w:t>0.79</w:t>
            </w:r>
          </w:p>
        </w:tc>
        <w:tc>
          <w:tcPr>
            <w:tcW w:w="571" w:type="pct"/>
            <w:tcBorders>
              <w:right w:val="single" w:color="auto" w:sz="4" w:space="0"/>
            </w:tcBorders>
            <w:vAlign w:val="center"/>
          </w:tcPr>
          <w:p>
            <w:pPr>
              <w:jc w:val="center"/>
              <w:rPr>
                <w:color w:val="auto"/>
              </w:rPr>
            </w:pPr>
            <w:r>
              <w:rPr>
                <w:color w:val="auto"/>
              </w:rPr>
              <w:t>3.33E-03</w:t>
            </w:r>
          </w:p>
        </w:tc>
        <w:tc>
          <w:tcPr>
            <w:tcW w:w="513" w:type="pct"/>
            <w:tcBorders>
              <w:right w:val="single" w:color="auto" w:sz="4" w:space="0"/>
            </w:tcBorders>
            <w:vAlign w:val="center"/>
          </w:tcPr>
          <w:p>
            <w:pPr>
              <w:jc w:val="center"/>
              <w:rPr>
                <w:color w:val="auto"/>
              </w:rPr>
            </w:pPr>
            <w:r>
              <w:rPr>
                <w:rFonts w:hint="eastAsia"/>
                <w:color w:val="auto"/>
              </w:rPr>
              <w:t>1.67</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2100</w:t>
            </w:r>
          </w:p>
        </w:tc>
        <w:tc>
          <w:tcPr>
            <w:tcW w:w="657" w:type="pct"/>
            <w:gridSpan w:val="2"/>
            <w:vAlign w:val="center"/>
          </w:tcPr>
          <w:p>
            <w:pPr>
              <w:jc w:val="center"/>
              <w:rPr>
                <w:b/>
                <w:bCs/>
                <w:color w:val="auto"/>
                <w:u w:val="single"/>
              </w:rPr>
            </w:pPr>
            <w:r>
              <w:rPr>
                <w:rFonts w:hint="eastAsia"/>
                <w:b/>
                <w:bCs/>
                <w:color w:val="auto"/>
                <w:u w:val="single"/>
              </w:rPr>
              <w:t>5.28E-04</w:t>
            </w:r>
          </w:p>
        </w:tc>
        <w:tc>
          <w:tcPr>
            <w:tcW w:w="444" w:type="pct"/>
            <w:gridSpan w:val="2"/>
            <w:vAlign w:val="center"/>
          </w:tcPr>
          <w:p>
            <w:pPr>
              <w:jc w:val="center"/>
              <w:rPr>
                <w:b/>
                <w:bCs/>
                <w:color w:val="auto"/>
                <w:u w:val="single"/>
              </w:rPr>
            </w:pPr>
            <w:r>
              <w:rPr>
                <w:rFonts w:hint="eastAsia"/>
                <w:b/>
                <w:bCs/>
                <w:color w:val="auto"/>
                <w:u w:val="single"/>
              </w:rPr>
              <w:t>1.06</w:t>
            </w:r>
          </w:p>
        </w:tc>
        <w:tc>
          <w:tcPr>
            <w:tcW w:w="665" w:type="pct"/>
            <w:gridSpan w:val="2"/>
            <w:vAlign w:val="center"/>
          </w:tcPr>
          <w:p>
            <w:pPr>
              <w:jc w:val="center"/>
              <w:rPr>
                <w:color w:val="auto"/>
              </w:rPr>
            </w:pPr>
            <w:r>
              <w:rPr>
                <w:color w:val="auto"/>
              </w:rPr>
              <w:t>5.51E-04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3.92E-03</w:t>
            </w:r>
          </w:p>
        </w:tc>
        <w:tc>
          <w:tcPr>
            <w:tcW w:w="583" w:type="pct"/>
            <w:vAlign w:val="center"/>
          </w:tcPr>
          <w:p>
            <w:pPr>
              <w:jc w:val="center"/>
              <w:rPr>
                <w:color w:val="auto"/>
              </w:rPr>
            </w:pPr>
            <w:r>
              <w:rPr>
                <w:rFonts w:hint="eastAsia"/>
                <w:color w:val="auto"/>
              </w:rPr>
              <w:t>0.78</w:t>
            </w:r>
          </w:p>
        </w:tc>
        <w:tc>
          <w:tcPr>
            <w:tcW w:w="571" w:type="pct"/>
            <w:tcBorders>
              <w:right w:val="single" w:color="auto" w:sz="4" w:space="0"/>
            </w:tcBorders>
            <w:vAlign w:val="center"/>
          </w:tcPr>
          <w:p>
            <w:pPr>
              <w:jc w:val="center"/>
              <w:rPr>
                <w:color w:val="auto"/>
              </w:rPr>
            </w:pPr>
            <w:r>
              <w:rPr>
                <w:color w:val="auto"/>
              </w:rPr>
              <w:t>3.30E-03</w:t>
            </w:r>
          </w:p>
        </w:tc>
        <w:tc>
          <w:tcPr>
            <w:tcW w:w="513" w:type="pct"/>
            <w:tcBorders>
              <w:right w:val="single" w:color="auto" w:sz="4" w:space="0"/>
            </w:tcBorders>
            <w:vAlign w:val="center"/>
          </w:tcPr>
          <w:p>
            <w:pPr>
              <w:jc w:val="center"/>
              <w:rPr>
                <w:color w:val="auto"/>
              </w:rPr>
            </w:pPr>
            <w:r>
              <w:rPr>
                <w:rFonts w:hint="eastAsia"/>
                <w:color w:val="auto"/>
              </w:rPr>
              <w:t>1.65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2200</w:t>
            </w:r>
          </w:p>
        </w:tc>
        <w:tc>
          <w:tcPr>
            <w:tcW w:w="657" w:type="pct"/>
            <w:gridSpan w:val="2"/>
            <w:vAlign w:val="center"/>
          </w:tcPr>
          <w:p>
            <w:pPr>
              <w:jc w:val="center"/>
              <w:rPr>
                <w:b/>
                <w:bCs/>
                <w:color w:val="auto"/>
                <w:u w:val="single"/>
              </w:rPr>
            </w:pPr>
            <w:r>
              <w:rPr>
                <w:rFonts w:hint="eastAsia"/>
                <w:b/>
                <w:bCs/>
                <w:color w:val="auto"/>
                <w:u w:val="single"/>
              </w:rPr>
              <w:t>5.20E-04</w:t>
            </w:r>
          </w:p>
        </w:tc>
        <w:tc>
          <w:tcPr>
            <w:tcW w:w="444" w:type="pct"/>
            <w:gridSpan w:val="2"/>
            <w:vAlign w:val="center"/>
          </w:tcPr>
          <w:p>
            <w:pPr>
              <w:jc w:val="center"/>
              <w:rPr>
                <w:b/>
                <w:bCs/>
                <w:color w:val="auto"/>
                <w:u w:val="single"/>
              </w:rPr>
            </w:pPr>
            <w:r>
              <w:rPr>
                <w:rFonts w:hint="eastAsia"/>
                <w:b/>
                <w:bCs/>
                <w:color w:val="auto"/>
                <w:u w:val="single"/>
              </w:rPr>
              <w:t>1.04</w:t>
            </w:r>
          </w:p>
        </w:tc>
        <w:tc>
          <w:tcPr>
            <w:tcW w:w="665" w:type="pct"/>
            <w:gridSpan w:val="2"/>
            <w:vAlign w:val="center"/>
          </w:tcPr>
          <w:p>
            <w:pPr>
              <w:jc w:val="center"/>
              <w:rPr>
                <w:color w:val="auto"/>
              </w:rPr>
            </w:pPr>
            <w:r>
              <w:rPr>
                <w:color w:val="auto"/>
              </w:rPr>
              <w:t>5.44E-04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3.88E-03</w:t>
            </w:r>
          </w:p>
        </w:tc>
        <w:tc>
          <w:tcPr>
            <w:tcW w:w="583" w:type="pct"/>
            <w:vAlign w:val="center"/>
          </w:tcPr>
          <w:p>
            <w:pPr>
              <w:jc w:val="center"/>
              <w:rPr>
                <w:color w:val="auto"/>
              </w:rPr>
            </w:pPr>
            <w:r>
              <w:rPr>
                <w:color w:val="auto"/>
              </w:rPr>
              <w:t>0.78</w:t>
            </w:r>
          </w:p>
        </w:tc>
        <w:tc>
          <w:tcPr>
            <w:tcW w:w="571" w:type="pct"/>
            <w:tcBorders>
              <w:right w:val="single" w:color="auto" w:sz="4" w:space="0"/>
            </w:tcBorders>
            <w:vAlign w:val="center"/>
          </w:tcPr>
          <w:p>
            <w:pPr>
              <w:jc w:val="center"/>
              <w:rPr>
                <w:color w:val="auto"/>
              </w:rPr>
            </w:pPr>
            <w:r>
              <w:rPr>
                <w:color w:val="auto"/>
              </w:rPr>
              <w:t>3.26E-03</w:t>
            </w:r>
          </w:p>
        </w:tc>
        <w:tc>
          <w:tcPr>
            <w:tcW w:w="513" w:type="pct"/>
            <w:tcBorders>
              <w:right w:val="single" w:color="auto" w:sz="4" w:space="0"/>
            </w:tcBorders>
            <w:vAlign w:val="center"/>
          </w:tcPr>
          <w:p>
            <w:pPr>
              <w:jc w:val="center"/>
              <w:rPr>
                <w:color w:val="auto"/>
              </w:rPr>
            </w:pPr>
            <w:r>
              <w:rPr>
                <w:color w:val="auto"/>
              </w:rPr>
              <w:t>1.63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2300</w:t>
            </w:r>
          </w:p>
        </w:tc>
        <w:tc>
          <w:tcPr>
            <w:tcW w:w="657" w:type="pct"/>
            <w:gridSpan w:val="2"/>
            <w:vAlign w:val="center"/>
          </w:tcPr>
          <w:p>
            <w:pPr>
              <w:jc w:val="center"/>
              <w:rPr>
                <w:b/>
                <w:bCs/>
                <w:color w:val="auto"/>
                <w:u w:val="single"/>
              </w:rPr>
            </w:pPr>
            <w:r>
              <w:rPr>
                <w:rFonts w:hint="eastAsia"/>
                <w:b/>
                <w:bCs/>
                <w:color w:val="auto"/>
                <w:u w:val="single"/>
              </w:rPr>
              <w:t>5.12E-04</w:t>
            </w:r>
          </w:p>
        </w:tc>
        <w:tc>
          <w:tcPr>
            <w:tcW w:w="444" w:type="pct"/>
            <w:gridSpan w:val="2"/>
            <w:vAlign w:val="center"/>
          </w:tcPr>
          <w:p>
            <w:pPr>
              <w:jc w:val="center"/>
              <w:rPr>
                <w:b/>
                <w:bCs/>
                <w:color w:val="auto"/>
                <w:u w:val="single"/>
              </w:rPr>
            </w:pPr>
            <w:r>
              <w:rPr>
                <w:rFonts w:hint="eastAsia"/>
                <w:b/>
                <w:bCs/>
                <w:color w:val="auto"/>
                <w:u w:val="single"/>
              </w:rPr>
              <w:t>1.02</w:t>
            </w:r>
          </w:p>
        </w:tc>
        <w:tc>
          <w:tcPr>
            <w:tcW w:w="665" w:type="pct"/>
            <w:gridSpan w:val="2"/>
            <w:vAlign w:val="center"/>
          </w:tcPr>
          <w:p>
            <w:pPr>
              <w:jc w:val="center"/>
              <w:rPr>
                <w:color w:val="auto"/>
              </w:rPr>
            </w:pPr>
            <w:r>
              <w:rPr>
                <w:color w:val="auto"/>
              </w:rPr>
              <w:t>5.37E-04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3.82E-03</w:t>
            </w:r>
          </w:p>
        </w:tc>
        <w:tc>
          <w:tcPr>
            <w:tcW w:w="583" w:type="pct"/>
            <w:vAlign w:val="center"/>
          </w:tcPr>
          <w:p>
            <w:pPr>
              <w:jc w:val="center"/>
              <w:rPr>
                <w:color w:val="auto"/>
              </w:rPr>
            </w:pPr>
            <w:r>
              <w:rPr>
                <w:color w:val="auto"/>
              </w:rPr>
              <w:t>0.76</w:t>
            </w:r>
          </w:p>
        </w:tc>
        <w:tc>
          <w:tcPr>
            <w:tcW w:w="571" w:type="pct"/>
            <w:tcBorders>
              <w:right w:val="single" w:color="auto" w:sz="4" w:space="0"/>
            </w:tcBorders>
            <w:vAlign w:val="center"/>
          </w:tcPr>
          <w:p>
            <w:pPr>
              <w:jc w:val="center"/>
              <w:rPr>
                <w:color w:val="auto"/>
              </w:rPr>
            </w:pPr>
            <w:r>
              <w:rPr>
                <w:color w:val="auto"/>
              </w:rPr>
              <w:t>3.22E-03</w:t>
            </w:r>
          </w:p>
        </w:tc>
        <w:tc>
          <w:tcPr>
            <w:tcW w:w="513" w:type="pct"/>
            <w:tcBorders>
              <w:right w:val="single" w:color="auto" w:sz="4" w:space="0"/>
            </w:tcBorders>
            <w:vAlign w:val="center"/>
          </w:tcPr>
          <w:p>
            <w:pPr>
              <w:jc w:val="center"/>
              <w:rPr>
                <w:color w:val="auto"/>
              </w:rPr>
            </w:pPr>
            <w:r>
              <w:rPr>
                <w:color w:val="auto"/>
              </w:rPr>
              <w:t>1.61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2400</w:t>
            </w:r>
          </w:p>
        </w:tc>
        <w:tc>
          <w:tcPr>
            <w:tcW w:w="657" w:type="pct"/>
            <w:gridSpan w:val="2"/>
            <w:vAlign w:val="center"/>
          </w:tcPr>
          <w:p>
            <w:pPr>
              <w:jc w:val="center"/>
              <w:rPr>
                <w:b/>
                <w:bCs/>
                <w:color w:val="auto"/>
                <w:u w:val="single"/>
              </w:rPr>
            </w:pPr>
            <w:r>
              <w:rPr>
                <w:rFonts w:hint="eastAsia"/>
                <w:b/>
                <w:bCs/>
                <w:color w:val="auto"/>
                <w:u w:val="single"/>
              </w:rPr>
              <w:t>5.03E-04</w:t>
            </w:r>
          </w:p>
        </w:tc>
        <w:tc>
          <w:tcPr>
            <w:tcW w:w="444" w:type="pct"/>
            <w:gridSpan w:val="2"/>
            <w:vAlign w:val="center"/>
          </w:tcPr>
          <w:p>
            <w:pPr>
              <w:jc w:val="center"/>
              <w:rPr>
                <w:b/>
                <w:bCs/>
                <w:color w:val="auto"/>
                <w:u w:val="single"/>
              </w:rPr>
            </w:pPr>
            <w:r>
              <w:rPr>
                <w:rFonts w:hint="eastAsia"/>
                <w:b/>
                <w:bCs/>
                <w:color w:val="auto"/>
                <w:u w:val="single"/>
              </w:rPr>
              <w:t>1.01</w:t>
            </w:r>
          </w:p>
        </w:tc>
        <w:tc>
          <w:tcPr>
            <w:tcW w:w="665" w:type="pct"/>
            <w:gridSpan w:val="2"/>
            <w:vAlign w:val="center"/>
          </w:tcPr>
          <w:p>
            <w:pPr>
              <w:jc w:val="center"/>
              <w:rPr>
                <w:color w:val="auto"/>
              </w:rPr>
            </w:pPr>
            <w:r>
              <w:rPr>
                <w:color w:val="auto"/>
              </w:rPr>
              <w:t>5.29E-04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3.77E-03</w:t>
            </w:r>
          </w:p>
        </w:tc>
        <w:tc>
          <w:tcPr>
            <w:tcW w:w="583" w:type="pct"/>
            <w:vAlign w:val="center"/>
          </w:tcPr>
          <w:p>
            <w:pPr>
              <w:jc w:val="center"/>
              <w:rPr>
                <w:color w:val="auto"/>
              </w:rPr>
            </w:pPr>
            <w:r>
              <w:rPr>
                <w:color w:val="auto"/>
              </w:rPr>
              <w:t>0.75</w:t>
            </w:r>
          </w:p>
        </w:tc>
        <w:tc>
          <w:tcPr>
            <w:tcW w:w="571" w:type="pct"/>
            <w:tcBorders>
              <w:right w:val="single" w:color="auto" w:sz="4" w:space="0"/>
            </w:tcBorders>
            <w:vAlign w:val="center"/>
          </w:tcPr>
          <w:p>
            <w:pPr>
              <w:jc w:val="center"/>
              <w:rPr>
                <w:color w:val="auto"/>
              </w:rPr>
            </w:pPr>
            <w:r>
              <w:rPr>
                <w:color w:val="auto"/>
              </w:rPr>
              <w:t>3.17E-03</w:t>
            </w:r>
          </w:p>
        </w:tc>
        <w:tc>
          <w:tcPr>
            <w:tcW w:w="513" w:type="pct"/>
            <w:tcBorders>
              <w:right w:val="single" w:color="auto" w:sz="4" w:space="0"/>
            </w:tcBorders>
            <w:vAlign w:val="center"/>
          </w:tcPr>
          <w:p>
            <w:pPr>
              <w:jc w:val="center"/>
              <w:rPr>
                <w:color w:val="auto"/>
              </w:rPr>
            </w:pPr>
            <w:r>
              <w:rPr>
                <w:color w:val="auto"/>
              </w:rPr>
              <w:t>1.59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contextualSpacing/>
              <w:jc w:val="center"/>
              <w:textAlignment w:val="baseline"/>
              <w:rPr>
                <w:color w:val="auto"/>
                <w:kern w:val="0"/>
              </w:rPr>
            </w:pPr>
            <w:r>
              <w:rPr>
                <w:color w:val="auto"/>
                <w:kern w:val="0"/>
              </w:rPr>
              <w:t>2500</w:t>
            </w:r>
          </w:p>
        </w:tc>
        <w:tc>
          <w:tcPr>
            <w:tcW w:w="657" w:type="pct"/>
            <w:gridSpan w:val="2"/>
            <w:vAlign w:val="center"/>
          </w:tcPr>
          <w:p>
            <w:pPr>
              <w:jc w:val="center"/>
              <w:rPr>
                <w:b/>
                <w:bCs/>
                <w:color w:val="auto"/>
                <w:u w:val="single"/>
              </w:rPr>
            </w:pPr>
            <w:r>
              <w:rPr>
                <w:rFonts w:hint="eastAsia"/>
                <w:b/>
                <w:bCs/>
                <w:color w:val="auto"/>
                <w:u w:val="single"/>
              </w:rPr>
              <w:t>4.94E-04</w:t>
            </w:r>
          </w:p>
        </w:tc>
        <w:tc>
          <w:tcPr>
            <w:tcW w:w="444" w:type="pct"/>
            <w:gridSpan w:val="2"/>
            <w:vAlign w:val="center"/>
          </w:tcPr>
          <w:p>
            <w:pPr>
              <w:jc w:val="center"/>
              <w:rPr>
                <w:b/>
                <w:bCs/>
                <w:color w:val="auto"/>
                <w:u w:val="single"/>
              </w:rPr>
            </w:pPr>
            <w:r>
              <w:rPr>
                <w:rFonts w:hint="eastAsia"/>
                <w:b/>
                <w:bCs/>
                <w:color w:val="auto"/>
                <w:u w:val="single"/>
              </w:rPr>
              <w:t>0.99</w:t>
            </w:r>
          </w:p>
        </w:tc>
        <w:tc>
          <w:tcPr>
            <w:tcW w:w="665" w:type="pct"/>
            <w:gridSpan w:val="2"/>
            <w:vAlign w:val="center"/>
          </w:tcPr>
          <w:p>
            <w:pPr>
              <w:jc w:val="center"/>
              <w:rPr>
                <w:color w:val="auto"/>
              </w:rPr>
            </w:pPr>
            <w:r>
              <w:rPr>
                <w:color w:val="auto"/>
              </w:rPr>
              <w:t>5.20E-04</w:t>
            </w:r>
          </w:p>
        </w:tc>
        <w:tc>
          <w:tcPr>
            <w:tcW w:w="493" w:type="pct"/>
            <w:gridSpan w:val="2"/>
            <w:vAlign w:val="center"/>
          </w:tcPr>
          <w:p>
            <w:pPr>
              <w:jc w:val="center"/>
              <w:rPr>
                <w:color w:val="auto"/>
              </w:rPr>
            </w:pPr>
            <w:r>
              <w:rPr>
                <w:color w:val="auto"/>
              </w:rPr>
              <w:t>0.12</w:t>
            </w:r>
          </w:p>
        </w:tc>
        <w:tc>
          <w:tcPr>
            <w:tcW w:w="591" w:type="pct"/>
            <w:vAlign w:val="center"/>
          </w:tcPr>
          <w:p>
            <w:pPr>
              <w:jc w:val="center"/>
              <w:rPr>
                <w:color w:val="auto"/>
              </w:rPr>
            </w:pPr>
            <w:r>
              <w:rPr>
                <w:color w:val="auto"/>
              </w:rPr>
              <w:t>3.70E-03</w:t>
            </w:r>
          </w:p>
        </w:tc>
        <w:tc>
          <w:tcPr>
            <w:tcW w:w="583" w:type="pct"/>
            <w:vAlign w:val="center"/>
          </w:tcPr>
          <w:p>
            <w:pPr>
              <w:jc w:val="center"/>
              <w:rPr>
                <w:color w:val="auto"/>
              </w:rPr>
            </w:pPr>
            <w:r>
              <w:rPr>
                <w:color w:val="auto"/>
              </w:rPr>
              <w:t>0.74</w:t>
            </w:r>
          </w:p>
        </w:tc>
        <w:tc>
          <w:tcPr>
            <w:tcW w:w="571" w:type="pct"/>
            <w:tcBorders>
              <w:right w:val="single" w:color="auto" w:sz="4" w:space="0"/>
            </w:tcBorders>
            <w:vAlign w:val="center"/>
          </w:tcPr>
          <w:p>
            <w:pPr>
              <w:jc w:val="center"/>
              <w:rPr>
                <w:color w:val="auto"/>
              </w:rPr>
            </w:pPr>
            <w:r>
              <w:rPr>
                <w:color w:val="auto"/>
              </w:rPr>
              <w:t>3.12E-03</w:t>
            </w:r>
          </w:p>
        </w:tc>
        <w:tc>
          <w:tcPr>
            <w:tcW w:w="513" w:type="pct"/>
            <w:tcBorders>
              <w:right w:val="single" w:color="auto" w:sz="4" w:space="0"/>
            </w:tcBorders>
            <w:vAlign w:val="center"/>
          </w:tcPr>
          <w:p>
            <w:pPr>
              <w:jc w:val="center"/>
              <w:rPr>
                <w:color w:val="auto"/>
              </w:rPr>
            </w:pPr>
            <w:r>
              <w:rPr>
                <w:color w:val="auto"/>
              </w:rPr>
              <w:t>1.56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481" w:type="pct"/>
            <w:gridSpan w:val="3"/>
            <w:vAlign w:val="center"/>
          </w:tcPr>
          <w:p>
            <w:pPr>
              <w:jc w:val="center"/>
              <w:rPr>
                <w:color w:val="auto"/>
                <w:szCs w:val="20"/>
              </w:rPr>
            </w:pPr>
            <w:r>
              <w:rPr>
                <w:color w:val="auto"/>
                <w:szCs w:val="20"/>
              </w:rPr>
              <w:t>P</w:t>
            </w:r>
            <w:r>
              <w:rPr>
                <w:color w:val="auto"/>
                <w:szCs w:val="20"/>
                <w:vertAlign w:val="subscript"/>
              </w:rPr>
              <w:t>max</w:t>
            </w:r>
          </w:p>
        </w:tc>
        <w:tc>
          <w:tcPr>
            <w:tcW w:w="657" w:type="pct"/>
            <w:gridSpan w:val="2"/>
            <w:vAlign w:val="center"/>
          </w:tcPr>
          <w:p>
            <w:pPr>
              <w:jc w:val="center"/>
              <w:rPr>
                <w:b/>
                <w:color w:val="auto"/>
                <w:szCs w:val="20"/>
                <w:u w:val="single"/>
              </w:rPr>
            </w:pPr>
            <w:r>
              <w:rPr>
                <w:rFonts w:hint="eastAsia"/>
                <w:b/>
                <w:color w:val="auto"/>
                <w:szCs w:val="20"/>
                <w:u w:val="single"/>
              </w:rPr>
              <w:t>0.000549（310）</w:t>
            </w:r>
          </w:p>
        </w:tc>
        <w:tc>
          <w:tcPr>
            <w:tcW w:w="444" w:type="pct"/>
            <w:gridSpan w:val="2"/>
            <w:vAlign w:val="center"/>
          </w:tcPr>
          <w:p>
            <w:pPr>
              <w:jc w:val="center"/>
              <w:rPr>
                <w:b/>
                <w:color w:val="auto"/>
                <w:sz w:val="24"/>
                <w:szCs w:val="24"/>
                <w:u w:val="single"/>
              </w:rPr>
            </w:pPr>
            <w:r>
              <w:rPr>
                <w:rFonts w:hint="eastAsia"/>
                <w:b/>
                <w:color w:val="auto"/>
                <w:szCs w:val="20"/>
                <w:u w:val="single"/>
              </w:rPr>
              <w:t>1.1</w:t>
            </w:r>
          </w:p>
        </w:tc>
        <w:tc>
          <w:tcPr>
            <w:tcW w:w="665" w:type="pct"/>
            <w:gridSpan w:val="2"/>
            <w:vAlign w:val="center"/>
          </w:tcPr>
          <w:p>
            <w:pPr>
              <w:jc w:val="center"/>
              <w:rPr>
                <w:color w:val="auto"/>
                <w:sz w:val="24"/>
                <w:szCs w:val="24"/>
              </w:rPr>
            </w:pPr>
            <w:r>
              <w:rPr>
                <w:color w:val="auto"/>
                <w:szCs w:val="20"/>
              </w:rPr>
              <w:t>0.00</w:t>
            </w:r>
            <w:r>
              <w:rPr>
                <w:rFonts w:hint="eastAsia"/>
                <w:color w:val="auto"/>
                <w:szCs w:val="20"/>
              </w:rPr>
              <w:t>144</w:t>
            </w:r>
            <w:r>
              <w:rPr>
                <w:color w:val="auto"/>
                <w:szCs w:val="20"/>
              </w:rPr>
              <w:t>（</w:t>
            </w:r>
            <w:r>
              <w:rPr>
                <w:rFonts w:hint="eastAsia"/>
                <w:color w:val="auto"/>
                <w:szCs w:val="20"/>
              </w:rPr>
              <w:t>320</w:t>
            </w:r>
            <w:r>
              <w:rPr>
                <w:color w:val="auto"/>
                <w:szCs w:val="20"/>
              </w:rPr>
              <w:t>m）</w:t>
            </w:r>
          </w:p>
        </w:tc>
        <w:tc>
          <w:tcPr>
            <w:tcW w:w="493" w:type="pct"/>
            <w:gridSpan w:val="2"/>
            <w:vAlign w:val="center"/>
          </w:tcPr>
          <w:p>
            <w:pPr>
              <w:jc w:val="center"/>
              <w:rPr>
                <w:color w:val="auto"/>
                <w:sz w:val="24"/>
                <w:szCs w:val="24"/>
              </w:rPr>
            </w:pPr>
            <w:r>
              <w:rPr>
                <w:rFonts w:hint="eastAsia"/>
                <w:color w:val="auto"/>
                <w:szCs w:val="20"/>
              </w:rPr>
              <w:t>0.32</w:t>
            </w:r>
          </w:p>
        </w:tc>
        <w:tc>
          <w:tcPr>
            <w:tcW w:w="591" w:type="pct"/>
            <w:vAlign w:val="center"/>
          </w:tcPr>
          <w:p>
            <w:pPr>
              <w:jc w:val="center"/>
              <w:rPr>
                <w:color w:val="auto"/>
                <w:sz w:val="24"/>
                <w:szCs w:val="24"/>
              </w:rPr>
            </w:pPr>
            <w:r>
              <w:rPr>
                <w:rFonts w:hint="eastAsia"/>
                <w:color w:val="auto"/>
                <w:szCs w:val="20"/>
              </w:rPr>
              <w:t>0.00284</w:t>
            </w:r>
            <w:r>
              <w:rPr>
                <w:color w:val="auto"/>
                <w:szCs w:val="20"/>
              </w:rPr>
              <w:t>（</w:t>
            </w:r>
            <w:r>
              <w:rPr>
                <w:rFonts w:hint="eastAsia"/>
                <w:color w:val="auto"/>
                <w:szCs w:val="20"/>
              </w:rPr>
              <w:t>320</w:t>
            </w:r>
            <w:r>
              <w:rPr>
                <w:color w:val="auto"/>
                <w:szCs w:val="20"/>
              </w:rPr>
              <w:t>m）</w:t>
            </w:r>
          </w:p>
        </w:tc>
        <w:tc>
          <w:tcPr>
            <w:tcW w:w="583" w:type="pct"/>
            <w:vAlign w:val="center"/>
          </w:tcPr>
          <w:p>
            <w:pPr>
              <w:jc w:val="center"/>
              <w:rPr>
                <w:color w:val="auto"/>
                <w:sz w:val="24"/>
                <w:szCs w:val="24"/>
              </w:rPr>
            </w:pPr>
            <w:r>
              <w:rPr>
                <w:rFonts w:hint="eastAsia"/>
                <w:color w:val="auto"/>
                <w:szCs w:val="20"/>
              </w:rPr>
              <w:t>0.57</w:t>
            </w:r>
          </w:p>
        </w:tc>
        <w:tc>
          <w:tcPr>
            <w:tcW w:w="571" w:type="pct"/>
            <w:tcBorders>
              <w:right w:val="single" w:color="auto" w:sz="4" w:space="0"/>
            </w:tcBorders>
            <w:vAlign w:val="center"/>
          </w:tcPr>
          <w:p>
            <w:pPr>
              <w:jc w:val="center"/>
              <w:rPr>
                <w:color w:val="auto"/>
                <w:sz w:val="24"/>
                <w:szCs w:val="24"/>
              </w:rPr>
            </w:pPr>
            <w:r>
              <w:rPr>
                <w:color w:val="auto"/>
                <w:szCs w:val="20"/>
              </w:rPr>
              <w:t>0.00</w:t>
            </w:r>
            <w:r>
              <w:rPr>
                <w:rFonts w:hint="eastAsia"/>
                <w:color w:val="auto"/>
                <w:szCs w:val="20"/>
              </w:rPr>
              <w:t>862</w:t>
            </w:r>
            <w:r>
              <w:rPr>
                <w:color w:val="auto"/>
                <w:szCs w:val="20"/>
              </w:rPr>
              <w:t>（</w:t>
            </w:r>
            <w:r>
              <w:rPr>
                <w:rFonts w:hint="eastAsia"/>
                <w:color w:val="auto"/>
                <w:szCs w:val="20"/>
              </w:rPr>
              <w:t>320</w:t>
            </w:r>
            <w:r>
              <w:rPr>
                <w:color w:val="auto"/>
                <w:szCs w:val="20"/>
              </w:rPr>
              <w:t>m）</w:t>
            </w:r>
          </w:p>
        </w:tc>
        <w:tc>
          <w:tcPr>
            <w:tcW w:w="513" w:type="pct"/>
            <w:tcBorders>
              <w:right w:val="single" w:color="auto" w:sz="4" w:space="0"/>
            </w:tcBorders>
            <w:vAlign w:val="center"/>
          </w:tcPr>
          <w:p>
            <w:pPr>
              <w:jc w:val="center"/>
              <w:rPr>
                <w:color w:val="auto"/>
                <w:sz w:val="24"/>
                <w:szCs w:val="24"/>
              </w:rPr>
            </w:pPr>
            <w:r>
              <w:rPr>
                <w:rFonts w:hint="eastAsia"/>
                <w:color w:val="auto"/>
                <w:szCs w:val="20"/>
              </w:rPr>
              <w:t>4.31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gridAfter w:val="5"/>
          <w:wBefore w:w="3" w:type="pct"/>
          <w:wAfter w:w="2648" w:type="pct"/>
          <w:trHeight w:val="270" w:hRule="atLeast"/>
          <w:jc w:val="center"/>
        </w:trPr>
        <w:tc>
          <w:tcPr>
            <w:tcW w:w="444" w:type="pct"/>
            <w:tcBorders>
              <w:top w:val="nil"/>
              <w:left w:val="nil"/>
              <w:bottom w:val="nil"/>
              <w:right w:val="nil"/>
            </w:tcBorders>
            <w:shd w:val="clear" w:color="auto" w:fill="auto"/>
            <w:noWrap/>
            <w:vAlign w:val="center"/>
          </w:tcPr>
          <w:p>
            <w:pPr>
              <w:jc w:val="center"/>
              <w:rPr>
                <w:color w:val="auto"/>
                <w:kern w:val="0"/>
                <w:sz w:val="22"/>
              </w:rPr>
            </w:pPr>
          </w:p>
        </w:tc>
        <w:tc>
          <w:tcPr>
            <w:tcW w:w="463" w:type="pct"/>
            <w:gridSpan w:val="2"/>
            <w:tcBorders>
              <w:top w:val="nil"/>
              <w:left w:val="nil"/>
              <w:bottom w:val="nil"/>
              <w:right w:val="nil"/>
            </w:tcBorders>
            <w:shd w:val="clear" w:color="auto" w:fill="auto"/>
            <w:noWrap/>
            <w:vAlign w:val="center"/>
          </w:tcPr>
          <w:p>
            <w:pPr>
              <w:jc w:val="center"/>
              <w:rPr>
                <w:color w:val="auto"/>
                <w:kern w:val="0"/>
                <w:sz w:val="22"/>
              </w:rPr>
            </w:pPr>
          </w:p>
        </w:tc>
        <w:tc>
          <w:tcPr>
            <w:tcW w:w="451" w:type="pct"/>
            <w:gridSpan w:val="2"/>
            <w:tcBorders>
              <w:top w:val="nil"/>
              <w:left w:val="nil"/>
              <w:bottom w:val="nil"/>
              <w:right w:val="nil"/>
            </w:tcBorders>
            <w:shd w:val="clear" w:color="auto" w:fill="auto"/>
            <w:noWrap/>
            <w:vAlign w:val="center"/>
          </w:tcPr>
          <w:p>
            <w:pPr>
              <w:jc w:val="center"/>
              <w:rPr>
                <w:color w:val="auto"/>
                <w:kern w:val="0"/>
                <w:sz w:val="22"/>
              </w:rPr>
            </w:pPr>
          </w:p>
        </w:tc>
        <w:tc>
          <w:tcPr>
            <w:tcW w:w="494" w:type="pct"/>
            <w:gridSpan w:val="2"/>
            <w:tcBorders>
              <w:top w:val="nil"/>
              <w:left w:val="nil"/>
              <w:bottom w:val="nil"/>
              <w:right w:val="nil"/>
            </w:tcBorders>
            <w:vAlign w:val="center"/>
          </w:tcPr>
          <w:p>
            <w:pPr>
              <w:jc w:val="center"/>
              <w:rPr>
                <w:color w:val="auto"/>
                <w:kern w:val="0"/>
                <w:sz w:val="22"/>
              </w:rPr>
            </w:pPr>
          </w:p>
        </w:tc>
        <w:tc>
          <w:tcPr>
            <w:tcW w:w="495" w:type="pct"/>
            <w:gridSpan w:val="2"/>
            <w:tcBorders>
              <w:top w:val="nil"/>
              <w:left w:val="nil"/>
              <w:bottom w:val="nil"/>
              <w:right w:val="nil"/>
            </w:tcBorders>
            <w:vAlign w:val="center"/>
          </w:tcPr>
          <w:p>
            <w:pPr>
              <w:jc w:val="center"/>
              <w:rPr>
                <w:color w:val="auto"/>
                <w:kern w:val="0"/>
                <w:sz w:val="22"/>
              </w:rPr>
            </w:pPr>
          </w:p>
        </w:tc>
      </w:tr>
    </w:tbl>
    <w:p>
      <w:pPr>
        <w:adjustRightInd w:val="0"/>
        <w:snapToGrid w:val="0"/>
        <w:spacing w:before="120" w:line="520" w:lineRule="exact"/>
        <w:ind w:firstLine="480" w:firstLineChars="200"/>
        <w:textAlignment w:val="baseline"/>
        <w:rPr>
          <w:color w:val="auto"/>
          <w:kern w:val="0"/>
          <w:sz w:val="24"/>
          <w:szCs w:val="20"/>
        </w:rPr>
        <w:sectPr>
          <w:pgSz w:w="16840" w:h="11907" w:orient="landscape"/>
          <w:pgMar w:top="1797" w:right="1440" w:bottom="1797" w:left="1440" w:header="907" w:footer="907" w:gutter="0"/>
          <w:cols w:space="425" w:num="1"/>
          <w:docGrid w:linePitch="380" w:charSpace="0"/>
        </w:sectPr>
      </w:pPr>
    </w:p>
    <w:p>
      <w:pPr>
        <w:ind w:firstLine="960" w:firstLineChars="400"/>
        <w:jc w:val="center"/>
        <w:rPr>
          <w:rFonts w:eastAsia="黑体"/>
          <w:color w:val="auto"/>
          <w:sz w:val="24"/>
          <w:szCs w:val="24"/>
        </w:rPr>
      </w:pPr>
      <w:r>
        <w:rPr>
          <w:rFonts w:eastAsia="黑体"/>
          <w:color w:val="auto"/>
          <w:sz w:val="24"/>
          <w:szCs w:val="24"/>
        </w:rPr>
        <w:t>表5.1-14   本项目有组织污染物排放估算模式预测结果2</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2"/>
        <w:gridCol w:w="1265"/>
        <w:gridCol w:w="1225"/>
        <w:gridCol w:w="1319"/>
        <w:gridCol w:w="1252"/>
        <w:gridCol w:w="1214"/>
        <w:gridCol w:w="11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vMerge w:val="restart"/>
            <w:shd w:val="clear" w:color="auto" w:fill="auto"/>
            <w:vAlign w:val="center"/>
          </w:tcPr>
          <w:p>
            <w:pPr>
              <w:widowControl w:val="0"/>
              <w:adjustRightInd w:val="0"/>
              <w:snapToGrid w:val="0"/>
              <w:jc w:val="center"/>
              <w:textAlignment w:val="baseline"/>
              <w:rPr>
                <w:color w:val="auto"/>
                <w:kern w:val="0"/>
              </w:rPr>
            </w:pPr>
            <w:r>
              <w:rPr>
                <w:b/>
                <w:bCs/>
                <w:color w:val="auto"/>
                <w:kern w:val="0"/>
              </w:rPr>
              <w:t>下风险距离D（m</w:t>
            </w:r>
            <w:r>
              <w:rPr>
                <w:color w:val="auto"/>
                <w:kern w:val="0"/>
              </w:rPr>
              <w:t>）</w:t>
            </w:r>
          </w:p>
        </w:tc>
        <w:tc>
          <w:tcPr>
            <w:tcW w:w="5061" w:type="dxa"/>
            <w:gridSpan w:val="4"/>
            <w:shd w:val="clear" w:color="auto" w:fill="auto"/>
            <w:vAlign w:val="center"/>
          </w:tcPr>
          <w:p>
            <w:pPr>
              <w:widowControl w:val="0"/>
              <w:adjustRightInd w:val="0"/>
              <w:snapToGrid w:val="0"/>
              <w:jc w:val="center"/>
              <w:textAlignment w:val="baseline"/>
              <w:rPr>
                <w:b/>
                <w:bCs/>
                <w:color w:val="auto"/>
                <w:kern w:val="0"/>
                <w:u w:val="single"/>
              </w:rPr>
            </w:pPr>
            <w:r>
              <w:rPr>
                <w:b/>
                <w:bCs/>
                <w:color w:val="auto"/>
                <w:kern w:val="0"/>
                <w:u w:val="single"/>
              </w:rPr>
              <w:t>恶臭排气筒（DA003）</w:t>
            </w:r>
          </w:p>
        </w:tc>
        <w:tc>
          <w:tcPr>
            <w:tcW w:w="2386" w:type="dxa"/>
            <w:gridSpan w:val="2"/>
            <w:shd w:val="clear" w:color="auto" w:fill="auto"/>
            <w:vAlign w:val="center"/>
          </w:tcPr>
          <w:p>
            <w:pPr>
              <w:widowControl w:val="0"/>
              <w:adjustRightInd w:val="0"/>
              <w:snapToGrid w:val="0"/>
              <w:jc w:val="center"/>
              <w:textAlignment w:val="baseline"/>
              <w:rPr>
                <w:b/>
                <w:bCs/>
                <w:color w:val="auto"/>
                <w:kern w:val="0"/>
                <w:u w:val="single"/>
              </w:rPr>
            </w:pPr>
            <w:r>
              <w:rPr>
                <w:b/>
                <w:bCs/>
                <w:color w:val="auto"/>
                <w:kern w:val="0"/>
                <w:u w:val="single"/>
              </w:rPr>
              <w:t>除尘器排气筒（DA004）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vMerge w:val="continue"/>
            <w:shd w:val="clear" w:color="auto" w:fill="auto"/>
            <w:vAlign w:val="center"/>
          </w:tcPr>
          <w:p>
            <w:pPr>
              <w:widowControl w:val="0"/>
              <w:adjustRightInd w:val="0"/>
              <w:snapToGrid w:val="0"/>
              <w:jc w:val="center"/>
              <w:textAlignment w:val="baseline"/>
              <w:rPr>
                <w:color w:val="auto"/>
                <w:kern w:val="0"/>
              </w:rPr>
            </w:pPr>
          </w:p>
        </w:tc>
        <w:tc>
          <w:tcPr>
            <w:tcW w:w="2490" w:type="dxa"/>
            <w:gridSpan w:val="2"/>
            <w:shd w:val="clear" w:color="auto" w:fill="auto"/>
            <w:vAlign w:val="center"/>
          </w:tcPr>
          <w:p>
            <w:pPr>
              <w:widowControl w:val="0"/>
              <w:adjustRightInd w:val="0"/>
              <w:snapToGrid w:val="0"/>
              <w:jc w:val="center"/>
              <w:textAlignment w:val="baseline"/>
              <w:rPr>
                <w:b/>
                <w:bCs/>
                <w:color w:val="auto"/>
                <w:kern w:val="0"/>
                <w:u w:val="single"/>
              </w:rPr>
            </w:pPr>
            <w:r>
              <w:rPr>
                <w:b/>
                <w:bCs/>
                <w:color w:val="auto"/>
                <w:kern w:val="0"/>
                <w:u w:val="single"/>
              </w:rPr>
              <w:t>NH</w:t>
            </w:r>
            <w:r>
              <w:rPr>
                <w:b/>
                <w:bCs/>
                <w:color w:val="auto"/>
                <w:kern w:val="0"/>
                <w:u w:val="single"/>
                <w:vertAlign w:val="subscript"/>
              </w:rPr>
              <w:t>3</w:t>
            </w:r>
          </w:p>
        </w:tc>
        <w:tc>
          <w:tcPr>
            <w:tcW w:w="2571" w:type="dxa"/>
            <w:gridSpan w:val="2"/>
            <w:shd w:val="clear" w:color="auto" w:fill="auto"/>
            <w:vAlign w:val="center"/>
          </w:tcPr>
          <w:p>
            <w:pPr>
              <w:widowControl w:val="0"/>
              <w:adjustRightInd w:val="0"/>
              <w:snapToGrid w:val="0"/>
              <w:jc w:val="center"/>
              <w:textAlignment w:val="baseline"/>
              <w:rPr>
                <w:b/>
                <w:bCs/>
                <w:color w:val="auto"/>
                <w:kern w:val="0"/>
                <w:u w:val="single"/>
              </w:rPr>
            </w:pPr>
            <w:r>
              <w:rPr>
                <w:b/>
                <w:bCs/>
                <w:color w:val="auto"/>
                <w:kern w:val="0"/>
                <w:u w:val="single"/>
              </w:rPr>
              <w:t>H</w:t>
            </w:r>
            <w:r>
              <w:rPr>
                <w:b/>
                <w:bCs/>
                <w:color w:val="auto"/>
                <w:kern w:val="0"/>
                <w:u w:val="single"/>
                <w:vertAlign w:val="subscript"/>
              </w:rPr>
              <w:t>2</w:t>
            </w:r>
            <w:r>
              <w:rPr>
                <w:b/>
                <w:bCs/>
                <w:color w:val="auto"/>
                <w:kern w:val="0"/>
                <w:u w:val="single"/>
              </w:rPr>
              <w:t>S</w:t>
            </w:r>
          </w:p>
        </w:tc>
        <w:tc>
          <w:tcPr>
            <w:tcW w:w="2386" w:type="dxa"/>
            <w:gridSpan w:val="2"/>
            <w:shd w:val="clear" w:color="auto" w:fill="auto"/>
            <w:vAlign w:val="center"/>
          </w:tcPr>
          <w:p>
            <w:pPr>
              <w:widowControl w:val="0"/>
              <w:adjustRightInd w:val="0"/>
              <w:snapToGrid w:val="0"/>
              <w:jc w:val="center"/>
              <w:textAlignment w:val="baseline"/>
              <w:rPr>
                <w:b/>
                <w:bCs/>
                <w:color w:val="auto"/>
                <w:kern w:val="0"/>
                <w:u w:val="single"/>
              </w:rPr>
            </w:pPr>
            <w:r>
              <w:rPr>
                <w:b/>
                <w:bCs/>
                <w:color w:val="auto"/>
                <w:kern w:val="0"/>
                <w:u w:val="single"/>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vMerge w:val="continue"/>
            <w:shd w:val="clear" w:color="auto" w:fill="auto"/>
            <w:vAlign w:val="center"/>
          </w:tcPr>
          <w:p>
            <w:pPr>
              <w:widowControl w:val="0"/>
              <w:adjustRightInd w:val="0"/>
              <w:snapToGrid w:val="0"/>
              <w:ind w:firstLine="420" w:firstLineChars="200"/>
              <w:jc w:val="center"/>
              <w:textAlignment w:val="baseline"/>
              <w:rPr>
                <w:color w:val="auto"/>
                <w:kern w:val="0"/>
              </w:rPr>
            </w:pPr>
          </w:p>
        </w:tc>
        <w:tc>
          <w:tcPr>
            <w:tcW w:w="1265" w:type="dxa"/>
            <w:shd w:val="clear" w:color="auto" w:fill="auto"/>
            <w:vAlign w:val="center"/>
          </w:tcPr>
          <w:p>
            <w:pPr>
              <w:jc w:val="center"/>
              <w:rPr>
                <w:b/>
                <w:bCs/>
                <w:color w:val="auto"/>
                <w:u w:val="single"/>
              </w:rPr>
            </w:pPr>
            <w:r>
              <w:rPr>
                <w:b/>
                <w:bCs/>
                <w:color w:val="auto"/>
                <w:u w:val="single"/>
              </w:rPr>
              <w:t>预测浓度</w:t>
            </w:r>
            <w:r>
              <w:rPr>
                <w:rFonts w:hint="eastAsia"/>
                <w:b/>
                <w:bCs/>
                <w:color w:val="auto"/>
                <w:u w:val="single"/>
                <w:lang w:eastAsia="zh-CN"/>
              </w:rPr>
              <w:t>(</w:t>
            </w:r>
            <w:r>
              <w:rPr>
                <w:b/>
                <w:bCs/>
                <w:color w:val="auto"/>
                <w:u w:val="single"/>
              </w:rPr>
              <w:t>mg/m</w:t>
            </w:r>
            <w:r>
              <w:rPr>
                <w:b/>
                <w:bCs/>
                <w:color w:val="auto"/>
                <w:u w:val="single"/>
                <w:vertAlign w:val="superscript"/>
              </w:rPr>
              <w:t>3</w:t>
            </w:r>
            <w:r>
              <w:rPr>
                <w:b/>
                <w:bCs/>
                <w:color w:val="auto"/>
                <w:u w:val="single"/>
              </w:rPr>
              <w:t>)</w:t>
            </w:r>
          </w:p>
        </w:tc>
        <w:tc>
          <w:tcPr>
            <w:tcW w:w="1225" w:type="dxa"/>
            <w:shd w:val="clear" w:color="auto" w:fill="auto"/>
            <w:vAlign w:val="center"/>
          </w:tcPr>
          <w:p>
            <w:pPr>
              <w:jc w:val="center"/>
              <w:rPr>
                <w:b/>
                <w:bCs/>
                <w:color w:val="auto"/>
                <w:u w:val="single"/>
              </w:rPr>
            </w:pPr>
            <w:r>
              <w:rPr>
                <w:b/>
                <w:bCs/>
                <w:color w:val="auto"/>
                <w:u w:val="single"/>
              </w:rPr>
              <w:t>占标率</w:t>
            </w:r>
            <w:r>
              <w:rPr>
                <w:rFonts w:hint="eastAsia"/>
                <w:b/>
                <w:bCs/>
                <w:color w:val="auto"/>
                <w:u w:val="single"/>
                <w:lang w:eastAsia="zh-CN"/>
              </w:rPr>
              <w:t>(</w:t>
            </w:r>
            <w:r>
              <w:rPr>
                <w:b/>
                <w:bCs/>
                <w:color w:val="auto"/>
                <w:u w:val="single"/>
              </w:rPr>
              <w:t>%)</w:t>
            </w:r>
          </w:p>
        </w:tc>
        <w:tc>
          <w:tcPr>
            <w:tcW w:w="1319" w:type="dxa"/>
            <w:shd w:val="clear" w:color="auto" w:fill="auto"/>
            <w:vAlign w:val="center"/>
          </w:tcPr>
          <w:p>
            <w:pPr>
              <w:jc w:val="center"/>
              <w:rPr>
                <w:b/>
                <w:bCs/>
                <w:color w:val="auto"/>
                <w:u w:val="single"/>
              </w:rPr>
            </w:pPr>
            <w:r>
              <w:rPr>
                <w:b/>
                <w:bCs/>
                <w:color w:val="auto"/>
                <w:u w:val="single"/>
              </w:rPr>
              <w:t>预测浓度</w:t>
            </w:r>
            <w:r>
              <w:rPr>
                <w:rFonts w:hint="eastAsia"/>
                <w:b/>
                <w:bCs/>
                <w:color w:val="auto"/>
                <w:u w:val="single"/>
                <w:lang w:eastAsia="zh-CN"/>
              </w:rPr>
              <w:t>(</w:t>
            </w:r>
            <w:r>
              <w:rPr>
                <w:b/>
                <w:bCs/>
                <w:color w:val="auto"/>
                <w:u w:val="single"/>
              </w:rPr>
              <w:t>mg/m</w:t>
            </w:r>
            <w:r>
              <w:rPr>
                <w:b/>
                <w:bCs/>
                <w:color w:val="auto"/>
                <w:u w:val="single"/>
                <w:vertAlign w:val="superscript"/>
              </w:rPr>
              <w:t>3</w:t>
            </w:r>
            <w:r>
              <w:rPr>
                <w:b/>
                <w:bCs/>
                <w:color w:val="auto"/>
                <w:u w:val="single"/>
              </w:rPr>
              <w:t>)</w:t>
            </w:r>
          </w:p>
        </w:tc>
        <w:tc>
          <w:tcPr>
            <w:tcW w:w="1252" w:type="dxa"/>
            <w:shd w:val="clear" w:color="auto" w:fill="auto"/>
            <w:vAlign w:val="center"/>
          </w:tcPr>
          <w:p>
            <w:pPr>
              <w:jc w:val="center"/>
              <w:rPr>
                <w:b/>
                <w:bCs/>
                <w:color w:val="auto"/>
                <w:u w:val="single"/>
              </w:rPr>
            </w:pPr>
            <w:r>
              <w:rPr>
                <w:b/>
                <w:bCs/>
                <w:color w:val="auto"/>
                <w:u w:val="single"/>
              </w:rPr>
              <w:t>占标率</w:t>
            </w:r>
            <w:r>
              <w:rPr>
                <w:rFonts w:hint="eastAsia"/>
                <w:b/>
                <w:bCs/>
                <w:color w:val="auto"/>
                <w:u w:val="single"/>
                <w:lang w:eastAsia="zh-CN"/>
              </w:rPr>
              <w:t>(</w:t>
            </w:r>
            <w:r>
              <w:rPr>
                <w:b/>
                <w:bCs/>
                <w:color w:val="auto"/>
                <w:u w:val="single"/>
              </w:rPr>
              <w:t>%)</w:t>
            </w:r>
          </w:p>
        </w:tc>
        <w:tc>
          <w:tcPr>
            <w:tcW w:w="1214" w:type="dxa"/>
            <w:shd w:val="clear" w:color="auto" w:fill="auto"/>
            <w:vAlign w:val="center"/>
          </w:tcPr>
          <w:p>
            <w:pPr>
              <w:jc w:val="center"/>
              <w:rPr>
                <w:b/>
                <w:bCs/>
                <w:color w:val="auto"/>
                <w:u w:val="single"/>
              </w:rPr>
            </w:pPr>
            <w:r>
              <w:rPr>
                <w:b/>
                <w:bCs/>
                <w:color w:val="auto"/>
                <w:u w:val="single"/>
              </w:rPr>
              <w:t>预测浓度</w:t>
            </w:r>
            <w:r>
              <w:rPr>
                <w:rFonts w:hint="eastAsia"/>
                <w:b/>
                <w:bCs/>
                <w:color w:val="auto"/>
                <w:u w:val="single"/>
                <w:lang w:eastAsia="zh-CN"/>
              </w:rPr>
              <w:t>(</w:t>
            </w:r>
            <w:r>
              <w:rPr>
                <w:b/>
                <w:bCs/>
                <w:color w:val="auto"/>
                <w:u w:val="single"/>
              </w:rPr>
              <w:t>mg/m</w:t>
            </w:r>
            <w:r>
              <w:rPr>
                <w:b/>
                <w:bCs/>
                <w:color w:val="auto"/>
                <w:u w:val="single"/>
                <w:vertAlign w:val="superscript"/>
              </w:rPr>
              <w:t>3</w:t>
            </w:r>
            <w:r>
              <w:rPr>
                <w:b/>
                <w:bCs/>
                <w:color w:val="auto"/>
                <w:u w:val="single"/>
              </w:rPr>
              <w:t>)</w:t>
            </w:r>
          </w:p>
        </w:tc>
        <w:tc>
          <w:tcPr>
            <w:tcW w:w="1172" w:type="dxa"/>
            <w:shd w:val="clear" w:color="auto" w:fill="auto"/>
            <w:vAlign w:val="center"/>
          </w:tcPr>
          <w:p>
            <w:pPr>
              <w:jc w:val="center"/>
              <w:rPr>
                <w:b/>
                <w:bCs/>
                <w:color w:val="auto"/>
                <w:u w:val="single"/>
              </w:rPr>
            </w:pPr>
            <w:r>
              <w:rPr>
                <w:b/>
                <w:bCs/>
                <w:color w:val="auto"/>
                <w:u w:val="single"/>
              </w:rPr>
              <w:t>占标率</w:t>
            </w:r>
            <w:r>
              <w:rPr>
                <w:rFonts w:hint="eastAsia"/>
                <w:b/>
                <w:bCs/>
                <w:color w:val="auto"/>
                <w:u w:val="single"/>
                <w:lang w:eastAsia="zh-CN"/>
              </w:rPr>
              <w:t>(</w:t>
            </w: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10</w:t>
            </w:r>
          </w:p>
        </w:tc>
        <w:tc>
          <w:tcPr>
            <w:tcW w:w="1265" w:type="dxa"/>
            <w:shd w:val="clear" w:color="auto" w:fill="auto"/>
            <w:vAlign w:val="center"/>
          </w:tcPr>
          <w:p>
            <w:pPr>
              <w:jc w:val="center"/>
              <w:rPr>
                <w:b/>
                <w:bCs/>
                <w:color w:val="auto"/>
                <w:u w:val="single"/>
              </w:rPr>
            </w:pPr>
            <w:r>
              <w:rPr>
                <w:rFonts w:hint="eastAsia"/>
                <w:b/>
                <w:bCs/>
                <w:color w:val="auto"/>
                <w:u w:val="single"/>
              </w:rPr>
              <w:t>4.44E-20</w:t>
            </w:r>
          </w:p>
        </w:tc>
        <w:tc>
          <w:tcPr>
            <w:tcW w:w="1225"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0.00</w:t>
            </w:r>
          </w:p>
        </w:tc>
        <w:tc>
          <w:tcPr>
            <w:tcW w:w="1319" w:type="dxa"/>
            <w:shd w:val="clear" w:color="auto" w:fill="auto"/>
            <w:vAlign w:val="center"/>
          </w:tcPr>
          <w:p>
            <w:pPr>
              <w:jc w:val="center"/>
              <w:rPr>
                <w:b/>
                <w:bCs/>
                <w:color w:val="auto"/>
                <w:u w:val="single"/>
              </w:rPr>
            </w:pPr>
            <w:r>
              <w:rPr>
                <w:rFonts w:hint="eastAsia"/>
                <w:b/>
                <w:bCs/>
                <w:color w:val="auto"/>
                <w:u w:val="single"/>
              </w:rPr>
              <w:t>3.18E-22</w:t>
            </w:r>
          </w:p>
        </w:tc>
        <w:tc>
          <w:tcPr>
            <w:tcW w:w="125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kern w:val="0"/>
                <w:u w:val="single"/>
              </w:rPr>
              <w:t>0.00</w:t>
            </w:r>
          </w:p>
        </w:tc>
        <w:tc>
          <w:tcPr>
            <w:tcW w:w="1214" w:type="dxa"/>
            <w:shd w:val="clear" w:color="auto" w:fill="auto"/>
            <w:vAlign w:val="center"/>
          </w:tcPr>
          <w:p>
            <w:pPr>
              <w:jc w:val="center"/>
              <w:rPr>
                <w:b/>
                <w:bCs/>
                <w:color w:val="auto"/>
                <w:u w:val="single"/>
              </w:rPr>
            </w:pPr>
            <w:r>
              <w:rPr>
                <w:rFonts w:hint="eastAsia"/>
                <w:b/>
                <w:bCs/>
                <w:color w:val="auto"/>
                <w:u w:val="single"/>
              </w:rPr>
              <w:t>0.00E+00</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kern w:val="0"/>
                <w:u w:val="single"/>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100</w:t>
            </w:r>
          </w:p>
        </w:tc>
        <w:tc>
          <w:tcPr>
            <w:tcW w:w="1265" w:type="dxa"/>
            <w:shd w:val="clear" w:color="auto" w:fill="auto"/>
            <w:vAlign w:val="center"/>
          </w:tcPr>
          <w:p>
            <w:pPr>
              <w:jc w:val="center"/>
              <w:rPr>
                <w:b/>
                <w:bCs/>
                <w:color w:val="auto"/>
                <w:u w:val="single"/>
              </w:rPr>
            </w:pPr>
            <w:r>
              <w:rPr>
                <w:rFonts w:hint="eastAsia"/>
                <w:b/>
                <w:bCs/>
                <w:color w:val="auto"/>
                <w:u w:val="single"/>
              </w:rPr>
              <w:t>2.57E-03</w:t>
            </w:r>
          </w:p>
        </w:tc>
        <w:tc>
          <w:tcPr>
            <w:tcW w:w="1225"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1.29</w:t>
            </w:r>
          </w:p>
        </w:tc>
        <w:tc>
          <w:tcPr>
            <w:tcW w:w="1319" w:type="dxa"/>
            <w:shd w:val="clear" w:color="auto" w:fill="auto"/>
            <w:vAlign w:val="center"/>
          </w:tcPr>
          <w:p>
            <w:pPr>
              <w:jc w:val="center"/>
              <w:rPr>
                <w:b/>
                <w:bCs/>
                <w:color w:val="auto"/>
                <w:u w:val="single"/>
              </w:rPr>
            </w:pPr>
            <w:r>
              <w:rPr>
                <w:rFonts w:hint="eastAsia"/>
                <w:b/>
                <w:bCs/>
                <w:color w:val="auto"/>
                <w:u w:val="single"/>
              </w:rPr>
              <w:t>1.84E-05</w:t>
            </w:r>
          </w:p>
        </w:tc>
        <w:tc>
          <w:tcPr>
            <w:tcW w:w="1252" w:type="dxa"/>
            <w:shd w:val="clear" w:color="auto" w:fill="auto"/>
            <w:vAlign w:val="center"/>
          </w:tcPr>
          <w:p>
            <w:pPr>
              <w:jc w:val="center"/>
              <w:rPr>
                <w:b/>
                <w:bCs/>
                <w:color w:val="auto"/>
                <w:u w:val="single"/>
              </w:rPr>
            </w:pPr>
            <w:r>
              <w:rPr>
                <w:rFonts w:hint="eastAsia"/>
                <w:b/>
                <w:bCs/>
                <w:color w:val="auto"/>
                <w:u w:val="single"/>
              </w:rPr>
              <w:t>0.18</w:t>
            </w:r>
          </w:p>
        </w:tc>
        <w:tc>
          <w:tcPr>
            <w:tcW w:w="1214" w:type="dxa"/>
            <w:shd w:val="clear" w:color="auto" w:fill="auto"/>
            <w:vAlign w:val="center"/>
          </w:tcPr>
          <w:p>
            <w:pPr>
              <w:jc w:val="center"/>
              <w:rPr>
                <w:b/>
                <w:bCs/>
                <w:color w:val="auto"/>
                <w:u w:val="single"/>
              </w:rPr>
            </w:pPr>
            <w:r>
              <w:rPr>
                <w:rFonts w:hint="eastAsia"/>
                <w:b/>
                <w:bCs/>
                <w:color w:val="auto"/>
                <w:u w:val="single"/>
              </w:rPr>
              <w:t>1.02E-02</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kern w:val="0"/>
                <w:u w:val="single"/>
              </w:rP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200</w:t>
            </w:r>
          </w:p>
        </w:tc>
        <w:tc>
          <w:tcPr>
            <w:tcW w:w="1265" w:type="dxa"/>
            <w:shd w:val="clear" w:color="auto" w:fill="auto"/>
            <w:vAlign w:val="center"/>
          </w:tcPr>
          <w:p>
            <w:pPr>
              <w:jc w:val="center"/>
              <w:rPr>
                <w:b/>
                <w:bCs/>
                <w:color w:val="auto"/>
                <w:u w:val="single"/>
              </w:rPr>
            </w:pPr>
            <w:r>
              <w:rPr>
                <w:rFonts w:hint="eastAsia"/>
                <w:b/>
                <w:bCs/>
                <w:color w:val="auto"/>
                <w:u w:val="single"/>
              </w:rPr>
              <w:t>3.16E-03</w:t>
            </w:r>
          </w:p>
        </w:tc>
        <w:tc>
          <w:tcPr>
            <w:tcW w:w="1225"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1.58</w:t>
            </w:r>
          </w:p>
        </w:tc>
        <w:tc>
          <w:tcPr>
            <w:tcW w:w="1319" w:type="dxa"/>
            <w:shd w:val="clear" w:color="auto" w:fill="auto"/>
            <w:vAlign w:val="center"/>
          </w:tcPr>
          <w:p>
            <w:pPr>
              <w:jc w:val="center"/>
              <w:rPr>
                <w:b/>
                <w:bCs/>
                <w:color w:val="auto"/>
                <w:u w:val="single"/>
              </w:rPr>
            </w:pPr>
            <w:r>
              <w:rPr>
                <w:rFonts w:hint="eastAsia"/>
                <w:b/>
                <w:bCs/>
                <w:color w:val="auto"/>
                <w:u w:val="single"/>
              </w:rPr>
              <w:t>2.27E-05</w:t>
            </w:r>
          </w:p>
        </w:tc>
        <w:tc>
          <w:tcPr>
            <w:tcW w:w="1252" w:type="dxa"/>
            <w:shd w:val="clear" w:color="auto" w:fill="auto"/>
            <w:vAlign w:val="center"/>
          </w:tcPr>
          <w:p>
            <w:pPr>
              <w:jc w:val="center"/>
              <w:rPr>
                <w:b/>
                <w:bCs/>
                <w:color w:val="auto"/>
                <w:u w:val="single"/>
              </w:rPr>
            </w:pPr>
            <w:r>
              <w:rPr>
                <w:rFonts w:hint="eastAsia"/>
                <w:b/>
                <w:bCs/>
                <w:color w:val="auto"/>
                <w:u w:val="single"/>
              </w:rPr>
              <w:t>0.23</w:t>
            </w:r>
          </w:p>
        </w:tc>
        <w:tc>
          <w:tcPr>
            <w:tcW w:w="1214" w:type="dxa"/>
            <w:shd w:val="clear" w:color="auto" w:fill="auto"/>
            <w:vAlign w:val="center"/>
          </w:tcPr>
          <w:p>
            <w:pPr>
              <w:jc w:val="center"/>
              <w:rPr>
                <w:b/>
                <w:bCs/>
                <w:color w:val="auto"/>
                <w:u w:val="single"/>
              </w:rPr>
            </w:pPr>
            <w:r>
              <w:rPr>
                <w:rFonts w:hint="eastAsia"/>
                <w:b/>
                <w:bCs/>
                <w:color w:val="auto"/>
                <w:u w:val="single"/>
              </w:rPr>
              <w:t>1.19E-02</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kern w:val="0"/>
                <w:u w:val="single"/>
              </w:rPr>
              <w:t>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300</w:t>
            </w:r>
          </w:p>
        </w:tc>
        <w:tc>
          <w:tcPr>
            <w:tcW w:w="1265" w:type="dxa"/>
            <w:shd w:val="clear" w:color="auto" w:fill="auto"/>
            <w:vAlign w:val="center"/>
          </w:tcPr>
          <w:p>
            <w:pPr>
              <w:jc w:val="center"/>
              <w:rPr>
                <w:b/>
                <w:bCs/>
                <w:color w:val="auto"/>
                <w:u w:val="single"/>
              </w:rPr>
            </w:pPr>
            <w:r>
              <w:rPr>
                <w:rFonts w:hint="eastAsia"/>
                <w:b/>
                <w:bCs/>
                <w:color w:val="auto"/>
                <w:u w:val="single"/>
              </w:rPr>
              <w:t>3.34E-03</w:t>
            </w:r>
          </w:p>
        </w:tc>
        <w:tc>
          <w:tcPr>
            <w:tcW w:w="1225" w:type="dxa"/>
            <w:shd w:val="clear" w:color="auto" w:fill="auto"/>
            <w:vAlign w:val="center"/>
          </w:tcPr>
          <w:p>
            <w:pPr>
              <w:jc w:val="center"/>
              <w:rPr>
                <w:b/>
                <w:bCs/>
                <w:color w:val="auto"/>
                <w:u w:val="single"/>
              </w:rPr>
            </w:pPr>
            <w:r>
              <w:rPr>
                <w:rFonts w:hint="eastAsia"/>
                <w:b/>
                <w:bCs/>
                <w:color w:val="auto"/>
                <w:u w:val="single"/>
              </w:rPr>
              <w:t>1.67</w:t>
            </w:r>
          </w:p>
        </w:tc>
        <w:tc>
          <w:tcPr>
            <w:tcW w:w="1319" w:type="dxa"/>
            <w:shd w:val="clear" w:color="auto" w:fill="auto"/>
            <w:vAlign w:val="center"/>
          </w:tcPr>
          <w:p>
            <w:pPr>
              <w:jc w:val="center"/>
              <w:rPr>
                <w:b/>
                <w:bCs/>
                <w:color w:val="auto"/>
                <w:u w:val="single"/>
              </w:rPr>
            </w:pPr>
            <w:r>
              <w:rPr>
                <w:rFonts w:hint="eastAsia"/>
                <w:b/>
                <w:bCs/>
                <w:color w:val="auto"/>
                <w:u w:val="single"/>
              </w:rPr>
              <w:t>2.40E-05</w:t>
            </w:r>
          </w:p>
        </w:tc>
        <w:tc>
          <w:tcPr>
            <w:tcW w:w="1252" w:type="dxa"/>
            <w:shd w:val="clear" w:color="auto" w:fill="auto"/>
            <w:vAlign w:val="center"/>
          </w:tcPr>
          <w:p>
            <w:pPr>
              <w:jc w:val="center"/>
              <w:rPr>
                <w:b/>
                <w:bCs/>
                <w:color w:val="auto"/>
                <w:u w:val="single"/>
              </w:rPr>
            </w:pPr>
            <w:r>
              <w:rPr>
                <w:rFonts w:hint="eastAsia"/>
                <w:b/>
                <w:bCs/>
                <w:color w:val="auto"/>
                <w:u w:val="single"/>
              </w:rPr>
              <w:t>0.24</w:t>
            </w:r>
          </w:p>
        </w:tc>
        <w:tc>
          <w:tcPr>
            <w:tcW w:w="1214" w:type="dxa"/>
            <w:shd w:val="clear" w:color="auto" w:fill="auto"/>
            <w:vAlign w:val="center"/>
          </w:tcPr>
          <w:p>
            <w:pPr>
              <w:jc w:val="center"/>
              <w:rPr>
                <w:b/>
                <w:bCs/>
                <w:color w:val="auto"/>
                <w:u w:val="single"/>
              </w:rPr>
            </w:pPr>
            <w:r>
              <w:rPr>
                <w:rFonts w:hint="eastAsia"/>
                <w:b/>
                <w:bCs/>
                <w:color w:val="auto"/>
                <w:u w:val="single"/>
              </w:rPr>
              <w:t>1.25E-02</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400</w:t>
            </w:r>
          </w:p>
        </w:tc>
        <w:tc>
          <w:tcPr>
            <w:tcW w:w="1265" w:type="dxa"/>
            <w:shd w:val="clear" w:color="auto" w:fill="auto"/>
            <w:vAlign w:val="center"/>
          </w:tcPr>
          <w:p>
            <w:pPr>
              <w:jc w:val="center"/>
              <w:rPr>
                <w:b/>
                <w:bCs/>
                <w:color w:val="auto"/>
                <w:u w:val="single"/>
              </w:rPr>
            </w:pPr>
            <w:r>
              <w:rPr>
                <w:rFonts w:hint="eastAsia"/>
                <w:b/>
                <w:bCs/>
                <w:color w:val="auto"/>
                <w:u w:val="single"/>
              </w:rPr>
              <w:t>2.90E-03</w:t>
            </w:r>
          </w:p>
        </w:tc>
        <w:tc>
          <w:tcPr>
            <w:tcW w:w="1225" w:type="dxa"/>
            <w:shd w:val="clear" w:color="auto" w:fill="auto"/>
            <w:vAlign w:val="center"/>
          </w:tcPr>
          <w:p>
            <w:pPr>
              <w:jc w:val="center"/>
              <w:rPr>
                <w:b/>
                <w:bCs/>
                <w:color w:val="auto"/>
                <w:u w:val="single"/>
              </w:rPr>
            </w:pPr>
            <w:r>
              <w:rPr>
                <w:rFonts w:hint="eastAsia"/>
                <w:b/>
                <w:bCs/>
                <w:color w:val="auto"/>
                <w:u w:val="single"/>
              </w:rPr>
              <w:t>1.45</w:t>
            </w:r>
          </w:p>
        </w:tc>
        <w:tc>
          <w:tcPr>
            <w:tcW w:w="1319" w:type="dxa"/>
            <w:shd w:val="clear" w:color="auto" w:fill="auto"/>
            <w:vAlign w:val="center"/>
          </w:tcPr>
          <w:p>
            <w:pPr>
              <w:jc w:val="center"/>
              <w:rPr>
                <w:b/>
                <w:bCs/>
                <w:color w:val="auto"/>
                <w:u w:val="single"/>
              </w:rPr>
            </w:pPr>
            <w:r>
              <w:rPr>
                <w:rFonts w:hint="eastAsia"/>
                <w:b/>
                <w:bCs/>
                <w:color w:val="auto"/>
                <w:u w:val="single"/>
              </w:rPr>
              <w:t>2.08E-05</w:t>
            </w:r>
          </w:p>
        </w:tc>
        <w:tc>
          <w:tcPr>
            <w:tcW w:w="1252" w:type="dxa"/>
            <w:shd w:val="clear" w:color="auto" w:fill="auto"/>
            <w:vAlign w:val="center"/>
          </w:tcPr>
          <w:p>
            <w:pPr>
              <w:jc w:val="center"/>
              <w:rPr>
                <w:b/>
                <w:bCs/>
                <w:color w:val="auto"/>
                <w:u w:val="single"/>
              </w:rPr>
            </w:pPr>
            <w:r>
              <w:rPr>
                <w:rFonts w:hint="eastAsia"/>
                <w:b/>
                <w:bCs/>
                <w:color w:val="auto"/>
                <w:u w:val="single"/>
              </w:rPr>
              <w:t>0.21</w:t>
            </w:r>
          </w:p>
        </w:tc>
        <w:tc>
          <w:tcPr>
            <w:tcW w:w="1214" w:type="dxa"/>
            <w:shd w:val="clear" w:color="auto" w:fill="auto"/>
            <w:vAlign w:val="center"/>
          </w:tcPr>
          <w:p>
            <w:pPr>
              <w:jc w:val="center"/>
              <w:rPr>
                <w:b/>
                <w:bCs/>
                <w:color w:val="auto"/>
                <w:u w:val="single"/>
              </w:rPr>
            </w:pPr>
            <w:r>
              <w:rPr>
                <w:rFonts w:hint="eastAsia"/>
                <w:b/>
                <w:bCs/>
                <w:color w:val="auto"/>
                <w:u w:val="single"/>
              </w:rPr>
              <w:t>1.10E-02</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500</w:t>
            </w:r>
          </w:p>
        </w:tc>
        <w:tc>
          <w:tcPr>
            <w:tcW w:w="1265" w:type="dxa"/>
            <w:shd w:val="clear" w:color="auto" w:fill="auto"/>
            <w:vAlign w:val="center"/>
          </w:tcPr>
          <w:p>
            <w:pPr>
              <w:jc w:val="center"/>
              <w:rPr>
                <w:b/>
                <w:bCs/>
                <w:color w:val="auto"/>
                <w:u w:val="single"/>
              </w:rPr>
            </w:pPr>
            <w:r>
              <w:rPr>
                <w:rFonts w:hint="eastAsia"/>
                <w:b/>
                <w:bCs/>
                <w:color w:val="auto"/>
                <w:u w:val="single"/>
              </w:rPr>
              <w:t>2.85E-03</w:t>
            </w:r>
          </w:p>
        </w:tc>
        <w:tc>
          <w:tcPr>
            <w:tcW w:w="1225" w:type="dxa"/>
            <w:shd w:val="clear" w:color="auto" w:fill="auto"/>
            <w:vAlign w:val="center"/>
          </w:tcPr>
          <w:p>
            <w:pPr>
              <w:jc w:val="center"/>
              <w:rPr>
                <w:b/>
                <w:bCs/>
                <w:color w:val="auto"/>
                <w:u w:val="single"/>
              </w:rPr>
            </w:pPr>
            <w:r>
              <w:rPr>
                <w:rFonts w:hint="eastAsia"/>
                <w:b/>
                <w:bCs/>
                <w:color w:val="auto"/>
                <w:u w:val="single"/>
              </w:rPr>
              <w:t>1.42</w:t>
            </w:r>
          </w:p>
        </w:tc>
        <w:tc>
          <w:tcPr>
            <w:tcW w:w="1319" w:type="dxa"/>
            <w:shd w:val="clear" w:color="auto" w:fill="auto"/>
            <w:vAlign w:val="center"/>
          </w:tcPr>
          <w:p>
            <w:pPr>
              <w:jc w:val="center"/>
              <w:rPr>
                <w:b/>
                <w:bCs/>
                <w:color w:val="auto"/>
                <w:u w:val="single"/>
              </w:rPr>
            </w:pPr>
            <w:r>
              <w:rPr>
                <w:rFonts w:hint="eastAsia"/>
                <w:b/>
                <w:bCs/>
                <w:color w:val="auto"/>
                <w:u w:val="single"/>
              </w:rPr>
              <w:t>2.04E-05</w:t>
            </w:r>
          </w:p>
        </w:tc>
        <w:tc>
          <w:tcPr>
            <w:tcW w:w="1252" w:type="dxa"/>
            <w:shd w:val="clear" w:color="auto" w:fill="auto"/>
            <w:vAlign w:val="center"/>
          </w:tcPr>
          <w:p>
            <w:pPr>
              <w:jc w:val="center"/>
              <w:rPr>
                <w:b/>
                <w:bCs/>
                <w:color w:val="auto"/>
                <w:u w:val="single"/>
              </w:rPr>
            </w:pPr>
            <w:r>
              <w:rPr>
                <w:rFonts w:hint="eastAsia"/>
                <w:b/>
                <w:bCs/>
                <w:color w:val="auto"/>
                <w:u w:val="single"/>
              </w:rPr>
              <w:t>0.20</w:t>
            </w:r>
          </w:p>
        </w:tc>
        <w:tc>
          <w:tcPr>
            <w:tcW w:w="1214" w:type="dxa"/>
            <w:shd w:val="clear" w:color="auto" w:fill="auto"/>
            <w:vAlign w:val="center"/>
          </w:tcPr>
          <w:p>
            <w:pPr>
              <w:jc w:val="center"/>
              <w:rPr>
                <w:b/>
                <w:bCs/>
                <w:color w:val="auto"/>
                <w:u w:val="single"/>
              </w:rPr>
            </w:pPr>
            <w:r>
              <w:rPr>
                <w:rFonts w:hint="eastAsia"/>
                <w:b/>
                <w:bCs/>
                <w:color w:val="auto"/>
                <w:u w:val="single"/>
              </w:rPr>
              <w:t>1.10E-02</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600</w:t>
            </w:r>
          </w:p>
        </w:tc>
        <w:tc>
          <w:tcPr>
            <w:tcW w:w="1265" w:type="dxa"/>
            <w:shd w:val="clear" w:color="auto" w:fill="auto"/>
            <w:vAlign w:val="center"/>
          </w:tcPr>
          <w:p>
            <w:pPr>
              <w:jc w:val="center"/>
              <w:rPr>
                <w:b/>
                <w:bCs/>
                <w:color w:val="auto"/>
                <w:u w:val="single"/>
              </w:rPr>
            </w:pPr>
            <w:r>
              <w:rPr>
                <w:rFonts w:hint="eastAsia"/>
                <w:b/>
                <w:bCs/>
                <w:color w:val="auto"/>
                <w:u w:val="single"/>
              </w:rPr>
              <w:t>2.77E-03</w:t>
            </w:r>
          </w:p>
        </w:tc>
        <w:tc>
          <w:tcPr>
            <w:tcW w:w="1225" w:type="dxa"/>
            <w:shd w:val="clear" w:color="auto" w:fill="auto"/>
            <w:vAlign w:val="center"/>
          </w:tcPr>
          <w:p>
            <w:pPr>
              <w:jc w:val="center"/>
              <w:rPr>
                <w:b/>
                <w:bCs/>
                <w:color w:val="auto"/>
                <w:u w:val="single"/>
              </w:rPr>
            </w:pPr>
            <w:r>
              <w:rPr>
                <w:rFonts w:hint="eastAsia"/>
                <w:b/>
                <w:bCs/>
                <w:color w:val="auto"/>
                <w:u w:val="single"/>
              </w:rPr>
              <w:t>1.38</w:t>
            </w:r>
          </w:p>
        </w:tc>
        <w:tc>
          <w:tcPr>
            <w:tcW w:w="1319" w:type="dxa"/>
            <w:shd w:val="clear" w:color="auto" w:fill="auto"/>
            <w:vAlign w:val="center"/>
          </w:tcPr>
          <w:p>
            <w:pPr>
              <w:jc w:val="center"/>
              <w:rPr>
                <w:b/>
                <w:bCs/>
                <w:color w:val="auto"/>
                <w:u w:val="single"/>
              </w:rPr>
            </w:pPr>
            <w:r>
              <w:rPr>
                <w:rFonts w:hint="eastAsia"/>
                <w:b/>
                <w:bCs/>
                <w:color w:val="auto"/>
                <w:u w:val="single"/>
              </w:rPr>
              <w:t>1.98E-05</w:t>
            </w:r>
          </w:p>
        </w:tc>
        <w:tc>
          <w:tcPr>
            <w:tcW w:w="1252" w:type="dxa"/>
            <w:shd w:val="clear" w:color="auto" w:fill="auto"/>
            <w:vAlign w:val="center"/>
          </w:tcPr>
          <w:p>
            <w:pPr>
              <w:jc w:val="center"/>
              <w:rPr>
                <w:b/>
                <w:bCs/>
                <w:color w:val="auto"/>
                <w:u w:val="single"/>
              </w:rPr>
            </w:pPr>
            <w:r>
              <w:rPr>
                <w:rFonts w:hint="eastAsia"/>
                <w:b/>
                <w:bCs/>
                <w:color w:val="auto"/>
                <w:u w:val="single"/>
              </w:rPr>
              <w:t>0.20</w:t>
            </w:r>
          </w:p>
        </w:tc>
        <w:tc>
          <w:tcPr>
            <w:tcW w:w="1214" w:type="dxa"/>
            <w:shd w:val="clear" w:color="auto" w:fill="auto"/>
            <w:vAlign w:val="center"/>
          </w:tcPr>
          <w:p>
            <w:pPr>
              <w:jc w:val="center"/>
              <w:rPr>
                <w:b/>
                <w:bCs/>
                <w:color w:val="auto"/>
                <w:u w:val="single"/>
              </w:rPr>
            </w:pPr>
            <w:r>
              <w:rPr>
                <w:rFonts w:hint="eastAsia"/>
                <w:b/>
                <w:bCs/>
                <w:color w:val="auto"/>
                <w:u w:val="single"/>
              </w:rPr>
              <w:t>1.02E-02</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2.26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700</w:t>
            </w:r>
          </w:p>
        </w:tc>
        <w:tc>
          <w:tcPr>
            <w:tcW w:w="1265" w:type="dxa"/>
            <w:shd w:val="clear" w:color="auto" w:fill="auto"/>
            <w:vAlign w:val="center"/>
          </w:tcPr>
          <w:p>
            <w:pPr>
              <w:jc w:val="center"/>
              <w:rPr>
                <w:b/>
                <w:bCs/>
                <w:color w:val="auto"/>
                <w:u w:val="single"/>
              </w:rPr>
            </w:pPr>
            <w:r>
              <w:rPr>
                <w:rFonts w:hint="eastAsia"/>
                <w:b/>
                <w:bCs/>
                <w:color w:val="auto"/>
                <w:u w:val="single"/>
              </w:rPr>
              <w:t>2.55E-03</w:t>
            </w:r>
          </w:p>
        </w:tc>
        <w:tc>
          <w:tcPr>
            <w:tcW w:w="1225" w:type="dxa"/>
            <w:shd w:val="clear" w:color="auto" w:fill="auto"/>
            <w:vAlign w:val="center"/>
          </w:tcPr>
          <w:p>
            <w:pPr>
              <w:jc w:val="center"/>
              <w:rPr>
                <w:b/>
                <w:bCs/>
                <w:color w:val="auto"/>
                <w:u w:val="single"/>
              </w:rPr>
            </w:pPr>
            <w:r>
              <w:rPr>
                <w:rFonts w:hint="eastAsia"/>
                <w:b/>
                <w:bCs/>
                <w:color w:val="auto"/>
                <w:u w:val="single"/>
              </w:rPr>
              <w:t>1.28</w:t>
            </w:r>
          </w:p>
        </w:tc>
        <w:tc>
          <w:tcPr>
            <w:tcW w:w="1319" w:type="dxa"/>
            <w:shd w:val="clear" w:color="auto" w:fill="auto"/>
            <w:vAlign w:val="center"/>
          </w:tcPr>
          <w:p>
            <w:pPr>
              <w:jc w:val="center"/>
              <w:rPr>
                <w:b/>
                <w:bCs/>
                <w:color w:val="auto"/>
                <w:u w:val="single"/>
              </w:rPr>
            </w:pPr>
            <w:r>
              <w:rPr>
                <w:rFonts w:hint="eastAsia"/>
                <w:b/>
                <w:bCs/>
                <w:color w:val="auto"/>
                <w:u w:val="single"/>
              </w:rPr>
              <w:t>1.83E-05</w:t>
            </w:r>
          </w:p>
        </w:tc>
        <w:tc>
          <w:tcPr>
            <w:tcW w:w="1252" w:type="dxa"/>
            <w:shd w:val="clear" w:color="auto" w:fill="auto"/>
            <w:vAlign w:val="center"/>
          </w:tcPr>
          <w:p>
            <w:pPr>
              <w:jc w:val="center"/>
              <w:rPr>
                <w:b/>
                <w:bCs/>
                <w:color w:val="auto"/>
                <w:u w:val="single"/>
              </w:rPr>
            </w:pPr>
            <w:r>
              <w:rPr>
                <w:rFonts w:hint="eastAsia"/>
                <w:b/>
                <w:bCs/>
                <w:color w:val="auto"/>
                <w:u w:val="single"/>
              </w:rPr>
              <w:t>0.18</w:t>
            </w:r>
          </w:p>
        </w:tc>
        <w:tc>
          <w:tcPr>
            <w:tcW w:w="1214" w:type="dxa"/>
            <w:shd w:val="clear" w:color="auto" w:fill="auto"/>
            <w:vAlign w:val="center"/>
          </w:tcPr>
          <w:p>
            <w:pPr>
              <w:jc w:val="center"/>
              <w:rPr>
                <w:b/>
                <w:bCs/>
                <w:color w:val="auto"/>
                <w:u w:val="single"/>
              </w:rPr>
            </w:pPr>
            <w:r>
              <w:rPr>
                <w:rFonts w:hint="eastAsia"/>
                <w:b/>
                <w:bCs/>
                <w:color w:val="auto"/>
                <w:u w:val="single"/>
              </w:rPr>
              <w:t>9.06E-03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800</w:t>
            </w:r>
          </w:p>
        </w:tc>
        <w:tc>
          <w:tcPr>
            <w:tcW w:w="1265" w:type="dxa"/>
            <w:shd w:val="clear" w:color="auto" w:fill="auto"/>
            <w:vAlign w:val="center"/>
          </w:tcPr>
          <w:p>
            <w:pPr>
              <w:jc w:val="center"/>
              <w:rPr>
                <w:b/>
                <w:bCs/>
                <w:color w:val="auto"/>
                <w:u w:val="single"/>
              </w:rPr>
            </w:pPr>
            <w:r>
              <w:rPr>
                <w:rFonts w:hint="eastAsia"/>
                <w:b/>
                <w:bCs/>
                <w:color w:val="auto"/>
                <w:u w:val="single"/>
              </w:rPr>
              <w:t>2.31E-03</w:t>
            </w:r>
          </w:p>
        </w:tc>
        <w:tc>
          <w:tcPr>
            <w:tcW w:w="1225" w:type="dxa"/>
            <w:shd w:val="clear" w:color="auto" w:fill="auto"/>
            <w:vAlign w:val="center"/>
          </w:tcPr>
          <w:p>
            <w:pPr>
              <w:jc w:val="center"/>
              <w:rPr>
                <w:b/>
                <w:bCs/>
                <w:color w:val="auto"/>
                <w:u w:val="single"/>
              </w:rPr>
            </w:pPr>
            <w:r>
              <w:rPr>
                <w:rFonts w:hint="eastAsia"/>
                <w:b/>
                <w:bCs/>
                <w:color w:val="auto"/>
                <w:u w:val="single"/>
              </w:rPr>
              <w:t>1.15</w:t>
            </w:r>
          </w:p>
        </w:tc>
        <w:tc>
          <w:tcPr>
            <w:tcW w:w="1319" w:type="dxa"/>
            <w:shd w:val="clear" w:color="auto" w:fill="auto"/>
            <w:vAlign w:val="center"/>
          </w:tcPr>
          <w:p>
            <w:pPr>
              <w:jc w:val="center"/>
              <w:rPr>
                <w:b/>
                <w:bCs/>
                <w:color w:val="auto"/>
                <w:u w:val="single"/>
              </w:rPr>
            </w:pPr>
            <w:r>
              <w:rPr>
                <w:rFonts w:hint="eastAsia"/>
                <w:b/>
                <w:bCs/>
                <w:color w:val="auto"/>
                <w:u w:val="single"/>
              </w:rPr>
              <w:t>1.66E-05</w:t>
            </w:r>
          </w:p>
        </w:tc>
        <w:tc>
          <w:tcPr>
            <w:tcW w:w="1252" w:type="dxa"/>
            <w:shd w:val="clear" w:color="auto" w:fill="auto"/>
            <w:vAlign w:val="center"/>
          </w:tcPr>
          <w:p>
            <w:pPr>
              <w:jc w:val="center"/>
              <w:rPr>
                <w:b/>
                <w:bCs/>
                <w:color w:val="auto"/>
                <w:u w:val="single"/>
              </w:rPr>
            </w:pPr>
            <w:r>
              <w:rPr>
                <w:rFonts w:hint="eastAsia"/>
                <w:b/>
                <w:bCs/>
                <w:color w:val="auto"/>
                <w:u w:val="single"/>
              </w:rPr>
              <w:t>0.17</w:t>
            </w:r>
          </w:p>
        </w:tc>
        <w:tc>
          <w:tcPr>
            <w:tcW w:w="1214" w:type="dxa"/>
            <w:shd w:val="clear" w:color="auto" w:fill="auto"/>
            <w:vAlign w:val="center"/>
          </w:tcPr>
          <w:p>
            <w:pPr>
              <w:jc w:val="center"/>
              <w:rPr>
                <w:b/>
                <w:bCs/>
                <w:color w:val="auto"/>
                <w:u w:val="single"/>
              </w:rPr>
            </w:pPr>
            <w:r>
              <w:rPr>
                <w:rFonts w:hint="eastAsia"/>
                <w:b/>
                <w:bCs/>
                <w:color w:val="auto"/>
                <w:u w:val="single"/>
              </w:rPr>
              <w:t>7.99E-03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900</w:t>
            </w:r>
          </w:p>
        </w:tc>
        <w:tc>
          <w:tcPr>
            <w:tcW w:w="1265" w:type="dxa"/>
            <w:shd w:val="clear" w:color="auto" w:fill="auto"/>
            <w:vAlign w:val="center"/>
          </w:tcPr>
          <w:p>
            <w:pPr>
              <w:jc w:val="center"/>
              <w:rPr>
                <w:b/>
                <w:bCs/>
                <w:color w:val="auto"/>
                <w:u w:val="single"/>
              </w:rPr>
            </w:pPr>
            <w:r>
              <w:rPr>
                <w:rFonts w:hint="eastAsia"/>
                <w:b/>
                <w:bCs/>
                <w:color w:val="auto"/>
                <w:u w:val="single"/>
              </w:rPr>
              <w:t>2.26E-03</w:t>
            </w:r>
          </w:p>
        </w:tc>
        <w:tc>
          <w:tcPr>
            <w:tcW w:w="1225" w:type="dxa"/>
            <w:shd w:val="clear" w:color="auto" w:fill="auto"/>
            <w:vAlign w:val="center"/>
          </w:tcPr>
          <w:p>
            <w:pPr>
              <w:jc w:val="center"/>
              <w:rPr>
                <w:b/>
                <w:bCs/>
                <w:color w:val="auto"/>
                <w:u w:val="single"/>
              </w:rPr>
            </w:pPr>
            <w:r>
              <w:rPr>
                <w:rFonts w:hint="eastAsia"/>
                <w:b/>
                <w:bCs/>
                <w:color w:val="auto"/>
                <w:u w:val="single"/>
              </w:rPr>
              <w:t>1.13</w:t>
            </w:r>
          </w:p>
        </w:tc>
        <w:tc>
          <w:tcPr>
            <w:tcW w:w="1319" w:type="dxa"/>
            <w:shd w:val="clear" w:color="auto" w:fill="auto"/>
            <w:vAlign w:val="center"/>
          </w:tcPr>
          <w:p>
            <w:pPr>
              <w:jc w:val="center"/>
              <w:rPr>
                <w:b/>
                <w:bCs/>
                <w:color w:val="auto"/>
                <w:u w:val="single"/>
              </w:rPr>
            </w:pPr>
            <w:r>
              <w:rPr>
                <w:rFonts w:hint="eastAsia"/>
                <w:b/>
                <w:bCs/>
                <w:color w:val="auto"/>
                <w:u w:val="single"/>
              </w:rPr>
              <w:t>1.62E-05</w:t>
            </w:r>
          </w:p>
        </w:tc>
        <w:tc>
          <w:tcPr>
            <w:tcW w:w="1252" w:type="dxa"/>
            <w:shd w:val="clear" w:color="auto" w:fill="auto"/>
            <w:vAlign w:val="center"/>
          </w:tcPr>
          <w:p>
            <w:pPr>
              <w:jc w:val="center"/>
              <w:rPr>
                <w:b/>
                <w:bCs/>
                <w:color w:val="auto"/>
                <w:u w:val="single"/>
              </w:rPr>
            </w:pPr>
            <w:r>
              <w:rPr>
                <w:rFonts w:hint="eastAsia"/>
                <w:b/>
                <w:bCs/>
                <w:color w:val="auto"/>
                <w:u w:val="single"/>
              </w:rPr>
              <w:t>0.16</w:t>
            </w:r>
          </w:p>
        </w:tc>
        <w:tc>
          <w:tcPr>
            <w:tcW w:w="1214" w:type="dxa"/>
            <w:shd w:val="clear" w:color="auto" w:fill="auto"/>
            <w:vAlign w:val="center"/>
          </w:tcPr>
          <w:p>
            <w:pPr>
              <w:jc w:val="center"/>
              <w:rPr>
                <w:b/>
                <w:bCs/>
                <w:color w:val="auto"/>
                <w:u w:val="single"/>
              </w:rPr>
            </w:pPr>
            <w:r>
              <w:rPr>
                <w:rFonts w:hint="eastAsia"/>
                <w:b/>
                <w:bCs/>
                <w:color w:val="auto"/>
                <w:u w:val="single"/>
              </w:rPr>
              <w:t>7.52E-03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1000</w:t>
            </w:r>
          </w:p>
        </w:tc>
        <w:tc>
          <w:tcPr>
            <w:tcW w:w="1265" w:type="dxa"/>
            <w:shd w:val="clear" w:color="auto" w:fill="auto"/>
            <w:vAlign w:val="center"/>
          </w:tcPr>
          <w:p>
            <w:pPr>
              <w:jc w:val="center"/>
              <w:rPr>
                <w:b/>
                <w:bCs/>
                <w:color w:val="auto"/>
                <w:u w:val="single"/>
              </w:rPr>
            </w:pPr>
            <w:r>
              <w:rPr>
                <w:rFonts w:hint="eastAsia"/>
                <w:b/>
                <w:bCs/>
                <w:color w:val="auto"/>
                <w:u w:val="single"/>
              </w:rPr>
              <w:t>2.18E-03</w:t>
            </w:r>
          </w:p>
        </w:tc>
        <w:tc>
          <w:tcPr>
            <w:tcW w:w="1225" w:type="dxa"/>
            <w:shd w:val="clear" w:color="auto" w:fill="auto"/>
            <w:vAlign w:val="center"/>
          </w:tcPr>
          <w:p>
            <w:pPr>
              <w:jc w:val="center"/>
              <w:rPr>
                <w:b/>
                <w:bCs/>
                <w:color w:val="auto"/>
                <w:u w:val="single"/>
              </w:rPr>
            </w:pPr>
            <w:r>
              <w:rPr>
                <w:rFonts w:hint="eastAsia"/>
                <w:b/>
                <w:bCs/>
                <w:color w:val="auto"/>
                <w:u w:val="single"/>
              </w:rPr>
              <w:t>1.09</w:t>
            </w:r>
          </w:p>
        </w:tc>
        <w:tc>
          <w:tcPr>
            <w:tcW w:w="1319" w:type="dxa"/>
            <w:shd w:val="clear" w:color="auto" w:fill="auto"/>
            <w:vAlign w:val="center"/>
          </w:tcPr>
          <w:p>
            <w:pPr>
              <w:jc w:val="center"/>
              <w:rPr>
                <w:b/>
                <w:bCs/>
                <w:color w:val="auto"/>
                <w:u w:val="single"/>
              </w:rPr>
            </w:pPr>
            <w:r>
              <w:rPr>
                <w:rFonts w:hint="eastAsia"/>
                <w:b/>
                <w:bCs/>
                <w:color w:val="auto"/>
                <w:u w:val="single"/>
              </w:rPr>
              <w:t>1.56E-05</w:t>
            </w:r>
          </w:p>
        </w:tc>
        <w:tc>
          <w:tcPr>
            <w:tcW w:w="1252" w:type="dxa"/>
            <w:shd w:val="clear" w:color="auto" w:fill="auto"/>
            <w:vAlign w:val="center"/>
          </w:tcPr>
          <w:p>
            <w:pPr>
              <w:jc w:val="center"/>
              <w:rPr>
                <w:b/>
                <w:bCs/>
                <w:color w:val="auto"/>
                <w:u w:val="single"/>
              </w:rPr>
            </w:pPr>
            <w:r>
              <w:rPr>
                <w:rFonts w:hint="eastAsia"/>
                <w:b/>
                <w:bCs/>
                <w:color w:val="auto"/>
                <w:u w:val="single"/>
              </w:rPr>
              <w:t>0.16</w:t>
            </w:r>
          </w:p>
        </w:tc>
        <w:tc>
          <w:tcPr>
            <w:tcW w:w="1214" w:type="dxa"/>
            <w:shd w:val="clear" w:color="auto" w:fill="auto"/>
            <w:vAlign w:val="center"/>
          </w:tcPr>
          <w:p>
            <w:pPr>
              <w:jc w:val="center"/>
              <w:rPr>
                <w:b/>
                <w:bCs/>
                <w:color w:val="auto"/>
                <w:u w:val="single"/>
              </w:rPr>
            </w:pPr>
            <w:r>
              <w:rPr>
                <w:rFonts w:hint="eastAsia"/>
                <w:b/>
                <w:bCs/>
                <w:color w:val="auto"/>
                <w:u w:val="single"/>
              </w:rPr>
              <w:t>7.29E-03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1100</w:t>
            </w:r>
          </w:p>
        </w:tc>
        <w:tc>
          <w:tcPr>
            <w:tcW w:w="1265" w:type="dxa"/>
            <w:shd w:val="clear" w:color="auto" w:fill="auto"/>
            <w:vAlign w:val="center"/>
          </w:tcPr>
          <w:p>
            <w:pPr>
              <w:jc w:val="center"/>
              <w:rPr>
                <w:b/>
                <w:bCs/>
                <w:color w:val="auto"/>
                <w:u w:val="single"/>
              </w:rPr>
            </w:pPr>
            <w:r>
              <w:rPr>
                <w:rFonts w:hint="eastAsia"/>
                <w:b/>
                <w:bCs/>
                <w:color w:val="auto"/>
                <w:u w:val="single"/>
              </w:rPr>
              <w:t>2.19E-03</w:t>
            </w:r>
          </w:p>
        </w:tc>
        <w:tc>
          <w:tcPr>
            <w:tcW w:w="1225" w:type="dxa"/>
            <w:shd w:val="clear" w:color="auto" w:fill="auto"/>
            <w:vAlign w:val="center"/>
          </w:tcPr>
          <w:p>
            <w:pPr>
              <w:jc w:val="center"/>
              <w:rPr>
                <w:b/>
                <w:bCs/>
                <w:color w:val="auto"/>
                <w:u w:val="single"/>
              </w:rPr>
            </w:pPr>
            <w:r>
              <w:rPr>
                <w:rFonts w:hint="eastAsia"/>
                <w:b/>
                <w:bCs/>
                <w:color w:val="auto"/>
                <w:u w:val="single"/>
              </w:rPr>
              <w:t>1.09</w:t>
            </w:r>
          </w:p>
        </w:tc>
        <w:tc>
          <w:tcPr>
            <w:tcW w:w="1319" w:type="dxa"/>
            <w:shd w:val="clear" w:color="auto" w:fill="auto"/>
            <w:vAlign w:val="center"/>
          </w:tcPr>
          <w:p>
            <w:pPr>
              <w:jc w:val="center"/>
              <w:rPr>
                <w:b/>
                <w:bCs/>
                <w:color w:val="auto"/>
                <w:u w:val="single"/>
              </w:rPr>
            </w:pPr>
            <w:r>
              <w:rPr>
                <w:rFonts w:hint="eastAsia"/>
                <w:b/>
                <w:bCs/>
                <w:color w:val="auto"/>
                <w:u w:val="single"/>
              </w:rPr>
              <w:t>1.57E-05</w:t>
            </w:r>
          </w:p>
        </w:tc>
        <w:tc>
          <w:tcPr>
            <w:tcW w:w="1252" w:type="dxa"/>
            <w:shd w:val="clear" w:color="auto" w:fill="auto"/>
            <w:vAlign w:val="center"/>
          </w:tcPr>
          <w:p>
            <w:pPr>
              <w:jc w:val="center"/>
              <w:rPr>
                <w:b/>
                <w:bCs/>
                <w:color w:val="auto"/>
                <w:u w:val="single"/>
              </w:rPr>
            </w:pPr>
            <w:r>
              <w:rPr>
                <w:rFonts w:hint="eastAsia"/>
                <w:b/>
                <w:bCs/>
                <w:color w:val="auto"/>
                <w:u w:val="single"/>
              </w:rPr>
              <w:t>0.16</w:t>
            </w:r>
          </w:p>
        </w:tc>
        <w:tc>
          <w:tcPr>
            <w:tcW w:w="1214" w:type="dxa"/>
            <w:shd w:val="clear" w:color="auto" w:fill="auto"/>
            <w:vAlign w:val="center"/>
          </w:tcPr>
          <w:p>
            <w:pPr>
              <w:jc w:val="center"/>
              <w:rPr>
                <w:b/>
                <w:bCs/>
                <w:color w:val="auto"/>
                <w:u w:val="single"/>
              </w:rPr>
            </w:pPr>
            <w:r>
              <w:rPr>
                <w:rFonts w:hint="eastAsia"/>
                <w:b/>
                <w:bCs/>
                <w:color w:val="auto"/>
                <w:u w:val="single"/>
              </w:rPr>
              <w:t>7.43E-03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1200</w:t>
            </w:r>
          </w:p>
        </w:tc>
        <w:tc>
          <w:tcPr>
            <w:tcW w:w="1265" w:type="dxa"/>
            <w:shd w:val="clear" w:color="auto" w:fill="auto"/>
            <w:vAlign w:val="center"/>
          </w:tcPr>
          <w:p>
            <w:pPr>
              <w:jc w:val="center"/>
              <w:rPr>
                <w:b/>
                <w:bCs/>
                <w:color w:val="auto"/>
                <w:u w:val="single"/>
              </w:rPr>
            </w:pPr>
            <w:r>
              <w:rPr>
                <w:rFonts w:hint="eastAsia"/>
                <w:b/>
                <w:bCs/>
                <w:color w:val="auto"/>
                <w:u w:val="single"/>
              </w:rPr>
              <w:t>2.21E-03</w:t>
            </w:r>
          </w:p>
        </w:tc>
        <w:tc>
          <w:tcPr>
            <w:tcW w:w="1225" w:type="dxa"/>
            <w:shd w:val="clear" w:color="auto" w:fill="auto"/>
            <w:vAlign w:val="center"/>
          </w:tcPr>
          <w:p>
            <w:pPr>
              <w:jc w:val="center"/>
              <w:rPr>
                <w:b/>
                <w:bCs/>
                <w:color w:val="auto"/>
                <w:u w:val="single"/>
              </w:rPr>
            </w:pPr>
            <w:r>
              <w:rPr>
                <w:rFonts w:hint="eastAsia"/>
                <w:b/>
                <w:bCs/>
                <w:color w:val="auto"/>
                <w:u w:val="single"/>
              </w:rPr>
              <w:t>1.11</w:t>
            </w:r>
          </w:p>
        </w:tc>
        <w:tc>
          <w:tcPr>
            <w:tcW w:w="1319" w:type="dxa"/>
            <w:shd w:val="clear" w:color="auto" w:fill="auto"/>
            <w:vAlign w:val="center"/>
          </w:tcPr>
          <w:p>
            <w:pPr>
              <w:jc w:val="center"/>
              <w:rPr>
                <w:b/>
                <w:bCs/>
                <w:color w:val="auto"/>
                <w:u w:val="single"/>
              </w:rPr>
            </w:pPr>
            <w:r>
              <w:rPr>
                <w:rFonts w:hint="eastAsia"/>
                <w:b/>
                <w:bCs/>
                <w:color w:val="auto"/>
                <w:u w:val="single"/>
              </w:rPr>
              <w:t>1.59E-05</w:t>
            </w:r>
          </w:p>
        </w:tc>
        <w:tc>
          <w:tcPr>
            <w:tcW w:w="1252" w:type="dxa"/>
            <w:shd w:val="clear" w:color="auto" w:fill="auto"/>
            <w:vAlign w:val="center"/>
          </w:tcPr>
          <w:p>
            <w:pPr>
              <w:jc w:val="center"/>
              <w:rPr>
                <w:b/>
                <w:bCs/>
                <w:color w:val="auto"/>
                <w:u w:val="single"/>
              </w:rPr>
            </w:pPr>
            <w:r>
              <w:rPr>
                <w:rFonts w:hint="eastAsia"/>
                <w:b/>
                <w:bCs/>
                <w:color w:val="auto"/>
                <w:u w:val="single"/>
              </w:rPr>
              <w:t>0.16</w:t>
            </w:r>
          </w:p>
        </w:tc>
        <w:tc>
          <w:tcPr>
            <w:tcW w:w="1214" w:type="dxa"/>
            <w:shd w:val="clear" w:color="auto" w:fill="auto"/>
            <w:vAlign w:val="center"/>
          </w:tcPr>
          <w:p>
            <w:pPr>
              <w:jc w:val="center"/>
              <w:rPr>
                <w:b/>
                <w:bCs/>
                <w:color w:val="auto"/>
                <w:u w:val="single"/>
              </w:rPr>
            </w:pPr>
            <w:r>
              <w:rPr>
                <w:rFonts w:hint="eastAsia"/>
                <w:b/>
                <w:bCs/>
                <w:color w:val="auto"/>
                <w:u w:val="single"/>
              </w:rPr>
              <w:t>7.45E-03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1300</w:t>
            </w:r>
          </w:p>
        </w:tc>
        <w:tc>
          <w:tcPr>
            <w:tcW w:w="1265" w:type="dxa"/>
            <w:shd w:val="clear" w:color="auto" w:fill="auto"/>
            <w:vAlign w:val="center"/>
          </w:tcPr>
          <w:p>
            <w:pPr>
              <w:jc w:val="center"/>
              <w:rPr>
                <w:b/>
                <w:bCs/>
                <w:color w:val="auto"/>
                <w:u w:val="single"/>
              </w:rPr>
            </w:pPr>
            <w:r>
              <w:rPr>
                <w:rFonts w:hint="eastAsia"/>
                <w:b/>
                <w:bCs/>
                <w:color w:val="auto"/>
                <w:u w:val="single"/>
              </w:rPr>
              <w:t>2.21E-03</w:t>
            </w:r>
          </w:p>
        </w:tc>
        <w:tc>
          <w:tcPr>
            <w:tcW w:w="1225" w:type="dxa"/>
            <w:shd w:val="clear" w:color="auto" w:fill="auto"/>
            <w:vAlign w:val="center"/>
          </w:tcPr>
          <w:p>
            <w:pPr>
              <w:jc w:val="center"/>
              <w:rPr>
                <w:b/>
                <w:bCs/>
                <w:color w:val="auto"/>
                <w:u w:val="single"/>
              </w:rPr>
            </w:pPr>
            <w:r>
              <w:rPr>
                <w:rFonts w:hint="eastAsia"/>
                <w:b/>
                <w:bCs/>
                <w:color w:val="auto"/>
                <w:u w:val="single"/>
              </w:rPr>
              <w:t>1.10</w:t>
            </w:r>
          </w:p>
        </w:tc>
        <w:tc>
          <w:tcPr>
            <w:tcW w:w="1319" w:type="dxa"/>
            <w:shd w:val="clear" w:color="auto" w:fill="auto"/>
            <w:vAlign w:val="center"/>
          </w:tcPr>
          <w:p>
            <w:pPr>
              <w:jc w:val="center"/>
              <w:rPr>
                <w:b/>
                <w:bCs/>
                <w:color w:val="auto"/>
                <w:u w:val="single"/>
              </w:rPr>
            </w:pPr>
            <w:r>
              <w:rPr>
                <w:rFonts w:hint="eastAsia"/>
                <w:b/>
                <w:bCs/>
                <w:color w:val="auto"/>
                <w:u w:val="single"/>
              </w:rPr>
              <w:t>1.58E-05</w:t>
            </w:r>
          </w:p>
        </w:tc>
        <w:tc>
          <w:tcPr>
            <w:tcW w:w="1252" w:type="dxa"/>
            <w:shd w:val="clear" w:color="auto" w:fill="auto"/>
            <w:vAlign w:val="center"/>
          </w:tcPr>
          <w:p>
            <w:pPr>
              <w:jc w:val="center"/>
              <w:rPr>
                <w:b/>
                <w:bCs/>
                <w:color w:val="auto"/>
                <w:u w:val="single"/>
              </w:rPr>
            </w:pPr>
            <w:r>
              <w:rPr>
                <w:rFonts w:hint="eastAsia"/>
                <w:b/>
                <w:bCs/>
                <w:color w:val="auto"/>
                <w:u w:val="single"/>
              </w:rPr>
              <w:t>0.16</w:t>
            </w:r>
          </w:p>
        </w:tc>
        <w:tc>
          <w:tcPr>
            <w:tcW w:w="1214" w:type="dxa"/>
            <w:shd w:val="clear" w:color="auto" w:fill="auto"/>
            <w:vAlign w:val="center"/>
          </w:tcPr>
          <w:p>
            <w:pPr>
              <w:jc w:val="center"/>
              <w:rPr>
                <w:b/>
                <w:bCs/>
                <w:color w:val="auto"/>
                <w:u w:val="single"/>
              </w:rPr>
            </w:pPr>
            <w:r>
              <w:rPr>
                <w:rFonts w:hint="eastAsia"/>
                <w:b/>
                <w:bCs/>
                <w:color w:val="auto"/>
                <w:u w:val="single"/>
              </w:rPr>
              <w:t>7.37E-03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1400</w:t>
            </w:r>
          </w:p>
        </w:tc>
        <w:tc>
          <w:tcPr>
            <w:tcW w:w="1265" w:type="dxa"/>
            <w:shd w:val="clear" w:color="auto" w:fill="auto"/>
            <w:vAlign w:val="center"/>
          </w:tcPr>
          <w:p>
            <w:pPr>
              <w:jc w:val="center"/>
              <w:rPr>
                <w:b/>
                <w:bCs/>
                <w:color w:val="auto"/>
                <w:u w:val="single"/>
              </w:rPr>
            </w:pPr>
            <w:r>
              <w:rPr>
                <w:rFonts w:hint="eastAsia"/>
                <w:b/>
                <w:bCs/>
                <w:color w:val="auto"/>
                <w:u w:val="single"/>
              </w:rPr>
              <w:t>2.18E-03</w:t>
            </w:r>
          </w:p>
        </w:tc>
        <w:tc>
          <w:tcPr>
            <w:tcW w:w="1225" w:type="dxa"/>
            <w:shd w:val="clear" w:color="auto" w:fill="auto"/>
            <w:vAlign w:val="center"/>
          </w:tcPr>
          <w:p>
            <w:pPr>
              <w:jc w:val="center"/>
              <w:rPr>
                <w:b/>
                <w:bCs/>
                <w:color w:val="auto"/>
                <w:u w:val="single"/>
              </w:rPr>
            </w:pPr>
            <w:r>
              <w:rPr>
                <w:rFonts w:hint="eastAsia"/>
                <w:b/>
                <w:bCs/>
                <w:color w:val="auto"/>
                <w:u w:val="single"/>
              </w:rPr>
              <w:t>1.09</w:t>
            </w:r>
          </w:p>
        </w:tc>
        <w:tc>
          <w:tcPr>
            <w:tcW w:w="1319" w:type="dxa"/>
            <w:shd w:val="clear" w:color="auto" w:fill="auto"/>
            <w:vAlign w:val="center"/>
          </w:tcPr>
          <w:p>
            <w:pPr>
              <w:jc w:val="center"/>
              <w:rPr>
                <w:b/>
                <w:bCs/>
                <w:color w:val="auto"/>
                <w:u w:val="single"/>
              </w:rPr>
            </w:pPr>
            <w:r>
              <w:rPr>
                <w:rFonts w:hint="eastAsia"/>
                <w:b/>
                <w:bCs/>
                <w:color w:val="auto"/>
                <w:u w:val="single"/>
              </w:rPr>
              <w:t>1.56E-05</w:t>
            </w:r>
          </w:p>
        </w:tc>
        <w:tc>
          <w:tcPr>
            <w:tcW w:w="1252" w:type="dxa"/>
            <w:shd w:val="clear" w:color="auto" w:fill="auto"/>
            <w:vAlign w:val="center"/>
          </w:tcPr>
          <w:p>
            <w:pPr>
              <w:jc w:val="center"/>
              <w:rPr>
                <w:b/>
                <w:bCs/>
                <w:color w:val="auto"/>
                <w:u w:val="single"/>
              </w:rPr>
            </w:pPr>
            <w:r>
              <w:rPr>
                <w:rFonts w:hint="eastAsia"/>
                <w:b/>
                <w:bCs/>
                <w:color w:val="auto"/>
                <w:u w:val="single"/>
              </w:rPr>
              <w:t>0.16</w:t>
            </w:r>
          </w:p>
        </w:tc>
        <w:tc>
          <w:tcPr>
            <w:tcW w:w="1214" w:type="dxa"/>
            <w:shd w:val="clear" w:color="auto" w:fill="auto"/>
            <w:vAlign w:val="center"/>
          </w:tcPr>
          <w:p>
            <w:pPr>
              <w:jc w:val="center"/>
              <w:rPr>
                <w:b/>
                <w:bCs/>
                <w:color w:val="auto"/>
                <w:u w:val="single"/>
              </w:rPr>
            </w:pPr>
            <w:r>
              <w:rPr>
                <w:rFonts w:hint="eastAsia"/>
                <w:b/>
                <w:bCs/>
                <w:color w:val="auto"/>
                <w:u w:val="single"/>
              </w:rPr>
              <w:t>7.24E-03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1500</w:t>
            </w:r>
          </w:p>
        </w:tc>
        <w:tc>
          <w:tcPr>
            <w:tcW w:w="1265" w:type="dxa"/>
            <w:shd w:val="clear" w:color="auto" w:fill="auto"/>
            <w:vAlign w:val="center"/>
          </w:tcPr>
          <w:p>
            <w:pPr>
              <w:jc w:val="center"/>
              <w:rPr>
                <w:b/>
                <w:bCs/>
                <w:color w:val="auto"/>
                <w:u w:val="single"/>
              </w:rPr>
            </w:pPr>
            <w:r>
              <w:rPr>
                <w:rFonts w:hint="eastAsia"/>
                <w:b/>
                <w:bCs/>
                <w:color w:val="auto"/>
                <w:u w:val="single"/>
              </w:rPr>
              <w:t>2.14E-03</w:t>
            </w:r>
          </w:p>
        </w:tc>
        <w:tc>
          <w:tcPr>
            <w:tcW w:w="1225" w:type="dxa"/>
            <w:shd w:val="clear" w:color="auto" w:fill="auto"/>
            <w:vAlign w:val="center"/>
          </w:tcPr>
          <w:p>
            <w:pPr>
              <w:jc w:val="center"/>
              <w:rPr>
                <w:b/>
                <w:bCs/>
                <w:color w:val="auto"/>
                <w:u w:val="single"/>
              </w:rPr>
            </w:pPr>
            <w:r>
              <w:rPr>
                <w:rFonts w:hint="eastAsia"/>
                <w:b/>
                <w:bCs/>
                <w:color w:val="auto"/>
                <w:u w:val="single"/>
              </w:rPr>
              <w:t>1.07</w:t>
            </w:r>
          </w:p>
        </w:tc>
        <w:tc>
          <w:tcPr>
            <w:tcW w:w="1319" w:type="dxa"/>
            <w:shd w:val="clear" w:color="auto" w:fill="auto"/>
            <w:vAlign w:val="center"/>
          </w:tcPr>
          <w:p>
            <w:pPr>
              <w:jc w:val="center"/>
              <w:rPr>
                <w:b/>
                <w:bCs/>
                <w:color w:val="auto"/>
                <w:u w:val="single"/>
              </w:rPr>
            </w:pPr>
            <w:r>
              <w:rPr>
                <w:rFonts w:hint="eastAsia"/>
                <w:b/>
                <w:bCs/>
                <w:color w:val="auto"/>
                <w:u w:val="single"/>
              </w:rPr>
              <w:t>1.53E-05</w:t>
            </w:r>
          </w:p>
        </w:tc>
        <w:tc>
          <w:tcPr>
            <w:tcW w:w="1252" w:type="dxa"/>
            <w:shd w:val="clear" w:color="auto" w:fill="auto"/>
            <w:vAlign w:val="center"/>
          </w:tcPr>
          <w:p>
            <w:pPr>
              <w:jc w:val="center"/>
              <w:rPr>
                <w:b/>
                <w:bCs/>
                <w:color w:val="auto"/>
                <w:u w:val="single"/>
              </w:rPr>
            </w:pPr>
            <w:r>
              <w:rPr>
                <w:rFonts w:hint="eastAsia"/>
                <w:b/>
                <w:bCs/>
                <w:color w:val="auto"/>
                <w:u w:val="single"/>
              </w:rPr>
              <w:t>0.15</w:t>
            </w:r>
          </w:p>
        </w:tc>
        <w:tc>
          <w:tcPr>
            <w:tcW w:w="1214" w:type="dxa"/>
            <w:shd w:val="clear" w:color="auto" w:fill="auto"/>
            <w:vAlign w:val="center"/>
          </w:tcPr>
          <w:p>
            <w:pPr>
              <w:jc w:val="center"/>
              <w:rPr>
                <w:b/>
                <w:bCs/>
                <w:color w:val="auto"/>
                <w:u w:val="single"/>
              </w:rPr>
            </w:pPr>
            <w:r>
              <w:rPr>
                <w:rFonts w:hint="eastAsia"/>
                <w:b/>
                <w:bCs/>
                <w:color w:val="auto"/>
                <w:u w:val="single"/>
              </w:rPr>
              <w:t>7.06E-03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1600</w:t>
            </w:r>
          </w:p>
        </w:tc>
        <w:tc>
          <w:tcPr>
            <w:tcW w:w="1265" w:type="dxa"/>
            <w:shd w:val="clear" w:color="auto" w:fill="auto"/>
            <w:vAlign w:val="center"/>
          </w:tcPr>
          <w:p>
            <w:pPr>
              <w:jc w:val="center"/>
              <w:rPr>
                <w:b/>
                <w:bCs/>
                <w:color w:val="auto"/>
                <w:u w:val="single"/>
              </w:rPr>
            </w:pPr>
            <w:r>
              <w:rPr>
                <w:rFonts w:hint="eastAsia"/>
                <w:b/>
                <w:bCs/>
                <w:color w:val="auto"/>
                <w:u w:val="single"/>
              </w:rPr>
              <w:t>2.09E-03</w:t>
            </w:r>
          </w:p>
        </w:tc>
        <w:tc>
          <w:tcPr>
            <w:tcW w:w="1225" w:type="dxa"/>
            <w:shd w:val="clear" w:color="auto" w:fill="auto"/>
            <w:vAlign w:val="center"/>
          </w:tcPr>
          <w:p>
            <w:pPr>
              <w:jc w:val="center"/>
              <w:rPr>
                <w:b/>
                <w:bCs/>
                <w:color w:val="auto"/>
                <w:u w:val="single"/>
              </w:rPr>
            </w:pPr>
            <w:r>
              <w:rPr>
                <w:rFonts w:hint="eastAsia"/>
                <w:b/>
                <w:bCs/>
                <w:color w:val="auto"/>
                <w:u w:val="single"/>
              </w:rPr>
              <w:t>1.04</w:t>
            </w:r>
          </w:p>
        </w:tc>
        <w:tc>
          <w:tcPr>
            <w:tcW w:w="1319" w:type="dxa"/>
            <w:shd w:val="clear" w:color="auto" w:fill="auto"/>
            <w:vAlign w:val="center"/>
          </w:tcPr>
          <w:p>
            <w:pPr>
              <w:jc w:val="center"/>
              <w:rPr>
                <w:b/>
                <w:bCs/>
                <w:color w:val="auto"/>
                <w:u w:val="single"/>
              </w:rPr>
            </w:pPr>
            <w:r>
              <w:rPr>
                <w:rFonts w:hint="eastAsia"/>
                <w:b/>
                <w:bCs/>
                <w:color w:val="auto"/>
                <w:u w:val="single"/>
              </w:rPr>
              <w:t>1.49E-05</w:t>
            </w:r>
          </w:p>
        </w:tc>
        <w:tc>
          <w:tcPr>
            <w:tcW w:w="1252" w:type="dxa"/>
            <w:shd w:val="clear" w:color="auto" w:fill="auto"/>
            <w:vAlign w:val="center"/>
          </w:tcPr>
          <w:p>
            <w:pPr>
              <w:jc w:val="center"/>
              <w:rPr>
                <w:b/>
                <w:bCs/>
                <w:color w:val="auto"/>
                <w:u w:val="single"/>
              </w:rPr>
            </w:pPr>
            <w:r>
              <w:rPr>
                <w:rFonts w:hint="eastAsia"/>
                <w:b/>
                <w:bCs/>
                <w:color w:val="auto"/>
                <w:u w:val="single"/>
              </w:rPr>
              <w:t>0.15</w:t>
            </w:r>
          </w:p>
        </w:tc>
        <w:tc>
          <w:tcPr>
            <w:tcW w:w="1214" w:type="dxa"/>
            <w:shd w:val="clear" w:color="auto" w:fill="auto"/>
            <w:vAlign w:val="center"/>
          </w:tcPr>
          <w:p>
            <w:pPr>
              <w:jc w:val="center"/>
              <w:rPr>
                <w:b/>
                <w:bCs/>
                <w:color w:val="auto"/>
                <w:u w:val="single"/>
              </w:rPr>
            </w:pPr>
            <w:r>
              <w:rPr>
                <w:rFonts w:hint="eastAsia"/>
                <w:b/>
                <w:bCs/>
                <w:color w:val="auto"/>
                <w:u w:val="single"/>
              </w:rPr>
              <w:t>6.86E-03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1700</w:t>
            </w:r>
          </w:p>
        </w:tc>
        <w:tc>
          <w:tcPr>
            <w:tcW w:w="1265" w:type="dxa"/>
            <w:shd w:val="clear" w:color="auto" w:fill="auto"/>
            <w:vAlign w:val="center"/>
          </w:tcPr>
          <w:p>
            <w:pPr>
              <w:jc w:val="center"/>
              <w:rPr>
                <w:b/>
                <w:bCs/>
                <w:color w:val="auto"/>
                <w:u w:val="single"/>
              </w:rPr>
            </w:pPr>
            <w:r>
              <w:rPr>
                <w:rFonts w:hint="eastAsia"/>
                <w:b/>
                <w:bCs/>
                <w:color w:val="auto"/>
                <w:u w:val="single"/>
              </w:rPr>
              <w:t>2.03E-03</w:t>
            </w:r>
          </w:p>
        </w:tc>
        <w:tc>
          <w:tcPr>
            <w:tcW w:w="1225" w:type="dxa"/>
            <w:shd w:val="clear" w:color="auto" w:fill="auto"/>
            <w:vAlign w:val="center"/>
          </w:tcPr>
          <w:p>
            <w:pPr>
              <w:jc w:val="center"/>
              <w:rPr>
                <w:b/>
                <w:bCs/>
                <w:color w:val="auto"/>
                <w:u w:val="single"/>
              </w:rPr>
            </w:pPr>
            <w:r>
              <w:rPr>
                <w:rFonts w:hint="eastAsia"/>
                <w:b/>
                <w:bCs/>
                <w:color w:val="auto"/>
                <w:u w:val="single"/>
              </w:rPr>
              <w:t>1.01</w:t>
            </w:r>
          </w:p>
        </w:tc>
        <w:tc>
          <w:tcPr>
            <w:tcW w:w="1319" w:type="dxa"/>
            <w:shd w:val="clear" w:color="auto" w:fill="auto"/>
            <w:vAlign w:val="center"/>
          </w:tcPr>
          <w:p>
            <w:pPr>
              <w:jc w:val="center"/>
              <w:rPr>
                <w:b/>
                <w:bCs/>
                <w:color w:val="auto"/>
                <w:u w:val="single"/>
              </w:rPr>
            </w:pPr>
            <w:r>
              <w:rPr>
                <w:rFonts w:hint="eastAsia"/>
                <w:b/>
                <w:bCs/>
                <w:color w:val="auto"/>
                <w:u w:val="single"/>
              </w:rPr>
              <w:t>1.45E-05</w:t>
            </w:r>
          </w:p>
        </w:tc>
        <w:tc>
          <w:tcPr>
            <w:tcW w:w="1252" w:type="dxa"/>
            <w:shd w:val="clear" w:color="auto" w:fill="auto"/>
            <w:vAlign w:val="center"/>
          </w:tcPr>
          <w:p>
            <w:pPr>
              <w:jc w:val="center"/>
              <w:rPr>
                <w:b/>
                <w:bCs/>
                <w:color w:val="auto"/>
                <w:u w:val="single"/>
              </w:rPr>
            </w:pPr>
            <w:r>
              <w:rPr>
                <w:rFonts w:hint="eastAsia"/>
                <w:b/>
                <w:bCs/>
                <w:color w:val="auto"/>
                <w:u w:val="single"/>
              </w:rPr>
              <w:t>0.15</w:t>
            </w:r>
          </w:p>
        </w:tc>
        <w:tc>
          <w:tcPr>
            <w:tcW w:w="1214" w:type="dxa"/>
            <w:shd w:val="clear" w:color="auto" w:fill="auto"/>
            <w:vAlign w:val="center"/>
          </w:tcPr>
          <w:p>
            <w:pPr>
              <w:jc w:val="center"/>
              <w:rPr>
                <w:b/>
                <w:bCs/>
                <w:color w:val="auto"/>
                <w:u w:val="single"/>
              </w:rPr>
            </w:pPr>
            <w:r>
              <w:rPr>
                <w:rFonts w:hint="eastAsia"/>
                <w:b/>
                <w:bCs/>
                <w:color w:val="auto"/>
                <w:u w:val="single"/>
              </w:rPr>
              <w:t>6.65E-03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1800</w:t>
            </w:r>
          </w:p>
        </w:tc>
        <w:tc>
          <w:tcPr>
            <w:tcW w:w="1265" w:type="dxa"/>
            <w:shd w:val="clear" w:color="auto" w:fill="auto"/>
            <w:vAlign w:val="center"/>
          </w:tcPr>
          <w:p>
            <w:pPr>
              <w:jc w:val="center"/>
              <w:rPr>
                <w:b/>
                <w:bCs/>
                <w:color w:val="auto"/>
                <w:u w:val="single"/>
              </w:rPr>
            </w:pPr>
            <w:r>
              <w:rPr>
                <w:rFonts w:hint="eastAsia"/>
                <w:b/>
                <w:bCs/>
                <w:color w:val="auto"/>
                <w:u w:val="single"/>
              </w:rPr>
              <w:t>1.97E-03</w:t>
            </w:r>
          </w:p>
        </w:tc>
        <w:tc>
          <w:tcPr>
            <w:tcW w:w="1225" w:type="dxa"/>
            <w:shd w:val="clear" w:color="auto" w:fill="auto"/>
            <w:vAlign w:val="center"/>
          </w:tcPr>
          <w:p>
            <w:pPr>
              <w:jc w:val="center"/>
              <w:rPr>
                <w:b/>
                <w:bCs/>
                <w:color w:val="auto"/>
                <w:u w:val="single"/>
              </w:rPr>
            </w:pPr>
            <w:r>
              <w:rPr>
                <w:rFonts w:hint="eastAsia"/>
                <w:b/>
                <w:bCs/>
                <w:color w:val="auto"/>
                <w:u w:val="single"/>
              </w:rPr>
              <w:t>0.98</w:t>
            </w:r>
          </w:p>
        </w:tc>
        <w:tc>
          <w:tcPr>
            <w:tcW w:w="1319" w:type="dxa"/>
            <w:shd w:val="clear" w:color="auto" w:fill="auto"/>
            <w:vAlign w:val="center"/>
          </w:tcPr>
          <w:p>
            <w:pPr>
              <w:jc w:val="center"/>
              <w:rPr>
                <w:b/>
                <w:bCs/>
                <w:color w:val="auto"/>
                <w:u w:val="single"/>
              </w:rPr>
            </w:pPr>
            <w:r>
              <w:rPr>
                <w:rFonts w:hint="eastAsia"/>
                <w:b/>
                <w:bCs/>
                <w:color w:val="auto"/>
                <w:u w:val="single"/>
              </w:rPr>
              <w:t>1.41E-05</w:t>
            </w:r>
          </w:p>
        </w:tc>
        <w:tc>
          <w:tcPr>
            <w:tcW w:w="1252" w:type="dxa"/>
            <w:shd w:val="clear" w:color="auto" w:fill="auto"/>
            <w:vAlign w:val="center"/>
          </w:tcPr>
          <w:p>
            <w:pPr>
              <w:jc w:val="center"/>
              <w:rPr>
                <w:b/>
                <w:bCs/>
                <w:color w:val="auto"/>
                <w:u w:val="single"/>
              </w:rPr>
            </w:pPr>
            <w:r>
              <w:rPr>
                <w:rFonts w:hint="eastAsia"/>
                <w:b/>
                <w:bCs/>
                <w:color w:val="auto"/>
                <w:u w:val="single"/>
              </w:rPr>
              <w:t>0.14</w:t>
            </w:r>
          </w:p>
        </w:tc>
        <w:tc>
          <w:tcPr>
            <w:tcW w:w="1214" w:type="dxa"/>
            <w:shd w:val="clear" w:color="auto" w:fill="auto"/>
            <w:vAlign w:val="center"/>
          </w:tcPr>
          <w:p>
            <w:pPr>
              <w:jc w:val="center"/>
              <w:rPr>
                <w:b/>
                <w:bCs/>
                <w:color w:val="auto"/>
                <w:u w:val="single"/>
              </w:rPr>
            </w:pPr>
            <w:r>
              <w:rPr>
                <w:rFonts w:hint="eastAsia"/>
                <w:b/>
                <w:bCs/>
                <w:color w:val="auto"/>
                <w:u w:val="single"/>
              </w:rPr>
              <w:t>6.42E-03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1900</w:t>
            </w:r>
          </w:p>
        </w:tc>
        <w:tc>
          <w:tcPr>
            <w:tcW w:w="1265" w:type="dxa"/>
            <w:shd w:val="clear" w:color="auto" w:fill="auto"/>
            <w:vAlign w:val="center"/>
          </w:tcPr>
          <w:p>
            <w:pPr>
              <w:jc w:val="center"/>
              <w:rPr>
                <w:b/>
                <w:bCs/>
                <w:color w:val="auto"/>
                <w:u w:val="single"/>
              </w:rPr>
            </w:pPr>
            <w:r>
              <w:rPr>
                <w:rFonts w:hint="eastAsia"/>
                <w:b/>
                <w:bCs/>
                <w:color w:val="auto"/>
                <w:u w:val="single"/>
              </w:rPr>
              <w:t>1.90E-03</w:t>
            </w:r>
          </w:p>
        </w:tc>
        <w:tc>
          <w:tcPr>
            <w:tcW w:w="1225" w:type="dxa"/>
            <w:shd w:val="clear" w:color="auto" w:fill="auto"/>
            <w:vAlign w:val="center"/>
          </w:tcPr>
          <w:p>
            <w:pPr>
              <w:jc w:val="center"/>
              <w:rPr>
                <w:b/>
                <w:bCs/>
                <w:color w:val="auto"/>
                <w:u w:val="single"/>
              </w:rPr>
            </w:pPr>
            <w:r>
              <w:rPr>
                <w:rFonts w:hint="eastAsia"/>
                <w:b/>
                <w:bCs/>
                <w:color w:val="auto"/>
                <w:u w:val="single"/>
              </w:rPr>
              <w:t>0.95</w:t>
            </w:r>
          </w:p>
        </w:tc>
        <w:tc>
          <w:tcPr>
            <w:tcW w:w="1319" w:type="dxa"/>
            <w:shd w:val="clear" w:color="auto" w:fill="auto"/>
            <w:vAlign w:val="center"/>
          </w:tcPr>
          <w:p>
            <w:pPr>
              <w:jc w:val="center"/>
              <w:rPr>
                <w:b/>
                <w:bCs/>
                <w:color w:val="auto"/>
                <w:u w:val="single"/>
              </w:rPr>
            </w:pPr>
            <w:r>
              <w:rPr>
                <w:rFonts w:hint="eastAsia"/>
                <w:b/>
                <w:bCs/>
                <w:color w:val="auto"/>
                <w:u w:val="single"/>
              </w:rPr>
              <w:t>1.37E-05</w:t>
            </w:r>
          </w:p>
        </w:tc>
        <w:tc>
          <w:tcPr>
            <w:tcW w:w="1252" w:type="dxa"/>
            <w:shd w:val="clear" w:color="auto" w:fill="auto"/>
            <w:vAlign w:val="center"/>
          </w:tcPr>
          <w:p>
            <w:pPr>
              <w:jc w:val="center"/>
              <w:rPr>
                <w:b/>
                <w:bCs/>
                <w:color w:val="auto"/>
                <w:u w:val="single"/>
              </w:rPr>
            </w:pPr>
            <w:r>
              <w:rPr>
                <w:rFonts w:hint="eastAsia"/>
                <w:b/>
                <w:bCs/>
                <w:color w:val="auto"/>
                <w:u w:val="single"/>
              </w:rPr>
              <w:t>0.14</w:t>
            </w:r>
          </w:p>
        </w:tc>
        <w:tc>
          <w:tcPr>
            <w:tcW w:w="1214" w:type="dxa"/>
            <w:shd w:val="clear" w:color="auto" w:fill="auto"/>
            <w:vAlign w:val="center"/>
          </w:tcPr>
          <w:p>
            <w:pPr>
              <w:jc w:val="center"/>
              <w:rPr>
                <w:b/>
                <w:bCs/>
                <w:color w:val="auto"/>
                <w:u w:val="single"/>
              </w:rPr>
            </w:pPr>
            <w:r>
              <w:rPr>
                <w:rFonts w:hint="eastAsia"/>
                <w:b/>
                <w:bCs/>
                <w:color w:val="auto"/>
                <w:u w:val="single"/>
              </w:rPr>
              <w:t>6.20E-03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2000</w:t>
            </w:r>
          </w:p>
        </w:tc>
        <w:tc>
          <w:tcPr>
            <w:tcW w:w="1265" w:type="dxa"/>
            <w:shd w:val="clear" w:color="auto" w:fill="auto"/>
            <w:vAlign w:val="center"/>
          </w:tcPr>
          <w:p>
            <w:pPr>
              <w:jc w:val="center"/>
              <w:rPr>
                <w:b/>
                <w:bCs/>
                <w:color w:val="auto"/>
                <w:u w:val="single"/>
              </w:rPr>
            </w:pPr>
            <w:r>
              <w:rPr>
                <w:rFonts w:hint="eastAsia"/>
                <w:b/>
                <w:bCs/>
                <w:color w:val="auto"/>
                <w:u w:val="single"/>
              </w:rPr>
              <w:t>1.84E-03</w:t>
            </w:r>
          </w:p>
        </w:tc>
        <w:tc>
          <w:tcPr>
            <w:tcW w:w="1225" w:type="dxa"/>
            <w:shd w:val="clear" w:color="auto" w:fill="auto"/>
            <w:vAlign w:val="center"/>
          </w:tcPr>
          <w:p>
            <w:pPr>
              <w:jc w:val="center"/>
              <w:rPr>
                <w:b/>
                <w:bCs/>
                <w:color w:val="auto"/>
                <w:u w:val="single"/>
              </w:rPr>
            </w:pPr>
            <w:r>
              <w:rPr>
                <w:rFonts w:hint="eastAsia"/>
                <w:b/>
                <w:bCs/>
                <w:color w:val="auto"/>
                <w:u w:val="single"/>
              </w:rPr>
              <w:t>0.92</w:t>
            </w:r>
          </w:p>
        </w:tc>
        <w:tc>
          <w:tcPr>
            <w:tcW w:w="1319" w:type="dxa"/>
            <w:shd w:val="clear" w:color="auto" w:fill="auto"/>
            <w:vAlign w:val="center"/>
          </w:tcPr>
          <w:p>
            <w:pPr>
              <w:jc w:val="center"/>
              <w:rPr>
                <w:b/>
                <w:bCs/>
                <w:color w:val="auto"/>
                <w:u w:val="single"/>
              </w:rPr>
            </w:pPr>
            <w:r>
              <w:rPr>
                <w:rFonts w:hint="eastAsia"/>
                <w:b/>
                <w:bCs/>
                <w:color w:val="auto"/>
                <w:u w:val="single"/>
              </w:rPr>
              <w:t>1.32E-05</w:t>
            </w:r>
          </w:p>
        </w:tc>
        <w:tc>
          <w:tcPr>
            <w:tcW w:w="1252" w:type="dxa"/>
            <w:shd w:val="clear" w:color="auto" w:fill="auto"/>
            <w:vAlign w:val="center"/>
          </w:tcPr>
          <w:p>
            <w:pPr>
              <w:jc w:val="center"/>
              <w:rPr>
                <w:b/>
                <w:bCs/>
                <w:color w:val="auto"/>
                <w:u w:val="single"/>
              </w:rPr>
            </w:pPr>
            <w:r>
              <w:rPr>
                <w:rFonts w:hint="eastAsia"/>
                <w:b/>
                <w:bCs/>
                <w:color w:val="auto"/>
                <w:u w:val="single"/>
              </w:rPr>
              <w:t>0.13</w:t>
            </w:r>
          </w:p>
        </w:tc>
        <w:tc>
          <w:tcPr>
            <w:tcW w:w="1214" w:type="dxa"/>
            <w:shd w:val="clear" w:color="auto" w:fill="auto"/>
            <w:vAlign w:val="center"/>
          </w:tcPr>
          <w:p>
            <w:pPr>
              <w:jc w:val="center"/>
              <w:rPr>
                <w:b/>
                <w:bCs/>
                <w:color w:val="auto"/>
                <w:u w:val="single"/>
              </w:rPr>
            </w:pPr>
            <w:r>
              <w:rPr>
                <w:rFonts w:hint="eastAsia"/>
                <w:b/>
                <w:bCs/>
                <w:color w:val="auto"/>
                <w:u w:val="single"/>
              </w:rPr>
              <w:t>5.98E-03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2100</w:t>
            </w:r>
          </w:p>
        </w:tc>
        <w:tc>
          <w:tcPr>
            <w:tcW w:w="1265" w:type="dxa"/>
            <w:shd w:val="clear" w:color="auto" w:fill="auto"/>
            <w:vAlign w:val="center"/>
          </w:tcPr>
          <w:p>
            <w:pPr>
              <w:jc w:val="center"/>
              <w:rPr>
                <w:b/>
                <w:bCs/>
                <w:color w:val="auto"/>
                <w:u w:val="single"/>
              </w:rPr>
            </w:pPr>
            <w:r>
              <w:rPr>
                <w:rFonts w:hint="eastAsia"/>
                <w:b/>
                <w:bCs/>
                <w:color w:val="auto"/>
                <w:u w:val="single"/>
              </w:rPr>
              <w:t>1.78E-03</w:t>
            </w:r>
          </w:p>
        </w:tc>
        <w:tc>
          <w:tcPr>
            <w:tcW w:w="1225" w:type="dxa"/>
            <w:shd w:val="clear" w:color="auto" w:fill="auto"/>
            <w:vAlign w:val="center"/>
          </w:tcPr>
          <w:p>
            <w:pPr>
              <w:jc w:val="center"/>
              <w:rPr>
                <w:b/>
                <w:bCs/>
                <w:color w:val="auto"/>
                <w:u w:val="single"/>
              </w:rPr>
            </w:pPr>
            <w:r>
              <w:rPr>
                <w:rFonts w:hint="eastAsia"/>
                <w:b/>
                <w:bCs/>
                <w:color w:val="auto"/>
                <w:u w:val="single"/>
              </w:rPr>
              <w:t>0.89</w:t>
            </w:r>
          </w:p>
        </w:tc>
        <w:tc>
          <w:tcPr>
            <w:tcW w:w="1319" w:type="dxa"/>
            <w:shd w:val="clear" w:color="auto" w:fill="auto"/>
            <w:vAlign w:val="center"/>
          </w:tcPr>
          <w:p>
            <w:pPr>
              <w:jc w:val="center"/>
              <w:rPr>
                <w:b/>
                <w:bCs/>
                <w:color w:val="auto"/>
                <w:u w:val="single"/>
              </w:rPr>
            </w:pPr>
            <w:r>
              <w:rPr>
                <w:rFonts w:hint="eastAsia"/>
                <w:b/>
                <w:bCs/>
                <w:color w:val="auto"/>
                <w:u w:val="single"/>
              </w:rPr>
              <w:t>1.27E-05</w:t>
            </w:r>
          </w:p>
        </w:tc>
        <w:tc>
          <w:tcPr>
            <w:tcW w:w="1252" w:type="dxa"/>
            <w:shd w:val="clear" w:color="auto" w:fill="auto"/>
            <w:vAlign w:val="center"/>
          </w:tcPr>
          <w:p>
            <w:pPr>
              <w:jc w:val="center"/>
              <w:rPr>
                <w:b/>
                <w:bCs/>
                <w:color w:val="auto"/>
                <w:u w:val="single"/>
              </w:rPr>
            </w:pPr>
            <w:r>
              <w:rPr>
                <w:rFonts w:hint="eastAsia"/>
                <w:b/>
                <w:bCs/>
                <w:color w:val="auto"/>
                <w:u w:val="single"/>
              </w:rPr>
              <w:t>0.13</w:t>
            </w:r>
          </w:p>
        </w:tc>
        <w:tc>
          <w:tcPr>
            <w:tcW w:w="1214" w:type="dxa"/>
            <w:shd w:val="clear" w:color="auto" w:fill="auto"/>
            <w:vAlign w:val="center"/>
          </w:tcPr>
          <w:p>
            <w:pPr>
              <w:jc w:val="center"/>
              <w:rPr>
                <w:b/>
                <w:bCs/>
                <w:color w:val="auto"/>
                <w:u w:val="single"/>
              </w:rPr>
            </w:pPr>
            <w:r>
              <w:rPr>
                <w:rFonts w:hint="eastAsia"/>
                <w:b/>
                <w:bCs/>
                <w:color w:val="auto"/>
                <w:u w:val="single"/>
              </w:rPr>
              <w:t>5.75E-03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kern w:val="0"/>
                <w:u w:val="single"/>
              </w:rPr>
              <w:t>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2200</w:t>
            </w:r>
          </w:p>
        </w:tc>
        <w:tc>
          <w:tcPr>
            <w:tcW w:w="1265" w:type="dxa"/>
            <w:shd w:val="clear" w:color="auto" w:fill="auto"/>
            <w:vAlign w:val="center"/>
          </w:tcPr>
          <w:p>
            <w:pPr>
              <w:jc w:val="center"/>
              <w:rPr>
                <w:b/>
                <w:bCs/>
                <w:color w:val="auto"/>
                <w:u w:val="single"/>
              </w:rPr>
            </w:pPr>
            <w:r>
              <w:rPr>
                <w:rFonts w:hint="eastAsia"/>
                <w:b/>
                <w:bCs/>
                <w:color w:val="auto"/>
                <w:u w:val="single"/>
              </w:rPr>
              <w:t>1.71E-03</w:t>
            </w:r>
          </w:p>
        </w:tc>
        <w:tc>
          <w:tcPr>
            <w:tcW w:w="1225" w:type="dxa"/>
            <w:shd w:val="clear" w:color="auto" w:fill="auto"/>
            <w:vAlign w:val="center"/>
          </w:tcPr>
          <w:p>
            <w:pPr>
              <w:jc w:val="center"/>
              <w:rPr>
                <w:b/>
                <w:bCs/>
                <w:color w:val="auto"/>
                <w:u w:val="single"/>
              </w:rPr>
            </w:pPr>
            <w:r>
              <w:rPr>
                <w:rFonts w:hint="eastAsia"/>
                <w:b/>
                <w:bCs/>
                <w:color w:val="auto"/>
                <w:u w:val="single"/>
              </w:rPr>
              <w:t>0.86</w:t>
            </w:r>
          </w:p>
        </w:tc>
        <w:tc>
          <w:tcPr>
            <w:tcW w:w="1319" w:type="dxa"/>
            <w:shd w:val="clear" w:color="auto" w:fill="auto"/>
            <w:vAlign w:val="center"/>
          </w:tcPr>
          <w:p>
            <w:pPr>
              <w:jc w:val="center"/>
              <w:rPr>
                <w:b/>
                <w:bCs/>
                <w:color w:val="auto"/>
                <w:u w:val="single"/>
              </w:rPr>
            </w:pPr>
            <w:r>
              <w:rPr>
                <w:rFonts w:hint="eastAsia"/>
                <w:b/>
                <w:bCs/>
                <w:color w:val="auto"/>
                <w:u w:val="single"/>
              </w:rPr>
              <w:t>1.23E-05</w:t>
            </w:r>
          </w:p>
        </w:tc>
        <w:tc>
          <w:tcPr>
            <w:tcW w:w="1252" w:type="dxa"/>
            <w:shd w:val="clear" w:color="auto" w:fill="auto"/>
            <w:vAlign w:val="center"/>
          </w:tcPr>
          <w:p>
            <w:pPr>
              <w:jc w:val="center"/>
              <w:rPr>
                <w:b/>
                <w:bCs/>
                <w:color w:val="auto"/>
                <w:u w:val="single"/>
              </w:rPr>
            </w:pPr>
            <w:r>
              <w:rPr>
                <w:rFonts w:hint="eastAsia"/>
                <w:b/>
                <w:bCs/>
                <w:color w:val="auto"/>
                <w:u w:val="single"/>
              </w:rPr>
              <w:t>0.12</w:t>
            </w:r>
          </w:p>
        </w:tc>
        <w:tc>
          <w:tcPr>
            <w:tcW w:w="1214" w:type="dxa"/>
            <w:shd w:val="clear" w:color="auto" w:fill="auto"/>
            <w:vAlign w:val="center"/>
          </w:tcPr>
          <w:p>
            <w:pPr>
              <w:jc w:val="center"/>
              <w:rPr>
                <w:b/>
                <w:bCs/>
                <w:color w:val="auto"/>
                <w:u w:val="single"/>
              </w:rPr>
            </w:pPr>
            <w:r>
              <w:rPr>
                <w:rFonts w:hint="eastAsia"/>
                <w:b/>
                <w:bCs/>
                <w:color w:val="auto"/>
                <w:u w:val="single"/>
              </w:rPr>
              <w:t>5.54E-03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2300</w:t>
            </w:r>
          </w:p>
        </w:tc>
        <w:tc>
          <w:tcPr>
            <w:tcW w:w="1265" w:type="dxa"/>
            <w:shd w:val="clear" w:color="auto" w:fill="auto"/>
            <w:vAlign w:val="center"/>
          </w:tcPr>
          <w:p>
            <w:pPr>
              <w:jc w:val="center"/>
              <w:rPr>
                <w:b/>
                <w:bCs/>
                <w:color w:val="auto"/>
                <w:u w:val="single"/>
              </w:rPr>
            </w:pPr>
            <w:r>
              <w:rPr>
                <w:rFonts w:hint="eastAsia"/>
                <w:b/>
                <w:bCs/>
                <w:color w:val="auto"/>
                <w:u w:val="single"/>
              </w:rPr>
              <w:t>1.66E-03</w:t>
            </w:r>
          </w:p>
        </w:tc>
        <w:tc>
          <w:tcPr>
            <w:tcW w:w="1225" w:type="dxa"/>
            <w:shd w:val="clear" w:color="auto" w:fill="auto"/>
            <w:vAlign w:val="center"/>
          </w:tcPr>
          <w:p>
            <w:pPr>
              <w:jc w:val="center"/>
              <w:rPr>
                <w:b/>
                <w:bCs/>
                <w:color w:val="auto"/>
                <w:u w:val="single"/>
              </w:rPr>
            </w:pPr>
            <w:r>
              <w:rPr>
                <w:rFonts w:hint="eastAsia"/>
                <w:b/>
                <w:bCs/>
                <w:color w:val="auto"/>
                <w:u w:val="single"/>
              </w:rPr>
              <w:t>0.83</w:t>
            </w:r>
          </w:p>
        </w:tc>
        <w:tc>
          <w:tcPr>
            <w:tcW w:w="1319" w:type="dxa"/>
            <w:shd w:val="clear" w:color="auto" w:fill="auto"/>
            <w:vAlign w:val="center"/>
          </w:tcPr>
          <w:p>
            <w:pPr>
              <w:jc w:val="center"/>
              <w:rPr>
                <w:b/>
                <w:bCs/>
                <w:color w:val="auto"/>
                <w:u w:val="single"/>
              </w:rPr>
            </w:pPr>
            <w:r>
              <w:rPr>
                <w:rFonts w:hint="eastAsia"/>
                <w:b/>
                <w:bCs/>
                <w:color w:val="auto"/>
                <w:u w:val="single"/>
              </w:rPr>
              <w:t>1.19E-05</w:t>
            </w:r>
          </w:p>
        </w:tc>
        <w:tc>
          <w:tcPr>
            <w:tcW w:w="1252" w:type="dxa"/>
            <w:shd w:val="clear" w:color="auto" w:fill="auto"/>
            <w:vAlign w:val="center"/>
          </w:tcPr>
          <w:p>
            <w:pPr>
              <w:jc w:val="center"/>
              <w:rPr>
                <w:b/>
                <w:bCs/>
                <w:color w:val="auto"/>
                <w:u w:val="single"/>
              </w:rPr>
            </w:pPr>
            <w:r>
              <w:rPr>
                <w:rFonts w:hint="eastAsia"/>
                <w:b/>
                <w:bCs/>
                <w:color w:val="auto"/>
                <w:u w:val="single"/>
              </w:rPr>
              <w:t>0.12</w:t>
            </w:r>
          </w:p>
        </w:tc>
        <w:tc>
          <w:tcPr>
            <w:tcW w:w="1214" w:type="dxa"/>
            <w:shd w:val="clear" w:color="auto" w:fill="auto"/>
            <w:vAlign w:val="center"/>
          </w:tcPr>
          <w:p>
            <w:pPr>
              <w:jc w:val="center"/>
              <w:rPr>
                <w:b/>
                <w:bCs/>
                <w:color w:val="auto"/>
                <w:u w:val="single"/>
              </w:rPr>
            </w:pPr>
            <w:r>
              <w:rPr>
                <w:rFonts w:hint="eastAsia"/>
                <w:b/>
                <w:bCs/>
                <w:color w:val="auto"/>
                <w:u w:val="single"/>
              </w:rPr>
              <w:t>5.34E-03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2400</w:t>
            </w:r>
          </w:p>
        </w:tc>
        <w:tc>
          <w:tcPr>
            <w:tcW w:w="1265" w:type="dxa"/>
            <w:shd w:val="clear" w:color="auto" w:fill="auto"/>
            <w:vAlign w:val="center"/>
          </w:tcPr>
          <w:p>
            <w:pPr>
              <w:jc w:val="center"/>
              <w:rPr>
                <w:b/>
                <w:bCs/>
                <w:color w:val="auto"/>
                <w:u w:val="single"/>
              </w:rPr>
            </w:pPr>
            <w:r>
              <w:rPr>
                <w:rFonts w:hint="eastAsia"/>
                <w:b/>
                <w:bCs/>
                <w:color w:val="auto"/>
                <w:u w:val="single"/>
              </w:rPr>
              <w:t>1.60E-03</w:t>
            </w:r>
          </w:p>
        </w:tc>
        <w:tc>
          <w:tcPr>
            <w:tcW w:w="1225" w:type="dxa"/>
            <w:shd w:val="clear" w:color="auto" w:fill="auto"/>
            <w:vAlign w:val="center"/>
          </w:tcPr>
          <w:p>
            <w:pPr>
              <w:jc w:val="center"/>
              <w:rPr>
                <w:b/>
                <w:bCs/>
                <w:color w:val="auto"/>
                <w:u w:val="single"/>
              </w:rPr>
            </w:pPr>
            <w:r>
              <w:rPr>
                <w:rFonts w:hint="eastAsia"/>
                <w:b/>
                <w:bCs/>
                <w:color w:val="auto"/>
                <w:u w:val="single"/>
              </w:rPr>
              <w:t>0.80</w:t>
            </w:r>
          </w:p>
        </w:tc>
        <w:tc>
          <w:tcPr>
            <w:tcW w:w="1319" w:type="dxa"/>
            <w:shd w:val="clear" w:color="auto" w:fill="auto"/>
            <w:vAlign w:val="center"/>
          </w:tcPr>
          <w:p>
            <w:pPr>
              <w:jc w:val="center"/>
              <w:rPr>
                <w:b/>
                <w:bCs/>
                <w:color w:val="auto"/>
                <w:u w:val="single"/>
              </w:rPr>
            </w:pPr>
            <w:r>
              <w:rPr>
                <w:rFonts w:hint="eastAsia"/>
                <w:b/>
                <w:bCs/>
                <w:color w:val="auto"/>
                <w:u w:val="single"/>
              </w:rPr>
              <w:t>1.15E-05</w:t>
            </w:r>
          </w:p>
        </w:tc>
        <w:tc>
          <w:tcPr>
            <w:tcW w:w="1252" w:type="dxa"/>
            <w:shd w:val="clear" w:color="auto" w:fill="auto"/>
            <w:vAlign w:val="center"/>
          </w:tcPr>
          <w:p>
            <w:pPr>
              <w:jc w:val="center"/>
              <w:rPr>
                <w:b/>
                <w:bCs/>
                <w:color w:val="auto"/>
                <w:u w:val="single"/>
              </w:rPr>
            </w:pPr>
            <w:r>
              <w:rPr>
                <w:rFonts w:hint="eastAsia"/>
                <w:b/>
                <w:bCs/>
                <w:color w:val="auto"/>
                <w:u w:val="single"/>
              </w:rPr>
              <w:t>0.11</w:t>
            </w:r>
          </w:p>
        </w:tc>
        <w:tc>
          <w:tcPr>
            <w:tcW w:w="1214" w:type="dxa"/>
            <w:shd w:val="clear" w:color="auto" w:fill="auto"/>
            <w:vAlign w:val="center"/>
          </w:tcPr>
          <w:p>
            <w:pPr>
              <w:jc w:val="center"/>
              <w:rPr>
                <w:b/>
                <w:bCs/>
                <w:color w:val="auto"/>
                <w:u w:val="single"/>
              </w:rPr>
            </w:pPr>
            <w:r>
              <w:rPr>
                <w:rFonts w:hint="eastAsia"/>
                <w:b/>
                <w:bCs/>
                <w:color w:val="auto"/>
                <w:u w:val="single"/>
              </w:rPr>
              <w:t>5.14E-03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rFonts w:hint="eastAsia"/>
                <w:color w:val="auto"/>
                <w:kern w:val="0"/>
              </w:rPr>
              <w:t>2500</w:t>
            </w:r>
          </w:p>
        </w:tc>
        <w:tc>
          <w:tcPr>
            <w:tcW w:w="1265" w:type="dxa"/>
            <w:shd w:val="clear" w:color="auto" w:fill="auto"/>
            <w:vAlign w:val="center"/>
          </w:tcPr>
          <w:p>
            <w:pPr>
              <w:jc w:val="center"/>
              <w:rPr>
                <w:b/>
                <w:bCs/>
                <w:color w:val="auto"/>
                <w:u w:val="single"/>
              </w:rPr>
            </w:pPr>
            <w:r>
              <w:rPr>
                <w:rFonts w:hint="eastAsia"/>
                <w:b/>
                <w:bCs/>
                <w:color w:val="auto"/>
                <w:u w:val="single"/>
              </w:rPr>
              <w:t>1.54E-03</w:t>
            </w:r>
          </w:p>
        </w:tc>
        <w:tc>
          <w:tcPr>
            <w:tcW w:w="1225" w:type="dxa"/>
            <w:shd w:val="clear" w:color="auto" w:fill="auto"/>
            <w:vAlign w:val="center"/>
          </w:tcPr>
          <w:p>
            <w:pPr>
              <w:jc w:val="center"/>
              <w:rPr>
                <w:b/>
                <w:bCs/>
                <w:color w:val="auto"/>
                <w:u w:val="single"/>
              </w:rPr>
            </w:pPr>
            <w:r>
              <w:rPr>
                <w:rFonts w:hint="eastAsia"/>
                <w:b/>
                <w:bCs/>
                <w:color w:val="auto"/>
                <w:u w:val="single"/>
              </w:rPr>
              <w:t>0.77</w:t>
            </w:r>
          </w:p>
        </w:tc>
        <w:tc>
          <w:tcPr>
            <w:tcW w:w="1319" w:type="dxa"/>
            <w:shd w:val="clear" w:color="auto" w:fill="auto"/>
            <w:vAlign w:val="center"/>
          </w:tcPr>
          <w:p>
            <w:pPr>
              <w:jc w:val="center"/>
              <w:rPr>
                <w:b/>
                <w:bCs/>
                <w:color w:val="auto"/>
                <w:u w:val="single"/>
              </w:rPr>
            </w:pPr>
            <w:r>
              <w:rPr>
                <w:rFonts w:hint="eastAsia"/>
                <w:b/>
                <w:bCs/>
                <w:color w:val="auto"/>
                <w:u w:val="single"/>
              </w:rPr>
              <w:t>1.11E-05</w:t>
            </w:r>
          </w:p>
        </w:tc>
        <w:tc>
          <w:tcPr>
            <w:tcW w:w="1252" w:type="dxa"/>
            <w:shd w:val="clear" w:color="auto" w:fill="auto"/>
            <w:vAlign w:val="center"/>
          </w:tcPr>
          <w:p>
            <w:pPr>
              <w:jc w:val="center"/>
              <w:rPr>
                <w:b/>
                <w:bCs/>
                <w:color w:val="auto"/>
                <w:u w:val="single"/>
              </w:rPr>
            </w:pPr>
            <w:r>
              <w:rPr>
                <w:rFonts w:hint="eastAsia"/>
                <w:b/>
                <w:bCs/>
                <w:color w:val="auto"/>
                <w:u w:val="single"/>
              </w:rPr>
              <w:t>0.11</w:t>
            </w:r>
          </w:p>
        </w:tc>
        <w:tc>
          <w:tcPr>
            <w:tcW w:w="1214" w:type="dxa"/>
            <w:shd w:val="clear" w:color="auto" w:fill="auto"/>
            <w:vAlign w:val="center"/>
          </w:tcPr>
          <w:p>
            <w:pPr>
              <w:jc w:val="center"/>
              <w:rPr>
                <w:b/>
                <w:bCs/>
                <w:color w:val="auto"/>
                <w:u w:val="single"/>
              </w:rPr>
            </w:pPr>
            <w:r>
              <w:rPr>
                <w:rFonts w:hint="eastAsia"/>
                <w:b/>
                <w:bCs/>
                <w:color w:val="auto"/>
                <w:u w:val="single"/>
              </w:rPr>
              <w:t>4.96E-03</w:t>
            </w:r>
          </w:p>
        </w:tc>
        <w:tc>
          <w:tcPr>
            <w:tcW w:w="1172" w:type="dxa"/>
            <w:shd w:val="clear" w:color="auto" w:fill="auto"/>
            <w:vAlign w:val="center"/>
          </w:tcPr>
          <w:p>
            <w:pPr>
              <w:widowControl w:val="0"/>
              <w:adjustRightInd w:val="0"/>
              <w:snapToGrid w:val="0"/>
              <w:jc w:val="center"/>
              <w:textAlignment w:val="baseline"/>
              <w:rPr>
                <w:b/>
                <w:bCs/>
                <w:color w:val="auto"/>
                <w:kern w:val="0"/>
                <w:u w:val="single"/>
              </w:rPr>
            </w:pPr>
            <w:r>
              <w:rPr>
                <w:rFonts w:hint="eastAsia"/>
                <w:b/>
                <w:bCs/>
                <w:color w:val="auto"/>
                <w:u w:val="single"/>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2" w:type="dxa"/>
            <w:shd w:val="clear" w:color="auto" w:fill="auto"/>
            <w:vAlign w:val="center"/>
          </w:tcPr>
          <w:p>
            <w:pPr>
              <w:contextualSpacing/>
              <w:jc w:val="center"/>
              <w:textAlignment w:val="baseline"/>
              <w:rPr>
                <w:color w:val="auto"/>
                <w:kern w:val="0"/>
              </w:rPr>
            </w:pPr>
            <w:r>
              <w:rPr>
                <w:color w:val="auto"/>
                <w:kern w:val="0"/>
              </w:rPr>
              <w:t>Pmax</w:t>
            </w:r>
          </w:p>
        </w:tc>
        <w:tc>
          <w:tcPr>
            <w:tcW w:w="1265" w:type="dxa"/>
            <w:shd w:val="clear" w:color="auto" w:fill="auto"/>
            <w:vAlign w:val="center"/>
          </w:tcPr>
          <w:p>
            <w:pPr>
              <w:jc w:val="center"/>
              <w:rPr>
                <w:b/>
                <w:bCs/>
                <w:color w:val="auto"/>
                <w:szCs w:val="20"/>
                <w:u w:val="single"/>
              </w:rPr>
            </w:pPr>
            <w:r>
              <w:rPr>
                <w:b/>
                <w:bCs/>
                <w:color w:val="auto"/>
                <w:szCs w:val="20"/>
                <w:u w:val="single"/>
              </w:rPr>
              <w:t>0.00</w:t>
            </w:r>
            <w:r>
              <w:rPr>
                <w:rFonts w:hint="eastAsia"/>
                <w:b/>
                <w:bCs/>
                <w:color w:val="auto"/>
                <w:szCs w:val="20"/>
                <w:u w:val="single"/>
              </w:rPr>
              <w:t>335</w:t>
            </w:r>
            <w:r>
              <w:rPr>
                <w:b/>
                <w:bCs/>
                <w:color w:val="auto"/>
                <w:szCs w:val="20"/>
                <w:u w:val="single"/>
              </w:rPr>
              <w:t>（</w:t>
            </w:r>
            <w:r>
              <w:rPr>
                <w:rFonts w:hint="eastAsia"/>
                <w:b/>
                <w:bCs/>
                <w:color w:val="auto"/>
                <w:szCs w:val="20"/>
                <w:u w:val="single"/>
              </w:rPr>
              <w:t>286</w:t>
            </w:r>
            <w:r>
              <w:rPr>
                <w:b/>
                <w:bCs/>
                <w:color w:val="auto"/>
                <w:szCs w:val="20"/>
                <w:u w:val="single"/>
              </w:rPr>
              <w:t>m）</w:t>
            </w:r>
          </w:p>
        </w:tc>
        <w:tc>
          <w:tcPr>
            <w:tcW w:w="1225" w:type="dxa"/>
            <w:shd w:val="clear" w:color="auto" w:fill="auto"/>
            <w:vAlign w:val="center"/>
          </w:tcPr>
          <w:p>
            <w:pPr>
              <w:jc w:val="center"/>
              <w:rPr>
                <w:b/>
                <w:bCs/>
                <w:color w:val="auto"/>
                <w:sz w:val="24"/>
                <w:szCs w:val="24"/>
                <w:u w:val="single"/>
              </w:rPr>
            </w:pPr>
            <w:r>
              <w:rPr>
                <w:rFonts w:hint="eastAsia"/>
                <w:b/>
                <w:bCs/>
                <w:color w:val="auto"/>
                <w:szCs w:val="20"/>
                <w:u w:val="single"/>
              </w:rPr>
              <w:t>1.68</w:t>
            </w:r>
          </w:p>
        </w:tc>
        <w:tc>
          <w:tcPr>
            <w:tcW w:w="1319" w:type="dxa"/>
            <w:shd w:val="clear" w:color="auto" w:fill="auto"/>
            <w:vAlign w:val="center"/>
          </w:tcPr>
          <w:p>
            <w:pPr>
              <w:jc w:val="center"/>
              <w:rPr>
                <w:b/>
                <w:bCs/>
                <w:color w:val="auto"/>
                <w:szCs w:val="20"/>
                <w:u w:val="single"/>
              </w:rPr>
            </w:pPr>
            <w:r>
              <w:rPr>
                <w:b/>
                <w:bCs/>
                <w:color w:val="auto"/>
                <w:szCs w:val="20"/>
                <w:u w:val="single"/>
              </w:rPr>
              <w:t>0.000</w:t>
            </w:r>
            <w:r>
              <w:rPr>
                <w:rFonts w:hint="eastAsia"/>
                <w:b/>
                <w:bCs/>
                <w:color w:val="auto"/>
                <w:szCs w:val="20"/>
                <w:u w:val="single"/>
              </w:rPr>
              <w:t>024</w:t>
            </w:r>
            <w:r>
              <w:rPr>
                <w:b/>
                <w:bCs/>
                <w:color w:val="auto"/>
                <w:szCs w:val="20"/>
                <w:u w:val="single"/>
              </w:rPr>
              <w:t>（</w:t>
            </w:r>
            <w:r>
              <w:rPr>
                <w:rFonts w:hint="eastAsia"/>
                <w:b/>
                <w:bCs/>
                <w:color w:val="auto"/>
                <w:szCs w:val="20"/>
                <w:u w:val="single"/>
              </w:rPr>
              <w:t>286</w:t>
            </w:r>
            <w:r>
              <w:rPr>
                <w:b/>
                <w:bCs/>
                <w:color w:val="auto"/>
                <w:szCs w:val="20"/>
                <w:u w:val="single"/>
              </w:rPr>
              <w:t>m）</w:t>
            </w:r>
          </w:p>
        </w:tc>
        <w:tc>
          <w:tcPr>
            <w:tcW w:w="1252" w:type="dxa"/>
            <w:shd w:val="clear" w:color="auto" w:fill="auto"/>
            <w:vAlign w:val="center"/>
          </w:tcPr>
          <w:p>
            <w:pPr>
              <w:jc w:val="center"/>
              <w:rPr>
                <w:b/>
                <w:bCs/>
                <w:color w:val="auto"/>
                <w:sz w:val="24"/>
                <w:szCs w:val="24"/>
                <w:u w:val="single"/>
              </w:rPr>
            </w:pPr>
            <w:r>
              <w:rPr>
                <w:rFonts w:hint="eastAsia"/>
                <w:b/>
                <w:bCs/>
                <w:color w:val="auto"/>
                <w:szCs w:val="20"/>
                <w:u w:val="single"/>
              </w:rPr>
              <w:t>0.24</w:t>
            </w:r>
          </w:p>
        </w:tc>
        <w:tc>
          <w:tcPr>
            <w:tcW w:w="1214" w:type="dxa"/>
            <w:shd w:val="clear" w:color="auto" w:fill="auto"/>
            <w:vAlign w:val="center"/>
          </w:tcPr>
          <w:p>
            <w:pPr>
              <w:jc w:val="center"/>
              <w:rPr>
                <w:b/>
                <w:bCs/>
                <w:color w:val="auto"/>
                <w:szCs w:val="20"/>
                <w:u w:val="single"/>
              </w:rPr>
            </w:pPr>
            <w:r>
              <w:rPr>
                <w:rFonts w:hint="eastAsia"/>
                <w:b/>
                <w:bCs/>
                <w:color w:val="auto"/>
                <w:szCs w:val="20"/>
                <w:u w:val="single"/>
              </w:rPr>
              <w:t>0.0130</w:t>
            </w:r>
            <w:r>
              <w:rPr>
                <w:b/>
                <w:bCs/>
                <w:color w:val="auto"/>
                <w:szCs w:val="20"/>
                <w:u w:val="single"/>
              </w:rPr>
              <w:t>（</w:t>
            </w:r>
            <w:r>
              <w:rPr>
                <w:rFonts w:hint="eastAsia"/>
                <w:b/>
                <w:bCs/>
                <w:color w:val="auto"/>
                <w:szCs w:val="20"/>
                <w:u w:val="single"/>
              </w:rPr>
              <w:t>254</w:t>
            </w:r>
            <w:r>
              <w:rPr>
                <w:b/>
                <w:bCs/>
                <w:color w:val="auto"/>
                <w:szCs w:val="20"/>
                <w:u w:val="single"/>
              </w:rPr>
              <w:t>m）</w:t>
            </w:r>
          </w:p>
        </w:tc>
        <w:tc>
          <w:tcPr>
            <w:tcW w:w="1172" w:type="dxa"/>
            <w:shd w:val="clear" w:color="auto" w:fill="auto"/>
            <w:vAlign w:val="center"/>
          </w:tcPr>
          <w:p>
            <w:pPr>
              <w:jc w:val="center"/>
              <w:rPr>
                <w:b/>
                <w:bCs/>
                <w:color w:val="auto"/>
                <w:sz w:val="24"/>
                <w:szCs w:val="24"/>
                <w:u w:val="single"/>
              </w:rPr>
            </w:pPr>
            <w:r>
              <w:rPr>
                <w:rFonts w:hint="eastAsia"/>
                <w:b/>
                <w:bCs/>
                <w:color w:val="auto"/>
                <w:sz w:val="24"/>
                <w:szCs w:val="24"/>
                <w:u w:val="single"/>
              </w:rPr>
              <w:t>2.90</w:t>
            </w:r>
          </w:p>
        </w:tc>
      </w:tr>
    </w:tbl>
    <w:p>
      <w:pPr>
        <w:adjustRightInd w:val="0"/>
        <w:snapToGrid w:val="0"/>
        <w:spacing w:before="120" w:line="520" w:lineRule="exact"/>
        <w:ind w:firstLine="480" w:firstLineChars="200"/>
        <w:textAlignment w:val="baseline"/>
        <w:rPr>
          <w:color w:val="auto"/>
          <w:kern w:val="0"/>
          <w:sz w:val="24"/>
          <w:szCs w:val="20"/>
        </w:rPr>
        <w:sectPr>
          <w:pgSz w:w="11907" w:h="16840"/>
          <w:pgMar w:top="1440" w:right="1797" w:bottom="1440" w:left="1797" w:header="907" w:footer="907" w:gutter="0"/>
          <w:cols w:space="425" w:num="1"/>
          <w:docGrid w:linePitch="380" w:charSpace="0"/>
        </w:sectPr>
      </w:pPr>
    </w:p>
    <w:p>
      <w:pPr>
        <w:adjustRightInd w:val="0"/>
        <w:snapToGrid w:val="0"/>
        <w:spacing w:line="520" w:lineRule="exact"/>
        <w:ind w:firstLine="480" w:firstLineChars="200"/>
        <w:textAlignment w:val="baseline"/>
        <w:rPr>
          <w:b/>
          <w:color w:val="auto"/>
          <w:kern w:val="0"/>
          <w:sz w:val="24"/>
          <w:szCs w:val="20"/>
          <w:u w:val="single"/>
        </w:rPr>
      </w:pPr>
      <w:r>
        <w:rPr>
          <w:bCs/>
          <w:color w:val="auto"/>
          <w:kern w:val="0"/>
          <w:sz w:val="24"/>
          <w:szCs w:val="20"/>
        </w:rPr>
        <w:t>由表5.1-13~5.1-14可知，</w:t>
      </w:r>
      <w:r>
        <w:rPr>
          <w:b/>
          <w:color w:val="auto"/>
          <w:spacing w:val="-6"/>
          <w:kern w:val="0"/>
          <w:sz w:val="24"/>
          <w:szCs w:val="20"/>
          <w:u w:val="single"/>
        </w:rPr>
        <w:t>本项目有组织废气排放的污染物：排气</w:t>
      </w:r>
      <w:r>
        <w:rPr>
          <w:rFonts w:hint="eastAsia"/>
          <w:b/>
          <w:color w:val="auto"/>
          <w:spacing w:val="-6"/>
          <w:kern w:val="0"/>
          <w:sz w:val="24"/>
          <w:szCs w:val="20"/>
          <w:u w:val="single"/>
        </w:rPr>
        <w:t>筒</w:t>
      </w:r>
      <w:r>
        <w:rPr>
          <w:b/>
          <w:color w:val="auto"/>
          <w:spacing w:val="-17"/>
          <w:kern w:val="0"/>
          <w:sz w:val="24"/>
          <w:szCs w:val="20"/>
          <w:u w:val="single"/>
        </w:rPr>
        <w:t>DA001</w:t>
      </w:r>
      <w:r>
        <w:rPr>
          <w:rFonts w:hint="eastAsia"/>
          <w:b/>
          <w:color w:val="auto"/>
          <w:spacing w:val="-17"/>
          <w:kern w:val="0"/>
          <w:sz w:val="24"/>
          <w:szCs w:val="20"/>
          <w:u w:val="single"/>
        </w:rPr>
        <w:t>HC</w:t>
      </w:r>
      <w:r>
        <w:rPr>
          <w:rFonts w:hint="eastAsia"/>
          <w:b/>
          <w:color w:val="auto"/>
          <w:kern w:val="0"/>
          <w:sz w:val="24"/>
          <w:szCs w:val="20"/>
          <w:u w:val="single"/>
        </w:rPr>
        <w:t>L</w:t>
      </w:r>
      <w:r>
        <w:rPr>
          <w:b/>
          <w:color w:val="auto"/>
          <w:kern w:val="0"/>
          <w:sz w:val="24"/>
          <w:szCs w:val="20"/>
          <w:u w:val="single"/>
        </w:rPr>
        <w:t>的最大落地浓度出现在下风向</w:t>
      </w:r>
      <w:r>
        <w:rPr>
          <w:rFonts w:hint="eastAsia"/>
          <w:b/>
          <w:color w:val="auto"/>
          <w:kern w:val="0"/>
          <w:sz w:val="24"/>
          <w:szCs w:val="20"/>
          <w:u w:val="single"/>
        </w:rPr>
        <w:t>310</w:t>
      </w:r>
      <w:r>
        <w:rPr>
          <w:b/>
          <w:color w:val="auto"/>
          <w:kern w:val="0"/>
          <w:sz w:val="24"/>
          <w:szCs w:val="20"/>
          <w:u w:val="single"/>
        </w:rPr>
        <w:t>m处，最大落地浓0.000</w:t>
      </w:r>
      <w:r>
        <w:rPr>
          <w:rFonts w:hint="eastAsia"/>
          <w:b/>
          <w:color w:val="auto"/>
          <w:kern w:val="0"/>
          <w:sz w:val="24"/>
          <w:szCs w:val="20"/>
          <w:u w:val="single"/>
        </w:rPr>
        <w:t>549</w:t>
      </w:r>
      <w:r>
        <w:rPr>
          <w:b/>
          <w:color w:val="auto"/>
          <w:kern w:val="0"/>
          <w:sz w:val="24"/>
          <w:szCs w:val="20"/>
          <w:u w:val="single"/>
        </w:rPr>
        <w:t>mg/m</w:t>
      </w:r>
      <w:r>
        <w:rPr>
          <w:b/>
          <w:color w:val="auto"/>
          <w:kern w:val="0"/>
          <w:sz w:val="24"/>
          <w:szCs w:val="20"/>
          <w:u w:val="single"/>
          <w:vertAlign w:val="superscript"/>
        </w:rPr>
        <w:t>3</w:t>
      </w:r>
      <w:r>
        <w:rPr>
          <w:b/>
          <w:color w:val="auto"/>
          <w:kern w:val="0"/>
          <w:sz w:val="24"/>
          <w:szCs w:val="20"/>
          <w:u w:val="single"/>
        </w:rPr>
        <w:t>，占标率</w:t>
      </w:r>
      <w:r>
        <w:rPr>
          <w:rFonts w:hint="eastAsia"/>
          <w:b/>
          <w:color w:val="auto"/>
          <w:kern w:val="0"/>
          <w:sz w:val="24"/>
          <w:szCs w:val="20"/>
          <w:u w:val="single"/>
        </w:rPr>
        <w:t>1.1</w:t>
      </w:r>
      <w:r>
        <w:rPr>
          <w:b/>
          <w:color w:val="auto"/>
          <w:kern w:val="0"/>
          <w:sz w:val="24"/>
          <w:szCs w:val="20"/>
          <w:u w:val="single"/>
        </w:rPr>
        <w:t>%；</w:t>
      </w:r>
      <w:r>
        <w:rPr>
          <w:color w:val="auto"/>
          <w:kern w:val="0"/>
          <w:sz w:val="24"/>
          <w:szCs w:val="20"/>
        </w:rPr>
        <w:t>排气筒DA002</w:t>
      </w:r>
      <w:r>
        <w:rPr>
          <w:rFonts w:hint="eastAsia"/>
          <w:color w:val="auto"/>
          <w:kern w:val="0"/>
          <w:sz w:val="24"/>
          <w:szCs w:val="20"/>
        </w:rPr>
        <w:t>颗粒物</w:t>
      </w:r>
      <w:r>
        <w:rPr>
          <w:color w:val="auto"/>
          <w:kern w:val="0"/>
          <w:sz w:val="24"/>
          <w:szCs w:val="20"/>
        </w:rPr>
        <w:t>的最大落地浓度出现在下风向</w:t>
      </w:r>
      <w:r>
        <w:rPr>
          <w:rFonts w:hint="eastAsia"/>
          <w:color w:val="auto"/>
          <w:kern w:val="0"/>
          <w:sz w:val="24"/>
          <w:szCs w:val="20"/>
        </w:rPr>
        <w:t>320</w:t>
      </w:r>
      <w:r>
        <w:rPr>
          <w:color w:val="auto"/>
          <w:kern w:val="0"/>
          <w:sz w:val="24"/>
          <w:szCs w:val="20"/>
        </w:rPr>
        <w:t>m处，最大落地浓度0.00</w:t>
      </w:r>
      <w:r>
        <w:rPr>
          <w:rFonts w:hint="eastAsia"/>
          <w:color w:val="auto"/>
          <w:kern w:val="0"/>
          <w:sz w:val="24"/>
          <w:szCs w:val="20"/>
        </w:rPr>
        <w:t>144</w:t>
      </w:r>
      <w:r>
        <w:rPr>
          <w:color w:val="auto"/>
          <w:kern w:val="0"/>
          <w:sz w:val="24"/>
          <w:szCs w:val="20"/>
        </w:rPr>
        <w:t>mg/m</w:t>
      </w:r>
      <w:r>
        <w:rPr>
          <w:color w:val="auto"/>
          <w:kern w:val="0"/>
          <w:sz w:val="24"/>
          <w:szCs w:val="20"/>
          <w:vertAlign w:val="superscript"/>
        </w:rPr>
        <w:t>3</w:t>
      </w:r>
      <w:r>
        <w:rPr>
          <w:color w:val="auto"/>
          <w:kern w:val="0"/>
          <w:sz w:val="24"/>
          <w:szCs w:val="20"/>
        </w:rPr>
        <w:t>，占标率</w:t>
      </w:r>
      <w:r>
        <w:rPr>
          <w:rFonts w:hint="eastAsia"/>
          <w:color w:val="auto"/>
          <w:kern w:val="0"/>
          <w:sz w:val="24"/>
          <w:szCs w:val="20"/>
        </w:rPr>
        <w:t>0.32</w:t>
      </w:r>
      <w:r>
        <w:rPr>
          <w:color w:val="auto"/>
          <w:kern w:val="0"/>
          <w:sz w:val="24"/>
          <w:szCs w:val="20"/>
        </w:rPr>
        <w:t>%；SO</w:t>
      </w:r>
      <w:r>
        <w:rPr>
          <w:color w:val="auto"/>
          <w:kern w:val="0"/>
          <w:sz w:val="24"/>
          <w:szCs w:val="20"/>
          <w:vertAlign w:val="subscript"/>
        </w:rPr>
        <w:t>2</w:t>
      </w:r>
      <w:r>
        <w:rPr>
          <w:color w:val="auto"/>
          <w:kern w:val="0"/>
          <w:sz w:val="24"/>
          <w:szCs w:val="20"/>
        </w:rPr>
        <w:t>的最大落地浓度出现在下风向</w:t>
      </w:r>
      <w:r>
        <w:rPr>
          <w:rFonts w:hint="eastAsia"/>
          <w:color w:val="auto"/>
          <w:kern w:val="0"/>
          <w:sz w:val="24"/>
          <w:szCs w:val="20"/>
        </w:rPr>
        <w:t>300</w:t>
      </w:r>
      <w:r>
        <w:rPr>
          <w:color w:val="auto"/>
          <w:kern w:val="0"/>
          <w:sz w:val="24"/>
          <w:szCs w:val="20"/>
        </w:rPr>
        <w:t>m处</w:t>
      </w:r>
      <w:r>
        <w:rPr>
          <w:rFonts w:hint="eastAsia"/>
          <w:color w:val="auto"/>
          <w:kern w:val="0"/>
          <w:sz w:val="24"/>
          <w:szCs w:val="20"/>
        </w:rPr>
        <w:t>，</w:t>
      </w:r>
      <w:r>
        <w:rPr>
          <w:color w:val="auto"/>
          <w:kern w:val="0"/>
          <w:sz w:val="24"/>
          <w:szCs w:val="20"/>
        </w:rPr>
        <w:t>最大落地浓度为</w:t>
      </w:r>
      <w:r>
        <w:rPr>
          <w:rFonts w:hint="eastAsia"/>
          <w:color w:val="auto"/>
          <w:kern w:val="0"/>
          <w:sz w:val="24"/>
          <w:szCs w:val="20"/>
        </w:rPr>
        <w:t>0.0102</w:t>
      </w:r>
      <w:r>
        <w:rPr>
          <w:color w:val="auto"/>
          <w:kern w:val="0"/>
          <w:sz w:val="24"/>
          <w:szCs w:val="20"/>
        </w:rPr>
        <w:t>mg/m</w:t>
      </w:r>
      <w:r>
        <w:rPr>
          <w:color w:val="auto"/>
          <w:kern w:val="0"/>
          <w:sz w:val="24"/>
          <w:szCs w:val="20"/>
          <w:vertAlign w:val="superscript"/>
        </w:rPr>
        <w:t>3</w:t>
      </w:r>
      <w:r>
        <w:rPr>
          <w:color w:val="auto"/>
          <w:kern w:val="0"/>
          <w:sz w:val="24"/>
          <w:szCs w:val="20"/>
        </w:rPr>
        <w:t>，占标率为</w:t>
      </w:r>
      <w:r>
        <w:rPr>
          <w:rFonts w:hint="eastAsia"/>
          <w:color w:val="auto"/>
          <w:kern w:val="0"/>
          <w:sz w:val="24"/>
          <w:szCs w:val="20"/>
        </w:rPr>
        <w:t>2.05</w:t>
      </w:r>
      <w:r>
        <w:rPr>
          <w:color w:val="auto"/>
          <w:kern w:val="0"/>
          <w:sz w:val="24"/>
          <w:szCs w:val="20"/>
        </w:rPr>
        <w:t>%；NO</w:t>
      </w:r>
      <w:r>
        <w:rPr>
          <w:color w:val="auto"/>
          <w:kern w:val="0"/>
          <w:sz w:val="24"/>
          <w:szCs w:val="20"/>
          <w:vertAlign w:val="subscript"/>
        </w:rPr>
        <w:t>X</w:t>
      </w:r>
      <w:r>
        <w:rPr>
          <w:color w:val="auto"/>
          <w:kern w:val="0"/>
          <w:sz w:val="24"/>
          <w:szCs w:val="20"/>
        </w:rPr>
        <w:t>的最大落地浓度出现在下风向</w:t>
      </w:r>
      <w:r>
        <w:rPr>
          <w:rFonts w:hint="eastAsia"/>
          <w:color w:val="auto"/>
          <w:kern w:val="0"/>
          <w:sz w:val="24"/>
          <w:szCs w:val="20"/>
        </w:rPr>
        <w:t>320</w:t>
      </w:r>
      <w:r>
        <w:rPr>
          <w:color w:val="auto"/>
          <w:kern w:val="0"/>
          <w:sz w:val="24"/>
          <w:szCs w:val="20"/>
        </w:rPr>
        <w:t>m处</w:t>
      </w:r>
      <w:r>
        <w:rPr>
          <w:rFonts w:hint="eastAsia"/>
          <w:color w:val="auto"/>
          <w:kern w:val="0"/>
          <w:sz w:val="24"/>
          <w:szCs w:val="20"/>
        </w:rPr>
        <w:t>，</w:t>
      </w:r>
      <w:r>
        <w:rPr>
          <w:color w:val="auto"/>
          <w:kern w:val="0"/>
          <w:sz w:val="24"/>
          <w:szCs w:val="20"/>
        </w:rPr>
        <w:t>最大落地浓度为0.0086</w:t>
      </w:r>
      <w:r>
        <w:rPr>
          <w:rFonts w:hint="eastAsia"/>
          <w:color w:val="auto"/>
          <w:kern w:val="0"/>
          <w:sz w:val="24"/>
          <w:szCs w:val="20"/>
        </w:rPr>
        <w:t>2</w:t>
      </w:r>
      <w:r>
        <w:rPr>
          <w:color w:val="auto"/>
          <w:kern w:val="0"/>
          <w:sz w:val="24"/>
          <w:szCs w:val="20"/>
        </w:rPr>
        <w:t>mg/m</w:t>
      </w:r>
      <w:r>
        <w:rPr>
          <w:color w:val="auto"/>
          <w:kern w:val="0"/>
          <w:sz w:val="24"/>
          <w:szCs w:val="20"/>
          <w:vertAlign w:val="superscript"/>
        </w:rPr>
        <w:t>3</w:t>
      </w:r>
      <w:r>
        <w:rPr>
          <w:color w:val="auto"/>
          <w:kern w:val="0"/>
          <w:sz w:val="24"/>
          <w:szCs w:val="20"/>
        </w:rPr>
        <w:t>，占标率为4.31%。</w:t>
      </w:r>
      <w:r>
        <w:rPr>
          <w:b/>
          <w:color w:val="auto"/>
          <w:kern w:val="0"/>
          <w:sz w:val="24"/>
          <w:szCs w:val="20"/>
          <w:u w:val="single"/>
        </w:rPr>
        <w:t>排气筒DA00</w:t>
      </w:r>
      <w:r>
        <w:rPr>
          <w:rFonts w:hint="eastAsia"/>
          <w:b/>
          <w:color w:val="auto"/>
          <w:kern w:val="0"/>
          <w:sz w:val="24"/>
          <w:szCs w:val="20"/>
          <w:u w:val="single"/>
        </w:rPr>
        <w:t>3 NH</w:t>
      </w:r>
      <w:r>
        <w:rPr>
          <w:rFonts w:hint="eastAsia"/>
          <w:b/>
          <w:color w:val="auto"/>
          <w:kern w:val="0"/>
          <w:sz w:val="24"/>
          <w:szCs w:val="20"/>
          <w:u w:val="single"/>
          <w:vertAlign w:val="subscript"/>
        </w:rPr>
        <w:t>3</w:t>
      </w:r>
      <w:r>
        <w:rPr>
          <w:b/>
          <w:color w:val="auto"/>
          <w:spacing w:val="-6"/>
          <w:kern w:val="0"/>
          <w:sz w:val="24"/>
          <w:szCs w:val="20"/>
          <w:u w:val="single"/>
        </w:rPr>
        <w:t>的最大落地浓度出现在下风向</w:t>
      </w:r>
      <w:r>
        <w:rPr>
          <w:rFonts w:hint="eastAsia"/>
          <w:b/>
          <w:color w:val="auto"/>
          <w:spacing w:val="-6"/>
          <w:kern w:val="0"/>
          <w:sz w:val="24"/>
          <w:szCs w:val="20"/>
          <w:u w:val="single"/>
        </w:rPr>
        <w:t>286</w:t>
      </w:r>
      <w:r>
        <w:rPr>
          <w:b/>
          <w:color w:val="auto"/>
          <w:spacing w:val="-6"/>
          <w:kern w:val="0"/>
          <w:sz w:val="24"/>
          <w:szCs w:val="20"/>
          <w:u w:val="single"/>
        </w:rPr>
        <w:t>m处，最大落地浓度为</w:t>
      </w:r>
      <w:r>
        <w:rPr>
          <w:rFonts w:hint="eastAsia"/>
          <w:b/>
          <w:color w:val="auto"/>
          <w:kern w:val="0"/>
          <w:sz w:val="24"/>
          <w:szCs w:val="20"/>
          <w:u w:val="single"/>
        </w:rPr>
        <w:t>0.00335</w:t>
      </w:r>
      <w:r>
        <w:rPr>
          <w:b/>
          <w:color w:val="auto"/>
          <w:kern w:val="0"/>
          <w:sz w:val="24"/>
          <w:szCs w:val="20"/>
          <w:u w:val="single"/>
        </w:rPr>
        <w:t>mg/m</w:t>
      </w:r>
      <w:r>
        <w:rPr>
          <w:b/>
          <w:color w:val="auto"/>
          <w:kern w:val="0"/>
          <w:sz w:val="24"/>
          <w:szCs w:val="20"/>
          <w:u w:val="single"/>
          <w:vertAlign w:val="superscript"/>
        </w:rPr>
        <w:t>3</w:t>
      </w:r>
      <w:r>
        <w:rPr>
          <w:b/>
          <w:color w:val="auto"/>
          <w:kern w:val="0"/>
          <w:sz w:val="24"/>
          <w:szCs w:val="20"/>
          <w:u w:val="single"/>
        </w:rPr>
        <w:t>，占标率为</w:t>
      </w:r>
      <w:r>
        <w:rPr>
          <w:rFonts w:hint="eastAsia"/>
          <w:b/>
          <w:color w:val="auto"/>
          <w:kern w:val="0"/>
          <w:sz w:val="24"/>
          <w:szCs w:val="20"/>
          <w:u w:val="single"/>
        </w:rPr>
        <w:t>1.68</w:t>
      </w:r>
      <w:r>
        <w:rPr>
          <w:b/>
          <w:color w:val="auto"/>
          <w:kern w:val="0"/>
          <w:sz w:val="24"/>
          <w:szCs w:val="20"/>
          <w:u w:val="single"/>
        </w:rPr>
        <w:t>%；</w:t>
      </w:r>
      <w:r>
        <w:rPr>
          <w:rFonts w:hint="eastAsia"/>
          <w:b/>
          <w:color w:val="auto"/>
          <w:kern w:val="0"/>
          <w:sz w:val="24"/>
          <w:szCs w:val="20"/>
          <w:u w:val="single"/>
        </w:rPr>
        <w:t>H</w:t>
      </w:r>
      <w:r>
        <w:rPr>
          <w:rFonts w:hint="eastAsia"/>
          <w:b/>
          <w:color w:val="auto"/>
          <w:kern w:val="0"/>
          <w:sz w:val="24"/>
          <w:szCs w:val="20"/>
          <w:u w:val="single"/>
          <w:vertAlign w:val="subscript"/>
        </w:rPr>
        <w:t>2</w:t>
      </w:r>
      <w:r>
        <w:rPr>
          <w:rFonts w:hint="eastAsia"/>
          <w:b/>
          <w:color w:val="auto"/>
          <w:kern w:val="0"/>
          <w:sz w:val="24"/>
          <w:szCs w:val="20"/>
          <w:u w:val="single"/>
        </w:rPr>
        <w:t>S</w:t>
      </w:r>
      <w:r>
        <w:rPr>
          <w:b/>
          <w:color w:val="auto"/>
          <w:kern w:val="0"/>
          <w:sz w:val="24"/>
          <w:szCs w:val="20"/>
          <w:u w:val="single"/>
        </w:rPr>
        <w:t>的最大落地浓度出现在下风向</w:t>
      </w:r>
      <w:r>
        <w:rPr>
          <w:rFonts w:hint="eastAsia"/>
          <w:b/>
          <w:color w:val="auto"/>
          <w:kern w:val="0"/>
          <w:sz w:val="24"/>
          <w:szCs w:val="20"/>
          <w:u w:val="single"/>
        </w:rPr>
        <w:t>286</w:t>
      </w:r>
      <w:r>
        <w:rPr>
          <w:b/>
          <w:color w:val="auto"/>
          <w:kern w:val="0"/>
          <w:sz w:val="24"/>
          <w:szCs w:val="20"/>
          <w:u w:val="single"/>
        </w:rPr>
        <w:t>m处</w:t>
      </w:r>
      <w:r>
        <w:rPr>
          <w:rFonts w:hint="eastAsia"/>
          <w:b/>
          <w:color w:val="auto"/>
          <w:kern w:val="0"/>
          <w:sz w:val="24"/>
          <w:szCs w:val="20"/>
          <w:u w:val="single"/>
        </w:rPr>
        <w:t>，</w:t>
      </w:r>
      <w:r>
        <w:rPr>
          <w:b/>
          <w:color w:val="auto"/>
          <w:kern w:val="0"/>
          <w:sz w:val="24"/>
          <w:szCs w:val="20"/>
          <w:u w:val="single"/>
        </w:rPr>
        <w:t>最大落地浓度为</w:t>
      </w:r>
      <w:r>
        <w:rPr>
          <w:rFonts w:hint="eastAsia"/>
          <w:b/>
          <w:color w:val="auto"/>
          <w:kern w:val="0"/>
          <w:sz w:val="24"/>
          <w:szCs w:val="20"/>
          <w:u w:val="single"/>
        </w:rPr>
        <w:t>0.000024</w:t>
      </w:r>
      <w:r>
        <w:rPr>
          <w:b/>
          <w:color w:val="auto"/>
          <w:kern w:val="0"/>
          <w:sz w:val="24"/>
          <w:szCs w:val="20"/>
          <w:u w:val="single"/>
        </w:rPr>
        <w:t>mg/m</w:t>
      </w:r>
      <w:r>
        <w:rPr>
          <w:b/>
          <w:color w:val="auto"/>
          <w:kern w:val="0"/>
          <w:sz w:val="24"/>
          <w:szCs w:val="20"/>
          <w:u w:val="single"/>
          <w:vertAlign w:val="superscript"/>
        </w:rPr>
        <w:t>3</w:t>
      </w:r>
      <w:r>
        <w:rPr>
          <w:b/>
          <w:color w:val="auto"/>
          <w:kern w:val="0"/>
          <w:sz w:val="24"/>
          <w:szCs w:val="20"/>
          <w:u w:val="single"/>
        </w:rPr>
        <w:t>，占标率为</w:t>
      </w:r>
      <w:r>
        <w:rPr>
          <w:rFonts w:hint="eastAsia"/>
          <w:b/>
          <w:color w:val="auto"/>
          <w:kern w:val="0"/>
          <w:sz w:val="24"/>
          <w:szCs w:val="20"/>
          <w:u w:val="single"/>
        </w:rPr>
        <w:t>0.24</w:t>
      </w:r>
      <w:r>
        <w:rPr>
          <w:b/>
          <w:color w:val="auto"/>
          <w:kern w:val="0"/>
          <w:sz w:val="24"/>
          <w:szCs w:val="20"/>
          <w:u w:val="single"/>
        </w:rPr>
        <w:t>%；排气DA00</w:t>
      </w:r>
      <w:r>
        <w:rPr>
          <w:rFonts w:hint="eastAsia"/>
          <w:b/>
          <w:color w:val="auto"/>
          <w:kern w:val="0"/>
          <w:sz w:val="24"/>
          <w:szCs w:val="20"/>
          <w:u w:val="single"/>
        </w:rPr>
        <w:t>4 颗粒物</w:t>
      </w:r>
      <w:r>
        <w:rPr>
          <w:b/>
          <w:color w:val="auto"/>
          <w:kern w:val="0"/>
          <w:sz w:val="24"/>
          <w:szCs w:val="20"/>
          <w:u w:val="single"/>
        </w:rPr>
        <w:t>的最大落地浓度出现在下风向</w:t>
      </w:r>
      <w:r>
        <w:rPr>
          <w:rFonts w:hint="eastAsia"/>
          <w:b/>
          <w:color w:val="auto"/>
          <w:kern w:val="0"/>
          <w:sz w:val="24"/>
          <w:szCs w:val="20"/>
          <w:u w:val="single"/>
        </w:rPr>
        <w:t>254</w:t>
      </w:r>
      <w:r>
        <w:rPr>
          <w:b/>
          <w:color w:val="auto"/>
          <w:kern w:val="0"/>
          <w:sz w:val="24"/>
          <w:szCs w:val="20"/>
          <w:u w:val="single"/>
        </w:rPr>
        <w:t>m处，最大落地浓0.0</w:t>
      </w:r>
      <w:r>
        <w:rPr>
          <w:rFonts w:hint="eastAsia"/>
          <w:b/>
          <w:color w:val="auto"/>
          <w:kern w:val="0"/>
          <w:sz w:val="24"/>
          <w:szCs w:val="20"/>
          <w:u w:val="single"/>
        </w:rPr>
        <w:t>13</w:t>
      </w:r>
      <w:r>
        <w:rPr>
          <w:b/>
          <w:color w:val="auto"/>
          <w:kern w:val="0"/>
          <w:sz w:val="24"/>
          <w:szCs w:val="20"/>
          <w:u w:val="single"/>
        </w:rPr>
        <w:t>mg/m</w:t>
      </w:r>
      <w:r>
        <w:rPr>
          <w:b/>
          <w:color w:val="auto"/>
          <w:kern w:val="0"/>
          <w:sz w:val="24"/>
          <w:szCs w:val="20"/>
          <w:u w:val="single"/>
          <w:vertAlign w:val="superscript"/>
        </w:rPr>
        <w:t>3</w:t>
      </w:r>
      <w:r>
        <w:rPr>
          <w:b/>
          <w:color w:val="auto"/>
          <w:kern w:val="0"/>
          <w:sz w:val="24"/>
          <w:szCs w:val="20"/>
          <w:u w:val="single"/>
        </w:rPr>
        <w:t>，占标率</w:t>
      </w:r>
      <w:r>
        <w:rPr>
          <w:rFonts w:hint="eastAsia"/>
          <w:b/>
          <w:color w:val="auto"/>
          <w:kern w:val="0"/>
          <w:sz w:val="24"/>
          <w:szCs w:val="20"/>
          <w:u w:val="single"/>
        </w:rPr>
        <w:t>2.9</w:t>
      </w:r>
      <w:r>
        <w:rPr>
          <w:b/>
          <w:color w:val="auto"/>
          <w:kern w:val="0"/>
          <w:sz w:val="24"/>
          <w:szCs w:val="20"/>
          <w:u w:val="single"/>
        </w:rPr>
        <w:t>%；</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经由上分析，本项目有组织排放各污染物的占标率均较低，均不超标，对周围环境的影响可以接受。</w:t>
      </w:r>
    </w:p>
    <w:p>
      <w:pPr>
        <w:adjustRightInd w:val="0"/>
        <w:snapToGrid w:val="0"/>
        <w:spacing w:line="520" w:lineRule="exact"/>
        <w:textAlignment w:val="baseline"/>
        <w:rPr>
          <w:color w:val="auto"/>
          <w:kern w:val="0"/>
          <w:sz w:val="24"/>
          <w:szCs w:val="20"/>
        </w:rPr>
      </w:pPr>
      <w:r>
        <w:rPr>
          <w:color w:val="auto"/>
          <w:kern w:val="0"/>
          <w:sz w:val="24"/>
          <w:szCs w:val="20"/>
        </w:rPr>
        <w:t>（2）本项目污染物无组织排放预测结果</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 xml:space="preserve">  本项目污染物无组织排放预测结果见表5.1-15。</w:t>
      </w: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sectPr>
          <w:pgSz w:w="11907" w:h="16840"/>
          <w:pgMar w:top="1440" w:right="1797" w:bottom="1440" w:left="1797" w:header="907" w:footer="907" w:gutter="0"/>
          <w:cols w:space="425" w:num="1"/>
          <w:docGrid w:linePitch="380" w:charSpace="0"/>
        </w:sectPr>
      </w:pPr>
    </w:p>
    <w:p>
      <w:pPr>
        <w:ind w:firstLine="960" w:firstLineChars="400"/>
        <w:jc w:val="center"/>
        <w:rPr>
          <w:rFonts w:eastAsia="黑体"/>
          <w:color w:val="auto"/>
          <w:sz w:val="24"/>
          <w:szCs w:val="24"/>
        </w:rPr>
      </w:pPr>
      <w:r>
        <w:rPr>
          <w:rFonts w:eastAsia="黑体"/>
          <w:color w:val="auto"/>
          <w:sz w:val="24"/>
          <w:szCs w:val="24"/>
        </w:rPr>
        <w:t>表5.1-15  本项目污染物无组织排放预测结果一览表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9"/>
        <w:gridCol w:w="1986"/>
        <w:gridCol w:w="1560"/>
        <w:gridCol w:w="2037"/>
        <w:gridCol w:w="1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Merge w:val="restart"/>
            <w:shd w:val="clear" w:color="auto" w:fill="auto"/>
            <w:vAlign w:val="center"/>
          </w:tcPr>
          <w:p>
            <w:pPr>
              <w:widowControl w:val="0"/>
              <w:jc w:val="center"/>
              <w:rPr>
                <w:color w:val="auto"/>
                <w:kern w:val="0"/>
              </w:rPr>
            </w:pPr>
            <w:r>
              <w:rPr>
                <w:b/>
                <w:bCs/>
                <w:color w:val="auto"/>
                <w:kern w:val="0"/>
              </w:rPr>
              <w:t>下风向距离D（m）</w:t>
            </w:r>
          </w:p>
        </w:tc>
        <w:tc>
          <w:tcPr>
            <w:tcW w:w="2078" w:type="pct"/>
            <w:gridSpan w:val="2"/>
            <w:shd w:val="clear" w:color="auto" w:fill="auto"/>
            <w:vAlign w:val="center"/>
          </w:tcPr>
          <w:p>
            <w:pPr>
              <w:widowControl w:val="0"/>
              <w:jc w:val="center"/>
              <w:rPr>
                <w:b/>
                <w:bCs/>
                <w:color w:val="auto"/>
                <w:kern w:val="0"/>
                <w:u w:val="single"/>
              </w:rPr>
            </w:pPr>
            <w:r>
              <w:rPr>
                <w:b/>
                <w:bCs/>
                <w:color w:val="auto"/>
                <w:kern w:val="0"/>
                <w:u w:val="single"/>
              </w:rPr>
              <w:t>北车间</w:t>
            </w:r>
          </w:p>
        </w:tc>
        <w:tc>
          <w:tcPr>
            <w:tcW w:w="2194" w:type="pct"/>
            <w:gridSpan w:val="2"/>
            <w:shd w:val="clear" w:color="auto" w:fill="auto"/>
            <w:vAlign w:val="center"/>
          </w:tcPr>
          <w:p>
            <w:pPr>
              <w:widowControl w:val="0"/>
              <w:jc w:val="center"/>
              <w:rPr>
                <w:b/>
                <w:bCs/>
                <w:color w:val="auto"/>
                <w:kern w:val="0"/>
                <w:u w:val="single"/>
              </w:rPr>
            </w:pPr>
            <w:r>
              <w:rPr>
                <w:b/>
                <w:bCs/>
                <w:color w:val="auto"/>
                <w:kern w:val="0"/>
                <w:u w:val="single"/>
              </w:rPr>
              <w:t>南车间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Merge w:val="continue"/>
            <w:shd w:val="clear" w:color="auto" w:fill="auto"/>
            <w:vAlign w:val="center"/>
          </w:tcPr>
          <w:p>
            <w:pPr>
              <w:widowControl w:val="0"/>
              <w:ind w:firstLine="420" w:firstLineChars="200"/>
              <w:jc w:val="center"/>
              <w:rPr>
                <w:color w:val="auto"/>
                <w:kern w:val="0"/>
              </w:rPr>
            </w:pPr>
          </w:p>
        </w:tc>
        <w:tc>
          <w:tcPr>
            <w:tcW w:w="2078" w:type="pct"/>
            <w:gridSpan w:val="2"/>
            <w:shd w:val="clear" w:color="auto" w:fill="auto"/>
            <w:vAlign w:val="center"/>
          </w:tcPr>
          <w:p>
            <w:pPr>
              <w:widowControl w:val="0"/>
              <w:jc w:val="center"/>
              <w:rPr>
                <w:b/>
                <w:bCs/>
                <w:color w:val="auto"/>
                <w:kern w:val="0"/>
                <w:u w:val="single"/>
              </w:rPr>
            </w:pPr>
            <w:r>
              <w:rPr>
                <w:b/>
                <w:bCs/>
                <w:color w:val="auto"/>
                <w:kern w:val="0"/>
                <w:u w:val="single"/>
              </w:rPr>
              <w:t>HCL</w:t>
            </w:r>
          </w:p>
        </w:tc>
        <w:tc>
          <w:tcPr>
            <w:tcW w:w="2194" w:type="pct"/>
            <w:gridSpan w:val="2"/>
            <w:shd w:val="clear" w:color="auto" w:fill="auto"/>
            <w:vAlign w:val="center"/>
          </w:tcPr>
          <w:p>
            <w:pPr>
              <w:widowControl w:val="0"/>
              <w:ind w:firstLine="422" w:firstLineChars="200"/>
              <w:jc w:val="center"/>
              <w:rPr>
                <w:b/>
                <w:bCs/>
                <w:color w:val="auto"/>
                <w:kern w:val="0"/>
                <w:u w:val="single"/>
              </w:rPr>
            </w:pPr>
            <w:r>
              <w:rPr>
                <w:b/>
                <w:bCs/>
                <w:color w:val="auto"/>
                <w:kern w:val="0"/>
                <w:u w:val="single"/>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vMerge w:val="continue"/>
            <w:shd w:val="clear" w:color="auto" w:fill="auto"/>
            <w:vAlign w:val="center"/>
          </w:tcPr>
          <w:p>
            <w:pPr>
              <w:widowControl w:val="0"/>
              <w:ind w:firstLine="420" w:firstLineChars="200"/>
              <w:jc w:val="center"/>
              <w:rPr>
                <w:color w:val="auto"/>
                <w:kern w:val="0"/>
              </w:rPr>
            </w:pPr>
          </w:p>
        </w:tc>
        <w:tc>
          <w:tcPr>
            <w:tcW w:w="1164" w:type="pct"/>
            <w:shd w:val="clear" w:color="auto" w:fill="auto"/>
            <w:vAlign w:val="center"/>
          </w:tcPr>
          <w:p>
            <w:pPr>
              <w:widowControl w:val="0"/>
              <w:jc w:val="center"/>
              <w:rPr>
                <w:b/>
                <w:bCs/>
                <w:color w:val="auto"/>
                <w:u w:val="single"/>
              </w:rPr>
            </w:pPr>
            <w:r>
              <w:rPr>
                <w:b/>
                <w:bCs/>
                <w:color w:val="auto"/>
                <w:u w:val="single"/>
              </w:rPr>
              <w:t>预测浓度（mg/m</w:t>
            </w:r>
            <w:r>
              <w:rPr>
                <w:b/>
                <w:bCs/>
                <w:color w:val="auto"/>
                <w:u w:val="single"/>
                <w:vertAlign w:val="superscript"/>
              </w:rPr>
              <w:t>3</w:t>
            </w:r>
            <w:r>
              <w:rPr>
                <w:b/>
                <w:bCs/>
                <w:color w:val="auto"/>
                <w:u w:val="single"/>
              </w:rPr>
              <w:t>）</w:t>
            </w:r>
          </w:p>
        </w:tc>
        <w:tc>
          <w:tcPr>
            <w:tcW w:w="914" w:type="pct"/>
            <w:shd w:val="clear" w:color="auto" w:fill="auto"/>
            <w:vAlign w:val="center"/>
          </w:tcPr>
          <w:p>
            <w:pPr>
              <w:widowControl w:val="0"/>
              <w:jc w:val="center"/>
              <w:rPr>
                <w:b/>
                <w:bCs/>
                <w:color w:val="auto"/>
                <w:u w:val="single"/>
              </w:rPr>
            </w:pPr>
            <w:r>
              <w:rPr>
                <w:b/>
                <w:bCs/>
                <w:color w:val="auto"/>
                <w:u w:val="single"/>
              </w:rPr>
              <w:t>占标率（%）</w:t>
            </w:r>
          </w:p>
        </w:tc>
        <w:tc>
          <w:tcPr>
            <w:tcW w:w="1194" w:type="pct"/>
            <w:shd w:val="clear" w:color="auto" w:fill="auto"/>
            <w:vAlign w:val="center"/>
          </w:tcPr>
          <w:p>
            <w:pPr>
              <w:widowControl w:val="0"/>
              <w:jc w:val="center"/>
              <w:rPr>
                <w:b/>
                <w:bCs/>
                <w:color w:val="auto"/>
                <w:u w:val="single"/>
              </w:rPr>
            </w:pPr>
            <w:r>
              <w:rPr>
                <w:b/>
                <w:bCs/>
                <w:color w:val="auto"/>
                <w:u w:val="single"/>
              </w:rPr>
              <w:t>预测浓度（mg/m</w:t>
            </w:r>
            <w:r>
              <w:rPr>
                <w:b/>
                <w:bCs/>
                <w:color w:val="auto"/>
                <w:u w:val="single"/>
                <w:vertAlign w:val="superscript"/>
              </w:rPr>
              <w:t>3</w:t>
            </w:r>
            <w:r>
              <w:rPr>
                <w:b/>
                <w:bCs/>
                <w:color w:val="auto"/>
                <w:u w:val="single"/>
              </w:rPr>
              <w:t>）</w:t>
            </w:r>
          </w:p>
        </w:tc>
        <w:tc>
          <w:tcPr>
            <w:tcW w:w="1000" w:type="pct"/>
            <w:shd w:val="clear" w:color="auto" w:fill="auto"/>
            <w:vAlign w:val="center"/>
          </w:tcPr>
          <w:p>
            <w:pPr>
              <w:widowControl w:val="0"/>
              <w:jc w:val="center"/>
              <w:rPr>
                <w:b/>
                <w:bCs/>
                <w:color w:val="auto"/>
                <w:u w:val="single"/>
              </w:rPr>
            </w:pPr>
            <w:r>
              <w:rPr>
                <w:b/>
                <w:bCs/>
                <w:color w:val="auto"/>
                <w:u w:val="single"/>
              </w:rPr>
              <w:t>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10</w:t>
            </w:r>
          </w:p>
        </w:tc>
        <w:tc>
          <w:tcPr>
            <w:tcW w:w="1164" w:type="pct"/>
            <w:shd w:val="clear" w:color="auto" w:fill="auto"/>
            <w:vAlign w:val="center"/>
          </w:tcPr>
          <w:p>
            <w:pPr>
              <w:jc w:val="center"/>
              <w:rPr>
                <w:b/>
                <w:bCs/>
                <w:color w:val="auto"/>
                <w:u w:val="single"/>
              </w:rPr>
            </w:pPr>
            <w:r>
              <w:rPr>
                <w:rFonts w:hint="eastAsia"/>
                <w:b/>
                <w:bCs/>
                <w:color w:val="auto"/>
                <w:u w:val="single"/>
              </w:rPr>
              <w:t>1.22E-03</w:t>
            </w:r>
          </w:p>
        </w:tc>
        <w:tc>
          <w:tcPr>
            <w:tcW w:w="914" w:type="pct"/>
            <w:shd w:val="clear" w:color="auto" w:fill="auto"/>
            <w:vAlign w:val="center"/>
          </w:tcPr>
          <w:p>
            <w:pPr>
              <w:widowControl w:val="0"/>
              <w:jc w:val="center"/>
              <w:rPr>
                <w:b/>
                <w:bCs/>
                <w:color w:val="auto"/>
                <w:u w:val="single"/>
              </w:rPr>
            </w:pPr>
            <w:r>
              <w:rPr>
                <w:rFonts w:hint="eastAsia"/>
                <w:b/>
                <w:bCs/>
                <w:color w:val="auto"/>
                <w:u w:val="single"/>
              </w:rPr>
              <w:t>2.45</w:t>
            </w:r>
          </w:p>
        </w:tc>
        <w:tc>
          <w:tcPr>
            <w:tcW w:w="1194" w:type="pct"/>
            <w:shd w:val="clear" w:color="auto" w:fill="auto"/>
            <w:vAlign w:val="center"/>
          </w:tcPr>
          <w:p>
            <w:pPr>
              <w:jc w:val="center"/>
              <w:rPr>
                <w:b/>
                <w:bCs/>
                <w:color w:val="auto"/>
                <w:u w:val="single"/>
              </w:rPr>
            </w:pPr>
            <w:r>
              <w:rPr>
                <w:rFonts w:hint="eastAsia"/>
                <w:b/>
                <w:bCs/>
                <w:color w:val="auto"/>
                <w:u w:val="single"/>
              </w:rPr>
              <w:t>7.27E-04</w:t>
            </w:r>
          </w:p>
        </w:tc>
        <w:tc>
          <w:tcPr>
            <w:tcW w:w="1000" w:type="pct"/>
            <w:shd w:val="clear" w:color="auto" w:fill="auto"/>
            <w:vAlign w:val="center"/>
          </w:tcPr>
          <w:p>
            <w:pPr>
              <w:jc w:val="center"/>
              <w:rPr>
                <w:b/>
                <w:bCs/>
                <w:color w:val="auto"/>
                <w:u w:val="single"/>
              </w:rPr>
            </w:pPr>
            <w:r>
              <w:rPr>
                <w:rFonts w:hint="eastAsia"/>
                <w:b/>
                <w:bCs/>
                <w:color w:val="auto"/>
                <w:u w:val="single"/>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100</w:t>
            </w:r>
          </w:p>
        </w:tc>
        <w:tc>
          <w:tcPr>
            <w:tcW w:w="1164" w:type="pct"/>
            <w:shd w:val="clear" w:color="auto" w:fill="auto"/>
            <w:vAlign w:val="center"/>
          </w:tcPr>
          <w:p>
            <w:pPr>
              <w:jc w:val="center"/>
              <w:rPr>
                <w:b/>
                <w:bCs/>
                <w:color w:val="auto"/>
                <w:u w:val="single"/>
              </w:rPr>
            </w:pPr>
            <w:r>
              <w:rPr>
                <w:rFonts w:hint="eastAsia"/>
                <w:b/>
                <w:bCs/>
                <w:color w:val="auto"/>
                <w:u w:val="single"/>
              </w:rPr>
              <w:t>2.79E-03</w:t>
            </w:r>
          </w:p>
        </w:tc>
        <w:tc>
          <w:tcPr>
            <w:tcW w:w="914" w:type="pct"/>
            <w:shd w:val="clear" w:color="auto" w:fill="auto"/>
            <w:vAlign w:val="center"/>
          </w:tcPr>
          <w:p>
            <w:pPr>
              <w:widowControl w:val="0"/>
              <w:jc w:val="center"/>
              <w:rPr>
                <w:b/>
                <w:bCs/>
                <w:color w:val="auto"/>
                <w:u w:val="single"/>
              </w:rPr>
            </w:pPr>
            <w:r>
              <w:rPr>
                <w:rFonts w:hint="eastAsia"/>
                <w:b/>
                <w:bCs/>
                <w:color w:val="auto"/>
                <w:u w:val="single"/>
              </w:rPr>
              <w:t>5.58</w:t>
            </w:r>
          </w:p>
        </w:tc>
        <w:tc>
          <w:tcPr>
            <w:tcW w:w="1194" w:type="pct"/>
            <w:shd w:val="clear" w:color="auto" w:fill="auto"/>
            <w:vAlign w:val="center"/>
          </w:tcPr>
          <w:p>
            <w:pPr>
              <w:jc w:val="center"/>
              <w:rPr>
                <w:b/>
                <w:bCs/>
                <w:color w:val="auto"/>
                <w:u w:val="single"/>
              </w:rPr>
            </w:pPr>
            <w:r>
              <w:rPr>
                <w:rFonts w:hint="eastAsia"/>
                <w:b/>
                <w:bCs/>
                <w:color w:val="auto"/>
                <w:u w:val="single"/>
              </w:rPr>
              <w:t>2.34E-03</w:t>
            </w:r>
          </w:p>
        </w:tc>
        <w:tc>
          <w:tcPr>
            <w:tcW w:w="1000" w:type="pct"/>
            <w:shd w:val="clear" w:color="auto" w:fill="auto"/>
            <w:vAlign w:val="center"/>
          </w:tcPr>
          <w:p>
            <w:pPr>
              <w:jc w:val="center"/>
              <w:rPr>
                <w:b/>
                <w:bCs/>
                <w:color w:val="auto"/>
                <w:u w:val="single"/>
              </w:rPr>
            </w:pPr>
            <w:r>
              <w:rPr>
                <w:rFonts w:hint="eastAsia"/>
                <w:b/>
                <w:bCs/>
                <w:color w:val="auto"/>
                <w:u w:val="single"/>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200</w:t>
            </w:r>
          </w:p>
        </w:tc>
        <w:tc>
          <w:tcPr>
            <w:tcW w:w="1164" w:type="pct"/>
            <w:shd w:val="clear" w:color="auto" w:fill="auto"/>
            <w:vAlign w:val="center"/>
          </w:tcPr>
          <w:p>
            <w:pPr>
              <w:jc w:val="center"/>
              <w:rPr>
                <w:b/>
                <w:bCs/>
                <w:color w:val="auto"/>
                <w:u w:val="single"/>
              </w:rPr>
            </w:pPr>
            <w:r>
              <w:rPr>
                <w:rFonts w:hint="eastAsia"/>
                <w:b/>
                <w:bCs/>
                <w:color w:val="auto"/>
                <w:u w:val="single"/>
              </w:rPr>
              <w:t>3.18E-03</w:t>
            </w:r>
          </w:p>
        </w:tc>
        <w:tc>
          <w:tcPr>
            <w:tcW w:w="914" w:type="pct"/>
            <w:shd w:val="clear" w:color="auto" w:fill="auto"/>
            <w:vAlign w:val="center"/>
          </w:tcPr>
          <w:p>
            <w:pPr>
              <w:widowControl w:val="0"/>
              <w:jc w:val="center"/>
              <w:rPr>
                <w:rFonts w:eastAsia="黑体"/>
                <w:b/>
                <w:bCs/>
                <w:color w:val="auto"/>
                <w:kern w:val="0"/>
                <w:u w:val="single"/>
              </w:rPr>
            </w:pPr>
            <w:r>
              <w:rPr>
                <w:rFonts w:hint="eastAsia"/>
                <w:b/>
                <w:bCs/>
                <w:color w:val="auto"/>
                <w:u w:val="single"/>
              </w:rPr>
              <w:t>6.36</w:t>
            </w:r>
          </w:p>
        </w:tc>
        <w:tc>
          <w:tcPr>
            <w:tcW w:w="1194" w:type="pct"/>
            <w:shd w:val="clear" w:color="auto" w:fill="auto"/>
            <w:vAlign w:val="center"/>
          </w:tcPr>
          <w:p>
            <w:pPr>
              <w:jc w:val="center"/>
              <w:rPr>
                <w:b/>
                <w:bCs/>
                <w:color w:val="auto"/>
                <w:u w:val="single"/>
              </w:rPr>
            </w:pPr>
            <w:r>
              <w:rPr>
                <w:rFonts w:hint="eastAsia"/>
                <w:b/>
                <w:bCs/>
                <w:color w:val="auto"/>
                <w:u w:val="single"/>
              </w:rPr>
              <w:t>2.61E-03</w:t>
            </w:r>
          </w:p>
        </w:tc>
        <w:tc>
          <w:tcPr>
            <w:tcW w:w="1000" w:type="pct"/>
            <w:shd w:val="clear" w:color="auto" w:fill="auto"/>
            <w:vAlign w:val="center"/>
          </w:tcPr>
          <w:p>
            <w:pPr>
              <w:jc w:val="center"/>
              <w:rPr>
                <w:b/>
                <w:bCs/>
                <w:color w:val="auto"/>
                <w:u w:val="single"/>
              </w:rPr>
            </w:pPr>
            <w:r>
              <w:rPr>
                <w:rFonts w:hint="eastAsia"/>
                <w:b/>
                <w:bCs/>
                <w:color w:val="auto"/>
                <w:u w:val="single"/>
              </w:rPr>
              <w:t>0.58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300</w:t>
            </w:r>
          </w:p>
        </w:tc>
        <w:tc>
          <w:tcPr>
            <w:tcW w:w="1164" w:type="pct"/>
            <w:shd w:val="clear" w:color="auto" w:fill="auto"/>
            <w:vAlign w:val="center"/>
          </w:tcPr>
          <w:p>
            <w:pPr>
              <w:jc w:val="center"/>
              <w:rPr>
                <w:b/>
                <w:bCs/>
                <w:color w:val="auto"/>
                <w:u w:val="single"/>
              </w:rPr>
            </w:pPr>
            <w:r>
              <w:rPr>
                <w:rFonts w:hint="eastAsia"/>
                <w:b/>
                <w:bCs/>
                <w:color w:val="auto"/>
                <w:u w:val="single"/>
              </w:rPr>
              <w:t>2.42E-03</w:t>
            </w:r>
          </w:p>
        </w:tc>
        <w:tc>
          <w:tcPr>
            <w:tcW w:w="914" w:type="pct"/>
            <w:shd w:val="clear" w:color="auto" w:fill="auto"/>
            <w:vAlign w:val="center"/>
          </w:tcPr>
          <w:p>
            <w:pPr>
              <w:jc w:val="center"/>
              <w:rPr>
                <w:b/>
                <w:bCs/>
                <w:color w:val="auto"/>
                <w:u w:val="single"/>
              </w:rPr>
            </w:pPr>
            <w:r>
              <w:rPr>
                <w:rFonts w:hint="eastAsia"/>
                <w:b/>
                <w:bCs/>
                <w:color w:val="auto"/>
                <w:u w:val="single"/>
              </w:rPr>
              <w:t>4.84</w:t>
            </w:r>
          </w:p>
        </w:tc>
        <w:tc>
          <w:tcPr>
            <w:tcW w:w="1194" w:type="pct"/>
            <w:shd w:val="clear" w:color="auto" w:fill="auto"/>
            <w:vAlign w:val="center"/>
          </w:tcPr>
          <w:p>
            <w:pPr>
              <w:jc w:val="center"/>
              <w:rPr>
                <w:b/>
                <w:bCs/>
                <w:color w:val="auto"/>
                <w:u w:val="single"/>
              </w:rPr>
            </w:pPr>
            <w:r>
              <w:rPr>
                <w:rFonts w:hint="eastAsia"/>
                <w:b/>
                <w:bCs/>
                <w:color w:val="auto"/>
                <w:u w:val="single"/>
              </w:rPr>
              <w:t>2.72E-03</w:t>
            </w:r>
          </w:p>
        </w:tc>
        <w:tc>
          <w:tcPr>
            <w:tcW w:w="1000" w:type="pct"/>
            <w:shd w:val="clear" w:color="auto" w:fill="auto"/>
            <w:vAlign w:val="center"/>
          </w:tcPr>
          <w:p>
            <w:pPr>
              <w:jc w:val="center"/>
              <w:rPr>
                <w:b/>
                <w:bCs/>
                <w:color w:val="auto"/>
                <w:u w:val="single"/>
              </w:rPr>
            </w:pPr>
            <w:r>
              <w:rPr>
                <w:rFonts w:hint="eastAsia"/>
                <w:b/>
                <w:bCs/>
                <w:color w:val="auto"/>
                <w:u w:val="single"/>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400</w:t>
            </w:r>
          </w:p>
        </w:tc>
        <w:tc>
          <w:tcPr>
            <w:tcW w:w="1164" w:type="pct"/>
            <w:shd w:val="clear" w:color="auto" w:fill="auto"/>
            <w:vAlign w:val="center"/>
          </w:tcPr>
          <w:p>
            <w:pPr>
              <w:jc w:val="center"/>
              <w:rPr>
                <w:b/>
                <w:bCs/>
                <w:color w:val="auto"/>
                <w:u w:val="single"/>
              </w:rPr>
            </w:pPr>
            <w:r>
              <w:rPr>
                <w:rFonts w:hint="eastAsia"/>
                <w:b/>
                <w:bCs/>
                <w:color w:val="auto"/>
                <w:u w:val="single"/>
              </w:rPr>
              <w:t>1.78E-03</w:t>
            </w:r>
          </w:p>
        </w:tc>
        <w:tc>
          <w:tcPr>
            <w:tcW w:w="914" w:type="pct"/>
            <w:shd w:val="clear" w:color="auto" w:fill="auto"/>
            <w:vAlign w:val="center"/>
          </w:tcPr>
          <w:p>
            <w:pPr>
              <w:jc w:val="center"/>
              <w:rPr>
                <w:b/>
                <w:bCs/>
                <w:color w:val="auto"/>
                <w:u w:val="single"/>
              </w:rPr>
            </w:pPr>
            <w:r>
              <w:rPr>
                <w:rFonts w:hint="eastAsia"/>
                <w:b/>
                <w:bCs/>
                <w:color w:val="auto"/>
                <w:u w:val="single"/>
              </w:rPr>
              <w:t>3.56</w:t>
            </w:r>
          </w:p>
        </w:tc>
        <w:tc>
          <w:tcPr>
            <w:tcW w:w="1194" w:type="pct"/>
            <w:shd w:val="clear" w:color="auto" w:fill="auto"/>
            <w:vAlign w:val="center"/>
          </w:tcPr>
          <w:p>
            <w:pPr>
              <w:jc w:val="center"/>
              <w:rPr>
                <w:b/>
                <w:bCs/>
                <w:color w:val="auto"/>
                <w:u w:val="single"/>
              </w:rPr>
            </w:pPr>
            <w:r>
              <w:rPr>
                <w:rFonts w:hint="eastAsia"/>
                <w:b/>
                <w:bCs/>
                <w:color w:val="auto"/>
                <w:u w:val="single"/>
              </w:rPr>
              <w:t>2.64E-03</w:t>
            </w:r>
          </w:p>
        </w:tc>
        <w:tc>
          <w:tcPr>
            <w:tcW w:w="1000" w:type="pct"/>
            <w:shd w:val="clear" w:color="auto" w:fill="auto"/>
            <w:vAlign w:val="center"/>
          </w:tcPr>
          <w:p>
            <w:pPr>
              <w:jc w:val="center"/>
              <w:rPr>
                <w:b/>
                <w:bCs/>
                <w:color w:val="auto"/>
                <w:u w:val="single"/>
              </w:rPr>
            </w:pPr>
            <w:r>
              <w:rPr>
                <w:rFonts w:hint="eastAsia"/>
                <w:b/>
                <w:bCs/>
                <w:color w:val="auto"/>
                <w:u w:val="single"/>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500</w:t>
            </w:r>
          </w:p>
        </w:tc>
        <w:tc>
          <w:tcPr>
            <w:tcW w:w="1164" w:type="pct"/>
            <w:shd w:val="clear" w:color="auto" w:fill="auto"/>
            <w:vAlign w:val="center"/>
          </w:tcPr>
          <w:p>
            <w:pPr>
              <w:jc w:val="center"/>
              <w:rPr>
                <w:b/>
                <w:bCs/>
                <w:color w:val="auto"/>
                <w:u w:val="single"/>
              </w:rPr>
            </w:pPr>
            <w:r>
              <w:rPr>
                <w:rFonts w:hint="eastAsia"/>
                <w:b/>
                <w:bCs/>
                <w:color w:val="auto"/>
                <w:u w:val="single"/>
              </w:rPr>
              <w:t>1.34E-03</w:t>
            </w:r>
          </w:p>
        </w:tc>
        <w:tc>
          <w:tcPr>
            <w:tcW w:w="914" w:type="pct"/>
            <w:shd w:val="clear" w:color="auto" w:fill="auto"/>
            <w:vAlign w:val="center"/>
          </w:tcPr>
          <w:p>
            <w:pPr>
              <w:jc w:val="center"/>
              <w:rPr>
                <w:b/>
                <w:bCs/>
                <w:color w:val="auto"/>
                <w:u w:val="single"/>
              </w:rPr>
            </w:pPr>
            <w:r>
              <w:rPr>
                <w:rFonts w:hint="eastAsia"/>
                <w:b/>
                <w:bCs/>
                <w:color w:val="auto"/>
                <w:u w:val="single"/>
              </w:rPr>
              <w:t>2.69</w:t>
            </w:r>
          </w:p>
        </w:tc>
        <w:tc>
          <w:tcPr>
            <w:tcW w:w="1194" w:type="pct"/>
            <w:shd w:val="clear" w:color="auto" w:fill="auto"/>
            <w:vAlign w:val="center"/>
          </w:tcPr>
          <w:p>
            <w:pPr>
              <w:jc w:val="center"/>
              <w:rPr>
                <w:b/>
                <w:bCs/>
                <w:color w:val="auto"/>
                <w:u w:val="single"/>
              </w:rPr>
            </w:pPr>
            <w:r>
              <w:rPr>
                <w:rFonts w:hint="eastAsia"/>
                <w:b/>
                <w:bCs/>
                <w:color w:val="auto"/>
                <w:u w:val="single"/>
              </w:rPr>
              <w:t>2.38E-03</w:t>
            </w:r>
          </w:p>
        </w:tc>
        <w:tc>
          <w:tcPr>
            <w:tcW w:w="1000" w:type="pct"/>
            <w:shd w:val="clear" w:color="auto" w:fill="auto"/>
            <w:vAlign w:val="center"/>
          </w:tcPr>
          <w:p>
            <w:pPr>
              <w:jc w:val="center"/>
              <w:rPr>
                <w:b/>
                <w:bCs/>
                <w:color w:val="auto"/>
                <w:u w:val="single"/>
              </w:rPr>
            </w:pPr>
            <w:r>
              <w:rPr>
                <w:rFonts w:hint="eastAsia"/>
                <w:b/>
                <w:bCs/>
                <w:color w:val="auto"/>
                <w:u w:val="single"/>
              </w:rPr>
              <w:t>0.53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600</w:t>
            </w:r>
          </w:p>
        </w:tc>
        <w:tc>
          <w:tcPr>
            <w:tcW w:w="1164" w:type="pct"/>
            <w:shd w:val="clear" w:color="auto" w:fill="auto"/>
            <w:vAlign w:val="center"/>
          </w:tcPr>
          <w:p>
            <w:pPr>
              <w:jc w:val="center"/>
              <w:rPr>
                <w:b/>
                <w:bCs/>
                <w:color w:val="auto"/>
                <w:u w:val="single"/>
              </w:rPr>
            </w:pPr>
            <w:r>
              <w:rPr>
                <w:rFonts w:hint="eastAsia"/>
                <w:b/>
                <w:bCs/>
                <w:color w:val="auto"/>
                <w:u w:val="single"/>
              </w:rPr>
              <w:t>1.05E-03</w:t>
            </w:r>
          </w:p>
        </w:tc>
        <w:tc>
          <w:tcPr>
            <w:tcW w:w="914" w:type="pct"/>
            <w:shd w:val="clear" w:color="auto" w:fill="auto"/>
            <w:vAlign w:val="center"/>
          </w:tcPr>
          <w:p>
            <w:pPr>
              <w:jc w:val="center"/>
              <w:rPr>
                <w:b/>
                <w:bCs/>
                <w:color w:val="auto"/>
                <w:u w:val="single"/>
              </w:rPr>
            </w:pPr>
            <w:r>
              <w:rPr>
                <w:rFonts w:hint="eastAsia"/>
                <w:b/>
                <w:bCs/>
                <w:color w:val="auto"/>
                <w:u w:val="single"/>
              </w:rPr>
              <w:t>2.10</w:t>
            </w:r>
          </w:p>
        </w:tc>
        <w:tc>
          <w:tcPr>
            <w:tcW w:w="1194" w:type="pct"/>
            <w:shd w:val="clear" w:color="auto" w:fill="auto"/>
            <w:vAlign w:val="center"/>
          </w:tcPr>
          <w:p>
            <w:pPr>
              <w:jc w:val="center"/>
              <w:rPr>
                <w:b/>
                <w:bCs/>
                <w:color w:val="auto"/>
                <w:u w:val="single"/>
              </w:rPr>
            </w:pPr>
            <w:r>
              <w:rPr>
                <w:rFonts w:hint="eastAsia"/>
                <w:b/>
                <w:bCs/>
                <w:color w:val="auto"/>
                <w:u w:val="single"/>
              </w:rPr>
              <w:t>2.49E-03</w:t>
            </w:r>
          </w:p>
        </w:tc>
        <w:tc>
          <w:tcPr>
            <w:tcW w:w="1000" w:type="pct"/>
            <w:shd w:val="clear" w:color="auto" w:fill="auto"/>
            <w:vAlign w:val="center"/>
          </w:tcPr>
          <w:p>
            <w:pPr>
              <w:jc w:val="center"/>
              <w:rPr>
                <w:b/>
                <w:bCs/>
                <w:color w:val="auto"/>
                <w:u w:val="single"/>
              </w:rPr>
            </w:pPr>
            <w:r>
              <w:rPr>
                <w:rFonts w:hint="eastAsia"/>
                <w:b/>
                <w:bCs/>
                <w:color w:val="auto"/>
                <w:u w:val="single"/>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700</w:t>
            </w:r>
          </w:p>
        </w:tc>
        <w:tc>
          <w:tcPr>
            <w:tcW w:w="1164" w:type="pct"/>
            <w:shd w:val="clear" w:color="auto" w:fill="auto"/>
            <w:vAlign w:val="center"/>
          </w:tcPr>
          <w:p>
            <w:pPr>
              <w:jc w:val="center"/>
              <w:rPr>
                <w:b/>
                <w:bCs/>
                <w:color w:val="auto"/>
                <w:u w:val="single"/>
              </w:rPr>
            </w:pPr>
            <w:r>
              <w:rPr>
                <w:rFonts w:hint="eastAsia"/>
                <w:b/>
                <w:bCs/>
                <w:color w:val="auto"/>
                <w:u w:val="single"/>
              </w:rPr>
              <w:t>8.45E-04</w:t>
            </w:r>
          </w:p>
        </w:tc>
        <w:tc>
          <w:tcPr>
            <w:tcW w:w="914" w:type="pct"/>
            <w:shd w:val="clear" w:color="auto" w:fill="auto"/>
            <w:vAlign w:val="center"/>
          </w:tcPr>
          <w:p>
            <w:pPr>
              <w:jc w:val="center"/>
              <w:rPr>
                <w:b/>
                <w:bCs/>
                <w:color w:val="auto"/>
                <w:u w:val="single"/>
              </w:rPr>
            </w:pPr>
            <w:r>
              <w:rPr>
                <w:rFonts w:hint="eastAsia"/>
                <w:b/>
                <w:bCs/>
                <w:color w:val="auto"/>
                <w:u w:val="single"/>
              </w:rPr>
              <w:t>1.69</w:t>
            </w:r>
          </w:p>
        </w:tc>
        <w:tc>
          <w:tcPr>
            <w:tcW w:w="1194" w:type="pct"/>
            <w:shd w:val="clear" w:color="auto" w:fill="auto"/>
            <w:vAlign w:val="center"/>
          </w:tcPr>
          <w:p>
            <w:pPr>
              <w:jc w:val="center"/>
              <w:rPr>
                <w:b/>
                <w:bCs/>
                <w:color w:val="auto"/>
                <w:u w:val="single"/>
              </w:rPr>
            </w:pPr>
            <w:r>
              <w:rPr>
                <w:rFonts w:hint="eastAsia"/>
                <w:b/>
                <w:bCs/>
                <w:color w:val="auto"/>
                <w:u w:val="single"/>
              </w:rPr>
              <w:t>2.41E-03</w:t>
            </w:r>
          </w:p>
        </w:tc>
        <w:tc>
          <w:tcPr>
            <w:tcW w:w="1000" w:type="pct"/>
            <w:shd w:val="clear" w:color="auto" w:fill="auto"/>
            <w:vAlign w:val="center"/>
          </w:tcPr>
          <w:p>
            <w:pPr>
              <w:jc w:val="center"/>
              <w:rPr>
                <w:b/>
                <w:bCs/>
                <w:color w:val="auto"/>
                <w:u w:val="single"/>
              </w:rPr>
            </w:pPr>
            <w:r>
              <w:rPr>
                <w:rFonts w:hint="eastAsia"/>
                <w:b/>
                <w:bCs/>
                <w:color w:val="auto"/>
                <w:u w:val="single"/>
              </w:rPr>
              <w:t>0.54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800</w:t>
            </w:r>
          </w:p>
        </w:tc>
        <w:tc>
          <w:tcPr>
            <w:tcW w:w="1164" w:type="pct"/>
            <w:shd w:val="clear" w:color="auto" w:fill="auto"/>
            <w:vAlign w:val="center"/>
          </w:tcPr>
          <w:p>
            <w:pPr>
              <w:jc w:val="center"/>
              <w:rPr>
                <w:b/>
                <w:bCs/>
                <w:color w:val="auto"/>
                <w:u w:val="single"/>
              </w:rPr>
            </w:pPr>
            <w:r>
              <w:rPr>
                <w:rFonts w:hint="eastAsia"/>
                <w:b/>
                <w:bCs/>
                <w:color w:val="auto"/>
                <w:u w:val="single"/>
              </w:rPr>
              <w:t>6.98E-04</w:t>
            </w:r>
          </w:p>
        </w:tc>
        <w:tc>
          <w:tcPr>
            <w:tcW w:w="914" w:type="pct"/>
            <w:shd w:val="clear" w:color="auto" w:fill="auto"/>
            <w:vAlign w:val="center"/>
          </w:tcPr>
          <w:p>
            <w:pPr>
              <w:jc w:val="center"/>
              <w:rPr>
                <w:b/>
                <w:bCs/>
                <w:color w:val="auto"/>
                <w:u w:val="single"/>
              </w:rPr>
            </w:pPr>
            <w:r>
              <w:rPr>
                <w:rFonts w:hint="eastAsia"/>
                <w:b/>
                <w:bCs/>
                <w:color w:val="auto"/>
                <w:u w:val="single"/>
              </w:rPr>
              <w:t>1.40</w:t>
            </w:r>
          </w:p>
        </w:tc>
        <w:tc>
          <w:tcPr>
            <w:tcW w:w="1194" w:type="pct"/>
            <w:shd w:val="clear" w:color="auto" w:fill="auto"/>
            <w:vAlign w:val="center"/>
          </w:tcPr>
          <w:p>
            <w:pPr>
              <w:jc w:val="center"/>
              <w:rPr>
                <w:b/>
                <w:bCs/>
                <w:color w:val="auto"/>
                <w:u w:val="single"/>
              </w:rPr>
            </w:pPr>
            <w:r>
              <w:rPr>
                <w:rFonts w:hint="eastAsia"/>
                <w:b/>
                <w:bCs/>
                <w:color w:val="auto"/>
                <w:u w:val="single"/>
              </w:rPr>
              <w:t>2.26E-03</w:t>
            </w:r>
          </w:p>
        </w:tc>
        <w:tc>
          <w:tcPr>
            <w:tcW w:w="1000" w:type="pct"/>
            <w:shd w:val="clear" w:color="auto" w:fill="auto"/>
            <w:vAlign w:val="center"/>
          </w:tcPr>
          <w:p>
            <w:pPr>
              <w:jc w:val="center"/>
              <w:rPr>
                <w:b/>
                <w:bCs/>
                <w:color w:val="auto"/>
                <w:u w:val="single"/>
              </w:rPr>
            </w:pPr>
            <w:r>
              <w:rPr>
                <w:rFonts w:hint="eastAsia"/>
                <w:b/>
                <w:bCs/>
                <w:color w:val="auto"/>
                <w:u w:val="single"/>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900</w:t>
            </w:r>
          </w:p>
        </w:tc>
        <w:tc>
          <w:tcPr>
            <w:tcW w:w="1164" w:type="pct"/>
            <w:shd w:val="clear" w:color="auto" w:fill="auto"/>
            <w:vAlign w:val="center"/>
          </w:tcPr>
          <w:p>
            <w:pPr>
              <w:jc w:val="center"/>
              <w:rPr>
                <w:b/>
                <w:bCs/>
                <w:color w:val="auto"/>
                <w:u w:val="single"/>
              </w:rPr>
            </w:pPr>
            <w:r>
              <w:rPr>
                <w:rFonts w:hint="eastAsia"/>
                <w:b/>
                <w:bCs/>
                <w:color w:val="auto"/>
                <w:u w:val="single"/>
              </w:rPr>
              <w:t>5.89E-04</w:t>
            </w:r>
          </w:p>
        </w:tc>
        <w:tc>
          <w:tcPr>
            <w:tcW w:w="914" w:type="pct"/>
            <w:shd w:val="clear" w:color="auto" w:fill="auto"/>
            <w:vAlign w:val="center"/>
          </w:tcPr>
          <w:p>
            <w:pPr>
              <w:jc w:val="center"/>
              <w:rPr>
                <w:b/>
                <w:bCs/>
                <w:color w:val="auto"/>
                <w:u w:val="single"/>
              </w:rPr>
            </w:pPr>
            <w:r>
              <w:rPr>
                <w:rFonts w:hint="eastAsia"/>
                <w:b/>
                <w:bCs/>
                <w:color w:val="auto"/>
                <w:u w:val="single"/>
              </w:rPr>
              <w:t>1.18</w:t>
            </w:r>
          </w:p>
        </w:tc>
        <w:tc>
          <w:tcPr>
            <w:tcW w:w="1194" w:type="pct"/>
            <w:shd w:val="clear" w:color="auto" w:fill="auto"/>
            <w:vAlign w:val="center"/>
          </w:tcPr>
          <w:p>
            <w:pPr>
              <w:jc w:val="center"/>
              <w:rPr>
                <w:b/>
                <w:bCs/>
                <w:color w:val="auto"/>
                <w:u w:val="single"/>
              </w:rPr>
            </w:pPr>
            <w:r>
              <w:rPr>
                <w:rFonts w:hint="eastAsia"/>
                <w:b/>
                <w:bCs/>
                <w:color w:val="auto"/>
                <w:u w:val="single"/>
              </w:rPr>
              <w:t>2.09E-03</w:t>
            </w:r>
          </w:p>
        </w:tc>
        <w:tc>
          <w:tcPr>
            <w:tcW w:w="1000" w:type="pct"/>
            <w:shd w:val="clear" w:color="auto" w:fill="auto"/>
            <w:vAlign w:val="center"/>
          </w:tcPr>
          <w:p>
            <w:pPr>
              <w:jc w:val="center"/>
              <w:rPr>
                <w:b/>
                <w:bCs/>
                <w:color w:val="auto"/>
                <w:u w:val="single"/>
              </w:rPr>
            </w:pPr>
            <w:r>
              <w:rPr>
                <w:rFonts w:hint="eastAsia"/>
                <w:b/>
                <w:bCs/>
                <w:color w:val="auto"/>
                <w:u w:val="single"/>
              </w:rPr>
              <w:t>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1000</w:t>
            </w:r>
          </w:p>
        </w:tc>
        <w:tc>
          <w:tcPr>
            <w:tcW w:w="1164" w:type="pct"/>
            <w:shd w:val="clear" w:color="auto" w:fill="auto"/>
            <w:vAlign w:val="center"/>
          </w:tcPr>
          <w:p>
            <w:pPr>
              <w:jc w:val="center"/>
              <w:rPr>
                <w:b/>
                <w:bCs/>
                <w:color w:val="auto"/>
                <w:u w:val="single"/>
              </w:rPr>
            </w:pPr>
            <w:r>
              <w:rPr>
                <w:rFonts w:hint="eastAsia"/>
                <w:b/>
                <w:bCs/>
                <w:color w:val="auto"/>
                <w:u w:val="single"/>
              </w:rPr>
              <w:t>5.06E-04</w:t>
            </w:r>
          </w:p>
        </w:tc>
        <w:tc>
          <w:tcPr>
            <w:tcW w:w="914" w:type="pct"/>
            <w:shd w:val="clear" w:color="auto" w:fill="auto"/>
            <w:vAlign w:val="center"/>
          </w:tcPr>
          <w:p>
            <w:pPr>
              <w:jc w:val="center"/>
              <w:rPr>
                <w:b/>
                <w:bCs/>
                <w:color w:val="auto"/>
                <w:u w:val="single"/>
              </w:rPr>
            </w:pPr>
            <w:r>
              <w:rPr>
                <w:rFonts w:hint="eastAsia"/>
                <w:b/>
                <w:bCs/>
                <w:color w:val="auto"/>
                <w:u w:val="single"/>
              </w:rPr>
              <w:t>1.01</w:t>
            </w:r>
          </w:p>
        </w:tc>
        <w:tc>
          <w:tcPr>
            <w:tcW w:w="1194" w:type="pct"/>
            <w:shd w:val="clear" w:color="auto" w:fill="auto"/>
            <w:vAlign w:val="center"/>
          </w:tcPr>
          <w:p>
            <w:pPr>
              <w:jc w:val="center"/>
              <w:rPr>
                <w:b/>
                <w:bCs/>
                <w:color w:val="auto"/>
                <w:u w:val="single"/>
              </w:rPr>
            </w:pPr>
            <w:r>
              <w:rPr>
                <w:rFonts w:hint="eastAsia"/>
                <w:b/>
                <w:bCs/>
                <w:color w:val="auto"/>
                <w:u w:val="single"/>
              </w:rPr>
              <w:t>1.91E-03</w:t>
            </w:r>
          </w:p>
        </w:tc>
        <w:tc>
          <w:tcPr>
            <w:tcW w:w="1000" w:type="pct"/>
            <w:shd w:val="clear" w:color="auto" w:fill="auto"/>
            <w:vAlign w:val="center"/>
          </w:tcPr>
          <w:p>
            <w:pPr>
              <w:jc w:val="center"/>
              <w:rPr>
                <w:b/>
                <w:bCs/>
                <w:color w:val="auto"/>
                <w:u w:val="single"/>
              </w:rPr>
            </w:pPr>
            <w:r>
              <w:rPr>
                <w:rFonts w:hint="eastAsia"/>
                <w:b/>
                <w:bCs/>
                <w:color w:val="auto"/>
                <w:u w:val="single"/>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1100</w:t>
            </w:r>
          </w:p>
        </w:tc>
        <w:tc>
          <w:tcPr>
            <w:tcW w:w="1164" w:type="pct"/>
            <w:shd w:val="clear" w:color="auto" w:fill="auto"/>
            <w:vAlign w:val="center"/>
          </w:tcPr>
          <w:p>
            <w:pPr>
              <w:jc w:val="center"/>
              <w:rPr>
                <w:b/>
                <w:bCs/>
                <w:color w:val="auto"/>
                <w:u w:val="single"/>
              </w:rPr>
            </w:pPr>
            <w:r>
              <w:rPr>
                <w:rFonts w:hint="eastAsia"/>
                <w:b/>
                <w:bCs/>
                <w:color w:val="auto"/>
                <w:u w:val="single"/>
              </w:rPr>
              <w:t>4.41E-04</w:t>
            </w:r>
          </w:p>
        </w:tc>
        <w:tc>
          <w:tcPr>
            <w:tcW w:w="914" w:type="pct"/>
            <w:shd w:val="clear" w:color="auto" w:fill="auto"/>
            <w:vAlign w:val="center"/>
          </w:tcPr>
          <w:p>
            <w:pPr>
              <w:jc w:val="center"/>
              <w:rPr>
                <w:b/>
                <w:bCs/>
                <w:color w:val="auto"/>
                <w:u w:val="single"/>
              </w:rPr>
            </w:pPr>
            <w:r>
              <w:rPr>
                <w:rFonts w:hint="eastAsia"/>
                <w:b/>
                <w:bCs/>
                <w:color w:val="auto"/>
                <w:u w:val="single"/>
              </w:rPr>
              <w:t>0.88</w:t>
            </w:r>
          </w:p>
        </w:tc>
        <w:tc>
          <w:tcPr>
            <w:tcW w:w="1194" w:type="pct"/>
            <w:shd w:val="clear" w:color="auto" w:fill="auto"/>
            <w:vAlign w:val="center"/>
          </w:tcPr>
          <w:p>
            <w:pPr>
              <w:jc w:val="center"/>
              <w:rPr>
                <w:b/>
                <w:bCs/>
                <w:color w:val="auto"/>
                <w:u w:val="single"/>
              </w:rPr>
            </w:pPr>
            <w:r>
              <w:rPr>
                <w:rFonts w:hint="eastAsia"/>
                <w:b/>
                <w:bCs/>
                <w:color w:val="auto"/>
                <w:u w:val="single"/>
              </w:rPr>
              <w:t>1.76E-03</w:t>
            </w:r>
          </w:p>
        </w:tc>
        <w:tc>
          <w:tcPr>
            <w:tcW w:w="1000" w:type="pct"/>
            <w:shd w:val="clear" w:color="auto" w:fill="auto"/>
            <w:vAlign w:val="center"/>
          </w:tcPr>
          <w:p>
            <w:pPr>
              <w:jc w:val="center"/>
              <w:rPr>
                <w:b/>
                <w:bCs/>
                <w:color w:val="auto"/>
                <w:u w:val="single"/>
              </w:rPr>
            </w:pPr>
            <w:r>
              <w:rPr>
                <w:rFonts w:hint="eastAsia"/>
                <w:b/>
                <w:bCs/>
                <w:color w:val="auto"/>
                <w:u w:val="single"/>
              </w:rPr>
              <w:t>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1200</w:t>
            </w:r>
          </w:p>
        </w:tc>
        <w:tc>
          <w:tcPr>
            <w:tcW w:w="1164" w:type="pct"/>
            <w:shd w:val="clear" w:color="auto" w:fill="auto"/>
            <w:vAlign w:val="center"/>
          </w:tcPr>
          <w:p>
            <w:pPr>
              <w:jc w:val="center"/>
              <w:rPr>
                <w:b/>
                <w:bCs/>
                <w:color w:val="auto"/>
                <w:u w:val="single"/>
              </w:rPr>
            </w:pPr>
            <w:r>
              <w:rPr>
                <w:rFonts w:hint="eastAsia"/>
                <w:b/>
                <w:bCs/>
                <w:color w:val="auto"/>
                <w:u w:val="single"/>
              </w:rPr>
              <w:t>3.89E-04</w:t>
            </w:r>
          </w:p>
        </w:tc>
        <w:tc>
          <w:tcPr>
            <w:tcW w:w="914" w:type="pct"/>
            <w:shd w:val="clear" w:color="auto" w:fill="auto"/>
            <w:vAlign w:val="center"/>
          </w:tcPr>
          <w:p>
            <w:pPr>
              <w:jc w:val="center"/>
              <w:rPr>
                <w:b/>
                <w:bCs/>
                <w:color w:val="auto"/>
                <w:u w:val="single"/>
              </w:rPr>
            </w:pPr>
            <w:r>
              <w:rPr>
                <w:rFonts w:hint="eastAsia"/>
                <w:b/>
                <w:bCs/>
                <w:color w:val="auto"/>
                <w:u w:val="single"/>
              </w:rPr>
              <w:t>0.78</w:t>
            </w:r>
          </w:p>
        </w:tc>
        <w:tc>
          <w:tcPr>
            <w:tcW w:w="1194" w:type="pct"/>
            <w:shd w:val="clear" w:color="auto" w:fill="auto"/>
            <w:vAlign w:val="center"/>
          </w:tcPr>
          <w:p>
            <w:pPr>
              <w:jc w:val="center"/>
              <w:rPr>
                <w:b/>
                <w:bCs/>
                <w:color w:val="auto"/>
                <w:u w:val="single"/>
              </w:rPr>
            </w:pPr>
            <w:r>
              <w:rPr>
                <w:rFonts w:hint="eastAsia"/>
                <w:b/>
                <w:bCs/>
                <w:color w:val="auto"/>
                <w:u w:val="single"/>
              </w:rPr>
              <w:t>1.61E-03</w:t>
            </w:r>
          </w:p>
        </w:tc>
        <w:tc>
          <w:tcPr>
            <w:tcW w:w="1000" w:type="pct"/>
            <w:shd w:val="clear" w:color="auto" w:fill="auto"/>
            <w:vAlign w:val="center"/>
          </w:tcPr>
          <w:p>
            <w:pPr>
              <w:jc w:val="center"/>
              <w:rPr>
                <w:b/>
                <w:bCs/>
                <w:color w:val="auto"/>
                <w:u w:val="single"/>
              </w:rPr>
            </w:pPr>
            <w:r>
              <w:rPr>
                <w:rFonts w:hint="eastAsia"/>
                <w:b/>
                <w:bCs/>
                <w:color w:val="auto"/>
                <w:u w:val="single"/>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1300</w:t>
            </w:r>
          </w:p>
        </w:tc>
        <w:tc>
          <w:tcPr>
            <w:tcW w:w="1164" w:type="pct"/>
            <w:shd w:val="clear" w:color="auto" w:fill="auto"/>
            <w:vAlign w:val="center"/>
          </w:tcPr>
          <w:p>
            <w:pPr>
              <w:jc w:val="center"/>
              <w:rPr>
                <w:b/>
                <w:bCs/>
                <w:color w:val="auto"/>
                <w:u w:val="single"/>
              </w:rPr>
            </w:pPr>
            <w:r>
              <w:rPr>
                <w:rFonts w:hint="eastAsia"/>
                <w:b/>
                <w:bCs/>
                <w:color w:val="auto"/>
                <w:u w:val="single"/>
              </w:rPr>
              <w:t>3.47E-04</w:t>
            </w:r>
          </w:p>
        </w:tc>
        <w:tc>
          <w:tcPr>
            <w:tcW w:w="914" w:type="pct"/>
            <w:shd w:val="clear" w:color="auto" w:fill="auto"/>
            <w:vAlign w:val="center"/>
          </w:tcPr>
          <w:p>
            <w:pPr>
              <w:jc w:val="center"/>
              <w:rPr>
                <w:b/>
                <w:bCs/>
                <w:color w:val="auto"/>
                <w:u w:val="single"/>
              </w:rPr>
            </w:pPr>
            <w:r>
              <w:rPr>
                <w:rFonts w:hint="eastAsia"/>
                <w:b/>
                <w:bCs/>
                <w:color w:val="auto"/>
                <w:u w:val="single"/>
              </w:rPr>
              <w:t>0.69</w:t>
            </w:r>
          </w:p>
        </w:tc>
        <w:tc>
          <w:tcPr>
            <w:tcW w:w="1194" w:type="pct"/>
            <w:shd w:val="clear" w:color="auto" w:fill="auto"/>
            <w:vAlign w:val="center"/>
          </w:tcPr>
          <w:p>
            <w:pPr>
              <w:jc w:val="center"/>
              <w:rPr>
                <w:b/>
                <w:bCs/>
                <w:color w:val="auto"/>
                <w:u w:val="single"/>
              </w:rPr>
            </w:pPr>
            <w:r>
              <w:rPr>
                <w:rFonts w:hint="eastAsia"/>
                <w:b/>
                <w:bCs/>
                <w:color w:val="auto"/>
                <w:u w:val="single"/>
              </w:rPr>
              <w:t>1.48E-03</w:t>
            </w:r>
          </w:p>
        </w:tc>
        <w:tc>
          <w:tcPr>
            <w:tcW w:w="1000" w:type="pct"/>
            <w:shd w:val="clear" w:color="auto" w:fill="auto"/>
            <w:vAlign w:val="center"/>
          </w:tcPr>
          <w:p>
            <w:pPr>
              <w:jc w:val="center"/>
              <w:rPr>
                <w:b/>
                <w:bCs/>
                <w:color w:val="auto"/>
                <w:u w:val="single"/>
              </w:rPr>
            </w:pPr>
            <w:r>
              <w:rPr>
                <w:rFonts w:hint="eastAsia"/>
                <w:b/>
                <w:bCs/>
                <w:color w:val="auto"/>
                <w:u w:val="single"/>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1400</w:t>
            </w:r>
          </w:p>
        </w:tc>
        <w:tc>
          <w:tcPr>
            <w:tcW w:w="1164" w:type="pct"/>
            <w:shd w:val="clear" w:color="auto" w:fill="auto"/>
            <w:vAlign w:val="center"/>
          </w:tcPr>
          <w:p>
            <w:pPr>
              <w:jc w:val="center"/>
              <w:rPr>
                <w:b/>
                <w:bCs/>
                <w:color w:val="auto"/>
                <w:u w:val="single"/>
              </w:rPr>
            </w:pPr>
            <w:r>
              <w:rPr>
                <w:rFonts w:hint="eastAsia"/>
                <w:b/>
                <w:bCs/>
                <w:color w:val="auto"/>
                <w:u w:val="single"/>
              </w:rPr>
              <w:t>3.13E-04</w:t>
            </w:r>
          </w:p>
        </w:tc>
        <w:tc>
          <w:tcPr>
            <w:tcW w:w="914" w:type="pct"/>
            <w:shd w:val="clear" w:color="auto" w:fill="auto"/>
            <w:vAlign w:val="center"/>
          </w:tcPr>
          <w:p>
            <w:pPr>
              <w:jc w:val="center"/>
              <w:rPr>
                <w:b/>
                <w:bCs/>
                <w:color w:val="auto"/>
                <w:u w:val="single"/>
              </w:rPr>
            </w:pPr>
            <w:r>
              <w:rPr>
                <w:rFonts w:hint="eastAsia"/>
                <w:b/>
                <w:bCs/>
                <w:color w:val="auto"/>
                <w:u w:val="single"/>
              </w:rPr>
              <w:t>0.63</w:t>
            </w:r>
          </w:p>
        </w:tc>
        <w:tc>
          <w:tcPr>
            <w:tcW w:w="1194" w:type="pct"/>
            <w:shd w:val="clear" w:color="auto" w:fill="auto"/>
            <w:vAlign w:val="center"/>
          </w:tcPr>
          <w:p>
            <w:pPr>
              <w:jc w:val="center"/>
              <w:rPr>
                <w:b/>
                <w:bCs/>
                <w:color w:val="auto"/>
                <w:u w:val="single"/>
              </w:rPr>
            </w:pPr>
            <w:r>
              <w:rPr>
                <w:rFonts w:hint="eastAsia"/>
                <w:b/>
                <w:bCs/>
                <w:color w:val="auto"/>
                <w:u w:val="single"/>
              </w:rPr>
              <w:t>1.37E-03</w:t>
            </w:r>
          </w:p>
        </w:tc>
        <w:tc>
          <w:tcPr>
            <w:tcW w:w="1000" w:type="pct"/>
            <w:shd w:val="clear" w:color="auto" w:fill="auto"/>
            <w:vAlign w:val="center"/>
          </w:tcPr>
          <w:p>
            <w:pPr>
              <w:jc w:val="center"/>
              <w:rPr>
                <w:b/>
                <w:bCs/>
                <w:color w:val="auto"/>
                <w:u w:val="single"/>
              </w:rPr>
            </w:pPr>
            <w:r>
              <w:rPr>
                <w:rFonts w:hint="eastAsia"/>
                <w:b/>
                <w:bCs/>
                <w:color w:val="auto"/>
                <w:u w:val="single"/>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1500</w:t>
            </w:r>
          </w:p>
        </w:tc>
        <w:tc>
          <w:tcPr>
            <w:tcW w:w="1164" w:type="pct"/>
            <w:shd w:val="clear" w:color="auto" w:fill="auto"/>
            <w:vAlign w:val="center"/>
          </w:tcPr>
          <w:p>
            <w:pPr>
              <w:jc w:val="center"/>
              <w:rPr>
                <w:b/>
                <w:bCs/>
                <w:color w:val="auto"/>
                <w:u w:val="single"/>
              </w:rPr>
            </w:pPr>
            <w:r>
              <w:rPr>
                <w:rFonts w:hint="eastAsia"/>
                <w:b/>
                <w:bCs/>
                <w:color w:val="auto"/>
                <w:u w:val="single"/>
              </w:rPr>
              <w:t>2.83E-04</w:t>
            </w:r>
          </w:p>
        </w:tc>
        <w:tc>
          <w:tcPr>
            <w:tcW w:w="914" w:type="pct"/>
            <w:shd w:val="clear" w:color="auto" w:fill="auto"/>
            <w:vAlign w:val="center"/>
          </w:tcPr>
          <w:p>
            <w:pPr>
              <w:jc w:val="center"/>
              <w:rPr>
                <w:b/>
                <w:bCs/>
                <w:color w:val="auto"/>
                <w:u w:val="single"/>
              </w:rPr>
            </w:pPr>
            <w:r>
              <w:rPr>
                <w:rFonts w:hint="eastAsia"/>
                <w:b/>
                <w:bCs/>
                <w:color w:val="auto"/>
                <w:u w:val="single"/>
              </w:rPr>
              <w:t>0.57</w:t>
            </w:r>
          </w:p>
        </w:tc>
        <w:tc>
          <w:tcPr>
            <w:tcW w:w="1194" w:type="pct"/>
            <w:shd w:val="clear" w:color="auto" w:fill="auto"/>
            <w:vAlign w:val="center"/>
          </w:tcPr>
          <w:p>
            <w:pPr>
              <w:jc w:val="center"/>
              <w:rPr>
                <w:b/>
                <w:bCs/>
                <w:color w:val="auto"/>
                <w:u w:val="single"/>
              </w:rPr>
            </w:pPr>
            <w:r>
              <w:rPr>
                <w:rFonts w:hint="eastAsia"/>
                <w:b/>
                <w:bCs/>
                <w:color w:val="auto"/>
                <w:u w:val="single"/>
              </w:rPr>
              <w:t>1.27E-03</w:t>
            </w:r>
          </w:p>
        </w:tc>
        <w:tc>
          <w:tcPr>
            <w:tcW w:w="1000" w:type="pct"/>
            <w:shd w:val="clear" w:color="auto" w:fill="auto"/>
            <w:vAlign w:val="center"/>
          </w:tcPr>
          <w:p>
            <w:pPr>
              <w:jc w:val="center"/>
              <w:rPr>
                <w:b/>
                <w:bCs/>
                <w:color w:val="auto"/>
                <w:u w:val="single"/>
              </w:rPr>
            </w:pPr>
            <w:r>
              <w:rPr>
                <w:rFonts w:hint="eastAsia"/>
                <w:b/>
                <w:bCs/>
                <w:color w:val="auto"/>
                <w:u w:val="single"/>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1600</w:t>
            </w:r>
          </w:p>
        </w:tc>
        <w:tc>
          <w:tcPr>
            <w:tcW w:w="1164" w:type="pct"/>
            <w:shd w:val="clear" w:color="auto" w:fill="auto"/>
            <w:vAlign w:val="center"/>
          </w:tcPr>
          <w:p>
            <w:pPr>
              <w:jc w:val="center"/>
              <w:rPr>
                <w:b/>
                <w:bCs/>
                <w:color w:val="auto"/>
                <w:u w:val="single"/>
              </w:rPr>
            </w:pPr>
            <w:r>
              <w:rPr>
                <w:rFonts w:hint="eastAsia"/>
                <w:b/>
                <w:bCs/>
                <w:color w:val="auto"/>
                <w:u w:val="single"/>
              </w:rPr>
              <w:t>2.59E-04</w:t>
            </w:r>
          </w:p>
        </w:tc>
        <w:tc>
          <w:tcPr>
            <w:tcW w:w="914" w:type="pct"/>
            <w:shd w:val="clear" w:color="auto" w:fill="auto"/>
            <w:vAlign w:val="center"/>
          </w:tcPr>
          <w:p>
            <w:pPr>
              <w:jc w:val="center"/>
              <w:rPr>
                <w:b/>
                <w:bCs/>
                <w:color w:val="auto"/>
                <w:u w:val="single"/>
              </w:rPr>
            </w:pPr>
            <w:r>
              <w:rPr>
                <w:rFonts w:hint="eastAsia"/>
                <w:b/>
                <w:bCs/>
                <w:color w:val="auto"/>
                <w:u w:val="single"/>
              </w:rPr>
              <w:t>0.52</w:t>
            </w:r>
          </w:p>
        </w:tc>
        <w:tc>
          <w:tcPr>
            <w:tcW w:w="1194" w:type="pct"/>
            <w:shd w:val="clear" w:color="auto" w:fill="auto"/>
            <w:vAlign w:val="center"/>
          </w:tcPr>
          <w:p>
            <w:pPr>
              <w:jc w:val="center"/>
              <w:rPr>
                <w:b/>
                <w:bCs/>
                <w:color w:val="auto"/>
                <w:u w:val="single"/>
              </w:rPr>
            </w:pPr>
            <w:r>
              <w:rPr>
                <w:rFonts w:hint="eastAsia"/>
                <w:b/>
                <w:bCs/>
                <w:color w:val="auto"/>
                <w:u w:val="single"/>
              </w:rPr>
              <w:t>1.17E-03</w:t>
            </w:r>
          </w:p>
        </w:tc>
        <w:tc>
          <w:tcPr>
            <w:tcW w:w="1000" w:type="pct"/>
            <w:shd w:val="clear" w:color="auto" w:fill="auto"/>
            <w:vAlign w:val="center"/>
          </w:tcPr>
          <w:p>
            <w:pPr>
              <w:jc w:val="center"/>
              <w:rPr>
                <w:b/>
                <w:bCs/>
                <w:color w:val="auto"/>
                <w:u w:val="single"/>
              </w:rPr>
            </w:pPr>
            <w:r>
              <w:rPr>
                <w:rFonts w:hint="eastAsia"/>
                <w:b/>
                <w:bCs/>
                <w:color w:val="auto"/>
                <w:u w:val="single"/>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1700</w:t>
            </w:r>
          </w:p>
        </w:tc>
        <w:tc>
          <w:tcPr>
            <w:tcW w:w="1164" w:type="pct"/>
            <w:shd w:val="clear" w:color="auto" w:fill="auto"/>
            <w:vAlign w:val="center"/>
          </w:tcPr>
          <w:p>
            <w:pPr>
              <w:jc w:val="center"/>
              <w:rPr>
                <w:b/>
                <w:bCs/>
                <w:color w:val="auto"/>
                <w:u w:val="single"/>
              </w:rPr>
            </w:pPr>
            <w:r>
              <w:rPr>
                <w:rFonts w:hint="eastAsia"/>
                <w:b/>
                <w:bCs/>
                <w:color w:val="auto"/>
                <w:u w:val="single"/>
              </w:rPr>
              <w:t>2.38E-04</w:t>
            </w:r>
          </w:p>
        </w:tc>
        <w:tc>
          <w:tcPr>
            <w:tcW w:w="914" w:type="pct"/>
            <w:shd w:val="clear" w:color="auto" w:fill="auto"/>
            <w:vAlign w:val="center"/>
          </w:tcPr>
          <w:p>
            <w:pPr>
              <w:jc w:val="center"/>
              <w:rPr>
                <w:b/>
                <w:bCs/>
                <w:color w:val="auto"/>
                <w:u w:val="single"/>
              </w:rPr>
            </w:pPr>
            <w:r>
              <w:rPr>
                <w:rFonts w:hint="eastAsia"/>
                <w:b/>
                <w:bCs/>
                <w:color w:val="auto"/>
                <w:u w:val="single"/>
              </w:rPr>
              <w:t>0.48</w:t>
            </w:r>
          </w:p>
        </w:tc>
        <w:tc>
          <w:tcPr>
            <w:tcW w:w="1194" w:type="pct"/>
            <w:shd w:val="clear" w:color="auto" w:fill="auto"/>
            <w:vAlign w:val="center"/>
          </w:tcPr>
          <w:p>
            <w:pPr>
              <w:jc w:val="center"/>
              <w:rPr>
                <w:b/>
                <w:bCs/>
                <w:color w:val="auto"/>
                <w:u w:val="single"/>
              </w:rPr>
            </w:pPr>
            <w:r>
              <w:rPr>
                <w:rFonts w:hint="eastAsia"/>
                <w:b/>
                <w:bCs/>
                <w:color w:val="auto"/>
                <w:u w:val="single"/>
              </w:rPr>
              <w:t>1.09E-03</w:t>
            </w:r>
          </w:p>
        </w:tc>
        <w:tc>
          <w:tcPr>
            <w:tcW w:w="1000" w:type="pct"/>
            <w:shd w:val="clear" w:color="auto" w:fill="auto"/>
            <w:vAlign w:val="center"/>
          </w:tcPr>
          <w:p>
            <w:pPr>
              <w:jc w:val="center"/>
              <w:rPr>
                <w:b/>
                <w:bCs/>
                <w:color w:val="auto"/>
                <w:u w:val="single"/>
              </w:rPr>
            </w:pPr>
            <w:r>
              <w:rPr>
                <w:rFonts w:hint="eastAsia"/>
                <w:b/>
                <w:bCs/>
                <w:color w:val="auto"/>
                <w:u w:val="single"/>
              </w:rPr>
              <w:t>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1800</w:t>
            </w:r>
          </w:p>
        </w:tc>
        <w:tc>
          <w:tcPr>
            <w:tcW w:w="1164" w:type="pct"/>
            <w:shd w:val="clear" w:color="auto" w:fill="auto"/>
            <w:vAlign w:val="center"/>
          </w:tcPr>
          <w:p>
            <w:pPr>
              <w:jc w:val="center"/>
              <w:rPr>
                <w:b/>
                <w:bCs/>
                <w:color w:val="auto"/>
                <w:u w:val="single"/>
              </w:rPr>
            </w:pPr>
            <w:r>
              <w:rPr>
                <w:rFonts w:hint="eastAsia"/>
                <w:b/>
                <w:bCs/>
                <w:color w:val="auto"/>
                <w:u w:val="single"/>
              </w:rPr>
              <w:t>2.20E-04</w:t>
            </w:r>
          </w:p>
        </w:tc>
        <w:tc>
          <w:tcPr>
            <w:tcW w:w="914" w:type="pct"/>
            <w:shd w:val="clear" w:color="auto" w:fill="auto"/>
            <w:vAlign w:val="center"/>
          </w:tcPr>
          <w:p>
            <w:pPr>
              <w:jc w:val="center"/>
              <w:rPr>
                <w:b/>
                <w:bCs/>
                <w:color w:val="auto"/>
                <w:u w:val="single"/>
              </w:rPr>
            </w:pPr>
            <w:r>
              <w:rPr>
                <w:rFonts w:hint="eastAsia"/>
                <w:b/>
                <w:bCs/>
                <w:color w:val="auto"/>
                <w:u w:val="single"/>
              </w:rPr>
              <w:t>0.44</w:t>
            </w:r>
          </w:p>
        </w:tc>
        <w:tc>
          <w:tcPr>
            <w:tcW w:w="1194" w:type="pct"/>
            <w:shd w:val="clear" w:color="auto" w:fill="auto"/>
            <w:vAlign w:val="center"/>
          </w:tcPr>
          <w:p>
            <w:pPr>
              <w:jc w:val="center"/>
              <w:rPr>
                <w:b/>
                <w:bCs/>
                <w:color w:val="auto"/>
                <w:u w:val="single"/>
              </w:rPr>
            </w:pPr>
            <w:r>
              <w:rPr>
                <w:rFonts w:hint="eastAsia"/>
                <w:b/>
                <w:bCs/>
                <w:color w:val="auto"/>
                <w:u w:val="single"/>
              </w:rPr>
              <w:t>1.02E-03</w:t>
            </w:r>
          </w:p>
        </w:tc>
        <w:tc>
          <w:tcPr>
            <w:tcW w:w="1000" w:type="pct"/>
            <w:shd w:val="clear" w:color="auto" w:fill="auto"/>
            <w:vAlign w:val="center"/>
          </w:tcPr>
          <w:p>
            <w:pPr>
              <w:jc w:val="center"/>
              <w:rPr>
                <w:b/>
                <w:bCs/>
                <w:color w:val="auto"/>
                <w:u w:val="single"/>
              </w:rPr>
            </w:pPr>
            <w:r>
              <w:rPr>
                <w:rFonts w:hint="eastAsia"/>
                <w:b/>
                <w:bCs/>
                <w:color w:val="auto"/>
                <w:u w:val="single"/>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1900</w:t>
            </w:r>
          </w:p>
        </w:tc>
        <w:tc>
          <w:tcPr>
            <w:tcW w:w="1164" w:type="pct"/>
            <w:shd w:val="clear" w:color="auto" w:fill="auto"/>
            <w:vAlign w:val="center"/>
          </w:tcPr>
          <w:p>
            <w:pPr>
              <w:jc w:val="center"/>
              <w:rPr>
                <w:b/>
                <w:bCs/>
                <w:color w:val="auto"/>
                <w:u w:val="single"/>
              </w:rPr>
            </w:pPr>
            <w:r>
              <w:rPr>
                <w:rFonts w:hint="eastAsia"/>
                <w:b/>
                <w:bCs/>
                <w:color w:val="auto"/>
                <w:u w:val="single"/>
              </w:rPr>
              <w:t>2.04E-04</w:t>
            </w:r>
          </w:p>
        </w:tc>
        <w:tc>
          <w:tcPr>
            <w:tcW w:w="914" w:type="pct"/>
            <w:shd w:val="clear" w:color="auto" w:fill="auto"/>
            <w:vAlign w:val="center"/>
          </w:tcPr>
          <w:p>
            <w:pPr>
              <w:jc w:val="center"/>
              <w:rPr>
                <w:b/>
                <w:bCs/>
                <w:color w:val="auto"/>
                <w:u w:val="single"/>
              </w:rPr>
            </w:pPr>
            <w:r>
              <w:rPr>
                <w:rFonts w:hint="eastAsia"/>
                <w:b/>
                <w:bCs/>
                <w:color w:val="auto"/>
                <w:u w:val="single"/>
              </w:rPr>
              <w:t>0.41</w:t>
            </w:r>
          </w:p>
        </w:tc>
        <w:tc>
          <w:tcPr>
            <w:tcW w:w="1194" w:type="pct"/>
            <w:shd w:val="clear" w:color="auto" w:fill="auto"/>
            <w:vAlign w:val="center"/>
          </w:tcPr>
          <w:p>
            <w:pPr>
              <w:jc w:val="center"/>
              <w:rPr>
                <w:b/>
                <w:bCs/>
                <w:color w:val="auto"/>
                <w:u w:val="single"/>
              </w:rPr>
            </w:pPr>
            <w:r>
              <w:rPr>
                <w:rFonts w:hint="eastAsia"/>
                <w:b/>
                <w:bCs/>
                <w:color w:val="auto"/>
                <w:u w:val="single"/>
              </w:rPr>
              <w:t>9.50E-04</w:t>
            </w:r>
          </w:p>
        </w:tc>
        <w:tc>
          <w:tcPr>
            <w:tcW w:w="1000" w:type="pct"/>
            <w:shd w:val="clear" w:color="auto" w:fill="auto"/>
            <w:vAlign w:val="center"/>
          </w:tcPr>
          <w:p>
            <w:pPr>
              <w:jc w:val="center"/>
              <w:rPr>
                <w:b/>
                <w:bCs/>
                <w:color w:val="auto"/>
                <w:u w:val="single"/>
              </w:rPr>
            </w:pPr>
            <w:r>
              <w:rPr>
                <w:rFonts w:hint="eastAsia"/>
                <w:b/>
                <w:bCs/>
                <w:color w:val="auto"/>
                <w:u w:val="single"/>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2000</w:t>
            </w:r>
          </w:p>
        </w:tc>
        <w:tc>
          <w:tcPr>
            <w:tcW w:w="1164" w:type="pct"/>
            <w:shd w:val="clear" w:color="auto" w:fill="auto"/>
            <w:vAlign w:val="center"/>
          </w:tcPr>
          <w:p>
            <w:pPr>
              <w:jc w:val="center"/>
              <w:rPr>
                <w:b/>
                <w:bCs/>
                <w:color w:val="auto"/>
                <w:u w:val="single"/>
              </w:rPr>
            </w:pPr>
            <w:r>
              <w:rPr>
                <w:rFonts w:hint="eastAsia"/>
                <w:b/>
                <w:bCs/>
                <w:color w:val="auto"/>
                <w:u w:val="single"/>
              </w:rPr>
              <w:t>1.90E-04</w:t>
            </w:r>
          </w:p>
        </w:tc>
        <w:tc>
          <w:tcPr>
            <w:tcW w:w="914" w:type="pct"/>
            <w:shd w:val="clear" w:color="auto" w:fill="auto"/>
            <w:vAlign w:val="center"/>
          </w:tcPr>
          <w:p>
            <w:pPr>
              <w:jc w:val="center"/>
              <w:rPr>
                <w:b/>
                <w:bCs/>
                <w:color w:val="auto"/>
                <w:u w:val="single"/>
              </w:rPr>
            </w:pPr>
            <w:r>
              <w:rPr>
                <w:rFonts w:hint="eastAsia"/>
                <w:b/>
                <w:bCs/>
                <w:color w:val="auto"/>
                <w:u w:val="single"/>
              </w:rPr>
              <w:t>0.38</w:t>
            </w:r>
          </w:p>
        </w:tc>
        <w:tc>
          <w:tcPr>
            <w:tcW w:w="1194" w:type="pct"/>
            <w:shd w:val="clear" w:color="auto" w:fill="auto"/>
            <w:vAlign w:val="center"/>
          </w:tcPr>
          <w:p>
            <w:pPr>
              <w:jc w:val="center"/>
              <w:rPr>
                <w:b/>
                <w:bCs/>
                <w:color w:val="auto"/>
                <w:u w:val="single"/>
              </w:rPr>
            </w:pPr>
            <w:r>
              <w:rPr>
                <w:rFonts w:hint="eastAsia"/>
                <w:b/>
                <w:bCs/>
                <w:color w:val="auto"/>
                <w:u w:val="single"/>
              </w:rPr>
              <w:t>8.90E-04</w:t>
            </w:r>
          </w:p>
        </w:tc>
        <w:tc>
          <w:tcPr>
            <w:tcW w:w="1000" w:type="pct"/>
            <w:shd w:val="clear" w:color="auto" w:fill="auto"/>
            <w:vAlign w:val="center"/>
          </w:tcPr>
          <w:p>
            <w:pPr>
              <w:jc w:val="center"/>
              <w:rPr>
                <w:b/>
                <w:bCs/>
                <w:color w:val="auto"/>
                <w:u w:val="single"/>
              </w:rPr>
            </w:pPr>
            <w:r>
              <w:rPr>
                <w:rFonts w:hint="eastAsia"/>
                <w:b/>
                <w:bCs/>
                <w:color w:val="auto"/>
                <w:u w:val="single"/>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2100</w:t>
            </w:r>
          </w:p>
        </w:tc>
        <w:tc>
          <w:tcPr>
            <w:tcW w:w="1164" w:type="pct"/>
            <w:shd w:val="clear" w:color="auto" w:fill="auto"/>
            <w:vAlign w:val="center"/>
          </w:tcPr>
          <w:p>
            <w:pPr>
              <w:jc w:val="center"/>
              <w:rPr>
                <w:b/>
                <w:bCs/>
                <w:color w:val="auto"/>
                <w:u w:val="single"/>
              </w:rPr>
            </w:pPr>
            <w:r>
              <w:rPr>
                <w:rFonts w:hint="eastAsia"/>
                <w:b/>
                <w:bCs/>
                <w:color w:val="auto"/>
                <w:u w:val="single"/>
              </w:rPr>
              <w:t>1.78E-04</w:t>
            </w:r>
          </w:p>
        </w:tc>
        <w:tc>
          <w:tcPr>
            <w:tcW w:w="914" w:type="pct"/>
            <w:shd w:val="clear" w:color="auto" w:fill="auto"/>
            <w:vAlign w:val="center"/>
          </w:tcPr>
          <w:p>
            <w:pPr>
              <w:jc w:val="center"/>
              <w:rPr>
                <w:b/>
                <w:bCs/>
                <w:color w:val="auto"/>
                <w:u w:val="single"/>
              </w:rPr>
            </w:pPr>
            <w:r>
              <w:rPr>
                <w:rFonts w:hint="eastAsia"/>
                <w:b/>
                <w:bCs/>
                <w:color w:val="auto"/>
                <w:u w:val="single"/>
              </w:rPr>
              <w:t>0.36</w:t>
            </w:r>
          </w:p>
        </w:tc>
        <w:tc>
          <w:tcPr>
            <w:tcW w:w="1194" w:type="pct"/>
            <w:shd w:val="clear" w:color="auto" w:fill="auto"/>
            <w:vAlign w:val="center"/>
          </w:tcPr>
          <w:p>
            <w:pPr>
              <w:jc w:val="center"/>
              <w:rPr>
                <w:b/>
                <w:bCs/>
                <w:color w:val="auto"/>
                <w:u w:val="single"/>
              </w:rPr>
            </w:pPr>
            <w:r>
              <w:rPr>
                <w:rFonts w:hint="eastAsia"/>
                <w:b/>
                <w:bCs/>
                <w:color w:val="auto"/>
                <w:u w:val="single"/>
              </w:rPr>
              <w:t>8.38E-04</w:t>
            </w:r>
          </w:p>
        </w:tc>
        <w:tc>
          <w:tcPr>
            <w:tcW w:w="1000" w:type="pct"/>
            <w:shd w:val="clear" w:color="auto" w:fill="auto"/>
            <w:vAlign w:val="center"/>
          </w:tcPr>
          <w:p>
            <w:pPr>
              <w:jc w:val="center"/>
              <w:rPr>
                <w:b/>
                <w:bCs/>
                <w:color w:val="auto"/>
                <w:u w:val="single"/>
              </w:rPr>
            </w:pPr>
            <w:r>
              <w:rPr>
                <w:rFonts w:hint="eastAsia"/>
                <w:b/>
                <w:bCs/>
                <w:color w:val="auto"/>
                <w:u w:val="single"/>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2200</w:t>
            </w:r>
          </w:p>
        </w:tc>
        <w:tc>
          <w:tcPr>
            <w:tcW w:w="1164" w:type="pct"/>
            <w:shd w:val="clear" w:color="auto" w:fill="auto"/>
            <w:vAlign w:val="center"/>
          </w:tcPr>
          <w:p>
            <w:pPr>
              <w:jc w:val="center"/>
              <w:rPr>
                <w:b/>
                <w:bCs/>
                <w:color w:val="auto"/>
                <w:u w:val="single"/>
              </w:rPr>
            </w:pPr>
            <w:r>
              <w:rPr>
                <w:rFonts w:hint="eastAsia"/>
                <w:b/>
                <w:bCs/>
                <w:color w:val="auto"/>
                <w:u w:val="single"/>
              </w:rPr>
              <w:t>1.67E-04</w:t>
            </w:r>
          </w:p>
        </w:tc>
        <w:tc>
          <w:tcPr>
            <w:tcW w:w="914" w:type="pct"/>
            <w:shd w:val="clear" w:color="auto" w:fill="auto"/>
            <w:vAlign w:val="center"/>
          </w:tcPr>
          <w:p>
            <w:pPr>
              <w:jc w:val="center"/>
              <w:rPr>
                <w:b/>
                <w:bCs/>
                <w:color w:val="auto"/>
                <w:u w:val="single"/>
              </w:rPr>
            </w:pPr>
            <w:r>
              <w:rPr>
                <w:rFonts w:hint="eastAsia"/>
                <w:b/>
                <w:bCs/>
                <w:color w:val="auto"/>
                <w:u w:val="single"/>
              </w:rPr>
              <w:t>0.33</w:t>
            </w:r>
          </w:p>
        </w:tc>
        <w:tc>
          <w:tcPr>
            <w:tcW w:w="1194" w:type="pct"/>
            <w:shd w:val="clear" w:color="auto" w:fill="auto"/>
            <w:vAlign w:val="center"/>
          </w:tcPr>
          <w:p>
            <w:pPr>
              <w:jc w:val="center"/>
              <w:rPr>
                <w:b/>
                <w:bCs/>
                <w:color w:val="auto"/>
                <w:u w:val="single"/>
              </w:rPr>
            </w:pPr>
            <w:r>
              <w:rPr>
                <w:rFonts w:hint="eastAsia"/>
                <w:b/>
                <w:bCs/>
                <w:color w:val="auto"/>
                <w:u w:val="single"/>
              </w:rPr>
              <w:t>7.91E-04</w:t>
            </w:r>
          </w:p>
        </w:tc>
        <w:tc>
          <w:tcPr>
            <w:tcW w:w="1000" w:type="pct"/>
            <w:shd w:val="clear" w:color="auto" w:fill="auto"/>
            <w:vAlign w:val="center"/>
          </w:tcPr>
          <w:p>
            <w:pPr>
              <w:jc w:val="center"/>
              <w:rPr>
                <w:b/>
                <w:bCs/>
                <w:color w:val="auto"/>
                <w:u w:val="single"/>
              </w:rPr>
            </w:pPr>
            <w:r>
              <w:rPr>
                <w:rFonts w:hint="eastAsia"/>
                <w:b/>
                <w:bCs/>
                <w:color w:val="auto"/>
                <w:u w:val="single"/>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2300</w:t>
            </w:r>
          </w:p>
        </w:tc>
        <w:tc>
          <w:tcPr>
            <w:tcW w:w="1164" w:type="pct"/>
            <w:shd w:val="clear" w:color="auto" w:fill="auto"/>
            <w:vAlign w:val="center"/>
          </w:tcPr>
          <w:p>
            <w:pPr>
              <w:jc w:val="center"/>
              <w:rPr>
                <w:b/>
                <w:bCs/>
                <w:color w:val="auto"/>
                <w:u w:val="single"/>
              </w:rPr>
            </w:pPr>
            <w:r>
              <w:rPr>
                <w:rFonts w:hint="eastAsia"/>
                <w:b/>
                <w:bCs/>
                <w:color w:val="auto"/>
                <w:u w:val="single"/>
              </w:rPr>
              <w:t>1.57E-04</w:t>
            </w:r>
          </w:p>
        </w:tc>
        <w:tc>
          <w:tcPr>
            <w:tcW w:w="914" w:type="pct"/>
            <w:shd w:val="clear" w:color="auto" w:fill="auto"/>
            <w:vAlign w:val="center"/>
          </w:tcPr>
          <w:p>
            <w:pPr>
              <w:jc w:val="center"/>
              <w:rPr>
                <w:b/>
                <w:bCs/>
                <w:color w:val="auto"/>
                <w:u w:val="single"/>
              </w:rPr>
            </w:pPr>
            <w:r>
              <w:rPr>
                <w:rFonts w:hint="eastAsia"/>
                <w:b/>
                <w:bCs/>
                <w:color w:val="auto"/>
                <w:u w:val="single"/>
              </w:rPr>
              <w:t>0.31</w:t>
            </w:r>
          </w:p>
        </w:tc>
        <w:tc>
          <w:tcPr>
            <w:tcW w:w="1194" w:type="pct"/>
            <w:shd w:val="clear" w:color="auto" w:fill="auto"/>
            <w:vAlign w:val="center"/>
          </w:tcPr>
          <w:p>
            <w:pPr>
              <w:jc w:val="center"/>
              <w:rPr>
                <w:b/>
                <w:bCs/>
                <w:color w:val="auto"/>
                <w:u w:val="single"/>
              </w:rPr>
            </w:pPr>
            <w:r>
              <w:rPr>
                <w:rFonts w:hint="eastAsia"/>
                <w:b/>
                <w:bCs/>
                <w:color w:val="auto"/>
                <w:u w:val="single"/>
              </w:rPr>
              <w:t>7.49E-04</w:t>
            </w:r>
          </w:p>
        </w:tc>
        <w:tc>
          <w:tcPr>
            <w:tcW w:w="1000" w:type="pct"/>
            <w:shd w:val="clear" w:color="auto" w:fill="auto"/>
            <w:vAlign w:val="center"/>
          </w:tcPr>
          <w:p>
            <w:pPr>
              <w:jc w:val="center"/>
              <w:rPr>
                <w:b/>
                <w:bCs/>
                <w:color w:val="auto"/>
                <w:u w:val="single"/>
              </w:rPr>
            </w:pPr>
            <w:r>
              <w:rPr>
                <w:rFonts w:hint="eastAsia"/>
                <w:b/>
                <w:bCs/>
                <w:color w:val="auto"/>
                <w:u w:val="single"/>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2400</w:t>
            </w:r>
          </w:p>
        </w:tc>
        <w:tc>
          <w:tcPr>
            <w:tcW w:w="1164" w:type="pct"/>
            <w:shd w:val="clear" w:color="auto" w:fill="auto"/>
            <w:vAlign w:val="center"/>
          </w:tcPr>
          <w:p>
            <w:pPr>
              <w:jc w:val="center"/>
              <w:rPr>
                <w:b/>
                <w:bCs/>
                <w:color w:val="auto"/>
                <w:u w:val="single"/>
              </w:rPr>
            </w:pPr>
            <w:r>
              <w:rPr>
                <w:rFonts w:hint="eastAsia"/>
                <w:b/>
                <w:bCs/>
                <w:color w:val="auto"/>
                <w:u w:val="single"/>
              </w:rPr>
              <w:t>1.49E-04</w:t>
            </w:r>
          </w:p>
        </w:tc>
        <w:tc>
          <w:tcPr>
            <w:tcW w:w="914" w:type="pct"/>
            <w:shd w:val="clear" w:color="auto" w:fill="auto"/>
            <w:vAlign w:val="center"/>
          </w:tcPr>
          <w:p>
            <w:pPr>
              <w:jc w:val="center"/>
              <w:rPr>
                <w:b/>
                <w:bCs/>
                <w:color w:val="auto"/>
                <w:u w:val="single"/>
              </w:rPr>
            </w:pPr>
            <w:r>
              <w:rPr>
                <w:rFonts w:hint="eastAsia"/>
                <w:b/>
                <w:bCs/>
                <w:color w:val="auto"/>
                <w:u w:val="single"/>
              </w:rPr>
              <w:t>0.30</w:t>
            </w:r>
          </w:p>
        </w:tc>
        <w:tc>
          <w:tcPr>
            <w:tcW w:w="1194" w:type="pct"/>
            <w:shd w:val="clear" w:color="auto" w:fill="auto"/>
            <w:vAlign w:val="center"/>
          </w:tcPr>
          <w:p>
            <w:pPr>
              <w:jc w:val="center"/>
              <w:rPr>
                <w:b/>
                <w:bCs/>
                <w:color w:val="auto"/>
                <w:u w:val="single"/>
              </w:rPr>
            </w:pPr>
            <w:r>
              <w:rPr>
                <w:rFonts w:hint="eastAsia"/>
                <w:b/>
                <w:bCs/>
                <w:color w:val="auto"/>
                <w:u w:val="single"/>
              </w:rPr>
              <w:t>7.10E-04</w:t>
            </w:r>
          </w:p>
        </w:tc>
        <w:tc>
          <w:tcPr>
            <w:tcW w:w="1000" w:type="pct"/>
            <w:shd w:val="clear" w:color="auto" w:fill="auto"/>
            <w:vAlign w:val="center"/>
          </w:tcPr>
          <w:p>
            <w:pPr>
              <w:jc w:val="center"/>
              <w:rPr>
                <w:b/>
                <w:bCs/>
                <w:color w:val="auto"/>
                <w:u w:val="single"/>
              </w:rPr>
            </w:pPr>
            <w:r>
              <w:rPr>
                <w:rFonts w:hint="eastAsia"/>
                <w:b/>
                <w:bCs/>
                <w:color w:val="auto"/>
                <w:u w:val="single"/>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jc w:val="center"/>
              <w:rPr>
                <w:rFonts w:eastAsia="黑体"/>
                <w:color w:val="auto"/>
                <w:kern w:val="0"/>
              </w:rPr>
            </w:pPr>
            <w:r>
              <w:rPr>
                <w:rFonts w:hint="eastAsia" w:eastAsia="黑体"/>
                <w:color w:val="auto"/>
                <w:kern w:val="0"/>
              </w:rPr>
              <w:t>2500</w:t>
            </w:r>
          </w:p>
        </w:tc>
        <w:tc>
          <w:tcPr>
            <w:tcW w:w="1164" w:type="pct"/>
            <w:shd w:val="clear" w:color="auto" w:fill="auto"/>
            <w:vAlign w:val="center"/>
          </w:tcPr>
          <w:p>
            <w:pPr>
              <w:jc w:val="center"/>
              <w:rPr>
                <w:b/>
                <w:bCs/>
                <w:color w:val="auto"/>
                <w:u w:val="single"/>
              </w:rPr>
            </w:pPr>
            <w:r>
              <w:rPr>
                <w:rFonts w:hint="eastAsia"/>
                <w:b/>
                <w:bCs/>
                <w:color w:val="auto"/>
                <w:u w:val="single"/>
              </w:rPr>
              <w:t>1.41E-04</w:t>
            </w:r>
          </w:p>
        </w:tc>
        <w:tc>
          <w:tcPr>
            <w:tcW w:w="914" w:type="pct"/>
            <w:shd w:val="clear" w:color="auto" w:fill="auto"/>
            <w:vAlign w:val="center"/>
          </w:tcPr>
          <w:p>
            <w:pPr>
              <w:jc w:val="center"/>
              <w:rPr>
                <w:b/>
                <w:bCs/>
                <w:color w:val="auto"/>
                <w:u w:val="single"/>
              </w:rPr>
            </w:pPr>
            <w:r>
              <w:rPr>
                <w:rFonts w:hint="eastAsia"/>
                <w:b/>
                <w:bCs/>
                <w:color w:val="auto"/>
                <w:u w:val="single"/>
              </w:rPr>
              <w:t>0.28</w:t>
            </w:r>
          </w:p>
        </w:tc>
        <w:tc>
          <w:tcPr>
            <w:tcW w:w="1194" w:type="pct"/>
            <w:shd w:val="clear" w:color="auto" w:fill="auto"/>
            <w:vAlign w:val="center"/>
          </w:tcPr>
          <w:p>
            <w:pPr>
              <w:jc w:val="center"/>
              <w:rPr>
                <w:b/>
                <w:bCs/>
                <w:color w:val="auto"/>
                <w:u w:val="single"/>
              </w:rPr>
            </w:pPr>
            <w:r>
              <w:rPr>
                <w:rFonts w:hint="eastAsia"/>
                <w:b/>
                <w:bCs/>
                <w:color w:val="auto"/>
                <w:u w:val="single"/>
              </w:rPr>
              <w:t>6.74E-04</w:t>
            </w:r>
          </w:p>
        </w:tc>
        <w:tc>
          <w:tcPr>
            <w:tcW w:w="1000" w:type="pct"/>
            <w:shd w:val="clear" w:color="auto" w:fill="auto"/>
            <w:vAlign w:val="center"/>
          </w:tcPr>
          <w:p>
            <w:pPr>
              <w:jc w:val="center"/>
              <w:rPr>
                <w:b/>
                <w:bCs/>
                <w:color w:val="auto"/>
                <w:u w:val="single"/>
              </w:rPr>
            </w:pPr>
            <w:r>
              <w:rPr>
                <w:rFonts w:hint="eastAsia"/>
                <w:b/>
                <w:bCs/>
                <w:color w:val="auto"/>
                <w:u w:val="single"/>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6" w:type="pct"/>
            <w:shd w:val="clear" w:color="auto" w:fill="auto"/>
            <w:vAlign w:val="center"/>
          </w:tcPr>
          <w:p>
            <w:pPr>
              <w:widowControl w:val="0"/>
              <w:ind w:firstLine="420" w:firstLineChars="200"/>
              <w:jc w:val="center"/>
              <w:rPr>
                <w:rFonts w:eastAsia="黑体"/>
                <w:color w:val="auto"/>
                <w:kern w:val="0"/>
              </w:rPr>
            </w:pPr>
            <w:r>
              <w:rPr>
                <w:color w:val="auto"/>
                <w:szCs w:val="20"/>
              </w:rPr>
              <w:t>Pmax</w:t>
            </w:r>
          </w:p>
        </w:tc>
        <w:tc>
          <w:tcPr>
            <w:tcW w:w="1164" w:type="pct"/>
            <w:shd w:val="clear" w:color="auto" w:fill="auto"/>
            <w:vAlign w:val="center"/>
          </w:tcPr>
          <w:p>
            <w:pPr>
              <w:widowControl w:val="0"/>
              <w:jc w:val="center"/>
              <w:rPr>
                <w:b/>
                <w:bCs/>
                <w:color w:val="auto"/>
                <w:sz w:val="24"/>
                <w:szCs w:val="24"/>
                <w:u w:val="single"/>
              </w:rPr>
            </w:pPr>
            <w:r>
              <w:rPr>
                <w:rFonts w:hint="eastAsia"/>
                <w:b/>
                <w:bCs/>
                <w:color w:val="auto"/>
                <w:szCs w:val="20"/>
                <w:u w:val="single"/>
              </w:rPr>
              <w:t>0.00325（177</w:t>
            </w:r>
            <w:r>
              <w:rPr>
                <w:b/>
                <w:bCs/>
                <w:color w:val="auto"/>
                <w:szCs w:val="20"/>
                <w:u w:val="single"/>
              </w:rPr>
              <w:t>m</w:t>
            </w:r>
            <w:r>
              <w:rPr>
                <w:rFonts w:hint="eastAsia"/>
                <w:b/>
                <w:bCs/>
                <w:color w:val="auto"/>
                <w:szCs w:val="20"/>
                <w:u w:val="single"/>
              </w:rPr>
              <w:t>）</w:t>
            </w:r>
          </w:p>
        </w:tc>
        <w:tc>
          <w:tcPr>
            <w:tcW w:w="914" w:type="pct"/>
            <w:shd w:val="clear" w:color="auto" w:fill="auto"/>
            <w:vAlign w:val="center"/>
          </w:tcPr>
          <w:p>
            <w:pPr>
              <w:widowControl w:val="0"/>
              <w:jc w:val="center"/>
              <w:rPr>
                <w:b/>
                <w:bCs/>
                <w:color w:val="auto"/>
                <w:sz w:val="24"/>
                <w:szCs w:val="24"/>
                <w:u w:val="single"/>
              </w:rPr>
            </w:pPr>
            <w:r>
              <w:rPr>
                <w:rFonts w:hint="eastAsia"/>
                <w:b/>
                <w:bCs/>
                <w:color w:val="auto"/>
                <w:szCs w:val="20"/>
                <w:u w:val="single"/>
              </w:rPr>
              <w:t>6.5</w:t>
            </w:r>
          </w:p>
        </w:tc>
        <w:tc>
          <w:tcPr>
            <w:tcW w:w="1194" w:type="pct"/>
            <w:shd w:val="clear" w:color="auto" w:fill="auto"/>
            <w:vAlign w:val="center"/>
          </w:tcPr>
          <w:p>
            <w:pPr>
              <w:widowControl w:val="0"/>
              <w:jc w:val="center"/>
              <w:rPr>
                <w:b/>
                <w:bCs/>
                <w:color w:val="auto"/>
                <w:sz w:val="24"/>
                <w:szCs w:val="24"/>
                <w:u w:val="single"/>
              </w:rPr>
            </w:pPr>
            <w:r>
              <w:rPr>
                <w:rFonts w:hint="eastAsia"/>
                <w:b/>
                <w:bCs/>
                <w:color w:val="auto"/>
                <w:szCs w:val="20"/>
                <w:u w:val="single"/>
              </w:rPr>
              <w:t>0.0282</w:t>
            </w:r>
            <w:r>
              <w:rPr>
                <w:b/>
                <w:bCs/>
                <w:color w:val="auto"/>
                <w:szCs w:val="20"/>
                <w:u w:val="single"/>
              </w:rPr>
              <w:t>（</w:t>
            </w:r>
            <w:r>
              <w:rPr>
                <w:rFonts w:hint="eastAsia"/>
                <w:b/>
                <w:bCs/>
                <w:color w:val="auto"/>
                <w:szCs w:val="20"/>
                <w:u w:val="single"/>
              </w:rPr>
              <w:t>255</w:t>
            </w:r>
            <w:r>
              <w:rPr>
                <w:b/>
                <w:bCs/>
                <w:color w:val="auto"/>
                <w:szCs w:val="20"/>
                <w:u w:val="single"/>
              </w:rPr>
              <w:t>m）</w:t>
            </w:r>
          </w:p>
        </w:tc>
        <w:tc>
          <w:tcPr>
            <w:tcW w:w="1000" w:type="pct"/>
            <w:shd w:val="clear" w:color="auto" w:fill="auto"/>
            <w:vAlign w:val="center"/>
          </w:tcPr>
          <w:p>
            <w:pPr>
              <w:widowControl w:val="0"/>
              <w:jc w:val="center"/>
              <w:rPr>
                <w:b/>
                <w:bCs/>
                <w:color w:val="auto"/>
                <w:sz w:val="24"/>
                <w:szCs w:val="24"/>
                <w:u w:val="single"/>
              </w:rPr>
            </w:pPr>
            <w:r>
              <w:rPr>
                <w:rFonts w:hint="eastAsia"/>
                <w:b/>
                <w:bCs/>
                <w:color w:val="auto"/>
                <w:u w:val="single"/>
              </w:rPr>
              <w:t>0.63</w:t>
            </w:r>
          </w:p>
        </w:tc>
      </w:tr>
    </w:tbl>
    <w:p>
      <w:pPr>
        <w:adjustRightInd w:val="0"/>
        <w:snapToGrid w:val="0"/>
        <w:spacing w:before="120" w:line="520" w:lineRule="exact"/>
        <w:ind w:firstLine="482" w:firstLineChars="200"/>
        <w:textAlignment w:val="baseline"/>
        <w:rPr>
          <w:color w:val="auto"/>
          <w:kern w:val="0"/>
          <w:sz w:val="24"/>
          <w:szCs w:val="20"/>
        </w:rPr>
      </w:pPr>
      <w:r>
        <w:rPr>
          <w:b/>
          <w:bCs/>
          <w:color w:val="auto"/>
          <w:kern w:val="0"/>
          <w:sz w:val="24"/>
          <w:szCs w:val="20"/>
          <w:u w:val="single"/>
        </w:rPr>
        <w:t>由上表可知：本项目面源排放的污染物：北厂房氯化氢的最大落地浓度出现在下风向</w:t>
      </w:r>
      <w:r>
        <w:rPr>
          <w:rFonts w:hint="eastAsia"/>
          <w:b/>
          <w:bCs/>
          <w:color w:val="auto"/>
          <w:kern w:val="0"/>
          <w:sz w:val="24"/>
          <w:szCs w:val="20"/>
          <w:u w:val="single"/>
        </w:rPr>
        <w:t>177</w:t>
      </w:r>
      <w:r>
        <w:rPr>
          <w:b/>
          <w:bCs/>
          <w:color w:val="auto"/>
          <w:kern w:val="0"/>
          <w:sz w:val="24"/>
          <w:szCs w:val="20"/>
          <w:u w:val="single"/>
        </w:rPr>
        <w:t>m处，最大落地浓度为</w:t>
      </w:r>
      <w:r>
        <w:rPr>
          <w:rFonts w:hint="eastAsia"/>
          <w:b/>
          <w:bCs/>
          <w:color w:val="auto"/>
          <w:kern w:val="0"/>
          <w:sz w:val="24"/>
          <w:szCs w:val="20"/>
          <w:u w:val="single"/>
        </w:rPr>
        <w:t>0.00325</w:t>
      </w:r>
      <w:r>
        <w:rPr>
          <w:b/>
          <w:bCs/>
          <w:color w:val="auto"/>
          <w:kern w:val="0"/>
          <w:sz w:val="24"/>
          <w:szCs w:val="20"/>
          <w:u w:val="single"/>
        </w:rPr>
        <w:t>mg/m</w:t>
      </w:r>
      <w:r>
        <w:rPr>
          <w:b/>
          <w:bCs/>
          <w:color w:val="auto"/>
          <w:kern w:val="0"/>
          <w:sz w:val="24"/>
          <w:szCs w:val="20"/>
          <w:u w:val="single"/>
          <w:vertAlign w:val="superscript"/>
        </w:rPr>
        <w:t>3</w:t>
      </w:r>
      <w:r>
        <w:rPr>
          <w:b/>
          <w:bCs/>
          <w:color w:val="auto"/>
          <w:kern w:val="0"/>
          <w:sz w:val="24"/>
          <w:szCs w:val="20"/>
          <w:u w:val="single"/>
        </w:rPr>
        <w:t>，占标率为</w:t>
      </w:r>
      <w:r>
        <w:rPr>
          <w:rFonts w:hint="eastAsia"/>
          <w:b/>
          <w:bCs/>
          <w:color w:val="auto"/>
          <w:kern w:val="0"/>
          <w:sz w:val="24"/>
          <w:szCs w:val="20"/>
          <w:u w:val="single"/>
        </w:rPr>
        <w:t>6.5</w:t>
      </w:r>
      <w:r>
        <w:rPr>
          <w:b/>
          <w:bCs/>
          <w:color w:val="auto"/>
          <w:kern w:val="0"/>
          <w:sz w:val="24"/>
          <w:szCs w:val="20"/>
          <w:u w:val="single"/>
        </w:rPr>
        <w:t>%；南车间</w:t>
      </w:r>
      <w:r>
        <w:rPr>
          <w:rFonts w:hint="eastAsia"/>
          <w:b/>
          <w:bCs/>
          <w:color w:val="auto"/>
          <w:kern w:val="0"/>
          <w:sz w:val="24"/>
          <w:szCs w:val="20"/>
          <w:u w:val="single"/>
        </w:rPr>
        <w:t>颗粒物</w:t>
      </w:r>
      <w:r>
        <w:rPr>
          <w:b/>
          <w:bCs/>
          <w:color w:val="auto"/>
          <w:kern w:val="0"/>
          <w:sz w:val="24"/>
          <w:szCs w:val="20"/>
          <w:u w:val="single"/>
        </w:rPr>
        <w:t>的最大落地浓度出现在下风向</w:t>
      </w:r>
      <w:r>
        <w:rPr>
          <w:rFonts w:hint="eastAsia"/>
          <w:b/>
          <w:bCs/>
          <w:color w:val="auto"/>
          <w:kern w:val="0"/>
          <w:sz w:val="24"/>
          <w:szCs w:val="20"/>
          <w:u w:val="single"/>
        </w:rPr>
        <w:t>255</w:t>
      </w:r>
      <w:r>
        <w:rPr>
          <w:b/>
          <w:bCs/>
          <w:color w:val="auto"/>
          <w:kern w:val="0"/>
          <w:sz w:val="24"/>
          <w:szCs w:val="20"/>
          <w:u w:val="single"/>
        </w:rPr>
        <w:t>m处，最大落地浓度为</w:t>
      </w:r>
      <w:r>
        <w:rPr>
          <w:rFonts w:hint="eastAsia"/>
          <w:b/>
          <w:bCs/>
          <w:color w:val="auto"/>
          <w:kern w:val="0"/>
          <w:sz w:val="24"/>
          <w:szCs w:val="20"/>
          <w:u w:val="single"/>
        </w:rPr>
        <w:t>0.0282</w:t>
      </w:r>
      <w:r>
        <w:rPr>
          <w:b/>
          <w:bCs/>
          <w:color w:val="auto"/>
          <w:kern w:val="0"/>
          <w:sz w:val="24"/>
          <w:szCs w:val="20"/>
          <w:u w:val="single"/>
        </w:rPr>
        <w:t>mg/m</w:t>
      </w:r>
      <w:r>
        <w:rPr>
          <w:b/>
          <w:bCs/>
          <w:color w:val="auto"/>
          <w:kern w:val="0"/>
          <w:sz w:val="24"/>
          <w:szCs w:val="20"/>
          <w:u w:val="single"/>
          <w:vertAlign w:val="superscript"/>
        </w:rPr>
        <w:t>3</w:t>
      </w:r>
      <w:r>
        <w:rPr>
          <w:b/>
          <w:bCs/>
          <w:color w:val="auto"/>
          <w:kern w:val="0"/>
          <w:sz w:val="24"/>
          <w:szCs w:val="20"/>
          <w:u w:val="single"/>
        </w:rPr>
        <w:t>，占标率为</w:t>
      </w:r>
      <w:r>
        <w:rPr>
          <w:rFonts w:hint="eastAsia"/>
          <w:b/>
          <w:bCs/>
          <w:color w:val="auto"/>
          <w:kern w:val="0"/>
          <w:sz w:val="24"/>
          <w:szCs w:val="20"/>
          <w:u w:val="single"/>
        </w:rPr>
        <w:t>0.63</w:t>
      </w:r>
      <w:r>
        <w:rPr>
          <w:b/>
          <w:bCs/>
          <w:color w:val="auto"/>
          <w:kern w:val="0"/>
          <w:sz w:val="24"/>
          <w:szCs w:val="20"/>
          <w:u w:val="single"/>
        </w:rPr>
        <w:t>；</w:t>
      </w:r>
      <w:r>
        <w:rPr>
          <w:color w:val="auto"/>
          <w:kern w:val="0"/>
          <w:sz w:val="24"/>
          <w:szCs w:val="20"/>
        </w:rPr>
        <w:t>由上分析无组织排放的各污染物占标率均较小，均不超标，对周围环境影响不大。因此，评价认为：项目运营后，大气污染物中面源对周围环境的影响程度是可以接受。</w:t>
      </w:r>
    </w:p>
    <w:p>
      <w:pPr>
        <w:adjustRightInd w:val="0"/>
        <w:snapToGrid w:val="0"/>
        <w:spacing w:line="520" w:lineRule="exact"/>
        <w:textAlignment w:val="baseline"/>
        <w:rPr>
          <w:color w:val="auto"/>
          <w:kern w:val="0"/>
          <w:sz w:val="24"/>
          <w:szCs w:val="20"/>
        </w:rPr>
      </w:pPr>
      <w:r>
        <w:rPr>
          <w:color w:val="auto"/>
          <w:kern w:val="0"/>
          <w:sz w:val="24"/>
          <w:szCs w:val="20"/>
        </w:rPr>
        <w:t>（3）对敏感点的环境影响预测及达标分析</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本项目排放的点源污染物对各关心点的环境影响预测结果见5.1-16~5.1-18：</w:t>
      </w:r>
    </w:p>
    <w:p>
      <w:pPr>
        <w:ind w:firstLine="960" w:firstLineChars="400"/>
        <w:jc w:val="center"/>
        <w:rPr>
          <w:rFonts w:eastAsia="黑体"/>
          <w:bCs/>
          <w:color w:val="auto"/>
          <w:sz w:val="24"/>
          <w:szCs w:val="24"/>
        </w:rPr>
      </w:pPr>
      <w:r>
        <w:rPr>
          <w:rFonts w:eastAsia="黑体"/>
          <w:bCs/>
          <w:color w:val="auto"/>
          <w:sz w:val="24"/>
          <w:szCs w:val="24"/>
        </w:rPr>
        <w:t>表5.1-16  污染物有组织排放对敏感点的环境影响预测一览表1</w:t>
      </w:r>
    </w:p>
    <w:tbl>
      <w:tblPr>
        <w:tblStyle w:val="83"/>
        <w:tblW w:w="503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123"/>
        <w:gridCol w:w="825"/>
        <w:gridCol w:w="1003"/>
        <w:gridCol w:w="817"/>
        <w:gridCol w:w="992"/>
        <w:gridCol w:w="836"/>
        <w:gridCol w:w="992"/>
        <w:gridCol w:w="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648" w:type="pct"/>
            <w:vMerge w:val="restart"/>
            <w:shd w:val="clear" w:color="auto" w:fill="auto"/>
            <w:vAlign w:val="center"/>
          </w:tcPr>
          <w:p>
            <w:pPr>
              <w:widowControl w:val="0"/>
              <w:jc w:val="center"/>
              <w:rPr>
                <w:b/>
                <w:bCs/>
                <w:color w:val="auto"/>
                <w:kern w:val="0"/>
              </w:rPr>
            </w:pPr>
            <w:r>
              <w:rPr>
                <w:b/>
                <w:bCs/>
                <w:color w:val="auto"/>
                <w:kern w:val="0"/>
              </w:rPr>
              <w:t>预测点</w:t>
            </w:r>
          </w:p>
        </w:tc>
        <w:tc>
          <w:tcPr>
            <w:tcW w:w="1133" w:type="pct"/>
            <w:gridSpan w:val="2"/>
            <w:shd w:val="clear" w:color="auto" w:fill="auto"/>
            <w:vAlign w:val="center"/>
          </w:tcPr>
          <w:p>
            <w:pPr>
              <w:widowControl w:val="0"/>
              <w:jc w:val="center"/>
              <w:rPr>
                <w:b/>
                <w:bCs/>
                <w:color w:val="auto"/>
                <w:kern w:val="0"/>
              </w:rPr>
            </w:pPr>
            <w:r>
              <w:rPr>
                <w:b/>
                <w:bCs/>
                <w:color w:val="auto"/>
                <w:kern w:val="0"/>
              </w:rPr>
              <w:t>酸雾中和塔排气筒DA001</w:t>
            </w:r>
          </w:p>
        </w:tc>
        <w:tc>
          <w:tcPr>
            <w:tcW w:w="3218" w:type="pct"/>
            <w:gridSpan w:val="6"/>
            <w:shd w:val="clear" w:color="auto" w:fill="auto"/>
            <w:vAlign w:val="center"/>
          </w:tcPr>
          <w:p>
            <w:pPr>
              <w:widowControl w:val="0"/>
              <w:ind w:firstLine="422" w:firstLineChars="200"/>
              <w:jc w:val="center"/>
              <w:rPr>
                <w:b/>
                <w:bCs/>
                <w:color w:val="auto"/>
                <w:kern w:val="0"/>
              </w:rPr>
            </w:pPr>
            <w:r>
              <w:rPr>
                <w:b/>
                <w:bCs/>
                <w:color w:val="auto"/>
                <w:kern w:val="0"/>
              </w:rPr>
              <w:t>燃气锅炉排气筒DA002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648" w:type="pct"/>
            <w:vMerge w:val="continue"/>
            <w:shd w:val="clear" w:color="auto" w:fill="auto"/>
            <w:vAlign w:val="center"/>
          </w:tcPr>
          <w:p>
            <w:pPr>
              <w:widowControl w:val="0"/>
              <w:ind w:firstLine="422" w:firstLineChars="200"/>
              <w:jc w:val="center"/>
              <w:rPr>
                <w:b/>
                <w:bCs/>
                <w:color w:val="auto"/>
                <w:kern w:val="0"/>
              </w:rPr>
            </w:pPr>
          </w:p>
        </w:tc>
        <w:tc>
          <w:tcPr>
            <w:tcW w:w="1133" w:type="pct"/>
            <w:gridSpan w:val="2"/>
            <w:shd w:val="clear" w:color="auto" w:fill="auto"/>
            <w:vAlign w:val="center"/>
          </w:tcPr>
          <w:p>
            <w:pPr>
              <w:widowControl w:val="0"/>
              <w:jc w:val="center"/>
              <w:rPr>
                <w:b/>
                <w:bCs/>
                <w:color w:val="auto"/>
                <w:kern w:val="0"/>
              </w:rPr>
            </w:pPr>
            <w:r>
              <w:rPr>
                <w:b/>
                <w:bCs/>
                <w:color w:val="auto"/>
                <w:kern w:val="0"/>
              </w:rPr>
              <w:t>HCL</w:t>
            </w:r>
          </w:p>
        </w:tc>
        <w:tc>
          <w:tcPr>
            <w:tcW w:w="1058" w:type="pct"/>
            <w:gridSpan w:val="2"/>
            <w:shd w:val="clear" w:color="auto" w:fill="auto"/>
            <w:vAlign w:val="center"/>
          </w:tcPr>
          <w:p>
            <w:pPr>
              <w:widowControl w:val="0"/>
              <w:jc w:val="center"/>
              <w:rPr>
                <w:b/>
                <w:bCs/>
                <w:color w:val="auto"/>
                <w:kern w:val="0"/>
              </w:rPr>
            </w:pPr>
            <w:r>
              <w:rPr>
                <w:b/>
                <w:bCs/>
                <w:color w:val="auto"/>
                <w:kern w:val="0"/>
              </w:rPr>
              <w:t>颗粒物</w:t>
            </w:r>
          </w:p>
        </w:tc>
        <w:tc>
          <w:tcPr>
            <w:tcW w:w="1063" w:type="pct"/>
            <w:gridSpan w:val="2"/>
            <w:shd w:val="clear" w:color="auto" w:fill="auto"/>
            <w:vAlign w:val="center"/>
          </w:tcPr>
          <w:p>
            <w:pPr>
              <w:widowControl w:val="0"/>
              <w:jc w:val="center"/>
              <w:rPr>
                <w:b/>
                <w:bCs/>
                <w:color w:val="auto"/>
                <w:kern w:val="0"/>
              </w:rPr>
            </w:pPr>
            <w:r>
              <w:rPr>
                <w:b/>
                <w:bCs/>
                <w:color w:val="auto"/>
                <w:kern w:val="0"/>
              </w:rPr>
              <w:t>SO</w:t>
            </w:r>
            <w:r>
              <w:rPr>
                <w:b/>
                <w:bCs/>
                <w:color w:val="auto"/>
                <w:kern w:val="0"/>
                <w:vertAlign w:val="subscript"/>
              </w:rPr>
              <w:t>2</w:t>
            </w:r>
          </w:p>
        </w:tc>
        <w:tc>
          <w:tcPr>
            <w:tcW w:w="1096" w:type="pct"/>
            <w:gridSpan w:val="2"/>
            <w:shd w:val="clear" w:color="auto" w:fill="auto"/>
            <w:vAlign w:val="center"/>
          </w:tcPr>
          <w:p>
            <w:pPr>
              <w:widowControl w:val="0"/>
              <w:jc w:val="center"/>
              <w:rPr>
                <w:b/>
                <w:bCs/>
                <w:color w:val="auto"/>
                <w:kern w:val="0"/>
              </w:rPr>
            </w:pPr>
            <w:r>
              <w:rPr>
                <w:b/>
                <w:bCs/>
                <w:color w:val="auto"/>
                <w:kern w:val="0"/>
              </w:rPr>
              <w:t>NOx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vMerge w:val="continue"/>
            <w:shd w:val="clear" w:color="auto" w:fill="auto"/>
            <w:vAlign w:val="center"/>
          </w:tcPr>
          <w:p>
            <w:pPr>
              <w:widowControl w:val="0"/>
              <w:ind w:firstLine="422" w:firstLineChars="200"/>
              <w:jc w:val="center"/>
              <w:rPr>
                <w:b/>
                <w:bCs/>
                <w:color w:val="auto"/>
                <w:kern w:val="0"/>
              </w:rPr>
            </w:pPr>
          </w:p>
        </w:tc>
        <w:tc>
          <w:tcPr>
            <w:tcW w:w="653" w:type="pct"/>
            <w:shd w:val="clear" w:color="auto" w:fill="auto"/>
            <w:vAlign w:val="center"/>
          </w:tcPr>
          <w:p>
            <w:pPr>
              <w:widowControl w:val="0"/>
              <w:jc w:val="center"/>
              <w:rPr>
                <w:b/>
                <w:bCs/>
                <w:color w:val="auto"/>
              </w:rPr>
            </w:pPr>
            <w:r>
              <w:rPr>
                <w:b/>
                <w:bCs/>
                <w:color w:val="auto"/>
              </w:rPr>
              <w:t>贡献值</w:t>
            </w:r>
            <w:r>
              <w:rPr>
                <w:rFonts w:hint="eastAsia"/>
                <w:b/>
                <w:bCs/>
                <w:color w:val="auto"/>
                <w:lang w:eastAsia="zh-CN"/>
              </w:rPr>
              <w:t>(</w:t>
            </w:r>
            <w:r>
              <w:rPr>
                <w:b/>
                <w:bCs/>
                <w:color w:val="auto"/>
              </w:rPr>
              <w:t>mg/m</w:t>
            </w:r>
            <w:r>
              <w:rPr>
                <w:b/>
                <w:bCs/>
                <w:color w:val="auto"/>
                <w:vertAlign w:val="superscript"/>
              </w:rPr>
              <w:t>3</w:t>
            </w:r>
            <w:r>
              <w:rPr>
                <w:b/>
                <w:bCs/>
                <w:color w:val="auto"/>
              </w:rPr>
              <w:t>)</w:t>
            </w:r>
          </w:p>
        </w:tc>
        <w:tc>
          <w:tcPr>
            <w:tcW w:w="479" w:type="pct"/>
            <w:shd w:val="clear" w:color="auto" w:fill="auto"/>
            <w:vAlign w:val="center"/>
          </w:tcPr>
          <w:p>
            <w:pPr>
              <w:widowControl w:val="0"/>
              <w:jc w:val="center"/>
              <w:rPr>
                <w:b/>
                <w:bCs/>
                <w:color w:val="auto"/>
              </w:rPr>
            </w:pPr>
            <w:r>
              <w:rPr>
                <w:b/>
                <w:bCs/>
                <w:color w:val="auto"/>
              </w:rPr>
              <w:t>占标率</w:t>
            </w:r>
            <w:r>
              <w:rPr>
                <w:rFonts w:hint="eastAsia"/>
                <w:b/>
                <w:bCs/>
                <w:color w:val="auto"/>
                <w:lang w:eastAsia="zh-CN"/>
              </w:rPr>
              <w:t>(</w:t>
            </w:r>
            <w:r>
              <w:rPr>
                <w:b/>
                <w:bCs/>
                <w:color w:val="auto"/>
              </w:rPr>
              <w:t>%)</w:t>
            </w:r>
          </w:p>
        </w:tc>
        <w:tc>
          <w:tcPr>
            <w:tcW w:w="583" w:type="pct"/>
            <w:shd w:val="clear" w:color="auto" w:fill="auto"/>
            <w:vAlign w:val="center"/>
          </w:tcPr>
          <w:p>
            <w:pPr>
              <w:widowControl w:val="0"/>
              <w:jc w:val="center"/>
              <w:rPr>
                <w:b/>
                <w:bCs/>
                <w:color w:val="auto"/>
              </w:rPr>
            </w:pPr>
            <w:r>
              <w:rPr>
                <w:b/>
                <w:bCs/>
                <w:color w:val="auto"/>
              </w:rPr>
              <w:t>贡献值</w:t>
            </w:r>
            <w:r>
              <w:rPr>
                <w:rFonts w:hint="eastAsia"/>
                <w:b/>
                <w:bCs/>
                <w:color w:val="auto"/>
                <w:lang w:eastAsia="zh-CN"/>
              </w:rPr>
              <w:t>(</w:t>
            </w:r>
            <w:r>
              <w:rPr>
                <w:b/>
                <w:bCs/>
                <w:color w:val="auto"/>
              </w:rPr>
              <w:t>mg/m</w:t>
            </w:r>
            <w:r>
              <w:rPr>
                <w:b/>
                <w:bCs/>
                <w:color w:val="auto"/>
                <w:vertAlign w:val="superscript"/>
              </w:rPr>
              <w:t>3</w:t>
            </w:r>
            <w:r>
              <w:rPr>
                <w:b/>
                <w:bCs/>
                <w:color w:val="auto"/>
              </w:rPr>
              <w:t>)</w:t>
            </w:r>
          </w:p>
        </w:tc>
        <w:tc>
          <w:tcPr>
            <w:tcW w:w="475" w:type="pct"/>
            <w:shd w:val="clear" w:color="auto" w:fill="auto"/>
            <w:vAlign w:val="center"/>
          </w:tcPr>
          <w:p>
            <w:pPr>
              <w:widowControl w:val="0"/>
              <w:jc w:val="center"/>
              <w:rPr>
                <w:b/>
                <w:bCs/>
                <w:color w:val="auto"/>
              </w:rPr>
            </w:pPr>
            <w:r>
              <w:rPr>
                <w:b/>
                <w:bCs/>
                <w:color w:val="auto"/>
              </w:rPr>
              <w:t>占标率</w:t>
            </w:r>
            <w:r>
              <w:rPr>
                <w:rFonts w:hint="eastAsia"/>
                <w:b/>
                <w:bCs/>
                <w:color w:val="auto"/>
                <w:lang w:eastAsia="zh-CN"/>
              </w:rPr>
              <w:t>(</w:t>
            </w:r>
            <w:r>
              <w:rPr>
                <w:b/>
                <w:bCs/>
                <w:color w:val="auto"/>
              </w:rPr>
              <w:t>%)</w:t>
            </w:r>
          </w:p>
        </w:tc>
        <w:tc>
          <w:tcPr>
            <w:tcW w:w="577" w:type="pct"/>
            <w:shd w:val="clear" w:color="auto" w:fill="auto"/>
            <w:vAlign w:val="center"/>
          </w:tcPr>
          <w:p>
            <w:pPr>
              <w:widowControl w:val="0"/>
              <w:jc w:val="center"/>
              <w:rPr>
                <w:b/>
                <w:bCs/>
                <w:color w:val="auto"/>
              </w:rPr>
            </w:pPr>
            <w:r>
              <w:rPr>
                <w:b/>
                <w:bCs/>
                <w:color w:val="auto"/>
              </w:rPr>
              <w:t>贡献值</w:t>
            </w:r>
            <w:r>
              <w:rPr>
                <w:rFonts w:hint="eastAsia"/>
                <w:b/>
                <w:bCs/>
                <w:color w:val="auto"/>
                <w:lang w:eastAsia="zh-CN"/>
              </w:rPr>
              <w:t>(</w:t>
            </w:r>
            <w:r>
              <w:rPr>
                <w:b/>
                <w:bCs/>
                <w:color w:val="auto"/>
              </w:rPr>
              <w:t>mg/m</w:t>
            </w:r>
            <w:r>
              <w:rPr>
                <w:b/>
                <w:bCs/>
                <w:color w:val="auto"/>
                <w:vertAlign w:val="superscript"/>
              </w:rPr>
              <w:t>3</w:t>
            </w:r>
            <w:r>
              <w:rPr>
                <w:b/>
                <w:bCs/>
                <w:color w:val="auto"/>
              </w:rPr>
              <w:t>)</w:t>
            </w:r>
          </w:p>
        </w:tc>
        <w:tc>
          <w:tcPr>
            <w:tcW w:w="486" w:type="pct"/>
            <w:shd w:val="clear" w:color="auto" w:fill="auto"/>
            <w:vAlign w:val="center"/>
          </w:tcPr>
          <w:p>
            <w:pPr>
              <w:widowControl w:val="0"/>
              <w:jc w:val="center"/>
              <w:rPr>
                <w:b/>
                <w:bCs/>
                <w:color w:val="auto"/>
              </w:rPr>
            </w:pPr>
            <w:r>
              <w:rPr>
                <w:b/>
                <w:bCs/>
                <w:color w:val="auto"/>
              </w:rPr>
              <w:t>占标率</w:t>
            </w:r>
            <w:r>
              <w:rPr>
                <w:rFonts w:hint="eastAsia"/>
                <w:b/>
                <w:bCs/>
                <w:color w:val="auto"/>
                <w:lang w:eastAsia="zh-CN"/>
              </w:rPr>
              <w:t>(</w:t>
            </w:r>
            <w:r>
              <w:rPr>
                <w:b/>
                <w:bCs/>
                <w:color w:val="auto"/>
              </w:rPr>
              <w:t>%)</w:t>
            </w:r>
          </w:p>
        </w:tc>
        <w:tc>
          <w:tcPr>
            <w:tcW w:w="577" w:type="pct"/>
            <w:shd w:val="clear" w:color="auto" w:fill="auto"/>
            <w:vAlign w:val="center"/>
          </w:tcPr>
          <w:p>
            <w:pPr>
              <w:widowControl w:val="0"/>
              <w:jc w:val="center"/>
              <w:rPr>
                <w:b/>
                <w:bCs/>
                <w:color w:val="auto"/>
              </w:rPr>
            </w:pPr>
            <w:r>
              <w:rPr>
                <w:b/>
                <w:bCs/>
                <w:color w:val="auto"/>
              </w:rPr>
              <w:t>贡献值</w:t>
            </w:r>
            <w:r>
              <w:rPr>
                <w:rFonts w:hint="eastAsia"/>
                <w:b/>
                <w:bCs/>
                <w:color w:val="auto"/>
                <w:lang w:eastAsia="zh-CN"/>
              </w:rPr>
              <w:t>(</w:t>
            </w:r>
            <w:r>
              <w:rPr>
                <w:b/>
                <w:bCs/>
                <w:color w:val="auto"/>
              </w:rPr>
              <w:t>mg/m</w:t>
            </w:r>
            <w:r>
              <w:rPr>
                <w:b/>
                <w:bCs/>
                <w:color w:val="auto"/>
                <w:vertAlign w:val="superscript"/>
              </w:rPr>
              <w:t>3</w:t>
            </w:r>
            <w:r>
              <w:rPr>
                <w:b/>
                <w:bCs/>
                <w:color w:val="auto"/>
              </w:rPr>
              <w:t>)</w:t>
            </w:r>
          </w:p>
        </w:tc>
        <w:tc>
          <w:tcPr>
            <w:tcW w:w="519" w:type="pct"/>
            <w:shd w:val="clear" w:color="auto" w:fill="auto"/>
            <w:vAlign w:val="center"/>
          </w:tcPr>
          <w:p>
            <w:pPr>
              <w:widowControl w:val="0"/>
              <w:jc w:val="center"/>
              <w:rPr>
                <w:b/>
                <w:bCs/>
                <w:color w:val="auto"/>
              </w:rPr>
            </w:pPr>
            <w:r>
              <w:rPr>
                <w:b/>
                <w:bCs/>
                <w:color w:val="auto"/>
              </w:rPr>
              <w:t>占标率</w:t>
            </w:r>
            <w:r>
              <w:rPr>
                <w:rFonts w:hint="eastAsia"/>
                <w:b/>
                <w:bCs/>
                <w:color w:val="auto"/>
                <w:lang w:eastAsia="zh-CN"/>
              </w:rPr>
              <w:t>(</w:t>
            </w:r>
            <w:r>
              <w:rPr>
                <w:b/>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648" w:type="pct"/>
            <w:shd w:val="clear" w:color="auto" w:fill="auto"/>
            <w:vAlign w:val="center"/>
          </w:tcPr>
          <w:p>
            <w:pPr>
              <w:widowControl w:val="0"/>
              <w:jc w:val="center"/>
              <w:rPr>
                <w:color w:val="auto"/>
              </w:rPr>
            </w:pPr>
            <w:r>
              <w:rPr>
                <w:color w:val="auto"/>
              </w:rPr>
              <w:t>前李村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5.44</w:t>
            </w:r>
            <w:r>
              <w:rPr>
                <w:b/>
                <w:color w:val="auto"/>
                <w:u w:val="single"/>
              </w:rPr>
              <w:t>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1.09</w:t>
            </w:r>
          </w:p>
        </w:tc>
        <w:tc>
          <w:tcPr>
            <w:tcW w:w="583" w:type="pct"/>
            <w:shd w:val="clear" w:color="auto" w:fill="auto"/>
            <w:vAlign w:val="center"/>
          </w:tcPr>
          <w:p>
            <w:pPr>
              <w:widowControl w:val="0"/>
              <w:jc w:val="center"/>
              <w:rPr>
                <w:rFonts w:eastAsia="黑体"/>
                <w:color w:val="auto"/>
                <w:kern w:val="0"/>
              </w:rPr>
            </w:pPr>
            <w:r>
              <w:rPr>
                <w:rFonts w:eastAsia="黑体"/>
                <w:color w:val="auto"/>
                <w:kern w:val="0"/>
              </w:rPr>
              <w:t>1.3</w:t>
            </w:r>
            <w:r>
              <w:rPr>
                <w:rFonts w:hint="eastAsia" w:eastAsia="黑体"/>
                <w:color w:val="auto"/>
                <w:kern w:val="0"/>
              </w:rPr>
              <w:t>9</w:t>
            </w:r>
            <w:r>
              <w:rPr>
                <w:rFonts w:eastAsia="黑体"/>
                <w:color w:val="auto"/>
                <w:kern w:val="0"/>
              </w:rPr>
              <w:t>E-03</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0.31</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9.93E-03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1.99</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8.36E-03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highlight w:val="yellow"/>
              </w:rPr>
            </w:pPr>
            <w:r>
              <w:rPr>
                <w:color w:val="auto"/>
              </w:rPr>
              <w:t>获嘉县气象站</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4.48</w:t>
            </w:r>
            <w:r>
              <w:rPr>
                <w:b/>
                <w:color w:val="auto"/>
                <w:u w:val="single"/>
              </w:rPr>
              <w:t>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0.9</w:t>
            </w:r>
          </w:p>
        </w:tc>
        <w:tc>
          <w:tcPr>
            <w:tcW w:w="583" w:type="pct"/>
            <w:shd w:val="clear" w:color="auto" w:fill="auto"/>
            <w:vAlign w:val="center"/>
          </w:tcPr>
          <w:p>
            <w:pPr>
              <w:jc w:val="center"/>
              <w:rPr>
                <w:rFonts w:eastAsia="黑体"/>
                <w:color w:val="auto"/>
                <w:kern w:val="0"/>
                <w:highlight w:val="yellow"/>
              </w:rPr>
            </w:pPr>
            <w:r>
              <w:rPr>
                <w:color w:val="auto"/>
              </w:rPr>
              <w:t>1.16E-03</w:t>
            </w:r>
          </w:p>
        </w:tc>
        <w:tc>
          <w:tcPr>
            <w:tcW w:w="475" w:type="pct"/>
            <w:shd w:val="clear" w:color="auto" w:fill="auto"/>
            <w:vAlign w:val="center"/>
          </w:tcPr>
          <w:p>
            <w:pPr>
              <w:jc w:val="center"/>
              <w:rPr>
                <w:rFonts w:eastAsia="黑体"/>
                <w:color w:val="auto"/>
                <w:kern w:val="0"/>
                <w:highlight w:val="yellow"/>
              </w:rPr>
            </w:pPr>
            <w:r>
              <w:rPr>
                <w:color w:val="auto"/>
              </w:rPr>
              <w:t>0.26</w:t>
            </w:r>
          </w:p>
        </w:tc>
        <w:tc>
          <w:tcPr>
            <w:tcW w:w="577" w:type="pct"/>
            <w:shd w:val="clear" w:color="auto" w:fill="auto"/>
            <w:vAlign w:val="center"/>
          </w:tcPr>
          <w:p>
            <w:pPr>
              <w:jc w:val="center"/>
              <w:rPr>
                <w:rFonts w:eastAsia="黑体"/>
                <w:color w:val="auto"/>
                <w:kern w:val="0"/>
                <w:highlight w:val="yellow"/>
              </w:rPr>
            </w:pPr>
            <w:r>
              <w:rPr>
                <w:color w:val="auto"/>
              </w:rPr>
              <w:t>9.56E-03</w:t>
            </w:r>
          </w:p>
        </w:tc>
        <w:tc>
          <w:tcPr>
            <w:tcW w:w="486" w:type="pct"/>
            <w:shd w:val="clear" w:color="auto" w:fill="auto"/>
            <w:vAlign w:val="center"/>
          </w:tcPr>
          <w:p>
            <w:pPr>
              <w:jc w:val="center"/>
              <w:rPr>
                <w:rFonts w:eastAsia="黑体"/>
                <w:color w:val="auto"/>
                <w:kern w:val="0"/>
                <w:highlight w:val="yellow"/>
              </w:rPr>
            </w:pPr>
            <w:r>
              <w:rPr>
                <w:color w:val="auto"/>
              </w:rPr>
              <w:t>1.91</w:t>
            </w:r>
          </w:p>
        </w:tc>
        <w:tc>
          <w:tcPr>
            <w:tcW w:w="577" w:type="pct"/>
            <w:shd w:val="clear" w:color="auto" w:fill="auto"/>
            <w:vAlign w:val="center"/>
          </w:tcPr>
          <w:p>
            <w:pPr>
              <w:jc w:val="center"/>
              <w:rPr>
                <w:rFonts w:eastAsia="黑体"/>
                <w:color w:val="auto"/>
                <w:kern w:val="0"/>
                <w:highlight w:val="yellow"/>
              </w:rPr>
            </w:pPr>
            <w:r>
              <w:rPr>
                <w:color w:val="auto"/>
              </w:rPr>
              <w:t>6.96E-03</w:t>
            </w:r>
          </w:p>
        </w:tc>
        <w:tc>
          <w:tcPr>
            <w:tcW w:w="519" w:type="pct"/>
            <w:shd w:val="clear" w:color="auto" w:fill="auto"/>
            <w:vAlign w:val="center"/>
          </w:tcPr>
          <w:p>
            <w:pPr>
              <w:jc w:val="center"/>
              <w:rPr>
                <w:rFonts w:eastAsia="黑体"/>
                <w:color w:val="auto"/>
                <w:kern w:val="0"/>
                <w:highlight w:val="yellow"/>
              </w:rPr>
            </w:pPr>
            <w:r>
              <w:rPr>
                <w:color w:val="auto"/>
              </w:rPr>
              <w:t>3.48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rPr>
            </w:pPr>
            <w:r>
              <w:rPr>
                <w:color w:val="auto"/>
              </w:rPr>
              <w:t>后李村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4.42</w:t>
            </w:r>
            <w:r>
              <w:rPr>
                <w:b/>
                <w:color w:val="auto"/>
                <w:u w:val="single"/>
              </w:rPr>
              <w:t>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0.88</w:t>
            </w:r>
          </w:p>
        </w:tc>
        <w:tc>
          <w:tcPr>
            <w:tcW w:w="583" w:type="pct"/>
            <w:shd w:val="clear" w:color="auto" w:fill="auto"/>
            <w:vAlign w:val="center"/>
          </w:tcPr>
          <w:p>
            <w:pPr>
              <w:widowControl w:val="0"/>
              <w:jc w:val="center"/>
              <w:rPr>
                <w:rFonts w:eastAsia="黑体"/>
                <w:color w:val="auto"/>
                <w:kern w:val="0"/>
              </w:rPr>
            </w:pPr>
            <w:r>
              <w:rPr>
                <w:rFonts w:hint="eastAsia" w:eastAsia="黑体"/>
                <w:color w:val="auto"/>
                <w:kern w:val="0"/>
              </w:rPr>
              <w:t>1.13</w:t>
            </w:r>
            <w:r>
              <w:rPr>
                <w:rFonts w:eastAsia="黑体"/>
                <w:color w:val="auto"/>
                <w:kern w:val="0"/>
              </w:rPr>
              <w:t>E-0</w:t>
            </w:r>
            <w:r>
              <w:rPr>
                <w:rFonts w:hint="eastAsia" w:eastAsia="黑体"/>
                <w:color w:val="auto"/>
                <w:kern w:val="0"/>
              </w:rPr>
              <w:t>3</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0.25</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8.05E-03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1.61</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6.77E-03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648" w:type="pct"/>
            <w:shd w:val="clear" w:color="auto" w:fill="auto"/>
            <w:vAlign w:val="center"/>
          </w:tcPr>
          <w:p>
            <w:pPr>
              <w:widowControl w:val="0"/>
              <w:jc w:val="center"/>
              <w:rPr>
                <w:color w:val="auto"/>
              </w:rPr>
            </w:pPr>
            <w:r>
              <w:rPr>
                <w:color w:val="auto"/>
              </w:rPr>
              <w:t>彦当村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5.13</w:t>
            </w:r>
            <w:r>
              <w:rPr>
                <w:b/>
                <w:color w:val="auto"/>
                <w:u w:val="single"/>
              </w:rPr>
              <w:t xml:space="preserve"> 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1.08</w:t>
            </w:r>
          </w:p>
        </w:tc>
        <w:tc>
          <w:tcPr>
            <w:tcW w:w="583" w:type="pct"/>
            <w:shd w:val="clear" w:color="auto" w:fill="auto"/>
            <w:vAlign w:val="center"/>
          </w:tcPr>
          <w:p>
            <w:pPr>
              <w:widowControl w:val="0"/>
              <w:jc w:val="center"/>
              <w:rPr>
                <w:rFonts w:eastAsia="黑体"/>
                <w:color w:val="auto"/>
                <w:kern w:val="0"/>
              </w:rPr>
            </w:pPr>
            <w:r>
              <w:rPr>
                <w:rFonts w:hint="eastAsia" w:eastAsia="黑体"/>
                <w:color w:val="auto"/>
                <w:kern w:val="0"/>
              </w:rPr>
              <w:t>6.06</w:t>
            </w:r>
            <w:r>
              <w:rPr>
                <w:rFonts w:eastAsia="黑体"/>
                <w:color w:val="auto"/>
                <w:kern w:val="0"/>
              </w:rPr>
              <w:t>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0.13</w:t>
            </w:r>
          </w:p>
        </w:tc>
        <w:tc>
          <w:tcPr>
            <w:tcW w:w="577" w:type="pct"/>
            <w:shd w:val="clear" w:color="auto" w:fill="auto"/>
            <w:vAlign w:val="center"/>
          </w:tcPr>
          <w:p>
            <w:pPr>
              <w:widowControl w:val="0"/>
              <w:jc w:val="center"/>
              <w:rPr>
                <w:color w:val="auto"/>
              </w:rPr>
            </w:pPr>
            <w:r>
              <w:rPr>
                <w:color w:val="auto"/>
              </w:rPr>
              <w:t>4.31E-03</w:t>
            </w:r>
          </w:p>
        </w:tc>
        <w:tc>
          <w:tcPr>
            <w:tcW w:w="486" w:type="pct"/>
            <w:shd w:val="clear" w:color="auto" w:fill="auto"/>
            <w:vAlign w:val="center"/>
          </w:tcPr>
          <w:p>
            <w:pPr>
              <w:widowControl w:val="0"/>
              <w:jc w:val="center"/>
              <w:rPr>
                <w:color w:val="auto"/>
              </w:rPr>
            </w:pPr>
            <w:r>
              <w:rPr>
                <w:color w:val="auto"/>
              </w:rPr>
              <w:t>0.86</w:t>
            </w:r>
          </w:p>
        </w:tc>
        <w:tc>
          <w:tcPr>
            <w:tcW w:w="577" w:type="pct"/>
            <w:shd w:val="clear" w:color="auto" w:fill="auto"/>
            <w:vAlign w:val="center"/>
          </w:tcPr>
          <w:p>
            <w:pPr>
              <w:widowControl w:val="0"/>
              <w:jc w:val="center"/>
              <w:rPr>
                <w:color w:val="auto"/>
              </w:rPr>
            </w:pPr>
            <w:r>
              <w:rPr>
                <w:color w:val="auto"/>
              </w:rPr>
              <w:t>3.63E-03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rPr>
            </w:pPr>
            <w:r>
              <w:rPr>
                <w:color w:val="auto"/>
              </w:rPr>
              <w:t>前寺庄村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5.13</w:t>
            </w:r>
            <w:r>
              <w:rPr>
                <w:b/>
                <w:color w:val="auto"/>
                <w:u w:val="single"/>
              </w:rPr>
              <w:t>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1.03</w:t>
            </w:r>
          </w:p>
        </w:tc>
        <w:tc>
          <w:tcPr>
            <w:tcW w:w="583" w:type="pct"/>
            <w:shd w:val="clear" w:color="auto" w:fill="auto"/>
            <w:vAlign w:val="center"/>
          </w:tcPr>
          <w:p>
            <w:pPr>
              <w:widowControl w:val="0"/>
              <w:jc w:val="center"/>
              <w:rPr>
                <w:rFonts w:eastAsia="黑体"/>
                <w:color w:val="auto"/>
                <w:kern w:val="0"/>
              </w:rPr>
            </w:pPr>
            <w:r>
              <w:rPr>
                <w:rFonts w:hint="eastAsia" w:eastAsia="黑体"/>
                <w:color w:val="auto"/>
                <w:kern w:val="0"/>
              </w:rPr>
              <w:t>5.89</w:t>
            </w:r>
            <w:r>
              <w:rPr>
                <w:rFonts w:eastAsia="黑体"/>
                <w:color w:val="auto"/>
                <w:kern w:val="0"/>
              </w:rPr>
              <w:t>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0.13</w:t>
            </w:r>
          </w:p>
        </w:tc>
        <w:tc>
          <w:tcPr>
            <w:tcW w:w="577" w:type="pct"/>
            <w:shd w:val="clear" w:color="auto" w:fill="auto"/>
            <w:vAlign w:val="center"/>
          </w:tcPr>
          <w:p>
            <w:pPr>
              <w:widowControl w:val="0"/>
              <w:jc w:val="center"/>
              <w:rPr>
                <w:color w:val="auto"/>
              </w:rPr>
            </w:pPr>
            <w:r>
              <w:rPr>
                <w:color w:val="auto"/>
              </w:rPr>
              <w:t>4.20E-03</w:t>
            </w:r>
          </w:p>
        </w:tc>
        <w:tc>
          <w:tcPr>
            <w:tcW w:w="486" w:type="pct"/>
            <w:shd w:val="clear" w:color="auto" w:fill="auto"/>
            <w:vAlign w:val="center"/>
          </w:tcPr>
          <w:p>
            <w:pPr>
              <w:widowControl w:val="0"/>
              <w:jc w:val="center"/>
              <w:rPr>
                <w:color w:val="auto"/>
              </w:rPr>
            </w:pPr>
            <w:r>
              <w:rPr>
                <w:color w:val="auto"/>
              </w:rPr>
              <w:t>0.84</w:t>
            </w:r>
          </w:p>
        </w:tc>
        <w:tc>
          <w:tcPr>
            <w:tcW w:w="577" w:type="pct"/>
            <w:shd w:val="clear" w:color="auto" w:fill="auto"/>
            <w:vAlign w:val="center"/>
          </w:tcPr>
          <w:p>
            <w:pPr>
              <w:widowControl w:val="0"/>
              <w:jc w:val="center"/>
              <w:rPr>
                <w:color w:val="auto"/>
              </w:rPr>
            </w:pPr>
            <w:r>
              <w:rPr>
                <w:color w:val="auto"/>
              </w:rPr>
              <w:t>3.53E-03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rPr>
            </w:pPr>
            <w:r>
              <w:rPr>
                <w:color w:val="auto"/>
              </w:rPr>
              <w:t>获嘉县中专</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5.37</w:t>
            </w:r>
            <w:r>
              <w:rPr>
                <w:b/>
                <w:color w:val="auto"/>
                <w:u w:val="single"/>
              </w:rPr>
              <w:t>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1.07</w:t>
            </w:r>
          </w:p>
        </w:tc>
        <w:tc>
          <w:tcPr>
            <w:tcW w:w="583" w:type="pct"/>
            <w:shd w:val="clear" w:color="auto" w:fill="auto"/>
            <w:vAlign w:val="center"/>
          </w:tcPr>
          <w:p>
            <w:pPr>
              <w:widowControl w:val="0"/>
              <w:jc w:val="center"/>
              <w:rPr>
                <w:rFonts w:eastAsia="黑体"/>
                <w:color w:val="auto"/>
                <w:kern w:val="0"/>
              </w:rPr>
            </w:pPr>
            <w:r>
              <w:rPr>
                <w:rFonts w:hint="eastAsia" w:eastAsia="黑体"/>
                <w:color w:val="auto"/>
                <w:kern w:val="0"/>
              </w:rPr>
              <w:t>5.55</w:t>
            </w:r>
            <w:r>
              <w:rPr>
                <w:rFonts w:eastAsia="黑体"/>
                <w:color w:val="auto"/>
                <w:kern w:val="0"/>
              </w:rPr>
              <w:t>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0.12</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3.95E-03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0.79</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3.33E-03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648" w:type="pct"/>
            <w:shd w:val="clear" w:color="auto" w:fill="auto"/>
            <w:vAlign w:val="center"/>
          </w:tcPr>
          <w:p>
            <w:pPr>
              <w:widowControl w:val="0"/>
              <w:jc w:val="center"/>
              <w:rPr>
                <w:color w:val="auto"/>
              </w:rPr>
            </w:pPr>
            <w:r>
              <w:rPr>
                <w:color w:val="auto"/>
              </w:rPr>
              <w:t>桑庄村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5.34</w:t>
            </w:r>
            <w:r>
              <w:rPr>
                <w:b/>
                <w:color w:val="auto"/>
                <w:u w:val="single"/>
              </w:rPr>
              <w:t xml:space="preserve"> 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1.07</w:t>
            </w:r>
          </w:p>
        </w:tc>
        <w:tc>
          <w:tcPr>
            <w:tcW w:w="583" w:type="pct"/>
            <w:shd w:val="clear" w:color="auto" w:fill="auto"/>
            <w:vAlign w:val="center"/>
          </w:tcPr>
          <w:p>
            <w:pPr>
              <w:jc w:val="center"/>
              <w:rPr>
                <w:color w:val="auto"/>
              </w:rPr>
            </w:pPr>
            <w:r>
              <w:rPr>
                <w:color w:val="auto"/>
              </w:rPr>
              <w:t>5.55E-04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0.12</w:t>
            </w:r>
          </w:p>
        </w:tc>
        <w:tc>
          <w:tcPr>
            <w:tcW w:w="577" w:type="pct"/>
            <w:shd w:val="clear" w:color="auto" w:fill="auto"/>
            <w:vAlign w:val="center"/>
          </w:tcPr>
          <w:p>
            <w:pPr>
              <w:widowControl w:val="0"/>
              <w:jc w:val="center"/>
              <w:rPr>
                <w:color w:val="auto"/>
              </w:rPr>
            </w:pPr>
            <w:r>
              <w:rPr>
                <w:color w:val="auto"/>
              </w:rPr>
              <w:t>3.96E-03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0.79</w:t>
            </w:r>
          </w:p>
        </w:tc>
        <w:tc>
          <w:tcPr>
            <w:tcW w:w="577" w:type="pct"/>
            <w:shd w:val="clear" w:color="auto" w:fill="auto"/>
            <w:vAlign w:val="center"/>
          </w:tcPr>
          <w:p>
            <w:pPr>
              <w:widowControl w:val="0"/>
              <w:jc w:val="center"/>
              <w:rPr>
                <w:color w:val="auto"/>
              </w:rPr>
            </w:pPr>
            <w:r>
              <w:rPr>
                <w:color w:val="auto"/>
              </w:rPr>
              <w:t>3.33E-03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rPr>
            </w:pPr>
            <w:r>
              <w:rPr>
                <w:color w:val="auto"/>
              </w:rPr>
              <w:t>后寺庄村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5.32</w:t>
            </w:r>
            <w:r>
              <w:rPr>
                <w:b/>
                <w:color w:val="auto"/>
                <w:u w:val="single"/>
              </w:rPr>
              <w:t xml:space="preserve"> 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1.06</w:t>
            </w:r>
          </w:p>
        </w:tc>
        <w:tc>
          <w:tcPr>
            <w:tcW w:w="583" w:type="pct"/>
            <w:shd w:val="clear" w:color="auto" w:fill="auto"/>
            <w:vAlign w:val="center"/>
          </w:tcPr>
          <w:p>
            <w:pPr>
              <w:jc w:val="center"/>
              <w:rPr>
                <w:color w:val="auto"/>
              </w:rPr>
            </w:pPr>
            <w:r>
              <w:rPr>
                <w:color w:val="auto"/>
              </w:rPr>
              <w:t>5.54E-04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0.12</w:t>
            </w:r>
          </w:p>
        </w:tc>
        <w:tc>
          <w:tcPr>
            <w:tcW w:w="577" w:type="pct"/>
            <w:shd w:val="clear" w:color="auto" w:fill="auto"/>
            <w:vAlign w:val="center"/>
          </w:tcPr>
          <w:p>
            <w:pPr>
              <w:widowControl w:val="0"/>
              <w:jc w:val="center"/>
              <w:rPr>
                <w:color w:val="auto"/>
              </w:rPr>
            </w:pPr>
            <w:r>
              <w:rPr>
                <w:color w:val="auto"/>
              </w:rPr>
              <w:t>3.95E-03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0.79</w:t>
            </w:r>
          </w:p>
        </w:tc>
        <w:tc>
          <w:tcPr>
            <w:tcW w:w="577" w:type="pct"/>
            <w:shd w:val="clear" w:color="auto" w:fill="auto"/>
            <w:vAlign w:val="center"/>
          </w:tcPr>
          <w:p>
            <w:pPr>
              <w:widowControl w:val="0"/>
              <w:jc w:val="center"/>
              <w:rPr>
                <w:color w:val="auto"/>
              </w:rPr>
            </w:pPr>
            <w:r>
              <w:rPr>
                <w:color w:val="auto"/>
              </w:rPr>
              <w:t>3.32E-03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rPr>
            </w:pPr>
            <w:r>
              <w:rPr>
                <w:color w:val="auto"/>
              </w:rPr>
              <w:t>孝合村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5.30</w:t>
            </w:r>
            <w:r>
              <w:rPr>
                <w:b/>
                <w:color w:val="auto"/>
                <w:u w:val="single"/>
              </w:rPr>
              <w:t xml:space="preserve"> 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1.06</w:t>
            </w:r>
          </w:p>
        </w:tc>
        <w:tc>
          <w:tcPr>
            <w:tcW w:w="583" w:type="pct"/>
            <w:shd w:val="clear" w:color="auto" w:fill="auto"/>
            <w:vAlign w:val="center"/>
          </w:tcPr>
          <w:p>
            <w:pPr>
              <w:jc w:val="center"/>
              <w:rPr>
                <w:color w:val="auto"/>
              </w:rPr>
            </w:pPr>
            <w:r>
              <w:rPr>
                <w:color w:val="auto"/>
              </w:rPr>
              <w:t>5.52E-04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0.12</w:t>
            </w:r>
          </w:p>
        </w:tc>
        <w:tc>
          <w:tcPr>
            <w:tcW w:w="577" w:type="pct"/>
            <w:shd w:val="clear" w:color="auto" w:fill="auto"/>
            <w:vAlign w:val="center"/>
          </w:tcPr>
          <w:p>
            <w:pPr>
              <w:widowControl w:val="0"/>
              <w:jc w:val="center"/>
              <w:rPr>
                <w:color w:val="auto"/>
              </w:rPr>
            </w:pPr>
            <w:r>
              <w:rPr>
                <w:color w:val="auto"/>
              </w:rPr>
              <w:t>3.94E-03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0.79</w:t>
            </w:r>
          </w:p>
        </w:tc>
        <w:tc>
          <w:tcPr>
            <w:tcW w:w="577" w:type="pct"/>
            <w:shd w:val="clear" w:color="auto" w:fill="auto"/>
            <w:vAlign w:val="center"/>
          </w:tcPr>
          <w:p>
            <w:pPr>
              <w:widowControl w:val="0"/>
              <w:jc w:val="center"/>
              <w:rPr>
                <w:color w:val="auto"/>
              </w:rPr>
            </w:pPr>
            <w:r>
              <w:rPr>
                <w:color w:val="auto"/>
              </w:rPr>
              <w:t>3.31E-03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8" w:type="pct"/>
            <w:shd w:val="clear" w:color="auto" w:fill="auto"/>
            <w:vAlign w:val="center"/>
          </w:tcPr>
          <w:p>
            <w:pPr>
              <w:widowControl w:val="0"/>
              <w:jc w:val="center"/>
              <w:rPr>
                <w:color w:val="auto"/>
              </w:rPr>
            </w:pPr>
            <w:r>
              <w:rPr>
                <w:color w:val="auto"/>
              </w:rPr>
              <w:t>东仓村</w:t>
            </w:r>
          </w:p>
        </w:tc>
        <w:tc>
          <w:tcPr>
            <w:tcW w:w="653" w:type="pct"/>
            <w:shd w:val="clear" w:color="auto" w:fill="auto"/>
            <w:vAlign w:val="center"/>
          </w:tcPr>
          <w:p>
            <w:pPr>
              <w:widowControl w:val="0"/>
              <w:jc w:val="center"/>
              <w:rPr>
                <w:rFonts w:eastAsia="黑体"/>
                <w:b/>
                <w:color w:val="auto"/>
                <w:kern w:val="0"/>
                <w:u w:val="single"/>
              </w:rPr>
            </w:pPr>
            <w:r>
              <w:rPr>
                <w:rFonts w:hint="eastAsia"/>
                <w:b/>
                <w:color w:val="auto"/>
                <w:u w:val="single"/>
              </w:rPr>
              <w:t>5.26</w:t>
            </w:r>
            <w:r>
              <w:rPr>
                <w:b/>
                <w:color w:val="auto"/>
                <w:u w:val="single"/>
              </w:rPr>
              <w:t xml:space="preserve"> E-04</w:t>
            </w:r>
          </w:p>
        </w:tc>
        <w:tc>
          <w:tcPr>
            <w:tcW w:w="47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1.05</w:t>
            </w:r>
          </w:p>
        </w:tc>
        <w:tc>
          <w:tcPr>
            <w:tcW w:w="583" w:type="pct"/>
            <w:shd w:val="clear" w:color="auto" w:fill="auto"/>
            <w:vAlign w:val="center"/>
          </w:tcPr>
          <w:p>
            <w:pPr>
              <w:widowControl w:val="0"/>
              <w:jc w:val="center"/>
              <w:rPr>
                <w:rFonts w:eastAsia="黑体"/>
                <w:color w:val="auto"/>
                <w:kern w:val="0"/>
              </w:rPr>
            </w:pPr>
            <w:r>
              <w:rPr>
                <w:rFonts w:hint="eastAsia" w:eastAsia="黑体"/>
                <w:color w:val="auto"/>
                <w:kern w:val="0"/>
              </w:rPr>
              <w:t>5.49</w:t>
            </w:r>
            <w:r>
              <w:rPr>
                <w:rFonts w:eastAsia="黑体"/>
                <w:color w:val="auto"/>
                <w:kern w:val="0"/>
              </w:rPr>
              <w:t>E-04</w:t>
            </w:r>
          </w:p>
        </w:tc>
        <w:tc>
          <w:tcPr>
            <w:tcW w:w="475" w:type="pct"/>
            <w:shd w:val="clear" w:color="auto" w:fill="auto"/>
            <w:vAlign w:val="center"/>
          </w:tcPr>
          <w:p>
            <w:pPr>
              <w:widowControl w:val="0"/>
              <w:jc w:val="center"/>
              <w:rPr>
                <w:rFonts w:eastAsia="黑体"/>
                <w:color w:val="auto"/>
                <w:kern w:val="0"/>
              </w:rPr>
            </w:pPr>
            <w:r>
              <w:rPr>
                <w:rFonts w:hint="eastAsia" w:eastAsia="黑体"/>
                <w:color w:val="auto"/>
                <w:kern w:val="0"/>
              </w:rPr>
              <w:t>0.12</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3.91E-03</w:t>
            </w:r>
          </w:p>
        </w:tc>
        <w:tc>
          <w:tcPr>
            <w:tcW w:w="486" w:type="pct"/>
            <w:shd w:val="clear" w:color="auto" w:fill="auto"/>
            <w:vAlign w:val="center"/>
          </w:tcPr>
          <w:p>
            <w:pPr>
              <w:widowControl w:val="0"/>
              <w:jc w:val="center"/>
              <w:rPr>
                <w:rFonts w:eastAsia="黑体"/>
                <w:color w:val="auto"/>
                <w:kern w:val="0"/>
              </w:rPr>
            </w:pPr>
            <w:r>
              <w:rPr>
                <w:rFonts w:hint="eastAsia" w:eastAsia="黑体"/>
                <w:color w:val="auto"/>
                <w:kern w:val="0"/>
              </w:rPr>
              <w:t>0.78</w:t>
            </w:r>
          </w:p>
        </w:tc>
        <w:tc>
          <w:tcPr>
            <w:tcW w:w="577" w:type="pct"/>
            <w:shd w:val="clear" w:color="auto" w:fill="auto"/>
            <w:vAlign w:val="center"/>
          </w:tcPr>
          <w:p>
            <w:pPr>
              <w:widowControl w:val="0"/>
              <w:jc w:val="center"/>
              <w:rPr>
                <w:rFonts w:eastAsia="黑体"/>
                <w:color w:val="auto"/>
                <w:kern w:val="0"/>
              </w:rPr>
            </w:pPr>
            <w:r>
              <w:rPr>
                <w:rFonts w:eastAsia="黑体"/>
                <w:color w:val="auto"/>
                <w:kern w:val="0"/>
              </w:rPr>
              <w:t>3.29E-03</w:t>
            </w:r>
          </w:p>
        </w:tc>
        <w:tc>
          <w:tcPr>
            <w:tcW w:w="519" w:type="pct"/>
            <w:shd w:val="clear" w:color="auto" w:fill="auto"/>
            <w:vAlign w:val="center"/>
          </w:tcPr>
          <w:p>
            <w:pPr>
              <w:widowControl w:val="0"/>
              <w:jc w:val="center"/>
              <w:rPr>
                <w:rFonts w:eastAsia="黑体"/>
                <w:color w:val="auto"/>
                <w:kern w:val="0"/>
              </w:rPr>
            </w:pPr>
            <w:r>
              <w:rPr>
                <w:rFonts w:hint="eastAsia" w:eastAsia="黑体"/>
                <w:color w:val="auto"/>
                <w:kern w:val="0"/>
              </w:rPr>
              <w:t>1.65</w:t>
            </w:r>
          </w:p>
        </w:tc>
      </w:tr>
    </w:tbl>
    <w:p>
      <w:pPr>
        <w:spacing w:before="120" w:beforeLines="50"/>
        <w:ind w:firstLine="960" w:firstLineChars="400"/>
        <w:jc w:val="center"/>
        <w:rPr>
          <w:rFonts w:eastAsia="黑体"/>
          <w:bCs/>
          <w:color w:val="auto"/>
          <w:sz w:val="24"/>
          <w:szCs w:val="24"/>
        </w:rPr>
      </w:pPr>
      <w:r>
        <w:rPr>
          <w:rFonts w:eastAsia="黑体"/>
          <w:bCs/>
          <w:color w:val="auto"/>
          <w:sz w:val="24"/>
          <w:szCs w:val="24"/>
        </w:rPr>
        <w:t>表5.1-17    污染物有组织排放对敏感点的环境影响预测一览表2</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7"/>
        <w:gridCol w:w="1144"/>
        <w:gridCol w:w="1246"/>
        <w:gridCol w:w="1210"/>
        <w:gridCol w:w="1237"/>
        <w:gridCol w:w="1210"/>
        <w:gridCol w:w="9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vMerge w:val="restart"/>
            <w:shd w:val="clear" w:color="auto" w:fill="auto"/>
            <w:vAlign w:val="center"/>
          </w:tcPr>
          <w:p>
            <w:pPr>
              <w:widowControl w:val="0"/>
              <w:jc w:val="center"/>
              <w:rPr>
                <w:b/>
                <w:bCs/>
                <w:color w:val="auto"/>
                <w:kern w:val="0"/>
              </w:rPr>
            </w:pPr>
            <w:r>
              <w:rPr>
                <w:b/>
                <w:bCs/>
                <w:color w:val="auto"/>
                <w:kern w:val="0"/>
              </w:rPr>
              <w:t>预测点</w:t>
            </w:r>
          </w:p>
        </w:tc>
        <w:tc>
          <w:tcPr>
            <w:tcW w:w="2835" w:type="pct"/>
            <w:gridSpan w:val="4"/>
            <w:shd w:val="clear" w:color="auto" w:fill="auto"/>
            <w:vAlign w:val="center"/>
          </w:tcPr>
          <w:p>
            <w:pPr>
              <w:widowControl w:val="0"/>
              <w:ind w:firstLine="422" w:firstLineChars="200"/>
              <w:jc w:val="center"/>
              <w:rPr>
                <w:b/>
                <w:bCs/>
                <w:color w:val="auto"/>
                <w:kern w:val="0"/>
              </w:rPr>
            </w:pPr>
            <w:r>
              <w:rPr>
                <w:b/>
                <w:bCs/>
                <w:color w:val="auto"/>
                <w:kern w:val="0"/>
              </w:rPr>
              <w:t>恶臭排气筒</w:t>
            </w:r>
            <w:r>
              <w:rPr>
                <w:rFonts w:hint="eastAsia"/>
                <w:b/>
                <w:bCs/>
                <w:color w:val="auto"/>
                <w:kern w:val="0"/>
              </w:rPr>
              <w:t>DA003</w:t>
            </w:r>
          </w:p>
        </w:tc>
        <w:tc>
          <w:tcPr>
            <w:tcW w:w="1292" w:type="pct"/>
            <w:gridSpan w:val="2"/>
            <w:shd w:val="clear" w:color="auto" w:fill="auto"/>
            <w:vAlign w:val="center"/>
          </w:tcPr>
          <w:p>
            <w:pPr>
              <w:widowControl w:val="0"/>
              <w:jc w:val="center"/>
              <w:rPr>
                <w:b/>
                <w:bCs/>
                <w:color w:val="auto"/>
                <w:kern w:val="0"/>
              </w:rPr>
            </w:pPr>
            <w:r>
              <w:rPr>
                <w:rFonts w:hint="eastAsia"/>
                <w:b/>
                <w:bCs/>
                <w:color w:val="auto"/>
                <w:kern w:val="0"/>
              </w:rPr>
              <w:t>除尘器排气筒</w:t>
            </w:r>
            <w:r>
              <w:rPr>
                <w:b/>
                <w:bCs/>
                <w:color w:val="auto"/>
                <w:kern w:val="0"/>
              </w:rPr>
              <w:t>DA00</w:t>
            </w:r>
            <w:r>
              <w:rPr>
                <w:rFonts w:hint="eastAsia"/>
                <w:b/>
                <w:bCs/>
                <w:color w:val="auto"/>
                <w:kern w:val="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vMerge w:val="continue"/>
            <w:shd w:val="clear" w:color="auto" w:fill="auto"/>
            <w:vAlign w:val="center"/>
          </w:tcPr>
          <w:p>
            <w:pPr>
              <w:widowControl w:val="0"/>
              <w:ind w:firstLine="422" w:firstLineChars="200"/>
              <w:jc w:val="center"/>
              <w:rPr>
                <w:b/>
                <w:bCs/>
                <w:color w:val="auto"/>
                <w:kern w:val="0"/>
              </w:rPr>
            </w:pPr>
          </w:p>
        </w:tc>
        <w:tc>
          <w:tcPr>
            <w:tcW w:w="1401" w:type="pct"/>
            <w:gridSpan w:val="2"/>
            <w:shd w:val="clear" w:color="auto" w:fill="auto"/>
            <w:vAlign w:val="center"/>
          </w:tcPr>
          <w:p>
            <w:pPr>
              <w:widowControl w:val="0"/>
              <w:jc w:val="center"/>
              <w:rPr>
                <w:b/>
                <w:bCs/>
                <w:color w:val="auto"/>
                <w:kern w:val="0"/>
              </w:rPr>
            </w:pPr>
            <w:r>
              <w:rPr>
                <w:rFonts w:hint="eastAsia"/>
                <w:b/>
                <w:bCs/>
                <w:color w:val="auto"/>
                <w:kern w:val="0"/>
              </w:rPr>
              <w:t>NH</w:t>
            </w:r>
            <w:r>
              <w:rPr>
                <w:rFonts w:hint="eastAsia"/>
                <w:b/>
                <w:bCs/>
                <w:color w:val="auto"/>
                <w:kern w:val="0"/>
                <w:vertAlign w:val="subscript"/>
              </w:rPr>
              <w:t>3</w:t>
            </w:r>
          </w:p>
        </w:tc>
        <w:tc>
          <w:tcPr>
            <w:tcW w:w="1433" w:type="pct"/>
            <w:gridSpan w:val="2"/>
            <w:shd w:val="clear" w:color="auto" w:fill="auto"/>
            <w:vAlign w:val="center"/>
          </w:tcPr>
          <w:p>
            <w:pPr>
              <w:widowControl w:val="0"/>
              <w:jc w:val="center"/>
              <w:rPr>
                <w:b/>
                <w:bCs/>
                <w:color w:val="auto"/>
                <w:kern w:val="0"/>
              </w:rPr>
            </w:pPr>
            <w:r>
              <w:rPr>
                <w:rFonts w:hint="eastAsia"/>
                <w:b/>
                <w:bCs/>
                <w:color w:val="auto"/>
                <w:kern w:val="0"/>
              </w:rPr>
              <w:t>H</w:t>
            </w:r>
            <w:r>
              <w:rPr>
                <w:rFonts w:hint="eastAsia"/>
                <w:b/>
                <w:bCs/>
                <w:color w:val="auto"/>
                <w:kern w:val="0"/>
                <w:vertAlign w:val="subscript"/>
              </w:rPr>
              <w:t>2</w:t>
            </w:r>
            <w:r>
              <w:rPr>
                <w:rFonts w:hint="eastAsia"/>
                <w:b/>
                <w:bCs/>
                <w:color w:val="auto"/>
                <w:kern w:val="0"/>
              </w:rPr>
              <w:t>S</w:t>
            </w:r>
          </w:p>
        </w:tc>
        <w:tc>
          <w:tcPr>
            <w:tcW w:w="1292" w:type="pct"/>
            <w:gridSpan w:val="2"/>
            <w:shd w:val="clear" w:color="auto" w:fill="auto"/>
            <w:vAlign w:val="center"/>
          </w:tcPr>
          <w:p>
            <w:pPr>
              <w:widowControl w:val="0"/>
              <w:jc w:val="center"/>
              <w:rPr>
                <w:b/>
                <w:bCs/>
                <w:color w:val="auto"/>
                <w:kern w:val="0"/>
              </w:rPr>
            </w:pPr>
            <w:r>
              <w:rPr>
                <w:rFonts w:hint="eastAsia"/>
                <w:b/>
                <w:bCs/>
                <w:color w:val="auto"/>
                <w:kern w:val="0"/>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vMerge w:val="continue"/>
            <w:shd w:val="clear" w:color="auto" w:fill="auto"/>
            <w:vAlign w:val="center"/>
          </w:tcPr>
          <w:p>
            <w:pPr>
              <w:widowControl w:val="0"/>
              <w:ind w:firstLine="422" w:firstLineChars="200"/>
              <w:jc w:val="center"/>
              <w:rPr>
                <w:b/>
                <w:bCs/>
                <w:color w:val="auto"/>
                <w:kern w:val="0"/>
              </w:rPr>
            </w:pPr>
          </w:p>
        </w:tc>
        <w:tc>
          <w:tcPr>
            <w:tcW w:w="671" w:type="pct"/>
            <w:shd w:val="clear" w:color="auto" w:fill="auto"/>
            <w:vAlign w:val="center"/>
          </w:tcPr>
          <w:p>
            <w:pPr>
              <w:widowControl w:val="0"/>
              <w:jc w:val="center"/>
              <w:rPr>
                <w:b/>
                <w:bCs/>
                <w:color w:val="auto"/>
                <w:szCs w:val="20"/>
              </w:rPr>
            </w:pPr>
            <w:r>
              <w:rPr>
                <w:b/>
                <w:bCs/>
                <w:color w:val="auto"/>
                <w:szCs w:val="20"/>
              </w:rPr>
              <w:t>贡献值</w:t>
            </w:r>
            <w:r>
              <w:rPr>
                <w:rFonts w:hint="eastAsia"/>
                <w:b/>
                <w:bCs/>
                <w:color w:val="auto"/>
                <w:szCs w:val="20"/>
                <w:lang w:eastAsia="zh-CN"/>
              </w:rPr>
              <w:t>(</w:t>
            </w:r>
            <w:r>
              <w:rPr>
                <w:b/>
                <w:bCs/>
                <w:color w:val="auto"/>
                <w:szCs w:val="20"/>
              </w:rPr>
              <w:t>mg/m</w:t>
            </w:r>
            <w:r>
              <w:rPr>
                <w:b/>
                <w:bCs/>
                <w:color w:val="auto"/>
                <w:szCs w:val="20"/>
                <w:vertAlign w:val="superscript"/>
              </w:rPr>
              <w:t>3</w:t>
            </w:r>
            <w:r>
              <w:rPr>
                <w:b/>
                <w:bCs/>
                <w:color w:val="auto"/>
                <w:szCs w:val="20"/>
              </w:rPr>
              <w:t>)</w:t>
            </w:r>
          </w:p>
        </w:tc>
        <w:tc>
          <w:tcPr>
            <w:tcW w:w="730" w:type="pct"/>
            <w:shd w:val="clear" w:color="auto" w:fill="auto"/>
            <w:vAlign w:val="center"/>
          </w:tcPr>
          <w:p>
            <w:pPr>
              <w:widowControl w:val="0"/>
              <w:jc w:val="center"/>
              <w:rPr>
                <w:b/>
                <w:bCs/>
                <w:color w:val="auto"/>
                <w:szCs w:val="20"/>
              </w:rPr>
            </w:pPr>
            <w:r>
              <w:rPr>
                <w:b/>
                <w:bCs/>
                <w:color w:val="auto"/>
                <w:szCs w:val="20"/>
              </w:rPr>
              <w:t>占标率</w:t>
            </w:r>
            <w:r>
              <w:rPr>
                <w:rFonts w:hint="eastAsia"/>
                <w:b/>
                <w:bCs/>
                <w:color w:val="auto"/>
                <w:szCs w:val="20"/>
                <w:lang w:eastAsia="zh-CN"/>
              </w:rPr>
              <w:t>(</w:t>
            </w:r>
            <w:r>
              <w:rPr>
                <w:b/>
                <w:bCs/>
                <w:color w:val="auto"/>
                <w:szCs w:val="20"/>
              </w:rPr>
              <w:t>%)</w:t>
            </w:r>
          </w:p>
        </w:tc>
        <w:tc>
          <w:tcPr>
            <w:tcW w:w="709" w:type="pct"/>
            <w:shd w:val="clear" w:color="auto" w:fill="auto"/>
            <w:vAlign w:val="center"/>
          </w:tcPr>
          <w:p>
            <w:pPr>
              <w:widowControl w:val="0"/>
              <w:jc w:val="center"/>
              <w:rPr>
                <w:b/>
                <w:bCs/>
                <w:color w:val="auto"/>
                <w:szCs w:val="20"/>
              </w:rPr>
            </w:pPr>
            <w:r>
              <w:rPr>
                <w:b/>
                <w:bCs/>
                <w:color w:val="auto"/>
                <w:szCs w:val="20"/>
              </w:rPr>
              <w:t>贡献值</w:t>
            </w:r>
            <w:r>
              <w:rPr>
                <w:rFonts w:hint="eastAsia"/>
                <w:b/>
                <w:bCs/>
                <w:color w:val="auto"/>
                <w:szCs w:val="20"/>
                <w:lang w:eastAsia="zh-CN"/>
              </w:rPr>
              <w:t>(</w:t>
            </w:r>
            <w:r>
              <w:rPr>
                <w:b/>
                <w:bCs/>
                <w:color w:val="auto"/>
                <w:szCs w:val="20"/>
              </w:rPr>
              <w:t>mg/m</w:t>
            </w:r>
            <w:r>
              <w:rPr>
                <w:b/>
                <w:bCs/>
                <w:color w:val="auto"/>
                <w:szCs w:val="20"/>
                <w:vertAlign w:val="superscript"/>
              </w:rPr>
              <w:t>3</w:t>
            </w:r>
            <w:r>
              <w:rPr>
                <w:b/>
                <w:bCs/>
                <w:color w:val="auto"/>
                <w:szCs w:val="20"/>
              </w:rPr>
              <w:t>)</w:t>
            </w:r>
          </w:p>
        </w:tc>
        <w:tc>
          <w:tcPr>
            <w:tcW w:w="724" w:type="pct"/>
            <w:shd w:val="clear" w:color="auto" w:fill="auto"/>
            <w:vAlign w:val="center"/>
          </w:tcPr>
          <w:p>
            <w:pPr>
              <w:widowControl w:val="0"/>
              <w:jc w:val="center"/>
              <w:rPr>
                <w:b/>
                <w:bCs/>
                <w:color w:val="auto"/>
                <w:szCs w:val="20"/>
              </w:rPr>
            </w:pPr>
            <w:r>
              <w:rPr>
                <w:b/>
                <w:bCs/>
                <w:color w:val="auto"/>
                <w:szCs w:val="20"/>
              </w:rPr>
              <w:t>占标率</w:t>
            </w:r>
            <w:r>
              <w:rPr>
                <w:rFonts w:hint="eastAsia"/>
                <w:b/>
                <w:bCs/>
                <w:color w:val="auto"/>
                <w:szCs w:val="20"/>
                <w:lang w:eastAsia="zh-CN"/>
              </w:rPr>
              <w:t>(</w:t>
            </w:r>
            <w:r>
              <w:rPr>
                <w:b/>
                <w:bCs/>
                <w:color w:val="auto"/>
                <w:szCs w:val="20"/>
              </w:rPr>
              <w:t>%)</w:t>
            </w:r>
          </w:p>
        </w:tc>
        <w:tc>
          <w:tcPr>
            <w:tcW w:w="709" w:type="pct"/>
            <w:shd w:val="clear" w:color="auto" w:fill="auto"/>
            <w:vAlign w:val="center"/>
          </w:tcPr>
          <w:p>
            <w:pPr>
              <w:widowControl w:val="0"/>
              <w:jc w:val="center"/>
              <w:rPr>
                <w:b/>
                <w:bCs/>
                <w:color w:val="auto"/>
                <w:szCs w:val="20"/>
              </w:rPr>
            </w:pPr>
            <w:r>
              <w:rPr>
                <w:b/>
                <w:bCs/>
                <w:color w:val="auto"/>
                <w:szCs w:val="20"/>
              </w:rPr>
              <w:t>贡献值</w:t>
            </w:r>
            <w:r>
              <w:rPr>
                <w:rFonts w:hint="eastAsia"/>
                <w:b/>
                <w:bCs/>
                <w:color w:val="auto"/>
                <w:szCs w:val="20"/>
                <w:lang w:eastAsia="zh-CN"/>
              </w:rPr>
              <w:t>(</w:t>
            </w:r>
            <w:r>
              <w:rPr>
                <w:b/>
                <w:bCs/>
                <w:color w:val="auto"/>
                <w:szCs w:val="20"/>
              </w:rPr>
              <w:t>mg/m</w:t>
            </w:r>
            <w:r>
              <w:rPr>
                <w:b/>
                <w:bCs/>
                <w:color w:val="auto"/>
                <w:szCs w:val="20"/>
                <w:vertAlign w:val="superscript"/>
              </w:rPr>
              <w:t>3</w:t>
            </w:r>
            <w:r>
              <w:rPr>
                <w:b/>
                <w:bCs/>
                <w:color w:val="auto"/>
                <w:szCs w:val="20"/>
              </w:rPr>
              <w:t>)</w:t>
            </w:r>
          </w:p>
        </w:tc>
        <w:tc>
          <w:tcPr>
            <w:tcW w:w="583" w:type="pct"/>
            <w:shd w:val="clear" w:color="auto" w:fill="auto"/>
            <w:vAlign w:val="center"/>
          </w:tcPr>
          <w:p>
            <w:pPr>
              <w:widowControl w:val="0"/>
              <w:jc w:val="center"/>
              <w:rPr>
                <w:b/>
                <w:bCs/>
                <w:color w:val="auto"/>
                <w:szCs w:val="20"/>
              </w:rPr>
            </w:pPr>
            <w:r>
              <w:rPr>
                <w:b/>
                <w:bCs/>
                <w:color w:val="auto"/>
                <w:szCs w:val="20"/>
              </w:rPr>
              <w:t>占标率</w:t>
            </w:r>
            <w:r>
              <w:rPr>
                <w:rFonts w:hint="eastAsia"/>
                <w:b/>
                <w:bCs/>
                <w:color w:val="auto"/>
                <w:szCs w:val="20"/>
                <w:lang w:eastAsia="zh-CN"/>
              </w:rPr>
              <w:t>(</w:t>
            </w:r>
            <w:r>
              <w:rPr>
                <w:b/>
                <w:bCs/>
                <w:color w:val="auto"/>
                <w:szCs w:val="2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前李村</w:t>
            </w:r>
          </w:p>
        </w:tc>
        <w:tc>
          <w:tcPr>
            <w:tcW w:w="671"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3.35</w:t>
            </w:r>
            <w:r>
              <w:rPr>
                <w:rFonts w:eastAsia="黑体"/>
                <w:b/>
                <w:color w:val="auto"/>
                <w:kern w:val="0"/>
                <w:u w:val="single"/>
              </w:rPr>
              <w:t>E-0</w:t>
            </w:r>
            <w:r>
              <w:rPr>
                <w:rFonts w:hint="eastAsia" w:eastAsia="黑体"/>
                <w:b/>
                <w:color w:val="auto"/>
                <w:kern w:val="0"/>
                <w:u w:val="single"/>
              </w:rPr>
              <w:t>3</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1.68</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2.40</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0.24</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1.29</w:t>
            </w:r>
            <w:r>
              <w:rPr>
                <w:rFonts w:eastAsia="黑体"/>
                <w:b/>
                <w:color w:val="auto"/>
                <w:kern w:val="0"/>
                <w:u w:val="single"/>
              </w:rPr>
              <w:t>E-0</w:t>
            </w:r>
            <w:r>
              <w:rPr>
                <w:rFonts w:hint="eastAsia" w:eastAsia="黑体"/>
                <w:b/>
                <w:color w:val="auto"/>
                <w:kern w:val="0"/>
                <w:u w:val="single"/>
              </w:rPr>
              <w:t>2</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highlight w:val="yellow"/>
              </w:rPr>
            </w:pPr>
            <w:r>
              <w:rPr>
                <w:color w:val="auto"/>
              </w:rPr>
              <w:t>获嘉县气象站</w:t>
            </w:r>
          </w:p>
        </w:tc>
        <w:tc>
          <w:tcPr>
            <w:tcW w:w="671" w:type="pct"/>
            <w:shd w:val="clear" w:color="auto" w:fill="auto"/>
            <w:vAlign w:val="center"/>
          </w:tcPr>
          <w:p>
            <w:pPr>
              <w:jc w:val="center"/>
              <w:rPr>
                <w:rFonts w:eastAsia="黑体"/>
                <w:b/>
                <w:color w:val="auto"/>
                <w:kern w:val="0"/>
                <w:highlight w:val="yellow"/>
                <w:u w:val="single"/>
              </w:rPr>
            </w:pPr>
            <w:r>
              <w:rPr>
                <w:rFonts w:hint="eastAsia"/>
                <w:b/>
                <w:color w:val="auto"/>
                <w:u w:val="single"/>
              </w:rPr>
              <w:t>2.55E-03</w:t>
            </w:r>
          </w:p>
        </w:tc>
        <w:tc>
          <w:tcPr>
            <w:tcW w:w="730" w:type="pct"/>
            <w:shd w:val="clear" w:color="auto" w:fill="auto"/>
            <w:vAlign w:val="center"/>
          </w:tcPr>
          <w:p>
            <w:pPr>
              <w:jc w:val="center"/>
              <w:rPr>
                <w:rFonts w:eastAsia="黑体"/>
                <w:b/>
                <w:color w:val="auto"/>
                <w:kern w:val="0"/>
                <w:highlight w:val="yellow"/>
                <w:u w:val="single"/>
              </w:rPr>
            </w:pPr>
            <w:r>
              <w:rPr>
                <w:rFonts w:hint="eastAsia" w:eastAsia="黑体"/>
                <w:b/>
                <w:color w:val="auto"/>
                <w:kern w:val="0"/>
                <w:u w:val="single"/>
              </w:rPr>
              <w:t>1.28</w:t>
            </w:r>
          </w:p>
        </w:tc>
        <w:tc>
          <w:tcPr>
            <w:tcW w:w="709" w:type="pct"/>
            <w:shd w:val="clear" w:color="auto" w:fill="auto"/>
            <w:vAlign w:val="center"/>
          </w:tcPr>
          <w:p>
            <w:pPr>
              <w:jc w:val="center"/>
              <w:rPr>
                <w:rFonts w:eastAsia="黑体"/>
                <w:b/>
                <w:color w:val="auto"/>
                <w:kern w:val="0"/>
                <w:highlight w:val="yellow"/>
                <w:u w:val="single"/>
              </w:rPr>
            </w:pPr>
            <w:r>
              <w:rPr>
                <w:rFonts w:hint="eastAsia" w:eastAsia="黑体"/>
                <w:b/>
                <w:color w:val="auto"/>
                <w:kern w:val="0"/>
                <w:u w:val="single"/>
              </w:rPr>
              <w:t>1.83</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jc w:val="center"/>
              <w:rPr>
                <w:b/>
                <w:color w:val="auto"/>
                <w:kern w:val="0"/>
                <w:highlight w:val="yellow"/>
                <w:u w:val="single"/>
              </w:rPr>
            </w:pPr>
            <w:r>
              <w:rPr>
                <w:rFonts w:hint="eastAsia"/>
                <w:b/>
                <w:color w:val="auto"/>
                <w:kern w:val="0"/>
                <w:u w:val="single"/>
              </w:rPr>
              <w:t>0.18</w:t>
            </w:r>
          </w:p>
        </w:tc>
        <w:tc>
          <w:tcPr>
            <w:tcW w:w="709" w:type="pct"/>
            <w:shd w:val="clear" w:color="auto" w:fill="auto"/>
            <w:vAlign w:val="center"/>
          </w:tcPr>
          <w:p>
            <w:pPr>
              <w:jc w:val="center"/>
              <w:rPr>
                <w:rFonts w:eastAsia="黑体"/>
                <w:b/>
                <w:color w:val="auto"/>
                <w:kern w:val="0"/>
                <w:highlight w:val="yellow"/>
                <w:u w:val="single"/>
              </w:rPr>
            </w:pPr>
            <w:r>
              <w:rPr>
                <w:rFonts w:hint="eastAsia" w:eastAsia="黑体"/>
                <w:b/>
                <w:color w:val="auto"/>
                <w:kern w:val="0"/>
                <w:u w:val="single"/>
              </w:rPr>
              <w:t>9.06</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adjustRightInd w:val="0"/>
              <w:snapToGrid w:val="0"/>
              <w:jc w:val="center"/>
              <w:textAlignment w:val="baseline"/>
              <w:rPr>
                <w:rFonts w:eastAsia="黑体"/>
                <w:b/>
                <w:color w:val="auto"/>
                <w:kern w:val="0"/>
                <w:highlight w:val="yellow"/>
                <w:u w:val="single"/>
              </w:rPr>
            </w:pPr>
            <w:r>
              <w:rPr>
                <w:rFonts w:hint="eastAsia" w:eastAsia="黑体"/>
                <w:b/>
                <w:color w:val="auto"/>
                <w:kern w:val="0"/>
                <w:u w:val="single"/>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后李村</w:t>
            </w:r>
          </w:p>
        </w:tc>
        <w:tc>
          <w:tcPr>
            <w:tcW w:w="671"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2.46</w:t>
            </w:r>
            <w:r>
              <w:rPr>
                <w:rFonts w:eastAsia="黑体"/>
                <w:b/>
                <w:color w:val="auto"/>
                <w:kern w:val="0"/>
                <w:u w:val="single"/>
              </w:rPr>
              <w:t>E-0</w:t>
            </w:r>
            <w:r>
              <w:rPr>
                <w:rFonts w:hint="eastAsia" w:eastAsia="黑体"/>
                <w:b/>
                <w:color w:val="auto"/>
                <w:kern w:val="0"/>
                <w:u w:val="single"/>
              </w:rPr>
              <w:t>3</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1.23</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1.76</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0.18</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8.62</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彦当村</w:t>
            </w:r>
          </w:p>
        </w:tc>
        <w:tc>
          <w:tcPr>
            <w:tcW w:w="671" w:type="pct"/>
            <w:shd w:val="clear" w:color="auto" w:fill="auto"/>
            <w:vAlign w:val="center"/>
          </w:tcPr>
          <w:p>
            <w:pPr>
              <w:jc w:val="center"/>
              <w:rPr>
                <w:b/>
                <w:color w:val="auto"/>
                <w:u w:val="single"/>
              </w:rPr>
            </w:pPr>
            <w:r>
              <w:rPr>
                <w:rFonts w:hint="eastAsia"/>
                <w:b/>
                <w:color w:val="auto"/>
                <w:u w:val="single"/>
              </w:rPr>
              <w:t>2.16</w:t>
            </w:r>
            <w:r>
              <w:rPr>
                <w:b/>
                <w:color w:val="auto"/>
                <w:u w:val="single"/>
              </w:rPr>
              <w:t>E-0</w:t>
            </w:r>
            <w:r>
              <w:rPr>
                <w:rFonts w:hint="eastAsia"/>
                <w:b/>
                <w:color w:val="auto"/>
                <w:u w:val="single"/>
              </w:rPr>
              <w:t>3</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1.08</w:t>
            </w:r>
          </w:p>
        </w:tc>
        <w:tc>
          <w:tcPr>
            <w:tcW w:w="709" w:type="pct"/>
            <w:shd w:val="clear" w:color="auto" w:fill="auto"/>
            <w:vAlign w:val="center"/>
          </w:tcPr>
          <w:p>
            <w:pPr>
              <w:jc w:val="center"/>
              <w:rPr>
                <w:b/>
                <w:color w:val="auto"/>
                <w:u w:val="single"/>
              </w:rPr>
            </w:pPr>
            <w:r>
              <w:rPr>
                <w:rFonts w:hint="eastAsia" w:eastAsia="黑体"/>
                <w:b/>
                <w:color w:val="auto"/>
                <w:kern w:val="0"/>
                <w:u w:val="single"/>
              </w:rPr>
              <w:t>1.55</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0.16</w:t>
            </w:r>
          </w:p>
        </w:tc>
        <w:tc>
          <w:tcPr>
            <w:tcW w:w="709" w:type="pct"/>
            <w:shd w:val="clear" w:color="auto" w:fill="auto"/>
            <w:vAlign w:val="center"/>
          </w:tcPr>
          <w:p>
            <w:pPr>
              <w:jc w:val="center"/>
              <w:rPr>
                <w:b/>
                <w:color w:val="auto"/>
                <w:u w:val="single"/>
              </w:rPr>
            </w:pPr>
            <w:r>
              <w:rPr>
                <w:rFonts w:hint="eastAsia" w:eastAsia="黑体"/>
                <w:b/>
                <w:color w:val="auto"/>
                <w:kern w:val="0"/>
                <w:u w:val="single"/>
              </w:rPr>
              <w:t>7.17</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前寺庄村</w:t>
            </w:r>
          </w:p>
        </w:tc>
        <w:tc>
          <w:tcPr>
            <w:tcW w:w="671" w:type="pct"/>
            <w:shd w:val="clear" w:color="auto" w:fill="auto"/>
            <w:vAlign w:val="center"/>
          </w:tcPr>
          <w:p>
            <w:pPr>
              <w:jc w:val="center"/>
              <w:rPr>
                <w:b/>
                <w:color w:val="auto"/>
                <w:u w:val="single"/>
              </w:rPr>
            </w:pPr>
            <w:r>
              <w:rPr>
                <w:rFonts w:hint="eastAsia"/>
                <w:b/>
                <w:color w:val="auto"/>
                <w:u w:val="single"/>
              </w:rPr>
              <w:t>2.15</w:t>
            </w:r>
            <w:r>
              <w:rPr>
                <w:b/>
                <w:color w:val="auto"/>
                <w:u w:val="single"/>
              </w:rPr>
              <w:t>E-0</w:t>
            </w:r>
            <w:r>
              <w:rPr>
                <w:rFonts w:hint="eastAsia"/>
                <w:b/>
                <w:color w:val="auto"/>
                <w:u w:val="single"/>
              </w:rPr>
              <w:t>3</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1.07</w:t>
            </w:r>
          </w:p>
        </w:tc>
        <w:tc>
          <w:tcPr>
            <w:tcW w:w="709" w:type="pct"/>
            <w:shd w:val="clear" w:color="auto" w:fill="auto"/>
            <w:vAlign w:val="center"/>
          </w:tcPr>
          <w:p>
            <w:pPr>
              <w:jc w:val="center"/>
              <w:rPr>
                <w:b/>
                <w:color w:val="auto"/>
                <w:u w:val="single"/>
              </w:rPr>
            </w:pPr>
            <w:r>
              <w:rPr>
                <w:rFonts w:hint="eastAsia" w:eastAsia="黑体"/>
                <w:b/>
                <w:color w:val="auto"/>
                <w:kern w:val="0"/>
                <w:u w:val="single"/>
              </w:rPr>
              <w:t>1.54</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b/>
                <w:color w:val="auto"/>
                <w:u w:val="single"/>
              </w:rPr>
            </w:pPr>
            <w:r>
              <w:rPr>
                <w:rFonts w:hint="eastAsia"/>
                <w:b/>
                <w:color w:val="auto"/>
                <w:u w:val="single"/>
              </w:rPr>
              <w:t>0.15</w:t>
            </w:r>
          </w:p>
        </w:tc>
        <w:tc>
          <w:tcPr>
            <w:tcW w:w="709" w:type="pct"/>
            <w:shd w:val="clear" w:color="auto" w:fill="auto"/>
            <w:vAlign w:val="center"/>
          </w:tcPr>
          <w:p>
            <w:pPr>
              <w:jc w:val="center"/>
              <w:rPr>
                <w:b/>
                <w:color w:val="auto"/>
                <w:u w:val="single"/>
              </w:rPr>
            </w:pPr>
            <w:r>
              <w:rPr>
                <w:rFonts w:hint="eastAsia" w:eastAsia="黑体"/>
                <w:b/>
                <w:color w:val="auto"/>
                <w:kern w:val="0"/>
                <w:u w:val="single"/>
              </w:rPr>
              <w:t>7.11</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获嘉县中专</w:t>
            </w:r>
          </w:p>
        </w:tc>
        <w:tc>
          <w:tcPr>
            <w:tcW w:w="671"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1.95</w:t>
            </w:r>
            <w:r>
              <w:rPr>
                <w:rFonts w:eastAsia="黑体"/>
                <w:b/>
                <w:color w:val="auto"/>
                <w:kern w:val="0"/>
                <w:u w:val="single"/>
              </w:rPr>
              <w:t>E-0</w:t>
            </w:r>
            <w:r>
              <w:rPr>
                <w:rFonts w:hint="eastAsia" w:eastAsia="黑体"/>
                <w:b/>
                <w:color w:val="auto"/>
                <w:kern w:val="0"/>
                <w:u w:val="single"/>
              </w:rPr>
              <w:t>4</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0.98</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1.40</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rFonts w:eastAsia="黑体"/>
                <w:b/>
                <w:color w:val="auto"/>
                <w:u w:val="single"/>
              </w:rPr>
            </w:pPr>
            <w:r>
              <w:rPr>
                <w:rFonts w:hint="eastAsia" w:eastAsia="黑体"/>
                <w:b/>
                <w:color w:val="auto"/>
                <w:u w:val="single"/>
              </w:rPr>
              <w:t>0.14</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6.37</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桑庄村</w:t>
            </w:r>
          </w:p>
        </w:tc>
        <w:tc>
          <w:tcPr>
            <w:tcW w:w="671" w:type="pct"/>
            <w:shd w:val="clear" w:color="auto" w:fill="auto"/>
            <w:vAlign w:val="center"/>
          </w:tcPr>
          <w:p>
            <w:pPr>
              <w:jc w:val="center"/>
              <w:rPr>
                <w:b/>
                <w:color w:val="auto"/>
                <w:u w:val="single"/>
              </w:rPr>
            </w:pPr>
            <w:r>
              <w:rPr>
                <w:rFonts w:hint="eastAsia"/>
                <w:b/>
                <w:color w:val="auto"/>
                <w:u w:val="single"/>
              </w:rPr>
              <w:t>1.83</w:t>
            </w:r>
            <w:r>
              <w:rPr>
                <w:b/>
                <w:color w:val="auto"/>
                <w:u w:val="single"/>
              </w:rPr>
              <w:t>E-0</w:t>
            </w:r>
            <w:r>
              <w:rPr>
                <w:rFonts w:hint="eastAsia"/>
                <w:b/>
                <w:color w:val="auto"/>
                <w:u w:val="single"/>
              </w:rPr>
              <w:t>4</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0.92</w:t>
            </w:r>
          </w:p>
        </w:tc>
        <w:tc>
          <w:tcPr>
            <w:tcW w:w="709" w:type="pct"/>
            <w:shd w:val="clear" w:color="auto" w:fill="auto"/>
            <w:vAlign w:val="center"/>
          </w:tcPr>
          <w:p>
            <w:pPr>
              <w:jc w:val="center"/>
              <w:rPr>
                <w:b/>
                <w:color w:val="auto"/>
                <w:u w:val="single"/>
              </w:rPr>
            </w:pPr>
            <w:r>
              <w:rPr>
                <w:rFonts w:hint="eastAsia" w:eastAsia="黑体"/>
                <w:b/>
                <w:color w:val="auto"/>
                <w:kern w:val="0"/>
                <w:u w:val="single"/>
              </w:rPr>
              <w:t>1.31</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b/>
                <w:color w:val="auto"/>
                <w:u w:val="single"/>
              </w:rPr>
            </w:pPr>
            <w:r>
              <w:rPr>
                <w:rFonts w:hint="eastAsia"/>
                <w:b/>
                <w:color w:val="auto"/>
                <w:u w:val="single"/>
              </w:rPr>
              <w:t>0.13</w:t>
            </w:r>
          </w:p>
        </w:tc>
        <w:tc>
          <w:tcPr>
            <w:tcW w:w="709" w:type="pct"/>
            <w:shd w:val="clear" w:color="auto" w:fill="auto"/>
            <w:vAlign w:val="center"/>
          </w:tcPr>
          <w:p>
            <w:pPr>
              <w:jc w:val="center"/>
              <w:rPr>
                <w:b/>
                <w:color w:val="auto"/>
                <w:u w:val="single"/>
              </w:rPr>
            </w:pPr>
            <w:r>
              <w:rPr>
                <w:rFonts w:hint="eastAsia" w:eastAsia="黑体"/>
                <w:b/>
                <w:color w:val="auto"/>
                <w:kern w:val="0"/>
                <w:u w:val="single"/>
              </w:rPr>
              <w:t>5.94</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后寺庄村</w:t>
            </w:r>
          </w:p>
        </w:tc>
        <w:tc>
          <w:tcPr>
            <w:tcW w:w="671" w:type="pct"/>
            <w:shd w:val="clear" w:color="auto" w:fill="auto"/>
            <w:vAlign w:val="center"/>
          </w:tcPr>
          <w:p>
            <w:pPr>
              <w:jc w:val="center"/>
              <w:rPr>
                <w:b/>
                <w:color w:val="auto"/>
                <w:u w:val="single"/>
              </w:rPr>
            </w:pPr>
            <w:r>
              <w:rPr>
                <w:rFonts w:hint="eastAsia"/>
                <w:b/>
                <w:color w:val="auto"/>
                <w:u w:val="single"/>
              </w:rPr>
              <w:t>1.81</w:t>
            </w:r>
            <w:r>
              <w:rPr>
                <w:b/>
                <w:color w:val="auto"/>
                <w:u w:val="single"/>
              </w:rPr>
              <w:t>E-0</w:t>
            </w:r>
            <w:r>
              <w:rPr>
                <w:rFonts w:hint="eastAsia"/>
                <w:b/>
                <w:color w:val="auto"/>
                <w:u w:val="single"/>
              </w:rPr>
              <w:t>4</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0.91</w:t>
            </w:r>
          </w:p>
        </w:tc>
        <w:tc>
          <w:tcPr>
            <w:tcW w:w="709" w:type="pct"/>
            <w:shd w:val="clear" w:color="auto" w:fill="auto"/>
            <w:vAlign w:val="center"/>
          </w:tcPr>
          <w:p>
            <w:pPr>
              <w:jc w:val="center"/>
              <w:rPr>
                <w:b/>
                <w:color w:val="auto"/>
                <w:u w:val="single"/>
              </w:rPr>
            </w:pPr>
            <w:r>
              <w:rPr>
                <w:rFonts w:hint="eastAsia" w:eastAsia="黑体"/>
                <w:b/>
                <w:color w:val="auto"/>
                <w:kern w:val="0"/>
                <w:u w:val="single"/>
              </w:rPr>
              <w:t>1.30</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b/>
                <w:color w:val="auto"/>
                <w:u w:val="single"/>
              </w:rPr>
            </w:pPr>
            <w:r>
              <w:rPr>
                <w:rFonts w:hint="eastAsia"/>
                <w:b/>
                <w:color w:val="auto"/>
                <w:u w:val="single"/>
              </w:rPr>
              <w:t>0.13</w:t>
            </w:r>
          </w:p>
        </w:tc>
        <w:tc>
          <w:tcPr>
            <w:tcW w:w="709" w:type="pct"/>
            <w:shd w:val="clear" w:color="auto" w:fill="auto"/>
            <w:vAlign w:val="center"/>
          </w:tcPr>
          <w:p>
            <w:pPr>
              <w:jc w:val="center"/>
              <w:rPr>
                <w:b/>
                <w:color w:val="auto"/>
                <w:u w:val="single"/>
              </w:rPr>
            </w:pPr>
            <w:r>
              <w:rPr>
                <w:rFonts w:hint="eastAsia" w:eastAsia="黑体"/>
                <w:b/>
                <w:color w:val="auto"/>
                <w:kern w:val="0"/>
                <w:u w:val="single"/>
              </w:rPr>
              <w:t>5.88</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孝合村</w:t>
            </w:r>
          </w:p>
        </w:tc>
        <w:tc>
          <w:tcPr>
            <w:tcW w:w="671" w:type="pct"/>
            <w:shd w:val="clear" w:color="auto" w:fill="auto"/>
            <w:vAlign w:val="center"/>
          </w:tcPr>
          <w:p>
            <w:pPr>
              <w:jc w:val="center"/>
              <w:rPr>
                <w:b/>
                <w:color w:val="auto"/>
                <w:u w:val="single"/>
              </w:rPr>
            </w:pPr>
            <w:r>
              <w:rPr>
                <w:rFonts w:hint="eastAsia"/>
                <w:b/>
                <w:color w:val="auto"/>
                <w:u w:val="single"/>
              </w:rPr>
              <w:t>1.80</w:t>
            </w:r>
            <w:r>
              <w:rPr>
                <w:b/>
                <w:color w:val="auto"/>
                <w:u w:val="single"/>
              </w:rPr>
              <w:t>E-0</w:t>
            </w:r>
            <w:r>
              <w:rPr>
                <w:rFonts w:hint="eastAsia"/>
                <w:b/>
                <w:color w:val="auto"/>
                <w:u w:val="single"/>
              </w:rPr>
              <w:t>4</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0.90</w:t>
            </w:r>
          </w:p>
        </w:tc>
        <w:tc>
          <w:tcPr>
            <w:tcW w:w="709" w:type="pct"/>
            <w:shd w:val="clear" w:color="auto" w:fill="auto"/>
            <w:vAlign w:val="center"/>
          </w:tcPr>
          <w:p>
            <w:pPr>
              <w:jc w:val="center"/>
              <w:rPr>
                <w:b/>
                <w:color w:val="auto"/>
                <w:u w:val="single"/>
              </w:rPr>
            </w:pPr>
            <w:r>
              <w:rPr>
                <w:rFonts w:hint="eastAsia" w:eastAsia="黑体"/>
                <w:b/>
                <w:color w:val="auto"/>
                <w:kern w:val="0"/>
                <w:u w:val="single"/>
              </w:rPr>
              <w:t>1.29</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b/>
                <w:color w:val="auto"/>
                <w:u w:val="single"/>
              </w:rPr>
            </w:pPr>
            <w:r>
              <w:rPr>
                <w:rFonts w:hint="eastAsia"/>
                <w:b/>
                <w:color w:val="auto"/>
                <w:u w:val="single"/>
              </w:rPr>
              <w:t>0.13</w:t>
            </w:r>
          </w:p>
        </w:tc>
        <w:tc>
          <w:tcPr>
            <w:tcW w:w="709" w:type="pct"/>
            <w:shd w:val="clear" w:color="auto" w:fill="auto"/>
            <w:vAlign w:val="center"/>
          </w:tcPr>
          <w:p>
            <w:pPr>
              <w:jc w:val="center"/>
              <w:rPr>
                <w:b/>
                <w:color w:val="auto"/>
                <w:u w:val="single"/>
              </w:rPr>
            </w:pPr>
            <w:r>
              <w:rPr>
                <w:rFonts w:hint="eastAsia" w:eastAsia="黑体"/>
                <w:b/>
                <w:color w:val="auto"/>
                <w:kern w:val="0"/>
                <w:u w:val="single"/>
              </w:rPr>
              <w:t>5.82</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pct"/>
            <w:shd w:val="clear" w:color="auto" w:fill="auto"/>
            <w:vAlign w:val="center"/>
          </w:tcPr>
          <w:p>
            <w:pPr>
              <w:widowControl w:val="0"/>
              <w:jc w:val="center"/>
              <w:rPr>
                <w:color w:val="auto"/>
              </w:rPr>
            </w:pPr>
            <w:r>
              <w:rPr>
                <w:color w:val="auto"/>
              </w:rPr>
              <w:t>东仓村</w:t>
            </w:r>
          </w:p>
        </w:tc>
        <w:tc>
          <w:tcPr>
            <w:tcW w:w="671" w:type="pct"/>
            <w:shd w:val="clear" w:color="auto" w:fill="auto"/>
            <w:vAlign w:val="center"/>
          </w:tcPr>
          <w:p>
            <w:pPr>
              <w:widowControl w:val="0"/>
              <w:jc w:val="center"/>
              <w:rPr>
                <w:b/>
                <w:color w:val="auto"/>
                <w:u w:val="single"/>
              </w:rPr>
            </w:pPr>
            <w:r>
              <w:rPr>
                <w:rFonts w:hint="eastAsia"/>
                <w:b/>
                <w:color w:val="auto"/>
                <w:u w:val="single"/>
              </w:rPr>
              <w:t>1.76</w:t>
            </w:r>
            <w:r>
              <w:rPr>
                <w:b/>
                <w:color w:val="auto"/>
                <w:u w:val="single"/>
              </w:rPr>
              <w:t>E-0</w:t>
            </w:r>
            <w:r>
              <w:rPr>
                <w:rFonts w:hint="eastAsia"/>
                <w:b/>
                <w:color w:val="auto"/>
                <w:u w:val="single"/>
              </w:rPr>
              <w:t>4</w:t>
            </w:r>
          </w:p>
        </w:tc>
        <w:tc>
          <w:tcPr>
            <w:tcW w:w="730"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0.88</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1.26</w:t>
            </w:r>
            <w:r>
              <w:rPr>
                <w:rFonts w:eastAsia="黑体"/>
                <w:b/>
                <w:color w:val="auto"/>
                <w:kern w:val="0"/>
                <w:u w:val="single"/>
              </w:rPr>
              <w:t>E-0</w:t>
            </w:r>
            <w:r>
              <w:rPr>
                <w:rFonts w:hint="eastAsia" w:eastAsia="黑体"/>
                <w:b/>
                <w:color w:val="auto"/>
                <w:kern w:val="0"/>
                <w:u w:val="single"/>
              </w:rPr>
              <w:t>5</w:t>
            </w:r>
          </w:p>
        </w:tc>
        <w:tc>
          <w:tcPr>
            <w:tcW w:w="724" w:type="pct"/>
            <w:shd w:val="clear" w:color="auto" w:fill="auto"/>
            <w:vAlign w:val="center"/>
          </w:tcPr>
          <w:p>
            <w:pPr>
              <w:widowControl w:val="0"/>
              <w:jc w:val="center"/>
              <w:rPr>
                <w:rFonts w:eastAsia="黑体"/>
                <w:b/>
                <w:color w:val="auto"/>
                <w:u w:val="single"/>
              </w:rPr>
            </w:pPr>
            <w:r>
              <w:rPr>
                <w:rFonts w:hint="eastAsia" w:eastAsia="黑体"/>
                <w:b/>
                <w:color w:val="auto"/>
                <w:kern w:val="0"/>
                <w:u w:val="single"/>
              </w:rPr>
              <w:t>0.13</w:t>
            </w:r>
          </w:p>
        </w:tc>
        <w:tc>
          <w:tcPr>
            <w:tcW w:w="709"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5.70</w:t>
            </w:r>
            <w:r>
              <w:rPr>
                <w:rFonts w:eastAsia="黑体"/>
                <w:b/>
                <w:color w:val="auto"/>
                <w:kern w:val="0"/>
                <w:u w:val="single"/>
              </w:rPr>
              <w:t>E-0</w:t>
            </w:r>
            <w:r>
              <w:rPr>
                <w:rFonts w:hint="eastAsia" w:eastAsia="黑体"/>
                <w:b/>
                <w:color w:val="auto"/>
                <w:kern w:val="0"/>
                <w:u w:val="single"/>
              </w:rPr>
              <w:t>3</w:t>
            </w:r>
          </w:p>
        </w:tc>
        <w:tc>
          <w:tcPr>
            <w:tcW w:w="583" w:type="pct"/>
            <w:shd w:val="clear" w:color="auto" w:fill="auto"/>
            <w:vAlign w:val="center"/>
          </w:tcPr>
          <w:p>
            <w:pPr>
              <w:widowControl w:val="0"/>
              <w:jc w:val="center"/>
              <w:rPr>
                <w:rFonts w:eastAsia="黑体"/>
                <w:b/>
                <w:color w:val="auto"/>
                <w:kern w:val="0"/>
                <w:u w:val="single"/>
              </w:rPr>
            </w:pPr>
            <w:r>
              <w:rPr>
                <w:rFonts w:hint="eastAsia" w:eastAsia="黑体"/>
                <w:b/>
                <w:color w:val="auto"/>
                <w:kern w:val="0"/>
                <w:u w:val="single"/>
              </w:rPr>
              <w:t>1.27</w:t>
            </w:r>
          </w:p>
        </w:tc>
      </w:tr>
    </w:tbl>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由表5-16~5-17可知，本项目生产过程排放的各点源污染物在各个敏感点的浓度贡献值、占标率均较小，对各个关心点的环境影响不大。</w:t>
      </w:r>
    </w:p>
    <w:p>
      <w:pPr>
        <w:ind w:firstLine="960" w:firstLineChars="400"/>
        <w:jc w:val="center"/>
        <w:rPr>
          <w:rFonts w:eastAsia="黑体"/>
          <w:bCs/>
          <w:color w:val="auto"/>
          <w:sz w:val="24"/>
          <w:szCs w:val="24"/>
        </w:rPr>
      </w:pPr>
      <w:r>
        <w:rPr>
          <w:rFonts w:eastAsia="黑体"/>
          <w:bCs/>
          <w:color w:val="auto"/>
          <w:sz w:val="24"/>
          <w:szCs w:val="24"/>
        </w:rPr>
        <w:t>表5-18      污染物无组织排放源对敏感点的环境影响预测一览表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28" w:type="dxa"/>
          <w:bottom w:w="0" w:type="dxa"/>
          <w:right w:w="28" w:type="dxa"/>
        </w:tblCellMar>
      </w:tblPr>
      <w:tblGrid>
        <w:gridCol w:w="593"/>
        <w:gridCol w:w="1386"/>
        <w:gridCol w:w="1726"/>
        <w:gridCol w:w="1567"/>
        <w:gridCol w:w="1701"/>
        <w:gridCol w:w="139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tblHeader/>
          <w:jc w:val="center"/>
        </w:trPr>
        <w:tc>
          <w:tcPr>
            <w:tcW w:w="354" w:type="pct"/>
            <w:vMerge w:val="restart"/>
            <w:vAlign w:val="center"/>
          </w:tcPr>
          <w:p>
            <w:pPr>
              <w:keepNext w:val="0"/>
              <w:keepLines w:val="0"/>
              <w:pageBreakBefore w:val="0"/>
              <w:widowControl/>
              <w:kinsoku/>
              <w:wordWrap/>
              <w:overflowPunct/>
              <w:topLinePunct w:val="0"/>
              <w:autoSpaceDE/>
              <w:autoSpaceDN/>
              <w:bidi w:val="0"/>
              <w:adjustRightInd/>
              <w:snapToGrid/>
              <w:jc w:val="both"/>
              <w:rPr>
                <w:rFonts w:hint="eastAsia" w:eastAsia="宋体"/>
                <w:b/>
                <w:bCs/>
                <w:color w:val="auto"/>
                <w:lang w:val="en-US" w:eastAsia="zh-CN"/>
              </w:rPr>
            </w:pPr>
            <w:r>
              <w:rPr>
                <w:rFonts w:hint="eastAsia"/>
                <w:b/>
                <w:bCs/>
                <w:color w:val="auto"/>
                <w:lang w:val="en-US" w:eastAsia="zh-CN"/>
              </w:rPr>
              <w:t>序号</w:t>
            </w:r>
          </w:p>
        </w:tc>
        <w:tc>
          <w:tcPr>
            <w:tcW w:w="828" w:type="pct"/>
            <w:vMerge w:val="restart"/>
            <w:vAlign w:val="center"/>
          </w:tcPr>
          <w:p>
            <w:pPr>
              <w:keepNext w:val="0"/>
              <w:keepLines w:val="0"/>
              <w:pageBreakBefore w:val="0"/>
              <w:widowControl/>
              <w:kinsoku/>
              <w:wordWrap/>
              <w:overflowPunct/>
              <w:topLinePunct w:val="0"/>
              <w:autoSpaceDE/>
              <w:autoSpaceDN/>
              <w:bidi w:val="0"/>
              <w:adjustRightInd/>
              <w:snapToGrid/>
              <w:jc w:val="center"/>
              <w:rPr>
                <w:b/>
                <w:bCs/>
                <w:color w:val="auto"/>
              </w:rPr>
            </w:pPr>
            <w:r>
              <w:rPr>
                <w:b/>
                <w:bCs/>
                <w:color w:val="auto"/>
              </w:rPr>
              <w:t>保护目标</w:t>
            </w:r>
          </w:p>
        </w:tc>
        <w:tc>
          <w:tcPr>
            <w:tcW w:w="1967" w:type="pct"/>
            <w:gridSpan w:val="2"/>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北厂房</w:t>
            </w:r>
          </w:p>
        </w:tc>
        <w:tc>
          <w:tcPr>
            <w:tcW w:w="1849" w:type="pct"/>
            <w:gridSpan w:val="2"/>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南厂房</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tblHeader/>
          <w:jc w:val="center"/>
        </w:trPr>
        <w:tc>
          <w:tcPr>
            <w:tcW w:w="354" w:type="pct"/>
            <w:vMerge w:val="continue"/>
            <w:vAlign w:val="center"/>
          </w:tcPr>
          <w:p>
            <w:pPr>
              <w:keepNext w:val="0"/>
              <w:keepLines w:val="0"/>
              <w:pageBreakBefore w:val="0"/>
              <w:widowControl/>
              <w:kinsoku/>
              <w:wordWrap/>
              <w:overflowPunct/>
              <w:topLinePunct w:val="0"/>
              <w:autoSpaceDE/>
              <w:autoSpaceDN/>
              <w:bidi w:val="0"/>
              <w:adjustRightInd/>
              <w:snapToGrid/>
              <w:jc w:val="center"/>
              <w:rPr>
                <w:color w:val="auto"/>
              </w:rPr>
            </w:pPr>
          </w:p>
        </w:tc>
        <w:tc>
          <w:tcPr>
            <w:tcW w:w="828" w:type="pct"/>
            <w:vMerge w:val="continue"/>
            <w:vAlign w:val="center"/>
          </w:tcPr>
          <w:p>
            <w:pPr>
              <w:keepNext w:val="0"/>
              <w:keepLines w:val="0"/>
              <w:pageBreakBefore w:val="0"/>
              <w:widowControl/>
              <w:kinsoku/>
              <w:wordWrap/>
              <w:overflowPunct/>
              <w:topLinePunct w:val="0"/>
              <w:autoSpaceDE/>
              <w:autoSpaceDN/>
              <w:bidi w:val="0"/>
              <w:adjustRightInd/>
              <w:snapToGrid/>
              <w:jc w:val="center"/>
              <w:rPr>
                <w:color w:val="auto"/>
              </w:rPr>
            </w:pPr>
          </w:p>
        </w:tc>
        <w:tc>
          <w:tcPr>
            <w:tcW w:w="1967" w:type="pct"/>
            <w:gridSpan w:val="2"/>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氯化氢</w:t>
            </w:r>
          </w:p>
        </w:tc>
        <w:tc>
          <w:tcPr>
            <w:tcW w:w="1849" w:type="pct"/>
            <w:gridSpan w:val="2"/>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颗粒物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tblHeader/>
          <w:jc w:val="center"/>
        </w:trPr>
        <w:tc>
          <w:tcPr>
            <w:tcW w:w="354" w:type="pct"/>
            <w:vMerge w:val="continue"/>
            <w:vAlign w:val="center"/>
          </w:tcPr>
          <w:p>
            <w:pPr>
              <w:keepNext w:val="0"/>
              <w:keepLines w:val="0"/>
              <w:pageBreakBefore w:val="0"/>
              <w:widowControl/>
              <w:kinsoku/>
              <w:wordWrap/>
              <w:overflowPunct/>
              <w:topLinePunct w:val="0"/>
              <w:autoSpaceDE/>
              <w:autoSpaceDN/>
              <w:bidi w:val="0"/>
              <w:adjustRightInd/>
              <w:snapToGrid/>
              <w:jc w:val="center"/>
              <w:rPr>
                <w:color w:val="auto"/>
              </w:rPr>
            </w:pPr>
          </w:p>
        </w:tc>
        <w:tc>
          <w:tcPr>
            <w:tcW w:w="828" w:type="pct"/>
            <w:vMerge w:val="continue"/>
            <w:vAlign w:val="center"/>
          </w:tcPr>
          <w:p>
            <w:pPr>
              <w:keepNext w:val="0"/>
              <w:keepLines w:val="0"/>
              <w:pageBreakBefore w:val="0"/>
              <w:widowControl/>
              <w:kinsoku/>
              <w:wordWrap/>
              <w:overflowPunct/>
              <w:topLinePunct w:val="0"/>
              <w:autoSpaceDE/>
              <w:autoSpaceDN/>
              <w:bidi w:val="0"/>
              <w:adjustRightInd/>
              <w:snapToGrid/>
              <w:jc w:val="center"/>
              <w:rPr>
                <w:color w:val="auto"/>
              </w:rPr>
            </w:pP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贡献值（mg/m</w:t>
            </w:r>
            <w:r>
              <w:rPr>
                <w:b/>
                <w:bCs/>
                <w:color w:val="auto"/>
                <w:u w:val="single"/>
                <w:vertAlign w:val="superscript"/>
              </w:rPr>
              <w:t>3</w:t>
            </w:r>
            <w:r>
              <w:rPr>
                <w:b/>
                <w:bCs/>
                <w:color w:val="auto"/>
                <w:u w:val="single"/>
              </w:rPr>
              <w:t>）</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占标率（%）</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贡献值（mg/m</w:t>
            </w:r>
            <w:r>
              <w:rPr>
                <w:b/>
                <w:bCs/>
                <w:color w:val="auto"/>
                <w:u w:val="single"/>
                <w:vertAlign w:val="superscript"/>
              </w:rPr>
              <w:t>3</w:t>
            </w:r>
            <w:r>
              <w:rPr>
                <w:b/>
                <w:bCs/>
                <w:color w:val="auto"/>
                <w:u w:val="single"/>
              </w:rPr>
              <w:t>）</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b/>
                <w:bCs/>
                <w:color w:val="auto"/>
                <w:u w:val="single"/>
              </w:rPr>
              <w:t>占标率（%）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tblHeader/>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1</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前李村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2.61</w:t>
            </w:r>
            <w:r>
              <w:rPr>
                <w:b/>
                <w:bCs/>
                <w:color w:val="auto"/>
                <w:kern w:val="0"/>
                <w:u w:val="single"/>
              </w:rPr>
              <w:t>E-03</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5.21</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2.79</w:t>
            </w:r>
            <w:r>
              <w:rPr>
                <w:b/>
                <w:bCs/>
                <w:color w:val="auto"/>
                <w:kern w:val="0"/>
                <w:u w:val="single"/>
              </w:rPr>
              <w:t>E-0</w:t>
            </w:r>
            <w:r>
              <w:rPr>
                <w:rFonts w:hint="eastAsia"/>
                <w:b/>
                <w:bCs/>
                <w:color w:val="auto"/>
                <w:kern w:val="0"/>
                <w:u w:val="single"/>
              </w:rPr>
              <w:t>3</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0.62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rFonts w:hint="eastAsia"/>
                <w:color w:val="auto"/>
                <w:kern w:val="0"/>
              </w:rPr>
              <w:t>2</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highlight w:val="yellow"/>
              </w:rPr>
            </w:pPr>
            <w:r>
              <w:rPr>
                <w:color w:val="auto"/>
              </w:rPr>
              <w:t>获嘉县气象站</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kern w:val="0"/>
                <w:highlight w:val="yellow"/>
                <w:u w:val="single"/>
              </w:rPr>
            </w:pPr>
            <w:r>
              <w:rPr>
                <w:rFonts w:hint="eastAsia"/>
                <w:b/>
                <w:bCs/>
                <w:color w:val="auto"/>
                <w:u w:val="single"/>
              </w:rPr>
              <w:t>8.45</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rPr>
                <w:b/>
                <w:bCs/>
                <w:color w:val="auto"/>
                <w:kern w:val="0"/>
                <w:highlight w:val="yellow"/>
                <w:u w:val="single"/>
              </w:rPr>
            </w:pPr>
            <w:r>
              <w:rPr>
                <w:rFonts w:hint="eastAsia"/>
                <w:b/>
                <w:bCs/>
                <w:color w:val="auto"/>
                <w:u w:val="single"/>
              </w:rPr>
              <w:t>1.69</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kern w:val="0"/>
                <w:highlight w:val="yellow"/>
                <w:u w:val="single"/>
              </w:rPr>
            </w:pPr>
            <w:r>
              <w:rPr>
                <w:rFonts w:hint="eastAsia"/>
                <w:b/>
                <w:bCs/>
                <w:color w:val="auto"/>
                <w:u w:val="single"/>
              </w:rPr>
              <w:t>2.41E-03</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rPr>
                <w:b/>
                <w:bCs/>
                <w:color w:val="auto"/>
                <w:kern w:val="0"/>
                <w:highlight w:val="yellow"/>
                <w:u w:val="single"/>
              </w:rPr>
            </w:pPr>
            <w:r>
              <w:rPr>
                <w:rFonts w:hint="eastAsia"/>
                <w:b/>
                <w:bCs/>
                <w:color w:val="auto"/>
                <w:kern w:val="0"/>
                <w:u w:val="single"/>
              </w:rPr>
              <w:t>0.54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rFonts w:hint="eastAsia"/>
                <w:color w:val="auto"/>
                <w:kern w:val="0"/>
              </w:rPr>
              <w:t>3</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后李村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u w:val="single"/>
              </w:rPr>
              <w:t>7.80</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1.56</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2.36</w:t>
            </w:r>
            <w:r>
              <w:rPr>
                <w:b/>
                <w:bCs/>
                <w:color w:val="auto"/>
                <w:kern w:val="0"/>
                <w:u w:val="single"/>
              </w:rPr>
              <w:t>E-0</w:t>
            </w:r>
            <w:r>
              <w:rPr>
                <w:rFonts w:hint="eastAsia"/>
                <w:b/>
                <w:bCs/>
                <w:color w:val="auto"/>
                <w:kern w:val="0"/>
                <w:u w:val="single"/>
              </w:rPr>
              <w:t>3</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0.52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4</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彦当村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3.00</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0.6</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1.32</w:t>
            </w:r>
            <w:r>
              <w:rPr>
                <w:b/>
                <w:bCs/>
                <w:color w:val="auto"/>
                <w:u w:val="single"/>
              </w:rPr>
              <w:t>E-0</w:t>
            </w:r>
            <w:r>
              <w:rPr>
                <w:rFonts w:hint="eastAsia"/>
                <w:b/>
                <w:bCs/>
                <w:color w:val="auto"/>
                <w:u w:val="single"/>
              </w:rPr>
              <w:t>3</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0.29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5</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前寺庄村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2.90</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0.58</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1.29</w:t>
            </w:r>
            <w:r>
              <w:rPr>
                <w:b/>
                <w:bCs/>
                <w:color w:val="auto"/>
                <w:u w:val="single"/>
              </w:rPr>
              <w:t>E-0</w:t>
            </w:r>
            <w:r>
              <w:rPr>
                <w:rFonts w:hint="eastAsia"/>
                <w:b/>
                <w:bCs/>
                <w:color w:val="auto"/>
                <w:u w:val="single"/>
              </w:rPr>
              <w:t>3</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0.29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6</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获嘉县中专</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u w:val="single"/>
              </w:rPr>
              <w:t>2.16</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0.43</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1.00</w:t>
            </w:r>
            <w:r>
              <w:rPr>
                <w:b/>
                <w:bCs/>
                <w:color w:val="auto"/>
                <w:kern w:val="0"/>
                <w:u w:val="single"/>
              </w:rPr>
              <w:t>E-0</w:t>
            </w:r>
            <w:r>
              <w:rPr>
                <w:rFonts w:hint="eastAsia"/>
                <w:b/>
                <w:bCs/>
                <w:color w:val="auto"/>
                <w:kern w:val="0"/>
                <w:u w:val="single"/>
              </w:rPr>
              <w:t>3</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0.22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7</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桑庄村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1.88</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0.38</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8.83</w:t>
            </w:r>
            <w:r>
              <w:rPr>
                <w:b/>
                <w:bCs/>
                <w:color w:val="auto"/>
                <w:u w:val="single"/>
              </w:rPr>
              <w:t>E-04</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0.20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8</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后寺庄村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1.85</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0.37</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8.67</w:t>
            </w:r>
            <w:r>
              <w:rPr>
                <w:b/>
                <w:bCs/>
                <w:color w:val="auto"/>
                <w:u w:val="single"/>
              </w:rPr>
              <w:t>E-04</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0.19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color w:val="auto"/>
                <w:kern w:val="0"/>
              </w:rPr>
              <w:t>9</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孝合村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1.82</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0.36</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8.54</w:t>
            </w:r>
            <w:r>
              <w:rPr>
                <w:b/>
                <w:bCs/>
                <w:color w:val="auto"/>
                <w:u w:val="single"/>
              </w:rPr>
              <w:t>E-04</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0.19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28" w:type="dxa"/>
            <w:bottom w:w="0" w:type="dxa"/>
            <w:right w:w="28" w:type="dxa"/>
          </w:tblCellMar>
        </w:tblPrEx>
        <w:trPr>
          <w:trHeight w:val="425" w:hRule="atLeast"/>
          <w:jc w:val="center"/>
        </w:trPr>
        <w:tc>
          <w:tcPr>
            <w:tcW w:w="354"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rPr>
            </w:pPr>
            <w:r>
              <w:rPr>
                <w:rFonts w:hint="eastAsia"/>
                <w:color w:val="auto"/>
                <w:kern w:val="0"/>
              </w:rPr>
              <w:t>10</w:t>
            </w:r>
          </w:p>
        </w:tc>
        <w:tc>
          <w:tcPr>
            <w:tcW w:w="828" w:type="pct"/>
            <w:vAlign w:val="center"/>
          </w:tcPr>
          <w:p>
            <w:pPr>
              <w:keepNext w:val="0"/>
              <w:keepLines w:val="0"/>
              <w:pageBreakBefore w:val="0"/>
              <w:widowControl/>
              <w:kinsoku/>
              <w:wordWrap/>
              <w:overflowPunct/>
              <w:topLinePunct w:val="0"/>
              <w:autoSpaceDE/>
              <w:autoSpaceDN/>
              <w:bidi w:val="0"/>
              <w:adjustRightInd/>
              <w:snapToGrid/>
              <w:jc w:val="center"/>
              <w:rPr>
                <w:color w:val="auto"/>
              </w:rPr>
            </w:pPr>
            <w:r>
              <w:rPr>
                <w:color w:val="auto"/>
              </w:rPr>
              <w:t>东仓村</w:t>
            </w:r>
          </w:p>
        </w:tc>
        <w:tc>
          <w:tcPr>
            <w:tcW w:w="1031"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u w:val="single"/>
              </w:rPr>
              <w:t>1.75</w:t>
            </w:r>
            <w:r>
              <w:rPr>
                <w:b/>
                <w:bCs/>
                <w:color w:val="auto"/>
                <w:u w:val="single"/>
              </w:rPr>
              <w:t>E-0</w:t>
            </w:r>
            <w:r>
              <w:rPr>
                <w:rFonts w:hint="eastAsia"/>
                <w:b/>
                <w:bCs/>
                <w:color w:val="auto"/>
                <w:u w:val="single"/>
              </w:rPr>
              <w:t>4</w:t>
            </w:r>
          </w:p>
        </w:tc>
        <w:tc>
          <w:tcPr>
            <w:tcW w:w="93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0.35</w:t>
            </w:r>
          </w:p>
        </w:tc>
        <w:tc>
          <w:tcPr>
            <w:tcW w:w="1016"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b/>
                <w:bCs/>
                <w:color w:val="auto"/>
                <w:kern w:val="0"/>
                <w:u w:val="single"/>
              </w:rPr>
            </w:pPr>
            <w:r>
              <w:rPr>
                <w:rFonts w:hint="eastAsia"/>
                <w:b/>
                <w:bCs/>
                <w:color w:val="auto"/>
                <w:kern w:val="0"/>
                <w:u w:val="single"/>
              </w:rPr>
              <w:t>8.25</w:t>
            </w:r>
            <w:r>
              <w:rPr>
                <w:b/>
                <w:bCs/>
                <w:color w:val="auto"/>
                <w:kern w:val="0"/>
                <w:u w:val="single"/>
              </w:rPr>
              <w:t>E-04</w:t>
            </w:r>
          </w:p>
        </w:tc>
        <w:tc>
          <w:tcPr>
            <w:tcW w:w="833" w:type="pct"/>
            <w:vAlign w:val="center"/>
          </w:tcPr>
          <w:p>
            <w:pPr>
              <w:keepNext w:val="0"/>
              <w:keepLines w:val="0"/>
              <w:pageBreakBefore w:val="0"/>
              <w:widowControl/>
              <w:kinsoku/>
              <w:wordWrap/>
              <w:overflowPunct/>
              <w:topLinePunct w:val="0"/>
              <w:autoSpaceDE/>
              <w:autoSpaceDN/>
              <w:bidi w:val="0"/>
              <w:adjustRightInd/>
              <w:snapToGrid/>
              <w:jc w:val="center"/>
              <w:rPr>
                <w:b/>
                <w:bCs/>
                <w:color w:val="auto"/>
                <w:u w:val="single"/>
              </w:rPr>
            </w:pPr>
            <w:r>
              <w:rPr>
                <w:rFonts w:hint="eastAsia"/>
                <w:b/>
                <w:bCs/>
                <w:color w:val="auto"/>
                <w:u w:val="single"/>
              </w:rPr>
              <w:t>0.18</w:t>
            </w:r>
          </w:p>
        </w:tc>
      </w:tr>
    </w:tbl>
    <w:p>
      <w:pPr>
        <w:adjustRightInd w:val="0"/>
        <w:snapToGrid w:val="0"/>
        <w:spacing w:line="520" w:lineRule="exact"/>
        <w:ind w:firstLine="720" w:firstLineChars="300"/>
        <w:textAlignment w:val="baseline"/>
        <w:rPr>
          <w:color w:val="auto"/>
          <w:kern w:val="0"/>
          <w:sz w:val="24"/>
          <w:szCs w:val="20"/>
        </w:rPr>
      </w:pPr>
      <w:r>
        <w:rPr>
          <w:color w:val="auto"/>
          <w:kern w:val="0"/>
          <w:sz w:val="24"/>
          <w:szCs w:val="20"/>
        </w:rPr>
        <w:t>由上表可知，本项目生产过程中无组织面源排放中的氯化氢和颗粒物</w:t>
      </w:r>
      <w:r>
        <w:rPr>
          <w:rFonts w:hint="eastAsia"/>
          <w:color w:val="auto"/>
          <w:kern w:val="0"/>
          <w:sz w:val="24"/>
          <w:szCs w:val="20"/>
        </w:rPr>
        <w:t xml:space="preserve"> </w:t>
      </w:r>
      <w:r>
        <w:rPr>
          <w:color w:val="auto"/>
          <w:kern w:val="0"/>
          <w:sz w:val="24"/>
          <w:szCs w:val="20"/>
        </w:rPr>
        <w:t>在各个敏感点的浓度贡献值、占标率均较小，对各个关心点的环境影响不大。</w:t>
      </w:r>
    </w:p>
    <w:p>
      <w:pPr>
        <w:adjustRightInd w:val="0"/>
        <w:snapToGrid w:val="0"/>
        <w:spacing w:line="520" w:lineRule="exact"/>
        <w:textAlignment w:val="baseline"/>
        <w:rPr>
          <w:color w:val="auto"/>
          <w:kern w:val="0"/>
          <w:sz w:val="24"/>
          <w:szCs w:val="20"/>
        </w:rPr>
      </w:pPr>
      <w:bookmarkStart w:id="329" w:name="_Toc324839323"/>
      <w:bookmarkStart w:id="330" w:name="_Toc324839620"/>
      <w:r>
        <w:rPr>
          <w:color w:val="auto"/>
          <w:kern w:val="0"/>
          <w:sz w:val="24"/>
          <w:szCs w:val="20"/>
        </w:rPr>
        <w:t>（4）废气污染物厂界浓度预测</w:t>
      </w:r>
      <w:bookmarkEnd w:id="329"/>
      <w:bookmarkEnd w:id="330"/>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根据有组织、无组织排放源强及项目所在区域的气象特征，采用估算模式预测项目排放的颗粒物、SO</w:t>
      </w:r>
      <w:r>
        <w:rPr>
          <w:color w:val="auto"/>
          <w:kern w:val="0"/>
          <w:sz w:val="24"/>
          <w:szCs w:val="20"/>
          <w:vertAlign w:val="subscript"/>
        </w:rPr>
        <w:t>2</w:t>
      </w:r>
      <w:r>
        <w:rPr>
          <w:color w:val="auto"/>
          <w:kern w:val="0"/>
          <w:sz w:val="24"/>
          <w:szCs w:val="20"/>
        </w:rPr>
        <w:t>、NO</w:t>
      </w:r>
      <w:r>
        <w:rPr>
          <w:color w:val="auto"/>
          <w:kern w:val="0"/>
          <w:sz w:val="24"/>
          <w:szCs w:val="20"/>
          <w:vertAlign w:val="subscript"/>
        </w:rPr>
        <w:t>2</w:t>
      </w:r>
      <w:r>
        <w:rPr>
          <w:color w:val="auto"/>
          <w:kern w:val="0"/>
          <w:sz w:val="24"/>
          <w:szCs w:val="20"/>
        </w:rPr>
        <w:t>、氯化氢</w:t>
      </w:r>
      <w:r>
        <w:rPr>
          <w:rFonts w:hint="eastAsia"/>
          <w:color w:val="auto"/>
          <w:kern w:val="0"/>
          <w:sz w:val="24"/>
          <w:szCs w:val="20"/>
        </w:rPr>
        <w:t>、NH</w:t>
      </w:r>
      <w:r>
        <w:rPr>
          <w:rFonts w:hint="eastAsia"/>
          <w:color w:val="auto"/>
          <w:kern w:val="0"/>
          <w:sz w:val="24"/>
          <w:szCs w:val="20"/>
          <w:vertAlign w:val="subscript"/>
        </w:rPr>
        <w:t>3</w:t>
      </w:r>
      <w:r>
        <w:rPr>
          <w:rFonts w:hint="eastAsia"/>
          <w:color w:val="auto"/>
          <w:kern w:val="0"/>
          <w:sz w:val="24"/>
          <w:szCs w:val="20"/>
        </w:rPr>
        <w:t xml:space="preserve"> 和H</w:t>
      </w:r>
      <w:r>
        <w:rPr>
          <w:rFonts w:hint="eastAsia"/>
          <w:color w:val="auto"/>
          <w:kern w:val="0"/>
          <w:sz w:val="24"/>
          <w:szCs w:val="20"/>
          <w:vertAlign w:val="subscript"/>
        </w:rPr>
        <w:t>2</w:t>
      </w:r>
      <w:r>
        <w:rPr>
          <w:rFonts w:hint="eastAsia"/>
          <w:color w:val="auto"/>
          <w:kern w:val="0"/>
          <w:sz w:val="24"/>
          <w:szCs w:val="20"/>
        </w:rPr>
        <w:t>S</w:t>
      </w:r>
      <w:r>
        <w:rPr>
          <w:color w:val="auto"/>
          <w:kern w:val="0"/>
          <w:sz w:val="24"/>
          <w:szCs w:val="20"/>
        </w:rPr>
        <w:t>对各厂界的最大浓度贡献值，详见表5.1-19。</w:t>
      </w:r>
    </w:p>
    <w:p>
      <w:pPr>
        <w:adjustRightInd w:val="0"/>
        <w:snapToGrid w:val="0"/>
        <w:spacing w:line="520" w:lineRule="exact"/>
        <w:ind w:firstLine="720" w:firstLineChars="300"/>
        <w:textAlignment w:val="baseline"/>
        <w:rPr>
          <w:color w:val="auto"/>
          <w:kern w:val="0"/>
          <w:sz w:val="24"/>
          <w:szCs w:val="20"/>
        </w:rPr>
      </w:pPr>
    </w:p>
    <w:p>
      <w:pPr>
        <w:adjustRightInd w:val="0"/>
        <w:snapToGrid w:val="0"/>
        <w:spacing w:line="520" w:lineRule="exact"/>
        <w:ind w:firstLine="720" w:firstLineChars="300"/>
        <w:textAlignment w:val="baseline"/>
        <w:rPr>
          <w:color w:val="auto"/>
          <w:kern w:val="0"/>
          <w:sz w:val="24"/>
          <w:szCs w:val="20"/>
        </w:rPr>
        <w:sectPr>
          <w:pgSz w:w="11907" w:h="16840"/>
          <w:pgMar w:top="1440" w:right="1797" w:bottom="1440" w:left="1797" w:header="851" w:footer="992" w:gutter="0"/>
          <w:cols w:space="425" w:num="1"/>
          <w:docGrid w:linePitch="312" w:charSpace="0"/>
        </w:sectPr>
      </w:pPr>
    </w:p>
    <w:p>
      <w:pPr>
        <w:jc w:val="center"/>
        <w:rPr>
          <w:rFonts w:eastAsia="黑体"/>
          <w:color w:val="auto"/>
          <w:sz w:val="24"/>
          <w:szCs w:val="24"/>
        </w:rPr>
      </w:pPr>
      <w:r>
        <w:rPr>
          <w:rFonts w:eastAsia="黑体"/>
          <w:color w:val="auto"/>
          <w:sz w:val="24"/>
          <w:szCs w:val="24"/>
        </w:rPr>
        <w:t xml:space="preserve">表5.1-19 </w:t>
      </w:r>
      <w:r>
        <w:rPr>
          <w:rFonts w:hint="eastAsia" w:eastAsia="黑体"/>
          <w:color w:val="auto"/>
          <w:sz w:val="24"/>
          <w:szCs w:val="24"/>
        </w:rPr>
        <w:t xml:space="preserve"> </w:t>
      </w:r>
      <w:r>
        <w:rPr>
          <w:rFonts w:eastAsia="黑体"/>
          <w:color w:val="auto"/>
          <w:sz w:val="24"/>
          <w:szCs w:val="24"/>
        </w:rPr>
        <w:t>本项目污染源排放对厂界最大浓度预测值一览表 单位：mg/m</w:t>
      </w:r>
      <w:r>
        <w:rPr>
          <w:rFonts w:eastAsia="黑体"/>
          <w:color w:val="auto"/>
          <w:sz w:val="24"/>
          <w:szCs w:val="24"/>
          <w:vertAlign w:val="superscript"/>
        </w:rPr>
        <w:t>3</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381"/>
        <w:gridCol w:w="1841"/>
        <w:gridCol w:w="3265"/>
        <w:gridCol w:w="204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810" w:type="pct"/>
            <w:tcBorders>
              <w:top w:val="single" w:color="auto" w:sz="8" w:space="0"/>
              <w:left w:val="single" w:color="auto" w:sz="8" w:space="0"/>
              <w:bottom w:val="single" w:color="auto" w:sz="6" w:space="0"/>
              <w:right w:val="single" w:color="auto" w:sz="6" w:space="0"/>
            </w:tcBorders>
            <w:vAlign w:val="center"/>
          </w:tcPr>
          <w:p>
            <w:pPr>
              <w:jc w:val="center"/>
              <w:rPr>
                <w:color w:val="auto"/>
                <w:szCs w:val="20"/>
              </w:rPr>
            </w:pPr>
            <w:r>
              <w:rPr>
                <w:color w:val="auto"/>
                <w:szCs w:val="20"/>
              </w:rPr>
              <w:t>污染源</w:t>
            </w:r>
          </w:p>
        </w:tc>
        <w:tc>
          <w:tcPr>
            <w:tcW w:w="1079" w:type="pct"/>
            <w:tcBorders>
              <w:top w:val="single" w:color="auto" w:sz="8" w:space="0"/>
              <w:left w:val="single" w:color="auto" w:sz="6" w:space="0"/>
              <w:bottom w:val="single" w:color="auto" w:sz="6" w:space="0"/>
              <w:right w:val="single" w:color="auto" w:sz="6" w:space="0"/>
            </w:tcBorders>
            <w:vAlign w:val="center"/>
          </w:tcPr>
          <w:p>
            <w:pPr>
              <w:jc w:val="center"/>
              <w:rPr>
                <w:color w:val="auto"/>
                <w:szCs w:val="20"/>
              </w:rPr>
            </w:pPr>
            <w:r>
              <w:rPr>
                <w:color w:val="auto"/>
                <w:szCs w:val="20"/>
              </w:rPr>
              <w:t>厂界点</w:t>
            </w:r>
          </w:p>
        </w:tc>
        <w:tc>
          <w:tcPr>
            <w:tcW w:w="1914" w:type="pct"/>
            <w:tcBorders>
              <w:top w:val="single" w:color="auto" w:sz="8" w:space="0"/>
              <w:left w:val="single" w:color="auto" w:sz="6" w:space="0"/>
              <w:bottom w:val="single" w:color="auto" w:sz="6" w:space="0"/>
              <w:right w:val="single" w:color="auto" w:sz="8" w:space="0"/>
            </w:tcBorders>
            <w:vAlign w:val="center"/>
          </w:tcPr>
          <w:p>
            <w:pPr>
              <w:jc w:val="center"/>
              <w:rPr>
                <w:color w:val="auto"/>
                <w:szCs w:val="20"/>
              </w:rPr>
            </w:pPr>
            <w:r>
              <w:rPr>
                <w:color w:val="auto"/>
                <w:szCs w:val="20"/>
              </w:rPr>
              <w:t>厂界预测浓度</w:t>
            </w:r>
          </w:p>
        </w:tc>
        <w:tc>
          <w:tcPr>
            <w:tcW w:w="1197" w:type="pct"/>
            <w:tcBorders>
              <w:top w:val="single" w:color="auto" w:sz="8" w:space="0"/>
              <w:left w:val="single" w:color="auto" w:sz="6" w:space="0"/>
              <w:bottom w:val="single" w:color="auto" w:sz="6" w:space="0"/>
              <w:right w:val="single" w:color="auto" w:sz="8" w:space="0"/>
            </w:tcBorders>
            <w:vAlign w:val="center"/>
          </w:tcPr>
          <w:p>
            <w:pPr>
              <w:jc w:val="center"/>
              <w:rPr>
                <w:color w:val="auto"/>
                <w:szCs w:val="20"/>
              </w:rPr>
            </w:pPr>
            <w:r>
              <w:rPr>
                <w:color w:val="auto"/>
                <w:szCs w:val="20"/>
              </w:rPr>
              <w:t>达标分析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restart"/>
            <w:tcBorders>
              <w:top w:val="single" w:color="auto" w:sz="6" w:space="0"/>
              <w:left w:val="single" w:color="auto" w:sz="8" w:space="0"/>
              <w:right w:val="single" w:color="auto" w:sz="6" w:space="0"/>
            </w:tcBorders>
            <w:vAlign w:val="center"/>
          </w:tcPr>
          <w:p>
            <w:pPr>
              <w:jc w:val="center"/>
              <w:rPr>
                <w:color w:val="auto"/>
                <w:kern w:val="0"/>
              </w:rPr>
            </w:pPr>
            <w:r>
              <w:rPr>
                <w:b/>
                <w:bCs/>
                <w:color w:val="auto"/>
                <w:kern w:val="0"/>
                <w:u w:val="single"/>
              </w:rPr>
              <w:t>颗粒物</w:t>
            </w: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东厂界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rFonts w:hint="eastAsia"/>
                <w:b/>
                <w:bCs/>
                <w:color w:val="auto"/>
                <w:kern w:val="0"/>
                <w:u w:val="single"/>
              </w:rPr>
              <w:t>1.679E-02</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南厂界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rFonts w:hint="eastAsia"/>
                <w:b/>
                <w:bCs/>
                <w:color w:val="auto"/>
                <w:kern w:val="0"/>
                <w:u w:val="single"/>
              </w:rPr>
              <w:t>3.056E-03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西厂界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rFonts w:hint="eastAsia"/>
                <w:b/>
                <w:bCs/>
                <w:color w:val="auto"/>
                <w:kern w:val="0"/>
                <w:u w:val="single"/>
              </w:rPr>
              <w:t>1.126E-03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北厂界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rFonts w:hint="eastAsia"/>
                <w:b/>
                <w:bCs/>
                <w:color w:val="auto"/>
                <w:kern w:val="0"/>
                <w:u w:val="single"/>
              </w:rPr>
              <w:t>1.538E-02</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bottom w:val="single" w:color="auto" w:sz="6"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厂界标准</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1.0</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restart"/>
            <w:tcBorders>
              <w:top w:val="single" w:color="auto" w:sz="6" w:space="0"/>
              <w:left w:val="single" w:color="auto" w:sz="8" w:space="0"/>
              <w:right w:val="single" w:color="auto" w:sz="6" w:space="0"/>
            </w:tcBorders>
            <w:vAlign w:val="center"/>
          </w:tcPr>
          <w:p>
            <w:pPr>
              <w:contextualSpacing/>
              <w:jc w:val="center"/>
              <w:rPr>
                <w:color w:val="auto"/>
                <w:kern w:val="0"/>
              </w:rPr>
            </w:pPr>
            <w:r>
              <w:rPr>
                <w:color w:val="auto"/>
                <w:kern w:val="0"/>
              </w:rPr>
              <w:t>SO</w:t>
            </w:r>
            <w:r>
              <w:rPr>
                <w:color w:val="auto"/>
                <w:kern w:val="0"/>
                <w:vertAlign w:val="subscript"/>
              </w:rPr>
              <w:t>2</w:t>
            </w: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东厂界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2.68E-03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南厂界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2.7</w:t>
            </w:r>
            <w:r>
              <w:rPr>
                <w:color w:val="auto"/>
                <w:kern w:val="0"/>
              </w:rPr>
              <w:t>8E-03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西厂界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2.44</w:t>
            </w:r>
            <w:r>
              <w:rPr>
                <w:color w:val="auto"/>
                <w:kern w:val="0"/>
              </w:rPr>
              <w:t>E-</w:t>
            </w:r>
            <w:r>
              <w:rPr>
                <w:rFonts w:hint="eastAsia"/>
                <w:color w:val="auto"/>
                <w:kern w:val="0"/>
              </w:rPr>
              <w:t>18</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北厂界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1.75</w:t>
            </w:r>
            <w:r>
              <w:rPr>
                <w:color w:val="auto"/>
                <w:kern w:val="0"/>
              </w:rPr>
              <w:t>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bottom w:val="single" w:color="auto" w:sz="6"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厂界标准</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0.4</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restart"/>
            <w:tcBorders>
              <w:top w:val="single" w:color="auto" w:sz="6" w:space="0"/>
              <w:left w:val="single" w:color="auto" w:sz="8" w:space="0"/>
              <w:right w:val="single" w:color="auto" w:sz="6" w:space="0"/>
            </w:tcBorders>
            <w:vAlign w:val="center"/>
          </w:tcPr>
          <w:p>
            <w:pPr>
              <w:jc w:val="center"/>
              <w:rPr>
                <w:color w:val="auto"/>
                <w:kern w:val="0"/>
              </w:rPr>
            </w:pPr>
            <w:r>
              <w:rPr>
                <w:color w:val="auto"/>
                <w:kern w:val="0"/>
              </w:rPr>
              <w:t>NO</w:t>
            </w:r>
            <w:r>
              <w:rPr>
                <w:color w:val="auto"/>
                <w:kern w:val="0"/>
                <w:vertAlign w:val="subscript"/>
              </w:rPr>
              <w:t>2</w:t>
            </w: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东厂界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8.11E-03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南厂界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8.19</w:t>
            </w:r>
            <w:r>
              <w:rPr>
                <w:color w:val="auto"/>
                <w:kern w:val="0"/>
              </w:rPr>
              <w:t>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西厂界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7.40</w:t>
            </w:r>
            <w:r>
              <w:rPr>
                <w:color w:val="auto"/>
                <w:kern w:val="0"/>
              </w:rPr>
              <w:t>E-</w:t>
            </w:r>
            <w:r>
              <w:rPr>
                <w:rFonts w:hint="eastAsia"/>
                <w:color w:val="auto"/>
                <w:kern w:val="0"/>
              </w:rPr>
              <w:t>18</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北厂界</w:t>
            </w:r>
          </w:p>
        </w:tc>
        <w:tc>
          <w:tcPr>
            <w:tcW w:w="1914"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rFonts w:hint="eastAsia"/>
                <w:color w:val="auto"/>
                <w:kern w:val="0"/>
              </w:rPr>
              <w:t>5.26</w:t>
            </w:r>
            <w:r>
              <w:rPr>
                <w:color w:val="auto"/>
                <w:kern w:val="0"/>
              </w:rPr>
              <w:t>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color w:val="auto"/>
                <w:kern w:val="0"/>
              </w:rPr>
            </w:pPr>
            <w:r>
              <w:rPr>
                <w:color w:val="auto"/>
                <w:kern w:val="0"/>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bottom w:val="single" w:color="auto" w:sz="6"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color w:val="auto"/>
                <w:kern w:val="0"/>
              </w:rPr>
            </w:pPr>
            <w:r>
              <w:rPr>
                <w:color w:val="auto"/>
                <w:kern w:val="0"/>
              </w:rPr>
              <w:t>厂界标准</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color w:val="auto"/>
                <w:kern w:val="0"/>
              </w:rPr>
            </w:pPr>
            <w:r>
              <w:rPr>
                <w:color w:val="auto"/>
                <w:kern w:val="0"/>
              </w:rPr>
              <w:t>0.12</w:t>
            </w:r>
          </w:p>
        </w:tc>
        <w:tc>
          <w:tcPr>
            <w:tcW w:w="1197" w:type="pct"/>
            <w:tcBorders>
              <w:top w:val="single" w:color="auto" w:sz="6" w:space="0"/>
              <w:left w:val="single" w:color="auto" w:sz="6" w:space="0"/>
              <w:bottom w:val="single" w:color="auto" w:sz="6" w:space="0"/>
              <w:right w:val="single" w:color="auto" w:sz="8" w:space="0"/>
            </w:tcBorders>
            <w:vAlign w:val="center"/>
          </w:tcPr>
          <w:p>
            <w:pPr>
              <w:jc w:val="center"/>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restart"/>
            <w:tcBorders>
              <w:top w:val="single" w:color="auto" w:sz="6" w:space="0"/>
              <w:left w:val="single" w:color="auto" w:sz="8" w:space="0"/>
              <w:right w:val="single" w:color="auto" w:sz="6" w:space="0"/>
            </w:tcBorders>
            <w:vAlign w:val="center"/>
          </w:tcPr>
          <w:p>
            <w:pPr>
              <w:jc w:val="center"/>
              <w:rPr>
                <w:b/>
                <w:bCs/>
                <w:color w:val="auto"/>
                <w:kern w:val="0"/>
                <w:u w:val="single"/>
              </w:rPr>
            </w:pPr>
            <w:r>
              <w:rPr>
                <w:b/>
                <w:bCs/>
                <w:color w:val="auto"/>
                <w:kern w:val="0"/>
                <w:u w:val="single"/>
              </w:rPr>
              <w:t>HCl</w:t>
            </w: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东厂界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5.27E-03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南厂界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7.05E-03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西厂界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3.86E-03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北厂界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4.06E-03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bottom w:val="single" w:color="auto" w:sz="6"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厂界标准</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0.2</w:t>
            </w:r>
          </w:p>
        </w:tc>
        <w:tc>
          <w:tcPr>
            <w:tcW w:w="1197"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restart"/>
            <w:tcBorders>
              <w:top w:val="single" w:color="auto" w:sz="6" w:space="0"/>
              <w:left w:val="single" w:color="auto" w:sz="8" w:space="0"/>
              <w:right w:val="single" w:color="auto" w:sz="6" w:space="0"/>
            </w:tcBorders>
            <w:vAlign w:val="center"/>
          </w:tcPr>
          <w:p>
            <w:pPr>
              <w:jc w:val="center"/>
              <w:rPr>
                <w:b/>
                <w:bCs/>
                <w:color w:val="auto"/>
                <w:kern w:val="0"/>
                <w:u w:val="single"/>
              </w:rPr>
            </w:pPr>
            <w:r>
              <w:rPr>
                <w:rFonts w:hint="eastAsia"/>
                <w:b/>
                <w:bCs/>
                <w:color w:val="auto"/>
                <w:kern w:val="0"/>
                <w:u w:val="single"/>
              </w:rPr>
              <w:t>NH</w:t>
            </w:r>
            <w:r>
              <w:rPr>
                <w:rFonts w:hint="eastAsia"/>
                <w:b/>
                <w:bCs/>
                <w:color w:val="auto"/>
                <w:kern w:val="0"/>
                <w:u w:val="single"/>
                <w:vertAlign w:val="subscript"/>
              </w:rPr>
              <w:t>3</w:t>
            </w: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东厂界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3.08E-03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南厂界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u w:val="single"/>
              </w:rPr>
            </w:pPr>
            <w:r>
              <w:rPr>
                <w:rFonts w:hint="eastAsia"/>
                <w:b/>
                <w:bCs/>
                <w:color w:val="auto"/>
                <w:kern w:val="0"/>
                <w:u w:val="single"/>
              </w:rPr>
              <w:t>3.14E-03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西厂界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u w:val="single"/>
              </w:rPr>
            </w:pPr>
            <w:r>
              <w:rPr>
                <w:rFonts w:hint="eastAsia"/>
                <w:b/>
                <w:bCs/>
                <w:color w:val="auto"/>
                <w:kern w:val="0"/>
                <w:u w:val="single"/>
              </w:rPr>
              <w:t>4.44E-20</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北厂界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u w:val="single"/>
              </w:rPr>
            </w:pPr>
            <w:r>
              <w:rPr>
                <w:rFonts w:hint="eastAsia"/>
                <w:b/>
                <w:bCs/>
                <w:color w:val="auto"/>
                <w:kern w:val="0"/>
                <w:u w:val="single"/>
              </w:rPr>
              <w:t>2.12E-03</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bottom w:val="single" w:color="auto" w:sz="6" w:space="0"/>
              <w:right w:val="single" w:color="auto" w:sz="6" w:space="0"/>
            </w:tcBorders>
            <w:vAlign w:val="center"/>
          </w:tcPr>
          <w:p>
            <w:pPr>
              <w:jc w:val="center"/>
              <w:rPr>
                <w:b/>
                <w:bCs/>
                <w:color w:val="auto"/>
                <w:kern w:val="0"/>
                <w:u w:val="single"/>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厂界标准</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1.5</w:t>
            </w:r>
          </w:p>
        </w:tc>
        <w:tc>
          <w:tcPr>
            <w:tcW w:w="1197"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restart"/>
            <w:tcBorders>
              <w:top w:val="single" w:color="auto" w:sz="6" w:space="0"/>
              <w:left w:val="single" w:color="auto" w:sz="8" w:space="0"/>
              <w:right w:val="single" w:color="auto" w:sz="6" w:space="0"/>
            </w:tcBorders>
            <w:vAlign w:val="center"/>
          </w:tcPr>
          <w:p>
            <w:pPr>
              <w:jc w:val="center"/>
              <w:rPr>
                <w:b/>
                <w:bCs/>
                <w:color w:val="auto"/>
                <w:kern w:val="0"/>
                <w:u w:val="single"/>
              </w:rPr>
            </w:pPr>
            <w:r>
              <w:rPr>
                <w:rFonts w:hint="eastAsia"/>
                <w:b/>
                <w:bCs/>
                <w:color w:val="auto"/>
                <w:kern w:val="0"/>
                <w:u w:val="single"/>
              </w:rPr>
              <w:t>H</w:t>
            </w:r>
            <w:r>
              <w:rPr>
                <w:rFonts w:hint="eastAsia"/>
                <w:b/>
                <w:bCs/>
                <w:color w:val="auto"/>
                <w:kern w:val="0"/>
                <w:u w:val="single"/>
                <w:vertAlign w:val="subscript"/>
              </w:rPr>
              <w:t>2</w:t>
            </w:r>
            <w:r>
              <w:rPr>
                <w:rFonts w:hint="eastAsia"/>
                <w:b/>
                <w:bCs/>
                <w:color w:val="auto"/>
                <w:kern w:val="0"/>
                <w:u w:val="single"/>
              </w:rPr>
              <w:t>S</w:t>
            </w: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东厂界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u w:val="single"/>
              </w:rPr>
            </w:pPr>
            <w:r>
              <w:rPr>
                <w:rFonts w:hint="eastAsia"/>
                <w:b/>
                <w:bCs/>
                <w:color w:val="auto"/>
                <w:kern w:val="0"/>
                <w:u w:val="single"/>
              </w:rPr>
              <w:t>2.20E-05</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南厂界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2.25E-05</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西厂界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3.18E-22</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北厂界</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1.59E-05</w:t>
            </w:r>
          </w:p>
        </w:tc>
        <w:tc>
          <w:tcPr>
            <w:tcW w:w="1197" w:type="pct"/>
            <w:tcBorders>
              <w:top w:val="single" w:color="auto" w:sz="6" w:space="0"/>
              <w:left w:val="single" w:color="auto" w:sz="6" w:space="0"/>
              <w:bottom w:val="single" w:color="auto" w:sz="6" w:space="0"/>
              <w:right w:val="single" w:color="auto" w:sz="8" w:space="0"/>
            </w:tcBorders>
            <w:vAlign w:val="center"/>
          </w:tcPr>
          <w:p>
            <w:pPr>
              <w:contextualSpacing/>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10" w:type="pct"/>
            <w:vMerge w:val="continue"/>
            <w:tcBorders>
              <w:left w:val="single" w:color="auto" w:sz="8" w:space="0"/>
              <w:bottom w:val="single" w:color="auto" w:sz="6" w:space="0"/>
              <w:right w:val="single" w:color="auto" w:sz="6" w:space="0"/>
            </w:tcBorders>
            <w:vAlign w:val="center"/>
          </w:tcPr>
          <w:p>
            <w:pPr>
              <w:jc w:val="center"/>
              <w:rPr>
                <w:color w:val="auto"/>
                <w:kern w:val="0"/>
              </w:rPr>
            </w:pPr>
          </w:p>
        </w:tc>
        <w:tc>
          <w:tcPr>
            <w:tcW w:w="1079"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厂界标准</w:t>
            </w:r>
          </w:p>
        </w:tc>
        <w:tc>
          <w:tcPr>
            <w:tcW w:w="1914"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rFonts w:hint="eastAsia"/>
                <w:b/>
                <w:bCs/>
                <w:color w:val="auto"/>
                <w:kern w:val="0"/>
                <w:u w:val="single"/>
              </w:rPr>
              <w:t>0.06</w:t>
            </w:r>
          </w:p>
        </w:tc>
        <w:tc>
          <w:tcPr>
            <w:tcW w:w="1197" w:type="pct"/>
            <w:tcBorders>
              <w:top w:val="single" w:color="auto" w:sz="6" w:space="0"/>
              <w:left w:val="single" w:color="auto" w:sz="6" w:space="0"/>
              <w:bottom w:val="single" w:color="auto" w:sz="6" w:space="0"/>
              <w:right w:val="single" w:color="auto" w:sz="8" w:space="0"/>
            </w:tcBorders>
            <w:vAlign w:val="center"/>
          </w:tcPr>
          <w:p>
            <w:pPr>
              <w:jc w:val="center"/>
              <w:rPr>
                <w:b/>
                <w:bCs/>
                <w:color w:val="auto"/>
                <w:kern w:val="0"/>
                <w:u w:val="single"/>
              </w:rPr>
            </w:pPr>
            <w:r>
              <w:rPr>
                <w:b/>
                <w:bCs/>
                <w:color w:val="auto"/>
                <w:kern w:val="0"/>
                <w:u w:val="single"/>
              </w:rPr>
              <w:t>/</w:t>
            </w:r>
          </w:p>
        </w:tc>
      </w:tr>
    </w:tbl>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由上表可知，本工程排放的污染物在各厂界的最大贡献浓度值各均能满足相应的周界外浓度最大点厂界排放标准要求。</w:t>
      </w:r>
    </w:p>
    <w:p>
      <w:pPr>
        <w:adjustRightInd w:val="0"/>
        <w:snapToGrid w:val="0"/>
        <w:spacing w:after="120" w:afterLines="50" w:line="520" w:lineRule="exact"/>
        <w:textAlignment w:val="baseline"/>
        <w:rPr>
          <w:color w:val="auto"/>
          <w:kern w:val="0"/>
          <w:sz w:val="24"/>
          <w:szCs w:val="20"/>
        </w:rPr>
      </w:pPr>
      <w:bookmarkStart w:id="331" w:name="_Toc324839621"/>
      <w:bookmarkStart w:id="332" w:name="_Toc324839324"/>
      <w:r>
        <w:rPr>
          <w:color w:val="auto"/>
          <w:kern w:val="0"/>
          <w:sz w:val="24"/>
          <w:szCs w:val="20"/>
        </w:rPr>
        <w:t>（5）大气环境防护距离</w:t>
      </w:r>
      <w:bookmarkEnd w:id="331"/>
      <w:bookmarkEnd w:id="332"/>
    </w:p>
    <w:p>
      <w:pPr>
        <w:adjustRightInd w:val="0"/>
        <w:snapToGrid w:val="0"/>
        <w:spacing w:line="360" w:lineRule="auto"/>
        <w:ind w:firstLine="480" w:firstLineChars="200"/>
        <w:rPr>
          <w:color w:val="auto"/>
          <w:kern w:val="21"/>
          <w:sz w:val="24"/>
          <w:szCs w:val="24"/>
          <w:lang w:val="zh-CN"/>
        </w:rPr>
      </w:pPr>
      <w:r>
        <w:rPr>
          <w:color w:val="auto"/>
          <w:kern w:val="21"/>
          <w:sz w:val="24"/>
          <w:szCs w:val="24"/>
          <w:lang w:val="zh-CN"/>
        </w:rPr>
        <w:t>根据《环境影响评价技术导则</w:t>
      </w:r>
      <w:r>
        <w:rPr>
          <w:color w:val="auto"/>
          <w:kern w:val="21"/>
          <w:sz w:val="24"/>
          <w:szCs w:val="24"/>
        </w:rPr>
        <w:t xml:space="preserve">  </w:t>
      </w:r>
      <w:r>
        <w:rPr>
          <w:color w:val="auto"/>
          <w:kern w:val="21"/>
          <w:sz w:val="24"/>
          <w:szCs w:val="24"/>
          <w:lang w:val="zh-CN"/>
        </w:rPr>
        <w:t>大气环境》（HJ2.2</w:t>
      </w:r>
      <w:r>
        <w:rPr>
          <w:color w:val="auto"/>
          <w:kern w:val="21"/>
          <w:sz w:val="24"/>
          <w:szCs w:val="24"/>
        </w:rPr>
        <w:t>-</w:t>
      </w:r>
      <w:r>
        <w:rPr>
          <w:color w:val="auto"/>
          <w:kern w:val="21"/>
          <w:sz w:val="24"/>
          <w:szCs w:val="24"/>
          <w:lang w:val="zh-CN"/>
        </w:rPr>
        <w:t>2018）中关于大气环境防护距离确定方法的规定，厂界污染物浓度限值满足环境质量标准的不再设置大气环境防护距离。计算参数及结果见表5</w:t>
      </w:r>
      <w:r>
        <w:rPr>
          <w:color w:val="auto"/>
          <w:kern w:val="21"/>
          <w:sz w:val="24"/>
          <w:szCs w:val="24"/>
        </w:rPr>
        <w:t>.1-20</w:t>
      </w:r>
      <w:r>
        <w:rPr>
          <w:color w:val="auto"/>
          <w:kern w:val="21"/>
          <w:sz w:val="24"/>
          <w:szCs w:val="24"/>
          <w:lang w:val="zh-CN"/>
        </w:rPr>
        <w:t>。</w:t>
      </w:r>
    </w:p>
    <w:p>
      <w:pPr>
        <w:jc w:val="center"/>
        <w:rPr>
          <w:rFonts w:eastAsia="黑体"/>
          <w:color w:val="auto"/>
          <w:sz w:val="24"/>
          <w:szCs w:val="24"/>
        </w:rPr>
      </w:pPr>
      <w:r>
        <w:rPr>
          <w:rFonts w:eastAsia="黑体"/>
          <w:color w:val="auto"/>
          <w:sz w:val="24"/>
          <w:szCs w:val="24"/>
        </w:rPr>
        <w:t xml:space="preserve">  表5.1-20  项目大气环境防护距离计算参数及结果</w:t>
      </w:r>
    </w:p>
    <w:tbl>
      <w:tblPr>
        <w:tblStyle w:val="83"/>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6"/>
        <w:gridCol w:w="780"/>
        <w:gridCol w:w="1080"/>
        <w:gridCol w:w="1035"/>
        <w:gridCol w:w="720"/>
        <w:gridCol w:w="660"/>
        <w:gridCol w:w="885"/>
        <w:gridCol w:w="1170"/>
        <w:gridCol w:w="14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6" w:type="dxa"/>
            <w:vAlign w:val="center"/>
          </w:tcPr>
          <w:p>
            <w:pPr>
              <w:adjustRightInd w:val="0"/>
              <w:snapToGrid w:val="0"/>
              <w:jc w:val="center"/>
              <w:rPr>
                <w:b/>
                <w:color w:val="auto"/>
                <w:kern w:val="21"/>
                <w:szCs w:val="24"/>
              </w:rPr>
            </w:pPr>
            <w:r>
              <w:rPr>
                <w:b/>
                <w:color w:val="auto"/>
                <w:kern w:val="21"/>
                <w:szCs w:val="24"/>
              </w:rPr>
              <w:t>污染源</w:t>
            </w:r>
          </w:p>
        </w:tc>
        <w:tc>
          <w:tcPr>
            <w:tcW w:w="780" w:type="dxa"/>
            <w:vAlign w:val="center"/>
          </w:tcPr>
          <w:p>
            <w:pPr>
              <w:adjustRightInd w:val="0"/>
              <w:snapToGrid w:val="0"/>
              <w:jc w:val="center"/>
              <w:rPr>
                <w:b/>
                <w:color w:val="auto"/>
                <w:kern w:val="21"/>
                <w:szCs w:val="24"/>
              </w:rPr>
            </w:pPr>
            <w:r>
              <w:rPr>
                <w:b/>
                <w:color w:val="auto"/>
                <w:kern w:val="21"/>
                <w:szCs w:val="24"/>
              </w:rPr>
              <w:t>污染物</w:t>
            </w:r>
          </w:p>
        </w:tc>
        <w:tc>
          <w:tcPr>
            <w:tcW w:w="1080" w:type="dxa"/>
            <w:vAlign w:val="center"/>
          </w:tcPr>
          <w:p>
            <w:pPr>
              <w:adjustRightInd w:val="0"/>
              <w:snapToGrid w:val="0"/>
              <w:jc w:val="center"/>
              <w:rPr>
                <w:b/>
                <w:color w:val="auto"/>
                <w:kern w:val="21"/>
                <w:szCs w:val="24"/>
              </w:rPr>
            </w:pPr>
            <w:r>
              <w:rPr>
                <w:b/>
                <w:color w:val="auto"/>
                <w:kern w:val="21"/>
                <w:szCs w:val="24"/>
              </w:rPr>
              <w:t>排放速率</w:t>
            </w:r>
          </w:p>
          <w:p>
            <w:pPr>
              <w:adjustRightInd w:val="0"/>
              <w:snapToGrid w:val="0"/>
              <w:jc w:val="center"/>
              <w:rPr>
                <w:b/>
                <w:color w:val="auto"/>
                <w:kern w:val="21"/>
                <w:szCs w:val="24"/>
              </w:rPr>
            </w:pPr>
            <w:r>
              <w:rPr>
                <w:b/>
                <w:color w:val="auto"/>
                <w:kern w:val="21"/>
                <w:szCs w:val="24"/>
              </w:rPr>
              <w:t>（kg/h）</w:t>
            </w:r>
          </w:p>
        </w:tc>
        <w:tc>
          <w:tcPr>
            <w:tcW w:w="1035" w:type="dxa"/>
            <w:vAlign w:val="center"/>
          </w:tcPr>
          <w:p>
            <w:pPr>
              <w:adjustRightInd w:val="0"/>
              <w:snapToGrid w:val="0"/>
              <w:jc w:val="center"/>
              <w:rPr>
                <w:b/>
                <w:color w:val="auto"/>
                <w:kern w:val="21"/>
                <w:szCs w:val="24"/>
              </w:rPr>
            </w:pPr>
            <w:r>
              <w:rPr>
                <w:b/>
                <w:color w:val="auto"/>
                <w:kern w:val="21"/>
                <w:szCs w:val="24"/>
              </w:rPr>
              <w:t>评价标准</w:t>
            </w:r>
          </w:p>
          <w:p>
            <w:pPr>
              <w:adjustRightInd w:val="0"/>
              <w:snapToGrid w:val="0"/>
              <w:jc w:val="center"/>
              <w:rPr>
                <w:b/>
                <w:color w:val="auto"/>
                <w:kern w:val="21"/>
                <w:szCs w:val="24"/>
              </w:rPr>
            </w:pPr>
            <w:r>
              <w:rPr>
                <w:b/>
                <w:color w:val="auto"/>
                <w:kern w:val="21"/>
                <w:szCs w:val="24"/>
              </w:rPr>
              <w:t>（mg/m</w:t>
            </w:r>
            <w:r>
              <w:rPr>
                <w:b/>
                <w:color w:val="auto"/>
                <w:kern w:val="21"/>
                <w:szCs w:val="24"/>
                <w:vertAlign w:val="superscript"/>
              </w:rPr>
              <w:t>3</w:t>
            </w:r>
            <w:r>
              <w:rPr>
                <w:b/>
                <w:color w:val="auto"/>
                <w:kern w:val="21"/>
                <w:szCs w:val="24"/>
              </w:rPr>
              <w:t>）</w:t>
            </w:r>
          </w:p>
        </w:tc>
        <w:tc>
          <w:tcPr>
            <w:tcW w:w="720" w:type="dxa"/>
            <w:vAlign w:val="center"/>
          </w:tcPr>
          <w:p>
            <w:pPr>
              <w:adjustRightInd w:val="0"/>
              <w:snapToGrid w:val="0"/>
              <w:jc w:val="center"/>
              <w:rPr>
                <w:b/>
                <w:color w:val="auto"/>
                <w:kern w:val="21"/>
                <w:szCs w:val="24"/>
              </w:rPr>
            </w:pPr>
            <w:r>
              <w:rPr>
                <w:b/>
                <w:color w:val="auto"/>
                <w:kern w:val="21"/>
                <w:szCs w:val="24"/>
              </w:rPr>
              <w:t>长度</w:t>
            </w:r>
          </w:p>
          <w:p>
            <w:pPr>
              <w:adjustRightInd w:val="0"/>
              <w:snapToGrid w:val="0"/>
              <w:jc w:val="center"/>
              <w:rPr>
                <w:b/>
                <w:color w:val="auto"/>
                <w:kern w:val="21"/>
                <w:szCs w:val="24"/>
              </w:rPr>
            </w:pPr>
            <w:r>
              <w:rPr>
                <w:b/>
                <w:color w:val="auto"/>
                <w:kern w:val="21"/>
                <w:szCs w:val="24"/>
              </w:rPr>
              <w:t>（m）</w:t>
            </w:r>
          </w:p>
        </w:tc>
        <w:tc>
          <w:tcPr>
            <w:tcW w:w="660" w:type="dxa"/>
            <w:vAlign w:val="center"/>
          </w:tcPr>
          <w:p>
            <w:pPr>
              <w:adjustRightInd w:val="0"/>
              <w:snapToGrid w:val="0"/>
              <w:jc w:val="center"/>
              <w:rPr>
                <w:b/>
                <w:color w:val="auto"/>
                <w:kern w:val="21"/>
                <w:szCs w:val="24"/>
              </w:rPr>
            </w:pPr>
            <w:r>
              <w:rPr>
                <w:b/>
                <w:color w:val="auto"/>
                <w:kern w:val="21"/>
                <w:szCs w:val="24"/>
              </w:rPr>
              <w:t>宽度</w:t>
            </w:r>
          </w:p>
          <w:p>
            <w:pPr>
              <w:adjustRightInd w:val="0"/>
              <w:snapToGrid w:val="0"/>
              <w:jc w:val="center"/>
              <w:rPr>
                <w:b/>
                <w:color w:val="auto"/>
                <w:kern w:val="21"/>
                <w:szCs w:val="24"/>
              </w:rPr>
            </w:pPr>
            <w:r>
              <w:rPr>
                <w:b/>
                <w:color w:val="auto"/>
                <w:kern w:val="21"/>
                <w:szCs w:val="24"/>
              </w:rPr>
              <w:t>（m）</w:t>
            </w:r>
          </w:p>
        </w:tc>
        <w:tc>
          <w:tcPr>
            <w:tcW w:w="885" w:type="dxa"/>
            <w:vAlign w:val="center"/>
          </w:tcPr>
          <w:p>
            <w:pPr>
              <w:adjustRightInd w:val="0"/>
              <w:snapToGrid w:val="0"/>
              <w:jc w:val="center"/>
              <w:rPr>
                <w:b/>
                <w:color w:val="auto"/>
                <w:kern w:val="21"/>
                <w:szCs w:val="24"/>
              </w:rPr>
            </w:pPr>
            <w:r>
              <w:rPr>
                <w:b/>
                <w:color w:val="auto"/>
                <w:kern w:val="21"/>
                <w:szCs w:val="24"/>
              </w:rPr>
              <w:t>有效高度</w:t>
            </w:r>
          </w:p>
          <w:p>
            <w:pPr>
              <w:adjustRightInd w:val="0"/>
              <w:snapToGrid w:val="0"/>
              <w:jc w:val="center"/>
              <w:rPr>
                <w:b/>
                <w:color w:val="auto"/>
                <w:kern w:val="21"/>
                <w:szCs w:val="24"/>
              </w:rPr>
            </w:pPr>
            <w:r>
              <w:rPr>
                <w:b/>
                <w:color w:val="auto"/>
                <w:kern w:val="21"/>
                <w:szCs w:val="24"/>
              </w:rPr>
              <w:t>（m）</w:t>
            </w:r>
          </w:p>
        </w:tc>
        <w:tc>
          <w:tcPr>
            <w:tcW w:w="1170" w:type="dxa"/>
            <w:vAlign w:val="center"/>
          </w:tcPr>
          <w:p>
            <w:pPr>
              <w:adjustRightInd w:val="0"/>
              <w:snapToGrid w:val="0"/>
              <w:jc w:val="center"/>
              <w:rPr>
                <w:b/>
                <w:color w:val="auto"/>
                <w:kern w:val="21"/>
                <w:szCs w:val="24"/>
              </w:rPr>
            </w:pPr>
            <w:r>
              <w:rPr>
                <w:b/>
                <w:color w:val="auto"/>
                <w:kern w:val="21"/>
                <w:szCs w:val="24"/>
              </w:rPr>
              <w:t>厂界最大值</w:t>
            </w:r>
          </w:p>
          <w:p>
            <w:pPr>
              <w:adjustRightInd w:val="0"/>
              <w:snapToGrid w:val="0"/>
              <w:jc w:val="center"/>
              <w:rPr>
                <w:b/>
                <w:color w:val="auto"/>
                <w:kern w:val="21"/>
                <w:szCs w:val="24"/>
              </w:rPr>
            </w:pPr>
            <w:r>
              <w:rPr>
                <w:b/>
                <w:color w:val="auto"/>
                <w:kern w:val="21"/>
                <w:szCs w:val="24"/>
              </w:rPr>
              <w:t>（mg/m</w:t>
            </w:r>
            <w:r>
              <w:rPr>
                <w:b/>
                <w:color w:val="auto"/>
                <w:kern w:val="21"/>
                <w:szCs w:val="24"/>
                <w:vertAlign w:val="superscript"/>
              </w:rPr>
              <w:t>3</w:t>
            </w:r>
            <w:r>
              <w:rPr>
                <w:b/>
                <w:color w:val="auto"/>
                <w:kern w:val="21"/>
                <w:szCs w:val="24"/>
              </w:rPr>
              <w:t>）</w:t>
            </w:r>
          </w:p>
        </w:tc>
        <w:tc>
          <w:tcPr>
            <w:tcW w:w="1428" w:type="dxa"/>
            <w:vAlign w:val="center"/>
          </w:tcPr>
          <w:p>
            <w:pPr>
              <w:adjustRightInd w:val="0"/>
              <w:snapToGrid w:val="0"/>
              <w:jc w:val="center"/>
              <w:rPr>
                <w:b/>
                <w:color w:val="auto"/>
                <w:kern w:val="21"/>
                <w:szCs w:val="24"/>
              </w:rPr>
            </w:pPr>
            <w:r>
              <w:rPr>
                <w:b/>
                <w:color w:val="auto"/>
                <w:kern w:val="21"/>
                <w:szCs w:val="24"/>
              </w:rPr>
              <w:t>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5" w:hRule="atLeast"/>
          <w:jc w:val="center"/>
        </w:trPr>
        <w:tc>
          <w:tcPr>
            <w:tcW w:w="746" w:type="dxa"/>
            <w:vAlign w:val="center"/>
          </w:tcPr>
          <w:p>
            <w:pPr>
              <w:adjustRightInd w:val="0"/>
              <w:snapToGrid w:val="0"/>
              <w:jc w:val="center"/>
              <w:rPr>
                <w:b/>
                <w:bCs/>
                <w:color w:val="auto"/>
                <w:kern w:val="21"/>
                <w:szCs w:val="24"/>
                <w:u w:val="single"/>
              </w:rPr>
            </w:pPr>
            <w:r>
              <w:rPr>
                <w:b/>
                <w:bCs/>
                <w:color w:val="auto"/>
                <w:kern w:val="21"/>
                <w:szCs w:val="24"/>
                <w:u w:val="single"/>
              </w:rPr>
              <w:t>北</w:t>
            </w:r>
            <w:r>
              <w:rPr>
                <w:rFonts w:hint="eastAsia"/>
                <w:b/>
                <w:bCs/>
                <w:color w:val="auto"/>
                <w:kern w:val="21"/>
                <w:szCs w:val="24"/>
                <w:u w:val="single"/>
                <w:lang w:eastAsia="zh-CN"/>
              </w:rPr>
              <w:t>厂房</w:t>
            </w:r>
          </w:p>
        </w:tc>
        <w:tc>
          <w:tcPr>
            <w:tcW w:w="780" w:type="dxa"/>
            <w:vAlign w:val="center"/>
          </w:tcPr>
          <w:p>
            <w:pPr>
              <w:adjustRightInd w:val="0"/>
              <w:snapToGrid w:val="0"/>
              <w:jc w:val="center"/>
              <w:rPr>
                <w:b/>
                <w:bCs/>
                <w:color w:val="auto"/>
                <w:kern w:val="21"/>
                <w:szCs w:val="24"/>
                <w:u w:val="single"/>
              </w:rPr>
            </w:pPr>
            <w:r>
              <w:rPr>
                <w:b/>
                <w:bCs/>
                <w:color w:val="auto"/>
                <w:kern w:val="21"/>
                <w:u w:val="single"/>
              </w:rPr>
              <w:t>氯化氢</w:t>
            </w:r>
          </w:p>
        </w:tc>
        <w:tc>
          <w:tcPr>
            <w:tcW w:w="1080" w:type="dxa"/>
            <w:vAlign w:val="center"/>
          </w:tcPr>
          <w:p>
            <w:pPr>
              <w:adjustRightInd w:val="0"/>
              <w:snapToGrid w:val="0"/>
              <w:jc w:val="center"/>
              <w:rPr>
                <w:b/>
                <w:bCs/>
                <w:color w:val="auto"/>
                <w:kern w:val="21"/>
                <w:szCs w:val="24"/>
                <w:u w:val="single"/>
              </w:rPr>
            </w:pPr>
            <w:r>
              <w:rPr>
                <w:rFonts w:hint="eastAsia"/>
                <w:b/>
                <w:bCs/>
                <w:color w:val="auto"/>
                <w:kern w:val="21"/>
                <w:szCs w:val="24"/>
                <w:u w:val="single"/>
              </w:rPr>
              <w:t>0.0338</w:t>
            </w:r>
          </w:p>
        </w:tc>
        <w:tc>
          <w:tcPr>
            <w:tcW w:w="1035" w:type="dxa"/>
            <w:vAlign w:val="center"/>
          </w:tcPr>
          <w:p>
            <w:pPr>
              <w:adjustRightInd w:val="0"/>
              <w:snapToGrid w:val="0"/>
              <w:jc w:val="center"/>
              <w:rPr>
                <w:b/>
                <w:bCs/>
                <w:color w:val="auto"/>
                <w:kern w:val="21"/>
                <w:szCs w:val="24"/>
                <w:u w:val="single"/>
              </w:rPr>
            </w:pPr>
            <w:r>
              <w:rPr>
                <w:b/>
                <w:bCs/>
                <w:color w:val="auto"/>
                <w:kern w:val="21"/>
                <w:szCs w:val="24"/>
                <w:u w:val="single"/>
              </w:rPr>
              <w:t>0.05</w:t>
            </w:r>
          </w:p>
        </w:tc>
        <w:tc>
          <w:tcPr>
            <w:tcW w:w="720" w:type="dxa"/>
            <w:vAlign w:val="center"/>
          </w:tcPr>
          <w:p>
            <w:pPr>
              <w:adjustRightInd w:val="0"/>
              <w:snapToGrid w:val="0"/>
              <w:jc w:val="center"/>
              <w:rPr>
                <w:b/>
                <w:bCs/>
                <w:color w:val="auto"/>
                <w:kern w:val="21"/>
                <w:szCs w:val="24"/>
                <w:u w:val="single"/>
              </w:rPr>
            </w:pPr>
            <w:r>
              <w:rPr>
                <w:b/>
                <w:bCs/>
                <w:color w:val="auto"/>
                <w:kern w:val="21"/>
                <w:szCs w:val="24"/>
                <w:u w:val="single"/>
              </w:rPr>
              <w:t>126</w:t>
            </w:r>
          </w:p>
        </w:tc>
        <w:tc>
          <w:tcPr>
            <w:tcW w:w="660" w:type="dxa"/>
            <w:vAlign w:val="center"/>
          </w:tcPr>
          <w:p>
            <w:pPr>
              <w:adjustRightInd w:val="0"/>
              <w:snapToGrid w:val="0"/>
              <w:jc w:val="center"/>
              <w:rPr>
                <w:b/>
                <w:bCs/>
                <w:color w:val="auto"/>
                <w:kern w:val="21"/>
                <w:szCs w:val="24"/>
                <w:u w:val="single"/>
              </w:rPr>
            </w:pPr>
            <w:r>
              <w:rPr>
                <w:rFonts w:hint="eastAsia"/>
                <w:b/>
                <w:bCs/>
                <w:color w:val="auto"/>
                <w:kern w:val="21"/>
                <w:szCs w:val="24"/>
                <w:u w:val="single"/>
              </w:rPr>
              <w:t>100</w:t>
            </w:r>
          </w:p>
        </w:tc>
        <w:tc>
          <w:tcPr>
            <w:tcW w:w="885" w:type="dxa"/>
            <w:vAlign w:val="center"/>
          </w:tcPr>
          <w:p>
            <w:pPr>
              <w:adjustRightInd w:val="0"/>
              <w:snapToGrid w:val="0"/>
              <w:jc w:val="center"/>
              <w:rPr>
                <w:b/>
                <w:bCs/>
                <w:color w:val="auto"/>
                <w:kern w:val="21"/>
                <w:szCs w:val="24"/>
                <w:u w:val="single"/>
              </w:rPr>
            </w:pPr>
            <w:r>
              <w:rPr>
                <w:b/>
                <w:bCs/>
                <w:color w:val="auto"/>
                <w:kern w:val="21"/>
                <w:szCs w:val="24"/>
                <w:u w:val="single"/>
              </w:rPr>
              <w:t>12</w:t>
            </w:r>
          </w:p>
        </w:tc>
        <w:tc>
          <w:tcPr>
            <w:tcW w:w="1170" w:type="dxa"/>
            <w:vAlign w:val="center"/>
          </w:tcPr>
          <w:p>
            <w:pPr>
              <w:adjustRightInd w:val="0"/>
              <w:snapToGrid w:val="0"/>
              <w:jc w:val="center"/>
              <w:rPr>
                <w:b/>
                <w:bCs/>
                <w:color w:val="auto"/>
                <w:kern w:val="21"/>
                <w:szCs w:val="24"/>
                <w:u w:val="single"/>
              </w:rPr>
            </w:pPr>
            <w:r>
              <w:rPr>
                <w:rFonts w:hint="eastAsia"/>
                <w:b/>
                <w:bCs/>
                <w:color w:val="auto"/>
                <w:kern w:val="21"/>
                <w:szCs w:val="24"/>
                <w:u w:val="single"/>
              </w:rPr>
              <w:t>0.00325</w:t>
            </w:r>
          </w:p>
        </w:tc>
        <w:tc>
          <w:tcPr>
            <w:tcW w:w="1428" w:type="dxa"/>
            <w:vAlign w:val="center"/>
          </w:tcPr>
          <w:p>
            <w:pPr>
              <w:adjustRightInd w:val="0"/>
              <w:snapToGrid w:val="0"/>
              <w:jc w:val="center"/>
              <w:rPr>
                <w:b/>
                <w:bCs/>
                <w:color w:val="auto"/>
                <w:kern w:val="21"/>
                <w:szCs w:val="24"/>
                <w:u w:val="single"/>
              </w:rPr>
            </w:pPr>
            <w:r>
              <w:rPr>
                <w:b/>
                <w:bCs/>
                <w:color w:val="auto"/>
                <w:kern w:val="21"/>
                <w:szCs w:val="24"/>
                <w:u w:val="single"/>
              </w:rPr>
              <w:t>满足《环境影响评价技术导则 大气环境》（HJ2.2-2018）附录D要求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6" w:type="dxa"/>
            <w:vAlign w:val="center"/>
          </w:tcPr>
          <w:p>
            <w:pPr>
              <w:adjustRightInd w:val="0"/>
              <w:snapToGrid w:val="0"/>
              <w:jc w:val="center"/>
              <w:rPr>
                <w:b/>
                <w:bCs/>
                <w:color w:val="auto"/>
                <w:kern w:val="21"/>
                <w:szCs w:val="24"/>
                <w:u w:val="single"/>
              </w:rPr>
            </w:pPr>
            <w:r>
              <w:rPr>
                <w:b/>
                <w:bCs/>
                <w:color w:val="auto"/>
                <w:kern w:val="21"/>
                <w:szCs w:val="24"/>
                <w:u w:val="single"/>
              </w:rPr>
              <w:t>南厂房</w:t>
            </w:r>
          </w:p>
        </w:tc>
        <w:tc>
          <w:tcPr>
            <w:tcW w:w="780" w:type="dxa"/>
            <w:vAlign w:val="center"/>
          </w:tcPr>
          <w:p>
            <w:pPr>
              <w:adjustRightInd w:val="0"/>
              <w:snapToGrid w:val="0"/>
              <w:jc w:val="center"/>
              <w:rPr>
                <w:b/>
                <w:bCs/>
                <w:color w:val="auto"/>
                <w:kern w:val="21"/>
                <w:szCs w:val="24"/>
                <w:u w:val="single"/>
              </w:rPr>
            </w:pPr>
            <w:r>
              <w:rPr>
                <w:rFonts w:hint="eastAsia"/>
                <w:b/>
                <w:bCs/>
                <w:color w:val="auto"/>
                <w:kern w:val="21"/>
                <w:u w:val="single"/>
              </w:rPr>
              <w:t>颗粒物</w:t>
            </w:r>
          </w:p>
        </w:tc>
        <w:tc>
          <w:tcPr>
            <w:tcW w:w="1080" w:type="dxa"/>
            <w:vAlign w:val="center"/>
          </w:tcPr>
          <w:p>
            <w:pPr>
              <w:adjustRightInd w:val="0"/>
              <w:snapToGrid w:val="0"/>
              <w:jc w:val="center"/>
              <w:rPr>
                <w:b/>
                <w:bCs/>
                <w:color w:val="auto"/>
                <w:kern w:val="21"/>
                <w:szCs w:val="24"/>
                <w:u w:val="single"/>
              </w:rPr>
            </w:pPr>
            <w:r>
              <w:rPr>
                <w:rFonts w:hint="eastAsia"/>
                <w:b/>
                <w:bCs/>
                <w:color w:val="auto"/>
                <w:kern w:val="21"/>
                <w:szCs w:val="24"/>
                <w:u w:val="single"/>
              </w:rPr>
              <w:t>0.0492</w:t>
            </w:r>
          </w:p>
        </w:tc>
        <w:tc>
          <w:tcPr>
            <w:tcW w:w="1035" w:type="dxa"/>
            <w:vAlign w:val="center"/>
          </w:tcPr>
          <w:p>
            <w:pPr>
              <w:adjustRightInd w:val="0"/>
              <w:snapToGrid w:val="0"/>
              <w:jc w:val="center"/>
              <w:rPr>
                <w:b/>
                <w:bCs/>
                <w:color w:val="auto"/>
                <w:kern w:val="21"/>
                <w:szCs w:val="24"/>
                <w:u w:val="single"/>
              </w:rPr>
            </w:pPr>
            <w:r>
              <w:rPr>
                <w:rFonts w:hint="eastAsia"/>
                <w:b/>
                <w:bCs/>
                <w:color w:val="auto"/>
                <w:kern w:val="21"/>
                <w:szCs w:val="24"/>
                <w:u w:val="single"/>
              </w:rPr>
              <w:t>0.45</w:t>
            </w:r>
          </w:p>
        </w:tc>
        <w:tc>
          <w:tcPr>
            <w:tcW w:w="720" w:type="dxa"/>
            <w:vAlign w:val="center"/>
          </w:tcPr>
          <w:p>
            <w:pPr>
              <w:adjustRightInd w:val="0"/>
              <w:snapToGrid w:val="0"/>
              <w:jc w:val="center"/>
              <w:rPr>
                <w:b/>
                <w:bCs/>
                <w:color w:val="auto"/>
                <w:kern w:val="21"/>
                <w:szCs w:val="24"/>
                <w:u w:val="single"/>
              </w:rPr>
            </w:pPr>
            <w:r>
              <w:rPr>
                <w:rFonts w:hint="eastAsia"/>
                <w:b/>
                <w:bCs/>
                <w:color w:val="auto"/>
                <w:kern w:val="21"/>
                <w:szCs w:val="24"/>
                <w:u w:val="single"/>
              </w:rPr>
              <w:t>126</w:t>
            </w:r>
          </w:p>
        </w:tc>
        <w:tc>
          <w:tcPr>
            <w:tcW w:w="660" w:type="dxa"/>
            <w:vAlign w:val="center"/>
          </w:tcPr>
          <w:p>
            <w:pPr>
              <w:adjustRightInd w:val="0"/>
              <w:snapToGrid w:val="0"/>
              <w:jc w:val="center"/>
              <w:rPr>
                <w:b/>
                <w:bCs/>
                <w:color w:val="auto"/>
                <w:kern w:val="21"/>
                <w:szCs w:val="24"/>
                <w:u w:val="single"/>
              </w:rPr>
            </w:pPr>
            <w:r>
              <w:rPr>
                <w:rFonts w:hint="eastAsia"/>
                <w:b/>
                <w:bCs/>
                <w:color w:val="auto"/>
                <w:kern w:val="21"/>
                <w:szCs w:val="24"/>
                <w:u w:val="single"/>
              </w:rPr>
              <w:t>60</w:t>
            </w:r>
          </w:p>
        </w:tc>
        <w:tc>
          <w:tcPr>
            <w:tcW w:w="885" w:type="dxa"/>
            <w:vAlign w:val="center"/>
          </w:tcPr>
          <w:p>
            <w:pPr>
              <w:adjustRightInd w:val="0"/>
              <w:snapToGrid w:val="0"/>
              <w:jc w:val="center"/>
              <w:rPr>
                <w:b/>
                <w:bCs/>
                <w:color w:val="auto"/>
                <w:kern w:val="21"/>
                <w:szCs w:val="24"/>
                <w:u w:val="single"/>
              </w:rPr>
            </w:pPr>
            <w:r>
              <w:rPr>
                <w:rFonts w:hint="eastAsia"/>
                <w:b/>
                <w:bCs/>
                <w:color w:val="auto"/>
                <w:kern w:val="21"/>
                <w:szCs w:val="24"/>
                <w:u w:val="single"/>
              </w:rPr>
              <w:t>12</w:t>
            </w:r>
          </w:p>
        </w:tc>
        <w:tc>
          <w:tcPr>
            <w:tcW w:w="1170" w:type="dxa"/>
            <w:vAlign w:val="center"/>
          </w:tcPr>
          <w:p>
            <w:pPr>
              <w:adjustRightInd w:val="0"/>
              <w:snapToGrid w:val="0"/>
              <w:jc w:val="center"/>
              <w:rPr>
                <w:b/>
                <w:bCs/>
                <w:color w:val="auto"/>
                <w:kern w:val="21"/>
                <w:szCs w:val="24"/>
                <w:u w:val="single"/>
              </w:rPr>
            </w:pPr>
            <w:r>
              <w:rPr>
                <w:rFonts w:hint="eastAsia"/>
                <w:b/>
                <w:bCs/>
                <w:color w:val="auto"/>
                <w:kern w:val="21"/>
                <w:szCs w:val="24"/>
                <w:u w:val="single"/>
              </w:rPr>
              <w:t>0.028</w:t>
            </w:r>
          </w:p>
        </w:tc>
        <w:tc>
          <w:tcPr>
            <w:tcW w:w="1428" w:type="dxa"/>
            <w:vAlign w:val="center"/>
          </w:tcPr>
          <w:p>
            <w:pPr>
              <w:adjustRightInd w:val="0"/>
              <w:snapToGrid w:val="0"/>
              <w:jc w:val="center"/>
              <w:rPr>
                <w:b/>
                <w:bCs/>
                <w:color w:val="auto"/>
                <w:kern w:val="21"/>
                <w:szCs w:val="24"/>
                <w:u w:val="single"/>
              </w:rPr>
            </w:pPr>
            <w:r>
              <w:rPr>
                <w:b/>
                <w:bCs/>
                <w:color w:val="auto"/>
                <w:kern w:val="21"/>
                <w:szCs w:val="24"/>
                <w:u w:val="single"/>
              </w:rPr>
              <w:t>满足《环境空气质量标准》（</w:t>
            </w:r>
            <w:r>
              <w:rPr>
                <w:rFonts w:hint="eastAsia"/>
                <w:b/>
                <w:bCs/>
                <w:color w:val="auto"/>
                <w:kern w:val="21"/>
                <w:szCs w:val="24"/>
                <w:u w:val="single"/>
              </w:rPr>
              <w:t>GB3095-2012）二级要求</w:t>
            </w:r>
          </w:p>
        </w:tc>
      </w:tr>
    </w:tbl>
    <w:p>
      <w:pPr>
        <w:adjustRightInd w:val="0"/>
        <w:snapToGrid w:val="0"/>
        <w:spacing w:line="360" w:lineRule="auto"/>
        <w:ind w:firstLine="480" w:firstLineChars="200"/>
        <w:rPr>
          <w:color w:val="auto"/>
          <w:kern w:val="21"/>
          <w:sz w:val="24"/>
          <w:szCs w:val="24"/>
          <w:lang w:val="zh-CN"/>
        </w:rPr>
      </w:pPr>
      <w:r>
        <w:rPr>
          <w:color w:val="auto"/>
          <w:kern w:val="21"/>
          <w:sz w:val="24"/>
          <w:szCs w:val="24"/>
          <w:lang w:val="zh-CN"/>
        </w:rPr>
        <w:t>由上表可知，本项目厂界无组织排放浓度均满足《环境空气质量标准》（GB3095-2012）二级标准、《环境影响评价技术导则 大气环境》（HJ2.2-2018）附录D的要求，不需设置大气环境防护距离。</w:t>
      </w:r>
    </w:p>
    <w:p>
      <w:pPr>
        <w:adjustRightInd w:val="0"/>
        <w:snapToGrid w:val="0"/>
        <w:spacing w:line="360" w:lineRule="auto"/>
        <w:rPr>
          <w:color w:val="auto"/>
          <w:kern w:val="21"/>
          <w:sz w:val="24"/>
          <w:szCs w:val="24"/>
          <w:lang w:val="zh-CN"/>
        </w:rPr>
      </w:pPr>
      <w:r>
        <w:rPr>
          <w:color w:val="auto"/>
          <w:kern w:val="21"/>
          <w:sz w:val="24"/>
          <w:szCs w:val="24"/>
          <w:lang w:val="zh-CN"/>
        </w:rPr>
        <w:t>（</w:t>
      </w:r>
      <w:r>
        <w:rPr>
          <w:rFonts w:hint="eastAsia"/>
          <w:color w:val="auto"/>
          <w:kern w:val="21"/>
          <w:sz w:val="24"/>
          <w:szCs w:val="24"/>
          <w:lang w:val="zh-CN"/>
        </w:rPr>
        <w:t>6</w:t>
      </w:r>
      <w:r>
        <w:rPr>
          <w:color w:val="auto"/>
          <w:kern w:val="21"/>
          <w:sz w:val="24"/>
          <w:szCs w:val="24"/>
          <w:lang w:val="zh-CN"/>
        </w:rPr>
        <w:t>）非正常工况下预测结果分析</w:t>
      </w:r>
    </w:p>
    <w:p>
      <w:pPr>
        <w:adjustRightInd w:val="0"/>
        <w:snapToGrid w:val="0"/>
        <w:spacing w:line="360" w:lineRule="auto"/>
        <w:ind w:firstLine="480" w:firstLineChars="200"/>
        <w:rPr>
          <w:color w:val="auto"/>
          <w:kern w:val="21"/>
          <w:sz w:val="24"/>
          <w:szCs w:val="24"/>
          <w:lang w:val="zh-CN"/>
        </w:rPr>
      </w:pPr>
      <w:r>
        <w:rPr>
          <w:color w:val="auto"/>
          <w:kern w:val="21"/>
          <w:sz w:val="24"/>
          <w:szCs w:val="24"/>
          <w:lang w:val="zh-CN"/>
        </w:rPr>
        <w:t>根据工程分析，本项目非正常工况情况为：碱液喷淋中和塔和袋式除尘器等废气处理设施发生故障，处理效率为</w:t>
      </w:r>
      <w:r>
        <w:rPr>
          <w:rFonts w:hint="eastAsia"/>
          <w:color w:val="auto"/>
          <w:kern w:val="21"/>
          <w:sz w:val="24"/>
          <w:szCs w:val="24"/>
          <w:lang w:val="zh-CN"/>
        </w:rPr>
        <w:t>0</w:t>
      </w:r>
      <w:r>
        <w:rPr>
          <w:color w:val="auto"/>
          <w:kern w:val="21"/>
          <w:sz w:val="24"/>
          <w:szCs w:val="24"/>
          <w:lang w:val="zh-CN"/>
        </w:rPr>
        <w:t>%时废气在未经有效处理的情况下通过排气筒排放。经预测，非正常工况下各污染因子最大浓度贡献值详见下表。</w:t>
      </w:r>
    </w:p>
    <w:p>
      <w:pPr>
        <w:jc w:val="center"/>
        <w:rPr>
          <w:rFonts w:eastAsia="黑体"/>
          <w:color w:val="auto"/>
          <w:sz w:val="24"/>
          <w:szCs w:val="24"/>
        </w:rPr>
      </w:pPr>
      <w:r>
        <w:rPr>
          <w:rFonts w:eastAsia="黑体"/>
          <w:color w:val="auto"/>
          <w:sz w:val="24"/>
          <w:szCs w:val="24"/>
        </w:rPr>
        <w:t>表5.1-23   非正常工况污染物贡献浓度预测结果一览表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989"/>
        <w:gridCol w:w="1276"/>
        <w:gridCol w:w="1194"/>
        <w:gridCol w:w="1327"/>
        <w:gridCol w:w="1276"/>
        <w:gridCol w:w="1416"/>
        <w:gridCol w:w="105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0" w:type="pct"/>
            <w:tcBorders>
              <w:top w:val="single" w:color="auto" w:sz="8" w:space="0"/>
              <w:left w:val="single" w:color="auto" w:sz="8" w:space="0"/>
              <w:bottom w:val="single" w:color="auto" w:sz="6" w:space="0"/>
              <w:right w:val="single" w:color="auto" w:sz="6" w:space="0"/>
            </w:tcBorders>
            <w:vAlign w:val="center"/>
          </w:tcPr>
          <w:p>
            <w:pPr>
              <w:jc w:val="center"/>
              <w:rPr>
                <w:b/>
                <w:color w:val="auto"/>
              </w:rPr>
            </w:pPr>
            <w:r>
              <w:rPr>
                <w:b/>
                <w:color w:val="auto"/>
              </w:rPr>
              <w:t>排放源</w:t>
            </w:r>
          </w:p>
        </w:tc>
        <w:tc>
          <w:tcPr>
            <w:tcW w:w="748" w:type="pct"/>
            <w:tcBorders>
              <w:top w:val="single" w:color="auto" w:sz="8" w:space="0"/>
              <w:left w:val="single" w:color="auto" w:sz="6" w:space="0"/>
              <w:bottom w:val="single" w:color="auto" w:sz="6" w:space="0"/>
              <w:right w:val="single" w:color="auto" w:sz="6" w:space="0"/>
            </w:tcBorders>
            <w:vAlign w:val="center"/>
          </w:tcPr>
          <w:p>
            <w:pPr>
              <w:jc w:val="center"/>
              <w:rPr>
                <w:b/>
                <w:color w:val="auto"/>
              </w:rPr>
            </w:pPr>
            <w:r>
              <w:rPr>
                <w:b/>
                <w:color w:val="auto"/>
              </w:rPr>
              <w:t>污染因子</w:t>
            </w:r>
          </w:p>
        </w:tc>
        <w:tc>
          <w:tcPr>
            <w:tcW w:w="700" w:type="pct"/>
            <w:tcBorders>
              <w:top w:val="single" w:color="auto" w:sz="8" w:space="0"/>
              <w:left w:val="single" w:color="auto" w:sz="6" w:space="0"/>
              <w:bottom w:val="single" w:color="auto" w:sz="6" w:space="0"/>
              <w:right w:val="single" w:color="auto" w:sz="6" w:space="0"/>
            </w:tcBorders>
            <w:vAlign w:val="center"/>
          </w:tcPr>
          <w:p>
            <w:pPr>
              <w:jc w:val="center"/>
              <w:rPr>
                <w:b/>
                <w:color w:val="auto"/>
              </w:rPr>
            </w:pPr>
            <w:r>
              <w:rPr>
                <w:b/>
                <w:color w:val="auto"/>
              </w:rPr>
              <w:t>平均时段</w:t>
            </w:r>
          </w:p>
        </w:tc>
        <w:tc>
          <w:tcPr>
            <w:tcW w:w="778" w:type="pct"/>
            <w:tcBorders>
              <w:top w:val="single" w:color="auto" w:sz="8" w:space="0"/>
              <w:left w:val="single" w:color="auto" w:sz="6" w:space="0"/>
              <w:bottom w:val="single" w:color="auto" w:sz="6" w:space="0"/>
              <w:right w:val="single" w:color="auto" w:sz="6" w:space="0"/>
            </w:tcBorders>
            <w:vAlign w:val="center"/>
          </w:tcPr>
          <w:p>
            <w:pPr>
              <w:jc w:val="center"/>
              <w:rPr>
                <w:b/>
                <w:color w:val="auto"/>
              </w:rPr>
            </w:pPr>
            <w:r>
              <w:rPr>
                <w:b/>
                <w:color w:val="auto"/>
              </w:rPr>
              <w:t>最大浓度贡献值mg/m</w:t>
            </w:r>
            <w:r>
              <w:rPr>
                <w:b/>
                <w:color w:val="auto"/>
                <w:vertAlign w:val="superscript"/>
              </w:rPr>
              <w:t>3</w:t>
            </w:r>
          </w:p>
        </w:tc>
        <w:tc>
          <w:tcPr>
            <w:tcW w:w="748" w:type="pct"/>
            <w:tcBorders>
              <w:top w:val="single" w:color="auto" w:sz="8" w:space="0"/>
              <w:left w:val="single" w:color="auto" w:sz="6" w:space="0"/>
              <w:bottom w:val="single" w:color="auto" w:sz="6" w:space="0"/>
              <w:right w:val="single" w:color="auto" w:sz="6" w:space="0"/>
            </w:tcBorders>
            <w:vAlign w:val="center"/>
          </w:tcPr>
          <w:p>
            <w:pPr>
              <w:jc w:val="center"/>
              <w:rPr>
                <w:b/>
                <w:color w:val="auto"/>
              </w:rPr>
            </w:pPr>
            <w:r>
              <w:rPr>
                <w:b/>
                <w:color w:val="auto"/>
              </w:rPr>
              <w:t>标准值</w:t>
            </w:r>
          </w:p>
          <w:p>
            <w:pPr>
              <w:jc w:val="center"/>
              <w:rPr>
                <w:b/>
                <w:color w:val="auto"/>
              </w:rPr>
            </w:pPr>
            <w:r>
              <w:rPr>
                <w:b/>
                <w:color w:val="auto"/>
              </w:rPr>
              <w:t>（mg/m</w:t>
            </w:r>
            <w:r>
              <w:rPr>
                <w:b/>
                <w:color w:val="auto"/>
                <w:vertAlign w:val="superscript"/>
              </w:rPr>
              <w:t>3</w:t>
            </w:r>
            <w:r>
              <w:rPr>
                <w:b/>
                <w:color w:val="auto"/>
              </w:rPr>
              <w:t>）</w:t>
            </w:r>
          </w:p>
        </w:tc>
        <w:tc>
          <w:tcPr>
            <w:tcW w:w="830" w:type="pct"/>
            <w:tcBorders>
              <w:top w:val="single" w:color="auto" w:sz="8" w:space="0"/>
              <w:left w:val="single" w:color="auto" w:sz="6" w:space="0"/>
              <w:bottom w:val="single" w:color="auto" w:sz="6" w:space="0"/>
              <w:right w:val="single" w:color="auto" w:sz="6" w:space="0"/>
            </w:tcBorders>
            <w:vAlign w:val="center"/>
          </w:tcPr>
          <w:p>
            <w:pPr>
              <w:jc w:val="center"/>
              <w:rPr>
                <w:b/>
                <w:color w:val="auto"/>
              </w:rPr>
            </w:pPr>
            <w:r>
              <w:rPr>
                <w:b/>
                <w:color w:val="auto"/>
              </w:rPr>
              <w:t>最大占标率</w:t>
            </w:r>
          </w:p>
          <w:p>
            <w:pPr>
              <w:jc w:val="center"/>
              <w:rPr>
                <w:b/>
                <w:color w:val="auto"/>
              </w:rPr>
            </w:pPr>
            <w:r>
              <w:rPr>
                <w:b/>
                <w:color w:val="auto"/>
              </w:rPr>
              <w:t>P</w:t>
            </w:r>
            <w:r>
              <w:rPr>
                <w:b/>
                <w:color w:val="auto"/>
                <w:vertAlign w:val="subscript"/>
              </w:rPr>
              <w:t>max</w:t>
            </w:r>
            <w:r>
              <w:rPr>
                <w:b/>
                <w:color w:val="auto"/>
              </w:rPr>
              <w:t>%</w:t>
            </w:r>
          </w:p>
        </w:tc>
        <w:tc>
          <w:tcPr>
            <w:tcW w:w="616" w:type="pct"/>
            <w:tcBorders>
              <w:top w:val="single" w:color="auto" w:sz="8" w:space="0"/>
              <w:left w:val="single" w:color="auto" w:sz="6" w:space="0"/>
              <w:bottom w:val="single" w:color="auto" w:sz="6" w:space="0"/>
              <w:right w:val="single" w:color="auto" w:sz="6" w:space="0"/>
            </w:tcBorders>
            <w:vAlign w:val="center"/>
          </w:tcPr>
          <w:p>
            <w:pPr>
              <w:jc w:val="center"/>
              <w:rPr>
                <w:b/>
                <w:color w:val="auto"/>
              </w:rPr>
            </w:pPr>
            <w:r>
              <w:rPr>
                <w:b/>
                <w:color w:val="auto"/>
              </w:rPr>
              <w:t>达标</w:t>
            </w:r>
          </w:p>
          <w:p>
            <w:pPr>
              <w:jc w:val="center"/>
              <w:rPr>
                <w:b/>
                <w:color w:val="auto"/>
              </w:rPr>
            </w:pPr>
            <w:r>
              <w:rPr>
                <w:b/>
                <w:color w:val="auto"/>
              </w:rPr>
              <w:t>分析</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0" w:type="pct"/>
            <w:tcBorders>
              <w:top w:val="single" w:color="auto" w:sz="6" w:space="0"/>
              <w:left w:val="single" w:color="auto" w:sz="8" w:space="0"/>
              <w:bottom w:val="single" w:color="auto" w:sz="6" w:space="0"/>
              <w:right w:val="single" w:color="auto" w:sz="6" w:space="0"/>
            </w:tcBorders>
            <w:vAlign w:val="center"/>
          </w:tcPr>
          <w:p>
            <w:pPr>
              <w:jc w:val="center"/>
              <w:rPr>
                <w:b/>
                <w:bCs/>
                <w:color w:val="auto"/>
                <w:u w:val="single"/>
              </w:rPr>
            </w:pPr>
            <w:r>
              <w:rPr>
                <w:b/>
                <w:bCs/>
                <w:color w:val="auto"/>
                <w:kern w:val="0"/>
                <w:u w:val="single"/>
              </w:rPr>
              <w:t>DA001</w:t>
            </w:r>
          </w:p>
        </w:tc>
        <w:tc>
          <w:tcPr>
            <w:tcW w:w="74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HCl</w:t>
            </w:r>
          </w:p>
        </w:tc>
        <w:tc>
          <w:tcPr>
            <w:tcW w:w="70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1小时</w:t>
            </w:r>
          </w:p>
        </w:tc>
        <w:tc>
          <w:tcPr>
            <w:tcW w:w="77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0.011</w:t>
            </w:r>
          </w:p>
        </w:tc>
        <w:tc>
          <w:tcPr>
            <w:tcW w:w="74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0.05</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rFonts w:hint="eastAsia"/>
                <w:b/>
                <w:bCs/>
                <w:color w:val="auto"/>
                <w:kern w:val="0"/>
                <w:u w:val="single"/>
              </w:rPr>
              <w:t>22.02</w:t>
            </w:r>
          </w:p>
        </w:tc>
        <w:tc>
          <w:tcPr>
            <w:tcW w:w="61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达标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80" w:type="pct"/>
            <w:tcBorders>
              <w:top w:val="single" w:color="auto" w:sz="6" w:space="0"/>
              <w:left w:val="single" w:color="auto" w:sz="8" w:space="0"/>
              <w:bottom w:val="single" w:color="auto" w:sz="6" w:space="0"/>
              <w:right w:val="single" w:color="auto" w:sz="6" w:space="0"/>
            </w:tcBorders>
            <w:vAlign w:val="center"/>
          </w:tcPr>
          <w:p>
            <w:pPr>
              <w:jc w:val="center"/>
              <w:rPr>
                <w:b/>
                <w:bCs/>
                <w:color w:val="auto"/>
                <w:u w:val="single"/>
              </w:rPr>
            </w:pPr>
            <w:r>
              <w:rPr>
                <w:b/>
                <w:bCs/>
                <w:color w:val="auto"/>
                <w:kern w:val="0"/>
                <w:u w:val="single"/>
              </w:rPr>
              <w:t>DA004</w:t>
            </w:r>
          </w:p>
        </w:tc>
        <w:tc>
          <w:tcPr>
            <w:tcW w:w="74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PM10</w:t>
            </w:r>
          </w:p>
        </w:tc>
        <w:tc>
          <w:tcPr>
            <w:tcW w:w="700"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1小时</w:t>
            </w:r>
          </w:p>
        </w:tc>
        <w:tc>
          <w:tcPr>
            <w:tcW w:w="778"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b/>
                <w:bCs/>
                <w:color w:val="auto"/>
                <w:kern w:val="0"/>
                <w:u w:val="single"/>
                <w:lang w:val="en-US" w:eastAsia="zh-CN"/>
              </w:rPr>
            </w:pPr>
            <w:r>
              <w:rPr>
                <w:rFonts w:hint="eastAsia"/>
                <w:b/>
                <w:bCs/>
                <w:color w:val="auto"/>
                <w:kern w:val="0"/>
                <w:u w:val="single"/>
                <w:lang w:val="en-US" w:eastAsia="zh-CN"/>
              </w:rPr>
              <w:t>0.0261</w:t>
            </w:r>
          </w:p>
        </w:tc>
        <w:tc>
          <w:tcPr>
            <w:tcW w:w="748"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0.45</w:t>
            </w:r>
          </w:p>
        </w:tc>
        <w:tc>
          <w:tcPr>
            <w:tcW w:w="830" w:type="pct"/>
            <w:tcBorders>
              <w:top w:val="single" w:color="auto" w:sz="6" w:space="0"/>
              <w:left w:val="single" w:color="auto" w:sz="6" w:space="0"/>
              <w:bottom w:val="single" w:color="auto" w:sz="6" w:space="0"/>
              <w:right w:val="single" w:color="auto" w:sz="6" w:space="0"/>
            </w:tcBorders>
            <w:vAlign w:val="center"/>
          </w:tcPr>
          <w:p>
            <w:pPr>
              <w:jc w:val="center"/>
              <w:rPr>
                <w:rFonts w:hint="default" w:eastAsia="宋体"/>
                <w:b/>
                <w:bCs/>
                <w:color w:val="auto"/>
                <w:kern w:val="0"/>
                <w:u w:val="single"/>
                <w:lang w:val="en-US" w:eastAsia="zh-CN"/>
              </w:rPr>
            </w:pPr>
            <w:r>
              <w:rPr>
                <w:rFonts w:hint="eastAsia"/>
                <w:b/>
                <w:bCs/>
                <w:color w:val="auto"/>
                <w:kern w:val="0"/>
                <w:u w:val="single"/>
                <w:lang w:val="en-US" w:eastAsia="zh-CN"/>
              </w:rPr>
              <w:t>5.79</w:t>
            </w:r>
          </w:p>
        </w:tc>
        <w:tc>
          <w:tcPr>
            <w:tcW w:w="616" w:type="pct"/>
            <w:tcBorders>
              <w:top w:val="single" w:color="auto" w:sz="6" w:space="0"/>
              <w:left w:val="single" w:color="auto" w:sz="6" w:space="0"/>
              <w:bottom w:val="single" w:color="auto" w:sz="6" w:space="0"/>
              <w:right w:val="single" w:color="auto" w:sz="6" w:space="0"/>
            </w:tcBorders>
            <w:vAlign w:val="center"/>
          </w:tcPr>
          <w:p>
            <w:pPr>
              <w:jc w:val="center"/>
              <w:rPr>
                <w:b/>
                <w:bCs/>
                <w:color w:val="auto"/>
                <w:kern w:val="0"/>
                <w:u w:val="single"/>
              </w:rPr>
            </w:pPr>
            <w:r>
              <w:rPr>
                <w:b/>
                <w:bCs/>
                <w:color w:val="auto"/>
                <w:kern w:val="0"/>
                <w:u w:val="single"/>
              </w:rPr>
              <w:t>达标</w:t>
            </w:r>
          </w:p>
        </w:tc>
      </w:tr>
    </w:tbl>
    <w:p>
      <w:pPr>
        <w:adjustRightInd w:val="0"/>
        <w:snapToGrid w:val="0"/>
        <w:spacing w:line="360" w:lineRule="auto"/>
        <w:ind w:firstLine="480" w:firstLineChars="200"/>
        <w:rPr>
          <w:color w:val="auto"/>
          <w:kern w:val="21"/>
          <w:sz w:val="24"/>
          <w:szCs w:val="24"/>
          <w:lang w:val="zh-CN"/>
        </w:rPr>
      </w:pPr>
      <w:r>
        <w:rPr>
          <w:color w:val="auto"/>
          <w:kern w:val="21"/>
          <w:sz w:val="24"/>
          <w:szCs w:val="24"/>
          <w:lang w:val="zh-CN"/>
        </w:rPr>
        <w:t>从上表可以看出，本项目在非正常工况下，颗粒物最大浓度贡献值满足《环境空气质量标准》（GB3095-2012）二级的标准限值要求；氯化氢最大浓度贡献值均满足《环境影响评价技术导则 大气环境》（HJ2.2-2018）附录 D的要求。</w:t>
      </w:r>
    </w:p>
    <w:p>
      <w:pPr>
        <w:adjustRightInd w:val="0"/>
        <w:snapToGrid w:val="0"/>
        <w:spacing w:line="360" w:lineRule="auto"/>
        <w:ind w:firstLine="480" w:firstLineChars="200"/>
        <w:rPr>
          <w:color w:val="auto"/>
          <w:kern w:val="21"/>
          <w:sz w:val="24"/>
          <w:szCs w:val="24"/>
          <w:lang w:val="zh-CN"/>
        </w:rPr>
      </w:pPr>
      <w:r>
        <w:rPr>
          <w:color w:val="auto"/>
          <w:kern w:val="21"/>
          <w:sz w:val="24"/>
          <w:szCs w:val="24"/>
          <w:lang w:val="zh-CN"/>
        </w:rPr>
        <w:t xml:space="preserve">本项目在非正常工况下，应立即启动大气环境应急预案。为减少非正常工况下污染物排放对环境的影响，企业建成后需要加强管理，制定相关责任制，确保环保设施始终处于良好的运行状态；制定严格的规章制度，设置严密的工程自动化监控，一旦发现废气处理装置不正常，及时维修，严防非正常排放情况发生。 </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5.1.3污染物排放量核算</w:t>
      </w:r>
    </w:p>
    <w:p>
      <w:pPr>
        <w:adjustRightInd w:val="0"/>
        <w:snapToGrid w:val="0"/>
        <w:spacing w:line="360" w:lineRule="auto"/>
        <w:ind w:firstLine="480" w:firstLineChars="200"/>
        <w:rPr>
          <w:color w:val="auto"/>
          <w:kern w:val="21"/>
          <w:sz w:val="24"/>
          <w:szCs w:val="24"/>
          <w:lang w:val="zh-CN"/>
        </w:rPr>
      </w:pPr>
      <w:r>
        <w:rPr>
          <w:color w:val="auto"/>
          <w:kern w:val="21"/>
          <w:sz w:val="24"/>
          <w:szCs w:val="24"/>
          <w:lang w:val="zh-CN"/>
        </w:rPr>
        <w:t>本项目有组织废气排放量核算见表</w:t>
      </w:r>
      <w:r>
        <w:rPr>
          <w:rFonts w:eastAsia="黑体"/>
          <w:color w:val="auto"/>
          <w:kern w:val="21"/>
          <w:sz w:val="24"/>
          <w:szCs w:val="24"/>
        </w:rPr>
        <w:t>5.2-24</w:t>
      </w:r>
      <w:r>
        <w:rPr>
          <w:color w:val="auto"/>
          <w:kern w:val="21"/>
          <w:sz w:val="24"/>
          <w:szCs w:val="24"/>
          <w:lang w:val="zh-CN"/>
        </w:rPr>
        <w:t>，无组织废气排放量核算见表</w:t>
      </w:r>
      <w:r>
        <w:rPr>
          <w:rFonts w:eastAsia="黑体"/>
          <w:color w:val="auto"/>
          <w:kern w:val="21"/>
          <w:sz w:val="24"/>
          <w:szCs w:val="24"/>
        </w:rPr>
        <w:t>5.2-25</w:t>
      </w:r>
      <w:r>
        <w:rPr>
          <w:color w:val="auto"/>
          <w:kern w:val="21"/>
          <w:sz w:val="24"/>
          <w:szCs w:val="24"/>
          <w:lang w:val="zh-CN"/>
        </w:rPr>
        <w:t>，大气污染物年排放量核算见表</w:t>
      </w:r>
      <w:r>
        <w:rPr>
          <w:rFonts w:eastAsia="黑体"/>
          <w:color w:val="auto"/>
          <w:kern w:val="21"/>
          <w:sz w:val="24"/>
          <w:szCs w:val="24"/>
        </w:rPr>
        <w:t>5.1-26</w:t>
      </w:r>
      <w:r>
        <w:rPr>
          <w:color w:val="auto"/>
          <w:kern w:val="21"/>
          <w:sz w:val="24"/>
          <w:szCs w:val="24"/>
          <w:lang w:val="zh-CN"/>
        </w:rPr>
        <w:t>，非正常排放量核算见表</w:t>
      </w:r>
      <w:r>
        <w:rPr>
          <w:rFonts w:eastAsia="黑体"/>
          <w:color w:val="auto"/>
          <w:kern w:val="21"/>
          <w:sz w:val="24"/>
          <w:szCs w:val="24"/>
        </w:rPr>
        <w:t>5.1-27</w:t>
      </w:r>
      <w:r>
        <w:rPr>
          <w:color w:val="auto"/>
          <w:kern w:val="21"/>
          <w:sz w:val="24"/>
          <w:szCs w:val="24"/>
          <w:lang w:val="zh-CN"/>
        </w:rPr>
        <w:t>。</w:t>
      </w:r>
    </w:p>
    <w:p>
      <w:pPr>
        <w:jc w:val="center"/>
        <w:rPr>
          <w:rFonts w:eastAsia="黑体"/>
          <w:color w:val="auto"/>
          <w:sz w:val="24"/>
          <w:szCs w:val="24"/>
        </w:rPr>
      </w:pPr>
      <w:r>
        <w:rPr>
          <w:rFonts w:eastAsia="黑体"/>
          <w:color w:val="auto"/>
          <w:sz w:val="24"/>
          <w:szCs w:val="24"/>
        </w:rPr>
        <w:t>表5.1-24  大气污染物有组织排放量核算表</w:t>
      </w:r>
    </w:p>
    <w:tbl>
      <w:tblPr>
        <w:tblStyle w:val="83"/>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6"/>
        <w:gridCol w:w="1187"/>
        <w:gridCol w:w="1318"/>
        <w:gridCol w:w="1877"/>
        <w:gridCol w:w="1662"/>
        <w:gridCol w:w="18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Align w:val="center"/>
          </w:tcPr>
          <w:p>
            <w:pPr>
              <w:adjustRightInd w:val="0"/>
              <w:snapToGrid w:val="0"/>
              <w:jc w:val="center"/>
              <w:rPr>
                <w:b/>
                <w:color w:val="auto"/>
                <w:kern w:val="21"/>
              </w:rPr>
            </w:pPr>
            <w:r>
              <w:rPr>
                <w:b/>
                <w:color w:val="auto"/>
                <w:kern w:val="21"/>
              </w:rPr>
              <w:t>序号</w:t>
            </w:r>
          </w:p>
        </w:tc>
        <w:tc>
          <w:tcPr>
            <w:tcW w:w="1187" w:type="dxa"/>
            <w:vAlign w:val="center"/>
          </w:tcPr>
          <w:p>
            <w:pPr>
              <w:adjustRightInd w:val="0"/>
              <w:snapToGrid w:val="0"/>
              <w:jc w:val="center"/>
              <w:rPr>
                <w:b/>
                <w:color w:val="auto"/>
                <w:kern w:val="21"/>
              </w:rPr>
            </w:pPr>
            <w:r>
              <w:rPr>
                <w:b/>
                <w:color w:val="auto"/>
                <w:kern w:val="21"/>
              </w:rPr>
              <w:t>排放口编号</w:t>
            </w:r>
          </w:p>
        </w:tc>
        <w:tc>
          <w:tcPr>
            <w:tcW w:w="1318" w:type="dxa"/>
            <w:vAlign w:val="center"/>
          </w:tcPr>
          <w:p>
            <w:pPr>
              <w:adjustRightInd w:val="0"/>
              <w:snapToGrid w:val="0"/>
              <w:jc w:val="center"/>
              <w:rPr>
                <w:b/>
                <w:color w:val="auto"/>
                <w:kern w:val="21"/>
              </w:rPr>
            </w:pPr>
            <w:r>
              <w:rPr>
                <w:b/>
                <w:color w:val="auto"/>
                <w:kern w:val="21"/>
              </w:rPr>
              <w:t>污染物</w:t>
            </w:r>
          </w:p>
        </w:tc>
        <w:tc>
          <w:tcPr>
            <w:tcW w:w="1877" w:type="dxa"/>
            <w:vAlign w:val="center"/>
          </w:tcPr>
          <w:p>
            <w:pPr>
              <w:adjustRightInd w:val="0"/>
              <w:snapToGrid w:val="0"/>
              <w:jc w:val="center"/>
              <w:rPr>
                <w:rFonts w:eastAsia="Times New Roman"/>
                <w:b/>
                <w:color w:val="auto"/>
                <w:kern w:val="21"/>
              </w:rPr>
            </w:pPr>
            <w:r>
              <w:rPr>
                <w:b/>
                <w:color w:val="auto"/>
                <w:kern w:val="21"/>
              </w:rPr>
              <w:t>核算排放浓度</w:t>
            </w:r>
            <w:r>
              <w:rPr>
                <w:rFonts w:hint="eastAsia"/>
                <w:b/>
                <w:color w:val="auto"/>
                <w:kern w:val="21"/>
                <w:lang w:eastAsia="zh-CN"/>
              </w:rPr>
              <w:t>(</w:t>
            </w:r>
            <w:r>
              <w:rPr>
                <w:rFonts w:eastAsia="Times New Roman"/>
                <w:b/>
                <w:color w:val="auto"/>
                <w:kern w:val="21"/>
              </w:rPr>
              <w:t>mg/m</w:t>
            </w:r>
            <w:r>
              <w:rPr>
                <w:b/>
                <w:color w:val="auto"/>
                <w:kern w:val="21"/>
                <w:vertAlign w:val="superscript"/>
              </w:rPr>
              <w:t>3</w:t>
            </w:r>
            <w:r>
              <w:rPr>
                <w:rFonts w:eastAsia="Times New Roman"/>
                <w:b/>
                <w:color w:val="auto"/>
                <w:kern w:val="21"/>
              </w:rPr>
              <w:t>)</w:t>
            </w:r>
          </w:p>
        </w:tc>
        <w:tc>
          <w:tcPr>
            <w:tcW w:w="1662" w:type="dxa"/>
            <w:vAlign w:val="center"/>
          </w:tcPr>
          <w:p>
            <w:pPr>
              <w:adjustRightInd w:val="0"/>
              <w:snapToGrid w:val="0"/>
              <w:jc w:val="center"/>
              <w:rPr>
                <w:rFonts w:eastAsia="Times New Roman"/>
                <w:b/>
                <w:color w:val="auto"/>
                <w:kern w:val="21"/>
              </w:rPr>
            </w:pPr>
            <w:r>
              <w:rPr>
                <w:b/>
                <w:color w:val="auto"/>
                <w:kern w:val="21"/>
              </w:rPr>
              <w:t>核算排放速率</w:t>
            </w:r>
            <w:r>
              <w:rPr>
                <w:rFonts w:hint="eastAsia"/>
                <w:b/>
                <w:color w:val="auto"/>
                <w:kern w:val="21"/>
                <w:lang w:eastAsia="zh-CN"/>
              </w:rPr>
              <w:t>(</w:t>
            </w:r>
            <w:r>
              <w:rPr>
                <w:rFonts w:eastAsia="Times New Roman"/>
                <w:b/>
                <w:color w:val="auto"/>
                <w:kern w:val="21"/>
              </w:rPr>
              <w:t>kg/h)</w:t>
            </w:r>
          </w:p>
        </w:tc>
        <w:tc>
          <w:tcPr>
            <w:tcW w:w="1834" w:type="dxa"/>
            <w:vAlign w:val="center"/>
          </w:tcPr>
          <w:p>
            <w:pPr>
              <w:adjustRightInd w:val="0"/>
              <w:snapToGrid w:val="0"/>
              <w:jc w:val="center"/>
              <w:rPr>
                <w:rFonts w:eastAsia="Times New Roman"/>
                <w:b/>
                <w:color w:val="auto"/>
                <w:kern w:val="21"/>
              </w:rPr>
            </w:pPr>
            <w:r>
              <w:rPr>
                <w:b/>
                <w:color w:val="auto"/>
                <w:kern w:val="21"/>
              </w:rPr>
              <w:t>核算年排放量</w:t>
            </w:r>
            <w:r>
              <w:rPr>
                <w:rFonts w:hint="eastAsia"/>
                <w:b/>
                <w:color w:val="auto"/>
                <w:kern w:val="21"/>
                <w:lang w:eastAsia="zh-CN"/>
              </w:rPr>
              <w:t>(</w:t>
            </w:r>
            <w:r>
              <w:rPr>
                <w:rFonts w:eastAsia="Times New Roman"/>
                <w:b/>
                <w:color w:val="auto"/>
                <w:kern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504" w:type="dxa"/>
            <w:gridSpan w:val="6"/>
            <w:vAlign w:val="center"/>
          </w:tcPr>
          <w:p>
            <w:pPr>
              <w:adjustRightInd w:val="0"/>
              <w:snapToGrid w:val="0"/>
              <w:jc w:val="center"/>
              <w:rPr>
                <w:color w:val="auto"/>
                <w:kern w:val="21"/>
              </w:rPr>
            </w:pPr>
            <w:r>
              <w:rPr>
                <w:color w:val="auto"/>
                <w:kern w:val="21"/>
              </w:rPr>
              <w:t>一般排放口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Align w:val="center"/>
          </w:tcPr>
          <w:p>
            <w:pPr>
              <w:adjustRightInd w:val="0"/>
              <w:snapToGrid w:val="0"/>
              <w:jc w:val="center"/>
              <w:rPr>
                <w:rFonts w:eastAsia="Times New Roman"/>
                <w:color w:val="auto"/>
                <w:kern w:val="21"/>
              </w:rPr>
            </w:pPr>
            <w:r>
              <w:rPr>
                <w:color w:val="auto"/>
                <w:kern w:val="21"/>
              </w:rPr>
              <w:t>1</w:t>
            </w:r>
          </w:p>
        </w:tc>
        <w:tc>
          <w:tcPr>
            <w:tcW w:w="1187" w:type="dxa"/>
            <w:vAlign w:val="center"/>
          </w:tcPr>
          <w:p>
            <w:pPr>
              <w:adjustRightInd w:val="0"/>
              <w:snapToGrid w:val="0"/>
              <w:jc w:val="center"/>
              <w:rPr>
                <w:color w:val="auto"/>
                <w:kern w:val="21"/>
              </w:rPr>
            </w:pPr>
            <w:r>
              <w:rPr>
                <w:color w:val="auto"/>
                <w:kern w:val="21"/>
              </w:rPr>
              <w:t>DA001</w:t>
            </w:r>
          </w:p>
        </w:tc>
        <w:tc>
          <w:tcPr>
            <w:tcW w:w="1318" w:type="dxa"/>
            <w:vAlign w:val="center"/>
          </w:tcPr>
          <w:p>
            <w:pPr>
              <w:adjustRightInd w:val="0"/>
              <w:snapToGrid w:val="0"/>
              <w:jc w:val="center"/>
              <w:rPr>
                <w:color w:val="auto"/>
                <w:kern w:val="21"/>
              </w:rPr>
            </w:pPr>
            <w:r>
              <w:rPr>
                <w:color w:val="auto"/>
                <w:kern w:val="21"/>
              </w:rPr>
              <w:t>HCL</w:t>
            </w:r>
          </w:p>
        </w:tc>
        <w:tc>
          <w:tcPr>
            <w:tcW w:w="1877" w:type="dxa"/>
            <w:vAlign w:val="center"/>
          </w:tcPr>
          <w:p>
            <w:pPr>
              <w:adjustRightInd w:val="0"/>
              <w:snapToGrid w:val="0"/>
              <w:jc w:val="center"/>
              <w:rPr>
                <w:bCs/>
                <w:color w:val="auto"/>
                <w:kern w:val="21"/>
              </w:rPr>
            </w:pPr>
            <w:r>
              <w:rPr>
                <w:rFonts w:hint="eastAsia"/>
                <w:bCs/>
                <w:color w:val="auto"/>
                <w:kern w:val="21"/>
              </w:rPr>
              <w:t>2.747（基准排气量）</w:t>
            </w:r>
          </w:p>
        </w:tc>
        <w:tc>
          <w:tcPr>
            <w:tcW w:w="1662" w:type="dxa"/>
            <w:vAlign w:val="center"/>
          </w:tcPr>
          <w:p>
            <w:pPr>
              <w:adjustRightInd w:val="0"/>
              <w:snapToGrid w:val="0"/>
              <w:jc w:val="center"/>
              <w:rPr>
                <w:rFonts w:hint="eastAsia" w:eastAsia="宋体"/>
                <w:bCs/>
                <w:color w:val="auto"/>
                <w:kern w:val="21"/>
                <w:lang w:val="en-US" w:eastAsia="zh-CN"/>
              </w:rPr>
            </w:pPr>
            <w:r>
              <w:rPr>
                <w:rFonts w:hint="eastAsia"/>
                <w:bCs/>
                <w:color w:val="auto"/>
                <w:kern w:val="21"/>
              </w:rPr>
              <w:t>0.034</w:t>
            </w:r>
            <w:r>
              <w:rPr>
                <w:rFonts w:hint="eastAsia"/>
                <w:bCs/>
                <w:color w:val="auto"/>
                <w:kern w:val="21"/>
                <w:lang w:val="en-US" w:eastAsia="zh-CN"/>
              </w:rPr>
              <w:t>2</w:t>
            </w:r>
          </w:p>
        </w:tc>
        <w:tc>
          <w:tcPr>
            <w:tcW w:w="1834" w:type="dxa"/>
            <w:vAlign w:val="center"/>
          </w:tcPr>
          <w:p>
            <w:pPr>
              <w:widowControl w:val="0"/>
              <w:jc w:val="center"/>
              <w:rPr>
                <w:rFonts w:hint="eastAsia" w:eastAsia="宋体"/>
                <w:snapToGrid w:val="0"/>
                <w:color w:val="auto"/>
                <w:kern w:val="21"/>
                <w:lang w:val="en-US" w:eastAsia="zh-CN"/>
              </w:rPr>
            </w:pPr>
            <w:r>
              <w:rPr>
                <w:rFonts w:hint="eastAsia"/>
                <w:snapToGrid w:val="0"/>
                <w:color w:val="auto"/>
                <w:kern w:val="21"/>
                <w:highlight w:val="none"/>
              </w:rPr>
              <w:t>0.25</w:t>
            </w:r>
            <w:r>
              <w:rPr>
                <w:rFonts w:hint="eastAsia"/>
                <w:snapToGrid w:val="0"/>
                <w:color w:val="auto"/>
                <w:kern w:val="21"/>
                <w:highlight w:val="none"/>
                <w:lang w:val="en-US" w:eastAsia="zh-CN"/>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Merge w:val="restart"/>
            <w:vAlign w:val="center"/>
          </w:tcPr>
          <w:p>
            <w:pPr>
              <w:adjustRightInd w:val="0"/>
              <w:snapToGrid w:val="0"/>
              <w:jc w:val="center"/>
              <w:rPr>
                <w:color w:val="auto"/>
                <w:kern w:val="21"/>
              </w:rPr>
            </w:pPr>
            <w:r>
              <w:rPr>
                <w:color w:val="auto"/>
                <w:kern w:val="21"/>
              </w:rPr>
              <w:t>2</w:t>
            </w:r>
          </w:p>
        </w:tc>
        <w:tc>
          <w:tcPr>
            <w:tcW w:w="1187" w:type="dxa"/>
            <w:vMerge w:val="restart"/>
            <w:vAlign w:val="center"/>
          </w:tcPr>
          <w:p>
            <w:pPr>
              <w:adjustRightInd w:val="0"/>
              <w:snapToGrid w:val="0"/>
              <w:jc w:val="center"/>
              <w:rPr>
                <w:rFonts w:eastAsia="Times New Roman"/>
                <w:color w:val="auto"/>
                <w:kern w:val="21"/>
              </w:rPr>
            </w:pPr>
            <w:r>
              <w:rPr>
                <w:color w:val="auto"/>
                <w:kern w:val="21"/>
              </w:rPr>
              <w:t>DA002</w:t>
            </w:r>
          </w:p>
        </w:tc>
        <w:tc>
          <w:tcPr>
            <w:tcW w:w="1318" w:type="dxa"/>
            <w:vAlign w:val="center"/>
          </w:tcPr>
          <w:p>
            <w:pPr>
              <w:adjustRightInd w:val="0"/>
              <w:snapToGrid w:val="0"/>
              <w:jc w:val="center"/>
              <w:rPr>
                <w:color w:val="auto"/>
                <w:kern w:val="21"/>
              </w:rPr>
            </w:pPr>
            <w:r>
              <w:rPr>
                <w:color w:val="auto"/>
                <w:kern w:val="21"/>
              </w:rPr>
              <w:t>颗粒物</w:t>
            </w:r>
          </w:p>
        </w:tc>
        <w:tc>
          <w:tcPr>
            <w:tcW w:w="1877" w:type="dxa"/>
            <w:vAlign w:val="center"/>
          </w:tcPr>
          <w:p>
            <w:pPr>
              <w:widowControl w:val="0"/>
              <w:jc w:val="center"/>
              <w:rPr>
                <w:color w:val="auto"/>
              </w:rPr>
            </w:pPr>
            <w:r>
              <w:rPr>
                <w:color w:val="auto"/>
              </w:rPr>
              <w:t>4.8</w:t>
            </w:r>
          </w:p>
        </w:tc>
        <w:tc>
          <w:tcPr>
            <w:tcW w:w="1662" w:type="dxa"/>
            <w:vAlign w:val="center"/>
          </w:tcPr>
          <w:p>
            <w:pPr>
              <w:widowControl w:val="0"/>
              <w:jc w:val="center"/>
              <w:rPr>
                <w:color w:val="auto"/>
              </w:rPr>
            </w:pPr>
            <w:r>
              <w:rPr>
                <w:color w:val="auto"/>
              </w:rPr>
              <w:t>0.03</w:t>
            </w:r>
            <w:r>
              <w:rPr>
                <w:rFonts w:hint="eastAsia"/>
                <w:color w:val="auto"/>
              </w:rPr>
              <w:t>87</w:t>
            </w:r>
          </w:p>
        </w:tc>
        <w:tc>
          <w:tcPr>
            <w:tcW w:w="1834" w:type="dxa"/>
            <w:vAlign w:val="center"/>
          </w:tcPr>
          <w:p>
            <w:pPr>
              <w:widowControl w:val="0"/>
              <w:jc w:val="center"/>
              <w:rPr>
                <w:rFonts w:hint="eastAsia" w:eastAsia="宋体"/>
                <w:snapToGrid w:val="0"/>
                <w:color w:val="auto"/>
                <w:kern w:val="21"/>
                <w:lang w:eastAsia="zh-CN"/>
              </w:rPr>
            </w:pPr>
            <w:r>
              <w:rPr>
                <w:snapToGrid w:val="0"/>
                <w:color w:val="auto"/>
                <w:kern w:val="21"/>
              </w:rPr>
              <w:t>0.22</w:t>
            </w:r>
            <w:r>
              <w:rPr>
                <w:rFonts w:hint="eastAsia"/>
                <w:snapToGrid w:val="0"/>
                <w:color w:val="auto"/>
                <w:kern w:val="21"/>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Merge w:val="continue"/>
            <w:vAlign w:val="center"/>
          </w:tcPr>
          <w:p>
            <w:pPr>
              <w:adjustRightInd w:val="0"/>
              <w:snapToGrid w:val="0"/>
              <w:jc w:val="center"/>
              <w:rPr>
                <w:color w:val="auto"/>
                <w:kern w:val="21"/>
              </w:rPr>
            </w:pPr>
          </w:p>
        </w:tc>
        <w:tc>
          <w:tcPr>
            <w:tcW w:w="1187" w:type="dxa"/>
            <w:vMerge w:val="continue"/>
            <w:vAlign w:val="center"/>
          </w:tcPr>
          <w:p>
            <w:pPr>
              <w:adjustRightInd w:val="0"/>
              <w:snapToGrid w:val="0"/>
              <w:jc w:val="center"/>
              <w:rPr>
                <w:color w:val="auto"/>
                <w:kern w:val="21"/>
              </w:rPr>
            </w:pPr>
          </w:p>
        </w:tc>
        <w:tc>
          <w:tcPr>
            <w:tcW w:w="1318" w:type="dxa"/>
            <w:vAlign w:val="center"/>
          </w:tcPr>
          <w:p>
            <w:pPr>
              <w:adjustRightInd w:val="0"/>
              <w:snapToGrid w:val="0"/>
              <w:jc w:val="center"/>
              <w:rPr>
                <w:color w:val="auto"/>
                <w:kern w:val="21"/>
              </w:rPr>
            </w:pPr>
            <w:r>
              <w:rPr>
                <w:color w:val="auto"/>
                <w:kern w:val="21"/>
              </w:rPr>
              <w:t>SO</w:t>
            </w:r>
            <w:r>
              <w:rPr>
                <w:color w:val="auto"/>
                <w:kern w:val="21"/>
                <w:vertAlign w:val="subscript"/>
              </w:rPr>
              <w:t>2</w:t>
            </w:r>
          </w:p>
        </w:tc>
        <w:tc>
          <w:tcPr>
            <w:tcW w:w="1877" w:type="dxa"/>
            <w:vAlign w:val="center"/>
          </w:tcPr>
          <w:p>
            <w:pPr>
              <w:widowControl w:val="0"/>
              <w:jc w:val="center"/>
              <w:rPr>
                <w:color w:val="auto"/>
              </w:rPr>
            </w:pPr>
            <w:r>
              <w:rPr>
                <w:color w:val="auto"/>
              </w:rPr>
              <w:t>9.28</w:t>
            </w:r>
          </w:p>
        </w:tc>
        <w:tc>
          <w:tcPr>
            <w:tcW w:w="1662" w:type="dxa"/>
            <w:vAlign w:val="center"/>
          </w:tcPr>
          <w:p>
            <w:pPr>
              <w:widowControl w:val="0"/>
              <w:jc w:val="center"/>
              <w:rPr>
                <w:color w:val="auto"/>
              </w:rPr>
            </w:pPr>
            <w:r>
              <w:rPr>
                <w:color w:val="auto"/>
              </w:rPr>
              <w:t>0.0748</w:t>
            </w:r>
          </w:p>
        </w:tc>
        <w:tc>
          <w:tcPr>
            <w:tcW w:w="1834" w:type="dxa"/>
            <w:vAlign w:val="center"/>
          </w:tcPr>
          <w:p>
            <w:pPr>
              <w:widowControl w:val="0"/>
              <w:jc w:val="center"/>
              <w:rPr>
                <w:rFonts w:hint="eastAsia" w:eastAsia="宋体"/>
                <w:snapToGrid w:val="0"/>
                <w:color w:val="auto"/>
                <w:kern w:val="21"/>
                <w:lang w:val="en-US" w:eastAsia="zh-CN"/>
              </w:rPr>
            </w:pPr>
            <w:r>
              <w:rPr>
                <w:snapToGrid w:val="0"/>
                <w:color w:val="auto"/>
                <w:kern w:val="21"/>
              </w:rPr>
              <w:t>0.43</w:t>
            </w:r>
            <w:r>
              <w:rPr>
                <w:rFonts w:hint="eastAsia"/>
                <w:snapToGrid w:val="0"/>
                <w:color w:val="auto"/>
                <w:kern w:val="21"/>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Merge w:val="continue"/>
            <w:vAlign w:val="center"/>
          </w:tcPr>
          <w:p>
            <w:pPr>
              <w:adjustRightInd w:val="0"/>
              <w:snapToGrid w:val="0"/>
              <w:jc w:val="center"/>
              <w:rPr>
                <w:color w:val="auto"/>
                <w:kern w:val="21"/>
              </w:rPr>
            </w:pPr>
          </w:p>
        </w:tc>
        <w:tc>
          <w:tcPr>
            <w:tcW w:w="1187" w:type="dxa"/>
            <w:vMerge w:val="continue"/>
            <w:vAlign w:val="center"/>
          </w:tcPr>
          <w:p>
            <w:pPr>
              <w:adjustRightInd w:val="0"/>
              <w:snapToGrid w:val="0"/>
              <w:jc w:val="center"/>
              <w:rPr>
                <w:color w:val="auto"/>
                <w:kern w:val="21"/>
              </w:rPr>
            </w:pPr>
          </w:p>
        </w:tc>
        <w:tc>
          <w:tcPr>
            <w:tcW w:w="1318" w:type="dxa"/>
            <w:vAlign w:val="center"/>
          </w:tcPr>
          <w:p>
            <w:pPr>
              <w:adjustRightInd w:val="0"/>
              <w:snapToGrid w:val="0"/>
              <w:jc w:val="center"/>
              <w:rPr>
                <w:color w:val="auto"/>
                <w:kern w:val="21"/>
              </w:rPr>
            </w:pPr>
            <w:r>
              <w:rPr>
                <w:color w:val="auto"/>
                <w:kern w:val="21"/>
              </w:rPr>
              <w:t>NOx</w:t>
            </w:r>
          </w:p>
        </w:tc>
        <w:tc>
          <w:tcPr>
            <w:tcW w:w="1877" w:type="dxa"/>
            <w:vAlign w:val="center"/>
          </w:tcPr>
          <w:p>
            <w:pPr>
              <w:widowControl w:val="0"/>
              <w:jc w:val="center"/>
              <w:rPr>
                <w:color w:val="auto"/>
              </w:rPr>
            </w:pPr>
            <w:r>
              <w:rPr>
                <w:color w:val="auto"/>
              </w:rPr>
              <w:t>28.12</w:t>
            </w:r>
          </w:p>
        </w:tc>
        <w:tc>
          <w:tcPr>
            <w:tcW w:w="1662" w:type="dxa"/>
            <w:vAlign w:val="center"/>
          </w:tcPr>
          <w:p>
            <w:pPr>
              <w:widowControl w:val="0"/>
              <w:jc w:val="center"/>
              <w:rPr>
                <w:color w:val="auto"/>
              </w:rPr>
            </w:pPr>
            <w:r>
              <w:rPr>
                <w:color w:val="auto"/>
              </w:rPr>
              <w:t>0.2267</w:t>
            </w:r>
          </w:p>
        </w:tc>
        <w:tc>
          <w:tcPr>
            <w:tcW w:w="1834" w:type="dxa"/>
            <w:vAlign w:val="center"/>
          </w:tcPr>
          <w:p>
            <w:pPr>
              <w:widowControl w:val="0"/>
              <w:jc w:val="center"/>
              <w:rPr>
                <w:snapToGrid w:val="0"/>
                <w:color w:val="auto"/>
                <w:kern w:val="21"/>
              </w:rPr>
            </w:pPr>
            <w:r>
              <w:rPr>
                <w:snapToGrid w:val="0"/>
                <w:color w:val="auto"/>
                <w:kern w:val="21"/>
              </w:rPr>
              <w:t>1.316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Merge w:val="restart"/>
            <w:vAlign w:val="center"/>
          </w:tcPr>
          <w:p>
            <w:pPr>
              <w:adjustRightInd w:val="0"/>
              <w:snapToGrid w:val="0"/>
              <w:jc w:val="center"/>
              <w:rPr>
                <w:color w:val="auto"/>
                <w:kern w:val="21"/>
              </w:rPr>
            </w:pPr>
            <w:r>
              <w:rPr>
                <w:color w:val="auto"/>
                <w:kern w:val="21"/>
              </w:rPr>
              <w:t>3</w:t>
            </w:r>
          </w:p>
        </w:tc>
        <w:tc>
          <w:tcPr>
            <w:tcW w:w="1187" w:type="dxa"/>
            <w:vMerge w:val="restart"/>
            <w:vAlign w:val="center"/>
          </w:tcPr>
          <w:p>
            <w:pPr>
              <w:adjustRightInd w:val="0"/>
              <w:snapToGrid w:val="0"/>
              <w:jc w:val="center"/>
              <w:rPr>
                <w:color w:val="auto"/>
                <w:kern w:val="21"/>
              </w:rPr>
            </w:pPr>
            <w:r>
              <w:rPr>
                <w:color w:val="auto"/>
                <w:kern w:val="21"/>
              </w:rPr>
              <w:t>DA003</w:t>
            </w:r>
          </w:p>
        </w:tc>
        <w:tc>
          <w:tcPr>
            <w:tcW w:w="1318" w:type="dxa"/>
            <w:vAlign w:val="center"/>
          </w:tcPr>
          <w:p>
            <w:pPr>
              <w:adjustRightInd w:val="0"/>
              <w:snapToGrid w:val="0"/>
              <w:jc w:val="center"/>
              <w:rPr>
                <w:color w:val="auto"/>
                <w:kern w:val="21"/>
              </w:rPr>
            </w:pPr>
            <w:r>
              <w:rPr>
                <w:color w:val="auto"/>
                <w:kern w:val="21"/>
              </w:rPr>
              <w:t>NH</w:t>
            </w:r>
            <w:r>
              <w:rPr>
                <w:color w:val="auto"/>
                <w:kern w:val="21"/>
                <w:vertAlign w:val="subscript"/>
              </w:rPr>
              <w:t>3</w:t>
            </w:r>
          </w:p>
        </w:tc>
        <w:tc>
          <w:tcPr>
            <w:tcW w:w="1877" w:type="dxa"/>
            <w:vAlign w:val="center"/>
          </w:tcPr>
          <w:p>
            <w:pPr>
              <w:widowControl w:val="0"/>
              <w:jc w:val="center"/>
              <w:rPr>
                <w:color w:val="auto"/>
              </w:rPr>
            </w:pPr>
            <w:r>
              <w:rPr>
                <w:color w:val="auto"/>
              </w:rPr>
              <w:t>0.818</w:t>
            </w:r>
          </w:p>
        </w:tc>
        <w:tc>
          <w:tcPr>
            <w:tcW w:w="1662" w:type="dxa"/>
            <w:vAlign w:val="center"/>
          </w:tcPr>
          <w:p>
            <w:pPr>
              <w:widowControl w:val="0"/>
              <w:jc w:val="center"/>
              <w:rPr>
                <w:color w:val="auto"/>
              </w:rPr>
            </w:pPr>
            <w:r>
              <w:rPr>
                <w:snapToGrid w:val="0"/>
                <w:color w:val="auto"/>
                <w:kern w:val="21"/>
              </w:rPr>
              <w:t>0.0</w:t>
            </w:r>
            <w:r>
              <w:rPr>
                <w:rFonts w:hint="eastAsia"/>
                <w:snapToGrid w:val="0"/>
                <w:color w:val="auto"/>
                <w:kern w:val="21"/>
              </w:rPr>
              <w:t>714</w:t>
            </w:r>
          </w:p>
        </w:tc>
        <w:tc>
          <w:tcPr>
            <w:tcW w:w="1834" w:type="dxa"/>
            <w:vAlign w:val="center"/>
          </w:tcPr>
          <w:p>
            <w:pPr>
              <w:widowControl w:val="0"/>
              <w:jc w:val="center"/>
              <w:rPr>
                <w:snapToGrid w:val="0"/>
                <w:color w:val="auto"/>
                <w:kern w:val="21"/>
              </w:rPr>
            </w:pPr>
            <w:r>
              <w:rPr>
                <w:snapToGrid w:val="0"/>
                <w:color w:val="auto"/>
                <w:kern w:val="21"/>
              </w:rPr>
              <w:t>0.</w:t>
            </w:r>
            <w:r>
              <w:rPr>
                <w:rFonts w:hint="eastAsia"/>
                <w:snapToGrid w:val="0"/>
                <w:color w:val="auto"/>
                <w:kern w:val="21"/>
              </w:rPr>
              <w:t>565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Merge w:val="continue"/>
            <w:vAlign w:val="center"/>
          </w:tcPr>
          <w:p>
            <w:pPr>
              <w:adjustRightInd w:val="0"/>
              <w:snapToGrid w:val="0"/>
              <w:jc w:val="center"/>
              <w:rPr>
                <w:color w:val="auto"/>
                <w:kern w:val="21"/>
              </w:rPr>
            </w:pPr>
          </w:p>
        </w:tc>
        <w:tc>
          <w:tcPr>
            <w:tcW w:w="1187" w:type="dxa"/>
            <w:vMerge w:val="continue"/>
            <w:vAlign w:val="center"/>
          </w:tcPr>
          <w:p>
            <w:pPr>
              <w:adjustRightInd w:val="0"/>
              <w:snapToGrid w:val="0"/>
              <w:jc w:val="center"/>
              <w:rPr>
                <w:color w:val="auto"/>
                <w:kern w:val="21"/>
              </w:rPr>
            </w:pPr>
          </w:p>
        </w:tc>
        <w:tc>
          <w:tcPr>
            <w:tcW w:w="1318" w:type="dxa"/>
            <w:vAlign w:val="center"/>
          </w:tcPr>
          <w:p>
            <w:pPr>
              <w:adjustRightInd w:val="0"/>
              <w:snapToGrid w:val="0"/>
              <w:jc w:val="center"/>
              <w:rPr>
                <w:b/>
                <w:bCs/>
                <w:color w:val="auto"/>
                <w:kern w:val="21"/>
                <w:u w:val="single"/>
              </w:rPr>
            </w:pPr>
            <w:r>
              <w:rPr>
                <w:b/>
                <w:bCs/>
                <w:color w:val="auto"/>
                <w:kern w:val="21"/>
                <w:u w:val="single"/>
              </w:rPr>
              <w:t>H</w:t>
            </w:r>
            <w:r>
              <w:rPr>
                <w:b/>
                <w:bCs/>
                <w:color w:val="auto"/>
                <w:kern w:val="21"/>
                <w:u w:val="single"/>
                <w:vertAlign w:val="subscript"/>
              </w:rPr>
              <w:t>2</w:t>
            </w:r>
            <w:r>
              <w:rPr>
                <w:b/>
                <w:bCs/>
                <w:color w:val="auto"/>
                <w:kern w:val="21"/>
                <w:u w:val="single"/>
              </w:rPr>
              <w:t>S</w:t>
            </w:r>
          </w:p>
        </w:tc>
        <w:tc>
          <w:tcPr>
            <w:tcW w:w="1877" w:type="dxa"/>
            <w:vAlign w:val="center"/>
          </w:tcPr>
          <w:p>
            <w:pPr>
              <w:widowControl w:val="0"/>
              <w:jc w:val="center"/>
              <w:rPr>
                <w:b/>
                <w:bCs/>
                <w:color w:val="auto"/>
                <w:u w:val="single"/>
              </w:rPr>
            </w:pPr>
            <w:r>
              <w:rPr>
                <w:rFonts w:hint="eastAsia"/>
                <w:b/>
                <w:bCs/>
                <w:color w:val="auto"/>
                <w:u w:val="single"/>
              </w:rPr>
              <w:t>0.1023</w:t>
            </w:r>
          </w:p>
        </w:tc>
        <w:tc>
          <w:tcPr>
            <w:tcW w:w="1662" w:type="dxa"/>
            <w:vAlign w:val="center"/>
          </w:tcPr>
          <w:p>
            <w:pPr>
              <w:widowControl w:val="0"/>
              <w:jc w:val="center"/>
              <w:rPr>
                <w:rFonts w:hint="eastAsia" w:eastAsia="宋体"/>
                <w:b/>
                <w:bCs/>
                <w:color w:val="auto"/>
                <w:u w:val="single"/>
                <w:lang w:val="en-US" w:eastAsia="zh-CN"/>
              </w:rPr>
            </w:pPr>
            <w:r>
              <w:rPr>
                <w:rFonts w:hint="eastAsia"/>
                <w:b/>
                <w:bCs/>
                <w:snapToGrid w:val="0"/>
                <w:color w:val="auto"/>
                <w:kern w:val="21"/>
                <w:u w:val="single"/>
              </w:rPr>
              <w:t>5.117</w:t>
            </w:r>
            <w:r>
              <w:rPr>
                <w:b/>
                <w:bCs/>
                <w:snapToGrid w:val="0"/>
                <w:color w:val="auto"/>
                <w:kern w:val="21"/>
                <w:u w:val="single"/>
              </w:rPr>
              <w:t>×10</w:t>
            </w:r>
            <w:r>
              <w:rPr>
                <w:b/>
                <w:bCs/>
                <w:snapToGrid w:val="0"/>
                <w:color w:val="auto"/>
                <w:kern w:val="21"/>
                <w:u w:val="single"/>
                <w:vertAlign w:val="superscript"/>
              </w:rPr>
              <w:t>-</w:t>
            </w:r>
            <w:r>
              <w:rPr>
                <w:rFonts w:hint="eastAsia"/>
                <w:b/>
                <w:bCs/>
                <w:snapToGrid w:val="0"/>
                <w:color w:val="auto"/>
                <w:kern w:val="21"/>
                <w:u w:val="single"/>
                <w:vertAlign w:val="superscript"/>
                <w:lang w:val="en-US" w:eastAsia="zh-CN"/>
              </w:rPr>
              <w:t>4</w:t>
            </w:r>
          </w:p>
        </w:tc>
        <w:tc>
          <w:tcPr>
            <w:tcW w:w="1834" w:type="dxa"/>
            <w:vAlign w:val="center"/>
          </w:tcPr>
          <w:p>
            <w:pPr>
              <w:widowControl w:val="0"/>
              <w:snapToGrid w:val="0"/>
              <w:spacing w:line="240" w:lineRule="atLeast"/>
              <w:jc w:val="center"/>
              <w:rPr>
                <w:b/>
                <w:bCs/>
                <w:color w:val="auto"/>
                <w:u w:val="single"/>
              </w:rPr>
            </w:pPr>
            <w:r>
              <w:rPr>
                <w:rFonts w:hint="eastAsia"/>
                <w:b/>
                <w:bCs/>
                <w:color w:val="auto"/>
                <w:u w:val="single"/>
              </w:rPr>
              <w:t>4.05</w:t>
            </w:r>
            <w:r>
              <w:rPr>
                <w:rFonts w:hint="eastAsia"/>
                <w:b/>
                <w:bCs/>
                <w:color w:val="auto"/>
                <w:u w:val="single"/>
                <w:lang w:val="en-US" w:eastAsia="zh-CN"/>
              </w:rPr>
              <w:t>3</w:t>
            </w:r>
            <w:r>
              <w:rPr>
                <w:b/>
                <w:bCs/>
                <w:color w:val="auto"/>
                <w:u w:val="single"/>
              </w:rPr>
              <w:t>×10</w:t>
            </w:r>
            <w:r>
              <w:rPr>
                <w:b/>
                <w:bCs/>
                <w:color w:val="auto"/>
                <w:u w:val="single"/>
                <w:vertAlign w:val="superscript"/>
              </w:rPr>
              <w:t>-</w:t>
            </w:r>
            <w:r>
              <w:rPr>
                <w:rFonts w:hint="eastAsia"/>
                <w:b/>
                <w:bCs/>
                <w:color w:val="auto"/>
                <w:u w:val="single"/>
                <w:vertAlign w:val="super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6" w:type="dxa"/>
            <w:vAlign w:val="center"/>
          </w:tcPr>
          <w:p>
            <w:pPr>
              <w:adjustRightInd w:val="0"/>
              <w:snapToGrid w:val="0"/>
              <w:jc w:val="center"/>
              <w:rPr>
                <w:color w:val="auto"/>
                <w:kern w:val="21"/>
              </w:rPr>
            </w:pPr>
            <w:r>
              <w:rPr>
                <w:color w:val="auto"/>
                <w:kern w:val="21"/>
              </w:rPr>
              <w:t>5</w:t>
            </w:r>
          </w:p>
        </w:tc>
        <w:tc>
          <w:tcPr>
            <w:tcW w:w="1187" w:type="dxa"/>
            <w:vAlign w:val="center"/>
          </w:tcPr>
          <w:p>
            <w:pPr>
              <w:adjustRightInd w:val="0"/>
              <w:snapToGrid w:val="0"/>
              <w:jc w:val="center"/>
              <w:rPr>
                <w:color w:val="auto"/>
                <w:kern w:val="21"/>
              </w:rPr>
            </w:pPr>
            <w:r>
              <w:rPr>
                <w:color w:val="auto"/>
                <w:kern w:val="21"/>
              </w:rPr>
              <w:t>DA004</w:t>
            </w:r>
          </w:p>
        </w:tc>
        <w:tc>
          <w:tcPr>
            <w:tcW w:w="1318" w:type="dxa"/>
            <w:vAlign w:val="center"/>
          </w:tcPr>
          <w:p>
            <w:pPr>
              <w:adjustRightInd w:val="0"/>
              <w:snapToGrid w:val="0"/>
              <w:jc w:val="center"/>
              <w:rPr>
                <w:b/>
                <w:bCs/>
                <w:color w:val="auto"/>
                <w:kern w:val="21"/>
                <w:u w:val="single"/>
              </w:rPr>
            </w:pPr>
            <w:r>
              <w:rPr>
                <w:b/>
                <w:bCs/>
                <w:color w:val="auto"/>
                <w:kern w:val="21"/>
                <w:u w:val="single"/>
              </w:rPr>
              <w:t>颗粒物</w:t>
            </w:r>
          </w:p>
        </w:tc>
        <w:tc>
          <w:tcPr>
            <w:tcW w:w="1877" w:type="dxa"/>
            <w:vAlign w:val="center"/>
          </w:tcPr>
          <w:p>
            <w:pPr>
              <w:widowControl w:val="0"/>
              <w:jc w:val="center"/>
              <w:rPr>
                <w:b/>
                <w:bCs/>
                <w:color w:val="auto"/>
                <w:u w:val="single"/>
              </w:rPr>
            </w:pPr>
            <w:r>
              <w:rPr>
                <w:rFonts w:hint="eastAsia"/>
                <w:b/>
                <w:bCs/>
                <w:color w:val="auto"/>
                <w:u w:val="single"/>
              </w:rPr>
              <w:t>4.428</w:t>
            </w:r>
          </w:p>
        </w:tc>
        <w:tc>
          <w:tcPr>
            <w:tcW w:w="1662" w:type="dxa"/>
            <w:vAlign w:val="center"/>
          </w:tcPr>
          <w:p>
            <w:pPr>
              <w:widowControl w:val="0"/>
              <w:jc w:val="center"/>
              <w:rPr>
                <w:b/>
                <w:bCs/>
                <w:color w:val="auto"/>
                <w:u w:val="single"/>
              </w:rPr>
            </w:pPr>
            <w:r>
              <w:rPr>
                <w:rFonts w:hint="eastAsia"/>
                <w:b/>
                <w:bCs/>
                <w:color w:val="auto"/>
                <w:u w:val="single"/>
              </w:rPr>
              <w:t>0.0221</w:t>
            </w:r>
          </w:p>
        </w:tc>
        <w:tc>
          <w:tcPr>
            <w:tcW w:w="1834" w:type="dxa"/>
            <w:vAlign w:val="center"/>
          </w:tcPr>
          <w:p>
            <w:pPr>
              <w:jc w:val="center"/>
              <w:textAlignment w:val="bottom"/>
              <w:rPr>
                <w:rFonts w:hint="default" w:eastAsia="宋体"/>
                <w:b/>
                <w:bCs/>
                <w:color w:val="auto"/>
                <w:kern w:val="21"/>
                <w:u w:val="single"/>
                <w:lang w:val="en-US" w:eastAsia="zh-CN"/>
              </w:rPr>
            </w:pPr>
            <w:r>
              <w:rPr>
                <w:rFonts w:hint="eastAsia"/>
                <w:b/>
                <w:bCs/>
                <w:color w:val="auto"/>
                <w:kern w:val="21"/>
                <w:u w:val="single"/>
              </w:rPr>
              <w:t>0.07</w:t>
            </w:r>
            <w:r>
              <w:rPr>
                <w:rFonts w:hint="eastAsia"/>
                <w:b/>
                <w:bCs/>
                <w:color w:val="auto"/>
                <w:kern w:val="21"/>
                <w:u w:val="singl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 w:hRule="atLeast"/>
          <w:jc w:val="center"/>
        </w:trPr>
        <w:tc>
          <w:tcPr>
            <w:tcW w:w="8504" w:type="dxa"/>
            <w:gridSpan w:val="6"/>
            <w:vAlign w:val="center"/>
          </w:tcPr>
          <w:p>
            <w:pPr>
              <w:adjustRightInd w:val="0"/>
              <w:snapToGrid w:val="0"/>
              <w:jc w:val="center"/>
              <w:rPr>
                <w:color w:val="auto"/>
                <w:kern w:val="21"/>
              </w:rPr>
            </w:pPr>
            <w:r>
              <w:rPr>
                <w:color w:val="auto"/>
                <w:kern w:val="21"/>
              </w:rPr>
              <w:t>有组织排放总计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1813" w:type="dxa"/>
            <w:gridSpan w:val="2"/>
            <w:vMerge w:val="restart"/>
            <w:vAlign w:val="center"/>
          </w:tcPr>
          <w:p>
            <w:pPr>
              <w:adjustRightInd w:val="0"/>
              <w:snapToGrid w:val="0"/>
              <w:jc w:val="center"/>
              <w:rPr>
                <w:color w:val="auto"/>
                <w:kern w:val="21"/>
              </w:rPr>
            </w:pPr>
            <w:r>
              <w:rPr>
                <w:color w:val="auto"/>
                <w:kern w:val="21"/>
              </w:rPr>
              <w:t>有组织排放总计</w:t>
            </w:r>
          </w:p>
        </w:tc>
        <w:tc>
          <w:tcPr>
            <w:tcW w:w="4857" w:type="dxa"/>
            <w:gridSpan w:val="3"/>
            <w:vAlign w:val="center"/>
          </w:tcPr>
          <w:p>
            <w:pPr>
              <w:adjustRightInd w:val="0"/>
              <w:snapToGrid w:val="0"/>
              <w:jc w:val="center"/>
              <w:rPr>
                <w:color w:val="auto"/>
                <w:kern w:val="21"/>
              </w:rPr>
            </w:pPr>
            <w:r>
              <w:rPr>
                <w:color w:val="auto"/>
                <w:kern w:val="21"/>
              </w:rPr>
              <w:t>氯化氢</w:t>
            </w:r>
          </w:p>
        </w:tc>
        <w:tc>
          <w:tcPr>
            <w:tcW w:w="1834" w:type="dxa"/>
            <w:vAlign w:val="center"/>
          </w:tcPr>
          <w:p>
            <w:pPr>
              <w:adjustRightInd w:val="0"/>
              <w:snapToGrid w:val="0"/>
              <w:jc w:val="center"/>
              <w:rPr>
                <w:rFonts w:hint="eastAsia" w:eastAsia="宋体"/>
                <w:bCs/>
                <w:color w:val="auto"/>
                <w:kern w:val="21"/>
                <w:lang w:val="en-US" w:eastAsia="zh-CN"/>
              </w:rPr>
            </w:pPr>
            <w:r>
              <w:rPr>
                <w:rFonts w:hint="eastAsia"/>
                <w:snapToGrid w:val="0"/>
                <w:color w:val="auto"/>
                <w:kern w:val="21"/>
              </w:rPr>
              <w:t>0.25</w:t>
            </w:r>
            <w:r>
              <w:rPr>
                <w:rFonts w:hint="eastAsia"/>
                <w:snapToGrid w:val="0"/>
                <w:color w:val="auto"/>
                <w:kern w:val="21"/>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813" w:type="dxa"/>
            <w:gridSpan w:val="2"/>
            <w:vMerge w:val="continue"/>
            <w:vAlign w:val="center"/>
          </w:tcPr>
          <w:p>
            <w:pPr>
              <w:adjustRightInd w:val="0"/>
              <w:snapToGrid w:val="0"/>
              <w:jc w:val="center"/>
              <w:rPr>
                <w:color w:val="auto"/>
                <w:kern w:val="21"/>
              </w:rPr>
            </w:pPr>
          </w:p>
        </w:tc>
        <w:tc>
          <w:tcPr>
            <w:tcW w:w="4857" w:type="dxa"/>
            <w:gridSpan w:val="3"/>
            <w:vAlign w:val="center"/>
          </w:tcPr>
          <w:p>
            <w:pPr>
              <w:adjustRightInd w:val="0"/>
              <w:snapToGrid w:val="0"/>
              <w:jc w:val="center"/>
              <w:rPr>
                <w:b/>
                <w:bCs/>
                <w:color w:val="auto"/>
                <w:kern w:val="21"/>
                <w:u w:val="single"/>
              </w:rPr>
            </w:pPr>
            <w:r>
              <w:rPr>
                <w:b/>
                <w:bCs/>
                <w:color w:val="auto"/>
                <w:kern w:val="21"/>
                <w:u w:val="single"/>
              </w:rPr>
              <w:t>颗粒物</w:t>
            </w:r>
          </w:p>
        </w:tc>
        <w:tc>
          <w:tcPr>
            <w:tcW w:w="1834" w:type="dxa"/>
            <w:vAlign w:val="center"/>
          </w:tcPr>
          <w:p>
            <w:pPr>
              <w:adjustRightInd w:val="0"/>
              <w:snapToGrid w:val="0"/>
              <w:jc w:val="center"/>
              <w:rPr>
                <w:rFonts w:hint="eastAsia" w:eastAsia="宋体"/>
                <w:b/>
                <w:bCs/>
                <w:color w:val="auto"/>
                <w:kern w:val="21"/>
                <w:u w:val="single"/>
                <w:lang w:val="en-US" w:eastAsia="zh-CN"/>
              </w:rPr>
            </w:pPr>
            <w:r>
              <w:rPr>
                <w:b/>
                <w:bCs/>
                <w:snapToGrid w:val="0"/>
                <w:color w:val="auto"/>
                <w:kern w:val="21"/>
                <w:u w:val="single"/>
              </w:rPr>
              <w:t>0.2</w:t>
            </w:r>
            <w:r>
              <w:rPr>
                <w:rFonts w:hint="eastAsia"/>
                <w:b/>
                <w:bCs/>
                <w:snapToGrid w:val="0"/>
                <w:color w:val="auto"/>
                <w:kern w:val="21"/>
                <w:u w:val="single"/>
              </w:rPr>
              <w:t>9</w:t>
            </w:r>
            <w:r>
              <w:rPr>
                <w:rFonts w:hint="eastAsia"/>
                <w:b/>
                <w:bCs/>
                <w:snapToGrid w:val="0"/>
                <w:color w:val="auto"/>
                <w:kern w:val="21"/>
                <w:u w:val="single"/>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813" w:type="dxa"/>
            <w:gridSpan w:val="2"/>
            <w:vMerge w:val="continue"/>
            <w:vAlign w:val="center"/>
          </w:tcPr>
          <w:p>
            <w:pPr>
              <w:adjustRightInd w:val="0"/>
              <w:snapToGrid w:val="0"/>
              <w:jc w:val="center"/>
              <w:rPr>
                <w:color w:val="auto"/>
                <w:kern w:val="21"/>
              </w:rPr>
            </w:pPr>
          </w:p>
        </w:tc>
        <w:tc>
          <w:tcPr>
            <w:tcW w:w="4857" w:type="dxa"/>
            <w:gridSpan w:val="3"/>
            <w:vAlign w:val="center"/>
          </w:tcPr>
          <w:p>
            <w:pPr>
              <w:adjustRightInd w:val="0"/>
              <w:snapToGrid w:val="0"/>
              <w:jc w:val="center"/>
              <w:rPr>
                <w:color w:val="auto"/>
                <w:kern w:val="21"/>
              </w:rPr>
            </w:pPr>
            <w:r>
              <w:rPr>
                <w:color w:val="auto"/>
                <w:kern w:val="21"/>
              </w:rPr>
              <w:t>SO</w:t>
            </w:r>
            <w:r>
              <w:rPr>
                <w:color w:val="auto"/>
                <w:kern w:val="21"/>
                <w:vertAlign w:val="subscript"/>
              </w:rPr>
              <w:t>2</w:t>
            </w:r>
          </w:p>
        </w:tc>
        <w:tc>
          <w:tcPr>
            <w:tcW w:w="1834" w:type="dxa"/>
            <w:vAlign w:val="center"/>
          </w:tcPr>
          <w:p>
            <w:pPr>
              <w:widowControl w:val="0"/>
              <w:snapToGrid w:val="0"/>
              <w:spacing w:line="240" w:lineRule="atLeast"/>
              <w:jc w:val="center"/>
              <w:rPr>
                <w:rFonts w:hint="eastAsia" w:eastAsia="宋体"/>
                <w:bCs/>
                <w:color w:val="auto"/>
                <w:lang w:val="en-US" w:eastAsia="zh-CN"/>
              </w:rPr>
            </w:pPr>
            <w:r>
              <w:rPr>
                <w:snapToGrid w:val="0"/>
                <w:color w:val="auto"/>
                <w:kern w:val="21"/>
              </w:rPr>
              <w:t>0.43</w:t>
            </w:r>
            <w:r>
              <w:rPr>
                <w:rFonts w:hint="eastAsia"/>
                <w:snapToGrid w:val="0"/>
                <w:color w:val="auto"/>
                <w:kern w:val="21"/>
                <w:lang w:val="en-US" w:eastAsia="zh-CN"/>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813" w:type="dxa"/>
            <w:gridSpan w:val="2"/>
            <w:vMerge w:val="continue"/>
            <w:vAlign w:val="center"/>
          </w:tcPr>
          <w:p>
            <w:pPr>
              <w:adjustRightInd w:val="0"/>
              <w:snapToGrid w:val="0"/>
              <w:jc w:val="center"/>
              <w:rPr>
                <w:color w:val="auto"/>
                <w:kern w:val="21"/>
              </w:rPr>
            </w:pPr>
          </w:p>
        </w:tc>
        <w:tc>
          <w:tcPr>
            <w:tcW w:w="4857" w:type="dxa"/>
            <w:gridSpan w:val="3"/>
            <w:vAlign w:val="center"/>
          </w:tcPr>
          <w:p>
            <w:pPr>
              <w:adjustRightInd w:val="0"/>
              <w:snapToGrid w:val="0"/>
              <w:jc w:val="center"/>
              <w:rPr>
                <w:color w:val="auto"/>
                <w:kern w:val="21"/>
              </w:rPr>
            </w:pPr>
            <w:r>
              <w:rPr>
                <w:color w:val="auto"/>
                <w:kern w:val="21"/>
              </w:rPr>
              <w:t>NOx</w:t>
            </w:r>
          </w:p>
        </w:tc>
        <w:tc>
          <w:tcPr>
            <w:tcW w:w="1834" w:type="dxa"/>
            <w:vAlign w:val="center"/>
          </w:tcPr>
          <w:p>
            <w:pPr>
              <w:widowControl w:val="0"/>
              <w:snapToGrid w:val="0"/>
              <w:spacing w:line="240" w:lineRule="atLeast"/>
              <w:jc w:val="center"/>
              <w:rPr>
                <w:bCs/>
                <w:color w:val="auto"/>
              </w:rPr>
            </w:pPr>
            <w:r>
              <w:rPr>
                <w:snapToGrid w:val="0"/>
                <w:color w:val="auto"/>
                <w:kern w:val="21"/>
              </w:rPr>
              <w:t>1.316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813" w:type="dxa"/>
            <w:gridSpan w:val="2"/>
            <w:vMerge w:val="continue"/>
            <w:vAlign w:val="center"/>
          </w:tcPr>
          <w:p>
            <w:pPr>
              <w:adjustRightInd w:val="0"/>
              <w:snapToGrid w:val="0"/>
              <w:jc w:val="center"/>
              <w:rPr>
                <w:color w:val="auto"/>
                <w:kern w:val="21"/>
              </w:rPr>
            </w:pPr>
          </w:p>
        </w:tc>
        <w:tc>
          <w:tcPr>
            <w:tcW w:w="4857" w:type="dxa"/>
            <w:gridSpan w:val="3"/>
            <w:vAlign w:val="center"/>
          </w:tcPr>
          <w:p>
            <w:pPr>
              <w:adjustRightInd w:val="0"/>
              <w:snapToGrid w:val="0"/>
              <w:jc w:val="center"/>
              <w:rPr>
                <w:color w:val="auto"/>
                <w:kern w:val="21"/>
              </w:rPr>
            </w:pPr>
            <w:r>
              <w:rPr>
                <w:color w:val="auto"/>
                <w:kern w:val="21"/>
              </w:rPr>
              <w:t>NH</w:t>
            </w:r>
            <w:r>
              <w:rPr>
                <w:color w:val="auto"/>
                <w:kern w:val="21"/>
                <w:vertAlign w:val="subscript"/>
              </w:rPr>
              <w:t>3</w:t>
            </w:r>
          </w:p>
        </w:tc>
        <w:tc>
          <w:tcPr>
            <w:tcW w:w="1834" w:type="dxa"/>
            <w:vAlign w:val="center"/>
          </w:tcPr>
          <w:p>
            <w:pPr>
              <w:widowControl w:val="0"/>
              <w:snapToGrid w:val="0"/>
              <w:spacing w:line="240" w:lineRule="atLeast"/>
              <w:jc w:val="center"/>
              <w:rPr>
                <w:bCs/>
                <w:color w:val="auto"/>
              </w:rPr>
            </w:pPr>
            <w:r>
              <w:rPr>
                <w:snapToGrid w:val="0"/>
                <w:color w:val="auto"/>
                <w:kern w:val="21"/>
              </w:rPr>
              <w:t>0.</w:t>
            </w:r>
            <w:r>
              <w:rPr>
                <w:rFonts w:hint="eastAsia"/>
                <w:snapToGrid w:val="0"/>
                <w:color w:val="auto"/>
                <w:kern w:val="21"/>
              </w:rPr>
              <w:t>565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813" w:type="dxa"/>
            <w:gridSpan w:val="2"/>
            <w:vMerge w:val="continue"/>
            <w:vAlign w:val="center"/>
          </w:tcPr>
          <w:p>
            <w:pPr>
              <w:adjustRightInd w:val="0"/>
              <w:snapToGrid w:val="0"/>
              <w:jc w:val="center"/>
              <w:rPr>
                <w:color w:val="auto"/>
                <w:kern w:val="21"/>
              </w:rPr>
            </w:pPr>
          </w:p>
        </w:tc>
        <w:tc>
          <w:tcPr>
            <w:tcW w:w="4857" w:type="dxa"/>
            <w:gridSpan w:val="3"/>
            <w:vAlign w:val="center"/>
          </w:tcPr>
          <w:p>
            <w:pPr>
              <w:adjustRightInd w:val="0"/>
              <w:snapToGrid w:val="0"/>
              <w:jc w:val="center"/>
              <w:rPr>
                <w:b/>
                <w:bCs/>
                <w:color w:val="auto"/>
                <w:kern w:val="21"/>
                <w:u w:val="single"/>
              </w:rPr>
            </w:pPr>
            <w:r>
              <w:rPr>
                <w:b/>
                <w:bCs/>
                <w:color w:val="auto"/>
                <w:kern w:val="21"/>
                <w:u w:val="single"/>
              </w:rPr>
              <w:t>H</w:t>
            </w:r>
            <w:r>
              <w:rPr>
                <w:b/>
                <w:bCs/>
                <w:color w:val="auto"/>
                <w:kern w:val="21"/>
                <w:u w:val="single"/>
                <w:vertAlign w:val="subscript"/>
              </w:rPr>
              <w:t>2</w:t>
            </w:r>
            <w:r>
              <w:rPr>
                <w:b/>
                <w:bCs/>
                <w:color w:val="auto"/>
                <w:kern w:val="21"/>
                <w:u w:val="single"/>
              </w:rPr>
              <w:t>S</w:t>
            </w:r>
          </w:p>
        </w:tc>
        <w:tc>
          <w:tcPr>
            <w:tcW w:w="1834" w:type="dxa"/>
            <w:vAlign w:val="center"/>
          </w:tcPr>
          <w:p>
            <w:pPr>
              <w:widowControl w:val="0"/>
              <w:snapToGrid w:val="0"/>
              <w:spacing w:line="240" w:lineRule="atLeast"/>
              <w:jc w:val="center"/>
              <w:rPr>
                <w:b/>
                <w:bCs/>
                <w:color w:val="auto"/>
                <w:u w:val="single"/>
              </w:rPr>
            </w:pPr>
            <w:r>
              <w:rPr>
                <w:rFonts w:hint="eastAsia"/>
                <w:b/>
                <w:bCs/>
                <w:color w:val="auto"/>
                <w:u w:val="single"/>
              </w:rPr>
              <w:t>4.05</w:t>
            </w:r>
            <w:r>
              <w:rPr>
                <w:rFonts w:hint="eastAsia"/>
                <w:b/>
                <w:bCs/>
                <w:color w:val="auto"/>
                <w:u w:val="single"/>
                <w:lang w:val="en-US" w:eastAsia="zh-CN"/>
              </w:rPr>
              <w:t>3</w:t>
            </w:r>
            <w:r>
              <w:rPr>
                <w:b/>
                <w:bCs/>
                <w:color w:val="auto"/>
                <w:u w:val="single"/>
              </w:rPr>
              <w:t>×10</w:t>
            </w:r>
            <w:r>
              <w:rPr>
                <w:b/>
                <w:bCs/>
                <w:color w:val="auto"/>
                <w:u w:val="single"/>
                <w:vertAlign w:val="superscript"/>
              </w:rPr>
              <w:t>-</w:t>
            </w:r>
            <w:r>
              <w:rPr>
                <w:rFonts w:hint="eastAsia"/>
                <w:b/>
                <w:bCs/>
                <w:color w:val="auto"/>
                <w:u w:val="single"/>
                <w:vertAlign w:val="superscript"/>
              </w:rPr>
              <w:t>3</w:t>
            </w:r>
          </w:p>
        </w:tc>
      </w:tr>
    </w:tbl>
    <w:p>
      <w:pPr>
        <w:jc w:val="center"/>
        <w:rPr>
          <w:rFonts w:eastAsia="黑体"/>
          <w:color w:val="auto"/>
          <w:sz w:val="24"/>
          <w:szCs w:val="24"/>
        </w:rPr>
      </w:pPr>
      <w:r>
        <w:rPr>
          <w:rFonts w:eastAsia="黑体"/>
          <w:color w:val="auto"/>
          <w:sz w:val="24"/>
          <w:szCs w:val="24"/>
        </w:rPr>
        <w:t>表5.1-25  大气污染物无组织排放量核算表</w:t>
      </w:r>
    </w:p>
    <w:tbl>
      <w:tblPr>
        <w:tblStyle w:val="83"/>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01"/>
        <w:gridCol w:w="913"/>
        <w:gridCol w:w="992"/>
        <w:gridCol w:w="1134"/>
        <w:gridCol w:w="2903"/>
        <w:gridCol w:w="1008"/>
        <w:gridCol w:w="9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01" w:type="dxa"/>
            <w:vMerge w:val="restart"/>
            <w:vAlign w:val="center"/>
          </w:tcPr>
          <w:p>
            <w:pPr>
              <w:adjustRightInd w:val="0"/>
              <w:snapToGrid w:val="0"/>
              <w:jc w:val="center"/>
              <w:rPr>
                <w:b/>
                <w:color w:val="auto"/>
                <w:kern w:val="21"/>
              </w:rPr>
            </w:pPr>
            <w:r>
              <w:rPr>
                <w:b/>
                <w:color w:val="auto"/>
                <w:kern w:val="21"/>
              </w:rPr>
              <w:t>序号</w:t>
            </w:r>
          </w:p>
        </w:tc>
        <w:tc>
          <w:tcPr>
            <w:tcW w:w="913" w:type="dxa"/>
            <w:vMerge w:val="restart"/>
            <w:vAlign w:val="center"/>
          </w:tcPr>
          <w:p>
            <w:pPr>
              <w:adjustRightInd w:val="0"/>
              <w:snapToGrid w:val="0"/>
              <w:jc w:val="center"/>
              <w:rPr>
                <w:b/>
                <w:color w:val="auto"/>
                <w:kern w:val="21"/>
              </w:rPr>
            </w:pPr>
            <w:r>
              <w:rPr>
                <w:b/>
                <w:color w:val="auto"/>
                <w:kern w:val="21"/>
              </w:rPr>
              <w:t>产污环节</w:t>
            </w:r>
          </w:p>
        </w:tc>
        <w:tc>
          <w:tcPr>
            <w:tcW w:w="992" w:type="dxa"/>
            <w:vMerge w:val="restart"/>
            <w:vAlign w:val="center"/>
          </w:tcPr>
          <w:p>
            <w:pPr>
              <w:adjustRightInd w:val="0"/>
              <w:snapToGrid w:val="0"/>
              <w:jc w:val="center"/>
              <w:rPr>
                <w:b/>
                <w:color w:val="auto"/>
                <w:kern w:val="21"/>
              </w:rPr>
            </w:pPr>
            <w:r>
              <w:rPr>
                <w:b/>
                <w:color w:val="auto"/>
                <w:kern w:val="21"/>
              </w:rPr>
              <w:t>污染物</w:t>
            </w:r>
          </w:p>
        </w:tc>
        <w:tc>
          <w:tcPr>
            <w:tcW w:w="1134" w:type="dxa"/>
            <w:vMerge w:val="restart"/>
            <w:vAlign w:val="center"/>
          </w:tcPr>
          <w:p>
            <w:pPr>
              <w:adjustRightInd w:val="0"/>
              <w:snapToGrid w:val="0"/>
              <w:jc w:val="center"/>
              <w:rPr>
                <w:b/>
                <w:color w:val="auto"/>
                <w:kern w:val="21"/>
              </w:rPr>
            </w:pPr>
            <w:r>
              <w:rPr>
                <w:b/>
                <w:color w:val="auto"/>
                <w:kern w:val="21"/>
              </w:rPr>
              <w:t>主要污染防治措施</w:t>
            </w:r>
          </w:p>
        </w:tc>
        <w:tc>
          <w:tcPr>
            <w:tcW w:w="3911" w:type="dxa"/>
            <w:gridSpan w:val="2"/>
            <w:vAlign w:val="center"/>
          </w:tcPr>
          <w:p>
            <w:pPr>
              <w:adjustRightInd w:val="0"/>
              <w:snapToGrid w:val="0"/>
              <w:jc w:val="center"/>
              <w:rPr>
                <w:b/>
                <w:color w:val="auto"/>
                <w:kern w:val="21"/>
              </w:rPr>
            </w:pPr>
            <w:r>
              <w:rPr>
                <w:b/>
                <w:color w:val="auto"/>
                <w:kern w:val="21"/>
              </w:rPr>
              <w:t>污染物排放标准</w:t>
            </w:r>
          </w:p>
        </w:tc>
        <w:tc>
          <w:tcPr>
            <w:tcW w:w="954" w:type="dxa"/>
            <w:vMerge w:val="restart"/>
            <w:vAlign w:val="center"/>
          </w:tcPr>
          <w:p>
            <w:pPr>
              <w:adjustRightInd w:val="0"/>
              <w:snapToGrid w:val="0"/>
              <w:jc w:val="center"/>
              <w:rPr>
                <w:rFonts w:eastAsia="Times New Roman"/>
                <w:b/>
                <w:color w:val="auto"/>
                <w:kern w:val="21"/>
              </w:rPr>
            </w:pPr>
            <w:r>
              <w:rPr>
                <w:b/>
                <w:color w:val="auto"/>
                <w:kern w:val="21"/>
              </w:rPr>
              <w:t>年排放量</w:t>
            </w:r>
            <w:r>
              <w:rPr>
                <w:rFonts w:hint="eastAsia"/>
                <w:b/>
                <w:color w:val="auto"/>
                <w:kern w:val="21"/>
                <w:lang w:eastAsia="zh-CN"/>
              </w:rPr>
              <w:t>(</w:t>
            </w:r>
            <w:r>
              <w:rPr>
                <w:rFonts w:eastAsia="Times New Roman"/>
                <w:b/>
                <w:color w:val="auto"/>
                <w:kern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01" w:type="dxa"/>
            <w:vMerge w:val="continue"/>
            <w:vAlign w:val="center"/>
          </w:tcPr>
          <w:p>
            <w:pPr>
              <w:adjustRightInd w:val="0"/>
              <w:snapToGrid w:val="0"/>
              <w:jc w:val="center"/>
              <w:rPr>
                <w:color w:val="auto"/>
                <w:kern w:val="21"/>
              </w:rPr>
            </w:pPr>
          </w:p>
        </w:tc>
        <w:tc>
          <w:tcPr>
            <w:tcW w:w="913" w:type="dxa"/>
            <w:vMerge w:val="continue"/>
            <w:vAlign w:val="center"/>
          </w:tcPr>
          <w:p>
            <w:pPr>
              <w:adjustRightInd w:val="0"/>
              <w:snapToGrid w:val="0"/>
              <w:jc w:val="center"/>
              <w:rPr>
                <w:color w:val="auto"/>
                <w:kern w:val="21"/>
              </w:rPr>
            </w:pPr>
          </w:p>
        </w:tc>
        <w:tc>
          <w:tcPr>
            <w:tcW w:w="992" w:type="dxa"/>
            <w:vMerge w:val="continue"/>
            <w:vAlign w:val="center"/>
          </w:tcPr>
          <w:p>
            <w:pPr>
              <w:adjustRightInd w:val="0"/>
              <w:snapToGrid w:val="0"/>
              <w:jc w:val="center"/>
              <w:rPr>
                <w:color w:val="auto"/>
                <w:kern w:val="21"/>
              </w:rPr>
            </w:pPr>
          </w:p>
        </w:tc>
        <w:tc>
          <w:tcPr>
            <w:tcW w:w="1134" w:type="dxa"/>
            <w:vMerge w:val="continue"/>
            <w:vAlign w:val="center"/>
          </w:tcPr>
          <w:p>
            <w:pPr>
              <w:adjustRightInd w:val="0"/>
              <w:snapToGrid w:val="0"/>
              <w:jc w:val="center"/>
              <w:rPr>
                <w:color w:val="auto"/>
                <w:kern w:val="21"/>
              </w:rPr>
            </w:pPr>
          </w:p>
        </w:tc>
        <w:tc>
          <w:tcPr>
            <w:tcW w:w="2903" w:type="dxa"/>
            <w:vAlign w:val="center"/>
          </w:tcPr>
          <w:p>
            <w:pPr>
              <w:adjustRightInd w:val="0"/>
              <w:snapToGrid w:val="0"/>
              <w:jc w:val="center"/>
              <w:rPr>
                <w:b/>
                <w:color w:val="auto"/>
                <w:kern w:val="21"/>
              </w:rPr>
            </w:pPr>
            <w:r>
              <w:rPr>
                <w:b/>
                <w:color w:val="auto"/>
                <w:kern w:val="21"/>
              </w:rPr>
              <w:t>标准名称</w:t>
            </w:r>
          </w:p>
        </w:tc>
        <w:tc>
          <w:tcPr>
            <w:tcW w:w="1008" w:type="dxa"/>
            <w:vAlign w:val="center"/>
          </w:tcPr>
          <w:p>
            <w:pPr>
              <w:adjustRightInd w:val="0"/>
              <w:snapToGrid w:val="0"/>
              <w:jc w:val="center"/>
              <w:rPr>
                <w:b/>
                <w:color w:val="auto"/>
                <w:kern w:val="21"/>
              </w:rPr>
            </w:pPr>
            <w:r>
              <w:rPr>
                <w:b/>
                <w:color w:val="auto"/>
                <w:kern w:val="21"/>
              </w:rPr>
              <w:t>浓度限值</w:t>
            </w:r>
          </w:p>
          <w:p>
            <w:pPr>
              <w:adjustRightInd w:val="0"/>
              <w:snapToGrid w:val="0"/>
              <w:jc w:val="center"/>
              <w:rPr>
                <w:rFonts w:eastAsia="Times New Roman"/>
                <w:b/>
                <w:color w:val="auto"/>
                <w:kern w:val="21"/>
              </w:rPr>
            </w:pPr>
            <w:r>
              <w:rPr>
                <w:b/>
                <w:color w:val="auto"/>
                <w:kern w:val="21"/>
              </w:rPr>
              <w:t>(mg/m</w:t>
            </w:r>
            <w:r>
              <w:rPr>
                <w:b/>
                <w:color w:val="auto"/>
                <w:kern w:val="21"/>
                <w:vertAlign w:val="superscript"/>
              </w:rPr>
              <w:t>3</w:t>
            </w:r>
            <w:r>
              <w:rPr>
                <w:b/>
                <w:color w:val="auto"/>
                <w:kern w:val="21"/>
              </w:rPr>
              <w:t>)</w:t>
            </w:r>
          </w:p>
        </w:tc>
        <w:tc>
          <w:tcPr>
            <w:tcW w:w="954" w:type="dxa"/>
            <w:vMerge w:val="continue"/>
            <w:vAlign w:val="center"/>
          </w:tcPr>
          <w:p>
            <w:pPr>
              <w:adjustRightInd w:val="0"/>
              <w:snapToGrid w:val="0"/>
              <w:jc w:val="center"/>
              <w:rPr>
                <w:color w:val="auto"/>
                <w:kern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7" w:hRule="atLeast"/>
          <w:jc w:val="center"/>
        </w:trPr>
        <w:tc>
          <w:tcPr>
            <w:tcW w:w="601" w:type="dxa"/>
            <w:vAlign w:val="center"/>
          </w:tcPr>
          <w:p>
            <w:pPr>
              <w:adjustRightInd w:val="0"/>
              <w:snapToGrid w:val="0"/>
              <w:jc w:val="center"/>
              <w:rPr>
                <w:color w:val="auto"/>
                <w:kern w:val="21"/>
              </w:rPr>
            </w:pPr>
            <w:r>
              <w:rPr>
                <w:color w:val="auto"/>
                <w:kern w:val="21"/>
              </w:rPr>
              <w:t>1</w:t>
            </w:r>
          </w:p>
        </w:tc>
        <w:tc>
          <w:tcPr>
            <w:tcW w:w="913" w:type="dxa"/>
            <w:vAlign w:val="center"/>
          </w:tcPr>
          <w:p>
            <w:pPr>
              <w:adjustRightInd w:val="0"/>
              <w:snapToGrid w:val="0"/>
              <w:jc w:val="center"/>
              <w:rPr>
                <w:color w:val="auto"/>
                <w:kern w:val="21"/>
              </w:rPr>
            </w:pPr>
            <w:r>
              <w:rPr>
                <w:color w:val="auto"/>
                <w:kern w:val="21"/>
              </w:rPr>
              <w:t>北厂房</w:t>
            </w:r>
          </w:p>
        </w:tc>
        <w:tc>
          <w:tcPr>
            <w:tcW w:w="992" w:type="dxa"/>
            <w:vAlign w:val="center"/>
          </w:tcPr>
          <w:p>
            <w:pPr>
              <w:adjustRightInd w:val="0"/>
              <w:snapToGrid w:val="0"/>
              <w:jc w:val="center"/>
              <w:rPr>
                <w:color w:val="auto"/>
                <w:kern w:val="21"/>
              </w:rPr>
            </w:pPr>
            <w:r>
              <w:rPr>
                <w:color w:val="auto"/>
                <w:kern w:val="21"/>
              </w:rPr>
              <w:t>氯化氢</w:t>
            </w:r>
          </w:p>
        </w:tc>
        <w:tc>
          <w:tcPr>
            <w:tcW w:w="1134" w:type="dxa"/>
            <w:vMerge w:val="restart"/>
            <w:vAlign w:val="center"/>
          </w:tcPr>
          <w:p>
            <w:pPr>
              <w:adjustRightInd w:val="0"/>
              <w:snapToGrid w:val="0"/>
              <w:jc w:val="center"/>
              <w:rPr>
                <w:color w:val="auto"/>
                <w:kern w:val="21"/>
              </w:rPr>
            </w:pPr>
            <w:r>
              <w:rPr>
                <w:color w:val="auto"/>
                <w:kern w:val="21"/>
              </w:rPr>
              <w:t>车间密闭</w:t>
            </w:r>
          </w:p>
        </w:tc>
        <w:tc>
          <w:tcPr>
            <w:tcW w:w="2903" w:type="dxa"/>
            <w:vMerge w:val="restart"/>
            <w:vAlign w:val="center"/>
          </w:tcPr>
          <w:p>
            <w:pPr>
              <w:adjustRightInd w:val="0"/>
              <w:snapToGrid w:val="0"/>
              <w:jc w:val="center"/>
              <w:rPr>
                <w:color w:val="auto"/>
                <w:kern w:val="21"/>
              </w:rPr>
            </w:pPr>
            <w:r>
              <w:rPr>
                <w:rFonts w:hint="eastAsia"/>
                <w:color w:val="auto"/>
                <w:spacing w:val="-16"/>
                <w:kern w:val="0"/>
              </w:rPr>
              <w:t>《大气污染物综合排放标准》（GB16297-1996）</w:t>
            </w:r>
          </w:p>
        </w:tc>
        <w:tc>
          <w:tcPr>
            <w:tcW w:w="1008" w:type="dxa"/>
            <w:vAlign w:val="center"/>
          </w:tcPr>
          <w:p>
            <w:pPr>
              <w:adjustRightInd w:val="0"/>
              <w:snapToGrid w:val="0"/>
              <w:jc w:val="center"/>
              <w:rPr>
                <w:color w:val="auto"/>
                <w:kern w:val="21"/>
              </w:rPr>
            </w:pPr>
            <w:r>
              <w:rPr>
                <w:rFonts w:hint="eastAsia"/>
                <w:color w:val="auto"/>
                <w:kern w:val="21"/>
              </w:rPr>
              <w:t>0.2</w:t>
            </w:r>
          </w:p>
        </w:tc>
        <w:tc>
          <w:tcPr>
            <w:tcW w:w="954" w:type="dxa"/>
            <w:vAlign w:val="center"/>
          </w:tcPr>
          <w:p>
            <w:pPr>
              <w:autoSpaceDE w:val="0"/>
              <w:autoSpaceDN w:val="0"/>
              <w:adjustRightInd w:val="0"/>
              <w:snapToGrid w:val="0"/>
              <w:jc w:val="center"/>
              <w:rPr>
                <w:color w:val="auto"/>
                <w:kern w:val="21"/>
              </w:rPr>
            </w:pPr>
            <w:r>
              <w:rPr>
                <w:rFonts w:hint="eastAsia"/>
                <w:color w:val="auto"/>
                <w:kern w:val="21"/>
              </w:rPr>
              <w:t>0.268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01" w:type="dxa"/>
            <w:vAlign w:val="center"/>
          </w:tcPr>
          <w:p>
            <w:pPr>
              <w:adjustRightInd w:val="0"/>
              <w:snapToGrid w:val="0"/>
              <w:jc w:val="center"/>
              <w:rPr>
                <w:color w:val="auto"/>
                <w:kern w:val="21"/>
              </w:rPr>
            </w:pPr>
            <w:r>
              <w:rPr>
                <w:color w:val="auto"/>
                <w:kern w:val="21"/>
              </w:rPr>
              <w:t>2</w:t>
            </w:r>
          </w:p>
        </w:tc>
        <w:tc>
          <w:tcPr>
            <w:tcW w:w="913" w:type="dxa"/>
            <w:vAlign w:val="center"/>
          </w:tcPr>
          <w:p>
            <w:pPr>
              <w:adjustRightInd w:val="0"/>
              <w:snapToGrid w:val="0"/>
              <w:jc w:val="center"/>
              <w:rPr>
                <w:color w:val="auto"/>
                <w:kern w:val="21"/>
              </w:rPr>
            </w:pPr>
            <w:r>
              <w:rPr>
                <w:color w:val="auto"/>
                <w:kern w:val="21"/>
              </w:rPr>
              <w:t>南厂房</w:t>
            </w:r>
          </w:p>
        </w:tc>
        <w:tc>
          <w:tcPr>
            <w:tcW w:w="992" w:type="dxa"/>
            <w:vAlign w:val="center"/>
          </w:tcPr>
          <w:p>
            <w:pPr>
              <w:adjustRightInd w:val="0"/>
              <w:snapToGrid w:val="0"/>
              <w:jc w:val="center"/>
              <w:rPr>
                <w:color w:val="auto"/>
                <w:kern w:val="21"/>
              </w:rPr>
            </w:pPr>
            <w:r>
              <w:rPr>
                <w:rFonts w:hint="eastAsia"/>
                <w:color w:val="auto"/>
                <w:kern w:val="21"/>
              </w:rPr>
              <w:t>颗粒物</w:t>
            </w:r>
          </w:p>
        </w:tc>
        <w:tc>
          <w:tcPr>
            <w:tcW w:w="1134" w:type="dxa"/>
            <w:vMerge w:val="continue"/>
            <w:vAlign w:val="center"/>
          </w:tcPr>
          <w:p>
            <w:pPr>
              <w:adjustRightInd w:val="0"/>
              <w:snapToGrid w:val="0"/>
              <w:jc w:val="center"/>
              <w:rPr>
                <w:color w:val="auto"/>
                <w:kern w:val="21"/>
              </w:rPr>
            </w:pPr>
          </w:p>
        </w:tc>
        <w:tc>
          <w:tcPr>
            <w:tcW w:w="2903" w:type="dxa"/>
            <w:vMerge w:val="continue"/>
            <w:vAlign w:val="center"/>
          </w:tcPr>
          <w:p>
            <w:pPr>
              <w:adjustRightInd w:val="0"/>
              <w:snapToGrid w:val="0"/>
              <w:jc w:val="center"/>
              <w:rPr>
                <w:color w:val="auto"/>
                <w:kern w:val="21"/>
              </w:rPr>
            </w:pPr>
          </w:p>
        </w:tc>
        <w:tc>
          <w:tcPr>
            <w:tcW w:w="1008" w:type="dxa"/>
            <w:vAlign w:val="center"/>
          </w:tcPr>
          <w:p>
            <w:pPr>
              <w:adjustRightInd w:val="0"/>
              <w:snapToGrid w:val="0"/>
              <w:jc w:val="center"/>
              <w:rPr>
                <w:color w:val="auto"/>
                <w:kern w:val="21"/>
              </w:rPr>
            </w:pPr>
            <w:r>
              <w:rPr>
                <w:rFonts w:hint="eastAsia"/>
                <w:color w:val="auto"/>
                <w:kern w:val="21"/>
              </w:rPr>
              <w:t>1.0</w:t>
            </w:r>
          </w:p>
        </w:tc>
        <w:tc>
          <w:tcPr>
            <w:tcW w:w="954" w:type="dxa"/>
            <w:vAlign w:val="center"/>
          </w:tcPr>
          <w:p>
            <w:pPr>
              <w:autoSpaceDE w:val="0"/>
              <w:autoSpaceDN w:val="0"/>
              <w:adjustRightInd w:val="0"/>
              <w:snapToGrid w:val="0"/>
              <w:jc w:val="center"/>
              <w:rPr>
                <w:color w:val="auto"/>
                <w:kern w:val="21"/>
              </w:rPr>
            </w:pPr>
            <w:r>
              <w:rPr>
                <w:rFonts w:hint="eastAsia"/>
                <w:b/>
                <w:color w:val="auto"/>
                <w:kern w:val="21"/>
              </w:rPr>
              <w:t>0.162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505" w:type="dxa"/>
            <w:gridSpan w:val="7"/>
            <w:vAlign w:val="center"/>
          </w:tcPr>
          <w:p>
            <w:pPr>
              <w:adjustRightInd w:val="0"/>
              <w:snapToGrid w:val="0"/>
              <w:jc w:val="center"/>
              <w:rPr>
                <w:color w:val="auto"/>
                <w:kern w:val="21"/>
              </w:rPr>
            </w:pPr>
            <w:r>
              <w:rPr>
                <w:color w:val="auto"/>
                <w:kern w:val="21"/>
              </w:rPr>
              <w:t>无组织排放总计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88" w:hRule="atLeast"/>
          <w:jc w:val="center"/>
        </w:trPr>
        <w:tc>
          <w:tcPr>
            <w:tcW w:w="2506" w:type="dxa"/>
            <w:gridSpan w:val="3"/>
            <w:vMerge w:val="restart"/>
            <w:vAlign w:val="center"/>
          </w:tcPr>
          <w:p>
            <w:pPr>
              <w:adjustRightInd w:val="0"/>
              <w:snapToGrid w:val="0"/>
              <w:jc w:val="center"/>
              <w:rPr>
                <w:color w:val="auto"/>
                <w:kern w:val="21"/>
              </w:rPr>
            </w:pPr>
            <w:r>
              <w:rPr>
                <w:color w:val="auto"/>
                <w:kern w:val="21"/>
              </w:rPr>
              <w:t>无组织排放总计</w:t>
            </w:r>
          </w:p>
        </w:tc>
        <w:tc>
          <w:tcPr>
            <w:tcW w:w="4037" w:type="dxa"/>
            <w:gridSpan w:val="2"/>
            <w:vAlign w:val="center"/>
          </w:tcPr>
          <w:p>
            <w:pPr>
              <w:adjustRightInd w:val="0"/>
              <w:snapToGrid w:val="0"/>
              <w:jc w:val="center"/>
              <w:rPr>
                <w:color w:val="auto"/>
                <w:kern w:val="21"/>
              </w:rPr>
            </w:pPr>
            <w:r>
              <w:rPr>
                <w:color w:val="auto"/>
                <w:kern w:val="21"/>
              </w:rPr>
              <w:t>氯化氢</w:t>
            </w:r>
          </w:p>
        </w:tc>
        <w:tc>
          <w:tcPr>
            <w:tcW w:w="1962" w:type="dxa"/>
            <w:gridSpan w:val="2"/>
            <w:vAlign w:val="center"/>
          </w:tcPr>
          <w:p>
            <w:pPr>
              <w:autoSpaceDE w:val="0"/>
              <w:autoSpaceDN w:val="0"/>
              <w:adjustRightInd w:val="0"/>
              <w:snapToGrid w:val="0"/>
              <w:jc w:val="center"/>
              <w:rPr>
                <w:color w:val="auto"/>
                <w:kern w:val="21"/>
              </w:rPr>
            </w:pPr>
            <w:r>
              <w:rPr>
                <w:rFonts w:hint="eastAsia"/>
                <w:color w:val="auto"/>
                <w:kern w:val="21"/>
              </w:rPr>
              <w:t>0.268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506" w:type="dxa"/>
            <w:gridSpan w:val="3"/>
            <w:vMerge w:val="continue"/>
            <w:vAlign w:val="center"/>
          </w:tcPr>
          <w:p>
            <w:pPr>
              <w:adjustRightInd w:val="0"/>
              <w:snapToGrid w:val="0"/>
              <w:jc w:val="center"/>
              <w:rPr>
                <w:color w:val="auto"/>
                <w:kern w:val="21"/>
              </w:rPr>
            </w:pPr>
          </w:p>
        </w:tc>
        <w:tc>
          <w:tcPr>
            <w:tcW w:w="4037" w:type="dxa"/>
            <w:gridSpan w:val="2"/>
            <w:vAlign w:val="center"/>
          </w:tcPr>
          <w:p>
            <w:pPr>
              <w:adjustRightInd w:val="0"/>
              <w:snapToGrid w:val="0"/>
              <w:jc w:val="center"/>
              <w:rPr>
                <w:color w:val="auto"/>
                <w:kern w:val="21"/>
              </w:rPr>
            </w:pPr>
            <w:r>
              <w:rPr>
                <w:rFonts w:hint="eastAsia"/>
                <w:color w:val="auto"/>
                <w:kern w:val="21"/>
              </w:rPr>
              <w:t>颗粒物</w:t>
            </w:r>
          </w:p>
        </w:tc>
        <w:tc>
          <w:tcPr>
            <w:tcW w:w="1962" w:type="dxa"/>
            <w:gridSpan w:val="2"/>
            <w:vAlign w:val="center"/>
          </w:tcPr>
          <w:p>
            <w:pPr>
              <w:autoSpaceDE w:val="0"/>
              <w:autoSpaceDN w:val="0"/>
              <w:adjustRightInd w:val="0"/>
              <w:snapToGrid w:val="0"/>
              <w:jc w:val="center"/>
              <w:rPr>
                <w:color w:val="auto"/>
                <w:kern w:val="21"/>
              </w:rPr>
            </w:pPr>
            <w:r>
              <w:rPr>
                <w:rFonts w:hint="eastAsia"/>
                <w:b/>
                <w:color w:val="auto"/>
                <w:kern w:val="21"/>
                <w:u w:val="single"/>
              </w:rPr>
              <w:t>0.162</w:t>
            </w:r>
          </w:p>
        </w:tc>
      </w:tr>
    </w:tbl>
    <w:p>
      <w:pPr>
        <w:jc w:val="center"/>
        <w:rPr>
          <w:rFonts w:eastAsia="黑体"/>
          <w:color w:val="auto"/>
          <w:sz w:val="24"/>
          <w:szCs w:val="24"/>
        </w:rPr>
      </w:pPr>
      <w:r>
        <w:rPr>
          <w:rFonts w:eastAsia="黑体"/>
          <w:color w:val="auto"/>
          <w:sz w:val="24"/>
          <w:szCs w:val="24"/>
        </w:rPr>
        <w:t>表5.1-26  大气污染物年排放量核算表</w:t>
      </w:r>
    </w:p>
    <w:tbl>
      <w:tblPr>
        <w:tblStyle w:val="83"/>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77"/>
        <w:gridCol w:w="3992"/>
        <w:gridCol w:w="28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b/>
                <w:color w:val="auto"/>
                <w:kern w:val="21"/>
              </w:rPr>
            </w:pPr>
            <w:r>
              <w:rPr>
                <w:b/>
                <w:color w:val="auto"/>
                <w:kern w:val="21"/>
              </w:rPr>
              <w:t>序号</w:t>
            </w:r>
          </w:p>
        </w:tc>
        <w:tc>
          <w:tcPr>
            <w:tcW w:w="3992" w:type="dxa"/>
            <w:vAlign w:val="center"/>
          </w:tcPr>
          <w:p>
            <w:pPr>
              <w:adjustRightInd w:val="0"/>
              <w:snapToGrid w:val="0"/>
              <w:jc w:val="center"/>
              <w:rPr>
                <w:b/>
                <w:color w:val="auto"/>
                <w:kern w:val="21"/>
              </w:rPr>
            </w:pPr>
            <w:r>
              <w:rPr>
                <w:b/>
                <w:color w:val="auto"/>
                <w:kern w:val="21"/>
              </w:rPr>
              <w:t>污染物</w:t>
            </w:r>
          </w:p>
        </w:tc>
        <w:tc>
          <w:tcPr>
            <w:tcW w:w="2835" w:type="dxa"/>
            <w:vAlign w:val="center"/>
          </w:tcPr>
          <w:p>
            <w:pPr>
              <w:adjustRightInd w:val="0"/>
              <w:snapToGrid w:val="0"/>
              <w:jc w:val="center"/>
              <w:rPr>
                <w:rFonts w:eastAsia="Times New Roman"/>
                <w:b/>
                <w:color w:val="auto"/>
                <w:kern w:val="21"/>
              </w:rPr>
            </w:pPr>
            <w:r>
              <w:rPr>
                <w:b/>
                <w:color w:val="auto"/>
                <w:kern w:val="21"/>
              </w:rPr>
              <w:t>年排放量</w:t>
            </w:r>
            <w:r>
              <w:rPr>
                <w:rFonts w:hint="eastAsia"/>
                <w:b/>
                <w:color w:val="auto"/>
                <w:kern w:val="21"/>
                <w:lang w:eastAsia="zh-CN"/>
              </w:rPr>
              <w:t>(</w:t>
            </w:r>
            <w:r>
              <w:rPr>
                <w:rFonts w:eastAsia="Times New Roman"/>
                <w:b/>
                <w:color w:val="auto"/>
                <w:kern w:val="21"/>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rFonts w:eastAsia="Times New Roman"/>
                <w:color w:val="auto"/>
                <w:kern w:val="21"/>
              </w:rPr>
            </w:pPr>
            <w:r>
              <w:rPr>
                <w:color w:val="auto"/>
                <w:kern w:val="21"/>
              </w:rPr>
              <w:t>1</w:t>
            </w:r>
          </w:p>
        </w:tc>
        <w:tc>
          <w:tcPr>
            <w:tcW w:w="3992" w:type="dxa"/>
            <w:vAlign w:val="center"/>
          </w:tcPr>
          <w:p>
            <w:pPr>
              <w:adjustRightInd w:val="0"/>
              <w:snapToGrid w:val="0"/>
              <w:jc w:val="center"/>
              <w:rPr>
                <w:b/>
                <w:color w:val="auto"/>
                <w:kern w:val="21"/>
              </w:rPr>
            </w:pPr>
            <w:r>
              <w:rPr>
                <w:color w:val="auto"/>
                <w:kern w:val="21"/>
              </w:rPr>
              <w:t>氯化氢</w:t>
            </w:r>
          </w:p>
        </w:tc>
        <w:tc>
          <w:tcPr>
            <w:tcW w:w="2835" w:type="dxa"/>
            <w:vAlign w:val="center"/>
          </w:tcPr>
          <w:p>
            <w:pPr>
              <w:adjustRightInd w:val="0"/>
              <w:snapToGrid w:val="0"/>
              <w:jc w:val="center"/>
              <w:rPr>
                <w:rFonts w:hint="default" w:eastAsia="宋体"/>
                <w:bCs/>
                <w:color w:val="auto"/>
                <w:kern w:val="21"/>
                <w:lang w:val="en-US" w:eastAsia="zh-CN"/>
              </w:rPr>
            </w:pPr>
            <w:r>
              <w:rPr>
                <w:rFonts w:hint="eastAsia"/>
                <w:bCs/>
                <w:color w:val="auto"/>
                <w:kern w:val="21"/>
              </w:rPr>
              <w:t>0.5</w:t>
            </w:r>
            <w:r>
              <w:rPr>
                <w:rFonts w:hint="eastAsia"/>
                <w:bCs/>
                <w:color w:val="auto"/>
                <w:kern w:val="21"/>
                <w:lang w:val="en-US" w:eastAsia="zh-CN"/>
              </w:rPr>
              <w:t>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rFonts w:eastAsia="Times New Roman"/>
                <w:color w:val="auto"/>
                <w:kern w:val="21"/>
              </w:rPr>
            </w:pPr>
            <w:r>
              <w:rPr>
                <w:color w:val="auto"/>
                <w:kern w:val="21"/>
              </w:rPr>
              <w:t>2</w:t>
            </w:r>
          </w:p>
        </w:tc>
        <w:tc>
          <w:tcPr>
            <w:tcW w:w="3992" w:type="dxa"/>
            <w:vAlign w:val="center"/>
          </w:tcPr>
          <w:p>
            <w:pPr>
              <w:adjustRightInd w:val="0"/>
              <w:snapToGrid w:val="0"/>
              <w:jc w:val="center"/>
              <w:rPr>
                <w:color w:val="auto"/>
                <w:kern w:val="21"/>
                <w:u w:val="single"/>
              </w:rPr>
            </w:pPr>
            <w:r>
              <w:rPr>
                <w:color w:val="auto"/>
                <w:kern w:val="21"/>
                <w:u w:val="single"/>
              </w:rPr>
              <w:t>颗粒物</w:t>
            </w:r>
          </w:p>
        </w:tc>
        <w:tc>
          <w:tcPr>
            <w:tcW w:w="2835" w:type="dxa"/>
            <w:vAlign w:val="center"/>
          </w:tcPr>
          <w:p>
            <w:pPr>
              <w:adjustRightInd w:val="0"/>
              <w:snapToGrid w:val="0"/>
              <w:jc w:val="center"/>
              <w:rPr>
                <w:rFonts w:hint="default" w:eastAsia="宋体"/>
                <w:bCs/>
                <w:color w:val="auto"/>
                <w:kern w:val="21"/>
                <w:u w:val="single"/>
                <w:lang w:val="en-US" w:eastAsia="zh-CN"/>
              </w:rPr>
            </w:pPr>
            <w:r>
              <w:rPr>
                <w:rFonts w:hint="eastAsia"/>
                <w:b/>
                <w:color w:val="auto"/>
                <w:kern w:val="21"/>
                <w:u w:val="single"/>
              </w:rPr>
              <w:t>0.4</w:t>
            </w:r>
            <w:r>
              <w:rPr>
                <w:rFonts w:hint="eastAsia"/>
                <w:b/>
                <w:color w:val="auto"/>
                <w:kern w:val="21"/>
                <w:u w:val="single"/>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rFonts w:eastAsia="Times New Roman"/>
                <w:color w:val="auto"/>
                <w:kern w:val="21"/>
              </w:rPr>
            </w:pPr>
            <w:r>
              <w:rPr>
                <w:color w:val="auto"/>
                <w:kern w:val="21"/>
              </w:rPr>
              <w:t>3</w:t>
            </w:r>
          </w:p>
        </w:tc>
        <w:tc>
          <w:tcPr>
            <w:tcW w:w="3992" w:type="dxa"/>
            <w:vAlign w:val="center"/>
          </w:tcPr>
          <w:p>
            <w:pPr>
              <w:adjustRightInd w:val="0"/>
              <w:snapToGrid w:val="0"/>
              <w:jc w:val="center"/>
              <w:rPr>
                <w:color w:val="auto"/>
                <w:kern w:val="21"/>
              </w:rPr>
            </w:pPr>
            <w:r>
              <w:rPr>
                <w:color w:val="auto"/>
                <w:kern w:val="21"/>
              </w:rPr>
              <w:t>SO</w:t>
            </w:r>
            <w:r>
              <w:rPr>
                <w:color w:val="auto"/>
                <w:kern w:val="21"/>
                <w:vertAlign w:val="subscript"/>
              </w:rPr>
              <w:t>2</w:t>
            </w:r>
          </w:p>
        </w:tc>
        <w:tc>
          <w:tcPr>
            <w:tcW w:w="2835" w:type="dxa"/>
            <w:vAlign w:val="center"/>
          </w:tcPr>
          <w:p>
            <w:pPr>
              <w:widowControl w:val="0"/>
              <w:snapToGrid w:val="0"/>
              <w:spacing w:line="240" w:lineRule="atLeast"/>
              <w:jc w:val="center"/>
              <w:rPr>
                <w:color w:val="auto"/>
              </w:rPr>
            </w:pPr>
            <w:r>
              <w:rPr>
                <w:rFonts w:hint="eastAsia"/>
                <w:bCs/>
                <w:color w:val="auto"/>
                <w:u w:val="single"/>
              </w:rPr>
              <w:t>0.435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color w:val="auto"/>
                <w:kern w:val="21"/>
              </w:rPr>
            </w:pPr>
            <w:r>
              <w:rPr>
                <w:color w:val="auto"/>
                <w:kern w:val="21"/>
              </w:rPr>
              <w:t>4</w:t>
            </w:r>
          </w:p>
        </w:tc>
        <w:tc>
          <w:tcPr>
            <w:tcW w:w="3992" w:type="dxa"/>
            <w:vAlign w:val="center"/>
          </w:tcPr>
          <w:p>
            <w:pPr>
              <w:adjustRightInd w:val="0"/>
              <w:snapToGrid w:val="0"/>
              <w:jc w:val="center"/>
              <w:rPr>
                <w:color w:val="auto"/>
                <w:kern w:val="21"/>
              </w:rPr>
            </w:pPr>
            <w:r>
              <w:rPr>
                <w:color w:val="auto"/>
                <w:kern w:val="21"/>
              </w:rPr>
              <w:t>NOx</w:t>
            </w:r>
          </w:p>
        </w:tc>
        <w:tc>
          <w:tcPr>
            <w:tcW w:w="2835" w:type="dxa"/>
            <w:vAlign w:val="center"/>
          </w:tcPr>
          <w:p>
            <w:pPr>
              <w:widowControl w:val="0"/>
              <w:snapToGrid w:val="0"/>
              <w:spacing w:line="240" w:lineRule="atLeast"/>
              <w:jc w:val="center"/>
              <w:rPr>
                <w:color w:val="auto"/>
              </w:rPr>
            </w:pPr>
            <w:r>
              <w:rPr>
                <w:rFonts w:hint="eastAsia"/>
                <w:bCs/>
                <w:color w:val="auto"/>
              </w:rPr>
              <w:t>1.316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color w:val="auto"/>
                <w:kern w:val="21"/>
              </w:rPr>
            </w:pPr>
            <w:r>
              <w:rPr>
                <w:color w:val="auto"/>
                <w:kern w:val="21"/>
              </w:rPr>
              <w:t>5</w:t>
            </w:r>
          </w:p>
        </w:tc>
        <w:tc>
          <w:tcPr>
            <w:tcW w:w="3992" w:type="dxa"/>
            <w:vAlign w:val="center"/>
          </w:tcPr>
          <w:p>
            <w:pPr>
              <w:adjustRightInd w:val="0"/>
              <w:snapToGrid w:val="0"/>
              <w:jc w:val="center"/>
              <w:rPr>
                <w:color w:val="auto"/>
                <w:kern w:val="21"/>
              </w:rPr>
            </w:pPr>
            <w:r>
              <w:rPr>
                <w:rFonts w:hint="eastAsia"/>
                <w:color w:val="auto"/>
                <w:kern w:val="21"/>
              </w:rPr>
              <w:t>NH</w:t>
            </w:r>
            <w:r>
              <w:rPr>
                <w:rFonts w:hint="eastAsia"/>
                <w:color w:val="auto"/>
                <w:kern w:val="21"/>
                <w:vertAlign w:val="subscript"/>
              </w:rPr>
              <w:t>3</w:t>
            </w:r>
          </w:p>
        </w:tc>
        <w:tc>
          <w:tcPr>
            <w:tcW w:w="2835" w:type="dxa"/>
            <w:vAlign w:val="center"/>
          </w:tcPr>
          <w:p>
            <w:pPr>
              <w:widowControl w:val="0"/>
              <w:snapToGrid w:val="0"/>
              <w:spacing w:line="240" w:lineRule="atLeast"/>
              <w:jc w:val="center"/>
              <w:rPr>
                <w:color w:val="auto"/>
                <w:sz w:val="20"/>
              </w:rPr>
            </w:pPr>
            <w:r>
              <w:rPr>
                <w:rFonts w:hint="eastAsia"/>
                <w:bCs/>
                <w:color w:val="auto"/>
              </w:rPr>
              <w:t>0.565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677" w:type="dxa"/>
            <w:vAlign w:val="center"/>
          </w:tcPr>
          <w:p>
            <w:pPr>
              <w:adjustRightInd w:val="0"/>
              <w:snapToGrid w:val="0"/>
              <w:jc w:val="center"/>
              <w:rPr>
                <w:color w:val="auto"/>
                <w:kern w:val="21"/>
              </w:rPr>
            </w:pPr>
            <w:r>
              <w:rPr>
                <w:rFonts w:hint="eastAsia"/>
                <w:color w:val="auto"/>
                <w:kern w:val="21"/>
              </w:rPr>
              <w:t>6</w:t>
            </w:r>
          </w:p>
        </w:tc>
        <w:tc>
          <w:tcPr>
            <w:tcW w:w="3992" w:type="dxa"/>
            <w:vAlign w:val="center"/>
          </w:tcPr>
          <w:p>
            <w:pPr>
              <w:adjustRightInd w:val="0"/>
              <w:snapToGrid w:val="0"/>
              <w:jc w:val="center"/>
              <w:rPr>
                <w:color w:val="auto"/>
                <w:kern w:val="21"/>
              </w:rPr>
            </w:pPr>
            <w:r>
              <w:rPr>
                <w:rFonts w:hint="eastAsia"/>
                <w:color w:val="auto"/>
                <w:kern w:val="21"/>
              </w:rPr>
              <w:t>H</w:t>
            </w:r>
            <w:r>
              <w:rPr>
                <w:rFonts w:hint="eastAsia"/>
                <w:color w:val="auto"/>
                <w:kern w:val="21"/>
                <w:vertAlign w:val="subscript"/>
              </w:rPr>
              <w:t>2</w:t>
            </w:r>
            <w:r>
              <w:rPr>
                <w:rFonts w:hint="eastAsia"/>
                <w:color w:val="auto"/>
                <w:kern w:val="21"/>
              </w:rPr>
              <w:t>S</w:t>
            </w:r>
          </w:p>
        </w:tc>
        <w:tc>
          <w:tcPr>
            <w:tcW w:w="2835" w:type="dxa"/>
            <w:vAlign w:val="center"/>
          </w:tcPr>
          <w:p>
            <w:pPr>
              <w:widowControl w:val="0"/>
              <w:snapToGrid w:val="0"/>
              <w:spacing w:line="240" w:lineRule="atLeast"/>
              <w:jc w:val="center"/>
              <w:rPr>
                <w:color w:val="auto"/>
                <w:sz w:val="20"/>
              </w:rPr>
            </w:pPr>
            <w:r>
              <w:rPr>
                <w:rFonts w:hint="eastAsia"/>
                <w:b/>
                <w:color w:val="auto"/>
                <w:u w:val="single"/>
              </w:rPr>
              <w:t>4.05</w:t>
            </w:r>
            <w:r>
              <w:rPr>
                <w:rFonts w:hint="eastAsia"/>
                <w:b/>
                <w:color w:val="auto"/>
                <w:u w:val="single"/>
                <w:lang w:val="en-US" w:eastAsia="zh-CN"/>
              </w:rPr>
              <w:t>3</w:t>
            </w:r>
            <w:r>
              <w:rPr>
                <w:b/>
                <w:color w:val="auto"/>
                <w:u w:val="single"/>
              </w:rPr>
              <w:t>×10</w:t>
            </w:r>
            <w:r>
              <w:rPr>
                <w:b/>
                <w:color w:val="auto"/>
                <w:u w:val="single"/>
                <w:vertAlign w:val="superscript"/>
              </w:rPr>
              <w:t>-</w:t>
            </w:r>
            <w:r>
              <w:rPr>
                <w:rFonts w:hint="eastAsia"/>
                <w:b/>
                <w:color w:val="auto"/>
                <w:u w:val="single"/>
                <w:vertAlign w:val="superscript"/>
              </w:rPr>
              <w:t>3</w:t>
            </w:r>
          </w:p>
        </w:tc>
      </w:tr>
    </w:tbl>
    <w:p>
      <w:pPr>
        <w:jc w:val="center"/>
        <w:rPr>
          <w:rFonts w:eastAsia="黑体"/>
          <w:color w:val="auto"/>
          <w:sz w:val="24"/>
          <w:szCs w:val="24"/>
        </w:rPr>
      </w:pPr>
      <w:r>
        <w:rPr>
          <w:rFonts w:eastAsia="黑体"/>
          <w:color w:val="auto"/>
          <w:sz w:val="24"/>
          <w:szCs w:val="24"/>
        </w:rPr>
        <w:t>表5.1-27    大气污染物非正常排放量核算表</w:t>
      </w:r>
    </w:p>
    <w:tbl>
      <w:tblPr>
        <w:tblStyle w:val="83"/>
        <w:tblW w:w="85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7"/>
        <w:gridCol w:w="1051"/>
        <w:gridCol w:w="1078"/>
        <w:gridCol w:w="1348"/>
        <w:gridCol w:w="1252"/>
        <w:gridCol w:w="1182"/>
        <w:gridCol w:w="1051"/>
        <w:gridCol w:w="91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7" w:type="dxa"/>
            <w:vAlign w:val="center"/>
          </w:tcPr>
          <w:p>
            <w:pPr>
              <w:adjustRightInd w:val="0"/>
              <w:snapToGrid w:val="0"/>
              <w:jc w:val="center"/>
              <w:rPr>
                <w:b/>
                <w:color w:val="auto"/>
                <w:kern w:val="21"/>
              </w:rPr>
            </w:pPr>
            <w:r>
              <w:rPr>
                <w:b/>
                <w:color w:val="auto"/>
                <w:kern w:val="21"/>
              </w:rPr>
              <w:t>序号</w:t>
            </w:r>
          </w:p>
        </w:tc>
        <w:tc>
          <w:tcPr>
            <w:tcW w:w="1051" w:type="dxa"/>
            <w:vAlign w:val="center"/>
          </w:tcPr>
          <w:p>
            <w:pPr>
              <w:adjustRightInd w:val="0"/>
              <w:snapToGrid w:val="0"/>
              <w:jc w:val="center"/>
              <w:rPr>
                <w:b/>
                <w:color w:val="auto"/>
                <w:kern w:val="21"/>
              </w:rPr>
            </w:pPr>
            <w:r>
              <w:rPr>
                <w:b/>
                <w:color w:val="auto"/>
                <w:kern w:val="21"/>
              </w:rPr>
              <w:t>污染源</w:t>
            </w:r>
          </w:p>
        </w:tc>
        <w:tc>
          <w:tcPr>
            <w:tcW w:w="1078" w:type="dxa"/>
            <w:vAlign w:val="center"/>
          </w:tcPr>
          <w:p>
            <w:pPr>
              <w:adjustRightInd w:val="0"/>
              <w:snapToGrid w:val="0"/>
              <w:jc w:val="center"/>
              <w:rPr>
                <w:b/>
                <w:color w:val="auto"/>
                <w:kern w:val="21"/>
              </w:rPr>
            </w:pPr>
            <w:r>
              <w:rPr>
                <w:b/>
                <w:color w:val="auto"/>
                <w:kern w:val="21"/>
              </w:rPr>
              <w:t>非正常排 放原因</w:t>
            </w:r>
          </w:p>
        </w:tc>
        <w:tc>
          <w:tcPr>
            <w:tcW w:w="1348" w:type="dxa"/>
            <w:vAlign w:val="center"/>
          </w:tcPr>
          <w:p>
            <w:pPr>
              <w:adjustRightInd w:val="0"/>
              <w:snapToGrid w:val="0"/>
              <w:jc w:val="center"/>
              <w:rPr>
                <w:b/>
                <w:color w:val="auto"/>
                <w:kern w:val="21"/>
              </w:rPr>
            </w:pPr>
            <w:r>
              <w:rPr>
                <w:b/>
                <w:color w:val="auto"/>
                <w:kern w:val="21"/>
              </w:rPr>
              <w:t>污染物</w:t>
            </w:r>
          </w:p>
        </w:tc>
        <w:tc>
          <w:tcPr>
            <w:tcW w:w="1252" w:type="dxa"/>
            <w:vAlign w:val="center"/>
          </w:tcPr>
          <w:p>
            <w:pPr>
              <w:adjustRightInd w:val="0"/>
              <w:snapToGrid w:val="0"/>
              <w:jc w:val="center"/>
              <w:rPr>
                <w:b/>
                <w:color w:val="auto"/>
                <w:kern w:val="21"/>
              </w:rPr>
            </w:pPr>
            <w:r>
              <w:rPr>
                <w:b/>
                <w:color w:val="auto"/>
                <w:kern w:val="21"/>
              </w:rPr>
              <w:t>非正常排放 浓度</w:t>
            </w:r>
          </w:p>
          <w:p>
            <w:pPr>
              <w:adjustRightInd w:val="0"/>
              <w:snapToGrid w:val="0"/>
              <w:jc w:val="center"/>
              <w:rPr>
                <w:rFonts w:eastAsia="Times New Roman"/>
                <w:b/>
                <w:color w:val="auto"/>
                <w:kern w:val="21"/>
              </w:rPr>
            </w:pPr>
            <w:r>
              <w:rPr>
                <w:b/>
                <w:color w:val="auto"/>
                <w:kern w:val="21"/>
              </w:rPr>
              <w:t>(mg/m</w:t>
            </w:r>
            <w:r>
              <w:rPr>
                <w:b/>
                <w:color w:val="auto"/>
                <w:kern w:val="21"/>
                <w:vertAlign w:val="superscript"/>
              </w:rPr>
              <w:t>3</w:t>
            </w:r>
            <w:r>
              <w:rPr>
                <w:b/>
                <w:color w:val="auto"/>
                <w:kern w:val="21"/>
              </w:rPr>
              <w:t>)</w:t>
            </w:r>
          </w:p>
        </w:tc>
        <w:tc>
          <w:tcPr>
            <w:tcW w:w="1182" w:type="dxa"/>
            <w:vAlign w:val="center"/>
          </w:tcPr>
          <w:p>
            <w:pPr>
              <w:adjustRightInd w:val="0"/>
              <w:snapToGrid w:val="0"/>
              <w:jc w:val="center"/>
              <w:rPr>
                <w:rFonts w:eastAsia="Times New Roman"/>
                <w:b/>
                <w:color w:val="auto"/>
                <w:kern w:val="21"/>
              </w:rPr>
            </w:pPr>
            <w:r>
              <w:rPr>
                <w:b/>
                <w:color w:val="auto"/>
                <w:kern w:val="21"/>
              </w:rPr>
              <w:t>非正常排放 速率</w:t>
            </w:r>
            <w:r>
              <w:rPr>
                <w:rFonts w:hint="eastAsia"/>
                <w:b/>
                <w:color w:val="auto"/>
                <w:kern w:val="21"/>
                <w:lang w:eastAsia="zh-CN"/>
              </w:rPr>
              <w:t>(</w:t>
            </w:r>
            <w:r>
              <w:rPr>
                <w:rFonts w:eastAsia="Times New Roman"/>
                <w:b/>
                <w:color w:val="auto"/>
                <w:kern w:val="21"/>
              </w:rPr>
              <w:t>kg/h)</w:t>
            </w:r>
          </w:p>
        </w:tc>
        <w:tc>
          <w:tcPr>
            <w:tcW w:w="1051" w:type="dxa"/>
            <w:vAlign w:val="center"/>
          </w:tcPr>
          <w:p>
            <w:pPr>
              <w:adjustRightInd w:val="0"/>
              <w:snapToGrid w:val="0"/>
              <w:jc w:val="center"/>
              <w:rPr>
                <w:rFonts w:eastAsia="Times New Roman"/>
                <w:b/>
                <w:color w:val="auto"/>
                <w:kern w:val="21"/>
              </w:rPr>
            </w:pPr>
            <w:r>
              <w:rPr>
                <w:b/>
                <w:color w:val="auto"/>
                <w:kern w:val="21"/>
              </w:rPr>
              <w:t>单次持续 时间</w:t>
            </w:r>
            <w:r>
              <w:rPr>
                <w:rFonts w:hint="eastAsia"/>
                <w:b/>
                <w:color w:val="auto"/>
                <w:kern w:val="21"/>
                <w:lang w:eastAsia="zh-CN"/>
              </w:rPr>
              <w:t>(</w:t>
            </w:r>
            <w:r>
              <w:rPr>
                <w:rFonts w:eastAsia="Times New Roman"/>
                <w:b/>
                <w:color w:val="auto"/>
                <w:kern w:val="21"/>
              </w:rPr>
              <w:t>h)</w:t>
            </w:r>
          </w:p>
        </w:tc>
        <w:tc>
          <w:tcPr>
            <w:tcW w:w="915" w:type="dxa"/>
            <w:vAlign w:val="center"/>
          </w:tcPr>
          <w:p>
            <w:pPr>
              <w:adjustRightInd w:val="0"/>
              <w:snapToGrid w:val="0"/>
              <w:jc w:val="center"/>
              <w:rPr>
                <w:rFonts w:eastAsia="Times New Roman"/>
                <w:b/>
                <w:color w:val="auto"/>
                <w:kern w:val="21"/>
              </w:rPr>
            </w:pPr>
            <w:r>
              <w:rPr>
                <w:b/>
                <w:color w:val="auto"/>
                <w:kern w:val="21"/>
              </w:rPr>
              <w:t xml:space="preserve">年发生 频次 </w:t>
            </w:r>
            <w:r>
              <w:rPr>
                <w:rFonts w:hint="eastAsia"/>
                <w:b/>
                <w:color w:val="auto"/>
                <w:kern w:val="21"/>
                <w:lang w:eastAsia="zh-CN"/>
              </w:rPr>
              <w:t>（</w:t>
            </w:r>
            <w:r>
              <w:rPr>
                <w:b/>
                <w:color w:val="auto"/>
                <w:kern w:val="21"/>
              </w:rPr>
              <w:t>次</w:t>
            </w:r>
            <w:r>
              <w:rPr>
                <w:rFonts w:hint="eastAsia"/>
                <w:b/>
                <w:color w:val="auto"/>
                <w:kern w:val="21"/>
                <w:lang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7" w:type="dxa"/>
            <w:vAlign w:val="center"/>
          </w:tcPr>
          <w:p>
            <w:pPr>
              <w:adjustRightInd w:val="0"/>
              <w:snapToGrid w:val="0"/>
              <w:jc w:val="center"/>
              <w:rPr>
                <w:b/>
                <w:color w:val="auto"/>
                <w:kern w:val="21"/>
              </w:rPr>
            </w:pPr>
            <w:r>
              <w:rPr>
                <w:rFonts w:hint="eastAsia"/>
                <w:b/>
                <w:color w:val="auto"/>
                <w:kern w:val="21"/>
              </w:rPr>
              <w:t>1</w:t>
            </w:r>
          </w:p>
        </w:tc>
        <w:tc>
          <w:tcPr>
            <w:tcW w:w="1051" w:type="dxa"/>
            <w:vAlign w:val="center"/>
          </w:tcPr>
          <w:p>
            <w:pPr>
              <w:adjustRightInd w:val="0"/>
              <w:snapToGrid w:val="0"/>
              <w:jc w:val="center"/>
              <w:rPr>
                <w:color w:val="auto"/>
                <w:kern w:val="21"/>
              </w:rPr>
            </w:pPr>
            <w:r>
              <w:rPr>
                <w:color w:val="auto"/>
                <w:kern w:val="21"/>
              </w:rPr>
              <w:t>碱液喷淋塔排气筒DA00</w:t>
            </w:r>
            <w:r>
              <w:rPr>
                <w:rFonts w:hint="eastAsia"/>
                <w:color w:val="auto"/>
                <w:kern w:val="21"/>
              </w:rPr>
              <w:t>1</w:t>
            </w:r>
          </w:p>
        </w:tc>
        <w:tc>
          <w:tcPr>
            <w:tcW w:w="1078" w:type="dxa"/>
            <w:vMerge w:val="restart"/>
            <w:vAlign w:val="center"/>
          </w:tcPr>
          <w:p>
            <w:pPr>
              <w:adjustRightInd w:val="0"/>
              <w:snapToGrid w:val="0"/>
              <w:jc w:val="center"/>
              <w:rPr>
                <w:color w:val="auto"/>
                <w:kern w:val="21"/>
              </w:rPr>
            </w:pPr>
            <w:r>
              <w:rPr>
                <w:color w:val="auto"/>
                <w:kern w:val="21"/>
              </w:rPr>
              <w:t>废气处理系统发生故障</w:t>
            </w:r>
          </w:p>
        </w:tc>
        <w:tc>
          <w:tcPr>
            <w:tcW w:w="1348" w:type="dxa"/>
            <w:vAlign w:val="center"/>
          </w:tcPr>
          <w:p>
            <w:pPr>
              <w:adjustRightInd w:val="0"/>
              <w:snapToGrid w:val="0"/>
              <w:jc w:val="center"/>
              <w:rPr>
                <w:color w:val="auto"/>
                <w:kern w:val="21"/>
              </w:rPr>
            </w:pPr>
            <w:r>
              <w:rPr>
                <w:color w:val="auto"/>
                <w:kern w:val="21"/>
              </w:rPr>
              <w:t>氯化氢</w:t>
            </w:r>
          </w:p>
        </w:tc>
        <w:tc>
          <w:tcPr>
            <w:tcW w:w="1252" w:type="dxa"/>
            <w:vAlign w:val="center"/>
          </w:tcPr>
          <w:p>
            <w:pPr>
              <w:widowControl w:val="0"/>
              <w:jc w:val="center"/>
              <w:rPr>
                <w:bCs/>
                <w:color w:val="auto"/>
              </w:rPr>
            </w:pPr>
            <w:r>
              <w:rPr>
                <w:rFonts w:hint="eastAsia"/>
                <w:bCs/>
                <w:color w:val="auto"/>
              </w:rPr>
              <w:t>17.933</w:t>
            </w:r>
          </w:p>
        </w:tc>
        <w:tc>
          <w:tcPr>
            <w:tcW w:w="1182" w:type="dxa"/>
            <w:vAlign w:val="center"/>
          </w:tcPr>
          <w:p>
            <w:pPr>
              <w:widowControl w:val="0"/>
              <w:jc w:val="center"/>
              <w:rPr>
                <w:bCs/>
                <w:color w:val="auto"/>
              </w:rPr>
            </w:pPr>
            <w:r>
              <w:rPr>
                <w:rFonts w:hint="eastAsia"/>
                <w:bCs/>
                <w:color w:val="auto"/>
              </w:rPr>
              <w:t>0.6816</w:t>
            </w:r>
          </w:p>
        </w:tc>
        <w:tc>
          <w:tcPr>
            <w:tcW w:w="1051" w:type="dxa"/>
            <w:vAlign w:val="center"/>
          </w:tcPr>
          <w:p>
            <w:pPr>
              <w:adjustRightInd w:val="0"/>
              <w:snapToGrid w:val="0"/>
              <w:jc w:val="center"/>
              <w:rPr>
                <w:color w:val="auto"/>
                <w:kern w:val="21"/>
              </w:rPr>
            </w:pPr>
            <w:r>
              <w:rPr>
                <w:color w:val="auto"/>
                <w:kern w:val="21"/>
              </w:rPr>
              <w:t>1</w:t>
            </w:r>
          </w:p>
        </w:tc>
        <w:tc>
          <w:tcPr>
            <w:tcW w:w="915" w:type="dxa"/>
            <w:vAlign w:val="center"/>
          </w:tcPr>
          <w:p>
            <w:pPr>
              <w:adjustRightInd w:val="0"/>
              <w:snapToGrid w:val="0"/>
              <w:jc w:val="center"/>
              <w:rPr>
                <w:color w:val="auto"/>
                <w:kern w:val="21"/>
              </w:rPr>
            </w:pPr>
            <w:r>
              <w:rPr>
                <w:color w:val="auto"/>
                <w:kern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7" w:type="dxa"/>
            <w:vAlign w:val="center"/>
          </w:tcPr>
          <w:p>
            <w:pPr>
              <w:adjustRightInd w:val="0"/>
              <w:snapToGrid w:val="0"/>
              <w:jc w:val="center"/>
              <w:rPr>
                <w:color w:val="auto"/>
                <w:kern w:val="21"/>
              </w:rPr>
            </w:pPr>
            <w:r>
              <w:rPr>
                <w:rFonts w:hint="eastAsia"/>
                <w:color w:val="auto"/>
                <w:kern w:val="21"/>
              </w:rPr>
              <w:t>2</w:t>
            </w:r>
          </w:p>
        </w:tc>
        <w:tc>
          <w:tcPr>
            <w:tcW w:w="1051" w:type="dxa"/>
            <w:vAlign w:val="center"/>
          </w:tcPr>
          <w:p>
            <w:pPr>
              <w:adjustRightInd w:val="0"/>
              <w:snapToGrid w:val="0"/>
              <w:jc w:val="center"/>
              <w:rPr>
                <w:color w:val="auto"/>
                <w:kern w:val="21"/>
              </w:rPr>
            </w:pPr>
            <w:r>
              <w:rPr>
                <w:color w:val="auto"/>
                <w:kern w:val="21"/>
              </w:rPr>
              <w:t>袋式除尘器DA00</w:t>
            </w:r>
            <w:r>
              <w:rPr>
                <w:rFonts w:hint="eastAsia"/>
                <w:color w:val="auto"/>
                <w:kern w:val="21"/>
              </w:rPr>
              <w:t>4</w:t>
            </w:r>
          </w:p>
        </w:tc>
        <w:tc>
          <w:tcPr>
            <w:tcW w:w="1078" w:type="dxa"/>
            <w:vMerge w:val="continue"/>
            <w:vAlign w:val="center"/>
          </w:tcPr>
          <w:p>
            <w:pPr>
              <w:adjustRightInd w:val="0"/>
              <w:snapToGrid w:val="0"/>
              <w:jc w:val="center"/>
              <w:rPr>
                <w:color w:val="auto"/>
                <w:kern w:val="21"/>
              </w:rPr>
            </w:pPr>
          </w:p>
        </w:tc>
        <w:tc>
          <w:tcPr>
            <w:tcW w:w="1348" w:type="dxa"/>
            <w:vAlign w:val="center"/>
          </w:tcPr>
          <w:p>
            <w:pPr>
              <w:adjustRightInd w:val="0"/>
              <w:snapToGrid w:val="0"/>
              <w:jc w:val="center"/>
              <w:rPr>
                <w:color w:val="auto"/>
                <w:kern w:val="21"/>
              </w:rPr>
            </w:pPr>
            <w:r>
              <w:rPr>
                <w:color w:val="auto"/>
                <w:kern w:val="21"/>
              </w:rPr>
              <w:t>颗粒物</w:t>
            </w:r>
          </w:p>
        </w:tc>
        <w:tc>
          <w:tcPr>
            <w:tcW w:w="1252" w:type="dxa"/>
            <w:vAlign w:val="center"/>
          </w:tcPr>
          <w:p>
            <w:pPr>
              <w:widowControl w:val="0"/>
              <w:jc w:val="center"/>
              <w:rPr>
                <w:bCs/>
                <w:color w:val="auto"/>
              </w:rPr>
            </w:pPr>
            <w:r>
              <w:rPr>
                <w:rFonts w:hint="eastAsia"/>
                <w:b/>
                <w:color w:val="auto"/>
                <w:u w:val="single"/>
              </w:rPr>
              <w:t>88.56</w:t>
            </w:r>
          </w:p>
        </w:tc>
        <w:tc>
          <w:tcPr>
            <w:tcW w:w="1182" w:type="dxa"/>
            <w:vAlign w:val="center"/>
          </w:tcPr>
          <w:p>
            <w:pPr>
              <w:widowControl w:val="0"/>
              <w:jc w:val="center"/>
              <w:rPr>
                <w:bCs/>
                <w:color w:val="auto"/>
              </w:rPr>
            </w:pPr>
            <w:r>
              <w:rPr>
                <w:rFonts w:hint="eastAsia"/>
                <w:b/>
                <w:color w:val="auto"/>
                <w:u w:val="single"/>
              </w:rPr>
              <w:t>0.4428</w:t>
            </w:r>
          </w:p>
        </w:tc>
        <w:tc>
          <w:tcPr>
            <w:tcW w:w="1051" w:type="dxa"/>
            <w:vAlign w:val="center"/>
          </w:tcPr>
          <w:p>
            <w:pPr>
              <w:adjustRightInd w:val="0"/>
              <w:snapToGrid w:val="0"/>
              <w:jc w:val="center"/>
              <w:rPr>
                <w:color w:val="auto"/>
                <w:kern w:val="21"/>
              </w:rPr>
            </w:pPr>
            <w:r>
              <w:rPr>
                <w:color w:val="auto"/>
                <w:kern w:val="21"/>
              </w:rPr>
              <w:t>1</w:t>
            </w:r>
          </w:p>
        </w:tc>
        <w:tc>
          <w:tcPr>
            <w:tcW w:w="915" w:type="dxa"/>
            <w:vAlign w:val="center"/>
          </w:tcPr>
          <w:p>
            <w:pPr>
              <w:adjustRightInd w:val="0"/>
              <w:snapToGrid w:val="0"/>
              <w:jc w:val="center"/>
              <w:rPr>
                <w:color w:val="auto"/>
                <w:kern w:val="21"/>
              </w:rPr>
            </w:pPr>
            <w:r>
              <w:rPr>
                <w:color w:val="auto"/>
                <w:kern w:val="21"/>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7" w:type="dxa"/>
            <w:vAlign w:val="center"/>
          </w:tcPr>
          <w:p>
            <w:pPr>
              <w:adjustRightInd w:val="0"/>
              <w:snapToGrid w:val="0"/>
              <w:jc w:val="center"/>
              <w:rPr>
                <w:color w:val="auto"/>
                <w:kern w:val="21"/>
              </w:rPr>
            </w:pPr>
            <w:r>
              <w:rPr>
                <w:color w:val="auto"/>
                <w:kern w:val="21"/>
              </w:rPr>
              <w:t>应对 措施</w:t>
            </w:r>
          </w:p>
        </w:tc>
        <w:tc>
          <w:tcPr>
            <w:tcW w:w="7877" w:type="dxa"/>
            <w:gridSpan w:val="7"/>
            <w:vAlign w:val="center"/>
          </w:tcPr>
          <w:p>
            <w:pPr>
              <w:adjustRightInd w:val="0"/>
              <w:snapToGrid w:val="0"/>
              <w:jc w:val="center"/>
              <w:rPr>
                <w:color w:val="auto"/>
                <w:kern w:val="21"/>
              </w:rPr>
            </w:pPr>
            <w:r>
              <w:rPr>
                <w:color w:val="auto"/>
                <w:kern w:val="21"/>
              </w:rPr>
              <w:t>1、安排专人负责环保设施运行管理，环保设施定期维护，并记录台账，一旦发生非正常排放，立即停止生产，待异常事故处理完成后方可生产。</w:t>
            </w:r>
            <w:r>
              <w:rPr>
                <w:rFonts w:eastAsia="Times New Roman"/>
                <w:color w:val="auto"/>
                <w:kern w:val="21"/>
              </w:rPr>
              <w:t>2</w:t>
            </w:r>
            <w:r>
              <w:rPr>
                <w:color w:val="auto"/>
                <w:kern w:val="21"/>
              </w:rPr>
              <w:t>、定期监测，对比监测数据，对于数据排放异常的情况分析其原因，减少非正常排放的可能，排查异常排放是否因为废气处理装置的效率影响，并解除此影响。</w:t>
            </w:r>
            <w:r>
              <w:rPr>
                <w:rFonts w:eastAsia="Times New Roman"/>
                <w:color w:val="auto"/>
                <w:kern w:val="21"/>
              </w:rPr>
              <w:t>3</w:t>
            </w:r>
            <w:r>
              <w:rPr>
                <w:color w:val="auto"/>
                <w:kern w:val="21"/>
              </w:rPr>
              <w:t>、建立健全环保机构，定期对管理</w:t>
            </w:r>
          </w:p>
          <w:p>
            <w:pPr>
              <w:adjustRightInd w:val="0"/>
              <w:snapToGrid w:val="0"/>
              <w:rPr>
                <w:color w:val="auto"/>
                <w:kern w:val="21"/>
              </w:rPr>
            </w:pPr>
            <w:r>
              <w:rPr>
                <w:color w:val="auto"/>
                <w:kern w:val="21"/>
              </w:rPr>
              <w:t>人员和技术人员进行岗位培训，对废气处理实行全过程跟踪控制</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textAlignment w:val="auto"/>
        <w:outlineLvl w:val="2"/>
        <w:rPr>
          <w:rFonts w:eastAsia="黑体"/>
          <w:color w:val="auto"/>
          <w:kern w:val="21"/>
          <w:sz w:val="28"/>
          <w:szCs w:val="28"/>
        </w:rPr>
      </w:pPr>
      <w:r>
        <w:rPr>
          <w:rFonts w:eastAsia="黑体"/>
          <w:color w:val="auto"/>
          <w:kern w:val="21"/>
          <w:sz w:val="28"/>
          <w:szCs w:val="28"/>
        </w:rPr>
        <w:t>5.1.4大气环境影响评价自查表</w:t>
      </w:r>
    </w:p>
    <w:p>
      <w:pPr>
        <w:jc w:val="center"/>
        <w:rPr>
          <w:rFonts w:eastAsia="黑体"/>
          <w:color w:val="auto"/>
          <w:sz w:val="24"/>
          <w:szCs w:val="24"/>
        </w:rPr>
      </w:pPr>
      <w:r>
        <w:rPr>
          <w:rFonts w:eastAsia="黑体"/>
          <w:color w:val="auto"/>
          <w:sz w:val="24"/>
          <w:szCs w:val="24"/>
        </w:rPr>
        <w:t>表5.1-28  大气环境影响评价自查表</w:t>
      </w:r>
    </w:p>
    <w:tbl>
      <w:tblPr>
        <w:tblStyle w:val="83"/>
        <w:tblW w:w="86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1378"/>
        <w:gridCol w:w="975"/>
        <w:gridCol w:w="1169"/>
        <w:gridCol w:w="1141"/>
        <w:gridCol w:w="632"/>
        <w:gridCol w:w="253"/>
        <w:gridCol w:w="885"/>
        <w:gridCol w:w="620"/>
        <w:gridCol w:w="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1" w:type="dxa"/>
            <w:gridSpan w:val="2"/>
            <w:vAlign w:val="center"/>
          </w:tcPr>
          <w:p>
            <w:pPr>
              <w:adjustRightInd w:val="0"/>
              <w:snapToGrid w:val="0"/>
              <w:jc w:val="center"/>
              <w:rPr>
                <w:b/>
                <w:bCs/>
                <w:snapToGrid w:val="0"/>
                <w:color w:val="auto"/>
                <w:kern w:val="21"/>
              </w:rPr>
            </w:pPr>
            <w:r>
              <w:rPr>
                <w:b/>
                <w:bCs/>
                <w:snapToGrid w:val="0"/>
                <w:color w:val="auto"/>
                <w:kern w:val="21"/>
              </w:rPr>
              <w:t>工作内容</w:t>
            </w:r>
          </w:p>
        </w:tc>
        <w:tc>
          <w:tcPr>
            <w:tcW w:w="6490" w:type="dxa"/>
            <w:gridSpan w:val="8"/>
            <w:vAlign w:val="center"/>
          </w:tcPr>
          <w:p>
            <w:pPr>
              <w:adjustRightInd w:val="0"/>
              <w:snapToGrid w:val="0"/>
              <w:jc w:val="center"/>
              <w:rPr>
                <w:b/>
                <w:bCs/>
                <w:snapToGrid w:val="0"/>
                <w:color w:val="auto"/>
                <w:kern w:val="21"/>
              </w:rPr>
            </w:pPr>
            <w:r>
              <w:rPr>
                <w:b/>
                <w:bCs/>
                <w:snapToGrid w:val="0"/>
                <w:color w:val="auto"/>
                <w:kern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restart"/>
            <w:vAlign w:val="center"/>
          </w:tcPr>
          <w:p>
            <w:pPr>
              <w:adjustRightInd w:val="0"/>
              <w:snapToGrid w:val="0"/>
              <w:jc w:val="center"/>
              <w:rPr>
                <w:bCs/>
                <w:snapToGrid w:val="0"/>
                <w:color w:val="auto"/>
                <w:kern w:val="21"/>
              </w:rPr>
            </w:pPr>
            <w:r>
              <w:rPr>
                <w:bCs/>
                <w:snapToGrid w:val="0"/>
                <w:color w:val="auto"/>
                <w:kern w:val="21"/>
              </w:rPr>
              <w:t>评价等级与范围</w:t>
            </w:r>
          </w:p>
        </w:tc>
        <w:tc>
          <w:tcPr>
            <w:tcW w:w="1378" w:type="dxa"/>
            <w:vAlign w:val="center"/>
          </w:tcPr>
          <w:p>
            <w:pPr>
              <w:adjustRightInd w:val="0"/>
              <w:snapToGrid w:val="0"/>
              <w:jc w:val="center"/>
              <w:rPr>
                <w:bCs/>
                <w:snapToGrid w:val="0"/>
                <w:color w:val="auto"/>
                <w:kern w:val="21"/>
              </w:rPr>
            </w:pPr>
            <w:r>
              <w:rPr>
                <w:bCs/>
                <w:snapToGrid w:val="0"/>
                <w:color w:val="auto"/>
                <w:kern w:val="21"/>
              </w:rPr>
              <w:t>评价等级</w:t>
            </w:r>
          </w:p>
        </w:tc>
        <w:tc>
          <w:tcPr>
            <w:tcW w:w="2144" w:type="dxa"/>
            <w:gridSpan w:val="2"/>
            <w:vAlign w:val="center"/>
          </w:tcPr>
          <w:p>
            <w:pPr>
              <w:adjustRightInd w:val="0"/>
              <w:snapToGrid w:val="0"/>
              <w:jc w:val="center"/>
              <w:rPr>
                <w:bCs/>
                <w:snapToGrid w:val="0"/>
                <w:color w:val="auto"/>
                <w:kern w:val="21"/>
              </w:rPr>
            </w:pPr>
            <w:r>
              <w:rPr>
                <w:bCs/>
                <w:snapToGrid w:val="0"/>
                <w:color w:val="auto"/>
                <w:kern w:val="21"/>
              </w:rPr>
              <w:t>一级</w:t>
            </w:r>
            <w:r>
              <w:rPr>
                <w:bCs/>
                <w:snapToGrid w:val="0"/>
                <w:color w:val="auto"/>
                <w:kern w:val="21"/>
              </w:rPr>
              <w:sym w:font="Wingdings 2" w:char="00A3"/>
            </w:r>
          </w:p>
        </w:tc>
        <w:tc>
          <w:tcPr>
            <w:tcW w:w="1773" w:type="dxa"/>
            <w:gridSpan w:val="2"/>
            <w:vAlign w:val="center"/>
          </w:tcPr>
          <w:p>
            <w:pPr>
              <w:adjustRightInd w:val="0"/>
              <w:snapToGrid w:val="0"/>
              <w:jc w:val="center"/>
              <w:rPr>
                <w:bCs/>
                <w:snapToGrid w:val="0"/>
                <w:color w:val="auto"/>
                <w:kern w:val="21"/>
              </w:rPr>
            </w:pPr>
            <w:r>
              <w:rPr>
                <w:bCs/>
                <w:snapToGrid w:val="0"/>
                <w:color w:val="auto"/>
                <w:kern w:val="21"/>
              </w:rPr>
              <w:t>二级</w:t>
            </w:r>
            <w:r>
              <w:rPr>
                <w:bCs/>
                <w:snapToGrid w:val="0"/>
                <w:color w:val="auto"/>
                <w:kern w:val="21"/>
              </w:rPr>
              <w:sym w:font="Wingdings 2" w:char="0052"/>
            </w:r>
          </w:p>
        </w:tc>
        <w:tc>
          <w:tcPr>
            <w:tcW w:w="2573" w:type="dxa"/>
            <w:gridSpan w:val="4"/>
            <w:vAlign w:val="center"/>
          </w:tcPr>
          <w:p>
            <w:pPr>
              <w:adjustRightInd w:val="0"/>
              <w:snapToGrid w:val="0"/>
              <w:jc w:val="center"/>
              <w:rPr>
                <w:bCs/>
                <w:snapToGrid w:val="0"/>
                <w:color w:val="auto"/>
                <w:kern w:val="21"/>
              </w:rPr>
            </w:pPr>
            <w:r>
              <w:rPr>
                <w:bCs/>
                <w:snapToGrid w:val="0"/>
                <w:color w:val="auto"/>
                <w:kern w:val="21"/>
              </w:rPr>
              <w:t>三级</w:t>
            </w:r>
            <w:r>
              <w:rPr>
                <w:bCs/>
                <w:snapToGrid w:val="0"/>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jc w:val="center"/>
              <w:rPr>
                <w:bCs/>
                <w:snapToGrid w:val="0"/>
                <w:color w:val="auto"/>
                <w:kern w:val="21"/>
              </w:rPr>
            </w:pPr>
            <w:r>
              <w:rPr>
                <w:bCs/>
                <w:snapToGrid w:val="0"/>
                <w:color w:val="auto"/>
                <w:kern w:val="21"/>
              </w:rPr>
              <w:t>评价范围</w:t>
            </w:r>
          </w:p>
        </w:tc>
        <w:tc>
          <w:tcPr>
            <w:tcW w:w="2144" w:type="dxa"/>
            <w:gridSpan w:val="2"/>
            <w:vAlign w:val="center"/>
          </w:tcPr>
          <w:p>
            <w:pPr>
              <w:adjustRightInd w:val="0"/>
              <w:snapToGrid w:val="0"/>
              <w:jc w:val="center"/>
              <w:rPr>
                <w:bCs/>
                <w:snapToGrid w:val="0"/>
                <w:color w:val="auto"/>
                <w:kern w:val="21"/>
              </w:rPr>
            </w:pPr>
            <w:r>
              <w:rPr>
                <w:bCs/>
                <w:snapToGrid w:val="0"/>
                <w:color w:val="auto"/>
                <w:kern w:val="21"/>
              </w:rPr>
              <w:t>边长=50km</w:t>
            </w:r>
            <w:r>
              <w:rPr>
                <w:bCs/>
                <w:snapToGrid w:val="0"/>
                <w:color w:val="auto"/>
                <w:kern w:val="21"/>
              </w:rPr>
              <w:sym w:font="Wingdings 2" w:char="00A3"/>
            </w:r>
          </w:p>
        </w:tc>
        <w:tc>
          <w:tcPr>
            <w:tcW w:w="1773" w:type="dxa"/>
            <w:gridSpan w:val="2"/>
            <w:vAlign w:val="center"/>
          </w:tcPr>
          <w:p>
            <w:pPr>
              <w:adjustRightInd w:val="0"/>
              <w:snapToGrid w:val="0"/>
              <w:jc w:val="center"/>
              <w:rPr>
                <w:bCs/>
                <w:snapToGrid w:val="0"/>
                <w:color w:val="auto"/>
                <w:kern w:val="21"/>
              </w:rPr>
            </w:pPr>
            <w:r>
              <w:rPr>
                <w:bCs/>
                <w:snapToGrid w:val="0"/>
                <w:color w:val="auto"/>
                <w:kern w:val="21"/>
              </w:rPr>
              <w:t>边长5-50km</w:t>
            </w:r>
            <w:r>
              <w:rPr>
                <w:bCs/>
                <w:snapToGrid w:val="0"/>
                <w:color w:val="auto"/>
                <w:kern w:val="21"/>
              </w:rPr>
              <w:sym w:font="Wingdings 2" w:char="00A3"/>
            </w:r>
          </w:p>
        </w:tc>
        <w:tc>
          <w:tcPr>
            <w:tcW w:w="2573" w:type="dxa"/>
            <w:gridSpan w:val="4"/>
            <w:vAlign w:val="center"/>
          </w:tcPr>
          <w:p>
            <w:pPr>
              <w:adjustRightInd w:val="0"/>
              <w:snapToGrid w:val="0"/>
              <w:jc w:val="center"/>
              <w:rPr>
                <w:bCs/>
                <w:snapToGrid w:val="0"/>
                <w:color w:val="auto"/>
                <w:kern w:val="21"/>
              </w:rPr>
            </w:pPr>
            <w:r>
              <w:rPr>
                <w:bCs/>
                <w:snapToGrid w:val="0"/>
                <w:color w:val="auto"/>
                <w:kern w:val="21"/>
              </w:rPr>
              <w:t>边长5km</w:t>
            </w:r>
            <w:r>
              <w:rPr>
                <w:bCs/>
                <w:snapToGrid w:val="0"/>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restart"/>
            <w:vAlign w:val="center"/>
          </w:tcPr>
          <w:p>
            <w:pPr>
              <w:adjustRightInd w:val="0"/>
              <w:snapToGrid w:val="0"/>
              <w:jc w:val="center"/>
              <w:rPr>
                <w:bCs/>
                <w:snapToGrid w:val="0"/>
                <w:color w:val="auto"/>
                <w:kern w:val="21"/>
              </w:rPr>
            </w:pPr>
            <w:r>
              <w:rPr>
                <w:bCs/>
                <w:snapToGrid w:val="0"/>
                <w:color w:val="auto"/>
                <w:kern w:val="21"/>
              </w:rPr>
              <w:t>评价因子</w:t>
            </w:r>
          </w:p>
        </w:tc>
        <w:tc>
          <w:tcPr>
            <w:tcW w:w="1378" w:type="dxa"/>
            <w:vAlign w:val="center"/>
          </w:tcPr>
          <w:p>
            <w:pPr>
              <w:adjustRightInd w:val="0"/>
              <w:snapToGrid w:val="0"/>
              <w:rPr>
                <w:bCs/>
                <w:snapToGrid w:val="0"/>
                <w:color w:val="auto"/>
                <w:kern w:val="21"/>
              </w:rPr>
            </w:pPr>
            <w:r>
              <w:rPr>
                <w:rFonts w:eastAsia="Times New Roman"/>
                <w:color w:val="auto"/>
                <w:kern w:val="21"/>
              </w:rPr>
              <w:t>SO</w:t>
            </w:r>
            <w:r>
              <w:rPr>
                <w:rFonts w:eastAsia="Times New Roman"/>
                <w:color w:val="auto"/>
                <w:kern w:val="21"/>
                <w:vertAlign w:val="subscript"/>
              </w:rPr>
              <w:t>2</w:t>
            </w:r>
            <w:r>
              <w:rPr>
                <w:rFonts w:eastAsia="Times New Roman"/>
                <w:color w:val="auto"/>
                <w:kern w:val="21"/>
              </w:rPr>
              <w:t xml:space="preserve"> +NO</w:t>
            </w:r>
            <w:r>
              <w:rPr>
                <w:rFonts w:eastAsia="Times New Roman"/>
                <w:color w:val="auto"/>
                <w:kern w:val="21"/>
                <w:vertAlign w:val="subscript"/>
              </w:rPr>
              <w:t>x</w:t>
            </w:r>
            <w:r>
              <w:rPr>
                <w:color w:val="auto"/>
                <w:kern w:val="21"/>
              </w:rPr>
              <w:t>排放量</w:t>
            </w:r>
          </w:p>
        </w:tc>
        <w:tc>
          <w:tcPr>
            <w:tcW w:w="2144" w:type="dxa"/>
            <w:gridSpan w:val="2"/>
            <w:vAlign w:val="center"/>
          </w:tcPr>
          <w:p>
            <w:pPr>
              <w:adjustRightInd w:val="0"/>
              <w:snapToGrid w:val="0"/>
              <w:jc w:val="center"/>
              <w:rPr>
                <w:bCs/>
                <w:snapToGrid w:val="0"/>
                <w:color w:val="auto"/>
                <w:kern w:val="21"/>
              </w:rPr>
            </w:pPr>
            <w:r>
              <w:rPr>
                <w:bCs/>
                <w:snapToGrid w:val="0"/>
                <w:color w:val="auto"/>
                <w:kern w:val="21"/>
              </w:rPr>
              <w:t>≥2000t/a</w:t>
            </w:r>
            <w:r>
              <w:rPr>
                <w:bCs/>
                <w:snapToGrid w:val="0"/>
                <w:color w:val="auto"/>
                <w:kern w:val="21"/>
              </w:rPr>
              <w:sym w:font="Wingdings 2" w:char="00A3"/>
            </w:r>
          </w:p>
        </w:tc>
        <w:tc>
          <w:tcPr>
            <w:tcW w:w="1773" w:type="dxa"/>
            <w:gridSpan w:val="2"/>
            <w:vAlign w:val="center"/>
          </w:tcPr>
          <w:p>
            <w:pPr>
              <w:adjustRightInd w:val="0"/>
              <w:snapToGrid w:val="0"/>
              <w:jc w:val="center"/>
              <w:rPr>
                <w:bCs/>
                <w:snapToGrid w:val="0"/>
                <w:color w:val="auto"/>
                <w:kern w:val="21"/>
              </w:rPr>
            </w:pPr>
            <w:r>
              <w:rPr>
                <w:bCs/>
                <w:snapToGrid w:val="0"/>
                <w:color w:val="auto"/>
                <w:kern w:val="21"/>
              </w:rPr>
              <w:t>500-2000t/a</w:t>
            </w:r>
            <w:r>
              <w:rPr>
                <w:bCs/>
                <w:snapToGrid w:val="0"/>
                <w:color w:val="auto"/>
                <w:kern w:val="21"/>
              </w:rPr>
              <w:sym w:font="Wingdings 2" w:char="00A3"/>
            </w:r>
          </w:p>
        </w:tc>
        <w:tc>
          <w:tcPr>
            <w:tcW w:w="2573" w:type="dxa"/>
            <w:gridSpan w:val="4"/>
            <w:vAlign w:val="center"/>
          </w:tcPr>
          <w:p>
            <w:pPr>
              <w:adjustRightInd w:val="0"/>
              <w:snapToGrid w:val="0"/>
              <w:jc w:val="center"/>
              <w:rPr>
                <w:bCs/>
                <w:snapToGrid w:val="0"/>
                <w:color w:val="auto"/>
                <w:kern w:val="21"/>
              </w:rPr>
            </w:pPr>
            <w:r>
              <w:rPr>
                <w:bCs/>
                <w:snapToGrid w:val="0"/>
                <w:color w:val="auto"/>
                <w:kern w:val="21"/>
              </w:rPr>
              <w:t>&lt;500t/a</w:t>
            </w:r>
            <w:r>
              <w:rPr>
                <w:bCs/>
                <w:snapToGrid w:val="0"/>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jc w:val="center"/>
              <w:rPr>
                <w:bCs/>
                <w:snapToGrid w:val="0"/>
                <w:color w:val="auto"/>
                <w:kern w:val="21"/>
              </w:rPr>
            </w:pPr>
            <w:r>
              <w:rPr>
                <w:bCs/>
                <w:snapToGrid w:val="0"/>
                <w:color w:val="auto"/>
                <w:kern w:val="21"/>
              </w:rPr>
              <w:t>评价因子</w:t>
            </w:r>
          </w:p>
        </w:tc>
        <w:tc>
          <w:tcPr>
            <w:tcW w:w="3285" w:type="dxa"/>
            <w:gridSpan w:val="3"/>
            <w:vAlign w:val="center"/>
          </w:tcPr>
          <w:p>
            <w:pPr>
              <w:adjustRightInd w:val="0"/>
              <w:snapToGrid w:val="0"/>
              <w:jc w:val="center"/>
              <w:rPr>
                <w:bCs/>
                <w:snapToGrid w:val="0"/>
                <w:color w:val="auto"/>
                <w:kern w:val="21"/>
              </w:rPr>
            </w:pPr>
            <w:r>
              <w:rPr>
                <w:bCs/>
                <w:snapToGrid w:val="0"/>
                <w:color w:val="auto"/>
                <w:kern w:val="21"/>
              </w:rPr>
              <w:t>基本污染物（PM</w:t>
            </w:r>
            <w:r>
              <w:rPr>
                <w:bCs/>
                <w:snapToGrid w:val="0"/>
                <w:color w:val="auto"/>
                <w:kern w:val="21"/>
                <w:vertAlign w:val="subscript"/>
              </w:rPr>
              <w:t>10</w:t>
            </w:r>
            <w:r>
              <w:rPr>
                <w:bCs/>
                <w:snapToGrid w:val="0"/>
                <w:color w:val="auto"/>
                <w:kern w:val="21"/>
              </w:rPr>
              <w:t>）</w:t>
            </w:r>
          </w:p>
        </w:tc>
        <w:tc>
          <w:tcPr>
            <w:tcW w:w="3205" w:type="dxa"/>
            <w:gridSpan w:val="5"/>
            <w:vAlign w:val="center"/>
          </w:tcPr>
          <w:p>
            <w:pPr>
              <w:adjustRightInd w:val="0"/>
              <w:snapToGrid w:val="0"/>
              <w:jc w:val="center"/>
              <w:rPr>
                <w:bCs/>
                <w:snapToGrid w:val="0"/>
                <w:color w:val="auto"/>
                <w:kern w:val="21"/>
                <w:vertAlign w:val="subscript"/>
              </w:rPr>
            </w:pPr>
            <w:r>
              <w:rPr>
                <w:bCs/>
                <w:snapToGrid w:val="0"/>
                <w:color w:val="auto"/>
                <w:kern w:val="21"/>
              </w:rPr>
              <w:t>包括二次PM</w:t>
            </w:r>
            <w:r>
              <w:rPr>
                <w:bCs/>
                <w:snapToGrid w:val="0"/>
                <w:color w:val="auto"/>
                <w:kern w:val="21"/>
                <w:vertAlign w:val="subscript"/>
              </w:rPr>
              <w:t>2.5</w:t>
            </w:r>
            <w:r>
              <w:rPr>
                <w:bCs/>
                <w:snapToGrid w:val="0"/>
                <w:color w:val="auto"/>
                <w:kern w:val="21"/>
              </w:rPr>
              <w:sym w:font="Wingdings 2" w:char="00A3"/>
            </w:r>
          </w:p>
          <w:p>
            <w:pPr>
              <w:adjustRightInd w:val="0"/>
              <w:snapToGrid w:val="0"/>
              <w:jc w:val="center"/>
              <w:rPr>
                <w:bCs/>
                <w:snapToGrid w:val="0"/>
                <w:color w:val="auto"/>
                <w:kern w:val="21"/>
                <w:vertAlign w:val="subscript"/>
              </w:rPr>
            </w:pPr>
            <w:r>
              <w:rPr>
                <w:bCs/>
                <w:snapToGrid w:val="0"/>
                <w:color w:val="auto"/>
                <w:kern w:val="21"/>
              </w:rPr>
              <w:t>不包括二次PM</w:t>
            </w:r>
            <w:r>
              <w:rPr>
                <w:bCs/>
                <w:snapToGrid w:val="0"/>
                <w:color w:val="auto"/>
                <w:kern w:val="21"/>
                <w:vertAlign w:val="subscript"/>
              </w:rPr>
              <w:t>2.5</w:t>
            </w:r>
            <w:r>
              <w:rPr>
                <w:bCs/>
                <w:snapToGrid w:val="0"/>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Align w:val="center"/>
          </w:tcPr>
          <w:p>
            <w:pPr>
              <w:adjustRightInd w:val="0"/>
              <w:snapToGrid w:val="0"/>
              <w:jc w:val="center"/>
              <w:rPr>
                <w:bCs/>
                <w:snapToGrid w:val="0"/>
                <w:color w:val="auto"/>
                <w:kern w:val="21"/>
              </w:rPr>
            </w:pPr>
            <w:r>
              <w:rPr>
                <w:bCs/>
                <w:snapToGrid w:val="0"/>
                <w:color w:val="auto"/>
                <w:kern w:val="21"/>
              </w:rPr>
              <w:t>评价标准</w:t>
            </w:r>
          </w:p>
        </w:tc>
        <w:tc>
          <w:tcPr>
            <w:tcW w:w="1378" w:type="dxa"/>
            <w:vAlign w:val="center"/>
          </w:tcPr>
          <w:p>
            <w:pPr>
              <w:adjustRightInd w:val="0"/>
              <w:snapToGrid w:val="0"/>
              <w:jc w:val="center"/>
              <w:rPr>
                <w:bCs/>
                <w:snapToGrid w:val="0"/>
                <w:color w:val="auto"/>
                <w:kern w:val="21"/>
              </w:rPr>
            </w:pPr>
            <w:r>
              <w:rPr>
                <w:bCs/>
                <w:snapToGrid w:val="0"/>
                <w:color w:val="auto"/>
                <w:kern w:val="21"/>
              </w:rPr>
              <w:t>评价标准</w:t>
            </w:r>
          </w:p>
        </w:tc>
        <w:tc>
          <w:tcPr>
            <w:tcW w:w="2144" w:type="dxa"/>
            <w:gridSpan w:val="2"/>
            <w:vAlign w:val="center"/>
          </w:tcPr>
          <w:p>
            <w:pPr>
              <w:adjustRightInd w:val="0"/>
              <w:snapToGrid w:val="0"/>
              <w:jc w:val="center"/>
              <w:rPr>
                <w:bCs/>
                <w:snapToGrid w:val="0"/>
                <w:color w:val="auto"/>
                <w:kern w:val="21"/>
              </w:rPr>
            </w:pPr>
            <w:r>
              <w:rPr>
                <w:bCs/>
                <w:snapToGrid w:val="0"/>
                <w:color w:val="auto"/>
                <w:kern w:val="21"/>
              </w:rPr>
              <w:t>国家标准</w:t>
            </w:r>
            <w:r>
              <w:rPr>
                <w:bCs/>
                <w:snapToGrid w:val="0"/>
                <w:color w:val="auto"/>
                <w:kern w:val="21"/>
              </w:rPr>
              <w:sym w:font="Wingdings 2" w:char="0052"/>
            </w:r>
          </w:p>
        </w:tc>
        <w:tc>
          <w:tcPr>
            <w:tcW w:w="1141" w:type="dxa"/>
            <w:vAlign w:val="center"/>
          </w:tcPr>
          <w:p>
            <w:pPr>
              <w:adjustRightInd w:val="0"/>
              <w:snapToGrid w:val="0"/>
              <w:rPr>
                <w:bCs/>
                <w:snapToGrid w:val="0"/>
                <w:color w:val="auto"/>
                <w:kern w:val="21"/>
              </w:rPr>
            </w:pPr>
            <w:r>
              <w:rPr>
                <w:bCs/>
                <w:snapToGrid w:val="0"/>
                <w:color w:val="auto"/>
                <w:kern w:val="21"/>
              </w:rPr>
              <w:t>地方标准</w:t>
            </w:r>
            <w:r>
              <w:rPr>
                <w:bCs/>
                <w:snapToGrid w:val="0"/>
                <w:color w:val="auto"/>
                <w:kern w:val="21"/>
              </w:rPr>
              <w:sym w:font="Wingdings 2" w:char="0052"/>
            </w:r>
          </w:p>
        </w:tc>
        <w:tc>
          <w:tcPr>
            <w:tcW w:w="1770" w:type="dxa"/>
            <w:gridSpan w:val="3"/>
            <w:vAlign w:val="center"/>
          </w:tcPr>
          <w:p>
            <w:pPr>
              <w:adjustRightInd w:val="0"/>
              <w:snapToGrid w:val="0"/>
              <w:jc w:val="center"/>
              <w:rPr>
                <w:bCs/>
                <w:snapToGrid w:val="0"/>
                <w:color w:val="auto"/>
                <w:kern w:val="21"/>
              </w:rPr>
            </w:pPr>
            <w:r>
              <w:rPr>
                <w:bCs/>
                <w:snapToGrid w:val="0"/>
                <w:color w:val="auto"/>
                <w:kern w:val="21"/>
              </w:rPr>
              <w:t>附录D</w:t>
            </w:r>
            <w:r>
              <w:rPr>
                <w:bCs/>
                <w:snapToGrid w:val="0"/>
                <w:color w:val="auto"/>
                <w:kern w:val="21"/>
              </w:rPr>
              <w:sym w:font="Wingdings 2" w:char="0052"/>
            </w:r>
          </w:p>
        </w:tc>
        <w:tc>
          <w:tcPr>
            <w:tcW w:w="1435" w:type="dxa"/>
            <w:gridSpan w:val="2"/>
            <w:vAlign w:val="center"/>
          </w:tcPr>
          <w:p>
            <w:pPr>
              <w:adjustRightInd w:val="0"/>
              <w:snapToGrid w:val="0"/>
              <w:rPr>
                <w:bCs/>
                <w:snapToGrid w:val="0"/>
                <w:color w:val="auto"/>
                <w:kern w:val="21"/>
              </w:rPr>
            </w:pPr>
            <w:r>
              <w:rPr>
                <w:bCs/>
                <w:snapToGrid w:val="0"/>
                <w:color w:val="auto"/>
                <w:kern w:val="21"/>
              </w:rPr>
              <w:t>其他标准</w:t>
            </w:r>
            <w:r>
              <w:rPr>
                <w:bCs/>
                <w:snapToGrid w:val="0"/>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restart"/>
            <w:vAlign w:val="center"/>
          </w:tcPr>
          <w:p>
            <w:pPr>
              <w:adjustRightInd w:val="0"/>
              <w:snapToGrid w:val="0"/>
              <w:jc w:val="center"/>
              <w:rPr>
                <w:bCs/>
                <w:snapToGrid w:val="0"/>
                <w:color w:val="auto"/>
                <w:kern w:val="21"/>
              </w:rPr>
            </w:pPr>
            <w:r>
              <w:rPr>
                <w:bCs/>
                <w:snapToGrid w:val="0"/>
                <w:color w:val="auto"/>
                <w:kern w:val="21"/>
              </w:rPr>
              <w:t>现状评价</w:t>
            </w:r>
          </w:p>
        </w:tc>
        <w:tc>
          <w:tcPr>
            <w:tcW w:w="1378" w:type="dxa"/>
            <w:vAlign w:val="center"/>
          </w:tcPr>
          <w:p>
            <w:pPr>
              <w:adjustRightInd w:val="0"/>
              <w:snapToGrid w:val="0"/>
              <w:jc w:val="center"/>
              <w:rPr>
                <w:bCs/>
                <w:snapToGrid w:val="0"/>
                <w:color w:val="auto"/>
                <w:kern w:val="21"/>
              </w:rPr>
            </w:pPr>
            <w:r>
              <w:rPr>
                <w:bCs/>
                <w:snapToGrid w:val="0"/>
                <w:color w:val="auto"/>
                <w:kern w:val="21"/>
              </w:rPr>
              <w:t>环境功能区</w:t>
            </w:r>
          </w:p>
        </w:tc>
        <w:tc>
          <w:tcPr>
            <w:tcW w:w="2144" w:type="dxa"/>
            <w:gridSpan w:val="2"/>
            <w:vAlign w:val="center"/>
          </w:tcPr>
          <w:p>
            <w:pPr>
              <w:adjustRightInd w:val="0"/>
              <w:snapToGrid w:val="0"/>
              <w:jc w:val="center"/>
              <w:rPr>
                <w:bCs/>
                <w:snapToGrid w:val="0"/>
                <w:color w:val="auto"/>
                <w:kern w:val="21"/>
              </w:rPr>
            </w:pPr>
            <w:r>
              <w:rPr>
                <w:bCs/>
                <w:snapToGrid w:val="0"/>
                <w:color w:val="auto"/>
                <w:kern w:val="21"/>
              </w:rPr>
              <w:t>一类区</w:t>
            </w:r>
            <w:r>
              <w:rPr>
                <w:bCs/>
                <w:snapToGrid w:val="0"/>
                <w:color w:val="auto"/>
                <w:kern w:val="21"/>
              </w:rPr>
              <w:sym w:font="Wingdings 2" w:char="00A3"/>
            </w:r>
          </w:p>
        </w:tc>
        <w:tc>
          <w:tcPr>
            <w:tcW w:w="1141" w:type="dxa"/>
            <w:vAlign w:val="center"/>
          </w:tcPr>
          <w:p>
            <w:pPr>
              <w:adjustRightInd w:val="0"/>
              <w:snapToGrid w:val="0"/>
              <w:rPr>
                <w:bCs/>
                <w:snapToGrid w:val="0"/>
                <w:color w:val="auto"/>
                <w:kern w:val="21"/>
              </w:rPr>
            </w:pPr>
            <w:r>
              <w:rPr>
                <w:bCs/>
                <w:snapToGrid w:val="0"/>
                <w:color w:val="auto"/>
                <w:kern w:val="21"/>
              </w:rPr>
              <w:t>二类区</w:t>
            </w:r>
            <w:r>
              <w:rPr>
                <w:bCs/>
                <w:snapToGrid w:val="0"/>
                <w:color w:val="auto"/>
                <w:kern w:val="21"/>
              </w:rPr>
              <w:sym w:font="Wingdings 2" w:char="0052"/>
            </w:r>
          </w:p>
        </w:tc>
        <w:tc>
          <w:tcPr>
            <w:tcW w:w="3205" w:type="dxa"/>
            <w:gridSpan w:val="5"/>
            <w:vAlign w:val="center"/>
          </w:tcPr>
          <w:p>
            <w:pPr>
              <w:adjustRightInd w:val="0"/>
              <w:snapToGrid w:val="0"/>
              <w:jc w:val="center"/>
              <w:rPr>
                <w:bCs/>
                <w:snapToGrid w:val="0"/>
                <w:color w:val="auto"/>
                <w:kern w:val="21"/>
              </w:rPr>
            </w:pPr>
            <w:r>
              <w:rPr>
                <w:bCs/>
                <w:snapToGrid w:val="0"/>
                <w:color w:val="auto"/>
                <w:kern w:val="21"/>
              </w:rPr>
              <w:t>一类区和二类区</w:t>
            </w:r>
            <w:r>
              <w:rPr>
                <w:bCs/>
                <w:snapToGrid w:val="0"/>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jc w:val="center"/>
              <w:rPr>
                <w:bCs/>
                <w:snapToGrid w:val="0"/>
                <w:color w:val="auto"/>
                <w:kern w:val="21"/>
              </w:rPr>
            </w:pPr>
            <w:r>
              <w:rPr>
                <w:bCs/>
                <w:snapToGrid w:val="0"/>
                <w:color w:val="auto"/>
                <w:kern w:val="21"/>
              </w:rPr>
              <w:t>环境基准年</w:t>
            </w:r>
          </w:p>
        </w:tc>
        <w:tc>
          <w:tcPr>
            <w:tcW w:w="6490" w:type="dxa"/>
            <w:gridSpan w:val="8"/>
            <w:vAlign w:val="center"/>
          </w:tcPr>
          <w:p>
            <w:pPr>
              <w:adjustRightInd w:val="0"/>
              <w:snapToGrid w:val="0"/>
              <w:jc w:val="center"/>
              <w:rPr>
                <w:bCs/>
                <w:snapToGrid w:val="0"/>
                <w:color w:val="auto"/>
                <w:kern w:val="21"/>
              </w:rPr>
            </w:pPr>
            <w:r>
              <w:rPr>
                <w:bCs/>
                <w:snapToGrid w:val="0"/>
                <w:color w:val="auto"/>
                <w:kern w:val="21"/>
              </w:rPr>
              <w:t>202</w:t>
            </w:r>
            <w:r>
              <w:rPr>
                <w:rFonts w:hint="eastAsia"/>
                <w:bCs/>
                <w:snapToGrid w:val="0"/>
                <w:color w:val="auto"/>
                <w:kern w:val="21"/>
              </w:rPr>
              <w:t>1</w:t>
            </w:r>
            <w:r>
              <w:rPr>
                <w:bCs/>
                <w:snapToGrid w:val="0"/>
                <w:color w:val="auto"/>
                <w:kern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jc w:val="center"/>
              <w:rPr>
                <w:bCs/>
                <w:snapToGrid w:val="0"/>
                <w:color w:val="auto"/>
                <w:kern w:val="21"/>
              </w:rPr>
            </w:pPr>
            <w:r>
              <w:rPr>
                <w:bCs/>
                <w:snapToGrid w:val="0"/>
                <w:color w:val="auto"/>
                <w:kern w:val="21"/>
              </w:rPr>
              <w:t>环境空气质量现状调查数据来源</w:t>
            </w:r>
          </w:p>
        </w:tc>
        <w:tc>
          <w:tcPr>
            <w:tcW w:w="2144" w:type="dxa"/>
            <w:gridSpan w:val="2"/>
            <w:vAlign w:val="center"/>
          </w:tcPr>
          <w:p>
            <w:pPr>
              <w:adjustRightInd w:val="0"/>
              <w:snapToGrid w:val="0"/>
              <w:rPr>
                <w:bCs/>
                <w:snapToGrid w:val="0"/>
                <w:color w:val="auto"/>
                <w:kern w:val="21"/>
              </w:rPr>
            </w:pPr>
            <w:r>
              <w:rPr>
                <w:color w:val="auto"/>
                <w:kern w:val="21"/>
              </w:rPr>
              <w:t>长期例行监测数据</w:t>
            </w:r>
            <w:r>
              <w:rPr>
                <w:bCs/>
                <w:snapToGrid w:val="0"/>
                <w:color w:val="auto"/>
                <w:kern w:val="21"/>
              </w:rPr>
              <w:sym w:font="Wingdings 2" w:char="00A3"/>
            </w:r>
          </w:p>
        </w:tc>
        <w:tc>
          <w:tcPr>
            <w:tcW w:w="2911" w:type="dxa"/>
            <w:gridSpan w:val="4"/>
            <w:vAlign w:val="center"/>
          </w:tcPr>
          <w:p>
            <w:pPr>
              <w:adjustRightInd w:val="0"/>
              <w:snapToGrid w:val="0"/>
              <w:rPr>
                <w:bCs/>
                <w:snapToGrid w:val="0"/>
                <w:color w:val="auto"/>
                <w:kern w:val="21"/>
              </w:rPr>
            </w:pPr>
            <w:r>
              <w:rPr>
                <w:bCs/>
                <w:snapToGrid w:val="0"/>
                <w:color w:val="auto"/>
                <w:kern w:val="21"/>
              </w:rPr>
              <w:t>主管部门发布的数据</w:t>
            </w:r>
            <w:r>
              <w:rPr>
                <w:bCs/>
                <w:snapToGrid w:val="0"/>
                <w:color w:val="auto"/>
                <w:kern w:val="21"/>
              </w:rPr>
              <w:sym w:font="Wingdings 2" w:char="0052"/>
            </w:r>
          </w:p>
        </w:tc>
        <w:tc>
          <w:tcPr>
            <w:tcW w:w="1435" w:type="dxa"/>
            <w:gridSpan w:val="2"/>
            <w:vAlign w:val="center"/>
          </w:tcPr>
          <w:p>
            <w:pPr>
              <w:adjustRightInd w:val="0"/>
              <w:snapToGrid w:val="0"/>
              <w:rPr>
                <w:bCs/>
                <w:snapToGrid w:val="0"/>
                <w:color w:val="auto"/>
                <w:kern w:val="21"/>
              </w:rPr>
            </w:pPr>
            <w:r>
              <w:rPr>
                <w:bCs/>
                <w:snapToGrid w:val="0"/>
                <w:color w:val="auto"/>
                <w:kern w:val="21"/>
              </w:rPr>
              <w:t>现状补充监测</w:t>
            </w:r>
            <w:r>
              <w:rPr>
                <w:bCs/>
                <w:snapToGrid w:val="0"/>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jc w:val="center"/>
              <w:rPr>
                <w:bCs/>
                <w:snapToGrid w:val="0"/>
                <w:color w:val="auto"/>
                <w:kern w:val="21"/>
              </w:rPr>
            </w:pPr>
            <w:r>
              <w:rPr>
                <w:bCs/>
                <w:snapToGrid w:val="0"/>
                <w:color w:val="auto"/>
                <w:kern w:val="21"/>
              </w:rPr>
              <w:t>现状评价</w:t>
            </w:r>
          </w:p>
        </w:tc>
        <w:tc>
          <w:tcPr>
            <w:tcW w:w="3285" w:type="dxa"/>
            <w:gridSpan w:val="3"/>
            <w:vAlign w:val="center"/>
          </w:tcPr>
          <w:p>
            <w:pPr>
              <w:adjustRightInd w:val="0"/>
              <w:snapToGrid w:val="0"/>
              <w:jc w:val="center"/>
              <w:rPr>
                <w:bCs/>
                <w:snapToGrid w:val="0"/>
                <w:color w:val="auto"/>
                <w:kern w:val="21"/>
              </w:rPr>
            </w:pPr>
            <w:r>
              <w:rPr>
                <w:bCs/>
                <w:snapToGrid w:val="0"/>
                <w:color w:val="auto"/>
                <w:kern w:val="21"/>
              </w:rPr>
              <w:t>达标区</w:t>
            </w:r>
            <w:r>
              <w:rPr>
                <w:bCs/>
                <w:snapToGrid w:val="0"/>
                <w:color w:val="auto"/>
                <w:kern w:val="21"/>
              </w:rPr>
              <w:sym w:font="Wingdings 2" w:char="00A3"/>
            </w:r>
          </w:p>
        </w:tc>
        <w:tc>
          <w:tcPr>
            <w:tcW w:w="3205" w:type="dxa"/>
            <w:gridSpan w:val="5"/>
            <w:vAlign w:val="center"/>
          </w:tcPr>
          <w:p>
            <w:pPr>
              <w:adjustRightInd w:val="0"/>
              <w:snapToGrid w:val="0"/>
              <w:jc w:val="center"/>
              <w:rPr>
                <w:bCs/>
                <w:snapToGrid w:val="0"/>
                <w:color w:val="auto"/>
                <w:kern w:val="21"/>
              </w:rPr>
            </w:pPr>
            <w:r>
              <w:rPr>
                <w:bCs/>
                <w:snapToGrid w:val="0"/>
                <w:color w:val="auto"/>
                <w:kern w:val="21"/>
              </w:rPr>
              <w:t>不达标区</w:t>
            </w:r>
            <w:r>
              <w:rPr>
                <w:bCs/>
                <w:snapToGrid w:val="0"/>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Align w:val="center"/>
          </w:tcPr>
          <w:p>
            <w:pPr>
              <w:adjustRightInd w:val="0"/>
              <w:snapToGrid w:val="0"/>
              <w:jc w:val="center"/>
              <w:rPr>
                <w:bCs/>
                <w:snapToGrid w:val="0"/>
                <w:color w:val="auto"/>
                <w:kern w:val="21"/>
              </w:rPr>
            </w:pPr>
            <w:r>
              <w:rPr>
                <w:bCs/>
                <w:snapToGrid w:val="0"/>
                <w:color w:val="auto"/>
                <w:kern w:val="21"/>
              </w:rPr>
              <w:t>污染源调查</w:t>
            </w:r>
          </w:p>
        </w:tc>
        <w:tc>
          <w:tcPr>
            <w:tcW w:w="1378" w:type="dxa"/>
            <w:vAlign w:val="center"/>
          </w:tcPr>
          <w:p>
            <w:pPr>
              <w:adjustRightInd w:val="0"/>
              <w:snapToGrid w:val="0"/>
              <w:jc w:val="center"/>
              <w:rPr>
                <w:bCs/>
                <w:snapToGrid w:val="0"/>
                <w:color w:val="auto"/>
                <w:kern w:val="21"/>
              </w:rPr>
            </w:pPr>
            <w:r>
              <w:rPr>
                <w:bCs/>
                <w:snapToGrid w:val="0"/>
                <w:color w:val="auto"/>
                <w:kern w:val="21"/>
              </w:rPr>
              <w:t>调查内容</w:t>
            </w:r>
          </w:p>
        </w:tc>
        <w:tc>
          <w:tcPr>
            <w:tcW w:w="2144" w:type="dxa"/>
            <w:gridSpan w:val="2"/>
            <w:vAlign w:val="center"/>
          </w:tcPr>
          <w:p>
            <w:pPr>
              <w:adjustRightInd w:val="0"/>
              <w:snapToGrid w:val="0"/>
              <w:rPr>
                <w:bCs/>
                <w:snapToGrid w:val="0"/>
                <w:color w:val="auto"/>
                <w:kern w:val="21"/>
              </w:rPr>
            </w:pPr>
            <w:r>
              <w:rPr>
                <w:bCs/>
                <w:snapToGrid w:val="0"/>
                <w:color w:val="auto"/>
                <w:kern w:val="21"/>
              </w:rPr>
              <w:t>本项目正常排放源</w:t>
            </w:r>
            <w:r>
              <w:rPr>
                <w:bCs/>
                <w:snapToGrid w:val="0"/>
                <w:color w:val="auto"/>
                <w:kern w:val="21"/>
              </w:rPr>
              <w:sym w:font="Wingdings 2" w:char="0052"/>
            </w:r>
          </w:p>
          <w:p>
            <w:pPr>
              <w:adjustRightInd w:val="0"/>
              <w:snapToGrid w:val="0"/>
              <w:rPr>
                <w:bCs/>
                <w:snapToGrid w:val="0"/>
                <w:color w:val="auto"/>
                <w:kern w:val="21"/>
              </w:rPr>
            </w:pPr>
            <w:r>
              <w:rPr>
                <w:bCs/>
                <w:snapToGrid w:val="0"/>
                <w:color w:val="auto"/>
                <w:kern w:val="21"/>
              </w:rPr>
              <w:t>本项目非正常排放源</w:t>
            </w:r>
            <w:r>
              <w:rPr>
                <w:bCs/>
                <w:snapToGrid w:val="0"/>
                <w:color w:val="auto"/>
                <w:kern w:val="21"/>
              </w:rPr>
              <w:sym w:font="Wingdings 2" w:char="0052"/>
            </w:r>
          </w:p>
          <w:p>
            <w:pPr>
              <w:adjustRightInd w:val="0"/>
              <w:snapToGrid w:val="0"/>
              <w:rPr>
                <w:bCs/>
                <w:snapToGrid w:val="0"/>
                <w:color w:val="auto"/>
                <w:kern w:val="21"/>
              </w:rPr>
            </w:pPr>
            <w:r>
              <w:rPr>
                <w:bCs/>
                <w:snapToGrid w:val="0"/>
                <w:color w:val="auto"/>
                <w:kern w:val="21"/>
              </w:rPr>
              <w:t>现有污染源</w:t>
            </w:r>
            <w:r>
              <w:rPr>
                <w:rFonts w:eastAsia="Times New Roman"/>
                <w:color w:val="auto"/>
                <w:kern w:val="21"/>
              </w:rPr>
              <w:sym w:font="Wingdings 2" w:char="00A3"/>
            </w:r>
          </w:p>
        </w:tc>
        <w:tc>
          <w:tcPr>
            <w:tcW w:w="1141" w:type="dxa"/>
            <w:vAlign w:val="center"/>
          </w:tcPr>
          <w:p>
            <w:pPr>
              <w:adjustRightInd w:val="0"/>
              <w:snapToGrid w:val="0"/>
              <w:rPr>
                <w:bCs/>
                <w:snapToGrid w:val="0"/>
                <w:color w:val="auto"/>
                <w:kern w:val="21"/>
              </w:rPr>
            </w:pPr>
            <w:r>
              <w:rPr>
                <w:bCs/>
                <w:snapToGrid w:val="0"/>
                <w:color w:val="auto"/>
                <w:kern w:val="21"/>
              </w:rPr>
              <w:t>拟替代的污染源</w:t>
            </w:r>
            <w:r>
              <w:rPr>
                <w:rFonts w:eastAsia="Times New Roman"/>
                <w:color w:val="auto"/>
                <w:kern w:val="21"/>
              </w:rPr>
              <w:sym w:font="Wingdings 2" w:char="00A3"/>
            </w:r>
          </w:p>
        </w:tc>
        <w:tc>
          <w:tcPr>
            <w:tcW w:w="1770" w:type="dxa"/>
            <w:gridSpan w:val="3"/>
            <w:vAlign w:val="center"/>
          </w:tcPr>
          <w:p>
            <w:pPr>
              <w:adjustRightInd w:val="0"/>
              <w:snapToGrid w:val="0"/>
              <w:rPr>
                <w:bCs/>
                <w:snapToGrid w:val="0"/>
                <w:color w:val="auto"/>
                <w:kern w:val="21"/>
              </w:rPr>
            </w:pPr>
            <w:r>
              <w:rPr>
                <w:bCs/>
                <w:snapToGrid w:val="0"/>
                <w:color w:val="auto"/>
                <w:kern w:val="21"/>
              </w:rPr>
              <w:t>其他在建、拟建项目污染源</w:t>
            </w:r>
            <w:r>
              <w:rPr>
                <w:bCs/>
                <w:snapToGrid w:val="0"/>
                <w:color w:val="auto"/>
                <w:kern w:val="21"/>
              </w:rPr>
              <w:sym w:font="Wingdings 2" w:char="00A3"/>
            </w:r>
          </w:p>
        </w:tc>
        <w:tc>
          <w:tcPr>
            <w:tcW w:w="1435" w:type="dxa"/>
            <w:gridSpan w:val="2"/>
            <w:vAlign w:val="center"/>
          </w:tcPr>
          <w:p>
            <w:pPr>
              <w:adjustRightInd w:val="0"/>
              <w:snapToGrid w:val="0"/>
              <w:rPr>
                <w:bCs/>
                <w:snapToGrid w:val="0"/>
                <w:color w:val="auto"/>
                <w:kern w:val="21"/>
              </w:rPr>
            </w:pPr>
            <w:r>
              <w:rPr>
                <w:bCs/>
                <w:snapToGrid w:val="0"/>
                <w:color w:val="auto"/>
                <w:kern w:val="21"/>
              </w:rPr>
              <w:t>区域污染源</w:t>
            </w:r>
            <w:r>
              <w:rPr>
                <w:bCs/>
                <w:snapToGrid w:val="0"/>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restart"/>
            <w:vAlign w:val="center"/>
          </w:tcPr>
          <w:p>
            <w:pPr>
              <w:adjustRightInd w:val="0"/>
              <w:snapToGrid w:val="0"/>
              <w:jc w:val="center"/>
              <w:rPr>
                <w:bCs/>
                <w:snapToGrid w:val="0"/>
                <w:color w:val="auto"/>
                <w:kern w:val="21"/>
              </w:rPr>
            </w:pPr>
            <w:r>
              <w:rPr>
                <w:bCs/>
                <w:snapToGrid w:val="0"/>
                <w:color w:val="auto"/>
                <w:kern w:val="21"/>
              </w:rPr>
              <w:t>大气环境影响预测与评价</w:t>
            </w:r>
          </w:p>
        </w:tc>
        <w:tc>
          <w:tcPr>
            <w:tcW w:w="1378" w:type="dxa"/>
            <w:vAlign w:val="center"/>
          </w:tcPr>
          <w:p>
            <w:pPr>
              <w:adjustRightInd w:val="0"/>
              <w:snapToGrid w:val="0"/>
              <w:jc w:val="center"/>
              <w:rPr>
                <w:bCs/>
                <w:snapToGrid w:val="0"/>
                <w:color w:val="auto"/>
                <w:kern w:val="21"/>
              </w:rPr>
            </w:pPr>
            <w:r>
              <w:rPr>
                <w:color w:val="auto"/>
                <w:kern w:val="21"/>
              </w:rPr>
              <w:t>预测模型</w:t>
            </w:r>
          </w:p>
        </w:tc>
        <w:tc>
          <w:tcPr>
            <w:tcW w:w="975" w:type="dxa"/>
            <w:vAlign w:val="center"/>
          </w:tcPr>
          <w:p>
            <w:pPr>
              <w:adjustRightInd w:val="0"/>
              <w:snapToGrid w:val="0"/>
              <w:rPr>
                <w:bCs/>
                <w:snapToGrid w:val="0"/>
                <w:color w:val="auto"/>
                <w:kern w:val="21"/>
              </w:rPr>
            </w:pPr>
            <w:r>
              <w:rPr>
                <w:color w:val="auto"/>
                <w:kern w:val="21"/>
              </w:rPr>
              <w:t>AERMOD</w:t>
            </w:r>
            <w:r>
              <w:rPr>
                <w:rFonts w:eastAsia="Times New Roman"/>
                <w:color w:val="auto"/>
                <w:kern w:val="21"/>
              </w:rPr>
              <w:sym w:font="Wingdings 2" w:char="00A3"/>
            </w:r>
          </w:p>
        </w:tc>
        <w:tc>
          <w:tcPr>
            <w:tcW w:w="1169" w:type="dxa"/>
            <w:vAlign w:val="center"/>
          </w:tcPr>
          <w:p>
            <w:pPr>
              <w:adjustRightInd w:val="0"/>
              <w:snapToGrid w:val="0"/>
              <w:rPr>
                <w:bCs/>
                <w:snapToGrid w:val="0"/>
                <w:color w:val="auto"/>
                <w:kern w:val="21"/>
              </w:rPr>
            </w:pPr>
            <w:r>
              <w:rPr>
                <w:color w:val="auto"/>
                <w:kern w:val="21"/>
              </w:rPr>
              <w:t>ADMS</w:t>
            </w:r>
            <w:r>
              <w:rPr>
                <w:rFonts w:eastAsia="Times New Roman"/>
                <w:color w:val="auto"/>
                <w:kern w:val="21"/>
              </w:rPr>
              <w:sym w:font="Wingdings 2" w:char="00A3"/>
            </w:r>
          </w:p>
        </w:tc>
        <w:tc>
          <w:tcPr>
            <w:tcW w:w="1141" w:type="dxa"/>
            <w:vAlign w:val="center"/>
          </w:tcPr>
          <w:p>
            <w:pPr>
              <w:adjustRightInd w:val="0"/>
              <w:snapToGrid w:val="0"/>
              <w:rPr>
                <w:bCs/>
                <w:snapToGrid w:val="0"/>
                <w:color w:val="auto"/>
                <w:kern w:val="21"/>
              </w:rPr>
            </w:pPr>
            <w:r>
              <w:rPr>
                <w:color w:val="auto"/>
                <w:kern w:val="21"/>
              </w:rPr>
              <w:t>AUSTAL2000</w:t>
            </w:r>
            <w:r>
              <w:rPr>
                <w:rFonts w:eastAsia="Times New Roman"/>
                <w:color w:val="auto"/>
                <w:kern w:val="21"/>
              </w:rPr>
              <w:sym w:font="Wingdings 2" w:char="00A3"/>
            </w:r>
          </w:p>
        </w:tc>
        <w:tc>
          <w:tcPr>
            <w:tcW w:w="885" w:type="dxa"/>
            <w:gridSpan w:val="2"/>
            <w:vAlign w:val="center"/>
          </w:tcPr>
          <w:p>
            <w:pPr>
              <w:adjustRightInd w:val="0"/>
              <w:snapToGrid w:val="0"/>
              <w:rPr>
                <w:bCs/>
                <w:snapToGrid w:val="0"/>
                <w:color w:val="auto"/>
                <w:kern w:val="21"/>
              </w:rPr>
            </w:pPr>
            <w:r>
              <w:rPr>
                <w:color w:val="auto"/>
                <w:kern w:val="21"/>
              </w:rPr>
              <w:t>EDMS/AEDT</w:t>
            </w:r>
            <w:r>
              <w:rPr>
                <w:rFonts w:eastAsia="Times New Roman"/>
                <w:color w:val="auto"/>
                <w:kern w:val="21"/>
              </w:rPr>
              <w:sym w:font="Wingdings 2" w:char="00A3"/>
            </w:r>
          </w:p>
        </w:tc>
        <w:tc>
          <w:tcPr>
            <w:tcW w:w="885" w:type="dxa"/>
            <w:vAlign w:val="center"/>
          </w:tcPr>
          <w:p>
            <w:pPr>
              <w:adjustRightInd w:val="0"/>
              <w:snapToGrid w:val="0"/>
              <w:rPr>
                <w:bCs/>
                <w:snapToGrid w:val="0"/>
                <w:color w:val="auto"/>
                <w:kern w:val="21"/>
              </w:rPr>
            </w:pPr>
            <w:r>
              <w:rPr>
                <w:color w:val="auto"/>
                <w:kern w:val="21"/>
              </w:rPr>
              <w:t>CALPUFF</w:t>
            </w:r>
            <w:r>
              <w:rPr>
                <w:rFonts w:eastAsia="Times New Roman"/>
                <w:color w:val="auto"/>
                <w:kern w:val="21"/>
              </w:rPr>
              <w:sym w:font="Wingdings 2" w:char="00A3"/>
            </w:r>
          </w:p>
        </w:tc>
        <w:tc>
          <w:tcPr>
            <w:tcW w:w="620" w:type="dxa"/>
            <w:vAlign w:val="center"/>
          </w:tcPr>
          <w:p>
            <w:pPr>
              <w:adjustRightInd w:val="0"/>
              <w:snapToGrid w:val="0"/>
              <w:rPr>
                <w:bCs/>
                <w:snapToGrid w:val="0"/>
                <w:color w:val="auto"/>
                <w:kern w:val="21"/>
              </w:rPr>
            </w:pPr>
            <w:r>
              <w:rPr>
                <w:color w:val="auto"/>
                <w:kern w:val="21"/>
              </w:rPr>
              <w:t>网格模型</w:t>
            </w:r>
            <w:r>
              <w:rPr>
                <w:rFonts w:eastAsia="Times New Roman"/>
                <w:color w:val="auto"/>
                <w:kern w:val="21"/>
              </w:rPr>
              <w:sym w:font="Wingdings 2" w:char="00A3"/>
            </w:r>
          </w:p>
        </w:tc>
        <w:tc>
          <w:tcPr>
            <w:tcW w:w="815" w:type="dxa"/>
            <w:vAlign w:val="center"/>
          </w:tcPr>
          <w:p>
            <w:pPr>
              <w:adjustRightInd w:val="0"/>
              <w:snapToGrid w:val="0"/>
              <w:rPr>
                <w:bCs/>
                <w:snapToGrid w:val="0"/>
                <w:color w:val="auto"/>
                <w:kern w:val="21"/>
              </w:rPr>
            </w:pPr>
            <w:r>
              <w:rPr>
                <w:color w:val="auto"/>
                <w:kern w:val="21"/>
              </w:rPr>
              <w:t>其他</w:t>
            </w:r>
            <w:r>
              <w:rPr>
                <w:rFonts w:eastAsia="Times New Roman"/>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bCs/>
                <w:snapToGrid w:val="0"/>
                <w:color w:val="auto"/>
                <w:kern w:val="21"/>
              </w:rPr>
            </w:pPr>
            <w:r>
              <w:rPr>
                <w:color w:val="auto"/>
                <w:kern w:val="21"/>
              </w:rPr>
              <w:t>预测范围</w:t>
            </w:r>
          </w:p>
        </w:tc>
        <w:tc>
          <w:tcPr>
            <w:tcW w:w="2144" w:type="dxa"/>
            <w:gridSpan w:val="2"/>
            <w:vAlign w:val="center"/>
          </w:tcPr>
          <w:p>
            <w:pPr>
              <w:adjustRightInd w:val="0"/>
              <w:snapToGrid w:val="0"/>
              <w:jc w:val="center"/>
              <w:rPr>
                <w:bCs/>
                <w:snapToGrid w:val="0"/>
                <w:color w:val="auto"/>
                <w:kern w:val="21"/>
              </w:rPr>
            </w:pPr>
            <w:r>
              <w:rPr>
                <w:color w:val="auto"/>
                <w:kern w:val="21"/>
              </w:rPr>
              <w:t>边长</w:t>
            </w:r>
            <w:r>
              <w:rPr>
                <w:rFonts w:eastAsia="Times New Roman"/>
                <w:color w:val="auto"/>
                <w:kern w:val="21"/>
              </w:rPr>
              <w:t>≥50 km</w:t>
            </w:r>
            <w:r>
              <w:rPr>
                <w:rFonts w:eastAsia="Times New Roman"/>
                <w:color w:val="auto"/>
                <w:kern w:val="21"/>
              </w:rPr>
              <w:sym w:font="Wingdings 2" w:char="00A3"/>
            </w:r>
          </w:p>
        </w:tc>
        <w:tc>
          <w:tcPr>
            <w:tcW w:w="2911" w:type="dxa"/>
            <w:gridSpan w:val="4"/>
            <w:vAlign w:val="center"/>
          </w:tcPr>
          <w:p>
            <w:pPr>
              <w:adjustRightInd w:val="0"/>
              <w:snapToGrid w:val="0"/>
              <w:jc w:val="center"/>
              <w:rPr>
                <w:bCs/>
                <w:snapToGrid w:val="0"/>
                <w:color w:val="auto"/>
                <w:kern w:val="21"/>
              </w:rPr>
            </w:pPr>
            <w:r>
              <w:rPr>
                <w:color w:val="auto"/>
                <w:kern w:val="21"/>
              </w:rPr>
              <w:t>边长</w:t>
            </w:r>
            <w:r>
              <w:rPr>
                <w:rFonts w:eastAsia="Times New Roman"/>
                <w:color w:val="auto"/>
                <w:kern w:val="21"/>
              </w:rPr>
              <w:t>5</w:t>
            </w:r>
            <w:r>
              <w:rPr>
                <w:color w:val="auto"/>
                <w:kern w:val="21"/>
              </w:rPr>
              <w:t>～</w:t>
            </w:r>
            <w:r>
              <w:rPr>
                <w:rFonts w:eastAsia="Times New Roman"/>
                <w:color w:val="auto"/>
                <w:kern w:val="21"/>
              </w:rPr>
              <w:t>50 km</w:t>
            </w:r>
            <w:r>
              <w:rPr>
                <w:rFonts w:eastAsia="Times New Roman"/>
                <w:color w:val="auto"/>
                <w:kern w:val="21"/>
              </w:rPr>
              <w:sym w:font="Wingdings 2" w:char="00A3"/>
            </w:r>
          </w:p>
        </w:tc>
        <w:tc>
          <w:tcPr>
            <w:tcW w:w="1435" w:type="dxa"/>
            <w:gridSpan w:val="2"/>
            <w:vAlign w:val="center"/>
          </w:tcPr>
          <w:p>
            <w:pPr>
              <w:adjustRightInd w:val="0"/>
              <w:snapToGrid w:val="0"/>
              <w:jc w:val="center"/>
              <w:rPr>
                <w:bCs/>
                <w:snapToGrid w:val="0"/>
                <w:color w:val="auto"/>
                <w:kern w:val="21"/>
              </w:rPr>
            </w:pPr>
            <w:r>
              <w:rPr>
                <w:color w:val="auto"/>
                <w:kern w:val="21"/>
              </w:rPr>
              <w:t>边长</w:t>
            </w:r>
            <w:r>
              <w:rPr>
                <w:rFonts w:eastAsia="Times New Roman"/>
                <w:color w:val="auto"/>
                <w:kern w:val="21"/>
              </w:rPr>
              <w:t>=5km</w:t>
            </w:r>
            <w:r>
              <w:rPr>
                <w:rFonts w:eastAsia="Times New Roman"/>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bCs/>
                <w:snapToGrid w:val="0"/>
                <w:color w:val="auto"/>
                <w:kern w:val="21"/>
              </w:rPr>
            </w:pPr>
            <w:r>
              <w:rPr>
                <w:color w:val="auto"/>
                <w:kern w:val="21"/>
              </w:rPr>
              <w:t>预测因子</w:t>
            </w:r>
          </w:p>
        </w:tc>
        <w:tc>
          <w:tcPr>
            <w:tcW w:w="3285" w:type="dxa"/>
            <w:gridSpan w:val="3"/>
            <w:vAlign w:val="center"/>
          </w:tcPr>
          <w:p>
            <w:pPr>
              <w:tabs>
                <w:tab w:val="left" w:pos="2315"/>
                <w:tab w:val="left" w:pos="2586"/>
              </w:tabs>
              <w:adjustRightInd w:val="0"/>
              <w:snapToGrid w:val="0"/>
              <w:jc w:val="center"/>
              <w:rPr>
                <w:bCs/>
                <w:snapToGrid w:val="0"/>
                <w:color w:val="auto"/>
                <w:kern w:val="21"/>
              </w:rPr>
            </w:pPr>
            <w:r>
              <w:rPr>
                <w:color w:val="auto"/>
                <w:kern w:val="21"/>
              </w:rPr>
              <w:t>预测因子（PM</w:t>
            </w:r>
            <w:r>
              <w:rPr>
                <w:color w:val="auto"/>
                <w:kern w:val="21"/>
                <w:vertAlign w:val="subscript"/>
              </w:rPr>
              <w:t>10</w:t>
            </w:r>
            <w:r>
              <w:rPr>
                <w:color w:val="auto"/>
                <w:kern w:val="21"/>
              </w:rPr>
              <w:t>、SO</w:t>
            </w:r>
            <w:r>
              <w:rPr>
                <w:color w:val="auto"/>
                <w:kern w:val="21"/>
                <w:vertAlign w:val="subscript"/>
              </w:rPr>
              <w:t>2</w:t>
            </w:r>
            <w:r>
              <w:rPr>
                <w:color w:val="auto"/>
                <w:kern w:val="21"/>
              </w:rPr>
              <w:t>、NOx、HCl、</w:t>
            </w:r>
            <w:r>
              <w:rPr>
                <w:rFonts w:hint="eastAsia"/>
                <w:color w:val="auto"/>
                <w:kern w:val="21"/>
              </w:rPr>
              <w:t>NH</w:t>
            </w:r>
            <w:r>
              <w:rPr>
                <w:rFonts w:hint="eastAsia"/>
                <w:color w:val="auto"/>
                <w:kern w:val="21"/>
                <w:vertAlign w:val="subscript"/>
              </w:rPr>
              <w:t>3</w:t>
            </w:r>
            <w:r>
              <w:rPr>
                <w:rFonts w:hint="eastAsia"/>
                <w:color w:val="auto"/>
                <w:kern w:val="21"/>
              </w:rPr>
              <w:t>、H</w:t>
            </w:r>
            <w:r>
              <w:rPr>
                <w:rFonts w:hint="eastAsia"/>
                <w:color w:val="auto"/>
                <w:kern w:val="21"/>
                <w:vertAlign w:val="subscript"/>
              </w:rPr>
              <w:t>2</w:t>
            </w:r>
            <w:r>
              <w:rPr>
                <w:rFonts w:hint="eastAsia"/>
                <w:color w:val="auto"/>
                <w:kern w:val="21"/>
              </w:rPr>
              <w:t>S</w:t>
            </w:r>
            <w:r>
              <w:rPr>
                <w:color w:val="auto"/>
                <w:kern w:val="21"/>
              </w:rPr>
              <w:t>）</w:t>
            </w:r>
          </w:p>
        </w:tc>
        <w:tc>
          <w:tcPr>
            <w:tcW w:w="3205" w:type="dxa"/>
            <w:gridSpan w:val="5"/>
            <w:vAlign w:val="center"/>
          </w:tcPr>
          <w:p>
            <w:pPr>
              <w:adjustRightInd w:val="0"/>
              <w:snapToGrid w:val="0"/>
              <w:jc w:val="center"/>
              <w:rPr>
                <w:rFonts w:eastAsia="Times New Roman"/>
                <w:color w:val="auto"/>
                <w:kern w:val="21"/>
              </w:rPr>
            </w:pPr>
            <w:r>
              <w:rPr>
                <w:color w:val="auto"/>
                <w:kern w:val="21"/>
              </w:rPr>
              <w:t xml:space="preserve">包括二次 </w:t>
            </w:r>
            <w:r>
              <w:rPr>
                <w:rFonts w:eastAsia="Times New Roman"/>
                <w:color w:val="auto"/>
                <w:kern w:val="21"/>
              </w:rPr>
              <w:t>PM</w:t>
            </w:r>
            <w:r>
              <w:rPr>
                <w:rFonts w:eastAsia="Times New Roman"/>
                <w:color w:val="auto"/>
                <w:kern w:val="21"/>
                <w:vertAlign w:val="subscript"/>
              </w:rPr>
              <w:t>2.5</w:t>
            </w:r>
            <w:r>
              <w:rPr>
                <w:rFonts w:eastAsia="Times New Roman"/>
                <w:color w:val="auto"/>
                <w:kern w:val="21"/>
              </w:rPr>
              <w:sym w:font="Wingdings 2" w:char="00A3"/>
            </w:r>
          </w:p>
          <w:p>
            <w:pPr>
              <w:adjustRightInd w:val="0"/>
              <w:snapToGrid w:val="0"/>
              <w:jc w:val="center"/>
              <w:rPr>
                <w:bCs/>
                <w:snapToGrid w:val="0"/>
                <w:color w:val="auto"/>
                <w:kern w:val="21"/>
              </w:rPr>
            </w:pPr>
            <w:r>
              <w:rPr>
                <w:color w:val="auto"/>
                <w:kern w:val="21"/>
              </w:rPr>
              <w:t>不包括二次</w:t>
            </w:r>
            <w:r>
              <w:rPr>
                <w:rFonts w:eastAsia="Times New Roman"/>
                <w:color w:val="auto"/>
                <w:kern w:val="21"/>
              </w:rPr>
              <w:t>PM</w:t>
            </w:r>
            <w:r>
              <w:rPr>
                <w:rFonts w:eastAsia="Times New Roman"/>
                <w:color w:val="auto"/>
                <w:kern w:val="21"/>
                <w:vertAlign w:val="subscript"/>
              </w:rPr>
              <w:t>2.5</w:t>
            </w:r>
            <w:r>
              <w:rPr>
                <w:rFonts w:eastAsia="Times New Roman"/>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bCs/>
                <w:snapToGrid w:val="0"/>
                <w:color w:val="auto"/>
                <w:kern w:val="21"/>
              </w:rPr>
            </w:pPr>
            <w:r>
              <w:rPr>
                <w:color w:val="auto"/>
                <w:kern w:val="21"/>
              </w:rPr>
              <w:t>正常排放短期浓度</w:t>
            </w:r>
          </w:p>
        </w:tc>
        <w:tc>
          <w:tcPr>
            <w:tcW w:w="3285" w:type="dxa"/>
            <w:gridSpan w:val="3"/>
            <w:vAlign w:val="center"/>
          </w:tcPr>
          <w:p>
            <w:pPr>
              <w:tabs>
                <w:tab w:val="left" w:pos="3213"/>
              </w:tabs>
              <w:adjustRightInd w:val="0"/>
              <w:snapToGrid w:val="0"/>
              <w:rPr>
                <w:bCs/>
                <w:snapToGrid w:val="0"/>
                <w:color w:val="auto"/>
                <w:kern w:val="21"/>
              </w:rPr>
            </w:pPr>
            <w:r>
              <w:rPr>
                <w:rFonts w:eastAsia="Times New Roman"/>
                <w:color w:val="auto"/>
                <w:kern w:val="21"/>
              </w:rPr>
              <w:t>C</w:t>
            </w:r>
            <w:r>
              <w:rPr>
                <w:color w:val="auto"/>
                <w:kern w:val="21"/>
                <w:vertAlign w:val="subscript"/>
              </w:rPr>
              <w:t>本项目</w:t>
            </w:r>
            <w:r>
              <w:rPr>
                <w:color w:val="auto"/>
                <w:kern w:val="21"/>
              </w:rPr>
              <w:t>最大占标率</w:t>
            </w:r>
            <w:r>
              <w:rPr>
                <w:rFonts w:eastAsia="Times New Roman"/>
                <w:color w:val="auto"/>
                <w:kern w:val="21"/>
              </w:rPr>
              <w:t>≤100%</w:t>
            </w:r>
            <w:r>
              <w:rPr>
                <w:rFonts w:eastAsia="Times New Roman"/>
                <w:color w:val="auto"/>
                <w:kern w:val="21"/>
              </w:rPr>
              <w:sym w:font="Wingdings 2" w:char="00A3"/>
            </w:r>
            <w:r>
              <w:rPr>
                <w:rFonts w:eastAsia="Wingdings 2"/>
                <w:color w:val="auto"/>
                <w:kern w:val="21"/>
              </w:rPr>
              <w:t></w:t>
            </w:r>
          </w:p>
        </w:tc>
        <w:tc>
          <w:tcPr>
            <w:tcW w:w="3205" w:type="dxa"/>
            <w:gridSpan w:val="5"/>
            <w:vAlign w:val="center"/>
          </w:tcPr>
          <w:p>
            <w:pPr>
              <w:adjustRightInd w:val="0"/>
              <w:snapToGrid w:val="0"/>
              <w:rPr>
                <w:bCs/>
                <w:snapToGrid w:val="0"/>
                <w:color w:val="auto"/>
                <w:kern w:val="21"/>
              </w:rPr>
            </w:pPr>
            <w:r>
              <w:rPr>
                <w:rFonts w:eastAsia="Times New Roman"/>
                <w:color w:val="auto"/>
                <w:kern w:val="21"/>
              </w:rPr>
              <w:object>
                <v:shape id="_x0000_i1034" o:spt="75" alt="" type="#_x0000_t75" style="height:17.25pt;width:33pt;" o:ole="t" filled="f" o:preferrelative="t" stroked="f" coordsize="21600,21600">
                  <v:path/>
                  <v:fill on="f" focussize="0,0"/>
                  <v:stroke on="f"/>
                  <v:imagedata r:id="rId96" o:title=""/>
                  <o:lock v:ext="edit" aspectratio="t"/>
                  <w10:wrap type="none"/>
                  <w10:anchorlock/>
                </v:shape>
                <o:OLEObject Type="Embed" ProgID="Equation.3" ShapeID="_x0000_i1034" DrawAspect="Content" ObjectID="_1468075736" r:id="rId95">
                  <o:LockedField>false</o:LockedField>
                </o:OLEObject>
              </w:object>
            </w:r>
            <w:r>
              <w:rPr>
                <w:color w:val="auto"/>
                <w:kern w:val="21"/>
              </w:rPr>
              <w:t>最大占标率＞</w:t>
            </w:r>
            <w:r>
              <w:rPr>
                <w:rFonts w:eastAsia="Times New Roman"/>
                <w:color w:val="auto"/>
                <w:kern w:val="21"/>
              </w:rPr>
              <w:t>100%</w:t>
            </w:r>
            <w:r>
              <w:rPr>
                <w:rFonts w:eastAsia="Times New Roman"/>
                <w:color w:val="auto"/>
                <w:kern w:val="21"/>
              </w:rPr>
              <w:sym w:font="Wingdings 2" w:char="00A3"/>
            </w:r>
            <w:r>
              <w:rPr>
                <w:rFonts w:eastAsia="Wingdings 2"/>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Merge w:val="restart"/>
            <w:vAlign w:val="center"/>
          </w:tcPr>
          <w:p>
            <w:pPr>
              <w:adjustRightInd w:val="0"/>
              <w:snapToGrid w:val="0"/>
              <w:rPr>
                <w:bCs/>
                <w:snapToGrid w:val="0"/>
                <w:color w:val="auto"/>
                <w:kern w:val="21"/>
              </w:rPr>
            </w:pPr>
            <w:r>
              <w:rPr>
                <w:color w:val="auto"/>
                <w:kern w:val="21"/>
              </w:rPr>
              <w:t>正常排放年均浓度</w:t>
            </w:r>
          </w:p>
        </w:tc>
        <w:tc>
          <w:tcPr>
            <w:tcW w:w="975" w:type="dxa"/>
            <w:vAlign w:val="center"/>
          </w:tcPr>
          <w:p>
            <w:pPr>
              <w:adjustRightInd w:val="0"/>
              <w:snapToGrid w:val="0"/>
              <w:rPr>
                <w:bCs/>
                <w:snapToGrid w:val="0"/>
                <w:color w:val="auto"/>
                <w:kern w:val="21"/>
              </w:rPr>
            </w:pPr>
            <w:r>
              <w:rPr>
                <w:color w:val="auto"/>
                <w:kern w:val="21"/>
              </w:rPr>
              <w:t>一类区</w:t>
            </w:r>
          </w:p>
        </w:tc>
        <w:tc>
          <w:tcPr>
            <w:tcW w:w="2310" w:type="dxa"/>
            <w:gridSpan w:val="2"/>
            <w:vAlign w:val="center"/>
          </w:tcPr>
          <w:p>
            <w:pPr>
              <w:adjustRightInd w:val="0"/>
              <w:snapToGrid w:val="0"/>
              <w:rPr>
                <w:color w:val="auto"/>
                <w:kern w:val="21"/>
              </w:rPr>
            </w:pPr>
            <w:r>
              <w:rPr>
                <w:rFonts w:eastAsia="Times New Roman"/>
                <w:color w:val="auto"/>
                <w:kern w:val="21"/>
              </w:rPr>
              <w:object>
                <v:shape id="_x0000_i1035" o:spt="75" alt="" type="#_x0000_t75" style="height:17.25pt;width:33pt;" o:ole="t" filled="f" o:preferrelative="t" stroked="f" coordsize="21600,21600">
                  <v:path/>
                  <v:fill on="f" focussize="0,0"/>
                  <v:stroke on="f"/>
                  <v:imagedata r:id="rId96" o:title=""/>
                  <o:lock v:ext="edit" aspectratio="t"/>
                  <w10:wrap type="none"/>
                  <w10:anchorlock/>
                </v:shape>
                <o:OLEObject Type="Embed" ProgID="Equation.3" ShapeID="_x0000_i1035" DrawAspect="Content" ObjectID="_1468075737" r:id="rId97">
                  <o:LockedField>false</o:LockedField>
                </o:OLEObject>
              </w:object>
            </w:r>
            <w:r>
              <w:rPr>
                <w:color w:val="auto"/>
                <w:kern w:val="21"/>
              </w:rPr>
              <w:t>最大占标率</w:t>
            </w:r>
            <w:r>
              <w:rPr>
                <w:rFonts w:eastAsia="Times New Roman"/>
                <w:color w:val="auto"/>
                <w:kern w:val="21"/>
              </w:rPr>
              <w:t>≤10%</w:t>
            </w:r>
            <w:r>
              <w:rPr>
                <w:rFonts w:eastAsia="Times New Roman"/>
                <w:color w:val="auto"/>
                <w:kern w:val="21"/>
              </w:rPr>
              <w:sym w:font="Wingdings 2" w:char="00A3"/>
            </w:r>
          </w:p>
        </w:tc>
        <w:tc>
          <w:tcPr>
            <w:tcW w:w="3205" w:type="dxa"/>
            <w:gridSpan w:val="5"/>
            <w:vAlign w:val="center"/>
          </w:tcPr>
          <w:p>
            <w:pPr>
              <w:adjustRightInd w:val="0"/>
              <w:snapToGrid w:val="0"/>
              <w:rPr>
                <w:bCs/>
                <w:snapToGrid w:val="0"/>
                <w:color w:val="auto"/>
                <w:kern w:val="21"/>
              </w:rPr>
            </w:pPr>
            <w:r>
              <w:rPr>
                <w:rFonts w:eastAsia="Times New Roman"/>
                <w:color w:val="auto"/>
                <w:kern w:val="21"/>
              </w:rPr>
              <w:object>
                <v:shape id="_x0000_i1036" o:spt="75" alt="" type="#_x0000_t75" style="height:17.25pt;width:33pt;" o:ole="t" filled="f" o:preferrelative="t" stroked="f" coordsize="21600,21600">
                  <v:path/>
                  <v:fill on="f" focussize="0,0"/>
                  <v:stroke on="f"/>
                  <v:imagedata r:id="rId96" o:title=""/>
                  <o:lock v:ext="edit" aspectratio="t"/>
                  <w10:wrap type="none"/>
                  <w10:anchorlock/>
                </v:shape>
                <o:OLEObject Type="Embed" ProgID="Equation.3" ShapeID="_x0000_i1036" DrawAspect="Content" ObjectID="_1468075738" r:id="rId98">
                  <o:LockedField>false</o:LockedField>
                </o:OLEObject>
              </w:object>
            </w:r>
            <w:r>
              <w:rPr>
                <w:color w:val="auto"/>
                <w:kern w:val="21"/>
              </w:rPr>
              <w:t>最大标率＞</w:t>
            </w:r>
            <w:r>
              <w:rPr>
                <w:rFonts w:eastAsia="Times New Roman"/>
                <w:color w:val="auto"/>
                <w:kern w:val="21"/>
              </w:rPr>
              <w:t xml:space="preserve">10% </w:t>
            </w:r>
            <w:r>
              <w:rPr>
                <w:rFonts w:eastAsia="Times New Roman"/>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Merge w:val="continue"/>
            <w:vAlign w:val="center"/>
          </w:tcPr>
          <w:p>
            <w:pPr>
              <w:adjustRightInd w:val="0"/>
              <w:snapToGrid w:val="0"/>
              <w:jc w:val="center"/>
              <w:rPr>
                <w:color w:val="auto"/>
                <w:kern w:val="21"/>
              </w:rPr>
            </w:pPr>
          </w:p>
        </w:tc>
        <w:tc>
          <w:tcPr>
            <w:tcW w:w="975" w:type="dxa"/>
            <w:vAlign w:val="center"/>
          </w:tcPr>
          <w:p>
            <w:pPr>
              <w:adjustRightInd w:val="0"/>
              <w:snapToGrid w:val="0"/>
              <w:rPr>
                <w:bCs/>
                <w:snapToGrid w:val="0"/>
                <w:color w:val="auto"/>
                <w:kern w:val="21"/>
              </w:rPr>
            </w:pPr>
            <w:r>
              <w:rPr>
                <w:color w:val="auto"/>
                <w:kern w:val="21"/>
              </w:rPr>
              <w:t>二类区</w:t>
            </w:r>
          </w:p>
        </w:tc>
        <w:tc>
          <w:tcPr>
            <w:tcW w:w="2310" w:type="dxa"/>
            <w:gridSpan w:val="2"/>
            <w:vAlign w:val="center"/>
          </w:tcPr>
          <w:p>
            <w:pPr>
              <w:adjustRightInd w:val="0"/>
              <w:snapToGrid w:val="0"/>
              <w:rPr>
                <w:color w:val="auto"/>
                <w:kern w:val="21"/>
              </w:rPr>
            </w:pPr>
            <w:r>
              <w:rPr>
                <w:rFonts w:eastAsia="Times New Roman"/>
                <w:color w:val="auto"/>
                <w:kern w:val="21"/>
              </w:rPr>
              <w:object>
                <v:shape id="_x0000_i1037" o:spt="75" alt="" type="#_x0000_t75" style="height:17.25pt;width:33pt;" o:ole="t" filled="f" o:preferrelative="t" stroked="f" coordsize="21600,21600">
                  <v:path/>
                  <v:fill on="f" focussize="0,0"/>
                  <v:stroke on="f"/>
                  <v:imagedata r:id="rId96" o:title=""/>
                  <o:lock v:ext="edit" aspectratio="t"/>
                  <w10:wrap type="none"/>
                  <w10:anchorlock/>
                </v:shape>
                <o:OLEObject Type="Embed" ProgID="Equation.3" ShapeID="_x0000_i1037" DrawAspect="Content" ObjectID="_1468075739" r:id="rId99">
                  <o:LockedField>false</o:LockedField>
                </o:OLEObject>
              </w:object>
            </w:r>
            <w:r>
              <w:rPr>
                <w:color w:val="auto"/>
                <w:kern w:val="21"/>
              </w:rPr>
              <w:t>最大占标率</w:t>
            </w:r>
            <w:r>
              <w:rPr>
                <w:rFonts w:eastAsia="Times New Roman"/>
                <w:color w:val="auto"/>
                <w:kern w:val="21"/>
              </w:rPr>
              <w:t>≤30%</w:t>
            </w:r>
            <w:r>
              <w:rPr>
                <w:rFonts w:eastAsia="Times New Roman"/>
                <w:color w:val="auto"/>
                <w:kern w:val="21"/>
              </w:rPr>
              <w:sym w:font="Wingdings 2" w:char="0052"/>
            </w:r>
          </w:p>
        </w:tc>
        <w:tc>
          <w:tcPr>
            <w:tcW w:w="3205" w:type="dxa"/>
            <w:gridSpan w:val="5"/>
            <w:vAlign w:val="center"/>
          </w:tcPr>
          <w:p>
            <w:pPr>
              <w:adjustRightInd w:val="0"/>
              <w:snapToGrid w:val="0"/>
              <w:rPr>
                <w:bCs/>
                <w:snapToGrid w:val="0"/>
                <w:color w:val="auto"/>
                <w:kern w:val="21"/>
              </w:rPr>
            </w:pPr>
            <w:r>
              <w:rPr>
                <w:rFonts w:eastAsia="Times New Roman"/>
                <w:color w:val="auto"/>
                <w:kern w:val="21"/>
              </w:rPr>
              <w:object>
                <v:shape id="_x0000_i1038" o:spt="75" alt="" type="#_x0000_t75" style="height:17.25pt;width:33pt;" o:ole="t" filled="f" o:preferrelative="t" stroked="f" coordsize="21600,21600">
                  <v:path/>
                  <v:fill on="f" focussize="0,0"/>
                  <v:stroke on="f"/>
                  <v:imagedata r:id="rId96" o:title=""/>
                  <o:lock v:ext="edit" aspectratio="t"/>
                  <w10:wrap type="none"/>
                  <w10:anchorlock/>
                </v:shape>
                <o:OLEObject Type="Embed" ProgID="Equation.3" ShapeID="_x0000_i1038" DrawAspect="Content" ObjectID="_1468075740" r:id="rId100">
                  <o:LockedField>false</o:LockedField>
                </o:OLEObject>
              </w:object>
            </w:r>
            <w:r>
              <w:rPr>
                <w:color w:val="auto"/>
                <w:kern w:val="21"/>
              </w:rPr>
              <w:t>最大标率＞</w:t>
            </w:r>
            <w:r>
              <w:rPr>
                <w:rFonts w:eastAsia="Times New Roman"/>
                <w:color w:val="auto"/>
                <w:kern w:val="21"/>
              </w:rPr>
              <w:t>30%</w:t>
            </w:r>
            <w:r>
              <w:rPr>
                <w:rFonts w:eastAsia="Times New Roman"/>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bCs/>
                <w:snapToGrid w:val="0"/>
                <w:color w:val="auto"/>
                <w:kern w:val="21"/>
              </w:rPr>
            </w:pPr>
            <w:r>
              <w:rPr>
                <w:color w:val="auto"/>
                <w:kern w:val="21"/>
              </w:rPr>
              <w:t>非正常排放</w:t>
            </w:r>
            <w:r>
              <w:rPr>
                <w:rFonts w:eastAsia="Times New Roman"/>
                <w:color w:val="auto"/>
                <w:kern w:val="21"/>
              </w:rPr>
              <w:t>1 h</w:t>
            </w:r>
            <w:r>
              <w:rPr>
                <w:color w:val="auto"/>
                <w:kern w:val="21"/>
              </w:rPr>
              <w:t>浓度贡献值</w:t>
            </w:r>
          </w:p>
        </w:tc>
        <w:tc>
          <w:tcPr>
            <w:tcW w:w="975" w:type="dxa"/>
            <w:vAlign w:val="center"/>
          </w:tcPr>
          <w:p>
            <w:pPr>
              <w:adjustRightInd w:val="0"/>
              <w:snapToGrid w:val="0"/>
              <w:rPr>
                <w:color w:val="auto"/>
                <w:kern w:val="21"/>
              </w:rPr>
            </w:pPr>
            <w:r>
              <w:rPr>
                <w:color w:val="auto"/>
                <w:kern w:val="21"/>
              </w:rPr>
              <w:t>非正常持续时长</w:t>
            </w:r>
          </w:p>
          <w:p>
            <w:pPr>
              <w:adjustRightInd w:val="0"/>
              <w:snapToGrid w:val="0"/>
              <w:rPr>
                <w:bCs/>
                <w:snapToGrid w:val="0"/>
                <w:color w:val="auto"/>
                <w:kern w:val="21"/>
              </w:rPr>
            </w:pPr>
            <w:r>
              <w:rPr>
                <w:color w:val="auto"/>
                <w:kern w:val="21"/>
              </w:rPr>
              <w:t xml:space="preserve">（ </w:t>
            </w:r>
            <w:r>
              <w:rPr>
                <w:rFonts w:eastAsia="Times New Roman"/>
                <w:color w:val="auto"/>
                <w:kern w:val="21"/>
              </w:rPr>
              <w:t xml:space="preserve">/ </w:t>
            </w:r>
            <w:r>
              <w:rPr>
                <w:color w:val="auto"/>
                <w:kern w:val="21"/>
              </w:rPr>
              <w:t>）</w:t>
            </w:r>
            <w:r>
              <w:rPr>
                <w:rFonts w:eastAsia="Times New Roman"/>
                <w:color w:val="auto"/>
                <w:kern w:val="21"/>
              </w:rPr>
              <w:t>h</w:t>
            </w:r>
          </w:p>
        </w:tc>
        <w:tc>
          <w:tcPr>
            <w:tcW w:w="2310" w:type="dxa"/>
            <w:gridSpan w:val="2"/>
            <w:vAlign w:val="center"/>
          </w:tcPr>
          <w:p>
            <w:pPr>
              <w:adjustRightInd w:val="0"/>
              <w:snapToGrid w:val="0"/>
              <w:rPr>
                <w:bCs/>
                <w:snapToGrid w:val="0"/>
                <w:color w:val="auto"/>
                <w:kern w:val="21"/>
              </w:rPr>
            </w:pPr>
            <w:r>
              <w:rPr>
                <w:rFonts w:eastAsia="Times New Roman"/>
                <w:color w:val="auto"/>
                <w:kern w:val="21"/>
              </w:rPr>
              <w:object>
                <v:shape id="_x0000_i1039" o:spt="75" alt="" type="#_x0000_t75" style="height:17.25pt;width:33pt;" o:ole="t" filled="f" o:preferrelative="t" stroked="f" coordsize="21600,21600">
                  <v:path/>
                  <v:fill on="f" focussize="0,0"/>
                  <v:stroke on="f"/>
                  <v:imagedata r:id="rId102" o:title=""/>
                  <o:lock v:ext="edit" aspectratio="t"/>
                  <w10:wrap type="none"/>
                  <w10:anchorlock/>
                </v:shape>
                <o:OLEObject Type="Embed" ProgID="Equation.3" ShapeID="_x0000_i1039" DrawAspect="Content" ObjectID="_1468075741" r:id="rId101">
                  <o:LockedField>false</o:LockedField>
                </o:OLEObject>
              </w:object>
            </w:r>
            <w:r>
              <w:rPr>
                <w:color w:val="auto"/>
                <w:kern w:val="21"/>
              </w:rPr>
              <w:t>占标率</w:t>
            </w:r>
            <w:r>
              <w:rPr>
                <w:rFonts w:eastAsia="Times New Roman"/>
                <w:color w:val="auto"/>
                <w:kern w:val="21"/>
              </w:rPr>
              <w:t xml:space="preserve">≤100% </w:t>
            </w:r>
            <w:r>
              <w:rPr>
                <w:rFonts w:eastAsia="Times New Roman"/>
                <w:color w:val="auto"/>
                <w:kern w:val="21"/>
              </w:rPr>
              <w:sym w:font="Wingdings 2" w:char="0052"/>
            </w:r>
          </w:p>
        </w:tc>
        <w:tc>
          <w:tcPr>
            <w:tcW w:w="3205" w:type="dxa"/>
            <w:gridSpan w:val="5"/>
            <w:vAlign w:val="center"/>
          </w:tcPr>
          <w:p>
            <w:pPr>
              <w:adjustRightInd w:val="0"/>
              <w:snapToGrid w:val="0"/>
              <w:jc w:val="center"/>
              <w:rPr>
                <w:bCs/>
                <w:snapToGrid w:val="0"/>
                <w:color w:val="auto"/>
                <w:kern w:val="21"/>
              </w:rPr>
            </w:pPr>
            <w:r>
              <w:rPr>
                <w:rFonts w:eastAsia="Times New Roman"/>
                <w:color w:val="auto"/>
                <w:kern w:val="21"/>
              </w:rPr>
              <w:object>
                <v:shape id="_x0000_i1040" o:spt="75" alt="" type="#_x0000_t75" style="height:17.25pt;width:33pt;" o:ole="t" filled="f" o:preferrelative="t" stroked="f" coordsize="21600,21600">
                  <v:path/>
                  <v:fill on="f" focussize="0,0"/>
                  <v:stroke on="f"/>
                  <v:imagedata r:id="rId102" o:title=""/>
                  <o:lock v:ext="edit" aspectratio="t"/>
                  <w10:wrap type="none"/>
                  <w10:anchorlock/>
                </v:shape>
                <o:OLEObject Type="Embed" ProgID="Equation.3" ShapeID="_x0000_i1040" DrawAspect="Content" ObjectID="_1468075742" r:id="rId103">
                  <o:LockedField>false</o:LockedField>
                </o:OLEObject>
              </w:object>
            </w:r>
            <w:r>
              <w:rPr>
                <w:color w:val="auto"/>
                <w:kern w:val="21"/>
              </w:rPr>
              <w:t>占标率＞</w:t>
            </w:r>
            <w:r>
              <w:rPr>
                <w:rFonts w:eastAsia="Times New Roman"/>
                <w:color w:val="auto"/>
                <w:kern w:val="21"/>
              </w:rPr>
              <w:t>100%</w:t>
            </w:r>
            <w:r>
              <w:rPr>
                <w:rFonts w:eastAsia="Times New Roman"/>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bCs/>
                <w:snapToGrid w:val="0"/>
                <w:color w:val="auto"/>
                <w:kern w:val="21"/>
              </w:rPr>
            </w:pPr>
            <w:r>
              <w:rPr>
                <w:color w:val="auto"/>
                <w:kern w:val="21"/>
              </w:rPr>
              <w:t>保证率日平均浓度和年平均浓度叠加值</w:t>
            </w:r>
          </w:p>
        </w:tc>
        <w:tc>
          <w:tcPr>
            <w:tcW w:w="3285" w:type="dxa"/>
            <w:gridSpan w:val="3"/>
            <w:vAlign w:val="center"/>
          </w:tcPr>
          <w:p>
            <w:pPr>
              <w:adjustRightInd w:val="0"/>
              <w:snapToGrid w:val="0"/>
              <w:jc w:val="center"/>
              <w:rPr>
                <w:bCs/>
                <w:snapToGrid w:val="0"/>
                <w:color w:val="auto"/>
                <w:kern w:val="21"/>
              </w:rPr>
            </w:pPr>
            <w:r>
              <w:rPr>
                <w:rFonts w:eastAsia="Times New Roman"/>
                <w:color w:val="auto"/>
                <w:kern w:val="21"/>
              </w:rPr>
              <w:object>
                <v:shape id="_x0000_i1041" o:spt="75" alt="" type="#_x0000_t75" style="height:17.25pt;width:24.75pt;" o:ole="t" filled="f" o:preferrelative="t" stroked="f" coordsize="21600,21600">
                  <v:path/>
                  <v:fill on="f" focussize="0,0"/>
                  <v:stroke on="f"/>
                  <v:imagedata r:id="rId105" o:title=""/>
                  <o:lock v:ext="edit" aspectratio="t"/>
                  <w10:wrap type="none"/>
                  <w10:anchorlock/>
                </v:shape>
                <o:OLEObject Type="Embed" ProgID="Equation.3" ShapeID="_x0000_i1041" DrawAspect="Content" ObjectID="_1468075743" r:id="rId104">
                  <o:LockedField>false</o:LockedField>
                </o:OLEObject>
              </w:object>
            </w:r>
            <w:r>
              <w:rPr>
                <w:color w:val="auto"/>
                <w:kern w:val="21"/>
              </w:rPr>
              <w:t>达标</w:t>
            </w:r>
          </w:p>
        </w:tc>
        <w:tc>
          <w:tcPr>
            <w:tcW w:w="3205" w:type="dxa"/>
            <w:gridSpan w:val="5"/>
            <w:vAlign w:val="center"/>
          </w:tcPr>
          <w:p>
            <w:pPr>
              <w:adjustRightInd w:val="0"/>
              <w:snapToGrid w:val="0"/>
              <w:jc w:val="center"/>
              <w:rPr>
                <w:bCs/>
                <w:snapToGrid w:val="0"/>
                <w:color w:val="auto"/>
                <w:kern w:val="21"/>
              </w:rPr>
            </w:pPr>
            <w:r>
              <w:rPr>
                <w:rFonts w:eastAsia="Times New Roman"/>
                <w:color w:val="auto"/>
                <w:kern w:val="21"/>
              </w:rPr>
              <w:object>
                <v:shape id="_x0000_i1042" o:spt="75" alt="" type="#_x0000_t75" style="height:17.25pt;width:24.75pt;" o:ole="t" filled="f" o:preferrelative="t" stroked="f" coordsize="21600,21600">
                  <v:path/>
                  <v:fill on="f" focussize="0,0"/>
                  <v:stroke on="f"/>
                  <v:imagedata r:id="rId105" o:title=""/>
                  <o:lock v:ext="edit" aspectratio="t"/>
                  <w10:wrap type="none"/>
                  <w10:anchorlock/>
                </v:shape>
                <o:OLEObject Type="Embed" ProgID="Equation.3" ShapeID="_x0000_i1042" DrawAspect="Content" ObjectID="_1468075744" r:id="rId106">
                  <o:LockedField>false</o:LockedField>
                </o:OLEObject>
              </w:object>
            </w:r>
            <w:r>
              <w:rPr>
                <w:color w:val="auto"/>
                <w:kern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bCs/>
                <w:snapToGrid w:val="0"/>
                <w:color w:val="auto"/>
                <w:kern w:val="21"/>
              </w:rPr>
            </w:pPr>
            <w:r>
              <w:rPr>
                <w:color w:val="auto"/>
                <w:kern w:val="21"/>
              </w:rPr>
              <w:t>区域环境质量的整体变化情况</w:t>
            </w:r>
          </w:p>
        </w:tc>
        <w:tc>
          <w:tcPr>
            <w:tcW w:w="3285" w:type="dxa"/>
            <w:gridSpan w:val="3"/>
            <w:vAlign w:val="center"/>
          </w:tcPr>
          <w:p>
            <w:pPr>
              <w:adjustRightInd w:val="0"/>
              <w:snapToGrid w:val="0"/>
              <w:jc w:val="center"/>
              <w:rPr>
                <w:bCs/>
                <w:snapToGrid w:val="0"/>
                <w:color w:val="auto"/>
                <w:kern w:val="21"/>
              </w:rPr>
            </w:pPr>
            <w:r>
              <w:rPr>
                <w:rFonts w:eastAsia="Times New Roman"/>
                <w:color w:val="auto"/>
                <w:kern w:val="21"/>
              </w:rPr>
              <w:t xml:space="preserve">k≤− 20% </w:t>
            </w:r>
            <w:r>
              <w:rPr>
                <w:rFonts w:eastAsia="Wingdings 2"/>
                <w:color w:val="auto"/>
                <w:kern w:val="21"/>
              </w:rPr>
              <w:t></w:t>
            </w:r>
          </w:p>
        </w:tc>
        <w:tc>
          <w:tcPr>
            <w:tcW w:w="3205" w:type="dxa"/>
            <w:gridSpan w:val="5"/>
            <w:vAlign w:val="center"/>
          </w:tcPr>
          <w:p>
            <w:pPr>
              <w:adjustRightInd w:val="0"/>
              <w:snapToGrid w:val="0"/>
              <w:jc w:val="center"/>
              <w:rPr>
                <w:bCs/>
                <w:snapToGrid w:val="0"/>
                <w:color w:val="auto"/>
                <w:kern w:val="21"/>
              </w:rPr>
            </w:pPr>
            <w:r>
              <w:rPr>
                <w:rFonts w:eastAsia="Times New Roman"/>
                <w:color w:val="auto"/>
                <w:kern w:val="21"/>
              </w:rPr>
              <w:t>k</w:t>
            </w:r>
            <w:r>
              <w:rPr>
                <w:color w:val="auto"/>
                <w:kern w:val="21"/>
              </w:rPr>
              <w:t>＞</w:t>
            </w:r>
            <w:r>
              <w:rPr>
                <w:rFonts w:eastAsia="Times New Roman"/>
                <w:color w:val="auto"/>
                <w:kern w:val="21"/>
              </w:rPr>
              <w:t xml:space="preserve">− 20% </w:t>
            </w:r>
            <w:r>
              <w:rPr>
                <w:rFonts w:eastAsia="Wingdings 2"/>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restart"/>
            <w:vAlign w:val="center"/>
          </w:tcPr>
          <w:p>
            <w:pPr>
              <w:adjustRightInd w:val="0"/>
              <w:snapToGrid w:val="0"/>
              <w:jc w:val="center"/>
              <w:rPr>
                <w:bCs/>
                <w:snapToGrid w:val="0"/>
                <w:color w:val="auto"/>
                <w:kern w:val="21"/>
              </w:rPr>
            </w:pPr>
            <w:r>
              <w:rPr>
                <w:bCs/>
                <w:snapToGrid w:val="0"/>
                <w:color w:val="auto"/>
                <w:kern w:val="21"/>
              </w:rPr>
              <w:t>环境监测计划</w:t>
            </w:r>
          </w:p>
        </w:tc>
        <w:tc>
          <w:tcPr>
            <w:tcW w:w="1378" w:type="dxa"/>
            <w:vAlign w:val="center"/>
          </w:tcPr>
          <w:p>
            <w:pPr>
              <w:adjustRightInd w:val="0"/>
              <w:snapToGrid w:val="0"/>
              <w:rPr>
                <w:color w:val="auto"/>
                <w:kern w:val="21"/>
              </w:rPr>
            </w:pPr>
            <w:r>
              <w:rPr>
                <w:color w:val="auto"/>
                <w:kern w:val="21"/>
              </w:rPr>
              <w:t>污染源监测</w:t>
            </w:r>
          </w:p>
        </w:tc>
        <w:tc>
          <w:tcPr>
            <w:tcW w:w="2144" w:type="dxa"/>
            <w:gridSpan w:val="2"/>
            <w:vAlign w:val="center"/>
          </w:tcPr>
          <w:p>
            <w:pPr>
              <w:adjustRightInd w:val="0"/>
              <w:snapToGrid w:val="0"/>
              <w:rPr>
                <w:bCs/>
                <w:snapToGrid w:val="0"/>
                <w:color w:val="auto"/>
                <w:kern w:val="21"/>
              </w:rPr>
            </w:pPr>
            <w:r>
              <w:rPr>
                <w:color w:val="auto"/>
                <w:kern w:val="21"/>
              </w:rPr>
              <w:t>监测因子：（PM</w:t>
            </w:r>
            <w:r>
              <w:rPr>
                <w:color w:val="auto"/>
                <w:kern w:val="21"/>
                <w:vertAlign w:val="subscript"/>
              </w:rPr>
              <w:t>10</w:t>
            </w:r>
            <w:r>
              <w:rPr>
                <w:color w:val="auto"/>
                <w:kern w:val="21"/>
              </w:rPr>
              <w:t>、SO</w:t>
            </w:r>
            <w:r>
              <w:rPr>
                <w:color w:val="auto"/>
                <w:kern w:val="21"/>
                <w:vertAlign w:val="subscript"/>
              </w:rPr>
              <w:t>2</w:t>
            </w:r>
            <w:r>
              <w:rPr>
                <w:color w:val="auto"/>
                <w:kern w:val="21"/>
              </w:rPr>
              <w:t>、NOx、HCl、</w:t>
            </w:r>
            <w:r>
              <w:rPr>
                <w:rFonts w:hint="eastAsia"/>
                <w:color w:val="auto"/>
                <w:kern w:val="21"/>
              </w:rPr>
              <w:t>NH</w:t>
            </w:r>
            <w:r>
              <w:rPr>
                <w:rFonts w:hint="eastAsia"/>
                <w:color w:val="auto"/>
                <w:kern w:val="21"/>
                <w:vertAlign w:val="subscript"/>
              </w:rPr>
              <w:t>3</w:t>
            </w:r>
            <w:r>
              <w:rPr>
                <w:rFonts w:hint="eastAsia"/>
                <w:color w:val="auto"/>
                <w:kern w:val="21"/>
              </w:rPr>
              <w:t>、H</w:t>
            </w:r>
            <w:r>
              <w:rPr>
                <w:rFonts w:hint="eastAsia"/>
                <w:color w:val="auto"/>
                <w:kern w:val="21"/>
                <w:vertAlign w:val="subscript"/>
              </w:rPr>
              <w:t>2</w:t>
            </w:r>
            <w:r>
              <w:rPr>
                <w:rFonts w:hint="eastAsia"/>
                <w:color w:val="auto"/>
                <w:kern w:val="21"/>
              </w:rPr>
              <w:t>S</w:t>
            </w:r>
            <w:r>
              <w:rPr>
                <w:color w:val="auto"/>
                <w:kern w:val="21"/>
              </w:rPr>
              <w:t>）</w:t>
            </w:r>
          </w:p>
        </w:tc>
        <w:tc>
          <w:tcPr>
            <w:tcW w:w="2911" w:type="dxa"/>
            <w:gridSpan w:val="4"/>
            <w:vAlign w:val="center"/>
          </w:tcPr>
          <w:p>
            <w:pPr>
              <w:adjustRightInd w:val="0"/>
              <w:snapToGrid w:val="0"/>
              <w:jc w:val="center"/>
              <w:rPr>
                <w:color w:val="auto"/>
                <w:kern w:val="21"/>
              </w:rPr>
            </w:pPr>
            <w:r>
              <w:rPr>
                <w:color w:val="auto"/>
                <w:kern w:val="21"/>
              </w:rPr>
              <w:t>有组织废气监测</w:t>
            </w:r>
            <w:r>
              <w:rPr>
                <w:rFonts w:eastAsia="Times New Roman"/>
                <w:color w:val="auto"/>
                <w:kern w:val="21"/>
              </w:rPr>
              <w:sym w:font="Wingdings 2" w:char="0052"/>
            </w:r>
          </w:p>
          <w:p>
            <w:pPr>
              <w:adjustRightInd w:val="0"/>
              <w:snapToGrid w:val="0"/>
              <w:jc w:val="center"/>
              <w:rPr>
                <w:bCs/>
                <w:snapToGrid w:val="0"/>
                <w:color w:val="auto"/>
                <w:kern w:val="21"/>
              </w:rPr>
            </w:pPr>
            <w:r>
              <w:rPr>
                <w:color w:val="auto"/>
                <w:kern w:val="21"/>
              </w:rPr>
              <w:t>无组织废气监测</w:t>
            </w:r>
            <w:r>
              <w:rPr>
                <w:rFonts w:eastAsia="Times New Roman"/>
                <w:color w:val="auto"/>
                <w:kern w:val="21"/>
              </w:rPr>
              <w:sym w:font="Wingdings 2" w:char="0052"/>
            </w:r>
            <w:r>
              <w:rPr>
                <w:rFonts w:eastAsia="Wingdings 2"/>
                <w:color w:val="auto"/>
                <w:kern w:val="21"/>
              </w:rPr>
              <w:t></w:t>
            </w:r>
          </w:p>
        </w:tc>
        <w:tc>
          <w:tcPr>
            <w:tcW w:w="1435" w:type="dxa"/>
            <w:gridSpan w:val="2"/>
            <w:vAlign w:val="center"/>
          </w:tcPr>
          <w:p>
            <w:pPr>
              <w:adjustRightInd w:val="0"/>
              <w:snapToGrid w:val="0"/>
              <w:rPr>
                <w:bCs/>
                <w:snapToGrid w:val="0"/>
                <w:color w:val="auto"/>
                <w:kern w:val="21"/>
              </w:rPr>
            </w:pPr>
            <w:r>
              <w:rPr>
                <w:color w:val="auto"/>
                <w:kern w:val="21"/>
              </w:rPr>
              <w:t>无监测</w:t>
            </w:r>
            <w:r>
              <w:rPr>
                <w:rFonts w:eastAsia="Times New Roman"/>
                <w:color w:val="auto"/>
                <w:kern w:val="21"/>
              </w:rPr>
              <w:sym w:font="Wingdings 2" w:char="00A3"/>
            </w:r>
            <w:r>
              <w:rPr>
                <w:rFonts w:eastAsia="Wingdings 2"/>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color w:val="auto"/>
                <w:kern w:val="21"/>
              </w:rPr>
            </w:pPr>
            <w:r>
              <w:rPr>
                <w:color w:val="auto"/>
                <w:kern w:val="21"/>
              </w:rPr>
              <w:t>环境质量监测</w:t>
            </w:r>
          </w:p>
        </w:tc>
        <w:tc>
          <w:tcPr>
            <w:tcW w:w="2144" w:type="dxa"/>
            <w:gridSpan w:val="2"/>
            <w:vAlign w:val="center"/>
          </w:tcPr>
          <w:p>
            <w:pPr>
              <w:tabs>
                <w:tab w:val="left" w:pos="2289"/>
              </w:tabs>
              <w:adjustRightInd w:val="0"/>
              <w:snapToGrid w:val="0"/>
              <w:rPr>
                <w:bCs/>
                <w:snapToGrid w:val="0"/>
                <w:color w:val="auto"/>
                <w:kern w:val="21"/>
              </w:rPr>
            </w:pPr>
            <w:r>
              <w:rPr>
                <w:color w:val="auto"/>
                <w:kern w:val="21"/>
              </w:rPr>
              <w:t>监测因子：（）</w:t>
            </w:r>
          </w:p>
        </w:tc>
        <w:tc>
          <w:tcPr>
            <w:tcW w:w="2911" w:type="dxa"/>
            <w:gridSpan w:val="4"/>
            <w:vAlign w:val="center"/>
          </w:tcPr>
          <w:p>
            <w:pPr>
              <w:tabs>
                <w:tab w:val="left" w:pos="1919"/>
              </w:tabs>
              <w:adjustRightInd w:val="0"/>
              <w:snapToGrid w:val="0"/>
              <w:jc w:val="center"/>
              <w:rPr>
                <w:bCs/>
                <w:snapToGrid w:val="0"/>
                <w:color w:val="auto"/>
                <w:kern w:val="21"/>
              </w:rPr>
            </w:pPr>
            <w:r>
              <w:rPr>
                <w:color w:val="auto"/>
                <w:kern w:val="21"/>
              </w:rPr>
              <w:t>监测点位数（）</w:t>
            </w:r>
          </w:p>
        </w:tc>
        <w:tc>
          <w:tcPr>
            <w:tcW w:w="1435" w:type="dxa"/>
            <w:gridSpan w:val="2"/>
            <w:vAlign w:val="center"/>
          </w:tcPr>
          <w:p>
            <w:pPr>
              <w:adjustRightInd w:val="0"/>
              <w:snapToGrid w:val="0"/>
              <w:rPr>
                <w:bCs/>
                <w:snapToGrid w:val="0"/>
                <w:color w:val="auto"/>
                <w:kern w:val="21"/>
              </w:rPr>
            </w:pPr>
            <w:r>
              <w:rPr>
                <w:color w:val="auto"/>
                <w:kern w:val="21"/>
              </w:rPr>
              <w:t>无监测</w:t>
            </w:r>
            <w:r>
              <w:rPr>
                <w:rFonts w:eastAsia="Times New Roman"/>
                <w:color w:val="auto"/>
                <w:kern w:val="21"/>
              </w:rPr>
              <w:sym w:font="Wingdings 2" w:char="0052"/>
            </w:r>
            <w:r>
              <w:rPr>
                <w:rFonts w:eastAsia="Wingdings 2"/>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restart"/>
            <w:vAlign w:val="center"/>
          </w:tcPr>
          <w:p>
            <w:pPr>
              <w:adjustRightInd w:val="0"/>
              <w:snapToGrid w:val="0"/>
              <w:jc w:val="center"/>
              <w:rPr>
                <w:bCs/>
                <w:snapToGrid w:val="0"/>
                <w:color w:val="auto"/>
                <w:kern w:val="21"/>
              </w:rPr>
            </w:pPr>
            <w:r>
              <w:rPr>
                <w:bCs/>
                <w:snapToGrid w:val="0"/>
                <w:color w:val="auto"/>
                <w:kern w:val="21"/>
              </w:rPr>
              <w:t>评价结论</w:t>
            </w:r>
          </w:p>
        </w:tc>
        <w:tc>
          <w:tcPr>
            <w:tcW w:w="1378" w:type="dxa"/>
            <w:vAlign w:val="center"/>
          </w:tcPr>
          <w:p>
            <w:pPr>
              <w:adjustRightInd w:val="0"/>
              <w:snapToGrid w:val="0"/>
              <w:rPr>
                <w:color w:val="auto"/>
                <w:kern w:val="21"/>
              </w:rPr>
            </w:pPr>
            <w:r>
              <w:rPr>
                <w:color w:val="auto"/>
                <w:kern w:val="21"/>
              </w:rPr>
              <w:t>环境影响</w:t>
            </w:r>
          </w:p>
        </w:tc>
        <w:tc>
          <w:tcPr>
            <w:tcW w:w="6490" w:type="dxa"/>
            <w:gridSpan w:val="8"/>
            <w:vAlign w:val="center"/>
          </w:tcPr>
          <w:p>
            <w:pPr>
              <w:adjustRightInd w:val="0"/>
              <w:snapToGrid w:val="0"/>
              <w:jc w:val="center"/>
              <w:rPr>
                <w:color w:val="auto"/>
                <w:kern w:val="21"/>
              </w:rPr>
            </w:pPr>
            <w:r>
              <w:rPr>
                <w:color w:val="auto"/>
                <w:kern w:val="21"/>
              </w:rPr>
              <w:t>可以接受</w:t>
            </w:r>
            <w:r>
              <w:rPr>
                <w:color w:val="auto"/>
                <w:kern w:val="21"/>
              </w:rPr>
              <w:sym w:font="Wingdings 2" w:char="0052"/>
            </w:r>
            <w:r>
              <w:rPr>
                <w:color w:val="auto"/>
                <w:kern w:val="21"/>
              </w:rPr>
              <w:t xml:space="preserve"> 不可以接收□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color w:val="auto"/>
                <w:kern w:val="21"/>
              </w:rPr>
            </w:pPr>
            <w:r>
              <w:rPr>
                <w:color w:val="auto"/>
                <w:kern w:val="21"/>
              </w:rPr>
              <w:t>大气环境</w:t>
            </w:r>
          </w:p>
          <w:p>
            <w:pPr>
              <w:adjustRightInd w:val="0"/>
              <w:snapToGrid w:val="0"/>
              <w:rPr>
                <w:color w:val="auto"/>
                <w:kern w:val="21"/>
              </w:rPr>
            </w:pPr>
            <w:r>
              <w:rPr>
                <w:color w:val="auto"/>
                <w:kern w:val="21"/>
              </w:rPr>
              <w:t>防护距离</w:t>
            </w:r>
          </w:p>
        </w:tc>
        <w:tc>
          <w:tcPr>
            <w:tcW w:w="6490" w:type="dxa"/>
            <w:gridSpan w:val="8"/>
            <w:vAlign w:val="center"/>
          </w:tcPr>
          <w:p>
            <w:pPr>
              <w:adjustRightInd w:val="0"/>
              <w:snapToGrid w:val="0"/>
              <w:jc w:val="center"/>
              <w:rPr>
                <w:color w:val="auto"/>
                <w:kern w:val="21"/>
              </w:rPr>
            </w:pPr>
            <w:r>
              <w:rPr>
                <w:color w:val="auto"/>
                <w:kern w:val="21"/>
              </w:rPr>
              <w:t>距（ ）厂界最远（）m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3" w:type="dxa"/>
            <w:vMerge w:val="continue"/>
            <w:vAlign w:val="center"/>
          </w:tcPr>
          <w:p>
            <w:pPr>
              <w:adjustRightInd w:val="0"/>
              <w:snapToGrid w:val="0"/>
              <w:jc w:val="center"/>
              <w:rPr>
                <w:bCs/>
                <w:snapToGrid w:val="0"/>
                <w:color w:val="auto"/>
                <w:kern w:val="21"/>
              </w:rPr>
            </w:pPr>
          </w:p>
        </w:tc>
        <w:tc>
          <w:tcPr>
            <w:tcW w:w="1378" w:type="dxa"/>
            <w:vAlign w:val="center"/>
          </w:tcPr>
          <w:p>
            <w:pPr>
              <w:adjustRightInd w:val="0"/>
              <w:snapToGrid w:val="0"/>
              <w:rPr>
                <w:color w:val="auto"/>
                <w:kern w:val="21"/>
              </w:rPr>
            </w:pPr>
            <w:r>
              <w:rPr>
                <w:color w:val="auto"/>
                <w:kern w:val="21"/>
              </w:rPr>
              <w:t>污染源年</w:t>
            </w:r>
          </w:p>
          <w:p>
            <w:pPr>
              <w:adjustRightInd w:val="0"/>
              <w:snapToGrid w:val="0"/>
              <w:rPr>
                <w:color w:val="auto"/>
                <w:kern w:val="21"/>
              </w:rPr>
            </w:pPr>
            <w:r>
              <w:rPr>
                <w:color w:val="auto"/>
                <w:kern w:val="21"/>
              </w:rPr>
              <w:t>排放量</w:t>
            </w:r>
          </w:p>
        </w:tc>
        <w:tc>
          <w:tcPr>
            <w:tcW w:w="975" w:type="dxa"/>
            <w:vAlign w:val="center"/>
          </w:tcPr>
          <w:p>
            <w:pPr>
              <w:adjustRightInd w:val="0"/>
              <w:snapToGrid w:val="0"/>
              <w:rPr>
                <w:color w:val="auto"/>
                <w:kern w:val="21"/>
              </w:rPr>
            </w:pPr>
            <w:r>
              <w:rPr>
                <w:b/>
                <w:bCs/>
                <w:color w:val="auto"/>
                <w:kern w:val="21"/>
                <w:u w:val="single"/>
              </w:rPr>
              <w:t>氯化氢：</w:t>
            </w:r>
            <w:r>
              <w:rPr>
                <w:rFonts w:hint="eastAsia"/>
                <w:b/>
                <w:bCs/>
                <w:color w:val="auto"/>
                <w:kern w:val="21"/>
                <w:u w:val="single"/>
              </w:rPr>
              <w:t>0.52</w:t>
            </w:r>
            <w:r>
              <w:rPr>
                <w:rFonts w:hint="eastAsia"/>
                <w:b/>
                <w:bCs/>
                <w:color w:val="auto"/>
                <w:kern w:val="21"/>
                <w:u w:val="single"/>
                <w:lang w:val="en-US" w:eastAsia="zh-CN"/>
              </w:rPr>
              <w:t>2</w:t>
            </w:r>
            <w:r>
              <w:rPr>
                <w:b/>
                <w:bCs/>
                <w:color w:val="auto"/>
                <w:kern w:val="21"/>
                <w:u w:val="single"/>
              </w:rPr>
              <w:t>t/a</w:t>
            </w:r>
          </w:p>
        </w:tc>
        <w:tc>
          <w:tcPr>
            <w:tcW w:w="1169" w:type="dxa"/>
            <w:vAlign w:val="center"/>
          </w:tcPr>
          <w:p>
            <w:pPr>
              <w:adjustRightInd w:val="0"/>
              <w:snapToGrid w:val="0"/>
              <w:rPr>
                <w:color w:val="auto"/>
                <w:kern w:val="21"/>
              </w:rPr>
            </w:pPr>
            <w:r>
              <w:rPr>
                <w:b/>
                <w:bCs/>
                <w:color w:val="auto"/>
                <w:kern w:val="21"/>
                <w:u w:val="single"/>
              </w:rPr>
              <w:t>颗粒物：0.</w:t>
            </w:r>
            <w:r>
              <w:rPr>
                <w:rFonts w:hint="eastAsia"/>
                <w:b/>
                <w:bCs/>
                <w:color w:val="auto"/>
                <w:kern w:val="21"/>
                <w:u w:val="single"/>
              </w:rPr>
              <w:t>4</w:t>
            </w:r>
            <w:r>
              <w:rPr>
                <w:rFonts w:hint="eastAsia"/>
                <w:b/>
                <w:bCs/>
                <w:color w:val="auto"/>
                <w:kern w:val="21"/>
                <w:u w:val="single"/>
                <w:lang w:val="en-US" w:eastAsia="zh-CN"/>
              </w:rPr>
              <w:t>60</w:t>
            </w:r>
            <w:r>
              <w:rPr>
                <w:b/>
                <w:bCs/>
                <w:color w:val="auto"/>
                <w:kern w:val="21"/>
                <w:u w:val="single"/>
              </w:rPr>
              <w:t>t/a</w:t>
            </w:r>
          </w:p>
        </w:tc>
        <w:tc>
          <w:tcPr>
            <w:tcW w:w="1141" w:type="dxa"/>
            <w:vAlign w:val="center"/>
          </w:tcPr>
          <w:p>
            <w:pPr>
              <w:adjustRightInd w:val="0"/>
              <w:snapToGrid w:val="0"/>
              <w:rPr>
                <w:color w:val="auto"/>
                <w:spacing w:val="-10"/>
                <w:kern w:val="21"/>
              </w:rPr>
            </w:pPr>
            <w:r>
              <w:rPr>
                <w:b/>
                <w:bCs/>
                <w:color w:val="auto"/>
                <w:spacing w:val="-10"/>
                <w:kern w:val="21"/>
                <w:u w:val="single"/>
              </w:rPr>
              <w:t>SO</w:t>
            </w:r>
            <w:r>
              <w:rPr>
                <w:b/>
                <w:bCs/>
                <w:color w:val="auto"/>
                <w:spacing w:val="-10"/>
                <w:kern w:val="21"/>
                <w:u w:val="single"/>
                <w:vertAlign w:val="subscript"/>
              </w:rPr>
              <w:t>2</w:t>
            </w:r>
            <w:r>
              <w:rPr>
                <w:b/>
                <w:bCs/>
                <w:color w:val="auto"/>
                <w:spacing w:val="-10"/>
                <w:kern w:val="21"/>
                <w:u w:val="single"/>
              </w:rPr>
              <w:t>：0.</w:t>
            </w:r>
            <w:r>
              <w:rPr>
                <w:rFonts w:hint="eastAsia"/>
                <w:b/>
                <w:bCs/>
                <w:color w:val="auto"/>
                <w:spacing w:val="-10"/>
                <w:kern w:val="21"/>
                <w:u w:val="single"/>
              </w:rPr>
              <w:t>435</w:t>
            </w:r>
            <w:r>
              <w:rPr>
                <w:b/>
                <w:bCs/>
                <w:color w:val="auto"/>
                <w:spacing w:val="-10"/>
                <w:kern w:val="21"/>
                <w:u w:val="single"/>
              </w:rPr>
              <w:t>t/a</w:t>
            </w:r>
          </w:p>
        </w:tc>
        <w:tc>
          <w:tcPr>
            <w:tcW w:w="885" w:type="dxa"/>
            <w:gridSpan w:val="2"/>
            <w:vAlign w:val="center"/>
          </w:tcPr>
          <w:p>
            <w:pPr>
              <w:adjustRightInd w:val="0"/>
              <w:snapToGrid w:val="0"/>
              <w:rPr>
                <w:color w:val="auto"/>
                <w:spacing w:val="-10"/>
                <w:kern w:val="21"/>
              </w:rPr>
            </w:pPr>
            <w:r>
              <w:rPr>
                <w:b/>
                <w:bCs/>
                <w:color w:val="auto"/>
                <w:spacing w:val="-10"/>
                <w:kern w:val="21"/>
                <w:u w:val="single"/>
              </w:rPr>
              <w:t>NOx：</w:t>
            </w:r>
            <w:r>
              <w:rPr>
                <w:rFonts w:hint="eastAsia"/>
                <w:b/>
                <w:bCs/>
                <w:color w:val="auto"/>
                <w:spacing w:val="-10"/>
                <w:kern w:val="21"/>
                <w:u w:val="single"/>
              </w:rPr>
              <w:t>1.316</w:t>
            </w:r>
            <w:r>
              <w:rPr>
                <w:b/>
                <w:bCs/>
                <w:color w:val="auto"/>
                <w:spacing w:val="-10"/>
                <w:kern w:val="21"/>
                <w:u w:val="single"/>
              </w:rPr>
              <w:t>t/a</w:t>
            </w:r>
          </w:p>
        </w:tc>
        <w:tc>
          <w:tcPr>
            <w:tcW w:w="885" w:type="dxa"/>
            <w:vAlign w:val="center"/>
          </w:tcPr>
          <w:p>
            <w:pPr>
              <w:adjustRightInd w:val="0"/>
              <w:snapToGrid w:val="0"/>
              <w:rPr>
                <w:color w:val="auto"/>
                <w:spacing w:val="-10"/>
                <w:kern w:val="21"/>
              </w:rPr>
            </w:pPr>
            <w:r>
              <w:rPr>
                <w:rFonts w:hint="eastAsia"/>
                <w:b/>
                <w:bCs/>
                <w:color w:val="auto"/>
                <w:spacing w:val="-10"/>
                <w:kern w:val="21"/>
                <w:u w:val="single"/>
              </w:rPr>
              <w:t>NH</w:t>
            </w:r>
            <w:r>
              <w:rPr>
                <w:rFonts w:hint="eastAsia"/>
                <w:b/>
                <w:bCs/>
                <w:color w:val="auto"/>
                <w:spacing w:val="-10"/>
                <w:kern w:val="21"/>
                <w:u w:val="single"/>
                <w:vertAlign w:val="subscript"/>
              </w:rPr>
              <w:t>3</w:t>
            </w:r>
            <w:r>
              <w:rPr>
                <w:rFonts w:hint="eastAsia"/>
                <w:b/>
                <w:bCs/>
                <w:color w:val="auto"/>
                <w:spacing w:val="-10"/>
                <w:kern w:val="21"/>
                <w:u w:val="single"/>
              </w:rPr>
              <w:t>：0.565t/a</w:t>
            </w:r>
          </w:p>
        </w:tc>
        <w:tc>
          <w:tcPr>
            <w:tcW w:w="1435" w:type="dxa"/>
            <w:gridSpan w:val="2"/>
            <w:vAlign w:val="center"/>
          </w:tcPr>
          <w:p>
            <w:pPr>
              <w:adjustRightInd w:val="0"/>
              <w:snapToGrid w:val="0"/>
              <w:rPr>
                <w:color w:val="auto"/>
                <w:spacing w:val="-10"/>
                <w:kern w:val="21"/>
              </w:rPr>
            </w:pPr>
            <w:r>
              <w:rPr>
                <w:rFonts w:hint="eastAsia"/>
                <w:b/>
                <w:bCs/>
                <w:color w:val="auto"/>
                <w:spacing w:val="-10"/>
                <w:kern w:val="21"/>
                <w:u w:val="single"/>
              </w:rPr>
              <w:t>H</w:t>
            </w:r>
            <w:r>
              <w:rPr>
                <w:rFonts w:hint="eastAsia"/>
                <w:b/>
                <w:bCs/>
                <w:color w:val="auto"/>
                <w:spacing w:val="-10"/>
                <w:kern w:val="21"/>
                <w:u w:val="single"/>
                <w:vertAlign w:val="subscript"/>
              </w:rPr>
              <w:t>2</w:t>
            </w:r>
            <w:r>
              <w:rPr>
                <w:rFonts w:hint="eastAsia"/>
                <w:b/>
                <w:bCs/>
                <w:color w:val="auto"/>
                <w:spacing w:val="-10"/>
                <w:kern w:val="21"/>
                <w:u w:val="single"/>
              </w:rPr>
              <w:t>S</w:t>
            </w:r>
            <w:r>
              <w:rPr>
                <w:b/>
                <w:bCs/>
                <w:color w:val="auto"/>
                <w:spacing w:val="-10"/>
                <w:kern w:val="21"/>
                <w:u w:val="single"/>
              </w:rPr>
              <w:t>：</w:t>
            </w:r>
            <w:r>
              <w:rPr>
                <w:rFonts w:hint="eastAsia"/>
                <w:b/>
                <w:bCs/>
                <w:color w:val="auto"/>
                <w:spacing w:val="-10"/>
                <w:kern w:val="21"/>
                <w:u w:val="single"/>
              </w:rPr>
              <w:t>4.05</w:t>
            </w:r>
            <w:r>
              <w:rPr>
                <w:rFonts w:hint="eastAsia"/>
                <w:b/>
                <w:bCs/>
                <w:color w:val="auto"/>
                <w:spacing w:val="-10"/>
                <w:kern w:val="21"/>
                <w:u w:val="single"/>
                <w:lang w:val="en-US" w:eastAsia="zh-CN"/>
              </w:rPr>
              <w:t>3</w:t>
            </w:r>
            <w:r>
              <w:rPr>
                <w:b/>
                <w:bCs/>
                <w:color w:val="auto"/>
                <w:u w:val="single"/>
              </w:rPr>
              <w:t>×10</w:t>
            </w:r>
            <w:r>
              <w:rPr>
                <w:b/>
                <w:bCs/>
                <w:color w:val="auto"/>
                <w:u w:val="single"/>
                <w:vertAlign w:val="superscript"/>
              </w:rPr>
              <w:t>-</w:t>
            </w:r>
            <w:r>
              <w:rPr>
                <w:rFonts w:hint="eastAsia"/>
                <w:b/>
                <w:bCs/>
                <w:color w:val="auto"/>
                <w:u w:val="single"/>
                <w:vertAlign w:val="superscript"/>
              </w:rPr>
              <w:t>3</w:t>
            </w:r>
            <w:r>
              <w:rPr>
                <w:b/>
                <w:bCs/>
                <w:color w:val="auto"/>
                <w:spacing w:val="-10"/>
                <w:kern w:val="21"/>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601" w:type="dxa"/>
            <w:gridSpan w:val="10"/>
            <w:vAlign w:val="center"/>
          </w:tcPr>
          <w:p>
            <w:pPr>
              <w:adjustRightInd w:val="0"/>
              <w:snapToGrid w:val="0"/>
              <w:jc w:val="center"/>
              <w:rPr>
                <w:bCs/>
                <w:snapToGrid w:val="0"/>
                <w:color w:val="auto"/>
                <w:kern w:val="21"/>
              </w:rPr>
            </w:pPr>
            <w:r>
              <w:rPr>
                <w:bCs/>
                <w:snapToGrid w:val="0"/>
                <w:color w:val="auto"/>
                <w:kern w:val="21"/>
              </w:rPr>
              <w:t>注：“□”  为勾选项，填“√”；“（）”为内容填写项</w:t>
            </w:r>
          </w:p>
        </w:tc>
      </w:tr>
    </w:tbl>
    <w:p>
      <w:pPr>
        <w:pStyle w:val="4"/>
        <w:spacing w:before="120" w:after="120"/>
        <w:rPr>
          <w:rStyle w:val="465"/>
          <w:b w:val="0"/>
          <w:color w:val="auto"/>
        </w:rPr>
      </w:pPr>
      <w:bookmarkStart w:id="333" w:name="_Toc112338949"/>
      <w:bookmarkStart w:id="334" w:name="_Toc58828277"/>
      <w:r>
        <w:rPr>
          <w:rStyle w:val="465"/>
          <w:color w:val="auto"/>
        </w:rPr>
        <w:t>5.2地表水环境影响分析</w:t>
      </w:r>
      <w:bookmarkEnd w:id="305"/>
      <w:bookmarkEnd w:id="306"/>
      <w:bookmarkEnd w:id="307"/>
      <w:bookmarkEnd w:id="308"/>
      <w:bookmarkEnd w:id="309"/>
      <w:bookmarkEnd w:id="333"/>
      <w:bookmarkEnd w:id="334"/>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5.2.1项目废水排放情况</w:t>
      </w:r>
    </w:p>
    <w:p>
      <w:pPr>
        <w:adjustRightInd w:val="0"/>
        <w:snapToGrid w:val="0"/>
        <w:spacing w:line="360" w:lineRule="auto"/>
        <w:ind w:firstLine="480" w:firstLineChars="200"/>
        <w:rPr>
          <w:color w:val="auto"/>
          <w:kern w:val="21"/>
          <w:sz w:val="24"/>
          <w:szCs w:val="24"/>
        </w:rPr>
      </w:pPr>
      <w:r>
        <w:rPr>
          <w:rFonts w:ascii="宋体" w:hAnsi="宋体" w:cs="宋体"/>
          <w:color w:val="auto"/>
          <w:kern w:val="0"/>
          <w:sz w:val="24"/>
          <w:szCs w:val="24"/>
          <w:lang w:val="zh-CN" w:bidi="zh-CN"/>
        </w:rPr>
        <w:t>本项目建设</w:t>
      </w:r>
      <w:r>
        <w:rPr>
          <w:rFonts w:hint="eastAsia" w:ascii="宋体" w:hAnsi="宋体" w:cs="宋体"/>
          <w:color w:val="auto"/>
          <w:kern w:val="0"/>
          <w:sz w:val="24"/>
          <w:szCs w:val="24"/>
          <w:lang w:val="en-US" w:bidi="zh-CN"/>
        </w:rPr>
        <w:t>1座</w:t>
      </w:r>
      <w:r>
        <w:rPr>
          <w:rFonts w:hint="eastAsia" w:hAnsi="宋体" w:cs="宋体"/>
          <w:color w:val="auto"/>
          <w:kern w:val="0"/>
          <w:sz w:val="24"/>
          <w:szCs w:val="24"/>
          <w:lang w:val="zh-CN" w:bidi="zh-CN"/>
        </w:rPr>
        <w:t>450m</w:t>
      </w:r>
      <w:r>
        <w:rPr>
          <w:rFonts w:hint="eastAsia" w:hAnsi="宋体" w:cs="宋体"/>
          <w:color w:val="auto"/>
          <w:kern w:val="0"/>
          <w:sz w:val="24"/>
          <w:szCs w:val="24"/>
          <w:vertAlign w:val="superscript"/>
          <w:lang w:val="zh-CN" w:bidi="zh-CN"/>
        </w:rPr>
        <w:t>3</w:t>
      </w:r>
      <w:r>
        <w:rPr>
          <w:rFonts w:hint="eastAsia" w:hAnsi="宋体" w:cs="宋体"/>
          <w:color w:val="auto"/>
          <w:kern w:val="0"/>
          <w:sz w:val="24"/>
          <w:szCs w:val="24"/>
          <w:lang w:val="zh-CN" w:bidi="zh-CN"/>
        </w:rPr>
        <w:t>/d</w:t>
      </w:r>
      <w:r>
        <w:rPr>
          <w:rFonts w:ascii="宋体" w:hAnsi="宋体" w:cs="宋体"/>
          <w:color w:val="auto"/>
          <w:kern w:val="0"/>
          <w:sz w:val="24"/>
          <w:szCs w:val="24"/>
          <w:lang w:val="zh-CN" w:bidi="zh-CN"/>
        </w:rPr>
        <w:t>的污水处理</w:t>
      </w:r>
      <w:r>
        <w:rPr>
          <w:color w:val="auto"/>
          <w:kern w:val="21"/>
          <w:sz w:val="24"/>
        </w:rPr>
        <w:t>站，</w:t>
      </w:r>
      <w:r>
        <w:rPr>
          <w:color w:val="auto"/>
          <w:kern w:val="21"/>
          <w:sz w:val="24"/>
          <w:szCs w:val="24"/>
        </w:rPr>
        <w:t>含镍废水进入含镍废水预处理系统（</w:t>
      </w:r>
      <w:r>
        <w:rPr>
          <w:rFonts w:hint="eastAsia"/>
          <w:color w:val="auto"/>
          <w:kern w:val="21"/>
          <w:sz w:val="24"/>
          <w:szCs w:val="24"/>
        </w:rPr>
        <w:t>pH调节→混凝沉淀→回调→多介质过滤</w:t>
      </w:r>
      <w:r>
        <w:rPr>
          <w:color w:val="auto"/>
          <w:kern w:val="21"/>
          <w:sz w:val="24"/>
          <w:szCs w:val="24"/>
        </w:rPr>
        <w:t>）；含锌废水进入含锌废水预处理系统（</w:t>
      </w:r>
      <w:r>
        <w:rPr>
          <w:rFonts w:hint="eastAsia"/>
          <w:color w:val="auto"/>
          <w:kern w:val="21"/>
          <w:sz w:val="24"/>
          <w:szCs w:val="24"/>
        </w:rPr>
        <w:t>pH调节→混凝沉淀→回调→多介质过滤</w:t>
      </w:r>
      <w:r>
        <w:rPr>
          <w:color w:val="auto"/>
          <w:kern w:val="21"/>
          <w:sz w:val="24"/>
          <w:szCs w:val="24"/>
        </w:rPr>
        <w:t>）；含铬废水进入含铬废水预处理系统（</w:t>
      </w:r>
      <w:r>
        <w:rPr>
          <w:rFonts w:hint="eastAsia"/>
          <w:color w:val="auto"/>
          <w:kern w:val="21"/>
          <w:sz w:val="24"/>
          <w:szCs w:val="24"/>
        </w:rPr>
        <w:t>还原→pH调节→混凝沉淀→回调→多介质过滤</w:t>
      </w:r>
      <w:r>
        <w:rPr>
          <w:color w:val="auto"/>
          <w:kern w:val="21"/>
          <w:sz w:val="24"/>
          <w:szCs w:val="24"/>
        </w:rPr>
        <w:t>）；地面清洗废水进入地面清洗废水预处理系统（</w:t>
      </w:r>
      <w:r>
        <w:rPr>
          <w:rFonts w:hint="eastAsia"/>
          <w:color w:val="auto"/>
          <w:kern w:val="21"/>
          <w:sz w:val="24"/>
          <w:szCs w:val="24"/>
        </w:rPr>
        <w:t>氧化→pH调节→混凝沉淀→还原→混凝沉淀→回调→多介质过滤</w:t>
      </w:r>
      <w:r>
        <w:rPr>
          <w:color w:val="auto"/>
          <w:kern w:val="21"/>
          <w:sz w:val="24"/>
          <w:szCs w:val="24"/>
        </w:rPr>
        <w:t>）；</w:t>
      </w:r>
      <w:r>
        <w:rPr>
          <w:rFonts w:hint="eastAsia"/>
          <w:color w:val="auto"/>
          <w:kern w:val="21"/>
          <w:sz w:val="24"/>
        </w:rPr>
        <w:t>含油废水进入含油废水预处理系统（经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→混凝→气浮）预处理后，再与酸性废水一同进入酸性废水预处理系统（pH调节→混凝沉淀→回调→多介质过滤）。</w:t>
      </w:r>
    </w:p>
    <w:p>
      <w:pPr>
        <w:adjustRightInd w:val="0"/>
        <w:snapToGrid w:val="0"/>
        <w:spacing w:line="360" w:lineRule="auto"/>
        <w:ind w:firstLine="480" w:firstLineChars="200"/>
        <w:rPr>
          <w:color w:val="auto"/>
          <w:kern w:val="21"/>
          <w:sz w:val="24"/>
          <w:szCs w:val="24"/>
        </w:rPr>
      </w:pPr>
      <w:r>
        <w:rPr>
          <w:color w:val="auto"/>
          <w:kern w:val="21"/>
          <w:sz w:val="24"/>
          <w:szCs w:val="24"/>
        </w:rPr>
        <w:t>经预处理后的各股废水一</w:t>
      </w:r>
      <w:r>
        <w:rPr>
          <w:rFonts w:hint="eastAsia"/>
          <w:color w:val="auto"/>
          <w:kern w:val="21"/>
          <w:sz w:val="24"/>
          <w:szCs w:val="24"/>
          <w:lang w:eastAsia="zh-CN"/>
        </w:rPr>
        <w:t>同</w:t>
      </w:r>
      <w:r>
        <w:rPr>
          <w:color w:val="auto"/>
          <w:kern w:val="21"/>
          <w:sz w:val="24"/>
          <w:szCs w:val="24"/>
        </w:rPr>
        <w:t>进入零排放处理系统</w:t>
      </w:r>
      <w:r>
        <w:rPr>
          <w:rFonts w:hint="eastAsia"/>
          <w:color w:val="auto"/>
          <w:kern w:val="21"/>
          <w:sz w:val="24"/>
          <w:szCs w:val="24"/>
          <w:lang w:eastAsia="zh-CN"/>
        </w:rPr>
        <w:t>（</w:t>
      </w:r>
      <w:r>
        <w:rPr>
          <w:rFonts w:hint="eastAsia"/>
          <w:color w:val="auto"/>
          <w:sz w:val="24"/>
        </w:rPr>
        <w:t>A</w:t>
      </w:r>
      <w:r>
        <w:rPr>
          <w:rFonts w:hint="eastAsia"/>
          <w:color w:val="auto"/>
          <w:sz w:val="24"/>
          <w:vertAlign w:val="superscript"/>
        </w:rPr>
        <w:t>2</w:t>
      </w:r>
      <w:r>
        <w:rPr>
          <w:color w:val="auto"/>
          <w:sz w:val="24"/>
        </w:rPr>
        <w:t>/O</w:t>
      </w:r>
      <w:r>
        <w:rPr>
          <w:rFonts w:hint="eastAsia"/>
          <w:color w:val="auto"/>
          <w:sz w:val="24"/>
        </w:rPr>
        <w:t>→</w:t>
      </w:r>
      <w:r>
        <w:rPr>
          <w:color w:val="auto"/>
          <w:sz w:val="24"/>
        </w:rPr>
        <w:t>MBR</w:t>
      </w:r>
      <w:r>
        <w:rPr>
          <w:rFonts w:hint="eastAsia"/>
          <w:color w:val="auto"/>
          <w:sz w:val="24"/>
        </w:rPr>
        <w:t>→两级E</w:t>
      </w:r>
      <w:r>
        <w:rPr>
          <w:color w:val="auto"/>
          <w:sz w:val="24"/>
        </w:rPr>
        <w:t>CRO</w:t>
      </w:r>
      <w:r>
        <w:rPr>
          <w:rFonts w:hint="eastAsia"/>
          <w:color w:val="auto"/>
          <w:sz w:val="24"/>
        </w:rPr>
        <w:t>→</w:t>
      </w:r>
      <w:r>
        <w:rPr>
          <w:color w:val="auto"/>
          <w:sz w:val="24"/>
        </w:rPr>
        <w:t>DTRO</w:t>
      </w:r>
      <w:r>
        <w:rPr>
          <w:rFonts w:hint="eastAsia"/>
          <w:color w:val="auto"/>
          <w:sz w:val="24"/>
        </w:rPr>
        <w:t>→二级RO→MVR蒸发</w:t>
      </w:r>
      <w:r>
        <w:rPr>
          <w:rFonts w:hint="eastAsia"/>
          <w:color w:val="auto"/>
          <w:sz w:val="24"/>
          <w:lang w:eastAsia="zh-CN"/>
        </w:rPr>
        <w:t>）</w:t>
      </w:r>
      <w:r>
        <w:rPr>
          <w:rFonts w:hint="eastAsia"/>
          <w:color w:val="auto"/>
          <w:sz w:val="24"/>
        </w:rPr>
        <w:t>进行</w:t>
      </w:r>
      <w:r>
        <w:rPr>
          <w:rFonts w:hint="eastAsia"/>
          <w:color w:val="auto"/>
          <w:sz w:val="24"/>
          <w:lang w:eastAsia="zh-CN"/>
        </w:rPr>
        <w:t>深度</w:t>
      </w:r>
      <w:r>
        <w:rPr>
          <w:rFonts w:hint="eastAsia"/>
          <w:color w:val="auto"/>
          <w:kern w:val="21"/>
          <w:sz w:val="24"/>
        </w:rPr>
        <w:t>处理</w:t>
      </w:r>
      <w:r>
        <w:rPr>
          <w:color w:val="auto"/>
          <w:kern w:val="21"/>
          <w:sz w:val="24"/>
          <w:szCs w:val="24"/>
        </w:rPr>
        <w:t>，</w:t>
      </w:r>
      <w:r>
        <w:rPr>
          <w:rFonts w:hint="eastAsia"/>
          <w:color w:val="auto"/>
          <w:kern w:val="21"/>
          <w:sz w:val="24"/>
          <w:szCs w:val="24"/>
          <w:lang w:eastAsia="zh-CN"/>
        </w:rPr>
        <w:t>深度处理后全部回用于生产线</w:t>
      </w:r>
      <w:r>
        <w:rPr>
          <w:color w:val="auto"/>
          <w:kern w:val="21"/>
          <w:sz w:val="24"/>
          <w:szCs w:val="24"/>
        </w:rPr>
        <w:t>，结晶盐</w:t>
      </w:r>
      <w:r>
        <w:rPr>
          <w:rFonts w:hint="eastAsia"/>
          <w:color w:val="auto"/>
          <w:kern w:val="21"/>
          <w:sz w:val="24"/>
          <w:szCs w:val="24"/>
          <w:lang w:eastAsia="zh-CN"/>
        </w:rPr>
        <w:t>作为</w:t>
      </w:r>
      <w:r>
        <w:rPr>
          <w:color w:val="auto"/>
          <w:kern w:val="21"/>
          <w:sz w:val="24"/>
          <w:szCs w:val="24"/>
        </w:rPr>
        <w:t>危废处置。</w:t>
      </w:r>
    </w:p>
    <w:p>
      <w:pPr>
        <w:adjustRightInd w:val="0"/>
        <w:snapToGrid w:val="0"/>
        <w:spacing w:line="360" w:lineRule="auto"/>
        <w:ind w:firstLine="480" w:firstLineChars="200"/>
        <w:jc w:val="both"/>
        <w:rPr>
          <w:color w:val="auto"/>
          <w:kern w:val="21"/>
          <w:sz w:val="24"/>
          <w:szCs w:val="24"/>
          <w:lang w:val="zh-CN"/>
        </w:rPr>
      </w:pPr>
      <w:r>
        <w:rPr>
          <w:color w:val="auto"/>
          <w:kern w:val="21"/>
          <w:sz w:val="24"/>
          <w:szCs w:val="24"/>
        </w:rPr>
        <w:t>纯水制备浓水、锅炉</w:t>
      </w:r>
      <w:r>
        <w:rPr>
          <w:rFonts w:hint="eastAsia"/>
          <w:color w:val="auto"/>
          <w:kern w:val="21"/>
          <w:sz w:val="24"/>
          <w:szCs w:val="24"/>
          <w:lang w:eastAsia="zh-CN"/>
        </w:rPr>
        <w:t>浓</w:t>
      </w:r>
      <w:r>
        <w:rPr>
          <w:color w:val="auto"/>
          <w:kern w:val="21"/>
          <w:sz w:val="24"/>
          <w:szCs w:val="24"/>
        </w:rPr>
        <w:t>水及生活污水经市政管网</w:t>
      </w:r>
      <w:r>
        <w:rPr>
          <w:rFonts w:hint="eastAsia"/>
          <w:color w:val="auto"/>
          <w:kern w:val="21"/>
          <w:sz w:val="24"/>
          <w:szCs w:val="24"/>
        </w:rPr>
        <w:t>排入同盟污水处理厂，</w:t>
      </w:r>
      <w:r>
        <w:rPr>
          <w:color w:val="auto"/>
          <w:kern w:val="21"/>
          <w:sz w:val="24"/>
          <w:szCs w:val="24"/>
        </w:rPr>
        <w:t>经同盟污水处理厂处理后</w:t>
      </w:r>
      <w:r>
        <w:rPr>
          <w:color w:val="auto"/>
          <w:kern w:val="21"/>
          <w:sz w:val="24"/>
          <w:szCs w:val="24"/>
          <w:lang w:val="zh-CN"/>
        </w:rPr>
        <w:t>排入</w:t>
      </w:r>
      <w:r>
        <w:rPr>
          <w:color w:val="auto"/>
          <w:kern w:val="21"/>
          <w:sz w:val="24"/>
          <w:szCs w:val="24"/>
        </w:rPr>
        <w:t>共产主义渠</w:t>
      </w:r>
      <w:r>
        <w:rPr>
          <w:color w:val="auto"/>
          <w:kern w:val="21"/>
          <w:sz w:val="24"/>
          <w:lang w:val="zh-CN"/>
        </w:rPr>
        <w:t>。</w:t>
      </w:r>
      <w:r>
        <w:rPr>
          <w:bCs/>
          <w:color w:val="auto"/>
          <w:kern w:val="21"/>
          <w:sz w:val="24"/>
          <w:szCs w:val="24"/>
          <w:lang w:val="zh-CN"/>
        </w:rPr>
        <w:t>本项目运营期</w:t>
      </w:r>
      <w:r>
        <w:rPr>
          <w:color w:val="auto"/>
          <w:kern w:val="21"/>
          <w:sz w:val="24"/>
        </w:rPr>
        <w:t>厂区总排口废水量</w:t>
      </w:r>
      <w:r>
        <w:rPr>
          <w:rFonts w:hint="eastAsia"/>
          <w:color w:val="auto"/>
          <w:kern w:val="21"/>
          <w:sz w:val="24"/>
          <w:lang w:eastAsia="zh-CN"/>
        </w:rPr>
        <w:t>为</w:t>
      </w:r>
      <w:r>
        <w:rPr>
          <w:rFonts w:hint="eastAsia"/>
          <w:color w:val="auto"/>
          <w:kern w:val="21"/>
          <w:sz w:val="24"/>
        </w:rPr>
        <w:t>39.5063</w:t>
      </w:r>
      <w:r>
        <w:rPr>
          <w:color w:val="auto"/>
          <w:kern w:val="21"/>
          <w:sz w:val="24"/>
        </w:rPr>
        <w:t>m</w:t>
      </w:r>
      <w:r>
        <w:rPr>
          <w:rFonts w:hint="eastAsia"/>
          <w:color w:val="auto"/>
          <w:kern w:val="21"/>
          <w:sz w:val="24"/>
          <w:vertAlign w:val="superscript"/>
        </w:rPr>
        <w:t>3</w:t>
      </w:r>
      <w:r>
        <w:rPr>
          <w:color w:val="auto"/>
          <w:kern w:val="21"/>
          <w:sz w:val="24"/>
        </w:rPr>
        <w:t>/d，废水中污染物排放浓度分别为</w:t>
      </w:r>
      <w:r>
        <w:rPr>
          <w:snapToGrid w:val="0"/>
          <w:color w:val="auto"/>
          <w:kern w:val="21"/>
          <w:sz w:val="24"/>
        </w:rPr>
        <w:t xml:space="preserve">COD </w:t>
      </w:r>
      <w:r>
        <w:rPr>
          <w:rFonts w:hint="eastAsia"/>
          <w:snapToGrid w:val="0"/>
          <w:color w:val="auto"/>
          <w:kern w:val="21"/>
          <w:sz w:val="24"/>
        </w:rPr>
        <w:t>70.85mg/L</w:t>
      </w:r>
      <w:r>
        <w:rPr>
          <w:rFonts w:hint="eastAsia"/>
          <w:snapToGrid w:val="0"/>
          <w:color w:val="auto"/>
          <w:kern w:val="21"/>
          <w:sz w:val="24"/>
          <w:lang w:eastAsia="zh-CN"/>
        </w:rPr>
        <w:t>、</w:t>
      </w:r>
      <w:r>
        <w:rPr>
          <w:snapToGrid w:val="0"/>
          <w:color w:val="auto"/>
          <w:kern w:val="21"/>
          <w:sz w:val="24"/>
        </w:rPr>
        <w:t>NH</w:t>
      </w:r>
      <w:r>
        <w:rPr>
          <w:snapToGrid w:val="0"/>
          <w:color w:val="auto"/>
          <w:kern w:val="21"/>
          <w:sz w:val="24"/>
          <w:vertAlign w:val="subscript"/>
        </w:rPr>
        <w:t>3</w:t>
      </w:r>
      <w:r>
        <w:rPr>
          <w:snapToGrid w:val="0"/>
          <w:color w:val="auto"/>
          <w:kern w:val="21"/>
          <w:sz w:val="24"/>
        </w:rPr>
        <w:t>-N</w:t>
      </w:r>
      <w:r>
        <w:rPr>
          <w:rFonts w:hint="eastAsia"/>
          <w:snapToGrid w:val="0"/>
          <w:color w:val="auto"/>
          <w:kern w:val="21"/>
          <w:sz w:val="24"/>
        </w:rPr>
        <w:t>3.42</w:t>
      </w:r>
      <w:r>
        <w:rPr>
          <w:snapToGrid w:val="0"/>
          <w:color w:val="auto"/>
          <w:kern w:val="21"/>
          <w:sz w:val="24"/>
        </w:rPr>
        <w:t>mg/L</w:t>
      </w:r>
      <w:r>
        <w:rPr>
          <w:color w:val="auto"/>
          <w:kern w:val="21"/>
          <w:sz w:val="24"/>
        </w:rPr>
        <w:t>、TP</w:t>
      </w:r>
      <w:r>
        <w:rPr>
          <w:rFonts w:hint="eastAsia"/>
          <w:color w:val="auto"/>
          <w:kern w:val="21"/>
          <w:sz w:val="24"/>
        </w:rPr>
        <w:t>0.34</w:t>
      </w:r>
      <w:r>
        <w:rPr>
          <w:color w:val="auto"/>
          <w:kern w:val="21"/>
          <w:sz w:val="24"/>
        </w:rPr>
        <w:t>mg/L、TN</w:t>
      </w:r>
      <w:r>
        <w:rPr>
          <w:rFonts w:hint="eastAsia"/>
          <w:color w:val="auto"/>
          <w:kern w:val="21"/>
          <w:sz w:val="24"/>
        </w:rPr>
        <w:t>5.47</w:t>
      </w:r>
      <w:r>
        <w:rPr>
          <w:color w:val="auto"/>
          <w:kern w:val="21"/>
          <w:sz w:val="24"/>
        </w:rPr>
        <w:t>mg/L、</w:t>
      </w:r>
      <w:r>
        <w:rPr>
          <w:rFonts w:hint="eastAsia"/>
          <w:bCs/>
          <w:color w:val="auto"/>
          <w:kern w:val="21"/>
          <w:sz w:val="24"/>
        </w:rPr>
        <w:t>SS</w:t>
      </w:r>
      <w:r>
        <w:rPr>
          <w:rFonts w:hint="eastAsia"/>
          <w:color w:val="auto"/>
          <w:kern w:val="21"/>
          <w:sz w:val="24"/>
          <w:lang w:bidi="ar"/>
        </w:rPr>
        <w:t>64.22</w:t>
      </w:r>
      <w:r>
        <w:rPr>
          <w:color w:val="auto"/>
          <w:kern w:val="21"/>
          <w:sz w:val="24"/>
        </w:rPr>
        <w:t>mg/L</w:t>
      </w:r>
      <w:r>
        <w:rPr>
          <w:rFonts w:hint="eastAsia"/>
          <w:color w:val="auto"/>
          <w:kern w:val="21"/>
          <w:sz w:val="24"/>
        </w:rPr>
        <w:t>，可满足同盟污水处理厂收水水质标准</w:t>
      </w:r>
      <w:r>
        <w:rPr>
          <w:bCs/>
          <w:color w:val="auto"/>
          <w:kern w:val="21"/>
          <w:sz w:val="24"/>
          <w:szCs w:val="24"/>
          <w:lang w:val="zh-CN"/>
        </w:rPr>
        <w:t>。</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5.2.2评价等级</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根据《环境影响评价技术导则-地表水环境》（HJ2.3-2018），直接排放的建设项目评价等级分为一级、二级和三级</w:t>
      </w:r>
      <w:r>
        <w:rPr>
          <w:rFonts w:eastAsia="Times New Roman"/>
          <w:color w:val="auto"/>
          <w:kern w:val="0"/>
          <w:sz w:val="24"/>
          <w:szCs w:val="20"/>
        </w:rPr>
        <w:t>A</w:t>
      </w:r>
      <w:r>
        <w:rPr>
          <w:color w:val="auto"/>
          <w:kern w:val="0"/>
          <w:sz w:val="24"/>
          <w:szCs w:val="20"/>
        </w:rPr>
        <w:t>，间接排放的建设项目评价等级为三级</w:t>
      </w:r>
      <w:r>
        <w:rPr>
          <w:rFonts w:eastAsia="Times New Roman"/>
          <w:color w:val="auto"/>
          <w:kern w:val="0"/>
          <w:sz w:val="24"/>
          <w:szCs w:val="20"/>
        </w:rPr>
        <w:t>B</w:t>
      </w:r>
      <w:r>
        <w:rPr>
          <w:color w:val="auto"/>
          <w:kern w:val="0"/>
          <w:sz w:val="24"/>
          <w:szCs w:val="20"/>
        </w:rPr>
        <w:t>。本项目废水经厂区污水处理站处理达标后进入获嘉县同盟污水处理厂，因此属于间接排放，评价等级为三级B。</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5.2.3同盟污水处理厂概况</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同盟污水处理厂</w:t>
      </w:r>
      <w:r>
        <w:rPr>
          <w:color w:val="auto"/>
          <w:kern w:val="0"/>
          <w:sz w:val="24"/>
          <w:szCs w:val="24"/>
        </w:rPr>
        <w:t>位于获嘉县城东4km、彦当桥北450m处，采用奥贝尔氧化沟处理工艺，主要处理新月铁路以北的县城生活商业污水和获嘉县产业集聚区东区工业废水，收水范围约11.28km</w:t>
      </w:r>
      <w:r>
        <w:rPr>
          <w:color w:val="auto"/>
          <w:kern w:val="0"/>
          <w:sz w:val="24"/>
          <w:szCs w:val="24"/>
          <w:vertAlign w:val="superscript"/>
        </w:rPr>
        <w:t>2</w:t>
      </w:r>
      <w:r>
        <w:rPr>
          <w:color w:val="auto"/>
          <w:kern w:val="0"/>
          <w:sz w:val="24"/>
          <w:szCs w:val="24"/>
        </w:rPr>
        <w:t>，污水处理规模6万</w:t>
      </w:r>
      <w:r>
        <w:rPr>
          <w:color w:val="auto"/>
          <w:kern w:val="0"/>
          <w:sz w:val="24"/>
          <w:szCs w:val="20"/>
        </w:rPr>
        <w:t>m</w:t>
      </w:r>
      <w:r>
        <w:rPr>
          <w:color w:val="auto"/>
          <w:kern w:val="0"/>
          <w:sz w:val="24"/>
          <w:szCs w:val="20"/>
          <w:vertAlign w:val="superscript"/>
        </w:rPr>
        <w:t>3</w:t>
      </w:r>
      <w:r>
        <w:rPr>
          <w:color w:val="auto"/>
          <w:kern w:val="0"/>
          <w:sz w:val="24"/>
          <w:szCs w:val="20"/>
        </w:rPr>
        <w:t>/d，其中一期</w:t>
      </w:r>
      <w:r>
        <w:rPr>
          <w:color w:val="auto"/>
          <w:kern w:val="0"/>
          <w:sz w:val="24"/>
          <w:szCs w:val="24"/>
        </w:rPr>
        <w:t>3万</w:t>
      </w:r>
      <w:r>
        <w:rPr>
          <w:color w:val="auto"/>
          <w:kern w:val="0"/>
          <w:sz w:val="24"/>
          <w:szCs w:val="20"/>
        </w:rPr>
        <w:t>m</w:t>
      </w:r>
      <w:r>
        <w:rPr>
          <w:color w:val="auto"/>
          <w:kern w:val="0"/>
          <w:sz w:val="24"/>
          <w:szCs w:val="20"/>
          <w:vertAlign w:val="superscript"/>
        </w:rPr>
        <w:t>3</w:t>
      </w:r>
      <w:r>
        <w:rPr>
          <w:color w:val="auto"/>
          <w:kern w:val="0"/>
          <w:sz w:val="24"/>
          <w:szCs w:val="20"/>
        </w:rPr>
        <w:t>/d，二期建设规模3万m</w:t>
      </w:r>
      <w:r>
        <w:rPr>
          <w:color w:val="auto"/>
          <w:kern w:val="0"/>
          <w:sz w:val="24"/>
          <w:szCs w:val="20"/>
          <w:vertAlign w:val="superscript"/>
        </w:rPr>
        <w:t>3</w:t>
      </w:r>
      <w:r>
        <w:rPr>
          <w:color w:val="auto"/>
          <w:kern w:val="0"/>
          <w:sz w:val="24"/>
          <w:szCs w:val="20"/>
        </w:rPr>
        <w:t>/d。二期工程于2020年11月完成自主验收，设备设施完善，运行情况良好</w:t>
      </w:r>
      <w:r>
        <w:rPr>
          <w:rFonts w:hint="eastAsia"/>
          <w:color w:val="auto"/>
          <w:kern w:val="0"/>
          <w:sz w:val="24"/>
          <w:szCs w:val="20"/>
        </w:rPr>
        <w:t>。</w:t>
      </w:r>
    </w:p>
    <w:p>
      <w:pPr>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进水水质要求为：pH 6~9、COD≤350mg/L、BOD</w:t>
      </w:r>
      <w:r>
        <w:rPr>
          <w:color w:val="auto"/>
          <w:kern w:val="0"/>
          <w:sz w:val="24"/>
          <w:szCs w:val="20"/>
          <w:vertAlign w:val="subscript"/>
        </w:rPr>
        <w:t>5</w:t>
      </w:r>
      <w:r>
        <w:rPr>
          <w:color w:val="auto"/>
          <w:kern w:val="0"/>
          <w:sz w:val="24"/>
          <w:szCs w:val="20"/>
        </w:rPr>
        <w:t>≤140mg/L、氨氮≤35mg/L、SS≤230mg/L、总磷≤</w:t>
      </w:r>
      <w:r>
        <w:rPr>
          <w:rFonts w:hint="eastAsia"/>
          <w:color w:val="auto"/>
          <w:kern w:val="0"/>
          <w:sz w:val="24"/>
          <w:szCs w:val="20"/>
        </w:rPr>
        <w:t>3.5</w:t>
      </w:r>
      <w:r>
        <w:rPr>
          <w:color w:val="auto"/>
          <w:kern w:val="0"/>
          <w:sz w:val="24"/>
          <w:szCs w:val="20"/>
        </w:rPr>
        <w:t>mg/L</w:t>
      </w:r>
      <w:r>
        <w:rPr>
          <w:rFonts w:hint="eastAsia"/>
          <w:color w:val="auto"/>
          <w:kern w:val="0"/>
          <w:sz w:val="24"/>
          <w:szCs w:val="20"/>
        </w:rPr>
        <w:t>、总氮50</w:t>
      </w:r>
      <w:r>
        <w:rPr>
          <w:color w:val="auto"/>
          <w:kern w:val="0"/>
          <w:sz w:val="24"/>
          <w:szCs w:val="20"/>
        </w:rPr>
        <w:t>mg/L。出水水质执行</w:t>
      </w:r>
      <w:r>
        <w:rPr>
          <w:bCs/>
          <w:color w:val="auto"/>
          <w:kern w:val="0"/>
          <w:sz w:val="24"/>
          <w:szCs w:val="20"/>
          <w:lang w:bidi="zh-CN"/>
        </w:rPr>
        <w:t>《地表水环境质量标准》（GB3838-2002）</w:t>
      </w:r>
      <w:r>
        <w:rPr>
          <w:bCs/>
          <w:color w:val="auto"/>
          <w:kern w:val="0"/>
          <w:sz w:val="24"/>
          <w:szCs w:val="20"/>
          <w:lang w:bidi="zh-CN"/>
        </w:rPr>
        <w:fldChar w:fldCharType="begin"/>
      </w:r>
      <w:r>
        <w:rPr>
          <w:bCs/>
          <w:color w:val="auto"/>
          <w:kern w:val="0"/>
          <w:sz w:val="24"/>
          <w:szCs w:val="20"/>
          <w:lang w:bidi="zh-CN"/>
        </w:rPr>
        <w:instrText xml:space="preserve"> = 4 \* ROMAN \* MERGEFORMAT </w:instrText>
      </w:r>
      <w:r>
        <w:rPr>
          <w:bCs/>
          <w:color w:val="auto"/>
          <w:kern w:val="0"/>
          <w:sz w:val="24"/>
          <w:szCs w:val="20"/>
          <w:lang w:bidi="zh-CN"/>
        </w:rPr>
        <w:fldChar w:fldCharType="separate"/>
      </w:r>
      <w:r>
        <w:rPr>
          <w:color w:val="auto"/>
        </w:rPr>
        <w:t>IV</w:t>
      </w:r>
      <w:r>
        <w:rPr>
          <w:bCs/>
          <w:color w:val="auto"/>
          <w:kern w:val="0"/>
          <w:sz w:val="24"/>
          <w:szCs w:val="20"/>
          <w:lang w:bidi="zh-CN"/>
        </w:rPr>
        <w:fldChar w:fldCharType="end"/>
      </w:r>
      <w:r>
        <w:rPr>
          <w:bCs/>
          <w:color w:val="auto"/>
          <w:kern w:val="0"/>
          <w:sz w:val="24"/>
          <w:szCs w:val="20"/>
          <w:lang w:bidi="zh-CN"/>
        </w:rPr>
        <w:t>类标准及</w:t>
      </w:r>
      <w:r>
        <w:rPr>
          <w:color w:val="auto"/>
          <w:kern w:val="0"/>
          <w:sz w:val="24"/>
          <w:szCs w:val="20"/>
        </w:rPr>
        <w:t>《城镇污水处理厂污染物排放标准》（GB18918-2002）表1一级A的要求。其中</w:t>
      </w:r>
      <w:r>
        <w:rPr>
          <w:bCs/>
          <w:color w:val="auto"/>
          <w:kern w:val="0"/>
          <w:sz w:val="24"/>
          <w:szCs w:val="20"/>
        </w:rPr>
        <w:t>COD、NH</w:t>
      </w:r>
      <w:r>
        <w:rPr>
          <w:bCs/>
          <w:color w:val="auto"/>
          <w:kern w:val="0"/>
          <w:sz w:val="24"/>
          <w:szCs w:val="20"/>
          <w:vertAlign w:val="subscript"/>
        </w:rPr>
        <w:t>3</w:t>
      </w:r>
      <w:r>
        <w:rPr>
          <w:bCs/>
          <w:color w:val="auto"/>
          <w:kern w:val="0"/>
          <w:sz w:val="24"/>
          <w:szCs w:val="20"/>
        </w:rPr>
        <w:t>-N、TP执行</w:t>
      </w:r>
      <w:r>
        <w:rPr>
          <w:bCs/>
          <w:color w:val="auto"/>
          <w:kern w:val="0"/>
          <w:sz w:val="24"/>
          <w:szCs w:val="20"/>
          <w:lang w:bidi="zh-CN"/>
        </w:rPr>
        <w:t>《地表水环境质量标准》（GB3838-2002）</w:t>
      </w:r>
      <w:r>
        <w:rPr>
          <w:bCs/>
          <w:color w:val="auto"/>
          <w:kern w:val="0"/>
          <w:sz w:val="24"/>
          <w:szCs w:val="20"/>
          <w:lang w:bidi="zh-CN"/>
        </w:rPr>
        <w:fldChar w:fldCharType="begin"/>
      </w:r>
      <w:r>
        <w:rPr>
          <w:bCs/>
          <w:color w:val="auto"/>
          <w:kern w:val="0"/>
          <w:sz w:val="24"/>
          <w:szCs w:val="20"/>
          <w:lang w:bidi="zh-CN"/>
        </w:rPr>
        <w:instrText xml:space="preserve"> = 4 \* ROMAN \* MERGEFORMAT </w:instrText>
      </w:r>
      <w:r>
        <w:rPr>
          <w:bCs/>
          <w:color w:val="auto"/>
          <w:kern w:val="0"/>
          <w:sz w:val="24"/>
          <w:szCs w:val="20"/>
          <w:lang w:bidi="zh-CN"/>
        </w:rPr>
        <w:fldChar w:fldCharType="separate"/>
      </w:r>
      <w:r>
        <w:rPr>
          <w:color w:val="auto"/>
        </w:rPr>
        <w:t>IV</w:t>
      </w:r>
      <w:r>
        <w:rPr>
          <w:bCs/>
          <w:color w:val="auto"/>
          <w:kern w:val="0"/>
          <w:sz w:val="24"/>
          <w:szCs w:val="20"/>
          <w:lang w:bidi="zh-CN"/>
        </w:rPr>
        <w:fldChar w:fldCharType="end"/>
      </w:r>
      <w:r>
        <w:rPr>
          <w:bCs/>
          <w:color w:val="auto"/>
          <w:kern w:val="0"/>
          <w:sz w:val="24"/>
          <w:szCs w:val="20"/>
          <w:lang w:bidi="zh-CN"/>
        </w:rPr>
        <w:t>类标准，即</w:t>
      </w:r>
      <w:r>
        <w:rPr>
          <w:bCs/>
          <w:color w:val="auto"/>
          <w:kern w:val="0"/>
          <w:sz w:val="24"/>
          <w:szCs w:val="20"/>
        </w:rPr>
        <w:t>COD30mg/L、NH</w:t>
      </w:r>
      <w:r>
        <w:rPr>
          <w:bCs/>
          <w:color w:val="auto"/>
          <w:kern w:val="0"/>
          <w:sz w:val="24"/>
          <w:szCs w:val="20"/>
          <w:vertAlign w:val="subscript"/>
        </w:rPr>
        <w:t>3</w:t>
      </w:r>
      <w:r>
        <w:rPr>
          <w:bCs/>
          <w:color w:val="auto"/>
          <w:kern w:val="0"/>
          <w:sz w:val="24"/>
          <w:szCs w:val="20"/>
        </w:rPr>
        <w:t>-N1.5mg/L、TP0.3 mg/L；</w:t>
      </w:r>
      <w:r>
        <w:rPr>
          <w:bCs/>
          <w:color w:val="auto"/>
          <w:kern w:val="0"/>
          <w:sz w:val="24"/>
          <w:szCs w:val="20"/>
          <w:lang w:bidi="zh-CN"/>
        </w:rPr>
        <w:t>其他指标</w:t>
      </w:r>
      <w:r>
        <w:rPr>
          <w:color w:val="auto"/>
          <w:kern w:val="0"/>
          <w:sz w:val="24"/>
          <w:szCs w:val="20"/>
        </w:rPr>
        <w:t>执行《城镇污水处理厂污染物排放标准》（GB18918-2002）一级A标准，即</w:t>
      </w:r>
      <w:r>
        <w:rPr>
          <w:bCs/>
          <w:color w:val="auto"/>
          <w:kern w:val="0"/>
          <w:sz w:val="24"/>
          <w:szCs w:val="20"/>
        </w:rPr>
        <w:t>TN15mg/L、SS10 mg/L</w:t>
      </w:r>
      <w:r>
        <w:rPr>
          <w:color w:val="auto"/>
          <w:kern w:val="0"/>
          <w:sz w:val="24"/>
          <w:szCs w:val="20"/>
        </w:rPr>
        <w:t>，出水最终排入共产主义渠。</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5.2.4项目废水进入同盟污水处理厂的可行性分析</w:t>
      </w:r>
    </w:p>
    <w:p>
      <w:pPr>
        <w:adjustRightInd w:val="0"/>
        <w:snapToGrid w:val="0"/>
        <w:spacing w:line="360" w:lineRule="auto"/>
        <w:textAlignment w:val="baseline"/>
        <w:rPr>
          <w:b/>
          <w:bCs/>
          <w:color w:val="auto"/>
          <w:kern w:val="0"/>
          <w:sz w:val="24"/>
          <w:szCs w:val="20"/>
          <w:u w:val="single"/>
        </w:rPr>
      </w:pPr>
      <w:r>
        <w:rPr>
          <w:b/>
          <w:bCs/>
          <w:color w:val="auto"/>
          <w:kern w:val="0"/>
          <w:sz w:val="24"/>
          <w:szCs w:val="20"/>
          <w:u w:val="single"/>
        </w:rPr>
        <w:t>（1）水量及收水管网条件</w:t>
      </w:r>
    </w:p>
    <w:p>
      <w:pPr>
        <w:adjustRightInd w:val="0"/>
        <w:snapToGrid w:val="0"/>
        <w:spacing w:line="360" w:lineRule="auto"/>
        <w:ind w:firstLine="482" w:firstLineChars="200"/>
        <w:textAlignment w:val="baseline"/>
        <w:rPr>
          <w:b/>
          <w:bCs/>
          <w:color w:val="auto"/>
          <w:kern w:val="0"/>
          <w:sz w:val="24"/>
          <w:szCs w:val="20"/>
          <w:u w:val="single"/>
        </w:rPr>
      </w:pPr>
      <w:r>
        <w:rPr>
          <w:b/>
          <w:bCs/>
          <w:color w:val="auto"/>
          <w:kern w:val="0"/>
          <w:sz w:val="24"/>
          <w:szCs w:val="20"/>
          <w:u w:val="single"/>
        </w:rPr>
        <w:t>a．同盟污水处理厂位于</w:t>
      </w:r>
      <w:r>
        <w:rPr>
          <w:b/>
          <w:bCs/>
          <w:color w:val="auto"/>
          <w:kern w:val="0"/>
          <w:sz w:val="24"/>
          <w:szCs w:val="24"/>
          <w:u w:val="single"/>
        </w:rPr>
        <w:t>获嘉县城东4km、彦当桥北450m处</w:t>
      </w:r>
      <w:r>
        <w:rPr>
          <w:b/>
          <w:bCs/>
          <w:color w:val="auto"/>
          <w:kern w:val="0"/>
          <w:sz w:val="24"/>
          <w:szCs w:val="20"/>
          <w:u w:val="single"/>
        </w:rPr>
        <w:t>，本项目</w:t>
      </w:r>
      <w:r>
        <w:rPr>
          <w:rFonts w:hint="eastAsia"/>
          <w:b/>
          <w:bCs/>
          <w:color w:val="auto"/>
          <w:kern w:val="0"/>
          <w:sz w:val="24"/>
          <w:szCs w:val="20"/>
          <w:u w:val="single"/>
          <w:lang w:eastAsia="zh-CN"/>
        </w:rPr>
        <w:t>在</w:t>
      </w:r>
      <w:r>
        <w:rPr>
          <w:b/>
          <w:bCs/>
          <w:color w:val="auto"/>
          <w:kern w:val="0"/>
          <w:sz w:val="24"/>
          <w:szCs w:val="20"/>
          <w:u w:val="single"/>
        </w:rPr>
        <w:t>同盟污水处理厂收水范围内，污水处理厂总设计处理规模为6万m³/d，目前实际收水量5.06万m</w:t>
      </w:r>
      <w:r>
        <w:rPr>
          <w:b/>
          <w:bCs/>
          <w:color w:val="auto"/>
          <w:kern w:val="0"/>
          <w:sz w:val="24"/>
          <w:szCs w:val="20"/>
          <w:u w:val="single"/>
          <w:vertAlign w:val="superscript"/>
        </w:rPr>
        <w:t>3</w:t>
      </w:r>
      <w:r>
        <w:rPr>
          <w:b/>
          <w:bCs/>
          <w:color w:val="auto"/>
          <w:kern w:val="0"/>
          <w:sz w:val="24"/>
          <w:szCs w:val="20"/>
          <w:u w:val="single"/>
        </w:rPr>
        <w:t>/d左右，尚有9400m</w:t>
      </w:r>
      <w:r>
        <w:rPr>
          <w:b/>
          <w:bCs/>
          <w:color w:val="auto"/>
          <w:kern w:val="0"/>
          <w:sz w:val="24"/>
          <w:szCs w:val="20"/>
          <w:u w:val="single"/>
          <w:vertAlign w:val="superscript"/>
        </w:rPr>
        <w:t>3</w:t>
      </w:r>
      <w:r>
        <w:rPr>
          <w:b/>
          <w:bCs/>
          <w:color w:val="auto"/>
          <w:kern w:val="0"/>
          <w:sz w:val="24"/>
          <w:szCs w:val="20"/>
          <w:u w:val="single"/>
        </w:rPr>
        <w:t>/d余量，本项目外排废水量为</w:t>
      </w:r>
      <w:r>
        <w:rPr>
          <w:rFonts w:hint="eastAsia"/>
          <w:b/>
          <w:bCs/>
          <w:color w:val="auto"/>
          <w:kern w:val="0"/>
          <w:sz w:val="24"/>
          <w:szCs w:val="20"/>
          <w:u w:val="single"/>
        </w:rPr>
        <w:t>39.5063</w:t>
      </w:r>
      <w:r>
        <w:rPr>
          <w:b/>
          <w:bCs/>
          <w:color w:val="auto"/>
          <w:kern w:val="0"/>
          <w:sz w:val="24"/>
          <w:szCs w:val="20"/>
          <w:u w:val="single"/>
        </w:rPr>
        <w:t>t/d，占其剩余处理能力的</w:t>
      </w:r>
      <w:r>
        <w:rPr>
          <w:rFonts w:hint="eastAsia"/>
          <w:b/>
          <w:bCs/>
          <w:color w:val="auto"/>
          <w:kern w:val="0"/>
          <w:sz w:val="24"/>
          <w:szCs w:val="20"/>
          <w:u w:val="single"/>
        </w:rPr>
        <w:t>0.42</w:t>
      </w:r>
      <w:r>
        <w:rPr>
          <w:b/>
          <w:bCs/>
          <w:color w:val="auto"/>
          <w:kern w:val="0"/>
          <w:sz w:val="24"/>
          <w:szCs w:val="20"/>
          <w:u w:val="single"/>
        </w:rPr>
        <w:t>%，不会对同盟污水处理厂产生冲击。</w:t>
      </w:r>
    </w:p>
    <w:p>
      <w:pPr>
        <w:adjustRightInd w:val="0"/>
        <w:snapToGrid w:val="0"/>
        <w:spacing w:line="360" w:lineRule="auto"/>
        <w:ind w:firstLine="482" w:firstLineChars="200"/>
        <w:textAlignment w:val="baseline"/>
        <w:rPr>
          <w:b/>
          <w:bCs/>
          <w:color w:val="auto"/>
          <w:kern w:val="0"/>
          <w:sz w:val="24"/>
          <w:szCs w:val="20"/>
          <w:u w:val="single"/>
        </w:rPr>
      </w:pPr>
      <w:r>
        <w:rPr>
          <w:b/>
          <w:bCs/>
          <w:color w:val="auto"/>
          <w:kern w:val="0"/>
          <w:sz w:val="24"/>
          <w:szCs w:val="20"/>
          <w:u w:val="single"/>
        </w:rPr>
        <w:t>b．</w:t>
      </w:r>
      <w:r>
        <w:rPr>
          <w:rFonts w:hint="eastAsia"/>
          <w:b/>
          <w:bCs/>
          <w:color w:val="auto"/>
          <w:kern w:val="0"/>
          <w:sz w:val="24"/>
          <w:szCs w:val="20"/>
          <w:u w:val="single"/>
        </w:rPr>
        <w:t>本项目位于获嘉县产业集聚区北区城东片区安王路梧桐路交叉口西北角，在其收水范围内。根据调查</w:t>
      </w:r>
      <w:r>
        <w:rPr>
          <w:b/>
          <w:bCs/>
          <w:color w:val="auto"/>
          <w:kern w:val="0"/>
          <w:sz w:val="24"/>
          <w:szCs w:val="20"/>
          <w:u w:val="single"/>
        </w:rPr>
        <w:t>同盟污水处理厂管网铺设已完善并运行良好，本工程废水进入同盟污水处理厂不存在管网制约因素。</w:t>
      </w:r>
    </w:p>
    <w:p>
      <w:pPr>
        <w:adjustRightInd w:val="0"/>
        <w:snapToGrid w:val="0"/>
        <w:spacing w:line="360" w:lineRule="auto"/>
        <w:textAlignment w:val="baseline"/>
        <w:rPr>
          <w:b/>
          <w:bCs/>
          <w:color w:val="auto"/>
          <w:kern w:val="0"/>
          <w:sz w:val="24"/>
          <w:szCs w:val="20"/>
          <w:u w:val="single"/>
        </w:rPr>
      </w:pPr>
      <w:r>
        <w:rPr>
          <w:b/>
          <w:bCs/>
          <w:color w:val="auto"/>
          <w:kern w:val="0"/>
          <w:sz w:val="24"/>
          <w:szCs w:val="20"/>
          <w:u w:val="single"/>
        </w:rPr>
        <w:t>（2）水质</w:t>
      </w:r>
    </w:p>
    <w:p>
      <w:pPr>
        <w:adjustRightInd w:val="0"/>
        <w:snapToGrid w:val="0"/>
        <w:spacing w:line="360" w:lineRule="auto"/>
        <w:ind w:firstLine="482" w:firstLineChars="200"/>
        <w:textAlignment w:val="baseline"/>
        <w:rPr>
          <w:b/>
          <w:bCs/>
          <w:color w:val="auto"/>
          <w:kern w:val="0"/>
          <w:sz w:val="24"/>
          <w:szCs w:val="20"/>
          <w:u w:val="single"/>
        </w:rPr>
      </w:pPr>
      <w:r>
        <w:rPr>
          <w:rFonts w:hint="eastAsia"/>
          <w:b/>
          <w:bCs/>
          <w:color w:val="auto"/>
          <w:kern w:val="0"/>
          <w:sz w:val="24"/>
          <w:szCs w:val="20"/>
          <w:u w:val="single"/>
          <w:lang w:eastAsia="zh-CN"/>
        </w:rPr>
        <w:t>本项目外排废水主要为锅炉浓水、纯水制备浓水及生活污水，通过厂区总排口，</w:t>
      </w:r>
      <w:r>
        <w:rPr>
          <w:b/>
          <w:bCs/>
          <w:color w:val="auto"/>
          <w:kern w:val="0"/>
          <w:sz w:val="24"/>
          <w:szCs w:val="20"/>
          <w:u w:val="single"/>
        </w:rPr>
        <w:t>经获嘉县产业集聚区管网</w:t>
      </w:r>
      <w:r>
        <w:rPr>
          <w:rFonts w:hint="eastAsia"/>
          <w:b/>
          <w:bCs/>
          <w:color w:val="auto"/>
          <w:kern w:val="0"/>
          <w:sz w:val="24"/>
          <w:szCs w:val="20"/>
          <w:u w:val="single"/>
          <w:lang w:eastAsia="zh-CN"/>
        </w:rPr>
        <w:t>排</w:t>
      </w:r>
      <w:r>
        <w:rPr>
          <w:b/>
          <w:bCs/>
          <w:color w:val="auto"/>
          <w:kern w:val="0"/>
          <w:sz w:val="24"/>
          <w:szCs w:val="20"/>
          <w:u w:val="single"/>
        </w:rPr>
        <w:t>入同盟污水处理厂进行处理，</w:t>
      </w:r>
      <w:r>
        <w:rPr>
          <w:rFonts w:hint="eastAsia"/>
          <w:b/>
          <w:bCs/>
          <w:color w:val="auto"/>
          <w:kern w:val="0"/>
          <w:sz w:val="24"/>
          <w:szCs w:val="20"/>
          <w:u w:val="single"/>
          <w:lang w:eastAsia="zh-CN"/>
        </w:rPr>
        <w:t>本项目排水水质与同盟污水处理厂收水水质对比分析</w:t>
      </w:r>
      <w:r>
        <w:rPr>
          <w:b/>
          <w:bCs/>
          <w:color w:val="auto"/>
          <w:kern w:val="0"/>
          <w:sz w:val="24"/>
          <w:szCs w:val="20"/>
          <w:u w:val="single"/>
        </w:rPr>
        <w:t>见下表：</w:t>
      </w:r>
    </w:p>
    <w:p>
      <w:pPr>
        <w:jc w:val="center"/>
        <w:rPr>
          <w:rFonts w:eastAsia="黑体"/>
          <w:b/>
          <w:bCs/>
          <w:color w:val="auto"/>
          <w:sz w:val="24"/>
          <w:szCs w:val="24"/>
          <w:u w:val="single"/>
        </w:rPr>
      </w:pPr>
      <w:r>
        <w:rPr>
          <w:rFonts w:eastAsia="黑体"/>
          <w:b/>
          <w:bCs/>
          <w:color w:val="auto"/>
          <w:sz w:val="24"/>
          <w:szCs w:val="24"/>
          <w:u w:val="single"/>
        </w:rPr>
        <w:t>表5.2-1  项目排水</w:t>
      </w:r>
      <w:r>
        <w:rPr>
          <w:rFonts w:hint="eastAsia" w:eastAsia="黑体"/>
          <w:b/>
          <w:bCs/>
          <w:color w:val="auto"/>
          <w:sz w:val="24"/>
          <w:szCs w:val="24"/>
          <w:u w:val="single"/>
          <w:lang w:eastAsia="zh-CN"/>
        </w:rPr>
        <w:t>水质</w:t>
      </w:r>
      <w:r>
        <w:rPr>
          <w:rFonts w:eastAsia="黑体"/>
          <w:b/>
          <w:bCs/>
          <w:color w:val="auto"/>
          <w:sz w:val="24"/>
          <w:szCs w:val="24"/>
          <w:u w:val="single"/>
        </w:rPr>
        <w:t>与同盟污水处理厂收水水质对比</w:t>
      </w:r>
      <w:r>
        <w:rPr>
          <w:rFonts w:hint="eastAsia" w:eastAsia="黑体"/>
          <w:b/>
          <w:bCs/>
          <w:color w:val="auto"/>
          <w:sz w:val="24"/>
          <w:szCs w:val="24"/>
          <w:u w:val="single"/>
          <w:lang w:eastAsia="zh-CN"/>
        </w:rPr>
        <w:t>分析</w:t>
      </w:r>
      <w:r>
        <w:rPr>
          <w:rFonts w:hint="eastAsia" w:eastAsia="黑体"/>
          <w:b/>
          <w:bCs/>
          <w:color w:val="auto"/>
          <w:sz w:val="24"/>
          <w:szCs w:val="24"/>
          <w:u w:val="single"/>
          <w:lang w:val="en-US" w:eastAsia="zh-CN"/>
        </w:rPr>
        <w:t xml:space="preserve">  </w:t>
      </w:r>
      <w:r>
        <w:rPr>
          <w:rFonts w:eastAsia="黑体"/>
          <w:b/>
          <w:bCs/>
          <w:color w:val="auto"/>
          <w:sz w:val="24"/>
          <w:szCs w:val="24"/>
          <w:u w:val="single"/>
        </w:rPr>
        <w:t>单位：mg/L</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959"/>
        <w:gridCol w:w="2127"/>
        <w:gridCol w:w="1134"/>
        <w:gridCol w:w="1274"/>
        <w:gridCol w:w="993"/>
        <w:gridCol w:w="1290"/>
        <w:gridCol w:w="75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62" w:type="pct"/>
            <w:vAlign w:val="center"/>
          </w:tcPr>
          <w:p>
            <w:pPr>
              <w:jc w:val="center"/>
              <w:rPr>
                <w:b/>
                <w:bCs/>
                <w:color w:val="auto"/>
                <w:kern w:val="0"/>
                <w:szCs w:val="20"/>
                <w:u w:val="single"/>
              </w:rPr>
            </w:pPr>
            <w:r>
              <w:rPr>
                <w:b/>
                <w:bCs/>
                <w:color w:val="auto"/>
                <w:kern w:val="0"/>
                <w:szCs w:val="20"/>
                <w:u w:val="single"/>
              </w:rPr>
              <w:t>序号</w:t>
            </w:r>
          </w:p>
        </w:tc>
        <w:tc>
          <w:tcPr>
            <w:tcW w:w="1247" w:type="pct"/>
            <w:vAlign w:val="center"/>
          </w:tcPr>
          <w:p>
            <w:pPr>
              <w:jc w:val="center"/>
              <w:rPr>
                <w:b/>
                <w:bCs/>
                <w:color w:val="auto"/>
                <w:kern w:val="0"/>
                <w:szCs w:val="20"/>
                <w:u w:val="single"/>
              </w:rPr>
            </w:pPr>
            <w:r>
              <w:rPr>
                <w:b/>
                <w:bCs/>
                <w:color w:val="auto"/>
                <w:kern w:val="0"/>
                <w:szCs w:val="20"/>
                <w:u w:val="single"/>
              </w:rPr>
              <w:t>项目</w:t>
            </w:r>
          </w:p>
        </w:tc>
        <w:tc>
          <w:tcPr>
            <w:tcW w:w="665" w:type="pct"/>
            <w:vAlign w:val="center"/>
          </w:tcPr>
          <w:p>
            <w:pPr>
              <w:jc w:val="center"/>
              <w:rPr>
                <w:b/>
                <w:bCs/>
                <w:color w:val="auto"/>
                <w:szCs w:val="20"/>
                <w:u w:val="single"/>
              </w:rPr>
            </w:pPr>
            <w:r>
              <w:rPr>
                <w:b/>
                <w:bCs/>
                <w:color w:val="auto"/>
                <w:szCs w:val="20"/>
                <w:u w:val="single"/>
              </w:rPr>
              <w:t>COD</w:t>
            </w:r>
          </w:p>
        </w:tc>
        <w:tc>
          <w:tcPr>
            <w:tcW w:w="747" w:type="pct"/>
            <w:vAlign w:val="center"/>
          </w:tcPr>
          <w:p>
            <w:pPr>
              <w:jc w:val="center"/>
              <w:rPr>
                <w:b/>
                <w:bCs/>
                <w:color w:val="auto"/>
                <w:szCs w:val="20"/>
                <w:u w:val="single"/>
              </w:rPr>
            </w:pPr>
            <w:r>
              <w:rPr>
                <w:b/>
                <w:bCs/>
                <w:color w:val="auto"/>
                <w:szCs w:val="20"/>
                <w:u w:val="single"/>
              </w:rPr>
              <w:t>氨氮</w:t>
            </w:r>
          </w:p>
        </w:tc>
        <w:tc>
          <w:tcPr>
            <w:tcW w:w="582" w:type="pct"/>
            <w:tcBorders>
              <w:right w:val="single" w:color="auto" w:sz="4" w:space="0"/>
            </w:tcBorders>
            <w:vAlign w:val="center"/>
          </w:tcPr>
          <w:p>
            <w:pPr>
              <w:jc w:val="center"/>
              <w:rPr>
                <w:b/>
                <w:bCs/>
                <w:color w:val="auto"/>
                <w:szCs w:val="20"/>
                <w:u w:val="single"/>
              </w:rPr>
            </w:pPr>
            <w:r>
              <w:rPr>
                <w:b/>
                <w:bCs/>
                <w:color w:val="auto"/>
                <w:szCs w:val="20"/>
                <w:u w:val="single"/>
              </w:rPr>
              <w:t>总磷</w:t>
            </w:r>
          </w:p>
        </w:tc>
        <w:tc>
          <w:tcPr>
            <w:tcW w:w="756" w:type="pct"/>
            <w:tcBorders>
              <w:left w:val="single" w:color="auto" w:sz="4" w:space="0"/>
              <w:right w:val="single" w:color="auto" w:sz="4" w:space="0"/>
            </w:tcBorders>
            <w:vAlign w:val="center"/>
          </w:tcPr>
          <w:p>
            <w:pPr>
              <w:jc w:val="center"/>
              <w:rPr>
                <w:b/>
                <w:bCs/>
                <w:color w:val="auto"/>
                <w:szCs w:val="20"/>
                <w:u w:val="single"/>
              </w:rPr>
            </w:pPr>
            <w:r>
              <w:rPr>
                <w:b/>
                <w:bCs/>
                <w:color w:val="auto"/>
                <w:szCs w:val="20"/>
                <w:u w:val="single"/>
              </w:rPr>
              <w:t>总氮</w:t>
            </w:r>
          </w:p>
        </w:tc>
        <w:tc>
          <w:tcPr>
            <w:tcW w:w="441" w:type="pct"/>
            <w:tcBorders>
              <w:left w:val="single" w:color="auto" w:sz="4" w:space="0"/>
            </w:tcBorders>
            <w:vAlign w:val="center"/>
          </w:tcPr>
          <w:p>
            <w:pPr>
              <w:jc w:val="center"/>
              <w:rPr>
                <w:b/>
                <w:bCs/>
                <w:color w:val="auto"/>
                <w:szCs w:val="20"/>
                <w:u w:val="single"/>
              </w:rPr>
            </w:pPr>
            <w:r>
              <w:rPr>
                <w:rFonts w:hint="eastAsia"/>
                <w:b/>
                <w:bCs/>
                <w:color w:val="auto"/>
                <w:szCs w:val="20"/>
                <w:u w:val="single"/>
              </w:rPr>
              <w:t>SS</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62" w:type="pct"/>
            <w:vAlign w:val="center"/>
          </w:tcPr>
          <w:p>
            <w:pPr>
              <w:contextualSpacing/>
              <w:jc w:val="center"/>
              <w:textAlignment w:val="baseline"/>
              <w:rPr>
                <w:b/>
                <w:bCs/>
                <w:color w:val="auto"/>
                <w:kern w:val="0"/>
                <w:u w:val="single"/>
              </w:rPr>
            </w:pPr>
            <w:r>
              <w:rPr>
                <w:b/>
                <w:bCs/>
                <w:color w:val="auto"/>
                <w:kern w:val="0"/>
                <w:u w:val="single"/>
              </w:rPr>
              <w:t>1</w:t>
            </w:r>
          </w:p>
        </w:tc>
        <w:tc>
          <w:tcPr>
            <w:tcW w:w="1247" w:type="pct"/>
            <w:vAlign w:val="center"/>
          </w:tcPr>
          <w:p>
            <w:pPr>
              <w:contextualSpacing/>
              <w:jc w:val="center"/>
              <w:textAlignment w:val="baseline"/>
              <w:rPr>
                <w:rFonts w:hint="eastAsia" w:eastAsia="宋体"/>
                <w:b/>
                <w:bCs/>
                <w:color w:val="auto"/>
                <w:kern w:val="0"/>
                <w:u w:val="single"/>
                <w:lang w:eastAsia="zh-CN"/>
              </w:rPr>
            </w:pPr>
            <w:r>
              <w:rPr>
                <w:rFonts w:hint="eastAsia"/>
                <w:b/>
                <w:bCs/>
                <w:color w:val="auto"/>
                <w:kern w:val="0"/>
                <w:u w:val="single"/>
                <w:lang w:eastAsia="zh-CN"/>
              </w:rPr>
              <w:t>厂区总排口</w:t>
            </w:r>
          </w:p>
        </w:tc>
        <w:tc>
          <w:tcPr>
            <w:tcW w:w="665" w:type="pct"/>
            <w:vAlign w:val="center"/>
          </w:tcPr>
          <w:p>
            <w:pPr>
              <w:contextualSpacing/>
              <w:jc w:val="center"/>
              <w:textAlignment w:val="baseline"/>
              <w:rPr>
                <w:b/>
                <w:bCs/>
                <w:color w:val="auto"/>
                <w:kern w:val="0"/>
                <w:u w:val="single"/>
              </w:rPr>
            </w:pPr>
            <w:r>
              <w:rPr>
                <w:rFonts w:hint="eastAsia"/>
                <w:b/>
                <w:bCs/>
                <w:color w:val="auto"/>
                <w:sz w:val="22"/>
                <w:szCs w:val="22"/>
                <w:u w:val="single"/>
              </w:rPr>
              <w:t>70.85</w:t>
            </w:r>
          </w:p>
        </w:tc>
        <w:tc>
          <w:tcPr>
            <w:tcW w:w="747" w:type="pct"/>
            <w:vAlign w:val="center"/>
          </w:tcPr>
          <w:p>
            <w:pPr>
              <w:contextualSpacing/>
              <w:jc w:val="center"/>
              <w:textAlignment w:val="baseline"/>
              <w:rPr>
                <w:b/>
                <w:bCs/>
                <w:color w:val="auto"/>
                <w:kern w:val="0"/>
                <w:u w:val="single"/>
              </w:rPr>
            </w:pPr>
            <w:r>
              <w:rPr>
                <w:rFonts w:hint="eastAsia"/>
                <w:b/>
                <w:bCs/>
                <w:color w:val="auto"/>
                <w:sz w:val="22"/>
                <w:szCs w:val="22"/>
                <w:u w:val="single"/>
              </w:rPr>
              <w:t>3.42</w:t>
            </w:r>
          </w:p>
        </w:tc>
        <w:tc>
          <w:tcPr>
            <w:tcW w:w="582" w:type="pct"/>
            <w:tcBorders>
              <w:right w:val="single" w:color="auto" w:sz="4" w:space="0"/>
            </w:tcBorders>
            <w:vAlign w:val="center"/>
          </w:tcPr>
          <w:p>
            <w:pPr>
              <w:contextualSpacing/>
              <w:jc w:val="center"/>
              <w:textAlignment w:val="baseline"/>
              <w:rPr>
                <w:b/>
                <w:bCs/>
                <w:color w:val="auto"/>
                <w:kern w:val="0"/>
                <w:u w:val="single"/>
              </w:rPr>
            </w:pPr>
            <w:r>
              <w:rPr>
                <w:rFonts w:hint="eastAsia"/>
                <w:b/>
                <w:bCs/>
                <w:color w:val="auto"/>
                <w:sz w:val="22"/>
                <w:szCs w:val="22"/>
                <w:u w:val="single"/>
              </w:rPr>
              <w:t>0.34</w:t>
            </w:r>
          </w:p>
        </w:tc>
        <w:tc>
          <w:tcPr>
            <w:tcW w:w="756" w:type="pct"/>
            <w:tcBorders>
              <w:left w:val="single" w:color="auto" w:sz="4" w:space="0"/>
              <w:right w:val="single" w:color="auto" w:sz="4" w:space="0"/>
            </w:tcBorders>
            <w:vAlign w:val="center"/>
          </w:tcPr>
          <w:p>
            <w:pPr>
              <w:contextualSpacing/>
              <w:jc w:val="center"/>
              <w:textAlignment w:val="baseline"/>
              <w:rPr>
                <w:b/>
                <w:bCs/>
                <w:color w:val="auto"/>
                <w:kern w:val="0"/>
                <w:u w:val="single"/>
              </w:rPr>
            </w:pPr>
            <w:r>
              <w:rPr>
                <w:rFonts w:hint="eastAsia"/>
                <w:b/>
                <w:bCs/>
                <w:color w:val="auto"/>
                <w:sz w:val="22"/>
                <w:szCs w:val="22"/>
                <w:u w:val="single"/>
              </w:rPr>
              <w:t>5.47</w:t>
            </w:r>
          </w:p>
        </w:tc>
        <w:tc>
          <w:tcPr>
            <w:tcW w:w="441" w:type="pct"/>
            <w:tcBorders>
              <w:left w:val="single" w:color="auto" w:sz="4" w:space="0"/>
            </w:tcBorders>
            <w:vAlign w:val="center"/>
          </w:tcPr>
          <w:p>
            <w:pPr>
              <w:contextualSpacing/>
              <w:jc w:val="center"/>
              <w:textAlignment w:val="baseline"/>
              <w:rPr>
                <w:b/>
                <w:bCs/>
                <w:color w:val="auto"/>
                <w:kern w:val="0"/>
                <w:u w:val="single"/>
              </w:rPr>
            </w:pPr>
            <w:r>
              <w:rPr>
                <w:rFonts w:hint="eastAsia"/>
                <w:b/>
                <w:bCs/>
                <w:color w:val="auto"/>
                <w:sz w:val="22"/>
                <w:szCs w:val="22"/>
                <w:u w:val="single"/>
              </w:rPr>
              <w:t>64.22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562" w:type="pct"/>
            <w:vAlign w:val="center"/>
          </w:tcPr>
          <w:p>
            <w:pPr>
              <w:contextualSpacing/>
              <w:jc w:val="center"/>
              <w:textAlignment w:val="baseline"/>
              <w:rPr>
                <w:b/>
                <w:bCs/>
                <w:color w:val="auto"/>
                <w:kern w:val="0"/>
                <w:u w:val="single"/>
              </w:rPr>
            </w:pPr>
            <w:r>
              <w:rPr>
                <w:b/>
                <w:bCs/>
                <w:color w:val="auto"/>
                <w:kern w:val="0"/>
                <w:u w:val="single"/>
              </w:rPr>
              <w:t>2</w:t>
            </w:r>
          </w:p>
        </w:tc>
        <w:tc>
          <w:tcPr>
            <w:tcW w:w="1247" w:type="pct"/>
            <w:vAlign w:val="center"/>
          </w:tcPr>
          <w:p>
            <w:pPr>
              <w:contextualSpacing/>
              <w:jc w:val="center"/>
              <w:textAlignment w:val="baseline"/>
              <w:rPr>
                <w:b/>
                <w:bCs/>
                <w:color w:val="auto"/>
                <w:kern w:val="0"/>
                <w:u w:val="single"/>
              </w:rPr>
            </w:pPr>
            <w:r>
              <w:rPr>
                <w:b/>
                <w:bCs/>
                <w:color w:val="auto"/>
                <w:kern w:val="0"/>
                <w:u w:val="single"/>
              </w:rPr>
              <w:t>同盟污水处理厂收水水质要求</w:t>
            </w:r>
          </w:p>
        </w:tc>
        <w:tc>
          <w:tcPr>
            <w:tcW w:w="665" w:type="pct"/>
            <w:vAlign w:val="center"/>
          </w:tcPr>
          <w:p>
            <w:pPr>
              <w:contextualSpacing/>
              <w:jc w:val="center"/>
              <w:textAlignment w:val="baseline"/>
              <w:rPr>
                <w:b/>
                <w:bCs/>
                <w:color w:val="auto"/>
                <w:kern w:val="0"/>
                <w:u w:val="single"/>
              </w:rPr>
            </w:pPr>
            <w:r>
              <w:rPr>
                <w:rFonts w:hint="eastAsia"/>
                <w:b/>
                <w:bCs/>
                <w:color w:val="auto"/>
                <w:kern w:val="0"/>
                <w:u w:val="single"/>
              </w:rPr>
              <w:t>350</w:t>
            </w:r>
          </w:p>
        </w:tc>
        <w:tc>
          <w:tcPr>
            <w:tcW w:w="747" w:type="pct"/>
            <w:vAlign w:val="center"/>
          </w:tcPr>
          <w:p>
            <w:pPr>
              <w:contextualSpacing/>
              <w:jc w:val="center"/>
              <w:textAlignment w:val="baseline"/>
              <w:rPr>
                <w:b/>
                <w:bCs/>
                <w:color w:val="auto"/>
                <w:kern w:val="0"/>
                <w:u w:val="single"/>
              </w:rPr>
            </w:pPr>
            <w:r>
              <w:rPr>
                <w:rFonts w:hint="eastAsia"/>
                <w:b/>
                <w:bCs/>
                <w:color w:val="auto"/>
                <w:kern w:val="0"/>
                <w:u w:val="single"/>
              </w:rPr>
              <w:t>35</w:t>
            </w:r>
          </w:p>
        </w:tc>
        <w:tc>
          <w:tcPr>
            <w:tcW w:w="582" w:type="pct"/>
            <w:tcBorders>
              <w:right w:val="single" w:color="auto" w:sz="4" w:space="0"/>
            </w:tcBorders>
            <w:vAlign w:val="center"/>
          </w:tcPr>
          <w:p>
            <w:pPr>
              <w:contextualSpacing/>
              <w:jc w:val="center"/>
              <w:textAlignment w:val="baseline"/>
              <w:rPr>
                <w:b/>
                <w:bCs/>
                <w:color w:val="auto"/>
                <w:kern w:val="0"/>
                <w:u w:val="single"/>
              </w:rPr>
            </w:pPr>
            <w:r>
              <w:rPr>
                <w:rFonts w:hint="eastAsia"/>
                <w:b/>
                <w:bCs/>
                <w:color w:val="auto"/>
                <w:kern w:val="0"/>
                <w:u w:val="single"/>
              </w:rPr>
              <w:t>3.5</w:t>
            </w:r>
          </w:p>
        </w:tc>
        <w:tc>
          <w:tcPr>
            <w:tcW w:w="756" w:type="pct"/>
            <w:tcBorders>
              <w:left w:val="single" w:color="auto" w:sz="4" w:space="0"/>
              <w:right w:val="single" w:color="auto" w:sz="4" w:space="0"/>
            </w:tcBorders>
            <w:vAlign w:val="center"/>
          </w:tcPr>
          <w:p>
            <w:pPr>
              <w:contextualSpacing/>
              <w:jc w:val="center"/>
              <w:textAlignment w:val="baseline"/>
              <w:rPr>
                <w:b/>
                <w:bCs/>
                <w:color w:val="auto"/>
                <w:kern w:val="0"/>
                <w:u w:val="single"/>
              </w:rPr>
            </w:pPr>
            <w:r>
              <w:rPr>
                <w:rFonts w:hint="eastAsia"/>
                <w:b/>
                <w:bCs/>
                <w:color w:val="auto"/>
                <w:kern w:val="0"/>
                <w:u w:val="single"/>
              </w:rPr>
              <w:t>50</w:t>
            </w:r>
          </w:p>
        </w:tc>
        <w:tc>
          <w:tcPr>
            <w:tcW w:w="441" w:type="pct"/>
            <w:tcBorders>
              <w:left w:val="single" w:color="auto" w:sz="4" w:space="0"/>
            </w:tcBorders>
            <w:vAlign w:val="center"/>
          </w:tcPr>
          <w:p>
            <w:pPr>
              <w:contextualSpacing/>
              <w:jc w:val="center"/>
              <w:textAlignment w:val="baseline"/>
              <w:rPr>
                <w:b/>
                <w:bCs/>
                <w:color w:val="auto"/>
                <w:kern w:val="0"/>
                <w:u w:val="single"/>
              </w:rPr>
            </w:pPr>
            <w:r>
              <w:rPr>
                <w:rFonts w:hint="eastAsia"/>
                <w:b/>
                <w:bCs/>
                <w:color w:val="auto"/>
                <w:kern w:val="0"/>
                <w:u w:val="single"/>
              </w:rPr>
              <w:t>230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809" w:type="pct"/>
            <w:gridSpan w:val="2"/>
            <w:vAlign w:val="center"/>
          </w:tcPr>
          <w:p>
            <w:pPr>
              <w:contextualSpacing/>
              <w:jc w:val="center"/>
              <w:textAlignment w:val="baseline"/>
              <w:rPr>
                <w:b/>
                <w:bCs/>
                <w:color w:val="auto"/>
                <w:kern w:val="0"/>
                <w:u w:val="single"/>
              </w:rPr>
            </w:pPr>
            <w:r>
              <w:rPr>
                <w:b/>
                <w:bCs/>
                <w:color w:val="auto"/>
                <w:kern w:val="0"/>
                <w:u w:val="single"/>
              </w:rPr>
              <w:t>相符性</w:t>
            </w:r>
          </w:p>
        </w:tc>
        <w:tc>
          <w:tcPr>
            <w:tcW w:w="665" w:type="pct"/>
            <w:vAlign w:val="center"/>
          </w:tcPr>
          <w:p>
            <w:pPr>
              <w:contextualSpacing/>
              <w:jc w:val="center"/>
              <w:textAlignment w:val="baseline"/>
              <w:rPr>
                <w:b/>
                <w:bCs/>
                <w:color w:val="auto"/>
                <w:kern w:val="0"/>
                <w:u w:val="single"/>
              </w:rPr>
            </w:pPr>
            <w:r>
              <w:rPr>
                <w:b/>
                <w:bCs/>
                <w:color w:val="auto"/>
                <w:kern w:val="0"/>
                <w:u w:val="single"/>
              </w:rPr>
              <w:t>相符</w:t>
            </w:r>
          </w:p>
        </w:tc>
        <w:tc>
          <w:tcPr>
            <w:tcW w:w="747" w:type="pct"/>
            <w:vAlign w:val="center"/>
          </w:tcPr>
          <w:p>
            <w:pPr>
              <w:contextualSpacing/>
              <w:jc w:val="center"/>
              <w:textAlignment w:val="baseline"/>
              <w:rPr>
                <w:b/>
                <w:bCs/>
                <w:color w:val="auto"/>
                <w:kern w:val="0"/>
                <w:u w:val="single"/>
              </w:rPr>
            </w:pPr>
            <w:r>
              <w:rPr>
                <w:b/>
                <w:bCs/>
                <w:color w:val="auto"/>
                <w:kern w:val="0"/>
                <w:u w:val="single"/>
              </w:rPr>
              <w:t>相符</w:t>
            </w:r>
          </w:p>
        </w:tc>
        <w:tc>
          <w:tcPr>
            <w:tcW w:w="582" w:type="pct"/>
            <w:tcBorders>
              <w:right w:val="single" w:color="auto" w:sz="4" w:space="0"/>
            </w:tcBorders>
            <w:vAlign w:val="center"/>
          </w:tcPr>
          <w:p>
            <w:pPr>
              <w:contextualSpacing/>
              <w:jc w:val="center"/>
              <w:textAlignment w:val="baseline"/>
              <w:rPr>
                <w:b/>
                <w:bCs/>
                <w:color w:val="auto"/>
                <w:kern w:val="0"/>
                <w:u w:val="single"/>
              </w:rPr>
            </w:pPr>
            <w:r>
              <w:rPr>
                <w:b/>
                <w:bCs/>
                <w:color w:val="auto"/>
                <w:kern w:val="0"/>
                <w:u w:val="single"/>
              </w:rPr>
              <w:t>相符</w:t>
            </w:r>
          </w:p>
        </w:tc>
        <w:tc>
          <w:tcPr>
            <w:tcW w:w="756" w:type="pct"/>
            <w:tcBorders>
              <w:left w:val="single" w:color="auto" w:sz="4" w:space="0"/>
              <w:right w:val="single" w:color="auto" w:sz="4" w:space="0"/>
            </w:tcBorders>
            <w:vAlign w:val="center"/>
          </w:tcPr>
          <w:p>
            <w:pPr>
              <w:contextualSpacing/>
              <w:jc w:val="center"/>
              <w:textAlignment w:val="baseline"/>
              <w:rPr>
                <w:b/>
                <w:bCs/>
                <w:color w:val="auto"/>
                <w:kern w:val="0"/>
                <w:u w:val="single"/>
              </w:rPr>
            </w:pPr>
            <w:r>
              <w:rPr>
                <w:b/>
                <w:bCs/>
                <w:color w:val="auto"/>
                <w:kern w:val="0"/>
                <w:u w:val="single"/>
              </w:rPr>
              <w:t>相符</w:t>
            </w:r>
          </w:p>
        </w:tc>
        <w:tc>
          <w:tcPr>
            <w:tcW w:w="441" w:type="pct"/>
            <w:tcBorders>
              <w:left w:val="single" w:color="auto" w:sz="4" w:space="0"/>
            </w:tcBorders>
            <w:vAlign w:val="center"/>
          </w:tcPr>
          <w:p>
            <w:pPr>
              <w:contextualSpacing/>
              <w:jc w:val="center"/>
              <w:textAlignment w:val="baseline"/>
              <w:rPr>
                <w:b/>
                <w:bCs/>
                <w:color w:val="auto"/>
                <w:kern w:val="0"/>
                <w:u w:val="single"/>
              </w:rPr>
            </w:pPr>
            <w:r>
              <w:rPr>
                <w:b/>
                <w:bCs/>
                <w:color w:val="auto"/>
                <w:kern w:val="0"/>
                <w:u w:val="single"/>
              </w:rPr>
              <w:t>相符</w:t>
            </w:r>
          </w:p>
        </w:tc>
      </w:tr>
    </w:tbl>
    <w:p>
      <w:pPr>
        <w:adjustRightInd w:val="0"/>
        <w:snapToGrid w:val="0"/>
        <w:spacing w:before="120" w:beforeLines="50" w:line="360" w:lineRule="auto"/>
        <w:ind w:firstLine="482" w:firstLineChars="200"/>
        <w:textAlignment w:val="baseline"/>
        <w:rPr>
          <w:b/>
          <w:bCs/>
          <w:color w:val="auto"/>
          <w:kern w:val="0"/>
          <w:sz w:val="24"/>
          <w:szCs w:val="20"/>
          <w:u w:val="single"/>
        </w:rPr>
      </w:pPr>
      <w:r>
        <w:rPr>
          <w:b/>
          <w:bCs/>
          <w:color w:val="auto"/>
          <w:kern w:val="0"/>
          <w:sz w:val="24"/>
          <w:szCs w:val="20"/>
          <w:u w:val="single"/>
        </w:rPr>
        <w:t>由上表可知，</w:t>
      </w:r>
      <w:r>
        <w:rPr>
          <w:rFonts w:hint="eastAsia"/>
          <w:b/>
          <w:bCs/>
          <w:color w:val="auto"/>
          <w:kern w:val="0"/>
          <w:sz w:val="24"/>
          <w:szCs w:val="20"/>
          <w:u w:val="single"/>
          <w:lang w:eastAsia="zh-CN"/>
        </w:rPr>
        <w:t>厂区</w:t>
      </w:r>
      <w:r>
        <w:rPr>
          <w:b/>
          <w:bCs/>
          <w:color w:val="auto"/>
          <w:kern w:val="0"/>
          <w:sz w:val="24"/>
          <w:szCs w:val="20"/>
          <w:u w:val="single"/>
        </w:rPr>
        <w:t>总排口水质能够满足同盟污水处理厂进水水质要求。评价认为本项目</w:t>
      </w:r>
      <w:r>
        <w:rPr>
          <w:rFonts w:hint="eastAsia"/>
          <w:b/>
          <w:bCs/>
          <w:color w:val="auto"/>
          <w:kern w:val="0"/>
          <w:sz w:val="24"/>
          <w:szCs w:val="20"/>
          <w:u w:val="single"/>
          <w:lang w:eastAsia="zh-CN"/>
        </w:rPr>
        <w:t>外排</w:t>
      </w:r>
      <w:r>
        <w:rPr>
          <w:b/>
          <w:bCs/>
          <w:color w:val="auto"/>
          <w:kern w:val="0"/>
          <w:sz w:val="24"/>
          <w:szCs w:val="20"/>
          <w:u w:val="single"/>
        </w:rPr>
        <w:t>废水不会对同盟污水处理系统造成冲击或其他不利影响。</w:t>
      </w:r>
    </w:p>
    <w:p>
      <w:pPr>
        <w:adjustRightInd w:val="0"/>
        <w:snapToGrid w:val="0"/>
        <w:spacing w:line="360" w:lineRule="auto"/>
        <w:ind w:firstLine="482" w:firstLineChars="200"/>
        <w:textAlignment w:val="baseline"/>
        <w:rPr>
          <w:b/>
          <w:bCs/>
          <w:color w:val="auto"/>
          <w:kern w:val="0"/>
          <w:sz w:val="24"/>
          <w:szCs w:val="20"/>
          <w:u w:val="single"/>
        </w:rPr>
      </w:pPr>
      <w:r>
        <w:rPr>
          <w:b/>
          <w:bCs/>
          <w:color w:val="auto"/>
          <w:kern w:val="0"/>
          <w:sz w:val="24"/>
          <w:szCs w:val="20"/>
          <w:u w:val="single"/>
        </w:rPr>
        <w:t>综上所述，本工程</w:t>
      </w:r>
      <w:r>
        <w:rPr>
          <w:rFonts w:hint="eastAsia"/>
          <w:b/>
          <w:bCs/>
          <w:color w:val="auto"/>
          <w:kern w:val="0"/>
          <w:sz w:val="24"/>
          <w:szCs w:val="20"/>
          <w:u w:val="single"/>
          <w:lang w:eastAsia="zh-CN"/>
        </w:rPr>
        <w:t>外排废水</w:t>
      </w:r>
      <w:r>
        <w:rPr>
          <w:b/>
          <w:bCs/>
          <w:color w:val="auto"/>
          <w:kern w:val="0"/>
          <w:sz w:val="24"/>
          <w:szCs w:val="20"/>
          <w:u w:val="single"/>
        </w:rPr>
        <w:t>进入同盟污水处理厂</w:t>
      </w:r>
      <w:r>
        <w:rPr>
          <w:rFonts w:hint="eastAsia"/>
          <w:b/>
          <w:bCs/>
          <w:color w:val="auto"/>
          <w:kern w:val="0"/>
          <w:sz w:val="24"/>
          <w:szCs w:val="20"/>
          <w:u w:val="single"/>
          <w:lang w:eastAsia="zh-CN"/>
        </w:rPr>
        <w:t>处理的</w:t>
      </w:r>
      <w:r>
        <w:rPr>
          <w:b/>
          <w:bCs/>
          <w:color w:val="auto"/>
          <w:kern w:val="0"/>
          <w:sz w:val="24"/>
          <w:szCs w:val="20"/>
          <w:u w:val="single"/>
        </w:rPr>
        <w:t>方案可行。</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5.2.</w:t>
      </w:r>
      <w:r>
        <w:rPr>
          <w:rFonts w:hint="eastAsia" w:eastAsia="黑体"/>
          <w:color w:val="auto"/>
          <w:kern w:val="21"/>
          <w:sz w:val="28"/>
          <w:szCs w:val="28"/>
        </w:rPr>
        <w:t>5</w:t>
      </w:r>
      <w:r>
        <w:rPr>
          <w:rFonts w:eastAsia="黑体"/>
          <w:color w:val="auto"/>
          <w:kern w:val="21"/>
          <w:sz w:val="28"/>
          <w:szCs w:val="28"/>
        </w:rPr>
        <w:t>废水污染物及排放口信息</w:t>
      </w:r>
    </w:p>
    <w:p>
      <w:pPr>
        <w:spacing w:line="520" w:lineRule="exact"/>
        <w:ind w:firstLine="480" w:firstLineChars="200"/>
        <w:rPr>
          <w:color w:val="auto"/>
          <w:kern w:val="0"/>
          <w:sz w:val="24"/>
          <w:szCs w:val="20"/>
        </w:rPr>
        <w:sectPr>
          <w:pgSz w:w="11907" w:h="16840"/>
          <w:pgMar w:top="1440" w:right="1797" w:bottom="1440" w:left="1797" w:header="851" w:footer="992" w:gutter="0"/>
          <w:cols w:space="425" w:num="1"/>
          <w:docGrid w:linePitch="312" w:charSpace="0"/>
        </w:sectPr>
      </w:pPr>
    </w:p>
    <w:p>
      <w:pPr>
        <w:spacing w:line="520" w:lineRule="exact"/>
        <w:ind w:firstLine="480" w:firstLineChars="200"/>
        <w:rPr>
          <w:color w:val="auto"/>
          <w:kern w:val="0"/>
          <w:sz w:val="24"/>
          <w:szCs w:val="20"/>
        </w:rPr>
      </w:pPr>
      <w:r>
        <w:rPr>
          <w:color w:val="auto"/>
          <w:kern w:val="0"/>
          <w:sz w:val="24"/>
          <w:szCs w:val="20"/>
        </w:rPr>
        <w:t>本项目污染物及排放口信息情况见表</w:t>
      </w:r>
      <w:r>
        <w:rPr>
          <w:rFonts w:hint="eastAsia"/>
          <w:color w:val="auto"/>
          <w:kern w:val="0"/>
          <w:sz w:val="24"/>
          <w:szCs w:val="20"/>
        </w:rPr>
        <w:t>5.2-2</w:t>
      </w:r>
      <w:r>
        <w:rPr>
          <w:rFonts w:hint="eastAsia"/>
          <w:color w:val="auto"/>
          <w:kern w:val="0"/>
          <w:sz w:val="24"/>
          <w:szCs w:val="20"/>
          <w:lang w:eastAsia="zh-CN"/>
        </w:rPr>
        <w:t>～</w:t>
      </w:r>
      <w:r>
        <w:rPr>
          <w:color w:val="auto"/>
          <w:kern w:val="0"/>
          <w:sz w:val="24"/>
          <w:szCs w:val="20"/>
        </w:rPr>
        <w:t>表</w:t>
      </w:r>
      <w:r>
        <w:rPr>
          <w:rFonts w:hint="eastAsia"/>
          <w:color w:val="auto"/>
          <w:kern w:val="0"/>
          <w:sz w:val="24"/>
          <w:szCs w:val="20"/>
        </w:rPr>
        <w:t>5.2-3</w:t>
      </w:r>
      <w:r>
        <w:rPr>
          <w:color w:val="auto"/>
          <w:kern w:val="0"/>
          <w:sz w:val="24"/>
          <w:szCs w:val="20"/>
        </w:rPr>
        <w:t>。</w:t>
      </w:r>
    </w:p>
    <w:p>
      <w:pPr>
        <w:spacing w:before="120" w:beforeLines="50"/>
        <w:ind w:firstLine="480" w:firstLineChars="200"/>
        <w:jc w:val="center"/>
        <w:rPr>
          <w:rFonts w:eastAsia="黑体"/>
          <w:color w:val="auto"/>
          <w:sz w:val="24"/>
          <w:szCs w:val="24"/>
        </w:rPr>
      </w:pPr>
      <w:r>
        <w:rPr>
          <w:rFonts w:eastAsia="黑体"/>
          <w:color w:val="auto"/>
          <w:sz w:val="24"/>
          <w:szCs w:val="24"/>
        </w:rPr>
        <w:t>表</w:t>
      </w:r>
      <w:r>
        <w:rPr>
          <w:rFonts w:hint="eastAsia" w:eastAsia="黑体"/>
          <w:color w:val="auto"/>
          <w:sz w:val="24"/>
          <w:szCs w:val="24"/>
        </w:rPr>
        <w:t xml:space="preserve">5.2-2    </w:t>
      </w:r>
      <w:r>
        <w:rPr>
          <w:rFonts w:eastAsia="黑体"/>
          <w:color w:val="auto"/>
          <w:sz w:val="24"/>
          <w:szCs w:val="24"/>
        </w:rPr>
        <w:t>废水间接排放口基本情况表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9"/>
        <w:gridCol w:w="1537"/>
        <w:gridCol w:w="1569"/>
        <w:gridCol w:w="1228"/>
        <w:gridCol w:w="1183"/>
        <w:gridCol w:w="922"/>
        <w:gridCol w:w="1049"/>
        <w:gridCol w:w="1010"/>
        <w:gridCol w:w="1620"/>
        <w:gridCol w:w="2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504"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排放口编号</w:t>
            </w:r>
          </w:p>
        </w:tc>
        <w:tc>
          <w:tcPr>
            <w:tcW w:w="1095" w:type="pct"/>
            <w:gridSpan w:val="2"/>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排放口地理坐标</w:t>
            </w:r>
          </w:p>
        </w:tc>
        <w:tc>
          <w:tcPr>
            <w:tcW w:w="433"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废水排放量（万t/a）</w:t>
            </w:r>
          </w:p>
        </w:tc>
        <w:tc>
          <w:tcPr>
            <w:tcW w:w="417"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排放去向</w:t>
            </w:r>
          </w:p>
        </w:tc>
        <w:tc>
          <w:tcPr>
            <w:tcW w:w="325"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排放</w:t>
            </w:r>
          </w:p>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规律</w:t>
            </w:r>
          </w:p>
        </w:tc>
        <w:tc>
          <w:tcPr>
            <w:tcW w:w="370"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间歇排放时段</w:t>
            </w:r>
          </w:p>
        </w:tc>
        <w:tc>
          <w:tcPr>
            <w:tcW w:w="1854" w:type="pct"/>
            <w:gridSpan w:val="3"/>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收纳污水处理厂信息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504" w:type="pct"/>
            <w:vMerge w:val="continue"/>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p>
        </w:tc>
        <w:tc>
          <w:tcPr>
            <w:tcW w:w="542" w:type="pct"/>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经度</w:t>
            </w:r>
          </w:p>
        </w:tc>
        <w:tc>
          <w:tcPr>
            <w:tcW w:w="552" w:type="pct"/>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纬度</w:t>
            </w:r>
          </w:p>
        </w:tc>
        <w:tc>
          <w:tcPr>
            <w:tcW w:w="433" w:type="pct"/>
            <w:vMerge w:val="continue"/>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p>
        </w:tc>
        <w:tc>
          <w:tcPr>
            <w:tcW w:w="417" w:type="pct"/>
            <w:vMerge w:val="continue"/>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p>
        </w:tc>
        <w:tc>
          <w:tcPr>
            <w:tcW w:w="325" w:type="pct"/>
            <w:vMerge w:val="continue"/>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p>
        </w:tc>
        <w:tc>
          <w:tcPr>
            <w:tcW w:w="370" w:type="pct"/>
            <w:vMerge w:val="continue"/>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p>
        </w:tc>
        <w:tc>
          <w:tcPr>
            <w:tcW w:w="356" w:type="pct"/>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名称</w:t>
            </w:r>
          </w:p>
        </w:tc>
        <w:tc>
          <w:tcPr>
            <w:tcW w:w="571" w:type="pct"/>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污染物种类</w:t>
            </w:r>
          </w:p>
        </w:tc>
        <w:tc>
          <w:tcPr>
            <w:tcW w:w="926" w:type="pct"/>
            <w:tcBorders>
              <w:bottom w:val="single" w:color="auto" w:sz="4" w:space="0"/>
            </w:tcBorders>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04"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DW001</w:t>
            </w:r>
          </w:p>
        </w:tc>
        <w:tc>
          <w:tcPr>
            <w:tcW w:w="542"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113.71699333</w:t>
            </w:r>
          </w:p>
        </w:tc>
        <w:tc>
          <w:tcPr>
            <w:tcW w:w="552"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35.26530511</w:t>
            </w:r>
          </w:p>
        </w:tc>
        <w:tc>
          <w:tcPr>
            <w:tcW w:w="433"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1.3037</w:t>
            </w:r>
          </w:p>
        </w:tc>
        <w:tc>
          <w:tcPr>
            <w:tcW w:w="417"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进入</w:t>
            </w:r>
            <w:r>
              <w:rPr>
                <w:rFonts w:hint="default" w:ascii="Times New Roman" w:hAnsi="Times New Roman" w:cs="Times New Roman"/>
                <w:bCs/>
                <w:color w:val="auto"/>
                <w:sz w:val="21"/>
                <w:szCs w:val="21"/>
                <w:lang w:eastAsia="zh-CN"/>
              </w:rPr>
              <w:t>城市</w:t>
            </w:r>
            <w:r>
              <w:rPr>
                <w:rFonts w:hint="default" w:ascii="Times New Roman" w:hAnsi="Times New Roman" w:cs="Times New Roman"/>
                <w:bCs/>
                <w:color w:val="auto"/>
                <w:sz w:val="21"/>
                <w:szCs w:val="21"/>
              </w:rPr>
              <w:t>污水处理厂</w:t>
            </w:r>
          </w:p>
        </w:tc>
        <w:tc>
          <w:tcPr>
            <w:tcW w:w="325"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连续</w:t>
            </w:r>
            <w:r>
              <w:rPr>
                <w:rFonts w:hint="default" w:ascii="Times New Roman" w:hAnsi="Times New Roman" w:cs="Times New Roman"/>
                <w:bCs/>
                <w:color w:val="auto"/>
                <w:sz w:val="21"/>
                <w:szCs w:val="21"/>
                <w:lang w:eastAsia="zh-CN"/>
              </w:rPr>
              <w:t>稳定</w:t>
            </w:r>
            <w:r>
              <w:rPr>
                <w:rFonts w:hint="default" w:ascii="Times New Roman" w:hAnsi="Times New Roman" w:cs="Times New Roman"/>
                <w:bCs/>
                <w:color w:val="auto"/>
                <w:sz w:val="21"/>
                <w:szCs w:val="21"/>
              </w:rPr>
              <w:t>排放</w:t>
            </w:r>
          </w:p>
        </w:tc>
        <w:tc>
          <w:tcPr>
            <w:tcW w:w="370"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356" w:type="pct"/>
            <w:vMerge w:val="restar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同盟</w:t>
            </w:r>
          </w:p>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污水</w:t>
            </w:r>
          </w:p>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处理</w:t>
            </w:r>
          </w:p>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厂</w:t>
            </w:r>
          </w:p>
        </w:tc>
        <w:tc>
          <w:tcPr>
            <w:tcW w:w="571"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COD</w:t>
            </w:r>
          </w:p>
        </w:tc>
        <w:tc>
          <w:tcPr>
            <w:tcW w:w="926"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04"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4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5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33"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17"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25"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70"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56"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71"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NH</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rPr>
              <w:t>-N</w:t>
            </w:r>
          </w:p>
        </w:tc>
        <w:tc>
          <w:tcPr>
            <w:tcW w:w="926"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04"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4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5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33"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17"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25"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70"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56"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71"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TN</w:t>
            </w:r>
          </w:p>
        </w:tc>
        <w:tc>
          <w:tcPr>
            <w:tcW w:w="926"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04"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4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5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33"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17"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25"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70"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56"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71"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TP</w:t>
            </w:r>
          </w:p>
        </w:tc>
        <w:tc>
          <w:tcPr>
            <w:tcW w:w="926"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504"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4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52"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33"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417"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25"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70"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356" w:type="pct"/>
            <w:vMerge w:val="continue"/>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p>
        </w:tc>
        <w:tc>
          <w:tcPr>
            <w:tcW w:w="571"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b/>
                <w:bCs w:val="0"/>
                <w:color w:val="auto"/>
                <w:sz w:val="21"/>
                <w:szCs w:val="21"/>
                <w:u w:val="single"/>
                <w:lang w:val="en-US" w:eastAsia="zh-CN"/>
              </w:rPr>
            </w:pPr>
            <w:r>
              <w:rPr>
                <w:rFonts w:hint="default" w:ascii="Times New Roman" w:hAnsi="Times New Roman" w:cs="Times New Roman"/>
                <w:b/>
                <w:bCs w:val="0"/>
                <w:color w:val="auto"/>
                <w:sz w:val="21"/>
                <w:szCs w:val="21"/>
                <w:u w:val="single"/>
                <w:lang w:val="en-US" w:eastAsia="zh-CN"/>
              </w:rPr>
              <w:t>SS</w:t>
            </w:r>
          </w:p>
        </w:tc>
        <w:tc>
          <w:tcPr>
            <w:tcW w:w="926" w:type="pct"/>
            <w:vAlign w:val="center"/>
          </w:tcPr>
          <w:p>
            <w:pPr>
              <w:keepNext w:val="0"/>
              <w:keepLines w:val="0"/>
              <w:pageBreakBefore w:val="0"/>
              <w:widowControl/>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b/>
                <w:bCs w:val="0"/>
                <w:color w:val="auto"/>
                <w:sz w:val="21"/>
                <w:szCs w:val="21"/>
                <w:u w:val="single"/>
                <w:lang w:val="en-US" w:eastAsia="zh-CN"/>
              </w:rPr>
            </w:pPr>
            <w:r>
              <w:rPr>
                <w:rFonts w:hint="default" w:ascii="Times New Roman" w:hAnsi="Times New Roman" w:cs="Times New Roman"/>
                <w:b/>
                <w:bCs w:val="0"/>
                <w:color w:val="auto"/>
                <w:sz w:val="21"/>
                <w:szCs w:val="21"/>
                <w:u w:val="single"/>
                <w:lang w:val="en-US" w:eastAsia="zh-CN"/>
              </w:rPr>
              <w:t>10</w:t>
            </w:r>
          </w:p>
        </w:tc>
      </w:tr>
    </w:tbl>
    <w:p>
      <w:pPr>
        <w:ind w:firstLine="420" w:firstLineChars="200"/>
        <w:jc w:val="center"/>
        <w:rPr>
          <w:rFonts w:eastAsia="黑体"/>
          <w:bCs/>
          <w:color w:val="auto"/>
        </w:rPr>
        <w:sectPr>
          <w:pgSz w:w="16840" w:h="11907" w:orient="landscape"/>
          <w:pgMar w:top="1797" w:right="1440" w:bottom="1797" w:left="1440" w:header="851" w:footer="992" w:gutter="0"/>
          <w:cols w:space="425" w:num="1"/>
          <w:docGrid w:linePitch="312" w:charSpace="0"/>
        </w:sectPr>
      </w:pPr>
    </w:p>
    <w:p>
      <w:pPr>
        <w:spacing w:before="120" w:beforeLines="50"/>
        <w:ind w:firstLine="480" w:firstLineChars="200"/>
        <w:jc w:val="center"/>
        <w:rPr>
          <w:rFonts w:eastAsia="黑体"/>
          <w:color w:val="auto"/>
          <w:sz w:val="24"/>
          <w:szCs w:val="24"/>
        </w:rPr>
      </w:pPr>
      <w:r>
        <w:rPr>
          <w:rFonts w:eastAsia="黑体"/>
          <w:color w:val="auto"/>
          <w:sz w:val="24"/>
          <w:szCs w:val="24"/>
        </w:rPr>
        <w:t>表</w:t>
      </w:r>
      <w:r>
        <w:rPr>
          <w:rFonts w:hint="eastAsia" w:eastAsia="黑体"/>
          <w:color w:val="auto"/>
          <w:sz w:val="24"/>
          <w:szCs w:val="24"/>
        </w:rPr>
        <w:t>5.2-3</w:t>
      </w:r>
      <w:r>
        <w:rPr>
          <w:rFonts w:eastAsia="黑体"/>
          <w:color w:val="auto"/>
          <w:sz w:val="24"/>
          <w:szCs w:val="24"/>
        </w:rPr>
        <w:t xml:space="preserve">   废水污染物厂区排放信息表（新建项目）</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0"/>
        <w:gridCol w:w="1515"/>
        <w:gridCol w:w="1499"/>
        <w:gridCol w:w="1598"/>
        <w:gridCol w:w="15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Align w:val="center"/>
          </w:tcPr>
          <w:p>
            <w:pPr>
              <w:jc w:val="center"/>
              <w:rPr>
                <w:b/>
                <w:bCs w:val="0"/>
                <w:color w:val="auto"/>
              </w:rPr>
            </w:pPr>
            <w:r>
              <w:rPr>
                <w:b/>
                <w:bCs w:val="0"/>
                <w:color w:val="auto"/>
              </w:rPr>
              <w:t>排放口编号</w:t>
            </w:r>
          </w:p>
        </w:tc>
        <w:tc>
          <w:tcPr>
            <w:tcW w:w="1515" w:type="dxa"/>
            <w:vAlign w:val="center"/>
          </w:tcPr>
          <w:p>
            <w:pPr>
              <w:jc w:val="center"/>
              <w:rPr>
                <w:b/>
                <w:bCs w:val="0"/>
                <w:color w:val="auto"/>
              </w:rPr>
            </w:pPr>
            <w:r>
              <w:rPr>
                <w:b/>
                <w:bCs w:val="0"/>
                <w:color w:val="auto"/>
              </w:rPr>
              <w:t>污染物种类</w:t>
            </w:r>
          </w:p>
        </w:tc>
        <w:tc>
          <w:tcPr>
            <w:tcW w:w="1499" w:type="dxa"/>
            <w:vAlign w:val="center"/>
          </w:tcPr>
          <w:p>
            <w:pPr>
              <w:jc w:val="center"/>
              <w:rPr>
                <w:b/>
                <w:bCs w:val="0"/>
                <w:color w:val="auto"/>
              </w:rPr>
            </w:pPr>
            <w:r>
              <w:rPr>
                <w:b/>
                <w:bCs w:val="0"/>
                <w:color w:val="auto"/>
              </w:rPr>
              <w:t>排放浓度（mg/L）</w:t>
            </w:r>
          </w:p>
        </w:tc>
        <w:tc>
          <w:tcPr>
            <w:tcW w:w="1598" w:type="dxa"/>
            <w:vAlign w:val="center"/>
          </w:tcPr>
          <w:p>
            <w:pPr>
              <w:jc w:val="center"/>
              <w:rPr>
                <w:b/>
                <w:bCs w:val="0"/>
                <w:color w:val="auto"/>
              </w:rPr>
            </w:pPr>
            <w:r>
              <w:rPr>
                <w:b/>
                <w:bCs w:val="0"/>
                <w:color w:val="auto"/>
              </w:rPr>
              <w:t>日排放量（t/d）</w:t>
            </w:r>
          </w:p>
        </w:tc>
        <w:tc>
          <w:tcPr>
            <w:tcW w:w="1594" w:type="dxa"/>
            <w:vAlign w:val="center"/>
          </w:tcPr>
          <w:p>
            <w:pPr>
              <w:jc w:val="center"/>
              <w:rPr>
                <w:b/>
                <w:bCs w:val="0"/>
                <w:color w:val="auto"/>
              </w:rPr>
            </w:pPr>
            <w:r>
              <w:rPr>
                <w:b/>
                <w:bCs w:val="0"/>
                <w:color w:val="auto"/>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restart"/>
            <w:vAlign w:val="center"/>
          </w:tcPr>
          <w:p>
            <w:pPr>
              <w:jc w:val="center"/>
              <w:rPr>
                <w:bCs/>
                <w:color w:val="auto"/>
              </w:rPr>
            </w:pPr>
            <w:r>
              <w:rPr>
                <w:bCs/>
                <w:color w:val="auto"/>
              </w:rPr>
              <w:t>DW001</w:t>
            </w:r>
          </w:p>
        </w:tc>
        <w:tc>
          <w:tcPr>
            <w:tcW w:w="1515" w:type="dxa"/>
            <w:vAlign w:val="center"/>
          </w:tcPr>
          <w:p>
            <w:pPr>
              <w:jc w:val="center"/>
              <w:rPr>
                <w:bCs/>
                <w:color w:val="auto"/>
              </w:rPr>
            </w:pPr>
            <w:r>
              <w:rPr>
                <w:bCs/>
                <w:color w:val="auto"/>
              </w:rPr>
              <w:t>COD</w:t>
            </w:r>
          </w:p>
        </w:tc>
        <w:tc>
          <w:tcPr>
            <w:tcW w:w="1499" w:type="dxa"/>
            <w:vAlign w:val="center"/>
          </w:tcPr>
          <w:p>
            <w:pPr>
              <w:jc w:val="center"/>
              <w:rPr>
                <w:bCs/>
                <w:color w:val="auto"/>
              </w:rPr>
            </w:pPr>
            <w:r>
              <w:rPr>
                <w:rFonts w:hint="eastAsia"/>
                <w:bCs/>
                <w:color w:val="auto"/>
              </w:rPr>
              <w:t>70.85</w:t>
            </w:r>
          </w:p>
        </w:tc>
        <w:tc>
          <w:tcPr>
            <w:tcW w:w="1598" w:type="dxa"/>
            <w:vAlign w:val="center"/>
          </w:tcPr>
          <w:p>
            <w:pPr>
              <w:jc w:val="center"/>
              <w:rPr>
                <w:bCs/>
                <w:color w:val="auto"/>
              </w:rPr>
            </w:pPr>
            <w:r>
              <w:rPr>
                <w:rFonts w:hint="eastAsia"/>
                <w:bCs/>
                <w:color w:val="auto"/>
              </w:rPr>
              <w:t>0.002799</w:t>
            </w:r>
          </w:p>
        </w:tc>
        <w:tc>
          <w:tcPr>
            <w:tcW w:w="1594" w:type="dxa"/>
            <w:vAlign w:val="center"/>
          </w:tcPr>
          <w:p>
            <w:pPr>
              <w:jc w:val="center"/>
              <w:rPr>
                <w:bCs/>
                <w:color w:val="auto"/>
              </w:rPr>
            </w:pPr>
            <w:r>
              <w:rPr>
                <w:rFonts w:hint="eastAsia"/>
                <w:bCs/>
                <w:color w:val="auto"/>
              </w:rPr>
              <w:t>0.924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1515" w:type="dxa"/>
            <w:vAlign w:val="center"/>
          </w:tcPr>
          <w:p>
            <w:pPr>
              <w:jc w:val="center"/>
              <w:rPr>
                <w:bCs/>
                <w:color w:val="auto"/>
              </w:rPr>
            </w:pPr>
            <w:r>
              <w:rPr>
                <w:bCs/>
                <w:color w:val="auto"/>
              </w:rPr>
              <w:t>NH</w:t>
            </w:r>
            <w:r>
              <w:rPr>
                <w:bCs/>
                <w:color w:val="auto"/>
                <w:vertAlign w:val="subscript"/>
              </w:rPr>
              <w:t>3</w:t>
            </w:r>
            <w:r>
              <w:rPr>
                <w:bCs/>
                <w:color w:val="auto"/>
              </w:rPr>
              <w:t>-N</w:t>
            </w:r>
          </w:p>
        </w:tc>
        <w:tc>
          <w:tcPr>
            <w:tcW w:w="1499" w:type="dxa"/>
            <w:vAlign w:val="center"/>
          </w:tcPr>
          <w:p>
            <w:pPr>
              <w:jc w:val="center"/>
              <w:rPr>
                <w:bCs/>
                <w:color w:val="auto"/>
              </w:rPr>
            </w:pPr>
            <w:r>
              <w:rPr>
                <w:rFonts w:hint="eastAsia"/>
                <w:bCs/>
                <w:color w:val="auto"/>
              </w:rPr>
              <w:t>3.42</w:t>
            </w:r>
          </w:p>
        </w:tc>
        <w:tc>
          <w:tcPr>
            <w:tcW w:w="1598" w:type="dxa"/>
            <w:vAlign w:val="center"/>
          </w:tcPr>
          <w:p>
            <w:pPr>
              <w:jc w:val="center"/>
              <w:rPr>
                <w:bCs/>
                <w:color w:val="auto"/>
              </w:rPr>
            </w:pPr>
            <w:r>
              <w:rPr>
                <w:rFonts w:hint="eastAsia"/>
                <w:bCs/>
                <w:color w:val="auto"/>
              </w:rPr>
              <w:t>0.000135</w:t>
            </w:r>
          </w:p>
        </w:tc>
        <w:tc>
          <w:tcPr>
            <w:tcW w:w="1594" w:type="dxa"/>
            <w:vAlign w:val="center"/>
          </w:tcPr>
          <w:p>
            <w:pPr>
              <w:jc w:val="center"/>
              <w:rPr>
                <w:bCs/>
                <w:color w:val="auto"/>
              </w:rPr>
            </w:pPr>
            <w:r>
              <w:rPr>
                <w:rFonts w:hint="eastAsia"/>
                <w:bCs/>
                <w:color w:val="auto"/>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1515" w:type="dxa"/>
            <w:vAlign w:val="center"/>
          </w:tcPr>
          <w:p>
            <w:pPr>
              <w:jc w:val="center"/>
              <w:rPr>
                <w:bCs/>
                <w:color w:val="auto"/>
              </w:rPr>
            </w:pPr>
            <w:r>
              <w:rPr>
                <w:rFonts w:hint="eastAsia"/>
                <w:bCs/>
                <w:color w:val="auto"/>
              </w:rPr>
              <w:t>TP</w:t>
            </w:r>
          </w:p>
        </w:tc>
        <w:tc>
          <w:tcPr>
            <w:tcW w:w="1499" w:type="dxa"/>
            <w:vAlign w:val="center"/>
          </w:tcPr>
          <w:p>
            <w:pPr>
              <w:jc w:val="center"/>
              <w:rPr>
                <w:bCs/>
                <w:color w:val="auto"/>
              </w:rPr>
            </w:pPr>
            <w:r>
              <w:rPr>
                <w:rFonts w:hint="eastAsia"/>
                <w:bCs/>
                <w:color w:val="auto"/>
              </w:rPr>
              <w:t>0.34</w:t>
            </w:r>
          </w:p>
        </w:tc>
        <w:tc>
          <w:tcPr>
            <w:tcW w:w="1598" w:type="dxa"/>
            <w:vAlign w:val="center"/>
          </w:tcPr>
          <w:p>
            <w:pPr>
              <w:jc w:val="center"/>
              <w:rPr>
                <w:bCs/>
                <w:color w:val="auto"/>
              </w:rPr>
            </w:pPr>
            <w:r>
              <w:rPr>
                <w:rFonts w:hint="eastAsia"/>
                <w:bCs/>
                <w:color w:val="auto"/>
              </w:rPr>
              <w:t>0.0000135</w:t>
            </w:r>
          </w:p>
        </w:tc>
        <w:tc>
          <w:tcPr>
            <w:tcW w:w="1594" w:type="dxa"/>
            <w:vAlign w:val="center"/>
          </w:tcPr>
          <w:p>
            <w:pPr>
              <w:jc w:val="center"/>
              <w:rPr>
                <w:bCs/>
                <w:color w:val="auto"/>
              </w:rPr>
            </w:pPr>
            <w:r>
              <w:rPr>
                <w:rFonts w:hint="eastAsia"/>
                <w:bCs/>
                <w:color w:val="auto"/>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1515" w:type="dxa"/>
            <w:vAlign w:val="center"/>
          </w:tcPr>
          <w:p>
            <w:pPr>
              <w:jc w:val="center"/>
              <w:rPr>
                <w:bCs/>
                <w:color w:val="auto"/>
              </w:rPr>
            </w:pPr>
            <w:r>
              <w:rPr>
                <w:rFonts w:hint="eastAsia"/>
                <w:bCs/>
                <w:color w:val="auto"/>
              </w:rPr>
              <w:t>TN</w:t>
            </w:r>
          </w:p>
        </w:tc>
        <w:tc>
          <w:tcPr>
            <w:tcW w:w="1499" w:type="dxa"/>
            <w:vAlign w:val="center"/>
          </w:tcPr>
          <w:p>
            <w:pPr>
              <w:jc w:val="center"/>
              <w:rPr>
                <w:bCs/>
                <w:color w:val="auto"/>
              </w:rPr>
            </w:pPr>
            <w:r>
              <w:rPr>
                <w:rFonts w:hint="eastAsia"/>
                <w:bCs/>
                <w:color w:val="auto"/>
              </w:rPr>
              <w:t>5.47</w:t>
            </w:r>
          </w:p>
        </w:tc>
        <w:tc>
          <w:tcPr>
            <w:tcW w:w="1598" w:type="dxa"/>
            <w:vAlign w:val="center"/>
          </w:tcPr>
          <w:p>
            <w:pPr>
              <w:jc w:val="center"/>
              <w:rPr>
                <w:bCs/>
                <w:color w:val="auto"/>
              </w:rPr>
            </w:pPr>
            <w:r>
              <w:rPr>
                <w:rFonts w:hint="eastAsia"/>
                <w:bCs/>
                <w:color w:val="auto"/>
              </w:rPr>
              <w:t>0.000216</w:t>
            </w:r>
          </w:p>
        </w:tc>
        <w:tc>
          <w:tcPr>
            <w:tcW w:w="1594" w:type="dxa"/>
            <w:vAlign w:val="center"/>
          </w:tcPr>
          <w:p>
            <w:pPr>
              <w:jc w:val="center"/>
              <w:rPr>
                <w:bCs/>
                <w:color w:val="auto"/>
              </w:rPr>
            </w:pPr>
            <w:r>
              <w:rPr>
                <w:rFonts w:hint="eastAsia"/>
                <w:bCs/>
                <w:color w:val="auto"/>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1515" w:type="dxa"/>
            <w:vAlign w:val="center"/>
          </w:tcPr>
          <w:p>
            <w:pPr>
              <w:jc w:val="center"/>
              <w:rPr>
                <w:bCs/>
                <w:color w:val="auto"/>
              </w:rPr>
            </w:pPr>
            <w:r>
              <w:rPr>
                <w:rFonts w:hint="eastAsia"/>
                <w:bCs/>
                <w:color w:val="auto"/>
              </w:rPr>
              <w:t>SS</w:t>
            </w:r>
          </w:p>
        </w:tc>
        <w:tc>
          <w:tcPr>
            <w:tcW w:w="1499" w:type="dxa"/>
            <w:vAlign w:val="center"/>
          </w:tcPr>
          <w:p>
            <w:pPr>
              <w:jc w:val="center"/>
              <w:rPr>
                <w:bCs/>
                <w:color w:val="auto"/>
              </w:rPr>
            </w:pPr>
            <w:r>
              <w:rPr>
                <w:rFonts w:hint="eastAsia"/>
                <w:bCs/>
                <w:color w:val="auto"/>
              </w:rPr>
              <w:t>64.22</w:t>
            </w:r>
          </w:p>
        </w:tc>
        <w:tc>
          <w:tcPr>
            <w:tcW w:w="1598" w:type="dxa"/>
            <w:vAlign w:val="center"/>
          </w:tcPr>
          <w:p>
            <w:pPr>
              <w:jc w:val="center"/>
              <w:rPr>
                <w:bCs/>
                <w:color w:val="auto"/>
              </w:rPr>
            </w:pPr>
            <w:r>
              <w:rPr>
                <w:rFonts w:hint="eastAsia"/>
                <w:bCs/>
                <w:color w:val="auto"/>
              </w:rPr>
              <w:t>0.002537</w:t>
            </w:r>
          </w:p>
        </w:tc>
        <w:tc>
          <w:tcPr>
            <w:tcW w:w="1594" w:type="dxa"/>
            <w:vAlign w:val="center"/>
          </w:tcPr>
          <w:p>
            <w:pPr>
              <w:jc w:val="center"/>
              <w:rPr>
                <w:bCs/>
                <w:color w:val="auto"/>
              </w:rPr>
            </w:pPr>
            <w:r>
              <w:rPr>
                <w:rFonts w:hint="eastAsia"/>
                <w:bCs/>
                <w:color w:val="auto"/>
              </w:rPr>
              <w:t>0.837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restart"/>
            <w:vAlign w:val="center"/>
          </w:tcPr>
          <w:p>
            <w:pPr>
              <w:jc w:val="center"/>
              <w:rPr>
                <w:bCs/>
                <w:color w:val="auto"/>
              </w:rPr>
            </w:pPr>
            <w:r>
              <w:rPr>
                <w:bCs/>
                <w:color w:val="auto"/>
              </w:rPr>
              <w:t>全厂排放口合计</w:t>
            </w:r>
          </w:p>
        </w:tc>
        <w:tc>
          <w:tcPr>
            <w:tcW w:w="4612" w:type="dxa"/>
            <w:gridSpan w:val="3"/>
            <w:vAlign w:val="center"/>
          </w:tcPr>
          <w:p>
            <w:pPr>
              <w:jc w:val="center"/>
              <w:rPr>
                <w:bCs/>
                <w:color w:val="auto"/>
              </w:rPr>
            </w:pPr>
            <w:r>
              <w:rPr>
                <w:bCs/>
                <w:color w:val="auto"/>
              </w:rPr>
              <w:t>COD</w:t>
            </w:r>
          </w:p>
        </w:tc>
        <w:tc>
          <w:tcPr>
            <w:tcW w:w="1594" w:type="dxa"/>
            <w:vAlign w:val="center"/>
          </w:tcPr>
          <w:p>
            <w:pPr>
              <w:jc w:val="center"/>
              <w:rPr>
                <w:bCs/>
                <w:color w:val="auto"/>
              </w:rPr>
            </w:pPr>
            <w:r>
              <w:rPr>
                <w:rFonts w:hint="eastAsia"/>
                <w:bCs/>
                <w:color w:val="auto"/>
              </w:rPr>
              <w:t>0.924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4612" w:type="dxa"/>
            <w:gridSpan w:val="3"/>
            <w:vAlign w:val="center"/>
          </w:tcPr>
          <w:p>
            <w:pPr>
              <w:jc w:val="center"/>
              <w:rPr>
                <w:bCs/>
                <w:color w:val="auto"/>
              </w:rPr>
            </w:pPr>
            <w:r>
              <w:rPr>
                <w:bCs/>
                <w:color w:val="auto"/>
              </w:rPr>
              <w:t>NH</w:t>
            </w:r>
            <w:r>
              <w:rPr>
                <w:bCs/>
                <w:color w:val="auto"/>
                <w:vertAlign w:val="subscript"/>
              </w:rPr>
              <w:t>3</w:t>
            </w:r>
            <w:r>
              <w:rPr>
                <w:bCs/>
                <w:color w:val="auto"/>
              </w:rPr>
              <w:t>-N</w:t>
            </w:r>
          </w:p>
        </w:tc>
        <w:tc>
          <w:tcPr>
            <w:tcW w:w="1594" w:type="dxa"/>
            <w:vAlign w:val="center"/>
          </w:tcPr>
          <w:p>
            <w:pPr>
              <w:jc w:val="center"/>
              <w:rPr>
                <w:bCs/>
                <w:color w:val="auto"/>
              </w:rPr>
            </w:pPr>
            <w:r>
              <w:rPr>
                <w:rFonts w:hint="eastAsia"/>
                <w:bCs/>
                <w:color w:val="auto"/>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4612" w:type="dxa"/>
            <w:gridSpan w:val="3"/>
            <w:vAlign w:val="center"/>
          </w:tcPr>
          <w:p>
            <w:pPr>
              <w:jc w:val="center"/>
              <w:rPr>
                <w:bCs/>
                <w:color w:val="auto"/>
              </w:rPr>
            </w:pPr>
            <w:r>
              <w:rPr>
                <w:rFonts w:hint="eastAsia"/>
                <w:bCs/>
                <w:color w:val="auto"/>
              </w:rPr>
              <w:t>TN</w:t>
            </w:r>
          </w:p>
        </w:tc>
        <w:tc>
          <w:tcPr>
            <w:tcW w:w="1594" w:type="dxa"/>
            <w:vAlign w:val="center"/>
          </w:tcPr>
          <w:p>
            <w:pPr>
              <w:jc w:val="center"/>
              <w:rPr>
                <w:bCs/>
                <w:color w:val="auto"/>
              </w:rPr>
            </w:pPr>
            <w:r>
              <w:rPr>
                <w:rFonts w:hint="eastAsia"/>
                <w:bCs/>
                <w:color w:val="auto"/>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4612" w:type="dxa"/>
            <w:gridSpan w:val="3"/>
            <w:vAlign w:val="center"/>
          </w:tcPr>
          <w:p>
            <w:pPr>
              <w:jc w:val="center"/>
              <w:rPr>
                <w:bCs/>
                <w:color w:val="auto"/>
              </w:rPr>
            </w:pPr>
            <w:r>
              <w:rPr>
                <w:rFonts w:hint="eastAsia"/>
                <w:bCs/>
                <w:color w:val="auto"/>
              </w:rPr>
              <w:t>TP</w:t>
            </w:r>
          </w:p>
        </w:tc>
        <w:tc>
          <w:tcPr>
            <w:tcW w:w="1594" w:type="dxa"/>
            <w:vAlign w:val="center"/>
          </w:tcPr>
          <w:p>
            <w:pPr>
              <w:jc w:val="center"/>
              <w:rPr>
                <w:bCs/>
                <w:color w:val="auto"/>
              </w:rPr>
            </w:pPr>
            <w:r>
              <w:rPr>
                <w:rFonts w:hint="eastAsia"/>
                <w:bCs/>
                <w:color w:val="auto"/>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0" w:type="dxa"/>
            <w:vMerge w:val="continue"/>
            <w:vAlign w:val="center"/>
          </w:tcPr>
          <w:p>
            <w:pPr>
              <w:jc w:val="center"/>
              <w:rPr>
                <w:bCs/>
                <w:color w:val="auto"/>
              </w:rPr>
            </w:pPr>
          </w:p>
        </w:tc>
        <w:tc>
          <w:tcPr>
            <w:tcW w:w="4612" w:type="dxa"/>
            <w:gridSpan w:val="3"/>
            <w:vAlign w:val="center"/>
          </w:tcPr>
          <w:p>
            <w:pPr>
              <w:jc w:val="center"/>
              <w:rPr>
                <w:bCs/>
                <w:color w:val="auto"/>
              </w:rPr>
            </w:pPr>
            <w:r>
              <w:rPr>
                <w:rFonts w:hint="eastAsia"/>
                <w:bCs/>
                <w:color w:val="auto"/>
              </w:rPr>
              <w:t>SS</w:t>
            </w:r>
          </w:p>
        </w:tc>
        <w:tc>
          <w:tcPr>
            <w:tcW w:w="1594" w:type="dxa"/>
            <w:vAlign w:val="center"/>
          </w:tcPr>
          <w:p>
            <w:pPr>
              <w:jc w:val="center"/>
              <w:rPr>
                <w:bCs/>
                <w:color w:val="auto"/>
              </w:rPr>
            </w:pPr>
            <w:r>
              <w:rPr>
                <w:rFonts w:hint="eastAsia"/>
                <w:bCs/>
                <w:color w:val="auto"/>
              </w:rPr>
              <w:t>0.837</w:t>
            </w:r>
          </w:p>
        </w:tc>
      </w:tr>
    </w:tbl>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5.2.</w:t>
      </w:r>
      <w:r>
        <w:rPr>
          <w:rFonts w:hint="eastAsia" w:eastAsia="黑体"/>
          <w:color w:val="auto"/>
          <w:kern w:val="21"/>
          <w:sz w:val="28"/>
          <w:szCs w:val="28"/>
        </w:rPr>
        <w:t>6</w:t>
      </w:r>
      <w:r>
        <w:rPr>
          <w:rFonts w:eastAsia="黑体"/>
          <w:color w:val="auto"/>
          <w:kern w:val="21"/>
          <w:sz w:val="28"/>
          <w:szCs w:val="28"/>
        </w:rPr>
        <w:t>地表水环境影响评价自查表</w:t>
      </w:r>
    </w:p>
    <w:p>
      <w:pPr>
        <w:adjustRightInd w:val="0"/>
        <w:snapToGrid w:val="0"/>
        <w:jc w:val="center"/>
        <w:rPr>
          <w:color w:val="auto"/>
          <w:kern w:val="21"/>
          <w:sz w:val="24"/>
          <w:szCs w:val="24"/>
        </w:rPr>
      </w:pPr>
      <w:r>
        <w:rPr>
          <w:rFonts w:eastAsia="黑体"/>
          <w:color w:val="auto"/>
          <w:kern w:val="21"/>
          <w:sz w:val="24"/>
          <w:szCs w:val="24"/>
        </w:rPr>
        <w:t>表5.2-2    地表水环境影响评价自查表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5"/>
        <w:gridCol w:w="1380"/>
        <w:gridCol w:w="1728"/>
        <w:gridCol w:w="1116"/>
        <w:gridCol w:w="826"/>
        <w:gridCol w:w="398"/>
        <w:gridCol w:w="148"/>
        <w:gridCol w:w="1040"/>
        <w:gridCol w:w="156"/>
        <w:gridCol w:w="1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5" w:type="dxa"/>
            <w:gridSpan w:val="2"/>
            <w:vAlign w:val="center"/>
          </w:tcPr>
          <w:p>
            <w:pPr>
              <w:tabs>
                <w:tab w:val="left" w:pos="757"/>
              </w:tabs>
              <w:adjustRightInd w:val="0"/>
              <w:snapToGrid w:val="0"/>
              <w:jc w:val="center"/>
              <w:rPr>
                <w:b/>
                <w:bCs/>
                <w:color w:val="auto"/>
                <w:kern w:val="21"/>
              </w:rPr>
            </w:pPr>
            <w:bookmarkStart w:id="335" w:name="5.4__营运期地下水环境影响分析"/>
            <w:bookmarkEnd w:id="335"/>
            <w:r>
              <w:rPr>
                <w:b/>
                <w:bCs/>
                <w:color w:val="auto"/>
                <w:kern w:val="21"/>
              </w:rPr>
              <w:t>工作内容</w:t>
            </w:r>
          </w:p>
        </w:tc>
        <w:tc>
          <w:tcPr>
            <w:tcW w:w="6549" w:type="dxa"/>
            <w:gridSpan w:val="8"/>
            <w:vAlign w:val="center"/>
          </w:tcPr>
          <w:p>
            <w:pPr>
              <w:tabs>
                <w:tab w:val="left" w:pos="757"/>
              </w:tabs>
              <w:adjustRightInd w:val="0"/>
              <w:snapToGrid w:val="0"/>
              <w:jc w:val="center"/>
              <w:rPr>
                <w:b/>
                <w:bCs/>
                <w:color w:val="auto"/>
                <w:kern w:val="21"/>
              </w:rPr>
            </w:pPr>
            <w:r>
              <w:rPr>
                <w:b/>
                <w:bCs/>
                <w:color w:val="auto"/>
                <w:kern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restart"/>
            <w:vAlign w:val="center"/>
          </w:tcPr>
          <w:p>
            <w:pPr>
              <w:tabs>
                <w:tab w:val="left" w:pos="757"/>
              </w:tabs>
              <w:adjustRightInd w:val="0"/>
              <w:snapToGrid w:val="0"/>
              <w:rPr>
                <w:color w:val="auto"/>
                <w:kern w:val="21"/>
              </w:rPr>
            </w:pPr>
            <w:r>
              <w:rPr>
                <w:color w:val="auto"/>
                <w:kern w:val="21"/>
              </w:rPr>
              <w:t>影响识别</w:t>
            </w:r>
          </w:p>
        </w:tc>
        <w:tc>
          <w:tcPr>
            <w:tcW w:w="1380" w:type="dxa"/>
            <w:vAlign w:val="center"/>
          </w:tcPr>
          <w:p>
            <w:pPr>
              <w:tabs>
                <w:tab w:val="left" w:pos="757"/>
              </w:tabs>
              <w:adjustRightInd w:val="0"/>
              <w:snapToGrid w:val="0"/>
              <w:rPr>
                <w:color w:val="auto"/>
                <w:kern w:val="21"/>
              </w:rPr>
            </w:pPr>
            <w:r>
              <w:rPr>
                <w:color w:val="auto"/>
                <w:kern w:val="21"/>
              </w:rPr>
              <w:t>影响类型</w:t>
            </w:r>
          </w:p>
        </w:tc>
        <w:tc>
          <w:tcPr>
            <w:tcW w:w="6549" w:type="dxa"/>
            <w:gridSpan w:val="8"/>
            <w:vAlign w:val="center"/>
          </w:tcPr>
          <w:p>
            <w:pPr>
              <w:tabs>
                <w:tab w:val="left" w:pos="757"/>
              </w:tabs>
              <w:adjustRightInd w:val="0"/>
              <w:snapToGrid w:val="0"/>
              <w:rPr>
                <w:color w:val="auto"/>
                <w:kern w:val="21"/>
              </w:rPr>
            </w:pPr>
            <w:r>
              <w:rPr>
                <w:color w:val="auto"/>
                <w:kern w:val="21"/>
              </w:rPr>
              <w:t>水污染影响型</w:t>
            </w:r>
            <w:r>
              <w:rPr>
                <w:color w:val="auto"/>
                <w:kern w:val="21"/>
              </w:rPr>
              <w:sym w:font="Wingdings 2" w:char="0052"/>
            </w:r>
            <w:r>
              <w:rPr>
                <w:color w:val="auto"/>
                <w:kern w:val="21"/>
              </w:rPr>
              <w:t>；水文要素影响型</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水环境保护目标</w:t>
            </w:r>
          </w:p>
        </w:tc>
        <w:tc>
          <w:tcPr>
            <w:tcW w:w="6549" w:type="dxa"/>
            <w:gridSpan w:val="8"/>
            <w:vAlign w:val="center"/>
          </w:tcPr>
          <w:p>
            <w:pPr>
              <w:tabs>
                <w:tab w:val="left" w:pos="757"/>
              </w:tabs>
              <w:adjustRightInd w:val="0"/>
              <w:snapToGrid w:val="0"/>
              <w:rPr>
                <w:color w:val="auto"/>
                <w:kern w:val="21"/>
              </w:rPr>
            </w:pPr>
            <w:r>
              <w:rPr>
                <w:color w:val="auto"/>
                <w:kern w:val="21"/>
              </w:rPr>
              <w:t>饮用水水源保护区</w:t>
            </w:r>
            <w:r>
              <w:rPr>
                <w:color w:val="auto"/>
                <w:kern w:val="21"/>
              </w:rPr>
              <w:sym w:font="Wingdings 2" w:char="00A3"/>
            </w:r>
            <w:r>
              <w:rPr>
                <w:color w:val="auto"/>
                <w:kern w:val="21"/>
              </w:rPr>
              <w:t>；饮用水取水口</w:t>
            </w:r>
            <w:r>
              <w:rPr>
                <w:color w:val="auto"/>
                <w:kern w:val="21"/>
              </w:rPr>
              <w:sym w:font="Wingdings 2" w:char="00A3"/>
            </w:r>
            <w:r>
              <w:rPr>
                <w:color w:val="auto"/>
                <w:kern w:val="21"/>
              </w:rPr>
              <w:t>；涉及的自然保护区</w:t>
            </w:r>
            <w:r>
              <w:rPr>
                <w:color w:val="auto"/>
                <w:kern w:val="21"/>
              </w:rPr>
              <w:sym w:font="Wingdings 2" w:char="00A3"/>
            </w:r>
            <w:r>
              <w:rPr>
                <w:color w:val="auto"/>
                <w:kern w:val="21"/>
              </w:rPr>
              <w:t>；涉及的风景名胜区</w:t>
            </w:r>
            <w:r>
              <w:rPr>
                <w:color w:val="auto"/>
                <w:kern w:val="21"/>
              </w:rPr>
              <w:sym w:font="Wingdings 2" w:char="00A3"/>
            </w:r>
            <w:r>
              <w:rPr>
                <w:color w:val="auto"/>
                <w:kern w:val="21"/>
              </w:rPr>
              <w:t>；重要湿地</w:t>
            </w:r>
            <w:r>
              <w:rPr>
                <w:color w:val="auto"/>
                <w:kern w:val="21"/>
              </w:rPr>
              <w:sym w:font="Wingdings 2" w:char="00A3"/>
            </w:r>
            <w:r>
              <w:rPr>
                <w:color w:val="auto"/>
                <w:kern w:val="21"/>
              </w:rPr>
              <w:t>；重要保护与珍稀水生生物的栖息地</w:t>
            </w:r>
            <w:r>
              <w:rPr>
                <w:color w:val="auto"/>
                <w:kern w:val="21"/>
              </w:rPr>
              <w:sym w:font="Wingdings 2" w:char="00A3"/>
            </w:r>
            <w:r>
              <w:rPr>
                <w:color w:val="auto"/>
                <w:kern w:val="21"/>
              </w:rPr>
              <w:t>；重要水生生物的自然产卵及索铒场、越冬场和洄游通道</w:t>
            </w:r>
            <w:r>
              <w:rPr>
                <w:color w:val="auto"/>
                <w:kern w:val="21"/>
              </w:rPr>
              <w:sym w:font="Wingdings 2" w:char="00A3"/>
            </w:r>
            <w:r>
              <w:rPr>
                <w:color w:val="auto"/>
                <w:kern w:val="21"/>
              </w:rPr>
              <w:t>；天然渔场等渔业水体</w:t>
            </w:r>
            <w:r>
              <w:rPr>
                <w:color w:val="auto"/>
                <w:kern w:val="21"/>
              </w:rPr>
              <w:sym w:font="Wingdings 2" w:char="00A3"/>
            </w:r>
            <w:r>
              <w:rPr>
                <w:color w:val="auto"/>
                <w:kern w:val="21"/>
              </w:rPr>
              <w:t>；水产种质资源保护区</w:t>
            </w:r>
            <w:r>
              <w:rPr>
                <w:color w:val="auto"/>
                <w:kern w:val="21"/>
              </w:rPr>
              <w:sym w:font="Wingdings 2" w:char="00A3"/>
            </w:r>
            <w:r>
              <w:rPr>
                <w:color w:val="auto"/>
                <w:kern w:val="21"/>
              </w:rPr>
              <w:t>；其他</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影响途径</w:t>
            </w:r>
          </w:p>
        </w:tc>
        <w:tc>
          <w:tcPr>
            <w:tcW w:w="3670" w:type="dxa"/>
            <w:gridSpan w:val="3"/>
            <w:vAlign w:val="center"/>
          </w:tcPr>
          <w:p>
            <w:pPr>
              <w:tabs>
                <w:tab w:val="left" w:pos="757"/>
              </w:tabs>
              <w:adjustRightInd w:val="0"/>
              <w:snapToGrid w:val="0"/>
              <w:rPr>
                <w:color w:val="auto"/>
                <w:kern w:val="21"/>
              </w:rPr>
            </w:pPr>
            <w:r>
              <w:rPr>
                <w:color w:val="auto"/>
                <w:kern w:val="21"/>
              </w:rPr>
              <w:t>水污染影响型</w:t>
            </w:r>
          </w:p>
        </w:tc>
        <w:tc>
          <w:tcPr>
            <w:tcW w:w="2879" w:type="dxa"/>
            <w:gridSpan w:val="5"/>
            <w:vAlign w:val="center"/>
          </w:tcPr>
          <w:p>
            <w:pPr>
              <w:tabs>
                <w:tab w:val="left" w:pos="757"/>
              </w:tabs>
              <w:adjustRightInd w:val="0"/>
              <w:snapToGrid w:val="0"/>
              <w:rPr>
                <w:color w:val="auto"/>
                <w:kern w:val="21"/>
              </w:rPr>
            </w:pPr>
            <w:r>
              <w:rPr>
                <w:color w:val="auto"/>
                <w:kern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3670" w:type="dxa"/>
            <w:gridSpan w:val="3"/>
            <w:vAlign w:val="center"/>
          </w:tcPr>
          <w:p>
            <w:pPr>
              <w:tabs>
                <w:tab w:val="left" w:pos="757"/>
              </w:tabs>
              <w:adjustRightInd w:val="0"/>
              <w:snapToGrid w:val="0"/>
              <w:rPr>
                <w:color w:val="auto"/>
                <w:kern w:val="21"/>
              </w:rPr>
            </w:pPr>
            <w:r>
              <w:rPr>
                <w:color w:val="auto"/>
                <w:kern w:val="21"/>
              </w:rPr>
              <w:t>直接排放</w:t>
            </w:r>
            <w:r>
              <w:rPr>
                <w:color w:val="auto"/>
                <w:kern w:val="21"/>
              </w:rPr>
              <w:sym w:font="Wingdings 2" w:char="00A3"/>
            </w:r>
            <w:r>
              <w:rPr>
                <w:color w:val="auto"/>
                <w:kern w:val="21"/>
              </w:rPr>
              <w:t>；间接排放</w:t>
            </w:r>
            <w:r>
              <w:rPr>
                <w:color w:val="auto"/>
                <w:kern w:val="21"/>
              </w:rPr>
              <w:sym w:font="Wingdings 2" w:char="0052"/>
            </w:r>
            <w:r>
              <w:rPr>
                <w:color w:val="auto"/>
                <w:kern w:val="21"/>
              </w:rPr>
              <w:t>；其他</w:t>
            </w:r>
            <w:r>
              <w:rPr>
                <w:color w:val="auto"/>
                <w:kern w:val="21"/>
              </w:rPr>
              <w:sym w:font="Wingdings 2" w:char="00A3"/>
            </w:r>
          </w:p>
        </w:tc>
        <w:tc>
          <w:tcPr>
            <w:tcW w:w="2879" w:type="dxa"/>
            <w:gridSpan w:val="5"/>
            <w:vAlign w:val="center"/>
          </w:tcPr>
          <w:p>
            <w:pPr>
              <w:tabs>
                <w:tab w:val="left" w:pos="757"/>
              </w:tabs>
              <w:adjustRightInd w:val="0"/>
              <w:snapToGrid w:val="0"/>
              <w:rPr>
                <w:color w:val="auto"/>
                <w:kern w:val="21"/>
              </w:rPr>
            </w:pPr>
            <w:r>
              <w:rPr>
                <w:color w:val="auto"/>
                <w:kern w:val="21"/>
              </w:rPr>
              <w:t>水温</w:t>
            </w:r>
            <w:r>
              <w:rPr>
                <w:color w:val="auto"/>
                <w:kern w:val="21"/>
              </w:rPr>
              <w:sym w:font="Wingdings 2" w:char="00A3"/>
            </w:r>
            <w:r>
              <w:rPr>
                <w:color w:val="auto"/>
                <w:kern w:val="21"/>
              </w:rPr>
              <w:t>；径流</w:t>
            </w:r>
            <w:r>
              <w:rPr>
                <w:color w:val="auto"/>
                <w:kern w:val="21"/>
              </w:rPr>
              <w:sym w:font="Wingdings 2" w:char="00A3"/>
            </w:r>
            <w:r>
              <w:rPr>
                <w:color w:val="auto"/>
                <w:kern w:val="21"/>
              </w:rPr>
              <w:t>；水域面积</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影响因子</w:t>
            </w:r>
          </w:p>
        </w:tc>
        <w:tc>
          <w:tcPr>
            <w:tcW w:w="3670" w:type="dxa"/>
            <w:gridSpan w:val="3"/>
            <w:vAlign w:val="center"/>
          </w:tcPr>
          <w:p>
            <w:pPr>
              <w:tabs>
                <w:tab w:val="left" w:pos="757"/>
              </w:tabs>
              <w:adjustRightInd w:val="0"/>
              <w:snapToGrid w:val="0"/>
              <w:rPr>
                <w:color w:val="auto"/>
                <w:kern w:val="21"/>
              </w:rPr>
            </w:pPr>
            <w:r>
              <w:rPr>
                <w:color w:val="auto"/>
                <w:kern w:val="21"/>
              </w:rPr>
              <w:t>持久性污染物</w:t>
            </w:r>
            <w:r>
              <w:rPr>
                <w:color w:val="auto"/>
                <w:kern w:val="21"/>
              </w:rPr>
              <w:sym w:font="Wingdings 2" w:char="00A3"/>
            </w:r>
            <w:r>
              <w:rPr>
                <w:color w:val="auto"/>
                <w:kern w:val="21"/>
              </w:rPr>
              <w:t>；有毒有害污染物</w:t>
            </w:r>
            <w:r>
              <w:rPr>
                <w:color w:val="auto"/>
                <w:kern w:val="21"/>
              </w:rPr>
              <w:sym w:font="Wingdings 2" w:char="00A3"/>
            </w:r>
            <w:r>
              <w:rPr>
                <w:color w:val="auto"/>
                <w:kern w:val="21"/>
              </w:rPr>
              <w:t>；非持久性污染物</w:t>
            </w:r>
            <w:r>
              <w:rPr>
                <w:color w:val="auto"/>
                <w:kern w:val="21"/>
              </w:rPr>
              <w:sym w:font="Wingdings 2" w:char="00A3"/>
            </w:r>
            <w:r>
              <w:rPr>
                <w:color w:val="auto"/>
                <w:kern w:val="21"/>
              </w:rPr>
              <w:t>；pH值</w:t>
            </w:r>
            <w:r>
              <w:rPr>
                <w:color w:val="auto"/>
                <w:kern w:val="21"/>
              </w:rPr>
              <w:sym w:font="Wingdings 2" w:char="0052"/>
            </w:r>
            <w:r>
              <w:rPr>
                <w:color w:val="auto"/>
                <w:kern w:val="21"/>
              </w:rPr>
              <w:t>；热污染</w:t>
            </w:r>
            <w:r>
              <w:rPr>
                <w:color w:val="auto"/>
                <w:kern w:val="21"/>
              </w:rPr>
              <w:sym w:font="Wingdings 2" w:char="00A3"/>
            </w:r>
            <w:r>
              <w:rPr>
                <w:color w:val="auto"/>
                <w:kern w:val="21"/>
              </w:rPr>
              <w:t>；富营养化</w:t>
            </w:r>
            <w:r>
              <w:rPr>
                <w:color w:val="auto"/>
                <w:kern w:val="21"/>
              </w:rPr>
              <w:sym w:font="Wingdings 2" w:char="00A3"/>
            </w:r>
            <w:r>
              <w:rPr>
                <w:color w:val="auto"/>
                <w:kern w:val="21"/>
              </w:rPr>
              <w:t>；其他</w:t>
            </w:r>
            <w:r>
              <w:rPr>
                <w:color w:val="auto"/>
                <w:kern w:val="21"/>
              </w:rPr>
              <w:sym w:font="Wingdings 2" w:char="0052"/>
            </w:r>
          </w:p>
        </w:tc>
        <w:tc>
          <w:tcPr>
            <w:tcW w:w="2879" w:type="dxa"/>
            <w:gridSpan w:val="5"/>
            <w:vAlign w:val="center"/>
          </w:tcPr>
          <w:p>
            <w:pPr>
              <w:tabs>
                <w:tab w:val="left" w:pos="757"/>
              </w:tabs>
              <w:adjustRightInd w:val="0"/>
              <w:snapToGrid w:val="0"/>
              <w:rPr>
                <w:color w:val="auto"/>
                <w:kern w:val="21"/>
              </w:rPr>
            </w:pPr>
            <w:r>
              <w:rPr>
                <w:color w:val="auto"/>
                <w:kern w:val="21"/>
              </w:rPr>
              <w:t>水温</w:t>
            </w:r>
            <w:r>
              <w:rPr>
                <w:color w:val="auto"/>
                <w:kern w:val="21"/>
              </w:rPr>
              <w:sym w:font="Wingdings 2" w:char="00A3"/>
            </w:r>
            <w:r>
              <w:rPr>
                <w:color w:val="auto"/>
                <w:kern w:val="21"/>
              </w:rPr>
              <w:t>；水位（水深）</w:t>
            </w:r>
            <w:r>
              <w:rPr>
                <w:color w:val="auto"/>
                <w:kern w:val="21"/>
              </w:rPr>
              <w:sym w:font="Wingdings 2" w:char="00A3"/>
            </w:r>
            <w:r>
              <w:rPr>
                <w:color w:val="auto"/>
                <w:kern w:val="21"/>
              </w:rPr>
              <w:t>；流速</w:t>
            </w:r>
            <w:r>
              <w:rPr>
                <w:color w:val="auto"/>
                <w:kern w:val="21"/>
              </w:rPr>
              <w:sym w:font="Wingdings 2" w:char="00A3"/>
            </w:r>
            <w:r>
              <w:rPr>
                <w:color w:val="auto"/>
                <w:kern w:val="21"/>
              </w:rPr>
              <w:t>；流量</w:t>
            </w:r>
            <w:r>
              <w:rPr>
                <w:color w:val="auto"/>
                <w:kern w:val="21"/>
              </w:rPr>
              <w:sym w:font="Wingdings 2" w:char="00A3"/>
            </w:r>
            <w:r>
              <w:rPr>
                <w:color w:val="auto"/>
                <w:kern w:val="21"/>
              </w:rPr>
              <w:t>；其他</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5" w:type="dxa"/>
            <w:gridSpan w:val="2"/>
            <w:vMerge w:val="restart"/>
            <w:vAlign w:val="center"/>
          </w:tcPr>
          <w:p>
            <w:pPr>
              <w:tabs>
                <w:tab w:val="left" w:pos="757"/>
              </w:tabs>
              <w:adjustRightInd w:val="0"/>
              <w:snapToGrid w:val="0"/>
              <w:rPr>
                <w:color w:val="auto"/>
                <w:kern w:val="21"/>
              </w:rPr>
            </w:pPr>
            <w:r>
              <w:rPr>
                <w:color w:val="auto"/>
                <w:kern w:val="21"/>
              </w:rPr>
              <w:t>评价等级</w:t>
            </w:r>
          </w:p>
        </w:tc>
        <w:tc>
          <w:tcPr>
            <w:tcW w:w="3670" w:type="dxa"/>
            <w:gridSpan w:val="3"/>
            <w:vAlign w:val="center"/>
          </w:tcPr>
          <w:p>
            <w:pPr>
              <w:tabs>
                <w:tab w:val="left" w:pos="757"/>
              </w:tabs>
              <w:adjustRightInd w:val="0"/>
              <w:snapToGrid w:val="0"/>
              <w:rPr>
                <w:color w:val="auto"/>
                <w:kern w:val="21"/>
              </w:rPr>
            </w:pPr>
            <w:r>
              <w:rPr>
                <w:color w:val="auto"/>
                <w:kern w:val="21"/>
              </w:rPr>
              <w:t>水污染影响型</w:t>
            </w:r>
          </w:p>
        </w:tc>
        <w:tc>
          <w:tcPr>
            <w:tcW w:w="2879" w:type="dxa"/>
            <w:gridSpan w:val="5"/>
            <w:vAlign w:val="center"/>
          </w:tcPr>
          <w:p>
            <w:pPr>
              <w:tabs>
                <w:tab w:val="left" w:pos="757"/>
              </w:tabs>
              <w:adjustRightInd w:val="0"/>
              <w:snapToGrid w:val="0"/>
              <w:rPr>
                <w:color w:val="auto"/>
                <w:kern w:val="21"/>
              </w:rPr>
            </w:pPr>
            <w:r>
              <w:rPr>
                <w:color w:val="auto"/>
                <w:kern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5" w:type="dxa"/>
            <w:gridSpan w:val="2"/>
            <w:vMerge w:val="continue"/>
            <w:vAlign w:val="center"/>
          </w:tcPr>
          <w:p>
            <w:pPr>
              <w:tabs>
                <w:tab w:val="left" w:pos="757"/>
              </w:tabs>
              <w:adjustRightInd w:val="0"/>
              <w:snapToGrid w:val="0"/>
              <w:rPr>
                <w:color w:val="auto"/>
                <w:kern w:val="21"/>
              </w:rPr>
            </w:pPr>
          </w:p>
        </w:tc>
        <w:tc>
          <w:tcPr>
            <w:tcW w:w="3670" w:type="dxa"/>
            <w:gridSpan w:val="3"/>
            <w:vAlign w:val="center"/>
          </w:tcPr>
          <w:p>
            <w:pPr>
              <w:tabs>
                <w:tab w:val="left" w:pos="757"/>
              </w:tabs>
              <w:adjustRightInd w:val="0"/>
              <w:snapToGrid w:val="0"/>
              <w:rPr>
                <w:color w:val="auto"/>
                <w:kern w:val="21"/>
              </w:rPr>
            </w:pPr>
            <w:r>
              <w:rPr>
                <w:color w:val="auto"/>
                <w:kern w:val="21"/>
              </w:rPr>
              <w:t>一级</w:t>
            </w:r>
            <w:r>
              <w:rPr>
                <w:color w:val="auto"/>
                <w:kern w:val="21"/>
              </w:rPr>
              <w:sym w:font="Wingdings 2" w:char="00A3"/>
            </w:r>
            <w:r>
              <w:rPr>
                <w:color w:val="auto"/>
                <w:kern w:val="21"/>
              </w:rPr>
              <w:t>；二级</w:t>
            </w:r>
            <w:r>
              <w:rPr>
                <w:color w:val="auto"/>
                <w:kern w:val="21"/>
              </w:rPr>
              <w:sym w:font="Wingdings 2" w:char="00A3"/>
            </w:r>
            <w:r>
              <w:rPr>
                <w:color w:val="auto"/>
                <w:kern w:val="21"/>
              </w:rPr>
              <w:t>；三级A</w:t>
            </w:r>
            <w:r>
              <w:rPr>
                <w:color w:val="auto"/>
                <w:kern w:val="21"/>
              </w:rPr>
              <w:sym w:font="Wingdings 2" w:char="00A3"/>
            </w:r>
            <w:r>
              <w:rPr>
                <w:color w:val="auto"/>
                <w:kern w:val="21"/>
              </w:rPr>
              <w:t>；三级B</w:t>
            </w:r>
            <w:r>
              <w:rPr>
                <w:color w:val="auto"/>
                <w:kern w:val="21"/>
              </w:rPr>
              <w:sym w:font="Wingdings 2" w:char="0052"/>
            </w:r>
          </w:p>
        </w:tc>
        <w:tc>
          <w:tcPr>
            <w:tcW w:w="2879" w:type="dxa"/>
            <w:gridSpan w:val="5"/>
            <w:vAlign w:val="center"/>
          </w:tcPr>
          <w:p>
            <w:pPr>
              <w:tabs>
                <w:tab w:val="left" w:pos="757"/>
              </w:tabs>
              <w:adjustRightInd w:val="0"/>
              <w:snapToGrid w:val="0"/>
              <w:rPr>
                <w:color w:val="auto"/>
                <w:kern w:val="21"/>
              </w:rPr>
            </w:pPr>
            <w:r>
              <w:rPr>
                <w:color w:val="auto"/>
                <w:kern w:val="21"/>
              </w:rPr>
              <w:t>一级</w:t>
            </w:r>
            <w:r>
              <w:rPr>
                <w:color w:val="auto"/>
                <w:kern w:val="21"/>
              </w:rPr>
              <w:sym w:font="Wingdings 2" w:char="00A3"/>
            </w:r>
            <w:r>
              <w:rPr>
                <w:color w:val="auto"/>
                <w:kern w:val="21"/>
              </w:rPr>
              <w:t>；二级</w:t>
            </w:r>
            <w:r>
              <w:rPr>
                <w:color w:val="auto"/>
                <w:kern w:val="21"/>
              </w:rPr>
              <w:sym w:font="Wingdings 2" w:char="00A3"/>
            </w:r>
            <w:r>
              <w:rPr>
                <w:color w:val="auto"/>
                <w:kern w:val="21"/>
              </w:rPr>
              <w:t>；三级</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restart"/>
            <w:vAlign w:val="center"/>
          </w:tcPr>
          <w:p>
            <w:pPr>
              <w:tabs>
                <w:tab w:val="left" w:pos="757"/>
              </w:tabs>
              <w:adjustRightInd w:val="0"/>
              <w:snapToGrid w:val="0"/>
              <w:rPr>
                <w:color w:val="auto"/>
                <w:kern w:val="21"/>
              </w:rPr>
            </w:pPr>
            <w:r>
              <w:rPr>
                <w:color w:val="auto"/>
                <w:kern w:val="21"/>
              </w:rPr>
              <w:t>现状调查</w:t>
            </w:r>
          </w:p>
        </w:tc>
        <w:tc>
          <w:tcPr>
            <w:tcW w:w="1380" w:type="dxa"/>
            <w:vMerge w:val="restart"/>
            <w:vAlign w:val="center"/>
          </w:tcPr>
          <w:p>
            <w:pPr>
              <w:tabs>
                <w:tab w:val="left" w:pos="757"/>
              </w:tabs>
              <w:adjustRightInd w:val="0"/>
              <w:snapToGrid w:val="0"/>
              <w:rPr>
                <w:color w:val="auto"/>
                <w:kern w:val="21"/>
              </w:rPr>
            </w:pPr>
            <w:r>
              <w:rPr>
                <w:color w:val="auto"/>
                <w:kern w:val="21"/>
              </w:rPr>
              <w:t>区域污染源</w:t>
            </w:r>
          </w:p>
        </w:tc>
        <w:tc>
          <w:tcPr>
            <w:tcW w:w="3670" w:type="dxa"/>
            <w:gridSpan w:val="3"/>
            <w:vAlign w:val="center"/>
          </w:tcPr>
          <w:p>
            <w:pPr>
              <w:tabs>
                <w:tab w:val="left" w:pos="757"/>
              </w:tabs>
              <w:adjustRightInd w:val="0"/>
              <w:snapToGrid w:val="0"/>
              <w:ind w:firstLine="840" w:firstLineChars="400"/>
              <w:rPr>
                <w:color w:val="auto"/>
                <w:kern w:val="21"/>
              </w:rPr>
            </w:pPr>
            <w:r>
              <w:rPr>
                <w:color w:val="auto"/>
                <w:kern w:val="21"/>
              </w:rPr>
              <w:t>调查项目</w:t>
            </w:r>
          </w:p>
        </w:tc>
        <w:tc>
          <w:tcPr>
            <w:tcW w:w="2879" w:type="dxa"/>
            <w:gridSpan w:val="5"/>
            <w:vAlign w:val="center"/>
          </w:tcPr>
          <w:p>
            <w:pPr>
              <w:tabs>
                <w:tab w:val="left" w:pos="757"/>
              </w:tabs>
              <w:adjustRightInd w:val="0"/>
              <w:snapToGrid w:val="0"/>
              <w:rPr>
                <w:color w:val="auto"/>
                <w:kern w:val="21"/>
              </w:rPr>
            </w:pPr>
            <w:r>
              <w:rPr>
                <w:color w:val="auto"/>
                <w:kern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3670" w:type="dxa"/>
            <w:gridSpan w:val="3"/>
            <w:vAlign w:val="center"/>
          </w:tcPr>
          <w:p>
            <w:pPr>
              <w:tabs>
                <w:tab w:val="left" w:pos="757"/>
              </w:tabs>
              <w:adjustRightInd w:val="0"/>
              <w:snapToGrid w:val="0"/>
              <w:rPr>
                <w:color w:val="auto"/>
                <w:kern w:val="21"/>
              </w:rPr>
            </w:pPr>
            <w:r>
              <w:rPr>
                <w:color w:val="auto"/>
                <w:kern w:val="21"/>
              </w:rPr>
              <w:t>已建</w:t>
            </w:r>
            <w:r>
              <w:rPr>
                <w:color w:val="auto"/>
                <w:kern w:val="21"/>
              </w:rPr>
              <w:sym w:font="Wingdings 2" w:char="00A3"/>
            </w:r>
            <w:r>
              <w:rPr>
                <w:color w:val="auto"/>
                <w:kern w:val="21"/>
              </w:rPr>
              <w:t>；在建</w:t>
            </w:r>
            <w:r>
              <w:rPr>
                <w:color w:val="auto"/>
                <w:kern w:val="21"/>
              </w:rPr>
              <w:sym w:font="Wingdings 2" w:char="00A3"/>
            </w:r>
            <w:r>
              <w:rPr>
                <w:color w:val="auto"/>
                <w:kern w:val="21"/>
              </w:rPr>
              <w:t>；拟建</w:t>
            </w:r>
            <w:r>
              <w:rPr>
                <w:color w:val="auto"/>
                <w:kern w:val="21"/>
              </w:rPr>
              <w:sym w:font="Wingdings 2" w:char="00A3"/>
            </w:r>
            <w:r>
              <w:rPr>
                <w:color w:val="auto"/>
                <w:kern w:val="21"/>
              </w:rPr>
              <w:t>；其他</w:t>
            </w:r>
            <w:r>
              <w:rPr>
                <w:color w:val="auto"/>
                <w:kern w:val="21"/>
              </w:rPr>
              <w:sym w:font="Wingdings 2" w:char="00A3"/>
            </w:r>
          </w:p>
        </w:tc>
        <w:tc>
          <w:tcPr>
            <w:tcW w:w="2879" w:type="dxa"/>
            <w:gridSpan w:val="5"/>
            <w:vAlign w:val="center"/>
          </w:tcPr>
          <w:p>
            <w:pPr>
              <w:tabs>
                <w:tab w:val="left" w:pos="757"/>
              </w:tabs>
              <w:adjustRightInd w:val="0"/>
              <w:snapToGrid w:val="0"/>
              <w:rPr>
                <w:color w:val="auto"/>
                <w:kern w:val="21"/>
              </w:rPr>
            </w:pPr>
            <w:r>
              <w:rPr>
                <w:color w:val="auto"/>
                <w:kern w:val="21"/>
              </w:rPr>
              <w:t>排污许可证</w:t>
            </w:r>
            <w:r>
              <w:rPr>
                <w:color w:val="auto"/>
                <w:kern w:val="21"/>
              </w:rPr>
              <w:sym w:font="Wingdings 2" w:char="00A3"/>
            </w:r>
            <w:r>
              <w:rPr>
                <w:color w:val="auto"/>
                <w:kern w:val="21"/>
              </w:rPr>
              <w:t>；环评</w:t>
            </w:r>
            <w:r>
              <w:rPr>
                <w:color w:val="auto"/>
                <w:kern w:val="21"/>
              </w:rPr>
              <w:sym w:font="Wingdings 2" w:char="00A3"/>
            </w:r>
            <w:r>
              <w:rPr>
                <w:color w:val="auto"/>
                <w:kern w:val="21"/>
              </w:rPr>
              <w:t>；环保验收</w:t>
            </w:r>
            <w:r>
              <w:rPr>
                <w:color w:val="auto"/>
                <w:kern w:val="21"/>
              </w:rPr>
              <w:sym w:font="Wingdings 2" w:char="00A3"/>
            </w:r>
            <w:r>
              <w:rPr>
                <w:color w:val="auto"/>
                <w:kern w:val="21"/>
              </w:rPr>
              <w:t>；既有实测</w:t>
            </w:r>
            <w:r>
              <w:rPr>
                <w:color w:val="auto"/>
                <w:kern w:val="21"/>
              </w:rPr>
              <w:sym w:font="Wingdings 2" w:char="00A3"/>
            </w:r>
            <w:r>
              <w:rPr>
                <w:color w:val="auto"/>
                <w:kern w:val="21"/>
              </w:rPr>
              <w:t>；现场监测</w:t>
            </w:r>
            <w:r>
              <w:rPr>
                <w:color w:val="auto"/>
                <w:kern w:val="21"/>
              </w:rPr>
              <w:sym w:font="Wingdings 2" w:char="00A3"/>
            </w:r>
            <w:r>
              <w:rPr>
                <w:color w:val="auto"/>
                <w:kern w:val="21"/>
              </w:rPr>
              <w:t>；入河排放口数据</w:t>
            </w:r>
            <w:r>
              <w:rPr>
                <w:color w:val="auto"/>
                <w:kern w:val="21"/>
              </w:rPr>
              <w:sym w:font="Wingdings 2" w:char="00A3"/>
            </w:r>
            <w:r>
              <w:rPr>
                <w:color w:val="auto"/>
                <w:kern w:val="21"/>
              </w:rPr>
              <w:t>；其他</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受影响水体水环境质量</w:t>
            </w:r>
          </w:p>
        </w:tc>
        <w:tc>
          <w:tcPr>
            <w:tcW w:w="3670" w:type="dxa"/>
            <w:gridSpan w:val="3"/>
            <w:vAlign w:val="center"/>
          </w:tcPr>
          <w:p>
            <w:pPr>
              <w:tabs>
                <w:tab w:val="left" w:pos="757"/>
              </w:tabs>
              <w:adjustRightInd w:val="0"/>
              <w:snapToGrid w:val="0"/>
              <w:rPr>
                <w:color w:val="auto"/>
                <w:kern w:val="21"/>
              </w:rPr>
            </w:pPr>
            <w:r>
              <w:rPr>
                <w:color w:val="auto"/>
                <w:kern w:val="21"/>
              </w:rPr>
              <w:t>调查时期</w:t>
            </w:r>
          </w:p>
        </w:tc>
        <w:tc>
          <w:tcPr>
            <w:tcW w:w="2879" w:type="dxa"/>
            <w:gridSpan w:val="5"/>
            <w:vAlign w:val="center"/>
          </w:tcPr>
          <w:p>
            <w:pPr>
              <w:tabs>
                <w:tab w:val="left" w:pos="757"/>
              </w:tabs>
              <w:adjustRightInd w:val="0"/>
              <w:snapToGrid w:val="0"/>
              <w:rPr>
                <w:color w:val="auto"/>
                <w:kern w:val="21"/>
              </w:rPr>
            </w:pPr>
            <w:r>
              <w:rPr>
                <w:color w:val="auto"/>
                <w:kern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3670" w:type="dxa"/>
            <w:gridSpan w:val="3"/>
            <w:vAlign w:val="center"/>
          </w:tcPr>
          <w:p>
            <w:pPr>
              <w:tabs>
                <w:tab w:val="left" w:pos="757"/>
              </w:tabs>
              <w:adjustRightInd w:val="0"/>
              <w:snapToGrid w:val="0"/>
              <w:rPr>
                <w:color w:val="auto"/>
                <w:kern w:val="21"/>
              </w:rPr>
            </w:pPr>
            <w:r>
              <w:rPr>
                <w:color w:val="auto"/>
                <w:kern w:val="21"/>
              </w:rPr>
              <w:t>丰水期</w:t>
            </w:r>
            <w:r>
              <w:rPr>
                <w:color w:val="auto"/>
                <w:kern w:val="21"/>
              </w:rPr>
              <w:sym w:font="Wingdings 2" w:char="00A3"/>
            </w:r>
            <w:r>
              <w:rPr>
                <w:color w:val="auto"/>
                <w:kern w:val="21"/>
              </w:rPr>
              <w:t>；平水期</w:t>
            </w:r>
            <w:r>
              <w:rPr>
                <w:color w:val="auto"/>
                <w:kern w:val="21"/>
              </w:rPr>
              <w:sym w:font="Wingdings 2" w:char="00A3"/>
            </w:r>
            <w:r>
              <w:rPr>
                <w:color w:val="auto"/>
                <w:kern w:val="21"/>
              </w:rPr>
              <w:t>；枯水期</w:t>
            </w:r>
            <w:r>
              <w:rPr>
                <w:color w:val="auto"/>
                <w:kern w:val="21"/>
              </w:rPr>
              <w:sym w:font="Wingdings 2" w:char="00A3"/>
            </w:r>
            <w:r>
              <w:rPr>
                <w:color w:val="auto"/>
                <w:kern w:val="21"/>
              </w:rPr>
              <w:t>；冰封期</w:t>
            </w:r>
            <w:r>
              <w:rPr>
                <w:color w:val="auto"/>
                <w:kern w:val="21"/>
              </w:rPr>
              <w:sym w:font="Wingdings 2" w:char="00A3"/>
            </w:r>
          </w:p>
          <w:p>
            <w:pPr>
              <w:tabs>
                <w:tab w:val="left" w:pos="757"/>
              </w:tabs>
              <w:adjustRightInd w:val="0"/>
              <w:snapToGrid w:val="0"/>
              <w:rPr>
                <w:color w:val="auto"/>
                <w:kern w:val="21"/>
              </w:rPr>
            </w:pPr>
            <w:r>
              <w:rPr>
                <w:color w:val="auto"/>
                <w:kern w:val="21"/>
              </w:rPr>
              <w:t>春季</w:t>
            </w:r>
            <w:r>
              <w:rPr>
                <w:color w:val="auto"/>
                <w:kern w:val="21"/>
              </w:rPr>
              <w:sym w:font="Wingdings 2" w:char="00A3"/>
            </w:r>
            <w:r>
              <w:rPr>
                <w:color w:val="auto"/>
                <w:kern w:val="21"/>
              </w:rPr>
              <w:t>；夏季</w:t>
            </w:r>
            <w:r>
              <w:rPr>
                <w:color w:val="auto"/>
                <w:kern w:val="21"/>
              </w:rPr>
              <w:sym w:font="Wingdings 2" w:char="00A3"/>
            </w:r>
            <w:r>
              <w:rPr>
                <w:color w:val="auto"/>
                <w:kern w:val="21"/>
              </w:rPr>
              <w:t>；秋季</w:t>
            </w:r>
            <w:r>
              <w:rPr>
                <w:color w:val="auto"/>
                <w:kern w:val="21"/>
              </w:rPr>
              <w:sym w:font="Wingdings 2" w:char="00A3"/>
            </w:r>
            <w:r>
              <w:rPr>
                <w:color w:val="auto"/>
                <w:kern w:val="21"/>
              </w:rPr>
              <w:t>；冬季</w:t>
            </w:r>
            <w:r>
              <w:rPr>
                <w:color w:val="auto"/>
                <w:kern w:val="21"/>
              </w:rPr>
              <w:sym w:font="Wingdings 2" w:char="00A3"/>
            </w:r>
          </w:p>
        </w:tc>
        <w:tc>
          <w:tcPr>
            <w:tcW w:w="2879" w:type="dxa"/>
            <w:gridSpan w:val="5"/>
            <w:vAlign w:val="center"/>
          </w:tcPr>
          <w:p>
            <w:pPr>
              <w:tabs>
                <w:tab w:val="left" w:pos="757"/>
              </w:tabs>
              <w:adjustRightInd w:val="0"/>
              <w:snapToGrid w:val="0"/>
              <w:rPr>
                <w:color w:val="auto"/>
                <w:kern w:val="21"/>
              </w:rPr>
            </w:pPr>
            <w:r>
              <w:rPr>
                <w:color w:val="auto"/>
                <w:kern w:val="21"/>
              </w:rPr>
              <w:t>生态环境保护主管部门</w:t>
            </w:r>
            <w:r>
              <w:rPr>
                <w:color w:val="auto"/>
                <w:kern w:val="21"/>
              </w:rPr>
              <w:sym w:font="Wingdings 2" w:char="0052"/>
            </w:r>
            <w:r>
              <w:rPr>
                <w:color w:val="auto"/>
                <w:kern w:val="21"/>
              </w:rPr>
              <w:t>；补充监测</w:t>
            </w:r>
            <w:r>
              <w:rPr>
                <w:color w:val="auto"/>
                <w:kern w:val="21"/>
              </w:rPr>
              <w:sym w:font="Wingdings 2" w:char="00A3"/>
            </w:r>
            <w:r>
              <w:rPr>
                <w:color w:val="auto"/>
                <w:kern w:val="21"/>
              </w:rPr>
              <w:t>；其他</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区域水资源开发利用状况</w:t>
            </w:r>
          </w:p>
        </w:tc>
        <w:tc>
          <w:tcPr>
            <w:tcW w:w="6549" w:type="dxa"/>
            <w:gridSpan w:val="8"/>
            <w:vAlign w:val="center"/>
          </w:tcPr>
          <w:p>
            <w:pPr>
              <w:tabs>
                <w:tab w:val="left" w:pos="757"/>
              </w:tabs>
              <w:adjustRightInd w:val="0"/>
              <w:snapToGrid w:val="0"/>
              <w:rPr>
                <w:color w:val="auto"/>
                <w:kern w:val="21"/>
              </w:rPr>
            </w:pPr>
            <w:r>
              <w:rPr>
                <w:color w:val="auto"/>
                <w:kern w:val="21"/>
              </w:rPr>
              <w:t>未开发</w:t>
            </w:r>
            <w:r>
              <w:rPr>
                <w:color w:val="auto"/>
                <w:kern w:val="21"/>
              </w:rPr>
              <w:sym w:font="Wingdings 2" w:char="00A3"/>
            </w:r>
            <w:r>
              <w:rPr>
                <w:color w:val="auto"/>
                <w:kern w:val="21"/>
              </w:rPr>
              <w:t>；开发利用40%以下</w:t>
            </w:r>
            <w:r>
              <w:rPr>
                <w:color w:val="auto"/>
                <w:kern w:val="21"/>
              </w:rPr>
              <w:sym w:font="Wingdings 2" w:char="00A3"/>
            </w:r>
            <w:r>
              <w:rPr>
                <w:color w:val="auto"/>
                <w:kern w:val="21"/>
              </w:rPr>
              <w:t>；开发利用40%以上</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水文情势调查</w:t>
            </w:r>
          </w:p>
        </w:tc>
        <w:tc>
          <w:tcPr>
            <w:tcW w:w="3670" w:type="dxa"/>
            <w:gridSpan w:val="3"/>
            <w:vAlign w:val="center"/>
          </w:tcPr>
          <w:p>
            <w:pPr>
              <w:tabs>
                <w:tab w:val="left" w:pos="757"/>
              </w:tabs>
              <w:adjustRightInd w:val="0"/>
              <w:snapToGrid w:val="0"/>
              <w:rPr>
                <w:color w:val="auto"/>
                <w:kern w:val="21"/>
              </w:rPr>
            </w:pPr>
            <w:r>
              <w:rPr>
                <w:color w:val="auto"/>
                <w:kern w:val="21"/>
              </w:rPr>
              <w:t>调查时期</w:t>
            </w:r>
          </w:p>
        </w:tc>
        <w:tc>
          <w:tcPr>
            <w:tcW w:w="2879" w:type="dxa"/>
            <w:gridSpan w:val="5"/>
            <w:vAlign w:val="center"/>
          </w:tcPr>
          <w:p>
            <w:pPr>
              <w:tabs>
                <w:tab w:val="left" w:pos="757"/>
              </w:tabs>
              <w:adjustRightInd w:val="0"/>
              <w:snapToGrid w:val="0"/>
              <w:rPr>
                <w:color w:val="auto"/>
                <w:kern w:val="21"/>
              </w:rPr>
            </w:pPr>
            <w:r>
              <w:rPr>
                <w:color w:val="auto"/>
                <w:kern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3670" w:type="dxa"/>
            <w:gridSpan w:val="3"/>
            <w:vAlign w:val="center"/>
          </w:tcPr>
          <w:p>
            <w:pPr>
              <w:tabs>
                <w:tab w:val="left" w:pos="757"/>
              </w:tabs>
              <w:adjustRightInd w:val="0"/>
              <w:snapToGrid w:val="0"/>
              <w:rPr>
                <w:color w:val="auto"/>
                <w:kern w:val="21"/>
              </w:rPr>
            </w:pPr>
            <w:r>
              <w:rPr>
                <w:color w:val="auto"/>
                <w:kern w:val="21"/>
              </w:rPr>
              <w:t>丰水期</w:t>
            </w:r>
            <w:r>
              <w:rPr>
                <w:color w:val="auto"/>
                <w:kern w:val="21"/>
              </w:rPr>
              <w:sym w:font="Wingdings 2" w:char="00A3"/>
            </w:r>
            <w:r>
              <w:rPr>
                <w:color w:val="auto"/>
                <w:kern w:val="21"/>
              </w:rPr>
              <w:t>；平水期</w:t>
            </w:r>
            <w:r>
              <w:rPr>
                <w:color w:val="auto"/>
                <w:kern w:val="21"/>
              </w:rPr>
              <w:sym w:font="Wingdings 2" w:char="00A3"/>
            </w:r>
            <w:r>
              <w:rPr>
                <w:color w:val="auto"/>
                <w:kern w:val="21"/>
              </w:rPr>
              <w:t>；枯水期</w:t>
            </w:r>
            <w:r>
              <w:rPr>
                <w:color w:val="auto"/>
                <w:kern w:val="21"/>
              </w:rPr>
              <w:sym w:font="Wingdings 2" w:char="00A3"/>
            </w:r>
            <w:r>
              <w:rPr>
                <w:color w:val="auto"/>
                <w:kern w:val="21"/>
              </w:rPr>
              <w:t>；冰封期</w:t>
            </w:r>
            <w:r>
              <w:rPr>
                <w:color w:val="auto"/>
                <w:kern w:val="21"/>
              </w:rPr>
              <w:sym w:font="Wingdings 2" w:char="00A3"/>
            </w:r>
          </w:p>
          <w:p>
            <w:pPr>
              <w:tabs>
                <w:tab w:val="left" w:pos="757"/>
              </w:tabs>
              <w:adjustRightInd w:val="0"/>
              <w:snapToGrid w:val="0"/>
              <w:rPr>
                <w:color w:val="auto"/>
                <w:kern w:val="21"/>
              </w:rPr>
            </w:pPr>
            <w:r>
              <w:rPr>
                <w:color w:val="auto"/>
                <w:kern w:val="21"/>
              </w:rPr>
              <w:t>春季</w:t>
            </w:r>
            <w:r>
              <w:rPr>
                <w:color w:val="auto"/>
                <w:kern w:val="21"/>
              </w:rPr>
              <w:sym w:font="Wingdings 2" w:char="00A3"/>
            </w:r>
            <w:r>
              <w:rPr>
                <w:color w:val="auto"/>
                <w:kern w:val="21"/>
              </w:rPr>
              <w:t>；夏季</w:t>
            </w:r>
            <w:r>
              <w:rPr>
                <w:color w:val="auto"/>
                <w:kern w:val="21"/>
              </w:rPr>
              <w:sym w:font="Wingdings 2" w:char="00A3"/>
            </w:r>
            <w:r>
              <w:rPr>
                <w:color w:val="auto"/>
                <w:kern w:val="21"/>
              </w:rPr>
              <w:t>；秋季</w:t>
            </w:r>
            <w:r>
              <w:rPr>
                <w:color w:val="auto"/>
                <w:kern w:val="21"/>
              </w:rPr>
              <w:sym w:font="Wingdings 2" w:char="00A3"/>
            </w:r>
            <w:r>
              <w:rPr>
                <w:color w:val="auto"/>
                <w:kern w:val="21"/>
              </w:rPr>
              <w:t>；冬季</w:t>
            </w:r>
            <w:r>
              <w:rPr>
                <w:color w:val="auto"/>
                <w:kern w:val="21"/>
              </w:rPr>
              <w:sym w:font="Wingdings 2" w:char="00A3"/>
            </w:r>
          </w:p>
        </w:tc>
        <w:tc>
          <w:tcPr>
            <w:tcW w:w="2879" w:type="dxa"/>
            <w:gridSpan w:val="5"/>
            <w:vAlign w:val="center"/>
          </w:tcPr>
          <w:p>
            <w:pPr>
              <w:tabs>
                <w:tab w:val="left" w:pos="757"/>
              </w:tabs>
              <w:adjustRightInd w:val="0"/>
              <w:snapToGrid w:val="0"/>
              <w:rPr>
                <w:color w:val="auto"/>
                <w:kern w:val="21"/>
              </w:rPr>
            </w:pPr>
            <w:r>
              <w:rPr>
                <w:color w:val="auto"/>
                <w:kern w:val="21"/>
              </w:rPr>
              <w:t>水行政主管部门</w:t>
            </w:r>
            <w:r>
              <w:rPr>
                <w:color w:val="auto"/>
                <w:kern w:val="21"/>
              </w:rPr>
              <w:sym w:font="Wingdings 2" w:char="00A3"/>
            </w:r>
            <w:r>
              <w:rPr>
                <w:color w:val="auto"/>
                <w:kern w:val="21"/>
              </w:rPr>
              <w:t>；补充监测</w:t>
            </w:r>
            <w:r>
              <w:rPr>
                <w:color w:val="auto"/>
                <w:kern w:val="21"/>
              </w:rPr>
              <w:sym w:font="Wingdings 2" w:char="00A3"/>
            </w:r>
            <w:r>
              <w:rPr>
                <w:color w:val="auto"/>
                <w:kern w:val="21"/>
              </w:rPr>
              <w:t>；其他</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补充监测</w:t>
            </w:r>
          </w:p>
        </w:tc>
        <w:tc>
          <w:tcPr>
            <w:tcW w:w="3670" w:type="dxa"/>
            <w:gridSpan w:val="3"/>
            <w:vAlign w:val="center"/>
          </w:tcPr>
          <w:p>
            <w:pPr>
              <w:tabs>
                <w:tab w:val="left" w:pos="757"/>
              </w:tabs>
              <w:adjustRightInd w:val="0"/>
              <w:snapToGrid w:val="0"/>
              <w:rPr>
                <w:color w:val="auto"/>
                <w:kern w:val="21"/>
              </w:rPr>
            </w:pPr>
            <w:r>
              <w:rPr>
                <w:color w:val="auto"/>
                <w:kern w:val="21"/>
              </w:rPr>
              <w:t>监测时间</w:t>
            </w:r>
          </w:p>
        </w:tc>
        <w:tc>
          <w:tcPr>
            <w:tcW w:w="398" w:type="dxa"/>
            <w:vAlign w:val="center"/>
          </w:tcPr>
          <w:p>
            <w:pPr>
              <w:tabs>
                <w:tab w:val="left" w:pos="757"/>
              </w:tabs>
              <w:adjustRightInd w:val="0"/>
              <w:snapToGrid w:val="0"/>
              <w:rPr>
                <w:color w:val="auto"/>
                <w:kern w:val="21"/>
              </w:rPr>
            </w:pPr>
            <w:r>
              <w:rPr>
                <w:color w:val="auto"/>
                <w:kern w:val="21"/>
              </w:rPr>
              <w:t>监测因子</w:t>
            </w:r>
          </w:p>
        </w:tc>
        <w:tc>
          <w:tcPr>
            <w:tcW w:w="2481" w:type="dxa"/>
            <w:gridSpan w:val="4"/>
            <w:vAlign w:val="center"/>
          </w:tcPr>
          <w:p>
            <w:pPr>
              <w:tabs>
                <w:tab w:val="left" w:pos="757"/>
              </w:tabs>
              <w:adjustRightInd w:val="0"/>
              <w:snapToGrid w:val="0"/>
              <w:rPr>
                <w:color w:val="auto"/>
                <w:kern w:val="21"/>
              </w:rPr>
            </w:pPr>
            <w:r>
              <w:rPr>
                <w:color w:val="auto"/>
                <w:kern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3670" w:type="dxa"/>
            <w:gridSpan w:val="3"/>
            <w:vAlign w:val="center"/>
          </w:tcPr>
          <w:p>
            <w:pPr>
              <w:tabs>
                <w:tab w:val="left" w:pos="757"/>
              </w:tabs>
              <w:adjustRightInd w:val="0"/>
              <w:snapToGrid w:val="0"/>
              <w:rPr>
                <w:color w:val="auto"/>
                <w:kern w:val="21"/>
              </w:rPr>
            </w:pPr>
            <w:r>
              <w:rPr>
                <w:color w:val="auto"/>
                <w:kern w:val="21"/>
              </w:rPr>
              <w:t>丰水期</w:t>
            </w:r>
            <w:r>
              <w:rPr>
                <w:color w:val="auto"/>
                <w:kern w:val="21"/>
              </w:rPr>
              <w:sym w:font="Wingdings 2" w:char="00A3"/>
            </w:r>
            <w:r>
              <w:rPr>
                <w:color w:val="auto"/>
                <w:kern w:val="21"/>
              </w:rPr>
              <w:t>；平水期</w:t>
            </w:r>
            <w:r>
              <w:rPr>
                <w:color w:val="auto"/>
                <w:kern w:val="21"/>
              </w:rPr>
              <w:sym w:font="Wingdings 2" w:char="0052"/>
            </w:r>
            <w:r>
              <w:rPr>
                <w:color w:val="auto"/>
                <w:kern w:val="21"/>
              </w:rPr>
              <w:t>；枯水期</w:t>
            </w:r>
            <w:r>
              <w:rPr>
                <w:color w:val="auto"/>
                <w:kern w:val="21"/>
              </w:rPr>
              <w:sym w:font="Wingdings 2" w:char="00A3"/>
            </w:r>
            <w:r>
              <w:rPr>
                <w:color w:val="auto"/>
                <w:kern w:val="21"/>
              </w:rPr>
              <w:t>；冰封期</w:t>
            </w:r>
            <w:r>
              <w:rPr>
                <w:color w:val="auto"/>
                <w:kern w:val="21"/>
              </w:rPr>
              <w:sym w:font="Wingdings 2" w:char="00A3"/>
            </w:r>
          </w:p>
          <w:p>
            <w:pPr>
              <w:tabs>
                <w:tab w:val="left" w:pos="757"/>
              </w:tabs>
              <w:adjustRightInd w:val="0"/>
              <w:snapToGrid w:val="0"/>
              <w:rPr>
                <w:color w:val="auto"/>
                <w:kern w:val="21"/>
              </w:rPr>
            </w:pPr>
            <w:r>
              <w:rPr>
                <w:color w:val="auto"/>
                <w:kern w:val="21"/>
              </w:rPr>
              <w:t>春季</w:t>
            </w:r>
            <w:r>
              <w:rPr>
                <w:color w:val="auto"/>
                <w:kern w:val="21"/>
              </w:rPr>
              <w:sym w:font="Wingdings 2" w:char="00A3"/>
            </w:r>
            <w:r>
              <w:rPr>
                <w:color w:val="auto"/>
                <w:kern w:val="21"/>
              </w:rPr>
              <w:t>；夏季</w:t>
            </w:r>
            <w:r>
              <w:rPr>
                <w:color w:val="auto"/>
                <w:kern w:val="21"/>
              </w:rPr>
              <w:sym w:font="Wingdings 2" w:char="00A3"/>
            </w:r>
            <w:r>
              <w:rPr>
                <w:color w:val="auto"/>
                <w:kern w:val="21"/>
              </w:rPr>
              <w:t>；秋季</w:t>
            </w:r>
            <w:r>
              <w:rPr>
                <w:color w:val="auto"/>
                <w:kern w:val="21"/>
              </w:rPr>
              <w:sym w:font="Wingdings 2" w:char="00A3"/>
            </w:r>
            <w:r>
              <w:rPr>
                <w:color w:val="auto"/>
                <w:kern w:val="21"/>
              </w:rPr>
              <w:t>；冬季</w:t>
            </w:r>
            <w:r>
              <w:rPr>
                <w:color w:val="auto"/>
                <w:kern w:val="21"/>
              </w:rPr>
              <w:sym w:font="Wingdings 2" w:char="00A3"/>
            </w:r>
          </w:p>
        </w:tc>
        <w:tc>
          <w:tcPr>
            <w:tcW w:w="398" w:type="dxa"/>
            <w:vAlign w:val="center"/>
          </w:tcPr>
          <w:p>
            <w:pPr>
              <w:tabs>
                <w:tab w:val="left" w:pos="757"/>
              </w:tabs>
              <w:adjustRightInd w:val="0"/>
              <w:snapToGrid w:val="0"/>
              <w:rPr>
                <w:color w:val="auto"/>
                <w:kern w:val="21"/>
              </w:rPr>
            </w:pPr>
          </w:p>
        </w:tc>
        <w:tc>
          <w:tcPr>
            <w:tcW w:w="2481" w:type="dxa"/>
            <w:gridSpan w:val="4"/>
            <w:vAlign w:val="center"/>
          </w:tcPr>
          <w:p>
            <w:pPr>
              <w:tabs>
                <w:tab w:val="left" w:pos="757"/>
              </w:tabs>
              <w:adjustRightInd w:val="0"/>
              <w:snapToGrid w:val="0"/>
              <w:rPr>
                <w:color w:val="auto"/>
                <w:kern w:val="21"/>
              </w:rPr>
            </w:pPr>
            <w:r>
              <w:rPr>
                <w:color w:val="auto"/>
                <w:kern w:val="21"/>
              </w:rPr>
              <w:t>监测断面或点位个数（）个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restart"/>
            <w:vAlign w:val="center"/>
          </w:tcPr>
          <w:p>
            <w:pPr>
              <w:tabs>
                <w:tab w:val="left" w:pos="757"/>
              </w:tabs>
              <w:adjustRightInd w:val="0"/>
              <w:snapToGrid w:val="0"/>
              <w:rPr>
                <w:color w:val="auto"/>
                <w:kern w:val="21"/>
              </w:rPr>
            </w:pPr>
            <w:r>
              <w:rPr>
                <w:color w:val="auto"/>
                <w:kern w:val="21"/>
              </w:rPr>
              <w:t>现状评价</w:t>
            </w:r>
          </w:p>
        </w:tc>
        <w:tc>
          <w:tcPr>
            <w:tcW w:w="1380" w:type="dxa"/>
            <w:vAlign w:val="center"/>
          </w:tcPr>
          <w:p>
            <w:pPr>
              <w:tabs>
                <w:tab w:val="left" w:pos="757"/>
              </w:tabs>
              <w:adjustRightInd w:val="0"/>
              <w:snapToGrid w:val="0"/>
              <w:rPr>
                <w:color w:val="auto"/>
                <w:kern w:val="21"/>
              </w:rPr>
            </w:pPr>
            <w:r>
              <w:rPr>
                <w:color w:val="auto"/>
                <w:kern w:val="21"/>
              </w:rPr>
              <w:t>评价范围</w:t>
            </w:r>
          </w:p>
        </w:tc>
        <w:tc>
          <w:tcPr>
            <w:tcW w:w="6549" w:type="dxa"/>
            <w:gridSpan w:val="8"/>
            <w:vAlign w:val="center"/>
          </w:tcPr>
          <w:p>
            <w:pPr>
              <w:tabs>
                <w:tab w:val="left" w:pos="757"/>
              </w:tabs>
              <w:adjustRightInd w:val="0"/>
              <w:snapToGrid w:val="0"/>
              <w:rPr>
                <w:color w:val="auto"/>
                <w:kern w:val="21"/>
              </w:rPr>
            </w:pPr>
            <w:r>
              <w:rPr>
                <w:color w:val="auto"/>
                <w:kern w:val="21"/>
              </w:rPr>
              <w:t>河流：长度（）km；湖库、河口及近岸海域：面积（）km</w:t>
            </w:r>
            <w:r>
              <w:rPr>
                <w:color w:val="auto"/>
                <w:kern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评价因子</w:t>
            </w:r>
          </w:p>
        </w:tc>
        <w:tc>
          <w:tcPr>
            <w:tcW w:w="6549" w:type="dxa"/>
            <w:gridSpan w:val="8"/>
            <w:vAlign w:val="center"/>
          </w:tcPr>
          <w:p>
            <w:pPr>
              <w:tabs>
                <w:tab w:val="left" w:pos="757"/>
              </w:tabs>
              <w:adjustRightInd w:val="0"/>
              <w:snapToGrid w:val="0"/>
              <w:rPr>
                <w:color w:val="auto"/>
                <w:kern w:val="21"/>
              </w:rPr>
            </w:pPr>
            <w:r>
              <w:rPr>
                <w:color w:val="auto"/>
                <w:kern w:val="21"/>
              </w:rPr>
              <w:t>COD、NH</w:t>
            </w:r>
            <w:r>
              <w:rPr>
                <w:color w:val="auto"/>
                <w:kern w:val="21"/>
                <w:vertAlign w:val="subscript"/>
              </w:rPr>
              <w:t>3</w:t>
            </w:r>
            <w:r>
              <w:rPr>
                <w:color w:val="auto"/>
                <w:kern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评价标准</w:t>
            </w:r>
          </w:p>
        </w:tc>
        <w:tc>
          <w:tcPr>
            <w:tcW w:w="6549" w:type="dxa"/>
            <w:gridSpan w:val="8"/>
            <w:vAlign w:val="center"/>
          </w:tcPr>
          <w:p>
            <w:pPr>
              <w:tabs>
                <w:tab w:val="left" w:pos="757"/>
              </w:tabs>
              <w:adjustRightInd w:val="0"/>
              <w:snapToGrid w:val="0"/>
              <w:rPr>
                <w:color w:val="auto"/>
                <w:kern w:val="21"/>
              </w:rPr>
            </w:pPr>
            <w:r>
              <w:rPr>
                <w:color w:val="auto"/>
                <w:kern w:val="21"/>
              </w:rPr>
              <w:t>河流、湖库、河口：</w:t>
            </w:r>
            <w:r>
              <w:rPr>
                <w:color w:val="auto"/>
                <w:kern w:val="21"/>
              </w:rPr>
              <w:fldChar w:fldCharType="begin"/>
            </w:r>
            <w:r>
              <w:rPr>
                <w:color w:val="auto"/>
                <w:kern w:val="21"/>
              </w:rPr>
              <w:instrText xml:space="preserve"> = 1 \* ROMAN \* MERGEFORMAT </w:instrText>
            </w:r>
            <w:r>
              <w:rPr>
                <w:color w:val="auto"/>
                <w:kern w:val="21"/>
              </w:rPr>
              <w:fldChar w:fldCharType="separate"/>
            </w:r>
            <w:r>
              <w:rPr>
                <w:color w:val="auto"/>
                <w:kern w:val="21"/>
              </w:rPr>
              <w:t>I</w:t>
            </w:r>
            <w:r>
              <w:rPr>
                <w:color w:val="auto"/>
                <w:kern w:val="21"/>
              </w:rPr>
              <w:fldChar w:fldCharType="end"/>
            </w:r>
            <w:r>
              <w:rPr>
                <w:color w:val="auto"/>
                <w:kern w:val="21"/>
              </w:rPr>
              <w:t>类；</w:t>
            </w:r>
            <w:r>
              <w:rPr>
                <w:color w:val="auto"/>
                <w:kern w:val="21"/>
              </w:rPr>
              <w:fldChar w:fldCharType="begin"/>
            </w:r>
            <w:r>
              <w:rPr>
                <w:color w:val="auto"/>
                <w:kern w:val="21"/>
              </w:rPr>
              <w:instrText xml:space="preserve"> = 2 \* ROMAN \* MERGEFORMAT </w:instrText>
            </w:r>
            <w:r>
              <w:rPr>
                <w:color w:val="auto"/>
                <w:kern w:val="21"/>
              </w:rPr>
              <w:fldChar w:fldCharType="separate"/>
            </w:r>
            <w:r>
              <w:rPr>
                <w:color w:val="auto"/>
                <w:kern w:val="21"/>
              </w:rPr>
              <w:t>II</w:t>
            </w:r>
            <w:r>
              <w:rPr>
                <w:color w:val="auto"/>
                <w:kern w:val="21"/>
              </w:rPr>
              <w:fldChar w:fldCharType="end"/>
            </w:r>
            <w:r>
              <w:rPr>
                <w:color w:val="auto"/>
                <w:kern w:val="21"/>
              </w:rPr>
              <w:t>类；</w:t>
            </w:r>
            <w:r>
              <w:rPr>
                <w:color w:val="auto"/>
                <w:kern w:val="21"/>
              </w:rPr>
              <w:fldChar w:fldCharType="begin"/>
            </w:r>
            <w:r>
              <w:rPr>
                <w:color w:val="auto"/>
                <w:kern w:val="21"/>
              </w:rPr>
              <w:instrText xml:space="preserve"> = 3 \* ROMAN \* MERGEFORMAT </w:instrText>
            </w:r>
            <w:r>
              <w:rPr>
                <w:color w:val="auto"/>
                <w:kern w:val="21"/>
              </w:rPr>
              <w:fldChar w:fldCharType="separate"/>
            </w:r>
            <w:r>
              <w:rPr>
                <w:color w:val="auto"/>
                <w:kern w:val="21"/>
              </w:rPr>
              <w:t>III</w:t>
            </w:r>
            <w:r>
              <w:rPr>
                <w:color w:val="auto"/>
                <w:kern w:val="21"/>
              </w:rPr>
              <w:fldChar w:fldCharType="end"/>
            </w:r>
            <w:r>
              <w:rPr>
                <w:color w:val="auto"/>
                <w:kern w:val="21"/>
              </w:rPr>
              <w:t>类；类；</w:t>
            </w:r>
            <w:r>
              <w:rPr>
                <w:color w:val="auto"/>
                <w:kern w:val="21"/>
              </w:rPr>
              <w:fldChar w:fldCharType="begin"/>
            </w:r>
            <w:r>
              <w:rPr>
                <w:color w:val="auto"/>
                <w:kern w:val="21"/>
              </w:rPr>
              <w:instrText xml:space="preserve"> = 5 \* ROMAN \* MERGEFORMAT </w:instrText>
            </w:r>
            <w:r>
              <w:rPr>
                <w:color w:val="auto"/>
                <w:kern w:val="21"/>
              </w:rPr>
              <w:fldChar w:fldCharType="separate"/>
            </w:r>
            <w:r>
              <w:rPr>
                <w:color w:val="auto"/>
                <w:kern w:val="21"/>
              </w:rPr>
              <w:t>V</w:t>
            </w:r>
            <w:r>
              <w:rPr>
                <w:color w:val="auto"/>
                <w:kern w:val="21"/>
              </w:rPr>
              <w:fldChar w:fldCharType="end"/>
            </w:r>
            <w:r>
              <w:rPr>
                <w:color w:val="auto"/>
                <w:kern w:val="21"/>
              </w:rPr>
              <w:t>类</w:t>
            </w:r>
          </w:p>
          <w:p>
            <w:pPr>
              <w:tabs>
                <w:tab w:val="left" w:pos="757"/>
              </w:tabs>
              <w:adjustRightInd w:val="0"/>
              <w:snapToGrid w:val="0"/>
              <w:rPr>
                <w:color w:val="auto"/>
                <w:kern w:val="21"/>
              </w:rPr>
            </w:pPr>
            <w:r>
              <w:rPr>
                <w:color w:val="auto"/>
                <w:kern w:val="21"/>
              </w:rPr>
              <w:t>近岸海域：第一类</w:t>
            </w:r>
            <w:r>
              <w:rPr>
                <w:color w:val="auto"/>
                <w:kern w:val="21"/>
              </w:rPr>
              <w:sym w:font="Wingdings 2" w:char="00A3"/>
            </w:r>
            <w:r>
              <w:rPr>
                <w:color w:val="auto"/>
                <w:kern w:val="21"/>
              </w:rPr>
              <w:t>；第二类</w:t>
            </w:r>
            <w:r>
              <w:rPr>
                <w:color w:val="auto"/>
                <w:kern w:val="21"/>
              </w:rPr>
              <w:sym w:font="Wingdings 2" w:char="00A3"/>
            </w:r>
            <w:r>
              <w:rPr>
                <w:color w:val="auto"/>
                <w:kern w:val="21"/>
              </w:rPr>
              <w:t>；第三类</w:t>
            </w:r>
            <w:r>
              <w:rPr>
                <w:color w:val="auto"/>
                <w:kern w:val="21"/>
              </w:rPr>
              <w:sym w:font="Wingdings 2" w:char="00A3"/>
            </w:r>
            <w:r>
              <w:rPr>
                <w:color w:val="auto"/>
                <w:kern w:val="21"/>
              </w:rPr>
              <w:t>；第四类</w:t>
            </w:r>
            <w:r>
              <w:rPr>
                <w:color w:val="auto"/>
                <w:kern w:val="21"/>
              </w:rPr>
              <w:sym w:font="Wingdings 2" w:char="00A3"/>
            </w:r>
          </w:p>
          <w:p>
            <w:pPr>
              <w:tabs>
                <w:tab w:val="left" w:pos="757"/>
              </w:tabs>
              <w:adjustRightInd w:val="0"/>
              <w:snapToGrid w:val="0"/>
              <w:rPr>
                <w:color w:val="auto"/>
                <w:kern w:val="21"/>
              </w:rPr>
            </w:pPr>
            <w:r>
              <w:rPr>
                <w:color w:val="auto"/>
                <w:kern w:val="21"/>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评价时期</w:t>
            </w:r>
          </w:p>
        </w:tc>
        <w:tc>
          <w:tcPr>
            <w:tcW w:w="6549" w:type="dxa"/>
            <w:gridSpan w:val="8"/>
            <w:vAlign w:val="center"/>
          </w:tcPr>
          <w:p>
            <w:pPr>
              <w:tabs>
                <w:tab w:val="left" w:pos="757"/>
              </w:tabs>
              <w:adjustRightInd w:val="0"/>
              <w:snapToGrid w:val="0"/>
              <w:rPr>
                <w:color w:val="auto"/>
                <w:kern w:val="21"/>
              </w:rPr>
            </w:pPr>
            <w:r>
              <w:rPr>
                <w:color w:val="auto"/>
                <w:kern w:val="21"/>
              </w:rPr>
              <w:t>丰水期</w:t>
            </w:r>
            <w:r>
              <w:rPr>
                <w:color w:val="auto"/>
                <w:kern w:val="21"/>
              </w:rPr>
              <w:sym w:font="Wingdings 2" w:char="00A3"/>
            </w:r>
            <w:r>
              <w:rPr>
                <w:color w:val="auto"/>
                <w:kern w:val="21"/>
              </w:rPr>
              <w:t>；平水期</w:t>
            </w:r>
            <w:r>
              <w:rPr>
                <w:color w:val="auto"/>
                <w:kern w:val="21"/>
              </w:rPr>
              <w:sym w:font="Wingdings 2" w:char="00A3"/>
            </w:r>
            <w:r>
              <w:rPr>
                <w:color w:val="auto"/>
                <w:kern w:val="21"/>
              </w:rPr>
              <w:t>；枯水期</w:t>
            </w:r>
            <w:r>
              <w:rPr>
                <w:color w:val="auto"/>
                <w:kern w:val="21"/>
              </w:rPr>
              <w:sym w:font="Wingdings 2" w:char="0052"/>
            </w:r>
            <w:r>
              <w:rPr>
                <w:color w:val="auto"/>
                <w:kern w:val="21"/>
              </w:rPr>
              <w:t>；冰封期</w:t>
            </w:r>
            <w:r>
              <w:rPr>
                <w:color w:val="auto"/>
                <w:kern w:val="21"/>
              </w:rPr>
              <w:sym w:font="Wingdings 2" w:char="00A3"/>
            </w:r>
          </w:p>
          <w:p>
            <w:pPr>
              <w:tabs>
                <w:tab w:val="left" w:pos="757"/>
              </w:tabs>
              <w:adjustRightInd w:val="0"/>
              <w:snapToGrid w:val="0"/>
              <w:rPr>
                <w:color w:val="auto"/>
                <w:kern w:val="21"/>
              </w:rPr>
            </w:pPr>
            <w:r>
              <w:rPr>
                <w:color w:val="auto"/>
                <w:kern w:val="21"/>
              </w:rPr>
              <w:t>春季</w:t>
            </w:r>
            <w:r>
              <w:rPr>
                <w:color w:val="auto"/>
                <w:kern w:val="21"/>
              </w:rPr>
              <w:sym w:font="Wingdings 2" w:char="00A3"/>
            </w:r>
            <w:r>
              <w:rPr>
                <w:color w:val="auto"/>
                <w:kern w:val="21"/>
              </w:rPr>
              <w:t>；夏季</w:t>
            </w:r>
            <w:r>
              <w:rPr>
                <w:color w:val="auto"/>
                <w:kern w:val="21"/>
              </w:rPr>
              <w:sym w:font="Wingdings 2" w:char="00A3"/>
            </w:r>
            <w:r>
              <w:rPr>
                <w:color w:val="auto"/>
                <w:kern w:val="21"/>
              </w:rPr>
              <w:t>；秋季</w:t>
            </w:r>
            <w:r>
              <w:rPr>
                <w:color w:val="auto"/>
                <w:kern w:val="21"/>
              </w:rPr>
              <w:sym w:font="Wingdings 2" w:char="0052"/>
            </w:r>
            <w:r>
              <w:rPr>
                <w:color w:val="auto"/>
                <w:kern w:val="21"/>
              </w:rPr>
              <w:t>；冬季</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评价结论</w:t>
            </w:r>
          </w:p>
        </w:tc>
        <w:tc>
          <w:tcPr>
            <w:tcW w:w="5412" w:type="dxa"/>
            <w:gridSpan w:val="7"/>
            <w:vAlign w:val="center"/>
          </w:tcPr>
          <w:p>
            <w:pPr>
              <w:tabs>
                <w:tab w:val="left" w:pos="757"/>
              </w:tabs>
              <w:adjustRightInd w:val="0"/>
              <w:snapToGrid w:val="0"/>
              <w:rPr>
                <w:color w:val="auto"/>
                <w:kern w:val="21"/>
              </w:rPr>
            </w:pPr>
            <w:r>
              <w:rPr>
                <w:color w:val="auto"/>
                <w:kern w:val="21"/>
              </w:rPr>
              <w:t>水环境功能区或水功能区、近岸海域环境功能区水质达标状况：达标</w:t>
            </w:r>
            <w:r>
              <w:rPr>
                <w:color w:val="auto"/>
                <w:kern w:val="21"/>
              </w:rPr>
              <w:sym w:font="Wingdings 2" w:char="0052"/>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水环境控制单元或断面水质达标状况：达标</w:t>
            </w:r>
            <w:r>
              <w:rPr>
                <w:color w:val="auto"/>
                <w:kern w:val="21"/>
              </w:rPr>
              <w:sym w:font="Wingdings 2" w:char="00A3"/>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水环境保护目标质量状况：达标</w:t>
            </w:r>
            <w:r>
              <w:rPr>
                <w:color w:val="auto"/>
                <w:kern w:val="21"/>
              </w:rPr>
              <w:sym w:font="Wingdings 2" w:char="00A3"/>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对照断面、控制断面等代表性断面的水质状况：达标</w:t>
            </w:r>
            <w:r>
              <w:rPr>
                <w:color w:val="auto"/>
                <w:kern w:val="21"/>
              </w:rPr>
              <w:sym w:font="Wingdings 2" w:char="00A3"/>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底泥污染评价：达标</w:t>
            </w:r>
            <w:r>
              <w:rPr>
                <w:color w:val="auto"/>
                <w:kern w:val="21"/>
              </w:rPr>
              <w:sym w:font="Wingdings 2" w:char="00A3"/>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水环境质量回顾评价：达标</w:t>
            </w:r>
            <w:r>
              <w:rPr>
                <w:color w:val="auto"/>
                <w:kern w:val="21"/>
              </w:rPr>
              <w:sym w:font="Wingdings 2" w:char="00A3"/>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海域（区域）水资源（包括水能资源）与开发利用总体状况、生态流量管理要求与现状满足程度、建设项目占用水域空间的水流状况与河湖演变状况：达标</w:t>
            </w:r>
            <w:r>
              <w:rPr>
                <w:color w:val="auto"/>
                <w:kern w:val="21"/>
              </w:rPr>
              <w:sym w:font="Wingdings 2" w:char="00A3"/>
            </w:r>
            <w:r>
              <w:rPr>
                <w:color w:val="auto"/>
                <w:kern w:val="21"/>
              </w:rPr>
              <w:t>；不达标</w:t>
            </w:r>
            <w:r>
              <w:rPr>
                <w:color w:val="auto"/>
                <w:kern w:val="21"/>
              </w:rPr>
              <w:sym w:font="Wingdings 2" w:char="00A3"/>
            </w:r>
          </w:p>
          <w:p>
            <w:pPr>
              <w:tabs>
                <w:tab w:val="left" w:pos="757"/>
              </w:tabs>
              <w:adjustRightInd w:val="0"/>
              <w:snapToGrid w:val="0"/>
              <w:rPr>
                <w:color w:val="auto"/>
                <w:kern w:val="21"/>
              </w:rPr>
            </w:pPr>
            <w:r>
              <w:rPr>
                <w:color w:val="auto"/>
                <w:kern w:val="21"/>
              </w:rPr>
              <w:t>依托污水处理设施稳定达标排放评价：达标</w:t>
            </w:r>
            <w:r>
              <w:rPr>
                <w:color w:val="auto"/>
                <w:kern w:val="21"/>
              </w:rPr>
              <w:sym w:font="Wingdings 2" w:char="00A3"/>
            </w:r>
            <w:r>
              <w:rPr>
                <w:color w:val="auto"/>
                <w:kern w:val="21"/>
              </w:rPr>
              <w:t>；不达标</w:t>
            </w:r>
            <w:r>
              <w:rPr>
                <w:color w:val="auto"/>
                <w:kern w:val="21"/>
              </w:rPr>
              <w:sym w:font="Wingdings 2" w:char="00A3"/>
            </w:r>
          </w:p>
        </w:tc>
        <w:tc>
          <w:tcPr>
            <w:tcW w:w="1137" w:type="dxa"/>
            <w:vAlign w:val="center"/>
          </w:tcPr>
          <w:p>
            <w:pPr>
              <w:tabs>
                <w:tab w:val="left" w:pos="757"/>
              </w:tabs>
              <w:adjustRightInd w:val="0"/>
              <w:snapToGrid w:val="0"/>
              <w:rPr>
                <w:color w:val="auto"/>
                <w:kern w:val="21"/>
              </w:rPr>
            </w:pPr>
            <w:r>
              <w:rPr>
                <w:color w:val="auto"/>
                <w:kern w:val="21"/>
              </w:rPr>
              <w:t>达标区</w:t>
            </w:r>
            <w:r>
              <w:rPr>
                <w:color w:val="auto"/>
                <w:kern w:val="21"/>
              </w:rPr>
              <w:sym w:font="Wingdings 2" w:char="00A3"/>
            </w:r>
          </w:p>
          <w:p>
            <w:pPr>
              <w:tabs>
                <w:tab w:val="left" w:pos="757"/>
              </w:tabs>
              <w:adjustRightInd w:val="0"/>
              <w:snapToGrid w:val="0"/>
              <w:rPr>
                <w:color w:val="auto"/>
                <w:kern w:val="21"/>
              </w:rPr>
            </w:pPr>
            <w:r>
              <w:rPr>
                <w:color w:val="auto"/>
                <w:kern w:val="21"/>
              </w:rPr>
              <w:t>不达标区</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restart"/>
            <w:vAlign w:val="center"/>
          </w:tcPr>
          <w:p>
            <w:pPr>
              <w:tabs>
                <w:tab w:val="left" w:pos="757"/>
              </w:tabs>
              <w:adjustRightInd w:val="0"/>
              <w:snapToGrid w:val="0"/>
              <w:rPr>
                <w:color w:val="auto"/>
                <w:kern w:val="21"/>
              </w:rPr>
            </w:pPr>
            <w:r>
              <w:rPr>
                <w:color w:val="auto"/>
                <w:kern w:val="21"/>
              </w:rPr>
              <w:t>影响预测</w:t>
            </w:r>
          </w:p>
        </w:tc>
        <w:tc>
          <w:tcPr>
            <w:tcW w:w="1380" w:type="dxa"/>
            <w:vAlign w:val="center"/>
          </w:tcPr>
          <w:p>
            <w:pPr>
              <w:tabs>
                <w:tab w:val="left" w:pos="757"/>
              </w:tabs>
              <w:adjustRightInd w:val="0"/>
              <w:snapToGrid w:val="0"/>
              <w:rPr>
                <w:color w:val="auto"/>
                <w:kern w:val="21"/>
              </w:rPr>
            </w:pPr>
            <w:r>
              <w:rPr>
                <w:color w:val="auto"/>
                <w:kern w:val="21"/>
              </w:rPr>
              <w:t>预测范围</w:t>
            </w:r>
          </w:p>
        </w:tc>
        <w:tc>
          <w:tcPr>
            <w:tcW w:w="6549" w:type="dxa"/>
            <w:gridSpan w:val="8"/>
            <w:vAlign w:val="center"/>
          </w:tcPr>
          <w:p>
            <w:pPr>
              <w:tabs>
                <w:tab w:val="left" w:pos="757"/>
              </w:tabs>
              <w:adjustRightInd w:val="0"/>
              <w:snapToGrid w:val="0"/>
              <w:rPr>
                <w:color w:val="auto"/>
                <w:kern w:val="21"/>
              </w:rPr>
            </w:pPr>
            <w:r>
              <w:rPr>
                <w:color w:val="auto"/>
                <w:kern w:val="21"/>
              </w:rPr>
              <w:t>河流：长度（）km；湖库、河口及近岸海域：面积（）km</w:t>
            </w:r>
            <w:r>
              <w:rPr>
                <w:color w:val="auto"/>
                <w:kern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预测因子</w:t>
            </w:r>
          </w:p>
        </w:tc>
        <w:tc>
          <w:tcPr>
            <w:tcW w:w="6549" w:type="dxa"/>
            <w:gridSpan w:val="8"/>
            <w:vAlign w:val="center"/>
          </w:tcPr>
          <w:p>
            <w:pPr>
              <w:tabs>
                <w:tab w:val="left" w:pos="757"/>
              </w:tabs>
              <w:adjustRightInd w:val="0"/>
              <w:snapToGrid w:val="0"/>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预测时期</w:t>
            </w:r>
          </w:p>
        </w:tc>
        <w:tc>
          <w:tcPr>
            <w:tcW w:w="6549" w:type="dxa"/>
            <w:gridSpan w:val="8"/>
            <w:vAlign w:val="center"/>
          </w:tcPr>
          <w:p>
            <w:pPr>
              <w:tabs>
                <w:tab w:val="left" w:pos="757"/>
              </w:tabs>
              <w:adjustRightInd w:val="0"/>
              <w:snapToGrid w:val="0"/>
              <w:rPr>
                <w:color w:val="auto"/>
                <w:kern w:val="21"/>
              </w:rPr>
            </w:pPr>
            <w:r>
              <w:rPr>
                <w:color w:val="auto"/>
                <w:kern w:val="21"/>
              </w:rPr>
              <w:t>丰水期</w:t>
            </w:r>
            <w:r>
              <w:rPr>
                <w:color w:val="auto"/>
                <w:kern w:val="21"/>
              </w:rPr>
              <w:sym w:font="Wingdings 2" w:char="00A3"/>
            </w:r>
            <w:r>
              <w:rPr>
                <w:color w:val="auto"/>
                <w:kern w:val="21"/>
              </w:rPr>
              <w:t>；平水期</w:t>
            </w:r>
            <w:r>
              <w:rPr>
                <w:color w:val="auto"/>
                <w:kern w:val="21"/>
              </w:rPr>
              <w:sym w:font="Wingdings 2" w:char="00A3"/>
            </w:r>
            <w:r>
              <w:rPr>
                <w:color w:val="auto"/>
                <w:kern w:val="21"/>
              </w:rPr>
              <w:t>；枯水期</w:t>
            </w:r>
            <w:r>
              <w:rPr>
                <w:color w:val="auto"/>
                <w:kern w:val="21"/>
              </w:rPr>
              <w:sym w:font="Wingdings 2" w:char="00A3"/>
            </w:r>
            <w:r>
              <w:rPr>
                <w:color w:val="auto"/>
                <w:kern w:val="21"/>
              </w:rPr>
              <w:t>；冰封期</w:t>
            </w:r>
            <w:r>
              <w:rPr>
                <w:color w:val="auto"/>
                <w:kern w:val="21"/>
              </w:rPr>
              <w:sym w:font="Wingdings 2" w:char="00A3"/>
            </w:r>
          </w:p>
          <w:p>
            <w:pPr>
              <w:tabs>
                <w:tab w:val="left" w:pos="757"/>
              </w:tabs>
              <w:adjustRightInd w:val="0"/>
              <w:snapToGrid w:val="0"/>
              <w:rPr>
                <w:color w:val="auto"/>
                <w:kern w:val="21"/>
              </w:rPr>
            </w:pPr>
            <w:r>
              <w:rPr>
                <w:color w:val="auto"/>
                <w:kern w:val="21"/>
              </w:rPr>
              <w:t>春季</w:t>
            </w:r>
            <w:r>
              <w:rPr>
                <w:color w:val="auto"/>
                <w:kern w:val="21"/>
              </w:rPr>
              <w:sym w:font="Wingdings 2" w:char="00A3"/>
            </w:r>
            <w:r>
              <w:rPr>
                <w:color w:val="auto"/>
                <w:kern w:val="21"/>
              </w:rPr>
              <w:t>；夏季</w:t>
            </w:r>
            <w:r>
              <w:rPr>
                <w:color w:val="auto"/>
                <w:kern w:val="21"/>
              </w:rPr>
              <w:sym w:font="Wingdings 2" w:char="00A3"/>
            </w:r>
            <w:r>
              <w:rPr>
                <w:color w:val="auto"/>
                <w:kern w:val="21"/>
              </w:rPr>
              <w:t>；秋季</w:t>
            </w:r>
            <w:r>
              <w:rPr>
                <w:color w:val="auto"/>
                <w:kern w:val="21"/>
              </w:rPr>
              <w:sym w:font="Wingdings 2" w:char="00A3"/>
            </w:r>
            <w:r>
              <w:rPr>
                <w:color w:val="auto"/>
                <w:kern w:val="21"/>
              </w:rPr>
              <w:t>；冬季</w:t>
            </w:r>
            <w:r>
              <w:rPr>
                <w:color w:val="auto"/>
                <w:kern w:val="21"/>
              </w:rPr>
              <w:sym w:font="Wingdings 2" w:char="00A3"/>
            </w:r>
          </w:p>
          <w:p>
            <w:pPr>
              <w:tabs>
                <w:tab w:val="left" w:pos="757"/>
              </w:tabs>
              <w:adjustRightInd w:val="0"/>
              <w:snapToGrid w:val="0"/>
              <w:rPr>
                <w:color w:val="auto"/>
                <w:kern w:val="21"/>
              </w:rPr>
            </w:pPr>
            <w:r>
              <w:rPr>
                <w:color w:val="auto"/>
                <w:kern w:val="21"/>
              </w:rPr>
              <w:t>设计水文条件</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预测情景</w:t>
            </w:r>
          </w:p>
        </w:tc>
        <w:tc>
          <w:tcPr>
            <w:tcW w:w="6549" w:type="dxa"/>
            <w:gridSpan w:val="8"/>
            <w:vAlign w:val="center"/>
          </w:tcPr>
          <w:p>
            <w:pPr>
              <w:tabs>
                <w:tab w:val="left" w:pos="757"/>
              </w:tabs>
              <w:adjustRightInd w:val="0"/>
              <w:snapToGrid w:val="0"/>
              <w:rPr>
                <w:color w:val="auto"/>
                <w:kern w:val="21"/>
              </w:rPr>
            </w:pPr>
            <w:r>
              <w:rPr>
                <w:color w:val="auto"/>
                <w:kern w:val="21"/>
              </w:rPr>
              <w:t>建设期</w:t>
            </w:r>
            <w:r>
              <w:rPr>
                <w:color w:val="auto"/>
                <w:kern w:val="21"/>
              </w:rPr>
              <w:sym w:font="Wingdings 2" w:char="00A3"/>
            </w:r>
            <w:r>
              <w:rPr>
                <w:color w:val="auto"/>
                <w:kern w:val="21"/>
              </w:rPr>
              <w:t>；生产运行期</w:t>
            </w:r>
            <w:r>
              <w:rPr>
                <w:color w:val="auto"/>
                <w:kern w:val="21"/>
              </w:rPr>
              <w:sym w:font="Wingdings 2" w:char="00A3"/>
            </w:r>
            <w:r>
              <w:rPr>
                <w:color w:val="auto"/>
                <w:kern w:val="21"/>
              </w:rPr>
              <w:t>；服务期满后</w:t>
            </w:r>
            <w:r>
              <w:rPr>
                <w:color w:val="auto"/>
                <w:kern w:val="21"/>
              </w:rPr>
              <w:sym w:font="Wingdings 2" w:char="00A3"/>
            </w:r>
          </w:p>
          <w:p>
            <w:pPr>
              <w:tabs>
                <w:tab w:val="left" w:pos="757"/>
              </w:tabs>
              <w:adjustRightInd w:val="0"/>
              <w:snapToGrid w:val="0"/>
              <w:rPr>
                <w:color w:val="auto"/>
                <w:kern w:val="21"/>
              </w:rPr>
            </w:pPr>
            <w:r>
              <w:rPr>
                <w:color w:val="auto"/>
                <w:kern w:val="21"/>
              </w:rPr>
              <w:t>正常工况</w:t>
            </w:r>
            <w:r>
              <w:rPr>
                <w:color w:val="auto"/>
                <w:kern w:val="21"/>
              </w:rPr>
              <w:sym w:font="Wingdings 2" w:char="00A3"/>
            </w:r>
            <w:r>
              <w:rPr>
                <w:color w:val="auto"/>
                <w:kern w:val="21"/>
              </w:rPr>
              <w:t>；非正常工况</w:t>
            </w:r>
            <w:r>
              <w:rPr>
                <w:color w:val="auto"/>
                <w:kern w:val="21"/>
              </w:rPr>
              <w:sym w:font="Wingdings 2" w:char="00A3"/>
            </w:r>
          </w:p>
          <w:p>
            <w:pPr>
              <w:tabs>
                <w:tab w:val="left" w:pos="757"/>
              </w:tabs>
              <w:adjustRightInd w:val="0"/>
              <w:snapToGrid w:val="0"/>
              <w:rPr>
                <w:color w:val="auto"/>
                <w:kern w:val="21"/>
              </w:rPr>
            </w:pPr>
            <w:r>
              <w:rPr>
                <w:color w:val="auto"/>
                <w:kern w:val="21"/>
              </w:rPr>
              <w:t>污染控制和减缓措施方案</w:t>
            </w:r>
            <w:r>
              <w:rPr>
                <w:color w:val="auto"/>
                <w:kern w:val="21"/>
              </w:rPr>
              <w:sym w:font="Wingdings 2" w:char="00A3"/>
            </w:r>
          </w:p>
          <w:p>
            <w:pPr>
              <w:tabs>
                <w:tab w:val="left" w:pos="757"/>
              </w:tabs>
              <w:adjustRightInd w:val="0"/>
              <w:snapToGrid w:val="0"/>
              <w:rPr>
                <w:color w:val="auto"/>
                <w:kern w:val="21"/>
              </w:rPr>
            </w:pPr>
            <w:r>
              <w:rPr>
                <w:color w:val="auto"/>
                <w:kern w:val="21"/>
              </w:rPr>
              <w:t>区（流）域环境质量改善目标要求情景</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预测方法</w:t>
            </w:r>
          </w:p>
        </w:tc>
        <w:tc>
          <w:tcPr>
            <w:tcW w:w="6549" w:type="dxa"/>
            <w:gridSpan w:val="8"/>
            <w:vAlign w:val="center"/>
          </w:tcPr>
          <w:p>
            <w:pPr>
              <w:tabs>
                <w:tab w:val="left" w:pos="757"/>
              </w:tabs>
              <w:adjustRightInd w:val="0"/>
              <w:snapToGrid w:val="0"/>
              <w:rPr>
                <w:color w:val="auto"/>
                <w:kern w:val="21"/>
              </w:rPr>
            </w:pPr>
            <w:r>
              <w:rPr>
                <w:color w:val="auto"/>
                <w:kern w:val="21"/>
              </w:rPr>
              <w:t>数值解</w:t>
            </w:r>
            <w:r>
              <w:rPr>
                <w:color w:val="auto"/>
                <w:kern w:val="21"/>
              </w:rPr>
              <w:sym w:font="Wingdings 2" w:char="00A3"/>
            </w:r>
            <w:r>
              <w:rPr>
                <w:color w:val="auto"/>
                <w:kern w:val="21"/>
              </w:rPr>
              <w:t>；解析解</w:t>
            </w:r>
            <w:r>
              <w:rPr>
                <w:color w:val="auto"/>
                <w:kern w:val="21"/>
              </w:rPr>
              <w:sym w:font="Wingdings 2" w:char="00A3"/>
            </w:r>
            <w:r>
              <w:rPr>
                <w:color w:val="auto"/>
                <w:kern w:val="21"/>
              </w:rPr>
              <w:t>；其他</w:t>
            </w:r>
            <w:r>
              <w:rPr>
                <w:color w:val="auto"/>
                <w:kern w:val="21"/>
              </w:rPr>
              <w:sym w:font="Wingdings 2" w:char="00A3"/>
            </w:r>
          </w:p>
          <w:p>
            <w:pPr>
              <w:tabs>
                <w:tab w:val="left" w:pos="757"/>
              </w:tabs>
              <w:adjustRightInd w:val="0"/>
              <w:snapToGrid w:val="0"/>
              <w:rPr>
                <w:color w:val="auto"/>
                <w:kern w:val="21"/>
              </w:rPr>
            </w:pPr>
            <w:r>
              <w:rPr>
                <w:color w:val="auto"/>
                <w:kern w:val="21"/>
              </w:rPr>
              <w:t>导则推荐模式</w:t>
            </w:r>
            <w:r>
              <w:rPr>
                <w:color w:val="auto"/>
                <w:kern w:val="21"/>
              </w:rPr>
              <w:sym w:font="Wingdings 2" w:char="00A3"/>
            </w:r>
            <w:r>
              <w:rPr>
                <w:color w:val="auto"/>
                <w:kern w:val="21"/>
              </w:rPr>
              <w:t>；其他</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restart"/>
            <w:vAlign w:val="center"/>
          </w:tcPr>
          <w:p>
            <w:pPr>
              <w:tabs>
                <w:tab w:val="left" w:pos="757"/>
              </w:tabs>
              <w:adjustRightInd w:val="0"/>
              <w:snapToGrid w:val="0"/>
              <w:rPr>
                <w:color w:val="auto"/>
                <w:kern w:val="21"/>
              </w:rPr>
            </w:pPr>
            <w:r>
              <w:rPr>
                <w:color w:val="auto"/>
                <w:kern w:val="21"/>
              </w:rPr>
              <w:t>影响评价</w:t>
            </w:r>
          </w:p>
        </w:tc>
        <w:tc>
          <w:tcPr>
            <w:tcW w:w="1380" w:type="dxa"/>
            <w:vAlign w:val="center"/>
          </w:tcPr>
          <w:p>
            <w:pPr>
              <w:tabs>
                <w:tab w:val="left" w:pos="757"/>
              </w:tabs>
              <w:adjustRightInd w:val="0"/>
              <w:snapToGrid w:val="0"/>
              <w:rPr>
                <w:color w:val="auto"/>
                <w:kern w:val="21"/>
              </w:rPr>
            </w:pPr>
            <w:r>
              <w:rPr>
                <w:color w:val="auto"/>
                <w:kern w:val="21"/>
              </w:rPr>
              <w:t>水污染控制和水环境影响减缓措施有效评价</w:t>
            </w:r>
          </w:p>
        </w:tc>
        <w:tc>
          <w:tcPr>
            <w:tcW w:w="6549" w:type="dxa"/>
            <w:gridSpan w:val="8"/>
            <w:vAlign w:val="center"/>
          </w:tcPr>
          <w:p>
            <w:pPr>
              <w:tabs>
                <w:tab w:val="left" w:pos="757"/>
              </w:tabs>
              <w:adjustRightInd w:val="0"/>
              <w:snapToGrid w:val="0"/>
              <w:rPr>
                <w:color w:val="auto"/>
                <w:kern w:val="21"/>
              </w:rPr>
            </w:pPr>
            <w:r>
              <w:rPr>
                <w:color w:val="auto"/>
                <w:kern w:val="21"/>
              </w:rPr>
              <w:t>区（流）域环境质量改善目标</w:t>
            </w:r>
            <w:r>
              <w:rPr>
                <w:color w:val="auto"/>
                <w:kern w:val="21"/>
              </w:rPr>
              <w:sym w:font="Wingdings 2" w:char="00A3"/>
            </w:r>
            <w:r>
              <w:rPr>
                <w:color w:val="auto"/>
                <w:kern w:val="21"/>
              </w:rPr>
              <w:t>；替代消减源</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水环境影响评价</w:t>
            </w:r>
          </w:p>
        </w:tc>
        <w:tc>
          <w:tcPr>
            <w:tcW w:w="6549" w:type="dxa"/>
            <w:gridSpan w:val="8"/>
            <w:vAlign w:val="center"/>
          </w:tcPr>
          <w:p>
            <w:pPr>
              <w:tabs>
                <w:tab w:val="left" w:pos="757"/>
              </w:tabs>
              <w:adjustRightInd w:val="0"/>
              <w:snapToGrid w:val="0"/>
              <w:rPr>
                <w:color w:val="auto"/>
                <w:kern w:val="21"/>
              </w:rPr>
            </w:pPr>
            <w:r>
              <w:rPr>
                <w:color w:val="auto"/>
                <w:kern w:val="21"/>
              </w:rPr>
              <w:t>排放口混合区外满足水环境管理要求</w:t>
            </w:r>
            <w:r>
              <w:rPr>
                <w:color w:val="auto"/>
                <w:kern w:val="21"/>
              </w:rPr>
              <w:sym w:font="Wingdings 2" w:char="00A3"/>
            </w:r>
          </w:p>
          <w:p>
            <w:pPr>
              <w:tabs>
                <w:tab w:val="left" w:pos="757"/>
              </w:tabs>
              <w:adjustRightInd w:val="0"/>
              <w:snapToGrid w:val="0"/>
              <w:rPr>
                <w:color w:val="auto"/>
                <w:kern w:val="21"/>
              </w:rPr>
            </w:pPr>
            <w:r>
              <w:rPr>
                <w:color w:val="auto"/>
                <w:kern w:val="21"/>
              </w:rPr>
              <w:t>水环境功能区或水功能区、近岸海域环境功能区水质达标</w:t>
            </w:r>
            <w:r>
              <w:rPr>
                <w:color w:val="auto"/>
                <w:kern w:val="21"/>
              </w:rPr>
              <w:sym w:font="Wingdings 2" w:char="00A3"/>
            </w:r>
          </w:p>
          <w:p>
            <w:pPr>
              <w:tabs>
                <w:tab w:val="left" w:pos="757"/>
              </w:tabs>
              <w:adjustRightInd w:val="0"/>
              <w:snapToGrid w:val="0"/>
              <w:rPr>
                <w:color w:val="auto"/>
                <w:kern w:val="21"/>
              </w:rPr>
            </w:pPr>
            <w:r>
              <w:rPr>
                <w:color w:val="auto"/>
                <w:kern w:val="21"/>
              </w:rPr>
              <w:t>满足水环境保护目标水域水环境质量要求</w:t>
            </w:r>
            <w:r>
              <w:rPr>
                <w:color w:val="auto"/>
                <w:kern w:val="21"/>
              </w:rPr>
              <w:sym w:font="Wingdings 2" w:char="00A3"/>
            </w:r>
          </w:p>
          <w:p>
            <w:pPr>
              <w:tabs>
                <w:tab w:val="left" w:pos="757"/>
              </w:tabs>
              <w:adjustRightInd w:val="0"/>
              <w:snapToGrid w:val="0"/>
              <w:rPr>
                <w:color w:val="auto"/>
                <w:kern w:val="21"/>
              </w:rPr>
            </w:pPr>
            <w:r>
              <w:rPr>
                <w:color w:val="auto"/>
                <w:kern w:val="21"/>
              </w:rPr>
              <w:t>水环境控制单元或断面水质达标</w:t>
            </w:r>
            <w:r>
              <w:rPr>
                <w:color w:val="auto"/>
                <w:kern w:val="21"/>
              </w:rPr>
              <w:sym w:font="Wingdings 2" w:char="00A3"/>
            </w:r>
          </w:p>
          <w:p>
            <w:pPr>
              <w:tabs>
                <w:tab w:val="left" w:pos="757"/>
              </w:tabs>
              <w:adjustRightInd w:val="0"/>
              <w:snapToGrid w:val="0"/>
              <w:rPr>
                <w:color w:val="auto"/>
                <w:kern w:val="21"/>
              </w:rPr>
            </w:pPr>
            <w:r>
              <w:rPr>
                <w:color w:val="auto"/>
                <w:kern w:val="21"/>
              </w:rPr>
              <w:t>满足重点水污染物排放总量控制指标要求，重点行业建设项目，主要污染物排放满足等量或减量替代要求</w:t>
            </w:r>
            <w:r>
              <w:rPr>
                <w:color w:val="auto"/>
                <w:kern w:val="21"/>
              </w:rPr>
              <w:sym w:font="Wingdings 2" w:char="00A3"/>
            </w:r>
          </w:p>
          <w:p>
            <w:pPr>
              <w:tabs>
                <w:tab w:val="left" w:pos="757"/>
              </w:tabs>
              <w:adjustRightInd w:val="0"/>
              <w:snapToGrid w:val="0"/>
              <w:rPr>
                <w:color w:val="auto"/>
                <w:kern w:val="21"/>
              </w:rPr>
            </w:pPr>
            <w:r>
              <w:rPr>
                <w:color w:val="auto"/>
                <w:kern w:val="21"/>
              </w:rPr>
              <w:t>满足区（流）域环境质量改善目标要求</w:t>
            </w:r>
            <w:r>
              <w:rPr>
                <w:color w:val="auto"/>
                <w:kern w:val="21"/>
              </w:rPr>
              <w:sym w:font="Wingdings 2" w:char="00A3"/>
            </w:r>
          </w:p>
          <w:p>
            <w:pPr>
              <w:tabs>
                <w:tab w:val="left" w:pos="757"/>
              </w:tabs>
              <w:adjustRightInd w:val="0"/>
              <w:snapToGrid w:val="0"/>
              <w:rPr>
                <w:color w:val="auto"/>
                <w:kern w:val="21"/>
              </w:rPr>
            </w:pPr>
            <w:r>
              <w:rPr>
                <w:color w:val="auto"/>
                <w:kern w:val="21"/>
              </w:rPr>
              <w:t>水文要素影响型建设项目同时应包括水文情势变化评价、主要水文特征值影响评价、生态流量符合性评价</w:t>
            </w:r>
            <w:r>
              <w:rPr>
                <w:color w:val="auto"/>
                <w:kern w:val="21"/>
              </w:rPr>
              <w:sym w:font="Wingdings 2" w:char="00A3"/>
            </w:r>
          </w:p>
          <w:p>
            <w:pPr>
              <w:tabs>
                <w:tab w:val="left" w:pos="757"/>
              </w:tabs>
              <w:adjustRightInd w:val="0"/>
              <w:snapToGrid w:val="0"/>
              <w:rPr>
                <w:color w:val="auto"/>
                <w:kern w:val="21"/>
              </w:rPr>
            </w:pPr>
            <w:r>
              <w:rPr>
                <w:color w:val="auto"/>
                <w:kern w:val="21"/>
              </w:rPr>
              <w:t>对于新设或调整入河（湖库、近岸海域）排放口的建设项目，应包括排放口设置的环境影响合理性评价</w:t>
            </w:r>
            <w:r>
              <w:rPr>
                <w:color w:val="auto"/>
                <w:kern w:val="21"/>
              </w:rPr>
              <w:sym w:font="Wingdings 2" w:char="00A3"/>
            </w:r>
          </w:p>
          <w:p>
            <w:pPr>
              <w:tabs>
                <w:tab w:val="left" w:pos="757"/>
              </w:tabs>
              <w:adjustRightInd w:val="0"/>
              <w:snapToGrid w:val="0"/>
              <w:rPr>
                <w:color w:val="auto"/>
                <w:kern w:val="21"/>
              </w:rPr>
            </w:pPr>
            <w:r>
              <w:rPr>
                <w:color w:val="auto"/>
                <w:kern w:val="21"/>
              </w:rPr>
              <w:t>满足生态保护红线、水环境质量</w:t>
            </w:r>
            <w:r>
              <w:rPr>
                <w:rFonts w:hint="eastAsia"/>
                <w:color w:val="auto"/>
                <w:kern w:val="21"/>
                <w:lang w:eastAsia="zh-CN"/>
              </w:rPr>
              <w:t>的底线</w:t>
            </w:r>
            <w:r>
              <w:rPr>
                <w:color w:val="auto"/>
                <w:kern w:val="21"/>
              </w:rPr>
              <w:t>、资源利用上线和环境准入清单管理要求</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污染物排放总量核算</w:t>
            </w:r>
          </w:p>
        </w:tc>
        <w:tc>
          <w:tcPr>
            <w:tcW w:w="1728" w:type="dxa"/>
            <w:vAlign w:val="center"/>
          </w:tcPr>
          <w:p>
            <w:pPr>
              <w:tabs>
                <w:tab w:val="left" w:pos="757"/>
              </w:tabs>
              <w:adjustRightInd w:val="0"/>
              <w:snapToGrid w:val="0"/>
              <w:jc w:val="center"/>
              <w:rPr>
                <w:color w:val="auto"/>
                <w:kern w:val="21"/>
              </w:rPr>
            </w:pPr>
            <w:r>
              <w:rPr>
                <w:color w:val="auto"/>
                <w:kern w:val="21"/>
              </w:rPr>
              <w:t>污染物名称</w:t>
            </w:r>
          </w:p>
        </w:tc>
        <w:tc>
          <w:tcPr>
            <w:tcW w:w="2488" w:type="dxa"/>
            <w:gridSpan w:val="4"/>
            <w:vAlign w:val="center"/>
          </w:tcPr>
          <w:p>
            <w:pPr>
              <w:tabs>
                <w:tab w:val="left" w:pos="757"/>
              </w:tabs>
              <w:adjustRightInd w:val="0"/>
              <w:snapToGrid w:val="0"/>
              <w:jc w:val="center"/>
              <w:rPr>
                <w:color w:val="auto"/>
                <w:kern w:val="21"/>
              </w:rPr>
            </w:pPr>
            <w:r>
              <w:rPr>
                <w:color w:val="auto"/>
                <w:kern w:val="21"/>
              </w:rPr>
              <w:t>排放量/（t/a）</w:t>
            </w:r>
          </w:p>
        </w:tc>
        <w:tc>
          <w:tcPr>
            <w:tcW w:w="2333" w:type="dxa"/>
            <w:gridSpan w:val="3"/>
            <w:vAlign w:val="center"/>
          </w:tcPr>
          <w:p>
            <w:pPr>
              <w:tabs>
                <w:tab w:val="left" w:pos="757"/>
              </w:tabs>
              <w:adjustRightInd w:val="0"/>
              <w:snapToGrid w:val="0"/>
              <w:jc w:val="center"/>
              <w:rPr>
                <w:color w:val="auto"/>
                <w:kern w:val="21"/>
              </w:rPr>
            </w:pPr>
            <w:r>
              <w:rPr>
                <w:color w:val="auto"/>
                <w:kern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jc w:val="center"/>
              <w:rPr>
                <w:color w:val="auto"/>
                <w:kern w:val="21"/>
              </w:rPr>
            </w:pPr>
            <w:r>
              <w:rPr>
                <w:color w:val="auto"/>
                <w:kern w:val="21"/>
              </w:rPr>
              <w:t>COD</w:t>
            </w:r>
          </w:p>
        </w:tc>
        <w:tc>
          <w:tcPr>
            <w:tcW w:w="2488" w:type="dxa"/>
            <w:gridSpan w:val="4"/>
            <w:vAlign w:val="center"/>
          </w:tcPr>
          <w:p>
            <w:pPr>
              <w:jc w:val="center"/>
              <w:rPr>
                <w:color w:val="auto"/>
              </w:rPr>
            </w:pPr>
            <w:r>
              <w:rPr>
                <w:rFonts w:hint="eastAsia"/>
                <w:bCs/>
                <w:color w:val="auto"/>
              </w:rPr>
              <w:t>0.924</w:t>
            </w:r>
          </w:p>
        </w:tc>
        <w:tc>
          <w:tcPr>
            <w:tcW w:w="2333" w:type="dxa"/>
            <w:gridSpan w:val="3"/>
            <w:vAlign w:val="center"/>
          </w:tcPr>
          <w:p>
            <w:pPr>
              <w:tabs>
                <w:tab w:val="left" w:pos="757"/>
              </w:tabs>
              <w:adjustRightInd w:val="0"/>
              <w:snapToGrid w:val="0"/>
              <w:jc w:val="center"/>
              <w:rPr>
                <w:color w:val="auto"/>
                <w:kern w:val="21"/>
              </w:rPr>
            </w:pPr>
            <w:r>
              <w:rPr>
                <w:rFonts w:hint="eastAsia"/>
                <w:bCs/>
                <w:color w:val="auto"/>
              </w:rPr>
              <w:t>70.85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jc w:val="center"/>
              <w:rPr>
                <w:color w:val="auto"/>
                <w:kern w:val="21"/>
              </w:rPr>
            </w:pPr>
            <w:r>
              <w:rPr>
                <w:color w:val="auto"/>
                <w:kern w:val="21"/>
              </w:rPr>
              <w:t>NH</w:t>
            </w:r>
            <w:r>
              <w:rPr>
                <w:color w:val="auto"/>
                <w:kern w:val="21"/>
                <w:vertAlign w:val="subscript"/>
              </w:rPr>
              <w:t>3</w:t>
            </w:r>
            <w:r>
              <w:rPr>
                <w:color w:val="auto"/>
                <w:kern w:val="21"/>
              </w:rPr>
              <w:t>-N</w:t>
            </w:r>
          </w:p>
        </w:tc>
        <w:tc>
          <w:tcPr>
            <w:tcW w:w="2488" w:type="dxa"/>
            <w:gridSpan w:val="4"/>
            <w:vAlign w:val="center"/>
          </w:tcPr>
          <w:p>
            <w:pPr>
              <w:jc w:val="center"/>
              <w:rPr>
                <w:color w:val="auto"/>
              </w:rPr>
            </w:pPr>
            <w:r>
              <w:rPr>
                <w:rFonts w:hint="eastAsia"/>
                <w:bCs/>
                <w:color w:val="auto"/>
              </w:rPr>
              <w:t>0.045</w:t>
            </w:r>
          </w:p>
        </w:tc>
        <w:tc>
          <w:tcPr>
            <w:tcW w:w="2333" w:type="dxa"/>
            <w:gridSpan w:val="3"/>
            <w:vAlign w:val="center"/>
          </w:tcPr>
          <w:p>
            <w:pPr>
              <w:tabs>
                <w:tab w:val="left" w:pos="757"/>
              </w:tabs>
              <w:adjustRightInd w:val="0"/>
              <w:snapToGrid w:val="0"/>
              <w:jc w:val="center"/>
              <w:rPr>
                <w:color w:val="auto"/>
                <w:kern w:val="21"/>
              </w:rPr>
            </w:pPr>
            <w:r>
              <w:rPr>
                <w:rFonts w:hint="eastAsia"/>
                <w:bCs/>
                <w:color w:val="auto"/>
              </w:rPr>
              <w:t>3.42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jc w:val="center"/>
              <w:rPr>
                <w:color w:val="auto"/>
                <w:kern w:val="21"/>
              </w:rPr>
            </w:pPr>
            <w:r>
              <w:rPr>
                <w:color w:val="auto"/>
                <w:kern w:val="21"/>
              </w:rPr>
              <w:t>TP</w:t>
            </w:r>
          </w:p>
        </w:tc>
        <w:tc>
          <w:tcPr>
            <w:tcW w:w="2488" w:type="dxa"/>
            <w:gridSpan w:val="4"/>
            <w:vAlign w:val="center"/>
          </w:tcPr>
          <w:p>
            <w:pPr>
              <w:jc w:val="center"/>
              <w:rPr>
                <w:color w:val="auto"/>
              </w:rPr>
            </w:pPr>
            <w:r>
              <w:rPr>
                <w:rFonts w:hint="eastAsia"/>
                <w:bCs/>
                <w:color w:val="auto"/>
              </w:rPr>
              <w:t>0.004</w:t>
            </w:r>
          </w:p>
        </w:tc>
        <w:tc>
          <w:tcPr>
            <w:tcW w:w="2333" w:type="dxa"/>
            <w:gridSpan w:val="3"/>
            <w:vAlign w:val="center"/>
          </w:tcPr>
          <w:p>
            <w:pPr>
              <w:tabs>
                <w:tab w:val="left" w:pos="757"/>
              </w:tabs>
              <w:adjustRightInd w:val="0"/>
              <w:snapToGrid w:val="0"/>
              <w:jc w:val="center"/>
              <w:rPr>
                <w:color w:val="auto"/>
                <w:kern w:val="21"/>
              </w:rPr>
            </w:pPr>
            <w:r>
              <w:rPr>
                <w:rFonts w:hint="eastAsia"/>
                <w:bCs/>
                <w:color w:val="auto"/>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jc w:val="center"/>
              <w:rPr>
                <w:color w:val="auto"/>
                <w:kern w:val="21"/>
              </w:rPr>
            </w:pPr>
            <w:r>
              <w:rPr>
                <w:color w:val="auto"/>
                <w:kern w:val="21"/>
              </w:rPr>
              <w:t>TN</w:t>
            </w:r>
          </w:p>
        </w:tc>
        <w:tc>
          <w:tcPr>
            <w:tcW w:w="2488" w:type="dxa"/>
            <w:gridSpan w:val="4"/>
            <w:vAlign w:val="center"/>
          </w:tcPr>
          <w:p>
            <w:pPr>
              <w:jc w:val="center"/>
              <w:rPr>
                <w:color w:val="auto"/>
              </w:rPr>
            </w:pPr>
            <w:r>
              <w:rPr>
                <w:rFonts w:hint="eastAsia"/>
                <w:bCs/>
                <w:color w:val="auto"/>
              </w:rPr>
              <w:t>0.071</w:t>
            </w:r>
          </w:p>
        </w:tc>
        <w:tc>
          <w:tcPr>
            <w:tcW w:w="2333" w:type="dxa"/>
            <w:gridSpan w:val="3"/>
            <w:vAlign w:val="center"/>
          </w:tcPr>
          <w:p>
            <w:pPr>
              <w:tabs>
                <w:tab w:val="left" w:pos="757"/>
              </w:tabs>
              <w:adjustRightInd w:val="0"/>
              <w:snapToGrid w:val="0"/>
              <w:jc w:val="center"/>
              <w:rPr>
                <w:color w:val="auto"/>
                <w:kern w:val="21"/>
              </w:rPr>
            </w:pPr>
            <w:r>
              <w:rPr>
                <w:rFonts w:hint="eastAsia"/>
                <w:bCs/>
                <w:color w:val="auto"/>
              </w:rPr>
              <w:t>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jc w:val="center"/>
              <w:rPr>
                <w:color w:val="auto"/>
                <w:kern w:val="21"/>
              </w:rPr>
            </w:pPr>
            <w:r>
              <w:rPr>
                <w:rFonts w:hint="eastAsia"/>
                <w:color w:val="auto"/>
                <w:kern w:val="21"/>
              </w:rPr>
              <w:t>SS</w:t>
            </w:r>
          </w:p>
        </w:tc>
        <w:tc>
          <w:tcPr>
            <w:tcW w:w="2488" w:type="dxa"/>
            <w:gridSpan w:val="4"/>
            <w:vAlign w:val="center"/>
          </w:tcPr>
          <w:p>
            <w:pPr>
              <w:jc w:val="center"/>
              <w:rPr>
                <w:color w:val="auto"/>
              </w:rPr>
            </w:pPr>
            <w:r>
              <w:rPr>
                <w:rFonts w:hint="eastAsia"/>
                <w:bCs/>
                <w:color w:val="auto"/>
              </w:rPr>
              <w:t>0.837</w:t>
            </w:r>
          </w:p>
        </w:tc>
        <w:tc>
          <w:tcPr>
            <w:tcW w:w="2333" w:type="dxa"/>
            <w:gridSpan w:val="3"/>
            <w:vAlign w:val="center"/>
          </w:tcPr>
          <w:p>
            <w:pPr>
              <w:tabs>
                <w:tab w:val="left" w:pos="757"/>
              </w:tabs>
              <w:adjustRightInd w:val="0"/>
              <w:snapToGrid w:val="0"/>
              <w:jc w:val="center"/>
              <w:rPr>
                <w:color w:val="auto"/>
                <w:kern w:val="21"/>
              </w:rPr>
            </w:pPr>
            <w:r>
              <w:rPr>
                <w:rFonts w:hint="eastAsia"/>
                <w:bCs/>
                <w:color w:val="auto"/>
              </w:rPr>
              <w:t>64.22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替代源排放量核算</w:t>
            </w:r>
          </w:p>
        </w:tc>
        <w:tc>
          <w:tcPr>
            <w:tcW w:w="1728" w:type="dxa"/>
            <w:vAlign w:val="center"/>
          </w:tcPr>
          <w:p>
            <w:pPr>
              <w:tabs>
                <w:tab w:val="left" w:pos="757"/>
              </w:tabs>
              <w:adjustRightInd w:val="0"/>
              <w:snapToGrid w:val="0"/>
              <w:jc w:val="center"/>
              <w:rPr>
                <w:color w:val="auto"/>
                <w:kern w:val="21"/>
              </w:rPr>
            </w:pPr>
            <w:r>
              <w:rPr>
                <w:color w:val="auto"/>
                <w:kern w:val="21"/>
              </w:rPr>
              <w:t>污染源名称</w:t>
            </w:r>
          </w:p>
        </w:tc>
        <w:tc>
          <w:tcPr>
            <w:tcW w:w="1116" w:type="dxa"/>
            <w:vAlign w:val="center"/>
          </w:tcPr>
          <w:p>
            <w:pPr>
              <w:tabs>
                <w:tab w:val="left" w:pos="757"/>
              </w:tabs>
              <w:adjustRightInd w:val="0"/>
              <w:snapToGrid w:val="0"/>
              <w:jc w:val="center"/>
              <w:rPr>
                <w:color w:val="auto"/>
                <w:kern w:val="21"/>
              </w:rPr>
            </w:pPr>
            <w:r>
              <w:rPr>
                <w:color w:val="auto"/>
                <w:kern w:val="21"/>
              </w:rPr>
              <w:t>排污许可证编号</w:t>
            </w:r>
          </w:p>
        </w:tc>
        <w:tc>
          <w:tcPr>
            <w:tcW w:w="1372" w:type="dxa"/>
            <w:gridSpan w:val="3"/>
            <w:vAlign w:val="center"/>
          </w:tcPr>
          <w:p>
            <w:pPr>
              <w:tabs>
                <w:tab w:val="left" w:pos="757"/>
              </w:tabs>
              <w:adjustRightInd w:val="0"/>
              <w:snapToGrid w:val="0"/>
              <w:jc w:val="center"/>
              <w:rPr>
                <w:color w:val="auto"/>
                <w:kern w:val="21"/>
              </w:rPr>
            </w:pPr>
            <w:r>
              <w:rPr>
                <w:color w:val="auto"/>
                <w:kern w:val="21"/>
              </w:rPr>
              <w:t>污染物名称</w:t>
            </w:r>
          </w:p>
        </w:tc>
        <w:tc>
          <w:tcPr>
            <w:tcW w:w="1040" w:type="dxa"/>
            <w:vAlign w:val="center"/>
          </w:tcPr>
          <w:p>
            <w:pPr>
              <w:tabs>
                <w:tab w:val="left" w:pos="757"/>
              </w:tabs>
              <w:adjustRightInd w:val="0"/>
              <w:snapToGrid w:val="0"/>
              <w:jc w:val="center"/>
              <w:rPr>
                <w:color w:val="auto"/>
                <w:kern w:val="21"/>
              </w:rPr>
            </w:pPr>
            <w:r>
              <w:rPr>
                <w:color w:val="auto"/>
                <w:kern w:val="21"/>
              </w:rPr>
              <w:t>排放量/（t/a）</w:t>
            </w:r>
          </w:p>
        </w:tc>
        <w:tc>
          <w:tcPr>
            <w:tcW w:w="1293" w:type="dxa"/>
            <w:gridSpan w:val="2"/>
            <w:vAlign w:val="center"/>
          </w:tcPr>
          <w:p>
            <w:pPr>
              <w:tabs>
                <w:tab w:val="left" w:pos="757"/>
              </w:tabs>
              <w:adjustRightInd w:val="0"/>
              <w:snapToGrid w:val="0"/>
              <w:jc w:val="center"/>
              <w:rPr>
                <w:color w:val="auto"/>
                <w:kern w:val="21"/>
              </w:rPr>
            </w:pPr>
            <w:r>
              <w:rPr>
                <w:color w:val="auto"/>
                <w:kern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adjustRightInd w:val="0"/>
              <w:snapToGrid w:val="0"/>
              <w:jc w:val="center"/>
              <w:rPr>
                <w:color w:val="auto"/>
                <w:kern w:val="21"/>
              </w:rPr>
            </w:pPr>
            <w:r>
              <w:rPr>
                <w:color w:val="auto"/>
                <w:kern w:val="21"/>
              </w:rPr>
              <w:t>/</w:t>
            </w:r>
          </w:p>
        </w:tc>
        <w:tc>
          <w:tcPr>
            <w:tcW w:w="1116" w:type="dxa"/>
            <w:vAlign w:val="center"/>
          </w:tcPr>
          <w:p>
            <w:pPr>
              <w:adjustRightInd w:val="0"/>
              <w:snapToGrid w:val="0"/>
              <w:jc w:val="center"/>
              <w:rPr>
                <w:color w:val="auto"/>
                <w:kern w:val="21"/>
              </w:rPr>
            </w:pPr>
            <w:r>
              <w:rPr>
                <w:color w:val="auto"/>
                <w:kern w:val="21"/>
              </w:rPr>
              <w:t>/</w:t>
            </w:r>
          </w:p>
        </w:tc>
        <w:tc>
          <w:tcPr>
            <w:tcW w:w="1372" w:type="dxa"/>
            <w:gridSpan w:val="3"/>
            <w:vAlign w:val="center"/>
          </w:tcPr>
          <w:p>
            <w:pPr>
              <w:adjustRightInd w:val="0"/>
              <w:snapToGrid w:val="0"/>
              <w:jc w:val="center"/>
              <w:rPr>
                <w:color w:val="auto"/>
                <w:kern w:val="21"/>
              </w:rPr>
            </w:pPr>
            <w:r>
              <w:rPr>
                <w:color w:val="auto"/>
                <w:kern w:val="21"/>
              </w:rPr>
              <w:t>/</w:t>
            </w:r>
          </w:p>
        </w:tc>
        <w:tc>
          <w:tcPr>
            <w:tcW w:w="1040" w:type="dxa"/>
            <w:vAlign w:val="center"/>
          </w:tcPr>
          <w:p>
            <w:pPr>
              <w:adjustRightInd w:val="0"/>
              <w:snapToGrid w:val="0"/>
              <w:jc w:val="center"/>
              <w:rPr>
                <w:color w:val="auto"/>
                <w:kern w:val="21"/>
              </w:rPr>
            </w:pPr>
            <w:r>
              <w:rPr>
                <w:color w:val="auto"/>
                <w:kern w:val="21"/>
              </w:rPr>
              <w:t>/</w:t>
            </w:r>
          </w:p>
        </w:tc>
        <w:tc>
          <w:tcPr>
            <w:tcW w:w="1293" w:type="dxa"/>
            <w:gridSpan w:val="2"/>
            <w:vAlign w:val="center"/>
          </w:tcPr>
          <w:p>
            <w:pPr>
              <w:adjustRightInd w:val="0"/>
              <w:snapToGrid w:val="0"/>
              <w:jc w:val="center"/>
              <w:rPr>
                <w:color w:val="auto"/>
                <w:kern w:val="21"/>
              </w:rPr>
            </w:pPr>
            <w:r>
              <w:rPr>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生态流量确定</w:t>
            </w:r>
          </w:p>
        </w:tc>
        <w:tc>
          <w:tcPr>
            <w:tcW w:w="6549" w:type="dxa"/>
            <w:gridSpan w:val="8"/>
            <w:vAlign w:val="center"/>
          </w:tcPr>
          <w:p>
            <w:pPr>
              <w:tabs>
                <w:tab w:val="left" w:pos="757"/>
              </w:tabs>
              <w:adjustRightInd w:val="0"/>
              <w:snapToGrid w:val="0"/>
              <w:rPr>
                <w:color w:val="auto"/>
                <w:kern w:val="21"/>
              </w:rPr>
            </w:pPr>
            <w:r>
              <w:rPr>
                <w:color w:val="auto"/>
                <w:kern w:val="21"/>
              </w:rPr>
              <w:t>生态流量：一般水期（）m</w:t>
            </w:r>
            <w:r>
              <w:rPr>
                <w:color w:val="auto"/>
                <w:kern w:val="21"/>
                <w:vertAlign w:val="superscript"/>
              </w:rPr>
              <w:t>3</w:t>
            </w:r>
            <w:r>
              <w:rPr>
                <w:color w:val="auto"/>
                <w:kern w:val="21"/>
              </w:rPr>
              <w:t>/s，鱼类繁殖期（）m</w:t>
            </w:r>
            <w:r>
              <w:rPr>
                <w:color w:val="auto"/>
                <w:kern w:val="21"/>
                <w:vertAlign w:val="superscript"/>
              </w:rPr>
              <w:t>3</w:t>
            </w:r>
            <w:r>
              <w:rPr>
                <w:color w:val="auto"/>
                <w:kern w:val="21"/>
              </w:rPr>
              <w:t>/s；其他（）m</w:t>
            </w:r>
            <w:r>
              <w:rPr>
                <w:color w:val="auto"/>
                <w:kern w:val="21"/>
                <w:vertAlign w:val="superscript"/>
              </w:rPr>
              <w:t>3</w:t>
            </w:r>
            <w:r>
              <w:rPr>
                <w:color w:val="auto"/>
                <w:kern w:val="21"/>
              </w:rPr>
              <w:t>/s</w:t>
            </w:r>
          </w:p>
          <w:p>
            <w:pPr>
              <w:tabs>
                <w:tab w:val="left" w:pos="757"/>
              </w:tabs>
              <w:adjustRightInd w:val="0"/>
              <w:snapToGrid w:val="0"/>
              <w:rPr>
                <w:color w:val="auto"/>
                <w:kern w:val="21"/>
              </w:rPr>
            </w:pPr>
            <w:r>
              <w:rPr>
                <w:color w:val="auto"/>
                <w:kern w:val="21"/>
              </w:rPr>
              <w:t>生态水位：一般水期（）m/s，鱼类繁殖期（）m/s；其他（）m/s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restart"/>
            <w:vAlign w:val="center"/>
          </w:tcPr>
          <w:p>
            <w:pPr>
              <w:tabs>
                <w:tab w:val="left" w:pos="757"/>
              </w:tabs>
              <w:adjustRightInd w:val="0"/>
              <w:snapToGrid w:val="0"/>
              <w:rPr>
                <w:color w:val="auto"/>
                <w:kern w:val="21"/>
              </w:rPr>
            </w:pPr>
            <w:r>
              <w:rPr>
                <w:color w:val="auto"/>
                <w:kern w:val="21"/>
              </w:rPr>
              <w:t>防治措施</w:t>
            </w:r>
          </w:p>
        </w:tc>
        <w:tc>
          <w:tcPr>
            <w:tcW w:w="1380" w:type="dxa"/>
            <w:vAlign w:val="center"/>
          </w:tcPr>
          <w:p>
            <w:pPr>
              <w:tabs>
                <w:tab w:val="left" w:pos="757"/>
              </w:tabs>
              <w:adjustRightInd w:val="0"/>
              <w:snapToGrid w:val="0"/>
              <w:rPr>
                <w:color w:val="auto"/>
                <w:kern w:val="21"/>
              </w:rPr>
            </w:pPr>
            <w:r>
              <w:rPr>
                <w:color w:val="auto"/>
                <w:kern w:val="21"/>
              </w:rPr>
              <w:t>环保措施</w:t>
            </w:r>
          </w:p>
        </w:tc>
        <w:tc>
          <w:tcPr>
            <w:tcW w:w="6549" w:type="dxa"/>
            <w:gridSpan w:val="8"/>
            <w:vAlign w:val="center"/>
          </w:tcPr>
          <w:p>
            <w:pPr>
              <w:tabs>
                <w:tab w:val="left" w:pos="757"/>
              </w:tabs>
              <w:adjustRightInd w:val="0"/>
              <w:snapToGrid w:val="0"/>
              <w:rPr>
                <w:color w:val="auto"/>
                <w:kern w:val="21"/>
              </w:rPr>
            </w:pPr>
            <w:r>
              <w:rPr>
                <w:color w:val="auto"/>
                <w:kern w:val="21"/>
              </w:rPr>
              <w:t>污水处理设施</w:t>
            </w:r>
            <w:r>
              <w:rPr>
                <w:color w:val="auto"/>
                <w:kern w:val="21"/>
              </w:rPr>
              <w:sym w:font="Wingdings 2" w:char="0052"/>
            </w:r>
            <w:r>
              <w:rPr>
                <w:color w:val="auto"/>
                <w:kern w:val="21"/>
              </w:rPr>
              <w:t>；水温减缓设施</w:t>
            </w:r>
            <w:r>
              <w:rPr>
                <w:color w:val="auto"/>
                <w:kern w:val="21"/>
              </w:rPr>
              <w:sym w:font="Wingdings 2" w:char="00A3"/>
            </w:r>
            <w:r>
              <w:rPr>
                <w:color w:val="auto"/>
                <w:kern w:val="21"/>
              </w:rPr>
              <w:t>；生态流量保障设施</w:t>
            </w:r>
            <w:r>
              <w:rPr>
                <w:color w:val="auto"/>
                <w:kern w:val="21"/>
              </w:rPr>
              <w:sym w:font="Wingdings 2" w:char="00A3"/>
            </w:r>
            <w:r>
              <w:rPr>
                <w:color w:val="auto"/>
                <w:kern w:val="21"/>
              </w:rPr>
              <w:t>；区域消减</w:t>
            </w:r>
            <w:r>
              <w:rPr>
                <w:color w:val="auto"/>
                <w:kern w:val="21"/>
              </w:rPr>
              <w:sym w:font="Wingdings 2" w:char="00A3"/>
            </w:r>
            <w:r>
              <w:rPr>
                <w:color w:val="auto"/>
                <w:kern w:val="21"/>
              </w:rPr>
              <w:t>；依托其他工程措施</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restart"/>
            <w:vAlign w:val="center"/>
          </w:tcPr>
          <w:p>
            <w:pPr>
              <w:tabs>
                <w:tab w:val="left" w:pos="757"/>
              </w:tabs>
              <w:adjustRightInd w:val="0"/>
              <w:snapToGrid w:val="0"/>
              <w:rPr>
                <w:color w:val="auto"/>
                <w:kern w:val="21"/>
              </w:rPr>
            </w:pPr>
            <w:r>
              <w:rPr>
                <w:color w:val="auto"/>
                <w:kern w:val="21"/>
              </w:rPr>
              <w:t>监测计划</w:t>
            </w:r>
          </w:p>
        </w:tc>
        <w:tc>
          <w:tcPr>
            <w:tcW w:w="1728" w:type="dxa"/>
            <w:vAlign w:val="center"/>
          </w:tcPr>
          <w:p>
            <w:pPr>
              <w:tabs>
                <w:tab w:val="left" w:pos="757"/>
              </w:tabs>
              <w:adjustRightInd w:val="0"/>
              <w:snapToGrid w:val="0"/>
              <w:rPr>
                <w:color w:val="auto"/>
                <w:kern w:val="21"/>
              </w:rPr>
            </w:pPr>
          </w:p>
        </w:tc>
        <w:tc>
          <w:tcPr>
            <w:tcW w:w="2488" w:type="dxa"/>
            <w:gridSpan w:val="4"/>
            <w:vAlign w:val="center"/>
          </w:tcPr>
          <w:p>
            <w:pPr>
              <w:tabs>
                <w:tab w:val="left" w:pos="757"/>
              </w:tabs>
              <w:adjustRightInd w:val="0"/>
              <w:snapToGrid w:val="0"/>
              <w:rPr>
                <w:color w:val="auto"/>
                <w:kern w:val="21"/>
              </w:rPr>
            </w:pPr>
            <w:r>
              <w:rPr>
                <w:color w:val="auto"/>
                <w:kern w:val="21"/>
              </w:rPr>
              <w:t>环境质量</w:t>
            </w:r>
          </w:p>
        </w:tc>
        <w:tc>
          <w:tcPr>
            <w:tcW w:w="2333" w:type="dxa"/>
            <w:gridSpan w:val="3"/>
            <w:vAlign w:val="center"/>
          </w:tcPr>
          <w:p>
            <w:pPr>
              <w:tabs>
                <w:tab w:val="left" w:pos="757"/>
              </w:tabs>
              <w:adjustRightInd w:val="0"/>
              <w:snapToGrid w:val="0"/>
              <w:rPr>
                <w:color w:val="auto"/>
                <w:kern w:val="21"/>
              </w:rPr>
            </w:pPr>
            <w:r>
              <w:rPr>
                <w:color w:val="auto"/>
                <w:kern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rPr>
                <w:color w:val="auto"/>
                <w:kern w:val="21"/>
              </w:rPr>
            </w:pPr>
            <w:r>
              <w:rPr>
                <w:color w:val="auto"/>
                <w:kern w:val="21"/>
              </w:rPr>
              <w:t>监测方式</w:t>
            </w:r>
          </w:p>
        </w:tc>
        <w:tc>
          <w:tcPr>
            <w:tcW w:w="2488" w:type="dxa"/>
            <w:gridSpan w:val="4"/>
            <w:vAlign w:val="center"/>
          </w:tcPr>
          <w:p>
            <w:pPr>
              <w:tabs>
                <w:tab w:val="left" w:pos="757"/>
              </w:tabs>
              <w:adjustRightInd w:val="0"/>
              <w:snapToGrid w:val="0"/>
              <w:rPr>
                <w:color w:val="auto"/>
                <w:kern w:val="21"/>
              </w:rPr>
            </w:pPr>
            <w:r>
              <w:rPr>
                <w:color w:val="auto"/>
                <w:kern w:val="21"/>
              </w:rPr>
              <w:t>手动</w:t>
            </w:r>
            <w:r>
              <w:rPr>
                <w:color w:val="auto"/>
                <w:kern w:val="21"/>
              </w:rPr>
              <w:sym w:font="Wingdings 2" w:char="00A3"/>
            </w:r>
            <w:r>
              <w:rPr>
                <w:color w:val="auto"/>
                <w:kern w:val="21"/>
              </w:rPr>
              <w:t>；自动</w:t>
            </w:r>
            <w:r>
              <w:rPr>
                <w:color w:val="auto"/>
                <w:kern w:val="21"/>
              </w:rPr>
              <w:sym w:font="Wingdings 2" w:char="00A3"/>
            </w:r>
            <w:r>
              <w:rPr>
                <w:color w:val="auto"/>
                <w:kern w:val="21"/>
              </w:rPr>
              <w:t>；无监测</w:t>
            </w:r>
            <w:r>
              <w:rPr>
                <w:color w:val="auto"/>
                <w:kern w:val="21"/>
              </w:rPr>
              <w:sym w:font="Wingdings 2" w:char="00A3"/>
            </w:r>
          </w:p>
        </w:tc>
        <w:tc>
          <w:tcPr>
            <w:tcW w:w="2333" w:type="dxa"/>
            <w:gridSpan w:val="3"/>
            <w:vAlign w:val="center"/>
          </w:tcPr>
          <w:p>
            <w:pPr>
              <w:tabs>
                <w:tab w:val="left" w:pos="757"/>
              </w:tabs>
              <w:adjustRightInd w:val="0"/>
              <w:snapToGrid w:val="0"/>
              <w:rPr>
                <w:color w:val="auto"/>
                <w:kern w:val="21"/>
              </w:rPr>
            </w:pPr>
            <w:r>
              <w:rPr>
                <w:color w:val="auto"/>
                <w:kern w:val="21"/>
              </w:rPr>
              <w:t>手动</w:t>
            </w:r>
            <w:r>
              <w:rPr>
                <w:color w:val="auto"/>
                <w:kern w:val="21"/>
              </w:rPr>
              <w:sym w:font="Wingdings 2" w:char="0052"/>
            </w:r>
            <w:r>
              <w:rPr>
                <w:color w:val="auto"/>
                <w:kern w:val="21"/>
              </w:rPr>
              <w:t>；自动</w:t>
            </w:r>
            <w:r>
              <w:rPr>
                <w:color w:val="auto"/>
                <w:kern w:val="21"/>
              </w:rPr>
              <w:sym w:font="Wingdings 2" w:char="0052"/>
            </w:r>
            <w:r>
              <w:rPr>
                <w:color w:val="auto"/>
                <w:kern w:val="21"/>
              </w:rPr>
              <w:t>；无监测</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rPr>
                <w:color w:val="auto"/>
                <w:kern w:val="21"/>
              </w:rPr>
            </w:pPr>
            <w:r>
              <w:rPr>
                <w:color w:val="auto"/>
                <w:kern w:val="21"/>
              </w:rPr>
              <w:t>监测点位</w:t>
            </w:r>
          </w:p>
        </w:tc>
        <w:tc>
          <w:tcPr>
            <w:tcW w:w="2488" w:type="dxa"/>
            <w:gridSpan w:val="4"/>
            <w:vAlign w:val="center"/>
          </w:tcPr>
          <w:p>
            <w:pPr>
              <w:tabs>
                <w:tab w:val="left" w:pos="757"/>
              </w:tabs>
              <w:adjustRightInd w:val="0"/>
              <w:snapToGrid w:val="0"/>
              <w:jc w:val="center"/>
              <w:rPr>
                <w:color w:val="auto"/>
                <w:kern w:val="21"/>
              </w:rPr>
            </w:pPr>
            <w:r>
              <w:rPr>
                <w:color w:val="auto"/>
                <w:kern w:val="21"/>
              </w:rPr>
              <w:t>/</w:t>
            </w:r>
          </w:p>
        </w:tc>
        <w:tc>
          <w:tcPr>
            <w:tcW w:w="2333" w:type="dxa"/>
            <w:gridSpan w:val="3"/>
            <w:vAlign w:val="center"/>
          </w:tcPr>
          <w:p>
            <w:pPr>
              <w:tabs>
                <w:tab w:val="left" w:pos="757"/>
              </w:tabs>
              <w:adjustRightInd w:val="0"/>
              <w:snapToGrid w:val="0"/>
              <w:rPr>
                <w:color w:val="auto"/>
                <w:kern w:val="21"/>
              </w:rPr>
            </w:pPr>
            <w:r>
              <w:rPr>
                <w:color w:val="auto"/>
                <w:kern w:val="21"/>
              </w:rPr>
              <w:t>厂区总排口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Merge w:val="continue"/>
            <w:vAlign w:val="center"/>
          </w:tcPr>
          <w:p>
            <w:pPr>
              <w:tabs>
                <w:tab w:val="left" w:pos="757"/>
              </w:tabs>
              <w:adjustRightInd w:val="0"/>
              <w:snapToGrid w:val="0"/>
              <w:rPr>
                <w:color w:val="auto"/>
                <w:kern w:val="21"/>
              </w:rPr>
            </w:pPr>
          </w:p>
        </w:tc>
        <w:tc>
          <w:tcPr>
            <w:tcW w:w="1728" w:type="dxa"/>
            <w:vAlign w:val="center"/>
          </w:tcPr>
          <w:p>
            <w:pPr>
              <w:tabs>
                <w:tab w:val="left" w:pos="757"/>
              </w:tabs>
              <w:adjustRightInd w:val="0"/>
              <w:snapToGrid w:val="0"/>
              <w:rPr>
                <w:color w:val="auto"/>
                <w:kern w:val="21"/>
              </w:rPr>
            </w:pPr>
            <w:r>
              <w:rPr>
                <w:color w:val="auto"/>
                <w:kern w:val="21"/>
              </w:rPr>
              <w:t>监测因子</w:t>
            </w:r>
          </w:p>
        </w:tc>
        <w:tc>
          <w:tcPr>
            <w:tcW w:w="2488" w:type="dxa"/>
            <w:gridSpan w:val="4"/>
            <w:vAlign w:val="center"/>
          </w:tcPr>
          <w:p>
            <w:pPr>
              <w:tabs>
                <w:tab w:val="left" w:pos="757"/>
              </w:tabs>
              <w:adjustRightInd w:val="0"/>
              <w:snapToGrid w:val="0"/>
              <w:jc w:val="center"/>
              <w:rPr>
                <w:color w:val="auto"/>
                <w:kern w:val="21"/>
              </w:rPr>
            </w:pPr>
            <w:r>
              <w:rPr>
                <w:color w:val="auto"/>
                <w:kern w:val="21"/>
              </w:rPr>
              <w:t>/</w:t>
            </w:r>
          </w:p>
        </w:tc>
        <w:tc>
          <w:tcPr>
            <w:tcW w:w="2333" w:type="dxa"/>
            <w:gridSpan w:val="3"/>
            <w:vAlign w:val="center"/>
          </w:tcPr>
          <w:p>
            <w:pPr>
              <w:tabs>
                <w:tab w:val="left" w:pos="757"/>
              </w:tabs>
              <w:adjustRightInd w:val="0"/>
              <w:snapToGrid w:val="0"/>
              <w:rPr>
                <w:color w:val="auto"/>
                <w:kern w:val="21"/>
              </w:rPr>
            </w:pPr>
            <w:r>
              <w:rPr>
                <w:color w:val="auto"/>
                <w:kern w:val="21"/>
              </w:rPr>
              <w:t>COD、NH</w:t>
            </w:r>
            <w:r>
              <w:rPr>
                <w:color w:val="auto"/>
                <w:kern w:val="21"/>
                <w:vertAlign w:val="subscript"/>
              </w:rPr>
              <w:t>3</w:t>
            </w:r>
            <w:r>
              <w:rPr>
                <w:color w:val="auto"/>
                <w:kern w:val="21"/>
              </w:rPr>
              <w:t>-N、TP、TN、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5" w:type="dxa"/>
            <w:vMerge w:val="continue"/>
            <w:vAlign w:val="center"/>
          </w:tcPr>
          <w:p>
            <w:pPr>
              <w:tabs>
                <w:tab w:val="left" w:pos="757"/>
              </w:tabs>
              <w:adjustRightInd w:val="0"/>
              <w:snapToGrid w:val="0"/>
              <w:rPr>
                <w:color w:val="auto"/>
                <w:kern w:val="21"/>
              </w:rPr>
            </w:pPr>
          </w:p>
        </w:tc>
        <w:tc>
          <w:tcPr>
            <w:tcW w:w="1380" w:type="dxa"/>
            <w:vAlign w:val="center"/>
          </w:tcPr>
          <w:p>
            <w:pPr>
              <w:tabs>
                <w:tab w:val="left" w:pos="757"/>
              </w:tabs>
              <w:adjustRightInd w:val="0"/>
              <w:snapToGrid w:val="0"/>
              <w:rPr>
                <w:color w:val="auto"/>
                <w:kern w:val="21"/>
              </w:rPr>
            </w:pPr>
            <w:r>
              <w:rPr>
                <w:color w:val="auto"/>
                <w:kern w:val="21"/>
              </w:rPr>
              <w:t>污染物排放清单</w:t>
            </w:r>
          </w:p>
        </w:tc>
        <w:tc>
          <w:tcPr>
            <w:tcW w:w="6549" w:type="dxa"/>
            <w:gridSpan w:val="8"/>
            <w:vAlign w:val="center"/>
          </w:tcPr>
          <w:p>
            <w:pPr>
              <w:tabs>
                <w:tab w:val="left" w:pos="757"/>
              </w:tabs>
              <w:adjustRightInd w:val="0"/>
              <w:snapToGrid w:val="0"/>
              <w:rPr>
                <w:color w:val="auto"/>
                <w:kern w:val="21"/>
              </w:rPr>
            </w:pP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5" w:type="dxa"/>
            <w:gridSpan w:val="2"/>
            <w:vAlign w:val="center"/>
          </w:tcPr>
          <w:p>
            <w:pPr>
              <w:tabs>
                <w:tab w:val="left" w:pos="757"/>
              </w:tabs>
              <w:adjustRightInd w:val="0"/>
              <w:snapToGrid w:val="0"/>
              <w:rPr>
                <w:color w:val="auto"/>
                <w:kern w:val="21"/>
              </w:rPr>
            </w:pPr>
            <w:r>
              <w:rPr>
                <w:color w:val="auto"/>
                <w:kern w:val="21"/>
              </w:rPr>
              <w:t>评价结论</w:t>
            </w:r>
          </w:p>
        </w:tc>
        <w:tc>
          <w:tcPr>
            <w:tcW w:w="6549" w:type="dxa"/>
            <w:gridSpan w:val="8"/>
            <w:vAlign w:val="center"/>
          </w:tcPr>
          <w:p>
            <w:pPr>
              <w:tabs>
                <w:tab w:val="left" w:pos="757"/>
              </w:tabs>
              <w:adjustRightInd w:val="0"/>
              <w:snapToGrid w:val="0"/>
              <w:rPr>
                <w:color w:val="auto"/>
                <w:kern w:val="21"/>
              </w:rPr>
            </w:pPr>
            <w:r>
              <w:rPr>
                <w:color w:val="auto"/>
                <w:kern w:val="21"/>
              </w:rPr>
              <w:t>可以接受</w:t>
            </w:r>
            <w:r>
              <w:rPr>
                <w:color w:val="auto"/>
                <w:kern w:val="21"/>
              </w:rPr>
              <w:sym w:font="Wingdings 2" w:char="0052"/>
            </w:r>
            <w:r>
              <w:rPr>
                <w:color w:val="auto"/>
                <w:kern w:val="21"/>
              </w:rPr>
              <w:t>；不可以接受</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4" w:type="dxa"/>
            <w:gridSpan w:val="10"/>
            <w:vAlign w:val="center"/>
          </w:tcPr>
          <w:p>
            <w:pPr>
              <w:tabs>
                <w:tab w:val="left" w:pos="757"/>
              </w:tabs>
              <w:adjustRightInd w:val="0"/>
              <w:snapToGrid w:val="0"/>
              <w:rPr>
                <w:color w:val="auto"/>
                <w:kern w:val="21"/>
              </w:rPr>
            </w:pPr>
            <w:r>
              <w:rPr>
                <w:color w:val="auto"/>
                <w:kern w:val="21"/>
              </w:rPr>
              <w:t>注：为勾选项，可打“”；“（）”为内容填写项；“备注”为其他项目补充内容</w:t>
            </w:r>
          </w:p>
        </w:tc>
      </w:tr>
    </w:tbl>
    <w:p>
      <w:pPr>
        <w:pStyle w:val="4"/>
        <w:spacing w:before="120" w:after="120"/>
        <w:rPr>
          <w:color w:val="auto"/>
        </w:rPr>
      </w:pPr>
      <w:bookmarkStart w:id="336" w:name="_Toc112338950"/>
      <w:bookmarkStart w:id="337" w:name="_Toc58828278"/>
      <w:r>
        <w:rPr>
          <w:color w:val="auto"/>
        </w:rPr>
        <w:t>5.3声环境影响预测</w:t>
      </w:r>
      <w:bookmarkEnd w:id="336"/>
      <w:bookmarkEnd w:id="337"/>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5.3.1预测等级及预测范围</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根据《新乡市环境噪声功能区划图（2011~2020）》，本项目所在区域为</w:t>
      </w:r>
      <w:r>
        <w:rPr>
          <w:rFonts w:hint="eastAsia"/>
          <w:color w:val="auto"/>
          <w:kern w:val="0"/>
          <w:sz w:val="24"/>
          <w:szCs w:val="20"/>
        </w:rPr>
        <w:t>3</w:t>
      </w:r>
      <w:r>
        <w:rPr>
          <w:color w:val="auto"/>
          <w:kern w:val="0"/>
          <w:sz w:val="24"/>
          <w:szCs w:val="20"/>
        </w:rPr>
        <w:t>类声功能区。根据《环境影响评价技术导则（声环境）》（HJ2.4-2021）中有关声环境影响评价工作等级划分原则，本次声环境评价工作等级为三级。</w:t>
      </w:r>
    </w:p>
    <w:p>
      <w:pPr>
        <w:spacing w:before="120" w:beforeLines="50"/>
        <w:ind w:firstLine="480" w:firstLineChars="200"/>
        <w:jc w:val="center"/>
        <w:rPr>
          <w:rFonts w:eastAsia="黑体"/>
          <w:color w:val="auto"/>
          <w:sz w:val="24"/>
          <w:szCs w:val="24"/>
        </w:rPr>
      </w:pPr>
      <w:r>
        <w:rPr>
          <w:rFonts w:eastAsia="黑体"/>
          <w:color w:val="auto"/>
          <w:sz w:val="24"/>
          <w:szCs w:val="24"/>
        </w:rPr>
        <w:t>表5.3-1         声环境评价等级确定</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4508"/>
        <w:gridCol w:w="402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2643" w:type="pct"/>
            <w:shd w:val="clear" w:color="auto" w:fill="auto"/>
            <w:vAlign w:val="center"/>
          </w:tcPr>
          <w:p>
            <w:pPr>
              <w:jc w:val="center"/>
              <w:rPr>
                <w:b/>
                <w:color w:val="auto"/>
                <w:szCs w:val="20"/>
              </w:rPr>
            </w:pPr>
            <w:r>
              <w:rPr>
                <w:b/>
                <w:color w:val="auto"/>
                <w:szCs w:val="20"/>
              </w:rPr>
              <w:t>项    目</w:t>
            </w:r>
          </w:p>
        </w:tc>
        <w:tc>
          <w:tcPr>
            <w:tcW w:w="2568" w:type="pct"/>
            <w:shd w:val="clear" w:color="auto" w:fill="auto"/>
            <w:vAlign w:val="center"/>
          </w:tcPr>
          <w:p>
            <w:pPr>
              <w:jc w:val="center"/>
              <w:rPr>
                <w:b/>
                <w:color w:val="auto"/>
                <w:szCs w:val="20"/>
              </w:rPr>
            </w:pPr>
            <w:r>
              <w:rPr>
                <w:b/>
                <w:color w:val="auto"/>
                <w:szCs w:val="20"/>
              </w:rPr>
              <w:t>指   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2643" w:type="pct"/>
            <w:shd w:val="clear" w:color="auto" w:fill="auto"/>
            <w:vAlign w:val="center"/>
          </w:tcPr>
          <w:p>
            <w:pPr>
              <w:contextualSpacing/>
              <w:jc w:val="center"/>
              <w:textAlignment w:val="baseline"/>
              <w:rPr>
                <w:color w:val="auto"/>
                <w:kern w:val="0"/>
              </w:rPr>
            </w:pPr>
            <w:r>
              <w:rPr>
                <w:color w:val="auto"/>
                <w:kern w:val="0"/>
              </w:rPr>
              <w:t>建设项目所在区功能</w:t>
            </w:r>
          </w:p>
        </w:tc>
        <w:tc>
          <w:tcPr>
            <w:tcW w:w="2568" w:type="pct"/>
            <w:shd w:val="clear" w:color="auto" w:fill="auto"/>
            <w:vAlign w:val="center"/>
          </w:tcPr>
          <w:p>
            <w:pPr>
              <w:contextualSpacing/>
              <w:jc w:val="center"/>
              <w:textAlignment w:val="baseline"/>
              <w:rPr>
                <w:color w:val="auto"/>
                <w:kern w:val="0"/>
              </w:rPr>
            </w:pPr>
            <w:r>
              <w:rPr>
                <w:rFonts w:hint="eastAsia"/>
                <w:color w:val="auto"/>
                <w:kern w:val="0"/>
              </w:rPr>
              <w:t>3</w:t>
            </w:r>
            <w:r>
              <w:rPr>
                <w:color w:val="auto"/>
                <w:kern w:val="0"/>
              </w:rPr>
              <w:t>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2643" w:type="pct"/>
            <w:shd w:val="clear" w:color="auto" w:fill="auto"/>
            <w:vAlign w:val="center"/>
          </w:tcPr>
          <w:p>
            <w:pPr>
              <w:contextualSpacing/>
              <w:jc w:val="center"/>
              <w:textAlignment w:val="baseline"/>
              <w:rPr>
                <w:color w:val="auto"/>
                <w:kern w:val="0"/>
              </w:rPr>
            </w:pPr>
            <w:r>
              <w:rPr>
                <w:color w:val="auto"/>
                <w:kern w:val="0"/>
              </w:rPr>
              <w:t>建设前后噪声级增加量</w:t>
            </w:r>
          </w:p>
        </w:tc>
        <w:tc>
          <w:tcPr>
            <w:tcW w:w="2568" w:type="pct"/>
            <w:shd w:val="clear" w:color="auto" w:fill="auto"/>
            <w:vAlign w:val="center"/>
          </w:tcPr>
          <w:p>
            <w:pPr>
              <w:contextualSpacing/>
              <w:jc w:val="center"/>
              <w:textAlignment w:val="baseline"/>
              <w:rPr>
                <w:color w:val="auto"/>
                <w:kern w:val="0"/>
              </w:rPr>
            </w:pPr>
            <w:r>
              <w:rPr>
                <w:color w:val="auto"/>
                <w:kern w:val="0"/>
              </w:rPr>
              <w:t>预计最大增加小于3dB（A）</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2643" w:type="pct"/>
            <w:shd w:val="clear" w:color="auto" w:fill="auto"/>
            <w:vAlign w:val="center"/>
          </w:tcPr>
          <w:p>
            <w:pPr>
              <w:contextualSpacing/>
              <w:jc w:val="center"/>
              <w:textAlignment w:val="baseline"/>
              <w:rPr>
                <w:color w:val="auto"/>
                <w:kern w:val="0"/>
              </w:rPr>
            </w:pPr>
            <w:r>
              <w:rPr>
                <w:color w:val="auto"/>
                <w:kern w:val="0"/>
              </w:rPr>
              <w:t>建设前后受影响人口变化情况</w:t>
            </w:r>
          </w:p>
        </w:tc>
        <w:tc>
          <w:tcPr>
            <w:tcW w:w="2568" w:type="pct"/>
            <w:shd w:val="clear" w:color="auto" w:fill="auto"/>
            <w:vAlign w:val="center"/>
          </w:tcPr>
          <w:p>
            <w:pPr>
              <w:contextualSpacing/>
              <w:jc w:val="center"/>
              <w:textAlignment w:val="baseline"/>
              <w:rPr>
                <w:color w:val="auto"/>
                <w:kern w:val="0"/>
              </w:rPr>
            </w:pPr>
            <w:r>
              <w:rPr>
                <w:color w:val="auto"/>
                <w:kern w:val="0"/>
              </w:rPr>
              <w:t>变化不大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2643" w:type="pct"/>
            <w:shd w:val="clear" w:color="auto" w:fill="auto"/>
            <w:vAlign w:val="center"/>
          </w:tcPr>
          <w:p>
            <w:pPr>
              <w:contextualSpacing/>
              <w:jc w:val="center"/>
              <w:textAlignment w:val="baseline"/>
              <w:rPr>
                <w:color w:val="auto"/>
                <w:kern w:val="0"/>
              </w:rPr>
            </w:pPr>
            <w:r>
              <w:rPr>
                <w:color w:val="auto"/>
                <w:kern w:val="0"/>
              </w:rPr>
              <w:t>评价等级</w:t>
            </w:r>
          </w:p>
        </w:tc>
        <w:tc>
          <w:tcPr>
            <w:tcW w:w="2568" w:type="pct"/>
            <w:shd w:val="clear" w:color="auto" w:fill="auto"/>
            <w:vAlign w:val="center"/>
          </w:tcPr>
          <w:p>
            <w:pPr>
              <w:contextualSpacing/>
              <w:jc w:val="center"/>
              <w:textAlignment w:val="baseline"/>
              <w:rPr>
                <w:color w:val="auto"/>
                <w:kern w:val="0"/>
              </w:rPr>
            </w:pPr>
            <w:r>
              <w:rPr>
                <w:color w:val="auto"/>
                <w:kern w:val="0"/>
              </w:rPr>
              <w:t>三级</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baseline"/>
        <w:rPr>
          <w:color w:val="auto"/>
          <w:kern w:val="0"/>
          <w:sz w:val="24"/>
          <w:szCs w:val="20"/>
        </w:rPr>
      </w:pPr>
      <w:r>
        <w:rPr>
          <w:color w:val="auto"/>
          <w:kern w:val="0"/>
          <w:sz w:val="24"/>
          <w:szCs w:val="20"/>
        </w:rPr>
        <w:t>按照《环境影响评价技术导则声环境》（HJ2.4-2021）要求，确定声环境预测范围为项目边界外200米。</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5.3.2预测模式</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预测模式采用《环境影响评价技术导则（声环境）》（HJ2.4-2021）中推荐的工业噪声预测计算模式。</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5.3.3评价标准</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厂址区域声环境质量标准执行《声环境质量标准》（GB3096-2008）</w:t>
      </w:r>
      <w:r>
        <w:rPr>
          <w:rFonts w:hint="eastAsia"/>
          <w:color w:val="auto"/>
          <w:kern w:val="0"/>
          <w:sz w:val="24"/>
          <w:szCs w:val="20"/>
        </w:rPr>
        <w:t>3</w:t>
      </w:r>
      <w:r>
        <w:rPr>
          <w:color w:val="auto"/>
          <w:kern w:val="0"/>
          <w:sz w:val="24"/>
          <w:szCs w:val="20"/>
        </w:rPr>
        <w:t>类标准，昼间6</w:t>
      </w:r>
      <w:r>
        <w:rPr>
          <w:rFonts w:hint="eastAsia"/>
          <w:color w:val="auto"/>
          <w:kern w:val="0"/>
          <w:sz w:val="24"/>
          <w:szCs w:val="20"/>
        </w:rPr>
        <w:t>5</w:t>
      </w:r>
      <w:r>
        <w:rPr>
          <w:color w:val="auto"/>
          <w:kern w:val="0"/>
          <w:sz w:val="24"/>
          <w:szCs w:val="20"/>
        </w:rPr>
        <w:t>dB(A)、夜间5</w:t>
      </w:r>
      <w:r>
        <w:rPr>
          <w:rFonts w:hint="eastAsia"/>
          <w:color w:val="auto"/>
          <w:kern w:val="0"/>
          <w:sz w:val="24"/>
          <w:szCs w:val="20"/>
        </w:rPr>
        <w:t>5</w:t>
      </w:r>
      <w:r>
        <w:rPr>
          <w:color w:val="auto"/>
          <w:kern w:val="0"/>
          <w:sz w:val="24"/>
          <w:szCs w:val="20"/>
        </w:rPr>
        <w:t>dB(A)。</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5.3.4噪声源分布及源强</w:t>
      </w:r>
    </w:p>
    <w:p>
      <w:pPr>
        <w:adjustRightInd w:val="0"/>
        <w:snapToGrid w:val="0"/>
        <w:spacing w:line="360" w:lineRule="auto"/>
        <w:ind w:firstLine="480" w:firstLineChars="200"/>
        <w:rPr>
          <w:color w:val="auto"/>
          <w:kern w:val="21"/>
          <w:sz w:val="24"/>
          <w:szCs w:val="24"/>
        </w:rPr>
        <w:sectPr>
          <w:pgSz w:w="11907" w:h="16840"/>
          <w:pgMar w:top="1440" w:right="1797" w:bottom="1440" w:left="1797" w:header="851" w:footer="992" w:gutter="0"/>
          <w:cols w:space="425" w:num="1"/>
          <w:docGrid w:linePitch="312" w:charSpace="0"/>
        </w:sectPr>
      </w:pPr>
      <w:r>
        <w:rPr>
          <w:color w:val="auto"/>
          <w:kern w:val="21"/>
          <w:sz w:val="24"/>
          <w:szCs w:val="24"/>
        </w:rPr>
        <w:t>本项目噪声源主要为风机、冲床、空压机等生产设备，其噪声源强在</w:t>
      </w:r>
      <w:r>
        <w:rPr>
          <w:rFonts w:eastAsia="Times New Roman"/>
          <w:color w:val="auto"/>
          <w:kern w:val="21"/>
          <w:sz w:val="24"/>
          <w:szCs w:val="24"/>
        </w:rPr>
        <w:t>7</w:t>
      </w:r>
      <w:r>
        <w:rPr>
          <w:rFonts w:hint="eastAsia"/>
          <w:color w:val="auto"/>
          <w:kern w:val="21"/>
          <w:sz w:val="24"/>
          <w:szCs w:val="24"/>
          <w:lang w:val="en-US" w:eastAsia="zh-CN"/>
        </w:rPr>
        <w:t>0</w:t>
      </w:r>
      <w:r>
        <w:rPr>
          <w:rFonts w:eastAsia="Times New Roman"/>
          <w:color w:val="auto"/>
          <w:kern w:val="21"/>
          <w:sz w:val="24"/>
          <w:szCs w:val="24"/>
        </w:rPr>
        <w:t>~</w:t>
      </w:r>
      <w:r>
        <w:rPr>
          <w:rFonts w:hint="eastAsia"/>
          <w:color w:val="auto"/>
          <w:kern w:val="21"/>
          <w:sz w:val="24"/>
          <w:szCs w:val="24"/>
          <w:lang w:val="en-US" w:eastAsia="zh-CN"/>
        </w:rPr>
        <w:t>90</w:t>
      </w:r>
      <w:r>
        <w:rPr>
          <w:rFonts w:eastAsia="Times New Roman"/>
          <w:color w:val="auto"/>
          <w:kern w:val="21"/>
          <w:sz w:val="24"/>
          <w:szCs w:val="24"/>
        </w:rPr>
        <w:t>dB(A</w:t>
      </w:r>
      <w:r>
        <w:rPr>
          <w:rFonts w:hint="eastAsia"/>
          <w:color w:val="auto"/>
          <w:kern w:val="21"/>
          <w:sz w:val="24"/>
          <w:szCs w:val="24"/>
          <w:lang w:eastAsia="zh-CN"/>
        </w:rPr>
        <w:t>）</w:t>
      </w:r>
      <w:r>
        <w:rPr>
          <w:color w:val="auto"/>
          <w:kern w:val="21"/>
          <w:sz w:val="24"/>
          <w:szCs w:val="24"/>
        </w:rPr>
        <w:t>之间，各设备噪声源强及治理措施见表5.3-2。</w:t>
      </w:r>
    </w:p>
    <w:p>
      <w:pPr>
        <w:pStyle w:val="32"/>
        <w:tabs>
          <w:tab w:val="left" w:pos="5338"/>
        </w:tabs>
        <w:spacing w:before="1"/>
        <w:ind w:left="4549"/>
        <w:rPr>
          <w:rFonts w:eastAsia="黑体"/>
          <w:color w:val="auto"/>
          <w:kern w:val="21"/>
          <w:sz w:val="24"/>
          <w:lang w:val="en-US"/>
        </w:rPr>
      </w:pPr>
      <w:r>
        <w:rPr>
          <w:rFonts w:eastAsia="黑体"/>
          <w:color w:val="auto"/>
          <w:kern w:val="21"/>
          <w:sz w:val="24"/>
          <w:lang w:val="en-US"/>
        </w:rPr>
        <w:t>表</w:t>
      </w:r>
      <w:r>
        <w:rPr>
          <w:rFonts w:hint="eastAsia" w:eastAsia="黑体"/>
          <w:color w:val="auto"/>
          <w:kern w:val="21"/>
          <w:sz w:val="24"/>
          <w:lang w:val="en-US"/>
        </w:rPr>
        <w:t xml:space="preserve">5.3-2   </w:t>
      </w:r>
      <w:r>
        <w:rPr>
          <w:rFonts w:eastAsia="黑体"/>
          <w:color w:val="auto"/>
          <w:kern w:val="21"/>
          <w:sz w:val="24"/>
          <w:lang w:val="en-US"/>
        </w:rPr>
        <w:t>工业企业噪声源强调查清单（室内声源）</w:t>
      </w:r>
    </w:p>
    <w:tbl>
      <w:tblPr>
        <w:tblStyle w:val="478"/>
        <w:tblW w:w="0" w:type="auto"/>
        <w:tblInd w:w="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2"/>
        <w:gridCol w:w="614"/>
        <w:gridCol w:w="1018"/>
        <w:gridCol w:w="821"/>
        <w:gridCol w:w="996"/>
        <w:gridCol w:w="1134"/>
        <w:gridCol w:w="567"/>
        <w:gridCol w:w="567"/>
        <w:gridCol w:w="567"/>
        <w:gridCol w:w="1276"/>
        <w:gridCol w:w="1417"/>
        <w:gridCol w:w="851"/>
        <w:gridCol w:w="1674"/>
        <w:gridCol w:w="823"/>
        <w:gridCol w:w="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4" w:hRule="exact"/>
        </w:trPr>
        <w:tc>
          <w:tcPr>
            <w:tcW w:w="572"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序 号</w:t>
            </w:r>
          </w:p>
        </w:tc>
        <w:tc>
          <w:tcPr>
            <w:tcW w:w="614"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建筑物 名称</w:t>
            </w:r>
          </w:p>
        </w:tc>
        <w:tc>
          <w:tcPr>
            <w:tcW w:w="1018"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声源名称</w:t>
            </w:r>
          </w:p>
        </w:tc>
        <w:tc>
          <w:tcPr>
            <w:tcW w:w="821" w:type="dxa"/>
            <w:vMerge w:val="restart"/>
            <w:vAlign w:val="center"/>
          </w:tcPr>
          <w:p>
            <w:pPr>
              <w:pStyle w:val="377"/>
              <w:widowControl w:val="0"/>
              <w:jc w:val="center"/>
              <w:rPr>
                <w:rFonts w:hint="default" w:ascii="Times New Roman" w:hAnsi="Times New Roman" w:eastAsia="Times New Roman" w:cs="Times New Roman"/>
                <w:b/>
                <w:bCs/>
                <w:color w:val="auto"/>
                <w:sz w:val="10"/>
                <w:szCs w:val="10"/>
                <w:lang w:eastAsia="en-US"/>
              </w:rPr>
            </w:pPr>
          </w:p>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数量</w:t>
            </w:r>
          </w:p>
        </w:tc>
        <w:tc>
          <w:tcPr>
            <w:tcW w:w="996"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声源源强</w:t>
            </w:r>
          </w:p>
        </w:tc>
        <w:tc>
          <w:tcPr>
            <w:tcW w:w="1134"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声源控制措施</w:t>
            </w:r>
          </w:p>
        </w:tc>
        <w:tc>
          <w:tcPr>
            <w:tcW w:w="1701" w:type="dxa"/>
            <w:gridSpan w:val="3"/>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空间相对位置/m</w:t>
            </w:r>
          </w:p>
        </w:tc>
        <w:tc>
          <w:tcPr>
            <w:tcW w:w="1276"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距室内边界距离/m</w:t>
            </w:r>
          </w:p>
        </w:tc>
        <w:tc>
          <w:tcPr>
            <w:tcW w:w="1417"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室内边界声级/</w:t>
            </w:r>
            <w:r>
              <w:rPr>
                <w:rFonts w:hint="default" w:ascii="Times New Roman" w:hAnsi="Times New Roman" w:eastAsia="Times New Roman" w:cs="Times New Roman"/>
                <w:b/>
                <w:bCs/>
                <w:color w:val="auto"/>
                <w:spacing w:val="1"/>
                <w:sz w:val="18"/>
                <w:szCs w:val="18"/>
                <w:lang w:eastAsia="en-US"/>
              </w:rPr>
              <w:t>d</w:t>
            </w:r>
            <w:r>
              <w:rPr>
                <w:rFonts w:hint="default" w:ascii="Times New Roman" w:hAnsi="Times New Roman" w:eastAsia="Times New Roman" w:cs="Times New Roman"/>
                <w:b/>
                <w:bCs/>
                <w:color w:val="auto"/>
                <w:sz w:val="18"/>
                <w:szCs w:val="18"/>
                <w:lang w:eastAsia="en-US"/>
              </w:rPr>
              <w:t>B(A)</w:t>
            </w:r>
          </w:p>
        </w:tc>
        <w:tc>
          <w:tcPr>
            <w:tcW w:w="851"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运行时段</w:t>
            </w:r>
          </w:p>
        </w:tc>
        <w:tc>
          <w:tcPr>
            <w:tcW w:w="1674" w:type="dxa"/>
            <w:vMerge w:val="restart"/>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建筑物插入损失/</w:t>
            </w:r>
          </w:p>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pacing w:val="1"/>
                <w:sz w:val="18"/>
                <w:szCs w:val="18"/>
                <w:lang w:eastAsia="en-US"/>
              </w:rPr>
              <w:t>d</w:t>
            </w:r>
            <w:r>
              <w:rPr>
                <w:rFonts w:hint="default" w:ascii="Times New Roman" w:hAnsi="Times New Roman" w:eastAsia="Times New Roman" w:cs="Times New Roman"/>
                <w:b/>
                <w:bCs/>
                <w:color w:val="auto"/>
                <w:sz w:val="18"/>
                <w:szCs w:val="18"/>
                <w:lang w:eastAsia="en-US"/>
              </w:rPr>
              <w:t>B(A)</w:t>
            </w:r>
          </w:p>
        </w:tc>
        <w:tc>
          <w:tcPr>
            <w:tcW w:w="1580" w:type="dxa"/>
            <w:gridSpan w:val="2"/>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5" w:hRule="exact"/>
        </w:trPr>
        <w:tc>
          <w:tcPr>
            <w:tcW w:w="572"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614"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1018"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821"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996"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声功率级</w:t>
            </w:r>
          </w:p>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w:t>
            </w:r>
            <w:r>
              <w:rPr>
                <w:rFonts w:hint="default" w:ascii="Times New Roman" w:hAnsi="Times New Roman" w:eastAsia="Times New Roman" w:cs="Times New Roman"/>
                <w:b/>
                <w:bCs/>
                <w:color w:val="auto"/>
                <w:spacing w:val="1"/>
                <w:sz w:val="18"/>
                <w:szCs w:val="18"/>
                <w:lang w:eastAsia="en-US"/>
              </w:rPr>
              <w:t>d</w:t>
            </w:r>
            <w:r>
              <w:rPr>
                <w:rFonts w:hint="default" w:ascii="Times New Roman" w:hAnsi="Times New Roman" w:eastAsia="Times New Roman" w:cs="Times New Roman"/>
                <w:b/>
                <w:bCs/>
                <w:color w:val="auto"/>
                <w:sz w:val="18"/>
                <w:szCs w:val="18"/>
                <w:lang w:eastAsia="en-US"/>
              </w:rPr>
              <w:t>B(A)</w:t>
            </w:r>
          </w:p>
        </w:tc>
        <w:tc>
          <w:tcPr>
            <w:tcW w:w="1134"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567"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i/>
                <w:color w:val="auto"/>
                <w:sz w:val="18"/>
                <w:szCs w:val="18"/>
                <w:lang w:eastAsia="en-US"/>
              </w:rPr>
              <w:t>X</w:t>
            </w:r>
          </w:p>
        </w:tc>
        <w:tc>
          <w:tcPr>
            <w:tcW w:w="567"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i/>
                <w:color w:val="auto"/>
                <w:sz w:val="18"/>
                <w:szCs w:val="18"/>
                <w:lang w:eastAsia="en-US"/>
              </w:rPr>
              <w:t>Y</w:t>
            </w:r>
          </w:p>
        </w:tc>
        <w:tc>
          <w:tcPr>
            <w:tcW w:w="567"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i/>
                <w:color w:val="auto"/>
                <w:sz w:val="18"/>
                <w:szCs w:val="18"/>
                <w:lang w:eastAsia="en-US"/>
              </w:rPr>
              <w:t>Z</w:t>
            </w:r>
          </w:p>
        </w:tc>
        <w:tc>
          <w:tcPr>
            <w:tcW w:w="1276"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1417"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851"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1674" w:type="dxa"/>
            <w:vMerge w:val="continue"/>
            <w:vAlign w:val="center"/>
          </w:tcPr>
          <w:p>
            <w:pPr>
              <w:widowControl w:val="0"/>
              <w:jc w:val="center"/>
              <w:rPr>
                <w:rFonts w:hint="default" w:ascii="Times New Roman" w:hAnsi="Times New Roman" w:eastAsia="Times New Roman" w:cs="Times New Roman"/>
                <w:b/>
                <w:bCs/>
                <w:color w:val="auto"/>
                <w:lang w:eastAsia="en-US"/>
              </w:rPr>
            </w:pPr>
          </w:p>
        </w:tc>
        <w:tc>
          <w:tcPr>
            <w:tcW w:w="823"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声压级</w:t>
            </w:r>
          </w:p>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w:t>
            </w:r>
            <w:r>
              <w:rPr>
                <w:rFonts w:hint="default" w:ascii="Times New Roman" w:hAnsi="Times New Roman" w:eastAsia="Times New Roman" w:cs="Times New Roman"/>
                <w:b/>
                <w:bCs/>
                <w:color w:val="auto"/>
                <w:spacing w:val="1"/>
                <w:sz w:val="18"/>
                <w:szCs w:val="18"/>
                <w:lang w:eastAsia="en-US"/>
              </w:rPr>
              <w:t>d</w:t>
            </w:r>
            <w:r>
              <w:rPr>
                <w:rFonts w:hint="default" w:ascii="Times New Roman" w:hAnsi="Times New Roman" w:eastAsia="Times New Roman" w:cs="Times New Roman"/>
                <w:b/>
                <w:bCs/>
                <w:color w:val="auto"/>
                <w:sz w:val="18"/>
                <w:szCs w:val="18"/>
                <w:lang w:eastAsia="en-US"/>
              </w:rPr>
              <w:t>B(A)</w:t>
            </w:r>
          </w:p>
        </w:tc>
        <w:tc>
          <w:tcPr>
            <w:tcW w:w="757" w:type="dxa"/>
            <w:vAlign w:val="center"/>
          </w:tcPr>
          <w:p>
            <w:pPr>
              <w:pStyle w:val="377"/>
              <w:widowControl w:val="0"/>
              <w:jc w:val="center"/>
              <w:rPr>
                <w:rFonts w:hint="default" w:ascii="Times New Roman" w:hAnsi="Times New Roman" w:eastAsia="Times New Roman" w:cs="Times New Roman"/>
                <w:b/>
                <w:bCs/>
                <w:color w:val="auto"/>
                <w:sz w:val="18"/>
                <w:szCs w:val="18"/>
                <w:lang w:eastAsia="en-US"/>
              </w:rPr>
            </w:pPr>
            <w:r>
              <w:rPr>
                <w:rFonts w:hint="default" w:ascii="Times New Roman" w:hAnsi="Times New Roman" w:eastAsia="Times New Roman" w:cs="Times New Roman"/>
                <w:b/>
                <w:bCs/>
                <w:color w:val="auto"/>
                <w:sz w:val="18"/>
                <w:szCs w:val="18"/>
                <w:lang w:eastAsia="en-US"/>
              </w:rPr>
              <w:t>建筑物 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pStyle w:val="377"/>
              <w:widowControl w:val="0"/>
              <w:jc w:val="center"/>
              <w:rPr>
                <w:rFonts w:hint="default" w:ascii="Times New Roman" w:hAnsi="Times New Roman" w:eastAsia="Times New Roman" w:cs="Times New Roman"/>
                <w:color w:val="auto"/>
                <w:sz w:val="18"/>
                <w:szCs w:val="18"/>
                <w:lang w:eastAsia="en-US"/>
              </w:rPr>
            </w:pPr>
            <w:r>
              <w:rPr>
                <w:rFonts w:hint="default" w:ascii="Times New Roman" w:hAnsi="Times New Roman" w:eastAsia="Times New Roman" w:cs="Times New Roman"/>
                <w:color w:val="auto"/>
                <w:sz w:val="18"/>
                <w:szCs w:val="18"/>
                <w:lang w:eastAsia="en-US"/>
              </w:rPr>
              <w:t>1</w:t>
            </w:r>
          </w:p>
        </w:tc>
        <w:tc>
          <w:tcPr>
            <w:tcW w:w="614" w:type="dxa"/>
            <w:vMerge w:val="restart"/>
            <w:vAlign w:val="center"/>
          </w:tcPr>
          <w:p>
            <w:pPr>
              <w:pStyle w:val="377"/>
              <w:widowControl w:val="0"/>
              <w:jc w:val="center"/>
              <w:rPr>
                <w:rFonts w:hint="default" w:ascii="Times New Roman" w:hAnsi="Times New Roman" w:eastAsia="Times New Roman" w:cs="Times New Roman"/>
                <w:color w:val="auto"/>
                <w:sz w:val="18"/>
                <w:szCs w:val="18"/>
                <w:lang w:eastAsia="en-US"/>
              </w:rPr>
            </w:pPr>
            <w:r>
              <w:rPr>
                <w:rFonts w:hint="default" w:ascii="Times New Roman" w:hAnsi="Times New Roman" w:eastAsia="Times New Roman" w:cs="Times New Roman"/>
                <w:color w:val="auto"/>
                <w:sz w:val="18"/>
                <w:szCs w:val="18"/>
                <w:lang w:eastAsia="en-US"/>
              </w:rPr>
              <w:t>北车间</w:t>
            </w: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酸雾塔风机</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80</w:t>
            </w:r>
          </w:p>
        </w:tc>
        <w:tc>
          <w:tcPr>
            <w:tcW w:w="1134" w:type="dxa"/>
            <w:vMerge w:val="restart"/>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zh-CN"/>
              </w:rPr>
            </w:pPr>
            <w:r>
              <w:rPr>
                <w:rFonts w:hint="default" w:ascii="Times New Roman" w:hAnsi="Times New Roman" w:eastAsia="Times New Roman" w:cs="Times New Roman"/>
                <w:color w:val="auto"/>
                <w:kern w:val="21"/>
                <w:sz w:val="18"/>
                <w:szCs w:val="18"/>
                <w:lang w:eastAsia="zh-CN"/>
              </w:rPr>
              <w:t>设置基础减振，厂房隔声</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12</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251</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2</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7</w:t>
            </w:r>
          </w:p>
        </w:tc>
        <w:tc>
          <w:tcPr>
            <w:tcW w:w="141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72.1</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25</w:t>
            </w:r>
          </w:p>
        </w:tc>
        <w:tc>
          <w:tcPr>
            <w:tcW w:w="823" w:type="dxa"/>
            <w:vAlign w:val="center"/>
          </w:tcPr>
          <w:p>
            <w:pPr>
              <w:widowControl w:val="0"/>
              <w:jc w:val="center"/>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4</w:t>
            </w:r>
            <w:r>
              <w:rPr>
                <w:rFonts w:hint="eastAsia" w:cs="Times New Roman" w:eastAsiaTheme="minorEastAsia"/>
                <w:color w:val="auto"/>
                <w:lang w:val="en-US" w:eastAsia="zh-CN"/>
              </w:rPr>
              <w:t>7.1</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2</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电镀生产线</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12条</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75</w:t>
            </w:r>
          </w:p>
        </w:tc>
        <w:tc>
          <w:tcPr>
            <w:tcW w:w="113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85</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262</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2</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49</w:t>
            </w:r>
          </w:p>
        </w:tc>
        <w:tc>
          <w:tcPr>
            <w:tcW w:w="1417" w:type="dxa"/>
            <w:vAlign w:val="center"/>
          </w:tcPr>
          <w:p>
            <w:pPr>
              <w:widowControl w:val="0"/>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52.</w:t>
            </w:r>
            <w:r>
              <w:rPr>
                <w:rFonts w:hint="eastAsia" w:cs="Times New Roman" w:eastAsiaTheme="minorEastAsia"/>
                <w:color w:val="auto"/>
                <w:lang w:val="en-US" w:eastAsia="zh-CN"/>
              </w:rPr>
              <w:t>2</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25</w:t>
            </w:r>
          </w:p>
        </w:tc>
        <w:tc>
          <w:tcPr>
            <w:tcW w:w="823" w:type="dxa"/>
            <w:vAlign w:val="center"/>
          </w:tcPr>
          <w:p>
            <w:pPr>
              <w:widowControl w:val="0"/>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27.</w:t>
            </w:r>
            <w:r>
              <w:rPr>
                <w:rFonts w:hint="eastAsia" w:cs="Times New Roman" w:eastAsiaTheme="minorEastAsia"/>
                <w:color w:val="auto"/>
                <w:lang w:val="en-US" w:eastAsia="zh-CN"/>
              </w:rPr>
              <w:t>2</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3</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空压机</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6台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90</w:t>
            </w:r>
          </w:p>
        </w:tc>
        <w:tc>
          <w:tcPr>
            <w:tcW w:w="1134"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zh-CN"/>
              </w:rPr>
            </w:pPr>
            <w:r>
              <w:rPr>
                <w:rFonts w:hint="default" w:ascii="Times New Roman" w:hAnsi="Times New Roman" w:eastAsia="Times New Roman" w:cs="Times New Roman"/>
                <w:color w:val="auto"/>
                <w:kern w:val="21"/>
                <w:sz w:val="18"/>
                <w:szCs w:val="18"/>
                <w:lang w:eastAsia="zh-CN"/>
              </w:rPr>
              <w:t>设置隔音罩，厂房隔声</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248</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7</w:t>
            </w:r>
          </w:p>
        </w:tc>
        <w:tc>
          <w:tcPr>
            <w:tcW w:w="1417" w:type="dxa"/>
            <w:vAlign w:val="center"/>
          </w:tcPr>
          <w:p>
            <w:pPr>
              <w:widowControl w:val="0"/>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80.</w:t>
            </w:r>
            <w:r>
              <w:rPr>
                <w:rFonts w:hint="eastAsia" w:cs="Times New Roman" w:eastAsiaTheme="minorEastAsia"/>
                <w:color w:val="auto"/>
                <w:lang w:val="en-US" w:eastAsia="zh-CN"/>
              </w:rPr>
              <w:t>9</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30</w:t>
            </w:r>
          </w:p>
        </w:tc>
        <w:tc>
          <w:tcPr>
            <w:tcW w:w="823" w:type="dxa"/>
            <w:vAlign w:val="center"/>
          </w:tcPr>
          <w:p>
            <w:pPr>
              <w:widowControl w:val="0"/>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50.</w:t>
            </w:r>
            <w:r>
              <w:rPr>
                <w:rFonts w:hint="eastAsia" w:cs="Times New Roman" w:eastAsiaTheme="minorEastAsia"/>
                <w:color w:val="auto"/>
                <w:lang w:val="en-US" w:eastAsia="zh-CN"/>
              </w:rPr>
              <w:t>9</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4</w:t>
            </w:r>
          </w:p>
        </w:tc>
        <w:tc>
          <w:tcPr>
            <w:tcW w:w="614" w:type="dxa"/>
            <w:vMerge w:val="restart"/>
            <w:vAlign w:val="center"/>
          </w:tcPr>
          <w:p>
            <w:pPr>
              <w:widowControl w:val="0"/>
              <w:jc w:val="center"/>
              <w:rPr>
                <w:rFonts w:hint="default" w:ascii="Times New Roman" w:hAnsi="Times New Roman" w:eastAsia="Times New Roman" w:cs="Times New Roman"/>
                <w:color w:val="auto"/>
                <w:sz w:val="18"/>
                <w:szCs w:val="18"/>
                <w:lang w:eastAsia="en-US"/>
              </w:rPr>
            </w:pPr>
            <w:r>
              <w:rPr>
                <w:rFonts w:hint="default" w:ascii="Times New Roman" w:hAnsi="Times New Roman" w:eastAsia="Times New Roman" w:cs="Times New Roman"/>
                <w:color w:val="auto"/>
                <w:sz w:val="18"/>
                <w:szCs w:val="18"/>
                <w:lang w:eastAsia="en-US"/>
              </w:rPr>
              <w:t>南车间</w:t>
            </w: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钢壳冲床</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105台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85</w:t>
            </w:r>
          </w:p>
        </w:tc>
        <w:tc>
          <w:tcPr>
            <w:tcW w:w="1134" w:type="dxa"/>
            <w:vMerge w:val="restart"/>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zh-CN"/>
              </w:rPr>
            </w:pPr>
            <w:r>
              <w:rPr>
                <w:rFonts w:hint="default" w:ascii="Times New Roman" w:hAnsi="Times New Roman" w:eastAsia="Times New Roman" w:cs="Times New Roman"/>
                <w:color w:val="auto"/>
                <w:kern w:val="21"/>
                <w:sz w:val="18"/>
                <w:szCs w:val="18"/>
                <w:lang w:eastAsia="zh-CN"/>
              </w:rPr>
              <w:t>设置基础减振，厂房隔声</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95</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51</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50</w:t>
            </w:r>
          </w:p>
        </w:tc>
        <w:tc>
          <w:tcPr>
            <w:tcW w:w="1417" w:type="dxa"/>
            <w:vAlign w:val="center"/>
          </w:tcPr>
          <w:p>
            <w:pPr>
              <w:widowControl w:val="0"/>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71.</w:t>
            </w:r>
            <w:r>
              <w:rPr>
                <w:rFonts w:hint="eastAsia" w:cs="Times New Roman" w:eastAsiaTheme="minorEastAsia"/>
                <w:color w:val="auto"/>
                <w:lang w:val="en-US" w:eastAsia="zh-CN"/>
              </w:rPr>
              <w:t>2</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eastAsia="zh-CN"/>
              </w:rPr>
              <w:t>2</w:t>
            </w:r>
            <w:r>
              <w:rPr>
                <w:rFonts w:hint="eastAsia" w:cs="Times New Roman" w:eastAsiaTheme="minorEastAsia"/>
                <w:color w:val="auto"/>
                <w:lang w:val="en-US" w:eastAsia="zh-CN"/>
              </w:rPr>
              <w:t>5</w:t>
            </w:r>
          </w:p>
        </w:tc>
        <w:tc>
          <w:tcPr>
            <w:tcW w:w="823"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46.2</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5</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盖帽冲床</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bidi="ar"/>
              </w:rPr>
              <w:t>30台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85</w:t>
            </w:r>
          </w:p>
        </w:tc>
        <w:tc>
          <w:tcPr>
            <w:tcW w:w="113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95</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68</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65</w:t>
            </w:r>
          </w:p>
        </w:tc>
        <w:tc>
          <w:tcPr>
            <w:tcW w:w="1417" w:type="dxa"/>
            <w:vAlign w:val="center"/>
          </w:tcPr>
          <w:p>
            <w:pPr>
              <w:widowControl w:val="0"/>
              <w:jc w:val="center"/>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6</w:t>
            </w:r>
            <w:r>
              <w:rPr>
                <w:rFonts w:hint="eastAsia" w:cs="Times New Roman" w:eastAsiaTheme="minorEastAsia"/>
                <w:color w:val="auto"/>
                <w:lang w:val="en-US" w:eastAsia="zh-CN"/>
              </w:rPr>
              <w:t>3.5</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25</w:t>
            </w:r>
          </w:p>
        </w:tc>
        <w:tc>
          <w:tcPr>
            <w:tcW w:w="823"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38.5</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6</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模修车床</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bidi="ar"/>
              </w:rPr>
              <w:t>2台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80</w:t>
            </w:r>
          </w:p>
        </w:tc>
        <w:tc>
          <w:tcPr>
            <w:tcW w:w="113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32</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66</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11</w:t>
            </w:r>
          </w:p>
        </w:tc>
        <w:tc>
          <w:tcPr>
            <w:tcW w:w="1417"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57.2</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昼间</w:t>
            </w:r>
          </w:p>
        </w:tc>
        <w:tc>
          <w:tcPr>
            <w:tcW w:w="1674"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25</w:t>
            </w:r>
          </w:p>
        </w:tc>
        <w:tc>
          <w:tcPr>
            <w:tcW w:w="823"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3</w:t>
            </w:r>
            <w:r>
              <w:rPr>
                <w:rFonts w:hint="eastAsia" w:cs="Times New Roman" w:eastAsiaTheme="minorEastAsia"/>
                <w:color w:val="auto"/>
                <w:lang w:val="en-US" w:eastAsia="zh-CN"/>
              </w:rPr>
              <w:t>2</w:t>
            </w:r>
            <w:r>
              <w:rPr>
                <w:rFonts w:hint="default" w:ascii="Times New Roman" w:hAnsi="Times New Roman" w:cs="Times New Roman" w:eastAsiaTheme="minorEastAsia"/>
                <w:color w:val="auto"/>
                <w:lang w:eastAsia="en-US"/>
              </w:rPr>
              <w:t>.2</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7</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数控平开下料机</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4台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90</w:t>
            </w:r>
          </w:p>
        </w:tc>
        <w:tc>
          <w:tcPr>
            <w:tcW w:w="113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42</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33</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26</w:t>
            </w:r>
          </w:p>
        </w:tc>
        <w:tc>
          <w:tcPr>
            <w:tcW w:w="1417"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62.7</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25</w:t>
            </w:r>
          </w:p>
        </w:tc>
        <w:tc>
          <w:tcPr>
            <w:tcW w:w="823"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37.7</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8</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折弯机</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10台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80</w:t>
            </w:r>
          </w:p>
        </w:tc>
        <w:tc>
          <w:tcPr>
            <w:tcW w:w="113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31</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44</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30</w:t>
            </w:r>
          </w:p>
        </w:tc>
        <w:tc>
          <w:tcPr>
            <w:tcW w:w="1417"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55.5</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25</w:t>
            </w:r>
          </w:p>
        </w:tc>
        <w:tc>
          <w:tcPr>
            <w:tcW w:w="823" w:type="dxa"/>
            <w:vAlign w:val="center"/>
          </w:tcPr>
          <w:p>
            <w:pPr>
              <w:widowControl w:val="0"/>
              <w:jc w:val="center"/>
              <w:rPr>
                <w:rFonts w:hint="eastAsia"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lang w:eastAsia="en-US"/>
              </w:rPr>
              <w:t>30.</w:t>
            </w:r>
            <w:r>
              <w:rPr>
                <w:rFonts w:hint="eastAsia" w:cs="Times New Roman" w:eastAsiaTheme="minorEastAsia"/>
                <w:color w:val="auto"/>
                <w:lang w:val="en-US" w:eastAsia="zh-CN"/>
              </w:rPr>
              <w:t>5</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trPr>
        <w:tc>
          <w:tcPr>
            <w:tcW w:w="572"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9</w:t>
            </w:r>
          </w:p>
        </w:tc>
        <w:tc>
          <w:tcPr>
            <w:tcW w:w="61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1018"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电焊机</w:t>
            </w:r>
          </w:p>
        </w:tc>
        <w:tc>
          <w:tcPr>
            <w:tcW w:w="821"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20台</w:t>
            </w:r>
          </w:p>
        </w:tc>
        <w:tc>
          <w:tcPr>
            <w:tcW w:w="996" w:type="dxa"/>
            <w:vAlign w:val="center"/>
          </w:tcPr>
          <w:p>
            <w:pPr>
              <w:widowControl w:val="0"/>
              <w:adjustRightInd w:val="0"/>
              <w:snapToGrid w:val="0"/>
              <w:jc w:val="center"/>
              <w:textAlignment w:val="baseline"/>
              <w:rPr>
                <w:rFonts w:hint="default" w:ascii="Times New Roman" w:hAnsi="Times New Roman" w:eastAsia="Times New Roman" w:cs="Times New Roman"/>
                <w:color w:val="auto"/>
                <w:kern w:val="21"/>
                <w:sz w:val="18"/>
                <w:szCs w:val="18"/>
                <w:lang w:eastAsia="en-US"/>
              </w:rPr>
            </w:pPr>
            <w:r>
              <w:rPr>
                <w:rFonts w:hint="default" w:ascii="Times New Roman" w:hAnsi="Times New Roman" w:eastAsia="Times New Roman" w:cs="Times New Roman"/>
                <w:color w:val="auto"/>
                <w:kern w:val="21"/>
                <w:sz w:val="18"/>
                <w:szCs w:val="18"/>
                <w:lang w:eastAsia="en-US"/>
              </w:rPr>
              <w:t>80</w:t>
            </w:r>
          </w:p>
        </w:tc>
        <w:tc>
          <w:tcPr>
            <w:tcW w:w="1134" w:type="dxa"/>
            <w:vMerge w:val="continue"/>
            <w:vAlign w:val="center"/>
          </w:tcPr>
          <w:p>
            <w:pPr>
              <w:widowControl w:val="0"/>
              <w:jc w:val="center"/>
              <w:rPr>
                <w:rFonts w:hint="default" w:ascii="Times New Roman" w:hAnsi="Times New Roman" w:eastAsia="Times New Roman" w:cs="Times New Roman"/>
                <w:color w:val="auto"/>
                <w:sz w:val="18"/>
                <w:szCs w:val="18"/>
                <w:lang w:eastAsia="en-US"/>
              </w:rPr>
            </w:pP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57</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39</w:t>
            </w:r>
          </w:p>
        </w:tc>
        <w:tc>
          <w:tcPr>
            <w:tcW w:w="567" w:type="dxa"/>
            <w:vAlign w:val="center"/>
          </w:tcPr>
          <w:p>
            <w:pPr>
              <w:widowControl w:val="0"/>
              <w:jc w:val="center"/>
              <w:rPr>
                <w:rFonts w:hint="default" w:ascii="Times New Roman" w:hAnsi="Times New Roman" w:cs="Times New Roman" w:eastAsiaTheme="minorEastAsia"/>
                <w:color w:val="auto"/>
                <w:sz w:val="18"/>
                <w:szCs w:val="18"/>
                <w:lang w:eastAsia="en-US"/>
              </w:rPr>
            </w:pPr>
            <w:r>
              <w:rPr>
                <w:rFonts w:hint="default" w:ascii="Times New Roman" w:hAnsi="Times New Roman" w:cs="Times New Roman" w:eastAsiaTheme="minorEastAsia"/>
                <w:color w:val="auto"/>
                <w:sz w:val="18"/>
                <w:szCs w:val="18"/>
                <w:lang w:eastAsia="en-US"/>
              </w:rPr>
              <w:t>1</w:t>
            </w:r>
          </w:p>
        </w:tc>
        <w:tc>
          <w:tcPr>
            <w:tcW w:w="1276"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68.4</w:t>
            </w:r>
          </w:p>
        </w:tc>
        <w:tc>
          <w:tcPr>
            <w:tcW w:w="1417"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46.4</w:t>
            </w:r>
          </w:p>
        </w:tc>
        <w:tc>
          <w:tcPr>
            <w:tcW w:w="851" w:type="dxa"/>
            <w:vAlign w:val="center"/>
          </w:tcPr>
          <w:p>
            <w:pPr>
              <w:widowControl w:val="0"/>
              <w:jc w:val="center"/>
              <w:rPr>
                <w:rFonts w:hint="default" w:ascii="Times New Roman" w:hAnsi="Times New Roman" w:eastAsia="Times New Roman" w:cs="Times New Roman"/>
                <w:color w:val="auto"/>
                <w:lang w:eastAsia="en-US"/>
              </w:rPr>
            </w:pPr>
            <w:r>
              <w:rPr>
                <w:rFonts w:hint="default" w:ascii="Times New Roman" w:hAnsi="Times New Roman" w:eastAsia="Times New Roman" w:cs="Times New Roman"/>
                <w:color w:val="auto"/>
                <w:lang w:eastAsia="en-US"/>
              </w:rPr>
              <w:t>昼夜</w:t>
            </w:r>
          </w:p>
        </w:tc>
        <w:tc>
          <w:tcPr>
            <w:tcW w:w="1674"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25</w:t>
            </w:r>
          </w:p>
        </w:tc>
        <w:tc>
          <w:tcPr>
            <w:tcW w:w="823" w:type="dxa"/>
            <w:vAlign w:val="center"/>
          </w:tcPr>
          <w:p>
            <w:pPr>
              <w:widowControl w:val="0"/>
              <w:jc w:val="center"/>
              <w:rPr>
                <w:rFonts w:hint="default" w:ascii="Times New Roman" w:hAnsi="Times New Roman" w:cs="Times New Roman" w:eastAsiaTheme="minorEastAsia"/>
                <w:color w:val="auto"/>
                <w:lang w:val="en-US" w:eastAsia="zh-CN"/>
              </w:rPr>
            </w:pPr>
            <w:r>
              <w:rPr>
                <w:rFonts w:hint="eastAsia" w:cs="Times New Roman" w:eastAsiaTheme="minorEastAsia"/>
                <w:color w:val="auto"/>
                <w:lang w:val="en-US" w:eastAsia="zh-CN"/>
              </w:rPr>
              <w:t>21.4</w:t>
            </w:r>
          </w:p>
        </w:tc>
        <w:tc>
          <w:tcPr>
            <w:tcW w:w="757" w:type="dxa"/>
            <w:vAlign w:val="center"/>
          </w:tcPr>
          <w:p>
            <w:pPr>
              <w:widowControl w:val="0"/>
              <w:jc w:val="center"/>
              <w:rPr>
                <w:rFonts w:hint="default" w:ascii="Times New Roman" w:hAnsi="Times New Roman" w:cs="Times New Roman" w:eastAsiaTheme="minorEastAsia"/>
                <w:color w:val="auto"/>
                <w:lang w:eastAsia="en-US"/>
              </w:rPr>
            </w:pPr>
            <w:r>
              <w:rPr>
                <w:rFonts w:hint="default" w:ascii="Times New Roman" w:hAnsi="Times New Roman" w:cs="Times New Roman" w:eastAsiaTheme="minorEastAsia"/>
                <w:color w:val="auto"/>
                <w:lang w:eastAsia="en-US"/>
              </w:rPr>
              <w:t>1</w:t>
            </w:r>
          </w:p>
        </w:tc>
      </w:tr>
    </w:tbl>
    <w:p>
      <w:pPr>
        <w:pStyle w:val="32"/>
        <w:tabs>
          <w:tab w:val="left" w:pos="5338"/>
        </w:tabs>
        <w:spacing w:before="1"/>
        <w:rPr>
          <w:rFonts w:eastAsia="黑体"/>
          <w:color w:val="auto"/>
          <w:kern w:val="21"/>
          <w:sz w:val="24"/>
          <w:lang w:val="en-US"/>
        </w:rPr>
      </w:pPr>
    </w:p>
    <w:p>
      <w:pPr>
        <w:adjustRightInd w:val="0"/>
        <w:snapToGrid w:val="0"/>
        <w:spacing w:line="360" w:lineRule="auto"/>
        <w:ind w:firstLine="480" w:firstLineChars="200"/>
        <w:rPr>
          <w:color w:val="auto"/>
          <w:kern w:val="21"/>
          <w:sz w:val="24"/>
          <w:szCs w:val="24"/>
          <w:lang w:val="zh-CN"/>
        </w:rPr>
        <w:sectPr>
          <w:pgSz w:w="16840" w:h="11907" w:orient="landscape"/>
          <w:pgMar w:top="1797" w:right="1440" w:bottom="1797" w:left="1440" w:header="851" w:footer="992" w:gutter="0"/>
          <w:cols w:space="425" w:num="1"/>
          <w:docGrid w:linePitch="312" w:charSpace="0"/>
        </w:sectPr>
      </w:pP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因本项目各车间内同类设备分布较为集中且尺寸相对设备距厂界距离较小，因此本次评价预测时将本项目各车间内同类设备所在的区域近似作为一个点声源进行预测。</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5.3.5预测计算</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（1）高噪声源衰减分析方法</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设备声源传播到受声点的距离为</w:t>
      </w:r>
      <w:r>
        <w:rPr>
          <w:color w:val="auto"/>
          <w:kern w:val="0"/>
          <w:position w:val="-4"/>
          <w:sz w:val="24"/>
          <w:szCs w:val="20"/>
        </w:rPr>
        <w:drawing>
          <wp:inline distT="0" distB="0" distL="0" distR="0">
            <wp:extent cx="115570" cy="138430"/>
            <wp:effectExtent l="0" t="0" r="0" b="15240"/>
            <wp:docPr id="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0"/>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kern w:val="0"/>
          <w:sz w:val="24"/>
          <w:szCs w:val="20"/>
        </w:rPr>
        <w:t>，厂房高度为</w:t>
      </w:r>
      <w:r>
        <w:rPr>
          <w:color w:val="auto"/>
          <w:kern w:val="0"/>
          <w:position w:val="-6"/>
          <w:sz w:val="24"/>
          <w:szCs w:val="20"/>
        </w:rPr>
        <w:drawing>
          <wp:inline distT="0" distB="0" distL="0" distR="0">
            <wp:extent cx="138430" cy="138430"/>
            <wp:effectExtent l="0" t="0" r="13970" b="14605"/>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noChangeArrowheads="1"/>
                    </pic:cNvPicPr>
                  </pic:nvPicPr>
                  <pic:blipFill>
                    <a:blip r:embed="rId108"/>
                    <a:srcRect/>
                    <a:stretch>
                      <a:fillRect/>
                    </a:stretch>
                  </pic:blipFill>
                  <pic:spPr>
                    <a:xfrm>
                      <a:off x="0" y="0"/>
                      <a:ext cx="138430" cy="138430"/>
                    </a:xfrm>
                    <a:prstGeom prst="rect">
                      <a:avLst/>
                    </a:prstGeom>
                    <a:noFill/>
                    <a:ln>
                      <a:noFill/>
                    </a:ln>
                  </pic:spPr>
                </pic:pic>
              </a:graphicData>
            </a:graphic>
          </wp:inline>
        </w:drawing>
      </w:r>
      <w:r>
        <w:rPr>
          <w:color w:val="auto"/>
          <w:kern w:val="0"/>
          <w:sz w:val="24"/>
          <w:szCs w:val="20"/>
        </w:rPr>
        <w:t>，厂房的长度为</w:t>
      </w:r>
      <w:r>
        <w:rPr>
          <w:color w:val="auto"/>
          <w:kern w:val="0"/>
          <w:position w:val="-6"/>
          <w:sz w:val="24"/>
          <w:szCs w:val="20"/>
        </w:rPr>
        <w:drawing>
          <wp:inline distT="0" distB="0" distL="0" distR="0">
            <wp:extent cx="138430" cy="184150"/>
            <wp:effectExtent l="0" t="0" r="13970" b="508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noChangeArrowheads="1"/>
                    </pic:cNvPicPr>
                  </pic:nvPicPr>
                  <pic:blipFill>
                    <a:blip r:embed="rId109"/>
                    <a:srcRect/>
                    <a:stretch>
                      <a:fillRect/>
                    </a:stretch>
                  </pic:blipFill>
                  <pic:spPr>
                    <a:xfrm>
                      <a:off x="0" y="0"/>
                      <a:ext cx="138430" cy="184150"/>
                    </a:xfrm>
                    <a:prstGeom prst="rect">
                      <a:avLst/>
                    </a:prstGeom>
                    <a:noFill/>
                    <a:ln>
                      <a:noFill/>
                    </a:ln>
                  </pic:spPr>
                </pic:pic>
              </a:graphicData>
            </a:graphic>
          </wp:inline>
        </w:drawing>
      </w:r>
      <w:r>
        <w:rPr>
          <w:color w:val="auto"/>
          <w:kern w:val="0"/>
          <w:sz w:val="24"/>
          <w:szCs w:val="20"/>
        </w:rPr>
        <w:t>，对于靠近墙面中心为</w:t>
      </w:r>
      <w:r>
        <w:rPr>
          <w:color w:val="auto"/>
          <w:kern w:val="0"/>
          <w:position w:val="-4"/>
          <w:sz w:val="24"/>
          <w:szCs w:val="20"/>
        </w:rPr>
        <w:drawing>
          <wp:inline distT="0" distB="0" distL="0" distR="0">
            <wp:extent cx="115570" cy="138430"/>
            <wp:effectExtent l="0" t="0" r="0" b="1524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kern w:val="0"/>
          <w:sz w:val="24"/>
          <w:szCs w:val="20"/>
        </w:rPr>
        <w:t>距离的受声点声压级的计算（仅考虑距离衰减）：</w:t>
      </w:r>
    </w:p>
    <w:p>
      <w:pPr>
        <w:adjustRightInd w:val="0"/>
        <w:snapToGrid w:val="0"/>
        <w:spacing w:line="360" w:lineRule="auto"/>
        <w:ind w:firstLine="464" w:firstLineChars="200"/>
        <w:textAlignment w:val="baseline"/>
        <w:rPr>
          <w:color w:val="auto"/>
          <w:spacing w:val="-4"/>
          <w:kern w:val="0"/>
          <w:sz w:val="24"/>
          <w:szCs w:val="20"/>
        </w:rPr>
      </w:pPr>
      <w:r>
        <w:rPr>
          <w:color w:val="auto"/>
          <w:spacing w:val="-4"/>
          <w:kern w:val="0"/>
          <w:sz w:val="24"/>
          <w:szCs w:val="20"/>
        </w:rPr>
        <w:t>当</w:t>
      </w:r>
      <w:r>
        <w:rPr>
          <w:color w:val="auto"/>
          <w:spacing w:val="-4"/>
          <w:kern w:val="0"/>
          <w:position w:val="-4"/>
          <w:sz w:val="24"/>
          <w:szCs w:val="20"/>
        </w:rPr>
        <w:drawing>
          <wp:inline distT="0" distB="0" distL="0" distR="0">
            <wp:extent cx="115570" cy="138430"/>
            <wp:effectExtent l="0" t="0" r="0" b="15240"/>
            <wp:docPr id="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spacing w:val="-4"/>
          <w:kern w:val="0"/>
          <w:sz w:val="24"/>
          <w:szCs w:val="20"/>
        </w:rPr>
        <w:t>≤</w:t>
      </w:r>
      <w:r>
        <w:rPr>
          <w:color w:val="auto"/>
          <w:spacing w:val="-4"/>
          <w:kern w:val="0"/>
          <w:position w:val="-6"/>
          <w:sz w:val="24"/>
          <w:szCs w:val="20"/>
        </w:rPr>
        <w:drawing>
          <wp:inline distT="0" distB="0" distL="0" distR="0">
            <wp:extent cx="322580" cy="184150"/>
            <wp:effectExtent l="0" t="0" r="1270" b="5080"/>
            <wp:docPr id="5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5"/>
                    <pic:cNvPicPr>
                      <a:picLocks noChangeAspect="1" noChangeArrowheads="1"/>
                    </pic:cNvPicPr>
                  </pic:nvPicPr>
                  <pic:blipFill>
                    <a:blip r:embed="rId110"/>
                    <a:srcRect/>
                    <a:stretch>
                      <a:fillRect/>
                    </a:stretch>
                  </pic:blipFill>
                  <pic:spPr>
                    <a:xfrm>
                      <a:off x="0" y="0"/>
                      <a:ext cx="322580" cy="184150"/>
                    </a:xfrm>
                    <a:prstGeom prst="rect">
                      <a:avLst/>
                    </a:prstGeom>
                    <a:noFill/>
                    <a:ln>
                      <a:noFill/>
                    </a:ln>
                  </pic:spPr>
                </pic:pic>
              </a:graphicData>
            </a:graphic>
          </wp:inline>
        </w:drawing>
      </w:r>
      <w:r>
        <w:rPr>
          <w:color w:val="auto"/>
          <w:spacing w:val="-4"/>
          <w:kern w:val="0"/>
          <w:sz w:val="24"/>
          <w:szCs w:val="20"/>
        </w:rPr>
        <w:t>，噪声传播途径中的声级值与距离无关，基本上没有明显衰减；</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当</w:t>
      </w:r>
      <w:r>
        <w:rPr>
          <w:color w:val="auto"/>
          <w:kern w:val="0"/>
          <w:position w:val="-6"/>
          <w:sz w:val="24"/>
          <w:szCs w:val="20"/>
        </w:rPr>
        <w:drawing>
          <wp:inline distT="0" distB="0" distL="0" distR="0">
            <wp:extent cx="322580" cy="184150"/>
            <wp:effectExtent l="0" t="0" r="1270" b="5080"/>
            <wp:docPr id="5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6"/>
                    <pic:cNvPicPr>
                      <a:picLocks noChangeAspect="1" noChangeArrowheads="1"/>
                    </pic:cNvPicPr>
                  </pic:nvPicPr>
                  <pic:blipFill>
                    <a:blip r:embed="rId110"/>
                    <a:srcRect/>
                    <a:stretch>
                      <a:fillRect/>
                    </a:stretch>
                  </pic:blipFill>
                  <pic:spPr>
                    <a:xfrm>
                      <a:off x="0" y="0"/>
                      <a:ext cx="322580" cy="184150"/>
                    </a:xfrm>
                    <a:prstGeom prst="rect">
                      <a:avLst/>
                    </a:prstGeom>
                    <a:noFill/>
                    <a:ln>
                      <a:noFill/>
                    </a:ln>
                  </pic:spPr>
                </pic:pic>
              </a:graphicData>
            </a:graphic>
          </wp:inline>
        </w:drawing>
      </w:r>
      <w:r>
        <w:rPr>
          <w:color w:val="auto"/>
          <w:kern w:val="0"/>
          <w:sz w:val="24"/>
          <w:szCs w:val="20"/>
        </w:rPr>
        <w:t>≤</w:t>
      </w:r>
      <w:r>
        <w:rPr>
          <w:color w:val="auto"/>
          <w:kern w:val="0"/>
          <w:position w:val="-4"/>
          <w:sz w:val="24"/>
          <w:szCs w:val="20"/>
        </w:rPr>
        <w:drawing>
          <wp:inline distT="0" distB="0" distL="0" distR="0">
            <wp:extent cx="115570" cy="138430"/>
            <wp:effectExtent l="0" t="0" r="0" b="15240"/>
            <wp:docPr id="6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7"/>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kern w:val="0"/>
          <w:sz w:val="24"/>
          <w:szCs w:val="20"/>
        </w:rPr>
        <w:t>≤</w:t>
      </w:r>
      <w:r>
        <w:rPr>
          <w:color w:val="auto"/>
          <w:kern w:val="0"/>
          <w:position w:val="-6"/>
          <w:sz w:val="24"/>
          <w:szCs w:val="20"/>
        </w:rPr>
        <w:drawing>
          <wp:inline distT="0" distB="0" distL="0" distR="0">
            <wp:extent cx="307340" cy="184150"/>
            <wp:effectExtent l="0" t="0" r="0" b="5080"/>
            <wp:docPr id="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8"/>
                    <pic:cNvPicPr>
                      <a:picLocks noChangeAspect="1" noChangeArrowheads="1"/>
                    </pic:cNvPicPr>
                  </pic:nvPicPr>
                  <pic:blipFill>
                    <a:blip r:embed="rId111"/>
                    <a:srcRect/>
                    <a:stretch>
                      <a:fillRect/>
                    </a:stretch>
                  </pic:blipFill>
                  <pic:spPr>
                    <a:xfrm>
                      <a:off x="0" y="0"/>
                      <a:ext cx="307340" cy="184150"/>
                    </a:xfrm>
                    <a:prstGeom prst="rect">
                      <a:avLst/>
                    </a:prstGeom>
                    <a:noFill/>
                    <a:ln>
                      <a:noFill/>
                    </a:ln>
                  </pic:spPr>
                </pic:pic>
              </a:graphicData>
            </a:graphic>
          </wp:inline>
        </w:drawing>
      </w:r>
      <w:r>
        <w:rPr>
          <w:color w:val="auto"/>
          <w:kern w:val="0"/>
          <w:sz w:val="24"/>
          <w:szCs w:val="20"/>
        </w:rPr>
        <w:t>时，声源面可近似退化为线源，声压级计算公式为：</w:t>
      </w:r>
    </w:p>
    <w:p>
      <w:pPr>
        <w:spacing w:line="360" w:lineRule="auto"/>
        <w:ind w:firstLine="480" w:firstLineChars="200"/>
        <w:jc w:val="center"/>
        <w:rPr>
          <w:color w:val="auto"/>
          <w:position w:val="-24"/>
          <w:sz w:val="24"/>
          <w:szCs w:val="28"/>
        </w:rPr>
      </w:pPr>
      <w:r>
        <w:rPr>
          <w:color w:val="auto"/>
          <w:position w:val="-24"/>
          <w:sz w:val="24"/>
          <w:szCs w:val="28"/>
        </w:rPr>
        <w:drawing>
          <wp:inline distT="0" distB="0" distL="0" distR="0">
            <wp:extent cx="1221740" cy="231775"/>
            <wp:effectExtent l="0" t="0" r="16510" b="16510"/>
            <wp:docPr id="6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9"/>
                    <pic:cNvPicPr>
                      <a:picLocks noChangeAspect="1" noChangeArrowheads="1"/>
                    </pic:cNvPicPr>
                  </pic:nvPicPr>
                  <pic:blipFill>
                    <a:blip r:embed="rId112"/>
                    <a:srcRect/>
                    <a:stretch>
                      <a:fillRect/>
                    </a:stretch>
                  </pic:blipFill>
                  <pic:spPr>
                    <a:xfrm>
                      <a:off x="0" y="0"/>
                      <a:ext cx="1221740" cy="231775"/>
                    </a:xfrm>
                    <a:prstGeom prst="rect">
                      <a:avLst/>
                    </a:prstGeom>
                    <a:noFill/>
                    <a:ln>
                      <a:noFill/>
                    </a:ln>
                  </pic:spPr>
                </pic:pic>
              </a:graphicData>
            </a:graphic>
          </wp:inline>
        </w:drawing>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当</w:t>
      </w:r>
      <w:r>
        <w:rPr>
          <w:color w:val="auto"/>
          <w:kern w:val="0"/>
          <w:position w:val="-4"/>
          <w:sz w:val="24"/>
          <w:szCs w:val="20"/>
        </w:rPr>
        <w:drawing>
          <wp:inline distT="0" distB="0" distL="0" distR="0">
            <wp:extent cx="115570" cy="138430"/>
            <wp:effectExtent l="0" t="0" r="0" b="15240"/>
            <wp:docPr id="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0"/>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kern w:val="0"/>
          <w:sz w:val="24"/>
          <w:szCs w:val="20"/>
        </w:rPr>
        <w:t>＞</w:t>
      </w:r>
      <w:r>
        <w:rPr>
          <w:color w:val="auto"/>
          <w:kern w:val="0"/>
          <w:position w:val="-6"/>
          <w:sz w:val="24"/>
          <w:szCs w:val="20"/>
        </w:rPr>
        <w:drawing>
          <wp:inline distT="0" distB="0" distL="0" distR="0">
            <wp:extent cx="307340" cy="184150"/>
            <wp:effectExtent l="0" t="0" r="0" b="5080"/>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1"/>
                    <pic:cNvPicPr>
                      <a:picLocks noChangeAspect="1" noChangeArrowheads="1"/>
                    </pic:cNvPicPr>
                  </pic:nvPicPr>
                  <pic:blipFill>
                    <a:blip r:embed="rId111"/>
                    <a:srcRect/>
                    <a:stretch>
                      <a:fillRect/>
                    </a:stretch>
                  </pic:blipFill>
                  <pic:spPr>
                    <a:xfrm>
                      <a:off x="0" y="0"/>
                      <a:ext cx="307340" cy="184150"/>
                    </a:xfrm>
                    <a:prstGeom prst="rect">
                      <a:avLst/>
                    </a:prstGeom>
                    <a:noFill/>
                    <a:ln>
                      <a:noFill/>
                    </a:ln>
                  </pic:spPr>
                </pic:pic>
              </a:graphicData>
            </a:graphic>
          </wp:inline>
        </w:drawing>
      </w:r>
      <w:r>
        <w:rPr>
          <w:color w:val="auto"/>
          <w:kern w:val="0"/>
          <w:sz w:val="24"/>
          <w:szCs w:val="20"/>
        </w:rPr>
        <w:t>时，可近似认为声源退化为一个点源，计算公式为：</w:t>
      </w:r>
    </w:p>
    <w:p>
      <w:pPr>
        <w:spacing w:line="360" w:lineRule="auto"/>
        <w:ind w:firstLine="480" w:firstLineChars="200"/>
        <w:jc w:val="center"/>
        <w:rPr>
          <w:color w:val="auto"/>
          <w:position w:val="-24"/>
          <w:sz w:val="24"/>
          <w:szCs w:val="28"/>
        </w:rPr>
      </w:pPr>
      <w:r>
        <w:rPr>
          <w:color w:val="auto"/>
          <w:position w:val="-24"/>
          <w:sz w:val="24"/>
          <w:szCs w:val="28"/>
        </w:rPr>
        <w:drawing>
          <wp:inline distT="0" distB="0" distL="0" distR="0">
            <wp:extent cx="1391920" cy="222250"/>
            <wp:effectExtent l="0" t="0" r="17780" b="5080"/>
            <wp:docPr id="6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
                    <pic:cNvPicPr>
                      <a:picLocks noChangeAspect="1" noChangeArrowheads="1"/>
                    </pic:cNvPicPr>
                  </pic:nvPicPr>
                  <pic:blipFill>
                    <a:blip r:embed="rId113"/>
                    <a:srcRect/>
                    <a:stretch>
                      <a:fillRect/>
                    </a:stretch>
                  </pic:blipFill>
                  <pic:spPr>
                    <a:xfrm>
                      <a:off x="0" y="0"/>
                      <a:ext cx="1391920" cy="222250"/>
                    </a:xfrm>
                    <a:prstGeom prst="rect">
                      <a:avLst/>
                    </a:prstGeom>
                    <a:noFill/>
                    <a:ln>
                      <a:noFill/>
                    </a:ln>
                  </pic:spPr>
                </pic:pic>
              </a:graphicData>
            </a:graphic>
          </wp:inline>
        </w:drawing>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式中：</w:t>
      </w:r>
      <w:r>
        <w:rPr>
          <w:color w:val="auto"/>
          <w:kern w:val="0"/>
          <w:position w:val="-10"/>
          <w:sz w:val="24"/>
          <w:szCs w:val="20"/>
        </w:rPr>
        <w:drawing>
          <wp:inline distT="0" distB="0" distL="0" distR="0">
            <wp:extent cx="184150" cy="222885"/>
            <wp:effectExtent l="0" t="0" r="6350" b="4445"/>
            <wp:docPr id="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3"/>
                    <pic:cNvPicPr>
                      <a:picLocks noChangeAspect="1" noChangeArrowheads="1"/>
                    </pic:cNvPicPr>
                  </pic:nvPicPr>
                  <pic:blipFill>
                    <a:blip r:embed="rId114"/>
                    <a:srcRect/>
                    <a:stretch>
                      <a:fillRect/>
                    </a:stretch>
                  </pic:blipFill>
                  <pic:spPr>
                    <a:xfrm>
                      <a:off x="0" y="0"/>
                      <a:ext cx="184150" cy="222885"/>
                    </a:xfrm>
                    <a:prstGeom prst="rect">
                      <a:avLst/>
                    </a:prstGeom>
                    <a:noFill/>
                    <a:ln>
                      <a:noFill/>
                    </a:ln>
                  </pic:spPr>
                </pic:pic>
              </a:graphicData>
            </a:graphic>
          </wp:inline>
        </w:drawing>
      </w:r>
      <w:r>
        <w:rPr>
          <w:color w:val="auto"/>
          <w:kern w:val="0"/>
          <w:sz w:val="24"/>
          <w:szCs w:val="20"/>
        </w:rPr>
        <w:t>—距噪声源距离为</w:t>
      </w:r>
      <w:r>
        <w:rPr>
          <w:color w:val="auto"/>
          <w:kern w:val="0"/>
          <w:position w:val="-4"/>
          <w:sz w:val="24"/>
          <w:szCs w:val="20"/>
        </w:rPr>
        <w:drawing>
          <wp:inline distT="0" distB="0" distL="0" distR="0">
            <wp:extent cx="115570" cy="138430"/>
            <wp:effectExtent l="0" t="0" r="0" b="15240"/>
            <wp:docPr id="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kern w:val="0"/>
          <w:sz w:val="24"/>
          <w:szCs w:val="20"/>
        </w:rPr>
        <w:t>处声级值，[dB(A)]；</w:t>
      </w:r>
    </w:p>
    <w:p>
      <w:pPr>
        <w:adjustRightInd w:val="0"/>
        <w:snapToGrid w:val="0"/>
        <w:spacing w:line="360" w:lineRule="auto"/>
        <w:ind w:firstLine="480" w:firstLineChars="200"/>
        <w:textAlignment w:val="baseline"/>
        <w:rPr>
          <w:color w:val="auto"/>
          <w:kern w:val="0"/>
          <w:sz w:val="24"/>
          <w:szCs w:val="20"/>
        </w:rPr>
      </w:pPr>
      <w:r>
        <w:rPr>
          <w:color w:val="auto"/>
          <w:kern w:val="0"/>
          <w:position w:val="-12"/>
          <w:sz w:val="24"/>
          <w:szCs w:val="20"/>
        </w:rPr>
        <w:drawing>
          <wp:inline distT="0" distB="0" distL="0" distR="0">
            <wp:extent cx="184150" cy="230505"/>
            <wp:effectExtent l="0" t="0" r="6350" b="17780"/>
            <wp:docPr id="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5"/>
                    <pic:cNvPicPr>
                      <a:picLocks noChangeAspect="1" noChangeArrowheads="1"/>
                    </pic:cNvPicPr>
                  </pic:nvPicPr>
                  <pic:blipFill>
                    <a:blip r:embed="rId115"/>
                    <a:srcRect/>
                    <a:stretch>
                      <a:fillRect/>
                    </a:stretch>
                  </pic:blipFill>
                  <pic:spPr>
                    <a:xfrm>
                      <a:off x="0" y="0"/>
                      <a:ext cx="184150" cy="230505"/>
                    </a:xfrm>
                    <a:prstGeom prst="rect">
                      <a:avLst/>
                    </a:prstGeom>
                    <a:noFill/>
                    <a:ln>
                      <a:noFill/>
                    </a:ln>
                  </pic:spPr>
                </pic:pic>
              </a:graphicData>
            </a:graphic>
          </wp:inline>
        </w:drawing>
      </w:r>
      <w:r>
        <w:rPr>
          <w:color w:val="auto"/>
          <w:kern w:val="0"/>
          <w:sz w:val="24"/>
          <w:szCs w:val="20"/>
        </w:rPr>
        <w:t>—距噪声源距离为</w:t>
      </w:r>
      <w:r>
        <w:rPr>
          <w:color w:val="auto"/>
          <w:kern w:val="0"/>
          <w:position w:val="-12"/>
          <w:sz w:val="24"/>
          <w:szCs w:val="20"/>
        </w:rPr>
        <w:drawing>
          <wp:inline distT="0" distB="0" distL="0" distR="0">
            <wp:extent cx="138430" cy="230505"/>
            <wp:effectExtent l="0" t="0" r="13970" b="17780"/>
            <wp:docPr id="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6"/>
                    <pic:cNvPicPr>
                      <a:picLocks noChangeAspect="1" noChangeArrowheads="1"/>
                    </pic:cNvPicPr>
                  </pic:nvPicPr>
                  <pic:blipFill>
                    <a:blip r:embed="rId116"/>
                    <a:srcRect/>
                    <a:stretch>
                      <a:fillRect/>
                    </a:stretch>
                  </pic:blipFill>
                  <pic:spPr>
                    <a:xfrm>
                      <a:off x="0" y="0"/>
                      <a:ext cx="138430" cy="230505"/>
                    </a:xfrm>
                    <a:prstGeom prst="rect">
                      <a:avLst/>
                    </a:prstGeom>
                    <a:noFill/>
                    <a:ln>
                      <a:noFill/>
                    </a:ln>
                  </pic:spPr>
                </pic:pic>
              </a:graphicData>
            </a:graphic>
          </wp:inline>
        </w:drawing>
      </w:r>
      <w:r>
        <w:rPr>
          <w:color w:val="auto"/>
          <w:kern w:val="0"/>
          <w:sz w:val="24"/>
          <w:szCs w:val="20"/>
        </w:rPr>
        <w:t>处声级值，[dB(A)]；</w:t>
      </w:r>
    </w:p>
    <w:p>
      <w:pPr>
        <w:adjustRightInd w:val="0"/>
        <w:snapToGrid w:val="0"/>
        <w:spacing w:line="360" w:lineRule="auto"/>
        <w:ind w:firstLine="480" w:firstLineChars="200"/>
        <w:textAlignment w:val="baseline"/>
        <w:rPr>
          <w:color w:val="auto"/>
          <w:kern w:val="0"/>
          <w:sz w:val="24"/>
          <w:szCs w:val="20"/>
        </w:rPr>
      </w:pPr>
      <w:r>
        <w:rPr>
          <w:color w:val="auto"/>
          <w:kern w:val="0"/>
          <w:position w:val="-4"/>
          <w:sz w:val="24"/>
          <w:szCs w:val="20"/>
        </w:rPr>
        <w:drawing>
          <wp:inline distT="0" distB="0" distL="0" distR="0">
            <wp:extent cx="115570" cy="138430"/>
            <wp:effectExtent l="0" t="0" r="0" b="15240"/>
            <wp:docPr id="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7"/>
                    <pic:cNvPicPr>
                      <a:picLocks noChangeAspect="1" noChangeArrowheads="1"/>
                    </pic:cNvPicPr>
                  </pic:nvPicPr>
                  <pic:blipFill>
                    <a:blip r:embed="rId107"/>
                    <a:srcRect/>
                    <a:stretch>
                      <a:fillRect/>
                    </a:stretch>
                  </pic:blipFill>
                  <pic:spPr>
                    <a:xfrm>
                      <a:off x="0" y="0"/>
                      <a:ext cx="115570" cy="138430"/>
                    </a:xfrm>
                    <a:prstGeom prst="rect">
                      <a:avLst/>
                    </a:prstGeom>
                    <a:noFill/>
                    <a:ln>
                      <a:noFill/>
                    </a:ln>
                  </pic:spPr>
                </pic:pic>
              </a:graphicData>
            </a:graphic>
          </wp:inline>
        </w:drawing>
      </w:r>
      <w:r>
        <w:rPr>
          <w:color w:val="auto"/>
          <w:kern w:val="0"/>
          <w:sz w:val="24"/>
          <w:szCs w:val="20"/>
        </w:rPr>
        <w:t>—关心点距噪声源距离，m；</w:t>
      </w:r>
    </w:p>
    <w:p>
      <w:pPr>
        <w:adjustRightInd w:val="0"/>
        <w:snapToGrid w:val="0"/>
        <w:spacing w:line="360" w:lineRule="auto"/>
        <w:ind w:firstLine="480" w:firstLineChars="200"/>
        <w:textAlignment w:val="baseline"/>
        <w:rPr>
          <w:color w:val="auto"/>
          <w:kern w:val="0"/>
          <w:sz w:val="24"/>
          <w:szCs w:val="20"/>
        </w:rPr>
      </w:pPr>
      <w:r>
        <w:rPr>
          <w:color w:val="auto"/>
          <w:kern w:val="0"/>
          <w:position w:val="-12"/>
          <w:sz w:val="24"/>
          <w:szCs w:val="20"/>
        </w:rPr>
        <w:drawing>
          <wp:inline distT="0" distB="0" distL="0" distR="0">
            <wp:extent cx="138430" cy="230505"/>
            <wp:effectExtent l="0" t="0" r="13970" b="17780"/>
            <wp:docPr id="7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8"/>
                    <pic:cNvPicPr>
                      <a:picLocks noChangeAspect="1" noChangeArrowheads="1"/>
                    </pic:cNvPicPr>
                  </pic:nvPicPr>
                  <pic:blipFill>
                    <a:blip r:embed="rId116"/>
                    <a:srcRect/>
                    <a:stretch>
                      <a:fillRect/>
                    </a:stretch>
                  </pic:blipFill>
                  <pic:spPr>
                    <a:xfrm>
                      <a:off x="0" y="0"/>
                      <a:ext cx="138430" cy="230505"/>
                    </a:xfrm>
                    <a:prstGeom prst="rect">
                      <a:avLst/>
                    </a:prstGeom>
                    <a:noFill/>
                    <a:ln>
                      <a:noFill/>
                    </a:ln>
                  </pic:spPr>
                </pic:pic>
              </a:graphicData>
            </a:graphic>
          </wp:inline>
        </w:drawing>
      </w:r>
      <w:r>
        <w:rPr>
          <w:color w:val="auto"/>
          <w:kern w:val="0"/>
          <w:sz w:val="24"/>
          <w:szCs w:val="20"/>
        </w:rPr>
        <w:t>—距噪声源距离，</w:t>
      </w:r>
      <w:r>
        <w:rPr>
          <w:color w:val="auto"/>
          <w:kern w:val="0"/>
          <w:position w:val="-12"/>
          <w:sz w:val="24"/>
          <w:szCs w:val="20"/>
        </w:rPr>
        <w:drawing>
          <wp:inline distT="0" distB="0" distL="0" distR="0">
            <wp:extent cx="138430" cy="230505"/>
            <wp:effectExtent l="0" t="0" r="13970" b="17780"/>
            <wp:docPr id="7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9"/>
                    <pic:cNvPicPr>
                      <a:picLocks noChangeAspect="1" noChangeArrowheads="1"/>
                    </pic:cNvPicPr>
                  </pic:nvPicPr>
                  <pic:blipFill>
                    <a:blip r:embed="rId116"/>
                    <a:srcRect/>
                    <a:stretch>
                      <a:fillRect/>
                    </a:stretch>
                  </pic:blipFill>
                  <pic:spPr>
                    <a:xfrm>
                      <a:off x="0" y="0"/>
                      <a:ext cx="138430" cy="230505"/>
                    </a:xfrm>
                    <a:prstGeom prst="rect">
                      <a:avLst/>
                    </a:prstGeom>
                    <a:noFill/>
                    <a:ln>
                      <a:noFill/>
                    </a:ln>
                  </pic:spPr>
                </pic:pic>
              </a:graphicData>
            </a:graphic>
          </wp:inline>
        </w:drawing>
      </w:r>
      <w:r>
        <w:rPr>
          <w:color w:val="auto"/>
          <w:kern w:val="0"/>
          <w:sz w:val="24"/>
          <w:szCs w:val="20"/>
        </w:rPr>
        <w:t>取1m。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预测时，根据判定结果，取合适公式进行预测。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（2）室内声源等效室外声源声功率计算</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噪声声源位于室内，室内声源可采用等效室外声源声功率级法进行计算。设靠近开口处</w:t>
      </w:r>
      <w:r>
        <w:rPr>
          <w:rFonts w:hint="eastAsia"/>
          <w:color w:val="auto"/>
          <w:kern w:val="0"/>
          <w:sz w:val="24"/>
          <w:szCs w:val="20"/>
          <w:lang w:eastAsia="zh-CN"/>
        </w:rPr>
        <w:t>（</w:t>
      </w:r>
      <w:r>
        <w:rPr>
          <w:color w:val="auto"/>
          <w:kern w:val="0"/>
          <w:sz w:val="24"/>
          <w:szCs w:val="20"/>
        </w:rPr>
        <w:t>或窗户</w:t>
      </w:r>
      <w:r>
        <w:rPr>
          <w:rFonts w:hint="eastAsia"/>
          <w:color w:val="auto"/>
          <w:kern w:val="0"/>
          <w:sz w:val="24"/>
          <w:szCs w:val="20"/>
          <w:lang w:eastAsia="zh-CN"/>
        </w:rPr>
        <w:t>）</w:t>
      </w:r>
      <w:r>
        <w:rPr>
          <w:color w:val="auto"/>
          <w:kern w:val="0"/>
          <w:sz w:val="24"/>
          <w:szCs w:val="20"/>
        </w:rPr>
        <w:t>室内、室外某倍频带的声压级分别为</w:t>
      </w:r>
      <w:r>
        <w:rPr>
          <w:i/>
          <w:iCs/>
          <w:color w:val="auto"/>
          <w:kern w:val="0"/>
          <w:sz w:val="24"/>
          <w:szCs w:val="20"/>
        </w:rPr>
        <w:t>L</w:t>
      </w:r>
      <w:r>
        <w:rPr>
          <w:i/>
          <w:iCs/>
          <w:color w:val="auto"/>
          <w:kern w:val="0"/>
          <w:sz w:val="24"/>
          <w:szCs w:val="20"/>
          <w:vertAlign w:val="subscript"/>
        </w:rPr>
        <w:t>p1</w:t>
      </w:r>
      <w:r>
        <w:rPr>
          <w:color w:val="auto"/>
          <w:kern w:val="0"/>
          <w:sz w:val="24"/>
          <w:szCs w:val="20"/>
        </w:rPr>
        <w:t>和</w:t>
      </w:r>
      <w:r>
        <w:rPr>
          <w:i/>
          <w:iCs/>
          <w:color w:val="auto"/>
          <w:kern w:val="0"/>
          <w:sz w:val="24"/>
          <w:szCs w:val="20"/>
        </w:rPr>
        <w:t>L</w:t>
      </w:r>
      <w:r>
        <w:rPr>
          <w:i/>
          <w:iCs/>
          <w:color w:val="auto"/>
          <w:kern w:val="0"/>
          <w:sz w:val="24"/>
          <w:szCs w:val="20"/>
          <w:vertAlign w:val="subscript"/>
        </w:rPr>
        <w:t>p2</w:t>
      </w:r>
      <w:r>
        <w:rPr>
          <w:color w:val="auto"/>
          <w:kern w:val="0"/>
          <w:sz w:val="24"/>
          <w:szCs w:val="20"/>
        </w:rPr>
        <w:t>。若声源所在室内声场为近似扩散声场，则室外的倍频带声压级可按公式近似求出</w:t>
      </w:r>
      <w:r>
        <w:rPr>
          <w:rFonts w:hint="eastAsia"/>
          <w:color w:val="auto"/>
          <w:kern w:val="0"/>
          <w:sz w:val="24"/>
          <w:szCs w:val="20"/>
          <w:lang w:eastAsia="zh-CN"/>
        </w:rPr>
        <w:t>：</w:t>
      </w:r>
    </w:p>
    <w:p>
      <w:pPr>
        <w:spacing w:line="360" w:lineRule="auto"/>
        <w:jc w:val="center"/>
        <w:rPr>
          <w:color w:val="auto"/>
          <w:position w:val="-24"/>
          <w:sz w:val="24"/>
          <w:szCs w:val="28"/>
        </w:rPr>
      </w:pPr>
      <w:r>
        <w:rPr>
          <w:color w:val="auto"/>
          <w:position w:val="-24"/>
          <w:sz w:val="24"/>
          <w:szCs w:val="28"/>
        </w:rPr>
        <w:t>L</w:t>
      </w:r>
      <w:r>
        <w:rPr>
          <w:color w:val="auto"/>
          <w:position w:val="-24"/>
          <w:sz w:val="24"/>
          <w:szCs w:val="28"/>
          <w:vertAlign w:val="subscript"/>
        </w:rPr>
        <w:t>p2</w:t>
      </w:r>
      <w:r>
        <w:rPr>
          <w:color w:val="auto"/>
          <w:position w:val="-24"/>
          <w:sz w:val="24"/>
          <w:szCs w:val="28"/>
        </w:rPr>
        <w:t>=L</w:t>
      </w:r>
      <w:r>
        <w:rPr>
          <w:color w:val="auto"/>
          <w:position w:val="-24"/>
          <w:sz w:val="24"/>
          <w:szCs w:val="28"/>
          <w:vertAlign w:val="subscript"/>
        </w:rPr>
        <w:t>p1</w:t>
      </w:r>
      <w:r>
        <w:rPr>
          <w:color w:val="auto"/>
          <w:position w:val="-24"/>
          <w:sz w:val="24"/>
          <w:szCs w:val="28"/>
        </w:rPr>
        <w:t>-(TL+6)</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式中：</w:t>
      </w:r>
      <w:r>
        <w:rPr>
          <w:i/>
          <w:iCs/>
          <w:color w:val="auto"/>
          <w:kern w:val="0"/>
          <w:sz w:val="24"/>
          <w:szCs w:val="20"/>
        </w:rPr>
        <w:t>TL</w:t>
      </w:r>
      <w:r>
        <w:rPr>
          <w:color w:val="auto"/>
          <w:kern w:val="0"/>
          <w:sz w:val="24"/>
          <w:szCs w:val="20"/>
        </w:rPr>
        <w:t>一隔墙</w:t>
      </w:r>
      <w:r>
        <w:rPr>
          <w:rFonts w:hint="eastAsia"/>
          <w:color w:val="auto"/>
          <w:kern w:val="0"/>
          <w:sz w:val="24"/>
          <w:szCs w:val="20"/>
          <w:lang w:eastAsia="zh-CN"/>
        </w:rPr>
        <w:t>（</w:t>
      </w:r>
      <w:r>
        <w:rPr>
          <w:color w:val="auto"/>
          <w:kern w:val="0"/>
          <w:sz w:val="24"/>
          <w:szCs w:val="20"/>
        </w:rPr>
        <w:t>或窗户</w:t>
      </w:r>
      <w:r>
        <w:rPr>
          <w:rFonts w:hint="eastAsia"/>
          <w:color w:val="auto"/>
          <w:kern w:val="0"/>
          <w:sz w:val="24"/>
          <w:szCs w:val="20"/>
          <w:lang w:eastAsia="zh-CN"/>
        </w:rPr>
        <w:t>）</w:t>
      </w:r>
      <w:r>
        <w:rPr>
          <w:color w:val="auto"/>
          <w:kern w:val="0"/>
          <w:sz w:val="24"/>
          <w:szCs w:val="20"/>
        </w:rPr>
        <w:t>倍频带的隔声量，dB。</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（3）噪声源叠加影响分析方法</w:t>
      </w:r>
    </w:p>
    <w:p>
      <w:pPr>
        <w:spacing w:before="120" w:beforeLines="50"/>
        <w:jc w:val="center"/>
        <w:rPr>
          <w:color w:val="auto"/>
          <w:position w:val="-24"/>
          <w:sz w:val="24"/>
          <w:szCs w:val="28"/>
        </w:rPr>
      </w:pPr>
      <w:r>
        <w:rPr>
          <w:color w:val="auto"/>
          <w:position w:val="-24"/>
          <w:sz w:val="24"/>
          <w:szCs w:val="28"/>
        </w:rPr>
        <w:drawing>
          <wp:inline distT="0" distB="0" distL="0" distR="0">
            <wp:extent cx="1183640" cy="427990"/>
            <wp:effectExtent l="0" t="0" r="16510" b="10795"/>
            <wp:docPr id="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1"/>
                    <pic:cNvPicPr>
                      <a:picLocks noChangeAspect="1" noChangeArrowheads="1"/>
                    </pic:cNvPicPr>
                  </pic:nvPicPr>
                  <pic:blipFill>
                    <a:blip r:embed="rId117"/>
                    <a:srcRect/>
                    <a:stretch>
                      <a:fillRect/>
                    </a:stretch>
                  </pic:blipFill>
                  <pic:spPr>
                    <a:xfrm>
                      <a:off x="0" y="0"/>
                      <a:ext cx="1183640" cy="427990"/>
                    </a:xfrm>
                    <a:prstGeom prst="rect">
                      <a:avLst/>
                    </a:prstGeom>
                    <a:noFill/>
                    <a:ln>
                      <a:noFill/>
                    </a:ln>
                  </pic:spPr>
                </pic:pic>
              </a:graphicData>
            </a:graphic>
          </wp:inline>
        </w:drawing>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式中：</w:t>
      </w:r>
      <w:r>
        <w:rPr>
          <w:color w:val="auto"/>
          <w:kern w:val="0"/>
          <w:position w:val="-4"/>
          <w:sz w:val="24"/>
          <w:szCs w:val="20"/>
        </w:rPr>
        <w:drawing>
          <wp:inline distT="0" distB="0" distL="0" distR="0">
            <wp:extent cx="138430" cy="168910"/>
            <wp:effectExtent l="0" t="0" r="13970" b="1905"/>
            <wp:docPr id="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2"/>
                    <pic:cNvPicPr>
                      <a:picLocks noChangeAspect="1" noChangeArrowheads="1"/>
                    </pic:cNvPicPr>
                  </pic:nvPicPr>
                  <pic:blipFill>
                    <a:blip r:embed="rId118"/>
                    <a:srcRect/>
                    <a:stretch>
                      <a:fillRect/>
                    </a:stretch>
                  </pic:blipFill>
                  <pic:spPr>
                    <a:xfrm>
                      <a:off x="0" y="0"/>
                      <a:ext cx="138430" cy="168910"/>
                    </a:xfrm>
                    <a:prstGeom prst="rect">
                      <a:avLst/>
                    </a:prstGeom>
                    <a:noFill/>
                    <a:ln>
                      <a:noFill/>
                    </a:ln>
                  </pic:spPr>
                </pic:pic>
              </a:graphicData>
            </a:graphic>
          </wp:inline>
        </w:drawing>
      </w:r>
      <w:r>
        <w:rPr>
          <w:color w:val="auto"/>
          <w:kern w:val="0"/>
          <w:sz w:val="24"/>
          <w:szCs w:val="20"/>
        </w:rPr>
        <w:t>—总声压级，[dB(A)]；</w:t>
      </w:r>
    </w:p>
    <w:p>
      <w:pPr>
        <w:adjustRightInd w:val="0"/>
        <w:snapToGrid w:val="0"/>
        <w:spacing w:line="360" w:lineRule="auto"/>
        <w:ind w:firstLine="1200" w:firstLineChars="500"/>
        <w:textAlignment w:val="baseline"/>
        <w:rPr>
          <w:color w:val="auto"/>
          <w:kern w:val="0"/>
          <w:sz w:val="24"/>
          <w:szCs w:val="20"/>
        </w:rPr>
      </w:pPr>
      <w:r>
        <w:rPr>
          <w:color w:val="auto"/>
          <w:kern w:val="0"/>
          <w:position w:val="-12"/>
          <w:sz w:val="24"/>
          <w:szCs w:val="20"/>
        </w:rPr>
        <w:drawing>
          <wp:inline distT="0" distB="0" distL="0" distR="0">
            <wp:extent cx="168910" cy="230505"/>
            <wp:effectExtent l="0" t="0" r="2540" b="17780"/>
            <wp:docPr id="7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3"/>
                    <pic:cNvPicPr>
                      <a:picLocks noChangeAspect="1" noChangeArrowheads="1"/>
                    </pic:cNvPicPr>
                  </pic:nvPicPr>
                  <pic:blipFill>
                    <a:blip r:embed="rId119"/>
                    <a:srcRect/>
                    <a:stretch>
                      <a:fillRect/>
                    </a:stretch>
                  </pic:blipFill>
                  <pic:spPr>
                    <a:xfrm>
                      <a:off x="0" y="0"/>
                      <a:ext cx="168910" cy="230505"/>
                    </a:xfrm>
                    <a:prstGeom prst="rect">
                      <a:avLst/>
                    </a:prstGeom>
                    <a:noFill/>
                    <a:ln>
                      <a:noFill/>
                    </a:ln>
                  </pic:spPr>
                </pic:pic>
              </a:graphicData>
            </a:graphic>
          </wp:inline>
        </w:drawing>
      </w:r>
      <w:r>
        <w:rPr>
          <w:color w:val="auto"/>
          <w:kern w:val="0"/>
          <w:sz w:val="24"/>
          <w:szCs w:val="20"/>
        </w:rPr>
        <w:t>—第</w:t>
      </w:r>
      <w:r>
        <w:rPr>
          <w:color w:val="auto"/>
          <w:kern w:val="0"/>
          <w:position w:val="-6"/>
          <w:sz w:val="24"/>
          <w:szCs w:val="20"/>
        </w:rPr>
        <w:drawing>
          <wp:inline distT="0" distB="0" distL="0" distR="0">
            <wp:extent cx="99695" cy="168910"/>
            <wp:effectExtent l="0" t="0" r="14605" b="1905"/>
            <wp:docPr id="7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4"/>
                    <pic:cNvPicPr>
                      <a:picLocks noChangeAspect="1" noChangeArrowheads="1"/>
                    </pic:cNvPicPr>
                  </pic:nvPicPr>
                  <pic:blipFill>
                    <a:blip r:embed="rId120"/>
                    <a:srcRect/>
                    <a:stretch>
                      <a:fillRect/>
                    </a:stretch>
                  </pic:blipFill>
                  <pic:spPr>
                    <a:xfrm>
                      <a:off x="0" y="0"/>
                      <a:ext cx="99695" cy="168910"/>
                    </a:xfrm>
                    <a:prstGeom prst="rect">
                      <a:avLst/>
                    </a:prstGeom>
                    <a:noFill/>
                    <a:ln>
                      <a:noFill/>
                    </a:ln>
                  </pic:spPr>
                </pic:pic>
              </a:graphicData>
            </a:graphic>
          </wp:inline>
        </w:drawing>
      </w:r>
      <w:r>
        <w:rPr>
          <w:color w:val="auto"/>
          <w:kern w:val="0"/>
          <w:sz w:val="24"/>
          <w:szCs w:val="20"/>
        </w:rPr>
        <w:t>个声源的声压级，[dB(A)]；</w:t>
      </w:r>
    </w:p>
    <w:p>
      <w:pPr>
        <w:adjustRightInd w:val="0"/>
        <w:snapToGrid w:val="0"/>
        <w:spacing w:line="360" w:lineRule="auto"/>
        <w:ind w:firstLine="1200" w:firstLineChars="500"/>
        <w:textAlignment w:val="baseline"/>
        <w:rPr>
          <w:color w:val="auto"/>
          <w:kern w:val="0"/>
          <w:sz w:val="24"/>
          <w:szCs w:val="20"/>
        </w:rPr>
      </w:pPr>
      <w:r>
        <w:rPr>
          <w:color w:val="auto"/>
          <w:kern w:val="0"/>
          <w:position w:val="-6"/>
          <w:sz w:val="24"/>
          <w:szCs w:val="20"/>
        </w:rPr>
        <w:drawing>
          <wp:inline distT="0" distB="0" distL="0" distR="0">
            <wp:extent cx="138430" cy="138430"/>
            <wp:effectExtent l="0" t="0" r="13970" b="14605"/>
            <wp:docPr id="7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5"/>
                    <pic:cNvPicPr>
                      <a:picLocks noChangeAspect="1" noChangeArrowheads="1"/>
                    </pic:cNvPicPr>
                  </pic:nvPicPr>
                  <pic:blipFill>
                    <a:blip r:embed="rId121"/>
                    <a:srcRect/>
                    <a:stretch>
                      <a:fillRect/>
                    </a:stretch>
                  </pic:blipFill>
                  <pic:spPr>
                    <a:xfrm>
                      <a:off x="0" y="0"/>
                      <a:ext cx="138430" cy="138430"/>
                    </a:xfrm>
                    <a:prstGeom prst="rect">
                      <a:avLst/>
                    </a:prstGeom>
                    <a:noFill/>
                    <a:ln>
                      <a:noFill/>
                    </a:ln>
                  </pic:spPr>
                </pic:pic>
              </a:graphicData>
            </a:graphic>
          </wp:inline>
        </w:drawing>
      </w:r>
      <w:r>
        <w:rPr>
          <w:color w:val="auto"/>
          <w:kern w:val="0"/>
          <w:sz w:val="24"/>
          <w:szCs w:val="20"/>
        </w:rPr>
        <w:t>—声源数量。</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（4）户外声传播衰减计算公式</w:t>
      </w:r>
    </w:p>
    <w:p>
      <w:pPr>
        <w:spacing w:line="360" w:lineRule="auto"/>
        <w:jc w:val="center"/>
        <w:rPr>
          <w:color w:val="auto"/>
          <w:position w:val="-24"/>
          <w:sz w:val="24"/>
          <w:szCs w:val="28"/>
        </w:rPr>
      </w:pPr>
      <w:r>
        <w:rPr>
          <w:color w:val="auto"/>
          <w:position w:val="-24"/>
          <w:sz w:val="24"/>
          <w:szCs w:val="28"/>
        </w:rPr>
        <w:t>L( r )=L</w:t>
      </w:r>
      <w:r>
        <w:rPr>
          <w:color w:val="auto"/>
          <w:position w:val="-24"/>
          <w:sz w:val="24"/>
          <w:szCs w:val="28"/>
          <w:vertAlign w:val="subscript"/>
        </w:rPr>
        <w:t xml:space="preserve"> ref </w:t>
      </w:r>
      <w:r>
        <w:rPr>
          <w:color w:val="auto"/>
          <w:position w:val="-24"/>
          <w:sz w:val="24"/>
          <w:szCs w:val="28"/>
        </w:rPr>
        <w:t>(r</w:t>
      </w:r>
      <w:r>
        <w:rPr>
          <w:color w:val="auto"/>
          <w:position w:val="-24"/>
          <w:sz w:val="24"/>
          <w:szCs w:val="28"/>
          <w:vertAlign w:val="subscript"/>
        </w:rPr>
        <w:t>0</w:t>
      </w:r>
      <w:r>
        <w:rPr>
          <w:color w:val="auto"/>
          <w:position w:val="-24"/>
          <w:sz w:val="24"/>
          <w:szCs w:val="28"/>
        </w:rPr>
        <w:t>)-(A</w:t>
      </w:r>
      <w:r>
        <w:rPr>
          <w:color w:val="auto"/>
          <w:position w:val="-24"/>
          <w:sz w:val="24"/>
          <w:szCs w:val="28"/>
          <w:vertAlign w:val="subscript"/>
        </w:rPr>
        <w:t>div</w:t>
      </w:r>
      <w:r>
        <w:rPr>
          <w:color w:val="auto"/>
          <w:position w:val="-24"/>
          <w:sz w:val="24"/>
          <w:szCs w:val="28"/>
        </w:rPr>
        <w:t>+A</w:t>
      </w:r>
      <w:r>
        <w:rPr>
          <w:color w:val="auto"/>
          <w:position w:val="-24"/>
          <w:sz w:val="24"/>
          <w:szCs w:val="28"/>
          <w:vertAlign w:val="subscript"/>
        </w:rPr>
        <w:t>bar</w:t>
      </w:r>
      <w:r>
        <w:rPr>
          <w:color w:val="auto"/>
          <w:position w:val="-24"/>
          <w:sz w:val="24"/>
          <w:szCs w:val="28"/>
        </w:rPr>
        <w:t>+A</w:t>
      </w:r>
      <w:r>
        <w:rPr>
          <w:color w:val="auto"/>
          <w:position w:val="-24"/>
          <w:sz w:val="24"/>
          <w:szCs w:val="28"/>
          <w:vertAlign w:val="subscript"/>
        </w:rPr>
        <w:t>atm</w:t>
      </w:r>
      <w:r>
        <w:rPr>
          <w:color w:val="auto"/>
          <w:position w:val="-24"/>
          <w:sz w:val="24"/>
          <w:szCs w:val="28"/>
        </w:rPr>
        <w:t>+A</w:t>
      </w:r>
      <w:r>
        <w:rPr>
          <w:color w:val="auto"/>
          <w:position w:val="-24"/>
          <w:sz w:val="24"/>
          <w:szCs w:val="28"/>
          <w:vertAlign w:val="subscript"/>
        </w:rPr>
        <w:t xml:space="preserve"> exe</w:t>
      </w:r>
      <w:r>
        <w:rPr>
          <w:color w:val="auto"/>
          <w:position w:val="-24"/>
          <w:sz w:val="24"/>
          <w:szCs w:val="28"/>
        </w:rPr>
        <w:t>)</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式中：A</w:t>
      </w:r>
      <w:r>
        <w:rPr>
          <w:color w:val="auto"/>
          <w:kern w:val="0"/>
          <w:sz w:val="24"/>
          <w:szCs w:val="20"/>
          <w:vertAlign w:val="subscript"/>
        </w:rPr>
        <w:t xml:space="preserve"> div</w:t>
      </w:r>
      <w:r>
        <w:rPr>
          <w:color w:val="auto"/>
          <w:kern w:val="0"/>
          <w:sz w:val="24"/>
          <w:szCs w:val="20"/>
          <w:vertAlign w:val="subscript"/>
        </w:rPr>
        <w:softHyphen/>
      </w:r>
      <w:r>
        <w:rPr>
          <w:color w:val="auto"/>
          <w:kern w:val="0"/>
          <w:sz w:val="24"/>
          <w:szCs w:val="20"/>
        </w:rPr>
        <w:t>—几何发散；</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A</w:t>
      </w:r>
      <w:r>
        <w:rPr>
          <w:color w:val="auto"/>
          <w:kern w:val="0"/>
          <w:sz w:val="24"/>
          <w:szCs w:val="20"/>
          <w:vertAlign w:val="subscript"/>
        </w:rPr>
        <w:t xml:space="preserve">bar </w:t>
      </w:r>
      <w:r>
        <w:rPr>
          <w:color w:val="auto"/>
          <w:kern w:val="0"/>
          <w:sz w:val="24"/>
          <w:szCs w:val="20"/>
          <w:vertAlign w:val="subscript"/>
        </w:rPr>
        <w:softHyphen/>
      </w:r>
      <w:r>
        <w:rPr>
          <w:color w:val="auto"/>
          <w:kern w:val="0"/>
          <w:sz w:val="24"/>
          <w:szCs w:val="20"/>
        </w:rPr>
        <w:t>—遮挡物衰减；</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A</w:t>
      </w:r>
      <w:r>
        <w:rPr>
          <w:color w:val="auto"/>
          <w:kern w:val="0"/>
          <w:sz w:val="24"/>
          <w:szCs w:val="20"/>
          <w:vertAlign w:val="subscript"/>
        </w:rPr>
        <w:t>atm</w:t>
      </w:r>
      <w:r>
        <w:rPr>
          <w:color w:val="auto"/>
          <w:kern w:val="0"/>
          <w:sz w:val="24"/>
          <w:szCs w:val="20"/>
        </w:rPr>
        <w:t>—大气吸收；</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A</w:t>
      </w:r>
      <w:r>
        <w:rPr>
          <w:color w:val="auto"/>
          <w:kern w:val="0"/>
          <w:sz w:val="24"/>
          <w:szCs w:val="20"/>
          <w:vertAlign w:val="subscript"/>
        </w:rPr>
        <w:t>exe</w:t>
      </w:r>
      <w:r>
        <w:rPr>
          <w:color w:val="auto"/>
          <w:kern w:val="0"/>
          <w:sz w:val="24"/>
          <w:szCs w:val="20"/>
        </w:rPr>
        <w:t>—附加衰减；</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5.3.</w:t>
      </w:r>
      <w:r>
        <w:rPr>
          <w:rFonts w:hint="eastAsia"/>
          <w:bCs w:val="0"/>
          <w:color w:val="auto"/>
          <w:kern w:val="21"/>
          <w:sz w:val="28"/>
          <w:szCs w:val="28"/>
        </w:rPr>
        <w:t>6</w:t>
      </w:r>
      <w:r>
        <w:rPr>
          <w:bCs w:val="0"/>
          <w:color w:val="auto"/>
          <w:kern w:val="21"/>
          <w:sz w:val="28"/>
          <w:szCs w:val="28"/>
        </w:rPr>
        <w:t>厂界预测结果及评价</w:t>
      </w:r>
    </w:p>
    <w:p>
      <w:pPr>
        <w:adjustRightInd w:val="0"/>
        <w:snapToGrid w:val="0"/>
        <w:spacing w:line="360" w:lineRule="auto"/>
        <w:ind w:firstLine="480" w:firstLineChars="200"/>
        <w:textAlignment w:val="baseline"/>
        <w:rPr>
          <w:bCs/>
          <w:color w:val="auto"/>
          <w:kern w:val="0"/>
          <w:sz w:val="24"/>
        </w:rPr>
      </w:pPr>
      <w:r>
        <w:rPr>
          <w:bCs/>
          <w:color w:val="auto"/>
          <w:kern w:val="0"/>
          <w:sz w:val="24"/>
        </w:rPr>
        <w:t>本项目噪声预测结果见表</w:t>
      </w:r>
      <w:r>
        <w:rPr>
          <w:color w:val="auto"/>
          <w:kern w:val="0"/>
          <w:sz w:val="24"/>
          <w:szCs w:val="20"/>
        </w:rPr>
        <w:t>5.3-3</w:t>
      </w:r>
      <w:r>
        <w:rPr>
          <w:bCs/>
          <w:color w:val="auto"/>
          <w:kern w:val="0"/>
          <w:sz w:val="24"/>
        </w:rPr>
        <w:t>，噪声贡献值等值线分布图见图5.3-1。</w:t>
      </w:r>
    </w:p>
    <w:p>
      <w:pPr>
        <w:adjustRightInd w:val="0"/>
        <w:snapToGrid w:val="0"/>
        <w:spacing w:before="120" w:beforeLines="50"/>
        <w:ind w:firstLine="480" w:firstLineChars="200"/>
        <w:textAlignment w:val="baseline"/>
        <w:rPr>
          <w:rFonts w:eastAsia="黑体"/>
          <w:bCs/>
          <w:color w:val="auto"/>
          <w:kern w:val="0"/>
          <w:sz w:val="24"/>
        </w:rPr>
      </w:pPr>
      <w:r>
        <w:rPr>
          <w:rFonts w:eastAsia="黑体"/>
          <w:bCs/>
          <w:color w:val="auto"/>
          <w:kern w:val="0"/>
          <w:sz w:val="24"/>
        </w:rPr>
        <w:t>表5.3-3      本项目厂界噪声预测结果一览表      单位：</w:t>
      </w:r>
      <w:r>
        <w:rPr>
          <w:rFonts w:eastAsia="黑体"/>
          <w:color w:val="auto"/>
          <w:kern w:val="0"/>
          <w:sz w:val="24"/>
          <w:szCs w:val="20"/>
        </w:rPr>
        <w:t>dB(A)</w:t>
      </w:r>
      <w:r>
        <w:rPr>
          <w:rFonts w:eastAsia="黑体"/>
          <w:bCs/>
          <w:color w:val="auto"/>
          <w:kern w:val="0"/>
          <w:sz w:val="24"/>
        </w:rPr>
        <w:t xml:space="preserve"> </w:t>
      </w:r>
    </w:p>
    <w:tbl>
      <w:tblPr>
        <w:tblStyle w:val="83"/>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631"/>
        <w:gridCol w:w="630"/>
        <w:gridCol w:w="837"/>
        <w:gridCol w:w="1257"/>
        <w:gridCol w:w="835"/>
        <w:gridCol w:w="1115"/>
        <w:gridCol w:w="978"/>
        <w:gridCol w:w="1115"/>
        <w:gridCol w:w="935"/>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Align w:val="center"/>
          </w:tcPr>
          <w:p>
            <w:pPr>
              <w:pStyle w:val="377"/>
              <w:adjustRightInd w:val="0"/>
              <w:snapToGrid w:val="0"/>
              <w:rPr>
                <w:b/>
                <w:color w:val="auto"/>
                <w:kern w:val="21"/>
              </w:rPr>
            </w:pPr>
            <w:r>
              <w:rPr>
                <w:b/>
                <w:color w:val="auto"/>
                <w:kern w:val="21"/>
              </w:rPr>
              <w:t>序号</w:t>
            </w:r>
          </w:p>
        </w:tc>
        <w:tc>
          <w:tcPr>
            <w:tcW w:w="378" w:type="pct"/>
            <w:vAlign w:val="center"/>
          </w:tcPr>
          <w:p>
            <w:pPr>
              <w:pStyle w:val="377"/>
              <w:adjustRightInd w:val="0"/>
              <w:snapToGrid w:val="0"/>
              <w:jc w:val="center"/>
              <w:rPr>
                <w:b/>
                <w:color w:val="auto"/>
                <w:kern w:val="21"/>
              </w:rPr>
            </w:pPr>
            <w:r>
              <w:rPr>
                <w:b/>
                <w:color w:val="auto"/>
                <w:kern w:val="21"/>
              </w:rPr>
              <w:t>厂界</w:t>
            </w:r>
          </w:p>
        </w:tc>
        <w:tc>
          <w:tcPr>
            <w:tcW w:w="1757" w:type="pct"/>
            <w:gridSpan w:val="3"/>
            <w:vAlign w:val="center"/>
          </w:tcPr>
          <w:p>
            <w:pPr>
              <w:pStyle w:val="377"/>
              <w:adjustRightInd w:val="0"/>
              <w:snapToGrid w:val="0"/>
              <w:jc w:val="center"/>
              <w:rPr>
                <w:b/>
                <w:color w:val="auto"/>
                <w:kern w:val="21"/>
              </w:rPr>
            </w:pPr>
            <w:r>
              <w:rPr>
                <w:b/>
                <w:color w:val="auto"/>
                <w:kern w:val="21"/>
              </w:rPr>
              <w:t>设备到厂界距离（m）</w:t>
            </w:r>
          </w:p>
        </w:tc>
        <w:tc>
          <w:tcPr>
            <w:tcW w:w="669" w:type="pct"/>
            <w:vAlign w:val="center"/>
          </w:tcPr>
          <w:p>
            <w:pPr>
              <w:pStyle w:val="377"/>
              <w:adjustRightInd w:val="0"/>
              <w:snapToGrid w:val="0"/>
              <w:jc w:val="center"/>
              <w:rPr>
                <w:b/>
                <w:color w:val="auto"/>
                <w:kern w:val="21"/>
              </w:rPr>
            </w:pPr>
            <w:r>
              <w:rPr>
                <w:b/>
                <w:color w:val="auto"/>
                <w:kern w:val="21"/>
              </w:rPr>
              <w:t>设备噪声贡献值</w:t>
            </w:r>
          </w:p>
        </w:tc>
        <w:tc>
          <w:tcPr>
            <w:tcW w:w="587" w:type="pct"/>
            <w:vAlign w:val="center"/>
          </w:tcPr>
          <w:p>
            <w:pPr>
              <w:pStyle w:val="377"/>
              <w:adjustRightInd w:val="0"/>
              <w:snapToGrid w:val="0"/>
              <w:jc w:val="center"/>
              <w:rPr>
                <w:b/>
                <w:color w:val="auto"/>
                <w:kern w:val="21"/>
              </w:rPr>
            </w:pPr>
            <w:r>
              <w:rPr>
                <w:b/>
                <w:color w:val="auto"/>
                <w:kern w:val="21"/>
              </w:rPr>
              <w:t>厂界噪声贡献值</w:t>
            </w:r>
          </w:p>
        </w:tc>
        <w:tc>
          <w:tcPr>
            <w:tcW w:w="669" w:type="pct"/>
            <w:vAlign w:val="center"/>
          </w:tcPr>
          <w:p>
            <w:pPr>
              <w:pStyle w:val="377"/>
              <w:adjustRightInd w:val="0"/>
              <w:snapToGrid w:val="0"/>
              <w:jc w:val="center"/>
              <w:rPr>
                <w:rFonts w:eastAsia="Times New Roman"/>
                <w:b/>
                <w:color w:val="auto"/>
                <w:kern w:val="21"/>
              </w:rPr>
            </w:pPr>
            <w:r>
              <w:rPr>
                <w:b/>
                <w:color w:val="auto"/>
                <w:kern w:val="21"/>
              </w:rPr>
              <w:t>标准值</w:t>
            </w:r>
          </w:p>
          <w:p>
            <w:pPr>
              <w:pStyle w:val="377"/>
              <w:adjustRightInd w:val="0"/>
              <w:snapToGrid w:val="0"/>
              <w:jc w:val="center"/>
              <w:rPr>
                <w:rFonts w:eastAsia="Times New Roman"/>
                <w:b/>
                <w:color w:val="auto"/>
                <w:kern w:val="21"/>
              </w:rPr>
            </w:pPr>
            <w:r>
              <w:rPr>
                <w:b/>
                <w:color w:val="auto"/>
                <w:kern w:val="21"/>
              </w:rPr>
              <w:t>（昼</w:t>
            </w:r>
            <w:r>
              <w:rPr>
                <w:rFonts w:eastAsia="Times New Roman"/>
                <w:b/>
                <w:color w:val="auto"/>
                <w:kern w:val="21"/>
              </w:rPr>
              <w:t>/</w:t>
            </w:r>
            <w:r>
              <w:rPr>
                <w:b/>
                <w:color w:val="auto"/>
                <w:kern w:val="21"/>
              </w:rPr>
              <w:t>夜）</w:t>
            </w:r>
          </w:p>
        </w:tc>
        <w:tc>
          <w:tcPr>
            <w:tcW w:w="561" w:type="pct"/>
            <w:vAlign w:val="center"/>
          </w:tcPr>
          <w:p>
            <w:pPr>
              <w:pStyle w:val="377"/>
              <w:adjustRightInd w:val="0"/>
              <w:snapToGrid w:val="0"/>
              <w:jc w:val="center"/>
              <w:rPr>
                <w:b/>
                <w:color w:val="auto"/>
                <w:kern w:val="21"/>
              </w:rPr>
            </w:pPr>
            <w:r>
              <w:rPr>
                <w:b/>
                <w:color w:val="auto"/>
                <w:kern w:val="21"/>
              </w:rPr>
              <w:t>达标分析</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restart"/>
            <w:vAlign w:val="center"/>
          </w:tcPr>
          <w:p>
            <w:pPr>
              <w:pStyle w:val="377"/>
              <w:adjustRightInd w:val="0"/>
              <w:snapToGrid w:val="0"/>
              <w:jc w:val="center"/>
              <w:rPr>
                <w:color w:val="auto"/>
                <w:kern w:val="21"/>
              </w:rPr>
            </w:pPr>
            <w:r>
              <w:rPr>
                <w:color w:val="auto"/>
                <w:kern w:val="21"/>
              </w:rPr>
              <w:t>1</w:t>
            </w:r>
          </w:p>
        </w:tc>
        <w:tc>
          <w:tcPr>
            <w:tcW w:w="378" w:type="pct"/>
            <w:vMerge w:val="restart"/>
            <w:vAlign w:val="center"/>
          </w:tcPr>
          <w:p>
            <w:pPr>
              <w:pStyle w:val="377"/>
              <w:adjustRightInd w:val="0"/>
              <w:snapToGrid w:val="0"/>
              <w:jc w:val="center"/>
              <w:rPr>
                <w:color w:val="auto"/>
                <w:kern w:val="21"/>
              </w:rPr>
            </w:pPr>
            <w:r>
              <w:rPr>
                <w:color w:val="auto"/>
                <w:kern w:val="21"/>
              </w:rPr>
              <w:t>东</w:t>
            </w:r>
          </w:p>
          <w:p>
            <w:pPr>
              <w:pStyle w:val="377"/>
              <w:adjustRightInd w:val="0"/>
              <w:snapToGrid w:val="0"/>
              <w:jc w:val="center"/>
              <w:rPr>
                <w:color w:val="auto"/>
                <w:kern w:val="21"/>
              </w:rPr>
            </w:pPr>
            <w:r>
              <w:rPr>
                <w:color w:val="auto"/>
                <w:kern w:val="21"/>
              </w:rPr>
              <w:t>厂</w:t>
            </w:r>
          </w:p>
          <w:p>
            <w:pPr>
              <w:pStyle w:val="377"/>
              <w:adjustRightInd w:val="0"/>
              <w:snapToGrid w:val="0"/>
              <w:jc w:val="center"/>
              <w:rPr>
                <w:color w:val="auto"/>
                <w:kern w:val="21"/>
              </w:rPr>
            </w:pPr>
            <w:r>
              <w:rPr>
                <w:color w:val="auto"/>
                <w:kern w:val="21"/>
              </w:rPr>
              <w:t>界</w:t>
            </w:r>
          </w:p>
        </w:tc>
        <w:tc>
          <w:tcPr>
            <w:tcW w:w="502" w:type="pct"/>
            <w:vMerge w:val="restart"/>
            <w:vAlign w:val="center"/>
          </w:tcPr>
          <w:p>
            <w:pPr>
              <w:adjustRightInd w:val="0"/>
              <w:snapToGrid w:val="0"/>
              <w:jc w:val="center"/>
              <w:textAlignment w:val="baseline"/>
              <w:rPr>
                <w:color w:val="auto"/>
                <w:kern w:val="21"/>
              </w:rPr>
            </w:pPr>
            <w:r>
              <w:rPr>
                <w:color w:val="auto"/>
                <w:kern w:val="21"/>
              </w:rPr>
              <w:t>北厂房</w:t>
            </w:r>
          </w:p>
        </w:tc>
        <w:tc>
          <w:tcPr>
            <w:tcW w:w="754" w:type="pct"/>
            <w:vAlign w:val="center"/>
          </w:tcPr>
          <w:p>
            <w:pPr>
              <w:adjustRightInd w:val="0"/>
              <w:snapToGrid w:val="0"/>
              <w:jc w:val="center"/>
              <w:textAlignment w:val="baseline"/>
              <w:rPr>
                <w:color w:val="auto"/>
                <w:kern w:val="21"/>
              </w:rPr>
            </w:pPr>
            <w:r>
              <w:rPr>
                <w:color w:val="auto"/>
                <w:kern w:val="21"/>
              </w:rPr>
              <w:t>酸雾塔风机</w:t>
            </w:r>
          </w:p>
        </w:tc>
        <w:tc>
          <w:tcPr>
            <w:tcW w:w="501" w:type="pct"/>
            <w:vAlign w:val="center"/>
          </w:tcPr>
          <w:p>
            <w:pPr>
              <w:pStyle w:val="377"/>
              <w:adjustRightInd w:val="0"/>
              <w:snapToGrid w:val="0"/>
              <w:jc w:val="center"/>
              <w:rPr>
                <w:color w:val="auto"/>
                <w:kern w:val="21"/>
              </w:rPr>
            </w:pPr>
            <w:r>
              <w:rPr>
                <w:rFonts w:hint="eastAsia"/>
                <w:color w:val="auto"/>
                <w:kern w:val="21"/>
              </w:rPr>
              <w:t>283</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15</w:t>
            </w:r>
          </w:p>
        </w:tc>
        <w:tc>
          <w:tcPr>
            <w:tcW w:w="587" w:type="pct"/>
            <w:vMerge w:val="restart"/>
            <w:vAlign w:val="center"/>
          </w:tcPr>
          <w:p>
            <w:pPr>
              <w:pStyle w:val="377"/>
              <w:adjustRightInd w:val="0"/>
              <w:snapToGrid w:val="0"/>
              <w:jc w:val="center"/>
              <w:rPr>
                <w:color w:val="auto"/>
                <w:kern w:val="21"/>
              </w:rPr>
            </w:pPr>
            <w:r>
              <w:rPr>
                <w:rFonts w:hint="eastAsia"/>
                <w:color w:val="auto"/>
                <w:kern w:val="21"/>
                <w:lang w:val="en-US" w:eastAsia="zh-CN"/>
              </w:rPr>
              <w:t>34</w:t>
            </w:r>
          </w:p>
        </w:tc>
        <w:tc>
          <w:tcPr>
            <w:tcW w:w="669" w:type="pct"/>
            <w:vMerge w:val="restart"/>
            <w:vAlign w:val="center"/>
          </w:tcPr>
          <w:p>
            <w:pPr>
              <w:pStyle w:val="377"/>
              <w:adjustRightInd w:val="0"/>
              <w:snapToGrid w:val="0"/>
              <w:jc w:val="center"/>
              <w:rPr>
                <w:color w:val="auto"/>
                <w:kern w:val="21"/>
              </w:rPr>
            </w:pPr>
            <w:r>
              <w:rPr>
                <w:color w:val="auto"/>
                <w:kern w:val="21"/>
              </w:rPr>
              <w:t>6</w:t>
            </w:r>
            <w:r>
              <w:rPr>
                <w:rFonts w:hint="eastAsia"/>
                <w:color w:val="auto"/>
                <w:kern w:val="21"/>
              </w:rPr>
              <w:t>5</w:t>
            </w:r>
            <w:r>
              <w:rPr>
                <w:color w:val="auto"/>
                <w:kern w:val="21"/>
              </w:rPr>
              <w:t>/5</w:t>
            </w:r>
            <w:r>
              <w:rPr>
                <w:rFonts w:hint="eastAsia"/>
                <w:color w:val="auto"/>
                <w:kern w:val="21"/>
              </w:rPr>
              <w:t>5</w:t>
            </w:r>
          </w:p>
        </w:tc>
        <w:tc>
          <w:tcPr>
            <w:tcW w:w="561" w:type="pct"/>
            <w:vMerge w:val="restart"/>
            <w:vAlign w:val="center"/>
          </w:tcPr>
          <w:p>
            <w:pPr>
              <w:pStyle w:val="377"/>
              <w:adjustRightInd w:val="0"/>
              <w:snapToGrid w:val="0"/>
              <w:jc w:val="center"/>
              <w:rPr>
                <w:color w:val="auto"/>
                <w:kern w:val="21"/>
              </w:rPr>
            </w:pPr>
            <w:r>
              <w:rPr>
                <w:color w:val="auto"/>
                <w:kern w:val="21"/>
              </w:rPr>
              <w:t>达标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电镀生产线</w:t>
            </w:r>
          </w:p>
        </w:tc>
        <w:tc>
          <w:tcPr>
            <w:tcW w:w="501" w:type="pct"/>
            <w:vAlign w:val="center"/>
          </w:tcPr>
          <w:p>
            <w:pPr>
              <w:pStyle w:val="377"/>
              <w:adjustRightInd w:val="0"/>
              <w:snapToGrid w:val="0"/>
              <w:jc w:val="center"/>
              <w:rPr>
                <w:color w:val="auto"/>
                <w:kern w:val="21"/>
              </w:rPr>
            </w:pPr>
            <w:r>
              <w:rPr>
                <w:rFonts w:hint="eastAsia"/>
                <w:color w:val="auto"/>
                <w:kern w:val="21"/>
              </w:rPr>
              <w:t>230</w:t>
            </w:r>
          </w:p>
        </w:tc>
        <w:tc>
          <w:tcPr>
            <w:tcW w:w="669" w:type="pct"/>
            <w:vAlign w:val="center"/>
          </w:tcPr>
          <w:p>
            <w:pPr>
              <w:adjustRightInd w:val="0"/>
              <w:snapToGrid w:val="0"/>
              <w:jc w:val="center"/>
              <w:textAlignment w:val="center"/>
              <w:rPr>
                <w:color w:val="auto"/>
                <w:kern w:val="21"/>
              </w:rPr>
            </w:pPr>
            <w:r>
              <w:rPr>
                <w:rFonts w:hint="eastAsia"/>
                <w:color w:val="auto"/>
                <w:kern w:val="21"/>
              </w:rPr>
              <w:t>14</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77"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空压机</w:t>
            </w:r>
          </w:p>
        </w:tc>
        <w:tc>
          <w:tcPr>
            <w:tcW w:w="501" w:type="pct"/>
            <w:vAlign w:val="center"/>
          </w:tcPr>
          <w:p>
            <w:pPr>
              <w:pStyle w:val="377"/>
              <w:adjustRightInd w:val="0"/>
              <w:snapToGrid w:val="0"/>
              <w:jc w:val="center"/>
              <w:rPr>
                <w:color w:val="auto"/>
                <w:kern w:val="21"/>
              </w:rPr>
            </w:pPr>
            <w:r>
              <w:rPr>
                <w:rFonts w:hint="eastAsia"/>
                <w:color w:val="auto"/>
                <w:kern w:val="21"/>
              </w:rPr>
              <w:t>290</w:t>
            </w:r>
          </w:p>
        </w:tc>
        <w:tc>
          <w:tcPr>
            <w:tcW w:w="669" w:type="pct"/>
            <w:vAlign w:val="center"/>
          </w:tcPr>
          <w:p>
            <w:pPr>
              <w:adjustRightInd w:val="0"/>
              <w:snapToGrid w:val="0"/>
              <w:jc w:val="center"/>
              <w:textAlignment w:val="center"/>
              <w:rPr>
                <w:color w:val="auto"/>
                <w:kern w:val="21"/>
              </w:rPr>
            </w:pPr>
            <w:r>
              <w:rPr>
                <w:rFonts w:hint="eastAsia"/>
                <w:color w:val="auto"/>
                <w:kern w:val="21"/>
              </w:rPr>
              <w:t>19</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restart"/>
            <w:vAlign w:val="center"/>
          </w:tcPr>
          <w:p>
            <w:pPr>
              <w:adjustRightInd w:val="0"/>
              <w:snapToGrid w:val="0"/>
              <w:jc w:val="center"/>
              <w:textAlignment w:val="baseline"/>
              <w:rPr>
                <w:color w:val="auto"/>
                <w:kern w:val="21"/>
              </w:rPr>
            </w:pPr>
            <w:r>
              <w:rPr>
                <w:color w:val="auto"/>
                <w:kern w:val="21"/>
              </w:rPr>
              <w:t>南厂房</w:t>
            </w:r>
          </w:p>
        </w:tc>
        <w:tc>
          <w:tcPr>
            <w:tcW w:w="754" w:type="pct"/>
            <w:vAlign w:val="center"/>
          </w:tcPr>
          <w:p>
            <w:pPr>
              <w:adjustRightInd w:val="0"/>
              <w:snapToGrid w:val="0"/>
              <w:jc w:val="center"/>
              <w:textAlignment w:val="baseline"/>
              <w:rPr>
                <w:color w:val="auto"/>
                <w:kern w:val="21"/>
              </w:rPr>
            </w:pPr>
            <w:r>
              <w:rPr>
                <w:color w:val="auto"/>
                <w:kern w:val="21"/>
              </w:rPr>
              <w:t>钢壳冲床</w:t>
            </w:r>
          </w:p>
        </w:tc>
        <w:tc>
          <w:tcPr>
            <w:tcW w:w="501" w:type="pct"/>
            <w:vAlign w:val="center"/>
          </w:tcPr>
          <w:p>
            <w:pPr>
              <w:pStyle w:val="377"/>
              <w:adjustRightInd w:val="0"/>
              <w:snapToGrid w:val="0"/>
              <w:jc w:val="center"/>
              <w:rPr>
                <w:color w:val="auto"/>
                <w:kern w:val="21"/>
              </w:rPr>
            </w:pPr>
            <w:r>
              <w:rPr>
                <w:rFonts w:hint="eastAsia"/>
                <w:color w:val="auto"/>
                <w:kern w:val="21"/>
              </w:rPr>
              <w:t>240</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32</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盖帽冲床</w:t>
            </w:r>
          </w:p>
        </w:tc>
        <w:tc>
          <w:tcPr>
            <w:tcW w:w="501" w:type="pct"/>
            <w:vAlign w:val="center"/>
          </w:tcPr>
          <w:p>
            <w:pPr>
              <w:pStyle w:val="377"/>
              <w:adjustRightInd w:val="0"/>
              <w:snapToGrid w:val="0"/>
              <w:jc w:val="center"/>
              <w:rPr>
                <w:color w:val="auto"/>
                <w:kern w:val="21"/>
              </w:rPr>
            </w:pPr>
            <w:r>
              <w:rPr>
                <w:rFonts w:hint="eastAsia"/>
                <w:color w:val="auto"/>
                <w:kern w:val="21"/>
              </w:rPr>
              <w:t>240</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27</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模修车床</w:t>
            </w:r>
          </w:p>
        </w:tc>
        <w:tc>
          <w:tcPr>
            <w:tcW w:w="501" w:type="pct"/>
            <w:vAlign w:val="center"/>
          </w:tcPr>
          <w:p>
            <w:pPr>
              <w:pStyle w:val="377"/>
              <w:adjustRightInd w:val="0"/>
              <w:snapToGrid w:val="0"/>
              <w:jc w:val="center"/>
              <w:rPr>
                <w:color w:val="auto"/>
                <w:kern w:val="21"/>
              </w:rPr>
            </w:pPr>
            <w:r>
              <w:rPr>
                <w:rFonts w:hint="eastAsia"/>
                <w:color w:val="auto"/>
                <w:kern w:val="21"/>
              </w:rPr>
              <w:t>285</w:t>
            </w:r>
          </w:p>
        </w:tc>
        <w:tc>
          <w:tcPr>
            <w:tcW w:w="669" w:type="pct"/>
            <w:vAlign w:val="center"/>
          </w:tcPr>
          <w:p>
            <w:pPr>
              <w:adjustRightInd w:val="0"/>
              <w:snapToGrid w:val="0"/>
              <w:jc w:val="center"/>
              <w:textAlignment w:val="center"/>
              <w:rPr>
                <w:rFonts w:hint="eastAsia" w:eastAsia="宋体"/>
                <w:color w:val="auto"/>
                <w:kern w:val="21"/>
                <w:lang w:eastAsia="zh-CN"/>
              </w:rPr>
            </w:pPr>
            <w:r>
              <w:rPr>
                <w:rFonts w:hint="eastAsia"/>
                <w:color w:val="auto"/>
                <w:kern w:val="21"/>
                <w:lang w:val="en-US" w:eastAsia="zh-CN"/>
              </w:rPr>
              <w:t>4</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数控平开下料机</w:t>
            </w:r>
          </w:p>
        </w:tc>
        <w:tc>
          <w:tcPr>
            <w:tcW w:w="501" w:type="pct"/>
            <w:vAlign w:val="center"/>
          </w:tcPr>
          <w:p>
            <w:pPr>
              <w:pStyle w:val="377"/>
              <w:adjustRightInd w:val="0"/>
              <w:snapToGrid w:val="0"/>
              <w:jc w:val="center"/>
              <w:rPr>
                <w:color w:val="auto"/>
                <w:kern w:val="21"/>
              </w:rPr>
            </w:pPr>
            <w:r>
              <w:rPr>
                <w:rFonts w:hint="eastAsia"/>
                <w:color w:val="auto"/>
                <w:kern w:val="21"/>
              </w:rPr>
              <w:t>260</w:t>
            </w:r>
          </w:p>
        </w:tc>
        <w:tc>
          <w:tcPr>
            <w:tcW w:w="669" w:type="pct"/>
            <w:vAlign w:val="center"/>
          </w:tcPr>
          <w:p>
            <w:pPr>
              <w:adjustRightInd w:val="0"/>
              <w:snapToGrid w:val="0"/>
              <w:jc w:val="center"/>
              <w:textAlignment w:val="center"/>
              <w:rPr>
                <w:color w:val="auto"/>
                <w:kern w:val="21"/>
              </w:rPr>
            </w:pPr>
            <w:r>
              <w:rPr>
                <w:rFonts w:hint="eastAsia"/>
                <w:color w:val="auto"/>
                <w:kern w:val="21"/>
              </w:rPr>
              <w:t>18</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折弯机</w:t>
            </w:r>
          </w:p>
        </w:tc>
        <w:tc>
          <w:tcPr>
            <w:tcW w:w="501" w:type="pct"/>
            <w:vAlign w:val="center"/>
          </w:tcPr>
          <w:p>
            <w:pPr>
              <w:pStyle w:val="377"/>
              <w:adjustRightInd w:val="0"/>
              <w:snapToGrid w:val="0"/>
              <w:jc w:val="center"/>
              <w:rPr>
                <w:color w:val="auto"/>
                <w:kern w:val="21"/>
              </w:rPr>
            </w:pPr>
            <w:r>
              <w:rPr>
                <w:rFonts w:hint="eastAsia"/>
                <w:color w:val="auto"/>
                <w:kern w:val="21"/>
              </w:rPr>
              <w:t>270</w:t>
            </w:r>
          </w:p>
        </w:tc>
        <w:tc>
          <w:tcPr>
            <w:tcW w:w="669" w:type="pct"/>
            <w:vAlign w:val="center"/>
          </w:tcPr>
          <w:p>
            <w:pPr>
              <w:adjustRightInd w:val="0"/>
              <w:snapToGrid w:val="0"/>
              <w:jc w:val="center"/>
              <w:textAlignment w:val="center"/>
              <w:rPr>
                <w:color w:val="auto"/>
                <w:kern w:val="21"/>
              </w:rPr>
            </w:pPr>
            <w:r>
              <w:rPr>
                <w:rFonts w:hint="eastAsia"/>
                <w:color w:val="auto"/>
                <w:kern w:val="21"/>
              </w:rPr>
              <w:t>11</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电焊机</w:t>
            </w:r>
          </w:p>
        </w:tc>
        <w:tc>
          <w:tcPr>
            <w:tcW w:w="501" w:type="pct"/>
            <w:vAlign w:val="center"/>
          </w:tcPr>
          <w:p>
            <w:pPr>
              <w:pStyle w:val="377"/>
              <w:adjustRightInd w:val="0"/>
              <w:snapToGrid w:val="0"/>
              <w:jc w:val="center"/>
              <w:rPr>
                <w:color w:val="auto"/>
                <w:kern w:val="21"/>
              </w:rPr>
            </w:pPr>
            <w:r>
              <w:rPr>
                <w:rFonts w:hint="eastAsia"/>
                <w:color w:val="auto"/>
                <w:kern w:val="21"/>
              </w:rPr>
              <w:t>270</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19</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restart"/>
            <w:vAlign w:val="center"/>
          </w:tcPr>
          <w:p>
            <w:pPr>
              <w:pStyle w:val="377"/>
              <w:adjustRightInd w:val="0"/>
              <w:snapToGrid w:val="0"/>
              <w:jc w:val="center"/>
              <w:rPr>
                <w:color w:val="auto"/>
                <w:kern w:val="21"/>
              </w:rPr>
            </w:pPr>
            <w:r>
              <w:rPr>
                <w:color w:val="auto"/>
                <w:kern w:val="21"/>
              </w:rPr>
              <w:t>2</w:t>
            </w:r>
          </w:p>
        </w:tc>
        <w:tc>
          <w:tcPr>
            <w:tcW w:w="378" w:type="pct"/>
            <w:vMerge w:val="restart"/>
            <w:vAlign w:val="center"/>
          </w:tcPr>
          <w:p>
            <w:pPr>
              <w:pStyle w:val="377"/>
              <w:adjustRightInd w:val="0"/>
              <w:snapToGrid w:val="0"/>
              <w:jc w:val="center"/>
              <w:rPr>
                <w:color w:val="auto"/>
                <w:kern w:val="21"/>
              </w:rPr>
            </w:pPr>
            <w:r>
              <w:rPr>
                <w:color w:val="auto"/>
                <w:kern w:val="21"/>
              </w:rPr>
              <w:t>西</w:t>
            </w:r>
          </w:p>
          <w:p>
            <w:pPr>
              <w:pStyle w:val="377"/>
              <w:adjustRightInd w:val="0"/>
              <w:snapToGrid w:val="0"/>
              <w:jc w:val="center"/>
              <w:rPr>
                <w:color w:val="auto"/>
                <w:kern w:val="21"/>
              </w:rPr>
            </w:pPr>
            <w:r>
              <w:rPr>
                <w:color w:val="auto"/>
                <w:kern w:val="21"/>
              </w:rPr>
              <w:t>厂</w:t>
            </w:r>
          </w:p>
          <w:p>
            <w:pPr>
              <w:pStyle w:val="377"/>
              <w:adjustRightInd w:val="0"/>
              <w:snapToGrid w:val="0"/>
              <w:jc w:val="center"/>
              <w:rPr>
                <w:color w:val="auto"/>
                <w:kern w:val="21"/>
              </w:rPr>
            </w:pPr>
            <w:r>
              <w:rPr>
                <w:color w:val="auto"/>
                <w:kern w:val="21"/>
              </w:rPr>
              <w:t>界</w:t>
            </w:r>
          </w:p>
        </w:tc>
        <w:tc>
          <w:tcPr>
            <w:tcW w:w="502" w:type="pct"/>
            <w:vMerge w:val="restart"/>
            <w:vAlign w:val="center"/>
          </w:tcPr>
          <w:p>
            <w:pPr>
              <w:adjustRightInd w:val="0"/>
              <w:snapToGrid w:val="0"/>
              <w:jc w:val="center"/>
              <w:textAlignment w:val="baseline"/>
              <w:rPr>
                <w:color w:val="auto"/>
                <w:kern w:val="21"/>
              </w:rPr>
            </w:pPr>
            <w:r>
              <w:rPr>
                <w:color w:val="auto"/>
                <w:kern w:val="21"/>
              </w:rPr>
              <w:t>北厂房</w:t>
            </w:r>
          </w:p>
        </w:tc>
        <w:tc>
          <w:tcPr>
            <w:tcW w:w="754" w:type="pct"/>
            <w:vAlign w:val="center"/>
          </w:tcPr>
          <w:p>
            <w:pPr>
              <w:adjustRightInd w:val="0"/>
              <w:snapToGrid w:val="0"/>
              <w:jc w:val="center"/>
              <w:textAlignment w:val="baseline"/>
              <w:rPr>
                <w:color w:val="auto"/>
                <w:kern w:val="21"/>
              </w:rPr>
            </w:pPr>
            <w:r>
              <w:rPr>
                <w:color w:val="auto"/>
                <w:kern w:val="21"/>
              </w:rPr>
              <w:t>酸雾塔风机</w:t>
            </w:r>
          </w:p>
        </w:tc>
        <w:tc>
          <w:tcPr>
            <w:tcW w:w="501" w:type="pct"/>
            <w:vAlign w:val="center"/>
          </w:tcPr>
          <w:p>
            <w:pPr>
              <w:pStyle w:val="377"/>
              <w:adjustRightInd w:val="0"/>
              <w:snapToGrid w:val="0"/>
              <w:jc w:val="center"/>
              <w:rPr>
                <w:color w:val="auto"/>
                <w:kern w:val="21"/>
              </w:rPr>
            </w:pPr>
            <w:r>
              <w:rPr>
                <w:rFonts w:hint="eastAsia"/>
                <w:color w:val="auto"/>
                <w:kern w:val="21"/>
              </w:rPr>
              <w:t>23</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37</w:t>
            </w:r>
          </w:p>
        </w:tc>
        <w:tc>
          <w:tcPr>
            <w:tcW w:w="587" w:type="pct"/>
            <w:vMerge w:val="restart"/>
            <w:vAlign w:val="center"/>
          </w:tcPr>
          <w:p>
            <w:pPr>
              <w:pStyle w:val="377"/>
              <w:adjustRightInd w:val="0"/>
              <w:snapToGrid w:val="0"/>
              <w:jc w:val="center"/>
              <w:rPr>
                <w:rFonts w:hint="default" w:eastAsia="宋体"/>
                <w:color w:val="auto"/>
                <w:kern w:val="21"/>
                <w:lang w:val="en-US" w:eastAsia="zh-CN"/>
              </w:rPr>
            </w:pPr>
            <w:r>
              <w:rPr>
                <w:rFonts w:hint="eastAsia"/>
                <w:color w:val="auto"/>
                <w:kern w:val="21"/>
                <w:lang w:val="en-US" w:eastAsia="zh-CN"/>
              </w:rPr>
              <w:t>47</w:t>
            </w:r>
          </w:p>
        </w:tc>
        <w:tc>
          <w:tcPr>
            <w:tcW w:w="669" w:type="pct"/>
            <w:vMerge w:val="restart"/>
            <w:vAlign w:val="center"/>
          </w:tcPr>
          <w:p>
            <w:pPr>
              <w:pStyle w:val="377"/>
              <w:adjustRightInd w:val="0"/>
              <w:snapToGrid w:val="0"/>
              <w:jc w:val="center"/>
              <w:rPr>
                <w:color w:val="auto"/>
                <w:kern w:val="21"/>
              </w:rPr>
            </w:pPr>
            <w:r>
              <w:rPr>
                <w:color w:val="auto"/>
                <w:kern w:val="21"/>
              </w:rPr>
              <w:t>6</w:t>
            </w:r>
            <w:r>
              <w:rPr>
                <w:rFonts w:hint="eastAsia"/>
                <w:color w:val="auto"/>
                <w:kern w:val="21"/>
              </w:rPr>
              <w:t>5</w:t>
            </w:r>
            <w:r>
              <w:rPr>
                <w:color w:val="auto"/>
                <w:kern w:val="21"/>
              </w:rPr>
              <w:t>/5</w:t>
            </w:r>
            <w:r>
              <w:rPr>
                <w:rFonts w:hint="eastAsia"/>
                <w:color w:val="auto"/>
                <w:kern w:val="21"/>
              </w:rPr>
              <w:t>5</w:t>
            </w:r>
          </w:p>
        </w:tc>
        <w:tc>
          <w:tcPr>
            <w:tcW w:w="561" w:type="pct"/>
            <w:vMerge w:val="restart"/>
            <w:vAlign w:val="center"/>
          </w:tcPr>
          <w:p>
            <w:pPr>
              <w:pStyle w:val="377"/>
              <w:adjustRightInd w:val="0"/>
              <w:snapToGrid w:val="0"/>
              <w:jc w:val="center"/>
              <w:rPr>
                <w:color w:val="auto"/>
                <w:kern w:val="21"/>
              </w:rPr>
            </w:pPr>
            <w:r>
              <w:rPr>
                <w:color w:val="auto"/>
                <w:kern w:val="21"/>
              </w:rPr>
              <w:t>达标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电镀生产线</w:t>
            </w:r>
          </w:p>
        </w:tc>
        <w:tc>
          <w:tcPr>
            <w:tcW w:w="501" w:type="pct"/>
            <w:vAlign w:val="center"/>
          </w:tcPr>
          <w:p>
            <w:pPr>
              <w:pStyle w:val="377"/>
              <w:adjustRightInd w:val="0"/>
              <w:snapToGrid w:val="0"/>
              <w:jc w:val="center"/>
              <w:rPr>
                <w:color w:val="auto"/>
                <w:kern w:val="21"/>
              </w:rPr>
            </w:pPr>
            <w:r>
              <w:rPr>
                <w:rFonts w:hint="eastAsia"/>
                <w:color w:val="auto"/>
                <w:kern w:val="21"/>
              </w:rPr>
              <w:t>78</w:t>
            </w:r>
          </w:p>
        </w:tc>
        <w:tc>
          <w:tcPr>
            <w:tcW w:w="669" w:type="pct"/>
            <w:vAlign w:val="center"/>
          </w:tcPr>
          <w:p>
            <w:pPr>
              <w:adjustRightInd w:val="0"/>
              <w:snapToGrid w:val="0"/>
              <w:jc w:val="center"/>
              <w:textAlignment w:val="center"/>
              <w:rPr>
                <w:color w:val="auto"/>
                <w:kern w:val="21"/>
              </w:rPr>
            </w:pPr>
            <w:r>
              <w:rPr>
                <w:rFonts w:hint="eastAsia"/>
                <w:color w:val="auto"/>
                <w:kern w:val="21"/>
              </w:rPr>
              <w:t>23</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81"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空压机</w:t>
            </w:r>
          </w:p>
        </w:tc>
        <w:tc>
          <w:tcPr>
            <w:tcW w:w="501" w:type="pct"/>
            <w:vAlign w:val="center"/>
          </w:tcPr>
          <w:p>
            <w:pPr>
              <w:pStyle w:val="377"/>
              <w:adjustRightInd w:val="0"/>
              <w:snapToGrid w:val="0"/>
              <w:jc w:val="center"/>
              <w:rPr>
                <w:color w:val="auto"/>
                <w:kern w:val="21"/>
              </w:rPr>
            </w:pPr>
            <w:r>
              <w:rPr>
                <w:rFonts w:hint="eastAsia"/>
                <w:color w:val="auto"/>
                <w:kern w:val="21"/>
              </w:rPr>
              <w:t>16</w:t>
            </w:r>
          </w:p>
        </w:tc>
        <w:tc>
          <w:tcPr>
            <w:tcW w:w="669" w:type="pct"/>
            <w:vAlign w:val="center"/>
          </w:tcPr>
          <w:p>
            <w:pPr>
              <w:adjustRightInd w:val="0"/>
              <w:snapToGrid w:val="0"/>
              <w:jc w:val="center"/>
              <w:textAlignment w:val="center"/>
              <w:rPr>
                <w:color w:val="auto"/>
                <w:kern w:val="21"/>
              </w:rPr>
            </w:pPr>
            <w:r>
              <w:rPr>
                <w:rFonts w:hint="eastAsia"/>
                <w:color w:val="auto"/>
                <w:kern w:val="21"/>
              </w:rPr>
              <w:t>44</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restart"/>
            <w:vAlign w:val="center"/>
          </w:tcPr>
          <w:p>
            <w:pPr>
              <w:adjustRightInd w:val="0"/>
              <w:snapToGrid w:val="0"/>
              <w:jc w:val="center"/>
              <w:textAlignment w:val="baseline"/>
              <w:rPr>
                <w:color w:val="auto"/>
                <w:kern w:val="21"/>
              </w:rPr>
            </w:pPr>
            <w:r>
              <w:rPr>
                <w:color w:val="auto"/>
                <w:kern w:val="21"/>
              </w:rPr>
              <w:t>南厂房</w:t>
            </w:r>
          </w:p>
        </w:tc>
        <w:tc>
          <w:tcPr>
            <w:tcW w:w="754" w:type="pct"/>
            <w:vAlign w:val="center"/>
          </w:tcPr>
          <w:p>
            <w:pPr>
              <w:adjustRightInd w:val="0"/>
              <w:snapToGrid w:val="0"/>
              <w:jc w:val="center"/>
              <w:textAlignment w:val="baseline"/>
              <w:rPr>
                <w:color w:val="auto"/>
                <w:kern w:val="21"/>
              </w:rPr>
            </w:pPr>
            <w:r>
              <w:rPr>
                <w:color w:val="auto"/>
                <w:kern w:val="21"/>
              </w:rPr>
              <w:t>钢壳冲床</w:t>
            </w:r>
          </w:p>
        </w:tc>
        <w:tc>
          <w:tcPr>
            <w:tcW w:w="501" w:type="pct"/>
            <w:vAlign w:val="center"/>
          </w:tcPr>
          <w:p>
            <w:pPr>
              <w:pStyle w:val="377"/>
              <w:adjustRightInd w:val="0"/>
              <w:snapToGrid w:val="0"/>
              <w:jc w:val="center"/>
              <w:rPr>
                <w:color w:val="auto"/>
                <w:kern w:val="21"/>
              </w:rPr>
            </w:pPr>
            <w:r>
              <w:rPr>
                <w:rFonts w:hint="eastAsia"/>
                <w:color w:val="auto"/>
                <w:kern w:val="21"/>
              </w:rPr>
              <w:t>81</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42</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盖帽冲床</w:t>
            </w:r>
          </w:p>
        </w:tc>
        <w:tc>
          <w:tcPr>
            <w:tcW w:w="501" w:type="pct"/>
            <w:vAlign w:val="center"/>
          </w:tcPr>
          <w:p>
            <w:pPr>
              <w:pStyle w:val="377"/>
              <w:adjustRightInd w:val="0"/>
              <w:snapToGrid w:val="0"/>
              <w:jc w:val="center"/>
              <w:rPr>
                <w:color w:val="auto"/>
                <w:kern w:val="21"/>
              </w:rPr>
            </w:pPr>
            <w:r>
              <w:rPr>
                <w:rFonts w:hint="eastAsia"/>
                <w:color w:val="auto"/>
                <w:kern w:val="21"/>
              </w:rPr>
              <w:t>81</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37</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模修车床</w:t>
            </w:r>
          </w:p>
        </w:tc>
        <w:tc>
          <w:tcPr>
            <w:tcW w:w="501" w:type="pct"/>
            <w:vAlign w:val="center"/>
          </w:tcPr>
          <w:p>
            <w:pPr>
              <w:pStyle w:val="377"/>
              <w:adjustRightInd w:val="0"/>
              <w:snapToGrid w:val="0"/>
              <w:jc w:val="center"/>
              <w:rPr>
                <w:color w:val="auto"/>
                <w:kern w:val="21"/>
              </w:rPr>
            </w:pPr>
            <w:r>
              <w:rPr>
                <w:rFonts w:hint="eastAsia"/>
                <w:color w:val="auto"/>
                <w:kern w:val="21"/>
              </w:rPr>
              <w:t>36</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22</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数控平开下料机</w:t>
            </w:r>
          </w:p>
        </w:tc>
        <w:tc>
          <w:tcPr>
            <w:tcW w:w="501" w:type="pct"/>
            <w:vAlign w:val="center"/>
          </w:tcPr>
          <w:p>
            <w:pPr>
              <w:pStyle w:val="377"/>
              <w:adjustRightInd w:val="0"/>
              <w:snapToGrid w:val="0"/>
              <w:jc w:val="center"/>
              <w:rPr>
                <w:color w:val="auto"/>
                <w:kern w:val="21"/>
              </w:rPr>
            </w:pPr>
            <w:r>
              <w:rPr>
                <w:rFonts w:hint="eastAsia"/>
                <w:color w:val="auto"/>
                <w:kern w:val="21"/>
              </w:rPr>
              <w:t>41</w:t>
            </w:r>
          </w:p>
        </w:tc>
        <w:tc>
          <w:tcPr>
            <w:tcW w:w="669" w:type="pct"/>
            <w:vAlign w:val="center"/>
          </w:tcPr>
          <w:p>
            <w:pPr>
              <w:adjustRightInd w:val="0"/>
              <w:snapToGrid w:val="0"/>
              <w:jc w:val="center"/>
              <w:textAlignment w:val="center"/>
              <w:rPr>
                <w:color w:val="auto"/>
                <w:kern w:val="21"/>
              </w:rPr>
            </w:pPr>
            <w:r>
              <w:rPr>
                <w:rFonts w:hint="eastAsia"/>
                <w:color w:val="auto"/>
                <w:kern w:val="21"/>
              </w:rPr>
              <w:t>34</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折弯机</w:t>
            </w:r>
          </w:p>
        </w:tc>
        <w:tc>
          <w:tcPr>
            <w:tcW w:w="501" w:type="pct"/>
            <w:vAlign w:val="center"/>
          </w:tcPr>
          <w:p>
            <w:pPr>
              <w:pStyle w:val="377"/>
              <w:adjustRightInd w:val="0"/>
              <w:snapToGrid w:val="0"/>
              <w:jc w:val="center"/>
              <w:rPr>
                <w:color w:val="auto"/>
                <w:kern w:val="21"/>
              </w:rPr>
            </w:pPr>
            <w:r>
              <w:rPr>
                <w:rFonts w:hint="eastAsia"/>
                <w:color w:val="auto"/>
                <w:kern w:val="21"/>
              </w:rPr>
              <w:t>41</w:t>
            </w:r>
          </w:p>
        </w:tc>
        <w:tc>
          <w:tcPr>
            <w:tcW w:w="669" w:type="pct"/>
            <w:vAlign w:val="center"/>
          </w:tcPr>
          <w:p>
            <w:pPr>
              <w:adjustRightInd w:val="0"/>
              <w:snapToGrid w:val="0"/>
              <w:jc w:val="center"/>
              <w:textAlignment w:val="center"/>
              <w:rPr>
                <w:color w:val="auto"/>
                <w:kern w:val="21"/>
              </w:rPr>
            </w:pPr>
            <w:r>
              <w:rPr>
                <w:rFonts w:hint="eastAsia"/>
                <w:color w:val="auto"/>
                <w:kern w:val="21"/>
              </w:rPr>
              <w:t>28</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电焊机</w:t>
            </w:r>
          </w:p>
        </w:tc>
        <w:tc>
          <w:tcPr>
            <w:tcW w:w="501" w:type="pct"/>
            <w:vAlign w:val="center"/>
          </w:tcPr>
          <w:p>
            <w:pPr>
              <w:pStyle w:val="377"/>
              <w:adjustRightInd w:val="0"/>
              <w:snapToGrid w:val="0"/>
              <w:jc w:val="center"/>
              <w:rPr>
                <w:color w:val="auto"/>
                <w:kern w:val="21"/>
              </w:rPr>
            </w:pPr>
            <w:r>
              <w:rPr>
                <w:rFonts w:hint="eastAsia"/>
                <w:color w:val="auto"/>
                <w:kern w:val="21"/>
              </w:rPr>
              <w:t>37</w:t>
            </w:r>
          </w:p>
        </w:tc>
        <w:tc>
          <w:tcPr>
            <w:tcW w:w="669" w:type="pct"/>
            <w:vAlign w:val="center"/>
          </w:tcPr>
          <w:p>
            <w:pPr>
              <w:adjustRightInd w:val="0"/>
              <w:snapToGrid w:val="0"/>
              <w:jc w:val="center"/>
              <w:textAlignment w:val="center"/>
              <w:rPr>
                <w:rFonts w:hint="eastAsia" w:eastAsia="宋体"/>
                <w:color w:val="auto"/>
                <w:kern w:val="21"/>
                <w:lang w:eastAsia="zh-CN"/>
              </w:rPr>
            </w:pPr>
            <w:r>
              <w:rPr>
                <w:rFonts w:hint="eastAsia"/>
                <w:color w:val="auto"/>
                <w:kern w:val="21"/>
              </w:rPr>
              <w:t>2</w:t>
            </w:r>
            <w:r>
              <w:rPr>
                <w:rFonts w:hint="eastAsia"/>
                <w:color w:val="auto"/>
                <w:kern w:val="21"/>
                <w:lang w:val="en-US" w:eastAsia="zh-CN"/>
              </w:rPr>
              <w:t>7</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restart"/>
            <w:vAlign w:val="center"/>
          </w:tcPr>
          <w:p>
            <w:pPr>
              <w:pStyle w:val="377"/>
              <w:adjustRightInd w:val="0"/>
              <w:snapToGrid w:val="0"/>
              <w:jc w:val="center"/>
              <w:rPr>
                <w:color w:val="auto"/>
                <w:kern w:val="21"/>
              </w:rPr>
            </w:pPr>
            <w:r>
              <w:rPr>
                <w:color w:val="auto"/>
                <w:kern w:val="21"/>
              </w:rPr>
              <w:t>3</w:t>
            </w:r>
          </w:p>
        </w:tc>
        <w:tc>
          <w:tcPr>
            <w:tcW w:w="378" w:type="pct"/>
            <w:vMerge w:val="restart"/>
            <w:vAlign w:val="center"/>
          </w:tcPr>
          <w:p>
            <w:pPr>
              <w:pStyle w:val="377"/>
              <w:adjustRightInd w:val="0"/>
              <w:snapToGrid w:val="0"/>
              <w:jc w:val="center"/>
              <w:rPr>
                <w:color w:val="auto"/>
                <w:kern w:val="21"/>
              </w:rPr>
            </w:pPr>
            <w:r>
              <w:rPr>
                <w:color w:val="auto"/>
                <w:kern w:val="21"/>
              </w:rPr>
              <w:t>南</w:t>
            </w:r>
          </w:p>
          <w:p>
            <w:pPr>
              <w:pStyle w:val="377"/>
              <w:adjustRightInd w:val="0"/>
              <w:snapToGrid w:val="0"/>
              <w:jc w:val="center"/>
              <w:rPr>
                <w:color w:val="auto"/>
                <w:kern w:val="21"/>
              </w:rPr>
            </w:pPr>
            <w:r>
              <w:rPr>
                <w:color w:val="auto"/>
                <w:kern w:val="21"/>
              </w:rPr>
              <w:t>厂</w:t>
            </w:r>
          </w:p>
          <w:p>
            <w:pPr>
              <w:pStyle w:val="377"/>
              <w:adjustRightInd w:val="0"/>
              <w:snapToGrid w:val="0"/>
              <w:jc w:val="center"/>
              <w:rPr>
                <w:color w:val="auto"/>
                <w:kern w:val="21"/>
              </w:rPr>
            </w:pPr>
            <w:r>
              <w:rPr>
                <w:color w:val="auto"/>
                <w:kern w:val="21"/>
              </w:rPr>
              <w:t>界</w:t>
            </w:r>
          </w:p>
        </w:tc>
        <w:tc>
          <w:tcPr>
            <w:tcW w:w="502" w:type="pct"/>
            <w:vMerge w:val="restart"/>
            <w:vAlign w:val="center"/>
          </w:tcPr>
          <w:p>
            <w:pPr>
              <w:adjustRightInd w:val="0"/>
              <w:snapToGrid w:val="0"/>
              <w:jc w:val="center"/>
              <w:textAlignment w:val="baseline"/>
              <w:rPr>
                <w:color w:val="auto"/>
                <w:kern w:val="21"/>
              </w:rPr>
            </w:pPr>
            <w:r>
              <w:rPr>
                <w:color w:val="auto"/>
                <w:kern w:val="21"/>
              </w:rPr>
              <w:t>北厂房</w:t>
            </w:r>
          </w:p>
        </w:tc>
        <w:tc>
          <w:tcPr>
            <w:tcW w:w="754" w:type="pct"/>
            <w:vAlign w:val="center"/>
          </w:tcPr>
          <w:p>
            <w:pPr>
              <w:adjustRightInd w:val="0"/>
              <w:snapToGrid w:val="0"/>
              <w:jc w:val="center"/>
              <w:textAlignment w:val="baseline"/>
              <w:rPr>
                <w:color w:val="auto"/>
                <w:kern w:val="21"/>
              </w:rPr>
            </w:pPr>
            <w:r>
              <w:rPr>
                <w:color w:val="auto"/>
                <w:kern w:val="21"/>
              </w:rPr>
              <w:t>酸雾塔风机</w:t>
            </w:r>
          </w:p>
        </w:tc>
        <w:tc>
          <w:tcPr>
            <w:tcW w:w="501" w:type="pct"/>
            <w:vAlign w:val="center"/>
          </w:tcPr>
          <w:p>
            <w:pPr>
              <w:pStyle w:val="377"/>
              <w:adjustRightInd w:val="0"/>
              <w:snapToGrid w:val="0"/>
              <w:jc w:val="center"/>
              <w:rPr>
                <w:color w:val="auto"/>
                <w:kern w:val="21"/>
              </w:rPr>
            </w:pPr>
            <w:r>
              <w:rPr>
                <w:rFonts w:hint="eastAsia"/>
                <w:color w:val="auto"/>
                <w:kern w:val="21"/>
              </w:rPr>
              <w:t>233</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17</w:t>
            </w:r>
          </w:p>
        </w:tc>
        <w:tc>
          <w:tcPr>
            <w:tcW w:w="587" w:type="pct"/>
            <w:vMerge w:val="restart"/>
            <w:vAlign w:val="center"/>
          </w:tcPr>
          <w:p>
            <w:pPr>
              <w:pStyle w:val="377"/>
              <w:adjustRightInd w:val="0"/>
              <w:snapToGrid w:val="0"/>
              <w:jc w:val="center"/>
              <w:rPr>
                <w:rFonts w:hint="default" w:eastAsia="宋体"/>
                <w:color w:val="auto"/>
                <w:kern w:val="21"/>
                <w:lang w:val="en-US" w:eastAsia="zh-CN"/>
              </w:rPr>
            </w:pPr>
            <w:r>
              <w:rPr>
                <w:rFonts w:hint="eastAsia"/>
                <w:color w:val="auto"/>
                <w:kern w:val="21"/>
                <w:lang w:val="en-US" w:eastAsia="zh-CN"/>
              </w:rPr>
              <w:t>47</w:t>
            </w:r>
          </w:p>
        </w:tc>
        <w:tc>
          <w:tcPr>
            <w:tcW w:w="669" w:type="pct"/>
            <w:vMerge w:val="restart"/>
            <w:vAlign w:val="center"/>
          </w:tcPr>
          <w:p>
            <w:pPr>
              <w:pStyle w:val="377"/>
              <w:adjustRightInd w:val="0"/>
              <w:snapToGrid w:val="0"/>
              <w:jc w:val="center"/>
              <w:rPr>
                <w:color w:val="auto"/>
                <w:kern w:val="21"/>
              </w:rPr>
            </w:pPr>
            <w:r>
              <w:rPr>
                <w:color w:val="auto"/>
                <w:kern w:val="21"/>
              </w:rPr>
              <w:t>6</w:t>
            </w:r>
            <w:r>
              <w:rPr>
                <w:rFonts w:hint="eastAsia"/>
                <w:color w:val="auto"/>
                <w:kern w:val="21"/>
              </w:rPr>
              <w:t>5</w:t>
            </w:r>
            <w:r>
              <w:rPr>
                <w:color w:val="auto"/>
                <w:kern w:val="21"/>
              </w:rPr>
              <w:t>/5</w:t>
            </w:r>
            <w:r>
              <w:rPr>
                <w:rFonts w:hint="eastAsia"/>
                <w:color w:val="auto"/>
                <w:kern w:val="21"/>
              </w:rPr>
              <w:t>5</w:t>
            </w:r>
          </w:p>
        </w:tc>
        <w:tc>
          <w:tcPr>
            <w:tcW w:w="561" w:type="pct"/>
            <w:vMerge w:val="restart"/>
            <w:vAlign w:val="center"/>
          </w:tcPr>
          <w:p>
            <w:pPr>
              <w:pStyle w:val="377"/>
              <w:adjustRightInd w:val="0"/>
              <w:snapToGrid w:val="0"/>
              <w:jc w:val="center"/>
              <w:rPr>
                <w:color w:val="auto"/>
                <w:kern w:val="21"/>
              </w:rPr>
            </w:pPr>
            <w:r>
              <w:rPr>
                <w:color w:val="auto"/>
                <w:kern w:val="21"/>
              </w:rPr>
              <w:t>达标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电镀生产线</w:t>
            </w:r>
          </w:p>
        </w:tc>
        <w:tc>
          <w:tcPr>
            <w:tcW w:w="501" w:type="pct"/>
            <w:vAlign w:val="center"/>
          </w:tcPr>
          <w:p>
            <w:pPr>
              <w:pStyle w:val="377"/>
              <w:adjustRightInd w:val="0"/>
              <w:snapToGrid w:val="0"/>
              <w:jc w:val="center"/>
              <w:rPr>
                <w:color w:val="auto"/>
                <w:kern w:val="21"/>
              </w:rPr>
            </w:pPr>
            <w:r>
              <w:rPr>
                <w:rFonts w:hint="eastAsia"/>
                <w:color w:val="auto"/>
                <w:kern w:val="21"/>
              </w:rPr>
              <w:t>232</w:t>
            </w:r>
          </w:p>
        </w:tc>
        <w:tc>
          <w:tcPr>
            <w:tcW w:w="669" w:type="pct"/>
            <w:vAlign w:val="center"/>
          </w:tcPr>
          <w:p>
            <w:pPr>
              <w:adjustRightInd w:val="0"/>
              <w:snapToGrid w:val="0"/>
              <w:jc w:val="center"/>
              <w:textAlignment w:val="center"/>
              <w:rPr>
                <w:color w:val="auto"/>
                <w:kern w:val="21"/>
              </w:rPr>
            </w:pPr>
            <w:r>
              <w:rPr>
                <w:rFonts w:hint="eastAsia"/>
                <w:color w:val="auto"/>
                <w:kern w:val="21"/>
              </w:rPr>
              <w:t>14</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8"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空压机</w:t>
            </w:r>
          </w:p>
        </w:tc>
        <w:tc>
          <w:tcPr>
            <w:tcW w:w="501" w:type="pct"/>
            <w:vAlign w:val="center"/>
          </w:tcPr>
          <w:p>
            <w:pPr>
              <w:pStyle w:val="377"/>
              <w:adjustRightInd w:val="0"/>
              <w:snapToGrid w:val="0"/>
              <w:jc w:val="center"/>
              <w:rPr>
                <w:color w:val="auto"/>
                <w:kern w:val="21"/>
              </w:rPr>
            </w:pPr>
            <w:r>
              <w:rPr>
                <w:rFonts w:hint="eastAsia"/>
                <w:color w:val="auto"/>
                <w:kern w:val="21"/>
              </w:rPr>
              <w:t>231</w:t>
            </w:r>
          </w:p>
        </w:tc>
        <w:tc>
          <w:tcPr>
            <w:tcW w:w="669" w:type="pct"/>
            <w:vAlign w:val="center"/>
          </w:tcPr>
          <w:p>
            <w:pPr>
              <w:adjustRightInd w:val="0"/>
              <w:snapToGrid w:val="0"/>
              <w:jc w:val="center"/>
              <w:textAlignment w:val="center"/>
              <w:rPr>
                <w:color w:val="auto"/>
                <w:kern w:val="21"/>
              </w:rPr>
            </w:pPr>
            <w:r>
              <w:rPr>
                <w:rFonts w:hint="eastAsia"/>
                <w:color w:val="auto"/>
                <w:kern w:val="21"/>
              </w:rPr>
              <w:t>21</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restart"/>
            <w:vAlign w:val="center"/>
          </w:tcPr>
          <w:p>
            <w:pPr>
              <w:adjustRightInd w:val="0"/>
              <w:snapToGrid w:val="0"/>
              <w:jc w:val="center"/>
              <w:textAlignment w:val="baseline"/>
              <w:rPr>
                <w:color w:val="auto"/>
                <w:kern w:val="21"/>
              </w:rPr>
            </w:pPr>
            <w:r>
              <w:rPr>
                <w:color w:val="auto"/>
                <w:kern w:val="21"/>
              </w:rPr>
              <w:t>南厂房</w:t>
            </w:r>
          </w:p>
        </w:tc>
        <w:tc>
          <w:tcPr>
            <w:tcW w:w="754" w:type="pct"/>
            <w:vAlign w:val="center"/>
          </w:tcPr>
          <w:p>
            <w:pPr>
              <w:adjustRightInd w:val="0"/>
              <w:snapToGrid w:val="0"/>
              <w:jc w:val="center"/>
              <w:textAlignment w:val="baseline"/>
              <w:rPr>
                <w:color w:val="auto"/>
                <w:kern w:val="21"/>
              </w:rPr>
            </w:pPr>
            <w:r>
              <w:rPr>
                <w:color w:val="auto"/>
                <w:kern w:val="21"/>
              </w:rPr>
              <w:t>钢壳冲床</w:t>
            </w:r>
          </w:p>
        </w:tc>
        <w:tc>
          <w:tcPr>
            <w:tcW w:w="501" w:type="pct"/>
            <w:vAlign w:val="center"/>
          </w:tcPr>
          <w:p>
            <w:pPr>
              <w:pStyle w:val="377"/>
              <w:adjustRightInd w:val="0"/>
              <w:snapToGrid w:val="0"/>
              <w:jc w:val="center"/>
              <w:rPr>
                <w:color w:val="auto"/>
                <w:kern w:val="21"/>
              </w:rPr>
            </w:pPr>
            <w:r>
              <w:rPr>
                <w:rFonts w:hint="eastAsia"/>
                <w:color w:val="auto"/>
                <w:kern w:val="21"/>
              </w:rPr>
              <w:t>50</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46</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盖帽冲床</w:t>
            </w:r>
          </w:p>
        </w:tc>
        <w:tc>
          <w:tcPr>
            <w:tcW w:w="501" w:type="pct"/>
            <w:vAlign w:val="center"/>
          </w:tcPr>
          <w:p>
            <w:pPr>
              <w:pStyle w:val="377"/>
              <w:adjustRightInd w:val="0"/>
              <w:snapToGrid w:val="0"/>
              <w:jc w:val="center"/>
              <w:rPr>
                <w:color w:val="auto"/>
                <w:kern w:val="21"/>
              </w:rPr>
            </w:pPr>
            <w:r>
              <w:rPr>
                <w:rFonts w:hint="eastAsia"/>
                <w:color w:val="auto"/>
                <w:kern w:val="21"/>
              </w:rPr>
              <w:t>65</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39</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模修车床</w:t>
            </w:r>
          </w:p>
        </w:tc>
        <w:tc>
          <w:tcPr>
            <w:tcW w:w="501" w:type="pct"/>
            <w:vAlign w:val="center"/>
          </w:tcPr>
          <w:p>
            <w:pPr>
              <w:pStyle w:val="377"/>
              <w:adjustRightInd w:val="0"/>
              <w:snapToGrid w:val="0"/>
              <w:jc w:val="center"/>
              <w:rPr>
                <w:color w:val="auto"/>
                <w:kern w:val="21"/>
              </w:rPr>
            </w:pPr>
            <w:r>
              <w:rPr>
                <w:rFonts w:hint="eastAsia"/>
                <w:color w:val="auto"/>
                <w:kern w:val="21"/>
              </w:rPr>
              <w:t>62</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17</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数控平开下料机</w:t>
            </w:r>
          </w:p>
        </w:tc>
        <w:tc>
          <w:tcPr>
            <w:tcW w:w="501" w:type="pct"/>
            <w:vAlign w:val="center"/>
          </w:tcPr>
          <w:p>
            <w:pPr>
              <w:pStyle w:val="377"/>
              <w:adjustRightInd w:val="0"/>
              <w:snapToGrid w:val="0"/>
              <w:jc w:val="center"/>
              <w:rPr>
                <w:color w:val="auto"/>
                <w:kern w:val="21"/>
              </w:rPr>
            </w:pPr>
            <w:r>
              <w:rPr>
                <w:rFonts w:hint="eastAsia"/>
                <w:color w:val="auto"/>
                <w:kern w:val="21"/>
              </w:rPr>
              <w:t>62</w:t>
            </w:r>
          </w:p>
        </w:tc>
        <w:tc>
          <w:tcPr>
            <w:tcW w:w="669" w:type="pct"/>
            <w:vAlign w:val="center"/>
          </w:tcPr>
          <w:p>
            <w:pPr>
              <w:adjustRightInd w:val="0"/>
              <w:snapToGrid w:val="0"/>
              <w:jc w:val="center"/>
              <w:textAlignment w:val="center"/>
              <w:rPr>
                <w:color w:val="auto"/>
                <w:kern w:val="21"/>
              </w:rPr>
            </w:pPr>
            <w:r>
              <w:rPr>
                <w:rFonts w:hint="eastAsia"/>
                <w:color w:val="auto"/>
                <w:kern w:val="21"/>
              </w:rPr>
              <w:t>30</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折弯机</w:t>
            </w:r>
          </w:p>
        </w:tc>
        <w:tc>
          <w:tcPr>
            <w:tcW w:w="501" w:type="pct"/>
            <w:vAlign w:val="center"/>
          </w:tcPr>
          <w:p>
            <w:pPr>
              <w:pStyle w:val="377"/>
              <w:adjustRightInd w:val="0"/>
              <w:snapToGrid w:val="0"/>
              <w:jc w:val="center"/>
              <w:rPr>
                <w:color w:val="auto"/>
                <w:kern w:val="21"/>
              </w:rPr>
            </w:pPr>
            <w:r>
              <w:rPr>
                <w:rFonts w:hint="eastAsia"/>
                <w:color w:val="auto"/>
                <w:kern w:val="21"/>
              </w:rPr>
              <w:t>30</w:t>
            </w:r>
          </w:p>
        </w:tc>
        <w:tc>
          <w:tcPr>
            <w:tcW w:w="669" w:type="pct"/>
            <w:vAlign w:val="center"/>
          </w:tcPr>
          <w:p>
            <w:pPr>
              <w:adjustRightInd w:val="0"/>
              <w:snapToGrid w:val="0"/>
              <w:jc w:val="center"/>
              <w:textAlignment w:val="center"/>
              <w:rPr>
                <w:color w:val="auto"/>
                <w:kern w:val="21"/>
              </w:rPr>
            </w:pPr>
            <w:r>
              <w:rPr>
                <w:rFonts w:hint="eastAsia"/>
                <w:color w:val="auto"/>
                <w:kern w:val="21"/>
              </w:rPr>
              <w:t>30</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电焊机</w:t>
            </w:r>
          </w:p>
        </w:tc>
        <w:tc>
          <w:tcPr>
            <w:tcW w:w="501" w:type="pct"/>
            <w:vAlign w:val="center"/>
          </w:tcPr>
          <w:p>
            <w:pPr>
              <w:pStyle w:val="377"/>
              <w:adjustRightInd w:val="0"/>
              <w:snapToGrid w:val="0"/>
              <w:jc w:val="center"/>
              <w:rPr>
                <w:color w:val="auto"/>
                <w:kern w:val="21"/>
              </w:rPr>
            </w:pPr>
            <w:r>
              <w:rPr>
                <w:rFonts w:hint="eastAsia"/>
                <w:color w:val="auto"/>
                <w:kern w:val="21"/>
              </w:rPr>
              <w:t>40</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26</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restart"/>
            <w:vAlign w:val="center"/>
          </w:tcPr>
          <w:p>
            <w:pPr>
              <w:pStyle w:val="377"/>
              <w:adjustRightInd w:val="0"/>
              <w:snapToGrid w:val="0"/>
              <w:jc w:val="center"/>
              <w:rPr>
                <w:color w:val="auto"/>
                <w:kern w:val="21"/>
              </w:rPr>
            </w:pPr>
            <w:r>
              <w:rPr>
                <w:color w:val="auto"/>
                <w:kern w:val="21"/>
              </w:rPr>
              <w:t>4</w:t>
            </w:r>
          </w:p>
        </w:tc>
        <w:tc>
          <w:tcPr>
            <w:tcW w:w="378" w:type="pct"/>
            <w:vMerge w:val="restart"/>
            <w:vAlign w:val="center"/>
          </w:tcPr>
          <w:p>
            <w:pPr>
              <w:pStyle w:val="377"/>
              <w:adjustRightInd w:val="0"/>
              <w:snapToGrid w:val="0"/>
              <w:jc w:val="center"/>
              <w:rPr>
                <w:color w:val="auto"/>
                <w:kern w:val="21"/>
              </w:rPr>
            </w:pPr>
            <w:r>
              <w:rPr>
                <w:color w:val="auto"/>
                <w:kern w:val="21"/>
              </w:rPr>
              <w:t>北</w:t>
            </w:r>
          </w:p>
          <w:p>
            <w:pPr>
              <w:pStyle w:val="377"/>
              <w:adjustRightInd w:val="0"/>
              <w:snapToGrid w:val="0"/>
              <w:jc w:val="center"/>
              <w:rPr>
                <w:color w:val="auto"/>
                <w:kern w:val="21"/>
              </w:rPr>
            </w:pPr>
            <w:r>
              <w:rPr>
                <w:color w:val="auto"/>
                <w:kern w:val="21"/>
              </w:rPr>
              <w:t>厂</w:t>
            </w:r>
          </w:p>
          <w:p>
            <w:pPr>
              <w:pStyle w:val="377"/>
              <w:adjustRightInd w:val="0"/>
              <w:snapToGrid w:val="0"/>
              <w:jc w:val="center"/>
              <w:rPr>
                <w:color w:val="auto"/>
                <w:kern w:val="21"/>
              </w:rPr>
            </w:pPr>
            <w:r>
              <w:rPr>
                <w:color w:val="auto"/>
                <w:kern w:val="21"/>
              </w:rPr>
              <w:t>界</w:t>
            </w:r>
          </w:p>
        </w:tc>
        <w:tc>
          <w:tcPr>
            <w:tcW w:w="502" w:type="pct"/>
            <w:vMerge w:val="restart"/>
            <w:vAlign w:val="center"/>
          </w:tcPr>
          <w:p>
            <w:pPr>
              <w:adjustRightInd w:val="0"/>
              <w:snapToGrid w:val="0"/>
              <w:jc w:val="center"/>
              <w:textAlignment w:val="baseline"/>
              <w:rPr>
                <w:color w:val="auto"/>
                <w:kern w:val="21"/>
              </w:rPr>
            </w:pPr>
            <w:r>
              <w:rPr>
                <w:color w:val="auto"/>
                <w:kern w:val="21"/>
              </w:rPr>
              <w:t>北厂房</w:t>
            </w:r>
          </w:p>
        </w:tc>
        <w:tc>
          <w:tcPr>
            <w:tcW w:w="754" w:type="pct"/>
            <w:vAlign w:val="center"/>
          </w:tcPr>
          <w:p>
            <w:pPr>
              <w:adjustRightInd w:val="0"/>
              <w:snapToGrid w:val="0"/>
              <w:jc w:val="center"/>
              <w:textAlignment w:val="baseline"/>
              <w:rPr>
                <w:color w:val="auto"/>
                <w:kern w:val="21"/>
              </w:rPr>
            </w:pPr>
            <w:r>
              <w:rPr>
                <w:color w:val="auto"/>
                <w:kern w:val="21"/>
              </w:rPr>
              <w:t>酸雾塔风机</w:t>
            </w:r>
          </w:p>
        </w:tc>
        <w:tc>
          <w:tcPr>
            <w:tcW w:w="501" w:type="pct"/>
            <w:vAlign w:val="center"/>
          </w:tcPr>
          <w:p>
            <w:pPr>
              <w:pStyle w:val="377"/>
              <w:adjustRightInd w:val="0"/>
              <w:snapToGrid w:val="0"/>
              <w:jc w:val="center"/>
              <w:rPr>
                <w:color w:val="auto"/>
                <w:kern w:val="21"/>
              </w:rPr>
            </w:pPr>
            <w:r>
              <w:rPr>
                <w:rFonts w:hint="eastAsia"/>
                <w:color w:val="auto"/>
                <w:kern w:val="21"/>
              </w:rPr>
              <w:t>57</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29</w:t>
            </w:r>
          </w:p>
        </w:tc>
        <w:tc>
          <w:tcPr>
            <w:tcW w:w="587" w:type="pct"/>
            <w:vMerge w:val="restart"/>
            <w:vAlign w:val="center"/>
          </w:tcPr>
          <w:p>
            <w:pPr>
              <w:pStyle w:val="377"/>
              <w:adjustRightInd w:val="0"/>
              <w:snapToGrid w:val="0"/>
              <w:jc w:val="center"/>
              <w:rPr>
                <w:rFonts w:hint="default" w:eastAsia="宋体"/>
                <w:color w:val="auto"/>
                <w:kern w:val="21"/>
                <w:lang w:val="en-US" w:eastAsia="zh-CN"/>
              </w:rPr>
            </w:pPr>
            <w:r>
              <w:rPr>
                <w:rFonts w:hint="eastAsia"/>
                <w:color w:val="auto"/>
                <w:kern w:val="21"/>
                <w:lang w:val="en-US" w:eastAsia="zh-CN"/>
              </w:rPr>
              <w:t>37</w:t>
            </w:r>
          </w:p>
        </w:tc>
        <w:tc>
          <w:tcPr>
            <w:tcW w:w="669" w:type="pct"/>
            <w:vMerge w:val="restart"/>
            <w:vAlign w:val="center"/>
          </w:tcPr>
          <w:p>
            <w:pPr>
              <w:pStyle w:val="377"/>
              <w:adjustRightInd w:val="0"/>
              <w:snapToGrid w:val="0"/>
              <w:jc w:val="center"/>
              <w:rPr>
                <w:color w:val="auto"/>
                <w:kern w:val="21"/>
              </w:rPr>
            </w:pPr>
            <w:r>
              <w:rPr>
                <w:color w:val="auto"/>
                <w:kern w:val="21"/>
              </w:rPr>
              <w:t>6</w:t>
            </w:r>
            <w:r>
              <w:rPr>
                <w:rFonts w:hint="eastAsia"/>
                <w:color w:val="auto"/>
                <w:kern w:val="21"/>
              </w:rPr>
              <w:t>5</w:t>
            </w:r>
            <w:r>
              <w:rPr>
                <w:color w:val="auto"/>
                <w:kern w:val="21"/>
              </w:rPr>
              <w:t>/5</w:t>
            </w:r>
            <w:r>
              <w:rPr>
                <w:rFonts w:hint="eastAsia"/>
                <w:color w:val="auto"/>
                <w:kern w:val="21"/>
              </w:rPr>
              <w:t>5</w:t>
            </w:r>
          </w:p>
        </w:tc>
        <w:tc>
          <w:tcPr>
            <w:tcW w:w="561" w:type="pct"/>
            <w:vMerge w:val="restart"/>
            <w:vAlign w:val="center"/>
          </w:tcPr>
          <w:p>
            <w:pPr>
              <w:pStyle w:val="377"/>
              <w:adjustRightInd w:val="0"/>
              <w:snapToGrid w:val="0"/>
              <w:jc w:val="center"/>
              <w:rPr>
                <w:color w:val="auto"/>
                <w:kern w:val="21"/>
              </w:rPr>
            </w:pPr>
            <w:r>
              <w:rPr>
                <w:color w:val="auto"/>
                <w:kern w:val="21"/>
              </w:rPr>
              <w:t>达标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电镀生产线</w:t>
            </w:r>
          </w:p>
        </w:tc>
        <w:tc>
          <w:tcPr>
            <w:tcW w:w="501" w:type="pct"/>
            <w:vAlign w:val="center"/>
          </w:tcPr>
          <w:p>
            <w:pPr>
              <w:pStyle w:val="377"/>
              <w:adjustRightInd w:val="0"/>
              <w:snapToGrid w:val="0"/>
              <w:jc w:val="center"/>
              <w:rPr>
                <w:color w:val="auto"/>
                <w:kern w:val="21"/>
              </w:rPr>
            </w:pPr>
            <w:r>
              <w:rPr>
                <w:rFonts w:hint="eastAsia"/>
                <w:color w:val="auto"/>
                <w:kern w:val="21"/>
              </w:rPr>
              <w:t>58</w:t>
            </w:r>
          </w:p>
        </w:tc>
        <w:tc>
          <w:tcPr>
            <w:tcW w:w="669" w:type="pct"/>
            <w:vAlign w:val="center"/>
          </w:tcPr>
          <w:p>
            <w:pPr>
              <w:adjustRightInd w:val="0"/>
              <w:snapToGrid w:val="0"/>
              <w:jc w:val="center"/>
              <w:textAlignment w:val="center"/>
              <w:rPr>
                <w:color w:val="auto"/>
                <w:kern w:val="21"/>
              </w:rPr>
            </w:pPr>
            <w:r>
              <w:rPr>
                <w:rFonts w:hint="eastAsia"/>
                <w:color w:val="auto"/>
                <w:kern w:val="21"/>
              </w:rPr>
              <w:t>26</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9"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空压机</w:t>
            </w:r>
          </w:p>
        </w:tc>
        <w:tc>
          <w:tcPr>
            <w:tcW w:w="501" w:type="pct"/>
            <w:vAlign w:val="center"/>
          </w:tcPr>
          <w:p>
            <w:pPr>
              <w:pStyle w:val="377"/>
              <w:adjustRightInd w:val="0"/>
              <w:snapToGrid w:val="0"/>
              <w:jc w:val="center"/>
              <w:rPr>
                <w:color w:val="auto"/>
                <w:kern w:val="21"/>
              </w:rPr>
            </w:pPr>
            <w:r>
              <w:rPr>
                <w:rFonts w:hint="eastAsia"/>
                <w:color w:val="auto"/>
                <w:kern w:val="21"/>
              </w:rPr>
              <w:t>59</w:t>
            </w:r>
          </w:p>
        </w:tc>
        <w:tc>
          <w:tcPr>
            <w:tcW w:w="669" w:type="pct"/>
            <w:vAlign w:val="center"/>
          </w:tcPr>
          <w:p>
            <w:pPr>
              <w:adjustRightInd w:val="0"/>
              <w:snapToGrid w:val="0"/>
              <w:jc w:val="center"/>
              <w:textAlignment w:val="center"/>
              <w:rPr>
                <w:color w:val="auto"/>
                <w:kern w:val="21"/>
              </w:rPr>
            </w:pPr>
            <w:r>
              <w:rPr>
                <w:rFonts w:hint="eastAsia"/>
                <w:color w:val="auto"/>
                <w:kern w:val="21"/>
              </w:rPr>
              <w:t>33</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restart"/>
            <w:vAlign w:val="center"/>
          </w:tcPr>
          <w:p>
            <w:pPr>
              <w:adjustRightInd w:val="0"/>
              <w:snapToGrid w:val="0"/>
              <w:jc w:val="center"/>
              <w:textAlignment w:val="baseline"/>
              <w:rPr>
                <w:color w:val="auto"/>
                <w:kern w:val="21"/>
              </w:rPr>
            </w:pPr>
            <w:r>
              <w:rPr>
                <w:color w:val="auto"/>
                <w:kern w:val="21"/>
              </w:rPr>
              <w:t>南厂房</w:t>
            </w:r>
          </w:p>
        </w:tc>
        <w:tc>
          <w:tcPr>
            <w:tcW w:w="754" w:type="pct"/>
            <w:vAlign w:val="center"/>
          </w:tcPr>
          <w:p>
            <w:pPr>
              <w:adjustRightInd w:val="0"/>
              <w:snapToGrid w:val="0"/>
              <w:jc w:val="center"/>
              <w:textAlignment w:val="baseline"/>
              <w:rPr>
                <w:color w:val="auto"/>
                <w:kern w:val="21"/>
              </w:rPr>
            </w:pPr>
            <w:r>
              <w:rPr>
                <w:color w:val="auto"/>
                <w:kern w:val="21"/>
              </w:rPr>
              <w:t>钢壳冲床</w:t>
            </w:r>
          </w:p>
        </w:tc>
        <w:tc>
          <w:tcPr>
            <w:tcW w:w="501" w:type="pct"/>
            <w:vAlign w:val="center"/>
          </w:tcPr>
          <w:p>
            <w:pPr>
              <w:pStyle w:val="377"/>
              <w:adjustRightInd w:val="0"/>
              <w:snapToGrid w:val="0"/>
              <w:jc w:val="center"/>
              <w:rPr>
                <w:color w:val="auto"/>
                <w:kern w:val="21"/>
              </w:rPr>
            </w:pPr>
            <w:r>
              <w:rPr>
                <w:rFonts w:hint="eastAsia"/>
                <w:color w:val="auto"/>
                <w:kern w:val="21"/>
              </w:rPr>
              <w:t>245</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32</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盖帽冲床</w:t>
            </w:r>
          </w:p>
        </w:tc>
        <w:tc>
          <w:tcPr>
            <w:tcW w:w="501" w:type="pct"/>
            <w:vAlign w:val="center"/>
          </w:tcPr>
          <w:p>
            <w:pPr>
              <w:pStyle w:val="377"/>
              <w:adjustRightInd w:val="0"/>
              <w:snapToGrid w:val="0"/>
              <w:jc w:val="center"/>
              <w:rPr>
                <w:color w:val="auto"/>
                <w:kern w:val="21"/>
              </w:rPr>
            </w:pPr>
            <w:r>
              <w:rPr>
                <w:rFonts w:hint="eastAsia"/>
                <w:color w:val="auto"/>
                <w:kern w:val="21"/>
              </w:rPr>
              <w:t>230</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28</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模修车床</w:t>
            </w:r>
          </w:p>
        </w:tc>
        <w:tc>
          <w:tcPr>
            <w:tcW w:w="501" w:type="pct"/>
            <w:vAlign w:val="center"/>
          </w:tcPr>
          <w:p>
            <w:pPr>
              <w:pStyle w:val="377"/>
              <w:adjustRightInd w:val="0"/>
              <w:snapToGrid w:val="0"/>
              <w:jc w:val="center"/>
              <w:rPr>
                <w:color w:val="auto"/>
                <w:kern w:val="21"/>
              </w:rPr>
            </w:pPr>
            <w:r>
              <w:rPr>
                <w:rFonts w:hint="eastAsia"/>
                <w:color w:val="auto"/>
                <w:kern w:val="21"/>
              </w:rPr>
              <w:t>232</w:t>
            </w:r>
          </w:p>
        </w:tc>
        <w:tc>
          <w:tcPr>
            <w:tcW w:w="669" w:type="pct"/>
            <w:vAlign w:val="center"/>
          </w:tcPr>
          <w:p>
            <w:pPr>
              <w:adjustRightInd w:val="0"/>
              <w:snapToGrid w:val="0"/>
              <w:jc w:val="center"/>
              <w:textAlignment w:val="center"/>
              <w:rPr>
                <w:rFonts w:hint="eastAsia" w:eastAsia="宋体"/>
                <w:color w:val="auto"/>
                <w:kern w:val="21"/>
                <w:lang w:eastAsia="zh-CN"/>
              </w:rPr>
            </w:pPr>
            <w:r>
              <w:rPr>
                <w:rFonts w:hint="eastAsia"/>
                <w:color w:val="auto"/>
                <w:kern w:val="21"/>
                <w:lang w:val="en-US" w:eastAsia="zh-CN"/>
              </w:rPr>
              <w:t>6</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数控平开下料机</w:t>
            </w:r>
          </w:p>
        </w:tc>
        <w:tc>
          <w:tcPr>
            <w:tcW w:w="501" w:type="pct"/>
            <w:vAlign w:val="center"/>
          </w:tcPr>
          <w:p>
            <w:pPr>
              <w:pStyle w:val="377"/>
              <w:adjustRightInd w:val="0"/>
              <w:snapToGrid w:val="0"/>
              <w:jc w:val="center"/>
              <w:rPr>
                <w:color w:val="auto"/>
                <w:kern w:val="21"/>
              </w:rPr>
            </w:pPr>
            <w:r>
              <w:rPr>
                <w:rFonts w:hint="eastAsia"/>
                <w:color w:val="auto"/>
                <w:kern w:val="21"/>
              </w:rPr>
              <w:t>232</w:t>
            </w:r>
          </w:p>
        </w:tc>
        <w:tc>
          <w:tcPr>
            <w:tcW w:w="669" w:type="pct"/>
            <w:vAlign w:val="center"/>
          </w:tcPr>
          <w:p>
            <w:pPr>
              <w:adjustRightInd w:val="0"/>
              <w:snapToGrid w:val="0"/>
              <w:jc w:val="center"/>
              <w:textAlignment w:val="center"/>
              <w:rPr>
                <w:color w:val="auto"/>
                <w:kern w:val="21"/>
              </w:rPr>
            </w:pPr>
            <w:r>
              <w:rPr>
                <w:rFonts w:hint="eastAsia"/>
                <w:color w:val="auto"/>
                <w:kern w:val="21"/>
              </w:rPr>
              <w:t>19</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折弯机</w:t>
            </w:r>
          </w:p>
        </w:tc>
        <w:tc>
          <w:tcPr>
            <w:tcW w:w="501" w:type="pct"/>
            <w:vAlign w:val="center"/>
          </w:tcPr>
          <w:p>
            <w:pPr>
              <w:pStyle w:val="377"/>
              <w:adjustRightInd w:val="0"/>
              <w:snapToGrid w:val="0"/>
              <w:jc w:val="center"/>
              <w:rPr>
                <w:color w:val="auto"/>
                <w:kern w:val="21"/>
              </w:rPr>
            </w:pPr>
            <w:r>
              <w:rPr>
                <w:rFonts w:hint="eastAsia"/>
                <w:color w:val="auto"/>
                <w:kern w:val="21"/>
              </w:rPr>
              <w:t>265</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12</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54" w:hRule="atLeast"/>
          <w:jc w:val="center"/>
        </w:trPr>
        <w:tc>
          <w:tcPr>
            <w:tcW w:w="379" w:type="pct"/>
            <w:vMerge w:val="continue"/>
            <w:vAlign w:val="center"/>
          </w:tcPr>
          <w:p>
            <w:pPr>
              <w:pStyle w:val="377"/>
              <w:adjustRightInd w:val="0"/>
              <w:snapToGrid w:val="0"/>
              <w:jc w:val="center"/>
              <w:rPr>
                <w:color w:val="auto"/>
                <w:kern w:val="21"/>
              </w:rPr>
            </w:pPr>
          </w:p>
        </w:tc>
        <w:tc>
          <w:tcPr>
            <w:tcW w:w="378" w:type="pct"/>
            <w:vMerge w:val="continue"/>
            <w:vAlign w:val="center"/>
          </w:tcPr>
          <w:p>
            <w:pPr>
              <w:pStyle w:val="377"/>
              <w:adjustRightInd w:val="0"/>
              <w:snapToGrid w:val="0"/>
              <w:jc w:val="center"/>
              <w:rPr>
                <w:color w:val="auto"/>
                <w:kern w:val="21"/>
              </w:rPr>
            </w:pPr>
          </w:p>
        </w:tc>
        <w:tc>
          <w:tcPr>
            <w:tcW w:w="502" w:type="pct"/>
            <w:vMerge w:val="continue"/>
            <w:vAlign w:val="center"/>
          </w:tcPr>
          <w:p>
            <w:pPr>
              <w:adjustRightInd w:val="0"/>
              <w:snapToGrid w:val="0"/>
              <w:jc w:val="center"/>
              <w:textAlignment w:val="baseline"/>
              <w:rPr>
                <w:color w:val="auto"/>
                <w:kern w:val="21"/>
              </w:rPr>
            </w:pPr>
          </w:p>
        </w:tc>
        <w:tc>
          <w:tcPr>
            <w:tcW w:w="754" w:type="pct"/>
            <w:vAlign w:val="center"/>
          </w:tcPr>
          <w:p>
            <w:pPr>
              <w:adjustRightInd w:val="0"/>
              <w:snapToGrid w:val="0"/>
              <w:jc w:val="center"/>
              <w:textAlignment w:val="baseline"/>
              <w:rPr>
                <w:color w:val="auto"/>
                <w:kern w:val="21"/>
              </w:rPr>
            </w:pPr>
            <w:r>
              <w:rPr>
                <w:color w:val="auto"/>
                <w:kern w:val="21"/>
              </w:rPr>
              <w:t>电焊机</w:t>
            </w:r>
          </w:p>
        </w:tc>
        <w:tc>
          <w:tcPr>
            <w:tcW w:w="501" w:type="pct"/>
            <w:vAlign w:val="center"/>
          </w:tcPr>
          <w:p>
            <w:pPr>
              <w:pStyle w:val="377"/>
              <w:adjustRightInd w:val="0"/>
              <w:snapToGrid w:val="0"/>
              <w:jc w:val="center"/>
              <w:rPr>
                <w:color w:val="auto"/>
                <w:kern w:val="21"/>
              </w:rPr>
            </w:pPr>
            <w:r>
              <w:rPr>
                <w:rFonts w:hint="eastAsia"/>
                <w:color w:val="auto"/>
                <w:kern w:val="21"/>
              </w:rPr>
              <w:t>255</w:t>
            </w:r>
          </w:p>
        </w:tc>
        <w:tc>
          <w:tcPr>
            <w:tcW w:w="669" w:type="pct"/>
            <w:vAlign w:val="center"/>
          </w:tcPr>
          <w:p>
            <w:pPr>
              <w:adjustRightInd w:val="0"/>
              <w:snapToGrid w:val="0"/>
              <w:jc w:val="center"/>
              <w:textAlignment w:val="center"/>
              <w:rPr>
                <w:rFonts w:hint="default" w:eastAsia="宋体"/>
                <w:color w:val="auto"/>
                <w:kern w:val="21"/>
                <w:lang w:val="en-US" w:eastAsia="zh-CN"/>
              </w:rPr>
            </w:pPr>
            <w:r>
              <w:rPr>
                <w:rFonts w:hint="eastAsia"/>
                <w:color w:val="auto"/>
                <w:kern w:val="21"/>
                <w:lang w:val="en-US" w:eastAsia="zh-CN"/>
              </w:rPr>
              <w:t>10</w:t>
            </w:r>
          </w:p>
        </w:tc>
        <w:tc>
          <w:tcPr>
            <w:tcW w:w="587" w:type="pct"/>
            <w:vMerge w:val="continue"/>
            <w:vAlign w:val="center"/>
          </w:tcPr>
          <w:p>
            <w:pPr>
              <w:pStyle w:val="377"/>
              <w:adjustRightInd w:val="0"/>
              <w:snapToGrid w:val="0"/>
              <w:jc w:val="center"/>
              <w:rPr>
                <w:color w:val="auto"/>
                <w:kern w:val="21"/>
              </w:rPr>
            </w:pPr>
          </w:p>
        </w:tc>
        <w:tc>
          <w:tcPr>
            <w:tcW w:w="669" w:type="pct"/>
            <w:vMerge w:val="continue"/>
            <w:vAlign w:val="center"/>
          </w:tcPr>
          <w:p>
            <w:pPr>
              <w:pStyle w:val="377"/>
              <w:adjustRightInd w:val="0"/>
              <w:snapToGrid w:val="0"/>
              <w:jc w:val="center"/>
              <w:rPr>
                <w:color w:val="auto"/>
                <w:kern w:val="21"/>
              </w:rPr>
            </w:pPr>
          </w:p>
        </w:tc>
        <w:tc>
          <w:tcPr>
            <w:tcW w:w="561" w:type="pct"/>
            <w:vMerge w:val="continue"/>
            <w:vAlign w:val="center"/>
          </w:tcPr>
          <w:p>
            <w:pPr>
              <w:pStyle w:val="377"/>
              <w:adjustRightInd w:val="0"/>
              <w:snapToGrid w:val="0"/>
              <w:jc w:val="center"/>
              <w:rPr>
                <w:color w:val="auto"/>
                <w:kern w:val="21"/>
              </w:rPr>
            </w:pP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baseline"/>
        <w:rPr>
          <w:color w:val="auto"/>
          <w:kern w:val="0"/>
          <w:sz w:val="24"/>
          <w:szCs w:val="20"/>
        </w:rPr>
      </w:pPr>
      <w:r>
        <w:rPr>
          <w:color w:val="auto"/>
          <w:kern w:val="0"/>
          <w:sz w:val="24"/>
          <w:szCs w:val="20"/>
        </w:rPr>
        <w:t>由上表可以看出，工程完成后，西、南、北、东厂界昼间、夜间噪声预测值均能满足《工业企业厂界环境噪声排放标准》（GB12348-2008）</w:t>
      </w:r>
      <w:r>
        <w:rPr>
          <w:rFonts w:hint="eastAsia"/>
          <w:color w:val="auto"/>
          <w:kern w:val="0"/>
          <w:sz w:val="24"/>
          <w:szCs w:val="20"/>
        </w:rPr>
        <w:t>3</w:t>
      </w:r>
      <w:r>
        <w:rPr>
          <w:color w:val="auto"/>
          <w:kern w:val="0"/>
          <w:sz w:val="24"/>
          <w:szCs w:val="20"/>
        </w:rPr>
        <w:t>类标准，工程噪声对周围声环境影响不大，可接受。</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w:t>
      </w:r>
      <w:r>
        <w:rPr>
          <w:rFonts w:hint="eastAsia"/>
          <w:bCs w:val="0"/>
          <w:color w:val="auto"/>
          <w:kern w:val="21"/>
          <w:sz w:val="28"/>
          <w:szCs w:val="28"/>
        </w:rPr>
        <w:t>3.7声</w:t>
      </w:r>
      <w:r>
        <w:rPr>
          <w:bCs w:val="0"/>
          <w:color w:val="auto"/>
          <w:kern w:val="21"/>
          <w:sz w:val="28"/>
          <w:szCs w:val="28"/>
        </w:rPr>
        <w:t>环境影响评价自查表</w:t>
      </w:r>
    </w:p>
    <w:p>
      <w:pPr>
        <w:adjustRightInd w:val="0"/>
        <w:snapToGrid w:val="0"/>
        <w:spacing w:line="360" w:lineRule="auto"/>
        <w:ind w:firstLine="480" w:firstLineChars="200"/>
        <w:rPr>
          <w:color w:val="auto"/>
          <w:kern w:val="21"/>
          <w:sz w:val="24"/>
        </w:rPr>
      </w:pPr>
      <w:r>
        <w:rPr>
          <w:color w:val="auto"/>
          <w:kern w:val="21"/>
          <w:sz w:val="24"/>
        </w:rPr>
        <w:t>声环境影响评价自查表见表</w:t>
      </w:r>
      <w:r>
        <w:rPr>
          <w:rFonts w:hint="eastAsia"/>
          <w:color w:val="auto"/>
          <w:kern w:val="21"/>
          <w:sz w:val="24"/>
        </w:rPr>
        <w:t>5.3-4。</w:t>
      </w:r>
    </w:p>
    <w:p>
      <w:pPr>
        <w:jc w:val="center"/>
        <w:rPr>
          <w:rFonts w:eastAsia="黑体"/>
          <w:bCs/>
          <w:color w:val="auto"/>
          <w:sz w:val="24"/>
        </w:rPr>
      </w:pPr>
      <w:r>
        <w:rPr>
          <w:rFonts w:eastAsia="黑体"/>
          <w:color w:val="auto"/>
          <w:sz w:val="24"/>
          <w:szCs w:val="20"/>
        </w:rPr>
        <w:t>表5.</w:t>
      </w:r>
      <w:r>
        <w:rPr>
          <w:rFonts w:hint="eastAsia" w:eastAsia="黑体"/>
          <w:color w:val="auto"/>
          <w:sz w:val="24"/>
          <w:szCs w:val="20"/>
        </w:rPr>
        <w:t>3</w:t>
      </w:r>
      <w:r>
        <w:rPr>
          <w:rFonts w:eastAsia="黑体"/>
          <w:color w:val="auto"/>
          <w:sz w:val="24"/>
          <w:szCs w:val="20"/>
        </w:rPr>
        <w:t>-</w:t>
      </w:r>
      <w:r>
        <w:rPr>
          <w:rFonts w:hint="eastAsia" w:eastAsia="黑体"/>
          <w:color w:val="auto"/>
          <w:sz w:val="24"/>
          <w:szCs w:val="20"/>
        </w:rPr>
        <w:t>4</w:t>
      </w:r>
      <w:r>
        <w:rPr>
          <w:rFonts w:eastAsia="黑体"/>
          <w:color w:val="auto"/>
          <w:sz w:val="24"/>
          <w:szCs w:val="20"/>
        </w:rPr>
        <w:t xml:space="preserve">  本项目声环境影响评价自查表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1342"/>
        <w:gridCol w:w="1030"/>
        <w:gridCol w:w="520"/>
        <w:gridCol w:w="397"/>
        <w:gridCol w:w="1113"/>
        <w:gridCol w:w="51"/>
        <w:gridCol w:w="438"/>
        <w:gridCol w:w="592"/>
        <w:gridCol w:w="114"/>
        <w:gridCol w:w="408"/>
        <w:gridCol w:w="448"/>
        <w:gridCol w:w="72"/>
        <w:gridCol w:w="1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330"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工作内容</w:t>
            </w:r>
          </w:p>
        </w:tc>
        <w:tc>
          <w:tcPr>
            <w:tcW w:w="3669" w:type="pct"/>
            <w:gridSpan w:val="1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543" w:type="pct"/>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评价等级与范围</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评价等级</w:t>
            </w:r>
          </w:p>
        </w:tc>
        <w:tc>
          <w:tcPr>
            <w:tcW w:w="3669" w:type="pct"/>
            <w:gridSpan w:val="1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一级□              二级□           三级</w:t>
            </w:r>
            <w:r>
              <w:rPr>
                <w:rFonts w:hint="default" w:ascii="Times New Roman" w:hAnsi="Times New Roman" w:cs="Times New Roman"/>
                <w:color w:val="auto"/>
                <w:kern w:val="21"/>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评价范围</w:t>
            </w:r>
          </w:p>
        </w:tc>
        <w:tc>
          <w:tcPr>
            <w:tcW w:w="3669" w:type="pct"/>
            <w:gridSpan w:val="12"/>
            <w:vAlign w:val="center"/>
          </w:tcPr>
          <w:p>
            <w:pPr>
              <w:keepNext w:val="0"/>
              <w:keepLines w:val="0"/>
              <w:pageBreakBefore w:val="0"/>
              <w:widowControl/>
              <w:kinsoku/>
              <w:wordWrap/>
              <w:overflowPunct/>
              <w:topLinePunct w:val="0"/>
              <w:autoSpaceDE/>
              <w:autoSpaceDN/>
              <w:bidi w:val="0"/>
              <w:adjustRightInd/>
              <w:snapToGrid/>
              <w:spacing w:line="240" w:lineRule="auto"/>
              <w:ind w:firstLine="630" w:firstLineChars="30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 m</w:t>
            </w:r>
            <w:r>
              <w:rPr>
                <w:rFonts w:hint="default" w:ascii="Times New Roman" w:hAnsi="Times New Roman" w:cs="Times New Roman"/>
                <w:color w:val="auto"/>
                <w:kern w:val="21"/>
                <w:sz w:val="21"/>
                <w:szCs w:val="21"/>
              </w:rPr>
              <w:sym w:font="Wingdings 2" w:char="0052"/>
            </w:r>
            <w:r>
              <w:rPr>
                <w:rFonts w:hint="default" w:ascii="Times New Roman" w:hAnsi="Times New Roman" w:cs="Times New Roman"/>
                <w:color w:val="auto"/>
                <w:sz w:val="21"/>
                <w:szCs w:val="21"/>
              </w:rPr>
              <w:t xml:space="preserve">       </w:t>
            </w:r>
            <w:r>
              <w:rPr>
                <w:rFonts w:hint="eastAsia" w:cs="Times New Roman"/>
                <w:color w:val="auto"/>
                <w:sz w:val="21"/>
                <w:szCs w:val="21"/>
                <w:lang w:val="en-US" w:eastAsia="zh-CN"/>
              </w:rPr>
              <w:t xml:space="preserve">  </w:t>
            </w:r>
            <w:r>
              <w:rPr>
                <w:rFonts w:hint="default" w:ascii="Times New Roman" w:hAnsi="Times New Roman" w:cs="Times New Roman"/>
                <w:color w:val="auto"/>
                <w:sz w:val="21"/>
                <w:szCs w:val="21"/>
              </w:rPr>
              <w:t xml:space="preserve"> 大于200 m□        小于200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543"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评价因子</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评价因子</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等效连续A声级</w:t>
            </w:r>
            <w:r>
              <w:rPr>
                <w:rFonts w:hint="default" w:ascii="Times New Roman" w:hAnsi="Times New Roman" w:cs="Times New Roman"/>
                <w:color w:val="auto"/>
                <w:kern w:val="21"/>
                <w:sz w:val="21"/>
                <w:szCs w:val="21"/>
              </w:rPr>
              <w:sym w:font="Wingdings 2" w:char="0052"/>
            </w:r>
          </w:p>
        </w:tc>
        <w:tc>
          <w:tcPr>
            <w:tcW w:w="940"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最大A声级□</w:t>
            </w:r>
          </w:p>
        </w:tc>
        <w:tc>
          <w:tcPr>
            <w:tcW w:w="1586" w:type="pct"/>
            <w:gridSpan w:val="6"/>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计权等效连续感觉噪声级□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543"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评价标准</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评价标准</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国家标准</w:t>
            </w:r>
            <w:r>
              <w:rPr>
                <w:rFonts w:hint="default" w:ascii="Times New Roman" w:hAnsi="Times New Roman" w:cs="Times New Roman"/>
                <w:color w:val="auto"/>
                <w:kern w:val="21"/>
                <w:sz w:val="21"/>
                <w:szCs w:val="21"/>
              </w:rPr>
              <w:sym w:font="Wingdings 2" w:char="0052"/>
            </w:r>
          </w:p>
        </w:tc>
        <w:tc>
          <w:tcPr>
            <w:tcW w:w="940"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地方标准□</w:t>
            </w:r>
          </w:p>
        </w:tc>
        <w:tc>
          <w:tcPr>
            <w:tcW w:w="916"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670"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国外标准□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3" w:type="pct"/>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现状评价</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环境功能区</w:t>
            </w:r>
          </w:p>
        </w:tc>
        <w:tc>
          <w:tcPr>
            <w:tcW w:w="60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0类区□</w:t>
            </w:r>
          </w:p>
        </w:tc>
        <w:tc>
          <w:tcPr>
            <w:tcW w:w="537"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1类区□</w:t>
            </w:r>
          </w:p>
        </w:tc>
        <w:tc>
          <w:tcPr>
            <w:tcW w:w="683"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2类区□</w:t>
            </w:r>
          </w:p>
        </w:tc>
        <w:tc>
          <w:tcPr>
            <w:tcW w:w="604"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3类区</w:t>
            </w:r>
            <w:r>
              <w:rPr>
                <w:rFonts w:hint="default" w:ascii="Times New Roman" w:hAnsi="Times New Roman" w:cs="Times New Roman"/>
                <w:color w:val="auto"/>
                <w:kern w:val="21"/>
                <w:sz w:val="21"/>
                <w:szCs w:val="21"/>
              </w:rPr>
              <w:sym w:font="Wingdings 2" w:char="0052"/>
            </w:r>
          </w:p>
        </w:tc>
        <w:tc>
          <w:tcPr>
            <w:tcW w:w="611"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4a类区□</w:t>
            </w:r>
          </w:p>
        </w:tc>
        <w:tc>
          <w:tcPr>
            <w:tcW w:w="628"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4b类区□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评价年度</w:t>
            </w:r>
          </w:p>
        </w:tc>
        <w:tc>
          <w:tcPr>
            <w:tcW w:w="909"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初期□</w:t>
            </w:r>
          </w:p>
        </w:tc>
        <w:tc>
          <w:tcPr>
            <w:tcW w:w="916"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近期□</w:t>
            </w:r>
          </w:p>
        </w:tc>
        <w:tc>
          <w:tcPr>
            <w:tcW w:w="910"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中期□</w:t>
            </w:r>
          </w:p>
        </w:tc>
        <w:tc>
          <w:tcPr>
            <w:tcW w:w="933"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远期□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现状调查方法</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现场实测法</w:t>
            </w:r>
            <w:r>
              <w:rPr>
                <w:rFonts w:hint="default" w:ascii="Times New Roman" w:hAnsi="Times New Roman" w:cs="Times New Roman"/>
                <w:color w:val="auto"/>
                <w:kern w:val="21"/>
                <w:sz w:val="21"/>
                <w:szCs w:val="21"/>
              </w:rPr>
              <w:sym w:font="Wingdings 2" w:char="0052"/>
            </w:r>
          </w:p>
        </w:tc>
        <w:tc>
          <w:tcPr>
            <w:tcW w:w="940"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现场实测加模型计算法□</w:t>
            </w:r>
          </w:p>
        </w:tc>
        <w:tc>
          <w:tcPr>
            <w:tcW w:w="1586" w:type="pct"/>
            <w:gridSpan w:val="6"/>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收集资料□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现状评价</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达标百分比</w:t>
            </w:r>
          </w:p>
        </w:tc>
        <w:tc>
          <w:tcPr>
            <w:tcW w:w="2526" w:type="pct"/>
            <w:gridSpan w:val="9"/>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543"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噪声源</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调查</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噪声源调查方法</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现场实测□</w:t>
            </w:r>
          </w:p>
        </w:tc>
        <w:tc>
          <w:tcPr>
            <w:tcW w:w="1354" w:type="pct"/>
            <w:gridSpan w:val="5"/>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已有资料</w:t>
            </w:r>
            <w:r>
              <w:rPr>
                <w:rFonts w:hint="default" w:ascii="Times New Roman" w:hAnsi="Times New Roman" w:cs="Times New Roman"/>
                <w:color w:val="auto"/>
                <w:kern w:val="21"/>
                <w:sz w:val="21"/>
                <w:szCs w:val="21"/>
              </w:rPr>
              <w:sym w:font="Wingdings 2" w:char="0052"/>
            </w:r>
          </w:p>
        </w:tc>
        <w:tc>
          <w:tcPr>
            <w:tcW w:w="1172"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研究成果□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543" w:type="pct"/>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声环境影响预测与评价</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预测模型</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导则推荐模型</w:t>
            </w:r>
            <w:r>
              <w:rPr>
                <w:rFonts w:hint="default" w:ascii="Times New Roman" w:hAnsi="Times New Roman" w:cs="Times New Roman"/>
                <w:color w:val="auto"/>
                <w:kern w:val="21"/>
                <w:sz w:val="21"/>
                <w:szCs w:val="21"/>
              </w:rPr>
              <w:sym w:font="Wingdings 2" w:char="0052"/>
            </w:r>
          </w:p>
        </w:tc>
        <w:tc>
          <w:tcPr>
            <w:tcW w:w="2526" w:type="pct"/>
            <w:gridSpan w:val="9"/>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w:t>
            </w:r>
            <w:r>
              <w:rPr>
                <w:rFonts w:hint="default" w:ascii="Times New Roman" w:hAnsi="Times New Roman" w:cs="Times New Roman"/>
                <w:color w:val="auto"/>
                <w:sz w:val="21"/>
                <w:szCs w:val="21"/>
                <w:u w:val="single"/>
              </w:rPr>
              <w:t xml:space="preserve">           </w:t>
            </w:r>
            <w:r>
              <w:rPr>
                <w:rFonts w:hint="default" w:ascii="Times New Roman" w:hAnsi="Times New Roman" w:cs="Times New Roman"/>
                <w:color w:val="auto"/>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预测范围</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 m</w:t>
            </w:r>
            <w:r>
              <w:rPr>
                <w:rFonts w:hint="default" w:ascii="Times New Roman" w:hAnsi="Times New Roman" w:cs="Times New Roman"/>
                <w:color w:val="auto"/>
                <w:kern w:val="21"/>
                <w:sz w:val="21"/>
                <w:szCs w:val="21"/>
              </w:rPr>
              <w:sym w:font="Wingdings 2" w:char="0052"/>
            </w:r>
          </w:p>
        </w:tc>
        <w:tc>
          <w:tcPr>
            <w:tcW w:w="940"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大于200 m□</w:t>
            </w:r>
          </w:p>
        </w:tc>
        <w:tc>
          <w:tcPr>
            <w:tcW w:w="1586" w:type="pct"/>
            <w:gridSpan w:val="6"/>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小于200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预测因子</w:t>
            </w:r>
          </w:p>
        </w:tc>
        <w:tc>
          <w:tcPr>
            <w:tcW w:w="1142"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等效连续A声级</w:t>
            </w:r>
            <w:r>
              <w:rPr>
                <w:rFonts w:hint="default" w:ascii="Times New Roman" w:hAnsi="Times New Roman" w:cs="Times New Roman"/>
                <w:color w:val="auto"/>
                <w:kern w:val="21"/>
                <w:sz w:val="21"/>
                <w:szCs w:val="21"/>
              </w:rPr>
              <w:sym w:font="Wingdings 2" w:char="00A3"/>
            </w:r>
          </w:p>
        </w:tc>
        <w:tc>
          <w:tcPr>
            <w:tcW w:w="940" w:type="pct"/>
            <w:gridSpan w:val="3"/>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最大A声级□</w:t>
            </w:r>
          </w:p>
        </w:tc>
        <w:tc>
          <w:tcPr>
            <w:tcW w:w="1586" w:type="pct"/>
            <w:gridSpan w:val="6"/>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计权等效连续感觉噪声级□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厂界噪声贡献值</w:t>
            </w:r>
          </w:p>
        </w:tc>
        <w:tc>
          <w:tcPr>
            <w:tcW w:w="1795"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达标 </w:t>
            </w:r>
            <w:r>
              <w:rPr>
                <w:rFonts w:hint="default" w:ascii="Times New Roman" w:hAnsi="Times New Roman" w:cs="Times New Roman"/>
                <w:color w:val="auto"/>
                <w:kern w:val="21"/>
                <w:sz w:val="21"/>
                <w:szCs w:val="21"/>
              </w:rPr>
              <w:sym w:font="Wingdings 2" w:char="0052"/>
            </w:r>
          </w:p>
        </w:tc>
        <w:tc>
          <w:tcPr>
            <w:tcW w:w="1874" w:type="pct"/>
            <w:gridSpan w:val="8"/>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声环境保护目标处噪声值</w:t>
            </w:r>
          </w:p>
        </w:tc>
        <w:tc>
          <w:tcPr>
            <w:tcW w:w="1795"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达标□</w:t>
            </w:r>
          </w:p>
        </w:tc>
        <w:tc>
          <w:tcPr>
            <w:tcW w:w="1874" w:type="pct"/>
            <w:gridSpan w:val="8"/>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3" w:type="pct"/>
            <w:vMerge w:val="restar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环境监测计划</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排放监测</w:t>
            </w:r>
          </w:p>
        </w:tc>
        <w:tc>
          <w:tcPr>
            <w:tcW w:w="1795"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厂界监测</w:t>
            </w:r>
            <w:r>
              <w:rPr>
                <w:rFonts w:hint="default" w:ascii="Times New Roman" w:hAnsi="Times New Roman" w:cs="Times New Roman"/>
                <w:color w:val="auto"/>
                <w:kern w:val="21"/>
                <w:sz w:val="21"/>
                <w:szCs w:val="21"/>
              </w:rPr>
              <w:sym w:font="Wingdings 2" w:char="0052"/>
            </w:r>
            <w:r>
              <w:rPr>
                <w:rFonts w:hint="default" w:ascii="Times New Roman" w:hAnsi="Times New Roman" w:cs="Times New Roman"/>
                <w:color w:val="auto"/>
                <w:sz w:val="21"/>
                <w:szCs w:val="21"/>
              </w:rPr>
              <w:t xml:space="preserve">    固定位置监测□</w:t>
            </w:r>
          </w:p>
        </w:tc>
        <w:tc>
          <w:tcPr>
            <w:tcW w:w="1203" w:type="pct"/>
            <w:gridSpan w:val="6"/>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自动监测□ 手动监测□</w:t>
            </w:r>
          </w:p>
        </w:tc>
        <w:tc>
          <w:tcPr>
            <w:tcW w:w="670"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43" w:type="pct"/>
            <w:vMerge w:val="continue"/>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声环境保护目标处噪声监测</w:t>
            </w:r>
          </w:p>
        </w:tc>
        <w:tc>
          <w:tcPr>
            <w:tcW w:w="1795" w:type="pct"/>
            <w:gridSpan w:val="4"/>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监测因子：（     ）</w:t>
            </w:r>
          </w:p>
        </w:tc>
        <w:tc>
          <w:tcPr>
            <w:tcW w:w="1203" w:type="pct"/>
            <w:gridSpan w:val="6"/>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监测点位数（     ）</w:t>
            </w:r>
          </w:p>
        </w:tc>
        <w:tc>
          <w:tcPr>
            <w:tcW w:w="670" w:type="pct"/>
            <w:gridSpan w:val="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543"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评价结论</w:t>
            </w:r>
          </w:p>
        </w:tc>
        <w:tc>
          <w:tcPr>
            <w:tcW w:w="78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环境影响</w:t>
            </w:r>
          </w:p>
        </w:tc>
        <w:tc>
          <w:tcPr>
            <w:tcW w:w="3669" w:type="pct"/>
            <w:gridSpan w:val="12"/>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可行</w:t>
            </w:r>
            <w:r>
              <w:rPr>
                <w:rFonts w:hint="default" w:ascii="Times New Roman" w:hAnsi="Times New Roman" w:cs="Times New Roman"/>
                <w:color w:val="auto"/>
                <w:kern w:val="21"/>
                <w:sz w:val="21"/>
                <w:szCs w:val="21"/>
              </w:rPr>
              <w:sym w:font="Wingdings 2" w:char="0052"/>
            </w:r>
            <w:r>
              <w:rPr>
                <w:rFonts w:hint="default" w:ascii="Times New Roman" w:hAnsi="Times New Roman" w:cs="Times New Roman"/>
                <w:color w:val="auto"/>
                <w:sz w:val="21"/>
                <w:szCs w:val="21"/>
              </w:rPr>
              <w:t xml:space="preserve">       不可行□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5000" w:type="pct"/>
            <w:gridSpan w:val="14"/>
            <w:vAlign w:val="center"/>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 为勾选项 ，可√ ；“（   ）” 为内容填写项。</w:t>
            </w:r>
          </w:p>
        </w:tc>
      </w:tr>
    </w:tbl>
    <w:p>
      <w:pPr>
        <w:pStyle w:val="4"/>
        <w:spacing w:before="120" w:after="120"/>
        <w:rPr>
          <w:color w:val="auto"/>
        </w:rPr>
      </w:pPr>
      <w:bookmarkStart w:id="338" w:name="_Toc112338951"/>
      <w:bookmarkStart w:id="339" w:name="_Toc58828279"/>
      <w:r>
        <w:rPr>
          <w:color w:val="auto"/>
        </w:rPr>
        <w:t>5.4固体废物环境影响分析</w:t>
      </w:r>
      <w:bookmarkEnd w:id="338"/>
      <w:bookmarkEnd w:id="339"/>
    </w:p>
    <w:p>
      <w:pPr>
        <w:pStyle w:val="5"/>
        <w:keepNext w:val="0"/>
        <w:keepLines w:val="0"/>
        <w:snapToGrid w:val="0"/>
        <w:spacing w:before="0" w:beforeLines="0" w:after="0" w:afterLines="0"/>
        <w:jc w:val="both"/>
        <w:rPr>
          <w:bCs w:val="0"/>
          <w:color w:val="auto"/>
          <w:kern w:val="21"/>
          <w:sz w:val="28"/>
          <w:szCs w:val="28"/>
        </w:rPr>
      </w:pPr>
      <w:bookmarkStart w:id="340" w:name="_Toc58828280"/>
      <w:r>
        <w:rPr>
          <w:bCs w:val="0"/>
          <w:color w:val="auto"/>
          <w:kern w:val="21"/>
          <w:sz w:val="28"/>
          <w:szCs w:val="28"/>
        </w:rPr>
        <w:t>5.4.1固体废物产生情况</w:t>
      </w:r>
    </w:p>
    <w:p>
      <w:pPr>
        <w:adjustRightInd w:val="0"/>
        <w:snapToGrid w:val="0"/>
        <w:spacing w:line="360" w:lineRule="auto"/>
        <w:ind w:firstLine="480" w:firstLineChars="200"/>
        <w:rPr>
          <w:color w:val="auto"/>
          <w:kern w:val="21"/>
          <w:sz w:val="24"/>
        </w:rPr>
      </w:pPr>
      <w:r>
        <w:rPr>
          <w:color w:val="auto"/>
          <w:kern w:val="21"/>
          <w:sz w:val="24"/>
        </w:rPr>
        <w:t>本项目产生的一般固废主要为边角料、不合格镀件、纯水制备</w:t>
      </w:r>
      <w:r>
        <w:rPr>
          <w:rFonts w:hint="eastAsia"/>
          <w:color w:val="auto"/>
          <w:kern w:val="21"/>
          <w:sz w:val="24"/>
          <w:lang w:eastAsia="zh-CN"/>
        </w:rPr>
        <w:t>废</w:t>
      </w:r>
      <w:r>
        <w:rPr>
          <w:rFonts w:hint="eastAsia"/>
          <w:color w:val="auto"/>
          <w:kern w:val="21"/>
          <w:sz w:val="24"/>
        </w:rPr>
        <w:t>RO膜、除尘器粉尘以及</w:t>
      </w:r>
      <w:r>
        <w:rPr>
          <w:color w:val="auto"/>
          <w:kern w:val="21"/>
          <w:sz w:val="24"/>
        </w:rPr>
        <w:t>生活垃圾</w:t>
      </w:r>
      <w:r>
        <w:rPr>
          <w:rFonts w:hint="eastAsia"/>
          <w:color w:val="auto"/>
          <w:kern w:val="21"/>
          <w:sz w:val="24"/>
        </w:rPr>
        <w:t>；危险废物为镀镍槽液、镀锌槽液、含镍废物、含锌废物、含铬废物、</w:t>
      </w:r>
      <w:r>
        <w:rPr>
          <w:rFonts w:hint="eastAsia"/>
          <w:snapToGrid w:val="0"/>
          <w:color w:val="auto"/>
          <w:kern w:val="21"/>
          <w:sz w:val="24"/>
          <w:szCs w:val="24"/>
        </w:rPr>
        <w:t>气浮池污油</w:t>
      </w:r>
      <w:r>
        <w:rPr>
          <w:rFonts w:hint="eastAsia"/>
          <w:color w:val="auto"/>
          <w:kern w:val="21"/>
          <w:sz w:val="24"/>
        </w:rPr>
        <w:t>、废机油、废水反渗透膜、生化处理污泥</w:t>
      </w:r>
      <w:r>
        <w:rPr>
          <w:color w:val="auto"/>
          <w:kern w:val="21"/>
          <w:sz w:val="24"/>
        </w:rPr>
        <w:t>。</w:t>
      </w:r>
    </w:p>
    <w:p>
      <w:pPr>
        <w:pStyle w:val="5"/>
        <w:keepNext w:val="0"/>
        <w:keepLines w:val="0"/>
        <w:snapToGrid w:val="0"/>
        <w:spacing w:before="0" w:beforeLines="0" w:after="0" w:afterLines="0"/>
        <w:jc w:val="both"/>
        <w:rPr>
          <w:color w:val="auto"/>
          <w:kern w:val="21"/>
          <w:sz w:val="28"/>
          <w:szCs w:val="28"/>
        </w:rPr>
      </w:pPr>
      <w:r>
        <w:rPr>
          <w:color w:val="auto"/>
          <w:kern w:val="21"/>
          <w:sz w:val="28"/>
          <w:szCs w:val="28"/>
        </w:rPr>
        <w:t>5.4.2固体废物处置可行性分析</w:t>
      </w:r>
    </w:p>
    <w:p>
      <w:pPr>
        <w:adjustRightInd w:val="0"/>
        <w:snapToGrid w:val="0"/>
        <w:spacing w:line="360" w:lineRule="auto"/>
        <w:ind w:firstLine="480" w:firstLineChars="200"/>
        <w:rPr>
          <w:color w:val="auto"/>
          <w:kern w:val="21"/>
          <w:sz w:val="24"/>
          <w:szCs w:val="24"/>
        </w:rPr>
      </w:pPr>
      <w:r>
        <w:rPr>
          <w:color w:val="auto"/>
          <w:kern w:val="21"/>
          <w:sz w:val="24"/>
        </w:rPr>
        <w:t>一般固废主要为边角料、不合格镀件、纯水制备</w:t>
      </w:r>
      <w:r>
        <w:rPr>
          <w:rFonts w:hint="eastAsia"/>
          <w:color w:val="auto"/>
          <w:kern w:val="21"/>
          <w:sz w:val="24"/>
          <w:lang w:eastAsia="zh-CN"/>
        </w:rPr>
        <w:t>废</w:t>
      </w:r>
      <w:r>
        <w:rPr>
          <w:rFonts w:hint="eastAsia"/>
          <w:color w:val="auto"/>
          <w:kern w:val="21"/>
          <w:sz w:val="24"/>
        </w:rPr>
        <w:t>RO膜暂存于一般固废暂存间，综合利用；</w:t>
      </w:r>
      <w:r>
        <w:rPr>
          <w:color w:val="auto"/>
          <w:kern w:val="21"/>
          <w:sz w:val="24"/>
          <w:szCs w:val="24"/>
        </w:rPr>
        <w:t>职工生活垃圾集中收集后送环卫垃圾中转站。</w:t>
      </w:r>
    </w:p>
    <w:p>
      <w:pPr>
        <w:pStyle w:val="32"/>
        <w:spacing w:after="0" w:line="360" w:lineRule="auto"/>
        <w:ind w:firstLine="480"/>
        <w:rPr>
          <w:color w:val="auto"/>
          <w:kern w:val="21"/>
          <w:sz w:val="24"/>
        </w:rPr>
      </w:pPr>
      <w:r>
        <w:rPr>
          <w:rFonts w:hint="eastAsia"/>
          <w:color w:val="auto"/>
          <w:kern w:val="21"/>
          <w:sz w:val="24"/>
        </w:rPr>
        <w:t>危险废物镀镍槽液、镀锌槽液每5年更换一次，由危废处置单位直接拉走，不暂存，含镍废物、含锌废物、含铬废物、</w:t>
      </w:r>
      <w:r>
        <w:rPr>
          <w:rFonts w:hint="eastAsia"/>
          <w:snapToGrid w:val="0"/>
          <w:color w:val="auto"/>
          <w:kern w:val="21"/>
          <w:sz w:val="24"/>
        </w:rPr>
        <w:t>气浮池污油</w:t>
      </w:r>
      <w:r>
        <w:rPr>
          <w:rFonts w:hint="eastAsia"/>
          <w:color w:val="auto"/>
          <w:kern w:val="21"/>
          <w:sz w:val="24"/>
        </w:rPr>
        <w:t>、废机油、废水反渗透膜（3年更换一次）、生化处理污泥暂存于危废暂存间，定期交有资质的单位处置</w:t>
      </w:r>
      <w:r>
        <w:rPr>
          <w:color w:val="auto"/>
          <w:kern w:val="21"/>
          <w:sz w:val="24"/>
        </w:rPr>
        <w:t>。</w:t>
      </w:r>
    </w:p>
    <w:p>
      <w:pPr>
        <w:adjustRightInd w:val="0"/>
        <w:snapToGrid w:val="0"/>
        <w:spacing w:line="360" w:lineRule="auto"/>
        <w:ind w:firstLine="480" w:firstLineChars="200"/>
        <w:rPr>
          <w:b/>
          <w:color w:val="auto"/>
          <w:kern w:val="21"/>
          <w:sz w:val="24"/>
          <w:szCs w:val="24"/>
          <w:u w:val="single"/>
        </w:rPr>
      </w:pPr>
      <w:r>
        <w:rPr>
          <w:color w:val="auto"/>
          <w:kern w:val="21"/>
          <w:sz w:val="24"/>
          <w:szCs w:val="24"/>
        </w:rPr>
        <w:t xml:space="preserve">本项目产生的固体废物去向明确，厂区内设置有固体废物暂存设施，且采取有相应的防腐防渗措施，暂存过程中不会产生二次污染，不会对环境产生不利影响。 </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5.4.3危险废物贮存设施环境影响分析</w:t>
      </w:r>
    </w:p>
    <w:p>
      <w:pPr>
        <w:adjustRightInd w:val="0"/>
        <w:snapToGrid w:val="0"/>
        <w:spacing w:line="360" w:lineRule="auto"/>
        <w:ind w:firstLine="480" w:firstLineChars="200"/>
        <w:rPr>
          <w:color w:val="auto"/>
          <w:kern w:val="21"/>
          <w:sz w:val="24"/>
          <w:szCs w:val="24"/>
        </w:rPr>
      </w:pPr>
      <w:r>
        <w:rPr>
          <w:color w:val="auto"/>
          <w:kern w:val="21"/>
          <w:sz w:val="24"/>
          <w:szCs w:val="24"/>
        </w:rPr>
        <w:t>本项目拟在北厂房外设置一座危废暂存间，占地面积</w:t>
      </w:r>
      <w:r>
        <w:rPr>
          <w:rFonts w:hint="eastAsia"/>
          <w:color w:val="auto"/>
          <w:kern w:val="21"/>
          <w:sz w:val="24"/>
          <w:szCs w:val="24"/>
        </w:rPr>
        <w:t>150</w:t>
      </w:r>
      <w:r>
        <w:rPr>
          <w:color w:val="auto"/>
          <w:kern w:val="21"/>
          <w:sz w:val="24"/>
          <w:szCs w:val="24"/>
        </w:rPr>
        <w:t>m</w:t>
      </w:r>
      <w:r>
        <w:rPr>
          <w:color w:val="auto"/>
          <w:kern w:val="21"/>
          <w:sz w:val="24"/>
          <w:szCs w:val="24"/>
          <w:vertAlign w:val="superscript"/>
        </w:rPr>
        <w:t>2</w:t>
      </w:r>
      <w:r>
        <w:rPr>
          <w:color w:val="auto"/>
          <w:kern w:val="21"/>
          <w:sz w:val="24"/>
          <w:szCs w:val="24"/>
        </w:rPr>
        <w:t>。对照《危险废物贮存污染控制标准》（GB18597-2001）及其修改单，本项目危废暂存间的建设符合污染控制标准中一般要求、贮存设施设计原则、危险废物的堆放要求等，详见下表。</w:t>
      </w:r>
    </w:p>
    <w:p>
      <w:pPr>
        <w:tabs>
          <w:tab w:val="left" w:pos="1907"/>
        </w:tabs>
        <w:adjustRightInd w:val="0"/>
        <w:snapToGrid w:val="0"/>
        <w:jc w:val="center"/>
        <w:rPr>
          <w:rFonts w:eastAsia="黑体"/>
          <w:color w:val="auto"/>
          <w:kern w:val="21"/>
          <w:sz w:val="24"/>
          <w:szCs w:val="24"/>
        </w:rPr>
      </w:pPr>
      <w:r>
        <w:rPr>
          <w:rFonts w:eastAsia="黑体"/>
          <w:color w:val="auto"/>
          <w:kern w:val="21"/>
          <w:sz w:val="24"/>
          <w:szCs w:val="24"/>
        </w:rPr>
        <w:t>表5.4-1  拟建危险废物临时贮存设施与污染控制标准符合性分析</w:t>
      </w:r>
    </w:p>
    <w:tbl>
      <w:tblPr>
        <w:tblStyle w:val="83"/>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82"/>
        <w:gridCol w:w="3953"/>
        <w:gridCol w:w="2845"/>
        <w:gridCol w:w="8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10" w:type="pct"/>
            <w:vAlign w:val="center"/>
          </w:tcPr>
          <w:p>
            <w:pPr>
              <w:adjustRightInd w:val="0"/>
              <w:snapToGrid w:val="0"/>
              <w:jc w:val="center"/>
              <w:rPr>
                <w:b/>
                <w:bCs/>
                <w:color w:val="auto"/>
                <w:kern w:val="21"/>
              </w:rPr>
            </w:pPr>
            <w:r>
              <w:rPr>
                <w:b/>
                <w:bCs/>
                <w:color w:val="auto"/>
                <w:kern w:val="21"/>
              </w:rPr>
              <w:t>序号</w:t>
            </w:r>
          </w:p>
        </w:tc>
        <w:tc>
          <w:tcPr>
            <w:tcW w:w="2375" w:type="pct"/>
            <w:vAlign w:val="center"/>
          </w:tcPr>
          <w:p>
            <w:pPr>
              <w:adjustRightInd w:val="0"/>
              <w:snapToGrid w:val="0"/>
              <w:jc w:val="center"/>
              <w:rPr>
                <w:b/>
                <w:bCs/>
                <w:color w:val="auto"/>
                <w:kern w:val="21"/>
              </w:rPr>
            </w:pPr>
            <w:r>
              <w:rPr>
                <w:rFonts w:eastAsia="Times New Roman"/>
                <w:b/>
                <w:bCs/>
                <w:color w:val="auto"/>
                <w:kern w:val="21"/>
              </w:rPr>
              <w:t>GB18597-2001</w:t>
            </w:r>
            <w:r>
              <w:rPr>
                <w:b/>
                <w:bCs/>
                <w:color w:val="auto"/>
                <w:kern w:val="21"/>
              </w:rPr>
              <w:t>标准及其修改单要求</w:t>
            </w:r>
          </w:p>
        </w:tc>
        <w:tc>
          <w:tcPr>
            <w:tcW w:w="1709" w:type="pct"/>
            <w:vAlign w:val="center"/>
          </w:tcPr>
          <w:p>
            <w:pPr>
              <w:adjustRightInd w:val="0"/>
              <w:snapToGrid w:val="0"/>
              <w:jc w:val="center"/>
              <w:rPr>
                <w:rFonts w:hint="default" w:eastAsia="宋体"/>
                <w:b/>
                <w:bCs/>
                <w:color w:val="auto"/>
                <w:kern w:val="21"/>
                <w:lang w:val="en-US" w:eastAsia="zh-CN"/>
              </w:rPr>
            </w:pPr>
            <w:r>
              <w:rPr>
                <w:rFonts w:hint="eastAsia"/>
                <w:b/>
                <w:bCs/>
                <w:color w:val="auto"/>
                <w:kern w:val="21"/>
                <w:lang w:val="en-US" w:eastAsia="zh-CN"/>
              </w:rPr>
              <w:t>项目拟建危废暂存设施情况</w:t>
            </w:r>
          </w:p>
        </w:tc>
        <w:tc>
          <w:tcPr>
            <w:tcW w:w="504" w:type="pct"/>
            <w:vAlign w:val="center"/>
          </w:tcPr>
          <w:p>
            <w:pPr>
              <w:adjustRightInd w:val="0"/>
              <w:snapToGrid w:val="0"/>
              <w:jc w:val="center"/>
              <w:rPr>
                <w:b/>
                <w:bCs/>
                <w:color w:val="auto"/>
                <w:kern w:val="21"/>
              </w:rPr>
            </w:pPr>
            <w:r>
              <w:rPr>
                <w:b/>
                <w:bCs/>
                <w:color w:val="auto"/>
                <w:kern w:val="21"/>
              </w:rPr>
              <w:t>符合性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10" w:type="pct"/>
            <w:vAlign w:val="center"/>
          </w:tcPr>
          <w:p>
            <w:pPr>
              <w:adjustRightInd w:val="0"/>
              <w:snapToGrid w:val="0"/>
              <w:jc w:val="center"/>
              <w:rPr>
                <w:rFonts w:eastAsia="Times New Roman"/>
                <w:color w:val="auto"/>
                <w:kern w:val="21"/>
              </w:rPr>
            </w:pPr>
            <w:r>
              <w:rPr>
                <w:color w:val="auto"/>
                <w:kern w:val="21"/>
              </w:rPr>
              <w:t>1</w:t>
            </w:r>
          </w:p>
        </w:tc>
        <w:tc>
          <w:tcPr>
            <w:tcW w:w="2375" w:type="pct"/>
            <w:vAlign w:val="center"/>
          </w:tcPr>
          <w:p>
            <w:pPr>
              <w:adjustRightInd w:val="0"/>
              <w:snapToGrid w:val="0"/>
              <w:jc w:val="center"/>
              <w:rPr>
                <w:color w:val="auto"/>
                <w:kern w:val="21"/>
              </w:rPr>
            </w:pPr>
            <w:r>
              <w:rPr>
                <w:color w:val="auto"/>
                <w:kern w:val="21"/>
              </w:rPr>
              <w:t>所有危险废物产生者和危险废物经营者应建造专用的危险废物贮存设施，也可利用原构筑物改建成危险废物贮存设施</w:t>
            </w:r>
          </w:p>
        </w:tc>
        <w:tc>
          <w:tcPr>
            <w:tcW w:w="1709" w:type="pct"/>
            <w:vAlign w:val="center"/>
          </w:tcPr>
          <w:p>
            <w:pPr>
              <w:adjustRightInd w:val="0"/>
              <w:snapToGrid w:val="0"/>
              <w:jc w:val="center"/>
              <w:rPr>
                <w:color w:val="auto"/>
                <w:kern w:val="21"/>
              </w:rPr>
            </w:pPr>
            <w:r>
              <w:rPr>
                <w:color w:val="auto"/>
                <w:kern w:val="21"/>
              </w:rPr>
              <w:t>本项目在北厂房外设置</w:t>
            </w:r>
            <w:r>
              <w:rPr>
                <w:rFonts w:hint="eastAsia"/>
                <w:color w:val="auto"/>
                <w:kern w:val="21"/>
                <w:lang w:val="en-US" w:eastAsia="zh-CN"/>
              </w:rPr>
              <w:t>1</w:t>
            </w:r>
            <w:r>
              <w:rPr>
                <w:color w:val="auto"/>
                <w:kern w:val="21"/>
              </w:rPr>
              <w:t>座危废暂存间，占地面积1</w:t>
            </w:r>
            <w:r>
              <w:rPr>
                <w:rFonts w:hint="eastAsia"/>
                <w:color w:val="auto"/>
                <w:kern w:val="21"/>
              </w:rPr>
              <w:t>50</w:t>
            </w:r>
            <w:r>
              <w:rPr>
                <w:color w:val="auto"/>
                <w:kern w:val="21"/>
              </w:rPr>
              <w:t>m</w:t>
            </w:r>
            <w:r>
              <w:rPr>
                <w:color w:val="auto"/>
                <w:kern w:val="21"/>
                <w:vertAlign w:val="superscript"/>
              </w:rPr>
              <w:t>2</w:t>
            </w:r>
            <w:r>
              <w:rPr>
                <w:color w:val="auto"/>
                <w:kern w:val="21"/>
              </w:rPr>
              <w:t>，用于项目危险废物在厂区内的暂存</w:t>
            </w:r>
          </w:p>
        </w:tc>
        <w:tc>
          <w:tcPr>
            <w:tcW w:w="504" w:type="pct"/>
            <w:vAlign w:val="center"/>
          </w:tcPr>
          <w:p>
            <w:pPr>
              <w:adjustRightInd w:val="0"/>
              <w:snapToGrid w:val="0"/>
              <w:jc w:val="center"/>
              <w:rPr>
                <w:color w:val="auto"/>
                <w:kern w:val="21"/>
              </w:rPr>
            </w:pPr>
            <w:r>
              <w:rPr>
                <w:color w:val="auto"/>
                <w:kern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10" w:type="pct"/>
            <w:vAlign w:val="center"/>
          </w:tcPr>
          <w:p>
            <w:pPr>
              <w:adjustRightInd w:val="0"/>
              <w:snapToGrid w:val="0"/>
              <w:jc w:val="center"/>
              <w:rPr>
                <w:rFonts w:eastAsia="Times New Roman"/>
                <w:color w:val="auto"/>
                <w:kern w:val="21"/>
              </w:rPr>
            </w:pPr>
            <w:r>
              <w:rPr>
                <w:color w:val="auto"/>
                <w:kern w:val="21"/>
              </w:rPr>
              <w:t>2</w:t>
            </w:r>
          </w:p>
        </w:tc>
        <w:tc>
          <w:tcPr>
            <w:tcW w:w="2375" w:type="pct"/>
            <w:vAlign w:val="center"/>
          </w:tcPr>
          <w:p>
            <w:pPr>
              <w:adjustRightInd w:val="0"/>
              <w:snapToGrid w:val="0"/>
              <w:jc w:val="center"/>
              <w:rPr>
                <w:color w:val="auto"/>
                <w:kern w:val="21"/>
              </w:rPr>
            </w:pPr>
            <w:r>
              <w:rPr>
                <w:color w:val="auto"/>
                <w:kern w:val="21"/>
              </w:rPr>
              <w:t>一般要求：在常温常压下不水解、不挥发的固体危险废物可在贮存设施内分别堆放，其余的危险废物必须装入容器内，禁止将不相容（相互反应）的危险废物在同一容器内混装，盛装危险废物的容器上必须粘贴标签</w:t>
            </w:r>
          </w:p>
        </w:tc>
        <w:tc>
          <w:tcPr>
            <w:tcW w:w="1709" w:type="pct"/>
            <w:vAlign w:val="center"/>
          </w:tcPr>
          <w:p>
            <w:pPr>
              <w:adjustRightInd w:val="0"/>
              <w:snapToGrid w:val="0"/>
              <w:jc w:val="center"/>
              <w:rPr>
                <w:color w:val="auto"/>
                <w:kern w:val="21"/>
              </w:rPr>
            </w:pPr>
            <w:r>
              <w:rPr>
                <w:color w:val="auto"/>
                <w:kern w:val="21"/>
              </w:rPr>
              <w:t>危险废物在暂存间内暂存时按照不同的类别和性质，分别存放于专门的容器中，贮存容器设明显标志，且具有耐腐蚀、耐压、密封和不与所贮存的废物发生反应等特性；暂存间内禁止混放不相容废物</w:t>
            </w:r>
          </w:p>
        </w:tc>
        <w:tc>
          <w:tcPr>
            <w:tcW w:w="504" w:type="pct"/>
            <w:vAlign w:val="center"/>
          </w:tcPr>
          <w:p>
            <w:pPr>
              <w:adjustRightInd w:val="0"/>
              <w:snapToGrid w:val="0"/>
              <w:jc w:val="center"/>
              <w:rPr>
                <w:color w:val="auto"/>
                <w:kern w:val="21"/>
              </w:rPr>
            </w:pPr>
            <w:r>
              <w:rPr>
                <w:color w:val="auto"/>
                <w:kern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10" w:type="pct"/>
            <w:vAlign w:val="center"/>
          </w:tcPr>
          <w:p>
            <w:pPr>
              <w:adjustRightInd w:val="0"/>
              <w:snapToGrid w:val="0"/>
              <w:jc w:val="center"/>
              <w:rPr>
                <w:rFonts w:eastAsia="Times New Roman"/>
                <w:color w:val="auto"/>
                <w:kern w:val="21"/>
              </w:rPr>
            </w:pPr>
            <w:r>
              <w:rPr>
                <w:color w:val="auto"/>
                <w:kern w:val="21"/>
              </w:rPr>
              <w:t>3</w:t>
            </w:r>
          </w:p>
        </w:tc>
        <w:tc>
          <w:tcPr>
            <w:tcW w:w="2375" w:type="pct"/>
            <w:vAlign w:val="center"/>
          </w:tcPr>
          <w:p>
            <w:pPr>
              <w:adjustRightInd w:val="0"/>
              <w:snapToGrid w:val="0"/>
              <w:jc w:val="center"/>
              <w:rPr>
                <w:color w:val="auto"/>
                <w:kern w:val="21"/>
              </w:rPr>
            </w:pPr>
            <w:r>
              <w:rPr>
                <w:color w:val="auto"/>
                <w:kern w:val="21"/>
              </w:rPr>
              <w:t>贮存设施设计原则：</w:t>
            </w:r>
            <w:r>
              <w:rPr>
                <w:rFonts w:hint="eastAsia" w:ascii="宋体" w:hAnsi="宋体" w:cs="宋体"/>
                <w:color w:val="auto"/>
                <w:kern w:val="21"/>
              </w:rPr>
              <w:t>①</w:t>
            </w:r>
            <w:r>
              <w:rPr>
                <w:color w:val="auto"/>
                <w:kern w:val="21"/>
              </w:rPr>
              <w:t>地面与裙脚要用坚固、防渗的材料建造，建筑材料必须与危险废物相容；</w:t>
            </w:r>
            <w:r>
              <w:rPr>
                <w:rFonts w:hint="eastAsia" w:ascii="宋体" w:hAnsi="宋体" w:cs="宋体"/>
                <w:color w:val="auto"/>
                <w:kern w:val="21"/>
              </w:rPr>
              <w:t>②</w:t>
            </w:r>
            <w:r>
              <w:rPr>
                <w:color w:val="auto"/>
                <w:kern w:val="21"/>
              </w:rPr>
              <w:t>必须有泄漏液体收集装置、气体导出口及气体净化装置；</w:t>
            </w:r>
            <w:r>
              <w:rPr>
                <w:rFonts w:hint="eastAsia" w:ascii="宋体" w:hAnsi="宋体" w:cs="宋体"/>
                <w:color w:val="auto"/>
                <w:kern w:val="21"/>
              </w:rPr>
              <w:t>③</w:t>
            </w:r>
            <w:r>
              <w:rPr>
                <w:color w:val="auto"/>
                <w:kern w:val="21"/>
              </w:rPr>
              <w:t>设施内要有安全照明设施和观察窗口；</w:t>
            </w:r>
            <w:r>
              <w:rPr>
                <w:rFonts w:hint="eastAsia" w:ascii="宋体" w:hAnsi="宋体" w:cs="宋体"/>
                <w:color w:val="auto"/>
                <w:kern w:val="21"/>
              </w:rPr>
              <w:t>④</w:t>
            </w:r>
            <w:r>
              <w:rPr>
                <w:color w:val="auto"/>
                <w:kern w:val="21"/>
              </w:rPr>
              <w:t>用以存放装载液体、半固体危险废物容器的地方，必须有耐腐蚀的硬化地面，且表面无裂隙；</w:t>
            </w:r>
            <w:r>
              <w:rPr>
                <w:rFonts w:hint="eastAsia" w:ascii="宋体" w:hAnsi="宋体" w:cs="宋体"/>
                <w:color w:val="auto"/>
                <w:kern w:val="21"/>
              </w:rPr>
              <w:t>⑤</w:t>
            </w:r>
            <w:r>
              <w:rPr>
                <w:color w:val="auto"/>
                <w:kern w:val="21"/>
              </w:rPr>
              <w:t>应设计堵截泄漏的裙脚，地面与裙脚所围建的容积不 低于堵截最大容器的最大储量或总储量的五分之一；</w:t>
            </w:r>
            <w:r>
              <w:rPr>
                <w:rFonts w:hint="eastAsia" w:ascii="宋体" w:hAnsi="宋体" w:cs="宋体"/>
                <w:color w:val="auto"/>
                <w:kern w:val="21"/>
              </w:rPr>
              <w:t>⑥</w:t>
            </w:r>
            <w:r>
              <w:rPr>
                <w:color w:val="auto"/>
                <w:kern w:val="21"/>
              </w:rPr>
              <w:t>不相容的危险废物必须分开存放，并设有隔离间隔断</w:t>
            </w:r>
          </w:p>
        </w:tc>
        <w:tc>
          <w:tcPr>
            <w:tcW w:w="1709" w:type="pct"/>
            <w:vAlign w:val="center"/>
          </w:tcPr>
          <w:p>
            <w:pPr>
              <w:adjustRightInd w:val="0"/>
              <w:snapToGrid w:val="0"/>
              <w:jc w:val="center"/>
              <w:rPr>
                <w:color w:val="auto"/>
                <w:kern w:val="21"/>
              </w:rPr>
            </w:pPr>
            <w:r>
              <w:rPr>
                <w:color w:val="auto"/>
                <w:kern w:val="21"/>
              </w:rPr>
              <w:t>危废暂存间地面硬化处理，且地面及内墙采取防渗措施；地面设地沟和集水池，可防止存放的液态危废泄漏污染外环境，地沟及集水池均作防腐防渗处理；暂存间保证良好通风，设安全照明设施和观察窗口，配备干粉灭火器，外部设室外消火栓</w:t>
            </w:r>
          </w:p>
        </w:tc>
        <w:tc>
          <w:tcPr>
            <w:tcW w:w="504" w:type="pct"/>
            <w:vAlign w:val="center"/>
          </w:tcPr>
          <w:p>
            <w:pPr>
              <w:adjustRightInd w:val="0"/>
              <w:snapToGrid w:val="0"/>
              <w:jc w:val="center"/>
              <w:rPr>
                <w:color w:val="auto"/>
                <w:kern w:val="21"/>
              </w:rPr>
            </w:pPr>
            <w:r>
              <w:rPr>
                <w:color w:val="auto"/>
                <w:kern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410" w:type="pct"/>
            <w:vAlign w:val="center"/>
          </w:tcPr>
          <w:p>
            <w:pPr>
              <w:adjustRightInd w:val="0"/>
              <w:snapToGrid w:val="0"/>
              <w:jc w:val="center"/>
              <w:rPr>
                <w:color w:val="auto"/>
                <w:kern w:val="21"/>
              </w:rPr>
            </w:pPr>
            <w:r>
              <w:rPr>
                <w:color w:val="auto"/>
                <w:kern w:val="21"/>
              </w:rPr>
              <w:t>4</w:t>
            </w:r>
          </w:p>
        </w:tc>
        <w:tc>
          <w:tcPr>
            <w:tcW w:w="2375" w:type="pct"/>
            <w:vAlign w:val="center"/>
          </w:tcPr>
          <w:p>
            <w:pPr>
              <w:adjustRightInd w:val="0"/>
              <w:snapToGrid w:val="0"/>
              <w:jc w:val="center"/>
              <w:rPr>
                <w:color w:val="auto"/>
                <w:kern w:val="21"/>
              </w:rPr>
            </w:pPr>
            <w:r>
              <w:rPr>
                <w:color w:val="auto"/>
                <w:kern w:val="21"/>
              </w:rPr>
              <w:t>危废暂存间</w:t>
            </w:r>
            <w:r>
              <w:rPr>
                <w:rFonts w:hint="eastAsia"/>
                <w:color w:val="auto"/>
                <w:kern w:val="21"/>
                <w:lang w:eastAsia="zh-CN"/>
              </w:rPr>
              <w:t>，</w:t>
            </w:r>
            <w:r>
              <w:rPr>
                <w:color w:val="auto"/>
                <w:kern w:val="21"/>
              </w:rPr>
              <w:t>按库房进行设计建设， 周边设雨水径流疏导系统，可防风、防晒、防雨；暂存间地面硬化采用防水混凝土， 同时 地面与内墙设</w:t>
            </w:r>
            <w:r>
              <w:rPr>
                <w:rFonts w:eastAsia="Times New Roman"/>
                <w:color w:val="auto"/>
                <w:kern w:val="21"/>
              </w:rPr>
              <w:t xml:space="preserve">2mm </w:t>
            </w:r>
            <w:r>
              <w:rPr>
                <w:color w:val="auto"/>
                <w:kern w:val="21"/>
              </w:rPr>
              <w:t>厚高密度聚乙烯或其他人工防渗材料（内墙防渗层做至</w:t>
            </w:r>
            <w:r>
              <w:rPr>
                <w:rFonts w:eastAsia="Times New Roman"/>
                <w:color w:val="auto"/>
                <w:kern w:val="21"/>
              </w:rPr>
              <w:t>0.5m</w:t>
            </w:r>
            <w:r>
              <w:rPr>
                <w:color w:val="auto"/>
                <w:kern w:val="21"/>
              </w:rPr>
              <w:t>高）进行防渗处理，渗透系数小于</w:t>
            </w:r>
            <w:r>
              <w:rPr>
                <w:rFonts w:eastAsia="Times New Roman"/>
                <w:color w:val="auto"/>
                <w:kern w:val="21"/>
              </w:rPr>
              <w:t>1.0×10</w:t>
            </w:r>
            <w:r>
              <w:rPr>
                <w:rFonts w:eastAsia="Times New Roman"/>
                <w:color w:val="auto"/>
                <w:kern w:val="21"/>
                <w:vertAlign w:val="superscript"/>
              </w:rPr>
              <w:t>-10</w:t>
            </w:r>
            <w:r>
              <w:rPr>
                <w:rFonts w:eastAsia="Times New Roman"/>
                <w:color w:val="auto"/>
                <w:kern w:val="21"/>
              </w:rPr>
              <w:t>cm/s</w:t>
            </w:r>
          </w:p>
        </w:tc>
        <w:tc>
          <w:tcPr>
            <w:tcW w:w="1709" w:type="pct"/>
            <w:vAlign w:val="center"/>
          </w:tcPr>
          <w:p>
            <w:pPr>
              <w:adjustRightInd w:val="0"/>
              <w:snapToGrid w:val="0"/>
              <w:jc w:val="center"/>
              <w:rPr>
                <w:color w:val="auto"/>
                <w:kern w:val="21"/>
              </w:rPr>
            </w:pPr>
            <w:r>
              <w:rPr>
                <w:color w:val="auto"/>
                <w:kern w:val="21"/>
              </w:rPr>
              <w:t>危险废物的堆放：</w:t>
            </w:r>
            <w:r>
              <w:rPr>
                <w:rFonts w:hint="eastAsia" w:ascii="宋体" w:hAnsi="宋体" w:cs="宋体"/>
                <w:color w:val="auto"/>
                <w:kern w:val="21"/>
              </w:rPr>
              <w:t>①</w:t>
            </w:r>
            <w:r>
              <w:rPr>
                <w:color w:val="auto"/>
                <w:kern w:val="21"/>
              </w:rPr>
              <w:t>基础必须防渗，防渗层为至少</w:t>
            </w:r>
            <w:r>
              <w:rPr>
                <w:rFonts w:eastAsia="Times New Roman"/>
                <w:color w:val="auto"/>
                <w:kern w:val="21"/>
              </w:rPr>
              <w:t>1</w:t>
            </w:r>
            <w:r>
              <w:rPr>
                <w:color w:val="auto"/>
                <w:kern w:val="21"/>
              </w:rPr>
              <w:t>米厚粘土层 （渗透系数</w:t>
            </w:r>
            <w:r>
              <w:rPr>
                <w:rFonts w:eastAsia="Times New Roman"/>
                <w:color w:val="auto"/>
                <w:kern w:val="21"/>
              </w:rPr>
              <w:t>≤10</w:t>
            </w:r>
            <w:r>
              <w:rPr>
                <w:color w:val="auto"/>
                <w:kern w:val="21"/>
                <w:vertAlign w:val="superscript"/>
              </w:rPr>
              <w:t>-</w:t>
            </w:r>
            <w:r>
              <w:rPr>
                <w:rFonts w:eastAsia="Times New Roman"/>
                <w:color w:val="auto"/>
                <w:kern w:val="21"/>
                <w:vertAlign w:val="superscript"/>
              </w:rPr>
              <w:t>7</w:t>
            </w:r>
            <w:r>
              <w:rPr>
                <w:rFonts w:eastAsia="Times New Roman"/>
                <w:color w:val="auto"/>
                <w:kern w:val="21"/>
              </w:rPr>
              <w:t>cm/s</w:t>
            </w:r>
            <w:r>
              <w:rPr>
                <w:color w:val="auto"/>
                <w:kern w:val="21"/>
              </w:rPr>
              <w:t>），或</w:t>
            </w:r>
            <w:r>
              <w:rPr>
                <w:rFonts w:eastAsia="Times New Roman"/>
                <w:color w:val="auto"/>
                <w:kern w:val="21"/>
              </w:rPr>
              <w:t>2</w:t>
            </w:r>
            <w:r>
              <w:rPr>
                <w:color w:val="auto"/>
                <w:kern w:val="21"/>
              </w:rPr>
              <w:t>mm厚高密度聚乙烯，或至少</w:t>
            </w:r>
            <w:r>
              <w:rPr>
                <w:rFonts w:eastAsia="Times New Roman"/>
                <w:color w:val="auto"/>
                <w:kern w:val="21"/>
              </w:rPr>
              <w:t xml:space="preserve">2mm </w:t>
            </w:r>
            <w:r>
              <w:rPr>
                <w:color w:val="auto"/>
                <w:kern w:val="21"/>
              </w:rPr>
              <w:t>厚的其它人工材料，渗透系数</w:t>
            </w:r>
            <w:r>
              <w:rPr>
                <w:rFonts w:eastAsia="Times New Roman"/>
                <w:color w:val="auto"/>
                <w:kern w:val="21"/>
              </w:rPr>
              <w:t>≤10</w:t>
            </w:r>
            <w:r>
              <w:rPr>
                <w:rFonts w:eastAsia="Times New Roman"/>
                <w:color w:val="auto"/>
                <w:kern w:val="21"/>
                <w:vertAlign w:val="superscript"/>
              </w:rPr>
              <w:t>-10</w:t>
            </w:r>
            <w:r>
              <w:rPr>
                <w:rFonts w:eastAsia="Times New Roman"/>
                <w:color w:val="auto"/>
                <w:kern w:val="21"/>
              </w:rPr>
              <w:t>cm/s</w:t>
            </w:r>
            <w:r>
              <w:rPr>
                <w:color w:val="auto"/>
                <w:kern w:val="21"/>
              </w:rPr>
              <w:t>；</w:t>
            </w:r>
            <w:r>
              <w:rPr>
                <w:rFonts w:hint="eastAsia" w:ascii="宋体" w:hAnsi="宋体" w:cs="宋体"/>
                <w:color w:val="auto"/>
                <w:kern w:val="21"/>
              </w:rPr>
              <w:t>②</w:t>
            </w:r>
            <w:r>
              <w:rPr>
                <w:color w:val="auto"/>
                <w:kern w:val="21"/>
              </w:rPr>
              <w:t>应设计建造径流疏导系统，保证能防止2</w:t>
            </w:r>
            <w:r>
              <w:rPr>
                <w:rFonts w:eastAsia="Times New Roman"/>
                <w:color w:val="auto"/>
                <w:kern w:val="21"/>
              </w:rPr>
              <w:t>5</w:t>
            </w:r>
            <w:r>
              <w:rPr>
                <w:color w:val="auto"/>
                <w:kern w:val="21"/>
              </w:rPr>
              <w:t>年一遇的暴雨不会流到危险废物堆里；</w:t>
            </w:r>
            <w:r>
              <w:rPr>
                <w:rFonts w:hint="eastAsia" w:ascii="宋体" w:hAnsi="宋体" w:cs="宋体"/>
                <w:color w:val="auto"/>
                <w:kern w:val="21"/>
              </w:rPr>
              <w:t>③</w:t>
            </w:r>
            <w:r>
              <w:rPr>
                <w:color w:val="auto"/>
                <w:kern w:val="21"/>
              </w:rPr>
              <w:t>危险废物堆要防风、防雨、防晒；</w:t>
            </w:r>
            <w:r>
              <w:rPr>
                <w:rFonts w:hint="eastAsia" w:ascii="宋体" w:hAnsi="宋体" w:cs="宋体"/>
                <w:color w:val="auto"/>
                <w:kern w:val="21"/>
              </w:rPr>
              <w:t>④</w:t>
            </w:r>
            <w:r>
              <w:rPr>
                <w:color w:val="auto"/>
                <w:kern w:val="21"/>
              </w:rPr>
              <w:t>不相容的危险废物不能堆放在一起</w:t>
            </w:r>
          </w:p>
        </w:tc>
        <w:tc>
          <w:tcPr>
            <w:tcW w:w="504" w:type="pct"/>
            <w:vAlign w:val="center"/>
          </w:tcPr>
          <w:p>
            <w:pPr>
              <w:adjustRightInd w:val="0"/>
              <w:snapToGrid w:val="0"/>
              <w:jc w:val="center"/>
              <w:rPr>
                <w:color w:val="auto"/>
                <w:kern w:val="21"/>
              </w:rPr>
            </w:pPr>
            <w:r>
              <w:rPr>
                <w:color w:val="auto"/>
                <w:kern w:val="21"/>
              </w:rPr>
              <w:t>符合</w:t>
            </w:r>
          </w:p>
        </w:tc>
      </w:tr>
    </w:tbl>
    <w:p>
      <w:pPr>
        <w:spacing w:before="8" w:line="120" w:lineRule="exact"/>
        <w:rPr>
          <w:rFonts w:eastAsia="Times New Roman"/>
          <w:b/>
          <w:bCs/>
          <w:color w:val="auto"/>
          <w:kern w:val="21"/>
          <w:sz w:val="24"/>
          <w:szCs w:val="24"/>
          <w:u w:val="thick" w:color="000000"/>
        </w:rPr>
      </w:pPr>
    </w:p>
    <w:p>
      <w:pPr>
        <w:spacing w:before="8" w:line="120" w:lineRule="exact"/>
        <w:rPr>
          <w:b/>
          <w:bCs/>
          <w:color w:val="auto"/>
          <w:kern w:val="21"/>
          <w:sz w:val="24"/>
          <w:szCs w:val="24"/>
          <w:u w:val="thick" w:color="000000"/>
        </w:rPr>
      </w:pPr>
    </w:p>
    <w:p>
      <w:pPr>
        <w:pStyle w:val="5"/>
        <w:keepNext w:val="0"/>
        <w:keepLines w:val="0"/>
        <w:snapToGrid w:val="0"/>
        <w:spacing w:before="0" w:beforeLines="0" w:after="0" w:afterLines="0"/>
        <w:jc w:val="both"/>
        <w:rPr>
          <w:rStyle w:val="236"/>
          <w:bCs w:val="0"/>
          <w:color w:val="auto"/>
        </w:rPr>
      </w:pPr>
      <w:r>
        <w:rPr>
          <w:color w:val="auto"/>
          <w:kern w:val="21"/>
          <w:sz w:val="28"/>
          <w:szCs w:val="28"/>
        </w:rPr>
        <w:t>5.4.4危险废物的环境管理要求</w:t>
      </w:r>
    </w:p>
    <w:p>
      <w:pPr>
        <w:adjustRightInd w:val="0"/>
        <w:snapToGrid w:val="0"/>
        <w:spacing w:line="360" w:lineRule="auto"/>
        <w:rPr>
          <w:color w:val="auto"/>
          <w:kern w:val="21"/>
          <w:sz w:val="24"/>
          <w:szCs w:val="24"/>
        </w:rPr>
      </w:pPr>
      <w:r>
        <w:rPr>
          <w:color w:val="auto"/>
          <w:kern w:val="21"/>
          <w:sz w:val="24"/>
          <w:szCs w:val="24"/>
        </w:rPr>
        <w:t>（</w:t>
      </w:r>
      <w:r>
        <w:rPr>
          <w:rFonts w:eastAsia="Times New Roman"/>
          <w:color w:val="auto"/>
          <w:kern w:val="21"/>
          <w:sz w:val="24"/>
          <w:szCs w:val="24"/>
        </w:rPr>
        <w:t>1</w:t>
      </w:r>
      <w:r>
        <w:rPr>
          <w:color w:val="auto"/>
          <w:kern w:val="21"/>
          <w:sz w:val="24"/>
          <w:szCs w:val="24"/>
        </w:rPr>
        <w:t>）全过程监管要求</w:t>
      </w:r>
    </w:p>
    <w:p>
      <w:pPr>
        <w:adjustRightInd w:val="0"/>
        <w:snapToGrid w:val="0"/>
        <w:spacing w:line="360" w:lineRule="auto"/>
        <w:ind w:firstLine="480" w:firstLineChars="200"/>
        <w:rPr>
          <w:color w:val="auto"/>
          <w:kern w:val="21"/>
          <w:sz w:val="24"/>
          <w:szCs w:val="24"/>
        </w:rPr>
      </w:pPr>
      <w:r>
        <w:rPr>
          <w:color w:val="auto"/>
          <w:kern w:val="21"/>
          <w:sz w:val="24"/>
          <w:szCs w:val="24"/>
        </w:rPr>
        <w:t>本项目产生的危险废物暂存于危废暂存间内，为保证暂存的危险废物不对环境产生污染，依据《危险废物贮存污染控制标准》（</w:t>
      </w:r>
      <w:r>
        <w:rPr>
          <w:rFonts w:eastAsia="Times New Roman"/>
          <w:color w:val="auto"/>
          <w:kern w:val="21"/>
          <w:sz w:val="24"/>
          <w:szCs w:val="24"/>
        </w:rPr>
        <w:t>GB18597-2001</w:t>
      </w:r>
      <w:r>
        <w:rPr>
          <w:color w:val="auto"/>
          <w:kern w:val="21"/>
          <w:sz w:val="24"/>
          <w:szCs w:val="24"/>
        </w:rPr>
        <w:t>）及其修改单、《危险废物收集贮存运输技术规范》（</w:t>
      </w:r>
      <w:r>
        <w:rPr>
          <w:rFonts w:eastAsia="Times New Roman"/>
          <w:color w:val="auto"/>
          <w:kern w:val="21"/>
          <w:sz w:val="24"/>
          <w:szCs w:val="24"/>
        </w:rPr>
        <w:t>HJ 2025-2012</w:t>
      </w:r>
      <w:r>
        <w:rPr>
          <w:color w:val="auto"/>
          <w:kern w:val="21"/>
          <w:sz w:val="24"/>
          <w:szCs w:val="24"/>
        </w:rPr>
        <w:t>）及相关法律法规，对危险废物暂存场地提出如下安全措施：</w:t>
      </w:r>
    </w:p>
    <w:p>
      <w:pPr>
        <w:adjustRightInd w:val="0"/>
        <w:snapToGrid w:val="0"/>
        <w:spacing w:line="360" w:lineRule="auto"/>
        <w:ind w:firstLine="480" w:firstLineChars="200"/>
        <w:rPr>
          <w:color w:val="auto"/>
          <w:kern w:val="21"/>
          <w:sz w:val="24"/>
          <w:szCs w:val="24"/>
        </w:rPr>
      </w:pPr>
      <w:r>
        <w:rPr>
          <w:color w:val="auto"/>
          <w:kern w:val="21"/>
          <w:sz w:val="24"/>
          <w:szCs w:val="24"/>
        </w:rPr>
        <w:t>1）应设置单独的危险废物暂存地点，该地点地面及裙角应做耐腐蚀硬化、防渗漏处理，且表面无裂隙，所使用的材料要与危险废物相容；</w:t>
      </w:r>
    </w:p>
    <w:p>
      <w:pPr>
        <w:adjustRightInd w:val="0"/>
        <w:snapToGrid w:val="0"/>
        <w:spacing w:line="360" w:lineRule="auto"/>
        <w:ind w:firstLine="480" w:firstLineChars="200"/>
        <w:rPr>
          <w:color w:val="auto"/>
          <w:kern w:val="21"/>
          <w:sz w:val="24"/>
          <w:szCs w:val="24"/>
        </w:rPr>
      </w:pPr>
      <w:r>
        <w:rPr>
          <w:color w:val="auto"/>
          <w:kern w:val="21"/>
          <w:sz w:val="24"/>
          <w:szCs w:val="24"/>
        </w:rPr>
        <w:t>2）危险废物应储存于密闭容器中，并在容器外表设置环境保护图形标志和警示标志；应当使用符合标准的容器盛装危险废物，装载危险废物的容器及材质要满足相应的强度要求；装载危险废物的容器必须完好无损；盛装危险废物的容器材质和衬里要与危险废物相容（不相互反应）；容器上必须粘贴符合标准的标签；</w:t>
      </w:r>
    </w:p>
    <w:p>
      <w:pPr>
        <w:adjustRightInd w:val="0"/>
        <w:snapToGrid w:val="0"/>
        <w:spacing w:line="360" w:lineRule="auto"/>
        <w:ind w:firstLine="480" w:firstLineChars="200"/>
        <w:rPr>
          <w:color w:val="auto"/>
          <w:kern w:val="21"/>
          <w:sz w:val="24"/>
          <w:szCs w:val="24"/>
        </w:rPr>
      </w:pPr>
      <w:r>
        <w:rPr>
          <w:color w:val="auto"/>
          <w:kern w:val="21"/>
          <w:sz w:val="24"/>
          <w:szCs w:val="24"/>
        </w:rPr>
        <w:t>3）危险废物应选择防腐、防漏、防磕碰、密封严密的容器进行贮存和运输，储存于阴凉、通风良好的库房，远离火种、热源，与酸类化学品分开存放，库房应有专门人员看管。贮存库看管人员和危险废物运输人员在工作中应佩带防护用具，并配备医疗急救用品；</w:t>
      </w:r>
    </w:p>
    <w:p>
      <w:pPr>
        <w:adjustRightInd w:val="0"/>
        <w:snapToGrid w:val="0"/>
        <w:spacing w:line="360" w:lineRule="auto"/>
        <w:ind w:firstLine="480" w:firstLineChars="200"/>
        <w:rPr>
          <w:color w:val="auto"/>
          <w:kern w:val="21"/>
          <w:sz w:val="24"/>
          <w:szCs w:val="24"/>
        </w:rPr>
      </w:pPr>
      <w:r>
        <w:rPr>
          <w:color w:val="auto"/>
          <w:kern w:val="21"/>
          <w:sz w:val="24"/>
          <w:szCs w:val="24"/>
        </w:rPr>
        <w:t>4）建立档案制度，对暂存的废物种类、数量、特性、包装容器类别、存放库位、存入日期、运出日期等详细记录在案并长期保存。建立定期巡查、维护制度；须做好危险废物情况的记录，记录上须注明危险废物的名称、源、数量、特性和包装容器的类别、入库日期、存放库位、废物出库日期及接收单位名称。危险废物的记录和货单在危险废物回取后应继续保留三年；</w:t>
      </w:r>
    </w:p>
    <w:p>
      <w:pPr>
        <w:adjustRightInd w:val="0"/>
        <w:snapToGrid w:val="0"/>
        <w:spacing w:line="360" w:lineRule="auto"/>
        <w:ind w:firstLine="480" w:firstLineChars="200"/>
        <w:rPr>
          <w:color w:val="auto"/>
          <w:kern w:val="21"/>
          <w:sz w:val="24"/>
          <w:szCs w:val="24"/>
        </w:rPr>
      </w:pPr>
      <w:r>
        <w:rPr>
          <w:color w:val="auto"/>
          <w:kern w:val="21"/>
          <w:sz w:val="24"/>
          <w:szCs w:val="24"/>
        </w:rPr>
        <w:t>5）危险废物置场室内地面硬化和防渗漏处理。一旦出现盛装液态固体废物的容器发生破裂或渗漏情况，马上修复或更换破损容器，地面残留液体用布擦拭干净。出现泄漏事故及时向有关部门通报。</w:t>
      </w:r>
    </w:p>
    <w:p>
      <w:pPr>
        <w:adjustRightInd w:val="0"/>
        <w:snapToGrid w:val="0"/>
        <w:spacing w:line="360" w:lineRule="auto"/>
        <w:rPr>
          <w:color w:val="auto"/>
          <w:kern w:val="21"/>
          <w:sz w:val="24"/>
          <w:szCs w:val="24"/>
        </w:rPr>
      </w:pPr>
      <w:r>
        <w:rPr>
          <w:color w:val="auto"/>
          <w:kern w:val="21"/>
          <w:sz w:val="24"/>
          <w:szCs w:val="24"/>
        </w:rPr>
        <w:t>（2）日常管理要求</w:t>
      </w:r>
    </w:p>
    <w:p>
      <w:pPr>
        <w:adjustRightInd w:val="0"/>
        <w:snapToGrid w:val="0"/>
        <w:spacing w:line="360" w:lineRule="auto"/>
        <w:ind w:firstLine="480" w:firstLineChars="200"/>
        <w:rPr>
          <w:color w:val="auto"/>
          <w:kern w:val="21"/>
          <w:sz w:val="24"/>
          <w:szCs w:val="24"/>
        </w:rPr>
      </w:pPr>
      <w:r>
        <w:rPr>
          <w:color w:val="auto"/>
          <w:kern w:val="21"/>
          <w:sz w:val="24"/>
          <w:szCs w:val="24"/>
        </w:rPr>
        <w:t>1）严格按照国家《危险废物污染防治技术政策》、《危险废物贮存污染控制标准》（GB18597-2001）有关规定，严禁将危险废物随意丢弃，严禁将危险废物混入一般工业固体废物和生活垃圾中。</w:t>
      </w:r>
    </w:p>
    <w:p>
      <w:pPr>
        <w:adjustRightInd w:val="0"/>
        <w:snapToGrid w:val="0"/>
        <w:spacing w:line="360" w:lineRule="auto"/>
        <w:ind w:firstLine="480" w:firstLineChars="200"/>
        <w:rPr>
          <w:color w:val="auto"/>
          <w:kern w:val="21"/>
          <w:sz w:val="24"/>
          <w:szCs w:val="24"/>
        </w:rPr>
      </w:pPr>
      <w:r>
        <w:rPr>
          <w:color w:val="auto"/>
          <w:kern w:val="21"/>
          <w:sz w:val="24"/>
          <w:szCs w:val="24"/>
        </w:rPr>
        <w:t>2）《中华人民共和国固体废物污染环境防治法》规定，禁止将危险废物提供或委托给无经营许可证的单位从事收集、贮存、处置的经营活动。在生产经营活动中产生危险废物的企业、事业单位和个人</w:t>
      </w:r>
      <w:r>
        <w:rPr>
          <w:rFonts w:hint="eastAsia"/>
          <w:color w:val="auto"/>
          <w:kern w:val="21"/>
          <w:sz w:val="24"/>
          <w:szCs w:val="24"/>
          <w:lang w:eastAsia="zh-CN"/>
        </w:rPr>
        <w:t>（</w:t>
      </w:r>
      <w:r>
        <w:rPr>
          <w:color w:val="auto"/>
          <w:kern w:val="21"/>
          <w:sz w:val="24"/>
          <w:szCs w:val="24"/>
        </w:rPr>
        <w:t>简称危险废物产生者</w:t>
      </w:r>
      <w:r>
        <w:rPr>
          <w:rFonts w:hint="eastAsia"/>
          <w:color w:val="auto"/>
          <w:kern w:val="21"/>
          <w:sz w:val="24"/>
          <w:szCs w:val="24"/>
          <w:lang w:eastAsia="zh-CN"/>
        </w:rPr>
        <w:t>）</w:t>
      </w:r>
      <w:r>
        <w:rPr>
          <w:color w:val="auto"/>
          <w:kern w:val="21"/>
          <w:sz w:val="24"/>
          <w:szCs w:val="24"/>
        </w:rPr>
        <w:t>，负有防止和治理危险废物污染的责任和法律、法规规定的其他责任。危险废物产生者应当采取清洁生产工艺，减少危险废物的产生。对所产生的危险废物应当采取综合利用或无害化处理措施，并建立危险废物污染防治的管理制度。危险废物产生者应当将危险废物转移到取得许可证的单位或场所，进行统一贮存、利用、处理和处置。贮存、利用、处理、处置危险废物的设施和场所，必须按规定设置统一的识别标志。</w:t>
      </w:r>
    </w:p>
    <w:p>
      <w:pPr>
        <w:adjustRightInd w:val="0"/>
        <w:snapToGrid w:val="0"/>
        <w:spacing w:line="360" w:lineRule="auto"/>
        <w:ind w:firstLine="480" w:firstLineChars="200"/>
        <w:rPr>
          <w:color w:val="auto"/>
          <w:kern w:val="21"/>
          <w:sz w:val="24"/>
          <w:szCs w:val="24"/>
        </w:rPr>
      </w:pPr>
      <w:r>
        <w:rPr>
          <w:color w:val="auto"/>
          <w:kern w:val="21"/>
          <w:sz w:val="24"/>
          <w:szCs w:val="24"/>
        </w:rPr>
        <w:t>3）公司应向新乡市生态环境局获嘉分局申报危险废物的种类、数量、成分特征、排放方式，并提供污染防治设施和废物主要去向等资料，同时报新乡市生态环境局备案。在危险废物收集、运输之前，危险废物产生者应当根据危险废物的性质、形态，选择安全的包装方式，并向承运者和接受者提供安全防护要求的说明。强化职工的安全环保意识。项目危险废物暂存点将严格按《危险废物污染治技术政策》要求设置统一的暂存场所。拟建项目危险废物暂存点，分类收集存放，布置于防雨室内，危废暂存点设置危险废物标志标识，</w:t>
      </w:r>
      <w:r>
        <w:rPr>
          <w:rFonts w:asciiTheme="minorEastAsia" w:hAnsiTheme="minorEastAsia" w:eastAsiaTheme="minorEastAsia"/>
          <w:color w:val="auto"/>
          <w:kern w:val="21"/>
          <w:sz w:val="24"/>
          <w:szCs w:val="24"/>
        </w:rPr>
        <w:t>严格落实“三防”（</w:t>
      </w:r>
      <w:r>
        <w:rPr>
          <w:color w:val="auto"/>
          <w:kern w:val="21"/>
          <w:sz w:val="24"/>
          <w:szCs w:val="24"/>
        </w:rPr>
        <w:t>防扬散、防流失、防渗漏）措施，不会受到暴雨和洪水影响。并做好收集、利用、贮存和转运中的二次污染防治，最终</w:t>
      </w:r>
      <w:r>
        <w:rPr>
          <w:rFonts w:hint="eastAsia"/>
          <w:color w:val="auto"/>
          <w:kern w:val="21"/>
          <w:sz w:val="24"/>
          <w:szCs w:val="24"/>
          <w:lang w:eastAsia="zh-CN"/>
        </w:rPr>
        <w:t>交由</w:t>
      </w:r>
      <w:r>
        <w:rPr>
          <w:color w:val="auto"/>
          <w:kern w:val="21"/>
          <w:sz w:val="24"/>
          <w:szCs w:val="24"/>
        </w:rPr>
        <w:t>处置资质的单位统一处理并实行联单制管理，处理率必须达到100%，符合环保相关要求。</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5.4.5危险废物对环境要素的影响</w:t>
      </w:r>
    </w:p>
    <w:p>
      <w:pPr>
        <w:adjustRightInd w:val="0"/>
        <w:snapToGrid w:val="0"/>
        <w:spacing w:line="360" w:lineRule="auto"/>
        <w:ind w:firstLine="480" w:firstLineChars="200"/>
        <w:rPr>
          <w:color w:val="auto"/>
          <w:kern w:val="21"/>
          <w:sz w:val="24"/>
          <w:szCs w:val="24"/>
        </w:rPr>
      </w:pPr>
      <w:r>
        <w:rPr>
          <w:color w:val="auto"/>
          <w:kern w:val="21"/>
          <w:sz w:val="24"/>
          <w:szCs w:val="24"/>
        </w:rPr>
        <w:t>本项目危废暂存间内贮存的危险废物定期由有资质单位进行清运及安全处置，正常情况下对周围环境及敏感点不会造成影响。对环境可能造成的影响主要为危险废物在危废暂存间堆存时间过长、不及时清运，可能造成危险废物溢流，异味散发，对周围环境空气产生不利影响；如果液态废物遇雨水渗入地下，可能会造成土壤和地下水污染，进而影响环境敏感目标。本项目拟建危废暂存间地面及内墙均采取了防渗、防腐措施，并设有地沟和集水池，用于泄漏废液的收集，在保证对危险废物进行及时转运的情况下，可避免产生对周边环境不利的影响。</w:t>
      </w:r>
    </w:p>
    <w:p>
      <w:pPr>
        <w:pStyle w:val="5"/>
        <w:spacing w:before="120" w:after="120"/>
        <w:rPr>
          <w:rStyle w:val="236"/>
          <w:rFonts w:ascii="黑体" w:hAnsi="黑体" w:eastAsia="黑体"/>
          <w:b w:val="0"/>
          <w:bCs w:val="0"/>
          <w:color w:val="auto"/>
        </w:rPr>
      </w:pPr>
      <w:r>
        <w:rPr>
          <w:rStyle w:val="236"/>
          <w:rFonts w:ascii="黑体" w:hAnsi="黑体" w:eastAsia="黑体"/>
          <w:b w:val="0"/>
          <w:bCs w:val="0"/>
          <w:color w:val="auto"/>
        </w:rPr>
        <w:t>5.4.6危险废物运输过程环境影响分析</w:t>
      </w:r>
    </w:p>
    <w:p>
      <w:pPr>
        <w:adjustRightInd w:val="0"/>
        <w:snapToGrid w:val="0"/>
        <w:spacing w:line="360" w:lineRule="auto"/>
        <w:ind w:firstLine="480" w:firstLineChars="200"/>
        <w:rPr>
          <w:color w:val="auto"/>
          <w:kern w:val="21"/>
          <w:sz w:val="24"/>
          <w:szCs w:val="24"/>
        </w:rPr>
      </w:pPr>
      <w:r>
        <w:rPr>
          <w:color w:val="auto"/>
          <w:kern w:val="21"/>
          <w:sz w:val="24"/>
          <w:szCs w:val="24"/>
        </w:rPr>
        <w:t>危险废物的转运严格按照有关规定，实行联单制度。本项目危险废物的运输由有资质单位承担，在危险废物转运过程中包装容器密封设置，容器上粘贴标签，注明危废种类、</w:t>
      </w:r>
      <w:r>
        <w:rPr>
          <w:rFonts w:hint="eastAsia"/>
          <w:color w:val="auto"/>
          <w:kern w:val="21"/>
          <w:sz w:val="24"/>
          <w:szCs w:val="24"/>
          <w:lang w:eastAsia="zh-CN"/>
        </w:rPr>
        <w:t>成分</w:t>
      </w:r>
      <w:r>
        <w:rPr>
          <w:color w:val="auto"/>
          <w:kern w:val="21"/>
          <w:sz w:val="24"/>
          <w:szCs w:val="24"/>
        </w:rPr>
        <w:t>、危险类别、产地、禁忌与安全措施等相关信息，运输车辆采用专用厢式货车，可有效防止运输过程中的泄漏。车辆运输时按照规定的运输路线行驶，在正常情况下不会对运输沿线产生影响。</w:t>
      </w:r>
    </w:p>
    <w:p>
      <w:pPr>
        <w:pStyle w:val="5"/>
        <w:spacing w:before="120" w:after="120"/>
        <w:rPr>
          <w:rStyle w:val="236"/>
          <w:rFonts w:ascii="黑体" w:hAnsi="黑体" w:eastAsia="黑体"/>
          <w:b w:val="0"/>
          <w:bCs w:val="0"/>
          <w:color w:val="auto"/>
        </w:rPr>
      </w:pPr>
      <w:bookmarkStart w:id="341" w:name="_Toc13616_WPSOffice_Level2"/>
      <w:r>
        <w:rPr>
          <w:rStyle w:val="236"/>
          <w:rFonts w:ascii="黑体" w:hAnsi="黑体" w:eastAsia="黑体"/>
          <w:b w:val="0"/>
          <w:bCs w:val="0"/>
          <w:color w:val="auto"/>
        </w:rPr>
        <w:t>5.4.7危废暂存间台账设置</w:t>
      </w:r>
      <w:bookmarkEnd w:id="341"/>
      <w:r>
        <w:rPr>
          <w:rStyle w:val="236"/>
          <w:rFonts w:ascii="黑体" w:hAnsi="黑体" w:eastAsia="黑体"/>
          <w:b w:val="0"/>
          <w:bCs w:val="0"/>
          <w:color w:val="auto"/>
        </w:rPr>
        <w:t xml:space="preserve">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（1）根据危险废物产生后不同的管理流程，在产生、贮存、利用、处置等环节建立有关危险废物的台账记录表（或生产报表）。如实记录危险废物产生、贮存、利用和处置等各个环节的情况。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在危险废物产生环节，可以按重量、体积、袋或桶的方式记录危险废物数量。危险废物转移出产生单位时或在产生单位内部利用处置时，原则上要求称重。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（2）定期（如按年）汇总危险废物台账记录表（或称生产报表），形成周期性报表。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报表应当按所产生危险废物的种类反映其产生情况以及库存情况。按所产生危险废物的种类以及利用处置方式反映内部自行利用处置情况与提供和委托外单位利用处置情况。相应记录表或凭证以及危险废物转移联单（包括内部转移联单）要随报表封装汇总。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（3）汇总危险废物台账报表，以及危险废物产生工序调查表及工序图、危险废物特性表、危险废物产生情况一览表、委托利用处置合同等，形成完整的危险废物台账。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（4）实施与保障危险废物台账制度的实施涉及产生单位内部的产生、贮存、利用处置、实验分析和安全环保等相关部门。 </w:t>
      </w:r>
    </w:p>
    <w:p>
      <w:pPr>
        <w:adjustRightInd w:val="0"/>
        <w:snapToGrid w:val="0"/>
        <w:spacing w:line="360" w:lineRule="auto"/>
        <w:ind w:firstLine="480" w:firstLineChars="200"/>
        <w:rPr>
          <w:color w:val="auto"/>
          <w:kern w:val="21"/>
          <w:sz w:val="24"/>
          <w:szCs w:val="24"/>
        </w:rPr>
      </w:pPr>
      <w:r>
        <w:rPr>
          <w:color w:val="auto"/>
          <w:kern w:val="21"/>
          <w:sz w:val="24"/>
          <w:szCs w:val="24"/>
        </w:rPr>
        <w:t xml:space="preserve">各部门应当充分结合自身的实际情况，与生产记录相衔接，建立内部危险废物管理机制和流程，明确各部门职责，真实记录危险废物的产生、贮存、利用、处置等信息，保证建立危险废物台账制度的良好运行。特别是要确保所有原始单据或凭证应当交由专人（如台账管理员）汇总。 </w:t>
      </w:r>
    </w:p>
    <w:p>
      <w:pPr>
        <w:adjustRightInd w:val="0"/>
        <w:snapToGrid w:val="0"/>
        <w:spacing w:line="360" w:lineRule="auto"/>
        <w:ind w:firstLine="480" w:firstLineChars="200"/>
        <w:rPr>
          <w:color w:val="auto"/>
          <w:kern w:val="21"/>
          <w:sz w:val="24"/>
          <w:szCs w:val="24"/>
        </w:rPr>
      </w:pPr>
      <w:r>
        <w:rPr>
          <w:color w:val="auto"/>
          <w:kern w:val="21"/>
          <w:sz w:val="24"/>
          <w:szCs w:val="24"/>
        </w:rPr>
        <w:t>危险废物台账应当分类装订成册，由专人管理，防止遗失。有条件的单位应当采用信息软件辅助管理危险废物台账。</w:t>
      </w:r>
    </w:p>
    <w:p>
      <w:pPr>
        <w:adjustRightInd w:val="0"/>
        <w:snapToGrid w:val="0"/>
        <w:spacing w:line="360" w:lineRule="auto"/>
        <w:ind w:firstLine="480" w:firstLineChars="200"/>
        <w:rPr>
          <w:color w:val="auto"/>
          <w:kern w:val="21"/>
          <w:sz w:val="24"/>
          <w:szCs w:val="24"/>
        </w:rPr>
      </w:pPr>
      <w:r>
        <w:rPr>
          <w:color w:val="auto"/>
          <w:kern w:val="21"/>
          <w:sz w:val="24"/>
          <w:szCs w:val="24"/>
        </w:rPr>
        <w:t>综上所述，在采取以上固体废物处理处置措施后，本项目投产后产生的一般废物和危险废物均可得到妥善处理或安全处置，对周围环境不会产生影响。</w:t>
      </w:r>
    </w:p>
    <w:p>
      <w:pPr>
        <w:adjustRightInd w:val="0"/>
        <w:snapToGrid w:val="0"/>
        <w:rPr>
          <w:rFonts w:eastAsia="黑体"/>
          <w:color w:val="auto"/>
          <w:kern w:val="21"/>
          <w:sz w:val="24"/>
          <w:szCs w:val="24"/>
        </w:rPr>
        <w:sectPr>
          <w:pgSz w:w="11907" w:h="16840"/>
          <w:pgMar w:top="1440" w:right="1797" w:bottom="1440" w:left="1797" w:header="851" w:footer="992" w:gutter="0"/>
          <w:cols w:space="425" w:num="1"/>
          <w:docGrid w:linePitch="312" w:charSpace="0"/>
        </w:sectPr>
      </w:pPr>
    </w:p>
    <w:p>
      <w:pPr>
        <w:pStyle w:val="4"/>
        <w:spacing w:before="120" w:after="120"/>
        <w:rPr>
          <w:color w:val="auto"/>
        </w:rPr>
      </w:pPr>
      <w:bookmarkStart w:id="342" w:name="_Toc112338952"/>
      <w:r>
        <w:rPr>
          <w:color w:val="auto"/>
        </w:rPr>
        <w:t>5.5地下水环境影响预测</w:t>
      </w:r>
      <w:bookmarkEnd w:id="340"/>
      <w:bookmarkEnd w:id="342"/>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5.5.1地下水水文地质情况</w:t>
      </w:r>
    </w:p>
    <w:p>
      <w:pPr>
        <w:pStyle w:val="6"/>
        <w:spacing w:before="0" w:after="0" w:line="360" w:lineRule="auto"/>
        <w:rPr>
          <w:snapToGrid w:val="0"/>
          <w:color w:val="auto"/>
          <w:sz w:val="24"/>
          <w:szCs w:val="24"/>
        </w:rPr>
      </w:pPr>
      <w:r>
        <w:rPr>
          <w:b w:val="0"/>
          <w:color w:val="auto"/>
          <w:sz w:val="24"/>
          <w:szCs w:val="24"/>
        </w:rPr>
        <w:t>5.5.1.1评价区水文地质情况</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厂</w:t>
      </w:r>
      <w:r>
        <w:rPr>
          <w:color w:val="auto"/>
          <w:spacing w:val="2"/>
          <w:kern w:val="0"/>
          <w:sz w:val="24"/>
          <w:szCs w:val="20"/>
        </w:rPr>
        <w:t>区地表广为第四系覆盖，其余地层均为隐伏地层。根据收集周边资料，150m深度内为第四系上更新统和全新统的冲积地层</w:t>
      </w:r>
      <w:r>
        <w:rPr>
          <w:color w:val="auto"/>
          <w:kern w:val="0"/>
          <w:sz w:val="24"/>
          <w:szCs w:val="20"/>
        </w:rPr>
        <w:t>。全新统</w:t>
      </w:r>
      <w:r>
        <w:rPr>
          <w:rFonts w:hint="eastAsia"/>
          <w:color w:val="auto"/>
          <w:kern w:val="0"/>
          <w:sz w:val="24"/>
          <w:szCs w:val="20"/>
          <w:lang w:eastAsia="zh-CN"/>
        </w:rPr>
        <w:t>(</w:t>
      </w:r>
      <w:r>
        <w:rPr>
          <w:color w:val="auto"/>
          <w:kern w:val="0"/>
          <w:sz w:val="24"/>
          <w:szCs w:val="20"/>
        </w:rPr>
        <w:t>Qh)：</w:t>
      </w:r>
      <w:r>
        <w:rPr>
          <w:rFonts w:hint="eastAsia" w:ascii="宋体" w:hAnsi="宋体" w:cs="宋体"/>
          <w:color w:val="auto"/>
          <w:kern w:val="0"/>
          <w:sz w:val="24"/>
          <w:szCs w:val="20"/>
        </w:rPr>
        <w:t>①</w:t>
      </w:r>
      <w:r>
        <w:rPr>
          <w:color w:val="auto"/>
          <w:kern w:val="0"/>
          <w:sz w:val="24"/>
          <w:szCs w:val="20"/>
        </w:rPr>
        <w:t>粉质粘土：灰黄色、浅黄色，为近代黄河冲积漫滩区地层。在调查区内分布不均，局部缺失，厚度0.0-9.0m。</w:t>
      </w:r>
      <w:r>
        <w:rPr>
          <w:rFonts w:hint="eastAsia" w:ascii="宋体" w:hAnsi="宋体" w:cs="宋体"/>
          <w:color w:val="auto"/>
          <w:kern w:val="0"/>
          <w:sz w:val="24"/>
          <w:szCs w:val="20"/>
        </w:rPr>
        <w:t>②</w:t>
      </w:r>
      <w:r>
        <w:rPr>
          <w:color w:val="auto"/>
          <w:kern w:val="0"/>
          <w:sz w:val="24"/>
          <w:szCs w:val="20"/>
        </w:rPr>
        <w:t>中细砂：层底埋深38-49m，岩性以灰黄色的中细砂、细砂为主，局部央粉土，水平薄层</w:t>
      </w:r>
      <w:r>
        <w:rPr>
          <w:rFonts w:hint="eastAsia"/>
          <w:color w:val="auto"/>
          <w:kern w:val="0"/>
          <w:sz w:val="24"/>
          <w:szCs w:val="20"/>
        </w:rPr>
        <w:t>里</w:t>
      </w:r>
      <w:r>
        <w:rPr>
          <w:color w:val="auto"/>
          <w:kern w:val="0"/>
          <w:sz w:val="24"/>
          <w:szCs w:val="20"/>
        </w:rPr>
        <w:t>发育。</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调查区域主要含水层为第四系松散岩类孔隙含水层，根据埋藏条件和水动力特征可进一步分为浅层含水层组、中深层含水层组、深层含水层组。地下水开发的重点目的层为浅层含水层组和中深层含水层组。浅层含水层组：底板埋深37</w:t>
      </w:r>
      <w:r>
        <w:rPr>
          <w:rFonts w:hint="eastAsia"/>
          <w:color w:val="auto"/>
          <w:kern w:val="0"/>
          <w:sz w:val="24"/>
          <w:szCs w:val="24"/>
          <w:lang w:eastAsia="zh-CN"/>
        </w:rPr>
        <w:t>～</w:t>
      </w:r>
      <w:r>
        <w:rPr>
          <w:color w:val="auto"/>
          <w:kern w:val="0"/>
          <w:sz w:val="24"/>
          <w:szCs w:val="24"/>
        </w:rPr>
        <w:t>65m，自东南向西北逐渐变浅，为潜水</w:t>
      </w:r>
      <w:r>
        <w:rPr>
          <w:rFonts w:hint="eastAsia"/>
          <w:color w:val="auto"/>
          <w:kern w:val="0"/>
          <w:sz w:val="24"/>
          <w:szCs w:val="24"/>
          <w:lang w:eastAsia="zh-CN"/>
        </w:rPr>
        <w:t>～</w:t>
      </w:r>
      <w:r>
        <w:rPr>
          <w:color w:val="auto"/>
          <w:kern w:val="0"/>
          <w:sz w:val="24"/>
          <w:szCs w:val="24"/>
        </w:rPr>
        <w:t>微承压水，含水介质由全新统和上更新统冲积中沙、细砂、粗砂组成，可见2~4层，单层厚度7</w:t>
      </w:r>
      <w:r>
        <w:rPr>
          <w:rFonts w:hint="eastAsia"/>
          <w:color w:val="auto"/>
          <w:kern w:val="0"/>
          <w:sz w:val="24"/>
          <w:szCs w:val="24"/>
          <w:lang w:eastAsia="zh-CN"/>
        </w:rPr>
        <w:t>～</w:t>
      </w:r>
      <w:r>
        <w:rPr>
          <w:color w:val="auto"/>
          <w:kern w:val="0"/>
          <w:sz w:val="24"/>
          <w:szCs w:val="24"/>
        </w:rPr>
        <w:t>30m，总厚度15</w:t>
      </w:r>
      <w:r>
        <w:rPr>
          <w:rFonts w:hint="eastAsia"/>
          <w:color w:val="auto"/>
          <w:kern w:val="0"/>
          <w:sz w:val="24"/>
          <w:szCs w:val="24"/>
          <w:lang w:eastAsia="zh-CN"/>
        </w:rPr>
        <w:t>～</w:t>
      </w:r>
      <w:r>
        <w:rPr>
          <w:color w:val="auto"/>
          <w:kern w:val="0"/>
          <w:sz w:val="24"/>
          <w:szCs w:val="24"/>
        </w:rPr>
        <w:t>33m，由南向北变薄。中深层含水层组：中深层含水组顶板埋深75</w:t>
      </w:r>
      <w:r>
        <w:rPr>
          <w:rFonts w:hint="eastAsia"/>
          <w:color w:val="auto"/>
          <w:kern w:val="0"/>
          <w:sz w:val="24"/>
          <w:szCs w:val="24"/>
          <w:lang w:eastAsia="zh-CN"/>
        </w:rPr>
        <w:t>～</w:t>
      </w:r>
      <w:r>
        <w:rPr>
          <w:color w:val="auto"/>
          <w:kern w:val="0"/>
          <w:sz w:val="24"/>
          <w:szCs w:val="24"/>
        </w:rPr>
        <w:t>95m，底板埋深90</w:t>
      </w:r>
      <w:r>
        <w:rPr>
          <w:rFonts w:hint="eastAsia"/>
          <w:color w:val="auto"/>
          <w:kern w:val="0"/>
          <w:sz w:val="24"/>
          <w:szCs w:val="24"/>
          <w:lang w:eastAsia="zh-CN"/>
        </w:rPr>
        <w:t>～</w:t>
      </w:r>
      <w:r>
        <w:rPr>
          <w:color w:val="auto"/>
          <w:kern w:val="0"/>
          <w:sz w:val="24"/>
          <w:szCs w:val="24"/>
        </w:rPr>
        <w:t>120m，地下水具承压性。含水介质以中更新统细砂、中砂为主，一般可见1~2层，单层厚度5</w:t>
      </w:r>
      <w:r>
        <w:rPr>
          <w:rFonts w:hint="eastAsia"/>
          <w:color w:val="auto"/>
          <w:kern w:val="0"/>
          <w:sz w:val="24"/>
          <w:szCs w:val="24"/>
          <w:lang w:eastAsia="zh-CN"/>
        </w:rPr>
        <w:t>～</w:t>
      </w:r>
      <w:r>
        <w:rPr>
          <w:color w:val="auto"/>
          <w:kern w:val="0"/>
          <w:sz w:val="24"/>
          <w:szCs w:val="24"/>
        </w:rPr>
        <w:t>30m，总厚度20</w:t>
      </w:r>
      <w:r>
        <w:rPr>
          <w:rFonts w:hint="eastAsia"/>
          <w:color w:val="auto"/>
          <w:kern w:val="0"/>
          <w:sz w:val="24"/>
          <w:szCs w:val="24"/>
          <w:lang w:eastAsia="zh-CN"/>
        </w:rPr>
        <w:t>～</w:t>
      </w:r>
      <w:r>
        <w:rPr>
          <w:color w:val="auto"/>
          <w:kern w:val="0"/>
          <w:sz w:val="24"/>
          <w:szCs w:val="24"/>
        </w:rPr>
        <w:t>55m，由南向北渐薄。单井涌水量＜1000m</w:t>
      </w:r>
      <w:r>
        <w:rPr>
          <w:color w:val="auto"/>
          <w:kern w:val="0"/>
          <w:sz w:val="24"/>
          <w:szCs w:val="24"/>
          <w:vertAlign w:val="superscript"/>
        </w:rPr>
        <w:t>3</w:t>
      </w:r>
      <w:r>
        <w:rPr>
          <w:color w:val="auto"/>
          <w:kern w:val="0"/>
          <w:sz w:val="24"/>
          <w:szCs w:val="24"/>
        </w:rPr>
        <w:t>/d（15m降深），渗透系数3.9</w:t>
      </w:r>
      <w:r>
        <w:rPr>
          <w:rFonts w:hint="eastAsia"/>
          <w:color w:val="auto"/>
          <w:kern w:val="0"/>
          <w:sz w:val="24"/>
          <w:szCs w:val="24"/>
          <w:lang w:eastAsia="zh-CN"/>
        </w:rPr>
        <w:t>～</w:t>
      </w:r>
      <w:r>
        <w:rPr>
          <w:color w:val="auto"/>
          <w:kern w:val="0"/>
          <w:sz w:val="24"/>
          <w:szCs w:val="24"/>
        </w:rPr>
        <w:t>8.5m/d。城区一带，含水组顶板埋深40m左右，上部弱透层</w:t>
      </w:r>
      <w:r>
        <w:rPr>
          <w:rFonts w:hint="eastAsia"/>
          <w:color w:val="auto"/>
          <w:kern w:val="0"/>
          <w:sz w:val="24"/>
          <w:szCs w:val="24"/>
          <w:lang w:eastAsia="zh-CN"/>
        </w:rPr>
        <w:t>（</w:t>
      </w:r>
      <w:r>
        <w:rPr>
          <w:color w:val="auto"/>
          <w:kern w:val="0"/>
          <w:sz w:val="24"/>
          <w:szCs w:val="24"/>
        </w:rPr>
        <w:t>粉土、粉质粘土）厚40m左右，下部含水砂层（细砂、粉砂）厚30~40rn ，单井涌水量800~900m</w:t>
      </w:r>
      <w:r>
        <w:rPr>
          <w:color w:val="auto"/>
          <w:kern w:val="0"/>
          <w:sz w:val="24"/>
          <w:szCs w:val="24"/>
          <w:vertAlign w:val="superscript"/>
        </w:rPr>
        <w:t>3</w:t>
      </w:r>
      <w:r>
        <w:rPr>
          <w:color w:val="auto"/>
          <w:kern w:val="0"/>
          <w:sz w:val="24"/>
          <w:szCs w:val="24"/>
        </w:rPr>
        <w:t>/d。评价区水文地质图见下图5.5-1。</w:t>
      </w:r>
    </w:p>
    <w:p>
      <w:pPr>
        <w:adjustRightInd w:val="0"/>
        <w:snapToGrid w:val="0"/>
        <w:ind w:firstLine="420" w:firstLineChars="200"/>
        <w:textAlignment w:val="baseline"/>
        <w:rPr>
          <w:color w:val="auto"/>
        </w:rPr>
      </w:pPr>
    </w:p>
    <w:p>
      <w:pPr>
        <w:adjustRightInd w:val="0"/>
        <w:snapToGrid w:val="0"/>
        <w:ind w:firstLine="420" w:firstLineChars="200"/>
        <w:textAlignment w:val="baseline"/>
        <w:rPr>
          <w:color w:val="auto"/>
        </w:rPr>
      </w:pPr>
    </w:p>
    <w:p>
      <w:pPr>
        <w:adjustRightInd w:val="0"/>
        <w:snapToGrid w:val="0"/>
        <w:ind w:firstLine="420" w:firstLineChars="200"/>
        <w:textAlignment w:val="baseline"/>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adjustRightInd w:val="0"/>
        <w:snapToGrid w:val="0"/>
        <w:ind w:firstLine="420" w:firstLineChars="200"/>
        <w:textAlignment w:val="baseline"/>
        <w:rPr>
          <w:color w:val="auto"/>
          <w:kern w:val="0"/>
          <w:sz w:val="24"/>
          <w:szCs w:val="24"/>
        </w:rPr>
      </w:pPr>
      <w:r>
        <w:rPr>
          <w:color w:val="auto"/>
        </w:rPr>
        <mc:AlternateContent>
          <mc:Choice Requires="wps">
            <w:drawing>
              <wp:anchor distT="0" distB="0" distL="114300" distR="114300" simplePos="0" relativeHeight="251762688" behindDoc="0" locked="0" layoutInCell="1" allowOverlap="1">
                <wp:simplePos x="0" y="0"/>
                <wp:positionH relativeFrom="column">
                  <wp:posOffset>2731770</wp:posOffset>
                </wp:positionH>
                <wp:positionV relativeFrom="paragraph">
                  <wp:posOffset>1470025</wp:posOffset>
                </wp:positionV>
                <wp:extent cx="714375" cy="285750"/>
                <wp:effectExtent l="23495" t="69850" r="5080" b="6350"/>
                <wp:wrapNone/>
                <wp:docPr id="621" name="矩形标注 621"/>
                <wp:cNvGraphicFramePr/>
                <a:graphic xmlns:a="http://schemas.openxmlformats.org/drawingml/2006/main">
                  <a:graphicData uri="http://schemas.microsoft.com/office/word/2010/wordprocessingShape">
                    <wps:wsp>
                      <wps:cNvSpPr/>
                      <wps:spPr>
                        <a:xfrm>
                          <a:off x="0" y="0"/>
                          <a:ext cx="714375" cy="285750"/>
                        </a:xfrm>
                        <a:prstGeom prst="wedgeRectCallout">
                          <a:avLst>
                            <a:gd name="adj1" fmla="val -52651"/>
                            <a:gd name="adj2" fmla="val -72794"/>
                          </a:avLst>
                        </a:prstGeom>
                        <a:solidFill>
                          <a:sysClr val="window" lastClr="FFFFFF"/>
                        </a:solidFill>
                        <a:ln w="9525" cap="flat" cmpd="sng" algn="ctr">
                          <a:solidFill>
                            <a:sysClr val="windowText" lastClr="000000"/>
                          </a:solidFill>
                          <a:prstDash val="solid"/>
                        </a:ln>
                        <a:effectLst/>
                      </wps:spPr>
                      <wps:txbx>
                        <w:txbxContent>
                          <w:p>
                            <w:pPr>
                              <w:rPr>
                                <w:color w:val="FF0000"/>
                              </w:rPr>
                            </w:pPr>
                            <w:r>
                              <w:rPr>
                                <w:rFonts w:hint="eastAsia"/>
                                <w:color w:val="FF0000"/>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5.1pt;margin-top:115.75pt;height:22.5pt;width:56.25pt;z-index:251762688;v-text-anchor:middle;mso-width-relative:page;mso-height-relative:page;" fillcolor="#FFFFFF" filled="t" stroked="t" coordsize="21600,21600" o:gfxdata="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1CBj4dsAAAALAQAADwAAAAAAAAAB&#10;ACAAAAAiAAAAZHJzL2Rvd25yZXYueG1sUEsBAhQAFAAAAAgAh07iQPxSkPq4AgAAgQUAAA4AAAAA&#10;AAAAAQAgAAAAKgEAAGRycy9lMm9Eb2MueG1sUEsFBgAAAAAGAAYAWQEAAFQGAAAAAA==&#10;" adj="-573,-4924">
                <v:fill on="t" focussize="0,0"/>
                <v:stroke color="#000000" joinstyle="round"/>
                <v:imagedata o:title=""/>
                <o:lock v:ext="edit" aspectratio="f"/>
                <v:textbox>
                  <w:txbxContent>
                    <w:p>
                      <w:pPr>
                        <w:rPr>
                          <w:color w:val="FF0000"/>
                        </w:rPr>
                      </w:pPr>
                      <w:r>
                        <w:rPr>
                          <w:rFonts w:hint="eastAsia"/>
                          <w:color w:val="FF0000"/>
                        </w:rPr>
                        <w:t>本项目</w:t>
                      </w:r>
                    </w:p>
                  </w:txbxContent>
                </v:textbox>
              </v:shape>
            </w:pict>
          </mc:Fallback>
        </mc:AlternateContent>
      </w:r>
      <w:r>
        <w:rPr>
          <w:color w:val="auto"/>
        </w:rPr>
        <w:object>
          <v:shape id="_x0000_i1043" o:spt="75" alt="" type="#_x0000_t75" style="height:269.35pt;width:351.65pt;" o:ole="t" filled="f" o:preferrelative="t" stroked="f" coordsize="21600,21600">
            <v:path/>
            <v:fill on="f" focussize="0,0"/>
            <v:stroke on="f"/>
            <v:imagedata r:id="rId123" o:title=""/>
            <o:lock v:ext="edit" aspectratio="t"/>
            <w10:wrap type="none"/>
            <w10:anchorlock/>
          </v:shape>
          <o:OLEObject Type="Embed" ProgID="Visio.Drawing.11" ShapeID="_x0000_i1043" DrawAspect="Content" ObjectID="_1468075745" r:id="rId122">
            <o:LockedField>false</o:LockedField>
          </o:OLEObject>
        </w:objec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图5.5-1  项目评价区水文地质示意图</w:t>
      </w:r>
    </w:p>
    <w:p>
      <w:pPr>
        <w:pStyle w:val="6"/>
        <w:spacing w:before="120" w:beforeLines="50" w:after="0" w:line="360" w:lineRule="auto"/>
        <w:rPr>
          <w:b w:val="0"/>
          <w:color w:val="auto"/>
          <w:sz w:val="24"/>
          <w:szCs w:val="24"/>
        </w:rPr>
      </w:pPr>
      <w:r>
        <w:rPr>
          <w:b w:val="0"/>
          <w:color w:val="auto"/>
          <w:sz w:val="24"/>
          <w:szCs w:val="24"/>
        </w:rPr>
        <w:t>5.5.1.2地下水的补给、径流及排泄</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（1）地下水的补给</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 xml:space="preserve">补给：区内浅层水主要接受降水入渗和地表径流渗漏补给，其次为灌溉水回渗补给、河流渗漏补给和侧向径流补给。 </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降水入渗补给：区内包气带岩性主要为粉土，结构疏松，地形平坦，地下水位埋深多小于6m，</w:t>
      </w:r>
      <w:r>
        <w:rPr>
          <w:rFonts w:hint="eastAsia"/>
          <w:color w:val="auto"/>
          <w:kern w:val="0"/>
          <w:sz w:val="24"/>
          <w:szCs w:val="24"/>
          <w:lang w:eastAsia="zh-CN"/>
        </w:rPr>
        <w:t>有利于</w:t>
      </w:r>
      <w:r>
        <w:rPr>
          <w:color w:val="auto"/>
          <w:kern w:val="0"/>
          <w:sz w:val="24"/>
          <w:szCs w:val="24"/>
        </w:rPr>
        <w:t>大气降水入渗补给。</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河、渠渗漏补给：调查区西部共产主义渠，在雨季起到排洪作用，其他季节是一条区域排污渠道，其水位高于地下水位，渠水侧向渗漏补给浅层地下水；受浅层地下水开采降落漏斗影响，调查区西北侧卫河（大沙河）河水位高于浅层地下水，侧向渗漏补给地下水。</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灌溉回渗补给：区内部分井灌灌溉水（中深层水）可回渗补给浅层地下水。</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（2）地下水的径流：受地下水开采和共产主义渠渗流影响，调查区内地下水流向特征为：沿共产主义渠形成分水岭，地下水向东、西两侧径流；</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（3）地下水排泄：调查区内浅层地下水主要排泄方式为农业开采。</w:t>
      </w:r>
    </w:p>
    <w:p>
      <w:pPr>
        <w:pStyle w:val="6"/>
        <w:spacing w:before="120" w:beforeLines="50" w:after="0" w:line="360" w:lineRule="auto"/>
        <w:rPr>
          <w:b w:val="0"/>
          <w:color w:val="auto"/>
          <w:sz w:val="24"/>
          <w:szCs w:val="24"/>
        </w:rPr>
      </w:pPr>
      <w:r>
        <w:rPr>
          <w:b w:val="0"/>
          <w:color w:val="auto"/>
          <w:sz w:val="24"/>
          <w:szCs w:val="24"/>
        </w:rPr>
        <w:t>5.5.1.3地下水动态特征</w:t>
      </w:r>
    </w:p>
    <w:p>
      <w:pPr>
        <w:adjustRightInd w:val="0"/>
        <w:snapToGrid w:val="0"/>
        <w:spacing w:line="360" w:lineRule="auto"/>
        <w:ind w:firstLine="480" w:firstLineChars="200"/>
        <w:textAlignment w:val="baseline"/>
        <w:rPr>
          <w:color w:val="auto"/>
          <w:kern w:val="0"/>
          <w:sz w:val="24"/>
          <w:szCs w:val="24"/>
        </w:rPr>
      </w:pPr>
      <w:r>
        <w:rPr>
          <w:color w:val="auto"/>
          <w:kern w:val="0"/>
          <w:sz w:val="24"/>
          <w:szCs w:val="24"/>
        </w:rPr>
        <w:t>区域地下水主要受河流的渗漏补给，而河流的水位、流量与大气降水密不可分。丰水期地表水补给地下水，枯水期地下水补给地表水，水位年变幅1.0-1.5m。每年雨季到来，大气降水迅速增加，河水上涨，渗漏的河水使地下水位抬升。当降雨停止，河水流量减少，地下水位开始下降，地下水位年际变化与大气降水年际变化一致，一般每年6月地下水开始回升，到9、10月份达到最高水位，11月份由于降雨量逐渐减少，地下水开始下降，到第二年3-5月份达到最低水位。</w:t>
      </w:r>
    </w:p>
    <w:p>
      <w:pPr>
        <w:pStyle w:val="6"/>
        <w:spacing w:before="120" w:beforeLines="50" w:after="0" w:line="360" w:lineRule="auto"/>
        <w:rPr>
          <w:b w:val="0"/>
          <w:color w:val="auto"/>
          <w:sz w:val="24"/>
          <w:szCs w:val="24"/>
        </w:rPr>
      </w:pPr>
      <w:r>
        <w:rPr>
          <w:b w:val="0"/>
          <w:color w:val="auto"/>
          <w:sz w:val="24"/>
          <w:szCs w:val="24"/>
        </w:rPr>
        <w:t>5.5.1.4项目场地水文地质</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本项目场地水文地质资料引用《河南大成包装材料有限公司新厂区岩土工程勘察报告》中的相关数据和内容，河南大成包装材料有限公司位于本项目西南方位510m，属于同一地质单元，主要引用内容如下：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项目所在地貌单元属黄河冲积平原，地面平坦，孔口相对最大高差0.85m。根据钻探揭露及原位测试和土工试验结果，勘探深度范围内地层除第1单元层耕土外均为第四纪冲积生成的第四系全新统，主要岩性为粘性土、粉土和砂土。根据地质时代、成因、岩性及物理力学性质，将勘探深度范围内的地基土由上至下划分为5个工程地质单元层，分述如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第1单元层：耕土</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黄褐色，不均匀，稍密，稍湿，包含植物根。层厚0.4</w:t>
      </w:r>
      <w:r>
        <w:rPr>
          <w:rFonts w:hint="eastAsia"/>
          <w:color w:val="auto"/>
          <w:kern w:val="0"/>
          <w:sz w:val="24"/>
          <w:szCs w:val="20"/>
          <w:lang w:eastAsia="zh-CN"/>
        </w:rPr>
        <w:t>～</w:t>
      </w:r>
      <w:r>
        <w:rPr>
          <w:color w:val="auto"/>
          <w:kern w:val="0"/>
          <w:sz w:val="24"/>
          <w:szCs w:val="20"/>
        </w:rPr>
        <w:t>0.5m，平均厚度0.45m。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第2单元层：粉质粘土</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黄褐色，可塑，包含锈染、碳膜，局部夹粉土薄层，稍有光泽，干强度中等，韧性中等，无摇振反应。层底埋深2.39</w:t>
      </w:r>
      <w:r>
        <w:rPr>
          <w:rFonts w:hint="eastAsia"/>
          <w:color w:val="auto"/>
          <w:kern w:val="0"/>
          <w:sz w:val="24"/>
          <w:szCs w:val="20"/>
          <w:lang w:eastAsia="zh-CN"/>
        </w:rPr>
        <w:t>～</w:t>
      </w:r>
      <w:r>
        <w:rPr>
          <w:color w:val="auto"/>
          <w:kern w:val="0"/>
          <w:sz w:val="24"/>
          <w:szCs w:val="20"/>
        </w:rPr>
        <w:t>4.48m，层底标高-4.96~-3.15m，层厚1.99</w:t>
      </w:r>
      <w:r>
        <w:rPr>
          <w:rFonts w:hint="eastAsia"/>
          <w:color w:val="auto"/>
          <w:kern w:val="0"/>
          <w:sz w:val="24"/>
          <w:szCs w:val="20"/>
          <w:lang w:eastAsia="zh-CN"/>
        </w:rPr>
        <w:t>～</w:t>
      </w:r>
      <w:r>
        <w:rPr>
          <w:color w:val="auto"/>
          <w:kern w:val="0"/>
          <w:sz w:val="24"/>
          <w:szCs w:val="20"/>
        </w:rPr>
        <w:t>3.98m，平均厚度2.93m。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第3单元层：粉质粘土</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黄褐色，可塑，局部硬塑，包含锈染、碳膜、少量姜石，局部夹粉土薄层，稍有光泽，干强度中等，韧性中等，无摇振反应。层底埋深4.49</w:t>
      </w:r>
      <w:r>
        <w:rPr>
          <w:rFonts w:hint="eastAsia"/>
          <w:color w:val="auto"/>
          <w:kern w:val="0"/>
          <w:sz w:val="24"/>
          <w:szCs w:val="20"/>
          <w:lang w:eastAsia="zh-CN"/>
        </w:rPr>
        <w:t>～</w:t>
      </w:r>
      <w:r>
        <w:rPr>
          <w:color w:val="auto"/>
          <w:kern w:val="0"/>
          <w:sz w:val="24"/>
          <w:szCs w:val="20"/>
        </w:rPr>
        <w:t>7.0m，层底标高-7.38~-5.74m，层厚1.13</w:t>
      </w:r>
      <w:r>
        <w:rPr>
          <w:rFonts w:hint="eastAsia"/>
          <w:color w:val="auto"/>
          <w:kern w:val="0"/>
          <w:sz w:val="24"/>
          <w:szCs w:val="20"/>
          <w:lang w:eastAsia="zh-CN"/>
        </w:rPr>
        <w:t>～</w:t>
      </w:r>
      <w:r>
        <w:rPr>
          <w:color w:val="auto"/>
          <w:kern w:val="0"/>
          <w:sz w:val="24"/>
          <w:szCs w:val="20"/>
        </w:rPr>
        <w:t>3.65m，平均厚度2.80m。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第4</w:t>
      </w:r>
      <w:r>
        <w:rPr>
          <w:color w:val="auto"/>
          <w:kern w:val="0"/>
          <w:sz w:val="24"/>
          <w:szCs w:val="20"/>
          <w:vertAlign w:val="subscript"/>
        </w:rPr>
        <w:t>1</w:t>
      </w:r>
      <w:r>
        <w:rPr>
          <w:color w:val="auto"/>
          <w:kern w:val="0"/>
          <w:sz w:val="24"/>
          <w:szCs w:val="20"/>
        </w:rPr>
        <w:t>单元层：粉土</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黄褐色，中密，湿，包含锈染、碳膜，局部夹粉质粘土、砂土薄层。摇振反应中等，干强度低，韧性低，无光泽反应。粒径大于0.075mm的颗粒含量平均值是全重的2.7%，粘粒百分含量平均值为13.0%，塑性指数Ip=8.9。本层粉土分布不均匀，在31</w:t>
      </w:r>
      <w:r>
        <w:rPr>
          <w:color w:val="auto"/>
          <w:kern w:val="0"/>
          <w:sz w:val="24"/>
          <w:szCs w:val="20"/>
          <w:vertAlign w:val="superscript"/>
        </w:rPr>
        <w:t>#</w:t>
      </w:r>
      <w:r>
        <w:rPr>
          <w:color w:val="auto"/>
          <w:kern w:val="0"/>
          <w:sz w:val="24"/>
          <w:szCs w:val="20"/>
        </w:rPr>
        <w:t>~34</w:t>
      </w:r>
      <w:r>
        <w:rPr>
          <w:color w:val="auto"/>
          <w:kern w:val="0"/>
          <w:sz w:val="24"/>
          <w:szCs w:val="20"/>
          <w:vertAlign w:val="superscript"/>
        </w:rPr>
        <w:t>#</w:t>
      </w:r>
      <w:r>
        <w:rPr>
          <w:color w:val="auto"/>
          <w:kern w:val="0"/>
          <w:sz w:val="24"/>
          <w:szCs w:val="20"/>
        </w:rPr>
        <w:t>、49</w:t>
      </w:r>
      <w:r>
        <w:rPr>
          <w:color w:val="auto"/>
          <w:kern w:val="0"/>
          <w:sz w:val="24"/>
          <w:szCs w:val="20"/>
          <w:vertAlign w:val="superscript"/>
        </w:rPr>
        <w:t>#</w:t>
      </w:r>
      <w:r>
        <w:rPr>
          <w:color w:val="auto"/>
          <w:kern w:val="0"/>
          <w:sz w:val="24"/>
          <w:szCs w:val="20"/>
        </w:rPr>
        <w:t>~55</w:t>
      </w:r>
      <w:r>
        <w:rPr>
          <w:color w:val="auto"/>
          <w:kern w:val="0"/>
          <w:sz w:val="24"/>
          <w:szCs w:val="20"/>
          <w:vertAlign w:val="superscript"/>
        </w:rPr>
        <w:t>#</w:t>
      </w:r>
      <w:r>
        <w:rPr>
          <w:color w:val="auto"/>
          <w:kern w:val="0"/>
          <w:sz w:val="24"/>
          <w:szCs w:val="20"/>
        </w:rPr>
        <w:t>、60</w:t>
      </w:r>
      <w:r>
        <w:rPr>
          <w:color w:val="auto"/>
          <w:kern w:val="0"/>
          <w:sz w:val="24"/>
          <w:szCs w:val="20"/>
          <w:vertAlign w:val="superscript"/>
        </w:rPr>
        <w:t>#</w:t>
      </w:r>
      <w:r>
        <w:rPr>
          <w:color w:val="auto"/>
          <w:kern w:val="0"/>
          <w:sz w:val="24"/>
          <w:szCs w:val="20"/>
        </w:rPr>
        <w:t>~63</w:t>
      </w:r>
      <w:r>
        <w:rPr>
          <w:color w:val="auto"/>
          <w:kern w:val="0"/>
          <w:sz w:val="24"/>
          <w:szCs w:val="20"/>
          <w:vertAlign w:val="superscript"/>
        </w:rPr>
        <w:t>#</w:t>
      </w:r>
      <w:r>
        <w:rPr>
          <w:color w:val="auto"/>
          <w:kern w:val="0"/>
          <w:sz w:val="24"/>
          <w:szCs w:val="20"/>
        </w:rPr>
        <w:t>、67</w:t>
      </w:r>
      <w:r>
        <w:rPr>
          <w:color w:val="auto"/>
          <w:kern w:val="0"/>
          <w:sz w:val="24"/>
          <w:szCs w:val="20"/>
          <w:vertAlign w:val="superscript"/>
        </w:rPr>
        <w:t>#</w:t>
      </w:r>
      <w:r>
        <w:rPr>
          <w:color w:val="auto"/>
          <w:kern w:val="0"/>
          <w:sz w:val="24"/>
          <w:szCs w:val="20"/>
        </w:rPr>
        <w:t>~71</w:t>
      </w:r>
      <w:r>
        <w:rPr>
          <w:color w:val="auto"/>
          <w:kern w:val="0"/>
          <w:sz w:val="24"/>
          <w:szCs w:val="20"/>
          <w:vertAlign w:val="superscript"/>
        </w:rPr>
        <w:t>#</w:t>
      </w:r>
      <w:r>
        <w:rPr>
          <w:color w:val="auto"/>
          <w:kern w:val="0"/>
          <w:sz w:val="24"/>
          <w:szCs w:val="20"/>
        </w:rPr>
        <w:t>孔存在，其他孔缺失。在所见该层的钻孔内层底埋深6.10</w:t>
      </w:r>
      <w:r>
        <w:rPr>
          <w:rFonts w:hint="eastAsia"/>
          <w:color w:val="auto"/>
          <w:kern w:val="0"/>
          <w:sz w:val="24"/>
          <w:szCs w:val="20"/>
          <w:lang w:eastAsia="zh-CN"/>
        </w:rPr>
        <w:t>～</w:t>
      </w:r>
      <w:r>
        <w:rPr>
          <w:color w:val="auto"/>
          <w:kern w:val="0"/>
          <w:sz w:val="24"/>
          <w:szCs w:val="20"/>
        </w:rPr>
        <w:t>8.99m，层底标高-9.74~-6.85m，层厚0.90</w:t>
      </w:r>
      <w:r>
        <w:rPr>
          <w:rFonts w:hint="eastAsia"/>
          <w:color w:val="auto"/>
          <w:kern w:val="0"/>
          <w:sz w:val="24"/>
          <w:szCs w:val="20"/>
          <w:lang w:eastAsia="zh-CN"/>
        </w:rPr>
        <w:t>～</w:t>
      </w:r>
      <w:r>
        <w:rPr>
          <w:color w:val="auto"/>
          <w:kern w:val="0"/>
          <w:sz w:val="24"/>
          <w:szCs w:val="20"/>
        </w:rPr>
        <w:t>3.27m，平均厚度1.91m。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第4单元层：粉质粘土</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黄褐色~灰褐色，硬塑，局部可塑，包含锈染、碳膜、姜石，局部夹粉土薄层，稍有光泽，干强度中等，韧性中等，无摇振反应。层底埋深10.50</w:t>
      </w:r>
      <w:r>
        <w:rPr>
          <w:rFonts w:hint="eastAsia"/>
          <w:color w:val="auto"/>
          <w:kern w:val="0"/>
          <w:sz w:val="24"/>
          <w:szCs w:val="20"/>
          <w:lang w:eastAsia="zh-CN"/>
        </w:rPr>
        <w:t>～</w:t>
      </w:r>
      <w:r>
        <w:rPr>
          <w:color w:val="auto"/>
          <w:kern w:val="0"/>
          <w:sz w:val="24"/>
          <w:szCs w:val="20"/>
        </w:rPr>
        <w:t>11.50m，层底标高-11.89~-10.61m，层厚2.10</w:t>
      </w:r>
      <w:r>
        <w:rPr>
          <w:rFonts w:hint="eastAsia"/>
          <w:color w:val="auto"/>
          <w:kern w:val="0"/>
          <w:sz w:val="24"/>
          <w:szCs w:val="20"/>
          <w:lang w:eastAsia="zh-CN"/>
        </w:rPr>
        <w:t>～</w:t>
      </w:r>
      <w:r>
        <w:rPr>
          <w:color w:val="auto"/>
          <w:kern w:val="0"/>
          <w:sz w:val="24"/>
          <w:szCs w:val="20"/>
        </w:rPr>
        <w:t>5.70m，平均厚度4.19m。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第5单元层：细砂</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黄褐色，密实，饱和，粒度均质，矿粒成分为石英、长石为主。粒径大于0.075mm的颗粒含量平均值是全重的92.4%。孔深20.0m未穿透，最大揭露厚度9.50m左右。</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场地地质剖面图见图5.5-2，柱形图见图5.5-3。</w:t>
      </w:r>
    </w:p>
    <w:p>
      <w:pPr>
        <w:adjustRightInd w:val="0"/>
        <w:snapToGrid w:val="0"/>
        <w:ind w:firstLine="420" w:firstLineChars="200"/>
        <w:textAlignment w:val="baseline"/>
        <w:rPr>
          <w:color w:val="auto"/>
          <w:kern w:val="0"/>
          <w:sz w:val="24"/>
          <w:szCs w:val="20"/>
        </w:rPr>
      </w:pPr>
      <w:r>
        <w:rPr>
          <w:color w:val="auto"/>
        </w:rPr>
        <w:drawing>
          <wp:inline distT="0" distB="0" distL="0" distR="0">
            <wp:extent cx="5475605" cy="3895725"/>
            <wp:effectExtent l="0" t="0" r="10795" b="9525"/>
            <wp:docPr id="1466" name="图片 30" descr="说明: C:/Users/ADMINI~1/AppData/Local/Temp/picturecompress_20210205153422/output_99.pngoutput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图片 30" descr="说明: C:/Users/ADMINI~1/AppData/Local/Temp/picturecompress_20210205153422/output_99.pngoutput_99"/>
                    <pic:cNvPicPr>
                      <a:picLocks noChangeAspect="1" noChangeArrowheads="1"/>
                    </pic:cNvPicPr>
                  </pic:nvPicPr>
                  <pic:blipFill>
                    <a:blip r:embed="rId124"/>
                    <a:srcRect/>
                    <a:stretch>
                      <a:fillRect/>
                    </a:stretch>
                  </pic:blipFill>
                  <pic:spPr>
                    <a:xfrm>
                      <a:off x="0" y="0"/>
                      <a:ext cx="5475605" cy="3895725"/>
                    </a:xfrm>
                    <a:prstGeom prst="rect">
                      <a:avLst/>
                    </a:prstGeom>
                    <a:noFill/>
                    <a:ln>
                      <a:noFill/>
                    </a:ln>
                  </pic:spPr>
                </pic:pic>
              </a:graphicData>
            </a:graphic>
          </wp:inline>
        </w:drawing>
      </w:r>
    </w:p>
    <w:p>
      <w:pPr>
        <w:spacing w:line="520" w:lineRule="exact"/>
        <w:jc w:val="center"/>
        <w:rPr>
          <w:rFonts w:eastAsia="黑体"/>
          <w:color w:val="auto"/>
          <w:sz w:val="24"/>
          <w:szCs w:val="20"/>
        </w:rPr>
      </w:pPr>
      <w:r>
        <w:rPr>
          <w:rFonts w:eastAsia="黑体"/>
          <w:color w:val="auto"/>
          <w:sz w:val="24"/>
          <w:szCs w:val="20"/>
        </w:rPr>
        <w:t>图5.5-2 场地地质剖面图（1-1'）</w:t>
      </w:r>
    </w:p>
    <w:p>
      <w:pPr>
        <w:pStyle w:val="43"/>
      </w:pPr>
    </w:p>
    <w:p>
      <w:pPr>
        <w:spacing w:line="520" w:lineRule="exact"/>
        <w:jc w:val="center"/>
        <w:rPr>
          <w:rFonts w:eastAsia="黑体"/>
          <w:color w:val="auto"/>
          <w:sz w:val="24"/>
          <w:szCs w:val="20"/>
        </w:rPr>
      </w:pPr>
    </w:p>
    <w:p>
      <w:pPr>
        <w:spacing w:line="520" w:lineRule="exact"/>
        <w:jc w:val="center"/>
        <w:rPr>
          <w:rFonts w:eastAsia="黑体"/>
          <w:color w:val="auto"/>
          <w:sz w:val="24"/>
          <w:szCs w:val="20"/>
        </w:rPr>
      </w:pPr>
    </w:p>
    <w:p>
      <w:pPr>
        <w:jc w:val="center"/>
        <w:rPr>
          <w:rFonts w:eastAsia="黑体"/>
          <w:color w:val="auto"/>
          <w:sz w:val="24"/>
          <w:szCs w:val="20"/>
        </w:rPr>
      </w:pPr>
      <w:r>
        <w:rPr>
          <w:color w:val="auto"/>
        </w:rPr>
        <w:drawing>
          <wp:inline distT="0" distB="0" distL="0" distR="0">
            <wp:extent cx="5658485" cy="7967980"/>
            <wp:effectExtent l="0" t="0" r="18415" b="13970"/>
            <wp:docPr id="1465" name="图片 25" descr="说明: C:/Users/ADMINI~1/AppData/Local/Temp/picturecompress_20210205153422/output_100.jpgoutput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图片 25" descr="说明: C:/Users/ADMINI~1/AppData/Local/Temp/picturecompress_20210205153422/output_100.jpgoutput_100"/>
                    <pic:cNvPicPr>
                      <a:picLocks noChangeAspect="1" noChangeArrowheads="1"/>
                    </pic:cNvPicPr>
                  </pic:nvPicPr>
                  <pic:blipFill>
                    <a:blip r:embed="rId125"/>
                    <a:srcRect/>
                    <a:stretch>
                      <a:fillRect/>
                    </a:stretch>
                  </pic:blipFill>
                  <pic:spPr>
                    <a:xfrm>
                      <a:off x="0" y="0"/>
                      <a:ext cx="5658485" cy="7976988"/>
                    </a:xfrm>
                    <a:prstGeom prst="rect">
                      <a:avLst/>
                    </a:prstGeom>
                    <a:noFill/>
                    <a:ln>
                      <a:noFill/>
                    </a:ln>
                  </pic:spPr>
                </pic:pic>
              </a:graphicData>
            </a:graphic>
          </wp:inline>
        </w:drawing>
      </w:r>
    </w:p>
    <w:p>
      <w:pPr>
        <w:spacing w:line="520" w:lineRule="exact"/>
        <w:jc w:val="center"/>
        <w:rPr>
          <w:rFonts w:eastAsia="黑体"/>
          <w:color w:val="auto"/>
          <w:sz w:val="24"/>
          <w:szCs w:val="20"/>
        </w:rPr>
      </w:pPr>
      <w:r>
        <w:rPr>
          <w:rFonts w:eastAsia="黑体"/>
          <w:color w:val="auto"/>
          <w:sz w:val="24"/>
          <w:szCs w:val="20"/>
        </w:rPr>
        <w:t>图5.5-3 场地综合地质柱状图</w:t>
      </w:r>
    </w:p>
    <w:p>
      <w:pPr>
        <w:pStyle w:val="5"/>
        <w:keepNext w:val="0"/>
        <w:keepLines w:val="0"/>
        <w:snapToGrid w:val="0"/>
        <w:spacing w:before="0" w:beforeLines="0" w:after="0" w:afterLines="0"/>
        <w:jc w:val="both"/>
        <w:rPr>
          <w:bCs w:val="0"/>
          <w:color w:val="auto"/>
          <w:kern w:val="21"/>
          <w:sz w:val="28"/>
          <w:szCs w:val="28"/>
        </w:rPr>
      </w:pPr>
    </w:p>
    <w:p>
      <w:pPr>
        <w:pStyle w:val="5"/>
        <w:keepNext w:val="0"/>
        <w:keepLines w:val="0"/>
        <w:snapToGrid w:val="0"/>
        <w:spacing w:before="0" w:beforeLines="0" w:after="0" w:afterLines="0"/>
        <w:jc w:val="both"/>
        <w:rPr>
          <w:bCs w:val="0"/>
          <w:color w:val="auto"/>
          <w:kern w:val="21"/>
          <w:sz w:val="28"/>
          <w:szCs w:val="28"/>
        </w:rPr>
      </w:pP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5.5.</w:t>
      </w:r>
      <w:r>
        <w:rPr>
          <w:rFonts w:hint="eastAsia"/>
          <w:bCs w:val="0"/>
          <w:color w:val="auto"/>
          <w:kern w:val="21"/>
          <w:sz w:val="28"/>
          <w:szCs w:val="28"/>
        </w:rPr>
        <w:t>2</w:t>
      </w:r>
      <w:r>
        <w:rPr>
          <w:bCs w:val="0"/>
          <w:color w:val="auto"/>
          <w:kern w:val="21"/>
          <w:sz w:val="28"/>
          <w:szCs w:val="28"/>
        </w:rPr>
        <w:t>地下水水质</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根据地下水监测数据可知，地下水监测点中各监测点位均未出现超标情况，可以能够满足《地下水质量标准》（GB/T14848-2017）</w:t>
      </w:r>
      <w:r>
        <w:rPr>
          <w:color w:val="auto"/>
          <w:kern w:val="0"/>
          <w:sz w:val="24"/>
          <w:szCs w:val="20"/>
        </w:rPr>
        <w:fldChar w:fldCharType="begin"/>
      </w:r>
      <w:r>
        <w:rPr>
          <w:color w:val="auto"/>
          <w:kern w:val="0"/>
          <w:sz w:val="24"/>
          <w:szCs w:val="20"/>
        </w:rPr>
        <w:instrText xml:space="preserve"> = 3 \* ROMAN </w:instrText>
      </w:r>
      <w:r>
        <w:rPr>
          <w:color w:val="auto"/>
          <w:kern w:val="0"/>
          <w:sz w:val="24"/>
          <w:szCs w:val="20"/>
        </w:rPr>
        <w:fldChar w:fldCharType="separate"/>
      </w:r>
      <w:r>
        <w:rPr>
          <w:color w:val="auto"/>
          <w:kern w:val="0"/>
          <w:sz w:val="24"/>
          <w:szCs w:val="20"/>
        </w:rPr>
        <w:t>III</w:t>
      </w:r>
      <w:r>
        <w:rPr>
          <w:color w:val="auto"/>
          <w:kern w:val="0"/>
          <w:sz w:val="24"/>
          <w:szCs w:val="20"/>
        </w:rPr>
        <w:fldChar w:fldCharType="end"/>
      </w:r>
      <w:r>
        <w:rPr>
          <w:color w:val="auto"/>
          <w:kern w:val="0"/>
          <w:sz w:val="24"/>
          <w:szCs w:val="20"/>
        </w:rPr>
        <w:t>类水质标准要求。监测数据表明，区域地下水环境状况良好，项目运行生产不会</w:t>
      </w:r>
      <w:r>
        <w:rPr>
          <w:rFonts w:hint="eastAsia"/>
          <w:color w:val="auto"/>
          <w:kern w:val="0"/>
          <w:sz w:val="24"/>
          <w:szCs w:val="20"/>
        </w:rPr>
        <w:t>导致</w:t>
      </w:r>
      <w:r>
        <w:rPr>
          <w:color w:val="auto"/>
          <w:kern w:val="0"/>
          <w:sz w:val="24"/>
          <w:szCs w:val="20"/>
        </w:rPr>
        <w:t>地下水因子</w:t>
      </w:r>
      <w:r>
        <w:rPr>
          <w:rFonts w:hint="eastAsia"/>
          <w:color w:val="auto"/>
          <w:kern w:val="0"/>
          <w:sz w:val="24"/>
          <w:szCs w:val="20"/>
        </w:rPr>
        <w:t>超标</w:t>
      </w:r>
      <w:r>
        <w:rPr>
          <w:color w:val="auto"/>
          <w:kern w:val="0"/>
          <w:sz w:val="24"/>
          <w:szCs w:val="20"/>
        </w:rPr>
        <w:t>现状恶化。</w:t>
      </w:r>
    </w:p>
    <w:p>
      <w:pPr>
        <w:pStyle w:val="5"/>
        <w:keepNext w:val="0"/>
        <w:keepLines w:val="0"/>
        <w:snapToGrid w:val="0"/>
        <w:spacing w:before="0" w:beforeLines="0" w:after="0" w:afterLines="0"/>
        <w:jc w:val="both"/>
        <w:rPr>
          <w:bCs w:val="0"/>
          <w:color w:val="auto"/>
          <w:kern w:val="21"/>
          <w:sz w:val="28"/>
          <w:szCs w:val="28"/>
        </w:rPr>
      </w:pPr>
      <w:r>
        <w:rPr>
          <w:bCs w:val="0"/>
          <w:color w:val="auto"/>
          <w:kern w:val="21"/>
          <w:sz w:val="28"/>
          <w:szCs w:val="28"/>
        </w:rPr>
        <w:t>5.5.3评价等级</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根据《环境影响评价技术导则（地下水环境）》（HJ610-2016）规定，地下水评价工作等级的划分依据建设项目行业分类和地下水环境敏感程度分级进行判定。评价工作等级分级表如下：</w:t>
      </w:r>
    </w:p>
    <w:p>
      <w:pPr>
        <w:spacing w:before="120" w:beforeLines="50"/>
        <w:ind w:firstLine="480" w:firstLineChars="200"/>
        <w:jc w:val="center"/>
        <w:rPr>
          <w:rFonts w:eastAsia="黑体"/>
          <w:color w:val="auto"/>
          <w:sz w:val="24"/>
          <w:szCs w:val="24"/>
        </w:rPr>
      </w:pPr>
      <w:r>
        <w:rPr>
          <w:rFonts w:eastAsia="黑体"/>
          <w:color w:val="auto"/>
          <w:sz w:val="24"/>
          <w:szCs w:val="24"/>
        </w:rPr>
        <w:t>表5.5-1    地下水环境评价工作等级分级表</w:t>
      </w:r>
    </w:p>
    <w:tbl>
      <w:tblPr>
        <w:tblStyle w:val="83"/>
        <w:tblW w:w="0" w:type="auto"/>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943"/>
        <w:gridCol w:w="1998"/>
        <w:gridCol w:w="1697"/>
        <w:gridCol w:w="189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943" w:type="dxa"/>
            <w:tcBorders>
              <w:tl2br w:val="single" w:color="auto" w:sz="4" w:space="0"/>
            </w:tcBorders>
            <w:vAlign w:val="center"/>
          </w:tcPr>
          <w:p>
            <w:pPr>
              <w:jc w:val="center"/>
              <w:rPr>
                <w:b/>
                <w:color w:val="auto"/>
                <w:szCs w:val="20"/>
              </w:rPr>
            </w:pPr>
            <w:r>
              <w:rPr>
                <w:b/>
                <w:color w:val="auto"/>
                <w:szCs w:val="20"/>
              </w:rPr>
              <w:t xml:space="preserve">                项目类别</w:t>
            </w:r>
          </w:p>
          <w:p>
            <w:pPr>
              <w:rPr>
                <w:b/>
                <w:color w:val="auto"/>
                <w:szCs w:val="20"/>
              </w:rPr>
            </w:pPr>
            <w:r>
              <w:rPr>
                <w:b/>
                <w:color w:val="auto"/>
                <w:szCs w:val="20"/>
              </w:rPr>
              <w:t>环境敏感程度</w:t>
            </w:r>
          </w:p>
        </w:tc>
        <w:tc>
          <w:tcPr>
            <w:tcW w:w="1998" w:type="dxa"/>
            <w:vAlign w:val="center"/>
          </w:tcPr>
          <w:p>
            <w:pPr>
              <w:jc w:val="center"/>
              <w:rPr>
                <w:b/>
                <w:color w:val="auto"/>
                <w:szCs w:val="20"/>
              </w:rPr>
            </w:pPr>
            <w:r>
              <w:rPr>
                <w:b/>
                <w:color w:val="auto"/>
                <w:szCs w:val="20"/>
              </w:rPr>
              <w:fldChar w:fldCharType="begin"/>
            </w:r>
            <w:r>
              <w:rPr>
                <w:b/>
                <w:color w:val="auto"/>
                <w:szCs w:val="20"/>
              </w:rPr>
              <w:instrText xml:space="preserve"> = 1 \* ROMAN \* MERGEFORMAT </w:instrText>
            </w:r>
            <w:r>
              <w:rPr>
                <w:b/>
                <w:color w:val="auto"/>
                <w:szCs w:val="20"/>
              </w:rPr>
              <w:fldChar w:fldCharType="separate"/>
            </w:r>
            <w:r>
              <w:rPr>
                <w:b/>
                <w:color w:val="auto"/>
                <w:szCs w:val="20"/>
              </w:rPr>
              <w:t>I</w:t>
            </w:r>
            <w:r>
              <w:rPr>
                <w:b/>
                <w:color w:val="auto"/>
                <w:szCs w:val="20"/>
              </w:rPr>
              <w:fldChar w:fldCharType="end"/>
            </w:r>
            <w:r>
              <w:rPr>
                <w:b/>
                <w:color w:val="auto"/>
                <w:szCs w:val="20"/>
              </w:rPr>
              <w:t>类项目</w:t>
            </w:r>
          </w:p>
        </w:tc>
        <w:tc>
          <w:tcPr>
            <w:tcW w:w="1697" w:type="dxa"/>
            <w:vAlign w:val="center"/>
          </w:tcPr>
          <w:p>
            <w:pPr>
              <w:jc w:val="center"/>
              <w:rPr>
                <w:b/>
                <w:color w:val="auto"/>
                <w:szCs w:val="20"/>
              </w:rPr>
            </w:pPr>
            <w:r>
              <w:rPr>
                <w:b/>
                <w:color w:val="auto"/>
                <w:szCs w:val="20"/>
              </w:rPr>
              <w:fldChar w:fldCharType="begin"/>
            </w:r>
            <w:r>
              <w:rPr>
                <w:b/>
                <w:color w:val="auto"/>
                <w:szCs w:val="20"/>
              </w:rPr>
              <w:instrText xml:space="preserve"> = 2 \* ROMAN \* MERGEFORMAT </w:instrText>
            </w:r>
            <w:r>
              <w:rPr>
                <w:b/>
                <w:color w:val="auto"/>
                <w:szCs w:val="20"/>
              </w:rPr>
              <w:fldChar w:fldCharType="separate"/>
            </w:r>
            <w:r>
              <w:rPr>
                <w:b/>
                <w:color w:val="auto"/>
                <w:szCs w:val="20"/>
              </w:rPr>
              <w:t>II</w:t>
            </w:r>
            <w:r>
              <w:rPr>
                <w:b/>
                <w:color w:val="auto"/>
                <w:szCs w:val="20"/>
              </w:rPr>
              <w:fldChar w:fldCharType="end"/>
            </w:r>
            <w:r>
              <w:rPr>
                <w:b/>
                <w:color w:val="auto"/>
                <w:szCs w:val="20"/>
              </w:rPr>
              <w:t>类项目</w:t>
            </w:r>
          </w:p>
        </w:tc>
        <w:tc>
          <w:tcPr>
            <w:tcW w:w="1890" w:type="dxa"/>
            <w:vAlign w:val="center"/>
          </w:tcPr>
          <w:p>
            <w:pPr>
              <w:jc w:val="center"/>
              <w:rPr>
                <w:b/>
                <w:color w:val="auto"/>
                <w:szCs w:val="20"/>
              </w:rPr>
            </w:pPr>
            <w:r>
              <w:rPr>
                <w:b/>
                <w:color w:val="auto"/>
                <w:szCs w:val="20"/>
              </w:rPr>
              <w:fldChar w:fldCharType="begin"/>
            </w:r>
            <w:r>
              <w:rPr>
                <w:b/>
                <w:color w:val="auto"/>
                <w:szCs w:val="20"/>
              </w:rPr>
              <w:instrText xml:space="preserve"> = 3 \* ROMAN \* MERGEFORMAT </w:instrText>
            </w:r>
            <w:r>
              <w:rPr>
                <w:b/>
                <w:color w:val="auto"/>
                <w:szCs w:val="20"/>
              </w:rPr>
              <w:fldChar w:fldCharType="separate"/>
            </w:r>
            <w:r>
              <w:rPr>
                <w:b/>
                <w:color w:val="auto"/>
                <w:szCs w:val="20"/>
              </w:rPr>
              <w:t>III</w:t>
            </w:r>
            <w:r>
              <w:rPr>
                <w:b/>
                <w:color w:val="auto"/>
                <w:szCs w:val="20"/>
              </w:rPr>
              <w:fldChar w:fldCharType="end"/>
            </w:r>
            <w:r>
              <w:rPr>
                <w:b/>
                <w:color w:val="auto"/>
                <w:szCs w:val="20"/>
              </w:rPr>
              <w:t>类项目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943" w:type="dxa"/>
            <w:vAlign w:val="center"/>
          </w:tcPr>
          <w:p>
            <w:pPr>
              <w:contextualSpacing/>
              <w:jc w:val="center"/>
              <w:textAlignment w:val="baseline"/>
              <w:rPr>
                <w:color w:val="auto"/>
                <w:kern w:val="0"/>
              </w:rPr>
            </w:pPr>
            <w:r>
              <w:rPr>
                <w:color w:val="auto"/>
                <w:kern w:val="0"/>
              </w:rPr>
              <w:t>敏感</w:t>
            </w:r>
          </w:p>
        </w:tc>
        <w:tc>
          <w:tcPr>
            <w:tcW w:w="1998" w:type="dxa"/>
            <w:vAlign w:val="center"/>
          </w:tcPr>
          <w:p>
            <w:pPr>
              <w:contextualSpacing/>
              <w:jc w:val="center"/>
              <w:textAlignment w:val="baseline"/>
              <w:rPr>
                <w:color w:val="auto"/>
                <w:kern w:val="0"/>
              </w:rPr>
            </w:pPr>
            <w:r>
              <w:rPr>
                <w:color w:val="auto"/>
                <w:kern w:val="0"/>
              </w:rPr>
              <w:t>一</w:t>
            </w:r>
          </w:p>
        </w:tc>
        <w:tc>
          <w:tcPr>
            <w:tcW w:w="1697" w:type="dxa"/>
            <w:vAlign w:val="center"/>
          </w:tcPr>
          <w:p>
            <w:pPr>
              <w:contextualSpacing/>
              <w:jc w:val="center"/>
              <w:textAlignment w:val="baseline"/>
              <w:rPr>
                <w:color w:val="auto"/>
                <w:kern w:val="0"/>
              </w:rPr>
            </w:pPr>
            <w:r>
              <w:rPr>
                <w:color w:val="auto"/>
                <w:kern w:val="0"/>
              </w:rPr>
              <w:t>一</w:t>
            </w:r>
          </w:p>
        </w:tc>
        <w:tc>
          <w:tcPr>
            <w:tcW w:w="1890" w:type="dxa"/>
            <w:vAlign w:val="center"/>
          </w:tcPr>
          <w:p>
            <w:pPr>
              <w:contextualSpacing/>
              <w:jc w:val="center"/>
              <w:textAlignment w:val="baseline"/>
              <w:rPr>
                <w:color w:val="auto"/>
                <w:kern w:val="0"/>
              </w:rPr>
            </w:pPr>
            <w:r>
              <w:rPr>
                <w:color w:val="auto"/>
                <w:kern w:val="0"/>
              </w:rPr>
              <w:t>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943" w:type="dxa"/>
            <w:vAlign w:val="center"/>
          </w:tcPr>
          <w:p>
            <w:pPr>
              <w:contextualSpacing/>
              <w:jc w:val="center"/>
              <w:textAlignment w:val="baseline"/>
              <w:rPr>
                <w:color w:val="auto"/>
                <w:kern w:val="0"/>
              </w:rPr>
            </w:pPr>
            <w:r>
              <w:rPr>
                <w:color w:val="auto"/>
                <w:kern w:val="0"/>
              </w:rPr>
              <w:t>较敏感</w:t>
            </w:r>
          </w:p>
        </w:tc>
        <w:tc>
          <w:tcPr>
            <w:tcW w:w="1998" w:type="dxa"/>
            <w:vAlign w:val="center"/>
          </w:tcPr>
          <w:p>
            <w:pPr>
              <w:contextualSpacing/>
              <w:jc w:val="center"/>
              <w:textAlignment w:val="baseline"/>
              <w:rPr>
                <w:color w:val="auto"/>
                <w:kern w:val="0"/>
              </w:rPr>
            </w:pPr>
            <w:r>
              <w:rPr>
                <w:color w:val="auto"/>
                <w:kern w:val="0"/>
              </w:rPr>
              <w:t>一</w:t>
            </w:r>
          </w:p>
        </w:tc>
        <w:tc>
          <w:tcPr>
            <w:tcW w:w="1697" w:type="dxa"/>
            <w:vAlign w:val="center"/>
          </w:tcPr>
          <w:p>
            <w:pPr>
              <w:contextualSpacing/>
              <w:jc w:val="center"/>
              <w:textAlignment w:val="baseline"/>
              <w:rPr>
                <w:color w:val="auto"/>
                <w:kern w:val="0"/>
              </w:rPr>
            </w:pPr>
            <w:r>
              <w:rPr>
                <w:color w:val="auto"/>
                <w:kern w:val="0"/>
              </w:rPr>
              <w:t>二</w:t>
            </w:r>
          </w:p>
        </w:tc>
        <w:tc>
          <w:tcPr>
            <w:tcW w:w="1890" w:type="dxa"/>
            <w:tcBorders>
              <w:bottom w:val="single" w:color="auto" w:sz="6" w:space="0"/>
            </w:tcBorders>
            <w:vAlign w:val="center"/>
          </w:tcPr>
          <w:p>
            <w:pPr>
              <w:contextualSpacing/>
              <w:jc w:val="center"/>
              <w:textAlignment w:val="baseline"/>
              <w:rPr>
                <w:color w:val="auto"/>
                <w:kern w:val="0"/>
              </w:rPr>
            </w:pPr>
            <w:r>
              <w:rPr>
                <w:color w:val="auto"/>
                <w:kern w:val="0"/>
              </w:rPr>
              <w:t>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943" w:type="dxa"/>
            <w:vAlign w:val="center"/>
          </w:tcPr>
          <w:p>
            <w:pPr>
              <w:contextualSpacing/>
              <w:jc w:val="center"/>
              <w:textAlignment w:val="baseline"/>
              <w:rPr>
                <w:color w:val="auto"/>
                <w:kern w:val="0"/>
              </w:rPr>
            </w:pPr>
            <w:r>
              <w:rPr>
                <w:color w:val="auto"/>
                <w:kern w:val="0"/>
              </w:rPr>
              <w:t>不敏感</w:t>
            </w:r>
          </w:p>
        </w:tc>
        <w:tc>
          <w:tcPr>
            <w:tcW w:w="1998" w:type="dxa"/>
            <w:vAlign w:val="center"/>
          </w:tcPr>
          <w:p>
            <w:pPr>
              <w:contextualSpacing/>
              <w:jc w:val="center"/>
              <w:textAlignment w:val="baseline"/>
              <w:rPr>
                <w:color w:val="auto"/>
                <w:kern w:val="0"/>
              </w:rPr>
            </w:pPr>
            <w:r>
              <w:rPr>
                <w:color w:val="auto"/>
                <w:kern w:val="0"/>
              </w:rPr>
              <w:t>二</w:t>
            </w:r>
          </w:p>
        </w:tc>
        <w:tc>
          <w:tcPr>
            <w:tcW w:w="1697" w:type="dxa"/>
            <w:vAlign w:val="center"/>
          </w:tcPr>
          <w:p>
            <w:pPr>
              <w:contextualSpacing/>
              <w:jc w:val="center"/>
              <w:textAlignment w:val="baseline"/>
              <w:rPr>
                <w:color w:val="auto"/>
                <w:kern w:val="0"/>
              </w:rPr>
            </w:pPr>
            <w:r>
              <w:rPr>
                <w:color w:val="auto"/>
                <w:kern w:val="0"/>
              </w:rPr>
              <w:t>三</w:t>
            </w:r>
          </w:p>
        </w:tc>
        <w:tc>
          <w:tcPr>
            <w:tcW w:w="1890" w:type="dxa"/>
            <w:tcBorders>
              <w:top w:val="single" w:color="auto" w:sz="6" w:space="0"/>
              <w:bottom w:val="single" w:color="auto" w:sz="8" w:space="0"/>
            </w:tcBorders>
            <w:shd w:val="pct10" w:color="auto" w:fill="auto"/>
            <w:vAlign w:val="center"/>
          </w:tcPr>
          <w:p>
            <w:pPr>
              <w:contextualSpacing/>
              <w:jc w:val="center"/>
              <w:textAlignment w:val="baseline"/>
              <w:rPr>
                <w:color w:val="auto"/>
                <w:kern w:val="0"/>
              </w:rPr>
            </w:pPr>
            <w:r>
              <w:rPr>
                <w:color w:val="auto"/>
                <w:kern w:val="0"/>
              </w:rPr>
              <w:t>三</w:t>
            </w:r>
          </w:p>
        </w:tc>
      </w:tr>
    </w:tbl>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（1）地下水环境影响评价项目类别：根据《环境影响评价技术导则地下水环境》（HJ610-2016）附录A</w:t>
      </w:r>
      <w:r>
        <w:rPr>
          <w:rFonts w:asciiTheme="minorEastAsia" w:hAnsiTheme="minorEastAsia" w:eastAsiaTheme="minorEastAsia"/>
          <w:color w:val="auto"/>
          <w:kern w:val="0"/>
          <w:sz w:val="24"/>
          <w:szCs w:val="20"/>
        </w:rPr>
        <w:t>“地下水环境影响评价行业分类表”</w:t>
      </w:r>
      <w:r>
        <w:rPr>
          <w:color w:val="auto"/>
          <w:kern w:val="0"/>
          <w:sz w:val="24"/>
          <w:szCs w:val="20"/>
        </w:rPr>
        <w:t>，本项目行业类别属于K机械、电子中的</w:t>
      </w:r>
      <w:r>
        <w:rPr>
          <w:rFonts w:asciiTheme="minorEastAsia" w:hAnsiTheme="minorEastAsia" w:eastAsiaTheme="minorEastAsia"/>
          <w:color w:val="auto"/>
          <w:kern w:val="0"/>
          <w:sz w:val="24"/>
          <w:szCs w:val="20"/>
        </w:rPr>
        <w:t>“</w:t>
      </w:r>
      <w:r>
        <w:rPr>
          <w:color w:val="auto"/>
          <w:kern w:val="0"/>
          <w:sz w:val="24"/>
          <w:szCs w:val="20"/>
        </w:rPr>
        <w:t>78 电气机械及</w:t>
      </w:r>
      <w:r>
        <w:rPr>
          <w:rFonts w:ascii="宋体" w:hAnsi="宋体"/>
          <w:color w:val="auto"/>
          <w:kern w:val="0"/>
          <w:sz w:val="24"/>
          <w:szCs w:val="20"/>
        </w:rPr>
        <w:t>器材制造”，</w:t>
      </w:r>
      <w:r>
        <w:rPr>
          <w:color w:val="auto"/>
          <w:kern w:val="0"/>
          <w:sz w:val="24"/>
          <w:szCs w:val="20"/>
        </w:rPr>
        <w:t>环境影响评价文件类型为报告书，因此本项目地下水环境影响评价项目类别为III类。</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（2）建设项目场地的地下水环境敏感程度：经查阅《河南省人民政府办公厅关于印发河南省城市集中式饮用水源保护区划的通知》（豫政办</w:t>
      </w:r>
      <w:r>
        <w:rPr>
          <w:rFonts w:hint="eastAsia"/>
          <w:color w:val="auto"/>
          <w:kern w:val="0"/>
          <w:sz w:val="24"/>
          <w:szCs w:val="20"/>
          <w:lang w:eastAsia="zh-CN"/>
        </w:rPr>
        <w:t>〔</w:t>
      </w:r>
      <w:r>
        <w:rPr>
          <w:color w:val="auto"/>
          <w:kern w:val="0"/>
          <w:sz w:val="24"/>
          <w:szCs w:val="20"/>
        </w:rPr>
        <w:t>2007</w:t>
      </w:r>
      <w:r>
        <w:rPr>
          <w:rFonts w:hint="eastAsia"/>
          <w:color w:val="auto"/>
          <w:kern w:val="0"/>
          <w:sz w:val="24"/>
          <w:szCs w:val="20"/>
          <w:lang w:eastAsia="zh-CN"/>
        </w:rPr>
        <w:t>〕</w:t>
      </w:r>
      <w:r>
        <w:rPr>
          <w:color w:val="auto"/>
          <w:kern w:val="0"/>
          <w:sz w:val="24"/>
          <w:szCs w:val="20"/>
        </w:rPr>
        <w:t>125号文）、《河南省人民政府办公厅关于印发河南省县级集中式饮用水水源保护区划的通知》（豫政办</w:t>
      </w:r>
      <w:r>
        <w:rPr>
          <w:rFonts w:hint="eastAsia"/>
          <w:color w:val="auto"/>
          <w:kern w:val="0"/>
          <w:sz w:val="24"/>
          <w:szCs w:val="20"/>
          <w:lang w:eastAsia="zh-CN"/>
        </w:rPr>
        <w:t>〔</w:t>
      </w:r>
      <w:r>
        <w:rPr>
          <w:color w:val="auto"/>
          <w:kern w:val="0"/>
          <w:sz w:val="24"/>
          <w:szCs w:val="20"/>
        </w:rPr>
        <w:t>2013</w:t>
      </w:r>
      <w:r>
        <w:rPr>
          <w:rFonts w:hint="eastAsia"/>
          <w:color w:val="auto"/>
          <w:kern w:val="0"/>
          <w:sz w:val="24"/>
          <w:szCs w:val="20"/>
          <w:lang w:eastAsia="zh-CN"/>
        </w:rPr>
        <w:t>〕</w:t>
      </w:r>
      <w:r>
        <w:rPr>
          <w:color w:val="auto"/>
          <w:kern w:val="0"/>
          <w:sz w:val="24"/>
          <w:szCs w:val="20"/>
        </w:rPr>
        <w:t>107号文）及《河南省人民政府办公厅关于印发河南省乡镇集中式饮用水水源保护区划的通知》（豫政办</w:t>
      </w:r>
      <w:r>
        <w:rPr>
          <w:rFonts w:hint="eastAsia"/>
          <w:color w:val="auto"/>
          <w:kern w:val="0"/>
          <w:sz w:val="24"/>
          <w:szCs w:val="20"/>
          <w:lang w:eastAsia="zh-CN"/>
        </w:rPr>
        <w:t>〔</w:t>
      </w:r>
      <w:r>
        <w:rPr>
          <w:color w:val="auto"/>
          <w:kern w:val="0"/>
          <w:sz w:val="24"/>
          <w:szCs w:val="20"/>
        </w:rPr>
        <w:t>2016</w:t>
      </w:r>
      <w:r>
        <w:rPr>
          <w:rFonts w:hint="eastAsia"/>
          <w:color w:val="auto"/>
          <w:kern w:val="0"/>
          <w:sz w:val="24"/>
          <w:szCs w:val="20"/>
          <w:lang w:eastAsia="zh-CN"/>
        </w:rPr>
        <w:t>〕</w:t>
      </w:r>
      <w:r>
        <w:rPr>
          <w:color w:val="auto"/>
          <w:kern w:val="0"/>
          <w:sz w:val="24"/>
          <w:szCs w:val="20"/>
        </w:rPr>
        <w:t>23号文），项目所在区域不存在集中式饮用水源地及保护区。距本项目最近的市级饮用水源保护区为七里营引黄水源地饮用水水源保护区，本项目距离其二级保护区边界约为11.3km，不在其保护区范围内；距本项目最近的新乡市乡镇饮用水源为照镜镇地下水井群保护区，本项目距离其保护区边界约为2565m，不在其保护区范围内。本项目厂址周边彦当村、前李村等均已实现集中供水，</w:t>
      </w:r>
      <w:r>
        <w:rPr>
          <w:rFonts w:hint="eastAsia"/>
          <w:color w:val="auto"/>
          <w:kern w:val="0"/>
          <w:sz w:val="24"/>
          <w:szCs w:val="20"/>
          <w:lang w:eastAsia="zh-CN"/>
        </w:rPr>
        <w:t>不再</w:t>
      </w:r>
      <w:r>
        <w:rPr>
          <w:color w:val="auto"/>
          <w:kern w:val="0"/>
          <w:sz w:val="24"/>
          <w:szCs w:val="20"/>
        </w:rPr>
        <w:t>使用分散式地下取水井水源，因此项目厂址属于不敏感区。</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综上所述，本项目属于地下水环境不敏感地区。对照《环境影响评价技术导则地下水环境》（HJ610-2016）建设项目评价工作等级分级表可知，本项目地下水评价工作等级为三级。</w:t>
      </w:r>
    </w:p>
    <w:p>
      <w:pPr>
        <w:pStyle w:val="5"/>
        <w:keepNext w:val="0"/>
        <w:keepLines w:val="0"/>
        <w:snapToGrid w:val="0"/>
        <w:spacing w:before="0" w:beforeLines="0" w:after="0" w:afterLines="0"/>
        <w:jc w:val="both"/>
        <w:rPr>
          <w:color w:val="auto"/>
          <w:sz w:val="28"/>
        </w:rPr>
      </w:pPr>
      <w:r>
        <w:rPr>
          <w:color w:val="auto"/>
          <w:sz w:val="28"/>
        </w:rPr>
        <w:t>5.5.4评价范围</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厂址位于黄河冲积平原，水文地质条件相对简单。本次评价范围确定先根据导则推荐公式计算出理论范围值，然后根据厂址区域地下水环境保护目标分布情况以及导则地下水环境现状调查评价范围参照表进行调整。</w:t>
      </w:r>
    </w:p>
    <w:p>
      <w:pPr>
        <w:spacing w:line="360" w:lineRule="auto"/>
        <w:jc w:val="center"/>
        <w:rPr>
          <w:color w:val="auto"/>
          <w:position w:val="-24"/>
          <w:sz w:val="24"/>
          <w:szCs w:val="28"/>
        </w:rPr>
      </w:pPr>
      <w:r>
        <w:rPr>
          <w:color w:val="auto"/>
          <w:position w:val="-24"/>
          <w:sz w:val="24"/>
          <w:szCs w:val="28"/>
        </w:rPr>
        <w:t>L=а×κ×I×T/n</w:t>
      </w:r>
      <w:r>
        <w:rPr>
          <w:color w:val="auto"/>
          <w:position w:val="-24"/>
          <w:sz w:val="24"/>
          <w:szCs w:val="28"/>
          <w:vertAlign w:val="subscript"/>
        </w:rPr>
        <w:t>e</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式中：L-下游迁移距离，m；</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а-变化系数，а≥1，一般取2；</w:t>
      </w:r>
    </w:p>
    <w:p>
      <w:pPr>
        <w:adjustRightInd w:val="0"/>
        <w:snapToGrid w:val="0"/>
        <w:spacing w:line="360" w:lineRule="auto"/>
        <w:ind w:firstLine="480" w:firstLineChars="200"/>
        <w:textAlignment w:val="baseline"/>
        <w:rPr>
          <w:b/>
          <w:bCs/>
          <w:color w:val="auto"/>
          <w:kern w:val="0"/>
          <w:sz w:val="24"/>
          <w:szCs w:val="20"/>
          <w:u w:val="single"/>
        </w:rPr>
      </w:pPr>
      <w:r>
        <w:rPr>
          <w:color w:val="auto"/>
          <w:kern w:val="0"/>
          <w:sz w:val="24"/>
          <w:szCs w:val="20"/>
        </w:rPr>
        <w:t xml:space="preserve">      κ-渗透系数，m/d，常见渗透系数表见附录B表B1；</w:t>
      </w:r>
      <w:r>
        <w:rPr>
          <w:b/>
          <w:bCs/>
          <w:color w:val="auto"/>
          <w:kern w:val="0"/>
          <w:sz w:val="24"/>
          <w:szCs w:val="20"/>
          <w:u w:val="single"/>
        </w:rPr>
        <w:t>评价区含水层主要为粉质粘土</w:t>
      </w:r>
      <w:r>
        <w:rPr>
          <w:rFonts w:hint="eastAsia"/>
          <w:b/>
          <w:bCs/>
          <w:color w:val="auto"/>
          <w:kern w:val="0"/>
          <w:sz w:val="24"/>
          <w:szCs w:val="20"/>
          <w:u w:val="single"/>
        </w:rPr>
        <w:t>（亚粘土）</w:t>
      </w:r>
      <w:r>
        <w:rPr>
          <w:b/>
          <w:bCs/>
          <w:color w:val="auto"/>
          <w:kern w:val="0"/>
          <w:sz w:val="24"/>
          <w:szCs w:val="20"/>
          <w:u w:val="single"/>
        </w:rPr>
        <w:t>，根据附录B取值为0.</w:t>
      </w:r>
      <w:r>
        <w:rPr>
          <w:rFonts w:hint="eastAsia"/>
          <w:b/>
          <w:bCs/>
          <w:color w:val="auto"/>
          <w:kern w:val="0"/>
          <w:sz w:val="24"/>
          <w:szCs w:val="20"/>
          <w:u w:val="single"/>
        </w:rPr>
        <w:t>1</w:t>
      </w:r>
      <w:r>
        <w:rPr>
          <w:rFonts w:hint="eastAsia"/>
          <w:b/>
          <w:bCs/>
          <w:color w:val="auto"/>
          <w:kern w:val="0"/>
          <w:sz w:val="24"/>
          <w:szCs w:val="20"/>
          <w:u w:val="single"/>
          <w:lang w:eastAsia="zh-CN"/>
        </w:rPr>
        <w:t>～</w:t>
      </w:r>
      <w:r>
        <w:rPr>
          <w:rFonts w:hint="eastAsia"/>
          <w:b/>
          <w:bCs/>
          <w:color w:val="auto"/>
          <w:kern w:val="0"/>
          <w:sz w:val="24"/>
          <w:szCs w:val="20"/>
          <w:u w:val="single"/>
        </w:rPr>
        <w:t>0.25</w:t>
      </w:r>
      <w:r>
        <w:rPr>
          <w:b/>
          <w:bCs/>
          <w:color w:val="auto"/>
          <w:kern w:val="0"/>
          <w:sz w:val="24"/>
          <w:szCs w:val="20"/>
          <w:u w:val="single"/>
        </w:rPr>
        <w:t>m/d，本次取</w:t>
      </w:r>
      <w:r>
        <w:rPr>
          <w:rFonts w:hint="eastAsia"/>
          <w:b/>
          <w:bCs/>
          <w:color w:val="auto"/>
          <w:kern w:val="0"/>
          <w:sz w:val="24"/>
          <w:szCs w:val="20"/>
          <w:u w:val="single"/>
        </w:rPr>
        <w:t>0.25</w:t>
      </w:r>
      <w:r>
        <w:rPr>
          <w:b/>
          <w:bCs/>
          <w:color w:val="auto"/>
          <w:kern w:val="0"/>
          <w:sz w:val="24"/>
          <w:szCs w:val="20"/>
          <w:u w:val="single"/>
        </w:rPr>
        <w:t xml:space="preserve"> m/d；</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I-水力坡度，无量纲；</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T-质点迁移天数，取值不小于5000d；</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n</w:t>
      </w:r>
      <w:r>
        <w:rPr>
          <w:color w:val="auto"/>
          <w:kern w:val="0"/>
          <w:sz w:val="24"/>
          <w:szCs w:val="20"/>
          <w:vertAlign w:val="subscript"/>
        </w:rPr>
        <w:t>e</w:t>
      </w:r>
      <w:r>
        <w:rPr>
          <w:color w:val="auto"/>
          <w:kern w:val="0"/>
          <w:sz w:val="24"/>
          <w:szCs w:val="20"/>
        </w:rPr>
        <w:t>-有效孔隙度，无量纲。</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水力坡度根据区域村庄水平距离和地下水水面高程差计算确定，计算情况见下表。</w:t>
      </w:r>
    </w:p>
    <w:p>
      <w:pPr>
        <w:keepNext w:val="0"/>
        <w:keepLines w:val="0"/>
        <w:pageBreakBefore w:val="0"/>
        <w:widowControl/>
        <w:kinsoku/>
        <w:wordWrap/>
        <w:overflowPunct/>
        <w:topLinePunct w:val="0"/>
        <w:autoSpaceDE/>
        <w:autoSpaceDN/>
        <w:bidi w:val="0"/>
        <w:adjustRightInd w:val="0"/>
        <w:snapToGrid w:val="0"/>
        <w:spacing w:line="240" w:lineRule="auto"/>
        <w:ind w:firstLine="480" w:firstLineChars="200"/>
        <w:jc w:val="center"/>
        <w:textAlignment w:val="baseline"/>
        <w:rPr>
          <w:rFonts w:eastAsia="黑体"/>
          <w:color w:val="auto"/>
          <w:sz w:val="24"/>
          <w:szCs w:val="24"/>
        </w:rPr>
      </w:pPr>
      <w:r>
        <w:rPr>
          <w:rFonts w:eastAsia="黑体"/>
          <w:color w:val="auto"/>
          <w:sz w:val="24"/>
          <w:szCs w:val="24"/>
        </w:rPr>
        <w:t>表5.5-2     地下水水力坡度计算情况一览表</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808"/>
        <w:gridCol w:w="1134"/>
        <w:gridCol w:w="1158"/>
        <w:gridCol w:w="1999"/>
        <w:gridCol w:w="1334"/>
        <w:gridCol w:w="109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0" w:type="pct"/>
            <w:vAlign w:val="center"/>
          </w:tcPr>
          <w:p>
            <w:pPr>
              <w:jc w:val="center"/>
              <w:rPr>
                <w:b/>
                <w:color w:val="auto"/>
                <w:szCs w:val="20"/>
              </w:rPr>
            </w:pPr>
            <w:r>
              <w:rPr>
                <w:b/>
                <w:color w:val="auto"/>
                <w:szCs w:val="20"/>
              </w:rPr>
              <w:t>水井</w:t>
            </w:r>
          </w:p>
        </w:tc>
        <w:tc>
          <w:tcPr>
            <w:tcW w:w="665" w:type="pct"/>
            <w:vAlign w:val="center"/>
          </w:tcPr>
          <w:p>
            <w:pPr>
              <w:jc w:val="center"/>
              <w:rPr>
                <w:b/>
                <w:color w:val="auto"/>
                <w:szCs w:val="20"/>
              </w:rPr>
            </w:pPr>
            <w:r>
              <w:rPr>
                <w:b/>
                <w:color w:val="auto"/>
                <w:szCs w:val="20"/>
              </w:rPr>
              <w:t>方向</w:t>
            </w:r>
          </w:p>
        </w:tc>
        <w:tc>
          <w:tcPr>
            <w:tcW w:w="679" w:type="pct"/>
            <w:vAlign w:val="center"/>
          </w:tcPr>
          <w:p>
            <w:pPr>
              <w:jc w:val="center"/>
              <w:rPr>
                <w:b/>
                <w:color w:val="auto"/>
                <w:szCs w:val="20"/>
              </w:rPr>
            </w:pPr>
            <w:r>
              <w:rPr>
                <w:b/>
                <w:color w:val="auto"/>
                <w:szCs w:val="20"/>
              </w:rPr>
              <w:t>水平距离</w:t>
            </w:r>
          </w:p>
        </w:tc>
        <w:tc>
          <w:tcPr>
            <w:tcW w:w="1172" w:type="pct"/>
            <w:vAlign w:val="center"/>
          </w:tcPr>
          <w:p>
            <w:pPr>
              <w:jc w:val="center"/>
              <w:rPr>
                <w:b/>
                <w:color w:val="auto"/>
                <w:szCs w:val="20"/>
              </w:rPr>
            </w:pPr>
            <w:r>
              <w:rPr>
                <w:b/>
                <w:color w:val="auto"/>
                <w:szCs w:val="20"/>
              </w:rPr>
              <w:t>地下水水面高程差</w:t>
            </w:r>
          </w:p>
        </w:tc>
        <w:tc>
          <w:tcPr>
            <w:tcW w:w="782" w:type="pct"/>
            <w:vAlign w:val="center"/>
          </w:tcPr>
          <w:p>
            <w:pPr>
              <w:jc w:val="center"/>
              <w:rPr>
                <w:b/>
                <w:color w:val="auto"/>
                <w:szCs w:val="20"/>
              </w:rPr>
            </w:pPr>
            <w:r>
              <w:rPr>
                <w:b/>
                <w:color w:val="auto"/>
                <w:szCs w:val="20"/>
              </w:rPr>
              <w:t>水力坡度</w:t>
            </w:r>
          </w:p>
        </w:tc>
        <w:tc>
          <w:tcPr>
            <w:tcW w:w="642" w:type="pct"/>
            <w:vAlign w:val="center"/>
          </w:tcPr>
          <w:p>
            <w:pPr>
              <w:jc w:val="center"/>
              <w:rPr>
                <w:b/>
                <w:color w:val="auto"/>
                <w:szCs w:val="20"/>
              </w:rPr>
            </w:pPr>
            <w:r>
              <w:rPr>
                <w:b/>
                <w:color w:val="auto"/>
                <w:szCs w:val="20"/>
              </w:rPr>
              <w:t>平均值</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0" w:type="pct"/>
            <w:vAlign w:val="center"/>
          </w:tcPr>
          <w:p>
            <w:pPr>
              <w:contextualSpacing/>
              <w:jc w:val="center"/>
              <w:textAlignment w:val="baseline"/>
              <w:rPr>
                <w:color w:val="auto"/>
                <w:kern w:val="0"/>
              </w:rPr>
            </w:pPr>
            <w:r>
              <w:rPr>
                <w:color w:val="auto"/>
                <w:kern w:val="0"/>
              </w:rPr>
              <w:t>陈孝村-前李村</w:t>
            </w:r>
          </w:p>
        </w:tc>
        <w:tc>
          <w:tcPr>
            <w:tcW w:w="665" w:type="pct"/>
            <w:vAlign w:val="center"/>
          </w:tcPr>
          <w:p>
            <w:pPr>
              <w:contextualSpacing/>
              <w:jc w:val="center"/>
              <w:textAlignment w:val="baseline"/>
              <w:rPr>
                <w:color w:val="auto"/>
                <w:kern w:val="0"/>
              </w:rPr>
            </w:pPr>
            <w:r>
              <w:rPr>
                <w:color w:val="auto"/>
                <w:kern w:val="0"/>
              </w:rPr>
              <w:t>西南-东北</w:t>
            </w:r>
          </w:p>
        </w:tc>
        <w:tc>
          <w:tcPr>
            <w:tcW w:w="679" w:type="pct"/>
            <w:vAlign w:val="center"/>
          </w:tcPr>
          <w:p>
            <w:pPr>
              <w:contextualSpacing/>
              <w:jc w:val="center"/>
              <w:textAlignment w:val="baseline"/>
              <w:rPr>
                <w:color w:val="auto"/>
                <w:kern w:val="0"/>
              </w:rPr>
            </w:pPr>
            <w:r>
              <w:rPr>
                <w:color w:val="auto"/>
                <w:kern w:val="0"/>
              </w:rPr>
              <w:t>3124m</w:t>
            </w:r>
          </w:p>
        </w:tc>
        <w:tc>
          <w:tcPr>
            <w:tcW w:w="1172" w:type="pct"/>
            <w:vAlign w:val="center"/>
          </w:tcPr>
          <w:p>
            <w:pPr>
              <w:contextualSpacing/>
              <w:jc w:val="center"/>
              <w:textAlignment w:val="baseline"/>
              <w:rPr>
                <w:color w:val="auto"/>
                <w:kern w:val="0"/>
              </w:rPr>
            </w:pPr>
            <w:r>
              <w:rPr>
                <w:color w:val="auto"/>
                <w:kern w:val="0"/>
              </w:rPr>
              <w:t>31</w:t>
            </w:r>
          </w:p>
        </w:tc>
        <w:tc>
          <w:tcPr>
            <w:tcW w:w="782" w:type="pct"/>
            <w:vAlign w:val="center"/>
          </w:tcPr>
          <w:p>
            <w:pPr>
              <w:contextualSpacing/>
              <w:jc w:val="center"/>
              <w:textAlignment w:val="baseline"/>
              <w:rPr>
                <w:color w:val="auto"/>
                <w:kern w:val="0"/>
              </w:rPr>
            </w:pPr>
            <w:r>
              <w:rPr>
                <w:color w:val="auto"/>
                <w:kern w:val="0"/>
              </w:rPr>
              <w:t>0.0099</w:t>
            </w:r>
          </w:p>
        </w:tc>
        <w:tc>
          <w:tcPr>
            <w:tcW w:w="642" w:type="pct"/>
            <w:vMerge w:val="restart"/>
            <w:vAlign w:val="center"/>
          </w:tcPr>
          <w:p>
            <w:pPr>
              <w:contextualSpacing/>
              <w:jc w:val="center"/>
              <w:textAlignment w:val="baseline"/>
              <w:rPr>
                <w:color w:val="auto"/>
                <w:kern w:val="0"/>
              </w:rPr>
            </w:pPr>
            <w:r>
              <w:rPr>
                <w:color w:val="auto"/>
                <w:kern w:val="0"/>
              </w:rPr>
              <w:t>0.0085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60" w:type="pct"/>
            <w:vAlign w:val="center"/>
          </w:tcPr>
          <w:p>
            <w:pPr>
              <w:contextualSpacing/>
              <w:jc w:val="center"/>
              <w:textAlignment w:val="baseline"/>
              <w:rPr>
                <w:color w:val="auto"/>
                <w:kern w:val="0"/>
              </w:rPr>
            </w:pPr>
            <w:r>
              <w:rPr>
                <w:color w:val="auto"/>
                <w:kern w:val="0"/>
              </w:rPr>
              <w:t>孝合村-前寺庄村</w:t>
            </w:r>
          </w:p>
        </w:tc>
        <w:tc>
          <w:tcPr>
            <w:tcW w:w="665" w:type="pct"/>
            <w:vAlign w:val="center"/>
          </w:tcPr>
          <w:p>
            <w:pPr>
              <w:contextualSpacing/>
              <w:jc w:val="center"/>
              <w:textAlignment w:val="baseline"/>
              <w:rPr>
                <w:color w:val="auto"/>
                <w:kern w:val="0"/>
              </w:rPr>
            </w:pPr>
            <w:r>
              <w:rPr>
                <w:color w:val="auto"/>
                <w:kern w:val="0"/>
              </w:rPr>
              <w:t>西南-东北</w:t>
            </w:r>
          </w:p>
        </w:tc>
        <w:tc>
          <w:tcPr>
            <w:tcW w:w="679" w:type="pct"/>
            <w:vAlign w:val="center"/>
          </w:tcPr>
          <w:p>
            <w:pPr>
              <w:contextualSpacing/>
              <w:jc w:val="center"/>
              <w:textAlignment w:val="baseline"/>
              <w:rPr>
                <w:color w:val="auto"/>
                <w:kern w:val="0"/>
              </w:rPr>
            </w:pPr>
            <w:r>
              <w:rPr>
                <w:color w:val="auto"/>
                <w:kern w:val="0"/>
              </w:rPr>
              <w:t>3655m</w:t>
            </w:r>
          </w:p>
        </w:tc>
        <w:tc>
          <w:tcPr>
            <w:tcW w:w="1172" w:type="pct"/>
            <w:vAlign w:val="center"/>
          </w:tcPr>
          <w:p>
            <w:pPr>
              <w:contextualSpacing/>
              <w:jc w:val="center"/>
              <w:textAlignment w:val="baseline"/>
              <w:rPr>
                <w:color w:val="auto"/>
                <w:kern w:val="0"/>
              </w:rPr>
            </w:pPr>
            <w:r>
              <w:rPr>
                <w:color w:val="auto"/>
                <w:kern w:val="0"/>
              </w:rPr>
              <w:t>26</w:t>
            </w:r>
          </w:p>
        </w:tc>
        <w:tc>
          <w:tcPr>
            <w:tcW w:w="782" w:type="pct"/>
            <w:vAlign w:val="center"/>
          </w:tcPr>
          <w:p>
            <w:pPr>
              <w:contextualSpacing/>
              <w:jc w:val="center"/>
              <w:textAlignment w:val="baseline"/>
              <w:rPr>
                <w:color w:val="auto"/>
                <w:kern w:val="0"/>
              </w:rPr>
            </w:pPr>
            <w:r>
              <w:rPr>
                <w:color w:val="auto"/>
                <w:kern w:val="0"/>
              </w:rPr>
              <w:t>0.0071</w:t>
            </w:r>
          </w:p>
        </w:tc>
        <w:tc>
          <w:tcPr>
            <w:tcW w:w="642" w:type="pct"/>
            <w:vMerge w:val="continue"/>
            <w:vAlign w:val="center"/>
          </w:tcPr>
          <w:p>
            <w:pPr>
              <w:contextualSpacing/>
              <w:jc w:val="center"/>
              <w:textAlignment w:val="baseline"/>
              <w:rPr>
                <w:color w:val="auto"/>
                <w:kern w:val="0"/>
              </w:rPr>
            </w:pPr>
          </w:p>
        </w:tc>
      </w:tr>
    </w:tbl>
    <w:p>
      <w:pPr>
        <w:keepNext w:val="0"/>
        <w:keepLines w:val="0"/>
        <w:pageBreakBefore w:val="0"/>
        <w:widowControl/>
        <w:kinsoku/>
        <w:wordWrap/>
        <w:overflowPunct/>
        <w:topLinePunct w:val="0"/>
        <w:autoSpaceDE/>
        <w:autoSpaceDN/>
        <w:bidi w:val="0"/>
        <w:adjustRightInd w:val="0"/>
        <w:snapToGrid w:val="0"/>
        <w:spacing w:before="120" w:line="520" w:lineRule="exact"/>
        <w:ind w:firstLine="480" w:firstLineChars="200"/>
        <w:textAlignment w:val="baseline"/>
        <w:rPr>
          <w:color w:val="auto"/>
          <w:kern w:val="0"/>
          <w:sz w:val="24"/>
          <w:szCs w:val="20"/>
          <w:highlight w:val="none"/>
        </w:rPr>
      </w:pPr>
      <w:r>
        <w:rPr>
          <w:color w:val="auto"/>
          <w:kern w:val="0"/>
          <w:sz w:val="24"/>
          <w:szCs w:val="20"/>
        </w:rPr>
        <w:t>不同地质孔隙度经验值一览表见下表，评价区含水介质主要为粉质粘土，有效孔隙度取</w:t>
      </w:r>
      <w:r>
        <w:rPr>
          <w:color w:val="auto"/>
          <w:kern w:val="0"/>
          <w:sz w:val="24"/>
          <w:szCs w:val="20"/>
          <w:highlight w:val="none"/>
        </w:rPr>
        <w:t>0.</w:t>
      </w:r>
      <w:r>
        <w:rPr>
          <w:rFonts w:hint="eastAsia"/>
          <w:color w:val="auto"/>
          <w:kern w:val="0"/>
          <w:sz w:val="24"/>
          <w:szCs w:val="20"/>
          <w:highlight w:val="none"/>
          <w:lang w:val="en-US" w:eastAsia="zh-CN"/>
        </w:rPr>
        <w:t>4</w:t>
      </w:r>
      <w:r>
        <w:rPr>
          <w:color w:val="auto"/>
          <w:kern w:val="0"/>
          <w:sz w:val="24"/>
          <w:szCs w:val="20"/>
          <w:highlight w:val="none"/>
        </w:rPr>
        <w:t>。</w:t>
      </w:r>
    </w:p>
    <w:p>
      <w:pPr>
        <w:spacing w:before="120" w:beforeLines="50"/>
        <w:ind w:firstLine="480" w:firstLineChars="200"/>
        <w:jc w:val="center"/>
        <w:rPr>
          <w:rFonts w:eastAsia="黑体"/>
          <w:color w:val="auto"/>
          <w:sz w:val="24"/>
          <w:szCs w:val="24"/>
          <w:highlight w:val="none"/>
        </w:rPr>
      </w:pPr>
      <w:r>
        <w:rPr>
          <w:rFonts w:eastAsia="黑体"/>
          <w:color w:val="auto"/>
          <w:sz w:val="24"/>
          <w:szCs w:val="24"/>
          <w:highlight w:val="none"/>
        </w:rPr>
        <w:t>表5.5-3   孔隙度经验值一览表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698"/>
        <w:gridCol w:w="1526"/>
        <w:gridCol w:w="1418"/>
        <w:gridCol w:w="1419"/>
        <w:gridCol w:w="1277"/>
        <w:gridCol w:w="119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99" w:hRule="atLeast"/>
          <w:jc w:val="center"/>
        </w:trPr>
        <w:tc>
          <w:tcPr>
            <w:tcW w:w="1700" w:type="dxa"/>
            <w:vAlign w:val="center"/>
          </w:tcPr>
          <w:p>
            <w:pPr>
              <w:jc w:val="center"/>
              <w:rPr>
                <w:b/>
                <w:color w:val="auto"/>
                <w:szCs w:val="20"/>
                <w:highlight w:val="none"/>
              </w:rPr>
            </w:pPr>
            <w:r>
              <w:rPr>
                <w:b/>
                <w:color w:val="auto"/>
                <w:szCs w:val="20"/>
                <w:highlight w:val="none"/>
              </w:rPr>
              <w:t>岩石名称</w:t>
            </w:r>
          </w:p>
        </w:tc>
        <w:tc>
          <w:tcPr>
            <w:tcW w:w="1527" w:type="dxa"/>
            <w:vAlign w:val="center"/>
          </w:tcPr>
          <w:p>
            <w:pPr>
              <w:jc w:val="center"/>
              <w:rPr>
                <w:b/>
                <w:color w:val="auto"/>
                <w:szCs w:val="20"/>
                <w:highlight w:val="none"/>
              </w:rPr>
            </w:pPr>
            <w:r>
              <w:rPr>
                <w:b/>
                <w:color w:val="auto"/>
                <w:szCs w:val="20"/>
                <w:highlight w:val="none"/>
              </w:rPr>
              <w:t>砾石（粗）</w:t>
            </w:r>
          </w:p>
        </w:tc>
        <w:tc>
          <w:tcPr>
            <w:tcW w:w="1418" w:type="dxa"/>
            <w:vAlign w:val="center"/>
          </w:tcPr>
          <w:p>
            <w:pPr>
              <w:jc w:val="center"/>
              <w:rPr>
                <w:b/>
                <w:color w:val="auto"/>
                <w:szCs w:val="20"/>
                <w:highlight w:val="none"/>
              </w:rPr>
            </w:pPr>
            <w:r>
              <w:rPr>
                <w:b/>
                <w:color w:val="auto"/>
                <w:szCs w:val="20"/>
                <w:highlight w:val="none"/>
              </w:rPr>
              <w:t>砾石（细）</w:t>
            </w:r>
          </w:p>
        </w:tc>
        <w:tc>
          <w:tcPr>
            <w:tcW w:w="1419" w:type="dxa"/>
            <w:vAlign w:val="center"/>
          </w:tcPr>
          <w:p>
            <w:pPr>
              <w:jc w:val="center"/>
              <w:rPr>
                <w:b/>
                <w:color w:val="auto"/>
                <w:szCs w:val="20"/>
                <w:highlight w:val="none"/>
              </w:rPr>
            </w:pPr>
            <w:r>
              <w:rPr>
                <w:b/>
                <w:color w:val="auto"/>
                <w:szCs w:val="20"/>
                <w:highlight w:val="none"/>
              </w:rPr>
              <w:t>砂（粗）</w:t>
            </w:r>
          </w:p>
        </w:tc>
        <w:tc>
          <w:tcPr>
            <w:tcW w:w="1277" w:type="dxa"/>
            <w:vAlign w:val="center"/>
          </w:tcPr>
          <w:p>
            <w:pPr>
              <w:jc w:val="center"/>
              <w:rPr>
                <w:b/>
                <w:color w:val="auto"/>
                <w:szCs w:val="20"/>
                <w:highlight w:val="none"/>
              </w:rPr>
            </w:pPr>
            <w:r>
              <w:rPr>
                <w:b/>
                <w:color w:val="auto"/>
                <w:szCs w:val="20"/>
                <w:highlight w:val="none"/>
              </w:rPr>
              <w:t>砂（细）</w:t>
            </w:r>
          </w:p>
        </w:tc>
        <w:tc>
          <w:tcPr>
            <w:tcW w:w="1191" w:type="dxa"/>
            <w:vAlign w:val="center"/>
          </w:tcPr>
          <w:p>
            <w:pPr>
              <w:jc w:val="center"/>
              <w:rPr>
                <w:b/>
                <w:color w:val="auto"/>
                <w:szCs w:val="20"/>
                <w:highlight w:val="none"/>
              </w:rPr>
            </w:pPr>
            <w:r>
              <w:rPr>
                <w:b/>
                <w:color w:val="auto"/>
                <w:szCs w:val="20"/>
                <w:highlight w:val="none"/>
              </w:rPr>
              <w:t>黏土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1700" w:type="dxa"/>
            <w:vAlign w:val="center"/>
          </w:tcPr>
          <w:p>
            <w:pPr>
              <w:contextualSpacing/>
              <w:jc w:val="center"/>
              <w:textAlignment w:val="baseline"/>
              <w:rPr>
                <w:color w:val="auto"/>
                <w:kern w:val="0"/>
                <w:highlight w:val="none"/>
              </w:rPr>
            </w:pPr>
            <w:r>
              <w:rPr>
                <w:color w:val="auto"/>
                <w:kern w:val="0"/>
                <w:highlight w:val="none"/>
              </w:rPr>
              <w:t>孔隙度变化区间</w:t>
            </w:r>
          </w:p>
        </w:tc>
        <w:tc>
          <w:tcPr>
            <w:tcW w:w="1527" w:type="dxa"/>
            <w:vAlign w:val="center"/>
          </w:tcPr>
          <w:p>
            <w:pPr>
              <w:contextualSpacing/>
              <w:jc w:val="center"/>
              <w:textAlignment w:val="baseline"/>
              <w:rPr>
                <w:color w:val="auto"/>
                <w:kern w:val="0"/>
                <w:highlight w:val="none"/>
              </w:rPr>
            </w:pPr>
            <w:r>
              <w:rPr>
                <w:color w:val="auto"/>
                <w:kern w:val="0"/>
                <w:highlight w:val="none"/>
              </w:rPr>
              <w:t>24%-36%</w:t>
            </w:r>
          </w:p>
        </w:tc>
        <w:tc>
          <w:tcPr>
            <w:tcW w:w="1418" w:type="dxa"/>
            <w:vAlign w:val="center"/>
          </w:tcPr>
          <w:p>
            <w:pPr>
              <w:contextualSpacing/>
              <w:jc w:val="center"/>
              <w:textAlignment w:val="baseline"/>
              <w:rPr>
                <w:color w:val="auto"/>
                <w:kern w:val="0"/>
                <w:highlight w:val="none"/>
              </w:rPr>
            </w:pPr>
            <w:r>
              <w:rPr>
                <w:color w:val="auto"/>
                <w:kern w:val="0"/>
                <w:highlight w:val="none"/>
              </w:rPr>
              <w:t>25%-38%</w:t>
            </w:r>
          </w:p>
        </w:tc>
        <w:tc>
          <w:tcPr>
            <w:tcW w:w="1419" w:type="dxa"/>
            <w:vAlign w:val="center"/>
          </w:tcPr>
          <w:p>
            <w:pPr>
              <w:contextualSpacing/>
              <w:jc w:val="center"/>
              <w:textAlignment w:val="baseline"/>
              <w:rPr>
                <w:color w:val="auto"/>
                <w:kern w:val="0"/>
                <w:highlight w:val="none"/>
              </w:rPr>
            </w:pPr>
            <w:r>
              <w:rPr>
                <w:color w:val="auto"/>
                <w:kern w:val="0"/>
                <w:highlight w:val="none"/>
              </w:rPr>
              <w:t>31%-46%</w:t>
            </w:r>
          </w:p>
        </w:tc>
        <w:tc>
          <w:tcPr>
            <w:tcW w:w="1277" w:type="dxa"/>
            <w:vAlign w:val="center"/>
          </w:tcPr>
          <w:p>
            <w:pPr>
              <w:contextualSpacing/>
              <w:jc w:val="center"/>
              <w:textAlignment w:val="baseline"/>
              <w:rPr>
                <w:color w:val="auto"/>
                <w:kern w:val="0"/>
                <w:highlight w:val="none"/>
              </w:rPr>
            </w:pPr>
            <w:r>
              <w:rPr>
                <w:color w:val="auto"/>
                <w:kern w:val="0"/>
                <w:highlight w:val="none"/>
              </w:rPr>
              <w:t>26%-53%</w:t>
            </w:r>
          </w:p>
        </w:tc>
        <w:tc>
          <w:tcPr>
            <w:tcW w:w="1191" w:type="dxa"/>
            <w:vAlign w:val="center"/>
          </w:tcPr>
          <w:p>
            <w:pPr>
              <w:contextualSpacing/>
              <w:jc w:val="center"/>
              <w:textAlignment w:val="baseline"/>
              <w:rPr>
                <w:color w:val="auto"/>
                <w:kern w:val="0"/>
                <w:highlight w:val="none"/>
              </w:rPr>
            </w:pPr>
            <w:r>
              <w:rPr>
                <w:color w:val="auto"/>
                <w:kern w:val="0"/>
                <w:highlight w:val="none"/>
              </w:rPr>
              <w:t>34%-60%</w:t>
            </w:r>
          </w:p>
        </w:tc>
      </w:tr>
    </w:tbl>
    <w:p>
      <w:pPr>
        <w:adjustRightInd w:val="0"/>
        <w:snapToGrid w:val="0"/>
        <w:spacing w:before="120" w:beforeLines="50" w:line="360" w:lineRule="auto"/>
        <w:ind w:firstLine="480" w:firstLineChars="200"/>
        <w:textAlignment w:val="baseline"/>
        <w:rPr>
          <w:color w:val="auto"/>
          <w:kern w:val="0"/>
          <w:sz w:val="24"/>
          <w:szCs w:val="20"/>
        </w:rPr>
      </w:pPr>
      <w:r>
        <w:rPr>
          <w:color w:val="auto"/>
          <w:kern w:val="0"/>
          <w:sz w:val="24"/>
          <w:szCs w:val="20"/>
          <w:highlight w:val="none"/>
        </w:rPr>
        <w:t>根据上述公式及参数计算，L=</w:t>
      </w:r>
      <w:r>
        <w:rPr>
          <w:rFonts w:hint="eastAsia"/>
          <w:color w:val="auto"/>
          <w:kern w:val="0"/>
          <w:sz w:val="24"/>
          <w:szCs w:val="20"/>
          <w:highlight w:val="none"/>
          <w:lang w:val="en-US" w:eastAsia="zh-CN"/>
        </w:rPr>
        <w:t>53.13</w:t>
      </w:r>
      <w:r>
        <w:rPr>
          <w:color w:val="auto"/>
          <w:kern w:val="0"/>
          <w:sz w:val="24"/>
          <w:szCs w:val="20"/>
          <w:highlight w:val="none"/>
        </w:rPr>
        <w:t>m，评价范围面积为0.0</w:t>
      </w:r>
      <w:r>
        <w:rPr>
          <w:rFonts w:hint="eastAsia"/>
          <w:color w:val="auto"/>
          <w:kern w:val="0"/>
          <w:sz w:val="24"/>
          <w:szCs w:val="20"/>
          <w:highlight w:val="none"/>
          <w:lang w:val="en-US" w:eastAsia="zh-CN"/>
        </w:rPr>
        <w:t>042</w:t>
      </w:r>
      <w:r>
        <w:rPr>
          <w:color w:val="auto"/>
          <w:kern w:val="0"/>
          <w:sz w:val="24"/>
          <w:szCs w:val="20"/>
          <w:highlight w:val="none"/>
        </w:rPr>
        <w:t>km</w:t>
      </w:r>
      <w:r>
        <w:rPr>
          <w:color w:val="auto"/>
          <w:kern w:val="0"/>
          <w:sz w:val="24"/>
          <w:szCs w:val="20"/>
          <w:highlight w:val="none"/>
          <w:vertAlign w:val="superscript"/>
        </w:rPr>
        <w:t>2</w:t>
      </w:r>
      <w:r>
        <w:rPr>
          <w:color w:val="auto"/>
          <w:kern w:val="0"/>
          <w:sz w:val="24"/>
          <w:szCs w:val="20"/>
          <w:highlight w:val="none"/>
        </w:rPr>
        <w:t>。考虑评价范围应包含主要地下水环境保护目标，结合地下水环境现状调查评价</w:t>
      </w:r>
      <w:r>
        <w:rPr>
          <w:color w:val="auto"/>
          <w:kern w:val="0"/>
          <w:sz w:val="24"/>
          <w:szCs w:val="20"/>
        </w:rPr>
        <w:t>范围参照表中的相关要求（评价等级为三级，调查评价面积≤6km</w:t>
      </w:r>
      <w:r>
        <w:rPr>
          <w:color w:val="auto"/>
          <w:kern w:val="0"/>
          <w:sz w:val="24"/>
          <w:szCs w:val="20"/>
          <w:vertAlign w:val="superscript"/>
        </w:rPr>
        <w:t>2</w:t>
      </w:r>
      <w:r>
        <w:rPr>
          <w:color w:val="auto"/>
          <w:kern w:val="0"/>
          <w:sz w:val="24"/>
          <w:szCs w:val="20"/>
        </w:rPr>
        <w:t>），本项目综合考虑确定评价范围为6km</w:t>
      </w:r>
      <w:r>
        <w:rPr>
          <w:color w:val="auto"/>
          <w:kern w:val="0"/>
          <w:sz w:val="24"/>
          <w:szCs w:val="20"/>
          <w:vertAlign w:val="superscript"/>
        </w:rPr>
        <w:t>2</w:t>
      </w:r>
      <w:r>
        <w:rPr>
          <w:color w:val="auto"/>
          <w:kern w:val="0"/>
          <w:sz w:val="24"/>
          <w:szCs w:val="20"/>
        </w:rPr>
        <w:t>，拟选厂址上游 1km、下游 2km、两侧各 1km的范围。由于地表水和中深层含水层间无明显的水力联系，中深层含水层和深层含水层无明显的水力联系，因此本次预测层位定为预测评价区域的潜水层。项目地下水评价范围如下：</w:t>
      </w:r>
    </w:p>
    <w:p>
      <w:pPr>
        <w:adjustRightInd w:val="0"/>
        <w:snapToGrid w:val="0"/>
        <w:spacing w:before="120" w:line="520" w:lineRule="exact"/>
        <w:textAlignment w:val="baseline"/>
        <w:rPr>
          <w:color w:val="auto"/>
          <w:kern w:val="0"/>
          <w:sz w:val="24"/>
          <w:szCs w:val="20"/>
        </w:rPr>
      </w:pPr>
      <w:r>
        <w:rPr>
          <w:color w:val="auto"/>
          <w:szCs w:val="22"/>
        </w:rPr>
        <w:pict>
          <v:shape id="_x0000_s2468" o:spid="_x0000_s2468" o:spt="75" alt="" type="#_x0000_t75" style="position:absolute;left:0pt;margin-left:0.3pt;margin-top:8.2pt;height:299.25pt;width:415.5pt;z-index:251763712;mso-width-relative:page;mso-height-relative:page;" o:ole="t" filled="f" o:preferrelative="t" stroked="t" coordsize="21600,21600">
            <v:path/>
            <v:fill on="f" focussize="0,0"/>
            <v:stroke color="#000000" joinstyle="miter"/>
            <v:imagedata r:id="rId127" o:title=""/>
            <o:lock v:ext="edit" aspectratio="t"/>
          </v:shape>
          <o:OLEObject Type="Embed" ProgID="Visio.Drawing.11" ShapeID="_x0000_s2468" DrawAspect="Content" ObjectID="_1468075746" r:id="rId126">
            <o:LockedField>false</o:LockedField>
          </o:OLEObject>
        </w:pict>
      </w:r>
      <w:r>
        <w:rPr>
          <w:color w:val="auto"/>
        </w:rPr>
        <mc:AlternateContent>
          <mc:Choice Requires="wpg">
            <w:drawing>
              <wp:anchor distT="0" distB="0" distL="114300" distR="114300" simplePos="0" relativeHeight="251738112" behindDoc="0" locked="0" layoutInCell="1" allowOverlap="1">
                <wp:simplePos x="0" y="0"/>
                <wp:positionH relativeFrom="column">
                  <wp:posOffset>1242060</wp:posOffset>
                </wp:positionH>
                <wp:positionV relativeFrom="paragraph">
                  <wp:posOffset>233045</wp:posOffset>
                </wp:positionV>
                <wp:extent cx="3790950" cy="2637155"/>
                <wp:effectExtent l="0" t="0" r="0" b="0"/>
                <wp:wrapNone/>
                <wp:docPr id="622" name="组合 114"/>
                <wp:cNvGraphicFramePr/>
                <a:graphic xmlns:a="http://schemas.openxmlformats.org/drawingml/2006/main">
                  <a:graphicData uri="http://schemas.microsoft.com/office/word/2010/wordprocessingGroup">
                    <wpg:wgp>
                      <wpg:cNvGrpSpPr/>
                      <wpg:grpSpPr>
                        <a:xfrm>
                          <a:off x="0" y="0"/>
                          <a:ext cx="3790950" cy="2637155"/>
                          <a:chOff x="0" y="0"/>
                          <a:chExt cx="0" cy="214748"/>
                        </a:xfrm>
                      </wpg:grpSpPr>
                      <wpg:grpSp>
                        <wpg:cNvPr id="623" name="Group 10"/>
                        <wpg:cNvGrpSpPr/>
                        <wpg:grpSpPr>
                          <a:xfrm>
                            <a:off x="0" y="0"/>
                            <a:ext cx="0" cy="0"/>
                            <a:chOff x="9237" y="6454"/>
                            <a:chExt cx="701" cy="1108"/>
                          </a:xfrm>
                        </wpg:grpSpPr>
                        <wps:wsp>
                          <wps:cNvPr id="141" name="Text Box 11"/>
                          <wps:cNvSpPr txBox="1">
                            <a:spLocks noChangeArrowheads="1"/>
                          </wps:cNvSpPr>
                          <wps:spPr bwMode="auto">
                            <a:xfrm>
                              <a:off x="9237" y="6454"/>
                              <a:ext cx="701" cy="750"/>
                            </a:xfrm>
                            <a:prstGeom prst="rect">
                              <a:avLst/>
                            </a:prstGeom>
                            <a:noFill/>
                            <a:ln>
                              <a:noFill/>
                            </a:ln>
                          </wps:spPr>
                          <wps:txbx>
                            <w:txbxContent>
                              <w:p>
                                <w:pPr>
                                  <w:rPr>
                                    <w:b/>
                                    <w:color w:val="FFFF00"/>
                                  </w:rPr>
                                </w:pPr>
                                <w:r>
                                  <w:rPr>
                                    <w:rFonts w:hint="eastAsia"/>
                                    <w:b/>
                                    <w:color w:val="FFFF00"/>
                                  </w:rPr>
                                  <w:t>北</w:t>
                                </w:r>
                              </w:p>
                            </w:txbxContent>
                          </wps:txbx>
                          <wps:bodyPr rot="0" vert="horz" wrap="square" lIns="91440" tIns="45720" rIns="91440" bIns="45720" anchor="t" anchorCtr="0" upright="1">
                            <a:noAutofit/>
                          </wps:bodyPr>
                        </wps:wsp>
                        <wps:wsp>
                          <wps:cNvPr id="142" name="Line 12"/>
                          <wps:cNvCnPr>
                            <a:cxnSpLocks noChangeShapeType="1"/>
                          </wps:cNvCnPr>
                          <wps:spPr bwMode="auto">
                            <a:xfrm flipV="1">
                              <a:off x="9555" y="7070"/>
                              <a:ext cx="0" cy="492"/>
                            </a:xfrm>
                            <a:prstGeom prst="line">
                              <a:avLst/>
                            </a:prstGeom>
                            <a:noFill/>
                            <a:ln w="22225">
                              <a:solidFill>
                                <a:srgbClr val="FFFF00"/>
                              </a:solidFill>
                              <a:round/>
                              <a:tailEnd type="triangle" w="med" len="med"/>
                            </a:ln>
                          </wps:spPr>
                          <wps:bodyPr/>
                        </wps:wsp>
                      </wpg:grpSp>
                      <wpg:grpSp>
                        <wpg:cNvPr id="624" name="Group 13"/>
                        <wpg:cNvGrpSpPr/>
                        <wpg:grpSpPr>
                          <a:xfrm>
                            <a:off x="0" y="0"/>
                            <a:ext cx="0" cy="0"/>
                            <a:chOff x="3753" y="5375"/>
                            <a:chExt cx="4021" cy="2922"/>
                          </a:xfrm>
                        </wpg:grpSpPr>
                        <wps:wsp>
                          <wps:cNvPr id="144" name="Rectangle 14"/>
                          <wps:cNvSpPr>
                            <a:spLocks noChangeAspect="1" noChangeArrowheads="1"/>
                          </wps:cNvSpPr>
                          <wps:spPr bwMode="auto">
                            <a:xfrm rot="2880000">
                              <a:off x="4303" y="4825"/>
                              <a:ext cx="2922" cy="4021"/>
                            </a:xfrm>
                            <a:prstGeom prst="rect">
                              <a:avLst/>
                            </a:prstGeom>
                            <a:solidFill>
                              <a:srgbClr val="FFFFFF">
                                <a:alpha val="0"/>
                              </a:srgbClr>
                            </a:solidFill>
                            <a:ln w="15875">
                              <a:solidFill>
                                <a:srgbClr val="FFFF00"/>
                              </a:solidFill>
                              <a:miter lim="800000"/>
                            </a:ln>
                          </wps:spPr>
                          <wps:bodyPr rot="0" vert="horz" wrap="square" lIns="91440" tIns="45720" rIns="91440" bIns="45720" anchor="t" anchorCtr="0" upright="1">
                            <a:noAutofit/>
                          </wps:bodyPr>
                        </wps:wsp>
                        <wps:wsp>
                          <wps:cNvPr id="145" name="Text Box 15"/>
                          <wps:cNvSpPr txBox="1">
                            <a:spLocks noChangeAspect="1" noChangeArrowheads="1"/>
                          </wps:cNvSpPr>
                          <wps:spPr bwMode="auto">
                            <a:xfrm>
                              <a:off x="6431" y="5860"/>
                              <a:ext cx="829" cy="506"/>
                            </a:xfrm>
                            <a:prstGeom prst="rect">
                              <a:avLst/>
                            </a:prstGeom>
                            <a:solidFill>
                              <a:srgbClr val="FFFFFF">
                                <a:alpha val="0"/>
                              </a:srgbClr>
                            </a:solidFill>
                            <a:ln>
                              <a:noFill/>
                            </a:ln>
                          </wps:spPr>
                          <wps:txbx>
                            <w:txbxContent>
                              <w:p>
                                <w:pPr>
                                  <w:pStyle w:val="421"/>
                                  <w:rPr>
                                    <w:b/>
                                    <w:color w:val="FFFF00"/>
                                  </w:rPr>
                                </w:pPr>
                                <w:r>
                                  <w:rPr>
                                    <w:rFonts w:hint="eastAsia"/>
                                    <w:b/>
                                    <w:color w:val="FFFF00"/>
                                  </w:rPr>
                                  <w:t>2km</w:t>
                                </w:r>
                              </w:p>
                            </w:txbxContent>
                          </wps:txbx>
                          <wps:bodyPr rot="0" vert="horz" wrap="square" lIns="91440" tIns="45720" rIns="91440" bIns="45720" anchor="t" anchorCtr="0" upright="1">
                            <a:noAutofit/>
                          </wps:bodyPr>
                        </wps:wsp>
                        <wps:wsp>
                          <wps:cNvPr id="146" name="Text Box 16"/>
                          <wps:cNvSpPr txBox="1">
                            <a:spLocks noChangeAspect="1" noChangeArrowheads="1"/>
                          </wps:cNvSpPr>
                          <wps:spPr bwMode="auto">
                            <a:xfrm>
                              <a:off x="5770" y="7460"/>
                              <a:ext cx="915" cy="602"/>
                            </a:xfrm>
                            <a:prstGeom prst="rect">
                              <a:avLst/>
                            </a:prstGeom>
                            <a:solidFill>
                              <a:srgbClr val="FFFFFF">
                                <a:alpha val="0"/>
                              </a:srgbClr>
                            </a:solidFill>
                            <a:ln>
                              <a:noFill/>
                            </a:ln>
                          </wps:spPr>
                          <wps:txbx>
                            <w:txbxContent>
                              <w:p>
                                <w:pPr>
                                  <w:pStyle w:val="421"/>
                                  <w:rPr>
                                    <w:b/>
                                    <w:color w:val="FFFF00"/>
                                  </w:rPr>
                                </w:pPr>
                                <w:r>
                                  <w:rPr>
                                    <w:rFonts w:hint="eastAsia"/>
                                    <w:b/>
                                    <w:color w:val="FFFF00"/>
                                  </w:rPr>
                                  <w:t>1km</w:t>
                                </w:r>
                              </w:p>
                            </w:txbxContent>
                          </wps:txbx>
                          <wps:bodyPr rot="0" vert="horz" wrap="square" lIns="91440" tIns="45720" rIns="91440" bIns="45720" anchor="t" anchorCtr="0" upright="1">
                            <a:noAutofit/>
                          </wps:bodyPr>
                        </wps:wsp>
                        <wps:wsp>
                          <wps:cNvPr id="147" name="Text Box 17"/>
                          <wps:cNvSpPr txBox="1">
                            <a:spLocks noChangeAspect="1" noChangeArrowheads="1"/>
                          </wps:cNvSpPr>
                          <wps:spPr bwMode="auto">
                            <a:xfrm>
                              <a:off x="4198" y="6366"/>
                              <a:ext cx="868" cy="501"/>
                            </a:xfrm>
                            <a:prstGeom prst="rect">
                              <a:avLst/>
                            </a:prstGeom>
                            <a:solidFill>
                              <a:srgbClr val="FFFFFF">
                                <a:alpha val="0"/>
                              </a:srgbClr>
                            </a:solidFill>
                            <a:ln>
                              <a:noFill/>
                            </a:ln>
                          </wps:spPr>
                          <wps:txbx>
                            <w:txbxContent>
                              <w:p>
                                <w:pPr>
                                  <w:pStyle w:val="421"/>
                                  <w:rPr>
                                    <w:b/>
                                    <w:color w:val="FFFF00"/>
                                  </w:rPr>
                                </w:pPr>
                                <w:r>
                                  <w:rPr>
                                    <w:rFonts w:hint="eastAsia"/>
                                    <w:b/>
                                    <w:color w:val="FFFF00"/>
                                  </w:rPr>
                                  <w:t>1km</w:t>
                                </w:r>
                              </w:p>
                            </w:txbxContent>
                          </wps:txbx>
                          <wps:bodyPr rot="0" vert="horz" wrap="square" lIns="91440" tIns="45720" rIns="91440" bIns="45720" anchor="t" anchorCtr="0" upright="1">
                            <a:noAutofit/>
                          </wps:bodyPr>
                        </wps:wsp>
                        <wps:wsp>
                          <wps:cNvPr id="148" name="Text Box 18"/>
                          <wps:cNvSpPr txBox="1">
                            <a:spLocks noChangeAspect="1" noChangeArrowheads="1"/>
                          </wps:cNvSpPr>
                          <wps:spPr bwMode="auto">
                            <a:xfrm>
                              <a:off x="4198" y="7444"/>
                              <a:ext cx="906" cy="796"/>
                            </a:xfrm>
                            <a:prstGeom prst="rect">
                              <a:avLst/>
                            </a:prstGeom>
                            <a:solidFill>
                              <a:srgbClr val="FFFFFF">
                                <a:alpha val="0"/>
                              </a:srgbClr>
                            </a:solidFill>
                            <a:ln>
                              <a:noFill/>
                            </a:ln>
                          </wps:spPr>
                          <wps:txbx>
                            <w:txbxContent>
                              <w:p>
                                <w:pPr>
                                  <w:pStyle w:val="421"/>
                                  <w:rPr>
                                    <w:b/>
                                    <w:color w:val="FFFF00"/>
                                  </w:rPr>
                                </w:pPr>
                                <w:r>
                                  <w:rPr>
                                    <w:rFonts w:hint="eastAsia"/>
                                    <w:b/>
                                    <w:color w:val="FFFF00"/>
                                  </w:rPr>
                                  <w:t>1km</w:t>
                                </w:r>
                              </w:p>
                            </w:txbxContent>
                          </wps:txbx>
                          <wps:bodyPr rot="0" vert="horz" wrap="square" lIns="91440" tIns="45720" rIns="91440" bIns="45720" anchor="t" anchorCtr="0" upright="1">
                            <a:noAutofit/>
                          </wps:bodyPr>
                        </wps:wsp>
                        <wps:wsp>
                          <wps:cNvPr id="149" name="AutoShape 19"/>
                          <wps:cNvCnPr>
                            <a:cxnSpLocks noChangeShapeType="1"/>
                          </wps:cNvCnPr>
                          <wps:spPr bwMode="auto">
                            <a:xfrm flipV="1">
                              <a:off x="5604" y="5460"/>
                              <a:ext cx="1656" cy="1431"/>
                            </a:xfrm>
                            <a:prstGeom prst="straightConnector1">
                              <a:avLst/>
                            </a:prstGeom>
                            <a:noFill/>
                            <a:ln w="9525">
                              <a:solidFill>
                                <a:srgbClr val="FFFF00"/>
                              </a:solidFill>
                              <a:prstDash val="dash"/>
                              <a:round/>
                              <a:headEnd type="triangle" w="med" len="med"/>
                              <a:tailEnd type="triangle" w="med" len="med"/>
                            </a:ln>
                          </wps:spPr>
                          <wps:bodyPr/>
                        </wps:wsp>
                        <wps:wsp>
                          <wps:cNvPr id="150" name="AutoShape 20"/>
                          <wps:cNvCnPr>
                            <a:cxnSpLocks noChangeShapeType="1"/>
                          </wps:cNvCnPr>
                          <wps:spPr bwMode="auto">
                            <a:xfrm flipV="1">
                              <a:off x="4290" y="7340"/>
                              <a:ext cx="921" cy="850"/>
                            </a:xfrm>
                            <a:prstGeom prst="straightConnector1">
                              <a:avLst/>
                            </a:prstGeom>
                            <a:noFill/>
                            <a:ln w="9525">
                              <a:solidFill>
                                <a:srgbClr val="FFFF00"/>
                              </a:solidFill>
                              <a:prstDash val="dash"/>
                              <a:round/>
                              <a:headEnd type="triangle" w="med" len="med"/>
                              <a:tailEnd type="triangle" w="med" len="med"/>
                            </a:ln>
                          </wps:spPr>
                          <wps:bodyPr/>
                        </wps:wsp>
                        <wps:wsp>
                          <wps:cNvPr id="151" name="AutoShape 21"/>
                          <wps:cNvCnPr>
                            <a:cxnSpLocks noChangeShapeType="1"/>
                          </wps:cNvCnPr>
                          <wps:spPr bwMode="auto">
                            <a:xfrm flipH="1" flipV="1">
                              <a:off x="5604" y="7270"/>
                              <a:ext cx="827" cy="920"/>
                            </a:xfrm>
                            <a:prstGeom prst="straightConnector1">
                              <a:avLst/>
                            </a:prstGeom>
                            <a:noFill/>
                            <a:ln w="9525">
                              <a:solidFill>
                                <a:srgbClr val="FFFF00"/>
                              </a:solidFill>
                              <a:prstDash val="dash"/>
                              <a:round/>
                              <a:headEnd type="triangle" w="med" len="med"/>
                              <a:tailEnd type="triangle" w="med" len="med"/>
                            </a:ln>
                          </wps:spPr>
                          <wps:bodyPr/>
                        </wps:wsp>
                        <wps:wsp>
                          <wps:cNvPr id="152" name="AutoShape 22"/>
                          <wps:cNvCnPr>
                            <a:cxnSpLocks noChangeShapeType="1"/>
                          </wps:cNvCnPr>
                          <wps:spPr bwMode="auto">
                            <a:xfrm flipH="1" flipV="1">
                              <a:off x="4400" y="6148"/>
                              <a:ext cx="811" cy="750"/>
                            </a:xfrm>
                            <a:prstGeom prst="straightConnector1">
                              <a:avLst/>
                            </a:prstGeom>
                            <a:noFill/>
                            <a:ln w="9525">
                              <a:solidFill>
                                <a:srgbClr val="FFFF00"/>
                              </a:solidFill>
                              <a:prstDash val="dash"/>
                              <a:round/>
                              <a:headEnd type="triangle" w="med" len="med"/>
                              <a:tailEnd type="triangle" w="med" len="med"/>
                            </a:ln>
                          </wps:spPr>
                          <wps:bodyPr/>
                        </wps:wsp>
                      </wpg:grpSp>
                    </wpg:wgp>
                  </a:graphicData>
                </a:graphic>
              </wp:anchor>
            </w:drawing>
          </mc:Choice>
          <mc:Fallback>
            <w:pict>
              <v:group id="组合 114" o:spid="_x0000_s1026" o:spt="203" style="position:absolute;left:0pt;margin-left:97.8pt;margin-top:18.35pt;height:207.65pt;width:298.5pt;z-index:251738112;mso-width-relative:page;mso-height-relative:page;" coordsize="0,214748" o:gfxdata="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">
                <o:lock v:ext="edit" aspectratio="f"/>
                <v:group id="Group 10" o:spid="_x0000_s1026" o:spt="203" style="position:absolute;left:0;top:0;height:0;width:0;" coordorigin="9237,6454" coordsize="701,1108" o:gfxdata="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2V5KjvwAAANwAAAAPAAAAAAAAAAEAIAAAACIAAABkcnMvZG93bnJldi54&#10;bWxQSwECFAAUAAAACACHTuJAMy8FnjsAAAA5AAAAFQAAAAAAAAABACAAAAAOAQAAZHJzL2dyb3Vw&#10;c2hhcGV4bWwueG1sUEsFBgAAAAAGAAYAYAEAAMsDAAAAAA==&#10;">
                  <o:lock v:ext="edit" aspectratio="f"/>
                  <v:shape id="Text Box 11" o:spid="_x0000_s1026" o:spt="202" type="#_x0000_t202" style="position:absolute;left:9237;top:6454;height:750;width:701;" filled="f" stroked="f" coordsize="21600,21600" o:gfxdata="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ygEN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b/>
                              <w:color w:val="FFFF00"/>
                            </w:rPr>
                          </w:pPr>
                          <w:r>
                            <w:rPr>
                              <w:rFonts w:hint="eastAsia"/>
                              <w:b/>
                              <w:color w:val="FFFF00"/>
                            </w:rPr>
                            <w:t>北</w:t>
                          </w:r>
                        </w:p>
                      </w:txbxContent>
                    </v:textbox>
                  </v:shape>
                  <v:line id="Line 12" o:spid="_x0000_s1026" o:spt="20" style="position:absolute;left:9555;top:7070;flip:y;height:492;width:0;" filled="f" stroked="t" coordsize="21600,21600" o:gfxdata="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dQo5rsAAADc&#10;AAAADwAAAAAAAAABACAAAAAiAAAAZHJzL2Rvd25yZXYueG1sUEsBAhQAFAAAAAgAh07iQDMvBZ47&#10;AAAAOQAAABAAAAAAAAAAAQAgAAAACgEAAGRycy9zaGFwZXhtbC54bWxQSwUGAAAAAAYABgBbAQAA&#10;tAMAAAAA&#10;">
                    <v:fill on="f" focussize="0,0"/>
                    <v:stroke weight="1.75pt" color="#FFFF00" joinstyle="round" endarrow="block"/>
                    <v:imagedata o:title=""/>
                    <o:lock v:ext="edit" aspectratio="f"/>
                  </v:line>
                </v:group>
                <v:group id="Group 13" o:spid="_x0000_s1026" o:spt="203" style="position:absolute;left:0;top:0;height:0;width:0;" coordorigin="3753,5375" coordsize="4021,2922" o:gfxdata="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eb4K18AAAADcAAAADwAAAAAAAAABACAAAAAiAAAAZHJzL2Rvd25yZXYu&#10;eG1sUEsBAhQAFAAAAAgAh07iQDMvBZ47AAAAOQAAABUAAAAAAAAAAQAgAAAADwEAAGRycy9ncm91&#10;cHNoYXBleG1sLnhtbFBLBQYAAAAABgAGAGABAADMAwAAAAA=&#10;">
                  <o:lock v:ext="edit" aspectratio="f"/>
                  <v:rect id="Rectangle 14" o:spid="_x0000_s1026" o:spt="1" style="position:absolute;left:4303;top:4825;height:4021;width:2922;rotation:3145728f;" fillcolor="#FFFFFF" filled="t" stroked="t" coordsize="21600,21600" o:gfxdata="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uEcm8AAAA&#10;3AAAAA8AAAAAAAAAAQAgAAAAIgAAAGRycy9kb3ducmV2LnhtbFBLAQIUABQAAAAIAIdO4kAzLwWe&#10;OwAAADkAAAAQAAAAAAAAAAEAIAAAAAsBAABkcnMvc2hhcGV4bWwueG1sUEsFBgAAAAAGAAYAWwEA&#10;ALUDAAAAAA==&#10;">
                    <v:fill on="t" opacity="0f" focussize="0,0"/>
                    <v:stroke weight="1.25pt" color="#FFFF00" miterlimit="8" joinstyle="miter"/>
                    <v:imagedata o:title=""/>
                    <o:lock v:ext="edit" aspectratio="t"/>
                  </v:rect>
                  <v:shape id="Text Box 15" o:spid="_x0000_s1026" o:spt="202" type="#_x0000_t202" style="position:absolute;left:6431;top:5860;height:506;width:829;" fillcolor="#FFFFFF" filled="t" stroked="f" coordsize="21600,21600" o:gfxdata="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kMMq/&#10;AAAA3AAAAA8AAAAAAAAAAQAgAAAAIgAAAGRycy9kb3ducmV2LnhtbFBLAQIUABQAAAAIAIdO4kAz&#10;LwWeOwAAADkAAAAQAAAAAAAAAAEAIAAAAA4BAABkcnMvc2hhcGV4bWwueG1sUEsFBgAAAAAGAAYA&#10;WwEAALgDAAAAAA==&#10;">
                    <v:fill on="t" opacity="0f" focussize="0,0"/>
                    <v:stroke on="f"/>
                    <v:imagedata o:title=""/>
                    <o:lock v:ext="edit" aspectratio="t"/>
                    <v:textbox>
                      <w:txbxContent>
                        <w:p>
                          <w:pPr>
                            <w:pStyle w:val="421"/>
                            <w:rPr>
                              <w:b/>
                              <w:color w:val="FFFF00"/>
                            </w:rPr>
                          </w:pPr>
                          <w:r>
                            <w:rPr>
                              <w:rFonts w:hint="eastAsia"/>
                              <w:b/>
                              <w:color w:val="FFFF00"/>
                            </w:rPr>
                            <w:t>2km</w:t>
                          </w:r>
                        </w:p>
                      </w:txbxContent>
                    </v:textbox>
                  </v:shape>
                  <v:shape id="Text Box 16" o:spid="_x0000_s1026" o:spt="202" type="#_x0000_t202" style="position:absolute;left:5770;top:7460;height:602;width:915;" fillcolor="#FFFFFF" filled="t" stroked="f" coordsize="21600,21600" o:gfxdata="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2rr2/&#10;AAAA3AAAAA8AAAAAAAAAAQAgAAAAIgAAAGRycy9kb3ducmV2LnhtbFBLAQIUABQAAAAIAIdO4kAz&#10;LwWeOwAAADkAAAAQAAAAAAAAAAEAIAAAAA4BAABkcnMvc2hhcGV4bWwueG1sUEsFBgAAAAAGAAYA&#10;WwEAALgDAAAAAA==&#10;">
                    <v:fill on="t" opacity="0f" focussize="0,0"/>
                    <v:stroke on="f"/>
                    <v:imagedata o:title=""/>
                    <o:lock v:ext="edit" aspectratio="t"/>
                    <v:textbox>
                      <w:txbxContent>
                        <w:p>
                          <w:pPr>
                            <w:pStyle w:val="421"/>
                            <w:rPr>
                              <w:b/>
                              <w:color w:val="FFFF00"/>
                            </w:rPr>
                          </w:pPr>
                          <w:r>
                            <w:rPr>
                              <w:rFonts w:hint="eastAsia"/>
                              <w:b/>
                              <w:color w:val="FFFF00"/>
                            </w:rPr>
                            <w:t>1km</w:t>
                          </w:r>
                        </w:p>
                      </w:txbxContent>
                    </v:textbox>
                  </v:shape>
                  <v:shape id="Text Box 17" o:spid="_x0000_s1026" o:spt="202" type="#_x0000_t202" style="position:absolute;left:4198;top:6366;height:501;width:868;" fillcolor="#FFFFFF" filled="t" stroked="f" coordsize="21600,21600" o:gfxdata="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Q6Cya/&#10;AAAA3AAAAA8AAAAAAAAAAQAgAAAAIgAAAGRycy9kb3ducmV2LnhtbFBLAQIUABQAAAAIAIdO4kAz&#10;LwWeOwAAADkAAAAQAAAAAAAAAAEAIAAAAA4BAABkcnMvc2hhcGV4bWwueG1sUEsFBgAAAAAGAAYA&#10;WwEAALgDAAAAAA==&#10;">
                    <v:fill on="t" opacity="0f" focussize="0,0"/>
                    <v:stroke on="f"/>
                    <v:imagedata o:title=""/>
                    <o:lock v:ext="edit" aspectratio="t"/>
                    <v:textbox>
                      <w:txbxContent>
                        <w:p>
                          <w:pPr>
                            <w:pStyle w:val="421"/>
                            <w:rPr>
                              <w:b/>
                              <w:color w:val="FFFF00"/>
                            </w:rPr>
                          </w:pPr>
                          <w:r>
                            <w:rPr>
                              <w:rFonts w:hint="eastAsia"/>
                              <w:b/>
                              <w:color w:val="FFFF00"/>
                            </w:rPr>
                            <w:t>1km</w:t>
                          </w:r>
                        </w:p>
                      </w:txbxContent>
                    </v:textbox>
                  </v:shape>
                  <v:shape id="Text Box 18" o:spid="_x0000_s1026" o:spt="202" type="#_x0000_t202" style="position:absolute;left:4198;top:7444;height:796;width:906;" fillcolor="#FFFFFF" filled="t" stroked="f" coordsize="21600,21600" o:gfxdata="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pZ9UvQAA&#10;ANwAAAAPAAAAAAAAAAEAIAAAACIAAABkcnMvZG93bnJldi54bWxQSwECFAAUAAAACACHTuJAMy8F&#10;njsAAAA5AAAAEAAAAAAAAAABACAAAAAMAQAAZHJzL3NoYXBleG1sLnhtbFBLBQYAAAAABgAGAFsB&#10;AAC2AwAAAAA=&#10;">
                    <v:fill on="t" opacity="0f" focussize="0,0"/>
                    <v:stroke on="f"/>
                    <v:imagedata o:title=""/>
                    <o:lock v:ext="edit" aspectratio="t"/>
                    <v:textbox>
                      <w:txbxContent>
                        <w:p>
                          <w:pPr>
                            <w:pStyle w:val="421"/>
                            <w:rPr>
                              <w:b/>
                              <w:color w:val="FFFF00"/>
                            </w:rPr>
                          </w:pPr>
                          <w:r>
                            <w:rPr>
                              <w:rFonts w:hint="eastAsia"/>
                              <w:b/>
                              <w:color w:val="FFFF00"/>
                            </w:rPr>
                            <w:t>1km</w:t>
                          </w:r>
                        </w:p>
                      </w:txbxContent>
                    </v:textbox>
                  </v:shape>
                  <v:shape id="AutoShape 19" o:spid="_x0000_s1026" o:spt="32" type="#_x0000_t32" style="position:absolute;left:5604;top:5460;flip:y;height:1431;width:1656;" filled="f" stroked="t" coordsize="21600,21600" o:gfxdata="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PqnvQAA&#10;ANwAAAAPAAAAAAAAAAEAIAAAACIAAABkcnMvZG93bnJldi54bWxQSwECFAAUAAAACACHTuJAMy8F&#10;njsAAAA5AAAAEAAAAAAAAAABACAAAAAMAQAAZHJzL3NoYXBleG1sLnhtbFBLBQYAAAAABgAGAFsB&#10;AAC2AwAAAAA=&#10;">
                    <v:fill on="f" focussize="0,0"/>
                    <v:stroke color="#FFFF00" joinstyle="round" dashstyle="dash" startarrow="block" endarrow="block"/>
                    <v:imagedata o:title=""/>
                    <o:lock v:ext="edit" aspectratio="f"/>
                  </v:shape>
                  <v:shape id="AutoShape 20" o:spid="_x0000_s1026" o:spt="32" type="#_x0000_t32" style="position:absolute;left:4290;top:7340;flip:y;height:850;width:921;" filled="f" stroked="t" coordsize="21600,21600" o:gfxdata="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G8Xn&#10;wAAAANwAAAAPAAAAAAAAAAEAIAAAACIAAABkcnMvZG93bnJldi54bWxQSwECFAAUAAAACACHTuJA&#10;My8FnjsAAAA5AAAAEAAAAAAAAAABACAAAAAPAQAAZHJzL3NoYXBleG1sLnhtbFBLBQYAAAAABgAG&#10;AFsBAAC5AwAAAAA=&#10;">
                    <v:fill on="f" focussize="0,0"/>
                    <v:stroke color="#FFFF00" joinstyle="round" dashstyle="dash" startarrow="block" endarrow="block"/>
                    <v:imagedata o:title=""/>
                    <o:lock v:ext="edit" aspectratio="f"/>
                  </v:shape>
                  <v:shape id="AutoShape 21" o:spid="_x0000_s1026" o:spt="32" type="#_x0000_t32" style="position:absolute;left:5604;top:7270;flip:x y;height:920;width:827;" filled="f" stroked="t" coordsize="21600,21600" o:gfxdata="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F2CfLsAAADc&#10;AAAADwAAAAAAAAABACAAAAAiAAAAZHJzL2Rvd25yZXYueG1sUEsBAhQAFAAAAAgAh07iQDMvBZ47&#10;AAAAOQAAABAAAAAAAAAAAQAgAAAACgEAAGRycy9zaGFwZXhtbC54bWxQSwUGAAAAAAYABgBbAQAA&#10;tAMAAAAA&#10;">
                    <v:fill on="f" focussize="0,0"/>
                    <v:stroke color="#FFFF00" joinstyle="round" dashstyle="dash" startarrow="block" endarrow="block"/>
                    <v:imagedata o:title=""/>
                    <o:lock v:ext="edit" aspectratio="f"/>
                  </v:shape>
                  <v:shape id="AutoShape 22" o:spid="_x0000_s1026" o:spt="32" type="#_x0000_t32" style="position:absolute;left:4400;top:6148;flip:x y;height:750;width:811;" filled="f" stroked="t" coordsize="21600,21600" o:gfxdata="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8cC7sAAADc&#10;AAAADwAAAAAAAAABACAAAAAiAAAAZHJzL2Rvd25yZXYueG1sUEsBAhQAFAAAAAgAh07iQDMvBZ47&#10;AAAAOQAAABAAAAAAAAAAAQAgAAAACgEAAGRycy9zaGFwZXhtbC54bWxQSwUGAAAAAAYABgBbAQAA&#10;tAMAAAAA&#10;">
                    <v:fill on="f" focussize="0,0"/>
                    <v:stroke color="#FFFF00" joinstyle="round" dashstyle="dash" startarrow="block" endarrow="block"/>
                    <v:imagedata o:title=""/>
                    <o:lock v:ext="edit" aspectratio="f"/>
                  </v:shape>
                </v:group>
              </v:group>
            </w:pict>
          </mc:Fallback>
        </mc:AlternateContent>
      </w: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adjustRightInd w:val="0"/>
        <w:snapToGrid w:val="0"/>
        <w:spacing w:before="120" w:line="520" w:lineRule="exact"/>
        <w:textAlignment w:val="baseline"/>
        <w:rPr>
          <w:color w:val="auto"/>
          <w:kern w:val="0"/>
          <w:sz w:val="24"/>
          <w:szCs w:val="20"/>
        </w:rPr>
      </w:pPr>
    </w:p>
    <w:p>
      <w:pPr>
        <w:contextualSpacing/>
        <w:jc w:val="center"/>
        <w:textAlignment w:val="baseline"/>
        <w:rPr>
          <w:color w:val="auto"/>
          <w:kern w:val="0"/>
        </w:rPr>
      </w:pPr>
    </w:p>
    <w:p>
      <w:pPr>
        <w:contextualSpacing/>
        <w:jc w:val="center"/>
        <w:textAlignment w:val="baseline"/>
        <w:rPr>
          <w:color w:val="auto"/>
          <w:kern w:val="0"/>
        </w:rPr>
      </w:pP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eastAsia="黑体"/>
          <w:color w:val="auto"/>
          <w:sz w:val="24"/>
          <w:szCs w:val="20"/>
        </w:rPr>
      </w:pPr>
      <w:r>
        <w:rPr>
          <w:rFonts w:eastAsia="黑体"/>
          <w:color w:val="auto"/>
          <w:sz w:val="24"/>
          <w:szCs w:val="20"/>
        </w:rPr>
        <w:t>图5.5-4 本项目地下水调查评价范围示意图</w:t>
      </w:r>
    </w:p>
    <w:p>
      <w:pPr>
        <w:pStyle w:val="5"/>
        <w:spacing w:before="0" w:beforeLines="0" w:after="0" w:afterLines="0"/>
        <w:rPr>
          <w:color w:val="auto"/>
        </w:rPr>
      </w:pPr>
      <w:r>
        <w:rPr>
          <w:bCs w:val="0"/>
          <w:color w:val="auto"/>
          <w:kern w:val="21"/>
          <w:sz w:val="28"/>
          <w:szCs w:val="28"/>
        </w:rPr>
        <w:t>5.5.5预测因子及预测内容</w:t>
      </w:r>
    </w:p>
    <w:p>
      <w:pPr>
        <w:pStyle w:val="6"/>
        <w:spacing w:before="0" w:after="0" w:line="360" w:lineRule="auto"/>
        <w:rPr>
          <w:b w:val="0"/>
          <w:color w:val="auto"/>
          <w:sz w:val="24"/>
          <w:szCs w:val="24"/>
        </w:rPr>
      </w:pPr>
      <w:r>
        <w:rPr>
          <w:b w:val="0"/>
          <w:color w:val="auto"/>
          <w:sz w:val="24"/>
          <w:szCs w:val="24"/>
        </w:rPr>
        <w:t>5.5.5.1运营期正常工况地下水环境影响分析</w:t>
      </w:r>
    </w:p>
    <w:p>
      <w:pPr>
        <w:adjustRightInd w:val="0"/>
        <w:snapToGrid w:val="0"/>
        <w:spacing w:line="360" w:lineRule="auto"/>
        <w:ind w:firstLine="480" w:firstLineChars="200"/>
        <w:rPr>
          <w:color w:val="auto"/>
          <w:kern w:val="21"/>
          <w:sz w:val="24"/>
          <w:szCs w:val="24"/>
        </w:rPr>
      </w:pPr>
      <w:r>
        <w:rPr>
          <w:bCs/>
          <w:color w:val="auto"/>
          <w:kern w:val="21"/>
          <w:sz w:val="24"/>
          <w:szCs w:val="24"/>
        </w:rPr>
        <w:t>本项目正常运营情况下，</w:t>
      </w:r>
      <w:r>
        <w:rPr>
          <w:rFonts w:hint="eastAsia"/>
          <w:bCs/>
          <w:color w:val="auto"/>
          <w:kern w:val="21"/>
          <w:sz w:val="24"/>
          <w:szCs w:val="24"/>
          <w:lang w:eastAsia="zh-CN"/>
        </w:rPr>
        <w:t>项目生产废水（含地面废水）</w:t>
      </w:r>
      <w:r>
        <w:rPr>
          <w:rFonts w:hint="eastAsia"/>
          <w:bCs/>
          <w:color w:val="auto"/>
          <w:kern w:val="21"/>
          <w:sz w:val="24"/>
          <w:szCs w:val="22"/>
        </w:rPr>
        <w:t>经预处理后进入零排废水处理</w:t>
      </w:r>
      <w:r>
        <w:rPr>
          <w:rFonts w:hint="eastAsia"/>
          <w:bCs/>
          <w:color w:val="auto"/>
          <w:kern w:val="21"/>
          <w:sz w:val="24"/>
          <w:szCs w:val="22"/>
          <w:lang w:eastAsia="zh-CN"/>
        </w:rPr>
        <w:t>系统</w:t>
      </w:r>
      <w:r>
        <w:rPr>
          <w:rFonts w:hint="eastAsia"/>
          <w:bCs/>
          <w:color w:val="auto"/>
          <w:kern w:val="21"/>
          <w:sz w:val="24"/>
          <w:szCs w:val="22"/>
        </w:rPr>
        <w:t>，经处理后全部回用于生产</w:t>
      </w:r>
      <w:r>
        <w:rPr>
          <w:rFonts w:hint="eastAsia"/>
          <w:bCs/>
          <w:color w:val="auto"/>
          <w:kern w:val="21"/>
          <w:sz w:val="24"/>
          <w:szCs w:val="22"/>
          <w:lang w:eastAsia="zh-CN"/>
        </w:rPr>
        <w:t>线</w:t>
      </w:r>
      <w:r>
        <w:rPr>
          <w:rFonts w:hint="eastAsia"/>
          <w:bCs/>
          <w:color w:val="auto"/>
          <w:kern w:val="21"/>
          <w:sz w:val="24"/>
          <w:szCs w:val="22"/>
        </w:rPr>
        <w:t>，不外排。纯水制备及锅炉浓水、化粪池处理后的生活污水一同排入同盟污水处理厂</w:t>
      </w:r>
      <w:r>
        <w:rPr>
          <w:bCs/>
          <w:color w:val="auto"/>
          <w:kern w:val="21"/>
          <w:sz w:val="24"/>
          <w:szCs w:val="24"/>
        </w:rPr>
        <w:t>。厂区各场地均</w:t>
      </w:r>
      <w:r>
        <w:rPr>
          <w:rFonts w:hint="eastAsia"/>
          <w:bCs/>
          <w:color w:val="auto"/>
          <w:kern w:val="21"/>
          <w:sz w:val="24"/>
          <w:szCs w:val="24"/>
        </w:rPr>
        <w:t>进行了相应的</w:t>
      </w:r>
      <w:r>
        <w:rPr>
          <w:bCs/>
          <w:color w:val="auto"/>
          <w:kern w:val="21"/>
          <w:sz w:val="24"/>
          <w:szCs w:val="24"/>
        </w:rPr>
        <w:t>防腐、防渗措施及事故应急措施，正常工况条件下不会对地下水环境造成明显不利影响，不再对正常工况下进行预测。</w:t>
      </w:r>
    </w:p>
    <w:p>
      <w:pPr>
        <w:pStyle w:val="6"/>
        <w:spacing w:before="0" w:after="0" w:line="360" w:lineRule="auto"/>
        <w:rPr>
          <w:b w:val="0"/>
          <w:color w:val="auto"/>
          <w:sz w:val="24"/>
          <w:szCs w:val="24"/>
        </w:rPr>
      </w:pPr>
      <w:r>
        <w:rPr>
          <w:b w:val="0"/>
          <w:color w:val="auto"/>
          <w:sz w:val="24"/>
          <w:szCs w:val="24"/>
        </w:rPr>
        <w:t>5.5.5.2运营期非正常工况地下水环境影响分析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（1）事故情景设置</w:t>
      </w:r>
    </w:p>
    <w:p>
      <w:pPr>
        <w:adjustRightInd w:val="0"/>
        <w:snapToGrid w:val="0"/>
        <w:spacing w:line="360" w:lineRule="auto"/>
        <w:ind w:firstLine="480" w:firstLineChars="200"/>
        <w:rPr>
          <w:color w:val="auto"/>
          <w:kern w:val="21"/>
          <w:sz w:val="24"/>
          <w:szCs w:val="24"/>
        </w:rPr>
      </w:pPr>
      <w:r>
        <w:rPr>
          <w:color w:val="auto"/>
          <w:kern w:val="21"/>
          <w:sz w:val="24"/>
          <w:szCs w:val="24"/>
        </w:rPr>
        <w:t>本项目生产过程中产生的废水中含有重金属镍、锌、铬等污染物，这些污染物一旦进入地下水，会对地下水环境造成污染，为提前预知污染可能的运行途径及污染程度，必须对可能的污染进行预测分析，并提出污染防治措施。本项目各生产环节均可能对地下水环境造成污染，本着风险最大的原则，本次预测只针对污染风险较大的节点进行预测分析，并提出防治措施。</w:t>
      </w:r>
    </w:p>
    <w:p>
      <w:pPr>
        <w:adjustRightInd w:val="0"/>
        <w:snapToGrid w:val="0"/>
        <w:spacing w:line="360" w:lineRule="auto"/>
        <w:ind w:firstLine="480" w:firstLineChars="200"/>
        <w:rPr>
          <w:color w:val="auto"/>
          <w:kern w:val="21"/>
          <w:sz w:val="24"/>
          <w:szCs w:val="24"/>
        </w:rPr>
      </w:pPr>
      <w:r>
        <w:rPr>
          <w:color w:val="auto"/>
          <w:kern w:val="21"/>
          <w:sz w:val="24"/>
          <w:szCs w:val="24"/>
        </w:rPr>
        <w:t>如果是装置区或罐区等可视场所发生硬化面破损，即使有物料或污水等泄漏，建设单位能够及时采取措施，不可能任由物料或污水漫流渗漏，使其渗入地下水。因此，只在污水管道、污水站池体等地下/半地下非可视部位因腐蚀或硬化面破损等原因发生小面积渗漏时，可能有少量物料或污水通过漏点，逐步渗入包气带并可能进入地下水。</w:t>
      </w:r>
      <w:r>
        <w:rPr>
          <w:rFonts w:hint="eastAsia"/>
          <w:color w:val="auto"/>
          <w:kern w:val="21"/>
          <w:sz w:val="24"/>
          <w:szCs w:val="24"/>
        </w:rPr>
        <w:t>本项目污水处理站除事故池外所有污水处理设施均采用设备化安装，安装高度距地面约10cm，均为可视化安装。故可能发生泄漏对地下水造成影响的位置为污水处理站事故池</w:t>
      </w:r>
      <w:r>
        <w:rPr>
          <w:color w:val="auto"/>
          <w:kern w:val="21"/>
          <w:sz w:val="24"/>
          <w:szCs w:val="24"/>
        </w:rPr>
        <w:t>。因此综合以上分析，厂区溶质运移模拟以</w:t>
      </w:r>
      <w:r>
        <w:rPr>
          <w:rFonts w:hint="eastAsia"/>
          <w:color w:val="auto"/>
          <w:kern w:val="21"/>
          <w:sz w:val="24"/>
          <w:szCs w:val="24"/>
        </w:rPr>
        <w:t>事故池</w:t>
      </w:r>
      <w:r>
        <w:rPr>
          <w:color w:val="auto"/>
          <w:kern w:val="21"/>
          <w:sz w:val="24"/>
          <w:szCs w:val="24"/>
        </w:rPr>
        <w:t xml:space="preserve">底部防渗系统破裂废水泄漏进行预测。 </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（2）模拟条件概化</w:t>
      </w:r>
    </w:p>
    <w:p>
      <w:pPr>
        <w:adjustRightInd w:val="0"/>
        <w:snapToGrid w:val="0"/>
        <w:spacing w:line="360" w:lineRule="auto"/>
        <w:ind w:firstLine="480" w:firstLineChars="200"/>
        <w:rPr>
          <w:color w:val="auto"/>
          <w:kern w:val="21"/>
          <w:sz w:val="24"/>
          <w:szCs w:val="24"/>
        </w:rPr>
      </w:pPr>
      <w:r>
        <w:rPr>
          <w:color w:val="auto"/>
          <w:kern w:val="21"/>
          <w:sz w:val="24"/>
          <w:szCs w:val="24"/>
        </w:rPr>
        <w:t>非正常工况：污水处理站</w:t>
      </w:r>
      <w:r>
        <w:rPr>
          <w:rFonts w:hint="eastAsia"/>
          <w:color w:val="auto"/>
          <w:kern w:val="21"/>
          <w:sz w:val="24"/>
          <w:szCs w:val="24"/>
          <w:lang w:eastAsia="zh-CN"/>
        </w:rPr>
        <w:t>事故池</w:t>
      </w:r>
      <w:r>
        <w:rPr>
          <w:color w:val="auto"/>
          <w:kern w:val="21"/>
          <w:sz w:val="24"/>
          <w:szCs w:val="24"/>
        </w:rPr>
        <w:t>泄漏污染物污水在含水层中运移。</w:t>
      </w:r>
    </w:p>
    <w:p>
      <w:pPr>
        <w:adjustRightInd w:val="0"/>
        <w:snapToGrid w:val="0"/>
        <w:spacing w:line="360" w:lineRule="auto"/>
        <w:ind w:firstLine="480" w:firstLineChars="200"/>
        <w:rPr>
          <w:color w:val="auto"/>
          <w:kern w:val="21"/>
          <w:sz w:val="24"/>
          <w:szCs w:val="24"/>
        </w:rPr>
      </w:pPr>
      <w:r>
        <w:rPr>
          <w:color w:val="auto"/>
          <w:kern w:val="21"/>
          <w:sz w:val="24"/>
          <w:szCs w:val="24"/>
        </w:rPr>
        <w:t>本次模拟将污水处理站</w:t>
      </w:r>
      <w:r>
        <w:rPr>
          <w:rFonts w:hint="eastAsia"/>
          <w:color w:val="auto"/>
          <w:kern w:val="21"/>
          <w:sz w:val="24"/>
          <w:szCs w:val="24"/>
          <w:lang w:eastAsia="zh-CN"/>
        </w:rPr>
        <w:t>事故池</w:t>
      </w:r>
      <w:r>
        <w:rPr>
          <w:color w:val="auto"/>
          <w:kern w:val="21"/>
          <w:sz w:val="24"/>
          <w:szCs w:val="24"/>
        </w:rPr>
        <w:t xml:space="preserve">设置为点源浓度边界，污染源位置按实际位置概化。由于污染物在地下水系统中的迁移转化过程十分复杂，包括扩散、吸附、解吸、化学反应及生物降解等作用，这些作用都可能会对污染物在地下水系统的运移造成影响。本次预测本着风险最大原则，只考虑污染物在地下水系统中的对流、弥散作用，不考虑地层的吸附、解吸作用，不考虑化学反应及生物降解等作用，同时，不考虑包气带的阻滞作用。 </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（3）预测因子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根据项目工程分析，本次地下水预测选取COD（耗氧量）、氨氮、总锌、铬（六价）、总镍作为预测因子。</w:t>
      </w:r>
    </w:p>
    <w:p>
      <w:pPr>
        <w:pStyle w:val="5"/>
        <w:spacing w:before="0" w:beforeLines="0" w:after="0" w:afterLines="0"/>
        <w:rPr>
          <w:bCs w:val="0"/>
          <w:color w:val="auto"/>
          <w:kern w:val="21"/>
          <w:sz w:val="28"/>
          <w:szCs w:val="28"/>
        </w:rPr>
      </w:pPr>
      <w:r>
        <w:rPr>
          <w:bCs w:val="0"/>
          <w:color w:val="auto"/>
          <w:kern w:val="21"/>
          <w:sz w:val="28"/>
          <w:szCs w:val="28"/>
        </w:rPr>
        <w:t>5.5.6预测模型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本项目采用地下水溶质运移解析法中的一维稳定流动一维水动力弥散模式进行预测及评价，预测模型如下：</w:t>
      </w:r>
    </w:p>
    <w:p>
      <w:pPr>
        <w:spacing w:line="360" w:lineRule="auto"/>
        <w:jc w:val="center"/>
        <w:rPr>
          <w:color w:val="auto"/>
          <w:position w:val="-24"/>
          <w:sz w:val="24"/>
          <w:szCs w:val="24"/>
        </w:rPr>
      </w:pPr>
      <w:r>
        <w:rPr>
          <w:color w:val="auto"/>
          <w:position w:val="-24"/>
          <w:sz w:val="24"/>
          <w:szCs w:val="28"/>
        </w:rPr>
        <w:drawing>
          <wp:inline distT="0" distB="0" distL="0" distR="0">
            <wp:extent cx="2584450" cy="548640"/>
            <wp:effectExtent l="0" t="0" r="6350" b="3810"/>
            <wp:docPr id="79" name="图片 94" descr="说明: C:/Users/ADMINI~1/AppData/Local/Temp/picturecompress_20210205153422/output_210.pngoutput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4" descr="说明: C:/Users/ADMINI~1/AppData/Local/Temp/picturecompress_20210205153422/output_210.pngoutput_210"/>
                    <pic:cNvPicPr>
                      <a:picLocks noChangeAspect="1" noChangeArrowheads="1"/>
                    </pic:cNvPicPr>
                  </pic:nvPicPr>
                  <pic:blipFill>
                    <a:blip r:embed="rId128"/>
                    <a:srcRect/>
                    <a:stretch>
                      <a:fillRect/>
                    </a:stretch>
                  </pic:blipFill>
                  <pic:spPr>
                    <a:xfrm>
                      <a:off x="0" y="0"/>
                      <a:ext cx="2584450" cy="548640"/>
                    </a:xfrm>
                    <a:prstGeom prst="rect">
                      <a:avLst/>
                    </a:prstGeom>
                    <a:noFill/>
                    <a:ln>
                      <a:noFill/>
                    </a:ln>
                  </pic:spPr>
                </pic:pic>
              </a:graphicData>
            </a:graphic>
          </wp:inline>
        </w:drawing>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式中：x—距注入点的距离，m；</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t—时间，d；</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C（x,t）—t时刻x处的示踪剂浓度，g/L；</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C</w:t>
      </w:r>
      <w:r>
        <w:rPr>
          <w:color w:val="auto"/>
          <w:kern w:val="0"/>
          <w:sz w:val="24"/>
          <w:szCs w:val="20"/>
          <w:vertAlign w:val="subscript"/>
        </w:rPr>
        <w:t>0</w:t>
      </w:r>
      <w:r>
        <w:rPr>
          <w:color w:val="auto"/>
          <w:kern w:val="0"/>
          <w:sz w:val="24"/>
          <w:szCs w:val="20"/>
        </w:rPr>
        <w:t>—注入的示踪剂浓度，g/L；</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u—水流速度，m/d；</w:t>
      </w:r>
    </w:p>
    <w:p>
      <w:pPr>
        <w:adjustRightInd w:val="0"/>
        <w:snapToGrid w:val="0"/>
        <w:spacing w:line="360" w:lineRule="auto"/>
        <w:ind w:firstLine="1200" w:firstLineChars="500"/>
        <w:textAlignment w:val="baseline"/>
        <w:rPr>
          <w:color w:val="auto"/>
          <w:kern w:val="0"/>
          <w:sz w:val="24"/>
          <w:szCs w:val="20"/>
        </w:rPr>
      </w:pPr>
      <w:r>
        <w:rPr>
          <w:color w:val="auto"/>
          <w:kern w:val="0"/>
          <w:sz w:val="24"/>
          <w:szCs w:val="20"/>
        </w:rPr>
        <w:t>D</w:t>
      </w:r>
      <w:r>
        <w:rPr>
          <w:color w:val="auto"/>
          <w:kern w:val="0"/>
          <w:sz w:val="24"/>
          <w:szCs w:val="20"/>
          <w:vertAlign w:val="subscript"/>
        </w:rPr>
        <w:t>L</w:t>
      </w:r>
      <w:r>
        <w:rPr>
          <w:color w:val="auto"/>
          <w:kern w:val="0"/>
          <w:sz w:val="24"/>
          <w:szCs w:val="20"/>
        </w:rPr>
        <w:t>—纵向弥散系数，m</w:t>
      </w:r>
      <w:r>
        <w:rPr>
          <w:color w:val="auto"/>
          <w:kern w:val="0"/>
          <w:sz w:val="24"/>
          <w:szCs w:val="20"/>
          <w:vertAlign w:val="superscript"/>
        </w:rPr>
        <w:t>2</w:t>
      </w:r>
      <w:r>
        <w:rPr>
          <w:color w:val="auto"/>
          <w:kern w:val="0"/>
          <w:sz w:val="24"/>
          <w:szCs w:val="20"/>
        </w:rPr>
        <w:t>/d；</w:t>
      </w:r>
    </w:p>
    <w:p>
      <w:pPr>
        <w:adjustRightInd w:val="0"/>
        <w:snapToGrid w:val="0"/>
        <w:spacing w:line="360" w:lineRule="auto"/>
        <w:ind w:firstLine="1080" w:firstLineChars="450"/>
        <w:textAlignment w:val="baseline"/>
        <w:rPr>
          <w:color w:val="auto"/>
          <w:kern w:val="0"/>
          <w:sz w:val="24"/>
          <w:szCs w:val="20"/>
        </w:rPr>
      </w:pPr>
      <w:r>
        <w:rPr>
          <w:color w:val="auto"/>
          <w:kern w:val="0"/>
          <w:sz w:val="24"/>
          <w:szCs w:val="20"/>
        </w:rPr>
        <w:t>erfc( )—余误差函数。</w:t>
      </w:r>
    </w:p>
    <w:p>
      <w:pPr>
        <w:adjustRightInd w:val="0"/>
        <w:snapToGrid w:val="0"/>
        <w:spacing w:line="520" w:lineRule="exact"/>
        <w:textAlignment w:val="baseline"/>
        <w:rPr>
          <w:color w:val="auto"/>
          <w:kern w:val="0"/>
          <w:sz w:val="24"/>
          <w:szCs w:val="20"/>
        </w:rPr>
      </w:pPr>
      <w:r>
        <w:rPr>
          <w:color w:val="auto"/>
          <w:kern w:val="0"/>
          <w:sz w:val="24"/>
          <w:szCs w:val="20"/>
        </w:rPr>
        <w:t>5.5.6.1参数确定</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（1）注入的示踪剂浓度：本次评价按最不利原则，取厂区污水处理设施污染物浓度最大</w:t>
      </w:r>
      <w:r>
        <w:rPr>
          <w:rFonts w:hint="eastAsia"/>
          <w:color w:val="auto"/>
          <w:kern w:val="0"/>
          <w:sz w:val="24"/>
          <w:szCs w:val="20"/>
        </w:rPr>
        <w:t>值</w:t>
      </w:r>
      <w:r>
        <w:rPr>
          <w:color w:val="auto"/>
          <w:kern w:val="0"/>
          <w:sz w:val="24"/>
          <w:szCs w:val="20"/>
        </w:rPr>
        <w:t>进行预测，由于COD值为耗氧量的2.7倍（参照文献《TOC与高锰酸盐指数</w:t>
      </w:r>
      <w:r>
        <w:rPr>
          <w:rFonts w:hint="eastAsia"/>
          <w:color w:val="auto"/>
          <w:kern w:val="0"/>
          <w:sz w:val="24"/>
          <w:szCs w:val="20"/>
          <w:lang w:eastAsia="zh-CN"/>
        </w:rPr>
        <w:t>（</w:t>
      </w:r>
      <w:r>
        <w:rPr>
          <w:color w:val="auto"/>
          <w:kern w:val="0"/>
          <w:sz w:val="24"/>
          <w:szCs w:val="20"/>
        </w:rPr>
        <w:t>COD，Mn</w:t>
      </w:r>
      <w:r>
        <w:rPr>
          <w:rFonts w:hint="eastAsia"/>
          <w:color w:val="auto"/>
          <w:kern w:val="0"/>
          <w:sz w:val="24"/>
          <w:szCs w:val="20"/>
          <w:lang w:eastAsia="zh-CN"/>
        </w:rPr>
        <w:t>）</w:t>
      </w:r>
      <w:r>
        <w:rPr>
          <w:color w:val="auto"/>
          <w:kern w:val="0"/>
          <w:sz w:val="24"/>
          <w:szCs w:val="20"/>
        </w:rPr>
        <w:t>及CODcr的相关关系》）</w:t>
      </w:r>
      <w:r>
        <w:rPr>
          <w:b/>
          <w:bCs/>
          <w:color w:val="auto"/>
          <w:kern w:val="0"/>
          <w:sz w:val="24"/>
          <w:szCs w:val="20"/>
          <w:u w:val="single"/>
        </w:rPr>
        <w:t>，即耗氧量</w:t>
      </w:r>
      <w:r>
        <w:rPr>
          <w:rFonts w:hint="eastAsia"/>
          <w:b/>
          <w:bCs/>
          <w:color w:val="auto"/>
          <w:kern w:val="0"/>
          <w:sz w:val="24"/>
          <w:szCs w:val="20"/>
          <w:u w:val="single"/>
          <w:lang w:val="en-US" w:eastAsia="zh-CN"/>
        </w:rPr>
        <w:t>195.93</w:t>
      </w:r>
      <w:r>
        <w:rPr>
          <w:b/>
          <w:bCs/>
          <w:color w:val="auto"/>
          <w:kern w:val="0"/>
          <w:sz w:val="24"/>
          <w:szCs w:val="20"/>
          <w:u w:val="single"/>
        </w:rPr>
        <w:t>mg/L、NH</w:t>
      </w:r>
      <w:r>
        <w:rPr>
          <w:b/>
          <w:bCs/>
          <w:color w:val="auto"/>
          <w:kern w:val="0"/>
          <w:sz w:val="24"/>
          <w:szCs w:val="20"/>
          <w:u w:val="single"/>
          <w:vertAlign w:val="subscript"/>
        </w:rPr>
        <w:t>3</w:t>
      </w:r>
      <w:r>
        <w:rPr>
          <w:b/>
          <w:bCs/>
          <w:color w:val="auto"/>
          <w:kern w:val="0"/>
          <w:sz w:val="24"/>
          <w:szCs w:val="20"/>
          <w:u w:val="single"/>
        </w:rPr>
        <w:t xml:space="preserve">-N </w:t>
      </w:r>
      <w:r>
        <w:rPr>
          <w:rFonts w:hint="eastAsia"/>
          <w:b/>
          <w:bCs/>
          <w:color w:val="auto"/>
          <w:kern w:val="0"/>
          <w:sz w:val="24"/>
          <w:szCs w:val="20"/>
          <w:u w:val="single"/>
        </w:rPr>
        <w:t>21.25</w:t>
      </w:r>
      <w:r>
        <w:rPr>
          <w:b/>
          <w:bCs/>
          <w:color w:val="auto"/>
          <w:kern w:val="0"/>
          <w:sz w:val="24"/>
          <w:szCs w:val="20"/>
          <w:u w:val="single"/>
        </w:rPr>
        <w:t>mg/L、总镍100mg/L、铬（六价）</w:t>
      </w:r>
      <w:r>
        <w:rPr>
          <w:rFonts w:hint="eastAsia"/>
          <w:b/>
          <w:bCs/>
          <w:color w:val="auto"/>
          <w:kern w:val="0"/>
          <w:sz w:val="24"/>
          <w:szCs w:val="20"/>
          <w:u w:val="single"/>
        </w:rPr>
        <w:t>200</w:t>
      </w:r>
      <w:r>
        <w:rPr>
          <w:b/>
          <w:bCs/>
          <w:color w:val="auto"/>
          <w:kern w:val="0"/>
          <w:sz w:val="24"/>
          <w:szCs w:val="20"/>
          <w:u w:val="single"/>
        </w:rPr>
        <w:t>mg/L、总锌50mg/L</w:t>
      </w:r>
      <w:r>
        <w:rPr>
          <w:rFonts w:hint="eastAsia"/>
          <w:b/>
          <w:bCs/>
          <w:color w:val="auto"/>
          <w:kern w:val="0"/>
          <w:sz w:val="24"/>
          <w:szCs w:val="20"/>
          <w:u w:val="single"/>
          <w:lang w:eastAsia="zh-CN"/>
        </w:rPr>
        <w:t>。</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（2）地下水流速：地下水实际流速的确定按下列方法取得：</w:t>
      </w:r>
    </w:p>
    <w:p>
      <w:pPr>
        <w:spacing w:line="360" w:lineRule="auto"/>
        <w:jc w:val="center"/>
        <w:rPr>
          <w:color w:val="auto"/>
          <w:position w:val="-24"/>
          <w:sz w:val="24"/>
          <w:szCs w:val="28"/>
        </w:rPr>
      </w:pPr>
      <w:r>
        <w:rPr>
          <w:color w:val="auto"/>
          <w:position w:val="-24"/>
          <w:sz w:val="24"/>
          <w:szCs w:val="28"/>
        </w:rPr>
        <w:t>U=K×I/n</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其中：U—地下水实际流速，m/d；</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K—渗透系数，m/d；</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I—水力坡度；</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n—孔隙度；</w:t>
      </w:r>
    </w:p>
    <w:p>
      <w:pPr>
        <w:adjustRightInd w:val="0"/>
        <w:snapToGrid w:val="0"/>
        <w:spacing w:line="360" w:lineRule="auto"/>
        <w:ind w:firstLine="480" w:firstLineChars="200"/>
        <w:textAlignment w:val="baseline"/>
        <w:rPr>
          <w:color w:val="auto"/>
          <w:kern w:val="0"/>
          <w:sz w:val="24"/>
          <w:szCs w:val="20"/>
          <w:highlight w:val="none"/>
        </w:rPr>
      </w:pPr>
      <w:r>
        <w:rPr>
          <w:color w:val="auto"/>
          <w:kern w:val="0"/>
          <w:sz w:val="24"/>
          <w:szCs w:val="20"/>
        </w:rPr>
        <w:t>项目区地下水含水层岩性主要为粉质粘土</w:t>
      </w:r>
      <w:r>
        <w:rPr>
          <w:rFonts w:hint="eastAsia"/>
          <w:color w:val="auto"/>
          <w:kern w:val="0"/>
          <w:sz w:val="24"/>
          <w:szCs w:val="20"/>
          <w:lang w:eastAsia="zh-CN"/>
        </w:rPr>
        <w:t>（</w:t>
      </w:r>
      <w:r>
        <w:rPr>
          <w:rFonts w:hint="eastAsia"/>
          <w:color w:val="auto"/>
          <w:kern w:val="0"/>
          <w:sz w:val="24"/>
          <w:szCs w:val="20"/>
          <w:lang w:val="en-US" w:eastAsia="zh-CN"/>
        </w:rPr>
        <w:t>亚粘土</w:t>
      </w:r>
      <w:r>
        <w:rPr>
          <w:rFonts w:hint="eastAsia"/>
          <w:color w:val="auto"/>
          <w:kern w:val="0"/>
          <w:sz w:val="24"/>
          <w:szCs w:val="20"/>
          <w:lang w:eastAsia="zh-CN"/>
        </w:rPr>
        <w:t>）</w:t>
      </w:r>
      <w:r>
        <w:rPr>
          <w:color w:val="auto"/>
          <w:kern w:val="0"/>
          <w:sz w:val="24"/>
          <w:szCs w:val="20"/>
        </w:rPr>
        <w:t>，常见渗透系数表见附录B表B1；按照最不利原则，根据《环境影响评价技术导则地下水环境》（HJ610-2016）附录</w:t>
      </w:r>
      <w:r>
        <w:rPr>
          <w:color w:val="auto"/>
          <w:kern w:val="0"/>
          <w:sz w:val="24"/>
          <w:szCs w:val="20"/>
          <w:highlight w:val="none"/>
        </w:rPr>
        <w:t>B取值为</w:t>
      </w:r>
      <w:r>
        <w:rPr>
          <w:rFonts w:hint="eastAsia"/>
          <w:color w:val="auto"/>
          <w:kern w:val="0"/>
          <w:sz w:val="24"/>
          <w:szCs w:val="20"/>
          <w:highlight w:val="none"/>
          <w:lang w:val="en-US" w:eastAsia="zh-CN"/>
        </w:rPr>
        <w:t>0.25</w:t>
      </w:r>
      <w:r>
        <w:rPr>
          <w:color w:val="auto"/>
          <w:kern w:val="0"/>
          <w:sz w:val="24"/>
          <w:szCs w:val="20"/>
          <w:highlight w:val="none"/>
        </w:rPr>
        <w:t>m/d；</w:t>
      </w:r>
    </w:p>
    <w:p>
      <w:pPr>
        <w:adjustRightInd w:val="0"/>
        <w:snapToGrid w:val="0"/>
        <w:spacing w:line="360" w:lineRule="auto"/>
        <w:ind w:firstLine="480" w:firstLineChars="200"/>
        <w:textAlignment w:val="baseline"/>
        <w:rPr>
          <w:color w:val="auto"/>
          <w:kern w:val="0"/>
          <w:sz w:val="24"/>
          <w:szCs w:val="20"/>
          <w:highlight w:val="none"/>
        </w:rPr>
      </w:pPr>
      <w:r>
        <w:rPr>
          <w:color w:val="auto"/>
          <w:kern w:val="0"/>
          <w:sz w:val="24"/>
          <w:szCs w:val="20"/>
          <w:highlight w:val="none"/>
        </w:rPr>
        <w:t>根据区域村庄水平距离和地下水水面高程差进行计算得出水力坡度为</w:t>
      </w:r>
      <w:r>
        <w:rPr>
          <w:color w:val="auto"/>
          <w:sz w:val="24"/>
          <w:szCs w:val="20"/>
          <w:highlight w:val="none"/>
        </w:rPr>
        <w:t>0.0085</w:t>
      </w:r>
      <w:r>
        <w:rPr>
          <w:color w:val="auto"/>
          <w:kern w:val="0"/>
          <w:sz w:val="24"/>
          <w:szCs w:val="20"/>
          <w:highlight w:val="none"/>
        </w:rPr>
        <w:t>；项目区含水层岩性主要为粉质粘土，孔隙度取经验值</w:t>
      </w:r>
      <w:r>
        <w:rPr>
          <w:rFonts w:hint="eastAsia"/>
          <w:color w:val="auto"/>
          <w:kern w:val="0"/>
          <w:sz w:val="24"/>
          <w:szCs w:val="20"/>
          <w:highlight w:val="none"/>
          <w:lang w:val="en-US" w:eastAsia="zh-CN"/>
        </w:rPr>
        <w:t>0.4</w:t>
      </w:r>
      <w:r>
        <w:rPr>
          <w:color w:val="auto"/>
          <w:kern w:val="0"/>
          <w:sz w:val="24"/>
          <w:szCs w:val="20"/>
          <w:highlight w:val="none"/>
        </w:rPr>
        <w:t>，不同地质孔隙度经验值一览表见下表。</w:t>
      </w:r>
    </w:p>
    <w:p>
      <w:pPr>
        <w:spacing w:before="240" w:beforeLines="100" w:after="120" w:afterLines="50"/>
        <w:ind w:firstLine="480" w:firstLineChars="200"/>
        <w:jc w:val="both"/>
        <w:rPr>
          <w:rFonts w:eastAsia="黑体"/>
          <w:color w:val="auto"/>
          <w:sz w:val="24"/>
          <w:szCs w:val="24"/>
          <w:highlight w:val="none"/>
        </w:rPr>
      </w:pPr>
      <w:r>
        <w:rPr>
          <w:rFonts w:eastAsia="黑体"/>
          <w:color w:val="auto"/>
          <w:sz w:val="24"/>
          <w:szCs w:val="24"/>
          <w:highlight w:val="none"/>
        </w:rPr>
        <w:t>表5.5-4  孔隙度经验值一览表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698"/>
        <w:gridCol w:w="1526"/>
        <w:gridCol w:w="1418"/>
        <w:gridCol w:w="1419"/>
        <w:gridCol w:w="1277"/>
        <w:gridCol w:w="119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99" w:hRule="atLeast"/>
          <w:jc w:val="center"/>
        </w:trPr>
        <w:tc>
          <w:tcPr>
            <w:tcW w:w="1700" w:type="dxa"/>
            <w:vAlign w:val="center"/>
          </w:tcPr>
          <w:p>
            <w:pPr>
              <w:jc w:val="center"/>
              <w:rPr>
                <w:b/>
                <w:color w:val="auto"/>
                <w:szCs w:val="20"/>
                <w:highlight w:val="none"/>
              </w:rPr>
            </w:pPr>
            <w:r>
              <w:rPr>
                <w:b/>
                <w:color w:val="auto"/>
                <w:szCs w:val="20"/>
                <w:highlight w:val="none"/>
              </w:rPr>
              <w:t>岩石名称</w:t>
            </w:r>
          </w:p>
        </w:tc>
        <w:tc>
          <w:tcPr>
            <w:tcW w:w="1527" w:type="dxa"/>
            <w:vAlign w:val="center"/>
          </w:tcPr>
          <w:p>
            <w:pPr>
              <w:jc w:val="center"/>
              <w:rPr>
                <w:b/>
                <w:color w:val="auto"/>
                <w:szCs w:val="20"/>
                <w:highlight w:val="none"/>
              </w:rPr>
            </w:pPr>
            <w:r>
              <w:rPr>
                <w:b/>
                <w:color w:val="auto"/>
                <w:szCs w:val="20"/>
                <w:highlight w:val="none"/>
              </w:rPr>
              <w:t>砾石（粗）</w:t>
            </w:r>
          </w:p>
        </w:tc>
        <w:tc>
          <w:tcPr>
            <w:tcW w:w="1418" w:type="dxa"/>
            <w:vAlign w:val="center"/>
          </w:tcPr>
          <w:p>
            <w:pPr>
              <w:jc w:val="center"/>
              <w:rPr>
                <w:b/>
                <w:color w:val="auto"/>
                <w:szCs w:val="20"/>
                <w:highlight w:val="none"/>
              </w:rPr>
            </w:pPr>
            <w:r>
              <w:rPr>
                <w:b/>
                <w:color w:val="auto"/>
                <w:szCs w:val="20"/>
                <w:highlight w:val="none"/>
              </w:rPr>
              <w:t>砾石（细）</w:t>
            </w:r>
          </w:p>
        </w:tc>
        <w:tc>
          <w:tcPr>
            <w:tcW w:w="1419" w:type="dxa"/>
            <w:vAlign w:val="center"/>
          </w:tcPr>
          <w:p>
            <w:pPr>
              <w:jc w:val="center"/>
              <w:rPr>
                <w:b/>
                <w:color w:val="auto"/>
                <w:szCs w:val="20"/>
                <w:highlight w:val="none"/>
              </w:rPr>
            </w:pPr>
            <w:r>
              <w:rPr>
                <w:b/>
                <w:color w:val="auto"/>
                <w:szCs w:val="20"/>
                <w:highlight w:val="none"/>
              </w:rPr>
              <w:t>砂（粗）</w:t>
            </w:r>
          </w:p>
        </w:tc>
        <w:tc>
          <w:tcPr>
            <w:tcW w:w="1277" w:type="dxa"/>
            <w:vAlign w:val="center"/>
          </w:tcPr>
          <w:p>
            <w:pPr>
              <w:jc w:val="center"/>
              <w:rPr>
                <w:b/>
                <w:color w:val="auto"/>
                <w:szCs w:val="20"/>
                <w:highlight w:val="none"/>
              </w:rPr>
            </w:pPr>
            <w:r>
              <w:rPr>
                <w:b/>
                <w:color w:val="auto"/>
                <w:szCs w:val="20"/>
                <w:highlight w:val="none"/>
              </w:rPr>
              <w:t>砂（细）</w:t>
            </w:r>
          </w:p>
        </w:tc>
        <w:tc>
          <w:tcPr>
            <w:tcW w:w="1191" w:type="dxa"/>
            <w:vAlign w:val="center"/>
          </w:tcPr>
          <w:p>
            <w:pPr>
              <w:jc w:val="center"/>
              <w:rPr>
                <w:b/>
                <w:color w:val="auto"/>
                <w:szCs w:val="20"/>
                <w:highlight w:val="none"/>
              </w:rPr>
            </w:pPr>
            <w:r>
              <w:rPr>
                <w:b/>
                <w:color w:val="auto"/>
                <w:szCs w:val="20"/>
                <w:highlight w:val="none"/>
              </w:rPr>
              <w:t>黏土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69" w:hRule="atLeast"/>
          <w:jc w:val="center"/>
        </w:trPr>
        <w:tc>
          <w:tcPr>
            <w:tcW w:w="1700" w:type="dxa"/>
            <w:vAlign w:val="center"/>
          </w:tcPr>
          <w:p>
            <w:pPr>
              <w:contextualSpacing/>
              <w:jc w:val="center"/>
              <w:textAlignment w:val="baseline"/>
              <w:rPr>
                <w:color w:val="auto"/>
                <w:kern w:val="0"/>
                <w:highlight w:val="none"/>
              </w:rPr>
            </w:pPr>
            <w:r>
              <w:rPr>
                <w:color w:val="auto"/>
                <w:kern w:val="0"/>
                <w:highlight w:val="none"/>
              </w:rPr>
              <w:t>孔隙度变化区间</w:t>
            </w:r>
          </w:p>
        </w:tc>
        <w:tc>
          <w:tcPr>
            <w:tcW w:w="1527" w:type="dxa"/>
            <w:vAlign w:val="center"/>
          </w:tcPr>
          <w:p>
            <w:pPr>
              <w:contextualSpacing/>
              <w:jc w:val="center"/>
              <w:textAlignment w:val="baseline"/>
              <w:rPr>
                <w:color w:val="auto"/>
                <w:kern w:val="0"/>
                <w:highlight w:val="none"/>
              </w:rPr>
            </w:pPr>
            <w:r>
              <w:rPr>
                <w:color w:val="auto"/>
                <w:kern w:val="0"/>
                <w:highlight w:val="none"/>
              </w:rPr>
              <w:t>24%-36%</w:t>
            </w:r>
          </w:p>
        </w:tc>
        <w:tc>
          <w:tcPr>
            <w:tcW w:w="1418" w:type="dxa"/>
            <w:vAlign w:val="center"/>
          </w:tcPr>
          <w:p>
            <w:pPr>
              <w:contextualSpacing/>
              <w:jc w:val="center"/>
              <w:textAlignment w:val="baseline"/>
              <w:rPr>
                <w:color w:val="auto"/>
                <w:kern w:val="0"/>
                <w:highlight w:val="none"/>
              </w:rPr>
            </w:pPr>
            <w:r>
              <w:rPr>
                <w:color w:val="auto"/>
                <w:kern w:val="0"/>
                <w:highlight w:val="none"/>
              </w:rPr>
              <w:t>25%-38%</w:t>
            </w:r>
          </w:p>
        </w:tc>
        <w:tc>
          <w:tcPr>
            <w:tcW w:w="1419" w:type="dxa"/>
            <w:vAlign w:val="center"/>
          </w:tcPr>
          <w:p>
            <w:pPr>
              <w:contextualSpacing/>
              <w:jc w:val="center"/>
              <w:textAlignment w:val="baseline"/>
              <w:rPr>
                <w:color w:val="auto"/>
                <w:kern w:val="0"/>
                <w:highlight w:val="none"/>
              </w:rPr>
            </w:pPr>
            <w:r>
              <w:rPr>
                <w:color w:val="auto"/>
                <w:kern w:val="0"/>
                <w:highlight w:val="none"/>
              </w:rPr>
              <w:t>31%-46%</w:t>
            </w:r>
          </w:p>
        </w:tc>
        <w:tc>
          <w:tcPr>
            <w:tcW w:w="1277" w:type="dxa"/>
            <w:vAlign w:val="center"/>
          </w:tcPr>
          <w:p>
            <w:pPr>
              <w:contextualSpacing/>
              <w:jc w:val="center"/>
              <w:textAlignment w:val="baseline"/>
              <w:rPr>
                <w:color w:val="auto"/>
                <w:kern w:val="0"/>
                <w:highlight w:val="none"/>
              </w:rPr>
            </w:pPr>
            <w:r>
              <w:rPr>
                <w:color w:val="auto"/>
                <w:kern w:val="0"/>
                <w:highlight w:val="none"/>
              </w:rPr>
              <w:t>26%-53%</w:t>
            </w:r>
          </w:p>
        </w:tc>
        <w:tc>
          <w:tcPr>
            <w:tcW w:w="1191" w:type="dxa"/>
            <w:vAlign w:val="center"/>
          </w:tcPr>
          <w:p>
            <w:pPr>
              <w:contextualSpacing/>
              <w:jc w:val="center"/>
              <w:textAlignment w:val="baseline"/>
              <w:rPr>
                <w:color w:val="auto"/>
                <w:kern w:val="0"/>
                <w:highlight w:val="none"/>
              </w:rPr>
            </w:pPr>
            <w:r>
              <w:rPr>
                <w:color w:val="auto"/>
                <w:kern w:val="0"/>
                <w:highlight w:val="none"/>
              </w:rPr>
              <w:t>34%-60%</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baseline"/>
        <w:rPr>
          <w:rFonts w:hint="default" w:eastAsia="宋体"/>
          <w:color w:val="auto"/>
          <w:kern w:val="0"/>
          <w:sz w:val="24"/>
          <w:szCs w:val="20"/>
          <w:highlight w:val="none"/>
          <w:lang w:val="en-US" w:eastAsia="zh-CN"/>
        </w:rPr>
      </w:pPr>
      <w:r>
        <w:rPr>
          <w:color w:val="auto"/>
          <w:kern w:val="0"/>
          <w:sz w:val="24"/>
          <w:szCs w:val="20"/>
          <w:highlight w:val="none"/>
        </w:rPr>
        <w:t>综上，可计算得出地下水流速为0.0</w:t>
      </w:r>
      <w:r>
        <w:rPr>
          <w:rFonts w:hint="eastAsia"/>
          <w:color w:val="auto"/>
          <w:kern w:val="0"/>
          <w:sz w:val="24"/>
          <w:szCs w:val="20"/>
          <w:highlight w:val="none"/>
          <w:lang w:val="en-US" w:eastAsia="zh-CN"/>
        </w:rPr>
        <w:t>053</w:t>
      </w:r>
      <w:r>
        <w:rPr>
          <w:color w:val="auto"/>
          <w:kern w:val="0"/>
          <w:sz w:val="24"/>
          <w:szCs w:val="20"/>
          <w:highlight w:val="none"/>
        </w:rPr>
        <w:t>m/d。</w:t>
      </w:r>
    </w:p>
    <w:p>
      <w:pPr>
        <w:adjustRightInd w:val="0"/>
        <w:snapToGrid w:val="0"/>
        <w:spacing w:line="360" w:lineRule="auto"/>
        <w:ind w:firstLine="480" w:firstLineChars="200"/>
        <w:textAlignment w:val="baseline"/>
        <w:rPr>
          <w:snapToGrid w:val="0"/>
          <w:color w:val="auto"/>
          <w:kern w:val="0"/>
          <w:sz w:val="24"/>
          <w:szCs w:val="20"/>
          <w:highlight w:val="none"/>
        </w:rPr>
      </w:pPr>
      <w:r>
        <w:rPr>
          <w:color w:val="auto"/>
          <w:kern w:val="0"/>
          <w:sz w:val="24"/>
          <w:szCs w:val="20"/>
          <w:highlight w:val="none"/>
        </w:rPr>
        <w:t>（3）</w:t>
      </w:r>
      <w:r>
        <w:rPr>
          <w:snapToGrid w:val="0"/>
          <w:color w:val="auto"/>
          <w:kern w:val="0"/>
          <w:sz w:val="24"/>
          <w:szCs w:val="20"/>
          <w:highlight w:val="none"/>
        </w:rPr>
        <w:t>弥散系数</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纵向弥散系数是表征流动水体中污染物在沿水流方向（或纵向）弥散的速率系数，本项目含水层地质沉积类型为粉质粘土。</w:t>
      </w:r>
      <w:r>
        <w:rPr>
          <w:rFonts w:hint="eastAsia"/>
          <w:color w:val="auto"/>
          <w:kern w:val="0"/>
          <w:sz w:val="24"/>
          <w:szCs w:val="20"/>
          <w:lang w:val="en-US" w:eastAsia="zh-CN"/>
        </w:rPr>
        <w:t>本次纵向弥散系数取值参考“李霄、都重基等人应用土柱实验求解地下水含水介质弥散系数的研究文献”中包气带以亚粘土为主要岩性的弥散系数值0.00571m</w:t>
      </w:r>
      <w:r>
        <w:rPr>
          <w:rFonts w:hint="eastAsia"/>
          <w:color w:val="auto"/>
          <w:kern w:val="0"/>
          <w:sz w:val="24"/>
          <w:szCs w:val="20"/>
          <w:vertAlign w:val="superscript"/>
          <w:lang w:val="en-US" w:eastAsia="zh-CN"/>
        </w:rPr>
        <w:t>2</w:t>
      </w:r>
      <w:r>
        <w:rPr>
          <w:rFonts w:hint="eastAsia"/>
          <w:color w:val="auto"/>
          <w:kern w:val="0"/>
          <w:sz w:val="24"/>
          <w:szCs w:val="20"/>
          <w:lang w:val="en-US" w:eastAsia="zh-CN"/>
        </w:rPr>
        <w:t>/d。</w:t>
      </w:r>
    </w:p>
    <w:p>
      <w:pPr>
        <w:keepNext w:val="0"/>
        <w:keepLines w:val="0"/>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r>
        <w:rPr>
          <w:color w:val="auto"/>
          <w:kern w:val="0"/>
          <w:sz w:val="24"/>
          <w:szCs w:val="20"/>
        </w:rPr>
        <w:t>5.5.6.2预测评价标准</w:t>
      </w:r>
    </w:p>
    <w:p>
      <w:pPr>
        <w:keepNext w:val="0"/>
        <w:keepLines w:val="0"/>
        <w:pageBreakBefore w:val="0"/>
        <w:widowControl/>
        <w:kinsoku/>
        <w:wordWrap/>
        <w:overflowPunct/>
        <w:topLinePunct w:val="0"/>
        <w:autoSpaceDE/>
        <w:autoSpaceDN/>
        <w:bidi w:val="0"/>
        <w:spacing w:line="360" w:lineRule="auto"/>
        <w:rPr>
          <w:color w:val="auto"/>
          <w:sz w:val="24"/>
          <w:szCs w:val="24"/>
        </w:rPr>
      </w:pPr>
      <w:r>
        <w:rPr>
          <w:color w:val="auto"/>
        </w:rPr>
        <w:t xml:space="preserve">  </w:t>
      </w:r>
      <w:r>
        <w:rPr>
          <w:color w:val="auto"/>
          <w:sz w:val="24"/>
          <w:szCs w:val="24"/>
        </w:rPr>
        <w:t xml:space="preserve">  本次预测评价标准采用污染物检出下限及水质标准限值，当预测结果小于检出限时则表示对地下水环境几乎没有影响。标准限值参照《地下水质量标准》（GB/T14848-2017）</w:t>
      </w:r>
      <w:r>
        <w:rPr>
          <w:color w:val="auto"/>
          <w:sz w:val="24"/>
          <w:szCs w:val="24"/>
        </w:rPr>
        <w:fldChar w:fldCharType="begin"/>
      </w:r>
      <w:r>
        <w:rPr>
          <w:color w:val="auto"/>
          <w:sz w:val="24"/>
          <w:szCs w:val="24"/>
        </w:rPr>
        <w:instrText xml:space="preserve"> = 3 \* ROMAN </w:instrText>
      </w:r>
      <w:r>
        <w:rPr>
          <w:color w:val="auto"/>
          <w:sz w:val="24"/>
          <w:szCs w:val="24"/>
        </w:rPr>
        <w:fldChar w:fldCharType="separate"/>
      </w:r>
      <w:r>
        <w:rPr>
          <w:color w:val="auto"/>
          <w:sz w:val="24"/>
          <w:szCs w:val="24"/>
        </w:rPr>
        <w:t>III</w:t>
      </w:r>
      <w:r>
        <w:rPr>
          <w:color w:val="auto"/>
          <w:sz w:val="24"/>
          <w:szCs w:val="24"/>
        </w:rPr>
        <w:fldChar w:fldCharType="end"/>
      </w:r>
      <w:r>
        <w:rPr>
          <w:color w:val="auto"/>
          <w:sz w:val="24"/>
          <w:szCs w:val="24"/>
        </w:rPr>
        <w:t>类标准值。各指标具体情况见下表5.5-6。</w:t>
      </w:r>
    </w:p>
    <w:p>
      <w:pPr>
        <w:spacing w:before="120" w:beforeLines="50"/>
        <w:ind w:firstLine="480" w:firstLineChars="200"/>
        <w:jc w:val="center"/>
        <w:rPr>
          <w:rFonts w:eastAsia="黑体"/>
          <w:color w:val="auto"/>
          <w:sz w:val="24"/>
          <w:szCs w:val="24"/>
        </w:rPr>
      </w:pPr>
      <w:r>
        <w:rPr>
          <w:rFonts w:eastAsia="黑体"/>
          <w:color w:val="auto"/>
          <w:sz w:val="24"/>
          <w:szCs w:val="24"/>
        </w:rPr>
        <w:t xml:space="preserve">     表5.5-6  预测评价标准一览表            单位：mg/L</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552"/>
        <w:gridCol w:w="2602"/>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24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b/>
                <w:bCs/>
                <w:color w:val="auto"/>
                <w:kern w:val="0"/>
              </w:rPr>
            </w:pPr>
            <w:r>
              <w:rPr>
                <w:b/>
                <w:bCs/>
                <w:color w:val="auto"/>
                <w:kern w:val="0"/>
              </w:rPr>
              <w:t>序号</w:t>
            </w:r>
          </w:p>
        </w:tc>
        <w:tc>
          <w:tcPr>
            <w:tcW w:w="255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b/>
                <w:bCs/>
                <w:color w:val="auto"/>
                <w:kern w:val="0"/>
              </w:rPr>
            </w:pPr>
            <w:r>
              <w:rPr>
                <w:b/>
                <w:bCs/>
                <w:color w:val="auto"/>
                <w:kern w:val="0"/>
              </w:rPr>
              <w:t>预测因子</w:t>
            </w:r>
          </w:p>
        </w:tc>
        <w:tc>
          <w:tcPr>
            <w:tcW w:w="260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b/>
                <w:bCs/>
                <w:color w:val="auto"/>
                <w:kern w:val="0"/>
              </w:rPr>
            </w:pPr>
            <w:r>
              <w:rPr>
                <w:b/>
                <w:bCs/>
                <w:color w:val="auto"/>
                <w:kern w:val="0"/>
              </w:rPr>
              <w:t>检出下限值</w:t>
            </w:r>
          </w:p>
        </w:tc>
        <w:tc>
          <w:tcPr>
            <w:tcW w:w="2133"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b/>
                <w:bCs/>
                <w:color w:val="auto"/>
                <w:kern w:val="0"/>
              </w:rPr>
            </w:pPr>
            <w:r>
              <w:rPr>
                <w:b/>
                <w:bCs/>
                <w:color w:val="auto"/>
                <w:kern w:val="0"/>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24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1</w:t>
            </w:r>
          </w:p>
        </w:tc>
        <w:tc>
          <w:tcPr>
            <w:tcW w:w="255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COD（耗氧量）</w:t>
            </w:r>
          </w:p>
        </w:tc>
        <w:tc>
          <w:tcPr>
            <w:tcW w:w="260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0.05</w:t>
            </w:r>
          </w:p>
        </w:tc>
        <w:tc>
          <w:tcPr>
            <w:tcW w:w="2133"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24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2</w:t>
            </w:r>
          </w:p>
        </w:tc>
        <w:tc>
          <w:tcPr>
            <w:tcW w:w="255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NH</w:t>
            </w:r>
            <w:r>
              <w:rPr>
                <w:color w:val="auto"/>
                <w:kern w:val="0"/>
                <w:vertAlign w:val="subscript"/>
              </w:rPr>
              <w:t>3</w:t>
            </w:r>
            <w:r>
              <w:rPr>
                <w:color w:val="auto"/>
                <w:kern w:val="0"/>
              </w:rPr>
              <w:t>-N</w:t>
            </w:r>
          </w:p>
        </w:tc>
        <w:tc>
          <w:tcPr>
            <w:tcW w:w="260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0.025</w:t>
            </w:r>
          </w:p>
        </w:tc>
        <w:tc>
          <w:tcPr>
            <w:tcW w:w="2133"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24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3</w:t>
            </w:r>
          </w:p>
        </w:tc>
        <w:tc>
          <w:tcPr>
            <w:tcW w:w="255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总镍</w:t>
            </w:r>
          </w:p>
        </w:tc>
        <w:tc>
          <w:tcPr>
            <w:tcW w:w="260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rFonts w:hint="eastAsia"/>
                <w:color w:val="auto"/>
                <w:kern w:val="0"/>
              </w:rPr>
              <w:t>0.005</w:t>
            </w:r>
          </w:p>
        </w:tc>
        <w:tc>
          <w:tcPr>
            <w:tcW w:w="2133"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24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4</w:t>
            </w:r>
          </w:p>
        </w:tc>
        <w:tc>
          <w:tcPr>
            <w:tcW w:w="255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总锌</w:t>
            </w:r>
          </w:p>
        </w:tc>
        <w:tc>
          <w:tcPr>
            <w:tcW w:w="260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0.05</w:t>
            </w:r>
          </w:p>
        </w:tc>
        <w:tc>
          <w:tcPr>
            <w:tcW w:w="2133"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124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5</w:t>
            </w:r>
          </w:p>
        </w:tc>
        <w:tc>
          <w:tcPr>
            <w:tcW w:w="255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铬（六价）</w:t>
            </w:r>
          </w:p>
        </w:tc>
        <w:tc>
          <w:tcPr>
            <w:tcW w:w="2602"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0.004</w:t>
            </w:r>
          </w:p>
        </w:tc>
        <w:tc>
          <w:tcPr>
            <w:tcW w:w="2133" w:type="dxa"/>
            <w:shd w:val="clear" w:color="auto" w:fill="auto"/>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kern w:val="0"/>
              </w:rPr>
            </w:pPr>
            <w:r>
              <w:rPr>
                <w:color w:val="auto"/>
                <w:kern w:val="0"/>
              </w:rPr>
              <w:t>0.05</w:t>
            </w:r>
          </w:p>
        </w:tc>
      </w:tr>
    </w:tbl>
    <w:p>
      <w:pPr>
        <w:adjustRightInd w:val="0"/>
        <w:snapToGrid w:val="0"/>
        <w:spacing w:line="520" w:lineRule="exact"/>
        <w:textAlignment w:val="baseline"/>
        <w:rPr>
          <w:color w:val="auto"/>
          <w:kern w:val="0"/>
          <w:sz w:val="24"/>
          <w:szCs w:val="20"/>
        </w:rPr>
      </w:pPr>
      <w:r>
        <w:rPr>
          <w:color w:val="auto"/>
          <w:kern w:val="0"/>
          <w:sz w:val="24"/>
          <w:szCs w:val="20"/>
        </w:rPr>
        <w:t>5.5.6.3预测时段</w:t>
      </w:r>
    </w:p>
    <w:p>
      <w:pPr>
        <w:adjustRightInd w:val="0"/>
        <w:snapToGrid w:val="0"/>
        <w:spacing w:line="360" w:lineRule="auto"/>
        <w:ind w:firstLine="480" w:firstLineChars="200"/>
        <w:rPr>
          <w:color w:val="auto"/>
          <w:kern w:val="21"/>
          <w:sz w:val="24"/>
          <w:szCs w:val="24"/>
        </w:rPr>
      </w:pPr>
      <w:r>
        <w:rPr>
          <w:color w:val="auto"/>
          <w:kern w:val="21"/>
          <w:sz w:val="24"/>
          <w:szCs w:val="24"/>
        </w:rPr>
        <w:t>地下水环境影响预测时段选取可能产生地下水污染的关键时段，分别为污染发生后</w:t>
      </w:r>
      <w:r>
        <w:rPr>
          <w:rFonts w:eastAsia="TimesNewRomanPSMT"/>
          <w:color w:val="auto"/>
          <w:kern w:val="21"/>
          <w:sz w:val="24"/>
          <w:szCs w:val="24"/>
        </w:rPr>
        <w:t>100d</w:t>
      </w:r>
      <w:r>
        <w:rPr>
          <w:color w:val="auto"/>
          <w:kern w:val="21"/>
          <w:sz w:val="24"/>
          <w:szCs w:val="24"/>
        </w:rPr>
        <w:t>、</w:t>
      </w:r>
      <w:r>
        <w:rPr>
          <w:rFonts w:eastAsia="TimesNewRomanPSMT"/>
          <w:color w:val="auto"/>
          <w:kern w:val="21"/>
          <w:sz w:val="24"/>
          <w:szCs w:val="24"/>
        </w:rPr>
        <w:t>1000d</w:t>
      </w:r>
      <w:r>
        <w:rPr>
          <w:color w:val="auto"/>
          <w:kern w:val="21"/>
          <w:sz w:val="24"/>
          <w:szCs w:val="24"/>
        </w:rPr>
        <w:t>。</w:t>
      </w:r>
    </w:p>
    <w:p>
      <w:pPr>
        <w:keepNext w:val="0"/>
        <w:keepLines w:val="0"/>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r>
        <w:rPr>
          <w:color w:val="auto"/>
          <w:kern w:val="0"/>
          <w:sz w:val="24"/>
          <w:szCs w:val="20"/>
        </w:rPr>
        <w:t>5.5.6.4预测内容</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rPr>
          <w:color w:val="auto"/>
          <w:kern w:val="21"/>
          <w:sz w:val="24"/>
          <w:szCs w:val="24"/>
          <w:lang w:val="zh-CN"/>
        </w:rPr>
      </w:pPr>
      <w:r>
        <w:rPr>
          <w:color w:val="auto"/>
          <w:kern w:val="21"/>
          <w:sz w:val="24"/>
          <w:szCs w:val="24"/>
          <w:lang w:val="zh-CN"/>
        </w:rPr>
        <w:t>本项目地下水预测内容如下：</w:t>
      </w:r>
      <w:r>
        <w:rPr>
          <w:color w:val="auto"/>
          <w:kern w:val="21"/>
          <w:sz w:val="24"/>
          <w:szCs w:val="24"/>
        </w:rPr>
        <w:t>COD</w:t>
      </w:r>
      <w:r>
        <w:rPr>
          <w:rFonts w:hint="eastAsia"/>
          <w:color w:val="auto"/>
          <w:kern w:val="21"/>
          <w:sz w:val="24"/>
          <w:szCs w:val="24"/>
          <w:lang w:val="en-US" w:eastAsia="zh-CN"/>
        </w:rPr>
        <w:t>|（耗氧量）</w:t>
      </w:r>
      <w:r>
        <w:rPr>
          <w:color w:val="auto"/>
          <w:kern w:val="21"/>
          <w:sz w:val="24"/>
          <w:szCs w:val="24"/>
        </w:rPr>
        <w:t>、NH</w:t>
      </w:r>
      <w:r>
        <w:rPr>
          <w:color w:val="auto"/>
          <w:kern w:val="21"/>
          <w:sz w:val="24"/>
          <w:szCs w:val="24"/>
          <w:vertAlign w:val="subscript"/>
        </w:rPr>
        <w:t>3</w:t>
      </w:r>
      <w:r>
        <w:rPr>
          <w:color w:val="auto"/>
          <w:kern w:val="21"/>
          <w:sz w:val="24"/>
          <w:szCs w:val="24"/>
        </w:rPr>
        <w:t>-N、总镍、铬（六价）、总锌泄漏</w:t>
      </w:r>
      <w:r>
        <w:rPr>
          <w:color w:val="auto"/>
          <w:kern w:val="21"/>
          <w:sz w:val="24"/>
          <w:szCs w:val="24"/>
          <w:lang w:val="zh-CN"/>
        </w:rPr>
        <w:t>下渗不同时段的影响范围、程度，最大迁移距离。</w:t>
      </w:r>
    </w:p>
    <w:p>
      <w:pPr>
        <w:keepNext w:val="0"/>
        <w:keepLines w:val="0"/>
        <w:pageBreakBefore w:val="0"/>
        <w:widowControl/>
        <w:kinsoku/>
        <w:wordWrap/>
        <w:overflowPunct/>
        <w:topLinePunct w:val="0"/>
        <w:autoSpaceDE/>
        <w:autoSpaceDN/>
        <w:bidi w:val="0"/>
        <w:adjustRightInd w:val="0"/>
        <w:snapToGrid w:val="0"/>
        <w:spacing w:line="360" w:lineRule="auto"/>
        <w:textAlignment w:val="baseline"/>
        <w:rPr>
          <w:rFonts w:eastAsia="楷体"/>
          <w:color w:val="auto"/>
          <w:kern w:val="0"/>
          <w:sz w:val="28"/>
          <w:szCs w:val="20"/>
        </w:rPr>
      </w:pPr>
      <w:r>
        <w:rPr>
          <w:color w:val="auto"/>
          <w:kern w:val="0"/>
          <w:sz w:val="24"/>
          <w:szCs w:val="20"/>
        </w:rPr>
        <w:t>5.5.6.5预测结果与评价</w:t>
      </w:r>
    </w:p>
    <w:p>
      <w:pPr>
        <w:keepNext w:val="0"/>
        <w:keepLines w:val="0"/>
        <w:pageBreakBefore w:val="0"/>
        <w:widowControl/>
        <w:tabs>
          <w:tab w:val="left" w:pos="3986"/>
        </w:tabs>
        <w:kinsoku/>
        <w:wordWrap/>
        <w:overflowPunct/>
        <w:topLinePunct w:val="0"/>
        <w:autoSpaceDE/>
        <w:autoSpaceDN/>
        <w:bidi w:val="0"/>
        <w:adjustRightInd w:val="0"/>
        <w:snapToGrid w:val="0"/>
        <w:spacing w:line="360" w:lineRule="auto"/>
        <w:ind w:firstLine="480" w:firstLineChars="200"/>
        <w:rPr>
          <w:color w:val="auto"/>
          <w:kern w:val="21"/>
          <w:sz w:val="24"/>
          <w:szCs w:val="24"/>
        </w:rPr>
      </w:pPr>
      <w:r>
        <w:rPr>
          <w:color w:val="auto"/>
          <w:kern w:val="21"/>
          <w:sz w:val="24"/>
          <w:szCs w:val="24"/>
        </w:rPr>
        <w:t>非正常工况耗氧量、NH</w:t>
      </w:r>
      <w:r>
        <w:rPr>
          <w:color w:val="auto"/>
          <w:kern w:val="21"/>
          <w:sz w:val="24"/>
          <w:szCs w:val="24"/>
          <w:vertAlign w:val="subscript"/>
        </w:rPr>
        <w:t>3</w:t>
      </w:r>
      <w:r>
        <w:rPr>
          <w:color w:val="auto"/>
          <w:kern w:val="21"/>
          <w:sz w:val="24"/>
          <w:szCs w:val="24"/>
        </w:rPr>
        <w:t xml:space="preserve">-N、总镍、铬（六价）、总锌在含水层中的迁移。 </w:t>
      </w:r>
    </w:p>
    <w:p>
      <w:pPr>
        <w:keepNext w:val="0"/>
        <w:keepLines w:val="0"/>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bookmarkStart w:id="343" w:name="OLE_LINK72"/>
      <w:r>
        <w:rPr>
          <w:color w:val="auto"/>
          <w:kern w:val="0"/>
          <w:sz w:val="24"/>
          <w:szCs w:val="20"/>
        </w:rPr>
        <w:t>（1）特征因子迁移预测</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根据预测模型，预测不同时段地下水环境影响，预测结果见下表5.5-7～5.5-。</w:t>
      </w:r>
    </w:p>
    <w:p>
      <w:pPr>
        <w:adjustRightInd w:val="0"/>
        <w:snapToGrid w:val="0"/>
        <w:spacing w:line="520" w:lineRule="exact"/>
        <w:ind w:firstLine="480" w:firstLineChars="200"/>
        <w:textAlignment w:val="baseline"/>
        <w:rPr>
          <w:color w:val="auto"/>
          <w:kern w:val="0"/>
          <w:sz w:val="24"/>
          <w:szCs w:val="20"/>
        </w:rPr>
        <w:sectPr>
          <w:pgSz w:w="11907" w:h="16840"/>
          <w:pgMar w:top="1440" w:right="1797" w:bottom="1440" w:left="1797" w:header="851" w:footer="992" w:gutter="0"/>
          <w:cols w:space="425" w:num="1"/>
          <w:docGrid w:linePitch="312" w:charSpace="0"/>
        </w:sectPr>
      </w:pPr>
    </w:p>
    <w:p>
      <w:pPr>
        <w:adjustRightInd w:val="0"/>
        <w:snapToGrid w:val="0"/>
        <w:jc w:val="center"/>
        <w:rPr>
          <w:rFonts w:eastAsia="黑体"/>
          <w:b/>
          <w:bCs/>
          <w:color w:val="auto"/>
          <w:kern w:val="21"/>
          <w:sz w:val="24"/>
          <w:u w:val="single"/>
        </w:rPr>
      </w:pPr>
      <w:r>
        <w:rPr>
          <w:rFonts w:eastAsia="黑体"/>
          <w:b/>
          <w:bCs/>
          <w:color w:val="auto"/>
          <w:kern w:val="21"/>
          <w:sz w:val="24"/>
          <w:u w:val="single"/>
        </w:rPr>
        <w:t>表5.5-7   地下水影响预测结果一览表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1044"/>
        <w:gridCol w:w="1348"/>
        <w:gridCol w:w="1345"/>
        <w:gridCol w:w="896"/>
        <w:gridCol w:w="1043"/>
        <w:gridCol w:w="1196"/>
        <w:gridCol w:w="1491"/>
        <w:gridCol w:w="746"/>
        <w:gridCol w:w="893"/>
        <w:gridCol w:w="1196"/>
        <w:gridCol w:w="1344"/>
        <w:gridCol w:w="7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restart"/>
            <w:vAlign w:val="center"/>
          </w:tcPr>
          <w:p>
            <w:pPr>
              <w:jc w:val="center"/>
              <w:rPr>
                <w:b/>
                <w:bCs/>
                <w:color w:val="auto"/>
                <w:kern w:val="21"/>
                <w:u w:val="single"/>
              </w:rPr>
            </w:pPr>
            <w:r>
              <w:rPr>
                <w:b/>
                <w:bCs/>
                <w:color w:val="auto"/>
                <w:kern w:val="21"/>
                <w:u w:val="single"/>
              </w:rPr>
              <w:t>时间</w:t>
            </w:r>
          </w:p>
        </w:tc>
        <w:tc>
          <w:tcPr>
            <w:tcW w:w="1633" w:type="pct"/>
            <w:gridSpan w:val="4"/>
            <w:vAlign w:val="center"/>
          </w:tcPr>
          <w:p>
            <w:pPr>
              <w:jc w:val="center"/>
              <w:rPr>
                <w:b/>
                <w:bCs/>
                <w:color w:val="auto"/>
                <w:kern w:val="21"/>
                <w:u w:val="single"/>
              </w:rPr>
            </w:pPr>
            <w:r>
              <w:rPr>
                <w:b/>
                <w:bCs/>
                <w:color w:val="auto"/>
                <w:kern w:val="21"/>
                <w:u w:val="single"/>
              </w:rPr>
              <w:t xml:space="preserve"> COD（耗氧量）</w:t>
            </w:r>
          </w:p>
        </w:tc>
        <w:tc>
          <w:tcPr>
            <w:tcW w:w="1579" w:type="pct"/>
            <w:gridSpan w:val="4"/>
            <w:vAlign w:val="center"/>
          </w:tcPr>
          <w:p>
            <w:pPr>
              <w:jc w:val="center"/>
              <w:rPr>
                <w:b/>
                <w:bCs/>
                <w:color w:val="auto"/>
                <w:kern w:val="21"/>
                <w:u w:val="single"/>
              </w:rPr>
            </w:pPr>
            <w:r>
              <w:rPr>
                <w:b/>
                <w:bCs/>
                <w:color w:val="auto"/>
                <w:kern w:val="21"/>
                <w:u w:val="single"/>
              </w:rPr>
              <w:t>氨氮</w:t>
            </w:r>
          </w:p>
        </w:tc>
        <w:tc>
          <w:tcPr>
            <w:tcW w:w="1484" w:type="pct"/>
            <w:gridSpan w:val="4"/>
            <w:vAlign w:val="center"/>
          </w:tcPr>
          <w:p>
            <w:pPr>
              <w:jc w:val="center"/>
              <w:rPr>
                <w:b/>
                <w:bCs/>
                <w:color w:val="auto"/>
                <w:kern w:val="21"/>
                <w:u w:val="single"/>
              </w:rPr>
            </w:pPr>
            <w:r>
              <w:rPr>
                <w:b/>
                <w:bCs/>
                <w:color w:val="auto"/>
                <w:kern w:val="21"/>
                <w:u w:val="single"/>
              </w:rPr>
              <w:t>总镍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距离</w:t>
            </w:r>
          </w:p>
        </w:tc>
        <w:tc>
          <w:tcPr>
            <w:tcW w:w="475" w:type="pct"/>
            <w:vAlign w:val="center"/>
          </w:tcPr>
          <w:p>
            <w:pPr>
              <w:rPr>
                <w:b/>
                <w:bCs/>
                <w:color w:val="auto"/>
                <w:kern w:val="21"/>
                <w:u w:val="single"/>
              </w:rPr>
            </w:pPr>
            <w:r>
              <w:rPr>
                <w:b/>
                <w:bCs/>
                <w:color w:val="auto"/>
                <w:kern w:val="21"/>
                <w:u w:val="single"/>
              </w:rPr>
              <w:t>浓度mg/L</w:t>
            </w:r>
          </w:p>
        </w:tc>
        <w:tc>
          <w:tcPr>
            <w:tcW w:w="474" w:type="pct"/>
            <w:vAlign w:val="center"/>
          </w:tcPr>
          <w:p>
            <w:pPr>
              <w:rPr>
                <w:b/>
                <w:bCs/>
                <w:color w:val="auto"/>
                <w:kern w:val="21"/>
                <w:u w:val="single"/>
              </w:rPr>
            </w:pPr>
            <w:r>
              <w:rPr>
                <w:b/>
                <w:bCs/>
                <w:color w:val="auto"/>
                <w:kern w:val="21"/>
                <w:u w:val="single"/>
              </w:rPr>
              <w:t>标准mg/L</w:t>
            </w:r>
          </w:p>
        </w:tc>
        <w:tc>
          <w:tcPr>
            <w:tcW w:w="316" w:type="pct"/>
            <w:vAlign w:val="center"/>
          </w:tcPr>
          <w:p>
            <w:pPr>
              <w:jc w:val="center"/>
              <w:rPr>
                <w:b/>
                <w:bCs/>
                <w:color w:val="auto"/>
                <w:kern w:val="21"/>
                <w:u w:val="single"/>
              </w:rPr>
            </w:pPr>
            <w:r>
              <w:rPr>
                <w:b/>
                <w:bCs/>
                <w:color w:val="auto"/>
                <w:kern w:val="21"/>
                <w:u w:val="single"/>
              </w:rPr>
              <w:t>达标</w:t>
            </w:r>
          </w:p>
          <w:p>
            <w:pPr>
              <w:jc w:val="center"/>
              <w:rPr>
                <w:b/>
                <w:bCs/>
                <w:color w:val="auto"/>
                <w:kern w:val="21"/>
                <w:u w:val="single"/>
              </w:rPr>
            </w:pPr>
            <w:r>
              <w:rPr>
                <w:b/>
                <w:bCs/>
                <w:color w:val="auto"/>
                <w:kern w:val="21"/>
                <w:u w:val="single"/>
              </w:rPr>
              <w:t>情况</w:t>
            </w:r>
          </w:p>
        </w:tc>
        <w:tc>
          <w:tcPr>
            <w:tcW w:w="368" w:type="pct"/>
            <w:vAlign w:val="center"/>
          </w:tcPr>
          <w:p>
            <w:pPr>
              <w:jc w:val="center"/>
              <w:rPr>
                <w:b/>
                <w:bCs/>
                <w:color w:val="auto"/>
                <w:kern w:val="21"/>
                <w:u w:val="single"/>
              </w:rPr>
            </w:pPr>
            <w:r>
              <w:rPr>
                <w:b/>
                <w:bCs/>
                <w:color w:val="auto"/>
                <w:kern w:val="21"/>
                <w:u w:val="single"/>
              </w:rPr>
              <w:t>距离</w:t>
            </w:r>
          </w:p>
        </w:tc>
        <w:tc>
          <w:tcPr>
            <w:tcW w:w="422" w:type="pct"/>
            <w:vAlign w:val="center"/>
          </w:tcPr>
          <w:p>
            <w:pPr>
              <w:jc w:val="center"/>
              <w:rPr>
                <w:b/>
                <w:bCs/>
                <w:color w:val="auto"/>
                <w:kern w:val="21"/>
                <w:u w:val="single"/>
              </w:rPr>
            </w:pPr>
            <w:r>
              <w:rPr>
                <w:b/>
                <w:bCs/>
                <w:color w:val="auto"/>
                <w:kern w:val="21"/>
                <w:u w:val="single"/>
              </w:rPr>
              <w:t>浓度</w:t>
            </w:r>
          </w:p>
          <w:p>
            <w:pPr>
              <w:jc w:val="center"/>
              <w:rPr>
                <w:b/>
                <w:bCs/>
                <w:color w:val="auto"/>
                <w:kern w:val="21"/>
                <w:u w:val="single"/>
              </w:rPr>
            </w:pPr>
            <w:r>
              <w:rPr>
                <w:b/>
                <w:bCs/>
                <w:color w:val="auto"/>
                <w:kern w:val="21"/>
                <w:u w:val="single"/>
              </w:rPr>
              <w:t>mg/L</w:t>
            </w:r>
          </w:p>
        </w:tc>
        <w:tc>
          <w:tcPr>
            <w:tcW w:w="526" w:type="pct"/>
            <w:vAlign w:val="center"/>
          </w:tcPr>
          <w:p>
            <w:pPr>
              <w:jc w:val="center"/>
              <w:rPr>
                <w:b/>
                <w:bCs/>
                <w:color w:val="auto"/>
                <w:kern w:val="21"/>
                <w:u w:val="single"/>
              </w:rPr>
            </w:pPr>
            <w:r>
              <w:rPr>
                <w:b/>
                <w:bCs/>
                <w:color w:val="auto"/>
                <w:kern w:val="21"/>
                <w:u w:val="single"/>
              </w:rPr>
              <w:t>标准</w:t>
            </w:r>
          </w:p>
          <w:p>
            <w:pPr>
              <w:jc w:val="center"/>
              <w:rPr>
                <w:b/>
                <w:bCs/>
                <w:color w:val="auto"/>
                <w:kern w:val="21"/>
                <w:u w:val="single"/>
              </w:rPr>
            </w:pPr>
            <w:r>
              <w:rPr>
                <w:b/>
                <w:bCs/>
                <w:color w:val="auto"/>
                <w:kern w:val="21"/>
                <w:u w:val="single"/>
              </w:rPr>
              <w:t>mg/L</w:t>
            </w:r>
          </w:p>
        </w:tc>
        <w:tc>
          <w:tcPr>
            <w:tcW w:w="263" w:type="pct"/>
            <w:vAlign w:val="center"/>
          </w:tcPr>
          <w:p>
            <w:pPr>
              <w:jc w:val="center"/>
              <w:rPr>
                <w:b/>
                <w:bCs/>
                <w:color w:val="auto"/>
                <w:kern w:val="21"/>
                <w:u w:val="single"/>
              </w:rPr>
            </w:pPr>
            <w:r>
              <w:rPr>
                <w:b/>
                <w:bCs/>
                <w:color w:val="auto"/>
                <w:kern w:val="21"/>
                <w:u w:val="single"/>
              </w:rPr>
              <w:t>达标</w:t>
            </w:r>
          </w:p>
          <w:p>
            <w:pPr>
              <w:jc w:val="center"/>
              <w:rPr>
                <w:b/>
                <w:bCs/>
                <w:color w:val="auto"/>
                <w:kern w:val="21"/>
                <w:u w:val="single"/>
              </w:rPr>
            </w:pPr>
            <w:r>
              <w:rPr>
                <w:b/>
                <w:bCs/>
                <w:color w:val="auto"/>
                <w:kern w:val="21"/>
                <w:u w:val="single"/>
              </w:rPr>
              <w:t>情况</w:t>
            </w:r>
          </w:p>
        </w:tc>
        <w:tc>
          <w:tcPr>
            <w:tcW w:w="315" w:type="pct"/>
            <w:vAlign w:val="center"/>
          </w:tcPr>
          <w:p>
            <w:pPr>
              <w:jc w:val="center"/>
              <w:rPr>
                <w:b/>
                <w:bCs/>
                <w:color w:val="auto"/>
                <w:kern w:val="21"/>
                <w:u w:val="single"/>
              </w:rPr>
            </w:pPr>
            <w:r>
              <w:rPr>
                <w:b/>
                <w:bCs/>
                <w:color w:val="auto"/>
                <w:kern w:val="21"/>
                <w:u w:val="single"/>
              </w:rPr>
              <w:t>距离</w:t>
            </w:r>
          </w:p>
        </w:tc>
        <w:tc>
          <w:tcPr>
            <w:tcW w:w="422" w:type="pct"/>
            <w:vAlign w:val="center"/>
          </w:tcPr>
          <w:p>
            <w:pPr>
              <w:jc w:val="center"/>
              <w:rPr>
                <w:b/>
                <w:bCs/>
                <w:color w:val="auto"/>
                <w:kern w:val="21"/>
                <w:u w:val="single"/>
              </w:rPr>
            </w:pPr>
            <w:r>
              <w:rPr>
                <w:b/>
                <w:bCs/>
                <w:color w:val="auto"/>
                <w:kern w:val="21"/>
                <w:u w:val="single"/>
              </w:rPr>
              <w:t>浓度</w:t>
            </w:r>
          </w:p>
          <w:p>
            <w:pPr>
              <w:jc w:val="center"/>
              <w:rPr>
                <w:b/>
                <w:bCs/>
                <w:color w:val="auto"/>
                <w:kern w:val="21"/>
                <w:u w:val="single"/>
              </w:rPr>
            </w:pPr>
            <w:r>
              <w:rPr>
                <w:b/>
                <w:bCs/>
                <w:color w:val="auto"/>
                <w:kern w:val="21"/>
                <w:u w:val="single"/>
              </w:rPr>
              <w:t>mg/L</w:t>
            </w:r>
          </w:p>
        </w:tc>
        <w:tc>
          <w:tcPr>
            <w:tcW w:w="474" w:type="pct"/>
            <w:vAlign w:val="center"/>
          </w:tcPr>
          <w:p>
            <w:pPr>
              <w:jc w:val="center"/>
              <w:rPr>
                <w:b/>
                <w:bCs/>
                <w:color w:val="auto"/>
                <w:kern w:val="21"/>
                <w:u w:val="single"/>
              </w:rPr>
            </w:pPr>
            <w:r>
              <w:rPr>
                <w:b/>
                <w:bCs/>
                <w:color w:val="auto"/>
                <w:kern w:val="21"/>
                <w:u w:val="single"/>
              </w:rPr>
              <w:t>标准</w:t>
            </w:r>
          </w:p>
          <w:p>
            <w:pPr>
              <w:jc w:val="center"/>
              <w:rPr>
                <w:b/>
                <w:bCs/>
                <w:color w:val="auto"/>
                <w:kern w:val="21"/>
                <w:u w:val="single"/>
              </w:rPr>
            </w:pPr>
            <w:r>
              <w:rPr>
                <w:b/>
                <w:bCs/>
                <w:color w:val="auto"/>
                <w:kern w:val="21"/>
                <w:u w:val="single"/>
              </w:rPr>
              <w:t>mg/L</w:t>
            </w:r>
          </w:p>
        </w:tc>
        <w:tc>
          <w:tcPr>
            <w:tcW w:w="273" w:type="pct"/>
            <w:vAlign w:val="center"/>
          </w:tcPr>
          <w:p>
            <w:pPr>
              <w:jc w:val="center"/>
              <w:rPr>
                <w:b/>
                <w:bCs/>
                <w:color w:val="auto"/>
                <w:kern w:val="21"/>
                <w:u w:val="single"/>
              </w:rPr>
            </w:pPr>
            <w:r>
              <w:rPr>
                <w:b/>
                <w:bCs/>
                <w:color w:val="auto"/>
                <w:kern w:val="21"/>
                <w:u w:val="single"/>
              </w:rPr>
              <w:t>达标</w:t>
            </w:r>
          </w:p>
          <w:p>
            <w:pPr>
              <w:jc w:val="center"/>
              <w:rPr>
                <w:b/>
                <w:bCs/>
                <w:color w:val="auto"/>
                <w:kern w:val="21"/>
                <w:u w:val="single"/>
              </w:rPr>
            </w:pPr>
            <w:r>
              <w:rPr>
                <w:b/>
                <w:bCs/>
                <w:color w:val="auto"/>
                <w:kern w:val="21"/>
                <w:u w:val="singl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restart"/>
            <w:vAlign w:val="center"/>
          </w:tcPr>
          <w:p>
            <w:pPr>
              <w:jc w:val="center"/>
              <w:rPr>
                <w:b/>
                <w:bCs/>
                <w:color w:val="auto"/>
                <w:kern w:val="21"/>
                <w:u w:val="single"/>
              </w:rPr>
            </w:pPr>
            <w:r>
              <w:rPr>
                <w:b/>
                <w:bCs/>
                <w:color w:val="auto"/>
                <w:kern w:val="21"/>
                <w:u w:val="single"/>
              </w:rPr>
              <w:t>100d</w:t>
            </w:r>
          </w:p>
        </w:tc>
        <w:tc>
          <w:tcPr>
            <w:tcW w:w="368" w:type="pct"/>
            <w:vAlign w:val="center"/>
          </w:tcPr>
          <w:p>
            <w:pPr>
              <w:jc w:val="center"/>
              <w:rPr>
                <w:b/>
                <w:bCs/>
                <w:color w:val="auto"/>
                <w:kern w:val="21"/>
                <w:u w:val="single"/>
              </w:rPr>
            </w:pPr>
            <w:r>
              <w:rPr>
                <w:b/>
                <w:bCs/>
                <w:color w:val="auto"/>
                <w:kern w:val="21"/>
                <w:u w:val="single"/>
              </w:rPr>
              <w:t>2m</w:t>
            </w:r>
          </w:p>
        </w:tc>
        <w:tc>
          <w:tcPr>
            <w:tcW w:w="475" w:type="pct"/>
            <w:vAlign w:val="center"/>
          </w:tcPr>
          <w:p>
            <w:pPr>
              <w:jc w:val="center"/>
              <w:rPr>
                <w:b/>
                <w:bCs/>
                <w:color w:val="auto"/>
                <w:kern w:val="21"/>
                <w:u w:val="single"/>
              </w:rPr>
            </w:pPr>
            <w:r>
              <w:rPr>
                <w:b/>
                <w:bCs/>
                <w:color w:val="auto"/>
                <w:kern w:val="21"/>
                <w:u w:val="single"/>
              </w:rPr>
              <w:t>3.79E-01</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rFonts w:hint="default" w:eastAsia="宋体"/>
                <w:b/>
                <w:bCs/>
                <w:color w:val="auto"/>
                <w:kern w:val="21"/>
                <w:u w:val="single"/>
                <w:lang w:val="en-US" w:eastAsia="zh-CN"/>
              </w:rPr>
            </w:pPr>
            <w:r>
              <w:rPr>
                <w:rFonts w:hint="eastAsia"/>
                <w:b/>
                <w:bCs/>
                <w:color w:val="auto"/>
                <w:kern w:val="21"/>
                <w:u w:val="single"/>
                <w:lang w:val="en-US" w:eastAsia="zh-CN"/>
              </w:rPr>
              <w:t>达标</w:t>
            </w:r>
          </w:p>
        </w:tc>
        <w:tc>
          <w:tcPr>
            <w:tcW w:w="368" w:type="pct"/>
            <w:vAlign w:val="center"/>
          </w:tcPr>
          <w:p>
            <w:pPr>
              <w:jc w:val="center"/>
              <w:rPr>
                <w:b/>
                <w:bCs/>
                <w:color w:val="auto"/>
                <w:kern w:val="21"/>
                <w:u w:val="single"/>
              </w:rPr>
            </w:pPr>
            <w:r>
              <w:rPr>
                <w:rFonts w:hint="eastAsia"/>
                <w:b/>
                <w:bCs/>
                <w:color w:val="auto"/>
                <w:kern w:val="21"/>
                <w:u w:val="single"/>
                <w:lang w:val="en-US" w:eastAsia="zh-CN"/>
              </w:rPr>
              <w:t>1</w:t>
            </w:r>
            <w:r>
              <w:rPr>
                <w:b/>
                <w:bCs/>
                <w:color w:val="auto"/>
                <w:kern w:val="21"/>
                <w:u w:val="single"/>
              </w:rPr>
              <w:t>m</w:t>
            </w:r>
          </w:p>
        </w:tc>
        <w:tc>
          <w:tcPr>
            <w:tcW w:w="422" w:type="pct"/>
            <w:vAlign w:val="center"/>
          </w:tcPr>
          <w:p>
            <w:pPr>
              <w:jc w:val="center"/>
              <w:rPr>
                <w:rFonts w:hint="eastAsia" w:eastAsia="宋体"/>
                <w:b/>
                <w:bCs/>
                <w:color w:val="auto"/>
                <w:kern w:val="21"/>
                <w:u w:val="single"/>
                <w:lang w:eastAsia="zh-CN"/>
              </w:rPr>
            </w:pPr>
            <w:r>
              <w:rPr>
                <w:rFonts w:hint="eastAsia"/>
                <w:b/>
                <w:bCs/>
                <w:color w:val="auto"/>
                <w:kern w:val="21"/>
                <w:u w:val="single"/>
                <w:lang w:val="en-US" w:eastAsia="zh-CN"/>
              </w:rPr>
              <w:t>5.53</w:t>
            </w:r>
            <w:r>
              <w:rPr>
                <w:b/>
                <w:bCs/>
                <w:color w:val="auto"/>
                <w:kern w:val="21"/>
                <w:u w:val="single"/>
              </w:rPr>
              <w:t>E-0</w:t>
            </w:r>
            <w:r>
              <w:rPr>
                <w:rFonts w:hint="eastAsia"/>
                <w:b/>
                <w:bCs/>
                <w:color w:val="auto"/>
                <w:kern w:val="21"/>
                <w:u w:val="single"/>
                <w:lang w:val="en-US" w:eastAsia="zh-CN"/>
              </w:rPr>
              <w:t>2</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rFonts w:hint="eastAsia" w:eastAsia="宋体"/>
                <w:b/>
                <w:bCs/>
                <w:color w:val="auto"/>
                <w:kern w:val="21"/>
                <w:u w:val="single"/>
                <w:lang w:eastAsia="zh-CN"/>
              </w:rPr>
            </w:pPr>
            <w:r>
              <w:rPr>
                <w:rFonts w:hint="eastAsia"/>
                <w:b/>
                <w:bCs/>
                <w:color w:val="auto"/>
                <w:kern w:val="21"/>
                <w:u w:val="single"/>
                <w:lang w:eastAsia="zh-CN"/>
              </w:rPr>
              <w:t>达标</w:t>
            </w:r>
          </w:p>
        </w:tc>
        <w:tc>
          <w:tcPr>
            <w:tcW w:w="315" w:type="pct"/>
            <w:vAlign w:val="center"/>
          </w:tcPr>
          <w:p>
            <w:pPr>
              <w:jc w:val="center"/>
              <w:rPr>
                <w:b/>
                <w:bCs/>
                <w:color w:val="auto"/>
                <w:kern w:val="21"/>
                <w:u w:val="single"/>
              </w:rPr>
            </w:pPr>
            <w:r>
              <w:rPr>
                <w:rFonts w:hint="eastAsia"/>
                <w:b/>
                <w:bCs/>
                <w:color w:val="auto"/>
                <w:kern w:val="21"/>
                <w:u w:val="single"/>
                <w:lang w:val="en-US" w:eastAsia="zh-CN"/>
              </w:rPr>
              <w:t>1</w:t>
            </w:r>
            <w:r>
              <w:rPr>
                <w:b/>
                <w:bCs/>
                <w:color w:val="auto"/>
                <w:kern w:val="21"/>
                <w:u w:val="single"/>
              </w:rPr>
              <w:t>m</w:t>
            </w:r>
          </w:p>
        </w:tc>
        <w:tc>
          <w:tcPr>
            <w:tcW w:w="422" w:type="pct"/>
            <w:vAlign w:val="center"/>
          </w:tcPr>
          <w:p>
            <w:pPr>
              <w:jc w:val="center"/>
              <w:rPr>
                <w:b/>
                <w:bCs/>
                <w:color w:val="auto"/>
                <w:kern w:val="21"/>
                <w:u w:val="single"/>
              </w:rPr>
            </w:pPr>
            <w:r>
              <w:rPr>
                <w:rFonts w:hint="eastAsia"/>
                <w:b/>
                <w:bCs/>
                <w:color w:val="auto"/>
                <w:kern w:val="21"/>
                <w:u w:val="single"/>
                <w:lang w:val="en-US" w:eastAsia="zh-CN"/>
              </w:rPr>
              <w:t>2.60</w:t>
            </w:r>
            <w:r>
              <w:rPr>
                <w:b/>
                <w:bCs/>
                <w:color w:val="auto"/>
                <w:kern w:val="21"/>
                <w:u w:val="single"/>
              </w:rPr>
              <w:t>E-01</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rPr>
                <w:b/>
                <w:bCs/>
                <w:color w:val="auto"/>
                <w:kern w:val="21"/>
                <w:u w:val="single"/>
              </w:rPr>
            </w:pPr>
            <w:r>
              <w:rPr>
                <w:b/>
                <w:bCs/>
                <w:color w:val="auto"/>
                <w:kern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3m</w:t>
            </w:r>
          </w:p>
        </w:tc>
        <w:tc>
          <w:tcPr>
            <w:tcW w:w="475" w:type="pct"/>
            <w:vAlign w:val="center"/>
          </w:tcPr>
          <w:p>
            <w:pPr>
              <w:jc w:val="center"/>
              <w:rPr>
                <w:b/>
                <w:bCs/>
                <w:color w:val="auto"/>
                <w:kern w:val="21"/>
                <w:u w:val="single"/>
              </w:rPr>
            </w:pPr>
            <w:r>
              <w:rPr>
                <w:rFonts w:hint="eastAsia"/>
                <w:b/>
                <w:bCs/>
                <w:color w:val="auto"/>
                <w:kern w:val="21"/>
                <w:u w:val="single"/>
                <w:lang w:val="en-US" w:eastAsia="zh-CN"/>
              </w:rPr>
              <w:t>8.82</w:t>
            </w:r>
            <w:r>
              <w:rPr>
                <w:b/>
                <w:bCs/>
                <w:color w:val="auto"/>
                <w:kern w:val="21"/>
                <w:u w:val="single"/>
              </w:rPr>
              <w:t>E-02</w:t>
            </w:r>
          </w:p>
        </w:tc>
        <w:tc>
          <w:tcPr>
            <w:tcW w:w="474" w:type="pct"/>
            <w:vAlign w:val="center"/>
          </w:tcPr>
          <w:p>
            <w:pPr>
              <w:jc w:val="center"/>
              <w:rPr>
                <w:b/>
                <w:bCs/>
                <w:color w:val="auto"/>
                <w:kern w:val="21"/>
                <w:u w:val="single"/>
              </w:rPr>
            </w:pPr>
            <w:r>
              <w:rPr>
                <w:b/>
                <w:bCs/>
                <w:color w:val="auto"/>
                <w:kern w:val="21"/>
                <w:u w:val="single"/>
              </w:rPr>
              <w:t>检出（0.05）</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rFonts w:hint="eastAsia"/>
                <w:b/>
                <w:bCs/>
                <w:color w:val="auto"/>
                <w:kern w:val="21"/>
                <w:u w:val="single"/>
                <w:lang w:val="en-US" w:eastAsia="zh-CN"/>
              </w:rPr>
              <w:t>2</w:t>
            </w:r>
            <w:r>
              <w:rPr>
                <w:b/>
                <w:bCs/>
                <w:color w:val="auto"/>
                <w:kern w:val="21"/>
                <w:u w:val="single"/>
              </w:rPr>
              <w:t>m</w:t>
            </w:r>
          </w:p>
        </w:tc>
        <w:tc>
          <w:tcPr>
            <w:tcW w:w="422" w:type="pct"/>
            <w:vAlign w:val="center"/>
          </w:tcPr>
          <w:p>
            <w:pPr>
              <w:jc w:val="center"/>
              <w:rPr>
                <w:b/>
                <w:bCs/>
                <w:color w:val="auto"/>
                <w:kern w:val="21"/>
                <w:u w:val="single"/>
              </w:rPr>
            </w:pPr>
            <w:r>
              <w:rPr>
                <w:rFonts w:hint="eastAsia"/>
                <w:b/>
                <w:bCs/>
                <w:color w:val="auto"/>
                <w:kern w:val="21"/>
                <w:u w:val="single"/>
                <w:lang w:val="en-US" w:eastAsia="zh-CN"/>
              </w:rPr>
              <w:t>3.89</w:t>
            </w:r>
            <w:r>
              <w:rPr>
                <w:b/>
                <w:bCs/>
                <w:color w:val="auto"/>
                <w:kern w:val="21"/>
                <w:u w:val="single"/>
              </w:rPr>
              <w:t>E-02</w:t>
            </w:r>
          </w:p>
        </w:tc>
        <w:tc>
          <w:tcPr>
            <w:tcW w:w="526" w:type="pct"/>
            <w:vAlign w:val="center"/>
          </w:tcPr>
          <w:p>
            <w:pPr>
              <w:jc w:val="center"/>
              <w:rPr>
                <w:b/>
                <w:bCs/>
                <w:color w:val="auto"/>
                <w:kern w:val="21"/>
                <w:u w:val="single"/>
              </w:rPr>
            </w:pPr>
            <w:r>
              <w:rPr>
                <w:b/>
                <w:bCs/>
                <w:color w:val="auto"/>
                <w:kern w:val="21"/>
                <w:u w:val="single"/>
              </w:rPr>
              <w:t>检出（0.025）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3m</w:t>
            </w:r>
          </w:p>
        </w:tc>
        <w:tc>
          <w:tcPr>
            <w:tcW w:w="422" w:type="pct"/>
            <w:vAlign w:val="center"/>
          </w:tcPr>
          <w:p>
            <w:pPr>
              <w:jc w:val="center"/>
              <w:rPr>
                <w:rFonts w:hint="eastAsia" w:eastAsia="宋体"/>
                <w:b/>
                <w:bCs/>
                <w:color w:val="auto"/>
                <w:kern w:val="21"/>
                <w:u w:val="single"/>
                <w:lang w:val="en-US" w:eastAsia="zh-CN"/>
              </w:rPr>
            </w:pPr>
            <w:r>
              <w:rPr>
                <w:rFonts w:hint="eastAsia"/>
                <w:b/>
                <w:bCs/>
                <w:color w:val="auto"/>
                <w:kern w:val="21"/>
                <w:u w:val="single"/>
                <w:lang w:val="en-US" w:eastAsia="zh-CN"/>
              </w:rPr>
              <w:t>4.5</w:t>
            </w:r>
            <w:r>
              <w:rPr>
                <w:b/>
                <w:bCs/>
                <w:color w:val="auto"/>
                <w:kern w:val="21"/>
                <w:u w:val="single"/>
              </w:rPr>
              <w:t>E-0</w:t>
            </w:r>
            <w:r>
              <w:rPr>
                <w:rFonts w:hint="eastAsia"/>
                <w:b/>
                <w:bCs/>
                <w:color w:val="auto"/>
                <w:kern w:val="21"/>
                <w:u w:val="single"/>
                <w:lang w:val="en-US" w:eastAsia="zh-CN"/>
              </w:rPr>
              <w:t>2</w:t>
            </w:r>
          </w:p>
        </w:tc>
        <w:tc>
          <w:tcPr>
            <w:tcW w:w="474" w:type="pct"/>
            <w:vAlign w:val="center"/>
          </w:tcPr>
          <w:p>
            <w:pPr>
              <w:jc w:val="center"/>
              <w:rPr>
                <w:b/>
                <w:bCs/>
                <w:color w:val="auto"/>
                <w:kern w:val="21"/>
                <w:u w:val="single"/>
              </w:rPr>
            </w:pPr>
            <w:r>
              <w:rPr>
                <w:b/>
                <w:bCs/>
                <w:color w:val="auto"/>
                <w:kern w:val="21"/>
                <w:u w:val="single"/>
              </w:rPr>
              <w:t>检出</w:t>
            </w:r>
            <w:r>
              <w:rPr>
                <w:rFonts w:hint="eastAsia"/>
                <w:b/>
                <w:bCs/>
                <w:color w:val="auto"/>
                <w:kern w:val="21"/>
                <w:u w:val="single"/>
                <w:lang w:eastAsia="zh-CN"/>
              </w:rPr>
              <w:t>(</w:t>
            </w:r>
            <w:r>
              <w:rPr>
                <w:b/>
                <w:bCs/>
                <w:color w:val="auto"/>
                <w:kern w:val="21"/>
                <w:u w:val="single"/>
              </w:rPr>
              <w:t>0.0</w:t>
            </w:r>
            <w:r>
              <w:rPr>
                <w:rFonts w:hint="eastAsia"/>
                <w:b/>
                <w:bCs/>
                <w:color w:val="auto"/>
                <w:kern w:val="21"/>
                <w:u w:val="single"/>
              </w:rPr>
              <w:t>05</w:t>
            </w:r>
            <w:r>
              <w:rPr>
                <w:b/>
                <w:bCs/>
                <w:color w:val="auto"/>
                <w:kern w:val="21"/>
                <w:u w:val="single"/>
              </w:rPr>
              <w:t>)</w:t>
            </w:r>
          </w:p>
        </w:tc>
        <w:tc>
          <w:tcPr>
            <w:tcW w:w="273" w:type="pct"/>
            <w:vAlign w:val="center"/>
          </w:tcPr>
          <w:p>
            <w:pPr>
              <w:rPr>
                <w:rFonts w:hint="eastAsia" w:eastAsia="宋体"/>
                <w:b/>
                <w:bCs/>
                <w:color w:val="auto"/>
                <w:kern w:val="21"/>
                <w:u w:val="single"/>
                <w:lang w:eastAsia="zh-CN"/>
              </w:rPr>
            </w:pPr>
            <w:r>
              <w:rPr>
                <w:rFonts w:hint="eastAsia"/>
                <w:b/>
                <w:bCs/>
                <w:color w:val="auto"/>
                <w:kern w:val="21"/>
                <w:u w:val="single"/>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rFonts w:hint="eastAsia"/>
                <w:b/>
                <w:bCs/>
                <w:color w:val="auto"/>
                <w:kern w:val="21"/>
                <w:u w:val="single"/>
                <w:lang w:val="en-US" w:eastAsia="zh-CN"/>
              </w:rPr>
              <w:t>4</w:t>
            </w:r>
            <w:r>
              <w:rPr>
                <w:b/>
                <w:bCs/>
                <w:color w:val="auto"/>
                <w:kern w:val="21"/>
                <w:u w:val="single"/>
              </w:rPr>
              <w:t>m</w:t>
            </w:r>
          </w:p>
        </w:tc>
        <w:tc>
          <w:tcPr>
            <w:tcW w:w="475" w:type="pct"/>
            <w:vAlign w:val="center"/>
          </w:tcPr>
          <w:p>
            <w:pPr>
              <w:jc w:val="center"/>
              <w:rPr>
                <w:rFonts w:hint="default" w:eastAsia="宋体"/>
                <w:b/>
                <w:bCs/>
                <w:color w:val="auto"/>
                <w:kern w:val="21"/>
                <w:u w:val="single"/>
                <w:lang w:val="en-US" w:eastAsia="zh-CN"/>
              </w:rPr>
            </w:pPr>
            <w:r>
              <w:rPr>
                <w:rFonts w:hint="eastAsia"/>
                <w:b/>
                <w:bCs/>
                <w:color w:val="auto"/>
                <w:kern w:val="21"/>
                <w:u w:val="single"/>
                <w:lang w:val="en-US" w:eastAsia="zh-CN"/>
              </w:rPr>
              <w:t>8.23</w:t>
            </w:r>
            <w:r>
              <w:rPr>
                <w:b/>
                <w:bCs/>
                <w:color w:val="auto"/>
                <w:kern w:val="21"/>
                <w:u w:val="single"/>
              </w:rPr>
              <w:t>E-</w:t>
            </w:r>
            <w:r>
              <w:rPr>
                <w:rFonts w:hint="eastAsia"/>
                <w:b/>
                <w:bCs/>
                <w:color w:val="auto"/>
                <w:kern w:val="21"/>
                <w:u w:val="single"/>
                <w:lang w:val="en-US" w:eastAsia="zh-CN"/>
              </w:rPr>
              <w:t>03</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rFonts w:hint="eastAsia"/>
                <w:b/>
                <w:bCs/>
                <w:color w:val="auto"/>
                <w:kern w:val="21"/>
                <w:u w:val="single"/>
                <w:lang w:val="en-US" w:eastAsia="zh-CN"/>
              </w:rPr>
              <w:t>3</w:t>
            </w:r>
            <w:r>
              <w:rPr>
                <w:b/>
                <w:bCs/>
                <w:color w:val="auto"/>
                <w:kern w:val="21"/>
                <w:u w:val="single"/>
              </w:rPr>
              <w:t>m</w:t>
            </w:r>
          </w:p>
        </w:tc>
        <w:tc>
          <w:tcPr>
            <w:tcW w:w="422" w:type="pct"/>
            <w:vAlign w:val="center"/>
          </w:tcPr>
          <w:p>
            <w:pPr>
              <w:jc w:val="center"/>
              <w:rPr>
                <w:rFonts w:hint="eastAsia" w:eastAsia="宋体"/>
                <w:b/>
                <w:bCs/>
                <w:color w:val="auto"/>
                <w:kern w:val="21"/>
                <w:u w:val="single"/>
                <w:lang w:val="en-US" w:eastAsia="zh-CN"/>
              </w:rPr>
            </w:pPr>
            <w:r>
              <w:rPr>
                <w:rFonts w:hint="eastAsia"/>
                <w:b/>
                <w:bCs/>
                <w:color w:val="auto"/>
                <w:kern w:val="21"/>
                <w:u w:val="single"/>
                <w:lang w:val="en-US" w:eastAsia="zh-CN"/>
              </w:rPr>
              <w:t>9.57</w:t>
            </w:r>
            <w:r>
              <w:rPr>
                <w:b/>
                <w:bCs/>
                <w:color w:val="auto"/>
                <w:kern w:val="21"/>
                <w:u w:val="single"/>
              </w:rPr>
              <w:t>E-0</w:t>
            </w:r>
            <w:r>
              <w:rPr>
                <w:rFonts w:hint="eastAsia"/>
                <w:b/>
                <w:bCs/>
                <w:color w:val="auto"/>
                <w:kern w:val="21"/>
                <w:u w:val="single"/>
                <w:lang w:val="en-US" w:eastAsia="zh-CN"/>
              </w:rPr>
              <w:t>3</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rFonts w:hint="eastAsia"/>
                <w:b/>
                <w:bCs/>
                <w:color w:val="auto"/>
                <w:kern w:val="21"/>
                <w:u w:val="single"/>
                <w:lang w:val="en-US" w:eastAsia="zh-CN"/>
              </w:rPr>
              <w:t>4</w:t>
            </w:r>
            <w:r>
              <w:rPr>
                <w:b/>
                <w:bCs/>
                <w:color w:val="auto"/>
                <w:kern w:val="21"/>
                <w:u w:val="single"/>
              </w:rPr>
              <w:t>m</w:t>
            </w:r>
          </w:p>
        </w:tc>
        <w:tc>
          <w:tcPr>
            <w:tcW w:w="422" w:type="pct"/>
            <w:vAlign w:val="center"/>
          </w:tcPr>
          <w:p>
            <w:pPr>
              <w:jc w:val="center"/>
              <w:rPr>
                <w:rFonts w:hint="default" w:eastAsia="宋体"/>
                <w:b/>
                <w:bCs/>
                <w:color w:val="auto"/>
                <w:kern w:val="21"/>
                <w:u w:val="single"/>
                <w:lang w:val="en-US" w:eastAsia="zh-CN"/>
              </w:rPr>
            </w:pPr>
            <w:r>
              <w:rPr>
                <w:rFonts w:hint="eastAsia"/>
                <w:b/>
                <w:bCs/>
                <w:color w:val="auto"/>
                <w:kern w:val="21"/>
                <w:u w:val="single"/>
                <w:lang w:val="en-US" w:eastAsia="zh-CN"/>
              </w:rPr>
              <w:t>4.22</w:t>
            </w:r>
            <w:r>
              <w:rPr>
                <w:b/>
                <w:bCs/>
                <w:color w:val="auto"/>
                <w:kern w:val="21"/>
                <w:u w:val="single"/>
              </w:rPr>
              <w:t>E-</w:t>
            </w:r>
            <w:r>
              <w:rPr>
                <w:rFonts w:hint="eastAsia"/>
                <w:b/>
                <w:bCs/>
                <w:color w:val="auto"/>
                <w:kern w:val="21"/>
                <w:u w:val="single"/>
                <w:lang w:val="en-US" w:eastAsia="zh-CN"/>
              </w:rPr>
              <w:t>03</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100m</w:t>
            </w:r>
          </w:p>
        </w:tc>
        <w:tc>
          <w:tcPr>
            <w:tcW w:w="475"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b/>
                <w:bCs/>
                <w:color w:val="auto"/>
                <w:kern w:val="21"/>
                <w:u w:val="single"/>
              </w:rPr>
              <w:t>100m</w:t>
            </w:r>
          </w:p>
        </w:tc>
        <w:tc>
          <w:tcPr>
            <w:tcW w:w="422" w:type="pct"/>
            <w:vAlign w:val="center"/>
          </w:tcPr>
          <w:p>
            <w:pPr>
              <w:jc w:val="center"/>
              <w:rPr>
                <w:b/>
                <w:bCs/>
                <w:color w:val="auto"/>
                <w:kern w:val="21"/>
                <w:u w:val="single"/>
              </w:rPr>
            </w:pPr>
            <w:r>
              <w:rPr>
                <w:b/>
                <w:bCs/>
                <w:color w:val="auto"/>
                <w:kern w:val="21"/>
                <w:u w:val="single"/>
              </w:rPr>
              <w:t>0.00E+00</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50m</w:t>
            </w:r>
          </w:p>
        </w:tc>
        <w:tc>
          <w:tcPr>
            <w:tcW w:w="422"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500m</w:t>
            </w:r>
          </w:p>
        </w:tc>
        <w:tc>
          <w:tcPr>
            <w:tcW w:w="475"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b/>
                <w:bCs/>
                <w:color w:val="auto"/>
                <w:kern w:val="21"/>
                <w:u w:val="single"/>
              </w:rPr>
              <w:t>500m</w:t>
            </w:r>
          </w:p>
        </w:tc>
        <w:tc>
          <w:tcPr>
            <w:tcW w:w="422" w:type="pct"/>
            <w:vAlign w:val="center"/>
          </w:tcPr>
          <w:p>
            <w:pPr>
              <w:jc w:val="center"/>
              <w:rPr>
                <w:b/>
                <w:bCs/>
                <w:color w:val="auto"/>
                <w:kern w:val="21"/>
                <w:u w:val="single"/>
              </w:rPr>
            </w:pPr>
            <w:r>
              <w:rPr>
                <w:b/>
                <w:bCs/>
                <w:color w:val="auto"/>
                <w:kern w:val="21"/>
                <w:u w:val="single"/>
              </w:rPr>
              <w:t>0.00E+00</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100m</w:t>
            </w:r>
          </w:p>
        </w:tc>
        <w:tc>
          <w:tcPr>
            <w:tcW w:w="422"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1000m</w:t>
            </w:r>
          </w:p>
        </w:tc>
        <w:tc>
          <w:tcPr>
            <w:tcW w:w="475"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b/>
                <w:bCs/>
                <w:color w:val="auto"/>
                <w:kern w:val="21"/>
                <w:u w:val="single"/>
              </w:rPr>
              <w:t>1000m</w:t>
            </w:r>
          </w:p>
        </w:tc>
        <w:tc>
          <w:tcPr>
            <w:tcW w:w="422" w:type="pct"/>
            <w:vAlign w:val="center"/>
          </w:tcPr>
          <w:p>
            <w:pPr>
              <w:jc w:val="center"/>
              <w:rPr>
                <w:b/>
                <w:bCs/>
                <w:color w:val="auto"/>
                <w:kern w:val="21"/>
                <w:u w:val="single"/>
              </w:rPr>
            </w:pPr>
            <w:r>
              <w:rPr>
                <w:b/>
                <w:bCs/>
                <w:color w:val="auto"/>
                <w:kern w:val="21"/>
                <w:u w:val="single"/>
              </w:rPr>
              <w:t>0.00E+00</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1000m</w:t>
            </w:r>
          </w:p>
        </w:tc>
        <w:tc>
          <w:tcPr>
            <w:tcW w:w="422"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restart"/>
            <w:vAlign w:val="center"/>
          </w:tcPr>
          <w:p>
            <w:pPr>
              <w:jc w:val="center"/>
              <w:rPr>
                <w:b/>
                <w:bCs/>
                <w:color w:val="auto"/>
                <w:kern w:val="21"/>
                <w:u w:val="single"/>
              </w:rPr>
            </w:pPr>
            <w:r>
              <w:rPr>
                <w:b/>
                <w:bCs/>
                <w:color w:val="auto"/>
                <w:kern w:val="21"/>
                <w:u w:val="single"/>
              </w:rPr>
              <w:t>1000d</w:t>
            </w:r>
          </w:p>
        </w:tc>
        <w:tc>
          <w:tcPr>
            <w:tcW w:w="368" w:type="pct"/>
            <w:vAlign w:val="center"/>
          </w:tcPr>
          <w:p>
            <w:pPr>
              <w:jc w:val="center"/>
              <w:rPr>
                <w:b/>
                <w:bCs/>
                <w:color w:val="auto"/>
                <w:kern w:val="21"/>
                <w:u w:val="single"/>
              </w:rPr>
            </w:pPr>
            <w:r>
              <w:rPr>
                <w:rFonts w:hint="eastAsia"/>
                <w:b/>
                <w:bCs/>
                <w:color w:val="auto"/>
                <w:kern w:val="21"/>
                <w:u w:val="single"/>
                <w:lang w:val="en-US" w:eastAsia="zh-CN"/>
              </w:rPr>
              <w:t>6</w:t>
            </w:r>
            <w:r>
              <w:rPr>
                <w:b/>
                <w:bCs/>
                <w:color w:val="auto"/>
                <w:kern w:val="21"/>
                <w:u w:val="single"/>
              </w:rPr>
              <w:t>m</w:t>
            </w:r>
          </w:p>
        </w:tc>
        <w:tc>
          <w:tcPr>
            <w:tcW w:w="475" w:type="pct"/>
            <w:vAlign w:val="center"/>
          </w:tcPr>
          <w:p>
            <w:pPr>
              <w:jc w:val="center"/>
              <w:rPr>
                <w:b/>
                <w:bCs/>
                <w:color w:val="auto"/>
                <w:kern w:val="21"/>
                <w:u w:val="single"/>
              </w:rPr>
            </w:pPr>
            <w:r>
              <w:rPr>
                <w:b/>
                <w:bCs/>
                <w:color w:val="auto"/>
                <w:kern w:val="21"/>
                <w:u w:val="single"/>
              </w:rPr>
              <w:t>1.</w:t>
            </w:r>
            <w:r>
              <w:rPr>
                <w:rFonts w:hint="eastAsia"/>
                <w:b/>
                <w:bCs/>
                <w:color w:val="auto"/>
                <w:kern w:val="21"/>
                <w:u w:val="single"/>
                <w:lang w:val="en-US" w:eastAsia="zh-CN"/>
              </w:rPr>
              <w:t>28</w:t>
            </w:r>
            <w:r>
              <w:rPr>
                <w:b/>
                <w:bCs/>
                <w:color w:val="auto"/>
                <w:kern w:val="21"/>
                <w:u w:val="single"/>
              </w:rPr>
              <w:t>E-01</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rFonts w:hint="eastAsia"/>
                <w:b/>
                <w:bCs/>
                <w:color w:val="auto"/>
                <w:kern w:val="21"/>
                <w:u w:val="single"/>
                <w:lang w:val="en-US" w:eastAsia="zh-CN"/>
              </w:rPr>
              <w:t>6</w:t>
            </w:r>
            <w:r>
              <w:rPr>
                <w:b/>
                <w:bCs/>
                <w:color w:val="auto"/>
                <w:kern w:val="21"/>
                <w:u w:val="single"/>
              </w:rPr>
              <w:t>m</w:t>
            </w:r>
          </w:p>
        </w:tc>
        <w:tc>
          <w:tcPr>
            <w:tcW w:w="422" w:type="pct"/>
            <w:vAlign w:val="center"/>
          </w:tcPr>
          <w:p>
            <w:pPr>
              <w:jc w:val="center"/>
              <w:rPr>
                <w:b/>
                <w:bCs/>
                <w:color w:val="auto"/>
                <w:kern w:val="21"/>
                <w:u w:val="single"/>
              </w:rPr>
            </w:pPr>
            <w:r>
              <w:rPr>
                <w:rFonts w:hint="eastAsia"/>
                <w:b/>
                <w:bCs/>
                <w:color w:val="auto"/>
                <w:kern w:val="21"/>
                <w:u w:val="single"/>
                <w:lang w:val="en-US" w:eastAsia="zh-CN"/>
              </w:rPr>
              <w:t>1.39</w:t>
            </w:r>
            <w:r>
              <w:rPr>
                <w:b/>
                <w:bCs/>
                <w:color w:val="auto"/>
                <w:kern w:val="21"/>
                <w:u w:val="single"/>
              </w:rPr>
              <w:t>E-02</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rFonts w:hint="eastAsia"/>
                <w:b/>
                <w:bCs/>
                <w:color w:val="auto"/>
                <w:kern w:val="21"/>
                <w:u w:val="single"/>
                <w:lang w:val="en-US" w:eastAsia="zh-CN"/>
              </w:rPr>
              <w:t>达</w:t>
            </w:r>
            <w:r>
              <w:rPr>
                <w:b/>
                <w:bCs/>
                <w:color w:val="auto"/>
                <w:kern w:val="21"/>
                <w:u w:val="single"/>
              </w:rPr>
              <w:t>标</w:t>
            </w:r>
          </w:p>
        </w:tc>
        <w:tc>
          <w:tcPr>
            <w:tcW w:w="315" w:type="pct"/>
            <w:vAlign w:val="center"/>
          </w:tcPr>
          <w:p>
            <w:pPr>
              <w:jc w:val="center"/>
              <w:rPr>
                <w:b/>
                <w:bCs/>
                <w:color w:val="auto"/>
                <w:kern w:val="21"/>
                <w:u w:val="single"/>
              </w:rPr>
            </w:pPr>
            <w:r>
              <w:rPr>
                <w:rFonts w:hint="eastAsia"/>
                <w:b/>
                <w:bCs/>
                <w:color w:val="auto"/>
                <w:kern w:val="21"/>
                <w:u w:val="single"/>
                <w:lang w:val="en-US" w:eastAsia="zh-CN"/>
              </w:rPr>
              <w:t>6</w:t>
            </w:r>
            <w:r>
              <w:rPr>
                <w:b/>
                <w:bCs/>
                <w:color w:val="auto"/>
                <w:kern w:val="21"/>
                <w:u w:val="single"/>
              </w:rPr>
              <w:t>m</w:t>
            </w:r>
          </w:p>
        </w:tc>
        <w:tc>
          <w:tcPr>
            <w:tcW w:w="422" w:type="pct"/>
            <w:vAlign w:val="center"/>
          </w:tcPr>
          <w:p>
            <w:pPr>
              <w:rPr>
                <w:b/>
                <w:bCs/>
                <w:color w:val="auto"/>
                <w:kern w:val="21"/>
                <w:u w:val="single"/>
              </w:rPr>
            </w:pPr>
            <w:r>
              <w:rPr>
                <w:rFonts w:hint="eastAsia"/>
                <w:b/>
                <w:bCs/>
                <w:color w:val="auto"/>
                <w:kern w:val="21"/>
                <w:u w:val="single"/>
                <w:lang w:val="en-US" w:eastAsia="zh-CN"/>
              </w:rPr>
              <w:t>6.53</w:t>
            </w:r>
            <w:r>
              <w:rPr>
                <w:b/>
                <w:bCs/>
                <w:color w:val="auto"/>
                <w:kern w:val="21"/>
                <w:u w:val="single"/>
              </w:rPr>
              <w:t>E-02</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1</w:t>
            </w:r>
            <w:r>
              <w:rPr>
                <w:rFonts w:hint="eastAsia"/>
                <w:b/>
                <w:bCs/>
                <w:color w:val="auto"/>
                <w:kern w:val="21"/>
                <w:u w:val="single"/>
                <w:lang w:val="en-US" w:eastAsia="zh-CN"/>
              </w:rPr>
              <w:t>0</w:t>
            </w:r>
            <w:r>
              <w:rPr>
                <w:b/>
                <w:bCs/>
                <w:color w:val="auto"/>
                <w:kern w:val="21"/>
                <w:u w:val="single"/>
              </w:rPr>
              <w:t>m</w:t>
            </w:r>
          </w:p>
        </w:tc>
        <w:tc>
          <w:tcPr>
            <w:tcW w:w="475" w:type="pct"/>
            <w:vAlign w:val="center"/>
          </w:tcPr>
          <w:p>
            <w:pPr>
              <w:jc w:val="center"/>
              <w:rPr>
                <w:b/>
                <w:bCs/>
                <w:color w:val="auto"/>
                <w:kern w:val="21"/>
                <w:u w:val="single"/>
              </w:rPr>
            </w:pPr>
            <w:r>
              <w:rPr>
                <w:rFonts w:hint="eastAsia"/>
                <w:b/>
                <w:bCs/>
                <w:color w:val="auto"/>
                <w:kern w:val="21"/>
                <w:u w:val="single"/>
                <w:lang w:val="en-US" w:eastAsia="zh-CN"/>
              </w:rPr>
              <w:t>6.72</w:t>
            </w:r>
            <w:r>
              <w:rPr>
                <w:b/>
                <w:bCs/>
                <w:color w:val="auto"/>
                <w:kern w:val="21"/>
                <w:u w:val="single"/>
              </w:rPr>
              <w:t>E-02</w:t>
            </w:r>
          </w:p>
        </w:tc>
        <w:tc>
          <w:tcPr>
            <w:tcW w:w="474" w:type="pct"/>
            <w:vAlign w:val="center"/>
          </w:tcPr>
          <w:p>
            <w:pPr>
              <w:jc w:val="center"/>
              <w:rPr>
                <w:b/>
                <w:bCs/>
                <w:color w:val="auto"/>
                <w:kern w:val="21"/>
                <w:u w:val="single"/>
              </w:rPr>
            </w:pPr>
            <w:r>
              <w:rPr>
                <w:b/>
                <w:bCs/>
                <w:color w:val="auto"/>
                <w:kern w:val="21"/>
                <w:u w:val="single"/>
              </w:rPr>
              <w:t>检出（0.05）</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ind w:firstLine="211" w:firstLineChars="100"/>
              <w:jc w:val="both"/>
              <w:rPr>
                <w:b/>
                <w:bCs/>
                <w:color w:val="auto"/>
                <w:kern w:val="21"/>
                <w:u w:val="single"/>
              </w:rPr>
            </w:pPr>
            <w:r>
              <w:rPr>
                <w:rFonts w:hint="eastAsia"/>
                <w:b/>
                <w:bCs/>
                <w:color w:val="auto"/>
                <w:kern w:val="21"/>
                <w:u w:val="single"/>
                <w:lang w:val="en-US" w:eastAsia="zh-CN"/>
              </w:rPr>
              <w:t>8</w:t>
            </w:r>
            <w:r>
              <w:rPr>
                <w:b/>
                <w:bCs/>
                <w:color w:val="auto"/>
                <w:kern w:val="21"/>
                <w:u w:val="single"/>
              </w:rPr>
              <w:t>m</w:t>
            </w:r>
          </w:p>
        </w:tc>
        <w:tc>
          <w:tcPr>
            <w:tcW w:w="422" w:type="pct"/>
            <w:vAlign w:val="center"/>
          </w:tcPr>
          <w:p>
            <w:pPr>
              <w:jc w:val="center"/>
              <w:rPr>
                <w:b/>
                <w:bCs/>
                <w:color w:val="auto"/>
                <w:kern w:val="21"/>
                <w:u w:val="single"/>
              </w:rPr>
            </w:pPr>
            <w:r>
              <w:rPr>
                <w:rFonts w:hint="eastAsia"/>
                <w:b/>
                <w:bCs/>
                <w:color w:val="auto"/>
                <w:kern w:val="21"/>
                <w:u w:val="single"/>
                <w:lang w:val="en-US" w:eastAsia="zh-CN"/>
              </w:rPr>
              <w:t>1.21</w:t>
            </w:r>
            <w:r>
              <w:rPr>
                <w:b/>
                <w:bCs/>
                <w:color w:val="auto"/>
                <w:kern w:val="21"/>
                <w:u w:val="single"/>
              </w:rPr>
              <w:t>E-02</w:t>
            </w:r>
          </w:p>
        </w:tc>
        <w:tc>
          <w:tcPr>
            <w:tcW w:w="526" w:type="pct"/>
            <w:vAlign w:val="center"/>
          </w:tcPr>
          <w:p>
            <w:pPr>
              <w:jc w:val="center"/>
              <w:rPr>
                <w:b/>
                <w:bCs/>
                <w:color w:val="auto"/>
                <w:kern w:val="21"/>
                <w:u w:val="single"/>
              </w:rPr>
            </w:pPr>
            <w:r>
              <w:rPr>
                <w:b/>
                <w:bCs/>
                <w:color w:val="auto"/>
                <w:kern w:val="21"/>
                <w:u w:val="single"/>
              </w:rPr>
              <w:t>检出（0.025）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rFonts w:hint="eastAsia"/>
                <w:b/>
                <w:bCs/>
                <w:color w:val="auto"/>
                <w:kern w:val="21"/>
                <w:u w:val="single"/>
                <w:lang w:val="en-US" w:eastAsia="zh-CN"/>
              </w:rPr>
              <w:t>13</w:t>
            </w:r>
            <w:r>
              <w:rPr>
                <w:b/>
                <w:bCs/>
                <w:color w:val="auto"/>
                <w:kern w:val="21"/>
                <w:u w:val="single"/>
              </w:rPr>
              <w:t>m</w:t>
            </w:r>
          </w:p>
        </w:tc>
        <w:tc>
          <w:tcPr>
            <w:tcW w:w="422" w:type="pct"/>
            <w:vAlign w:val="center"/>
          </w:tcPr>
          <w:p>
            <w:pPr>
              <w:rPr>
                <w:b/>
                <w:bCs/>
                <w:color w:val="auto"/>
                <w:kern w:val="21"/>
                <w:u w:val="single"/>
              </w:rPr>
            </w:pPr>
            <w:r>
              <w:rPr>
                <w:rFonts w:hint="eastAsia"/>
                <w:b/>
                <w:bCs/>
                <w:color w:val="auto"/>
                <w:kern w:val="21"/>
                <w:u w:val="single"/>
                <w:lang w:val="en-US" w:eastAsia="zh-CN"/>
              </w:rPr>
              <w:t>8.04</w:t>
            </w:r>
            <w:r>
              <w:rPr>
                <w:b/>
                <w:bCs/>
                <w:color w:val="auto"/>
                <w:kern w:val="21"/>
                <w:u w:val="single"/>
              </w:rPr>
              <w:t>E-0</w:t>
            </w:r>
            <w:r>
              <w:rPr>
                <w:rFonts w:hint="eastAsia"/>
                <w:b/>
                <w:bCs/>
                <w:color w:val="auto"/>
                <w:kern w:val="21"/>
                <w:u w:val="single"/>
                <w:lang w:val="en-US" w:eastAsia="zh-CN"/>
              </w:rPr>
              <w:t>3</w:t>
            </w:r>
          </w:p>
        </w:tc>
        <w:tc>
          <w:tcPr>
            <w:tcW w:w="474" w:type="pct"/>
            <w:vAlign w:val="center"/>
          </w:tcPr>
          <w:p>
            <w:pPr>
              <w:jc w:val="center"/>
              <w:rPr>
                <w:b/>
                <w:bCs/>
                <w:color w:val="auto"/>
                <w:kern w:val="21"/>
                <w:u w:val="single"/>
              </w:rPr>
            </w:pPr>
            <w:r>
              <w:rPr>
                <w:b/>
                <w:bCs/>
                <w:color w:val="auto"/>
                <w:kern w:val="21"/>
                <w:u w:val="single"/>
              </w:rPr>
              <w:t>检出</w:t>
            </w:r>
            <w:r>
              <w:rPr>
                <w:rFonts w:hint="eastAsia"/>
                <w:b/>
                <w:bCs/>
                <w:color w:val="auto"/>
                <w:kern w:val="21"/>
                <w:u w:val="single"/>
                <w:lang w:eastAsia="zh-CN"/>
              </w:rPr>
              <w:t>(</w:t>
            </w:r>
            <w:r>
              <w:rPr>
                <w:b/>
                <w:bCs/>
                <w:color w:val="auto"/>
                <w:kern w:val="21"/>
                <w:u w:val="single"/>
              </w:rPr>
              <w:t>0.</w:t>
            </w:r>
            <w:r>
              <w:rPr>
                <w:rFonts w:hint="eastAsia"/>
                <w:b/>
                <w:bCs/>
                <w:color w:val="auto"/>
                <w:kern w:val="21"/>
                <w:u w:val="single"/>
              </w:rPr>
              <w:t>005</w:t>
            </w:r>
            <w:r>
              <w:rPr>
                <w:b/>
                <w:bCs/>
                <w:color w:val="auto"/>
                <w:kern w:val="21"/>
                <w:u w:val="single"/>
              </w:rPr>
              <w:t>)</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1</w:t>
            </w:r>
            <w:r>
              <w:rPr>
                <w:rFonts w:hint="eastAsia"/>
                <w:b/>
                <w:bCs/>
                <w:color w:val="auto"/>
                <w:kern w:val="21"/>
                <w:u w:val="single"/>
                <w:lang w:val="en-US" w:eastAsia="zh-CN"/>
              </w:rPr>
              <w:t>1</w:t>
            </w:r>
            <w:r>
              <w:rPr>
                <w:b/>
                <w:bCs/>
                <w:color w:val="auto"/>
                <w:kern w:val="21"/>
                <w:u w:val="single"/>
              </w:rPr>
              <w:t>m</w:t>
            </w:r>
          </w:p>
        </w:tc>
        <w:tc>
          <w:tcPr>
            <w:tcW w:w="475" w:type="pct"/>
            <w:vAlign w:val="center"/>
          </w:tcPr>
          <w:p>
            <w:pPr>
              <w:jc w:val="center"/>
              <w:rPr>
                <w:b/>
                <w:bCs/>
                <w:color w:val="auto"/>
                <w:kern w:val="21"/>
                <w:u w:val="single"/>
              </w:rPr>
            </w:pPr>
            <w:r>
              <w:rPr>
                <w:rFonts w:hint="eastAsia"/>
                <w:b/>
                <w:bCs/>
                <w:color w:val="auto"/>
                <w:kern w:val="21"/>
                <w:u w:val="single"/>
                <w:lang w:val="en-US" w:eastAsia="zh-CN"/>
              </w:rPr>
              <w:t>4.54</w:t>
            </w:r>
            <w:r>
              <w:rPr>
                <w:b/>
                <w:bCs/>
                <w:color w:val="auto"/>
                <w:kern w:val="21"/>
                <w:u w:val="single"/>
              </w:rPr>
              <w:t>E-02</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rFonts w:hint="eastAsia"/>
                <w:b/>
                <w:bCs/>
                <w:color w:val="auto"/>
                <w:kern w:val="21"/>
                <w:u w:val="single"/>
                <w:lang w:val="en-US" w:eastAsia="zh-CN"/>
              </w:rPr>
              <w:t>32</w:t>
            </w:r>
            <w:r>
              <w:rPr>
                <w:b/>
                <w:bCs/>
                <w:color w:val="auto"/>
                <w:kern w:val="21"/>
                <w:u w:val="single"/>
              </w:rPr>
              <w:t>m</w:t>
            </w:r>
          </w:p>
        </w:tc>
        <w:tc>
          <w:tcPr>
            <w:tcW w:w="422" w:type="pct"/>
            <w:vAlign w:val="center"/>
          </w:tcPr>
          <w:p>
            <w:pPr>
              <w:jc w:val="center"/>
              <w:rPr>
                <w:rFonts w:hint="default" w:eastAsia="宋体"/>
                <w:b/>
                <w:bCs/>
                <w:color w:val="auto"/>
                <w:kern w:val="21"/>
                <w:u w:val="single"/>
                <w:lang w:val="en-US" w:eastAsia="zh-CN"/>
              </w:rPr>
            </w:pPr>
            <w:r>
              <w:rPr>
                <w:rFonts w:hint="eastAsia"/>
                <w:b/>
                <w:bCs/>
                <w:color w:val="auto"/>
                <w:kern w:val="21"/>
                <w:u w:val="single"/>
                <w:lang w:val="en-US" w:eastAsia="zh-CN"/>
              </w:rPr>
              <w:t>2.36</w:t>
            </w:r>
            <w:r>
              <w:rPr>
                <w:b/>
                <w:bCs/>
                <w:color w:val="auto"/>
                <w:kern w:val="21"/>
                <w:u w:val="single"/>
              </w:rPr>
              <w:t>E-</w:t>
            </w:r>
            <w:r>
              <w:rPr>
                <w:rFonts w:hint="eastAsia"/>
                <w:b/>
                <w:bCs/>
                <w:color w:val="auto"/>
                <w:kern w:val="21"/>
                <w:u w:val="single"/>
                <w:lang w:val="en-US" w:eastAsia="zh-CN"/>
              </w:rPr>
              <w:t>15</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rFonts w:hint="eastAsia"/>
                <w:b/>
                <w:bCs/>
                <w:color w:val="auto"/>
                <w:kern w:val="21"/>
                <w:u w:val="single"/>
                <w:lang w:val="en-US" w:eastAsia="zh-CN"/>
              </w:rPr>
              <w:t>14</w:t>
            </w:r>
            <w:r>
              <w:rPr>
                <w:b/>
                <w:bCs/>
                <w:color w:val="auto"/>
                <w:kern w:val="21"/>
                <w:u w:val="single"/>
              </w:rPr>
              <w:t>m</w:t>
            </w:r>
          </w:p>
        </w:tc>
        <w:tc>
          <w:tcPr>
            <w:tcW w:w="422" w:type="pct"/>
            <w:vAlign w:val="center"/>
          </w:tcPr>
          <w:p>
            <w:pPr>
              <w:rPr>
                <w:b/>
                <w:bCs/>
                <w:color w:val="auto"/>
                <w:kern w:val="21"/>
                <w:u w:val="single"/>
              </w:rPr>
            </w:pPr>
            <w:r>
              <w:rPr>
                <w:b/>
                <w:bCs/>
                <w:color w:val="auto"/>
                <w:kern w:val="21"/>
                <w:u w:val="single"/>
              </w:rPr>
              <w:t>4.13E-03</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100m</w:t>
            </w:r>
          </w:p>
        </w:tc>
        <w:tc>
          <w:tcPr>
            <w:tcW w:w="475"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b/>
                <w:bCs/>
                <w:color w:val="auto"/>
                <w:kern w:val="21"/>
                <w:u w:val="single"/>
              </w:rPr>
              <w:t>100m</w:t>
            </w:r>
          </w:p>
        </w:tc>
        <w:tc>
          <w:tcPr>
            <w:tcW w:w="422" w:type="pct"/>
            <w:vAlign w:val="center"/>
          </w:tcPr>
          <w:p>
            <w:pPr>
              <w:jc w:val="center"/>
              <w:rPr>
                <w:b/>
                <w:bCs/>
                <w:color w:val="auto"/>
                <w:kern w:val="21"/>
                <w:u w:val="single"/>
              </w:rPr>
            </w:pPr>
            <w:r>
              <w:rPr>
                <w:b/>
                <w:bCs/>
                <w:color w:val="auto"/>
                <w:kern w:val="21"/>
                <w:u w:val="single"/>
              </w:rPr>
              <w:t>0.00E+00</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100m</w:t>
            </w:r>
          </w:p>
        </w:tc>
        <w:tc>
          <w:tcPr>
            <w:tcW w:w="422"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500m</w:t>
            </w:r>
          </w:p>
        </w:tc>
        <w:tc>
          <w:tcPr>
            <w:tcW w:w="475"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b/>
                <w:bCs/>
                <w:color w:val="auto"/>
                <w:kern w:val="21"/>
                <w:u w:val="single"/>
              </w:rPr>
              <w:t>500m</w:t>
            </w:r>
          </w:p>
        </w:tc>
        <w:tc>
          <w:tcPr>
            <w:tcW w:w="422" w:type="pct"/>
            <w:vAlign w:val="center"/>
          </w:tcPr>
          <w:p>
            <w:pPr>
              <w:jc w:val="center"/>
              <w:rPr>
                <w:b/>
                <w:bCs/>
                <w:color w:val="auto"/>
                <w:kern w:val="21"/>
                <w:u w:val="single"/>
              </w:rPr>
            </w:pPr>
            <w:r>
              <w:rPr>
                <w:b/>
                <w:bCs/>
                <w:color w:val="auto"/>
                <w:kern w:val="21"/>
                <w:u w:val="single"/>
              </w:rPr>
              <w:t>0.00E+00</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500m</w:t>
            </w:r>
          </w:p>
        </w:tc>
        <w:tc>
          <w:tcPr>
            <w:tcW w:w="422"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3" w:type="pct"/>
            <w:vMerge w:val="continue"/>
            <w:vAlign w:val="center"/>
          </w:tcPr>
          <w:p>
            <w:pPr>
              <w:jc w:val="center"/>
              <w:rPr>
                <w:b/>
                <w:bCs/>
                <w:color w:val="auto"/>
                <w:kern w:val="21"/>
                <w:u w:val="single"/>
              </w:rPr>
            </w:pPr>
          </w:p>
        </w:tc>
        <w:tc>
          <w:tcPr>
            <w:tcW w:w="368" w:type="pct"/>
            <w:vAlign w:val="center"/>
          </w:tcPr>
          <w:p>
            <w:pPr>
              <w:jc w:val="center"/>
              <w:rPr>
                <w:b/>
                <w:bCs/>
                <w:color w:val="auto"/>
                <w:kern w:val="21"/>
                <w:u w:val="single"/>
              </w:rPr>
            </w:pPr>
            <w:r>
              <w:rPr>
                <w:b/>
                <w:bCs/>
                <w:color w:val="auto"/>
                <w:kern w:val="21"/>
                <w:u w:val="single"/>
              </w:rPr>
              <w:t>1000m</w:t>
            </w:r>
          </w:p>
        </w:tc>
        <w:tc>
          <w:tcPr>
            <w:tcW w:w="475"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3.0</w:t>
            </w:r>
          </w:p>
        </w:tc>
        <w:tc>
          <w:tcPr>
            <w:tcW w:w="316" w:type="pct"/>
            <w:vAlign w:val="center"/>
          </w:tcPr>
          <w:p>
            <w:pPr>
              <w:jc w:val="center"/>
              <w:rPr>
                <w:b/>
                <w:bCs/>
                <w:color w:val="auto"/>
                <w:kern w:val="21"/>
                <w:u w:val="single"/>
              </w:rPr>
            </w:pPr>
            <w:r>
              <w:rPr>
                <w:b/>
                <w:bCs/>
                <w:color w:val="auto"/>
                <w:kern w:val="21"/>
                <w:u w:val="single"/>
              </w:rPr>
              <w:t>达标</w:t>
            </w:r>
          </w:p>
        </w:tc>
        <w:tc>
          <w:tcPr>
            <w:tcW w:w="368" w:type="pct"/>
            <w:vAlign w:val="center"/>
          </w:tcPr>
          <w:p>
            <w:pPr>
              <w:jc w:val="center"/>
              <w:rPr>
                <w:b/>
                <w:bCs/>
                <w:color w:val="auto"/>
                <w:kern w:val="21"/>
                <w:u w:val="single"/>
              </w:rPr>
            </w:pPr>
            <w:r>
              <w:rPr>
                <w:b/>
                <w:bCs/>
                <w:color w:val="auto"/>
                <w:kern w:val="21"/>
                <w:u w:val="single"/>
              </w:rPr>
              <w:t>1000m</w:t>
            </w:r>
          </w:p>
        </w:tc>
        <w:tc>
          <w:tcPr>
            <w:tcW w:w="422" w:type="pct"/>
            <w:vAlign w:val="center"/>
          </w:tcPr>
          <w:p>
            <w:pPr>
              <w:jc w:val="center"/>
              <w:rPr>
                <w:b/>
                <w:bCs/>
                <w:color w:val="auto"/>
                <w:kern w:val="21"/>
                <w:u w:val="single"/>
              </w:rPr>
            </w:pPr>
            <w:r>
              <w:rPr>
                <w:b/>
                <w:bCs/>
                <w:color w:val="auto"/>
                <w:kern w:val="21"/>
                <w:u w:val="single"/>
              </w:rPr>
              <w:t>0.00E+00</w:t>
            </w:r>
          </w:p>
        </w:tc>
        <w:tc>
          <w:tcPr>
            <w:tcW w:w="526" w:type="pct"/>
            <w:vAlign w:val="center"/>
          </w:tcPr>
          <w:p>
            <w:pPr>
              <w:jc w:val="center"/>
              <w:rPr>
                <w:b/>
                <w:bCs/>
                <w:color w:val="auto"/>
                <w:kern w:val="21"/>
                <w:u w:val="single"/>
              </w:rPr>
            </w:pPr>
            <w:r>
              <w:rPr>
                <w:b/>
                <w:bCs/>
                <w:color w:val="auto"/>
                <w:kern w:val="21"/>
                <w:u w:val="single"/>
              </w:rPr>
              <w:t>0.5</w:t>
            </w:r>
          </w:p>
        </w:tc>
        <w:tc>
          <w:tcPr>
            <w:tcW w:w="263" w:type="pct"/>
            <w:vAlign w:val="center"/>
          </w:tcPr>
          <w:p>
            <w:pPr>
              <w:jc w:val="center"/>
              <w:rPr>
                <w:b/>
                <w:bCs/>
                <w:color w:val="auto"/>
                <w:kern w:val="21"/>
                <w:u w:val="single"/>
              </w:rPr>
            </w:pPr>
            <w:r>
              <w:rPr>
                <w:b/>
                <w:bCs/>
                <w:color w:val="auto"/>
                <w:kern w:val="21"/>
                <w:u w:val="single"/>
              </w:rPr>
              <w:t>达标</w:t>
            </w:r>
          </w:p>
        </w:tc>
        <w:tc>
          <w:tcPr>
            <w:tcW w:w="315" w:type="pct"/>
            <w:vAlign w:val="center"/>
          </w:tcPr>
          <w:p>
            <w:pPr>
              <w:jc w:val="center"/>
              <w:rPr>
                <w:b/>
                <w:bCs/>
                <w:color w:val="auto"/>
                <w:kern w:val="21"/>
                <w:u w:val="single"/>
              </w:rPr>
            </w:pPr>
            <w:r>
              <w:rPr>
                <w:b/>
                <w:bCs/>
                <w:color w:val="auto"/>
                <w:kern w:val="21"/>
                <w:u w:val="single"/>
              </w:rPr>
              <w:t>1000m</w:t>
            </w:r>
          </w:p>
        </w:tc>
        <w:tc>
          <w:tcPr>
            <w:tcW w:w="422" w:type="pct"/>
            <w:vAlign w:val="center"/>
          </w:tcPr>
          <w:p>
            <w:pPr>
              <w:jc w:val="center"/>
              <w:rPr>
                <w:b/>
                <w:bCs/>
                <w:color w:val="auto"/>
                <w:kern w:val="21"/>
                <w:u w:val="single"/>
              </w:rPr>
            </w:pPr>
            <w:r>
              <w:rPr>
                <w:b/>
                <w:bCs/>
                <w:color w:val="auto"/>
                <w:kern w:val="21"/>
                <w:u w:val="single"/>
              </w:rPr>
              <w:t>0.00E+00</w:t>
            </w:r>
          </w:p>
        </w:tc>
        <w:tc>
          <w:tcPr>
            <w:tcW w:w="474" w:type="pct"/>
            <w:vAlign w:val="center"/>
          </w:tcPr>
          <w:p>
            <w:pPr>
              <w:jc w:val="center"/>
              <w:rPr>
                <w:b/>
                <w:bCs/>
                <w:color w:val="auto"/>
                <w:kern w:val="21"/>
                <w:u w:val="single"/>
              </w:rPr>
            </w:pPr>
            <w:r>
              <w:rPr>
                <w:b/>
                <w:bCs/>
                <w:color w:val="auto"/>
                <w:kern w:val="21"/>
                <w:u w:val="single"/>
              </w:rPr>
              <w:t>0.02</w:t>
            </w:r>
          </w:p>
        </w:tc>
        <w:tc>
          <w:tcPr>
            <w:tcW w:w="273" w:type="pct"/>
            <w:vAlign w:val="center"/>
          </w:tcPr>
          <w:p>
            <w:pPr>
              <w:jc w:val="center"/>
              <w:rPr>
                <w:b/>
                <w:bCs/>
                <w:color w:val="auto"/>
                <w:kern w:val="21"/>
                <w:u w:val="single"/>
              </w:rPr>
            </w:pPr>
            <w:r>
              <w:rPr>
                <w:b/>
                <w:bCs/>
                <w:color w:val="auto"/>
                <w:kern w:val="21"/>
                <w:u w:val="single"/>
              </w:rPr>
              <w:t>达标</w:t>
            </w:r>
          </w:p>
        </w:tc>
      </w:tr>
    </w:tbl>
    <w:p>
      <w:pPr>
        <w:pStyle w:val="43"/>
      </w:pPr>
    </w:p>
    <w:p>
      <w:pPr>
        <w:adjustRightInd w:val="0"/>
        <w:snapToGrid w:val="0"/>
        <w:jc w:val="center"/>
        <w:rPr>
          <w:rFonts w:eastAsia="黑体"/>
          <w:color w:val="auto"/>
          <w:kern w:val="21"/>
          <w:sz w:val="24"/>
          <w:u w:val="single"/>
        </w:rPr>
        <w:sectPr>
          <w:pgSz w:w="16840" w:h="11907" w:orient="landscape"/>
          <w:pgMar w:top="1797" w:right="1440" w:bottom="1797" w:left="1440" w:header="992" w:footer="992" w:gutter="0"/>
          <w:pgNumType w:fmt="numberInDash"/>
          <w:cols w:space="720" w:num="1"/>
          <w:docGrid w:linePitch="312" w:charSpace="0"/>
        </w:sectPr>
      </w:pPr>
    </w:p>
    <w:p>
      <w:pPr>
        <w:adjustRightInd w:val="0"/>
        <w:snapToGrid w:val="0"/>
        <w:jc w:val="center"/>
        <w:rPr>
          <w:rFonts w:eastAsia="黑体"/>
          <w:b/>
          <w:bCs w:val="0"/>
          <w:color w:val="auto"/>
          <w:kern w:val="21"/>
          <w:sz w:val="24"/>
          <w:u w:val="single"/>
        </w:rPr>
      </w:pPr>
      <w:r>
        <w:rPr>
          <w:rFonts w:eastAsia="黑体"/>
          <w:b/>
          <w:bCs w:val="0"/>
          <w:color w:val="auto"/>
          <w:kern w:val="21"/>
          <w:sz w:val="24"/>
          <w:u w:val="single"/>
        </w:rPr>
        <w:t>表5.5-8    地下水影响预测结果一览表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851"/>
        <w:gridCol w:w="1054"/>
        <w:gridCol w:w="1167"/>
        <w:gridCol w:w="654"/>
        <w:gridCol w:w="913"/>
        <w:gridCol w:w="1054"/>
        <w:gridCol w:w="1301"/>
        <w:gridCol w:w="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restart"/>
            <w:vAlign w:val="center"/>
          </w:tcPr>
          <w:p>
            <w:pPr>
              <w:jc w:val="center"/>
              <w:rPr>
                <w:b/>
                <w:bCs w:val="0"/>
                <w:kern w:val="21"/>
                <w:u w:val="single"/>
              </w:rPr>
            </w:pPr>
            <w:r>
              <w:rPr>
                <w:b/>
                <w:bCs w:val="0"/>
                <w:kern w:val="21"/>
                <w:u w:val="single"/>
              </w:rPr>
              <w:t>时间</w:t>
            </w:r>
          </w:p>
        </w:tc>
        <w:tc>
          <w:tcPr>
            <w:tcW w:w="2204" w:type="pct"/>
            <w:gridSpan w:val="4"/>
            <w:vAlign w:val="center"/>
          </w:tcPr>
          <w:p>
            <w:pPr>
              <w:jc w:val="center"/>
              <w:rPr>
                <w:b/>
                <w:bCs w:val="0"/>
                <w:kern w:val="21"/>
                <w:u w:val="single"/>
              </w:rPr>
            </w:pPr>
            <w:r>
              <w:rPr>
                <w:b/>
                <w:bCs w:val="0"/>
                <w:kern w:val="21"/>
                <w:u w:val="single"/>
              </w:rPr>
              <w:t>总锌</w:t>
            </w:r>
          </w:p>
        </w:tc>
        <w:tc>
          <w:tcPr>
            <w:tcW w:w="2393" w:type="pct"/>
            <w:gridSpan w:val="4"/>
            <w:vAlign w:val="center"/>
          </w:tcPr>
          <w:p>
            <w:pPr>
              <w:jc w:val="center"/>
              <w:rPr>
                <w:b/>
                <w:bCs w:val="0"/>
                <w:kern w:val="21"/>
                <w:u w:val="single"/>
              </w:rPr>
            </w:pPr>
            <w:r>
              <w:rPr>
                <w:b/>
                <w:bCs w:val="0"/>
                <w:kern w:val="21"/>
                <w:u w:val="single"/>
              </w:rPr>
              <w:t>铬（六价）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距离</w:t>
            </w:r>
          </w:p>
        </w:tc>
        <w:tc>
          <w:tcPr>
            <w:tcW w:w="619" w:type="pct"/>
            <w:vAlign w:val="center"/>
          </w:tcPr>
          <w:p>
            <w:pPr>
              <w:jc w:val="center"/>
              <w:rPr>
                <w:b/>
                <w:bCs w:val="0"/>
                <w:kern w:val="21"/>
                <w:u w:val="single"/>
              </w:rPr>
            </w:pPr>
            <w:r>
              <w:rPr>
                <w:b/>
                <w:bCs w:val="0"/>
                <w:kern w:val="21"/>
                <w:u w:val="single"/>
              </w:rPr>
              <w:t>浓度</w:t>
            </w:r>
          </w:p>
          <w:p>
            <w:pPr>
              <w:jc w:val="center"/>
              <w:rPr>
                <w:b/>
                <w:bCs w:val="0"/>
                <w:kern w:val="21"/>
                <w:u w:val="single"/>
              </w:rPr>
            </w:pPr>
            <w:r>
              <w:rPr>
                <w:b/>
                <w:bCs w:val="0"/>
                <w:kern w:val="21"/>
                <w:u w:val="single"/>
              </w:rPr>
              <w:t>mg/L</w:t>
            </w:r>
          </w:p>
        </w:tc>
        <w:tc>
          <w:tcPr>
            <w:tcW w:w="693" w:type="pct"/>
            <w:vAlign w:val="center"/>
          </w:tcPr>
          <w:p>
            <w:pPr>
              <w:jc w:val="center"/>
              <w:rPr>
                <w:b/>
                <w:bCs w:val="0"/>
                <w:kern w:val="21"/>
                <w:u w:val="single"/>
              </w:rPr>
            </w:pPr>
            <w:r>
              <w:rPr>
                <w:b/>
                <w:bCs w:val="0"/>
                <w:kern w:val="21"/>
                <w:u w:val="single"/>
              </w:rPr>
              <w:t>标准</w:t>
            </w:r>
          </w:p>
          <w:p>
            <w:pPr>
              <w:jc w:val="center"/>
              <w:rPr>
                <w:b/>
                <w:bCs w:val="0"/>
                <w:kern w:val="21"/>
                <w:u w:val="single"/>
              </w:rPr>
            </w:pPr>
            <w:r>
              <w:rPr>
                <w:b/>
                <w:bCs w:val="0"/>
                <w:kern w:val="21"/>
                <w:u w:val="single"/>
              </w:rPr>
              <w:t>mg/L</w:t>
            </w:r>
          </w:p>
        </w:tc>
        <w:tc>
          <w:tcPr>
            <w:tcW w:w="388" w:type="pct"/>
            <w:vAlign w:val="center"/>
          </w:tcPr>
          <w:p>
            <w:pPr>
              <w:jc w:val="center"/>
              <w:rPr>
                <w:b/>
                <w:bCs w:val="0"/>
                <w:kern w:val="21"/>
                <w:u w:val="single"/>
              </w:rPr>
            </w:pPr>
            <w:r>
              <w:rPr>
                <w:b/>
                <w:bCs w:val="0"/>
                <w:kern w:val="21"/>
                <w:u w:val="single"/>
              </w:rPr>
              <w:t>达标</w:t>
            </w:r>
          </w:p>
          <w:p>
            <w:pPr>
              <w:jc w:val="center"/>
              <w:rPr>
                <w:b/>
                <w:bCs w:val="0"/>
                <w:kern w:val="21"/>
                <w:u w:val="single"/>
              </w:rPr>
            </w:pPr>
            <w:r>
              <w:rPr>
                <w:b/>
                <w:bCs w:val="0"/>
                <w:kern w:val="21"/>
                <w:u w:val="single"/>
              </w:rPr>
              <w:t>情况</w:t>
            </w:r>
          </w:p>
        </w:tc>
        <w:tc>
          <w:tcPr>
            <w:tcW w:w="540" w:type="pct"/>
            <w:vAlign w:val="center"/>
          </w:tcPr>
          <w:p>
            <w:pPr>
              <w:jc w:val="center"/>
              <w:rPr>
                <w:b/>
                <w:bCs w:val="0"/>
                <w:kern w:val="21"/>
                <w:u w:val="single"/>
              </w:rPr>
            </w:pPr>
            <w:r>
              <w:rPr>
                <w:b/>
                <w:bCs w:val="0"/>
                <w:kern w:val="21"/>
                <w:u w:val="single"/>
              </w:rPr>
              <w:t>距离</w:t>
            </w:r>
          </w:p>
        </w:tc>
        <w:tc>
          <w:tcPr>
            <w:tcW w:w="619" w:type="pct"/>
            <w:vAlign w:val="center"/>
          </w:tcPr>
          <w:p>
            <w:pPr>
              <w:jc w:val="center"/>
              <w:rPr>
                <w:b/>
                <w:bCs w:val="0"/>
                <w:kern w:val="21"/>
                <w:u w:val="single"/>
              </w:rPr>
            </w:pPr>
            <w:r>
              <w:rPr>
                <w:b/>
                <w:bCs w:val="0"/>
                <w:kern w:val="21"/>
                <w:u w:val="single"/>
              </w:rPr>
              <w:t>浓度</w:t>
            </w:r>
          </w:p>
          <w:p>
            <w:pPr>
              <w:jc w:val="center"/>
              <w:rPr>
                <w:b/>
                <w:bCs w:val="0"/>
                <w:kern w:val="21"/>
                <w:u w:val="single"/>
              </w:rPr>
            </w:pPr>
            <w:r>
              <w:rPr>
                <w:b/>
                <w:bCs w:val="0"/>
                <w:kern w:val="21"/>
                <w:u w:val="single"/>
              </w:rPr>
              <w:t>mg/L</w:t>
            </w:r>
          </w:p>
        </w:tc>
        <w:tc>
          <w:tcPr>
            <w:tcW w:w="771" w:type="pct"/>
            <w:vAlign w:val="center"/>
          </w:tcPr>
          <w:p>
            <w:pPr>
              <w:jc w:val="center"/>
              <w:rPr>
                <w:b/>
                <w:bCs w:val="0"/>
                <w:kern w:val="21"/>
                <w:u w:val="single"/>
              </w:rPr>
            </w:pPr>
            <w:r>
              <w:rPr>
                <w:b/>
                <w:bCs w:val="0"/>
                <w:kern w:val="21"/>
                <w:u w:val="single"/>
              </w:rPr>
              <w:t>标准</w:t>
            </w:r>
          </w:p>
          <w:p>
            <w:pPr>
              <w:jc w:val="center"/>
              <w:rPr>
                <w:b/>
                <w:bCs w:val="0"/>
                <w:kern w:val="21"/>
                <w:u w:val="single"/>
              </w:rPr>
            </w:pPr>
            <w:r>
              <w:rPr>
                <w:b/>
                <w:bCs w:val="0"/>
                <w:kern w:val="21"/>
                <w:u w:val="single"/>
              </w:rPr>
              <w:t>mg/L</w:t>
            </w:r>
          </w:p>
        </w:tc>
        <w:tc>
          <w:tcPr>
            <w:tcW w:w="463" w:type="pct"/>
            <w:vAlign w:val="center"/>
          </w:tcPr>
          <w:p>
            <w:pPr>
              <w:jc w:val="center"/>
              <w:rPr>
                <w:b/>
                <w:bCs w:val="0"/>
                <w:kern w:val="21"/>
                <w:u w:val="single"/>
              </w:rPr>
            </w:pPr>
            <w:r>
              <w:rPr>
                <w:b/>
                <w:bCs w:val="0"/>
                <w:kern w:val="21"/>
                <w:u w:val="single"/>
              </w:rPr>
              <w:t>达标</w:t>
            </w:r>
          </w:p>
          <w:p>
            <w:pPr>
              <w:jc w:val="center"/>
              <w:rPr>
                <w:b/>
                <w:bCs w:val="0"/>
                <w:kern w:val="21"/>
                <w:u w:val="single"/>
              </w:rPr>
            </w:pPr>
            <w:r>
              <w:rPr>
                <w:b/>
                <w:bCs w:val="0"/>
                <w:kern w:val="21"/>
                <w:u w:val="singl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restart"/>
            <w:vAlign w:val="center"/>
          </w:tcPr>
          <w:p>
            <w:pPr>
              <w:jc w:val="center"/>
              <w:rPr>
                <w:b/>
                <w:bCs w:val="0"/>
                <w:kern w:val="21"/>
                <w:u w:val="single"/>
              </w:rPr>
            </w:pPr>
            <w:r>
              <w:rPr>
                <w:b/>
                <w:bCs w:val="0"/>
                <w:kern w:val="21"/>
                <w:u w:val="single"/>
              </w:rPr>
              <w:t>100d</w:t>
            </w:r>
          </w:p>
        </w:tc>
        <w:tc>
          <w:tcPr>
            <w:tcW w:w="504" w:type="pct"/>
            <w:vAlign w:val="center"/>
          </w:tcPr>
          <w:p>
            <w:pPr>
              <w:jc w:val="center"/>
              <w:rPr>
                <w:b/>
                <w:bCs w:val="0"/>
                <w:kern w:val="21"/>
                <w:u w:val="single"/>
              </w:rPr>
            </w:pPr>
            <w:r>
              <w:rPr>
                <w:rFonts w:hint="eastAsia"/>
                <w:b/>
                <w:bCs w:val="0"/>
                <w:kern w:val="21"/>
                <w:u w:val="single"/>
              </w:rPr>
              <w:t>1</w:t>
            </w:r>
            <w:r>
              <w:rPr>
                <w:b/>
                <w:bCs w:val="0"/>
                <w:kern w:val="21"/>
                <w:u w:val="single"/>
              </w:rPr>
              <w:t>m</w:t>
            </w:r>
          </w:p>
        </w:tc>
        <w:tc>
          <w:tcPr>
            <w:tcW w:w="619" w:type="pct"/>
            <w:vAlign w:val="center"/>
          </w:tcPr>
          <w:p>
            <w:pPr>
              <w:jc w:val="center"/>
              <w:rPr>
                <w:b/>
                <w:bCs w:val="0"/>
                <w:kern w:val="21"/>
                <w:u w:val="single"/>
              </w:rPr>
            </w:pPr>
            <w:r>
              <w:rPr>
                <w:rFonts w:hint="eastAsia"/>
                <w:b/>
                <w:bCs w:val="0"/>
                <w:kern w:val="21"/>
                <w:u w:val="single"/>
              </w:rPr>
              <w:t>1.3</w:t>
            </w:r>
            <w:r>
              <w:rPr>
                <w:rFonts w:hint="eastAsia"/>
                <w:b/>
                <w:bCs w:val="0"/>
                <w:kern w:val="21"/>
                <w:u w:val="single"/>
                <w:lang w:val="en-US" w:eastAsia="zh-CN"/>
              </w:rPr>
              <w:t>0</w:t>
            </w:r>
            <w:r>
              <w:rPr>
                <w:b/>
                <w:bCs w:val="0"/>
                <w:kern w:val="21"/>
                <w:u w:val="single"/>
              </w:rPr>
              <w:t>E-01</w:t>
            </w:r>
          </w:p>
        </w:tc>
        <w:tc>
          <w:tcPr>
            <w:tcW w:w="693" w:type="pct"/>
            <w:vAlign w:val="center"/>
          </w:tcPr>
          <w:p>
            <w:pPr>
              <w:jc w:val="center"/>
              <w:rPr>
                <w:b/>
                <w:bCs w:val="0"/>
                <w:kern w:val="21"/>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b/>
                <w:bCs w:val="0"/>
                <w:kern w:val="21"/>
                <w:u w:val="single"/>
              </w:rPr>
              <w:t>1m</w:t>
            </w:r>
          </w:p>
        </w:tc>
        <w:tc>
          <w:tcPr>
            <w:tcW w:w="619" w:type="pct"/>
            <w:vAlign w:val="center"/>
          </w:tcPr>
          <w:p>
            <w:pPr>
              <w:jc w:val="center"/>
              <w:rPr>
                <w:b/>
                <w:bCs w:val="0"/>
                <w:kern w:val="21"/>
                <w:u w:val="single"/>
              </w:rPr>
            </w:pPr>
            <w:r>
              <w:rPr>
                <w:rFonts w:hint="eastAsia"/>
                <w:b/>
                <w:bCs w:val="0"/>
                <w:kern w:val="21"/>
                <w:u w:val="single"/>
              </w:rPr>
              <w:t>5.</w:t>
            </w:r>
            <w:r>
              <w:rPr>
                <w:rFonts w:hint="eastAsia"/>
                <w:b/>
                <w:bCs w:val="0"/>
                <w:kern w:val="21"/>
                <w:u w:val="single"/>
                <w:lang w:val="en-US" w:eastAsia="zh-CN"/>
              </w:rPr>
              <w:t>21</w:t>
            </w:r>
            <w:r>
              <w:rPr>
                <w:b/>
                <w:bCs w:val="0"/>
                <w:kern w:val="21"/>
                <w:u w:val="single"/>
              </w:rPr>
              <w:t>E</w:t>
            </w:r>
            <w:r>
              <w:rPr>
                <w:rFonts w:hint="eastAsia"/>
                <w:b/>
                <w:bCs w:val="0"/>
                <w:kern w:val="21"/>
                <w:u w:val="single"/>
              </w:rPr>
              <w:t>-</w:t>
            </w:r>
            <w:r>
              <w:rPr>
                <w:b/>
                <w:bCs w:val="0"/>
                <w:kern w:val="21"/>
                <w:u w:val="single"/>
              </w:rPr>
              <w:t>01</w:t>
            </w:r>
          </w:p>
        </w:tc>
        <w:tc>
          <w:tcPr>
            <w:tcW w:w="771" w:type="pct"/>
            <w:vAlign w:val="center"/>
          </w:tcPr>
          <w:p>
            <w:pPr>
              <w:jc w:val="center"/>
              <w:rPr>
                <w:b/>
                <w:bCs w:val="0"/>
                <w:kern w:val="21"/>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rFonts w:hint="eastAsia"/>
                <w:b/>
                <w:bCs w:val="0"/>
                <w:kern w:val="21"/>
                <w:u w:val="single"/>
              </w:rPr>
              <w:t>2</w:t>
            </w:r>
            <w:r>
              <w:rPr>
                <w:b/>
                <w:bCs w:val="0"/>
                <w:kern w:val="21"/>
                <w:u w:val="single"/>
              </w:rPr>
              <w:t>m</w:t>
            </w:r>
          </w:p>
        </w:tc>
        <w:tc>
          <w:tcPr>
            <w:tcW w:w="619" w:type="pct"/>
            <w:vAlign w:val="center"/>
          </w:tcPr>
          <w:p>
            <w:pPr>
              <w:jc w:val="center"/>
              <w:rPr>
                <w:b/>
                <w:bCs w:val="0"/>
                <w:kern w:val="21"/>
                <w:u w:val="single"/>
              </w:rPr>
            </w:pPr>
            <w:r>
              <w:rPr>
                <w:rFonts w:hint="eastAsia"/>
                <w:b/>
                <w:bCs w:val="0"/>
                <w:kern w:val="21"/>
                <w:u w:val="single"/>
                <w:lang w:val="en-US" w:eastAsia="zh-CN"/>
              </w:rPr>
              <w:t>9.15</w:t>
            </w:r>
            <w:r>
              <w:rPr>
                <w:b/>
                <w:bCs w:val="0"/>
                <w:kern w:val="21"/>
                <w:u w:val="single"/>
              </w:rPr>
              <w:t>E-02</w:t>
            </w:r>
          </w:p>
        </w:tc>
        <w:tc>
          <w:tcPr>
            <w:tcW w:w="693" w:type="pct"/>
            <w:vAlign w:val="center"/>
          </w:tcPr>
          <w:p>
            <w:pPr>
              <w:jc w:val="center"/>
              <w:rPr>
                <w:b/>
                <w:bCs w:val="0"/>
                <w:kern w:val="21"/>
                <w:u w:val="single"/>
              </w:rPr>
            </w:pPr>
            <w:r>
              <w:rPr>
                <w:b/>
                <w:bCs w:val="0"/>
                <w:kern w:val="21"/>
                <w:u w:val="single"/>
              </w:rPr>
              <w:t>检出（0.05）</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rFonts w:hint="eastAsia"/>
                <w:b/>
                <w:bCs w:val="0"/>
                <w:kern w:val="21"/>
                <w:u w:val="single"/>
                <w:lang w:val="en-US" w:eastAsia="zh-CN"/>
              </w:rPr>
              <w:t>3</w:t>
            </w:r>
            <w:r>
              <w:rPr>
                <w:b/>
                <w:bCs w:val="0"/>
                <w:kern w:val="21"/>
                <w:u w:val="single"/>
              </w:rPr>
              <w:t>m</w:t>
            </w:r>
          </w:p>
        </w:tc>
        <w:tc>
          <w:tcPr>
            <w:tcW w:w="619" w:type="pct"/>
            <w:vAlign w:val="center"/>
          </w:tcPr>
          <w:p>
            <w:pPr>
              <w:jc w:val="center"/>
              <w:rPr>
                <w:rFonts w:hint="eastAsia" w:eastAsia="宋体"/>
                <w:b/>
                <w:bCs w:val="0"/>
                <w:kern w:val="21"/>
                <w:u w:val="single"/>
                <w:lang w:val="en-US" w:eastAsia="zh-CN"/>
              </w:rPr>
            </w:pPr>
            <w:r>
              <w:rPr>
                <w:rFonts w:hint="eastAsia"/>
                <w:b/>
                <w:bCs w:val="0"/>
                <w:kern w:val="21"/>
                <w:u w:val="single"/>
                <w:lang w:val="en-US" w:eastAsia="zh-CN"/>
              </w:rPr>
              <w:t>9.0</w:t>
            </w:r>
            <w:r>
              <w:rPr>
                <w:b/>
                <w:bCs w:val="0"/>
                <w:kern w:val="21"/>
                <w:u w:val="single"/>
              </w:rPr>
              <w:t>E-0</w:t>
            </w:r>
            <w:r>
              <w:rPr>
                <w:rFonts w:hint="eastAsia"/>
                <w:b/>
                <w:bCs w:val="0"/>
                <w:kern w:val="21"/>
                <w:u w:val="single"/>
                <w:lang w:val="en-US" w:eastAsia="zh-CN"/>
              </w:rPr>
              <w:t>2</w:t>
            </w:r>
          </w:p>
        </w:tc>
        <w:tc>
          <w:tcPr>
            <w:tcW w:w="771" w:type="pct"/>
            <w:vAlign w:val="center"/>
          </w:tcPr>
          <w:p>
            <w:pPr>
              <w:jc w:val="center"/>
              <w:rPr>
                <w:b/>
                <w:bCs w:val="0"/>
                <w:kern w:val="21"/>
                <w:u w:val="single"/>
              </w:rPr>
            </w:pPr>
            <w:r>
              <w:rPr>
                <w:b/>
                <w:bCs w:val="0"/>
                <w:kern w:val="21"/>
                <w:u w:val="single"/>
              </w:rPr>
              <w:t>检出（0.04）</w:t>
            </w:r>
          </w:p>
        </w:tc>
        <w:tc>
          <w:tcPr>
            <w:tcW w:w="463" w:type="pct"/>
            <w:vAlign w:val="center"/>
          </w:tcPr>
          <w:p>
            <w:pPr>
              <w:jc w:val="center"/>
              <w:rPr>
                <w:b/>
                <w:bCs w:val="0"/>
                <w:kern w:val="21"/>
                <w:u w:val="single"/>
              </w:rPr>
            </w:pPr>
            <w:r>
              <w:rPr>
                <w:rFonts w:hint="eastAsia"/>
                <w:b/>
                <w:bCs w:val="0"/>
                <w:kern w:val="21"/>
                <w:u w:val="single"/>
                <w:lang w:val="en-US" w:eastAsia="zh-CN"/>
              </w:rPr>
              <w:t>超</w:t>
            </w:r>
            <w:r>
              <w:rPr>
                <w:b/>
                <w:bCs w:val="0"/>
                <w:kern w:val="21"/>
                <w:u w:val="single"/>
              </w:rPr>
              <w:t>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rFonts w:hint="eastAsia"/>
                <w:b/>
                <w:bCs w:val="0"/>
                <w:kern w:val="21"/>
                <w:u w:val="single"/>
                <w:lang w:val="en-US" w:eastAsia="zh-CN"/>
              </w:rPr>
              <w:t>3</w:t>
            </w:r>
            <w:r>
              <w:rPr>
                <w:b/>
                <w:bCs w:val="0"/>
                <w:kern w:val="21"/>
                <w:u w:val="single"/>
              </w:rPr>
              <w:t>m</w:t>
            </w:r>
          </w:p>
        </w:tc>
        <w:tc>
          <w:tcPr>
            <w:tcW w:w="619" w:type="pct"/>
            <w:vAlign w:val="center"/>
          </w:tcPr>
          <w:p>
            <w:pPr>
              <w:jc w:val="center"/>
              <w:rPr>
                <w:rFonts w:hint="default" w:eastAsia="宋体"/>
                <w:b/>
                <w:bCs w:val="0"/>
                <w:kern w:val="21"/>
                <w:u w:val="single"/>
                <w:lang w:val="en-US" w:eastAsia="zh-CN"/>
              </w:rPr>
            </w:pPr>
            <w:r>
              <w:rPr>
                <w:rFonts w:hint="eastAsia"/>
                <w:b/>
                <w:bCs w:val="0"/>
                <w:kern w:val="21"/>
                <w:u w:val="single"/>
                <w:lang w:val="en-US" w:eastAsia="zh-CN"/>
              </w:rPr>
              <w:t>2.25</w:t>
            </w:r>
            <w:r>
              <w:rPr>
                <w:b/>
                <w:bCs w:val="0"/>
                <w:kern w:val="21"/>
                <w:u w:val="single"/>
              </w:rPr>
              <w:t>E-</w:t>
            </w:r>
            <w:r>
              <w:rPr>
                <w:rFonts w:hint="eastAsia"/>
                <w:b/>
                <w:bCs w:val="0"/>
                <w:kern w:val="21"/>
                <w:u w:val="single"/>
                <w:lang w:val="en-US" w:eastAsia="zh-CN"/>
              </w:rPr>
              <w:t>02</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rFonts w:hint="eastAsia"/>
                <w:b/>
                <w:bCs w:val="0"/>
                <w:kern w:val="21"/>
                <w:u w:val="single"/>
                <w:lang w:val="en-US" w:eastAsia="zh-CN"/>
              </w:rPr>
              <w:t>4</w:t>
            </w:r>
            <w:r>
              <w:rPr>
                <w:b/>
                <w:bCs w:val="0"/>
                <w:kern w:val="21"/>
                <w:u w:val="single"/>
              </w:rPr>
              <w:t>m</w:t>
            </w:r>
          </w:p>
        </w:tc>
        <w:tc>
          <w:tcPr>
            <w:tcW w:w="619" w:type="pct"/>
            <w:vAlign w:val="center"/>
          </w:tcPr>
          <w:p>
            <w:pPr>
              <w:jc w:val="center"/>
              <w:rPr>
                <w:b/>
                <w:bCs w:val="0"/>
                <w:kern w:val="21"/>
                <w:u w:val="single"/>
              </w:rPr>
            </w:pPr>
            <w:r>
              <w:rPr>
                <w:rFonts w:hint="eastAsia"/>
                <w:b/>
                <w:bCs w:val="0"/>
                <w:kern w:val="21"/>
                <w:u w:val="single"/>
                <w:lang w:val="en-US" w:eastAsia="zh-CN"/>
              </w:rPr>
              <w:t>8.45</w:t>
            </w:r>
            <w:r>
              <w:rPr>
                <w:b/>
                <w:bCs w:val="0"/>
                <w:kern w:val="21"/>
                <w:u w:val="single"/>
              </w:rPr>
              <w:t>E-</w:t>
            </w:r>
            <w:r>
              <w:rPr>
                <w:rFonts w:hint="eastAsia"/>
                <w:b/>
                <w:bCs w:val="0"/>
                <w:kern w:val="21"/>
                <w:u w:val="single"/>
              </w:rPr>
              <w:t>03</w:t>
            </w:r>
          </w:p>
        </w:tc>
        <w:tc>
          <w:tcPr>
            <w:tcW w:w="771" w:type="pct"/>
            <w:vAlign w:val="center"/>
          </w:tcPr>
          <w:p>
            <w:pPr>
              <w:jc w:val="center"/>
              <w:rPr>
                <w:b/>
                <w:bCs w:val="0"/>
                <w:kern w:val="21"/>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100m</w:t>
            </w:r>
          </w:p>
        </w:tc>
        <w:tc>
          <w:tcPr>
            <w:tcW w:w="619" w:type="pct"/>
            <w:vAlign w:val="center"/>
          </w:tcPr>
          <w:p>
            <w:pPr>
              <w:jc w:val="center"/>
              <w:rPr>
                <w:b/>
                <w:bCs w:val="0"/>
                <w:kern w:val="21"/>
                <w:u w:val="single"/>
              </w:rPr>
            </w:pPr>
            <w:r>
              <w:rPr>
                <w:b/>
                <w:bCs w:val="0"/>
                <w:kern w:val="21"/>
                <w:u w:val="single"/>
              </w:rPr>
              <w:t>0.00E+00</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rFonts w:hint="eastAsia"/>
                <w:b/>
                <w:bCs w:val="0"/>
                <w:kern w:val="21"/>
                <w:u w:val="single"/>
              </w:rPr>
              <w:t>7</w:t>
            </w:r>
            <w:r>
              <w:rPr>
                <w:b/>
                <w:bCs w:val="0"/>
                <w:kern w:val="21"/>
                <w:u w:val="single"/>
              </w:rPr>
              <w:t>m</w:t>
            </w:r>
          </w:p>
        </w:tc>
        <w:tc>
          <w:tcPr>
            <w:tcW w:w="619" w:type="pct"/>
            <w:vAlign w:val="center"/>
          </w:tcPr>
          <w:p>
            <w:pPr>
              <w:jc w:val="center"/>
              <w:rPr>
                <w:b/>
                <w:bCs w:val="0"/>
                <w:kern w:val="21"/>
                <w:u w:val="single"/>
              </w:rPr>
            </w:pPr>
            <w:r>
              <w:rPr>
                <w:b/>
                <w:bCs w:val="0"/>
                <w:kern w:val="21"/>
                <w:u w:val="single"/>
              </w:rPr>
              <w:t>0.00E+00</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500m</w:t>
            </w:r>
          </w:p>
        </w:tc>
        <w:tc>
          <w:tcPr>
            <w:tcW w:w="619" w:type="pct"/>
            <w:vAlign w:val="center"/>
          </w:tcPr>
          <w:p>
            <w:pPr>
              <w:jc w:val="center"/>
              <w:rPr>
                <w:b/>
                <w:bCs w:val="0"/>
                <w:kern w:val="21"/>
                <w:u w:val="single"/>
              </w:rPr>
            </w:pPr>
            <w:r>
              <w:rPr>
                <w:b/>
                <w:bCs w:val="0"/>
                <w:kern w:val="21"/>
                <w:u w:val="single"/>
              </w:rPr>
              <w:t>0.00E+00</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b/>
                <w:bCs w:val="0"/>
                <w:kern w:val="21"/>
                <w:u w:val="single"/>
              </w:rPr>
              <w:t>500m</w:t>
            </w:r>
          </w:p>
        </w:tc>
        <w:tc>
          <w:tcPr>
            <w:tcW w:w="619" w:type="pct"/>
            <w:vAlign w:val="center"/>
          </w:tcPr>
          <w:p>
            <w:pPr>
              <w:jc w:val="center"/>
              <w:rPr>
                <w:b/>
                <w:bCs w:val="0"/>
                <w:kern w:val="21"/>
                <w:u w:val="single"/>
              </w:rPr>
            </w:pPr>
            <w:r>
              <w:rPr>
                <w:b/>
                <w:bCs w:val="0"/>
                <w:kern w:val="21"/>
                <w:u w:val="single"/>
              </w:rPr>
              <w:t>0.00E+00</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1000m</w:t>
            </w:r>
          </w:p>
        </w:tc>
        <w:tc>
          <w:tcPr>
            <w:tcW w:w="619" w:type="pct"/>
            <w:vAlign w:val="center"/>
          </w:tcPr>
          <w:p>
            <w:pPr>
              <w:jc w:val="center"/>
              <w:rPr>
                <w:b/>
                <w:bCs w:val="0"/>
                <w:kern w:val="21"/>
                <w:u w:val="single"/>
              </w:rPr>
            </w:pPr>
            <w:r>
              <w:rPr>
                <w:b/>
                <w:bCs w:val="0"/>
                <w:kern w:val="21"/>
                <w:u w:val="single"/>
              </w:rPr>
              <w:t>0.00E+00</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b/>
                <w:bCs w:val="0"/>
                <w:kern w:val="21"/>
                <w:u w:val="single"/>
              </w:rPr>
              <w:t>1000m</w:t>
            </w:r>
          </w:p>
        </w:tc>
        <w:tc>
          <w:tcPr>
            <w:tcW w:w="619" w:type="pct"/>
            <w:vAlign w:val="center"/>
          </w:tcPr>
          <w:p>
            <w:pPr>
              <w:jc w:val="center"/>
              <w:rPr>
                <w:b/>
                <w:bCs w:val="0"/>
                <w:kern w:val="21"/>
                <w:u w:val="single"/>
              </w:rPr>
            </w:pPr>
            <w:r>
              <w:rPr>
                <w:b/>
                <w:bCs w:val="0"/>
                <w:kern w:val="21"/>
                <w:u w:val="single"/>
              </w:rPr>
              <w:t>0.00E+00</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restart"/>
            <w:vAlign w:val="center"/>
          </w:tcPr>
          <w:p>
            <w:pPr>
              <w:jc w:val="center"/>
              <w:rPr>
                <w:b/>
                <w:bCs w:val="0"/>
                <w:kern w:val="21"/>
                <w:u w:val="single"/>
              </w:rPr>
            </w:pPr>
            <w:r>
              <w:rPr>
                <w:b/>
                <w:bCs w:val="0"/>
                <w:kern w:val="21"/>
                <w:u w:val="single"/>
              </w:rPr>
              <w:t>1000d</w:t>
            </w:r>
          </w:p>
        </w:tc>
        <w:tc>
          <w:tcPr>
            <w:tcW w:w="504" w:type="pct"/>
            <w:vAlign w:val="center"/>
          </w:tcPr>
          <w:p>
            <w:pPr>
              <w:jc w:val="center"/>
              <w:rPr>
                <w:b/>
                <w:bCs w:val="0"/>
                <w:kern w:val="21"/>
                <w:u w:val="single"/>
              </w:rPr>
            </w:pPr>
            <w:r>
              <w:rPr>
                <w:rFonts w:hint="eastAsia"/>
                <w:b/>
                <w:bCs w:val="0"/>
                <w:kern w:val="21"/>
                <w:u w:val="single"/>
                <w:lang w:val="en-US" w:eastAsia="zh-CN"/>
              </w:rPr>
              <w:t>6</w:t>
            </w:r>
            <w:r>
              <w:rPr>
                <w:b/>
                <w:bCs w:val="0"/>
                <w:kern w:val="21"/>
                <w:u w:val="single"/>
              </w:rPr>
              <w:t>m</w:t>
            </w:r>
          </w:p>
        </w:tc>
        <w:tc>
          <w:tcPr>
            <w:tcW w:w="619" w:type="pct"/>
            <w:vAlign w:val="center"/>
          </w:tcPr>
          <w:p>
            <w:pPr>
              <w:jc w:val="center"/>
              <w:rPr>
                <w:b/>
                <w:bCs w:val="0"/>
                <w:kern w:val="21"/>
                <w:u w:val="single"/>
              </w:rPr>
            </w:pPr>
            <w:r>
              <w:rPr>
                <w:rFonts w:hint="eastAsia"/>
                <w:b/>
                <w:bCs w:val="0"/>
                <w:kern w:val="21"/>
                <w:u w:val="single"/>
              </w:rPr>
              <w:t>3.</w:t>
            </w:r>
            <w:r>
              <w:rPr>
                <w:rFonts w:hint="eastAsia"/>
                <w:b/>
                <w:bCs w:val="0"/>
                <w:kern w:val="21"/>
                <w:u w:val="single"/>
                <w:lang w:val="en-US" w:eastAsia="zh-CN"/>
              </w:rPr>
              <w:t>27</w:t>
            </w:r>
            <w:r>
              <w:rPr>
                <w:b/>
                <w:bCs w:val="0"/>
                <w:kern w:val="21"/>
                <w:u w:val="single"/>
              </w:rPr>
              <w:t>E-0</w:t>
            </w:r>
            <w:r>
              <w:rPr>
                <w:rFonts w:hint="eastAsia"/>
                <w:b/>
                <w:bCs w:val="0"/>
                <w:kern w:val="21"/>
                <w:u w:val="single"/>
              </w:rPr>
              <w:t>2</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ind w:firstLine="211" w:firstLineChars="100"/>
              <w:jc w:val="both"/>
              <w:rPr>
                <w:b/>
                <w:bCs w:val="0"/>
                <w:kern w:val="21"/>
                <w:u w:val="single"/>
              </w:rPr>
            </w:pPr>
            <w:r>
              <w:rPr>
                <w:rFonts w:hint="eastAsia"/>
                <w:b/>
                <w:bCs w:val="0"/>
                <w:kern w:val="21"/>
                <w:u w:val="single"/>
                <w:lang w:val="en-US" w:eastAsia="zh-CN"/>
              </w:rPr>
              <w:t>6</w:t>
            </w:r>
            <w:r>
              <w:rPr>
                <w:b/>
                <w:bCs w:val="0"/>
                <w:kern w:val="21"/>
                <w:u w:val="single"/>
              </w:rPr>
              <w:t>m</w:t>
            </w:r>
          </w:p>
        </w:tc>
        <w:tc>
          <w:tcPr>
            <w:tcW w:w="619" w:type="pct"/>
            <w:vAlign w:val="center"/>
          </w:tcPr>
          <w:p>
            <w:pPr>
              <w:jc w:val="center"/>
              <w:rPr>
                <w:rFonts w:hint="eastAsia" w:eastAsia="宋体"/>
                <w:b/>
                <w:bCs w:val="0"/>
                <w:kern w:val="21"/>
                <w:u w:val="single"/>
                <w:lang w:val="en-US" w:eastAsia="zh-CN"/>
              </w:rPr>
            </w:pPr>
            <w:r>
              <w:rPr>
                <w:rFonts w:hint="eastAsia"/>
                <w:b/>
                <w:bCs w:val="0"/>
                <w:kern w:val="21"/>
                <w:u w:val="single"/>
                <w:lang w:val="en-US" w:eastAsia="zh-CN"/>
              </w:rPr>
              <w:t>1.31</w:t>
            </w:r>
            <w:r>
              <w:rPr>
                <w:b/>
                <w:bCs w:val="0"/>
                <w:kern w:val="21"/>
                <w:u w:val="single"/>
              </w:rPr>
              <w:t>E-</w:t>
            </w:r>
            <w:r>
              <w:rPr>
                <w:rFonts w:hint="eastAsia"/>
                <w:b/>
                <w:bCs w:val="0"/>
                <w:kern w:val="21"/>
                <w:u w:val="single"/>
              </w:rPr>
              <w:t>0</w:t>
            </w:r>
            <w:r>
              <w:rPr>
                <w:rFonts w:hint="eastAsia"/>
                <w:b/>
                <w:bCs w:val="0"/>
                <w:kern w:val="21"/>
                <w:u w:val="single"/>
                <w:lang w:val="en-US" w:eastAsia="zh-CN"/>
              </w:rPr>
              <w:t>1</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rFonts w:hint="eastAsia"/>
                <w:b/>
                <w:bCs w:val="0"/>
                <w:kern w:val="21"/>
                <w:u w:val="single"/>
              </w:rPr>
              <w:t>10</w:t>
            </w:r>
            <w:r>
              <w:rPr>
                <w:b/>
                <w:bCs w:val="0"/>
                <w:kern w:val="21"/>
                <w:u w:val="single"/>
              </w:rPr>
              <w:t>m</w:t>
            </w:r>
          </w:p>
        </w:tc>
        <w:tc>
          <w:tcPr>
            <w:tcW w:w="619" w:type="pct"/>
            <w:vAlign w:val="center"/>
          </w:tcPr>
          <w:p>
            <w:pPr>
              <w:jc w:val="center"/>
              <w:rPr>
                <w:b/>
                <w:bCs w:val="0"/>
                <w:kern w:val="21"/>
                <w:u w:val="single"/>
              </w:rPr>
            </w:pPr>
            <w:r>
              <w:rPr>
                <w:rFonts w:hint="eastAsia"/>
                <w:b/>
                <w:bCs w:val="0"/>
                <w:kern w:val="21"/>
                <w:u w:val="single"/>
                <w:lang w:val="en-US" w:eastAsia="zh-CN"/>
              </w:rPr>
              <w:t>1.71</w:t>
            </w:r>
            <w:r>
              <w:rPr>
                <w:b/>
                <w:bCs w:val="0"/>
                <w:kern w:val="21"/>
                <w:u w:val="single"/>
              </w:rPr>
              <w:t>E-0</w:t>
            </w:r>
            <w:r>
              <w:rPr>
                <w:rFonts w:hint="eastAsia"/>
                <w:b/>
                <w:bCs w:val="0"/>
                <w:kern w:val="21"/>
                <w:u w:val="single"/>
              </w:rPr>
              <w:t>3</w:t>
            </w:r>
          </w:p>
        </w:tc>
        <w:tc>
          <w:tcPr>
            <w:tcW w:w="693" w:type="pct"/>
            <w:vAlign w:val="center"/>
          </w:tcPr>
          <w:p>
            <w:pPr>
              <w:jc w:val="center"/>
              <w:rPr>
                <w:b/>
                <w:bCs w:val="0"/>
                <w:kern w:val="21"/>
                <w:u w:val="single"/>
              </w:rPr>
            </w:pPr>
            <w:r>
              <w:rPr>
                <w:b/>
                <w:bCs w:val="0"/>
                <w:kern w:val="21"/>
                <w:u w:val="single"/>
              </w:rPr>
              <w:t>检出（0.05）</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rFonts w:hint="eastAsia"/>
                <w:b/>
                <w:bCs w:val="0"/>
                <w:kern w:val="21"/>
                <w:u w:val="single"/>
                <w:lang w:val="en-US" w:eastAsia="zh-CN"/>
              </w:rPr>
              <w:t>10</w:t>
            </w:r>
            <w:r>
              <w:rPr>
                <w:b/>
                <w:bCs w:val="0"/>
                <w:kern w:val="21"/>
                <w:u w:val="single"/>
              </w:rPr>
              <w:t>m</w:t>
            </w:r>
          </w:p>
        </w:tc>
        <w:tc>
          <w:tcPr>
            <w:tcW w:w="619" w:type="pct"/>
            <w:vAlign w:val="center"/>
          </w:tcPr>
          <w:p>
            <w:pPr>
              <w:jc w:val="center"/>
              <w:rPr>
                <w:b/>
                <w:bCs w:val="0"/>
                <w:kern w:val="21"/>
                <w:u w:val="single"/>
              </w:rPr>
            </w:pPr>
            <w:r>
              <w:rPr>
                <w:rFonts w:hint="eastAsia"/>
                <w:b/>
                <w:bCs w:val="0"/>
                <w:kern w:val="21"/>
                <w:u w:val="single"/>
                <w:lang w:val="en-US" w:eastAsia="zh-CN"/>
              </w:rPr>
              <w:t>6.86</w:t>
            </w:r>
            <w:r>
              <w:rPr>
                <w:b/>
                <w:bCs w:val="0"/>
                <w:kern w:val="21"/>
                <w:u w:val="single"/>
              </w:rPr>
              <w:t>E-02</w:t>
            </w:r>
          </w:p>
        </w:tc>
        <w:tc>
          <w:tcPr>
            <w:tcW w:w="771" w:type="pct"/>
            <w:vAlign w:val="center"/>
          </w:tcPr>
          <w:p>
            <w:pPr>
              <w:jc w:val="center"/>
              <w:rPr>
                <w:b/>
                <w:bCs w:val="0"/>
                <w:kern w:val="21"/>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rFonts w:hint="eastAsia"/>
                <w:b/>
                <w:bCs w:val="0"/>
                <w:kern w:val="21"/>
                <w:u w:val="single"/>
                <w:lang w:val="en-US" w:eastAsia="zh-CN"/>
              </w:rPr>
              <w:t>32</w:t>
            </w:r>
            <w:r>
              <w:rPr>
                <w:b/>
                <w:bCs w:val="0"/>
                <w:kern w:val="21"/>
                <w:u w:val="single"/>
              </w:rPr>
              <w:t>m</w:t>
            </w:r>
          </w:p>
        </w:tc>
        <w:tc>
          <w:tcPr>
            <w:tcW w:w="619" w:type="pct"/>
            <w:vAlign w:val="center"/>
          </w:tcPr>
          <w:p>
            <w:pPr>
              <w:jc w:val="center"/>
              <w:rPr>
                <w:rFonts w:hint="eastAsia" w:eastAsia="宋体"/>
                <w:b/>
                <w:bCs w:val="0"/>
                <w:kern w:val="21"/>
                <w:u w:val="single"/>
                <w:lang w:val="en-US" w:eastAsia="zh-CN"/>
              </w:rPr>
            </w:pPr>
            <w:r>
              <w:rPr>
                <w:rFonts w:hint="eastAsia"/>
                <w:b/>
                <w:bCs w:val="0"/>
                <w:kern w:val="21"/>
                <w:u w:val="single"/>
                <w:lang w:val="en-US" w:eastAsia="zh-CN"/>
              </w:rPr>
              <w:t>5.55</w:t>
            </w:r>
            <w:r>
              <w:rPr>
                <w:b/>
                <w:bCs w:val="0"/>
                <w:kern w:val="21"/>
                <w:u w:val="single"/>
              </w:rPr>
              <w:t>E-</w:t>
            </w:r>
            <w:r>
              <w:rPr>
                <w:rFonts w:hint="eastAsia"/>
                <w:b/>
                <w:bCs w:val="0"/>
                <w:kern w:val="21"/>
                <w:u w:val="single"/>
              </w:rPr>
              <w:t>1</w:t>
            </w:r>
            <w:r>
              <w:rPr>
                <w:rFonts w:hint="eastAsia"/>
                <w:b/>
                <w:bCs w:val="0"/>
                <w:kern w:val="21"/>
                <w:u w:val="single"/>
                <w:lang w:val="en-US" w:eastAsia="zh-CN"/>
              </w:rPr>
              <w:t>5</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rFonts w:hint="eastAsia"/>
                <w:b/>
                <w:bCs w:val="0"/>
                <w:kern w:val="21"/>
                <w:u w:val="single"/>
                <w:lang w:val="en-US" w:eastAsia="zh-CN"/>
              </w:rPr>
              <w:t>12</w:t>
            </w:r>
            <w:r>
              <w:rPr>
                <w:b/>
                <w:bCs w:val="0"/>
                <w:kern w:val="21"/>
                <w:u w:val="single"/>
              </w:rPr>
              <w:t>m</w:t>
            </w:r>
          </w:p>
        </w:tc>
        <w:tc>
          <w:tcPr>
            <w:tcW w:w="619" w:type="pct"/>
            <w:vAlign w:val="center"/>
          </w:tcPr>
          <w:p>
            <w:pPr>
              <w:jc w:val="center"/>
              <w:rPr>
                <w:rFonts w:hint="default" w:eastAsia="宋体"/>
                <w:b/>
                <w:bCs w:val="0"/>
                <w:kern w:val="21"/>
                <w:u w:val="single"/>
                <w:lang w:val="en-US" w:eastAsia="zh-CN"/>
              </w:rPr>
            </w:pPr>
            <w:r>
              <w:rPr>
                <w:rFonts w:hint="eastAsia"/>
                <w:b/>
                <w:bCs w:val="0"/>
                <w:kern w:val="21"/>
                <w:u w:val="single"/>
                <w:lang w:val="en-US" w:eastAsia="zh-CN"/>
              </w:rPr>
              <w:t>2.86</w:t>
            </w:r>
            <w:r>
              <w:rPr>
                <w:b/>
                <w:bCs w:val="0"/>
                <w:kern w:val="21"/>
                <w:u w:val="single"/>
              </w:rPr>
              <w:t>E-</w:t>
            </w:r>
            <w:r>
              <w:rPr>
                <w:rFonts w:hint="eastAsia"/>
                <w:b/>
                <w:bCs w:val="0"/>
                <w:kern w:val="21"/>
                <w:u w:val="single"/>
                <w:lang w:val="en-US" w:eastAsia="zh-CN"/>
              </w:rPr>
              <w:t>02</w:t>
            </w:r>
          </w:p>
        </w:tc>
        <w:tc>
          <w:tcPr>
            <w:tcW w:w="771" w:type="pct"/>
            <w:vAlign w:val="center"/>
          </w:tcPr>
          <w:p>
            <w:pPr>
              <w:jc w:val="center"/>
              <w:rPr>
                <w:b/>
                <w:bCs w:val="0"/>
                <w:u w:val="single"/>
              </w:rPr>
            </w:pPr>
            <w:r>
              <w:rPr>
                <w:b/>
                <w:bCs w:val="0"/>
                <w:kern w:val="21"/>
                <w:u w:val="single"/>
              </w:rPr>
              <w:t>检出（0.04）</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100m</w:t>
            </w:r>
          </w:p>
        </w:tc>
        <w:tc>
          <w:tcPr>
            <w:tcW w:w="619" w:type="pct"/>
            <w:vAlign w:val="center"/>
          </w:tcPr>
          <w:p>
            <w:pPr>
              <w:jc w:val="center"/>
              <w:rPr>
                <w:b/>
                <w:bCs w:val="0"/>
                <w:kern w:val="21"/>
                <w:u w:val="single"/>
              </w:rPr>
            </w:pPr>
            <w:r>
              <w:rPr>
                <w:b/>
                <w:bCs w:val="0"/>
                <w:kern w:val="21"/>
                <w:u w:val="single"/>
              </w:rPr>
              <w:t>0.00E+00</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b/>
                <w:bCs w:val="0"/>
                <w:kern w:val="21"/>
                <w:u w:val="single"/>
              </w:rPr>
              <w:t>100m</w:t>
            </w:r>
          </w:p>
        </w:tc>
        <w:tc>
          <w:tcPr>
            <w:tcW w:w="619" w:type="pct"/>
            <w:vAlign w:val="center"/>
          </w:tcPr>
          <w:p>
            <w:pPr>
              <w:jc w:val="center"/>
              <w:rPr>
                <w:b/>
                <w:bCs w:val="0"/>
                <w:kern w:val="21"/>
                <w:u w:val="single"/>
              </w:rPr>
            </w:pPr>
            <w:r>
              <w:rPr>
                <w:b/>
                <w:bCs w:val="0"/>
                <w:kern w:val="21"/>
                <w:u w:val="single"/>
              </w:rPr>
              <w:t>0.00E+00</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500m</w:t>
            </w:r>
          </w:p>
        </w:tc>
        <w:tc>
          <w:tcPr>
            <w:tcW w:w="619" w:type="pct"/>
            <w:vAlign w:val="center"/>
          </w:tcPr>
          <w:p>
            <w:pPr>
              <w:jc w:val="center"/>
              <w:rPr>
                <w:b/>
                <w:bCs w:val="0"/>
                <w:kern w:val="21"/>
                <w:u w:val="single"/>
              </w:rPr>
            </w:pPr>
            <w:r>
              <w:rPr>
                <w:b/>
                <w:bCs w:val="0"/>
                <w:kern w:val="21"/>
                <w:u w:val="single"/>
              </w:rPr>
              <w:t>0.00E+00</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b/>
                <w:bCs w:val="0"/>
                <w:kern w:val="21"/>
                <w:u w:val="single"/>
              </w:rPr>
              <w:t>500m</w:t>
            </w:r>
          </w:p>
        </w:tc>
        <w:tc>
          <w:tcPr>
            <w:tcW w:w="619" w:type="pct"/>
            <w:vAlign w:val="center"/>
          </w:tcPr>
          <w:p>
            <w:pPr>
              <w:jc w:val="center"/>
              <w:rPr>
                <w:b/>
                <w:bCs w:val="0"/>
                <w:kern w:val="21"/>
                <w:u w:val="single"/>
              </w:rPr>
            </w:pPr>
            <w:r>
              <w:rPr>
                <w:b/>
                <w:bCs w:val="0"/>
                <w:kern w:val="21"/>
                <w:u w:val="single"/>
              </w:rPr>
              <w:t>0.00E+00</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3" w:type="pct"/>
            <w:vMerge w:val="continue"/>
            <w:vAlign w:val="center"/>
          </w:tcPr>
          <w:p>
            <w:pPr>
              <w:jc w:val="center"/>
              <w:rPr>
                <w:b/>
                <w:bCs w:val="0"/>
                <w:kern w:val="21"/>
                <w:u w:val="single"/>
              </w:rPr>
            </w:pPr>
          </w:p>
        </w:tc>
        <w:tc>
          <w:tcPr>
            <w:tcW w:w="504" w:type="pct"/>
            <w:vAlign w:val="center"/>
          </w:tcPr>
          <w:p>
            <w:pPr>
              <w:jc w:val="center"/>
              <w:rPr>
                <w:b/>
                <w:bCs w:val="0"/>
                <w:kern w:val="21"/>
                <w:u w:val="single"/>
              </w:rPr>
            </w:pPr>
            <w:r>
              <w:rPr>
                <w:b/>
                <w:bCs w:val="0"/>
                <w:kern w:val="21"/>
                <w:u w:val="single"/>
              </w:rPr>
              <w:t>1000m</w:t>
            </w:r>
          </w:p>
        </w:tc>
        <w:tc>
          <w:tcPr>
            <w:tcW w:w="619" w:type="pct"/>
            <w:vAlign w:val="center"/>
          </w:tcPr>
          <w:p>
            <w:pPr>
              <w:jc w:val="center"/>
              <w:rPr>
                <w:b/>
                <w:bCs w:val="0"/>
                <w:kern w:val="21"/>
                <w:u w:val="single"/>
              </w:rPr>
            </w:pPr>
            <w:r>
              <w:rPr>
                <w:b/>
                <w:bCs w:val="0"/>
                <w:kern w:val="21"/>
                <w:u w:val="single"/>
              </w:rPr>
              <w:t>0.00E+00</w:t>
            </w:r>
          </w:p>
        </w:tc>
        <w:tc>
          <w:tcPr>
            <w:tcW w:w="693" w:type="pct"/>
            <w:vAlign w:val="center"/>
          </w:tcPr>
          <w:p>
            <w:pPr>
              <w:jc w:val="center"/>
              <w:rPr>
                <w:b/>
                <w:bCs w:val="0"/>
                <w:u w:val="single"/>
              </w:rPr>
            </w:pPr>
            <w:r>
              <w:rPr>
                <w:b/>
                <w:bCs w:val="0"/>
                <w:kern w:val="21"/>
                <w:u w:val="single"/>
              </w:rPr>
              <w:t>1.0</w:t>
            </w:r>
          </w:p>
        </w:tc>
        <w:tc>
          <w:tcPr>
            <w:tcW w:w="388" w:type="pct"/>
            <w:vAlign w:val="center"/>
          </w:tcPr>
          <w:p>
            <w:pPr>
              <w:jc w:val="center"/>
              <w:rPr>
                <w:b/>
                <w:bCs w:val="0"/>
                <w:kern w:val="21"/>
                <w:u w:val="single"/>
              </w:rPr>
            </w:pPr>
            <w:r>
              <w:rPr>
                <w:b/>
                <w:bCs w:val="0"/>
                <w:kern w:val="21"/>
                <w:u w:val="single"/>
              </w:rPr>
              <w:t>达标</w:t>
            </w:r>
          </w:p>
        </w:tc>
        <w:tc>
          <w:tcPr>
            <w:tcW w:w="540" w:type="pct"/>
            <w:vAlign w:val="center"/>
          </w:tcPr>
          <w:p>
            <w:pPr>
              <w:jc w:val="center"/>
              <w:rPr>
                <w:b/>
                <w:bCs w:val="0"/>
                <w:kern w:val="21"/>
                <w:u w:val="single"/>
              </w:rPr>
            </w:pPr>
            <w:r>
              <w:rPr>
                <w:b/>
                <w:bCs w:val="0"/>
                <w:kern w:val="21"/>
                <w:u w:val="single"/>
              </w:rPr>
              <w:t>1000m</w:t>
            </w:r>
          </w:p>
        </w:tc>
        <w:tc>
          <w:tcPr>
            <w:tcW w:w="619" w:type="pct"/>
            <w:vAlign w:val="center"/>
          </w:tcPr>
          <w:p>
            <w:pPr>
              <w:jc w:val="center"/>
              <w:rPr>
                <w:b/>
                <w:bCs w:val="0"/>
                <w:kern w:val="21"/>
                <w:u w:val="single"/>
              </w:rPr>
            </w:pPr>
            <w:r>
              <w:rPr>
                <w:b/>
                <w:bCs w:val="0"/>
                <w:kern w:val="21"/>
                <w:u w:val="single"/>
              </w:rPr>
              <w:t>0.00E+00</w:t>
            </w:r>
          </w:p>
        </w:tc>
        <w:tc>
          <w:tcPr>
            <w:tcW w:w="771" w:type="pct"/>
            <w:vAlign w:val="center"/>
          </w:tcPr>
          <w:p>
            <w:pPr>
              <w:jc w:val="center"/>
              <w:rPr>
                <w:b/>
                <w:bCs w:val="0"/>
                <w:u w:val="single"/>
              </w:rPr>
            </w:pPr>
            <w:r>
              <w:rPr>
                <w:b/>
                <w:bCs w:val="0"/>
                <w:kern w:val="21"/>
                <w:u w:val="single"/>
              </w:rPr>
              <w:t>0.05</w:t>
            </w:r>
          </w:p>
        </w:tc>
        <w:tc>
          <w:tcPr>
            <w:tcW w:w="463" w:type="pct"/>
            <w:vAlign w:val="center"/>
          </w:tcPr>
          <w:p>
            <w:pPr>
              <w:jc w:val="center"/>
              <w:rPr>
                <w:b/>
                <w:bCs w:val="0"/>
                <w:kern w:val="21"/>
                <w:u w:val="single"/>
              </w:rPr>
            </w:pPr>
            <w:r>
              <w:rPr>
                <w:b/>
                <w:bCs w:val="0"/>
                <w:kern w:val="21"/>
                <w:u w:val="single"/>
              </w:rPr>
              <w:t>达标</w:t>
            </w:r>
          </w:p>
        </w:tc>
      </w:tr>
    </w:tbl>
    <w:p>
      <w:pPr>
        <w:keepNext w:val="0"/>
        <w:keepLines w:val="0"/>
        <w:pageBreakBefore w:val="0"/>
        <w:widowControl/>
        <w:kinsoku/>
        <w:wordWrap/>
        <w:overflowPunct/>
        <w:topLinePunct w:val="0"/>
        <w:autoSpaceDE/>
        <w:autoSpaceDN/>
        <w:bidi w:val="0"/>
        <w:adjustRightInd w:val="0"/>
        <w:snapToGrid w:val="0"/>
        <w:spacing w:before="240" w:beforeLines="100" w:line="360" w:lineRule="auto"/>
        <w:ind w:firstLine="482" w:firstLineChars="200"/>
        <w:textAlignment w:val="auto"/>
        <w:rPr>
          <w:b/>
          <w:bCs w:val="0"/>
          <w:color w:val="auto"/>
          <w:kern w:val="21"/>
          <w:sz w:val="24"/>
          <w:u w:val="single"/>
        </w:rPr>
      </w:pPr>
      <w:r>
        <w:rPr>
          <w:b/>
          <w:bCs w:val="0"/>
          <w:color w:val="auto"/>
          <w:kern w:val="21"/>
          <w:sz w:val="24"/>
          <w:u w:val="single"/>
        </w:rPr>
        <w:t>由表5.2-43可以看出，非正常工况下，污水连续泄露24小时的情况下，100d时，</w:t>
      </w:r>
      <w:r>
        <w:rPr>
          <w:rFonts w:hint="eastAsia"/>
          <w:b/>
          <w:bCs w:val="0"/>
          <w:color w:val="auto"/>
          <w:kern w:val="21"/>
          <w:sz w:val="24"/>
          <w:u w:val="single"/>
          <w:lang w:val="en-US" w:eastAsia="zh-CN"/>
        </w:rPr>
        <w:t>耗氧量</w:t>
      </w:r>
      <w:r>
        <w:rPr>
          <w:b/>
          <w:bCs w:val="0"/>
          <w:color w:val="auto"/>
          <w:kern w:val="21"/>
          <w:sz w:val="24"/>
          <w:u w:val="single"/>
        </w:rPr>
        <w:t>预测浓度不超标</w:t>
      </w:r>
      <w:r>
        <w:rPr>
          <w:rFonts w:hint="eastAsia"/>
          <w:b/>
          <w:bCs w:val="0"/>
          <w:color w:val="auto"/>
          <w:kern w:val="21"/>
          <w:sz w:val="24"/>
          <w:u w:val="single"/>
          <w:lang w:eastAsia="zh-CN"/>
        </w:rPr>
        <w:t>，</w:t>
      </w:r>
      <w:r>
        <w:rPr>
          <w:b/>
          <w:bCs w:val="0"/>
          <w:color w:val="auto"/>
          <w:kern w:val="21"/>
          <w:sz w:val="24"/>
          <w:u w:val="single"/>
        </w:rPr>
        <w:t>最大影响为</w:t>
      </w:r>
      <w:r>
        <w:rPr>
          <w:rFonts w:hint="eastAsia"/>
          <w:b/>
          <w:bCs w:val="0"/>
          <w:color w:val="auto"/>
          <w:kern w:val="21"/>
          <w:sz w:val="24"/>
          <w:u w:val="single"/>
          <w:lang w:val="en-US" w:eastAsia="zh-CN"/>
        </w:rPr>
        <w:t>3</w:t>
      </w:r>
      <w:r>
        <w:rPr>
          <w:b/>
          <w:bCs w:val="0"/>
          <w:color w:val="auto"/>
          <w:kern w:val="21"/>
          <w:sz w:val="24"/>
          <w:u w:val="single"/>
        </w:rPr>
        <w:t>m；NH</w:t>
      </w:r>
      <w:r>
        <w:rPr>
          <w:b/>
          <w:bCs w:val="0"/>
          <w:color w:val="auto"/>
          <w:kern w:val="21"/>
          <w:sz w:val="24"/>
          <w:u w:val="single"/>
          <w:vertAlign w:val="subscript"/>
        </w:rPr>
        <w:t>3</w:t>
      </w:r>
      <w:r>
        <w:rPr>
          <w:b/>
          <w:bCs w:val="0"/>
          <w:color w:val="auto"/>
          <w:kern w:val="21"/>
          <w:sz w:val="24"/>
          <w:u w:val="single"/>
        </w:rPr>
        <w:t>-N预测浓度不超标，最大影响距离为</w:t>
      </w:r>
      <w:r>
        <w:rPr>
          <w:rFonts w:hint="eastAsia"/>
          <w:b/>
          <w:bCs w:val="0"/>
          <w:color w:val="auto"/>
          <w:kern w:val="21"/>
          <w:sz w:val="24"/>
          <w:u w:val="single"/>
          <w:lang w:val="en-US" w:eastAsia="zh-CN"/>
        </w:rPr>
        <w:t>2</w:t>
      </w:r>
      <w:r>
        <w:rPr>
          <w:b/>
          <w:bCs w:val="0"/>
          <w:color w:val="auto"/>
          <w:kern w:val="21"/>
          <w:sz w:val="24"/>
          <w:u w:val="single"/>
        </w:rPr>
        <w:t>m；总镍预测超标距离为</w:t>
      </w:r>
      <w:r>
        <w:rPr>
          <w:rFonts w:hint="eastAsia"/>
          <w:b/>
          <w:bCs w:val="0"/>
          <w:color w:val="auto"/>
          <w:kern w:val="21"/>
          <w:sz w:val="24"/>
          <w:u w:val="single"/>
        </w:rPr>
        <w:t>1</w:t>
      </w:r>
      <w:r>
        <w:rPr>
          <w:b/>
          <w:bCs w:val="0"/>
          <w:color w:val="auto"/>
          <w:kern w:val="21"/>
          <w:sz w:val="24"/>
          <w:u w:val="single"/>
        </w:rPr>
        <w:t>m，超标浓度为</w:t>
      </w:r>
      <w:r>
        <w:rPr>
          <w:rFonts w:hint="eastAsia"/>
          <w:b/>
          <w:bCs w:val="0"/>
          <w:color w:val="auto"/>
          <w:kern w:val="21"/>
          <w:sz w:val="24"/>
          <w:u w:val="single"/>
        </w:rPr>
        <w:t>2.</w:t>
      </w:r>
      <w:r>
        <w:rPr>
          <w:rFonts w:hint="eastAsia"/>
          <w:b/>
          <w:bCs w:val="0"/>
          <w:color w:val="auto"/>
          <w:kern w:val="21"/>
          <w:sz w:val="24"/>
          <w:u w:val="single"/>
          <w:lang w:val="en-US" w:eastAsia="zh-CN"/>
        </w:rPr>
        <w:t>60</w:t>
      </w:r>
      <w:r>
        <w:rPr>
          <w:b/>
          <w:bCs w:val="0"/>
          <w:color w:val="auto"/>
          <w:kern w:val="21"/>
          <w:sz w:val="24"/>
          <w:u w:val="single"/>
        </w:rPr>
        <w:t>E-01mg/L，最大影响距离为</w:t>
      </w:r>
      <w:r>
        <w:rPr>
          <w:rFonts w:hint="eastAsia"/>
          <w:b/>
          <w:bCs w:val="0"/>
          <w:color w:val="auto"/>
          <w:kern w:val="21"/>
          <w:sz w:val="24"/>
          <w:u w:val="single"/>
          <w:lang w:val="en-US" w:eastAsia="zh-CN"/>
        </w:rPr>
        <w:t>3</w:t>
      </w:r>
      <w:r>
        <w:rPr>
          <w:b/>
          <w:bCs w:val="0"/>
          <w:color w:val="auto"/>
          <w:kern w:val="21"/>
          <w:sz w:val="24"/>
          <w:u w:val="single"/>
        </w:rPr>
        <w:t>m；总锌预测浓度不超标，最大影响距离为</w:t>
      </w:r>
      <w:r>
        <w:rPr>
          <w:rFonts w:hint="eastAsia"/>
          <w:b/>
          <w:bCs w:val="0"/>
          <w:color w:val="auto"/>
          <w:kern w:val="21"/>
          <w:sz w:val="24"/>
          <w:u w:val="single"/>
        </w:rPr>
        <w:t>2</w:t>
      </w:r>
      <w:r>
        <w:rPr>
          <w:b/>
          <w:bCs w:val="0"/>
          <w:color w:val="auto"/>
          <w:kern w:val="21"/>
          <w:sz w:val="24"/>
          <w:u w:val="single"/>
        </w:rPr>
        <w:t>m；铬（六价铬）预测超标距离为</w:t>
      </w:r>
      <w:r>
        <w:rPr>
          <w:rFonts w:hint="eastAsia"/>
          <w:b/>
          <w:bCs w:val="0"/>
          <w:color w:val="auto"/>
          <w:kern w:val="21"/>
          <w:sz w:val="24"/>
          <w:u w:val="single"/>
          <w:lang w:val="en-US" w:eastAsia="zh-CN"/>
        </w:rPr>
        <w:t>3</w:t>
      </w:r>
      <w:r>
        <w:rPr>
          <w:b/>
          <w:bCs w:val="0"/>
          <w:color w:val="auto"/>
          <w:kern w:val="21"/>
          <w:sz w:val="24"/>
          <w:u w:val="single"/>
        </w:rPr>
        <w:t>m，超标浓度为</w:t>
      </w:r>
      <w:r>
        <w:rPr>
          <w:rFonts w:hint="eastAsia"/>
          <w:b/>
          <w:bCs w:val="0"/>
          <w:color w:val="auto"/>
          <w:kern w:val="21"/>
          <w:sz w:val="24"/>
          <w:u w:val="single"/>
        </w:rPr>
        <w:t>5.</w:t>
      </w:r>
      <w:r>
        <w:rPr>
          <w:rFonts w:hint="eastAsia"/>
          <w:b/>
          <w:bCs w:val="0"/>
          <w:color w:val="auto"/>
          <w:kern w:val="21"/>
          <w:sz w:val="24"/>
          <w:u w:val="single"/>
          <w:lang w:val="en-US" w:eastAsia="zh-CN"/>
        </w:rPr>
        <w:t>21</w:t>
      </w:r>
      <w:r>
        <w:rPr>
          <w:b/>
          <w:bCs w:val="0"/>
          <w:color w:val="auto"/>
          <w:kern w:val="21"/>
          <w:sz w:val="24"/>
          <w:u w:val="single"/>
        </w:rPr>
        <w:t>E</w:t>
      </w:r>
      <w:r>
        <w:rPr>
          <w:rFonts w:hint="eastAsia"/>
          <w:b/>
          <w:bCs w:val="0"/>
          <w:color w:val="auto"/>
          <w:kern w:val="21"/>
          <w:sz w:val="24"/>
          <w:u w:val="single"/>
        </w:rPr>
        <w:t>-</w:t>
      </w:r>
      <w:r>
        <w:rPr>
          <w:b/>
          <w:bCs w:val="0"/>
          <w:color w:val="auto"/>
          <w:kern w:val="21"/>
          <w:sz w:val="24"/>
          <w:u w:val="single"/>
        </w:rPr>
        <w:t>01mg/L，最远影响距离为</w:t>
      </w:r>
      <w:r>
        <w:rPr>
          <w:rFonts w:hint="eastAsia"/>
          <w:b/>
          <w:bCs w:val="0"/>
          <w:color w:val="auto"/>
          <w:kern w:val="21"/>
          <w:sz w:val="24"/>
          <w:u w:val="single"/>
          <w:lang w:val="en-US" w:eastAsia="zh-CN"/>
        </w:rPr>
        <w:t>3</w:t>
      </w:r>
      <w:r>
        <w:rPr>
          <w:rFonts w:hint="eastAsia"/>
          <w:b/>
          <w:bCs w:val="0"/>
          <w:color w:val="auto"/>
          <w:kern w:val="21"/>
          <w:sz w:val="24"/>
          <w:u w:val="single"/>
        </w:rPr>
        <w:t>2</w:t>
      </w:r>
      <w:r>
        <w:rPr>
          <w:b/>
          <w:bCs w:val="0"/>
          <w:color w:val="auto"/>
          <w:kern w:val="21"/>
          <w:sz w:val="24"/>
          <w:u w:val="single"/>
        </w:rPr>
        <w:t>m；1000d时，</w:t>
      </w:r>
      <w:r>
        <w:rPr>
          <w:rFonts w:hint="eastAsia"/>
          <w:b/>
          <w:bCs w:val="0"/>
          <w:color w:val="auto"/>
          <w:kern w:val="21"/>
          <w:sz w:val="24"/>
          <w:u w:val="single"/>
          <w:lang w:val="en-US" w:eastAsia="zh-CN"/>
        </w:rPr>
        <w:t>耗氧量</w:t>
      </w:r>
      <w:r>
        <w:rPr>
          <w:b/>
          <w:bCs w:val="0"/>
          <w:color w:val="auto"/>
          <w:kern w:val="21"/>
          <w:sz w:val="24"/>
          <w:u w:val="single"/>
        </w:rPr>
        <w:t>预测浓度不超标，最大影响距离为</w:t>
      </w:r>
      <w:r>
        <w:rPr>
          <w:rFonts w:hint="eastAsia"/>
          <w:b/>
          <w:bCs w:val="0"/>
          <w:color w:val="auto"/>
          <w:kern w:val="21"/>
          <w:sz w:val="24"/>
          <w:u w:val="single"/>
          <w:lang w:val="en-US" w:eastAsia="zh-CN"/>
        </w:rPr>
        <w:t>10</w:t>
      </w:r>
      <w:r>
        <w:rPr>
          <w:b/>
          <w:bCs w:val="0"/>
          <w:color w:val="auto"/>
          <w:kern w:val="21"/>
          <w:sz w:val="24"/>
          <w:u w:val="single"/>
        </w:rPr>
        <w:t>m；NH</w:t>
      </w:r>
      <w:r>
        <w:rPr>
          <w:b/>
          <w:bCs w:val="0"/>
          <w:color w:val="auto"/>
          <w:kern w:val="21"/>
          <w:sz w:val="24"/>
          <w:u w:val="single"/>
          <w:vertAlign w:val="subscript"/>
        </w:rPr>
        <w:t>3</w:t>
      </w:r>
      <w:r>
        <w:rPr>
          <w:b/>
          <w:bCs w:val="0"/>
          <w:color w:val="auto"/>
          <w:kern w:val="21"/>
          <w:sz w:val="24"/>
          <w:u w:val="single"/>
        </w:rPr>
        <w:t>-N预测浓度不超标</w:t>
      </w:r>
      <w:r>
        <w:rPr>
          <w:rFonts w:hint="eastAsia"/>
          <w:b/>
          <w:bCs w:val="0"/>
          <w:color w:val="auto"/>
          <w:kern w:val="21"/>
          <w:sz w:val="24"/>
          <w:u w:val="single"/>
          <w:lang w:eastAsia="zh-CN"/>
        </w:rPr>
        <w:t>，</w:t>
      </w:r>
      <w:r>
        <w:rPr>
          <w:rFonts w:hint="eastAsia"/>
          <w:b/>
          <w:bCs w:val="0"/>
          <w:color w:val="auto"/>
          <w:kern w:val="21"/>
          <w:sz w:val="24"/>
          <w:u w:val="single"/>
          <w:lang w:val="en-US" w:eastAsia="zh-CN"/>
        </w:rPr>
        <w:t>浓度预测值均低于检出限</w:t>
      </w:r>
      <w:r>
        <w:rPr>
          <w:b/>
          <w:bCs w:val="0"/>
          <w:color w:val="auto"/>
          <w:kern w:val="21"/>
          <w:sz w:val="24"/>
          <w:u w:val="single"/>
        </w:rPr>
        <w:t>；总镍预测超标距离为</w:t>
      </w:r>
      <w:r>
        <w:rPr>
          <w:rFonts w:hint="eastAsia"/>
          <w:b/>
          <w:bCs w:val="0"/>
          <w:color w:val="auto"/>
          <w:kern w:val="21"/>
          <w:sz w:val="24"/>
          <w:u w:val="single"/>
          <w:lang w:val="en-US" w:eastAsia="zh-CN"/>
        </w:rPr>
        <w:t>6</w:t>
      </w:r>
      <w:r>
        <w:rPr>
          <w:b/>
          <w:bCs w:val="0"/>
          <w:color w:val="auto"/>
          <w:kern w:val="21"/>
          <w:sz w:val="24"/>
          <w:u w:val="single"/>
        </w:rPr>
        <w:t>m，超标浓度为</w:t>
      </w:r>
      <w:r>
        <w:rPr>
          <w:rFonts w:hint="eastAsia"/>
          <w:b/>
          <w:bCs w:val="0"/>
          <w:color w:val="auto"/>
          <w:kern w:val="21"/>
          <w:sz w:val="24"/>
          <w:u w:val="single"/>
          <w:lang w:val="en-US" w:eastAsia="zh-CN"/>
        </w:rPr>
        <w:t>6.53</w:t>
      </w:r>
      <w:r>
        <w:rPr>
          <w:b/>
          <w:bCs w:val="0"/>
          <w:color w:val="auto"/>
          <w:kern w:val="21"/>
          <w:sz w:val="24"/>
          <w:u w:val="single"/>
        </w:rPr>
        <w:t>E-02mg/L，最大影响距离为</w:t>
      </w:r>
      <w:r>
        <w:rPr>
          <w:rFonts w:hint="eastAsia"/>
          <w:b/>
          <w:bCs w:val="0"/>
          <w:color w:val="auto"/>
          <w:kern w:val="21"/>
          <w:sz w:val="24"/>
          <w:u w:val="single"/>
          <w:lang w:val="en-US" w:eastAsia="zh-CN"/>
        </w:rPr>
        <w:t>13</w:t>
      </w:r>
      <w:r>
        <w:rPr>
          <w:b/>
          <w:bCs w:val="0"/>
          <w:color w:val="auto"/>
          <w:kern w:val="21"/>
          <w:sz w:val="24"/>
          <w:u w:val="single"/>
        </w:rPr>
        <w:t>m；总锌预测浓度不超标，</w:t>
      </w:r>
      <w:r>
        <w:rPr>
          <w:rFonts w:hint="eastAsia"/>
          <w:b/>
          <w:bCs w:val="0"/>
          <w:color w:val="auto"/>
          <w:kern w:val="21"/>
          <w:sz w:val="24"/>
          <w:u w:val="single"/>
          <w:lang w:val="en-US" w:eastAsia="zh-CN"/>
        </w:rPr>
        <w:t>浓度预测值均低于检出限</w:t>
      </w:r>
      <w:r>
        <w:rPr>
          <w:b/>
          <w:bCs w:val="0"/>
          <w:color w:val="auto"/>
          <w:kern w:val="21"/>
          <w:sz w:val="24"/>
          <w:u w:val="single"/>
        </w:rPr>
        <w:t>；总铬预测超标距离为</w:t>
      </w:r>
      <w:r>
        <w:rPr>
          <w:rFonts w:hint="eastAsia"/>
          <w:b/>
          <w:bCs w:val="0"/>
          <w:color w:val="auto"/>
          <w:kern w:val="21"/>
          <w:sz w:val="24"/>
          <w:u w:val="single"/>
          <w:lang w:val="en-US" w:eastAsia="zh-CN"/>
        </w:rPr>
        <w:t>10</w:t>
      </w:r>
      <w:r>
        <w:rPr>
          <w:b/>
          <w:bCs w:val="0"/>
          <w:color w:val="auto"/>
          <w:kern w:val="21"/>
          <w:sz w:val="24"/>
          <w:u w:val="single"/>
        </w:rPr>
        <w:t>m，超标浓度为</w:t>
      </w:r>
      <w:r>
        <w:rPr>
          <w:rFonts w:hint="eastAsia"/>
          <w:b/>
          <w:bCs w:val="0"/>
          <w:color w:val="auto"/>
          <w:kern w:val="21"/>
          <w:sz w:val="24"/>
          <w:u w:val="single"/>
          <w:lang w:val="en-US" w:eastAsia="zh-CN"/>
        </w:rPr>
        <w:t>6.86</w:t>
      </w:r>
      <w:r>
        <w:rPr>
          <w:rFonts w:hint="eastAsia"/>
          <w:b/>
          <w:bCs w:val="0"/>
          <w:color w:val="auto"/>
          <w:kern w:val="21"/>
          <w:sz w:val="24"/>
          <w:u w:val="single"/>
        </w:rPr>
        <w:t>1</w:t>
      </w:r>
      <w:r>
        <w:rPr>
          <w:b/>
          <w:bCs w:val="0"/>
          <w:color w:val="auto"/>
          <w:kern w:val="21"/>
          <w:sz w:val="24"/>
          <w:u w:val="single"/>
        </w:rPr>
        <w:t>E-0</w:t>
      </w:r>
      <w:r>
        <w:rPr>
          <w:rFonts w:hint="eastAsia"/>
          <w:b/>
          <w:bCs w:val="0"/>
          <w:color w:val="auto"/>
          <w:kern w:val="21"/>
          <w:sz w:val="24"/>
          <w:u w:val="single"/>
          <w:lang w:val="en-US" w:eastAsia="zh-CN"/>
        </w:rPr>
        <w:t>2</w:t>
      </w:r>
      <w:r>
        <w:rPr>
          <w:b/>
          <w:bCs w:val="0"/>
          <w:color w:val="auto"/>
          <w:kern w:val="21"/>
          <w:sz w:val="24"/>
          <w:u w:val="single"/>
        </w:rPr>
        <w:t>mg/L，最大影响距离为</w:t>
      </w:r>
      <w:r>
        <w:rPr>
          <w:rFonts w:hint="eastAsia"/>
          <w:b/>
          <w:bCs w:val="0"/>
          <w:color w:val="auto"/>
          <w:kern w:val="21"/>
          <w:sz w:val="24"/>
          <w:u w:val="single"/>
          <w:lang w:val="en-US" w:eastAsia="zh-CN"/>
        </w:rPr>
        <w:t>12</w:t>
      </w:r>
      <w:r>
        <w:rPr>
          <w:b/>
          <w:bCs w:val="0"/>
          <w:color w:val="auto"/>
          <w:kern w:val="21"/>
          <w:sz w:val="24"/>
          <w:u w:val="single"/>
        </w:rPr>
        <w:t>m。</w:t>
      </w:r>
    </w:p>
    <w:p>
      <w:pPr>
        <w:adjustRightInd w:val="0"/>
        <w:snapToGrid w:val="0"/>
        <w:spacing w:line="360" w:lineRule="auto"/>
        <w:rPr>
          <w:b/>
          <w:bCs w:val="0"/>
          <w:color w:val="auto"/>
          <w:kern w:val="21"/>
          <w:sz w:val="24"/>
          <w:u w:val="single"/>
        </w:rPr>
        <w:sectPr>
          <w:pgSz w:w="11907" w:h="16840"/>
          <w:pgMar w:top="1440" w:right="1797" w:bottom="1440" w:left="1797" w:header="992" w:footer="992" w:gutter="0"/>
          <w:pgNumType w:fmt="numberInDash"/>
          <w:cols w:space="720" w:num="1"/>
          <w:docGrid w:linePitch="312" w:charSpace="0"/>
        </w:sectPr>
      </w:pP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100d、1000d时各因子最大浓度与厂区最大监测值叠加后的值见下表：</w:t>
      </w:r>
    </w:p>
    <w:p>
      <w:pPr>
        <w:adjustRightInd w:val="0"/>
        <w:snapToGrid w:val="0"/>
        <w:spacing w:before="120" w:beforeLines="50"/>
        <w:jc w:val="center"/>
        <w:rPr>
          <w:rFonts w:eastAsia="黑体"/>
          <w:b/>
          <w:bCs w:val="0"/>
          <w:color w:val="auto"/>
          <w:kern w:val="21"/>
          <w:sz w:val="24"/>
          <w:u w:val="single"/>
        </w:rPr>
      </w:pPr>
      <w:r>
        <w:rPr>
          <w:rFonts w:eastAsia="黑体"/>
          <w:b/>
          <w:bCs w:val="0"/>
          <w:color w:val="auto"/>
          <w:kern w:val="21"/>
          <w:sz w:val="24"/>
          <w:u w:val="single"/>
        </w:rPr>
        <w:t>表5.5-9        厂区内各污染物预测结果        单位：mg/m</w:t>
      </w:r>
      <w:r>
        <w:rPr>
          <w:rFonts w:eastAsia="黑体"/>
          <w:b/>
          <w:bCs w:val="0"/>
          <w:color w:val="auto"/>
          <w:kern w:val="21"/>
          <w:sz w:val="24"/>
          <w:u w:val="single"/>
          <w:vertAlign w:val="superscript"/>
        </w:rPr>
        <w:t>3</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77"/>
        <w:gridCol w:w="1046"/>
        <w:gridCol w:w="1440"/>
        <w:gridCol w:w="1448"/>
        <w:gridCol w:w="1757"/>
        <w:gridCol w:w="156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blHeader/>
        </w:trPr>
        <w:tc>
          <w:tcPr>
            <w:tcW w:w="1362" w:type="pct"/>
            <w:gridSpan w:val="2"/>
            <w:vAlign w:val="center"/>
          </w:tcPr>
          <w:p>
            <w:pPr>
              <w:jc w:val="center"/>
              <w:rPr>
                <w:b/>
                <w:bCs w:val="0"/>
                <w:color w:val="auto"/>
                <w:szCs w:val="20"/>
                <w:u w:val="single"/>
              </w:rPr>
            </w:pPr>
            <w:r>
              <w:rPr>
                <w:b/>
                <w:bCs w:val="0"/>
                <w:color w:val="auto"/>
                <w:szCs w:val="20"/>
                <w:u w:val="single"/>
              </w:rPr>
              <w:t>因子</w:t>
            </w:r>
          </w:p>
        </w:tc>
        <w:tc>
          <w:tcPr>
            <w:tcW w:w="844" w:type="pct"/>
            <w:vAlign w:val="center"/>
          </w:tcPr>
          <w:p>
            <w:pPr>
              <w:jc w:val="center"/>
              <w:rPr>
                <w:b/>
                <w:bCs w:val="0"/>
                <w:color w:val="auto"/>
                <w:szCs w:val="20"/>
                <w:u w:val="single"/>
              </w:rPr>
            </w:pPr>
            <w:r>
              <w:rPr>
                <w:b/>
                <w:bCs w:val="0"/>
                <w:color w:val="auto"/>
                <w:szCs w:val="20"/>
                <w:u w:val="single"/>
              </w:rPr>
              <w:t>最大浓度</w:t>
            </w:r>
          </w:p>
        </w:tc>
        <w:tc>
          <w:tcPr>
            <w:tcW w:w="849" w:type="pct"/>
            <w:vAlign w:val="center"/>
          </w:tcPr>
          <w:p>
            <w:pPr>
              <w:jc w:val="center"/>
              <w:rPr>
                <w:b/>
                <w:bCs w:val="0"/>
                <w:color w:val="auto"/>
                <w:szCs w:val="20"/>
                <w:u w:val="single"/>
              </w:rPr>
            </w:pPr>
            <w:r>
              <w:rPr>
                <w:b/>
                <w:bCs w:val="0"/>
                <w:color w:val="auto"/>
                <w:szCs w:val="20"/>
                <w:u w:val="single"/>
              </w:rPr>
              <w:t>现状值</w:t>
            </w:r>
          </w:p>
        </w:tc>
        <w:tc>
          <w:tcPr>
            <w:tcW w:w="1030" w:type="pct"/>
            <w:vAlign w:val="center"/>
          </w:tcPr>
          <w:p>
            <w:pPr>
              <w:jc w:val="center"/>
              <w:rPr>
                <w:b/>
                <w:bCs w:val="0"/>
                <w:color w:val="auto"/>
                <w:szCs w:val="20"/>
                <w:u w:val="single"/>
              </w:rPr>
            </w:pPr>
            <w:r>
              <w:rPr>
                <w:b/>
                <w:bCs w:val="0"/>
                <w:color w:val="auto"/>
                <w:szCs w:val="20"/>
                <w:u w:val="single"/>
              </w:rPr>
              <w:t>叠加值</w:t>
            </w:r>
          </w:p>
        </w:tc>
        <w:tc>
          <w:tcPr>
            <w:tcW w:w="915" w:type="pct"/>
            <w:vAlign w:val="center"/>
          </w:tcPr>
          <w:p>
            <w:pPr>
              <w:jc w:val="center"/>
              <w:rPr>
                <w:b/>
                <w:bCs w:val="0"/>
                <w:color w:val="auto"/>
                <w:szCs w:val="20"/>
                <w:u w:val="single"/>
              </w:rPr>
            </w:pPr>
            <w:r>
              <w:rPr>
                <w:b/>
                <w:bCs w:val="0"/>
                <w:color w:val="auto"/>
                <w:szCs w:val="20"/>
                <w:u w:val="single"/>
              </w:rPr>
              <w:t>环境质量标准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restart"/>
            <w:vAlign w:val="center"/>
          </w:tcPr>
          <w:p>
            <w:pPr>
              <w:contextualSpacing/>
              <w:jc w:val="center"/>
              <w:textAlignment w:val="baseline"/>
              <w:rPr>
                <w:b/>
                <w:bCs w:val="0"/>
                <w:color w:val="auto"/>
                <w:kern w:val="0"/>
                <w:u w:val="single"/>
              </w:rPr>
            </w:pPr>
            <w:r>
              <w:rPr>
                <w:b/>
                <w:bCs w:val="0"/>
                <w:color w:val="auto"/>
                <w:kern w:val="0"/>
                <w:u w:val="single"/>
              </w:rPr>
              <w:t>耗氧量</w:t>
            </w:r>
          </w:p>
        </w:tc>
        <w:tc>
          <w:tcPr>
            <w:tcW w:w="613" w:type="pct"/>
            <w:vAlign w:val="center"/>
          </w:tcPr>
          <w:p>
            <w:pPr>
              <w:contextualSpacing/>
              <w:jc w:val="center"/>
              <w:textAlignment w:val="baseline"/>
              <w:rPr>
                <w:b/>
                <w:bCs w:val="0"/>
                <w:color w:val="auto"/>
                <w:kern w:val="0"/>
                <w:u w:val="single"/>
              </w:rPr>
            </w:pPr>
            <w:r>
              <w:rPr>
                <w:b/>
                <w:bCs w:val="0"/>
                <w:color w:val="auto"/>
                <w:kern w:val="0"/>
                <w:u w:val="single"/>
              </w:rPr>
              <w:t>100d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0.379</w:t>
            </w:r>
          </w:p>
        </w:tc>
        <w:tc>
          <w:tcPr>
            <w:tcW w:w="849" w:type="pct"/>
            <w:vMerge w:val="restart"/>
            <w:vAlign w:val="center"/>
          </w:tcPr>
          <w:p>
            <w:pPr>
              <w:contextualSpacing/>
              <w:jc w:val="center"/>
              <w:textAlignment w:val="baseline"/>
              <w:rPr>
                <w:b/>
                <w:bCs w:val="0"/>
                <w:color w:val="auto"/>
                <w:kern w:val="0"/>
                <w:u w:val="single"/>
              </w:rPr>
            </w:pPr>
            <w:r>
              <w:rPr>
                <w:b/>
                <w:bCs w:val="0"/>
                <w:color w:val="auto"/>
                <w:kern w:val="0"/>
                <w:u w:val="single"/>
              </w:rPr>
              <w:t>1.36</w:t>
            </w:r>
          </w:p>
        </w:tc>
        <w:tc>
          <w:tcPr>
            <w:tcW w:w="1030" w:type="pct"/>
            <w:vAlign w:val="center"/>
          </w:tcPr>
          <w:p>
            <w:pPr>
              <w:contextualSpacing/>
              <w:jc w:val="center"/>
              <w:textAlignment w:val="baseline"/>
              <w:rPr>
                <w:b/>
                <w:bCs w:val="0"/>
                <w:color w:val="auto"/>
                <w:kern w:val="0"/>
                <w:u w:val="single"/>
              </w:rPr>
            </w:pPr>
            <w:r>
              <w:rPr>
                <w:b/>
                <w:bCs w:val="0"/>
                <w:color w:val="auto"/>
                <w:kern w:val="0"/>
                <w:u w:val="single"/>
              </w:rPr>
              <w:t>1.7</w:t>
            </w:r>
            <w:r>
              <w:rPr>
                <w:rFonts w:hint="eastAsia"/>
                <w:b/>
                <w:bCs w:val="0"/>
                <w:color w:val="auto"/>
                <w:kern w:val="0"/>
                <w:u w:val="single"/>
                <w:lang w:val="en-US" w:eastAsia="zh-CN"/>
              </w:rPr>
              <w:t>39</w:t>
            </w:r>
          </w:p>
        </w:tc>
        <w:tc>
          <w:tcPr>
            <w:tcW w:w="915" w:type="pct"/>
            <w:vMerge w:val="restart"/>
            <w:vAlign w:val="center"/>
          </w:tcPr>
          <w:p>
            <w:pPr>
              <w:contextualSpacing/>
              <w:jc w:val="center"/>
              <w:textAlignment w:val="baseline"/>
              <w:rPr>
                <w:b/>
                <w:bCs w:val="0"/>
                <w:color w:val="auto"/>
                <w:kern w:val="0"/>
                <w:u w:val="single"/>
              </w:rPr>
            </w:pPr>
            <w:r>
              <w:rPr>
                <w:b/>
                <w:bCs w:val="0"/>
                <w:color w:val="auto"/>
                <w:kern w:val="0"/>
                <w:u w:val="single"/>
              </w:rPr>
              <w:t>3.0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continue"/>
            <w:vAlign w:val="center"/>
          </w:tcPr>
          <w:p>
            <w:pPr>
              <w:contextualSpacing/>
              <w:jc w:val="center"/>
              <w:textAlignment w:val="baseline"/>
              <w:rPr>
                <w:b/>
                <w:bCs w:val="0"/>
                <w:color w:val="auto"/>
                <w:kern w:val="0"/>
                <w:u w:val="single"/>
              </w:rPr>
            </w:pPr>
          </w:p>
        </w:tc>
        <w:tc>
          <w:tcPr>
            <w:tcW w:w="613" w:type="pct"/>
            <w:vAlign w:val="center"/>
          </w:tcPr>
          <w:p>
            <w:pPr>
              <w:contextualSpacing/>
              <w:jc w:val="center"/>
              <w:textAlignment w:val="baseline"/>
              <w:rPr>
                <w:b/>
                <w:bCs w:val="0"/>
                <w:color w:val="auto"/>
                <w:kern w:val="0"/>
                <w:u w:val="single"/>
              </w:rPr>
            </w:pPr>
            <w:r>
              <w:rPr>
                <w:b/>
                <w:bCs w:val="0"/>
                <w:color w:val="auto"/>
                <w:kern w:val="0"/>
                <w:u w:val="single"/>
              </w:rPr>
              <w:t>1000d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0.128</w:t>
            </w:r>
          </w:p>
        </w:tc>
        <w:tc>
          <w:tcPr>
            <w:tcW w:w="849" w:type="pct"/>
            <w:vMerge w:val="continue"/>
            <w:vAlign w:val="center"/>
          </w:tcPr>
          <w:p>
            <w:pPr>
              <w:contextualSpacing/>
              <w:jc w:val="center"/>
              <w:textAlignment w:val="baseline"/>
              <w:rPr>
                <w:b/>
                <w:bCs w:val="0"/>
                <w:color w:val="auto"/>
                <w:kern w:val="0"/>
                <w:u w:val="single"/>
              </w:rPr>
            </w:pPr>
          </w:p>
        </w:tc>
        <w:tc>
          <w:tcPr>
            <w:tcW w:w="1030"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1.488</w:t>
            </w:r>
          </w:p>
        </w:tc>
        <w:tc>
          <w:tcPr>
            <w:tcW w:w="915" w:type="pct"/>
            <w:vMerge w:val="continue"/>
            <w:vAlign w:val="center"/>
          </w:tcPr>
          <w:p>
            <w:pPr>
              <w:contextualSpacing/>
              <w:jc w:val="center"/>
              <w:textAlignment w:val="baseline"/>
              <w:rPr>
                <w:b/>
                <w:bCs w:val="0"/>
                <w:color w:val="auto"/>
                <w:kern w:val="0"/>
                <w:u w:val="singl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restart"/>
            <w:vAlign w:val="center"/>
          </w:tcPr>
          <w:p>
            <w:pPr>
              <w:contextualSpacing/>
              <w:jc w:val="center"/>
              <w:textAlignment w:val="baseline"/>
              <w:rPr>
                <w:b/>
                <w:bCs w:val="0"/>
                <w:color w:val="auto"/>
                <w:kern w:val="0"/>
                <w:u w:val="single"/>
              </w:rPr>
            </w:pPr>
            <w:r>
              <w:rPr>
                <w:b/>
                <w:bCs w:val="0"/>
                <w:color w:val="auto"/>
                <w:kern w:val="0"/>
                <w:u w:val="single"/>
              </w:rPr>
              <w:t>氨氮</w:t>
            </w:r>
          </w:p>
        </w:tc>
        <w:tc>
          <w:tcPr>
            <w:tcW w:w="613" w:type="pct"/>
            <w:vAlign w:val="center"/>
          </w:tcPr>
          <w:p>
            <w:pPr>
              <w:contextualSpacing/>
              <w:jc w:val="center"/>
              <w:textAlignment w:val="baseline"/>
              <w:rPr>
                <w:b/>
                <w:bCs w:val="0"/>
                <w:color w:val="auto"/>
                <w:kern w:val="0"/>
                <w:u w:val="single"/>
              </w:rPr>
            </w:pPr>
            <w:r>
              <w:rPr>
                <w:b/>
                <w:bCs w:val="0"/>
                <w:color w:val="auto"/>
                <w:kern w:val="0"/>
                <w:u w:val="single"/>
              </w:rPr>
              <w:t>100d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0.0553</w:t>
            </w:r>
          </w:p>
        </w:tc>
        <w:tc>
          <w:tcPr>
            <w:tcW w:w="849" w:type="pct"/>
            <w:vMerge w:val="restart"/>
            <w:vAlign w:val="center"/>
          </w:tcPr>
          <w:p>
            <w:pPr>
              <w:contextualSpacing/>
              <w:jc w:val="center"/>
              <w:textAlignment w:val="baseline"/>
              <w:rPr>
                <w:b/>
                <w:bCs w:val="0"/>
                <w:color w:val="auto"/>
                <w:kern w:val="0"/>
                <w:u w:val="single"/>
              </w:rPr>
            </w:pPr>
            <w:r>
              <w:rPr>
                <w:b/>
                <w:bCs w:val="0"/>
                <w:color w:val="auto"/>
                <w:kern w:val="0"/>
                <w:u w:val="single"/>
              </w:rPr>
              <w:t>0.048</w:t>
            </w:r>
          </w:p>
        </w:tc>
        <w:tc>
          <w:tcPr>
            <w:tcW w:w="1030"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rPr>
              <w:t>0.10</w:t>
            </w:r>
            <w:r>
              <w:rPr>
                <w:rFonts w:hint="eastAsia"/>
                <w:b/>
                <w:bCs w:val="0"/>
                <w:color w:val="auto"/>
                <w:kern w:val="0"/>
                <w:u w:val="single"/>
                <w:lang w:val="en-US" w:eastAsia="zh-CN"/>
              </w:rPr>
              <w:t>33</w:t>
            </w:r>
          </w:p>
        </w:tc>
        <w:tc>
          <w:tcPr>
            <w:tcW w:w="915" w:type="pct"/>
            <w:vMerge w:val="restart"/>
            <w:vAlign w:val="center"/>
          </w:tcPr>
          <w:p>
            <w:pPr>
              <w:contextualSpacing/>
              <w:jc w:val="center"/>
              <w:textAlignment w:val="baseline"/>
              <w:rPr>
                <w:b/>
                <w:bCs w:val="0"/>
                <w:color w:val="auto"/>
                <w:kern w:val="0"/>
                <w:u w:val="single"/>
              </w:rPr>
            </w:pPr>
            <w:r>
              <w:rPr>
                <w:b/>
                <w:bCs w:val="0"/>
                <w:color w:val="auto"/>
                <w:kern w:val="0"/>
                <w:u w:val="single"/>
              </w:rPr>
              <w:t>0.5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continue"/>
            <w:vAlign w:val="center"/>
          </w:tcPr>
          <w:p>
            <w:pPr>
              <w:contextualSpacing/>
              <w:jc w:val="center"/>
              <w:textAlignment w:val="baseline"/>
              <w:rPr>
                <w:b/>
                <w:bCs w:val="0"/>
                <w:color w:val="auto"/>
                <w:kern w:val="0"/>
                <w:u w:val="single"/>
              </w:rPr>
            </w:pPr>
          </w:p>
        </w:tc>
        <w:tc>
          <w:tcPr>
            <w:tcW w:w="613" w:type="pct"/>
            <w:vAlign w:val="center"/>
          </w:tcPr>
          <w:p>
            <w:pPr>
              <w:contextualSpacing/>
              <w:jc w:val="center"/>
              <w:textAlignment w:val="baseline"/>
              <w:rPr>
                <w:b/>
                <w:bCs w:val="0"/>
                <w:color w:val="auto"/>
                <w:kern w:val="0"/>
                <w:u w:val="single"/>
              </w:rPr>
            </w:pPr>
            <w:r>
              <w:rPr>
                <w:b/>
                <w:bCs w:val="0"/>
                <w:color w:val="auto"/>
                <w:kern w:val="0"/>
                <w:u w:val="single"/>
              </w:rPr>
              <w:t>1000d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0.0139</w:t>
            </w:r>
          </w:p>
        </w:tc>
        <w:tc>
          <w:tcPr>
            <w:tcW w:w="849" w:type="pct"/>
            <w:vMerge w:val="continue"/>
            <w:vAlign w:val="center"/>
          </w:tcPr>
          <w:p>
            <w:pPr>
              <w:contextualSpacing/>
              <w:jc w:val="center"/>
              <w:textAlignment w:val="baseline"/>
              <w:rPr>
                <w:b/>
                <w:bCs w:val="0"/>
                <w:color w:val="auto"/>
                <w:kern w:val="0"/>
                <w:u w:val="single"/>
              </w:rPr>
            </w:pPr>
          </w:p>
        </w:tc>
        <w:tc>
          <w:tcPr>
            <w:tcW w:w="1030"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rPr>
              <w:t>0.06</w:t>
            </w:r>
            <w:r>
              <w:rPr>
                <w:rFonts w:hint="eastAsia"/>
                <w:b/>
                <w:bCs w:val="0"/>
                <w:color w:val="auto"/>
                <w:kern w:val="0"/>
                <w:u w:val="single"/>
                <w:lang w:val="en-US" w:eastAsia="zh-CN"/>
              </w:rPr>
              <w:t>19</w:t>
            </w:r>
          </w:p>
        </w:tc>
        <w:tc>
          <w:tcPr>
            <w:tcW w:w="915" w:type="pct"/>
            <w:vMerge w:val="continue"/>
            <w:vAlign w:val="center"/>
          </w:tcPr>
          <w:p>
            <w:pPr>
              <w:contextualSpacing/>
              <w:jc w:val="center"/>
              <w:textAlignment w:val="baseline"/>
              <w:rPr>
                <w:b/>
                <w:bCs w:val="0"/>
                <w:color w:val="auto"/>
                <w:kern w:val="0"/>
                <w:u w:val="singl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restart"/>
            <w:vAlign w:val="center"/>
          </w:tcPr>
          <w:p>
            <w:pPr>
              <w:contextualSpacing/>
              <w:jc w:val="center"/>
              <w:textAlignment w:val="baseline"/>
              <w:rPr>
                <w:b/>
                <w:bCs w:val="0"/>
                <w:color w:val="auto"/>
                <w:kern w:val="0"/>
                <w:u w:val="single"/>
              </w:rPr>
            </w:pPr>
            <w:r>
              <w:rPr>
                <w:b/>
                <w:bCs w:val="0"/>
                <w:color w:val="auto"/>
                <w:kern w:val="0"/>
                <w:u w:val="single"/>
              </w:rPr>
              <w:t>总镍</w:t>
            </w:r>
          </w:p>
        </w:tc>
        <w:tc>
          <w:tcPr>
            <w:tcW w:w="613" w:type="pct"/>
            <w:vAlign w:val="center"/>
          </w:tcPr>
          <w:p>
            <w:pPr>
              <w:contextualSpacing/>
              <w:jc w:val="center"/>
              <w:textAlignment w:val="baseline"/>
              <w:rPr>
                <w:b/>
                <w:bCs w:val="0"/>
                <w:color w:val="auto"/>
                <w:kern w:val="0"/>
                <w:u w:val="single"/>
              </w:rPr>
            </w:pPr>
            <w:r>
              <w:rPr>
                <w:b/>
                <w:bCs w:val="0"/>
                <w:color w:val="auto"/>
                <w:kern w:val="0"/>
                <w:u w:val="single"/>
              </w:rPr>
              <w:t>100d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0.26</w:t>
            </w:r>
          </w:p>
        </w:tc>
        <w:tc>
          <w:tcPr>
            <w:tcW w:w="849" w:type="pct"/>
            <w:vMerge w:val="restart"/>
            <w:vAlign w:val="center"/>
          </w:tcPr>
          <w:p>
            <w:pPr>
              <w:contextualSpacing/>
              <w:jc w:val="center"/>
              <w:textAlignment w:val="baseline"/>
              <w:rPr>
                <w:b/>
                <w:bCs w:val="0"/>
                <w:color w:val="auto"/>
                <w:kern w:val="0"/>
                <w:u w:val="single"/>
              </w:rPr>
            </w:pPr>
            <w:r>
              <w:rPr>
                <w:b/>
                <w:bCs w:val="0"/>
                <w:color w:val="auto"/>
                <w:kern w:val="0"/>
                <w:u w:val="single"/>
              </w:rPr>
              <w:t>未检出</w:t>
            </w:r>
          </w:p>
        </w:tc>
        <w:tc>
          <w:tcPr>
            <w:tcW w:w="1757" w:type="dxa"/>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0.26</w:t>
            </w:r>
          </w:p>
        </w:tc>
        <w:tc>
          <w:tcPr>
            <w:tcW w:w="915" w:type="pct"/>
            <w:vMerge w:val="restart"/>
            <w:vAlign w:val="center"/>
          </w:tcPr>
          <w:p>
            <w:pPr>
              <w:contextualSpacing/>
              <w:jc w:val="center"/>
              <w:textAlignment w:val="baseline"/>
              <w:rPr>
                <w:b/>
                <w:bCs w:val="0"/>
                <w:color w:val="auto"/>
                <w:kern w:val="0"/>
                <w:u w:val="single"/>
              </w:rPr>
            </w:pPr>
            <w:r>
              <w:rPr>
                <w:b/>
                <w:bCs w:val="0"/>
                <w:color w:val="auto"/>
                <w:kern w:val="0"/>
                <w:u w:val="single"/>
              </w:rPr>
              <w:t>0.02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continue"/>
            <w:vAlign w:val="center"/>
          </w:tcPr>
          <w:p>
            <w:pPr>
              <w:contextualSpacing/>
              <w:jc w:val="center"/>
              <w:textAlignment w:val="baseline"/>
              <w:rPr>
                <w:b/>
                <w:bCs w:val="0"/>
                <w:color w:val="auto"/>
                <w:kern w:val="0"/>
                <w:u w:val="single"/>
              </w:rPr>
            </w:pPr>
          </w:p>
        </w:tc>
        <w:tc>
          <w:tcPr>
            <w:tcW w:w="613" w:type="pct"/>
            <w:vAlign w:val="center"/>
          </w:tcPr>
          <w:p>
            <w:pPr>
              <w:contextualSpacing/>
              <w:jc w:val="center"/>
              <w:textAlignment w:val="baseline"/>
              <w:rPr>
                <w:b/>
                <w:bCs w:val="0"/>
                <w:color w:val="auto"/>
                <w:kern w:val="0"/>
                <w:u w:val="single"/>
              </w:rPr>
            </w:pPr>
            <w:r>
              <w:rPr>
                <w:b/>
                <w:bCs w:val="0"/>
                <w:color w:val="auto"/>
                <w:kern w:val="0"/>
                <w:u w:val="single"/>
              </w:rPr>
              <w:t>1000d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0.0653</w:t>
            </w:r>
          </w:p>
        </w:tc>
        <w:tc>
          <w:tcPr>
            <w:tcW w:w="849" w:type="pct"/>
            <w:vMerge w:val="continue"/>
            <w:vAlign w:val="center"/>
          </w:tcPr>
          <w:p>
            <w:pPr>
              <w:contextualSpacing/>
              <w:jc w:val="center"/>
              <w:textAlignment w:val="baseline"/>
              <w:rPr>
                <w:b/>
                <w:bCs w:val="0"/>
                <w:color w:val="auto"/>
                <w:kern w:val="0"/>
                <w:u w:val="single"/>
              </w:rPr>
            </w:pPr>
          </w:p>
        </w:tc>
        <w:tc>
          <w:tcPr>
            <w:tcW w:w="1757" w:type="dxa"/>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0.0653</w:t>
            </w:r>
          </w:p>
        </w:tc>
        <w:tc>
          <w:tcPr>
            <w:tcW w:w="915" w:type="pct"/>
            <w:vMerge w:val="continue"/>
            <w:vAlign w:val="center"/>
          </w:tcPr>
          <w:p>
            <w:pPr>
              <w:contextualSpacing/>
              <w:jc w:val="center"/>
              <w:textAlignment w:val="baseline"/>
              <w:rPr>
                <w:b/>
                <w:bCs w:val="0"/>
                <w:color w:val="auto"/>
                <w:kern w:val="0"/>
                <w:u w:val="singl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restart"/>
            <w:vAlign w:val="center"/>
          </w:tcPr>
          <w:p>
            <w:pPr>
              <w:contextualSpacing/>
              <w:jc w:val="center"/>
              <w:textAlignment w:val="baseline"/>
              <w:rPr>
                <w:b/>
                <w:bCs w:val="0"/>
                <w:color w:val="auto"/>
                <w:kern w:val="0"/>
                <w:u w:val="single"/>
              </w:rPr>
            </w:pPr>
            <w:r>
              <w:rPr>
                <w:b/>
                <w:bCs w:val="0"/>
                <w:color w:val="auto"/>
                <w:kern w:val="0"/>
                <w:u w:val="single"/>
              </w:rPr>
              <w:t>总锌</w:t>
            </w:r>
          </w:p>
        </w:tc>
        <w:tc>
          <w:tcPr>
            <w:tcW w:w="613" w:type="pct"/>
            <w:vAlign w:val="center"/>
          </w:tcPr>
          <w:p>
            <w:pPr>
              <w:contextualSpacing/>
              <w:jc w:val="center"/>
              <w:textAlignment w:val="baseline"/>
              <w:rPr>
                <w:b/>
                <w:bCs w:val="0"/>
                <w:color w:val="auto"/>
                <w:kern w:val="0"/>
                <w:u w:val="single"/>
              </w:rPr>
            </w:pPr>
            <w:r>
              <w:rPr>
                <w:b/>
                <w:bCs w:val="0"/>
                <w:color w:val="auto"/>
                <w:kern w:val="0"/>
                <w:u w:val="single"/>
              </w:rPr>
              <w:t>100d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0.13</w:t>
            </w:r>
          </w:p>
        </w:tc>
        <w:tc>
          <w:tcPr>
            <w:tcW w:w="849" w:type="pct"/>
            <w:vMerge w:val="restart"/>
            <w:vAlign w:val="center"/>
          </w:tcPr>
          <w:p>
            <w:pPr>
              <w:contextualSpacing/>
              <w:jc w:val="center"/>
              <w:textAlignment w:val="baseline"/>
              <w:rPr>
                <w:b/>
                <w:bCs w:val="0"/>
                <w:color w:val="auto"/>
                <w:kern w:val="0"/>
                <w:u w:val="single"/>
              </w:rPr>
            </w:pPr>
            <w:r>
              <w:rPr>
                <w:b/>
                <w:bCs w:val="0"/>
                <w:color w:val="auto"/>
                <w:kern w:val="0"/>
                <w:u w:val="single"/>
              </w:rPr>
              <w:t>未检出</w:t>
            </w:r>
          </w:p>
        </w:tc>
        <w:tc>
          <w:tcPr>
            <w:tcW w:w="1757" w:type="dxa"/>
            <w:vAlign w:val="center"/>
          </w:tcPr>
          <w:p>
            <w:pPr>
              <w:contextualSpacing/>
              <w:jc w:val="center"/>
              <w:textAlignment w:val="baseline"/>
              <w:rPr>
                <w:b/>
                <w:bCs w:val="0"/>
                <w:color w:val="auto"/>
                <w:kern w:val="0"/>
                <w:u w:val="single"/>
              </w:rPr>
            </w:pPr>
            <w:r>
              <w:rPr>
                <w:rFonts w:hint="eastAsia"/>
                <w:b/>
                <w:bCs w:val="0"/>
                <w:color w:val="auto"/>
                <w:kern w:val="0"/>
                <w:u w:val="single"/>
                <w:lang w:val="en-US" w:eastAsia="zh-CN"/>
              </w:rPr>
              <w:t>0.13</w:t>
            </w:r>
          </w:p>
        </w:tc>
        <w:tc>
          <w:tcPr>
            <w:tcW w:w="915" w:type="pct"/>
            <w:vMerge w:val="restart"/>
            <w:vAlign w:val="center"/>
          </w:tcPr>
          <w:p>
            <w:pPr>
              <w:contextualSpacing/>
              <w:jc w:val="center"/>
              <w:textAlignment w:val="baseline"/>
              <w:rPr>
                <w:b/>
                <w:bCs w:val="0"/>
                <w:color w:val="auto"/>
                <w:kern w:val="0"/>
                <w:u w:val="single"/>
              </w:rPr>
            </w:pPr>
            <w:r>
              <w:rPr>
                <w:b/>
                <w:bCs w:val="0"/>
                <w:color w:val="auto"/>
                <w:kern w:val="0"/>
                <w:u w:val="single"/>
              </w:rPr>
              <w:t>1.00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continue"/>
            <w:vAlign w:val="center"/>
          </w:tcPr>
          <w:p>
            <w:pPr>
              <w:contextualSpacing/>
              <w:jc w:val="center"/>
              <w:textAlignment w:val="baseline"/>
              <w:rPr>
                <w:b/>
                <w:bCs w:val="0"/>
                <w:color w:val="auto"/>
                <w:kern w:val="0"/>
                <w:u w:val="single"/>
              </w:rPr>
            </w:pPr>
          </w:p>
        </w:tc>
        <w:tc>
          <w:tcPr>
            <w:tcW w:w="613" w:type="pct"/>
            <w:vAlign w:val="center"/>
          </w:tcPr>
          <w:p>
            <w:pPr>
              <w:contextualSpacing/>
              <w:jc w:val="center"/>
              <w:textAlignment w:val="baseline"/>
              <w:rPr>
                <w:b/>
                <w:bCs w:val="0"/>
                <w:color w:val="auto"/>
                <w:kern w:val="0"/>
                <w:u w:val="single"/>
              </w:rPr>
            </w:pPr>
            <w:r>
              <w:rPr>
                <w:b/>
                <w:bCs w:val="0"/>
                <w:color w:val="auto"/>
                <w:kern w:val="0"/>
                <w:u w:val="single"/>
              </w:rPr>
              <w:t>1000d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rPr>
              <w:t>0.03</w:t>
            </w:r>
            <w:r>
              <w:rPr>
                <w:rFonts w:hint="eastAsia"/>
                <w:b/>
                <w:bCs w:val="0"/>
                <w:color w:val="auto"/>
                <w:kern w:val="0"/>
                <w:u w:val="single"/>
                <w:lang w:val="en-US" w:eastAsia="zh-CN"/>
              </w:rPr>
              <w:t>27</w:t>
            </w:r>
          </w:p>
        </w:tc>
        <w:tc>
          <w:tcPr>
            <w:tcW w:w="849" w:type="pct"/>
            <w:vMerge w:val="continue"/>
            <w:vAlign w:val="center"/>
          </w:tcPr>
          <w:p>
            <w:pPr>
              <w:contextualSpacing/>
              <w:jc w:val="center"/>
              <w:textAlignment w:val="baseline"/>
              <w:rPr>
                <w:b/>
                <w:bCs w:val="0"/>
                <w:color w:val="auto"/>
                <w:kern w:val="0"/>
                <w:u w:val="single"/>
              </w:rPr>
            </w:pPr>
          </w:p>
        </w:tc>
        <w:tc>
          <w:tcPr>
            <w:tcW w:w="1757" w:type="dxa"/>
            <w:vAlign w:val="center"/>
          </w:tcPr>
          <w:p>
            <w:pPr>
              <w:contextualSpacing/>
              <w:jc w:val="center"/>
              <w:textAlignment w:val="baseline"/>
              <w:rPr>
                <w:b/>
                <w:bCs w:val="0"/>
                <w:color w:val="auto"/>
                <w:kern w:val="0"/>
                <w:u w:val="single"/>
              </w:rPr>
            </w:pPr>
            <w:r>
              <w:rPr>
                <w:rFonts w:hint="eastAsia"/>
                <w:b/>
                <w:bCs w:val="0"/>
                <w:color w:val="auto"/>
                <w:kern w:val="0"/>
                <w:u w:val="single"/>
              </w:rPr>
              <w:t>0.03</w:t>
            </w:r>
            <w:r>
              <w:rPr>
                <w:rFonts w:hint="eastAsia"/>
                <w:b/>
                <w:bCs w:val="0"/>
                <w:color w:val="auto"/>
                <w:kern w:val="0"/>
                <w:u w:val="single"/>
                <w:lang w:val="en-US" w:eastAsia="zh-CN"/>
              </w:rPr>
              <w:t>27</w:t>
            </w:r>
          </w:p>
        </w:tc>
        <w:tc>
          <w:tcPr>
            <w:tcW w:w="915" w:type="pct"/>
            <w:vMerge w:val="continue"/>
            <w:vAlign w:val="center"/>
          </w:tcPr>
          <w:p>
            <w:pPr>
              <w:contextualSpacing/>
              <w:jc w:val="center"/>
              <w:textAlignment w:val="baseline"/>
              <w:rPr>
                <w:b/>
                <w:bCs w:val="0"/>
                <w:color w:val="auto"/>
                <w:kern w:val="0"/>
                <w:u w:val="single"/>
              </w:rP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restart"/>
            <w:vAlign w:val="center"/>
          </w:tcPr>
          <w:p>
            <w:pPr>
              <w:contextualSpacing/>
              <w:jc w:val="center"/>
              <w:textAlignment w:val="baseline"/>
              <w:rPr>
                <w:b/>
                <w:bCs w:val="0"/>
                <w:color w:val="auto"/>
                <w:kern w:val="0"/>
                <w:u w:val="single"/>
              </w:rPr>
            </w:pPr>
            <w:r>
              <w:rPr>
                <w:b/>
                <w:bCs w:val="0"/>
                <w:color w:val="auto"/>
                <w:kern w:val="0"/>
                <w:u w:val="single"/>
              </w:rPr>
              <w:t>铬（六价铬）</w:t>
            </w:r>
          </w:p>
        </w:tc>
        <w:tc>
          <w:tcPr>
            <w:tcW w:w="613" w:type="pct"/>
            <w:vAlign w:val="center"/>
          </w:tcPr>
          <w:p>
            <w:pPr>
              <w:contextualSpacing/>
              <w:jc w:val="center"/>
              <w:textAlignment w:val="baseline"/>
              <w:rPr>
                <w:b/>
                <w:bCs w:val="0"/>
                <w:color w:val="auto"/>
                <w:kern w:val="0"/>
                <w:u w:val="single"/>
              </w:rPr>
            </w:pPr>
            <w:r>
              <w:rPr>
                <w:b/>
                <w:bCs w:val="0"/>
                <w:color w:val="auto"/>
                <w:kern w:val="0"/>
                <w:u w:val="single"/>
              </w:rPr>
              <w:t>100d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0.521</w:t>
            </w:r>
          </w:p>
        </w:tc>
        <w:tc>
          <w:tcPr>
            <w:tcW w:w="849" w:type="pct"/>
            <w:vMerge w:val="restart"/>
            <w:vAlign w:val="center"/>
          </w:tcPr>
          <w:p>
            <w:pPr>
              <w:contextualSpacing/>
              <w:jc w:val="center"/>
              <w:textAlignment w:val="baseline"/>
              <w:rPr>
                <w:b/>
                <w:bCs w:val="0"/>
                <w:color w:val="auto"/>
                <w:kern w:val="0"/>
                <w:u w:val="single"/>
              </w:rPr>
            </w:pPr>
            <w:r>
              <w:rPr>
                <w:b/>
                <w:bCs w:val="0"/>
                <w:color w:val="auto"/>
                <w:kern w:val="0"/>
                <w:u w:val="single"/>
              </w:rPr>
              <w:t>未检出</w:t>
            </w:r>
          </w:p>
        </w:tc>
        <w:tc>
          <w:tcPr>
            <w:tcW w:w="1757" w:type="dxa"/>
            <w:vAlign w:val="center"/>
          </w:tcPr>
          <w:p>
            <w:pPr>
              <w:contextualSpacing/>
              <w:jc w:val="center"/>
              <w:textAlignment w:val="baseline"/>
              <w:rPr>
                <w:b/>
                <w:bCs w:val="0"/>
                <w:color w:val="auto"/>
                <w:kern w:val="0"/>
                <w:u w:val="single"/>
              </w:rPr>
            </w:pPr>
            <w:r>
              <w:rPr>
                <w:rFonts w:hint="eastAsia"/>
                <w:b/>
                <w:bCs w:val="0"/>
                <w:color w:val="auto"/>
                <w:kern w:val="0"/>
                <w:u w:val="single"/>
                <w:lang w:val="en-US" w:eastAsia="zh-CN"/>
              </w:rPr>
              <w:t>0.521</w:t>
            </w:r>
          </w:p>
        </w:tc>
        <w:tc>
          <w:tcPr>
            <w:tcW w:w="915" w:type="pct"/>
            <w:vMerge w:val="restart"/>
            <w:vAlign w:val="center"/>
          </w:tcPr>
          <w:p>
            <w:pPr>
              <w:contextualSpacing/>
              <w:jc w:val="center"/>
              <w:textAlignment w:val="baseline"/>
              <w:rPr>
                <w:b/>
                <w:bCs w:val="0"/>
                <w:color w:val="auto"/>
                <w:kern w:val="0"/>
                <w:u w:val="single"/>
              </w:rPr>
            </w:pPr>
            <w:r>
              <w:rPr>
                <w:b/>
                <w:bCs w:val="0"/>
                <w:color w:val="auto"/>
                <w:kern w:val="0"/>
                <w:u w:val="single"/>
              </w:rPr>
              <w:t>0.05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rPr>
        <w:tc>
          <w:tcPr>
            <w:tcW w:w="749" w:type="pct"/>
            <w:vMerge w:val="continue"/>
            <w:vAlign w:val="center"/>
          </w:tcPr>
          <w:p>
            <w:pPr>
              <w:contextualSpacing/>
              <w:jc w:val="center"/>
              <w:textAlignment w:val="baseline"/>
              <w:rPr>
                <w:b/>
                <w:bCs w:val="0"/>
                <w:color w:val="auto"/>
                <w:kern w:val="0"/>
                <w:u w:val="single"/>
              </w:rPr>
            </w:pPr>
          </w:p>
        </w:tc>
        <w:tc>
          <w:tcPr>
            <w:tcW w:w="613" w:type="pct"/>
            <w:vAlign w:val="center"/>
          </w:tcPr>
          <w:p>
            <w:pPr>
              <w:contextualSpacing/>
              <w:jc w:val="center"/>
              <w:textAlignment w:val="baseline"/>
              <w:rPr>
                <w:b/>
                <w:bCs w:val="0"/>
                <w:color w:val="auto"/>
                <w:kern w:val="0"/>
                <w:u w:val="single"/>
              </w:rPr>
            </w:pPr>
            <w:r>
              <w:rPr>
                <w:b/>
                <w:bCs w:val="0"/>
                <w:color w:val="auto"/>
                <w:kern w:val="0"/>
                <w:u w:val="single"/>
              </w:rPr>
              <w:t>1000d</w:t>
            </w:r>
          </w:p>
        </w:tc>
        <w:tc>
          <w:tcPr>
            <w:tcW w:w="844" w:type="pct"/>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0.131</w:t>
            </w:r>
          </w:p>
        </w:tc>
        <w:tc>
          <w:tcPr>
            <w:tcW w:w="849" w:type="pct"/>
            <w:vMerge w:val="continue"/>
            <w:vAlign w:val="center"/>
          </w:tcPr>
          <w:p>
            <w:pPr>
              <w:contextualSpacing/>
              <w:jc w:val="center"/>
              <w:textAlignment w:val="baseline"/>
              <w:rPr>
                <w:b/>
                <w:bCs w:val="0"/>
                <w:color w:val="auto"/>
                <w:kern w:val="0"/>
                <w:u w:val="single"/>
              </w:rPr>
            </w:pPr>
          </w:p>
        </w:tc>
        <w:tc>
          <w:tcPr>
            <w:tcW w:w="1757" w:type="dxa"/>
            <w:vAlign w:val="center"/>
          </w:tcPr>
          <w:p>
            <w:pPr>
              <w:contextualSpacing/>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0.131</w:t>
            </w:r>
          </w:p>
        </w:tc>
        <w:tc>
          <w:tcPr>
            <w:tcW w:w="915" w:type="pct"/>
            <w:vMerge w:val="continue"/>
            <w:vAlign w:val="center"/>
          </w:tcPr>
          <w:p>
            <w:pPr>
              <w:contextualSpacing/>
              <w:jc w:val="center"/>
              <w:textAlignment w:val="baseline"/>
              <w:rPr>
                <w:b/>
                <w:bCs w:val="0"/>
                <w:color w:val="auto"/>
                <w:kern w:val="0"/>
                <w:u w:val="single"/>
              </w:rPr>
            </w:pP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2" w:firstLineChars="200"/>
        <w:textAlignment w:val="baseline"/>
        <w:rPr>
          <w:b/>
          <w:bCs w:val="0"/>
          <w:color w:val="auto"/>
          <w:kern w:val="0"/>
          <w:sz w:val="24"/>
          <w:szCs w:val="20"/>
          <w:u w:val="single"/>
        </w:rPr>
      </w:pPr>
      <w:r>
        <w:rPr>
          <w:b/>
          <w:bCs w:val="0"/>
          <w:color w:val="auto"/>
          <w:kern w:val="0"/>
          <w:sz w:val="24"/>
          <w:szCs w:val="20"/>
          <w:u w:val="single"/>
        </w:rPr>
        <w:t>由上表可知，叠加现状值后，项目厂区范围内的地下水，耗氧量、氨氮、总锌均不存在超标现象，</w:t>
      </w:r>
      <w:r>
        <w:rPr>
          <w:rFonts w:hint="eastAsia"/>
          <w:b/>
          <w:bCs w:val="0"/>
          <w:color w:val="auto"/>
          <w:kern w:val="0"/>
          <w:sz w:val="24"/>
          <w:szCs w:val="20"/>
          <w:u w:val="single"/>
        </w:rPr>
        <w:t>总镍和</w:t>
      </w:r>
      <w:r>
        <w:rPr>
          <w:b/>
          <w:bCs w:val="0"/>
          <w:color w:val="auto"/>
          <w:kern w:val="0"/>
          <w:sz w:val="24"/>
          <w:szCs w:val="20"/>
          <w:u w:val="single"/>
        </w:rPr>
        <w:t>铬（六价铬）在100d和1000d均出现不同程度的超标，</w:t>
      </w:r>
      <w:r>
        <w:rPr>
          <w:rFonts w:hint="eastAsia"/>
          <w:b/>
          <w:bCs w:val="0"/>
          <w:color w:val="auto"/>
          <w:kern w:val="0"/>
          <w:sz w:val="24"/>
          <w:szCs w:val="20"/>
          <w:u w:val="single"/>
        </w:rPr>
        <w:t>总镍和六价铬</w:t>
      </w:r>
      <w:r>
        <w:rPr>
          <w:b/>
          <w:bCs w:val="0"/>
          <w:color w:val="auto"/>
          <w:kern w:val="0"/>
          <w:sz w:val="24"/>
          <w:szCs w:val="20"/>
          <w:u w:val="single"/>
        </w:rPr>
        <w:t>100d超标范围</w:t>
      </w:r>
      <w:r>
        <w:rPr>
          <w:rFonts w:hint="eastAsia"/>
          <w:b/>
          <w:bCs w:val="0"/>
          <w:color w:val="auto"/>
          <w:kern w:val="0"/>
          <w:sz w:val="24"/>
          <w:szCs w:val="20"/>
          <w:u w:val="single"/>
        </w:rPr>
        <w:t>均</w:t>
      </w:r>
      <w:r>
        <w:rPr>
          <w:b/>
          <w:bCs w:val="0"/>
          <w:color w:val="auto"/>
          <w:kern w:val="0"/>
          <w:sz w:val="24"/>
          <w:szCs w:val="20"/>
          <w:u w:val="single"/>
        </w:rPr>
        <w:t>为1m，1000d超标范围</w:t>
      </w:r>
      <w:r>
        <w:rPr>
          <w:rFonts w:hint="eastAsia"/>
          <w:b/>
          <w:bCs w:val="0"/>
          <w:color w:val="auto"/>
          <w:kern w:val="0"/>
          <w:sz w:val="24"/>
          <w:szCs w:val="20"/>
          <w:u w:val="single"/>
        </w:rPr>
        <w:t>均</w:t>
      </w:r>
      <w:r>
        <w:rPr>
          <w:b/>
          <w:bCs w:val="0"/>
          <w:color w:val="auto"/>
          <w:kern w:val="0"/>
          <w:sz w:val="24"/>
          <w:szCs w:val="20"/>
          <w:u w:val="single"/>
        </w:rPr>
        <w:t>为</w:t>
      </w:r>
      <w:r>
        <w:rPr>
          <w:rFonts w:hint="eastAsia"/>
          <w:b/>
          <w:bCs w:val="0"/>
          <w:color w:val="auto"/>
          <w:kern w:val="0"/>
          <w:sz w:val="24"/>
          <w:szCs w:val="20"/>
          <w:u w:val="single"/>
        </w:rPr>
        <w:t>5</w:t>
      </w:r>
      <w:r>
        <w:rPr>
          <w:b/>
          <w:bCs w:val="0"/>
          <w:color w:val="auto"/>
          <w:kern w:val="0"/>
          <w:sz w:val="24"/>
          <w:szCs w:val="20"/>
          <w:u w:val="single"/>
        </w:rPr>
        <w:t>m</w:t>
      </w:r>
      <w:r>
        <w:rPr>
          <w:rFonts w:hint="eastAsia"/>
          <w:b/>
          <w:bCs w:val="0"/>
          <w:color w:val="auto"/>
          <w:kern w:val="0"/>
          <w:sz w:val="24"/>
          <w:szCs w:val="20"/>
          <w:u w:val="single"/>
        </w:rPr>
        <w:t>，</w:t>
      </w:r>
      <w:r>
        <w:rPr>
          <w:b/>
          <w:bCs w:val="0"/>
          <w:color w:val="auto"/>
          <w:kern w:val="0"/>
          <w:sz w:val="24"/>
          <w:szCs w:val="20"/>
          <w:u w:val="single"/>
        </w:rPr>
        <w:t>其超标范围均在厂区内。</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（2）厂界浓度预测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项目废水调节池下游150m处为项目东厂界，其他厂界均不属于其下游区域，因此评价仅对项目东厂界外地下水水质进行预测评价，根据计算结果，东厂界处的浓度叠加值如下：</w:t>
      </w:r>
    </w:p>
    <w:p>
      <w:pPr>
        <w:adjustRightInd w:val="0"/>
        <w:snapToGrid w:val="0"/>
        <w:spacing w:before="120" w:beforeLines="50"/>
        <w:jc w:val="center"/>
        <w:rPr>
          <w:rFonts w:eastAsia="黑体"/>
          <w:color w:val="auto"/>
          <w:kern w:val="21"/>
          <w:sz w:val="24"/>
        </w:rPr>
      </w:pPr>
      <w:r>
        <w:rPr>
          <w:rFonts w:eastAsia="黑体"/>
          <w:color w:val="auto"/>
          <w:kern w:val="21"/>
          <w:sz w:val="24"/>
        </w:rPr>
        <w:t>表5.5-10   各污染因子迁移至东厂界叠加值一览表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278"/>
        <w:gridCol w:w="1240"/>
        <w:gridCol w:w="1585"/>
        <w:gridCol w:w="1213"/>
        <w:gridCol w:w="1697"/>
        <w:gridCol w:w="151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35" w:hRule="atLeast"/>
          <w:tblHeader/>
          <w:jc w:val="center"/>
        </w:trPr>
        <w:tc>
          <w:tcPr>
            <w:tcW w:w="749" w:type="pct"/>
            <w:vMerge w:val="restart"/>
            <w:vAlign w:val="center"/>
          </w:tcPr>
          <w:p>
            <w:pPr>
              <w:keepNext w:val="0"/>
              <w:keepLines w:val="0"/>
              <w:pageBreakBefore w:val="0"/>
              <w:widowControl/>
              <w:kinsoku/>
              <w:wordWrap/>
              <w:overflowPunct/>
              <w:topLinePunct w:val="0"/>
              <w:autoSpaceDE/>
              <w:autoSpaceDN/>
              <w:bidi w:val="0"/>
              <w:jc w:val="center"/>
              <w:rPr>
                <w:b/>
                <w:color w:val="auto"/>
                <w:szCs w:val="20"/>
              </w:rPr>
            </w:pPr>
            <w:r>
              <w:rPr>
                <w:b/>
                <w:color w:val="auto"/>
                <w:szCs w:val="20"/>
              </w:rPr>
              <w:t>厂界名称</w:t>
            </w:r>
          </w:p>
        </w:tc>
        <w:tc>
          <w:tcPr>
            <w:tcW w:w="727" w:type="pct"/>
            <w:vMerge w:val="restart"/>
            <w:vAlign w:val="center"/>
          </w:tcPr>
          <w:p>
            <w:pPr>
              <w:keepNext w:val="0"/>
              <w:keepLines w:val="0"/>
              <w:pageBreakBefore w:val="0"/>
              <w:widowControl/>
              <w:kinsoku/>
              <w:wordWrap/>
              <w:overflowPunct/>
              <w:topLinePunct w:val="0"/>
              <w:autoSpaceDE/>
              <w:autoSpaceDN/>
              <w:bidi w:val="0"/>
              <w:jc w:val="center"/>
              <w:rPr>
                <w:b/>
                <w:color w:val="auto"/>
                <w:szCs w:val="20"/>
              </w:rPr>
            </w:pPr>
            <w:r>
              <w:rPr>
                <w:b/>
                <w:color w:val="auto"/>
                <w:szCs w:val="20"/>
              </w:rPr>
              <w:t>时间</w:t>
            </w:r>
          </w:p>
        </w:tc>
        <w:tc>
          <w:tcPr>
            <w:tcW w:w="3524" w:type="pct"/>
            <w:gridSpan w:val="4"/>
            <w:vAlign w:val="center"/>
          </w:tcPr>
          <w:p>
            <w:pPr>
              <w:keepNext w:val="0"/>
              <w:keepLines w:val="0"/>
              <w:pageBreakBefore w:val="0"/>
              <w:widowControl/>
              <w:kinsoku/>
              <w:wordWrap/>
              <w:overflowPunct/>
              <w:topLinePunct w:val="0"/>
              <w:autoSpaceDE/>
              <w:autoSpaceDN/>
              <w:bidi w:val="0"/>
              <w:jc w:val="center"/>
              <w:rPr>
                <w:b/>
                <w:color w:val="auto"/>
                <w:szCs w:val="20"/>
              </w:rPr>
            </w:pPr>
            <w:r>
              <w:rPr>
                <w:b/>
                <w:color w:val="auto"/>
                <w:szCs w:val="20"/>
              </w:rPr>
              <w:t>北厂界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tblHeader/>
          <w:jc w:val="center"/>
        </w:trPr>
        <w:tc>
          <w:tcPr>
            <w:tcW w:w="749" w:type="pct"/>
            <w:vMerge w:val="continue"/>
            <w:vAlign w:val="center"/>
          </w:tcPr>
          <w:p>
            <w:pPr>
              <w:keepNext w:val="0"/>
              <w:keepLines w:val="0"/>
              <w:pageBreakBefore w:val="0"/>
              <w:widowControl/>
              <w:kinsoku/>
              <w:wordWrap/>
              <w:overflowPunct/>
              <w:topLinePunct w:val="0"/>
              <w:autoSpaceDE/>
              <w:autoSpaceDN/>
              <w:bidi w:val="0"/>
              <w:jc w:val="center"/>
              <w:rPr>
                <w:b/>
                <w:color w:val="auto"/>
                <w:kern w:val="0"/>
                <w:szCs w:val="20"/>
              </w:rPr>
            </w:pPr>
          </w:p>
        </w:tc>
        <w:tc>
          <w:tcPr>
            <w:tcW w:w="727" w:type="pct"/>
            <w:vMerge w:val="continue"/>
            <w:shd w:val="clear" w:color="auto" w:fill="auto"/>
            <w:vAlign w:val="center"/>
          </w:tcPr>
          <w:p>
            <w:pPr>
              <w:keepNext w:val="0"/>
              <w:keepLines w:val="0"/>
              <w:pageBreakBefore w:val="0"/>
              <w:widowControl/>
              <w:kinsoku/>
              <w:wordWrap/>
              <w:overflowPunct/>
              <w:topLinePunct w:val="0"/>
              <w:autoSpaceDE/>
              <w:autoSpaceDN/>
              <w:bidi w:val="0"/>
              <w:jc w:val="center"/>
              <w:rPr>
                <w:b/>
                <w:color w:val="auto"/>
                <w:kern w:val="0"/>
                <w:szCs w:val="20"/>
              </w:rPr>
            </w:pPr>
          </w:p>
        </w:tc>
        <w:tc>
          <w:tcPr>
            <w:tcW w:w="929" w:type="pct"/>
            <w:vAlign w:val="center"/>
          </w:tcPr>
          <w:p>
            <w:pPr>
              <w:keepNext w:val="0"/>
              <w:keepLines w:val="0"/>
              <w:pageBreakBefore w:val="0"/>
              <w:widowControl/>
              <w:kinsoku/>
              <w:wordWrap/>
              <w:overflowPunct/>
              <w:topLinePunct w:val="0"/>
              <w:autoSpaceDE/>
              <w:autoSpaceDN/>
              <w:bidi w:val="0"/>
              <w:jc w:val="center"/>
              <w:rPr>
                <w:b/>
                <w:color w:val="auto"/>
                <w:kern w:val="0"/>
                <w:szCs w:val="20"/>
              </w:rPr>
            </w:pPr>
            <w:r>
              <w:rPr>
                <w:b/>
                <w:color w:val="auto"/>
                <w:kern w:val="0"/>
                <w:szCs w:val="20"/>
              </w:rPr>
              <w:t>排放源至厂界的距离</w:t>
            </w:r>
          </w:p>
        </w:tc>
        <w:tc>
          <w:tcPr>
            <w:tcW w:w="711" w:type="pct"/>
            <w:vAlign w:val="center"/>
          </w:tcPr>
          <w:p>
            <w:pPr>
              <w:keepNext w:val="0"/>
              <w:keepLines w:val="0"/>
              <w:pageBreakBefore w:val="0"/>
              <w:widowControl/>
              <w:kinsoku/>
              <w:wordWrap/>
              <w:overflowPunct/>
              <w:topLinePunct w:val="0"/>
              <w:autoSpaceDE/>
              <w:autoSpaceDN/>
              <w:bidi w:val="0"/>
              <w:jc w:val="center"/>
              <w:rPr>
                <w:b/>
                <w:color w:val="auto"/>
                <w:kern w:val="0"/>
                <w:szCs w:val="20"/>
              </w:rPr>
            </w:pPr>
            <w:r>
              <w:rPr>
                <w:b/>
                <w:color w:val="auto"/>
                <w:kern w:val="0"/>
                <w:szCs w:val="20"/>
              </w:rPr>
              <w:t>预测值浓度mg/L</w:t>
            </w:r>
          </w:p>
        </w:tc>
        <w:tc>
          <w:tcPr>
            <w:tcW w:w="995" w:type="pct"/>
            <w:vAlign w:val="center"/>
          </w:tcPr>
          <w:p>
            <w:pPr>
              <w:keepNext w:val="0"/>
              <w:keepLines w:val="0"/>
              <w:pageBreakBefore w:val="0"/>
              <w:widowControl/>
              <w:kinsoku/>
              <w:wordWrap/>
              <w:overflowPunct/>
              <w:topLinePunct w:val="0"/>
              <w:autoSpaceDE/>
              <w:autoSpaceDN/>
              <w:bidi w:val="0"/>
              <w:jc w:val="center"/>
              <w:rPr>
                <w:b/>
                <w:color w:val="auto"/>
                <w:kern w:val="0"/>
                <w:szCs w:val="20"/>
              </w:rPr>
            </w:pPr>
            <w:r>
              <w:rPr>
                <w:b/>
                <w:color w:val="auto"/>
                <w:kern w:val="0"/>
                <w:szCs w:val="20"/>
              </w:rPr>
              <w:t>现状背景值浓度mg/L</w:t>
            </w:r>
          </w:p>
        </w:tc>
        <w:tc>
          <w:tcPr>
            <w:tcW w:w="889" w:type="pct"/>
            <w:vAlign w:val="center"/>
          </w:tcPr>
          <w:p>
            <w:pPr>
              <w:keepNext w:val="0"/>
              <w:keepLines w:val="0"/>
              <w:pageBreakBefore w:val="0"/>
              <w:widowControl/>
              <w:kinsoku/>
              <w:wordWrap/>
              <w:overflowPunct/>
              <w:topLinePunct w:val="0"/>
              <w:autoSpaceDE/>
              <w:autoSpaceDN/>
              <w:bidi w:val="0"/>
              <w:jc w:val="center"/>
              <w:rPr>
                <w:b/>
                <w:color w:val="auto"/>
                <w:kern w:val="0"/>
                <w:szCs w:val="20"/>
              </w:rPr>
            </w:pPr>
            <w:r>
              <w:rPr>
                <w:b/>
                <w:color w:val="auto"/>
                <w:kern w:val="0"/>
                <w:szCs w:val="20"/>
              </w:rPr>
              <w:t>叠加值浓度mg/L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耗氧量</w:t>
            </w: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100d</w:t>
            </w:r>
          </w:p>
        </w:tc>
        <w:tc>
          <w:tcPr>
            <w:tcW w:w="929"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150m</w:t>
            </w: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1.36</w:t>
            </w: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1.36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1000d</w:t>
            </w:r>
          </w:p>
        </w:tc>
        <w:tc>
          <w:tcPr>
            <w:tcW w:w="92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1.36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氨氮</w:t>
            </w: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100d</w:t>
            </w:r>
          </w:p>
        </w:tc>
        <w:tc>
          <w:tcPr>
            <w:tcW w:w="929" w:type="pct"/>
            <w:vMerge w:val="restart"/>
            <w:vAlign w:val="center"/>
          </w:tcPr>
          <w:p>
            <w:pPr>
              <w:keepNext w:val="0"/>
              <w:keepLines w:val="0"/>
              <w:pageBreakBefore w:val="0"/>
              <w:widowControl/>
              <w:kinsoku/>
              <w:wordWrap/>
              <w:overflowPunct/>
              <w:topLinePunct w:val="0"/>
              <w:autoSpaceDE/>
              <w:autoSpaceDN/>
              <w:bidi w:val="0"/>
              <w:jc w:val="center"/>
              <w:rPr>
                <w:color w:val="auto"/>
              </w:rPr>
            </w:pPr>
            <w:r>
              <w:rPr>
                <w:color w:val="auto"/>
                <w:kern w:val="0"/>
              </w:rPr>
              <w:t>150m</w:t>
            </w: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未检出</w:t>
            </w: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1000d</w:t>
            </w:r>
          </w:p>
        </w:tc>
        <w:tc>
          <w:tcPr>
            <w:tcW w:w="92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总镍</w:t>
            </w: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100d</w:t>
            </w:r>
          </w:p>
        </w:tc>
        <w:tc>
          <w:tcPr>
            <w:tcW w:w="929" w:type="pct"/>
            <w:vMerge w:val="restart"/>
            <w:vAlign w:val="center"/>
          </w:tcPr>
          <w:p>
            <w:pPr>
              <w:keepNext w:val="0"/>
              <w:keepLines w:val="0"/>
              <w:pageBreakBefore w:val="0"/>
              <w:widowControl/>
              <w:kinsoku/>
              <w:wordWrap/>
              <w:overflowPunct/>
              <w:topLinePunct w:val="0"/>
              <w:autoSpaceDE/>
              <w:autoSpaceDN/>
              <w:bidi w:val="0"/>
              <w:jc w:val="center"/>
              <w:rPr>
                <w:color w:val="auto"/>
              </w:rPr>
            </w:pPr>
            <w:r>
              <w:rPr>
                <w:color w:val="auto"/>
                <w:kern w:val="0"/>
              </w:rPr>
              <w:t>150m</w:t>
            </w: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未检出</w:t>
            </w: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1000d</w:t>
            </w:r>
          </w:p>
        </w:tc>
        <w:tc>
          <w:tcPr>
            <w:tcW w:w="92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总锌</w:t>
            </w: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100d</w:t>
            </w:r>
          </w:p>
        </w:tc>
        <w:tc>
          <w:tcPr>
            <w:tcW w:w="929" w:type="pct"/>
            <w:vMerge w:val="restart"/>
            <w:vAlign w:val="center"/>
          </w:tcPr>
          <w:p>
            <w:pPr>
              <w:keepNext w:val="0"/>
              <w:keepLines w:val="0"/>
              <w:pageBreakBefore w:val="0"/>
              <w:widowControl/>
              <w:kinsoku/>
              <w:wordWrap/>
              <w:overflowPunct/>
              <w:topLinePunct w:val="0"/>
              <w:autoSpaceDE/>
              <w:autoSpaceDN/>
              <w:bidi w:val="0"/>
              <w:jc w:val="center"/>
              <w:rPr>
                <w:color w:val="auto"/>
              </w:rPr>
            </w:pPr>
            <w:r>
              <w:rPr>
                <w:color w:val="auto"/>
                <w:kern w:val="0"/>
              </w:rPr>
              <w:t>150m</w:t>
            </w: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未检出</w:t>
            </w: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1000d</w:t>
            </w:r>
          </w:p>
        </w:tc>
        <w:tc>
          <w:tcPr>
            <w:tcW w:w="92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铬（六价铬）</w:t>
            </w: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100d</w:t>
            </w:r>
          </w:p>
        </w:tc>
        <w:tc>
          <w:tcPr>
            <w:tcW w:w="929" w:type="pct"/>
            <w:vMerge w:val="restart"/>
            <w:vAlign w:val="center"/>
          </w:tcPr>
          <w:p>
            <w:pPr>
              <w:keepNext w:val="0"/>
              <w:keepLines w:val="0"/>
              <w:pageBreakBefore w:val="0"/>
              <w:widowControl/>
              <w:kinsoku/>
              <w:wordWrap/>
              <w:overflowPunct/>
              <w:topLinePunct w:val="0"/>
              <w:autoSpaceDE/>
              <w:autoSpaceDN/>
              <w:bidi w:val="0"/>
              <w:jc w:val="center"/>
              <w:rPr>
                <w:color w:val="auto"/>
              </w:rPr>
            </w:pPr>
            <w:r>
              <w:rPr>
                <w:color w:val="auto"/>
                <w:kern w:val="0"/>
              </w:rPr>
              <w:t>150m</w:t>
            </w: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restar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未检出</w:t>
            </w: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4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27" w:type="pct"/>
            <w:shd w:val="clear" w:color="auto" w:fill="auto"/>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1000d</w:t>
            </w:r>
          </w:p>
        </w:tc>
        <w:tc>
          <w:tcPr>
            <w:tcW w:w="929"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711"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c>
          <w:tcPr>
            <w:tcW w:w="995" w:type="pct"/>
            <w:vMerge w:val="continue"/>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p>
        </w:tc>
        <w:tc>
          <w:tcPr>
            <w:tcW w:w="889" w:type="pct"/>
            <w:vAlign w:val="center"/>
          </w:tcPr>
          <w:p>
            <w:pPr>
              <w:keepNext w:val="0"/>
              <w:keepLines w:val="0"/>
              <w:pageBreakBefore w:val="0"/>
              <w:widowControl/>
              <w:kinsoku/>
              <w:wordWrap/>
              <w:overflowPunct/>
              <w:topLinePunct w:val="0"/>
              <w:autoSpaceDE/>
              <w:autoSpaceDN/>
              <w:bidi w:val="0"/>
              <w:contextualSpacing/>
              <w:jc w:val="center"/>
              <w:textAlignment w:val="baseline"/>
              <w:rPr>
                <w:color w:val="auto"/>
                <w:kern w:val="0"/>
              </w:rPr>
            </w:pPr>
            <w:r>
              <w:rPr>
                <w:color w:val="auto"/>
                <w:kern w:val="0"/>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58" w:hRule="atLeast"/>
          <w:jc w:val="center"/>
        </w:trPr>
        <w:tc>
          <w:tcPr>
            <w:tcW w:w="5000" w:type="pct"/>
            <w:gridSpan w:val="6"/>
            <w:vAlign w:val="center"/>
          </w:tcPr>
          <w:p>
            <w:pPr>
              <w:keepNext w:val="0"/>
              <w:keepLines w:val="0"/>
              <w:pageBreakBefore w:val="0"/>
              <w:widowControl/>
              <w:kinsoku/>
              <w:wordWrap/>
              <w:overflowPunct/>
              <w:topLinePunct w:val="0"/>
              <w:autoSpaceDE/>
              <w:autoSpaceDN/>
              <w:bidi w:val="0"/>
              <w:adjustRightInd w:val="0"/>
              <w:snapToGrid w:val="0"/>
              <w:spacing w:line="360" w:lineRule="exact"/>
              <w:textAlignment w:val="baseline"/>
              <w:rPr>
                <w:color w:val="auto"/>
                <w:kern w:val="0"/>
              </w:rPr>
            </w:pPr>
            <w:r>
              <w:rPr>
                <w:b/>
                <w:color w:val="auto"/>
                <w:kern w:val="0"/>
                <w:szCs w:val="20"/>
              </w:rPr>
              <w:t>注：预测值以检出限为界，低于检出限的预测值以0计。</w:t>
            </w:r>
          </w:p>
        </w:tc>
      </w:tr>
    </w:tbl>
    <w:p>
      <w:pPr>
        <w:adjustRightInd w:val="0"/>
        <w:snapToGrid w:val="0"/>
        <w:spacing w:before="120" w:beforeLines="50" w:line="360" w:lineRule="auto"/>
        <w:ind w:firstLine="480" w:firstLineChars="200"/>
        <w:textAlignment w:val="baseline"/>
        <w:rPr>
          <w:color w:val="auto"/>
          <w:kern w:val="0"/>
          <w:sz w:val="24"/>
          <w:szCs w:val="20"/>
        </w:rPr>
      </w:pPr>
      <w:r>
        <w:rPr>
          <w:color w:val="auto"/>
          <w:kern w:val="0"/>
          <w:sz w:val="24"/>
          <w:szCs w:val="20"/>
        </w:rPr>
        <w:t>由上表可知，项目废水调节池发生泄漏后100d、1000d时各污染因子迁移至东厂界处时，均未出现超标现象，且根据预测，各污染因子迁移出东厂界后的浓度逐渐减小，不会对地下水现状产生大的影响。</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（3）对敏感点的预测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项目评价范围下游最近的地下水环境敏感点为东北1500m处的</w:t>
      </w:r>
      <w:r>
        <w:rPr>
          <w:bCs/>
          <w:color w:val="auto"/>
          <w:kern w:val="0"/>
          <w:sz w:val="24"/>
          <w:szCs w:val="20"/>
        </w:rPr>
        <w:t>前寺庄村</w:t>
      </w:r>
      <w:r>
        <w:rPr>
          <w:color w:val="auto"/>
          <w:kern w:val="0"/>
          <w:sz w:val="24"/>
          <w:szCs w:val="20"/>
        </w:rPr>
        <w:t>，项目对其地下水影响的预测结果见下表：</w:t>
      </w:r>
    </w:p>
    <w:p>
      <w:pPr>
        <w:adjustRightInd w:val="0"/>
        <w:snapToGrid w:val="0"/>
        <w:spacing w:before="120" w:beforeLines="50"/>
        <w:jc w:val="center"/>
        <w:rPr>
          <w:rFonts w:eastAsia="黑体"/>
          <w:color w:val="auto"/>
          <w:kern w:val="21"/>
          <w:sz w:val="24"/>
        </w:rPr>
      </w:pPr>
      <w:r>
        <w:rPr>
          <w:rFonts w:eastAsia="黑体"/>
          <w:color w:val="auto"/>
          <w:kern w:val="21"/>
          <w:sz w:val="24"/>
        </w:rPr>
        <w:t>表5.5-11   地下水预测敏感点叠加值一览表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873"/>
        <w:gridCol w:w="2045"/>
        <w:gridCol w:w="2617"/>
        <w:gridCol w:w="199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restart"/>
            <w:vAlign w:val="center"/>
          </w:tcPr>
          <w:p>
            <w:pPr>
              <w:keepNext w:val="0"/>
              <w:keepLines w:val="0"/>
              <w:pageBreakBefore w:val="0"/>
              <w:widowControl/>
              <w:kinsoku/>
              <w:wordWrap/>
              <w:overflowPunct/>
              <w:topLinePunct w:val="0"/>
              <w:autoSpaceDE/>
              <w:autoSpaceDN/>
              <w:bidi w:val="0"/>
              <w:adjustRightInd/>
              <w:snapToGrid/>
              <w:jc w:val="center"/>
              <w:rPr>
                <w:b/>
                <w:color w:val="auto"/>
                <w:sz w:val="21"/>
                <w:szCs w:val="21"/>
              </w:rPr>
            </w:pPr>
            <w:r>
              <w:rPr>
                <w:b/>
                <w:color w:val="auto"/>
                <w:sz w:val="21"/>
                <w:szCs w:val="21"/>
              </w:rPr>
              <w:t>厂界名称</w:t>
            </w:r>
          </w:p>
        </w:tc>
        <w:tc>
          <w:tcPr>
            <w:tcW w:w="1199" w:type="pct"/>
            <w:vMerge w:val="restart"/>
            <w:vAlign w:val="center"/>
          </w:tcPr>
          <w:p>
            <w:pPr>
              <w:keepNext w:val="0"/>
              <w:keepLines w:val="0"/>
              <w:pageBreakBefore w:val="0"/>
              <w:widowControl/>
              <w:kinsoku/>
              <w:wordWrap/>
              <w:overflowPunct/>
              <w:topLinePunct w:val="0"/>
              <w:autoSpaceDE/>
              <w:autoSpaceDN/>
              <w:bidi w:val="0"/>
              <w:adjustRightInd/>
              <w:snapToGrid/>
              <w:jc w:val="center"/>
              <w:rPr>
                <w:b/>
                <w:color w:val="auto"/>
                <w:sz w:val="21"/>
                <w:szCs w:val="21"/>
              </w:rPr>
            </w:pPr>
            <w:r>
              <w:rPr>
                <w:b/>
                <w:color w:val="auto"/>
                <w:sz w:val="21"/>
                <w:szCs w:val="21"/>
              </w:rPr>
              <w:t>时间</w:t>
            </w:r>
          </w:p>
        </w:tc>
        <w:tc>
          <w:tcPr>
            <w:tcW w:w="2703" w:type="pct"/>
            <w:gridSpan w:val="2"/>
            <w:vAlign w:val="center"/>
          </w:tcPr>
          <w:p>
            <w:pPr>
              <w:keepNext w:val="0"/>
              <w:keepLines w:val="0"/>
              <w:pageBreakBefore w:val="0"/>
              <w:widowControl/>
              <w:kinsoku/>
              <w:wordWrap/>
              <w:overflowPunct/>
              <w:topLinePunct w:val="0"/>
              <w:autoSpaceDE/>
              <w:autoSpaceDN/>
              <w:bidi w:val="0"/>
              <w:adjustRightInd/>
              <w:snapToGrid/>
              <w:jc w:val="center"/>
              <w:rPr>
                <w:b/>
                <w:color w:val="auto"/>
                <w:sz w:val="21"/>
                <w:szCs w:val="21"/>
              </w:rPr>
            </w:pPr>
            <w:r>
              <w:rPr>
                <w:b/>
                <w:bCs w:val="0"/>
                <w:color w:val="auto"/>
                <w:kern w:val="0"/>
                <w:sz w:val="21"/>
                <w:szCs w:val="21"/>
              </w:rPr>
              <w:t>前寺庄村</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continue"/>
            <w:vAlign w:val="center"/>
          </w:tcPr>
          <w:p>
            <w:pPr>
              <w:keepNext w:val="0"/>
              <w:keepLines w:val="0"/>
              <w:pageBreakBefore w:val="0"/>
              <w:widowControl/>
              <w:kinsoku/>
              <w:wordWrap/>
              <w:overflowPunct/>
              <w:topLinePunct w:val="0"/>
              <w:autoSpaceDE/>
              <w:autoSpaceDN/>
              <w:bidi w:val="0"/>
              <w:adjustRightInd/>
              <w:snapToGrid/>
              <w:jc w:val="center"/>
              <w:rPr>
                <w:b/>
                <w:color w:val="auto"/>
                <w:kern w:val="0"/>
                <w:sz w:val="21"/>
                <w:szCs w:val="21"/>
              </w:rPr>
            </w:pPr>
          </w:p>
        </w:tc>
        <w:tc>
          <w:tcPr>
            <w:tcW w:w="11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jc w:val="center"/>
              <w:rPr>
                <w:b/>
                <w:color w:val="auto"/>
                <w:kern w:val="0"/>
                <w:sz w:val="21"/>
                <w:szCs w:val="21"/>
              </w:rPr>
            </w:pPr>
          </w:p>
        </w:tc>
        <w:tc>
          <w:tcPr>
            <w:tcW w:w="1534" w:type="pct"/>
            <w:vAlign w:val="center"/>
          </w:tcPr>
          <w:p>
            <w:pPr>
              <w:keepNext w:val="0"/>
              <w:keepLines w:val="0"/>
              <w:pageBreakBefore w:val="0"/>
              <w:widowControl/>
              <w:kinsoku/>
              <w:wordWrap/>
              <w:overflowPunct/>
              <w:topLinePunct w:val="0"/>
              <w:autoSpaceDE/>
              <w:autoSpaceDN/>
              <w:bidi w:val="0"/>
              <w:adjustRightInd/>
              <w:snapToGrid/>
              <w:jc w:val="center"/>
              <w:rPr>
                <w:b/>
                <w:color w:val="auto"/>
                <w:kern w:val="0"/>
                <w:sz w:val="21"/>
                <w:szCs w:val="21"/>
              </w:rPr>
            </w:pPr>
            <w:r>
              <w:rPr>
                <w:b/>
                <w:color w:val="auto"/>
                <w:kern w:val="0"/>
                <w:sz w:val="21"/>
                <w:szCs w:val="21"/>
              </w:rPr>
              <w:t>排放源至敏感点的距离</w:t>
            </w:r>
          </w:p>
        </w:tc>
        <w:tc>
          <w:tcPr>
            <w:tcW w:w="1169" w:type="pct"/>
            <w:vAlign w:val="center"/>
          </w:tcPr>
          <w:p>
            <w:pPr>
              <w:keepNext w:val="0"/>
              <w:keepLines w:val="0"/>
              <w:pageBreakBefore w:val="0"/>
              <w:widowControl/>
              <w:kinsoku/>
              <w:wordWrap/>
              <w:overflowPunct/>
              <w:topLinePunct w:val="0"/>
              <w:autoSpaceDE/>
              <w:autoSpaceDN/>
              <w:bidi w:val="0"/>
              <w:adjustRightInd/>
              <w:snapToGrid/>
              <w:jc w:val="center"/>
              <w:rPr>
                <w:b/>
                <w:color w:val="auto"/>
                <w:kern w:val="0"/>
                <w:sz w:val="21"/>
                <w:szCs w:val="21"/>
              </w:rPr>
            </w:pPr>
            <w:r>
              <w:rPr>
                <w:b/>
                <w:color w:val="auto"/>
                <w:kern w:val="0"/>
                <w:sz w:val="21"/>
                <w:szCs w:val="21"/>
              </w:rPr>
              <w:t>预测值浓度mg/L</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耗氧量</w:t>
            </w: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100d</w:t>
            </w:r>
          </w:p>
        </w:tc>
        <w:tc>
          <w:tcPr>
            <w:tcW w:w="1534"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rFonts w:hint="eastAsia"/>
                <w:color w:val="auto"/>
                <w:kern w:val="0"/>
                <w:sz w:val="21"/>
                <w:szCs w:val="21"/>
                <w:lang w:val="en-US" w:eastAsia="zh-CN"/>
              </w:rPr>
              <w:t>1500</w:t>
            </w:r>
            <w:r>
              <w:rPr>
                <w:color w:val="auto"/>
                <w:kern w:val="0"/>
                <w:sz w:val="21"/>
                <w:szCs w:val="21"/>
              </w:rPr>
              <w:t>m</w:t>
            </w: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1000d</w:t>
            </w:r>
          </w:p>
        </w:tc>
        <w:tc>
          <w:tcPr>
            <w:tcW w:w="1534"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氨氮</w:t>
            </w: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100d</w:t>
            </w:r>
          </w:p>
        </w:tc>
        <w:tc>
          <w:tcPr>
            <w:tcW w:w="1534"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rFonts w:hint="eastAsia"/>
                <w:color w:val="auto"/>
                <w:kern w:val="0"/>
                <w:sz w:val="21"/>
                <w:szCs w:val="21"/>
                <w:lang w:val="en-US" w:eastAsia="zh-CN"/>
              </w:rPr>
              <w:t>1500</w:t>
            </w:r>
            <w:r>
              <w:rPr>
                <w:color w:val="auto"/>
                <w:kern w:val="0"/>
                <w:sz w:val="21"/>
                <w:szCs w:val="21"/>
              </w:rPr>
              <w:t>m</w:t>
            </w: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1000d</w:t>
            </w:r>
          </w:p>
        </w:tc>
        <w:tc>
          <w:tcPr>
            <w:tcW w:w="1534"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总镍</w:t>
            </w: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100d</w:t>
            </w:r>
          </w:p>
        </w:tc>
        <w:tc>
          <w:tcPr>
            <w:tcW w:w="1534"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rFonts w:hint="eastAsia"/>
                <w:color w:val="auto"/>
                <w:kern w:val="0"/>
                <w:sz w:val="21"/>
                <w:szCs w:val="21"/>
                <w:lang w:val="en-US" w:eastAsia="zh-CN"/>
              </w:rPr>
              <w:t>1500</w:t>
            </w:r>
            <w:r>
              <w:rPr>
                <w:color w:val="auto"/>
                <w:kern w:val="0"/>
                <w:sz w:val="21"/>
                <w:szCs w:val="21"/>
              </w:rPr>
              <w:t>m</w:t>
            </w: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1000d</w:t>
            </w:r>
          </w:p>
        </w:tc>
        <w:tc>
          <w:tcPr>
            <w:tcW w:w="1534"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总锌</w:t>
            </w: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100d</w:t>
            </w:r>
          </w:p>
        </w:tc>
        <w:tc>
          <w:tcPr>
            <w:tcW w:w="1534"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rFonts w:hint="eastAsia"/>
                <w:color w:val="auto"/>
                <w:kern w:val="0"/>
                <w:sz w:val="21"/>
                <w:szCs w:val="21"/>
                <w:lang w:val="en-US" w:eastAsia="zh-CN"/>
              </w:rPr>
              <w:t>1500</w:t>
            </w:r>
            <w:r>
              <w:rPr>
                <w:color w:val="auto"/>
                <w:kern w:val="0"/>
                <w:sz w:val="21"/>
                <w:szCs w:val="21"/>
              </w:rPr>
              <w:t>m</w:t>
            </w: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1000d</w:t>
            </w:r>
          </w:p>
        </w:tc>
        <w:tc>
          <w:tcPr>
            <w:tcW w:w="1534"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铬（六价铬）</w:t>
            </w: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100d</w:t>
            </w:r>
          </w:p>
        </w:tc>
        <w:tc>
          <w:tcPr>
            <w:tcW w:w="1534" w:type="pct"/>
            <w:vMerge w:val="restar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rFonts w:hint="eastAsia"/>
                <w:color w:val="auto"/>
                <w:kern w:val="0"/>
                <w:sz w:val="21"/>
                <w:szCs w:val="21"/>
                <w:lang w:val="en-US" w:eastAsia="zh-CN"/>
              </w:rPr>
              <w:t>1500</w:t>
            </w:r>
            <w:r>
              <w:rPr>
                <w:color w:val="auto"/>
                <w:kern w:val="0"/>
                <w:sz w:val="21"/>
                <w:szCs w:val="21"/>
              </w:rPr>
              <w:t>m</w:t>
            </w: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098"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99" w:type="pct"/>
            <w:shd w:val="clear" w:color="auto" w:fill="auto"/>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1000d</w:t>
            </w:r>
          </w:p>
        </w:tc>
        <w:tc>
          <w:tcPr>
            <w:tcW w:w="1534" w:type="pct"/>
            <w:vMerge w:val="continue"/>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p>
        </w:tc>
        <w:tc>
          <w:tcPr>
            <w:tcW w:w="1169" w:type="pct"/>
            <w:vAlign w:val="center"/>
          </w:tcPr>
          <w:p>
            <w:pPr>
              <w:keepNext w:val="0"/>
              <w:keepLines w:val="0"/>
              <w:pageBreakBefore w:val="0"/>
              <w:widowControl/>
              <w:kinsoku/>
              <w:wordWrap/>
              <w:overflowPunct/>
              <w:topLinePunct w:val="0"/>
              <w:autoSpaceDE/>
              <w:autoSpaceDN/>
              <w:bidi w:val="0"/>
              <w:adjustRightInd/>
              <w:snapToGrid/>
              <w:contextualSpacing/>
              <w:jc w:val="center"/>
              <w:textAlignment w:val="baseline"/>
              <w:rPr>
                <w:color w:val="auto"/>
                <w:kern w:val="0"/>
                <w:sz w:val="21"/>
                <w:szCs w:val="21"/>
              </w:rPr>
            </w:pPr>
            <w:r>
              <w:rPr>
                <w:color w:val="auto"/>
                <w:kern w:val="0"/>
                <w:sz w:val="21"/>
                <w:szCs w:val="21"/>
              </w:rPr>
              <w:t>0</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baseline"/>
        <w:rPr>
          <w:color w:val="auto"/>
          <w:kern w:val="0"/>
          <w:sz w:val="24"/>
          <w:szCs w:val="20"/>
        </w:rPr>
      </w:pPr>
      <w:r>
        <w:rPr>
          <w:color w:val="auto"/>
          <w:kern w:val="0"/>
          <w:sz w:val="24"/>
          <w:szCs w:val="20"/>
        </w:rPr>
        <w:t>由上表可知，项目废水调节池发生泄漏后100d、1000d时均不会对</w:t>
      </w:r>
      <w:r>
        <w:rPr>
          <w:bCs/>
          <w:color w:val="auto"/>
          <w:kern w:val="0"/>
          <w:sz w:val="24"/>
          <w:szCs w:val="20"/>
        </w:rPr>
        <w:t>前寺庄村</w:t>
      </w:r>
      <w:r>
        <w:rPr>
          <w:color w:val="auto"/>
          <w:kern w:val="0"/>
          <w:sz w:val="24"/>
          <w:szCs w:val="20"/>
        </w:rPr>
        <w:t>地下水质产生影响，项目生产对地下水的影响可以接受。</w:t>
      </w:r>
    </w:p>
    <w:p>
      <w:pPr>
        <w:adjustRightInd w:val="0"/>
        <w:snapToGrid w:val="0"/>
        <w:spacing w:line="360" w:lineRule="auto"/>
        <w:ind w:firstLine="480" w:firstLineChars="200"/>
        <w:textAlignment w:val="baseline"/>
        <w:rPr>
          <w:color w:val="auto"/>
          <w:kern w:val="0"/>
          <w:sz w:val="24"/>
          <w:szCs w:val="20"/>
        </w:rPr>
      </w:pPr>
      <w:r>
        <w:rPr>
          <w:bCs/>
          <w:color w:val="auto"/>
          <w:kern w:val="0"/>
          <w:sz w:val="24"/>
          <w:szCs w:val="20"/>
        </w:rPr>
        <w:t>根据现场调查，距离本项目最近的新乡市乡镇饮用水源为厂址北侧2.565km处的获嘉县照镜供水厂地下水井群保护区。根据表5</w:t>
      </w:r>
      <w:r>
        <w:rPr>
          <w:rFonts w:hint="eastAsia"/>
          <w:bCs/>
          <w:color w:val="auto"/>
          <w:kern w:val="0"/>
          <w:sz w:val="24"/>
          <w:szCs w:val="20"/>
          <w:lang w:val="en-US" w:eastAsia="zh-CN"/>
        </w:rPr>
        <w:t>.5</w:t>
      </w:r>
      <w:r>
        <w:rPr>
          <w:bCs/>
          <w:color w:val="auto"/>
          <w:kern w:val="0"/>
          <w:sz w:val="24"/>
          <w:szCs w:val="20"/>
        </w:rPr>
        <w:t>-</w:t>
      </w:r>
      <w:r>
        <w:rPr>
          <w:rFonts w:hint="eastAsia"/>
          <w:bCs/>
          <w:color w:val="auto"/>
          <w:kern w:val="0"/>
          <w:sz w:val="24"/>
          <w:szCs w:val="20"/>
          <w:lang w:val="en-US" w:eastAsia="zh-CN"/>
        </w:rPr>
        <w:t>7</w:t>
      </w:r>
      <w:r>
        <w:rPr>
          <w:bCs/>
          <w:color w:val="auto"/>
          <w:kern w:val="0"/>
          <w:sz w:val="24"/>
          <w:szCs w:val="20"/>
        </w:rPr>
        <w:t>泄漏预测结果，泄漏后100d</w:t>
      </w:r>
      <w:r>
        <w:rPr>
          <w:rFonts w:hint="eastAsia"/>
          <w:bCs/>
          <w:color w:val="auto"/>
          <w:kern w:val="0"/>
          <w:sz w:val="24"/>
          <w:szCs w:val="20"/>
          <w:lang w:eastAsia="zh-CN"/>
        </w:rPr>
        <w:t>、</w:t>
      </w:r>
      <w:r>
        <w:rPr>
          <w:bCs/>
          <w:color w:val="auto"/>
          <w:kern w:val="0"/>
          <w:sz w:val="24"/>
          <w:szCs w:val="20"/>
        </w:rPr>
        <w:t>1000d，以各污染因子的检出限计，耗氧量最远迁移距离在7m处，氨氮最远迁移距离为</w:t>
      </w:r>
      <w:r>
        <w:rPr>
          <w:rFonts w:hint="eastAsia"/>
          <w:bCs/>
          <w:color w:val="auto"/>
          <w:kern w:val="0"/>
          <w:sz w:val="24"/>
          <w:szCs w:val="20"/>
        </w:rPr>
        <w:t>6</w:t>
      </w:r>
      <w:r>
        <w:rPr>
          <w:bCs/>
          <w:color w:val="auto"/>
          <w:kern w:val="0"/>
          <w:sz w:val="24"/>
          <w:szCs w:val="20"/>
        </w:rPr>
        <w:t>m处，总镍最远迁移距离在</w:t>
      </w:r>
      <w:r>
        <w:rPr>
          <w:rFonts w:hint="eastAsia"/>
          <w:bCs/>
          <w:color w:val="auto"/>
          <w:kern w:val="0"/>
          <w:sz w:val="24"/>
          <w:szCs w:val="20"/>
        </w:rPr>
        <w:t>1</w:t>
      </w:r>
      <w:r>
        <w:rPr>
          <w:bCs/>
          <w:color w:val="auto"/>
          <w:kern w:val="0"/>
          <w:sz w:val="24"/>
          <w:szCs w:val="20"/>
        </w:rPr>
        <w:t>0m处，总锌最远迁移距离在</w:t>
      </w:r>
      <w:r>
        <w:rPr>
          <w:rFonts w:hint="eastAsia"/>
          <w:bCs/>
          <w:color w:val="auto"/>
          <w:kern w:val="0"/>
          <w:sz w:val="24"/>
          <w:szCs w:val="20"/>
        </w:rPr>
        <w:t>10</w:t>
      </w:r>
      <w:r>
        <w:rPr>
          <w:bCs/>
          <w:color w:val="auto"/>
          <w:kern w:val="0"/>
          <w:sz w:val="24"/>
          <w:szCs w:val="20"/>
        </w:rPr>
        <w:t>m处，铬（六价）最远迁移距离在</w:t>
      </w:r>
      <w:r>
        <w:rPr>
          <w:rFonts w:hint="eastAsia"/>
          <w:bCs/>
          <w:color w:val="auto"/>
          <w:kern w:val="0"/>
          <w:sz w:val="24"/>
          <w:szCs w:val="20"/>
        </w:rPr>
        <w:t>7</w:t>
      </w:r>
      <w:r>
        <w:rPr>
          <w:bCs/>
          <w:color w:val="auto"/>
          <w:kern w:val="0"/>
          <w:sz w:val="24"/>
          <w:szCs w:val="20"/>
        </w:rPr>
        <w:t>m处，故各</w:t>
      </w:r>
      <w:r>
        <w:rPr>
          <w:color w:val="auto"/>
          <w:kern w:val="0"/>
          <w:sz w:val="24"/>
          <w:szCs w:val="20"/>
        </w:rPr>
        <w:t>污染因子的最远迁移距离为</w:t>
      </w:r>
      <w:r>
        <w:rPr>
          <w:rFonts w:hint="eastAsia"/>
          <w:color w:val="auto"/>
          <w:kern w:val="0"/>
          <w:sz w:val="24"/>
          <w:szCs w:val="20"/>
        </w:rPr>
        <w:t>10</w:t>
      </w:r>
      <w:r>
        <w:rPr>
          <w:color w:val="auto"/>
          <w:kern w:val="0"/>
          <w:sz w:val="24"/>
          <w:szCs w:val="20"/>
        </w:rPr>
        <w:t>m。根据厂区平面布置，该范围未超出项目厂区范围（东厂界为在下游150m处）。因此，评价建议污水处理站各构筑物周边应加强硬化防渗措施，同时制定严格的巡检制度并落实到责任人，杜绝项目厂区地面及各类废水池防渗措施出现渗漏现象，在落实以上各项防渗措施和巡检制度后，本项目地下水环境影响是可以接受的。</w:t>
      </w:r>
    </w:p>
    <w:bookmarkEnd w:id="343"/>
    <w:p>
      <w:pPr>
        <w:pStyle w:val="5"/>
        <w:pageBreakBefore w:val="0"/>
        <w:widowControl/>
        <w:kinsoku/>
        <w:wordWrap/>
        <w:overflowPunct/>
        <w:topLinePunct w:val="0"/>
        <w:autoSpaceDE/>
        <w:autoSpaceDN/>
        <w:bidi w:val="0"/>
        <w:adjustRightInd w:val="0"/>
        <w:spacing w:before="0" w:beforeLines="0" w:after="0" w:afterLines="0" w:line="360" w:lineRule="auto"/>
        <w:rPr>
          <w:bCs w:val="0"/>
          <w:color w:val="auto"/>
          <w:kern w:val="21"/>
          <w:sz w:val="28"/>
          <w:szCs w:val="28"/>
        </w:rPr>
      </w:pPr>
      <w:r>
        <w:rPr>
          <w:bCs w:val="0"/>
          <w:color w:val="auto"/>
          <w:kern w:val="21"/>
          <w:sz w:val="28"/>
          <w:szCs w:val="28"/>
        </w:rPr>
        <w:t>5.5.7地下水环境保护措施与跟踪监测</w:t>
      </w:r>
    </w:p>
    <w:p>
      <w:pPr>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bookmarkStart w:id="344" w:name="_Toc198193463"/>
      <w:bookmarkStart w:id="345" w:name="_Toc324839326"/>
      <w:bookmarkStart w:id="346" w:name="_Toc324839623"/>
      <w:bookmarkStart w:id="347" w:name="_Toc311812650"/>
      <w:bookmarkStart w:id="348" w:name="_Toc227946421"/>
      <w:r>
        <w:rPr>
          <w:color w:val="auto"/>
          <w:kern w:val="0"/>
          <w:sz w:val="24"/>
          <w:szCs w:val="20"/>
        </w:rPr>
        <w:t>为减少和防止本项目生产过程中产生的废水污染物对地下水造成污染影响，项目在建设过程中应对生产车间、道路全部采用水泥硬化，对污水处理设施、输水沟渠及固废暂存间采取防渗处理，以防止各种构筑物渗漏对区域地下水造成污染。</w:t>
      </w:r>
    </w:p>
    <w:p>
      <w:pPr>
        <w:pStyle w:val="6"/>
        <w:spacing w:before="0" w:after="0" w:line="360" w:lineRule="auto"/>
        <w:rPr>
          <w:b w:val="0"/>
          <w:color w:val="auto"/>
          <w:sz w:val="24"/>
          <w:szCs w:val="24"/>
        </w:rPr>
      </w:pPr>
      <w:r>
        <w:rPr>
          <w:b w:val="0"/>
          <w:color w:val="auto"/>
          <w:sz w:val="24"/>
          <w:szCs w:val="24"/>
        </w:rPr>
        <w:t>5.5.7.1防渗原则</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采取源头控制、末端防治、污染监控相结合的原则，具体如下：</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1）源头控制措施主要包括在车间镀槽、清洗槽、管道、设备、污水储存及处理构筑物采取相应措施，工艺废水管线需采取地上明渠明管或架空敷设（满足防腐、防渗要求），防止和降低污染物跑、冒、滴、漏，将污染物泄漏的环境风险事故降到最低程度；</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（2）末端防治措施主要包括厂区防渗措施、污水收集措施，防治洒落地面的污染物渗入地下，同时对渗入地下的污染物及时收集，防止污染地下水；</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（3）污染监控措施主要包括建立完善的监测制度、配备先进的监测仪器和设备，科学合理</w:t>
      </w:r>
      <w:r>
        <w:rPr>
          <w:rFonts w:hint="eastAsia"/>
          <w:color w:val="auto"/>
          <w:kern w:val="0"/>
          <w:sz w:val="24"/>
          <w:szCs w:val="20"/>
          <w:lang w:eastAsia="zh-CN"/>
        </w:rPr>
        <w:t>地</w:t>
      </w:r>
      <w:r>
        <w:rPr>
          <w:color w:val="auto"/>
          <w:kern w:val="0"/>
          <w:sz w:val="24"/>
          <w:szCs w:val="20"/>
        </w:rPr>
        <w:t>设置地下水监控井，同时加强车间和各用排水单元的管理，避免跑冒滴漏现象的发生，增强员工的环境保护意识，及时对员工进行宣传教育。</w:t>
      </w:r>
    </w:p>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（4）项目设置的固废暂存间应严格按照一般固废和危险废物暂存间建设要求，设置相应的围堰、排水设施等，并对厂区地面进行硬化。</w:t>
      </w:r>
    </w:p>
    <w:p>
      <w:pPr>
        <w:pStyle w:val="6"/>
        <w:pageBreakBefore w:val="0"/>
        <w:widowControl/>
        <w:kinsoku/>
        <w:wordWrap/>
        <w:overflowPunct/>
        <w:topLinePunct w:val="0"/>
        <w:autoSpaceDE/>
        <w:autoSpaceDN/>
        <w:bidi w:val="0"/>
        <w:spacing w:before="0" w:after="0" w:line="360" w:lineRule="auto"/>
        <w:rPr>
          <w:b w:val="0"/>
          <w:color w:val="auto"/>
          <w:sz w:val="24"/>
          <w:szCs w:val="24"/>
        </w:rPr>
      </w:pPr>
      <w:r>
        <w:rPr>
          <w:b w:val="0"/>
          <w:color w:val="auto"/>
          <w:sz w:val="24"/>
          <w:szCs w:val="24"/>
        </w:rPr>
        <w:t>5.5.7.2厂区防渗要求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整个厂区划分为重点污染防渗区、一般污染防渗区：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重点污染防渗区：位于地下或半地下的生产功能单元，污染地下水环境的物料或污染物泄漏后，不易及时发现和处理的区域或部位。本项目的重点污染防治区为：</w:t>
      </w:r>
      <w:r>
        <w:rPr>
          <w:color w:val="auto"/>
          <w:kern w:val="21"/>
          <w:sz w:val="24"/>
          <w:szCs w:val="24"/>
        </w:rPr>
        <w:t>电镀原料区、电镀线、危废间、机加工等区域以及污水处理站、事故池。</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b/>
          <w:color w:val="auto"/>
          <w:kern w:val="0"/>
          <w:sz w:val="24"/>
          <w:szCs w:val="20"/>
          <w:u w:val="single"/>
        </w:rPr>
      </w:pPr>
      <w:r>
        <w:rPr>
          <w:color w:val="auto"/>
          <w:kern w:val="0"/>
          <w:sz w:val="24"/>
          <w:szCs w:val="20"/>
        </w:rPr>
        <w:t>一般污染防渗区：</w:t>
      </w:r>
      <w:r>
        <w:rPr>
          <w:rFonts w:hint="eastAsia"/>
          <w:color w:val="auto"/>
          <w:kern w:val="0"/>
          <w:sz w:val="24"/>
          <w:szCs w:val="20"/>
          <w:lang w:eastAsia="zh-CN"/>
        </w:rPr>
        <w:t>裸露</w:t>
      </w:r>
      <w:r>
        <w:rPr>
          <w:color w:val="auto"/>
          <w:kern w:val="0"/>
          <w:sz w:val="24"/>
          <w:szCs w:val="20"/>
        </w:rPr>
        <w:t>于地面的生产功能单元，污染地下水环境的物料或污染物泄漏后，可及时发现和处理的区域或部位。本项目的一般污染防治区为：一般固废暂存间、成品区、包装区、机加工原料区、半成品区、边角料临时存放区、道路等</w:t>
      </w:r>
      <w:r>
        <w:rPr>
          <w:rFonts w:hint="eastAsia"/>
          <w:color w:val="auto"/>
          <w:kern w:val="0"/>
          <w:sz w:val="24"/>
          <w:szCs w:val="20"/>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针对不同的防渗区域，采取不同的污染防渗措施，具体如下：</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（1）重点污染防渗区：防渗性能应与6.0m厚粘土层（渗透系数1.0×10</w:t>
      </w:r>
      <w:r>
        <w:rPr>
          <w:color w:val="auto"/>
          <w:kern w:val="0"/>
          <w:sz w:val="24"/>
          <w:szCs w:val="20"/>
          <w:vertAlign w:val="superscript"/>
        </w:rPr>
        <w:t>-7</w:t>
      </w:r>
      <w:r>
        <w:rPr>
          <w:color w:val="auto"/>
          <w:kern w:val="0"/>
          <w:sz w:val="24"/>
          <w:szCs w:val="20"/>
        </w:rPr>
        <w:t>cm/s）等效。底层宜采用0.3m压实粘土层；上层采用合成高密度人工防渗膜，厚度不宜小于1.50mm膜铺设应由中心坡向四周，坡度不宜小于1.5％；膜上、膜下应设置保护层，保护层可采用长丝无纺土工布，膜下保护层也可采用不含尖锐颗粒的砂层，厚度不宜小于100mm；膜上保护层以上应设置砂石层，厚度不宜小于200mm。</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iCs/>
          <w:color w:val="auto"/>
          <w:kern w:val="0"/>
          <w:sz w:val="24"/>
          <w:szCs w:val="24"/>
        </w:rPr>
      </w:pPr>
      <w:r>
        <w:rPr>
          <w:iCs/>
          <w:color w:val="auto"/>
          <w:kern w:val="0"/>
          <w:sz w:val="24"/>
          <w:szCs w:val="24"/>
        </w:rPr>
        <w:t>（2）一般污染防渗区：对一般污染防治区，防渗性能应与1.5m厚粘土层（渗透系数1.0×10</w:t>
      </w:r>
      <w:r>
        <w:rPr>
          <w:iCs/>
          <w:color w:val="auto"/>
          <w:kern w:val="0"/>
          <w:sz w:val="24"/>
          <w:szCs w:val="24"/>
          <w:vertAlign w:val="superscript"/>
        </w:rPr>
        <w:t>-7</w:t>
      </w:r>
      <w:r>
        <w:rPr>
          <w:iCs/>
          <w:color w:val="auto"/>
          <w:kern w:val="0"/>
          <w:sz w:val="24"/>
          <w:szCs w:val="24"/>
        </w:rPr>
        <w:t>cm/s）等效。建议使用</w:t>
      </w:r>
      <w:r>
        <w:rPr>
          <w:color w:val="auto"/>
          <w:kern w:val="0"/>
          <w:sz w:val="24"/>
          <w:szCs w:val="20"/>
        </w:rPr>
        <w:t>1m厚黏土层（渗透系数不大于1×10</w:t>
      </w:r>
      <w:r>
        <w:rPr>
          <w:color w:val="auto"/>
          <w:kern w:val="0"/>
          <w:sz w:val="24"/>
          <w:szCs w:val="20"/>
          <w:vertAlign w:val="superscript"/>
        </w:rPr>
        <w:t>-7</w:t>
      </w:r>
      <w:r>
        <w:rPr>
          <w:color w:val="auto"/>
          <w:kern w:val="0"/>
          <w:sz w:val="24"/>
          <w:szCs w:val="20"/>
        </w:rPr>
        <w:t>m/s），或2mm厚高密度聚乙烯，或至少2mm厚的其它人工材料（渗透系数不大于1×10</w:t>
      </w:r>
      <w:r>
        <w:rPr>
          <w:color w:val="auto"/>
          <w:kern w:val="0"/>
          <w:sz w:val="24"/>
          <w:szCs w:val="20"/>
          <w:vertAlign w:val="superscript"/>
        </w:rPr>
        <w:t>-10</w:t>
      </w:r>
      <w:r>
        <w:rPr>
          <w:color w:val="auto"/>
          <w:kern w:val="0"/>
          <w:sz w:val="24"/>
          <w:szCs w:val="20"/>
        </w:rPr>
        <w:t>m/s）。做好防风、防雨及防渗的</w:t>
      </w:r>
      <w:r>
        <w:rPr>
          <w:rFonts w:hint="eastAsia"/>
          <w:color w:val="auto"/>
          <w:kern w:val="0"/>
          <w:sz w:val="24"/>
          <w:szCs w:val="20"/>
          <w:lang w:eastAsia="zh-CN"/>
        </w:rPr>
        <w:t>“</w:t>
      </w:r>
      <w:r>
        <w:rPr>
          <w:color w:val="auto"/>
          <w:kern w:val="0"/>
          <w:sz w:val="24"/>
          <w:szCs w:val="20"/>
        </w:rPr>
        <w:t>三防</w:t>
      </w:r>
      <w:r>
        <w:rPr>
          <w:rFonts w:hint="eastAsia"/>
          <w:color w:val="auto"/>
          <w:kern w:val="0"/>
          <w:sz w:val="24"/>
          <w:szCs w:val="20"/>
          <w:lang w:eastAsia="zh-CN"/>
        </w:rPr>
        <w:t>”</w:t>
      </w:r>
      <w:r>
        <w:rPr>
          <w:color w:val="auto"/>
          <w:kern w:val="0"/>
          <w:sz w:val="24"/>
          <w:szCs w:val="20"/>
        </w:rPr>
        <w:t>措施，并保证其贮存过程中不易老化、破损和变形。</w:t>
      </w:r>
    </w:p>
    <w:p>
      <w:pPr>
        <w:pStyle w:val="6"/>
        <w:keepNext/>
        <w:keepLines/>
        <w:pageBreakBefore w:val="0"/>
        <w:widowControl/>
        <w:kinsoku/>
        <w:wordWrap/>
        <w:overflowPunct/>
        <w:topLinePunct w:val="0"/>
        <w:autoSpaceDE/>
        <w:autoSpaceDN/>
        <w:bidi w:val="0"/>
        <w:adjustRightInd/>
        <w:snapToGrid/>
        <w:spacing w:before="0" w:after="0" w:line="360" w:lineRule="auto"/>
        <w:textAlignment w:val="auto"/>
        <w:rPr>
          <w:b w:val="0"/>
          <w:color w:val="auto"/>
          <w:sz w:val="24"/>
          <w:szCs w:val="24"/>
        </w:rPr>
      </w:pPr>
      <w:r>
        <w:rPr>
          <w:b w:val="0"/>
          <w:color w:val="auto"/>
          <w:sz w:val="24"/>
          <w:szCs w:val="24"/>
        </w:rPr>
        <w:t>5.5.7.3地下水跟踪监测计划</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本</w:t>
      </w:r>
      <w:r>
        <w:rPr>
          <w:rFonts w:hint="eastAsia"/>
          <w:color w:val="auto"/>
          <w:kern w:val="0"/>
          <w:sz w:val="24"/>
          <w:szCs w:val="20"/>
          <w:lang w:eastAsia="zh-CN"/>
        </w:rPr>
        <w:t>项目</w:t>
      </w:r>
      <w:r>
        <w:rPr>
          <w:color w:val="auto"/>
          <w:kern w:val="0"/>
          <w:sz w:val="24"/>
          <w:szCs w:val="20"/>
        </w:rPr>
        <w:t>位于新乡市获嘉县产业集聚区，根据工程分析内容，正常状况下，本项目无地下水污染源存在，对区域地下水环境影响较小，评价建议建立地下水污染监控制度和环境管理体系，制定监测计划，以便及时发现问题，采取措施。制定地下水风险事故应急预案，明确地下水风险事故状态下应采取封闭、截流等措施。</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建立地下水监测制度，定期委托有资质的监测机构对厂区及厂区下游地下水进行监测，一旦发生地下水污染，应立即停止生产，查明污染来源。建议在厂址处、前李庄村（下游监控井）设置2个监测井，每年一次，委托有资质单位进行监测，一旦地下水监测结果发生异常，应增加监测频率。地下水跟踪监测点位及监测要求见下表：</w:t>
      </w:r>
    </w:p>
    <w:p>
      <w:pPr>
        <w:adjustRightInd w:val="0"/>
        <w:snapToGrid w:val="0"/>
        <w:spacing w:before="120" w:beforeLines="50"/>
        <w:jc w:val="center"/>
        <w:rPr>
          <w:rFonts w:eastAsia="黑体"/>
          <w:color w:val="auto"/>
          <w:kern w:val="21"/>
          <w:sz w:val="24"/>
        </w:rPr>
      </w:pPr>
      <w:r>
        <w:rPr>
          <w:rFonts w:eastAsia="黑体"/>
          <w:color w:val="auto"/>
          <w:kern w:val="21"/>
          <w:sz w:val="24"/>
        </w:rPr>
        <w:t>表5.5-12    地下水环境监测点位及跟踪监测要求</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556"/>
        <w:gridCol w:w="1813"/>
        <w:gridCol w:w="516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Align w:val="center"/>
          </w:tcPr>
          <w:p>
            <w:pPr>
              <w:jc w:val="center"/>
              <w:rPr>
                <w:b/>
                <w:color w:val="auto"/>
                <w:szCs w:val="20"/>
              </w:rPr>
            </w:pPr>
            <w:r>
              <w:rPr>
                <w:b/>
                <w:color w:val="auto"/>
                <w:szCs w:val="20"/>
              </w:rPr>
              <w:t>序号</w:t>
            </w:r>
          </w:p>
        </w:tc>
        <w:tc>
          <w:tcPr>
            <w:tcW w:w="1063" w:type="pct"/>
            <w:shd w:val="clear" w:color="auto" w:fill="auto"/>
            <w:vAlign w:val="center"/>
          </w:tcPr>
          <w:p>
            <w:pPr>
              <w:jc w:val="center"/>
              <w:rPr>
                <w:b/>
                <w:color w:val="auto"/>
                <w:szCs w:val="20"/>
              </w:rPr>
            </w:pPr>
            <w:r>
              <w:rPr>
                <w:b/>
                <w:color w:val="auto"/>
                <w:szCs w:val="20"/>
              </w:rPr>
              <w:t>类别</w:t>
            </w:r>
          </w:p>
        </w:tc>
        <w:tc>
          <w:tcPr>
            <w:tcW w:w="3025" w:type="pct"/>
            <w:vAlign w:val="center"/>
          </w:tcPr>
          <w:p>
            <w:pPr>
              <w:jc w:val="center"/>
              <w:rPr>
                <w:b/>
                <w:color w:val="auto"/>
                <w:szCs w:val="20"/>
              </w:rPr>
            </w:pPr>
            <w:r>
              <w:rPr>
                <w:b/>
                <w:color w:val="auto"/>
                <w:szCs w:val="20"/>
              </w:rPr>
              <w:t>内容</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Merge w:val="restart"/>
            <w:vAlign w:val="center"/>
          </w:tcPr>
          <w:p>
            <w:pPr>
              <w:contextualSpacing/>
              <w:jc w:val="center"/>
              <w:textAlignment w:val="baseline"/>
              <w:rPr>
                <w:color w:val="auto"/>
                <w:kern w:val="0"/>
              </w:rPr>
            </w:pPr>
            <w:r>
              <w:rPr>
                <w:color w:val="auto"/>
                <w:kern w:val="0"/>
              </w:rPr>
              <w:t>1</w:t>
            </w:r>
          </w:p>
        </w:tc>
        <w:tc>
          <w:tcPr>
            <w:tcW w:w="1063" w:type="pct"/>
            <w:vMerge w:val="restart"/>
            <w:shd w:val="clear" w:color="auto" w:fill="auto"/>
            <w:vAlign w:val="center"/>
          </w:tcPr>
          <w:p>
            <w:pPr>
              <w:contextualSpacing/>
              <w:jc w:val="center"/>
              <w:textAlignment w:val="baseline"/>
              <w:rPr>
                <w:color w:val="auto"/>
                <w:kern w:val="0"/>
              </w:rPr>
            </w:pPr>
            <w:r>
              <w:rPr>
                <w:color w:val="auto"/>
                <w:kern w:val="0"/>
              </w:rPr>
              <w:t>监测点位</w:t>
            </w:r>
          </w:p>
        </w:tc>
        <w:tc>
          <w:tcPr>
            <w:tcW w:w="3025" w:type="pct"/>
            <w:vAlign w:val="center"/>
          </w:tcPr>
          <w:p>
            <w:pPr>
              <w:contextualSpacing/>
              <w:jc w:val="both"/>
              <w:textAlignment w:val="baseline"/>
              <w:rPr>
                <w:rFonts w:hint="eastAsia" w:eastAsia="宋体"/>
                <w:color w:val="auto"/>
                <w:kern w:val="0"/>
                <w:lang w:eastAsia="zh-CN"/>
              </w:rPr>
            </w:pPr>
            <w:r>
              <w:rPr>
                <w:color w:val="auto"/>
                <w:kern w:val="0"/>
              </w:rPr>
              <w:t>厂区监测井</w:t>
            </w:r>
            <w:r>
              <w:rPr>
                <w:rFonts w:hint="eastAsia"/>
                <w:color w:val="auto"/>
                <w:kern w:val="0"/>
                <w:lang w:eastAsia="zh-CN"/>
              </w:rPr>
              <w:t>（</w:t>
            </w:r>
            <w:r>
              <w:rPr>
                <w:rFonts w:hint="eastAsia"/>
                <w:b/>
                <w:bCs/>
                <w:color w:val="auto"/>
                <w:kern w:val="0"/>
                <w:u w:val="single"/>
              </w:rPr>
              <w:t>E113°42′37.67″</w:t>
            </w:r>
            <w:r>
              <w:rPr>
                <w:rFonts w:hint="eastAsia"/>
                <w:b/>
                <w:bCs/>
                <w:color w:val="auto"/>
                <w:kern w:val="0"/>
                <w:u w:val="single"/>
                <w:lang w:eastAsia="zh-CN"/>
              </w:rPr>
              <w:t>、</w:t>
            </w:r>
            <w:r>
              <w:rPr>
                <w:rFonts w:hint="eastAsia"/>
                <w:b/>
                <w:bCs/>
                <w:color w:val="auto"/>
                <w:kern w:val="0"/>
                <w:u w:val="single"/>
              </w:rPr>
              <w:t>N35°16′04.26″</w:t>
            </w:r>
            <w:r>
              <w:rPr>
                <w:rFonts w:hint="eastAsia"/>
                <w:b/>
                <w:bCs/>
                <w:color w:val="auto"/>
                <w:kern w:val="0"/>
                <w:u w:val="single"/>
                <w:lang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Merge w:val="continue"/>
            <w:vAlign w:val="center"/>
          </w:tcPr>
          <w:p>
            <w:pPr>
              <w:contextualSpacing/>
              <w:jc w:val="center"/>
              <w:textAlignment w:val="baseline"/>
              <w:rPr>
                <w:color w:val="auto"/>
                <w:kern w:val="0"/>
              </w:rPr>
            </w:pPr>
          </w:p>
        </w:tc>
        <w:tc>
          <w:tcPr>
            <w:tcW w:w="1063" w:type="pct"/>
            <w:vMerge w:val="continue"/>
            <w:shd w:val="clear" w:color="auto" w:fill="auto"/>
            <w:vAlign w:val="center"/>
          </w:tcPr>
          <w:p>
            <w:pPr>
              <w:contextualSpacing/>
              <w:jc w:val="center"/>
              <w:textAlignment w:val="baseline"/>
              <w:rPr>
                <w:color w:val="auto"/>
                <w:kern w:val="0"/>
              </w:rPr>
            </w:pPr>
          </w:p>
        </w:tc>
        <w:tc>
          <w:tcPr>
            <w:tcW w:w="3025" w:type="pct"/>
            <w:vAlign w:val="center"/>
          </w:tcPr>
          <w:p>
            <w:pPr>
              <w:contextualSpacing/>
              <w:jc w:val="both"/>
              <w:textAlignment w:val="baseline"/>
              <w:rPr>
                <w:rFonts w:hint="eastAsia" w:eastAsia="宋体"/>
                <w:color w:val="auto"/>
                <w:kern w:val="0"/>
                <w:lang w:eastAsia="zh-CN"/>
              </w:rPr>
            </w:pPr>
            <w:r>
              <w:rPr>
                <w:color w:val="auto"/>
                <w:kern w:val="0"/>
              </w:rPr>
              <w:t>前李庄监测井</w:t>
            </w:r>
            <w:r>
              <w:rPr>
                <w:rFonts w:hint="eastAsia"/>
                <w:color w:val="auto"/>
                <w:kern w:val="0"/>
                <w:lang w:eastAsia="zh-CN"/>
              </w:rPr>
              <w:t>（</w:t>
            </w:r>
            <w:r>
              <w:rPr>
                <w:rFonts w:hint="eastAsia"/>
                <w:b/>
                <w:bCs/>
                <w:color w:val="auto"/>
                <w:kern w:val="0"/>
                <w:u w:val="single"/>
              </w:rPr>
              <w:t>E113°42′39.68″N35°16′31.14″</w:t>
            </w:r>
            <w:r>
              <w:rPr>
                <w:rFonts w:hint="eastAsia"/>
                <w:b/>
                <w:bCs/>
                <w:color w:val="auto"/>
                <w:kern w:val="0"/>
                <w:u w:val="single"/>
                <w:lang w:eastAsia="zh-CN"/>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Align w:val="center"/>
          </w:tcPr>
          <w:p>
            <w:pPr>
              <w:contextualSpacing/>
              <w:jc w:val="center"/>
              <w:textAlignment w:val="baseline"/>
              <w:rPr>
                <w:color w:val="auto"/>
                <w:kern w:val="0"/>
              </w:rPr>
            </w:pPr>
            <w:r>
              <w:rPr>
                <w:color w:val="auto"/>
                <w:kern w:val="0"/>
              </w:rPr>
              <w:t>2</w:t>
            </w:r>
          </w:p>
        </w:tc>
        <w:tc>
          <w:tcPr>
            <w:tcW w:w="1063" w:type="pct"/>
            <w:shd w:val="clear" w:color="auto" w:fill="auto"/>
            <w:vAlign w:val="center"/>
          </w:tcPr>
          <w:p>
            <w:pPr>
              <w:contextualSpacing/>
              <w:jc w:val="center"/>
              <w:textAlignment w:val="baseline"/>
              <w:rPr>
                <w:color w:val="auto"/>
                <w:kern w:val="0"/>
              </w:rPr>
            </w:pPr>
            <w:r>
              <w:rPr>
                <w:color w:val="auto"/>
                <w:kern w:val="0"/>
              </w:rPr>
              <w:t>功能</w:t>
            </w:r>
          </w:p>
        </w:tc>
        <w:tc>
          <w:tcPr>
            <w:tcW w:w="3025" w:type="pct"/>
            <w:vAlign w:val="center"/>
          </w:tcPr>
          <w:p>
            <w:pPr>
              <w:contextualSpacing/>
              <w:jc w:val="center"/>
              <w:textAlignment w:val="baseline"/>
              <w:rPr>
                <w:color w:val="auto"/>
                <w:kern w:val="0"/>
              </w:rPr>
            </w:pPr>
            <w:r>
              <w:rPr>
                <w:color w:val="auto"/>
                <w:kern w:val="0"/>
              </w:rPr>
              <w:t>地下水跟踪监测点</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Align w:val="center"/>
          </w:tcPr>
          <w:p>
            <w:pPr>
              <w:contextualSpacing/>
              <w:jc w:val="center"/>
              <w:textAlignment w:val="baseline"/>
              <w:rPr>
                <w:color w:val="auto"/>
                <w:kern w:val="0"/>
              </w:rPr>
            </w:pPr>
            <w:r>
              <w:rPr>
                <w:color w:val="auto"/>
                <w:kern w:val="0"/>
              </w:rPr>
              <w:t>3</w:t>
            </w:r>
          </w:p>
        </w:tc>
        <w:tc>
          <w:tcPr>
            <w:tcW w:w="1063" w:type="pct"/>
            <w:shd w:val="clear" w:color="auto" w:fill="auto"/>
            <w:vAlign w:val="center"/>
          </w:tcPr>
          <w:p>
            <w:pPr>
              <w:contextualSpacing/>
              <w:jc w:val="center"/>
              <w:textAlignment w:val="baseline"/>
              <w:rPr>
                <w:color w:val="auto"/>
                <w:kern w:val="0"/>
              </w:rPr>
            </w:pPr>
            <w:r>
              <w:rPr>
                <w:color w:val="auto"/>
                <w:kern w:val="0"/>
              </w:rPr>
              <w:t>井结构</w:t>
            </w:r>
          </w:p>
        </w:tc>
        <w:tc>
          <w:tcPr>
            <w:tcW w:w="3025" w:type="pct"/>
            <w:vAlign w:val="center"/>
          </w:tcPr>
          <w:p>
            <w:pPr>
              <w:contextualSpacing/>
              <w:jc w:val="center"/>
              <w:textAlignment w:val="baseline"/>
              <w:rPr>
                <w:color w:val="auto"/>
                <w:kern w:val="0"/>
              </w:rPr>
            </w:pPr>
            <w:r>
              <w:rPr>
                <w:color w:val="auto"/>
                <w:kern w:val="0"/>
              </w:rPr>
              <w:t>竖向圆形</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Align w:val="center"/>
          </w:tcPr>
          <w:p>
            <w:pPr>
              <w:contextualSpacing/>
              <w:jc w:val="center"/>
              <w:textAlignment w:val="baseline"/>
              <w:rPr>
                <w:color w:val="auto"/>
                <w:kern w:val="0"/>
              </w:rPr>
            </w:pPr>
            <w:r>
              <w:rPr>
                <w:color w:val="auto"/>
                <w:kern w:val="0"/>
              </w:rPr>
              <w:t>4</w:t>
            </w:r>
          </w:p>
        </w:tc>
        <w:tc>
          <w:tcPr>
            <w:tcW w:w="1063" w:type="pct"/>
            <w:shd w:val="clear" w:color="auto" w:fill="auto"/>
            <w:vAlign w:val="center"/>
          </w:tcPr>
          <w:p>
            <w:pPr>
              <w:contextualSpacing/>
              <w:jc w:val="center"/>
              <w:textAlignment w:val="baseline"/>
              <w:rPr>
                <w:color w:val="auto"/>
                <w:kern w:val="0"/>
              </w:rPr>
            </w:pPr>
            <w:r>
              <w:rPr>
                <w:color w:val="auto"/>
                <w:kern w:val="0"/>
              </w:rPr>
              <w:t>监测层位</w:t>
            </w:r>
          </w:p>
        </w:tc>
        <w:tc>
          <w:tcPr>
            <w:tcW w:w="3025" w:type="pct"/>
            <w:vAlign w:val="center"/>
          </w:tcPr>
          <w:p>
            <w:pPr>
              <w:contextualSpacing/>
              <w:jc w:val="center"/>
              <w:textAlignment w:val="baseline"/>
              <w:rPr>
                <w:color w:val="auto"/>
                <w:kern w:val="0"/>
              </w:rPr>
            </w:pPr>
            <w:r>
              <w:rPr>
                <w:color w:val="auto"/>
                <w:kern w:val="0"/>
              </w:rPr>
              <w:t>潜水层，水位线下1米</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Align w:val="center"/>
          </w:tcPr>
          <w:p>
            <w:pPr>
              <w:contextualSpacing/>
              <w:jc w:val="center"/>
              <w:textAlignment w:val="baseline"/>
              <w:rPr>
                <w:color w:val="auto"/>
                <w:kern w:val="0"/>
              </w:rPr>
            </w:pPr>
            <w:r>
              <w:rPr>
                <w:color w:val="auto"/>
                <w:kern w:val="0"/>
              </w:rPr>
              <w:t>5</w:t>
            </w:r>
          </w:p>
        </w:tc>
        <w:tc>
          <w:tcPr>
            <w:tcW w:w="1063" w:type="pct"/>
            <w:shd w:val="clear" w:color="auto" w:fill="auto"/>
            <w:vAlign w:val="center"/>
          </w:tcPr>
          <w:p>
            <w:pPr>
              <w:contextualSpacing/>
              <w:jc w:val="center"/>
              <w:textAlignment w:val="baseline"/>
              <w:rPr>
                <w:color w:val="auto"/>
                <w:kern w:val="0"/>
              </w:rPr>
            </w:pPr>
            <w:r>
              <w:rPr>
                <w:color w:val="auto"/>
                <w:kern w:val="0"/>
              </w:rPr>
              <w:t>监测频次</w:t>
            </w:r>
          </w:p>
        </w:tc>
        <w:tc>
          <w:tcPr>
            <w:tcW w:w="3025" w:type="pct"/>
            <w:vAlign w:val="center"/>
          </w:tcPr>
          <w:p>
            <w:pPr>
              <w:contextualSpacing/>
              <w:jc w:val="center"/>
              <w:textAlignment w:val="baseline"/>
              <w:rPr>
                <w:color w:val="auto"/>
                <w:kern w:val="0"/>
              </w:rPr>
            </w:pPr>
            <w:r>
              <w:rPr>
                <w:color w:val="auto"/>
                <w:kern w:val="0"/>
              </w:rPr>
              <w:t>每年1次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12" w:type="pct"/>
            <w:vAlign w:val="center"/>
          </w:tcPr>
          <w:p>
            <w:pPr>
              <w:contextualSpacing/>
              <w:jc w:val="center"/>
              <w:textAlignment w:val="baseline"/>
              <w:rPr>
                <w:color w:val="auto"/>
                <w:kern w:val="0"/>
              </w:rPr>
            </w:pPr>
            <w:r>
              <w:rPr>
                <w:color w:val="auto"/>
                <w:kern w:val="0"/>
              </w:rPr>
              <w:t>6</w:t>
            </w:r>
          </w:p>
        </w:tc>
        <w:tc>
          <w:tcPr>
            <w:tcW w:w="1063" w:type="pct"/>
            <w:shd w:val="clear" w:color="auto" w:fill="auto"/>
            <w:vAlign w:val="center"/>
          </w:tcPr>
          <w:p>
            <w:pPr>
              <w:contextualSpacing/>
              <w:jc w:val="center"/>
              <w:textAlignment w:val="baseline"/>
              <w:rPr>
                <w:color w:val="auto"/>
                <w:kern w:val="0"/>
              </w:rPr>
            </w:pPr>
            <w:r>
              <w:rPr>
                <w:color w:val="auto"/>
                <w:kern w:val="0"/>
              </w:rPr>
              <w:t>监测因子</w:t>
            </w:r>
          </w:p>
        </w:tc>
        <w:tc>
          <w:tcPr>
            <w:tcW w:w="3025" w:type="pct"/>
            <w:vAlign w:val="center"/>
          </w:tcPr>
          <w:p>
            <w:pPr>
              <w:contextualSpacing/>
              <w:jc w:val="center"/>
              <w:textAlignment w:val="baseline"/>
              <w:rPr>
                <w:color w:val="auto"/>
                <w:kern w:val="0"/>
              </w:rPr>
            </w:pPr>
            <w:r>
              <w:rPr>
                <w:color w:val="auto"/>
                <w:kern w:val="0"/>
              </w:rPr>
              <w:t>耗氧量、氨氮、总镍、总锌、铬（六价铬）</w:t>
            </w:r>
          </w:p>
        </w:tc>
      </w:tr>
      <w:bookmarkEnd w:id="344"/>
      <w:bookmarkEnd w:id="345"/>
      <w:bookmarkEnd w:id="346"/>
      <w:bookmarkEnd w:id="347"/>
      <w:bookmarkEnd w:id="348"/>
    </w:tbl>
    <w:p>
      <w:pPr>
        <w:rPr>
          <w:color w:val="auto"/>
        </w:rPr>
      </w:pPr>
      <w:bookmarkStart w:id="349" w:name="_Toc58828281"/>
      <w:bookmarkStart w:id="350" w:name="_Toc324839327"/>
      <w:bookmarkStart w:id="351" w:name="_Toc311812651"/>
      <w:bookmarkStart w:id="352" w:name="_Toc324839624"/>
    </w:p>
    <w:p>
      <w:pPr>
        <w:pStyle w:val="5"/>
        <w:pageBreakBefore w:val="0"/>
        <w:widowControl/>
        <w:kinsoku/>
        <w:wordWrap/>
        <w:overflowPunct/>
        <w:topLinePunct w:val="0"/>
        <w:autoSpaceDE/>
        <w:autoSpaceDN/>
        <w:bidi w:val="0"/>
        <w:adjustRightInd w:val="0"/>
        <w:spacing w:before="0" w:beforeLines="0" w:after="0" w:afterLines="0" w:line="360" w:lineRule="auto"/>
        <w:rPr>
          <w:bCs w:val="0"/>
          <w:color w:val="auto"/>
          <w:kern w:val="21"/>
          <w:sz w:val="28"/>
          <w:szCs w:val="28"/>
        </w:rPr>
      </w:pPr>
      <w:r>
        <w:rPr>
          <w:bCs w:val="0"/>
          <w:color w:val="auto"/>
          <w:kern w:val="21"/>
          <w:sz w:val="28"/>
          <w:szCs w:val="28"/>
        </w:rPr>
        <w:t>5.5.8地下水评价结论</w:t>
      </w:r>
    </w:p>
    <w:p>
      <w:pPr>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r>
        <w:rPr>
          <w:color w:val="auto"/>
          <w:kern w:val="0"/>
          <w:sz w:val="24"/>
          <w:szCs w:val="20"/>
        </w:rPr>
        <w:t>（1）正常工况</w:t>
      </w:r>
    </w:p>
    <w:p>
      <w:pPr>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正常情况下，项目建设均按照GB16889、GB18597、GB18598、GB18599、GB/T50934的要求进行了地下水分区防渗，正常工况下污水不会渗漏进入地下造成污染。</w:t>
      </w:r>
    </w:p>
    <w:p>
      <w:pPr>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r>
        <w:rPr>
          <w:color w:val="auto"/>
          <w:kern w:val="0"/>
          <w:sz w:val="24"/>
          <w:szCs w:val="20"/>
        </w:rPr>
        <w:t>（2）非正常工况</w:t>
      </w:r>
    </w:p>
    <w:p>
      <w:pPr>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综合分析，在非正常工况下，该工程对厂址周围的地下水环境有一定的影响。但从泄漏概率、地面破损概率综合考虑，</w:t>
      </w:r>
      <w:r>
        <w:rPr>
          <w:rFonts w:hint="eastAsia"/>
          <w:color w:val="auto"/>
          <w:kern w:val="0"/>
          <w:sz w:val="24"/>
          <w:szCs w:val="20"/>
          <w:lang w:eastAsia="zh-CN"/>
        </w:rPr>
        <w:t>污水处理站事故</w:t>
      </w:r>
      <w:r>
        <w:rPr>
          <w:color w:val="auto"/>
          <w:kern w:val="0"/>
          <w:sz w:val="24"/>
          <w:szCs w:val="20"/>
        </w:rPr>
        <w:t>池渗入地下是概率很小的事件，企业按照本次评价要求的预防措施和应急处理措施后，对地下水环境的影响可接受。</w:t>
      </w:r>
    </w:p>
    <w:p>
      <w:pPr>
        <w:pStyle w:val="5"/>
        <w:pageBreakBefore w:val="0"/>
        <w:widowControl/>
        <w:kinsoku/>
        <w:wordWrap/>
        <w:overflowPunct/>
        <w:topLinePunct w:val="0"/>
        <w:autoSpaceDE/>
        <w:autoSpaceDN/>
        <w:bidi w:val="0"/>
        <w:spacing w:before="0" w:beforeLines="0" w:after="0" w:afterLines="0" w:line="360" w:lineRule="auto"/>
        <w:rPr>
          <w:bCs w:val="0"/>
          <w:color w:val="auto"/>
          <w:kern w:val="21"/>
          <w:sz w:val="28"/>
          <w:szCs w:val="28"/>
        </w:rPr>
      </w:pPr>
      <w:r>
        <w:rPr>
          <w:bCs w:val="0"/>
          <w:color w:val="auto"/>
          <w:kern w:val="21"/>
          <w:sz w:val="28"/>
          <w:szCs w:val="28"/>
        </w:rPr>
        <w:t>5.5.9建议</w:t>
      </w:r>
    </w:p>
    <w:p>
      <w:pPr>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r>
        <w:rPr>
          <w:color w:val="auto"/>
          <w:kern w:val="0"/>
          <w:sz w:val="24"/>
          <w:szCs w:val="20"/>
        </w:rPr>
        <w:t>（1）地下水污染具有不易发现和一旦污染很难治理的特点，因此，防止地下水污染应遵循源头控制、防止渗漏、污染监测及事故应急处理的主动及被动防渗相结合的原则。</w:t>
      </w:r>
    </w:p>
    <w:p>
      <w:pPr>
        <w:pageBreakBefore w:val="0"/>
        <w:widowControl/>
        <w:kinsoku/>
        <w:wordWrap/>
        <w:overflowPunct/>
        <w:topLinePunct w:val="0"/>
        <w:autoSpaceDE/>
        <w:autoSpaceDN/>
        <w:bidi w:val="0"/>
        <w:adjustRightInd w:val="0"/>
        <w:snapToGrid w:val="0"/>
        <w:spacing w:line="360" w:lineRule="auto"/>
        <w:textAlignment w:val="baseline"/>
        <w:rPr>
          <w:color w:val="auto"/>
          <w:kern w:val="0"/>
          <w:sz w:val="24"/>
          <w:szCs w:val="20"/>
        </w:rPr>
      </w:pPr>
      <w:r>
        <w:rPr>
          <w:color w:val="auto"/>
          <w:kern w:val="0"/>
          <w:sz w:val="24"/>
          <w:szCs w:val="20"/>
        </w:rPr>
        <w:t>（2）项目建成后，应加强对厂址浅层地下水的动态监测工作，以实时掌握项目排放污染物对浅层地下水水质的影响。</w:t>
      </w:r>
    </w:p>
    <w:p>
      <w:pPr>
        <w:pageBreakBefore w:val="0"/>
        <w:widowControl/>
        <w:kinsoku/>
        <w:wordWrap/>
        <w:overflowPunct/>
        <w:topLinePunct w:val="0"/>
        <w:autoSpaceDE/>
        <w:autoSpaceDN/>
        <w:bidi w:val="0"/>
        <w:spacing w:line="360" w:lineRule="auto"/>
        <w:rPr>
          <w:color w:val="auto"/>
        </w:rPr>
      </w:pPr>
    </w:p>
    <w:p>
      <w:pPr>
        <w:pStyle w:val="4"/>
        <w:spacing w:before="120" w:after="120"/>
        <w:rPr>
          <w:color w:val="auto"/>
        </w:rPr>
      </w:pPr>
      <w:bookmarkStart w:id="353" w:name="_Toc112338953"/>
      <w:r>
        <w:rPr>
          <w:color w:val="auto"/>
        </w:rPr>
        <w:t>5.6土壤环境影响预测</w:t>
      </w:r>
      <w:bookmarkEnd w:id="349"/>
      <w:r>
        <w:rPr>
          <w:color w:val="auto"/>
        </w:rPr>
        <w:t>与分析</w:t>
      </w:r>
      <w:bookmarkEnd w:id="353"/>
    </w:p>
    <w:p>
      <w:pPr>
        <w:pStyle w:val="5"/>
        <w:spacing w:before="0" w:beforeLines="0" w:after="0" w:afterLines="0"/>
        <w:rPr>
          <w:bCs w:val="0"/>
          <w:color w:val="auto"/>
          <w:kern w:val="21"/>
          <w:sz w:val="28"/>
          <w:szCs w:val="28"/>
        </w:rPr>
      </w:pPr>
      <w:r>
        <w:rPr>
          <w:bCs w:val="0"/>
          <w:color w:val="auto"/>
          <w:kern w:val="21"/>
          <w:sz w:val="28"/>
          <w:szCs w:val="28"/>
        </w:rPr>
        <w:t>5.6.1评价工作等级</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本项目为污染影响型项目，根据《环境影响评价技术导则 土壤环境（试行）》（HJ964-2018），首先识别建设项目所属行业的土壤环境影响评价项目类别，再根据建设项目占地规模和周边土壤环境敏感程度划分土壤评价等级。</w:t>
      </w:r>
    </w:p>
    <w:p>
      <w:pPr>
        <w:pStyle w:val="6"/>
        <w:spacing w:before="120" w:beforeLines="50" w:after="0" w:line="360" w:lineRule="auto"/>
        <w:rPr>
          <w:b w:val="0"/>
          <w:color w:val="auto"/>
          <w:sz w:val="24"/>
          <w:szCs w:val="24"/>
        </w:rPr>
      </w:pPr>
      <w:r>
        <w:rPr>
          <w:b w:val="0"/>
          <w:color w:val="auto"/>
          <w:sz w:val="24"/>
          <w:szCs w:val="24"/>
        </w:rPr>
        <w:t>5.6.1.1土壤环境影响项目类别</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本项目属于锂电池制造项目，有电镀工艺，依据《环境影响评价技术导则 土壤环境（试行）》（HJ964-2018）附录A土壤环境影响评级按项目类别表，本项目属于</w:t>
      </w:r>
      <w:r>
        <w:rPr>
          <w:color w:val="auto"/>
          <w:kern w:val="0"/>
          <w:sz w:val="24"/>
          <w:szCs w:val="20"/>
        </w:rPr>
        <w:fldChar w:fldCharType="begin"/>
      </w:r>
      <w:r>
        <w:rPr>
          <w:color w:val="auto"/>
          <w:kern w:val="0"/>
          <w:sz w:val="24"/>
          <w:szCs w:val="20"/>
        </w:rPr>
        <w:instrText xml:space="preserve"> = 1 \* ROMAN </w:instrText>
      </w:r>
      <w:r>
        <w:rPr>
          <w:color w:val="auto"/>
          <w:kern w:val="0"/>
          <w:sz w:val="24"/>
          <w:szCs w:val="20"/>
        </w:rPr>
        <w:fldChar w:fldCharType="separate"/>
      </w:r>
      <w:r>
        <w:rPr>
          <w:color w:val="auto"/>
          <w:kern w:val="0"/>
          <w:sz w:val="24"/>
          <w:szCs w:val="20"/>
        </w:rPr>
        <w:t>I</w:t>
      </w:r>
      <w:r>
        <w:rPr>
          <w:color w:val="auto"/>
          <w:kern w:val="0"/>
          <w:sz w:val="24"/>
          <w:szCs w:val="20"/>
        </w:rPr>
        <w:fldChar w:fldCharType="end"/>
      </w:r>
      <w:r>
        <w:rPr>
          <w:color w:val="auto"/>
          <w:kern w:val="0"/>
          <w:sz w:val="24"/>
          <w:szCs w:val="20"/>
        </w:rPr>
        <w:t>类项目。</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表5.6-1     土壤环境影响评价项目类别</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02"/>
        <w:gridCol w:w="1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color w:val="auto"/>
                <w:kern w:val="0"/>
              </w:rPr>
            </w:pPr>
            <w:r>
              <w:rPr>
                <w:b/>
                <w:color w:val="auto"/>
                <w:kern w:val="0"/>
              </w:rPr>
              <w:t>行业类别</w:t>
            </w:r>
          </w:p>
        </w:tc>
        <w:tc>
          <w:tcPr>
            <w:tcW w:w="77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color w:val="auto"/>
                <w:kern w:val="0"/>
              </w:rPr>
            </w:pPr>
            <w:r>
              <w:rPr>
                <w:b/>
                <w:color w:val="auto"/>
                <w:kern w:val="0"/>
              </w:rPr>
              <w:t>项目类别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22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设备制造、金属制品、汽车制造及其他用品制造</w:t>
            </w:r>
          </w:p>
        </w:tc>
        <w:tc>
          <w:tcPr>
            <w:tcW w:w="778"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4"/>
                <w:szCs w:val="20"/>
              </w:rPr>
            </w:pPr>
            <w:r>
              <w:rPr>
                <w:color w:val="auto"/>
                <w:kern w:val="0"/>
                <w:sz w:val="24"/>
                <w:szCs w:val="20"/>
              </w:rPr>
              <w:fldChar w:fldCharType="begin"/>
            </w:r>
            <w:r>
              <w:rPr>
                <w:color w:val="auto"/>
                <w:kern w:val="0"/>
                <w:sz w:val="24"/>
                <w:szCs w:val="20"/>
              </w:rPr>
              <w:instrText xml:space="preserve"> = 1 \* ROMAN </w:instrText>
            </w:r>
            <w:r>
              <w:rPr>
                <w:color w:val="auto"/>
                <w:kern w:val="0"/>
                <w:sz w:val="24"/>
                <w:szCs w:val="20"/>
              </w:rPr>
              <w:fldChar w:fldCharType="separate"/>
            </w:r>
            <w:r>
              <w:rPr>
                <w:color w:val="auto"/>
                <w:kern w:val="0"/>
                <w:sz w:val="24"/>
                <w:szCs w:val="20"/>
              </w:rPr>
              <w:t>I</w:t>
            </w:r>
            <w:r>
              <w:rPr>
                <w:color w:val="auto"/>
                <w:kern w:val="0"/>
                <w:sz w:val="24"/>
                <w:szCs w:val="20"/>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2"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有电镀工艺的；金属制品表面处理及热处理加工的；使用有机涂层的（喷粉、喷塑和电泳除外）；有钝化工艺的热镀锌</w:t>
            </w:r>
          </w:p>
        </w:tc>
        <w:tc>
          <w:tcPr>
            <w:tcW w:w="778"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4"/>
                <w:szCs w:val="20"/>
              </w:rPr>
            </w:pPr>
          </w:p>
        </w:tc>
      </w:tr>
    </w:tbl>
    <w:p>
      <w:pPr>
        <w:pStyle w:val="6"/>
        <w:spacing w:before="120" w:beforeLines="50" w:after="0" w:line="360" w:lineRule="auto"/>
        <w:rPr>
          <w:b w:val="0"/>
          <w:color w:val="auto"/>
          <w:sz w:val="24"/>
          <w:szCs w:val="24"/>
        </w:rPr>
      </w:pPr>
      <w:r>
        <w:rPr>
          <w:b w:val="0"/>
          <w:color w:val="auto"/>
          <w:sz w:val="24"/>
          <w:szCs w:val="24"/>
        </w:rPr>
        <w:t>5.6.1.2占地规模</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本项目租用河南奔茨新能源有限公司现有闲置厂房进行建设，占地面积约28000m</w:t>
      </w:r>
      <w:r>
        <w:rPr>
          <w:color w:val="auto"/>
          <w:kern w:val="0"/>
          <w:sz w:val="24"/>
          <w:szCs w:val="20"/>
          <w:vertAlign w:val="superscript"/>
        </w:rPr>
        <w:t>2</w:t>
      </w:r>
      <w:r>
        <w:rPr>
          <w:color w:val="auto"/>
          <w:kern w:val="0"/>
          <w:sz w:val="24"/>
          <w:szCs w:val="20"/>
        </w:rPr>
        <w:t>（折合2.8hm</w:t>
      </w:r>
      <w:r>
        <w:rPr>
          <w:color w:val="auto"/>
          <w:kern w:val="0"/>
          <w:sz w:val="24"/>
          <w:szCs w:val="20"/>
          <w:vertAlign w:val="superscript"/>
        </w:rPr>
        <w:t>2</w:t>
      </w:r>
      <w:r>
        <w:rPr>
          <w:color w:val="auto"/>
          <w:kern w:val="0"/>
          <w:sz w:val="24"/>
          <w:szCs w:val="20"/>
        </w:rPr>
        <w:t>），小于5hm</w:t>
      </w:r>
      <w:r>
        <w:rPr>
          <w:color w:val="auto"/>
          <w:kern w:val="0"/>
          <w:sz w:val="24"/>
          <w:szCs w:val="20"/>
          <w:vertAlign w:val="superscript"/>
        </w:rPr>
        <w:t>2</w:t>
      </w:r>
      <w:r>
        <w:rPr>
          <w:color w:val="auto"/>
          <w:kern w:val="0"/>
          <w:sz w:val="24"/>
          <w:szCs w:val="20"/>
        </w:rPr>
        <w:t>，属于小型建设项目。项目占地规模划分表依据见表5.6-2。</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表5.6-2    项目占地规模划分一览表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2844"/>
        <w:gridCol w:w="2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166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bCs/>
                <w:color w:val="auto"/>
                <w:kern w:val="0"/>
                <w:sz w:val="24"/>
                <w:szCs w:val="20"/>
              </w:rPr>
            </w:pPr>
            <w:r>
              <w:rPr>
                <w:b/>
                <w:bCs/>
                <w:color w:val="auto"/>
                <w:kern w:val="0"/>
                <w:sz w:val="24"/>
                <w:szCs w:val="20"/>
              </w:rPr>
              <w:t>大型</w:t>
            </w:r>
          </w:p>
        </w:tc>
        <w:tc>
          <w:tcPr>
            <w:tcW w:w="166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bCs/>
                <w:color w:val="auto"/>
                <w:kern w:val="0"/>
                <w:sz w:val="24"/>
                <w:szCs w:val="20"/>
              </w:rPr>
            </w:pPr>
            <w:r>
              <w:rPr>
                <w:b/>
                <w:bCs/>
                <w:color w:val="auto"/>
                <w:kern w:val="0"/>
                <w:sz w:val="24"/>
                <w:szCs w:val="20"/>
              </w:rPr>
              <w:t>中型</w:t>
            </w:r>
          </w:p>
        </w:tc>
        <w:tc>
          <w:tcPr>
            <w:tcW w:w="166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bCs/>
                <w:color w:val="auto"/>
                <w:kern w:val="0"/>
                <w:sz w:val="24"/>
                <w:szCs w:val="20"/>
              </w:rPr>
            </w:pPr>
            <w:r>
              <w:rPr>
                <w:b/>
                <w:bCs/>
                <w:color w:val="auto"/>
                <w:kern w:val="0"/>
                <w:sz w:val="24"/>
                <w:szCs w:val="20"/>
              </w:rPr>
              <w:t>小型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166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4"/>
                <w:szCs w:val="20"/>
              </w:rPr>
            </w:pPr>
            <w:r>
              <w:rPr>
                <w:color w:val="auto"/>
                <w:kern w:val="0"/>
                <w:sz w:val="24"/>
                <w:szCs w:val="20"/>
              </w:rPr>
              <w:t>≥50hm</w:t>
            </w:r>
            <w:r>
              <w:rPr>
                <w:color w:val="auto"/>
                <w:kern w:val="0"/>
                <w:sz w:val="24"/>
                <w:szCs w:val="20"/>
                <w:vertAlign w:val="superscript"/>
              </w:rPr>
              <w:t>2</w:t>
            </w:r>
          </w:p>
        </w:tc>
        <w:tc>
          <w:tcPr>
            <w:tcW w:w="166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4"/>
                <w:szCs w:val="20"/>
              </w:rPr>
            </w:pPr>
            <w:r>
              <w:rPr>
                <w:color w:val="auto"/>
                <w:kern w:val="0"/>
                <w:sz w:val="24"/>
                <w:szCs w:val="20"/>
              </w:rPr>
              <w:t>5hm</w:t>
            </w:r>
            <w:r>
              <w:rPr>
                <w:color w:val="auto"/>
                <w:kern w:val="0"/>
                <w:sz w:val="24"/>
                <w:szCs w:val="20"/>
                <w:vertAlign w:val="superscript"/>
              </w:rPr>
              <w:t>2</w:t>
            </w:r>
            <w:r>
              <w:rPr>
                <w:color w:val="auto"/>
                <w:kern w:val="0"/>
                <w:sz w:val="24"/>
                <w:szCs w:val="20"/>
              </w:rPr>
              <w:t>～5hm</w:t>
            </w:r>
            <w:r>
              <w:rPr>
                <w:color w:val="auto"/>
                <w:kern w:val="0"/>
                <w:sz w:val="24"/>
                <w:szCs w:val="20"/>
                <w:vertAlign w:val="superscript"/>
              </w:rPr>
              <w:t>2</w:t>
            </w:r>
          </w:p>
        </w:tc>
        <w:tc>
          <w:tcPr>
            <w:tcW w:w="1667"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4"/>
                <w:szCs w:val="20"/>
              </w:rPr>
            </w:pPr>
            <w:r>
              <w:rPr>
                <w:color w:val="auto"/>
                <w:kern w:val="0"/>
                <w:sz w:val="24"/>
                <w:szCs w:val="20"/>
              </w:rPr>
              <w:t>≤5hm</w:t>
            </w:r>
            <w:r>
              <w:rPr>
                <w:color w:val="auto"/>
                <w:kern w:val="0"/>
                <w:sz w:val="24"/>
                <w:szCs w:val="20"/>
                <w:vertAlign w:val="superscript"/>
              </w:rPr>
              <w:t>2</w:t>
            </w:r>
          </w:p>
        </w:tc>
      </w:tr>
    </w:tbl>
    <w:p>
      <w:pPr>
        <w:pStyle w:val="6"/>
        <w:spacing w:before="120" w:beforeLines="50" w:after="0" w:line="360" w:lineRule="auto"/>
        <w:rPr>
          <w:b w:val="0"/>
          <w:color w:val="auto"/>
          <w:sz w:val="24"/>
          <w:szCs w:val="24"/>
        </w:rPr>
      </w:pPr>
      <w:r>
        <w:rPr>
          <w:b w:val="0"/>
          <w:color w:val="auto"/>
          <w:sz w:val="24"/>
          <w:szCs w:val="24"/>
        </w:rPr>
        <w:t>5.6.1.3周边土壤敏感程度</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建设项目所在地周边土壤环境敏感程度分为敏感、较敏感、不敏感三级，分级原则见表5.6-3。</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表5.6-3   污染影响型敏感程度分级表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7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729" w:type="pct"/>
            <w:shd w:val="clear" w:color="auto" w:fill="auto"/>
            <w:vAlign w:val="center"/>
          </w:tcPr>
          <w:p>
            <w:pPr>
              <w:widowControl w:val="0"/>
              <w:adjustRightInd w:val="0"/>
              <w:snapToGrid w:val="0"/>
              <w:jc w:val="center"/>
              <w:textAlignment w:val="baseline"/>
              <w:rPr>
                <w:b/>
                <w:color w:val="auto"/>
                <w:kern w:val="0"/>
              </w:rPr>
            </w:pPr>
            <w:r>
              <w:rPr>
                <w:b/>
                <w:color w:val="auto"/>
                <w:kern w:val="0"/>
              </w:rPr>
              <w:t>敏感程度</w:t>
            </w:r>
          </w:p>
        </w:tc>
        <w:tc>
          <w:tcPr>
            <w:tcW w:w="4271" w:type="pct"/>
            <w:shd w:val="clear" w:color="auto" w:fill="auto"/>
            <w:vAlign w:val="center"/>
          </w:tcPr>
          <w:p>
            <w:pPr>
              <w:widowControl w:val="0"/>
              <w:adjustRightInd w:val="0"/>
              <w:snapToGrid w:val="0"/>
              <w:jc w:val="center"/>
              <w:textAlignment w:val="baseline"/>
              <w:rPr>
                <w:b/>
                <w:color w:val="auto"/>
                <w:kern w:val="0"/>
              </w:rPr>
            </w:pPr>
            <w:r>
              <w:rPr>
                <w:b/>
                <w:color w:val="auto"/>
                <w:kern w:val="0"/>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shd w:val="clear" w:color="auto" w:fill="auto"/>
            <w:vAlign w:val="center"/>
          </w:tcPr>
          <w:p>
            <w:pPr>
              <w:widowControl w:val="0"/>
              <w:adjustRightInd w:val="0"/>
              <w:snapToGrid w:val="0"/>
              <w:jc w:val="center"/>
              <w:textAlignment w:val="baseline"/>
              <w:rPr>
                <w:color w:val="auto"/>
                <w:kern w:val="0"/>
              </w:rPr>
            </w:pPr>
            <w:r>
              <w:rPr>
                <w:color w:val="auto"/>
                <w:kern w:val="0"/>
              </w:rPr>
              <w:t>敏感</w:t>
            </w:r>
          </w:p>
        </w:tc>
        <w:tc>
          <w:tcPr>
            <w:tcW w:w="4271" w:type="pct"/>
            <w:shd w:val="clear" w:color="auto" w:fill="auto"/>
            <w:vAlign w:val="center"/>
          </w:tcPr>
          <w:p>
            <w:pPr>
              <w:widowControl w:val="0"/>
              <w:adjustRightInd w:val="0"/>
              <w:snapToGrid w:val="0"/>
              <w:textAlignment w:val="baseline"/>
              <w:rPr>
                <w:color w:val="auto"/>
                <w:kern w:val="0"/>
              </w:rPr>
            </w:pPr>
            <w:r>
              <w:rPr>
                <w:color w:val="auto"/>
                <w:kern w:val="0"/>
              </w:rPr>
              <w:t>建设项目周边存在耕地、园地、牧草地、饮用水水源或居民区、学校、医院、疗养院、养老院等土壤环境敏感目标的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29" w:type="pct"/>
            <w:shd w:val="clear" w:color="auto" w:fill="auto"/>
            <w:vAlign w:val="center"/>
          </w:tcPr>
          <w:p>
            <w:pPr>
              <w:widowControl w:val="0"/>
              <w:adjustRightInd w:val="0"/>
              <w:snapToGrid w:val="0"/>
              <w:jc w:val="center"/>
              <w:textAlignment w:val="baseline"/>
              <w:rPr>
                <w:color w:val="auto"/>
                <w:kern w:val="0"/>
              </w:rPr>
            </w:pPr>
            <w:r>
              <w:rPr>
                <w:color w:val="auto"/>
                <w:kern w:val="0"/>
              </w:rPr>
              <w:t>较敏感</w:t>
            </w:r>
          </w:p>
        </w:tc>
        <w:tc>
          <w:tcPr>
            <w:tcW w:w="4271" w:type="pct"/>
            <w:shd w:val="clear" w:color="auto" w:fill="auto"/>
            <w:vAlign w:val="center"/>
          </w:tcPr>
          <w:p>
            <w:pPr>
              <w:widowControl w:val="0"/>
              <w:adjustRightInd w:val="0"/>
              <w:snapToGrid w:val="0"/>
              <w:textAlignment w:val="baseline"/>
              <w:rPr>
                <w:color w:val="auto"/>
                <w:kern w:val="0"/>
              </w:rPr>
            </w:pPr>
            <w:r>
              <w:rPr>
                <w:color w:val="auto"/>
                <w:kern w:val="0"/>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729" w:type="pct"/>
            <w:shd w:val="clear" w:color="auto" w:fill="auto"/>
            <w:vAlign w:val="center"/>
          </w:tcPr>
          <w:p>
            <w:pPr>
              <w:widowControl w:val="0"/>
              <w:adjustRightInd w:val="0"/>
              <w:snapToGrid w:val="0"/>
              <w:jc w:val="center"/>
              <w:textAlignment w:val="baseline"/>
              <w:rPr>
                <w:color w:val="auto"/>
                <w:kern w:val="0"/>
              </w:rPr>
            </w:pPr>
            <w:r>
              <w:rPr>
                <w:color w:val="auto"/>
                <w:kern w:val="0"/>
              </w:rPr>
              <w:t>不敏感</w:t>
            </w:r>
          </w:p>
        </w:tc>
        <w:tc>
          <w:tcPr>
            <w:tcW w:w="4271" w:type="pct"/>
            <w:shd w:val="clear" w:color="auto" w:fill="auto"/>
            <w:vAlign w:val="center"/>
          </w:tcPr>
          <w:p>
            <w:pPr>
              <w:widowControl w:val="0"/>
              <w:adjustRightInd w:val="0"/>
              <w:snapToGrid w:val="0"/>
              <w:textAlignment w:val="baseline"/>
              <w:rPr>
                <w:color w:val="auto"/>
                <w:kern w:val="0"/>
              </w:rPr>
            </w:pPr>
            <w:r>
              <w:rPr>
                <w:color w:val="auto"/>
                <w:kern w:val="0"/>
              </w:rPr>
              <w:t>其他情况</w:t>
            </w:r>
          </w:p>
        </w:tc>
      </w:tr>
    </w:tbl>
    <w:p>
      <w:pPr>
        <w:adjustRightInd w:val="0"/>
        <w:snapToGrid w:val="0"/>
        <w:spacing w:before="120" w:beforeLines="50" w:line="360" w:lineRule="auto"/>
        <w:ind w:firstLine="480" w:firstLineChars="200"/>
        <w:textAlignment w:val="baseline"/>
        <w:rPr>
          <w:color w:val="auto"/>
          <w:kern w:val="0"/>
          <w:sz w:val="24"/>
          <w:szCs w:val="20"/>
        </w:rPr>
      </w:pPr>
      <w:r>
        <w:rPr>
          <w:color w:val="auto"/>
          <w:kern w:val="0"/>
          <w:sz w:val="24"/>
          <w:szCs w:val="20"/>
        </w:rPr>
        <w:t>本项目位于获嘉县产业集聚区北区城东片区，租用河南奔茨新能源有限公司闲置厂房进行建设，根据《获嘉县产业集聚区总体发展规划图》项目占地类型为工业用地，且周边土地用途也均为工业用地，故项目</w:t>
      </w:r>
      <w:r>
        <w:rPr>
          <w:rFonts w:hint="eastAsia"/>
          <w:color w:val="auto"/>
          <w:kern w:val="0"/>
          <w:sz w:val="24"/>
          <w:szCs w:val="20"/>
          <w:lang w:eastAsia="zh-CN"/>
        </w:rPr>
        <w:t>周边</w:t>
      </w:r>
      <w:r>
        <w:rPr>
          <w:color w:val="auto"/>
          <w:kern w:val="0"/>
          <w:sz w:val="24"/>
          <w:szCs w:val="20"/>
        </w:rPr>
        <w:t>土壤环境敏感程度为</w:t>
      </w:r>
      <w:r>
        <w:rPr>
          <w:rFonts w:hint="eastAsia"/>
          <w:color w:val="auto"/>
          <w:kern w:val="0"/>
          <w:sz w:val="24"/>
          <w:szCs w:val="20"/>
        </w:rPr>
        <w:t>“不</w:t>
      </w:r>
      <w:r>
        <w:rPr>
          <w:color w:val="auto"/>
          <w:kern w:val="0"/>
          <w:sz w:val="24"/>
          <w:szCs w:val="20"/>
        </w:rPr>
        <w:t>敏感</w:t>
      </w:r>
      <w:r>
        <w:rPr>
          <w:rFonts w:hint="eastAsia"/>
          <w:color w:val="auto"/>
          <w:kern w:val="0"/>
          <w:sz w:val="24"/>
          <w:szCs w:val="20"/>
        </w:rPr>
        <w:t>”</w:t>
      </w:r>
      <w:r>
        <w:rPr>
          <w:color w:val="auto"/>
          <w:kern w:val="0"/>
          <w:sz w:val="24"/>
          <w:szCs w:val="20"/>
        </w:rPr>
        <w:t>。</w:t>
      </w:r>
    </w:p>
    <w:p>
      <w:pPr>
        <w:pStyle w:val="6"/>
        <w:spacing w:before="120" w:beforeLines="50" w:after="0" w:line="360" w:lineRule="auto"/>
        <w:rPr>
          <w:b w:val="0"/>
          <w:color w:val="auto"/>
          <w:sz w:val="24"/>
          <w:szCs w:val="24"/>
        </w:rPr>
      </w:pPr>
      <w:r>
        <w:rPr>
          <w:b w:val="0"/>
          <w:color w:val="auto"/>
          <w:sz w:val="24"/>
          <w:szCs w:val="24"/>
        </w:rPr>
        <w:t>5.6.1.4评价等级判定</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根据土壤环境影响评价项目类别、占地规模及敏感程度划分评价工作等级，详见表5.6-4。</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表5.6-4   项目地下水环境影响评价工作等级分级表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951"/>
        <w:gridCol w:w="851"/>
        <w:gridCol w:w="704"/>
        <w:gridCol w:w="708"/>
        <w:gridCol w:w="710"/>
        <w:gridCol w:w="710"/>
        <w:gridCol w:w="711"/>
        <w:gridCol w:w="710"/>
        <w:gridCol w:w="706"/>
        <w:gridCol w:w="76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Merge w:val="restart"/>
            <w:shd w:val="clear" w:color="auto" w:fill="auto"/>
            <w:vAlign w:val="center"/>
          </w:tcPr>
          <w:p>
            <w:pPr>
              <w:jc w:val="center"/>
              <w:rPr>
                <w:b/>
                <w:color w:val="auto"/>
                <w:szCs w:val="20"/>
              </w:rPr>
            </w:pPr>
            <w:r>
              <w:rPr>
                <w:color w:val="auto"/>
              </w:rPr>
              <mc:AlternateContent>
                <mc:Choice Requires="wps">
                  <w:drawing>
                    <wp:anchor distT="0" distB="0" distL="114300" distR="114300" simplePos="0" relativeHeight="251732992" behindDoc="0" locked="0" layoutInCell="1" allowOverlap="1">
                      <wp:simplePos x="0" y="0"/>
                      <wp:positionH relativeFrom="column">
                        <wp:posOffset>354965</wp:posOffset>
                      </wp:positionH>
                      <wp:positionV relativeFrom="paragraph">
                        <wp:posOffset>3175</wp:posOffset>
                      </wp:positionV>
                      <wp:extent cx="831215" cy="633095"/>
                      <wp:effectExtent l="3175" t="3810" r="3810" b="10795"/>
                      <wp:wrapNone/>
                      <wp:docPr id="138" name="直接箭头连接符 112"/>
                      <wp:cNvGraphicFramePr/>
                      <a:graphic xmlns:a="http://schemas.openxmlformats.org/drawingml/2006/main">
                        <a:graphicData uri="http://schemas.microsoft.com/office/word/2010/wordprocessingShape">
                          <wps:wsp>
                            <wps:cNvCnPr>
                              <a:cxnSpLocks noChangeShapeType="1"/>
                            </wps:cNvCnPr>
                            <wps:spPr bwMode="auto">
                              <a:xfrm>
                                <a:off x="0" y="0"/>
                                <a:ext cx="831215" cy="633095"/>
                              </a:xfrm>
                              <a:prstGeom prst="straightConnector1">
                                <a:avLst/>
                              </a:prstGeom>
                              <a:noFill/>
                              <a:ln w="6350">
                                <a:solidFill>
                                  <a:srgbClr val="000000"/>
                                </a:solidFill>
                                <a:round/>
                              </a:ln>
                            </wps:spPr>
                            <wps:bodyPr/>
                          </wps:wsp>
                        </a:graphicData>
                      </a:graphic>
                    </wp:anchor>
                  </w:drawing>
                </mc:Choice>
                <mc:Fallback>
                  <w:pict>
                    <v:shape id="直接箭头连接符 112" o:spid="_x0000_s1026" o:spt="32" type="#_x0000_t32" style="position:absolute;left:0pt;margin-left:27.95pt;margin-top:0.25pt;height:49.85pt;width:65.45pt;z-index:251732992;mso-width-relative:page;mso-height-relative:page;" filled="f" stroked="t" coordsize="21600,21600" o:gfxdata="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jSYhw1QAAAAcBAAAPAAAAAAAAAAEAIAAAACIAAABkcnMvZG93bnJldi54bWxQ&#10;SwECFAAUAAAACACHTuJA2FUNi/oBAADGAwAADgAAAAAAAAABACAAAAAkAQAAZHJzL2Uyb0RvYy54&#10;bWxQSwUGAAAAAAYABgBZAQAAkAUAAAAA&#10;">
                      <v:fill on="f" focussize="0,0"/>
                      <v:stroke weight="0.5pt" color="#000000" joinstyle="round"/>
                      <v:imagedata o:title=""/>
                      <o:lock v:ext="edit" aspectratio="f"/>
                    </v:shape>
                  </w:pict>
                </mc:Fallback>
              </mc:AlternateContent>
            </w:r>
            <w:r>
              <w:rPr>
                <w:color w:val="auto"/>
              </w:rPr>
              <mc:AlternateContent>
                <mc:Choice Requires="wps">
                  <w:drawing>
                    <wp:anchor distT="0" distB="0" distL="114300" distR="114300" simplePos="0" relativeHeight="251734016" behindDoc="0" locked="0" layoutInCell="1" allowOverlap="1">
                      <wp:simplePos x="0" y="0"/>
                      <wp:positionH relativeFrom="column">
                        <wp:posOffset>-70485</wp:posOffset>
                      </wp:positionH>
                      <wp:positionV relativeFrom="paragraph">
                        <wp:posOffset>321945</wp:posOffset>
                      </wp:positionV>
                      <wp:extent cx="1256665" cy="314960"/>
                      <wp:effectExtent l="1270" t="4445" r="18415" b="23495"/>
                      <wp:wrapNone/>
                      <wp:docPr id="137" name="直接箭头连接符 111"/>
                      <wp:cNvGraphicFramePr/>
                      <a:graphic xmlns:a="http://schemas.openxmlformats.org/drawingml/2006/main">
                        <a:graphicData uri="http://schemas.microsoft.com/office/word/2010/wordprocessingShape">
                          <wps:wsp>
                            <wps:cNvCnPr>
                              <a:cxnSpLocks noChangeShapeType="1"/>
                            </wps:cNvCnPr>
                            <wps:spPr bwMode="auto">
                              <a:xfrm flipH="1" flipV="1">
                                <a:off x="0" y="0"/>
                                <a:ext cx="1256665" cy="314960"/>
                              </a:xfrm>
                              <a:prstGeom prst="straightConnector1">
                                <a:avLst/>
                              </a:prstGeom>
                              <a:noFill/>
                              <a:ln w="6350">
                                <a:solidFill>
                                  <a:srgbClr val="000000"/>
                                </a:solidFill>
                                <a:round/>
                              </a:ln>
                            </wps:spPr>
                            <wps:bodyPr/>
                          </wps:wsp>
                        </a:graphicData>
                      </a:graphic>
                    </wp:anchor>
                  </w:drawing>
                </mc:Choice>
                <mc:Fallback>
                  <w:pict>
                    <v:shape id="直接箭头连接符 111" o:spid="_x0000_s1026" o:spt="32" type="#_x0000_t32" style="position:absolute;left:0pt;flip:x y;margin-left:-5.55pt;margin-top:25.35pt;height:24.8pt;width:98.95pt;z-index:251734016;mso-width-relative:page;mso-height-relative:page;" filled="f" stroked="t" coordsize="21600,21600" o:gfxdata="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5ozCO2AAAAAoBAAAPAAAAAAAAAAEAIAAAACIA&#10;AABkcnMvZG93bnJldi54bWxQSwECFAAUAAAACACHTuJA03sVGwkCAADbAwAADgAAAAAAAAABACAA&#10;AAAnAQAAZHJzL2Uyb0RvYy54bWxQSwUGAAAAAAYABgBZAQAAogUAAAAA&#10;">
                      <v:fill on="f" focussize="0,0"/>
                      <v:stroke weight="0.5pt" color="#000000" joinstyle="round"/>
                      <v:imagedata o:title=""/>
                      <o:lock v:ext="edit" aspectratio="f"/>
                    </v:shape>
                  </w:pict>
                </mc:Fallback>
              </mc:AlternateContent>
            </w:r>
            <w:r>
              <w:rPr>
                <w:color w:val="auto"/>
              </w:rPr>
              <mc:AlternateContent>
                <mc:Choice Requires="wps">
                  <w:drawing>
                    <wp:anchor distT="0" distB="0" distL="114300" distR="114300" simplePos="0" relativeHeight="251735040" behindDoc="0" locked="0" layoutInCell="1" allowOverlap="1">
                      <wp:simplePos x="0" y="0"/>
                      <wp:positionH relativeFrom="column">
                        <wp:posOffset>488950</wp:posOffset>
                      </wp:positionH>
                      <wp:positionV relativeFrom="paragraph">
                        <wp:posOffset>-17780</wp:posOffset>
                      </wp:positionV>
                      <wp:extent cx="775970" cy="262890"/>
                      <wp:effectExtent l="0" t="0" r="0" b="0"/>
                      <wp:wrapNone/>
                      <wp:docPr id="136" name="文本框 110"/>
                      <wp:cNvGraphicFramePr/>
                      <a:graphic xmlns:a="http://schemas.openxmlformats.org/drawingml/2006/main">
                        <a:graphicData uri="http://schemas.microsoft.com/office/word/2010/wordprocessingShape">
                          <wps:wsp>
                            <wps:cNvSpPr txBox="1">
                              <a:spLocks noChangeArrowheads="1"/>
                            </wps:cNvSpPr>
                            <wps:spPr bwMode="auto">
                              <a:xfrm>
                                <a:off x="0" y="0"/>
                                <a:ext cx="775970" cy="262890"/>
                              </a:xfrm>
                              <a:prstGeom prst="rect">
                                <a:avLst/>
                              </a:prstGeom>
                              <a:noFill/>
                              <a:ln>
                                <a:noFill/>
                              </a:ln>
                            </wps:spPr>
                            <wps:txbx>
                              <w:txbxContent>
                                <w:p>
                                  <w:pPr>
                                    <w:pStyle w:val="421"/>
                                    <w:rPr>
                                      <w:b/>
                                    </w:rPr>
                                  </w:pPr>
                                  <w:r>
                                    <w:rPr>
                                      <w:rFonts w:hint="eastAsia"/>
                                      <w:b/>
                                    </w:rPr>
                                    <w:t>占地规模</w:t>
                                  </w:r>
                                </w:p>
                              </w:txbxContent>
                            </wps:txbx>
                            <wps:bodyPr rot="0" vert="horz" wrap="square" lIns="91440" tIns="45720" rIns="91440" bIns="45720" anchor="t" anchorCtr="0" upright="1">
                              <a:noAutofit/>
                            </wps:bodyPr>
                          </wps:wsp>
                        </a:graphicData>
                      </a:graphic>
                    </wp:anchor>
                  </w:drawing>
                </mc:Choice>
                <mc:Fallback>
                  <w:pict>
                    <v:shape id="文本框 110" o:spid="_x0000_s1026" o:spt="202" type="#_x0000_t202" style="position:absolute;left:0pt;margin-left:38.5pt;margin-top:-1.4pt;height:20.7pt;width:61.1pt;z-index:251735040;mso-width-relative:page;mso-height-relative:page;" filled="f" stroked="f" coordsize="21600,21600" o:gfxdata="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8UH01gAAAAgBAAAP&#10;AAAAAAAAAAEAIAAAACIAAABkcnMvZG93bnJldi54bWxQSwECFAAUAAAACACHTuJAdbTdQxoCAAAY&#10;BAAADgAAAAAAAAABACAAAAAlAQAAZHJzL2Uyb0RvYy54bWxQSwUGAAAAAAYABgBZAQAAsQUAAAAA&#10;">
                      <v:fill on="f" focussize="0,0"/>
                      <v:stroke on="f"/>
                      <v:imagedata o:title=""/>
                      <o:lock v:ext="edit" aspectratio="f"/>
                      <v:textbox>
                        <w:txbxContent>
                          <w:p>
                            <w:pPr>
                              <w:pStyle w:val="421"/>
                              <w:rPr>
                                <w:b/>
                              </w:rPr>
                            </w:pPr>
                            <w:r>
                              <w:rPr>
                                <w:rFonts w:hint="eastAsia"/>
                                <w:b/>
                              </w:rPr>
                              <w:t>占地规模</w:t>
                            </w:r>
                          </w:p>
                        </w:txbxContent>
                      </v:textbox>
                    </v:shape>
                  </w:pict>
                </mc:Fallback>
              </mc:AlternateContent>
            </w:r>
            <w:r>
              <w:rPr>
                <w:color w:val="auto"/>
              </w:rPr>
              <mc:AlternateContent>
                <mc:Choice Requires="wps">
                  <w:drawing>
                    <wp:anchor distT="0" distB="0" distL="114300" distR="114300" simplePos="0" relativeHeight="251737088" behindDoc="0" locked="0" layoutInCell="1" allowOverlap="1">
                      <wp:simplePos x="0" y="0"/>
                      <wp:positionH relativeFrom="column">
                        <wp:posOffset>-126365</wp:posOffset>
                      </wp:positionH>
                      <wp:positionV relativeFrom="paragraph">
                        <wp:posOffset>374650</wp:posOffset>
                      </wp:positionV>
                      <wp:extent cx="775970" cy="262890"/>
                      <wp:effectExtent l="0" t="0" r="0" b="0"/>
                      <wp:wrapNone/>
                      <wp:docPr id="135" name="文本框 109"/>
                      <wp:cNvGraphicFramePr/>
                      <a:graphic xmlns:a="http://schemas.openxmlformats.org/drawingml/2006/main">
                        <a:graphicData uri="http://schemas.microsoft.com/office/word/2010/wordprocessingShape">
                          <wps:wsp>
                            <wps:cNvSpPr txBox="1">
                              <a:spLocks noChangeArrowheads="1"/>
                            </wps:cNvSpPr>
                            <wps:spPr bwMode="auto">
                              <a:xfrm>
                                <a:off x="0" y="0"/>
                                <a:ext cx="775970" cy="262890"/>
                              </a:xfrm>
                              <a:prstGeom prst="rect">
                                <a:avLst/>
                              </a:prstGeom>
                              <a:noFill/>
                              <a:ln>
                                <a:noFill/>
                              </a:ln>
                            </wps:spPr>
                            <wps:txbx>
                              <w:txbxContent>
                                <w:p>
                                  <w:pPr>
                                    <w:pStyle w:val="421"/>
                                    <w:rPr>
                                      <w:b/>
                                    </w:rPr>
                                  </w:pPr>
                                  <w:r>
                                    <w:rPr>
                                      <w:rFonts w:hint="eastAsia"/>
                                      <w:b/>
                                    </w:rPr>
                                    <w:t>敏感程度</w:t>
                                  </w:r>
                                </w:p>
                              </w:txbxContent>
                            </wps:txbx>
                            <wps:bodyPr rot="0" vert="horz" wrap="square" lIns="91440" tIns="45720" rIns="91440" bIns="45720" anchor="t" anchorCtr="0" upright="1">
                              <a:noAutofit/>
                            </wps:bodyPr>
                          </wps:wsp>
                        </a:graphicData>
                      </a:graphic>
                    </wp:anchor>
                  </w:drawing>
                </mc:Choice>
                <mc:Fallback>
                  <w:pict>
                    <v:shape id="文本框 109" o:spid="_x0000_s1026" o:spt="202" type="#_x0000_t202" style="position:absolute;left:0pt;margin-left:-9.95pt;margin-top:29.5pt;height:20.7pt;width:61.1pt;z-index:251737088;mso-width-relative:page;mso-height-relative:page;" filled="f" stroked="f" coordsize="21600,21600" o:gfxdata="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cN4ltcAAAAKAQAA&#10;DwAAAAAAAAABACAAAAAiAAAAZHJzL2Rvd25yZXYueG1sUEsBAhQAFAAAAAgAh07iQCk7xTsaAgAA&#10;GAQAAA4AAAAAAAAAAQAgAAAAJgEAAGRycy9lMm9Eb2MueG1sUEsFBgAAAAAGAAYAWQEAALIFAAAA&#10;AA==&#10;">
                      <v:fill on="f" focussize="0,0"/>
                      <v:stroke on="f"/>
                      <v:imagedata o:title=""/>
                      <o:lock v:ext="edit" aspectratio="f"/>
                      <v:textbox>
                        <w:txbxContent>
                          <w:p>
                            <w:pPr>
                              <w:pStyle w:val="421"/>
                              <w:rPr>
                                <w:b/>
                              </w:rPr>
                            </w:pPr>
                            <w:r>
                              <w:rPr>
                                <w:rFonts w:hint="eastAsia"/>
                                <w:b/>
                              </w:rPr>
                              <w:t>敏感程度</w:t>
                            </w:r>
                          </w:p>
                        </w:txbxContent>
                      </v:textbox>
                    </v:shape>
                  </w:pict>
                </mc:Fallback>
              </mc:AlternateContent>
            </w:r>
            <w:r>
              <w:rPr>
                <w:color w:val="auto"/>
              </w:rPr>
              <mc:AlternateContent>
                <mc:Choice Requires="wps">
                  <w:drawing>
                    <wp:anchor distT="0" distB="0" distL="114300" distR="114300" simplePos="0" relativeHeight="251736064" behindDoc="0" locked="0" layoutInCell="1" allowOverlap="1">
                      <wp:simplePos x="0" y="0"/>
                      <wp:positionH relativeFrom="column">
                        <wp:posOffset>-170180</wp:posOffset>
                      </wp:positionH>
                      <wp:positionV relativeFrom="paragraph">
                        <wp:posOffset>145415</wp:posOffset>
                      </wp:positionV>
                      <wp:extent cx="1036955" cy="262890"/>
                      <wp:effectExtent l="0" t="0" r="0" b="0"/>
                      <wp:wrapNone/>
                      <wp:docPr id="134" name="文本框 108"/>
                      <wp:cNvGraphicFramePr/>
                      <a:graphic xmlns:a="http://schemas.openxmlformats.org/drawingml/2006/main">
                        <a:graphicData uri="http://schemas.microsoft.com/office/word/2010/wordprocessingShape">
                          <wps:wsp>
                            <wps:cNvSpPr txBox="1">
                              <a:spLocks noChangeArrowheads="1"/>
                            </wps:cNvSpPr>
                            <wps:spPr bwMode="auto">
                              <a:xfrm>
                                <a:off x="0" y="0"/>
                                <a:ext cx="1036955" cy="262890"/>
                              </a:xfrm>
                              <a:prstGeom prst="rect">
                                <a:avLst/>
                              </a:prstGeom>
                              <a:noFill/>
                              <a:ln>
                                <a:noFill/>
                              </a:ln>
                            </wps:spPr>
                            <wps:txbx>
                              <w:txbxContent>
                                <w:p>
                                  <w:pPr>
                                    <w:pStyle w:val="421"/>
                                    <w:jc w:val="both"/>
                                    <w:rPr>
                                      <w:b/>
                                    </w:rPr>
                                  </w:pPr>
                                  <w:r>
                                    <w:rPr>
                                      <w:rFonts w:hint="eastAsia"/>
                                      <w:b/>
                                    </w:rPr>
                                    <w:t>评价工作等级</w:t>
                                  </w:r>
                                </w:p>
                              </w:txbxContent>
                            </wps:txbx>
                            <wps:bodyPr rot="0" vert="horz" wrap="square" lIns="91440" tIns="45720" rIns="91440" bIns="45720" anchor="t" anchorCtr="0" upright="1">
                              <a:noAutofit/>
                            </wps:bodyPr>
                          </wps:wsp>
                        </a:graphicData>
                      </a:graphic>
                    </wp:anchor>
                  </w:drawing>
                </mc:Choice>
                <mc:Fallback>
                  <w:pict>
                    <v:shape id="文本框 108" o:spid="_x0000_s1026" o:spt="202" type="#_x0000_t202" style="position:absolute;left:0pt;margin-left:-13.4pt;margin-top:11.45pt;height:20.7pt;width:81.65pt;z-index:251736064;mso-width-relative:page;mso-height-relative:page;" filled="f" stroked="f" coordsize="21600,21600" o:gfxdata="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HNidxbXAAAACQEA&#10;AA8AAAAAAAAAAQAgAAAAIgAAAGRycy9kb3ducmV2LnhtbFBLAQIUABQAAAAIAIdO4kCaRnLeGwIA&#10;ABkEAAAOAAAAAAAAAAEAIAAAACYBAABkcnMvZTJvRG9jLnhtbFBLBQYAAAAABgAGAFkBAACzBQAA&#10;AAA=&#10;">
                      <v:fill on="f" focussize="0,0"/>
                      <v:stroke on="f"/>
                      <v:imagedata o:title=""/>
                      <o:lock v:ext="edit" aspectratio="f"/>
                      <v:textbox>
                        <w:txbxContent>
                          <w:p>
                            <w:pPr>
                              <w:pStyle w:val="421"/>
                              <w:jc w:val="both"/>
                              <w:rPr>
                                <w:b/>
                              </w:rPr>
                            </w:pPr>
                            <w:r>
                              <w:rPr>
                                <w:rFonts w:hint="eastAsia"/>
                                <w:b/>
                              </w:rPr>
                              <w:t>评价工作等级</w:t>
                            </w:r>
                          </w:p>
                        </w:txbxContent>
                      </v:textbox>
                    </v:shape>
                  </w:pict>
                </mc:Fallback>
              </mc:AlternateContent>
            </w:r>
          </w:p>
        </w:tc>
        <w:tc>
          <w:tcPr>
            <w:tcW w:w="1327" w:type="pct"/>
            <w:gridSpan w:val="3"/>
            <w:shd w:val="clear" w:color="auto" w:fill="auto"/>
            <w:vAlign w:val="center"/>
          </w:tcPr>
          <w:p>
            <w:pPr>
              <w:jc w:val="center"/>
              <w:rPr>
                <w:b/>
                <w:color w:val="auto"/>
                <w:szCs w:val="20"/>
              </w:rPr>
            </w:pPr>
            <w:r>
              <w:rPr>
                <w:b/>
                <w:color w:val="auto"/>
                <w:szCs w:val="20"/>
              </w:rPr>
              <w:t>Ⅰ类</w:t>
            </w:r>
          </w:p>
        </w:tc>
        <w:tc>
          <w:tcPr>
            <w:tcW w:w="1249" w:type="pct"/>
            <w:gridSpan w:val="3"/>
            <w:shd w:val="clear" w:color="auto" w:fill="auto"/>
            <w:vAlign w:val="center"/>
          </w:tcPr>
          <w:p>
            <w:pPr>
              <w:jc w:val="center"/>
              <w:rPr>
                <w:b/>
                <w:color w:val="auto"/>
                <w:szCs w:val="20"/>
              </w:rPr>
            </w:pPr>
            <w:r>
              <w:rPr>
                <w:b/>
                <w:color w:val="auto"/>
                <w:szCs w:val="20"/>
              </w:rPr>
              <w:t>Ⅱ类</w:t>
            </w:r>
          </w:p>
        </w:tc>
        <w:tc>
          <w:tcPr>
            <w:tcW w:w="1280" w:type="pct"/>
            <w:gridSpan w:val="3"/>
            <w:shd w:val="clear" w:color="auto" w:fill="auto"/>
            <w:vAlign w:val="center"/>
          </w:tcPr>
          <w:p>
            <w:pPr>
              <w:jc w:val="center"/>
              <w:rPr>
                <w:b/>
                <w:color w:val="auto"/>
                <w:szCs w:val="20"/>
              </w:rPr>
            </w:pPr>
            <w:r>
              <w:rPr>
                <w:b/>
                <w:color w:val="auto"/>
                <w:szCs w:val="20"/>
              </w:rPr>
              <w:t>Ⅲ类</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vMerge w:val="continue"/>
            <w:shd w:val="clear" w:color="auto" w:fill="auto"/>
            <w:vAlign w:val="center"/>
          </w:tcPr>
          <w:p>
            <w:pPr>
              <w:jc w:val="center"/>
              <w:rPr>
                <w:b/>
                <w:color w:val="auto"/>
                <w:szCs w:val="20"/>
              </w:rPr>
            </w:pPr>
          </w:p>
        </w:tc>
        <w:tc>
          <w:tcPr>
            <w:tcW w:w="499" w:type="pct"/>
            <w:shd w:val="clear" w:color="auto" w:fill="auto"/>
            <w:vAlign w:val="center"/>
          </w:tcPr>
          <w:p>
            <w:pPr>
              <w:jc w:val="center"/>
              <w:rPr>
                <w:b/>
                <w:color w:val="auto"/>
                <w:szCs w:val="20"/>
              </w:rPr>
            </w:pPr>
            <w:r>
              <w:rPr>
                <w:b/>
                <w:color w:val="auto"/>
                <w:szCs w:val="20"/>
              </w:rPr>
              <w:t>大</w:t>
            </w:r>
          </w:p>
        </w:tc>
        <w:tc>
          <w:tcPr>
            <w:tcW w:w="413" w:type="pct"/>
            <w:shd w:val="clear" w:color="auto" w:fill="auto"/>
            <w:vAlign w:val="center"/>
          </w:tcPr>
          <w:p>
            <w:pPr>
              <w:jc w:val="center"/>
              <w:rPr>
                <w:b/>
                <w:color w:val="auto"/>
                <w:szCs w:val="20"/>
              </w:rPr>
            </w:pPr>
            <w:r>
              <w:rPr>
                <w:b/>
                <w:color w:val="auto"/>
                <w:szCs w:val="20"/>
              </w:rPr>
              <w:t>中</w:t>
            </w:r>
          </w:p>
        </w:tc>
        <w:tc>
          <w:tcPr>
            <w:tcW w:w="415" w:type="pct"/>
            <w:shd w:val="clear" w:color="auto" w:fill="auto"/>
            <w:vAlign w:val="center"/>
          </w:tcPr>
          <w:p>
            <w:pPr>
              <w:jc w:val="center"/>
              <w:rPr>
                <w:b/>
                <w:color w:val="auto"/>
                <w:szCs w:val="20"/>
              </w:rPr>
            </w:pPr>
            <w:r>
              <w:rPr>
                <w:b/>
                <w:color w:val="auto"/>
                <w:szCs w:val="20"/>
              </w:rPr>
              <w:t>小</w:t>
            </w:r>
          </w:p>
        </w:tc>
        <w:tc>
          <w:tcPr>
            <w:tcW w:w="416" w:type="pct"/>
            <w:shd w:val="clear" w:color="auto" w:fill="auto"/>
            <w:vAlign w:val="center"/>
          </w:tcPr>
          <w:p>
            <w:pPr>
              <w:jc w:val="center"/>
              <w:rPr>
                <w:b/>
                <w:color w:val="auto"/>
                <w:szCs w:val="20"/>
              </w:rPr>
            </w:pPr>
            <w:r>
              <w:rPr>
                <w:b/>
                <w:color w:val="auto"/>
                <w:szCs w:val="20"/>
              </w:rPr>
              <w:t>大</w:t>
            </w:r>
          </w:p>
        </w:tc>
        <w:tc>
          <w:tcPr>
            <w:tcW w:w="416" w:type="pct"/>
            <w:shd w:val="clear" w:color="auto" w:fill="auto"/>
            <w:vAlign w:val="center"/>
          </w:tcPr>
          <w:p>
            <w:pPr>
              <w:jc w:val="center"/>
              <w:rPr>
                <w:b/>
                <w:color w:val="auto"/>
                <w:szCs w:val="20"/>
              </w:rPr>
            </w:pPr>
            <w:r>
              <w:rPr>
                <w:b/>
                <w:color w:val="auto"/>
                <w:szCs w:val="20"/>
              </w:rPr>
              <w:t>中</w:t>
            </w:r>
          </w:p>
        </w:tc>
        <w:tc>
          <w:tcPr>
            <w:tcW w:w="417" w:type="pct"/>
            <w:shd w:val="clear" w:color="auto" w:fill="auto"/>
            <w:vAlign w:val="center"/>
          </w:tcPr>
          <w:p>
            <w:pPr>
              <w:jc w:val="center"/>
              <w:rPr>
                <w:b/>
                <w:color w:val="auto"/>
                <w:szCs w:val="20"/>
              </w:rPr>
            </w:pPr>
            <w:r>
              <w:rPr>
                <w:b/>
                <w:color w:val="auto"/>
                <w:szCs w:val="20"/>
              </w:rPr>
              <w:t>小</w:t>
            </w:r>
          </w:p>
        </w:tc>
        <w:tc>
          <w:tcPr>
            <w:tcW w:w="416" w:type="pct"/>
            <w:shd w:val="clear" w:color="auto" w:fill="auto"/>
            <w:vAlign w:val="center"/>
          </w:tcPr>
          <w:p>
            <w:pPr>
              <w:jc w:val="center"/>
              <w:rPr>
                <w:b/>
                <w:color w:val="auto"/>
                <w:szCs w:val="20"/>
              </w:rPr>
            </w:pPr>
            <w:r>
              <w:rPr>
                <w:b/>
                <w:color w:val="auto"/>
                <w:szCs w:val="20"/>
              </w:rPr>
              <w:t>大</w:t>
            </w:r>
          </w:p>
        </w:tc>
        <w:tc>
          <w:tcPr>
            <w:tcW w:w="414" w:type="pct"/>
            <w:shd w:val="clear" w:color="auto" w:fill="auto"/>
            <w:vAlign w:val="center"/>
          </w:tcPr>
          <w:p>
            <w:pPr>
              <w:jc w:val="center"/>
              <w:rPr>
                <w:b/>
                <w:color w:val="auto"/>
                <w:szCs w:val="20"/>
              </w:rPr>
            </w:pPr>
            <w:r>
              <w:rPr>
                <w:b/>
                <w:color w:val="auto"/>
                <w:szCs w:val="20"/>
              </w:rPr>
              <w:t>中</w:t>
            </w:r>
          </w:p>
        </w:tc>
        <w:tc>
          <w:tcPr>
            <w:tcW w:w="450" w:type="pct"/>
            <w:shd w:val="clear" w:color="auto" w:fill="auto"/>
            <w:vAlign w:val="center"/>
          </w:tcPr>
          <w:p>
            <w:pPr>
              <w:jc w:val="center"/>
              <w:rPr>
                <w:b/>
                <w:color w:val="auto"/>
                <w:szCs w:val="20"/>
              </w:rPr>
            </w:pPr>
            <w:r>
              <w:rPr>
                <w:b/>
                <w:color w:val="auto"/>
                <w:szCs w:val="20"/>
              </w:rPr>
              <w:t>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shd w:val="clear" w:color="auto" w:fill="auto"/>
            <w:vAlign w:val="center"/>
          </w:tcPr>
          <w:p>
            <w:pPr>
              <w:contextualSpacing/>
              <w:jc w:val="center"/>
              <w:textAlignment w:val="baseline"/>
              <w:rPr>
                <w:color w:val="auto"/>
                <w:kern w:val="0"/>
              </w:rPr>
            </w:pPr>
            <w:r>
              <w:rPr>
                <w:color w:val="auto"/>
                <w:kern w:val="0"/>
              </w:rPr>
              <w:t>敏感</w:t>
            </w:r>
          </w:p>
        </w:tc>
        <w:tc>
          <w:tcPr>
            <w:tcW w:w="499" w:type="pct"/>
            <w:shd w:val="clear" w:color="auto" w:fill="auto"/>
            <w:vAlign w:val="center"/>
          </w:tcPr>
          <w:p>
            <w:pPr>
              <w:contextualSpacing/>
              <w:jc w:val="center"/>
              <w:textAlignment w:val="baseline"/>
              <w:rPr>
                <w:color w:val="auto"/>
                <w:kern w:val="0"/>
              </w:rPr>
            </w:pPr>
            <w:r>
              <w:rPr>
                <w:color w:val="auto"/>
                <w:kern w:val="0"/>
              </w:rPr>
              <w:t>一级</w:t>
            </w:r>
          </w:p>
        </w:tc>
        <w:tc>
          <w:tcPr>
            <w:tcW w:w="413" w:type="pct"/>
            <w:shd w:val="clear" w:color="auto" w:fill="auto"/>
            <w:vAlign w:val="center"/>
          </w:tcPr>
          <w:p>
            <w:pPr>
              <w:contextualSpacing/>
              <w:jc w:val="center"/>
              <w:textAlignment w:val="baseline"/>
              <w:rPr>
                <w:color w:val="auto"/>
                <w:kern w:val="0"/>
              </w:rPr>
            </w:pPr>
            <w:r>
              <w:rPr>
                <w:color w:val="auto"/>
                <w:kern w:val="0"/>
              </w:rPr>
              <w:t>一级</w:t>
            </w:r>
          </w:p>
        </w:tc>
        <w:tc>
          <w:tcPr>
            <w:tcW w:w="415" w:type="pct"/>
            <w:shd w:val="clear" w:color="auto" w:fill="auto"/>
            <w:vAlign w:val="center"/>
          </w:tcPr>
          <w:p>
            <w:pPr>
              <w:contextualSpacing/>
              <w:jc w:val="center"/>
              <w:textAlignment w:val="baseline"/>
              <w:rPr>
                <w:color w:val="auto"/>
                <w:kern w:val="0"/>
              </w:rPr>
            </w:pPr>
            <w:r>
              <w:rPr>
                <w:color w:val="auto"/>
                <w:kern w:val="0"/>
              </w:rPr>
              <w:t>一级</w:t>
            </w:r>
          </w:p>
        </w:tc>
        <w:tc>
          <w:tcPr>
            <w:tcW w:w="416" w:type="pct"/>
            <w:shd w:val="clear" w:color="auto" w:fill="auto"/>
            <w:vAlign w:val="center"/>
          </w:tcPr>
          <w:p>
            <w:pPr>
              <w:contextualSpacing/>
              <w:jc w:val="center"/>
              <w:textAlignment w:val="baseline"/>
              <w:rPr>
                <w:color w:val="auto"/>
                <w:kern w:val="0"/>
              </w:rPr>
            </w:pPr>
            <w:r>
              <w:rPr>
                <w:color w:val="auto"/>
                <w:kern w:val="0"/>
              </w:rPr>
              <w:t>二级</w:t>
            </w:r>
          </w:p>
        </w:tc>
        <w:tc>
          <w:tcPr>
            <w:tcW w:w="416" w:type="pct"/>
            <w:shd w:val="clear" w:color="auto" w:fill="auto"/>
            <w:vAlign w:val="center"/>
          </w:tcPr>
          <w:p>
            <w:pPr>
              <w:contextualSpacing/>
              <w:jc w:val="center"/>
              <w:textAlignment w:val="baseline"/>
              <w:rPr>
                <w:color w:val="auto"/>
                <w:kern w:val="0"/>
              </w:rPr>
            </w:pPr>
            <w:r>
              <w:rPr>
                <w:color w:val="auto"/>
                <w:kern w:val="0"/>
              </w:rPr>
              <w:t>二级</w:t>
            </w:r>
          </w:p>
        </w:tc>
        <w:tc>
          <w:tcPr>
            <w:tcW w:w="417" w:type="pct"/>
            <w:shd w:val="clear" w:color="auto" w:fill="auto"/>
            <w:vAlign w:val="center"/>
          </w:tcPr>
          <w:p>
            <w:pPr>
              <w:contextualSpacing/>
              <w:jc w:val="center"/>
              <w:textAlignment w:val="baseline"/>
              <w:rPr>
                <w:color w:val="auto"/>
                <w:kern w:val="0"/>
              </w:rPr>
            </w:pPr>
            <w:r>
              <w:rPr>
                <w:color w:val="auto"/>
                <w:kern w:val="0"/>
              </w:rPr>
              <w:t>二级</w:t>
            </w:r>
          </w:p>
        </w:tc>
        <w:tc>
          <w:tcPr>
            <w:tcW w:w="416" w:type="pct"/>
            <w:shd w:val="clear" w:color="auto" w:fill="auto"/>
            <w:vAlign w:val="center"/>
          </w:tcPr>
          <w:p>
            <w:pPr>
              <w:contextualSpacing/>
              <w:jc w:val="center"/>
              <w:textAlignment w:val="baseline"/>
              <w:rPr>
                <w:color w:val="auto"/>
                <w:kern w:val="0"/>
              </w:rPr>
            </w:pPr>
            <w:r>
              <w:rPr>
                <w:color w:val="auto"/>
                <w:kern w:val="0"/>
              </w:rPr>
              <w:t>三级</w:t>
            </w:r>
          </w:p>
        </w:tc>
        <w:tc>
          <w:tcPr>
            <w:tcW w:w="414" w:type="pct"/>
            <w:shd w:val="clear" w:color="auto" w:fill="auto"/>
            <w:vAlign w:val="center"/>
          </w:tcPr>
          <w:p>
            <w:pPr>
              <w:contextualSpacing/>
              <w:jc w:val="center"/>
              <w:textAlignment w:val="baseline"/>
              <w:rPr>
                <w:color w:val="auto"/>
                <w:kern w:val="0"/>
              </w:rPr>
            </w:pPr>
            <w:r>
              <w:rPr>
                <w:color w:val="auto"/>
                <w:kern w:val="0"/>
              </w:rPr>
              <w:t>三级</w:t>
            </w:r>
          </w:p>
        </w:tc>
        <w:tc>
          <w:tcPr>
            <w:tcW w:w="450" w:type="pct"/>
            <w:shd w:val="clear" w:color="auto" w:fill="auto"/>
            <w:vAlign w:val="center"/>
          </w:tcPr>
          <w:p>
            <w:pPr>
              <w:contextualSpacing/>
              <w:jc w:val="center"/>
              <w:textAlignment w:val="baseline"/>
              <w:rPr>
                <w:color w:val="auto"/>
                <w:kern w:val="0"/>
              </w:rPr>
            </w:pPr>
            <w:r>
              <w:rPr>
                <w:color w:val="auto"/>
                <w:kern w:val="0"/>
              </w:rPr>
              <w:t>三级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shd w:val="clear" w:color="auto" w:fill="auto"/>
            <w:vAlign w:val="center"/>
          </w:tcPr>
          <w:p>
            <w:pPr>
              <w:contextualSpacing/>
              <w:jc w:val="center"/>
              <w:textAlignment w:val="baseline"/>
              <w:rPr>
                <w:color w:val="auto"/>
                <w:kern w:val="0"/>
              </w:rPr>
            </w:pPr>
            <w:r>
              <w:rPr>
                <w:color w:val="auto"/>
                <w:kern w:val="0"/>
              </w:rPr>
              <w:t>较敏感</w:t>
            </w:r>
          </w:p>
        </w:tc>
        <w:tc>
          <w:tcPr>
            <w:tcW w:w="499" w:type="pct"/>
            <w:shd w:val="clear" w:color="auto" w:fill="auto"/>
            <w:vAlign w:val="center"/>
          </w:tcPr>
          <w:p>
            <w:pPr>
              <w:contextualSpacing/>
              <w:jc w:val="center"/>
              <w:textAlignment w:val="baseline"/>
              <w:rPr>
                <w:color w:val="auto"/>
                <w:kern w:val="0"/>
              </w:rPr>
            </w:pPr>
            <w:r>
              <w:rPr>
                <w:color w:val="auto"/>
                <w:kern w:val="0"/>
              </w:rPr>
              <w:t>一级</w:t>
            </w:r>
          </w:p>
        </w:tc>
        <w:tc>
          <w:tcPr>
            <w:tcW w:w="413" w:type="pct"/>
            <w:shd w:val="clear" w:color="auto" w:fill="auto"/>
            <w:vAlign w:val="center"/>
          </w:tcPr>
          <w:p>
            <w:pPr>
              <w:contextualSpacing/>
              <w:jc w:val="center"/>
              <w:textAlignment w:val="baseline"/>
              <w:rPr>
                <w:color w:val="auto"/>
                <w:kern w:val="0"/>
              </w:rPr>
            </w:pPr>
            <w:r>
              <w:rPr>
                <w:color w:val="auto"/>
                <w:kern w:val="0"/>
              </w:rPr>
              <w:t>一级</w:t>
            </w:r>
          </w:p>
        </w:tc>
        <w:tc>
          <w:tcPr>
            <w:tcW w:w="415" w:type="pct"/>
            <w:tcBorders>
              <w:bottom w:val="single" w:color="auto" w:sz="6" w:space="0"/>
            </w:tcBorders>
            <w:shd w:val="clear" w:color="auto" w:fill="auto"/>
            <w:vAlign w:val="center"/>
          </w:tcPr>
          <w:p>
            <w:pPr>
              <w:contextualSpacing/>
              <w:jc w:val="center"/>
              <w:textAlignment w:val="baseline"/>
              <w:rPr>
                <w:color w:val="auto"/>
                <w:kern w:val="0"/>
              </w:rPr>
            </w:pPr>
            <w:r>
              <w:rPr>
                <w:color w:val="auto"/>
                <w:kern w:val="0"/>
              </w:rPr>
              <w:t>二级</w:t>
            </w:r>
          </w:p>
        </w:tc>
        <w:tc>
          <w:tcPr>
            <w:tcW w:w="416" w:type="pct"/>
            <w:shd w:val="clear" w:color="auto" w:fill="auto"/>
            <w:vAlign w:val="center"/>
          </w:tcPr>
          <w:p>
            <w:pPr>
              <w:contextualSpacing/>
              <w:jc w:val="center"/>
              <w:textAlignment w:val="baseline"/>
              <w:rPr>
                <w:color w:val="auto"/>
                <w:kern w:val="0"/>
              </w:rPr>
            </w:pPr>
            <w:r>
              <w:rPr>
                <w:color w:val="auto"/>
                <w:kern w:val="0"/>
              </w:rPr>
              <w:t>二级</w:t>
            </w:r>
          </w:p>
        </w:tc>
        <w:tc>
          <w:tcPr>
            <w:tcW w:w="416" w:type="pct"/>
            <w:shd w:val="clear" w:color="auto" w:fill="auto"/>
            <w:vAlign w:val="center"/>
          </w:tcPr>
          <w:p>
            <w:pPr>
              <w:contextualSpacing/>
              <w:jc w:val="center"/>
              <w:textAlignment w:val="baseline"/>
              <w:rPr>
                <w:color w:val="auto"/>
                <w:kern w:val="0"/>
              </w:rPr>
            </w:pPr>
            <w:r>
              <w:rPr>
                <w:color w:val="auto"/>
                <w:kern w:val="0"/>
              </w:rPr>
              <w:t>二级</w:t>
            </w:r>
          </w:p>
        </w:tc>
        <w:tc>
          <w:tcPr>
            <w:tcW w:w="417" w:type="pct"/>
            <w:shd w:val="clear" w:color="auto" w:fill="auto"/>
            <w:vAlign w:val="center"/>
          </w:tcPr>
          <w:p>
            <w:pPr>
              <w:contextualSpacing/>
              <w:jc w:val="center"/>
              <w:textAlignment w:val="baseline"/>
              <w:rPr>
                <w:color w:val="auto"/>
                <w:kern w:val="0"/>
              </w:rPr>
            </w:pPr>
            <w:r>
              <w:rPr>
                <w:color w:val="auto"/>
                <w:kern w:val="0"/>
              </w:rPr>
              <w:t>三级</w:t>
            </w:r>
          </w:p>
        </w:tc>
        <w:tc>
          <w:tcPr>
            <w:tcW w:w="416" w:type="pct"/>
            <w:shd w:val="clear" w:color="auto" w:fill="auto"/>
            <w:vAlign w:val="center"/>
          </w:tcPr>
          <w:p>
            <w:pPr>
              <w:contextualSpacing/>
              <w:jc w:val="center"/>
              <w:textAlignment w:val="baseline"/>
              <w:rPr>
                <w:color w:val="auto"/>
                <w:kern w:val="0"/>
              </w:rPr>
            </w:pPr>
            <w:r>
              <w:rPr>
                <w:color w:val="auto"/>
                <w:kern w:val="0"/>
              </w:rPr>
              <w:t>三级</w:t>
            </w:r>
          </w:p>
        </w:tc>
        <w:tc>
          <w:tcPr>
            <w:tcW w:w="414" w:type="pct"/>
            <w:shd w:val="clear" w:color="auto" w:fill="auto"/>
            <w:vAlign w:val="center"/>
          </w:tcPr>
          <w:p>
            <w:pPr>
              <w:contextualSpacing/>
              <w:jc w:val="center"/>
              <w:textAlignment w:val="baseline"/>
              <w:rPr>
                <w:color w:val="auto"/>
                <w:kern w:val="0"/>
              </w:rPr>
            </w:pPr>
            <w:r>
              <w:rPr>
                <w:color w:val="auto"/>
                <w:kern w:val="0"/>
              </w:rPr>
              <w:t>三级</w:t>
            </w:r>
          </w:p>
        </w:tc>
        <w:tc>
          <w:tcPr>
            <w:tcW w:w="450" w:type="pct"/>
            <w:shd w:val="clear" w:color="auto" w:fill="auto"/>
            <w:vAlign w:val="center"/>
          </w:tcPr>
          <w:p>
            <w:pPr>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1144" w:type="pct"/>
            <w:shd w:val="clear" w:color="auto" w:fill="auto"/>
            <w:vAlign w:val="center"/>
          </w:tcPr>
          <w:p>
            <w:pPr>
              <w:contextualSpacing/>
              <w:jc w:val="center"/>
              <w:textAlignment w:val="baseline"/>
              <w:rPr>
                <w:color w:val="auto"/>
                <w:kern w:val="0"/>
              </w:rPr>
            </w:pPr>
            <w:r>
              <w:rPr>
                <w:color w:val="auto"/>
                <w:kern w:val="0"/>
              </w:rPr>
              <w:t>不敏感</w:t>
            </w:r>
          </w:p>
        </w:tc>
        <w:tc>
          <w:tcPr>
            <w:tcW w:w="499" w:type="pct"/>
            <w:shd w:val="clear" w:color="auto" w:fill="auto"/>
            <w:vAlign w:val="center"/>
          </w:tcPr>
          <w:p>
            <w:pPr>
              <w:contextualSpacing/>
              <w:jc w:val="center"/>
              <w:textAlignment w:val="baseline"/>
              <w:rPr>
                <w:color w:val="auto"/>
                <w:kern w:val="0"/>
              </w:rPr>
            </w:pPr>
            <w:r>
              <w:rPr>
                <w:color w:val="auto"/>
                <w:kern w:val="0"/>
              </w:rPr>
              <w:t>一级</w:t>
            </w:r>
          </w:p>
        </w:tc>
        <w:tc>
          <w:tcPr>
            <w:tcW w:w="413" w:type="pct"/>
            <w:shd w:val="clear" w:color="auto" w:fill="auto"/>
            <w:vAlign w:val="center"/>
          </w:tcPr>
          <w:p>
            <w:pPr>
              <w:contextualSpacing/>
              <w:jc w:val="center"/>
              <w:textAlignment w:val="baseline"/>
              <w:rPr>
                <w:color w:val="auto"/>
                <w:kern w:val="0"/>
              </w:rPr>
            </w:pPr>
            <w:r>
              <w:rPr>
                <w:color w:val="auto"/>
                <w:kern w:val="0"/>
              </w:rPr>
              <w:t>二级</w:t>
            </w:r>
          </w:p>
        </w:tc>
        <w:tc>
          <w:tcPr>
            <w:tcW w:w="415" w:type="pct"/>
            <w:tcBorders>
              <w:top w:val="single" w:color="auto" w:sz="6" w:space="0"/>
              <w:bottom w:val="single" w:color="auto" w:sz="6" w:space="0"/>
            </w:tcBorders>
            <w:shd w:val="pct20" w:color="auto" w:fill="auto"/>
            <w:vAlign w:val="center"/>
          </w:tcPr>
          <w:p>
            <w:pPr>
              <w:contextualSpacing/>
              <w:jc w:val="center"/>
              <w:textAlignment w:val="baseline"/>
              <w:rPr>
                <w:color w:val="auto"/>
                <w:kern w:val="0"/>
              </w:rPr>
            </w:pPr>
            <w:r>
              <w:rPr>
                <w:color w:val="auto"/>
                <w:kern w:val="0"/>
              </w:rPr>
              <w:t>二级</w:t>
            </w:r>
          </w:p>
        </w:tc>
        <w:tc>
          <w:tcPr>
            <w:tcW w:w="416" w:type="pct"/>
            <w:shd w:val="clear" w:color="auto" w:fill="auto"/>
            <w:vAlign w:val="center"/>
          </w:tcPr>
          <w:p>
            <w:pPr>
              <w:contextualSpacing/>
              <w:jc w:val="center"/>
              <w:textAlignment w:val="baseline"/>
              <w:rPr>
                <w:color w:val="auto"/>
                <w:kern w:val="0"/>
              </w:rPr>
            </w:pPr>
            <w:r>
              <w:rPr>
                <w:color w:val="auto"/>
                <w:kern w:val="0"/>
              </w:rPr>
              <w:t>二级</w:t>
            </w:r>
          </w:p>
        </w:tc>
        <w:tc>
          <w:tcPr>
            <w:tcW w:w="416" w:type="pct"/>
            <w:shd w:val="clear" w:color="auto" w:fill="auto"/>
            <w:vAlign w:val="center"/>
          </w:tcPr>
          <w:p>
            <w:pPr>
              <w:contextualSpacing/>
              <w:jc w:val="center"/>
              <w:textAlignment w:val="baseline"/>
              <w:rPr>
                <w:color w:val="auto"/>
                <w:kern w:val="0"/>
              </w:rPr>
            </w:pPr>
            <w:r>
              <w:rPr>
                <w:color w:val="auto"/>
                <w:kern w:val="0"/>
              </w:rPr>
              <w:t>三级</w:t>
            </w:r>
          </w:p>
        </w:tc>
        <w:tc>
          <w:tcPr>
            <w:tcW w:w="417" w:type="pct"/>
            <w:shd w:val="clear" w:color="auto" w:fill="auto"/>
            <w:vAlign w:val="center"/>
          </w:tcPr>
          <w:p>
            <w:pPr>
              <w:contextualSpacing/>
              <w:jc w:val="center"/>
              <w:textAlignment w:val="baseline"/>
              <w:rPr>
                <w:color w:val="auto"/>
                <w:kern w:val="0"/>
              </w:rPr>
            </w:pPr>
            <w:r>
              <w:rPr>
                <w:color w:val="auto"/>
                <w:kern w:val="0"/>
              </w:rPr>
              <w:t>三级</w:t>
            </w:r>
          </w:p>
        </w:tc>
        <w:tc>
          <w:tcPr>
            <w:tcW w:w="416" w:type="pct"/>
            <w:shd w:val="clear" w:color="auto" w:fill="auto"/>
            <w:vAlign w:val="center"/>
          </w:tcPr>
          <w:p>
            <w:pPr>
              <w:contextualSpacing/>
              <w:jc w:val="center"/>
              <w:textAlignment w:val="baseline"/>
              <w:rPr>
                <w:color w:val="auto"/>
                <w:kern w:val="0"/>
              </w:rPr>
            </w:pPr>
            <w:r>
              <w:rPr>
                <w:color w:val="auto"/>
                <w:kern w:val="0"/>
              </w:rPr>
              <w:t>三级</w:t>
            </w:r>
          </w:p>
        </w:tc>
        <w:tc>
          <w:tcPr>
            <w:tcW w:w="414" w:type="pct"/>
            <w:shd w:val="clear" w:color="auto" w:fill="auto"/>
            <w:vAlign w:val="center"/>
          </w:tcPr>
          <w:p>
            <w:pPr>
              <w:contextualSpacing/>
              <w:jc w:val="center"/>
              <w:textAlignment w:val="baseline"/>
              <w:rPr>
                <w:color w:val="auto"/>
                <w:kern w:val="0"/>
              </w:rPr>
            </w:pPr>
            <w:r>
              <w:rPr>
                <w:color w:val="auto"/>
                <w:kern w:val="0"/>
              </w:rPr>
              <w:t>-</w:t>
            </w:r>
          </w:p>
        </w:tc>
        <w:tc>
          <w:tcPr>
            <w:tcW w:w="450" w:type="pct"/>
            <w:shd w:val="clear" w:color="auto" w:fill="auto"/>
            <w:vAlign w:val="center"/>
          </w:tcPr>
          <w:p>
            <w:pPr>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82" w:hRule="atLeast"/>
          <w:jc w:val="center"/>
        </w:trPr>
        <w:tc>
          <w:tcPr>
            <w:tcW w:w="5000" w:type="pct"/>
            <w:gridSpan w:val="10"/>
            <w:shd w:val="clear" w:color="auto" w:fill="auto"/>
            <w:vAlign w:val="center"/>
          </w:tcPr>
          <w:p>
            <w:pPr>
              <w:contextualSpacing/>
              <w:textAlignment w:val="baseline"/>
              <w:rPr>
                <w:color w:val="auto"/>
                <w:kern w:val="0"/>
              </w:rPr>
            </w:pPr>
            <w:r>
              <w:rPr>
                <w:color w:val="auto"/>
                <w:kern w:val="0"/>
              </w:rPr>
              <w:t>注：“-”表示可不开展土壤环境影响评价工作。</w:t>
            </w:r>
          </w:p>
        </w:tc>
      </w:tr>
    </w:tbl>
    <w:p>
      <w:pPr>
        <w:adjustRightInd w:val="0"/>
        <w:snapToGrid w:val="0"/>
        <w:spacing w:before="120" w:beforeLines="50" w:line="360" w:lineRule="auto"/>
        <w:ind w:firstLine="480" w:firstLineChars="200"/>
        <w:textAlignment w:val="baseline"/>
        <w:rPr>
          <w:color w:val="auto"/>
          <w:kern w:val="0"/>
          <w:sz w:val="24"/>
          <w:szCs w:val="20"/>
        </w:rPr>
      </w:pPr>
      <w:r>
        <w:rPr>
          <w:color w:val="auto"/>
          <w:kern w:val="0"/>
          <w:sz w:val="24"/>
          <w:szCs w:val="20"/>
        </w:rPr>
        <w:t>通过表5.6-4判定，本项目土壤环境影响评价等级为二级。本项目厂址位于获嘉县产业集聚区北区城东片区，根据导则HJ964-2018要求，工业园区内的建设项目，应重点在建设项目占地范围内开展现状调查工作，并兼顾其可能影响的园区外围土壤环境敏感目标。</w:t>
      </w:r>
    </w:p>
    <w:p>
      <w:pPr>
        <w:pStyle w:val="5"/>
        <w:spacing w:before="0" w:beforeLines="0" w:after="0" w:afterLines="0"/>
        <w:rPr>
          <w:bCs w:val="0"/>
          <w:color w:val="auto"/>
          <w:kern w:val="21"/>
          <w:sz w:val="28"/>
          <w:szCs w:val="28"/>
        </w:rPr>
      </w:pPr>
      <w:r>
        <w:rPr>
          <w:bCs w:val="0"/>
          <w:color w:val="auto"/>
          <w:kern w:val="21"/>
          <w:sz w:val="28"/>
          <w:szCs w:val="28"/>
        </w:rPr>
        <w:t>5.6.2 土壤环境质量现状调查与评价</w:t>
      </w:r>
    </w:p>
    <w:p>
      <w:pPr>
        <w:pStyle w:val="6"/>
        <w:spacing w:before="120" w:beforeLines="50" w:after="0" w:line="360" w:lineRule="auto"/>
        <w:rPr>
          <w:b w:val="0"/>
          <w:color w:val="auto"/>
          <w:sz w:val="24"/>
          <w:szCs w:val="24"/>
        </w:rPr>
      </w:pPr>
      <w:r>
        <w:rPr>
          <w:b w:val="0"/>
          <w:color w:val="auto"/>
          <w:sz w:val="24"/>
          <w:szCs w:val="24"/>
        </w:rPr>
        <w:t>5.6.2.1调查范围确定</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评价单位经现场踏勘，确定本项目土壤现状调查范围包括项目厂址及厂界外</w:t>
      </w:r>
      <w:r>
        <w:rPr>
          <w:rFonts w:hint="eastAsia"/>
          <w:color w:val="auto"/>
          <w:kern w:val="0"/>
          <w:sz w:val="24"/>
          <w:szCs w:val="20"/>
        </w:rPr>
        <w:t>200</w:t>
      </w:r>
      <w:r>
        <w:rPr>
          <w:color w:val="auto"/>
          <w:kern w:val="0"/>
          <w:sz w:val="24"/>
          <w:szCs w:val="20"/>
        </w:rPr>
        <w:t>m范围。土壤环境影响调查范围划分见表5.6-5，土壤环境调查范围示意图见图5.6-5。</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表5.6-5   土壤环境影响评价调查范围</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0"/>
        <w:gridCol w:w="1844"/>
        <w:gridCol w:w="2270"/>
        <w:gridCol w:w="2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color w:val="auto"/>
                <w:kern w:val="0"/>
              </w:rPr>
            </w:pPr>
            <w:r>
              <w:rPr>
                <w:b/>
                <w:color w:val="auto"/>
                <w:kern w:val="0"/>
              </w:rPr>
              <w:t>评价工作等级</w:t>
            </w:r>
          </w:p>
        </w:tc>
        <w:tc>
          <w:tcPr>
            <w:tcW w:w="1081"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color w:val="auto"/>
                <w:kern w:val="0"/>
              </w:rPr>
            </w:pPr>
            <w:r>
              <w:rPr>
                <w:b/>
                <w:color w:val="auto"/>
                <w:kern w:val="0"/>
              </w:rPr>
              <w:t>影响类型</w:t>
            </w:r>
          </w:p>
        </w:tc>
        <w:tc>
          <w:tcPr>
            <w:tcW w:w="2940"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b/>
                <w:color w:val="auto"/>
                <w:kern w:val="0"/>
              </w:rPr>
            </w:pPr>
            <w:r>
              <w:rPr>
                <w:b/>
                <w:color w:val="auto"/>
                <w:kern w:val="0"/>
              </w:rPr>
              <w:t>调查范围</w:t>
            </w:r>
            <w:r>
              <w:rPr>
                <w:b/>
                <w:color w:val="auto"/>
                <w:kern w:val="0"/>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0"/>
              </w:rPr>
            </w:pPr>
          </w:p>
        </w:tc>
        <w:tc>
          <w:tcPr>
            <w:tcW w:w="1081"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sz w:val="20"/>
              </w:rPr>
            </w:pPr>
          </w:p>
        </w:tc>
        <w:tc>
          <w:tcPr>
            <w:tcW w:w="133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占地</w:t>
            </w:r>
            <w:r>
              <w:rPr>
                <w:color w:val="auto"/>
                <w:kern w:val="0"/>
                <w:vertAlign w:val="superscript"/>
              </w:rPr>
              <w:t>b</w:t>
            </w:r>
            <w:r>
              <w:rPr>
                <w:color w:val="auto"/>
                <w:kern w:val="0"/>
              </w:rPr>
              <w:t>范围内</w:t>
            </w:r>
          </w:p>
        </w:tc>
        <w:tc>
          <w:tcPr>
            <w:tcW w:w="1609"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占地范围外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一级</w:t>
            </w:r>
          </w:p>
        </w:tc>
        <w:tc>
          <w:tcPr>
            <w:tcW w:w="108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生态影响型</w:t>
            </w:r>
          </w:p>
        </w:tc>
        <w:tc>
          <w:tcPr>
            <w:tcW w:w="1331"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全部</w:t>
            </w:r>
          </w:p>
        </w:tc>
        <w:tc>
          <w:tcPr>
            <w:tcW w:w="1609"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08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污染影响型</w:t>
            </w:r>
          </w:p>
        </w:tc>
        <w:tc>
          <w:tcPr>
            <w:tcW w:w="1331"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609" w:type="pct"/>
            <w:shd w:val="clear" w:color="auto" w:fill="auto"/>
            <w:vAlign w:val="center"/>
          </w:tcPr>
          <w:p>
            <w:pPr>
              <w:keepNext w:val="0"/>
              <w:keepLines w:val="0"/>
              <w:pageBreakBefore w:val="0"/>
              <w:widowControl w:val="0"/>
              <w:kinsoku/>
              <w:wordWrap/>
              <w:overflowPunct/>
              <w:topLinePunct w:val="0"/>
              <w:autoSpaceDE/>
              <w:autoSpaceDN/>
              <w:bidi w:val="0"/>
              <w:jc w:val="center"/>
              <w:rPr>
                <w:color w:val="auto"/>
                <w:kern w:val="0"/>
                <w:sz w:val="20"/>
                <w:szCs w:val="20"/>
              </w:rPr>
            </w:pPr>
            <w:r>
              <w:rPr>
                <w:color w:val="auto"/>
                <w:kern w:val="0"/>
              </w:rPr>
              <w:t>1km范围内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二级</w:t>
            </w:r>
          </w:p>
        </w:tc>
        <w:tc>
          <w:tcPr>
            <w:tcW w:w="108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生态影响型</w:t>
            </w:r>
          </w:p>
        </w:tc>
        <w:tc>
          <w:tcPr>
            <w:tcW w:w="1331"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609" w:type="pct"/>
            <w:shd w:val="clear" w:color="auto" w:fill="auto"/>
            <w:vAlign w:val="center"/>
          </w:tcPr>
          <w:p>
            <w:pPr>
              <w:keepNext w:val="0"/>
              <w:keepLines w:val="0"/>
              <w:pageBreakBefore w:val="0"/>
              <w:widowControl w:val="0"/>
              <w:kinsoku/>
              <w:wordWrap/>
              <w:overflowPunct/>
              <w:topLinePunct w:val="0"/>
              <w:autoSpaceDE/>
              <w:autoSpaceDN/>
              <w:bidi w:val="0"/>
              <w:jc w:val="center"/>
              <w:rPr>
                <w:color w:val="auto"/>
                <w:kern w:val="0"/>
                <w:sz w:val="20"/>
                <w:szCs w:val="20"/>
              </w:rPr>
            </w:pPr>
            <w:r>
              <w:rPr>
                <w:color w:val="auto"/>
                <w:kern w:val="0"/>
              </w:rPr>
              <w:t>2km范围内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08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污染影响型</w:t>
            </w:r>
          </w:p>
        </w:tc>
        <w:tc>
          <w:tcPr>
            <w:tcW w:w="1331"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609" w:type="pct"/>
            <w:shd w:val="clear" w:color="auto" w:fill="auto"/>
            <w:vAlign w:val="center"/>
          </w:tcPr>
          <w:p>
            <w:pPr>
              <w:keepNext w:val="0"/>
              <w:keepLines w:val="0"/>
              <w:pageBreakBefore w:val="0"/>
              <w:widowControl w:val="0"/>
              <w:kinsoku/>
              <w:wordWrap/>
              <w:overflowPunct/>
              <w:topLinePunct w:val="0"/>
              <w:autoSpaceDE/>
              <w:autoSpaceDN/>
              <w:bidi w:val="0"/>
              <w:jc w:val="center"/>
              <w:rPr>
                <w:color w:val="auto"/>
                <w:kern w:val="0"/>
                <w:sz w:val="20"/>
                <w:szCs w:val="20"/>
              </w:rPr>
            </w:pPr>
            <w:r>
              <w:rPr>
                <w:color w:val="auto"/>
                <w:kern w:val="0"/>
              </w:rPr>
              <w:t>0.2km范围内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三级</w:t>
            </w:r>
          </w:p>
        </w:tc>
        <w:tc>
          <w:tcPr>
            <w:tcW w:w="108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生态影响型</w:t>
            </w:r>
          </w:p>
        </w:tc>
        <w:tc>
          <w:tcPr>
            <w:tcW w:w="1331"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609" w:type="pct"/>
            <w:shd w:val="clear" w:color="auto" w:fill="auto"/>
            <w:vAlign w:val="center"/>
          </w:tcPr>
          <w:p>
            <w:pPr>
              <w:keepNext w:val="0"/>
              <w:keepLines w:val="0"/>
              <w:pageBreakBefore w:val="0"/>
              <w:widowControl w:val="0"/>
              <w:kinsoku/>
              <w:wordWrap/>
              <w:overflowPunct/>
              <w:topLinePunct w:val="0"/>
              <w:autoSpaceDE/>
              <w:autoSpaceDN/>
              <w:bidi w:val="0"/>
              <w:jc w:val="center"/>
              <w:rPr>
                <w:color w:val="auto"/>
                <w:kern w:val="0"/>
                <w:sz w:val="20"/>
                <w:szCs w:val="20"/>
              </w:rPr>
            </w:pPr>
            <w:r>
              <w:rPr>
                <w:color w:val="auto"/>
                <w:kern w:val="0"/>
              </w:rPr>
              <w:t>1km范围内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79"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081"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污染影响型</w:t>
            </w:r>
          </w:p>
        </w:tc>
        <w:tc>
          <w:tcPr>
            <w:tcW w:w="1331"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p>
        </w:tc>
        <w:tc>
          <w:tcPr>
            <w:tcW w:w="1609"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center"/>
              <w:textAlignment w:val="baseline"/>
              <w:rPr>
                <w:color w:val="auto"/>
                <w:kern w:val="0"/>
              </w:rPr>
            </w:pPr>
            <w:r>
              <w:rPr>
                <w:color w:val="auto"/>
                <w:kern w:val="0"/>
              </w:rPr>
              <w:t>0.05km范围内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val="0"/>
              <w:snapToGrid w:val="0"/>
              <w:jc w:val="both"/>
              <w:textAlignment w:val="baseline"/>
              <w:rPr>
                <w:color w:val="auto"/>
                <w:kern w:val="0"/>
              </w:rPr>
            </w:pPr>
            <w:r>
              <w:rPr>
                <w:color w:val="auto"/>
                <w:kern w:val="0"/>
              </w:rPr>
              <w:t>a涉及大气沉降途径影响的，可根据主导风向下风向的最大落地浓度点适当调整</w:t>
            </w:r>
          </w:p>
          <w:p>
            <w:pPr>
              <w:keepNext w:val="0"/>
              <w:keepLines w:val="0"/>
              <w:pageBreakBefore w:val="0"/>
              <w:widowControl w:val="0"/>
              <w:kinsoku/>
              <w:wordWrap/>
              <w:overflowPunct/>
              <w:topLinePunct w:val="0"/>
              <w:autoSpaceDE/>
              <w:autoSpaceDN/>
              <w:bidi w:val="0"/>
              <w:adjustRightInd w:val="0"/>
              <w:snapToGrid w:val="0"/>
              <w:jc w:val="both"/>
              <w:textAlignment w:val="baseline"/>
              <w:rPr>
                <w:color w:val="auto"/>
                <w:kern w:val="0"/>
              </w:rPr>
            </w:pPr>
            <w:r>
              <w:rPr>
                <w:color w:val="auto"/>
                <w:kern w:val="0"/>
              </w:rPr>
              <w:t>b矿山类项目指开采区和各场地的占地；改、扩建类</w:t>
            </w:r>
            <w:r>
              <w:rPr>
                <w:rFonts w:hint="eastAsia"/>
                <w:color w:val="auto"/>
                <w:kern w:val="0"/>
                <w:lang w:eastAsia="zh-CN"/>
              </w:rPr>
              <w:t>指的是</w:t>
            </w:r>
            <w:r>
              <w:rPr>
                <w:color w:val="auto"/>
                <w:kern w:val="0"/>
              </w:rPr>
              <w:t>现有工程与拟建工程的占地</w:t>
            </w:r>
          </w:p>
        </w:tc>
      </w:tr>
    </w:tbl>
    <w:p>
      <w:pPr>
        <w:adjustRightInd w:val="0"/>
        <w:snapToGrid w:val="0"/>
        <w:textAlignment w:val="baseline"/>
        <w:rPr>
          <w:color w:val="auto"/>
          <w:kern w:val="0"/>
          <w:sz w:val="24"/>
          <w:szCs w:val="20"/>
        </w:rPr>
      </w:pPr>
    </w:p>
    <w:p>
      <w:pPr>
        <w:adjustRightInd w:val="0"/>
        <w:snapToGrid w:val="0"/>
        <w:textAlignment w:val="baseline"/>
        <w:rPr>
          <w:color w:val="auto"/>
          <w:kern w:val="0"/>
          <w:sz w:val="24"/>
          <w:szCs w:val="20"/>
        </w:rPr>
      </w:pPr>
      <w:r>
        <w:rPr>
          <w:color w:val="auto"/>
          <w:kern w:val="0"/>
          <w:sz w:val="24"/>
          <w:szCs w:val="20"/>
        </w:rPr>
        <w:drawing>
          <wp:inline distT="0" distB="0" distL="0" distR="0">
            <wp:extent cx="5266690" cy="3022600"/>
            <wp:effectExtent l="0" t="0" r="10160" b="6350"/>
            <wp:docPr id="80" name="图片 80" descr="土壤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土壤评价范围"/>
                    <pic:cNvPicPr>
                      <a:picLocks noChangeAspect="1" noChangeArrowheads="1"/>
                    </pic:cNvPicPr>
                  </pic:nvPicPr>
                  <pic:blipFill>
                    <a:blip r:embed="rId129"/>
                    <a:srcRect/>
                    <a:stretch>
                      <a:fillRect/>
                    </a:stretch>
                  </pic:blipFill>
                  <pic:spPr>
                    <a:xfrm>
                      <a:off x="0" y="0"/>
                      <a:ext cx="5266690" cy="3022600"/>
                    </a:xfrm>
                    <a:prstGeom prst="rect">
                      <a:avLst/>
                    </a:prstGeom>
                    <a:noFill/>
                    <a:ln>
                      <a:noFill/>
                    </a:ln>
                  </pic:spPr>
                </pic:pic>
              </a:graphicData>
            </a:graphic>
          </wp:inline>
        </w:drawing>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图5.6-1  土壤环境影响评价范围示意图</w:t>
      </w:r>
    </w:p>
    <w:p>
      <w:pPr>
        <w:pStyle w:val="6"/>
        <w:spacing w:before="120" w:beforeLines="50" w:after="0" w:line="360" w:lineRule="auto"/>
        <w:rPr>
          <w:b w:val="0"/>
          <w:color w:val="auto"/>
          <w:sz w:val="24"/>
          <w:szCs w:val="24"/>
        </w:rPr>
      </w:pPr>
      <w:r>
        <w:rPr>
          <w:b w:val="0"/>
          <w:color w:val="auto"/>
          <w:sz w:val="24"/>
          <w:szCs w:val="24"/>
        </w:rPr>
        <w:t>5.6.2.2土壤环境调查</w:t>
      </w:r>
    </w:p>
    <w:p>
      <w:pPr>
        <w:keepNext w:val="0"/>
        <w:keepLines w:val="0"/>
        <w:pageBreakBefore w:val="0"/>
        <w:widowControl/>
        <w:kinsoku/>
        <w:wordWrap/>
        <w:overflowPunct/>
        <w:topLinePunct w:val="0"/>
        <w:bidi w:val="0"/>
        <w:adjustRightInd w:val="0"/>
        <w:snapToGrid w:val="0"/>
        <w:spacing w:line="360" w:lineRule="auto"/>
        <w:textAlignment w:val="baseline"/>
        <w:rPr>
          <w:color w:val="auto"/>
          <w:kern w:val="0"/>
          <w:sz w:val="24"/>
          <w:szCs w:val="20"/>
        </w:rPr>
      </w:pPr>
      <w:r>
        <w:rPr>
          <w:color w:val="auto"/>
          <w:kern w:val="0"/>
          <w:sz w:val="24"/>
          <w:szCs w:val="20"/>
        </w:rPr>
        <w:t>5.6.2.2.1土壤环境质量现状调查</w:t>
      </w:r>
    </w:p>
    <w:p>
      <w:pPr>
        <w:keepNext w:val="0"/>
        <w:keepLines w:val="0"/>
        <w:pageBreakBefore w:val="0"/>
        <w:widowControl/>
        <w:kinsoku/>
        <w:wordWrap/>
        <w:overflowPunct/>
        <w:topLinePunct w:val="0"/>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根据《环境影响评价技术导则 土壤环境（试行）》（HJ964-2018）相关规定，本项目属于污染影响型项目，评价工作等级为</w:t>
      </w:r>
      <w:r>
        <w:rPr>
          <w:rFonts w:hint="eastAsia"/>
          <w:color w:val="auto"/>
          <w:kern w:val="0"/>
          <w:sz w:val="24"/>
          <w:szCs w:val="20"/>
        </w:rPr>
        <w:t>二</w:t>
      </w:r>
      <w:r>
        <w:rPr>
          <w:color w:val="auto"/>
          <w:kern w:val="0"/>
          <w:sz w:val="24"/>
          <w:szCs w:val="20"/>
        </w:rPr>
        <w:t>级。本次土壤环境质量监测共布设</w:t>
      </w:r>
      <w:r>
        <w:rPr>
          <w:rFonts w:hint="eastAsia"/>
          <w:color w:val="auto"/>
          <w:kern w:val="0"/>
          <w:sz w:val="24"/>
          <w:szCs w:val="20"/>
        </w:rPr>
        <w:t>6</w:t>
      </w:r>
      <w:r>
        <w:rPr>
          <w:color w:val="auto"/>
          <w:kern w:val="0"/>
          <w:sz w:val="24"/>
          <w:szCs w:val="20"/>
        </w:rPr>
        <w:t>个点位，其中厂区内设置</w:t>
      </w:r>
      <w:r>
        <w:rPr>
          <w:rFonts w:hint="eastAsia"/>
          <w:color w:val="auto"/>
          <w:kern w:val="0"/>
          <w:sz w:val="24"/>
          <w:szCs w:val="20"/>
        </w:rPr>
        <w:t>3</w:t>
      </w:r>
      <w:r>
        <w:rPr>
          <w:color w:val="auto"/>
          <w:kern w:val="0"/>
          <w:sz w:val="24"/>
          <w:szCs w:val="20"/>
        </w:rPr>
        <w:t>个柱状样点位（0-3m），</w:t>
      </w:r>
      <w:r>
        <w:rPr>
          <w:rFonts w:hint="eastAsia"/>
          <w:color w:val="auto"/>
          <w:kern w:val="0"/>
          <w:sz w:val="24"/>
          <w:szCs w:val="20"/>
        </w:rPr>
        <w:t>1</w:t>
      </w:r>
      <w:r>
        <w:rPr>
          <w:color w:val="auto"/>
          <w:kern w:val="0"/>
          <w:sz w:val="24"/>
          <w:szCs w:val="20"/>
        </w:rPr>
        <w:t>个表层样点位（0-0.5m），厂区外设置</w:t>
      </w:r>
      <w:r>
        <w:rPr>
          <w:rFonts w:hint="eastAsia"/>
          <w:color w:val="auto"/>
          <w:kern w:val="0"/>
          <w:sz w:val="24"/>
          <w:szCs w:val="20"/>
        </w:rPr>
        <w:t>2</w:t>
      </w:r>
      <w:r>
        <w:rPr>
          <w:color w:val="auto"/>
          <w:kern w:val="0"/>
          <w:sz w:val="24"/>
          <w:szCs w:val="20"/>
        </w:rPr>
        <w:t>个表层样点位（0-0.2m）。</w:t>
      </w:r>
    </w:p>
    <w:p>
      <w:pPr>
        <w:keepNext w:val="0"/>
        <w:keepLines w:val="0"/>
        <w:pageBreakBefore w:val="0"/>
        <w:widowControl/>
        <w:kinsoku/>
        <w:wordWrap/>
        <w:overflowPunct/>
        <w:topLinePunct w:val="0"/>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经过对监测数据统计分析（详见报告第三章），厂区内各监测点位监测因子的柱状样及表层样均能满足《土壤环境质量  建设用地土壤污染风险管控标准（试行）》（GB36600-2018）二级标准要求；厂区外各监测因子表层样也均能满足《土壤环境质量  建设用地土壤污染风险管控标准（试行）》（GB36600-2018）二级标准要求。</w:t>
      </w:r>
    </w:p>
    <w:p>
      <w:pPr>
        <w:keepNext w:val="0"/>
        <w:keepLines w:val="0"/>
        <w:pageBreakBefore w:val="0"/>
        <w:widowControl/>
        <w:kinsoku/>
        <w:wordWrap/>
        <w:overflowPunct/>
        <w:topLinePunct w:val="0"/>
        <w:bidi w:val="0"/>
        <w:adjustRightInd w:val="0"/>
        <w:snapToGrid w:val="0"/>
        <w:spacing w:line="360" w:lineRule="auto"/>
        <w:textAlignment w:val="baseline"/>
        <w:rPr>
          <w:color w:val="auto"/>
          <w:kern w:val="0"/>
          <w:sz w:val="24"/>
          <w:szCs w:val="20"/>
        </w:rPr>
      </w:pPr>
      <w:r>
        <w:rPr>
          <w:color w:val="auto"/>
          <w:kern w:val="0"/>
          <w:sz w:val="24"/>
          <w:szCs w:val="20"/>
        </w:rPr>
        <w:t>5.6.2.2.2土地利用历史及现状调查</w:t>
      </w:r>
    </w:p>
    <w:p>
      <w:pPr>
        <w:keepNext w:val="0"/>
        <w:keepLines w:val="0"/>
        <w:pageBreakBefore w:val="0"/>
        <w:widowControl/>
        <w:kinsoku/>
        <w:wordWrap/>
        <w:overflowPunct/>
        <w:topLinePunct w:val="0"/>
        <w:autoSpaceDE w:val="0"/>
        <w:autoSpaceDN w:val="0"/>
        <w:bidi w:val="0"/>
        <w:adjustRightInd w:val="0"/>
        <w:snapToGrid w:val="0"/>
        <w:spacing w:line="360" w:lineRule="auto"/>
        <w:ind w:firstLine="720" w:firstLineChars="300"/>
        <w:textAlignment w:val="auto"/>
        <w:rPr>
          <w:color w:val="auto"/>
          <w:kern w:val="0"/>
          <w:sz w:val="24"/>
          <w:szCs w:val="28"/>
        </w:rPr>
      </w:pPr>
      <w:r>
        <w:rPr>
          <w:color w:val="auto"/>
          <w:sz w:val="24"/>
          <w:szCs w:val="24"/>
          <w:shd w:val="clear" w:color="auto" w:fill="FFFFFF"/>
        </w:rPr>
        <w:t>《获嘉县产业集聚区总体发展规划（2016-2020）调整方案环境影响报告书》</w:t>
      </w:r>
      <w:r>
        <w:rPr>
          <w:color w:val="auto"/>
          <w:kern w:val="21"/>
          <w:sz w:val="24"/>
        </w:rPr>
        <w:t>于2019年编制完成，已取得河南省生态环境厅的批复</w:t>
      </w:r>
      <w:r>
        <w:rPr>
          <w:color w:val="auto"/>
          <w:sz w:val="24"/>
          <w:shd w:val="clear" w:color="auto" w:fill="FFFFFF"/>
        </w:rPr>
        <w:t>（豫环函[2019]53号）</w:t>
      </w:r>
      <w:r>
        <w:rPr>
          <w:color w:val="auto"/>
          <w:kern w:val="21"/>
          <w:sz w:val="24"/>
        </w:rPr>
        <w:t>。规划前，本项目占地范围内及周边主要为耕地。规划完成后，本项目占地范围内及周边主要为第二类建设用地（工业用地），获嘉县产业集聚区规划图见附图</w:t>
      </w:r>
      <w:r>
        <w:rPr>
          <w:rFonts w:hint="eastAsia"/>
          <w:color w:val="auto"/>
          <w:kern w:val="21"/>
          <w:sz w:val="24"/>
        </w:rPr>
        <w:t>四</w:t>
      </w:r>
      <w:r>
        <w:rPr>
          <w:color w:val="auto"/>
          <w:kern w:val="21"/>
          <w:sz w:val="24"/>
        </w:rPr>
        <w:t>，本项目为新建项目，租用河南奔茨新能有限公司现有闲置厂房进行建设，现状为二类工业用地。</w:t>
      </w:r>
      <w:r>
        <w:rPr>
          <w:color w:val="auto"/>
          <w:kern w:val="0"/>
          <w:sz w:val="24"/>
          <w:szCs w:val="28"/>
        </w:rPr>
        <w:t xml:space="preserve">根据国家土壤信息服务平台（http://www.soilinfo.cn/map/） </w:t>
      </w:r>
      <w:r>
        <w:rPr>
          <w:rFonts w:hint="eastAsia"/>
          <w:color w:val="auto"/>
          <w:kern w:val="0"/>
          <w:sz w:val="24"/>
          <w:szCs w:val="28"/>
        </w:rPr>
        <w:t>“</w:t>
      </w:r>
      <w:r>
        <w:rPr>
          <w:color w:val="auto"/>
          <w:kern w:val="0"/>
          <w:sz w:val="24"/>
          <w:szCs w:val="28"/>
        </w:rPr>
        <w:t>中国1公里发生分类土壤图</w:t>
      </w:r>
      <w:r>
        <w:rPr>
          <w:rFonts w:hint="eastAsia"/>
          <w:color w:val="auto"/>
          <w:kern w:val="0"/>
          <w:sz w:val="24"/>
          <w:szCs w:val="28"/>
        </w:rPr>
        <w:t>”</w:t>
      </w:r>
      <w:r>
        <w:rPr>
          <w:color w:val="auto"/>
          <w:kern w:val="0"/>
          <w:sz w:val="24"/>
          <w:szCs w:val="28"/>
        </w:rPr>
        <w:t>，按照《中国土壤分类与代码》（GB/T 17296-2009）按照60个土类划分，本项目所在区域土壤类型均为H21潮土。</w:t>
      </w:r>
    </w:p>
    <w:p>
      <w:pPr>
        <w:tabs>
          <w:tab w:val="left" w:pos="3335"/>
        </w:tabs>
        <w:jc w:val="center"/>
        <w:rPr>
          <w:rFonts w:eastAsia="黑体"/>
          <w:color w:val="auto"/>
          <w:kern w:val="0"/>
          <w:sz w:val="24"/>
          <w:szCs w:val="24"/>
        </w:rPr>
      </w:pPr>
      <w:r>
        <w:rPr>
          <w:color w:val="auto"/>
        </w:rPr>
        <w:drawing>
          <wp:inline distT="0" distB="0" distL="0" distR="0">
            <wp:extent cx="5288915" cy="3811905"/>
            <wp:effectExtent l="0" t="0" r="6985" b="17145"/>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
                    <pic:cNvPicPr>
                      <a:picLocks noChangeAspect="1" noChangeArrowheads="1"/>
                    </pic:cNvPicPr>
                  </pic:nvPicPr>
                  <pic:blipFill>
                    <a:blip r:embed="rId130"/>
                    <a:srcRect/>
                    <a:stretch>
                      <a:fillRect/>
                    </a:stretch>
                  </pic:blipFill>
                  <pic:spPr>
                    <a:xfrm>
                      <a:off x="0" y="0"/>
                      <a:ext cx="5288915" cy="3811905"/>
                    </a:xfrm>
                    <a:prstGeom prst="rect">
                      <a:avLst/>
                    </a:prstGeom>
                    <a:noFill/>
                    <a:ln>
                      <a:noFill/>
                    </a:ln>
                  </pic:spPr>
                </pic:pic>
              </a:graphicData>
            </a:graphic>
          </wp:inline>
        </w:drawing>
      </w:r>
      <w:r>
        <w:rPr>
          <w:rFonts w:eastAsia="黑体"/>
          <w:color w:val="auto"/>
          <w:kern w:val="0"/>
          <w:sz w:val="24"/>
          <w:szCs w:val="24"/>
        </w:rPr>
        <w:t>图5.6-2 本项目所在区域土壤类型分布图</w:t>
      </w:r>
    </w:p>
    <w:p>
      <w:pPr>
        <w:keepNext w:val="0"/>
        <w:keepLines w:val="0"/>
        <w:pageBreakBefore w:val="0"/>
        <w:widowControl/>
        <w:kinsoku/>
        <w:wordWrap/>
        <w:overflowPunct/>
        <w:topLinePunct w:val="0"/>
        <w:autoSpaceDE/>
        <w:autoSpaceDN/>
        <w:bidi w:val="0"/>
        <w:adjustRightInd w:val="0"/>
        <w:snapToGrid w:val="0"/>
        <w:spacing w:before="157" w:beforeLines="50" w:line="360" w:lineRule="auto"/>
        <w:textAlignment w:val="baseline"/>
        <w:rPr>
          <w:color w:val="auto"/>
          <w:kern w:val="0"/>
          <w:sz w:val="24"/>
          <w:szCs w:val="20"/>
        </w:rPr>
      </w:pPr>
      <w:r>
        <w:rPr>
          <w:color w:val="auto"/>
          <w:kern w:val="0"/>
          <w:sz w:val="24"/>
          <w:szCs w:val="20"/>
        </w:rPr>
        <w:t>5.6.2.2.3</w:t>
      </w:r>
      <w:r>
        <w:rPr>
          <w:snapToGrid w:val="0"/>
          <w:color w:val="auto"/>
          <w:kern w:val="0"/>
          <w:sz w:val="24"/>
          <w:szCs w:val="20"/>
        </w:rPr>
        <w:t>气象、地形地貌及水文地质资料</w:t>
      </w:r>
    </w:p>
    <w:p>
      <w:pPr>
        <w:spacing w:line="360" w:lineRule="auto"/>
        <w:ind w:firstLine="480" w:firstLineChars="200"/>
        <w:rPr>
          <w:color w:val="auto"/>
          <w:kern w:val="0"/>
          <w:sz w:val="24"/>
          <w:szCs w:val="28"/>
        </w:rPr>
      </w:pPr>
      <w:r>
        <w:rPr>
          <w:color w:val="auto"/>
          <w:kern w:val="0"/>
          <w:sz w:val="24"/>
          <w:szCs w:val="28"/>
        </w:rPr>
        <w:t>（1）气象气候</w:t>
      </w:r>
    </w:p>
    <w:p>
      <w:pPr>
        <w:spacing w:line="360" w:lineRule="auto"/>
        <w:ind w:firstLine="480" w:firstLineChars="200"/>
        <w:rPr>
          <w:color w:val="auto"/>
          <w:kern w:val="0"/>
          <w:sz w:val="24"/>
          <w:szCs w:val="28"/>
        </w:rPr>
      </w:pPr>
      <w:r>
        <w:rPr>
          <w:color w:val="auto"/>
          <w:kern w:val="0"/>
          <w:sz w:val="24"/>
          <w:szCs w:val="28"/>
        </w:rPr>
        <w:t>从气候类型划分，该地区为北暖温带大陆性季风气候，具有明显的季风气候特征。气温、风、降水随季节变化明显。受季风影响的原因，冬季气候寒冷，空气干燥，降水稀少；夏季气候炎热，空气湿润，降水多呈强阵性；春秋季节属冬季和夏季的过渡时期，气候较为温和，但时间短促。总的来说，该地的气候主要受北半球大气环流制约。该地重要的气候特征是一年四季分明。</w:t>
      </w:r>
    </w:p>
    <w:p>
      <w:pPr>
        <w:spacing w:line="360" w:lineRule="auto"/>
        <w:ind w:firstLine="480" w:firstLineChars="200"/>
        <w:rPr>
          <w:color w:val="auto"/>
          <w:kern w:val="0"/>
          <w:sz w:val="24"/>
          <w:szCs w:val="28"/>
        </w:rPr>
      </w:pPr>
      <w:r>
        <w:rPr>
          <w:color w:val="auto"/>
          <w:kern w:val="0"/>
          <w:sz w:val="24"/>
          <w:szCs w:val="28"/>
        </w:rPr>
        <w:t>（2）区域水文地质</w:t>
      </w:r>
    </w:p>
    <w:p>
      <w:pPr>
        <w:spacing w:line="360" w:lineRule="auto"/>
        <w:ind w:firstLine="480" w:firstLineChars="200"/>
        <w:rPr>
          <w:color w:val="auto"/>
          <w:kern w:val="0"/>
          <w:sz w:val="24"/>
          <w:szCs w:val="28"/>
        </w:rPr>
      </w:pPr>
      <w:r>
        <w:rPr>
          <w:color w:val="auto"/>
          <w:kern w:val="0"/>
          <w:sz w:val="24"/>
          <w:szCs w:val="28"/>
        </w:rPr>
        <w:t>评价区地下水含水层为第四系松散岩类孔隙含水层组中等富水区。分布于史庄—位庄—照镜及其以南地区，含水层为中砂、细砂，厚度20～40m，渗透系数11.9～27.8m/d，单位涌水量11.1～29.0m</w:t>
      </w:r>
      <w:r>
        <w:rPr>
          <w:color w:val="auto"/>
          <w:kern w:val="0"/>
          <w:sz w:val="24"/>
          <w:szCs w:val="28"/>
          <w:vertAlign w:val="superscript"/>
        </w:rPr>
        <w:t>3</w:t>
      </w:r>
      <w:r>
        <w:rPr>
          <w:color w:val="auto"/>
          <w:kern w:val="0"/>
          <w:sz w:val="24"/>
          <w:szCs w:val="28"/>
        </w:rPr>
        <w:t>/h·m，单井涌水量1110～2910m</w:t>
      </w:r>
      <w:r>
        <w:rPr>
          <w:color w:val="auto"/>
          <w:kern w:val="0"/>
          <w:sz w:val="24"/>
          <w:szCs w:val="28"/>
          <w:vertAlign w:val="superscript"/>
        </w:rPr>
        <w:t>3</w:t>
      </w:r>
      <w:r>
        <w:rPr>
          <w:color w:val="auto"/>
          <w:kern w:val="0"/>
          <w:sz w:val="24"/>
          <w:szCs w:val="28"/>
        </w:rPr>
        <w:t>/d。</w:t>
      </w:r>
    </w:p>
    <w:p>
      <w:pPr>
        <w:spacing w:line="360" w:lineRule="auto"/>
        <w:ind w:firstLine="480" w:firstLineChars="200"/>
        <w:rPr>
          <w:color w:val="auto"/>
          <w:kern w:val="0"/>
          <w:sz w:val="24"/>
          <w:szCs w:val="28"/>
        </w:rPr>
      </w:pPr>
      <w:r>
        <w:rPr>
          <w:color w:val="auto"/>
          <w:kern w:val="0"/>
          <w:sz w:val="24"/>
          <w:szCs w:val="28"/>
        </w:rPr>
        <w:t>根据实地调查结果和长观资料分析，评价区地下水动态受降水、人工开采等影响明显，评价区有连续的区域地下水流场，地下水总体流向为西南流向东北，水力坡度为1/4000～1/300。</w:t>
      </w:r>
    </w:p>
    <w:p>
      <w:pPr>
        <w:spacing w:line="360" w:lineRule="auto"/>
        <w:ind w:firstLine="480" w:firstLineChars="200"/>
        <w:rPr>
          <w:color w:val="auto"/>
          <w:kern w:val="0"/>
          <w:sz w:val="24"/>
          <w:szCs w:val="28"/>
        </w:rPr>
      </w:pPr>
      <w:r>
        <w:rPr>
          <w:color w:val="auto"/>
          <w:kern w:val="0"/>
          <w:sz w:val="24"/>
          <w:szCs w:val="28"/>
        </w:rPr>
        <w:t>据区域水文资料，场区地下水属孔隙潜水类型，其动态变化主要受季节性影响，年水位变化幅度2.0m左右，地下水的补给来源以大气降水和侧向径流为主，以蒸发、人工开采和侧向径流为主要排泄途径。根据本地地下水位变化历史，近3-5年内地下水最高水位在3.0m左右，历史最高水位0.5m左右。</w:t>
      </w:r>
    </w:p>
    <w:p>
      <w:pPr>
        <w:spacing w:line="360" w:lineRule="auto"/>
        <w:ind w:firstLine="480" w:firstLineChars="200"/>
        <w:rPr>
          <w:color w:val="auto"/>
          <w:kern w:val="0"/>
          <w:sz w:val="24"/>
          <w:szCs w:val="28"/>
        </w:rPr>
      </w:pPr>
      <w:r>
        <w:rPr>
          <w:color w:val="auto"/>
          <w:kern w:val="0"/>
          <w:sz w:val="24"/>
          <w:szCs w:val="28"/>
        </w:rPr>
        <w:t>（3）地形地貌</w:t>
      </w:r>
    </w:p>
    <w:p>
      <w:pPr>
        <w:spacing w:line="360" w:lineRule="auto"/>
        <w:ind w:firstLine="480" w:firstLineChars="200"/>
        <w:rPr>
          <w:color w:val="auto"/>
          <w:kern w:val="0"/>
          <w:sz w:val="24"/>
          <w:szCs w:val="28"/>
        </w:rPr>
      </w:pPr>
      <w:r>
        <w:rPr>
          <w:color w:val="auto"/>
          <w:kern w:val="0"/>
          <w:sz w:val="24"/>
          <w:szCs w:val="28"/>
        </w:rPr>
        <w:t>评价区处于黄河冲积平原中上部，北部与山前冲洪积平原相衔接，地势总特点是西南向东北微倾斜，地面高程87.5～74.2m。评价区地貌类型为黄河冲积平原。评价区地表广为第四系覆盖，其余地层均为隐伏地层。</w:t>
      </w:r>
    </w:p>
    <w:p>
      <w:pPr>
        <w:spacing w:line="360" w:lineRule="auto"/>
        <w:ind w:firstLine="480" w:firstLineChars="200"/>
        <w:rPr>
          <w:color w:val="auto"/>
          <w:kern w:val="0"/>
          <w:sz w:val="24"/>
          <w:szCs w:val="28"/>
        </w:rPr>
      </w:pPr>
      <w:r>
        <w:rPr>
          <w:color w:val="auto"/>
          <w:kern w:val="0"/>
          <w:sz w:val="24"/>
          <w:szCs w:val="28"/>
        </w:rPr>
        <w:t>根据收集周边资料，150m深度内为第四系上更新统和全新统的冲积地层。</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5.6.2.2.4土壤理化特性调查</w:t>
      </w:r>
    </w:p>
    <w:p>
      <w:pPr>
        <w:autoSpaceDE w:val="0"/>
        <w:autoSpaceDN w:val="0"/>
        <w:adjustRightInd w:val="0"/>
        <w:snapToGrid w:val="0"/>
        <w:spacing w:line="360" w:lineRule="auto"/>
        <w:ind w:firstLine="720" w:firstLineChars="300"/>
        <w:rPr>
          <w:color w:val="auto"/>
          <w:kern w:val="0"/>
          <w:sz w:val="24"/>
          <w:szCs w:val="28"/>
        </w:rPr>
      </w:pPr>
      <w:r>
        <w:rPr>
          <w:color w:val="auto"/>
          <w:kern w:val="0"/>
          <w:sz w:val="24"/>
          <w:szCs w:val="28"/>
        </w:rPr>
        <w:t xml:space="preserve">根据国家土壤信息服务平台（http://www.soilinfo.cn/map/） </w:t>
      </w:r>
      <w:r>
        <w:rPr>
          <w:rFonts w:hint="eastAsia"/>
          <w:color w:val="auto"/>
          <w:kern w:val="0"/>
          <w:sz w:val="24"/>
          <w:szCs w:val="28"/>
        </w:rPr>
        <w:t>“</w:t>
      </w:r>
      <w:r>
        <w:rPr>
          <w:color w:val="auto"/>
          <w:kern w:val="0"/>
          <w:sz w:val="24"/>
          <w:szCs w:val="28"/>
        </w:rPr>
        <w:t>中国1公里发生分类土壤图</w:t>
      </w:r>
      <w:r>
        <w:rPr>
          <w:rFonts w:hint="eastAsia"/>
          <w:color w:val="auto"/>
          <w:kern w:val="0"/>
          <w:sz w:val="24"/>
          <w:szCs w:val="28"/>
        </w:rPr>
        <w:t>”</w:t>
      </w:r>
      <w:r>
        <w:rPr>
          <w:color w:val="auto"/>
          <w:kern w:val="0"/>
          <w:sz w:val="24"/>
          <w:szCs w:val="28"/>
        </w:rPr>
        <w:t>，按照《中国土壤分类与代码》（GB/T 17296-2009）按照60个土类划分，本项目所在区域土壤类型均为H21潮土。</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根据中国土壤数据库，潮土的理化性质见下表5.6-6：</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表5.6-6  土壤理化特性调查表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699"/>
        <w:gridCol w:w="260"/>
        <w:gridCol w:w="981"/>
        <w:gridCol w:w="1318"/>
        <w:gridCol w:w="675"/>
        <w:gridCol w:w="630"/>
        <w:gridCol w:w="1275"/>
        <w:gridCol w:w="1373"/>
        <w:gridCol w:w="187"/>
        <w:gridCol w:w="113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59" w:type="dxa"/>
            <w:gridSpan w:val="2"/>
            <w:vAlign w:val="center"/>
          </w:tcPr>
          <w:p>
            <w:pPr>
              <w:jc w:val="center"/>
              <w:rPr>
                <w:b/>
                <w:color w:val="auto"/>
                <w:szCs w:val="20"/>
              </w:rPr>
            </w:pPr>
            <w:r>
              <w:rPr>
                <w:b/>
                <w:color w:val="auto"/>
                <w:szCs w:val="20"/>
              </w:rPr>
              <w:t>土壤名称</w:t>
            </w:r>
          </w:p>
        </w:tc>
        <w:tc>
          <w:tcPr>
            <w:tcW w:w="2971" w:type="dxa"/>
            <w:gridSpan w:val="3"/>
            <w:vAlign w:val="center"/>
          </w:tcPr>
          <w:p>
            <w:pPr>
              <w:contextualSpacing/>
              <w:jc w:val="center"/>
              <w:textAlignment w:val="baseline"/>
              <w:rPr>
                <w:color w:val="auto"/>
                <w:kern w:val="0"/>
              </w:rPr>
            </w:pPr>
            <w:r>
              <w:rPr>
                <w:color w:val="auto"/>
                <w:kern w:val="0"/>
              </w:rPr>
              <w:t>潮土</w:t>
            </w:r>
          </w:p>
        </w:tc>
        <w:tc>
          <w:tcPr>
            <w:tcW w:w="3462" w:type="dxa"/>
            <w:gridSpan w:val="4"/>
            <w:vAlign w:val="center"/>
          </w:tcPr>
          <w:p>
            <w:pPr>
              <w:contextualSpacing/>
              <w:jc w:val="center"/>
              <w:textAlignment w:val="baseline"/>
              <w:rPr>
                <w:color w:val="auto"/>
                <w:kern w:val="0"/>
              </w:rPr>
            </w:pPr>
            <w:r>
              <w:rPr>
                <w:color w:val="auto"/>
                <w:kern w:val="0"/>
              </w:rPr>
              <w:t>土地利用类型</w:t>
            </w:r>
          </w:p>
        </w:tc>
        <w:tc>
          <w:tcPr>
            <w:tcW w:w="1130" w:type="dxa"/>
            <w:vAlign w:val="center"/>
          </w:tcPr>
          <w:p>
            <w:pPr>
              <w:contextualSpacing/>
              <w:jc w:val="center"/>
              <w:textAlignment w:val="baseline"/>
              <w:rPr>
                <w:color w:val="auto"/>
                <w:kern w:val="0"/>
              </w:rPr>
            </w:pPr>
            <w:r>
              <w:rPr>
                <w:color w:val="auto"/>
                <w:kern w:val="0"/>
              </w:rPr>
              <w:t>旱地</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59" w:type="dxa"/>
            <w:gridSpan w:val="2"/>
            <w:vAlign w:val="center"/>
          </w:tcPr>
          <w:p>
            <w:pPr>
              <w:jc w:val="center"/>
              <w:rPr>
                <w:b/>
                <w:color w:val="auto"/>
                <w:szCs w:val="20"/>
              </w:rPr>
            </w:pPr>
            <w:r>
              <w:rPr>
                <w:b/>
                <w:color w:val="auto"/>
                <w:szCs w:val="20"/>
              </w:rPr>
              <w:t>土壤温度状况</w:t>
            </w:r>
          </w:p>
        </w:tc>
        <w:tc>
          <w:tcPr>
            <w:tcW w:w="2971" w:type="dxa"/>
            <w:gridSpan w:val="3"/>
            <w:vAlign w:val="center"/>
          </w:tcPr>
          <w:p>
            <w:pPr>
              <w:contextualSpacing/>
              <w:jc w:val="center"/>
              <w:textAlignment w:val="baseline"/>
              <w:rPr>
                <w:color w:val="auto"/>
                <w:kern w:val="0"/>
              </w:rPr>
            </w:pPr>
            <w:r>
              <w:rPr>
                <w:color w:val="auto"/>
                <w:kern w:val="0"/>
              </w:rPr>
              <w:t>温性</w:t>
            </w:r>
          </w:p>
        </w:tc>
        <w:tc>
          <w:tcPr>
            <w:tcW w:w="3462" w:type="dxa"/>
            <w:gridSpan w:val="4"/>
            <w:vAlign w:val="center"/>
          </w:tcPr>
          <w:p>
            <w:pPr>
              <w:contextualSpacing/>
              <w:jc w:val="center"/>
              <w:textAlignment w:val="baseline"/>
              <w:rPr>
                <w:color w:val="auto"/>
                <w:kern w:val="0"/>
              </w:rPr>
            </w:pPr>
            <w:r>
              <w:rPr>
                <w:color w:val="auto"/>
                <w:kern w:val="0"/>
              </w:rPr>
              <w:t>地形</w:t>
            </w:r>
          </w:p>
        </w:tc>
        <w:tc>
          <w:tcPr>
            <w:tcW w:w="1130" w:type="dxa"/>
            <w:vAlign w:val="center"/>
          </w:tcPr>
          <w:p>
            <w:pPr>
              <w:contextualSpacing/>
              <w:jc w:val="center"/>
              <w:textAlignment w:val="baseline"/>
              <w:rPr>
                <w:color w:val="auto"/>
                <w:kern w:val="0"/>
              </w:rPr>
            </w:pPr>
            <w:r>
              <w:rPr>
                <w:color w:val="auto"/>
                <w:kern w:val="0"/>
              </w:rPr>
              <w:t>冲积平原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59" w:type="dxa"/>
            <w:gridSpan w:val="2"/>
            <w:vAlign w:val="center"/>
          </w:tcPr>
          <w:p>
            <w:pPr>
              <w:jc w:val="center"/>
              <w:rPr>
                <w:b/>
                <w:color w:val="auto"/>
                <w:szCs w:val="20"/>
              </w:rPr>
            </w:pPr>
            <w:r>
              <w:rPr>
                <w:b/>
                <w:color w:val="auto"/>
                <w:szCs w:val="20"/>
              </w:rPr>
              <w:t>一般性</w:t>
            </w:r>
          </w:p>
          <w:p>
            <w:pPr>
              <w:jc w:val="center"/>
              <w:rPr>
                <w:b/>
                <w:color w:val="auto"/>
                <w:szCs w:val="20"/>
              </w:rPr>
            </w:pPr>
            <w:r>
              <w:rPr>
                <w:b/>
                <w:color w:val="auto"/>
                <w:szCs w:val="20"/>
              </w:rPr>
              <w:t>描述</w:t>
            </w:r>
          </w:p>
        </w:tc>
        <w:tc>
          <w:tcPr>
            <w:tcW w:w="7563" w:type="dxa"/>
            <w:gridSpan w:val="8"/>
            <w:vAlign w:val="center"/>
          </w:tcPr>
          <w:p>
            <w:pPr>
              <w:contextualSpacing/>
              <w:jc w:val="center"/>
              <w:textAlignment w:val="baseline"/>
              <w:rPr>
                <w:color w:val="auto"/>
                <w:kern w:val="0"/>
              </w:rPr>
            </w:pPr>
            <w:r>
              <w:rPr>
                <w:color w:val="auto"/>
                <w:kern w:val="0"/>
              </w:rPr>
              <w:t>剖面采集自黄泛平原，母质为黄河泛滥冲积物。剖面总体呈棕色，60厘米以上土壤层次发育较明显，上部35厘米为粉砂壤土，35-55厘米为壤粘土（当地人称之为蒙金地）；剖面下部土体沉积层理清楚，以壤粘土为主，夹粉砂壤土。全剖面</w:t>
            </w:r>
          </w:p>
          <w:p>
            <w:pPr>
              <w:contextualSpacing/>
              <w:textAlignment w:val="baseline"/>
              <w:rPr>
                <w:color w:val="auto"/>
                <w:kern w:val="0"/>
              </w:rPr>
            </w:pPr>
            <w:r>
              <w:rPr>
                <w:color w:val="auto"/>
                <w:kern w:val="0"/>
              </w:rPr>
              <w:t>有石灰性反应。</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939" w:type="dxa"/>
            <w:gridSpan w:val="3"/>
            <w:vAlign w:val="center"/>
          </w:tcPr>
          <w:p>
            <w:pPr>
              <w:contextualSpacing/>
              <w:jc w:val="center"/>
              <w:textAlignment w:val="baseline"/>
              <w:rPr>
                <w:color w:val="auto"/>
                <w:kern w:val="0"/>
              </w:rPr>
            </w:pPr>
            <w:r>
              <w:rPr>
                <w:color w:val="auto"/>
                <w:kern w:val="0"/>
              </w:rPr>
              <w:t>层次代码</w:t>
            </w:r>
          </w:p>
        </w:tc>
        <w:tc>
          <w:tcPr>
            <w:tcW w:w="1317" w:type="dxa"/>
            <w:vAlign w:val="center"/>
          </w:tcPr>
          <w:p>
            <w:pPr>
              <w:contextualSpacing/>
              <w:jc w:val="center"/>
              <w:textAlignment w:val="baseline"/>
              <w:rPr>
                <w:color w:val="auto"/>
                <w:kern w:val="0"/>
              </w:rPr>
            </w:pPr>
            <w:r>
              <w:rPr>
                <w:color w:val="auto"/>
                <w:kern w:val="0"/>
              </w:rPr>
              <w:t xml:space="preserve">A </w:t>
            </w:r>
          </w:p>
        </w:tc>
        <w:tc>
          <w:tcPr>
            <w:tcW w:w="1303" w:type="dxa"/>
            <w:gridSpan w:val="2"/>
            <w:vAlign w:val="center"/>
          </w:tcPr>
          <w:p>
            <w:pPr>
              <w:contextualSpacing/>
              <w:jc w:val="center"/>
              <w:textAlignment w:val="baseline"/>
              <w:rPr>
                <w:color w:val="auto"/>
                <w:kern w:val="0"/>
              </w:rPr>
            </w:pPr>
            <w:r>
              <w:rPr>
                <w:color w:val="auto"/>
                <w:kern w:val="0"/>
              </w:rPr>
              <w:t xml:space="preserve">AB </w:t>
            </w:r>
          </w:p>
        </w:tc>
        <w:tc>
          <w:tcPr>
            <w:tcW w:w="1274" w:type="dxa"/>
            <w:vAlign w:val="center"/>
          </w:tcPr>
          <w:p>
            <w:pPr>
              <w:contextualSpacing/>
              <w:jc w:val="center"/>
              <w:textAlignment w:val="baseline"/>
              <w:rPr>
                <w:color w:val="auto"/>
                <w:kern w:val="0"/>
              </w:rPr>
            </w:pPr>
            <w:r>
              <w:rPr>
                <w:color w:val="auto"/>
                <w:kern w:val="0"/>
              </w:rPr>
              <w:t>B</w:t>
            </w:r>
          </w:p>
        </w:tc>
        <w:tc>
          <w:tcPr>
            <w:tcW w:w="1372" w:type="dxa"/>
            <w:vAlign w:val="center"/>
          </w:tcPr>
          <w:p>
            <w:pPr>
              <w:contextualSpacing/>
              <w:jc w:val="center"/>
              <w:textAlignment w:val="baseline"/>
              <w:rPr>
                <w:color w:val="auto"/>
                <w:kern w:val="0"/>
              </w:rPr>
            </w:pPr>
            <w:r>
              <w:rPr>
                <w:color w:val="auto"/>
                <w:kern w:val="0"/>
              </w:rPr>
              <w:t>BC</w:t>
            </w:r>
          </w:p>
        </w:tc>
        <w:tc>
          <w:tcPr>
            <w:tcW w:w="1317" w:type="dxa"/>
            <w:gridSpan w:val="2"/>
            <w:vAlign w:val="center"/>
          </w:tcPr>
          <w:p>
            <w:pPr>
              <w:contextualSpacing/>
              <w:jc w:val="center"/>
              <w:textAlignment w:val="baseline"/>
              <w:rPr>
                <w:color w:val="auto"/>
                <w:kern w:val="0"/>
              </w:rPr>
            </w:pPr>
            <w:r>
              <w:rPr>
                <w:color w:val="auto"/>
                <w:kern w:val="0"/>
              </w:rPr>
              <w:t>C</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restart"/>
            <w:vAlign w:val="center"/>
          </w:tcPr>
          <w:p>
            <w:pPr>
              <w:jc w:val="center"/>
              <w:rPr>
                <w:b/>
                <w:color w:val="auto"/>
                <w:szCs w:val="20"/>
              </w:rPr>
            </w:pPr>
            <w:r>
              <w:rPr>
                <w:b/>
                <w:color w:val="auto"/>
                <w:szCs w:val="20"/>
              </w:rPr>
              <w:t>形态调查</w:t>
            </w:r>
          </w:p>
        </w:tc>
        <w:tc>
          <w:tcPr>
            <w:tcW w:w="1240" w:type="dxa"/>
            <w:gridSpan w:val="2"/>
            <w:vAlign w:val="center"/>
          </w:tcPr>
          <w:p>
            <w:pPr>
              <w:contextualSpacing/>
              <w:jc w:val="center"/>
              <w:textAlignment w:val="baseline"/>
              <w:rPr>
                <w:color w:val="auto"/>
                <w:kern w:val="0"/>
              </w:rPr>
            </w:pPr>
            <w:r>
              <w:rPr>
                <w:color w:val="auto"/>
                <w:kern w:val="0"/>
              </w:rPr>
              <w:t>深度</w:t>
            </w:r>
            <w:r>
              <w:rPr>
                <w:rFonts w:hint="eastAsia"/>
                <w:color w:val="auto"/>
                <w:kern w:val="0"/>
                <w:lang w:eastAsia="zh-CN"/>
              </w:rPr>
              <w:t>(</w:t>
            </w:r>
            <w:r>
              <w:rPr>
                <w:color w:val="auto"/>
                <w:kern w:val="0"/>
              </w:rPr>
              <w:t>cm)</w:t>
            </w:r>
          </w:p>
        </w:tc>
        <w:tc>
          <w:tcPr>
            <w:tcW w:w="1317" w:type="dxa"/>
            <w:vAlign w:val="center"/>
          </w:tcPr>
          <w:p>
            <w:pPr>
              <w:contextualSpacing/>
              <w:jc w:val="center"/>
              <w:textAlignment w:val="baseline"/>
              <w:rPr>
                <w:color w:val="auto"/>
                <w:kern w:val="0"/>
              </w:rPr>
            </w:pPr>
            <w:r>
              <w:rPr>
                <w:color w:val="auto"/>
                <w:kern w:val="0"/>
              </w:rPr>
              <w:t>0～15</w:t>
            </w:r>
          </w:p>
        </w:tc>
        <w:tc>
          <w:tcPr>
            <w:tcW w:w="1303" w:type="dxa"/>
            <w:gridSpan w:val="2"/>
            <w:vAlign w:val="center"/>
          </w:tcPr>
          <w:p>
            <w:pPr>
              <w:contextualSpacing/>
              <w:jc w:val="center"/>
              <w:textAlignment w:val="baseline"/>
              <w:rPr>
                <w:color w:val="auto"/>
                <w:kern w:val="0"/>
              </w:rPr>
            </w:pPr>
            <w:r>
              <w:rPr>
                <w:color w:val="auto"/>
                <w:kern w:val="0"/>
              </w:rPr>
              <w:t>15～35</w:t>
            </w:r>
          </w:p>
        </w:tc>
        <w:tc>
          <w:tcPr>
            <w:tcW w:w="1274" w:type="dxa"/>
            <w:vAlign w:val="center"/>
          </w:tcPr>
          <w:p>
            <w:pPr>
              <w:contextualSpacing/>
              <w:jc w:val="center"/>
              <w:textAlignment w:val="baseline"/>
              <w:rPr>
                <w:color w:val="auto"/>
                <w:kern w:val="0"/>
              </w:rPr>
            </w:pPr>
            <w:r>
              <w:rPr>
                <w:color w:val="auto"/>
                <w:kern w:val="0"/>
              </w:rPr>
              <w:t>35～55</w:t>
            </w:r>
          </w:p>
        </w:tc>
        <w:tc>
          <w:tcPr>
            <w:tcW w:w="1372" w:type="dxa"/>
            <w:vAlign w:val="center"/>
          </w:tcPr>
          <w:p>
            <w:pPr>
              <w:contextualSpacing/>
              <w:jc w:val="center"/>
              <w:textAlignment w:val="baseline"/>
              <w:rPr>
                <w:color w:val="auto"/>
                <w:kern w:val="0"/>
              </w:rPr>
            </w:pPr>
            <w:r>
              <w:rPr>
                <w:color w:val="auto"/>
                <w:kern w:val="0"/>
              </w:rPr>
              <w:t>55～68</w:t>
            </w:r>
          </w:p>
        </w:tc>
        <w:tc>
          <w:tcPr>
            <w:tcW w:w="1317" w:type="dxa"/>
            <w:gridSpan w:val="2"/>
            <w:vAlign w:val="center"/>
          </w:tcPr>
          <w:p>
            <w:pPr>
              <w:contextualSpacing/>
              <w:jc w:val="center"/>
              <w:textAlignment w:val="baseline"/>
              <w:rPr>
                <w:color w:val="auto"/>
                <w:kern w:val="0"/>
              </w:rPr>
            </w:pPr>
            <w:r>
              <w:rPr>
                <w:color w:val="auto"/>
                <w:kern w:val="0"/>
              </w:rPr>
              <w:t>＞68</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jc w:val="center"/>
              <w:rPr>
                <w:b/>
                <w:color w:val="auto"/>
                <w:szCs w:val="20"/>
              </w:rPr>
            </w:pPr>
          </w:p>
        </w:tc>
        <w:tc>
          <w:tcPr>
            <w:tcW w:w="1240" w:type="dxa"/>
            <w:gridSpan w:val="2"/>
            <w:vAlign w:val="center"/>
          </w:tcPr>
          <w:p>
            <w:pPr>
              <w:contextualSpacing/>
              <w:jc w:val="center"/>
              <w:textAlignment w:val="baseline"/>
              <w:rPr>
                <w:color w:val="auto"/>
                <w:kern w:val="0"/>
              </w:rPr>
            </w:pPr>
            <w:r>
              <w:rPr>
                <w:color w:val="auto"/>
                <w:kern w:val="0"/>
              </w:rPr>
              <w:t>颜色</w:t>
            </w:r>
          </w:p>
        </w:tc>
        <w:tc>
          <w:tcPr>
            <w:tcW w:w="1317" w:type="dxa"/>
            <w:vAlign w:val="center"/>
          </w:tcPr>
          <w:p>
            <w:pPr>
              <w:contextualSpacing/>
              <w:jc w:val="center"/>
              <w:textAlignment w:val="baseline"/>
              <w:rPr>
                <w:color w:val="auto"/>
                <w:kern w:val="0"/>
              </w:rPr>
            </w:pPr>
            <w:r>
              <w:rPr>
                <w:color w:val="auto"/>
                <w:kern w:val="0"/>
              </w:rPr>
              <w:t>润态浊橙色（7.5Yr6/4）</w:t>
            </w:r>
          </w:p>
        </w:tc>
        <w:tc>
          <w:tcPr>
            <w:tcW w:w="1303" w:type="dxa"/>
            <w:gridSpan w:val="2"/>
            <w:vAlign w:val="center"/>
          </w:tcPr>
          <w:p>
            <w:pPr>
              <w:contextualSpacing/>
              <w:jc w:val="center"/>
              <w:textAlignment w:val="baseline"/>
              <w:rPr>
                <w:color w:val="auto"/>
                <w:kern w:val="0"/>
              </w:rPr>
            </w:pPr>
            <w:r>
              <w:rPr>
                <w:color w:val="auto"/>
                <w:kern w:val="0"/>
              </w:rPr>
              <w:t>润态浊棕色（7.5Yr5/4）</w:t>
            </w:r>
          </w:p>
        </w:tc>
        <w:tc>
          <w:tcPr>
            <w:tcW w:w="1274" w:type="dxa"/>
            <w:vAlign w:val="center"/>
          </w:tcPr>
          <w:p>
            <w:pPr>
              <w:contextualSpacing/>
              <w:jc w:val="center"/>
              <w:textAlignment w:val="baseline"/>
              <w:rPr>
                <w:color w:val="auto"/>
                <w:kern w:val="0"/>
              </w:rPr>
            </w:pPr>
            <w:r>
              <w:rPr>
                <w:color w:val="auto"/>
                <w:kern w:val="0"/>
              </w:rPr>
              <w:t>润态棕色（7.5Yr4/6）</w:t>
            </w:r>
          </w:p>
        </w:tc>
        <w:tc>
          <w:tcPr>
            <w:tcW w:w="1372" w:type="dxa"/>
            <w:vAlign w:val="center"/>
          </w:tcPr>
          <w:p>
            <w:pPr>
              <w:contextualSpacing/>
              <w:jc w:val="center"/>
              <w:textAlignment w:val="baseline"/>
              <w:rPr>
                <w:color w:val="auto"/>
                <w:kern w:val="0"/>
              </w:rPr>
            </w:pPr>
            <w:r>
              <w:rPr>
                <w:color w:val="auto"/>
                <w:kern w:val="0"/>
              </w:rPr>
              <w:t>以润态棕色（7.5Yr4/6）为主，夹有少量隐层状润态淡黄橙色（7.5Yr8/3）</w:t>
            </w:r>
          </w:p>
        </w:tc>
        <w:tc>
          <w:tcPr>
            <w:tcW w:w="1317" w:type="dxa"/>
            <w:gridSpan w:val="2"/>
            <w:vAlign w:val="center"/>
          </w:tcPr>
          <w:p>
            <w:pPr>
              <w:contextualSpacing/>
              <w:jc w:val="center"/>
              <w:textAlignment w:val="baseline"/>
              <w:rPr>
                <w:color w:val="auto"/>
                <w:kern w:val="0"/>
              </w:rPr>
            </w:pPr>
            <w:r>
              <w:rPr>
                <w:color w:val="auto"/>
                <w:kern w:val="0"/>
              </w:rPr>
              <w:t>以润态亮棕色（7.5Yr5/6）为主，夹有层状润态浊橙色（7.5Yr7/4）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jc w:val="center"/>
              <w:rPr>
                <w:b/>
                <w:color w:val="auto"/>
                <w:szCs w:val="20"/>
              </w:rPr>
            </w:pPr>
          </w:p>
        </w:tc>
        <w:tc>
          <w:tcPr>
            <w:tcW w:w="1240" w:type="dxa"/>
            <w:gridSpan w:val="2"/>
            <w:vAlign w:val="center"/>
          </w:tcPr>
          <w:p>
            <w:pPr>
              <w:contextualSpacing/>
              <w:jc w:val="center"/>
              <w:textAlignment w:val="baseline"/>
              <w:rPr>
                <w:color w:val="auto"/>
                <w:kern w:val="0"/>
              </w:rPr>
            </w:pPr>
            <w:r>
              <w:rPr>
                <w:color w:val="auto"/>
                <w:kern w:val="0"/>
              </w:rPr>
              <w:t>质地</w:t>
            </w:r>
          </w:p>
        </w:tc>
        <w:tc>
          <w:tcPr>
            <w:tcW w:w="1317" w:type="dxa"/>
            <w:vAlign w:val="center"/>
          </w:tcPr>
          <w:p>
            <w:pPr>
              <w:contextualSpacing/>
              <w:jc w:val="center"/>
              <w:textAlignment w:val="baseline"/>
              <w:rPr>
                <w:color w:val="auto"/>
                <w:kern w:val="0"/>
              </w:rPr>
            </w:pPr>
            <w:r>
              <w:rPr>
                <w:color w:val="auto"/>
                <w:kern w:val="0"/>
              </w:rPr>
              <w:t>粉砂壤土</w:t>
            </w:r>
          </w:p>
        </w:tc>
        <w:tc>
          <w:tcPr>
            <w:tcW w:w="1303" w:type="dxa"/>
            <w:gridSpan w:val="2"/>
            <w:vAlign w:val="center"/>
          </w:tcPr>
          <w:p>
            <w:pPr>
              <w:contextualSpacing/>
              <w:jc w:val="center"/>
              <w:textAlignment w:val="baseline"/>
              <w:rPr>
                <w:color w:val="auto"/>
                <w:kern w:val="0"/>
              </w:rPr>
            </w:pPr>
            <w:r>
              <w:rPr>
                <w:color w:val="auto"/>
                <w:kern w:val="0"/>
              </w:rPr>
              <w:t>粉砂壤土</w:t>
            </w:r>
          </w:p>
        </w:tc>
        <w:tc>
          <w:tcPr>
            <w:tcW w:w="1274" w:type="dxa"/>
            <w:vAlign w:val="center"/>
          </w:tcPr>
          <w:p>
            <w:pPr>
              <w:contextualSpacing/>
              <w:jc w:val="center"/>
              <w:textAlignment w:val="baseline"/>
              <w:rPr>
                <w:color w:val="auto"/>
                <w:kern w:val="0"/>
              </w:rPr>
            </w:pPr>
            <w:r>
              <w:rPr>
                <w:color w:val="auto"/>
                <w:kern w:val="0"/>
              </w:rPr>
              <w:t>壤粘土</w:t>
            </w:r>
          </w:p>
        </w:tc>
        <w:tc>
          <w:tcPr>
            <w:tcW w:w="1372" w:type="dxa"/>
            <w:vAlign w:val="center"/>
          </w:tcPr>
          <w:p>
            <w:pPr>
              <w:contextualSpacing/>
              <w:jc w:val="center"/>
              <w:textAlignment w:val="baseline"/>
              <w:rPr>
                <w:color w:val="auto"/>
                <w:kern w:val="0"/>
              </w:rPr>
            </w:pPr>
            <w:r>
              <w:rPr>
                <w:color w:val="auto"/>
                <w:kern w:val="0"/>
              </w:rPr>
              <w:t>壤粘土</w:t>
            </w:r>
          </w:p>
        </w:tc>
        <w:tc>
          <w:tcPr>
            <w:tcW w:w="1317" w:type="dxa"/>
            <w:gridSpan w:val="2"/>
            <w:vAlign w:val="center"/>
          </w:tcPr>
          <w:p>
            <w:pPr>
              <w:contextualSpacing/>
              <w:jc w:val="center"/>
              <w:textAlignment w:val="baseline"/>
              <w:rPr>
                <w:color w:val="auto"/>
                <w:kern w:val="0"/>
              </w:rPr>
            </w:pPr>
            <w:r>
              <w:rPr>
                <w:color w:val="auto"/>
                <w:kern w:val="0"/>
              </w:rPr>
              <w:t>粉砂壤土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jc w:val="center"/>
              <w:rPr>
                <w:b/>
                <w:color w:val="auto"/>
                <w:szCs w:val="20"/>
              </w:rPr>
            </w:pPr>
          </w:p>
        </w:tc>
        <w:tc>
          <w:tcPr>
            <w:tcW w:w="1240" w:type="dxa"/>
            <w:gridSpan w:val="2"/>
            <w:vAlign w:val="center"/>
          </w:tcPr>
          <w:p>
            <w:pPr>
              <w:contextualSpacing/>
              <w:jc w:val="center"/>
              <w:textAlignment w:val="baseline"/>
              <w:rPr>
                <w:color w:val="auto"/>
                <w:kern w:val="0"/>
              </w:rPr>
            </w:pPr>
            <w:r>
              <w:rPr>
                <w:color w:val="auto"/>
                <w:kern w:val="0"/>
              </w:rPr>
              <w:t>结构</w:t>
            </w:r>
          </w:p>
        </w:tc>
        <w:tc>
          <w:tcPr>
            <w:tcW w:w="1317" w:type="dxa"/>
            <w:vAlign w:val="center"/>
          </w:tcPr>
          <w:p>
            <w:pPr>
              <w:contextualSpacing/>
              <w:jc w:val="center"/>
              <w:textAlignment w:val="baseline"/>
              <w:rPr>
                <w:color w:val="auto"/>
                <w:kern w:val="0"/>
              </w:rPr>
            </w:pPr>
            <w:r>
              <w:rPr>
                <w:color w:val="auto"/>
                <w:kern w:val="0"/>
              </w:rPr>
              <w:t>屑粒状结构</w:t>
            </w:r>
          </w:p>
        </w:tc>
        <w:tc>
          <w:tcPr>
            <w:tcW w:w="1303" w:type="dxa"/>
            <w:gridSpan w:val="2"/>
            <w:vAlign w:val="center"/>
          </w:tcPr>
          <w:p>
            <w:pPr>
              <w:contextualSpacing/>
              <w:jc w:val="center"/>
              <w:textAlignment w:val="baseline"/>
              <w:rPr>
                <w:color w:val="auto"/>
                <w:kern w:val="0"/>
              </w:rPr>
            </w:pPr>
            <w:r>
              <w:rPr>
                <w:color w:val="auto"/>
                <w:kern w:val="0"/>
              </w:rPr>
              <w:t>块状结构</w:t>
            </w:r>
          </w:p>
        </w:tc>
        <w:tc>
          <w:tcPr>
            <w:tcW w:w="1274" w:type="dxa"/>
            <w:vAlign w:val="center"/>
          </w:tcPr>
          <w:p>
            <w:pPr>
              <w:contextualSpacing/>
              <w:jc w:val="center"/>
              <w:textAlignment w:val="baseline"/>
              <w:rPr>
                <w:color w:val="auto"/>
                <w:kern w:val="0"/>
              </w:rPr>
            </w:pPr>
            <w:r>
              <w:rPr>
                <w:color w:val="auto"/>
                <w:kern w:val="0"/>
              </w:rPr>
              <w:t>块状结构</w:t>
            </w:r>
          </w:p>
        </w:tc>
        <w:tc>
          <w:tcPr>
            <w:tcW w:w="1372" w:type="dxa"/>
            <w:vAlign w:val="center"/>
          </w:tcPr>
          <w:p>
            <w:pPr>
              <w:contextualSpacing/>
              <w:jc w:val="center"/>
              <w:textAlignment w:val="baseline"/>
              <w:rPr>
                <w:color w:val="auto"/>
                <w:kern w:val="0"/>
              </w:rPr>
            </w:pPr>
            <w:r>
              <w:rPr>
                <w:color w:val="auto"/>
                <w:kern w:val="0"/>
              </w:rPr>
              <w:t>块状结构</w:t>
            </w:r>
          </w:p>
        </w:tc>
        <w:tc>
          <w:tcPr>
            <w:tcW w:w="1317" w:type="dxa"/>
            <w:gridSpan w:val="2"/>
            <w:vAlign w:val="center"/>
          </w:tcPr>
          <w:p>
            <w:pPr>
              <w:contextualSpacing/>
              <w:jc w:val="center"/>
              <w:textAlignment w:val="baseline"/>
              <w:rPr>
                <w:color w:val="auto"/>
                <w:kern w:val="0"/>
              </w:rPr>
            </w:pPr>
            <w:r>
              <w:rPr>
                <w:color w:val="auto"/>
                <w:kern w:val="0"/>
              </w:rPr>
              <w:t>具有明显沉积层理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jc w:val="center"/>
              <w:rPr>
                <w:b/>
                <w:color w:val="auto"/>
                <w:szCs w:val="20"/>
              </w:rPr>
            </w:pPr>
          </w:p>
        </w:tc>
        <w:tc>
          <w:tcPr>
            <w:tcW w:w="1240" w:type="dxa"/>
            <w:gridSpan w:val="2"/>
            <w:vAlign w:val="center"/>
          </w:tcPr>
          <w:p>
            <w:pPr>
              <w:contextualSpacing/>
              <w:jc w:val="center"/>
              <w:textAlignment w:val="baseline"/>
              <w:rPr>
                <w:color w:val="auto"/>
                <w:kern w:val="0"/>
              </w:rPr>
            </w:pPr>
            <w:r>
              <w:rPr>
                <w:color w:val="auto"/>
                <w:kern w:val="0"/>
              </w:rPr>
              <w:t>孔隙度</w:t>
            </w:r>
          </w:p>
        </w:tc>
        <w:tc>
          <w:tcPr>
            <w:tcW w:w="1317" w:type="dxa"/>
            <w:vAlign w:val="center"/>
          </w:tcPr>
          <w:p>
            <w:pPr>
              <w:contextualSpacing/>
              <w:jc w:val="center"/>
              <w:textAlignment w:val="baseline"/>
              <w:rPr>
                <w:color w:val="auto"/>
                <w:kern w:val="0"/>
              </w:rPr>
            </w:pPr>
            <w:r>
              <w:rPr>
                <w:color w:val="auto"/>
                <w:kern w:val="0"/>
              </w:rPr>
              <w:t>多量细孔隙</w:t>
            </w:r>
          </w:p>
        </w:tc>
        <w:tc>
          <w:tcPr>
            <w:tcW w:w="1303" w:type="dxa"/>
            <w:gridSpan w:val="2"/>
            <w:vAlign w:val="center"/>
          </w:tcPr>
          <w:p>
            <w:pPr>
              <w:contextualSpacing/>
              <w:jc w:val="center"/>
              <w:textAlignment w:val="baseline"/>
              <w:rPr>
                <w:color w:val="auto"/>
                <w:kern w:val="0"/>
              </w:rPr>
            </w:pPr>
            <w:r>
              <w:rPr>
                <w:color w:val="auto"/>
                <w:kern w:val="0"/>
              </w:rPr>
              <w:t>多量细孔隙</w:t>
            </w:r>
          </w:p>
        </w:tc>
        <w:tc>
          <w:tcPr>
            <w:tcW w:w="1274" w:type="dxa"/>
            <w:vAlign w:val="center"/>
          </w:tcPr>
          <w:p>
            <w:pPr>
              <w:contextualSpacing/>
              <w:jc w:val="center"/>
              <w:textAlignment w:val="baseline"/>
              <w:rPr>
                <w:color w:val="auto"/>
                <w:kern w:val="0"/>
              </w:rPr>
            </w:pPr>
            <w:r>
              <w:rPr>
                <w:color w:val="auto"/>
                <w:kern w:val="0"/>
              </w:rPr>
              <w:t>少量细孔隙</w:t>
            </w:r>
          </w:p>
        </w:tc>
        <w:tc>
          <w:tcPr>
            <w:tcW w:w="1372" w:type="dxa"/>
            <w:vAlign w:val="center"/>
          </w:tcPr>
          <w:p>
            <w:pPr>
              <w:contextualSpacing/>
              <w:jc w:val="center"/>
              <w:textAlignment w:val="baseline"/>
              <w:rPr>
                <w:color w:val="auto"/>
                <w:kern w:val="0"/>
              </w:rPr>
            </w:pPr>
            <w:r>
              <w:rPr>
                <w:color w:val="auto"/>
                <w:kern w:val="0"/>
              </w:rPr>
              <w:t>少量细孔隙</w:t>
            </w:r>
          </w:p>
        </w:tc>
        <w:tc>
          <w:tcPr>
            <w:tcW w:w="1317" w:type="dxa"/>
            <w:gridSpan w:val="2"/>
            <w:vAlign w:val="center"/>
          </w:tcPr>
          <w:p>
            <w:pPr>
              <w:contextualSpacing/>
              <w:jc w:val="center"/>
              <w:textAlignment w:val="baseline"/>
              <w:rPr>
                <w:color w:val="auto"/>
                <w:kern w:val="0"/>
              </w:rPr>
            </w:pPr>
            <w:r>
              <w:rPr>
                <w:color w:val="auto"/>
                <w:kern w:val="0"/>
              </w:rPr>
              <w:t>少量细孔隙</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restart"/>
            <w:vAlign w:val="center"/>
          </w:tcPr>
          <w:p>
            <w:pPr>
              <w:jc w:val="center"/>
              <w:rPr>
                <w:b/>
                <w:color w:val="auto"/>
                <w:szCs w:val="20"/>
              </w:rPr>
            </w:pPr>
            <w:r>
              <w:rPr>
                <w:b/>
                <w:color w:val="auto"/>
                <w:szCs w:val="20"/>
              </w:rPr>
              <w:t>理化分析</w:t>
            </w:r>
          </w:p>
        </w:tc>
        <w:tc>
          <w:tcPr>
            <w:tcW w:w="1240" w:type="dxa"/>
            <w:gridSpan w:val="2"/>
            <w:vAlign w:val="center"/>
          </w:tcPr>
          <w:p>
            <w:pPr>
              <w:contextualSpacing/>
              <w:jc w:val="center"/>
              <w:textAlignment w:val="baseline"/>
              <w:rPr>
                <w:color w:val="auto"/>
                <w:kern w:val="0"/>
              </w:rPr>
            </w:pPr>
            <w:r>
              <w:rPr>
                <w:color w:val="auto"/>
                <w:kern w:val="0"/>
              </w:rPr>
              <w:t>pH</w:t>
            </w:r>
          </w:p>
        </w:tc>
        <w:tc>
          <w:tcPr>
            <w:tcW w:w="1317" w:type="dxa"/>
            <w:vAlign w:val="center"/>
          </w:tcPr>
          <w:p>
            <w:pPr>
              <w:contextualSpacing/>
              <w:jc w:val="center"/>
              <w:textAlignment w:val="baseline"/>
              <w:rPr>
                <w:color w:val="auto"/>
                <w:kern w:val="0"/>
              </w:rPr>
            </w:pPr>
            <w:r>
              <w:rPr>
                <w:color w:val="auto"/>
                <w:kern w:val="0"/>
              </w:rPr>
              <w:t>8.65</w:t>
            </w:r>
          </w:p>
        </w:tc>
        <w:tc>
          <w:tcPr>
            <w:tcW w:w="1303" w:type="dxa"/>
            <w:gridSpan w:val="2"/>
            <w:vAlign w:val="center"/>
          </w:tcPr>
          <w:p>
            <w:pPr>
              <w:contextualSpacing/>
              <w:jc w:val="center"/>
              <w:textAlignment w:val="baseline"/>
              <w:rPr>
                <w:color w:val="auto"/>
                <w:kern w:val="0"/>
              </w:rPr>
            </w:pPr>
            <w:r>
              <w:rPr>
                <w:color w:val="auto"/>
                <w:kern w:val="0"/>
              </w:rPr>
              <w:t>8.75</w:t>
            </w:r>
          </w:p>
        </w:tc>
        <w:tc>
          <w:tcPr>
            <w:tcW w:w="1274" w:type="dxa"/>
            <w:vAlign w:val="center"/>
          </w:tcPr>
          <w:p>
            <w:pPr>
              <w:contextualSpacing/>
              <w:jc w:val="center"/>
              <w:textAlignment w:val="baseline"/>
              <w:rPr>
                <w:color w:val="auto"/>
                <w:kern w:val="0"/>
              </w:rPr>
            </w:pPr>
            <w:r>
              <w:rPr>
                <w:color w:val="auto"/>
                <w:kern w:val="0"/>
              </w:rPr>
              <w:t>8.72</w:t>
            </w:r>
          </w:p>
        </w:tc>
        <w:tc>
          <w:tcPr>
            <w:tcW w:w="1372" w:type="dxa"/>
            <w:vAlign w:val="center"/>
          </w:tcPr>
          <w:p>
            <w:pPr>
              <w:contextualSpacing/>
              <w:jc w:val="center"/>
              <w:textAlignment w:val="baseline"/>
              <w:rPr>
                <w:color w:val="auto"/>
                <w:kern w:val="0"/>
              </w:rPr>
            </w:pPr>
            <w:r>
              <w:rPr>
                <w:color w:val="auto"/>
                <w:kern w:val="0"/>
              </w:rPr>
              <w:t>8.86</w:t>
            </w:r>
          </w:p>
        </w:tc>
        <w:tc>
          <w:tcPr>
            <w:tcW w:w="1317" w:type="dxa"/>
            <w:gridSpan w:val="2"/>
            <w:vAlign w:val="center"/>
          </w:tcPr>
          <w:p>
            <w:pPr>
              <w:contextualSpacing/>
              <w:jc w:val="center"/>
              <w:textAlignment w:val="baseline"/>
              <w:rPr>
                <w:color w:val="auto"/>
                <w:kern w:val="0"/>
              </w:rPr>
            </w:pPr>
            <w:r>
              <w:rPr>
                <w:color w:val="auto"/>
                <w:kern w:val="0"/>
              </w:rPr>
              <w:t>9.29</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contextualSpacing/>
              <w:jc w:val="center"/>
              <w:textAlignment w:val="baseline"/>
              <w:rPr>
                <w:color w:val="auto"/>
                <w:kern w:val="0"/>
              </w:rPr>
            </w:pPr>
          </w:p>
        </w:tc>
        <w:tc>
          <w:tcPr>
            <w:tcW w:w="1240" w:type="dxa"/>
            <w:gridSpan w:val="2"/>
            <w:vAlign w:val="center"/>
          </w:tcPr>
          <w:p>
            <w:pPr>
              <w:contextualSpacing/>
              <w:jc w:val="center"/>
              <w:textAlignment w:val="baseline"/>
              <w:rPr>
                <w:color w:val="auto"/>
                <w:kern w:val="0"/>
              </w:rPr>
            </w:pPr>
            <w:r>
              <w:rPr>
                <w:color w:val="auto"/>
                <w:kern w:val="0"/>
              </w:rPr>
              <w:t>有机碳（g/kg）</w:t>
            </w:r>
          </w:p>
        </w:tc>
        <w:tc>
          <w:tcPr>
            <w:tcW w:w="1317" w:type="dxa"/>
            <w:vAlign w:val="center"/>
          </w:tcPr>
          <w:p>
            <w:pPr>
              <w:contextualSpacing/>
              <w:jc w:val="center"/>
              <w:textAlignment w:val="baseline"/>
              <w:rPr>
                <w:color w:val="auto"/>
                <w:kern w:val="0"/>
              </w:rPr>
            </w:pPr>
            <w:r>
              <w:rPr>
                <w:color w:val="auto"/>
                <w:kern w:val="0"/>
              </w:rPr>
              <w:t>5.76</w:t>
            </w:r>
          </w:p>
        </w:tc>
        <w:tc>
          <w:tcPr>
            <w:tcW w:w="1303" w:type="dxa"/>
            <w:gridSpan w:val="2"/>
            <w:vAlign w:val="center"/>
          </w:tcPr>
          <w:p>
            <w:pPr>
              <w:contextualSpacing/>
              <w:jc w:val="center"/>
              <w:textAlignment w:val="baseline"/>
              <w:rPr>
                <w:color w:val="auto"/>
                <w:kern w:val="0"/>
              </w:rPr>
            </w:pPr>
            <w:r>
              <w:rPr>
                <w:color w:val="auto"/>
                <w:kern w:val="0"/>
              </w:rPr>
              <w:t>2.75</w:t>
            </w:r>
          </w:p>
        </w:tc>
        <w:tc>
          <w:tcPr>
            <w:tcW w:w="1274" w:type="dxa"/>
            <w:vAlign w:val="center"/>
          </w:tcPr>
          <w:p>
            <w:pPr>
              <w:contextualSpacing/>
              <w:jc w:val="center"/>
              <w:textAlignment w:val="baseline"/>
              <w:rPr>
                <w:color w:val="auto"/>
                <w:kern w:val="0"/>
              </w:rPr>
            </w:pPr>
            <w:r>
              <w:rPr>
                <w:color w:val="auto"/>
                <w:kern w:val="0"/>
              </w:rPr>
              <w:t>3.99</w:t>
            </w:r>
          </w:p>
        </w:tc>
        <w:tc>
          <w:tcPr>
            <w:tcW w:w="1372" w:type="dxa"/>
            <w:vAlign w:val="center"/>
          </w:tcPr>
          <w:p>
            <w:pPr>
              <w:contextualSpacing/>
              <w:jc w:val="center"/>
              <w:textAlignment w:val="baseline"/>
              <w:rPr>
                <w:color w:val="auto"/>
                <w:kern w:val="0"/>
              </w:rPr>
            </w:pPr>
            <w:r>
              <w:rPr>
                <w:color w:val="auto"/>
                <w:kern w:val="0"/>
              </w:rPr>
              <w:t>4.19</w:t>
            </w:r>
          </w:p>
        </w:tc>
        <w:tc>
          <w:tcPr>
            <w:tcW w:w="1317" w:type="dxa"/>
            <w:gridSpan w:val="2"/>
            <w:vAlign w:val="center"/>
          </w:tcPr>
          <w:p>
            <w:pPr>
              <w:contextualSpacing/>
              <w:jc w:val="center"/>
              <w:textAlignment w:val="baseline"/>
              <w:rPr>
                <w:color w:val="auto"/>
                <w:kern w:val="0"/>
              </w:rPr>
            </w:pPr>
            <w:r>
              <w:rPr>
                <w:color w:val="auto"/>
                <w:kern w:val="0"/>
              </w:rPr>
              <w:t>2.55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contextualSpacing/>
              <w:jc w:val="center"/>
              <w:textAlignment w:val="baseline"/>
              <w:rPr>
                <w:color w:val="auto"/>
                <w:kern w:val="0"/>
              </w:rPr>
            </w:pPr>
          </w:p>
        </w:tc>
        <w:tc>
          <w:tcPr>
            <w:tcW w:w="1240" w:type="dxa"/>
            <w:gridSpan w:val="2"/>
            <w:vAlign w:val="center"/>
          </w:tcPr>
          <w:p>
            <w:pPr>
              <w:contextualSpacing/>
              <w:jc w:val="center"/>
              <w:textAlignment w:val="baseline"/>
              <w:rPr>
                <w:color w:val="auto"/>
                <w:kern w:val="0"/>
              </w:rPr>
            </w:pPr>
            <w:r>
              <w:rPr>
                <w:color w:val="auto"/>
                <w:kern w:val="0"/>
              </w:rPr>
              <w:t>粘粒含量%</w:t>
            </w:r>
          </w:p>
        </w:tc>
        <w:tc>
          <w:tcPr>
            <w:tcW w:w="1317" w:type="dxa"/>
            <w:vAlign w:val="center"/>
          </w:tcPr>
          <w:p>
            <w:pPr>
              <w:contextualSpacing/>
              <w:jc w:val="center"/>
              <w:textAlignment w:val="baseline"/>
              <w:rPr>
                <w:color w:val="auto"/>
                <w:kern w:val="0"/>
              </w:rPr>
            </w:pPr>
            <w:r>
              <w:rPr>
                <w:color w:val="auto"/>
                <w:kern w:val="0"/>
              </w:rPr>
              <w:t>13.4</w:t>
            </w:r>
          </w:p>
        </w:tc>
        <w:tc>
          <w:tcPr>
            <w:tcW w:w="1303" w:type="dxa"/>
            <w:gridSpan w:val="2"/>
            <w:vAlign w:val="center"/>
          </w:tcPr>
          <w:p>
            <w:pPr>
              <w:contextualSpacing/>
              <w:jc w:val="center"/>
              <w:textAlignment w:val="baseline"/>
              <w:rPr>
                <w:color w:val="auto"/>
                <w:kern w:val="0"/>
              </w:rPr>
            </w:pPr>
            <w:r>
              <w:rPr>
                <w:color w:val="auto"/>
                <w:kern w:val="0"/>
              </w:rPr>
              <w:t>15.6</w:t>
            </w:r>
          </w:p>
        </w:tc>
        <w:tc>
          <w:tcPr>
            <w:tcW w:w="1274" w:type="dxa"/>
            <w:vAlign w:val="center"/>
          </w:tcPr>
          <w:p>
            <w:pPr>
              <w:contextualSpacing/>
              <w:jc w:val="center"/>
              <w:textAlignment w:val="baseline"/>
              <w:rPr>
                <w:color w:val="auto"/>
                <w:kern w:val="0"/>
              </w:rPr>
            </w:pPr>
            <w:r>
              <w:rPr>
                <w:color w:val="auto"/>
                <w:kern w:val="0"/>
              </w:rPr>
              <w:t>39</w:t>
            </w:r>
          </w:p>
        </w:tc>
        <w:tc>
          <w:tcPr>
            <w:tcW w:w="1372" w:type="dxa"/>
            <w:vAlign w:val="center"/>
          </w:tcPr>
          <w:p>
            <w:pPr>
              <w:contextualSpacing/>
              <w:jc w:val="center"/>
              <w:textAlignment w:val="baseline"/>
              <w:rPr>
                <w:color w:val="auto"/>
                <w:kern w:val="0"/>
              </w:rPr>
            </w:pPr>
            <w:r>
              <w:rPr>
                <w:color w:val="auto"/>
                <w:kern w:val="0"/>
              </w:rPr>
              <w:t>38.6</w:t>
            </w:r>
          </w:p>
        </w:tc>
        <w:tc>
          <w:tcPr>
            <w:tcW w:w="1317" w:type="dxa"/>
            <w:gridSpan w:val="2"/>
            <w:vAlign w:val="center"/>
          </w:tcPr>
          <w:p>
            <w:pPr>
              <w:contextualSpacing/>
              <w:jc w:val="center"/>
              <w:textAlignment w:val="baseline"/>
              <w:rPr>
                <w:color w:val="auto"/>
                <w:kern w:val="0"/>
              </w:rPr>
            </w:pPr>
            <w:r>
              <w:rPr>
                <w:color w:val="auto"/>
                <w:kern w:val="0"/>
              </w:rPr>
              <w:t>22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contextualSpacing/>
              <w:jc w:val="center"/>
              <w:textAlignment w:val="baseline"/>
              <w:rPr>
                <w:color w:val="auto"/>
                <w:kern w:val="0"/>
              </w:rPr>
            </w:pPr>
          </w:p>
        </w:tc>
        <w:tc>
          <w:tcPr>
            <w:tcW w:w="1240" w:type="dxa"/>
            <w:gridSpan w:val="2"/>
            <w:vAlign w:val="center"/>
          </w:tcPr>
          <w:p>
            <w:pPr>
              <w:contextualSpacing/>
              <w:jc w:val="center"/>
              <w:textAlignment w:val="baseline"/>
              <w:rPr>
                <w:color w:val="auto"/>
                <w:kern w:val="0"/>
              </w:rPr>
            </w:pPr>
            <w:r>
              <w:rPr>
                <w:color w:val="auto"/>
                <w:kern w:val="0"/>
              </w:rPr>
              <w:t>粉粒含量%</w:t>
            </w:r>
          </w:p>
        </w:tc>
        <w:tc>
          <w:tcPr>
            <w:tcW w:w="1317" w:type="dxa"/>
            <w:vAlign w:val="center"/>
          </w:tcPr>
          <w:p>
            <w:pPr>
              <w:contextualSpacing/>
              <w:jc w:val="center"/>
              <w:textAlignment w:val="baseline"/>
              <w:rPr>
                <w:color w:val="auto"/>
                <w:kern w:val="0"/>
              </w:rPr>
            </w:pPr>
            <w:r>
              <w:rPr>
                <w:color w:val="auto"/>
                <w:kern w:val="0"/>
              </w:rPr>
              <w:t>15</w:t>
            </w:r>
          </w:p>
        </w:tc>
        <w:tc>
          <w:tcPr>
            <w:tcW w:w="1303" w:type="dxa"/>
            <w:gridSpan w:val="2"/>
            <w:vAlign w:val="center"/>
          </w:tcPr>
          <w:p>
            <w:pPr>
              <w:contextualSpacing/>
              <w:jc w:val="center"/>
              <w:textAlignment w:val="baseline"/>
              <w:rPr>
                <w:color w:val="auto"/>
                <w:kern w:val="0"/>
              </w:rPr>
            </w:pPr>
            <w:r>
              <w:rPr>
                <w:color w:val="auto"/>
                <w:kern w:val="0"/>
              </w:rPr>
              <w:t>18</w:t>
            </w:r>
          </w:p>
        </w:tc>
        <w:tc>
          <w:tcPr>
            <w:tcW w:w="1274" w:type="dxa"/>
            <w:vAlign w:val="center"/>
          </w:tcPr>
          <w:p>
            <w:pPr>
              <w:contextualSpacing/>
              <w:jc w:val="center"/>
              <w:textAlignment w:val="baseline"/>
              <w:rPr>
                <w:color w:val="auto"/>
                <w:kern w:val="0"/>
              </w:rPr>
            </w:pPr>
            <w:r>
              <w:rPr>
                <w:color w:val="auto"/>
                <w:kern w:val="0"/>
              </w:rPr>
              <w:t>41</w:t>
            </w:r>
          </w:p>
        </w:tc>
        <w:tc>
          <w:tcPr>
            <w:tcW w:w="1372" w:type="dxa"/>
            <w:vAlign w:val="center"/>
          </w:tcPr>
          <w:p>
            <w:pPr>
              <w:contextualSpacing/>
              <w:jc w:val="center"/>
              <w:textAlignment w:val="baseline"/>
              <w:rPr>
                <w:color w:val="auto"/>
                <w:kern w:val="0"/>
              </w:rPr>
            </w:pPr>
            <w:r>
              <w:rPr>
                <w:color w:val="auto"/>
                <w:kern w:val="0"/>
              </w:rPr>
              <w:t>41</w:t>
            </w:r>
          </w:p>
        </w:tc>
        <w:tc>
          <w:tcPr>
            <w:tcW w:w="1317" w:type="dxa"/>
            <w:gridSpan w:val="2"/>
            <w:vAlign w:val="center"/>
          </w:tcPr>
          <w:p>
            <w:pPr>
              <w:contextualSpacing/>
              <w:jc w:val="center"/>
              <w:textAlignment w:val="baseline"/>
              <w:rPr>
                <w:color w:val="auto"/>
                <w:kern w:val="0"/>
              </w:rPr>
            </w:pPr>
            <w:r>
              <w:rPr>
                <w:color w:val="auto"/>
                <w:kern w:val="0"/>
              </w:rPr>
              <w:t>24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contextualSpacing/>
              <w:jc w:val="center"/>
              <w:textAlignment w:val="baseline"/>
              <w:rPr>
                <w:color w:val="auto"/>
                <w:kern w:val="0"/>
              </w:rPr>
            </w:pPr>
          </w:p>
        </w:tc>
        <w:tc>
          <w:tcPr>
            <w:tcW w:w="1240" w:type="dxa"/>
            <w:gridSpan w:val="2"/>
            <w:vAlign w:val="center"/>
          </w:tcPr>
          <w:p>
            <w:pPr>
              <w:contextualSpacing/>
              <w:jc w:val="center"/>
              <w:textAlignment w:val="baseline"/>
              <w:rPr>
                <w:color w:val="auto"/>
                <w:kern w:val="0"/>
              </w:rPr>
            </w:pPr>
            <w:r>
              <w:rPr>
                <w:color w:val="auto"/>
                <w:kern w:val="0"/>
              </w:rPr>
              <w:t>砂粒含量%</w:t>
            </w:r>
          </w:p>
        </w:tc>
        <w:tc>
          <w:tcPr>
            <w:tcW w:w="1317" w:type="dxa"/>
            <w:vAlign w:val="center"/>
          </w:tcPr>
          <w:p>
            <w:pPr>
              <w:contextualSpacing/>
              <w:jc w:val="center"/>
              <w:textAlignment w:val="baseline"/>
              <w:rPr>
                <w:color w:val="auto"/>
                <w:kern w:val="0"/>
              </w:rPr>
            </w:pPr>
            <w:r>
              <w:rPr>
                <w:color w:val="auto"/>
                <w:kern w:val="0"/>
              </w:rPr>
              <w:t>28.8</w:t>
            </w:r>
          </w:p>
        </w:tc>
        <w:tc>
          <w:tcPr>
            <w:tcW w:w="1303" w:type="dxa"/>
            <w:gridSpan w:val="2"/>
            <w:vAlign w:val="center"/>
          </w:tcPr>
          <w:p>
            <w:pPr>
              <w:contextualSpacing/>
              <w:jc w:val="center"/>
              <w:textAlignment w:val="baseline"/>
              <w:rPr>
                <w:color w:val="auto"/>
                <w:kern w:val="0"/>
              </w:rPr>
            </w:pPr>
            <w:r>
              <w:rPr>
                <w:color w:val="auto"/>
                <w:kern w:val="0"/>
              </w:rPr>
              <w:t>33.2</w:t>
            </w:r>
          </w:p>
        </w:tc>
        <w:tc>
          <w:tcPr>
            <w:tcW w:w="1274" w:type="dxa"/>
            <w:vAlign w:val="center"/>
          </w:tcPr>
          <w:p>
            <w:pPr>
              <w:contextualSpacing/>
              <w:jc w:val="center"/>
              <w:textAlignment w:val="baseline"/>
              <w:rPr>
                <w:color w:val="auto"/>
                <w:kern w:val="0"/>
              </w:rPr>
            </w:pPr>
            <w:r>
              <w:rPr>
                <w:color w:val="auto"/>
                <w:kern w:val="0"/>
              </w:rPr>
              <w:t>80</w:t>
            </w:r>
          </w:p>
        </w:tc>
        <w:tc>
          <w:tcPr>
            <w:tcW w:w="1372" w:type="dxa"/>
            <w:vAlign w:val="center"/>
          </w:tcPr>
          <w:p>
            <w:pPr>
              <w:contextualSpacing/>
              <w:jc w:val="center"/>
              <w:textAlignment w:val="baseline"/>
              <w:rPr>
                <w:color w:val="auto"/>
                <w:kern w:val="0"/>
              </w:rPr>
            </w:pPr>
            <w:r>
              <w:rPr>
                <w:color w:val="auto"/>
                <w:kern w:val="0"/>
              </w:rPr>
              <w:t>2.7</w:t>
            </w:r>
          </w:p>
        </w:tc>
        <w:tc>
          <w:tcPr>
            <w:tcW w:w="1317" w:type="dxa"/>
            <w:gridSpan w:val="2"/>
            <w:vAlign w:val="center"/>
          </w:tcPr>
          <w:p>
            <w:pPr>
              <w:contextualSpacing/>
              <w:jc w:val="center"/>
              <w:textAlignment w:val="baseline"/>
              <w:rPr>
                <w:color w:val="auto"/>
                <w:kern w:val="0"/>
              </w:rPr>
            </w:pPr>
            <w:r>
              <w:rPr>
                <w:color w:val="auto"/>
                <w:kern w:val="0"/>
              </w:rPr>
              <w:t>46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99" w:type="dxa"/>
            <w:vMerge w:val="continue"/>
            <w:vAlign w:val="center"/>
          </w:tcPr>
          <w:p>
            <w:pPr>
              <w:contextualSpacing/>
              <w:jc w:val="center"/>
              <w:textAlignment w:val="baseline"/>
              <w:rPr>
                <w:color w:val="auto"/>
                <w:kern w:val="0"/>
              </w:rPr>
            </w:pPr>
          </w:p>
        </w:tc>
        <w:tc>
          <w:tcPr>
            <w:tcW w:w="1240" w:type="dxa"/>
            <w:gridSpan w:val="2"/>
            <w:vAlign w:val="center"/>
          </w:tcPr>
          <w:p>
            <w:pPr>
              <w:contextualSpacing/>
              <w:jc w:val="center"/>
              <w:textAlignment w:val="baseline"/>
              <w:rPr>
                <w:color w:val="auto"/>
                <w:kern w:val="0"/>
              </w:rPr>
            </w:pPr>
            <w:r>
              <w:rPr>
                <w:color w:val="auto"/>
                <w:kern w:val="0"/>
              </w:rPr>
              <w:t>阳离子交换量（cmol/kg）</w:t>
            </w:r>
          </w:p>
        </w:tc>
        <w:tc>
          <w:tcPr>
            <w:tcW w:w="1317" w:type="dxa"/>
            <w:vAlign w:val="center"/>
          </w:tcPr>
          <w:p>
            <w:pPr>
              <w:contextualSpacing/>
              <w:jc w:val="center"/>
              <w:textAlignment w:val="baseline"/>
              <w:rPr>
                <w:color w:val="auto"/>
                <w:kern w:val="0"/>
              </w:rPr>
            </w:pPr>
            <w:r>
              <w:rPr>
                <w:color w:val="auto"/>
                <w:kern w:val="0"/>
              </w:rPr>
              <w:t>7.22</w:t>
            </w:r>
          </w:p>
        </w:tc>
        <w:tc>
          <w:tcPr>
            <w:tcW w:w="1303" w:type="dxa"/>
            <w:gridSpan w:val="2"/>
            <w:vAlign w:val="center"/>
          </w:tcPr>
          <w:p>
            <w:pPr>
              <w:contextualSpacing/>
              <w:jc w:val="center"/>
              <w:textAlignment w:val="baseline"/>
              <w:rPr>
                <w:color w:val="auto"/>
                <w:kern w:val="0"/>
              </w:rPr>
            </w:pPr>
            <w:r>
              <w:rPr>
                <w:color w:val="auto"/>
                <w:kern w:val="0"/>
              </w:rPr>
              <w:t>7.41</w:t>
            </w:r>
          </w:p>
        </w:tc>
        <w:tc>
          <w:tcPr>
            <w:tcW w:w="1274" w:type="dxa"/>
            <w:vAlign w:val="center"/>
          </w:tcPr>
          <w:p>
            <w:pPr>
              <w:contextualSpacing/>
              <w:jc w:val="center"/>
              <w:textAlignment w:val="baseline"/>
              <w:rPr>
                <w:color w:val="auto"/>
                <w:kern w:val="0"/>
              </w:rPr>
            </w:pPr>
            <w:r>
              <w:rPr>
                <w:color w:val="auto"/>
                <w:kern w:val="0"/>
              </w:rPr>
              <w:t>16.73</w:t>
            </w:r>
          </w:p>
        </w:tc>
        <w:tc>
          <w:tcPr>
            <w:tcW w:w="1372" w:type="dxa"/>
            <w:vAlign w:val="center"/>
          </w:tcPr>
          <w:p>
            <w:pPr>
              <w:contextualSpacing/>
              <w:jc w:val="center"/>
              <w:textAlignment w:val="baseline"/>
              <w:rPr>
                <w:color w:val="auto"/>
                <w:kern w:val="0"/>
              </w:rPr>
            </w:pPr>
            <w:r>
              <w:rPr>
                <w:color w:val="auto"/>
                <w:kern w:val="0"/>
              </w:rPr>
              <w:t>17.39</w:t>
            </w:r>
          </w:p>
        </w:tc>
        <w:tc>
          <w:tcPr>
            <w:tcW w:w="1317" w:type="dxa"/>
            <w:gridSpan w:val="2"/>
            <w:vAlign w:val="center"/>
          </w:tcPr>
          <w:p>
            <w:pPr>
              <w:contextualSpacing/>
              <w:jc w:val="center"/>
              <w:textAlignment w:val="baseline"/>
              <w:rPr>
                <w:color w:val="auto"/>
                <w:kern w:val="0"/>
              </w:rPr>
            </w:pPr>
            <w:r>
              <w:rPr>
                <w:color w:val="auto"/>
                <w:kern w:val="0"/>
              </w:rPr>
              <w:t>9.79</w:t>
            </w:r>
          </w:p>
        </w:tc>
      </w:tr>
    </w:tbl>
    <w:p>
      <w:pPr>
        <w:adjustRightInd w:val="0"/>
        <w:snapToGrid w:val="0"/>
        <w:spacing w:line="520" w:lineRule="exact"/>
        <w:ind w:firstLine="480" w:firstLineChars="200"/>
        <w:textAlignment w:val="baseline"/>
        <w:rPr>
          <w:color w:val="auto"/>
          <w:kern w:val="0"/>
          <w:sz w:val="24"/>
          <w:szCs w:val="20"/>
        </w:rPr>
      </w:pPr>
      <w:r>
        <w:rPr>
          <w:color w:val="auto"/>
          <w:kern w:val="0"/>
          <w:sz w:val="24"/>
          <w:szCs w:val="20"/>
        </w:rPr>
        <w:t>土壤剖面调查情况见下表。</w:t>
      </w:r>
    </w:p>
    <w:p>
      <w:pPr>
        <w:adjustRightInd w:val="0"/>
        <w:snapToGrid w:val="0"/>
        <w:ind w:firstLine="480" w:firstLineChars="200"/>
        <w:jc w:val="center"/>
        <w:textAlignment w:val="baseline"/>
        <w:rPr>
          <w:rFonts w:eastAsia="黑体"/>
          <w:color w:val="auto"/>
          <w:kern w:val="0"/>
          <w:sz w:val="24"/>
          <w:szCs w:val="24"/>
        </w:rPr>
      </w:pPr>
      <w:r>
        <w:rPr>
          <w:rFonts w:eastAsia="黑体"/>
          <w:color w:val="auto"/>
          <w:kern w:val="0"/>
          <w:sz w:val="24"/>
          <w:szCs w:val="24"/>
        </w:rPr>
        <w:t>表5.6-7                土壤剖面图</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942"/>
        <w:gridCol w:w="2835"/>
        <w:gridCol w:w="275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40" w:type="dxa"/>
            <w:vAlign w:val="center"/>
          </w:tcPr>
          <w:p>
            <w:pPr>
              <w:adjustRightInd w:val="0"/>
              <w:snapToGrid w:val="0"/>
              <w:jc w:val="center"/>
              <w:textAlignment w:val="baseline"/>
              <w:rPr>
                <w:b/>
                <w:color w:val="auto"/>
                <w:kern w:val="0"/>
              </w:rPr>
            </w:pPr>
            <w:r>
              <w:rPr>
                <w:b/>
                <w:color w:val="auto"/>
                <w:kern w:val="0"/>
              </w:rPr>
              <w:t>景观照片</w:t>
            </w:r>
          </w:p>
        </w:tc>
        <w:tc>
          <w:tcPr>
            <w:tcW w:w="2833" w:type="dxa"/>
            <w:vAlign w:val="center"/>
          </w:tcPr>
          <w:p>
            <w:pPr>
              <w:adjustRightInd w:val="0"/>
              <w:snapToGrid w:val="0"/>
              <w:jc w:val="center"/>
              <w:textAlignment w:val="baseline"/>
              <w:rPr>
                <w:b/>
                <w:color w:val="auto"/>
                <w:kern w:val="0"/>
              </w:rPr>
            </w:pPr>
            <w:r>
              <w:rPr>
                <w:b/>
                <w:color w:val="auto"/>
                <w:kern w:val="0"/>
              </w:rPr>
              <w:t>土壤剖面照片</w:t>
            </w:r>
          </w:p>
        </w:tc>
        <w:tc>
          <w:tcPr>
            <w:tcW w:w="2749" w:type="dxa"/>
            <w:vAlign w:val="center"/>
          </w:tcPr>
          <w:p>
            <w:pPr>
              <w:adjustRightInd w:val="0"/>
              <w:snapToGrid w:val="0"/>
              <w:jc w:val="center"/>
              <w:textAlignment w:val="baseline"/>
              <w:rPr>
                <w:b/>
                <w:color w:val="auto"/>
                <w:kern w:val="0"/>
              </w:rPr>
            </w:pPr>
            <w:r>
              <w:rPr>
                <w:b/>
                <w:color w:val="auto"/>
                <w:kern w:val="0"/>
              </w:rPr>
              <w:t>层次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459" w:hRule="atLeast"/>
          <w:jc w:val="center"/>
        </w:trPr>
        <w:tc>
          <w:tcPr>
            <w:tcW w:w="2940" w:type="dxa"/>
            <w:vMerge w:val="restart"/>
            <w:vAlign w:val="center"/>
          </w:tcPr>
          <w:p>
            <w:pPr>
              <w:adjustRightInd w:val="0"/>
              <w:snapToGrid w:val="0"/>
              <w:jc w:val="center"/>
              <w:textAlignment w:val="baseline"/>
              <w:rPr>
                <w:color w:val="auto"/>
                <w:kern w:val="0"/>
              </w:rPr>
            </w:pPr>
            <w:r>
              <w:rPr>
                <w:color w:val="auto"/>
              </w:rPr>
              <w:drawing>
                <wp:anchor distT="0" distB="0" distL="114300" distR="114300" simplePos="0" relativeHeight="251756544" behindDoc="0" locked="0" layoutInCell="1" allowOverlap="1">
                  <wp:simplePos x="0" y="0"/>
                  <wp:positionH relativeFrom="column">
                    <wp:posOffset>71120</wp:posOffset>
                  </wp:positionH>
                  <wp:positionV relativeFrom="paragraph">
                    <wp:posOffset>35560</wp:posOffset>
                  </wp:positionV>
                  <wp:extent cx="1628140" cy="2514600"/>
                  <wp:effectExtent l="0" t="0" r="10160" b="0"/>
                  <wp:wrapNone/>
                  <wp:docPr id="1442" name="图片 1" descr="说明: C:/Users/ADMINI~1/AppData/Local/Temp/picturecompress_20210205153422/output_85.jpgoutput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图片 1" descr="说明: C:/Users/ADMINI~1/AppData/Local/Temp/picturecompress_20210205153422/output_85.jpgoutput_85"/>
                          <pic:cNvPicPr>
                            <a:picLocks noChangeAspect="1" noChangeArrowheads="1"/>
                          </pic:cNvPicPr>
                        </pic:nvPicPr>
                        <pic:blipFill>
                          <a:blip r:embed="rId131"/>
                          <a:srcRect/>
                          <a:stretch>
                            <a:fillRect/>
                          </a:stretch>
                        </pic:blipFill>
                        <pic:spPr>
                          <a:xfrm>
                            <a:off x="0" y="0"/>
                            <a:ext cx="1628140" cy="2514600"/>
                          </a:xfrm>
                          <a:prstGeom prst="rect">
                            <a:avLst/>
                          </a:prstGeom>
                          <a:noFill/>
                          <a:ln>
                            <a:noFill/>
                          </a:ln>
                        </pic:spPr>
                      </pic:pic>
                    </a:graphicData>
                  </a:graphic>
                </wp:anchor>
              </w:drawing>
            </w: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jc w:val="center"/>
              <w:textAlignment w:val="baseline"/>
              <w:rPr>
                <w:color w:val="auto"/>
                <w:kern w:val="0"/>
              </w:rPr>
            </w:pPr>
          </w:p>
          <w:p>
            <w:pPr>
              <w:adjustRightInd w:val="0"/>
              <w:snapToGrid w:val="0"/>
              <w:textAlignment w:val="baseline"/>
              <w:rPr>
                <w:color w:val="auto"/>
                <w:kern w:val="0"/>
              </w:rPr>
            </w:pPr>
          </w:p>
        </w:tc>
        <w:tc>
          <w:tcPr>
            <w:tcW w:w="2833" w:type="dxa"/>
            <w:vMerge w:val="restart"/>
            <w:vAlign w:val="center"/>
          </w:tcPr>
          <w:p>
            <w:pPr>
              <w:adjustRightInd w:val="0"/>
              <w:snapToGrid w:val="0"/>
              <w:jc w:val="center"/>
              <w:textAlignment w:val="baseline"/>
              <w:rPr>
                <w:i/>
                <w:color w:val="auto"/>
                <w:kern w:val="0"/>
              </w:rPr>
            </w:pPr>
            <w:r>
              <w:rPr>
                <w:color w:val="auto"/>
              </w:rPr>
              <w:drawing>
                <wp:anchor distT="0" distB="0" distL="114300" distR="114300" simplePos="0" relativeHeight="251757568" behindDoc="0" locked="0" layoutInCell="1" allowOverlap="1">
                  <wp:simplePos x="0" y="0"/>
                  <wp:positionH relativeFrom="column">
                    <wp:posOffset>116840</wp:posOffset>
                  </wp:positionH>
                  <wp:positionV relativeFrom="paragraph">
                    <wp:posOffset>13970</wp:posOffset>
                  </wp:positionV>
                  <wp:extent cx="1485900" cy="2524125"/>
                  <wp:effectExtent l="0" t="0" r="0" b="9525"/>
                  <wp:wrapNone/>
                  <wp:docPr id="1441" name="图片 31" descr="说明: C:/Users/ADMINI~1/AppData/Local/Temp/picturecompress_20210205153422/output_86.jpgoutput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图片 31" descr="说明: C:/Users/ADMINI~1/AppData/Local/Temp/picturecompress_20210205153422/output_86.jpgoutput_86"/>
                          <pic:cNvPicPr>
                            <a:picLocks noChangeAspect="1" noChangeArrowheads="1"/>
                          </pic:cNvPicPr>
                        </pic:nvPicPr>
                        <pic:blipFill>
                          <a:blip r:embed="rId132"/>
                          <a:srcRect/>
                          <a:stretch>
                            <a:fillRect/>
                          </a:stretch>
                        </pic:blipFill>
                        <pic:spPr>
                          <a:xfrm>
                            <a:off x="0" y="0"/>
                            <a:ext cx="1485900" cy="2524125"/>
                          </a:xfrm>
                          <a:prstGeom prst="rect">
                            <a:avLst/>
                          </a:prstGeom>
                          <a:noFill/>
                          <a:ln>
                            <a:noFill/>
                          </a:ln>
                        </pic:spPr>
                      </pic:pic>
                    </a:graphicData>
                  </a:graphic>
                </wp:anchor>
              </w:drawing>
            </w: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jc w:val="center"/>
              <w:textAlignment w:val="baseline"/>
              <w:rPr>
                <w:i/>
                <w:color w:val="auto"/>
                <w:kern w:val="0"/>
              </w:rPr>
            </w:pPr>
          </w:p>
          <w:p>
            <w:pPr>
              <w:adjustRightInd w:val="0"/>
              <w:snapToGrid w:val="0"/>
              <w:textAlignment w:val="baseline"/>
              <w:rPr>
                <w:i/>
                <w:color w:val="auto"/>
                <w:kern w:val="0"/>
              </w:rPr>
            </w:pPr>
          </w:p>
        </w:tc>
        <w:tc>
          <w:tcPr>
            <w:tcW w:w="2749" w:type="dxa"/>
            <w:vAlign w:val="center"/>
          </w:tcPr>
          <w:p>
            <w:pPr>
              <w:contextualSpacing/>
              <w:jc w:val="center"/>
              <w:textAlignment w:val="baseline"/>
              <w:rPr>
                <w:color w:val="auto"/>
                <w:kern w:val="0"/>
              </w:rPr>
            </w:pPr>
            <w:r>
              <w:rPr>
                <w:color w:val="auto"/>
                <w:kern w:val="0"/>
              </w:rPr>
              <w:t>0~45cm黄褐色，不均匀，稍密，稍湿，包含植物根，耕土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549" w:hRule="atLeast"/>
          <w:jc w:val="center"/>
        </w:trPr>
        <w:tc>
          <w:tcPr>
            <w:tcW w:w="2940" w:type="dxa"/>
            <w:vMerge w:val="continue"/>
            <w:vAlign w:val="center"/>
          </w:tcPr>
          <w:p>
            <w:pPr>
              <w:adjustRightInd w:val="0"/>
              <w:snapToGrid w:val="0"/>
              <w:jc w:val="center"/>
              <w:textAlignment w:val="baseline"/>
              <w:rPr>
                <w:color w:val="auto"/>
                <w:kern w:val="0"/>
              </w:rPr>
            </w:pPr>
          </w:p>
        </w:tc>
        <w:tc>
          <w:tcPr>
            <w:tcW w:w="2833" w:type="dxa"/>
            <w:vMerge w:val="continue"/>
            <w:vAlign w:val="center"/>
          </w:tcPr>
          <w:p>
            <w:pPr>
              <w:adjustRightInd w:val="0"/>
              <w:snapToGrid w:val="0"/>
              <w:jc w:val="center"/>
              <w:textAlignment w:val="baseline"/>
              <w:rPr>
                <w:i/>
                <w:color w:val="auto"/>
                <w:kern w:val="0"/>
              </w:rPr>
            </w:pPr>
          </w:p>
        </w:tc>
        <w:tc>
          <w:tcPr>
            <w:tcW w:w="2749" w:type="dxa"/>
            <w:vAlign w:val="center"/>
          </w:tcPr>
          <w:p>
            <w:pPr>
              <w:contextualSpacing/>
              <w:jc w:val="center"/>
              <w:textAlignment w:val="baseline"/>
              <w:rPr>
                <w:color w:val="auto"/>
                <w:kern w:val="0"/>
              </w:rPr>
            </w:pPr>
            <w:r>
              <w:rPr>
                <w:color w:val="auto"/>
                <w:kern w:val="0"/>
              </w:rPr>
              <w:t>45</w:t>
            </w:r>
            <w:r>
              <w:rPr>
                <w:rFonts w:hint="eastAsia"/>
                <w:color w:val="auto"/>
                <w:kern w:val="0"/>
                <w:lang w:eastAsia="zh-CN"/>
              </w:rPr>
              <w:t>～</w:t>
            </w:r>
            <w:r>
              <w:rPr>
                <w:color w:val="auto"/>
                <w:kern w:val="0"/>
              </w:rPr>
              <w:t>338cm黄褐色，粉质粘土</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24" w:hRule="atLeast"/>
          <w:jc w:val="center"/>
        </w:trPr>
        <w:tc>
          <w:tcPr>
            <w:tcW w:w="2940" w:type="dxa"/>
            <w:vMerge w:val="continue"/>
            <w:vAlign w:val="center"/>
          </w:tcPr>
          <w:p>
            <w:pPr>
              <w:adjustRightInd w:val="0"/>
              <w:snapToGrid w:val="0"/>
              <w:jc w:val="center"/>
              <w:textAlignment w:val="baseline"/>
              <w:rPr>
                <w:color w:val="auto"/>
                <w:kern w:val="0"/>
              </w:rPr>
            </w:pPr>
          </w:p>
        </w:tc>
        <w:tc>
          <w:tcPr>
            <w:tcW w:w="2833" w:type="dxa"/>
            <w:vMerge w:val="continue"/>
            <w:vAlign w:val="center"/>
          </w:tcPr>
          <w:p>
            <w:pPr>
              <w:adjustRightInd w:val="0"/>
              <w:snapToGrid w:val="0"/>
              <w:jc w:val="center"/>
              <w:textAlignment w:val="baseline"/>
              <w:rPr>
                <w:i/>
                <w:color w:val="auto"/>
                <w:kern w:val="0"/>
              </w:rPr>
            </w:pPr>
          </w:p>
        </w:tc>
        <w:tc>
          <w:tcPr>
            <w:tcW w:w="2749" w:type="dxa"/>
            <w:vAlign w:val="center"/>
          </w:tcPr>
          <w:p>
            <w:pPr>
              <w:contextualSpacing/>
              <w:jc w:val="center"/>
              <w:textAlignment w:val="baseline"/>
              <w:rPr>
                <w:color w:val="auto"/>
                <w:kern w:val="0"/>
              </w:rPr>
            </w:pPr>
            <w:r>
              <w:rPr>
                <w:color w:val="auto"/>
                <w:kern w:val="0"/>
              </w:rPr>
              <w:t>338</w:t>
            </w:r>
            <w:r>
              <w:rPr>
                <w:rFonts w:hint="eastAsia"/>
                <w:color w:val="auto"/>
                <w:kern w:val="0"/>
                <w:lang w:eastAsia="zh-CN"/>
              </w:rPr>
              <w:t>～</w:t>
            </w:r>
            <w:r>
              <w:rPr>
                <w:color w:val="auto"/>
                <w:kern w:val="0"/>
              </w:rPr>
              <w:t>618cm黄褐色，粉质粘土</w:t>
            </w:r>
          </w:p>
        </w:tc>
      </w:tr>
    </w:tbl>
    <w:p>
      <w:pPr>
        <w:rPr>
          <w:color w:val="auto"/>
        </w:rPr>
      </w:pPr>
    </w:p>
    <w:p>
      <w:pPr>
        <w:pStyle w:val="5"/>
        <w:spacing w:before="0" w:beforeLines="0" w:after="0" w:afterLines="0"/>
        <w:rPr>
          <w:bCs w:val="0"/>
          <w:color w:val="auto"/>
          <w:kern w:val="21"/>
          <w:sz w:val="28"/>
          <w:szCs w:val="28"/>
        </w:rPr>
      </w:pPr>
      <w:r>
        <w:rPr>
          <w:bCs w:val="0"/>
          <w:color w:val="auto"/>
          <w:kern w:val="21"/>
          <w:sz w:val="28"/>
          <w:szCs w:val="28"/>
        </w:rPr>
        <w:t>5.6.3土壤环境影响分析</w:t>
      </w:r>
    </w:p>
    <w:p>
      <w:pPr>
        <w:spacing w:line="360" w:lineRule="auto"/>
        <w:ind w:firstLine="450"/>
        <w:rPr>
          <w:color w:val="auto"/>
          <w:kern w:val="21"/>
          <w:sz w:val="24"/>
          <w:szCs w:val="24"/>
        </w:rPr>
      </w:pPr>
      <w:r>
        <w:rPr>
          <w:color w:val="auto"/>
          <w:sz w:val="24"/>
          <w:szCs w:val="24"/>
        </w:rPr>
        <w:t>本项目为新建项目，根据工程分析项目涉及到废气污染物主要有</w:t>
      </w:r>
      <w:r>
        <w:rPr>
          <w:color w:val="auto"/>
          <w:kern w:val="21"/>
          <w:sz w:val="24"/>
          <w:szCs w:val="24"/>
        </w:rPr>
        <w:t>氯化氢、</w:t>
      </w:r>
      <w:r>
        <w:rPr>
          <w:rFonts w:hint="eastAsia"/>
          <w:color w:val="auto"/>
          <w:kern w:val="21"/>
          <w:sz w:val="24"/>
          <w:szCs w:val="24"/>
        </w:rPr>
        <w:t>氨</w:t>
      </w:r>
      <w:r>
        <w:rPr>
          <w:color w:val="auto"/>
          <w:kern w:val="21"/>
          <w:sz w:val="24"/>
          <w:szCs w:val="24"/>
        </w:rPr>
        <w:t>、</w:t>
      </w:r>
      <w:r>
        <w:rPr>
          <w:rFonts w:hint="eastAsia"/>
          <w:color w:val="auto"/>
          <w:kern w:val="21"/>
          <w:sz w:val="24"/>
          <w:szCs w:val="24"/>
        </w:rPr>
        <w:t>硫化氢</w:t>
      </w:r>
      <w:r>
        <w:rPr>
          <w:color w:val="auto"/>
          <w:kern w:val="21"/>
          <w:sz w:val="24"/>
          <w:szCs w:val="24"/>
        </w:rPr>
        <w:t>、PM</w:t>
      </w:r>
      <w:r>
        <w:rPr>
          <w:color w:val="auto"/>
          <w:kern w:val="21"/>
          <w:sz w:val="24"/>
          <w:szCs w:val="24"/>
          <w:vertAlign w:val="subscript"/>
        </w:rPr>
        <w:t>10</w:t>
      </w:r>
      <w:r>
        <w:rPr>
          <w:color w:val="auto"/>
          <w:kern w:val="21"/>
          <w:sz w:val="24"/>
          <w:szCs w:val="24"/>
        </w:rPr>
        <w:t>、SO</w:t>
      </w:r>
      <w:r>
        <w:rPr>
          <w:color w:val="auto"/>
          <w:kern w:val="21"/>
          <w:sz w:val="24"/>
          <w:szCs w:val="24"/>
          <w:vertAlign w:val="subscript"/>
        </w:rPr>
        <w:t>2</w:t>
      </w:r>
      <w:r>
        <w:rPr>
          <w:color w:val="auto"/>
          <w:kern w:val="21"/>
          <w:sz w:val="24"/>
          <w:szCs w:val="24"/>
        </w:rPr>
        <w:t>、NOx，其中粉尘主要为锅炉</w:t>
      </w:r>
      <w:r>
        <w:rPr>
          <w:rFonts w:hint="eastAsia"/>
          <w:color w:val="auto"/>
          <w:kern w:val="21"/>
          <w:sz w:val="24"/>
          <w:szCs w:val="24"/>
        </w:rPr>
        <w:t>烟尘</w:t>
      </w:r>
      <w:r>
        <w:rPr>
          <w:color w:val="auto"/>
          <w:kern w:val="21"/>
          <w:sz w:val="24"/>
          <w:szCs w:val="24"/>
        </w:rPr>
        <w:t>及</w:t>
      </w:r>
      <w:r>
        <w:rPr>
          <w:rFonts w:hint="eastAsia"/>
          <w:color w:val="auto"/>
          <w:kern w:val="21"/>
          <w:sz w:val="24"/>
          <w:szCs w:val="24"/>
        </w:rPr>
        <w:t>焊接烟尘</w:t>
      </w:r>
      <w:r>
        <w:rPr>
          <w:color w:val="auto"/>
          <w:kern w:val="21"/>
          <w:sz w:val="24"/>
          <w:szCs w:val="24"/>
        </w:rPr>
        <w:t>，不涉及重金属；SO</w:t>
      </w:r>
      <w:r>
        <w:rPr>
          <w:color w:val="auto"/>
          <w:kern w:val="21"/>
          <w:sz w:val="24"/>
          <w:szCs w:val="24"/>
          <w:vertAlign w:val="subscript"/>
        </w:rPr>
        <w:t>2</w:t>
      </w:r>
      <w:r>
        <w:rPr>
          <w:color w:val="auto"/>
          <w:kern w:val="21"/>
          <w:sz w:val="24"/>
          <w:szCs w:val="24"/>
        </w:rPr>
        <w:t>、NOx主要会通过大气降水、扩散稀释和重力作用沉降到地面，在土壤中进行迁移、转化和吸收等进入到土壤中，即形成酸沉降，影响土壤环境质量。</w:t>
      </w:r>
    </w:p>
    <w:p>
      <w:pPr>
        <w:spacing w:line="360" w:lineRule="auto"/>
        <w:ind w:firstLine="450"/>
        <w:rPr>
          <w:color w:val="auto"/>
          <w:kern w:val="21"/>
          <w:sz w:val="24"/>
          <w:szCs w:val="24"/>
        </w:rPr>
      </w:pPr>
      <w:r>
        <w:rPr>
          <w:color w:val="auto"/>
          <w:kern w:val="21"/>
          <w:sz w:val="24"/>
          <w:szCs w:val="24"/>
        </w:rPr>
        <w:t>工程废水实施清污分流，</w:t>
      </w:r>
      <w:r>
        <w:rPr>
          <w:rFonts w:hint="eastAsia"/>
          <w:color w:val="auto"/>
          <w:kern w:val="21"/>
          <w:sz w:val="24"/>
          <w:szCs w:val="24"/>
          <w:lang w:eastAsia="zh-CN"/>
        </w:rPr>
        <w:t>项目涉重废水经厂区污水处理站处理后全部回用于生产线，不外排。浓水及生活污水</w:t>
      </w:r>
      <w:r>
        <w:rPr>
          <w:color w:val="auto"/>
          <w:kern w:val="21"/>
          <w:sz w:val="24"/>
          <w:szCs w:val="24"/>
        </w:rPr>
        <w:t>通过</w:t>
      </w:r>
      <w:r>
        <w:rPr>
          <w:rFonts w:hint="eastAsia"/>
          <w:color w:val="auto"/>
          <w:kern w:val="21"/>
          <w:sz w:val="24"/>
          <w:szCs w:val="24"/>
          <w:lang w:eastAsia="zh-CN"/>
        </w:rPr>
        <w:t>园区</w:t>
      </w:r>
      <w:r>
        <w:rPr>
          <w:color w:val="auto"/>
          <w:kern w:val="21"/>
          <w:sz w:val="24"/>
          <w:szCs w:val="24"/>
        </w:rPr>
        <w:t>管网排入同盟污水处理厂进一步处理，</w:t>
      </w:r>
      <w:r>
        <w:rPr>
          <w:rFonts w:hint="eastAsia"/>
          <w:color w:val="auto"/>
          <w:kern w:val="21"/>
          <w:sz w:val="24"/>
          <w:szCs w:val="24"/>
          <w:lang w:eastAsia="zh-CN"/>
        </w:rPr>
        <w:t>最红</w:t>
      </w:r>
      <w:r>
        <w:rPr>
          <w:color w:val="auto"/>
          <w:kern w:val="21"/>
          <w:sz w:val="24"/>
          <w:szCs w:val="24"/>
        </w:rPr>
        <w:t>排入共产主义渠。正常情况下，本项目运营期内没有厂区废水经过地面漫流进入土壤的途径。</w:t>
      </w:r>
    </w:p>
    <w:p>
      <w:pPr>
        <w:spacing w:line="360" w:lineRule="auto"/>
        <w:ind w:firstLine="450"/>
        <w:rPr>
          <w:color w:val="auto"/>
          <w:kern w:val="21"/>
          <w:sz w:val="24"/>
          <w:szCs w:val="24"/>
        </w:rPr>
      </w:pPr>
      <w:r>
        <w:rPr>
          <w:color w:val="auto"/>
          <w:kern w:val="21"/>
          <w:sz w:val="24"/>
          <w:szCs w:val="24"/>
        </w:rPr>
        <w:t>本项目电池生产区、电镀生产区及公辅助工程的地面均按相关规范进行硬化，正常情况下不会产生污染物垂直入渗进入土壤，考虑非正常工况下，最不利情况下本项目污水处理站污水池发生渗漏，污染因子通过垂直入渗的方式进行土壤。</w:t>
      </w:r>
    </w:p>
    <w:p>
      <w:pPr>
        <w:pStyle w:val="6"/>
        <w:spacing w:before="0" w:after="0" w:line="360" w:lineRule="auto"/>
        <w:rPr>
          <w:b w:val="0"/>
          <w:color w:val="auto"/>
          <w:sz w:val="24"/>
          <w:szCs w:val="24"/>
        </w:rPr>
      </w:pPr>
      <w:r>
        <w:rPr>
          <w:b w:val="0"/>
          <w:color w:val="auto"/>
          <w:sz w:val="24"/>
          <w:szCs w:val="24"/>
        </w:rPr>
        <w:t>5.6.3.1土壤环境影响类型与影响途径识别</w:t>
      </w:r>
    </w:p>
    <w:p>
      <w:pPr>
        <w:spacing w:line="360" w:lineRule="auto"/>
        <w:ind w:firstLine="450"/>
        <w:rPr>
          <w:color w:val="auto"/>
          <w:kern w:val="21"/>
          <w:sz w:val="24"/>
          <w:szCs w:val="24"/>
        </w:rPr>
      </w:pPr>
      <w:r>
        <w:rPr>
          <w:color w:val="auto"/>
          <w:kern w:val="21"/>
          <w:sz w:val="24"/>
          <w:szCs w:val="24"/>
        </w:rPr>
        <w:t>污染物进入土壤环境的主要途径有：</w:t>
      </w:r>
      <w:r>
        <w:rPr>
          <w:color w:val="auto"/>
          <w:kern w:val="21"/>
          <w:sz w:val="24"/>
          <w:szCs w:val="24"/>
        </w:rPr>
        <w:fldChar w:fldCharType="begin"/>
      </w:r>
      <w:r>
        <w:rPr>
          <w:color w:val="auto"/>
          <w:kern w:val="21"/>
          <w:sz w:val="24"/>
          <w:szCs w:val="24"/>
        </w:rPr>
        <w:instrText xml:space="preserve"> = 1 \* GB3 </w:instrText>
      </w:r>
      <w:r>
        <w:rPr>
          <w:color w:val="auto"/>
          <w:kern w:val="21"/>
          <w:sz w:val="24"/>
          <w:szCs w:val="24"/>
        </w:rPr>
        <w:fldChar w:fldCharType="separate"/>
      </w:r>
      <w:r>
        <w:rPr>
          <w:rFonts w:hint="eastAsia" w:ascii="宋体" w:hAnsi="宋体" w:cs="宋体"/>
          <w:color w:val="auto"/>
          <w:kern w:val="21"/>
          <w:sz w:val="24"/>
          <w:szCs w:val="24"/>
        </w:rPr>
        <w:t>①</w:t>
      </w:r>
      <w:r>
        <w:rPr>
          <w:color w:val="auto"/>
          <w:kern w:val="21"/>
          <w:sz w:val="24"/>
          <w:szCs w:val="24"/>
        </w:rPr>
        <w:fldChar w:fldCharType="end"/>
      </w:r>
      <w:r>
        <w:rPr>
          <w:color w:val="auto"/>
          <w:kern w:val="21"/>
          <w:sz w:val="24"/>
          <w:szCs w:val="24"/>
        </w:rPr>
        <w:t>物料堆放导致污染物以点源形式垂直进入土壤环境；</w:t>
      </w:r>
      <w:r>
        <w:rPr>
          <w:color w:val="auto"/>
          <w:kern w:val="21"/>
          <w:sz w:val="24"/>
          <w:szCs w:val="24"/>
        </w:rPr>
        <w:fldChar w:fldCharType="begin"/>
      </w:r>
      <w:r>
        <w:rPr>
          <w:color w:val="auto"/>
          <w:kern w:val="21"/>
          <w:sz w:val="24"/>
          <w:szCs w:val="24"/>
        </w:rPr>
        <w:instrText xml:space="preserve"> = 2 \* GB3 </w:instrText>
      </w:r>
      <w:r>
        <w:rPr>
          <w:color w:val="auto"/>
          <w:kern w:val="21"/>
          <w:sz w:val="24"/>
          <w:szCs w:val="24"/>
        </w:rPr>
        <w:fldChar w:fldCharType="separate"/>
      </w:r>
      <w:r>
        <w:rPr>
          <w:rFonts w:hint="eastAsia" w:ascii="宋体" w:hAnsi="宋体" w:cs="宋体"/>
          <w:color w:val="auto"/>
          <w:kern w:val="21"/>
          <w:sz w:val="24"/>
          <w:szCs w:val="24"/>
        </w:rPr>
        <w:t>②</w:t>
      </w:r>
      <w:r>
        <w:rPr>
          <w:color w:val="auto"/>
          <w:kern w:val="21"/>
          <w:sz w:val="24"/>
          <w:szCs w:val="24"/>
        </w:rPr>
        <w:fldChar w:fldCharType="end"/>
      </w:r>
      <w:r>
        <w:rPr>
          <w:color w:val="auto"/>
          <w:kern w:val="21"/>
          <w:sz w:val="24"/>
          <w:szCs w:val="24"/>
        </w:rPr>
        <w:t>地表漫流、大气沉降等面源形式进入土壤环境。</w:t>
      </w:r>
    </w:p>
    <w:p>
      <w:pPr>
        <w:spacing w:line="360" w:lineRule="auto"/>
        <w:ind w:firstLine="450"/>
        <w:rPr>
          <w:color w:val="auto"/>
          <w:kern w:val="21"/>
          <w:sz w:val="24"/>
          <w:szCs w:val="24"/>
        </w:rPr>
      </w:pPr>
      <w:r>
        <w:rPr>
          <w:color w:val="auto"/>
          <w:kern w:val="21"/>
          <w:sz w:val="24"/>
          <w:szCs w:val="24"/>
        </w:rPr>
        <w:t>本项目电镀原料区、电镀线、危废间、机加工等区域以及污水处理系统与事故池等可能涉及到物料以点源形式垂直进入土壤环境的区域容易受到污染均列为重点防治区。重点防渗区各单元整体防渗性能等效粘土防渗层Mb≥6.0m，K≤1×10</w:t>
      </w:r>
      <w:r>
        <w:rPr>
          <w:color w:val="auto"/>
          <w:kern w:val="21"/>
          <w:sz w:val="24"/>
          <w:szCs w:val="24"/>
          <w:vertAlign w:val="superscript"/>
        </w:rPr>
        <w:t>-7</w:t>
      </w:r>
      <w:r>
        <w:rPr>
          <w:color w:val="auto"/>
          <w:kern w:val="21"/>
          <w:sz w:val="24"/>
          <w:szCs w:val="24"/>
        </w:rPr>
        <w:t>cm/s。</w:t>
      </w:r>
    </w:p>
    <w:p>
      <w:pPr>
        <w:spacing w:line="360" w:lineRule="auto"/>
        <w:ind w:firstLine="450"/>
        <w:rPr>
          <w:color w:val="auto"/>
          <w:kern w:val="21"/>
          <w:sz w:val="24"/>
          <w:szCs w:val="24"/>
        </w:rPr>
      </w:pPr>
      <w:r>
        <w:rPr>
          <w:color w:val="auto"/>
          <w:kern w:val="21"/>
          <w:sz w:val="24"/>
          <w:szCs w:val="24"/>
        </w:rPr>
        <w:t>本项目厂区设置1座事故池以及配套截污沟和导流措施，保证工程事故废水能被有效收集，可有效防止地表漫流情形下污染物以面源形式进入土壤。</w:t>
      </w:r>
    </w:p>
    <w:p>
      <w:pPr>
        <w:spacing w:line="360" w:lineRule="auto"/>
        <w:ind w:firstLine="450"/>
        <w:rPr>
          <w:color w:val="auto"/>
          <w:kern w:val="21"/>
          <w:sz w:val="24"/>
          <w:szCs w:val="24"/>
        </w:rPr>
      </w:pPr>
      <w:r>
        <w:rPr>
          <w:color w:val="auto"/>
          <w:kern w:val="21"/>
          <w:sz w:val="24"/>
          <w:szCs w:val="24"/>
        </w:rPr>
        <w:t>本项目土壤环境影响类型与影响途径主要为大气沉降和垂直入渗。</w:t>
      </w:r>
    </w:p>
    <w:p>
      <w:pPr>
        <w:pStyle w:val="6"/>
        <w:spacing w:before="0" w:after="0" w:line="360" w:lineRule="auto"/>
        <w:rPr>
          <w:b w:val="0"/>
          <w:color w:val="auto"/>
          <w:sz w:val="24"/>
          <w:szCs w:val="24"/>
        </w:rPr>
      </w:pPr>
      <w:r>
        <w:rPr>
          <w:b w:val="0"/>
          <w:color w:val="auto"/>
          <w:sz w:val="24"/>
          <w:szCs w:val="24"/>
        </w:rPr>
        <w:t>5.6.3.2土壤环境影响源与影响分子识别</w:t>
      </w:r>
    </w:p>
    <w:p>
      <w:pPr>
        <w:spacing w:line="360" w:lineRule="auto"/>
        <w:ind w:firstLine="450"/>
        <w:rPr>
          <w:color w:val="auto"/>
          <w:kern w:val="21"/>
          <w:sz w:val="24"/>
          <w:szCs w:val="24"/>
        </w:rPr>
      </w:pPr>
      <w:r>
        <w:rPr>
          <w:color w:val="auto"/>
          <w:kern w:val="21"/>
          <w:sz w:val="24"/>
          <w:szCs w:val="24"/>
        </w:rPr>
        <w:t>本次项目土壤环境影响源与影响因子识别见表5.6-8。</w:t>
      </w:r>
    </w:p>
    <w:p>
      <w:pPr>
        <w:ind w:firstLine="448"/>
        <w:jc w:val="center"/>
        <w:rPr>
          <w:rFonts w:eastAsia="黑体"/>
          <w:color w:val="auto"/>
          <w:kern w:val="21"/>
          <w:sz w:val="24"/>
          <w:szCs w:val="24"/>
        </w:rPr>
      </w:pPr>
      <w:r>
        <w:rPr>
          <w:rFonts w:eastAsia="黑体"/>
          <w:color w:val="auto"/>
          <w:kern w:val="21"/>
          <w:sz w:val="24"/>
          <w:szCs w:val="24"/>
        </w:rPr>
        <w:t>表5.6-8  建设项目土壤环境影响源与影响因子识别表</w:t>
      </w:r>
    </w:p>
    <w:tbl>
      <w:tblPr>
        <w:tblStyle w:val="83"/>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6"/>
        <w:gridCol w:w="1069"/>
        <w:gridCol w:w="1069"/>
        <w:gridCol w:w="2012"/>
        <w:gridCol w:w="1604"/>
        <w:gridCol w:w="1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6" w:type="dxa"/>
            <w:shd w:val="clear" w:color="auto" w:fill="auto"/>
            <w:vAlign w:val="center"/>
          </w:tcPr>
          <w:p>
            <w:pPr>
              <w:widowControl w:val="0"/>
              <w:jc w:val="center"/>
              <w:rPr>
                <w:b/>
                <w:color w:val="auto"/>
                <w:kern w:val="21"/>
              </w:rPr>
            </w:pPr>
            <w:r>
              <w:rPr>
                <w:b/>
                <w:color w:val="auto"/>
                <w:kern w:val="21"/>
              </w:rPr>
              <w:t>污染源</w:t>
            </w:r>
          </w:p>
        </w:tc>
        <w:tc>
          <w:tcPr>
            <w:tcW w:w="1069" w:type="dxa"/>
            <w:shd w:val="clear" w:color="auto" w:fill="auto"/>
            <w:vAlign w:val="center"/>
          </w:tcPr>
          <w:p>
            <w:pPr>
              <w:widowControl w:val="0"/>
              <w:jc w:val="center"/>
              <w:rPr>
                <w:b/>
                <w:color w:val="auto"/>
                <w:kern w:val="21"/>
              </w:rPr>
            </w:pPr>
            <w:r>
              <w:rPr>
                <w:b/>
                <w:color w:val="auto"/>
                <w:kern w:val="21"/>
              </w:rPr>
              <w:t>工艺流程/节点</w:t>
            </w:r>
          </w:p>
        </w:tc>
        <w:tc>
          <w:tcPr>
            <w:tcW w:w="1069" w:type="dxa"/>
            <w:shd w:val="clear" w:color="auto" w:fill="auto"/>
            <w:vAlign w:val="center"/>
          </w:tcPr>
          <w:p>
            <w:pPr>
              <w:widowControl w:val="0"/>
              <w:jc w:val="center"/>
              <w:rPr>
                <w:b/>
                <w:color w:val="auto"/>
                <w:kern w:val="21"/>
              </w:rPr>
            </w:pPr>
            <w:r>
              <w:rPr>
                <w:b/>
                <w:color w:val="auto"/>
                <w:kern w:val="21"/>
              </w:rPr>
              <w:t>污染途径</w:t>
            </w:r>
          </w:p>
        </w:tc>
        <w:tc>
          <w:tcPr>
            <w:tcW w:w="2012" w:type="dxa"/>
            <w:shd w:val="clear" w:color="auto" w:fill="auto"/>
            <w:vAlign w:val="center"/>
          </w:tcPr>
          <w:p>
            <w:pPr>
              <w:widowControl w:val="0"/>
              <w:jc w:val="center"/>
              <w:rPr>
                <w:b/>
                <w:color w:val="auto"/>
                <w:kern w:val="21"/>
              </w:rPr>
            </w:pPr>
            <w:r>
              <w:rPr>
                <w:b/>
                <w:color w:val="auto"/>
                <w:kern w:val="21"/>
              </w:rPr>
              <w:t>污染物指标</w:t>
            </w:r>
          </w:p>
        </w:tc>
        <w:tc>
          <w:tcPr>
            <w:tcW w:w="1604" w:type="dxa"/>
            <w:shd w:val="clear" w:color="auto" w:fill="auto"/>
            <w:vAlign w:val="center"/>
          </w:tcPr>
          <w:p>
            <w:pPr>
              <w:widowControl w:val="0"/>
              <w:jc w:val="center"/>
              <w:rPr>
                <w:b/>
                <w:color w:val="auto"/>
                <w:kern w:val="21"/>
              </w:rPr>
            </w:pPr>
            <w:r>
              <w:rPr>
                <w:b/>
                <w:color w:val="auto"/>
                <w:kern w:val="21"/>
              </w:rPr>
              <w:t>特征因子</w:t>
            </w:r>
          </w:p>
        </w:tc>
        <w:tc>
          <w:tcPr>
            <w:tcW w:w="1069" w:type="dxa"/>
            <w:shd w:val="clear" w:color="auto" w:fill="auto"/>
            <w:vAlign w:val="center"/>
          </w:tcPr>
          <w:p>
            <w:pPr>
              <w:widowControl w:val="0"/>
              <w:jc w:val="center"/>
              <w:rPr>
                <w:b/>
                <w:color w:val="auto"/>
                <w:kern w:val="21"/>
              </w:rPr>
            </w:pPr>
            <w:r>
              <w:rPr>
                <w:b/>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456" w:type="dxa"/>
            <w:shd w:val="clear" w:color="auto" w:fill="auto"/>
            <w:vAlign w:val="center"/>
          </w:tcPr>
          <w:p>
            <w:pPr>
              <w:widowControl w:val="0"/>
              <w:jc w:val="center"/>
              <w:rPr>
                <w:color w:val="auto"/>
                <w:kern w:val="21"/>
              </w:rPr>
            </w:pPr>
            <w:r>
              <w:rPr>
                <w:color w:val="auto"/>
                <w:kern w:val="21"/>
              </w:rPr>
              <w:t>电镀生产线</w:t>
            </w:r>
          </w:p>
        </w:tc>
        <w:tc>
          <w:tcPr>
            <w:tcW w:w="1069" w:type="dxa"/>
            <w:shd w:val="clear" w:color="auto" w:fill="auto"/>
            <w:vAlign w:val="center"/>
          </w:tcPr>
          <w:p>
            <w:pPr>
              <w:widowControl w:val="0"/>
              <w:jc w:val="center"/>
              <w:rPr>
                <w:color w:val="auto"/>
                <w:kern w:val="21"/>
              </w:rPr>
            </w:pPr>
            <w:r>
              <w:rPr>
                <w:color w:val="auto"/>
                <w:kern w:val="21"/>
              </w:rPr>
              <w:t>废气处理</w:t>
            </w:r>
          </w:p>
        </w:tc>
        <w:tc>
          <w:tcPr>
            <w:tcW w:w="1069" w:type="dxa"/>
            <w:shd w:val="clear" w:color="auto" w:fill="auto"/>
            <w:vAlign w:val="center"/>
          </w:tcPr>
          <w:p>
            <w:pPr>
              <w:widowControl w:val="0"/>
              <w:jc w:val="center"/>
              <w:rPr>
                <w:color w:val="auto"/>
                <w:kern w:val="21"/>
              </w:rPr>
            </w:pPr>
            <w:r>
              <w:rPr>
                <w:color w:val="auto"/>
                <w:kern w:val="21"/>
              </w:rPr>
              <w:t>大气沉降</w:t>
            </w:r>
          </w:p>
        </w:tc>
        <w:tc>
          <w:tcPr>
            <w:tcW w:w="2012" w:type="dxa"/>
            <w:shd w:val="clear" w:color="auto" w:fill="auto"/>
            <w:vAlign w:val="center"/>
          </w:tcPr>
          <w:p>
            <w:pPr>
              <w:widowControl w:val="0"/>
              <w:jc w:val="center"/>
              <w:rPr>
                <w:color w:val="auto"/>
                <w:kern w:val="21"/>
              </w:rPr>
            </w:pPr>
            <w:r>
              <w:rPr>
                <w:color w:val="auto"/>
                <w:kern w:val="21"/>
              </w:rPr>
              <w:t>氯化氢</w:t>
            </w:r>
          </w:p>
        </w:tc>
        <w:tc>
          <w:tcPr>
            <w:tcW w:w="1604" w:type="dxa"/>
            <w:shd w:val="clear" w:color="auto" w:fill="auto"/>
            <w:vAlign w:val="center"/>
          </w:tcPr>
          <w:p>
            <w:pPr>
              <w:widowControl w:val="0"/>
              <w:jc w:val="center"/>
              <w:rPr>
                <w:color w:val="auto"/>
                <w:kern w:val="21"/>
              </w:rPr>
            </w:pPr>
            <w:r>
              <w:rPr>
                <w:color w:val="auto"/>
                <w:kern w:val="21"/>
              </w:rPr>
              <w:t>氯化氢</w:t>
            </w:r>
          </w:p>
        </w:tc>
        <w:tc>
          <w:tcPr>
            <w:tcW w:w="1069" w:type="dxa"/>
            <w:vMerge w:val="restart"/>
            <w:shd w:val="clear" w:color="auto" w:fill="auto"/>
            <w:vAlign w:val="center"/>
          </w:tcPr>
          <w:p>
            <w:pPr>
              <w:widowControl w:val="0"/>
              <w:jc w:val="center"/>
              <w:rPr>
                <w:color w:val="auto"/>
                <w:kern w:val="21"/>
              </w:rPr>
            </w:pPr>
            <w:r>
              <w:rPr>
                <w:color w:val="auto"/>
                <w:kern w:val="21"/>
              </w:rPr>
              <w:t>正常工况连续排放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1456" w:type="dxa"/>
            <w:shd w:val="clear" w:color="auto" w:fill="auto"/>
            <w:vAlign w:val="center"/>
          </w:tcPr>
          <w:p>
            <w:pPr>
              <w:widowControl w:val="0"/>
              <w:jc w:val="center"/>
              <w:rPr>
                <w:color w:val="auto"/>
                <w:kern w:val="21"/>
              </w:rPr>
            </w:pPr>
            <w:r>
              <w:rPr>
                <w:color w:val="auto"/>
                <w:kern w:val="21"/>
              </w:rPr>
              <w:t>燃气锅炉</w:t>
            </w:r>
          </w:p>
        </w:tc>
        <w:tc>
          <w:tcPr>
            <w:tcW w:w="1069" w:type="dxa"/>
            <w:shd w:val="clear" w:color="auto" w:fill="auto"/>
            <w:vAlign w:val="center"/>
          </w:tcPr>
          <w:p>
            <w:pPr>
              <w:widowControl w:val="0"/>
              <w:jc w:val="center"/>
              <w:rPr>
                <w:color w:val="auto"/>
                <w:kern w:val="21"/>
              </w:rPr>
            </w:pPr>
            <w:r>
              <w:rPr>
                <w:color w:val="auto"/>
                <w:kern w:val="21"/>
              </w:rPr>
              <w:t>废气处理</w:t>
            </w:r>
          </w:p>
        </w:tc>
        <w:tc>
          <w:tcPr>
            <w:tcW w:w="1069" w:type="dxa"/>
            <w:shd w:val="clear" w:color="auto" w:fill="auto"/>
            <w:vAlign w:val="center"/>
          </w:tcPr>
          <w:p>
            <w:pPr>
              <w:widowControl w:val="0"/>
              <w:jc w:val="center"/>
              <w:rPr>
                <w:color w:val="auto"/>
                <w:kern w:val="21"/>
              </w:rPr>
            </w:pPr>
            <w:r>
              <w:rPr>
                <w:color w:val="auto"/>
                <w:kern w:val="21"/>
              </w:rPr>
              <w:t>大气沉降</w:t>
            </w:r>
          </w:p>
        </w:tc>
        <w:tc>
          <w:tcPr>
            <w:tcW w:w="2012" w:type="dxa"/>
            <w:shd w:val="clear" w:color="auto" w:fill="auto"/>
            <w:vAlign w:val="center"/>
          </w:tcPr>
          <w:p>
            <w:pPr>
              <w:widowControl w:val="0"/>
              <w:jc w:val="center"/>
              <w:rPr>
                <w:color w:val="auto"/>
                <w:kern w:val="21"/>
              </w:rPr>
            </w:pPr>
            <w:r>
              <w:rPr>
                <w:color w:val="auto"/>
                <w:kern w:val="21"/>
              </w:rPr>
              <w:t>烟尘、SO</w:t>
            </w:r>
            <w:r>
              <w:rPr>
                <w:color w:val="auto"/>
                <w:kern w:val="21"/>
                <w:vertAlign w:val="subscript"/>
              </w:rPr>
              <w:t>2</w:t>
            </w:r>
            <w:r>
              <w:rPr>
                <w:color w:val="auto"/>
                <w:kern w:val="21"/>
              </w:rPr>
              <w:t>、NO</w:t>
            </w:r>
            <w:r>
              <w:rPr>
                <w:color w:val="auto"/>
                <w:kern w:val="21"/>
                <w:vertAlign w:val="subscript"/>
              </w:rPr>
              <w:t>x</w:t>
            </w:r>
          </w:p>
        </w:tc>
        <w:tc>
          <w:tcPr>
            <w:tcW w:w="1604" w:type="dxa"/>
            <w:shd w:val="clear" w:color="auto" w:fill="auto"/>
            <w:vAlign w:val="center"/>
          </w:tcPr>
          <w:p>
            <w:pPr>
              <w:widowControl w:val="0"/>
              <w:jc w:val="center"/>
              <w:rPr>
                <w:color w:val="auto"/>
                <w:kern w:val="21"/>
              </w:rPr>
            </w:pPr>
            <w:r>
              <w:rPr>
                <w:color w:val="auto"/>
                <w:kern w:val="21"/>
              </w:rPr>
              <w:t>/</w:t>
            </w:r>
          </w:p>
        </w:tc>
        <w:tc>
          <w:tcPr>
            <w:tcW w:w="1069" w:type="dxa"/>
            <w:vMerge w:val="continue"/>
            <w:shd w:val="clear" w:color="auto" w:fill="auto"/>
            <w:vAlign w:val="center"/>
          </w:tcPr>
          <w:p>
            <w:pPr>
              <w:widowControl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56" w:type="dxa"/>
            <w:shd w:val="clear" w:color="auto" w:fill="auto"/>
            <w:vAlign w:val="center"/>
          </w:tcPr>
          <w:p>
            <w:pPr>
              <w:widowControl w:val="0"/>
              <w:jc w:val="center"/>
              <w:rPr>
                <w:color w:val="auto"/>
                <w:kern w:val="21"/>
              </w:rPr>
            </w:pPr>
            <w:r>
              <w:rPr>
                <w:color w:val="auto"/>
                <w:kern w:val="21"/>
              </w:rPr>
              <w:t>废水</w:t>
            </w:r>
            <w:r>
              <w:rPr>
                <w:rFonts w:hint="eastAsia"/>
                <w:color w:val="auto"/>
                <w:kern w:val="21"/>
              </w:rPr>
              <w:t>事故池</w:t>
            </w:r>
          </w:p>
        </w:tc>
        <w:tc>
          <w:tcPr>
            <w:tcW w:w="1069" w:type="dxa"/>
            <w:shd w:val="clear" w:color="auto" w:fill="auto"/>
            <w:vAlign w:val="center"/>
          </w:tcPr>
          <w:p>
            <w:pPr>
              <w:widowControl w:val="0"/>
              <w:jc w:val="center"/>
              <w:rPr>
                <w:color w:val="auto"/>
                <w:kern w:val="21"/>
              </w:rPr>
            </w:pPr>
            <w:r>
              <w:rPr>
                <w:color w:val="auto"/>
                <w:kern w:val="21"/>
              </w:rPr>
              <w:t>车间废水</w:t>
            </w:r>
          </w:p>
        </w:tc>
        <w:tc>
          <w:tcPr>
            <w:tcW w:w="1069" w:type="dxa"/>
            <w:shd w:val="clear" w:color="auto" w:fill="auto"/>
            <w:vAlign w:val="center"/>
          </w:tcPr>
          <w:p>
            <w:pPr>
              <w:widowControl w:val="0"/>
              <w:jc w:val="center"/>
              <w:rPr>
                <w:color w:val="auto"/>
                <w:kern w:val="21"/>
              </w:rPr>
            </w:pPr>
            <w:r>
              <w:rPr>
                <w:color w:val="auto"/>
                <w:kern w:val="21"/>
              </w:rPr>
              <w:t>垂直入渗</w:t>
            </w:r>
          </w:p>
        </w:tc>
        <w:tc>
          <w:tcPr>
            <w:tcW w:w="2012" w:type="dxa"/>
            <w:shd w:val="clear" w:color="auto" w:fill="auto"/>
            <w:vAlign w:val="center"/>
          </w:tcPr>
          <w:p>
            <w:pPr>
              <w:widowControl w:val="0"/>
              <w:jc w:val="center"/>
              <w:rPr>
                <w:color w:val="auto"/>
                <w:kern w:val="21"/>
              </w:rPr>
            </w:pPr>
            <w:r>
              <w:rPr>
                <w:color w:val="auto"/>
                <w:kern w:val="21"/>
              </w:rPr>
              <w:t>COD、氨氮、</w:t>
            </w:r>
            <w:r>
              <w:rPr>
                <w:rFonts w:hint="eastAsia"/>
                <w:color w:val="auto"/>
                <w:kern w:val="21"/>
              </w:rPr>
              <w:t>SS、</w:t>
            </w:r>
            <w:r>
              <w:rPr>
                <w:color w:val="auto"/>
                <w:kern w:val="21"/>
              </w:rPr>
              <w:t>总镍、总铬、六价铬、总锌</w:t>
            </w:r>
          </w:p>
        </w:tc>
        <w:tc>
          <w:tcPr>
            <w:tcW w:w="1604" w:type="dxa"/>
            <w:shd w:val="clear" w:color="auto" w:fill="auto"/>
            <w:vAlign w:val="center"/>
          </w:tcPr>
          <w:p>
            <w:pPr>
              <w:widowControl w:val="0"/>
              <w:jc w:val="center"/>
              <w:rPr>
                <w:color w:val="auto"/>
                <w:kern w:val="21"/>
              </w:rPr>
            </w:pPr>
            <w:r>
              <w:rPr>
                <w:color w:val="auto"/>
                <w:kern w:val="21"/>
              </w:rPr>
              <w:t>总镍、总铬、六价铬、总锌</w:t>
            </w:r>
          </w:p>
        </w:tc>
        <w:tc>
          <w:tcPr>
            <w:tcW w:w="1069" w:type="dxa"/>
            <w:shd w:val="clear" w:color="auto" w:fill="auto"/>
            <w:vAlign w:val="center"/>
          </w:tcPr>
          <w:p>
            <w:pPr>
              <w:widowControl w:val="0"/>
              <w:jc w:val="center"/>
              <w:rPr>
                <w:color w:val="auto"/>
                <w:kern w:val="21"/>
              </w:rPr>
            </w:pPr>
            <w:r>
              <w:rPr>
                <w:color w:val="auto"/>
                <w:kern w:val="21"/>
              </w:rPr>
              <w:t>非正常工况短时间排放</w:t>
            </w:r>
          </w:p>
        </w:tc>
      </w:tr>
    </w:tbl>
    <w:p>
      <w:pPr>
        <w:pStyle w:val="6"/>
        <w:spacing w:before="120" w:beforeLines="50" w:after="0" w:line="360" w:lineRule="auto"/>
        <w:rPr>
          <w:b w:val="0"/>
          <w:color w:val="auto"/>
          <w:sz w:val="24"/>
          <w:szCs w:val="24"/>
        </w:rPr>
      </w:pPr>
      <w:r>
        <w:rPr>
          <w:b w:val="0"/>
          <w:color w:val="auto"/>
          <w:sz w:val="24"/>
          <w:szCs w:val="24"/>
        </w:rPr>
        <w:t>5.6.3.3土壤环境影响预测与评价</w:t>
      </w:r>
    </w:p>
    <w:p>
      <w:pPr>
        <w:pStyle w:val="33"/>
        <w:spacing w:after="0" w:line="360" w:lineRule="auto"/>
        <w:ind w:left="0" w:leftChars="0" w:firstLine="480"/>
        <w:rPr>
          <w:color w:val="auto"/>
          <w:kern w:val="21"/>
          <w:sz w:val="24"/>
        </w:rPr>
      </w:pPr>
      <w:r>
        <w:rPr>
          <w:color w:val="auto"/>
          <w:kern w:val="21"/>
          <w:sz w:val="24"/>
        </w:rPr>
        <w:t>本项目属于新建项目，根据项目工艺及行业特点分析，运营期正常工况下对土壤影响途径主要为大气沉降，非正常工况下对土壤的影响途径主要为垂直入渗。</w:t>
      </w:r>
    </w:p>
    <w:p>
      <w:pPr>
        <w:pStyle w:val="33"/>
        <w:spacing w:after="0" w:line="360" w:lineRule="auto"/>
        <w:ind w:left="0" w:leftChars="0"/>
        <w:rPr>
          <w:color w:val="auto"/>
          <w:kern w:val="21"/>
          <w:sz w:val="24"/>
        </w:rPr>
      </w:pPr>
      <w:r>
        <w:rPr>
          <w:color w:val="auto"/>
          <w:kern w:val="21"/>
          <w:sz w:val="24"/>
        </w:rPr>
        <w:t>5.6.3.3.1大气沉降环境影响分析</w:t>
      </w:r>
    </w:p>
    <w:p>
      <w:pPr>
        <w:pStyle w:val="33"/>
        <w:spacing w:after="0" w:line="360" w:lineRule="auto"/>
        <w:ind w:left="0" w:leftChars="0" w:firstLine="480"/>
        <w:rPr>
          <w:color w:val="auto"/>
          <w:kern w:val="21"/>
          <w:sz w:val="24"/>
        </w:rPr>
      </w:pPr>
      <w:r>
        <w:rPr>
          <w:color w:val="auto"/>
          <w:kern w:val="21"/>
          <w:sz w:val="24"/>
        </w:rPr>
        <w:t>根据项目污染物排放特点，正常工况下本项目对土壤环境的影响主要来自废气排放引起的污染物地表沉降，本项目涉及排放的废气污染物主要有氯化氢</w:t>
      </w:r>
      <w:r>
        <w:rPr>
          <w:rFonts w:hint="eastAsia"/>
          <w:color w:val="auto"/>
          <w:kern w:val="21"/>
          <w:sz w:val="24"/>
        </w:rPr>
        <w:t>、氨</w:t>
      </w:r>
      <w:r>
        <w:rPr>
          <w:color w:val="auto"/>
          <w:kern w:val="21"/>
          <w:sz w:val="24"/>
        </w:rPr>
        <w:t>、</w:t>
      </w:r>
      <w:r>
        <w:rPr>
          <w:rFonts w:hint="eastAsia"/>
          <w:color w:val="auto"/>
          <w:kern w:val="21"/>
          <w:sz w:val="24"/>
        </w:rPr>
        <w:t>硫化氢</w:t>
      </w:r>
      <w:r>
        <w:rPr>
          <w:color w:val="auto"/>
          <w:kern w:val="21"/>
          <w:sz w:val="24"/>
        </w:rPr>
        <w:t>、</w:t>
      </w:r>
      <w:r>
        <w:rPr>
          <w:rFonts w:hint="eastAsia"/>
          <w:color w:val="auto"/>
          <w:kern w:val="21"/>
          <w:sz w:val="24"/>
        </w:rPr>
        <w:t>颗粒物</w:t>
      </w:r>
      <w:r>
        <w:rPr>
          <w:color w:val="auto"/>
          <w:kern w:val="21"/>
          <w:sz w:val="24"/>
        </w:rPr>
        <w:t>、SO</w:t>
      </w:r>
      <w:r>
        <w:rPr>
          <w:color w:val="auto"/>
          <w:kern w:val="21"/>
          <w:sz w:val="24"/>
          <w:vertAlign w:val="subscript"/>
        </w:rPr>
        <w:t>2</w:t>
      </w:r>
      <w:r>
        <w:rPr>
          <w:color w:val="auto"/>
          <w:kern w:val="21"/>
          <w:sz w:val="24"/>
        </w:rPr>
        <w:t>、NOx，经预测分析，大气污染物占标率均低于10%，对周边环境影响较小，经对照《土壤环境质量建设用地土壤污染风险管控标准（试行）》（GB36600-2018）中所列因子，本项目大气污染物均不在其中，故大气沉降对区域土壤环境影响较小，由于氯化氢、</w:t>
      </w:r>
      <w:r>
        <w:rPr>
          <w:rFonts w:hint="eastAsia"/>
          <w:color w:val="auto"/>
          <w:kern w:val="21"/>
          <w:sz w:val="24"/>
        </w:rPr>
        <w:t>氨</w:t>
      </w:r>
      <w:r>
        <w:rPr>
          <w:color w:val="auto"/>
          <w:kern w:val="21"/>
          <w:sz w:val="24"/>
        </w:rPr>
        <w:t>、</w:t>
      </w:r>
      <w:r>
        <w:rPr>
          <w:rFonts w:hint="eastAsia"/>
          <w:color w:val="auto"/>
          <w:kern w:val="21"/>
          <w:sz w:val="24"/>
        </w:rPr>
        <w:t>硫化氢</w:t>
      </w:r>
      <w:r>
        <w:rPr>
          <w:color w:val="auto"/>
          <w:kern w:val="21"/>
          <w:sz w:val="24"/>
        </w:rPr>
        <w:t>、</w:t>
      </w:r>
      <w:r>
        <w:rPr>
          <w:rFonts w:hint="eastAsia"/>
          <w:color w:val="auto"/>
          <w:kern w:val="21"/>
          <w:sz w:val="24"/>
        </w:rPr>
        <w:t>颗粒物</w:t>
      </w:r>
      <w:r>
        <w:rPr>
          <w:color w:val="auto"/>
          <w:kern w:val="21"/>
          <w:sz w:val="24"/>
        </w:rPr>
        <w:t>、SO</w:t>
      </w:r>
      <w:r>
        <w:rPr>
          <w:color w:val="auto"/>
          <w:kern w:val="21"/>
          <w:sz w:val="24"/>
          <w:vertAlign w:val="subscript"/>
        </w:rPr>
        <w:t>2</w:t>
      </w:r>
      <w:r>
        <w:rPr>
          <w:color w:val="auto"/>
          <w:kern w:val="21"/>
          <w:sz w:val="24"/>
        </w:rPr>
        <w:t>、NOx无土壤评价标准，故本次评价不再预测。针对减少污染物的大气沉降环境影响提出防治措施。</w:t>
      </w:r>
    </w:p>
    <w:p>
      <w:pPr>
        <w:pStyle w:val="33"/>
        <w:spacing w:after="0" w:line="360" w:lineRule="auto"/>
        <w:ind w:left="0" w:leftChars="0" w:firstLine="480"/>
        <w:rPr>
          <w:color w:val="auto"/>
          <w:kern w:val="21"/>
          <w:sz w:val="24"/>
        </w:rPr>
      </w:pPr>
      <w:r>
        <w:rPr>
          <w:color w:val="auto"/>
          <w:kern w:val="21"/>
          <w:sz w:val="24"/>
        </w:rPr>
        <w:t>防治措施：</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源头控制：厂区做好防渗工作，切断其对土壤环境的影响源。影响源主要为厂区内各排气筒及各无组织排放区域。污染物迁移突降是通过大气沉降、降水迁移等，故评价要求项目废气源经相应环保措施处理后做到达标排放，同时要求厂区生产区地面全部硬化，使其污染物沉降不会接触到土壤。厂区内做好雨水收集工作，雨污分流，雨水经雨水管道排入市政雨水系统，避免雨水下渗到土壤中。</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（2）过程防控措施</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根据项目土壤理化性质调查，项目场地内土壤类型为潮土，项目占地范围内裸露地面须采取必要的绿化措施，种植一些具有较强吸附能力的植物为主，减少废气中 SO</w:t>
      </w:r>
      <w:r>
        <w:rPr>
          <w:color w:val="auto"/>
          <w:kern w:val="0"/>
          <w:sz w:val="24"/>
          <w:szCs w:val="20"/>
          <w:vertAlign w:val="subscript"/>
        </w:rPr>
        <w:t>2</w:t>
      </w:r>
      <w:r>
        <w:rPr>
          <w:color w:val="auto"/>
          <w:kern w:val="0"/>
          <w:sz w:val="24"/>
          <w:szCs w:val="20"/>
        </w:rPr>
        <w:t>、NOx、</w:t>
      </w:r>
      <w:r>
        <w:rPr>
          <w:rFonts w:hint="eastAsia"/>
          <w:color w:val="auto"/>
          <w:kern w:val="0"/>
          <w:sz w:val="24"/>
          <w:szCs w:val="20"/>
        </w:rPr>
        <w:t>颗粒物</w:t>
      </w:r>
      <w:r>
        <w:rPr>
          <w:color w:val="auto"/>
          <w:kern w:val="0"/>
          <w:sz w:val="24"/>
          <w:szCs w:val="20"/>
        </w:rPr>
        <w:t>、</w:t>
      </w:r>
      <w:r>
        <w:rPr>
          <w:rFonts w:hint="eastAsia"/>
          <w:color w:val="auto"/>
          <w:kern w:val="21"/>
          <w:sz w:val="24"/>
        </w:rPr>
        <w:t>氨</w:t>
      </w:r>
      <w:r>
        <w:rPr>
          <w:color w:val="auto"/>
          <w:kern w:val="21"/>
          <w:sz w:val="24"/>
        </w:rPr>
        <w:t>、</w:t>
      </w:r>
      <w:r>
        <w:rPr>
          <w:rFonts w:hint="eastAsia"/>
          <w:color w:val="auto"/>
          <w:kern w:val="21"/>
          <w:sz w:val="24"/>
        </w:rPr>
        <w:t>硫化氢</w:t>
      </w:r>
      <w:r>
        <w:rPr>
          <w:color w:val="auto"/>
          <w:kern w:val="0"/>
          <w:sz w:val="24"/>
          <w:szCs w:val="20"/>
        </w:rPr>
        <w:t>、HCL等沉降到地面。除绿化外，其他生产区及办公区路面全部硬化，落实厂区地下水</w:t>
      </w:r>
      <w:r>
        <w:rPr>
          <w:rFonts w:hint="eastAsia"/>
          <w:color w:val="auto"/>
          <w:kern w:val="0"/>
          <w:sz w:val="24"/>
          <w:szCs w:val="20"/>
        </w:rPr>
        <w:t>“</w:t>
      </w:r>
      <w:r>
        <w:rPr>
          <w:color w:val="auto"/>
          <w:kern w:val="0"/>
          <w:sz w:val="24"/>
          <w:szCs w:val="20"/>
        </w:rPr>
        <w:t>分区防渗</w:t>
      </w:r>
      <w:r>
        <w:rPr>
          <w:rFonts w:hint="eastAsia"/>
          <w:color w:val="auto"/>
          <w:kern w:val="0"/>
          <w:sz w:val="24"/>
          <w:szCs w:val="20"/>
        </w:rPr>
        <w:t>”</w:t>
      </w:r>
      <w:r>
        <w:rPr>
          <w:color w:val="auto"/>
          <w:kern w:val="0"/>
          <w:sz w:val="24"/>
          <w:szCs w:val="20"/>
        </w:rPr>
        <w:t>措施及要求。</w:t>
      </w:r>
    </w:p>
    <w:p>
      <w:pPr>
        <w:pStyle w:val="5"/>
        <w:spacing w:before="0" w:beforeLines="0" w:after="0" w:afterLines="0"/>
        <w:rPr>
          <w:bCs w:val="0"/>
          <w:color w:val="auto"/>
          <w:kern w:val="21"/>
          <w:sz w:val="28"/>
          <w:szCs w:val="28"/>
        </w:rPr>
      </w:pPr>
      <w:r>
        <w:rPr>
          <w:bCs w:val="0"/>
          <w:color w:val="auto"/>
          <w:kern w:val="21"/>
          <w:sz w:val="28"/>
          <w:szCs w:val="28"/>
        </w:rPr>
        <w:t>5.6.4.污水垂直入渗环境影响分析</w:t>
      </w:r>
    </w:p>
    <w:p>
      <w:pPr>
        <w:pStyle w:val="6"/>
        <w:spacing w:before="0" w:after="0" w:line="360" w:lineRule="auto"/>
        <w:rPr>
          <w:b w:val="0"/>
          <w:color w:val="auto"/>
          <w:sz w:val="24"/>
          <w:szCs w:val="24"/>
        </w:rPr>
      </w:pPr>
      <w:r>
        <w:rPr>
          <w:b w:val="0"/>
          <w:color w:val="auto"/>
          <w:sz w:val="24"/>
          <w:szCs w:val="24"/>
        </w:rPr>
        <w:t>5.6.4.1预测情景及预测因子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本项目严格按照环保技术要求设置了污水处理系统、危险废物仓库、危化品仓库的防渗系统，</w:t>
      </w:r>
      <w:r>
        <w:rPr>
          <w:rFonts w:hint="eastAsia"/>
          <w:color w:val="auto"/>
          <w:kern w:val="0"/>
          <w:sz w:val="24"/>
          <w:szCs w:val="20"/>
          <w:lang w:eastAsia="zh-CN"/>
        </w:rPr>
        <w:t>正常工况下项目污水处理站设施均采用设备化安装，安装高度距地面约</w:t>
      </w:r>
      <w:r>
        <w:rPr>
          <w:rFonts w:hint="eastAsia"/>
          <w:color w:val="auto"/>
          <w:kern w:val="0"/>
          <w:sz w:val="24"/>
          <w:szCs w:val="20"/>
          <w:lang w:val="en-US" w:eastAsia="zh-CN"/>
        </w:rPr>
        <w:t>10cm，均为可视化装置，污水处理站事故池采用</w:t>
      </w:r>
      <w:r>
        <w:rPr>
          <w:color w:val="auto"/>
          <w:kern w:val="0"/>
          <w:sz w:val="24"/>
          <w:szCs w:val="20"/>
        </w:rPr>
        <w:t>钢筋混凝土结构，内侧刷防腐防渗涂层，底层、侧壁外侧铺设防渗土工膜，污染物泄漏可忽略不计。同时根据装置区布置情况，若地上可视装置发生破坏，即使原辅材料、污水发生泄漏，管理人员会及时发现并采取措施，不可能任由污水渗入地下。因此正常情况下不会对土壤造成污染。假定污水</w:t>
      </w:r>
      <w:r>
        <w:rPr>
          <w:rFonts w:hint="eastAsia"/>
          <w:color w:val="auto"/>
          <w:kern w:val="0"/>
          <w:sz w:val="24"/>
          <w:szCs w:val="20"/>
          <w:lang w:eastAsia="zh-CN"/>
        </w:rPr>
        <w:t>站事故池</w:t>
      </w:r>
      <w:r>
        <w:rPr>
          <w:color w:val="auto"/>
          <w:kern w:val="0"/>
          <w:sz w:val="24"/>
          <w:szCs w:val="20"/>
        </w:rPr>
        <w:t>地下部分老化或者腐蚀局部出现小面积渗漏等非正常情况，导致污水渗入土壤环境介质中，对此种情景进行预测。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根据工程分析主要预测因子选取总镍、总锌、总铬和六价铬。</w:t>
      </w:r>
    </w:p>
    <w:p>
      <w:pPr>
        <w:pStyle w:val="6"/>
        <w:pageBreakBefore w:val="0"/>
        <w:widowControl/>
        <w:kinsoku/>
        <w:wordWrap/>
        <w:overflowPunct/>
        <w:topLinePunct w:val="0"/>
        <w:autoSpaceDE/>
        <w:autoSpaceDN/>
        <w:bidi w:val="0"/>
        <w:spacing w:before="0" w:after="0" w:line="360" w:lineRule="auto"/>
        <w:rPr>
          <w:b w:val="0"/>
          <w:color w:val="auto"/>
          <w:sz w:val="24"/>
          <w:szCs w:val="24"/>
        </w:rPr>
      </w:pPr>
      <w:r>
        <w:rPr>
          <w:b w:val="0"/>
          <w:color w:val="auto"/>
          <w:sz w:val="24"/>
          <w:szCs w:val="24"/>
        </w:rPr>
        <w:t>5.6.4.2评价标准</w:t>
      </w:r>
    </w:p>
    <w:p>
      <w:pPr>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镍和六价铬执行《土壤环境质量-建设用地土壤污染风险管控标准（试行）》（GB36600-2018）表1基本项目的第二类用地筛选值900mg/kg和5.7mg/kg限值要求。</w:t>
      </w:r>
    </w:p>
    <w:p>
      <w:pPr>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0"/>
          <w:sz w:val="24"/>
          <w:szCs w:val="20"/>
        </w:rPr>
      </w:pPr>
      <w:r>
        <w:rPr>
          <w:color w:val="auto"/>
          <w:kern w:val="0"/>
          <w:sz w:val="24"/>
          <w:szCs w:val="20"/>
        </w:rPr>
        <w:t>锌和铬的标准值，参照执行《土壤环境质量-农用地土壤污染风险管控标准（试行）》（GB15618-2018）表1基本项目的筛选值（pH＞7.5，300mg/kg）、（pH＞7.5，250mg/kg）要求。</w:t>
      </w:r>
    </w:p>
    <w:p>
      <w:pPr>
        <w:pStyle w:val="6"/>
        <w:spacing w:before="120" w:beforeLines="50" w:after="0" w:line="360" w:lineRule="auto"/>
        <w:rPr>
          <w:b w:val="0"/>
          <w:color w:val="auto"/>
          <w:sz w:val="24"/>
          <w:szCs w:val="24"/>
        </w:rPr>
      </w:pPr>
      <w:r>
        <w:rPr>
          <w:b w:val="0"/>
          <w:color w:val="auto"/>
          <w:sz w:val="24"/>
          <w:szCs w:val="24"/>
        </w:rPr>
        <w:t>5.6.4.</w:t>
      </w:r>
      <w:r>
        <w:rPr>
          <w:rFonts w:hint="eastAsia"/>
          <w:b w:val="0"/>
          <w:color w:val="auto"/>
          <w:sz w:val="24"/>
          <w:szCs w:val="24"/>
        </w:rPr>
        <w:t>3</w:t>
      </w:r>
      <w:r>
        <w:rPr>
          <w:b w:val="0"/>
          <w:color w:val="auto"/>
          <w:sz w:val="24"/>
          <w:szCs w:val="24"/>
        </w:rPr>
        <w:t>污染物泄漏源强</w:t>
      </w:r>
    </w:p>
    <w:p>
      <w:pPr>
        <w:adjustRightInd w:val="0"/>
        <w:snapToGrid w:val="0"/>
        <w:spacing w:line="360" w:lineRule="auto"/>
        <w:ind w:firstLine="480" w:firstLineChars="200"/>
        <w:textAlignment w:val="baseline"/>
        <w:rPr>
          <w:bCs/>
          <w:color w:val="auto"/>
          <w:kern w:val="0"/>
          <w:sz w:val="24"/>
          <w:szCs w:val="20"/>
        </w:rPr>
      </w:pPr>
      <w:r>
        <w:rPr>
          <w:bCs/>
          <w:color w:val="auto"/>
          <w:kern w:val="0"/>
          <w:sz w:val="24"/>
          <w:szCs w:val="20"/>
        </w:rPr>
        <w:t>根据设计单位提供的方案，本项目污水处理装置调节池</w:t>
      </w:r>
      <w:r>
        <w:rPr>
          <w:rFonts w:hint="eastAsia"/>
          <w:bCs/>
          <w:color w:val="auto"/>
          <w:kern w:val="0"/>
          <w:sz w:val="24"/>
          <w:szCs w:val="20"/>
        </w:rPr>
        <w:t>采用玻璃钢材质，且安装高度距地面约10cm，均可视，缸体基本不存在泄漏。本次污水处理工程设置4</w:t>
      </w:r>
      <w:r>
        <w:rPr>
          <w:rFonts w:hint="eastAsia"/>
          <w:bCs/>
          <w:color w:val="auto"/>
          <w:kern w:val="0"/>
          <w:sz w:val="24"/>
          <w:szCs w:val="20"/>
          <w:lang w:val="en-US" w:eastAsia="zh-CN"/>
        </w:rPr>
        <w:t>2</w:t>
      </w:r>
      <w:r>
        <w:rPr>
          <w:rFonts w:hint="eastAsia"/>
          <w:bCs/>
          <w:color w:val="auto"/>
          <w:kern w:val="0"/>
          <w:sz w:val="24"/>
          <w:szCs w:val="20"/>
        </w:rPr>
        <w:t>0m</w:t>
      </w:r>
      <w:r>
        <w:rPr>
          <w:rFonts w:hint="eastAsia"/>
          <w:bCs/>
          <w:color w:val="auto"/>
          <w:kern w:val="0"/>
          <w:sz w:val="24"/>
          <w:szCs w:val="20"/>
          <w:vertAlign w:val="superscript"/>
        </w:rPr>
        <w:t>3</w:t>
      </w:r>
      <w:r>
        <w:rPr>
          <w:rFonts w:hint="eastAsia"/>
          <w:bCs/>
          <w:color w:val="auto"/>
          <w:kern w:val="0"/>
          <w:sz w:val="24"/>
          <w:szCs w:val="20"/>
        </w:rPr>
        <w:t>事故池，采用钢筋混凝土结构，</w:t>
      </w:r>
      <w:r>
        <w:rPr>
          <w:bCs/>
          <w:color w:val="auto"/>
          <w:kern w:val="0"/>
          <w:sz w:val="24"/>
          <w:szCs w:val="20"/>
        </w:rPr>
        <w:t>设计建设需符合《给水排水构筑物工程施工及验收规范》（GB50141-2008）要求，渗漏量需小于等于 2L/d•m</w:t>
      </w:r>
      <w:r>
        <w:rPr>
          <w:bCs/>
          <w:color w:val="auto"/>
          <w:kern w:val="0"/>
          <w:sz w:val="24"/>
          <w:szCs w:val="20"/>
          <w:vertAlign w:val="superscript"/>
        </w:rPr>
        <w:t>2</w:t>
      </w:r>
      <w:r>
        <w:rPr>
          <w:bCs/>
          <w:color w:val="auto"/>
          <w:kern w:val="0"/>
          <w:sz w:val="24"/>
          <w:szCs w:val="20"/>
        </w:rPr>
        <w:t>。非正常工况渗漏量按照大允许量的 10 倍考虑，为 20L/d•m</w:t>
      </w:r>
      <w:r>
        <w:rPr>
          <w:bCs/>
          <w:color w:val="auto"/>
          <w:kern w:val="0"/>
          <w:sz w:val="24"/>
          <w:szCs w:val="20"/>
          <w:vertAlign w:val="superscript"/>
        </w:rPr>
        <w:t>2</w:t>
      </w:r>
      <w:r>
        <w:rPr>
          <w:bCs/>
          <w:color w:val="auto"/>
          <w:kern w:val="0"/>
          <w:sz w:val="24"/>
          <w:szCs w:val="20"/>
        </w:rPr>
        <w:t>，</w:t>
      </w:r>
      <w:r>
        <w:rPr>
          <w:rFonts w:hint="eastAsia"/>
          <w:bCs/>
          <w:color w:val="auto"/>
          <w:kern w:val="0"/>
          <w:sz w:val="24"/>
          <w:szCs w:val="20"/>
        </w:rPr>
        <w:t>事故</w:t>
      </w:r>
      <w:r>
        <w:rPr>
          <w:bCs/>
          <w:color w:val="auto"/>
          <w:kern w:val="0"/>
          <w:sz w:val="24"/>
          <w:szCs w:val="20"/>
        </w:rPr>
        <w:t>池因腐蚀、老化造成裂缝渗漏，破损面积按池底总面积的</w:t>
      </w:r>
      <w:r>
        <w:rPr>
          <w:rFonts w:hint="eastAsia"/>
          <w:bCs/>
          <w:color w:val="auto"/>
          <w:kern w:val="0"/>
          <w:sz w:val="24"/>
          <w:szCs w:val="20"/>
        </w:rPr>
        <w:t>1%</w:t>
      </w:r>
      <w:r>
        <w:rPr>
          <w:bCs/>
          <w:color w:val="auto"/>
          <w:kern w:val="0"/>
          <w:sz w:val="24"/>
          <w:szCs w:val="20"/>
        </w:rPr>
        <w:t>考虑</w:t>
      </w:r>
      <w:r>
        <w:rPr>
          <w:rFonts w:hint="eastAsia"/>
          <w:bCs/>
          <w:color w:val="auto"/>
          <w:kern w:val="0"/>
          <w:sz w:val="24"/>
          <w:szCs w:val="20"/>
        </w:rPr>
        <w:t>，池底面积占地面积12</w:t>
      </w:r>
      <w:r>
        <w:rPr>
          <w:rFonts w:hint="eastAsia"/>
          <w:bCs/>
          <w:color w:val="auto"/>
          <w:kern w:val="0"/>
          <w:sz w:val="24"/>
          <w:szCs w:val="20"/>
          <w:lang w:val="en-US" w:eastAsia="zh-CN"/>
        </w:rPr>
        <w:t>0</w:t>
      </w:r>
      <w:r>
        <w:rPr>
          <w:rFonts w:hint="eastAsia"/>
          <w:bCs/>
          <w:color w:val="auto"/>
          <w:kern w:val="0"/>
          <w:sz w:val="24"/>
          <w:szCs w:val="20"/>
        </w:rPr>
        <w:t>m</w:t>
      </w:r>
      <w:r>
        <w:rPr>
          <w:rFonts w:hint="eastAsia"/>
          <w:bCs/>
          <w:color w:val="auto"/>
          <w:kern w:val="0"/>
          <w:sz w:val="24"/>
          <w:szCs w:val="20"/>
          <w:vertAlign w:val="superscript"/>
        </w:rPr>
        <w:t>2</w:t>
      </w:r>
      <w:r>
        <w:rPr>
          <w:rFonts w:hint="eastAsia"/>
          <w:bCs/>
          <w:color w:val="auto"/>
          <w:kern w:val="0"/>
          <w:sz w:val="24"/>
          <w:szCs w:val="20"/>
        </w:rPr>
        <w:t>。</w:t>
      </w:r>
    </w:p>
    <w:p>
      <w:pPr>
        <w:spacing w:line="360" w:lineRule="auto"/>
        <w:ind w:firstLine="520" w:firstLineChars="200"/>
        <w:rPr>
          <w:bCs/>
          <w:color w:val="auto"/>
          <w:sz w:val="24"/>
          <w:szCs w:val="24"/>
        </w:rPr>
      </w:pPr>
      <w:r>
        <w:rPr>
          <w:bCs/>
          <w:color w:val="auto"/>
          <w:spacing w:val="10"/>
          <w:sz w:val="24"/>
          <w:szCs w:val="24"/>
        </w:rPr>
        <w:t>因此，非正常工况下，通过</w:t>
      </w:r>
      <w:r>
        <w:rPr>
          <w:rFonts w:hint="eastAsia"/>
          <w:bCs/>
          <w:color w:val="auto"/>
          <w:sz w:val="24"/>
          <w:szCs w:val="24"/>
        </w:rPr>
        <w:t>事故池</w:t>
      </w:r>
      <w:r>
        <w:rPr>
          <w:bCs/>
          <w:color w:val="auto"/>
          <w:spacing w:val="10"/>
          <w:sz w:val="24"/>
          <w:szCs w:val="24"/>
        </w:rPr>
        <w:t>地下非可视部位发生小面积泄漏时，</w:t>
      </w:r>
      <w:r>
        <w:rPr>
          <w:bCs/>
          <w:color w:val="auto"/>
          <w:sz w:val="24"/>
          <w:szCs w:val="24"/>
        </w:rPr>
        <w:t>将污染物泄漏位置</w:t>
      </w:r>
      <w:r>
        <w:rPr>
          <w:rFonts w:hint="eastAsia"/>
          <w:bCs/>
          <w:color w:val="auto"/>
          <w:sz w:val="24"/>
          <w:szCs w:val="24"/>
          <w:lang w:eastAsia="zh-CN"/>
        </w:rPr>
        <w:t>看作连续</w:t>
      </w:r>
      <w:r>
        <w:rPr>
          <w:bCs/>
          <w:color w:val="auto"/>
          <w:sz w:val="24"/>
          <w:szCs w:val="24"/>
        </w:rPr>
        <w:t>注入的点源，致使少量污水通过泄漏部位渗入土壤包气带。</w:t>
      </w:r>
      <w:r>
        <w:rPr>
          <w:bCs/>
          <w:color w:val="auto"/>
          <w:spacing w:val="10"/>
          <w:sz w:val="24"/>
          <w:szCs w:val="24"/>
        </w:rPr>
        <w:t>无防渗情景时可能进入土壤污染物的预测源强见</w:t>
      </w:r>
      <w:r>
        <w:rPr>
          <w:bCs/>
          <w:color w:val="auto"/>
          <w:sz w:val="24"/>
          <w:szCs w:val="24"/>
        </w:rPr>
        <w:t>表5.6-9所示，</w:t>
      </w:r>
      <w:r>
        <w:rPr>
          <w:bCs/>
          <w:color w:val="auto"/>
          <w:kern w:val="0"/>
          <w:sz w:val="24"/>
          <w:szCs w:val="20"/>
        </w:rPr>
        <w:t xml:space="preserve">其中预测源强选择各类指标最大值进行预测。 </w:t>
      </w:r>
    </w:p>
    <w:p>
      <w:pPr>
        <w:adjustRightInd w:val="0"/>
        <w:snapToGrid w:val="0"/>
        <w:ind w:firstLine="480" w:firstLineChars="200"/>
        <w:jc w:val="center"/>
        <w:textAlignment w:val="baseline"/>
        <w:rPr>
          <w:rFonts w:eastAsia="黑体"/>
          <w:bCs/>
          <w:color w:val="auto"/>
          <w:kern w:val="0"/>
          <w:sz w:val="24"/>
          <w:szCs w:val="20"/>
        </w:rPr>
      </w:pPr>
      <w:r>
        <w:rPr>
          <w:rFonts w:eastAsia="黑体"/>
          <w:bCs/>
          <w:color w:val="auto"/>
          <w:kern w:val="0"/>
          <w:sz w:val="24"/>
          <w:szCs w:val="20"/>
        </w:rPr>
        <w:t>表5.6-9   非正常工况下土壤入渗污染物源强一览表</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8"/>
        <w:gridCol w:w="1336"/>
        <w:gridCol w:w="1537"/>
        <w:gridCol w:w="2081"/>
        <w:gridCol w:w="21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shd w:val="clear" w:color="auto" w:fill="auto"/>
            <w:vAlign w:val="center"/>
          </w:tcPr>
          <w:p>
            <w:pPr>
              <w:widowControl w:val="0"/>
              <w:adjustRightInd w:val="0"/>
              <w:snapToGrid w:val="0"/>
              <w:jc w:val="center"/>
              <w:textAlignment w:val="baseline"/>
              <w:rPr>
                <w:b/>
                <w:bCs w:val="0"/>
                <w:color w:val="auto"/>
                <w:kern w:val="0"/>
              </w:rPr>
            </w:pPr>
            <w:r>
              <w:rPr>
                <w:b/>
                <w:bCs w:val="0"/>
                <w:color w:val="auto"/>
                <w:kern w:val="0"/>
              </w:rPr>
              <w:t>泄漏地点</w:t>
            </w:r>
          </w:p>
        </w:tc>
        <w:tc>
          <w:tcPr>
            <w:tcW w:w="1336" w:type="dxa"/>
            <w:shd w:val="clear" w:color="auto" w:fill="auto"/>
            <w:vAlign w:val="center"/>
          </w:tcPr>
          <w:p>
            <w:pPr>
              <w:widowControl w:val="0"/>
              <w:adjustRightInd w:val="0"/>
              <w:snapToGrid w:val="0"/>
              <w:jc w:val="center"/>
              <w:textAlignment w:val="baseline"/>
              <w:rPr>
                <w:b/>
                <w:bCs w:val="0"/>
                <w:color w:val="auto"/>
                <w:kern w:val="0"/>
              </w:rPr>
            </w:pPr>
            <w:r>
              <w:rPr>
                <w:b/>
                <w:bCs w:val="0"/>
                <w:color w:val="auto"/>
                <w:kern w:val="0"/>
              </w:rPr>
              <w:t>特征污染物</w:t>
            </w:r>
          </w:p>
        </w:tc>
        <w:tc>
          <w:tcPr>
            <w:tcW w:w="1537" w:type="dxa"/>
            <w:shd w:val="clear" w:color="auto" w:fill="auto"/>
            <w:vAlign w:val="center"/>
          </w:tcPr>
          <w:p>
            <w:pPr>
              <w:widowControl w:val="0"/>
              <w:adjustRightInd w:val="0"/>
              <w:snapToGrid w:val="0"/>
              <w:jc w:val="center"/>
              <w:textAlignment w:val="baseline"/>
              <w:rPr>
                <w:b/>
                <w:bCs w:val="0"/>
                <w:color w:val="auto"/>
                <w:kern w:val="0"/>
              </w:rPr>
            </w:pPr>
            <w:r>
              <w:rPr>
                <w:b/>
                <w:bCs w:val="0"/>
                <w:color w:val="auto"/>
                <w:kern w:val="0"/>
              </w:rPr>
              <w:t>泄漏量L/d</w:t>
            </w:r>
          </w:p>
        </w:tc>
        <w:tc>
          <w:tcPr>
            <w:tcW w:w="2081" w:type="dxa"/>
            <w:shd w:val="clear" w:color="auto" w:fill="auto"/>
            <w:vAlign w:val="center"/>
          </w:tcPr>
          <w:p>
            <w:pPr>
              <w:widowControl w:val="0"/>
              <w:adjustRightInd w:val="0"/>
              <w:snapToGrid w:val="0"/>
              <w:jc w:val="center"/>
              <w:textAlignment w:val="baseline"/>
              <w:rPr>
                <w:b/>
                <w:bCs w:val="0"/>
                <w:color w:val="auto"/>
                <w:kern w:val="0"/>
              </w:rPr>
            </w:pPr>
            <w:r>
              <w:rPr>
                <w:b/>
                <w:bCs w:val="0"/>
                <w:color w:val="auto"/>
                <w:kern w:val="0"/>
              </w:rPr>
              <w:t>浓度mg/L</w:t>
            </w:r>
          </w:p>
        </w:tc>
        <w:tc>
          <w:tcPr>
            <w:tcW w:w="2137" w:type="dxa"/>
            <w:shd w:val="clear" w:color="auto" w:fill="auto"/>
            <w:vAlign w:val="center"/>
          </w:tcPr>
          <w:p>
            <w:pPr>
              <w:widowControl w:val="0"/>
              <w:adjustRightInd w:val="0"/>
              <w:snapToGrid w:val="0"/>
              <w:jc w:val="center"/>
              <w:textAlignment w:val="baseline"/>
              <w:rPr>
                <w:b/>
                <w:bCs w:val="0"/>
                <w:color w:val="auto"/>
                <w:kern w:val="0"/>
              </w:rPr>
            </w:pPr>
            <w:r>
              <w:rPr>
                <w:b/>
                <w:bCs w:val="0"/>
                <w:color w:val="auto"/>
                <w:kern w:val="0"/>
              </w:rPr>
              <w:t>时间点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vMerge w:val="restart"/>
            <w:shd w:val="clear" w:color="auto" w:fill="auto"/>
            <w:vAlign w:val="center"/>
          </w:tcPr>
          <w:p>
            <w:pPr>
              <w:widowControl w:val="0"/>
              <w:adjustRightInd w:val="0"/>
              <w:snapToGrid w:val="0"/>
              <w:jc w:val="center"/>
              <w:textAlignment w:val="baseline"/>
              <w:rPr>
                <w:bCs/>
                <w:color w:val="auto"/>
                <w:kern w:val="0"/>
              </w:rPr>
            </w:pPr>
            <w:r>
              <w:rPr>
                <w:rFonts w:hint="eastAsia"/>
                <w:bCs/>
                <w:color w:val="auto"/>
                <w:kern w:val="0"/>
              </w:rPr>
              <w:t>污水处理站事故池</w:t>
            </w:r>
          </w:p>
        </w:tc>
        <w:tc>
          <w:tcPr>
            <w:tcW w:w="1336" w:type="dxa"/>
            <w:shd w:val="clear" w:color="auto" w:fill="auto"/>
            <w:vAlign w:val="center"/>
          </w:tcPr>
          <w:p>
            <w:pPr>
              <w:widowControl w:val="0"/>
              <w:adjustRightInd w:val="0"/>
              <w:snapToGrid w:val="0"/>
              <w:jc w:val="center"/>
              <w:textAlignment w:val="baseline"/>
              <w:rPr>
                <w:bCs/>
                <w:color w:val="auto"/>
                <w:kern w:val="0"/>
              </w:rPr>
            </w:pPr>
            <w:r>
              <w:rPr>
                <w:bCs/>
                <w:color w:val="auto"/>
                <w:kern w:val="0"/>
              </w:rPr>
              <w:t>镍</w:t>
            </w:r>
          </w:p>
        </w:tc>
        <w:tc>
          <w:tcPr>
            <w:tcW w:w="1537" w:type="dxa"/>
            <w:vMerge w:val="restart"/>
            <w:shd w:val="clear" w:color="auto" w:fill="auto"/>
            <w:vAlign w:val="center"/>
          </w:tcPr>
          <w:p>
            <w:pPr>
              <w:widowControl w:val="0"/>
              <w:adjustRightInd w:val="0"/>
              <w:snapToGrid w:val="0"/>
              <w:jc w:val="center"/>
              <w:textAlignment w:val="baseline"/>
              <w:rPr>
                <w:rFonts w:hint="default" w:eastAsia="宋体"/>
                <w:bCs/>
                <w:color w:val="auto"/>
                <w:kern w:val="0"/>
                <w:lang w:val="en-US" w:eastAsia="zh-CN"/>
              </w:rPr>
            </w:pPr>
            <w:r>
              <w:rPr>
                <w:rFonts w:hint="eastAsia"/>
                <w:bCs/>
                <w:color w:val="auto"/>
                <w:kern w:val="0"/>
                <w:lang w:val="en-US" w:eastAsia="zh-CN"/>
              </w:rPr>
              <w:t>24</w:t>
            </w:r>
          </w:p>
        </w:tc>
        <w:tc>
          <w:tcPr>
            <w:tcW w:w="2081" w:type="dxa"/>
            <w:shd w:val="clear" w:color="auto" w:fill="auto"/>
            <w:vAlign w:val="center"/>
          </w:tcPr>
          <w:p>
            <w:pPr>
              <w:widowControl w:val="0"/>
              <w:adjustRightInd w:val="0"/>
              <w:snapToGrid w:val="0"/>
              <w:jc w:val="center"/>
              <w:textAlignment w:val="baseline"/>
              <w:rPr>
                <w:bCs/>
                <w:color w:val="auto"/>
                <w:kern w:val="0"/>
              </w:rPr>
            </w:pPr>
            <w:r>
              <w:rPr>
                <w:bCs/>
                <w:color w:val="auto"/>
                <w:kern w:val="0"/>
              </w:rPr>
              <w:t>100</w:t>
            </w:r>
          </w:p>
        </w:tc>
        <w:tc>
          <w:tcPr>
            <w:tcW w:w="2137" w:type="dxa"/>
            <w:vMerge w:val="restart"/>
            <w:shd w:val="clear" w:color="auto" w:fill="auto"/>
            <w:vAlign w:val="center"/>
          </w:tcPr>
          <w:p>
            <w:pPr>
              <w:widowControl w:val="0"/>
              <w:adjustRightInd w:val="0"/>
              <w:snapToGrid w:val="0"/>
              <w:jc w:val="center"/>
              <w:textAlignment w:val="baseline"/>
              <w:rPr>
                <w:bCs/>
                <w:color w:val="auto"/>
                <w:kern w:val="0"/>
              </w:rPr>
            </w:pPr>
            <w:r>
              <w:rPr>
                <w:bCs/>
                <w:color w:val="auto"/>
                <w:kern w:val="0"/>
              </w:rPr>
              <w:t>连续泄漏30天，经检修堵漏后停止下渗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vMerge w:val="continue"/>
            <w:shd w:val="clear" w:color="auto" w:fill="auto"/>
            <w:vAlign w:val="center"/>
          </w:tcPr>
          <w:p>
            <w:pPr>
              <w:widowControl w:val="0"/>
              <w:adjustRightInd w:val="0"/>
              <w:snapToGrid w:val="0"/>
              <w:jc w:val="center"/>
              <w:textAlignment w:val="baseline"/>
              <w:rPr>
                <w:bCs/>
                <w:color w:val="auto"/>
                <w:kern w:val="0"/>
              </w:rPr>
            </w:pPr>
          </w:p>
        </w:tc>
        <w:tc>
          <w:tcPr>
            <w:tcW w:w="1336" w:type="dxa"/>
            <w:shd w:val="clear" w:color="auto" w:fill="auto"/>
            <w:vAlign w:val="center"/>
          </w:tcPr>
          <w:p>
            <w:pPr>
              <w:widowControl w:val="0"/>
              <w:adjustRightInd w:val="0"/>
              <w:snapToGrid w:val="0"/>
              <w:jc w:val="center"/>
              <w:textAlignment w:val="baseline"/>
              <w:rPr>
                <w:bCs/>
                <w:color w:val="auto"/>
                <w:kern w:val="0"/>
              </w:rPr>
            </w:pPr>
            <w:r>
              <w:rPr>
                <w:bCs/>
                <w:color w:val="auto"/>
                <w:kern w:val="0"/>
              </w:rPr>
              <w:t>锌</w:t>
            </w:r>
          </w:p>
        </w:tc>
        <w:tc>
          <w:tcPr>
            <w:tcW w:w="1537" w:type="dxa"/>
            <w:vMerge w:val="continue"/>
            <w:shd w:val="clear" w:color="auto" w:fill="auto"/>
            <w:vAlign w:val="center"/>
          </w:tcPr>
          <w:p>
            <w:pPr>
              <w:widowControl w:val="0"/>
              <w:adjustRightInd w:val="0"/>
              <w:snapToGrid w:val="0"/>
              <w:jc w:val="center"/>
              <w:textAlignment w:val="baseline"/>
              <w:rPr>
                <w:bCs/>
                <w:color w:val="auto"/>
                <w:kern w:val="0"/>
              </w:rPr>
            </w:pPr>
          </w:p>
        </w:tc>
        <w:tc>
          <w:tcPr>
            <w:tcW w:w="2081" w:type="dxa"/>
            <w:shd w:val="clear" w:color="auto" w:fill="auto"/>
            <w:vAlign w:val="center"/>
          </w:tcPr>
          <w:p>
            <w:pPr>
              <w:widowControl w:val="0"/>
              <w:adjustRightInd w:val="0"/>
              <w:snapToGrid w:val="0"/>
              <w:jc w:val="center"/>
              <w:textAlignment w:val="baseline"/>
              <w:rPr>
                <w:bCs/>
                <w:color w:val="auto"/>
                <w:kern w:val="0"/>
              </w:rPr>
            </w:pPr>
            <w:r>
              <w:rPr>
                <w:bCs/>
                <w:color w:val="auto"/>
                <w:kern w:val="0"/>
              </w:rPr>
              <w:t>50</w:t>
            </w:r>
          </w:p>
        </w:tc>
        <w:tc>
          <w:tcPr>
            <w:tcW w:w="2137" w:type="dxa"/>
            <w:vMerge w:val="continue"/>
            <w:shd w:val="clear" w:color="auto" w:fill="auto"/>
            <w:vAlign w:val="center"/>
          </w:tcPr>
          <w:p>
            <w:pPr>
              <w:widowControl w:val="0"/>
              <w:adjustRightInd w:val="0"/>
              <w:snapToGrid w:val="0"/>
              <w:jc w:val="center"/>
              <w:textAlignment w:val="baseline"/>
              <w:rPr>
                <w:bCs/>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vMerge w:val="continue"/>
            <w:shd w:val="clear" w:color="auto" w:fill="auto"/>
            <w:vAlign w:val="center"/>
          </w:tcPr>
          <w:p>
            <w:pPr>
              <w:widowControl w:val="0"/>
              <w:adjustRightInd w:val="0"/>
              <w:snapToGrid w:val="0"/>
              <w:jc w:val="center"/>
              <w:textAlignment w:val="baseline"/>
              <w:rPr>
                <w:bCs/>
                <w:color w:val="auto"/>
                <w:kern w:val="0"/>
              </w:rPr>
            </w:pPr>
          </w:p>
        </w:tc>
        <w:tc>
          <w:tcPr>
            <w:tcW w:w="1336" w:type="dxa"/>
            <w:shd w:val="clear" w:color="auto" w:fill="auto"/>
            <w:vAlign w:val="center"/>
          </w:tcPr>
          <w:p>
            <w:pPr>
              <w:widowControl w:val="0"/>
              <w:adjustRightInd w:val="0"/>
              <w:snapToGrid w:val="0"/>
              <w:jc w:val="center"/>
              <w:textAlignment w:val="baseline"/>
              <w:rPr>
                <w:bCs/>
                <w:color w:val="auto"/>
                <w:kern w:val="0"/>
              </w:rPr>
            </w:pPr>
            <w:r>
              <w:rPr>
                <w:bCs/>
                <w:color w:val="auto"/>
                <w:kern w:val="0"/>
              </w:rPr>
              <w:t>铬</w:t>
            </w:r>
          </w:p>
        </w:tc>
        <w:tc>
          <w:tcPr>
            <w:tcW w:w="1537" w:type="dxa"/>
            <w:vMerge w:val="continue"/>
            <w:shd w:val="clear" w:color="auto" w:fill="auto"/>
            <w:vAlign w:val="center"/>
          </w:tcPr>
          <w:p>
            <w:pPr>
              <w:widowControl w:val="0"/>
              <w:adjustRightInd w:val="0"/>
              <w:snapToGrid w:val="0"/>
              <w:jc w:val="center"/>
              <w:textAlignment w:val="baseline"/>
              <w:rPr>
                <w:bCs/>
                <w:color w:val="auto"/>
                <w:kern w:val="0"/>
              </w:rPr>
            </w:pPr>
          </w:p>
        </w:tc>
        <w:tc>
          <w:tcPr>
            <w:tcW w:w="2081" w:type="dxa"/>
            <w:shd w:val="clear" w:color="auto" w:fill="auto"/>
            <w:vAlign w:val="center"/>
          </w:tcPr>
          <w:p>
            <w:pPr>
              <w:widowControl w:val="0"/>
              <w:adjustRightInd w:val="0"/>
              <w:snapToGrid w:val="0"/>
              <w:jc w:val="center"/>
              <w:textAlignment w:val="baseline"/>
              <w:rPr>
                <w:bCs/>
                <w:color w:val="auto"/>
                <w:kern w:val="0"/>
              </w:rPr>
            </w:pPr>
            <w:r>
              <w:rPr>
                <w:rFonts w:hint="eastAsia"/>
                <w:bCs/>
                <w:color w:val="auto"/>
                <w:kern w:val="0"/>
              </w:rPr>
              <w:t>300</w:t>
            </w:r>
          </w:p>
        </w:tc>
        <w:tc>
          <w:tcPr>
            <w:tcW w:w="2137" w:type="dxa"/>
            <w:vMerge w:val="continue"/>
            <w:shd w:val="clear" w:color="auto" w:fill="auto"/>
            <w:vAlign w:val="center"/>
          </w:tcPr>
          <w:p>
            <w:pPr>
              <w:widowControl w:val="0"/>
              <w:adjustRightInd w:val="0"/>
              <w:snapToGrid w:val="0"/>
              <w:jc w:val="center"/>
              <w:textAlignment w:val="baseline"/>
              <w:rPr>
                <w:bCs/>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8" w:type="dxa"/>
            <w:vMerge w:val="continue"/>
            <w:shd w:val="clear" w:color="auto" w:fill="auto"/>
            <w:vAlign w:val="center"/>
          </w:tcPr>
          <w:p>
            <w:pPr>
              <w:widowControl w:val="0"/>
              <w:adjustRightInd w:val="0"/>
              <w:snapToGrid w:val="0"/>
              <w:jc w:val="center"/>
              <w:textAlignment w:val="baseline"/>
              <w:rPr>
                <w:bCs/>
                <w:color w:val="auto"/>
                <w:kern w:val="0"/>
              </w:rPr>
            </w:pPr>
          </w:p>
        </w:tc>
        <w:tc>
          <w:tcPr>
            <w:tcW w:w="1336" w:type="dxa"/>
            <w:shd w:val="clear" w:color="auto" w:fill="auto"/>
            <w:vAlign w:val="center"/>
          </w:tcPr>
          <w:p>
            <w:pPr>
              <w:widowControl w:val="0"/>
              <w:adjustRightInd w:val="0"/>
              <w:snapToGrid w:val="0"/>
              <w:jc w:val="center"/>
              <w:textAlignment w:val="baseline"/>
              <w:rPr>
                <w:bCs/>
                <w:color w:val="auto"/>
                <w:kern w:val="0"/>
              </w:rPr>
            </w:pPr>
            <w:r>
              <w:rPr>
                <w:bCs/>
                <w:color w:val="auto"/>
                <w:kern w:val="0"/>
              </w:rPr>
              <w:t>六价铬</w:t>
            </w:r>
          </w:p>
        </w:tc>
        <w:tc>
          <w:tcPr>
            <w:tcW w:w="1537" w:type="dxa"/>
            <w:vMerge w:val="continue"/>
            <w:shd w:val="clear" w:color="auto" w:fill="auto"/>
            <w:vAlign w:val="center"/>
          </w:tcPr>
          <w:p>
            <w:pPr>
              <w:widowControl w:val="0"/>
              <w:adjustRightInd w:val="0"/>
              <w:snapToGrid w:val="0"/>
              <w:jc w:val="center"/>
              <w:textAlignment w:val="baseline"/>
              <w:rPr>
                <w:bCs/>
                <w:color w:val="auto"/>
                <w:kern w:val="0"/>
              </w:rPr>
            </w:pPr>
          </w:p>
        </w:tc>
        <w:tc>
          <w:tcPr>
            <w:tcW w:w="2081" w:type="dxa"/>
            <w:shd w:val="clear" w:color="auto" w:fill="auto"/>
            <w:vAlign w:val="center"/>
          </w:tcPr>
          <w:p>
            <w:pPr>
              <w:widowControl w:val="0"/>
              <w:adjustRightInd w:val="0"/>
              <w:snapToGrid w:val="0"/>
              <w:jc w:val="center"/>
              <w:textAlignment w:val="baseline"/>
              <w:rPr>
                <w:bCs/>
                <w:color w:val="auto"/>
                <w:kern w:val="0"/>
              </w:rPr>
            </w:pPr>
            <w:r>
              <w:rPr>
                <w:rFonts w:hint="eastAsia"/>
                <w:bCs/>
                <w:color w:val="auto"/>
                <w:kern w:val="0"/>
              </w:rPr>
              <w:t>200</w:t>
            </w:r>
          </w:p>
        </w:tc>
        <w:tc>
          <w:tcPr>
            <w:tcW w:w="2137" w:type="dxa"/>
            <w:vMerge w:val="continue"/>
            <w:shd w:val="clear" w:color="auto" w:fill="auto"/>
            <w:vAlign w:val="center"/>
          </w:tcPr>
          <w:p>
            <w:pPr>
              <w:widowControl w:val="0"/>
              <w:adjustRightInd w:val="0"/>
              <w:snapToGrid w:val="0"/>
              <w:jc w:val="center"/>
              <w:textAlignment w:val="baseline"/>
              <w:rPr>
                <w:bCs/>
                <w:color w:val="auto"/>
                <w:kern w:val="0"/>
              </w:rPr>
            </w:pPr>
          </w:p>
        </w:tc>
      </w:tr>
    </w:tbl>
    <w:p>
      <w:pPr>
        <w:pStyle w:val="6"/>
        <w:spacing w:before="120" w:beforeLines="50" w:after="0" w:line="360" w:lineRule="auto"/>
        <w:rPr>
          <w:b w:val="0"/>
          <w:color w:val="auto"/>
          <w:sz w:val="24"/>
          <w:szCs w:val="24"/>
        </w:rPr>
      </w:pPr>
      <w:r>
        <w:rPr>
          <w:b w:val="0"/>
          <w:color w:val="auto"/>
          <w:sz w:val="24"/>
          <w:szCs w:val="24"/>
        </w:rPr>
        <w:t>5.6.4.</w:t>
      </w:r>
      <w:r>
        <w:rPr>
          <w:rFonts w:hint="eastAsia"/>
          <w:b w:val="0"/>
          <w:color w:val="auto"/>
          <w:sz w:val="24"/>
          <w:szCs w:val="24"/>
        </w:rPr>
        <w:t>4</w:t>
      </w:r>
      <w:r>
        <w:rPr>
          <w:b w:val="0"/>
          <w:color w:val="auto"/>
          <w:sz w:val="24"/>
          <w:szCs w:val="24"/>
        </w:rPr>
        <w:t>数学模型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Hydus-1D是美国农业部盐土实验室开发的一个可用来模拟地下滴灌土壤水流及溶质运动的有限元计算机模型，该软件能够较好地模拟水分、溶质与能量在土壤中的分布，能够解决实际工作中农田灌溉、田间施肥、环境污染等问题。本次评价使用 Hydus-1D 软件构建模型进行计算，运用了软件中的水流及溶质运移模块，模拟重金属镍、锌和铬随渗漏废水进入包气带后的迁移转化过程，分析污染物在土壤不同深度下运移分布情况。</w:t>
      </w:r>
    </w:p>
    <w:p>
      <w:pPr>
        <w:adjustRightInd w:val="0"/>
        <w:snapToGrid w:val="0"/>
        <w:spacing w:line="360" w:lineRule="auto"/>
        <w:textAlignment w:val="baseline"/>
        <w:rPr>
          <w:color w:val="auto"/>
          <w:kern w:val="0"/>
          <w:sz w:val="24"/>
          <w:szCs w:val="20"/>
        </w:rPr>
      </w:pPr>
      <w:r>
        <w:rPr>
          <w:color w:val="auto"/>
          <w:kern w:val="0"/>
          <w:sz w:val="24"/>
          <w:szCs w:val="20"/>
        </w:rPr>
        <w:t>（1）非饱和带水分运移模型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非饱和带水分运移采用 Richards 方程的修改形式表示。由于污染物在弥散过程中垂向迁移距离往往大于侧向迁移距离，所以本次模拟可认为污染物在包气带中呈一维垂直迁移。因此只考虑上下两个边界，上边界为定流量边界，下边界为潜水面</w:t>
      </w:r>
      <w:r>
        <w:rPr>
          <w:rFonts w:hint="eastAsia"/>
          <w:color w:val="auto"/>
          <w:kern w:val="0"/>
          <w:sz w:val="24"/>
          <w:szCs w:val="20"/>
          <w:lang w:eastAsia="zh-CN"/>
        </w:rPr>
        <w:t>（</w:t>
      </w:r>
      <w:r>
        <w:rPr>
          <w:color w:val="auto"/>
          <w:kern w:val="0"/>
          <w:sz w:val="24"/>
          <w:szCs w:val="20"/>
        </w:rPr>
        <w:t>含水率为饱和含水率</w:t>
      </w:r>
      <w:r>
        <w:rPr>
          <w:rFonts w:hint="eastAsia"/>
          <w:color w:val="auto"/>
          <w:kern w:val="0"/>
          <w:sz w:val="24"/>
          <w:szCs w:val="20"/>
          <w:lang w:eastAsia="zh-CN"/>
        </w:rPr>
        <w:t>）</w:t>
      </w:r>
      <w:r>
        <w:rPr>
          <w:color w:val="auto"/>
          <w:kern w:val="0"/>
          <w:sz w:val="24"/>
          <w:szCs w:val="20"/>
        </w:rPr>
        <w:t>。土壤水分运动的数学模型如下</w:t>
      </w:r>
    </w:p>
    <w:p>
      <w:pPr>
        <w:adjustRightInd w:val="0"/>
        <w:snapToGrid w:val="0"/>
        <w:spacing w:line="360" w:lineRule="auto"/>
        <w:ind w:firstLine="480" w:firstLineChars="200"/>
        <w:textAlignment w:val="baseline"/>
        <w:rPr>
          <w:color w:val="auto"/>
          <w:kern w:val="0"/>
          <w:sz w:val="24"/>
          <w:szCs w:val="20"/>
        </w:rPr>
      </w:pPr>
    </w:p>
    <w:p>
      <w:pPr>
        <w:adjustRightInd w:val="0"/>
        <w:snapToGrid w:val="0"/>
        <w:spacing w:line="360" w:lineRule="auto"/>
        <w:ind w:firstLine="420" w:firstLineChars="200"/>
        <w:textAlignment w:val="baseline"/>
        <w:rPr>
          <w:color w:val="auto"/>
          <w:kern w:val="0"/>
          <w:sz w:val="24"/>
          <w:szCs w:val="20"/>
        </w:rPr>
      </w:pPr>
      <w:r>
        <w:rPr>
          <w:color w:val="auto"/>
        </w:rPr>
        <w:drawing>
          <wp:anchor distT="0" distB="0" distL="0" distR="0" simplePos="0" relativeHeight="251758592" behindDoc="1" locked="0" layoutInCell="1" allowOverlap="1">
            <wp:simplePos x="0" y="0"/>
            <wp:positionH relativeFrom="page">
              <wp:posOffset>1826895</wp:posOffset>
            </wp:positionH>
            <wp:positionV relativeFrom="paragraph">
              <wp:posOffset>55245</wp:posOffset>
            </wp:positionV>
            <wp:extent cx="3314700" cy="723900"/>
            <wp:effectExtent l="0" t="0" r="0" b="0"/>
            <wp:wrapNone/>
            <wp:docPr id="1440"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image55.png"/>
                    <pic:cNvPicPr>
                      <a:picLocks noChangeAspect="1" noChangeArrowheads="1"/>
                    </pic:cNvPicPr>
                  </pic:nvPicPr>
                  <pic:blipFill>
                    <a:blip r:embed="rId133"/>
                    <a:srcRect/>
                    <a:stretch>
                      <a:fillRect/>
                    </a:stretch>
                  </pic:blipFill>
                  <pic:spPr>
                    <a:xfrm>
                      <a:off x="0" y="0"/>
                      <a:ext cx="3314700" cy="723900"/>
                    </a:xfrm>
                    <a:prstGeom prst="rect">
                      <a:avLst/>
                    </a:prstGeom>
                    <a:noFill/>
                    <a:ln>
                      <a:noFill/>
                    </a:ln>
                  </pic:spPr>
                </pic:pic>
              </a:graphicData>
            </a:graphic>
          </wp:anchor>
        </w:drawing>
      </w:r>
    </w:p>
    <w:p>
      <w:pPr>
        <w:adjustRightInd w:val="0"/>
        <w:snapToGrid w:val="0"/>
        <w:spacing w:line="360" w:lineRule="auto"/>
        <w:ind w:firstLine="480" w:firstLineChars="200"/>
        <w:textAlignment w:val="baseline"/>
        <w:rPr>
          <w:color w:val="auto"/>
          <w:kern w:val="0"/>
          <w:sz w:val="24"/>
          <w:szCs w:val="20"/>
        </w:rPr>
      </w:pPr>
    </w:p>
    <w:p>
      <w:pPr>
        <w:adjustRightInd w:val="0"/>
        <w:snapToGrid w:val="0"/>
        <w:spacing w:line="360" w:lineRule="auto"/>
        <w:ind w:firstLine="480" w:firstLineChars="200"/>
        <w:textAlignment w:val="baseline"/>
        <w:rPr>
          <w:color w:val="auto"/>
          <w:kern w:val="0"/>
          <w:sz w:val="24"/>
          <w:szCs w:val="20"/>
        </w:rPr>
      </w:pPr>
    </w:p>
    <w:p>
      <w:pPr>
        <w:adjustRightInd w:val="0"/>
        <w:snapToGrid w:val="0"/>
        <w:spacing w:before="240" w:beforeLines="100" w:line="360" w:lineRule="auto"/>
        <w:ind w:firstLine="720" w:firstLineChars="300"/>
        <w:textAlignment w:val="baseline"/>
        <w:rPr>
          <w:color w:val="auto"/>
          <w:kern w:val="0"/>
          <w:sz w:val="24"/>
          <w:szCs w:val="20"/>
        </w:rPr>
      </w:pPr>
      <w:r>
        <w:rPr>
          <w:color w:val="auto"/>
          <w:kern w:val="0"/>
          <w:sz w:val="24"/>
          <w:szCs w:val="20"/>
        </w:rPr>
        <w:t>式中</w:t>
      </w:r>
      <w:r>
        <w:rPr>
          <w:rFonts w:hint="eastAsia"/>
          <w:color w:val="auto"/>
          <w:kern w:val="0"/>
          <w:sz w:val="24"/>
          <w:szCs w:val="20"/>
          <w:lang w:eastAsia="zh-CN"/>
        </w:rPr>
        <w:t>：</w:t>
      </w:r>
      <w:r>
        <w:rPr>
          <w:color w:val="auto"/>
          <w:kern w:val="0"/>
          <w:sz w:val="24"/>
          <w:szCs w:val="20"/>
        </w:rPr>
        <w:tab/>
      </w:r>
      <w:r>
        <w:rPr>
          <w:color w:val="auto"/>
          <w:kern w:val="0"/>
          <w:sz w:val="24"/>
          <w:szCs w:val="20"/>
        </w:rPr>
        <w:t>Ø为土壤体积含水率，L</w:t>
      </w:r>
      <w:r>
        <w:rPr>
          <w:color w:val="auto"/>
          <w:kern w:val="0"/>
          <w:sz w:val="24"/>
          <w:szCs w:val="20"/>
          <w:vertAlign w:val="superscript"/>
        </w:rPr>
        <w:t>3</w:t>
      </w:r>
      <w:r>
        <w:rPr>
          <w:color w:val="auto"/>
          <w:kern w:val="0"/>
          <w:sz w:val="24"/>
          <w:szCs w:val="20"/>
        </w:rPr>
        <w:t>L</w:t>
      </w:r>
      <w:r>
        <w:rPr>
          <w:color w:val="auto"/>
          <w:kern w:val="0"/>
          <w:sz w:val="24"/>
          <w:szCs w:val="20"/>
          <w:vertAlign w:val="superscript"/>
        </w:rPr>
        <w:t>-</w:t>
      </w:r>
      <w:r>
        <w:rPr>
          <w:color w:val="auto"/>
          <w:kern w:val="0"/>
          <w:sz w:val="24"/>
          <w:szCs w:val="20"/>
        </w:rPr>
        <w:t>3；</w:t>
      </w:r>
    </w:p>
    <w:p>
      <w:pPr>
        <w:adjustRightInd w:val="0"/>
        <w:snapToGrid w:val="0"/>
        <w:spacing w:line="360" w:lineRule="auto"/>
        <w:ind w:firstLine="1680" w:firstLineChars="700"/>
        <w:textAlignment w:val="baseline"/>
        <w:rPr>
          <w:color w:val="auto"/>
          <w:kern w:val="0"/>
          <w:sz w:val="24"/>
          <w:szCs w:val="20"/>
        </w:rPr>
      </w:pPr>
      <w:r>
        <w:rPr>
          <w:color w:val="auto"/>
          <w:kern w:val="0"/>
          <w:sz w:val="24"/>
          <w:szCs w:val="20"/>
        </w:rPr>
        <w:t>t 为水分运移时间，T；</w:t>
      </w:r>
    </w:p>
    <w:p>
      <w:pPr>
        <w:adjustRightInd w:val="0"/>
        <w:snapToGrid w:val="0"/>
        <w:spacing w:line="360" w:lineRule="auto"/>
        <w:ind w:firstLine="1680" w:firstLineChars="700"/>
        <w:textAlignment w:val="baseline"/>
        <w:rPr>
          <w:color w:val="auto"/>
          <w:kern w:val="0"/>
          <w:sz w:val="24"/>
          <w:szCs w:val="20"/>
        </w:rPr>
      </w:pPr>
      <w:r>
        <w:rPr>
          <w:color w:val="auto"/>
          <w:kern w:val="0"/>
          <w:sz w:val="24"/>
          <w:szCs w:val="20"/>
        </w:rPr>
        <w:t>h 为非饱和带压力水头，L；</w:t>
      </w:r>
    </w:p>
    <w:p>
      <w:pPr>
        <w:adjustRightInd w:val="0"/>
        <w:snapToGrid w:val="0"/>
        <w:spacing w:line="360" w:lineRule="auto"/>
        <w:ind w:firstLine="1680" w:firstLineChars="700"/>
        <w:textAlignment w:val="baseline"/>
        <w:rPr>
          <w:color w:val="auto"/>
          <w:kern w:val="0"/>
          <w:sz w:val="24"/>
          <w:szCs w:val="20"/>
        </w:rPr>
      </w:pPr>
      <w:r>
        <w:rPr>
          <w:color w:val="auto"/>
          <w:kern w:val="0"/>
          <w:sz w:val="24"/>
          <w:szCs w:val="20"/>
        </w:rPr>
        <w:t>K 为土壤水的非饱和水力传导率，LT-1；</w:t>
      </w:r>
    </w:p>
    <w:p>
      <w:pPr>
        <w:adjustRightInd w:val="0"/>
        <w:snapToGrid w:val="0"/>
        <w:spacing w:line="360" w:lineRule="auto"/>
        <w:ind w:firstLine="1680" w:firstLineChars="700"/>
        <w:textAlignment w:val="baseline"/>
        <w:rPr>
          <w:color w:val="auto"/>
          <w:kern w:val="0"/>
          <w:sz w:val="24"/>
          <w:szCs w:val="20"/>
        </w:rPr>
      </w:pPr>
      <w:r>
        <w:rPr>
          <w:color w:val="auto"/>
          <w:kern w:val="0"/>
          <w:sz w:val="24"/>
          <w:szCs w:val="20"/>
        </w:rPr>
        <w:t>Ø</w:t>
      </w:r>
      <w:r>
        <w:rPr>
          <w:color w:val="auto"/>
          <w:kern w:val="0"/>
          <w:sz w:val="24"/>
          <w:szCs w:val="20"/>
          <w:vertAlign w:val="subscript"/>
        </w:rPr>
        <w:t>s</w:t>
      </w:r>
      <w:r>
        <w:rPr>
          <w:color w:val="auto"/>
          <w:kern w:val="0"/>
          <w:sz w:val="24"/>
          <w:szCs w:val="20"/>
        </w:rPr>
        <w:t>为饱和含水率</w:t>
      </w:r>
    </w:p>
    <w:p>
      <w:pPr>
        <w:adjustRightInd w:val="0"/>
        <w:snapToGrid w:val="0"/>
        <w:spacing w:line="360" w:lineRule="auto"/>
        <w:ind w:firstLine="1680" w:firstLineChars="700"/>
        <w:textAlignment w:val="baseline"/>
        <w:rPr>
          <w:color w:val="auto"/>
          <w:kern w:val="0"/>
          <w:sz w:val="24"/>
          <w:szCs w:val="20"/>
        </w:rPr>
      </w:pPr>
      <w:r>
        <w:rPr>
          <w:color w:val="auto"/>
          <w:kern w:val="0"/>
          <w:sz w:val="24"/>
          <w:szCs w:val="20"/>
        </w:rPr>
        <w:t>Ø</w:t>
      </w:r>
      <w:r>
        <w:rPr>
          <w:color w:val="auto"/>
          <w:kern w:val="0"/>
          <w:sz w:val="24"/>
          <w:szCs w:val="20"/>
          <w:vertAlign w:val="subscript"/>
        </w:rPr>
        <w:t>0</w:t>
      </w:r>
      <w:r>
        <w:rPr>
          <w:color w:val="auto"/>
          <w:kern w:val="0"/>
          <w:sz w:val="24"/>
          <w:szCs w:val="20"/>
        </w:rPr>
        <w:t>为初始含水率；</w:t>
      </w:r>
    </w:p>
    <w:p>
      <w:pPr>
        <w:adjustRightInd w:val="0"/>
        <w:snapToGrid w:val="0"/>
        <w:spacing w:line="360" w:lineRule="auto"/>
        <w:ind w:firstLine="1680" w:firstLineChars="700"/>
        <w:textAlignment w:val="baseline"/>
        <w:rPr>
          <w:color w:val="auto"/>
          <w:kern w:val="0"/>
          <w:sz w:val="24"/>
          <w:szCs w:val="20"/>
        </w:rPr>
      </w:pPr>
      <w:r>
        <w:rPr>
          <w:color w:val="auto"/>
          <w:kern w:val="0"/>
          <w:sz w:val="24"/>
          <w:szCs w:val="20"/>
        </w:rPr>
        <w:t>V 为渗透通量 LT-1；</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 </w:t>
      </w:r>
      <w:r>
        <w:rPr>
          <w:rFonts w:hint="eastAsia"/>
          <w:color w:val="auto"/>
          <w:kern w:val="0"/>
          <w:sz w:val="24"/>
          <w:szCs w:val="20"/>
        </w:rPr>
        <w:t xml:space="preserve">         </w:t>
      </w:r>
      <w:r>
        <w:rPr>
          <w:color w:val="auto"/>
          <w:kern w:val="0"/>
          <w:sz w:val="24"/>
          <w:szCs w:val="20"/>
        </w:rPr>
        <w:t>H 为非饱和带深度。</w:t>
      </w:r>
    </w:p>
    <w:p>
      <w:pPr>
        <w:adjustRightInd w:val="0"/>
        <w:snapToGrid w:val="0"/>
        <w:spacing w:line="360" w:lineRule="auto"/>
        <w:textAlignment w:val="baseline"/>
        <w:rPr>
          <w:color w:val="auto"/>
          <w:kern w:val="0"/>
          <w:sz w:val="24"/>
          <w:szCs w:val="20"/>
        </w:rPr>
      </w:pPr>
      <w:r>
        <w:rPr>
          <w:color w:val="auto"/>
          <w:kern w:val="0"/>
          <w:sz w:val="24"/>
          <w:szCs w:val="20"/>
        </w:rPr>
        <w:t>（2）非饱和带溶质运移模型</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本次应用 hydrus-1d 模拟污染物一维垂直迁移，只考虑溶质在固液相间的线性平衡等温吸附作用，忽略污染物的吸附和微生物降解。将污染物渗漏位置看作连续注入的点源，并没有大面积渗漏，所以设定土壤剖面污染物初始浓度为 0，上边界为持续释放污染物的定浓度边界，下边界为零浓度梯度边界。溶质运移数学模型如下：</w:t>
      </w:r>
    </w:p>
    <w:p>
      <w:pPr>
        <w:tabs>
          <w:tab w:val="left" w:pos="2041"/>
        </w:tabs>
        <w:autoSpaceDE w:val="0"/>
        <w:autoSpaceDN w:val="0"/>
        <w:spacing w:line="360" w:lineRule="auto"/>
        <w:ind w:left="969"/>
        <w:rPr>
          <w:color w:val="auto"/>
          <w:kern w:val="0"/>
          <w:sz w:val="24"/>
          <w:szCs w:val="24"/>
          <w:lang w:val="zh-CN" w:bidi="zh-CN"/>
        </w:rPr>
      </w:pPr>
      <w:r>
        <w:rPr>
          <w:color w:val="auto"/>
          <w:kern w:val="0"/>
          <w:sz w:val="24"/>
          <w:szCs w:val="24"/>
        </w:rPr>
        <w:drawing>
          <wp:inline distT="0" distB="0" distL="0" distR="0">
            <wp:extent cx="3562985" cy="1733550"/>
            <wp:effectExtent l="0" t="0" r="18415" b="0"/>
            <wp:docPr id="82" name="图片 51" descr="说明: C:\Users\admin\AppData\Local\Temp\1636960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1" descr="说明: C:\Users\admin\AppData\Local\Temp\1636960015(1).png"/>
                    <pic:cNvPicPr>
                      <a:picLocks noChangeAspect="1" noChangeArrowheads="1"/>
                    </pic:cNvPicPr>
                  </pic:nvPicPr>
                  <pic:blipFill>
                    <a:blip r:embed="rId134"/>
                    <a:srcRect/>
                    <a:stretch>
                      <a:fillRect/>
                    </a:stretch>
                  </pic:blipFill>
                  <pic:spPr>
                    <a:xfrm>
                      <a:off x="0" y="0"/>
                      <a:ext cx="3562985" cy="1733550"/>
                    </a:xfrm>
                    <a:prstGeom prst="rect">
                      <a:avLst/>
                    </a:prstGeom>
                    <a:noFill/>
                    <a:ln>
                      <a:noFill/>
                    </a:ln>
                  </pic:spPr>
                </pic:pic>
              </a:graphicData>
            </a:graphic>
          </wp:inline>
        </w:drawing>
      </w:r>
    </w:p>
    <w:p>
      <w:pPr>
        <w:tabs>
          <w:tab w:val="left" w:pos="2041"/>
        </w:tabs>
        <w:autoSpaceDE w:val="0"/>
        <w:autoSpaceDN w:val="0"/>
        <w:spacing w:line="360" w:lineRule="auto"/>
        <w:ind w:left="969"/>
        <w:rPr>
          <w:color w:val="auto"/>
          <w:kern w:val="0"/>
          <w:sz w:val="24"/>
          <w:szCs w:val="24"/>
          <w:lang w:val="zh-CN" w:bidi="zh-CN"/>
        </w:rPr>
      </w:pPr>
    </w:p>
    <w:p>
      <w:pPr>
        <w:tabs>
          <w:tab w:val="left" w:pos="2041"/>
        </w:tabs>
        <w:autoSpaceDE w:val="0"/>
        <w:autoSpaceDN w:val="0"/>
        <w:spacing w:line="360" w:lineRule="auto"/>
        <w:ind w:left="969"/>
        <w:rPr>
          <w:color w:val="auto"/>
          <w:kern w:val="0"/>
          <w:sz w:val="24"/>
          <w:szCs w:val="24"/>
          <w:lang w:val="zh-CN" w:bidi="zh-CN"/>
        </w:rPr>
      </w:pPr>
      <w:r>
        <w:rPr>
          <w:color w:val="auto"/>
          <w:kern w:val="0"/>
          <w:sz w:val="24"/>
          <w:szCs w:val="24"/>
          <w:lang w:val="zh-CN" w:bidi="zh-CN"/>
        </w:rPr>
        <w:t>式中</w:t>
      </w:r>
      <w:r>
        <w:rPr>
          <w:rFonts w:hint="eastAsia"/>
          <w:color w:val="auto"/>
          <w:kern w:val="0"/>
          <w:sz w:val="24"/>
          <w:szCs w:val="24"/>
          <w:lang w:val="zh-CN" w:bidi="zh-CN"/>
        </w:rPr>
        <w:t>：</w:t>
      </w:r>
      <w:r>
        <w:rPr>
          <w:rFonts w:eastAsia="Times New Roman"/>
          <w:color w:val="auto"/>
          <w:kern w:val="0"/>
          <w:sz w:val="24"/>
          <w:szCs w:val="24"/>
          <w:lang w:val="zh-CN" w:bidi="zh-CN"/>
        </w:rPr>
        <w:tab/>
      </w:r>
      <w:r>
        <w:rPr>
          <w:rFonts w:eastAsia="Times New Roman"/>
          <w:color w:val="auto"/>
          <w:kern w:val="0"/>
          <w:sz w:val="24"/>
          <w:szCs w:val="24"/>
          <w:lang w:val="zh-CN" w:bidi="zh-CN"/>
        </w:rPr>
        <w:t>Ø</w:t>
      </w:r>
      <w:r>
        <w:rPr>
          <w:color w:val="auto"/>
          <w:kern w:val="0"/>
          <w:sz w:val="24"/>
          <w:szCs w:val="24"/>
          <w:lang w:val="zh-CN" w:bidi="zh-CN"/>
        </w:rPr>
        <w:t>为土壤体积含水率；</w:t>
      </w:r>
    </w:p>
    <w:p>
      <w:pPr>
        <w:autoSpaceDE w:val="0"/>
        <w:autoSpaceDN w:val="0"/>
        <w:spacing w:line="360" w:lineRule="auto"/>
        <w:ind w:left="1928"/>
        <w:rPr>
          <w:color w:val="auto"/>
          <w:kern w:val="0"/>
          <w:sz w:val="24"/>
          <w:szCs w:val="24"/>
          <w:lang w:val="zh-CN" w:bidi="zh-CN"/>
        </w:rPr>
      </w:pPr>
      <w:r>
        <w:rPr>
          <w:rFonts w:eastAsia="Times New Roman"/>
          <w:color w:val="auto"/>
          <w:kern w:val="0"/>
          <w:sz w:val="24"/>
          <w:szCs w:val="24"/>
          <w:lang w:val="zh-CN" w:bidi="zh-CN"/>
        </w:rPr>
        <w:t xml:space="preserve">t </w:t>
      </w:r>
      <w:r>
        <w:rPr>
          <w:color w:val="auto"/>
          <w:kern w:val="0"/>
          <w:sz w:val="24"/>
          <w:szCs w:val="24"/>
          <w:lang w:val="zh-CN" w:bidi="zh-CN"/>
        </w:rPr>
        <w:t>为水分运移时间；</w:t>
      </w:r>
    </w:p>
    <w:p>
      <w:pPr>
        <w:autoSpaceDE w:val="0"/>
        <w:autoSpaceDN w:val="0"/>
        <w:spacing w:line="360" w:lineRule="auto"/>
        <w:ind w:left="1928"/>
        <w:rPr>
          <w:color w:val="auto"/>
          <w:kern w:val="0"/>
          <w:sz w:val="24"/>
          <w:szCs w:val="24"/>
          <w:lang w:val="zh-CN" w:bidi="zh-CN"/>
        </w:rPr>
      </w:pPr>
      <w:r>
        <w:rPr>
          <w:rFonts w:eastAsia="Times New Roman"/>
          <w:color w:val="auto"/>
          <w:kern w:val="0"/>
          <w:sz w:val="24"/>
          <w:szCs w:val="24"/>
          <w:lang w:val="zh-CN" w:bidi="zh-CN"/>
        </w:rPr>
        <w:t xml:space="preserve">z </w:t>
      </w:r>
      <w:r>
        <w:rPr>
          <w:color w:val="auto"/>
          <w:kern w:val="0"/>
          <w:sz w:val="24"/>
          <w:szCs w:val="24"/>
          <w:lang w:val="zh-CN" w:bidi="zh-CN"/>
        </w:rPr>
        <w:t>为空间坐标，向上为正；</w:t>
      </w:r>
    </w:p>
    <w:p>
      <w:pPr>
        <w:autoSpaceDE w:val="0"/>
        <w:autoSpaceDN w:val="0"/>
        <w:spacing w:line="360" w:lineRule="auto"/>
        <w:ind w:left="1928"/>
        <w:rPr>
          <w:color w:val="auto"/>
          <w:kern w:val="0"/>
          <w:sz w:val="24"/>
          <w:lang w:val="zh-CN" w:bidi="zh-CN"/>
        </w:rPr>
      </w:pPr>
      <w:r>
        <w:rPr>
          <w:rFonts w:eastAsia="Times New Roman"/>
          <w:color w:val="auto"/>
          <w:kern w:val="0"/>
          <w:sz w:val="24"/>
          <w:lang w:val="zh-CN" w:bidi="zh-CN"/>
        </w:rPr>
        <w:t>D</w:t>
      </w:r>
      <w:r>
        <w:rPr>
          <w:rFonts w:eastAsia="Times New Roman"/>
          <w:color w:val="auto"/>
          <w:kern w:val="0"/>
          <w:position w:val="9"/>
          <w:sz w:val="16"/>
          <w:lang w:val="zh-CN" w:bidi="zh-CN"/>
        </w:rPr>
        <w:t xml:space="preserve">w </w:t>
      </w:r>
      <w:r>
        <w:rPr>
          <w:color w:val="auto"/>
          <w:kern w:val="0"/>
          <w:sz w:val="24"/>
          <w:lang w:val="zh-CN" w:bidi="zh-CN"/>
        </w:rPr>
        <w:t>为水动力弥散系数，</w:t>
      </w:r>
      <w:r>
        <w:rPr>
          <w:rFonts w:eastAsia="Times New Roman"/>
          <w:color w:val="auto"/>
          <w:kern w:val="0"/>
          <w:sz w:val="24"/>
          <w:lang w:val="zh-CN" w:bidi="zh-CN"/>
        </w:rPr>
        <w:t>L</w:t>
      </w:r>
      <w:r>
        <w:rPr>
          <w:rFonts w:eastAsia="Times New Roman"/>
          <w:color w:val="auto"/>
          <w:kern w:val="0"/>
          <w:position w:val="9"/>
          <w:sz w:val="16"/>
          <w:lang w:val="zh-CN" w:bidi="zh-CN"/>
        </w:rPr>
        <w:t>2</w:t>
      </w:r>
      <w:r>
        <w:rPr>
          <w:rFonts w:eastAsia="Times New Roman"/>
          <w:color w:val="auto"/>
          <w:kern w:val="0"/>
          <w:sz w:val="24"/>
          <w:lang w:val="zh-CN" w:bidi="zh-CN"/>
        </w:rPr>
        <w:t>T</w:t>
      </w:r>
      <w:r>
        <w:rPr>
          <w:rFonts w:eastAsia="Times New Roman"/>
          <w:color w:val="auto"/>
          <w:kern w:val="0"/>
          <w:position w:val="9"/>
          <w:sz w:val="16"/>
          <w:lang w:val="zh-CN" w:bidi="zh-CN"/>
        </w:rPr>
        <w:t>-1</w:t>
      </w:r>
      <w:r>
        <w:rPr>
          <w:color w:val="auto"/>
          <w:kern w:val="0"/>
          <w:sz w:val="24"/>
          <w:lang w:val="zh-CN" w:bidi="zh-CN"/>
        </w:rPr>
        <w:t>；</w:t>
      </w:r>
    </w:p>
    <w:p>
      <w:pPr>
        <w:autoSpaceDE w:val="0"/>
        <w:autoSpaceDN w:val="0"/>
        <w:spacing w:line="360" w:lineRule="auto"/>
        <w:ind w:left="1928"/>
        <w:rPr>
          <w:color w:val="auto"/>
          <w:kern w:val="0"/>
          <w:sz w:val="24"/>
          <w:szCs w:val="24"/>
          <w:lang w:val="zh-CN" w:bidi="zh-CN"/>
        </w:rPr>
      </w:pPr>
      <w:r>
        <w:rPr>
          <w:rFonts w:eastAsia="Times New Roman"/>
          <w:color w:val="auto"/>
          <w:kern w:val="0"/>
          <w:sz w:val="24"/>
          <w:szCs w:val="24"/>
          <w:lang w:val="zh-CN" w:bidi="zh-CN"/>
        </w:rPr>
        <w:t xml:space="preserve">V </w:t>
      </w:r>
      <w:r>
        <w:rPr>
          <w:color w:val="auto"/>
          <w:kern w:val="0"/>
          <w:sz w:val="24"/>
          <w:szCs w:val="24"/>
          <w:lang w:val="zh-CN" w:bidi="zh-CN"/>
        </w:rPr>
        <w:t>为入渗通量；</w:t>
      </w:r>
    </w:p>
    <w:p>
      <w:pPr>
        <w:autoSpaceDE w:val="0"/>
        <w:autoSpaceDN w:val="0"/>
        <w:spacing w:line="360" w:lineRule="auto"/>
        <w:ind w:left="1928"/>
        <w:rPr>
          <w:color w:val="auto"/>
          <w:kern w:val="0"/>
          <w:sz w:val="24"/>
          <w:szCs w:val="24"/>
          <w:lang w:val="zh-CN" w:bidi="zh-CN"/>
        </w:rPr>
      </w:pPr>
      <w:r>
        <w:rPr>
          <w:rFonts w:eastAsia="Times New Roman"/>
          <w:color w:val="auto"/>
          <w:kern w:val="0"/>
          <w:sz w:val="24"/>
          <w:szCs w:val="24"/>
          <w:lang w:val="zh-CN" w:bidi="zh-CN"/>
        </w:rPr>
        <w:t xml:space="preserve">H </w:t>
      </w:r>
      <w:r>
        <w:rPr>
          <w:color w:val="auto"/>
          <w:kern w:val="0"/>
          <w:sz w:val="24"/>
          <w:szCs w:val="24"/>
          <w:lang w:val="zh-CN" w:bidi="zh-CN"/>
        </w:rPr>
        <w:t>为非饱和带深度；</w:t>
      </w:r>
      <w:r>
        <w:rPr>
          <w:rFonts w:eastAsia="Times New Roman"/>
          <w:color w:val="auto"/>
          <w:kern w:val="0"/>
          <w:position w:val="2"/>
          <w:sz w:val="24"/>
          <w:szCs w:val="24"/>
          <w:lang w:val="zh-CN" w:bidi="zh-CN"/>
        </w:rPr>
        <w:t>K</w:t>
      </w:r>
      <w:r>
        <w:rPr>
          <w:rFonts w:eastAsia="Times New Roman"/>
          <w:color w:val="auto"/>
          <w:kern w:val="0"/>
          <w:sz w:val="16"/>
          <w:szCs w:val="24"/>
          <w:lang w:val="zh-CN" w:bidi="zh-CN"/>
        </w:rPr>
        <w:t xml:space="preserve">d </w:t>
      </w:r>
      <w:r>
        <w:rPr>
          <w:color w:val="auto"/>
          <w:kern w:val="0"/>
          <w:position w:val="2"/>
          <w:sz w:val="24"/>
          <w:szCs w:val="24"/>
          <w:lang w:val="zh-CN" w:bidi="zh-CN"/>
        </w:rPr>
        <w:t>为分配系数，</w:t>
      </w:r>
      <w:r>
        <w:rPr>
          <w:rFonts w:eastAsia="Times New Roman"/>
          <w:color w:val="auto"/>
          <w:kern w:val="0"/>
          <w:position w:val="2"/>
          <w:sz w:val="24"/>
          <w:szCs w:val="24"/>
          <w:lang w:val="zh-CN" w:bidi="zh-CN"/>
        </w:rPr>
        <w:t>L</w:t>
      </w:r>
      <w:r>
        <w:rPr>
          <w:rFonts w:eastAsia="Times New Roman"/>
          <w:color w:val="auto"/>
          <w:kern w:val="0"/>
          <w:position w:val="2"/>
          <w:sz w:val="24"/>
          <w:szCs w:val="24"/>
          <w:vertAlign w:val="superscript"/>
          <w:lang w:val="zh-CN" w:bidi="zh-CN"/>
        </w:rPr>
        <w:t>3</w:t>
      </w:r>
      <w:r>
        <w:rPr>
          <w:rFonts w:eastAsia="Times New Roman"/>
          <w:color w:val="auto"/>
          <w:kern w:val="0"/>
          <w:position w:val="2"/>
          <w:sz w:val="24"/>
          <w:szCs w:val="24"/>
          <w:lang w:val="zh-CN" w:bidi="zh-CN"/>
        </w:rPr>
        <w:t>M</w:t>
      </w:r>
      <w:r>
        <w:rPr>
          <w:rFonts w:eastAsia="Times New Roman"/>
          <w:color w:val="auto"/>
          <w:kern w:val="0"/>
          <w:position w:val="2"/>
          <w:sz w:val="24"/>
          <w:szCs w:val="24"/>
          <w:vertAlign w:val="superscript"/>
          <w:lang w:val="zh-CN" w:bidi="zh-CN"/>
        </w:rPr>
        <w:t>-1</w:t>
      </w:r>
      <w:r>
        <w:rPr>
          <w:color w:val="auto"/>
          <w:kern w:val="0"/>
          <w:position w:val="2"/>
          <w:sz w:val="24"/>
          <w:szCs w:val="24"/>
          <w:lang w:val="zh-CN" w:bidi="zh-CN"/>
        </w:rPr>
        <w:t>；</w:t>
      </w:r>
    </w:p>
    <w:p>
      <w:pPr>
        <w:autoSpaceDE w:val="0"/>
        <w:autoSpaceDN w:val="0"/>
        <w:spacing w:line="360" w:lineRule="auto"/>
        <w:ind w:left="1928"/>
        <w:rPr>
          <w:color w:val="auto"/>
          <w:kern w:val="0"/>
          <w:sz w:val="24"/>
          <w:szCs w:val="24"/>
          <w:lang w:val="zh-CN" w:bidi="zh-CN"/>
        </w:rPr>
      </w:pPr>
      <w:r>
        <w:rPr>
          <w:rFonts w:eastAsia="Times New Roman"/>
          <w:color w:val="auto"/>
          <w:kern w:val="0"/>
          <w:sz w:val="24"/>
          <w:szCs w:val="24"/>
          <w:lang w:val="zh-CN" w:bidi="zh-CN"/>
        </w:rPr>
        <w:t xml:space="preserve">M </w:t>
      </w:r>
      <w:r>
        <w:rPr>
          <w:color w:val="auto"/>
          <w:kern w:val="0"/>
          <w:sz w:val="24"/>
          <w:szCs w:val="24"/>
          <w:lang w:val="zh-CN" w:bidi="zh-CN"/>
        </w:rPr>
        <w:t>为源汇项。</w:t>
      </w:r>
    </w:p>
    <w:p>
      <w:pPr>
        <w:adjustRightInd w:val="0"/>
        <w:snapToGrid w:val="0"/>
        <w:spacing w:line="360" w:lineRule="auto"/>
        <w:textAlignment w:val="baseline"/>
        <w:rPr>
          <w:color w:val="auto"/>
          <w:kern w:val="0"/>
          <w:sz w:val="24"/>
          <w:szCs w:val="20"/>
        </w:rPr>
      </w:pPr>
      <w:r>
        <w:rPr>
          <w:color w:val="auto"/>
          <w:kern w:val="0"/>
          <w:sz w:val="24"/>
          <w:szCs w:val="20"/>
        </w:rPr>
        <w:t>（3）初始条件及边界条件</w:t>
      </w:r>
    </w:p>
    <w:p>
      <w:pPr>
        <w:adjustRightInd w:val="0"/>
        <w:snapToGrid w:val="0"/>
        <w:spacing w:line="360" w:lineRule="auto"/>
        <w:ind w:firstLine="720" w:firstLineChars="300"/>
        <w:textAlignment w:val="baseline"/>
        <w:rPr>
          <w:color w:val="auto"/>
          <w:kern w:val="0"/>
          <w:sz w:val="24"/>
          <w:szCs w:val="20"/>
        </w:rPr>
      </w:pPr>
      <w:r>
        <w:rPr>
          <w:color w:val="auto"/>
          <w:kern w:val="0"/>
          <w:sz w:val="24"/>
          <w:szCs w:val="20"/>
        </w:rPr>
        <w:t>本次模拟目标为污水</w:t>
      </w:r>
      <w:r>
        <w:rPr>
          <w:rFonts w:hint="eastAsia"/>
          <w:color w:val="auto"/>
          <w:kern w:val="0"/>
          <w:sz w:val="24"/>
          <w:szCs w:val="20"/>
          <w:lang w:eastAsia="zh-CN"/>
        </w:rPr>
        <w:t>处理</w:t>
      </w:r>
      <w:r>
        <w:rPr>
          <w:color w:val="auto"/>
          <w:kern w:val="0"/>
          <w:sz w:val="24"/>
          <w:szCs w:val="20"/>
        </w:rPr>
        <w:t>站</w:t>
      </w:r>
      <w:r>
        <w:rPr>
          <w:rFonts w:hint="eastAsia"/>
          <w:color w:val="auto"/>
          <w:kern w:val="0"/>
          <w:sz w:val="24"/>
          <w:szCs w:val="20"/>
        </w:rPr>
        <w:t>事故池</w:t>
      </w:r>
      <w:r>
        <w:rPr>
          <w:color w:val="auto"/>
          <w:kern w:val="0"/>
          <w:sz w:val="24"/>
          <w:szCs w:val="20"/>
        </w:rPr>
        <w:t xml:space="preserve">，属地下式建筑。若污水池非可视部分发生不易发现的小面积渗漏，初始条件选定水流模型上边界为可积水的大气边界，设定土壤剖面初始压力水头为-300cm；下边界为潜水含水层自由水面，选为自由排水边界。 </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根据污水处理池的实际情况，溶质运移模型上边界选择浓度通量边界，下边界选择零浓度梯度边界。上边界污染物浓度较高，初始条件设定为与渗滤液污染物浓度相同。 </w:t>
      </w:r>
    </w:p>
    <w:p>
      <w:pPr>
        <w:adjustRightInd w:val="0"/>
        <w:snapToGrid w:val="0"/>
        <w:spacing w:line="360" w:lineRule="auto"/>
        <w:textAlignment w:val="baseline"/>
        <w:rPr>
          <w:color w:val="auto"/>
          <w:kern w:val="0"/>
          <w:sz w:val="24"/>
          <w:szCs w:val="20"/>
        </w:rPr>
      </w:pPr>
      <w:r>
        <w:rPr>
          <w:color w:val="auto"/>
          <w:kern w:val="0"/>
          <w:sz w:val="24"/>
          <w:szCs w:val="20"/>
        </w:rPr>
        <w:t>（4）模型参数确定</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 xml:space="preserve">本次污染物模拟预测过程不考虑污染物在含水层中的吸附、挥发、生物化学反应，模型中各项参数予以保守性考虑，符合环境影响评价风险最大的原则。根据厂区水文地质的调查结果，地下水埋深约为 </w:t>
      </w:r>
      <w:r>
        <w:rPr>
          <w:rFonts w:hint="eastAsia"/>
          <w:color w:val="auto"/>
          <w:kern w:val="0"/>
          <w:sz w:val="24"/>
          <w:szCs w:val="20"/>
        </w:rPr>
        <w:t>6.</w:t>
      </w:r>
      <w:r>
        <w:rPr>
          <w:color w:val="auto"/>
          <w:kern w:val="0"/>
          <w:sz w:val="24"/>
          <w:szCs w:val="20"/>
        </w:rPr>
        <w:t>0m，预测范围为包气带 0-3.0m 深度范围，土层性质为粉质黏土。包气带土壤水力参数</w:t>
      </w:r>
      <w:r>
        <w:rPr>
          <w:rFonts w:hint="eastAsia"/>
          <w:color w:val="auto"/>
          <w:kern w:val="0"/>
          <w:sz w:val="24"/>
          <w:szCs w:val="20"/>
          <w:lang w:eastAsia="zh-CN"/>
        </w:rPr>
        <w:t>采用</w:t>
      </w:r>
      <w:r>
        <w:rPr>
          <w:color w:val="auto"/>
          <w:kern w:val="0"/>
          <w:sz w:val="24"/>
          <w:szCs w:val="20"/>
        </w:rPr>
        <w:t xml:space="preserve"> Hydrus-1d 软件提供的土壤经验数值。土壤构型从</w:t>
      </w:r>
      <w:r>
        <w:rPr>
          <w:rFonts w:hint="eastAsia"/>
          <w:color w:val="auto"/>
          <w:kern w:val="0"/>
          <w:sz w:val="24"/>
          <w:szCs w:val="20"/>
          <w:lang w:eastAsia="zh-CN"/>
        </w:rPr>
        <w:t>垂直</w:t>
      </w:r>
      <w:r>
        <w:rPr>
          <w:color w:val="auto"/>
          <w:kern w:val="0"/>
          <w:sz w:val="24"/>
          <w:szCs w:val="20"/>
        </w:rPr>
        <w:t>向上按 1cm进行网格剖分，将研究土壤深度划分为 300 层，土壤结构概化为2层，壤土层（0～45cm）和粉质黏土层（45～300cm）。土壤水力参数见表5.6-11。</w:t>
      </w:r>
    </w:p>
    <w:p>
      <w:pPr>
        <w:tabs>
          <w:tab w:val="left" w:pos="3900"/>
        </w:tabs>
        <w:autoSpaceDE w:val="0"/>
        <w:autoSpaceDN w:val="0"/>
        <w:spacing w:before="120"/>
        <w:jc w:val="center"/>
        <w:rPr>
          <w:rFonts w:eastAsia="黑体"/>
          <w:color w:val="auto"/>
          <w:kern w:val="0"/>
          <w:sz w:val="24"/>
          <w:szCs w:val="24"/>
          <w:lang w:val="zh-CN" w:bidi="zh-CN"/>
        </w:rPr>
      </w:pPr>
      <w:r>
        <w:rPr>
          <w:rFonts w:eastAsia="黑体"/>
          <w:color w:val="auto"/>
          <w:kern w:val="0"/>
          <w:sz w:val="24"/>
          <w:szCs w:val="24"/>
          <w:lang w:val="zh-CN" w:bidi="zh-CN"/>
        </w:rPr>
        <w:t>表</w:t>
      </w:r>
      <w:r>
        <w:rPr>
          <w:rFonts w:eastAsia="黑体"/>
          <w:color w:val="auto"/>
          <w:spacing w:val="-61"/>
          <w:kern w:val="0"/>
          <w:sz w:val="24"/>
          <w:szCs w:val="24"/>
          <w:lang w:val="zh-CN" w:bidi="zh-CN"/>
        </w:rPr>
        <w:t xml:space="preserve"> </w:t>
      </w:r>
      <w:r>
        <w:rPr>
          <w:rFonts w:eastAsia="黑体"/>
          <w:color w:val="auto"/>
          <w:kern w:val="0"/>
          <w:sz w:val="24"/>
          <w:szCs w:val="24"/>
          <w:lang w:val="zh-CN" w:bidi="zh-CN"/>
        </w:rPr>
        <w:t>5.6-11</w:t>
      </w:r>
      <w:r>
        <w:rPr>
          <w:rFonts w:hint="eastAsia" w:eastAsia="黑体"/>
          <w:color w:val="auto"/>
          <w:kern w:val="0"/>
          <w:sz w:val="24"/>
          <w:szCs w:val="24"/>
          <w:lang w:val="zh-CN" w:bidi="zh-CN"/>
        </w:rPr>
        <w:t xml:space="preserve">     </w:t>
      </w:r>
      <w:r>
        <w:rPr>
          <w:rFonts w:eastAsia="黑体"/>
          <w:color w:val="auto"/>
          <w:kern w:val="0"/>
          <w:sz w:val="24"/>
          <w:szCs w:val="24"/>
          <w:lang w:val="zh-CN" w:bidi="zh-CN"/>
        </w:rPr>
        <w:t>土壤模型参数表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426"/>
        <w:gridCol w:w="1380"/>
        <w:gridCol w:w="1115"/>
        <w:gridCol w:w="895"/>
        <w:gridCol w:w="1152"/>
        <w:gridCol w:w="768"/>
        <w:gridCol w:w="10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rPr>
              <w:t>土层性质</w:t>
            </w:r>
          </w:p>
        </w:tc>
        <w:tc>
          <w:tcPr>
            <w:tcW w:w="835"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rPr>
              <w:t>残余含水率</w:t>
            </w:r>
            <w:r>
              <w:rPr>
                <w:b/>
                <w:color w:val="auto"/>
                <w:kern w:val="0"/>
                <w:position w:val="-3"/>
                <w:sz w:val="18"/>
                <w:szCs w:val="18"/>
              </w:rPr>
              <w:drawing>
                <wp:inline distT="0" distB="0" distL="0" distR="0">
                  <wp:extent cx="123825" cy="123825"/>
                  <wp:effectExtent l="0" t="0" r="9525" b="9525"/>
                  <wp:docPr id="8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9.png"/>
                          <pic:cNvPicPr>
                            <a:picLocks noChangeAspect="1" noChangeArrowheads="1"/>
                          </pic:cNvPicPr>
                        </pic:nvPicPr>
                        <pic:blipFill>
                          <a:blip r:embed="rId135"/>
                          <a:srcRect/>
                          <a:stretch>
                            <a:fillRect/>
                          </a:stretch>
                        </pic:blipFill>
                        <pic:spPr>
                          <a:xfrm>
                            <a:off x="0" y="0"/>
                            <a:ext cx="123825" cy="123825"/>
                          </a:xfrm>
                          <a:prstGeom prst="rect">
                            <a:avLst/>
                          </a:prstGeom>
                          <a:noFill/>
                          <a:ln>
                            <a:noFill/>
                          </a:ln>
                        </pic:spPr>
                      </pic:pic>
                    </a:graphicData>
                  </a:graphic>
                </wp:inline>
              </w:drawing>
            </w:r>
          </w:p>
          <w:p>
            <w:pPr>
              <w:widowControl w:val="0"/>
              <w:adjustRightInd w:val="0"/>
              <w:snapToGrid w:val="0"/>
              <w:jc w:val="center"/>
              <w:textAlignment w:val="baseline"/>
              <w:rPr>
                <w:b/>
                <w:color w:val="auto"/>
                <w:kern w:val="0"/>
                <w:sz w:val="18"/>
                <w:szCs w:val="18"/>
              </w:rPr>
            </w:pPr>
            <w:r>
              <w:rPr>
                <w:b/>
                <w:color w:val="auto"/>
                <w:kern w:val="0"/>
                <w:sz w:val="18"/>
                <w:szCs w:val="18"/>
              </w:rPr>
              <w:t>（cm</w:t>
            </w:r>
            <w:r>
              <w:rPr>
                <w:b/>
                <w:color w:val="auto"/>
                <w:kern w:val="0"/>
                <w:sz w:val="18"/>
                <w:szCs w:val="18"/>
                <w:vertAlign w:val="superscript"/>
              </w:rPr>
              <w:t>3</w:t>
            </w:r>
            <w:r>
              <w:rPr>
                <w:b/>
                <w:color w:val="auto"/>
                <w:kern w:val="0"/>
                <w:sz w:val="18"/>
                <w:szCs w:val="18"/>
              </w:rPr>
              <w:t>/cm</w:t>
            </w:r>
            <w:r>
              <w:rPr>
                <w:b/>
                <w:color w:val="auto"/>
                <w:kern w:val="0"/>
                <w:sz w:val="18"/>
                <w:szCs w:val="18"/>
                <w:vertAlign w:val="superscript"/>
              </w:rPr>
              <w:t>3</w:t>
            </w:r>
            <w:r>
              <w:rPr>
                <w:b/>
                <w:color w:val="auto"/>
                <w:kern w:val="0"/>
                <w:sz w:val="18"/>
                <w:szCs w:val="18"/>
              </w:rPr>
              <w:t>）</w:t>
            </w:r>
          </w:p>
        </w:tc>
        <w:tc>
          <w:tcPr>
            <w:tcW w:w="809"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rPr>
              <w:t>饱和含水率</w:t>
            </w:r>
            <w:r>
              <w:rPr>
                <w:b/>
                <w:color w:val="auto"/>
                <w:kern w:val="0"/>
                <w:position w:val="-3"/>
                <w:sz w:val="18"/>
                <w:szCs w:val="18"/>
              </w:rPr>
              <w:drawing>
                <wp:inline distT="0" distB="0" distL="0" distR="0">
                  <wp:extent cx="123825" cy="123825"/>
                  <wp:effectExtent l="0" t="0" r="9525" b="9525"/>
                  <wp:docPr id="84"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9.png"/>
                          <pic:cNvPicPr>
                            <a:picLocks noChangeAspect="1" noChangeArrowheads="1"/>
                          </pic:cNvPicPr>
                        </pic:nvPicPr>
                        <pic:blipFill>
                          <a:blip r:embed="rId135"/>
                          <a:srcRect/>
                          <a:stretch>
                            <a:fillRect/>
                          </a:stretch>
                        </pic:blipFill>
                        <pic:spPr>
                          <a:xfrm>
                            <a:off x="0" y="0"/>
                            <a:ext cx="123825" cy="123825"/>
                          </a:xfrm>
                          <a:prstGeom prst="rect">
                            <a:avLst/>
                          </a:prstGeom>
                          <a:noFill/>
                          <a:ln>
                            <a:noFill/>
                          </a:ln>
                        </pic:spPr>
                      </pic:pic>
                    </a:graphicData>
                  </a:graphic>
                </wp:inline>
              </w:drawing>
            </w:r>
          </w:p>
          <w:p>
            <w:pPr>
              <w:widowControl w:val="0"/>
              <w:adjustRightInd w:val="0"/>
              <w:snapToGrid w:val="0"/>
              <w:jc w:val="center"/>
              <w:textAlignment w:val="baseline"/>
              <w:rPr>
                <w:b/>
                <w:color w:val="auto"/>
                <w:kern w:val="0"/>
                <w:sz w:val="18"/>
                <w:szCs w:val="18"/>
              </w:rPr>
            </w:pPr>
            <w:r>
              <w:rPr>
                <w:b/>
                <w:color w:val="auto"/>
                <w:kern w:val="0"/>
                <w:sz w:val="18"/>
                <w:szCs w:val="18"/>
              </w:rPr>
              <w:t>（cm</w:t>
            </w:r>
            <w:r>
              <w:rPr>
                <w:b/>
                <w:color w:val="auto"/>
                <w:kern w:val="0"/>
                <w:sz w:val="18"/>
                <w:szCs w:val="18"/>
                <w:vertAlign w:val="superscript"/>
              </w:rPr>
              <w:t>3</w:t>
            </w:r>
            <w:r>
              <w:rPr>
                <w:b/>
                <w:color w:val="auto"/>
                <w:kern w:val="0"/>
                <w:sz w:val="18"/>
                <w:szCs w:val="18"/>
              </w:rPr>
              <w:t>/cm</w:t>
            </w:r>
            <w:r>
              <w:rPr>
                <w:b/>
                <w:color w:val="auto"/>
                <w:kern w:val="0"/>
                <w:sz w:val="18"/>
                <w:szCs w:val="18"/>
                <w:vertAlign w:val="superscript"/>
              </w:rPr>
              <w:t>3</w:t>
            </w:r>
            <w:r>
              <w:rPr>
                <w:b/>
                <w:color w:val="auto"/>
                <w:kern w:val="0"/>
                <w:sz w:val="18"/>
                <w:szCs w:val="18"/>
              </w:rPr>
              <w:t>）</w:t>
            </w:r>
          </w:p>
        </w:tc>
        <w:tc>
          <w:tcPr>
            <w:tcW w:w="653"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rPr>
              <w:t>经验参数</w:t>
            </w:r>
            <w:r>
              <w:rPr>
                <w:b/>
                <w:color w:val="auto"/>
                <w:kern w:val="0"/>
                <w:sz w:val="18"/>
                <w:szCs w:val="18"/>
                <w:lang w:val="zh-CN" w:bidi="zh-CN"/>
              </w:rPr>
              <w:t>a</w:t>
            </w:r>
          </w:p>
          <w:p>
            <w:pPr>
              <w:widowControl w:val="0"/>
              <w:adjustRightInd w:val="0"/>
              <w:snapToGrid w:val="0"/>
              <w:jc w:val="center"/>
              <w:textAlignment w:val="baseline"/>
              <w:rPr>
                <w:b/>
                <w:color w:val="auto"/>
                <w:kern w:val="0"/>
                <w:sz w:val="18"/>
                <w:szCs w:val="18"/>
              </w:rPr>
            </w:pPr>
            <w:r>
              <w:rPr>
                <w:b/>
                <w:color w:val="auto"/>
                <w:kern w:val="0"/>
                <w:sz w:val="18"/>
                <w:szCs w:val="18"/>
              </w:rPr>
              <w:t>（cm</w:t>
            </w:r>
            <w:r>
              <w:rPr>
                <w:b/>
                <w:color w:val="auto"/>
                <w:kern w:val="0"/>
                <w:sz w:val="18"/>
                <w:szCs w:val="18"/>
                <w:vertAlign w:val="superscript"/>
              </w:rPr>
              <w:t>-1</w:t>
            </w:r>
            <w:r>
              <w:rPr>
                <w:b/>
                <w:color w:val="auto"/>
                <w:kern w:val="0"/>
                <w:sz w:val="18"/>
                <w:szCs w:val="18"/>
              </w:rPr>
              <w:t>）</w:t>
            </w:r>
          </w:p>
        </w:tc>
        <w:tc>
          <w:tcPr>
            <w:tcW w:w="524"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lang w:val="zh-CN" w:bidi="zh-CN"/>
              </w:rPr>
              <w:t>曲线形状参数</w:t>
            </w:r>
            <w:r>
              <w:rPr>
                <w:b/>
                <w:i/>
                <w:color w:val="auto"/>
                <w:kern w:val="0"/>
                <w:sz w:val="18"/>
                <w:szCs w:val="18"/>
                <w:lang w:val="zh-CN" w:bidi="zh-CN"/>
              </w:rPr>
              <w:t>n</w:t>
            </w:r>
          </w:p>
        </w:tc>
        <w:tc>
          <w:tcPr>
            <w:tcW w:w="675"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lang w:val="zh-CN" w:bidi="zh-CN"/>
              </w:rPr>
              <w:t>渗透参数Ks（cm/d）</w:t>
            </w:r>
          </w:p>
        </w:tc>
        <w:tc>
          <w:tcPr>
            <w:tcW w:w="450"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lang w:val="zh-CN" w:bidi="zh-CN"/>
              </w:rPr>
              <w:t>经验参数I</w:t>
            </w:r>
          </w:p>
        </w:tc>
        <w:tc>
          <w:tcPr>
            <w:tcW w:w="626" w:type="pct"/>
            <w:shd w:val="clear" w:color="auto" w:fill="auto"/>
            <w:vAlign w:val="center"/>
          </w:tcPr>
          <w:p>
            <w:pPr>
              <w:widowControl w:val="0"/>
              <w:adjustRightInd w:val="0"/>
              <w:snapToGrid w:val="0"/>
              <w:jc w:val="center"/>
              <w:textAlignment w:val="baseline"/>
              <w:rPr>
                <w:b/>
                <w:color w:val="auto"/>
                <w:kern w:val="0"/>
                <w:sz w:val="18"/>
                <w:szCs w:val="18"/>
              </w:rPr>
            </w:pPr>
            <w:r>
              <w:rPr>
                <w:b/>
                <w:color w:val="auto"/>
                <w:kern w:val="0"/>
                <w:sz w:val="18"/>
                <w:szCs w:val="18"/>
                <w:lang w:val="zh-CN" w:bidi="zh-CN"/>
              </w:rPr>
              <w:t>容重ρ（g/cm</w:t>
            </w:r>
            <w:r>
              <w:rPr>
                <w:b/>
                <w:color w:val="auto"/>
                <w:kern w:val="0"/>
                <w:sz w:val="18"/>
                <w:szCs w:val="18"/>
                <w:vertAlign w:val="superscript"/>
                <w:lang w:val="zh-CN" w:bidi="zh-CN"/>
              </w:rPr>
              <w:t>3</w:t>
            </w:r>
            <w:r>
              <w:rPr>
                <w:b/>
                <w:color w:val="auto"/>
                <w:kern w:val="0"/>
                <w:sz w:val="18"/>
                <w:szCs w:val="18"/>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425"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壤土</w:t>
            </w:r>
          </w:p>
        </w:tc>
        <w:tc>
          <w:tcPr>
            <w:tcW w:w="835"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0.078</w:t>
            </w:r>
          </w:p>
        </w:tc>
        <w:tc>
          <w:tcPr>
            <w:tcW w:w="809"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0.43</w:t>
            </w:r>
          </w:p>
        </w:tc>
        <w:tc>
          <w:tcPr>
            <w:tcW w:w="653"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0.036</w:t>
            </w:r>
          </w:p>
        </w:tc>
        <w:tc>
          <w:tcPr>
            <w:tcW w:w="524"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1.56</w:t>
            </w:r>
          </w:p>
        </w:tc>
        <w:tc>
          <w:tcPr>
            <w:tcW w:w="675"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24.96</w:t>
            </w:r>
          </w:p>
        </w:tc>
        <w:tc>
          <w:tcPr>
            <w:tcW w:w="450" w:type="pct"/>
            <w:vMerge w:val="restar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0.5</w:t>
            </w:r>
          </w:p>
        </w:tc>
        <w:tc>
          <w:tcPr>
            <w:tcW w:w="626"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粉质粘土</w:t>
            </w:r>
          </w:p>
        </w:tc>
        <w:tc>
          <w:tcPr>
            <w:tcW w:w="835" w:type="pct"/>
            <w:shd w:val="clear" w:color="auto" w:fill="auto"/>
            <w:vAlign w:val="center"/>
          </w:tcPr>
          <w:p>
            <w:pPr>
              <w:widowControl w:val="0"/>
              <w:adjustRightInd w:val="0"/>
              <w:snapToGrid w:val="0"/>
              <w:jc w:val="center"/>
              <w:textAlignment w:val="baseline"/>
              <w:rPr>
                <w:color w:val="auto"/>
                <w:kern w:val="0"/>
                <w:sz w:val="21"/>
                <w:szCs w:val="21"/>
              </w:rPr>
            </w:pPr>
            <w:r>
              <w:rPr>
                <w:rFonts w:hint="eastAsia"/>
                <w:color w:val="auto"/>
                <w:kern w:val="0"/>
                <w:sz w:val="21"/>
                <w:szCs w:val="21"/>
              </w:rPr>
              <w:t>0.089</w:t>
            </w:r>
          </w:p>
        </w:tc>
        <w:tc>
          <w:tcPr>
            <w:tcW w:w="809" w:type="pct"/>
            <w:shd w:val="clear" w:color="auto" w:fill="auto"/>
            <w:vAlign w:val="center"/>
          </w:tcPr>
          <w:p>
            <w:pPr>
              <w:widowControl w:val="0"/>
              <w:adjustRightInd w:val="0"/>
              <w:snapToGrid w:val="0"/>
              <w:jc w:val="center"/>
              <w:textAlignment w:val="baseline"/>
              <w:rPr>
                <w:color w:val="auto"/>
                <w:kern w:val="0"/>
                <w:sz w:val="21"/>
                <w:szCs w:val="21"/>
              </w:rPr>
            </w:pPr>
            <w:r>
              <w:rPr>
                <w:rFonts w:hint="eastAsia"/>
                <w:color w:val="auto"/>
                <w:kern w:val="0"/>
                <w:sz w:val="21"/>
                <w:szCs w:val="21"/>
              </w:rPr>
              <w:t>0.43</w:t>
            </w:r>
          </w:p>
        </w:tc>
        <w:tc>
          <w:tcPr>
            <w:tcW w:w="653" w:type="pct"/>
            <w:shd w:val="clear" w:color="auto" w:fill="auto"/>
            <w:vAlign w:val="center"/>
          </w:tcPr>
          <w:p>
            <w:pPr>
              <w:widowControl w:val="0"/>
              <w:adjustRightInd w:val="0"/>
              <w:snapToGrid w:val="0"/>
              <w:jc w:val="center"/>
              <w:textAlignment w:val="baseline"/>
              <w:rPr>
                <w:color w:val="auto"/>
                <w:kern w:val="0"/>
                <w:sz w:val="21"/>
                <w:szCs w:val="21"/>
              </w:rPr>
            </w:pPr>
            <w:r>
              <w:rPr>
                <w:rFonts w:hint="eastAsia"/>
                <w:color w:val="auto"/>
                <w:kern w:val="0"/>
                <w:sz w:val="21"/>
                <w:szCs w:val="21"/>
              </w:rPr>
              <w:t>0.01</w:t>
            </w:r>
          </w:p>
        </w:tc>
        <w:tc>
          <w:tcPr>
            <w:tcW w:w="524" w:type="pct"/>
            <w:shd w:val="clear" w:color="auto" w:fill="auto"/>
            <w:vAlign w:val="center"/>
          </w:tcPr>
          <w:p>
            <w:pPr>
              <w:widowControl w:val="0"/>
              <w:adjustRightInd w:val="0"/>
              <w:snapToGrid w:val="0"/>
              <w:jc w:val="center"/>
              <w:textAlignment w:val="baseline"/>
              <w:rPr>
                <w:color w:val="auto"/>
                <w:kern w:val="0"/>
                <w:sz w:val="21"/>
                <w:szCs w:val="21"/>
              </w:rPr>
            </w:pPr>
            <w:r>
              <w:rPr>
                <w:rFonts w:hint="eastAsia"/>
                <w:color w:val="auto"/>
                <w:kern w:val="0"/>
                <w:sz w:val="21"/>
                <w:szCs w:val="21"/>
              </w:rPr>
              <w:t>1.23</w:t>
            </w:r>
          </w:p>
        </w:tc>
        <w:tc>
          <w:tcPr>
            <w:tcW w:w="675" w:type="pct"/>
            <w:shd w:val="clear" w:color="auto" w:fill="auto"/>
            <w:vAlign w:val="center"/>
          </w:tcPr>
          <w:p>
            <w:pPr>
              <w:widowControl w:val="0"/>
              <w:adjustRightInd w:val="0"/>
              <w:snapToGrid w:val="0"/>
              <w:jc w:val="center"/>
              <w:textAlignment w:val="baseline"/>
              <w:rPr>
                <w:color w:val="auto"/>
                <w:kern w:val="0"/>
                <w:sz w:val="21"/>
                <w:szCs w:val="21"/>
              </w:rPr>
            </w:pPr>
            <w:r>
              <w:rPr>
                <w:rFonts w:hint="eastAsia"/>
                <w:b/>
                <w:bCs/>
                <w:color w:val="auto"/>
                <w:kern w:val="0"/>
                <w:sz w:val="21"/>
                <w:szCs w:val="21"/>
                <w:u w:val="single"/>
              </w:rPr>
              <w:t>25.0</w:t>
            </w:r>
          </w:p>
        </w:tc>
        <w:tc>
          <w:tcPr>
            <w:tcW w:w="450" w:type="pct"/>
            <w:vMerge w:val="continue"/>
            <w:shd w:val="clear" w:color="auto" w:fill="auto"/>
            <w:vAlign w:val="center"/>
          </w:tcPr>
          <w:p>
            <w:pPr>
              <w:widowControl w:val="0"/>
              <w:adjustRightInd w:val="0"/>
              <w:snapToGrid w:val="0"/>
              <w:jc w:val="center"/>
              <w:textAlignment w:val="baseline"/>
              <w:rPr>
                <w:color w:val="auto"/>
                <w:kern w:val="0"/>
                <w:sz w:val="21"/>
                <w:szCs w:val="21"/>
              </w:rPr>
            </w:pPr>
          </w:p>
        </w:tc>
        <w:tc>
          <w:tcPr>
            <w:tcW w:w="626" w:type="pct"/>
            <w:shd w:val="clear" w:color="auto" w:fill="auto"/>
            <w:vAlign w:val="center"/>
          </w:tcPr>
          <w:p>
            <w:pPr>
              <w:widowControl w:val="0"/>
              <w:adjustRightInd w:val="0"/>
              <w:snapToGrid w:val="0"/>
              <w:jc w:val="center"/>
              <w:textAlignment w:val="baseline"/>
              <w:rPr>
                <w:color w:val="auto"/>
                <w:kern w:val="0"/>
                <w:sz w:val="21"/>
                <w:szCs w:val="21"/>
              </w:rPr>
            </w:pPr>
            <w:r>
              <w:rPr>
                <w:color w:val="auto"/>
                <w:kern w:val="0"/>
                <w:sz w:val="21"/>
                <w:szCs w:val="21"/>
              </w:rPr>
              <w:t>1.5</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textAlignment w:val="baseline"/>
        <w:rPr>
          <w:color w:val="auto"/>
          <w:kern w:val="0"/>
          <w:sz w:val="24"/>
          <w:szCs w:val="20"/>
        </w:rPr>
      </w:pPr>
      <w:r>
        <w:rPr>
          <w:color w:val="auto"/>
          <w:kern w:val="0"/>
          <w:sz w:val="24"/>
          <w:szCs w:val="20"/>
        </w:rPr>
        <w:t>（5）预测时段及深度</w:t>
      </w:r>
    </w:p>
    <w:p>
      <w:pPr>
        <w:adjustRightInd w:val="0"/>
        <w:snapToGrid w:val="0"/>
        <w:spacing w:line="360" w:lineRule="auto"/>
        <w:textAlignment w:val="baseline"/>
        <w:rPr>
          <w:color w:val="auto"/>
          <w:kern w:val="0"/>
          <w:sz w:val="24"/>
          <w:szCs w:val="20"/>
        </w:rPr>
      </w:pPr>
      <w:r>
        <w:rPr>
          <w:color w:val="auto"/>
          <w:kern w:val="0"/>
          <w:sz w:val="24"/>
          <w:szCs w:val="20"/>
        </w:rPr>
        <w:t xml:space="preserve">     在 HYDRUS-1D 的 Soil Profile-Graphical Editor 模块中对包气带土层进行剖分。污水调节池非可视部分发生不易发现的小面积渗漏，假设检修才发现，故将泄漏时间保守设定为30d，预测污染物在土壤中的迁移时间设定为365天，设定结果输出时间选为 10d、50d、100d、200d、365d。预测土壤深度3m，将整个土壤剖面分为300层。在预测目标层布置 5个观测点，从上到下依次为 N1～N5，距模型顶端距离分别为0m、0.5m、1.0m、2.0m 和 3m。 </w:t>
      </w:r>
    </w:p>
    <w:p>
      <w:pPr>
        <w:pStyle w:val="6"/>
        <w:spacing w:before="120" w:beforeLines="50" w:after="0" w:line="360" w:lineRule="auto"/>
        <w:rPr>
          <w:b w:val="0"/>
          <w:color w:val="auto"/>
          <w:sz w:val="24"/>
          <w:szCs w:val="24"/>
        </w:rPr>
      </w:pPr>
      <w:r>
        <w:rPr>
          <w:b w:val="0"/>
          <w:color w:val="auto"/>
          <w:sz w:val="24"/>
          <w:szCs w:val="24"/>
        </w:rPr>
        <w:t>5.6.4.</w:t>
      </w:r>
      <w:r>
        <w:rPr>
          <w:rFonts w:hint="eastAsia"/>
          <w:b w:val="0"/>
          <w:color w:val="auto"/>
          <w:sz w:val="24"/>
          <w:szCs w:val="24"/>
        </w:rPr>
        <w:t>5</w:t>
      </w:r>
      <w:r>
        <w:rPr>
          <w:b w:val="0"/>
          <w:color w:val="auto"/>
          <w:sz w:val="24"/>
          <w:szCs w:val="24"/>
        </w:rPr>
        <w:t>预测结果分析</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（1）污染物迁移随时间的变化特征</w:t>
      </w:r>
    </w:p>
    <w:p>
      <w:pPr>
        <w:adjustRightInd w:val="0"/>
        <w:snapToGrid w:val="0"/>
        <w:spacing w:line="360" w:lineRule="auto"/>
        <w:ind w:firstLine="480" w:firstLineChars="200"/>
        <w:textAlignment w:val="baseline"/>
        <w:rPr>
          <w:b w:val="0"/>
          <w:bCs w:val="0"/>
          <w:color w:val="auto"/>
          <w:kern w:val="0"/>
          <w:sz w:val="24"/>
          <w:szCs w:val="20"/>
          <w:u w:val="none"/>
        </w:rPr>
      </w:pPr>
      <w:r>
        <w:rPr>
          <w:b w:val="0"/>
          <w:bCs w:val="0"/>
          <w:color w:val="auto"/>
          <w:kern w:val="0"/>
          <w:sz w:val="24"/>
          <w:szCs w:val="20"/>
          <w:u w:val="none"/>
        </w:rPr>
        <w:t>根据观测点曲线图可以看到每个观测点在模拟时间内溶质浓度随时间的变化，污染物随时间变化曲线图见图5.6-3～5.6-6。</w:t>
      </w:r>
    </w:p>
    <w:p>
      <w:pPr>
        <w:pStyle w:val="43"/>
      </w:pPr>
    </w:p>
    <w:p>
      <w:pPr>
        <w:adjustRightInd w:val="0"/>
        <w:snapToGrid w:val="0"/>
        <w:jc w:val="center"/>
        <w:textAlignment w:val="baseline"/>
        <w:rPr>
          <w:color w:val="auto"/>
          <w:kern w:val="0"/>
          <w:sz w:val="24"/>
          <w:szCs w:val="20"/>
        </w:rPr>
      </w:pPr>
      <w:r>
        <w:rPr>
          <w:color w:val="auto"/>
        </w:rPr>
        <w:drawing>
          <wp:inline distT="0" distB="0" distL="114300" distR="114300">
            <wp:extent cx="4584065" cy="2755265"/>
            <wp:effectExtent l="0" t="0" r="6985" b="6985"/>
            <wp:docPr id="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
                    <pic:cNvPicPr>
                      <a:picLocks noChangeAspect="1"/>
                    </pic:cNvPicPr>
                  </pic:nvPicPr>
                  <pic:blipFill>
                    <a:blip r:embed="rId136"/>
                    <a:stretch>
                      <a:fillRect/>
                    </a:stretch>
                  </pic:blipFill>
                  <pic:spPr>
                    <a:xfrm>
                      <a:off x="0" y="0"/>
                      <a:ext cx="4584065" cy="2755265"/>
                    </a:xfrm>
                    <a:prstGeom prst="rect">
                      <a:avLst/>
                    </a:prstGeom>
                    <a:noFill/>
                    <a:ln>
                      <a:noFill/>
                    </a:ln>
                  </pic:spPr>
                </pic:pic>
              </a:graphicData>
            </a:graphic>
          </wp:inline>
        </w:drawing>
      </w:r>
    </w:p>
    <w:p>
      <w:pPr>
        <w:adjustRightInd w:val="0"/>
        <w:snapToGrid w:val="0"/>
        <w:spacing w:line="520" w:lineRule="exact"/>
        <w:ind w:firstLine="482" w:firstLineChars="200"/>
        <w:jc w:val="center"/>
        <w:textAlignment w:val="baseline"/>
        <w:rPr>
          <w:rFonts w:eastAsia="黑体"/>
          <w:b/>
          <w:bCs/>
          <w:color w:val="auto"/>
          <w:kern w:val="0"/>
          <w:sz w:val="24"/>
          <w:szCs w:val="20"/>
          <w:u w:val="single"/>
        </w:rPr>
      </w:pPr>
      <w:r>
        <w:rPr>
          <w:rFonts w:eastAsia="黑体"/>
          <w:b/>
          <w:bCs/>
          <w:color w:val="auto"/>
          <w:kern w:val="0"/>
          <w:sz w:val="24"/>
          <w:szCs w:val="20"/>
          <w:u w:val="single"/>
        </w:rPr>
        <w:t>图5.6-3 不同深度土壤中镍浓度—时间曲线图</w:t>
      </w:r>
    </w:p>
    <w:p>
      <w:pPr>
        <w:adjustRightInd w:val="0"/>
        <w:snapToGrid w:val="0"/>
        <w:jc w:val="center"/>
        <w:textAlignment w:val="baseline"/>
        <w:rPr>
          <w:color w:val="auto"/>
        </w:rPr>
      </w:pPr>
    </w:p>
    <w:p>
      <w:pPr>
        <w:adjustRightInd w:val="0"/>
        <w:snapToGrid w:val="0"/>
        <w:jc w:val="center"/>
        <w:textAlignment w:val="baseline"/>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pStyle w:val="43"/>
        <w:rPr>
          <w:color w:val="auto"/>
        </w:rPr>
      </w:pPr>
    </w:p>
    <w:p>
      <w:pPr>
        <w:adjustRightInd w:val="0"/>
        <w:snapToGrid w:val="0"/>
        <w:jc w:val="center"/>
        <w:textAlignment w:val="baseline"/>
        <w:rPr>
          <w:color w:val="auto"/>
          <w:kern w:val="0"/>
          <w:sz w:val="24"/>
          <w:szCs w:val="20"/>
        </w:rPr>
      </w:pPr>
      <w:r>
        <w:rPr>
          <w:color w:val="auto"/>
        </w:rPr>
        <w:drawing>
          <wp:anchor distT="0" distB="0" distL="114300" distR="114300" simplePos="0" relativeHeight="251790336" behindDoc="0" locked="0" layoutInCell="1" allowOverlap="1">
            <wp:simplePos x="0" y="0"/>
            <wp:positionH relativeFrom="column">
              <wp:posOffset>343535</wp:posOffset>
            </wp:positionH>
            <wp:positionV relativeFrom="paragraph">
              <wp:posOffset>0</wp:posOffset>
            </wp:positionV>
            <wp:extent cx="4584065" cy="2755265"/>
            <wp:effectExtent l="0" t="0" r="6985" b="6985"/>
            <wp:wrapSquare wrapText="bothSides"/>
            <wp:docPr id="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
                    <pic:cNvPicPr>
                      <a:picLocks noChangeAspect="1"/>
                    </pic:cNvPicPr>
                  </pic:nvPicPr>
                  <pic:blipFill>
                    <a:blip r:embed="rId137"/>
                    <a:stretch>
                      <a:fillRect/>
                    </a:stretch>
                  </pic:blipFill>
                  <pic:spPr>
                    <a:xfrm>
                      <a:off x="0" y="0"/>
                      <a:ext cx="4584065" cy="2755265"/>
                    </a:xfrm>
                    <a:prstGeom prst="rect">
                      <a:avLst/>
                    </a:prstGeom>
                    <a:noFill/>
                    <a:ln>
                      <a:noFill/>
                    </a:ln>
                  </pic:spPr>
                </pic:pic>
              </a:graphicData>
            </a:graphic>
          </wp:anchor>
        </w:drawing>
      </w:r>
    </w:p>
    <w:p>
      <w:pPr>
        <w:adjustRightInd w:val="0"/>
        <w:snapToGrid w:val="0"/>
        <w:spacing w:line="520" w:lineRule="exact"/>
        <w:ind w:firstLine="2168" w:firstLineChars="900"/>
        <w:textAlignment w:val="baseline"/>
        <w:rPr>
          <w:rFonts w:eastAsia="黑体"/>
          <w:b/>
          <w:bCs/>
          <w:color w:val="auto"/>
          <w:kern w:val="0"/>
          <w:sz w:val="24"/>
          <w:szCs w:val="20"/>
          <w:u w:val="single"/>
        </w:rPr>
      </w:pPr>
      <w:r>
        <w:rPr>
          <w:rFonts w:eastAsia="黑体"/>
          <w:b/>
          <w:bCs/>
          <w:color w:val="auto"/>
          <w:kern w:val="0"/>
          <w:sz w:val="24"/>
          <w:szCs w:val="20"/>
          <w:u w:val="single"/>
        </w:rPr>
        <w:t>图5.6-4 不同深度土壤总锌浓度—时间曲线图</w:t>
      </w: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adjustRightInd w:val="0"/>
        <w:snapToGrid w:val="0"/>
        <w:jc w:val="center"/>
        <w:textAlignment w:val="baseline"/>
        <w:rPr>
          <w:color w:val="auto"/>
          <w:kern w:val="0"/>
          <w:sz w:val="24"/>
          <w:szCs w:val="20"/>
        </w:rPr>
      </w:pPr>
      <w:r>
        <w:rPr>
          <w:color w:val="auto"/>
        </w:rPr>
        <w:drawing>
          <wp:inline distT="0" distB="0" distL="114300" distR="114300">
            <wp:extent cx="4584065" cy="2755265"/>
            <wp:effectExtent l="0" t="0" r="6985" b="6985"/>
            <wp:docPr id="10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9"/>
                    <pic:cNvPicPr>
                      <a:picLocks noChangeAspect="1"/>
                    </pic:cNvPicPr>
                  </pic:nvPicPr>
                  <pic:blipFill>
                    <a:blip r:embed="rId138"/>
                    <a:stretch>
                      <a:fillRect/>
                    </a:stretch>
                  </pic:blipFill>
                  <pic:spPr>
                    <a:xfrm>
                      <a:off x="0" y="0"/>
                      <a:ext cx="4584065" cy="2755265"/>
                    </a:xfrm>
                    <a:prstGeom prst="rect">
                      <a:avLst/>
                    </a:prstGeom>
                    <a:noFill/>
                    <a:ln>
                      <a:noFill/>
                    </a:ln>
                  </pic:spPr>
                </pic:pic>
              </a:graphicData>
            </a:graphic>
          </wp:inline>
        </w:drawing>
      </w:r>
    </w:p>
    <w:p>
      <w:pPr>
        <w:adjustRightInd w:val="0"/>
        <w:snapToGrid w:val="0"/>
        <w:spacing w:line="520" w:lineRule="exact"/>
        <w:ind w:firstLine="2168" w:firstLineChars="900"/>
        <w:textAlignment w:val="baseline"/>
        <w:rPr>
          <w:rFonts w:eastAsia="黑体"/>
          <w:b/>
          <w:bCs/>
          <w:color w:val="auto"/>
          <w:kern w:val="0"/>
          <w:sz w:val="24"/>
          <w:szCs w:val="20"/>
          <w:u w:val="single"/>
        </w:rPr>
      </w:pPr>
      <w:r>
        <w:rPr>
          <w:rFonts w:eastAsia="黑体"/>
          <w:b/>
          <w:bCs/>
          <w:color w:val="auto"/>
          <w:kern w:val="0"/>
          <w:sz w:val="24"/>
          <w:szCs w:val="20"/>
          <w:u w:val="single"/>
        </w:rPr>
        <w:t>图5.6-5 不同深度土壤总铬浓度—时间曲线图</w:t>
      </w: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pStyle w:val="43"/>
        <w:rPr>
          <w:rFonts w:eastAsia="黑体"/>
          <w:b/>
          <w:bCs/>
          <w:color w:val="auto"/>
          <w:kern w:val="0"/>
          <w:sz w:val="24"/>
          <w:szCs w:val="20"/>
          <w:u w:val="single"/>
        </w:rPr>
      </w:pPr>
    </w:p>
    <w:p>
      <w:pPr>
        <w:adjustRightInd w:val="0"/>
        <w:snapToGrid w:val="0"/>
        <w:jc w:val="center"/>
        <w:textAlignment w:val="baseline"/>
        <w:rPr>
          <w:color w:val="auto"/>
          <w:kern w:val="0"/>
          <w:sz w:val="24"/>
          <w:szCs w:val="20"/>
        </w:rPr>
      </w:pPr>
      <w:r>
        <w:rPr>
          <w:color w:val="auto"/>
        </w:rPr>
        <w:drawing>
          <wp:inline distT="0" distB="0" distL="114300" distR="114300">
            <wp:extent cx="4584065" cy="2755265"/>
            <wp:effectExtent l="0" t="0" r="6985" b="6985"/>
            <wp:docPr id="16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0"/>
                    <pic:cNvPicPr>
                      <a:picLocks noChangeAspect="1"/>
                    </pic:cNvPicPr>
                  </pic:nvPicPr>
                  <pic:blipFill>
                    <a:blip r:embed="rId139"/>
                    <a:stretch>
                      <a:fillRect/>
                    </a:stretch>
                  </pic:blipFill>
                  <pic:spPr>
                    <a:xfrm>
                      <a:off x="0" y="0"/>
                      <a:ext cx="4584065" cy="2755265"/>
                    </a:xfrm>
                    <a:prstGeom prst="rect">
                      <a:avLst/>
                    </a:prstGeom>
                    <a:noFill/>
                    <a:ln>
                      <a:noFill/>
                    </a:ln>
                  </pic:spPr>
                </pic:pic>
              </a:graphicData>
            </a:graphic>
          </wp:inline>
        </w:drawing>
      </w:r>
    </w:p>
    <w:p>
      <w:pPr>
        <w:adjustRightInd w:val="0"/>
        <w:snapToGrid w:val="0"/>
        <w:spacing w:line="520" w:lineRule="exact"/>
        <w:ind w:firstLine="2168" w:firstLineChars="900"/>
        <w:textAlignment w:val="baseline"/>
        <w:rPr>
          <w:rFonts w:eastAsia="黑体"/>
          <w:b/>
          <w:bCs/>
          <w:color w:val="auto"/>
          <w:kern w:val="0"/>
          <w:sz w:val="24"/>
          <w:szCs w:val="20"/>
          <w:u w:val="single"/>
        </w:rPr>
      </w:pPr>
      <w:r>
        <w:rPr>
          <w:rFonts w:eastAsia="黑体"/>
          <w:b/>
          <w:bCs/>
          <w:color w:val="auto"/>
          <w:kern w:val="0"/>
          <w:sz w:val="24"/>
          <w:szCs w:val="20"/>
          <w:u w:val="single"/>
        </w:rPr>
        <w:t>图5.6-6 不同深度土壤六价铬浓度—时间曲线图</w:t>
      </w:r>
    </w:p>
    <w:p>
      <w:pPr>
        <w:adjustRightInd w:val="0"/>
        <w:snapToGrid w:val="0"/>
        <w:spacing w:line="520" w:lineRule="exact"/>
        <w:ind w:firstLine="482" w:firstLineChars="200"/>
        <w:textAlignment w:val="baseline"/>
        <w:rPr>
          <w:b/>
          <w:bCs/>
          <w:color w:val="auto"/>
          <w:kern w:val="0"/>
          <w:sz w:val="24"/>
          <w:szCs w:val="20"/>
          <w:u w:val="single"/>
        </w:rPr>
      </w:pPr>
      <w:r>
        <w:rPr>
          <w:b/>
          <w:bCs/>
          <w:color w:val="auto"/>
          <w:kern w:val="0"/>
          <w:sz w:val="24"/>
          <w:szCs w:val="20"/>
          <w:u w:val="single"/>
        </w:rPr>
        <w:t xml:space="preserve">根据图5.6-3~5.6-6可以看出，在事故状态下，污染物在泄漏30天停止，下渗运移365天内土壤不同深度中总镍、总锌、总铬和六价铬的浓度随时间变化情况如下：地面入渗点（N1）的污染物浓度逐渐降低；地面下0.5m（N2）、地面下1.0m（N3）、地面下2.0m（N4）和地面下3.0m（N5）污染物浓度先升高后降低，逐渐趋于稳定。 </w:t>
      </w:r>
    </w:p>
    <w:p>
      <w:pPr>
        <w:adjustRightInd w:val="0"/>
        <w:snapToGrid w:val="0"/>
        <w:spacing w:after="120" w:afterLines="50" w:line="520" w:lineRule="exact"/>
        <w:ind w:firstLine="482" w:firstLineChars="200"/>
        <w:textAlignment w:val="baseline"/>
        <w:rPr>
          <w:b/>
          <w:bCs/>
          <w:color w:val="auto"/>
          <w:kern w:val="0"/>
          <w:sz w:val="24"/>
          <w:szCs w:val="20"/>
          <w:u w:val="single"/>
        </w:rPr>
      </w:pPr>
      <w:r>
        <w:rPr>
          <w:b/>
          <w:bCs/>
          <w:color w:val="auto"/>
          <w:kern w:val="0"/>
          <w:sz w:val="24"/>
          <w:szCs w:val="20"/>
          <w:u w:val="single"/>
        </w:rPr>
        <w:t>根据图5.6-3~5.6-6，模拟期各观测点土壤中污染物的最高浓度为见下表。</w:t>
      </w:r>
    </w:p>
    <w:p>
      <w:pPr>
        <w:adjustRightInd w:val="0"/>
        <w:snapToGrid w:val="0"/>
        <w:ind w:firstLine="482" w:firstLineChars="200"/>
        <w:jc w:val="center"/>
        <w:textAlignment w:val="baseline"/>
        <w:rPr>
          <w:rFonts w:eastAsia="黑体"/>
          <w:b/>
          <w:bCs w:val="0"/>
          <w:color w:val="auto"/>
          <w:kern w:val="0"/>
          <w:sz w:val="24"/>
          <w:szCs w:val="20"/>
          <w:u w:val="single"/>
        </w:rPr>
      </w:pPr>
      <w:r>
        <w:rPr>
          <w:rFonts w:eastAsia="黑体"/>
          <w:b/>
          <w:bCs w:val="0"/>
          <w:color w:val="auto"/>
          <w:kern w:val="0"/>
          <w:sz w:val="24"/>
          <w:szCs w:val="20"/>
          <w:u w:val="single"/>
        </w:rPr>
        <w:t>表5.6-12  模拟期各观测点预测污染物最大浓度值一览表     单位：mg/kg</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5"/>
        <w:gridCol w:w="1345"/>
        <w:gridCol w:w="1359"/>
        <w:gridCol w:w="1353"/>
        <w:gridCol w:w="1348"/>
        <w:gridCol w:w="1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exact"/>
        </w:trPr>
        <w:tc>
          <w:tcPr>
            <w:tcW w:w="1040" w:type="pct"/>
            <w:tcBorders>
              <w:tl2br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 xml:space="preserve">    编号/深度</w:t>
            </w: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baseline"/>
              <w:rPr>
                <w:b/>
                <w:bCs w:val="0"/>
                <w:color w:val="auto"/>
                <w:kern w:val="0"/>
                <w:u w:val="single"/>
              </w:rPr>
            </w:pPr>
            <w:r>
              <w:rPr>
                <w:b/>
                <w:bCs w:val="0"/>
                <w:color w:val="auto"/>
                <w:kern w:val="0"/>
                <w:u w:val="single"/>
              </w:rPr>
              <w:t>污染因子</w:t>
            </w:r>
          </w:p>
        </w:tc>
        <w:tc>
          <w:tcPr>
            <w:tcW w:w="78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N1（0.0m）</w:t>
            </w:r>
          </w:p>
        </w:tc>
        <w:tc>
          <w:tcPr>
            <w:tcW w:w="79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N2（0.5m）</w:t>
            </w:r>
          </w:p>
        </w:tc>
        <w:tc>
          <w:tcPr>
            <w:tcW w:w="79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N3（1.0m）</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N4（2.0m）</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N5（3.0m）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exact"/>
        </w:trPr>
        <w:tc>
          <w:tcPr>
            <w:tcW w:w="104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镍</w:t>
            </w:r>
          </w:p>
        </w:tc>
        <w:tc>
          <w:tcPr>
            <w:tcW w:w="78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2871</w:t>
            </w:r>
          </w:p>
        </w:tc>
        <w:tc>
          <w:tcPr>
            <w:tcW w:w="79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362</w:t>
            </w:r>
          </w:p>
        </w:tc>
        <w:tc>
          <w:tcPr>
            <w:tcW w:w="79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358</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1.66E-8</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0.00E+0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trPr>
        <w:tc>
          <w:tcPr>
            <w:tcW w:w="104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锌</w:t>
            </w:r>
          </w:p>
        </w:tc>
        <w:tc>
          <w:tcPr>
            <w:tcW w:w="78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0.014</w:t>
            </w:r>
            <w:r>
              <w:rPr>
                <w:rFonts w:hint="eastAsia"/>
                <w:b/>
                <w:bCs w:val="0"/>
                <w:color w:val="auto"/>
                <w:kern w:val="0"/>
                <w:u w:val="single"/>
              </w:rPr>
              <w:t>4</w:t>
            </w:r>
          </w:p>
        </w:tc>
        <w:tc>
          <w:tcPr>
            <w:tcW w:w="79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0.01</w:t>
            </w:r>
            <w:r>
              <w:rPr>
                <w:rFonts w:hint="eastAsia"/>
                <w:b/>
                <w:bCs w:val="0"/>
                <w:color w:val="auto"/>
                <w:kern w:val="0"/>
                <w:u w:val="single"/>
              </w:rPr>
              <w:t>810</w:t>
            </w:r>
          </w:p>
        </w:tc>
        <w:tc>
          <w:tcPr>
            <w:tcW w:w="79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179</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8.28E-9</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0.00E+0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exact"/>
        </w:trPr>
        <w:tc>
          <w:tcPr>
            <w:tcW w:w="104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铬</w:t>
            </w:r>
          </w:p>
        </w:tc>
        <w:tc>
          <w:tcPr>
            <w:tcW w:w="78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784</w:t>
            </w:r>
          </w:p>
        </w:tc>
        <w:tc>
          <w:tcPr>
            <w:tcW w:w="79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w:t>
            </w:r>
            <w:r>
              <w:rPr>
                <w:rFonts w:hint="eastAsia"/>
                <w:b/>
                <w:bCs w:val="0"/>
                <w:color w:val="auto"/>
                <w:kern w:val="0"/>
                <w:u w:val="single"/>
              </w:rPr>
              <w:t>1090</w:t>
            </w:r>
          </w:p>
        </w:tc>
        <w:tc>
          <w:tcPr>
            <w:tcW w:w="79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w:t>
            </w:r>
            <w:r>
              <w:rPr>
                <w:rFonts w:hint="eastAsia"/>
                <w:b/>
                <w:bCs w:val="0"/>
                <w:color w:val="auto"/>
                <w:kern w:val="0"/>
                <w:u w:val="single"/>
              </w:rPr>
              <w:t>1070</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4.97E-8</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0.00E+0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exact"/>
        </w:trPr>
        <w:tc>
          <w:tcPr>
            <w:tcW w:w="104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六价铬</w:t>
            </w:r>
          </w:p>
        </w:tc>
        <w:tc>
          <w:tcPr>
            <w:tcW w:w="788"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575</w:t>
            </w:r>
          </w:p>
        </w:tc>
        <w:tc>
          <w:tcPr>
            <w:tcW w:w="796"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723</w:t>
            </w:r>
          </w:p>
        </w:tc>
        <w:tc>
          <w:tcPr>
            <w:tcW w:w="793"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b/>
                <w:bCs w:val="0"/>
                <w:color w:val="auto"/>
                <w:kern w:val="0"/>
                <w:u w:val="single"/>
              </w:rPr>
              <w:t>0.0</w:t>
            </w:r>
            <w:r>
              <w:rPr>
                <w:rFonts w:hint="eastAsia"/>
                <w:b/>
                <w:bCs w:val="0"/>
                <w:color w:val="auto"/>
                <w:kern w:val="0"/>
                <w:u w:val="single"/>
              </w:rPr>
              <w:t>715</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3.31E-8</w:t>
            </w:r>
          </w:p>
        </w:tc>
        <w:tc>
          <w:tcPr>
            <w:tcW w:w="790" w:type="pct"/>
            <w:shd w:val="clear" w:color="auto" w:fill="auto"/>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b/>
                <w:bCs w:val="0"/>
                <w:color w:val="auto"/>
                <w:kern w:val="0"/>
                <w:u w:val="single"/>
              </w:rPr>
            </w:pPr>
            <w:r>
              <w:rPr>
                <w:rFonts w:hint="eastAsia"/>
                <w:b/>
                <w:bCs w:val="0"/>
                <w:color w:val="auto"/>
                <w:kern w:val="0"/>
                <w:u w:val="single"/>
              </w:rPr>
              <w:t>0.00E+0</w:t>
            </w:r>
          </w:p>
        </w:tc>
      </w:tr>
    </w:tbl>
    <w:p>
      <w:pPr>
        <w:adjustRightInd w:val="0"/>
        <w:snapToGrid w:val="0"/>
        <w:spacing w:before="120" w:beforeLines="50"/>
        <w:ind w:firstLine="482" w:firstLineChars="200"/>
        <w:jc w:val="center"/>
        <w:textAlignment w:val="baseline"/>
        <w:rPr>
          <w:rFonts w:eastAsia="黑体"/>
          <w:b/>
          <w:bCs w:val="0"/>
          <w:color w:val="auto"/>
          <w:kern w:val="0"/>
          <w:sz w:val="24"/>
          <w:szCs w:val="20"/>
          <w:u w:val="single"/>
        </w:rPr>
      </w:pPr>
      <w:r>
        <w:rPr>
          <w:rFonts w:eastAsia="黑体"/>
          <w:b/>
          <w:bCs w:val="0"/>
          <w:color w:val="auto"/>
          <w:kern w:val="0"/>
          <w:sz w:val="24"/>
          <w:szCs w:val="20"/>
          <w:u w:val="single"/>
        </w:rPr>
        <w:t>表5.6-12  项目区污染因子预测值与现状叠加值一览表    单位：mg/kg</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950"/>
        <w:gridCol w:w="1729"/>
        <w:gridCol w:w="1198"/>
        <w:gridCol w:w="931"/>
        <w:gridCol w:w="1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exact"/>
        </w:trPr>
        <w:tc>
          <w:tcPr>
            <w:tcW w:w="1381" w:type="dxa"/>
            <w:tcBorders>
              <w:tl2br w:val="single" w:color="auto" w:sz="4" w:space="0"/>
            </w:tcBorders>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 xml:space="preserve">      项目</w:t>
            </w:r>
          </w:p>
          <w:p>
            <w:pPr>
              <w:widowControl w:val="0"/>
              <w:adjustRightInd w:val="0"/>
              <w:snapToGrid w:val="0"/>
              <w:jc w:val="both"/>
              <w:textAlignment w:val="baseline"/>
              <w:rPr>
                <w:b/>
                <w:bCs w:val="0"/>
                <w:color w:val="auto"/>
                <w:kern w:val="0"/>
                <w:u w:val="single"/>
              </w:rPr>
            </w:pPr>
            <w:r>
              <w:rPr>
                <w:b/>
                <w:bCs w:val="0"/>
                <w:color w:val="auto"/>
                <w:kern w:val="0"/>
                <w:u w:val="single"/>
              </w:rPr>
              <w:t>污染因子</w:t>
            </w:r>
          </w:p>
        </w:tc>
        <w:tc>
          <w:tcPr>
            <w:tcW w:w="1950"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预测贡献浓度最大值</w:t>
            </w:r>
          </w:p>
        </w:tc>
        <w:tc>
          <w:tcPr>
            <w:tcW w:w="1729"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现状监测浓度最大值</w:t>
            </w:r>
          </w:p>
        </w:tc>
        <w:tc>
          <w:tcPr>
            <w:tcW w:w="1198"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叠加值</w:t>
            </w:r>
          </w:p>
        </w:tc>
        <w:tc>
          <w:tcPr>
            <w:tcW w:w="93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标准值</w:t>
            </w:r>
          </w:p>
        </w:tc>
        <w:tc>
          <w:tcPr>
            <w:tcW w:w="1340"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138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镍</w:t>
            </w:r>
          </w:p>
        </w:tc>
        <w:tc>
          <w:tcPr>
            <w:tcW w:w="1950" w:type="dxa"/>
            <w:shd w:val="clear" w:color="auto" w:fill="auto"/>
            <w:vAlign w:val="center"/>
          </w:tcPr>
          <w:p>
            <w:pPr>
              <w:widowControl w:val="0"/>
              <w:jc w:val="center"/>
              <w:rPr>
                <w:b/>
                <w:bCs w:val="0"/>
                <w:color w:val="auto"/>
                <w:u w:val="single"/>
              </w:rPr>
            </w:pPr>
            <w:r>
              <w:rPr>
                <w:b/>
                <w:bCs w:val="0"/>
                <w:color w:val="auto"/>
                <w:u w:val="single"/>
              </w:rPr>
              <w:t>0.0</w:t>
            </w:r>
            <w:r>
              <w:rPr>
                <w:rFonts w:hint="eastAsia"/>
                <w:b/>
                <w:bCs w:val="0"/>
                <w:color w:val="auto"/>
                <w:u w:val="single"/>
              </w:rPr>
              <w:t>362</w:t>
            </w:r>
          </w:p>
        </w:tc>
        <w:tc>
          <w:tcPr>
            <w:tcW w:w="1729"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108</w:t>
            </w:r>
          </w:p>
        </w:tc>
        <w:tc>
          <w:tcPr>
            <w:tcW w:w="1198"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108.</w:t>
            </w:r>
            <w:r>
              <w:rPr>
                <w:rFonts w:hint="eastAsia"/>
                <w:b/>
                <w:bCs w:val="0"/>
                <w:color w:val="auto"/>
                <w:kern w:val="0"/>
                <w:u w:val="single"/>
              </w:rPr>
              <w:t>0362</w:t>
            </w:r>
          </w:p>
        </w:tc>
        <w:tc>
          <w:tcPr>
            <w:tcW w:w="93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900</w:t>
            </w:r>
          </w:p>
        </w:tc>
        <w:tc>
          <w:tcPr>
            <w:tcW w:w="1340"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exact"/>
        </w:trPr>
        <w:tc>
          <w:tcPr>
            <w:tcW w:w="138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锌</w:t>
            </w:r>
          </w:p>
        </w:tc>
        <w:tc>
          <w:tcPr>
            <w:tcW w:w="1950" w:type="dxa"/>
            <w:shd w:val="clear" w:color="auto" w:fill="auto"/>
            <w:vAlign w:val="center"/>
          </w:tcPr>
          <w:p>
            <w:pPr>
              <w:widowControl w:val="0"/>
              <w:jc w:val="center"/>
              <w:rPr>
                <w:b/>
                <w:bCs w:val="0"/>
                <w:color w:val="auto"/>
                <w:u w:val="single"/>
              </w:rPr>
            </w:pPr>
            <w:r>
              <w:rPr>
                <w:b/>
                <w:bCs w:val="0"/>
                <w:color w:val="auto"/>
                <w:u w:val="single"/>
              </w:rPr>
              <w:t>0.0</w:t>
            </w:r>
            <w:r>
              <w:rPr>
                <w:rFonts w:hint="eastAsia"/>
                <w:b/>
                <w:bCs w:val="0"/>
                <w:color w:val="auto"/>
                <w:u w:val="single"/>
              </w:rPr>
              <w:t>181</w:t>
            </w:r>
          </w:p>
        </w:tc>
        <w:tc>
          <w:tcPr>
            <w:tcW w:w="1729"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63.5</w:t>
            </w:r>
          </w:p>
        </w:tc>
        <w:tc>
          <w:tcPr>
            <w:tcW w:w="1198" w:type="dxa"/>
            <w:shd w:val="clear" w:color="auto" w:fill="auto"/>
            <w:vAlign w:val="center"/>
          </w:tcPr>
          <w:p>
            <w:pPr>
              <w:widowControl w:val="0"/>
              <w:adjustRightInd w:val="0"/>
              <w:snapToGrid w:val="0"/>
              <w:ind w:firstLine="211" w:firstLineChars="100"/>
              <w:jc w:val="both"/>
              <w:textAlignment w:val="baseline"/>
              <w:rPr>
                <w:b/>
                <w:bCs w:val="0"/>
                <w:color w:val="auto"/>
                <w:kern w:val="0"/>
                <w:u w:val="single"/>
              </w:rPr>
            </w:pPr>
            <w:r>
              <w:rPr>
                <w:rFonts w:hint="eastAsia"/>
                <w:b/>
                <w:bCs w:val="0"/>
                <w:color w:val="auto"/>
                <w:kern w:val="0"/>
                <w:u w:val="single"/>
              </w:rPr>
              <w:t>63.681</w:t>
            </w:r>
          </w:p>
        </w:tc>
        <w:tc>
          <w:tcPr>
            <w:tcW w:w="93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300</w:t>
            </w:r>
          </w:p>
        </w:tc>
        <w:tc>
          <w:tcPr>
            <w:tcW w:w="1340"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exact"/>
        </w:trPr>
        <w:tc>
          <w:tcPr>
            <w:tcW w:w="138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铬</w:t>
            </w:r>
          </w:p>
        </w:tc>
        <w:tc>
          <w:tcPr>
            <w:tcW w:w="1950" w:type="dxa"/>
            <w:shd w:val="clear" w:color="auto" w:fill="auto"/>
            <w:vAlign w:val="center"/>
          </w:tcPr>
          <w:p>
            <w:pPr>
              <w:widowControl w:val="0"/>
              <w:jc w:val="center"/>
              <w:rPr>
                <w:b/>
                <w:bCs w:val="0"/>
                <w:color w:val="auto"/>
                <w:u w:val="single"/>
              </w:rPr>
            </w:pPr>
            <w:r>
              <w:rPr>
                <w:b/>
                <w:bCs w:val="0"/>
                <w:color w:val="auto"/>
                <w:u w:val="single"/>
              </w:rPr>
              <w:t>0.</w:t>
            </w:r>
            <w:r>
              <w:rPr>
                <w:rFonts w:hint="eastAsia"/>
                <w:b/>
                <w:bCs w:val="0"/>
                <w:color w:val="auto"/>
                <w:u w:val="single"/>
              </w:rPr>
              <w:t>109</w:t>
            </w:r>
            <w:r>
              <w:rPr>
                <w:b/>
                <w:bCs w:val="0"/>
                <w:color w:val="auto"/>
                <w:u w:val="single"/>
              </w:rPr>
              <w:t>0</w:t>
            </w:r>
          </w:p>
        </w:tc>
        <w:tc>
          <w:tcPr>
            <w:tcW w:w="1729"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未检出</w:t>
            </w:r>
          </w:p>
        </w:tc>
        <w:tc>
          <w:tcPr>
            <w:tcW w:w="1198" w:type="dxa"/>
            <w:shd w:val="clear" w:color="auto" w:fill="auto"/>
            <w:vAlign w:val="center"/>
          </w:tcPr>
          <w:p>
            <w:pPr>
              <w:widowControl w:val="0"/>
              <w:adjustRightInd w:val="0"/>
              <w:snapToGrid w:val="0"/>
              <w:jc w:val="center"/>
              <w:textAlignment w:val="baseline"/>
              <w:rPr>
                <w:b/>
                <w:bCs w:val="0"/>
                <w:color w:val="auto"/>
                <w:kern w:val="0"/>
                <w:u w:val="single"/>
              </w:rPr>
            </w:pPr>
            <w:r>
              <w:rPr>
                <w:rFonts w:hint="eastAsia"/>
                <w:b/>
                <w:bCs w:val="0"/>
                <w:color w:val="auto"/>
                <w:kern w:val="0"/>
                <w:u w:val="single"/>
              </w:rPr>
              <w:t>0.1090</w:t>
            </w:r>
          </w:p>
        </w:tc>
        <w:tc>
          <w:tcPr>
            <w:tcW w:w="93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250</w:t>
            </w:r>
          </w:p>
        </w:tc>
        <w:tc>
          <w:tcPr>
            <w:tcW w:w="1340"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exact"/>
        </w:trPr>
        <w:tc>
          <w:tcPr>
            <w:tcW w:w="138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六价铬</w:t>
            </w:r>
          </w:p>
        </w:tc>
        <w:tc>
          <w:tcPr>
            <w:tcW w:w="1950" w:type="dxa"/>
            <w:shd w:val="clear" w:color="auto" w:fill="auto"/>
            <w:vAlign w:val="center"/>
          </w:tcPr>
          <w:p>
            <w:pPr>
              <w:widowControl w:val="0"/>
              <w:jc w:val="center"/>
              <w:rPr>
                <w:b/>
                <w:bCs w:val="0"/>
                <w:color w:val="auto"/>
                <w:u w:val="single"/>
              </w:rPr>
            </w:pPr>
            <w:r>
              <w:rPr>
                <w:b/>
                <w:bCs w:val="0"/>
                <w:color w:val="auto"/>
                <w:u w:val="single"/>
              </w:rPr>
              <w:t>0.0</w:t>
            </w:r>
            <w:r>
              <w:rPr>
                <w:rFonts w:hint="eastAsia"/>
                <w:b/>
                <w:bCs w:val="0"/>
                <w:color w:val="auto"/>
                <w:u w:val="single"/>
              </w:rPr>
              <w:t>723</w:t>
            </w:r>
          </w:p>
        </w:tc>
        <w:tc>
          <w:tcPr>
            <w:tcW w:w="1729"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未检出</w:t>
            </w:r>
          </w:p>
        </w:tc>
        <w:tc>
          <w:tcPr>
            <w:tcW w:w="1198" w:type="dxa"/>
            <w:shd w:val="clear" w:color="auto" w:fill="auto"/>
            <w:vAlign w:val="center"/>
          </w:tcPr>
          <w:p>
            <w:pPr>
              <w:widowControl w:val="0"/>
              <w:adjustRightInd w:val="0"/>
              <w:snapToGrid w:val="0"/>
              <w:jc w:val="center"/>
              <w:textAlignment w:val="baseline"/>
              <w:rPr>
                <w:b/>
                <w:bCs w:val="0"/>
                <w:color w:val="auto"/>
                <w:kern w:val="0"/>
                <w:u w:val="single"/>
              </w:rPr>
            </w:pPr>
            <w:r>
              <w:rPr>
                <w:rFonts w:hint="eastAsia"/>
                <w:b/>
                <w:bCs w:val="0"/>
                <w:color w:val="auto"/>
                <w:kern w:val="0"/>
                <w:u w:val="single"/>
              </w:rPr>
              <w:t>0.0723</w:t>
            </w:r>
            <w:r>
              <w:rPr>
                <w:b/>
                <w:bCs w:val="0"/>
                <w:color w:val="auto"/>
                <w:kern w:val="0"/>
                <w:u w:val="single"/>
              </w:rPr>
              <w:t>1</w:t>
            </w:r>
          </w:p>
        </w:tc>
        <w:tc>
          <w:tcPr>
            <w:tcW w:w="931"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5.7</w:t>
            </w:r>
          </w:p>
        </w:tc>
        <w:tc>
          <w:tcPr>
            <w:tcW w:w="1340" w:type="dxa"/>
            <w:shd w:val="clear" w:color="auto" w:fill="auto"/>
            <w:vAlign w:val="center"/>
          </w:tcPr>
          <w:p>
            <w:pPr>
              <w:widowControl w:val="0"/>
              <w:adjustRightInd w:val="0"/>
              <w:snapToGrid w:val="0"/>
              <w:jc w:val="center"/>
              <w:textAlignment w:val="baseline"/>
              <w:rPr>
                <w:b/>
                <w:bCs w:val="0"/>
                <w:color w:val="auto"/>
                <w:kern w:val="0"/>
                <w:u w:val="single"/>
              </w:rPr>
            </w:pPr>
            <w:r>
              <w:rPr>
                <w:b/>
                <w:bCs w:val="0"/>
                <w:color w:val="auto"/>
                <w:kern w:val="0"/>
                <w:u w:val="single"/>
              </w:rPr>
              <w:t>达标</w:t>
            </w:r>
          </w:p>
        </w:tc>
      </w:tr>
    </w:tbl>
    <w:p>
      <w:pPr>
        <w:adjustRightInd w:val="0"/>
        <w:snapToGrid w:val="0"/>
        <w:spacing w:before="120" w:beforeLines="50" w:line="360" w:lineRule="auto"/>
        <w:ind w:firstLine="482" w:firstLineChars="200"/>
        <w:jc w:val="both"/>
        <w:textAlignment w:val="baseline"/>
        <w:rPr>
          <w:b/>
          <w:bCs/>
          <w:color w:val="auto"/>
          <w:kern w:val="0"/>
          <w:sz w:val="24"/>
          <w:szCs w:val="20"/>
          <w:u w:val="single"/>
        </w:rPr>
      </w:pPr>
      <w:r>
        <w:rPr>
          <w:b/>
          <w:bCs/>
          <w:color w:val="auto"/>
          <w:kern w:val="0"/>
          <w:sz w:val="24"/>
          <w:szCs w:val="20"/>
          <w:u w:val="single"/>
        </w:rPr>
        <w:t>由上表5.6-12可知，本项目镍和六价铬的预测浓度值满足《土壤环境质量-建设用地土壤污染风险管控标准（试行）》（GB36600-2018）表1基本项目的第二类用地筛选值900mg/kg和5.7mg/kg的限值要求。锌和铬的预测浓度值满足参考标准《土壤环境质量-农用地土壤污染风险管控标准（试行）》（GB15618-2018）表1基本项目的筛选值基本项目的筛选值（pH＞7.5，300mg/kg）、（pH＞7.5，250mg/kg）的限值要求。</w:t>
      </w:r>
    </w:p>
    <w:p>
      <w:pPr>
        <w:adjustRightInd w:val="0"/>
        <w:snapToGrid w:val="0"/>
        <w:spacing w:line="360" w:lineRule="auto"/>
        <w:ind w:firstLine="480" w:firstLineChars="200"/>
        <w:textAlignment w:val="baseline"/>
        <w:rPr>
          <w:snapToGrid w:val="0"/>
          <w:color w:val="auto"/>
          <w:kern w:val="0"/>
          <w:sz w:val="24"/>
          <w:szCs w:val="20"/>
        </w:rPr>
      </w:pPr>
      <w:r>
        <w:rPr>
          <w:snapToGrid w:val="0"/>
          <w:color w:val="auto"/>
          <w:kern w:val="0"/>
          <w:sz w:val="24"/>
          <w:szCs w:val="20"/>
        </w:rPr>
        <w:t>综上所述，本项目建成后对土壤环境影响较小，本项目建设可行。</w:t>
      </w:r>
    </w:p>
    <w:bookmarkEnd w:id="350"/>
    <w:bookmarkEnd w:id="351"/>
    <w:bookmarkEnd w:id="352"/>
    <w:p>
      <w:pPr>
        <w:spacing w:line="360" w:lineRule="auto"/>
        <w:rPr>
          <w:color w:val="auto"/>
          <w:sz w:val="24"/>
          <w:szCs w:val="24"/>
        </w:rPr>
      </w:pPr>
      <w:r>
        <w:rPr>
          <w:color w:val="auto"/>
          <w:sz w:val="24"/>
          <w:szCs w:val="24"/>
        </w:rPr>
        <w:t>（2）污染物浓度随空间变化特征</w:t>
      </w:r>
    </w:p>
    <w:p>
      <w:pPr>
        <w:adjustRightInd w:val="0"/>
        <w:snapToGrid w:val="0"/>
        <w:spacing w:line="360" w:lineRule="auto"/>
        <w:ind w:firstLine="480" w:firstLineChars="200"/>
        <w:textAlignment w:val="baseline"/>
        <w:rPr>
          <w:color w:val="auto"/>
          <w:kern w:val="0"/>
          <w:sz w:val="24"/>
          <w:szCs w:val="24"/>
        </w:rPr>
      </w:pPr>
      <w:r>
        <w:rPr>
          <w:color w:val="auto"/>
          <w:sz w:val="24"/>
          <w:szCs w:val="24"/>
        </w:rPr>
        <w:t>土壤剖面信息可以看到每个结果输出时间点污染物浓度随剖面深度的变化情况。</w:t>
      </w:r>
      <w:r>
        <w:rPr>
          <w:color w:val="auto"/>
          <w:kern w:val="0"/>
          <w:sz w:val="24"/>
          <w:szCs w:val="24"/>
        </w:rPr>
        <w:t>污染物浓度随深度变化曲线图见图5.6-7～5.6-10。</w:t>
      </w:r>
    </w:p>
    <w:p>
      <w:pPr>
        <w:pStyle w:val="43"/>
      </w:pPr>
    </w:p>
    <w:p>
      <w:pPr>
        <w:pStyle w:val="43"/>
        <w:jc w:val="center"/>
        <w:rPr>
          <w:color w:val="auto"/>
          <w:kern w:val="0"/>
          <w:sz w:val="24"/>
          <w:szCs w:val="24"/>
        </w:rPr>
      </w:pPr>
      <w:r>
        <w:rPr>
          <w:color w:val="auto"/>
        </w:rPr>
        <w:drawing>
          <wp:inline distT="0" distB="0" distL="0" distR="0">
            <wp:extent cx="4598035" cy="2764155"/>
            <wp:effectExtent l="0" t="0" r="12065" b="17145"/>
            <wp:docPr id="9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5"/>
                    <pic:cNvPicPr>
                      <a:picLocks noChangeAspect="1"/>
                    </pic:cNvPicPr>
                  </pic:nvPicPr>
                  <pic:blipFill>
                    <a:blip r:embed="rId140"/>
                    <a:stretch>
                      <a:fillRect/>
                    </a:stretch>
                  </pic:blipFill>
                  <pic:spPr>
                    <a:xfrm>
                      <a:off x="0" y="0"/>
                      <a:ext cx="4606022" cy="2764155"/>
                    </a:xfrm>
                    <a:prstGeom prst="rect">
                      <a:avLst/>
                    </a:prstGeom>
                    <a:noFill/>
                    <a:ln>
                      <a:noFill/>
                    </a:ln>
                  </pic:spPr>
                </pic:pic>
              </a:graphicData>
            </a:graphic>
          </wp:inline>
        </w:drawing>
      </w:r>
    </w:p>
    <w:p>
      <w:pPr>
        <w:jc w:val="both"/>
        <w:rPr>
          <w:rFonts w:eastAsia="黑体"/>
          <w:b/>
          <w:bCs/>
          <w:color w:val="auto"/>
          <w:sz w:val="24"/>
          <w:szCs w:val="24"/>
          <w:u w:val="single"/>
        </w:rPr>
      </w:pPr>
    </w:p>
    <w:p>
      <w:pPr>
        <w:ind w:firstLine="1928" w:firstLineChars="800"/>
        <w:jc w:val="both"/>
        <w:rPr>
          <w:rFonts w:eastAsia="黑体"/>
          <w:b/>
          <w:bCs/>
          <w:color w:val="auto"/>
          <w:sz w:val="24"/>
          <w:szCs w:val="24"/>
          <w:u w:val="single"/>
        </w:rPr>
      </w:pPr>
      <w:r>
        <w:rPr>
          <w:rFonts w:eastAsia="黑体"/>
          <w:b/>
          <w:bCs/>
          <w:color w:val="auto"/>
          <w:sz w:val="24"/>
          <w:szCs w:val="24"/>
          <w:u w:val="single"/>
        </w:rPr>
        <w:t>图5.6-7  土壤中总镍浓度—深度曲线图</w:t>
      </w: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rPr>
          <w:color w:val="auto"/>
        </w:rPr>
      </w:pPr>
    </w:p>
    <w:p>
      <w:pPr>
        <w:rPr>
          <w:color w:val="auto"/>
        </w:rPr>
      </w:pPr>
      <w:r>
        <w:rPr>
          <w:color w:val="auto"/>
        </w:rPr>
        <w:t xml:space="preserve"> </w:t>
      </w:r>
    </w:p>
    <w:p>
      <w:pPr>
        <w:jc w:val="center"/>
        <w:rPr>
          <w:color w:val="auto"/>
          <w:sz w:val="24"/>
          <w:szCs w:val="24"/>
        </w:rPr>
      </w:pPr>
      <w:r>
        <w:rPr>
          <w:color w:val="auto"/>
        </w:rPr>
        <w:drawing>
          <wp:inline distT="0" distB="0" distL="114300" distR="114300">
            <wp:extent cx="4584065" cy="2755265"/>
            <wp:effectExtent l="0" t="0" r="6985" b="6985"/>
            <wp:docPr id="1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8"/>
                    <pic:cNvPicPr>
                      <a:picLocks noChangeAspect="1"/>
                    </pic:cNvPicPr>
                  </pic:nvPicPr>
                  <pic:blipFill>
                    <a:blip r:embed="rId141"/>
                    <a:stretch>
                      <a:fillRect/>
                    </a:stretch>
                  </pic:blipFill>
                  <pic:spPr>
                    <a:xfrm>
                      <a:off x="0" y="0"/>
                      <a:ext cx="4584065" cy="2755265"/>
                    </a:xfrm>
                    <a:prstGeom prst="rect">
                      <a:avLst/>
                    </a:prstGeom>
                    <a:noFill/>
                    <a:ln>
                      <a:noFill/>
                    </a:ln>
                  </pic:spPr>
                </pic:pic>
              </a:graphicData>
            </a:graphic>
          </wp:inline>
        </w:drawing>
      </w:r>
    </w:p>
    <w:p>
      <w:pPr>
        <w:jc w:val="center"/>
        <w:rPr>
          <w:rFonts w:eastAsia="黑体"/>
          <w:b/>
          <w:bCs/>
          <w:color w:val="auto"/>
          <w:sz w:val="24"/>
          <w:szCs w:val="24"/>
          <w:u w:val="single"/>
        </w:rPr>
      </w:pPr>
      <w:r>
        <w:rPr>
          <w:rFonts w:eastAsia="黑体"/>
          <w:b/>
          <w:bCs/>
          <w:color w:val="auto"/>
          <w:sz w:val="24"/>
          <w:szCs w:val="24"/>
          <w:u w:val="single"/>
        </w:rPr>
        <w:t>图5.6-8  土壤中总锌浓度—深度曲线图</w:t>
      </w:r>
    </w:p>
    <w:p>
      <w:pPr>
        <w:pStyle w:val="43"/>
        <w:rPr>
          <w:color w:val="auto"/>
        </w:rPr>
      </w:pPr>
    </w:p>
    <w:p>
      <w:pPr>
        <w:pStyle w:val="43"/>
        <w:rPr>
          <w:color w:val="auto"/>
        </w:rPr>
      </w:pPr>
    </w:p>
    <w:p>
      <w:pPr>
        <w:jc w:val="center"/>
        <w:rPr>
          <w:color w:val="auto"/>
          <w:sz w:val="24"/>
          <w:szCs w:val="24"/>
        </w:rPr>
      </w:pPr>
      <w:r>
        <w:rPr>
          <w:color w:val="auto"/>
        </w:rPr>
        <w:drawing>
          <wp:inline distT="0" distB="0" distL="114300" distR="114300">
            <wp:extent cx="4584065" cy="2755265"/>
            <wp:effectExtent l="0" t="0" r="6985" b="6985"/>
            <wp:docPr id="6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31"/>
                    <pic:cNvPicPr>
                      <a:picLocks noChangeAspect="1"/>
                    </pic:cNvPicPr>
                  </pic:nvPicPr>
                  <pic:blipFill>
                    <a:blip r:embed="rId142"/>
                    <a:stretch>
                      <a:fillRect/>
                    </a:stretch>
                  </pic:blipFill>
                  <pic:spPr>
                    <a:xfrm>
                      <a:off x="0" y="0"/>
                      <a:ext cx="4584065" cy="2755265"/>
                    </a:xfrm>
                    <a:prstGeom prst="rect">
                      <a:avLst/>
                    </a:prstGeom>
                    <a:noFill/>
                    <a:ln>
                      <a:noFill/>
                    </a:ln>
                  </pic:spPr>
                </pic:pic>
              </a:graphicData>
            </a:graphic>
          </wp:inline>
        </w:drawing>
      </w:r>
    </w:p>
    <w:p>
      <w:pPr>
        <w:jc w:val="center"/>
        <w:rPr>
          <w:rFonts w:eastAsia="黑体"/>
          <w:b/>
          <w:bCs/>
          <w:color w:val="auto"/>
          <w:sz w:val="24"/>
          <w:szCs w:val="24"/>
          <w:u w:val="single"/>
        </w:rPr>
      </w:pPr>
      <w:r>
        <w:rPr>
          <w:rFonts w:eastAsia="黑体"/>
          <w:b/>
          <w:bCs/>
          <w:color w:val="auto"/>
          <w:sz w:val="24"/>
          <w:szCs w:val="24"/>
          <w:u w:val="single"/>
        </w:rPr>
        <w:t>图5.6-9 土壤中总铬浓度—深度曲线图</w:t>
      </w: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pStyle w:val="43"/>
        <w:rPr>
          <w:rFonts w:eastAsia="黑体"/>
          <w:b/>
          <w:bCs/>
          <w:color w:val="auto"/>
          <w:sz w:val="24"/>
          <w:szCs w:val="24"/>
          <w:u w:val="single"/>
        </w:rPr>
      </w:pPr>
    </w:p>
    <w:p>
      <w:pPr>
        <w:jc w:val="center"/>
        <w:rPr>
          <w:color w:val="auto"/>
          <w:sz w:val="24"/>
          <w:szCs w:val="24"/>
        </w:rPr>
      </w:pPr>
      <w:r>
        <w:rPr>
          <w:color w:val="auto"/>
        </w:rPr>
        <w:drawing>
          <wp:inline distT="0" distB="0" distL="114300" distR="114300">
            <wp:extent cx="4584065" cy="2755265"/>
            <wp:effectExtent l="0" t="0" r="6985" b="6985"/>
            <wp:docPr id="6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32"/>
                    <pic:cNvPicPr>
                      <a:picLocks noChangeAspect="1"/>
                    </pic:cNvPicPr>
                  </pic:nvPicPr>
                  <pic:blipFill>
                    <a:blip r:embed="rId143"/>
                    <a:stretch>
                      <a:fillRect/>
                    </a:stretch>
                  </pic:blipFill>
                  <pic:spPr>
                    <a:xfrm>
                      <a:off x="0" y="0"/>
                      <a:ext cx="4584065" cy="2755265"/>
                    </a:xfrm>
                    <a:prstGeom prst="rect">
                      <a:avLst/>
                    </a:prstGeom>
                    <a:noFill/>
                    <a:ln>
                      <a:noFill/>
                    </a:ln>
                  </pic:spPr>
                </pic:pic>
              </a:graphicData>
            </a:graphic>
          </wp:inline>
        </w:drawing>
      </w:r>
    </w:p>
    <w:p>
      <w:pPr>
        <w:jc w:val="center"/>
        <w:rPr>
          <w:b/>
          <w:bCs/>
          <w:color w:val="auto"/>
          <w:u w:val="single"/>
        </w:rPr>
      </w:pPr>
      <w:r>
        <w:rPr>
          <w:rFonts w:eastAsia="黑体"/>
          <w:b/>
          <w:bCs/>
          <w:color w:val="auto"/>
          <w:sz w:val="24"/>
          <w:szCs w:val="24"/>
          <w:u w:val="single"/>
        </w:rPr>
        <w:t>图5.6-10 土壤中六价铬浓度—深度曲线图</w:t>
      </w:r>
    </w:p>
    <w:p>
      <w:pPr>
        <w:spacing w:line="360" w:lineRule="auto"/>
        <w:ind w:firstLine="482" w:firstLineChars="200"/>
        <w:rPr>
          <w:b/>
          <w:bCs/>
          <w:color w:val="auto"/>
          <w:u w:val="single"/>
        </w:rPr>
      </w:pPr>
      <w:r>
        <w:rPr>
          <w:b/>
          <w:bCs/>
          <w:color w:val="auto"/>
          <w:sz w:val="24"/>
          <w:szCs w:val="24"/>
          <w:u w:val="single"/>
        </w:rPr>
        <w:t>由图5.6-7～5.6-10可以看出，随着时间的推移，污染物浓度镍、锌和铬在土壤中随时间不断向下迁移，且峰值数据不断降低，说明迁移过程中污染浓度不断降低，在迁移至深度2m左右，各污染物浓度降为0，土壤中污染物浓度趋于稳定</w:t>
      </w:r>
      <w:r>
        <w:rPr>
          <w:rFonts w:hint="eastAsia"/>
          <w:b/>
          <w:bCs/>
          <w:color w:val="auto"/>
          <w:sz w:val="24"/>
          <w:szCs w:val="24"/>
          <w:u w:val="single"/>
          <w:lang w:eastAsia="zh-CN"/>
        </w:rPr>
        <w:t>不再往下</w:t>
      </w:r>
      <w:r>
        <w:rPr>
          <w:b/>
          <w:bCs/>
          <w:color w:val="auto"/>
          <w:sz w:val="24"/>
          <w:szCs w:val="24"/>
          <w:u w:val="single"/>
        </w:rPr>
        <w:t>迁移。</w:t>
      </w:r>
    </w:p>
    <w:p>
      <w:pPr>
        <w:spacing w:line="360" w:lineRule="auto"/>
        <w:ind w:firstLine="480" w:firstLineChars="200"/>
        <w:rPr>
          <w:color w:val="auto"/>
          <w:kern w:val="0"/>
          <w:sz w:val="24"/>
          <w:szCs w:val="20"/>
        </w:rPr>
      </w:pPr>
      <w:r>
        <w:rPr>
          <w:color w:val="auto"/>
          <w:kern w:val="0"/>
          <w:sz w:val="24"/>
          <w:szCs w:val="20"/>
        </w:rPr>
        <w:t>本次评价模拟时间段内污染物总镍、总锌、总铬和六价铬随入渗时间、不同土壤深度浓度的变化趋势说明土壤对污染物的运移有一定的阻滞作用，厂址处的地层结构包气带有一定的防污性能。评价要求建设单位应加强污水处理设施的运维，定期对污水处理单元防渗层进行检查，减少非正常工况下的</w:t>
      </w:r>
      <w:r>
        <w:rPr>
          <w:rFonts w:hint="eastAsia"/>
          <w:color w:val="auto"/>
          <w:kern w:val="0"/>
          <w:sz w:val="24"/>
          <w:szCs w:val="20"/>
        </w:rPr>
        <w:t>“</w:t>
      </w:r>
      <w:r>
        <w:rPr>
          <w:color w:val="auto"/>
          <w:kern w:val="0"/>
          <w:sz w:val="24"/>
          <w:szCs w:val="20"/>
        </w:rPr>
        <w:t>跑冒滴漏</w:t>
      </w:r>
      <w:r>
        <w:rPr>
          <w:rFonts w:hint="eastAsia"/>
          <w:color w:val="auto"/>
          <w:kern w:val="0"/>
          <w:sz w:val="24"/>
          <w:szCs w:val="20"/>
        </w:rPr>
        <w:t>”</w:t>
      </w:r>
      <w:r>
        <w:rPr>
          <w:color w:val="auto"/>
          <w:kern w:val="0"/>
          <w:sz w:val="24"/>
          <w:szCs w:val="20"/>
        </w:rPr>
        <w:t>。同时，按导则要求每3年对附近土壤进行跟踪监测，及时掌握了解土壤变化状况，以便及时发现问题并及时采取措施。</w:t>
      </w:r>
    </w:p>
    <w:p>
      <w:pPr>
        <w:adjustRightInd w:val="0"/>
        <w:snapToGrid w:val="0"/>
        <w:spacing w:line="360" w:lineRule="auto"/>
        <w:ind w:firstLine="480" w:firstLineChars="200"/>
        <w:textAlignment w:val="baseline"/>
        <w:rPr>
          <w:color w:val="auto"/>
          <w:kern w:val="0"/>
          <w:sz w:val="24"/>
          <w:szCs w:val="20"/>
        </w:rPr>
      </w:pPr>
      <w:r>
        <w:rPr>
          <w:color w:val="auto"/>
          <w:kern w:val="0"/>
          <w:sz w:val="24"/>
          <w:szCs w:val="20"/>
        </w:rPr>
        <w:t>评价认为，建设单位在施工期严格落实防渗技术规范，运营期内加强设施运维及检修的情况下，本项目对土壤环境影响很小。</w:t>
      </w:r>
    </w:p>
    <w:p>
      <w:pPr>
        <w:pStyle w:val="5"/>
        <w:spacing w:before="0" w:beforeLines="0" w:after="0" w:afterLines="0"/>
        <w:rPr>
          <w:bCs w:val="0"/>
          <w:color w:val="auto"/>
          <w:kern w:val="21"/>
          <w:sz w:val="28"/>
          <w:szCs w:val="28"/>
        </w:rPr>
      </w:pPr>
      <w:r>
        <w:rPr>
          <w:bCs w:val="0"/>
          <w:color w:val="auto"/>
          <w:kern w:val="21"/>
          <w:sz w:val="28"/>
          <w:szCs w:val="28"/>
        </w:rPr>
        <w:t>5.6</w:t>
      </w:r>
      <w:r>
        <w:rPr>
          <w:rFonts w:hint="eastAsia"/>
          <w:bCs w:val="0"/>
          <w:color w:val="auto"/>
          <w:kern w:val="21"/>
          <w:sz w:val="28"/>
          <w:szCs w:val="28"/>
        </w:rPr>
        <w:t>.</w:t>
      </w:r>
      <w:r>
        <w:rPr>
          <w:bCs w:val="0"/>
          <w:color w:val="auto"/>
          <w:kern w:val="21"/>
          <w:sz w:val="28"/>
          <w:szCs w:val="28"/>
        </w:rPr>
        <w:t>5土壤环境影响评价自查表</w:t>
      </w:r>
    </w:p>
    <w:p>
      <w:pPr>
        <w:spacing w:line="360" w:lineRule="auto"/>
        <w:ind w:firstLine="360" w:firstLineChars="150"/>
        <w:rPr>
          <w:color w:val="auto"/>
          <w:sz w:val="24"/>
          <w:szCs w:val="24"/>
        </w:rPr>
      </w:pPr>
      <w:r>
        <w:rPr>
          <w:color w:val="auto"/>
          <w:sz w:val="24"/>
          <w:szCs w:val="24"/>
        </w:rPr>
        <w:t>本项目土壤环境影响评价自查表见表5.6-13。</w:t>
      </w:r>
    </w:p>
    <w:p>
      <w:pPr>
        <w:jc w:val="center"/>
        <w:rPr>
          <w:rFonts w:eastAsia="黑体"/>
          <w:color w:val="auto"/>
          <w:sz w:val="24"/>
          <w:szCs w:val="24"/>
        </w:rPr>
      </w:pPr>
      <w:r>
        <w:rPr>
          <w:rFonts w:eastAsia="黑体"/>
          <w:color w:val="auto"/>
          <w:sz w:val="24"/>
          <w:szCs w:val="24"/>
        </w:rPr>
        <w:t>表5.6-13 本项目土壤环境影响评价自查表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1658"/>
        <w:gridCol w:w="1390"/>
        <w:gridCol w:w="1192"/>
        <w:gridCol w:w="1192"/>
        <w:gridCol w:w="1458"/>
        <w:gridCol w:w="11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pct"/>
            <w:gridSpan w:val="2"/>
            <w:shd w:val="clear" w:color="auto" w:fill="auto"/>
            <w:vAlign w:val="center"/>
          </w:tcPr>
          <w:p>
            <w:pPr>
              <w:jc w:val="center"/>
              <w:rPr>
                <w:b/>
                <w:bCs/>
                <w:color w:val="auto"/>
                <w:kern w:val="0"/>
              </w:rPr>
            </w:pPr>
            <w:r>
              <w:rPr>
                <w:b/>
                <w:bCs/>
                <w:color w:val="auto"/>
                <w:kern w:val="0"/>
              </w:rPr>
              <w:t>工作内容</w:t>
            </w:r>
          </w:p>
        </w:tc>
        <w:tc>
          <w:tcPr>
            <w:tcW w:w="3068" w:type="pct"/>
            <w:gridSpan w:val="4"/>
            <w:shd w:val="clear" w:color="auto" w:fill="auto"/>
            <w:vAlign w:val="center"/>
          </w:tcPr>
          <w:p>
            <w:pPr>
              <w:jc w:val="center"/>
              <w:rPr>
                <w:b/>
                <w:bCs/>
                <w:color w:val="auto"/>
                <w:kern w:val="0"/>
              </w:rPr>
            </w:pPr>
            <w:r>
              <w:rPr>
                <w:b/>
                <w:bCs/>
                <w:color w:val="auto"/>
                <w:kern w:val="0"/>
              </w:rPr>
              <w:t>完成情况</w:t>
            </w:r>
          </w:p>
        </w:tc>
        <w:tc>
          <w:tcPr>
            <w:tcW w:w="647" w:type="pct"/>
            <w:shd w:val="clear" w:color="auto" w:fill="auto"/>
            <w:vAlign w:val="center"/>
          </w:tcPr>
          <w:p>
            <w:pPr>
              <w:jc w:val="center"/>
              <w:rPr>
                <w:b/>
                <w:bCs/>
                <w:color w:val="auto"/>
                <w:kern w:val="0"/>
              </w:rPr>
            </w:pPr>
            <w:r>
              <w:rPr>
                <w:b/>
                <w:bCs/>
                <w:color w:val="auto"/>
                <w:kern w:val="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restart"/>
            <w:shd w:val="clear" w:color="auto" w:fill="auto"/>
            <w:vAlign w:val="center"/>
          </w:tcPr>
          <w:p>
            <w:pPr>
              <w:jc w:val="center"/>
              <w:rPr>
                <w:color w:val="auto"/>
                <w:kern w:val="0"/>
              </w:rPr>
            </w:pPr>
            <w:r>
              <w:rPr>
                <w:color w:val="auto"/>
                <w:kern w:val="0"/>
              </w:rPr>
              <w:t>影响识别</w:t>
            </w:r>
          </w:p>
        </w:tc>
        <w:tc>
          <w:tcPr>
            <w:tcW w:w="972" w:type="pct"/>
            <w:shd w:val="clear" w:color="auto" w:fill="auto"/>
            <w:vAlign w:val="center"/>
          </w:tcPr>
          <w:p>
            <w:pPr>
              <w:jc w:val="center"/>
              <w:rPr>
                <w:color w:val="auto"/>
                <w:kern w:val="0"/>
              </w:rPr>
            </w:pPr>
            <w:r>
              <w:rPr>
                <w:color w:val="auto"/>
                <w:kern w:val="0"/>
              </w:rPr>
              <w:t>影响类型</w:t>
            </w:r>
          </w:p>
        </w:tc>
        <w:tc>
          <w:tcPr>
            <w:tcW w:w="3068" w:type="pct"/>
            <w:gridSpan w:val="4"/>
            <w:shd w:val="clear" w:color="auto" w:fill="auto"/>
            <w:vAlign w:val="center"/>
          </w:tcPr>
          <w:p>
            <w:pPr>
              <w:jc w:val="center"/>
              <w:rPr>
                <w:color w:val="auto"/>
                <w:kern w:val="0"/>
              </w:rPr>
            </w:pPr>
            <w:r>
              <w:rPr>
                <w:color w:val="auto"/>
                <w:kern w:val="0"/>
              </w:rPr>
              <w:t>污染影响型</w:t>
            </w:r>
            <w:r>
              <w:rPr>
                <w:rFonts w:hint="eastAsia" w:ascii="MS Gothic" w:hAnsi="MS Gothic" w:eastAsia="MS Gothic" w:cs="MS Gothic"/>
                <w:color w:val="auto"/>
                <w:kern w:val="0"/>
              </w:rPr>
              <w:t>☑</w:t>
            </w:r>
            <w:r>
              <w:rPr>
                <w:color w:val="auto"/>
                <w:kern w:val="0"/>
              </w:rPr>
              <w:t>；生态影响型</w:t>
            </w:r>
            <w:r>
              <w:rPr>
                <w:color w:val="auto"/>
                <w:kern w:val="0"/>
                <w:lang w:bidi="ar"/>
              </w:rPr>
              <w:t>□</w:t>
            </w:r>
            <w:r>
              <w:rPr>
                <w:color w:val="auto"/>
                <w:kern w:val="0"/>
              </w:rPr>
              <w:t>；两种兼有</w:t>
            </w:r>
            <w:r>
              <w:rPr>
                <w:color w:val="auto"/>
                <w:kern w:val="0"/>
                <w:lang w:bidi="ar"/>
              </w:rPr>
              <w:t>□</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土地利用类型</w:t>
            </w:r>
          </w:p>
        </w:tc>
        <w:tc>
          <w:tcPr>
            <w:tcW w:w="3068" w:type="pct"/>
            <w:gridSpan w:val="4"/>
            <w:shd w:val="clear" w:color="auto" w:fill="auto"/>
            <w:vAlign w:val="center"/>
          </w:tcPr>
          <w:p>
            <w:pPr>
              <w:jc w:val="center"/>
              <w:rPr>
                <w:color w:val="auto"/>
                <w:kern w:val="0"/>
              </w:rPr>
            </w:pPr>
            <w:r>
              <w:rPr>
                <w:color w:val="auto"/>
                <w:kern w:val="0"/>
              </w:rPr>
              <w:t>建设用地</w:t>
            </w:r>
            <w:r>
              <w:rPr>
                <w:rFonts w:hint="eastAsia" w:ascii="MS Gothic" w:hAnsi="MS Gothic" w:eastAsia="MS Gothic" w:cs="MS Gothic"/>
                <w:color w:val="auto"/>
                <w:kern w:val="0"/>
              </w:rPr>
              <w:t>☑</w:t>
            </w:r>
            <w:r>
              <w:rPr>
                <w:color w:val="auto"/>
                <w:kern w:val="0"/>
              </w:rPr>
              <w:t>；农用地</w:t>
            </w:r>
            <w:r>
              <w:rPr>
                <w:color w:val="auto"/>
                <w:kern w:val="0"/>
                <w:lang w:bidi="ar"/>
              </w:rPr>
              <w:t>□</w:t>
            </w:r>
            <w:r>
              <w:rPr>
                <w:color w:val="auto"/>
                <w:kern w:val="0"/>
              </w:rPr>
              <w:t>；未利用地</w:t>
            </w:r>
            <w:r>
              <w:rPr>
                <w:color w:val="auto"/>
                <w:kern w:val="0"/>
                <w:lang w:bidi="ar"/>
              </w:rPr>
              <w:t>□</w:t>
            </w:r>
          </w:p>
        </w:tc>
        <w:tc>
          <w:tcPr>
            <w:tcW w:w="647" w:type="pct"/>
            <w:shd w:val="clear" w:color="auto" w:fill="auto"/>
            <w:vAlign w:val="center"/>
          </w:tcPr>
          <w:p>
            <w:pPr>
              <w:jc w:val="center"/>
              <w:rPr>
                <w:color w:val="auto"/>
                <w:kern w:val="0"/>
              </w:rPr>
            </w:pPr>
            <w:r>
              <w:rPr>
                <w:color w:val="auto"/>
                <w:kern w:val="0"/>
              </w:rPr>
              <w:t>土地利用类型图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占地规模</w:t>
            </w:r>
          </w:p>
        </w:tc>
        <w:tc>
          <w:tcPr>
            <w:tcW w:w="3068" w:type="pct"/>
            <w:gridSpan w:val="4"/>
            <w:shd w:val="clear" w:color="auto" w:fill="auto"/>
            <w:vAlign w:val="center"/>
          </w:tcPr>
          <w:p>
            <w:pPr>
              <w:jc w:val="center"/>
              <w:rPr>
                <w:color w:val="auto"/>
                <w:kern w:val="0"/>
              </w:rPr>
            </w:pPr>
            <w:r>
              <w:rPr>
                <w:color w:val="auto"/>
                <w:kern w:val="0"/>
              </w:rPr>
              <w:t>（2.8）hm</w:t>
            </w:r>
            <w:r>
              <w:rPr>
                <w:color w:val="auto"/>
                <w:kern w:val="0"/>
                <w:vertAlign w:val="superscript"/>
              </w:rPr>
              <w:t>2</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敏感目标信息</w:t>
            </w:r>
          </w:p>
        </w:tc>
        <w:tc>
          <w:tcPr>
            <w:tcW w:w="3068" w:type="pct"/>
            <w:gridSpan w:val="4"/>
            <w:shd w:val="clear" w:color="auto" w:fill="auto"/>
            <w:vAlign w:val="center"/>
          </w:tcPr>
          <w:p>
            <w:pPr>
              <w:jc w:val="center"/>
              <w:rPr>
                <w:color w:val="auto"/>
                <w:kern w:val="0"/>
              </w:rPr>
            </w:pPr>
            <w:r>
              <w:rPr>
                <w:color w:val="auto"/>
                <w:kern w:val="0"/>
              </w:rPr>
              <w:t>敏感目标（前李村）、方位（N</w:t>
            </w:r>
            <w:r>
              <w:rPr>
                <w:rFonts w:hint="eastAsia"/>
                <w:color w:val="auto"/>
                <w:kern w:val="0"/>
                <w:lang w:val="en-US" w:eastAsia="zh-CN"/>
              </w:rPr>
              <w:t>E</w:t>
            </w:r>
            <w:r>
              <w:rPr>
                <w:color w:val="auto"/>
                <w:kern w:val="0"/>
              </w:rPr>
              <w:t>）、距离（276m）</w:t>
            </w:r>
          </w:p>
        </w:tc>
        <w:tc>
          <w:tcPr>
            <w:tcW w:w="647" w:type="pct"/>
            <w:shd w:val="clear" w:color="auto" w:fill="auto"/>
            <w:vAlign w:val="center"/>
          </w:tcPr>
          <w:p>
            <w:pPr>
              <w:jc w:val="center"/>
              <w:rPr>
                <w:color w:val="auto"/>
                <w:kern w:val="0"/>
              </w:rPr>
            </w:pPr>
            <w:r>
              <w:rPr>
                <w:color w:val="auto"/>
                <w:kern w:val="0"/>
              </w:rPr>
              <w:t>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影响途径</w:t>
            </w:r>
          </w:p>
        </w:tc>
        <w:tc>
          <w:tcPr>
            <w:tcW w:w="3068" w:type="pct"/>
            <w:gridSpan w:val="4"/>
            <w:shd w:val="clear" w:color="auto" w:fill="auto"/>
            <w:vAlign w:val="center"/>
          </w:tcPr>
          <w:p>
            <w:pPr>
              <w:jc w:val="center"/>
              <w:rPr>
                <w:color w:val="auto"/>
                <w:kern w:val="0"/>
              </w:rPr>
            </w:pPr>
            <w:r>
              <w:rPr>
                <w:color w:val="auto"/>
                <w:kern w:val="0"/>
              </w:rPr>
              <w:t>大气沉降</w:t>
            </w:r>
            <w:r>
              <w:rPr>
                <w:rFonts w:hint="eastAsia" w:ascii="MS Gothic" w:hAnsi="MS Gothic" w:eastAsia="MS Gothic" w:cs="MS Gothic"/>
                <w:color w:val="auto"/>
                <w:kern w:val="0"/>
              </w:rPr>
              <w:t>☑</w:t>
            </w:r>
            <w:r>
              <w:rPr>
                <w:color w:val="auto"/>
                <w:kern w:val="0"/>
              </w:rPr>
              <w:t>；地面漫流</w:t>
            </w:r>
            <w:r>
              <w:rPr>
                <w:color w:val="auto"/>
                <w:kern w:val="0"/>
                <w:lang w:bidi="ar"/>
              </w:rPr>
              <w:t>□</w:t>
            </w:r>
            <w:r>
              <w:rPr>
                <w:color w:val="auto"/>
                <w:kern w:val="0"/>
              </w:rPr>
              <w:t>；垂直入渗</w:t>
            </w:r>
            <w:r>
              <w:rPr>
                <w:rFonts w:hint="eastAsia" w:ascii="MS Gothic" w:hAnsi="MS Gothic" w:eastAsia="MS Gothic" w:cs="MS Gothic"/>
                <w:color w:val="auto"/>
                <w:kern w:val="0"/>
              </w:rPr>
              <w:t>☑</w:t>
            </w:r>
            <w:r>
              <w:rPr>
                <w:color w:val="auto"/>
                <w:kern w:val="0"/>
              </w:rPr>
              <w:t>；地下水位</w:t>
            </w:r>
            <w:r>
              <w:rPr>
                <w:color w:val="auto"/>
                <w:kern w:val="0"/>
                <w:lang w:bidi="ar"/>
              </w:rPr>
              <w:t>□</w:t>
            </w:r>
            <w:r>
              <w:rPr>
                <w:color w:val="auto"/>
                <w:kern w:val="0"/>
              </w:rPr>
              <w:t>；其他</w:t>
            </w:r>
            <w:r>
              <w:rPr>
                <w:color w:val="auto"/>
                <w:kern w:val="0"/>
                <w:lang w:bidi="ar"/>
              </w:rPr>
              <w:t>□</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全部污染物</w:t>
            </w:r>
          </w:p>
        </w:tc>
        <w:tc>
          <w:tcPr>
            <w:tcW w:w="3068" w:type="pct"/>
            <w:gridSpan w:val="4"/>
            <w:shd w:val="clear" w:color="auto" w:fill="auto"/>
            <w:vAlign w:val="center"/>
          </w:tcPr>
          <w:p>
            <w:pPr>
              <w:jc w:val="center"/>
              <w:rPr>
                <w:color w:val="auto"/>
                <w:kern w:val="0"/>
              </w:rPr>
            </w:pPr>
            <w:r>
              <w:rPr>
                <w:color w:val="auto"/>
                <w:kern w:val="0"/>
              </w:rPr>
              <w:t>氯化氢、硫酸雾、铬酸雾、</w:t>
            </w:r>
            <w:r>
              <w:rPr>
                <w:rFonts w:hint="eastAsia"/>
                <w:color w:val="auto"/>
                <w:kern w:val="0"/>
              </w:rPr>
              <w:t>氨</w:t>
            </w:r>
            <w:r>
              <w:rPr>
                <w:color w:val="auto"/>
                <w:kern w:val="0"/>
              </w:rPr>
              <w:t>、</w:t>
            </w:r>
            <w:r>
              <w:rPr>
                <w:rFonts w:hint="eastAsia"/>
                <w:color w:val="auto"/>
                <w:kern w:val="0"/>
              </w:rPr>
              <w:t>硫化氢</w:t>
            </w:r>
            <w:r>
              <w:rPr>
                <w:color w:val="auto"/>
                <w:kern w:val="0"/>
              </w:rPr>
              <w:t>、</w:t>
            </w:r>
            <w:r>
              <w:rPr>
                <w:rFonts w:hint="eastAsia"/>
                <w:color w:val="auto"/>
                <w:kern w:val="0"/>
              </w:rPr>
              <w:t>颗粒物</w:t>
            </w:r>
            <w:r>
              <w:rPr>
                <w:color w:val="auto"/>
                <w:kern w:val="0"/>
              </w:rPr>
              <w:t>、SO</w:t>
            </w:r>
            <w:r>
              <w:rPr>
                <w:color w:val="auto"/>
                <w:kern w:val="0"/>
                <w:vertAlign w:val="subscript"/>
              </w:rPr>
              <w:t>2</w:t>
            </w:r>
            <w:r>
              <w:rPr>
                <w:color w:val="auto"/>
                <w:kern w:val="0"/>
              </w:rPr>
              <w:t>、NOx，COD、氨氮、SS、TN、TP、石油类、总镍、总铬、总锌、六价铬</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特征因子</w:t>
            </w:r>
          </w:p>
        </w:tc>
        <w:tc>
          <w:tcPr>
            <w:tcW w:w="3068" w:type="pct"/>
            <w:gridSpan w:val="4"/>
            <w:shd w:val="clear" w:color="auto" w:fill="auto"/>
            <w:vAlign w:val="center"/>
          </w:tcPr>
          <w:p>
            <w:pPr>
              <w:jc w:val="center"/>
              <w:rPr>
                <w:color w:val="auto"/>
                <w:kern w:val="0"/>
              </w:rPr>
            </w:pPr>
            <w:r>
              <w:rPr>
                <w:color w:val="auto"/>
                <w:kern w:val="0"/>
              </w:rPr>
              <w:t>氯化氢、</w:t>
            </w:r>
            <w:r>
              <w:rPr>
                <w:rFonts w:hint="eastAsia"/>
                <w:color w:val="auto"/>
                <w:kern w:val="0"/>
              </w:rPr>
              <w:t>氨</w:t>
            </w:r>
            <w:r>
              <w:rPr>
                <w:color w:val="auto"/>
                <w:kern w:val="0"/>
              </w:rPr>
              <w:t>、</w:t>
            </w:r>
            <w:r>
              <w:rPr>
                <w:rFonts w:hint="eastAsia"/>
                <w:color w:val="auto"/>
                <w:kern w:val="0"/>
              </w:rPr>
              <w:t>硫化氢</w:t>
            </w:r>
            <w:r>
              <w:rPr>
                <w:color w:val="auto"/>
                <w:kern w:val="0"/>
              </w:rPr>
              <w:t>、总镍、总铬、六价铬、总锌</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所属土壤环境影响评价项目类别</w:t>
            </w:r>
          </w:p>
        </w:tc>
        <w:tc>
          <w:tcPr>
            <w:tcW w:w="3068" w:type="pct"/>
            <w:gridSpan w:val="4"/>
            <w:shd w:val="clear" w:color="auto" w:fill="auto"/>
            <w:vAlign w:val="center"/>
          </w:tcPr>
          <w:p>
            <w:pPr>
              <w:jc w:val="center"/>
              <w:rPr>
                <w:color w:val="auto"/>
                <w:kern w:val="0"/>
              </w:rPr>
            </w:pPr>
            <w:r>
              <w:rPr>
                <w:color w:val="auto"/>
                <w:kern w:val="0"/>
              </w:rPr>
              <w:fldChar w:fldCharType="begin"/>
            </w:r>
            <w:r>
              <w:rPr>
                <w:color w:val="auto"/>
                <w:kern w:val="0"/>
              </w:rPr>
              <w:instrText xml:space="preserve"> = 1 \* ROMAN </w:instrText>
            </w:r>
            <w:r>
              <w:rPr>
                <w:color w:val="auto"/>
                <w:kern w:val="0"/>
              </w:rPr>
              <w:fldChar w:fldCharType="separate"/>
            </w:r>
            <w:r>
              <w:rPr>
                <w:color w:val="auto"/>
                <w:kern w:val="0"/>
              </w:rPr>
              <w:t>I</w:t>
            </w:r>
            <w:r>
              <w:rPr>
                <w:color w:val="auto"/>
                <w:kern w:val="0"/>
              </w:rPr>
              <w:fldChar w:fldCharType="end"/>
            </w:r>
            <w:r>
              <w:rPr>
                <w:color w:val="auto"/>
                <w:kern w:val="0"/>
              </w:rPr>
              <w:t>类</w:t>
            </w:r>
            <w:r>
              <w:rPr>
                <w:rFonts w:hint="eastAsia" w:ascii="MS Gothic" w:hAnsi="MS Gothic" w:eastAsia="MS Gothic" w:cs="MS Gothic"/>
                <w:color w:val="auto"/>
                <w:kern w:val="0"/>
              </w:rPr>
              <w:t>☑</w:t>
            </w:r>
            <w:r>
              <w:rPr>
                <w:color w:val="auto"/>
                <w:kern w:val="0"/>
              </w:rPr>
              <w:t>；</w:t>
            </w:r>
            <w:r>
              <w:rPr>
                <w:color w:val="auto"/>
                <w:kern w:val="0"/>
              </w:rPr>
              <w:fldChar w:fldCharType="begin"/>
            </w:r>
            <w:r>
              <w:rPr>
                <w:color w:val="auto"/>
                <w:kern w:val="0"/>
              </w:rPr>
              <w:instrText xml:space="preserve"> = 2 \* ROMAN </w:instrText>
            </w:r>
            <w:r>
              <w:rPr>
                <w:color w:val="auto"/>
                <w:kern w:val="0"/>
              </w:rPr>
              <w:fldChar w:fldCharType="separate"/>
            </w:r>
            <w:r>
              <w:rPr>
                <w:color w:val="auto"/>
                <w:kern w:val="0"/>
              </w:rPr>
              <w:t>II</w:t>
            </w:r>
            <w:r>
              <w:rPr>
                <w:color w:val="auto"/>
                <w:kern w:val="0"/>
              </w:rPr>
              <w:fldChar w:fldCharType="end"/>
            </w:r>
            <w:r>
              <w:rPr>
                <w:color w:val="auto"/>
                <w:kern w:val="0"/>
              </w:rPr>
              <w:t>类</w:t>
            </w:r>
            <w:r>
              <w:rPr>
                <w:color w:val="auto"/>
                <w:kern w:val="0"/>
                <w:lang w:bidi="ar"/>
              </w:rPr>
              <w:t>□</w:t>
            </w:r>
            <w:r>
              <w:rPr>
                <w:color w:val="auto"/>
                <w:kern w:val="0"/>
              </w:rPr>
              <w:t>；</w:t>
            </w:r>
            <w:r>
              <w:rPr>
                <w:color w:val="auto"/>
                <w:kern w:val="0"/>
              </w:rPr>
              <w:fldChar w:fldCharType="begin"/>
            </w:r>
            <w:r>
              <w:rPr>
                <w:color w:val="auto"/>
                <w:kern w:val="0"/>
              </w:rPr>
              <w:instrText xml:space="preserve"> = 3 \* ROMAN </w:instrText>
            </w:r>
            <w:r>
              <w:rPr>
                <w:color w:val="auto"/>
                <w:kern w:val="0"/>
              </w:rPr>
              <w:fldChar w:fldCharType="separate"/>
            </w:r>
            <w:r>
              <w:rPr>
                <w:color w:val="auto"/>
                <w:kern w:val="0"/>
              </w:rPr>
              <w:t>III</w:t>
            </w:r>
            <w:r>
              <w:rPr>
                <w:color w:val="auto"/>
                <w:kern w:val="0"/>
              </w:rPr>
              <w:fldChar w:fldCharType="end"/>
            </w:r>
            <w:r>
              <w:rPr>
                <w:color w:val="auto"/>
                <w:kern w:val="0"/>
              </w:rPr>
              <w:t>类</w:t>
            </w:r>
            <w:r>
              <w:rPr>
                <w:color w:val="auto"/>
                <w:kern w:val="0"/>
                <w:lang w:bidi="ar"/>
              </w:rPr>
              <w:t>□</w:t>
            </w:r>
            <w:r>
              <w:rPr>
                <w:color w:val="auto"/>
                <w:kern w:val="0"/>
              </w:rPr>
              <w:t>；类</w:t>
            </w:r>
            <w:r>
              <w:rPr>
                <w:color w:val="auto"/>
                <w:kern w:val="0"/>
                <w:lang w:bidi="ar"/>
              </w:rPr>
              <w:t>□</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敏感程度</w:t>
            </w:r>
          </w:p>
        </w:tc>
        <w:tc>
          <w:tcPr>
            <w:tcW w:w="3068" w:type="pct"/>
            <w:gridSpan w:val="4"/>
            <w:shd w:val="clear" w:color="auto" w:fill="auto"/>
            <w:vAlign w:val="center"/>
          </w:tcPr>
          <w:p>
            <w:pPr>
              <w:jc w:val="center"/>
              <w:rPr>
                <w:color w:val="auto"/>
                <w:kern w:val="0"/>
              </w:rPr>
            </w:pPr>
            <w:r>
              <w:rPr>
                <w:rFonts w:eastAsia="MS Mincho"/>
                <w:color w:val="auto"/>
                <w:kern w:val="0"/>
              </w:rPr>
              <w:t>敏感</w:t>
            </w:r>
            <w:r>
              <w:rPr>
                <w:color w:val="auto"/>
                <w:kern w:val="0"/>
                <w:lang w:bidi="ar"/>
              </w:rPr>
              <w:t>□</w:t>
            </w:r>
            <w:r>
              <w:rPr>
                <w:color w:val="auto"/>
                <w:kern w:val="0"/>
              </w:rPr>
              <w:t>；较敏感</w:t>
            </w:r>
            <w:r>
              <w:rPr>
                <w:color w:val="auto"/>
                <w:kern w:val="0"/>
                <w:lang w:bidi="ar"/>
              </w:rPr>
              <w:t>□</w:t>
            </w:r>
            <w:r>
              <w:rPr>
                <w:color w:val="auto"/>
                <w:kern w:val="0"/>
              </w:rPr>
              <w:t>；不敏感</w:t>
            </w:r>
            <w:r>
              <w:rPr>
                <w:rFonts w:hint="eastAsia" w:ascii="MS Gothic" w:hAnsi="MS Gothic" w:eastAsia="MS Gothic" w:cs="MS Gothic"/>
                <w:color w:val="auto"/>
                <w:kern w:val="0"/>
              </w:rPr>
              <w:t>☑</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pct"/>
            <w:gridSpan w:val="2"/>
            <w:shd w:val="clear" w:color="auto" w:fill="auto"/>
            <w:vAlign w:val="center"/>
          </w:tcPr>
          <w:p>
            <w:pPr>
              <w:jc w:val="center"/>
              <w:rPr>
                <w:color w:val="auto"/>
                <w:kern w:val="0"/>
              </w:rPr>
            </w:pPr>
            <w:r>
              <w:rPr>
                <w:color w:val="auto"/>
                <w:kern w:val="0"/>
              </w:rPr>
              <w:t>评价工作等级</w:t>
            </w:r>
          </w:p>
        </w:tc>
        <w:tc>
          <w:tcPr>
            <w:tcW w:w="3068" w:type="pct"/>
            <w:gridSpan w:val="4"/>
            <w:shd w:val="clear" w:color="auto" w:fill="auto"/>
            <w:vAlign w:val="center"/>
          </w:tcPr>
          <w:p>
            <w:pPr>
              <w:jc w:val="center"/>
              <w:rPr>
                <w:color w:val="auto"/>
                <w:kern w:val="0"/>
              </w:rPr>
            </w:pPr>
            <w:r>
              <w:rPr>
                <w:color w:val="auto"/>
                <w:kern w:val="0"/>
              </w:rPr>
              <w:t>一级</w:t>
            </w:r>
            <w:r>
              <w:rPr>
                <w:color w:val="auto"/>
                <w:kern w:val="0"/>
                <w:lang w:bidi="ar"/>
              </w:rPr>
              <w:t>□</w:t>
            </w:r>
            <w:r>
              <w:rPr>
                <w:color w:val="auto"/>
                <w:kern w:val="0"/>
              </w:rPr>
              <w:t>；二级</w:t>
            </w:r>
            <w:r>
              <w:rPr>
                <w:rFonts w:hint="eastAsia" w:ascii="MS Gothic" w:hAnsi="MS Gothic" w:eastAsia="MS Gothic" w:cs="MS Gothic"/>
                <w:color w:val="auto"/>
                <w:kern w:val="0"/>
              </w:rPr>
              <w:t>☑</w:t>
            </w:r>
            <w:r>
              <w:rPr>
                <w:color w:val="auto"/>
                <w:kern w:val="0"/>
              </w:rPr>
              <w:t>；三级</w:t>
            </w:r>
            <w:r>
              <w:rPr>
                <w:color w:val="auto"/>
                <w:kern w:val="0"/>
                <w:lang w:bidi="ar"/>
              </w:rPr>
              <w:t>□</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restart"/>
            <w:shd w:val="clear" w:color="auto" w:fill="auto"/>
            <w:vAlign w:val="center"/>
          </w:tcPr>
          <w:p>
            <w:pPr>
              <w:jc w:val="center"/>
              <w:rPr>
                <w:color w:val="auto"/>
                <w:kern w:val="0"/>
              </w:rPr>
            </w:pPr>
            <w:r>
              <w:rPr>
                <w:color w:val="auto"/>
                <w:kern w:val="0"/>
              </w:rPr>
              <w:t>现状调查内容</w:t>
            </w:r>
          </w:p>
        </w:tc>
        <w:tc>
          <w:tcPr>
            <w:tcW w:w="972" w:type="pct"/>
            <w:shd w:val="clear" w:color="auto" w:fill="auto"/>
            <w:vAlign w:val="center"/>
          </w:tcPr>
          <w:p>
            <w:pPr>
              <w:jc w:val="center"/>
              <w:rPr>
                <w:color w:val="auto"/>
                <w:kern w:val="0"/>
              </w:rPr>
            </w:pPr>
            <w:r>
              <w:rPr>
                <w:color w:val="auto"/>
                <w:kern w:val="0"/>
              </w:rPr>
              <w:t>资料收集</w:t>
            </w:r>
          </w:p>
        </w:tc>
        <w:tc>
          <w:tcPr>
            <w:tcW w:w="3068" w:type="pct"/>
            <w:gridSpan w:val="4"/>
            <w:shd w:val="clear" w:color="auto" w:fill="auto"/>
            <w:vAlign w:val="center"/>
          </w:tcPr>
          <w:p>
            <w:pPr>
              <w:jc w:val="center"/>
              <w:rPr>
                <w:color w:val="auto"/>
                <w:kern w:val="0"/>
              </w:rPr>
            </w:pPr>
            <w:r>
              <w:rPr>
                <w:color w:val="auto"/>
                <w:kern w:val="0"/>
              </w:rPr>
              <w:t>a）</w:t>
            </w:r>
            <w:r>
              <w:rPr>
                <w:rFonts w:hint="eastAsia" w:ascii="MS Gothic" w:hAnsi="MS Gothic" w:eastAsia="MS Gothic" w:cs="MS Gothic"/>
                <w:color w:val="auto"/>
                <w:kern w:val="0"/>
              </w:rPr>
              <w:t>☑</w:t>
            </w:r>
            <w:r>
              <w:rPr>
                <w:color w:val="auto"/>
                <w:kern w:val="0"/>
              </w:rPr>
              <w:t>；b）</w:t>
            </w:r>
            <w:r>
              <w:rPr>
                <w:rFonts w:hint="eastAsia" w:ascii="MS Gothic" w:hAnsi="MS Gothic" w:eastAsia="MS Gothic" w:cs="MS Gothic"/>
                <w:color w:val="auto"/>
                <w:kern w:val="0"/>
              </w:rPr>
              <w:t>☑</w:t>
            </w:r>
            <w:r>
              <w:rPr>
                <w:color w:val="auto"/>
                <w:kern w:val="0"/>
              </w:rPr>
              <w:t>；c）</w:t>
            </w:r>
            <w:r>
              <w:rPr>
                <w:rFonts w:hint="eastAsia" w:ascii="MS Gothic" w:hAnsi="MS Gothic" w:eastAsia="MS Gothic" w:cs="MS Gothic"/>
                <w:color w:val="auto"/>
                <w:kern w:val="0"/>
              </w:rPr>
              <w:t>☑</w:t>
            </w:r>
            <w:r>
              <w:rPr>
                <w:color w:val="auto"/>
                <w:kern w:val="0"/>
              </w:rPr>
              <w:t>；d）</w:t>
            </w:r>
            <w:r>
              <w:rPr>
                <w:rFonts w:hint="eastAsia" w:ascii="MS Gothic" w:hAnsi="MS Gothic" w:eastAsia="MS Gothic" w:cs="MS Gothic"/>
                <w:color w:val="auto"/>
                <w:kern w:val="0"/>
              </w:rPr>
              <w:t>☑</w:t>
            </w:r>
            <w:r>
              <w:rPr>
                <w:color w:val="auto"/>
                <w:kern w:val="0"/>
              </w:rPr>
              <w:t>；</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理化特性</w:t>
            </w:r>
          </w:p>
        </w:tc>
        <w:tc>
          <w:tcPr>
            <w:tcW w:w="3068" w:type="pct"/>
            <w:gridSpan w:val="4"/>
            <w:shd w:val="clear" w:color="auto" w:fill="auto"/>
            <w:vAlign w:val="center"/>
          </w:tcPr>
          <w:p>
            <w:pPr>
              <w:jc w:val="center"/>
              <w:rPr>
                <w:color w:val="auto"/>
                <w:kern w:val="0"/>
              </w:rPr>
            </w:pPr>
            <w:r>
              <w:rPr>
                <w:color w:val="auto"/>
                <w:kern w:val="0"/>
              </w:rPr>
              <w:t>详见表5.6-6</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vMerge w:val="restart"/>
            <w:shd w:val="clear" w:color="auto" w:fill="auto"/>
            <w:vAlign w:val="center"/>
          </w:tcPr>
          <w:p>
            <w:pPr>
              <w:jc w:val="center"/>
              <w:rPr>
                <w:color w:val="auto"/>
                <w:kern w:val="0"/>
              </w:rPr>
            </w:pPr>
            <w:r>
              <w:rPr>
                <w:color w:val="auto"/>
                <w:kern w:val="0"/>
              </w:rPr>
              <w:t>现状监测点位</w:t>
            </w:r>
          </w:p>
        </w:tc>
        <w:tc>
          <w:tcPr>
            <w:tcW w:w="815" w:type="pct"/>
            <w:shd w:val="clear" w:color="auto" w:fill="auto"/>
            <w:vAlign w:val="center"/>
          </w:tcPr>
          <w:p>
            <w:pPr>
              <w:jc w:val="center"/>
              <w:rPr>
                <w:color w:val="auto"/>
                <w:kern w:val="0"/>
                <w:sz w:val="18"/>
                <w:szCs w:val="18"/>
              </w:rPr>
            </w:pPr>
          </w:p>
        </w:tc>
        <w:tc>
          <w:tcPr>
            <w:tcW w:w="699" w:type="pct"/>
            <w:shd w:val="clear" w:color="auto" w:fill="auto"/>
            <w:vAlign w:val="center"/>
          </w:tcPr>
          <w:p>
            <w:pPr>
              <w:jc w:val="center"/>
              <w:rPr>
                <w:color w:val="auto"/>
                <w:kern w:val="0"/>
                <w:sz w:val="18"/>
                <w:szCs w:val="18"/>
              </w:rPr>
            </w:pPr>
            <w:r>
              <w:rPr>
                <w:color w:val="auto"/>
                <w:kern w:val="0"/>
                <w:sz w:val="18"/>
                <w:szCs w:val="18"/>
              </w:rPr>
              <w:t>占地范围内</w:t>
            </w:r>
          </w:p>
        </w:tc>
        <w:tc>
          <w:tcPr>
            <w:tcW w:w="699" w:type="pct"/>
            <w:shd w:val="clear" w:color="auto" w:fill="auto"/>
            <w:vAlign w:val="center"/>
          </w:tcPr>
          <w:p>
            <w:pPr>
              <w:jc w:val="center"/>
              <w:rPr>
                <w:color w:val="auto"/>
                <w:kern w:val="0"/>
                <w:sz w:val="18"/>
                <w:szCs w:val="18"/>
              </w:rPr>
            </w:pPr>
            <w:r>
              <w:rPr>
                <w:color w:val="auto"/>
                <w:kern w:val="0"/>
                <w:sz w:val="18"/>
                <w:szCs w:val="18"/>
              </w:rPr>
              <w:t>占地范围外</w:t>
            </w:r>
          </w:p>
        </w:tc>
        <w:tc>
          <w:tcPr>
            <w:tcW w:w="855" w:type="pct"/>
            <w:shd w:val="clear" w:color="auto" w:fill="auto"/>
            <w:vAlign w:val="center"/>
          </w:tcPr>
          <w:p>
            <w:pPr>
              <w:jc w:val="center"/>
              <w:rPr>
                <w:color w:val="auto"/>
                <w:kern w:val="0"/>
                <w:sz w:val="18"/>
                <w:szCs w:val="18"/>
              </w:rPr>
            </w:pPr>
            <w:r>
              <w:rPr>
                <w:color w:val="auto"/>
                <w:kern w:val="0"/>
                <w:sz w:val="18"/>
                <w:szCs w:val="18"/>
              </w:rPr>
              <w:t>深度</w:t>
            </w:r>
          </w:p>
        </w:tc>
        <w:tc>
          <w:tcPr>
            <w:tcW w:w="647" w:type="pct"/>
            <w:vMerge w:val="restart"/>
            <w:shd w:val="clear" w:color="auto" w:fill="auto"/>
            <w:vAlign w:val="center"/>
          </w:tcPr>
          <w:p>
            <w:pPr>
              <w:jc w:val="center"/>
              <w:rPr>
                <w:color w:val="auto"/>
                <w:kern w:val="0"/>
              </w:rPr>
            </w:pPr>
            <w:r>
              <w:rPr>
                <w:color w:val="auto"/>
                <w:kern w:val="0"/>
              </w:rPr>
              <w:t>点位布置图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vMerge w:val="continue"/>
            <w:shd w:val="clear" w:color="auto" w:fill="auto"/>
            <w:vAlign w:val="center"/>
          </w:tcPr>
          <w:p>
            <w:pPr>
              <w:jc w:val="center"/>
              <w:rPr>
                <w:color w:val="auto"/>
                <w:kern w:val="0"/>
              </w:rPr>
            </w:pPr>
          </w:p>
        </w:tc>
        <w:tc>
          <w:tcPr>
            <w:tcW w:w="815" w:type="pct"/>
            <w:shd w:val="clear" w:color="auto" w:fill="auto"/>
            <w:vAlign w:val="center"/>
          </w:tcPr>
          <w:p>
            <w:pPr>
              <w:jc w:val="center"/>
              <w:rPr>
                <w:color w:val="auto"/>
                <w:kern w:val="0"/>
                <w:sz w:val="18"/>
                <w:szCs w:val="18"/>
              </w:rPr>
            </w:pPr>
            <w:r>
              <w:rPr>
                <w:color w:val="auto"/>
                <w:kern w:val="0"/>
                <w:sz w:val="18"/>
                <w:szCs w:val="18"/>
              </w:rPr>
              <w:t>表层样点数</w:t>
            </w:r>
          </w:p>
        </w:tc>
        <w:tc>
          <w:tcPr>
            <w:tcW w:w="699" w:type="pct"/>
            <w:shd w:val="clear" w:color="auto" w:fill="auto"/>
            <w:vAlign w:val="center"/>
          </w:tcPr>
          <w:p>
            <w:pPr>
              <w:jc w:val="center"/>
              <w:rPr>
                <w:color w:val="auto"/>
                <w:kern w:val="0"/>
                <w:sz w:val="18"/>
                <w:szCs w:val="18"/>
              </w:rPr>
            </w:pPr>
            <w:r>
              <w:rPr>
                <w:color w:val="auto"/>
                <w:kern w:val="0"/>
                <w:sz w:val="18"/>
                <w:szCs w:val="18"/>
              </w:rPr>
              <w:t>1</w:t>
            </w:r>
          </w:p>
        </w:tc>
        <w:tc>
          <w:tcPr>
            <w:tcW w:w="699" w:type="pct"/>
            <w:shd w:val="clear" w:color="auto" w:fill="auto"/>
            <w:vAlign w:val="center"/>
          </w:tcPr>
          <w:p>
            <w:pPr>
              <w:jc w:val="center"/>
              <w:rPr>
                <w:color w:val="auto"/>
                <w:kern w:val="0"/>
                <w:sz w:val="18"/>
                <w:szCs w:val="18"/>
              </w:rPr>
            </w:pPr>
            <w:r>
              <w:rPr>
                <w:color w:val="auto"/>
                <w:kern w:val="0"/>
                <w:sz w:val="18"/>
                <w:szCs w:val="18"/>
              </w:rPr>
              <w:t>2</w:t>
            </w:r>
          </w:p>
        </w:tc>
        <w:tc>
          <w:tcPr>
            <w:tcW w:w="855" w:type="pct"/>
            <w:shd w:val="clear" w:color="auto" w:fill="auto"/>
            <w:vAlign w:val="center"/>
          </w:tcPr>
          <w:p>
            <w:pPr>
              <w:jc w:val="center"/>
              <w:rPr>
                <w:color w:val="auto"/>
                <w:kern w:val="0"/>
                <w:sz w:val="18"/>
                <w:szCs w:val="18"/>
              </w:rPr>
            </w:pPr>
            <w:r>
              <w:rPr>
                <w:color w:val="auto"/>
                <w:kern w:val="0"/>
                <w:sz w:val="18"/>
                <w:szCs w:val="18"/>
              </w:rPr>
              <w:t>0~0.2m</w:t>
            </w:r>
          </w:p>
        </w:tc>
        <w:tc>
          <w:tcPr>
            <w:tcW w:w="647" w:type="pct"/>
            <w:vMerge w:val="continue"/>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vMerge w:val="continue"/>
            <w:shd w:val="clear" w:color="auto" w:fill="auto"/>
            <w:vAlign w:val="center"/>
          </w:tcPr>
          <w:p>
            <w:pPr>
              <w:jc w:val="center"/>
              <w:rPr>
                <w:color w:val="auto"/>
                <w:kern w:val="0"/>
              </w:rPr>
            </w:pPr>
          </w:p>
        </w:tc>
        <w:tc>
          <w:tcPr>
            <w:tcW w:w="815" w:type="pct"/>
            <w:shd w:val="clear" w:color="auto" w:fill="auto"/>
            <w:vAlign w:val="center"/>
          </w:tcPr>
          <w:p>
            <w:pPr>
              <w:jc w:val="center"/>
              <w:rPr>
                <w:color w:val="auto"/>
                <w:kern w:val="0"/>
                <w:sz w:val="18"/>
                <w:szCs w:val="18"/>
              </w:rPr>
            </w:pPr>
            <w:r>
              <w:rPr>
                <w:color w:val="auto"/>
                <w:kern w:val="0"/>
                <w:sz w:val="18"/>
                <w:szCs w:val="18"/>
              </w:rPr>
              <w:t>柱状样点数</w:t>
            </w:r>
          </w:p>
        </w:tc>
        <w:tc>
          <w:tcPr>
            <w:tcW w:w="699" w:type="pct"/>
            <w:shd w:val="clear" w:color="auto" w:fill="auto"/>
            <w:vAlign w:val="center"/>
          </w:tcPr>
          <w:p>
            <w:pPr>
              <w:jc w:val="center"/>
              <w:rPr>
                <w:color w:val="auto"/>
                <w:kern w:val="0"/>
                <w:sz w:val="18"/>
                <w:szCs w:val="18"/>
              </w:rPr>
            </w:pPr>
            <w:r>
              <w:rPr>
                <w:color w:val="auto"/>
                <w:kern w:val="0"/>
                <w:sz w:val="18"/>
                <w:szCs w:val="18"/>
              </w:rPr>
              <w:t>3</w:t>
            </w:r>
          </w:p>
        </w:tc>
        <w:tc>
          <w:tcPr>
            <w:tcW w:w="699" w:type="pct"/>
            <w:shd w:val="clear" w:color="auto" w:fill="auto"/>
            <w:vAlign w:val="center"/>
          </w:tcPr>
          <w:p>
            <w:pPr>
              <w:jc w:val="center"/>
              <w:rPr>
                <w:color w:val="auto"/>
                <w:kern w:val="0"/>
                <w:sz w:val="18"/>
                <w:szCs w:val="18"/>
              </w:rPr>
            </w:pPr>
            <w:r>
              <w:rPr>
                <w:color w:val="auto"/>
                <w:kern w:val="0"/>
                <w:sz w:val="18"/>
                <w:szCs w:val="18"/>
              </w:rPr>
              <w:t>0</w:t>
            </w:r>
          </w:p>
        </w:tc>
        <w:tc>
          <w:tcPr>
            <w:tcW w:w="855" w:type="pct"/>
            <w:shd w:val="clear" w:color="auto" w:fill="auto"/>
            <w:vAlign w:val="center"/>
          </w:tcPr>
          <w:p>
            <w:pPr>
              <w:jc w:val="center"/>
              <w:rPr>
                <w:color w:val="auto"/>
                <w:kern w:val="0"/>
                <w:sz w:val="18"/>
                <w:szCs w:val="18"/>
              </w:rPr>
            </w:pPr>
            <w:r>
              <w:rPr>
                <w:color w:val="auto"/>
                <w:kern w:val="0"/>
                <w:sz w:val="18"/>
                <w:szCs w:val="18"/>
              </w:rPr>
              <w:t>0~3m</w:t>
            </w:r>
          </w:p>
        </w:tc>
        <w:tc>
          <w:tcPr>
            <w:tcW w:w="647" w:type="pct"/>
            <w:vMerge w:val="continue"/>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现状监测因子</w:t>
            </w:r>
          </w:p>
        </w:tc>
        <w:tc>
          <w:tcPr>
            <w:tcW w:w="3068" w:type="pct"/>
            <w:gridSpan w:val="4"/>
            <w:shd w:val="clear" w:color="auto" w:fill="auto"/>
            <w:vAlign w:val="center"/>
          </w:tcPr>
          <w:p>
            <w:pPr>
              <w:snapToGrid w:val="0"/>
              <w:jc w:val="center"/>
              <w:rPr>
                <w:color w:val="auto"/>
                <w:kern w:val="0"/>
              </w:rPr>
            </w:pPr>
            <w:r>
              <w:rPr>
                <w:color w:val="auto"/>
                <w:kern w:val="0"/>
              </w:rPr>
              <w:t>GB36600-2018表1中45项基本因子+ pH、Zn、铬</w:t>
            </w:r>
            <w:r>
              <w:rPr>
                <w:rFonts w:hint="eastAsia"/>
                <w:color w:val="auto"/>
                <w:kern w:val="0"/>
              </w:rPr>
              <w:t>、石油烃</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restart"/>
            <w:shd w:val="clear" w:color="auto" w:fill="auto"/>
            <w:vAlign w:val="center"/>
          </w:tcPr>
          <w:p>
            <w:pPr>
              <w:jc w:val="center"/>
              <w:rPr>
                <w:color w:val="auto"/>
                <w:kern w:val="0"/>
              </w:rPr>
            </w:pPr>
            <w:r>
              <w:rPr>
                <w:color w:val="auto"/>
                <w:kern w:val="0"/>
              </w:rPr>
              <w:t>现状评价</w:t>
            </w:r>
          </w:p>
        </w:tc>
        <w:tc>
          <w:tcPr>
            <w:tcW w:w="972" w:type="pct"/>
            <w:shd w:val="clear" w:color="auto" w:fill="auto"/>
            <w:vAlign w:val="center"/>
          </w:tcPr>
          <w:p>
            <w:pPr>
              <w:jc w:val="center"/>
              <w:rPr>
                <w:color w:val="auto"/>
                <w:kern w:val="0"/>
              </w:rPr>
            </w:pPr>
            <w:r>
              <w:rPr>
                <w:color w:val="auto"/>
                <w:kern w:val="0"/>
              </w:rPr>
              <w:t>评价因子</w:t>
            </w:r>
          </w:p>
        </w:tc>
        <w:tc>
          <w:tcPr>
            <w:tcW w:w="3068" w:type="pct"/>
            <w:gridSpan w:val="4"/>
            <w:shd w:val="clear" w:color="auto" w:fill="auto"/>
            <w:vAlign w:val="center"/>
          </w:tcPr>
          <w:p>
            <w:pPr>
              <w:jc w:val="center"/>
              <w:rPr>
                <w:color w:val="auto"/>
                <w:kern w:val="0"/>
              </w:rPr>
            </w:pPr>
            <w:r>
              <w:rPr>
                <w:color w:val="auto"/>
                <w:kern w:val="0"/>
              </w:rPr>
              <w:t>GB36600-2018表1中45项基本因子+ pH、Zn、铬</w:t>
            </w:r>
            <w:r>
              <w:rPr>
                <w:rFonts w:hint="eastAsia"/>
                <w:color w:val="auto"/>
                <w:kern w:val="0"/>
              </w:rPr>
              <w:t>、石油烃</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评价标准</w:t>
            </w:r>
          </w:p>
        </w:tc>
        <w:tc>
          <w:tcPr>
            <w:tcW w:w="3068" w:type="pct"/>
            <w:gridSpan w:val="4"/>
            <w:shd w:val="clear" w:color="auto" w:fill="auto"/>
            <w:vAlign w:val="center"/>
          </w:tcPr>
          <w:p>
            <w:pPr>
              <w:jc w:val="center"/>
              <w:rPr>
                <w:color w:val="auto"/>
                <w:kern w:val="0"/>
              </w:rPr>
            </w:pPr>
            <w:r>
              <w:rPr>
                <w:color w:val="auto"/>
                <w:kern w:val="0"/>
              </w:rPr>
              <w:t>GB15618</w:t>
            </w:r>
            <w:r>
              <w:rPr>
                <w:rFonts w:hint="eastAsia" w:ascii="MS Gothic" w:hAnsi="MS Gothic" w:eastAsia="MS Gothic" w:cs="MS Gothic"/>
                <w:color w:val="auto"/>
                <w:kern w:val="0"/>
              </w:rPr>
              <w:t>☑</w:t>
            </w:r>
            <w:r>
              <w:rPr>
                <w:color w:val="auto"/>
                <w:kern w:val="0"/>
              </w:rPr>
              <w:t>； GB36600</w:t>
            </w:r>
            <w:r>
              <w:rPr>
                <w:rFonts w:hint="eastAsia" w:ascii="MS Gothic" w:hAnsi="MS Gothic" w:eastAsia="MS Gothic" w:cs="MS Gothic"/>
                <w:color w:val="auto"/>
                <w:kern w:val="0"/>
              </w:rPr>
              <w:t>☑</w:t>
            </w:r>
            <w:r>
              <w:rPr>
                <w:color w:val="auto"/>
                <w:kern w:val="0"/>
              </w:rPr>
              <w:t>； 表D.1</w:t>
            </w:r>
            <w:r>
              <w:rPr>
                <w:color w:val="auto"/>
                <w:kern w:val="0"/>
                <w:lang w:bidi="ar"/>
              </w:rPr>
              <w:t>□</w:t>
            </w:r>
            <w:r>
              <w:rPr>
                <w:color w:val="auto"/>
                <w:kern w:val="0"/>
              </w:rPr>
              <w:t>； 表D.2</w:t>
            </w:r>
            <w:r>
              <w:rPr>
                <w:color w:val="auto"/>
                <w:kern w:val="0"/>
                <w:lang w:bidi="ar"/>
              </w:rPr>
              <w:t>□</w:t>
            </w:r>
            <w:r>
              <w:rPr>
                <w:color w:val="auto"/>
                <w:kern w:val="0"/>
              </w:rPr>
              <w:t>；其他（）</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现状评价结论</w:t>
            </w:r>
          </w:p>
        </w:tc>
        <w:tc>
          <w:tcPr>
            <w:tcW w:w="3068" w:type="pct"/>
            <w:gridSpan w:val="4"/>
            <w:shd w:val="clear" w:color="auto" w:fill="auto"/>
            <w:vAlign w:val="center"/>
          </w:tcPr>
          <w:p>
            <w:pPr>
              <w:jc w:val="center"/>
              <w:rPr>
                <w:color w:val="auto"/>
                <w:kern w:val="0"/>
              </w:rPr>
            </w:pPr>
            <w:r>
              <w:rPr>
                <w:color w:val="auto"/>
                <w:kern w:val="0"/>
              </w:rPr>
              <w:t>各评价因子均满足相应标准要求</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restart"/>
            <w:shd w:val="clear" w:color="auto" w:fill="auto"/>
            <w:vAlign w:val="center"/>
          </w:tcPr>
          <w:p>
            <w:pPr>
              <w:jc w:val="center"/>
              <w:rPr>
                <w:color w:val="auto"/>
                <w:kern w:val="0"/>
              </w:rPr>
            </w:pPr>
            <w:r>
              <w:rPr>
                <w:color w:val="auto"/>
                <w:kern w:val="0"/>
              </w:rPr>
              <w:t>影响预测</w:t>
            </w:r>
          </w:p>
        </w:tc>
        <w:tc>
          <w:tcPr>
            <w:tcW w:w="972" w:type="pct"/>
            <w:shd w:val="clear" w:color="auto" w:fill="auto"/>
            <w:vAlign w:val="center"/>
          </w:tcPr>
          <w:p>
            <w:pPr>
              <w:jc w:val="center"/>
              <w:rPr>
                <w:color w:val="auto"/>
                <w:kern w:val="0"/>
              </w:rPr>
            </w:pPr>
            <w:r>
              <w:rPr>
                <w:color w:val="auto"/>
                <w:kern w:val="0"/>
              </w:rPr>
              <w:t>预测因子</w:t>
            </w:r>
          </w:p>
        </w:tc>
        <w:tc>
          <w:tcPr>
            <w:tcW w:w="3068" w:type="pct"/>
            <w:gridSpan w:val="4"/>
            <w:shd w:val="clear" w:color="auto" w:fill="auto"/>
            <w:vAlign w:val="center"/>
          </w:tcPr>
          <w:p>
            <w:pPr>
              <w:jc w:val="center"/>
              <w:rPr>
                <w:rFonts w:hint="eastAsia" w:eastAsia="宋体"/>
                <w:color w:val="auto"/>
                <w:kern w:val="0"/>
                <w:lang w:eastAsia="zh-CN"/>
              </w:rPr>
            </w:pPr>
            <w:r>
              <w:rPr>
                <w:color w:val="auto"/>
                <w:kern w:val="0"/>
              </w:rPr>
              <w:t>垂直入渗：总镍、总锌、总铬</w:t>
            </w:r>
            <w:r>
              <w:rPr>
                <w:rFonts w:hint="eastAsia"/>
                <w:color w:val="auto"/>
                <w:kern w:val="0"/>
                <w:lang w:eastAsia="zh-CN"/>
              </w:rPr>
              <w:t>、六价铬</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预测方法</w:t>
            </w:r>
          </w:p>
        </w:tc>
        <w:tc>
          <w:tcPr>
            <w:tcW w:w="3068" w:type="pct"/>
            <w:gridSpan w:val="4"/>
            <w:shd w:val="clear" w:color="auto" w:fill="auto"/>
            <w:vAlign w:val="center"/>
          </w:tcPr>
          <w:p>
            <w:pPr>
              <w:jc w:val="center"/>
              <w:rPr>
                <w:color w:val="auto"/>
                <w:kern w:val="0"/>
              </w:rPr>
            </w:pPr>
            <w:r>
              <w:rPr>
                <w:color w:val="auto"/>
                <w:kern w:val="0"/>
              </w:rPr>
              <w:t>附录E</w:t>
            </w:r>
            <w:r>
              <w:rPr>
                <w:rFonts w:hint="eastAsia" w:ascii="MS Gothic" w:hAnsi="MS Gothic" w:eastAsia="MS Gothic" w:cs="MS Gothic"/>
                <w:color w:val="auto"/>
                <w:kern w:val="0"/>
                <w:highlight w:val="none"/>
              </w:rPr>
              <w:t>☑</w:t>
            </w:r>
            <w:r>
              <w:rPr>
                <w:color w:val="auto"/>
                <w:kern w:val="0"/>
                <w:highlight w:val="none"/>
              </w:rPr>
              <w:t>；</w:t>
            </w:r>
            <w:r>
              <w:rPr>
                <w:color w:val="auto"/>
                <w:kern w:val="0"/>
              </w:rPr>
              <w:t xml:space="preserve"> 附录F</w:t>
            </w:r>
            <w:r>
              <w:rPr>
                <w:color w:val="auto"/>
                <w:kern w:val="0"/>
                <w:lang w:bidi="ar"/>
              </w:rPr>
              <w:t>□</w:t>
            </w:r>
            <w:r>
              <w:rPr>
                <w:color w:val="auto"/>
                <w:kern w:val="0"/>
              </w:rPr>
              <w:t>； 其他（）</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预测分析内容</w:t>
            </w:r>
          </w:p>
        </w:tc>
        <w:tc>
          <w:tcPr>
            <w:tcW w:w="3068" w:type="pct"/>
            <w:gridSpan w:val="4"/>
            <w:shd w:val="clear" w:color="auto" w:fill="auto"/>
            <w:vAlign w:val="center"/>
          </w:tcPr>
          <w:p>
            <w:pPr>
              <w:rPr>
                <w:color w:val="auto"/>
                <w:kern w:val="0"/>
              </w:rPr>
            </w:pPr>
            <w:r>
              <w:rPr>
                <w:color w:val="auto"/>
                <w:kern w:val="0"/>
              </w:rPr>
              <w:t>影响范围（项目边界外扩0.2km 区域）</w:t>
            </w:r>
          </w:p>
          <w:p>
            <w:pPr>
              <w:rPr>
                <w:color w:val="auto"/>
                <w:kern w:val="0"/>
              </w:rPr>
            </w:pPr>
            <w:r>
              <w:rPr>
                <w:color w:val="auto"/>
                <w:kern w:val="0"/>
              </w:rPr>
              <w:t>影响程度（较小）</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预测结论</w:t>
            </w:r>
          </w:p>
        </w:tc>
        <w:tc>
          <w:tcPr>
            <w:tcW w:w="3068" w:type="pct"/>
            <w:gridSpan w:val="4"/>
            <w:shd w:val="clear" w:color="auto" w:fill="auto"/>
            <w:vAlign w:val="center"/>
          </w:tcPr>
          <w:p>
            <w:pPr>
              <w:autoSpaceDE w:val="0"/>
              <w:autoSpaceDN w:val="0"/>
              <w:adjustRightInd w:val="0"/>
              <w:rPr>
                <w:color w:val="auto"/>
                <w:kern w:val="0"/>
              </w:rPr>
            </w:pPr>
            <w:r>
              <w:rPr>
                <w:color w:val="auto"/>
                <w:kern w:val="0"/>
              </w:rPr>
              <w:t>达标结论：a)</w:t>
            </w:r>
            <w:r>
              <w:rPr>
                <w:rFonts w:eastAsia="MS Mincho"/>
                <w:color w:val="auto"/>
                <w:kern w:val="0"/>
              </w:rPr>
              <w:t xml:space="preserve"> </w:t>
            </w:r>
            <w:r>
              <w:rPr>
                <w:rFonts w:hint="eastAsia" w:ascii="MS Gothic" w:hAnsi="MS Gothic" w:eastAsia="MS Gothic" w:cs="MS Gothic"/>
                <w:color w:val="auto"/>
                <w:kern w:val="0"/>
              </w:rPr>
              <w:t>☑</w:t>
            </w:r>
            <w:r>
              <w:rPr>
                <w:color w:val="auto"/>
                <w:kern w:val="0"/>
              </w:rPr>
              <w:t>； b)</w:t>
            </w:r>
            <w:r>
              <w:rPr>
                <w:color w:val="auto"/>
                <w:kern w:val="0"/>
                <w:lang w:bidi="ar"/>
              </w:rPr>
              <w:t xml:space="preserve"> □</w:t>
            </w:r>
            <w:r>
              <w:rPr>
                <w:color w:val="auto"/>
                <w:kern w:val="0"/>
              </w:rPr>
              <w:t>； c)</w:t>
            </w:r>
            <w:r>
              <w:rPr>
                <w:color w:val="auto"/>
                <w:kern w:val="0"/>
                <w:lang w:bidi="ar"/>
              </w:rPr>
              <w:t xml:space="preserve"> □</w:t>
            </w:r>
            <w:r>
              <w:rPr>
                <w:color w:val="auto"/>
                <w:kern w:val="0"/>
              </w:rPr>
              <w:t>；</w:t>
            </w:r>
          </w:p>
          <w:p>
            <w:pPr>
              <w:rPr>
                <w:color w:val="auto"/>
                <w:kern w:val="0"/>
              </w:rPr>
            </w:pPr>
            <w:r>
              <w:rPr>
                <w:color w:val="auto"/>
                <w:kern w:val="0"/>
              </w:rPr>
              <w:t>不达标结论：a)</w:t>
            </w:r>
            <w:r>
              <w:rPr>
                <w:color w:val="auto"/>
                <w:kern w:val="0"/>
                <w:lang w:bidi="ar"/>
              </w:rPr>
              <w:t xml:space="preserve"> □</w:t>
            </w:r>
            <w:r>
              <w:rPr>
                <w:color w:val="auto"/>
                <w:kern w:val="0"/>
              </w:rPr>
              <w:t>； b)</w:t>
            </w:r>
            <w:r>
              <w:rPr>
                <w:color w:val="auto"/>
                <w:kern w:val="0"/>
                <w:lang w:bidi="ar"/>
              </w:rPr>
              <w:t xml:space="preserve"> □</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restart"/>
            <w:shd w:val="clear" w:color="auto" w:fill="auto"/>
            <w:vAlign w:val="center"/>
          </w:tcPr>
          <w:p>
            <w:pPr>
              <w:jc w:val="center"/>
              <w:rPr>
                <w:color w:val="auto"/>
                <w:kern w:val="0"/>
              </w:rPr>
            </w:pPr>
            <w:r>
              <w:rPr>
                <w:color w:val="auto"/>
                <w:kern w:val="0"/>
              </w:rPr>
              <w:t>防治措施</w:t>
            </w:r>
          </w:p>
        </w:tc>
        <w:tc>
          <w:tcPr>
            <w:tcW w:w="972" w:type="pct"/>
            <w:shd w:val="clear" w:color="auto" w:fill="auto"/>
            <w:vAlign w:val="center"/>
          </w:tcPr>
          <w:p>
            <w:pPr>
              <w:jc w:val="center"/>
              <w:rPr>
                <w:color w:val="auto"/>
                <w:kern w:val="0"/>
              </w:rPr>
            </w:pPr>
            <w:r>
              <w:rPr>
                <w:color w:val="auto"/>
                <w:kern w:val="0"/>
              </w:rPr>
              <w:t>预控措施</w:t>
            </w:r>
          </w:p>
        </w:tc>
        <w:tc>
          <w:tcPr>
            <w:tcW w:w="3068" w:type="pct"/>
            <w:gridSpan w:val="4"/>
            <w:shd w:val="clear" w:color="auto" w:fill="auto"/>
            <w:vAlign w:val="center"/>
          </w:tcPr>
          <w:p>
            <w:pPr>
              <w:autoSpaceDE w:val="0"/>
              <w:autoSpaceDN w:val="0"/>
              <w:adjustRightInd w:val="0"/>
              <w:jc w:val="center"/>
              <w:rPr>
                <w:color w:val="auto"/>
                <w:kern w:val="0"/>
              </w:rPr>
            </w:pPr>
            <w:r>
              <w:rPr>
                <w:color w:val="auto"/>
                <w:kern w:val="0"/>
              </w:rPr>
              <w:t>土壤环境质量现状保障</w:t>
            </w:r>
            <w:r>
              <w:rPr>
                <w:color w:val="auto"/>
                <w:kern w:val="0"/>
                <w:lang w:bidi="ar"/>
              </w:rPr>
              <w:t>□</w:t>
            </w:r>
            <w:r>
              <w:rPr>
                <w:color w:val="auto"/>
                <w:kern w:val="0"/>
              </w:rPr>
              <w:t>； 源头控制</w:t>
            </w:r>
            <w:r>
              <w:rPr>
                <w:rFonts w:hint="eastAsia" w:ascii="MS Gothic" w:hAnsi="MS Gothic" w:eastAsia="MS Gothic" w:cs="MS Gothic"/>
                <w:color w:val="auto"/>
                <w:kern w:val="0"/>
              </w:rPr>
              <w:t>☑</w:t>
            </w:r>
            <w:r>
              <w:rPr>
                <w:color w:val="auto"/>
                <w:kern w:val="0"/>
              </w:rPr>
              <w:t>； 过程防控</w:t>
            </w:r>
            <w:r>
              <w:rPr>
                <w:rFonts w:hint="eastAsia" w:ascii="MS Gothic" w:hAnsi="MS Gothic" w:eastAsia="MS Gothic" w:cs="MS Gothic"/>
                <w:color w:val="auto"/>
                <w:kern w:val="0"/>
              </w:rPr>
              <w:t>☑</w:t>
            </w:r>
            <w:r>
              <w:rPr>
                <w:color w:val="auto"/>
                <w:kern w:val="0"/>
              </w:rPr>
              <w:t>；</w:t>
            </w:r>
          </w:p>
          <w:p>
            <w:pPr>
              <w:autoSpaceDE w:val="0"/>
              <w:autoSpaceDN w:val="0"/>
              <w:adjustRightInd w:val="0"/>
              <w:jc w:val="center"/>
              <w:rPr>
                <w:color w:val="auto"/>
                <w:kern w:val="0"/>
              </w:rPr>
            </w:pPr>
            <w:r>
              <w:rPr>
                <w:color w:val="auto"/>
                <w:kern w:val="0"/>
              </w:rPr>
              <w:t xml:space="preserve">     其他（）</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vMerge w:val="restart"/>
            <w:shd w:val="clear" w:color="auto" w:fill="auto"/>
            <w:vAlign w:val="center"/>
          </w:tcPr>
          <w:p>
            <w:pPr>
              <w:jc w:val="center"/>
              <w:rPr>
                <w:color w:val="auto"/>
                <w:kern w:val="0"/>
              </w:rPr>
            </w:pPr>
            <w:r>
              <w:rPr>
                <w:color w:val="auto"/>
                <w:kern w:val="0"/>
              </w:rPr>
              <w:t>跟踪监测</w:t>
            </w:r>
          </w:p>
        </w:tc>
        <w:tc>
          <w:tcPr>
            <w:tcW w:w="815" w:type="pct"/>
            <w:shd w:val="clear" w:color="auto" w:fill="auto"/>
            <w:vAlign w:val="center"/>
          </w:tcPr>
          <w:p>
            <w:pPr>
              <w:jc w:val="center"/>
              <w:rPr>
                <w:color w:val="auto"/>
                <w:kern w:val="0"/>
              </w:rPr>
            </w:pPr>
            <w:r>
              <w:rPr>
                <w:color w:val="auto"/>
                <w:kern w:val="0"/>
              </w:rPr>
              <w:t>监测点位</w:t>
            </w:r>
          </w:p>
        </w:tc>
        <w:tc>
          <w:tcPr>
            <w:tcW w:w="1398" w:type="pct"/>
            <w:gridSpan w:val="2"/>
            <w:shd w:val="clear" w:color="auto" w:fill="auto"/>
            <w:vAlign w:val="center"/>
          </w:tcPr>
          <w:p>
            <w:pPr>
              <w:jc w:val="center"/>
              <w:rPr>
                <w:color w:val="auto"/>
                <w:kern w:val="0"/>
              </w:rPr>
            </w:pPr>
            <w:r>
              <w:rPr>
                <w:color w:val="auto"/>
                <w:kern w:val="0"/>
              </w:rPr>
              <w:t>监测指标</w:t>
            </w:r>
          </w:p>
        </w:tc>
        <w:tc>
          <w:tcPr>
            <w:tcW w:w="855" w:type="pct"/>
            <w:shd w:val="clear" w:color="auto" w:fill="auto"/>
            <w:vAlign w:val="center"/>
          </w:tcPr>
          <w:p>
            <w:pPr>
              <w:jc w:val="center"/>
              <w:rPr>
                <w:color w:val="auto"/>
                <w:kern w:val="0"/>
              </w:rPr>
            </w:pPr>
            <w:r>
              <w:rPr>
                <w:color w:val="auto"/>
                <w:kern w:val="0"/>
              </w:rPr>
              <w:t>监测频率</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vMerge w:val="continue"/>
            <w:shd w:val="clear" w:color="auto" w:fill="auto"/>
            <w:vAlign w:val="center"/>
          </w:tcPr>
          <w:p>
            <w:pPr>
              <w:jc w:val="center"/>
              <w:rPr>
                <w:color w:val="auto"/>
                <w:kern w:val="0"/>
              </w:rPr>
            </w:pPr>
          </w:p>
        </w:tc>
        <w:tc>
          <w:tcPr>
            <w:tcW w:w="815" w:type="pct"/>
            <w:shd w:val="clear" w:color="auto" w:fill="auto"/>
            <w:vAlign w:val="center"/>
          </w:tcPr>
          <w:p>
            <w:pPr>
              <w:jc w:val="center"/>
              <w:rPr>
                <w:color w:val="auto"/>
                <w:kern w:val="0"/>
              </w:rPr>
            </w:pPr>
            <w:r>
              <w:rPr>
                <w:color w:val="auto"/>
                <w:kern w:val="0"/>
              </w:rPr>
              <w:t>2</w:t>
            </w:r>
          </w:p>
        </w:tc>
        <w:tc>
          <w:tcPr>
            <w:tcW w:w="1398" w:type="pct"/>
            <w:gridSpan w:val="2"/>
            <w:shd w:val="clear" w:color="auto" w:fill="auto"/>
            <w:vAlign w:val="center"/>
          </w:tcPr>
          <w:p>
            <w:pPr>
              <w:jc w:val="center"/>
              <w:rPr>
                <w:color w:val="auto"/>
                <w:kern w:val="0"/>
              </w:rPr>
            </w:pPr>
            <w:r>
              <w:rPr>
                <w:color w:val="auto"/>
                <w:kern w:val="0"/>
              </w:rPr>
              <w:t>PH值、总铬、总镍、总锌、六价铬</w:t>
            </w:r>
          </w:p>
        </w:tc>
        <w:tc>
          <w:tcPr>
            <w:tcW w:w="855" w:type="pct"/>
            <w:shd w:val="clear" w:color="auto" w:fill="auto"/>
            <w:vAlign w:val="center"/>
          </w:tcPr>
          <w:p>
            <w:pPr>
              <w:jc w:val="center"/>
              <w:rPr>
                <w:color w:val="auto"/>
                <w:kern w:val="0"/>
              </w:rPr>
            </w:pPr>
            <w:r>
              <w:rPr>
                <w:color w:val="auto"/>
                <w:kern w:val="0"/>
              </w:rPr>
              <w:t>次/5年</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3" w:type="pct"/>
            <w:vMerge w:val="continue"/>
            <w:shd w:val="clear" w:color="auto" w:fill="auto"/>
            <w:vAlign w:val="center"/>
          </w:tcPr>
          <w:p>
            <w:pPr>
              <w:jc w:val="center"/>
              <w:rPr>
                <w:color w:val="auto"/>
                <w:kern w:val="0"/>
              </w:rPr>
            </w:pPr>
          </w:p>
        </w:tc>
        <w:tc>
          <w:tcPr>
            <w:tcW w:w="972" w:type="pct"/>
            <w:shd w:val="clear" w:color="auto" w:fill="auto"/>
            <w:vAlign w:val="center"/>
          </w:tcPr>
          <w:p>
            <w:pPr>
              <w:jc w:val="center"/>
              <w:rPr>
                <w:color w:val="auto"/>
                <w:kern w:val="0"/>
              </w:rPr>
            </w:pPr>
            <w:r>
              <w:rPr>
                <w:color w:val="auto"/>
                <w:kern w:val="0"/>
              </w:rPr>
              <w:t>信息公开指标</w:t>
            </w:r>
          </w:p>
        </w:tc>
        <w:tc>
          <w:tcPr>
            <w:tcW w:w="3068" w:type="pct"/>
            <w:gridSpan w:val="4"/>
            <w:shd w:val="clear" w:color="auto" w:fill="auto"/>
            <w:vAlign w:val="center"/>
          </w:tcPr>
          <w:p>
            <w:pPr>
              <w:jc w:val="center"/>
              <w:rPr>
                <w:color w:val="auto"/>
                <w:kern w:val="0"/>
              </w:rPr>
            </w:pPr>
            <w:r>
              <w:rPr>
                <w:color w:val="auto"/>
                <w:kern w:val="0"/>
              </w:rPr>
              <w:t>跟踪</w:t>
            </w:r>
            <w:r>
              <w:rPr>
                <w:rFonts w:hint="eastAsia"/>
                <w:color w:val="auto"/>
                <w:kern w:val="0"/>
                <w:lang w:eastAsia="zh-CN"/>
              </w:rPr>
              <w:t>监测</w:t>
            </w:r>
            <w:r>
              <w:rPr>
                <w:color w:val="auto"/>
                <w:kern w:val="0"/>
              </w:rPr>
              <w:t>报告</w:t>
            </w:r>
          </w:p>
        </w:tc>
        <w:tc>
          <w:tcPr>
            <w:tcW w:w="647" w:type="pct"/>
            <w:shd w:val="clear" w:color="auto" w:fill="auto"/>
            <w:vAlign w:val="center"/>
          </w:tcPr>
          <w:p>
            <w:pPr>
              <w:jc w:val="center"/>
              <w:rPr>
                <w:color w:val="auto"/>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5" w:type="pct"/>
            <w:gridSpan w:val="2"/>
            <w:shd w:val="clear" w:color="auto" w:fill="auto"/>
            <w:vAlign w:val="center"/>
          </w:tcPr>
          <w:p>
            <w:pPr>
              <w:jc w:val="center"/>
              <w:rPr>
                <w:color w:val="auto"/>
                <w:kern w:val="0"/>
              </w:rPr>
            </w:pPr>
            <w:r>
              <w:rPr>
                <w:color w:val="auto"/>
                <w:kern w:val="0"/>
              </w:rPr>
              <w:t>评价结论</w:t>
            </w:r>
          </w:p>
        </w:tc>
        <w:tc>
          <w:tcPr>
            <w:tcW w:w="3068" w:type="pct"/>
            <w:gridSpan w:val="4"/>
            <w:shd w:val="clear" w:color="auto" w:fill="auto"/>
            <w:vAlign w:val="center"/>
          </w:tcPr>
          <w:p>
            <w:pPr>
              <w:jc w:val="center"/>
              <w:rPr>
                <w:color w:val="auto"/>
                <w:kern w:val="0"/>
              </w:rPr>
            </w:pPr>
            <w:r>
              <w:rPr>
                <w:color w:val="auto"/>
                <w:kern w:val="0"/>
              </w:rPr>
              <w:t>建设项目对土壤环境的影响是可接受的</w:t>
            </w:r>
          </w:p>
        </w:tc>
        <w:tc>
          <w:tcPr>
            <w:tcW w:w="647" w:type="pct"/>
            <w:shd w:val="clear" w:color="auto" w:fill="auto"/>
            <w:vAlign w:val="center"/>
          </w:tcPr>
          <w:p>
            <w:pPr>
              <w:jc w:val="center"/>
              <w:rPr>
                <w:color w:val="auto"/>
                <w:kern w:val="0"/>
              </w:rPr>
            </w:pPr>
          </w:p>
        </w:tc>
      </w:tr>
    </w:tbl>
    <w:p>
      <w:pPr>
        <w:pStyle w:val="3"/>
        <w:keepNext/>
        <w:keepLines/>
        <w:pageBreakBefore/>
        <w:widowControl w:val="0"/>
        <w:numPr>
          <w:ilvl w:val="0"/>
          <w:numId w:val="2"/>
        </w:numPr>
        <w:tabs>
          <w:tab w:val="left" w:pos="360"/>
        </w:tabs>
        <w:kinsoku/>
        <w:wordWrap/>
        <w:overflowPunct/>
        <w:topLinePunct w:val="0"/>
        <w:autoSpaceDE/>
        <w:autoSpaceDN/>
        <w:bidi w:val="0"/>
        <w:adjustRightInd/>
        <w:snapToGrid/>
        <w:spacing w:before="313" w:beforeLines="100" w:after="0" w:line="360" w:lineRule="auto"/>
        <w:contextualSpacing/>
        <w:textAlignment w:val="baseline"/>
        <w:rPr>
          <w:color w:val="auto"/>
        </w:rPr>
      </w:pPr>
      <w:bookmarkStart w:id="354" w:name="_Toc112338954"/>
      <w:r>
        <w:rPr>
          <w:bCs w:val="0"/>
          <w:color w:val="auto"/>
          <w:szCs w:val="20"/>
        </w:rPr>
        <w:t xml:space="preserve"> 环境风险分析</w:t>
      </w:r>
      <w:bookmarkEnd w:id="218"/>
      <w:bookmarkEnd w:id="219"/>
      <w:bookmarkEnd w:id="354"/>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55" w:name="_Toc112338955"/>
      <w:bookmarkStart w:id="356" w:name="_Toc5953"/>
      <w:r>
        <w:rPr>
          <w:bCs w:val="0"/>
          <w:color w:val="auto"/>
          <w:kern w:val="0"/>
          <w:szCs w:val="20"/>
          <w:lang w:val="en-US"/>
        </w:rPr>
        <w:t>6.1环境风险分析的目的及工作流程</w:t>
      </w:r>
      <w:bookmarkEnd w:id="355"/>
      <w:bookmarkEnd w:id="356"/>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环境风险评价的目的是分析和预测建设项目存在的潜在危险、有害因素在运行期间可能发生的突发性事件或事故（一般不包括人为破坏及自然灾害），引起有毒有害和易燃易爆等物质泄漏，所造成的人身安全与环境影响和损害程度，提出合理可行的防范、应急与减缓措施，以使生产中出现的事故、损失和环境影响达到可接受水平。本次风险评价将按照《建设项目环境风险评价技术导则》（HJ 169-2018）和《关于进一步加强环境影响评价管理防范环境风险的通知》（环发[2012]77 号）的精神进行，找出项目生产中危险环节，认识危险程度，对事故影响进行简要分析，有针对性地提出防范、减缓和应急措施，将环境风险的可能性和危害性降低到最低程度。</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根据工程分析，本项目涉及的有毒有害、易燃易爆的场所主要集中在生产车间。因此，本次评价将通过生产全过程的分析，找出环境污染事故可能发生的环节、起因，提出风险防范措施。其具体的评价工作流程如下图6.1-1。</w:t>
      </w: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ind w:firstLine="480" w:firstLineChars="200"/>
        <w:rPr>
          <w:color w:val="auto"/>
          <w:kern w:val="21"/>
          <w:sz w:val="24"/>
          <w:lang w:val="en-US"/>
        </w:rPr>
      </w:pPr>
    </w:p>
    <w:p>
      <w:pPr>
        <w:pStyle w:val="32"/>
        <w:adjustRightInd w:val="0"/>
        <w:snapToGrid w:val="0"/>
        <w:spacing w:after="0" w:line="360" w:lineRule="auto"/>
        <w:rPr>
          <w:color w:val="auto"/>
          <w:kern w:val="21"/>
          <w:sz w:val="24"/>
          <w:lang w:val="en-US"/>
        </w:rPr>
      </w:pPr>
    </w:p>
    <w:p>
      <w:pPr>
        <w:adjustRightInd w:val="0"/>
        <w:snapToGrid w:val="0"/>
        <w:spacing w:line="360" w:lineRule="auto"/>
        <w:jc w:val="center"/>
        <w:rPr>
          <w:bCs/>
          <w:color w:val="auto"/>
          <w:kern w:val="21"/>
        </w:rPr>
      </w:pPr>
      <w:r>
        <w:rPr>
          <w:bCs/>
          <w:color w:val="auto"/>
          <w:kern w:val="21"/>
        </w:rPr>
        <w:drawing>
          <wp:inline distT="0" distB="0" distL="0" distR="0">
            <wp:extent cx="5132705" cy="5252720"/>
            <wp:effectExtent l="0" t="0" r="10795" b="5080"/>
            <wp:docPr id="89" name="图片 96" descr="1552720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6" descr="1552720047(1)"/>
                    <pic:cNvPicPr>
                      <a:picLocks noChangeAspect="1" noChangeArrowheads="1"/>
                    </pic:cNvPicPr>
                  </pic:nvPicPr>
                  <pic:blipFill>
                    <a:blip r:embed="rId144"/>
                    <a:srcRect/>
                    <a:stretch>
                      <a:fillRect/>
                    </a:stretch>
                  </pic:blipFill>
                  <pic:spPr>
                    <a:xfrm>
                      <a:off x="0" y="0"/>
                      <a:ext cx="5132705" cy="5252720"/>
                    </a:xfrm>
                    <a:prstGeom prst="rect">
                      <a:avLst/>
                    </a:prstGeom>
                    <a:noFill/>
                    <a:ln>
                      <a:noFill/>
                    </a:ln>
                    <a:effectLst/>
                  </pic:spPr>
                </pic:pic>
              </a:graphicData>
            </a:graphic>
          </wp:inline>
        </w:drawing>
      </w:r>
    </w:p>
    <w:p>
      <w:pPr>
        <w:pStyle w:val="32"/>
        <w:jc w:val="center"/>
        <w:rPr>
          <w:rFonts w:eastAsia="黑体"/>
          <w:color w:val="auto"/>
          <w:kern w:val="21"/>
          <w:sz w:val="24"/>
          <w:lang w:val="en-US"/>
        </w:rPr>
      </w:pPr>
      <w:r>
        <w:rPr>
          <w:rFonts w:eastAsia="黑体"/>
          <w:color w:val="auto"/>
          <w:kern w:val="21"/>
          <w:sz w:val="24"/>
          <w:lang w:val="en-US"/>
        </w:rPr>
        <w:t>图6.1-1  风险评价工作流程图</w:t>
      </w:r>
    </w:p>
    <w:p>
      <w:pPr>
        <w:pStyle w:val="4"/>
        <w:widowControl w:val="0"/>
        <w:tabs>
          <w:tab w:val="left" w:pos="1200"/>
          <w:tab w:val="left" w:pos="1571"/>
          <w:tab w:val="left" w:pos="1680"/>
        </w:tabs>
        <w:snapToGrid w:val="0"/>
        <w:spacing w:before="60" w:beforeLines="0" w:after="120" w:afterLines="0" w:line="560" w:lineRule="exact"/>
        <w:textAlignment w:val="baseline"/>
        <w:rPr>
          <w:snapToGrid w:val="0"/>
          <w:color w:val="auto"/>
          <w:kern w:val="21"/>
          <w:szCs w:val="30"/>
        </w:rPr>
      </w:pPr>
      <w:bookmarkStart w:id="357" w:name="_Toc112338956"/>
      <w:bookmarkStart w:id="358" w:name="_Toc10675"/>
      <w:r>
        <w:rPr>
          <w:bCs w:val="0"/>
          <w:color w:val="auto"/>
          <w:kern w:val="0"/>
          <w:szCs w:val="20"/>
          <w:lang w:val="en-US"/>
        </w:rPr>
        <w:t>6.2风险调查及环境风险潜势初判</w:t>
      </w:r>
      <w:bookmarkEnd w:id="357"/>
      <w:bookmarkEnd w:id="358"/>
    </w:p>
    <w:p>
      <w:pPr>
        <w:pStyle w:val="33"/>
        <w:adjustRightInd w:val="0"/>
        <w:snapToGrid w:val="0"/>
        <w:spacing w:after="0" w:line="360" w:lineRule="auto"/>
        <w:ind w:left="0" w:leftChars="0"/>
        <w:outlineLvl w:val="2"/>
        <w:rPr>
          <w:rFonts w:eastAsia="黑体"/>
          <w:snapToGrid w:val="0"/>
          <w:color w:val="auto"/>
          <w:kern w:val="21"/>
          <w:sz w:val="28"/>
          <w:szCs w:val="28"/>
        </w:rPr>
      </w:pPr>
      <w:r>
        <w:rPr>
          <w:rFonts w:eastAsia="黑体"/>
          <w:snapToGrid w:val="0"/>
          <w:color w:val="auto"/>
          <w:kern w:val="21"/>
          <w:sz w:val="28"/>
          <w:szCs w:val="28"/>
        </w:rPr>
        <w:t>6.2.1风险源调查及物质危险性</w:t>
      </w:r>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根据《建设项目环境影响评价导则  环境风险》（HJ169-2018）和《危险化学品重大危险源辨识》（GB 18218-2018）等识别本项目危险化学品为盐酸、硫酸、氢氧化钠、硫酸镍、氯化镍、铬酸酐、镍板。</w:t>
      </w:r>
    </w:p>
    <w:p>
      <w:pPr>
        <w:pStyle w:val="33"/>
        <w:adjustRightInd w:val="0"/>
        <w:snapToGrid w:val="0"/>
        <w:spacing w:after="0" w:line="360" w:lineRule="auto"/>
        <w:ind w:left="0" w:leftChars="0"/>
        <w:outlineLvl w:val="2"/>
        <w:rPr>
          <w:rFonts w:eastAsia="黑体"/>
          <w:snapToGrid w:val="0"/>
          <w:color w:val="auto"/>
          <w:kern w:val="21"/>
          <w:sz w:val="28"/>
          <w:szCs w:val="28"/>
        </w:rPr>
      </w:pPr>
      <w:r>
        <w:rPr>
          <w:rFonts w:eastAsia="黑体"/>
          <w:snapToGrid w:val="0"/>
          <w:color w:val="auto"/>
          <w:kern w:val="21"/>
          <w:sz w:val="28"/>
          <w:szCs w:val="28"/>
        </w:rPr>
        <w:t>6.2.2危险物质数量与临界量的比值（Q）</w:t>
      </w:r>
    </w:p>
    <w:p>
      <w:pPr>
        <w:pStyle w:val="32"/>
        <w:adjustRightInd w:val="0"/>
        <w:snapToGrid w:val="0"/>
        <w:spacing w:after="0" w:line="360" w:lineRule="auto"/>
        <w:ind w:firstLine="480" w:firstLineChars="200"/>
        <w:rPr>
          <w:snapToGrid w:val="0"/>
          <w:color w:val="auto"/>
          <w:kern w:val="21"/>
          <w:sz w:val="24"/>
          <w:szCs w:val="22"/>
          <w:lang w:val="en-US"/>
        </w:rPr>
      </w:pPr>
      <w:r>
        <w:rPr>
          <w:snapToGrid w:val="0"/>
          <w:color w:val="auto"/>
          <w:kern w:val="21"/>
          <w:sz w:val="24"/>
          <w:szCs w:val="22"/>
          <w:lang w:val="ru-RU"/>
        </w:rPr>
        <w:t>根据《建设项目环境风险评价技术导则》（HJ</w:t>
      </w:r>
      <w:r>
        <w:rPr>
          <w:snapToGrid w:val="0"/>
          <w:color w:val="auto"/>
          <w:kern w:val="21"/>
          <w:sz w:val="24"/>
          <w:szCs w:val="22"/>
          <w:lang w:val="en-US"/>
        </w:rPr>
        <w:t xml:space="preserve"> </w:t>
      </w:r>
      <w:r>
        <w:rPr>
          <w:snapToGrid w:val="0"/>
          <w:color w:val="auto"/>
          <w:kern w:val="21"/>
          <w:sz w:val="24"/>
          <w:szCs w:val="22"/>
          <w:lang w:val="ru-RU"/>
        </w:rPr>
        <w:t>169-20</w:t>
      </w:r>
      <w:r>
        <w:rPr>
          <w:snapToGrid w:val="0"/>
          <w:color w:val="auto"/>
          <w:kern w:val="21"/>
          <w:sz w:val="24"/>
          <w:szCs w:val="22"/>
          <w:lang w:val="en-US"/>
        </w:rPr>
        <w:t>18</w:t>
      </w:r>
      <w:r>
        <w:rPr>
          <w:snapToGrid w:val="0"/>
          <w:color w:val="auto"/>
          <w:kern w:val="21"/>
          <w:sz w:val="24"/>
          <w:szCs w:val="22"/>
          <w:lang w:val="ru-RU"/>
        </w:rPr>
        <w:t>）所述，</w:t>
      </w:r>
      <w:r>
        <w:rPr>
          <w:snapToGrid w:val="0"/>
          <w:color w:val="auto"/>
          <w:kern w:val="21"/>
          <w:sz w:val="24"/>
          <w:szCs w:val="22"/>
          <w:lang w:val="en-US"/>
        </w:rPr>
        <w:t>当只涉及一种危险物质时，计算该物质的总量与临界量的比值，即为Q；当存在多种危险物质时，则按式（C.1）计算物质总量与临界量比值（Q）：</w:t>
      </w:r>
    </w:p>
    <w:p>
      <w:pPr>
        <w:pStyle w:val="32"/>
        <w:adjustRightInd w:val="0"/>
        <w:snapToGrid w:val="0"/>
        <w:spacing w:after="0" w:line="360" w:lineRule="auto"/>
        <w:jc w:val="center"/>
        <w:rPr>
          <w:color w:val="auto"/>
          <w:kern w:val="21"/>
          <w:lang w:val="en-US"/>
        </w:rPr>
      </w:pPr>
      <w:r>
        <w:rPr>
          <w:color w:val="auto"/>
          <w:kern w:val="21"/>
          <w:lang w:val="en-US"/>
        </w:rPr>
        <w:object>
          <v:shape id="_x0000_i1044" o:spt="75" alt="" type="#_x0000_t75" style="height:33pt;width:111pt;" o:ole="t" filled="f" o:preferrelative="t" stroked="f" coordsize="21600,21600">
            <v:path/>
            <v:fill on="f" focussize="0,0"/>
            <v:stroke on="f"/>
            <v:imagedata r:id="rId48" o:title=""/>
            <o:lock v:ext="edit" aspectratio="t"/>
            <w10:wrap type="none"/>
            <w10:anchorlock/>
          </v:shape>
          <o:OLEObject Type="Embed" ProgID="Equation.3" ShapeID="_x0000_i1044" DrawAspect="Content" ObjectID="_1468075747" r:id="rId145">
            <o:LockedField>false</o:LockedField>
          </o:OLEObject>
        </w:object>
      </w:r>
      <w:r>
        <w:rPr>
          <w:color w:val="auto"/>
          <w:kern w:val="21"/>
          <w:lang w:val="en-US"/>
        </w:rPr>
        <w:t>（C.1）</w:t>
      </w:r>
    </w:p>
    <w:p>
      <w:pPr>
        <w:pStyle w:val="32"/>
        <w:adjustRightInd w:val="0"/>
        <w:snapToGrid w:val="0"/>
        <w:spacing w:after="0" w:line="360" w:lineRule="auto"/>
        <w:ind w:firstLine="480" w:firstLineChars="200"/>
        <w:rPr>
          <w:snapToGrid w:val="0"/>
          <w:color w:val="auto"/>
          <w:kern w:val="21"/>
          <w:sz w:val="24"/>
          <w:szCs w:val="22"/>
          <w:lang w:val="en-US"/>
        </w:rPr>
      </w:pPr>
      <w:r>
        <w:rPr>
          <w:snapToGrid w:val="0"/>
          <w:color w:val="auto"/>
          <w:kern w:val="21"/>
          <w:sz w:val="24"/>
          <w:szCs w:val="22"/>
          <w:lang w:val="en-US"/>
        </w:rPr>
        <w:t>式中：q1，q2，qn—每种危险物质的最大存在总量，t；Q1，Q2，Qn—每种危险物质的临界量，t；</w:t>
      </w:r>
    </w:p>
    <w:p>
      <w:pPr>
        <w:pStyle w:val="32"/>
        <w:adjustRightInd w:val="0"/>
        <w:snapToGrid w:val="0"/>
        <w:spacing w:after="0" w:line="360" w:lineRule="auto"/>
        <w:ind w:firstLine="480" w:firstLineChars="200"/>
        <w:rPr>
          <w:snapToGrid w:val="0"/>
          <w:color w:val="auto"/>
          <w:kern w:val="21"/>
          <w:sz w:val="24"/>
          <w:szCs w:val="22"/>
          <w:lang w:val="en-US"/>
        </w:rPr>
      </w:pPr>
      <w:r>
        <w:rPr>
          <w:snapToGrid w:val="0"/>
          <w:color w:val="auto"/>
          <w:kern w:val="21"/>
          <w:sz w:val="24"/>
          <w:szCs w:val="22"/>
          <w:lang w:val="en-US"/>
        </w:rPr>
        <w:t>当Q&lt;1时，该项目环境风险潜势为</w:t>
      </w:r>
      <w:r>
        <w:rPr>
          <w:snapToGrid w:val="0"/>
          <w:color w:val="auto"/>
          <w:kern w:val="21"/>
          <w:sz w:val="24"/>
          <w:szCs w:val="22"/>
          <w:lang w:val="en-US"/>
        </w:rPr>
        <w:fldChar w:fldCharType="begin"/>
      </w:r>
      <w:r>
        <w:rPr>
          <w:snapToGrid w:val="0"/>
          <w:color w:val="auto"/>
          <w:kern w:val="21"/>
          <w:sz w:val="24"/>
          <w:szCs w:val="22"/>
          <w:lang w:val="en-US"/>
        </w:rPr>
        <w:instrText xml:space="preserve"> = 1 \* ROMAN \* MERGEFORMAT </w:instrText>
      </w:r>
      <w:r>
        <w:rPr>
          <w:snapToGrid w:val="0"/>
          <w:color w:val="auto"/>
          <w:kern w:val="21"/>
          <w:sz w:val="24"/>
          <w:szCs w:val="22"/>
          <w:lang w:val="en-US"/>
        </w:rPr>
        <w:fldChar w:fldCharType="separate"/>
      </w:r>
      <w:r>
        <w:rPr>
          <w:color w:val="auto"/>
          <w:kern w:val="21"/>
        </w:rPr>
        <w:t>I</w:t>
      </w:r>
      <w:r>
        <w:rPr>
          <w:snapToGrid w:val="0"/>
          <w:color w:val="auto"/>
          <w:kern w:val="21"/>
          <w:sz w:val="24"/>
          <w:szCs w:val="22"/>
          <w:lang w:val="en-US"/>
        </w:rPr>
        <w:fldChar w:fldCharType="end"/>
      </w:r>
      <w:r>
        <w:rPr>
          <w:snapToGrid w:val="0"/>
          <w:color w:val="auto"/>
          <w:kern w:val="21"/>
          <w:sz w:val="24"/>
          <w:szCs w:val="22"/>
          <w:lang w:val="en-US"/>
        </w:rPr>
        <w:t>；当Q≥1时，将Q值划分为：（1）1≤Q&lt;10；（2）10≤Q&lt;100；（3）Q≥100。</w:t>
      </w:r>
    </w:p>
    <w:p>
      <w:pPr>
        <w:adjustRightInd w:val="0"/>
        <w:snapToGrid w:val="0"/>
        <w:spacing w:line="360" w:lineRule="auto"/>
        <w:ind w:firstLine="480" w:firstLineChars="200"/>
        <w:rPr>
          <w:snapToGrid w:val="0"/>
          <w:color w:val="auto"/>
          <w:kern w:val="21"/>
          <w:sz w:val="24"/>
          <w:szCs w:val="22"/>
          <w:lang w:val="ru-RU"/>
        </w:rPr>
      </w:pPr>
      <w:r>
        <w:rPr>
          <w:snapToGrid w:val="0"/>
          <w:color w:val="auto"/>
          <w:kern w:val="21"/>
          <w:sz w:val="24"/>
          <w:szCs w:val="22"/>
        </w:rPr>
        <w:t>对比</w:t>
      </w:r>
      <w:r>
        <w:rPr>
          <w:snapToGrid w:val="0"/>
          <w:color w:val="auto"/>
          <w:kern w:val="21"/>
          <w:sz w:val="24"/>
          <w:szCs w:val="22"/>
          <w:lang w:val="ru-RU"/>
        </w:rPr>
        <w:t>《建设项目环境风险评价技术导则》（HJ</w:t>
      </w:r>
      <w:r>
        <w:rPr>
          <w:snapToGrid w:val="0"/>
          <w:color w:val="auto"/>
          <w:kern w:val="21"/>
          <w:sz w:val="24"/>
          <w:szCs w:val="22"/>
        </w:rPr>
        <w:t xml:space="preserve"> </w:t>
      </w:r>
      <w:r>
        <w:rPr>
          <w:snapToGrid w:val="0"/>
          <w:color w:val="auto"/>
          <w:kern w:val="21"/>
          <w:sz w:val="24"/>
          <w:szCs w:val="22"/>
          <w:lang w:val="ru-RU"/>
        </w:rPr>
        <w:t>169-20</w:t>
      </w:r>
      <w:r>
        <w:rPr>
          <w:snapToGrid w:val="0"/>
          <w:color w:val="auto"/>
          <w:kern w:val="21"/>
          <w:sz w:val="24"/>
          <w:szCs w:val="22"/>
        </w:rPr>
        <w:t>18</w:t>
      </w:r>
      <w:r>
        <w:rPr>
          <w:snapToGrid w:val="0"/>
          <w:color w:val="auto"/>
          <w:kern w:val="21"/>
          <w:sz w:val="24"/>
          <w:szCs w:val="22"/>
          <w:lang w:val="ru-RU"/>
        </w:rPr>
        <w:t>）附录</w:t>
      </w:r>
      <w:r>
        <w:rPr>
          <w:snapToGrid w:val="0"/>
          <w:color w:val="auto"/>
          <w:kern w:val="21"/>
          <w:sz w:val="24"/>
          <w:szCs w:val="22"/>
        </w:rPr>
        <w:t>B</w:t>
      </w:r>
      <w:r>
        <w:rPr>
          <w:snapToGrid w:val="0"/>
          <w:color w:val="auto"/>
          <w:kern w:val="21"/>
          <w:sz w:val="24"/>
          <w:szCs w:val="22"/>
          <w:lang w:val="ru-RU"/>
        </w:rPr>
        <w:t>中重点关注的危险物质及临界量</w:t>
      </w:r>
      <w:r>
        <w:rPr>
          <w:snapToGrid w:val="0"/>
          <w:color w:val="auto"/>
          <w:kern w:val="21"/>
          <w:sz w:val="24"/>
          <w:szCs w:val="22"/>
        </w:rPr>
        <w:t>如下</w:t>
      </w:r>
      <w:r>
        <w:rPr>
          <w:snapToGrid w:val="0"/>
          <w:color w:val="auto"/>
          <w:kern w:val="21"/>
          <w:sz w:val="24"/>
          <w:szCs w:val="22"/>
          <w:lang w:val="ru-RU"/>
        </w:rPr>
        <w:t>。</w:t>
      </w:r>
    </w:p>
    <w:p>
      <w:pPr>
        <w:pStyle w:val="32"/>
        <w:adjustRightInd w:val="0"/>
        <w:snapToGrid w:val="0"/>
        <w:spacing w:after="0"/>
        <w:jc w:val="center"/>
        <w:rPr>
          <w:rFonts w:eastAsia="黑体"/>
          <w:b/>
          <w:color w:val="auto"/>
          <w:kern w:val="21"/>
          <w:sz w:val="24"/>
          <w:u w:val="single"/>
          <w:lang w:val="en-US"/>
        </w:rPr>
      </w:pPr>
      <w:r>
        <w:rPr>
          <w:rFonts w:eastAsia="黑体"/>
          <w:b/>
          <w:color w:val="auto"/>
          <w:kern w:val="21"/>
          <w:sz w:val="24"/>
          <w:u w:val="single"/>
          <w:lang w:val="en-US"/>
        </w:rPr>
        <w:t>表6.2-1    本项目危险化学品储存情况一览表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1"/>
        <w:gridCol w:w="1944"/>
        <w:gridCol w:w="1896"/>
        <w:gridCol w:w="1332"/>
        <w:gridCol w:w="2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序号</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危险化学品名称</w:t>
            </w:r>
          </w:p>
        </w:tc>
        <w:tc>
          <w:tcPr>
            <w:tcW w:w="1896"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存在总量（t）</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临界量（t）</w:t>
            </w:r>
          </w:p>
        </w:tc>
        <w:tc>
          <w:tcPr>
            <w:tcW w:w="236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存储量/临界量（qi/Qi）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1</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盐酸（氯化氢）</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10.5</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20</w:t>
            </w:r>
          </w:p>
        </w:tc>
        <w:tc>
          <w:tcPr>
            <w:tcW w:w="2361" w:type="dxa"/>
            <w:vAlign w:val="center"/>
          </w:tcPr>
          <w:p>
            <w:pPr>
              <w:spacing w:line="480" w:lineRule="exact"/>
              <w:jc w:val="center"/>
              <w:rPr>
                <w:b/>
                <w:color w:val="auto"/>
                <w:kern w:val="21"/>
                <w:u w:val="single"/>
              </w:rPr>
            </w:pPr>
            <w:r>
              <w:rPr>
                <w:rFonts w:hint="eastAsia"/>
                <w:b/>
                <w:color w:val="auto"/>
                <w:kern w:val="21"/>
                <w:u w:val="single"/>
              </w:rPr>
              <w:t>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2</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硫酸</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5.7</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10</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3</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氢氧化钠</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2.5</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50</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4</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硫酸镍</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5</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0.25</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5</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氯化镍</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2.5</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0.25</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6</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铬酸</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2.5</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0.25</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7</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天然气</w:t>
            </w:r>
          </w:p>
        </w:tc>
        <w:tc>
          <w:tcPr>
            <w:tcW w:w="1896"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0</w:t>
            </w:r>
          </w:p>
        </w:tc>
        <w:tc>
          <w:tcPr>
            <w:tcW w:w="1332"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50</w:t>
            </w:r>
          </w:p>
        </w:tc>
        <w:tc>
          <w:tcPr>
            <w:tcW w:w="2361"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7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8</w:t>
            </w:r>
          </w:p>
        </w:tc>
        <w:tc>
          <w:tcPr>
            <w:tcW w:w="1944" w:type="dxa"/>
            <w:vAlign w:val="center"/>
          </w:tcPr>
          <w:p>
            <w:pPr>
              <w:pStyle w:val="32"/>
              <w:adjustRightInd w:val="0"/>
              <w:snapToGrid w:val="0"/>
              <w:spacing w:after="0"/>
              <w:jc w:val="center"/>
              <w:rPr>
                <w:b/>
                <w:color w:val="auto"/>
                <w:kern w:val="21"/>
                <w:szCs w:val="21"/>
                <w:u w:val="single"/>
                <w:lang w:val="en-US"/>
              </w:rPr>
            </w:pPr>
            <w:r>
              <w:rPr>
                <w:b/>
                <w:color w:val="auto"/>
                <w:kern w:val="21"/>
                <w:szCs w:val="21"/>
                <w:u w:val="single"/>
                <w:lang w:val="en-US"/>
              </w:rPr>
              <w:t>镍板</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10</w:t>
            </w:r>
          </w:p>
        </w:tc>
        <w:tc>
          <w:tcPr>
            <w:tcW w:w="1332"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0.25</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15" w:type="dxa"/>
            <w:gridSpan w:val="2"/>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合计</w:t>
            </w:r>
          </w:p>
        </w:tc>
        <w:tc>
          <w:tcPr>
            <w:tcW w:w="1896"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w:t>
            </w:r>
          </w:p>
        </w:tc>
        <w:tc>
          <w:tcPr>
            <w:tcW w:w="1332"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w:t>
            </w:r>
          </w:p>
        </w:tc>
        <w:tc>
          <w:tcPr>
            <w:tcW w:w="2361" w:type="dxa"/>
            <w:vAlign w:val="center"/>
          </w:tcPr>
          <w:p>
            <w:pPr>
              <w:pStyle w:val="32"/>
              <w:adjustRightInd w:val="0"/>
              <w:snapToGrid w:val="0"/>
              <w:spacing w:after="0"/>
              <w:jc w:val="center"/>
              <w:rPr>
                <w:b/>
                <w:color w:val="auto"/>
                <w:kern w:val="21"/>
                <w:szCs w:val="21"/>
                <w:u w:val="single"/>
                <w:lang w:val="en-US"/>
              </w:rPr>
            </w:pPr>
            <w:r>
              <w:rPr>
                <w:rFonts w:hint="eastAsia"/>
                <w:b/>
                <w:color w:val="auto"/>
                <w:kern w:val="21"/>
                <w:szCs w:val="21"/>
                <w:u w:val="single"/>
                <w:lang w:val="en-US"/>
              </w:rPr>
              <w:t>81.13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04" w:type="dxa"/>
            <w:gridSpan w:val="5"/>
            <w:vAlign w:val="center"/>
          </w:tcPr>
          <w:p>
            <w:pPr>
              <w:pStyle w:val="32"/>
              <w:adjustRightInd w:val="0"/>
              <w:snapToGrid w:val="0"/>
              <w:spacing w:after="0"/>
              <w:rPr>
                <w:b/>
                <w:color w:val="auto"/>
                <w:kern w:val="21"/>
                <w:szCs w:val="21"/>
                <w:u w:val="single"/>
                <w:lang w:val="en-US"/>
              </w:rPr>
            </w:pPr>
            <w:r>
              <w:rPr>
                <w:rFonts w:hint="eastAsia"/>
                <w:b/>
                <w:color w:val="auto"/>
                <w:kern w:val="21"/>
                <w:szCs w:val="21"/>
                <w:u w:val="single"/>
                <w:lang w:val="en-US"/>
              </w:rPr>
              <w:t>注：存在总量包含在线量</w:t>
            </w:r>
          </w:p>
        </w:tc>
      </w:tr>
    </w:tbl>
    <w:p>
      <w:pPr>
        <w:pStyle w:val="32"/>
        <w:adjustRightInd w:val="0"/>
        <w:snapToGrid w:val="0"/>
        <w:spacing w:after="0" w:line="360" w:lineRule="auto"/>
        <w:outlineLvl w:val="2"/>
        <w:rPr>
          <w:rFonts w:eastAsia="黑体"/>
          <w:snapToGrid w:val="0"/>
          <w:color w:val="auto"/>
          <w:kern w:val="21"/>
          <w:sz w:val="28"/>
          <w:szCs w:val="28"/>
          <w:lang w:val="en-US"/>
        </w:rPr>
      </w:pPr>
      <w:r>
        <w:rPr>
          <w:rFonts w:eastAsia="黑体"/>
          <w:snapToGrid w:val="0"/>
          <w:color w:val="auto"/>
          <w:kern w:val="21"/>
          <w:sz w:val="28"/>
          <w:szCs w:val="28"/>
          <w:lang w:val="en-US"/>
        </w:rPr>
        <w:t>6.2.3行业及生产工艺（M）</w:t>
      </w:r>
    </w:p>
    <w:p>
      <w:pPr>
        <w:adjustRightInd w:val="0"/>
        <w:snapToGrid w:val="0"/>
        <w:spacing w:line="360" w:lineRule="auto"/>
        <w:ind w:firstLine="480"/>
        <w:rPr>
          <w:color w:val="auto"/>
          <w:kern w:val="21"/>
          <w:sz w:val="24"/>
          <w:szCs w:val="24"/>
        </w:rPr>
      </w:pPr>
      <w:r>
        <w:rPr>
          <w:color w:val="auto"/>
          <w:kern w:val="21"/>
          <w:sz w:val="24"/>
          <w:szCs w:val="24"/>
        </w:rPr>
        <w:t>行业及生产工艺分类如下表所示：</w:t>
      </w: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表6.2-2    行业及生产工艺一览表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9"/>
        <w:gridCol w:w="4680"/>
        <w:gridCol w:w="1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行业</w:t>
            </w:r>
          </w:p>
        </w:tc>
        <w:tc>
          <w:tcPr>
            <w:tcW w:w="4680"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评估依据</w:t>
            </w:r>
          </w:p>
        </w:tc>
        <w:tc>
          <w:tcPr>
            <w:tcW w:w="1725"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Merge w:val="restart"/>
            <w:vAlign w:val="center"/>
          </w:tcPr>
          <w:p>
            <w:pPr>
              <w:pStyle w:val="32"/>
              <w:adjustRightInd w:val="0"/>
              <w:snapToGrid w:val="0"/>
              <w:spacing w:after="0"/>
              <w:jc w:val="center"/>
              <w:rPr>
                <w:color w:val="auto"/>
                <w:kern w:val="21"/>
                <w:szCs w:val="21"/>
                <w:lang w:val="en-US"/>
              </w:rPr>
            </w:pPr>
            <w:r>
              <w:rPr>
                <w:color w:val="auto"/>
                <w:kern w:val="21"/>
                <w:szCs w:val="21"/>
                <w:lang w:val="en-US"/>
              </w:rPr>
              <w:t>石油、化工、医药、轻工、化纤、有色冶炼等</w:t>
            </w:r>
          </w:p>
        </w:tc>
        <w:tc>
          <w:tcPr>
            <w:tcW w:w="4680" w:type="dxa"/>
            <w:vAlign w:val="center"/>
          </w:tcPr>
          <w:p>
            <w:pPr>
              <w:pStyle w:val="32"/>
              <w:adjustRightInd w:val="0"/>
              <w:snapToGrid w:val="0"/>
              <w:spacing w:after="0"/>
              <w:jc w:val="center"/>
              <w:rPr>
                <w:color w:val="auto"/>
                <w:kern w:val="21"/>
                <w:szCs w:val="21"/>
                <w:lang w:val="en-US"/>
              </w:rPr>
            </w:pPr>
            <w:r>
              <w:rPr>
                <w:color w:val="auto"/>
                <w:kern w:val="21"/>
                <w:szCs w:val="21"/>
                <w:lang w:val="en-US"/>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725" w:type="dxa"/>
            <w:vAlign w:val="center"/>
          </w:tcPr>
          <w:p>
            <w:pPr>
              <w:pStyle w:val="32"/>
              <w:adjustRightInd w:val="0"/>
              <w:snapToGrid w:val="0"/>
              <w:spacing w:after="0"/>
              <w:jc w:val="center"/>
              <w:rPr>
                <w:color w:val="auto"/>
                <w:kern w:val="21"/>
                <w:szCs w:val="21"/>
                <w:lang w:val="en-US"/>
              </w:rPr>
            </w:pPr>
            <w:r>
              <w:rPr>
                <w:color w:val="auto"/>
                <w:kern w:val="21"/>
                <w:szCs w:val="21"/>
                <w:lang w:val="en-US"/>
              </w:rPr>
              <w:t>10/套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Merge w:val="continue"/>
            <w:vAlign w:val="center"/>
          </w:tcPr>
          <w:p>
            <w:pPr>
              <w:pStyle w:val="32"/>
              <w:adjustRightInd w:val="0"/>
              <w:snapToGrid w:val="0"/>
              <w:spacing w:after="0"/>
              <w:jc w:val="center"/>
              <w:rPr>
                <w:color w:val="auto"/>
                <w:kern w:val="21"/>
                <w:szCs w:val="21"/>
                <w:lang w:val="en-US"/>
              </w:rPr>
            </w:pPr>
          </w:p>
        </w:tc>
        <w:tc>
          <w:tcPr>
            <w:tcW w:w="4680" w:type="dxa"/>
            <w:vAlign w:val="center"/>
          </w:tcPr>
          <w:p>
            <w:pPr>
              <w:pStyle w:val="32"/>
              <w:adjustRightInd w:val="0"/>
              <w:snapToGrid w:val="0"/>
              <w:spacing w:after="0"/>
              <w:jc w:val="center"/>
              <w:rPr>
                <w:color w:val="auto"/>
                <w:kern w:val="21"/>
                <w:szCs w:val="21"/>
                <w:lang w:val="en-US"/>
              </w:rPr>
            </w:pPr>
            <w:r>
              <w:rPr>
                <w:color w:val="auto"/>
                <w:kern w:val="21"/>
                <w:szCs w:val="21"/>
                <w:lang w:val="en-US"/>
              </w:rPr>
              <w:t>无机酸制酸工艺、焦化工艺</w:t>
            </w:r>
          </w:p>
        </w:tc>
        <w:tc>
          <w:tcPr>
            <w:tcW w:w="1725" w:type="dxa"/>
            <w:vAlign w:val="center"/>
          </w:tcPr>
          <w:p>
            <w:pPr>
              <w:pStyle w:val="32"/>
              <w:adjustRightInd w:val="0"/>
              <w:snapToGrid w:val="0"/>
              <w:spacing w:after="0"/>
              <w:jc w:val="center"/>
              <w:rPr>
                <w:color w:val="auto"/>
                <w:kern w:val="21"/>
                <w:szCs w:val="21"/>
                <w:lang w:val="en-US"/>
              </w:rPr>
            </w:pPr>
            <w:r>
              <w:rPr>
                <w:color w:val="auto"/>
                <w:kern w:val="21"/>
                <w:szCs w:val="21"/>
                <w:lang w:val="en-US"/>
              </w:rPr>
              <w:t>5/套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Merge w:val="continue"/>
            <w:vAlign w:val="center"/>
          </w:tcPr>
          <w:p>
            <w:pPr>
              <w:pStyle w:val="32"/>
              <w:adjustRightInd w:val="0"/>
              <w:snapToGrid w:val="0"/>
              <w:spacing w:after="0"/>
              <w:jc w:val="center"/>
              <w:rPr>
                <w:color w:val="auto"/>
                <w:kern w:val="21"/>
                <w:szCs w:val="21"/>
                <w:lang w:val="en-US"/>
              </w:rPr>
            </w:pPr>
          </w:p>
        </w:tc>
        <w:tc>
          <w:tcPr>
            <w:tcW w:w="4680" w:type="dxa"/>
            <w:vAlign w:val="center"/>
          </w:tcPr>
          <w:p>
            <w:pPr>
              <w:pStyle w:val="32"/>
              <w:adjustRightInd w:val="0"/>
              <w:snapToGrid w:val="0"/>
              <w:spacing w:after="0"/>
              <w:jc w:val="center"/>
              <w:rPr>
                <w:color w:val="auto"/>
                <w:kern w:val="21"/>
                <w:szCs w:val="21"/>
                <w:lang w:val="en-US"/>
              </w:rPr>
            </w:pPr>
            <w:r>
              <w:rPr>
                <w:color w:val="auto"/>
                <w:kern w:val="21"/>
                <w:szCs w:val="21"/>
                <w:lang w:val="en-US"/>
              </w:rPr>
              <w:t>其他高温或高压，且涉及危险物质的生产过程、危险物质贮存罐区</w:t>
            </w:r>
          </w:p>
        </w:tc>
        <w:tc>
          <w:tcPr>
            <w:tcW w:w="1725" w:type="dxa"/>
            <w:vAlign w:val="center"/>
          </w:tcPr>
          <w:p>
            <w:pPr>
              <w:pStyle w:val="32"/>
              <w:adjustRightInd w:val="0"/>
              <w:snapToGrid w:val="0"/>
              <w:spacing w:after="0"/>
              <w:jc w:val="center"/>
              <w:rPr>
                <w:color w:val="auto"/>
                <w:kern w:val="21"/>
                <w:szCs w:val="21"/>
                <w:lang w:val="en-US"/>
              </w:rPr>
            </w:pPr>
            <w:r>
              <w:rPr>
                <w:color w:val="auto"/>
                <w:kern w:val="21"/>
                <w:szCs w:val="21"/>
                <w:lang w:val="en-US"/>
              </w:rPr>
              <w:t>5/套（罐区）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Align w:val="center"/>
          </w:tcPr>
          <w:p>
            <w:pPr>
              <w:pStyle w:val="32"/>
              <w:adjustRightInd w:val="0"/>
              <w:snapToGrid w:val="0"/>
              <w:spacing w:after="0"/>
              <w:jc w:val="center"/>
              <w:rPr>
                <w:color w:val="auto"/>
                <w:kern w:val="21"/>
                <w:szCs w:val="21"/>
                <w:lang w:val="en-US"/>
              </w:rPr>
            </w:pPr>
            <w:r>
              <w:rPr>
                <w:color w:val="auto"/>
                <w:kern w:val="21"/>
                <w:szCs w:val="21"/>
                <w:lang w:val="en-US"/>
              </w:rPr>
              <w:t>管道、港口/码头等</w:t>
            </w:r>
          </w:p>
        </w:tc>
        <w:tc>
          <w:tcPr>
            <w:tcW w:w="4680" w:type="dxa"/>
            <w:vAlign w:val="center"/>
          </w:tcPr>
          <w:p>
            <w:pPr>
              <w:pStyle w:val="32"/>
              <w:adjustRightInd w:val="0"/>
              <w:snapToGrid w:val="0"/>
              <w:spacing w:after="0"/>
              <w:jc w:val="center"/>
              <w:rPr>
                <w:color w:val="auto"/>
                <w:kern w:val="21"/>
                <w:szCs w:val="21"/>
                <w:lang w:val="en-US"/>
              </w:rPr>
            </w:pPr>
            <w:r>
              <w:rPr>
                <w:color w:val="auto"/>
                <w:kern w:val="21"/>
                <w:szCs w:val="21"/>
                <w:lang w:val="en-US"/>
              </w:rPr>
              <w:t>涉及危险物质管道运输项目、港口/码头等</w:t>
            </w:r>
          </w:p>
        </w:tc>
        <w:tc>
          <w:tcPr>
            <w:tcW w:w="1725" w:type="dxa"/>
            <w:vAlign w:val="center"/>
          </w:tcPr>
          <w:p>
            <w:pPr>
              <w:pStyle w:val="32"/>
              <w:adjustRightInd w:val="0"/>
              <w:snapToGrid w:val="0"/>
              <w:spacing w:after="0"/>
              <w:jc w:val="center"/>
              <w:rPr>
                <w:color w:val="auto"/>
                <w:kern w:val="21"/>
                <w:szCs w:val="21"/>
                <w:lang w:val="en-US"/>
              </w:rPr>
            </w:pPr>
            <w:r>
              <w:rPr>
                <w:color w:val="auto"/>
                <w:kern w:val="21"/>
                <w:szCs w:val="21"/>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Align w:val="center"/>
          </w:tcPr>
          <w:p>
            <w:pPr>
              <w:pStyle w:val="32"/>
              <w:adjustRightInd w:val="0"/>
              <w:snapToGrid w:val="0"/>
              <w:spacing w:after="0"/>
              <w:jc w:val="center"/>
              <w:rPr>
                <w:color w:val="auto"/>
                <w:kern w:val="21"/>
                <w:szCs w:val="21"/>
                <w:lang w:val="en-US"/>
              </w:rPr>
            </w:pPr>
            <w:r>
              <w:rPr>
                <w:color w:val="auto"/>
                <w:kern w:val="21"/>
                <w:szCs w:val="21"/>
                <w:lang w:val="en-US"/>
              </w:rPr>
              <w:t>石油天然气</w:t>
            </w:r>
          </w:p>
        </w:tc>
        <w:tc>
          <w:tcPr>
            <w:tcW w:w="4680" w:type="dxa"/>
            <w:vAlign w:val="center"/>
          </w:tcPr>
          <w:p>
            <w:pPr>
              <w:pStyle w:val="32"/>
              <w:adjustRightInd w:val="0"/>
              <w:snapToGrid w:val="0"/>
              <w:spacing w:after="0"/>
              <w:jc w:val="center"/>
              <w:rPr>
                <w:color w:val="auto"/>
                <w:kern w:val="21"/>
                <w:szCs w:val="21"/>
                <w:lang w:val="en-US"/>
              </w:rPr>
            </w:pPr>
            <w:r>
              <w:rPr>
                <w:color w:val="auto"/>
                <w:kern w:val="21"/>
                <w:szCs w:val="21"/>
                <w:lang w:val="en-US"/>
              </w:rPr>
              <w:t>石油、天然气、页岩气开采（含净化），气库（不含加气站的气库），油库（不含加气站的油库）、油气管线（不含城镇燃气管线）</w:t>
            </w:r>
          </w:p>
        </w:tc>
        <w:tc>
          <w:tcPr>
            <w:tcW w:w="1725" w:type="dxa"/>
            <w:vAlign w:val="center"/>
          </w:tcPr>
          <w:p>
            <w:pPr>
              <w:pStyle w:val="32"/>
              <w:adjustRightInd w:val="0"/>
              <w:snapToGrid w:val="0"/>
              <w:spacing w:after="0"/>
              <w:jc w:val="center"/>
              <w:rPr>
                <w:color w:val="auto"/>
                <w:kern w:val="21"/>
                <w:szCs w:val="21"/>
                <w:lang w:val="en-US"/>
              </w:rPr>
            </w:pPr>
            <w:r>
              <w:rPr>
                <w:color w:val="auto"/>
                <w:kern w:val="21"/>
                <w:szCs w:val="21"/>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99" w:type="dxa"/>
            <w:vAlign w:val="center"/>
          </w:tcPr>
          <w:p>
            <w:pPr>
              <w:pStyle w:val="32"/>
              <w:adjustRightInd w:val="0"/>
              <w:snapToGrid w:val="0"/>
              <w:spacing w:after="0"/>
              <w:jc w:val="center"/>
              <w:rPr>
                <w:color w:val="auto"/>
                <w:kern w:val="21"/>
                <w:szCs w:val="21"/>
                <w:lang w:val="en-US"/>
              </w:rPr>
            </w:pPr>
            <w:r>
              <w:rPr>
                <w:color w:val="auto"/>
                <w:kern w:val="21"/>
                <w:szCs w:val="21"/>
                <w:lang w:val="en-US"/>
              </w:rPr>
              <w:t>其他</w:t>
            </w:r>
          </w:p>
        </w:tc>
        <w:tc>
          <w:tcPr>
            <w:tcW w:w="4680" w:type="dxa"/>
            <w:vAlign w:val="center"/>
          </w:tcPr>
          <w:p>
            <w:pPr>
              <w:pStyle w:val="32"/>
              <w:adjustRightInd w:val="0"/>
              <w:snapToGrid w:val="0"/>
              <w:spacing w:after="0"/>
              <w:jc w:val="center"/>
              <w:rPr>
                <w:color w:val="auto"/>
                <w:kern w:val="21"/>
                <w:szCs w:val="21"/>
                <w:lang w:val="en-US"/>
              </w:rPr>
            </w:pPr>
            <w:r>
              <w:rPr>
                <w:color w:val="auto"/>
                <w:kern w:val="21"/>
                <w:szCs w:val="21"/>
                <w:lang w:val="en-US"/>
              </w:rPr>
              <w:t>涉及危险物质使用、贮存的项目</w:t>
            </w:r>
          </w:p>
        </w:tc>
        <w:tc>
          <w:tcPr>
            <w:tcW w:w="1725" w:type="dxa"/>
            <w:vAlign w:val="center"/>
          </w:tcPr>
          <w:p>
            <w:pPr>
              <w:pStyle w:val="32"/>
              <w:adjustRightInd w:val="0"/>
              <w:snapToGrid w:val="0"/>
              <w:spacing w:after="0"/>
              <w:jc w:val="center"/>
              <w:rPr>
                <w:color w:val="auto"/>
                <w:kern w:val="21"/>
                <w:szCs w:val="21"/>
                <w:lang w:val="en-US"/>
              </w:rPr>
            </w:pPr>
            <w:r>
              <w:rPr>
                <w:color w:val="auto"/>
                <w:kern w:val="21"/>
                <w:szCs w:val="21"/>
                <w:lang w:val="en-US"/>
              </w:rPr>
              <w:t>5</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21"/>
          <w:sz w:val="24"/>
          <w:szCs w:val="24"/>
        </w:rPr>
        <w:t>根据本项目与行业及生产工艺的评分，本项目属于其他行业，评估依据为设计危险物质使用、贮存项目，分值为5，故本项目M=5，以M4表示。</w:t>
      </w:r>
    </w:p>
    <w:p>
      <w:pPr>
        <w:adjustRightInd w:val="0"/>
        <w:snapToGrid w:val="0"/>
        <w:spacing w:line="360" w:lineRule="auto"/>
        <w:rPr>
          <w:color w:val="auto"/>
          <w:kern w:val="21"/>
          <w:sz w:val="24"/>
          <w:szCs w:val="24"/>
        </w:rPr>
      </w:pPr>
      <w:r>
        <w:rPr>
          <w:rFonts w:eastAsia="黑体"/>
          <w:snapToGrid w:val="0"/>
          <w:color w:val="auto"/>
          <w:kern w:val="21"/>
          <w:sz w:val="28"/>
          <w:szCs w:val="28"/>
        </w:rPr>
        <w:t>6.2.4危险物质及工艺系统危险性（P）分级</w:t>
      </w:r>
    </w:p>
    <w:p>
      <w:pPr>
        <w:adjustRightInd w:val="0"/>
        <w:snapToGrid w:val="0"/>
        <w:spacing w:line="360" w:lineRule="auto"/>
        <w:ind w:firstLine="480" w:firstLineChars="200"/>
        <w:rPr>
          <w:color w:val="auto"/>
          <w:kern w:val="21"/>
          <w:sz w:val="24"/>
          <w:szCs w:val="24"/>
        </w:rPr>
      </w:pPr>
      <w:r>
        <w:rPr>
          <w:color w:val="auto"/>
          <w:kern w:val="21"/>
          <w:sz w:val="24"/>
          <w:szCs w:val="24"/>
        </w:rPr>
        <w:t>危险物质及工艺系统危险性等级判断表如下。</w:t>
      </w:r>
    </w:p>
    <w:p>
      <w:pPr>
        <w:adjustRightInd w:val="0"/>
        <w:snapToGrid w:val="0"/>
        <w:jc w:val="center"/>
        <w:rPr>
          <w:rFonts w:eastAsia="黑体"/>
          <w:color w:val="auto"/>
          <w:kern w:val="21"/>
          <w:sz w:val="24"/>
          <w:szCs w:val="24"/>
        </w:rPr>
      </w:pPr>
      <w:r>
        <w:rPr>
          <w:rFonts w:eastAsia="黑体"/>
          <w:color w:val="auto"/>
          <w:kern w:val="21"/>
          <w:sz w:val="24"/>
          <w:szCs w:val="24"/>
        </w:rPr>
        <w:t>表6.2-3  危险物质及工艺系统危险性等级判断（P）</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Merge w:val="restart"/>
            <w:vAlign w:val="center"/>
          </w:tcPr>
          <w:p>
            <w:pPr>
              <w:adjustRightInd w:val="0"/>
              <w:snapToGrid w:val="0"/>
              <w:jc w:val="center"/>
              <w:rPr>
                <w:b/>
                <w:bCs/>
                <w:color w:val="auto"/>
                <w:kern w:val="21"/>
              </w:rPr>
            </w:pPr>
            <w:r>
              <w:rPr>
                <w:b/>
                <w:bCs/>
                <w:color w:val="auto"/>
                <w:kern w:val="21"/>
              </w:rPr>
              <w:t>危险物质数量与临界量比值（Q）</w:t>
            </w:r>
          </w:p>
        </w:tc>
        <w:tc>
          <w:tcPr>
            <w:tcW w:w="6804" w:type="dxa"/>
            <w:gridSpan w:val="4"/>
            <w:vAlign w:val="center"/>
          </w:tcPr>
          <w:p>
            <w:pPr>
              <w:adjustRightInd w:val="0"/>
              <w:snapToGrid w:val="0"/>
              <w:jc w:val="center"/>
              <w:rPr>
                <w:b/>
                <w:bCs/>
                <w:color w:val="auto"/>
                <w:kern w:val="21"/>
              </w:rPr>
            </w:pPr>
            <w:r>
              <w:rPr>
                <w:b/>
                <w:bCs/>
                <w:color w:val="auto"/>
                <w:kern w:val="21"/>
              </w:rPr>
              <w:t>行业及生产工艺（M）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Merge w:val="continue"/>
            <w:vAlign w:val="center"/>
          </w:tcPr>
          <w:p>
            <w:pPr>
              <w:adjustRightInd w:val="0"/>
              <w:snapToGrid w:val="0"/>
              <w:jc w:val="center"/>
              <w:rPr>
                <w:b/>
                <w:bCs/>
                <w:color w:val="auto"/>
                <w:kern w:val="21"/>
              </w:rPr>
            </w:pPr>
          </w:p>
        </w:tc>
        <w:tc>
          <w:tcPr>
            <w:tcW w:w="1701" w:type="dxa"/>
            <w:vAlign w:val="center"/>
          </w:tcPr>
          <w:p>
            <w:pPr>
              <w:adjustRightInd w:val="0"/>
              <w:snapToGrid w:val="0"/>
              <w:jc w:val="center"/>
              <w:rPr>
                <w:b/>
                <w:bCs/>
                <w:color w:val="auto"/>
                <w:kern w:val="21"/>
              </w:rPr>
            </w:pPr>
            <w:r>
              <w:rPr>
                <w:b/>
                <w:bCs/>
                <w:color w:val="auto"/>
                <w:kern w:val="21"/>
              </w:rPr>
              <w:t>M1</w:t>
            </w:r>
          </w:p>
        </w:tc>
        <w:tc>
          <w:tcPr>
            <w:tcW w:w="1701" w:type="dxa"/>
            <w:vAlign w:val="center"/>
          </w:tcPr>
          <w:p>
            <w:pPr>
              <w:adjustRightInd w:val="0"/>
              <w:snapToGrid w:val="0"/>
              <w:jc w:val="center"/>
              <w:rPr>
                <w:b/>
                <w:bCs/>
                <w:color w:val="auto"/>
                <w:kern w:val="21"/>
              </w:rPr>
            </w:pPr>
            <w:r>
              <w:rPr>
                <w:b/>
                <w:bCs/>
                <w:color w:val="auto"/>
                <w:kern w:val="21"/>
              </w:rPr>
              <w:t>M2</w:t>
            </w:r>
          </w:p>
        </w:tc>
        <w:tc>
          <w:tcPr>
            <w:tcW w:w="1701" w:type="dxa"/>
            <w:vAlign w:val="center"/>
          </w:tcPr>
          <w:p>
            <w:pPr>
              <w:adjustRightInd w:val="0"/>
              <w:snapToGrid w:val="0"/>
              <w:jc w:val="center"/>
              <w:rPr>
                <w:b/>
                <w:bCs/>
                <w:color w:val="auto"/>
                <w:kern w:val="21"/>
              </w:rPr>
            </w:pPr>
            <w:r>
              <w:rPr>
                <w:b/>
                <w:bCs/>
                <w:color w:val="auto"/>
                <w:kern w:val="21"/>
              </w:rPr>
              <w:t>M3</w:t>
            </w:r>
          </w:p>
        </w:tc>
        <w:tc>
          <w:tcPr>
            <w:tcW w:w="1701" w:type="dxa"/>
            <w:vAlign w:val="center"/>
          </w:tcPr>
          <w:p>
            <w:pPr>
              <w:adjustRightInd w:val="0"/>
              <w:snapToGrid w:val="0"/>
              <w:jc w:val="center"/>
              <w:rPr>
                <w:b/>
                <w:bCs/>
                <w:color w:val="auto"/>
                <w:kern w:val="21"/>
              </w:rPr>
            </w:pPr>
            <w:r>
              <w:rPr>
                <w:b/>
                <w:bCs/>
                <w:color w:val="auto"/>
                <w:kern w:val="21"/>
              </w:rPr>
              <w:t>M4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Q≥100</w:t>
            </w:r>
          </w:p>
        </w:tc>
        <w:tc>
          <w:tcPr>
            <w:tcW w:w="1701" w:type="dxa"/>
            <w:vAlign w:val="center"/>
          </w:tcPr>
          <w:p>
            <w:pPr>
              <w:adjustRightInd w:val="0"/>
              <w:snapToGrid w:val="0"/>
              <w:jc w:val="center"/>
              <w:rPr>
                <w:color w:val="auto"/>
                <w:kern w:val="21"/>
              </w:rPr>
            </w:pPr>
            <w:r>
              <w:rPr>
                <w:color w:val="auto"/>
                <w:kern w:val="21"/>
              </w:rPr>
              <w:t>P1</w:t>
            </w:r>
          </w:p>
        </w:tc>
        <w:tc>
          <w:tcPr>
            <w:tcW w:w="1701" w:type="dxa"/>
            <w:vAlign w:val="center"/>
          </w:tcPr>
          <w:p>
            <w:pPr>
              <w:adjustRightInd w:val="0"/>
              <w:snapToGrid w:val="0"/>
              <w:jc w:val="center"/>
              <w:rPr>
                <w:color w:val="auto"/>
                <w:kern w:val="21"/>
              </w:rPr>
            </w:pPr>
            <w:r>
              <w:rPr>
                <w:color w:val="auto"/>
                <w:kern w:val="21"/>
              </w:rPr>
              <w:t>P1</w:t>
            </w:r>
          </w:p>
        </w:tc>
        <w:tc>
          <w:tcPr>
            <w:tcW w:w="1701" w:type="dxa"/>
            <w:vAlign w:val="center"/>
          </w:tcPr>
          <w:p>
            <w:pPr>
              <w:adjustRightInd w:val="0"/>
              <w:snapToGrid w:val="0"/>
              <w:jc w:val="center"/>
              <w:rPr>
                <w:color w:val="auto"/>
                <w:kern w:val="21"/>
              </w:rPr>
            </w:pPr>
            <w:r>
              <w:rPr>
                <w:color w:val="auto"/>
                <w:kern w:val="21"/>
              </w:rPr>
              <w:t>P2</w:t>
            </w:r>
          </w:p>
        </w:tc>
        <w:tc>
          <w:tcPr>
            <w:tcW w:w="1701" w:type="dxa"/>
            <w:tcBorders>
              <w:bottom w:val="single" w:color="auto" w:sz="4" w:space="0"/>
            </w:tcBorders>
            <w:vAlign w:val="center"/>
          </w:tcPr>
          <w:p>
            <w:pPr>
              <w:adjustRightInd w:val="0"/>
              <w:snapToGrid w:val="0"/>
              <w:jc w:val="center"/>
              <w:rPr>
                <w:color w:val="auto"/>
                <w:kern w:val="21"/>
              </w:rPr>
            </w:pPr>
            <w:r>
              <w:rPr>
                <w:color w:val="auto"/>
                <w:kern w:val="21"/>
              </w:rPr>
              <w:t>P3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10≤Q&lt;100</w:t>
            </w:r>
          </w:p>
        </w:tc>
        <w:tc>
          <w:tcPr>
            <w:tcW w:w="1701" w:type="dxa"/>
            <w:vAlign w:val="center"/>
          </w:tcPr>
          <w:p>
            <w:pPr>
              <w:adjustRightInd w:val="0"/>
              <w:snapToGrid w:val="0"/>
              <w:jc w:val="center"/>
              <w:rPr>
                <w:color w:val="auto"/>
                <w:kern w:val="21"/>
              </w:rPr>
            </w:pPr>
            <w:r>
              <w:rPr>
                <w:color w:val="auto"/>
                <w:kern w:val="21"/>
              </w:rPr>
              <w:t>P1</w:t>
            </w:r>
          </w:p>
        </w:tc>
        <w:tc>
          <w:tcPr>
            <w:tcW w:w="1701" w:type="dxa"/>
            <w:vAlign w:val="center"/>
          </w:tcPr>
          <w:p>
            <w:pPr>
              <w:adjustRightInd w:val="0"/>
              <w:snapToGrid w:val="0"/>
              <w:jc w:val="center"/>
              <w:rPr>
                <w:color w:val="auto"/>
                <w:kern w:val="21"/>
              </w:rPr>
            </w:pPr>
            <w:r>
              <w:rPr>
                <w:color w:val="auto"/>
                <w:kern w:val="21"/>
              </w:rPr>
              <w:t>P2</w:t>
            </w:r>
          </w:p>
        </w:tc>
        <w:tc>
          <w:tcPr>
            <w:tcW w:w="1701" w:type="dxa"/>
            <w:vAlign w:val="center"/>
          </w:tcPr>
          <w:p>
            <w:pPr>
              <w:adjustRightInd w:val="0"/>
              <w:snapToGrid w:val="0"/>
              <w:jc w:val="center"/>
              <w:rPr>
                <w:color w:val="auto"/>
                <w:kern w:val="21"/>
              </w:rPr>
            </w:pPr>
            <w:r>
              <w:rPr>
                <w:color w:val="auto"/>
                <w:kern w:val="21"/>
              </w:rPr>
              <w:t>P3</w:t>
            </w:r>
          </w:p>
        </w:tc>
        <w:tc>
          <w:tcPr>
            <w:tcW w:w="1701" w:type="dxa"/>
            <w:shd w:val="pct20" w:color="auto" w:fill="auto"/>
            <w:vAlign w:val="center"/>
          </w:tcPr>
          <w:p>
            <w:pPr>
              <w:adjustRightInd w:val="0"/>
              <w:snapToGrid w:val="0"/>
              <w:jc w:val="center"/>
              <w:rPr>
                <w:color w:val="auto"/>
                <w:kern w:val="21"/>
              </w:rPr>
            </w:pPr>
            <w:r>
              <w:rPr>
                <w:color w:val="auto"/>
                <w:kern w:val="21"/>
              </w:rPr>
              <w:t>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1≤Q&lt;10</w:t>
            </w:r>
          </w:p>
        </w:tc>
        <w:tc>
          <w:tcPr>
            <w:tcW w:w="1701" w:type="dxa"/>
            <w:vAlign w:val="center"/>
          </w:tcPr>
          <w:p>
            <w:pPr>
              <w:adjustRightInd w:val="0"/>
              <w:snapToGrid w:val="0"/>
              <w:jc w:val="center"/>
              <w:rPr>
                <w:color w:val="auto"/>
                <w:kern w:val="21"/>
              </w:rPr>
            </w:pPr>
            <w:r>
              <w:rPr>
                <w:color w:val="auto"/>
                <w:kern w:val="21"/>
              </w:rPr>
              <w:t>P2</w:t>
            </w:r>
          </w:p>
        </w:tc>
        <w:tc>
          <w:tcPr>
            <w:tcW w:w="1701" w:type="dxa"/>
            <w:vAlign w:val="center"/>
          </w:tcPr>
          <w:p>
            <w:pPr>
              <w:adjustRightInd w:val="0"/>
              <w:snapToGrid w:val="0"/>
              <w:jc w:val="center"/>
              <w:rPr>
                <w:color w:val="auto"/>
                <w:kern w:val="21"/>
              </w:rPr>
            </w:pPr>
            <w:r>
              <w:rPr>
                <w:color w:val="auto"/>
                <w:kern w:val="21"/>
              </w:rPr>
              <w:t>P3</w:t>
            </w:r>
          </w:p>
        </w:tc>
        <w:tc>
          <w:tcPr>
            <w:tcW w:w="1701" w:type="dxa"/>
            <w:vAlign w:val="center"/>
          </w:tcPr>
          <w:p>
            <w:pPr>
              <w:adjustRightInd w:val="0"/>
              <w:snapToGrid w:val="0"/>
              <w:jc w:val="center"/>
              <w:rPr>
                <w:color w:val="auto"/>
                <w:kern w:val="21"/>
              </w:rPr>
            </w:pPr>
            <w:r>
              <w:rPr>
                <w:color w:val="auto"/>
                <w:kern w:val="21"/>
              </w:rPr>
              <w:t>P4</w:t>
            </w:r>
          </w:p>
        </w:tc>
        <w:tc>
          <w:tcPr>
            <w:tcW w:w="1701" w:type="dxa"/>
            <w:vAlign w:val="center"/>
          </w:tcPr>
          <w:p>
            <w:pPr>
              <w:adjustRightInd w:val="0"/>
              <w:snapToGrid w:val="0"/>
              <w:jc w:val="center"/>
              <w:rPr>
                <w:color w:val="auto"/>
                <w:kern w:val="21"/>
              </w:rPr>
            </w:pPr>
            <w:r>
              <w:rPr>
                <w:color w:val="auto"/>
                <w:kern w:val="21"/>
              </w:rPr>
              <w:t>P4</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21"/>
          <w:sz w:val="24"/>
          <w:szCs w:val="24"/>
        </w:rPr>
        <w:t>根据上文分析，本项目</w:t>
      </w:r>
      <w:r>
        <w:rPr>
          <w:snapToGrid w:val="0"/>
          <w:color w:val="auto"/>
          <w:kern w:val="21"/>
          <w:sz w:val="24"/>
          <w:szCs w:val="24"/>
        </w:rPr>
        <w:t>危险物质数量与临界量比值（Q）为1</w:t>
      </w:r>
      <w:r>
        <w:rPr>
          <w:rFonts w:hint="eastAsia"/>
          <w:snapToGrid w:val="0"/>
          <w:color w:val="auto"/>
          <w:kern w:val="21"/>
          <w:sz w:val="24"/>
          <w:szCs w:val="24"/>
        </w:rPr>
        <w:t>0</w:t>
      </w:r>
      <w:r>
        <w:rPr>
          <w:snapToGrid w:val="0"/>
          <w:color w:val="auto"/>
          <w:kern w:val="21"/>
          <w:sz w:val="24"/>
          <w:szCs w:val="24"/>
        </w:rPr>
        <w:t>≤Q&lt;1</w:t>
      </w:r>
      <w:r>
        <w:rPr>
          <w:rFonts w:hint="eastAsia"/>
          <w:snapToGrid w:val="0"/>
          <w:color w:val="auto"/>
          <w:kern w:val="21"/>
          <w:sz w:val="24"/>
          <w:szCs w:val="24"/>
        </w:rPr>
        <w:t>0</w:t>
      </w:r>
      <w:r>
        <w:rPr>
          <w:snapToGrid w:val="0"/>
          <w:color w:val="auto"/>
          <w:kern w:val="21"/>
          <w:sz w:val="24"/>
          <w:szCs w:val="24"/>
        </w:rPr>
        <w:t>0，行业及生产工艺（M）为M4</w:t>
      </w:r>
      <w:r>
        <w:rPr>
          <w:color w:val="auto"/>
          <w:kern w:val="21"/>
          <w:sz w:val="24"/>
          <w:szCs w:val="24"/>
        </w:rPr>
        <w:t>，所以危险物质及工艺系统危险性（P）判定为P4。</w:t>
      </w:r>
    </w:p>
    <w:p>
      <w:pPr>
        <w:adjustRightInd w:val="0"/>
        <w:snapToGrid w:val="0"/>
        <w:spacing w:line="360" w:lineRule="auto"/>
        <w:rPr>
          <w:rFonts w:eastAsia="黑体"/>
          <w:snapToGrid w:val="0"/>
          <w:color w:val="auto"/>
          <w:kern w:val="21"/>
          <w:sz w:val="28"/>
          <w:szCs w:val="28"/>
        </w:rPr>
      </w:pPr>
      <w:r>
        <w:rPr>
          <w:rFonts w:eastAsia="黑体"/>
          <w:snapToGrid w:val="0"/>
          <w:color w:val="auto"/>
          <w:kern w:val="21"/>
          <w:sz w:val="28"/>
          <w:szCs w:val="28"/>
        </w:rPr>
        <w:t>6.2.5环境敏感程度（E）的分级</w:t>
      </w:r>
    </w:p>
    <w:p>
      <w:pPr>
        <w:adjustRightInd w:val="0"/>
        <w:snapToGrid w:val="0"/>
        <w:spacing w:line="360" w:lineRule="auto"/>
        <w:rPr>
          <w:color w:val="auto"/>
          <w:kern w:val="21"/>
          <w:sz w:val="24"/>
          <w:szCs w:val="24"/>
        </w:rPr>
      </w:pPr>
      <w:r>
        <w:rPr>
          <w:color w:val="auto"/>
          <w:kern w:val="21"/>
          <w:sz w:val="24"/>
          <w:szCs w:val="24"/>
        </w:rPr>
        <w:t>6.2.5.1大气环境敏感程度分级</w:t>
      </w:r>
    </w:p>
    <w:p>
      <w:pPr>
        <w:adjustRightInd w:val="0"/>
        <w:snapToGrid w:val="0"/>
        <w:spacing w:line="360" w:lineRule="auto"/>
        <w:ind w:firstLine="480" w:firstLineChars="200"/>
        <w:rPr>
          <w:color w:val="auto"/>
          <w:kern w:val="21"/>
          <w:sz w:val="24"/>
          <w:szCs w:val="24"/>
        </w:rPr>
      </w:pPr>
      <w:r>
        <w:rPr>
          <w:color w:val="auto"/>
          <w:kern w:val="21"/>
          <w:sz w:val="24"/>
          <w:szCs w:val="24"/>
        </w:rPr>
        <w:t>依据环境敏感目标环境敏感性及人口密度划分环境风险受体的敏感性，具体划分如下表所示：</w:t>
      </w: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表6.2-4    大气环境敏感程度分级一览表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1"/>
        <w:gridCol w:w="75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1"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分级</w:t>
            </w:r>
          </w:p>
        </w:tc>
        <w:tc>
          <w:tcPr>
            <w:tcW w:w="7593"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大气环境敏感性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1"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7593" w:type="dxa"/>
            <w:vAlign w:val="center"/>
          </w:tcPr>
          <w:p>
            <w:pPr>
              <w:pStyle w:val="32"/>
              <w:adjustRightInd w:val="0"/>
              <w:snapToGrid w:val="0"/>
              <w:spacing w:after="0"/>
              <w:jc w:val="center"/>
              <w:rPr>
                <w:color w:val="auto"/>
                <w:kern w:val="21"/>
                <w:szCs w:val="21"/>
                <w:lang w:val="en-US"/>
              </w:rPr>
            </w:pPr>
            <w:r>
              <w:rPr>
                <w:color w:val="auto"/>
                <w:kern w:val="21"/>
                <w:szCs w:val="21"/>
                <w:lang w:val="en-US"/>
              </w:rPr>
              <w:t>周边5km范围内居住区、医疗卫生、文化教育、科研、行政办公等机构人数总数大于5万人，或其他需要特殊保护区域；或周边500m范围内人口总数大于1000人；油气、化学品输送管线周边200m范围内，每千米管段人口数大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1" w:type="dxa"/>
            <w:vAlign w:val="center"/>
          </w:tcPr>
          <w:p>
            <w:pPr>
              <w:pStyle w:val="32"/>
              <w:adjustRightInd w:val="0"/>
              <w:snapToGrid w:val="0"/>
              <w:spacing w:after="0"/>
              <w:jc w:val="center"/>
              <w:rPr>
                <w:color w:val="auto"/>
                <w:kern w:val="21"/>
                <w:szCs w:val="21"/>
                <w:lang w:val="en-US"/>
              </w:rPr>
            </w:pPr>
            <w:r>
              <w:rPr>
                <w:color w:val="auto"/>
                <w:kern w:val="21"/>
                <w:szCs w:val="21"/>
                <w:lang w:val="en-US"/>
              </w:rPr>
              <w:t>E2</w:t>
            </w:r>
          </w:p>
        </w:tc>
        <w:tc>
          <w:tcPr>
            <w:tcW w:w="7593" w:type="dxa"/>
            <w:vAlign w:val="center"/>
          </w:tcPr>
          <w:p>
            <w:pPr>
              <w:pStyle w:val="32"/>
              <w:adjustRightInd w:val="0"/>
              <w:snapToGrid w:val="0"/>
              <w:spacing w:after="0"/>
              <w:jc w:val="center"/>
              <w:rPr>
                <w:color w:val="auto"/>
                <w:kern w:val="21"/>
                <w:szCs w:val="21"/>
                <w:lang w:val="en-US"/>
              </w:rPr>
            </w:pPr>
            <w:r>
              <w:rPr>
                <w:color w:val="auto"/>
                <w:kern w:val="21"/>
                <w:szCs w:val="21"/>
                <w:lang w:val="en-US"/>
              </w:rPr>
              <w:t>周边5km范围内居住区、医疗卫生、文化教育、科研、行政办公等机构人数总数大于1万人，小于5万人，或其他需要特殊保护区域；或周边500m范围内人口总数大于500人，小于1000人；油气、化学品输送管线周边200m范围内，每千米管段人口数大于100人，小于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11" w:type="dxa"/>
            <w:vAlign w:val="center"/>
          </w:tcPr>
          <w:p>
            <w:pPr>
              <w:pStyle w:val="32"/>
              <w:adjustRightInd w:val="0"/>
              <w:snapToGrid w:val="0"/>
              <w:spacing w:after="0"/>
              <w:jc w:val="center"/>
              <w:rPr>
                <w:color w:val="auto"/>
                <w:kern w:val="21"/>
                <w:szCs w:val="21"/>
                <w:lang w:val="en-US"/>
              </w:rPr>
            </w:pPr>
            <w:r>
              <w:rPr>
                <w:color w:val="auto"/>
                <w:kern w:val="21"/>
                <w:szCs w:val="21"/>
                <w:lang w:val="en-US"/>
              </w:rPr>
              <w:t>E3</w:t>
            </w:r>
          </w:p>
        </w:tc>
        <w:tc>
          <w:tcPr>
            <w:tcW w:w="7593" w:type="dxa"/>
            <w:vAlign w:val="center"/>
          </w:tcPr>
          <w:p>
            <w:pPr>
              <w:pStyle w:val="32"/>
              <w:adjustRightInd w:val="0"/>
              <w:snapToGrid w:val="0"/>
              <w:spacing w:after="0"/>
              <w:jc w:val="center"/>
              <w:rPr>
                <w:color w:val="auto"/>
                <w:kern w:val="21"/>
                <w:szCs w:val="21"/>
                <w:lang w:val="en-US"/>
              </w:rPr>
            </w:pPr>
            <w:r>
              <w:rPr>
                <w:color w:val="auto"/>
                <w:kern w:val="21"/>
                <w:szCs w:val="21"/>
                <w:lang w:val="en-US"/>
              </w:rPr>
              <w:t>周边5km范围内居住区、医疗卫生、文化教育、科研、行政办公等机构人数总数小于1万人，或其他需要特殊保护区域；或周边500m范围内人口总数小于500人；油气、化学品输送管线周边200m范围内，每千米管段人口数小于100人</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szCs w:val="24"/>
        </w:rPr>
      </w:pPr>
      <w:r>
        <w:rPr>
          <w:color w:val="auto"/>
          <w:kern w:val="21"/>
          <w:sz w:val="24"/>
          <w:szCs w:val="24"/>
        </w:rPr>
        <w:t>本项目边500m范围内无医疗卫生、文化教育、科研、行政办公等机构，人口总数为</w:t>
      </w:r>
      <w:r>
        <w:rPr>
          <w:rFonts w:hint="eastAsia"/>
          <w:color w:val="auto"/>
          <w:kern w:val="21"/>
          <w:sz w:val="24"/>
          <w:szCs w:val="24"/>
        </w:rPr>
        <w:t>41</w:t>
      </w:r>
      <w:r>
        <w:rPr>
          <w:color w:val="auto"/>
          <w:kern w:val="21"/>
          <w:sz w:val="24"/>
          <w:szCs w:val="24"/>
        </w:rPr>
        <w:t>0人</w:t>
      </w:r>
      <w:r>
        <w:rPr>
          <w:rFonts w:hint="eastAsia"/>
          <w:color w:val="auto"/>
          <w:kern w:val="21"/>
          <w:sz w:val="24"/>
          <w:szCs w:val="24"/>
        </w:rPr>
        <w:t>；5km范围内有居民42687人，</w:t>
      </w:r>
      <w:r>
        <w:rPr>
          <w:color w:val="auto"/>
          <w:kern w:val="21"/>
          <w:sz w:val="24"/>
          <w:szCs w:val="24"/>
        </w:rPr>
        <w:t>大气环境敏感程度应为E</w:t>
      </w:r>
      <w:r>
        <w:rPr>
          <w:rFonts w:hint="eastAsia"/>
          <w:color w:val="auto"/>
          <w:kern w:val="21"/>
          <w:sz w:val="24"/>
          <w:szCs w:val="24"/>
        </w:rPr>
        <w:t>2</w:t>
      </w:r>
      <w:r>
        <w:rPr>
          <w:color w:val="auto"/>
          <w:kern w:val="21"/>
          <w:sz w:val="24"/>
          <w:szCs w:val="24"/>
        </w:rPr>
        <w:t>。</w:t>
      </w:r>
    </w:p>
    <w:p>
      <w:pPr>
        <w:adjustRightInd w:val="0"/>
        <w:snapToGrid w:val="0"/>
        <w:spacing w:line="360" w:lineRule="auto"/>
        <w:rPr>
          <w:color w:val="auto"/>
          <w:kern w:val="21"/>
          <w:sz w:val="24"/>
          <w:szCs w:val="24"/>
        </w:rPr>
      </w:pPr>
      <w:r>
        <w:rPr>
          <w:color w:val="auto"/>
          <w:kern w:val="21"/>
          <w:sz w:val="24"/>
          <w:szCs w:val="24"/>
        </w:rPr>
        <w:t>6.2.5.2地表水环境敏感程度分级</w:t>
      </w:r>
    </w:p>
    <w:p>
      <w:pPr>
        <w:adjustRightInd w:val="0"/>
        <w:snapToGrid w:val="0"/>
        <w:spacing w:line="360" w:lineRule="auto"/>
        <w:ind w:firstLine="480" w:firstLineChars="200"/>
        <w:rPr>
          <w:color w:val="auto"/>
          <w:kern w:val="21"/>
          <w:sz w:val="24"/>
          <w:szCs w:val="24"/>
        </w:rPr>
      </w:pPr>
      <w:r>
        <w:rPr>
          <w:color w:val="auto"/>
          <w:kern w:val="21"/>
          <w:sz w:val="24"/>
          <w:szCs w:val="24"/>
        </w:rPr>
        <w:t>依据事故情况下危险物质泄漏到水体的排放点受纳水体功能敏感性，与下游环境敏感目标情况划分如下表：</w:t>
      </w: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表6.2-5    地表水环境敏感程度分级一览表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3"/>
        <w:gridCol w:w="2148"/>
        <w:gridCol w:w="2364"/>
        <w:gridCol w:w="2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3" w:type="dxa"/>
            <w:vMerge w:val="restart"/>
            <w:vAlign w:val="center"/>
          </w:tcPr>
          <w:p>
            <w:pPr>
              <w:pStyle w:val="32"/>
              <w:adjustRightInd w:val="0"/>
              <w:snapToGrid w:val="0"/>
              <w:spacing w:after="0"/>
              <w:jc w:val="center"/>
              <w:rPr>
                <w:color w:val="auto"/>
                <w:kern w:val="21"/>
                <w:szCs w:val="21"/>
                <w:lang w:val="en-US"/>
              </w:rPr>
            </w:pPr>
            <w:r>
              <w:rPr>
                <w:b/>
                <w:bCs/>
                <w:color w:val="auto"/>
                <w:kern w:val="21"/>
                <w:szCs w:val="21"/>
                <w:lang w:val="en-US"/>
              </w:rPr>
              <w:t>环境敏感目标</w:t>
            </w:r>
          </w:p>
        </w:tc>
        <w:tc>
          <w:tcPr>
            <w:tcW w:w="6861" w:type="dxa"/>
            <w:gridSpan w:val="3"/>
            <w:vAlign w:val="center"/>
          </w:tcPr>
          <w:p>
            <w:pPr>
              <w:pStyle w:val="32"/>
              <w:adjustRightInd w:val="0"/>
              <w:snapToGrid w:val="0"/>
              <w:spacing w:after="0"/>
              <w:jc w:val="center"/>
              <w:rPr>
                <w:color w:val="auto"/>
                <w:kern w:val="21"/>
                <w:szCs w:val="21"/>
                <w:lang w:val="en-US"/>
              </w:rPr>
            </w:pPr>
            <w:r>
              <w:rPr>
                <w:b/>
                <w:bCs/>
                <w:color w:val="auto"/>
                <w:kern w:val="21"/>
                <w:szCs w:val="21"/>
                <w:lang w:val="en-US"/>
              </w:rPr>
              <w:t>地表水功能敏感性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3" w:type="dxa"/>
            <w:vMerge w:val="continue"/>
            <w:vAlign w:val="center"/>
          </w:tcPr>
          <w:p>
            <w:pPr>
              <w:pStyle w:val="32"/>
              <w:adjustRightInd w:val="0"/>
              <w:snapToGrid w:val="0"/>
              <w:spacing w:after="0"/>
              <w:jc w:val="center"/>
              <w:rPr>
                <w:color w:val="auto"/>
                <w:kern w:val="21"/>
                <w:szCs w:val="21"/>
                <w:lang w:val="en-US"/>
              </w:rPr>
            </w:pPr>
          </w:p>
        </w:tc>
        <w:tc>
          <w:tcPr>
            <w:tcW w:w="2148" w:type="dxa"/>
            <w:vAlign w:val="center"/>
          </w:tcPr>
          <w:p>
            <w:pPr>
              <w:pStyle w:val="32"/>
              <w:adjustRightInd w:val="0"/>
              <w:snapToGrid w:val="0"/>
              <w:spacing w:after="0"/>
              <w:jc w:val="center"/>
              <w:rPr>
                <w:color w:val="auto"/>
                <w:kern w:val="21"/>
                <w:szCs w:val="21"/>
                <w:lang w:val="en-US"/>
              </w:rPr>
            </w:pPr>
            <w:r>
              <w:rPr>
                <w:color w:val="auto"/>
                <w:kern w:val="21"/>
                <w:szCs w:val="21"/>
                <w:lang w:val="en-US"/>
              </w:rPr>
              <w:t>F1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F2</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F3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3" w:type="dxa"/>
            <w:vAlign w:val="center"/>
          </w:tcPr>
          <w:p>
            <w:pPr>
              <w:pStyle w:val="32"/>
              <w:adjustRightInd w:val="0"/>
              <w:snapToGrid w:val="0"/>
              <w:spacing w:after="0"/>
              <w:jc w:val="center"/>
              <w:rPr>
                <w:color w:val="auto"/>
                <w:kern w:val="21"/>
                <w:szCs w:val="21"/>
                <w:lang w:val="en-US"/>
              </w:rPr>
            </w:pPr>
            <w:r>
              <w:rPr>
                <w:color w:val="auto"/>
                <w:kern w:val="21"/>
                <w:szCs w:val="21"/>
                <w:lang w:val="en-US"/>
              </w:rPr>
              <w:t>S1</w:t>
            </w:r>
          </w:p>
        </w:tc>
        <w:tc>
          <w:tcPr>
            <w:tcW w:w="2148"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3" w:type="dxa"/>
            <w:vAlign w:val="center"/>
          </w:tcPr>
          <w:p>
            <w:pPr>
              <w:pStyle w:val="32"/>
              <w:adjustRightInd w:val="0"/>
              <w:snapToGrid w:val="0"/>
              <w:spacing w:after="0"/>
              <w:jc w:val="center"/>
              <w:rPr>
                <w:color w:val="auto"/>
                <w:kern w:val="21"/>
                <w:szCs w:val="21"/>
                <w:lang w:val="en-US"/>
              </w:rPr>
            </w:pPr>
            <w:r>
              <w:rPr>
                <w:color w:val="auto"/>
                <w:kern w:val="21"/>
                <w:szCs w:val="21"/>
                <w:lang w:val="en-US"/>
              </w:rPr>
              <w:t>S2</w:t>
            </w:r>
          </w:p>
        </w:tc>
        <w:tc>
          <w:tcPr>
            <w:tcW w:w="2148"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E2</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43" w:type="dxa"/>
            <w:vAlign w:val="center"/>
          </w:tcPr>
          <w:p>
            <w:pPr>
              <w:pStyle w:val="32"/>
              <w:adjustRightInd w:val="0"/>
              <w:snapToGrid w:val="0"/>
              <w:spacing w:after="0"/>
              <w:jc w:val="center"/>
              <w:rPr>
                <w:color w:val="auto"/>
                <w:kern w:val="21"/>
                <w:szCs w:val="21"/>
                <w:lang w:val="en-US"/>
              </w:rPr>
            </w:pPr>
            <w:r>
              <w:rPr>
                <w:color w:val="auto"/>
                <w:kern w:val="21"/>
                <w:szCs w:val="21"/>
                <w:lang w:val="en-US"/>
              </w:rPr>
              <w:t>S3</w:t>
            </w:r>
          </w:p>
        </w:tc>
        <w:tc>
          <w:tcPr>
            <w:tcW w:w="2148"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E2</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E3</w:t>
            </w:r>
          </w:p>
        </w:tc>
      </w:tr>
    </w:tbl>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6.2-6    地表水功能敏感性分区一览表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3"/>
        <w:gridCol w:w="7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pStyle w:val="32"/>
              <w:adjustRightInd w:val="0"/>
              <w:snapToGrid w:val="0"/>
              <w:spacing w:after="0"/>
              <w:jc w:val="center"/>
              <w:rPr>
                <w:b/>
                <w:bCs/>
                <w:color w:val="auto"/>
                <w:kern w:val="21"/>
                <w:szCs w:val="21"/>
                <w:u w:val="none"/>
                <w:lang w:val="en-US"/>
              </w:rPr>
            </w:pPr>
            <w:r>
              <w:rPr>
                <w:b/>
                <w:bCs/>
                <w:color w:val="auto"/>
                <w:kern w:val="21"/>
                <w:szCs w:val="21"/>
                <w:u w:val="none"/>
                <w:lang w:val="en-US"/>
              </w:rPr>
              <w:t>分级</w:t>
            </w:r>
          </w:p>
        </w:tc>
        <w:tc>
          <w:tcPr>
            <w:tcW w:w="7101" w:type="dxa"/>
            <w:vAlign w:val="center"/>
          </w:tcPr>
          <w:p>
            <w:pPr>
              <w:pStyle w:val="32"/>
              <w:adjustRightInd w:val="0"/>
              <w:snapToGrid w:val="0"/>
              <w:spacing w:after="0"/>
              <w:jc w:val="center"/>
              <w:rPr>
                <w:b/>
                <w:bCs/>
                <w:color w:val="auto"/>
                <w:kern w:val="21"/>
                <w:szCs w:val="21"/>
                <w:u w:val="none"/>
                <w:lang w:val="en-US"/>
              </w:rPr>
            </w:pPr>
            <w:r>
              <w:rPr>
                <w:b/>
                <w:bCs/>
                <w:color w:val="auto"/>
                <w:kern w:val="21"/>
                <w:szCs w:val="21"/>
                <w:u w:val="none"/>
                <w:lang w:val="en-US"/>
              </w:rPr>
              <w:t>地表水环境敏感特征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pStyle w:val="32"/>
              <w:adjustRightInd w:val="0"/>
              <w:snapToGrid w:val="0"/>
              <w:spacing w:after="0"/>
              <w:jc w:val="center"/>
              <w:rPr>
                <w:color w:val="auto"/>
                <w:kern w:val="21"/>
                <w:szCs w:val="21"/>
                <w:lang w:val="en-US"/>
              </w:rPr>
            </w:pPr>
            <w:r>
              <w:rPr>
                <w:color w:val="auto"/>
                <w:kern w:val="21"/>
                <w:szCs w:val="21"/>
                <w:lang w:val="en-US"/>
              </w:rPr>
              <w:t>敏感F1</w:t>
            </w:r>
          </w:p>
        </w:tc>
        <w:tc>
          <w:tcPr>
            <w:tcW w:w="7101" w:type="dxa"/>
            <w:vAlign w:val="center"/>
          </w:tcPr>
          <w:p>
            <w:pPr>
              <w:pStyle w:val="32"/>
              <w:adjustRightInd w:val="0"/>
              <w:snapToGrid w:val="0"/>
              <w:spacing w:after="0"/>
              <w:jc w:val="center"/>
              <w:rPr>
                <w:color w:val="auto"/>
                <w:kern w:val="21"/>
                <w:szCs w:val="21"/>
                <w:lang w:val="en-US"/>
              </w:rPr>
            </w:pPr>
            <w:r>
              <w:rPr>
                <w:color w:val="auto"/>
                <w:kern w:val="21"/>
                <w:szCs w:val="21"/>
                <w:lang w:val="en-US"/>
              </w:rPr>
              <w:t>排放点进入地表水水域环境功能为二类及以上，或海水水质分类为第一类；或以事故发生时，危险物质泄漏到水体的排放点算起，排放进入受纳河流最大流速时，24h流经范围内涉跨国界的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adjustRightInd w:val="0"/>
              <w:snapToGrid w:val="0"/>
              <w:jc w:val="center"/>
              <w:rPr>
                <w:color w:val="auto"/>
                <w:kern w:val="21"/>
              </w:rPr>
            </w:pPr>
            <w:r>
              <w:rPr>
                <w:color w:val="auto"/>
                <w:kern w:val="21"/>
              </w:rPr>
              <w:t>较敏感F2</w:t>
            </w:r>
          </w:p>
        </w:tc>
        <w:tc>
          <w:tcPr>
            <w:tcW w:w="7101" w:type="dxa"/>
            <w:vAlign w:val="center"/>
          </w:tcPr>
          <w:p>
            <w:pPr>
              <w:pStyle w:val="32"/>
              <w:adjustRightInd w:val="0"/>
              <w:snapToGrid w:val="0"/>
              <w:spacing w:after="0"/>
              <w:jc w:val="center"/>
              <w:rPr>
                <w:color w:val="auto"/>
                <w:kern w:val="21"/>
                <w:szCs w:val="21"/>
                <w:lang w:val="en-US"/>
              </w:rPr>
            </w:pPr>
            <w:r>
              <w:rPr>
                <w:color w:val="auto"/>
                <w:kern w:val="21"/>
                <w:szCs w:val="21"/>
                <w:lang w:val="en-US"/>
              </w:rPr>
              <w:t>排放点进入地表水水域环境功能为三类，或海水水质分类为第二类；或以事故发生时，危险物质泄漏到水体的排放点算起，排放进入受纳河流最大流速时，24h流经范围内涉跨省界的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adjustRightInd w:val="0"/>
              <w:snapToGrid w:val="0"/>
              <w:jc w:val="center"/>
              <w:rPr>
                <w:color w:val="auto"/>
                <w:kern w:val="21"/>
              </w:rPr>
            </w:pPr>
            <w:r>
              <w:rPr>
                <w:color w:val="auto"/>
                <w:kern w:val="21"/>
              </w:rPr>
              <w:t>低敏感F3</w:t>
            </w:r>
          </w:p>
        </w:tc>
        <w:tc>
          <w:tcPr>
            <w:tcW w:w="7101" w:type="dxa"/>
            <w:vAlign w:val="center"/>
          </w:tcPr>
          <w:p>
            <w:pPr>
              <w:pStyle w:val="32"/>
              <w:adjustRightInd w:val="0"/>
              <w:snapToGrid w:val="0"/>
              <w:spacing w:after="0"/>
              <w:jc w:val="center"/>
              <w:rPr>
                <w:color w:val="auto"/>
                <w:kern w:val="21"/>
                <w:szCs w:val="21"/>
                <w:lang w:val="en-US"/>
              </w:rPr>
            </w:pPr>
            <w:r>
              <w:rPr>
                <w:color w:val="auto"/>
                <w:kern w:val="21"/>
                <w:szCs w:val="21"/>
                <w:lang w:val="en-US"/>
              </w:rPr>
              <w:t>上述地区之外的其他地区</w:t>
            </w:r>
          </w:p>
        </w:tc>
      </w:tr>
    </w:tbl>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表6.2-7    环境敏感目标分级一览表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3"/>
        <w:gridCol w:w="7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分级</w:t>
            </w:r>
          </w:p>
        </w:tc>
        <w:tc>
          <w:tcPr>
            <w:tcW w:w="7101"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环境目标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pStyle w:val="32"/>
              <w:adjustRightInd w:val="0"/>
              <w:snapToGrid w:val="0"/>
              <w:spacing w:after="0"/>
              <w:jc w:val="center"/>
              <w:rPr>
                <w:color w:val="auto"/>
                <w:kern w:val="21"/>
                <w:szCs w:val="21"/>
                <w:lang w:val="en-US"/>
              </w:rPr>
            </w:pPr>
            <w:r>
              <w:rPr>
                <w:color w:val="auto"/>
                <w:kern w:val="21"/>
                <w:szCs w:val="21"/>
                <w:lang w:val="en-US"/>
              </w:rPr>
              <w:t>S1</w:t>
            </w:r>
          </w:p>
        </w:tc>
        <w:tc>
          <w:tcPr>
            <w:tcW w:w="7101" w:type="dxa"/>
            <w:vAlign w:val="center"/>
          </w:tcPr>
          <w:p>
            <w:pPr>
              <w:pStyle w:val="32"/>
              <w:adjustRightInd w:val="0"/>
              <w:snapToGrid w:val="0"/>
              <w:spacing w:after="0"/>
              <w:jc w:val="center"/>
              <w:rPr>
                <w:color w:val="auto"/>
                <w:kern w:val="21"/>
                <w:szCs w:val="21"/>
                <w:lang w:val="en-US"/>
              </w:rPr>
            </w:pPr>
            <w:r>
              <w:rPr>
                <w:color w:val="auto"/>
                <w:kern w:val="21"/>
                <w:szCs w:val="21"/>
                <w:lang w:val="en-US"/>
              </w:rPr>
              <w:t>发生事故时，危险物质漏到内陆水体的排放点下游</w:t>
            </w:r>
            <w:r>
              <w:rPr>
                <w:rFonts w:hint="eastAsia"/>
                <w:color w:val="auto"/>
                <w:kern w:val="21"/>
                <w:szCs w:val="21"/>
                <w:lang w:val="en-US" w:eastAsia="zh-CN"/>
              </w:rPr>
              <w:t>（</w:t>
            </w:r>
            <w:r>
              <w:rPr>
                <w:color w:val="auto"/>
                <w:kern w:val="21"/>
                <w:szCs w:val="21"/>
                <w:lang w:val="en-US"/>
              </w:rPr>
              <w:t>顺水流向</w:t>
            </w:r>
            <w:r>
              <w:rPr>
                <w:rFonts w:hint="eastAsia"/>
                <w:color w:val="auto"/>
                <w:kern w:val="21"/>
                <w:szCs w:val="21"/>
                <w:lang w:val="en-US" w:eastAsia="zh-CN"/>
              </w:rPr>
              <w:t>）</w:t>
            </w:r>
            <w:r>
              <w:rPr>
                <w:color w:val="auto"/>
                <w:kern w:val="21"/>
                <w:szCs w:val="21"/>
                <w:lang w:val="en-US"/>
              </w:rPr>
              <w:t>10km范围内、近岸海域一个潮周期水质点可能达到的最大水平距离的两倍范内，有如下一类或多类环境风险受体：集中式地表水饮用水水源保护区</w:t>
            </w:r>
            <w:r>
              <w:rPr>
                <w:rFonts w:hint="eastAsia"/>
                <w:color w:val="auto"/>
                <w:kern w:val="21"/>
                <w:szCs w:val="21"/>
                <w:lang w:val="en-US" w:eastAsia="zh-CN"/>
              </w:rPr>
              <w:t>（</w:t>
            </w:r>
            <w:r>
              <w:rPr>
                <w:color w:val="auto"/>
                <w:kern w:val="21"/>
                <w:szCs w:val="21"/>
                <w:lang w:val="en-US"/>
              </w:rPr>
              <w:t>包括一级保护区、二扱保护区及准保护区</w:t>
            </w:r>
            <w:r>
              <w:rPr>
                <w:rFonts w:hint="eastAsia"/>
                <w:color w:val="auto"/>
                <w:kern w:val="21"/>
                <w:szCs w:val="21"/>
                <w:lang w:val="en-US" w:eastAsia="zh-CN"/>
              </w:rPr>
              <w:t>）</w:t>
            </w:r>
            <w:r>
              <w:rPr>
                <w:color w:val="auto"/>
                <w:kern w:val="21"/>
                <w:szCs w:val="21"/>
                <w:lang w:val="en-US"/>
              </w:rPr>
              <w:t>；农村及分散式饮用水水源保护区；自然保护区：重要湿地；珍稀危野生动植物天然集中分布区；重要水生生物的自然产卵场及索饵场、越各场和游通道；世界文化和自然遗产地：红树林、珊等滨海湿地生态系统：珍稀、濒危海洋生物的天然集中分布区；海洋特别保护区；海上自然保护区；盐场保护区海水溶场；海洋浴场；自然历史遗迹；风景名胜区；或其他特殊重要保护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adjustRightInd w:val="0"/>
              <w:snapToGrid w:val="0"/>
              <w:jc w:val="center"/>
              <w:rPr>
                <w:color w:val="auto"/>
                <w:kern w:val="21"/>
              </w:rPr>
            </w:pPr>
            <w:r>
              <w:rPr>
                <w:color w:val="auto"/>
                <w:kern w:val="21"/>
              </w:rPr>
              <w:t>S2</w:t>
            </w:r>
          </w:p>
        </w:tc>
        <w:tc>
          <w:tcPr>
            <w:tcW w:w="7101" w:type="dxa"/>
            <w:vAlign w:val="center"/>
          </w:tcPr>
          <w:p>
            <w:pPr>
              <w:pStyle w:val="32"/>
              <w:adjustRightInd w:val="0"/>
              <w:snapToGrid w:val="0"/>
              <w:spacing w:after="0"/>
              <w:jc w:val="center"/>
              <w:rPr>
                <w:color w:val="auto"/>
                <w:kern w:val="21"/>
                <w:szCs w:val="21"/>
                <w:lang w:val="en-US"/>
              </w:rPr>
            </w:pPr>
            <w:r>
              <w:rPr>
                <w:color w:val="auto"/>
                <w:kern w:val="21"/>
                <w:szCs w:val="21"/>
                <w:lang w:val="en-US"/>
              </w:rPr>
              <w:t>发生事故时，危险物质泄漏到内陆水体的持排放点下游</w:t>
            </w:r>
            <w:r>
              <w:rPr>
                <w:rFonts w:hint="eastAsia"/>
                <w:color w:val="auto"/>
                <w:kern w:val="21"/>
                <w:szCs w:val="21"/>
                <w:lang w:val="en-US" w:eastAsia="zh-CN"/>
              </w:rPr>
              <w:t>（</w:t>
            </w:r>
            <w:r>
              <w:rPr>
                <w:color w:val="auto"/>
                <w:kern w:val="21"/>
                <w:szCs w:val="21"/>
                <w:lang w:val="en-US"/>
              </w:rPr>
              <w:t>水流向</w:t>
            </w:r>
            <w:r>
              <w:rPr>
                <w:rFonts w:hint="eastAsia"/>
                <w:color w:val="auto"/>
                <w:kern w:val="21"/>
                <w:szCs w:val="21"/>
                <w:lang w:val="en-US" w:eastAsia="zh-CN"/>
              </w:rPr>
              <w:t>）</w:t>
            </w:r>
            <w:r>
              <w:rPr>
                <w:color w:val="auto"/>
                <w:kern w:val="21"/>
                <w:szCs w:val="21"/>
                <w:lang w:val="en-US"/>
              </w:rPr>
              <w:t>10km</w:t>
            </w:r>
            <w:r>
              <w:rPr>
                <w:rFonts w:hint="eastAsia"/>
                <w:color w:val="auto"/>
                <w:kern w:val="21"/>
                <w:szCs w:val="21"/>
                <w:lang w:val="en-US" w:eastAsia="zh-CN"/>
              </w:rPr>
              <w:t>范围内</w:t>
            </w:r>
            <w:r>
              <w:rPr>
                <w:color w:val="auto"/>
                <w:kern w:val="21"/>
                <w:szCs w:val="21"/>
                <w:lang w:val="en-US"/>
              </w:rPr>
              <w:t>、近岸海域一个潮周期水质点可能达到的最大水平距离的两倍</w:t>
            </w:r>
            <w:r>
              <w:rPr>
                <w:rFonts w:hint="eastAsia"/>
                <w:color w:val="auto"/>
                <w:kern w:val="21"/>
                <w:szCs w:val="21"/>
                <w:lang w:val="en-US" w:eastAsia="zh-CN"/>
              </w:rPr>
              <w:t>范围内</w:t>
            </w:r>
            <w:r>
              <w:rPr>
                <w:color w:val="auto"/>
                <w:kern w:val="21"/>
                <w:szCs w:val="21"/>
                <w:lang w:val="en-US"/>
              </w:rPr>
              <w:t>，有如下一类或多类环境风险受体的；水产养殖区；天然渔场；森林公园；地质公园；海滨风景游览区；具有重要经济价值的海洋生物生存区域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03" w:type="dxa"/>
            <w:vAlign w:val="center"/>
          </w:tcPr>
          <w:p>
            <w:pPr>
              <w:adjustRightInd w:val="0"/>
              <w:snapToGrid w:val="0"/>
              <w:jc w:val="center"/>
              <w:rPr>
                <w:color w:val="auto"/>
                <w:kern w:val="21"/>
              </w:rPr>
            </w:pPr>
            <w:r>
              <w:rPr>
                <w:color w:val="auto"/>
                <w:kern w:val="21"/>
              </w:rPr>
              <w:t>S3</w:t>
            </w:r>
          </w:p>
        </w:tc>
        <w:tc>
          <w:tcPr>
            <w:tcW w:w="7101" w:type="dxa"/>
            <w:vAlign w:val="center"/>
          </w:tcPr>
          <w:p>
            <w:pPr>
              <w:pStyle w:val="32"/>
              <w:adjustRightInd w:val="0"/>
              <w:snapToGrid w:val="0"/>
              <w:spacing w:after="0"/>
              <w:jc w:val="center"/>
              <w:rPr>
                <w:color w:val="auto"/>
                <w:kern w:val="21"/>
                <w:szCs w:val="21"/>
                <w:lang w:val="en-US"/>
              </w:rPr>
            </w:pPr>
            <w:r>
              <w:rPr>
                <w:color w:val="auto"/>
                <w:kern w:val="21"/>
                <w:szCs w:val="21"/>
                <w:lang w:val="en-US"/>
              </w:rPr>
              <w:t>持放点下游</w:t>
            </w:r>
            <w:r>
              <w:rPr>
                <w:rFonts w:hint="eastAsia"/>
                <w:color w:val="auto"/>
                <w:kern w:val="21"/>
                <w:szCs w:val="21"/>
                <w:lang w:val="en-US" w:eastAsia="zh-CN"/>
              </w:rPr>
              <w:t>（</w:t>
            </w:r>
            <w:r>
              <w:rPr>
                <w:color w:val="auto"/>
                <w:kern w:val="21"/>
                <w:szCs w:val="21"/>
                <w:lang w:val="en-US"/>
              </w:rPr>
              <w:t>水流向</w:t>
            </w:r>
            <w:r>
              <w:rPr>
                <w:rFonts w:hint="eastAsia"/>
                <w:color w:val="auto"/>
                <w:kern w:val="21"/>
                <w:szCs w:val="21"/>
                <w:lang w:val="en-US" w:eastAsia="zh-CN"/>
              </w:rPr>
              <w:t>）</w:t>
            </w:r>
            <w:r>
              <w:rPr>
                <w:color w:val="auto"/>
                <w:kern w:val="21"/>
                <w:szCs w:val="21"/>
                <w:lang w:val="en-US"/>
              </w:rPr>
              <w:t>10km范围、近岸海域一个潮周期水质点可能达到的最大水平距离的两倍范围内无上述类型1和类型2包括的敏感保护目标</w:t>
            </w:r>
          </w:p>
        </w:tc>
      </w:tr>
    </w:tbl>
    <w:p>
      <w:pPr>
        <w:adjustRightInd w:val="0"/>
        <w:snapToGrid w:val="0"/>
        <w:spacing w:line="360" w:lineRule="auto"/>
        <w:rPr>
          <w:color w:val="auto"/>
          <w:kern w:val="21"/>
          <w:sz w:val="24"/>
          <w:szCs w:val="24"/>
        </w:rPr>
      </w:pPr>
    </w:p>
    <w:p>
      <w:pPr>
        <w:adjustRightInd w:val="0"/>
        <w:snapToGrid w:val="0"/>
        <w:spacing w:line="360" w:lineRule="auto"/>
        <w:ind w:firstLine="480" w:firstLineChars="200"/>
        <w:rPr>
          <w:color w:val="auto"/>
          <w:kern w:val="21"/>
          <w:sz w:val="24"/>
          <w:szCs w:val="24"/>
        </w:rPr>
      </w:pPr>
      <w:r>
        <w:rPr>
          <w:color w:val="auto"/>
          <w:kern w:val="21"/>
          <w:sz w:val="24"/>
          <w:szCs w:val="24"/>
        </w:rPr>
        <w:t>根据对照分析，本项目地表水功能敏感性分级为F3低敏感，环境敏感目标分级为S3，故地表水环境敏感程度分级为E3。</w:t>
      </w:r>
    </w:p>
    <w:p>
      <w:pPr>
        <w:adjustRightInd w:val="0"/>
        <w:snapToGrid w:val="0"/>
        <w:spacing w:line="360" w:lineRule="auto"/>
        <w:rPr>
          <w:color w:val="auto"/>
          <w:kern w:val="21"/>
          <w:sz w:val="24"/>
          <w:szCs w:val="24"/>
        </w:rPr>
      </w:pPr>
      <w:r>
        <w:rPr>
          <w:color w:val="auto"/>
          <w:kern w:val="21"/>
          <w:sz w:val="24"/>
          <w:szCs w:val="24"/>
        </w:rPr>
        <w:t>6.2.5.3地下水环境敏感程度分级</w:t>
      </w:r>
    </w:p>
    <w:p>
      <w:pPr>
        <w:adjustRightInd w:val="0"/>
        <w:snapToGrid w:val="0"/>
        <w:spacing w:line="360" w:lineRule="auto"/>
        <w:rPr>
          <w:color w:val="auto"/>
          <w:kern w:val="21"/>
          <w:sz w:val="24"/>
          <w:szCs w:val="24"/>
        </w:rPr>
      </w:pPr>
      <w:r>
        <w:rPr>
          <w:color w:val="auto"/>
          <w:kern w:val="21"/>
          <w:sz w:val="24"/>
          <w:szCs w:val="24"/>
        </w:rPr>
        <w:t xml:space="preserve">    依据地下水功能敏感性与包气带防污性能，具体划分如下：</w:t>
      </w: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表6.2-8    地下水环境敏感程度分级一览表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1"/>
        <w:gridCol w:w="1860"/>
        <w:gridCol w:w="2364"/>
        <w:gridCol w:w="23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31" w:type="dxa"/>
            <w:vMerge w:val="restart"/>
            <w:vAlign w:val="center"/>
          </w:tcPr>
          <w:p>
            <w:pPr>
              <w:pStyle w:val="32"/>
              <w:adjustRightInd w:val="0"/>
              <w:snapToGrid w:val="0"/>
              <w:spacing w:after="0"/>
              <w:jc w:val="center"/>
              <w:rPr>
                <w:color w:val="auto"/>
                <w:kern w:val="21"/>
                <w:szCs w:val="21"/>
                <w:lang w:val="en-US"/>
              </w:rPr>
            </w:pPr>
            <w:r>
              <w:rPr>
                <w:b/>
                <w:bCs/>
                <w:color w:val="auto"/>
                <w:kern w:val="21"/>
                <w:szCs w:val="21"/>
                <w:lang w:val="en-US"/>
              </w:rPr>
              <w:t>包气带防污性能</w:t>
            </w:r>
          </w:p>
        </w:tc>
        <w:tc>
          <w:tcPr>
            <w:tcW w:w="6573" w:type="dxa"/>
            <w:gridSpan w:val="3"/>
            <w:vAlign w:val="center"/>
          </w:tcPr>
          <w:p>
            <w:pPr>
              <w:pStyle w:val="32"/>
              <w:adjustRightInd w:val="0"/>
              <w:snapToGrid w:val="0"/>
              <w:spacing w:after="0"/>
              <w:jc w:val="center"/>
              <w:rPr>
                <w:color w:val="auto"/>
                <w:kern w:val="21"/>
                <w:szCs w:val="21"/>
                <w:lang w:val="en-US"/>
              </w:rPr>
            </w:pPr>
            <w:r>
              <w:rPr>
                <w:b/>
                <w:bCs/>
                <w:color w:val="auto"/>
                <w:kern w:val="21"/>
                <w:szCs w:val="21"/>
                <w:lang w:val="en-US"/>
              </w:rPr>
              <w:t>地下水功能敏感性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31" w:type="dxa"/>
            <w:vMerge w:val="continue"/>
            <w:vAlign w:val="center"/>
          </w:tcPr>
          <w:p>
            <w:pPr>
              <w:pStyle w:val="32"/>
              <w:adjustRightInd w:val="0"/>
              <w:snapToGrid w:val="0"/>
              <w:spacing w:after="0"/>
              <w:jc w:val="center"/>
              <w:rPr>
                <w:color w:val="auto"/>
                <w:kern w:val="21"/>
                <w:szCs w:val="21"/>
                <w:lang w:val="en-US"/>
              </w:rPr>
            </w:pPr>
          </w:p>
        </w:tc>
        <w:tc>
          <w:tcPr>
            <w:tcW w:w="1860" w:type="dxa"/>
            <w:vAlign w:val="center"/>
          </w:tcPr>
          <w:p>
            <w:pPr>
              <w:pStyle w:val="32"/>
              <w:adjustRightInd w:val="0"/>
              <w:snapToGrid w:val="0"/>
              <w:spacing w:after="0"/>
              <w:jc w:val="center"/>
              <w:rPr>
                <w:color w:val="auto"/>
                <w:kern w:val="21"/>
                <w:szCs w:val="21"/>
                <w:lang w:val="en-US"/>
              </w:rPr>
            </w:pPr>
            <w:r>
              <w:rPr>
                <w:color w:val="auto"/>
                <w:kern w:val="21"/>
                <w:szCs w:val="21"/>
                <w:lang w:val="en-US"/>
              </w:rPr>
              <w:t>G1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G2</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G3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31" w:type="dxa"/>
            <w:vAlign w:val="center"/>
          </w:tcPr>
          <w:p>
            <w:pPr>
              <w:pStyle w:val="32"/>
              <w:adjustRightInd w:val="0"/>
              <w:snapToGrid w:val="0"/>
              <w:spacing w:after="0"/>
              <w:jc w:val="center"/>
              <w:rPr>
                <w:color w:val="auto"/>
                <w:kern w:val="21"/>
                <w:szCs w:val="21"/>
                <w:lang w:val="en-US"/>
              </w:rPr>
            </w:pPr>
            <w:r>
              <w:rPr>
                <w:color w:val="auto"/>
                <w:kern w:val="21"/>
                <w:szCs w:val="21"/>
                <w:lang w:val="en-US"/>
              </w:rPr>
              <w:t>D1</w:t>
            </w:r>
          </w:p>
        </w:tc>
        <w:tc>
          <w:tcPr>
            <w:tcW w:w="1860"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E2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31" w:type="dxa"/>
            <w:vAlign w:val="center"/>
          </w:tcPr>
          <w:p>
            <w:pPr>
              <w:pStyle w:val="32"/>
              <w:adjustRightInd w:val="0"/>
              <w:snapToGrid w:val="0"/>
              <w:spacing w:after="0"/>
              <w:jc w:val="center"/>
              <w:rPr>
                <w:color w:val="auto"/>
                <w:kern w:val="21"/>
                <w:szCs w:val="21"/>
                <w:lang w:val="en-US"/>
              </w:rPr>
            </w:pPr>
            <w:r>
              <w:rPr>
                <w:color w:val="auto"/>
                <w:kern w:val="21"/>
                <w:szCs w:val="21"/>
                <w:lang w:val="en-US"/>
              </w:rPr>
              <w:t>D2</w:t>
            </w:r>
          </w:p>
        </w:tc>
        <w:tc>
          <w:tcPr>
            <w:tcW w:w="1860"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E2</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E3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31" w:type="dxa"/>
            <w:vAlign w:val="center"/>
          </w:tcPr>
          <w:p>
            <w:pPr>
              <w:pStyle w:val="32"/>
              <w:adjustRightInd w:val="0"/>
              <w:snapToGrid w:val="0"/>
              <w:spacing w:after="0"/>
              <w:jc w:val="center"/>
              <w:rPr>
                <w:color w:val="auto"/>
                <w:kern w:val="21"/>
                <w:szCs w:val="21"/>
                <w:lang w:val="en-US"/>
              </w:rPr>
            </w:pPr>
            <w:r>
              <w:rPr>
                <w:color w:val="auto"/>
                <w:kern w:val="21"/>
                <w:szCs w:val="21"/>
                <w:lang w:val="en-US"/>
              </w:rPr>
              <w:t>D3</w:t>
            </w:r>
          </w:p>
        </w:tc>
        <w:tc>
          <w:tcPr>
            <w:tcW w:w="1860" w:type="dxa"/>
            <w:vAlign w:val="center"/>
          </w:tcPr>
          <w:p>
            <w:pPr>
              <w:pStyle w:val="32"/>
              <w:adjustRightInd w:val="0"/>
              <w:snapToGrid w:val="0"/>
              <w:spacing w:after="0"/>
              <w:jc w:val="center"/>
              <w:rPr>
                <w:color w:val="auto"/>
                <w:kern w:val="21"/>
                <w:szCs w:val="21"/>
                <w:lang w:val="en-US"/>
              </w:rPr>
            </w:pPr>
            <w:r>
              <w:rPr>
                <w:color w:val="auto"/>
                <w:kern w:val="21"/>
                <w:szCs w:val="21"/>
                <w:lang w:val="en-US"/>
              </w:rPr>
              <w:t>E1</w:t>
            </w:r>
          </w:p>
        </w:tc>
        <w:tc>
          <w:tcPr>
            <w:tcW w:w="2364" w:type="dxa"/>
            <w:vAlign w:val="center"/>
          </w:tcPr>
          <w:p>
            <w:pPr>
              <w:pStyle w:val="32"/>
              <w:adjustRightInd w:val="0"/>
              <w:snapToGrid w:val="0"/>
              <w:spacing w:after="0"/>
              <w:jc w:val="center"/>
              <w:rPr>
                <w:color w:val="auto"/>
                <w:kern w:val="21"/>
                <w:szCs w:val="21"/>
                <w:lang w:val="en-US"/>
              </w:rPr>
            </w:pPr>
            <w:r>
              <w:rPr>
                <w:color w:val="auto"/>
                <w:kern w:val="21"/>
                <w:szCs w:val="21"/>
                <w:lang w:val="en-US"/>
              </w:rPr>
              <w:t>E3</w:t>
            </w:r>
          </w:p>
        </w:tc>
        <w:tc>
          <w:tcPr>
            <w:tcW w:w="2349" w:type="dxa"/>
            <w:vAlign w:val="center"/>
          </w:tcPr>
          <w:p>
            <w:pPr>
              <w:pStyle w:val="32"/>
              <w:adjustRightInd w:val="0"/>
              <w:snapToGrid w:val="0"/>
              <w:spacing w:after="0"/>
              <w:jc w:val="center"/>
              <w:rPr>
                <w:color w:val="auto"/>
                <w:kern w:val="21"/>
                <w:szCs w:val="21"/>
                <w:lang w:val="en-US"/>
              </w:rPr>
            </w:pPr>
            <w:r>
              <w:rPr>
                <w:color w:val="auto"/>
                <w:kern w:val="21"/>
                <w:szCs w:val="21"/>
                <w:lang w:val="en-US"/>
              </w:rPr>
              <w:t>E3</w:t>
            </w:r>
          </w:p>
        </w:tc>
      </w:tr>
    </w:tbl>
    <w:p>
      <w:pPr>
        <w:adjustRightInd w:val="0"/>
        <w:snapToGrid w:val="0"/>
        <w:spacing w:line="360" w:lineRule="auto"/>
        <w:rPr>
          <w:color w:val="auto"/>
          <w:kern w:val="21"/>
          <w:sz w:val="24"/>
          <w:szCs w:val="24"/>
        </w:rPr>
      </w:pP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表6.2-9    地下水功能敏感性分区一览表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73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7"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分级</w:t>
            </w:r>
          </w:p>
        </w:tc>
        <w:tc>
          <w:tcPr>
            <w:tcW w:w="7377"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7" w:type="dxa"/>
            <w:vAlign w:val="center"/>
          </w:tcPr>
          <w:p>
            <w:pPr>
              <w:pStyle w:val="32"/>
              <w:adjustRightInd w:val="0"/>
              <w:snapToGrid w:val="0"/>
              <w:spacing w:after="0"/>
              <w:jc w:val="center"/>
              <w:rPr>
                <w:color w:val="auto"/>
                <w:kern w:val="21"/>
                <w:szCs w:val="21"/>
                <w:lang w:val="en-US"/>
              </w:rPr>
            </w:pPr>
            <w:r>
              <w:rPr>
                <w:color w:val="auto"/>
                <w:kern w:val="21"/>
                <w:szCs w:val="21"/>
                <w:lang w:val="en-US"/>
              </w:rPr>
              <w:t>敏感G1</w:t>
            </w:r>
          </w:p>
        </w:tc>
        <w:tc>
          <w:tcPr>
            <w:tcW w:w="7377" w:type="dxa"/>
            <w:vAlign w:val="center"/>
          </w:tcPr>
          <w:p>
            <w:pPr>
              <w:pStyle w:val="32"/>
              <w:adjustRightInd w:val="0"/>
              <w:snapToGrid w:val="0"/>
              <w:spacing w:after="0"/>
              <w:jc w:val="center"/>
              <w:rPr>
                <w:color w:val="auto"/>
                <w:kern w:val="21"/>
                <w:szCs w:val="21"/>
                <w:lang w:val="en-US"/>
              </w:rPr>
            </w:pPr>
            <w:r>
              <w:rPr>
                <w:color w:val="auto"/>
                <w:kern w:val="21"/>
                <w:szCs w:val="21"/>
                <w:lang w:val="en-US"/>
              </w:rPr>
              <w:t>集中式饮用水水源</w:t>
            </w:r>
            <w:r>
              <w:rPr>
                <w:rFonts w:hint="eastAsia"/>
                <w:color w:val="auto"/>
                <w:kern w:val="21"/>
                <w:szCs w:val="21"/>
                <w:lang w:val="en-US" w:eastAsia="zh-CN"/>
              </w:rPr>
              <w:t>（</w:t>
            </w:r>
            <w:r>
              <w:rPr>
                <w:color w:val="auto"/>
                <w:kern w:val="21"/>
                <w:szCs w:val="21"/>
                <w:lang w:val="en-US"/>
              </w:rPr>
              <w:t>包括已建成的在用、备用、应急水源，在建和</w:t>
            </w:r>
            <w:r>
              <w:rPr>
                <w:rFonts w:hint="eastAsia"/>
                <w:color w:val="auto"/>
                <w:kern w:val="21"/>
                <w:szCs w:val="21"/>
                <w:lang w:val="en-US" w:eastAsia="zh-CN"/>
              </w:rPr>
              <w:t>规划</w:t>
            </w:r>
            <w:r>
              <w:rPr>
                <w:color w:val="auto"/>
                <w:kern w:val="21"/>
                <w:szCs w:val="21"/>
                <w:lang w:val="en-US"/>
              </w:rPr>
              <w:t>的饮用水水源</w:t>
            </w:r>
            <w:r>
              <w:rPr>
                <w:rFonts w:hint="eastAsia"/>
                <w:color w:val="auto"/>
                <w:kern w:val="21"/>
                <w:szCs w:val="21"/>
                <w:lang w:val="en-US" w:eastAsia="zh-CN"/>
              </w:rPr>
              <w:t>）</w:t>
            </w:r>
            <w:r>
              <w:rPr>
                <w:color w:val="auto"/>
                <w:kern w:val="21"/>
                <w:szCs w:val="21"/>
                <w:lang w:val="en-US"/>
              </w:rPr>
              <w:t>准保护区；除集中式饮用水水源以外的国家或地方政府设定的与地下水环境相关的其他保护区，如热水、矿泉水温泉等特殊地下水资源保护区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7" w:type="dxa"/>
            <w:vAlign w:val="center"/>
          </w:tcPr>
          <w:p>
            <w:pPr>
              <w:adjustRightInd w:val="0"/>
              <w:snapToGrid w:val="0"/>
              <w:jc w:val="center"/>
              <w:rPr>
                <w:color w:val="auto"/>
                <w:kern w:val="21"/>
              </w:rPr>
            </w:pPr>
            <w:r>
              <w:rPr>
                <w:color w:val="auto"/>
                <w:kern w:val="21"/>
              </w:rPr>
              <w:t>较敏感G2</w:t>
            </w:r>
          </w:p>
        </w:tc>
        <w:tc>
          <w:tcPr>
            <w:tcW w:w="7377" w:type="dxa"/>
            <w:vAlign w:val="center"/>
          </w:tcPr>
          <w:p>
            <w:pPr>
              <w:pStyle w:val="32"/>
              <w:adjustRightInd w:val="0"/>
              <w:snapToGrid w:val="0"/>
              <w:spacing w:after="0"/>
              <w:jc w:val="center"/>
              <w:rPr>
                <w:color w:val="auto"/>
                <w:kern w:val="21"/>
                <w:szCs w:val="21"/>
                <w:lang w:val="en-US"/>
              </w:rPr>
            </w:pPr>
            <w:r>
              <w:rPr>
                <w:color w:val="auto"/>
                <w:kern w:val="21"/>
                <w:szCs w:val="21"/>
                <w:lang w:val="en-US"/>
              </w:rPr>
              <w:t>集中式饮用水水源</w:t>
            </w:r>
            <w:r>
              <w:rPr>
                <w:rFonts w:hint="eastAsia"/>
                <w:color w:val="auto"/>
                <w:kern w:val="21"/>
                <w:szCs w:val="21"/>
                <w:lang w:val="en-US" w:eastAsia="zh-CN"/>
              </w:rPr>
              <w:t>（</w:t>
            </w:r>
            <w:r>
              <w:rPr>
                <w:color w:val="auto"/>
                <w:kern w:val="21"/>
                <w:szCs w:val="21"/>
                <w:lang w:val="en-US"/>
              </w:rPr>
              <w:t>包括已建成的在用、备用、应急水源，在建和划的饮用水水源</w:t>
            </w:r>
            <w:r>
              <w:rPr>
                <w:rFonts w:hint="eastAsia"/>
                <w:color w:val="auto"/>
                <w:kern w:val="21"/>
                <w:szCs w:val="21"/>
                <w:lang w:val="en-US" w:eastAsia="zh-CN"/>
              </w:rPr>
              <w:t>）</w:t>
            </w:r>
            <w:r>
              <w:rPr>
                <w:color w:val="auto"/>
                <w:kern w:val="21"/>
                <w:szCs w:val="21"/>
                <w:lang w:val="en-US"/>
              </w:rPr>
              <w:t>准保护区以外的补给径流区；未划定准保护区的集中式饮用水水源，其保护区以外的补给径流区；分散式饮用水水源地；特殊地下水资源</w:t>
            </w:r>
            <w:r>
              <w:rPr>
                <w:rFonts w:hint="eastAsia"/>
                <w:color w:val="auto"/>
                <w:kern w:val="21"/>
                <w:szCs w:val="21"/>
                <w:lang w:val="en-US" w:eastAsia="zh-CN"/>
              </w:rPr>
              <w:t>（</w:t>
            </w:r>
            <w:r>
              <w:rPr>
                <w:color w:val="auto"/>
                <w:kern w:val="21"/>
                <w:szCs w:val="21"/>
                <w:lang w:val="en-US"/>
              </w:rPr>
              <w:t>如热水、矿泉水、温泉等</w:t>
            </w:r>
            <w:r>
              <w:rPr>
                <w:rFonts w:hint="eastAsia"/>
                <w:color w:val="auto"/>
                <w:kern w:val="21"/>
                <w:szCs w:val="21"/>
                <w:lang w:val="en-US" w:eastAsia="zh-CN"/>
              </w:rPr>
              <w:t>）</w:t>
            </w:r>
            <w:r>
              <w:rPr>
                <w:color w:val="auto"/>
                <w:kern w:val="21"/>
                <w:szCs w:val="21"/>
                <w:lang w:val="en-US"/>
              </w:rPr>
              <w:t>保护区以外的分布区等其他未列入上述敏感分级的环境敏感区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27" w:type="dxa"/>
            <w:vAlign w:val="center"/>
          </w:tcPr>
          <w:p>
            <w:pPr>
              <w:adjustRightInd w:val="0"/>
              <w:snapToGrid w:val="0"/>
              <w:jc w:val="center"/>
              <w:rPr>
                <w:color w:val="auto"/>
                <w:kern w:val="21"/>
              </w:rPr>
            </w:pPr>
            <w:r>
              <w:rPr>
                <w:color w:val="auto"/>
                <w:kern w:val="21"/>
              </w:rPr>
              <w:t>低敏感G3</w:t>
            </w:r>
          </w:p>
        </w:tc>
        <w:tc>
          <w:tcPr>
            <w:tcW w:w="7377" w:type="dxa"/>
            <w:vAlign w:val="center"/>
          </w:tcPr>
          <w:p>
            <w:pPr>
              <w:pStyle w:val="32"/>
              <w:adjustRightInd w:val="0"/>
              <w:snapToGrid w:val="0"/>
              <w:spacing w:after="0"/>
              <w:jc w:val="center"/>
              <w:rPr>
                <w:color w:val="auto"/>
                <w:kern w:val="21"/>
                <w:szCs w:val="21"/>
                <w:lang w:val="en-US"/>
              </w:rPr>
            </w:pPr>
            <w:r>
              <w:rPr>
                <w:color w:val="auto"/>
                <w:kern w:val="21"/>
                <w:szCs w:val="21"/>
                <w:lang w:val="en-US"/>
              </w:rPr>
              <w:t>上述地区之外的其他地区</w:t>
            </w:r>
          </w:p>
        </w:tc>
      </w:tr>
    </w:tbl>
    <w:p>
      <w:pPr>
        <w:adjustRightInd w:val="0"/>
        <w:snapToGrid w:val="0"/>
        <w:spacing w:line="360" w:lineRule="auto"/>
        <w:ind w:firstLine="480" w:firstLineChars="200"/>
        <w:rPr>
          <w:color w:val="auto"/>
          <w:kern w:val="21"/>
          <w:sz w:val="24"/>
          <w:szCs w:val="24"/>
        </w:rPr>
      </w:pP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表6.2-10    包气带防污性能分级一览表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72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3"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分级</w:t>
            </w:r>
          </w:p>
        </w:tc>
        <w:tc>
          <w:tcPr>
            <w:tcW w:w="7281" w:type="dxa"/>
            <w:vAlign w:val="center"/>
          </w:tcPr>
          <w:p>
            <w:pPr>
              <w:pStyle w:val="32"/>
              <w:adjustRightInd w:val="0"/>
              <w:snapToGrid w:val="0"/>
              <w:spacing w:after="0"/>
              <w:jc w:val="center"/>
              <w:rPr>
                <w:b/>
                <w:bCs/>
                <w:color w:val="auto"/>
                <w:kern w:val="21"/>
                <w:szCs w:val="21"/>
                <w:lang w:val="en-US"/>
              </w:rPr>
            </w:pPr>
            <w:r>
              <w:rPr>
                <w:b/>
                <w:bCs/>
                <w:color w:val="auto"/>
                <w:kern w:val="21"/>
                <w:szCs w:val="21"/>
                <w:lang w:val="en-US"/>
              </w:rPr>
              <w:t>包气带防污性能分级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3" w:type="dxa"/>
            <w:vAlign w:val="center"/>
          </w:tcPr>
          <w:p>
            <w:pPr>
              <w:pStyle w:val="32"/>
              <w:adjustRightInd w:val="0"/>
              <w:snapToGrid w:val="0"/>
              <w:spacing w:after="0"/>
              <w:jc w:val="center"/>
              <w:rPr>
                <w:color w:val="auto"/>
                <w:kern w:val="21"/>
                <w:szCs w:val="21"/>
                <w:lang w:val="en-US"/>
              </w:rPr>
            </w:pPr>
            <w:r>
              <w:rPr>
                <w:color w:val="auto"/>
                <w:kern w:val="21"/>
                <w:szCs w:val="21"/>
                <w:lang w:val="en-US"/>
              </w:rPr>
              <w:t>D3</w:t>
            </w:r>
          </w:p>
        </w:tc>
        <w:tc>
          <w:tcPr>
            <w:tcW w:w="7281" w:type="dxa"/>
            <w:vAlign w:val="center"/>
          </w:tcPr>
          <w:p>
            <w:pPr>
              <w:pStyle w:val="32"/>
              <w:adjustRightInd w:val="0"/>
              <w:snapToGrid w:val="0"/>
              <w:spacing w:after="0"/>
              <w:jc w:val="center"/>
              <w:rPr>
                <w:color w:val="auto"/>
                <w:kern w:val="21"/>
                <w:szCs w:val="21"/>
                <w:lang w:val="en-US"/>
              </w:rPr>
            </w:pPr>
            <w:r>
              <w:rPr>
                <w:color w:val="auto"/>
                <w:kern w:val="21"/>
                <w:szCs w:val="21"/>
                <w:lang w:val="en-US"/>
              </w:rPr>
              <w:t>Mb≥1.0m，K≤1.0×10</w:t>
            </w:r>
            <w:r>
              <w:rPr>
                <w:color w:val="auto"/>
                <w:kern w:val="21"/>
                <w:szCs w:val="21"/>
                <w:vertAlign w:val="superscript"/>
                <w:lang w:val="en-US"/>
              </w:rPr>
              <w:t>-6</w:t>
            </w:r>
            <w:r>
              <w:rPr>
                <w:color w:val="auto"/>
                <w:kern w:val="21"/>
                <w:szCs w:val="21"/>
                <w:lang w:val="en-US"/>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3" w:type="dxa"/>
            <w:vAlign w:val="center"/>
          </w:tcPr>
          <w:p>
            <w:pPr>
              <w:adjustRightInd w:val="0"/>
              <w:snapToGrid w:val="0"/>
              <w:jc w:val="center"/>
              <w:rPr>
                <w:color w:val="auto"/>
                <w:kern w:val="21"/>
              </w:rPr>
            </w:pPr>
            <w:r>
              <w:rPr>
                <w:color w:val="auto"/>
                <w:kern w:val="21"/>
              </w:rPr>
              <w:t>D2</w:t>
            </w:r>
          </w:p>
        </w:tc>
        <w:tc>
          <w:tcPr>
            <w:tcW w:w="7281" w:type="dxa"/>
            <w:vAlign w:val="center"/>
          </w:tcPr>
          <w:p>
            <w:pPr>
              <w:pStyle w:val="32"/>
              <w:adjustRightInd w:val="0"/>
              <w:snapToGrid w:val="0"/>
              <w:spacing w:after="0"/>
              <w:jc w:val="center"/>
              <w:rPr>
                <w:color w:val="auto"/>
                <w:kern w:val="21"/>
                <w:szCs w:val="21"/>
                <w:lang w:val="en-US"/>
              </w:rPr>
            </w:pPr>
            <w:r>
              <w:rPr>
                <w:color w:val="auto"/>
                <w:kern w:val="21"/>
                <w:szCs w:val="21"/>
                <w:lang w:val="en-US"/>
              </w:rPr>
              <w:t>0.5m≤Mb＜1.0m，K≤1.0×10</w:t>
            </w:r>
            <w:r>
              <w:rPr>
                <w:color w:val="auto"/>
                <w:kern w:val="21"/>
                <w:szCs w:val="21"/>
                <w:vertAlign w:val="superscript"/>
                <w:lang w:val="en-US"/>
              </w:rPr>
              <w:t>-6</w:t>
            </w:r>
            <w:r>
              <w:rPr>
                <w:color w:val="auto"/>
                <w:kern w:val="21"/>
                <w:szCs w:val="21"/>
                <w:lang w:val="en-US"/>
              </w:rPr>
              <w:t>cm/s，且分布连续、稳定</w:t>
            </w:r>
          </w:p>
          <w:p>
            <w:pPr>
              <w:pStyle w:val="32"/>
              <w:adjustRightInd w:val="0"/>
              <w:snapToGrid w:val="0"/>
              <w:spacing w:after="0"/>
              <w:jc w:val="center"/>
              <w:rPr>
                <w:color w:val="auto"/>
                <w:kern w:val="21"/>
                <w:szCs w:val="21"/>
                <w:lang w:val="en-US"/>
              </w:rPr>
            </w:pPr>
            <w:r>
              <w:rPr>
                <w:color w:val="auto"/>
                <w:kern w:val="21"/>
                <w:szCs w:val="21"/>
                <w:lang w:val="en-US"/>
              </w:rPr>
              <w:t>Mb≥1.0m，1.0×10</w:t>
            </w:r>
            <w:r>
              <w:rPr>
                <w:color w:val="auto"/>
                <w:kern w:val="21"/>
                <w:szCs w:val="21"/>
                <w:vertAlign w:val="superscript"/>
                <w:lang w:val="en-US"/>
              </w:rPr>
              <w:t>-6</w:t>
            </w:r>
            <w:r>
              <w:rPr>
                <w:color w:val="auto"/>
                <w:kern w:val="21"/>
                <w:szCs w:val="21"/>
                <w:lang w:val="en-US"/>
              </w:rPr>
              <w:t>cm/s＜K≤1.0×10</w:t>
            </w:r>
            <w:r>
              <w:rPr>
                <w:color w:val="auto"/>
                <w:kern w:val="21"/>
                <w:szCs w:val="21"/>
                <w:vertAlign w:val="superscript"/>
                <w:lang w:val="en-US"/>
              </w:rPr>
              <w:t>-4</w:t>
            </w:r>
            <w:r>
              <w:rPr>
                <w:color w:val="auto"/>
                <w:kern w:val="21"/>
                <w:szCs w:val="21"/>
                <w:lang w:val="en-US"/>
              </w:rPr>
              <w:t>cm/s，且分布连续、稳定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23" w:type="dxa"/>
            <w:vAlign w:val="center"/>
          </w:tcPr>
          <w:p>
            <w:pPr>
              <w:adjustRightInd w:val="0"/>
              <w:snapToGrid w:val="0"/>
              <w:jc w:val="center"/>
              <w:rPr>
                <w:color w:val="auto"/>
                <w:kern w:val="21"/>
              </w:rPr>
            </w:pPr>
            <w:r>
              <w:rPr>
                <w:color w:val="auto"/>
                <w:kern w:val="21"/>
              </w:rPr>
              <w:t>D1</w:t>
            </w:r>
          </w:p>
        </w:tc>
        <w:tc>
          <w:tcPr>
            <w:tcW w:w="7281" w:type="dxa"/>
            <w:vAlign w:val="center"/>
          </w:tcPr>
          <w:p>
            <w:pPr>
              <w:pStyle w:val="32"/>
              <w:adjustRightInd w:val="0"/>
              <w:snapToGrid w:val="0"/>
              <w:spacing w:after="0"/>
              <w:jc w:val="center"/>
              <w:rPr>
                <w:color w:val="auto"/>
                <w:kern w:val="21"/>
                <w:szCs w:val="21"/>
                <w:lang w:val="en-US"/>
              </w:rPr>
            </w:pPr>
            <w:r>
              <w:rPr>
                <w:color w:val="auto"/>
                <w:kern w:val="21"/>
                <w:szCs w:val="21"/>
                <w:lang w:val="en-US"/>
              </w:rPr>
              <w:t>岩（土）层不能满足上述</w:t>
            </w:r>
            <w:r>
              <w:rPr>
                <w:rFonts w:hint="eastAsia"/>
                <w:color w:val="auto"/>
                <w:kern w:val="21"/>
                <w:szCs w:val="21"/>
                <w:lang w:val="en-US"/>
              </w:rPr>
              <w:t>“</w:t>
            </w:r>
            <w:r>
              <w:rPr>
                <w:color w:val="auto"/>
                <w:kern w:val="21"/>
                <w:szCs w:val="21"/>
                <w:lang w:val="en-US"/>
              </w:rPr>
              <w:t>D2</w:t>
            </w:r>
            <w:r>
              <w:rPr>
                <w:rFonts w:hint="eastAsia"/>
                <w:color w:val="auto"/>
                <w:kern w:val="21"/>
                <w:szCs w:val="21"/>
                <w:lang w:val="en-US"/>
              </w:rPr>
              <w:t>”</w:t>
            </w:r>
            <w:r>
              <w:rPr>
                <w:color w:val="auto"/>
                <w:kern w:val="21"/>
                <w:szCs w:val="21"/>
                <w:lang w:val="en-US"/>
              </w:rPr>
              <w:t>和</w:t>
            </w:r>
            <w:r>
              <w:rPr>
                <w:rFonts w:hint="eastAsia"/>
                <w:color w:val="auto"/>
                <w:kern w:val="21"/>
                <w:szCs w:val="21"/>
                <w:lang w:val="en-US"/>
              </w:rPr>
              <w:t>“</w:t>
            </w:r>
            <w:r>
              <w:rPr>
                <w:color w:val="auto"/>
                <w:kern w:val="21"/>
                <w:szCs w:val="21"/>
                <w:lang w:val="en-US"/>
              </w:rPr>
              <w:t>D3</w:t>
            </w:r>
            <w:r>
              <w:rPr>
                <w:rFonts w:hint="eastAsia"/>
                <w:color w:val="auto"/>
                <w:kern w:val="21"/>
                <w:szCs w:val="21"/>
                <w:lang w:val="en-US"/>
              </w:rPr>
              <w:t>”</w:t>
            </w:r>
            <w:r>
              <w:rPr>
                <w:color w:val="auto"/>
                <w:kern w:val="21"/>
                <w:szCs w:val="21"/>
                <w:lang w:val="en-US"/>
              </w:rPr>
              <w:t>条件</w:t>
            </w:r>
          </w:p>
        </w:tc>
      </w:tr>
    </w:tbl>
    <w:p>
      <w:pPr>
        <w:adjustRightInd w:val="0"/>
        <w:snapToGrid w:val="0"/>
        <w:spacing w:line="360" w:lineRule="auto"/>
        <w:ind w:firstLine="480" w:firstLineChars="200"/>
        <w:rPr>
          <w:color w:val="auto"/>
          <w:kern w:val="21"/>
          <w:sz w:val="24"/>
          <w:szCs w:val="24"/>
        </w:rPr>
      </w:pPr>
    </w:p>
    <w:p>
      <w:pPr>
        <w:adjustRightInd w:val="0"/>
        <w:snapToGrid w:val="0"/>
        <w:spacing w:line="360" w:lineRule="auto"/>
        <w:ind w:firstLine="480" w:firstLineChars="200"/>
        <w:rPr>
          <w:color w:val="auto"/>
          <w:kern w:val="21"/>
          <w:sz w:val="24"/>
          <w:szCs w:val="24"/>
        </w:rPr>
      </w:pPr>
      <w:r>
        <w:rPr>
          <w:color w:val="auto"/>
          <w:kern w:val="21"/>
          <w:sz w:val="24"/>
          <w:szCs w:val="24"/>
        </w:rPr>
        <w:t>根据对照分析，本项目周边不涉及集中式饮用水水源等环境敏感区，地下水功能敏感性分级为G3低敏感，包气带防污性能分级为D3，故地下水环境敏感程度分级为E3。</w:t>
      </w:r>
    </w:p>
    <w:p>
      <w:pPr>
        <w:adjustRightInd w:val="0"/>
        <w:snapToGrid w:val="0"/>
        <w:spacing w:line="360" w:lineRule="auto"/>
        <w:rPr>
          <w:rFonts w:eastAsia="黑体"/>
          <w:snapToGrid w:val="0"/>
          <w:color w:val="auto"/>
          <w:kern w:val="21"/>
          <w:sz w:val="28"/>
          <w:szCs w:val="28"/>
        </w:rPr>
      </w:pPr>
      <w:r>
        <w:rPr>
          <w:rFonts w:eastAsia="黑体"/>
          <w:snapToGrid w:val="0"/>
          <w:color w:val="auto"/>
          <w:kern w:val="21"/>
          <w:sz w:val="28"/>
          <w:szCs w:val="28"/>
        </w:rPr>
        <w:t>6.2.6环境风险潜势划分</w:t>
      </w:r>
    </w:p>
    <w:p>
      <w:pPr>
        <w:adjustRightInd w:val="0"/>
        <w:snapToGrid w:val="0"/>
        <w:spacing w:line="360" w:lineRule="auto"/>
        <w:ind w:firstLine="480" w:firstLineChars="200"/>
        <w:rPr>
          <w:color w:val="auto"/>
          <w:kern w:val="21"/>
          <w:sz w:val="24"/>
        </w:rPr>
      </w:pPr>
      <w:r>
        <w:rPr>
          <w:color w:val="auto"/>
          <w:kern w:val="21"/>
          <w:sz w:val="24"/>
        </w:rPr>
        <w:t>环境风险潜势划分表如下。</w:t>
      </w:r>
    </w:p>
    <w:p>
      <w:pPr>
        <w:adjustRightInd w:val="0"/>
        <w:snapToGrid w:val="0"/>
        <w:jc w:val="center"/>
        <w:rPr>
          <w:rFonts w:eastAsia="黑体"/>
          <w:color w:val="auto"/>
          <w:kern w:val="21"/>
          <w:sz w:val="24"/>
          <w:szCs w:val="24"/>
        </w:rPr>
      </w:pPr>
    </w:p>
    <w:p>
      <w:pPr>
        <w:adjustRightInd w:val="0"/>
        <w:snapToGrid w:val="0"/>
        <w:jc w:val="center"/>
        <w:rPr>
          <w:rFonts w:eastAsia="黑体"/>
          <w:color w:val="auto"/>
          <w:kern w:val="21"/>
          <w:sz w:val="24"/>
          <w:szCs w:val="24"/>
        </w:rPr>
      </w:pPr>
    </w:p>
    <w:p>
      <w:pPr>
        <w:adjustRightInd w:val="0"/>
        <w:snapToGrid w:val="0"/>
        <w:jc w:val="center"/>
        <w:rPr>
          <w:rFonts w:eastAsia="黑体"/>
          <w:color w:val="auto"/>
          <w:kern w:val="21"/>
          <w:sz w:val="24"/>
          <w:szCs w:val="24"/>
        </w:rPr>
      </w:pPr>
    </w:p>
    <w:p>
      <w:pPr>
        <w:adjustRightInd w:val="0"/>
        <w:snapToGrid w:val="0"/>
        <w:jc w:val="center"/>
        <w:rPr>
          <w:rFonts w:eastAsia="黑体"/>
          <w:color w:val="auto"/>
          <w:kern w:val="21"/>
          <w:sz w:val="24"/>
          <w:szCs w:val="24"/>
        </w:rPr>
      </w:pPr>
      <w:r>
        <w:rPr>
          <w:rFonts w:eastAsia="黑体"/>
          <w:color w:val="auto"/>
          <w:kern w:val="21"/>
          <w:sz w:val="24"/>
          <w:szCs w:val="24"/>
        </w:rPr>
        <w:t>表6.2-11    环境风险潜势划分</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Merge w:val="restart"/>
            <w:vAlign w:val="center"/>
          </w:tcPr>
          <w:p>
            <w:pPr>
              <w:adjustRightInd w:val="0"/>
              <w:snapToGrid w:val="0"/>
              <w:jc w:val="center"/>
              <w:rPr>
                <w:b/>
                <w:bCs/>
                <w:color w:val="auto"/>
                <w:kern w:val="21"/>
              </w:rPr>
            </w:pPr>
            <w:r>
              <w:rPr>
                <w:b/>
                <w:bCs/>
                <w:color w:val="auto"/>
                <w:kern w:val="21"/>
              </w:rPr>
              <w:t>环境敏感程度（E）</w:t>
            </w:r>
          </w:p>
        </w:tc>
        <w:tc>
          <w:tcPr>
            <w:tcW w:w="6804" w:type="dxa"/>
            <w:gridSpan w:val="4"/>
            <w:vAlign w:val="center"/>
          </w:tcPr>
          <w:p>
            <w:pPr>
              <w:adjustRightInd w:val="0"/>
              <w:snapToGrid w:val="0"/>
              <w:jc w:val="center"/>
              <w:rPr>
                <w:b/>
                <w:bCs/>
                <w:color w:val="auto"/>
                <w:kern w:val="21"/>
              </w:rPr>
            </w:pPr>
            <w:r>
              <w:rPr>
                <w:b/>
                <w:bCs/>
                <w:color w:val="auto"/>
                <w:kern w:val="21"/>
              </w:rPr>
              <w:t>危险物质及工艺系统危险性（P）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Merge w:val="continue"/>
            <w:vAlign w:val="center"/>
          </w:tcPr>
          <w:p>
            <w:pPr>
              <w:adjustRightInd w:val="0"/>
              <w:snapToGrid w:val="0"/>
              <w:jc w:val="center"/>
              <w:rPr>
                <w:b/>
                <w:bCs/>
                <w:color w:val="auto"/>
                <w:kern w:val="21"/>
              </w:rPr>
            </w:pPr>
          </w:p>
        </w:tc>
        <w:tc>
          <w:tcPr>
            <w:tcW w:w="1701" w:type="dxa"/>
            <w:vAlign w:val="center"/>
          </w:tcPr>
          <w:p>
            <w:pPr>
              <w:adjustRightInd w:val="0"/>
              <w:snapToGrid w:val="0"/>
              <w:jc w:val="center"/>
              <w:rPr>
                <w:b/>
                <w:bCs/>
                <w:color w:val="auto"/>
                <w:kern w:val="21"/>
              </w:rPr>
            </w:pPr>
            <w:r>
              <w:rPr>
                <w:b/>
                <w:bCs/>
                <w:color w:val="auto"/>
                <w:kern w:val="21"/>
              </w:rPr>
              <w:t>极度危害（P1）</w:t>
            </w:r>
          </w:p>
        </w:tc>
        <w:tc>
          <w:tcPr>
            <w:tcW w:w="1701" w:type="dxa"/>
            <w:vAlign w:val="center"/>
          </w:tcPr>
          <w:p>
            <w:pPr>
              <w:adjustRightInd w:val="0"/>
              <w:snapToGrid w:val="0"/>
              <w:jc w:val="center"/>
              <w:rPr>
                <w:b/>
                <w:bCs/>
                <w:color w:val="auto"/>
                <w:kern w:val="21"/>
              </w:rPr>
            </w:pPr>
            <w:r>
              <w:rPr>
                <w:b/>
                <w:bCs/>
                <w:color w:val="auto"/>
                <w:kern w:val="21"/>
              </w:rPr>
              <w:t>高度危害（P2）</w:t>
            </w:r>
          </w:p>
        </w:tc>
        <w:tc>
          <w:tcPr>
            <w:tcW w:w="1701" w:type="dxa"/>
            <w:vAlign w:val="center"/>
          </w:tcPr>
          <w:p>
            <w:pPr>
              <w:adjustRightInd w:val="0"/>
              <w:snapToGrid w:val="0"/>
              <w:jc w:val="center"/>
              <w:rPr>
                <w:b/>
                <w:bCs/>
                <w:color w:val="auto"/>
                <w:kern w:val="21"/>
              </w:rPr>
            </w:pPr>
            <w:r>
              <w:rPr>
                <w:b/>
                <w:bCs/>
                <w:color w:val="auto"/>
                <w:kern w:val="21"/>
              </w:rPr>
              <w:t>中度危害（P3）</w:t>
            </w:r>
          </w:p>
        </w:tc>
        <w:tc>
          <w:tcPr>
            <w:tcW w:w="1701" w:type="dxa"/>
            <w:vAlign w:val="center"/>
          </w:tcPr>
          <w:p>
            <w:pPr>
              <w:adjustRightInd w:val="0"/>
              <w:snapToGrid w:val="0"/>
              <w:jc w:val="center"/>
              <w:rPr>
                <w:b/>
                <w:bCs/>
                <w:color w:val="auto"/>
                <w:kern w:val="21"/>
              </w:rPr>
            </w:pPr>
            <w:r>
              <w:rPr>
                <w:b/>
                <w:bCs/>
                <w:color w:val="auto"/>
                <w:kern w:val="21"/>
              </w:rPr>
              <w:t>轻度危害（P4）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环境高度敏感区（E1）</w:t>
            </w:r>
          </w:p>
        </w:tc>
        <w:tc>
          <w:tcPr>
            <w:tcW w:w="1701" w:type="dxa"/>
            <w:vAlign w:val="center"/>
          </w:tcPr>
          <w:p>
            <w:pPr>
              <w:adjustRightInd w:val="0"/>
              <w:snapToGrid w:val="0"/>
              <w:jc w:val="center"/>
              <w:rPr>
                <w:color w:val="auto"/>
                <w:kern w:val="21"/>
              </w:rPr>
            </w:pPr>
            <w:r>
              <w:rPr>
                <w:color w:val="auto"/>
                <w:kern w:val="21"/>
              </w:rPr>
              <w:t>IV</w:t>
            </w:r>
            <w:r>
              <w:rPr>
                <w:color w:val="auto"/>
                <w:kern w:val="21"/>
                <w:vertAlign w:val="superscript"/>
              </w:rPr>
              <w:t>+</w:t>
            </w:r>
          </w:p>
        </w:tc>
        <w:tc>
          <w:tcPr>
            <w:tcW w:w="1701" w:type="dxa"/>
            <w:vAlign w:val="center"/>
          </w:tcPr>
          <w:p>
            <w:pPr>
              <w:adjustRightInd w:val="0"/>
              <w:snapToGrid w:val="0"/>
              <w:jc w:val="center"/>
              <w:rPr>
                <w:color w:val="auto"/>
                <w:kern w:val="21"/>
              </w:rPr>
            </w:pPr>
            <w:r>
              <w:rPr>
                <w:color w:val="auto"/>
                <w:kern w:val="21"/>
              </w:rPr>
              <w:t>IV</w:t>
            </w:r>
          </w:p>
        </w:tc>
        <w:tc>
          <w:tcPr>
            <w:tcW w:w="1701" w:type="dxa"/>
            <w:vAlign w:val="center"/>
          </w:tcPr>
          <w:p>
            <w:pPr>
              <w:adjustRightInd w:val="0"/>
              <w:snapToGrid w:val="0"/>
              <w:jc w:val="center"/>
              <w:rPr>
                <w:color w:val="auto"/>
                <w:kern w:val="21"/>
              </w:rPr>
            </w:pPr>
            <w:r>
              <w:rPr>
                <w:color w:val="auto"/>
                <w:kern w:val="21"/>
              </w:rPr>
              <w:t>III</w:t>
            </w:r>
          </w:p>
        </w:tc>
        <w:tc>
          <w:tcPr>
            <w:tcW w:w="1701" w:type="dxa"/>
            <w:vAlign w:val="center"/>
          </w:tcPr>
          <w:p>
            <w:pPr>
              <w:adjustRightInd w:val="0"/>
              <w:snapToGrid w:val="0"/>
              <w:jc w:val="center"/>
              <w:rPr>
                <w:color w:val="auto"/>
                <w:kern w:val="21"/>
              </w:rPr>
            </w:pPr>
            <w:r>
              <w:rPr>
                <w:color w:val="auto"/>
                <w:kern w:val="21"/>
              </w:rPr>
              <w:t>III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环境中度敏感区（E2）</w:t>
            </w:r>
          </w:p>
        </w:tc>
        <w:tc>
          <w:tcPr>
            <w:tcW w:w="1701" w:type="dxa"/>
            <w:vAlign w:val="center"/>
          </w:tcPr>
          <w:p>
            <w:pPr>
              <w:adjustRightInd w:val="0"/>
              <w:snapToGrid w:val="0"/>
              <w:jc w:val="center"/>
              <w:rPr>
                <w:color w:val="auto"/>
                <w:kern w:val="21"/>
              </w:rPr>
            </w:pPr>
            <w:r>
              <w:rPr>
                <w:color w:val="auto"/>
                <w:kern w:val="21"/>
              </w:rPr>
              <w:t>IV</w:t>
            </w:r>
          </w:p>
        </w:tc>
        <w:tc>
          <w:tcPr>
            <w:tcW w:w="1701" w:type="dxa"/>
            <w:vAlign w:val="center"/>
          </w:tcPr>
          <w:p>
            <w:pPr>
              <w:adjustRightInd w:val="0"/>
              <w:snapToGrid w:val="0"/>
              <w:jc w:val="center"/>
              <w:rPr>
                <w:color w:val="auto"/>
                <w:kern w:val="21"/>
              </w:rPr>
            </w:pPr>
            <w:r>
              <w:rPr>
                <w:color w:val="auto"/>
                <w:kern w:val="21"/>
              </w:rPr>
              <w:t>III</w:t>
            </w:r>
          </w:p>
        </w:tc>
        <w:tc>
          <w:tcPr>
            <w:tcW w:w="1701" w:type="dxa"/>
            <w:vAlign w:val="center"/>
          </w:tcPr>
          <w:p>
            <w:pPr>
              <w:adjustRightInd w:val="0"/>
              <w:snapToGrid w:val="0"/>
              <w:jc w:val="center"/>
              <w:rPr>
                <w:color w:val="auto"/>
                <w:kern w:val="21"/>
              </w:rPr>
            </w:pPr>
            <w:r>
              <w:rPr>
                <w:color w:val="auto"/>
                <w:kern w:val="21"/>
              </w:rPr>
              <w:t>III</w:t>
            </w:r>
          </w:p>
        </w:tc>
        <w:tc>
          <w:tcPr>
            <w:tcW w:w="1701" w:type="dxa"/>
            <w:vAlign w:val="center"/>
          </w:tcPr>
          <w:p>
            <w:pPr>
              <w:adjustRightInd w:val="0"/>
              <w:snapToGrid w:val="0"/>
              <w:jc w:val="center"/>
              <w:rPr>
                <w:color w:val="auto"/>
                <w:kern w:val="21"/>
              </w:rPr>
            </w:pPr>
            <w:r>
              <w:rPr>
                <w:color w:val="auto"/>
                <w:kern w:val="21"/>
              </w:rPr>
              <w:t>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环境低度敏感区（E3）</w:t>
            </w:r>
          </w:p>
        </w:tc>
        <w:tc>
          <w:tcPr>
            <w:tcW w:w="1701" w:type="dxa"/>
            <w:vAlign w:val="center"/>
          </w:tcPr>
          <w:p>
            <w:pPr>
              <w:adjustRightInd w:val="0"/>
              <w:snapToGrid w:val="0"/>
              <w:jc w:val="center"/>
              <w:rPr>
                <w:color w:val="auto"/>
                <w:kern w:val="21"/>
              </w:rPr>
            </w:pPr>
            <w:r>
              <w:rPr>
                <w:color w:val="auto"/>
                <w:kern w:val="21"/>
              </w:rPr>
              <w:t>III</w:t>
            </w:r>
          </w:p>
        </w:tc>
        <w:tc>
          <w:tcPr>
            <w:tcW w:w="1701" w:type="dxa"/>
            <w:vAlign w:val="center"/>
          </w:tcPr>
          <w:p>
            <w:pPr>
              <w:adjustRightInd w:val="0"/>
              <w:snapToGrid w:val="0"/>
              <w:jc w:val="center"/>
              <w:rPr>
                <w:color w:val="auto"/>
                <w:kern w:val="21"/>
              </w:rPr>
            </w:pPr>
            <w:r>
              <w:rPr>
                <w:color w:val="auto"/>
                <w:kern w:val="21"/>
              </w:rPr>
              <w:t>III</w:t>
            </w:r>
          </w:p>
        </w:tc>
        <w:tc>
          <w:tcPr>
            <w:tcW w:w="1701" w:type="dxa"/>
            <w:vAlign w:val="center"/>
          </w:tcPr>
          <w:p>
            <w:pPr>
              <w:adjustRightInd w:val="0"/>
              <w:snapToGrid w:val="0"/>
              <w:jc w:val="center"/>
              <w:rPr>
                <w:color w:val="auto"/>
                <w:kern w:val="21"/>
              </w:rPr>
            </w:pPr>
            <w:r>
              <w:rPr>
                <w:color w:val="auto"/>
                <w:kern w:val="21"/>
              </w:rPr>
              <w:t>II</w:t>
            </w:r>
          </w:p>
        </w:tc>
        <w:tc>
          <w:tcPr>
            <w:tcW w:w="1701" w:type="dxa"/>
            <w:vAlign w:val="center"/>
          </w:tcPr>
          <w:p>
            <w:pPr>
              <w:adjustRightInd w:val="0"/>
              <w:snapToGrid w:val="0"/>
              <w:jc w:val="center"/>
              <w:rPr>
                <w:color w:val="auto"/>
                <w:kern w:val="21"/>
                <w:highlight w:val="lightGray"/>
              </w:rPr>
            </w:pPr>
            <w:r>
              <w:rPr>
                <w:color w:val="auto"/>
                <w:kern w:val="21"/>
              </w:rPr>
              <w:t>I</w:t>
            </w:r>
          </w:p>
        </w:tc>
      </w:tr>
    </w:tbl>
    <w:p>
      <w:pPr>
        <w:keepNext w:val="0"/>
        <w:keepLines w:val="0"/>
        <w:pageBreakBefore w:val="0"/>
        <w:widowControl/>
        <w:kinsoku/>
        <w:wordWrap/>
        <w:overflowPunct/>
        <w:topLinePunct w:val="0"/>
        <w:autoSpaceDE/>
        <w:autoSpaceDN/>
        <w:bidi w:val="0"/>
        <w:adjustRightInd w:val="0"/>
        <w:snapToGrid w:val="0"/>
        <w:spacing w:before="157" w:beforeLines="50" w:line="360" w:lineRule="auto"/>
        <w:ind w:firstLine="480" w:firstLineChars="200"/>
        <w:textAlignment w:val="auto"/>
        <w:rPr>
          <w:color w:val="auto"/>
          <w:kern w:val="21"/>
          <w:sz w:val="24"/>
        </w:rPr>
      </w:pPr>
      <w:r>
        <w:rPr>
          <w:color w:val="auto"/>
          <w:kern w:val="21"/>
          <w:sz w:val="24"/>
        </w:rPr>
        <w:t>根据大气环境、地表水环境、地下水环境敏感程度分级表，本项目大气环境属于环境中度敏感区</w:t>
      </w:r>
      <w:r>
        <w:rPr>
          <w:rFonts w:hint="eastAsia"/>
          <w:color w:val="auto"/>
          <w:kern w:val="21"/>
          <w:sz w:val="24"/>
        </w:rPr>
        <w:t>E2，</w:t>
      </w:r>
      <w:r>
        <w:rPr>
          <w:color w:val="auto"/>
          <w:kern w:val="21"/>
          <w:sz w:val="24"/>
        </w:rPr>
        <w:t>地表水环境、地下水环境</w:t>
      </w:r>
      <w:r>
        <w:rPr>
          <w:rFonts w:hint="eastAsia"/>
          <w:color w:val="auto"/>
          <w:kern w:val="21"/>
          <w:sz w:val="24"/>
        </w:rPr>
        <w:t>属于</w:t>
      </w:r>
      <w:r>
        <w:rPr>
          <w:color w:val="auto"/>
          <w:kern w:val="21"/>
          <w:sz w:val="24"/>
        </w:rPr>
        <w:t>环境低度敏感区E3。故本项目潜势</w:t>
      </w:r>
      <w:r>
        <w:rPr>
          <w:rFonts w:hint="eastAsia"/>
          <w:color w:val="auto"/>
          <w:kern w:val="21"/>
          <w:sz w:val="24"/>
        </w:rPr>
        <w:t>综合</w:t>
      </w:r>
      <w:r>
        <w:rPr>
          <w:color w:val="auto"/>
          <w:kern w:val="21"/>
          <w:sz w:val="24"/>
        </w:rPr>
        <w:t>判定为</w:t>
      </w:r>
      <w:r>
        <w:rPr>
          <w:color w:val="auto"/>
          <w:kern w:val="21"/>
          <w:sz w:val="24"/>
          <w:szCs w:val="24"/>
        </w:rPr>
        <w:t>II</w:t>
      </w:r>
      <w:r>
        <w:rPr>
          <w:color w:val="auto"/>
          <w:kern w:val="21"/>
          <w:sz w:val="24"/>
        </w:rPr>
        <w:t>。</w:t>
      </w:r>
    </w:p>
    <w:p>
      <w:pPr>
        <w:adjustRightInd w:val="0"/>
        <w:snapToGrid w:val="0"/>
        <w:spacing w:line="360" w:lineRule="auto"/>
        <w:rPr>
          <w:rFonts w:eastAsia="黑体"/>
          <w:snapToGrid w:val="0"/>
          <w:color w:val="auto"/>
          <w:kern w:val="21"/>
          <w:sz w:val="28"/>
          <w:szCs w:val="28"/>
        </w:rPr>
      </w:pPr>
      <w:r>
        <w:rPr>
          <w:rFonts w:eastAsia="黑体"/>
          <w:snapToGrid w:val="0"/>
          <w:color w:val="auto"/>
          <w:kern w:val="21"/>
          <w:sz w:val="28"/>
          <w:szCs w:val="28"/>
        </w:rPr>
        <w:t xml:space="preserve">6.2.7风险评价等级划分 </w:t>
      </w:r>
    </w:p>
    <w:p>
      <w:pPr>
        <w:adjustRightInd w:val="0"/>
        <w:snapToGrid w:val="0"/>
        <w:spacing w:line="360" w:lineRule="auto"/>
        <w:ind w:firstLine="480" w:firstLineChars="200"/>
        <w:rPr>
          <w:color w:val="auto"/>
          <w:kern w:val="21"/>
          <w:sz w:val="24"/>
        </w:rPr>
      </w:pPr>
      <w:r>
        <w:rPr>
          <w:color w:val="auto"/>
          <w:kern w:val="21"/>
          <w:sz w:val="24"/>
        </w:rPr>
        <w:t>本项目风险评价等级划分表如下。</w:t>
      </w:r>
    </w:p>
    <w:p>
      <w:pPr>
        <w:adjustRightInd w:val="0"/>
        <w:snapToGrid w:val="0"/>
        <w:jc w:val="center"/>
        <w:rPr>
          <w:rFonts w:eastAsia="黑体"/>
          <w:color w:val="auto"/>
          <w:kern w:val="21"/>
          <w:sz w:val="24"/>
        </w:rPr>
      </w:pPr>
      <w:r>
        <w:rPr>
          <w:rFonts w:eastAsia="黑体"/>
          <w:color w:val="auto"/>
          <w:kern w:val="21"/>
          <w:sz w:val="24"/>
        </w:rPr>
        <w:t>表6.2-12    评价工作等级划分</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0"/>
        <w:gridCol w:w="1701"/>
        <w:gridCol w:w="1701"/>
        <w:gridCol w:w="1701"/>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b/>
                <w:bCs/>
                <w:color w:val="auto"/>
                <w:kern w:val="21"/>
              </w:rPr>
            </w:pPr>
            <w:r>
              <w:rPr>
                <w:b/>
                <w:bCs/>
                <w:snapToGrid w:val="0"/>
                <w:color w:val="auto"/>
                <w:kern w:val="21"/>
              </w:rPr>
              <w:t>环境风险潜势</w:t>
            </w:r>
          </w:p>
        </w:tc>
        <w:tc>
          <w:tcPr>
            <w:tcW w:w="1701" w:type="dxa"/>
            <w:vAlign w:val="center"/>
          </w:tcPr>
          <w:p>
            <w:pPr>
              <w:adjustRightInd w:val="0"/>
              <w:snapToGrid w:val="0"/>
              <w:jc w:val="center"/>
              <w:rPr>
                <w:b/>
                <w:bCs/>
                <w:color w:val="auto"/>
                <w:kern w:val="21"/>
              </w:rPr>
            </w:pPr>
            <w:r>
              <w:rPr>
                <w:b/>
                <w:bCs/>
                <w:color w:val="auto"/>
                <w:kern w:val="21"/>
              </w:rPr>
              <w:t>IV、IV</w:t>
            </w:r>
            <w:r>
              <w:rPr>
                <w:b/>
                <w:bCs/>
                <w:color w:val="auto"/>
                <w:kern w:val="21"/>
                <w:vertAlign w:val="superscript"/>
              </w:rPr>
              <w:t>+</w:t>
            </w:r>
          </w:p>
        </w:tc>
        <w:tc>
          <w:tcPr>
            <w:tcW w:w="1701" w:type="dxa"/>
            <w:vAlign w:val="center"/>
          </w:tcPr>
          <w:p>
            <w:pPr>
              <w:adjustRightInd w:val="0"/>
              <w:snapToGrid w:val="0"/>
              <w:jc w:val="center"/>
              <w:rPr>
                <w:b/>
                <w:bCs/>
                <w:color w:val="auto"/>
                <w:kern w:val="21"/>
              </w:rPr>
            </w:pPr>
            <w:r>
              <w:rPr>
                <w:b/>
                <w:bCs/>
                <w:color w:val="auto"/>
                <w:kern w:val="21"/>
              </w:rPr>
              <w:t>III</w:t>
            </w:r>
          </w:p>
        </w:tc>
        <w:tc>
          <w:tcPr>
            <w:tcW w:w="1701" w:type="dxa"/>
            <w:vAlign w:val="center"/>
          </w:tcPr>
          <w:p>
            <w:pPr>
              <w:adjustRightInd w:val="0"/>
              <w:snapToGrid w:val="0"/>
              <w:jc w:val="center"/>
              <w:rPr>
                <w:b/>
                <w:bCs/>
                <w:color w:val="auto"/>
                <w:kern w:val="21"/>
              </w:rPr>
            </w:pPr>
            <w:r>
              <w:rPr>
                <w:b/>
                <w:bCs/>
                <w:color w:val="auto"/>
                <w:kern w:val="21"/>
              </w:rPr>
              <w:t>II</w:t>
            </w:r>
          </w:p>
        </w:tc>
        <w:tc>
          <w:tcPr>
            <w:tcW w:w="1701" w:type="dxa"/>
            <w:vAlign w:val="center"/>
          </w:tcPr>
          <w:p>
            <w:pPr>
              <w:adjustRightInd w:val="0"/>
              <w:snapToGrid w:val="0"/>
              <w:jc w:val="center"/>
              <w:rPr>
                <w:b/>
                <w:bCs/>
                <w:color w:val="auto"/>
                <w:kern w:val="21"/>
              </w:rPr>
            </w:pPr>
            <w:r>
              <w:rPr>
                <w:b/>
                <w:bCs/>
                <w:color w:val="auto"/>
                <w:kern w:val="21"/>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0" w:type="dxa"/>
            <w:vAlign w:val="center"/>
          </w:tcPr>
          <w:p>
            <w:pPr>
              <w:adjustRightInd w:val="0"/>
              <w:snapToGrid w:val="0"/>
              <w:jc w:val="center"/>
              <w:rPr>
                <w:color w:val="auto"/>
                <w:kern w:val="21"/>
              </w:rPr>
            </w:pPr>
            <w:r>
              <w:rPr>
                <w:snapToGrid w:val="0"/>
                <w:color w:val="auto"/>
                <w:kern w:val="21"/>
              </w:rPr>
              <w:t>评价工作等级</w:t>
            </w:r>
          </w:p>
        </w:tc>
        <w:tc>
          <w:tcPr>
            <w:tcW w:w="1701" w:type="dxa"/>
            <w:vAlign w:val="center"/>
          </w:tcPr>
          <w:p>
            <w:pPr>
              <w:adjustRightInd w:val="0"/>
              <w:snapToGrid w:val="0"/>
              <w:jc w:val="center"/>
              <w:rPr>
                <w:color w:val="auto"/>
                <w:kern w:val="21"/>
              </w:rPr>
            </w:pPr>
            <w:r>
              <w:rPr>
                <w:color w:val="auto"/>
                <w:kern w:val="21"/>
              </w:rPr>
              <w:t>一</w:t>
            </w:r>
          </w:p>
        </w:tc>
        <w:tc>
          <w:tcPr>
            <w:tcW w:w="1701" w:type="dxa"/>
            <w:vAlign w:val="center"/>
          </w:tcPr>
          <w:p>
            <w:pPr>
              <w:adjustRightInd w:val="0"/>
              <w:snapToGrid w:val="0"/>
              <w:jc w:val="center"/>
              <w:rPr>
                <w:color w:val="auto"/>
                <w:kern w:val="21"/>
              </w:rPr>
            </w:pPr>
            <w:r>
              <w:rPr>
                <w:color w:val="auto"/>
                <w:kern w:val="21"/>
              </w:rPr>
              <w:t>二</w:t>
            </w:r>
          </w:p>
        </w:tc>
        <w:tc>
          <w:tcPr>
            <w:tcW w:w="1701" w:type="dxa"/>
            <w:vAlign w:val="center"/>
          </w:tcPr>
          <w:p>
            <w:pPr>
              <w:adjustRightInd w:val="0"/>
              <w:snapToGrid w:val="0"/>
              <w:jc w:val="center"/>
              <w:rPr>
                <w:color w:val="auto"/>
                <w:kern w:val="21"/>
              </w:rPr>
            </w:pPr>
            <w:r>
              <w:rPr>
                <w:color w:val="auto"/>
                <w:kern w:val="21"/>
              </w:rPr>
              <w:t>三</w:t>
            </w:r>
          </w:p>
        </w:tc>
        <w:tc>
          <w:tcPr>
            <w:tcW w:w="1701" w:type="dxa"/>
            <w:vAlign w:val="center"/>
          </w:tcPr>
          <w:p>
            <w:pPr>
              <w:adjustRightInd w:val="0"/>
              <w:snapToGrid w:val="0"/>
              <w:jc w:val="center"/>
              <w:rPr>
                <w:color w:val="auto"/>
                <w:kern w:val="21"/>
              </w:rPr>
            </w:pPr>
            <w:r>
              <w:rPr>
                <w:color w:val="auto"/>
                <w:kern w:val="21"/>
              </w:rPr>
              <w:t>简单分析</w:t>
            </w:r>
          </w:p>
        </w:tc>
      </w:tr>
    </w:tbl>
    <w:p>
      <w:pPr>
        <w:adjustRightInd w:val="0"/>
        <w:snapToGrid w:val="0"/>
        <w:spacing w:line="360" w:lineRule="auto"/>
        <w:rPr>
          <w:color w:val="auto"/>
          <w:kern w:val="21"/>
          <w:sz w:val="24"/>
        </w:rPr>
      </w:pPr>
    </w:p>
    <w:p>
      <w:pPr>
        <w:adjustRightInd w:val="0"/>
        <w:snapToGrid w:val="0"/>
        <w:spacing w:line="360" w:lineRule="auto"/>
        <w:ind w:firstLine="480" w:firstLineChars="200"/>
        <w:rPr>
          <w:color w:val="auto"/>
          <w:kern w:val="21"/>
          <w:sz w:val="24"/>
        </w:rPr>
      </w:pPr>
      <w:r>
        <w:rPr>
          <w:color w:val="auto"/>
          <w:kern w:val="21"/>
          <w:sz w:val="24"/>
        </w:rPr>
        <w:t>本项目环境风险潜势为II，故评价工作等级为三</w:t>
      </w:r>
      <w:r>
        <w:rPr>
          <w:rFonts w:hint="eastAsia"/>
          <w:color w:val="auto"/>
          <w:kern w:val="21"/>
          <w:sz w:val="24"/>
        </w:rPr>
        <w:t>级</w:t>
      </w:r>
      <w:r>
        <w:rPr>
          <w:color w:val="auto"/>
          <w:kern w:val="21"/>
          <w:sz w:val="24"/>
        </w:rPr>
        <w:t>。</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59" w:name="_Toc112338957"/>
      <w:bookmarkStart w:id="360" w:name="_Toc7696"/>
      <w:bookmarkStart w:id="361" w:name="_Toc23596"/>
      <w:r>
        <w:rPr>
          <w:bCs w:val="0"/>
          <w:color w:val="auto"/>
          <w:kern w:val="0"/>
          <w:szCs w:val="20"/>
          <w:lang w:val="en-US"/>
        </w:rPr>
        <w:t>6.3环境敏感目标调查</w:t>
      </w:r>
      <w:bookmarkEnd w:id="359"/>
      <w:bookmarkEnd w:id="360"/>
    </w:p>
    <w:p>
      <w:pPr>
        <w:adjustRightInd w:val="0"/>
        <w:snapToGrid w:val="0"/>
        <w:spacing w:line="360" w:lineRule="auto"/>
        <w:ind w:firstLine="480"/>
        <w:rPr>
          <w:color w:val="auto"/>
          <w:kern w:val="21"/>
          <w:sz w:val="24"/>
          <w:szCs w:val="24"/>
        </w:rPr>
      </w:pPr>
      <w:r>
        <w:rPr>
          <w:snapToGrid w:val="0"/>
          <w:color w:val="auto"/>
          <w:kern w:val="21"/>
          <w:sz w:val="24"/>
          <w:szCs w:val="24"/>
        </w:rPr>
        <w:t>以项目厂区为中心周围3km范围</w:t>
      </w:r>
      <w:r>
        <w:rPr>
          <w:color w:val="auto"/>
          <w:kern w:val="21"/>
          <w:sz w:val="24"/>
          <w:szCs w:val="24"/>
        </w:rPr>
        <w:t>内的人口集中居住区和社会关注区域，具体见表6.3-1。</w:t>
      </w:r>
    </w:p>
    <w:p>
      <w:pPr>
        <w:adjustRightInd w:val="0"/>
        <w:snapToGrid w:val="0"/>
        <w:jc w:val="center"/>
        <w:rPr>
          <w:rFonts w:eastAsia="黑体"/>
          <w:bCs/>
          <w:color w:val="auto"/>
          <w:kern w:val="21"/>
          <w:sz w:val="24"/>
        </w:rPr>
      </w:pPr>
      <w:r>
        <w:rPr>
          <w:rFonts w:eastAsia="黑体"/>
          <w:bCs/>
          <w:color w:val="auto"/>
          <w:kern w:val="21"/>
          <w:sz w:val="24"/>
        </w:rPr>
        <w:t>表6.3-1  项目周围环境敏感点</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3"/>
        <w:gridCol w:w="865"/>
        <w:gridCol w:w="1544"/>
        <w:gridCol w:w="1224"/>
        <w:gridCol w:w="230"/>
        <w:gridCol w:w="1003"/>
        <w:gridCol w:w="985"/>
        <w:gridCol w:w="225"/>
        <w:gridCol w:w="1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shd w:val="clear" w:color="auto" w:fill="auto"/>
            <w:vAlign w:val="center"/>
          </w:tcPr>
          <w:p>
            <w:pPr>
              <w:adjustRightInd w:val="0"/>
              <w:jc w:val="center"/>
              <w:rPr>
                <w:b/>
                <w:bCs/>
                <w:color w:val="auto"/>
              </w:rPr>
            </w:pPr>
            <w:r>
              <w:rPr>
                <w:b/>
                <w:bCs/>
                <w:color w:val="auto"/>
              </w:rPr>
              <w:t>类别</w:t>
            </w:r>
          </w:p>
        </w:tc>
        <w:tc>
          <w:tcPr>
            <w:tcW w:w="7319" w:type="dxa"/>
            <w:gridSpan w:val="8"/>
            <w:shd w:val="clear" w:color="auto" w:fill="auto"/>
            <w:vAlign w:val="center"/>
          </w:tcPr>
          <w:p>
            <w:pPr>
              <w:adjustRightInd w:val="0"/>
              <w:jc w:val="center"/>
              <w:rPr>
                <w:b/>
                <w:bCs/>
                <w:color w:val="auto"/>
              </w:rPr>
            </w:pPr>
            <w:r>
              <w:rPr>
                <w:b/>
                <w:bCs/>
                <w:color w:val="auto"/>
              </w:rPr>
              <w:t>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restart"/>
            <w:shd w:val="clear" w:color="auto" w:fill="auto"/>
            <w:vAlign w:val="center"/>
          </w:tcPr>
          <w:p>
            <w:pPr>
              <w:adjustRightInd w:val="0"/>
              <w:jc w:val="center"/>
              <w:rPr>
                <w:color w:val="auto"/>
              </w:rPr>
            </w:pPr>
            <w:r>
              <w:rPr>
                <w:color w:val="auto"/>
              </w:rPr>
              <w:t>环境空气</w:t>
            </w:r>
          </w:p>
        </w:tc>
        <w:tc>
          <w:tcPr>
            <w:tcW w:w="7319" w:type="dxa"/>
            <w:gridSpan w:val="8"/>
            <w:shd w:val="clear" w:color="auto" w:fill="auto"/>
            <w:vAlign w:val="center"/>
          </w:tcPr>
          <w:p>
            <w:pPr>
              <w:adjustRightInd w:val="0"/>
              <w:jc w:val="center"/>
              <w:rPr>
                <w:color w:val="auto"/>
              </w:rPr>
            </w:pPr>
            <w:r>
              <w:rPr>
                <w:color w:val="auto"/>
              </w:rPr>
              <w:t>厂址周边</w:t>
            </w:r>
            <w:r>
              <w:rPr>
                <w:rFonts w:hint="eastAsia"/>
                <w:color w:val="auto"/>
              </w:rPr>
              <w:t>3</w:t>
            </w:r>
            <w:r>
              <w:rPr>
                <w:color w:val="auto"/>
              </w:rPr>
              <w:t>km范围内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序号</w:t>
            </w:r>
          </w:p>
        </w:tc>
        <w:tc>
          <w:tcPr>
            <w:tcW w:w="1544" w:type="dxa"/>
            <w:shd w:val="clear" w:color="auto" w:fill="auto"/>
            <w:vAlign w:val="center"/>
          </w:tcPr>
          <w:p>
            <w:pPr>
              <w:adjustRightInd w:val="0"/>
              <w:jc w:val="center"/>
              <w:rPr>
                <w:color w:val="auto"/>
              </w:rPr>
            </w:pPr>
            <w:r>
              <w:rPr>
                <w:color w:val="auto"/>
              </w:rPr>
              <w:t>敏感目标名称</w:t>
            </w:r>
          </w:p>
        </w:tc>
        <w:tc>
          <w:tcPr>
            <w:tcW w:w="1224" w:type="dxa"/>
            <w:shd w:val="clear" w:color="auto" w:fill="auto"/>
            <w:vAlign w:val="center"/>
          </w:tcPr>
          <w:p>
            <w:pPr>
              <w:adjustRightInd w:val="0"/>
              <w:jc w:val="center"/>
              <w:rPr>
                <w:color w:val="auto"/>
              </w:rPr>
            </w:pPr>
            <w:r>
              <w:rPr>
                <w:color w:val="auto"/>
              </w:rPr>
              <w:t>相对方位</w:t>
            </w:r>
          </w:p>
        </w:tc>
        <w:tc>
          <w:tcPr>
            <w:tcW w:w="1233" w:type="dxa"/>
            <w:gridSpan w:val="2"/>
            <w:shd w:val="clear" w:color="auto" w:fill="auto"/>
            <w:vAlign w:val="center"/>
          </w:tcPr>
          <w:p>
            <w:pPr>
              <w:adjustRightInd w:val="0"/>
              <w:jc w:val="center"/>
              <w:rPr>
                <w:color w:val="auto"/>
              </w:rPr>
            </w:pPr>
            <w:r>
              <w:rPr>
                <w:color w:val="auto"/>
              </w:rPr>
              <w:t>距离/m</w:t>
            </w:r>
          </w:p>
        </w:tc>
        <w:tc>
          <w:tcPr>
            <w:tcW w:w="985" w:type="dxa"/>
            <w:shd w:val="clear" w:color="auto" w:fill="auto"/>
            <w:vAlign w:val="center"/>
          </w:tcPr>
          <w:p>
            <w:pPr>
              <w:adjustRightInd w:val="0"/>
              <w:jc w:val="center"/>
              <w:rPr>
                <w:color w:val="auto"/>
              </w:rPr>
            </w:pPr>
            <w:r>
              <w:rPr>
                <w:color w:val="auto"/>
              </w:rPr>
              <w:t>属性</w:t>
            </w:r>
          </w:p>
        </w:tc>
        <w:tc>
          <w:tcPr>
            <w:tcW w:w="1468" w:type="dxa"/>
            <w:gridSpan w:val="2"/>
            <w:shd w:val="clear" w:color="auto" w:fill="auto"/>
            <w:vAlign w:val="center"/>
          </w:tcPr>
          <w:p>
            <w:pPr>
              <w:adjustRightInd w:val="0"/>
              <w:jc w:val="center"/>
              <w:rPr>
                <w:color w:val="auto"/>
              </w:rPr>
            </w:pPr>
            <w:r>
              <w:rPr>
                <w:color w:val="auto"/>
              </w:rPr>
              <w:t>人口数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1</w:t>
            </w:r>
          </w:p>
        </w:tc>
        <w:tc>
          <w:tcPr>
            <w:tcW w:w="1544" w:type="dxa"/>
            <w:shd w:val="clear" w:color="auto" w:fill="auto"/>
            <w:vAlign w:val="center"/>
          </w:tcPr>
          <w:p>
            <w:pPr>
              <w:pStyle w:val="342"/>
              <w:jc w:val="center"/>
              <w:rPr>
                <w:color w:val="auto"/>
                <w:sz w:val="21"/>
                <w:szCs w:val="21"/>
              </w:rPr>
            </w:pPr>
            <w:r>
              <w:rPr>
                <w:color w:val="auto"/>
                <w:sz w:val="21"/>
                <w:szCs w:val="21"/>
              </w:rPr>
              <w:t>获嘉县中专</w:t>
            </w:r>
          </w:p>
        </w:tc>
        <w:tc>
          <w:tcPr>
            <w:tcW w:w="1224" w:type="dxa"/>
            <w:shd w:val="clear" w:color="auto" w:fill="auto"/>
            <w:vAlign w:val="center"/>
          </w:tcPr>
          <w:p>
            <w:pPr>
              <w:pStyle w:val="342"/>
              <w:jc w:val="center"/>
              <w:rPr>
                <w:color w:val="auto"/>
                <w:sz w:val="21"/>
                <w:szCs w:val="21"/>
              </w:rPr>
            </w:pPr>
            <w:r>
              <w:rPr>
                <w:rFonts w:hint="eastAsia"/>
                <w:color w:val="auto"/>
                <w:sz w:val="21"/>
                <w:szCs w:val="21"/>
              </w:rPr>
              <w:t>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1824</w:t>
            </w:r>
          </w:p>
        </w:tc>
        <w:tc>
          <w:tcPr>
            <w:tcW w:w="985" w:type="dxa"/>
            <w:shd w:val="clear" w:color="auto" w:fill="auto"/>
            <w:vAlign w:val="center"/>
          </w:tcPr>
          <w:p>
            <w:pPr>
              <w:adjustRightInd w:val="0"/>
              <w:snapToGrid w:val="0"/>
              <w:jc w:val="center"/>
              <w:rPr>
                <w:color w:val="auto"/>
              </w:rPr>
            </w:pPr>
            <w:r>
              <w:rPr>
                <w:color w:val="auto"/>
              </w:rPr>
              <w:t>学校</w:t>
            </w:r>
          </w:p>
        </w:tc>
        <w:tc>
          <w:tcPr>
            <w:tcW w:w="1468" w:type="dxa"/>
            <w:gridSpan w:val="2"/>
            <w:shd w:val="clear" w:color="auto" w:fill="auto"/>
            <w:vAlign w:val="center"/>
          </w:tcPr>
          <w:p>
            <w:pPr>
              <w:adjustRightInd w:val="0"/>
              <w:snapToGrid w:val="0"/>
              <w:jc w:val="center"/>
              <w:rPr>
                <w:color w:val="auto"/>
              </w:rPr>
            </w:pPr>
            <w:r>
              <w:rPr>
                <w:color w:val="auto"/>
              </w:rPr>
              <w:t>师生</w:t>
            </w:r>
            <w:r>
              <w:rPr>
                <w:rFonts w:hint="eastAsia"/>
                <w:color w:val="auto"/>
              </w:rPr>
              <w:t>1627人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2</w:t>
            </w:r>
          </w:p>
        </w:tc>
        <w:tc>
          <w:tcPr>
            <w:tcW w:w="1544" w:type="dxa"/>
            <w:shd w:val="clear" w:color="auto" w:fill="auto"/>
            <w:vAlign w:val="center"/>
          </w:tcPr>
          <w:p>
            <w:pPr>
              <w:pStyle w:val="342"/>
              <w:jc w:val="center"/>
              <w:rPr>
                <w:color w:val="auto"/>
                <w:sz w:val="21"/>
                <w:szCs w:val="21"/>
              </w:rPr>
            </w:pPr>
            <w:r>
              <w:rPr>
                <w:color w:val="auto"/>
                <w:sz w:val="21"/>
                <w:szCs w:val="21"/>
              </w:rPr>
              <w:t>彦当村</w:t>
            </w:r>
          </w:p>
        </w:tc>
        <w:tc>
          <w:tcPr>
            <w:tcW w:w="1224" w:type="dxa"/>
            <w:shd w:val="clear" w:color="auto" w:fill="auto"/>
            <w:vAlign w:val="center"/>
          </w:tcPr>
          <w:p>
            <w:pPr>
              <w:pStyle w:val="342"/>
              <w:jc w:val="center"/>
              <w:rPr>
                <w:color w:val="auto"/>
                <w:sz w:val="21"/>
                <w:szCs w:val="21"/>
              </w:rPr>
            </w:pPr>
            <w:r>
              <w:rPr>
                <w:rFonts w:hint="eastAsia"/>
                <w:color w:val="auto"/>
                <w:sz w:val="21"/>
                <w:szCs w:val="21"/>
              </w:rPr>
              <w:t>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1441</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2288人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3</w:t>
            </w:r>
          </w:p>
        </w:tc>
        <w:tc>
          <w:tcPr>
            <w:tcW w:w="1544" w:type="dxa"/>
            <w:shd w:val="clear" w:color="auto" w:fill="auto"/>
            <w:vAlign w:val="center"/>
          </w:tcPr>
          <w:p>
            <w:pPr>
              <w:pStyle w:val="342"/>
              <w:jc w:val="center"/>
              <w:rPr>
                <w:color w:val="auto"/>
                <w:sz w:val="21"/>
                <w:szCs w:val="21"/>
              </w:rPr>
            </w:pPr>
            <w:r>
              <w:rPr>
                <w:color w:val="auto"/>
                <w:sz w:val="21"/>
                <w:szCs w:val="21"/>
              </w:rPr>
              <w:t>桑庄村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2014</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936人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4</w:t>
            </w:r>
          </w:p>
        </w:tc>
        <w:tc>
          <w:tcPr>
            <w:tcW w:w="1544" w:type="dxa"/>
            <w:shd w:val="clear" w:color="auto" w:fill="auto"/>
            <w:vAlign w:val="center"/>
          </w:tcPr>
          <w:p>
            <w:pPr>
              <w:pStyle w:val="342"/>
              <w:jc w:val="center"/>
              <w:rPr>
                <w:color w:val="auto"/>
                <w:sz w:val="21"/>
                <w:szCs w:val="21"/>
              </w:rPr>
            </w:pPr>
            <w:r>
              <w:rPr>
                <w:color w:val="auto"/>
                <w:sz w:val="21"/>
                <w:szCs w:val="21"/>
              </w:rPr>
              <w:t>照镜镇</w:t>
            </w:r>
          </w:p>
        </w:tc>
        <w:tc>
          <w:tcPr>
            <w:tcW w:w="1224" w:type="dxa"/>
            <w:shd w:val="clear" w:color="auto" w:fill="auto"/>
            <w:vAlign w:val="center"/>
          </w:tcPr>
          <w:p>
            <w:pPr>
              <w:pStyle w:val="342"/>
              <w:jc w:val="center"/>
              <w:rPr>
                <w:color w:val="auto"/>
                <w:sz w:val="21"/>
                <w:szCs w:val="21"/>
              </w:rPr>
            </w:pPr>
            <w:r>
              <w:rPr>
                <w:rFonts w:hint="eastAsia"/>
                <w:color w:val="auto"/>
                <w:sz w:val="21"/>
                <w:szCs w:val="21"/>
              </w:rPr>
              <w:t>NW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2771</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2948人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5</w:t>
            </w:r>
          </w:p>
        </w:tc>
        <w:tc>
          <w:tcPr>
            <w:tcW w:w="1544" w:type="dxa"/>
            <w:shd w:val="clear" w:color="auto" w:fill="auto"/>
            <w:vAlign w:val="center"/>
          </w:tcPr>
          <w:p>
            <w:pPr>
              <w:pStyle w:val="342"/>
              <w:jc w:val="center"/>
              <w:rPr>
                <w:color w:val="auto"/>
                <w:sz w:val="21"/>
                <w:szCs w:val="21"/>
              </w:rPr>
            </w:pPr>
            <w:r>
              <w:rPr>
                <w:color w:val="auto"/>
                <w:sz w:val="21"/>
                <w:szCs w:val="21"/>
              </w:rPr>
              <w:t>前李村</w:t>
            </w:r>
          </w:p>
        </w:tc>
        <w:tc>
          <w:tcPr>
            <w:tcW w:w="1224" w:type="dxa"/>
            <w:shd w:val="clear" w:color="auto" w:fill="auto"/>
            <w:vAlign w:val="center"/>
          </w:tcPr>
          <w:p>
            <w:pPr>
              <w:pStyle w:val="342"/>
              <w:jc w:val="center"/>
              <w:rPr>
                <w:rFonts w:hint="eastAsia" w:eastAsia="宋体"/>
                <w:color w:val="auto"/>
                <w:sz w:val="21"/>
                <w:szCs w:val="21"/>
                <w:lang w:val="en-US" w:eastAsia="zh-CN"/>
              </w:rPr>
            </w:pPr>
            <w:r>
              <w:rPr>
                <w:rFonts w:hint="eastAsia"/>
                <w:color w:val="auto"/>
                <w:sz w:val="21"/>
                <w:szCs w:val="21"/>
              </w:rPr>
              <w:t>N</w:t>
            </w:r>
            <w:r>
              <w:rPr>
                <w:rFonts w:hint="eastAsia"/>
                <w:color w:val="auto"/>
                <w:sz w:val="21"/>
                <w:szCs w:val="21"/>
                <w:lang w:val="en-US" w:eastAsia="zh-CN"/>
              </w:rPr>
              <w:t>E</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276</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900人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6</w:t>
            </w:r>
          </w:p>
        </w:tc>
        <w:tc>
          <w:tcPr>
            <w:tcW w:w="1544" w:type="dxa"/>
            <w:shd w:val="clear" w:color="auto" w:fill="auto"/>
            <w:vAlign w:val="center"/>
          </w:tcPr>
          <w:p>
            <w:pPr>
              <w:pStyle w:val="342"/>
              <w:jc w:val="center"/>
              <w:rPr>
                <w:color w:val="auto"/>
                <w:sz w:val="21"/>
                <w:szCs w:val="21"/>
              </w:rPr>
            </w:pPr>
            <w:r>
              <w:rPr>
                <w:color w:val="auto"/>
                <w:sz w:val="21"/>
                <w:szCs w:val="21"/>
              </w:rPr>
              <w:t>后李村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740</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2000人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7</w:t>
            </w:r>
          </w:p>
        </w:tc>
        <w:tc>
          <w:tcPr>
            <w:tcW w:w="1544" w:type="dxa"/>
            <w:shd w:val="clear" w:color="auto" w:fill="auto"/>
            <w:vAlign w:val="center"/>
          </w:tcPr>
          <w:p>
            <w:pPr>
              <w:pStyle w:val="342"/>
              <w:jc w:val="center"/>
              <w:rPr>
                <w:color w:val="auto"/>
                <w:sz w:val="21"/>
                <w:szCs w:val="21"/>
              </w:rPr>
            </w:pPr>
            <w:r>
              <w:rPr>
                <w:color w:val="auto"/>
                <w:sz w:val="21"/>
                <w:szCs w:val="21"/>
              </w:rPr>
              <w:t>东仓村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2126</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1485人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8</w:t>
            </w:r>
          </w:p>
        </w:tc>
        <w:tc>
          <w:tcPr>
            <w:tcW w:w="1544" w:type="dxa"/>
            <w:shd w:val="clear" w:color="auto" w:fill="auto"/>
            <w:vAlign w:val="center"/>
          </w:tcPr>
          <w:p>
            <w:pPr>
              <w:pStyle w:val="342"/>
              <w:jc w:val="center"/>
              <w:rPr>
                <w:color w:val="auto"/>
                <w:sz w:val="21"/>
                <w:szCs w:val="21"/>
              </w:rPr>
            </w:pPr>
            <w:r>
              <w:rPr>
                <w:color w:val="auto"/>
                <w:sz w:val="21"/>
                <w:szCs w:val="21"/>
              </w:rPr>
              <w:t>后寺庄村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NE</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2043</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940人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9</w:t>
            </w:r>
          </w:p>
        </w:tc>
        <w:tc>
          <w:tcPr>
            <w:tcW w:w="1544" w:type="dxa"/>
            <w:shd w:val="clear" w:color="auto" w:fill="auto"/>
            <w:vAlign w:val="center"/>
          </w:tcPr>
          <w:p>
            <w:pPr>
              <w:pStyle w:val="342"/>
              <w:jc w:val="center"/>
              <w:rPr>
                <w:color w:val="auto"/>
                <w:sz w:val="21"/>
                <w:szCs w:val="21"/>
              </w:rPr>
            </w:pPr>
            <w:r>
              <w:rPr>
                <w:color w:val="auto"/>
                <w:sz w:val="21"/>
                <w:szCs w:val="21"/>
              </w:rPr>
              <w:t>前寺庄村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NE</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1475</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1076人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10</w:t>
            </w:r>
          </w:p>
        </w:tc>
        <w:tc>
          <w:tcPr>
            <w:tcW w:w="1544" w:type="dxa"/>
            <w:shd w:val="clear" w:color="auto" w:fill="auto"/>
            <w:vAlign w:val="center"/>
          </w:tcPr>
          <w:p>
            <w:pPr>
              <w:pStyle w:val="342"/>
              <w:jc w:val="center"/>
              <w:rPr>
                <w:color w:val="auto"/>
                <w:sz w:val="21"/>
                <w:szCs w:val="21"/>
              </w:rPr>
            </w:pPr>
            <w:r>
              <w:rPr>
                <w:color w:val="auto"/>
                <w:sz w:val="21"/>
                <w:szCs w:val="21"/>
              </w:rPr>
              <w:t>武贾洲村</w:t>
            </w:r>
          </w:p>
        </w:tc>
        <w:tc>
          <w:tcPr>
            <w:tcW w:w="1224" w:type="dxa"/>
            <w:shd w:val="clear" w:color="auto" w:fill="auto"/>
            <w:vAlign w:val="center"/>
          </w:tcPr>
          <w:p>
            <w:pPr>
              <w:pStyle w:val="342"/>
              <w:jc w:val="center"/>
              <w:rPr>
                <w:color w:val="auto"/>
                <w:sz w:val="21"/>
                <w:szCs w:val="21"/>
              </w:rPr>
            </w:pPr>
            <w:r>
              <w:rPr>
                <w:rFonts w:hint="eastAsia"/>
                <w:color w:val="auto"/>
                <w:sz w:val="21"/>
                <w:szCs w:val="21"/>
              </w:rPr>
              <w:t>SE</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2680</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580人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11</w:t>
            </w:r>
          </w:p>
        </w:tc>
        <w:tc>
          <w:tcPr>
            <w:tcW w:w="1544" w:type="dxa"/>
            <w:shd w:val="clear" w:color="auto" w:fill="auto"/>
            <w:vAlign w:val="center"/>
          </w:tcPr>
          <w:p>
            <w:pPr>
              <w:pStyle w:val="342"/>
              <w:jc w:val="center"/>
              <w:rPr>
                <w:color w:val="auto"/>
                <w:sz w:val="21"/>
                <w:szCs w:val="21"/>
              </w:rPr>
            </w:pPr>
            <w:r>
              <w:rPr>
                <w:color w:val="auto"/>
                <w:sz w:val="21"/>
                <w:szCs w:val="21"/>
              </w:rPr>
              <w:t>孝合村</w:t>
            </w:r>
          </w:p>
        </w:tc>
        <w:tc>
          <w:tcPr>
            <w:tcW w:w="1224" w:type="dxa"/>
            <w:shd w:val="clear" w:color="auto" w:fill="auto"/>
            <w:vAlign w:val="center"/>
          </w:tcPr>
          <w:p>
            <w:pPr>
              <w:pStyle w:val="342"/>
              <w:jc w:val="center"/>
              <w:rPr>
                <w:color w:val="auto"/>
                <w:sz w:val="21"/>
                <w:szCs w:val="21"/>
              </w:rPr>
            </w:pPr>
            <w:r>
              <w:rPr>
                <w:rFonts w:hint="eastAsia"/>
                <w:color w:val="auto"/>
                <w:sz w:val="21"/>
                <w:szCs w:val="21"/>
              </w:rPr>
              <w:t>S</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2068</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905人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12</w:t>
            </w:r>
          </w:p>
        </w:tc>
        <w:tc>
          <w:tcPr>
            <w:tcW w:w="1544" w:type="dxa"/>
            <w:shd w:val="clear" w:color="auto" w:fill="auto"/>
            <w:vAlign w:val="center"/>
          </w:tcPr>
          <w:p>
            <w:pPr>
              <w:pStyle w:val="342"/>
              <w:jc w:val="center"/>
              <w:rPr>
                <w:color w:val="auto"/>
                <w:sz w:val="21"/>
                <w:szCs w:val="21"/>
              </w:rPr>
            </w:pPr>
            <w:r>
              <w:rPr>
                <w:color w:val="auto"/>
                <w:sz w:val="21"/>
                <w:szCs w:val="21"/>
              </w:rPr>
              <w:t>陈孝村</w:t>
            </w:r>
          </w:p>
        </w:tc>
        <w:tc>
          <w:tcPr>
            <w:tcW w:w="1224" w:type="dxa"/>
            <w:shd w:val="clear" w:color="auto" w:fill="auto"/>
            <w:vAlign w:val="center"/>
          </w:tcPr>
          <w:p>
            <w:pPr>
              <w:pStyle w:val="342"/>
              <w:jc w:val="center"/>
              <w:rPr>
                <w:color w:val="auto"/>
                <w:sz w:val="21"/>
                <w:szCs w:val="21"/>
              </w:rPr>
            </w:pPr>
            <w:r>
              <w:rPr>
                <w:rFonts w:hint="eastAsia"/>
                <w:color w:val="auto"/>
                <w:sz w:val="21"/>
                <w:szCs w:val="21"/>
              </w:rPr>
              <w:t>SW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2548</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1080人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rFonts w:hint="eastAsia"/>
                <w:color w:val="auto"/>
              </w:rPr>
              <w:t>13</w:t>
            </w:r>
          </w:p>
        </w:tc>
        <w:tc>
          <w:tcPr>
            <w:tcW w:w="1544" w:type="dxa"/>
            <w:shd w:val="clear" w:color="auto" w:fill="auto"/>
            <w:vAlign w:val="center"/>
          </w:tcPr>
          <w:p>
            <w:pPr>
              <w:pStyle w:val="342"/>
              <w:jc w:val="center"/>
              <w:rPr>
                <w:color w:val="auto"/>
                <w:sz w:val="21"/>
                <w:szCs w:val="21"/>
              </w:rPr>
            </w:pPr>
            <w:r>
              <w:rPr>
                <w:color w:val="auto"/>
                <w:sz w:val="21"/>
                <w:szCs w:val="21"/>
              </w:rPr>
              <w:t>祥瑞苑</w:t>
            </w:r>
          </w:p>
        </w:tc>
        <w:tc>
          <w:tcPr>
            <w:tcW w:w="1224" w:type="dxa"/>
            <w:shd w:val="clear" w:color="auto" w:fill="auto"/>
            <w:vAlign w:val="center"/>
          </w:tcPr>
          <w:p>
            <w:pPr>
              <w:pStyle w:val="342"/>
              <w:jc w:val="center"/>
              <w:rPr>
                <w:color w:val="auto"/>
                <w:sz w:val="21"/>
                <w:szCs w:val="21"/>
              </w:rPr>
            </w:pPr>
            <w:r>
              <w:rPr>
                <w:rFonts w:hint="eastAsia"/>
                <w:color w:val="auto"/>
                <w:sz w:val="21"/>
                <w:szCs w:val="21"/>
              </w:rPr>
              <w:t>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2822</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900人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rFonts w:hint="eastAsia"/>
                <w:color w:val="auto"/>
              </w:rPr>
              <w:t>14</w:t>
            </w:r>
          </w:p>
        </w:tc>
        <w:tc>
          <w:tcPr>
            <w:tcW w:w="1544" w:type="dxa"/>
            <w:shd w:val="clear" w:color="auto" w:fill="auto"/>
            <w:vAlign w:val="center"/>
          </w:tcPr>
          <w:p>
            <w:pPr>
              <w:pStyle w:val="342"/>
              <w:jc w:val="center"/>
              <w:rPr>
                <w:color w:val="auto"/>
                <w:sz w:val="21"/>
                <w:szCs w:val="21"/>
              </w:rPr>
            </w:pPr>
            <w:r>
              <w:rPr>
                <w:color w:val="auto"/>
                <w:sz w:val="21"/>
                <w:szCs w:val="21"/>
              </w:rPr>
              <w:t>大洛纣村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NW</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2517</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1250人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rFonts w:hint="eastAsia"/>
                <w:color w:val="auto"/>
              </w:rPr>
              <w:t>15</w:t>
            </w:r>
          </w:p>
        </w:tc>
        <w:tc>
          <w:tcPr>
            <w:tcW w:w="1544" w:type="dxa"/>
            <w:shd w:val="clear" w:color="auto" w:fill="auto"/>
            <w:vAlign w:val="center"/>
          </w:tcPr>
          <w:p>
            <w:pPr>
              <w:pStyle w:val="342"/>
              <w:jc w:val="center"/>
              <w:rPr>
                <w:color w:val="auto"/>
                <w:sz w:val="21"/>
                <w:szCs w:val="21"/>
              </w:rPr>
            </w:pPr>
            <w:r>
              <w:rPr>
                <w:color w:val="auto"/>
                <w:sz w:val="21"/>
                <w:szCs w:val="21"/>
              </w:rPr>
              <w:t>西仓村</w:t>
            </w:r>
          </w:p>
        </w:tc>
        <w:tc>
          <w:tcPr>
            <w:tcW w:w="1224" w:type="dxa"/>
            <w:shd w:val="clear" w:color="auto" w:fill="auto"/>
            <w:vAlign w:val="center"/>
          </w:tcPr>
          <w:p>
            <w:pPr>
              <w:pStyle w:val="342"/>
              <w:jc w:val="center"/>
              <w:rPr>
                <w:color w:val="auto"/>
                <w:sz w:val="21"/>
                <w:szCs w:val="21"/>
              </w:rPr>
            </w:pPr>
            <w:r>
              <w:rPr>
                <w:rFonts w:hint="eastAsia"/>
                <w:color w:val="auto"/>
                <w:sz w:val="21"/>
                <w:szCs w:val="21"/>
              </w:rPr>
              <w:t>N</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2759</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1900人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rFonts w:hint="eastAsia"/>
                <w:color w:val="auto"/>
              </w:rPr>
              <w:t>16</w:t>
            </w:r>
          </w:p>
        </w:tc>
        <w:tc>
          <w:tcPr>
            <w:tcW w:w="1544" w:type="dxa"/>
            <w:shd w:val="clear" w:color="auto" w:fill="auto"/>
            <w:vAlign w:val="center"/>
          </w:tcPr>
          <w:p>
            <w:pPr>
              <w:pStyle w:val="342"/>
              <w:jc w:val="center"/>
              <w:rPr>
                <w:color w:val="auto"/>
                <w:sz w:val="21"/>
                <w:szCs w:val="21"/>
              </w:rPr>
            </w:pPr>
            <w:r>
              <w:rPr>
                <w:color w:val="auto"/>
                <w:sz w:val="21"/>
                <w:szCs w:val="21"/>
              </w:rPr>
              <w:t>马唐马村</w:t>
            </w:r>
          </w:p>
        </w:tc>
        <w:tc>
          <w:tcPr>
            <w:tcW w:w="1224" w:type="dxa"/>
            <w:shd w:val="clear" w:color="auto" w:fill="auto"/>
            <w:vAlign w:val="center"/>
          </w:tcPr>
          <w:p>
            <w:pPr>
              <w:pStyle w:val="342"/>
              <w:jc w:val="center"/>
              <w:rPr>
                <w:color w:val="auto"/>
                <w:sz w:val="21"/>
                <w:szCs w:val="21"/>
              </w:rPr>
            </w:pPr>
            <w:r>
              <w:rPr>
                <w:rFonts w:hint="eastAsia"/>
                <w:color w:val="auto"/>
                <w:sz w:val="21"/>
                <w:szCs w:val="21"/>
              </w:rPr>
              <w:t>E</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2733</w:t>
            </w:r>
          </w:p>
        </w:tc>
        <w:tc>
          <w:tcPr>
            <w:tcW w:w="985" w:type="dxa"/>
            <w:shd w:val="clear" w:color="auto" w:fill="auto"/>
            <w:vAlign w:val="center"/>
          </w:tcPr>
          <w:p>
            <w:pPr>
              <w:adjustRightInd w:val="0"/>
              <w:snapToGrid w:val="0"/>
              <w:jc w:val="center"/>
              <w:rPr>
                <w:color w:val="auto"/>
              </w:rPr>
            </w:pPr>
            <w:r>
              <w:rPr>
                <w:color w:val="auto"/>
              </w:rPr>
              <w:t>居民区</w:t>
            </w:r>
          </w:p>
        </w:tc>
        <w:tc>
          <w:tcPr>
            <w:tcW w:w="1468" w:type="dxa"/>
            <w:gridSpan w:val="2"/>
            <w:shd w:val="clear" w:color="auto" w:fill="auto"/>
            <w:vAlign w:val="center"/>
          </w:tcPr>
          <w:p>
            <w:pPr>
              <w:adjustRightInd w:val="0"/>
              <w:snapToGrid w:val="0"/>
              <w:jc w:val="center"/>
              <w:rPr>
                <w:color w:val="auto"/>
              </w:rPr>
            </w:pPr>
            <w:r>
              <w:rPr>
                <w:rFonts w:hint="eastAsia"/>
                <w:color w:val="auto"/>
              </w:rPr>
              <w:t>840人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rFonts w:hint="eastAsia"/>
                <w:color w:val="auto"/>
              </w:rPr>
              <w:t>17</w:t>
            </w:r>
          </w:p>
        </w:tc>
        <w:tc>
          <w:tcPr>
            <w:tcW w:w="1544" w:type="dxa"/>
            <w:shd w:val="clear" w:color="auto" w:fill="auto"/>
            <w:vAlign w:val="center"/>
          </w:tcPr>
          <w:p>
            <w:pPr>
              <w:pStyle w:val="342"/>
              <w:jc w:val="center"/>
              <w:rPr>
                <w:color w:val="auto"/>
                <w:sz w:val="21"/>
                <w:szCs w:val="21"/>
              </w:rPr>
            </w:pPr>
            <w:r>
              <w:rPr>
                <w:color w:val="auto"/>
                <w:sz w:val="21"/>
                <w:szCs w:val="21"/>
              </w:rPr>
              <w:t>获嘉县气象站</w:t>
            </w:r>
          </w:p>
        </w:tc>
        <w:tc>
          <w:tcPr>
            <w:tcW w:w="1224" w:type="dxa"/>
            <w:shd w:val="clear" w:color="auto" w:fill="auto"/>
            <w:vAlign w:val="center"/>
          </w:tcPr>
          <w:p>
            <w:pPr>
              <w:pStyle w:val="342"/>
              <w:jc w:val="center"/>
              <w:rPr>
                <w:color w:val="auto"/>
                <w:sz w:val="21"/>
                <w:szCs w:val="21"/>
              </w:rPr>
            </w:pPr>
            <w:r>
              <w:rPr>
                <w:rFonts w:hint="eastAsia"/>
                <w:color w:val="auto"/>
                <w:sz w:val="21"/>
                <w:szCs w:val="21"/>
              </w:rPr>
              <w:t>SE</w:t>
            </w:r>
          </w:p>
        </w:tc>
        <w:tc>
          <w:tcPr>
            <w:tcW w:w="1233" w:type="dxa"/>
            <w:gridSpan w:val="2"/>
            <w:shd w:val="clear" w:color="auto" w:fill="auto"/>
            <w:vAlign w:val="center"/>
          </w:tcPr>
          <w:p>
            <w:pPr>
              <w:pStyle w:val="342"/>
              <w:jc w:val="center"/>
              <w:rPr>
                <w:color w:val="auto"/>
                <w:sz w:val="21"/>
                <w:szCs w:val="21"/>
              </w:rPr>
            </w:pPr>
            <w:r>
              <w:rPr>
                <w:rFonts w:hint="eastAsia"/>
                <w:color w:val="auto"/>
                <w:sz w:val="21"/>
                <w:szCs w:val="21"/>
              </w:rPr>
              <w:t>700</w:t>
            </w:r>
          </w:p>
        </w:tc>
        <w:tc>
          <w:tcPr>
            <w:tcW w:w="985" w:type="dxa"/>
            <w:shd w:val="clear" w:color="auto" w:fill="auto"/>
            <w:vAlign w:val="center"/>
          </w:tcPr>
          <w:p>
            <w:pPr>
              <w:adjustRightInd w:val="0"/>
              <w:snapToGrid w:val="0"/>
              <w:jc w:val="center"/>
              <w:rPr>
                <w:color w:val="auto"/>
              </w:rPr>
            </w:pPr>
            <w:r>
              <w:rPr>
                <w:color w:val="auto"/>
              </w:rPr>
              <w:t>科研单位</w:t>
            </w:r>
          </w:p>
        </w:tc>
        <w:tc>
          <w:tcPr>
            <w:tcW w:w="1468" w:type="dxa"/>
            <w:gridSpan w:val="2"/>
            <w:shd w:val="clear" w:color="auto" w:fill="auto"/>
            <w:vAlign w:val="center"/>
          </w:tcPr>
          <w:p>
            <w:pPr>
              <w:adjustRightInd w:val="0"/>
              <w:snapToGrid w:val="0"/>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restart"/>
            <w:shd w:val="clear" w:color="auto" w:fill="auto"/>
            <w:vAlign w:val="center"/>
          </w:tcPr>
          <w:p>
            <w:pPr>
              <w:adjustRightInd w:val="0"/>
              <w:jc w:val="center"/>
              <w:rPr>
                <w:color w:val="auto"/>
              </w:rPr>
            </w:pPr>
            <w:r>
              <w:rPr>
                <w:color w:val="auto"/>
              </w:rPr>
              <w:t>地表水</w:t>
            </w:r>
          </w:p>
        </w:tc>
        <w:tc>
          <w:tcPr>
            <w:tcW w:w="7319" w:type="dxa"/>
            <w:gridSpan w:val="8"/>
            <w:shd w:val="clear" w:color="auto" w:fill="auto"/>
            <w:vAlign w:val="center"/>
          </w:tcPr>
          <w:p>
            <w:pPr>
              <w:adjustRightInd w:val="0"/>
              <w:jc w:val="center"/>
              <w:rPr>
                <w:color w:val="auto"/>
              </w:rPr>
            </w:pPr>
            <w:r>
              <w:rPr>
                <w:color w:val="auto"/>
              </w:rPr>
              <w:t>受纳水体：共产主义渠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序号</w:t>
            </w:r>
          </w:p>
        </w:tc>
        <w:tc>
          <w:tcPr>
            <w:tcW w:w="1544" w:type="dxa"/>
            <w:shd w:val="clear" w:color="auto" w:fill="auto"/>
            <w:vAlign w:val="center"/>
          </w:tcPr>
          <w:p>
            <w:pPr>
              <w:adjustRightInd w:val="0"/>
              <w:jc w:val="center"/>
              <w:rPr>
                <w:color w:val="auto"/>
              </w:rPr>
            </w:pPr>
            <w:r>
              <w:rPr>
                <w:color w:val="auto"/>
              </w:rPr>
              <w:t>受纳水体名称</w:t>
            </w:r>
          </w:p>
        </w:tc>
        <w:tc>
          <w:tcPr>
            <w:tcW w:w="2457" w:type="dxa"/>
            <w:gridSpan w:val="3"/>
            <w:shd w:val="clear" w:color="auto" w:fill="auto"/>
            <w:vAlign w:val="center"/>
          </w:tcPr>
          <w:p>
            <w:pPr>
              <w:adjustRightInd w:val="0"/>
              <w:jc w:val="center"/>
              <w:rPr>
                <w:color w:val="auto"/>
              </w:rPr>
            </w:pPr>
            <w:r>
              <w:rPr>
                <w:color w:val="auto"/>
              </w:rPr>
              <w:t>排放点水域环境功能</w:t>
            </w:r>
          </w:p>
        </w:tc>
        <w:tc>
          <w:tcPr>
            <w:tcW w:w="2453" w:type="dxa"/>
            <w:gridSpan w:val="3"/>
            <w:shd w:val="clear" w:color="auto" w:fill="auto"/>
            <w:vAlign w:val="center"/>
          </w:tcPr>
          <w:p>
            <w:pPr>
              <w:adjustRightInd w:val="0"/>
              <w:jc w:val="center"/>
              <w:rPr>
                <w:color w:val="auto"/>
              </w:rPr>
            </w:pPr>
            <w:r>
              <w:rPr>
                <w:color w:val="auto"/>
              </w:rPr>
              <w:t>24h内流经范围/km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1</w:t>
            </w:r>
          </w:p>
        </w:tc>
        <w:tc>
          <w:tcPr>
            <w:tcW w:w="1544" w:type="dxa"/>
            <w:shd w:val="clear" w:color="auto" w:fill="auto"/>
            <w:vAlign w:val="center"/>
          </w:tcPr>
          <w:p>
            <w:pPr>
              <w:adjustRightInd w:val="0"/>
              <w:jc w:val="center"/>
              <w:rPr>
                <w:color w:val="auto"/>
              </w:rPr>
            </w:pPr>
            <w:r>
              <w:rPr>
                <w:color w:val="auto"/>
              </w:rPr>
              <w:t>共产主义渠</w:t>
            </w:r>
          </w:p>
        </w:tc>
        <w:tc>
          <w:tcPr>
            <w:tcW w:w="2457" w:type="dxa"/>
            <w:gridSpan w:val="3"/>
            <w:shd w:val="clear" w:color="auto" w:fill="auto"/>
            <w:vAlign w:val="center"/>
          </w:tcPr>
          <w:p>
            <w:pPr>
              <w:adjustRightInd w:val="0"/>
              <w:jc w:val="center"/>
              <w:rPr>
                <w:color w:val="auto"/>
              </w:rPr>
            </w:pPr>
            <w:r>
              <w:rPr>
                <w:color w:val="auto"/>
                <w:kern w:val="21"/>
                <w:szCs w:val="24"/>
              </w:rPr>
              <w:t>IV</w:t>
            </w:r>
            <w:r>
              <w:rPr>
                <w:color w:val="auto"/>
              </w:rPr>
              <w:t>类</w:t>
            </w:r>
          </w:p>
        </w:tc>
        <w:tc>
          <w:tcPr>
            <w:tcW w:w="2453" w:type="dxa"/>
            <w:gridSpan w:val="3"/>
            <w:shd w:val="clear" w:color="auto" w:fill="auto"/>
            <w:vAlign w:val="center"/>
          </w:tcPr>
          <w:p>
            <w:pPr>
              <w:adjustRightInd w:val="0"/>
              <w:jc w:val="center"/>
              <w:rPr>
                <w:color w:val="auto"/>
              </w:rPr>
            </w:pPr>
            <w:r>
              <w:rPr>
                <w:color w:val="auto"/>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restart"/>
            <w:shd w:val="clear" w:color="auto" w:fill="auto"/>
            <w:vAlign w:val="center"/>
          </w:tcPr>
          <w:p>
            <w:pPr>
              <w:adjustRightInd w:val="0"/>
              <w:jc w:val="center"/>
              <w:rPr>
                <w:color w:val="auto"/>
              </w:rPr>
            </w:pPr>
            <w:r>
              <w:rPr>
                <w:color w:val="auto"/>
              </w:rPr>
              <w:t>地下水</w:t>
            </w:r>
          </w:p>
        </w:tc>
        <w:tc>
          <w:tcPr>
            <w:tcW w:w="865" w:type="dxa"/>
            <w:shd w:val="clear" w:color="auto" w:fill="auto"/>
            <w:vAlign w:val="center"/>
          </w:tcPr>
          <w:p>
            <w:pPr>
              <w:adjustRightInd w:val="0"/>
              <w:jc w:val="center"/>
              <w:rPr>
                <w:color w:val="auto"/>
              </w:rPr>
            </w:pPr>
            <w:r>
              <w:rPr>
                <w:color w:val="auto"/>
              </w:rPr>
              <w:t>序号</w:t>
            </w:r>
          </w:p>
        </w:tc>
        <w:tc>
          <w:tcPr>
            <w:tcW w:w="1544" w:type="dxa"/>
            <w:shd w:val="clear" w:color="auto" w:fill="auto"/>
            <w:vAlign w:val="center"/>
          </w:tcPr>
          <w:p>
            <w:pPr>
              <w:adjustRightInd w:val="0"/>
              <w:jc w:val="center"/>
              <w:rPr>
                <w:color w:val="auto"/>
              </w:rPr>
            </w:pPr>
            <w:r>
              <w:rPr>
                <w:color w:val="auto"/>
              </w:rPr>
              <w:t>环境敏感区名称</w:t>
            </w:r>
          </w:p>
        </w:tc>
        <w:tc>
          <w:tcPr>
            <w:tcW w:w="1454" w:type="dxa"/>
            <w:gridSpan w:val="2"/>
            <w:shd w:val="clear" w:color="auto" w:fill="auto"/>
            <w:vAlign w:val="center"/>
          </w:tcPr>
          <w:p>
            <w:pPr>
              <w:adjustRightInd w:val="0"/>
              <w:jc w:val="center"/>
              <w:rPr>
                <w:color w:val="auto"/>
              </w:rPr>
            </w:pPr>
            <w:r>
              <w:rPr>
                <w:color w:val="auto"/>
              </w:rPr>
              <w:t>环境敏感特征</w:t>
            </w:r>
          </w:p>
        </w:tc>
        <w:tc>
          <w:tcPr>
            <w:tcW w:w="1003" w:type="dxa"/>
            <w:shd w:val="clear" w:color="auto" w:fill="auto"/>
            <w:vAlign w:val="center"/>
          </w:tcPr>
          <w:p>
            <w:pPr>
              <w:adjustRightInd w:val="0"/>
              <w:jc w:val="center"/>
              <w:rPr>
                <w:color w:val="auto"/>
              </w:rPr>
            </w:pPr>
            <w:r>
              <w:rPr>
                <w:color w:val="auto"/>
              </w:rPr>
              <w:t>水质目标</w:t>
            </w:r>
          </w:p>
        </w:tc>
        <w:tc>
          <w:tcPr>
            <w:tcW w:w="1210" w:type="dxa"/>
            <w:gridSpan w:val="2"/>
            <w:shd w:val="clear" w:color="auto" w:fill="auto"/>
            <w:vAlign w:val="center"/>
          </w:tcPr>
          <w:p>
            <w:pPr>
              <w:adjustRightInd w:val="0"/>
              <w:jc w:val="center"/>
              <w:rPr>
                <w:color w:val="auto"/>
              </w:rPr>
            </w:pPr>
            <w:r>
              <w:rPr>
                <w:color w:val="auto"/>
              </w:rPr>
              <w:t>包气带防污性能</w:t>
            </w:r>
          </w:p>
        </w:tc>
        <w:tc>
          <w:tcPr>
            <w:tcW w:w="1243" w:type="dxa"/>
            <w:shd w:val="clear" w:color="auto" w:fill="auto"/>
            <w:vAlign w:val="center"/>
          </w:tcPr>
          <w:p>
            <w:pPr>
              <w:adjustRightInd w:val="0"/>
              <w:jc w:val="center"/>
              <w:rPr>
                <w:color w:val="auto"/>
              </w:rPr>
            </w:pPr>
            <w:r>
              <w:rPr>
                <w:color w:val="auto"/>
              </w:rPr>
              <w:t>与下游厂界距离/m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3" w:type="dxa"/>
            <w:vMerge w:val="continue"/>
            <w:shd w:val="clear" w:color="auto" w:fill="auto"/>
            <w:vAlign w:val="center"/>
          </w:tcPr>
          <w:p>
            <w:pPr>
              <w:adjustRightInd w:val="0"/>
              <w:jc w:val="center"/>
              <w:rPr>
                <w:color w:val="auto"/>
              </w:rPr>
            </w:pPr>
          </w:p>
        </w:tc>
        <w:tc>
          <w:tcPr>
            <w:tcW w:w="865" w:type="dxa"/>
            <w:shd w:val="clear" w:color="auto" w:fill="auto"/>
            <w:vAlign w:val="center"/>
          </w:tcPr>
          <w:p>
            <w:pPr>
              <w:adjustRightInd w:val="0"/>
              <w:jc w:val="center"/>
              <w:rPr>
                <w:color w:val="auto"/>
              </w:rPr>
            </w:pPr>
            <w:r>
              <w:rPr>
                <w:color w:val="auto"/>
              </w:rPr>
              <w:t>1</w:t>
            </w:r>
          </w:p>
        </w:tc>
        <w:tc>
          <w:tcPr>
            <w:tcW w:w="1544" w:type="dxa"/>
            <w:shd w:val="clear" w:color="auto" w:fill="auto"/>
            <w:vAlign w:val="center"/>
          </w:tcPr>
          <w:p>
            <w:pPr>
              <w:adjustRightInd w:val="0"/>
              <w:jc w:val="center"/>
              <w:rPr>
                <w:color w:val="auto"/>
              </w:rPr>
            </w:pPr>
            <w:r>
              <w:rPr>
                <w:color w:val="auto"/>
              </w:rPr>
              <w:t>照镜镇地下水井群保护区</w:t>
            </w:r>
          </w:p>
        </w:tc>
        <w:tc>
          <w:tcPr>
            <w:tcW w:w="1454" w:type="dxa"/>
            <w:gridSpan w:val="2"/>
            <w:shd w:val="clear" w:color="auto" w:fill="auto"/>
            <w:vAlign w:val="center"/>
          </w:tcPr>
          <w:p>
            <w:pPr>
              <w:adjustRightInd w:val="0"/>
              <w:jc w:val="center"/>
              <w:rPr>
                <w:color w:val="auto"/>
              </w:rPr>
            </w:pPr>
            <w:r>
              <w:rPr>
                <w:color w:val="auto"/>
              </w:rPr>
              <w:t>集中式饮用水水源地</w:t>
            </w:r>
          </w:p>
        </w:tc>
        <w:tc>
          <w:tcPr>
            <w:tcW w:w="1003" w:type="dxa"/>
            <w:shd w:val="clear" w:color="auto" w:fill="auto"/>
            <w:vAlign w:val="center"/>
          </w:tcPr>
          <w:p>
            <w:pPr>
              <w:adjustRightInd w:val="0"/>
              <w:jc w:val="center"/>
              <w:rPr>
                <w:color w:val="auto"/>
              </w:rPr>
            </w:pPr>
            <w:r>
              <w:rPr>
                <w:color w:val="auto"/>
              </w:rPr>
              <w:fldChar w:fldCharType="begin"/>
            </w:r>
            <w:r>
              <w:rPr>
                <w:color w:val="auto"/>
              </w:rPr>
              <w:instrText xml:space="preserve"> = 3 \* ROMAN </w:instrText>
            </w:r>
            <w:r>
              <w:rPr>
                <w:color w:val="auto"/>
              </w:rPr>
              <w:fldChar w:fldCharType="separate"/>
            </w:r>
            <w:r>
              <w:rPr>
                <w:color w:val="auto"/>
              </w:rPr>
              <w:t>III</w:t>
            </w:r>
            <w:r>
              <w:rPr>
                <w:color w:val="auto"/>
              </w:rPr>
              <w:fldChar w:fldCharType="end"/>
            </w:r>
          </w:p>
        </w:tc>
        <w:tc>
          <w:tcPr>
            <w:tcW w:w="1210" w:type="dxa"/>
            <w:gridSpan w:val="2"/>
            <w:shd w:val="clear" w:color="auto" w:fill="auto"/>
            <w:vAlign w:val="center"/>
          </w:tcPr>
          <w:p>
            <w:pPr>
              <w:adjustRightInd w:val="0"/>
              <w:jc w:val="center"/>
              <w:rPr>
                <w:color w:val="auto"/>
              </w:rPr>
            </w:pPr>
            <w:r>
              <w:rPr>
                <w:color w:val="auto"/>
              </w:rPr>
              <w:t>D</w:t>
            </w:r>
            <w:r>
              <w:rPr>
                <w:rFonts w:hint="eastAsia"/>
                <w:color w:val="auto"/>
              </w:rPr>
              <w:t>3</w:t>
            </w:r>
          </w:p>
        </w:tc>
        <w:tc>
          <w:tcPr>
            <w:tcW w:w="1243" w:type="dxa"/>
            <w:shd w:val="clear" w:color="auto" w:fill="auto"/>
            <w:vAlign w:val="center"/>
          </w:tcPr>
          <w:p>
            <w:pPr>
              <w:adjustRightInd w:val="0"/>
              <w:jc w:val="center"/>
              <w:rPr>
                <w:color w:val="auto"/>
              </w:rPr>
            </w:pPr>
            <w:r>
              <w:rPr>
                <w:rFonts w:hint="eastAsia"/>
                <w:color w:val="auto"/>
              </w:rPr>
              <w:t>2565</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62" w:name="_Toc112338958"/>
      <w:bookmarkStart w:id="363" w:name="_Toc32274"/>
      <w:r>
        <w:rPr>
          <w:bCs w:val="0"/>
          <w:color w:val="auto"/>
          <w:kern w:val="0"/>
          <w:szCs w:val="20"/>
          <w:lang w:val="en-US"/>
        </w:rPr>
        <w:t>6.4风险识别</w:t>
      </w:r>
      <w:bookmarkEnd w:id="362"/>
      <w:bookmarkEnd w:id="363"/>
    </w:p>
    <w:p>
      <w:pPr>
        <w:adjustRightInd w:val="0"/>
        <w:snapToGrid w:val="0"/>
        <w:spacing w:line="360" w:lineRule="auto"/>
        <w:ind w:firstLine="480" w:firstLineChars="200"/>
        <w:rPr>
          <w:color w:val="auto"/>
          <w:kern w:val="21"/>
          <w:sz w:val="24"/>
          <w:szCs w:val="24"/>
        </w:rPr>
      </w:pPr>
      <w:r>
        <w:rPr>
          <w:color w:val="auto"/>
          <w:kern w:val="21"/>
          <w:sz w:val="24"/>
          <w:szCs w:val="24"/>
        </w:rPr>
        <w:t>本项目生产设施（过程）环境风险产生岗位（工序）、风险事故类型和可能造成的环境影响因素识别见表6.4-1。</w:t>
      </w:r>
    </w:p>
    <w:p>
      <w:pPr>
        <w:adjustRightInd w:val="0"/>
        <w:snapToGrid w:val="0"/>
        <w:jc w:val="center"/>
        <w:rPr>
          <w:rFonts w:eastAsia="黑体"/>
          <w:color w:val="auto"/>
          <w:kern w:val="21"/>
          <w:sz w:val="24"/>
        </w:rPr>
      </w:pPr>
      <w:r>
        <w:rPr>
          <w:rFonts w:eastAsia="黑体"/>
          <w:color w:val="auto"/>
          <w:kern w:val="21"/>
          <w:sz w:val="24"/>
        </w:rPr>
        <w:t xml:space="preserve"> 表6.4-1    生产过程环境风险源识别 </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2126"/>
        <w:gridCol w:w="2527"/>
        <w:gridCol w:w="1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Align w:val="center"/>
          </w:tcPr>
          <w:p>
            <w:pPr>
              <w:adjustRightInd w:val="0"/>
              <w:snapToGrid w:val="0"/>
              <w:jc w:val="center"/>
              <w:rPr>
                <w:b/>
                <w:bCs/>
                <w:color w:val="auto"/>
                <w:kern w:val="21"/>
              </w:rPr>
            </w:pPr>
            <w:r>
              <w:rPr>
                <w:b/>
                <w:bCs/>
                <w:color w:val="auto"/>
                <w:kern w:val="21"/>
              </w:rPr>
              <w:t>事故起因</w:t>
            </w:r>
          </w:p>
        </w:tc>
        <w:tc>
          <w:tcPr>
            <w:tcW w:w="2126" w:type="dxa"/>
            <w:vAlign w:val="center"/>
          </w:tcPr>
          <w:p>
            <w:pPr>
              <w:adjustRightInd w:val="0"/>
              <w:snapToGrid w:val="0"/>
              <w:jc w:val="center"/>
              <w:rPr>
                <w:b/>
                <w:bCs/>
                <w:color w:val="auto"/>
                <w:kern w:val="21"/>
              </w:rPr>
            </w:pPr>
            <w:r>
              <w:rPr>
                <w:b/>
                <w:bCs/>
                <w:color w:val="auto"/>
                <w:kern w:val="21"/>
              </w:rPr>
              <w:t>环境风险描述</w:t>
            </w:r>
          </w:p>
        </w:tc>
        <w:tc>
          <w:tcPr>
            <w:tcW w:w="2527" w:type="dxa"/>
            <w:vAlign w:val="center"/>
          </w:tcPr>
          <w:p>
            <w:pPr>
              <w:adjustRightInd w:val="0"/>
              <w:snapToGrid w:val="0"/>
              <w:jc w:val="center"/>
              <w:rPr>
                <w:b/>
                <w:bCs/>
                <w:color w:val="auto"/>
                <w:kern w:val="21"/>
              </w:rPr>
            </w:pPr>
            <w:r>
              <w:rPr>
                <w:b/>
                <w:bCs/>
                <w:color w:val="auto"/>
                <w:kern w:val="21"/>
              </w:rPr>
              <w:t>可能造成的后果</w:t>
            </w:r>
          </w:p>
        </w:tc>
        <w:tc>
          <w:tcPr>
            <w:tcW w:w="1725" w:type="dxa"/>
            <w:vAlign w:val="center"/>
          </w:tcPr>
          <w:p>
            <w:pPr>
              <w:adjustRightInd w:val="0"/>
              <w:snapToGrid w:val="0"/>
              <w:jc w:val="center"/>
              <w:rPr>
                <w:b/>
                <w:bCs/>
                <w:color w:val="auto"/>
                <w:kern w:val="21"/>
              </w:rPr>
            </w:pPr>
            <w:r>
              <w:rPr>
                <w:b/>
                <w:bCs/>
                <w:color w:val="auto"/>
                <w:kern w:val="21"/>
              </w:rPr>
              <w:t>产生设施或工序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Merge w:val="restart"/>
            <w:vAlign w:val="center"/>
          </w:tcPr>
          <w:p>
            <w:pPr>
              <w:adjustRightInd w:val="0"/>
              <w:snapToGrid w:val="0"/>
              <w:jc w:val="center"/>
              <w:rPr>
                <w:color w:val="auto"/>
                <w:kern w:val="21"/>
              </w:rPr>
            </w:pPr>
            <w:r>
              <w:rPr>
                <w:color w:val="auto"/>
                <w:kern w:val="21"/>
              </w:rPr>
              <w:t>化学品泄漏</w:t>
            </w:r>
          </w:p>
        </w:tc>
        <w:tc>
          <w:tcPr>
            <w:tcW w:w="2126" w:type="dxa"/>
            <w:vAlign w:val="center"/>
          </w:tcPr>
          <w:p>
            <w:pPr>
              <w:adjustRightInd w:val="0"/>
              <w:snapToGrid w:val="0"/>
              <w:jc w:val="center"/>
              <w:rPr>
                <w:color w:val="auto"/>
                <w:kern w:val="21"/>
              </w:rPr>
            </w:pPr>
            <w:r>
              <w:rPr>
                <w:color w:val="auto"/>
                <w:kern w:val="21"/>
              </w:rPr>
              <w:t>泄漏化学品通过雨水管进入水体</w:t>
            </w:r>
          </w:p>
        </w:tc>
        <w:tc>
          <w:tcPr>
            <w:tcW w:w="2527" w:type="dxa"/>
            <w:vAlign w:val="center"/>
          </w:tcPr>
          <w:p>
            <w:pPr>
              <w:adjustRightInd w:val="0"/>
              <w:snapToGrid w:val="0"/>
              <w:jc w:val="center"/>
              <w:rPr>
                <w:color w:val="auto"/>
                <w:kern w:val="21"/>
              </w:rPr>
            </w:pPr>
            <w:r>
              <w:rPr>
                <w:color w:val="auto"/>
                <w:kern w:val="21"/>
              </w:rPr>
              <w:t>造成附近河流水质恶化，影响水生环境</w:t>
            </w:r>
          </w:p>
        </w:tc>
        <w:tc>
          <w:tcPr>
            <w:tcW w:w="1725" w:type="dxa"/>
            <w:vMerge w:val="restart"/>
            <w:vAlign w:val="center"/>
          </w:tcPr>
          <w:p>
            <w:pPr>
              <w:adjustRightInd w:val="0"/>
              <w:snapToGrid w:val="0"/>
              <w:jc w:val="center"/>
              <w:rPr>
                <w:color w:val="auto"/>
                <w:kern w:val="21"/>
              </w:rPr>
            </w:pPr>
            <w:r>
              <w:rPr>
                <w:color w:val="auto"/>
                <w:kern w:val="21"/>
              </w:rPr>
              <w:t>生产车间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Merge w:val="continue"/>
            <w:vAlign w:val="center"/>
          </w:tcPr>
          <w:p>
            <w:pPr>
              <w:adjustRightInd w:val="0"/>
              <w:snapToGrid w:val="0"/>
              <w:jc w:val="center"/>
              <w:rPr>
                <w:color w:val="auto"/>
                <w:kern w:val="21"/>
              </w:rPr>
            </w:pPr>
          </w:p>
        </w:tc>
        <w:tc>
          <w:tcPr>
            <w:tcW w:w="2126" w:type="dxa"/>
            <w:vAlign w:val="center"/>
          </w:tcPr>
          <w:p>
            <w:pPr>
              <w:adjustRightInd w:val="0"/>
              <w:snapToGrid w:val="0"/>
              <w:jc w:val="center"/>
              <w:rPr>
                <w:color w:val="auto"/>
                <w:kern w:val="21"/>
              </w:rPr>
            </w:pPr>
            <w:r>
              <w:rPr>
                <w:color w:val="auto"/>
                <w:kern w:val="21"/>
              </w:rPr>
              <w:t>泄漏化学品通过污水管进入污水厂影响污水厂运行</w:t>
            </w:r>
          </w:p>
        </w:tc>
        <w:tc>
          <w:tcPr>
            <w:tcW w:w="2527" w:type="dxa"/>
            <w:vAlign w:val="center"/>
          </w:tcPr>
          <w:p>
            <w:pPr>
              <w:adjustRightInd w:val="0"/>
              <w:snapToGrid w:val="0"/>
              <w:jc w:val="center"/>
              <w:rPr>
                <w:color w:val="auto"/>
                <w:kern w:val="21"/>
              </w:rPr>
            </w:pPr>
            <w:r>
              <w:rPr>
                <w:color w:val="auto"/>
                <w:kern w:val="21"/>
              </w:rPr>
              <w:t>对污水厂运行造成冲击</w:t>
            </w:r>
          </w:p>
        </w:tc>
        <w:tc>
          <w:tcPr>
            <w:tcW w:w="1725" w:type="dxa"/>
            <w:vMerge w:val="continue"/>
            <w:vAlign w:val="center"/>
          </w:tcPr>
          <w:p>
            <w:pPr>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Align w:val="center"/>
          </w:tcPr>
          <w:p>
            <w:pPr>
              <w:adjustRightInd w:val="0"/>
              <w:snapToGrid w:val="0"/>
              <w:jc w:val="center"/>
              <w:rPr>
                <w:color w:val="auto"/>
                <w:kern w:val="21"/>
              </w:rPr>
            </w:pPr>
            <w:r>
              <w:rPr>
                <w:rFonts w:hint="eastAsia"/>
                <w:color w:val="auto"/>
                <w:kern w:val="21"/>
              </w:rPr>
              <w:t>镀槽</w:t>
            </w:r>
            <w:r>
              <w:rPr>
                <w:color w:val="auto"/>
                <w:kern w:val="21"/>
              </w:rPr>
              <w:t>槽液泄漏</w:t>
            </w:r>
          </w:p>
        </w:tc>
        <w:tc>
          <w:tcPr>
            <w:tcW w:w="2126" w:type="dxa"/>
            <w:vAlign w:val="center"/>
          </w:tcPr>
          <w:p>
            <w:pPr>
              <w:adjustRightInd w:val="0"/>
              <w:snapToGrid w:val="0"/>
              <w:jc w:val="center"/>
              <w:rPr>
                <w:color w:val="auto"/>
                <w:kern w:val="21"/>
              </w:rPr>
            </w:pPr>
            <w:r>
              <w:rPr>
                <w:color w:val="auto"/>
                <w:kern w:val="21"/>
              </w:rPr>
              <w:t>可能造成泄漏事故</w:t>
            </w:r>
          </w:p>
        </w:tc>
        <w:tc>
          <w:tcPr>
            <w:tcW w:w="2527" w:type="dxa"/>
            <w:vAlign w:val="center"/>
          </w:tcPr>
          <w:p>
            <w:pPr>
              <w:adjustRightInd w:val="0"/>
              <w:snapToGrid w:val="0"/>
              <w:jc w:val="center"/>
              <w:rPr>
                <w:color w:val="auto"/>
                <w:kern w:val="21"/>
              </w:rPr>
            </w:pPr>
            <w:r>
              <w:rPr>
                <w:color w:val="auto"/>
                <w:kern w:val="21"/>
              </w:rPr>
              <w:t>同化学品泄漏影响</w:t>
            </w:r>
          </w:p>
        </w:tc>
        <w:tc>
          <w:tcPr>
            <w:tcW w:w="1725" w:type="dxa"/>
            <w:vAlign w:val="center"/>
          </w:tcPr>
          <w:p>
            <w:pPr>
              <w:adjustRightInd w:val="0"/>
              <w:snapToGrid w:val="0"/>
              <w:jc w:val="center"/>
              <w:rPr>
                <w:color w:val="auto"/>
                <w:kern w:val="21"/>
              </w:rPr>
            </w:pPr>
            <w:r>
              <w:rPr>
                <w:color w:val="auto"/>
                <w:kern w:val="21"/>
              </w:rPr>
              <w:t>电镀生产线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Align w:val="center"/>
          </w:tcPr>
          <w:p>
            <w:pPr>
              <w:adjustRightInd w:val="0"/>
              <w:snapToGrid w:val="0"/>
              <w:jc w:val="center"/>
              <w:rPr>
                <w:color w:val="auto"/>
                <w:kern w:val="21"/>
              </w:rPr>
            </w:pPr>
            <w:r>
              <w:rPr>
                <w:color w:val="auto"/>
                <w:kern w:val="21"/>
              </w:rPr>
              <w:t>危险废物泄漏</w:t>
            </w:r>
          </w:p>
        </w:tc>
        <w:tc>
          <w:tcPr>
            <w:tcW w:w="2126" w:type="dxa"/>
            <w:vAlign w:val="center"/>
          </w:tcPr>
          <w:p>
            <w:pPr>
              <w:adjustRightInd w:val="0"/>
              <w:snapToGrid w:val="0"/>
              <w:jc w:val="center"/>
              <w:rPr>
                <w:color w:val="auto"/>
                <w:kern w:val="21"/>
              </w:rPr>
            </w:pPr>
            <w:r>
              <w:rPr>
                <w:color w:val="auto"/>
                <w:kern w:val="21"/>
              </w:rPr>
              <w:t>可能造成泄漏事故、火灾爆炸事故等</w:t>
            </w:r>
          </w:p>
        </w:tc>
        <w:tc>
          <w:tcPr>
            <w:tcW w:w="2527" w:type="dxa"/>
            <w:vAlign w:val="center"/>
          </w:tcPr>
          <w:p>
            <w:pPr>
              <w:adjustRightInd w:val="0"/>
              <w:snapToGrid w:val="0"/>
              <w:jc w:val="center"/>
              <w:rPr>
                <w:color w:val="auto"/>
                <w:kern w:val="21"/>
              </w:rPr>
            </w:pPr>
            <w:r>
              <w:rPr>
                <w:color w:val="auto"/>
                <w:kern w:val="21"/>
              </w:rPr>
              <w:t>同化学品泄漏和火灾、爆炸影响</w:t>
            </w:r>
          </w:p>
        </w:tc>
        <w:tc>
          <w:tcPr>
            <w:tcW w:w="1725" w:type="dxa"/>
            <w:vAlign w:val="center"/>
          </w:tcPr>
          <w:p>
            <w:pPr>
              <w:adjustRightInd w:val="0"/>
              <w:snapToGrid w:val="0"/>
              <w:jc w:val="center"/>
              <w:rPr>
                <w:color w:val="auto"/>
                <w:kern w:val="21"/>
              </w:rPr>
            </w:pPr>
            <w:r>
              <w:rPr>
                <w:color w:val="auto"/>
                <w:kern w:val="21"/>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Align w:val="center"/>
          </w:tcPr>
          <w:p>
            <w:pPr>
              <w:adjustRightInd w:val="0"/>
              <w:snapToGrid w:val="0"/>
              <w:jc w:val="center"/>
              <w:rPr>
                <w:color w:val="auto"/>
                <w:kern w:val="21"/>
              </w:rPr>
            </w:pPr>
            <w:r>
              <w:rPr>
                <w:color w:val="auto"/>
                <w:kern w:val="21"/>
              </w:rPr>
              <w:t>天然气管道破损发生泄漏</w:t>
            </w:r>
          </w:p>
        </w:tc>
        <w:tc>
          <w:tcPr>
            <w:tcW w:w="2126" w:type="dxa"/>
            <w:vAlign w:val="center"/>
          </w:tcPr>
          <w:p>
            <w:pPr>
              <w:adjustRightInd w:val="0"/>
              <w:snapToGrid w:val="0"/>
              <w:jc w:val="center"/>
              <w:rPr>
                <w:color w:val="auto"/>
                <w:kern w:val="21"/>
              </w:rPr>
            </w:pPr>
            <w:r>
              <w:rPr>
                <w:color w:val="auto"/>
                <w:kern w:val="21"/>
              </w:rPr>
              <w:t>可能造成天然气泄漏事故、火灾、爆炸事故等</w:t>
            </w:r>
          </w:p>
        </w:tc>
        <w:tc>
          <w:tcPr>
            <w:tcW w:w="2527" w:type="dxa"/>
            <w:vAlign w:val="center"/>
          </w:tcPr>
          <w:p>
            <w:pPr>
              <w:adjustRightInd w:val="0"/>
              <w:snapToGrid w:val="0"/>
              <w:jc w:val="center"/>
              <w:rPr>
                <w:color w:val="auto"/>
                <w:kern w:val="21"/>
              </w:rPr>
            </w:pPr>
            <w:r>
              <w:rPr>
                <w:color w:val="auto"/>
                <w:kern w:val="21"/>
              </w:rPr>
              <w:t>对周围大气环境造成影响</w:t>
            </w:r>
          </w:p>
        </w:tc>
        <w:tc>
          <w:tcPr>
            <w:tcW w:w="1725" w:type="dxa"/>
            <w:vAlign w:val="center"/>
          </w:tcPr>
          <w:p>
            <w:pPr>
              <w:adjustRightInd w:val="0"/>
              <w:snapToGrid w:val="0"/>
              <w:jc w:val="center"/>
              <w:rPr>
                <w:color w:val="auto"/>
                <w:kern w:val="21"/>
              </w:rPr>
            </w:pPr>
            <w:r>
              <w:rPr>
                <w:color w:val="auto"/>
                <w:kern w:val="21"/>
              </w:rPr>
              <w:t>天然气管道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Merge w:val="restart"/>
            <w:vAlign w:val="center"/>
          </w:tcPr>
          <w:p>
            <w:pPr>
              <w:adjustRightInd w:val="0"/>
              <w:snapToGrid w:val="0"/>
              <w:jc w:val="center"/>
              <w:rPr>
                <w:color w:val="auto"/>
                <w:kern w:val="21"/>
              </w:rPr>
            </w:pPr>
            <w:r>
              <w:rPr>
                <w:color w:val="auto"/>
                <w:kern w:val="21"/>
              </w:rPr>
              <w:t>火灾、爆炸</w:t>
            </w:r>
          </w:p>
        </w:tc>
        <w:tc>
          <w:tcPr>
            <w:tcW w:w="2126" w:type="dxa"/>
            <w:vAlign w:val="center"/>
          </w:tcPr>
          <w:p>
            <w:pPr>
              <w:adjustRightInd w:val="0"/>
              <w:snapToGrid w:val="0"/>
              <w:jc w:val="center"/>
              <w:rPr>
                <w:color w:val="auto"/>
                <w:kern w:val="21"/>
              </w:rPr>
            </w:pPr>
            <w:r>
              <w:rPr>
                <w:color w:val="auto"/>
                <w:kern w:val="21"/>
              </w:rPr>
              <w:t>燃烧烟尘及污染物污染周围大气环境</w:t>
            </w:r>
          </w:p>
        </w:tc>
        <w:tc>
          <w:tcPr>
            <w:tcW w:w="2527" w:type="dxa"/>
            <w:vAlign w:val="center"/>
          </w:tcPr>
          <w:p>
            <w:pPr>
              <w:adjustRightInd w:val="0"/>
              <w:snapToGrid w:val="0"/>
              <w:jc w:val="center"/>
              <w:rPr>
                <w:color w:val="auto"/>
                <w:kern w:val="21"/>
              </w:rPr>
            </w:pPr>
            <w:r>
              <w:rPr>
                <w:color w:val="auto"/>
                <w:kern w:val="21"/>
              </w:rPr>
              <w:t>对周围大气环境造成短时污染</w:t>
            </w:r>
          </w:p>
        </w:tc>
        <w:tc>
          <w:tcPr>
            <w:tcW w:w="1725" w:type="dxa"/>
            <w:vAlign w:val="center"/>
          </w:tcPr>
          <w:p>
            <w:pPr>
              <w:adjustRightInd w:val="0"/>
              <w:snapToGrid w:val="0"/>
              <w:jc w:val="center"/>
              <w:rPr>
                <w:color w:val="auto"/>
                <w:kern w:val="21"/>
              </w:rPr>
            </w:pPr>
            <w:r>
              <w:rPr>
                <w:color w:val="auto"/>
                <w:kern w:val="21"/>
              </w:rPr>
              <w:t>生产车间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Merge w:val="continue"/>
            <w:vAlign w:val="center"/>
          </w:tcPr>
          <w:p>
            <w:pPr>
              <w:adjustRightInd w:val="0"/>
              <w:snapToGrid w:val="0"/>
              <w:jc w:val="center"/>
              <w:rPr>
                <w:color w:val="auto"/>
                <w:kern w:val="21"/>
              </w:rPr>
            </w:pPr>
          </w:p>
        </w:tc>
        <w:tc>
          <w:tcPr>
            <w:tcW w:w="2126" w:type="dxa"/>
            <w:vAlign w:val="center"/>
          </w:tcPr>
          <w:p>
            <w:pPr>
              <w:adjustRightInd w:val="0"/>
              <w:snapToGrid w:val="0"/>
              <w:jc w:val="center"/>
              <w:rPr>
                <w:color w:val="auto"/>
                <w:kern w:val="21"/>
              </w:rPr>
            </w:pPr>
            <w:r>
              <w:rPr>
                <w:color w:val="auto"/>
                <w:kern w:val="21"/>
              </w:rPr>
              <w:t>消防废水通过雨水管进入附近水体</w:t>
            </w:r>
          </w:p>
        </w:tc>
        <w:tc>
          <w:tcPr>
            <w:tcW w:w="2527" w:type="dxa"/>
            <w:vAlign w:val="center"/>
          </w:tcPr>
          <w:p>
            <w:pPr>
              <w:adjustRightInd w:val="0"/>
              <w:snapToGrid w:val="0"/>
              <w:jc w:val="center"/>
              <w:rPr>
                <w:color w:val="auto"/>
                <w:kern w:val="21"/>
              </w:rPr>
            </w:pPr>
            <w:r>
              <w:rPr>
                <w:color w:val="auto"/>
                <w:kern w:val="21"/>
              </w:rPr>
              <w:t>造成附近河流水质恶化，影响水生环境</w:t>
            </w:r>
          </w:p>
        </w:tc>
        <w:tc>
          <w:tcPr>
            <w:tcW w:w="1725" w:type="dxa"/>
            <w:vAlign w:val="center"/>
          </w:tcPr>
          <w:p>
            <w:pPr>
              <w:adjustRightInd w:val="0"/>
              <w:snapToGrid w:val="0"/>
              <w:jc w:val="center"/>
              <w:rPr>
                <w:color w:val="auto"/>
                <w:kern w:val="21"/>
              </w:rPr>
            </w:pPr>
            <w:r>
              <w:rPr>
                <w:color w:val="auto"/>
                <w:kern w:val="21"/>
              </w:rPr>
              <w:t>生产车间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Merge w:val="restart"/>
            <w:vAlign w:val="center"/>
          </w:tcPr>
          <w:p>
            <w:pPr>
              <w:adjustRightInd w:val="0"/>
              <w:snapToGrid w:val="0"/>
              <w:jc w:val="center"/>
              <w:rPr>
                <w:color w:val="auto"/>
                <w:kern w:val="21"/>
              </w:rPr>
            </w:pPr>
            <w:r>
              <w:rPr>
                <w:color w:val="auto"/>
                <w:kern w:val="21"/>
              </w:rPr>
              <w:t>事故排放</w:t>
            </w:r>
          </w:p>
        </w:tc>
        <w:tc>
          <w:tcPr>
            <w:tcW w:w="2126" w:type="dxa"/>
            <w:vAlign w:val="center"/>
          </w:tcPr>
          <w:p>
            <w:pPr>
              <w:adjustRightInd w:val="0"/>
              <w:snapToGrid w:val="0"/>
              <w:jc w:val="center"/>
              <w:rPr>
                <w:color w:val="auto"/>
                <w:kern w:val="21"/>
              </w:rPr>
            </w:pPr>
            <w:r>
              <w:rPr>
                <w:color w:val="auto"/>
                <w:kern w:val="21"/>
              </w:rPr>
              <w:t>废气事故排放</w:t>
            </w:r>
          </w:p>
        </w:tc>
        <w:tc>
          <w:tcPr>
            <w:tcW w:w="2527" w:type="dxa"/>
            <w:vAlign w:val="center"/>
          </w:tcPr>
          <w:p>
            <w:pPr>
              <w:adjustRightInd w:val="0"/>
              <w:snapToGrid w:val="0"/>
              <w:jc w:val="center"/>
              <w:rPr>
                <w:color w:val="auto"/>
                <w:kern w:val="21"/>
              </w:rPr>
            </w:pPr>
            <w:r>
              <w:rPr>
                <w:color w:val="auto"/>
                <w:kern w:val="21"/>
              </w:rPr>
              <w:t>对周围大气环境造成影响</w:t>
            </w:r>
          </w:p>
        </w:tc>
        <w:tc>
          <w:tcPr>
            <w:tcW w:w="1725" w:type="dxa"/>
            <w:vAlign w:val="center"/>
          </w:tcPr>
          <w:p>
            <w:pPr>
              <w:adjustRightInd w:val="0"/>
              <w:snapToGrid w:val="0"/>
              <w:jc w:val="center"/>
              <w:rPr>
                <w:color w:val="auto"/>
                <w:kern w:val="21"/>
              </w:rPr>
            </w:pPr>
            <w:r>
              <w:rPr>
                <w:color w:val="auto"/>
                <w:kern w:val="21"/>
              </w:rPr>
              <w:t>车间废气排放口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26" w:type="dxa"/>
            <w:vMerge w:val="continue"/>
            <w:vAlign w:val="center"/>
          </w:tcPr>
          <w:p>
            <w:pPr>
              <w:adjustRightInd w:val="0"/>
              <w:snapToGrid w:val="0"/>
              <w:jc w:val="center"/>
              <w:rPr>
                <w:color w:val="auto"/>
                <w:kern w:val="21"/>
              </w:rPr>
            </w:pPr>
          </w:p>
        </w:tc>
        <w:tc>
          <w:tcPr>
            <w:tcW w:w="2126" w:type="dxa"/>
            <w:vAlign w:val="center"/>
          </w:tcPr>
          <w:p>
            <w:pPr>
              <w:adjustRightInd w:val="0"/>
              <w:snapToGrid w:val="0"/>
              <w:jc w:val="center"/>
              <w:rPr>
                <w:color w:val="auto"/>
                <w:kern w:val="21"/>
              </w:rPr>
            </w:pPr>
            <w:r>
              <w:rPr>
                <w:color w:val="auto"/>
                <w:kern w:val="21"/>
              </w:rPr>
              <w:t>废水事故排放</w:t>
            </w:r>
          </w:p>
        </w:tc>
        <w:tc>
          <w:tcPr>
            <w:tcW w:w="2527" w:type="dxa"/>
            <w:vAlign w:val="center"/>
          </w:tcPr>
          <w:p>
            <w:pPr>
              <w:adjustRightInd w:val="0"/>
              <w:snapToGrid w:val="0"/>
              <w:jc w:val="center"/>
              <w:rPr>
                <w:color w:val="auto"/>
                <w:kern w:val="21"/>
              </w:rPr>
            </w:pPr>
            <w:r>
              <w:rPr>
                <w:color w:val="auto"/>
                <w:kern w:val="21"/>
              </w:rPr>
              <w:t>对附近河流造成影响</w:t>
            </w:r>
          </w:p>
        </w:tc>
        <w:tc>
          <w:tcPr>
            <w:tcW w:w="1725" w:type="dxa"/>
            <w:vAlign w:val="center"/>
          </w:tcPr>
          <w:p>
            <w:pPr>
              <w:adjustRightInd w:val="0"/>
              <w:snapToGrid w:val="0"/>
              <w:jc w:val="center"/>
              <w:rPr>
                <w:color w:val="auto"/>
                <w:kern w:val="21"/>
              </w:rPr>
            </w:pPr>
            <w:r>
              <w:rPr>
                <w:color w:val="auto"/>
                <w:kern w:val="21"/>
              </w:rPr>
              <w:t>厂区内污水处理设施</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64" w:name="_Toc112338959"/>
      <w:bookmarkStart w:id="365" w:name="_Toc9775"/>
      <w:r>
        <w:rPr>
          <w:bCs w:val="0"/>
          <w:color w:val="auto"/>
          <w:kern w:val="0"/>
          <w:szCs w:val="20"/>
          <w:lang w:val="en-US"/>
        </w:rPr>
        <w:t>6.5源项分析和最大可信事故</w:t>
      </w:r>
      <w:bookmarkEnd w:id="364"/>
      <w:bookmarkEnd w:id="365"/>
    </w:p>
    <w:p>
      <w:pPr>
        <w:adjustRightInd w:val="0"/>
        <w:snapToGrid w:val="0"/>
        <w:spacing w:line="360" w:lineRule="auto"/>
        <w:rPr>
          <w:rFonts w:eastAsia="黑体"/>
          <w:b/>
          <w:bCs/>
          <w:color w:val="auto"/>
          <w:kern w:val="21"/>
          <w:sz w:val="28"/>
          <w:szCs w:val="28"/>
          <w:u w:val="single"/>
        </w:rPr>
      </w:pPr>
      <w:r>
        <w:rPr>
          <w:rFonts w:eastAsia="黑体"/>
          <w:b/>
          <w:bCs/>
          <w:color w:val="auto"/>
          <w:kern w:val="21"/>
          <w:sz w:val="28"/>
          <w:szCs w:val="28"/>
          <w:u w:val="single"/>
        </w:rPr>
        <w:t xml:space="preserve">6.5.1源项分析 </w:t>
      </w:r>
    </w:p>
    <w:p>
      <w:pPr>
        <w:adjustRightInd w:val="0"/>
        <w:snapToGrid w:val="0"/>
        <w:spacing w:line="360" w:lineRule="auto"/>
        <w:ind w:firstLine="482" w:firstLineChars="200"/>
        <w:rPr>
          <w:rFonts w:hint="eastAsia" w:eastAsia="宋体"/>
          <w:b/>
          <w:bCs/>
          <w:color w:val="auto"/>
          <w:kern w:val="21"/>
          <w:sz w:val="24"/>
          <w:u w:val="single"/>
          <w:lang w:eastAsia="zh-CN"/>
        </w:rPr>
      </w:pPr>
      <w:r>
        <w:rPr>
          <w:b/>
          <w:bCs/>
          <w:color w:val="auto"/>
          <w:kern w:val="21"/>
          <w:sz w:val="24"/>
          <w:u w:val="single"/>
        </w:rPr>
        <w:t>通过前面物质风险识别、生产设施风险识别和重大危险源识别，本项目主要的事故类型为</w:t>
      </w:r>
      <w:r>
        <w:rPr>
          <w:rFonts w:hint="eastAsia"/>
          <w:b/>
          <w:bCs/>
          <w:color w:val="auto"/>
          <w:kern w:val="21"/>
          <w:sz w:val="24"/>
          <w:u w:val="single"/>
          <w:lang w:eastAsia="zh-CN"/>
        </w:rPr>
        <w:t>盐酸等</w:t>
      </w:r>
      <w:r>
        <w:rPr>
          <w:b/>
          <w:bCs/>
          <w:color w:val="auto"/>
          <w:kern w:val="21"/>
          <w:sz w:val="24"/>
          <w:u w:val="single"/>
        </w:rPr>
        <w:t>化学品泄漏和火灾爆炸。主要的环境风险包括附近水体和大气的环境：</w:t>
      </w:r>
    </w:p>
    <w:p>
      <w:pPr>
        <w:adjustRightInd w:val="0"/>
        <w:snapToGrid w:val="0"/>
        <w:spacing w:line="360" w:lineRule="auto"/>
        <w:ind w:firstLine="482" w:firstLineChars="200"/>
        <w:rPr>
          <w:b/>
          <w:bCs/>
          <w:color w:val="auto"/>
          <w:kern w:val="21"/>
          <w:sz w:val="24"/>
          <w:u w:val="single"/>
        </w:rPr>
      </w:pPr>
      <w:r>
        <w:rPr>
          <w:b/>
          <w:bCs/>
          <w:color w:val="auto"/>
          <w:kern w:val="21"/>
          <w:sz w:val="24"/>
          <w:u w:val="single"/>
        </w:rPr>
        <w:t>（1）生产车间、仓库</w:t>
      </w:r>
      <w:r>
        <w:rPr>
          <w:rFonts w:hint="eastAsia"/>
          <w:b/>
          <w:bCs/>
          <w:color w:val="auto"/>
          <w:kern w:val="21"/>
          <w:sz w:val="24"/>
          <w:u w:val="single"/>
          <w:lang w:eastAsia="zh-CN"/>
        </w:rPr>
        <w:t>、</w:t>
      </w:r>
      <w:r>
        <w:rPr>
          <w:b/>
          <w:bCs/>
          <w:color w:val="auto"/>
          <w:kern w:val="21"/>
          <w:sz w:val="24"/>
          <w:u w:val="single"/>
        </w:rPr>
        <w:t>危废暂存间</w:t>
      </w:r>
      <w:r>
        <w:rPr>
          <w:rFonts w:hint="eastAsia"/>
          <w:b/>
          <w:bCs/>
          <w:color w:val="auto"/>
          <w:kern w:val="21"/>
          <w:sz w:val="24"/>
          <w:u w:val="single"/>
          <w:lang w:eastAsia="zh-CN"/>
        </w:rPr>
        <w:t>及盐酸</w:t>
      </w:r>
      <w:r>
        <w:rPr>
          <w:b/>
          <w:bCs/>
          <w:color w:val="auto"/>
          <w:kern w:val="21"/>
          <w:sz w:val="24"/>
          <w:u w:val="single"/>
        </w:rPr>
        <w:t>泄漏</w:t>
      </w:r>
      <w:r>
        <w:rPr>
          <w:rFonts w:hint="eastAsia"/>
          <w:b/>
          <w:bCs/>
          <w:color w:val="auto"/>
          <w:kern w:val="21"/>
          <w:sz w:val="24"/>
          <w:u w:val="single"/>
          <w:lang w:eastAsia="zh-CN"/>
        </w:rPr>
        <w:t>等危险</w:t>
      </w:r>
      <w:r>
        <w:rPr>
          <w:b/>
          <w:bCs/>
          <w:color w:val="auto"/>
          <w:kern w:val="21"/>
          <w:sz w:val="24"/>
          <w:u w:val="single"/>
        </w:rPr>
        <w:t>化学品通过雨水管进入附近水体，火灾爆炸事故次生灾害造成含化学品的消防废水通过雨水管进入附近水体，泄漏化学品通过污水管进入污水处理厂</w:t>
      </w:r>
      <w:r>
        <w:rPr>
          <w:rFonts w:hint="eastAsia"/>
          <w:b/>
          <w:bCs/>
          <w:color w:val="auto"/>
          <w:kern w:val="21"/>
          <w:sz w:val="24"/>
          <w:u w:val="single"/>
          <w:lang w:eastAsia="zh-CN"/>
        </w:rPr>
        <w:t>，</w:t>
      </w:r>
      <w:r>
        <w:rPr>
          <w:b/>
          <w:bCs/>
          <w:color w:val="auto"/>
          <w:kern w:val="21"/>
          <w:sz w:val="24"/>
          <w:u w:val="single"/>
        </w:rPr>
        <w:t xml:space="preserve">对污水处理厂运行造成冲击； </w:t>
      </w:r>
    </w:p>
    <w:p>
      <w:pPr>
        <w:adjustRightInd w:val="0"/>
        <w:snapToGrid w:val="0"/>
        <w:spacing w:line="360" w:lineRule="auto"/>
        <w:ind w:firstLine="482" w:firstLineChars="200"/>
        <w:rPr>
          <w:b/>
          <w:bCs/>
          <w:color w:val="auto"/>
          <w:kern w:val="21"/>
          <w:sz w:val="24"/>
          <w:u w:val="single"/>
        </w:rPr>
      </w:pPr>
      <w:r>
        <w:rPr>
          <w:b/>
          <w:bCs/>
          <w:color w:val="auto"/>
          <w:kern w:val="21"/>
          <w:sz w:val="24"/>
          <w:u w:val="single"/>
        </w:rPr>
        <w:t xml:space="preserve">（2）发生火灾爆炸产生烟尘和污染物进入大气，生产车间废气排放口事故排放污染物，可能对周围环境大气质量和人群健康造成危害；厂区污水处理设施发生故障事故排放污染物，可能对周围河流水质造成影响；天然气管道发生破损造成泄漏、火灾、爆炸事故。 </w:t>
      </w:r>
    </w:p>
    <w:p>
      <w:pPr>
        <w:adjustRightInd w:val="0"/>
        <w:snapToGrid w:val="0"/>
        <w:spacing w:line="360" w:lineRule="auto"/>
        <w:rPr>
          <w:rFonts w:eastAsia="黑体"/>
          <w:color w:val="auto"/>
          <w:kern w:val="21"/>
          <w:sz w:val="28"/>
          <w:szCs w:val="28"/>
        </w:rPr>
      </w:pPr>
      <w:r>
        <w:rPr>
          <w:rFonts w:eastAsia="黑体"/>
          <w:color w:val="auto"/>
          <w:kern w:val="21"/>
          <w:sz w:val="28"/>
          <w:szCs w:val="28"/>
        </w:rPr>
        <w:t>6.5.2事故发生概率</w:t>
      </w:r>
    </w:p>
    <w:p>
      <w:pPr>
        <w:adjustRightInd w:val="0"/>
        <w:snapToGrid w:val="0"/>
        <w:spacing w:line="360" w:lineRule="auto"/>
        <w:ind w:firstLine="480" w:firstLineChars="200"/>
        <w:rPr>
          <w:color w:val="auto"/>
          <w:kern w:val="21"/>
          <w:sz w:val="24"/>
        </w:rPr>
      </w:pPr>
      <w:r>
        <w:rPr>
          <w:color w:val="auto"/>
          <w:kern w:val="21"/>
          <w:sz w:val="24"/>
        </w:rPr>
        <w:t>本次风险评价采用</w:t>
      </w:r>
      <w:r>
        <w:rPr>
          <w:color w:val="auto"/>
          <w:kern w:val="21"/>
          <w:sz w:val="24"/>
          <w:szCs w:val="24"/>
        </w:rPr>
        <w:t>《建设项目环境影响评价导则  环境风险》（HJ169-2018）附录E的泄漏频率推荐值</w:t>
      </w:r>
      <w:r>
        <w:rPr>
          <w:color w:val="auto"/>
          <w:kern w:val="21"/>
          <w:sz w:val="24"/>
        </w:rPr>
        <w:t>计算生产装置最大事故概率。</w:t>
      </w:r>
    </w:p>
    <w:p>
      <w:pPr>
        <w:adjustRightInd w:val="0"/>
        <w:snapToGrid w:val="0"/>
        <w:jc w:val="center"/>
        <w:rPr>
          <w:rFonts w:eastAsia="黑体"/>
          <w:color w:val="auto"/>
          <w:kern w:val="21"/>
          <w:sz w:val="24"/>
        </w:rPr>
      </w:pPr>
      <w:r>
        <w:rPr>
          <w:rFonts w:eastAsia="黑体"/>
          <w:color w:val="auto"/>
          <w:kern w:val="21"/>
          <w:sz w:val="24"/>
        </w:rPr>
        <w:t>表6.5-1</w:t>
      </w:r>
      <w:r>
        <w:rPr>
          <w:rFonts w:eastAsia="黑体"/>
          <w:bCs/>
          <w:color w:val="auto"/>
          <w:kern w:val="21"/>
          <w:sz w:val="24"/>
        </w:rPr>
        <w:t xml:space="preserve">  </w:t>
      </w:r>
      <w:r>
        <w:rPr>
          <w:rFonts w:eastAsia="黑体"/>
          <w:color w:val="auto"/>
          <w:kern w:val="21"/>
          <w:sz w:val="24"/>
        </w:rPr>
        <w:t>泄漏频率统计表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7"/>
        <w:gridCol w:w="2859"/>
        <w:gridCol w:w="2673"/>
        <w:gridCol w:w="2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Align w:val="center"/>
          </w:tcPr>
          <w:p>
            <w:pPr>
              <w:adjustRightInd w:val="0"/>
              <w:snapToGrid w:val="0"/>
              <w:jc w:val="center"/>
              <w:rPr>
                <w:b/>
                <w:bCs/>
                <w:snapToGrid w:val="0"/>
                <w:color w:val="auto"/>
                <w:kern w:val="21"/>
                <w:u w:val="single"/>
              </w:rPr>
            </w:pPr>
            <w:r>
              <w:rPr>
                <w:b/>
                <w:bCs/>
                <w:snapToGrid w:val="0"/>
                <w:color w:val="auto"/>
                <w:kern w:val="21"/>
                <w:u w:val="single"/>
              </w:rPr>
              <w:t>序号</w:t>
            </w:r>
          </w:p>
        </w:tc>
        <w:tc>
          <w:tcPr>
            <w:tcW w:w="2859" w:type="dxa"/>
            <w:vAlign w:val="center"/>
          </w:tcPr>
          <w:p>
            <w:pPr>
              <w:adjustRightInd w:val="0"/>
              <w:snapToGrid w:val="0"/>
              <w:jc w:val="center"/>
              <w:rPr>
                <w:b/>
                <w:bCs/>
                <w:snapToGrid w:val="0"/>
                <w:color w:val="auto"/>
                <w:kern w:val="21"/>
                <w:u w:val="single"/>
              </w:rPr>
            </w:pPr>
            <w:r>
              <w:rPr>
                <w:b/>
                <w:bCs/>
                <w:snapToGrid w:val="0"/>
                <w:color w:val="auto"/>
                <w:kern w:val="21"/>
                <w:u w:val="single"/>
              </w:rPr>
              <w:t>设备、部件类型</w:t>
            </w:r>
          </w:p>
        </w:tc>
        <w:tc>
          <w:tcPr>
            <w:tcW w:w="2673" w:type="dxa"/>
            <w:vAlign w:val="center"/>
          </w:tcPr>
          <w:p>
            <w:pPr>
              <w:adjustRightInd w:val="0"/>
              <w:snapToGrid w:val="0"/>
              <w:jc w:val="center"/>
              <w:rPr>
                <w:b/>
                <w:bCs/>
                <w:snapToGrid w:val="0"/>
                <w:color w:val="auto"/>
                <w:kern w:val="21"/>
                <w:u w:val="single"/>
              </w:rPr>
            </w:pPr>
            <w:r>
              <w:rPr>
                <w:b/>
                <w:bCs/>
                <w:snapToGrid w:val="0"/>
                <w:color w:val="auto"/>
                <w:kern w:val="21"/>
                <w:u w:val="single"/>
              </w:rPr>
              <w:t>泄漏模式</w:t>
            </w:r>
          </w:p>
        </w:tc>
        <w:tc>
          <w:tcPr>
            <w:tcW w:w="2145" w:type="dxa"/>
            <w:vAlign w:val="center"/>
          </w:tcPr>
          <w:p>
            <w:pPr>
              <w:adjustRightInd w:val="0"/>
              <w:snapToGrid w:val="0"/>
              <w:jc w:val="center"/>
              <w:rPr>
                <w:b/>
                <w:bCs/>
                <w:snapToGrid w:val="0"/>
                <w:color w:val="auto"/>
                <w:kern w:val="21"/>
                <w:u w:val="single"/>
              </w:rPr>
            </w:pPr>
            <w:r>
              <w:rPr>
                <w:b/>
                <w:bCs/>
                <w:snapToGrid w:val="0"/>
                <w:color w:val="auto"/>
                <w:kern w:val="21"/>
                <w:u w:val="single"/>
              </w:rPr>
              <w:t>泄漏频率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w:t>
            </w:r>
          </w:p>
        </w:tc>
        <w:tc>
          <w:tcPr>
            <w:tcW w:w="2859" w:type="dxa"/>
            <w:vMerge w:val="restart"/>
            <w:vAlign w:val="center"/>
          </w:tcPr>
          <w:p>
            <w:pPr>
              <w:adjustRightInd w:val="0"/>
              <w:snapToGrid w:val="0"/>
              <w:jc w:val="center"/>
              <w:rPr>
                <w:snapToGrid w:val="0"/>
                <w:color w:val="auto"/>
                <w:kern w:val="21"/>
              </w:rPr>
            </w:pPr>
            <w:r>
              <w:rPr>
                <w:snapToGrid w:val="0"/>
                <w:color w:val="auto"/>
                <w:kern w:val="21"/>
              </w:rPr>
              <w:t>反应器/工艺储罐/气体储罐/塔器</w:t>
            </w:r>
          </w:p>
        </w:tc>
        <w:tc>
          <w:tcPr>
            <w:tcW w:w="2673" w:type="dxa"/>
            <w:vAlign w:val="center"/>
          </w:tcPr>
          <w:p>
            <w:pPr>
              <w:adjustRightInd w:val="0"/>
              <w:snapToGrid w:val="0"/>
              <w:jc w:val="center"/>
              <w:rPr>
                <w:snapToGrid w:val="0"/>
                <w:color w:val="auto"/>
                <w:kern w:val="21"/>
              </w:rPr>
            </w:pPr>
            <w:r>
              <w:rPr>
                <w:snapToGrid w:val="0"/>
                <w:color w:val="auto"/>
                <w:kern w:val="21"/>
              </w:rPr>
              <w:t>泄漏孔径为10mm孔径</w:t>
            </w:r>
          </w:p>
        </w:tc>
        <w:tc>
          <w:tcPr>
            <w:tcW w:w="2145" w:type="dxa"/>
            <w:vAlign w:val="center"/>
          </w:tcPr>
          <w:p>
            <w:pPr>
              <w:adjustRightInd w:val="0"/>
              <w:snapToGrid w:val="0"/>
              <w:jc w:val="center"/>
              <w:rPr>
                <w:snapToGrid w:val="0"/>
                <w:color w:val="auto"/>
                <w:kern w:val="21"/>
              </w:rPr>
            </w:pPr>
            <w:r>
              <w:rPr>
                <w:snapToGrid w:val="0"/>
                <w:color w:val="auto"/>
                <w:kern w:val="21"/>
              </w:rPr>
              <w:t>1.00×10</w:t>
            </w:r>
            <w:r>
              <w:rPr>
                <w:snapToGrid w:val="0"/>
                <w:color w:val="auto"/>
                <w:kern w:val="21"/>
                <w:vertAlign w:val="superscript"/>
              </w:rPr>
              <w:t>-4</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snapToGrid w:val="0"/>
                <w:color w:val="auto"/>
                <w:kern w:val="21"/>
              </w:rPr>
            </w:pPr>
            <w:r>
              <w:rPr>
                <w:snapToGrid w:val="0"/>
                <w:color w:val="auto"/>
                <w:kern w:val="21"/>
              </w:rPr>
              <w:t>10min内储罐泄漏完</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5.00×10</w:t>
            </w:r>
            <w:r>
              <w:rPr>
                <w:snapToGrid w:val="0"/>
                <w:color w:val="auto"/>
                <w:kern w:val="21"/>
                <w:vertAlign w:val="superscript"/>
              </w:rPr>
              <w:t>-6</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snapToGrid w:val="0"/>
                <w:color w:val="auto"/>
                <w:kern w:val="21"/>
              </w:rPr>
            </w:pPr>
            <w:r>
              <w:rPr>
                <w:snapToGrid w:val="0"/>
                <w:color w:val="auto"/>
                <w:kern w:val="21"/>
              </w:rPr>
              <w:t>储罐完全破裂</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5.00×10</w:t>
            </w:r>
            <w:r>
              <w:rPr>
                <w:snapToGrid w:val="0"/>
                <w:color w:val="auto"/>
                <w:kern w:val="21"/>
                <w:vertAlign w:val="superscript"/>
              </w:rPr>
              <w:t>-6</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2</w:t>
            </w:r>
          </w:p>
        </w:tc>
        <w:tc>
          <w:tcPr>
            <w:tcW w:w="2859" w:type="dxa"/>
            <w:vMerge w:val="restart"/>
            <w:vAlign w:val="center"/>
          </w:tcPr>
          <w:p>
            <w:pPr>
              <w:adjustRightInd w:val="0"/>
              <w:snapToGrid w:val="0"/>
              <w:jc w:val="center"/>
              <w:rPr>
                <w:snapToGrid w:val="0"/>
                <w:color w:val="auto"/>
                <w:kern w:val="21"/>
              </w:rPr>
            </w:pPr>
            <w:r>
              <w:rPr>
                <w:snapToGrid w:val="0"/>
                <w:color w:val="auto"/>
                <w:kern w:val="21"/>
              </w:rPr>
              <w:t>常压单包容储罐</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泄漏孔径为10mm孔径</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1.00×10</w:t>
            </w:r>
            <w:r>
              <w:rPr>
                <w:snapToGrid w:val="0"/>
                <w:color w:val="auto"/>
                <w:kern w:val="21"/>
                <w:vertAlign w:val="superscript"/>
              </w:rPr>
              <w:t>-4</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10min内储罐泄漏完</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5.00×10</w:t>
            </w:r>
            <w:r>
              <w:rPr>
                <w:snapToGrid w:val="0"/>
                <w:color w:val="auto"/>
                <w:kern w:val="21"/>
                <w:vertAlign w:val="superscript"/>
              </w:rPr>
              <w:t>-6</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储罐完全破裂</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5.00×10</w:t>
            </w:r>
            <w:r>
              <w:rPr>
                <w:snapToGrid w:val="0"/>
                <w:color w:val="auto"/>
                <w:kern w:val="21"/>
                <w:vertAlign w:val="superscript"/>
              </w:rPr>
              <w:t>-6</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3</w:t>
            </w:r>
          </w:p>
        </w:tc>
        <w:tc>
          <w:tcPr>
            <w:tcW w:w="2859" w:type="dxa"/>
            <w:vMerge w:val="restart"/>
            <w:vAlign w:val="center"/>
          </w:tcPr>
          <w:p>
            <w:pPr>
              <w:adjustRightInd w:val="0"/>
              <w:snapToGrid w:val="0"/>
              <w:jc w:val="center"/>
              <w:rPr>
                <w:snapToGrid w:val="0"/>
                <w:color w:val="auto"/>
                <w:kern w:val="21"/>
              </w:rPr>
            </w:pPr>
            <w:r>
              <w:rPr>
                <w:snapToGrid w:val="0"/>
                <w:color w:val="auto"/>
                <w:kern w:val="21"/>
              </w:rPr>
              <w:t>常压双包容储罐</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泄漏孔径为10mm孔径</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1.00×10</w:t>
            </w:r>
            <w:r>
              <w:rPr>
                <w:snapToGrid w:val="0"/>
                <w:color w:val="auto"/>
                <w:kern w:val="21"/>
                <w:vertAlign w:val="superscript"/>
              </w:rPr>
              <w:t>-4</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10min内储罐泄漏完</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1.25×10</w:t>
            </w:r>
            <w:r>
              <w:rPr>
                <w:snapToGrid w:val="0"/>
                <w:color w:val="auto"/>
                <w:kern w:val="21"/>
                <w:vertAlign w:val="superscript"/>
              </w:rPr>
              <w:t>-8</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储罐完全破裂</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1.25×10</w:t>
            </w:r>
            <w:r>
              <w:rPr>
                <w:snapToGrid w:val="0"/>
                <w:color w:val="auto"/>
                <w:kern w:val="21"/>
                <w:vertAlign w:val="superscript"/>
              </w:rPr>
              <w:t>-8</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4</w:t>
            </w:r>
          </w:p>
        </w:tc>
        <w:tc>
          <w:tcPr>
            <w:tcW w:w="2859" w:type="dxa"/>
            <w:vAlign w:val="center"/>
          </w:tcPr>
          <w:p>
            <w:pPr>
              <w:adjustRightInd w:val="0"/>
              <w:snapToGrid w:val="0"/>
              <w:jc w:val="center"/>
              <w:rPr>
                <w:snapToGrid w:val="0"/>
                <w:color w:val="auto"/>
                <w:kern w:val="21"/>
              </w:rPr>
            </w:pPr>
            <w:r>
              <w:rPr>
                <w:snapToGrid w:val="0"/>
                <w:color w:val="auto"/>
                <w:kern w:val="21"/>
              </w:rPr>
              <w:t>常压全包容储罐</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储罐完全破裂</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1.00×10</w:t>
            </w:r>
            <w:r>
              <w:rPr>
                <w:snapToGrid w:val="0"/>
                <w:color w:val="auto"/>
                <w:kern w:val="21"/>
                <w:vertAlign w:val="superscript"/>
              </w:rPr>
              <w:t>-8</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w:t>
            </w:r>
          </w:p>
        </w:tc>
        <w:tc>
          <w:tcPr>
            <w:tcW w:w="2859" w:type="dxa"/>
            <w:vMerge w:val="restart"/>
            <w:vAlign w:val="center"/>
          </w:tcPr>
          <w:p>
            <w:pPr>
              <w:adjustRightInd w:val="0"/>
              <w:snapToGrid w:val="0"/>
              <w:jc w:val="center"/>
              <w:rPr>
                <w:snapToGrid w:val="0"/>
                <w:color w:val="auto"/>
                <w:kern w:val="21"/>
              </w:rPr>
            </w:pPr>
            <w:r>
              <w:rPr>
                <w:snapToGrid w:val="0"/>
                <w:color w:val="auto"/>
                <w:kern w:val="21"/>
              </w:rPr>
              <w:t>内径≤75mm的管道</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泄漏孔径为10%孔径</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5.00×10</w:t>
            </w:r>
            <w:r>
              <w:rPr>
                <w:snapToGrid w:val="0"/>
                <w:color w:val="auto"/>
                <w:kern w:val="21"/>
                <w:vertAlign w:val="superscript"/>
              </w:rPr>
              <w:t>-6</w:t>
            </w:r>
            <w:r>
              <w:rPr>
                <w:snapToGrid w:val="0"/>
                <w:color w:val="auto"/>
                <w:kern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snapToGrid w:val="0"/>
                <w:color w:val="auto"/>
                <w:kern w:val="21"/>
              </w:rPr>
            </w:pPr>
            <w:r>
              <w:rPr>
                <w:snapToGrid w:val="0"/>
                <w:color w:val="auto"/>
                <w:kern w:val="21"/>
              </w:rPr>
              <w:t>全管径泄漏</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1.00×10</w:t>
            </w:r>
            <w:r>
              <w:rPr>
                <w:snapToGrid w:val="0"/>
                <w:color w:val="auto"/>
                <w:kern w:val="21"/>
                <w:vertAlign w:val="superscript"/>
              </w:rPr>
              <w:t>-6</w:t>
            </w:r>
            <w:r>
              <w:rPr>
                <w:snapToGrid w:val="0"/>
                <w:color w:val="auto"/>
                <w:kern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6</w:t>
            </w:r>
          </w:p>
        </w:tc>
        <w:tc>
          <w:tcPr>
            <w:tcW w:w="2859" w:type="dxa"/>
            <w:vMerge w:val="restart"/>
            <w:vAlign w:val="center"/>
          </w:tcPr>
          <w:p>
            <w:pPr>
              <w:adjustRightInd w:val="0"/>
              <w:snapToGrid w:val="0"/>
              <w:jc w:val="center"/>
              <w:rPr>
                <w:snapToGrid w:val="0"/>
                <w:color w:val="auto"/>
                <w:kern w:val="21"/>
              </w:rPr>
            </w:pPr>
            <w:r>
              <w:rPr>
                <w:snapToGrid w:val="0"/>
                <w:color w:val="auto"/>
                <w:kern w:val="21"/>
              </w:rPr>
              <w:t>75mm&lt;内径≤150mm的管道</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泄漏孔径为10%孔径</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2.00×10</w:t>
            </w:r>
            <w:r>
              <w:rPr>
                <w:snapToGrid w:val="0"/>
                <w:color w:val="auto"/>
                <w:kern w:val="21"/>
                <w:vertAlign w:val="superscript"/>
              </w:rPr>
              <w:t>-6</w:t>
            </w:r>
            <w:r>
              <w:rPr>
                <w:snapToGrid w:val="0"/>
                <w:color w:val="auto"/>
                <w:kern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全管径泄漏</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3.00×10</w:t>
            </w:r>
            <w:r>
              <w:rPr>
                <w:snapToGrid w:val="0"/>
                <w:color w:val="auto"/>
                <w:kern w:val="21"/>
                <w:vertAlign w:val="superscript"/>
              </w:rPr>
              <w:t>-7</w:t>
            </w:r>
            <w:r>
              <w:rPr>
                <w:snapToGrid w:val="0"/>
                <w:color w:val="auto"/>
                <w:kern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7</w:t>
            </w:r>
          </w:p>
        </w:tc>
        <w:tc>
          <w:tcPr>
            <w:tcW w:w="2859" w:type="dxa"/>
            <w:vMerge w:val="restart"/>
            <w:vAlign w:val="center"/>
          </w:tcPr>
          <w:p>
            <w:pPr>
              <w:adjustRightInd w:val="0"/>
              <w:snapToGrid w:val="0"/>
              <w:jc w:val="center"/>
              <w:rPr>
                <w:snapToGrid w:val="0"/>
                <w:color w:val="auto"/>
                <w:kern w:val="21"/>
              </w:rPr>
            </w:pPr>
            <w:r>
              <w:rPr>
                <w:snapToGrid w:val="0"/>
                <w:color w:val="auto"/>
                <w:kern w:val="21"/>
              </w:rPr>
              <w:t>内径&gt;150mm的管道</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泄漏孔径为10%孔径（最大50mm）</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2.40×10</w:t>
            </w:r>
            <w:r>
              <w:rPr>
                <w:snapToGrid w:val="0"/>
                <w:color w:val="auto"/>
                <w:kern w:val="21"/>
                <w:vertAlign w:val="superscript"/>
              </w:rPr>
              <w:t>-6</w:t>
            </w:r>
            <w:r>
              <w:rPr>
                <w:snapToGrid w:val="0"/>
                <w:color w:val="auto"/>
                <w:kern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全管径泄漏</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1.00×10</w:t>
            </w:r>
            <w:r>
              <w:rPr>
                <w:snapToGrid w:val="0"/>
                <w:color w:val="auto"/>
                <w:kern w:val="21"/>
                <w:vertAlign w:val="superscript"/>
              </w:rPr>
              <w:t>-7</w:t>
            </w:r>
            <w:r>
              <w:rPr>
                <w:snapToGrid w:val="0"/>
                <w:color w:val="auto"/>
                <w:kern w:val="21"/>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8</w:t>
            </w:r>
          </w:p>
        </w:tc>
        <w:tc>
          <w:tcPr>
            <w:tcW w:w="2859" w:type="dxa"/>
            <w:vMerge w:val="restart"/>
            <w:vAlign w:val="center"/>
          </w:tcPr>
          <w:p>
            <w:pPr>
              <w:adjustRightInd w:val="0"/>
              <w:snapToGrid w:val="0"/>
              <w:jc w:val="center"/>
              <w:rPr>
                <w:snapToGrid w:val="0"/>
                <w:color w:val="auto"/>
                <w:kern w:val="21"/>
              </w:rPr>
            </w:pPr>
            <w:r>
              <w:rPr>
                <w:snapToGrid w:val="0"/>
                <w:color w:val="auto"/>
                <w:kern w:val="21"/>
              </w:rPr>
              <w:t>泵体和压缩机</w:t>
            </w:r>
          </w:p>
        </w:tc>
        <w:tc>
          <w:tcPr>
            <w:tcW w:w="2673" w:type="dxa"/>
            <w:vAlign w:val="center"/>
          </w:tcPr>
          <w:p>
            <w:pPr>
              <w:adjustRightInd w:val="0"/>
              <w:snapToGrid w:val="0"/>
              <w:jc w:val="center"/>
              <w:rPr>
                <w:snapToGrid w:val="0"/>
                <w:color w:val="auto"/>
                <w:kern w:val="21"/>
              </w:rPr>
            </w:pPr>
            <w:r>
              <w:rPr>
                <w:snapToGrid w:val="0"/>
                <w:color w:val="auto"/>
                <w:kern w:val="21"/>
              </w:rPr>
              <w:t>泵体和压缩机最大连接管泄漏孔径为10%孔径（最大50mm）</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5.00×10</w:t>
            </w:r>
            <w:r>
              <w:rPr>
                <w:snapToGrid w:val="0"/>
                <w:color w:val="auto"/>
                <w:kern w:val="21"/>
                <w:vertAlign w:val="superscript"/>
              </w:rPr>
              <w:t>-4</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泵体和压缩机最大连接管全管径泄漏</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1.00×10</w:t>
            </w:r>
            <w:r>
              <w:rPr>
                <w:snapToGrid w:val="0"/>
                <w:color w:val="auto"/>
                <w:kern w:val="21"/>
                <w:vertAlign w:val="superscript"/>
              </w:rPr>
              <w:t>-4</w:t>
            </w:r>
            <w:r>
              <w:rPr>
                <w:snapToGrid w:val="0"/>
                <w:color w:val="auto"/>
                <w:kern w:val="21"/>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9</w:t>
            </w:r>
          </w:p>
        </w:tc>
        <w:tc>
          <w:tcPr>
            <w:tcW w:w="2859" w:type="dxa"/>
            <w:vMerge w:val="restart"/>
            <w:vAlign w:val="center"/>
          </w:tcPr>
          <w:p>
            <w:pPr>
              <w:adjustRightInd w:val="0"/>
              <w:snapToGrid w:val="0"/>
              <w:jc w:val="center"/>
              <w:rPr>
                <w:snapToGrid w:val="0"/>
                <w:color w:val="auto"/>
                <w:kern w:val="21"/>
              </w:rPr>
            </w:pPr>
            <w:r>
              <w:rPr>
                <w:snapToGrid w:val="0"/>
                <w:color w:val="auto"/>
                <w:kern w:val="21"/>
              </w:rPr>
              <w:t>装卸臂</w:t>
            </w:r>
          </w:p>
        </w:tc>
        <w:tc>
          <w:tcPr>
            <w:tcW w:w="2673" w:type="dxa"/>
            <w:vAlign w:val="center"/>
          </w:tcPr>
          <w:p>
            <w:pPr>
              <w:adjustRightInd w:val="0"/>
              <w:snapToGrid w:val="0"/>
              <w:jc w:val="center"/>
              <w:rPr>
                <w:snapToGrid w:val="0"/>
                <w:color w:val="auto"/>
                <w:kern w:val="21"/>
              </w:rPr>
            </w:pPr>
            <w:r>
              <w:rPr>
                <w:snapToGrid w:val="0"/>
                <w:color w:val="auto"/>
                <w:kern w:val="21"/>
              </w:rPr>
              <w:t>装卸臂连接管泄漏孔径为10%孔径（最大50mm）</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3.00×10</w:t>
            </w:r>
            <w:r>
              <w:rPr>
                <w:snapToGrid w:val="0"/>
                <w:color w:val="auto"/>
                <w:kern w:val="21"/>
                <w:vertAlign w:val="superscript"/>
              </w:rPr>
              <w:t>-7</w:t>
            </w:r>
            <w:r>
              <w:rPr>
                <w:snapToGrid w:val="0"/>
                <w:color w:val="auto"/>
                <w:kern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装卸臂全管径泄漏</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3.00×10</w:t>
            </w:r>
            <w:r>
              <w:rPr>
                <w:snapToGrid w:val="0"/>
                <w:color w:val="auto"/>
                <w:kern w:val="21"/>
                <w:vertAlign w:val="superscript"/>
              </w:rPr>
              <w:t>-8</w:t>
            </w:r>
            <w:r>
              <w:rPr>
                <w:snapToGrid w:val="0"/>
                <w:color w:val="auto"/>
                <w:kern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27" w:type="dxa"/>
            <w:vMerge w:val="restart"/>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10</w:t>
            </w:r>
          </w:p>
        </w:tc>
        <w:tc>
          <w:tcPr>
            <w:tcW w:w="2859" w:type="dxa"/>
            <w:vMerge w:val="restart"/>
            <w:vAlign w:val="center"/>
          </w:tcPr>
          <w:p>
            <w:pPr>
              <w:adjustRightInd w:val="0"/>
              <w:snapToGrid w:val="0"/>
              <w:jc w:val="center"/>
              <w:rPr>
                <w:snapToGrid w:val="0"/>
                <w:color w:val="auto"/>
                <w:kern w:val="21"/>
              </w:rPr>
            </w:pPr>
            <w:r>
              <w:rPr>
                <w:snapToGrid w:val="0"/>
                <w:color w:val="auto"/>
                <w:kern w:val="21"/>
              </w:rPr>
              <w:t>装卸软管</w:t>
            </w: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装卸软管连接管泄漏孔径为10%孔径（最大50mm）</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4.00×10</w:t>
            </w:r>
            <w:r>
              <w:rPr>
                <w:snapToGrid w:val="0"/>
                <w:color w:val="auto"/>
                <w:kern w:val="21"/>
                <w:vertAlign w:val="superscript"/>
              </w:rPr>
              <w:t>-5</w:t>
            </w:r>
            <w:r>
              <w:rPr>
                <w:snapToGrid w:val="0"/>
                <w:color w:val="auto"/>
                <w:kern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27" w:type="dxa"/>
            <w:vMerge w:val="continue"/>
            <w:vAlign w:val="center"/>
          </w:tcPr>
          <w:p>
            <w:pPr>
              <w:adjustRightInd w:val="0"/>
              <w:snapToGrid w:val="0"/>
              <w:jc w:val="center"/>
              <w:rPr>
                <w:rFonts w:eastAsia="Times New Roman"/>
                <w:snapToGrid w:val="0"/>
                <w:color w:val="auto"/>
                <w:kern w:val="21"/>
              </w:rPr>
            </w:pPr>
          </w:p>
        </w:tc>
        <w:tc>
          <w:tcPr>
            <w:tcW w:w="2859" w:type="dxa"/>
            <w:vMerge w:val="continue"/>
            <w:vAlign w:val="center"/>
          </w:tcPr>
          <w:p>
            <w:pPr>
              <w:adjustRightInd w:val="0"/>
              <w:snapToGrid w:val="0"/>
              <w:jc w:val="center"/>
              <w:rPr>
                <w:snapToGrid w:val="0"/>
                <w:color w:val="auto"/>
                <w:kern w:val="21"/>
              </w:rPr>
            </w:pPr>
          </w:p>
        </w:tc>
        <w:tc>
          <w:tcPr>
            <w:tcW w:w="2673" w:type="dxa"/>
            <w:vAlign w:val="center"/>
          </w:tcPr>
          <w:p>
            <w:pPr>
              <w:adjustRightInd w:val="0"/>
              <w:snapToGrid w:val="0"/>
              <w:jc w:val="center"/>
              <w:rPr>
                <w:rFonts w:eastAsia="Times New Roman"/>
                <w:snapToGrid w:val="0"/>
                <w:color w:val="auto"/>
                <w:kern w:val="21"/>
              </w:rPr>
            </w:pPr>
            <w:r>
              <w:rPr>
                <w:snapToGrid w:val="0"/>
                <w:color w:val="auto"/>
                <w:kern w:val="21"/>
              </w:rPr>
              <w:t>装卸软管全管径泄漏</w:t>
            </w:r>
          </w:p>
        </w:tc>
        <w:tc>
          <w:tcPr>
            <w:tcW w:w="2145" w:type="dxa"/>
            <w:vAlign w:val="center"/>
          </w:tcPr>
          <w:p>
            <w:pPr>
              <w:adjustRightInd w:val="0"/>
              <w:snapToGrid w:val="0"/>
              <w:jc w:val="center"/>
              <w:rPr>
                <w:rFonts w:eastAsia="Times New Roman"/>
                <w:snapToGrid w:val="0"/>
                <w:color w:val="auto"/>
                <w:kern w:val="21"/>
              </w:rPr>
            </w:pPr>
            <w:r>
              <w:rPr>
                <w:snapToGrid w:val="0"/>
                <w:color w:val="auto"/>
                <w:kern w:val="21"/>
              </w:rPr>
              <w:t>4.00×10</w:t>
            </w:r>
            <w:r>
              <w:rPr>
                <w:snapToGrid w:val="0"/>
                <w:color w:val="auto"/>
                <w:kern w:val="21"/>
                <w:vertAlign w:val="superscript"/>
              </w:rPr>
              <w:t>-6</w:t>
            </w:r>
            <w:r>
              <w:rPr>
                <w:snapToGrid w:val="0"/>
                <w:color w:val="auto"/>
                <w:kern w:val="21"/>
              </w:rPr>
              <w:t>/h</w:t>
            </w:r>
          </w:p>
        </w:tc>
      </w:tr>
    </w:tbl>
    <w:p>
      <w:pPr>
        <w:adjustRightInd w:val="0"/>
        <w:snapToGrid w:val="0"/>
        <w:ind w:firstLine="540"/>
        <w:rPr>
          <w:color w:val="auto"/>
          <w:kern w:val="21"/>
          <w:sz w:val="23"/>
        </w:rPr>
      </w:pPr>
    </w:p>
    <w:p>
      <w:pPr>
        <w:adjustRightInd w:val="0"/>
        <w:snapToGrid w:val="0"/>
        <w:spacing w:line="360" w:lineRule="auto"/>
        <w:ind w:firstLine="480" w:firstLineChars="200"/>
        <w:rPr>
          <w:color w:val="auto"/>
          <w:kern w:val="21"/>
          <w:sz w:val="23"/>
        </w:rPr>
      </w:pPr>
      <w:r>
        <w:rPr>
          <w:color w:val="auto"/>
          <w:kern w:val="21"/>
          <w:sz w:val="24"/>
        </w:rPr>
        <w:t>对照表6.5-1可知，本项目涉及反应器/工艺储罐/气体储罐/塔器、常压单包容储罐，最大事故概率</w:t>
      </w:r>
      <w:r>
        <w:rPr>
          <w:color w:val="auto"/>
          <w:kern w:val="21"/>
          <w:sz w:val="23"/>
        </w:rPr>
        <w:t>为</w:t>
      </w:r>
      <w:r>
        <w:rPr>
          <w:snapToGrid w:val="0"/>
          <w:color w:val="auto"/>
          <w:kern w:val="21"/>
          <w:sz w:val="24"/>
          <w:szCs w:val="24"/>
        </w:rPr>
        <w:t>1.00×10</w:t>
      </w:r>
      <w:r>
        <w:rPr>
          <w:snapToGrid w:val="0"/>
          <w:color w:val="auto"/>
          <w:kern w:val="21"/>
          <w:sz w:val="24"/>
          <w:szCs w:val="24"/>
          <w:vertAlign w:val="superscript"/>
        </w:rPr>
        <w:t>-4</w:t>
      </w:r>
      <w:r>
        <w:rPr>
          <w:snapToGrid w:val="0"/>
          <w:color w:val="auto"/>
          <w:kern w:val="21"/>
          <w:sz w:val="24"/>
          <w:szCs w:val="24"/>
        </w:rPr>
        <w:t>/a，最小事故概率为5.00×10</w:t>
      </w:r>
      <w:r>
        <w:rPr>
          <w:snapToGrid w:val="0"/>
          <w:color w:val="auto"/>
          <w:kern w:val="21"/>
          <w:sz w:val="24"/>
          <w:szCs w:val="24"/>
          <w:vertAlign w:val="superscript"/>
        </w:rPr>
        <w:t>-6</w:t>
      </w:r>
      <w:r>
        <w:rPr>
          <w:snapToGrid w:val="0"/>
          <w:color w:val="auto"/>
          <w:kern w:val="21"/>
          <w:sz w:val="24"/>
          <w:szCs w:val="24"/>
        </w:rPr>
        <w:t>/a。</w:t>
      </w:r>
    </w:p>
    <w:p>
      <w:pPr>
        <w:adjustRightInd w:val="0"/>
        <w:snapToGrid w:val="0"/>
        <w:spacing w:line="360" w:lineRule="auto"/>
        <w:ind w:firstLine="480" w:firstLineChars="200"/>
        <w:rPr>
          <w:color w:val="auto"/>
          <w:kern w:val="21"/>
          <w:sz w:val="24"/>
        </w:rPr>
      </w:pPr>
      <w:r>
        <w:rPr>
          <w:color w:val="auto"/>
          <w:kern w:val="21"/>
          <w:sz w:val="24"/>
        </w:rPr>
        <w:t xml:space="preserve">国内外对化工、核电站、石油、天然气工业操作失误率的统计，结合本项目，并考虑技术进步、管理水平提高因素，提出的人员操作失误率列入表6.5-2。 </w:t>
      </w:r>
    </w:p>
    <w:p>
      <w:pPr>
        <w:adjustRightInd w:val="0"/>
        <w:snapToGrid w:val="0"/>
        <w:jc w:val="center"/>
        <w:rPr>
          <w:rFonts w:eastAsia="黑体"/>
          <w:snapToGrid w:val="0"/>
          <w:color w:val="auto"/>
          <w:kern w:val="21"/>
          <w:sz w:val="24"/>
        </w:rPr>
      </w:pPr>
      <w:r>
        <w:rPr>
          <w:rFonts w:eastAsia="黑体"/>
          <w:snapToGrid w:val="0"/>
          <w:color w:val="auto"/>
          <w:kern w:val="21"/>
          <w:sz w:val="24"/>
        </w:rPr>
        <w:t>表6.5-2  人员操作失误率</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4890"/>
        <w:gridCol w:w="1485"/>
        <w:gridCol w:w="12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906" w:type="dxa"/>
            <w:vMerge w:val="restart"/>
            <w:vAlign w:val="center"/>
          </w:tcPr>
          <w:p>
            <w:pPr>
              <w:adjustRightInd w:val="0"/>
              <w:snapToGrid w:val="0"/>
              <w:jc w:val="center"/>
              <w:rPr>
                <w:b/>
                <w:bCs/>
                <w:snapToGrid w:val="0"/>
                <w:color w:val="auto"/>
                <w:kern w:val="21"/>
              </w:rPr>
            </w:pPr>
            <w:r>
              <w:rPr>
                <w:b/>
                <w:bCs/>
                <w:snapToGrid w:val="0"/>
                <w:color w:val="auto"/>
                <w:kern w:val="21"/>
              </w:rPr>
              <w:t>序</w:t>
            </w:r>
            <w:r>
              <w:rPr>
                <w:rFonts w:hint="eastAsia"/>
                <w:b/>
                <w:bCs/>
                <w:snapToGrid w:val="0"/>
                <w:color w:val="auto"/>
                <w:kern w:val="21"/>
                <w:lang w:val="en-US" w:eastAsia="zh-CN"/>
              </w:rPr>
              <w:t xml:space="preserve"> </w:t>
            </w:r>
            <w:r>
              <w:rPr>
                <w:b/>
                <w:bCs/>
                <w:snapToGrid w:val="0"/>
                <w:color w:val="auto"/>
                <w:kern w:val="21"/>
              </w:rPr>
              <w:t>号</w:t>
            </w:r>
          </w:p>
        </w:tc>
        <w:tc>
          <w:tcPr>
            <w:tcW w:w="4890" w:type="dxa"/>
            <w:vMerge w:val="restart"/>
            <w:vAlign w:val="center"/>
          </w:tcPr>
          <w:p>
            <w:pPr>
              <w:adjustRightInd w:val="0"/>
              <w:snapToGrid w:val="0"/>
              <w:jc w:val="center"/>
              <w:rPr>
                <w:b/>
                <w:bCs/>
                <w:snapToGrid w:val="0"/>
                <w:color w:val="auto"/>
                <w:kern w:val="21"/>
              </w:rPr>
            </w:pPr>
            <w:r>
              <w:rPr>
                <w:b/>
                <w:bCs/>
                <w:snapToGrid w:val="0"/>
                <w:color w:val="auto"/>
                <w:kern w:val="21"/>
              </w:rPr>
              <w:t>动</w:t>
            </w:r>
            <w:r>
              <w:rPr>
                <w:rFonts w:hint="eastAsia"/>
                <w:b/>
                <w:bCs/>
                <w:snapToGrid w:val="0"/>
                <w:color w:val="auto"/>
                <w:kern w:val="21"/>
                <w:lang w:val="en-US" w:eastAsia="zh-CN"/>
              </w:rPr>
              <w:t xml:space="preserve"> </w:t>
            </w:r>
            <w:r>
              <w:rPr>
                <w:b/>
                <w:bCs/>
                <w:snapToGrid w:val="0"/>
                <w:color w:val="auto"/>
                <w:kern w:val="21"/>
              </w:rPr>
              <w:t>作</w:t>
            </w:r>
          </w:p>
        </w:tc>
        <w:tc>
          <w:tcPr>
            <w:tcW w:w="2708" w:type="dxa"/>
            <w:gridSpan w:val="2"/>
            <w:vAlign w:val="center"/>
          </w:tcPr>
          <w:p>
            <w:pPr>
              <w:adjustRightInd w:val="0"/>
              <w:snapToGrid w:val="0"/>
              <w:jc w:val="center"/>
              <w:rPr>
                <w:b/>
                <w:bCs/>
                <w:snapToGrid w:val="0"/>
                <w:color w:val="auto"/>
                <w:kern w:val="21"/>
              </w:rPr>
            </w:pPr>
            <w:r>
              <w:rPr>
                <w:b/>
                <w:bCs/>
                <w:snapToGrid w:val="0"/>
                <w:color w:val="auto"/>
                <w:kern w:val="21"/>
              </w:rPr>
              <w:t>失误率（</w:t>
            </w:r>
            <w:r>
              <w:rPr>
                <w:rFonts w:eastAsia="Times New Roman"/>
                <w:b/>
                <w:bCs/>
                <w:snapToGrid w:val="0"/>
                <w:color w:val="auto"/>
                <w:kern w:val="21"/>
              </w:rPr>
              <w:t>1/h</w:t>
            </w:r>
            <w:r>
              <w:rPr>
                <w:b/>
                <w:bCs/>
                <w:snapToGrid w:val="0"/>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906" w:type="dxa"/>
            <w:vMerge w:val="continue"/>
            <w:vAlign w:val="center"/>
          </w:tcPr>
          <w:p>
            <w:pPr>
              <w:adjustRightInd w:val="0"/>
              <w:snapToGrid w:val="0"/>
              <w:jc w:val="center"/>
              <w:rPr>
                <w:b/>
                <w:bCs/>
                <w:snapToGrid w:val="0"/>
                <w:color w:val="auto"/>
                <w:kern w:val="21"/>
              </w:rPr>
            </w:pPr>
          </w:p>
        </w:tc>
        <w:tc>
          <w:tcPr>
            <w:tcW w:w="4890" w:type="dxa"/>
            <w:vMerge w:val="continue"/>
            <w:vAlign w:val="center"/>
          </w:tcPr>
          <w:p>
            <w:pPr>
              <w:adjustRightInd w:val="0"/>
              <w:snapToGrid w:val="0"/>
              <w:jc w:val="center"/>
              <w:rPr>
                <w:b/>
                <w:bCs/>
                <w:snapToGrid w:val="0"/>
                <w:color w:val="auto"/>
                <w:kern w:val="21"/>
              </w:rPr>
            </w:pPr>
          </w:p>
        </w:tc>
        <w:tc>
          <w:tcPr>
            <w:tcW w:w="1485" w:type="dxa"/>
            <w:vAlign w:val="center"/>
          </w:tcPr>
          <w:p>
            <w:pPr>
              <w:adjustRightInd w:val="0"/>
              <w:snapToGrid w:val="0"/>
              <w:jc w:val="center"/>
              <w:rPr>
                <w:rFonts w:eastAsia="Times New Roman"/>
                <w:b/>
                <w:bCs/>
                <w:snapToGrid w:val="0"/>
                <w:color w:val="auto"/>
                <w:kern w:val="21"/>
              </w:rPr>
            </w:pPr>
            <w:r>
              <w:rPr>
                <w:rFonts w:eastAsia="Times New Roman"/>
                <w:b/>
                <w:bCs/>
                <w:snapToGrid w:val="0"/>
                <w:color w:val="auto"/>
                <w:kern w:val="21"/>
              </w:rPr>
              <w:t>λmin</w:t>
            </w:r>
          </w:p>
        </w:tc>
        <w:tc>
          <w:tcPr>
            <w:tcW w:w="1223" w:type="dxa"/>
            <w:vAlign w:val="center"/>
          </w:tcPr>
          <w:p>
            <w:pPr>
              <w:adjustRightInd w:val="0"/>
              <w:snapToGrid w:val="0"/>
              <w:jc w:val="center"/>
              <w:rPr>
                <w:rFonts w:eastAsia="Times New Roman"/>
                <w:b/>
                <w:bCs/>
                <w:snapToGrid w:val="0"/>
                <w:color w:val="auto"/>
                <w:kern w:val="21"/>
              </w:rPr>
            </w:pPr>
            <w:r>
              <w:rPr>
                <w:rFonts w:eastAsia="Times New Roman"/>
                <w:b/>
                <w:bCs/>
                <w:snapToGrid w:val="0"/>
                <w:color w:val="auto"/>
                <w:kern w:val="21"/>
              </w:rPr>
              <w:t>λmax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906"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w:t>
            </w:r>
          </w:p>
        </w:tc>
        <w:tc>
          <w:tcPr>
            <w:tcW w:w="4890" w:type="dxa"/>
            <w:vAlign w:val="center"/>
          </w:tcPr>
          <w:p>
            <w:pPr>
              <w:adjustRightInd w:val="0"/>
              <w:snapToGrid w:val="0"/>
              <w:jc w:val="center"/>
              <w:rPr>
                <w:snapToGrid w:val="0"/>
                <w:color w:val="auto"/>
                <w:kern w:val="21"/>
              </w:rPr>
            </w:pPr>
            <w:r>
              <w:rPr>
                <w:snapToGrid w:val="0"/>
                <w:color w:val="auto"/>
                <w:kern w:val="21"/>
              </w:rPr>
              <w:t>一般操作失误，如选错开关</w:t>
            </w:r>
          </w:p>
        </w:tc>
        <w:tc>
          <w:tcPr>
            <w:tcW w:w="1485"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5.0×10</w:t>
            </w:r>
            <w:r>
              <w:rPr>
                <w:color w:val="auto"/>
                <w:kern w:val="21"/>
                <w:vertAlign w:val="superscript"/>
              </w:rPr>
              <w:t>-6</w:t>
            </w:r>
          </w:p>
        </w:tc>
        <w:tc>
          <w:tcPr>
            <w:tcW w:w="1223"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5.0×10</w:t>
            </w:r>
            <w:r>
              <w:rPr>
                <w:color w:val="auto"/>
                <w:kern w:val="21"/>
                <w:vertAlign w:val="superscript"/>
              </w:rPr>
              <w:t>-</w:t>
            </w:r>
            <w:r>
              <w:rPr>
                <w:rFonts w:eastAsia="Times New Roman"/>
                <w:snapToGrid w:val="0"/>
                <w:color w:val="auto"/>
                <w:kern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2</w:t>
            </w:r>
          </w:p>
        </w:tc>
        <w:tc>
          <w:tcPr>
            <w:tcW w:w="4890" w:type="dxa"/>
            <w:vAlign w:val="center"/>
          </w:tcPr>
          <w:p>
            <w:pPr>
              <w:adjustRightInd w:val="0"/>
              <w:snapToGrid w:val="0"/>
              <w:jc w:val="center"/>
              <w:rPr>
                <w:snapToGrid w:val="0"/>
                <w:color w:val="auto"/>
                <w:kern w:val="21"/>
              </w:rPr>
            </w:pPr>
            <w:r>
              <w:rPr>
                <w:snapToGrid w:val="0"/>
                <w:color w:val="auto"/>
                <w:kern w:val="21"/>
              </w:rPr>
              <w:t>一般疏忽失误，如维修后未还原正确状态</w:t>
            </w:r>
          </w:p>
        </w:tc>
        <w:tc>
          <w:tcPr>
            <w:tcW w:w="1485"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1.0×10</w:t>
            </w:r>
            <w:r>
              <w:rPr>
                <w:color w:val="auto"/>
                <w:kern w:val="21"/>
                <w:vertAlign w:val="superscript"/>
              </w:rPr>
              <w:t>-6</w:t>
            </w:r>
          </w:p>
        </w:tc>
        <w:tc>
          <w:tcPr>
            <w:tcW w:w="1223"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1.0×10</w:t>
            </w:r>
            <w:r>
              <w:rPr>
                <w:color w:val="auto"/>
                <w:kern w:val="21"/>
                <w:vertAlign w:val="superscript"/>
              </w:rPr>
              <w:t>-</w:t>
            </w:r>
            <w:r>
              <w:rPr>
                <w:rFonts w:eastAsia="Times New Roman"/>
                <w:snapToGrid w:val="0"/>
                <w:color w:val="auto"/>
                <w:kern w:val="21"/>
                <w:vertAlign w:val="superscript"/>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3</w:t>
            </w:r>
          </w:p>
        </w:tc>
        <w:tc>
          <w:tcPr>
            <w:tcW w:w="4890" w:type="dxa"/>
            <w:vAlign w:val="center"/>
          </w:tcPr>
          <w:p>
            <w:pPr>
              <w:adjustRightInd w:val="0"/>
              <w:snapToGrid w:val="0"/>
              <w:jc w:val="center"/>
              <w:rPr>
                <w:snapToGrid w:val="0"/>
                <w:color w:val="auto"/>
                <w:kern w:val="21"/>
              </w:rPr>
            </w:pPr>
            <w:r>
              <w:rPr>
                <w:snapToGrid w:val="0"/>
                <w:color w:val="auto"/>
                <w:kern w:val="21"/>
              </w:rPr>
              <w:t>按错电气开关，而未注意指示灯处于所需状态</w:t>
            </w:r>
          </w:p>
        </w:tc>
        <w:tc>
          <w:tcPr>
            <w:tcW w:w="1485"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9.5×10</w:t>
            </w:r>
            <w:r>
              <w:rPr>
                <w:color w:val="auto"/>
                <w:kern w:val="21"/>
                <w:vertAlign w:val="superscript"/>
              </w:rPr>
              <w:t>-6</w:t>
            </w:r>
          </w:p>
        </w:tc>
        <w:tc>
          <w:tcPr>
            <w:tcW w:w="1223"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9.0×10</w:t>
            </w:r>
            <w:r>
              <w:rPr>
                <w:color w:val="auto"/>
                <w:kern w:val="21"/>
                <w:vertAlign w:val="superscript"/>
              </w:rPr>
              <w:t>-</w:t>
            </w:r>
            <w:r>
              <w:rPr>
                <w:rFonts w:eastAsia="Times New Roman"/>
                <w:snapToGrid w:val="0"/>
                <w:color w:val="auto"/>
                <w:kern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906"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4</w:t>
            </w:r>
          </w:p>
        </w:tc>
        <w:tc>
          <w:tcPr>
            <w:tcW w:w="4890" w:type="dxa"/>
            <w:vAlign w:val="center"/>
          </w:tcPr>
          <w:p>
            <w:pPr>
              <w:adjustRightInd w:val="0"/>
              <w:snapToGrid w:val="0"/>
              <w:jc w:val="center"/>
              <w:rPr>
                <w:snapToGrid w:val="0"/>
                <w:color w:val="auto"/>
                <w:kern w:val="21"/>
              </w:rPr>
            </w:pPr>
            <w:r>
              <w:rPr>
                <w:snapToGrid w:val="0"/>
                <w:color w:val="auto"/>
                <w:kern w:val="21"/>
              </w:rPr>
              <w:t>交接班对设备检查失误（除检查表要求之外）</w:t>
            </w:r>
          </w:p>
        </w:tc>
        <w:tc>
          <w:tcPr>
            <w:tcW w:w="1485"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5.5×10</w:t>
            </w:r>
            <w:r>
              <w:rPr>
                <w:color w:val="auto"/>
                <w:kern w:val="21"/>
                <w:vertAlign w:val="superscript"/>
              </w:rPr>
              <w:t>-</w:t>
            </w:r>
            <w:r>
              <w:rPr>
                <w:rFonts w:eastAsia="Times New Roman"/>
                <w:snapToGrid w:val="0"/>
                <w:color w:val="auto"/>
                <w:kern w:val="21"/>
                <w:vertAlign w:val="superscript"/>
              </w:rPr>
              <w:t>7</w:t>
            </w:r>
          </w:p>
        </w:tc>
        <w:tc>
          <w:tcPr>
            <w:tcW w:w="1223"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1.0×10</w:t>
            </w:r>
            <w:r>
              <w:rPr>
                <w:color w:val="auto"/>
                <w:kern w:val="21"/>
                <w:vertAlign w:val="superscript"/>
              </w:rPr>
              <w:t>-</w:t>
            </w:r>
            <w:r>
              <w:rPr>
                <w:rFonts w:eastAsia="Times New Roman"/>
                <w:snapToGrid w:val="0"/>
                <w:color w:val="auto"/>
                <w:kern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906"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w:t>
            </w:r>
          </w:p>
        </w:tc>
        <w:tc>
          <w:tcPr>
            <w:tcW w:w="4890" w:type="dxa"/>
            <w:vAlign w:val="center"/>
          </w:tcPr>
          <w:p>
            <w:pPr>
              <w:adjustRightInd w:val="0"/>
              <w:snapToGrid w:val="0"/>
              <w:jc w:val="center"/>
              <w:rPr>
                <w:snapToGrid w:val="0"/>
                <w:color w:val="auto"/>
                <w:kern w:val="21"/>
              </w:rPr>
            </w:pPr>
            <w:r>
              <w:rPr>
                <w:snapToGrid w:val="0"/>
                <w:color w:val="auto"/>
                <w:kern w:val="21"/>
              </w:rPr>
              <w:t>班长或检查员未能判明操作人员的最初失误</w:t>
            </w:r>
          </w:p>
        </w:tc>
        <w:tc>
          <w:tcPr>
            <w:tcW w:w="1485"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5.5×10</w:t>
            </w:r>
            <w:r>
              <w:rPr>
                <w:color w:val="auto"/>
                <w:kern w:val="21"/>
                <w:vertAlign w:val="superscript"/>
              </w:rPr>
              <w:t>-6</w:t>
            </w:r>
          </w:p>
        </w:tc>
        <w:tc>
          <w:tcPr>
            <w:tcW w:w="1223"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5.0×10</w:t>
            </w:r>
            <w:r>
              <w:rPr>
                <w:color w:val="auto"/>
                <w:kern w:val="21"/>
                <w:vertAlign w:val="superscript"/>
              </w:rPr>
              <w:t>-</w:t>
            </w:r>
            <w:r>
              <w:rPr>
                <w:rFonts w:eastAsia="Times New Roman"/>
                <w:snapToGrid w:val="0"/>
                <w:color w:val="auto"/>
                <w:kern w:val="21"/>
                <w:vertAlign w:val="superscript"/>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906"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6</w:t>
            </w:r>
          </w:p>
        </w:tc>
        <w:tc>
          <w:tcPr>
            <w:tcW w:w="4890" w:type="dxa"/>
            <w:vAlign w:val="center"/>
          </w:tcPr>
          <w:p>
            <w:pPr>
              <w:adjustRightInd w:val="0"/>
              <w:snapToGrid w:val="0"/>
              <w:jc w:val="center"/>
              <w:rPr>
                <w:snapToGrid w:val="0"/>
                <w:color w:val="auto"/>
                <w:kern w:val="21"/>
              </w:rPr>
            </w:pPr>
            <w:r>
              <w:rPr>
                <w:snapToGrid w:val="0"/>
                <w:color w:val="auto"/>
                <w:kern w:val="21"/>
              </w:rPr>
              <w:t>在</w:t>
            </w:r>
            <w:r>
              <w:rPr>
                <w:rFonts w:hint="eastAsia"/>
                <w:snapToGrid w:val="0"/>
                <w:color w:val="auto"/>
                <w:kern w:val="21"/>
                <w:lang w:eastAsia="zh-CN"/>
              </w:rPr>
              <w:t>紧急状态</w:t>
            </w:r>
            <w:r>
              <w:rPr>
                <w:snapToGrid w:val="0"/>
                <w:color w:val="auto"/>
                <w:kern w:val="21"/>
              </w:rPr>
              <w:t>下经过几个小时操作人员未能正确行动</w:t>
            </w:r>
          </w:p>
        </w:tc>
        <w:tc>
          <w:tcPr>
            <w:tcW w:w="1485"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7.0×10</w:t>
            </w:r>
            <w:r>
              <w:rPr>
                <w:color w:val="auto"/>
                <w:kern w:val="21"/>
                <w:vertAlign w:val="superscript"/>
              </w:rPr>
              <w:t>-</w:t>
            </w:r>
            <w:r>
              <w:rPr>
                <w:rFonts w:eastAsia="Times New Roman"/>
                <w:snapToGrid w:val="0"/>
                <w:color w:val="auto"/>
                <w:kern w:val="21"/>
                <w:vertAlign w:val="superscript"/>
              </w:rPr>
              <w:t>7</w:t>
            </w:r>
          </w:p>
        </w:tc>
        <w:tc>
          <w:tcPr>
            <w:tcW w:w="1223" w:type="dxa"/>
            <w:vAlign w:val="center"/>
          </w:tcPr>
          <w:p>
            <w:pPr>
              <w:adjustRightInd w:val="0"/>
              <w:snapToGrid w:val="0"/>
              <w:jc w:val="center"/>
              <w:rPr>
                <w:rFonts w:eastAsia="Times New Roman"/>
                <w:snapToGrid w:val="0"/>
                <w:color w:val="auto"/>
                <w:kern w:val="21"/>
              </w:rPr>
            </w:pPr>
            <w:r>
              <w:rPr>
                <w:rFonts w:eastAsia="Times New Roman"/>
                <w:snapToGrid w:val="0"/>
                <w:color w:val="auto"/>
                <w:kern w:val="21"/>
              </w:rPr>
              <w:t>1.0×10</w:t>
            </w:r>
            <w:r>
              <w:rPr>
                <w:color w:val="auto"/>
                <w:kern w:val="21"/>
                <w:vertAlign w:val="superscript"/>
              </w:rPr>
              <w:t>-</w:t>
            </w:r>
            <w:r>
              <w:rPr>
                <w:rFonts w:eastAsia="Times New Roman"/>
                <w:snapToGrid w:val="0"/>
                <w:color w:val="auto"/>
                <w:kern w:val="21"/>
                <w:vertAlign w:val="superscript"/>
              </w:rPr>
              <w:t>5</w:t>
            </w:r>
          </w:p>
        </w:tc>
      </w:tr>
    </w:tbl>
    <w:p>
      <w:pPr>
        <w:adjustRightInd w:val="0"/>
        <w:snapToGrid w:val="0"/>
        <w:ind w:firstLine="420" w:firstLineChars="200"/>
        <w:rPr>
          <w:color w:val="auto"/>
          <w:kern w:val="21"/>
        </w:rPr>
      </w:pPr>
    </w:p>
    <w:p>
      <w:pPr>
        <w:adjustRightInd w:val="0"/>
        <w:snapToGrid w:val="0"/>
        <w:spacing w:line="360" w:lineRule="auto"/>
        <w:ind w:firstLine="480" w:firstLineChars="200"/>
        <w:rPr>
          <w:color w:val="auto"/>
          <w:kern w:val="21"/>
          <w:sz w:val="24"/>
        </w:rPr>
      </w:pPr>
      <w:r>
        <w:rPr>
          <w:color w:val="auto"/>
          <w:kern w:val="21"/>
          <w:sz w:val="24"/>
        </w:rPr>
        <w:t>由上表6.5-2可知，本项目人员操作失误率最大概率为1.0×10</w:t>
      </w:r>
      <w:r>
        <w:rPr>
          <w:color w:val="auto"/>
          <w:kern w:val="21"/>
          <w:sz w:val="24"/>
          <w:vertAlign w:val="superscript"/>
        </w:rPr>
        <w:t>-4</w:t>
      </w:r>
      <w:r>
        <w:rPr>
          <w:snapToGrid w:val="0"/>
          <w:color w:val="auto"/>
          <w:kern w:val="21"/>
          <w:sz w:val="24"/>
          <w:szCs w:val="24"/>
        </w:rPr>
        <w:t>，最小</w:t>
      </w:r>
      <w:r>
        <w:rPr>
          <w:color w:val="auto"/>
          <w:kern w:val="21"/>
          <w:sz w:val="24"/>
        </w:rPr>
        <w:t>概率</w:t>
      </w:r>
      <w:r>
        <w:rPr>
          <w:snapToGrid w:val="0"/>
          <w:color w:val="auto"/>
          <w:kern w:val="21"/>
          <w:sz w:val="24"/>
          <w:szCs w:val="24"/>
        </w:rPr>
        <w:t>为</w:t>
      </w:r>
      <w:r>
        <w:rPr>
          <w:rFonts w:eastAsia="Times New Roman"/>
          <w:snapToGrid w:val="0"/>
          <w:color w:val="auto"/>
          <w:kern w:val="21"/>
          <w:sz w:val="24"/>
          <w:szCs w:val="24"/>
        </w:rPr>
        <w:t>5.5×10</w:t>
      </w:r>
      <w:r>
        <w:rPr>
          <w:color w:val="auto"/>
          <w:kern w:val="21"/>
          <w:sz w:val="24"/>
          <w:szCs w:val="24"/>
          <w:vertAlign w:val="superscript"/>
        </w:rPr>
        <w:t>-</w:t>
      </w:r>
      <w:r>
        <w:rPr>
          <w:rFonts w:eastAsia="Times New Roman"/>
          <w:snapToGrid w:val="0"/>
          <w:color w:val="auto"/>
          <w:kern w:val="21"/>
          <w:sz w:val="24"/>
          <w:szCs w:val="24"/>
          <w:vertAlign w:val="superscript"/>
        </w:rPr>
        <w:t>7</w:t>
      </w:r>
      <w:r>
        <w:rPr>
          <w:snapToGrid w:val="0"/>
          <w:color w:val="auto"/>
          <w:kern w:val="21"/>
          <w:sz w:val="24"/>
          <w:szCs w:val="24"/>
        </w:rPr>
        <w:t>。</w:t>
      </w:r>
    </w:p>
    <w:p>
      <w:pPr>
        <w:adjustRightInd w:val="0"/>
        <w:snapToGrid w:val="0"/>
        <w:spacing w:line="360" w:lineRule="auto"/>
        <w:ind w:firstLine="480" w:firstLineChars="200"/>
        <w:rPr>
          <w:rFonts w:hint="eastAsia" w:eastAsia="宋体"/>
          <w:color w:val="auto"/>
          <w:kern w:val="21"/>
          <w:sz w:val="24"/>
          <w:vertAlign w:val="baseline"/>
          <w:lang w:eastAsia="zh-CN"/>
        </w:rPr>
      </w:pPr>
      <w:r>
        <w:rPr>
          <w:color w:val="auto"/>
          <w:kern w:val="21"/>
          <w:sz w:val="24"/>
        </w:rPr>
        <w:t>综上所述，得出最小风险率为</w:t>
      </w:r>
      <w:r>
        <w:rPr>
          <w:rFonts w:eastAsia="Times New Roman"/>
          <w:snapToGrid w:val="0"/>
          <w:color w:val="auto"/>
          <w:kern w:val="21"/>
          <w:sz w:val="24"/>
          <w:szCs w:val="24"/>
        </w:rPr>
        <w:t>5.5×10</w:t>
      </w:r>
      <w:r>
        <w:rPr>
          <w:color w:val="auto"/>
          <w:kern w:val="21"/>
          <w:sz w:val="24"/>
          <w:szCs w:val="24"/>
          <w:vertAlign w:val="superscript"/>
        </w:rPr>
        <w:t>-</w:t>
      </w:r>
      <w:r>
        <w:rPr>
          <w:rFonts w:eastAsia="Times New Roman"/>
          <w:snapToGrid w:val="0"/>
          <w:color w:val="auto"/>
          <w:kern w:val="21"/>
          <w:sz w:val="24"/>
          <w:szCs w:val="24"/>
          <w:vertAlign w:val="superscript"/>
        </w:rPr>
        <w:t>7</w:t>
      </w:r>
      <w:r>
        <w:rPr>
          <w:color w:val="auto"/>
          <w:kern w:val="21"/>
          <w:sz w:val="24"/>
        </w:rPr>
        <w:t>，最大风险概率为1.0×10</w:t>
      </w:r>
      <w:r>
        <w:rPr>
          <w:color w:val="auto"/>
          <w:kern w:val="21"/>
          <w:sz w:val="24"/>
          <w:vertAlign w:val="superscript"/>
        </w:rPr>
        <w:t>-4</w:t>
      </w:r>
      <w:r>
        <w:rPr>
          <w:color w:val="auto"/>
          <w:kern w:val="21"/>
          <w:sz w:val="24"/>
        </w:rPr>
        <w:t>。因此，项目最大可信事故概率为1.1×10</w:t>
      </w:r>
      <w:r>
        <w:rPr>
          <w:color w:val="auto"/>
          <w:kern w:val="21"/>
          <w:sz w:val="24"/>
          <w:vertAlign w:val="superscript"/>
        </w:rPr>
        <w:t>-4</w:t>
      </w:r>
      <w:r>
        <w:rPr>
          <w:rFonts w:hint="eastAsia"/>
          <w:color w:val="auto"/>
          <w:kern w:val="21"/>
          <w:sz w:val="24"/>
          <w:vertAlign w:val="baseline"/>
          <w:lang w:eastAsia="zh-CN"/>
        </w:rPr>
        <w:t>，最大可信事故</w:t>
      </w:r>
      <w:r>
        <w:rPr>
          <w:rFonts w:hint="eastAsia"/>
          <w:color w:val="auto"/>
          <w:kern w:val="21"/>
          <w:sz w:val="24"/>
          <w:lang w:val="en-US" w:eastAsia="zh-CN"/>
        </w:rPr>
        <w:t>为盐酸等危险化学品储存设施破裂造成危化品泄漏</w:t>
      </w:r>
      <w:r>
        <w:rPr>
          <w:bCs/>
          <w:color w:val="auto"/>
          <w:sz w:val="24"/>
          <w:szCs w:val="24"/>
          <w:lang w:bidi="en-US"/>
        </w:rPr>
        <w:t>。</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66" w:name="_Toc112338960"/>
      <w:bookmarkStart w:id="367" w:name="_Toc5914"/>
      <w:r>
        <w:rPr>
          <w:bCs w:val="0"/>
          <w:color w:val="auto"/>
          <w:kern w:val="0"/>
          <w:szCs w:val="20"/>
          <w:lang w:val="en-US"/>
        </w:rPr>
        <w:t>6.6风险影响分析</w:t>
      </w:r>
      <w:bookmarkEnd w:id="366"/>
      <w:bookmarkEnd w:id="367"/>
      <w:r>
        <w:rPr>
          <w:bCs w:val="0"/>
          <w:color w:val="auto"/>
          <w:kern w:val="0"/>
          <w:szCs w:val="20"/>
          <w:lang w:val="en-US"/>
        </w:rPr>
        <w:t xml:space="preserve"> </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6.6.1泄漏事故影响分析 </w:t>
      </w:r>
    </w:p>
    <w:p>
      <w:pPr>
        <w:adjustRightInd w:val="0"/>
        <w:snapToGrid w:val="0"/>
        <w:spacing w:line="360" w:lineRule="auto"/>
        <w:rPr>
          <w:color w:val="auto"/>
          <w:kern w:val="21"/>
          <w:sz w:val="24"/>
        </w:rPr>
      </w:pPr>
      <w:r>
        <w:rPr>
          <w:color w:val="auto"/>
          <w:kern w:val="21"/>
          <w:sz w:val="24"/>
        </w:rPr>
        <w:t>（1）</w:t>
      </w:r>
      <w:r>
        <w:rPr>
          <w:rFonts w:hint="eastAsia"/>
          <w:color w:val="auto"/>
          <w:kern w:val="21"/>
          <w:sz w:val="24"/>
        </w:rPr>
        <w:t>槽</w:t>
      </w:r>
      <w:r>
        <w:rPr>
          <w:color w:val="auto"/>
          <w:kern w:val="21"/>
          <w:sz w:val="24"/>
        </w:rPr>
        <w:t xml:space="preserve">液泄漏事故的影响分析 </w:t>
      </w:r>
    </w:p>
    <w:p>
      <w:pPr>
        <w:adjustRightInd w:val="0"/>
        <w:snapToGrid w:val="0"/>
        <w:spacing w:line="360" w:lineRule="auto"/>
        <w:ind w:firstLine="480" w:firstLineChars="200"/>
        <w:rPr>
          <w:color w:val="auto"/>
          <w:kern w:val="21"/>
          <w:sz w:val="24"/>
        </w:rPr>
      </w:pPr>
      <w:r>
        <w:rPr>
          <w:color w:val="auto"/>
          <w:kern w:val="21"/>
          <w:sz w:val="24"/>
        </w:rPr>
        <w:t>当各类槽液泄漏时，若无相应的收集设施或及时采取风险应急措施，则可能导致物料流入厂区污水处理站，进而进入同盟污水厂，最终进入附近地表水体，可能对地表水体水质短时间内造成一定的影响。本项目在各电镀及氧化生产线下方设置 10cm高的托盘，降低槽液进入污水处理站的风险。</w:t>
      </w:r>
    </w:p>
    <w:p>
      <w:pPr>
        <w:adjustRightInd w:val="0"/>
        <w:snapToGrid w:val="0"/>
        <w:spacing w:line="360" w:lineRule="auto"/>
        <w:ind w:firstLine="480" w:firstLineChars="200"/>
        <w:rPr>
          <w:color w:val="auto"/>
          <w:kern w:val="21"/>
          <w:sz w:val="24"/>
        </w:rPr>
      </w:pPr>
      <w:r>
        <w:rPr>
          <w:color w:val="auto"/>
          <w:kern w:val="21"/>
          <w:sz w:val="24"/>
        </w:rPr>
        <w:t xml:space="preserve">综合以上分析，项目电镀液泄漏风险通过采取措施后可控，不会对周围水体造成威胁。 </w:t>
      </w:r>
    </w:p>
    <w:p>
      <w:pPr>
        <w:adjustRightInd w:val="0"/>
        <w:snapToGrid w:val="0"/>
        <w:spacing w:line="360" w:lineRule="auto"/>
        <w:rPr>
          <w:color w:val="auto"/>
          <w:kern w:val="21"/>
          <w:sz w:val="24"/>
        </w:rPr>
      </w:pPr>
      <w:r>
        <w:rPr>
          <w:color w:val="auto"/>
          <w:kern w:val="21"/>
          <w:sz w:val="24"/>
        </w:rPr>
        <w:t xml:space="preserve">（2）危险化学品泄漏事故的影响分析 </w:t>
      </w:r>
    </w:p>
    <w:p>
      <w:pPr>
        <w:adjustRightInd w:val="0"/>
        <w:snapToGrid w:val="0"/>
        <w:spacing w:line="360" w:lineRule="auto"/>
        <w:ind w:firstLine="480" w:firstLineChars="200"/>
        <w:rPr>
          <w:color w:val="auto"/>
          <w:kern w:val="21"/>
          <w:sz w:val="24"/>
        </w:rPr>
      </w:pPr>
      <w:r>
        <w:rPr>
          <w:color w:val="auto"/>
          <w:kern w:val="21"/>
          <w:sz w:val="24"/>
        </w:rPr>
        <w:t xml:space="preserve">项目原辅材料中盐酸、硫酸属于腐蚀性物质，因储存容器破裂等可能造成危险化学品泄漏，泄漏出的危险化学品处理不当会污染水环境。为避免危化品泄漏后进入水体，储存区设置漫坡，将泄漏物控制在储存区内。综合以上分析，项目原料泄漏风险通过采取措施后可控，不会对周围水体造成威胁。 </w:t>
      </w:r>
    </w:p>
    <w:p>
      <w:pPr>
        <w:adjustRightInd w:val="0"/>
        <w:snapToGrid w:val="0"/>
        <w:spacing w:line="360" w:lineRule="auto"/>
        <w:rPr>
          <w:color w:val="auto"/>
          <w:kern w:val="21"/>
          <w:sz w:val="24"/>
        </w:rPr>
      </w:pPr>
      <w:r>
        <w:rPr>
          <w:color w:val="auto"/>
          <w:kern w:val="21"/>
          <w:sz w:val="24"/>
        </w:rPr>
        <w:t xml:space="preserve">（3）危险废弃物泄漏对环境的影响分析 </w:t>
      </w:r>
    </w:p>
    <w:p>
      <w:pPr>
        <w:adjustRightInd w:val="0"/>
        <w:snapToGrid w:val="0"/>
        <w:spacing w:line="360" w:lineRule="auto"/>
        <w:ind w:firstLine="480" w:firstLineChars="200"/>
        <w:rPr>
          <w:color w:val="auto"/>
          <w:kern w:val="21"/>
          <w:sz w:val="24"/>
        </w:rPr>
      </w:pPr>
      <w:r>
        <w:rPr>
          <w:color w:val="auto"/>
          <w:kern w:val="21"/>
          <w:sz w:val="24"/>
        </w:rPr>
        <w:t>本项目在生产经营过程中会产生含电镀废液等危险化学品，如果在收集、储存、运输过程中处置不当可能发生泄漏。本项目产生的危险废物量不大，并按要求设置专门危废暂存间，危废暂存间采取硬底化处理以及遮雨措施。收集的危险废物均委托有资质单位专门收运和处置。因此发生泄漏对环境产生污染的可能性不大，其风险可控。</w:t>
      </w:r>
    </w:p>
    <w:bookmarkEnd w:id="361"/>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6.6.2火灾事故影响分析 </w:t>
      </w:r>
    </w:p>
    <w:p>
      <w:pPr>
        <w:adjustRightInd w:val="0"/>
        <w:snapToGrid w:val="0"/>
        <w:spacing w:line="360" w:lineRule="auto"/>
        <w:ind w:firstLine="480"/>
        <w:rPr>
          <w:color w:val="auto"/>
          <w:kern w:val="21"/>
          <w:sz w:val="24"/>
        </w:rPr>
      </w:pPr>
      <w:r>
        <w:rPr>
          <w:color w:val="auto"/>
          <w:kern w:val="21"/>
          <w:sz w:val="24"/>
        </w:rPr>
        <w:t>厂区发生火灾时，消防废水可能携带有毒有害化学品，同时还可能携带燃烧产物以及灭火泡沫等排入水体，将对附近河流等造成威胁。当发生火灾爆炸事故时，应立即停产，并将厂区的雨水排水口的阀门关闭，将消防的灭火泡沫所携带的污染物可经专用管道排入消防废水池中收集储存，防止消防废水通过管网进入自然水体。消防废水池收集的消防废水可逐步排入废水处理站处理后回用，或运至厂外委托有资质的固体废物单位</w:t>
      </w:r>
      <w:r>
        <w:rPr>
          <w:rFonts w:hint="eastAsia"/>
          <w:color w:val="auto"/>
          <w:kern w:val="21"/>
          <w:sz w:val="24"/>
          <w:lang w:eastAsia="zh-CN"/>
        </w:rPr>
        <w:t>处置</w:t>
      </w:r>
      <w:r>
        <w:rPr>
          <w:color w:val="auto"/>
          <w:kern w:val="21"/>
          <w:sz w:val="24"/>
        </w:rPr>
        <w:t xml:space="preserve">，以避免事故后污染程度的扩大。 </w:t>
      </w:r>
    </w:p>
    <w:p>
      <w:pPr>
        <w:adjustRightInd w:val="0"/>
        <w:snapToGrid w:val="0"/>
        <w:spacing w:line="360" w:lineRule="auto"/>
        <w:ind w:firstLine="480"/>
        <w:rPr>
          <w:color w:val="auto"/>
          <w:kern w:val="21"/>
          <w:sz w:val="24"/>
        </w:rPr>
      </w:pPr>
      <w:r>
        <w:rPr>
          <w:color w:val="auto"/>
          <w:kern w:val="21"/>
          <w:sz w:val="24"/>
        </w:rPr>
        <w:t>本项目在北厂房设立</w:t>
      </w:r>
      <w:r>
        <w:rPr>
          <w:rFonts w:hint="eastAsia"/>
          <w:color w:val="auto"/>
          <w:kern w:val="21"/>
          <w:sz w:val="24"/>
          <w:lang w:val="en-US" w:eastAsia="zh-CN"/>
        </w:rPr>
        <w:t>1</w:t>
      </w:r>
      <w:r>
        <w:rPr>
          <w:color w:val="auto"/>
          <w:kern w:val="21"/>
          <w:sz w:val="24"/>
        </w:rPr>
        <w:t>个</w:t>
      </w:r>
      <w:r>
        <w:rPr>
          <w:rFonts w:hint="eastAsia"/>
          <w:color w:val="auto"/>
          <w:kern w:val="21"/>
          <w:sz w:val="24"/>
        </w:rPr>
        <w:t>100m</w:t>
      </w:r>
      <w:r>
        <w:rPr>
          <w:rFonts w:hint="eastAsia"/>
          <w:color w:val="auto"/>
          <w:kern w:val="21"/>
          <w:sz w:val="24"/>
          <w:vertAlign w:val="superscript"/>
        </w:rPr>
        <w:t>3</w:t>
      </w:r>
      <w:r>
        <w:rPr>
          <w:rFonts w:hint="eastAsia"/>
          <w:color w:val="auto"/>
          <w:kern w:val="21"/>
          <w:sz w:val="24"/>
        </w:rPr>
        <w:t>的事故池</w:t>
      </w:r>
      <w:r>
        <w:rPr>
          <w:color w:val="auto"/>
          <w:kern w:val="21"/>
          <w:sz w:val="24"/>
        </w:rPr>
        <w:t xml:space="preserve">，可以将消防废水控制在厂区内。因此项目消防废水进入水体的可能性较小。 </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6.6.3事故排放影响分析 </w:t>
      </w:r>
    </w:p>
    <w:p>
      <w:pPr>
        <w:adjustRightInd w:val="0"/>
        <w:snapToGrid w:val="0"/>
        <w:spacing w:line="360" w:lineRule="auto"/>
        <w:rPr>
          <w:color w:val="auto"/>
          <w:kern w:val="21"/>
          <w:sz w:val="24"/>
        </w:rPr>
      </w:pPr>
      <w:r>
        <w:rPr>
          <w:color w:val="auto"/>
          <w:kern w:val="21"/>
          <w:sz w:val="24"/>
        </w:rPr>
        <w:t xml:space="preserve">（1）废水事故排放的影响分析 </w:t>
      </w:r>
    </w:p>
    <w:p>
      <w:pPr>
        <w:adjustRightInd w:val="0"/>
        <w:snapToGrid w:val="0"/>
        <w:spacing w:line="360" w:lineRule="auto"/>
        <w:ind w:firstLine="480"/>
        <w:rPr>
          <w:color w:val="auto"/>
          <w:kern w:val="21"/>
          <w:sz w:val="24"/>
        </w:rPr>
      </w:pPr>
      <w:r>
        <w:rPr>
          <w:color w:val="auto"/>
          <w:kern w:val="21"/>
          <w:sz w:val="24"/>
          <w:highlight w:val="none"/>
        </w:rPr>
        <w:t>本项目建成后</w:t>
      </w:r>
      <w:r>
        <w:rPr>
          <w:rFonts w:hint="eastAsia"/>
          <w:color w:val="auto"/>
          <w:kern w:val="21"/>
          <w:sz w:val="24"/>
          <w:highlight w:val="none"/>
        </w:rPr>
        <w:t>，</w:t>
      </w:r>
      <w:r>
        <w:rPr>
          <w:rFonts w:hint="eastAsia"/>
          <w:color w:val="auto"/>
          <w:kern w:val="21"/>
          <w:sz w:val="24"/>
          <w:highlight w:val="none"/>
          <w:lang w:val="en-US" w:eastAsia="zh-CN"/>
        </w:rPr>
        <w:t>涉重废水经厂区污水处理站处理后全部回用于生产线，不外排。浓水及生活污水经厂区总排口，通过市政管网排入同盟污水处理厂。</w:t>
      </w:r>
      <w:r>
        <w:rPr>
          <w:color w:val="auto"/>
          <w:kern w:val="21"/>
          <w:sz w:val="24"/>
          <w:highlight w:val="none"/>
        </w:rPr>
        <w:t>若</w:t>
      </w:r>
      <w:r>
        <w:rPr>
          <w:rFonts w:hint="eastAsia"/>
          <w:color w:val="auto"/>
          <w:kern w:val="21"/>
          <w:sz w:val="24"/>
          <w:highlight w:val="none"/>
          <w:lang w:val="en-US" w:eastAsia="zh-CN"/>
        </w:rPr>
        <w:t>厂区污水处理站</w:t>
      </w:r>
      <w:r>
        <w:rPr>
          <w:color w:val="auto"/>
          <w:kern w:val="21"/>
          <w:sz w:val="24"/>
          <w:highlight w:val="none"/>
        </w:rPr>
        <w:t>废水处理设施发生故障，</w:t>
      </w:r>
      <w:r>
        <w:rPr>
          <w:rFonts w:hint="eastAsia"/>
          <w:color w:val="auto"/>
          <w:kern w:val="21"/>
          <w:sz w:val="24"/>
          <w:highlight w:val="none"/>
          <w:lang w:val="en-US" w:eastAsia="zh-CN"/>
        </w:rPr>
        <w:t>涉重</w:t>
      </w:r>
      <w:r>
        <w:rPr>
          <w:color w:val="auto"/>
          <w:kern w:val="21"/>
          <w:sz w:val="24"/>
          <w:highlight w:val="none"/>
        </w:rPr>
        <w:t>废水</w:t>
      </w:r>
      <w:r>
        <w:rPr>
          <w:rFonts w:hint="eastAsia"/>
          <w:color w:val="auto"/>
          <w:kern w:val="21"/>
          <w:sz w:val="24"/>
          <w:highlight w:val="none"/>
          <w:lang w:val="en-US" w:eastAsia="zh-CN"/>
        </w:rPr>
        <w:t>进入总排口排入</w:t>
      </w:r>
      <w:r>
        <w:rPr>
          <w:color w:val="auto"/>
          <w:kern w:val="21"/>
          <w:sz w:val="24"/>
          <w:highlight w:val="none"/>
        </w:rPr>
        <w:t>同盟污水处</w:t>
      </w:r>
      <w:r>
        <w:rPr>
          <w:color w:val="auto"/>
          <w:kern w:val="21"/>
          <w:sz w:val="24"/>
        </w:rPr>
        <w:t>理厂，将会对同盟污水处理厂产生一定影响。</w:t>
      </w:r>
      <w:r>
        <w:rPr>
          <w:rFonts w:hint="eastAsia"/>
          <w:color w:val="auto"/>
          <w:kern w:val="21"/>
          <w:sz w:val="24"/>
          <w:lang w:val="en-US" w:eastAsia="zh-CN"/>
        </w:rPr>
        <w:t>因此建设单位需要加强污水处理设施的维护和保养，及时发现问题及时解决，杜绝事故排放，一旦发生处理设施故障，需在最短时间内停产加以维修，</w:t>
      </w:r>
      <w:r>
        <w:rPr>
          <w:color w:val="auto"/>
          <w:kern w:val="21"/>
          <w:sz w:val="24"/>
        </w:rPr>
        <w:t>待处理设施有效运转后才可恢复生产，以</w:t>
      </w:r>
      <w:r>
        <w:rPr>
          <w:rFonts w:hint="eastAsia"/>
          <w:color w:val="auto"/>
          <w:kern w:val="21"/>
          <w:sz w:val="24"/>
          <w:lang w:val="en-US" w:eastAsia="zh-CN"/>
        </w:rPr>
        <w:t>确保涉重废水不外排。</w:t>
      </w:r>
      <w:r>
        <w:rPr>
          <w:color w:val="auto"/>
          <w:kern w:val="21"/>
          <w:sz w:val="24"/>
        </w:rPr>
        <w:t xml:space="preserve"> </w:t>
      </w:r>
    </w:p>
    <w:p>
      <w:pPr>
        <w:adjustRightInd w:val="0"/>
        <w:snapToGrid w:val="0"/>
        <w:spacing w:line="360" w:lineRule="auto"/>
        <w:rPr>
          <w:color w:val="auto"/>
          <w:kern w:val="21"/>
          <w:sz w:val="24"/>
        </w:rPr>
      </w:pPr>
      <w:r>
        <w:rPr>
          <w:color w:val="auto"/>
          <w:kern w:val="21"/>
          <w:sz w:val="24"/>
        </w:rPr>
        <w:t xml:space="preserve">（2）废气事故排放的影响分析 </w:t>
      </w:r>
    </w:p>
    <w:p>
      <w:pPr>
        <w:adjustRightInd w:val="0"/>
        <w:snapToGrid w:val="0"/>
        <w:spacing w:line="360" w:lineRule="auto"/>
        <w:ind w:firstLine="480"/>
        <w:rPr>
          <w:color w:val="auto"/>
          <w:kern w:val="21"/>
          <w:sz w:val="24"/>
        </w:rPr>
      </w:pPr>
      <w:r>
        <w:rPr>
          <w:color w:val="auto"/>
          <w:kern w:val="21"/>
          <w:sz w:val="24"/>
        </w:rPr>
        <w:t xml:space="preserve">本项目在生产过程中会产生一定量的废气，如果抽排风机发生故障，停止运转，导致工作场所空气中的有毒物质浓度增加，危害员工的人身安全。根据废气影响预测，废气处理设施正常运行时，项目排放的废气对周围空气环境质量影响不大，事故排放废气对周围环境空气敏感点的影响较小。建设单位须在日常环保工作中加大废气处理的力度和加强环保管理工作，进一步加强清洁生产工作，杜绝事故排放，一旦发生非正常排放，需在最短时间内停产加以维修，待处理设施有效运转后才可恢复生产，以减少大气污染物的排放。 </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6.6.4天然气风险影响分析 </w:t>
      </w:r>
    </w:p>
    <w:p>
      <w:pPr>
        <w:adjustRightInd w:val="0"/>
        <w:snapToGrid w:val="0"/>
        <w:spacing w:line="360" w:lineRule="auto"/>
        <w:ind w:firstLine="480"/>
        <w:rPr>
          <w:color w:val="auto"/>
          <w:kern w:val="21"/>
          <w:sz w:val="24"/>
        </w:rPr>
      </w:pPr>
      <w:r>
        <w:rPr>
          <w:color w:val="auto"/>
          <w:kern w:val="21"/>
          <w:sz w:val="24"/>
        </w:rPr>
        <w:t>本项目建成后使用园区供应的管道天然气，天然气由专业燃气公司通过市政管道供应，相关设施将由专业资质单位进行安装和调试，运行期间，现场按要求配备相关泄漏检测报警和紧急切断装置，车间安装有效通排风设施，可以有效防止天然气泄漏，以及泄漏后聚集而发生火灾和爆炸。在采取上述措施后，天然气发生泄漏、火灾和爆炸事故的风险可控。</w:t>
      </w:r>
    </w:p>
    <w:p>
      <w:pPr>
        <w:pStyle w:val="4"/>
        <w:keepNext/>
        <w:keepLines/>
        <w:pageBreakBefore w:val="0"/>
        <w:widowControl w:val="0"/>
        <w:tabs>
          <w:tab w:val="left" w:pos="1200"/>
          <w:tab w:val="left" w:pos="1571"/>
          <w:tab w:val="left" w:pos="1680"/>
        </w:tabs>
        <w:kinsoku/>
        <w:wordWrap/>
        <w:overflowPunct/>
        <w:topLinePunct w:val="0"/>
        <w:autoSpaceDE/>
        <w:autoSpaceDN/>
        <w:bidi w:val="0"/>
        <w:adjustRightInd w:val="0"/>
        <w:snapToGrid w:val="0"/>
        <w:spacing w:before="60" w:beforeLines="0" w:after="120" w:afterLines="0" w:line="520" w:lineRule="exact"/>
        <w:textAlignment w:val="baseline"/>
        <w:rPr>
          <w:bCs w:val="0"/>
          <w:color w:val="auto"/>
          <w:kern w:val="0"/>
          <w:szCs w:val="20"/>
          <w:lang w:val="en-US"/>
        </w:rPr>
      </w:pPr>
      <w:bookmarkStart w:id="368" w:name="_Toc112338961"/>
      <w:bookmarkStart w:id="369" w:name="_Toc900"/>
      <w:r>
        <w:rPr>
          <w:bCs w:val="0"/>
          <w:color w:val="auto"/>
          <w:kern w:val="0"/>
          <w:szCs w:val="20"/>
          <w:lang w:val="en-US"/>
        </w:rPr>
        <w:t>6.7环境风险防范措施</w:t>
      </w:r>
      <w:bookmarkEnd w:id="368"/>
      <w:bookmarkEnd w:id="369"/>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6.7.1</w:t>
      </w:r>
      <w:r>
        <w:rPr>
          <w:rFonts w:hint="eastAsia" w:eastAsia="黑体"/>
          <w:color w:val="auto"/>
          <w:kern w:val="21"/>
          <w:sz w:val="28"/>
          <w:szCs w:val="28"/>
        </w:rPr>
        <w:t>槽</w:t>
      </w:r>
      <w:r>
        <w:rPr>
          <w:rFonts w:eastAsia="黑体"/>
          <w:color w:val="auto"/>
          <w:kern w:val="21"/>
          <w:sz w:val="28"/>
          <w:szCs w:val="28"/>
        </w:rPr>
        <w:t>液泄漏风险防范措施</w:t>
      </w:r>
    </w:p>
    <w:p>
      <w:pPr>
        <w:adjustRightInd w:val="0"/>
        <w:snapToGrid w:val="0"/>
        <w:spacing w:line="360" w:lineRule="auto"/>
        <w:ind w:firstLine="482" w:firstLineChars="200"/>
        <w:rPr>
          <w:b/>
          <w:bCs/>
          <w:color w:val="auto"/>
          <w:kern w:val="21"/>
          <w:sz w:val="24"/>
          <w:u w:val="single"/>
        </w:rPr>
      </w:pPr>
      <w:r>
        <w:rPr>
          <w:b/>
          <w:bCs/>
          <w:color w:val="auto"/>
          <w:kern w:val="21"/>
          <w:sz w:val="24"/>
          <w:u w:val="single"/>
        </w:rPr>
        <w:t>项目在生产区设置</w:t>
      </w:r>
      <w:r>
        <w:rPr>
          <w:rFonts w:hint="eastAsia"/>
          <w:b/>
          <w:bCs/>
          <w:color w:val="auto"/>
          <w:kern w:val="21"/>
          <w:sz w:val="24"/>
          <w:u w:val="single"/>
        </w:rPr>
        <w:t>2</w:t>
      </w:r>
      <w:r>
        <w:rPr>
          <w:b/>
          <w:bCs/>
          <w:color w:val="auto"/>
          <w:kern w:val="21"/>
          <w:sz w:val="24"/>
          <w:u w:val="single"/>
        </w:rPr>
        <w:t>个可移动备用槽，液槽发生破损泄漏时，可迅速将槽液收集至备用槽内，单个备用槽容积为</w:t>
      </w:r>
      <w:r>
        <w:rPr>
          <w:rFonts w:hint="eastAsia"/>
          <w:b/>
          <w:bCs/>
          <w:color w:val="auto"/>
          <w:kern w:val="21"/>
          <w:sz w:val="24"/>
          <w:u w:val="single"/>
        </w:rPr>
        <w:t>20</w:t>
      </w:r>
      <w:r>
        <w:rPr>
          <w:b/>
          <w:bCs/>
          <w:color w:val="auto"/>
          <w:kern w:val="21"/>
          <w:sz w:val="24"/>
          <w:u w:val="single"/>
        </w:rPr>
        <w:t>m</w:t>
      </w:r>
      <w:r>
        <w:rPr>
          <w:b/>
          <w:bCs/>
          <w:color w:val="auto"/>
          <w:kern w:val="21"/>
          <w:sz w:val="24"/>
          <w:u w:val="single"/>
          <w:vertAlign w:val="superscript"/>
        </w:rPr>
        <w:t>3</w:t>
      </w:r>
      <w:r>
        <w:rPr>
          <w:b/>
          <w:bCs/>
          <w:color w:val="auto"/>
          <w:kern w:val="21"/>
          <w:sz w:val="24"/>
          <w:u w:val="single"/>
        </w:rPr>
        <w:t>，则收容容积为</w:t>
      </w:r>
      <w:r>
        <w:rPr>
          <w:rFonts w:hint="eastAsia"/>
          <w:b/>
          <w:bCs/>
          <w:color w:val="auto"/>
          <w:kern w:val="21"/>
          <w:sz w:val="24"/>
          <w:u w:val="single"/>
        </w:rPr>
        <w:t>18</w:t>
      </w:r>
      <w:r>
        <w:rPr>
          <w:b/>
          <w:bCs/>
          <w:color w:val="auto"/>
          <w:kern w:val="21"/>
          <w:sz w:val="24"/>
          <w:u w:val="single"/>
        </w:rPr>
        <w:t>m</w:t>
      </w:r>
      <w:r>
        <w:rPr>
          <w:b/>
          <w:bCs/>
          <w:color w:val="auto"/>
          <w:kern w:val="21"/>
          <w:sz w:val="24"/>
          <w:u w:val="single"/>
          <w:vertAlign w:val="superscript"/>
        </w:rPr>
        <w:t>3</w:t>
      </w:r>
      <w:r>
        <w:rPr>
          <w:b/>
          <w:bCs/>
          <w:color w:val="auto"/>
          <w:kern w:val="21"/>
          <w:sz w:val="24"/>
          <w:u w:val="single"/>
        </w:rPr>
        <w:t>，够满足厂区单槽最大泄漏量（</w:t>
      </w:r>
      <w:r>
        <w:rPr>
          <w:rFonts w:hint="eastAsia"/>
          <w:b/>
          <w:bCs/>
          <w:color w:val="auto"/>
          <w:kern w:val="21"/>
          <w:sz w:val="24"/>
          <w:u w:val="single"/>
        </w:rPr>
        <w:t>11.9m</w:t>
      </w:r>
      <w:r>
        <w:rPr>
          <w:rFonts w:hint="eastAsia"/>
          <w:b/>
          <w:bCs/>
          <w:color w:val="auto"/>
          <w:kern w:val="21"/>
          <w:sz w:val="24"/>
          <w:u w:val="single"/>
          <w:vertAlign w:val="superscript"/>
        </w:rPr>
        <w:t>3</w:t>
      </w:r>
      <w:r>
        <w:rPr>
          <w:b/>
          <w:bCs/>
          <w:color w:val="auto"/>
          <w:kern w:val="21"/>
          <w:sz w:val="24"/>
          <w:u w:val="single"/>
        </w:rPr>
        <w:t>）的收容要求。收集的槽液不外排，待镀</w:t>
      </w:r>
      <w:r>
        <w:rPr>
          <w:rFonts w:hint="eastAsia"/>
          <w:b/>
          <w:bCs/>
          <w:color w:val="auto"/>
          <w:kern w:val="21"/>
          <w:sz w:val="24"/>
          <w:u w:val="single"/>
        </w:rPr>
        <w:t>槽</w:t>
      </w:r>
      <w:r>
        <w:rPr>
          <w:b/>
          <w:bCs/>
          <w:color w:val="auto"/>
          <w:kern w:val="21"/>
          <w:sz w:val="24"/>
          <w:u w:val="single"/>
        </w:rPr>
        <w:t>维修完毕后可继续使用。平时要加强对</w:t>
      </w:r>
      <w:r>
        <w:rPr>
          <w:rFonts w:hint="eastAsia"/>
          <w:b/>
          <w:bCs/>
          <w:color w:val="auto"/>
          <w:kern w:val="21"/>
          <w:sz w:val="24"/>
          <w:u w:val="single"/>
        </w:rPr>
        <w:t>镀槽</w:t>
      </w:r>
      <w:r>
        <w:rPr>
          <w:b/>
          <w:bCs/>
          <w:color w:val="auto"/>
          <w:kern w:val="21"/>
          <w:sz w:val="24"/>
          <w:u w:val="single"/>
        </w:rPr>
        <w:t>的维护保养，防止跑冒滴漏。</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6.7.2危险化学品泄漏风险防范措施 </w:t>
      </w:r>
    </w:p>
    <w:p>
      <w:pPr>
        <w:adjustRightInd w:val="0"/>
        <w:snapToGrid w:val="0"/>
        <w:spacing w:line="360" w:lineRule="auto"/>
        <w:ind w:firstLine="482" w:firstLineChars="200"/>
        <w:rPr>
          <w:b/>
          <w:color w:val="auto"/>
          <w:kern w:val="21"/>
          <w:sz w:val="24"/>
          <w:szCs w:val="22"/>
          <w:u w:val="single"/>
        </w:rPr>
      </w:pPr>
      <w:r>
        <w:rPr>
          <w:rFonts w:hint="eastAsia"/>
          <w:b/>
          <w:color w:val="auto"/>
          <w:kern w:val="21"/>
          <w:sz w:val="24"/>
          <w:szCs w:val="22"/>
          <w:u w:val="single"/>
        </w:rPr>
        <w:t>根据厂区整体规划，拟在北车间的东北角设置电镀线原料专库，用于储存电镀线所使用的化学品。项目整个厂区实行化学品专人负责，统一备案、采购、保管、调配。生产所需化学品全部集中储存在专库内，内部分类分区存放。对腐蚀性强的盐酸、硫酸采用专用储罐储存，柠檬酸、硼酸采用专用桶储存，库房采取全室通风、防渗、防漏等措施。</w:t>
      </w:r>
    </w:p>
    <w:p>
      <w:pPr>
        <w:adjustRightInd w:val="0"/>
        <w:snapToGrid w:val="0"/>
        <w:spacing w:line="360" w:lineRule="auto"/>
        <w:ind w:firstLine="482" w:firstLineChars="200"/>
        <w:rPr>
          <w:b/>
          <w:color w:val="auto"/>
          <w:kern w:val="21"/>
          <w:sz w:val="24"/>
          <w:u w:val="single"/>
        </w:rPr>
      </w:pPr>
      <w:r>
        <w:rPr>
          <w:rFonts w:hint="eastAsia"/>
          <w:b/>
          <w:color w:val="auto"/>
          <w:kern w:val="21"/>
          <w:sz w:val="24"/>
          <w:szCs w:val="22"/>
          <w:u w:val="single"/>
        </w:rPr>
        <w:t>本项目涉及的危化品均由供货商委托有资质单位运输至厂区内。外购盐酸、硫酸槽车卸料口通过软管与酸泵入口相连，适当切换酸泵进出口管路系统阀门，启动酸泵将盐酸</w:t>
      </w:r>
      <w:r>
        <w:rPr>
          <w:rFonts w:hint="eastAsia"/>
          <w:b/>
          <w:color w:val="auto"/>
          <w:kern w:val="21"/>
          <w:sz w:val="24"/>
          <w:szCs w:val="22"/>
          <w:u w:val="single"/>
          <w:lang w:val="en-US" w:eastAsia="zh-CN"/>
        </w:rPr>
        <w:t>和硫酸</w:t>
      </w:r>
      <w:r>
        <w:rPr>
          <w:rFonts w:hint="eastAsia"/>
          <w:b/>
          <w:color w:val="auto"/>
          <w:kern w:val="21"/>
          <w:sz w:val="24"/>
          <w:szCs w:val="22"/>
          <w:u w:val="single"/>
        </w:rPr>
        <w:t>输送至酸储罐储存，完成卸酸作业。其他化学品由原料供应商指定具备资质的单位负责运输至厂内仓库，采用人工卸货存放入库，出库时由人工装货出库，送至区内各车间使用。</w:t>
      </w:r>
    </w:p>
    <w:p>
      <w:pPr>
        <w:adjustRightInd w:val="0"/>
        <w:snapToGrid w:val="0"/>
        <w:spacing w:line="360" w:lineRule="auto"/>
        <w:ind w:firstLine="482" w:firstLineChars="200"/>
        <w:rPr>
          <w:b/>
          <w:color w:val="auto"/>
          <w:kern w:val="21"/>
          <w:sz w:val="24"/>
          <w:u w:val="single"/>
        </w:rPr>
      </w:pPr>
      <w:r>
        <w:rPr>
          <w:b/>
          <w:color w:val="auto"/>
          <w:kern w:val="21"/>
          <w:sz w:val="24"/>
          <w:u w:val="single"/>
        </w:rPr>
        <w:t xml:space="preserve">危险化学品泄漏主要发生在其运输与储存的环节，对于其运输与储存风险的防范应在管理、运输设备、储存设备及其维护上控制： </w:t>
      </w:r>
    </w:p>
    <w:p>
      <w:pPr>
        <w:numPr>
          <w:ilvl w:val="0"/>
          <w:numId w:val="3"/>
        </w:numPr>
        <w:adjustRightInd w:val="0"/>
        <w:snapToGrid w:val="0"/>
        <w:spacing w:line="360" w:lineRule="auto"/>
        <w:ind w:firstLine="482" w:firstLineChars="200"/>
        <w:rPr>
          <w:b/>
          <w:color w:val="auto"/>
          <w:kern w:val="21"/>
          <w:sz w:val="24"/>
          <w:u w:val="single"/>
        </w:rPr>
      </w:pPr>
      <w:r>
        <w:rPr>
          <w:b/>
          <w:color w:val="auto"/>
          <w:kern w:val="21"/>
          <w:sz w:val="24"/>
          <w:u w:val="single"/>
        </w:rPr>
        <w:t>加强装卸作业</w:t>
      </w:r>
    </w:p>
    <w:p>
      <w:pPr>
        <w:adjustRightInd w:val="0"/>
        <w:snapToGrid w:val="0"/>
        <w:spacing w:line="360" w:lineRule="auto"/>
        <w:ind w:firstLine="723" w:firstLineChars="300"/>
        <w:rPr>
          <w:b/>
          <w:color w:val="auto"/>
          <w:kern w:val="21"/>
          <w:sz w:val="24"/>
          <w:u w:val="single"/>
        </w:rPr>
      </w:pPr>
      <w:r>
        <w:rPr>
          <w:b/>
          <w:color w:val="auto"/>
          <w:kern w:val="21"/>
          <w:sz w:val="24"/>
          <w:u w:val="single"/>
        </w:rPr>
        <w:t>管理企业的装卸作业场所应设置在人群活动较少的偏僻处，装卸作业人员必须具备合格的专业技能，装卸作业机械设备的性能必须符合要求，不得野蛮装卸作业，装卸过程要轻装轻放，避免撞击、重压</w:t>
      </w:r>
      <w:r>
        <w:rPr>
          <w:rFonts w:hint="eastAsia"/>
          <w:b/>
          <w:color w:val="auto"/>
          <w:kern w:val="21"/>
          <w:sz w:val="24"/>
          <w:u w:val="single"/>
          <w:lang w:eastAsia="zh-CN"/>
        </w:rPr>
        <w:t>和摩擦</w:t>
      </w:r>
      <w:r>
        <w:rPr>
          <w:b/>
          <w:color w:val="auto"/>
          <w:kern w:val="21"/>
          <w:sz w:val="24"/>
          <w:u w:val="single"/>
        </w:rPr>
        <w:t xml:space="preserve">；在装卸作业场所的明显位置贴示―危险警示标记，不断加强对装卸作业人员的技能培训。 </w:t>
      </w:r>
    </w:p>
    <w:p>
      <w:pPr>
        <w:adjustRightInd w:val="0"/>
        <w:snapToGrid w:val="0"/>
        <w:spacing w:line="360" w:lineRule="auto"/>
        <w:ind w:firstLine="482" w:firstLineChars="200"/>
        <w:rPr>
          <w:b/>
          <w:color w:val="auto"/>
          <w:kern w:val="21"/>
          <w:sz w:val="24"/>
          <w:u w:val="single"/>
        </w:rPr>
      </w:pPr>
      <w:r>
        <w:rPr>
          <w:b/>
          <w:color w:val="auto"/>
          <w:kern w:val="21"/>
          <w:sz w:val="24"/>
          <w:u w:val="single"/>
        </w:rPr>
        <w:t xml:space="preserve">（2）加强储存管理 </w:t>
      </w:r>
    </w:p>
    <w:p>
      <w:pPr>
        <w:adjustRightInd w:val="0"/>
        <w:snapToGrid w:val="0"/>
        <w:spacing w:line="360" w:lineRule="auto"/>
        <w:ind w:firstLine="482" w:firstLineChars="200"/>
        <w:rPr>
          <w:b/>
          <w:color w:val="auto"/>
          <w:kern w:val="21"/>
          <w:sz w:val="24"/>
          <w:u w:val="single"/>
        </w:rPr>
      </w:pPr>
      <w:r>
        <w:rPr>
          <w:b/>
          <w:color w:val="auto"/>
          <w:kern w:val="21"/>
          <w:sz w:val="24"/>
          <w:u w:val="single"/>
        </w:rPr>
        <w:t>企业存放的化学品应按照各自的性质，分门别类单独存放，特别是互相干扰、互相影响的物品应隔离存放；危险化学品存放应有标示牌和安全使用说明；危险化学品的存放应有专人管理，管理人员则应具备应急处理能力。储存区内应具备应急的器械和有关用具，如沙池、隔板等，项目危化品主要采用20L或25kg的小包装，建议在地面设置</w:t>
      </w:r>
      <w:r>
        <w:rPr>
          <w:rFonts w:hint="eastAsia"/>
          <w:b/>
          <w:color w:val="auto"/>
          <w:kern w:val="21"/>
          <w:sz w:val="24"/>
          <w:u w:val="single"/>
          <w:lang w:val="en-US" w:eastAsia="zh-CN"/>
        </w:rPr>
        <w:t>漫</w:t>
      </w:r>
      <w:r>
        <w:rPr>
          <w:b/>
          <w:color w:val="auto"/>
          <w:kern w:val="21"/>
          <w:sz w:val="24"/>
          <w:u w:val="single"/>
        </w:rPr>
        <w:t xml:space="preserve">坡及围堰，以备化学品在洒落或泄漏时能临时清理存放。 </w:t>
      </w:r>
    </w:p>
    <w:p>
      <w:pPr>
        <w:adjustRightInd w:val="0"/>
        <w:snapToGrid w:val="0"/>
        <w:spacing w:line="360" w:lineRule="auto"/>
        <w:ind w:firstLine="482" w:firstLineChars="200"/>
        <w:rPr>
          <w:b/>
          <w:color w:val="auto"/>
          <w:kern w:val="21"/>
          <w:sz w:val="24"/>
          <w:u w:val="single"/>
        </w:rPr>
      </w:pPr>
      <w:r>
        <w:rPr>
          <w:b/>
          <w:color w:val="auto"/>
          <w:kern w:val="21"/>
          <w:sz w:val="24"/>
          <w:u w:val="single"/>
        </w:rPr>
        <w:t xml:space="preserve">（3）应急处理措施 </w:t>
      </w:r>
    </w:p>
    <w:p>
      <w:pPr>
        <w:adjustRightInd w:val="0"/>
        <w:snapToGrid w:val="0"/>
        <w:spacing w:line="360" w:lineRule="auto"/>
        <w:ind w:firstLine="482" w:firstLineChars="200"/>
        <w:rPr>
          <w:b/>
          <w:color w:val="auto"/>
          <w:kern w:val="21"/>
          <w:sz w:val="24"/>
          <w:u w:val="single"/>
        </w:rPr>
      </w:pPr>
      <w:r>
        <w:rPr>
          <w:b/>
          <w:color w:val="auto"/>
          <w:kern w:val="21"/>
          <w:sz w:val="24"/>
          <w:u w:val="single"/>
        </w:rPr>
        <w:t xml:space="preserve">当发生危险化学品泄漏时，应迅速撤离泄漏污染区人员至安全区，并进行隔离，严格限制出入。切断火源。建议应急处理人员戴自给正压式呼吸器，穿消防防护服。尽可能切断泄漏源，防止进入下水道等限制性空间。泄漏被控制后，要及时将现场泄漏物进行覆盖、收容、稀释、处理使泄漏物得到安全可靠的处置，防止二次事故的发生。 </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6.7.3火灾、爆炸风险防范措施 </w:t>
      </w:r>
    </w:p>
    <w:p>
      <w:pPr>
        <w:adjustRightInd w:val="0"/>
        <w:snapToGrid w:val="0"/>
        <w:spacing w:line="360" w:lineRule="auto"/>
        <w:ind w:firstLine="480" w:firstLineChars="200"/>
        <w:rPr>
          <w:color w:val="auto"/>
          <w:kern w:val="21"/>
          <w:sz w:val="24"/>
        </w:rPr>
      </w:pPr>
      <w:r>
        <w:rPr>
          <w:color w:val="auto"/>
          <w:kern w:val="21"/>
          <w:sz w:val="24"/>
        </w:rPr>
        <w:t xml:space="preserve">（1）本项目风险防范措施 </w:t>
      </w:r>
    </w:p>
    <w:p>
      <w:pPr>
        <w:adjustRightInd w:val="0"/>
        <w:snapToGrid w:val="0"/>
        <w:spacing w:line="360" w:lineRule="auto"/>
        <w:ind w:firstLine="480" w:firstLineChars="200"/>
        <w:rPr>
          <w:color w:val="auto"/>
          <w:kern w:val="21"/>
          <w:sz w:val="24"/>
        </w:rPr>
      </w:pPr>
      <w:r>
        <w:rPr>
          <w:color w:val="auto"/>
          <w:kern w:val="21"/>
          <w:sz w:val="24"/>
        </w:rPr>
        <w:t xml:space="preserve">天然气由专业燃气公司通过市政管道供应，相关设施将由专业资质单位进行安装和调试，运行期间，现场按要求配备相关泄漏检测报警和紧急切断装置，车间安装有效通排风设施，可以有效防止天然气泄漏，以及泄漏后聚集而发生火灾和爆炸。车间内严禁烟火，配置相应消防器材，应急处置措施如下： </w:t>
      </w:r>
    </w:p>
    <w:p>
      <w:pPr>
        <w:adjustRightInd w:val="0"/>
        <w:snapToGrid w:val="0"/>
        <w:spacing w:line="360" w:lineRule="auto"/>
        <w:ind w:firstLine="480" w:firstLineChars="200"/>
        <w:rPr>
          <w:color w:val="auto"/>
          <w:kern w:val="21"/>
          <w:sz w:val="24"/>
        </w:rPr>
      </w:pPr>
      <w:r>
        <w:rPr>
          <w:color w:val="auto"/>
          <w:kern w:val="21"/>
          <w:sz w:val="24"/>
        </w:rPr>
        <w:t xml:space="preserve">①当仓库着火时，应立即使用现场干粉灭火器进行灭火 </w:t>
      </w:r>
    </w:p>
    <w:p>
      <w:pPr>
        <w:adjustRightInd w:val="0"/>
        <w:snapToGrid w:val="0"/>
        <w:spacing w:line="360" w:lineRule="auto"/>
        <w:ind w:firstLine="480" w:firstLineChars="200"/>
        <w:rPr>
          <w:color w:val="auto"/>
          <w:kern w:val="21"/>
          <w:sz w:val="24"/>
        </w:rPr>
      </w:pPr>
      <w:r>
        <w:rPr>
          <w:color w:val="auto"/>
          <w:kern w:val="21"/>
          <w:sz w:val="24"/>
        </w:rPr>
        <w:t xml:space="preserve">②如火势较大，不能控制时，应立即使用现场消防栓扑救，并报告保安中心启动消防喷淋；在确保人身安全情况下，可适当转移周围化学品或易燃物品等。 </w:t>
      </w:r>
    </w:p>
    <w:p>
      <w:pPr>
        <w:adjustRightInd w:val="0"/>
        <w:snapToGrid w:val="0"/>
        <w:spacing w:line="360" w:lineRule="auto"/>
        <w:ind w:firstLine="480" w:firstLineChars="200"/>
        <w:rPr>
          <w:color w:val="auto"/>
          <w:kern w:val="21"/>
          <w:sz w:val="24"/>
        </w:rPr>
      </w:pPr>
      <w:r>
        <w:rPr>
          <w:color w:val="auto"/>
          <w:kern w:val="21"/>
          <w:sz w:val="24"/>
        </w:rPr>
        <w:t xml:space="preserve">③如火势凶猛，可能引起人身伤害或周围化学品爆炸时，应立即报告119，并组织周围人员疏散至安全地方。 </w:t>
      </w:r>
    </w:p>
    <w:p>
      <w:pPr>
        <w:adjustRightInd w:val="0"/>
        <w:snapToGrid w:val="0"/>
        <w:spacing w:line="360" w:lineRule="auto"/>
        <w:ind w:firstLine="480" w:firstLineChars="200"/>
        <w:rPr>
          <w:color w:val="auto"/>
          <w:kern w:val="21"/>
          <w:sz w:val="24"/>
        </w:rPr>
      </w:pPr>
      <w:r>
        <w:rPr>
          <w:color w:val="auto"/>
          <w:kern w:val="21"/>
          <w:sz w:val="24"/>
        </w:rPr>
        <w:t xml:space="preserve">④启动消防和环境风险应急预案。 </w:t>
      </w:r>
    </w:p>
    <w:p>
      <w:pPr>
        <w:adjustRightInd w:val="0"/>
        <w:snapToGrid w:val="0"/>
        <w:spacing w:line="360" w:lineRule="auto"/>
        <w:ind w:firstLine="480" w:firstLineChars="200"/>
        <w:rPr>
          <w:color w:val="auto"/>
          <w:kern w:val="21"/>
          <w:sz w:val="24"/>
        </w:rPr>
      </w:pPr>
      <w:r>
        <w:rPr>
          <w:color w:val="auto"/>
          <w:kern w:val="21"/>
          <w:sz w:val="24"/>
        </w:rPr>
        <w:t xml:space="preserve">（2）园区管理部门的风险防范联动措施 </w:t>
      </w:r>
    </w:p>
    <w:p>
      <w:pPr>
        <w:adjustRightInd w:val="0"/>
        <w:snapToGrid w:val="0"/>
        <w:spacing w:line="360" w:lineRule="auto"/>
        <w:ind w:firstLine="480" w:firstLineChars="200"/>
        <w:rPr>
          <w:color w:val="auto"/>
          <w:kern w:val="21"/>
          <w:sz w:val="24"/>
          <w:u w:val="single"/>
        </w:rPr>
      </w:pPr>
      <w:r>
        <w:rPr>
          <w:color w:val="auto"/>
          <w:kern w:val="21"/>
          <w:sz w:val="24"/>
        </w:rPr>
        <w:t xml:space="preserve">本项目构筑物的设计严格执行《建筑设计防火规范》；电缆敷设采用电缆沟充砂方式敷设，防止可燃气体在电缆沟内聚集；在容易聚集易燃爆炸气体的场所，装置设置可燃气体浓度报警器，报警信号接入主控室；消防设计执行《建筑设计防火规范》、《低倍数泡沫灭系统设计规范》和《建筑灭火器配置设计规范》；消防控制室应配备接收泄漏、火灾报警、发出火灾声光报警信号的装置；消防用电设备应采用专用的供电回路，当发生火灾切断生产、生活用电时，应仍能保证消防用电，其配电设备应有明显的标志；消防设施和消防管线设计、选材上应具有相应的防腐功能。 </w:t>
      </w:r>
    </w:p>
    <w:p>
      <w:pPr>
        <w:adjustRightInd w:val="0"/>
        <w:snapToGrid w:val="0"/>
        <w:spacing w:line="360" w:lineRule="auto"/>
        <w:outlineLvl w:val="2"/>
        <w:rPr>
          <w:rFonts w:eastAsia="黑体"/>
          <w:color w:val="auto"/>
          <w:kern w:val="21"/>
          <w:sz w:val="28"/>
          <w:szCs w:val="28"/>
        </w:rPr>
      </w:pPr>
      <w:r>
        <w:rPr>
          <w:rFonts w:eastAsia="黑体"/>
          <w:color w:val="auto"/>
          <w:kern w:val="21"/>
          <w:sz w:val="28"/>
          <w:szCs w:val="28"/>
        </w:rPr>
        <w:t xml:space="preserve">6.7.4事故排放风险防范措施 </w:t>
      </w:r>
    </w:p>
    <w:p>
      <w:pPr>
        <w:adjustRightInd w:val="0"/>
        <w:snapToGrid w:val="0"/>
        <w:spacing w:line="360" w:lineRule="auto"/>
        <w:ind w:firstLine="480" w:firstLineChars="200"/>
        <w:rPr>
          <w:color w:val="auto"/>
          <w:kern w:val="21"/>
          <w:sz w:val="24"/>
          <w:u w:val="single"/>
        </w:rPr>
      </w:pPr>
      <w:r>
        <w:rPr>
          <w:color w:val="auto"/>
          <w:kern w:val="21"/>
          <w:sz w:val="24"/>
        </w:rPr>
        <w:t xml:space="preserve">（1）废水事故排放风险防范措施 </w:t>
      </w:r>
    </w:p>
    <w:p>
      <w:pPr>
        <w:adjustRightInd w:val="0"/>
        <w:snapToGrid w:val="0"/>
        <w:spacing w:line="360" w:lineRule="auto"/>
        <w:ind w:firstLine="480"/>
        <w:rPr>
          <w:b/>
          <w:color w:val="auto"/>
          <w:kern w:val="21"/>
          <w:sz w:val="24"/>
          <w:u w:val="single"/>
        </w:rPr>
      </w:pPr>
      <w:r>
        <w:rPr>
          <w:b/>
          <w:color w:val="auto"/>
          <w:kern w:val="21"/>
          <w:sz w:val="24"/>
          <w:u w:val="single"/>
        </w:rPr>
        <w:t>本项目污水处理站处理规模</w:t>
      </w:r>
      <w:r>
        <w:rPr>
          <w:rFonts w:hint="eastAsia"/>
          <w:b/>
          <w:color w:val="auto"/>
          <w:kern w:val="21"/>
          <w:sz w:val="24"/>
          <w:u w:val="single"/>
        </w:rPr>
        <w:t>450m</w:t>
      </w:r>
      <w:r>
        <w:rPr>
          <w:rFonts w:hint="eastAsia"/>
          <w:b/>
          <w:color w:val="auto"/>
          <w:kern w:val="21"/>
          <w:sz w:val="24"/>
          <w:u w:val="single"/>
          <w:vertAlign w:val="superscript"/>
        </w:rPr>
        <w:t>3</w:t>
      </w:r>
      <w:r>
        <w:rPr>
          <w:rFonts w:hint="eastAsia"/>
          <w:b/>
          <w:color w:val="auto"/>
          <w:kern w:val="21"/>
          <w:sz w:val="24"/>
          <w:u w:val="single"/>
        </w:rPr>
        <w:t>/d，污水处理站设置</w:t>
      </w:r>
      <w:r>
        <w:rPr>
          <w:rFonts w:hint="eastAsia"/>
          <w:b/>
          <w:color w:val="auto"/>
          <w:kern w:val="21"/>
          <w:sz w:val="24"/>
          <w:u w:val="single"/>
          <w:lang w:val="en-US" w:eastAsia="zh-CN"/>
        </w:rPr>
        <w:t>1</w:t>
      </w:r>
      <w:r>
        <w:rPr>
          <w:rFonts w:hint="eastAsia"/>
          <w:b/>
          <w:color w:val="auto"/>
          <w:kern w:val="21"/>
          <w:sz w:val="24"/>
          <w:u w:val="single"/>
        </w:rPr>
        <w:t>座总容积为420m</w:t>
      </w:r>
      <w:r>
        <w:rPr>
          <w:rFonts w:hint="eastAsia"/>
          <w:b/>
          <w:color w:val="auto"/>
          <w:kern w:val="21"/>
          <w:sz w:val="24"/>
          <w:u w:val="single"/>
          <w:vertAlign w:val="superscript"/>
        </w:rPr>
        <w:t>3</w:t>
      </w:r>
      <w:r>
        <w:rPr>
          <w:rFonts w:hint="eastAsia"/>
          <w:b/>
          <w:color w:val="auto"/>
          <w:kern w:val="21"/>
          <w:sz w:val="24"/>
          <w:u w:val="single"/>
        </w:rPr>
        <w:t>的缓冲池</w:t>
      </w:r>
      <w:r>
        <w:rPr>
          <w:rFonts w:hint="eastAsia"/>
          <w:b/>
          <w:color w:val="auto"/>
          <w:kern w:val="21"/>
          <w:sz w:val="24"/>
          <w:u w:val="single"/>
          <w:lang w:eastAsia="zh-CN"/>
        </w:rPr>
        <w:t>（</w:t>
      </w:r>
      <w:r>
        <w:rPr>
          <w:rFonts w:hint="eastAsia"/>
          <w:b/>
          <w:color w:val="auto"/>
          <w:kern w:val="21"/>
          <w:sz w:val="24"/>
          <w:u w:val="single"/>
          <w:lang w:val="en-US" w:eastAsia="zh-CN"/>
        </w:rPr>
        <w:t>兼事故池</w:t>
      </w:r>
      <w:r>
        <w:rPr>
          <w:rFonts w:hint="eastAsia"/>
          <w:b/>
          <w:color w:val="auto"/>
          <w:kern w:val="21"/>
          <w:sz w:val="24"/>
          <w:u w:val="single"/>
          <w:lang w:eastAsia="zh-CN"/>
        </w:rPr>
        <w:t>）</w:t>
      </w:r>
      <w:r>
        <w:rPr>
          <w:rFonts w:hint="eastAsia"/>
          <w:b/>
          <w:color w:val="auto"/>
          <w:kern w:val="21"/>
          <w:sz w:val="24"/>
          <w:u w:val="single"/>
        </w:rPr>
        <w:t>，内设隔断，分类收集周期排放的各类废水，并逐步排入污水处理站，从而减少污水站的处理负荷，为满足一次性最大排水量要求，</w:t>
      </w:r>
      <w:r>
        <w:rPr>
          <w:rFonts w:hint="eastAsia"/>
          <w:b/>
          <w:color w:val="auto"/>
          <w:kern w:val="21"/>
          <w:sz w:val="24"/>
          <w:szCs w:val="24"/>
          <w:u w:val="single"/>
        </w:rPr>
        <w:t>考虑最不利情况，各缓冲池要求可容纳本类废水所有槽液同步更换时产生的废水量</w:t>
      </w:r>
      <w:r>
        <w:rPr>
          <w:rFonts w:hint="eastAsia"/>
          <w:b/>
          <w:color w:val="auto"/>
          <w:kern w:val="21"/>
          <w:sz w:val="24"/>
          <w:u w:val="single"/>
        </w:rPr>
        <w:t>。因此缓冲池容积较大，并且可独立收集各类废水，可同步</w:t>
      </w:r>
      <w:r>
        <w:rPr>
          <w:rFonts w:hint="eastAsia"/>
          <w:b/>
          <w:color w:val="auto"/>
          <w:kern w:val="21"/>
          <w:sz w:val="24"/>
          <w:u w:val="single"/>
          <w:lang w:eastAsia="zh-CN"/>
        </w:rPr>
        <w:t>作为</w:t>
      </w:r>
      <w:r>
        <w:rPr>
          <w:rFonts w:hint="eastAsia"/>
          <w:b/>
          <w:color w:val="auto"/>
          <w:kern w:val="21"/>
          <w:sz w:val="24"/>
          <w:u w:val="single"/>
        </w:rPr>
        <w:t>污水处理站事故池，主要收集污水处理站事故状态下废水，因此不再为污水处理站单独设置事故池。</w:t>
      </w:r>
    </w:p>
    <w:p>
      <w:pPr>
        <w:adjustRightInd w:val="0"/>
        <w:snapToGrid w:val="0"/>
        <w:spacing w:line="360" w:lineRule="auto"/>
        <w:ind w:firstLine="480"/>
        <w:rPr>
          <w:b/>
          <w:color w:val="auto"/>
          <w:kern w:val="21"/>
          <w:sz w:val="24"/>
          <w:u w:val="single"/>
        </w:rPr>
      </w:pPr>
      <w:r>
        <w:rPr>
          <w:rFonts w:hint="eastAsia"/>
          <w:b/>
          <w:color w:val="auto"/>
          <w:kern w:val="21"/>
          <w:sz w:val="24"/>
          <w:u w:val="single"/>
        </w:rPr>
        <w:t>但为防止电镀原料区的危险化学品泄漏，同时应对火灾、爆炸事故产生的消防废水，厂区仍需另设置一座事故池。依据《化工建设项目环境保护设计规范》（</w:t>
      </w:r>
      <w:r>
        <w:rPr>
          <w:b/>
          <w:color w:val="auto"/>
          <w:kern w:val="21"/>
          <w:sz w:val="24"/>
          <w:u w:val="single"/>
        </w:rPr>
        <w:t>GB50483-2009</w:t>
      </w:r>
      <w:r>
        <w:rPr>
          <w:rFonts w:hint="eastAsia"/>
          <w:b/>
          <w:color w:val="auto"/>
          <w:kern w:val="21"/>
          <w:sz w:val="24"/>
          <w:u w:val="single"/>
        </w:rPr>
        <w:t>），事故水池总有效容积计算公式如下：</w:t>
      </w:r>
      <w:r>
        <w:rPr>
          <w:b/>
          <w:color w:val="auto"/>
          <w:kern w:val="21"/>
          <w:sz w:val="24"/>
          <w:u w:val="single"/>
        </w:rPr>
        <w:t xml:space="preserve"> </w:t>
      </w:r>
    </w:p>
    <w:p>
      <w:pPr>
        <w:adjustRightInd w:val="0"/>
        <w:snapToGrid w:val="0"/>
        <w:spacing w:line="360" w:lineRule="auto"/>
        <w:ind w:firstLine="480"/>
        <w:jc w:val="center"/>
        <w:rPr>
          <w:b/>
          <w:color w:val="auto"/>
          <w:kern w:val="21"/>
          <w:sz w:val="24"/>
          <w:u w:val="single"/>
        </w:rPr>
      </w:pPr>
      <w:r>
        <w:rPr>
          <w:b/>
          <w:color w:val="auto"/>
          <w:kern w:val="21"/>
          <w:sz w:val="24"/>
          <w:u w:val="single"/>
        </w:rPr>
        <w:t>V</w:t>
      </w:r>
      <w:r>
        <w:rPr>
          <w:rFonts w:hint="eastAsia"/>
          <w:b/>
          <w:color w:val="auto"/>
          <w:kern w:val="21"/>
          <w:sz w:val="24"/>
          <w:u w:val="single"/>
          <w:vertAlign w:val="subscript"/>
        </w:rPr>
        <w:t>事故池</w:t>
      </w:r>
      <w:r>
        <w:rPr>
          <w:b/>
          <w:color w:val="auto"/>
          <w:kern w:val="21"/>
          <w:sz w:val="24"/>
          <w:u w:val="single"/>
        </w:rPr>
        <w:t>=</w:t>
      </w:r>
      <w:r>
        <w:rPr>
          <w:rFonts w:hint="eastAsia"/>
          <w:b/>
          <w:color w:val="auto"/>
          <w:kern w:val="21"/>
          <w:sz w:val="24"/>
          <w:u w:val="single"/>
        </w:rPr>
        <w:t>（</w:t>
      </w:r>
      <w:r>
        <w:rPr>
          <w:b/>
          <w:color w:val="auto"/>
          <w:kern w:val="21"/>
          <w:sz w:val="24"/>
          <w:u w:val="single"/>
        </w:rPr>
        <w:t>V</w:t>
      </w:r>
      <w:r>
        <w:rPr>
          <w:b/>
          <w:color w:val="auto"/>
          <w:kern w:val="21"/>
          <w:sz w:val="24"/>
          <w:u w:val="single"/>
          <w:vertAlign w:val="subscript"/>
        </w:rPr>
        <w:t>1</w:t>
      </w:r>
      <w:r>
        <w:rPr>
          <w:rFonts w:hint="eastAsia"/>
          <w:b/>
          <w:color w:val="auto"/>
          <w:kern w:val="21"/>
          <w:sz w:val="24"/>
          <w:u w:val="single"/>
        </w:rPr>
        <w:t>＋</w:t>
      </w:r>
      <w:r>
        <w:rPr>
          <w:b/>
          <w:color w:val="auto"/>
          <w:kern w:val="21"/>
          <w:sz w:val="24"/>
          <w:u w:val="single"/>
        </w:rPr>
        <w:t>V</w:t>
      </w:r>
      <w:r>
        <w:rPr>
          <w:b/>
          <w:color w:val="auto"/>
          <w:kern w:val="21"/>
          <w:sz w:val="24"/>
          <w:u w:val="single"/>
          <w:vertAlign w:val="subscript"/>
        </w:rPr>
        <w:t>2</w:t>
      </w:r>
      <w:r>
        <w:rPr>
          <w:rFonts w:hint="eastAsia"/>
          <w:b/>
          <w:color w:val="auto"/>
          <w:kern w:val="21"/>
          <w:sz w:val="24"/>
          <w:u w:val="single"/>
        </w:rPr>
        <w:t>＋</w:t>
      </w:r>
      <w:r>
        <w:rPr>
          <w:b/>
          <w:color w:val="auto"/>
          <w:kern w:val="21"/>
          <w:sz w:val="24"/>
          <w:u w:val="single"/>
        </w:rPr>
        <w:t>V</w:t>
      </w:r>
      <w:r>
        <w:rPr>
          <w:rFonts w:hint="eastAsia"/>
          <w:b/>
          <w:color w:val="auto"/>
          <w:kern w:val="21"/>
          <w:sz w:val="24"/>
          <w:u w:val="single"/>
          <w:vertAlign w:val="subscript"/>
        </w:rPr>
        <w:t>雨</w:t>
      </w:r>
      <w:r>
        <w:rPr>
          <w:rFonts w:hint="eastAsia"/>
          <w:b/>
          <w:color w:val="auto"/>
          <w:kern w:val="21"/>
          <w:sz w:val="24"/>
          <w:u w:val="single"/>
        </w:rPr>
        <w:t>）－</w:t>
      </w:r>
      <w:r>
        <w:rPr>
          <w:b/>
          <w:color w:val="auto"/>
          <w:kern w:val="21"/>
          <w:sz w:val="24"/>
          <w:u w:val="single"/>
        </w:rPr>
        <w:t>V</w:t>
      </w:r>
      <w:r>
        <w:rPr>
          <w:b/>
          <w:color w:val="auto"/>
          <w:kern w:val="21"/>
          <w:sz w:val="24"/>
          <w:u w:val="single"/>
          <w:vertAlign w:val="subscript"/>
        </w:rPr>
        <w:t>3</w:t>
      </w:r>
    </w:p>
    <w:p>
      <w:pPr>
        <w:adjustRightInd w:val="0"/>
        <w:snapToGrid w:val="0"/>
        <w:spacing w:line="360" w:lineRule="auto"/>
        <w:ind w:firstLine="480"/>
        <w:rPr>
          <w:b/>
          <w:color w:val="auto"/>
          <w:kern w:val="21"/>
          <w:sz w:val="24"/>
          <w:u w:val="single"/>
        </w:rPr>
      </w:pPr>
      <w:r>
        <w:rPr>
          <w:rFonts w:hint="eastAsia"/>
          <w:b/>
          <w:color w:val="auto"/>
          <w:kern w:val="21"/>
          <w:sz w:val="24"/>
          <w:u w:val="single"/>
        </w:rPr>
        <w:t>式中：</w:t>
      </w:r>
      <w:r>
        <w:rPr>
          <w:b/>
          <w:color w:val="auto"/>
          <w:kern w:val="21"/>
          <w:sz w:val="24"/>
          <w:u w:val="single"/>
        </w:rPr>
        <w:t>V</w:t>
      </w:r>
      <w:r>
        <w:rPr>
          <w:b/>
          <w:color w:val="auto"/>
          <w:kern w:val="21"/>
          <w:sz w:val="24"/>
          <w:u w:val="single"/>
          <w:vertAlign w:val="subscript"/>
        </w:rPr>
        <w:t>1</w:t>
      </w:r>
      <w:r>
        <w:rPr>
          <w:b/>
          <w:color w:val="auto"/>
          <w:kern w:val="21"/>
          <w:sz w:val="24"/>
          <w:u w:val="single"/>
        </w:rPr>
        <w:t>—</w:t>
      </w:r>
      <w:r>
        <w:rPr>
          <w:rFonts w:hint="eastAsia"/>
          <w:b/>
          <w:color w:val="auto"/>
          <w:kern w:val="21"/>
          <w:sz w:val="24"/>
          <w:u w:val="single"/>
        </w:rPr>
        <w:t>最大一个容量的设备（装置）或储罐的物料贮存量（</w:t>
      </w:r>
      <w:r>
        <w:rPr>
          <w:b/>
          <w:color w:val="auto"/>
          <w:kern w:val="21"/>
          <w:sz w:val="24"/>
          <w:u w:val="single"/>
        </w:rPr>
        <w:t>m</w:t>
      </w:r>
      <w:r>
        <w:rPr>
          <w:b/>
          <w:color w:val="auto"/>
          <w:kern w:val="21"/>
          <w:sz w:val="24"/>
          <w:u w:val="single"/>
          <w:vertAlign w:val="superscript"/>
        </w:rPr>
        <w:t>3</w:t>
      </w:r>
      <w:r>
        <w:rPr>
          <w:rFonts w:hint="eastAsia"/>
          <w:b/>
          <w:color w:val="auto"/>
          <w:kern w:val="21"/>
          <w:sz w:val="24"/>
          <w:u w:val="single"/>
        </w:rPr>
        <w:t>）；</w:t>
      </w:r>
      <w:r>
        <w:rPr>
          <w:b/>
          <w:color w:val="auto"/>
          <w:kern w:val="21"/>
          <w:sz w:val="24"/>
          <w:u w:val="single"/>
        </w:rPr>
        <w:t xml:space="preserve"> </w:t>
      </w:r>
    </w:p>
    <w:p>
      <w:pPr>
        <w:adjustRightInd w:val="0"/>
        <w:snapToGrid w:val="0"/>
        <w:spacing w:line="360" w:lineRule="auto"/>
        <w:ind w:firstLine="1205" w:firstLineChars="500"/>
        <w:rPr>
          <w:b/>
          <w:color w:val="auto"/>
          <w:kern w:val="21"/>
          <w:sz w:val="24"/>
          <w:u w:val="single"/>
        </w:rPr>
      </w:pPr>
      <w:r>
        <w:rPr>
          <w:b/>
          <w:color w:val="auto"/>
          <w:kern w:val="21"/>
          <w:sz w:val="24"/>
          <w:u w:val="single"/>
        </w:rPr>
        <w:t>V</w:t>
      </w:r>
      <w:r>
        <w:rPr>
          <w:b/>
          <w:color w:val="auto"/>
          <w:kern w:val="21"/>
          <w:sz w:val="24"/>
          <w:u w:val="single"/>
          <w:vertAlign w:val="subscript"/>
        </w:rPr>
        <w:t>2</w:t>
      </w:r>
      <w:r>
        <w:rPr>
          <w:b/>
          <w:color w:val="auto"/>
          <w:kern w:val="21"/>
          <w:sz w:val="24"/>
          <w:u w:val="single"/>
        </w:rPr>
        <w:t>—</w:t>
      </w:r>
      <w:r>
        <w:rPr>
          <w:rFonts w:hint="eastAsia"/>
          <w:b/>
          <w:color w:val="auto"/>
          <w:kern w:val="21"/>
          <w:sz w:val="24"/>
          <w:u w:val="single"/>
        </w:rPr>
        <w:t>发生事故的储罐或装置的消防水量（</w:t>
      </w:r>
      <w:r>
        <w:rPr>
          <w:b/>
          <w:color w:val="auto"/>
          <w:kern w:val="21"/>
          <w:sz w:val="24"/>
          <w:u w:val="single"/>
        </w:rPr>
        <w:t>m</w:t>
      </w:r>
      <w:r>
        <w:rPr>
          <w:b/>
          <w:color w:val="auto"/>
          <w:kern w:val="21"/>
          <w:sz w:val="24"/>
          <w:u w:val="single"/>
          <w:vertAlign w:val="superscript"/>
        </w:rPr>
        <w:t>3</w:t>
      </w:r>
      <w:r>
        <w:rPr>
          <w:rFonts w:hint="eastAsia"/>
          <w:b/>
          <w:color w:val="auto"/>
          <w:kern w:val="21"/>
          <w:sz w:val="24"/>
          <w:u w:val="single"/>
        </w:rPr>
        <w:t>），</w:t>
      </w:r>
      <w:r>
        <w:rPr>
          <w:b/>
          <w:color w:val="auto"/>
          <w:kern w:val="21"/>
          <w:sz w:val="24"/>
          <w:u w:val="single"/>
        </w:rPr>
        <w:t>V</w:t>
      </w:r>
      <w:r>
        <w:rPr>
          <w:b/>
          <w:color w:val="auto"/>
          <w:kern w:val="21"/>
          <w:sz w:val="24"/>
          <w:u w:val="single"/>
          <w:vertAlign w:val="subscript"/>
        </w:rPr>
        <w:t>2</w:t>
      </w:r>
      <w:r>
        <w:rPr>
          <w:b/>
          <w:color w:val="auto"/>
          <w:kern w:val="21"/>
          <w:sz w:val="24"/>
          <w:u w:val="single"/>
        </w:rPr>
        <w:t>=</w:t>
      </w:r>
      <w:r>
        <w:rPr>
          <w:rFonts w:hint="eastAsia"/>
          <w:b/>
          <w:color w:val="auto"/>
          <w:kern w:val="21"/>
          <w:sz w:val="24"/>
          <w:u w:val="single"/>
        </w:rPr>
        <w:t>Σ</w:t>
      </w:r>
      <w:r>
        <w:rPr>
          <w:b/>
          <w:color w:val="auto"/>
          <w:kern w:val="21"/>
          <w:sz w:val="24"/>
          <w:u w:val="single"/>
        </w:rPr>
        <w:t>Q</w:t>
      </w:r>
      <w:r>
        <w:rPr>
          <w:rFonts w:hint="eastAsia"/>
          <w:b/>
          <w:color w:val="auto"/>
          <w:kern w:val="21"/>
          <w:sz w:val="24"/>
          <w:u w:val="single"/>
          <w:vertAlign w:val="subscript"/>
        </w:rPr>
        <w:t>消</w:t>
      </w:r>
      <w:r>
        <w:rPr>
          <w:b/>
          <w:color w:val="auto"/>
          <w:kern w:val="21"/>
          <w:sz w:val="24"/>
          <w:u w:val="single"/>
        </w:rPr>
        <w:t>t</w:t>
      </w:r>
      <w:r>
        <w:rPr>
          <w:rFonts w:hint="eastAsia"/>
          <w:b/>
          <w:color w:val="auto"/>
          <w:kern w:val="21"/>
          <w:sz w:val="24"/>
          <w:u w:val="single"/>
          <w:vertAlign w:val="subscript"/>
        </w:rPr>
        <w:t>消</w:t>
      </w:r>
      <w:r>
        <w:rPr>
          <w:rFonts w:hint="eastAsia"/>
          <w:b/>
          <w:color w:val="auto"/>
          <w:kern w:val="21"/>
          <w:sz w:val="24"/>
          <w:u w:val="single"/>
        </w:rPr>
        <w:t>。</w:t>
      </w:r>
    </w:p>
    <w:p>
      <w:pPr>
        <w:adjustRightInd w:val="0"/>
        <w:snapToGrid w:val="0"/>
        <w:spacing w:line="360" w:lineRule="auto"/>
        <w:ind w:left="1676" w:leftChars="798"/>
        <w:rPr>
          <w:b/>
          <w:color w:val="auto"/>
          <w:kern w:val="21"/>
          <w:sz w:val="24"/>
          <w:u w:val="single"/>
        </w:rPr>
      </w:pPr>
      <w:r>
        <w:rPr>
          <w:b/>
          <w:color w:val="auto"/>
          <w:kern w:val="21"/>
          <w:sz w:val="24"/>
          <w:u w:val="single"/>
        </w:rPr>
        <w:t>Q</w:t>
      </w:r>
      <w:r>
        <w:rPr>
          <w:rFonts w:hint="eastAsia"/>
          <w:b/>
          <w:color w:val="auto"/>
          <w:kern w:val="21"/>
          <w:sz w:val="24"/>
          <w:u w:val="single"/>
        </w:rPr>
        <w:t>消为发生事故的储罐或装置的同时使用的消防设施给水流量，单位为</w:t>
      </w:r>
      <w:r>
        <w:rPr>
          <w:b/>
          <w:color w:val="auto"/>
          <w:kern w:val="21"/>
          <w:sz w:val="24"/>
          <w:u w:val="single"/>
        </w:rPr>
        <w:t>m</w:t>
      </w:r>
      <w:r>
        <w:rPr>
          <w:b/>
          <w:color w:val="auto"/>
          <w:kern w:val="21"/>
          <w:sz w:val="24"/>
          <w:u w:val="single"/>
          <w:vertAlign w:val="superscript"/>
        </w:rPr>
        <w:t>3</w:t>
      </w:r>
      <w:r>
        <w:rPr>
          <w:b/>
          <w:color w:val="auto"/>
          <w:kern w:val="21"/>
          <w:sz w:val="24"/>
          <w:u w:val="single"/>
        </w:rPr>
        <w:t>/h</w:t>
      </w:r>
      <w:r>
        <w:rPr>
          <w:rFonts w:hint="eastAsia"/>
          <w:b/>
          <w:color w:val="auto"/>
          <w:kern w:val="21"/>
          <w:sz w:val="24"/>
          <w:u w:val="single"/>
        </w:rPr>
        <w:t>；</w:t>
      </w:r>
    </w:p>
    <w:p>
      <w:pPr>
        <w:adjustRightInd w:val="0"/>
        <w:snapToGrid w:val="0"/>
        <w:spacing w:line="360" w:lineRule="auto"/>
        <w:ind w:firstLine="1687" w:firstLineChars="700"/>
        <w:rPr>
          <w:b/>
          <w:color w:val="auto"/>
          <w:kern w:val="21"/>
          <w:sz w:val="24"/>
          <w:u w:val="single"/>
        </w:rPr>
      </w:pPr>
      <w:r>
        <w:rPr>
          <w:b/>
          <w:color w:val="auto"/>
          <w:kern w:val="21"/>
          <w:sz w:val="24"/>
          <w:u w:val="single"/>
        </w:rPr>
        <w:t>t</w:t>
      </w:r>
      <w:r>
        <w:rPr>
          <w:rFonts w:hint="eastAsia"/>
          <w:b/>
          <w:color w:val="auto"/>
          <w:kern w:val="21"/>
          <w:sz w:val="24"/>
          <w:u w:val="single"/>
        </w:rPr>
        <w:t>消为消防设施对应的设计消防历时，单位为</w:t>
      </w:r>
      <w:r>
        <w:rPr>
          <w:b/>
          <w:color w:val="auto"/>
          <w:kern w:val="21"/>
          <w:sz w:val="24"/>
          <w:u w:val="single"/>
        </w:rPr>
        <w:t>h</w:t>
      </w:r>
      <w:r>
        <w:rPr>
          <w:rFonts w:hint="eastAsia"/>
          <w:b/>
          <w:color w:val="auto"/>
          <w:kern w:val="21"/>
          <w:sz w:val="24"/>
          <w:u w:val="single"/>
        </w:rPr>
        <w:t>；</w:t>
      </w:r>
      <w:r>
        <w:rPr>
          <w:b/>
          <w:color w:val="auto"/>
          <w:kern w:val="21"/>
          <w:sz w:val="24"/>
          <w:u w:val="single"/>
        </w:rPr>
        <w:t xml:space="preserve"> </w:t>
      </w:r>
    </w:p>
    <w:p>
      <w:pPr>
        <w:adjustRightInd w:val="0"/>
        <w:snapToGrid w:val="0"/>
        <w:spacing w:line="360" w:lineRule="auto"/>
        <w:ind w:firstLine="1205" w:firstLineChars="500"/>
        <w:rPr>
          <w:b/>
          <w:color w:val="auto"/>
          <w:kern w:val="21"/>
          <w:sz w:val="24"/>
          <w:u w:val="single"/>
        </w:rPr>
      </w:pPr>
      <w:r>
        <w:rPr>
          <w:b/>
          <w:color w:val="auto"/>
          <w:kern w:val="21"/>
          <w:sz w:val="24"/>
          <w:u w:val="single"/>
        </w:rPr>
        <w:t>V</w:t>
      </w:r>
      <w:r>
        <w:rPr>
          <w:b/>
          <w:color w:val="auto"/>
          <w:kern w:val="21"/>
          <w:sz w:val="24"/>
          <w:u w:val="single"/>
          <w:vertAlign w:val="subscript"/>
        </w:rPr>
        <w:t>3</w:t>
      </w:r>
      <w:r>
        <w:rPr>
          <w:b/>
          <w:color w:val="auto"/>
          <w:kern w:val="21"/>
          <w:sz w:val="24"/>
          <w:u w:val="single"/>
        </w:rPr>
        <w:t>—</w:t>
      </w:r>
      <w:r>
        <w:rPr>
          <w:rFonts w:hint="eastAsia"/>
          <w:b/>
          <w:color w:val="auto"/>
          <w:kern w:val="21"/>
          <w:sz w:val="24"/>
          <w:u w:val="single"/>
        </w:rPr>
        <w:t>事故废水收集系统罐区围堰、防火堤内净空容量（</w:t>
      </w:r>
      <w:r>
        <w:rPr>
          <w:b/>
          <w:color w:val="auto"/>
          <w:kern w:val="21"/>
          <w:sz w:val="24"/>
          <w:u w:val="single"/>
        </w:rPr>
        <w:t>m</w:t>
      </w:r>
      <w:r>
        <w:rPr>
          <w:b/>
          <w:color w:val="auto"/>
          <w:kern w:val="21"/>
          <w:sz w:val="24"/>
          <w:u w:val="single"/>
          <w:vertAlign w:val="superscript"/>
        </w:rPr>
        <w:t>3</w:t>
      </w:r>
      <w:r>
        <w:rPr>
          <w:rFonts w:hint="eastAsia"/>
          <w:b/>
          <w:color w:val="auto"/>
          <w:kern w:val="21"/>
          <w:sz w:val="24"/>
          <w:u w:val="single"/>
        </w:rPr>
        <w:t>）；</w:t>
      </w:r>
      <w:r>
        <w:rPr>
          <w:b/>
          <w:color w:val="auto"/>
          <w:kern w:val="21"/>
          <w:sz w:val="24"/>
          <w:u w:val="single"/>
        </w:rPr>
        <w:t xml:space="preserve"> </w:t>
      </w:r>
    </w:p>
    <w:p>
      <w:pPr>
        <w:adjustRightInd w:val="0"/>
        <w:snapToGrid w:val="0"/>
        <w:spacing w:line="360" w:lineRule="auto"/>
        <w:ind w:firstLine="1205" w:firstLineChars="500"/>
        <w:rPr>
          <w:b/>
          <w:color w:val="auto"/>
          <w:kern w:val="21"/>
          <w:sz w:val="24"/>
          <w:u w:val="single"/>
        </w:rPr>
      </w:pPr>
      <w:r>
        <w:rPr>
          <w:b/>
          <w:color w:val="auto"/>
          <w:kern w:val="21"/>
          <w:sz w:val="24"/>
          <w:u w:val="single"/>
        </w:rPr>
        <w:t>V</w:t>
      </w:r>
      <w:r>
        <w:rPr>
          <w:rFonts w:hint="eastAsia"/>
          <w:b/>
          <w:color w:val="auto"/>
          <w:kern w:val="21"/>
          <w:sz w:val="24"/>
          <w:u w:val="single"/>
          <w:vertAlign w:val="subscript"/>
        </w:rPr>
        <w:t>雨</w:t>
      </w:r>
      <w:r>
        <w:rPr>
          <w:b/>
          <w:color w:val="auto"/>
          <w:kern w:val="21"/>
          <w:sz w:val="24"/>
          <w:u w:val="single"/>
        </w:rPr>
        <w:t>—</w:t>
      </w:r>
      <w:r>
        <w:rPr>
          <w:rFonts w:hint="eastAsia"/>
          <w:b/>
          <w:color w:val="auto"/>
          <w:kern w:val="21"/>
          <w:sz w:val="24"/>
          <w:u w:val="single"/>
        </w:rPr>
        <w:t>发生事故时可能进入废水收集系统的当地最大降雨量（</w:t>
      </w:r>
      <w:r>
        <w:rPr>
          <w:b/>
          <w:color w:val="auto"/>
          <w:kern w:val="21"/>
          <w:sz w:val="24"/>
          <w:u w:val="single"/>
        </w:rPr>
        <w:t>m</w:t>
      </w:r>
      <w:r>
        <w:rPr>
          <w:b/>
          <w:color w:val="auto"/>
          <w:kern w:val="21"/>
          <w:sz w:val="24"/>
          <w:u w:val="single"/>
          <w:vertAlign w:val="superscript"/>
        </w:rPr>
        <w:t>3</w:t>
      </w:r>
      <w:r>
        <w:rPr>
          <w:rFonts w:hint="eastAsia"/>
          <w:b/>
          <w:color w:val="auto"/>
          <w:kern w:val="21"/>
          <w:sz w:val="24"/>
          <w:u w:val="single"/>
        </w:rPr>
        <w:t>）；</w:t>
      </w:r>
    </w:p>
    <w:p>
      <w:pPr>
        <w:adjustRightInd w:val="0"/>
        <w:snapToGrid w:val="0"/>
        <w:spacing w:line="360" w:lineRule="auto"/>
        <w:ind w:firstLine="480"/>
        <w:rPr>
          <w:b/>
          <w:color w:val="auto"/>
          <w:kern w:val="21"/>
          <w:sz w:val="24"/>
          <w:u w:val="single"/>
        </w:rPr>
      </w:pPr>
      <w:r>
        <w:rPr>
          <w:rFonts w:hint="eastAsia"/>
          <w:b/>
          <w:color w:val="auto"/>
          <w:kern w:val="21"/>
          <w:sz w:val="24"/>
          <w:u w:val="single"/>
        </w:rPr>
        <w:t>根据表6.2-1可知，本项目最大储存量为10t的盐酸储罐，直径2.21m，固定顶立罐，高2.4m，盐酸密度1.174</w:t>
      </w:r>
      <w:r>
        <w:rPr>
          <w:rFonts w:hint="eastAsia"/>
          <w:b/>
          <w:color w:val="auto"/>
          <w:kern w:val="21"/>
          <w:sz w:val="24"/>
          <w:u w:val="single"/>
          <w:lang w:val="en-US" w:eastAsia="zh-CN"/>
        </w:rPr>
        <w:t>g/ml</w:t>
      </w:r>
      <w:r>
        <w:rPr>
          <w:rFonts w:hint="eastAsia"/>
          <w:b/>
          <w:color w:val="auto"/>
          <w:kern w:val="21"/>
          <w:sz w:val="24"/>
          <w:u w:val="single"/>
        </w:rPr>
        <w:t>，则最大一个容量的储罐的物料贮存量V</w:t>
      </w:r>
      <w:r>
        <w:rPr>
          <w:rFonts w:hint="eastAsia"/>
          <w:b/>
          <w:color w:val="auto"/>
          <w:kern w:val="21"/>
          <w:sz w:val="24"/>
          <w:u w:val="single"/>
          <w:vertAlign w:val="subscript"/>
        </w:rPr>
        <w:t>1</w:t>
      </w:r>
      <w:r>
        <w:rPr>
          <w:rFonts w:hint="eastAsia"/>
          <w:b/>
          <w:color w:val="auto"/>
          <w:kern w:val="21"/>
          <w:sz w:val="24"/>
          <w:u w:val="single"/>
        </w:rPr>
        <w:t>=8.5m</w:t>
      </w:r>
      <w:r>
        <w:rPr>
          <w:rFonts w:hint="eastAsia"/>
          <w:b/>
          <w:color w:val="auto"/>
          <w:kern w:val="21"/>
          <w:sz w:val="24"/>
          <w:u w:val="single"/>
          <w:vertAlign w:val="superscript"/>
        </w:rPr>
        <w:t>3</w:t>
      </w:r>
      <w:r>
        <w:rPr>
          <w:rFonts w:hint="eastAsia"/>
          <w:b/>
          <w:color w:val="auto"/>
          <w:kern w:val="21"/>
          <w:sz w:val="24"/>
          <w:u w:val="single"/>
        </w:rPr>
        <w:t>；项目消防用水设计流量为25</w:t>
      </w:r>
      <w:r>
        <w:rPr>
          <w:b/>
          <w:color w:val="auto"/>
          <w:kern w:val="21"/>
          <w:sz w:val="24"/>
          <w:u w:val="single"/>
        </w:rPr>
        <w:t>L/s</w:t>
      </w:r>
      <w:r>
        <w:rPr>
          <w:rFonts w:hint="eastAsia"/>
          <w:b/>
          <w:color w:val="auto"/>
          <w:kern w:val="21"/>
          <w:sz w:val="24"/>
          <w:u w:val="single"/>
        </w:rPr>
        <w:t>，在火灾事故情况下，救灾时间设为1</w:t>
      </w:r>
      <w:r>
        <w:rPr>
          <w:b/>
          <w:color w:val="auto"/>
          <w:kern w:val="21"/>
          <w:sz w:val="24"/>
          <w:u w:val="single"/>
        </w:rPr>
        <w:t>h</w:t>
      </w:r>
      <w:r>
        <w:rPr>
          <w:rFonts w:hint="eastAsia"/>
          <w:b/>
          <w:color w:val="auto"/>
          <w:kern w:val="21"/>
          <w:sz w:val="24"/>
          <w:u w:val="single"/>
        </w:rPr>
        <w:t>，则消防水量（</w:t>
      </w:r>
      <w:r>
        <w:rPr>
          <w:b/>
          <w:color w:val="auto"/>
          <w:kern w:val="21"/>
          <w:sz w:val="24"/>
          <w:u w:val="single"/>
        </w:rPr>
        <w:t>V</w:t>
      </w:r>
      <w:r>
        <w:rPr>
          <w:b/>
          <w:color w:val="auto"/>
          <w:kern w:val="21"/>
          <w:sz w:val="24"/>
          <w:u w:val="single"/>
          <w:vertAlign w:val="subscript"/>
        </w:rPr>
        <w:t>2</w:t>
      </w:r>
      <w:r>
        <w:rPr>
          <w:rFonts w:hint="eastAsia"/>
          <w:b/>
          <w:color w:val="auto"/>
          <w:kern w:val="21"/>
          <w:sz w:val="24"/>
          <w:u w:val="single"/>
        </w:rPr>
        <w:t>）为90</w:t>
      </w:r>
      <w:r>
        <w:rPr>
          <w:b/>
          <w:color w:val="auto"/>
          <w:kern w:val="21"/>
          <w:sz w:val="24"/>
          <w:u w:val="single"/>
        </w:rPr>
        <w:t>m</w:t>
      </w:r>
      <w:r>
        <w:rPr>
          <w:b/>
          <w:color w:val="auto"/>
          <w:kern w:val="21"/>
          <w:sz w:val="24"/>
          <w:u w:val="single"/>
          <w:vertAlign w:val="superscript"/>
        </w:rPr>
        <w:t>3</w:t>
      </w:r>
      <w:r>
        <w:rPr>
          <w:rFonts w:hint="eastAsia"/>
          <w:b/>
          <w:color w:val="auto"/>
          <w:kern w:val="21"/>
          <w:sz w:val="24"/>
          <w:u w:val="single"/>
        </w:rPr>
        <w:t>；项目盐酸储罐设置高0.5m围堰，占地面积5.25m</w:t>
      </w:r>
      <w:r>
        <w:rPr>
          <w:rFonts w:hint="eastAsia"/>
          <w:b/>
          <w:color w:val="auto"/>
          <w:kern w:val="21"/>
          <w:sz w:val="24"/>
          <w:u w:val="single"/>
          <w:vertAlign w:val="superscript"/>
        </w:rPr>
        <w:t>2</w:t>
      </w:r>
      <w:r>
        <w:rPr>
          <w:rFonts w:hint="eastAsia"/>
          <w:b/>
          <w:color w:val="auto"/>
          <w:kern w:val="21"/>
          <w:sz w:val="24"/>
          <w:u w:val="single"/>
        </w:rPr>
        <w:t>（2.5m</w:t>
      </w:r>
      <w:r>
        <w:rPr>
          <w:rFonts w:hint="eastAsia" w:ascii="宋体" w:hAnsi="宋体"/>
          <w:b/>
          <w:color w:val="auto"/>
          <w:kern w:val="21"/>
          <w:sz w:val="24"/>
          <w:u w:val="single"/>
        </w:rPr>
        <w:t>×</w:t>
      </w:r>
      <w:r>
        <w:rPr>
          <w:rFonts w:hint="eastAsia"/>
          <w:b/>
          <w:color w:val="auto"/>
          <w:kern w:val="21"/>
          <w:sz w:val="24"/>
          <w:u w:val="single"/>
        </w:rPr>
        <w:t>2.5m），则围堰内净空容量5.25m</w:t>
      </w:r>
      <w:r>
        <w:rPr>
          <w:rFonts w:hint="eastAsia"/>
          <w:b/>
          <w:color w:val="auto"/>
          <w:kern w:val="21"/>
          <w:sz w:val="24"/>
          <w:u w:val="single"/>
          <w:vertAlign w:val="superscript"/>
        </w:rPr>
        <w:t>3</w:t>
      </w:r>
      <w:r>
        <w:rPr>
          <w:rFonts w:hint="eastAsia"/>
          <w:b/>
          <w:color w:val="auto"/>
          <w:kern w:val="21"/>
          <w:sz w:val="24"/>
          <w:u w:val="single"/>
        </w:rPr>
        <w:t>；由于本项目租用</w:t>
      </w:r>
      <w:r>
        <w:rPr>
          <w:b/>
          <w:color w:val="auto"/>
          <w:kern w:val="21"/>
          <w:sz w:val="24"/>
          <w:u w:val="single"/>
        </w:rPr>
        <w:t>河南奔茨新能源有限公司的部分厂房进行建设，且所有物料、设备、成品均在厂房内布置，无任何露天存放物品，物料采用罐车及篷布车进行运输，因此不再考虑初期雨水，</w:t>
      </w:r>
      <w:r>
        <w:rPr>
          <w:rFonts w:hint="eastAsia"/>
          <w:b/>
          <w:color w:val="auto"/>
          <w:kern w:val="21"/>
          <w:sz w:val="24"/>
          <w:u w:val="single"/>
          <w:lang w:eastAsia="zh-CN"/>
        </w:rPr>
        <w:t>即</w:t>
      </w:r>
      <w:r>
        <w:rPr>
          <w:rFonts w:hint="eastAsia"/>
          <w:b/>
          <w:color w:val="auto"/>
          <w:kern w:val="21"/>
          <w:sz w:val="24"/>
          <w:u w:val="single"/>
        </w:rPr>
        <w:t>V</w:t>
      </w:r>
      <w:r>
        <w:rPr>
          <w:rFonts w:hint="eastAsia"/>
          <w:b/>
          <w:color w:val="auto"/>
          <w:kern w:val="21"/>
          <w:sz w:val="24"/>
          <w:u w:val="single"/>
          <w:vertAlign w:val="subscript"/>
        </w:rPr>
        <w:t>雨</w:t>
      </w:r>
      <w:r>
        <w:rPr>
          <w:b/>
          <w:color w:val="auto"/>
          <w:kern w:val="21"/>
          <w:sz w:val="24"/>
          <w:u w:val="single"/>
        </w:rPr>
        <w:t>=</w:t>
      </w:r>
      <w:r>
        <w:rPr>
          <w:rFonts w:hint="eastAsia"/>
          <w:b/>
          <w:color w:val="auto"/>
          <w:kern w:val="21"/>
          <w:sz w:val="24"/>
          <w:u w:val="single"/>
        </w:rPr>
        <w:t>0m</w:t>
      </w:r>
      <w:r>
        <w:rPr>
          <w:rFonts w:hint="eastAsia"/>
          <w:b/>
          <w:color w:val="auto"/>
          <w:kern w:val="21"/>
          <w:sz w:val="24"/>
          <w:u w:val="single"/>
          <w:vertAlign w:val="superscript"/>
        </w:rPr>
        <w:t>3</w:t>
      </w:r>
      <w:r>
        <w:rPr>
          <w:rFonts w:hint="eastAsia"/>
          <w:b/>
          <w:color w:val="auto"/>
          <w:kern w:val="21"/>
          <w:sz w:val="24"/>
          <w:u w:val="single"/>
        </w:rPr>
        <w:t>。</w:t>
      </w:r>
    </w:p>
    <w:p>
      <w:pPr>
        <w:adjustRightInd w:val="0"/>
        <w:snapToGrid w:val="0"/>
        <w:spacing w:line="360" w:lineRule="auto"/>
        <w:ind w:firstLine="480"/>
        <w:rPr>
          <w:b/>
          <w:color w:val="auto"/>
          <w:kern w:val="21"/>
          <w:sz w:val="24"/>
          <w:u w:val="single"/>
        </w:rPr>
      </w:pPr>
      <w:r>
        <w:rPr>
          <w:rFonts w:hint="eastAsia"/>
          <w:b/>
          <w:color w:val="auto"/>
          <w:kern w:val="21"/>
          <w:sz w:val="24"/>
          <w:u w:val="single"/>
        </w:rPr>
        <w:t>综上，本项目事故池容积为（8.5m</w:t>
      </w:r>
      <w:r>
        <w:rPr>
          <w:rFonts w:hint="eastAsia"/>
          <w:b/>
          <w:color w:val="auto"/>
          <w:kern w:val="21"/>
          <w:sz w:val="24"/>
          <w:u w:val="single"/>
          <w:vertAlign w:val="superscript"/>
        </w:rPr>
        <w:t>3</w:t>
      </w:r>
      <w:r>
        <w:rPr>
          <w:rFonts w:hint="eastAsia"/>
          <w:b/>
          <w:color w:val="auto"/>
          <w:kern w:val="21"/>
          <w:sz w:val="24"/>
          <w:u w:val="single"/>
        </w:rPr>
        <w:t>+90m</w:t>
      </w:r>
      <w:r>
        <w:rPr>
          <w:rFonts w:hint="eastAsia"/>
          <w:b/>
          <w:color w:val="auto"/>
          <w:kern w:val="21"/>
          <w:sz w:val="24"/>
          <w:u w:val="single"/>
          <w:vertAlign w:val="superscript"/>
        </w:rPr>
        <w:t>3</w:t>
      </w:r>
      <w:r>
        <w:rPr>
          <w:rFonts w:hint="eastAsia"/>
          <w:b/>
          <w:color w:val="auto"/>
          <w:kern w:val="21"/>
          <w:sz w:val="24"/>
          <w:u w:val="single"/>
        </w:rPr>
        <w:t>+0m</w:t>
      </w:r>
      <w:r>
        <w:rPr>
          <w:rFonts w:hint="eastAsia"/>
          <w:b/>
          <w:color w:val="auto"/>
          <w:kern w:val="21"/>
          <w:sz w:val="24"/>
          <w:u w:val="single"/>
          <w:vertAlign w:val="superscript"/>
        </w:rPr>
        <w:t>3</w:t>
      </w:r>
      <w:r>
        <w:rPr>
          <w:rFonts w:hint="eastAsia"/>
          <w:b/>
          <w:color w:val="auto"/>
          <w:kern w:val="21"/>
          <w:sz w:val="24"/>
          <w:u w:val="single"/>
        </w:rPr>
        <w:t>）-5.25m</w:t>
      </w:r>
      <w:r>
        <w:rPr>
          <w:rFonts w:hint="eastAsia"/>
          <w:b/>
          <w:color w:val="auto"/>
          <w:kern w:val="21"/>
          <w:sz w:val="24"/>
          <w:u w:val="single"/>
          <w:vertAlign w:val="superscript"/>
        </w:rPr>
        <w:t>3</w:t>
      </w:r>
      <w:r>
        <w:rPr>
          <w:rFonts w:hint="eastAsia"/>
          <w:b/>
          <w:color w:val="auto"/>
          <w:kern w:val="21"/>
          <w:sz w:val="24"/>
          <w:u w:val="single"/>
        </w:rPr>
        <w:t>=93.25m</w:t>
      </w:r>
      <w:r>
        <w:rPr>
          <w:rFonts w:hint="eastAsia"/>
          <w:b/>
          <w:color w:val="auto"/>
          <w:kern w:val="21"/>
          <w:sz w:val="24"/>
          <w:u w:val="single"/>
          <w:vertAlign w:val="superscript"/>
        </w:rPr>
        <w:t>3</w:t>
      </w:r>
      <w:r>
        <w:rPr>
          <w:rFonts w:hint="eastAsia"/>
          <w:b/>
          <w:color w:val="auto"/>
          <w:kern w:val="21"/>
          <w:sz w:val="24"/>
          <w:u w:val="single"/>
        </w:rPr>
        <w:t>，</w:t>
      </w:r>
    </w:p>
    <w:p>
      <w:pPr>
        <w:adjustRightInd w:val="0"/>
        <w:snapToGrid w:val="0"/>
        <w:spacing w:line="360" w:lineRule="auto"/>
        <w:ind w:firstLine="480"/>
        <w:rPr>
          <w:b/>
          <w:color w:val="auto"/>
          <w:kern w:val="21"/>
          <w:sz w:val="24"/>
          <w:u w:val="single"/>
        </w:rPr>
      </w:pPr>
      <w:r>
        <w:rPr>
          <w:rFonts w:hint="eastAsia"/>
          <w:b/>
          <w:color w:val="auto"/>
          <w:kern w:val="21"/>
          <w:sz w:val="24"/>
          <w:u w:val="single"/>
        </w:rPr>
        <w:t>为了保证事故水池的有效作用，本项目拟设置事故水池1</w:t>
      </w:r>
      <w:r>
        <w:rPr>
          <w:b/>
          <w:color w:val="auto"/>
          <w:kern w:val="21"/>
          <w:sz w:val="24"/>
          <w:u w:val="single"/>
        </w:rPr>
        <w:t>00m</w:t>
      </w:r>
      <w:r>
        <w:rPr>
          <w:b/>
          <w:color w:val="auto"/>
          <w:kern w:val="21"/>
          <w:sz w:val="24"/>
          <w:u w:val="single"/>
          <w:vertAlign w:val="superscript"/>
        </w:rPr>
        <w:t>3</w:t>
      </w:r>
      <w:r>
        <w:rPr>
          <w:rFonts w:hint="eastAsia"/>
          <w:b/>
          <w:color w:val="auto"/>
          <w:kern w:val="21"/>
          <w:sz w:val="24"/>
          <w:u w:val="single"/>
        </w:rPr>
        <w:t>。同时，事故水池建设在厂区最低水位处，以确保事故废水能够自行汇流至事故水池内。事故水池收集的废水应逐步进入厂区污水处理站，防止冲击污水处理系统，确保达标排放</w:t>
      </w:r>
      <w:r>
        <w:rPr>
          <w:rFonts w:hint="eastAsia"/>
          <w:b/>
          <w:color w:val="auto"/>
          <w:kern w:val="21"/>
          <w:sz w:val="24"/>
          <w:u w:val="single"/>
          <w:lang w:eastAsia="zh-CN"/>
        </w:rPr>
        <w:t>。</w:t>
      </w:r>
    </w:p>
    <w:p>
      <w:pPr>
        <w:adjustRightInd w:val="0"/>
        <w:snapToGrid w:val="0"/>
        <w:spacing w:line="360" w:lineRule="auto"/>
        <w:ind w:firstLine="480" w:firstLineChars="200"/>
        <w:rPr>
          <w:color w:val="auto"/>
          <w:kern w:val="21"/>
          <w:sz w:val="24"/>
        </w:rPr>
      </w:pPr>
      <w:r>
        <w:rPr>
          <w:color w:val="auto"/>
          <w:kern w:val="21"/>
          <w:sz w:val="24"/>
        </w:rPr>
        <w:t xml:space="preserve">（2）废气事故排放风险防范措施 </w:t>
      </w:r>
    </w:p>
    <w:p>
      <w:pPr>
        <w:adjustRightInd w:val="0"/>
        <w:snapToGrid w:val="0"/>
        <w:spacing w:line="360" w:lineRule="auto"/>
        <w:ind w:firstLine="480" w:firstLineChars="200"/>
        <w:rPr>
          <w:color w:val="auto"/>
          <w:kern w:val="21"/>
          <w:sz w:val="24"/>
        </w:rPr>
      </w:pPr>
      <w:r>
        <w:rPr>
          <w:color w:val="auto"/>
          <w:kern w:val="21"/>
          <w:sz w:val="24"/>
        </w:rPr>
        <w:t xml:space="preserve">根据废气影响预测，废气处理设施正常运行时，项目排放的废气对周围空气环境质量影响不大，但是事故排放废气对周围环境空气敏感点的影响较大。建设单位必须在日常环保工作中加大废气处理的力度和加强环保管理工作，进一步加强清洁生产工作，杜绝事故排放，一旦发生非正常排放，需在最短时间内停产加以维修，待处理设施有效运转后才可恢复生产，以减少大气污染物的排放。为确保不发生事故性废气排放，建设单位和园区管理单位必须采取一定的事故性防范保护措施： </w:t>
      </w:r>
    </w:p>
    <w:p>
      <w:pPr>
        <w:adjustRightInd w:val="0"/>
        <w:snapToGrid w:val="0"/>
        <w:spacing w:line="360" w:lineRule="auto"/>
        <w:ind w:firstLine="480" w:firstLineChars="200"/>
        <w:rPr>
          <w:color w:val="auto"/>
          <w:kern w:val="21"/>
          <w:sz w:val="24"/>
        </w:rPr>
      </w:pPr>
      <w:r>
        <w:rPr>
          <w:color w:val="auto"/>
          <w:kern w:val="21"/>
          <w:sz w:val="24"/>
        </w:rPr>
        <w:t>①各生产环节严格执行生产管理的有关规定，加强设备的检修及保养，提高管理人员素质，并设置机器事故应急措施及管理制度，确保设备长期处</w:t>
      </w:r>
      <w:r>
        <w:rPr>
          <w:rFonts w:hint="eastAsia"/>
          <w:color w:val="auto"/>
          <w:kern w:val="21"/>
          <w:sz w:val="24"/>
          <w:lang w:val="en-US" w:eastAsia="zh-CN"/>
        </w:rPr>
        <w:t>于</w:t>
      </w:r>
      <w:r>
        <w:rPr>
          <w:color w:val="auto"/>
          <w:kern w:val="21"/>
          <w:sz w:val="24"/>
        </w:rPr>
        <w:t xml:space="preserve">良好状态，使设备达到预期的处理效果。 </w:t>
      </w:r>
    </w:p>
    <w:p>
      <w:pPr>
        <w:adjustRightInd w:val="0"/>
        <w:snapToGrid w:val="0"/>
        <w:spacing w:line="360" w:lineRule="auto"/>
        <w:ind w:firstLine="480" w:firstLineChars="200"/>
        <w:rPr>
          <w:color w:val="auto"/>
          <w:kern w:val="21"/>
          <w:sz w:val="24"/>
          <w:u w:val="single"/>
        </w:rPr>
      </w:pPr>
      <w:r>
        <w:rPr>
          <w:color w:val="auto"/>
          <w:kern w:val="21"/>
          <w:sz w:val="24"/>
        </w:rPr>
        <w:t>②现场作业人员定时记录废气处理状况，并对设备进行定期检查，并派专人巡视，遇不良工作状况应立即停止车间相关作业，维修正常后再开始作业，杜绝事故性废气直排，并及时呈报单位主管。待检修完毕再通知生产车间相关工序。风机等重要设备应一用一备，发生故障时可自动启动备用设备。</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70" w:name="_Toc112338962"/>
      <w:bookmarkStart w:id="371" w:name="_Toc20472"/>
      <w:r>
        <w:rPr>
          <w:bCs w:val="0"/>
          <w:color w:val="auto"/>
          <w:kern w:val="0"/>
          <w:szCs w:val="20"/>
          <w:lang w:val="en-US"/>
        </w:rPr>
        <w:t>6.8事故应急预案</w:t>
      </w:r>
      <w:bookmarkEnd w:id="370"/>
      <w:bookmarkEnd w:id="371"/>
    </w:p>
    <w:p>
      <w:pPr>
        <w:adjustRightInd w:val="0"/>
        <w:snapToGrid w:val="0"/>
        <w:spacing w:line="360" w:lineRule="auto"/>
        <w:ind w:firstLine="480" w:firstLineChars="200"/>
        <w:rPr>
          <w:bCs/>
          <w:color w:val="auto"/>
          <w:kern w:val="21"/>
          <w:sz w:val="24"/>
        </w:rPr>
      </w:pPr>
      <w:r>
        <w:rPr>
          <w:bCs/>
          <w:color w:val="auto"/>
          <w:kern w:val="21"/>
          <w:sz w:val="24"/>
        </w:rPr>
        <w:t>根据《建设项目环境风险评价技术导则》（HJ169-2018），拟建项目投产前按规定编制主要危险源应急预案。</w:t>
      </w:r>
    </w:p>
    <w:p>
      <w:pPr>
        <w:adjustRightInd w:val="0"/>
        <w:snapToGrid w:val="0"/>
        <w:spacing w:line="360" w:lineRule="auto"/>
        <w:ind w:firstLine="480" w:firstLineChars="200"/>
        <w:rPr>
          <w:bCs/>
          <w:color w:val="auto"/>
          <w:kern w:val="21"/>
          <w:sz w:val="24"/>
        </w:rPr>
      </w:pPr>
      <w:r>
        <w:rPr>
          <w:bCs/>
          <w:color w:val="auto"/>
          <w:kern w:val="21"/>
          <w:sz w:val="24"/>
        </w:rPr>
        <w:t>（1）制定目的</w:t>
      </w:r>
    </w:p>
    <w:p>
      <w:pPr>
        <w:adjustRightInd w:val="0"/>
        <w:snapToGrid w:val="0"/>
        <w:spacing w:line="360" w:lineRule="auto"/>
        <w:ind w:firstLine="480" w:firstLineChars="200"/>
        <w:rPr>
          <w:bCs/>
          <w:color w:val="auto"/>
          <w:kern w:val="21"/>
          <w:sz w:val="24"/>
        </w:rPr>
      </w:pPr>
      <w:r>
        <w:rPr>
          <w:bCs/>
          <w:color w:val="auto"/>
          <w:kern w:val="21"/>
          <w:sz w:val="24"/>
        </w:rPr>
        <w:t>制定风险事故应急预案的目的是为了在发生风险事故时，能以最快的速度发挥最大的效能，</w:t>
      </w:r>
      <w:r>
        <w:rPr>
          <w:rFonts w:hint="eastAsia"/>
          <w:bCs/>
          <w:color w:val="auto"/>
          <w:kern w:val="21"/>
          <w:sz w:val="24"/>
          <w:lang w:eastAsia="zh-CN"/>
        </w:rPr>
        <w:t>有序地实施</w:t>
      </w:r>
      <w:r>
        <w:rPr>
          <w:bCs/>
          <w:color w:val="auto"/>
          <w:kern w:val="21"/>
          <w:sz w:val="24"/>
        </w:rPr>
        <w:t>救援，尽快控制事态的发展，降低事故造成的危害，减少事故造成的损失。</w:t>
      </w:r>
    </w:p>
    <w:p>
      <w:pPr>
        <w:adjustRightInd w:val="0"/>
        <w:snapToGrid w:val="0"/>
        <w:spacing w:line="360" w:lineRule="auto"/>
        <w:ind w:firstLine="480" w:firstLineChars="200"/>
        <w:rPr>
          <w:bCs/>
          <w:color w:val="auto"/>
          <w:kern w:val="21"/>
          <w:sz w:val="24"/>
        </w:rPr>
      </w:pPr>
      <w:r>
        <w:rPr>
          <w:bCs/>
          <w:color w:val="auto"/>
          <w:kern w:val="21"/>
          <w:sz w:val="24"/>
        </w:rPr>
        <w:t>（2）基本要求</w:t>
      </w:r>
    </w:p>
    <w:p>
      <w:pPr>
        <w:adjustRightInd w:val="0"/>
        <w:snapToGrid w:val="0"/>
        <w:spacing w:line="360" w:lineRule="auto"/>
        <w:ind w:firstLine="480" w:firstLineChars="200"/>
        <w:rPr>
          <w:bCs/>
          <w:color w:val="auto"/>
          <w:kern w:val="21"/>
          <w:sz w:val="24"/>
        </w:rPr>
      </w:pPr>
      <w:r>
        <w:rPr>
          <w:bCs/>
          <w:color w:val="auto"/>
          <w:kern w:val="21"/>
          <w:sz w:val="24"/>
        </w:rPr>
        <w:t>风险事故应急预案的基本要求包括：科学性、实用性和权威性。风险事故的应急救援工作是一项科学性很强的工作，必须开展科学分析和论证，制定严密、统一、完整的应急预案；应急预案应符合项目的客观情况，具有实用、简单、易掌握等特性，便于实施；对事故处置过程中职责、权限、任务、工作标准、奖励与处罚等做出明确规定，使之成为企业的一项制度，确保其权威性。</w:t>
      </w:r>
    </w:p>
    <w:p>
      <w:pPr>
        <w:adjustRightInd w:val="0"/>
        <w:snapToGrid w:val="0"/>
        <w:spacing w:line="360" w:lineRule="auto"/>
        <w:ind w:firstLine="480" w:firstLineChars="200"/>
        <w:rPr>
          <w:bCs/>
          <w:color w:val="auto"/>
          <w:kern w:val="21"/>
          <w:sz w:val="24"/>
        </w:rPr>
      </w:pPr>
      <w:r>
        <w:rPr>
          <w:bCs/>
          <w:color w:val="auto"/>
          <w:kern w:val="21"/>
          <w:sz w:val="24"/>
        </w:rPr>
        <w:t>（3）应急救援指挥系统、各成员和部门职责</w:t>
      </w:r>
    </w:p>
    <w:p>
      <w:pPr>
        <w:adjustRightInd w:val="0"/>
        <w:snapToGrid w:val="0"/>
        <w:spacing w:line="360" w:lineRule="auto"/>
        <w:ind w:firstLine="480" w:firstLineChars="200"/>
        <w:rPr>
          <w:bCs/>
          <w:color w:val="auto"/>
          <w:kern w:val="21"/>
          <w:sz w:val="24"/>
        </w:rPr>
      </w:pPr>
      <w:r>
        <w:rPr>
          <w:bCs/>
          <w:color w:val="auto"/>
          <w:kern w:val="21"/>
          <w:sz w:val="24"/>
        </w:rPr>
        <w:t>1）组织机构</w:t>
      </w:r>
    </w:p>
    <w:p>
      <w:pPr>
        <w:adjustRightInd w:val="0"/>
        <w:snapToGrid w:val="0"/>
        <w:spacing w:line="360" w:lineRule="auto"/>
        <w:ind w:firstLine="480" w:firstLineChars="200"/>
        <w:rPr>
          <w:color w:val="auto"/>
          <w:kern w:val="21"/>
          <w:sz w:val="24"/>
        </w:rPr>
      </w:pPr>
      <w:r>
        <w:rPr>
          <w:color w:val="auto"/>
          <w:kern w:val="21"/>
          <w:sz w:val="24"/>
        </w:rPr>
        <w:t>为有效预防事故，尽量减少事故造成的损失，保证在发生重大事故时，贯彻</w:t>
      </w:r>
      <w:r>
        <w:rPr>
          <w:rFonts w:hint="eastAsia"/>
          <w:color w:val="auto"/>
          <w:kern w:val="21"/>
          <w:sz w:val="24"/>
        </w:rPr>
        <w:t>“</w:t>
      </w:r>
      <w:r>
        <w:rPr>
          <w:color w:val="auto"/>
          <w:kern w:val="21"/>
          <w:sz w:val="24"/>
        </w:rPr>
        <w:t>统一指挥，分级负责</w:t>
      </w:r>
      <w:r>
        <w:rPr>
          <w:rFonts w:hint="eastAsia"/>
          <w:color w:val="auto"/>
          <w:kern w:val="21"/>
          <w:sz w:val="24"/>
        </w:rPr>
        <w:t>”</w:t>
      </w:r>
      <w:r>
        <w:rPr>
          <w:color w:val="auto"/>
          <w:kern w:val="21"/>
          <w:sz w:val="24"/>
        </w:rPr>
        <w:t>的原则，项目成立事故应急救援指挥部（当发生重大事故时，要立即启动事故应急预案，指挥部即按本预案自然建立），其组织机构如下：</w:t>
      </w:r>
    </w:p>
    <w:p>
      <w:pPr>
        <w:adjustRightInd w:val="0"/>
        <w:snapToGrid w:val="0"/>
        <w:spacing w:line="360" w:lineRule="auto"/>
        <w:ind w:firstLine="480" w:firstLineChars="200"/>
        <w:rPr>
          <w:color w:val="auto"/>
          <w:kern w:val="21"/>
          <w:sz w:val="24"/>
        </w:rPr>
      </w:pPr>
      <w:r>
        <w:rPr>
          <w:color w:val="auto"/>
          <w:kern w:val="21"/>
          <w:sz w:val="24"/>
        </w:rPr>
        <w:t>总指挥：厂长</w:t>
      </w:r>
    </w:p>
    <w:p>
      <w:pPr>
        <w:adjustRightInd w:val="0"/>
        <w:snapToGrid w:val="0"/>
        <w:spacing w:line="360" w:lineRule="auto"/>
        <w:ind w:firstLine="480" w:firstLineChars="200"/>
        <w:rPr>
          <w:color w:val="auto"/>
          <w:kern w:val="21"/>
          <w:sz w:val="24"/>
        </w:rPr>
      </w:pPr>
      <w:r>
        <w:rPr>
          <w:color w:val="auto"/>
          <w:kern w:val="21"/>
          <w:sz w:val="24"/>
        </w:rPr>
        <w:t>副总指挥：副厂长</w:t>
      </w:r>
    </w:p>
    <w:p>
      <w:pPr>
        <w:adjustRightInd w:val="0"/>
        <w:snapToGrid w:val="0"/>
        <w:spacing w:line="360" w:lineRule="auto"/>
        <w:ind w:firstLine="480" w:firstLineChars="200"/>
        <w:rPr>
          <w:color w:val="auto"/>
          <w:kern w:val="21"/>
          <w:sz w:val="24"/>
        </w:rPr>
      </w:pPr>
      <w:r>
        <w:rPr>
          <w:color w:val="auto"/>
          <w:kern w:val="21"/>
          <w:sz w:val="24"/>
        </w:rPr>
        <w:t>成员：生产技术部、供应部、储运部的第一负责人。</w:t>
      </w:r>
    </w:p>
    <w:p>
      <w:pPr>
        <w:adjustRightInd w:val="0"/>
        <w:snapToGrid w:val="0"/>
        <w:spacing w:line="360" w:lineRule="auto"/>
        <w:ind w:firstLine="480" w:firstLineChars="200"/>
        <w:rPr>
          <w:color w:val="auto"/>
          <w:kern w:val="21"/>
          <w:sz w:val="24"/>
        </w:rPr>
      </w:pPr>
      <w:r>
        <w:rPr>
          <w:color w:val="auto"/>
          <w:kern w:val="21"/>
          <w:sz w:val="24"/>
        </w:rPr>
        <w:t>如果厂长不在厂内，由发生重大事故车间主要负责人为临时总指挥、生产技术部部长为临时副总指挥，全权负责应急救援工作。</w:t>
      </w:r>
    </w:p>
    <w:p>
      <w:pPr>
        <w:adjustRightInd w:val="0"/>
        <w:snapToGrid w:val="0"/>
        <w:spacing w:line="360" w:lineRule="auto"/>
        <w:ind w:firstLine="480" w:firstLineChars="200"/>
        <w:rPr>
          <w:color w:val="auto"/>
          <w:kern w:val="21"/>
          <w:sz w:val="24"/>
        </w:rPr>
      </w:pPr>
      <w:r>
        <w:rPr>
          <w:color w:val="auto"/>
          <w:kern w:val="21"/>
          <w:sz w:val="24"/>
        </w:rPr>
        <w:t>指挥部办公地点：根据污染区域情况临时确定。</w:t>
      </w:r>
    </w:p>
    <w:p>
      <w:pPr>
        <w:adjustRightInd w:val="0"/>
        <w:snapToGrid w:val="0"/>
        <w:spacing w:line="360" w:lineRule="auto"/>
        <w:ind w:firstLine="480" w:firstLineChars="200"/>
        <w:rPr>
          <w:color w:val="auto"/>
          <w:kern w:val="21"/>
          <w:sz w:val="24"/>
        </w:rPr>
      </w:pPr>
      <w:r>
        <w:rPr>
          <w:color w:val="auto"/>
          <w:kern w:val="21"/>
          <w:sz w:val="24"/>
        </w:rPr>
        <w:t>2）部门工作职责</w:t>
      </w:r>
    </w:p>
    <w:p>
      <w:pPr>
        <w:adjustRightInd w:val="0"/>
        <w:snapToGrid w:val="0"/>
        <w:spacing w:line="360" w:lineRule="auto"/>
        <w:ind w:firstLine="480" w:firstLineChars="200"/>
        <w:rPr>
          <w:color w:val="auto"/>
          <w:kern w:val="21"/>
          <w:sz w:val="24"/>
        </w:rPr>
      </w:pPr>
      <w:r>
        <w:rPr>
          <w:color w:val="auto"/>
          <w:kern w:val="21"/>
          <w:sz w:val="24"/>
        </w:rPr>
        <w:t>①应急救援指挥部职责</w:t>
      </w:r>
    </w:p>
    <w:p>
      <w:pPr>
        <w:adjustRightInd w:val="0"/>
        <w:snapToGrid w:val="0"/>
        <w:spacing w:line="360" w:lineRule="auto"/>
        <w:ind w:firstLine="480" w:firstLineChars="200"/>
        <w:rPr>
          <w:color w:val="auto"/>
          <w:kern w:val="21"/>
          <w:sz w:val="24"/>
        </w:rPr>
      </w:pPr>
      <w:r>
        <w:rPr>
          <w:color w:val="auto"/>
          <w:kern w:val="21"/>
          <w:sz w:val="24"/>
        </w:rPr>
        <w:t>负责项目重大事故应急救援预案的制定、</w:t>
      </w:r>
      <w:r>
        <w:rPr>
          <w:rFonts w:hint="eastAsia"/>
          <w:color w:val="auto"/>
          <w:kern w:val="21"/>
          <w:sz w:val="24"/>
          <w:lang w:eastAsia="zh-CN"/>
        </w:rPr>
        <w:t>修订</w:t>
      </w:r>
      <w:r>
        <w:rPr>
          <w:color w:val="auto"/>
          <w:kern w:val="21"/>
          <w:sz w:val="24"/>
        </w:rPr>
        <w:t>；组建应急救援队伍，并组织实施和演练；检查重大事故预防措施的落实情况，督促做好重大事故预防工作；发生事故时，由指挥部发布启动和解除应急救援预案的命令；组织指挥救援队伍实施救援行动；向上级报告和向邻近单位通报事故情况，必要时向有关单位发出救援请求；组织事故调查，总结应急救援工作经验教训。</w:t>
      </w:r>
    </w:p>
    <w:p>
      <w:pPr>
        <w:adjustRightInd w:val="0"/>
        <w:snapToGrid w:val="0"/>
        <w:spacing w:line="360" w:lineRule="auto"/>
        <w:ind w:firstLine="480" w:firstLineChars="200"/>
        <w:rPr>
          <w:color w:val="auto"/>
          <w:kern w:val="21"/>
          <w:sz w:val="24"/>
        </w:rPr>
      </w:pPr>
      <w:r>
        <w:rPr>
          <w:color w:val="auto"/>
          <w:kern w:val="21"/>
          <w:sz w:val="24"/>
        </w:rPr>
        <w:t>②总经理办公室</w:t>
      </w:r>
    </w:p>
    <w:p>
      <w:pPr>
        <w:adjustRightInd w:val="0"/>
        <w:snapToGrid w:val="0"/>
        <w:spacing w:line="360" w:lineRule="auto"/>
        <w:ind w:firstLine="480" w:firstLineChars="200"/>
        <w:rPr>
          <w:color w:val="auto"/>
          <w:kern w:val="21"/>
          <w:sz w:val="24"/>
        </w:rPr>
      </w:pPr>
      <w:r>
        <w:rPr>
          <w:color w:val="auto"/>
          <w:kern w:val="21"/>
          <w:sz w:val="24"/>
        </w:rPr>
        <w:t>负责抢救受伤、中毒人员的生活必需品供应。</w:t>
      </w:r>
    </w:p>
    <w:p>
      <w:pPr>
        <w:adjustRightInd w:val="0"/>
        <w:snapToGrid w:val="0"/>
        <w:spacing w:line="360" w:lineRule="auto"/>
        <w:ind w:firstLine="480" w:firstLineChars="200"/>
        <w:rPr>
          <w:color w:val="auto"/>
          <w:kern w:val="21"/>
          <w:sz w:val="24"/>
        </w:rPr>
      </w:pPr>
      <w:r>
        <w:rPr>
          <w:color w:val="auto"/>
          <w:kern w:val="21"/>
          <w:sz w:val="24"/>
        </w:rPr>
        <w:t>③临时调度室</w:t>
      </w:r>
    </w:p>
    <w:p>
      <w:pPr>
        <w:adjustRightInd w:val="0"/>
        <w:snapToGrid w:val="0"/>
        <w:spacing w:line="360" w:lineRule="auto"/>
        <w:ind w:firstLine="480" w:firstLineChars="200"/>
        <w:rPr>
          <w:color w:val="auto"/>
          <w:kern w:val="21"/>
          <w:sz w:val="24"/>
        </w:rPr>
      </w:pPr>
      <w:r>
        <w:rPr>
          <w:color w:val="auto"/>
          <w:kern w:val="21"/>
          <w:sz w:val="24"/>
        </w:rPr>
        <w:t>负责事故处置时的生产系统的停机、开机调度工作；负责事故现场通讯联络和对外联系工作；必要时代表指挥部对外发布有关信息。</w:t>
      </w:r>
    </w:p>
    <w:p>
      <w:pPr>
        <w:adjustRightInd w:val="0"/>
        <w:snapToGrid w:val="0"/>
        <w:spacing w:line="360" w:lineRule="auto"/>
        <w:ind w:firstLine="480" w:firstLineChars="200"/>
        <w:rPr>
          <w:color w:val="auto"/>
          <w:kern w:val="21"/>
          <w:sz w:val="24"/>
        </w:rPr>
      </w:pPr>
      <w:r>
        <w:rPr>
          <w:color w:val="auto"/>
          <w:kern w:val="21"/>
          <w:sz w:val="24"/>
        </w:rPr>
        <w:t>④生产技术部</w:t>
      </w:r>
    </w:p>
    <w:p>
      <w:pPr>
        <w:adjustRightInd w:val="0"/>
        <w:snapToGrid w:val="0"/>
        <w:spacing w:line="360" w:lineRule="auto"/>
        <w:ind w:firstLine="480" w:firstLineChars="200"/>
        <w:rPr>
          <w:color w:val="auto"/>
          <w:kern w:val="21"/>
          <w:sz w:val="24"/>
        </w:rPr>
      </w:pPr>
      <w:r>
        <w:rPr>
          <w:color w:val="auto"/>
          <w:kern w:val="21"/>
          <w:sz w:val="24"/>
        </w:rPr>
        <w:t>协助主管副总指挥做好各生产车间的紧急停机和恢复生产工作，确保生产装置安全停机和开机。</w:t>
      </w:r>
    </w:p>
    <w:p>
      <w:pPr>
        <w:adjustRightInd w:val="0"/>
        <w:snapToGrid w:val="0"/>
        <w:spacing w:line="360" w:lineRule="auto"/>
        <w:ind w:firstLine="480" w:firstLineChars="200"/>
        <w:rPr>
          <w:color w:val="auto"/>
          <w:kern w:val="21"/>
          <w:sz w:val="24"/>
        </w:rPr>
      </w:pPr>
      <w:r>
        <w:rPr>
          <w:color w:val="auto"/>
          <w:kern w:val="21"/>
          <w:sz w:val="24"/>
        </w:rPr>
        <w:t>⑤供应部、储运部</w:t>
      </w:r>
    </w:p>
    <w:p>
      <w:pPr>
        <w:adjustRightInd w:val="0"/>
        <w:snapToGrid w:val="0"/>
        <w:spacing w:line="360" w:lineRule="auto"/>
        <w:ind w:firstLine="480" w:firstLineChars="200"/>
        <w:rPr>
          <w:color w:val="auto"/>
          <w:kern w:val="21"/>
          <w:sz w:val="24"/>
        </w:rPr>
      </w:pPr>
      <w:r>
        <w:rPr>
          <w:color w:val="auto"/>
          <w:kern w:val="21"/>
          <w:sz w:val="24"/>
        </w:rPr>
        <w:t>负责事故现场周围警戒、治安保卫、人员疏散、厂区道路交通管制工作和抢险、抢修、救援物资的供应和采购。</w:t>
      </w:r>
    </w:p>
    <w:p>
      <w:pPr>
        <w:adjustRightInd w:val="0"/>
        <w:snapToGrid w:val="0"/>
        <w:spacing w:line="360" w:lineRule="auto"/>
        <w:ind w:firstLine="480" w:firstLineChars="200"/>
        <w:rPr>
          <w:color w:val="auto"/>
          <w:kern w:val="21"/>
          <w:sz w:val="24"/>
        </w:rPr>
      </w:pPr>
      <w:r>
        <w:rPr>
          <w:color w:val="auto"/>
          <w:kern w:val="21"/>
          <w:sz w:val="24"/>
        </w:rPr>
        <w:t>⑥各生产车间（包括储运部）</w:t>
      </w:r>
    </w:p>
    <w:p>
      <w:pPr>
        <w:adjustRightInd w:val="0"/>
        <w:snapToGrid w:val="0"/>
        <w:spacing w:line="360" w:lineRule="auto"/>
        <w:ind w:firstLine="480" w:firstLineChars="200"/>
        <w:rPr>
          <w:color w:val="auto"/>
          <w:kern w:val="21"/>
          <w:sz w:val="24"/>
        </w:rPr>
      </w:pPr>
      <w:r>
        <w:rPr>
          <w:color w:val="auto"/>
          <w:kern w:val="21"/>
          <w:sz w:val="24"/>
        </w:rPr>
        <w:t>负责制定本单位的事故应急预案，组织本单位的事故应急预案演练，并对效果进行验证；负责本单位事故处置时生产系统开、停机调度与指挥工作；协助总指挥，做好工程抢险、抢修的现场指挥工作；做好</w:t>
      </w:r>
      <w:r>
        <w:rPr>
          <w:rFonts w:hint="eastAsia"/>
          <w:color w:val="auto"/>
          <w:kern w:val="21"/>
          <w:sz w:val="24"/>
          <w:lang w:eastAsia="zh-CN"/>
        </w:rPr>
        <w:t>其他</w:t>
      </w:r>
      <w:r>
        <w:rPr>
          <w:color w:val="auto"/>
          <w:kern w:val="21"/>
          <w:sz w:val="24"/>
        </w:rPr>
        <w:t>各项事故应急救援工作。</w:t>
      </w:r>
    </w:p>
    <w:p>
      <w:pPr>
        <w:adjustRightInd w:val="0"/>
        <w:snapToGrid w:val="0"/>
        <w:spacing w:line="360" w:lineRule="auto"/>
        <w:ind w:firstLine="480" w:firstLineChars="200"/>
        <w:rPr>
          <w:color w:val="auto"/>
          <w:kern w:val="21"/>
          <w:sz w:val="24"/>
        </w:rPr>
      </w:pPr>
      <w:r>
        <w:rPr>
          <w:color w:val="auto"/>
          <w:kern w:val="21"/>
          <w:sz w:val="24"/>
        </w:rPr>
        <w:t>（4）事故情况下撤离及急救注意事项</w:t>
      </w:r>
    </w:p>
    <w:p>
      <w:pPr>
        <w:adjustRightInd w:val="0"/>
        <w:snapToGrid w:val="0"/>
        <w:spacing w:line="360" w:lineRule="auto"/>
        <w:ind w:firstLine="480" w:firstLineChars="200"/>
        <w:rPr>
          <w:color w:val="auto"/>
          <w:kern w:val="21"/>
          <w:sz w:val="24"/>
        </w:rPr>
      </w:pPr>
      <w:r>
        <w:rPr>
          <w:color w:val="auto"/>
          <w:kern w:val="21"/>
          <w:sz w:val="24"/>
        </w:rPr>
        <w:t>1）人员撤离现场的注意事项</w:t>
      </w:r>
    </w:p>
    <w:p>
      <w:pPr>
        <w:adjustRightInd w:val="0"/>
        <w:snapToGrid w:val="0"/>
        <w:spacing w:line="360" w:lineRule="auto"/>
        <w:ind w:firstLine="480" w:firstLineChars="200"/>
        <w:rPr>
          <w:color w:val="auto"/>
          <w:kern w:val="21"/>
          <w:sz w:val="24"/>
        </w:rPr>
      </w:pPr>
      <w:r>
        <w:rPr>
          <w:color w:val="auto"/>
          <w:kern w:val="21"/>
          <w:sz w:val="24"/>
        </w:rPr>
        <w:t>做好防护再撤离。火灾区域人员同时穿好工作服，尽可能少</w:t>
      </w:r>
      <w:r>
        <w:rPr>
          <w:rFonts w:hint="eastAsia"/>
          <w:color w:val="auto"/>
          <w:kern w:val="21"/>
          <w:sz w:val="24"/>
          <w:lang w:eastAsia="zh-CN"/>
        </w:rPr>
        <w:t>地</w:t>
      </w:r>
      <w:r>
        <w:rPr>
          <w:color w:val="auto"/>
          <w:kern w:val="21"/>
          <w:sz w:val="24"/>
        </w:rPr>
        <w:t>将皮肤暴露在空气中。迅速判明事故当时风向，可利用风向标、旗帜等</w:t>
      </w:r>
      <w:r>
        <w:rPr>
          <w:rFonts w:hint="eastAsia"/>
          <w:color w:val="auto"/>
          <w:kern w:val="21"/>
          <w:sz w:val="24"/>
          <w:lang w:eastAsia="zh-CN"/>
        </w:rPr>
        <w:t>辨明</w:t>
      </w:r>
      <w:r>
        <w:rPr>
          <w:color w:val="auto"/>
          <w:kern w:val="21"/>
          <w:sz w:val="24"/>
        </w:rPr>
        <w:t>风向，向上风向撤离。听从指挥。人员在撤离时，一定不要慌张，要听从指挥部的指令和现场治安队的安排，按指定路线，向指定的集结点撤离。</w:t>
      </w:r>
    </w:p>
    <w:p>
      <w:pPr>
        <w:adjustRightInd w:val="0"/>
        <w:snapToGrid w:val="0"/>
        <w:spacing w:line="360" w:lineRule="auto"/>
        <w:ind w:firstLine="480" w:firstLineChars="200"/>
        <w:rPr>
          <w:color w:val="auto"/>
          <w:kern w:val="21"/>
          <w:sz w:val="24"/>
        </w:rPr>
      </w:pPr>
      <w:r>
        <w:rPr>
          <w:color w:val="auto"/>
          <w:kern w:val="21"/>
          <w:sz w:val="24"/>
        </w:rPr>
        <w:t>2）救援人员进入污染区域及实施救援时的注意事项</w:t>
      </w:r>
    </w:p>
    <w:p>
      <w:pPr>
        <w:adjustRightInd w:val="0"/>
        <w:snapToGrid w:val="0"/>
        <w:spacing w:line="360" w:lineRule="auto"/>
        <w:ind w:firstLine="480" w:firstLineChars="200"/>
        <w:rPr>
          <w:color w:val="auto"/>
          <w:kern w:val="21"/>
          <w:sz w:val="24"/>
        </w:rPr>
      </w:pPr>
      <w:r>
        <w:rPr>
          <w:color w:val="auto"/>
          <w:kern w:val="21"/>
          <w:sz w:val="24"/>
        </w:rPr>
        <w:t>救援人员进入火灾区域前必须清楚了解火灾区域地形、建筑（设备）分布，做好自身的防护工作，配备好各种防护器材。避免单独行动，应至少</w:t>
      </w:r>
      <w:r>
        <w:rPr>
          <w:rFonts w:eastAsia="TimesNewRomanPSMT"/>
          <w:color w:val="auto"/>
          <w:kern w:val="21"/>
          <w:sz w:val="24"/>
        </w:rPr>
        <w:t>2</w:t>
      </w:r>
      <w:r>
        <w:rPr>
          <w:color w:val="auto"/>
          <w:kern w:val="21"/>
          <w:sz w:val="24"/>
        </w:rPr>
        <w:t>～</w:t>
      </w:r>
      <w:r>
        <w:rPr>
          <w:rFonts w:eastAsia="TimesNewRomanPSMT"/>
          <w:color w:val="auto"/>
          <w:kern w:val="21"/>
          <w:sz w:val="24"/>
        </w:rPr>
        <w:t xml:space="preserve">3 </w:t>
      </w:r>
      <w:r>
        <w:rPr>
          <w:color w:val="auto"/>
          <w:kern w:val="21"/>
          <w:sz w:val="24"/>
        </w:rPr>
        <w:t>人为一组集体行动，以便互相监护照应。进入火灾区域的救援人员必须明确一位负责人，指挥协调在污染区域内的救援行动，利用对讲机（防爆型）等随时与指挥部联系，同时所有参加救援人员必须听从指挥部的指挥。</w:t>
      </w:r>
    </w:p>
    <w:p>
      <w:pPr>
        <w:adjustRightInd w:val="0"/>
        <w:snapToGrid w:val="0"/>
        <w:spacing w:line="360" w:lineRule="auto"/>
        <w:ind w:firstLine="480" w:firstLineChars="200"/>
        <w:rPr>
          <w:color w:val="auto"/>
          <w:kern w:val="21"/>
          <w:sz w:val="24"/>
        </w:rPr>
      </w:pPr>
      <w:r>
        <w:rPr>
          <w:color w:val="auto"/>
          <w:kern w:val="21"/>
          <w:sz w:val="24"/>
        </w:rPr>
        <w:t>3）开展现场急救工作的注意事项</w:t>
      </w:r>
    </w:p>
    <w:p>
      <w:pPr>
        <w:adjustRightInd w:val="0"/>
        <w:snapToGrid w:val="0"/>
        <w:spacing w:line="360" w:lineRule="auto"/>
        <w:ind w:firstLine="480" w:firstLineChars="200"/>
        <w:rPr>
          <w:color w:val="auto"/>
          <w:kern w:val="21"/>
          <w:sz w:val="24"/>
        </w:rPr>
      </w:pPr>
      <w:r>
        <w:rPr>
          <w:color w:val="auto"/>
          <w:kern w:val="21"/>
          <w:sz w:val="24"/>
        </w:rPr>
        <w:t>做好自身防护。医疗救护人员在救护过程中要随时注意事态的变化，及时迅速做好现场急救医疗点的转移及伤员的防护工作。分工合作。当事故现场有大批伤病员的情况下，医护人员应分工合作，</w:t>
      </w:r>
      <w:r>
        <w:rPr>
          <w:rFonts w:hint="eastAsia"/>
          <w:color w:val="auto"/>
          <w:kern w:val="21"/>
          <w:sz w:val="24"/>
          <w:lang w:eastAsia="zh-CN"/>
        </w:rPr>
        <w:t>做到</w:t>
      </w:r>
      <w:r>
        <w:rPr>
          <w:color w:val="auto"/>
          <w:kern w:val="21"/>
          <w:sz w:val="24"/>
        </w:rPr>
        <w:t>任务到人，职责明确，团结协作。急救处理程序化。为了避免现场急救工作杂乱无章，医务室应事先设计好不同类型的突发事故所应采取的现场急救程序。</w:t>
      </w:r>
    </w:p>
    <w:p>
      <w:pPr>
        <w:adjustRightInd w:val="0"/>
        <w:snapToGrid w:val="0"/>
        <w:spacing w:line="360" w:lineRule="auto"/>
        <w:ind w:firstLine="480" w:firstLineChars="200"/>
        <w:rPr>
          <w:color w:val="auto"/>
          <w:kern w:val="21"/>
          <w:sz w:val="24"/>
        </w:rPr>
      </w:pPr>
      <w:r>
        <w:rPr>
          <w:color w:val="auto"/>
          <w:kern w:val="21"/>
          <w:sz w:val="24"/>
        </w:rPr>
        <w:t>（5）</w:t>
      </w:r>
      <w:r>
        <w:rPr>
          <w:rFonts w:hint="eastAsia"/>
          <w:color w:val="auto"/>
          <w:kern w:val="21"/>
          <w:sz w:val="24"/>
          <w:lang w:eastAsia="zh-CN"/>
        </w:rPr>
        <w:t>泄漏事故</w:t>
      </w:r>
      <w:r>
        <w:rPr>
          <w:color w:val="auto"/>
          <w:kern w:val="21"/>
          <w:sz w:val="24"/>
        </w:rPr>
        <w:t>的应急救援方案</w:t>
      </w:r>
    </w:p>
    <w:p>
      <w:pPr>
        <w:adjustRightInd w:val="0"/>
        <w:snapToGrid w:val="0"/>
        <w:spacing w:line="360" w:lineRule="auto"/>
        <w:ind w:firstLine="480" w:firstLineChars="200"/>
        <w:rPr>
          <w:color w:val="auto"/>
          <w:kern w:val="21"/>
          <w:sz w:val="24"/>
        </w:rPr>
      </w:pPr>
      <w:r>
        <w:rPr>
          <w:color w:val="auto"/>
          <w:kern w:val="21"/>
          <w:sz w:val="24"/>
        </w:rPr>
        <w:t>1）工艺管道破裂或阀门密封部位泄露</w:t>
      </w:r>
    </w:p>
    <w:p>
      <w:pPr>
        <w:adjustRightInd w:val="0"/>
        <w:snapToGrid w:val="0"/>
        <w:spacing w:line="360" w:lineRule="auto"/>
        <w:ind w:firstLine="480" w:firstLineChars="200"/>
        <w:rPr>
          <w:color w:val="auto"/>
          <w:kern w:val="21"/>
          <w:sz w:val="24"/>
        </w:rPr>
      </w:pPr>
      <w:r>
        <w:rPr>
          <w:color w:val="auto"/>
          <w:kern w:val="21"/>
          <w:sz w:val="24"/>
        </w:rPr>
        <w:t>本项目管线由于使用年限长和介质的腐蚀，或系统内残余水分的存在，易在管线的最低与最末端部位受热胀冷缩结冰而产生裂缝，阀门冻裂或密封部位老化，都会造成泄露。操作人员发现泄露时，应立即采取以下应急措施：</w:t>
      </w:r>
    </w:p>
    <w:p>
      <w:pPr>
        <w:adjustRightInd w:val="0"/>
        <w:snapToGrid w:val="0"/>
        <w:spacing w:line="360" w:lineRule="auto"/>
        <w:ind w:firstLine="480" w:firstLineChars="200"/>
        <w:rPr>
          <w:color w:val="auto"/>
          <w:kern w:val="21"/>
          <w:sz w:val="24"/>
        </w:rPr>
      </w:pPr>
      <w:r>
        <w:rPr>
          <w:color w:val="auto"/>
          <w:kern w:val="21"/>
          <w:sz w:val="24"/>
        </w:rPr>
        <w:t>①迅速查明泄露点，立即关闭泄露点阀门，切断各储罐连接管线。</w:t>
      </w:r>
    </w:p>
    <w:p>
      <w:pPr>
        <w:adjustRightInd w:val="0"/>
        <w:snapToGrid w:val="0"/>
        <w:spacing w:line="360" w:lineRule="auto"/>
        <w:ind w:firstLine="480" w:firstLineChars="200"/>
        <w:rPr>
          <w:color w:val="auto"/>
          <w:kern w:val="21"/>
          <w:sz w:val="24"/>
        </w:rPr>
      </w:pPr>
      <w:r>
        <w:rPr>
          <w:color w:val="auto"/>
          <w:kern w:val="21"/>
          <w:sz w:val="24"/>
        </w:rPr>
        <w:t>②杜绝附近一切火源，禁止一切车辆在附近行驶，同时派人员向负责人和安全消防人员报告发生</w:t>
      </w:r>
      <w:r>
        <w:rPr>
          <w:rFonts w:hint="eastAsia"/>
          <w:color w:val="auto"/>
          <w:kern w:val="21"/>
          <w:sz w:val="24"/>
          <w:lang w:eastAsia="zh-CN"/>
        </w:rPr>
        <w:t>泄漏</w:t>
      </w:r>
      <w:r>
        <w:rPr>
          <w:color w:val="auto"/>
          <w:kern w:val="21"/>
          <w:sz w:val="24"/>
        </w:rPr>
        <w:t>情况和正在采取的措施。</w:t>
      </w:r>
    </w:p>
    <w:p>
      <w:pPr>
        <w:adjustRightInd w:val="0"/>
        <w:snapToGrid w:val="0"/>
        <w:spacing w:line="360" w:lineRule="auto"/>
        <w:ind w:firstLine="480" w:firstLineChars="200"/>
        <w:rPr>
          <w:color w:val="auto"/>
          <w:kern w:val="21"/>
          <w:sz w:val="24"/>
        </w:rPr>
      </w:pPr>
      <w:r>
        <w:rPr>
          <w:color w:val="auto"/>
          <w:kern w:val="21"/>
          <w:sz w:val="24"/>
        </w:rPr>
        <w:t>③负责人接到报告后，应立即到现场组织人员进行处理，停止一切操作活动，撤离无关人员，并安排专人对已关闭的储罐阀门进行监控，采用水枪分层驱散泄露的气雾，降低天然气浓度，直至检测合格；若泄露量大，一时难以控制，应扩大警戒线，切断电源，拨打119报警，远距离操控，同时向当地安全、环保部门报告。</w:t>
      </w:r>
    </w:p>
    <w:p>
      <w:pPr>
        <w:adjustRightInd w:val="0"/>
        <w:snapToGrid w:val="0"/>
        <w:spacing w:line="360" w:lineRule="auto"/>
        <w:ind w:left="420" w:leftChars="200"/>
        <w:rPr>
          <w:color w:val="auto"/>
          <w:kern w:val="21"/>
          <w:sz w:val="24"/>
        </w:rPr>
      </w:pPr>
      <w:r>
        <w:rPr>
          <w:color w:val="auto"/>
          <w:kern w:val="21"/>
          <w:sz w:val="24"/>
        </w:rPr>
        <w:t>2）受碰撞出现的泄露</w:t>
      </w:r>
    </w:p>
    <w:p>
      <w:pPr>
        <w:adjustRightInd w:val="0"/>
        <w:snapToGrid w:val="0"/>
        <w:spacing w:line="360" w:lineRule="auto"/>
        <w:ind w:firstLine="480" w:firstLineChars="200"/>
        <w:rPr>
          <w:color w:val="auto"/>
          <w:kern w:val="21"/>
          <w:sz w:val="24"/>
        </w:rPr>
      </w:pPr>
      <w:r>
        <w:rPr>
          <w:color w:val="auto"/>
          <w:kern w:val="21"/>
          <w:sz w:val="24"/>
        </w:rPr>
        <w:t>与罐体直接连接的阀门、法兰因密封垫质量或储罐管件受碰撞会出现泄露，由于这些部件与罐体直接连接，一旦出现险情，将会造成储罐内物料全部泄出，因此是十分危险，应立即切断可能产生火花的一切火源，及时封堵泄露口。</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72" w:name="_Toc112338963"/>
      <w:bookmarkStart w:id="373" w:name="_Toc2036"/>
      <w:r>
        <w:rPr>
          <w:bCs w:val="0"/>
          <w:color w:val="auto"/>
          <w:kern w:val="0"/>
          <w:szCs w:val="20"/>
          <w:lang w:val="en-US"/>
        </w:rPr>
        <w:t>6.9环境风险评价结论</w:t>
      </w:r>
      <w:bookmarkEnd w:id="372"/>
      <w:bookmarkEnd w:id="373"/>
      <w:r>
        <w:rPr>
          <w:bCs w:val="0"/>
          <w:color w:val="auto"/>
          <w:kern w:val="0"/>
          <w:szCs w:val="20"/>
          <w:lang w:val="en-US"/>
        </w:rPr>
        <w:t xml:space="preserve"> </w:t>
      </w:r>
    </w:p>
    <w:p>
      <w:pPr>
        <w:adjustRightInd w:val="0"/>
        <w:snapToGrid w:val="0"/>
        <w:spacing w:line="360" w:lineRule="auto"/>
        <w:ind w:firstLine="480" w:firstLineChars="200"/>
        <w:rPr>
          <w:color w:val="auto"/>
          <w:kern w:val="21"/>
          <w:sz w:val="24"/>
          <w:lang w:val="en-US"/>
        </w:rPr>
      </w:pPr>
      <w:r>
        <w:rPr>
          <w:color w:val="auto"/>
          <w:kern w:val="21"/>
          <w:sz w:val="24"/>
          <w:lang w:val="en-US"/>
        </w:rPr>
        <w:t>本项目原辅材料中涉及的盐酸、硫酸、氢氧化钠、铬酸、氯化镍、硫酸镍、镍板等物质属于危险化学品。经源项分析，本项目</w:t>
      </w:r>
      <w:r>
        <w:rPr>
          <w:rFonts w:hint="eastAsia"/>
          <w:color w:val="auto"/>
          <w:kern w:val="21"/>
          <w:sz w:val="24"/>
          <w:lang w:val="en-US" w:eastAsia="zh-CN"/>
        </w:rPr>
        <w:t>的</w:t>
      </w:r>
      <w:r>
        <w:rPr>
          <w:rFonts w:hint="eastAsia"/>
          <w:color w:val="auto"/>
          <w:kern w:val="21"/>
          <w:sz w:val="24"/>
          <w:vertAlign w:val="baseline"/>
          <w:lang w:eastAsia="zh-CN"/>
        </w:rPr>
        <w:t>最大可信事故</w:t>
      </w:r>
      <w:r>
        <w:rPr>
          <w:rFonts w:hint="eastAsia"/>
          <w:color w:val="auto"/>
          <w:kern w:val="21"/>
          <w:sz w:val="24"/>
          <w:lang w:val="en-US" w:eastAsia="zh-CN"/>
        </w:rPr>
        <w:t>为盐酸等危险化学品储存设施破裂造成危化品泄漏</w:t>
      </w:r>
      <w:r>
        <w:rPr>
          <w:color w:val="auto"/>
          <w:kern w:val="21"/>
          <w:sz w:val="24"/>
          <w:lang w:val="en-US"/>
        </w:rPr>
        <w:t>。项目通过在电镀区设置围堰，危化品储存区设置漫坡及围堰，落实与园区风险防范联防措施，可有效降低环境风险的发生概率，尽量避免储存、装卸和生产过程电镀液和原材料泄漏事故对附近水体造成威胁，其环境风险是可控的。如出现泄漏事故，应</w:t>
      </w:r>
      <w:r>
        <w:rPr>
          <w:rFonts w:hint="eastAsia"/>
          <w:color w:val="auto"/>
          <w:kern w:val="21"/>
          <w:sz w:val="24"/>
          <w:lang w:val="en-US" w:eastAsia="zh-CN"/>
        </w:rPr>
        <w:t>立即</w:t>
      </w:r>
      <w:r>
        <w:rPr>
          <w:color w:val="auto"/>
          <w:kern w:val="21"/>
          <w:sz w:val="24"/>
          <w:lang w:val="en-US"/>
        </w:rPr>
        <w:t>报告相关部门，启动环境风险应急预案，将事故影响降到最低。</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项目环境风险防范措施及投资估算见下表。</w:t>
      </w:r>
    </w:p>
    <w:p>
      <w:pPr>
        <w:pStyle w:val="32"/>
        <w:adjustRightInd w:val="0"/>
        <w:snapToGrid w:val="0"/>
        <w:spacing w:after="0"/>
        <w:jc w:val="center"/>
        <w:rPr>
          <w:rFonts w:eastAsia="黑体"/>
          <w:color w:val="auto"/>
          <w:kern w:val="21"/>
          <w:sz w:val="24"/>
          <w:lang w:val="en-US"/>
        </w:rPr>
      </w:pPr>
      <w:r>
        <w:rPr>
          <w:rFonts w:hint="eastAsia" w:eastAsia="黑体"/>
          <w:color w:val="auto"/>
          <w:kern w:val="21"/>
          <w:sz w:val="24"/>
          <w:lang w:val="en-US"/>
        </w:rPr>
        <w:t>表6.9-1   项目环境风险防范措施及投资估算一览表</w:t>
      </w:r>
    </w:p>
    <w:tbl>
      <w:tblPr>
        <w:tblStyle w:val="8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68"/>
        <w:gridCol w:w="4217"/>
        <w:gridCol w:w="2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b/>
                <w:bCs/>
                <w:color w:val="auto"/>
                <w:kern w:val="21"/>
                <w:szCs w:val="21"/>
                <w:u w:val="single"/>
                <w:lang w:val="en-US"/>
              </w:rPr>
            </w:pPr>
            <w:r>
              <w:rPr>
                <w:rFonts w:eastAsiaTheme="minorEastAsia"/>
                <w:b/>
                <w:bCs/>
                <w:color w:val="auto"/>
                <w:kern w:val="21"/>
                <w:szCs w:val="21"/>
                <w:u w:val="single"/>
                <w:lang w:val="en-US"/>
              </w:rPr>
              <w:t>序号</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b/>
                <w:bCs/>
                <w:color w:val="auto"/>
                <w:kern w:val="21"/>
                <w:szCs w:val="21"/>
                <w:u w:val="single"/>
                <w:lang w:val="en-US"/>
              </w:rPr>
            </w:pPr>
            <w:r>
              <w:rPr>
                <w:rFonts w:eastAsiaTheme="minorEastAsia"/>
                <w:b/>
                <w:bCs/>
                <w:color w:val="auto"/>
                <w:kern w:val="21"/>
                <w:szCs w:val="21"/>
                <w:u w:val="single"/>
                <w:lang w:val="en-US"/>
              </w:rPr>
              <w:t>防范措施</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b/>
                <w:bCs/>
                <w:color w:val="auto"/>
                <w:kern w:val="21"/>
                <w:szCs w:val="21"/>
                <w:u w:val="single"/>
                <w:lang w:val="en-US"/>
              </w:rPr>
            </w:pPr>
            <w:r>
              <w:rPr>
                <w:rFonts w:eastAsiaTheme="minorEastAsia"/>
                <w:b/>
                <w:bCs/>
                <w:color w:val="auto"/>
                <w:kern w:val="21"/>
                <w:szCs w:val="21"/>
                <w:u w:val="single"/>
                <w:lang w:val="en-US"/>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1</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2个20m</w:t>
            </w:r>
            <w:r>
              <w:rPr>
                <w:rFonts w:eastAsiaTheme="minorEastAsia"/>
                <w:color w:val="auto"/>
                <w:kern w:val="21"/>
                <w:szCs w:val="21"/>
                <w:vertAlign w:val="superscript"/>
                <w:lang w:val="en-US"/>
              </w:rPr>
              <w:t>3</w:t>
            </w:r>
            <w:r>
              <w:rPr>
                <w:rFonts w:eastAsiaTheme="minorEastAsia"/>
                <w:color w:val="auto"/>
                <w:kern w:val="21"/>
                <w:szCs w:val="21"/>
                <w:lang w:val="en-US"/>
              </w:rPr>
              <w:t>移动备用槽</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2</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干粉灭火器等消防器材</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3</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缓冲池（兼生产线事故池）</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投资计入污水站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4</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化学品事故池、漫坡</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5</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0.5m围堰</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6</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分区防渗</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投资计入防渗工程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7</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泄漏报警装置</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1"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8</w:t>
            </w:r>
          </w:p>
        </w:tc>
        <w:tc>
          <w:tcPr>
            <w:tcW w:w="2472"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截止阀门</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3" w:type="pct"/>
            <w:gridSpan w:val="2"/>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eastAsiaTheme="minorEastAsia"/>
                <w:color w:val="auto"/>
                <w:kern w:val="21"/>
                <w:szCs w:val="21"/>
                <w:lang w:val="en-US"/>
              </w:rPr>
              <w:t>总计</w:t>
            </w:r>
          </w:p>
        </w:tc>
        <w:tc>
          <w:tcPr>
            <w:tcW w:w="1667" w:type="pct"/>
            <w:vAlign w:val="center"/>
          </w:tcPr>
          <w:p>
            <w:pPr>
              <w:pStyle w:val="32"/>
              <w:keepNext w:val="0"/>
              <w:keepLines w:val="0"/>
              <w:pageBreakBefore w:val="0"/>
              <w:widowControl w:val="0"/>
              <w:kinsoku/>
              <w:wordWrap/>
              <w:overflowPunct/>
              <w:topLinePunct w:val="0"/>
              <w:autoSpaceDE/>
              <w:autoSpaceDN/>
              <w:bidi w:val="0"/>
              <w:adjustRightInd w:val="0"/>
              <w:snapToGrid w:val="0"/>
              <w:spacing w:after="0" w:line="360" w:lineRule="auto"/>
              <w:ind w:firstLine="0" w:firstLineChars="0"/>
              <w:jc w:val="center"/>
              <w:textAlignment w:val="auto"/>
              <w:rPr>
                <w:rFonts w:eastAsiaTheme="minorEastAsia"/>
                <w:color w:val="auto"/>
                <w:kern w:val="21"/>
                <w:szCs w:val="21"/>
                <w:lang w:val="en-US"/>
              </w:rPr>
            </w:pPr>
            <w:r>
              <w:rPr>
                <w:rFonts w:hint="eastAsia" w:eastAsiaTheme="minorEastAsia"/>
                <w:color w:val="auto"/>
                <w:kern w:val="21"/>
                <w:szCs w:val="21"/>
                <w:lang w:val="en-US"/>
              </w:rPr>
              <w:t>20</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74" w:name="_Toc112338964"/>
      <w:r>
        <w:rPr>
          <w:bCs w:val="0"/>
          <w:color w:val="auto"/>
          <w:kern w:val="0"/>
          <w:szCs w:val="20"/>
          <w:lang w:val="en-US"/>
        </w:rPr>
        <w:t>6.</w:t>
      </w:r>
      <w:r>
        <w:rPr>
          <w:rFonts w:hint="eastAsia"/>
          <w:bCs w:val="0"/>
          <w:color w:val="auto"/>
          <w:kern w:val="0"/>
          <w:szCs w:val="20"/>
          <w:lang w:val="en-US"/>
        </w:rPr>
        <w:t>10</w:t>
      </w:r>
      <w:r>
        <w:rPr>
          <w:bCs w:val="0"/>
          <w:color w:val="auto"/>
          <w:kern w:val="0"/>
          <w:szCs w:val="20"/>
          <w:lang w:val="en-US"/>
        </w:rPr>
        <w:t>环境风险评价自查表</w:t>
      </w:r>
      <w:bookmarkEnd w:id="374"/>
      <w:r>
        <w:rPr>
          <w:bCs w:val="0"/>
          <w:color w:val="auto"/>
          <w:kern w:val="0"/>
          <w:szCs w:val="20"/>
          <w:lang w:val="en-US"/>
        </w:rPr>
        <w:t xml:space="preserve"> </w:t>
      </w:r>
    </w:p>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p>
    <w:p>
      <w:pPr>
        <w:pStyle w:val="32"/>
        <w:adjustRightInd w:val="0"/>
        <w:snapToGrid w:val="0"/>
        <w:spacing w:after="0"/>
        <w:jc w:val="center"/>
        <w:rPr>
          <w:rFonts w:eastAsia="黑体"/>
          <w:color w:val="auto"/>
          <w:kern w:val="21"/>
          <w:sz w:val="24"/>
          <w:lang w:val="en-US"/>
        </w:rPr>
      </w:pPr>
      <w:r>
        <w:rPr>
          <w:rFonts w:eastAsia="黑体"/>
          <w:color w:val="auto"/>
          <w:kern w:val="21"/>
          <w:sz w:val="24"/>
          <w:lang w:val="en-US"/>
        </w:rPr>
        <w:t>表6.</w:t>
      </w:r>
      <w:r>
        <w:rPr>
          <w:rFonts w:hint="eastAsia" w:eastAsia="黑体"/>
          <w:color w:val="auto"/>
          <w:kern w:val="21"/>
          <w:sz w:val="24"/>
          <w:lang w:val="en-US"/>
        </w:rPr>
        <w:t>10</w:t>
      </w:r>
      <w:r>
        <w:rPr>
          <w:rFonts w:eastAsia="黑体"/>
          <w:color w:val="auto"/>
          <w:kern w:val="21"/>
          <w:sz w:val="24"/>
          <w:lang w:val="en-US"/>
        </w:rPr>
        <w:t>-1   环境风险评价自查表</w:t>
      </w:r>
    </w:p>
    <w:tbl>
      <w:tblPr>
        <w:tblStyle w:val="83"/>
        <w:tblW w:w="85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995"/>
        <w:gridCol w:w="1180"/>
        <w:gridCol w:w="644"/>
        <w:gridCol w:w="466"/>
        <w:gridCol w:w="230"/>
        <w:gridCol w:w="175"/>
        <w:gridCol w:w="741"/>
        <w:gridCol w:w="479"/>
        <w:gridCol w:w="370"/>
        <w:gridCol w:w="481"/>
        <w:gridCol w:w="299"/>
        <w:gridCol w:w="693"/>
        <w:gridCol w:w="791"/>
        <w:gridCol w:w="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1955" w:type="dxa"/>
            <w:gridSpan w:val="2"/>
            <w:vAlign w:val="center"/>
          </w:tcPr>
          <w:p>
            <w:pPr>
              <w:tabs>
                <w:tab w:val="left" w:pos="757"/>
              </w:tabs>
              <w:adjustRightInd w:val="0"/>
              <w:snapToGrid w:val="0"/>
              <w:jc w:val="center"/>
              <w:rPr>
                <w:b/>
                <w:bCs/>
                <w:color w:val="auto"/>
                <w:kern w:val="21"/>
              </w:rPr>
            </w:pPr>
            <w:r>
              <w:rPr>
                <w:b/>
                <w:bCs/>
                <w:color w:val="auto"/>
                <w:kern w:val="21"/>
              </w:rPr>
              <w:t>工作内容</w:t>
            </w:r>
          </w:p>
        </w:tc>
        <w:tc>
          <w:tcPr>
            <w:tcW w:w="6549" w:type="dxa"/>
            <w:gridSpan w:val="12"/>
            <w:vAlign w:val="center"/>
          </w:tcPr>
          <w:p>
            <w:pPr>
              <w:tabs>
                <w:tab w:val="left" w:pos="757"/>
              </w:tabs>
              <w:adjustRightInd w:val="0"/>
              <w:snapToGrid w:val="0"/>
              <w:jc w:val="center"/>
              <w:rPr>
                <w:b/>
                <w:bCs/>
                <w:color w:val="auto"/>
                <w:kern w:val="21"/>
              </w:rPr>
            </w:pPr>
            <w:r>
              <w:rPr>
                <w:b/>
                <w:bCs/>
                <w:color w:val="auto"/>
                <w:kern w:val="21"/>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dxa"/>
            <w:vMerge w:val="restart"/>
            <w:vAlign w:val="center"/>
          </w:tcPr>
          <w:p>
            <w:pPr>
              <w:tabs>
                <w:tab w:val="left" w:pos="757"/>
              </w:tabs>
              <w:adjustRightInd w:val="0"/>
              <w:snapToGrid w:val="0"/>
              <w:jc w:val="center"/>
              <w:rPr>
                <w:color w:val="auto"/>
                <w:kern w:val="21"/>
              </w:rPr>
            </w:pPr>
            <w:r>
              <w:rPr>
                <w:color w:val="auto"/>
                <w:kern w:val="21"/>
              </w:rPr>
              <w:t>风险调查</w:t>
            </w:r>
          </w:p>
        </w:tc>
        <w:tc>
          <w:tcPr>
            <w:tcW w:w="995" w:type="dxa"/>
            <w:vMerge w:val="restart"/>
            <w:vAlign w:val="center"/>
          </w:tcPr>
          <w:p>
            <w:pPr>
              <w:tabs>
                <w:tab w:val="left" w:pos="757"/>
              </w:tabs>
              <w:adjustRightInd w:val="0"/>
              <w:snapToGrid w:val="0"/>
              <w:jc w:val="center"/>
              <w:rPr>
                <w:color w:val="auto"/>
                <w:kern w:val="21"/>
              </w:rPr>
            </w:pPr>
            <w:r>
              <w:rPr>
                <w:color w:val="auto"/>
                <w:kern w:val="21"/>
              </w:rPr>
              <w:t>危险物质</w:t>
            </w:r>
          </w:p>
        </w:tc>
        <w:tc>
          <w:tcPr>
            <w:tcW w:w="1180" w:type="dxa"/>
            <w:vAlign w:val="center"/>
          </w:tcPr>
          <w:p>
            <w:pPr>
              <w:tabs>
                <w:tab w:val="left" w:pos="757"/>
              </w:tabs>
              <w:adjustRightInd w:val="0"/>
              <w:snapToGrid w:val="0"/>
              <w:jc w:val="center"/>
              <w:rPr>
                <w:color w:val="auto"/>
                <w:kern w:val="21"/>
              </w:rPr>
            </w:pPr>
            <w:r>
              <w:rPr>
                <w:color w:val="auto"/>
                <w:kern w:val="21"/>
              </w:rPr>
              <w:t>名称</w:t>
            </w:r>
          </w:p>
        </w:tc>
        <w:tc>
          <w:tcPr>
            <w:tcW w:w="644" w:type="dxa"/>
            <w:vAlign w:val="center"/>
          </w:tcPr>
          <w:p>
            <w:pPr>
              <w:tabs>
                <w:tab w:val="left" w:pos="757"/>
              </w:tabs>
              <w:adjustRightInd w:val="0"/>
              <w:snapToGrid w:val="0"/>
              <w:jc w:val="center"/>
              <w:rPr>
                <w:color w:val="auto"/>
                <w:kern w:val="21"/>
              </w:rPr>
            </w:pPr>
            <w:r>
              <w:rPr>
                <w:color w:val="auto"/>
                <w:kern w:val="21"/>
              </w:rPr>
              <w:t>盐酸</w:t>
            </w:r>
          </w:p>
        </w:tc>
        <w:tc>
          <w:tcPr>
            <w:tcW w:w="696" w:type="dxa"/>
            <w:gridSpan w:val="2"/>
            <w:vAlign w:val="center"/>
          </w:tcPr>
          <w:p>
            <w:pPr>
              <w:tabs>
                <w:tab w:val="left" w:pos="757"/>
              </w:tabs>
              <w:adjustRightInd w:val="0"/>
              <w:snapToGrid w:val="0"/>
              <w:jc w:val="center"/>
              <w:rPr>
                <w:color w:val="auto"/>
                <w:kern w:val="21"/>
              </w:rPr>
            </w:pPr>
            <w:r>
              <w:rPr>
                <w:color w:val="auto"/>
                <w:kern w:val="21"/>
              </w:rPr>
              <w:t>硫酸</w:t>
            </w:r>
          </w:p>
        </w:tc>
        <w:tc>
          <w:tcPr>
            <w:tcW w:w="916" w:type="dxa"/>
            <w:gridSpan w:val="2"/>
            <w:vAlign w:val="center"/>
          </w:tcPr>
          <w:p>
            <w:pPr>
              <w:tabs>
                <w:tab w:val="left" w:pos="757"/>
              </w:tabs>
              <w:adjustRightInd w:val="0"/>
              <w:snapToGrid w:val="0"/>
              <w:jc w:val="center"/>
              <w:rPr>
                <w:color w:val="auto"/>
                <w:kern w:val="21"/>
              </w:rPr>
            </w:pPr>
            <w:r>
              <w:rPr>
                <w:color w:val="auto"/>
                <w:kern w:val="21"/>
              </w:rPr>
              <w:t>氢氧化钠</w:t>
            </w:r>
          </w:p>
        </w:tc>
        <w:tc>
          <w:tcPr>
            <w:tcW w:w="479" w:type="dxa"/>
            <w:vAlign w:val="center"/>
          </w:tcPr>
          <w:p>
            <w:pPr>
              <w:tabs>
                <w:tab w:val="left" w:pos="757"/>
              </w:tabs>
              <w:adjustRightInd w:val="0"/>
              <w:snapToGrid w:val="0"/>
              <w:jc w:val="center"/>
              <w:rPr>
                <w:color w:val="auto"/>
                <w:kern w:val="21"/>
              </w:rPr>
            </w:pPr>
            <w:r>
              <w:rPr>
                <w:color w:val="auto"/>
                <w:kern w:val="21"/>
              </w:rPr>
              <w:t>镍板</w:t>
            </w:r>
          </w:p>
        </w:tc>
        <w:tc>
          <w:tcPr>
            <w:tcW w:w="851" w:type="dxa"/>
            <w:gridSpan w:val="2"/>
            <w:vAlign w:val="center"/>
          </w:tcPr>
          <w:p>
            <w:pPr>
              <w:tabs>
                <w:tab w:val="left" w:pos="757"/>
              </w:tabs>
              <w:adjustRightInd w:val="0"/>
              <w:snapToGrid w:val="0"/>
              <w:jc w:val="center"/>
              <w:rPr>
                <w:color w:val="auto"/>
                <w:kern w:val="21"/>
              </w:rPr>
            </w:pPr>
            <w:r>
              <w:rPr>
                <w:color w:val="auto"/>
                <w:kern w:val="21"/>
              </w:rPr>
              <w:t>硫酸镍</w:t>
            </w:r>
          </w:p>
        </w:tc>
        <w:tc>
          <w:tcPr>
            <w:tcW w:w="992" w:type="dxa"/>
            <w:gridSpan w:val="2"/>
            <w:vAlign w:val="center"/>
          </w:tcPr>
          <w:p>
            <w:pPr>
              <w:tabs>
                <w:tab w:val="left" w:pos="757"/>
              </w:tabs>
              <w:adjustRightInd w:val="0"/>
              <w:snapToGrid w:val="0"/>
              <w:jc w:val="center"/>
              <w:rPr>
                <w:color w:val="auto"/>
                <w:kern w:val="21"/>
              </w:rPr>
            </w:pPr>
            <w:r>
              <w:rPr>
                <w:color w:val="auto"/>
                <w:kern w:val="21"/>
              </w:rPr>
              <w:t>氯化镍</w:t>
            </w:r>
          </w:p>
        </w:tc>
        <w:tc>
          <w:tcPr>
            <w:tcW w:w="797" w:type="dxa"/>
            <w:gridSpan w:val="2"/>
            <w:vAlign w:val="center"/>
          </w:tcPr>
          <w:p>
            <w:pPr>
              <w:tabs>
                <w:tab w:val="left" w:pos="757"/>
              </w:tabs>
              <w:adjustRightInd w:val="0"/>
              <w:snapToGrid w:val="0"/>
              <w:jc w:val="center"/>
              <w:rPr>
                <w:color w:val="auto"/>
                <w:kern w:val="21"/>
              </w:rPr>
            </w:pPr>
            <w:r>
              <w:rPr>
                <w:color w:val="auto"/>
                <w:kern w:val="21"/>
              </w:rPr>
              <w:t>铬酸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Align w:val="center"/>
          </w:tcPr>
          <w:p>
            <w:pPr>
              <w:tabs>
                <w:tab w:val="left" w:pos="757"/>
              </w:tabs>
              <w:adjustRightInd w:val="0"/>
              <w:snapToGrid w:val="0"/>
              <w:jc w:val="center"/>
              <w:rPr>
                <w:color w:val="auto"/>
                <w:kern w:val="21"/>
              </w:rPr>
            </w:pPr>
            <w:r>
              <w:rPr>
                <w:color w:val="auto"/>
                <w:kern w:val="21"/>
              </w:rPr>
              <w:t>存在总量/t</w:t>
            </w:r>
          </w:p>
        </w:tc>
        <w:tc>
          <w:tcPr>
            <w:tcW w:w="644" w:type="dxa"/>
            <w:vAlign w:val="center"/>
          </w:tcPr>
          <w:p>
            <w:pPr>
              <w:tabs>
                <w:tab w:val="left" w:pos="757"/>
              </w:tabs>
              <w:adjustRightInd w:val="0"/>
              <w:snapToGrid w:val="0"/>
              <w:jc w:val="center"/>
              <w:rPr>
                <w:color w:val="auto"/>
                <w:kern w:val="21"/>
              </w:rPr>
            </w:pPr>
            <w:r>
              <w:rPr>
                <w:rFonts w:hint="eastAsia"/>
                <w:color w:val="auto"/>
                <w:kern w:val="21"/>
              </w:rPr>
              <w:t>10.5</w:t>
            </w:r>
          </w:p>
        </w:tc>
        <w:tc>
          <w:tcPr>
            <w:tcW w:w="696" w:type="dxa"/>
            <w:gridSpan w:val="2"/>
            <w:vAlign w:val="center"/>
          </w:tcPr>
          <w:p>
            <w:pPr>
              <w:tabs>
                <w:tab w:val="left" w:pos="757"/>
              </w:tabs>
              <w:adjustRightInd w:val="0"/>
              <w:snapToGrid w:val="0"/>
              <w:jc w:val="center"/>
              <w:rPr>
                <w:color w:val="auto"/>
                <w:kern w:val="21"/>
              </w:rPr>
            </w:pPr>
            <w:r>
              <w:rPr>
                <w:rFonts w:hint="eastAsia"/>
                <w:color w:val="auto"/>
                <w:kern w:val="21"/>
              </w:rPr>
              <w:t>5.7</w:t>
            </w:r>
          </w:p>
        </w:tc>
        <w:tc>
          <w:tcPr>
            <w:tcW w:w="916" w:type="dxa"/>
            <w:gridSpan w:val="2"/>
            <w:vAlign w:val="center"/>
          </w:tcPr>
          <w:p>
            <w:pPr>
              <w:tabs>
                <w:tab w:val="left" w:pos="757"/>
              </w:tabs>
              <w:adjustRightInd w:val="0"/>
              <w:snapToGrid w:val="0"/>
              <w:jc w:val="center"/>
              <w:rPr>
                <w:color w:val="auto"/>
                <w:kern w:val="21"/>
              </w:rPr>
            </w:pPr>
            <w:r>
              <w:rPr>
                <w:rFonts w:hint="eastAsia"/>
                <w:color w:val="auto"/>
                <w:kern w:val="21"/>
              </w:rPr>
              <w:t>2.5</w:t>
            </w:r>
          </w:p>
        </w:tc>
        <w:tc>
          <w:tcPr>
            <w:tcW w:w="479" w:type="dxa"/>
            <w:vAlign w:val="center"/>
          </w:tcPr>
          <w:p>
            <w:pPr>
              <w:tabs>
                <w:tab w:val="left" w:pos="757"/>
              </w:tabs>
              <w:adjustRightInd w:val="0"/>
              <w:snapToGrid w:val="0"/>
              <w:jc w:val="center"/>
              <w:rPr>
                <w:rFonts w:hint="default" w:eastAsia="宋体"/>
                <w:color w:val="auto"/>
                <w:kern w:val="21"/>
                <w:lang w:val="en-US" w:eastAsia="zh-CN"/>
              </w:rPr>
            </w:pPr>
            <w:r>
              <w:rPr>
                <w:rFonts w:hint="eastAsia"/>
                <w:color w:val="auto"/>
                <w:kern w:val="21"/>
                <w:lang w:val="en-US" w:eastAsia="zh-CN"/>
              </w:rPr>
              <w:t>10</w:t>
            </w:r>
          </w:p>
        </w:tc>
        <w:tc>
          <w:tcPr>
            <w:tcW w:w="851" w:type="dxa"/>
            <w:gridSpan w:val="2"/>
            <w:vAlign w:val="center"/>
          </w:tcPr>
          <w:p>
            <w:pPr>
              <w:tabs>
                <w:tab w:val="left" w:pos="757"/>
              </w:tabs>
              <w:adjustRightInd w:val="0"/>
              <w:snapToGrid w:val="0"/>
              <w:jc w:val="center"/>
              <w:rPr>
                <w:color w:val="auto"/>
                <w:kern w:val="21"/>
              </w:rPr>
            </w:pPr>
            <w:r>
              <w:rPr>
                <w:rFonts w:hint="eastAsia"/>
                <w:color w:val="auto"/>
                <w:kern w:val="21"/>
              </w:rPr>
              <w:t>5</w:t>
            </w:r>
          </w:p>
        </w:tc>
        <w:tc>
          <w:tcPr>
            <w:tcW w:w="992" w:type="dxa"/>
            <w:gridSpan w:val="2"/>
            <w:vAlign w:val="center"/>
          </w:tcPr>
          <w:p>
            <w:pPr>
              <w:tabs>
                <w:tab w:val="left" w:pos="757"/>
              </w:tabs>
              <w:adjustRightInd w:val="0"/>
              <w:snapToGrid w:val="0"/>
              <w:jc w:val="center"/>
              <w:rPr>
                <w:color w:val="auto"/>
                <w:kern w:val="21"/>
              </w:rPr>
            </w:pPr>
            <w:r>
              <w:rPr>
                <w:rFonts w:hint="eastAsia"/>
                <w:color w:val="auto"/>
                <w:kern w:val="21"/>
              </w:rPr>
              <w:t>2.5</w:t>
            </w:r>
          </w:p>
        </w:tc>
        <w:tc>
          <w:tcPr>
            <w:tcW w:w="797" w:type="dxa"/>
            <w:gridSpan w:val="2"/>
            <w:vAlign w:val="center"/>
          </w:tcPr>
          <w:p>
            <w:pPr>
              <w:tabs>
                <w:tab w:val="left" w:pos="757"/>
              </w:tabs>
              <w:adjustRightInd w:val="0"/>
              <w:snapToGrid w:val="0"/>
              <w:jc w:val="center"/>
              <w:rPr>
                <w:color w:val="auto"/>
                <w:kern w:val="21"/>
              </w:rPr>
            </w:pPr>
            <w:r>
              <w:rPr>
                <w:rFonts w:hint="eastAsia"/>
                <w:color w:val="auto"/>
                <w:kern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restart"/>
            <w:vAlign w:val="center"/>
          </w:tcPr>
          <w:p>
            <w:pPr>
              <w:tabs>
                <w:tab w:val="left" w:pos="757"/>
              </w:tabs>
              <w:adjustRightInd w:val="0"/>
              <w:snapToGrid w:val="0"/>
              <w:jc w:val="center"/>
              <w:rPr>
                <w:color w:val="auto"/>
                <w:kern w:val="21"/>
              </w:rPr>
            </w:pPr>
            <w:r>
              <w:rPr>
                <w:color w:val="auto"/>
                <w:kern w:val="21"/>
              </w:rPr>
              <w:t>环境敏感性</w:t>
            </w:r>
          </w:p>
        </w:tc>
        <w:tc>
          <w:tcPr>
            <w:tcW w:w="1180" w:type="dxa"/>
            <w:vMerge w:val="restart"/>
            <w:vAlign w:val="center"/>
          </w:tcPr>
          <w:p>
            <w:pPr>
              <w:tabs>
                <w:tab w:val="left" w:pos="757"/>
              </w:tabs>
              <w:adjustRightInd w:val="0"/>
              <w:snapToGrid w:val="0"/>
              <w:jc w:val="center"/>
              <w:rPr>
                <w:color w:val="auto"/>
                <w:kern w:val="21"/>
              </w:rPr>
            </w:pPr>
            <w:r>
              <w:rPr>
                <w:color w:val="auto"/>
                <w:kern w:val="21"/>
              </w:rPr>
              <w:t>大气</w:t>
            </w:r>
          </w:p>
        </w:tc>
        <w:tc>
          <w:tcPr>
            <w:tcW w:w="2256" w:type="dxa"/>
            <w:gridSpan w:val="5"/>
            <w:vAlign w:val="center"/>
          </w:tcPr>
          <w:p>
            <w:pPr>
              <w:tabs>
                <w:tab w:val="left" w:pos="757"/>
              </w:tabs>
              <w:adjustRightInd w:val="0"/>
              <w:snapToGrid w:val="0"/>
              <w:jc w:val="center"/>
              <w:rPr>
                <w:color w:val="auto"/>
                <w:kern w:val="21"/>
              </w:rPr>
            </w:pPr>
            <w:r>
              <w:rPr>
                <w:color w:val="auto"/>
                <w:kern w:val="21"/>
              </w:rPr>
              <w:t>500m范围内人口数</w:t>
            </w:r>
            <w:r>
              <w:rPr>
                <w:rFonts w:hint="eastAsia"/>
                <w:color w:val="auto"/>
                <w:kern w:val="21"/>
              </w:rPr>
              <w:t>410</w:t>
            </w:r>
            <w:r>
              <w:rPr>
                <w:color w:val="auto"/>
                <w:kern w:val="21"/>
              </w:rPr>
              <w:t>人</w:t>
            </w:r>
          </w:p>
        </w:tc>
        <w:tc>
          <w:tcPr>
            <w:tcW w:w="3113" w:type="dxa"/>
            <w:gridSpan w:val="6"/>
            <w:vAlign w:val="center"/>
          </w:tcPr>
          <w:p>
            <w:pPr>
              <w:tabs>
                <w:tab w:val="left" w:pos="757"/>
              </w:tabs>
              <w:adjustRightInd w:val="0"/>
              <w:snapToGrid w:val="0"/>
              <w:jc w:val="center"/>
              <w:rPr>
                <w:color w:val="auto"/>
                <w:kern w:val="21"/>
              </w:rPr>
            </w:pPr>
            <w:r>
              <w:rPr>
                <w:color w:val="auto"/>
                <w:kern w:val="21"/>
              </w:rPr>
              <w:t>5km范围内人口数</w:t>
            </w:r>
            <w:r>
              <w:rPr>
                <w:rFonts w:hint="eastAsia"/>
                <w:color w:val="auto"/>
                <w:kern w:val="21"/>
              </w:rPr>
              <w:t>42687</w:t>
            </w:r>
            <w:r>
              <w:rPr>
                <w:color w:val="auto"/>
                <w:kern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continue"/>
            <w:vAlign w:val="center"/>
          </w:tcPr>
          <w:p>
            <w:pPr>
              <w:tabs>
                <w:tab w:val="left" w:pos="757"/>
              </w:tabs>
              <w:adjustRightInd w:val="0"/>
              <w:snapToGrid w:val="0"/>
              <w:jc w:val="center"/>
              <w:rPr>
                <w:color w:val="auto"/>
                <w:kern w:val="21"/>
              </w:rPr>
            </w:pPr>
          </w:p>
        </w:tc>
        <w:tc>
          <w:tcPr>
            <w:tcW w:w="3885" w:type="dxa"/>
            <w:gridSpan w:val="9"/>
            <w:vAlign w:val="center"/>
          </w:tcPr>
          <w:p>
            <w:pPr>
              <w:tabs>
                <w:tab w:val="left" w:pos="757"/>
              </w:tabs>
              <w:adjustRightInd w:val="0"/>
              <w:snapToGrid w:val="0"/>
              <w:jc w:val="center"/>
              <w:rPr>
                <w:color w:val="auto"/>
                <w:kern w:val="21"/>
              </w:rPr>
            </w:pPr>
            <w:r>
              <w:rPr>
                <w:color w:val="auto"/>
                <w:kern w:val="21"/>
              </w:rPr>
              <w:t>每公里管段周边200m范围内人口数</w:t>
            </w:r>
          </w:p>
        </w:tc>
        <w:tc>
          <w:tcPr>
            <w:tcW w:w="1484" w:type="dxa"/>
            <w:gridSpan w:val="2"/>
            <w:vAlign w:val="center"/>
          </w:tcPr>
          <w:p>
            <w:pPr>
              <w:tabs>
                <w:tab w:val="left" w:pos="757"/>
              </w:tabs>
              <w:adjustRightInd w:val="0"/>
              <w:snapToGrid w:val="0"/>
              <w:jc w:val="center"/>
              <w:rPr>
                <w:color w:val="auto"/>
                <w:kern w:val="21"/>
              </w:rPr>
            </w:pPr>
            <w:r>
              <w:rPr>
                <w:color w:val="auto"/>
                <w:kern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restart"/>
            <w:vAlign w:val="center"/>
          </w:tcPr>
          <w:p>
            <w:pPr>
              <w:tabs>
                <w:tab w:val="left" w:pos="757"/>
              </w:tabs>
              <w:adjustRightInd w:val="0"/>
              <w:snapToGrid w:val="0"/>
              <w:jc w:val="center"/>
              <w:rPr>
                <w:color w:val="auto"/>
                <w:kern w:val="21"/>
              </w:rPr>
            </w:pPr>
            <w:r>
              <w:rPr>
                <w:color w:val="auto"/>
                <w:kern w:val="21"/>
              </w:rPr>
              <w:t>地表水</w:t>
            </w:r>
          </w:p>
        </w:tc>
        <w:tc>
          <w:tcPr>
            <w:tcW w:w="1110" w:type="dxa"/>
            <w:gridSpan w:val="2"/>
            <w:vAlign w:val="center"/>
          </w:tcPr>
          <w:p>
            <w:pPr>
              <w:tabs>
                <w:tab w:val="left" w:pos="757"/>
              </w:tabs>
              <w:adjustRightInd w:val="0"/>
              <w:snapToGrid w:val="0"/>
              <w:jc w:val="center"/>
              <w:rPr>
                <w:color w:val="auto"/>
                <w:kern w:val="21"/>
              </w:rPr>
            </w:pPr>
            <w:r>
              <w:rPr>
                <w:color w:val="auto"/>
                <w:kern w:val="21"/>
              </w:rPr>
              <w:t>地表水功能敏感性</w:t>
            </w:r>
          </w:p>
        </w:tc>
        <w:tc>
          <w:tcPr>
            <w:tcW w:w="1146" w:type="dxa"/>
            <w:gridSpan w:val="3"/>
            <w:vAlign w:val="center"/>
          </w:tcPr>
          <w:p>
            <w:pPr>
              <w:tabs>
                <w:tab w:val="left" w:pos="757"/>
              </w:tabs>
              <w:adjustRightInd w:val="0"/>
              <w:snapToGrid w:val="0"/>
              <w:jc w:val="center"/>
              <w:rPr>
                <w:color w:val="auto"/>
                <w:kern w:val="21"/>
              </w:rPr>
            </w:pPr>
            <w:r>
              <w:rPr>
                <w:color w:val="auto"/>
                <w:kern w:val="21"/>
              </w:rPr>
              <w:t>F1</w:t>
            </w:r>
            <w:r>
              <w:rPr>
                <w:color w:val="auto"/>
                <w:kern w:val="21"/>
              </w:rPr>
              <w:sym w:font="Wingdings 2" w:char="00A3"/>
            </w:r>
          </w:p>
        </w:tc>
        <w:tc>
          <w:tcPr>
            <w:tcW w:w="1629" w:type="dxa"/>
            <w:gridSpan w:val="4"/>
            <w:vAlign w:val="center"/>
          </w:tcPr>
          <w:p>
            <w:pPr>
              <w:tabs>
                <w:tab w:val="left" w:pos="757"/>
              </w:tabs>
              <w:adjustRightInd w:val="0"/>
              <w:snapToGrid w:val="0"/>
              <w:jc w:val="center"/>
              <w:rPr>
                <w:color w:val="auto"/>
                <w:kern w:val="21"/>
              </w:rPr>
            </w:pPr>
            <w:r>
              <w:rPr>
                <w:color w:val="auto"/>
                <w:kern w:val="21"/>
              </w:rPr>
              <w:t>F2</w:t>
            </w:r>
            <w:r>
              <w:rPr>
                <w:color w:val="auto"/>
                <w:kern w:val="21"/>
              </w:rPr>
              <w:sym w:font="Wingdings 2" w:char="00A3"/>
            </w:r>
          </w:p>
        </w:tc>
        <w:tc>
          <w:tcPr>
            <w:tcW w:w="1484" w:type="dxa"/>
            <w:gridSpan w:val="2"/>
            <w:vAlign w:val="center"/>
          </w:tcPr>
          <w:p>
            <w:pPr>
              <w:tabs>
                <w:tab w:val="left" w:pos="757"/>
              </w:tabs>
              <w:adjustRightInd w:val="0"/>
              <w:snapToGrid w:val="0"/>
              <w:jc w:val="center"/>
              <w:rPr>
                <w:color w:val="auto"/>
                <w:kern w:val="21"/>
              </w:rPr>
            </w:pPr>
            <w:r>
              <w:rPr>
                <w:color w:val="auto"/>
                <w:kern w:val="21"/>
              </w:rPr>
              <w:t>F3</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continue"/>
            <w:vAlign w:val="center"/>
          </w:tcPr>
          <w:p>
            <w:pPr>
              <w:tabs>
                <w:tab w:val="left" w:pos="757"/>
              </w:tabs>
              <w:adjustRightInd w:val="0"/>
              <w:snapToGrid w:val="0"/>
              <w:jc w:val="center"/>
              <w:rPr>
                <w:color w:val="auto"/>
                <w:kern w:val="21"/>
              </w:rPr>
            </w:pPr>
          </w:p>
        </w:tc>
        <w:tc>
          <w:tcPr>
            <w:tcW w:w="1110" w:type="dxa"/>
            <w:gridSpan w:val="2"/>
            <w:vAlign w:val="center"/>
          </w:tcPr>
          <w:p>
            <w:pPr>
              <w:tabs>
                <w:tab w:val="left" w:pos="757"/>
              </w:tabs>
              <w:adjustRightInd w:val="0"/>
              <w:snapToGrid w:val="0"/>
              <w:jc w:val="center"/>
              <w:rPr>
                <w:color w:val="auto"/>
                <w:kern w:val="21"/>
              </w:rPr>
            </w:pPr>
            <w:r>
              <w:rPr>
                <w:color w:val="auto"/>
                <w:kern w:val="21"/>
              </w:rPr>
              <w:t>环境敏感目标分级</w:t>
            </w:r>
          </w:p>
        </w:tc>
        <w:tc>
          <w:tcPr>
            <w:tcW w:w="1146" w:type="dxa"/>
            <w:gridSpan w:val="3"/>
            <w:vAlign w:val="center"/>
          </w:tcPr>
          <w:p>
            <w:pPr>
              <w:tabs>
                <w:tab w:val="left" w:pos="757"/>
              </w:tabs>
              <w:adjustRightInd w:val="0"/>
              <w:snapToGrid w:val="0"/>
              <w:jc w:val="center"/>
              <w:rPr>
                <w:color w:val="auto"/>
                <w:kern w:val="21"/>
              </w:rPr>
            </w:pPr>
            <w:r>
              <w:rPr>
                <w:color w:val="auto"/>
                <w:kern w:val="21"/>
              </w:rPr>
              <w:t>S1</w:t>
            </w:r>
            <w:r>
              <w:rPr>
                <w:color w:val="auto"/>
                <w:kern w:val="21"/>
              </w:rPr>
              <w:sym w:font="Wingdings 2" w:char="00A3"/>
            </w:r>
          </w:p>
        </w:tc>
        <w:tc>
          <w:tcPr>
            <w:tcW w:w="1629" w:type="dxa"/>
            <w:gridSpan w:val="4"/>
            <w:vAlign w:val="center"/>
          </w:tcPr>
          <w:p>
            <w:pPr>
              <w:tabs>
                <w:tab w:val="left" w:pos="757"/>
              </w:tabs>
              <w:adjustRightInd w:val="0"/>
              <w:snapToGrid w:val="0"/>
              <w:jc w:val="center"/>
              <w:rPr>
                <w:color w:val="auto"/>
                <w:kern w:val="21"/>
              </w:rPr>
            </w:pPr>
            <w:r>
              <w:rPr>
                <w:color w:val="auto"/>
                <w:kern w:val="21"/>
              </w:rPr>
              <w:t>S2</w:t>
            </w:r>
            <w:r>
              <w:rPr>
                <w:color w:val="auto"/>
                <w:kern w:val="21"/>
              </w:rPr>
              <w:sym w:font="Wingdings 2" w:char="00A3"/>
            </w:r>
          </w:p>
        </w:tc>
        <w:tc>
          <w:tcPr>
            <w:tcW w:w="1484" w:type="dxa"/>
            <w:gridSpan w:val="2"/>
            <w:vAlign w:val="center"/>
          </w:tcPr>
          <w:p>
            <w:pPr>
              <w:tabs>
                <w:tab w:val="left" w:pos="757"/>
              </w:tabs>
              <w:adjustRightInd w:val="0"/>
              <w:snapToGrid w:val="0"/>
              <w:jc w:val="center"/>
              <w:rPr>
                <w:color w:val="auto"/>
                <w:kern w:val="21"/>
              </w:rPr>
            </w:pPr>
            <w:r>
              <w:rPr>
                <w:color w:val="auto"/>
                <w:kern w:val="21"/>
              </w:rPr>
              <w:t>S3</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restart"/>
            <w:vAlign w:val="center"/>
          </w:tcPr>
          <w:p>
            <w:pPr>
              <w:tabs>
                <w:tab w:val="left" w:pos="757"/>
              </w:tabs>
              <w:adjustRightInd w:val="0"/>
              <w:snapToGrid w:val="0"/>
              <w:jc w:val="center"/>
              <w:rPr>
                <w:color w:val="auto"/>
                <w:kern w:val="21"/>
              </w:rPr>
            </w:pPr>
            <w:r>
              <w:rPr>
                <w:color w:val="auto"/>
                <w:kern w:val="21"/>
              </w:rPr>
              <w:t>地下水</w:t>
            </w:r>
          </w:p>
        </w:tc>
        <w:tc>
          <w:tcPr>
            <w:tcW w:w="1110" w:type="dxa"/>
            <w:gridSpan w:val="2"/>
            <w:vAlign w:val="center"/>
          </w:tcPr>
          <w:p>
            <w:pPr>
              <w:tabs>
                <w:tab w:val="left" w:pos="757"/>
              </w:tabs>
              <w:adjustRightInd w:val="0"/>
              <w:snapToGrid w:val="0"/>
              <w:jc w:val="center"/>
              <w:rPr>
                <w:color w:val="auto"/>
                <w:kern w:val="21"/>
              </w:rPr>
            </w:pPr>
            <w:r>
              <w:rPr>
                <w:color w:val="auto"/>
                <w:kern w:val="21"/>
              </w:rPr>
              <w:t>地下水功能敏感性</w:t>
            </w:r>
          </w:p>
        </w:tc>
        <w:tc>
          <w:tcPr>
            <w:tcW w:w="1146" w:type="dxa"/>
            <w:gridSpan w:val="3"/>
            <w:vAlign w:val="center"/>
          </w:tcPr>
          <w:p>
            <w:pPr>
              <w:tabs>
                <w:tab w:val="left" w:pos="757"/>
              </w:tabs>
              <w:adjustRightInd w:val="0"/>
              <w:snapToGrid w:val="0"/>
              <w:jc w:val="center"/>
              <w:rPr>
                <w:color w:val="auto"/>
                <w:kern w:val="21"/>
              </w:rPr>
            </w:pPr>
            <w:r>
              <w:rPr>
                <w:color w:val="auto"/>
                <w:kern w:val="21"/>
              </w:rPr>
              <w:t>G1</w:t>
            </w:r>
            <w:r>
              <w:rPr>
                <w:color w:val="auto"/>
                <w:kern w:val="21"/>
              </w:rPr>
              <w:sym w:font="Wingdings 2" w:char="00A3"/>
            </w:r>
          </w:p>
        </w:tc>
        <w:tc>
          <w:tcPr>
            <w:tcW w:w="1629" w:type="dxa"/>
            <w:gridSpan w:val="4"/>
            <w:vAlign w:val="center"/>
          </w:tcPr>
          <w:p>
            <w:pPr>
              <w:tabs>
                <w:tab w:val="left" w:pos="757"/>
              </w:tabs>
              <w:adjustRightInd w:val="0"/>
              <w:snapToGrid w:val="0"/>
              <w:jc w:val="center"/>
              <w:rPr>
                <w:color w:val="auto"/>
                <w:kern w:val="21"/>
              </w:rPr>
            </w:pPr>
            <w:r>
              <w:rPr>
                <w:color w:val="auto"/>
                <w:kern w:val="21"/>
              </w:rPr>
              <w:t>G2</w:t>
            </w:r>
            <w:r>
              <w:rPr>
                <w:color w:val="auto"/>
                <w:kern w:val="21"/>
              </w:rPr>
              <w:sym w:font="Wingdings 2" w:char="00A3"/>
            </w:r>
          </w:p>
        </w:tc>
        <w:tc>
          <w:tcPr>
            <w:tcW w:w="1484" w:type="dxa"/>
            <w:gridSpan w:val="2"/>
            <w:vAlign w:val="center"/>
          </w:tcPr>
          <w:p>
            <w:pPr>
              <w:tabs>
                <w:tab w:val="left" w:pos="757"/>
              </w:tabs>
              <w:adjustRightInd w:val="0"/>
              <w:snapToGrid w:val="0"/>
              <w:jc w:val="center"/>
              <w:rPr>
                <w:color w:val="auto"/>
                <w:kern w:val="21"/>
              </w:rPr>
            </w:pPr>
            <w:r>
              <w:rPr>
                <w:color w:val="auto"/>
                <w:kern w:val="21"/>
              </w:rPr>
              <w:t>G3</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continue"/>
            <w:vAlign w:val="center"/>
          </w:tcPr>
          <w:p>
            <w:pPr>
              <w:tabs>
                <w:tab w:val="left" w:pos="757"/>
              </w:tabs>
              <w:adjustRightInd w:val="0"/>
              <w:snapToGrid w:val="0"/>
              <w:jc w:val="center"/>
              <w:rPr>
                <w:color w:val="auto"/>
                <w:kern w:val="21"/>
              </w:rPr>
            </w:pPr>
          </w:p>
        </w:tc>
        <w:tc>
          <w:tcPr>
            <w:tcW w:w="1110" w:type="dxa"/>
            <w:gridSpan w:val="2"/>
            <w:vAlign w:val="center"/>
          </w:tcPr>
          <w:p>
            <w:pPr>
              <w:tabs>
                <w:tab w:val="left" w:pos="757"/>
              </w:tabs>
              <w:adjustRightInd w:val="0"/>
              <w:snapToGrid w:val="0"/>
              <w:jc w:val="center"/>
              <w:rPr>
                <w:color w:val="auto"/>
                <w:kern w:val="21"/>
              </w:rPr>
            </w:pPr>
            <w:r>
              <w:rPr>
                <w:color w:val="auto"/>
                <w:kern w:val="21"/>
              </w:rPr>
              <w:t>包气带防污性能</w:t>
            </w:r>
          </w:p>
        </w:tc>
        <w:tc>
          <w:tcPr>
            <w:tcW w:w="1146" w:type="dxa"/>
            <w:gridSpan w:val="3"/>
            <w:vAlign w:val="center"/>
          </w:tcPr>
          <w:p>
            <w:pPr>
              <w:tabs>
                <w:tab w:val="left" w:pos="757"/>
              </w:tabs>
              <w:adjustRightInd w:val="0"/>
              <w:snapToGrid w:val="0"/>
              <w:jc w:val="center"/>
              <w:rPr>
                <w:color w:val="auto"/>
                <w:kern w:val="21"/>
              </w:rPr>
            </w:pPr>
            <w:r>
              <w:rPr>
                <w:color w:val="auto"/>
                <w:kern w:val="21"/>
              </w:rPr>
              <w:t>D1</w:t>
            </w:r>
            <w:r>
              <w:rPr>
                <w:color w:val="auto"/>
                <w:kern w:val="21"/>
              </w:rPr>
              <w:sym w:font="Wingdings 2" w:char="00A3"/>
            </w:r>
          </w:p>
        </w:tc>
        <w:tc>
          <w:tcPr>
            <w:tcW w:w="1629" w:type="dxa"/>
            <w:gridSpan w:val="4"/>
            <w:vAlign w:val="center"/>
          </w:tcPr>
          <w:p>
            <w:pPr>
              <w:tabs>
                <w:tab w:val="left" w:pos="757"/>
              </w:tabs>
              <w:adjustRightInd w:val="0"/>
              <w:snapToGrid w:val="0"/>
              <w:jc w:val="center"/>
              <w:rPr>
                <w:color w:val="auto"/>
                <w:kern w:val="21"/>
              </w:rPr>
            </w:pPr>
            <w:r>
              <w:rPr>
                <w:color w:val="auto"/>
                <w:kern w:val="21"/>
              </w:rPr>
              <w:t>D2</w:t>
            </w:r>
            <w:r>
              <w:rPr>
                <w:color w:val="auto"/>
                <w:kern w:val="21"/>
              </w:rPr>
              <w:sym w:font="Wingdings 2" w:char="00A3"/>
            </w:r>
          </w:p>
        </w:tc>
        <w:tc>
          <w:tcPr>
            <w:tcW w:w="1484" w:type="dxa"/>
            <w:gridSpan w:val="2"/>
            <w:vAlign w:val="center"/>
          </w:tcPr>
          <w:p>
            <w:pPr>
              <w:tabs>
                <w:tab w:val="left" w:pos="757"/>
              </w:tabs>
              <w:adjustRightInd w:val="0"/>
              <w:snapToGrid w:val="0"/>
              <w:jc w:val="center"/>
              <w:rPr>
                <w:color w:val="auto"/>
                <w:kern w:val="21"/>
              </w:rPr>
            </w:pPr>
            <w:r>
              <w:rPr>
                <w:color w:val="auto"/>
                <w:kern w:val="21"/>
              </w:rPr>
              <w:t>D3</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restart"/>
            <w:vAlign w:val="center"/>
          </w:tcPr>
          <w:p>
            <w:pPr>
              <w:tabs>
                <w:tab w:val="left" w:pos="757"/>
              </w:tabs>
              <w:adjustRightInd w:val="0"/>
              <w:snapToGrid w:val="0"/>
              <w:jc w:val="center"/>
              <w:rPr>
                <w:color w:val="auto"/>
                <w:kern w:val="21"/>
              </w:rPr>
            </w:pPr>
            <w:r>
              <w:rPr>
                <w:color w:val="auto"/>
                <w:kern w:val="21"/>
              </w:rPr>
              <w:t>物质及工艺系统危险性</w:t>
            </w:r>
          </w:p>
        </w:tc>
        <w:tc>
          <w:tcPr>
            <w:tcW w:w="995" w:type="dxa"/>
            <w:vMerge w:val="restart"/>
            <w:vAlign w:val="center"/>
          </w:tcPr>
          <w:p>
            <w:pPr>
              <w:tabs>
                <w:tab w:val="left" w:pos="757"/>
              </w:tabs>
              <w:adjustRightInd w:val="0"/>
              <w:snapToGrid w:val="0"/>
              <w:jc w:val="center"/>
              <w:rPr>
                <w:color w:val="auto"/>
                <w:kern w:val="21"/>
              </w:rPr>
            </w:pPr>
            <w:r>
              <w:rPr>
                <w:color w:val="auto"/>
                <w:kern w:val="21"/>
              </w:rPr>
              <w:t>影响途径</w:t>
            </w:r>
          </w:p>
        </w:tc>
        <w:tc>
          <w:tcPr>
            <w:tcW w:w="1180" w:type="dxa"/>
            <w:vAlign w:val="center"/>
          </w:tcPr>
          <w:p>
            <w:pPr>
              <w:tabs>
                <w:tab w:val="left" w:pos="757"/>
              </w:tabs>
              <w:adjustRightInd w:val="0"/>
              <w:snapToGrid w:val="0"/>
              <w:jc w:val="center"/>
              <w:rPr>
                <w:color w:val="auto"/>
                <w:kern w:val="21"/>
              </w:rPr>
            </w:pPr>
            <w:r>
              <w:rPr>
                <w:color w:val="auto"/>
                <w:kern w:val="21"/>
              </w:rPr>
              <w:t>Q值</w:t>
            </w:r>
          </w:p>
        </w:tc>
        <w:tc>
          <w:tcPr>
            <w:tcW w:w="1110" w:type="dxa"/>
            <w:gridSpan w:val="2"/>
            <w:vAlign w:val="center"/>
          </w:tcPr>
          <w:p>
            <w:pPr>
              <w:tabs>
                <w:tab w:val="left" w:pos="757"/>
              </w:tabs>
              <w:adjustRightInd w:val="0"/>
              <w:snapToGrid w:val="0"/>
              <w:jc w:val="center"/>
              <w:rPr>
                <w:color w:val="auto"/>
                <w:kern w:val="21"/>
              </w:rPr>
            </w:pPr>
            <w:r>
              <w:rPr>
                <w:snapToGrid w:val="0"/>
                <w:color w:val="auto"/>
                <w:kern w:val="21"/>
              </w:rPr>
              <w:t>Q&lt;1</w:t>
            </w:r>
            <w:r>
              <w:rPr>
                <w:color w:val="auto"/>
                <w:kern w:val="21"/>
              </w:rPr>
              <w:sym w:font="Wingdings 2" w:char="00A3"/>
            </w:r>
          </w:p>
        </w:tc>
        <w:tc>
          <w:tcPr>
            <w:tcW w:w="1146" w:type="dxa"/>
            <w:gridSpan w:val="3"/>
            <w:vAlign w:val="center"/>
          </w:tcPr>
          <w:p>
            <w:pPr>
              <w:tabs>
                <w:tab w:val="left" w:pos="757"/>
              </w:tabs>
              <w:adjustRightInd w:val="0"/>
              <w:snapToGrid w:val="0"/>
              <w:jc w:val="center"/>
              <w:rPr>
                <w:color w:val="auto"/>
                <w:kern w:val="21"/>
              </w:rPr>
            </w:pPr>
            <w:r>
              <w:rPr>
                <w:snapToGrid w:val="0"/>
                <w:color w:val="auto"/>
                <w:kern w:val="21"/>
              </w:rPr>
              <w:t>1≤Q&lt;10</w:t>
            </w:r>
            <w:r>
              <w:rPr>
                <w:color w:val="auto"/>
                <w:kern w:val="21"/>
              </w:rPr>
              <w:sym w:font="Wingdings 2" w:char="00A3"/>
            </w:r>
          </w:p>
        </w:tc>
        <w:tc>
          <w:tcPr>
            <w:tcW w:w="1629" w:type="dxa"/>
            <w:gridSpan w:val="4"/>
            <w:vAlign w:val="center"/>
          </w:tcPr>
          <w:p>
            <w:pPr>
              <w:tabs>
                <w:tab w:val="left" w:pos="757"/>
              </w:tabs>
              <w:adjustRightInd w:val="0"/>
              <w:snapToGrid w:val="0"/>
              <w:jc w:val="center"/>
              <w:rPr>
                <w:color w:val="auto"/>
                <w:kern w:val="21"/>
              </w:rPr>
            </w:pPr>
            <w:r>
              <w:rPr>
                <w:snapToGrid w:val="0"/>
                <w:color w:val="auto"/>
                <w:kern w:val="21"/>
              </w:rPr>
              <w:t>10≤Q&lt;100</w:t>
            </w:r>
            <w:r>
              <w:rPr>
                <w:color w:val="auto"/>
                <w:kern w:val="21"/>
              </w:rPr>
              <w:sym w:font="Wingdings 2" w:char="0052"/>
            </w:r>
          </w:p>
        </w:tc>
        <w:tc>
          <w:tcPr>
            <w:tcW w:w="1484" w:type="dxa"/>
            <w:gridSpan w:val="2"/>
            <w:vAlign w:val="center"/>
          </w:tcPr>
          <w:p>
            <w:pPr>
              <w:tabs>
                <w:tab w:val="left" w:pos="757"/>
              </w:tabs>
              <w:adjustRightInd w:val="0"/>
              <w:snapToGrid w:val="0"/>
              <w:jc w:val="center"/>
              <w:rPr>
                <w:color w:val="auto"/>
                <w:kern w:val="21"/>
              </w:rPr>
            </w:pPr>
            <w:r>
              <w:rPr>
                <w:snapToGrid w:val="0"/>
                <w:color w:val="auto"/>
                <w:kern w:val="21"/>
              </w:rPr>
              <w:t>Q≥100</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Align w:val="center"/>
          </w:tcPr>
          <w:p>
            <w:pPr>
              <w:tabs>
                <w:tab w:val="left" w:pos="757"/>
              </w:tabs>
              <w:adjustRightInd w:val="0"/>
              <w:snapToGrid w:val="0"/>
              <w:jc w:val="center"/>
              <w:rPr>
                <w:color w:val="auto"/>
                <w:kern w:val="21"/>
              </w:rPr>
            </w:pPr>
            <w:r>
              <w:rPr>
                <w:color w:val="auto"/>
                <w:kern w:val="21"/>
              </w:rPr>
              <w:t>M值</w:t>
            </w:r>
          </w:p>
        </w:tc>
        <w:tc>
          <w:tcPr>
            <w:tcW w:w="1110" w:type="dxa"/>
            <w:gridSpan w:val="2"/>
            <w:vAlign w:val="center"/>
          </w:tcPr>
          <w:p>
            <w:pPr>
              <w:tabs>
                <w:tab w:val="left" w:pos="757"/>
              </w:tabs>
              <w:adjustRightInd w:val="0"/>
              <w:snapToGrid w:val="0"/>
              <w:jc w:val="center"/>
              <w:rPr>
                <w:color w:val="auto"/>
                <w:kern w:val="21"/>
              </w:rPr>
            </w:pPr>
            <w:r>
              <w:rPr>
                <w:color w:val="auto"/>
                <w:kern w:val="21"/>
              </w:rPr>
              <w:t>M1</w:t>
            </w:r>
            <w:r>
              <w:rPr>
                <w:color w:val="auto"/>
                <w:kern w:val="21"/>
              </w:rPr>
              <w:sym w:font="Wingdings 2" w:char="00A3"/>
            </w:r>
          </w:p>
        </w:tc>
        <w:tc>
          <w:tcPr>
            <w:tcW w:w="1146" w:type="dxa"/>
            <w:gridSpan w:val="3"/>
            <w:vAlign w:val="center"/>
          </w:tcPr>
          <w:p>
            <w:pPr>
              <w:adjustRightInd w:val="0"/>
              <w:snapToGrid w:val="0"/>
              <w:jc w:val="center"/>
              <w:rPr>
                <w:color w:val="auto"/>
                <w:kern w:val="21"/>
              </w:rPr>
            </w:pPr>
            <w:r>
              <w:rPr>
                <w:color w:val="auto"/>
                <w:kern w:val="21"/>
              </w:rPr>
              <w:t>M2</w:t>
            </w:r>
            <w:r>
              <w:rPr>
                <w:color w:val="auto"/>
                <w:kern w:val="21"/>
              </w:rPr>
              <w:sym w:font="Wingdings 2" w:char="00A3"/>
            </w:r>
          </w:p>
        </w:tc>
        <w:tc>
          <w:tcPr>
            <w:tcW w:w="1629" w:type="dxa"/>
            <w:gridSpan w:val="4"/>
            <w:vAlign w:val="center"/>
          </w:tcPr>
          <w:p>
            <w:pPr>
              <w:adjustRightInd w:val="0"/>
              <w:snapToGrid w:val="0"/>
              <w:jc w:val="center"/>
              <w:rPr>
                <w:color w:val="auto"/>
                <w:kern w:val="21"/>
              </w:rPr>
            </w:pPr>
            <w:r>
              <w:rPr>
                <w:color w:val="auto"/>
                <w:kern w:val="21"/>
              </w:rPr>
              <w:t>M3</w:t>
            </w:r>
            <w:r>
              <w:rPr>
                <w:color w:val="auto"/>
                <w:kern w:val="21"/>
              </w:rPr>
              <w:sym w:font="Wingdings 2" w:char="00A3"/>
            </w:r>
          </w:p>
        </w:tc>
        <w:tc>
          <w:tcPr>
            <w:tcW w:w="1484" w:type="dxa"/>
            <w:gridSpan w:val="2"/>
            <w:vAlign w:val="center"/>
          </w:tcPr>
          <w:p>
            <w:pPr>
              <w:adjustRightInd w:val="0"/>
              <w:snapToGrid w:val="0"/>
              <w:jc w:val="center"/>
              <w:rPr>
                <w:color w:val="auto"/>
                <w:kern w:val="21"/>
              </w:rPr>
            </w:pPr>
            <w:r>
              <w:rPr>
                <w:color w:val="auto"/>
                <w:kern w:val="21"/>
              </w:rPr>
              <w:t>M4</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Align w:val="center"/>
          </w:tcPr>
          <w:p>
            <w:pPr>
              <w:tabs>
                <w:tab w:val="left" w:pos="757"/>
              </w:tabs>
              <w:adjustRightInd w:val="0"/>
              <w:snapToGrid w:val="0"/>
              <w:jc w:val="center"/>
              <w:rPr>
                <w:color w:val="auto"/>
                <w:kern w:val="21"/>
              </w:rPr>
            </w:pPr>
            <w:r>
              <w:rPr>
                <w:color w:val="auto"/>
                <w:kern w:val="21"/>
              </w:rPr>
              <w:t>P值</w:t>
            </w:r>
          </w:p>
        </w:tc>
        <w:tc>
          <w:tcPr>
            <w:tcW w:w="1110" w:type="dxa"/>
            <w:gridSpan w:val="2"/>
            <w:vAlign w:val="center"/>
          </w:tcPr>
          <w:p>
            <w:pPr>
              <w:tabs>
                <w:tab w:val="left" w:pos="757"/>
              </w:tabs>
              <w:adjustRightInd w:val="0"/>
              <w:snapToGrid w:val="0"/>
              <w:jc w:val="center"/>
              <w:rPr>
                <w:color w:val="auto"/>
                <w:kern w:val="21"/>
              </w:rPr>
            </w:pPr>
            <w:r>
              <w:rPr>
                <w:color w:val="auto"/>
                <w:kern w:val="21"/>
              </w:rPr>
              <w:t>P1</w:t>
            </w:r>
            <w:r>
              <w:rPr>
                <w:color w:val="auto"/>
                <w:kern w:val="21"/>
              </w:rPr>
              <w:sym w:font="Wingdings 2" w:char="00A3"/>
            </w:r>
          </w:p>
        </w:tc>
        <w:tc>
          <w:tcPr>
            <w:tcW w:w="1146" w:type="dxa"/>
            <w:gridSpan w:val="3"/>
            <w:vAlign w:val="center"/>
          </w:tcPr>
          <w:p>
            <w:pPr>
              <w:adjustRightInd w:val="0"/>
              <w:snapToGrid w:val="0"/>
              <w:jc w:val="center"/>
              <w:rPr>
                <w:color w:val="auto"/>
                <w:kern w:val="21"/>
              </w:rPr>
            </w:pPr>
            <w:r>
              <w:rPr>
                <w:color w:val="auto"/>
                <w:kern w:val="21"/>
              </w:rPr>
              <w:t>P2</w:t>
            </w:r>
            <w:r>
              <w:rPr>
                <w:color w:val="auto"/>
                <w:kern w:val="21"/>
              </w:rPr>
              <w:sym w:font="Wingdings 2" w:char="00A3"/>
            </w:r>
          </w:p>
        </w:tc>
        <w:tc>
          <w:tcPr>
            <w:tcW w:w="1629" w:type="dxa"/>
            <w:gridSpan w:val="4"/>
            <w:vAlign w:val="center"/>
          </w:tcPr>
          <w:p>
            <w:pPr>
              <w:adjustRightInd w:val="0"/>
              <w:snapToGrid w:val="0"/>
              <w:jc w:val="center"/>
              <w:rPr>
                <w:color w:val="auto"/>
                <w:kern w:val="21"/>
              </w:rPr>
            </w:pPr>
            <w:r>
              <w:rPr>
                <w:color w:val="auto"/>
                <w:kern w:val="21"/>
              </w:rPr>
              <w:t>P3</w:t>
            </w:r>
            <w:r>
              <w:rPr>
                <w:color w:val="auto"/>
                <w:kern w:val="21"/>
              </w:rPr>
              <w:sym w:font="Wingdings 2" w:char="00A3"/>
            </w:r>
          </w:p>
        </w:tc>
        <w:tc>
          <w:tcPr>
            <w:tcW w:w="1484" w:type="dxa"/>
            <w:gridSpan w:val="2"/>
            <w:vAlign w:val="center"/>
          </w:tcPr>
          <w:p>
            <w:pPr>
              <w:adjustRightInd w:val="0"/>
              <w:snapToGrid w:val="0"/>
              <w:jc w:val="center"/>
              <w:rPr>
                <w:color w:val="auto"/>
                <w:kern w:val="21"/>
              </w:rPr>
            </w:pPr>
            <w:r>
              <w:rPr>
                <w:color w:val="auto"/>
                <w:kern w:val="21"/>
              </w:rPr>
              <w:t>P4</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restart"/>
            <w:vAlign w:val="center"/>
          </w:tcPr>
          <w:p>
            <w:pPr>
              <w:tabs>
                <w:tab w:val="left" w:pos="757"/>
              </w:tabs>
              <w:adjustRightInd w:val="0"/>
              <w:snapToGrid w:val="0"/>
              <w:rPr>
                <w:color w:val="auto"/>
                <w:kern w:val="21"/>
              </w:rPr>
            </w:pPr>
            <w:r>
              <w:rPr>
                <w:color w:val="auto"/>
                <w:kern w:val="21"/>
              </w:rPr>
              <w:t>环境敏感程度</w:t>
            </w:r>
          </w:p>
        </w:tc>
        <w:tc>
          <w:tcPr>
            <w:tcW w:w="995" w:type="dxa"/>
            <w:vAlign w:val="center"/>
          </w:tcPr>
          <w:p>
            <w:pPr>
              <w:tabs>
                <w:tab w:val="left" w:pos="757"/>
              </w:tabs>
              <w:adjustRightInd w:val="0"/>
              <w:snapToGrid w:val="0"/>
              <w:jc w:val="center"/>
              <w:rPr>
                <w:color w:val="auto"/>
                <w:kern w:val="21"/>
              </w:rPr>
            </w:pPr>
            <w:r>
              <w:rPr>
                <w:color w:val="auto"/>
                <w:kern w:val="21"/>
              </w:rPr>
              <w:t>大气</w:t>
            </w:r>
          </w:p>
        </w:tc>
        <w:tc>
          <w:tcPr>
            <w:tcW w:w="2290" w:type="dxa"/>
            <w:gridSpan w:val="3"/>
            <w:vAlign w:val="center"/>
          </w:tcPr>
          <w:p>
            <w:pPr>
              <w:tabs>
                <w:tab w:val="left" w:pos="757"/>
              </w:tabs>
              <w:adjustRightInd w:val="0"/>
              <w:snapToGrid w:val="0"/>
              <w:jc w:val="center"/>
              <w:rPr>
                <w:color w:val="auto"/>
                <w:kern w:val="21"/>
              </w:rPr>
            </w:pPr>
            <w:r>
              <w:rPr>
                <w:color w:val="auto"/>
                <w:kern w:val="21"/>
              </w:rPr>
              <w:t>E1</w:t>
            </w:r>
            <w:r>
              <w:rPr>
                <w:color w:val="auto"/>
                <w:kern w:val="21"/>
              </w:rPr>
              <w:sym w:font="Wingdings 2" w:char="00A3"/>
            </w:r>
          </w:p>
        </w:tc>
        <w:tc>
          <w:tcPr>
            <w:tcW w:w="1146" w:type="dxa"/>
            <w:gridSpan w:val="3"/>
            <w:vAlign w:val="center"/>
          </w:tcPr>
          <w:p>
            <w:pPr>
              <w:tabs>
                <w:tab w:val="left" w:pos="757"/>
              </w:tabs>
              <w:adjustRightInd w:val="0"/>
              <w:snapToGrid w:val="0"/>
              <w:jc w:val="center"/>
              <w:rPr>
                <w:color w:val="auto"/>
                <w:kern w:val="21"/>
              </w:rPr>
            </w:pPr>
            <w:r>
              <w:rPr>
                <w:color w:val="auto"/>
                <w:kern w:val="21"/>
              </w:rPr>
              <w:t>E2</w:t>
            </w:r>
            <w:r>
              <w:rPr>
                <w:color w:val="auto"/>
                <w:kern w:val="21"/>
              </w:rPr>
              <w:sym w:font="Wingdings 2" w:char="0052"/>
            </w:r>
          </w:p>
        </w:tc>
        <w:tc>
          <w:tcPr>
            <w:tcW w:w="3113" w:type="dxa"/>
            <w:gridSpan w:val="6"/>
            <w:vAlign w:val="center"/>
          </w:tcPr>
          <w:p>
            <w:pPr>
              <w:tabs>
                <w:tab w:val="left" w:pos="757"/>
              </w:tabs>
              <w:adjustRightInd w:val="0"/>
              <w:snapToGrid w:val="0"/>
              <w:jc w:val="center"/>
              <w:rPr>
                <w:color w:val="auto"/>
                <w:kern w:val="21"/>
              </w:rPr>
            </w:pPr>
            <w:r>
              <w:rPr>
                <w:color w:val="auto"/>
                <w:kern w:val="21"/>
              </w:rPr>
              <w:t>E3</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rPr>
                <w:color w:val="auto"/>
                <w:kern w:val="21"/>
              </w:rPr>
            </w:pPr>
          </w:p>
        </w:tc>
        <w:tc>
          <w:tcPr>
            <w:tcW w:w="995" w:type="dxa"/>
            <w:vAlign w:val="center"/>
          </w:tcPr>
          <w:p>
            <w:pPr>
              <w:tabs>
                <w:tab w:val="left" w:pos="757"/>
              </w:tabs>
              <w:adjustRightInd w:val="0"/>
              <w:snapToGrid w:val="0"/>
              <w:jc w:val="center"/>
              <w:rPr>
                <w:color w:val="auto"/>
                <w:kern w:val="21"/>
              </w:rPr>
            </w:pPr>
            <w:r>
              <w:rPr>
                <w:color w:val="auto"/>
                <w:kern w:val="21"/>
              </w:rPr>
              <w:t>地表水</w:t>
            </w:r>
          </w:p>
        </w:tc>
        <w:tc>
          <w:tcPr>
            <w:tcW w:w="2290" w:type="dxa"/>
            <w:gridSpan w:val="3"/>
            <w:vAlign w:val="center"/>
          </w:tcPr>
          <w:p>
            <w:pPr>
              <w:tabs>
                <w:tab w:val="left" w:pos="757"/>
              </w:tabs>
              <w:adjustRightInd w:val="0"/>
              <w:snapToGrid w:val="0"/>
              <w:jc w:val="center"/>
              <w:rPr>
                <w:color w:val="auto"/>
                <w:kern w:val="21"/>
              </w:rPr>
            </w:pPr>
            <w:r>
              <w:rPr>
                <w:color w:val="auto"/>
                <w:kern w:val="21"/>
              </w:rPr>
              <w:t>E1</w:t>
            </w:r>
            <w:r>
              <w:rPr>
                <w:color w:val="auto"/>
                <w:kern w:val="21"/>
              </w:rPr>
              <w:sym w:font="Wingdings 2" w:char="00A3"/>
            </w:r>
          </w:p>
        </w:tc>
        <w:tc>
          <w:tcPr>
            <w:tcW w:w="1146" w:type="dxa"/>
            <w:gridSpan w:val="3"/>
            <w:vAlign w:val="center"/>
          </w:tcPr>
          <w:p>
            <w:pPr>
              <w:tabs>
                <w:tab w:val="left" w:pos="757"/>
              </w:tabs>
              <w:adjustRightInd w:val="0"/>
              <w:snapToGrid w:val="0"/>
              <w:jc w:val="center"/>
              <w:rPr>
                <w:color w:val="auto"/>
                <w:kern w:val="21"/>
              </w:rPr>
            </w:pPr>
            <w:r>
              <w:rPr>
                <w:color w:val="auto"/>
                <w:kern w:val="21"/>
              </w:rPr>
              <w:t>E2</w:t>
            </w:r>
            <w:r>
              <w:rPr>
                <w:color w:val="auto"/>
                <w:kern w:val="21"/>
              </w:rPr>
              <w:sym w:font="Wingdings 2" w:char="00A3"/>
            </w:r>
          </w:p>
        </w:tc>
        <w:tc>
          <w:tcPr>
            <w:tcW w:w="3113" w:type="dxa"/>
            <w:gridSpan w:val="6"/>
            <w:vAlign w:val="center"/>
          </w:tcPr>
          <w:p>
            <w:pPr>
              <w:tabs>
                <w:tab w:val="left" w:pos="757"/>
              </w:tabs>
              <w:adjustRightInd w:val="0"/>
              <w:snapToGrid w:val="0"/>
              <w:jc w:val="center"/>
              <w:rPr>
                <w:color w:val="auto"/>
                <w:kern w:val="21"/>
              </w:rPr>
            </w:pPr>
            <w:r>
              <w:rPr>
                <w:color w:val="auto"/>
                <w:kern w:val="21"/>
              </w:rPr>
              <w:t>E3</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Align w:val="center"/>
          </w:tcPr>
          <w:p>
            <w:pPr>
              <w:tabs>
                <w:tab w:val="left" w:pos="757"/>
              </w:tabs>
              <w:adjustRightInd w:val="0"/>
              <w:snapToGrid w:val="0"/>
              <w:jc w:val="center"/>
              <w:rPr>
                <w:color w:val="auto"/>
                <w:kern w:val="21"/>
              </w:rPr>
            </w:pPr>
            <w:r>
              <w:rPr>
                <w:color w:val="auto"/>
                <w:kern w:val="21"/>
              </w:rPr>
              <w:t>地下水</w:t>
            </w:r>
          </w:p>
        </w:tc>
        <w:tc>
          <w:tcPr>
            <w:tcW w:w="2290" w:type="dxa"/>
            <w:gridSpan w:val="3"/>
            <w:vAlign w:val="center"/>
          </w:tcPr>
          <w:p>
            <w:pPr>
              <w:tabs>
                <w:tab w:val="left" w:pos="757"/>
              </w:tabs>
              <w:adjustRightInd w:val="0"/>
              <w:snapToGrid w:val="0"/>
              <w:jc w:val="center"/>
              <w:rPr>
                <w:color w:val="auto"/>
                <w:kern w:val="21"/>
              </w:rPr>
            </w:pPr>
            <w:r>
              <w:rPr>
                <w:color w:val="auto"/>
                <w:kern w:val="21"/>
              </w:rPr>
              <w:t>E1</w:t>
            </w:r>
            <w:r>
              <w:rPr>
                <w:color w:val="auto"/>
                <w:kern w:val="21"/>
              </w:rPr>
              <w:sym w:font="Wingdings 2" w:char="00A3"/>
            </w:r>
          </w:p>
        </w:tc>
        <w:tc>
          <w:tcPr>
            <w:tcW w:w="1146" w:type="dxa"/>
            <w:gridSpan w:val="3"/>
            <w:vAlign w:val="center"/>
          </w:tcPr>
          <w:p>
            <w:pPr>
              <w:tabs>
                <w:tab w:val="left" w:pos="757"/>
              </w:tabs>
              <w:adjustRightInd w:val="0"/>
              <w:snapToGrid w:val="0"/>
              <w:jc w:val="center"/>
              <w:rPr>
                <w:color w:val="auto"/>
                <w:kern w:val="21"/>
              </w:rPr>
            </w:pPr>
            <w:r>
              <w:rPr>
                <w:color w:val="auto"/>
                <w:kern w:val="21"/>
              </w:rPr>
              <w:t>E2</w:t>
            </w:r>
            <w:r>
              <w:rPr>
                <w:color w:val="auto"/>
                <w:kern w:val="21"/>
              </w:rPr>
              <w:sym w:font="Wingdings 2" w:char="00A3"/>
            </w:r>
          </w:p>
        </w:tc>
        <w:tc>
          <w:tcPr>
            <w:tcW w:w="3113" w:type="dxa"/>
            <w:gridSpan w:val="6"/>
            <w:vAlign w:val="center"/>
          </w:tcPr>
          <w:p>
            <w:pPr>
              <w:tabs>
                <w:tab w:val="left" w:pos="757"/>
              </w:tabs>
              <w:adjustRightInd w:val="0"/>
              <w:snapToGrid w:val="0"/>
              <w:jc w:val="center"/>
              <w:rPr>
                <w:color w:val="auto"/>
                <w:kern w:val="21"/>
              </w:rPr>
            </w:pPr>
            <w:r>
              <w:rPr>
                <w:color w:val="auto"/>
                <w:kern w:val="21"/>
              </w:rPr>
              <w:t>E3</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Align w:val="center"/>
          </w:tcPr>
          <w:p>
            <w:pPr>
              <w:tabs>
                <w:tab w:val="left" w:pos="757"/>
              </w:tabs>
              <w:adjustRightInd w:val="0"/>
              <w:snapToGrid w:val="0"/>
              <w:jc w:val="center"/>
              <w:rPr>
                <w:color w:val="auto"/>
                <w:kern w:val="21"/>
              </w:rPr>
            </w:pPr>
            <w:r>
              <w:rPr>
                <w:color w:val="auto"/>
                <w:kern w:val="21"/>
              </w:rPr>
              <w:t>环风险潜势</w:t>
            </w:r>
          </w:p>
        </w:tc>
        <w:tc>
          <w:tcPr>
            <w:tcW w:w="995" w:type="dxa"/>
            <w:vAlign w:val="center"/>
          </w:tcPr>
          <w:p>
            <w:pPr>
              <w:tabs>
                <w:tab w:val="left" w:pos="757"/>
              </w:tabs>
              <w:adjustRightInd w:val="0"/>
              <w:snapToGrid w:val="0"/>
              <w:jc w:val="center"/>
              <w:rPr>
                <w:color w:val="auto"/>
                <w:kern w:val="21"/>
              </w:rPr>
            </w:pPr>
            <w:r>
              <w:rPr>
                <w:color w:val="auto"/>
                <w:kern w:val="21"/>
              </w:rPr>
              <w:t>IV+</w:t>
            </w:r>
            <w:r>
              <w:rPr>
                <w:color w:val="auto"/>
                <w:kern w:val="21"/>
              </w:rPr>
              <w:sym w:font="Wingdings 2" w:char="00A3"/>
            </w:r>
          </w:p>
        </w:tc>
        <w:tc>
          <w:tcPr>
            <w:tcW w:w="2290" w:type="dxa"/>
            <w:gridSpan w:val="3"/>
            <w:vAlign w:val="center"/>
          </w:tcPr>
          <w:p>
            <w:pPr>
              <w:tabs>
                <w:tab w:val="left" w:pos="757"/>
              </w:tabs>
              <w:adjustRightInd w:val="0"/>
              <w:snapToGrid w:val="0"/>
              <w:jc w:val="center"/>
              <w:rPr>
                <w:color w:val="auto"/>
                <w:kern w:val="21"/>
              </w:rPr>
            </w:pPr>
            <w:r>
              <w:rPr>
                <w:color w:val="auto"/>
                <w:kern w:val="21"/>
              </w:rPr>
              <w:t>IV</w:t>
            </w:r>
            <w:r>
              <w:rPr>
                <w:color w:val="auto"/>
                <w:kern w:val="21"/>
              </w:rPr>
              <w:sym w:font="Wingdings 2" w:char="00A3"/>
            </w:r>
          </w:p>
        </w:tc>
        <w:tc>
          <w:tcPr>
            <w:tcW w:w="1146" w:type="dxa"/>
            <w:gridSpan w:val="3"/>
            <w:vAlign w:val="center"/>
          </w:tcPr>
          <w:p>
            <w:pPr>
              <w:tabs>
                <w:tab w:val="left" w:pos="757"/>
              </w:tabs>
              <w:adjustRightInd w:val="0"/>
              <w:snapToGrid w:val="0"/>
              <w:jc w:val="center"/>
              <w:rPr>
                <w:color w:val="auto"/>
                <w:kern w:val="21"/>
              </w:rPr>
            </w:pPr>
            <w:r>
              <w:rPr>
                <w:color w:val="auto"/>
                <w:kern w:val="21"/>
              </w:rPr>
              <w:t>III</w:t>
            </w:r>
            <w:r>
              <w:rPr>
                <w:color w:val="auto"/>
                <w:kern w:val="21"/>
              </w:rPr>
              <w:sym w:font="Wingdings 2" w:char="00A3"/>
            </w:r>
          </w:p>
        </w:tc>
        <w:tc>
          <w:tcPr>
            <w:tcW w:w="1629" w:type="dxa"/>
            <w:gridSpan w:val="4"/>
            <w:vAlign w:val="center"/>
          </w:tcPr>
          <w:p>
            <w:pPr>
              <w:tabs>
                <w:tab w:val="left" w:pos="757"/>
              </w:tabs>
              <w:adjustRightInd w:val="0"/>
              <w:snapToGrid w:val="0"/>
              <w:jc w:val="center"/>
              <w:rPr>
                <w:color w:val="auto"/>
                <w:kern w:val="21"/>
              </w:rPr>
            </w:pPr>
            <w:r>
              <w:rPr>
                <w:color w:val="auto"/>
                <w:kern w:val="21"/>
              </w:rPr>
              <w:t>II</w:t>
            </w:r>
            <w:r>
              <w:rPr>
                <w:color w:val="auto"/>
                <w:kern w:val="21"/>
              </w:rPr>
              <w:sym w:font="Wingdings 2" w:char="0052"/>
            </w:r>
          </w:p>
        </w:tc>
        <w:tc>
          <w:tcPr>
            <w:tcW w:w="1484" w:type="dxa"/>
            <w:gridSpan w:val="2"/>
            <w:vAlign w:val="center"/>
          </w:tcPr>
          <w:p>
            <w:pPr>
              <w:tabs>
                <w:tab w:val="left" w:pos="757"/>
              </w:tabs>
              <w:adjustRightInd w:val="0"/>
              <w:snapToGrid w:val="0"/>
              <w:jc w:val="center"/>
              <w:rPr>
                <w:color w:val="auto"/>
                <w:kern w:val="21"/>
              </w:rPr>
            </w:pPr>
            <w:r>
              <w:rPr>
                <w:color w:val="auto"/>
                <w:kern w:val="21"/>
              </w:rPr>
              <w:t>I</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Align w:val="center"/>
          </w:tcPr>
          <w:p>
            <w:pPr>
              <w:tabs>
                <w:tab w:val="left" w:pos="757"/>
              </w:tabs>
              <w:adjustRightInd w:val="0"/>
              <w:snapToGrid w:val="0"/>
              <w:jc w:val="center"/>
              <w:rPr>
                <w:color w:val="auto"/>
                <w:kern w:val="21"/>
              </w:rPr>
            </w:pPr>
            <w:r>
              <w:rPr>
                <w:color w:val="auto"/>
                <w:kern w:val="21"/>
              </w:rPr>
              <w:t>评价等级</w:t>
            </w:r>
          </w:p>
        </w:tc>
        <w:tc>
          <w:tcPr>
            <w:tcW w:w="995" w:type="dxa"/>
            <w:vAlign w:val="center"/>
          </w:tcPr>
          <w:p>
            <w:pPr>
              <w:tabs>
                <w:tab w:val="left" w:pos="757"/>
              </w:tabs>
              <w:adjustRightInd w:val="0"/>
              <w:snapToGrid w:val="0"/>
              <w:jc w:val="center"/>
              <w:rPr>
                <w:color w:val="auto"/>
                <w:kern w:val="21"/>
              </w:rPr>
            </w:pPr>
            <w:r>
              <w:rPr>
                <w:color w:val="auto"/>
                <w:kern w:val="21"/>
              </w:rPr>
              <w:t>一级</w:t>
            </w:r>
            <w:r>
              <w:rPr>
                <w:color w:val="auto"/>
                <w:kern w:val="21"/>
              </w:rPr>
              <w:sym w:font="Wingdings 2" w:char="00A3"/>
            </w:r>
          </w:p>
        </w:tc>
        <w:tc>
          <w:tcPr>
            <w:tcW w:w="2290" w:type="dxa"/>
            <w:gridSpan w:val="3"/>
            <w:vAlign w:val="center"/>
          </w:tcPr>
          <w:p>
            <w:pPr>
              <w:tabs>
                <w:tab w:val="left" w:pos="757"/>
              </w:tabs>
              <w:adjustRightInd w:val="0"/>
              <w:snapToGrid w:val="0"/>
              <w:jc w:val="center"/>
              <w:rPr>
                <w:color w:val="auto"/>
                <w:kern w:val="21"/>
              </w:rPr>
            </w:pPr>
            <w:r>
              <w:rPr>
                <w:color w:val="auto"/>
                <w:kern w:val="21"/>
              </w:rPr>
              <w:t>二级</w:t>
            </w:r>
            <w:r>
              <w:rPr>
                <w:color w:val="auto"/>
                <w:kern w:val="21"/>
              </w:rPr>
              <w:sym w:font="Wingdings 2" w:char="00A3"/>
            </w:r>
          </w:p>
        </w:tc>
        <w:tc>
          <w:tcPr>
            <w:tcW w:w="1146" w:type="dxa"/>
            <w:gridSpan w:val="3"/>
            <w:vAlign w:val="center"/>
          </w:tcPr>
          <w:p>
            <w:pPr>
              <w:tabs>
                <w:tab w:val="left" w:pos="757"/>
              </w:tabs>
              <w:adjustRightInd w:val="0"/>
              <w:snapToGrid w:val="0"/>
              <w:jc w:val="center"/>
              <w:rPr>
                <w:color w:val="auto"/>
                <w:kern w:val="21"/>
              </w:rPr>
            </w:pPr>
            <w:r>
              <w:rPr>
                <w:color w:val="auto"/>
                <w:kern w:val="21"/>
              </w:rPr>
              <w:t>三级</w:t>
            </w:r>
            <w:r>
              <w:rPr>
                <w:color w:val="auto"/>
                <w:kern w:val="21"/>
              </w:rPr>
              <w:sym w:font="Wingdings 2" w:char="0052"/>
            </w:r>
          </w:p>
        </w:tc>
        <w:tc>
          <w:tcPr>
            <w:tcW w:w="3113" w:type="dxa"/>
            <w:gridSpan w:val="6"/>
            <w:vAlign w:val="center"/>
          </w:tcPr>
          <w:p>
            <w:pPr>
              <w:tabs>
                <w:tab w:val="left" w:pos="757"/>
              </w:tabs>
              <w:adjustRightInd w:val="0"/>
              <w:snapToGrid w:val="0"/>
              <w:jc w:val="center"/>
              <w:rPr>
                <w:color w:val="auto"/>
                <w:kern w:val="21"/>
              </w:rPr>
            </w:pPr>
            <w:r>
              <w:rPr>
                <w:color w:val="auto"/>
                <w:kern w:val="21"/>
              </w:rPr>
              <w:t>简单分析</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restart"/>
            <w:vAlign w:val="center"/>
          </w:tcPr>
          <w:p>
            <w:pPr>
              <w:tabs>
                <w:tab w:val="left" w:pos="757"/>
              </w:tabs>
              <w:adjustRightInd w:val="0"/>
              <w:snapToGrid w:val="0"/>
              <w:jc w:val="center"/>
              <w:rPr>
                <w:color w:val="auto"/>
                <w:kern w:val="21"/>
              </w:rPr>
            </w:pPr>
            <w:r>
              <w:rPr>
                <w:color w:val="auto"/>
                <w:kern w:val="21"/>
              </w:rPr>
              <w:t>风险识别</w:t>
            </w:r>
          </w:p>
        </w:tc>
        <w:tc>
          <w:tcPr>
            <w:tcW w:w="995" w:type="dxa"/>
            <w:vAlign w:val="center"/>
          </w:tcPr>
          <w:p>
            <w:pPr>
              <w:tabs>
                <w:tab w:val="left" w:pos="757"/>
              </w:tabs>
              <w:adjustRightInd w:val="0"/>
              <w:snapToGrid w:val="0"/>
              <w:jc w:val="center"/>
              <w:rPr>
                <w:color w:val="auto"/>
                <w:kern w:val="21"/>
              </w:rPr>
            </w:pPr>
            <w:r>
              <w:rPr>
                <w:color w:val="auto"/>
                <w:kern w:val="21"/>
              </w:rPr>
              <w:t>物质危险性</w:t>
            </w:r>
          </w:p>
        </w:tc>
        <w:tc>
          <w:tcPr>
            <w:tcW w:w="3436" w:type="dxa"/>
            <w:gridSpan w:val="6"/>
            <w:vAlign w:val="center"/>
          </w:tcPr>
          <w:p>
            <w:pPr>
              <w:tabs>
                <w:tab w:val="left" w:pos="757"/>
              </w:tabs>
              <w:adjustRightInd w:val="0"/>
              <w:snapToGrid w:val="0"/>
              <w:jc w:val="center"/>
              <w:rPr>
                <w:color w:val="auto"/>
                <w:kern w:val="21"/>
              </w:rPr>
            </w:pPr>
            <w:r>
              <w:rPr>
                <w:color w:val="auto"/>
                <w:kern w:val="21"/>
              </w:rPr>
              <w:t>有毒有害</w:t>
            </w:r>
            <w:r>
              <w:rPr>
                <w:color w:val="auto"/>
                <w:kern w:val="21"/>
              </w:rPr>
              <w:sym w:font="Wingdings 2" w:char="0052"/>
            </w:r>
          </w:p>
        </w:tc>
        <w:tc>
          <w:tcPr>
            <w:tcW w:w="3113" w:type="dxa"/>
            <w:gridSpan w:val="6"/>
            <w:vAlign w:val="center"/>
          </w:tcPr>
          <w:p>
            <w:pPr>
              <w:tabs>
                <w:tab w:val="left" w:pos="757"/>
              </w:tabs>
              <w:adjustRightInd w:val="0"/>
              <w:snapToGrid w:val="0"/>
              <w:jc w:val="center"/>
              <w:rPr>
                <w:color w:val="auto"/>
                <w:kern w:val="21"/>
              </w:rPr>
            </w:pPr>
            <w:r>
              <w:rPr>
                <w:color w:val="auto"/>
                <w:kern w:val="21"/>
              </w:rPr>
              <w:t>易燃易爆</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Align w:val="center"/>
          </w:tcPr>
          <w:p>
            <w:pPr>
              <w:tabs>
                <w:tab w:val="left" w:pos="757"/>
              </w:tabs>
              <w:adjustRightInd w:val="0"/>
              <w:snapToGrid w:val="0"/>
              <w:jc w:val="center"/>
              <w:rPr>
                <w:color w:val="auto"/>
                <w:kern w:val="21"/>
              </w:rPr>
            </w:pPr>
            <w:r>
              <w:rPr>
                <w:color w:val="auto"/>
                <w:kern w:val="21"/>
              </w:rPr>
              <w:t>环境风险类型</w:t>
            </w:r>
          </w:p>
        </w:tc>
        <w:tc>
          <w:tcPr>
            <w:tcW w:w="3436" w:type="dxa"/>
            <w:gridSpan w:val="6"/>
            <w:vAlign w:val="center"/>
          </w:tcPr>
          <w:p>
            <w:pPr>
              <w:tabs>
                <w:tab w:val="left" w:pos="757"/>
              </w:tabs>
              <w:adjustRightInd w:val="0"/>
              <w:snapToGrid w:val="0"/>
              <w:jc w:val="center"/>
              <w:rPr>
                <w:color w:val="auto"/>
                <w:kern w:val="21"/>
              </w:rPr>
            </w:pPr>
            <w:r>
              <w:rPr>
                <w:color w:val="auto"/>
                <w:kern w:val="21"/>
              </w:rPr>
              <w:t>泄露</w:t>
            </w:r>
            <w:r>
              <w:rPr>
                <w:color w:val="auto"/>
                <w:kern w:val="21"/>
              </w:rPr>
              <w:sym w:font="Wingdings 2" w:char="0052"/>
            </w:r>
          </w:p>
        </w:tc>
        <w:tc>
          <w:tcPr>
            <w:tcW w:w="3113" w:type="dxa"/>
            <w:gridSpan w:val="6"/>
            <w:vAlign w:val="center"/>
          </w:tcPr>
          <w:p>
            <w:pPr>
              <w:tabs>
                <w:tab w:val="left" w:pos="757"/>
              </w:tabs>
              <w:adjustRightInd w:val="0"/>
              <w:snapToGrid w:val="0"/>
              <w:jc w:val="center"/>
              <w:rPr>
                <w:color w:val="auto"/>
                <w:kern w:val="21"/>
              </w:rPr>
            </w:pPr>
            <w:r>
              <w:rPr>
                <w:color w:val="auto"/>
                <w:kern w:val="21"/>
              </w:rPr>
              <w:t>火灾、爆炸引发伴生、次生污染物排放</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Align w:val="center"/>
          </w:tcPr>
          <w:p>
            <w:pPr>
              <w:tabs>
                <w:tab w:val="left" w:pos="757"/>
              </w:tabs>
              <w:adjustRightInd w:val="0"/>
              <w:snapToGrid w:val="0"/>
              <w:jc w:val="center"/>
              <w:rPr>
                <w:color w:val="auto"/>
                <w:kern w:val="21"/>
              </w:rPr>
            </w:pPr>
            <w:r>
              <w:rPr>
                <w:color w:val="auto"/>
                <w:kern w:val="21"/>
              </w:rPr>
              <w:t>影响途径</w:t>
            </w:r>
          </w:p>
        </w:tc>
        <w:tc>
          <w:tcPr>
            <w:tcW w:w="1180" w:type="dxa"/>
            <w:vAlign w:val="center"/>
          </w:tcPr>
          <w:p>
            <w:pPr>
              <w:tabs>
                <w:tab w:val="left" w:pos="757"/>
              </w:tabs>
              <w:adjustRightInd w:val="0"/>
              <w:snapToGrid w:val="0"/>
              <w:jc w:val="center"/>
              <w:rPr>
                <w:color w:val="auto"/>
                <w:kern w:val="21"/>
              </w:rPr>
            </w:pPr>
            <w:r>
              <w:rPr>
                <w:color w:val="auto"/>
                <w:kern w:val="21"/>
              </w:rPr>
              <w:t>大气</w:t>
            </w:r>
            <w:r>
              <w:rPr>
                <w:color w:val="auto"/>
                <w:kern w:val="21"/>
              </w:rPr>
              <w:sym w:font="Wingdings 2" w:char="0052"/>
            </w:r>
          </w:p>
        </w:tc>
        <w:tc>
          <w:tcPr>
            <w:tcW w:w="2256" w:type="dxa"/>
            <w:gridSpan w:val="5"/>
            <w:vAlign w:val="center"/>
          </w:tcPr>
          <w:p>
            <w:pPr>
              <w:tabs>
                <w:tab w:val="left" w:pos="757"/>
              </w:tabs>
              <w:adjustRightInd w:val="0"/>
              <w:snapToGrid w:val="0"/>
              <w:jc w:val="center"/>
              <w:rPr>
                <w:color w:val="auto"/>
                <w:kern w:val="21"/>
              </w:rPr>
            </w:pPr>
            <w:r>
              <w:rPr>
                <w:color w:val="auto"/>
                <w:kern w:val="21"/>
              </w:rPr>
              <w:t>地表水</w:t>
            </w:r>
            <w:r>
              <w:rPr>
                <w:color w:val="auto"/>
                <w:kern w:val="21"/>
              </w:rPr>
              <w:sym w:font="Wingdings 2" w:char="00A3"/>
            </w:r>
          </w:p>
        </w:tc>
        <w:tc>
          <w:tcPr>
            <w:tcW w:w="3113" w:type="dxa"/>
            <w:gridSpan w:val="6"/>
            <w:vAlign w:val="center"/>
          </w:tcPr>
          <w:p>
            <w:pPr>
              <w:tabs>
                <w:tab w:val="left" w:pos="757"/>
              </w:tabs>
              <w:adjustRightInd w:val="0"/>
              <w:snapToGrid w:val="0"/>
              <w:jc w:val="center"/>
              <w:rPr>
                <w:color w:val="auto"/>
                <w:kern w:val="21"/>
              </w:rPr>
            </w:pPr>
            <w:r>
              <w:rPr>
                <w:color w:val="auto"/>
                <w:kern w:val="21"/>
              </w:rPr>
              <w:t>地下水</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Align w:val="center"/>
          </w:tcPr>
          <w:p>
            <w:pPr>
              <w:tabs>
                <w:tab w:val="left" w:pos="757"/>
              </w:tabs>
              <w:adjustRightInd w:val="0"/>
              <w:snapToGrid w:val="0"/>
              <w:jc w:val="center"/>
              <w:rPr>
                <w:color w:val="auto"/>
                <w:kern w:val="21"/>
              </w:rPr>
            </w:pPr>
            <w:r>
              <w:rPr>
                <w:color w:val="auto"/>
                <w:kern w:val="21"/>
              </w:rPr>
              <w:t>事故情形分析</w:t>
            </w:r>
          </w:p>
        </w:tc>
        <w:tc>
          <w:tcPr>
            <w:tcW w:w="995" w:type="dxa"/>
            <w:vAlign w:val="center"/>
          </w:tcPr>
          <w:p>
            <w:pPr>
              <w:tabs>
                <w:tab w:val="left" w:pos="757"/>
              </w:tabs>
              <w:adjustRightInd w:val="0"/>
              <w:snapToGrid w:val="0"/>
              <w:jc w:val="center"/>
              <w:rPr>
                <w:color w:val="auto"/>
                <w:kern w:val="21"/>
              </w:rPr>
            </w:pPr>
            <w:r>
              <w:rPr>
                <w:color w:val="auto"/>
                <w:kern w:val="21"/>
              </w:rPr>
              <w:t>源强设定方法</w:t>
            </w:r>
          </w:p>
        </w:tc>
        <w:tc>
          <w:tcPr>
            <w:tcW w:w="1180" w:type="dxa"/>
            <w:vAlign w:val="center"/>
          </w:tcPr>
          <w:p>
            <w:pPr>
              <w:tabs>
                <w:tab w:val="left" w:pos="757"/>
              </w:tabs>
              <w:adjustRightInd w:val="0"/>
              <w:snapToGrid w:val="0"/>
              <w:jc w:val="center"/>
              <w:rPr>
                <w:color w:val="auto"/>
                <w:kern w:val="21"/>
              </w:rPr>
            </w:pPr>
            <w:r>
              <w:rPr>
                <w:color w:val="auto"/>
                <w:kern w:val="21"/>
              </w:rPr>
              <w:t>计算法</w:t>
            </w:r>
            <w:r>
              <w:rPr>
                <w:color w:val="auto"/>
                <w:kern w:val="21"/>
              </w:rPr>
              <w:sym w:font="Wingdings 2" w:char="00A3"/>
            </w:r>
          </w:p>
        </w:tc>
        <w:tc>
          <w:tcPr>
            <w:tcW w:w="2256" w:type="dxa"/>
            <w:gridSpan w:val="5"/>
            <w:vAlign w:val="center"/>
          </w:tcPr>
          <w:p>
            <w:pPr>
              <w:tabs>
                <w:tab w:val="left" w:pos="757"/>
              </w:tabs>
              <w:adjustRightInd w:val="0"/>
              <w:snapToGrid w:val="0"/>
              <w:jc w:val="center"/>
              <w:rPr>
                <w:color w:val="auto"/>
                <w:kern w:val="21"/>
              </w:rPr>
            </w:pPr>
            <w:r>
              <w:rPr>
                <w:color w:val="auto"/>
                <w:kern w:val="21"/>
              </w:rPr>
              <w:t>经验估算值</w:t>
            </w:r>
            <w:r>
              <w:rPr>
                <w:color w:val="auto"/>
                <w:kern w:val="21"/>
              </w:rPr>
              <w:sym w:font="Wingdings 2" w:char="00A3"/>
            </w:r>
          </w:p>
        </w:tc>
        <w:tc>
          <w:tcPr>
            <w:tcW w:w="3113" w:type="dxa"/>
            <w:gridSpan w:val="6"/>
            <w:vAlign w:val="center"/>
          </w:tcPr>
          <w:p>
            <w:pPr>
              <w:tabs>
                <w:tab w:val="left" w:pos="757"/>
              </w:tabs>
              <w:adjustRightInd w:val="0"/>
              <w:snapToGrid w:val="0"/>
              <w:jc w:val="center"/>
              <w:rPr>
                <w:color w:val="auto"/>
                <w:kern w:val="21"/>
              </w:rPr>
            </w:pPr>
            <w:r>
              <w:rPr>
                <w:color w:val="auto"/>
                <w:kern w:val="21"/>
              </w:rPr>
              <w:t>其他估算法</w:t>
            </w:r>
            <w:r>
              <w:rPr>
                <w:color w:val="auto"/>
                <w:kern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restart"/>
            <w:vAlign w:val="center"/>
          </w:tcPr>
          <w:p>
            <w:pPr>
              <w:tabs>
                <w:tab w:val="left" w:pos="757"/>
              </w:tabs>
              <w:adjustRightInd w:val="0"/>
              <w:snapToGrid w:val="0"/>
              <w:jc w:val="center"/>
              <w:rPr>
                <w:color w:val="auto"/>
                <w:kern w:val="21"/>
              </w:rPr>
            </w:pPr>
            <w:r>
              <w:rPr>
                <w:color w:val="auto"/>
                <w:kern w:val="21"/>
              </w:rPr>
              <w:t>风险预测与评价</w:t>
            </w:r>
          </w:p>
        </w:tc>
        <w:tc>
          <w:tcPr>
            <w:tcW w:w="995" w:type="dxa"/>
            <w:vMerge w:val="restart"/>
            <w:vAlign w:val="center"/>
          </w:tcPr>
          <w:p>
            <w:pPr>
              <w:tabs>
                <w:tab w:val="left" w:pos="757"/>
              </w:tabs>
              <w:adjustRightInd w:val="0"/>
              <w:snapToGrid w:val="0"/>
              <w:jc w:val="center"/>
              <w:rPr>
                <w:color w:val="auto"/>
                <w:kern w:val="21"/>
              </w:rPr>
            </w:pPr>
            <w:r>
              <w:rPr>
                <w:color w:val="auto"/>
                <w:kern w:val="21"/>
              </w:rPr>
              <w:t>大气</w:t>
            </w:r>
          </w:p>
        </w:tc>
        <w:tc>
          <w:tcPr>
            <w:tcW w:w="1180" w:type="dxa"/>
            <w:vAlign w:val="center"/>
          </w:tcPr>
          <w:p>
            <w:pPr>
              <w:tabs>
                <w:tab w:val="left" w:pos="757"/>
              </w:tabs>
              <w:adjustRightInd w:val="0"/>
              <w:snapToGrid w:val="0"/>
              <w:jc w:val="center"/>
              <w:rPr>
                <w:color w:val="auto"/>
                <w:kern w:val="21"/>
              </w:rPr>
            </w:pPr>
            <w:r>
              <w:rPr>
                <w:color w:val="auto"/>
                <w:kern w:val="21"/>
              </w:rPr>
              <w:t>预测模型</w:t>
            </w:r>
          </w:p>
        </w:tc>
        <w:tc>
          <w:tcPr>
            <w:tcW w:w="1515" w:type="dxa"/>
            <w:gridSpan w:val="4"/>
            <w:vAlign w:val="center"/>
          </w:tcPr>
          <w:p>
            <w:pPr>
              <w:tabs>
                <w:tab w:val="left" w:pos="757"/>
              </w:tabs>
              <w:adjustRightInd w:val="0"/>
              <w:snapToGrid w:val="0"/>
              <w:jc w:val="center"/>
              <w:rPr>
                <w:color w:val="auto"/>
                <w:kern w:val="21"/>
              </w:rPr>
            </w:pPr>
            <w:r>
              <w:rPr>
                <w:color w:val="auto"/>
                <w:kern w:val="21"/>
              </w:rPr>
              <w:t>SLAB</w:t>
            </w:r>
            <w:r>
              <w:rPr>
                <w:color w:val="auto"/>
                <w:kern w:val="21"/>
              </w:rPr>
              <w:sym w:font="Wingdings 2" w:char="00A3"/>
            </w:r>
          </w:p>
        </w:tc>
        <w:tc>
          <w:tcPr>
            <w:tcW w:w="1590" w:type="dxa"/>
            <w:gridSpan w:val="3"/>
            <w:vAlign w:val="center"/>
          </w:tcPr>
          <w:p>
            <w:pPr>
              <w:tabs>
                <w:tab w:val="left" w:pos="757"/>
              </w:tabs>
              <w:adjustRightInd w:val="0"/>
              <w:snapToGrid w:val="0"/>
              <w:jc w:val="center"/>
              <w:rPr>
                <w:color w:val="auto"/>
                <w:kern w:val="21"/>
              </w:rPr>
            </w:pPr>
            <w:r>
              <w:rPr>
                <w:color w:val="auto"/>
                <w:kern w:val="21"/>
              </w:rPr>
              <w:t>AFTOX</w:t>
            </w:r>
            <w:r>
              <w:rPr>
                <w:color w:val="auto"/>
                <w:kern w:val="21"/>
              </w:rPr>
              <w:sym w:font="Wingdings 2" w:char="00A3"/>
            </w:r>
          </w:p>
        </w:tc>
        <w:tc>
          <w:tcPr>
            <w:tcW w:w="2264" w:type="dxa"/>
            <w:gridSpan w:val="4"/>
            <w:vAlign w:val="center"/>
          </w:tcPr>
          <w:p>
            <w:pPr>
              <w:tabs>
                <w:tab w:val="left" w:pos="757"/>
              </w:tabs>
              <w:adjustRightInd w:val="0"/>
              <w:snapToGrid w:val="0"/>
              <w:jc w:val="center"/>
              <w:rPr>
                <w:color w:val="auto"/>
                <w:kern w:val="21"/>
              </w:rPr>
            </w:pPr>
            <w:r>
              <w:rPr>
                <w:color w:val="auto"/>
                <w:kern w:val="21"/>
              </w:rPr>
              <w:t>其他</w:t>
            </w:r>
            <w:r>
              <w:rPr>
                <w:color w:val="auto"/>
                <w:kern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restart"/>
            <w:vAlign w:val="center"/>
          </w:tcPr>
          <w:p>
            <w:pPr>
              <w:tabs>
                <w:tab w:val="left" w:pos="757"/>
              </w:tabs>
              <w:adjustRightInd w:val="0"/>
              <w:snapToGrid w:val="0"/>
              <w:jc w:val="center"/>
              <w:rPr>
                <w:color w:val="auto"/>
                <w:kern w:val="21"/>
              </w:rPr>
            </w:pPr>
            <w:r>
              <w:rPr>
                <w:color w:val="auto"/>
                <w:kern w:val="21"/>
              </w:rPr>
              <w:t>预测结果</w:t>
            </w:r>
          </w:p>
        </w:tc>
        <w:tc>
          <w:tcPr>
            <w:tcW w:w="5369" w:type="dxa"/>
            <w:gridSpan w:val="11"/>
            <w:vAlign w:val="center"/>
          </w:tcPr>
          <w:p>
            <w:pPr>
              <w:tabs>
                <w:tab w:val="left" w:pos="757"/>
              </w:tabs>
              <w:adjustRightInd w:val="0"/>
              <w:snapToGrid w:val="0"/>
              <w:jc w:val="center"/>
              <w:rPr>
                <w:color w:val="auto"/>
                <w:kern w:val="21"/>
              </w:rPr>
            </w:pPr>
            <w:r>
              <w:rPr>
                <w:color w:val="auto"/>
                <w:kern w:val="21"/>
              </w:rPr>
              <w:t>大气毒性终点浓度-1最大影响范围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39"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1180" w:type="dxa"/>
            <w:vMerge w:val="continue"/>
            <w:vAlign w:val="center"/>
          </w:tcPr>
          <w:p>
            <w:pPr>
              <w:tabs>
                <w:tab w:val="left" w:pos="757"/>
              </w:tabs>
              <w:adjustRightInd w:val="0"/>
              <w:snapToGrid w:val="0"/>
              <w:jc w:val="center"/>
              <w:rPr>
                <w:color w:val="auto"/>
                <w:kern w:val="21"/>
              </w:rPr>
            </w:pPr>
          </w:p>
        </w:tc>
        <w:tc>
          <w:tcPr>
            <w:tcW w:w="5369" w:type="dxa"/>
            <w:gridSpan w:val="11"/>
            <w:vAlign w:val="center"/>
          </w:tcPr>
          <w:p>
            <w:pPr>
              <w:tabs>
                <w:tab w:val="left" w:pos="757"/>
              </w:tabs>
              <w:adjustRightInd w:val="0"/>
              <w:snapToGrid w:val="0"/>
              <w:jc w:val="center"/>
              <w:rPr>
                <w:color w:val="auto"/>
                <w:kern w:val="21"/>
              </w:rPr>
            </w:pPr>
            <w:r>
              <w:rPr>
                <w:color w:val="auto"/>
                <w:kern w:val="21"/>
              </w:rPr>
              <w:t>大气毒性终点浓度-2最大影响范围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Align w:val="center"/>
          </w:tcPr>
          <w:p>
            <w:pPr>
              <w:tabs>
                <w:tab w:val="left" w:pos="757"/>
              </w:tabs>
              <w:adjustRightInd w:val="0"/>
              <w:snapToGrid w:val="0"/>
              <w:jc w:val="center"/>
              <w:rPr>
                <w:color w:val="auto"/>
                <w:kern w:val="21"/>
              </w:rPr>
            </w:pPr>
            <w:r>
              <w:rPr>
                <w:color w:val="auto"/>
                <w:kern w:val="21"/>
              </w:rPr>
              <w:t>地表水</w:t>
            </w:r>
          </w:p>
        </w:tc>
        <w:tc>
          <w:tcPr>
            <w:tcW w:w="6549" w:type="dxa"/>
            <w:gridSpan w:val="12"/>
            <w:vAlign w:val="center"/>
          </w:tcPr>
          <w:p>
            <w:pPr>
              <w:tabs>
                <w:tab w:val="left" w:pos="757"/>
              </w:tabs>
              <w:adjustRightInd w:val="0"/>
              <w:snapToGrid w:val="0"/>
              <w:jc w:val="center"/>
              <w:rPr>
                <w:color w:val="auto"/>
                <w:kern w:val="21"/>
              </w:rPr>
            </w:pPr>
            <w:r>
              <w:rPr>
                <w:color w:val="auto"/>
                <w:kern w:val="21"/>
              </w:rPr>
              <w:t xml:space="preserve">最近环境敏感目标  ，到达时间  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309"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restart"/>
            <w:vAlign w:val="center"/>
          </w:tcPr>
          <w:p>
            <w:pPr>
              <w:tabs>
                <w:tab w:val="left" w:pos="757"/>
              </w:tabs>
              <w:adjustRightInd w:val="0"/>
              <w:snapToGrid w:val="0"/>
              <w:jc w:val="center"/>
              <w:rPr>
                <w:color w:val="auto"/>
                <w:kern w:val="21"/>
              </w:rPr>
            </w:pPr>
            <w:r>
              <w:rPr>
                <w:color w:val="auto"/>
                <w:kern w:val="21"/>
              </w:rPr>
              <w:t>地下水</w:t>
            </w:r>
          </w:p>
        </w:tc>
        <w:tc>
          <w:tcPr>
            <w:tcW w:w="6549" w:type="dxa"/>
            <w:gridSpan w:val="12"/>
            <w:vAlign w:val="center"/>
          </w:tcPr>
          <w:p>
            <w:pPr>
              <w:tabs>
                <w:tab w:val="left" w:pos="757"/>
              </w:tabs>
              <w:adjustRightInd w:val="0"/>
              <w:snapToGrid w:val="0"/>
              <w:jc w:val="center"/>
              <w:rPr>
                <w:color w:val="auto"/>
                <w:kern w:val="21"/>
              </w:rPr>
            </w:pPr>
            <w:r>
              <w:rPr>
                <w:color w:val="auto"/>
                <w:kern w:val="21"/>
              </w:rPr>
              <w:t>下游厂区边界到达时间  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279" w:hRule="atLeast"/>
          <w:jc w:val="center"/>
        </w:trPr>
        <w:tc>
          <w:tcPr>
            <w:tcW w:w="960" w:type="dxa"/>
            <w:vMerge w:val="continue"/>
            <w:vAlign w:val="center"/>
          </w:tcPr>
          <w:p>
            <w:pPr>
              <w:tabs>
                <w:tab w:val="left" w:pos="757"/>
              </w:tabs>
              <w:adjustRightInd w:val="0"/>
              <w:snapToGrid w:val="0"/>
              <w:jc w:val="center"/>
              <w:rPr>
                <w:color w:val="auto"/>
                <w:kern w:val="21"/>
              </w:rPr>
            </w:pPr>
          </w:p>
        </w:tc>
        <w:tc>
          <w:tcPr>
            <w:tcW w:w="995" w:type="dxa"/>
            <w:vMerge w:val="continue"/>
            <w:vAlign w:val="center"/>
          </w:tcPr>
          <w:p>
            <w:pPr>
              <w:tabs>
                <w:tab w:val="left" w:pos="757"/>
              </w:tabs>
              <w:adjustRightInd w:val="0"/>
              <w:snapToGrid w:val="0"/>
              <w:jc w:val="center"/>
              <w:rPr>
                <w:color w:val="auto"/>
                <w:kern w:val="21"/>
              </w:rPr>
            </w:pPr>
          </w:p>
        </w:tc>
        <w:tc>
          <w:tcPr>
            <w:tcW w:w="6549" w:type="dxa"/>
            <w:gridSpan w:val="12"/>
            <w:vAlign w:val="center"/>
          </w:tcPr>
          <w:p>
            <w:pPr>
              <w:tabs>
                <w:tab w:val="left" w:pos="757"/>
              </w:tabs>
              <w:adjustRightInd w:val="0"/>
              <w:snapToGrid w:val="0"/>
              <w:jc w:val="center"/>
              <w:rPr>
                <w:color w:val="auto"/>
                <w:kern w:val="21"/>
              </w:rPr>
            </w:pPr>
            <w:r>
              <w:rPr>
                <w:color w:val="auto"/>
                <w:kern w:val="21"/>
              </w:rPr>
              <w:t xml:space="preserve">最近环境敏感目标  ，到达时间  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627" w:hRule="atLeast"/>
          <w:jc w:val="center"/>
        </w:trPr>
        <w:tc>
          <w:tcPr>
            <w:tcW w:w="960" w:type="dxa"/>
            <w:vAlign w:val="center"/>
          </w:tcPr>
          <w:p>
            <w:pPr>
              <w:tabs>
                <w:tab w:val="left" w:pos="757"/>
              </w:tabs>
              <w:adjustRightInd w:val="0"/>
              <w:snapToGrid w:val="0"/>
              <w:jc w:val="center"/>
              <w:rPr>
                <w:color w:val="auto"/>
                <w:kern w:val="21"/>
              </w:rPr>
            </w:pPr>
            <w:r>
              <w:rPr>
                <w:color w:val="auto"/>
                <w:kern w:val="21"/>
              </w:rPr>
              <w:t>重点风险防范措施</w:t>
            </w:r>
          </w:p>
        </w:tc>
        <w:tc>
          <w:tcPr>
            <w:tcW w:w="7544" w:type="dxa"/>
            <w:gridSpan w:val="13"/>
            <w:vAlign w:val="center"/>
          </w:tcPr>
          <w:p>
            <w:pPr>
              <w:tabs>
                <w:tab w:val="left" w:pos="757"/>
              </w:tabs>
              <w:adjustRightInd w:val="0"/>
              <w:snapToGrid w:val="0"/>
              <w:jc w:val="center"/>
              <w:rPr>
                <w:color w:val="auto"/>
                <w:kern w:val="21"/>
              </w:rPr>
            </w:pPr>
            <w:r>
              <w:rPr>
                <w:color w:val="auto"/>
                <w:kern w:val="21"/>
              </w:rPr>
              <w:t>详见风险防范措施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960" w:type="dxa"/>
            <w:vAlign w:val="center"/>
          </w:tcPr>
          <w:p>
            <w:pPr>
              <w:tabs>
                <w:tab w:val="left" w:pos="757"/>
              </w:tabs>
              <w:adjustRightInd w:val="0"/>
              <w:snapToGrid w:val="0"/>
              <w:jc w:val="center"/>
              <w:rPr>
                <w:color w:val="auto"/>
                <w:kern w:val="21"/>
              </w:rPr>
            </w:pPr>
            <w:r>
              <w:rPr>
                <w:color w:val="auto"/>
                <w:kern w:val="21"/>
              </w:rPr>
              <w:t>评价结论与建议</w:t>
            </w:r>
          </w:p>
        </w:tc>
        <w:tc>
          <w:tcPr>
            <w:tcW w:w="7544" w:type="dxa"/>
            <w:gridSpan w:val="13"/>
            <w:vAlign w:val="center"/>
          </w:tcPr>
          <w:p>
            <w:pPr>
              <w:tabs>
                <w:tab w:val="left" w:pos="757"/>
              </w:tabs>
              <w:adjustRightInd w:val="0"/>
              <w:snapToGrid w:val="0"/>
              <w:jc w:val="center"/>
              <w:rPr>
                <w:color w:val="auto"/>
                <w:kern w:val="21"/>
              </w:rPr>
            </w:pPr>
            <w:r>
              <w:rPr>
                <w:color w:val="auto"/>
                <w:kern w:val="21"/>
              </w:rPr>
              <w:t>通过实施严格的防范措施并制定完善的应急方案，本项目的环境风险可接受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 w:type="dxa"/>
          <w:trHeight w:val="454" w:hRule="atLeast"/>
          <w:jc w:val="center"/>
        </w:trPr>
        <w:tc>
          <w:tcPr>
            <w:tcW w:w="8504" w:type="dxa"/>
            <w:gridSpan w:val="14"/>
            <w:vAlign w:val="center"/>
          </w:tcPr>
          <w:p>
            <w:pPr>
              <w:tabs>
                <w:tab w:val="left" w:pos="757"/>
              </w:tabs>
              <w:adjustRightInd w:val="0"/>
              <w:snapToGrid w:val="0"/>
              <w:rPr>
                <w:color w:val="auto"/>
                <w:kern w:val="21"/>
              </w:rPr>
            </w:pPr>
            <w:r>
              <w:rPr>
                <w:color w:val="auto"/>
                <w:kern w:val="21"/>
              </w:rPr>
              <w:t>注：</w:t>
            </w:r>
            <w:r>
              <w:rPr>
                <w:color w:val="auto"/>
                <w:kern w:val="21"/>
              </w:rPr>
              <w:sym w:font="Wingdings 2" w:char="00A3"/>
            </w:r>
            <w:r>
              <w:rPr>
                <w:color w:val="auto"/>
                <w:kern w:val="21"/>
              </w:rPr>
              <w:t>为勾选项，</w:t>
            </w:r>
            <w:r>
              <w:rPr>
                <w:rFonts w:hint="eastAsia"/>
                <w:color w:val="auto"/>
                <w:kern w:val="21"/>
              </w:rPr>
              <w:t>“</w:t>
            </w:r>
            <w:r>
              <w:rPr>
                <w:color w:val="auto"/>
                <w:kern w:val="21"/>
              </w:rPr>
              <w:t xml:space="preserve">  </w:t>
            </w:r>
            <w:r>
              <w:rPr>
                <w:rFonts w:hint="eastAsia"/>
                <w:color w:val="auto"/>
                <w:kern w:val="21"/>
              </w:rPr>
              <w:t>”</w:t>
            </w:r>
            <w:r>
              <w:rPr>
                <w:color w:val="auto"/>
                <w:kern w:val="21"/>
              </w:rPr>
              <w:t>为填写项。</w:t>
            </w:r>
          </w:p>
        </w:tc>
      </w:tr>
    </w:tbl>
    <w:p>
      <w:pPr>
        <w:adjustRightInd w:val="0"/>
        <w:snapToGrid w:val="0"/>
        <w:spacing w:line="360" w:lineRule="auto"/>
        <w:rPr>
          <w:rFonts w:eastAsia="黑体"/>
          <w:bCs/>
          <w:color w:val="auto"/>
          <w:kern w:val="21"/>
          <w:sz w:val="24"/>
          <w:szCs w:val="24"/>
        </w:rPr>
        <w:sectPr>
          <w:headerReference r:id="rId20" w:type="default"/>
          <w:footerReference r:id="rId21" w:type="default"/>
          <w:pgSz w:w="11907" w:h="16840"/>
          <w:pgMar w:top="1440" w:right="1797" w:bottom="1440" w:left="1797" w:header="1134" w:footer="1134" w:gutter="0"/>
          <w:cols w:space="720" w:num="1"/>
          <w:docGrid w:linePitch="312" w:charSpace="0"/>
        </w:sectPr>
      </w:pPr>
      <w:bookmarkStart w:id="375" w:name="_Toc3799"/>
      <w:bookmarkStart w:id="376" w:name="_Toc10675_WPSOffice_Level1"/>
      <w:bookmarkStart w:id="377" w:name="_Toc19806"/>
    </w:p>
    <w:p>
      <w:pPr>
        <w:pStyle w:val="3"/>
        <w:pageBreakBefore/>
        <w:widowControl w:val="0"/>
        <w:tabs>
          <w:tab w:val="left" w:pos="360"/>
        </w:tabs>
        <w:adjustRightInd/>
        <w:spacing w:before="240" w:beforeLines="100" w:after="120" w:afterLines="50" w:line="360" w:lineRule="auto"/>
        <w:contextualSpacing/>
        <w:textAlignment w:val="baseline"/>
        <w:rPr>
          <w:bCs w:val="0"/>
          <w:color w:val="auto"/>
          <w:szCs w:val="20"/>
        </w:rPr>
      </w:pPr>
      <w:bookmarkStart w:id="378" w:name="_Toc20641"/>
      <w:bookmarkStart w:id="379" w:name="_Toc112338965"/>
      <w:bookmarkStart w:id="380" w:name="_Toc15927_WPSOffice_Level1"/>
      <w:r>
        <w:rPr>
          <w:bCs w:val="0"/>
          <w:color w:val="auto"/>
          <w:szCs w:val="20"/>
        </w:rPr>
        <w:t>第七章  环境保护措施可行性</w:t>
      </w:r>
      <w:bookmarkEnd w:id="375"/>
      <w:bookmarkEnd w:id="376"/>
      <w:bookmarkEnd w:id="377"/>
      <w:r>
        <w:rPr>
          <w:bCs w:val="0"/>
          <w:color w:val="auto"/>
          <w:szCs w:val="20"/>
        </w:rPr>
        <w:t>分析</w:t>
      </w:r>
      <w:bookmarkEnd w:id="378"/>
      <w:bookmarkEnd w:id="379"/>
      <w:bookmarkEnd w:id="380"/>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81" w:name="_Toc4215"/>
      <w:bookmarkStart w:id="382" w:name="_Toc28474"/>
      <w:bookmarkStart w:id="383" w:name="_Toc2728"/>
      <w:bookmarkStart w:id="384" w:name="_Toc112338966"/>
      <w:bookmarkStart w:id="385" w:name="_Toc27211_WPSOffice_Level2"/>
      <w:r>
        <w:rPr>
          <w:bCs w:val="0"/>
          <w:color w:val="auto"/>
          <w:kern w:val="0"/>
          <w:szCs w:val="20"/>
          <w:lang w:val="en-US"/>
        </w:rPr>
        <w:t>7.1</w:t>
      </w:r>
      <w:bookmarkEnd w:id="381"/>
      <w:bookmarkEnd w:id="382"/>
      <w:r>
        <w:rPr>
          <w:bCs w:val="0"/>
          <w:color w:val="auto"/>
          <w:kern w:val="0"/>
          <w:szCs w:val="20"/>
          <w:lang w:val="en-US"/>
        </w:rPr>
        <w:t>废气污染防治措施可行性分析</w:t>
      </w:r>
      <w:bookmarkEnd w:id="383"/>
      <w:bookmarkEnd w:id="384"/>
      <w:bookmarkEnd w:id="385"/>
    </w:p>
    <w:p>
      <w:pPr>
        <w:adjustRightInd w:val="0"/>
        <w:snapToGrid w:val="0"/>
        <w:spacing w:line="360" w:lineRule="auto"/>
        <w:ind w:firstLine="480" w:firstLineChars="200"/>
        <w:rPr>
          <w:color w:val="auto"/>
          <w:kern w:val="21"/>
          <w:sz w:val="24"/>
        </w:rPr>
      </w:pPr>
      <w:r>
        <w:rPr>
          <w:color w:val="auto"/>
          <w:kern w:val="21"/>
          <w:sz w:val="24"/>
        </w:rPr>
        <w:t>本项目大气污染物主要为：生产线</w:t>
      </w:r>
      <w:r>
        <w:rPr>
          <w:rFonts w:hint="eastAsia"/>
          <w:color w:val="auto"/>
          <w:kern w:val="21"/>
          <w:sz w:val="24"/>
        </w:rPr>
        <w:t>酸雾、酸储罐酸雾、</w:t>
      </w:r>
      <w:r>
        <w:rPr>
          <w:color w:val="auto"/>
          <w:kern w:val="21"/>
          <w:sz w:val="24"/>
        </w:rPr>
        <w:t>燃气锅炉烟气、焊接烟气、污水站恶臭。</w:t>
      </w:r>
    </w:p>
    <w:p>
      <w:pPr>
        <w:pStyle w:val="362"/>
        <w:spacing w:line="360" w:lineRule="auto"/>
        <w:ind w:firstLine="0" w:firstLineChars="0"/>
        <w:outlineLvl w:val="2"/>
        <w:rPr>
          <w:rFonts w:ascii="Times New Roman" w:hAnsi="Times New Roman" w:eastAsia="黑体"/>
          <w:bCs/>
          <w:color w:val="auto"/>
          <w:kern w:val="21"/>
          <w:sz w:val="28"/>
          <w:szCs w:val="28"/>
        </w:rPr>
      </w:pPr>
      <w:r>
        <w:rPr>
          <w:rFonts w:ascii="Times New Roman" w:hAnsi="Times New Roman" w:eastAsia="黑体"/>
          <w:bCs/>
          <w:color w:val="auto"/>
          <w:kern w:val="21"/>
          <w:sz w:val="28"/>
          <w:szCs w:val="28"/>
        </w:rPr>
        <w:t>7.1.</w:t>
      </w:r>
      <w:r>
        <w:rPr>
          <w:rFonts w:hint="eastAsia" w:ascii="Times New Roman" w:hAnsi="Times New Roman" w:eastAsia="黑体"/>
          <w:bCs/>
          <w:color w:val="auto"/>
          <w:kern w:val="21"/>
          <w:sz w:val="28"/>
          <w:szCs w:val="28"/>
        </w:rPr>
        <w:t>1</w:t>
      </w:r>
      <w:r>
        <w:rPr>
          <w:rFonts w:ascii="Times New Roman" w:hAnsi="Times New Roman" w:eastAsia="黑体"/>
          <w:bCs/>
          <w:color w:val="auto"/>
          <w:kern w:val="21"/>
          <w:sz w:val="28"/>
          <w:szCs w:val="28"/>
        </w:rPr>
        <w:t>酸雾防治设施可行性分析</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本项目酸雾包含生产线酸雾及酸储罐酸雾，生产车间中的每条生产线采用透明板进行整体封闭，只在两端工件上下料处开口，在各电镀线酸雾产生点设置顶吸罩</w:t>
      </w:r>
      <w:r>
        <w:rPr>
          <w:color w:val="auto"/>
          <w:kern w:val="21"/>
          <w:sz w:val="24"/>
          <w:lang w:val="en-GB"/>
        </w:rPr>
        <w:t>+</w:t>
      </w:r>
      <w:r>
        <w:rPr>
          <w:rFonts w:hint="eastAsia"/>
          <w:color w:val="auto"/>
          <w:kern w:val="21"/>
          <w:sz w:val="24"/>
          <w:lang w:val="en-GB"/>
        </w:rPr>
        <w:t>槽边双侧抽风收集系统，收集的酸雾经总管道进入车间酸雾处理系统，酸储罐位于化学品专库内，储罐上方设置集气罩收集酸雾，然后一并通过喷淋吸收塔，加入碱液进行中和反应，用一台加压泵闭路循环回用，使溶液在加压的条件下保持连续稳定的闭路循环回用，经过喷淋吸收后进入风机输送至排气筒，实现达标排放。</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（1）工艺原理</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具体工艺由废气收集系统→废气净化系统→排气系统组成。</w:t>
      </w:r>
    </w:p>
    <w:p>
      <w:pPr>
        <w:adjustRightInd w:val="0"/>
        <w:snapToGrid w:val="0"/>
        <w:spacing w:line="360" w:lineRule="auto"/>
        <w:ind w:firstLine="480" w:firstLineChars="200"/>
        <w:rPr>
          <w:color w:val="auto"/>
          <w:kern w:val="21"/>
          <w:sz w:val="24"/>
          <w:lang w:val="en-GB"/>
        </w:rPr>
      </w:pPr>
      <w:r>
        <w:rPr>
          <w:color w:val="auto"/>
          <w:kern w:val="21"/>
          <w:sz w:val="24"/>
          <w:lang w:val="en-GB"/>
        </w:rPr>
        <w:fldChar w:fldCharType="begin"/>
      </w:r>
      <w:r>
        <w:rPr>
          <w:color w:val="auto"/>
          <w:kern w:val="21"/>
          <w:sz w:val="24"/>
          <w:lang w:val="en-GB"/>
        </w:rPr>
        <w:instrText xml:space="preserve"> </w:instrText>
      </w:r>
      <w:r>
        <w:rPr>
          <w:rFonts w:hint="eastAsia"/>
          <w:color w:val="auto"/>
          <w:kern w:val="21"/>
          <w:sz w:val="24"/>
          <w:lang w:val="en-GB"/>
        </w:rPr>
        <w:instrText xml:space="preserve">= 1 \* GB3</w:instrText>
      </w:r>
      <w:r>
        <w:rPr>
          <w:color w:val="auto"/>
          <w:kern w:val="21"/>
          <w:sz w:val="24"/>
          <w:lang w:val="en-GB"/>
        </w:rPr>
        <w:instrText xml:space="preserve"> </w:instrText>
      </w:r>
      <w:r>
        <w:rPr>
          <w:color w:val="auto"/>
          <w:kern w:val="21"/>
          <w:sz w:val="24"/>
          <w:lang w:val="en-GB"/>
        </w:rPr>
        <w:fldChar w:fldCharType="separate"/>
      </w:r>
      <w:r>
        <w:rPr>
          <w:rFonts w:hint="eastAsia"/>
          <w:color w:val="auto"/>
          <w:kern w:val="21"/>
          <w:sz w:val="24"/>
          <w:lang w:val="en-GB"/>
        </w:rPr>
        <w:t>①</w:t>
      </w:r>
      <w:r>
        <w:rPr>
          <w:color w:val="auto"/>
          <w:kern w:val="21"/>
          <w:sz w:val="24"/>
          <w:lang w:val="en-GB"/>
        </w:rPr>
        <w:fldChar w:fldCharType="end"/>
      </w:r>
      <w:r>
        <w:rPr>
          <w:rFonts w:hint="eastAsia"/>
          <w:color w:val="auto"/>
          <w:kern w:val="21"/>
          <w:sz w:val="24"/>
          <w:lang w:val="en-GB"/>
        </w:rPr>
        <w:t>废气收集系统</w:t>
      </w:r>
    </w:p>
    <w:p>
      <w:pPr>
        <w:adjustRightInd w:val="0"/>
        <w:snapToGrid w:val="0"/>
        <w:spacing w:line="360" w:lineRule="auto"/>
        <w:ind w:firstLine="482" w:firstLineChars="200"/>
        <w:rPr>
          <w:rFonts w:hint="eastAsia"/>
          <w:b/>
          <w:bCs/>
          <w:color w:val="auto"/>
          <w:kern w:val="21"/>
          <w:sz w:val="24"/>
          <w:u w:val="single"/>
          <w:lang w:val="en-GB"/>
        </w:rPr>
      </w:pPr>
      <w:r>
        <w:rPr>
          <w:rFonts w:hint="eastAsia"/>
          <w:b/>
          <w:bCs/>
          <w:color w:val="auto"/>
          <w:kern w:val="21"/>
          <w:sz w:val="24"/>
          <w:u w:val="single"/>
          <w:lang w:val="en-GB"/>
        </w:rPr>
        <w:t>本项目根据各生产线情况设置顶抽</w:t>
      </w:r>
      <w:r>
        <w:rPr>
          <w:b/>
          <w:bCs/>
          <w:color w:val="auto"/>
          <w:kern w:val="21"/>
          <w:sz w:val="24"/>
          <w:u w:val="single"/>
          <w:lang w:val="en-GB"/>
        </w:rPr>
        <w:t>+</w:t>
      </w:r>
      <w:r>
        <w:rPr>
          <w:rFonts w:hint="eastAsia"/>
          <w:b/>
          <w:bCs/>
          <w:color w:val="auto"/>
          <w:kern w:val="21"/>
          <w:sz w:val="24"/>
          <w:u w:val="single"/>
          <w:lang w:val="en-GB"/>
        </w:rPr>
        <w:t>槽边双侧抽风方式对酸性废气进行收集，酸储罐酸雾设置集气罩进行收集。经上述集气系统收集，项目各条生产线酸性废气捕集总效率可达到</w:t>
      </w:r>
      <w:r>
        <w:rPr>
          <w:b/>
          <w:bCs/>
          <w:color w:val="auto"/>
          <w:kern w:val="21"/>
          <w:sz w:val="24"/>
          <w:u w:val="single"/>
          <w:lang w:val="en-GB"/>
        </w:rPr>
        <w:t>9</w:t>
      </w:r>
      <w:r>
        <w:rPr>
          <w:rFonts w:hint="eastAsia"/>
          <w:b/>
          <w:bCs/>
          <w:color w:val="auto"/>
          <w:kern w:val="21"/>
          <w:sz w:val="24"/>
          <w:u w:val="single"/>
          <w:lang w:val="en-GB"/>
        </w:rPr>
        <w:t>5</w:t>
      </w:r>
      <w:r>
        <w:rPr>
          <w:b/>
          <w:bCs/>
          <w:color w:val="auto"/>
          <w:kern w:val="21"/>
          <w:sz w:val="24"/>
          <w:u w:val="single"/>
          <w:lang w:val="en-GB"/>
        </w:rPr>
        <w:t>%</w:t>
      </w:r>
      <w:r>
        <w:rPr>
          <w:rFonts w:hint="eastAsia"/>
          <w:b/>
          <w:bCs/>
          <w:color w:val="auto"/>
          <w:kern w:val="21"/>
          <w:sz w:val="24"/>
          <w:u w:val="single"/>
          <w:lang w:val="en-GB"/>
        </w:rPr>
        <w:t>以上。酸废气封闭及集气方式示意图7.1-1。</w:t>
      </w: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pStyle w:val="43"/>
        <w:rPr>
          <w:rFonts w:hint="eastAsia"/>
          <w:b/>
          <w:bCs/>
          <w:color w:val="auto"/>
          <w:kern w:val="21"/>
          <w:sz w:val="24"/>
          <w:u w:val="single"/>
          <w:lang w:val="en-GB"/>
        </w:rPr>
      </w:pPr>
    </w:p>
    <w:p>
      <w:pPr>
        <w:adjustRightInd w:val="0"/>
        <w:snapToGrid w:val="0"/>
        <w:spacing w:line="360" w:lineRule="auto"/>
        <w:ind w:firstLine="422" w:firstLineChars="200"/>
        <w:rPr>
          <w:b/>
          <w:color w:val="auto"/>
          <w:u w:val="single"/>
        </w:rPr>
      </w:pPr>
    </w:p>
    <w:p>
      <w:pPr>
        <w:adjustRightInd w:val="0"/>
        <w:snapToGrid w:val="0"/>
        <w:spacing w:line="360" w:lineRule="auto"/>
        <w:ind w:firstLine="422" w:firstLineChars="200"/>
        <w:rPr>
          <w:b/>
          <w:color w:val="auto"/>
          <w:u w:val="single"/>
        </w:rPr>
      </w:pPr>
      <w:r>
        <w:rPr>
          <w:b/>
          <w:color w:val="auto"/>
          <w:u w:val="single"/>
        </w:rPr>
        <w:drawing>
          <wp:inline distT="0" distB="0" distL="0" distR="0">
            <wp:extent cx="4419600" cy="3426460"/>
            <wp:effectExtent l="0" t="0" r="0" b="254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noChangeArrowheads="1"/>
                    </pic:cNvPicPr>
                  </pic:nvPicPr>
                  <pic:blipFill>
                    <a:blip r:embed="rId146"/>
                    <a:srcRect/>
                    <a:stretch>
                      <a:fillRect/>
                    </a:stretch>
                  </pic:blipFill>
                  <pic:spPr>
                    <a:xfrm>
                      <a:off x="0" y="0"/>
                      <a:ext cx="4419600" cy="3426460"/>
                    </a:xfrm>
                    <a:prstGeom prst="rect">
                      <a:avLst/>
                    </a:prstGeom>
                    <a:noFill/>
                    <a:ln>
                      <a:noFill/>
                    </a:ln>
                  </pic:spPr>
                </pic:pic>
              </a:graphicData>
            </a:graphic>
          </wp:inline>
        </w:drawing>
      </w:r>
    </w:p>
    <w:p>
      <w:pPr>
        <w:adjustRightInd w:val="0"/>
        <w:snapToGrid w:val="0"/>
        <w:spacing w:line="360" w:lineRule="auto"/>
        <w:jc w:val="center"/>
        <w:rPr>
          <w:rFonts w:ascii="黑体" w:hAnsi="黑体" w:eastAsia="黑体"/>
          <w:b/>
          <w:bCs w:val="0"/>
          <w:color w:val="auto"/>
          <w:kern w:val="21"/>
          <w:sz w:val="32"/>
          <w:u w:val="single"/>
          <w:lang w:val="en-GB"/>
        </w:rPr>
      </w:pPr>
      <w:r>
        <w:rPr>
          <w:rFonts w:hint="eastAsia" w:ascii="黑体" w:hAnsi="黑体" w:eastAsia="黑体"/>
          <w:b/>
          <w:bCs w:val="0"/>
          <w:color w:val="auto"/>
          <w:sz w:val="24"/>
          <w:u w:val="single"/>
        </w:rPr>
        <w:t>图7.1-1   同类</w:t>
      </w:r>
      <w:r>
        <w:rPr>
          <w:rFonts w:hint="eastAsia" w:ascii="黑体" w:hAnsi="黑体" w:eastAsia="黑体"/>
          <w:b/>
          <w:bCs w:val="0"/>
          <w:color w:val="auto"/>
          <w:sz w:val="24"/>
          <w:u w:val="single"/>
          <w:lang w:eastAsia="zh-CN"/>
        </w:rPr>
        <w:t>项目</w:t>
      </w:r>
      <w:r>
        <w:rPr>
          <w:rFonts w:hint="eastAsia" w:ascii="黑体" w:hAnsi="黑体" w:eastAsia="黑体"/>
          <w:b/>
          <w:bCs w:val="0"/>
          <w:color w:val="auto"/>
          <w:sz w:val="24"/>
          <w:u w:val="single"/>
        </w:rPr>
        <w:t>封闭及顶侧吸示意图</w:t>
      </w:r>
    </w:p>
    <w:p>
      <w:pPr>
        <w:adjustRightInd w:val="0"/>
        <w:snapToGrid w:val="0"/>
        <w:spacing w:line="360" w:lineRule="auto"/>
        <w:ind w:firstLine="480" w:firstLineChars="200"/>
        <w:rPr>
          <w:color w:val="auto"/>
          <w:kern w:val="21"/>
          <w:sz w:val="24"/>
          <w:lang w:val="en-GB"/>
        </w:rPr>
      </w:pPr>
      <w:r>
        <w:rPr>
          <w:color w:val="auto"/>
          <w:kern w:val="21"/>
          <w:sz w:val="24"/>
          <w:lang w:val="en-GB"/>
        </w:rPr>
        <w:fldChar w:fldCharType="begin"/>
      </w:r>
      <w:r>
        <w:rPr>
          <w:color w:val="auto"/>
          <w:kern w:val="21"/>
          <w:sz w:val="24"/>
          <w:lang w:val="en-GB"/>
        </w:rPr>
        <w:instrText xml:space="preserve"> </w:instrText>
      </w:r>
      <w:r>
        <w:rPr>
          <w:rFonts w:hint="eastAsia"/>
          <w:color w:val="auto"/>
          <w:kern w:val="21"/>
          <w:sz w:val="24"/>
          <w:lang w:val="en-GB"/>
        </w:rPr>
        <w:instrText xml:space="preserve">= 2 \* GB3</w:instrText>
      </w:r>
      <w:r>
        <w:rPr>
          <w:color w:val="auto"/>
          <w:kern w:val="21"/>
          <w:sz w:val="24"/>
          <w:lang w:val="en-GB"/>
        </w:rPr>
        <w:instrText xml:space="preserve"> </w:instrText>
      </w:r>
      <w:r>
        <w:rPr>
          <w:color w:val="auto"/>
          <w:kern w:val="21"/>
          <w:sz w:val="24"/>
          <w:lang w:val="en-GB"/>
        </w:rPr>
        <w:fldChar w:fldCharType="separate"/>
      </w:r>
      <w:r>
        <w:rPr>
          <w:rFonts w:hint="eastAsia"/>
          <w:color w:val="auto"/>
          <w:kern w:val="21"/>
          <w:sz w:val="24"/>
          <w:lang w:val="en-GB"/>
        </w:rPr>
        <w:t>②</w:t>
      </w:r>
      <w:r>
        <w:rPr>
          <w:color w:val="auto"/>
          <w:kern w:val="21"/>
          <w:sz w:val="24"/>
          <w:lang w:val="en-GB"/>
        </w:rPr>
        <w:fldChar w:fldCharType="end"/>
      </w:r>
      <w:r>
        <w:rPr>
          <w:rFonts w:hint="eastAsia"/>
          <w:color w:val="auto"/>
          <w:kern w:val="21"/>
          <w:sz w:val="24"/>
          <w:lang w:val="en-GB"/>
        </w:rPr>
        <w:t>废气处理系统</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废气喷淋吸收净化系统主要由填料、喷淋装置、除雾装置、喷淋液循环泵、吸收塔组成。</w:t>
      </w:r>
    </w:p>
    <w:p>
      <w:pPr>
        <w:adjustRightInd w:val="0"/>
        <w:snapToGrid w:val="0"/>
        <w:spacing w:line="360" w:lineRule="auto"/>
        <w:ind w:firstLine="480" w:firstLineChars="200"/>
        <w:rPr>
          <w:color w:val="auto"/>
          <w:kern w:val="21"/>
          <w:sz w:val="24"/>
          <w:lang w:val="en-GB"/>
        </w:rPr>
      </w:pPr>
      <w:r>
        <w:rPr>
          <w:color w:val="auto"/>
          <w:kern w:val="21"/>
          <w:sz w:val="24"/>
          <w:lang w:val="en-GB"/>
        </w:rPr>
        <w:t>a</w:t>
      </w:r>
      <w:r>
        <w:rPr>
          <w:rFonts w:hint="eastAsia"/>
          <w:color w:val="auto"/>
          <w:kern w:val="21"/>
          <w:sz w:val="24"/>
          <w:lang w:val="en-GB"/>
        </w:rPr>
        <w:t>、填料</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填料采用</w:t>
      </w:r>
      <w:r>
        <w:rPr>
          <w:color w:val="auto"/>
          <w:kern w:val="21"/>
          <w:sz w:val="24"/>
          <w:lang w:val="en-GB"/>
        </w:rPr>
        <w:t xml:space="preserve">PP </w:t>
      </w:r>
      <w:r>
        <w:rPr>
          <w:rFonts w:hint="eastAsia"/>
          <w:color w:val="auto"/>
          <w:kern w:val="21"/>
          <w:sz w:val="24"/>
          <w:lang w:val="en-GB"/>
        </w:rPr>
        <w:t>或玻璃钢</w:t>
      </w:r>
      <w:r>
        <w:rPr>
          <w:rFonts w:hint="eastAsia"/>
          <w:color w:val="auto"/>
          <w:kern w:val="21"/>
          <w:sz w:val="24"/>
          <w:lang w:val="en-GB" w:eastAsia="zh-CN"/>
        </w:rPr>
        <w:t>材质</w:t>
      </w:r>
      <w:r>
        <w:rPr>
          <w:rFonts w:hint="eastAsia"/>
          <w:color w:val="auto"/>
          <w:kern w:val="21"/>
          <w:sz w:val="24"/>
          <w:lang w:val="en-GB"/>
        </w:rPr>
        <w:t>高效填料，填料主要作为布风装置，布置于吸收塔喷淋区下部，废气通过托盘后，被均匀分布到整个吸收塔截面。托盘结构为带分隔围堰的多孔板，托盘被分割成便于从吸收塔人孔进出的板片，水平搁置在托盘支撑的结构上。</w:t>
      </w:r>
    </w:p>
    <w:p>
      <w:pPr>
        <w:adjustRightInd w:val="0"/>
        <w:snapToGrid w:val="0"/>
        <w:spacing w:line="360" w:lineRule="auto"/>
        <w:ind w:firstLine="480" w:firstLineChars="200"/>
        <w:rPr>
          <w:color w:val="auto"/>
          <w:kern w:val="21"/>
          <w:sz w:val="24"/>
          <w:lang w:val="en-GB"/>
        </w:rPr>
      </w:pPr>
      <w:r>
        <w:rPr>
          <w:color w:val="auto"/>
          <w:kern w:val="21"/>
          <w:sz w:val="24"/>
          <w:lang w:val="en-GB"/>
        </w:rPr>
        <w:t>b</w:t>
      </w:r>
      <w:r>
        <w:rPr>
          <w:rFonts w:hint="eastAsia"/>
          <w:color w:val="auto"/>
          <w:kern w:val="21"/>
          <w:sz w:val="24"/>
          <w:lang w:val="en-GB"/>
        </w:rPr>
        <w:t>、喷淋装置</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吸收塔内部喷淋系统是由分配母管和喷嘴组成的网状系统。每台吸收塔再循环泵均对应一个喷淋层，喷淋层上安装空心锥喷嘴，其作用是将喷淋液雾化。喷淋液由吸收塔再循环泵输送到喷嘴，喷入废气中。喷淋系统能使浆液在吸收塔内均匀分布，流经每个喷淋层的流量相等。</w:t>
      </w:r>
    </w:p>
    <w:p>
      <w:pPr>
        <w:adjustRightInd w:val="0"/>
        <w:snapToGrid w:val="0"/>
        <w:spacing w:line="360" w:lineRule="auto"/>
        <w:ind w:firstLine="480" w:firstLineChars="200"/>
        <w:rPr>
          <w:color w:val="auto"/>
          <w:kern w:val="21"/>
          <w:sz w:val="24"/>
          <w:lang w:val="en-GB"/>
        </w:rPr>
      </w:pPr>
      <w:r>
        <w:rPr>
          <w:color w:val="auto"/>
          <w:kern w:val="21"/>
          <w:sz w:val="24"/>
          <w:lang w:val="en-GB"/>
        </w:rPr>
        <w:t>c</w:t>
      </w:r>
      <w:r>
        <w:rPr>
          <w:rFonts w:hint="eastAsia"/>
          <w:color w:val="auto"/>
          <w:kern w:val="21"/>
          <w:sz w:val="24"/>
          <w:lang w:val="en-GB"/>
        </w:rPr>
        <w:t>、除雾装置</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用于分离废气携带的液滴。吸收塔除雾器布置于吸收塔顶部最后一个喷淋组件的上部。废气穿过循环浆液喷淋层后，再连续流经除雾器时，液滴由于惯性作用，留在挡板上。</w:t>
      </w:r>
    </w:p>
    <w:p>
      <w:pPr>
        <w:adjustRightInd w:val="0"/>
        <w:snapToGrid w:val="0"/>
        <w:spacing w:line="360" w:lineRule="auto"/>
        <w:ind w:firstLine="480" w:firstLineChars="200"/>
        <w:rPr>
          <w:color w:val="auto"/>
          <w:kern w:val="21"/>
          <w:sz w:val="24"/>
          <w:lang w:val="en-GB"/>
        </w:rPr>
      </w:pPr>
      <w:r>
        <w:rPr>
          <w:color w:val="auto"/>
          <w:kern w:val="21"/>
          <w:sz w:val="24"/>
          <w:lang w:val="en-GB"/>
        </w:rPr>
        <w:t>d</w:t>
      </w:r>
      <w:r>
        <w:rPr>
          <w:rFonts w:hint="eastAsia"/>
          <w:color w:val="auto"/>
          <w:kern w:val="21"/>
          <w:sz w:val="24"/>
          <w:lang w:val="en-GB"/>
        </w:rPr>
        <w:t>、喷淋液循环泵</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吸收塔循环泵安装在吸收塔旁，用于吸收塔内喷淋液的再循环。采用立式液下化工泵，包括泵壳、叶轮、轴、导轴承、出口弯头、底板、进口、密封盒、轴封、基础框架、地脚螺栓、机械密封和所有的管道、阀门及就地仪表和电机。工作原理是叶轮高速旋转时产生的离心力使流体获得能量，即流体通过叶轮后，压能和动能都能得到提高，从而能够被输送到高处或远处。同时在泵的入口形成负压，使流体能够被不断吸入。泵头采用耐腐蚀材料。</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浆液再循环系统采用单元制，喷淋层配一台洗涤液循环泵。循环系统使用一段时间后，循环液废水最终排入前处理废水收集池。</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e、喷淋吸收塔</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塔体采用</w:t>
      </w:r>
      <w:r>
        <w:rPr>
          <w:color w:val="auto"/>
          <w:kern w:val="21"/>
          <w:sz w:val="24"/>
          <w:lang w:val="en-GB"/>
        </w:rPr>
        <w:t xml:space="preserve">PP </w:t>
      </w:r>
      <w:r>
        <w:rPr>
          <w:rFonts w:hint="eastAsia"/>
          <w:color w:val="auto"/>
          <w:kern w:val="21"/>
          <w:sz w:val="24"/>
          <w:lang w:val="en-GB"/>
        </w:rPr>
        <w:t>或玻璃钢材质，根据气体吸收过程在气液两相界面上进行，传递速率和界面面积成正比的原理，采用填料来增大两相接触面积，使两相充分分散，达到净化废气的目的，每个吸收塔设置至少二级喷淋吸收。</w:t>
      </w:r>
    </w:p>
    <w:p>
      <w:pPr>
        <w:adjustRightInd w:val="0"/>
        <w:snapToGrid w:val="0"/>
        <w:spacing w:line="360" w:lineRule="auto"/>
        <w:ind w:firstLine="480" w:firstLineChars="200"/>
        <w:rPr>
          <w:color w:val="auto"/>
          <w:kern w:val="21"/>
          <w:sz w:val="24"/>
          <w:lang w:val="en-GB"/>
        </w:rPr>
      </w:pPr>
      <w:r>
        <w:rPr>
          <w:color w:val="auto"/>
          <w:kern w:val="21"/>
          <w:sz w:val="24"/>
          <w:lang w:val="en-GB"/>
        </w:rPr>
        <w:fldChar w:fldCharType="begin"/>
      </w:r>
      <w:r>
        <w:rPr>
          <w:color w:val="auto"/>
          <w:kern w:val="21"/>
          <w:sz w:val="24"/>
          <w:lang w:val="en-GB"/>
        </w:rPr>
        <w:instrText xml:space="preserve"> </w:instrText>
      </w:r>
      <w:r>
        <w:rPr>
          <w:rFonts w:hint="eastAsia"/>
          <w:color w:val="auto"/>
          <w:kern w:val="21"/>
          <w:sz w:val="24"/>
          <w:lang w:val="en-GB"/>
        </w:rPr>
        <w:instrText xml:space="preserve">= 3 \* GB3</w:instrText>
      </w:r>
      <w:r>
        <w:rPr>
          <w:color w:val="auto"/>
          <w:kern w:val="21"/>
          <w:sz w:val="24"/>
          <w:lang w:val="en-GB"/>
        </w:rPr>
        <w:instrText xml:space="preserve"> </w:instrText>
      </w:r>
      <w:r>
        <w:rPr>
          <w:color w:val="auto"/>
          <w:kern w:val="21"/>
          <w:sz w:val="24"/>
          <w:lang w:val="en-GB"/>
        </w:rPr>
        <w:fldChar w:fldCharType="separate"/>
      </w:r>
      <w:r>
        <w:rPr>
          <w:rFonts w:hint="eastAsia"/>
          <w:color w:val="auto"/>
          <w:kern w:val="21"/>
          <w:sz w:val="24"/>
          <w:lang w:val="en-GB"/>
        </w:rPr>
        <w:t>③</w:t>
      </w:r>
      <w:r>
        <w:rPr>
          <w:color w:val="auto"/>
          <w:kern w:val="21"/>
          <w:sz w:val="24"/>
          <w:lang w:val="en-GB"/>
        </w:rPr>
        <w:fldChar w:fldCharType="end"/>
      </w:r>
      <w:r>
        <w:rPr>
          <w:rFonts w:hint="eastAsia"/>
          <w:color w:val="auto"/>
          <w:kern w:val="21"/>
          <w:sz w:val="24"/>
          <w:lang w:val="en-GB"/>
        </w:rPr>
        <w:t>排气系统</w:t>
      </w:r>
    </w:p>
    <w:p>
      <w:pPr>
        <w:adjustRightInd w:val="0"/>
        <w:snapToGrid w:val="0"/>
        <w:spacing w:line="360" w:lineRule="auto"/>
        <w:ind w:firstLine="480" w:firstLineChars="200"/>
        <w:rPr>
          <w:color w:val="auto"/>
          <w:kern w:val="21"/>
          <w:sz w:val="24"/>
          <w:lang w:val="en-GB"/>
        </w:rPr>
      </w:pPr>
      <w:r>
        <w:rPr>
          <w:rFonts w:hint="eastAsia"/>
          <w:color w:val="auto"/>
          <w:kern w:val="21"/>
          <w:sz w:val="24"/>
          <w:lang w:val="en-GB"/>
        </w:rPr>
        <w:t>排气系统主要是排气筒，净化处理后的酸性废气经</w:t>
      </w:r>
      <w:r>
        <w:rPr>
          <w:color w:val="auto"/>
          <w:kern w:val="21"/>
          <w:sz w:val="24"/>
          <w:lang w:val="en-GB"/>
        </w:rPr>
        <w:t xml:space="preserve">15m </w:t>
      </w:r>
      <w:r>
        <w:rPr>
          <w:rFonts w:hint="eastAsia"/>
          <w:color w:val="auto"/>
          <w:kern w:val="21"/>
          <w:sz w:val="24"/>
          <w:lang w:val="en-GB"/>
        </w:rPr>
        <w:t>排气筒高空排放。酸性废气处理工艺流程图见图7.1</w:t>
      </w:r>
      <w:r>
        <w:rPr>
          <w:color w:val="auto"/>
          <w:kern w:val="21"/>
          <w:sz w:val="24"/>
          <w:lang w:val="en-GB"/>
        </w:rPr>
        <w:t>-</w:t>
      </w:r>
      <w:r>
        <w:rPr>
          <w:rFonts w:hint="eastAsia"/>
          <w:color w:val="auto"/>
          <w:kern w:val="21"/>
          <w:sz w:val="24"/>
          <w:lang w:val="en-GB"/>
        </w:rPr>
        <w:t>2，酸性废气处理结构原理图及实景图见7.1</w:t>
      </w:r>
      <w:r>
        <w:rPr>
          <w:color w:val="auto"/>
          <w:kern w:val="21"/>
          <w:sz w:val="24"/>
          <w:lang w:val="en-GB"/>
        </w:rPr>
        <w:t>-</w:t>
      </w:r>
      <w:r>
        <w:rPr>
          <w:rFonts w:hint="eastAsia"/>
          <w:color w:val="auto"/>
          <w:kern w:val="21"/>
          <w:sz w:val="24"/>
          <w:lang w:val="en-GB"/>
        </w:rPr>
        <w:t>3。</w:t>
      </w:r>
    </w:p>
    <w:p>
      <w:pPr>
        <w:adjustRightInd w:val="0"/>
        <w:snapToGrid w:val="0"/>
        <w:spacing w:line="360" w:lineRule="auto"/>
        <w:jc w:val="center"/>
        <w:rPr>
          <w:color w:val="auto"/>
        </w:rPr>
      </w:pPr>
      <w:r>
        <w:rPr>
          <w:color w:val="auto"/>
        </w:rPr>
        <w:drawing>
          <wp:inline distT="0" distB="0" distL="0" distR="0">
            <wp:extent cx="4531995" cy="2708910"/>
            <wp:effectExtent l="0" t="0" r="1905" b="1524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
                    <pic:cNvPicPr>
                      <a:picLocks noChangeAspect="1" noChangeArrowheads="1"/>
                    </pic:cNvPicPr>
                  </pic:nvPicPr>
                  <pic:blipFill>
                    <a:blip r:embed="rId147"/>
                    <a:srcRect/>
                    <a:stretch>
                      <a:fillRect/>
                    </a:stretch>
                  </pic:blipFill>
                  <pic:spPr>
                    <a:xfrm>
                      <a:off x="0" y="0"/>
                      <a:ext cx="4531995" cy="2708910"/>
                    </a:xfrm>
                    <a:prstGeom prst="rect">
                      <a:avLst/>
                    </a:prstGeom>
                    <a:noFill/>
                    <a:ln>
                      <a:noFill/>
                    </a:ln>
                  </pic:spPr>
                </pic:pic>
              </a:graphicData>
            </a:graphic>
          </wp:inline>
        </w:drawing>
      </w:r>
    </w:p>
    <w:p>
      <w:pPr>
        <w:adjustRightInd w:val="0"/>
        <w:snapToGrid w:val="0"/>
        <w:spacing w:line="360" w:lineRule="auto"/>
        <w:jc w:val="center"/>
        <w:rPr>
          <w:color w:val="auto"/>
          <w:kern w:val="21"/>
          <w:sz w:val="24"/>
          <w:lang w:val="en-GB"/>
        </w:rPr>
      </w:pPr>
      <w:r>
        <w:rPr>
          <w:rFonts w:hint="eastAsia" w:ascii="黑体" w:hAnsi="黑体" w:eastAsia="黑体"/>
          <w:color w:val="auto"/>
          <w:sz w:val="24"/>
        </w:rPr>
        <w:t>图7.1-2  酸雾处理工艺流程图</w:t>
      </w:r>
    </w:p>
    <w:p>
      <w:pPr>
        <w:adjustRightInd w:val="0"/>
        <w:snapToGrid w:val="0"/>
        <w:spacing w:line="360" w:lineRule="auto"/>
        <w:rPr>
          <w:color w:val="auto"/>
          <w:kern w:val="21"/>
          <w:sz w:val="24"/>
          <w:lang w:val="en-GB"/>
        </w:rPr>
      </w:pPr>
      <w:r>
        <w:rPr>
          <w:color w:val="auto"/>
        </w:rPr>
        <w:drawing>
          <wp:inline distT="0" distB="0" distL="0" distR="0">
            <wp:extent cx="4914900" cy="2095500"/>
            <wp:effectExtent l="0" t="0" r="0" b="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noChangeArrowheads="1"/>
                    </pic:cNvPicPr>
                  </pic:nvPicPr>
                  <pic:blipFill>
                    <a:blip r:embed="rId148"/>
                    <a:srcRect/>
                    <a:stretch>
                      <a:fillRect/>
                    </a:stretch>
                  </pic:blipFill>
                  <pic:spPr>
                    <a:xfrm>
                      <a:off x="0" y="0"/>
                      <a:ext cx="4914900" cy="2095500"/>
                    </a:xfrm>
                    <a:prstGeom prst="rect">
                      <a:avLst/>
                    </a:prstGeom>
                    <a:noFill/>
                    <a:ln>
                      <a:noFill/>
                    </a:ln>
                  </pic:spPr>
                </pic:pic>
              </a:graphicData>
            </a:graphic>
          </wp:inline>
        </w:drawing>
      </w:r>
    </w:p>
    <w:p>
      <w:pPr>
        <w:adjustRightInd w:val="0"/>
        <w:snapToGrid w:val="0"/>
        <w:spacing w:line="360" w:lineRule="auto"/>
        <w:jc w:val="center"/>
        <w:rPr>
          <w:rFonts w:ascii="黑体" w:hAnsi="黑体" w:eastAsia="黑体"/>
          <w:color w:val="auto"/>
          <w:sz w:val="24"/>
        </w:rPr>
      </w:pPr>
      <w:r>
        <w:rPr>
          <w:rFonts w:hint="eastAsia" w:ascii="黑体" w:hAnsi="黑体" w:eastAsia="黑体"/>
          <w:color w:val="auto"/>
          <w:sz w:val="24"/>
        </w:rPr>
        <w:t>图7.1-3  酸性废气处理结构原理图及实景图</w:t>
      </w:r>
    </w:p>
    <w:p>
      <w:pPr>
        <w:adjustRightInd w:val="0"/>
        <w:snapToGrid w:val="0"/>
        <w:spacing w:line="360" w:lineRule="auto"/>
        <w:ind w:firstLine="480" w:firstLineChars="200"/>
        <w:rPr>
          <w:color w:val="auto"/>
          <w:kern w:val="21"/>
          <w:sz w:val="24"/>
        </w:rPr>
      </w:pPr>
      <w:r>
        <w:rPr>
          <w:color w:val="auto"/>
          <w:kern w:val="21"/>
          <w:sz w:val="24"/>
        </w:rPr>
        <w:t>（2）治理效果分析</w:t>
      </w:r>
    </w:p>
    <w:p>
      <w:pPr>
        <w:adjustRightInd w:val="0"/>
        <w:snapToGrid w:val="0"/>
        <w:spacing w:line="360" w:lineRule="auto"/>
        <w:ind w:firstLine="482" w:firstLineChars="200"/>
        <w:rPr>
          <w:b/>
          <w:bCs/>
          <w:color w:val="auto"/>
          <w:kern w:val="21"/>
          <w:sz w:val="24"/>
          <w:u w:val="single"/>
          <w:lang w:val="en-GB"/>
        </w:rPr>
      </w:pPr>
      <w:r>
        <w:rPr>
          <w:b/>
          <w:bCs/>
          <w:color w:val="auto"/>
          <w:kern w:val="21"/>
          <w:sz w:val="24"/>
          <w:szCs w:val="24"/>
          <w:u w:val="single"/>
        </w:rPr>
        <w:t>本项目北厂房设置</w:t>
      </w:r>
      <w:r>
        <w:rPr>
          <w:rFonts w:hint="eastAsia"/>
          <w:b/>
          <w:bCs/>
          <w:color w:val="auto"/>
          <w:kern w:val="21"/>
          <w:sz w:val="24"/>
          <w:szCs w:val="24"/>
          <w:u w:val="single"/>
        </w:rPr>
        <w:t>9条镀镍线、1</w:t>
      </w:r>
      <w:r>
        <w:rPr>
          <w:b/>
          <w:bCs/>
          <w:color w:val="auto"/>
          <w:kern w:val="21"/>
          <w:sz w:val="24"/>
          <w:szCs w:val="24"/>
          <w:u w:val="single"/>
        </w:rPr>
        <w:t>条镀锌线，在化学品专库设置一个</w:t>
      </w:r>
      <w:r>
        <w:rPr>
          <w:rFonts w:hint="eastAsia"/>
          <w:b/>
          <w:bCs/>
          <w:color w:val="auto"/>
          <w:kern w:val="21"/>
          <w:sz w:val="24"/>
          <w:szCs w:val="24"/>
          <w:u w:val="single"/>
        </w:rPr>
        <w:t>10t盐酸储罐</w:t>
      </w:r>
      <w:r>
        <w:rPr>
          <w:b/>
          <w:bCs/>
          <w:color w:val="auto"/>
          <w:kern w:val="21"/>
          <w:sz w:val="24"/>
          <w:szCs w:val="24"/>
          <w:u w:val="single"/>
        </w:rPr>
        <w:t>，</w:t>
      </w:r>
      <w:r>
        <w:rPr>
          <w:rFonts w:hint="eastAsia"/>
          <w:b/>
          <w:bCs/>
          <w:color w:val="auto"/>
          <w:kern w:val="21"/>
          <w:sz w:val="24"/>
          <w:szCs w:val="24"/>
          <w:u w:val="single"/>
        </w:rPr>
        <w:t>硫酸雾、铬酸雾在低浓度情况下基本不挥发，总体考虑到可能产生硫酸雾、铬酸雾环节废气收集到二级喷淋塔处理，排放浓度不再计算硫酸雾、铬酸雾，仅计算氯化氢。收集系统</w:t>
      </w:r>
      <w:r>
        <w:rPr>
          <w:b/>
          <w:bCs/>
          <w:color w:val="auto"/>
          <w:kern w:val="21"/>
          <w:sz w:val="24"/>
          <w:szCs w:val="24"/>
          <w:u w:val="single"/>
        </w:rPr>
        <w:t>收集效率按95%计，二级碱液喷淋中和塔采用</w:t>
      </w:r>
      <w:r>
        <w:rPr>
          <w:rFonts w:hint="eastAsia"/>
          <w:b/>
          <w:bCs/>
          <w:color w:val="auto"/>
          <w:kern w:val="21"/>
          <w:sz w:val="24"/>
          <w:szCs w:val="24"/>
          <w:u w:val="single"/>
        </w:rPr>
        <w:t>10%碳酸钠和</w:t>
      </w:r>
      <w:r>
        <w:rPr>
          <w:b/>
          <w:bCs/>
          <w:color w:val="auto"/>
          <w:kern w:val="21"/>
          <w:sz w:val="24"/>
          <w:szCs w:val="24"/>
          <w:u w:val="single"/>
        </w:rPr>
        <w:t>氢氧化钠溶液进行中和酸性气体，根据</w:t>
      </w:r>
      <w:r>
        <w:rPr>
          <w:b/>
          <w:bCs/>
          <w:color w:val="auto"/>
          <w:kern w:val="21"/>
          <w:sz w:val="24"/>
          <w:szCs w:val="22"/>
          <w:u w:val="single"/>
        </w:rPr>
        <w:t>《污染源源强核算技术指南 电镀》（HJ984-2018），</w:t>
      </w:r>
      <w:r>
        <w:rPr>
          <w:rFonts w:hint="eastAsia"/>
          <w:b/>
          <w:bCs/>
          <w:color w:val="auto"/>
          <w:kern w:val="21"/>
          <w:sz w:val="24"/>
          <w:szCs w:val="24"/>
          <w:u w:val="single"/>
        </w:rPr>
        <w:t>10%碳酸钠和</w:t>
      </w:r>
      <w:r>
        <w:rPr>
          <w:b/>
          <w:bCs/>
          <w:color w:val="auto"/>
          <w:kern w:val="21"/>
          <w:sz w:val="24"/>
          <w:szCs w:val="24"/>
          <w:u w:val="single"/>
        </w:rPr>
        <w:t>氢氧化钠溶液</w:t>
      </w:r>
      <w:r>
        <w:rPr>
          <w:rFonts w:hint="eastAsia"/>
          <w:b/>
          <w:bCs/>
          <w:color w:val="auto"/>
          <w:kern w:val="21"/>
          <w:sz w:val="24"/>
          <w:szCs w:val="24"/>
          <w:u w:val="single"/>
          <w:lang w:eastAsia="zh-CN"/>
        </w:rPr>
        <w:t>对</w:t>
      </w:r>
      <w:r>
        <w:rPr>
          <w:rFonts w:hint="eastAsia"/>
          <w:b/>
          <w:bCs/>
          <w:color w:val="auto"/>
          <w:kern w:val="21"/>
          <w:sz w:val="24"/>
          <w:szCs w:val="24"/>
          <w:u w:val="single"/>
        </w:rPr>
        <w:t>氯化氢</w:t>
      </w:r>
      <w:r>
        <w:rPr>
          <w:rFonts w:hint="eastAsia"/>
          <w:b/>
          <w:bCs/>
          <w:color w:val="auto"/>
          <w:kern w:val="21"/>
          <w:sz w:val="24"/>
          <w:szCs w:val="24"/>
          <w:u w:val="single"/>
          <w:lang w:eastAsia="zh-CN"/>
        </w:rPr>
        <w:t>去除</w:t>
      </w:r>
      <w:r>
        <w:rPr>
          <w:rFonts w:hint="eastAsia"/>
          <w:b/>
          <w:bCs/>
          <w:color w:val="auto"/>
          <w:kern w:val="21"/>
          <w:sz w:val="24"/>
          <w:szCs w:val="24"/>
          <w:u w:val="single"/>
        </w:rPr>
        <w:t>效率为95%，</w:t>
      </w:r>
      <w:r>
        <w:rPr>
          <w:b/>
          <w:bCs/>
          <w:color w:val="auto"/>
          <w:kern w:val="21"/>
          <w:sz w:val="24"/>
          <w:szCs w:val="24"/>
          <w:u w:val="single"/>
        </w:rPr>
        <w:t>则氯化氢产排情况见下表。</w:t>
      </w:r>
    </w:p>
    <w:p>
      <w:pPr>
        <w:adjustRightInd w:val="0"/>
        <w:snapToGrid w:val="0"/>
        <w:jc w:val="center"/>
        <w:rPr>
          <w:rFonts w:eastAsia="黑体"/>
          <w:b/>
          <w:bCs/>
          <w:color w:val="auto"/>
          <w:kern w:val="21"/>
          <w:sz w:val="24"/>
          <w:szCs w:val="24"/>
          <w:highlight w:val="none"/>
          <w:u w:val="single"/>
        </w:rPr>
      </w:pPr>
      <w:r>
        <w:rPr>
          <w:rFonts w:eastAsia="黑体"/>
          <w:b/>
          <w:bCs/>
          <w:color w:val="auto"/>
          <w:kern w:val="21"/>
          <w:sz w:val="24"/>
          <w:szCs w:val="24"/>
          <w:highlight w:val="none"/>
          <w:u w:val="single"/>
        </w:rPr>
        <w:t>表</w:t>
      </w:r>
      <w:r>
        <w:rPr>
          <w:rFonts w:hint="eastAsia" w:eastAsia="黑体"/>
          <w:b/>
          <w:bCs/>
          <w:color w:val="auto"/>
          <w:kern w:val="21"/>
          <w:sz w:val="24"/>
          <w:szCs w:val="24"/>
          <w:highlight w:val="none"/>
          <w:u w:val="single"/>
        </w:rPr>
        <w:t>7.1-4</w:t>
      </w:r>
      <w:r>
        <w:rPr>
          <w:rFonts w:eastAsia="黑体"/>
          <w:b/>
          <w:bCs/>
          <w:color w:val="auto"/>
          <w:kern w:val="21"/>
          <w:sz w:val="24"/>
          <w:szCs w:val="24"/>
          <w:highlight w:val="none"/>
          <w:u w:val="single"/>
        </w:rPr>
        <w:t xml:space="preserve">    本项目酸雾废气产排情况表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4"/>
        <w:gridCol w:w="436"/>
        <w:gridCol w:w="1239"/>
        <w:gridCol w:w="1054"/>
        <w:gridCol w:w="646"/>
        <w:gridCol w:w="646"/>
        <w:gridCol w:w="1239"/>
        <w:gridCol w:w="1036"/>
        <w:gridCol w:w="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排气筒</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污染物</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产生浓度（mg/m</w:t>
            </w:r>
            <w:r>
              <w:rPr>
                <w:b/>
                <w:bCs/>
                <w:color w:val="auto"/>
                <w:kern w:val="21"/>
                <w:highlight w:val="none"/>
                <w:u w:val="single"/>
                <w:vertAlign w:val="superscript"/>
              </w:rPr>
              <w:t>3</w:t>
            </w:r>
            <w:r>
              <w:rPr>
                <w:b/>
                <w:bCs/>
                <w:color w:val="auto"/>
                <w:kern w:val="21"/>
                <w:highlight w:val="none"/>
                <w:u w:val="single"/>
              </w:rPr>
              <w:t>）</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产生速率（kg/h）</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收集效率</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处理效率</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排放浓度（mg/m</w:t>
            </w:r>
            <w:r>
              <w:rPr>
                <w:b/>
                <w:bCs/>
                <w:color w:val="auto"/>
                <w:kern w:val="21"/>
                <w:highlight w:val="none"/>
                <w:u w:val="single"/>
                <w:vertAlign w:val="superscript"/>
              </w:rPr>
              <w:t>3</w:t>
            </w:r>
            <w:r>
              <w:rPr>
                <w:b/>
                <w:bCs/>
                <w:color w:val="auto"/>
                <w:kern w:val="21"/>
                <w:highlight w:val="none"/>
                <w:u w:val="single"/>
              </w:rPr>
              <w:t>）</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排放速率</w:t>
            </w:r>
          </w:p>
          <w:p>
            <w:pPr>
              <w:adjustRightInd w:val="0"/>
              <w:snapToGrid w:val="0"/>
              <w:jc w:val="center"/>
              <w:rPr>
                <w:b/>
                <w:bCs/>
                <w:color w:val="auto"/>
                <w:kern w:val="21"/>
                <w:highlight w:val="none"/>
                <w:u w:val="single"/>
              </w:rPr>
            </w:pPr>
            <w:r>
              <w:rPr>
                <w:b/>
                <w:bCs/>
                <w:color w:val="auto"/>
                <w:kern w:val="21"/>
                <w:highlight w:val="none"/>
                <w:u w:val="single"/>
              </w:rPr>
              <w:t>（kg/h）</w:t>
            </w:r>
          </w:p>
        </w:tc>
        <w:tc>
          <w:tcPr>
            <w:tcW w:w="0" w:type="auto"/>
            <w:vAlign w:val="center"/>
          </w:tcPr>
          <w:p>
            <w:pPr>
              <w:adjustRightInd w:val="0"/>
              <w:snapToGrid w:val="0"/>
              <w:jc w:val="center"/>
              <w:rPr>
                <w:b/>
                <w:bCs/>
                <w:color w:val="auto"/>
                <w:kern w:val="21"/>
                <w:highlight w:val="none"/>
                <w:u w:val="single"/>
              </w:rPr>
            </w:pPr>
            <w:r>
              <w:rPr>
                <w:b/>
                <w:bCs/>
                <w:color w:val="auto"/>
                <w:kern w:val="21"/>
                <w:highlight w:val="none"/>
                <w:u w:val="single"/>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vAlign w:val="center"/>
          </w:tcPr>
          <w:p>
            <w:pPr>
              <w:adjustRightInd w:val="0"/>
              <w:snapToGrid w:val="0"/>
              <w:jc w:val="center"/>
              <w:rPr>
                <w:b/>
                <w:bCs/>
                <w:color w:val="auto"/>
                <w:kern w:val="21"/>
                <w:highlight w:val="none"/>
                <w:u w:val="single"/>
              </w:rPr>
            </w:pPr>
            <w:r>
              <w:rPr>
                <w:b/>
                <w:bCs/>
                <w:color w:val="auto"/>
                <w:kern w:val="21"/>
                <w:highlight w:val="none"/>
                <w:u w:val="single"/>
              </w:rPr>
              <w:t>二级碱液喷淋中和塔排气筒（</w:t>
            </w:r>
            <w:r>
              <w:rPr>
                <w:rFonts w:hint="eastAsia"/>
                <w:b/>
                <w:bCs/>
                <w:color w:val="auto"/>
                <w:kern w:val="21"/>
                <w:highlight w:val="none"/>
                <w:u w:val="single"/>
              </w:rPr>
              <w:t>DA001</w:t>
            </w:r>
            <w:r>
              <w:rPr>
                <w:b/>
                <w:bCs/>
                <w:color w:val="auto"/>
                <w:kern w:val="21"/>
                <w:highlight w:val="none"/>
                <w:u w:val="single"/>
              </w:rPr>
              <w:t>）</w:t>
            </w:r>
          </w:p>
        </w:tc>
        <w:tc>
          <w:tcPr>
            <w:tcW w:w="0" w:type="auto"/>
            <w:vMerge w:val="restart"/>
            <w:vAlign w:val="center"/>
          </w:tcPr>
          <w:p>
            <w:pPr>
              <w:adjustRightInd w:val="0"/>
              <w:snapToGrid w:val="0"/>
              <w:jc w:val="center"/>
              <w:rPr>
                <w:b/>
                <w:bCs/>
                <w:color w:val="auto"/>
                <w:kern w:val="21"/>
                <w:highlight w:val="none"/>
                <w:u w:val="single"/>
              </w:rPr>
            </w:pPr>
            <w:r>
              <w:rPr>
                <w:b/>
                <w:bCs/>
                <w:color w:val="auto"/>
                <w:kern w:val="21"/>
                <w:highlight w:val="none"/>
                <w:u w:val="single"/>
              </w:rPr>
              <w:t>氯化氢</w:t>
            </w:r>
          </w:p>
        </w:tc>
        <w:tc>
          <w:tcPr>
            <w:tcW w:w="0" w:type="auto"/>
            <w:vAlign w:val="center"/>
          </w:tcPr>
          <w:p>
            <w:pPr>
              <w:adjustRightInd w:val="0"/>
              <w:snapToGrid w:val="0"/>
              <w:jc w:val="center"/>
              <w:rPr>
                <w:rFonts w:hint="default" w:eastAsia="宋体"/>
                <w:b/>
                <w:bCs/>
                <w:color w:val="auto"/>
                <w:kern w:val="21"/>
                <w:highlight w:val="none"/>
                <w:u w:val="single"/>
                <w:lang w:val="en-US" w:eastAsia="zh-CN"/>
              </w:rPr>
            </w:pPr>
            <w:r>
              <w:rPr>
                <w:rFonts w:hint="eastAsia"/>
                <w:b/>
                <w:bCs/>
                <w:color w:val="auto"/>
                <w:sz w:val="18"/>
                <w:szCs w:val="18"/>
                <w:highlight w:val="none"/>
                <w:u w:val="single"/>
                <w:lang w:val="en-US" w:eastAsia="zh-CN"/>
              </w:rPr>
              <w:t>16.913</w:t>
            </w:r>
          </w:p>
        </w:tc>
        <w:tc>
          <w:tcPr>
            <w:tcW w:w="0" w:type="auto"/>
            <w:vAlign w:val="center"/>
          </w:tcPr>
          <w:p>
            <w:pPr>
              <w:adjustRightInd w:val="0"/>
              <w:snapToGrid w:val="0"/>
              <w:jc w:val="center"/>
              <w:rPr>
                <w:rFonts w:hint="default" w:eastAsia="宋体"/>
                <w:b/>
                <w:bCs/>
                <w:color w:val="auto"/>
                <w:kern w:val="21"/>
                <w:highlight w:val="none"/>
                <w:u w:val="single"/>
                <w:lang w:val="en-US" w:eastAsia="zh-CN"/>
              </w:rPr>
            </w:pPr>
            <w:r>
              <w:rPr>
                <w:rFonts w:hint="eastAsia"/>
                <w:b/>
                <w:bCs/>
                <w:color w:val="auto"/>
                <w:sz w:val="18"/>
                <w:szCs w:val="18"/>
                <w:highlight w:val="none"/>
                <w:u w:val="single"/>
                <w:lang w:val="en-US" w:eastAsia="zh-CN"/>
              </w:rPr>
              <w:t>0.6427</w:t>
            </w:r>
          </w:p>
        </w:tc>
        <w:tc>
          <w:tcPr>
            <w:tcW w:w="0" w:type="auto"/>
            <w:vMerge w:val="restart"/>
            <w:vAlign w:val="center"/>
          </w:tcPr>
          <w:p>
            <w:pPr>
              <w:adjustRightInd w:val="0"/>
              <w:snapToGrid w:val="0"/>
              <w:jc w:val="center"/>
              <w:rPr>
                <w:b/>
                <w:bCs/>
                <w:color w:val="auto"/>
                <w:kern w:val="21"/>
                <w:highlight w:val="none"/>
                <w:u w:val="single"/>
              </w:rPr>
            </w:pPr>
            <w:r>
              <w:rPr>
                <w:b/>
                <w:bCs/>
                <w:color w:val="auto"/>
                <w:kern w:val="21"/>
                <w:highlight w:val="none"/>
                <w:u w:val="single"/>
              </w:rPr>
              <w:t>9</w:t>
            </w:r>
            <w:r>
              <w:rPr>
                <w:rFonts w:hint="eastAsia"/>
                <w:b/>
                <w:bCs/>
                <w:color w:val="auto"/>
                <w:kern w:val="21"/>
                <w:highlight w:val="none"/>
                <w:u w:val="single"/>
              </w:rPr>
              <w:t>5</w:t>
            </w:r>
            <w:r>
              <w:rPr>
                <w:b/>
                <w:bCs/>
                <w:color w:val="auto"/>
                <w:kern w:val="21"/>
                <w:highlight w:val="none"/>
                <w:u w:val="single"/>
              </w:rPr>
              <w:t>%</w:t>
            </w:r>
          </w:p>
        </w:tc>
        <w:tc>
          <w:tcPr>
            <w:tcW w:w="0" w:type="auto"/>
            <w:vMerge w:val="restart"/>
            <w:vAlign w:val="center"/>
          </w:tcPr>
          <w:p>
            <w:pPr>
              <w:adjustRightInd w:val="0"/>
              <w:snapToGrid w:val="0"/>
              <w:jc w:val="center"/>
              <w:rPr>
                <w:b/>
                <w:bCs/>
                <w:color w:val="auto"/>
                <w:kern w:val="21"/>
                <w:highlight w:val="none"/>
                <w:u w:val="single"/>
              </w:rPr>
            </w:pPr>
            <w:r>
              <w:rPr>
                <w:b/>
                <w:bCs/>
                <w:color w:val="auto"/>
                <w:kern w:val="21"/>
                <w:highlight w:val="none"/>
                <w:u w:val="single"/>
              </w:rPr>
              <w:t>9</w:t>
            </w:r>
            <w:r>
              <w:rPr>
                <w:rFonts w:hint="eastAsia"/>
                <w:b/>
                <w:bCs/>
                <w:color w:val="auto"/>
                <w:kern w:val="21"/>
                <w:highlight w:val="none"/>
                <w:u w:val="single"/>
              </w:rPr>
              <w:t>5</w:t>
            </w:r>
            <w:r>
              <w:rPr>
                <w:b/>
                <w:bCs/>
                <w:color w:val="auto"/>
                <w:kern w:val="21"/>
                <w:highlight w:val="none"/>
                <w:u w:val="single"/>
              </w:rPr>
              <w:t>%</w:t>
            </w:r>
          </w:p>
        </w:tc>
        <w:tc>
          <w:tcPr>
            <w:tcW w:w="0" w:type="auto"/>
            <w:vAlign w:val="center"/>
          </w:tcPr>
          <w:p>
            <w:pPr>
              <w:widowControl w:val="0"/>
              <w:jc w:val="center"/>
              <w:rPr>
                <w:rFonts w:hint="default" w:eastAsia="宋体"/>
                <w:b/>
                <w:bCs/>
                <w:color w:val="auto"/>
                <w:sz w:val="18"/>
                <w:szCs w:val="18"/>
                <w:highlight w:val="none"/>
                <w:u w:val="single"/>
                <w:lang w:val="en-US" w:eastAsia="zh-CN"/>
              </w:rPr>
            </w:pPr>
            <w:r>
              <w:rPr>
                <w:rFonts w:hint="eastAsia"/>
                <w:b/>
                <w:bCs/>
                <w:color w:val="auto"/>
                <w:sz w:val="18"/>
                <w:szCs w:val="18"/>
                <w:highlight w:val="none"/>
                <w:u w:val="single"/>
                <w:lang w:val="en-US" w:eastAsia="zh-CN"/>
              </w:rPr>
              <w:t>0.895</w:t>
            </w:r>
          </w:p>
          <w:p>
            <w:pPr>
              <w:adjustRightInd w:val="0"/>
              <w:snapToGrid w:val="0"/>
              <w:jc w:val="center"/>
              <w:rPr>
                <w:b/>
                <w:bCs/>
                <w:color w:val="auto"/>
                <w:kern w:val="21"/>
                <w:highlight w:val="none"/>
                <w:u w:val="single"/>
              </w:rPr>
            </w:pPr>
            <w:r>
              <w:rPr>
                <w:rFonts w:hint="eastAsia"/>
                <w:b/>
                <w:bCs/>
                <w:color w:val="auto"/>
                <w:sz w:val="18"/>
                <w:szCs w:val="18"/>
                <w:highlight w:val="none"/>
                <w:u w:val="single"/>
              </w:rPr>
              <w:t>（基准浓度</w:t>
            </w:r>
            <w:r>
              <w:rPr>
                <w:rFonts w:hint="eastAsia"/>
                <w:b/>
                <w:bCs/>
                <w:color w:val="auto"/>
                <w:sz w:val="18"/>
                <w:szCs w:val="18"/>
                <w:highlight w:val="none"/>
                <w:u w:val="single"/>
                <w:lang w:val="en-US" w:eastAsia="zh-CN"/>
              </w:rPr>
              <w:t>2.747</w:t>
            </w:r>
            <w:r>
              <w:rPr>
                <w:rFonts w:hint="eastAsia"/>
                <w:b/>
                <w:bCs/>
                <w:color w:val="auto"/>
                <w:sz w:val="18"/>
                <w:szCs w:val="18"/>
                <w:highlight w:val="none"/>
                <w:u w:val="single"/>
              </w:rPr>
              <w:t>）</w:t>
            </w:r>
          </w:p>
        </w:tc>
        <w:tc>
          <w:tcPr>
            <w:tcW w:w="0" w:type="auto"/>
            <w:vAlign w:val="center"/>
          </w:tcPr>
          <w:p>
            <w:pPr>
              <w:adjustRightInd w:val="0"/>
              <w:snapToGrid w:val="0"/>
              <w:jc w:val="center"/>
              <w:rPr>
                <w:rFonts w:hint="default" w:eastAsia="宋体"/>
                <w:b/>
                <w:bCs/>
                <w:color w:val="auto"/>
                <w:kern w:val="21"/>
                <w:highlight w:val="none"/>
                <w:u w:val="single"/>
                <w:lang w:val="en-US" w:eastAsia="zh-CN"/>
              </w:rPr>
            </w:pPr>
            <w:r>
              <w:rPr>
                <w:rFonts w:hint="eastAsia"/>
                <w:b/>
                <w:bCs/>
                <w:color w:val="auto"/>
                <w:sz w:val="18"/>
                <w:szCs w:val="18"/>
                <w:highlight w:val="none"/>
                <w:u w:val="single"/>
              </w:rPr>
              <w:t>0.0</w:t>
            </w:r>
            <w:r>
              <w:rPr>
                <w:rFonts w:hint="eastAsia"/>
                <w:b/>
                <w:bCs/>
                <w:color w:val="auto"/>
                <w:sz w:val="18"/>
                <w:szCs w:val="18"/>
                <w:highlight w:val="none"/>
                <w:u w:val="single"/>
                <w:lang w:val="en-US" w:eastAsia="zh-CN"/>
              </w:rPr>
              <w:t>342</w:t>
            </w:r>
          </w:p>
        </w:tc>
        <w:tc>
          <w:tcPr>
            <w:tcW w:w="0" w:type="auto"/>
            <w:vAlign w:val="center"/>
          </w:tcPr>
          <w:p>
            <w:pPr>
              <w:adjustRightInd w:val="0"/>
              <w:snapToGrid w:val="0"/>
              <w:jc w:val="center"/>
              <w:rPr>
                <w:rFonts w:hint="default" w:eastAsia="宋体"/>
                <w:b/>
                <w:bCs/>
                <w:color w:val="auto"/>
                <w:kern w:val="21"/>
                <w:highlight w:val="none"/>
                <w:u w:val="single"/>
                <w:lang w:val="en-US" w:eastAsia="zh-CN"/>
              </w:rPr>
            </w:pPr>
            <w:r>
              <w:rPr>
                <w:rFonts w:hint="eastAsia"/>
                <w:b/>
                <w:bCs/>
                <w:color w:val="auto"/>
                <w:kern w:val="21"/>
                <w:highlight w:val="none"/>
                <w:u w:val="single"/>
              </w:rPr>
              <w:t>0.</w:t>
            </w:r>
            <w:r>
              <w:rPr>
                <w:rFonts w:hint="eastAsia"/>
                <w:b/>
                <w:bCs/>
                <w:color w:val="auto"/>
                <w:kern w:val="21"/>
                <w:highlight w:val="none"/>
                <w:u w:val="single"/>
                <w:lang w:val="en-US" w:eastAsia="zh-CN"/>
              </w:rPr>
              <w:t>254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vAlign w:val="center"/>
          </w:tcPr>
          <w:p>
            <w:pPr>
              <w:adjustRightInd w:val="0"/>
              <w:snapToGrid w:val="0"/>
              <w:jc w:val="center"/>
              <w:rPr>
                <w:b/>
                <w:bCs/>
                <w:color w:val="auto"/>
                <w:kern w:val="21"/>
                <w:highlight w:val="none"/>
                <w:u w:val="single"/>
              </w:rPr>
            </w:pPr>
          </w:p>
        </w:tc>
        <w:tc>
          <w:tcPr>
            <w:tcW w:w="0" w:type="auto"/>
            <w:vMerge w:val="continue"/>
            <w:vAlign w:val="center"/>
          </w:tcPr>
          <w:p>
            <w:pPr>
              <w:adjustRightInd w:val="0"/>
              <w:snapToGrid w:val="0"/>
              <w:jc w:val="center"/>
              <w:rPr>
                <w:b/>
                <w:bCs/>
                <w:color w:val="auto"/>
                <w:kern w:val="21"/>
                <w:highlight w:val="none"/>
                <w:u w:val="single"/>
              </w:rPr>
            </w:pPr>
          </w:p>
        </w:tc>
        <w:tc>
          <w:tcPr>
            <w:tcW w:w="0" w:type="auto"/>
            <w:vAlign w:val="center"/>
          </w:tcPr>
          <w:p>
            <w:pPr>
              <w:adjustRightInd w:val="0"/>
              <w:snapToGrid w:val="0"/>
              <w:jc w:val="center"/>
              <w:rPr>
                <w:b/>
                <w:bCs/>
                <w:color w:val="auto"/>
                <w:kern w:val="21"/>
                <w:highlight w:val="none"/>
                <w:u w:val="single"/>
              </w:rPr>
            </w:pPr>
            <w:r>
              <w:rPr>
                <w:rFonts w:hint="eastAsia"/>
                <w:b/>
                <w:bCs/>
                <w:color w:val="auto"/>
                <w:sz w:val="18"/>
                <w:szCs w:val="18"/>
                <w:highlight w:val="none"/>
                <w:u w:val="single"/>
              </w:rPr>
              <w:t>1.02</w:t>
            </w:r>
          </w:p>
        </w:tc>
        <w:tc>
          <w:tcPr>
            <w:tcW w:w="0" w:type="auto"/>
            <w:vAlign w:val="center"/>
          </w:tcPr>
          <w:p>
            <w:pPr>
              <w:adjustRightInd w:val="0"/>
              <w:snapToGrid w:val="0"/>
              <w:jc w:val="center"/>
              <w:rPr>
                <w:b/>
                <w:bCs/>
                <w:color w:val="auto"/>
                <w:kern w:val="21"/>
                <w:highlight w:val="none"/>
                <w:u w:val="single"/>
              </w:rPr>
            </w:pPr>
            <w:r>
              <w:rPr>
                <w:rFonts w:hint="eastAsia"/>
                <w:b/>
                <w:bCs/>
                <w:color w:val="auto"/>
                <w:sz w:val="18"/>
                <w:szCs w:val="18"/>
                <w:highlight w:val="none"/>
                <w:u w:val="single"/>
              </w:rPr>
              <w:t>0.0389</w:t>
            </w:r>
          </w:p>
        </w:tc>
        <w:tc>
          <w:tcPr>
            <w:tcW w:w="0" w:type="auto"/>
            <w:vMerge w:val="continue"/>
            <w:vAlign w:val="center"/>
          </w:tcPr>
          <w:p>
            <w:pPr>
              <w:adjustRightInd w:val="0"/>
              <w:snapToGrid w:val="0"/>
              <w:jc w:val="center"/>
              <w:rPr>
                <w:b/>
                <w:bCs/>
                <w:color w:val="auto"/>
                <w:kern w:val="21"/>
                <w:highlight w:val="none"/>
                <w:u w:val="single"/>
              </w:rPr>
            </w:pPr>
          </w:p>
        </w:tc>
        <w:tc>
          <w:tcPr>
            <w:tcW w:w="0" w:type="auto"/>
            <w:vMerge w:val="continue"/>
            <w:vAlign w:val="center"/>
          </w:tcPr>
          <w:p>
            <w:pPr>
              <w:adjustRightInd w:val="0"/>
              <w:snapToGrid w:val="0"/>
              <w:jc w:val="center"/>
              <w:rPr>
                <w:b/>
                <w:bCs/>
                <w:color w:val="auto"/>
                <w:kern w:val="21"/>
                <w:highlight w:val="none"/>
                <w:u w:val="single"/>
              </w:rPr>
            </w:pPr>
          </w:p>
        </w:tc>
        <w:tc>
          <w:tcPr>
            <w:tcW w:w="0" w:type="auto"/>
            <w:vAlign w:val="center"/>
          </w:tcPr>
          <w:p>
            <w:pPr>
              <w:adjustRightInd w:val="0"/>
              <w:snapToGrid w:val="0"/>
              <w:jc w:val="center"/>
              <w:rPr>
                <w:b/>
                <w:bCs/>
                <w:color w:val="auto"/>
                <w:kern w:val="21"/>
                <w:highlight w:val="none"/>
                <w:u w:val="single"/>
              </w:rPr>
            </w:pPr>
            <w:r>
              <w:rPr>
                <w:rFonts w:hint="eastAsia"/>
                <w:b/>
                <w:bCs/>
                <w:color w:val="auto"/>
                <w:sz w:val="18"/>
                <w:szCs w:val="18"/>
                <w:highlight w:val="none"/>
                <w:u w:val="single"/>
              </w:rPr>
              <w:t>0.05</w:t>
            </w:r>
          </w:p>
        </w:tc>
        <w:tc>
          <w:tcPr>
            <w:tcW w:w="0" w:type="auto"/>
            <w:vAlign w:val="center"/>
          </w:tcPr>
          <w:p>
            <w:pPr>
              <w:adjustRightInd w:val="0"/>
              <w:snapToGrid w:val="0"/>
              <w:jc w:val="center"/>
              <w:rPr>
                <w:b/>
                <w:bCs/>
                <w:color w:val="auto"/>
                <w:kern w:val="21"/>
                <w:highlight w:val="none"/>
                <w:u w:val="single"/>
              </w:rPr>
            </w:pPr>
            <w:r>
              <w:rPr>
                <w:rFonts w:hint="eastAsia"/>
                <w:b/>
                <w:bCs/>
                <w:color w:val="auto"/>
                <w:sz w:val="18"/>
                <w:szCs w:val="18"/>
                <w:highlight w:val="none"/>
                <w:u w:val="single"/>
              </w:rPr>
              <w:t>0.0019</w:t>
            </w:r>
          </w:p>
        </w:tc>
        <w:tc>
          <w:tcPr>
            <w:tcW w:w="0" w:type="auto"/>
            <w:vAlign w:val="center"/>
          </w:tcPr>
          <w:p>
            <w:pPr>
              <w:adjustRightInd w:val="0"/>
              <w:snapToGrid w:val="0"/>
              <w:jc w:val="center"/>
              <w:rPr>
                <w:b/>
                <w:bCs/>
                <w:color w:val="auto"/>
                <w:kern w:val="21"/>
                <w:highlight w:val="none"/>
                <w:u w:val="single"/>
              </w:rPr>
            </w:pPr>
            <w:r>
              <w:rPr>
                <w:rFonts w:hint="eastAsia"/>
                <w:b/>
                <w:bCs/>
                <w:color w:val="auto"/>
                <w:kern w:val="21"/>
                <w:highlight w:val="none"/>
                <w:u w:val="single"/>
              </w:rPr>
              <w:t>0.00017</w:t>
            </w:r>
          </w:p>
        </w:tc>
      </w:tr>
    </w:tbl>
    <w:p>
      <w:pPr>
        <w:keepNext w:val="0"/>
        <w:keepLines w:val="0"/>
        <w:pageBreakBefore w:val="0"/>
        <w:widowControl/>
        <w:kinsoku/>
        <w:wordWrap/>
        <w:overflowPunct/>
        <w:topLinePunct w:val="0"/>
        <w:autoSpaceDE/>
        <w:autoSpaceDN/>
        <w:bidi w:val="0"/>
        <w:adjustRightInd w:val="0"/>
        <w:snapToGrid w:val="0"/>
        <w:spacing w:before="0" w:beforeLines="50" w:line="360" w:lineRule="auto"/>
        <w:ind w:firstLine="482" w:firstLineChars="200"/>
        <w:textAlignment w:val="auto"/>
        <w:rPr>
          <w:b/>
          <w:bCs/>
          <w:color w:val="auto"/>
          <w:kern w:val="21"/>
          <w:sz w:val="24"/>
          <w:u w:val="single"/>
          <w:lang w:val="en-GB"/>
        </w:rPr>
      </w:pPr>
      <w:r>
        <w:rPr>
          <w:b/>
          <w:bCs/>
          <w:color w:val="auto"/>
          <w:kern w:val="21"/>
          <w:sz w:val="24"/>
          <w:szCs w:val="24"/>
          <w:highlight w:val="none"/>
          <w:u w:val="single"/>
        </w:rPr>
        <w:t>经治理后，本项目氯化氢排放浓度满足（GB21900-2008）《电镀污染物排放标准》表5标准中30mg/m</w:t>
      </w:r>
      <w:r>
        <w:rPr>
          <w:b/>
          <w:bCs/>
          <w:color w:val="auto"/>
          <w:kern w:val="21"/>
          <w:sz w:val="24"/>
          <w:szCs w:val="24"/>
          <w:highlight w:val="none"/>
          <w:u w:val="single"/>
          <w:vertAlign w:val="superscript"/>
        </w:rPr>
        <w:t>3</w:t>
      </w:r>
      <w:r>
        <w:rPr>
          <w:b/>
          <w:bCs/>
          <w:color w:val="auto"/>
          <w:kern w:val="21"/>
          <w:sz w:val="24"/>
          <w:szCs w:val="24"/>
          <w:highlight w:val="none"/>
          <w:u w:val="single"/>
        </w:rPr>
        <w:t>的标准限</w:t>
      </w:r>
      <w:r>
        <w:rPr>
          <w:b/>
          <w:bCs/>
          <w:color w:val="auto"/>
          <w:kern w:val="21"/>
          <w:sz w:val="24"/>
          <w:szCs w:val="24"/>
          <w:u w:val="single"/>
        </w:rPr>
        <w:t>值及</w:t>
      </w:r>
      <w:r>
        <w:rPr>
          <w:rFonts w:hint="eastAsia" w:ascii="宋体" w:hAnsi="宋体" w:cs="宋体"/>
          <w:b/>
          <w:bCs/>
          <w:color w:val="auto"/>
          <w:kern w:val="0"/>
          <w:sz w:val="24"/>
          <w:szCs w:val="24"/>
          <w:u w:val="single"/>
          <w:lang w:val="zh-CN" w:bidi="zh-CN"/>
        </w:rPr>
        <w:t>《河南省重污染天气重点行业应急减排措施制定技术指南（</w:t>
      </w:r>
      <w:r>
        <w:rPr>
          <w:rFonts w:ascii="宋体" w:hAnsi="宋体" w:cs="宋体"/>
          <w:b/>
          <w:bCs/>
          <w:color w:val="auto"/>
          <w:kern w:val="0"/>
          <w:sz w:val="24"/>
          <w:szCs w:val="24"/>
          <w:u w:val="single"/>
          <w:lang w:val="zh-CN" w:bidi="zh-CN"/>
        </w:rPr>
        <w:t>2021</w:t>
      </w:r>
      <w:r>
        <w:rPr>
          <w:rFonts w:hint="eastAsia" w:ascii="宋体" w:hAnsi="宋体" w:cs="宋体"/>
          <w:b/>
          <w:bCs/>
          <w:color w:val="auto"/>
          <w:kern w:val="0"/>
          <w:sz w:val="24"/>
          <w:szCs w:val="24"/>
          <w:u w:val="single"/>
          <w:lang w:val="zh-CN" w:bidi="zh-CN"/>
        </w:rPr>
        <w:t>年修订）》中“</w:t>
      </w:r>
      <w:r>
        <w:rPr>
          <w:rFonts w:hint="eastAsia"/>
          <w:b/>
          <w:bCs/>
          <w:color w:val="auto"/>
          <w:sz w:val="24"/>
          <w:szCs w:val="23"/>
          <w:u w:val="single"/>
        </w:rPr>
        <w:t>金属表面处理及热处理加工</w:t>
      </w:r>
      <w:r>
        <w:rPr>
          <w:rFonts w:hint="eastAsia" w:ascii="宋体" w:hAnsi="宋体" w:cs="宋体"/>
          <w:b/>
          <w:bCs/>
          <w:color w:val="auto"/>
          <w:kern w:val="0"/>
          <w:sz w:val="24"/>
          <w:szCs w:val="24"/>
          <w:u w:val="single"/>
          <w:lang w:val="zh-CN" w:bidi="zh-CN"/>
        </w:rPr>
        <w:t>”浓度限值要求</w:t>
      </w:r>
      <w:r>
        <w:rPr>
          <w:b/>
          <w:bCs/>
          <w:color w:val="auto"/>
          <w:kern w:val="21"/>
          <w:sz w:val="24"/>
          <w:szCs w:val="24"/>
          <w:u w:val="single"/>
        </w:rPr>
        <w:t>，</w:t>
      </w:r>
      <w:r>
        <w:rPr>
          <w:rFonts w:hint="eastAsia"/>
          <w:b/>
          <w:bCs/>
          <w:snapToGrid w:val="0"/>
          <w:color w:val="auto"/>
          <w:kern w:val="21"/>
          <w:sz w:val="24"/>
          <w:u w:val="single"/>
        </w:rPr>
        <w:t>治理措施可行</w:t>
      </w:r>
      <w:r>
        <w:rPr>
          <w:b/>
          <w:bCs/>
          <w:color w:val="auto"/>
          <w:kern w:val="21"/>
          <w:sz w:val="24"/>
          <w:szCs w:val="24"/>
          <w:u w:val="single"/>
        </w:rPr>
        <w:t>。</w:t>
      </w:r>
    </w:p>
    <w:p>
      <w:pPr>
        <w:pStyle w:val="390"/>
        <w:tabs>
          <w:tab w:val="clear" w:pos="1800"/>
        </w:tabs>
        <w:adjustRightInd w:val="0"/>
        <w:snapToGrid w:val="0"/>
        <w:spacing w:line="360" w:lineRule="auto"/>
        <w:ind w:left="0" w:firstLine="0"/>
        <w:outlineLvl w:val="2"/>
        <w:rPr>
          <w:rFonts w:eastAsia="黑体"/>
          <w:bCs/>
          <w:color w:val="auto"/>
          <w:kern w:val="21"/>
          <w:sz w:val="28"/>
          <w:szCs w:val="28"/>
        </w:rPr>
      </w:pPr>
      <w:r>
        <w:rPr>
          <w:rFonts w:eastAsia="黑体"/>
          <w:bCs/>
          <w:color w:val="auto"/>
          <w:kern w:val="21"/>
          <w:sz w:val="28"/>
          <w:szCs w:val="28"/>
        </w:rPr>
        <w:t>7.1.</w:t>
      </w:r>
      <w:r>
        <w:rPr>
          <w:rFonts w:hint="eastAsia" w:eastAsia="黑体"/>
          <w:bCs/>
          <w:color w:val="auto"/>
          <w:kern w:val="21"/>
          <w:sz w:val="28"/>
          <w:szCs w:val="28"/>
        </w:rPr>
        <w:t>2燃气锅炉</w:t>
      </w:r>
      <w:r>
        <w:rPr>
          <w:rFonts w:hint="eastAsia" w:eastAsia="黑体"/>
          <w:color w:val="auto"/>
          <w:kern w:val="21"/>
          <w:sz w:val="28"/>
          <w:szCs w:val="28"/>
        </w:rPr>
        <w:t>废气</w:t>
      </w:r>
      <w:r>
        <w:rPr>
          <w:rFonts w:eastAsia="黑体"/>
          <w:bCs/>
          <w:color w:val="auto"/>
          <w:kern w:val="21"/>
          <w:sz w:val="28"/>
          <w:szCs w:val="28"/>
        </w:rPr>
        <w:t>防治设施可行性分析</w:t>
      </w:r>
    </w:p>
    <w:p>
      <w:pPr>
        <w:adjustRightInd w:val="0"/>
        <w:snapToGrid w:val="0"/>
        <w:spacing w:line="360" w:lineRule="auto"/>
        <w:ind w:firstLine="480" w:firstLineChars="200"/>
        <w:rPr>
          <w:color w:val="auto"/>
          <w:kern w:val="21"/>
          <w:sz w:val="24"/>
          <w:szCs w:val="24"/>
        </w:rPr>
      </w:pPr>
      <w:r>
        <w:rPr>
          <w:color w:val="auto"/>
          <w:kern w:val="21"/>
          <w:sz w:val="24"/>
          <w:szCs w:val="24"/>
        </w:rPr>
        <w:t>本项目设置</w:t>
      </w:r>
      <w:r>
        <w:rPr>
          <w:rFonts w:hint="eastAsia"/>
          <w:color w:val="auto"/>
          <w:kern w:val="21"/>
          <w:sz w:val="24"/>
          <w:szCs w:val="24"/>
        </w:rPr>
        <w:t>4t/h、6t/h的燃气锅炉各一台，置于北侧厂房，春夏秋季（</w:t>
      </w:r>
      <w:r>
        <w:rPr>
          <w:rFonts w:hint="eastAsia"/>
          <w:color w:val="auto"/>
          <w:kern w:val="21"/>
          <w:sz w:val="24"/>
          <w:szCs w:val="24"/>
          <w:lang w:val="en-US" w:eastAsia="zh-CN"/>
        </w:rPr>
        <w:t>3</w:t>
      </w:r>
      <w:r>
        <w:rPr>
          <w:rFonts w:hint="eastAsia"/>
          <w:color w:val="auto"/>
          <w:kern w:val="21"/>
          <w:sz w:val="24"/>
          <w:szCs w:val="24"/>
        </w:rPr>
        <w:t>月</w:t>
      </w:r>
      <w:r>
        <w:rPr>
          <w:rFonts w:hint="eastAsia"/>
          <w:color w:val="auto"/>
          <w:kern w:val="21"/>
          <w:sz w:val="24"/>
          <w:szCs w:val="24"/>
          <w:lang w:eastAsia="zh-CN"/>
        </w:rPr>
        <w:t>～</w:t>
      </w:r>
      <w:r>
        <w:rPr>
          <w:rFonts w:hint="eastAsia"/>
          <w:color w:val="auto"/>
          <w:kern w:val="21"/>
          <w:sz w:val="24"/>
          <w:szCs w:val="24"/>
        </w:rPr>
        <w:t>10月）仅使用6t/h锅炉为全厂供应蒸汽，冬季（11月</w:t>
      </w:r>
      <w:r>
        <w:rPr>
          <w:rFonts w:hint="eastAsia"/>
          <w:color w:val="auto"/>
          <w:kern w:val="21"/>
          <w:sz w:val="24"/>
          <w:szCs w:val="24"/>
          <w:lang w:eastAsia="zh-CN"/>
        </w:rPr>
        <w:t>～</w:t>
      </w:r>
      <w:r>
        <w:rPr>
          <w:rFonts w:hint="eastAsia"/>
          <w:color w:val="auto"/>
          <w:kern w:val="21"/>
          <w:sz w:val="24"/>
          <w:szCs w:val="24"/>
          <w:lang w:val="en-US" w:eastAsia="zh-CN"/>
        </w:rPr>
        <w:t>2</w:t>
      </w:r>
      <w:r>
        <w:rPr>
          <w:rFonts w:hint="eastAsia"/>
          <w:color w:val="auto"/>
          <w:kern w:val="21"/>
          <w:sz w:val="24"/>
          <w:szCs w:val="24"/>
        </w:rPr>
        <w:t>月）环境温度较低，需同时使用两台锅炉。两台锅炉废气通过同一排气筒排出</w:t>
      </w:r>
      <w:r>
        <w:rPr>
          <w:color w:val="auto"/>
          <w:kern w:val="21"/>
          <w:sz w:val="24"/>
          <w:szCs w:val="24"/>
        </w:rPr>
        <w:t>，采用天然气作为能源，两台锅炉天然气年用量分别为</w:t>
      </w:r>
      <w:r>
        <w:rPr>
          <w:rFonts w:hint="eastAsia"/>
          <w:color w:val="auto"/>
          <w:kern w:val="21"/>
          <w:sz w:val="24"/>
          <w:szCs w:val="24"/>
        </w:rPr>
        <w:t>78.99万</w:t>
      </w:r>
      <w:r>
        <w:rPr>
          <w:color w:val="auto"/>
          <w:kern w:val="21"/>
          <w:sz w:val="24"/>
          <w:szCs w:val="24"/>
        </w:rPr>
        <w:t>m</w:t>
      </w:r>
      <w:r>
        <w:rPr>
          <w:color w:val="auto"/>
          <w:kern w:val="21"/>
          <w:sz w:val="24"/>
          <w:szCs w:val="24"/>
          <w:vertAlign w:val="superscript"/>
        </w:rPr>
        <w:t>3</w:t>
      </w:r>
      <w:r>
        <w:rPr>
          <w:color w:val="auto"/>
          <w:kern w:val="21"/>
          <w:sz w:val="24"/>
          <w:szCs w:val="24"/>
        </w:rPr>
        <w:t>/a</w:t>
      </w:r>
      <w:r>
        <w:rPr>
          <w:rFonts w:hint="eastAsia"/>
          <w:color w:val="auto"/>
          <w:kern w:val="21"/>
          <w:sz w:val="24"/>
          <w:szCs w:val="24"/>
        </w:rPr>
        <w:t>、355.45</w:t>
      </w:r>
      <w:r>
        <w:rPr>
          <w:color w:val="auto"/>
          <w:kern w:val="21"/>
          <w:sz w:val="24"/>
          <w:szCs w:val="24"/>
        </w:rPr>
        <w:t>万m</w:t>
      </w:r>
      <w:r>
        <w:rPr>
          <w:color w:val="auto"/>
          <w:kern w:val="21"/>
          <w:sz w:val="24"/>
          <w:szCs w:val="24"/>
          <w:vertAlign w:val="superscript"/>
        </w:rPr>
        <w:t>3</w:t>
      </w:r>
      <w:r>
        <w:rPr>
          <w:color w:val="auto"/>
          <w:kern w:val="21"/>
          <w:sz w:val="24"/>
          <w:szCs w:val="24"/>
        </w:rPr>
        <w:t>/a。</w:t>
      </w:r>
    </w:p>
    <w:p>
      <w:pPr>
        <w:adjustRightInd w:val="0"/>
        <w:snapToGrid w:val="0"/>
        <w:spacing w:line="360" w:lineRule="auto"/>
        <w:ind w:firstLine="480" w:firstLineChars="200"/>
        <w:jc w:val="both"/>
        <w:rPr>
          <w:color w:val="auto"/>
          <w:kern w:val="21"/>
          <w:sz w:val="24"/>
          <w:szCs w:val="24"/>
        </w:rPr>
      </w:pPr>
      <w:r>
        <w:rPr>
          <w:rFonts w:hint="eastAsia"/>
          <w:color w:val="auto"/>
          <w:kern w:val="21"/>
          <w:sz w:val="24"/>
          <w:szCs w:val="24"/>
        </w:rPr>
        <w:t>锅炉采用低氮燃烧+烟气再循环技术，</w:t>
      </w:r>
      <w:r>
        <w:rPr>
          <w:color w:val="auto"/>
          <w:kern w:val="21"/>
          <w:sz w:val="24"/>
          <w:szCs w:val="24"/>
        </w:rPr>
        <w:t>有效降低燃烧温度，抑制氮氧化物的合成。</w:t>
      </w:r>
      <w:r>
        <w:rPr>
          <w:bCs/>
          <w:snapToGrid w:val="0"/>
          <w:color w:val="auto"/>
          <w:kern w:val="21"/>
          <w:sz w:val="24"/>
          <w:szCs w:val="24"/>
        </w:rPr>
        <w:t>项目燃气锅炉污染物排放能够满足《锅炉大气污染物排放标准》（DB41/2089-2021）表1中在基准含氧量3.5%的条件下，颗粒物、SO</w:t>
      </w:r>
      <w:r>
        <w:rPr>
          <w:bCs/>
          <w:snapToGrid w:val="0"/>
          <w:color w:val="auto"/>
          <w:kern w:val="21"/>
          <w:sz w:val="24"/>
          <w:szCs w:val="24"/>
          <w:vertAlign w:val="subscript"/>
        </w:rPr>
        <w:t>2</w:t>
      </w:r>
      <w:r>
        <w:rPr>
          <w:bCs/>
          <w:snapToGrid w:val="0"/>
          <w:color w:val="auto"/>
          <w:kern w:val="21"/>
          <w:sz w:val="24"/>
          <w:szCs w:val="24"/>
        </w:rPr>
        <w:t>、NOx排放浓度分别不高于5</w:t>
      </w:r>
      <w:r>
        <w:rPr>
          <w:color w:val="auto"/>
          <w:sz w:val="24"/>
          <w:szCs w:val="24"/>
        </w:rPr>
        <w:t>mg/m</w:t>
      </w:r>
      <w:r>
        <w:rPr>
          <w:color w:val="auto"/>
          <w:sz w:val="24"/>
          <w:szCs w:val="24"/>
          <w:vertAlign w:val="superscript"/>
        </w:rPr>
        <w:t>3</w:t>
      </w:r>
      <w:r>
        <w:rPr>
          <w:color w:val="auto"/>
          <w:sz w:val="24"/>
          <w:szCs w:val="24"/>
        </w:rPr>
        <w:t>、</w:t>
      </w:r>
      <w:r>
        <w:rPr>
          <w:bCs/>
          <w:snapToGrid w:val="0"/>
          <w:color w:val="auto"/>
          <w:kern w:val="21"/>
          <w:sz w:val="24"/>
          <w:szCs w:val="24"/>
        </w:rPr>
        <w:t>10</w:t>
      </w:r>
      <w:r>
        <w:rPr>
          <w:color w:val="auto"/>
          <w:sz w:val="24"/>
          <w:szCs w:val="24"/>
        </w:rPr>
        <w:t>mg/m</w:t>
      </w:r>
      <w:r>
        <w:rPr>
          <w:color w:val="auto"/>
          <w:sz w:val="24"/>
          <w:szCs w:val="24"/>
          <w:vertAlign w:val="superscript"/>
        </w:rPr>
        <w:t>3</w:t>
      </w:r>
      <w:r>
        <w:rPr>
          <w:color w:val="auto"/>
          <w:sz w:val="24"/>
          <w:szCs w:val="24"/>
        </w:rPr>
        <w:t>、</w:t>
      </w:r>
      <w:r>
        <w:rPr>
          <w:bCs/>
          <w:snapToGrid w:val="0"/>
          <w:color w:val="auto"/>
          <w:kern w:val="21"/>
          <w:sz w:val="24"/>
          <w:szCs w:val="24"/>
        </w:rPr>
        <w:t>30</w:t>
      </w:r>
      <w:r>
        <w:rPr>
          <w:color w:val="auto"/>
          <w:sz w:val="24"/>
          <w:szCs w:val="24"/>
        </w:rPr>
        <w:t>mg/m</w:t>
      </w:r>
      <w:r>
        <w:rPr>
          <w:color w:val="auto"/>
          <w:sz w:val="24"/>
          <w:szCs w:val="24"/>
          <w:vertAlign w:val="superscript"/>
        </w:rPr>
        <w:t>3</w:t>
      </w:r>
      <w:r>
        <w:rPr>
          <w:rFonts w:hint="eastAsia"/>
          <w:bCs/>
          <w:snapToGrid w:val="0"/>
          <w:color w:val="auto"/>
          <w:kern w:val="21"/>
          <w:sz w:val="24"/>
          <w:szCs w:val="24"/>
        </w:rPr>
        <w:t>，治理措施可行</w:t>
      </w:r>
      <w:r>
        <w:rPr>
          <w:color w:val="auto"/>
          <w:kern w:val="21"/>
          <w:sz w:val="24"/>
          <w:szCs w:val="24"/>
        </w:rPr>
        <w:t>。</w:t>
      </w:r>
    </w:p>
    <w:p>
      <w:pPr>
        <w:pStyle w:val="390"/>
        <w:tabs>
          <w:tab w:val="clear" w:pos="1800"/>
        </w:tabs>
        <w:adjustRightInd w:val="0"/>
        <w:snapToGrid w:val="0"/>
        <w:spacing w:line="360" w:lineRule="auto"/>
        <w:ind w:left="0" w:firstLine="0"/>
        <w:outlineLvl w:val="2"/>
        <w:rPr>
          <w:rFonts w:eastAsia="黑体"/>
          <w:bCs/>
          <w:color w:val="auto"/>
          <w:kern w:val="21"/>
          <w:sz w:val="28"/>
          <w:szCs w:val="28"/>
        </w:rPr>
      </w:pPr>
      <w:r>
        <w:rPr>
          <w:rFonts w:eastAsia="黑体"/>
          <w:bCs/>
          <w:color w:val="auto"/>
          <w:kern w:val="21"/>
          <w:sz w:val="28"/>
          <w:szCs w:val="28"/>
        </w:rPr>
        <w:t>7.1.</w:t>
      </w:r>
      <w:r>
        <w:rPr>
          <w:rFonts w:hint="eastAsia" w:eastAsia="黑体"/>
          <w:bCs/>
          <w:color w:val="auto"/>
          <w:kern w:val="21"/>
          <w:sz w:val="28"/>
          <w:szCs w:val="28"/>
        </w:rPr>
        <w:t>3污水站恶臭</w:t>
      </w:r>
      <w:r>
        <w:rPr>
          <w:rFonts w:eastAsia="黑体"/>
          <w:bCs/>
          <w:color w:val="auto"/>
          <w:kern w:val="21"/>
          <w:sz w:val="28"/>
          <w:szCs w:val="28"/>
        </w:rPr>
        <w:t>防治设施可行性分析</w:t>
      </w:r>
    </w:p>
    <w:p>
      <w:pPr>
        <w:adjustRightInd w:val="0"/>
        <w:snapToGrid w:val="0"/>
        <w:spacing w:line="360" w:lineRule="auto"/>
        <w:ind w:firstLine="480" w:firstLineChars="200"/>
        <w:rPr>
          <w:b/>
          <w:color w:val="auto"/>
          <w:kern w:val="21"/>
          <w:sz w:val="24"/>
          <w:szCs w:val="24"/>
        </w:rPr>
      </w:pPr>
      <w:r>
        <w:rPr>
          <w:rFonts w:hint="eastAsia"/>
          <w:bCs/>
          <w:snapToGrid w:val="0"/>
          <w:color w:val="auto"/>
          <w:kern w:val="21"/>
          <w:sz w:val="24"/>
          <w:lang w:val="en-US" w:eastAsia="zh-CN"/>
        </w:rPr>
        <w:t>项目</w:t>
      </w:r>
      <w:r>
        <w:rPr>
          <w:bCs/>
          <w:snapToGrid w:val="0"/>
          <w:color w:val="auto"/>
          <w:kern w:val="21"/>
          <w:sz w:val="24"/>
        </w:rPr>
        <w:t>污水处理</w:t>
      </w:r>
      <w:r>
        <w:rPr>
          <w:rFonts w:hint="eastAsia"/>
          <w:bCs/>
          <w:snapToGrid w:val="0"/>
          <w:color w:val="auto"/>
          <w:kern w:val="21"/>
          <w:sz w:val="24"/>
        </w:rPr>
        <w:t>设施生化池等</w:t>
      </w:r>
      <w:r>
        <w:rPr>
          <w:bCs/>
          <w:snapToGrid w:val="0"/>
          <w:color w:val="auto"/>
          <w:kern w:val="21"/>
          <w:sz w:val="24"/>
        </w:rPr>
        <w:t>工艺单元及污泥处理单元运行过程中</w:t>
      </w:r>
      <w:r>
        <w:rPr>
          <w:rFonts w:hint="eastAsia"/>
          <w:bCs/>
          <w:snapToGrid w:val="0"/>
          <w:color w:val="auto"/>
          <w:kern w:val="21"/>
          <w:sz w:val="24"/>
        </w:rPr>
        <w:t>会</w:t>
      </w:r>
      <w:r>
        <w:rPr>
          <w:bCs/>
          <w:snapToGrid w:val="0"/>
          <w:color w:val="auto"/>
          <w:kern w:val="21"/>
          <w:sz w:val="24"/>
        </w:rPr>
        <w:t>产生恶臭气体。恶臭气体主要成分为硫化氢、氨气等。</w:t>
      </w:r>
      <w:r>
        <w:rPr>
          <w:rFonts w:hint="eastAsia"/>
          <w:bCs/>
          <w:snapToGrid w:val="0"/>
          <w:color w:val="auto"/>
          <w:kern w:val="21"/>
          <w:sz w:val="24"/>
        </w:rPr>
        <w:t>废水处理设施</w:t>
      </w:r>
      <w:r>
        <w:rPr>
          <w:bCs/>
          <w:snapToGrid w:val="0"/>
          <w:color w:val="auto"/>
          <w:kern w:val="21"/>
          <w:sz w:val="24"/>
        </w:rPr>
        <w:t>采用除臭措施，在</w:t>
      </w:r>
      <w:r>
        <w:rPr>
          <w:rFonts w:hint="eastAsia"/>
          <w:bCs/>
          <w:snapToGrid w:val="0"/>
          <w:color w:val="auto"/>
          <w:kern w:val="21"/>
          <w:sz w:val="24"/>
        </w:rPr>
        <w:t>调节</w:t>
      </w:r>
      <w:r>
        <w:rPr>
          <w:bCs/>
          <w:snapToGrid w:val="0"/>
          <w:color w:val="auto"/>
          <w:kern w:val="21"/>
          <w:sz w:val="24"/>
        </w:rPr>
        <w:t>池</w:t>
      </w:r>
      <w:r>
        <w:rPr>
          <w:rFonts w:hint="eastAsia"/>
          <w:bCs/>
          <w:snapToGrid w:val="0"/>
          <w:color w:val="auto"/>
          <w:kern w:val="21"/>
          <w:sz w:val="24"/>
        </w:rPr>
        <w:t>、生化池、二沉池、污泥池</w:t>
      </w:r>
      <w:r>
        <w:rPr>
          <w:bCs/>
          <w:snapToGrid w:val="0"/>
          <w:color w:val="auto"/>
          <w:kern w:val="21"/>
          <w:sz w:val="24"/>
        </w:rPr>
        <w:t>加盖，臭气经收集后输送至生物除臭装置处理后通过</w:t>
      </w:r>
      <w:r>
        <w:rPr>
          <w:rFonts w:hint="eastAsia"/>
          <w:bCs/>
          <w:snapToGrid w:val="0"/>
          <w:color w:val="auto"/>
          <w:kern w:val="21"/>
          <w:sz w:val="24"/>
          <w:lang w:eastAsia="zh-CN"/>
        </w:rPr>
        <w:t>15m高排气筒</w:t>
      </w:r>
      <w:r>
        <w:rPr>
          <w:rFonts w:hint="eastAsia"/>
          <w:bCs/>
          <w:snapToGrid w:val="0"/>
          <w:color w:val="auto"/>
          <w:kern w:val="21"/>
          <w:sz w:val="24"/>
        </w:rPr>
        <w:t>（DA003）</w:t>
      </w:r>
      <w:r>
        <w:rPr>
          <w:bCs/>
          <w:snapToGrid w:val="0"/>
          <w:color w:val="auto"/>
          <w:kern w:val="21"/>
          <w:sz w:val="24"/>
        </w:rPr>
        <w:t>外排。</w:t>
      </w:r>
    </w:p>
    <w:p>
      <w:pPr>
        <w:pStyle w:val="288"/>
        <w:adjustRightInd w:val="0"/>
        <w:snapToGrid w:val="0"/>
        <w:spacing w:line="360" w:lineRule="auto"/>
        <w:ind w:firstLine="480" w:firstLineChars="200"/>
        <w:rPr>
          <w:rFonts w:ascii="Times New Roman" w:hAnsi="Times New Roman"/>
          <w:bCs/>
          <w:snapToGrid w:val="0"/>
          <w:color w:val="auto"/>
          <w:kern w:val="21"/>
          <w:sz w:val="24"/>
        </w:rPr>
      </w:pPr>
      <w:r>
        <w:rPr>
          <w:rFonts w:ascii="Times New Roman" w:hAnsi="Times New Roman"/>
          <w:bCs/>
          <w:snapToGrid w:val="0"/>
          <w:color w:val="auto"/>
          <w:kern w:val="21"/>
          <w:sz w:val="24"/>
        </w:rPr>
        <w:t>生物除臭工艺概述：生物除臭的主要原理是将臭气与生物载体充分接触，利用载体中的微生物与臭气发生生物化学作用，去除臭气中的致臭物质。臭气通过臭气收集系统经风机导入复合生物除臭装置，首先进入一级生物处理段，经过湿度调节、除尘及增湿预处理后，再进入二级生物处理段，臭气通过湿润、多孔和充满活性微生物的滤层，利用微生物细胞对恶臭物质的吸附、吸收和降解功能，微生物的细胞个体小、表面积大、吸附性强、代谢类型多样的特点，将恶臭物质吸附后分解成CO</w:t>
      </w:r>
      <w:r>
        <w:rPr>
          <w:rFonts w:ascii="Times New Roman" w:hAnsi="Times New Roman"/>
          <w:bCs/>
          <w:snapToGrid w:val="0"/>
          <w:color w:val="auto"/>
          <w:kern w:val="21"/>
          <w:sz w:val="24"/>
          <w:vertAlign w:val="subscript"/>
        </w:rPr>
        <w:t>2</w:t>
      </w:r>
      <w:r>
        <w:rPr>
          <w:rFonts w:ascii="Times New Roman" w:hAnsi="Times New Roman"/>
          <w:bCs/>
          <w:snapToGrid w:val="0"/>
          <w:color w:val="auto"/>
          <w:kern w:val="21"/>
          <w:sz w:val="24"/>
        </w:rPr>
        <w:t>、H</w:t>
      </w:r>
      <w:r>
        <w:rPr>
          <w:rFonts w:ascii="Times New Roman" w:hAnsi="Times New Roman"/>
          <w:bCs/>
          <w:snapToGrid w:val="0"/>
          <w:color w:val="auto"/>
          <w:kern w:val="21"/>
          <w:sz w:val="24"/>
          <w:vertAlign w:val="subscript"/>
        </w:rPr>
        <w:t>2</w:t>
      </w:r>
      <w:r>
        <w:rPr>
          <w:rFonts w:ascii="Times New Roman" w:hAnsi="Times New Roman"/>
          <w:bCs/>
          <w:snapToGrid w:val="0"/>
          <w:color w:val="auto"/>
          <w:kern w:val="21"/>
          <w:sz w:val="24"/>
        </w:rPr>
        <w:t>O、H</w:t>
      </w:r>
      <w:r>
        <w:rPr>
          <w:rFonts w:ascii="Times New Roman" w:hAnsi="Times New Roman"/>
          <w:bCs/>
          <w:snapToGrid w:val="0"/>
          <w:color w:val="auto"/>
          <w:kern w:val="21"/>
          <w:sz w:val="24"/>
          <w:vertAlign w:val="subscript"/>
        </w:rPr>
        <w:t>2</w:t>
      </w:r>
      <w:r>
        <w:rPr>
          <w:rFonts w:ascii="Times New Roman" w:hAnsi="Times New Roman"/>
          <w:bCs/>
          <w:snapToGrid w:val="0"/>
          <w:color w:val="auto"/>
          <w:kern w:val="21"/>
          <w:sz w:val="24"/>
        </w:rPr>
        <w:t>SO</w:t>
      </w:r>
      <w:r>
        <w:rPr>
          <w:rFonts w:ascii="Times New Roman" w:hAnsi="Times New Roman"/>
          <w:bCs/>
          <w:snapToGrid w:val="0"/>
          <w:color w:val="auto"/>
          <w:kern w:val="21"/>
          <w:sz w:val="24"/>
          <w:vertAlign w:val="subscript"/>
        </w:rPr>
        <w:t>4</w:t>
      </w:r>
      <w:r>
        <w:rPr>
          <w:rFonts w:ascii="Times New Roman" w:hAnsi="Times New Roman"/>
          <w:bCs/>
          <w:snapToGrid w:val="0"/>
          <w:color w:val="auto"/>
          <w:kern w:val="21"/>
          <w:sz w:val="24"/>
        </w:rPr>
        <w:t>、HNO</w:t>
      </w:r>
      <w:r>
        <w:rPr>
          <w:rFonts w:ascii="Times New Roman" w:hAnsi="Times New Roman"/>
          <w:bCs/>
          <w:snapToGrid w:val="0"/>
          <w:color w:val="auto"/>
          <w:kern w:val="21"/>
          <w:sz w:val="24"/>
          <w:vertAlign w:val="subscript"/>
        </w:rPr>
        <w:t>3</w:t>
      </w:r>
      <w:r>
        <w:rPr>
          <w:rFonts w:ascii="Times New Roman" w:hAnsi="Times New Roman"/>
          <w:bCs/>
          <w:snapToGrid w:val="0"/>
          <w:color w:val="auto"/>
          <w:kern w:val="21"/>
          <w:sz w:val="24"/>
        </w:rPr>
        <w:t>等简单无机物，硫酸、硝酸等进一步被硫杆菌、硝酸菌分解、氧化成无害物质。除臭工艺流程示意图见</w:t>
      </w:r>
      <w:r>
        <w:rPr>
          <w:rFonts w:hint="eastAsia" w:ascii="Times New Roman" w:hAnsi="Times New Roman"/>
          <w:bCs/>
          <w:snapToGrid w:val="0"/>
          <w:color w:val="auto"/>
          <w:kern w:val="21"/>
          <w:sz w:val="24"/>
        </w:rPr>
        <w:t>下图</w:t>
      </w:r>
      <w:r>
        <w:rPr>
          <w:rFonts w:ascii="Times New Roman" w:hAnsi="Times New Roman"/>
          <w:bCs/>
          <w:snapToGrid w:val="0"/>
          <w:color w:val="auto"/>
          <w:kern w:val="21"/>
          <w:sz w:val="24"/>
        </w:rPr>
        <w:t>。</w:t>
      </w:r>
    </w:p>
    <w:p>
      <w:pPr>
        <w:adjustRightInd w:val="0"/>
        <w:snapToGrid w:val="0"/>
        <w:jc w:val="center"/>
        <w:rPr>
          <w:b/>
          <w:bCs/>
          <w:color w:val="auto"/>
        </w:rPr>
      </w:pPr>
      <w:r>
        <w:rPr>
          <w:rFonts w:eastAsia="黑体"/>
          <w:color w:val="auto"/>
          <w:kern w:val="21"/>
          <w:sz w:val="24"/>
          <w:szCs w:val="24"/>
        </w:rPr>
        <w:drawing>
          <wp:anchor distT="0" distB="0" distL="114300" distR="114300" simplePos="0" relativeHeight="251764736" behindDoc="1" locked="0" layoutInCell="1" allowOverlap="1">
            <wp:simplePos x="0" y="0"/>
            <wp:positionH relativeFrom="column">
              <wp:posOffset>48260</wp:posOffset>
            </wp:positionH>
            <wp:positionV relativeFrom="paragraph">
              <wp:posOffset>97155</wp:posOffset>
            </wp:positionV>
            <wp:extent cx="5133975" cy="2124075"/>
            <wp:effectExtent l="0" t="0" r="9525" b="9525"/>
            <wp:wrapTight wrapText="bothSides">
              <wp:wrapPolygon>
                <wp:start x="0" y="0"/>
                <wp:lineTo x="0" y="21503"/>
                <wp:lineTo x="21560" y="21503"/>
                <wp:lineTo x="21560" y="0"/>
                <wp:lineTo x="0" y="0"/>
              </wp:wrapPolygon>
            </wp:wrapTight>
            <wp:docPr id="2223"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 name="图片 158"/>
                    <pic:cNvPicPr>
                      <a:picLocks noChangeAspect="1" noChangeArrowheads="1"/>
                    </pic:cNvPicPr>
                  </pic:nvPicPr>
                  <pic:blipFill>
                    <a:blip r:embed="rId149"/>
                    <a:srcRect/>
                    <a:stretch>
                      <a:fillRect/>
                    </a:stretch>
                  </pic:blipFill>
                  <pic:spPr>
                    <a:xfrm>
                      <a:off x="0" y="0"/>
                      <a:ext cx="5133975" cy="2124075"/>
                    </a:xfrm>
                    <a:prstGeom prst="rect">
                      <a:avLst/>
                    </a:prstGeom>
                    <a:noFill/>
                    <a:ln>
                      <a:noFill/>
                    </a:ln>
                  </pic:spPr>
                </pic:pic>
              </a:graphicData>
            </a:graphic>
          </wp:anchor>
        </w:drawing>
      </w:r>
      <w:r>
        <w:rPr>
          <w:rFonts w:hint="eastAsia" w:eastAsia="黑体"/>
          <w:color w:val="auto"/>
          <w:kern w:val="21"/>
          <w:sz w:val="24"/>
          <w:szCs w:val="24"/>
        </w:rPr>
        <w:t>图7.1</w:t>
      </w:r>
      <w:r>
        <w:rPr>
          <w:rFonts w:eastAsia="黑体"/>
          <w:color w:val="auto"/>
          <w:kern w:val="21"/>
          <w:sz w:val="24"/>
          <w:szCs w:val="24"/>
        </w:rPr>
        <w:t>-</w:t>
      </w:r>
      <w:r>
        <w:rPr>
          <w:rFonts w:hint="eastAsia" w:eastAsia="黑体"/>
          <w:color w:val="auto"/>
          <w:kern w:val="21"/>
          <w:sz w:val="24"/>
          <w:szCs w:val="24"/>
        </w:rPr>
        <w:t>4  生物除臭工艺流程图</w:t>
      </w:r>
    </w:p>
    <w:p>
      <w:pPr>
        <w:adjustRightInd w:val="0"/>
        <w:snapToGrid w:val="0"/>
        <w:spacing w:before="120" w:beforeLines="50" w:line="360" w:lineRule="auto"/>
        <w:ind w:firstLine="480" w:firstLineChars="200"/>
        <w:rPr>
          <w:bCs/>
          <w:snapToGrid w:val="0"/>
          <w:color w:val="auto"/>
          <w:kern w:val="21"/>
          <w:sz w:val="24"/>
        </w:rPr>
      </w:pPr>
      <w:r>
        <w:rPr>
          <w:rFonts w:hint="eastAsia"/>
          <w:bCs/>
          <w:snapToGrid w:val="0"/>
          <w:color w:val="auto"/>
          <w:kern w:val="21"/>
          <w:sz w:val="24"/>
        </w:rPr>
        <w:t>本项目生物除臭装置除臭效率约为</w:t>
      </w:r>
      <w:r>
        <w:rPr>
          <w:rFonts w:hint="eastAsia"/>
          <w:bCs/>
          <w:snapToGrid w:val="0"/>
          <w:color w:val="auto"/>
          <w:kern w:val="21"/>
          <w:sz w:val="24"/>
          <w:lang w:val="en-US" w:eastAsia="zh-CN"/>
        </w:rPr>
        <w:t>15%-80</w:t>
      </w:r>
      <w:r>
        <w:rPr>
          <w:rFonts w:hint="eastAsia"/>
          <w:bCs/>
          <w:snapToGrid w:val="0"/>
          <w:color w:val="auto"/>
          <w:kern w:val="21"/>
          <w:sz w:val="24"/>
        </w:rPr>
        <w:t>%</w:t>
      </w:r>
      <w:r>
        <w:rPr>
          <w:rFonts w:hint="eastAsia"/>
          <w:bCs/>
          <w:snapToGrid w:val="0"/>
          <w:color w:val="auto"/>
          <w:kern w:val="21"/>
          <w:sz w:val="24"/>
          <w:lang w:eastAsia="zh-CN"/>
        </w:rPr>
        <w:t>，其中对</w:t>
      </w:r>
      <w:r>
        <w:rPr>
          <w:rFonts w:hint="eastAsia"/>
          <w:bCs/>
          <w:snapToGrid w:val="0"/>
          <w:color w:val="auto"/>
          <w:kern w:val="21"/>
          <w:sz w:val="24"/>
        </w:rPr>
        <w:t>NH</w:t>
      </w:r>
      <w:r>
        <w:rPr>
          <w:rFonts w:hint="eastAsia"/>
          <w:bCs/>
          <w:snapToGrid w:val="0"/>
          <w:color w:val="auto"/>
          <w:kern w:val="21"/>
          <w:sz w:val="24"/>
          <w:vertAlign w:val="subscript"/>
        </w:rPr>
        <w:t>3</w:t>
      </w:r>
      <w:r>
        <w:rPr>
          <w:rFonts w:hint="eastAsia"/>
          <w:bCs/>
          <w:snapToGrid w:val="0"/>
          <w:color w:val="auto"/>
          <w:kern w:val="21"/>
          <w:sz w:val="24"/>
          <w:vertAlign w:val="baseline"/>
          <w:lang w:eastAsia="zh-CN"/>
        </w:rPr>
        <w:t>的去除效率取</w:t>
      </w:r>
      <w:r>
        <w:rPr>
          <w:rFonts w:hint="eastAsia"/>
          <w:bCs/>
          <w:snapToGrid w:val="0"/>
          <w:color w:val="auto"/>
          <w:kern w:val="21"/>
          <w:sz w:val="24"/>
          <w:vertAlign w:val="baseline"/>
          <w:lang w:val="en-US" w:eastAsia="zh-CN"/>
        </w:rPr>
        <w:t>80%，对</w:t>
      </w:r>
      <w:r>
        <w:rPr>
          <w:rFonts w:hint="eastAsia"/>
          <w:bCs/>
          <w:snapToGrid w:val="0"/>
          <w:color w:val="auto"/>
          <w:kern w:val="21"/>
          <w:sz w:val="24"/>
        </w:rPr>
        <w:t>H</w:t>
      </w:r>
      <w:r>
        <w:rPr>
          <w:rFonts w:hint="eastAsia"/>
          <w:bCs/>
          <w:snapToGrid w:val="0"/>
          <w:color w:val="auto"/>
          <w:kern w:val="21"/>
          <w:sz w:val="24"/>
          <w:vertAlign w:val="subscript"/>
        </w:rPr>
        <w:t>2</w:t>
      </w:r>
      <w:r>
        <w:rPr>
          <w:rFonts w:hint="eastAsia"/>
          <w:bCs/>
          <w:snapToGrid w:val="0"/>
          <w:color w:val="auto"/>
          <w:kern w:val="21"/>
          <w:sz w:val="24"/>
        </w:rPr>
        <w:t>S</w:t>
      </w:r>
      <w:r>
        <w:rPr>
          <w:rFonts w:hint="eastAsia"/>
          <w:bCs/>
          <w:snapToGrid w:val="0"/>
          <w:color w:val="auto"/>
          <w:kern w:val="21"/>
          <w:sz w:val="24"/>
          <w:lang w:eastAsia="zh-CN"/>
        </w:rPr>
        <w:t>的去除效率取</w:t>
      </w:r>
      <w:r>
        <w:rPr>
          <w:rFonts w:hint="eastAsia"/>
          <w:bCs/>
          <w:snapToGrid w:val="0"/>
          <w:color w:val="auto"/>
          <w:kern w:val="21"/>
          <w:sz w:val="24"/>
          <w:lang w:val="en-US" w:eastAsia="zh-CN"/>
        </w:rPr>
        <w:t>15%，</w:t>
      </w:r>
      <w:r>
        <w:rPr>
          <w:rFonts w:hint="eastAsia"/>
          <w:bCs/>
          <w:snapToGrid w:val="0"/>
          <w:color w:val="auto"/>
          <w:kern w:val="21"/>
          <w:sz w:val="24"/>
        </w:rPr>
        <w:t>处理风量</w:t>
      </w:r>
      <w:r>
        <w:rPr>
          <w:rFonts w:hint="eastAsia"/>
          <w:bCs/>
          <w:snapToGrid w:val="0"/>
          <w:color w:val="auto"/>
          <w:kern w:val="21"/>
          <w:sz w:val="24"/>
          <w:lang w:val="en-US" w:eastAsia="zh-CN"/>
        </w:rPr>
        <w:t>50</w:t>
      </w:r>
      <w:r>
        <w:rPr>
          <w:rFonts w:hint="eastAsia"/>
          <w:bCs/>
          <w:snapToGrid w:val="0"/>
          <w:color w:val="auto"/>
          <w:kern w:val="21"/>
          <w:sz w:val="24"/>
        </w:rPr>
        <w:t>00m</w:t>
      </w:r>
      <w:r>
        <w:rPr>
          <w:rFonts w:hint="eastAsia"/>
          <w:bCs/>
          <w:snapToGrid w:val="0"/>
          <w:color w:val="auto"/>
          <w:kern w:val="21"/>
          <w:sz w:val="24"/>
          <w:vertAlign w:val="superscript"/>
        </w:rPr>
        <w:t>3</w:t>
      </w:r>
      <w:r>
        <w:rPr>
          <w:rFonts w:hint="eastAsia"/>
          <w:bCs/>
          <w:snapToGrid w:val="0"/>
          <w:color w:val="auto"/>
          <w:kern w:val="21"/>
          <w:sz w:val="24"/>
        </w:rPr>
        <w:t>/h，则本项目污水</w:t>
      </w:r>
      <w:r>
        <w:rPr>
          <w:rFonts w:hint="eastAsia"/>
          <w:bCs/>
          <w:snapToGrid w:val="0"/>
          <w:color w:val="auto"/>
          <w:kern w:val="21"/>
          <w:sz w:val="24"/>
          <w:lang w:eastAsia="zh-CN"/>
        </w:rPr>
        <w:t>处理站</w:t>
      </w:r>
      <w:r>
        <w:rPr>
          <w:rFonts w:hint="eastAsia"/>
          <w:bCs/>
          <w:snapToGrid w:val="0"/>
          <w:color w:val="auto"/>
          <w:kern w:val="21"/>
          <w:sz w:val="24"/>
        </w:rPr>
        <w:t>恶臭采用生物除臭装置处理后</w:t>
      </w:r>
      <w:r>
        <w:rPr>
          <w:rFonts w:hint="eastAsia"/>
          <w:bCs/>
          <w:snapToGrid w:val="0"/>
          <w:color w:val="auto"/>
          <w:kern w:val="21"/>
          <w:sz w:val="24"/>
          <w:lang w:eastAsia="zh-CN"/>
        </w:rPr>
        <w:t>，</w:t>
      </w:r>
      <w:r>
        <w:rPr>
          <w:rFonts w:hint="eastAsia"/>
          <w:bCs/>
          <w:snapToGrid w:val="0"/>
          <w:color w:val="auto"/>
          <w:kern w:val="21"/>
          <w:sz w:val="24"/>
        </w:rPr>
        <w:t>NH</w:t>
      </w:r>
      <w:r>
        <w:rPr>
          <w:rFonts w:hint="eastAsia"/>
          <w:bCs/>
          <w:snapToGrid w:val="0"/>
          <w:color w:val="auto"/>
          <w:kern w:val="21"/>
          <w:sz w:val="24"/>
          <w:vertAlign w:val="subscript"/>
        </w:rPr>
        <w:t>3</w:t>
      </w:r>
      <w:r>
        <w:rPr>
          <w:rFonts w:hint="eastAsia"/>
          <w:bCs/>
          <w:snapToGrid w:val="0"/>
          <w:color w:val="auto"/>
          <w:kern w:val="21"/>
          <w:sz w:val="24"/>
          <w:vertAlign w:val="baseline"/>
          <w:lang w:eastAsia="zh-CN"/>
        </w:rPr>
        <w:t>的排放量为</w:t>
      </w:r>
      <w:r>
        <w:rPr>
          <w:rFonts w:hint="eastAsia"/>
          <w:bCs/>
          <w:snapToGrid w:val="0"/>
          <w:color w:val="auto"/>
          <w:kern w:val="21"/>
          <w:sz w:val="24"/>
        </w:rPr>
        <w:t>0.0</w:t>
      </w:r>
      <w:r>
        <w:rPr>
          <w:rFonts w:hint="eastAsia"/>
          <w:bCs/>
          <w:snapToGrid w:val="0"/>
          <w:color w:val="auto"/>
          <w:kern w:val="21"/>
          <w:sz w:val="24"/>
          <w:lang w:val="en-US" w:eastAsia="zh-CN"/>
        </w:rPr>
        <w:t>14</w:t>
      </w:r>
      <w:r>
        <w:rPr>
          <w:rFonts w:hint="eastAsia"/>
          <w:bCs/>
          <w:snapToGrid w:val="0"/>
          <w:color w:val="auto"/>
          <w:kern w:val="21"/>
          <w:sz w:val="24"/>
        </w:rPr>
        <w:t>kg/h、排放浓</w:t>
      </w:r>
      <w:r>
        <w:rPr>
          <w:rFonts w:hint="eastAsia"/>
          <w:bCs/>
          <w:snapToGrid w:val="0"/>
          <w:color w:val="auto"/>
          <w:kern w:val="21"/>
          <w:sz w:val="24"/>
          <w:lang w:eastAsia="zh-CN"/>
        </w:rPr>
        <w:t>为</w:t>
      </w:r>
      <w:r>
        <w:rPr>
          <w:rFonts w:hint="eastAsia"/>
          <w:bCs/>
          <w:snapToGrid w:val="0"/>
          <w:color w:val="auto"/>
          <w:kern w:val="21"/>
          <w:sz w:val="24"/>
          <w:lang w:val="en-US" w:eastAsia="zh-CN"/>
        </w:rPr>
        <w:t>14.28</w:t>
      </w:r>
      <w:r>
        <w:rPr>
          <w:rFonts w:hint="eastAsia"/>
          <w:bCs/>
          <w:snapToGrid w:val="0"/>
          <w:color w:val="auto"/>
          <w:kern w:val="21"/>
          <w:sz w:val="24"/>
        </w:rPr>
        <w:t>mg/m</w:t>
      </w:r>
      <w:r>
        <w:rPr>
          <w:rFonts w:hint="eastAsia"/>
          <w:bCs/>
          <w:snapToGrid w:val="0"/>
          <w:color w:val="auto"/>
          <w:kern w:val="21"/>
          <w:sz w:val="24"/>
          <w:vertAlign w:val="superscript"/>
        </w:rPr>
        <w:t>3</w:t>
      </w:r>
      <w:r>
        <w:rPr>
          <w:rFonts w:hint="eastAsia"/>
          <w:bCs/>
          <w:snapToGrid w:val="0"/>
          <w:color w:val="auto"/>
          <w:kern w:val="21"/>
          <w:sz w:val="24"/>
        </w:rPr>
        <w:t xml:space="preserve"> ；H</w:t>
      </w:r>
      <w:r>
        <w:rPr>
          <w:rFonts w:hint="eastAsia"/>
          <w:bCs/>
          <w:snapToGrid w:val="0"/>
          <w:color w:val="auto"/>
          <w:kern w:val="21"/>
          <w:sz w:val="24"/>
          <w:vertAlign w:val="subscript"/>
        </w:rPr>
        <w:t>2</w:t>
      </w:r>
      <w:r>
        <w:rPr>
          <w:rFonts w:hint="eastAsia"/>
          <w:bCs/>
          <w:snapToGrid w:val="0"/>
          <w:color w:val="auto"/>
          <w:kern w:val="21"/>
          <w:sz w:val="24"/>
        </w:rPr>
        <w:t>S</w:t>
      </w:r>
      <w:r>
        <w:rPr>
          <w:rFonts w:hint="eastAsia"/>
          <w:bCs/>
          <w:snapToGrid w:val="0"/>
          <w:color w:val="auto"/>
          <w:kern w:val="21"/>
          <w:sz w:val="24"/>
          <w:lang w:eastAsia="zh-CN"/>
        </w:rPr>
        <w:t>的排放量为</w:t>
      </w:r>
      <w:r>
        <w:rPr>
          <w:rFonts w:hint="eastAsia"/>
          <w:bCs/>
          <w:snapToGrid w:val="0"/>
          <w:color w:val="auto"/>
          <w:kern w:val="21"/>
          <w:sz w:val="24"/>
        </w:rPr>
        <w:t xml:space="preserve"> </w:t>
      </w:r>
      <w:r>
        <w:rPr>
          <w:rFonts w:hint="eastAsia"/>
          <w:bCs/>
          <w:snapToGrid w:val="0"/>
          <w:color w:val="auto"/>
          <w:kern w:val="21"/>
          <w:sz w:val="24"/>
          <w:lang w:val="en-US" w:eastAsia="zh-CN"/>
        </w:rPr>
        <w:t>5.117</w:t>
      </w:r>
      <w:r>
        <w:rPr>
          <w:rFonts w:hint="eastAsia"/>
          <w:bCs/>
          <w:snapToGrid w:val="0"/>
          <w:color w:val="auto"/>
          <w:kern w:val="21"/>
          <w:sz w:val="24"/>
        </w:rPr>
        <w:t>×10</w:t>
      </w:r>
      <w:r>
        <w:rPr>
          <w:rFonts w:hint="eastAsia"/>
          <w:bCs/>
          <w:snapToGrid w:val="0"/>
          <w:color w:val="auto"/>
          <w:kern w:val="21"/>
          <w:sz w:val="24"/>
          <w:vertAlign w:val="superscript"/>
        </w:rPr>
        <w:t>-</w:t>
      </w:r>
      <w:r>
        <w:rPr>
          <w:rFonts w:hint="eastAsia"/>
          <w:bCs/>
          <w:snapToGrid w:val="0"/>
          <w:color w:val="auto"/>
          <w:kern w:val="21"/>
          <w:sz w:val="24"/>
          <w:vertAlign w:val="superscript"/>
          <w:lang w:val="en-US" w:eastAsia="zh-CN"/>
        </w:rPr>
        <w:t>4</w:t>
      </w:r>
      <w:r>
        <w:rPr>
          <w:rFonts w:hint="eastAsia"/>
          <w:bCs/>
          <w:snapToGrid w:val="0"/>
          <w:color w:val="auto"/>
          <w:kern w:val="21"/>
          <w:sz w:val="24"/>
        </w:rPr>
        <w:t>kg/h、排放浓度</w:t>
      </w:r>
      <w:r>
        <w:rPr>
          <w:rFonts w:hint="eastAsia"/>
          <w:bCs/>
          <w:snapToGrid w:val="0"/>
          <w:color w:val="auto"/>
          <w:kern w:val="21"/>
          <w:sz w:val="24"/>
          <w:lang w:eastAsia="zh-CN"/>
        </w:rPr>
        <w:t>为</w:t>
      </w:r>
      <w:r>
        <w:rPr>
          <w:rFonts w:hint="eastAsia"/>
          <w:bCs/>
          <w:snapToGrid w:val="0"/>
          <w:color w:val="auto"/>
          <w:kern w:val="21"/>
          <w:sz w:val="24"/>
          <w:lang w:val="en-US" w:eastAsia="zh-CN"/>
        </w:rPr>
        <w:t>0.1023</w:t>
      </w:r>
      <w:r>
        <w:rPr>
          <w:rFonts w:hint="eastAsia"/>
          <w:bCs/>
          <w:snapToGrid w:val="0"/>
          <w:color w:val="auto"/>
          <w:kern w:val="21"/>
          <w:sz w:val="24"/>
        </w:rPr>
        <w:t>mg/m</w:t>
      </w:r>
      <w:r>
        <w:rPr>
          <w:rFonts w:hint="eastAsia"/>
          <w:bCs/>
          <w:snapToGrid w:val="0"/>
          <w:color w:val="auto"/>
          <w:kern w:val="21"/>
          <w:sz w:val="24"/>
          <w:vertAlign w:val="superscript"/>
        </w:rPr>
        <w:t>3</w:t>
      </w:r>
      <w:r>
        <w:rPr>
          <w:rFonts w:hint="eastAsia"/>
          <w:bCs/>
          <w:snapToGrid w:val="0"/>
          <w:color w:val="auto"/>
          <w:kern w:val="21"/>
          <w:sz w:val="24"/>
        </w:rPr>
        <w:t>。恶臭经生物除臭装置处理后</w:t>
      </w:r>
      <w:r>
        <w:rPr>
          <w:rFonts w:hint="eastAsia"/>
          <w:bCs/>
          <w:snapToGrid w:val="0"/>
          <w:color w:val="auto"/>
          <w:kern w:val="21"/>
          <w:sz w:val="24"/>
          <w:lang w:eastAsia="zh-CN"/>
        </w:rPr>
        <w:t>通过</w:t>
      </w:r>
      <w:r>
        <w:rPr>
          <w:rFonts w:hint="eastAsia"/>
          <w:bCs/>
          <w:snapToGrid w:val="0"/>
          <w:color w:val="auto"/>
          <w:kern w:val="21"/>
          <w:sz w:val="24"/>
        </w:rPr>
        <w:t>15m</w:t>
      </w:r>
      <w:r>
        <w:rPr>
          <w:rFonts w:hint="eastAsia"/>
          <w:bCs/>
          <w:snapToGrid w:val="0"/>
          <w:color w:val="auto"/>
          <w:kern w:val="21"/>
          <w:sz w:val="24"/>
          <w:lang w:eastAsia="zh-CN"/>
        </w:rPr>
        <w:t>高</w:t>
      </w:r>
      <w:r>
        <w:rPr>
          <w:rFonts w:hint="eastAsia"/>
          <w:bCs/>
          <w:snapToGrid w:val="0"/>
          <w:color w:val="auto"/>
          <w:kern w:val="21"/>
          <w:sz w:val="24"/>
        </w:rPr>
        <w:t>排气筒</w:t>
      </w:r>
      <w:r>
        <w:rPr>
          <w:rFonts w:hint="eastAsia"/>
          <w:bCs/>
          <w:snapToGrid w:val="0"/>
          <w:color w:val="auto"/>
          <w:kern w:val="21"/>
          <w:sz w:val="24"/>
          <w:lang w:eastAsia="zh-CN"/>
        </w:rPr>
        <w:t>排放，</w:t>
      </w:r>
      <w:r>
        <w:rPr>
          <w:rFonts w:hint="eastAsia"/>
          <w:bCs/>
          <w:snapToGrid w:val="0"/>
          <w:color w:val="auto"/>
          <w:kern w:val="21"/>
          <w:sz w:val="24"/>
        </w:rPr>
        <w:t>NH</w:t>
      </w:r>
      <w:r>
        <w:rPr>
          <w:rFonts w:hint="eastAsia"/>
          <w:bCs/>
          <w:snapToGrid w:val="0"/>
          <w:color w:val="auto"/>
          <w:kern w:val="21"/>
          <w:sz w:val="24"/>
          <w:vertAlign w:val="subscript"/>
        </w:rPr>
        <w:t>3</w:t>
      </w:r>
      <w:r>
        <w:rPr>
          <w:rFonts w:hint="eastAsia"/>
          <w:bCs/>
          <w:snapToGrid w:val="0"/>
          <w:color w:val="auto"/>
          <w:kern w:val="21"/>
          <w:sz w:val="24"/>
        </w:rPr>
        <w:t>、H</w:t>
      </w:r>
      <w:r>
        <w:rPr>
          <w:rFonts w:hint="eastAsia"/>
          <w:bCs/>
          <w:snapToGrid w:val="0"/>
          <w:color w:val="auto"/>
          <w:kern w:val="21"/>
          <w:sz w:val="24"/>
          <w:vertAlign w:val="subscript"/>
        </w:rPr>
        <w:t>2</w:t>
      </w:r>
      <w:r>
        <w:rPr>
          <w:rFonts w:hint="eastAsia"/>
          <w:bCs/>
          <w:snapToGrid w:val="0"/>
          <w:color w:val="auto"/>
          <w:kern w:val="21"/>
          <w:sz w:val="24"/>
        </w:rPr>
        <w:t>S</w:t>
      </w:r>
      <w:r>
        <w:rPr>
          <w:rFonts w:hint="eastAsia"/>
          <w:bCs/>
          <w:snapToGrid w:val="0"/>
          <w:color w:val="auto"/>
          <w:kern w:val="21"/>
          <w:sz w:val="24"/>
          <w:lang w:eastAsia="zh-CN"/>
        </w:rPr>
        <w:t>的排放</w:t>
      </w:r>
      <w:r>
        <w:rPr>
          <w:rFonts w:hint="eastAsia"/>
          <w:bCs/>
          <w:snapToGrid w:val="0"/>
          <w:color w:val="auto"/>
          <w:kern w:val="21"/>
          <w:sz w:val="24"/>
          <w:lang w:val="en-US" w:eastAsia="zh-CN"/>
        </w:rPr>
        <w:t>速率</w:t>
      </w:r>
      <w:r>
        <w:rPr>
          <w:rFonts w:hint="eastAsia"/>
          <w:bCs/>
          <w:snapToGrid w:val="0"/>
          <w:color w:val="auto"/>
          <w:kern w:val="21"/>
          <w:sz w:val="24"/>
        </w:rPr>
        <w:t>能够满足《恶臭污染物排放标准》(GB14554-1993</w:t>
      </w:r>
      <w:r>
        <w:rPr>
          <w:rFonts w:hint="eastAsia"/>
          <w:bCs/>
          <w:snapToGrid w:val="0"/>
          <w:color w:val="auto"/>
          <w:kern w:val="21"/>
          <w:sz w:val="24"/>
          <w:lang w:eastAsia="zh-CN"/>
        </w:rPr>
        <w:t>）</w:t>
      </w:r>
      <w:r>
        <w:rPr>
          <w:rFonts w:hint="eastAsia"/>
          <w:bCs/>
          <w:snapToGrid w:val="0"/>
          <w:color w:val="auto"/>
          <w:kern w:val="21"/>
          <w:sz w:val="24"/>
        </w:rPr>
        <w:t>表2标准要求。</w:t>
      </w:r>
    </w:p>
    <w:p>
      <w:pPr>
        <w:pStyle w:val="390"/>
        <w:tabs>
          <w:tab w:val="clear" w:pos="1800"/>
        </w:tabs>
        <w:adjustRightInd w:val="0"/>
        <w:snapToGrid w:val="0"/>
        <w:spacing w:line="360" w:lineRule="auto"/>
        <w:ind w:left="0" w:firstLine="0"/>
        <w:outlineLvl w:val="2"/>
        <w:rPr>
          <w:rFonts w:eastAsia="黑体"/>
          <w:bCs/>
          <w:color w:val="auto"/>
          <w:kern w:val="21"/>
          <w:sz w:val="28"/>
          <w:szCs w:val="28"/>
        </w:rPr>
      </w:pPr>
      <w:r>
        <w:rPr>
          <w:rFonts w:eastAsia="黑体"/>
          <w:bCs/>
          <w:color w:val="auto"/>
          <w:kern w:val="21"/>
          <w:sz w:val="28"/>
          <w:szCs w:val="28"/>
        </w:rPr>
        <w:t>7.1.</w:t>
      </w:r>
      <w:r>
        <w:rPr>
          <w:rFonts w:hint="eastAsia" w:eastAsia="黑体"/>
          <w:bCs/>
          <w:color w:val="auto"/>
          <w:kern w:val="21"/>
          <w:sz w:val="28"/>
          <w:szCs w:val="28"/>
        </w:rPr>
        <w:t>4焊接烟尘</w:t>
      </w:r>
      <w:r>
        <w:rPr>
          <w:rFonts w:eastAsia="黑体"/>
          <w:bCs/>
          <w:color w:val="auto"/>
          <w:kern w:val="21"/>
          <w:sz w:val="28"/>
          <w:szCs w:val="28"/>
        </w:rPr>
        <w:t>防治设施可行性分析</w:t>
      </w:r>
    </w:p>
    <w:p>
      <w:pPr>
        <w:adjustRightInd w:val="0"/>
        <w:snapToGrid w:val="0"/>
        <w:spacing w:line="360" w:lineRule="auto"/>
        <w:ind w:firstLine="480" w:firstLineChars="200"/>
        <w:rPr>
          <w:color w:val="auto"/>
          <w:szCs w:val="28"/>
        </w:rPr>
      </w:pPr>
      <w:r>
        <w:rPr>
          <w:bCs/>
          <w:snapToGrid w:val="0"/>
          <w:color w:val="auto"/>
          <w:kern w:val="21"/>
          <w:sz w:val="24"/>
        </w:rPr>
        <w:t>焊接废气主要产生污染物有焊接烟尘和有害气体，烟尘中主要污染物为颗粒物，本项目焊接区位于南车间内，共设</w:t>
      </w:r>
      <w:r>
        <w:rPr>
          <w:rFonts w:hint="eastAsia"/>
          <w:bCs/>
          <w:snapToGrid w:val="0"/>
          <w:color w:val="auto"/>
          <w:kern w:val="21"/>
          <w:sz w:val="24"/>
        </w:rPr>
        <w:t>20台人工焊机。每台焊机固定工位并在上方设置小型集气罩并采用软管连接至主管道，焊接烟气收集后通过主管道引入袋式除尘器中进行处理。布局</w:t>
      </w:r>
      <w:r>
        <w:rPr>
          <w:bCs/>
          <w:snapToGrid w:val="0"/>
          <w:color w:val="auto"/>
          <w:kern w:val="21"/>
          <w:sz w:val="24"/>
        </w:rPr>
        <w:t>如下图：</w:t>
      </w:r>
    </w:p>
    <w:p>
      <w:pPr>
        <w:pStyle w:val="2"/>
        <w:ind w:left="0" w:leftChars="0" w:firstLine="0" w:firstLineChars="0"/>
        <w:jc w:val="center"/>
        <w:rPr>
          <w:color w:val="auto"/>
        </w:rPr>
      </w:pPr>
      <w:r>
        <w:rPr>
          <w:color w:val="auto"/>
        </w:rPr>
        <w:drawing>
          <wp:inline distT="0" distB="0" distL="0" distR="0">
            <wp:extent cx="4773295" cy="3241675"/>
            <wp:effectExtent l="9525" t="9525" r="17780" b="25400"/>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noChangeArrowheads="1"/>
                    </pic:cNvPicPr>
                  </pic:nvPicPr>
                  <pic:blipFill>
                    <a:blip r:embed="rId150"/>
                    <a:srcRect/>
                    <a:stretch>
                      <a:fillRect/>
                    </a:stretch>
                  </pic:blipFill>
                  <pic:spPr>
                    <a:xfrm>
                      <a:off x="0" y="0"/>
                      <a:ext cx="4773295" cy="3241675"/>
                    </a:xfrm>
                    <a:prstGeom prst="rect">
                      <a:avLst/>
                    </a:prstGeom>
                    <a:noFill/>
                    <a:ln w="9525" cmpd="sng">
                      <a:solidFill>
                        <a:srgbClr val="000000"/>
                      </a:solidFill>
                      <a:miter lim="800000"/>
                      <a:headEnd/>
                      <a:tailEnd/>
                    </a:ln>
                    <a:effectLst/>
                  </pic:spPr>
                </pic:pic>
              </a:graphicData>
            </a:graphic>
          </wp:inline>
        </w:drawing>
      </w:r>
    </w:p>
    <w:p>
      <w:pPr>
        <w:pStyle w:val="2"/>
        <w:ind w:left="0" w:leftChars="0" w:firstLine="0" w:firstLineChars="0"/>
        <w:jc w:val="center"/>
        <w:rPr>
          <w:rFonts w:eastAsia="黑体"/>
          <w:color w:val="auto"/>
          <w:kern w:val="21"/>
          <w:sz w:val="24"/>
        </w:rPr>
      </w:pPr>
      <w:r>
        <w:rPr>
          <w:rFonts w:hint="eastAsia" w:eastAsia="黑体"/>
          <w:color w:val="auto"/>
          <w:kern w:val="21"/>
          <w:sz w:val="24"/>
        </w:rPr>
        <w:t>图7.1</w:t>
      </w:r>
      <w:r>
        <w:rPr>
          <w:rFonts w:eastAsia="黑体"/>
          <w:color w:val="auto"/>
          <w:kern w:val="21"/>
          <w:sz w:val="24"/>
        </w:rPr>
        <w:t>-</w:t>
      </w:r>
      <w:r>
        <w:rPr>
          <w:rFonts w:hint="eastAsia" w:eastAsia="黑体"/>
          <w:color w:val="auto"/>
          <w:kern w:val="21"/>
          <w:sz w:val="24"/>
        </w:rPr>
        <w:t>5</w:t>
      </w:r>
      <w:r>
        <w:rPr>
          <w:rFonts w:eastAsia="黑体"/>
          <w:color w:val="auto"/>
          <w:kern w:val="21"/>
          <w:sz w:val="24"/>
        </w:rPr>
        <w:t xml:space="preserve">  </w:t>
      </w:r>
      <w:r>
        <w:rPr>
          <w:rFonts w:hint="eastAsia" w:eastAsia="黑体"/>
          <w:color w:val="auto"/>
          <w:kern w:val="21"/>
          <w:sz w:val="24"/>
        </w:rPr>
        <w:t>焊接区</w:t>
      </w:r>
      <w:r>
        <w:rPr>
          <w:rFonts w:eastAsia="黑体"/>
          <w:color w:val="auto"/>
          <w:kern w:val="21"/>
          <w:sz w:val="24"/>
        </w:rPr>
        <w:t>集尘方式示意图</w:t>
      </w:r>
    </w:p>
    <w:p>
      <w:pPr>
        <w:adjustRightInd w:val="0"/>
        <w:snapToGrid w:val="0"/>
        <w:spacing w:line="360" w:lineRule="auto"/>
        <w:ind w:firstLine="480" w:firstLineChars="200"/>
        <w:rPr>
          <w:bCs/>
          <w:snapToGrid w:val="0"/>
          <w:color w:val="auto"/>
          <w:kern w:val="21"/>
          <w:sz w:val="24"/>
        </w:rPr>
      </w:pPr>
      <w:r>
        <w:rPr>
          <w:bCs/>
          <w:snapToGrid w:val="0"/>
          <w:color w:val="auto"/>
          <w:kern w:val="21"/>
          <w:sz w:val="24"/>
        </w:rPr>
        <w:t>（1）工艺原理</w:t>
      </w:r>
    </w:p>
    <w:p>
      <w:pPr>
        <w:adjustRightInd w:val="0"/>
        <w:snapToGrid w:val="0"/>
        <w:spacing w:line="360" w:lineRule="auto"/>
        <w:ind w:firstLine="420" w:firstLineChars="200"/>
        <w:rPr>
          <w:bCs/>
          <w:snapToGrid w:val="0"/>
          <w:color w:val="auto"/>
          <w:kern w:val="21"/>
          <w:sz w:val="24"/>
        </w:rPr>
      </w:pPr>
      <w:r>
        <w:rPr>
          <w:color w:val="auto"/>
        </w:rPr>
        <w:fldChar w:fldCharType="begin"/>
      </w:r>
      <w:r>
        <w:rPr>
          <w:color w:val="auto"/>
        </w:rPr>
        <w:instrText xml:space="preserve"> HYPERLINK "https://baike.baidu.com/item/%E8%84%89%E5%86%B2%E9%99%A4%E5%B0%98%E5%99%A8" \t "_blank" </w:instrText>
      </w:r>
      <w:r>
        <w:rPr>
          <w:color w:val="auto"/>
        </w:rPr>
        <w:fldChar w:fldCharType="separate"/>
      </w:r>
      <w:r>
        <w:rPr>
          <w:bCs/>
          <w:snapToGrid w:val="0"/>
          <w:color w:val="auto"/>
          <w:kern w:val="21"/>
          <w:sz w:val="24"/>
        </w:rPr>
        <w:t>袋式除尘器</w:t>
      </w:r>
      <w:r>
        <w:rPr>
          <w:bCs/>
          <w:snapToGrid w:val="0"/>
          <w:color w:val="auto"/>
          <w:kern w:val="21"/>
          <w:sz w:val="24"/>
        </w:rPr>
        <w:fldChar w:fldCharType="end"/>
      </w:r>
      <w:r>
        <w:rPr>
          <w:bCs/>
          <w:snapToGrid w:val="0"/>
          <w:color w:val="auto"/>
          <w:kern w:val="21"/>
          <w:sz w:val="24"/>
        </w:rPr>
        <w:t>是指通过喷吹压缩空气的方法除掉过滤介质上附着的粉尘。工作时，含尘气体由进风道进入灰斗，粗尘粒直接落入灰斗底部，细尘粒随气流转折向上进入中、下箱体，粉尘积附在滤袋外表面，过滤后的气体进入上箱体至净气集合管-排风道，经排风机排至大气。 清灰过程是先切断该室的净气出口风道，使该室的布袋处于无气流通过的状态（分室停风清灰），然后开启袋式阀用压缩空气进行袋式喷吹清灰，切断阀关闭时间足以保证在喷吹后从滤袋上剥离的粉尘沉降至灰斗，避免了粉尘在脱离滤袋表面后又随气流附集到相邻滤袋表面的现象，使滤袋清灰彻底，并由可编程序控制仪对排气阀、袋式阀及卸灰阀等进行全自动控制。含尘气体由进风口进入，经过灰斗时，气体中部分大颗粒粉尘受惯性力和重力作用被分离出来，直接落入灰斗底部。含尘气体通过灰斗后进入中箱体的滤袋过滤区，气体穿过滤袋，粉尘被阻留在滤袋外表面，净化后的气体经滤袋口进入上箱体后，再由出风口排出。</w:t>
      </w:r>
    </w:p>
    <w:p>
      <w:pPr>
        <w:adjustRightInd w:val="0"/>
        <w:snapToGrid w:val="0"/>
        <w:spacing w:line="360" w:lineRule="auto"/>
        <w:ind w:firstLine="480" w:firstLineChars="200"/>
        <w:rPr>
          <w:bCs/>
          <w:snapToGrid w:val="0"/>
          <w:color w:val="auto"/>
          <w:kern w:val="21"/>
          <w:sz w:val="24"/>
        </w:rPr>
      </w:pPr>
      <w:r>
        <w:rPr>
          <w:bCs/>
          <w:snapToGrid w:val="0"/>
          <w:color w:val="auto"/>
          <w:kern w:val="21"/>
          <w:sz w:val="24"/>
        </w:rPr>
        <w:t>（2）治理效果分析</w:t>
      </w:r>
    </w:p>
    <w:p>
      <w:pPr>
        <w:adjustRightInd w:val="0"/>
        <w:snapToGrid w:val="0"/>
        <w:spacing w:line="360" w:lineRule="auto"/>
        <w:ind w:firstLine="482" w:firstLineChars="200"/>
        <w:rPr>
          <w:bCs/>
          <w:snapToGrid w:val="0"/>
          <w:color w:val="auto"/>
          <w:kern w:val="21"/>
          <w:sz w:val="24"/>
        </w:rPr>
      </w:pPr>
      <w:r>
        <w:rPr>
          <w:b/>
          <w:bCs w:val="0"/>
          <w:snapToGrid w:val="0"/>
          <w:color w:val="auto"/>
          <w:kern w:val="21"/>
          <w:sz w:val="24"/>
          <w:u w:val="single"/>
        </w:rPr>
        <w:t>焊接工序年运行时间</w:t>
      </w:r>
      <w:r>
        <w:rPr>
          <w:rFonts w:hint="eastAsia"/>
          <w:b/>
          <w:bCs w:val="0"/>
          <w:snapToGrid w:val="0"/>
          <w:color w:val="auto"/>
          <w:kern w:val="21"/>
          <w:sz w:val="24"/>
          <w:u w:val="single"/>
          <w:lang w:val="en-US" w:eastAsia="zh-CN"/>
        </w:rPr>
        <w:t>3300</w:t>
      </w:r>
      <w:r>
        <w:rPr>
          <w:rFonts w:hint="eastAsia"/>
          <w:b/>
          <w:bCs w:val="0"/>
          <w:snapToGrid w:val="0"/>
          <w:color w:val="auto"/>
          <w:kern w:val="21"/>
          <w:sz w:val="24"/>
          <w:u w:val="single"/>
        </w:rPr>
        <w:t>h，</w:t>
      </w:r>
      <w:r>
        <w:rPr>
          <w:b/>
          <w:bCs w:val="0"/>
          <w:snapToGrid w:val="0"/>
          <w:color w:val="auto"/>
          <w:kern w:val="21"/>
          <w:sz w:val="24"/>
          <w:u w:val="single"/>
        </w:rPr>
        <w:t>设置的袋式除尘器风机风量为5000m</w:t>
      </w:r>
      <w:r>
        <w:rPr>
          <w:b/>
          <w:bCs w:val="0"/>
          <w:snapToGrid w:val="0"/>
          <w:color w:val="auto"/>
          <w:kern w:val="21"/>
          <w:sz w:val="24"/>
          <w:u w:val="single"/>
          <w:vertAlign w:val="superscript"/>
        </w:rPr>
        <w:t>3</w:t>
      </w:r>
      <w:r>
        <w:rPr>
          <w:b/>
          <w:bCs w:val="0"/>
          <w:snapToGrid w:val="0"/>
          <w:color w:val="auto"/>
          <w:kern w:val="21"/>
          <w:sz w:val="24"/>
          <w:u w:val="single"/>
        </w:rPr>
        <w:t>/h，集气口收集效率按</w:t>
      </w:r>
      <w:r>
        <w:rPr>
          <w:rFonts w:hint="eastAsia"/>
          <w:b/>
          <w:bCs w:val="0"/>
          <w:snapToGrid w:val="0"/>
          <w:color w:val="auto"/>
          <w:kern w:val="21"/>
          <w:sz w:val="24"/>
          <w:u w:val="single"/>
        </w:rPr>
        <w:t>9</w:t>
      </w:r>
      <w:r>
        <w:rPr>
          <w:b/>
          <w:bCs w:val="0"/>
          <w:snapToGrid w:val="0"/>
          <w:color w:val="auto"/>
          <w:kern w:val="21"/>
          <w:sz w:val="24"/>
          <w:u w:val="single"/>
        </w:rPr>
        <w:t>0%计，则进口处颗粒物速率为</w:t>
      </w:r>
      <w:r>
        <w:rPr>
          <w:rFonts w:hint="eastAsia"/>
          <w:b/>
          <w:bCs w:val="0"/>
          <w:snapToGrid w:val="0"/>
          <w:color w:val="auto"/>
          <w:kern w:val="21"/>
          <w:sz w:val="24"/>
          <w:u w:val="single"/>
          <w:lang w:val="en-US" w:eastAsia="zh-CN"/>
        </w:rPr>
        <w:t>0.4428</w:t>
      </w:r>
      <w:r>
        <w:rPr>
          <w:rFonts w:hint="eastAsia"/>
          <w:b/>
          <w:bCs w:val="0"/>
          <w:snapToGrid w:val="0"/>
          <w:color w:val="auto"/>
          <w:kern w:val="21"/>
          <w:sz w:val="24"/>
          <w:u w:val="single"/>
        </w:rPr>
        <w:t>kg/h，浓度</w:t>
      </w:r>
      <w:r>
        <w:rPr>
          <w:rFonts w:hint="eastAsia"/>
          <w:b/>
          <w:bCs w:val="0"/>
          <w:snapToGrid w:val="0"/>
          <w:color w:val="auto"/>
          <w:kern w:val="21"/>
          <w:sz w:val="24"/>
          <w:u w:val="single"/>
          <w:lang w:val="en-US" w:eastAsia="zh-CN"/>
        </w:rPr>
        <w:t>88.56</w:t>
      </w:r>
      <w:r>
        <w:rPr>
          <w:rFonts w:hint="eastAsia"/>
          <w:b/>
          <w:bCs w:val="0"/>
          <w:snapToGrid w:val="0"/>
          <w:color w:val="auto"/>
          <w:kern w:val="21"/>
          <w:sz w:val="24"/>
          <w:u w:val="single"/>
        </w:rPr>
        <w:t>mg/m</w:t>
      </w:r>
      <w:r>
        <w:rPr>
          <w:rFonts w:hint="eastAsia"/>
          <w:b/>
          <w:bCs w:val="0"/>
          <w:snapToGrid w:val="0"/>
          <w:color w:val="auto"/>
          <w:kern w:val="21"/>
          <w:sz w:val="24"/>
          <w:u w:val="single"/>
          <w:vertAlign w:val="superscript"/>
        </w:rPr>
        <w:t>3</w:t>
      </w:r>
      <w:r>
        <w:rPr>
          <w:rFonts w:hint="eastAsia"/>
          <w:b/>
          <w:bCs w:val="0"/>
          <w:snapToGrid w:val="0"/>
          <w:color w:val="auto"/>
          <w:kern w:val="21"/>
          <w:sz w:val="24"/>
          <w:u w:val="single"/>
        </w:rPr>
        <w:t>，</w:t>
      </w:r>
      <w:r>
        <w:rPr>
          <w:b/>
          <w:bCs w:val="0"/>
          <w:snapToGrid w:val="0"/>
          <w:color w:val="auto"/>
          <w:kern w:val="21"/>
          <w:sz w:val="24"/>
          <w:u w:val="single"/>
        </w:rPr>
        <w:t>除尘器处理效率按</w:t>
      </w:r>
      <w:r>
        <w:rPr>
          <w:rFonts w:hint="eastAsia"/>
          <w:b/>
          <w:bCs w:val="0"/>
          <w:snapToGrid w:val="0"/>
          <w:color w:val="auto"/>
          <w:kern w:val="21"/>
          <w:sz w:val="24"/>
          <w:u w:val="single"/>
        </w:rPr>
        <w:t>9</w:t>
      </w:r>
      <w:r>
        <w:rPr>
          <w:rFonts w:hint="eastAsia"/>
          <w:b/>
          <w:bCs w:val="0"/>
          <w:snapToGrid w:val="0"/>
          <w:color w:val="auto"/>
          <w:kern w:val="21"/>
          <w:sz w:val="24"/>
          <w:u w:val="single"/>
          <w:lang w:val="en-US" w:eastAsia="zh-CN"/>
        </w:rPr>
        <w:t>5</w:t>
      </w:r>
      <w:r>
        <w:rPr>
          <w:b/>
          <w:bCs w:val="0"/>
          <w:snapToGrid w:val="0"/>
          <w:color w:val="auto"/>
          <w:kern w:val="21"/>
          <w:sz w:val="24"/>
          <w:u w:val="single"/>
        </w:rPr>
        <w:t>%计，处理后颗粒物排放量速率为</w:t>
      </w:r>
      <w:r>
        <w:rPr>
          <w:rFonts w:hint="eastAsia"/>
          <w:b/>
          <w:bCs w:val="0"/>
          <w:snapToGrid w:val="0"/>
          <w:color w:val="auto"/>
          <w:kern w:val="21"/>
          <w:sz w:val="24"/>
          <w:u w:val="single"/>
        </w:rPr>
        <w:t>0.0</w:t>
      </w:r>
      <w:r>
        <w:rPr>
          <w:rFonts w:hint="eastAsia"/>
          <w:b/>
          <w:bCs w:val="0"/>
          <w:snapToGrid w:val="0"/>
          <w:color w:val="auto"/>
          <w:kern w:val="21"/>
          <w:sz w:val="24"/>
          <w:u w:val="single"/>
          <w:lang w:val="en-US" w:eastAsia="zh-CN"/>
        </w:rPr>
        <w:t>221</w:t>
      </w:r>
      <w:r>
        <w:rPr>
          <w:b/>
          <w:bCs w:val="0"/>
          <w:snapToGrid w:val="0"/>
          <w:color w:val="auto"/>
          <w:kern w:val="21"/>
          <w:sz w:val="24"/>
          <w:u w:val="single"/>
        </w:rPr>
        <w:t>kg/h，排放浓度为</w:t>
      </w:r>
      <w:r>
        <w:rPr>
          <w:rFonts w:hint="eastAsia"/>
          <w:b/>
          <w:bCs w:val="0"/>
          <w:snapToGrid w:val="0"/>
          <w:color w:val="auto"/>
          <w:kern w:val="21"/>
          <w:sz w:val="24"/>
          <w:u w:val="single"/>
          <w:lang w:val="en-US" w:eastAsia="zh-CN"/>
        </w:rPr>
        <w:t>4.428</w:t>
      </w:r>
      <w:r>
        <w:rPr>
          <w:b/>
          <w:bCs w:val="0"/>
          <w:snapToGrid w:val="0"/>
          <w:color w:val="auto"/>
          <w:kern w:val="21"/>
          <w:sz w:val="24"/>
          <w:u w:val="single"/>
        </w:rPr>
        <w:t>mg/m</w:t>
      </w:r>
      <w:r>
        <w:rPr>
          <w:b/>
          <w:bCs w:val="0"/>
          <w:snapToGrid w:val="0"/>
          <w:color w:val="auto"/>
          <w:kern w:val="21"/>
          <w:sz w:val="24"/>
          <w:u w:val="single"/>
          <w:vertAlign w:val="superscript"/>
        </w:rPr>
        <w:t>3</w:t>
      </w:r>
      <w:r>
        <w:rPr>
          <w:b/>
          <w:bCs w:val="0"/>
          <w:snapToGrid w:val="0"/>
          <w:color w:val="auto"/>
          <w:kern w:val="21"/>
          <w:sz w:val="24"/>
          <w:u w:val="single"/>
        </w:rPr>
        <w:t>。</w:t>
      </w:r>
      <w:r>
        <w:rPr>
          <w:bCs/>
          <w:snapToGrid w:val="0"/>
          <w:color w:val="auto"/>
          <w:kern w:val="21"/>
          <w:sz w:val="24"/>
        </w:rPr>
        <w:t>项目焊接</w:t>
      </w:r>
      <w:r>
        <w:rPr>
          <w:bCs/>
          <w:snapToGrid w:val="0"/>
          <w:color w:val="auto"/>
          <w:kern w:val="21"/>
          <w:sz w:val="24"/>
          <w:szCs w:val="24"/>
        </w:rPr>
        <w:t>烟尘经上述措施处理后，颗粒物排放浓度和排放速率均满足《大气污染物综合排放标准》（GB16297-1996）表2二级标准限值及</w:t>
      </w:r>
      <w:r>
        <w:rPr>
          <w:color w:val="auto"/>
          <w:sz w:val="24"/>
          <w:szCs w:val="24"/>
        </w:rPr>
        <w:t>《新乡市生态环境局关于进一步规范工业企业颗粒物排放限值的通知》中其他所有涉气</w:t>
      </w:r>
      <w:r>
        <w:rPr>
          <w:rFonts w:hint="eastAsia"/>
          <w:color w:val="auto"/>
          <w:sz w:val="24"/>
          <w:szCs w:val="24"/>
        </w:rPr>
        <w:t>工业企业</w:t>
      </w:r>
      <w:r>
        <w:rPr>
          <w:color w:val="auto"/>
          <w:sz w:val="24"/>
          <w:szCs w:val="24"/>
        </w:rPr>
        <w:t>排放口颗粒物排放浓度不高于10mg/m</w:t>
      </w:r>
      <w:r>
        <w:rPr>
          <w:color w:val="auto"/>
          <w:sz w:val="24"/>
          <w:szCs w:val="24"/>
          <w:vertAlign w:val="superscript"/>
        </w:rPr>
        <w:t>3</w:t>
      </w:r>
      <w:r>
        <w:rPr>
          <w:color w:val="auto"/>
          <w:sz w:val="24"/>
          <w:szCs w:val="24"/>
        </w:rPr>
        <w:t>的排放标准</w:t>
      </w:r>
      <w:r>
        <w:rPr>
          <w:bCs/>
          <w:snapToGrid w:val="0"/>
          <w:color w:val="auto"/>
          <w:kern w:val="21"/>
          <w:sz w:val="24"/>
          <w:szCs w:val="24"/>
        </w:rPr>
        <w:t>要</w:t>
      </w:r>
      <w:r>
        <w:rPr>
          <w:bCs/>
          <w:snapToGrid w:val="0"/>
          <w:color w:val="auto"/>
          <w:kern w:val="21"/>
          <w:sz w:val="24"/>
        </w:rPr>
        <w:t>求，防治措施工艺技术可行。</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386" w:name="_Toc22245"/>
      <w:bookmarkStart w:id="387" w:name="_Toc11932"/>
      <w:bookmarkStart w:id="388" w:name="_Toc112338967"/>
      <w:bookmarkStart w:id="389" w:name="_Toc17880_WPSOffice_Level2"/>
      <w:r>
        <w:rPr>
          <w:bCs w:val="0"/>
          <w:color w:val="auto"/>
          <w:kern w:val="0"/>
          <w:szCs w:val="20"/>
          <w:lang w:val="en-US"/>
        </w:rPr>
        <w:t>7.2废水污染防治措施可行性</w:t>
      </w:r>
      <w:bookmarkEnd w:id="386"/>
      <w:r>
        <w:rPr>
          <w:bCs w:val="0"/>
          <w:color w:val="auto"/>
          <w:kern w:val="0"/>
          <w:szCs w:val="20"/>
          <w:lang w:val="en-US"/>
        </w:rPr>
        <w:t>分析</w:t>
      </w:r>
      <w:bookmarkEnd w:id="387"/>
      <w:bookmarkEnd w:id="388"/>
      <w:bookmarkEnd w:id="389"/>
    </w:p>
    <w:p>
      <w:pPr>
        <w:pStyle w:val="32"/>
        <w:adjustRightInd w:val="0"/>
        <w:snapToGrid w:val="0"/>
        <w:spacing w:after="0" w:line="360" w:lineRule="auto"/>
        <w:ind w:firstLine="480" w:firstLineChars="200"/>
        <w:rPr>
          <w:color w:val="auto"/>
          <w:kern w:val="21"/>
          <w:sz w:val="24"/>
        </w:rPr>
      </w:pPr>
      <w:r>
        <w:rPr>
          <w:rFonts w:hint="eastAsia"/>
          <w:color w:val="auto"/>
          <w:kern w:val="21"/>
          <w:sz w:val="24"/>
          <w:lang w:val="en-US"/>
        </w:rPr>
        <w:t>依据《河南省电镀建设项目环评文件审查审批原则要求》，本项目电镀作业厂房、地面、生产设施符合《工业建筑防腐蚀设计规范》（GB 50046-2008）的要求</w:t>
      </w:r>
      <w:r>
        <w:rPr>
          <w:color w:val="auto"/>
          <w:kern w:val="21"/>
          <w:sz w:val="24"/>
          <w:lang w:val="en-US"/>
        </w:rPr>
        <w:t>：新建的各类槽体要按照</w:t>
      </w:r>
      <w:r>
        <w:rPr>
          <w:rFonts w:hint="eastAsia"/>
          <w:color w:val="auto"/>
          <w:kern w:val="21"/>
          <w:sz w:val="24"/>
          <w:lang w:val="en-US"/>
        </w:rPr>
        <w:t>“</w:t>
      </w:r>
      <w:r>
        <w:rPr>
          <w:color w:val="auto"/>
          <w:kern w:val="21"/>
          <w:sz w:val="24"/>
          <w:lang w:val="en-US"/>
        </w:rPr>
        <w:t>生产设施不落地</w:t>
      </w:r>
      <w:r>
        <w:rPr>
          <w:rFonts w:hint="eastAsia"/>
          <w:color w:val="auto"/>
          <w:kern w:val="21"/>
          <w:sz w:val="24"/>
          <w:lang w:val="en-US"/>
        </w:rPr>
        <w:t>”</w:t>
      </w:r>
      <w:r>
        <w:rPr>
          <w:color w:val="auto"/>
          <w:kern w:val="21"/>
          <w:sz w:val="24"/>
          <w:lang w:val="en-US"/>
        </w:rPr>
        <w:t>原则进行建设，生产线应有槽液回收、逆流漂洗及必要的喷淋装置，并使用托盘、围堰等设施，防止生产过程中废水、镀液滴落地面。车间内实行干湿区分离，湿区地面应敷设网格板，湿镀件上下挂具作业必须在湿区内进行。车间地坪自下而上至少设垫层、防水层和防腐层三层。项目工艺废水管线按可视、可控原则排布，应采取地上明渠明管或架空敷设，废水管道应满足防腐、防渗漏要求，生产装置、罐区等易污染区地面应进行防渗处</w:t>
      </w:r>
      <w:r>
        <w:rPr>
          <w:rFonts w:hint="eastAsia"/>
          <w:color w:val="auto"/>
          <w:kern w:val="21"/>
          <w:sz w:val="24"/>
          <w:lang w:val="en-US"/>
        </w:rPr>
        <w:t>。</w:t>
      </w:r>
      <w:r>
        <w:rPr>
          <w:rFonts w:hint="eastAsia"/>
          <w:color w:val="auto"/>
          <w:kern w:val="21"/>
          <w:sz w:val="24"/>
        </w:rPr>
        <w:t>因此，企业设计电镀生产废水收集输送管路设置为地上明管及架空管路。管道全部地上施工，管道采用</w:t>
      </w:r>
      <w:r>
        <w:rPr>
          <w:color w:val="auto"/>
          <w:kern w:val="21"/>
          <w:sz w:val="24"/>
        </w:rPr>
        <w:t>PVC</w:t>
      </w:r>
      <w:r>
        <w:rPr>
          <w:rFonts w:hint="eastAsia"/>
          <w:color w:val="auto"/>
          <w:kern w:val="21"/>
          <w:sz w:val="24"/>
        </w:rPr>
        <w:t>材质，全部生产线均采用架空布置，并布置托盘及围堰。</w:t>
      </w:r>
    </w:p>
    <w:p>
      <w:pPr>
        <w:pStyle w:val="32"/>
        <w:adjustRightInd w:val="0"/>
        <w:snapToGrid w:val="0"/>
        <w:spacing w:after="0" w:line="360" w:lineRule="auto"/>
        <w:ind w:firstLine="480" w:firstLineChars="200"/>
        <w:rPr>
          <w:color w:val="auto"/>
          <w:kern w:val="21"/>
          <w:sz w:val="24"/>
          <w:lang w:val="en-US"/>
        </w:rPr>
      </w:pPr>
      <w:r>
        <w:rPr>
          <w:rFonts w:hint="eastAsia" w:ascii="宋体" w:hAnsi="宋体"/>
          <w:color w:val="auto"/>
          <w:sz w:val="24"/>
        </w:rPr>
        <w:t>根据《排污许可证申请与核发技术规范  电镀</w:t>
      </w:r>
      <w:r>
        <w:rPr>
          <w:color w:val="auto"/>
          <w:sz w:val="24"/>
        </w:rPr>
        <w:t>工业》（HJ855-2017）、</w:t>
      </w:r>
      <w:r>
        <w:rPr>
          <w:rFonts w:hint="eastAsia"/>
          <w:color w:val="auto"/>
          <w:kern w:val="21"/>
          <w:sz w:val="24"/>
        </w:rPr>
        <w:t>《电镀废水治理工程技术规范》（</w:t>
      </w:r>
      <w:r>
        <w:rPr>
          <w:color w:val="auto"/>
          <w:kern w:val="21"/>
          <w:sz w:val="24"/>
        </w:rPr>
        <w:t>GB2002-2010</w:t>
      </w:r>
      <w:r>
        <w:rPr>
          <w:rFonts w:hint="eastAsia"/>
          <w:color w:val="auto"/>
          <w:kern w:val="21"/>
          <w:sz w:val="24"/>
        </w:rPr>
        <w:t>）及</w:t>
      </w:r>
      <w:r>
        <w:rPr>
          <w:color w:val="auto"/>
          <w:sz w:val="24"/>
        </w:rPr>
        <w:t>《污染源源强核算技术指南  电镀》（HJ984-2018）</w:t>
      </w:r>
      <w:r>
        <w:rPr>
          <w:rFonts w:hint="eastAsia"/>
          <w:color w:val="auto"/>
          <w:sz w:val="24"/>
        </w:rPr>
        <w:t>采用可行的治理技术，</w:t>
      </w:r>
      <w:r>
        <w:rPr>
          <w:rFonts w:hint="eastAsia"/>
          <w:color w:val="auto"/>
          <w:kern w:val="21"/>
          <w:sz w:val="24"/>
        </w:rPr>
        <w:t>本项目废水处理按照“污污分治、深度处理、全部回用”的原则进行设计和建设，废水处理设施按处理单元可分为预处理系统及零排放处理系统，各股废水先经各自的预处理系统预处理后，再进入零排放处理系统深度处理，处理后回用。</w:t>
      </w:r>
      <w:r>
        <w:rPr>
          <w:color w:val="auto"/>
          <w:kern w:val="21"/>
          <w:sz w:val="24"/>
        </w:rPr>
        <w:t>纯水制备浓水、</w:t>
      </w:r>
      <w:r>
        <w:rPr>
          <w:rFonts w:hint="eastAsia"/>
          <w:color w:val="auto"/>
          <w:kern w:val="21"/>
          <w:sz w:val="24"/>
          <w:lang w:eastAsia="zh-CN"/>
        </w:rPr>
        <w:t>锅炉浓水</w:t>
      </w:r>
      <w:r>
        <w:rPr>
          <w:color w:val="auto"/>
          <w:kern w:val="21"/>
          <w:sz w:val="24"/>
        </w:rPr>
        <w:t>及生活污水直接排至厂区总排口，经市政管网</w:t>
      </w:r>
      <w:r>
        <w:rPr>
          <w:rFonts w:hint="eastAsia"/>
          <w:color w:val="auto"/>
          <w:kern w:val="21"/>
          <w:sz w:val="24"/>
        </w:rPr>
        <w:t>排入同盟污水处理厂。</w:t>
      </w:r>
    </w:p>
    <w:p>
      <w:pPr>
        <w:pStyle w:val="390"/>
        <w:tabs>
          <w:tab w:val="clear" w:pos="1800"/>
        </w:tabs>
        <w:adjustRightInd w:val="0"/>
        <w:snapToGrid w:val="0"/>
        <w:spacing w:line="360" w:lineRule="auto"/>
        <w:ind w:left="0" w:firstLine="0"/>
        <w:outlineLvl w:val="2"/>
        <w:rPr>
          <w:rFonts w:eastAsia="黑体"/>
          <w:bCs/>
          <w:color w:val="auto"/>
          <w:kern w:val="21"/>
          <w:sz w:val="28"/>
          <w:szCs w:val="28"/>
        </w:rPr>
      </w:pPr>
      <w:r>
        <w:rPr>
          <w:rFonts w:eastAsia="黑体"/>
          <w:bCs/>
          <w:color w:val="auto"/>
          <w:kern w:val="21"/>
          <w:sz w:val="28"/>
          <w:szCs w:val="28"/>
        </w:rPr>
        <w:t>7.2.1废水类型及特点</w:t>
      </w:r>
    </w:p>
    <w:p>
      <w:pPr>
        <w:spacing w:line="360" w:lineRule="auto"/>
        <w:ind w:firstLine="480" w:firstLineChars="200"/>
        <w:rPr>
          <w:color w:val="auto"/>
          <w:sz w:val="24"/>
          <w:szCs w:val="20"/>
        </w:rPr>
      </w:pPr>
      <w:r>
        <w:rPr>
          <w:color w:val="auto"/>
          <w:sz w:val="24"/>
          <w:szCs w:val="20"/>
        </w:rPr>
        <w:t>根据工程分析，本项目废水主要</w:t>
      </w:r>
      <w:r>
        <w:rPr>
          <w:rFonts w:hint="eastAsia"/>
          <w:color w:val="auto"/>
          <w:sz w:val="24"/>
          <w:szCs w:val="20"/>
        </w:rPr>
        <w:t>为</w:t>
      </w:r>
      <w:r>
        <w:rPr>
          <w:color w:val="auto"/>
          <w:sz w:val="24"/>
          <w:szCs w:val="20"/>
        </w:rPr>
        <w:t>综合废水（含油废水、酸性废水）、含镍废水、含锌废水、含铬废水、地面清洗水、浓水、生活污水。</w:t>
      </w:r>
    </w:p>
    <w:p>
      <w:pPr>
        <w:spacing w:line="360" w:lineRule="auto"/>
        <w:ind w:firstLine="480" w:firstLineChars="200"/>
        <w:rPr>
          <w:color w:val="auto"/>
          <w:sz w:val="24"/>
          <w:szCs w:val="20"/>
        </w:rPr>
      </w:pPr>
      <w:r>
        <w:rPr>
          <w:rFonts w:hint="eastAsia"/>
          <w:color w:val="auto"/>
          <w:sz w:val="24"/>
          <w:szCs w:val="20"/>
        </w:rPr>
        <w:t>其中，含油废水包含除油槽液、除油后水洗废水；</w:t>
      </w:r>
    </w:p>
    <w:p>
      <w:pPr>
        <w:spacing w:line="360" w:lineRule="auto"/>
        <w:ind w:firstLine="480" w:firstLineChars="200"/>
        <w:rPr>
          <w:color w:val="auto"/>
          <w:sz w:val="24"/>
          <w:szCs w:val="20"/>
        </w:rPr>
      </w:pPr>
      <w:r>
        <w:rPr>
          <w:rFonts w:hint="eastAsia"/>
          <w:color w:val="auto"/>
          <w:sz w:val="24"/>
          <w:szCs w:val="20"/>
        </w:rPr>
        <w:t>酸性废水包含酸洗槽液、</w:t>
      </w:r>
      <w:r>
        <w:rPr>
          <w:rFonts w:hint="eastAsia"/>
          <w:color w:val="auto"/>
          <w:sz w:val="24"/>
          <w:szCs w:val="20"/>
          <w:lang w:val="en-US" w:eastAsia="zh-CN"/>
        </w:rPr>
        <w:t>酸电解槽液、</w:t>
      </w:r>
      <w:r>
        <w:rPr>
          <w:rFonts w:hint="eastAsia"/>
          <w:color w:val="auto"/>
          <w:sz w:val="24"/>
          <w:szCs w:val="20"/>
        </w:rPr>
        <w:t>酸洗后水洗废水、酸活化槽液、酸活化后水洗废水；</w:t>
      </w:r>
    </w:p>
    <w:p>
      <w:pPr>
        <w:spacing w:line="360" w:lineRule="auto"/>
        <w:ind w:firstLine="480" w:firstLineChars="200"/>
        <w:rPr>
          <w:color w:val="auto"/>
          <w:sz w:val="24"/>
          <w:szCs w:val="20"/>
        </w:rPr>
      </w:pPr>
      <w:r>
        <w:rPr>
          <w:rFonts w:hint="eastAsia"/>
          <w:color w:val="auto"/>
          <w:sz w:val="24"/>
          <w:szCs w:val="20"/>
        </w:rPr>
        <w:t>含镍废水包含镀镍后水洗废水、漂白槽液、漂白后漂洗废水、过滤器反冲洗水；</w:t>
      </w:r>
    </w:p>
    <w:p>
      <w:pPr>
        <w:spacing w:line="360" w:lineRule="auto"/>
        <w:ind w:firstLine="480" w:firstLineChars="200"/>
        <w:rPr>
          <w:color w:val="auto"/>
          <w:sz w:val="24"/>
          <w:szCs w:val="20"/>
        </w:rPr>
      </w:pPr>
      <w:r>
        <w:rPr>
          <w:rFonts w:hint="eastAsia"/>
          <w:color w:val="auto"/>
          <w:sz w:val="24"/>
          <w:szCs w:val="20"/>
        </w:rPr>
        <w:t>含锌废水包含镀锌后水洗废水、出光槽液、出光后水洗废水、过滤器反冲洗水；</w:t>
      </w:r>
    </w:p>
    <w:p>
      <w:pPr>
        <w:pStyle w:val="32"/>
        <w:adjustRightInd w:val="0"/>
        <w:snapToGrid w:val="0"/>
        <w:spacing w:after="0" w:line="360" w:lineRule="auto"/>
        <w:ind w:firstLine="480" w:firstLineChars="200"/>
        <w:rPr>
          <w:color w:val="auto"/>
          <w:kern w:val="21"/>
          <w:sz w:val="24"/>
          <w:lang w:val="en-US"/>
        </w:rPr>
      </w:pPr>
      <w:r>
        <w:rPr>
          <w:rFonts w:hint="eastAsia"/>
          <w:color w:val="auto"/>
          <w:sz w:val="24"/>
          <w:szCs w:val="20"/>
        </w:rPr>
        <w:t>含铬废水包含钝化槽液、钝化后水洗废水、中和槽液、中和后水洗、过滤器反冲洗水、封闭槽液、封闭后水洗废水、酸雾塔废水。</w:t>
      </w:r>
    </w:p>
    <w:p>
      <w:pPr>
        <w:spacing w:line="360" w:lineRule="auto"/>
        <w:ind w:firstLine="480" w:firstLineChars="200"/>
        <w:rPr>
          <w:color w:val="auto"/>
          <w:sz w:val="24"/>
          <w:szCs w:val="20"/>
        </w:rPr>
      </w:pPr>
      <w:r>
        <w:rPr>
          <w:rFonts w:hint="eastAsia"/>
          <w:color w:val="auto"/>
          <w:sz w:val="24"/>
          <w:szCs w:val="20"/>
        </w:rPr>
        <w:t>结合本项目废水产生情况，综合分析项目废水水质有以下几个特征：</w:t>
      </w:r>
    </w:p>
    <w:p>
      <w:pPr>
        <w:spacing w:line="360" w:lineRule="auto"/>
        <w:ind w:firstLine="480" w:firstLineChars="200"/>
        <w:rPr>
          <w:color w:val="auto"/>
          <w:sz w:val="24"/>
          <w:szCs w:val="20"/>
        </w:rPr>
      </w:pPr>
      <w:r>
        <w:rPr>
          <w:rFonts w:hint="eastAsia"/>
          <w:color w:val="auto"/>
          <w:sz w:val="24"/>
          <w:szCs w:val="20"/>
        </w:rPr>
        <w:t>（</w:t>
      </w:r>
      <w:r>
        <w:rPr>
          <w:color w:val="auto"/>
          <w:sz w:val="24"/>
          <w:szCs w:val="20"/>
        </w:rPr>
        <w:t>1</w:t>
      </w:r>
      <w:r>
        <w:rPr>
          <w:rFonts w:hint="eastAsia"/>
          <w:color w:val="auto"/>
          <w:sz w:val="24"/>
          <w:szCs w:val="20"/>
        </w:rPr>
        <w:t>）废水水质复杂，主要污染物含有重点控制的重金属镍、铬，其他重金属锌及</w:t>
      </w:r>
      <w:r>
        <w:rPr>
          <w:color w:val="auto"/>
          <w:sz w:val="24"/>
          <w:szCs w:val="20"/>
        </w:rPr>
        <w:t>COD</w:t>
      </w:r>
      <w:r>
        <w:rPr>
          <w:rFonts w:hint="eastAsia"/>
          <w:color w:val="auto"/>
          <w:sz w:val="24"/>
          <w:szCs w:val="20"/>
        </w:rPr>
        <w:t>、氨氮、总磷等。</w:t>
      </w:r>
    </w:p>
    <w:p>
      <w:pPr>
        <w:spacing w:line="360" w:lineRule="auto"/>
        <w:ind w:firstLine="480" w:firstLineChars="200"/>
        <w:rPr>
          <w:color w:val="auto"/>
          <w:sz w:val="24"/>
          <w:szCs w:val="20"/>
        </w:rPr>
      </w:pPr>
      <w:r>
        <w:rPr>
          <w:rFonts w:hint="eastAsia"/>
          <w:color w:val="auto"/>
          <w:sz w:val="24"/>
          <w:szCs w:val="20"/>
        </w:rPr>
        <w:t>（</w:t>
      </w:r>
      <w:r>
        <w:rPr>
          <w:color w:val="auto"/>
          <w:sz w:val="24"/>
          <w:szCs w:val="20"/>
        </w:rPr>
        <w:t>2</w:t>
      </w:r>
      <w:r>
        <w:rPr>
          <w:rFonts w:hint="eastAsia"/>
          <w:color w:val="auto"/>
          <w:sz w:val="24"/>
          <w:szCs w:val="20"/>
        </w:rPr>
        <w:t>）各类废水需要单独进行预处理。</w:t>
      </w:r>
    </w:p>
    <w:p>
      <w:pPr>
        <w:spacing w:line="360" w:lineRule="auto"/>
        <w:ind w:firstLine="480" w:firstLineChars="200"/>
        <w:rPr>
          <w:color w:val="auto"/>
          <w:sz w:val="24"/>
          <w:szCs w:val="20"/>
        </w:rPr>
      </w:pPr>
      <w:r>
        <w:rPr>
          <w:rFonts w:hint="eastAsia"/>
          <w:color w:val="auto"/>
          <w:sz w:val="24"/>
          <w:szCs w:val="20"/>
        </w:rPr>
        <w:t>（</w:t>
      </w:r>
      <w:r>
        <w:rPr>
          <w:color w:val="auto"/>
          <w:sz w:val="24"/>
          <w:szCs w:val="20"/>
        </w:rPr>
        <w:t>3</w:t>
      </w:r>
      <w:r>
        <w:rPr>
          <w:rFonts w:hint="eastAsia"/>
          <w:color w:val="auto"/>
          <w:sz w:val="24"/>
          <w:szCs w:val="20"/>
        </w:rPr>
        <w:t>）本项目镀镍、锌的电镀工段废水及钝化工段废水（包括含铬钝化、封闭、漂白、中和等工序等）及相应清洗废水应全部回用，实施零排放。</w:t>
      </w:r>
      <w:r>
        <w:rPr>
          <w:color w:val="auto"/>
          <w:kern w:val="21"/>
          <w:sz w:val="24"/>
        </w:rPr>
        <w:t>纯水制备浓水、</w:t>
      </w:r>
      <w:r>
        <w:rPr>
          <w:rFonts w:hint="eastAsia"/>
          <w:color w:val="auto"/>
          <w:kern w:val="21"/>
          <w:sz w:val="24"/>
          <w:lang w:eastAsia="zh-CN"/>
        </w:rPr>
        <w:t>锅炉浓水</w:t>
      </w:r>
      <w:r>
        <w:rPr>
          <w:color w:val="auto"/>
          <w:kern w:val="21"/>
          <w:sz w:val="24"/>
        </w:rPr>
        <w:t>及生活污水直接排至厂区总排口，经市政管网</w:t>
      </w:r>
      <w:r>
        <w:rPr>
          <w:rFonts w:hint="eastAsia"/>
          <w:color w:val="auto"/>
          <w:kern w:val="21"/>
          <w:sz w:val="24"/>
        </w:rPr>
        <w:t>排入同盟污水处理厂。</w:t>
      </w:r>
    </w:p>
    <w:p>
      <w:pPr>
        <w:pStyle w:val="390"/>
        <w:tabs>
          <w:tab w:val="clear" w:pos="1800"/>
        </w:tabs>
        <w:adjustRightInd w:val="0"/>
        <w:snapToGrid w:val="0"/>
        <w:spacing w:line="360" w:lineRule="auto"/>
        <w:ind w:left="0" w:firstLine="0"/>
        <w:outlineLvl w:val="2"/>
        <w:rPr>
          <w:rFonts w:eastAsia="黑体"/>
          <w:bCs/>
          <w:color w:val="auto"/>
          <w:kern w:val="21"/>
          <w:sz w:val="28"/>
          <w:szCs w:val="28"/>
        </w:rPr>
      </w:pPr>
      <w:r>
        <w:rPr>
          <w:rFonts w:eastAsia="黑体"/>
          <w:bCs/>
          <w:color w:val="auto"/>
          <w:kern w:val="21"/>
          <w:sz w:val="28"/>
          <w:szCs w:val="28"/>
        </w:rPr>
        <w:t>7.2.</w:t>
      </w:r>
      <w:r>
        <w:rPr>
          <w:rFonts w:hint="eastAsia" w:eastAsia="黑体"/>
          <w:bCs/>
          <w:color w:val="auto"/>
          <w:kern w:val="21"/>
          <w:sz w:val="28"/>
          <w:szCs w:val="28"/>
        </w:rPr>
        <w:t>2</w:t>
      </w:r>
      <w:r>
        <w:rPr>
          <w:rFonts w:eastAsia="黑体"/>
          <w:bCs/>
          <w:color w:val="auto"/>
          <w:kern w:val="21"/>
          <w:sz w:val="28"/>
          <w:szCs w:val="28"/>
        </w:rPr>
        <w:t>废水收集方式</w:t>
      </w:r>
    </w:p>
    <w:p>
      <w:pPr>
        <w:spacing w:line="360" w:lineRule="auto"/>
        <w:ind w:firstLine="480" w:firstLineChars="200"/>
        <w:rPr>
          <w:color w:val="auto"/>
          <w:sz w:val="24"/>
          <w:szCs w:val="20"/>
        </w:rPr>
      </w:pPr>
      <w:r>
        <w:rPr>
          <w:rFonts w:hint="eastAsia"/>
          <w:color w:val="auto"/>
          <w:sz w:val="24"/>
          <w:szCs w:val="20"/>
        </w:rPr>
        <w:t>根据各电镀线生产废水的性质，采取“</w:t>
      </w:r>
      <w:r>
        <w:rPr>
          <w:rFonts w:hint="eastAsia"/>
          <w:color w:val="auto"/>
          <w:kern w:val="21"/>
          <w:sz w:val="24"/>
        </w:rPr>
        <w:t>污污分治、深度处理、全部回用</w:t>
      </w:r>
      <w:r>
        <w:rPr>
          <w:rFonts w:hint="eastAsia"/>
          <w:color w:val="auto"/>
          <w:sz w:val="24"/>
          <w:szCs w:val="20"/>
        </w:rPr>
        <w:t>”措施，车间内，各槽体按照“生产设施不落地”原则进行建设，架空槽体及机台底部采用托盘实行分区分隔，将各类跑、冒、滴、漏废水收集进入相应种类废水管道，避免各类废水相互串排混排。车间外，设置分类收集容器，实施池中套桶或槽的收集方式，收集桶或者槽放置在涂有防腐防渗材料的钢筋混凝土池中，连续排放的各类生产废水分别自流至厂房外部的收集桶或者槽内，经检测符合准入指标的废水，由提升泵提升至相对应的架空主管道（明管，标识有污水种类和流向），进入污水处理站相应的收集调节池。</w:t>
      </w:r>
    </w:p>
    <w:p>
      <w:pPr>
        <w:pStyle w:val="390"/>
        <w:tabs>
          <w:tab w:val="clear" w:pos="1800"/>
        </w:tabs>
        <w:adjustRightInd w:val="0"/>
        <w:snapToGrid w:val="0"/>
        <w:spacing w:line="360" w:lineRule="auto"/>
        <w:ind w:left="0" w:firstLine="0"/>
        <w:outlineLvl w:val="2"/>
        <w:rPr>
          <w:rFonts w:eastAsia="黑体"/>
          <w:b/>
          <w:bCs w:val="0"/>
          <w:color w:val="auto"/>
          <w:kern w:val="21"/>
          <w:sz w:val="28"/>
          <w:szCs w:val="28"/>
          <w:u w:val="single"/>
        </w:rPr>
      </w:pPr>
      <w:r>
        <w:rPr>
          <w:rFonts w:eastAsia="黑体"/>
          <w:b/>
          <w:bCs w:val="0"/>
          <w:color w:val="auto"/>
          <w:kern w:val="21"/>
          <w:sz w:val="28"/>
          <w:szCs w:val="28"/>
          <w:u w:val="single"/>
        </w:rPr>
        <w:t>7.2.</w:t>
      </w:r>
      <w:r>
        <w:rPr>
          <w:rFonts w:hint="eastAsia" w:eastAsia="黑体"/>
          <w:b/>
          <w:bCs w:val="0"/>
          <w:color w:val="auto"/>
          <w:kern w:val="21"/>
          <w:sz w:val="28"/>
          <w:szCs w:val="28"/>
          <w:u w:val="single"/>
        </w:rPr>
        <w:t>3</w:t>
      </w:r>
      <w:r>
        <w:rPr>
          <w:rFonts w:eastAsia="黑体"/>
          <w:b/>
          <w:bCs w:val="0"/>
          <w:color w:val="auto"/>
          <w:kern w:val="21"/>
          <w:sz w:val="28"/>
          <w:szCs w:val="28"/>
          <w:u w:val="single"/>
        </w:rPr>
        <w:t>废水处理工艺的确定</w:t>
      </w:r>
    </w:p>
    <w:p>
      <w:pPr>
        <w:spacing w:line="360" w:lineRule="auto"/>
        <w:ind w:firstLine="482" w:firstLineChars="200"/>
        <w:rPr>
          <w:b/>
          <w:bCs w:val="0"/>
          <w:color w:val="auto"/>
          <w:kern w:val="21"/>
          <w:sz w:val="24"/>
          <w:u w:val="single"/>
        </w:rPr>
      </w:pPr>
      <w:r>
        <w:rPr>
          <w:rFonts w:hint="eastAsia" w:ascii="宋体" w:hAnsi="宋体"/>
          <w:b/>
          <w:bCs w:val="0"/>
          <w:color w:val="auto"/>
          <w:sz w:val="24"/>
          <w:u w:val="single"/>
        </w:rPr>
        <w:t>根据《排污许可证申请与核发技术规范  电镀</w:t>
      </w:r>
      <w:r>
        <w:rPr>
          <w:b/>
          <w:bCs w:val="0"/>
          <w:color w:val="auto"/>
          <w:sz w:val="24"/>
          <w:u w:val="single"/>
        </w:rPr>
        <w:t>工业》（HJ855-2017）、</w:t>
      </w:r>
      <w:r>
        <w:rPr>
          <w:rFonts w:hint="eastAsia"/>
          <w:b/>
          <w:bCs w:val="0"/>
          <w:color w:val="auto"/>
          <w:kern w:val="21"/>
          <w:sz w:val="24"/>
          <w:u w:val="single"/>
        </w:rPr>
        <w:t>《电镀废水治理工程技术规范》（</w:t>
      </w:r>
      <w:r>
        <w:rPr>
          <w:b/>
          <w:bCs w:val="0"/>
          <w:color w:val="auto"/>
          <w:kern w:val="21"/>
          <w:sz w:val="24"/>
          <w:u w:val="single"/>
        </w:rPr>
        <w:t>GB2002-2010</w:t>
      </w:r>
      <w:r>
        <w:rPr>
          <w:rFonts w:hint="eastAsia"/>
          <w:b/>
          <w:bCs w:val="0"/>
          <w:color w:val="auto"/>
          <w:kern w:val="21"/>
          <w:sz w:val="24"/>
          <w:u w:val="single"/>
        </w:rPr>
        <w:t>）及</w:t>
      </w:r>
      <w:r>
        <w:rPr>
          <w:b/>
          <w:bCs w:val="0"/>
          <w:color w:val="auto"/>
          <w:sz w:val="24"/>
          <w:u w:val="single"/>
        </w:rPr>
        <w:t>《污染源源强核算技术指南  电镀》（HJ984-2018）</w:t>
      </w:r>
      <w:r>
        <w:rPr>
          <w:rFonts w:hint="eastAsia"/>
          <w:b/>
          <w:bCs w:val="0"/>
          <w:color w:val="auto"/>
          <w:sz w:val="24"/>
          <w:u w:val="single"/>
        </w:rPr>
        <w:t>采用可行的治理技术，</w:t>
      </w:r>
      <w:r>
        <w:rPr>
          <w:rFonts w:hint="eastAsia"/>
          <w:b/>
          <w:bCs w:val="0"/>
          <w:color w:val="auto"/>
          <w:kern w:val="21"/>
          <w:sz w:val="24"/>
          <w:u w:val="single"/>
        </w:rPr>
        <w:t>本项目废水处理按照“污污分治、深度处理、全部回用”的原则进行设计和建设，废水处理设施按处理单元可分为预处理系统及零排放处理系统，各股废水先经各自的预处理系统预处理后，再进入零排放处理系统深度处理，处理后回用。</w:t>
      </w:r>
    </w:p>
    <w:p>
      <w:pPr>
        <w:adjustRightInd w:val="0"/>
        <w:snapToGrid w:val="0"/>
        <w:spacing w:line="360" w:lineRule="auto"/>
        <w:ind w:firstLine="482" w:firstLineChars="200"/>
        <w:rPr>
          <w:b/>
          <w:bCs w:val="0"/>
          <w:color w:val="auto"/>
          <w:kern w:val="21"/>
          <w:sz w:val="24"/>
          <w:szCs w:val="24"/>
          <w:u w:val="single"/>
        </w:rPr>
      </w:pPr>
      <w:r>
        <w:rPr>
          <w:rFonts w:hint="eastAsia"/>
          <w:b/>
          <w:bCs w:val="0"/>
          <w:color w:val="auto"/>
          <w:kern w:val="21"/>
          <w:sz w:val="24"/>
          <w:szCs w:val="24"/>
          <w:u w:val="single"/>
        </w:rPr>
        <w:t>（1）</w:t>
      </w:r>
      <w:r>
        <w:rPr>
          <w:rFonts w:hint="eastAsia"/>
          <w:b/>
          <w:bCs w:val="0"/>
          <w:color w:val="auto"/>
          <w:kern w:val="21"/>
          <w:sz w:val="24"/>
          <w:u w:val="single"/>
        </w:rPr>
        <w:t>含油废水经</w:t>
      </w:r>
      <w:r>
        <w:rPr>
          <w:rFonts w:hint="eastAsia"/>
          <w:b/>
          <w:bCs w:val="0"/>
          <w:color w:val="auto"/>
          <w:kern w:val="21"/>
          <w:sz w:val="24"/>
          <w:u w:val="single"/>
          <w:lang w:eastAsia="zh-CN"/>
        </w:rPr>
        <w:t>“</w:t>
      </w:r>
      <w:r>
        <w:rPr>
          <w:b/>
          <w:bCs w:val="0"/>
          <w:color w:val="auto"/>
          <w:kern w:val="21"/>
          <w:sz w:val="24"/>
          <w:u w:val="single"/>
        </w:rPr>
        <w:t>破乳</w:t>
      </w:r>
      <w:r>
        <w:rPr>
          <w:rFonts w:hint="eastAsia"/>
          <w:b/>
          <w:bCs w:val="0"/>
          <w:color w:val="auto"/>
          <w:kern w:val="21"/>
          <w:sz w:val="24"/>
          <w:u w:val="single"/>
        </w:rPr>
        <w:t>→</w:t>
      </w:r>
      <w:r>
        <w:rPr>
          <w:b/>
          <w:bCs w:val="0"/>
          <w:color w:val="auto"/>
          <w:kern w:val="21"/>
          <w:sz w:val="24"/>
          <w:u w:val="single"/>
        </w:rPr>
        <w:t>pH调节</w:t>
      </w:r>
      <w:r>
        <w:rPr>
          <w:rFonts w:hint="eastAsia"/>
          <w:b/>
          <w:bCs w:val="0"/>
          <w:color w:val="auto"/>
          <w:kern w:val="21"/>
          <w:sz w:val="24"/>
          <w:u w:val="single"/>
        </w:rPr>
        <w:t>→混凝→气浮</w:t>
      </w:r>
      <w:r>
        <w:rPr>
          <w:rFonts w:hint="eastAsia"/>
          <w:b/>
          <w:bCs w:val="0"/>
          <w:color w:val="auto"/>
          <w:kern w:val="21"/>
          <w:sz w:val="24"/>
          <w:u w:val="single"/>
          <w:lang w:eastAsia="zh-CN"/>
        </w:rPr>
        <w:t>”</w:t>
      </w:r>
      <w:r>
        <w:rPr>
          <w:rFonts w:hint="eastAsia"/>
          <w:b/>
          <w:bCs w:val="0"/>
          <w:color w:val="auto"/>
          <w:kern w:val="21"/>
          <w:sz w:val="24"/>
          <w:u w:val="single"/>
        </w:rPr>
        <w:t>预处理后（处理规模75t/d），先进入酸性废水预处理系统进行</w:t>
      </w:r>
      <w:r>
        <w:rPr>
          <w:rFonts w:hint="eastAsia"/>
          <w:b/>
          <w:bCs w:val="0"/>
          <w:color w:val="auto"/>
          <w:kern w:val="21"/>
          <w:sz w:val="24"/>
          <w:u w:val="single"/>
          <w:lang w:eastAsia="zh-CN"/>
        </w:rPr>
        <w:t>“</w:t>
      </w:r>
      <w:r>
        <w:rPr>
          <w:rFonts w:hint="eastAsia"/>
          <w:b/>
          <w:bCs w:val="0"/>
          <w:color w:val="auto"/>
          <w:kern w:val="21"/>
          <w:sz w:val="24"/>
          <w:u w:val="single"/>
        </w:rPr>
        <w:t>pH调节→混凝沉淀→回调→多介质过滤</w:t>
      </w:r>
      <w:r>
        <w:rPr>
          <w:rFonts w:hint="eastAsia"/>
          <w:b/>
          <w:bCs w:val="0"/>
          <w:color w:val="auto"/>
          <w:kern w:val="21"/>
          <w:sz w:val="24"/>
          <w:u w:val="single"/>
          <w:lang w:eastAsia="zh-CN"/>
        </w:rPr>
        <w:t>”</w:t>
      </w:r>
      <w:r>
        <w:rPr>
          <w:rFonts w:hint="eastAsia"/>
          <w:b/>
          <w:bCs w:val="0"/>
          <w:color w:val="auto"/>
          <w:kern w:val="21"/>
          <w:sz w:val="24"/>
          <w:u w:val="single"/>
        </w:rPr>
        <w:t>处理，再进入零排放处理系统；</w:t>
      </w:r>
    </w:p>
    <w:p>
      <w:pPr>
        <w:adjustRightInd w:val="0"/>
        <w:snapToGrid w:val="0"/>
        <w:spacing w:line="360" w:lineRule="auto"/>
        <w:ind w:firstLine="482" w:firstLineChars="200"/>
        <w:rPr>
          <w:b/>
          <w:bCs w:val="0"/>
          <w:color w:val="auto"/>
          <w:kern w:val="21"/>
          <w:sz w:val="24"/>
          <w:szCs w:val="24"/>
          <w:u w:val="single"/>
        </w:rPr>
      </w:pPr>
      <w:r>
        <w:rPr>
          <w:rFonts w:hint="eastAsia"/>
          <w:b/>
          <w:bCs w:val="0"/>
          <w:color w:val="auto"/>
          <w:kern w:val="21"/>
          <w:sz w:val="24"/>
          <w:szCs w:val="24"/>
          <w:u w:val="single"/>
        </w:rPr>
        <w:t>（2）</w:t>
      </w:r>
      <w:r>
        <w:rPr>
          <w:rFonts w:hint="eastAsia"/>
          <w:b/>
          <w:bCs w:val="0"/>
          <w:color w:val="auto"/>
          <w:kern w:val="21"/>
          <w:sz w:val="24"/>
          <w:u w:val="single"/>
        </w:rPr>
        <w:t>酸性废水经</w:t>
      </w:r>
      <w:r>
        <w:rPr>
          <w:rFonts w:hint="eastAsia"/>
          <w:b/>
          <w:bCs w:val="0"/>
          <w:color w:val="auto"/>
          <w:kern w:val="21"/>
          <w:sz w:val="24"/>
          <w:u w:val="single"/>
          <w:lang w:eastAsia="zh-CN"/>
        </w:rPr>
        <w:t>“</w:t>
      </w:r>
      <w:r>
        <w:rPr>
          <w:rFonts w:hint="eastAsia"/>
          <w:b/>
          <w:bCs w:val="0"/>
          <w:color w:val="auto"/>
          <w:kern w:val="21"/>
          <w:sz w:val="24"/>
          <w:u w:val="single"/>
        </w:rPr>
        <w:t>pH调节→混凝沉淀→回调→多介质过滤</w:t>
      </w:r>
      <w:r>
        <w:rPr>
          <w:rFonts w:hint="eastAsia"/>
          <w:b/>
          <w:bCs w:val="0"/>
          <w:color w:val="auto"/>
          <w:kern w:val="21"/>
          <w:sz w:val="24"/>
          <w:u w:val="single"/>
          <w:lang w:eastAsia="zh-CN"/>
        </w:rPr>
        <w:t>”</w:t>
      </w:r>
      <w:r>
        <w:rPr>
          <w:rFonts w:hint="eastAsia"/>
          <w:b/>
          <w:bCs w:val="0"/>
          <w:color w:val="auto"/>
          <w:kern w:val="21"/>
          <w:sz w:val="24"/>
          <w:u w:val="single"/>
        </w:rPr>
        <w:t>进行预处理（处理规模180t/d），预处理后进入零排放处理系统；</w:t>
      </w:r>
    </w:p>
    <w:p>
      <w:pPr>
        <w:adjustRightInd w:val="0"/>
        <w:snapToGrid w:val="0"/>
        <w:spacing w:line="360" w:lineRule="auto"/>
        <w:ind w:firstLine="482" w:firstLineChars="200"/>
        <w:rPr>
          <w:b/>
          <w:bCs w:val="0"/>
          <w:color w:val="auto"/>
          <w:kern w:val="21"/>
          <w:sz w:val="24"/>
          <w:szCs w:val="24"/>
          <w:u w:val="single"/>
        </w:rPr>
      </w:pPr>
      <w:r>
        <w:rPr>
          <w:rFonts w:hint="eastAsia"/>
          <w:b/>
          <w:bCs w:val="0"/>
          <w:color w:val="auto"/>
          <w:kern w:val="21"/>
          <w:sz w:val="24"/>
          <w:szCs w:val="24"/>
          <w:u w:val="single"/>
        </w:rPr>
        <w:t>（3）</w:t>
      </w:r>
      <w:r>
        <w:rPr>
          <w:rFonts w:hint="eastAsia"/>
          <w:b/>
          <w:bCs w:val="0"/>
          <w:color w:val="auto"/>
          <w:kern w:val="21"/>
          <w:sz w:val="24"/>
          <w:u w:val="single"/>
        </w:rPr>
        <w:t>地面废水经</w:t>
      </w:r>
      <w:r>
        <w:rPr>
          <w:rFonts w:hint="eastAsia"/>
          <w:b/>
          <w:bCs w:val="0"/>
          <w:color w:val="auto"/>
          <w:kern w:val="21"/>
          <w:sz w:val="24"/>
          <w:u w:val="single"/>
          <w:lang w:eastAsia="zh-CN"/>
        </w:rPr>
        <w:t>“</w:t>
      </w:r>
      <w:r>
        <w:rPr>
          <w:rFonts w:hint="eastAsia"/>
          <w:b/>
          <w:bCs w:val="0"/>
          <w:color w:val="auto"/>
          <w:sz w:val="24"/>
          <w:u w:val="single"/>
        </w:rPr>
        <w:t>氧化→pH调节→混凝沉淀→还原→混凝沉淀→回调→多介质过滤</w:t>
      </w:r>
      <w:r>
        <w:rPr>
          <w:rFonts w:hint="eastAsia"/>
          <w:b/>
          <w:bCs w:val="0"/>
          <w:color w:val="auto"/>
          <w:sz w:val="24"/>
          <w:u w:val="single"/>
          <w:lang w:eastAsia="zh-CN"/>
        </w:rPr>
        <w:t>”</w:t>
      </w:r>
      <w:r>
        <w:rPr>
          <w:rFonts w:hint="eastAsia"/>
          <w:b/>
          <w:bCs w:val="0"/>
          <w:color w:val="auto"/>
          <w:sz w:val="24"/>
          <w:u w:val="single"/>
        </w:rPr>
        <w:t>工艺进行预处理</w:t>
      </w:r>
      <w:r>
        <w:rPr>
          <w:rFonts w:hint="eastAsia"/>
          <w:b/>
          <w:bCs w:val="0"/>
          <w:color w:val="auto"/>
          <w:kern w:val="21"/>
          <w:sz w:val="24"/>
          <w:u w:val="single"/>
        </w:rPr>
        <w:t>（处理规模2t/d），预处理后进入零排放处理系统；</w:t>
      </w:r>
    </w:p>
    <w:p>
      <w:pPr>
        <w:adjustRightInd w:val="0"/>
        <w:snapToGrid w:val="0"/>
        <w:spacing w:line="360" w:lineRule="auto"/>
        <w:ind w:firstLine="482" w:firstLineChars="200"/>
        <w:rPr>
          <w:b/>
          <w:bCs w:val="0"/>
          <w:color w:val="auto"/>
          <w:kern w:val="21"/>
          <w:sz w:val="24"/>
          <w:u w:val="single"/>
        </w:rPr>
      </w:pPr>
      <w:r>
        <w:rPr>
          <w:rFonts w:hint="eastAsia"/>
          <w:b/>
          <w:bCs w:val="0"/>
          <w:color w:val="auto"/>
          <w:kern w:val="21"/>
          <w:sz w:val="24"/>
          <w:szCs w:val="24"/>
          <w:u w:val="single"/>
        </w:rPr>
        <w:t>（4）</w:t>
      </w:r>
      <w:r>
        <w:rPr>
          <w:rFonts w:hint="eastAsia"/>
          <w:b/>
          <w:bCs w:val="0"/>
          <w:color w:val="auto"/>
          <w:kern w:val="21"/>
          <w:sz w:val="24"/>
          <w:u w:val="single"/>
        </w:rPr>
        <w:t>含镍废水经</w:t>
      </w:r>
      <w:r>
        <w:rPr>
          <w:rFonts w:hint="eastAsia"/>
          <w:b/>
          <w:bCs w:val="0"/>
          <w:color w:val="auto"/>
          <w:kern w:val="21"/>
          <w:sz w:val="24"/>
          <w:u w:val="single"/>
          <w:lang w:eastAsia="zh-CN"/>
        </w:rPr>
        <w:t>“</w:t>
      </w:r>
      <w:r>
        <w:rPr>
          <w:rFonts w:hint="eastAsia"/>
          <w:b/>
          <w:bCs w:val="0"/>
          <w:color w:val="auto"/>
          <w:sz w:val="24"/>
          <w:u w:val="single"/>
        </w:rPr>
        <w:t>pH调节→混凝沉淀→回调→多介质过滤</w:t>
      </w:r>
      <w:r>
        <w:rPr>
          <w:rFonts w:hint="eastAsia"/>
          <w:b/>
          <w:bCs w:val="0"/>
          <w:color w:val="auto"/>
          <w:sz w:val="24"/>
          <w:u w:val="single"/>
          <w:lang w:eastAsia="zh-CN"/>
        </w:rPr>
        <w:t>”</w:t>
      </w:r>
      <w:r>
        <w:rPr>
          <w:rFonts w:hint="eastAsia"/>
          <w:b/>
          <w:bCs w:val="0"/>
          <w:color w:val="auto"/>
          <w:kern w:val="21"/>
          <w:sz w:val="24"/>
          <w:u w:val="single"/>
        </w:rPr>
        <w:t>进行预处理（处理规模85t/d），预处理后进入零排放处理系统；</w:t>
      </w:r>
    </w:p>
    <w:p>
      <w:pPr>
        <w:adjustRightInd w:val="0"/>
        <w:snapToGrid w:val="0"/>
        <w:spacing w:line="360" w:lineRule="auto"/>
        <w:ind w:firstLine="482" w:firstLineChars="200"/>
        <w:rPr>
          <w:b/>
          <w:bCs w:val="0"/>
          <w:color w:val="auto"/>
          <w:kern w:val="21"/>
          <w:sz w:val="24"/>
          <w:u w:val="single"/>
        </w:rPr>
      </w:pPr>
      <w:r>
        <w:rPr>
          <w:rFonts w:hint="eastAsia"/>
          <w:b/>
          <w:bCs w:val="0"/>
          <w:color w:val="auto"/>
          <w:kern w:val="21"/>
          <w:sz w:val="24"/>
          <w:szCs w:val="24"/>
          <w:u w:val="single"/>
        </w:rPr>
        <w:t>（5）</w:t>
      </w:r>
      <w:r>
        <w:rPr>
          <w:rFonts w:hint="eastAsia"/>
          <w:b/>
          <w:bCs w:val="0"/>
          <w:color w:val="auto"/>
          <w:kern w:val="21"/>
          <w:sz w:val="24"/>
          <w:u w:val="single"/>
        </w:rPr>
        <w:t>含锌废水经</w:t>
      </w:r>
      <w:r>
        <w:rPr>
          <w:rFonts w:hint="eastAsia"/>
          <w:b/>
          <w:bCs w:val="0"/>
          <w:color w:val="auto"/>
          <w:kern w:val="21"/>
          <w:sz w:val="24"/>
          <w:u w:val="single"/>
          <w:lang w:eastAsia="zh-CN"/>
        </w:rPr>
        <w:t>“</w:t>
      </w:r>
      <w:r>
        <w:rPr>
          <w:rFonts w:hint="eastAsia"/>
          <w:b/>
          <w:bCs w:val="0"/>
          <w:color w:val="auto"/>
          <w:sz w:val="24"/>
          <w:u w:val="single"/>
        </w:rPr>
        <w:t>pH调节→混凝沉淀→回调→多介质过滤</w:t>
      </w:r>
      <w:r>
        <w:rPr>
          <w:rFonts w:hint="eastAsia"/>
          <w:b/>
          <w:bCs w:val="0"/>
          <w:color w:val="auto"/>
          <w:sz w:val="24"/>
          <w:u w:val="single"/>
          <w:lang w:eastAsia="zh-CN"/>
        </w:rPr>
        <w:t>”</w:t>
      </w:r>
      <w:r>
        <w:rPr>
          <w:rFonts w:hint="eastAsia"/>
          <w:b/>
          <w:bCs w:val="0"/>
          <w:color w:val="auto"/>
          <w:kern w:val="21"/>
          <w:sz w:val="24"/>
          <w:u w:val="single"/>
        </w:rPr>
        <w:t>进行预处理（处理规模10t/d），预处理后进入零排放处理系统；</w:t>
      </w:r>
    </w:p>
    <w:p>
      <w:pPr>
        <w:tabs>
          <w:tab w:val="left" w:pos="1643"/>
        </w:tabs>
        <w:adjustRightInd w:val="0"/>
        <w:snapToGrid w:val="0"/>
        <w:spacing w:line="360" w:lineRule="auto"/>
        <w:ind w:firstLine="482" w:firstLineChars="200"/>
        <w:rPr>
          <w:b/>
          <w:bCs w:val="0"/>
          <w:color w:val="auto"/>
          <w:kern w:val="21"/>
          <w:sz w:val="24"/>
          <w:u w:val="single"/>
        </w:rPr>
      </w:pPr>
      <w:r>
        <w:rPr>
          <w:rFonts w:hint="eastAsia"/>
          <w:b/>
          <w:bCs w:val="0"/>
          <w:color w:val="auto"/>
          <w:kern w:val="21"/>
          <w:sz w:val="24"/>
          <w:szCs w:val="24"/>
          <w:u w:val="single"/>
        </w:rPr>
        <w:t>（6）</w:t>
      </w:r>
      <w:r>
        <w:rPr>
          <w:rFonts w:hint="eastAsia"/>
          <w:b/>
          <w:bCs w:val="0"/>
          <w:color w:val="auto"/>
          <w:kern w:val="21"/>
          <w:sz w:val="24"/>
          <w:u w:val="single"/>
        </w:rPr>
        <w:t>含铬废水经</w:t>
      </w:r>
      <w:r>
        <w:rPr>
          <w:rFonts w:hint="eastAsia"/>
          <w:b/>
          <w:bCs w:val="0"/>
          <w:color w:val="auto"/>
          <w:kern w:val="21"/>
          <w:sz w:val="24"/>
          <w:u w:val="single"/>
          <w:lang w:eastAsia="zh-CN"/>
        </w:rPr>
        <w:t>“</w:t>
      </w:r>
      <w:r>
        <w:rPr>
          <w:rFonts w:hint="eastAsia"/>
          <w:b/>
          <w:bCs w:val="0"/>
          <w:color w:val="auto"/>
          <w:sz w:val="24"/>
          <w:u w:val="single"/>
        </w:rPr>
        <w:t>还原→pH调节→混凝沉淀→回调→多介质过滤</w:t>
      </w:r>
      <w:r>
        <w:rPr>
          <w:rFonts w:hint="eastAsia"/>
          <w:b/>
          <w:bCs w:val="0"/>
          <w:color w:val="auto"/>
          <w:sz w:val="24"/>
          <w:u w:val="single"/>
          <w:lang w:eastAsia="zh-CN"/>
        </w:rPr>
        <w:t>”</w:t>
      </w:r>
      <w:r>
        <w:rPr>
          <w:rFonts w:hint="eastAsia"/>
          <w:b/>
          <w:bCs w:val="0"/>
          <w:color w:val="auto"/>
          <w:kern w:val="21"/>
          <w:sz w:val="24"/>
          <w:u w:val="single"/>
        </w:rPr>
        <w:t>进行预处理（处理规模150t/d），预处理后进入零排放处理系统；</w:t>
      </w:r>
    </w:p>
    <w:p>
      <w:pPr>
        <w:tabs>
          <w:tab w:val="left" w:pos="1643"/>
        </w:tabs>
        <w:adjustRightInd w:val="0"/>
        <w:snapToGrid w:val="0"/>
        <w:spacing w:line="360" w:lineRule="auto"/>
        <w:ind w:firstLine="482" w:firstLineChars="200"/>
        <w:rPr>
          <w:b/>
          <w:bCs w:val="0"/>
          <w:color w:val="auto"/>
          <w:kern w:val="21"/>
          <w:sz w:val="24"/>
          <w:szCs w:val="24"/>
          <w:u w:val="single"/>
        </w:rPr>
      </w:pPr>
      <w:r>
        <w:rPr>
          <w:rFonts w:hint="eastAsia"/>
          <w:b/>
          <w:bCs w:val="0"/>
          <w:color w:val="auto"/>
          <w:kern w:val="21"/>
          <w:sz w:val="24"/>
          <w:u w:val="single"/>
        </w:rPr>
        <w:t>（7）上述废水经预处理后全部进入零排放处理系统（处理规模450t/d），先进入中间水池进行均质均量，</w:t>
      </w:r>
      <w:r>
        <w:rPr>
          <w:b/>
          <w:bCs w:val="0"/>
          <w:color w:val="auto"/>
          <w:kern w:val="0"/>
          <w:sz w:val="24"/>
          <w:szCs w:val="24"/>
          <w:u w:val="single"/>
        </w:rPr>
        <w:t>经提升泵提升进</w:t>
      </w:r>
      <w:r>
        <w:rPr>
          <w:rFonts w:hint="eastAsia"/>
          <w:b/>
          <w:bCs w:val="0"/>
          <w:color w:val="auto"/>
          <w:kern w:val="0"/>
          <w:sz w:val="24"/>
          <w:szCs w:val="24"/>
          <w:u w:val="single"/>
        </w:rPr>
        <w:t>入生化</w:t>
      </w:r>
      <w:r>
        <w:rPr>
          <w:b/>
          <w:bCs w:val="0"/>
          <w:color w:val="auto"/>
          <w:kern w:val="0"/>
          <w:sz w:val="24"/>
          <w:szCs w:val="24"/>
          <w:u w:val="single"/>
        </w:rPr>
        <w:t>处理系统，生化处理系统由厌氧池、缺氧池、好氧/MBR 池组成，可去除废</w:t>
      </w:r>
      <w:r>
        <w:rPr>
          <w:rFonts w:hint="eastAsia"/>
          <w:b/>
          <w:bCs w:val="0"/>
          <w:color w:val="auto"/>
          <w:kern w:val="0"/>
          <w:sz w:val="24"/>
          <w:szCs w:val="24"/>
          <w:u w:val="single"/>
        </w:rPr>
        <w:t>水</w:t>
      </w:r>
      <w:r>
        <w:rPr>
          <w:b/>
          <w:bCs w:val="0"/>
          <w:color w:val="auto"/>
          <w:kern w:val="0"/>
          <w:sz w:val="24"/>
          <w:szCs w:val="24"/>
          <w:u w:val="single"/>
        </w:rPr>
        <w:t>中的有机物、氨氮、总氮等污染物，减少膜系统和蒸发器的污堵，同时</w:t>
      </w:r>
      <w:r>
        <w:rPr>
          <w:rFonts w:hint="eastAsia"/>
          <w:b/>
          <w:bCs w:val="0"/>
          <w:color w:val="auto"/>
          <w:kern w:val="0"/>
          <w:sz w:val="24"/>
          <w:szCs w:val="24"/>
          <w:u w:val="single"/>
        </w:rPr>
        <w:t>生化</w:t>
      </w:r>
      <w:r>
        <w:rPr>
          <w:b/>
          <w:bCs w:val="0"/>
          <w:color w:val="auto"/>
          <w:kern w:val="0"/>
          <w:sz w:val="24"/>
          <w:szCs w:val="24"/>
          <w:u w:val="single"/>
        </w:rPr>
        <w:t>系统MBR产</w:t>
      </w:r>
      <w:r>
        <w:rPr>
          <w:rFonts w:hint="eastAsia"/>
          <w:b/>
          <w:bCs w:val="0"/>
          <w:color w:val="auto"/>
          <w:kern w:val="0"/>
          <w:sz w:val="24"/>
          <w:szCs w:val="24"/>
          <w:u w:val="single"/>
        </w:rPr>
        <w:t>水</w:t>
      </w:r>
      <w:r>
        <w:rPr>
          <w:b/>
          <w:bCs w:val="0"/>
          <w:color w:val="auto"/>
          <w:kern w:val="0"/>
          <w:sz w:val="24"/>
          <w:szCs w:val="24"/>
          <w:u w:val="single"/>
        </w:rPr>
        <w:t>可直接进</w:t>
      </w:r>
      <w:r>
        <w:rPr>
          <w:rFonts w:hint="eastAsia"/>
          <w:b/>
          <w:bCs w:val="0"/>
          <w:color w:val="auto"/>
          <w:kern w:val="0"/>
          <w:sz w:val="24"/>
          <w:szCs w:val="24"/>
          <w:u w:val="single"/>
        </w:rPr>
        <w:t>入一</w:t>
      </w:r>
      <w:r>
        <w:rPr>
          <w:b/>
          <w:bCs w:val="0"/>
          <w:color w:val="auto"/>
          <w:kern w:val="0"/>
          <w:sz w:val="24"/>
          <w:szCs w:val="24"/>
          <w:u w:val="single"/>
        </w:rPr>
        <w:t>级反渗透。一级反渗透的浓水进</w:t>
      </w:r>
      <w:r>
        <w:rPr>
          <w:rFonts w:hint="eastAsia"/>
          <w:b/>
          <w:bCs w:val="0"/>
          <w:color w:val="auto"/>
          <w:kern w:val="0"/>
          <w:sz w:val="24"/>
          <w:szCs w:val="24"/>
          <w:u w:val="single"/>
        </w:rPr>
        <w:t>入</w:t>
      </w:r>
      <w:r>
        <w:rPr>
          <w:b/>
          <w:bCs w:val="0"/>
          <w:color w:val="auto"/>
          <w:kern w:val="0"/>
          <w:sz w:val="24"/>
          <w:szCs w:val="24"/>
          <w:u w:val="single"/>
        </w:rPr>
        <w:t>深度软化系统去除</w:t>
      </w:r>
      <w:r>
        <w:rPr>
          <w:rFonts w:hint="eastAsia"/>
          <w:b/>
          <w:bCs w:val="0"/>
          <w:color w:val="auto"/>
          <w:kern w:val="0"/>
          <w:sz w:val="24"/>
          <w:szCs w:val="24"/>
          <w:u w:val="single"/>
        </w:rPr>
        <w:t>水</w:t>
      </w:r>
      <w:r>
        <w:rPr>
          <w:b/>
          <w:bCs w:val="0"/>
          <w:color w:val="auto"/>
          <w:kern w:val="0"/>
          <w:sz w:val="24"/>
          <w:szCs w:val="24"/>
          <w:u w:val="single"/>
        </w:rPr>
        <w:t>中的硬度后，进入二级膜系统（运行压力约350~450bar）进一步脱盐，二级浓</w:t>
      </w:r>
      <w:r>
        <w:rPr>
          <w:rFonts w:hint="eastAsia"/>
          <w:b/>
          <w:bCs w:val="0"/>
          <w:color w:val="auto"/>
          <w:kern w:val="0"/>
          <w:sz w:val="24"/>
          <w:szCs w:val="24"/>
          <w:u w:val="single"/>
        </w:rPr>
        <w:t>水</w:t>
      </w:r>
      <w:r>
        <w:rPr>
          <w:b/>
          <w:bCs w:val="0"/>
          <w:color w:val="auto"/>
          <w:kern w:val="0"/>
          <w:sz w:val="24"/>
          <w:szCs w:val="24"/>
          <w:u w:val="single"/>
        </w:rPr>
        <w:t>进入DTRO （运行压力约800~900bar）继续浓缩后，最终剩余约10%的浓液进入MVR 蒸发器蒸发结晶，结晶盐委外处理。多级膜浓缩系统产</w:t>
      </w:r>
      <w:r>
        <w:rPr>
          <w:rFonts w:hint="eastAsia"/>
          <w:b/>
          <w:bCs w:val="0"/>
          <w:color w:val="auto"/>
          <w:kern w:val="0"/>
          <w:sz w:val="24"/>
          <w:szCs w:val="24"/>
          <w:u w:val="single"/>
        </w:rPr>
        <w:t>水</w:t>
      </w:r>
      <w:r>
        <w:rPr>
          <w:b/>
          <w:bCs w:val="0"/>
          <w:color w:val="auto"/>
          <w:kern w:val="0"/>
          <w:sz w:val="24"/>
          <w:szCs w:val="24"/>
          <w:u w:val="single"/>
        </w:rPr>
        <w:t>与蒸发冷凝</w:t>
      </w:r>
      <w:r>
        <w:rPr>
          <w:rFonts w:hint="eastAsia"/>
          <w:b/>
          <w:bCs w:val="0"/>
          <w:color w:val="auto"/>
          <w:kern w:val="0"/>
          <w:sz w:val="24"/>
          <w:szCs w:val="24"/>
          <w:u w:val="single"/>
        </w:rPr>
        <w:t>水</w:t>
      </w:r>
      <w:r>
        <w:rPr>
          <w:b/>
          <w:bCs w:val="0"/>
          <w:color w:val="auto"/>
          <w:kern w:val="0"/>
          <w:sz w:val="24"/>
          <w:szCs w:val="24"/>
          <w:u w:val="single"/>
        </w:rPr>
        <w:t>经两级脱盐RO 脱盐后电导</w:t>
      </w:r>
      <w:r>
        <w:rPr>
          <w:rFonts w:hint="eastAsia"/>
          <w:b/>
          <w:bCs w:val="0"/>
          <w:color w:val="auto"/>
          <w:kern w:val="0"/>
          <w:sz w:val="24"/>
          <w:szCs w:val="24"/>
          <w:u w:val="single"/>
        </w:rPr>
        <w:t>小</w:t>
      </w:r>
      <w:r>
        <w:rPr>
          <w:b/>
          <w:bCs w:val="0"/>
          <w:color w:val="auto"/>
          <w:kern w:val="0"/>
          <w:sz w:val="24"/>
          <w:szCs w:val="24"/>
          <w:u w:val="single"/>
        </w:rPr>
        <w:t>于20us/cm 后回</w:t>
      </w:r>
      <w:r>
        <w:rPr>
          <w:rFonts w:hint="eastAsia"/>
          <w:b/>
          <w:bCs w:val="0"/>
          <w:color w:val="auto"/>
          <w:kern w:val="0"/>
          <w:sz w:val="24"/>
          <w:szCs w:val="24"/>
          <w:u w:val="single"/>
        </w:rPr>
        <w:t>用</w:t>
      </w:r>
      <w:r>
        <w:rPr>
          <w:b/>
          <w:bCs w:val="0"/>
          <w:color w:val="auto"/>
          <w:kern w:val="0"/>
          <w:sz w:val="24"/>
          <w:szCs w:val="24"/>
          <w:u w:val="single"/>
        </w:rPr>
        <w:t>于车间生产。</w:t>
      </w:r>
    </w:p>
    <w:p>
      <w:pPr>
        <w:adjustRightInd w:val="0"/>
        <w:snapToGrid w:val="0"/>
        <w:spacing w:line="360" w:lineRule="auto"/>
        <w:ind w:firstLine="482" w:firstLineChars="200"/>
        <w:rPr>
          <w:b/>
          <w:bCs w:val="0"/>
          <w:color w:val="auto"/>
          <w:kern w:val="21"/>
          <w:sz w:val="24"/>
          <w:szCs w:val="24"/>
          <w:u w:val="single"/>
        </w:rPr>
      </w:pPr>
      <w:r>
        <w:rPr>
          <w:rFonts w:hint="eastAsia"/>
          <w:b/>
          <w:bCs w:val="0"/>
          <w:color w:val="auto"/>
          <w:kern w:val="21"/>
          <w:sz w:val="24"/>
          <w:szCs w:val="24"/>
          <w:u w:val="single"/>
        </w:rPr>
        <w:t>（8）</w:t>
      </w:r>
      <w:r>
        <w:rPr>
          <w:b/>
          <w:bCs w:val="0"/>
          <w:color w:val="auto"/>
          <w:kern w:val="21"/>
          <w:sz w:val="24"/>
          <w:szCs w:val="24"/>
          <w:u w:val="single"/>
        </w:rPr>
        <w:t>纯水制备浓水、</w:t>
      </w:r>
      <w:r>
        <w:rPr>
          <w:rFonts w:hint="eastAsia"/>
          <w:b/>
          <w:bCs w:val="0"/>
          <w:color w:val="auto"/>
          <w:kern w:val="21"/>
          <w:sz w:val="24"/>
          <w:szCs w:val="24"/>
          <w:u w:val="single"/>
          <w:lang w:eastAsia="zh-CN"/>
        </w:rPr>
        <w:t>锅炉浓水</w:t>
      </w:r>
      <w:r>
        <w:rPr>
          <w:b/>
          <w:bCs w:val="0"/>
          <w:color w:val="auto"/>
          <w:kern w:val="21"/>
          <w:sz w:val="24"/>
          <w:szCs w:val="24"/>
          <w:u w:val="single"/>
        </w:rPr>
        <w:t>及生活污水直接排至厂区总排口，经市政管网</w:t>
      </w:r>
      <w:r>
        <w:rPr>
          <w:rFonts w:hint="eastAsia"/>
          <w:b/>
          <w:bCs w:val="0"/>
          <w:color w:val="auto"/>
          <w:kern w:val="21"/>
          <w:sz w:val="24"/>
          <w:szCs w:val="24"/>
          <w:u w:val="single"/>
        </w:rPr>
        <w:t>排入同盟污水处理厂。</w:t>
      </w:r>
    </w:p>
    <w:p>
      <w:pPr>
        <w:adjustRightInd w:val="0"/>
        <w:snapToGrid w:val="0"/>
        <w:spacing w:line="360" w:lineRule="auto"/>
        <w:ind w:firstLine="480" w:firstLineChars="200"/>
        <w:rPr>
          <w:b/>
          <w:bCs/>
          <w:color w:val="auto"/>
          <w:kern w:val="21"/>
          <w:sz w:val="24"/>
          <w:szCs w:val="24"/>
          <w:u w:val="single"/>
        </w:rPr>
      </w:pPr>
      <w:r>
        <w:rPr>
          <w:rFonts w:hint="eastAsia"/>
          <w:color w:val="auto"/>
          <w:kern w:val="21"/>
          <w:sz w:val="24"/>
          <w:szCs w:val="24"/>
        </w:rPr>
        <w:t>（9）</w:t>
      </w:r>
      <w:r>
        <w:rPr>
          <w:rFonts w:hint="eastAsia"/>
          <w:b/>
          <w:bCs/>
          <w:color w:val="auto"/>
          <w:kern w:val="21"/>
          <w:sz w:val="24"/>
          <w:szCs w:val="24"/>
          <w:u w:val="single"/>
        </w:rPr>
        <w:t>各预处理系统从沉淀池底部将污泥排入各自的污泥池，通过污泥专用泵打入高压隔膜压滤机内压榨，滤液返回到调节池内，泥饼交有资质</w:t>
      </w:r>
      <w:r>
        <w:rPr>
          <w:rFonts w:hint="eastAsia"/>
          <w:b/>
          <w:bCs/>
          <w:color w:val="auto"/>
          <w:kern w:val="21"/>
          <w:sz w:val="24"/>
          <w:szCs w:val="24"/>
          <w:u w:val="single"/>
          <w:lang w:val="en-US" w:eastAsia="zh-CN"/>
        </w:rPr>
        <w:t>的</w:t>
      </w:r>
      <w:r>
        <w:rPr>
          <w:rFonts w:hint="eastAsia"/>
          <w:b/>
          <w:bCs/>
          <w:color w:val="auto"/>
          <w:kern w:val="21"/>
          <w:sz w:val="24"/>
          <w:szCs w:val="24"/>
          <w:u w:val="single"/>
        </w:rPr>
        <w:t>单位处置。</w:t>
      </w:r>
    </w:p>
    <w:p>
      <w:pPr>
        <w:adjustRightInd w:val="0"/>
        <w:snapToGrid w:val="0"/>
        <w:spacing w:line="360" w:lineRule="auto"/>
        <w:ind w:firstLine="482" w:firstLineChars="200"/>
        <w:rPr>
          <w:b/>
          <w:color w:val="auto"/>
          <w:kern w:val="21"/>
          <w:sz w:val="24"/>
          <w:szCs w:val="24"/>
          <w:u w:val="single"/>
        </w:rPr>
      </w:pPr>
      <w:r>
        <w:rPr>
          <w:b/>
          <w:color w:val="auto"/>
          <w:kern w:val="21"/>
          <w:sz w:val="24"/>
          <w:szCs w:val="24"/>
          <w:u w:val="single"/>
        </w:rPr>
        <w:t>零排放处理系统污泥为生化处理产生的生化污泥，废水经好氧处理到</w:t>
      </w:r>
      <w:r>
        <w:rPr>
          <w:rFonts w:hint="eastAsia"/>
          <w:b/>
          <w:color w:val="auto"/>
          <w:kern w:val="21"/>
          <w:sz w:val="24"/>
          <w:szCs w:val="24"/>
          <w:u w:val="single"/>
        </w:rPr>
        <w:t>MBR排除污泥，污泥一部分回流至厌氧池，另一部分排入生化污泥池，然后通过污泥专用泵打入压滤机内压榨，生化处理系统拟进行二次压榨，降低含水率，滤液返回到调节池内，泥饼交有资质的单位处置。</w:t>
      </w:r>
    </w:p>
    <w:p>
      <w:pPr>
        <w:pStyle w:val="43"/>
        <w:spacing w:line="360" w:lineRule="auto"/>
        <w:ind w:firstLine="482" w:firstLineChars="200"/>
        <w:rPr>
          <w:color w:val="auto"/>
        </w:rPr>
      </w:pPr>
      <w:r>
        <w:rPr>
          <w:rFonts w:hint="eastAsia" w:ascii="Times New Roman" w:hAnsi="Times New Roman"/>
          <w:b/>
          <w:color w:val="auto"/>
          <w:kern w:val="21"/>
          <w:sz w:val="24"/>
          <w:szCs w:val="24"/>
          <w:u w:val="single"/>
        </w:rPr>
        <w:t>整个污水处理站占地面积约2156m</w:t>
      </w:r>
      <w:r>
        <w:rPr>
          <w:rFonts w:hint="eastAsia" w:ascii="Times New Roman" w:hAnsi="Times New Roman"/>
          <w:b/>
          <w:color w:val="auto"/>
          <w:kern w:val="21"/>
          <w:sz w:val="24"/>
          <w:szCs w:val="24"/>
          <w:u w:val="single"/>
          <w:vertAlign w:val="superscript"/>
        </w:rPr>
        <w:t>2</w:t>
      </w:r>
      <w:r>
        <w:rPr>
          <w:rFonts w:hint="eastAsia" w:ascii="Times New Roman" w:hAnsi="Times New Roman"/>
          <w:b/>
          <w:color w:val="auto"/>
          <w:kern w:val="21"/>
          <w:sz w:val="24"/>
          <w:szCs w:val="24"/>
          <w:u w:val="single"/>
        </w:rPr>
        <w:t>，采用双层设计，一层主要是预处理单元、膜单元、污泥收集及MVR蒸发以及多功能用房，二层主要为废液收集及深度处理单元等相关设施。具体平面布置图见附图九。</w:t>
      </w:r>
    </w:p>
    <w:p>
      <w:pPr>
        <w:adjustRightInd w:val="0"/>
        <w:snapToGrid w:val="0"/>
        <w:spacing w:line="360" w:lineRule="auto"/>
        <w:ind w:firstLine="482" w:firstLineChars="200"/>
        <w:rPr>
          <w:color w:val="auto"/>
          <w:kern w:val="21"/>
          <w:sz w:val="24"/>
          <w:szCs w:val="24"/>
        </w:rPr>
        <w:sectPr>
          <w:headerReference r:id="rId22" w:type="default"/>
          <w:footerReference r:id="rId23" w:type="default"/>
          <w:pgSz w:w="11907" w:h="16840"/>
          <w:pgMar w:top="1440" w:right="1800" w:bottom="1440" w:left="1800" w:header="1134" w:footer="1186" w:gutter="0"/>
          <w:cols w:space="720" w:num="1"/>
        </w:sectPr>
      </w:pPr>
      <w:r>
        <w:rPr>
          <w:rFonts w:hint="eastAsia"/>
          <w:b/>
          <w:bCs/>
          <w:color w:val="auto"/>
          <w:kern w:val="21"/>
          <w:sz w:val="24"/>
          <w:szCs w:val="24"/>
          <w:u w:val="single"/>
        </w:rPr>
        <w:t>本项目废水处理站废水处理整体工艺流程见下图。</w:t>
      </w:r>
    </w:p>
    <w:p>
      <w:pPr>
        <w:adjustRightInd w:val="0"/>
        <w:snapToGrid w:val="0"/>
        <w:spacing w:line="360" w:lineRule="auto"/>
        <w:jc w:val="center"/>
        <w:rPr>
          <w:rFonts w:hint="eastAsia" w:eastAsia="宋体"/>
          <w:color w:val="auto"/>
          <w:kern w:val="21"/>
          <w:sz w:val="24"/>
          <w:szCs w:val="24"/>
          <w:lang w:eastAsia="zh-CN"/>
        </w:rPr>
      </w:pPr>
      <w:r>
        <w:rPr>
          <w:rFonts w:hint="eastAsia" w:eastAsia="宋体"/>
          <w:color w:val="auto"/>
          <w:kern w:val="21"/>
          <w:sz w:val="24"/>
          <w:szCs w:val="24"/>
          <w:lang w:eastAsia="zh-CN"/>
        </w:rPr>
        <w:drawing>
          <wp:anchor distT="0" distB="0" distL="114300" distR="114300" simplePos="0" relativeHeight="251788288" behindDoc="0" locked="0" layoutInCell="1" allowOverlap="1">
            <wp:simplePos x="0" y="0"/>
            <wp:positionH relativeFrom="column">
              <wp:posOffset>938530</wp:posOffset>
            </wp:positionH>
            <wp:positionV relativeFrom="page">
              <wp:posOffset>991870</wp:posOffset>
            </wp:positionV>
            <wp:extent cx="8342630" cy="5340350"/>
            <wp:effectExtent l="0" t="0" r="1270" b="12700"/>
            <wp:wrapNone/>
            <wp:docPr id="627" name="图片 627" descr="零排放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零排放图"/>
                    <pic:cNvPicPr>
                      <a:picLocks noChangeAspect="1"/>
                    </pic:cNvPicPr>
                  </pic:nvPicPr>
                  <pic:blipFill>
                    <a:blip r:embed="rId64"/>
                    <a:stretch>
                      <a:fillRect/>
                    </a:stretch>
                  </pic:blipFill>
                  <pic:spPr>
                    <a:xfrm>
                      <a:off x="0" y="0"/>
                      <a:ext cx="8342630" cy="5340350"/>
                    </a:xfrm>
                    <a:prstGeom prst="rect">
                      <a:avLst/>
                    </a:prstGeom>
                  </pic:spPr>
                </pic:pic>
              </a:graphicData>
            </a:graphic>
          </wp:anchor>
        </w:drawing>
      </w: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rFonts w:hint="eastAsia" w:eastAsia="宋体"/>
          <w:color w:val="auto"/>
          <w:kern w:val="21"/>
          <w:sz w:val="24"/>
          <w:szCs w:val="24"/>
          <w:lang w:eastAsia="zh-CN"/>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43"/>
        <w:rPr>
          <w:color w:val="auto"/>
          <w:kern w:val="21"/>
          <w:sz w:val="24"/>
          <w:szCs w:val="24"/>
        </w:rPr>
      </w:pPr>
    </w:p>
    <w:p>
      <w:pPr>
        <w:pStyle w:val="32"/>
        <w:adjustRightInd w:val="0"/>
        <w:snapToGrid w:val="0"/>
        <w:spacing w:after="0"/>
        <w:jc w:val="center"/>
        <w:rPr>
          <w:rFonts w:hint="eastAsia" w:eastAsia="黑体"/>
          <w:b/>
          <w:bCs w:val="0"/>
          <w:color w:val="auto"/>
          <w:kern w:val="21"/>
          <w:sz w:val="24"/>
          <w:u w:val="single"/>
          <w:lang w:val="en-US"/>
        </w:rPr>
      </w:pPr>
    </w:p>
    <w:p>
      <w:pPr>
        <w:pStyle w:val="32"/>
        <w:adjustRightInd w:val="0"/>
        <w:snapToGrid w:val="0"/>
        <w:spacing w:after="0"/>
        <w:jc w:val="center"/>
        <w:rPr>
          <w:rFonts w:eastAsia="黑体"/>
          <w:b/>
          <w:bCs w:val="0"/>
          <w:color w:val="auto"/>
          <w:kern w:val="21"/>
          <w:sz w:val="24"/>
          <w:u w:val="single"/>
          <w:lang w:val="en-US"/>
        </w:rPr>
        <w:sectPr>
          <w:pgSz w:w="16840" w:h="11907" w:orient="landscape"/>
          <w:pgMar w:top="624" w:right="720" w:bottom="720" w:left="624" w:header="1134" w:footer="1185" w:gutter="0"/>
          <w:cols w:space="720" w:num="1"/>
          <w:docGrid w:linePitch="286" w:charSpace="0"/>
        </w:sectPr>
      </w:pPr>
      <w:r>
        <w:rPr>
          <w:rFonts w:hint="eastAsia" w:eastAsia="黑体"/>
          <w:b/>
          <w:bCs w:val="0"/>
          <w:color w:val="auto"/>
          <w:kern w:val="21"/>
          <w:sz w:val="24"/>
          <w:u w:val="single"/>
          <w:lang w:val="en-US"/>
        </w:rPr>
        <w:t>图7.2-1   废水处理站废水处理整体工艺流程</w:t>
      </w:r>
    </w:p>
    <w:p>
      <w:pPr>
        <w:pStyle w:val="390"/>
        <w:tabs>
          <w:tab w:val="clear" w:pos="1800"/>
        </w:tabs>
        <w:adjustRightInd w:val="0"/>
        <w:snapToGrid w:val="0"/>
        <w:spacing w:line="360" w:lineRule="auto"/>
        <w:ind w:left="0" w:firstLine="0"/>
        <w:outlineLvl w:val="2"/>
        <w:rPr>
          <w:rFonts w:eastAsia="黑体"/>
          <w:b/>
          <w:bCs w:val="0"/>
          <w:color w:val="auto"/>
          <w:kern w:val="21"/>
          <w:sz w:val="28"/>
          <w:szCs w:val="28"/>
          <w:u w:val="single"/>
        </w:rPr>
      </w:pPr>
      <w:r>
        <w:rPr>
          <w:rFonts w:eastAsia="黑体"/>
          <w:b/>
          <w:bCs w:val="0"/>
          <w:color w:val="auto"/>
          <w:kern w:val="21"/>
          <w:sz w:val="28"/>
          <w:szCs w:val="28"/>
          <w:u w:val="single"/>
        </w:rPr>
        <w:t>7.2.</w:t>
      </w:r>
      <w:r>
        <w:rPr>
          <w:rFonts w:hint="eastAsia" w:eastAsia="黑体"/>
          <w:b/>
          <w:bCs w:val="0"/>
          <w:color w:val="auto"/>
          <w:kern w:val="21"/>
          <w:sz w:val="28"/>
          <w:szCs w:val="28"/>
          <w:u w:val="single"/>
        </w:rPr>
        <w:t>4各类</w:t>
      </w:r>
      <w:r>
        <w:rPr>
          <w:rFonts w:eastAsia="黑体"/>
          <w:b/>
          <w:bCs w:val="0"/>
          <w:color w:val="auto"/>
          <w:kern w:val="21"/>
          <w:sz w:val="28"/>
          <w:szCs w:val="28"/>
          <w:u w:val="single"/>
        </w:rPr>
        <w:t>废水预处理工艺可行性分析</w:t>
      </w:r>
    </w:p>
    <w:p>
      <w:pPr>
        <w:pStyle w:val="6"/>
        <w:spacing w:before="0" w:after="0" w:line="360" w:lineRule="auto"/>
        <w:rPr>
          <w:b/>
          <w:bCs w:val="0"/>
          <w:color w:val="auto"/>
          <w:sz w:val="24"/>
          <w:szCs w:val="24"/>
          <w:u w:val="single"/>
        </w:rPr>
      </w:pPr>
      <w:r>
        <w:rPr>
          <w:rFonts w:hint="eastAsia"/>
          <w:b/>
          <w:bCs w:val="0"/>
          <w:color w:val="auto"/>
          <w:sz w:val="24"/>
          <w:szCs w:val="24"/>
          <w:u w:val="single"/>
        </w:rPr>
        <w:t>7.2.4</w:t>
      </w:r>
      <w:r>
        <w:rPr>
          <w:b/>
          <w:bCs w:val="0"/>
          <w:color w:val="auto"/>
          <w:sz w:val="24"/>
          <w:szCs w:val="24"/>
          <w:u w:val="single"/>
        </w:rPr>
        <w:t>.1</w:t>
      </w:r>
      <w:r>
        <w:rPr>
          <w:rFonts w:hint="eastAsia"/>
          <w:b/>
          <w:bCs w:val="0"/>
          <w:color w:val="auto"/>
          <w:sz w:val="24"/>
          <w:szCs w:val="24"/>
          <w:u w:val="single"/>
        </w:rPr>
        <w:t>含镍废水预处理工艺可行性分析</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（1）含镍废水预处理工艺</w:t>
      </w:r>
    </w:p>
    <w:p>
      <w:pPr>
        <w:spacing w:line="360" w:lineRule="auto"/>
        <w:ind w:firstLine="482" w:firstLineChars="200"/>
        <w:rPr>
          <w:b/>
          <w:bCs w:val="0"/>
          <w:color w:val="auto"/>
          <w:sz w:val="24"/>
          <w:szCs w:val="20"/>
          <w:u w:val="single"/>
        </w:rPr>
      </w:pPr>
      <w:r>
        <w:rPr>
          <w:rFonts w:hint="eastAsia"/>
          <w:b/>
          <w:bCs w:val="0"/>
          <w:color w:val="auto"/>
          <w:sz w:val="24"/>
          <w:szCs w:val="20"/>
          <w:u w:val="single"/>
        </w:rPr>
        <w:t>含镍废水预处理系统工艺流程见下图：</w:t>
      </w:r>
    </w:p>
    <w:p>
      <w:pPr>
        <w:pStyle w:val="32"/>
        <w:adjustRightInd w:val="0"/>
        <w:snapToGrid w:val="0"/>
        <w:spacing w:after="0"/>
        <w:jc w:val="center"/>
        <w:rPr>
          <w:color w:val="auto"/>
        </w:rPr>
      </w:pPr>
      <w:r>
        <w:rPr>
          <w:color w:val="auto"/>
        </w:rPr>
        <w:object>
          <v:shape id="_x0000_i1045" o:spt="75" alt="" type="#_x0000_t75" style="height:381.75pt;width:311.15pt;" o:ole="t" filled="f" o:preferrelative="t" stroked="f" coordsize="21600,21600">
            <v:path/>
            <v:fill on="f" focussize="0,0"/>
            <v:stroke on="f"/>
            <v:imagedata r:id="rId152" o:title=""/>
            <o:lock v:ext="edit" aspectratio="f"/>
            <w10:wrap type="none"/>
            <w10:anchorlock/>
          </v:shape>
          <o:OLEObject Type="Embed" ProgID="Visio.Drawing.11" ShapeID="_x0000_i1045" DrawAspect="Content" ObjectID="_1468075748" r:id="rId151">
            <o:LockedField>false</o:LockedField>
          </o:OLEObject>
        </w:object>
      </w:r>
    </w:p>
    <w:p>
      <w:pPr>
        <w:pStyle w:val="32"/>
        <w:adjustRightInd w:val="0"/>
        <w:snapToGrid w:val="0"/>
        <w:spacing w:after="0"/>
        <w:jc w:val="center"/>
        <w:rPr>
          <w:rFonts w:eastAsia="黑体"/>
          <w:b/>
          <w:bCs w:val="0"/>
          <w:color w:val="auto"/>
          <w:kern w:val="21"/>
          <w:sz w:val="24"/>
          <w:u w:val="single"/>
        </w:rPr>
      </w:pPr>
      <w:r>
        <w:rPr>
          <w:rFonts w:hint="eastAsia" w:eastAsia="黑体"/>
          <w:b/>
          <w:bCs w:val="0"/>
          <w:color w:val="auto"/>
          <w:kern w:val="21"/>
          <w:sz w:val="24"/>
          <w:u w:val="single"/>
          <w:lang w:val="en-US"/>
        </w:rPr>
        <w:t>图7.2-2   含镍废水预处理系统工艺流程图</w:t>
      </w:r>
    </w:p>
    <w:p>
      <w:pPr>
        <w:spacing w:line="360" w:lineRule="auto"/>
        <w:ind w:firstLine="482" w:firstLineChars="200"/>
        <w:rPr>
          <w:b/>
          <w:bCs w:val="0"/>
          <w:color w:val="auto"/>
          <w:sz w:val="24"/>
          <w:szCs w:val="20"/>
          <w:u w:val="single"/>
        </w:rPr>
      </w:pPr>
      <w:r>
        <w:rPr>
          <w:rFonts w:hint="eastAsia"/>
          <w:b/>
          <w:bCs w:val="0"/>
          <w:color w:val="auto"/>
          <w:sz w:val="24"/>
          <w:szCs w:val="20"/>
          <w:u w:val="single"/>
        </w:rPr>
        <w:t>工艺流程说明：</w:t>
      </w:r>
    </w:p>
    <w:p>
      <w:pPr>
        <w:pStyle w:val="32"/>
        <w:adjustRightInd w:val="0"/>
        <w:snapToGrid w:val="0"/>
        <w:spacing w:after="0" w:line="360" w:lineRule="auto"/>
        <w:ind w:firstLine="482" w:firstLineChars="200"/>
        <w:rPr>
          <w:b/>
          <w:bCs w:val="0"/>
          <w:color w:val="auto"/>
          <w:sz w:val="24"/>
          <w:szCs w:val="20"/>
          <w:u w:val="single"/>
        </w:rPr>
      </w:pPr>
      <w:r>
        <w:rPr>
          <w:rFonts w:hint="eastAsia"/>
          <w:b/>
          <w:bCs w:val="0"/>
          <w:color w:val="auto"/>
          <w:sz w:val="24"/>
          <w:szCs w:val="20"/>
          <w:u w:val="single"/>
        </w:rPr>
        <w:t>含镍废水预先进入含镍废水收集槽中，然后经提升泵提升进入反应沉淀槽内，在反应沉淀槽内完成中和、絮凝、沉淀等过程，废水首先进行中和反应，该阶段投加</w:t>
      </w:r>
      <w:r>
        <w:rPr>
          <w:b/>
          <w:bCs w:val="0"/>
          <w:color w:val="auto"/>
          <w:sz w:val="24"/>
          <w:szCs w:val="20"/>
          <w:u w:val="single"/>
        </w:rPr>
        <w:t xml:space="preserve">NaOH </w:t>
      </w:r>
      <w:r>
        <w:rPr>
          <w:rFonts w:hint="eastAsia"/>
          <w:b/>
          <w:bCs w:val="0"/>
          <w:color w:val="auto"/>
          <w:sz w:val="24"/>
          <w:szCs w:val="20"/>
          <w:u w:val="single"/>
        </w:rPr>
        <w:t>控制</w:t>
      </w:r>
      <w:r>
        <w:rPr>
          <w:b/>
          <w:bCs w:val="0"/>
          <w:color w:val="auto"/>
          <w:sz w:val="24"/>
          <w:szCs w:val="20"/>
          <w:u w:val="single"/>
        </w:rPr>
        <w:t xml:space="preserve">pH </w:t>
      </w:r>
      <w:r>
        <w:rPr>
          <w:rFonts w:hint="eastAsia"/>
          <w:b/>
          <w:bCs w:val="0"/>
          <w:color w:val="auto"/>
          <w:sz w:val="24"/>
          <w:szCs w:val="20"/>
          <w:u w:val="single"/>
        </w:rPr>
        <w:t>值为</w:t>
      </w:r>
      <w:r>
        <w:rPr>
          <w:b/>
          <w:bCs w:val="0"/>
          <w:color w:val="auto"/>
          <w:sz w:val="24"/>
          <w:szCs w:val="20"/>
          <w:u w:val="single"/>
        </w:rPr>
        <w:t>10.5~11.0</w:t>
      </w:r>
      <w:r>
        <w:rPr>
          <w:rFonts w:hint="eastAsia"/>
          <w:b/>
          <w:bCs w:val="0"/>
          <w:color w:val="auto"/>
          <w:sz w:val="24"/>
          <w:szCs w:val="20"/>
          <w:u w:val="single"/>
        </w:rPr>
        <w:t>，该反应阶段可将废水中的镍离子转化为氢氧化镍沉淀，充分反应后进入絮凝反应，该阶段投入</w:t>
      </w:r>
      <w:r>
        <w:rPr>
          <w:b/>
          <w:bCs w:val="0"/>
          <w:color w:val="auto"/>
          <w:sz w:val="24"/>
          <w:szCs w:val="20"/>
          <w:u w:val="single"/>
        </w:rPr>
        <w:t xml:space="preserve">100-300ppm </w:t>
      </w:r>
      <w:r>
        <w:rPr>
          <w:rFonts w:hint="eastAsia"/>
          <w:b/>
          <w:bCs w:val="0"/>
          <w:color w:val="auto"/>
          <w:sz w:val="24"/>
          <w:szCs w:val="20"/>
          <w:u w:val="single"/>
        </w:rPr>
        <w:t>絮凝剂聚合氯化铝和</w:t>
      </w:r>
      <w:r>
        <w:rPr>
          <w:b/>
          <w:bCs w:val="0"/>
          <w:color w:val="auto"/>
          <w:sz w:val="24"/>
          <w:szCs w:val="20"/>
          <w:u w:val="single"/>
        </w:rPr>
        <w:t xml:space="preserve">10ppm </w:t>
      </w:r>
      <w:r>
        <w:rPr>
          <w:rFonts w:hint="eastAsia"/>
          <w:b/>
          <w:bCs w:val="0"/>
          <w:color w:val="auto"/>
          <w:sz w:val="24"/>
          <w:szCs w:val="20"/>
          <w:u w:val="single"/>
        </w:rPr>
        <w:t>的助凝剂聚丙烯胺，形成比重大于水的矾花后进⼊沉淀池进行泥水分离。上清液经</w:t>
      </w:r>
      <w:r>
        <w:rPr>
          <w:b/>
          <w:bCs w:val="0"/>
          <w:color w:val="auto"/>
          <w:sz w:val="24"/>
          <w:szCs w:val="20"/>
          <w:u w:val="single"/>
        </w:rPr>
        <w:t xml:space="preserve">PH </w:t>
      </w:r>
      <w:r>
        <w:rPr>
          <w:rFonts w:hint="eastAsia"/>
          <w:b/>
          <w:bCs w:val="0"/>
          <w:color w:val="auto"/>
          <w:sz w:val="24"/>
          <w:szCs w:val="20"/>
          <w:u w:val="single"/>
        </w:rPr>
        <w:t>回调后进入多介质过滤系统，多介质过滤出水进入生化调节池进行零排放处理。沉淀池底部污泥排入镍污泥池，通过污泥专用泵打入压滤机内压榨，滤液返回到调节池内，泥饼交有资质的单位处置。</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（2）含镍废水预处理主要设备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含镍废水预处理系统主要设备见下表。</w:t>
      </w:r>
    </w:p>
    <w:p>
      <w:pPr>
        <w:pStyle w:val="32"/>
        <w:adjustRightInd w:val="0"/>
        <w:snapToGrid w:val="0"/>
        <w:spacing w:after="0"/>
        <w:jc w:val="center"/>
        <w:rPr>
          <w:rFonts w:eastAsia="黑体"/>
          <w:b/>
          <w:bCs/>
          <w:color w:val="auto"/>
          <w:kern w:val="21"/>
          <w:sz w:val="24"/>
          <w:u w:val="single"/>
        </w:rPr>
      </w:pPr>
      <w:r>
        <w:rPr>
          <w:rFonts w:hint="eastAsia" w:eastAsia="黑体"/>
          <w:b/>
          <w:bCs/>
          <w:color w:val="auto"/>
          <w:kern w:val="21"/>
          <w:sz w:val="24"/>
          <w:u w:val="single"/>
          <w:lang w:val="en-US"/>
        </w:rPr>
        <w:t>表7.2-1</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含镍废水预处理系统主要设备一览表</w:t>
      </w:r>
    </w:p>
    <w:tbl>
      <w:tblPr>
        <w:tblStyle w:val="83"/>
        <w:tblW w:w="5000" w:type="pct"/>
        <w:jc w:val="center"/>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4"/>
        <w:gridCol w:w="882"/>
        <w:gridCol w:w="1308"/>
        <w:gridCol w:w="2075"/>
        <w:gridCol w:w="1621"/>
        <w:gridCol w:w="526"/>
        <w:gridCol w:w="496"/>
        <w:gridCol w:w="927"/>
      </w:tblGrid>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jc w:val="center"/>
        </w:trPr>
        <w:tc>
          <w:tcPr>
            <w:tcW w:w="291" w:type="pct"/>
            <w:tcBorders>
              <w:tl2br w:val="nil"/>
              <w:tr2bl w:val="nil"/>
            </w:tcBorders>
            <w:shd w:val="clear" w:color="auto" w:fill="auto"/>
            <w:vAlign w:val="center"/>
          </w:tcPr>
          <w:p>
            <w:pPr>
              <w:jc w:val="center"/>
              <w:rPr>
                <w:b/>
                <w:bCs/>
                <w:color w:val="auto"/>
                <w:u w:val="single"/>
              </w:rPr>
            </w:pPr>
            <w:r>
              <w:rPr>
                <w:b/>
                <w:bCs/>
                <w:color w:val="auto"/>
                <w:spacing w:val="-2"/>
                <w:u w:val="single"/>
              </w:rPr>
              <w:t>序</w:t>
            </w:r>
            <w:r>
              <w:rPr>
                <w:b/>
                <w:bCs/>
                <w:color w:val="auto"/>
                <w:spacing w:val="-1"/>
                <w:u w:val="single"/>
              </w:rPr>
              <w:t>号</w:t>
            </w:r>
          </w:p>
        </w:tc>
        <w:tc>
          <w:tcPr>
            <w:tcW w:w="530" w:type="pct"/>
            <w:tcBorders>
              <w:tl2br w:val="nil"/>
              <w:tr2bl w:val="nil"/>
            </w:tcBorders>
            <w:shd w:val="clear" w:color="auto" w:fill="auto"/>
            <w:vAlign w:val="center"/>
          </w:tcPr>
          <w:p>
            <w:pPr>
              <w:jc w:val="center"/>
              <w:rPr>
                <w:b/>
                <w:bCs/>
                <w:color w:val="auto"/>
                <w:u w:val="single"/>
              </w:rPr>
            </w:pPr>
            <w:r>
              <w:rPr>
                <w:b/>
                <w:bCs/>
                <w:color w:val="auto"/>
                <w:spacing w:val="-4"/>
                <w:u w:val="single"/>
              </w:rPr>
              <w:t>系</w:t>
            </w:r>
            <w:r>
              <w:rPr>
                <w:b/>
                <w:bCs/>
                <w:color w:val="auto"/>
                <w:spacing w:val="-3"/>
                <w:u w:val="single"/>
              </w:rPr>
              <w:t>统</w:t>
            </w:r>
          </w:p>
        </w:tc>
        <w:tc>
          <w:tcPr>
            <w:tcW w:w="786" w:type="pct"/>
            <w:tcBorders>
              <w:tl2br w:val="nil"/>
              <w:tr2bl w:val="nil"/>
            </w:tcBorders>
            <w:shd w:val="clear" w:color="auto" w:fill="auto"/>
            <w:vAlign w:val="center"/>
          </w:tcPr>
          <w:p>
            <w:pPr>
              <w:jc w:val="center"/>
              <w:rPr>
                <w:b/>
                <w:bCs/>
                <w:color w:val="auto"/>
                <w:u w:val="single"/>
              </w:rPr>
            </w:pPr>
            <w:r>
              <w:rPr>
                <w:b/>
                <w:bCs/>
                <w:color w:val="auto"/>
                <w:spacing w:val="-4"/>
                <w:u w:val="single"/>
              </w:rPr>
              <w:t>名</w:t>
            </w:r>
            <w:r>
              <w:rPr>
                <w:b/>
                <w:bCs/>
                <w:color w:val="auto"/>
                <w:spacing w:val="-3"/>
                <w:u w:val="single"/>
              </w:rPr>
              <w:t>称</w:t>
            </w:r>
          </w:p>
        </w:tc>
        <w:tc>
          <w:tcPr>
            <w:tcW w:w="1247" w:type="pct"/>
            <w:tcBorders>
              <w:tl2br w:val="nil"/>
              <w:tr2bl w:val="nil"/>
            </w:tcBorders>
            <w:shd w:val="clear" w:color="auto" w:fill="auto"/>
            <w:vAlign w:val="center"/>
          </w:tcPr>
          <w:p>
            <w:pPr>
              <w:jc w:val="center"/>
              <w:rPr>
                <w:b/>
                <w:bCs/>
                <w:color w:val="auto"/>
                <w:u w:val="single"/>
              </w:rPr>
            </w:pPr>
            <w:r>
              <w:rPr>
                <w:b/>
                <w:bCs/>
                <w:color w:val="auto"/>
                <w:spacing w:val="-1"/>
                <w:u w:val="single"/>
              </w:rPr>
              <w:t>规格型号</w:t>
            </w:r>
          </w:p>
        </w:tc>
        <w:tc>
          <w:tcPr>
            <w:tcW w:w="974" w:type="pct"/>
            <w:tcBorders>
              <w:tl2br w:val="nil"/>
              <w:tr2bl w:val="nil"/>
            </w:tcBorders>
            <w:shd w:val="clear" w:color="auto" w:fill="auto"/>
            <w:vAlign w:val="center"/>
          </w:tcPr>
          <w:p>
            <w:pPr>
              <w:jc w:val="center"/>
              <w:rPr>
                <w:b/>
                <w:bCs/>
                <w:color w:val="auto"/>
                <w:u w:val="single"/>
              </w:rPr>
            </w:pPr>
            <w:r>
              <w:rPr>
                <w:rFonts w:eastAsia="Meiryo"/>
                <w:b/>
                <w:bCs/>
                <w:color w:val="auto"/>
                <w:spacing w:val="-6"/>
                <w:u w:val="single"/>
              </w:rPr>
              <w:t>⼚</w:t>
            </w:r>
            <w:r>
              <w:rPr>
                <w:b/>
                <w:bCs/>
                <w:color w:val="auto"/>
                <w:spacing w:val="-4"/>
                <w:u w:val="single"/>
              </w:rPr>
              <w:t>商</w:t>
            </w:r>
          </w:p>
        </w:tc>
        <w:tc>
          <w:tcPr>
            <w:tcW w:w="316" w:type="pct"/>
            <w:tcBorders>
              <w:tl2br w:val="nil"/>
              <w:tr2bl w:val="nil"/>
            </w:tcBorders>
            <w:shd w:val="clear" w:color="auto" w:fill="auto"/>
            <w:vAlign w:val="center"/>
          </w:tcPr>
          <w:p>
            <w:pPr>
              <w:jc w:val="center"/>
              <w:rPr>
                <w:b/>
                <w:bCs/>
                <w:color w:val="auto"/>
                <w:u w:val="single"/>
              </w:rPr>
            </w:pPr>
            <w:r>
              <w:rPr>
                <w:b/>
                <w:bCs/>
                <w:color w:val="auto"/>
                <w:spacing w:val="-3"/>
                <w:u w:val="single"/>
              </w:rPr>
              <w:t>单位</w:t>
            </w:r>
          </w:p>
        </w:tc>
        <w:tc>
          <w:tcPr>
            <w:tcW w:w="298" w:type="pct"/>
            <w:tcBorders>
              <w:tl2br w:val="nil"/>
              <w:tr2bl w:val="nil"/>
            </w:tcBorders>
            <w:shd w:val="clear" w:color="auto" w:fill="auto"/>
            <w:vAlign w:val="center"/>
          </w:tcPr>
          <w:p>
            <w:pPr>
              <w:jc w:val="center"/>
              <w:rPr>
                <w:b/>
                <w:bCs/>
                <w:color w:val="auto"/>
                <w:u w:val="single"/>
              </w:rPr>
            </w:pPr>
            <w:r>
              <w:rPr>
                <w:b/>
                <w:bCs/>
                <w:color w:val="auto"/>
                <w:spacing w:val="-3"/>
                <w:u w:val="single"/>
              </w:rPr>
              <w:t>数</w:t>
            </w:r>
            <w:r>
              <w:rPr>
                <w:b/>
                <w:bCs/>
                <w:color w:val="auto"/>
                <w:spacing w:val="-2"/>
                <w:u w:val="single"/>
              </w:rPr>
              <w:t>量</w:t>
            </w:r>
          </w:p>
        </w:tc>
        <w:tc>
          <w:tcPr>
            <w:tcW w:w="557" w:type="pct"/>
            <w:tcBorders>
              <w:tl2br w:val="nil"/>
              <w:tr2bl w:val="nil"/>
            </w:tcBorders>
            <w:shd w:val="clear" w:color="auto" w:fill="auto"/>
            <w:vAlign w:val="center"/>
          </w:tcPr>
          <w:p>
            <w:pPr>
              <w:jc w:val="center"/>
              <w:rPr>
                <w:b/>
                <w:bCs/>
                <w:color w:val="auto"/>
                <w:u w:val="single"/>
              </w:rPr>
            </w:pPr>
            <w:r>
              <w:rPr>
                <w:b/>
                <w:bCs/>
                <w:color w:val="auto"/>
                <w:spacing w:val="-3"/>
                <w:u w:val="single"/>
              </w:rPr>
              <w:t>备</w:t>
            </w:r>
            <w:r>
              <w:rPr>
                <w:b/>
                <w:bCs/>
                <w:color w:val="auto"/>
                <w:spacing w:val="-2"/>
                <w:u w:val="single"/>
              </w:rPr>
              <w:t>注</w:t>
            </w: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291" w:type="pct"/>
            <w:vMerge w:val="restart"/>
            <w:tcBorders>
              <w:tl2br w:val="nil"/>
              <w:tr2bl w:val="nil"/>
            </w:tcBorders>
            <w:shd w:val="clear" w:color="auto" w:fill="auto"/>
            <w:vAlign w:val="center"/>
          </w:tcPr>
          <w:p>
            <w:pPr>
              <w:jc w:val="center"/>
              <w:rPr>
                <w:b/>
                <w:bCs/>
                <w:color w:val="auto"/>
                <w:u w:val="single"/>
              </w:rPr>
            </w:pPr>
            <w:r>
              <w:rPr>
                <w:b/>
                <w:bCs/>
                <w:color w:val="auto"/>
                <w:u w:val="single"/>
              </w:rPr>
              <w:t>1</w:t>
            </w:r>
          </w:p>
        </w:tc>
        <w:tc>
          <w:tcPr>
            <w:tcW w:w="530" w:type="pct"/>
            <w:vMerge w:val="restart"/>
            <w:tcBorders>
              <w:tl2br w:val="nil"/>
              <w:tr2bl w:val="nil"/>
            </w:tcBorders>
            <w:shd w:val="clear" w:color="auto" w:fill="auto"/>
            <w:vAlign w:val="center"/>
          </w:tcPr>
          <w:p>
            <w:pPr>
              <w:jc w:val="center"/>
              <w:rPr>
                <w:b/>
                <w:bCs/>
                <w:color w:val="auto"/>
                <w:u w:val="single"/>
              </w:rPr>
            </w:pPr>
            <w:r>
              <w:rPr>
                <w:b/>
                <w:bCs/>
                <w:color w:val="auto"/>
                <w:spacing w:val="-1"/>
                <w:u w:val="single"/>
              </w:rPr>
              <w:t>含镍废水收</w:t>
            </w:r>
            <w:r>
              <w:rPr>
                <w:b/>
                <w:bCs/>
                <w:color w:val="auto"/>
                <w:u w:val="single"/>
              </w:rPr>
              <w:t>集</w:t>
            </w:r>
            <w:r>
              <w:rPr>
                <w:b/>
                <w:bCs/>
                <w:color w:val="auto"/>
                <w:spacing w:val="-4"/>
                <w:u w:val="single"/>
              </w:rPr>
              <w:t>系</w:t>
            </w:r>
            <w:r>
              <w:rPr>
                <w:b/>
                <w:bCs/>
                <w:color w:val="auto"/>
                <w:spacing w:val="-3"/>
                <w:u w:val="single"/>
              </w:rPr>
              <w:t>统</w:t>
            </w:r>
          </w:p>
        </w:tc>
        <w:tc>
          <w:tcPr>
            <w:tcW w:w="786" w:type="pct"/>
            <w:tcBorders>
              <w:tl2br w:val="nil"/>
              <w:tr2bl w:val="nil"/>
            </w:tcBorders>
            <w:shd w:val="clear" w:color="auto" w:fill="auto"/>
            <w:vAlign w:val="center"/>
          </w:tcPr>
          <w:p>
            <w:pPr>
              <w:jc w:val="center"/>
              <w:rPr>
                <w:b/>
                <w:bCs/>
                <w:color w:val="auto"/>
                <w:u w:val="single"/>
              </w:rPr>
            </w:pPr>
            <w:r>
              <w:rPr>
                <w:b/>
                <w:bCs/>
                <w:color w:val="auto"/>
                <w:spacing w:val="-1"/>
                <w:u w:val="single"/>
              </w:rPr>
              <w:t>镍废水</w:t>
            </w:r>
            <w:r>
              <w:rPr>
                <w:b/>
                <w:bCs/>
                <w:color w:val="auto"/>
                <w:u w:val="single"/>
              </w:rPr>
              <w:t>收集桶</w:t>
            </w:r>
          </w:p>
        </w:tc>
        <w:tc>
          <w:tcPr>
            <w:tcW w:w="1247" w:type="pct"/>
            <w:tcBorders>
              <w:tl2br w:val="nil"/>
              <w:tr2bl w:val="nil"/>
            </w:tcBorders>
            <w:shd w:val="clear" w:color="auto" w:fill="auto"/>
            <w:vAlign w:val="center"/>
          </w:tcPr>
          <w:p>
            <w:pPr>
              <w:jc w:val="center"/>
              <w:rPr>
                <w:b/>
                <w:bCs/>
                <w:color w:val="auto"/>
                <w:u w:val="single"/>
              </w:rPr>
            </w:pPr>
            <w:r>
              <w:rPr>
                <w:b/>
                <w:bCs/>
                <w:color w:val="auto"/>
                <w:spacing w:val="-15"/>
                <w:u w:val="single"/>
              </w:rPr>
              <w:t>30</w:t>
            </w:r>
            <w:r>
              <w:rPr>
                <w:b/>
                <w:bCs/>
                <w:color w:val="auto"/>
                <w:spacing w:val="-11"/>
                <w:u w:val="single"/>
              </w:rPr>
              <w:t>m</w:t>
            </w:r>
            <w:r>
              <w:rPr>
                <w:b/>
                <w:bCs/>
                <w:color w:val="auto"/>
                <w:spacing w:val="-11"/>
                <w:u w:val="single"/>
                <w:vertAlign w:val="superscript"/>
              </w:rPr>
              <w:t>3</w:t>
            </w:r>
            <w:r>
              <w:rPr>
                <w:b/>
                <w:bCs/>
                <w:color w:val="auto"/>
                <w:spacing w:val="-11"/>
                <w:position w:val="8"/>
                <w:u w:val="single"/>
              </w:rPr>
              <w:t xml:space="preserve"> </w:t>
            </w:r>
            <w:r>
              <w:rPr>
                <w:b/>
                <w:bCs/>
                <w:color w:val="auto"/>
                <w:spacing w:val="-11"/>
                <w:u w:val="single"/>
              </w:rPr>
              <w:t>，PPH/PE 材质</w:t>
            </w:r>
          </w:p>
        </w:tc>
        <w:tc>
          <w:tcPr>
            <w:tcW w:w="974" w:type="pct"/>
            <w:tcBorders>
              <w:tl2br w:val="nil"/>
              <w:tr2bl w:val="nil"/>
            </w:tcBorders>
            <w:shd w:val="clear" w:color="auto" w:fill="auto"/>
            <w:vAlign w:val="center"/>
          </w:tcPr>
          <w:p>
            <w:pPr>
              <w:jc w:val="center"/>
              <w:rPr>
                <w:b/>
                <w:bCs/>
                <w:color w:val="auto"/>
                <w:u w:val="single"/>
              </w:rPr>
            </w:pPr>
            <w:r>
              <w:rPr>
                <w:b/>
                <w:bCs/>
                <w:color w:val="auto"/>
                <w:spacing w:val="-2"/>
                <w:u w:val="single"/>
              </w:rPr>
              <w:t>逸辰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原水</w:t>
            </w:r>
            <w:r>
              <w:rPr>
                <w:b/>
                <w:bCs/>
                <w:color w:val="auto"/>
                <w:spacing w:val="-1"/>
                <w:u w:val="single"/>
              </w:rPr>
              <w:t>泵</w:t>
            </w:r>
          </w:p>
        </w:tc>
        <w:tc>
          <w:tcPr>
            <w:tcW w:w="1247" w:type="pct"/>
            <w:tcBorders>
              <w:tl2br w:val="nil"/>
              <w:tr2bl w:val="nil"/>
            </w:tcBorders>
            <w:shd w:val="clear" w:color="auto" w:fill="auto"/>
            <w:vAlign w:val="center"/>
          </w:tcPr>
          <w:p>
            <w:pPr>
              <w:jc w:val="center"/>
              <w:rPr>
                <w:b/>
                <w:bCs/>
                <w:color w:val="auto"/>
                <w:u w:val="single"/>
              </w:rPr>
            </w:pPr>
            <w:r>
              <w:rPr>
                <w:b/>
                <w:bCs/>
                <w:color w:val="auto"/>
                <w:spacing w:val="-12"/>
                <w:u w:val="single"/>
              </w:rPr>
              <w:t>Q=4</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2"/>
                <w:u w:val="single"/>
              </w:rPr>
              <w:t>，H=15m，FRP</w:t>
            </w:r>
            <w:r>
              <w:rPr>
                <w:b/>
                <w:bCs/>
                <w:color w:val="auto"/>
                <w:spacing w:val="-10"/>
                <w:u w:val="single"/>
              </w:rPr>
              <w:t>P</w:t>
            </w:r>
            <w:r>
              <w:rPr>
                <w:b/>
                <w:bCs/>
                <w:color w:val="auto"/>
                <w:spacing w:val="-12"/>
                <w:u w:val="single"/>
              </w:rPr>
              <w:t xml:space="preserve"> 材质</w:t>
            </w:r>
          </w:p>
        </w:tc>
        <w:tc>
          <w:tcPr>
            <w:tcW w:w="974" w:type="pct"/>
            <w:tcBorders>
              <w:tl2br w:val="nil"/>
              <w:tr2bl w:val="nil"/>
            </w:tcBorders>
            <w:shd w:val="clear" w:color="auto" w:fill="auto"/>
            <w:vAlign w:val="center"/>
          </w:tcPr>
          <w:p>
            <w:pPr>
              <w:jc w:val="center"/>
              <w:rPr>
                <w:b/>
                <w:bCs/>
                <w:color w:val="auto"/>
                <w:u w:val="single"/>
              </w:rPr>
            </w:pPr>
            <w:r>
              <w:rPr>
                <w:b/>
                <w:bCs/>
                <w:color w:val="auto"/>
                <w:spacing w:val="-6"/>
                <w:u w:val="single"/>
              </w:rPr>
              <w:t>美</w:t>
            </w:r>
            <w:r>
              <w:rPr>
                <w:b/>
                <w:bCs/>
                <w:color w:val="auto"/>
                <w:spacing w:val="-3"/>
                <w:u w:val="single"/>
              </w:rPr>
              <w:t>宝/国宝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r>
              <w:rPr>
                <w:rFonts w:hint="eastAsia"/>
                <w:b/>
                <w:bCs/>
                <w:color w:val="auto"/>
                <w:spacing w:val="-3"/>
                <w:u w:val="single"/>
              </w:rPr>
              <w:t>1用1</w:t>
            </w:r>
            <w:r>
              <w:rPr>
                <w:b/>
                <w:bCs/>
                <w:color w:val="auto"/>
                <w:spacing w:val="-3"/>
                <w:u w:val="single"/>
              </w:rPr>
              <w:t>备</w:t>
            </w: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进水</w:t>
            </w:r>
            <w:r>
              <w:rPr>
                <w:b/>
                <w:bCs/>
                <w:color w:val="auto"/>
                <w:spacing w:val="-1"/>
                <w:u w:val="single"/>
              </w:rPr>
              <w:t>辅助系统</w:t>
            </w:r>
          </w:p>
        </w:tc>
        <w:tc>
          <w:tcPr>
            <w:tcW w:w="1247" w:type="pct"/>
            <w:tcBorders>
              <w:tl2br w:val="nil"/>
              <w:tr2bl w:val="nil"/>
            </w:tcBorders>
            <w:shd w:val="clear" w:color="auto" w:fill="auto"/>
            <w:vAlign w:val="center"/>
          </w:tcPr>
          <w:p>
            <w:pPr>
              <w:jc w:val="center"/>
              <w:rPr>
                <w:b/>
                <w:bCs/>
                <w:color w:val="auto"/>
                <w:u w:val="single"/>
              </w:rPr>
            </w:pPr>
            <w:r>
              <w:rPr>
                <w:b/>
                <w:bCs/>
                <w:color w:val="auto"/>
                <w:spacing w:val="-5"/>
                <w:u w:val="single"/>
              </w:rPr>
              <w:t>非标</w:t>
            </w:r>
          </w:p>
        </w:tc>
        <w:tc>
          <w:tcPr>
            <w:tcW w:w="974" w:type="pct"/>
            <w:tcBorders>
              <w:tl2br w:val="nil"/>
              <w:tr2bl w:val="nil"/>
            </w:tcBorders>
            <w:shd w:val="clear" w:color="auto" w:fill="auto"/>
            <w:vAlign w:val="center"/>
          </w:tcPr>
          <w:p>
            <w:pPr>
              <w:jc w:val="center"/>
              <w:rPr>
                <w:b/>
                <w:bCs/>
                <w:color w:val="auto"/>
                <w:u w:val="single"/>
              </w:rPr>
            </w:pPr>
            <w:r>
              <w:rPr>
                <w:b/>
                <w:bCs/>
                <w:color w:val="auto"/>
                <w:spacing w:val="-5"/>
                <w:u w:val="single"/>
              </w:rPr>
              <w:t>非标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5"/>
                <w:u w:val="single"/>
              </w:rPr>
              <w:t>电磁流量计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15"/>
                <w:u w:val="single"/>
              </w:rPr>
              <w:t>4</w:t>
            </w:r>
            <w:r>
              <w:rPr>
                <w:rFonts w:hint="eastAsia"/>
                <w:b/>
                <w:bCs/>
                <w:color w:val="auto"/>
                <w:spacing w:val="-15"/>
                <w:u w:val="single"/>
                <w:lang w:eastAsia="zh-CN"/>
              </w:rPr>
              <w:t>～</w:t>
            </w:r>
            <w:r>
              <w:rPr>
                <w:b/>
                <w:bCs/>
                <w:color w:val="auto"/>
                <w:spacing w:val="-13"/>
                <w:u w:val="single"/>
              </w:rPr>
              <w:t>20mA</w:t>
            </w:r>
          </w:p>
        </w:tc>
        <w:tc>
          <w:tcPr>
            <w:tcW w:w="974" w:type="pct"/>
            <w:tcBorders>
              <w:tl2br w:val="nil"/>
              <w:tr2bl w:val="nil"/>
            </w:tcBorders>
            <w:shd w:val="clear" w:color="auto" w:fill="auto"/>
            <w:vAlign w:val="center"/>
          </w:tcPr>
          <w:p>
            <w:pPr>
              <w:jc w:val="center"/>
              <w:rPr>
                <w:b/>
                <w:bCs/>
                <w:color w:val="auto"/>
                <w:u w:val="single"/>
              </w:rPr>
            </w:pPr>
            <w:r>
              <w:rPr>
                <w:b/>
                <w:bCs/>
                <w:color w:val="auto"/>
                <w:spacing w:val="-6"/>
                <w:u w:val="single"/>
              </w:rPr>
              <w:t>创</w:t>
            </w:r>
            <w:r>
              <w:rPr>
                <w:b/>
                <w:bCs/>
                <w:color w:val="auto"/>
                <w:spacing w:val="-4"/>
                <w:u w:val="single"/>
              </w:rPr>
              <w:t>新</w:t>
            </w:r>
            <w:r>
              <w:rPr>
                <w:b/>
                <w:bCs/>
                <w:color w:val="auto"/>
                <w:spacing w:val="-3"/>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12"/>
                <w:u w:val="single"/>
              </w:rPr>
              <w:t>4</w:t>
            </w:r>
            <w:r>
              <w:rPr>
                <w:rFonts w:hint="eastAsia"/>
                <w:b/>
                <w:bCs/>
                <w:color w:val="auto"/>
                <w:spacing w:val="-12"/>
                <w:u w:val="single"/>
                <w:lang w:eastAsia="zh-CN"/>
              </w:rPr>
              <w:t>～</w:t>
            </w:r>
            <w:r>
              <w:rPr>
                <w:b/>
                <w:bCs/>
                <w:color w:val="auto"/>
                <w:spacing w:val="-8"/>
                <w:u w:val="single"/>
              </w:rPr>
              <w:t>20mA</w:t>
            </w:r>
          </w:p>
        </w:tc>
        <w:tc>
          <w:tcPr>
            <w:tcW w:w="974" w:type="pct"/>
            <w:tcBorders>
              <w:tl2br w:val="nil"/>
              <w:tr2bl w:val="nil"/>
            </w:tcBorders>
            <w:shd w:val="clear" w:color="auto" w:fill="auto"/>
            <w:vAlign w:val="center"/>
          </w:tcPr>
          <w:p>
            <w:pPr>
              <w:jc w:val="center"/>
              <w:rPr>
                <w:b/>
                <w:bCs/>
                <w:color w:val="auto"/>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流量计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8"/>
                <w:u w:val="single"/>
              </w:rPr>
              <w:t>机</w:t>
            </w:r>
            <w:r>
              <w:rPr>
                <w:b/>
                <w:bCs/>
                <w:color w:val="auto"/>
                <w:spacing w:val="-5"/>
                <w:u w:val="single"/>
              </w:rPr>
              <w:t>械</w:t>
            </w:r>
            <w:r>
              <w:rPr>
                <w:b/>
                <w:bCs/>
                <w:color w:val="auto"/>
                <w:spacing w:val="-4"/>
                <w:u w:val="single"/>
              </w:rPr>
              <w:t>式、PVC</w:t>
            </w:r>
          </w:p>
        </w:tc>
        <w:tc>
          <w:tcPr>
            <w:tcW w:w="974" w:type="pct"/>
            <w:tcBorders>
              <w:tl2br w:val="nil"/>
              <w:tr2bl w:val="nil"/>
            </w:tcBorders>
            <w:shd w:val="clear" w:color="auto" w:fill="auto"/>
            <w:vAlign w:val="center"/>
          </w:tcPr>
          <w:p>
            <w:pPr>
              <w:jc w:val="center"/>
              <w:rPr>
                <w:b/>
                <w:bCs/>
                <w:color w:val="auto"/>
                <w:u w:val="single"/>
              </w:rPr>
            </w:pPr>
            <w:r>
              <w:rPr>
                <w:b/>
                <w:bCs/>
                <w:color w:val="auto"/>
                <w:spacing w:val="-2"/>
                <w:u w:val="single"/>
              </w:rPr>
              <w:t>金泰或同等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91" w:type="pct"/>
            <w:vMerge w:val="restart"/>
            <w:tcBorders>
              <w:tl2br w:val="nil"/>
              <w:tr2bl w:val="nil"/>
            </w:tcBorders>
            <w:shd w:val="clear" w:color="auto" w:fill="auto"/>
            <w:vAlign w:val="center"/>
          </w:tcPr>
          <w:p>
            <w:pPr>
              <w:jc w:val="center"/>
              <w:rPr>
                <w:b/>
                <w:bCs/>
                <w:color w:val="auto"/>
                <w:u w:val="single"/>
              </w:rPr>
            </w:pPr>
            <w:r>
              <w:rPr>
                <w:b/>
                <w:bCs/>
                <w:color w:val="auto"/>
                <w:u w:val="single"/>
              </w:rPr>
              <w:t>2</w:t>
            </w:r>
          </w:p>
        </w:tc>
        <w:tc>
          <w:tcPr>
            <w:tcW w:w="530" w:type="pct"/>
            <w:vMerge w:val="restart"/>
            <w:tcBorders>
              <w:tl2br w:val="nil"/>
              <w:tr2bl w:val="nil"/>
            </w:tcBorders>
            <w:shd w:val="clear" w:color="auto" w:fill="auto"/>
            <w:vAlign w:val="center"/>
          </w:tcPr>
          <w:p>
            <w:pPr>
              <w:jc w:val="center"/>
              <w:rPr>
                <w:b/>
                <w:bCs/>
                <w:color w:val="auto"/>
                <w:u w:val="single"/>
              </w:rPr>
            </w:pPr>
            <w:r>
              <w:rPr>
                <w:b/>
                <w:bCs/>
                <w:color w:val="auto"/>
                <w:spacing w:val="-4"/>
                <w:u w:val="single"/>
              </w:rPr>
              <w:t>反</w:t>
            </w:r>
            <w:r>
              <w:rPr>
                <w:b/>
                <w:bCs/>
                <w:color w:val="auto"/>
                <w:spacing w:val="-3"/>
                <w:u w:val="single"/>
              </w:rPr>
              <w:t>应沉淀</w:t>
            </w:r>
            <w:r>
              <w:rPr>
                <w:rFonts w:hint="eastAsia"/>
                <w:b/>
                <w:bCs/>
                <w:color w:val="auto"/>
                <w:spacing w:val="-3"/>
                <w:u w:val="single"/>
              </w:rPr>
              <w:t>一</w:t>
            </w:r>
            <w:r>
              <w:rPr>
                <w:b/>
                <w:bCs/>
                <w:color w:val="auto"/>
                <w:spacing w:val="-1"/>
                <w:u w:val="single"/>
              </w:rPr>
              <w:t>体槽</w:t>
            </w: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反</w:t>
            </w:r>
            <w:r>
              <w:rPr>
                <w:b/>
                <w:bCs/>
                <w:color w:val="auto"/>
                <w:spacing w:val="-1"/>
                <w:u w:val="single"/>
              </w:rPr>
              <w:t>应沉淀槽</w:t>
            </w:r>
          </w:p>
        </w:tc>
        <w:tc>
          <w:tcPr>
            <w:tcW w:w="1247" w:type="pct"/>
            <w:tcBorders>
              <w:tl2br w:val="nil"/>
              <w:tr2bl w:val="nil"/>
            </w:tcBorders>
            <w:shd w:val="clear" w:color="auto" w:fill="auto"/>
            <w:vAlign w:val="center"/>
          </w:tcPr>
          <w:p>
            <w:pPr>
              <w:jc w:val="center"/>
              <w:rPr>
                <w:b/>
                <w:bCs/>
                <w:color w:val="auto"/>
                <w:u w:val="single"/>
              </w:rPr>
            </w:pPr>
            <w:r>
              <w:rPr>
                <w:b/>
                <w:bCs/>
                <w:color w:val="auto"/>
                <w:spacing w:val="-9"/>
                <w:u w:val="single"/>
              </w:rPr>
              <w:t>PP</w:t>
            </w:r>
            <w:r>
              <w:rPr>
                <w:b/>
                <w:bCs/>
                <w:color w:val="auto"/>
                <w:spacing w:val="-11"/>
                <w:u w:val="single"/>
              </w:rPr>
              <w:t xml:space="preserve"> </w:t>
            </w:r>
            <w:r>
              <w:rPr>
                <w:b/>
                <w:bCs/>
                <w:color w:val="auto"/>
                <w:spacing w:val="-9"/>
                <w:u w:val="single"/>
              </w:rPr>
              <w:t>或 Q235 防腐</w:t>
            </w:r>
          </w:p>
        </w:tc>
        <w:tc>
          <w:tcPr>
            <w:tcW w:w="974" w:type="pct"/>
            <w:tcBorders>
              <w:tl2br w:val="nil"/>
              <w:tr2bl w:val="nil"/>
            </w:tcBorders>
            <w:shd w:val="clear" w:color="auto" w:fill="auto"/>
            <w:vAlign w:val="center"/>
          </w:tcPr>
          <w:p>
            <w:pPr>
              <w:jc w:val="center"/>
              <w:rPr>
                <w:b/>
                <w:bCs/>
                <w:color w:val="auto"/>
                <w:u w:val="single"/>
              </w:rPr>
            </w:pPr>
            <w:r>
              <w:rPr>
                <w:b/>
                <w:bCs/>
                <w:color w:val="auto"/>
                <w:spacing w:val="-5"/>
                <w:u w:val="single"/>
              </w:rPr>
              <w:t>非标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个</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加药泵</w:t>
            </w:r>
          </w:p>
        </w:tc>
        <w:tc>
          <w:tcPr>
            <w:tcW w:w="1247" w:type="pct"/>
            <w:tcBorders>
              <w:tl2br w:val="nil"/>
              <w:tr2bl w:val="nil"/>
            </w:tcBorders>
            <w:shd w:val="clear" w:color="auto" w:fill="auto"/>
            <w:vAlign w:val="center"/>
          </w:tcPr>
          <w:p>
            <w:pPr>
              <w:jc w:val="center"/>
              <w:rPr>
                <w:b/>
                <w:bCs/>
                <w:color w:val="auto"/>
                <w:u w:val="single"/>
              </w:rPr>
            </w:pPr>
            <w:r>
              <w:rPr>
                <w:b/>
                <w:bCs/>
                <w:color w:val="auto"/>
                <w:spacing w:val="-14"/>
                <w:u w:val="single"/>
              </w:rPr>
              <w:t>碱</w:t>
            </w:r>
            <w:r>
              <w:rPr>
                <w:b/>
                <w:bCs/>
                <w:color w:val="auto"/>
                <w:spacing w:val="-8"/>
                <w:u w:val="single"/>
              </w:rPr>
              <w:t>、PAC、PAM</w:t>
            </w:r>
          </w:p>
        </w:tc>
        <w:tc>
          <w:tcPr>
            <w:tcW w:w="974" w:type="pct"/>
            <w:tcBorders>
              <w:tl2br w:val="nil"/>
              <w:tr2bl w:val="nil"/>
            </w:tcBorders>
            <w:shd w:val="clear" w:color="auto" w:fill="auto"/>
            <w:vAlign w:val="center"/>
          </w:tcPr>
          <w:p>
            <w:pPr>
              <w:jc w:val="center"/>
              <w:rPr>
                <w:b/>
                <w:bCs/>
                <w:color w:val="auto"/>
                <w:u w:val="single"/>
              </w:rPr>
            </w:pPr>
            <w:r>
              <w:rPr>
                <w:b/>
                <w:bCs/>
                <w:color w:val="auto"/>
                <w:spacing w:val="-14"/>
                <w:u w:val="single"/>
              </w:rPr>
              <w:t>WRS/PROM</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加药流</w:t>
            </w:r>
            <w:r>
              <w:rPr>
                <w:b/>
                <w:bCs/>
                <w:color w:val="auto"/>
                <w:spacing w:val="-1"/>
                <w:u w:val="single"/>
              </w:rPr>
              <w:t>量计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tcBorders>
              <w:tl2br w:val="nil"/>
              <w:tr2bl w:val="nil"/>
            </w:tcBorders>
            <w:shd w:val="clear" w:color="auto" w:fill="auto"/>
            <w:vAlign w:val="center"/>
          </w:tcPr>
          <w:p>
            <w:pPr>
              <w:jc w:val="center"/>
              <w:rPr>
                <w:b/>
                <w:bCs/>
                <w:color w:val="auto"/>
                <w:u w:val="single"/>
              </w:rPr>
            </w:pPr>
            <w:r>
              <w:rPr>
                <w:b/>
                <w:bCs/>
                <w:color w:val="auto"/>
                <w:spacing w:val="-2"/>
                <w:u w:val="single"/>
              </w:rPr>
              <w:t>金泰或同等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个</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tcBorders>
              <w:tl2br w:val="nil"/>
              <w:tr2bl w:val="nil"/>
            </w:tcBorders>
            <w:shd w:val="clear" w:color="auto" w:fill="auto"/>
            <w:vAlign w:val="center"/>
          </w:tcPr>
          <w:p>
            <w:pPr>
              <w:jc w:val="center"/>
              <w:rPr>
                <w:b/>
                <w:bCs/>
                <w:color w:val="auto"/>
                <w:u w:val="single"/>
              </w:rPr>
            </w:pPr>
            <w:r>
              <w:rPr>
                <w:b/>
                <w:bCs/>
                <w:color w:val="auto"/>
                <w:spacing w:val="-6"/>
                <w:u w:val="single"/>
              </w:rPr>
              <w:t>0</w:t>
            </w:r>
            <w:r>
              <w:rPr>
                <w:b/>
                <w:bCs/>
                <w:color w:val="auto"/>
                <w:spacing w:val="-5"/>
                <w:u w:val="single"/>
              </w:rPr>
              <w:t>-</w:t>
            </w:r>
            <w:r>
              <w:rPr>
                <w:b/>
                <w:bCs/>
                <w:color w:val="auto"/>
                <w:spacing w:val="-3"/>
                <w:u w:val="single"/>
              </w:rPr>
              <w:t>14，面板式</w:t>
            </w:r>
          </w:p>
        </w:tc>
        <w:tc>
          <w:tcPr>
            <w:tcW w:w="974" w:type="pct"/>
            <w:tcBorders>
              <w:tl2br w:val="nil"/>
              <w:tr2bl w:val="nil"/>
            </w:tcBorders>
            <w:shd w:val="clear" w:color="auto" w:fill="auto"/>
            <w:vAlign w:val="center"/>
          </w:tcPr>
          <w:p>
            <w:pPr>
              <w:jc w:val="center"/>
              <w:rPr>
                <w:b/>
                <w:bCs/>
                <w:color w:val="auto"/>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搅拌机</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12"/>
                <w:u w:val="single"/>
              </w:rPr>
              <w:t>微</w:t>
            </w:r>
            <w:r>
              <w:rPr>
                <w:b/>
                <w:bCs/>
                <w:color w:val="auto"/>
                <w:spacing w:val="-11"/>
                <w:u w:val="single"/>
              </w:rPr>
              <w:t>⻮</w:t>
            </w:r>
            <w:r>
              <w:rPr>
                <w:b/>
                <w:bCs/>
                <w:color w:val="auto"/>
                <w:spacing w:val="-6"/>
                <w:u w:val="single"/>
              </w:rPr>
              <w:t>轮，Q235 衬塑，30-60rpm</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5"/>
                <w:u w:val="single"/>
              </w:rPr>
              <w:t>国茂/永创</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搅拌</w:t>
            </w:r>
            <w:r>
              <w:rPr>
                <w:b/>
                <w:bCs/>
                <w:color w:val="auto"/>
                <w:spacing w:val="-1"/>
                <w:u w:val="single"/>
              </w:rPr>
              <w:t>机支架</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9"/>
                <w:u w:val="single"/>
              </w:rPr>
              <w:t>Q235 防腐</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5"/>
                <w:u w:val="single"/>
              </w:rPr>
              <w:t>非标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4"/>
                <w:u w:val="single"/>
              </w:rPr>
              <w:t>布水</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3"/>
                <w:u w:val="single"/>
              </w:rPr>
              <w:t>布水</w:t>
            </w:r>
            <w:r>
              <w:rPr>
                <w:b/>
                <w:bCs/>
                <w:color w:val="auto"/>
                <w:spacing w:val="-2"/>
                <w:u w:val="single"/>
              </w:rPr>
              <w:t>管</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逸辰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7"/>
                <w:u w:val="single"/>
              </w:rPr>
              <w:t>出水</w:t>
            </w:r>
            <w:r>
              <w:rPr>
                <w:b/>
                <w:bCs/>
                <w:color w:val="auto"/>
                <w:spacing w:val="-4"/>
                <w:u w:val="single"/>
              </w:rPr>
              <w:t>堰板</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7"/>
                <w:u w:val="single"/>
              </w:rPr>
              <w:t>PVC</w:t>
            </w:r>
            <w:r>
              <w:rPr>
                <w:b/>
                <w:bCs/>
                <w:color w:val="auto"/>
                <w:spacing w:val="-8"/>
                <w:u w:val="single"/>
              </w:rPr>
              <w:t>/</w:t>
            </w:r>
            <w:r>
              <w:rPr>
                <w:b/>
                <w:bCs/>
                <w:color w:val="auto"/>
                <w:spacing w:val="-7"/>
                <w:u w:val="single"/>
              </w:rPr>
              <w:t>不锈钢</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逸辰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1"/>
                <w:u w:val="single"/>
              </w:rPr>
              <w:t>斜管填料</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12"/>
                <w:u w:val="single"/>
              </w:rPr>
              <w:t>Φ</w:t>
            </w:r>
            <w:r>
              <w:rPr>
                <w:b/>
                <w:bCs/>
                <w:color w:val="auto"/>
                <w:spacing w:val="-9"/>
                <w:u w:val="single"/>
              </w:rPr>
              <w:t>50mm，乙丙共聚</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4"/>
                <w:u w:val="single"/>
              </w:rPr>
              <w:t>宜</w:t>
            </w:r>
            <w:r>
              <w:rPr>
                <w:b/>
                <w:bCs/>
                <w:color w:val="auto"/>
                <w:spacing w:val="-2"/>
                <w:u w:val="single"/>
              </w:rPr>
              <w:t>兴</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1"/>
                <w:u w:val="single"/>
              </w:rPr>
              <w:t>斜管填料</w:t>
            </w:r>
            <w:r>
              <w:rPr>
                <w:rFonts w:hint="eastAsia"/>
                <w:b/>
                <w:bCs/>
                <w:color w:val="auto"/>
                <w:spacing w:val="-1"/>
                <w:u w:val="single"/>
              </w:rPr>
              <w:t>支</w:t>
            </w:r>
            <w:r>
              <w:rPr>
                <w:b/>
                <w:bCs/>
                <w:color w:val="auto"/>
                <w:u w:val="single"/>
              </w:rPr>
              <w:t>架</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9"/>
                <w:u w:val="single"/>
              </w:rPr>
              <w:t>Q235 防腐</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逸辰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排泥泵</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8"/>
                <w:u w:val="single"/>
              </w:rPr>
              <w:t>DN</w:t>
            </w:r>
            <w:r>
              <w:rPr>
                <w:b/>
                <w:bCs/>
                <w:color w:val="auto"/>
                <w:spacing w:val="-10"/>
                <w:u w:val="single"/>
              </w:rPr>
              <w:t>4</w:t>
            </w:r>
            <w:r>
              <w:rPr>
                <w:b/>
                <w:bCs/>
                <w:color w:val="auto"/>
                <w:spacing w:val="-8"/>
                <w:u w:val="single"/>
              </w:rPr>
              <w:t>0，气动泵</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11"/>
                <w:u w:val="single"/>
              </w:rPr>
              <w:t>美国 ARO/VERDE</w:t>
            </w:r>
            <w:r>
              <w:rPr>
                <w:b/>
                <w:bCs/>
                <w:color w:val="auto"/>
                <w:spacing w:val="-10"/>
                <w:u w:val="single"/>
              </w:rPr>
              <w:t>R</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r>
              <w:rPr>
                <w:rFonts w:hint="eastAsia"/>
                <w:b/>
                <w:bCs/>
                <w:color w:val="auto"/>
                <w:u w:val="single"/>
              </w:rPr>
              <w:t>1用1备</w:t>
            </w: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5"/>
                <w:u w:val="single"/>
              </w:rPr>
              <w:t>手动排泥阀</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13"/>
                <w:u w:val="single"/>
              </w:rPr>
              <w:t>UPVC，DN65</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6"/>
                <w:u w:val="single"/>
              </w:rPr>
              <w:t>环</w:t>
            </w:r>
            <w:r>
              <w:rPr>
                <w:b/>
                <w:bCs/>
                <w:color w:val="auto"/>
                <w:spacing w:val="-4"/>
                <w:u w:val="single"/>
              </w:rPr>
              <w:t>琪</w:t>
            </w:r>
            <w:r>
              <w:rPr>
                <w:b/>
                <w:bCs/>
                <w:color w:val="auto"/>
                <w:spacing w:val="-3"/>
                <w:u w:val="single"/>
              </w:rPr>
              <w:t>/协羽/三厘</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9"/>
                <w:u w:val="single"/>
              </w:rPr>
              <w:t>自动排泥阀</w:t>
            </w:r>
          </w:p>
        </w:tc>
        <w:tc>
          <w:tcPr>
            <w:tcW w:w="1247" w:type="pct"/>
            <w:tcBorders>
              <w:tl2br w:val="nil"/>
              <w:tr2bl w:val="nil"/>
            </w:tcBorders>
            <w:shd w:val="clear" w:color="auto" w:fill="auto"/>
            <w:vAlign w:val="center"/>
          </w:tcPr>
          <w:p>
            <w:pPr>
              <w:jc w:val="center"/>
              <w:rPr>
                <w:b/>
                <w:bCs/>
                <w:color w:val="auto"/>
                <w:spacing w:val="-6"/>
                <w:u w:val="single"/>
              </w:rPr>
            </w:pPr>
            <w:r>
              <w:rPr>
                <w:rFonts w:eastAsia="Meiryo"/>
                <w:b/>
                <w:bCs/>
                <w:color w:val="auto"/>
                <w:spacing w:val="-15"/>
                <w:u w:val="single"/>
              </w:rPr>
              <w:t>⽓</w:t>
            </w:r>
            <w:r>
              <w:rPr>
                <w:b/>
                <w:bCs/>
                <w:color w:val="auto"/>
                <w:spacing w:val="-15"/>
                <w:u w:val="single"/>
              </w:rPr>
              <w:t>动，UPVC，  D</w:t>
            </w:r>
            <w:r>
              <w:rPr>
                <w:b/>
                <w:bCs/>
                <w:color w:val="auto"/>
                <w:spacing w:val="-14"/>
                <w:u w:val="single"/>
              </w:rPr>
              <w:t>N</w:t>
            </w:r>
            <w:r>
              <w:rPr>
                <w:b/>
                <w:bCs/>
                <w:color w:val="auto"/>
                <w:spacing w:val="-15"/>
                <w:u w:val="single"/>
              </w:rPr>
              <w:t>65</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9"/>
                <w:u w:val="single"/>
              </w:rPr>
              <w:t>FLOWX</w:t>
            </w:r>
            <w:r>
              <w:rPr>
                <w:b/>
                <w:bCs/>
                <w:color w:val="auto"/>
                <w:spacing w:val="-10"/>
                <w:u w:val="single"/>
              </w:rPr>
              <w:t>/</w:t>
            </w:r>
            <w:r>
              <w:rPr>
                <w:b/>
                <w:bCs/>
                <w:color w:val="auto"/>
                <w:spacing w:val="-9"/>
                <w:u w:val="single"/>
              </w:rPr>
              <w:t>圣尔诺</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restart"/>
            <w:tcBorders>
              <w:tl2br w:val="nil"/>
              <w:tr2bl w:val="nil"/>
            </w:tcBorders>
            <w:shd w:val="clear" w:color="auto" w:fill="auto"/>
            <w:vAlign w:val="center"/>
          </w:tcPr>
          <w:p>
            <w:pPr>
              <w:jc w:val="center"/>
              <w:rPr>
                <w:b/>
                <w:bCs/>
                <w:color w:val="auto"/>
                <w:u w:val="single"/>
              </w:rPr>
            </w:pPr>
            <w:r>
              <w:rPr>
                <w:b/>
                <w:bCs/>
                <w:color w:val="auto"/>
                <w:u w:val="single"/>
              </w:rPr>
              <w:t>3</w:t>
            </w:r>
          </w:p>
        </w:tc>
        <w:tc>
          <w:tcPr>
            <w:tcW w:w="530" w:type="pct"/>
            <w:vMerge w:val="restart"/>
            <w:tcBorders>
              <w:tl2br w:val="nil"/>
              <w:tr2bl w:val="nil"/>
            </w:tcBorders>
            <w:shd w:val="clear" w:color="auto" w:fill="auto"/>
            <w:vAlign w:val="center"/>
          </w:tcPr>
          <w:p>
            <w:pPr>
              <w:jc w:val="center"/>
              <w:rPr>
                <w:b/>
                <w:bCs/>
                <w:color w:val="auto"/>
                <w:u w:val="single"/>
              </w:rPr>
            </w:pPr>
            <w:r>
              <w:rPr>
                <w:b/>
                <w:bCs/>
                <w:color w:val="auto"/>
                <w:spacing w:val="-7"/>
                <w:u w:val="single"/>
              </w:rPr>
              <w:t>pH回调池</w:t>
            </w: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加药泵</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u w:val="single"/>
              </w:rPr>
              <w:t>酸</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4"/>
                <w:u w:val="single"/>
              </w:rPr>
              <w:t>WRS/PROM</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加药流</w:t>
            </w:r>
            <w:r>
              <w:rPr>
                <w:b/>
                <w:bCs/>
                <w:color w:val="auto"/>
                <w:spacing w:val="-1"/>
                <w:u w:val="single"/>
              </w:rPr>
              <w:t>量计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6"/>
                <w:u w:val="single"/>
              </w:rPr>
              <w:t>0</w:t>
            </w:r>
            <w:r>
              <w:rPr>
                <w:b/>
                <w:bCs/>
                <w:color w:val="auto"/>
                <w:spacing w:val="-5"/>
                <w:u w:val="single"/>
              </w:rPr>
              <w:t>-</w:t>
            </w:r>
            <w:r>
              <w:rPr>
                <w:b/>
                <w:bCs/>
                <w:color w:val="auto"/>
                <w:spacing w:val="-3"/>
                <w:u w:val="single"/>
              </w:rPr>
              <w:t>14，</w:t>
            </w:r>
            <w:r>
              <w:rPr>
                <w:rFonts w:hint="eastAsia"/>
                <w:b/>
                <w:bCs/>
                <w:color w:val="auto"/>
                <w:spacing w:val="-3"/>
                <w:u w:val="single"/>
              </w:rPr>
              <w:t>面</w:t>
            </w:r>
            <w:r>
              <w:rPr>
                <w:b/>
                <w:bCs/>
                <w:color w:val="auto"/>
                <w:spacing w:val="-3"/>
                <w:u w:val="single"/>
              </w:rPr>
              <w:t>板式</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搅拌系</w:t>
            </w:r>
            <w:r>
              <w:rPr>
                <w:b/>
                <w:bCs/>
                <w:color w:val="auto"/>
                <w:spacing w:val="-1"/>
                <w:u w:val="single"/>
              </w:rPr>
              <w:t>统</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9"/>
                <w:u w:val="single"/>
              </w:rPr>
              <w:t>UPVC</w:t>
            </w:r>
            <w:r>
              <w:rPr>
                <w:b/>
                <w:bCs/>
                <w:color w:val="auto"/>
                <w:spacing w:val="-10"/>
                <w:u w:val="single"/>
              </w:rPr>
              <w:t xml:space="preserve"> </w:t>
            </w:r>
            <w:r>
              <w:rPr>
                <w:b/>
                <w:bCs/>
                <w:color w:val="auto"/>
                <w:spacing w:val="-9"/>
                <w:u w:val="single"/>
              </w:rPr>
              <w:t>管制作</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7"/>
                <w:u w:val="single"/>
              </w:rPr>
              <w:t>pH</w:t>
            </w:r>
            <w:r>
              <w:rPr>
                <w:b/>
                <w:bCs/>
                <w:color w:val="auto"/>
                <w:spacing w:val="-11"/>
                <w:u w:val="single"/>
              </w:rPr>
              <w:t xml:space="preserve"> </w:t>
            </w:r>
            <w:r>
              <w:rPr>
                <w:b/>
                <w:bCs/>
                <w:color w:val="auto"/>
                <w:spacing w:val="-7"/>
                <w:u w:val="single"/>
              </w:rPr>
              <w:t>回调池</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9"/>
                <w:u w:val="single"/>
              </w:rPr>
              <w:t>PE</w:t>
            </w:r>
            <w:r>
              <w:rPr>
                <w:b/>
                <w:bCs/>
                <w:color w:val="auto"/>
                <w:spacing w:val="-18"/>
                <w:u w:val="single"/>
              </w:rPr>
              <w:t>/</w:t>
            </w:r>
            <w:r>
              <w:rPr>
                <w:b/>
                <w:bCs/>
                <w:color w:val="auto"/>
                <w:spacing w:val="-9"/>
                <w:u w:val="single"/>
              </w:rPr>
              <w:t>PP</w:t>
            </w:r>
            <w:r>
              <w:rPr>
                <w:b/>
                <w:bCs/>
                <w:color w:val="auto"/>
                <w:spacing w:val="-12"/>
                <w:u w:val="single"/>
              </w:rPr>
              <w:t xml:space="preserve"> </w:t>
            </w:r>
            <w:r>
              <w:rPr>
                <w:b/>
                <w:bCs/>
                <w:color w:val="auto"/>
                <w:spacing w:val="-9"/>
                <w:u w:val="single"/>
              </w:rPr>
              <w:t>或 Q235 材质</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8" w:hRule="atLeast"/>
          <w:jc w:val="center"/>
        </w:trPr>
        <w:tc>
          <w:tcPr>
            <w:tcW w:w="291" w:type="pct"/>
            <w:vMerge w:val="restart"/>
            <w:tcBorders>
              <w:tl2br w:val="nil"/>
              <w:tr2bl w:val="nil"/>
            </w:tcBorders>
            <w:shd w:val="clear" w:color="auto" w:fill="auto"/>
            <w:vAlign w:val="center"/>
          </w:tcPr>
          <w:p>
            <w:pPr>
              <w:jc w:val="center"/>
              <w:rPr>
                <w:b/>
                <w:bCs/>
                <w:color w:val="auto"/>
                <w:u w:val="single"/>
              </w:rPr>
            </w:pPr>
            <w:r>
              <w:rPr>
                <w:b/>
                <w:bCs/>
                <w:color w:val="auto"/>
                <w:u w:val="single"/>
              </w:rPr>
              <w:t>4</w:t>
            </w:r>
          </w:p>
        </w:tc>
        <w:tc>
          <w:tcPr>
            <w:tcW w:w="530" w:type="pct"/>
            <w:vMerge w:val="restart"/>
            <w:tcBorders>
              <w:tl2br w:val="nil"/>
              <w:tr2bl w:val="nil"/>
            </w:tcBorders>
            <w:shd w:val="clear" w:color="auto" w:fill="auto"/>
            <w:vAlign w:val="center"/>
          </w:tcPr>
          <w:p>
            <w:pPr>
              <w:jc w:val="center"/>
              <w:rPr>
                <w:b/>
                <w:bCs/>
                <w:color w:val="auto"/>
                <w:u w:val="single"/>
              </w:rPr>
            </w:pPr>
            <w:r>
              <w:rPr>
                <w:b/>
                <w:bCs/>
                <w:color w:val="auto"/>
                <w:spacing w:val="-6"/>
                <w:u w:val="single"/>
              </w:rPr>
              <w:t>多</w:t>
            </w:r>
            <w:r>
              <w:rPr>
                <w:b/>
                <w:bCs/>
                <w:color w:val="auto"/>
                <w:spacing w:val="-4"/>
                <w:u w:val="single"/>
              </w:rPr>
              <w:t>介</w:t>
            </w:r>
            <w:r>
              <w:rPr>
                <w:b/>
                <w:bCs/>
                <w:color w:val="auto"/>
                <w:spacing w:val="-3"/>
                <w:u w:val="single"/>
              </w:rPr>
              <w:t>质过滤</w:t>
            </w:r>
            <w:r>
              <w:rPr>
                <w:b/>
                <w:bCs/>
                <w:color w:val="auto"/>
                <w:spacing w:val="-4"/>
                <w:u w:val="single"/>
              </w:rPr>
              <w:t>系</w:t>
            </w:r>
            <w:r>
              <w:rPr>
                <w:b/>
                <w:bCs/>
                <w:color w:val="auto"/>
                <w:spacing w:val="-3"/>
                <w:u w:val="single"/>
              </w:rPr>
              <w:t>统</w:t>
            </w:r>
          </w:p>
        </w:tc>
        <w:tc>
          <w:tcPr>
            <w:tcW w:w="78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提升泵</w:t>
            </w:r>
          </w:p>
        </w:tc>
        <w:tc>
          <w:tcPr>
            <w:tcW w:w="1247"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Q=4m</w:t>
            </w:r>
            <w:r>
              <w:rPr>
                <w:b/>
                <w:bCs/>
                <w:color w:val="auto"/>
                <w:spacing w:val="-2"/>
                <w:u w:val="single"/>
                <w:vertAlign w:val="superscript"/>
              </w:rPr>
              <w:t>3</w:t>
            </w:r>
            <w:r>
              <w:rPr>
                <w:b/>
                <w:bCs/>
                <w:color w:val="auto"/>
                <w:spacing w:val="-2"/>
                <w:u w:val="single"/>
              </w:rPr>
              <w:t>/h，H=35m，过流SUS304</w:t>
            </w:r>
          </w:p>
        </w:tc>
        <w:tc>
          <w:tcPr>
            <w:tcW w:w="974"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南</w:t>
            </w:r>
            <w:r>
              <w:rPr>
                <w:rFonts w:hint="eastAsia"/>
                <w:b/>
                <w:bCs/>
                <w:color w:val="auto"/>
                <w:spacing w:val="-2"/>
                <w:u w:val="single"/>
              </w:rPr>
              <w:t>方</w:t>
            </w:r>
            <w:r>
              <w:rPr>
                <w:b/>
                <w:bCs/>
                <w:color w:val="auto"/>
                <w:spacing w:val="-2"/>
                <w:u w:val="single"/>
              </w:rPr>
              <w:t>/川源</w:t>
            </w:r>
          </w:p>
        </w:tc>
        <w:tc>
          <w:tcPr>
            <w:tcW w:w="31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台</w:t>
            </w:r>
          </w:p>
        </w:tc>
        <w:tc>
          <w:tcPr>
            <w:tcW w:w="298"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2</w:t>
            </w:r>
          </w:p>
        </w:tc>
        <w:tc>
          <w:tcPr>
            <w:tcW w:w="557" w:type="pct"/>
            <w:tcBorders>
              <w:tl2br w:val="nil"/>
              <w:tr2bl w:val="nil"/>
            </w:tcBorders>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8"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反洗泵</w:t>
            </w:r>
          </w:p>
        </w:tc>
        <w:tc>
          <w:tcPr>
            <w:tcW w:w="1247"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Q=6m</w:t>
            </w:r>
            <w:r>
              <w:rPr>
                <w:b/>
                <w:bCs/>
                <w:color w:val="auto"/>
                <w:spacing w:val="-2"/>
                <w:u w:val="single"/>
                <w:vertAlign w:val="superscript"/>
              </w:rPr>
              <w:t>3</w:t>
            </w:r>
            <w:r>
              <w:rPr>
                <w:b/>
                <w:bCs/>
                <w:color w:val="auto"/>
                <w:spacing w:val="-2"/>
                <w:u w:val="single"/>
              </w:rPr>
              <w:t>/h，H=35m，过流SUS304</w:t>
            </w:r>
          </w:p>
        </w:tc>
        <w:tc>
          <w:tcPr>
            <w:tcW w:w="974"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南</w:t>
            </w:r>
            <w:r>
              <w:rPr>
                <w:rFonts w:hint="eastAsia"/>
                <w:b/>
                <w:bCs/>
                <w:color w:val="auto"/>
                <w:spacing w:val="-2"/>
                <w:u w:val="single"/>
              </w:rPr>
              <w:t>方</w:t>
            </w:r>
            <w:r>
              <w:rPr>
                <w:b/>
                <w:bCs/>
                <w:color w:val="auto"/>
                <w:spacing w:val="-2"/>
                <w:u w:val="single"/>
              </w:rPr>
              <w:t>/川源</w:t>
            </w:r>
          </w:p>
        </w:tc>
        <w:tc>
          <w:tcPr>
            <w:tcW w:w="31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台</w:t>
            </w:r>
          </w:p>
        </w:tc>
        <w:tc>
          <w:tcPr>
            <w:tcW w:w="298"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1</w:t>
            </w:r>
          </w:p>
        </w:tc>
        <w:tc>
          <w:tcPr>
            <w:tcW w:w="557" w:type="pct"/>
            <w:tcBorders>
              <w:tl2br w:val="nil"/>
              <w:tr2bl w:val="nil"/>
            </w:tcBorders>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流量计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LZS</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4"/>
                <w:u w:val="single"/>
              </w:rPr>
              <w:t>多介</w:t>
            </w:r>
            <w:r>
              <w:rPr>
                <w:b/>
                <w:bCs/>
                <w:color w:val="auto"/>
                <w:spacing w:val="-2"/>
                <w:u w:val="single"/>
              </w:rPr>
              <w:t>质过滤器</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20"/>
                <w:u w:val="single"/>
              </w:rPr>
              <w:t>Ø</w:t>
            </w:r>
            <w:r>
              <w:rPr>
                <w:b/>
                <w:bCs/>
                <w:color w:val="auto"/>
                <w:spacing w:val="-11"/>
                <w:u w:val="single"/>
              </w:rPr>
              <w:t>8</w:t>
            </w:r>
            <w:r>
              <w:rPr>
                <w:b/>
                <w:bCs/>
                <w:color w:val="auto"/>
                <w:spacing w:val="-10"/>
                <w:u w:val="single"/>
              </w:rPr>
              <w:t>00mm，FRP 或 Q235 衬胶</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rFonts w:hint="eastAsia"/>
                <w:b/>
                <w:bCs/>
                <w:color w:val="auto"/>
                <w:spacing w:val="-8"/>
                <w:u w:val="single"/>
              </w:rPr>
              <w:t>自</w:t>
            </w:r>
            <w:r>
              <w:rPr>
                <w:b/>
                <w:bCs/>
                <w:color w:val="auto"/>
                <w:spacing w:val="-8"/>
                <w:u w:val="single"/>
              </w:rPr>
              <w:t>动控制阀⻔</w:t>
            </w:r>
          </w:p>
        </w:tc>
        <w:tc>
          <w:tcPr>
            <w:tcW w:w="1247" w:type="pct"/>
            <w:tcBorders>
              <w:tl2br w:val="nil"/>
              <w:tr2bl w:val="nil"/>
            </w:tcBorders>
            <w:shd w:val="clear" w:color="auto" w:fill="auto"/>
            <w:vAlign w:val="center"/>
          </w:tcPr>
          <w:p>
            <w:pPr>
              <w:jc w:val="center"/>
              <w:rPr>
                <w:b/>
                <w:bCs/>
                <w:color w:val="auto"/>
                <w:spacing w:val="-15"/>
                <w:u w:val="single"/>
              </w:rPr>
            </w:pPr>
            <w:r>
              <w:rPr>
                <w:rFonts w:hint="eastAsia"/>
                <w:b/>
                <w:bCs/>
                <w:color w:val="auto"/>
                <w:spacing w:val="-7"/>
                <w:u w:val="single"/>
              </w:rPr>
              <w:t>气</w:t>
            </w:r>
            <w:r>
              <w:rPr>
                <w:b/>
                <w:bCs/>
                <w:color w:val="auto"/>
                <w:spacing w:val="-7"/>
                <w:u w:val="single"/>
              </w:rPr>
              <w:t>动，UPVC</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0"/>
                <w:u w:val="single"/>
              </w:rPr>
              <w:t>三</w:t>
            </w:r>
            <w:r>
              <w:rPr>
                <w:b/>
                <w:bCs/>
                <w:color w:val="auto"/>
                <w:spacing w:val="-6"/>
                <w:u w:val="single"/>
              </w:rPr>
              <w:t>厘</w:t>
            </w:r>
            <w:r>
              <w:rPr>
                <w:b/>
                <w:bCs/>
                <w:color w:val="auto"/>
                <w:spacing w:val="-5"/>
                <w:u w:val="single"/>
              </w:rPr>
              <w:t>/弗雷</w:t>
            </w:r>
            <w:r>
              <w:rPr>
                <w:rFonts w:hint="eastAsia"/>
                <w:b/>
                <w:bCs/>
                <w:color w:val="auto"/>
                <w:spacing w:val="-5"/>
                <w:u w:val="single"/>
              </w:rPr>
              <w:t>西</w:t>
            </w:r>
            <w:r>
              <w:rPr>
                <w:b/>
                <w:bCs/>
                <w:color w:val="auto"/>
                <w:spacing w:val="-5"/>
                <w:u w:val="single"/>
              </w:rPr>
              <w:t>/协</w:t>
            </w:r>
            <w:r>
              <w:rPr>
                <w:rFonts w:hint="eastAsia"/>
                <w:b/>
                <w:bCs/>
                <w:color w:val="auto"/>
                <w:spacing w:val="-5"/>
                <w:u w:val="single"/>
              </w:rPr>
              <w:t>羽</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填</w:t>
            </w:r>
            <w:r>
              <w:rPr>
                <w:b/>
                <w:bCs/>
                <w:color w:val="auto"/>
                <w:spacing w:val="-1"/>
                <w:u w:val="single"/>
              </w:rPr>
              <w:t>料</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6"/>
                <w:u w:val="single"/>
              </w:rPr>
              <w:t>多</w:t>
            </w:r>
            <w:r>
              <w:rPr>
                <w:b/>
                <w:bCs/>
                <w:color w:val="auto"/>
                <w:spacing w:val="-3"/>
                <w:u w:val="single"/>
              </w:rPr>
              <w:t>级滤料</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滤器</w:t>
            </w:r>
            <w:r>
              <w:rPr>
                <w:rFonts w:hint="eastAsia"/>
                <w:b/>
                <w:bCs/>
                <w:color w:val="auto"/>
                <w:spacing w:val="-1"/>
                <w:u w:val="single"/>
              </w:rPr>
              <w:t>支</w:t>
            </w:r>
            <w:r>
              <w:rPr>
                <w:b/>
                <w:bCs/>
                <w:color w:val="auto"/>
                <w:spacing w:val="-1"/>
                <w:u w:val="single"/>
              </w:rPr>
              <w:t>架</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9"/>
                <w:u w:val="single"/>
              </w:rPr>
              <w:t>Q235 防腐</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1"/>
                <w:u w:val="single"/>
              </w:rPr>
              <w:t>压</w:t>
            </w:r>
            <w:r>
              <w:rPr>
                <w:rFonts w:hint="eastAsia"/>
                <w:b/>
                <w:bCs/>
                <w:color w:val="auto"/>
                <w:spacing w:val="-1"/>
                <w:u w:val="single"/>
              </w:rPr>
              <w:t>力</w:t>
            </w:r>
            <w:r>
              <w:rPr>
                <w:b/>
                <w:bCs/>
                <w:color w:val="auto"/>
                <w:u w:val="single"/>
              </w:rPr>
              <w:t>表</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0</w:t>
            </w:r>
            <w:r>
              <w:rPr>
                <w:b/>
                <w:bCs/>
                <w:color w:val="auto"/>
                <w:spacing w:val="-10"/>
                <w:u w:val="single"/>
              </w:rPr>
              <w:t>-0.6MPa，SUS304 材质</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6"/>
                <w:u w:val="single"/>
              </w:rPr>
              <w:t>布</w:t>
            </w:r>
            <w:r>
              <w:rPr>
                <w:b/>
                <w:bCs/>
                <w:color w:val="auto"/>
                <w:spacing w:val="-8"/>
                <w:u w:val="single"/>
              </w:rPr>
              <w:t>莱迪/KINGTAI/先锋</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滤产</w:t>
            </w:r>
            <w:r>
              <w:rPr>
                <w:rFonts w:hint="eastAsia"/>
                <w:b/>
                <w:bCs/>
                <w:color w:val="auto"/>
                <w:spacing w:val="-1"/>
                <w:u w:val="single"/>
              </w:rPr>
              <w:t>水</w:t>
            </w:r>
            <w:r>
              <w:rPr>
                <w:b/>
                <w:bCs/>
                <w:color w:val="auto"/>
                <w:spacing w:val="-1"/>
                <w:u w:val="single"/>
              </w:rPr>
              <w:t>箱</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10T，PE/PPH</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vMerge w:val="continue"/>
            <w:tcBorders>
              <w:tl2br w:val="nil"/>
              <w:tr2bl w:val="nil"/>
            </w:tcBorders>
            <w:shd w:val="clear" w:color="auto" w:fill="auto"/>
            <w:vAlign w:val="center"/>
          </w:tcPr>
          <w:p>
            <w:pPr>
              <w:jc w:val="center"/>
              <w:rPr>
                <w:b/>
                <w:bCs/>
                <w:color w:val="auto"/>
                <w:u w:val="single"/>
              </w:rPr>
            </w:pPr>
          </w:p>
        </w:tc>
        <w:tc>
          <w:tcPr>
            <w:tcW w:w="530"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10T，PE/PPH</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tcBorders>
              <w:tl2br w:val="nil"/>
              <w:tr2bl w:val="nil"/>
            </w:tcBorders>
            <w:shd w:val="clear" w:color="auto" w:fill="auto"/>
            <w:vAlign w:val="center"/>
          </w:tcPr>
          <w:p>
            <w:pPr>
              <w:jc w:val="center"/>
              <w:rPr>
                <w:b/>
                <w:bCs/>
                <w:color w:val="auto"/>
                <w:u w:val="single"/>
              </w:rPr>
            </w:pPr>
            <w:r>
              <w:rPr>
                <w:b/>
                <w:bCs/>
                <w:color w:val="auto"/>
                <w:u w:val="single"/>
              </w:rPr>
              <w:t>5</w:t>
            </w:r>
          </w:p>
        </w:tc>
        <w:tc>
          <w:tcPr>
            <w:tcW w:w="1316" w:type="pct"/>
            <w:gridSpan w:val="2"/>
            <w:tcBorders>
              <w:tl2br w:val="nil"/>
              <w:tr2bl w:val="nil"/>
            </w:tcBorders>
            <w:shd w:val="clear" w:color="auto" w:fill="auto"/>
            <w:vAlign w:val="center"/>
          </w:tcPr>
          <w:p>
            <w:pPr>
              <w:jc w:val="center"/>
              <w:rPr>
                <w:b/>
                <w:bCs/>
                <w:color w:val="auto"/>
                <w:spacing w:val="-10"/>
                <w:u w:val="single"/>
              </w:rPr>
            </w:pPr>
            <w:r>
              <w:rPr>
                <w:rFonts w:eastAsia="Meiryo"/>
                <w:b/>
                <w:bCs/>
                <w:color w:val="auto"/>
                <w:spacing w:val="-5"/>
                <w:u w:val="single"/>
              </w:rPr>
              <w:t>⼆</w:t>
            </w:r>
            <w:r>
              <w:rPr>
                <w:b/>
                <w:bCs/>
                <w:color w:val="auto"/>
                <w:spacing w:val="-5"/>
                <w:u w:val="single"/>
              </w:rPr>
              <w:t>次管道阀⻔</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0"/>
                <w:u w:val="single"/>
              </w:rPr>
              <w:t>PN</w:t>
            </w:r>
            <w:r>
              <w:rPr>
                <w:b/>
                <w:bCs/>
                <w:color w:val="auto"/>
                <w:spacing w:val="-16"/>
                <w:u w:val="single"/>
              </w:rPr>
              <w:t>1</w:t>
            </w:r>
            <w:r>
              <w:rPr>
                <w:b/>
                <w:bCs/>
                <w:color w:val="auto"/>
                <w:spacing w:val="-10"/>
                <w:u w:val="single"/>
              </w:rPr>
              <w:t>0</w:t>
            </w:r>
            <w:r>
              <w:rPr>
                <w:rFonts w:hint="eastAsia"/>
                <w:b/>
                <w:bCs/>
                <w:color w:val="auto"/>
                <w:spacing w:val="-10"/>
                <w:u w:val="single"/>
              </w:rPr>
              <w:t>，</w:t>
            </w:r>
            <w:r>
              <w:rPr>
                <w:b/>
                <w:bCs/>
                <w:color w:val="auto"/>
                <w:spacing w:val="-10"/>
                <w:u w:val="single"/>
              </w:rPr>
              <w:t>UPVC 化</w:t>
            </w:r>
            <w:r>
              <w:rPr>
                <w:rFonts w:eastAsia="Meiryo"/>
                <w:b/>
                <w:bCs/>
                <w:color w:val="auto"/>
                <w:spacing w:val="-10"/>
                <w:u w:val="single"/>
              </w:rPr>
              <w:t>⼯</w:t>
            </w:r>
            <w:r>
              <w:rPr>
                <w:b/>
                <w:bCs/>
                <w:color w:val="auto"/>
                <w:spacing w:val="-10"/>
                <w:u w:val="single"/>
              </w:rPr>
              <w:t>管</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tcBorders>
              <w:tl2br w:val="nil"/>
              <w:tr2bl w:val="nil"/>
            </w:tcBorders>
            <w:shd w:val="clear" w:color="auto" w:fill="auto"/>
            <w:vAlign w:val="center"/>
          </w:tcPr>
          <w:p>
            <w:pPr>
              <w:jc w:val="center"/>
              <w:rPr>
                <w:b/>
                <w:bCs/>
                <w:color w:val="auto"/>
                <w:u w:val="single"/>
              </w:rPr>
            </w:pPr>
            <w:r>
              <w:rPr>
                <w:b/>
                <w:bCs/>
                <w:color w:val="auto"/>
                <w:u w:val="single"/>
              </w:rPr>
              <w:t>6</w:t>
            </w:r>
          </w:p>
        </w:tc>
        <w:tc>
          <w:tcPr>
            <w:tcW w:w="1316" w:type="pct"/>
            <w:gridSpan w:val="2"/>
            <w:tcBorders>
              <w:tl2br w:val="nil"/>
              <w:tr2bl w:val="nil"/>
            </w:tcBorders>
            <w:shd w:val="clear" w:color="auto" w:fill="auto"/>
            <w:vAlign w:val="center"/>
          </w:tcPr>
          <w:p>
            <w:pPr>
              <w:jc w:val="center"/>
              <w:rPr>
                <w:b/>
                <w:bCs/>
                <w:color w:val="auto"/>
                <w:spacing w:val="-10"/>
                <w:u w:val="single"/>
              </w:rPr>
            </w:pPr>
            <w:r>
              <w:rPr>
                <w:b/>
                <w:bCs/>
                <w:color w:val="auto"/>
                <w:spacing w:val="-2"/>
                <w:u w:val="single"/>
              </w:rPr>
              <w:t>五金杂件</w:t>
            </w:r>
            <w:r>
              <w:rPr>
                <w:b/>
                <w:bCs/>
                <w:color w:val="auto"/>
                <w:spacing w:val="-1"/>
                <w:u w:val="single"/>
              </w:rPr>
              <w:t>辅材</w:t>
            </w:r>
          </w:p>
        </w:tc>
        <w:tc>
          <w:tcPr>
            <w:tcW w:w="1247" w:type="pct"/>
            <w:tcBorders>
              <w:tl2br w:val="nil"/>
              <w:tr2bl w:val="nil"/>
            </w:tcBorders>
            <w:shd w:val="clear" w:color="auto" w:fill="auto"/>
            <w:vAlign w:val="center"/>
          </w:tcPr>
          <w:p>
            <w:pPr>
              <w:jc w:val="center"/>
              <w:rPr>
                <w:b/>
                <w:bCs/>
                <w:color w:val="auto"/>
                <w:spacing w:val="-15"/>
                <w:u w:val="single"/>
              </w:rPr>
            </w:pP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tcBorders>
              <w:tl2br w:val="nil"/>
              <w:tr2bl w:val="nil"/>
            </w:tcBorders>
            <w:shd w:val="clear" w:color="auto" w:fill="auto"/>
            <w:vAlign w:val="center"/>
          </w:tcPr>
          <w:p>
            <w:pPr>
              <w:jc w:val="center"/>
              <w:rPr>
                <w:b/>
                <w:bCs/>
                <w:color w:val="auto"/>
                <w:u w:val="single"/>
              </w:rPr>
            </w:pPr>
            <w:r>
              <w:rPr>
                <w:b/>
                <w:bCs/>
                <w:color w:val="auto"/>
                <w:u w:val="single"/>
              </w:rPr>
              <w:t>7</w:t>
            </w:r>
          </w:p>
        </w:tc>
        <w:tc>
          <w:tcPr>
            <w:tcW w:w="1316" w:type="pct"/>
            <w:gridSpan w:val="2"/>
            <w:tcBorders>
              <w:tl2br w:val="nil"/>
              <w:tr2bl w:val="nil"/>
            </w:tcBorders>
            <w:shd w:val="clear" w:color="auto" w:fill="auto"/>
            <w:vAlign w:val="center"/>
          </w:tcPr>
          <w:p>
            <w:pPr>
              <w:jc w:val="center"/>
              <w:rPr>
                <w:b/>
                <w:bCs/>
                <w:color w:val="auto"/>
                <w:spacing w:val="-10"/>
                <w:u w:val="single"/>
              </w:rPr>
            </w:pPr>
            <w:r>
              <w:rPr>
                <w:b/>
                <w:bCs/>
                <w:color w:val="auto"/>
                <w:spacing w:val="-2"/>
                <w:u w:val="single"/>
              </w:rPr>
              <w:t>动力控制线</w:t>
            </w:r>
            <w:r>
              <w:rPr>
                <w:b/>
                <w:bCs/>
                <w:color w:val="auto"/>
                <w:spacing w:val="-1"/>
                <w:u w:val="single"/>
              </w:rPr>
              <w:t>缆</w:t>
            </w:r>
          </w:p>
        </w:tc>
        <w:tc>
          <w:tcPr>
            <w:tcW w:w="1247" w:type="pct"/>
            <w:tcBorders>
              <w:tl2br w:val="nil"/>
              <w:tr2bl w:val="nil"/>
            </w:tcBorders>
            <w:shd w:val="clear" w:color="auto" w:fill="auto"/>
            <w:vAlign w:val="center"/>
          </w:tcPr>
          <w:p>
            <w:pPr>
              <w:jc w:val="center"/>
              <w:rPr>
                <w:b/>
                <w:bCs/>
                <w:color w:val="auto"/>
                <w:spacing w:val="-15"/>
                <w:u w:val="single"/>
              </w:rPr>
            </w:pP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91" w:type="pct"/>
            <w:tcBorders>
              <w:tl2br w:val="nil"/>
              <w:tr2bl w:val="nil"/>
            </w:tcBorders>
            <w:shd w:val="clear" w:color="auto" w:fill="auto"/>
            <w:vAlign w:val="center"/>
          </w:tcPr>
          <w:p>
            <w:pPr>
              <w:jc w:val="center"/>
              <w:rPr>
                <w:b/>
                <w:bCs/>
                <w:color w:val="auto"/>
                <w:u w:val="single"/>
              </w:rPr>
            </w:pPr>
            <w:r>
              <w:rPr>
                <w:b/>
                <w:bCs/>
                <w:color w:val="auto"/>
                <w:spacing w:val="-11"/>
                <w:u w:val="single"/>
              </w:rPr>
              <w:t>8</w:t>
            </w:r>
          </w:p>
        </w:tc>
        <w:tc>
          <w:tcPr>
            <w:tcW w:w="1316" w:type="pct"/>
            <w:gridSpan w:val="2"/>
            <w:tcBorders>
              <w:tl2br w:val="nil"/>
              <w:tr2bl w:val="nil"/>
            </w:tcBorders>
            <w:shd w:val="clear" w:color="auto" w:fill="auto"/>
            <w:vAlign w:val="center"/>
          </w:tcPr>
          <w:p>
            <w:pPr>
              <w:jc w:val="center"/>
              <w:rPr>
                <w:b/>
                <w:bCs/>
                <w:color w:val="auto"/>
                <w:spacing w:val="-10"/>
                <w:u w:val="single"/>
              </w:rPr>
            </w:pPr>
            <w:r>
              <w:rPr>
                <w:b/>
                <w:bCs/>
                <w:color w:val="auto"/>
                <w:spacing w:val="-1"/>
                <w:u w:val="single"/>
              </w:rPr>
              <w:t>桥架及线</w:t>
            </w:r>
            <w:r>
              <w:rPr>
                <w:b/>
                <w:bCs/>
                <w:color w:val="auto"/>
                <w:u w:val="single"/>
              </w:rPr>
              <w:t>管</w:t>
            </w:r>
          </w:p>
        </w:tc>
        <w:tc>
          <w:tcPr>
            <w:tcW w:w="1247" w:type="pct"/>
            <w:tcBorders>
              <w:tl2br w:val="nil"/>
              <w:tr2bl w:val="nil"/>
            </w:tcBorders>
            <w:shd w:val="clear" w:color="auto" w:fill="auto"/>
            <w:vAlign w:val="center"/>
          </w:tcPr>
          <w:p>
            <w:pPr>
              <w:jc w:val="center"/>
              <w:rPr>
                <w:b/>
                <w:bCs/>
                <w:color w:val="auto"/>
                <w:spacing w:val="-15"/>
                <w:u w:val="single"/>
              </w:rPr>
            </w:pP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bl>
    <w:p>
      <w:pPr>
        <w:pStyle w:val="32"/>
        <w:adjustRightInd w:val="0"/>
        <w:snapToGrid w:val="0"/>
        <w:spacing w:before="120" w:beforeLines="50" w:after="0" w:line="360" w:lineRule="auto"/>
        <w:ind w:firstLine="241" w:firstLineChars="100"/>
        <w:rPr>
          <w:rFonts w:ascii="宋体" w:hAnsi="宋体"/>
          <w:b/>
          <w:bCs/>
          <w:color w:val="auto"/>
          <w:kern w:val="21"/>
          <w:sz w:val="24"/>
          <w:u w:val="single"/>
          <w:lang w:val="en-US"/>
        </w:rPr>
      </w:pPr>
      <w:r>
        <w:rPr>
          <w:rFonts w:hint="eastAsia" w:ascii="宋体" w:hAnsi="宋体"/>
          <w:b/>
          <w:bCs/>
          <w:color w:val="auto"/>
          <w:kern w:val="21"/>
          <w:sz w:val="24"/>
          <w:u w:val="single"/>
          <w:lang w:val="en-US"/>
        </w:rPr>
        <w:t>（3）含镍废水预处理系统可行性分析及处理效率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1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①</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混凝沉淀</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混凝沉淀是以适量的混凝剂加入水中，经化学反应和絮凝即形成絮状物，通过桥联、网捕、吸附等过程将水中的悬浮物、胶体和可絮凝的其他物质凝聚成为絮团，再将沉淀设备将絮凝后的废水进行固液分离，絮团下沉形成泥浆，顶部流出的则为色度和浊度较低的清水。本项目采用化学沉淀法去除重金属，依据《电镀污染防治最佳可行技术指南》</w:t>
      </w:r>
      <w:r>
        <w:rPr>
          <w:rFonts w:hint="default" w:ascii="Times New Roman" w:hAnsi="Times New Roman" w:cs="Times New Roman"/>
          <w:b/>
          <w:bCs/>
          <w:color w:val="auto"/>
          <w:kern w:val="21"/>
          <w:sz w:val="24"/>
          <w:u w:val="single"/>
          <w:lang w:val="en-US"/>
        </w:rPr>
        <w:t>（试行）（HJ-BAT-11）</w:t>
      </w:r>
      <w:r>
        <w:rPr>
          <w:rFonts w:hint="eastAsia" w:ascii="宋体" w:hAnsi="宋体"/>
          <w:b/>
          <w:bCs/>
          <w:color w:val="auto"/>
          <w:kern w:val="21"/>
          <w:sz w:val="24"/>
          <w:u w:val="single"/>
          <w:lang w:val="en-US"/>
        </w:rPr>
        <w:t>，化学沉淀法处理技术使用氢氧化钠</w:t>
      </w:r>
      <w:r>
        <w:rPr>
          <w:rFonts w:ascii="宋体" w:hAnsi="宋体"/>
          <w:b/>
          <w:bCs/>
          <w:color w:val="auto"/>
          <w:kern w:val="21"/>
          <w:sz w:val="24"/>
          <w:u w:val="single"/>
          <w:lang w:val="en-US"/>
        </w:rPr>
        <w:t>/</w:t>
      </w:r>
      <w:r>
        <w:rPr>
          <w:rFonts w:hint="eastAsia" w:ascii="宋体" w:hAnsi="宋体"/>
          <w:b/>
          <w:bCs/>
          <w:color w:val="auto"/>
          <w:kern w:val="21"/>
          <w:sz w:val="24"/>
          <w:u w:val="single"/>
          <w:lang w:val="en-US"/>
        </w:rPr>
        <w:t>硫化钠沉淀剂使得</w:t>
      </w:r>
      <w:r>
        <w:rPr>
          <w:rFonts w:hint="eastAsia" w:ascii="宋体" w:hAnsi="宋体"/>
          <w:b/>
          <w:bCs/>
          <w:color w:val="auto"/>
          <w:kern w:val="21"/>
          <w:sz w:val="24"/>
          <w:u w:val="single"/>
          <w:lang w:val="en-US" w:eastAsia="zh-CN"/>
        </w:rPr>
        <w:t>镍</w:t>
      </w:r>
      <w:r>
        <w:rPr>
          <w:rFonts w:hint="eastAsia" w:ascii="宋体" w:hAnsi="宋体"/>
          <w:b/>
          <w:bCs/>
          <w:color w:val="auto"/>
          <w:kern w:val="21"/>
          <w:sz w:val="24"/>
          <w:u w:val="single"/>
          <w:lang w:val="en-US"/>
        </w:rPr>
        <w:t>离子以氢氧化物、硫化物的形式沉淀下来从而去除镍，该技术适用于各种重金属废水和混合废水的处理，处理重金属去除率可达到≥</w:t>
      </w:r>
      <w:r>
        <w:rPr>
          <w:rFonts w:ascii="宋体" w:hAnsi="宋体"/>
          <w:b/>
          <w:bCs/>
          <w:color w:val="auto"/>
          <w:kern w:val="21"/>
          <w:sz w:val="24"/>
          <w:u w:val="single"/>
          <w:lang w:val="en-US"/>
        </w:rPr>
        <w:t>99.</w:t>
      </w:r>
      <w:r>
        <w:rPr>
          <w:rFonts w:hint="eastAsia" w:ascii="宋体" w:hAnsi="宋体"/>
          <w:b/>
          <w:bCs/>
          <w:color w:val="auto"/>
          <w:kern w:val="21"/>
          <w:sz w:val="24"/>
          <w:u w:val="single"/>
          <w:lang w:val="en-US"/>
        </w:rPr>
        <w:t>6</w:t>
      </w:r>
      <w:r>
        <w:rPr>
          <w:rFonts w:ascii="宋体" w:hAnsi="宋体"/>
          <w:b/>
          <w:bCs/>
          <w:color w:val="auto"/>
          <w:kern w:val="21"/>
          <w:sz w:val="24"/>
          <w:u w:val="single"/>
          <w:lang w:val="en-US"/>
        </w:rPr>
        <w:t>%</w:t>
      </w:r>
      <w:r>
        <w:rPr>
          <w:rFonts w:hint="eastAsia" w:ascii="宋体" w:hAnsi="宋体"/>
          <w:b/>
          <w:bCs/>
          <w:color w:val="auto"/>
          <w:kern w:val="21"/>
          <w:sz w:val="24"/>
          <w:u w:val="single"/>
          <w:lang w:val="en-US"/>
        </w:rPr>
        <w:t>。</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2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②</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多介质过滤</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多介质过滤是利用一种或几种过滤介质，在一定的压力下把浊度较高的水通过一定厚度的粒状或非粒材料，从而</w:t>
      </w:r>
      <w:r>
        <w:rPr>
          <w:rFonts w:hint="eastAsia" w:ascii="宋体" w:hAnsi="宋体"/>
          <w:b/>
          <w:bCs/>
          <w:color w:val="auto"/>
          <w:kern w:val="21"/>
          <w:sz w:val="24"/>
          <w:u w:val="single"/>
          <w:lang w:val="en-US" w:eastAsia="zh-CN"/>
        </w:rPr>
        <w:t>有效地除去</w:t>
      </w:r>
      <w:r>
        <w:rPr>
          <w:rFonts w:hint="eastAsia" w:ascii="宋体" w:hAnsi="宋体"/>
          <w:b/>
          <w:bCs/>
          <w:color w:val="auto"/>
          <w:kern w:val="21"/>
          <w:sz w:val="24"/>
          <w:u w:val="single"/>
          <w:lang w:val="en-US"/>
        </w:rPr>
        <w:t>悬浮杂质使水澄清的过程。其原理是当原水自上而下通过滤料时，水中悬浮物由于吸附和机械阻流作用被滤层表面截留下来；当水流进滤层中间时，由于滤料层中的砂粒</w:t>
      </w:r>
      <w:r>
        <w:rPr>
          <w:rFonts w:hint="eastAsia" w:ascii="宋体" w:hAnsi="宋体"/>
          <w:b/>
          <w:bCs/>
          <w:color w:val="auto"/>
          <w:kern w:val="21"/>
          <w:sz w:val="24"/>
          <w:u w:val="single"/>
          <w:lang w:val="en-US" w:eastAsia="zh-CN"/>
        </w:rPr>
        <w:t>排列得更紧密</w:t>
      </w:r>
      <w:r>
        <w:rPr>
          <w:rFonts w:hint="eastAsia" w:ascii="宋体" w:hAnsi="宋体"/>
          <w:b/>
          <w:bCs/>
          <w:color w:val="auto"/>
          <w:kern w:val="21"/>
          <w:sz w:val="24"/>
          <w:u w:val="single"/>
          <w:lang w:val="en-US"/>
        </w:rPr>
        <w:t>，使水中微粒有更多的机会与砂粒碰撞，于是水中凝絮物、悬浮物和砂粒表面相互粘附，水中杂质截留在滤料层中，从而得到澄清的水质。常用的滤料有石英砂，无烟煤等，主要用于水处理除浊，软化水，纯水的前级预处理等。</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处理效率见下表：</w:t>
      </w:r>
    </w:p>
    <w:p>
      <w:pPr>
        <w:pStyle w:val="32"/>
        <w:adjustRightInd w:val="0"/>
        <w:snapToGrid w:val="0"/>
        <w:spacing w:after="0"/>
        <w:jc w:val="center"/>
        <w:rPr>
          <w:rFonts w:eastAsia="黑体"/>
          <w:b/>
          <w:bCs/>
          <w:color w:val="auto"/>
          <w:kern w:val="21"/>
          <w:sz w:val="24"/>
          <w:u w:val="single"/>
        </w:rPr>
      </w:pPr>
      <w:r>
        <w:rPr>
          <w:rFonts w:hint="eastAsia" w:eastAsia="黑体"/>
          <w:b/>
          <w:bCs/>
          <w:color w:val="auto"/>
          <w:kern w:val="21"/>
          <w:sz w:val="24"/>
          <w:u w:val="single"/>
          <w:lang w:val="en-US"/>
        </w:rPr>
        <w:t>表7.2-2</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含镍废水预处理系统处理效率</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055"/>
        <w:gridCol w:w="689"/>
        <w:gridCol w:w="695"/>
        <w:gridCol w:w="821"/>
        <w:gridCol w:w="695"/>
        <w:gridCol w:w="695"/>
        <w:gridCol w:w="794"/>
        <w:gridCol w:w="695"/>
        <w:gridCol w:w="695"/>
        <w:gridCol w:w="69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242" w:type="pct"/>
            <w:vMerge w:val="restart"/>
            <w:vAlign w:val="center"/>
          </w:tcPr>
          <w:p>
            <w:pPr>
              <w:jc w:val="center"/>
              <w:rPr>
                <w:b/>
                <w:bCs/>
                <w:color w:val="auto"/>
                <w:u w:val="single"/>
              </w:rPr>
            </w:pPr>
            <w:r>
              <w:rPr>
                <w:b/>
                <w:bCs/>
                <w:color w:val="auto"/>
                <w:u w:val="single"/>
              </w:rPr>
              <w:t>项目</w:t>
            </w:r>
          </w:p>
        </w:tc>
        <w:tc>
          <w:tcPr>
            <w:tcW w:w="403" w:type="pct"/>
            <w:vAlign w:val="center"/>
          </w:tcPr>
          <w:p>
            <w:pPr>
              <w:jc w:val="center"/>
              <w:rPr>
                <w:b/>
                <w:bCs/>
                <w:color w:val="auto"/>
                <w:u w:val="single"/>
              </w:rPr>
            </w:pPr>
            <w:r>
              <w:rPr>
                <w:b/>
                <w:bCs/>
                <w:color w:val="auto"/>
                <w:u w:val="single"/>
              </w:rPr>
              <w:t>水量</w:t>
            </w:r>
          </w:p>
        </w:tc>
        <w:tc>
          <w:tcPr>
            <w:tcW w:w="393" w:type="pct"/>
            <w:vAlign w:val="center"/>
          </w:tcPr>
          <w:p>
            <w:pPr>
              <w:jc w:val="center"/>
              <w:rPr>
                <w:b/>
                <w:bCs/>
                <w:color w:val="auto"/>
                <w:u w:val="single"/>
                <w:vertAlign w:val="superscript"/>
              </w:rPr>
            </w:pPr>
            <w:r>
              <w:rPr>
                <w:b/>
                <w:bCs/>
                <w:color w:val="auto"/>
                <w:kern w:val="21"/>
                <w:u w:val="single"/>
              </w:rPr>
              <w:t>COD</w:t>
            </w:r>
          </w:p>
        </w:tc>
        <w:tc>
          <w:tcPr>
            <w:tcW w:w="474" w:type="pct"/>
            <w:vAlign w:val="center"/>
          </w:tcPr>
          <w:p>
            <w:pPr>
              <w:jc w:val="center"/>
              <w:rPr>
                <w:b/>
                <w:bCs/>
                <w:color w:val="auto"/>
                <w:u w:val="single"/>
              </w:rPr>
            </w:pPr>
            <w:r>
              <w:rPr>
                <w:b/>
                <w:bCs/>
                <w:color w:val="auto"/>
                <w:kern w:val="21"/>
                <w:u w:val="single"/>
              </w:rPr>
              <w:t>NH</w:t>
            </w:r>
            <w:r>
              <w:rPr>
                <w:b/>
                <w:bCs/>
                <w:color w:val="auto"/>
                <w:kern w:val="21"/>
                <w:u w:val="single"/>
                <w:vertAlign w:val="subscript"/>
              </w:rPr>
              <w:t>3</w:t>
            </w:r>
            <w:r>
              <w:rPr>
                <w:b/>
                <w:bCs/>
                <w:color w:val="auto"/>
                <w:kern w:val="21"/>
                <w:u w:val="single"/>
              </w:rPr>
              <w:t>-N</w:t>
            </w:r>
          </w:p>
        </w:tc>
        <w:tc>
          <w:tcPr>
            <w:tcW w:w="393" w:type="pct"/>
            <w:vAlign w:val="center"/>
          </w:tcPr>
          <w:p>
            <w:pPr>
              <w:jc w:val="center"/>
              <w:rPr>
                <w:b/>
                <w:bCs/>
                <w:color w:val="auto"/>
                <w:u w:val="single"/>
              </w:rPr>
            </w:pPr>
            <w:r>
              <w:rPr>
                <w:b/>
                <w:bCs/>
                <w:color w:val="auto"/>
                <w:kern w:val="21"/>
                <w:u w:val="single"/>
              </w:rPr>
              <w:t>SS</w:t>
            </w:r>
          </w:p>
        </w:tc>
        <w:tc>
          <w:tcPr>
            <w:tcW w:w="430" w:type="pct"/>
            <w:tcBorders>
              <w:right w:val="single" w:color="auto" w:sz="4" w:space="0"/>
            </w:tcBorders>
            <w:vAlign w:val="center"/>
          </w:tcPr>
          <w:p>
            <w:pPr>
              <w:jc w:val="center"/>
              <w:rPr>
                <w:b/>
                <w:bCs/>
                <w:color w:val="auto"/>
                <w:kern w:val="21"/>
                <w:u w:val="single"/>
              </w:rPr>
            </w:pPr>
            <w:r>
              <w:rPr>
                <w:b/>
                <w:bCs/>
                <w:color w:val="auto"/>
                <w:kern w:val="21"/>
                <w:u w:val="single"/>
              </w:rPr>
              <w:t>石油类</w:t>
            </w:r>
          </w:p>
        </w:tc>
        <w:tc>
          <w:tcPr>
            <w:tcW w:w="444" w:type="pct"/>
            <w:tcBorders>
              <w:left w:val="single" w:color="auto" w:sz="4" w:space="0"/>
            </w:tcBorders>
            <w:vAlign w:val="center"/>
          </w:tcPr>
          <w:p>
            <w:pPr>
              <w:jc w:val="center"/>
              <w:rPr>
                <w:b/>
                <w:bCs/>
                <w:color w:val="auto"/>
                <w:u w:val="single"/>
                <w:vertAlign w:val="superscript"/>
              </w:rPr>
            </w:pPr>
            <w:r>
              <w:rPr>
                <w:b/>
                <w:bCs/>
                <w:color w:val="auto"/>
                <w:kern w:val="21"/>
                <w:u w:val="single"/>
              </w:rPr>
              <w:t>总镍</w:t>
            </w:r>
          </w:p>
        </w:tc>
        <w:tc>
          <w:tcPr>
            <w:tcW w:w="393" w:type="pct"/>
            <w:vAlign w:val="center"/>
          </w:tcPr>
          <w:p>
            <w:pPr>
              <w:jc w:val="center"/>
              <w:rPr>
                <w:b/>
                <w:bCs/>
                <w:color w:val="auto"/>
                <w:kern w:val="21"/>
                <w:u w:val="single"/>
              </w:rPr>
            </w:pPr>
            <w:r>
              <w:rPr>
                <w:b/>
                <w:bCs/>
                <w:color w:val="auto"/>
                <w:kern w:val="21"/>
                <w:u w:val="single"/>
              </w:rPr>
              <w:t>总锌</w:t>
            </w:r>
          </w:p>
        </w:tc>
        <w:tc>
          <w:tcPr>
            <w:tcW w:w="430" w:type="pct"/>
            <w:vAlign w:val="center"/>
          </w:tcPr>
          <w:p>
            <w:pPr>
              <w:jc w:val="center"/>
              <w:rPr>
                <w:b/>
                <w:bCs/>
                <w:color w:val="auto"/>
                <w:kern w:val="21"/>
                <w:u w:val="single"/>
              </w:rPr>
            </w:pPr>
            <w:r>
              <w:rPr>
                <w:b/>
                <w:bCs/>
                <w:color w:val="auto"/>
                <w:kern w:val="21"/>
                <w:u w:val="single"/>
              </w:rPr>
              <w:t>六价铬</w:t>
            </w:r>
          </w:p>
        </w:tc>
        <w:tc>
          <w:tcPr>
            <w:tcW w:w="393" w:type="pct"/>
            <w:vAlign w:val="center"/>
          </w:tcPr>
          <w:p>
            <w:pPr>
              <w:jc w:val="center"/>
              <w:rPr>
                <w:b/>
                <w:bCs/>
                <w:color w:val="auto"/>
                <w:kern w:val="21"/>
                <w:u w:val="single"/>
              </w:rPr>
            </w:pPr>
            <w:r>
              <w:rPr>
                <w:b/>
                <w:bCs/>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242" w:type="pct"/>
            <w:vMerge w:val="continue"/>
            <w:vAlign w:val="center"/>
          </w:tcPr>
          <w:p>
            <w:pPr>
              <w:jc w:val="center"/>
              <w:rPr>
                <w:b/>
                <w:bCs/>
                <w:color w:val="auto"/>
                <w:u w:val="single"/>
              </w:rPr>
            </w:pPr>
          </w:p>
        </w:tc>
        <w:tc>
          <w:tcPr>
            <w:tcW w:w="403" w:type="pct"/>
            <w:vAlign w:val="center"/>
          </w:tcPr>
          <w:p>
            <w:pPr>
              <w:jc w:val="center"/>
              <w:rPr>
                <w:b/>
                <w:bCs/>
                <w:color w:val="auto"/>
                <w:u w:val="single"/>
              </w:rPr>
            </w:pPr>
            <w:r>
              <w:rPr>
                <w:b/>
                <w:bCs/>
                <w:color w:val="auto"/>
                <w:u w:val="single"/>
              </w:rPr>
              <w:t>m</w:t>
            </w:r>
            <w:r>
              <w:rPr>
                <w:b/>
                <w:bCs/>
                <w:color w:val="auto"/>
                <w:u w:val="single"/>
                <w:vertAlign w:val="superscript"/>
              </w:rPr>
              <w:t>3</w:t>
            </w:r>
            <w:r>
              <w:rPr>
                <w:b/>
                <w:bCs/>
                <w:color w:val="auto"/>
                <w:u w:val="single"/>
              </w:rPr>
              <w:t>/d</w:t>
            </w:r>
          </w:p>
        </w:tc>
        <w:tc>
          <w:tcPr>
            <w:tcW w:w="393" w:type="pct"/>
            <w:vAlign w:val="center"/>
          </w:tcPr>
          <w:p>
            <w:pPr>
              <w:jc w:val="center"/>
              <w:rPr>
                <w:b/>
                <w:bCs/>
                <w:color w:val="auto"/>
                <w:u w:val="single"/>
              </w:rPr>
            </w:pPr>
            <w:r>
              <w:rPr>
                <w:b/>
                <w:bCs/>
                <w:color w:val="auto"/>
                <w:u w:val="single"/>
              </w:rPr>
              <w:t>mg/L</w:t>
            </w:r>
          </w:p>
        </w:tc>
        <w:tc>
          <w:tcPr>
            <w:tcW w:w="474" w:type="pct"/>
            <w:vAlign w:val="center"/>
          </w:tcPr>
          <w:p>
            <w:pPr>
              <w:jc w:val="center"/>
              <w:rPr>
                <w:b/>
                <w:bCs/>
                <w:color w:val="auto"/>
                <w:u w:val="single"/>
              </w:rPr>
            </w:pPr>
            <w:r>
              <w:rPr>
                <w:b/>
                <w:bCs/>
                <w:color w:val="auto"/>
                <w:u w:val="single"/>
              </w:rPr>
              <w:t>mg/L</w:t>
            </w:r>
          </w:p>
        </w:tc>
        <w:tc>
          <w:tcPr>
            <w:tcW w:w="393" w:type="pct"/>
            <w:vAlign w:val="center"/>
          </w:tcPr>
          <w:p>
            <w:pPr>
              <w:jc w:val="center"/>
              <w:rPr>
                <w:b/>
                <w:bCs/>
                <w:color w:val="auto"/>
                <w:u w:val="single"/>
              </w:rPr>
            </w:pPr>
            <w:r>
              <w:rPr>
                <w:b/>
                <w:bCs/>
                <w:color w:val="auto"/>
                <w:u w:val="single"/>
              </w:rPr>
              <w:t>mg/L</w:t>
            </w:r>
          </w:p>
        </w:tc>
        <w:tc>
          <w:tcPr>
            <w:tcW w:w="430" w:type="pct"/>
            <w:tcBorders>
              <w:right w:val="single" w:color="auto" w:sz="4" w:space="0"/>
            </w:tcBorders>
            <w:vAlign w:val="center"/>
          </w:tcPr>
          <w:p>
            <w:pPr>
              <w:jc w:val="center"/>
              <w:rPr>
                <w:b/>
                <w:bCs/>
                <w:color w:val="auto"/>
                <w:kern w:val="21"/>
                <w:u w:val="single"/>
              </w:rPr>
            </w:pPr>
            <w:r>
              <w:rPr>
                <w:b/>
                <w:bCs/>
                <w:color w:val="auto"/>
                <w:kern w:val="21"/>
                <w:u w:val="single"/>
              </w:rPr>
              <w:t>mg/L</w:t>
            </w:r>
          </w:p>
        </w:tc>
        <w:tc>
          <w:tcPr>
            <w:tcW w:w="444" w:type="pct"/>
            <w:tcBorders>
              <w:left w:val="single" w:color="auto" w:sz="4" w:space="0"/>
            </w:tcBorders>
            <w:vAlign w:val="center"/>
          </w:tcPr>
          <w:p>
            <w:pPr>
              <w:jc w:val="center"/>
              <w:rPr>
                <w:b/>
                <w:bCs/>
                <w:color w:val="auto"/>
                <w:u w:val="single"/>
                <w:vertAlign w:val="superscript"/>
              </w:rPr>
            </w:pPr>
            <w:r>
              <w:rPr>
                <w:b/>
                <w:bCs/>
                <w:color w:val="auto"/>
                <w:u w:val="single"/>
              </w:rPr>
              <w:t>mg/L</w:t>
            </w:r>
          </w:p>
        </w:tc>
        <w:tc>
          <w:tcPr>
            <w:tcW w:w="393" w:type="pct"/>
            <w:vAlign w:val="center"/>
          </w:tcPr>
          <w:p>
            <w:pPr>
              <w:jc w:val="center"/>
              <w:rPr>
                <w:b/>
                <w:bCs/>
                <w:color w:val="auto"/>
                <w:u w:val="single"/>
              </w:rPr>
            </w:pPr>
            <w:r>
              <w:rPr>
                <w:b/>
                <w:bCs/>
                <w:color w:val="auto"/>
                <w:u w:val="single"/>
              </w:rPr>
              <w:t>mg/L</w:t>
            </w:r>
          </w:p>
        </w:tc>
        <w:tc>
          <w:tcPr>
            <w:tcW w:w="430" w:type="pct"/>
            <w:vAlign w:val="center"/>
          </w:tcPr>
          <w:p>
            <w:pPr>
              <w:jc w:val="center"/>
              <w:rPr>
                <w:b/>
                <w:bCs/>
                <w:color w:val="auto"/>
                <w:u w:val="single"/>
              </w:rPr>
            </w:pPr>
            <w:r>
              <w:rPr>
                <w:b/>
                <w:bCs/>
                <w:color w:val="auto"/>
                <w:u w:val="single"/>
              </w:rPr>
              <w:t>mg/L</w:t>
            </w:r>
          </w:p>
        </w:tc>
        <w:tc>
          <w:tcPr>
            <w:tcW w:w="393" w:type="pct"/>
            <w:vAlign w:val="center"/>
          </w:tcPr>
          <w:p>
            <w:pPr>
              <w:jc w:val="center"/>
              <w:rPr>
                <w:b/>
                <w:bCs/>
                <w:color w:val="auto"/>
                <w:u w:val="single"/>
              </w:rPr>
            </w:pPr>
            <w:r>
              <w:rPr>
                <w:b/>
                <w:bCs/>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242" w:type="pct"/>
            <w:vAlign w:val="center"/>
          </w:tcPr>
          <w:p>
            <w:pPr>
              <w:jc w:val="center"/>
              <w:rPr>
                <w:b/>
                <w:bCs/>
                <w:color w:val="auto"/>
                <w:u w:val="single"/>
              </w:rPr>
            </w:pPr>
            <w:r>
              <w:rPr>
                <w:b/>
                <w:bCs/>
                <w:color w:val="auto"/>
                <w:u w:val="single"/>
              </w:rPr>
              <w:t>含镍废水</w:t>
            </w:r>
          </w:p>
        </w:tc>
        <w:tc>
          <w:tcPr>
            <w:tcW w:w="403" w:type="pct"/>
            <w:vAlign w:val="center"/>
          </w:tcPr>
          <w:p>
            <w:pPr>
              <w:jc w:val="center"/>
              <w:rPr>
                <w:b/>
                <w:bCs/>
                <w:color w:val="auto"/>
                <w:u w:val="single"/>
              </w:rPr>
            </w:pPr>
            <w:r>
              <w:rPr>
                <w:b/>
                <w:bCs/>
                <w:color w:val="auto"/>
                <w:u w:val="single"/>
              </w:rPr>
              <w:t>79.14</w:t>
            </w:r>
          </w:p>
        </w:tc>
        <w:tc>
          <w:tcPr>
            <w:tcW w:w="393" w:type="pct"/>
            <w:vAlign w:val="center"/>
          </w:tcPr>
          <w:p>
            <w:pPr>
              <w:jc w:val="center"/>
              <w:rPr>
                <w:b/>
                <w:bCs/>
                <w:color w:val="auto"/>
                <w:u w:val="single"/>
              </w:rPr>
            </w:pPr>
            <w:r>
              <w:rPr>
                <w:b/>
                <w:bCs/>
                <w:color w:val="auto"/>
                <w:u w:val="single"/>
              </w:rPr>
              <w:t>188</w:t>
            </w:r>
          </w:p>
        </w:tc>
        <w:tc>
          <w:tcPr>
            <w:tcW w:w="474" w:type="pct"/>
            <w:vAlign w:val="center"/>
          </w:tcPr>
          <w:p>
            <w:pPr>
              <w:jc w:val="center"/>
              <w:rPr>
                <w:b/>
                <w:bCs/>
                <w:color w:val="auto"/>
                <w:u w:val="single"/>
              </w:rPr>
            </w:pPr>
            <w:r>
              <w:rPr>
                <w:b/>
                <w:bCs/>
                <w:color w:val="auto"/>
                <w:u w:val="single"/>
              </w:rPr>
              <w:t>14</w:t>
            </w:r>
          </w:p>
        </w:tc>
        <w:tc>
          <w:tcPr>
            <w:tcW w:w="393" w:type="pct"/>
            <w:vAlign w:val="center"/>
          </w:tcPr>
          <w:p>
            <w:pPr>
              <w:jc w:val="center"/>
              <w:rPr>
                <w:b/>
                <w:bCs/>
                <w:color w:val="auto"/>
                <w:u w:val="single"/>
              </w:rPr>
            </w:pPr>
            <w:r>
              <w:rPr>
                <w:b/>
                <w:bCs/>
                <w:color w:val="auto"/>
                <w:u w:val="single"/>
              </w:rPr>
              <w:t>114</w:t>
            </w:r>
          </w:p>
        </w:tc>
        <w:tc>
          <w:tcPr>
            <w:tcW w:w="430"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444" w:type="pct"/>
            <w:tcBorders>
              <w:left w:val="single" w:color="auto" w:sz="4" w:space="0"/>
            </w:tcBorders>
            <w:vAlign w:val="center"/>
          </w:tcPr>
          <w:p>
            <w:pPr>
              <w:jc w:val="center"/>
              <w:rPr>
                <w:b/>
                <w:bCs/>
                <w:color w:val="auto"/>
                <w:u w:val="single"/>
              </w:rPr>
            </w:pPr>
            <w:r>
              <w:rPr>
                <w:b/>
                <w:bCs/>
                <w:color w:val="auto"/>
                <w:u w:val="single"/>
              </w:rPr>
              <w:t>100</w:t>
            </w:r>
          </w:p>
        </w:tc>
        <w:tc>
          <w:tcPr>
            <w:tcW w:w="393" w:type="pct"/>
            <w:vAlign w:val="center"/>
          </w:tcPr>
          <w:p>
            <w:pPr>
              <w:jc w:val="center"/>
              <w:rPr>
                <w:b/>
                <w:bCs/>
                <w:color w:val="auto"/>
                <w:u w:val="single"/>
              </w:rPr>
            </w:pPr>
            <w:r>
              <w:rPr>
                <w:b/>
                <w:bCs/>
                <w:color w:val="auto"/>
                <w:u w:val="single"/>
              </w:rPr>
              <w:t>/</w:t>
            </w:r>
          </w:p>
        </w:tc>
        <w:tc>
          <w:tcPr>
            <w:tcW w:w="430" w:type="pct"/>
            <w:vAlign w:val="center"/>
          </w:tcPr>
          <w:p>
            <w:pPr>
              <w:jc w:val="center"/>
              <w:rPr>
                <w:b/>
                <w:bCs/>
                <w:color w:val="auto"/>
                <w:u w:val="single"/>
              </w:rPr>
            </w:pPr>
            <w:r>
              <w:rPr>
                <w:b/>
                <w:bCs/>
                <w:color w:val="auto"/>
                <w:u w:val="single"/>
              </w:rPr>
              <w:t>/</w:t>
            </w:r>
          </w:p>
        </w:tc>
        <w:tc>
          <w:tcPr>
            <w:tcW w:w="393" w:type="pct"/>
            <w:vAlign w:val="center"/>
          </w:tcPr>
          <w:p>
            <w:pPr>
              <w:jc w:val="center"/>
              <w:rPr>
                <w:b/>
                <w:bCs/>
                <w:color w:val="auto"/>
                <w:u w:val="single"/>
              </w:rPr>
            </w:pP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242" w:type="pct"/>
            <w:vAlign w:val="center"/>
          </w:tcPr>
          <w:p>
            <w:pPr>
              <w:jc w:val="center"/>
              <w:rPr>
                <w:b/>
                <w:bCs/>
                <w:color w:val="auto"/>
                <w:u w:val="single"/>
              </w:rPr>
            </w:pPr>
            <w:r>
              <w:rPr>
                <w:b/>
                <w:bCs/>
                <w:color w:val="auto"/>
                <w:u w:val="single"/>
              </w:rPr>
              <w:t>去除率</w:t>
            </w:r>
          </w:p>
        </w:tc>
        <w:tc>
          <w:tcPr>
            <w:tcW w:w="403" w:type="pct"/>
            <w:vAlign w:val="center"/>
          </w:tcPr>
          <w:p>
            <w:pPr>
              <w:jc w:val="center"/>
              <w:rPr>
                <w:b/>
                <w:bCs/>
                <w:color w:val="auto"/>
                <w:u w:val="single"/>
              </w:rPr>
            </w:pPr>
            <w:r>
              <w:rPr>
                <w:b/>
                <w:bCs/>
                <w:color w:val="auto"/>
                <w:u w:val="single"/>
              </w:rPr>
              <w:t>/</w:t>
            </w:r>
          </w:p>
        </w:tc>
        <w:tc>
          <w:tcPr>
            <w:tcW w:w="393" w:type="pct"/>
            <w:vAlign w:val="center"/>
          </w:tcPr>
          <w:p>
            <w:pPr>
              <w:jc w:val="center"/>
              <w:rPr>
                <w:b/>
                <w:bCs/>
                <w:color w:val="auto"/>
                <w:u w:val="single"/>
              </w:rPr>
            </w:pPr>
            <w:r>
              <w:rPr>
                <w:b/>
                <w:bCs/>
                <w:color w:val="auto"/>
                <w:u w:val="single"/>
              </w:rPr>
              <w:t>0</w:t>
            </w:r>
          </w:p>
        </w:tc>
        <w:tc>
          <w:tcPr>
            <w:tcW w:w="474" w:type="pct"/>
            <w:vAlign w:val="center"/>
          </w:tcPr>
          <w:p>
            <w:pPr>
              <w:jc w:val="center"/>
              <w:rPr>
                <w:b/>
                <w:bCs/>
                <w:color w:val="auto"/>
                <w:u w:val="single"/>
              </w:rPr>
            </w:pPr>
            <w:r>
              <w:rPr>
                <w:b/>
                <w:bCs/>
                <w:color w:val="auto"/>
                <w:u w:val="single"/>
              </w:rPr>
              <w:t>0</w:t>
            </w:r>
          </w:p>
        </w:tc>
        <w:tc>
          <w:tcPr>
            <w:tcW w:w="393" w:type="pct"/>
            <w:vAlign w:val="center"/>
          </w:tcPr>
          <w:p>
            <w:pPr>
              <w:jc w:val="center"/>
              <w:rPr>
                <w:b/>
                <w:bCs/>
                <w:color w:val="auto"/>
                <w:u w:val="single"/>
              </w:rPr>
            </w:pPr>
            <w:r>
              <w:rPr>
                <w:b/>
                <w:bCs/>
                <w:color w:val="auto"/>
                <w:u w:val="single"/>
              </w:rPr>
              <w:t>90%</w:t>
            </w:r>
          </w:p>
        </w:tc>
        <w:tc>
          <w:tcPr>
            <w:tcW w:w="430"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444" w:type="pct"/>
            <w:tcBorders>
              <w:left w:val="single" w:color="auto" w:sz="4" w:space="0"/>
            </w:tcBorders>
            <w:vAlign w:val="center"/>
          </w:tcPr>
          <w:p>
            <w:pPr>
              <w:jc w:val="center"/>
              <w:rPr>
                <w:b/>
                <w:bCs/>
                <w:color w:val="auto"/>
                <w:u w:val="single"/>
              </w:rPr>
            </w:pPr>
            <w:r>
              <w:rPr>
                <w:b/>
                <w:bCs/>
                <w:color w:val="auto"/>
                <w:u w:val="single"/>
              </w:rPr>
              <w:t>99.6%</w:t>
            </w:r>
          </w:p>
        </w:tc>
        <w:tc>
          <w:tcPr>
            <w:tcW w:w="393" w:type="pct"/>
            <w:vAlign w:val="center"/>
          </w:tcPr>
          <w:p>
            <w:pPr>
              <w:jc w:val="center"/>
              <w:rPr>
                <w:b/>
                <w:bCs/>
                <w:color w:val="auto"/>
                <w:u w:val="single"/>
              </w:rPr>
            </w:pPr>
            <w:r>
              <w:rPr>
                <w:b/>
                <w:bCs/>
                <w:color w:val="auto"/>
                <w:u w:val="single"/>
              </w:rPr>
              <w:t>/</w:t>
            </w:r>
          </w:p>
        </w:tc>
        <w:tc>
          <w:tcPr>
            <w:tcW w:w="430" w:type="pct"/>
            <w:vAlign w:val="center"/>
          </w:tcPr>
          <w:p>
            <w:pPr>
              <w:jc w:val="center"/>
              <w:rPr>
                <w:b/>
                <w:bCs/>
                <w:color w:val="auto"/>
                <w:u w:val="single"/>
              </w:rPr>
            </w:pPr>
            <w:r>
              <w:rPr>
                <w:b/>
                <w:bCs/>
                <w:color w:val="auto"/>
                <w:u w:val="single"/>
              </w:rPr>
              <w:t>/</w:t>
            </w:r>
          </w:p>
        </w:tc>
        <w:tc>
          <w:tcPr>
            <w:tcW w:w="393" w:type="pct"/>
            <w:vAlign w:val="center"/>
          </w:tcPr>
          <w:p>
            <w:pPr>
              <w:jc w:val="center"/>
              <w:rPr>
                <w:b/>
                <w:bCs/>
                <w:color w:val="auto"/>
                <w:u w:val="single"/>
              </w:rPr>
            </w:pP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242" w:type="pct"/>
            <w:vAlign w:val="center"/>
          </w:tcPr>
          <w:p>
            <w:pPr>
              <w:jc w:val="center"/>
              <w:rPr>
                <w:b/>
                <w:bCs/>
                <w:color w:val="auto"/>
                <w:u w:val="single"/>
              </w:rPr>
            </w:pPr>
            <w:r>
              <w:rPr>
                <w:b/>
                <w:bCs/>
                <w:color w:val="auto"/>
                <w:u w:val="single"/>
              </w:rPr>
              <w:t>含镍废水预处理（混凝沉淀+多介质过滤器）出水</w:t>
            </w:r>
          </w:p>
        </w:tc>
        <w:tc>
          <w:tcPr>
            <w:tcW w:w="403" w:type="pct"/>
            <w:vAlign w:val="center"/>
          </w:tcPr>
          <w:p>
            <w:pPr>
              <w:jc w:val="center"/>
              <w:rPr>
                <w:b/>
                <w:bCs/>
                <w:color w:val="auto"/>
                <w:u w:val="single"/>
              </w:rPr>
            </w:pPr>
            <w:r>
              <w:rPr>
                <w:b/>
                <w:bCs/>
                <w:color w:val="auto"/>
                <w:u w:val="single"/>
              </w:rPr>
              <w:t>79.14</w:t>
            </w:r>
          </w:p>
        </w:tc>
        <w:tc>
          <w:tcPr>
            <w:tcW w:w="393" w:type="pct"/>
            <w:vAlign w:val="center"/>
          </w:tcPr>
          <w:p>
            <w:pPr>
              <w:jc w:val="center"/>
              <w:rPr>
                <w:b/>
                <w:bCs/>
                <w:color w:val="auto"/>
                <w:u w:val="single"/>
              </w:rPr>
            </w:pPr>
            <w:r>
              <w:rPr>
                <w:rFonts w:hint="eastAsia"/>
                <w:b/>
                <w:bCs/>
                <w:color w:val="auto"/>
                <w:u w:val="single"/>
              </w:rPr>
              <w:t>188</w:t>
            </w:r>
          </w:p>
        </w:tc>
        <w:tc>
          <w:tcPr>
            <w:tcW w:w="474" w:type="pct"/>
            <w:vAlign w:val="center"/>
          </w:tcPr>
          <w:p>
            <w:pPr>
              <w:jc w:val="center"/>
              <w:rPr>
                <w:b/>
                <w:bCs/>
                <w:color w:val="auto"/>
                <w:u w:val="single"/>
              </w:rPr>
            </w:pPr>
            <w:r>
              <w:rPr>
                <w:rFonts w:hint="eastAsia"/>
                <w:b/>
                <w:bCs/>
                <w:color w:val="auto"/>
                <w:u w:val="single"/>
              </w:rPr>
              <w:t>14</w:t>
            </w:r>
          </w:p>
        </w:tc>
        <w:tc>
          <w:tcPr>
            <w:tcW w:w="393" w:type="pct"/>
            <w:vAlign w:val="center"/>
          </w:tcPr>
          <w:p>
            <w:pPr>
              <w:jc w:val="center"/>
              <w:rPr>
                <w:b/>
                <w:bCs/>
                <w:color w:val="auto"/>
                <w:u w:val="single"/>
              </w:rPr>
            </w:pPr>
            <w:r>
              <w:rPr>
                <w:rFonts w:hint="eastAsia"/>
                <w:b/>
                <w:bCs/>
                <w:color w:val="auto"/>
                <w:u w:val="single"/>
              </w:rPr>
              <w:t>11.4</w:t>
            </w:r>
          </w:p>
        </w:tc>
        <w:tc>
          <w:tcPr>
            <w:tcW w:w="430"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444" w:type="pct"/>
            <w:tcBorders>
              <w:left w:val="single" w:color="auto" w:sz="4" w:space="0"/>
            </w:tcBorders>
            <w:vAlign w:val="center"/>
          </w:tcPr>
          <w:p>
            <w:pPr>
              <w:jc w:val="center"/>
              <w:rPr>
                <w:b/>
                <w:bCs/>
                <w:color w:val="auto"/>
                <w:u w:val="single"/>
              </w:rPr>
            </w:pPr>
            <w:r>
              <w:rPr>
                <w:rFonts w:hint="eastAsia"/>
                <w:b/>
                <w:bCs/>
                <w:color w:val="auto"/>
                <w:u w:val="single"/>
              </w:rPr>
              <w:t>0.4</w:t>
            </w:r>
          </w:p>
        </w:tc>
        <w:tc>
          <w:tcPr>
            <w:tcW w:w="393" w:type="pct"/>
            <w:vAlign w:val="center"/>
          </w:tcPr>
          <w:p>
            <w:pPr>
              <w:jc w:val="center"/>
              <w:rPr>
                <w:b/>
                <w:bCs/>
                <w:color w:val="auto"/>
                <w:u w:val="single"/>
              </w:rPr>
            </w:pPr>
            <w:r>
              <w:rPr>
                <w:b/>
                <w:bCs/>
                <w:color w:val="auto"/>
                <w:u w:val="single"/>
              </w:rPr>
              <w:t>/</w:t>
            </w:r>
          </w:p>
        </w:tc>
        <w:tc>
          <w:tcPr>
            <w:tcW w:w="430" w:type="pct"/>
            <w:vAlign w:val="center"/>
          </w:tcPr>
          <w:p>
            <w:pPr>
              <w:jc w:val="center"/>
              <w:rPr>
                <w:b/>
                <w:bCs/>
                <w:color w:val="auto"/>
                <w:u w:val="single"/>
              </w:rPr>
            </w:pPr>
            <w:r>
              <w:rPr>
                <w:b/>
                <w:bCs/>
                <w:color w:val="auto"/>
                <w:u w:val="single"/>
              </w:rPr>
              <w:t>/</w:t>
            </w:r>
          </w:p>
        </w:tc>
        <w:tc>
          <w:tcPr>
            <w:tcW w:w="393" w:type="pct"/>
            <w:vAlign w:val="center"/>
          </w:tcPr>
          <w:p>
            <w:pPr>
              <w:jc w:val="center"/>
              <w:rPr>
                <w:b/>
                <w:bCs/>
                <w:color w:val="auto"/>
                <w:u w:val="single"/>
              </w:rPr>
            </w:pPr>
            <w:r>
              <w:rPr>
                <w:b/>
                <w:bCs/>
                <w:color w:val="auto"/>
                <w:u w:val="single"/>
              </w:rPr>
              <w:t>/</w:t>
            </w:r>
          </w:p>
        </w:tc>
      </w:tr>
    </w:tbl>
    <w:p>
      <w:pPr>
        <w:pStyle w:val="354"/>
        <w:ind w:firstLine="480"/>
        <w:rPr>
          <w:b/>
          <w:bCs/>
          <w:color w:val="auto"/>
          <w:u w:val="single"/>
        </w:rPr>
      </w:pPr>
      <w:r>
        <w:rPr>
          <w:rFonts w:hint="eastAsia"/>
          <w:b/>
          <w:bCs/>
          <w:color w:val="auto"/>
          <w:kern w:val="21"/>
          <w:u w:val="single"/>
        </w:rPr>
        <w:t>根据《排污许可证申请与核发技术规范  电镀工业》（</w:t>
      </w:r>
      <w:r>
        <w:rPr>
          <w:b/>
          <w:bCs/>
          <w:color w:val="auto"/>
          <w:kern w:val="21"/>
          <w:u w:val="single"/>
        </w:rPr>
        <w:t>HJ855-2017</w:t>
      </w:r>
      <w:r>
        <w:rPr>
          <w:rFonts w:hint="eastAsia"/>
          <w:b/>
          <w:bCs/>
          <w:color w:val="auto"/>
          <w:kern w:val="21"/>
          <w:u w:val="single"/>
        </w:rPr>
        <w:t>），含镍废水治理的可行技术有：化学沉淀法处理技术、化学法</w:t>
      </w:r>
      <w:r>
        <w:rPr>
          <w:b/>
          <w:bCs/>
          <w:color w:val="auto"/>
          <w:kern w:val="21"/>
          <w:u w:val="single"/>
        </w:rPr>
        <w:t>+</w:t>
      </w:r>
      <w:r>
        <w:rPr>
          <w:rFonts w:hint="eastAsia"/>
          <w:b/>
          <w:bCs/>
          <w:color w:val="auto"/>
          <w:kern w:val="21"/>
          <w:u w:val="single"/>
        </w:rPr>
        <w:t>膜分离法处理技术，本项目采用“</w:t>
      </w:r>
      <w:r>
        <w:rPr>
          <w:b/>
          <w:bCs/>
          <w:color w:val="auto"/>
          <w:u w:val="single"/>
        </w:rPr>
        <w:t>混凝沉淀+多介质过滤器</w:t>
      </w:r>
      <w:r>
        <w:rPr>
          <w:rFonts w:hint="eastAsia"/>
          <w:b/>
          <w:bCs/>
          <w:color w:val="auto"/>
          <w:u w:val="single"/>
        </w:rPr>
        <w:t>”及“</w:t>
      </w:r>
      <w:r>
        <w:rPr>
          <w:rFonts w:hint="eastAsia"/>
          <w:b/>
          <w:bCs/>
          <w:color w:val="auto"/>
          <w:kern w:val="21"/>
          <w:u w:val="single"/>
        </w:rPr>
        <w:t>化学法</w:t>
      </w:r>
      <w:r>
        <w:rPr>
          <w:b/>
          <w:bCs/>
          <w:color w:val="auto"/>
          <w:kern w:val="21"/>
          <w:u w:val="single"/>
        </w:rPr>
        <w:t>+</w:t>
      </w:r>
      <w:r>
        <w:rPr>
          <w:rFonts w:hint="eastAsia"/>
          <w:b/>
          <w:bCs/>
          <w:color w:val="auto"/>
          <w:kern w:val="21"/>
          <w:u w:val="single"/>
        </w:rPr>
        <w:t>膜分离法处理技术”，属于可行技术，符合要求。</w:t>
      </w:r>
    </w:p>
    <w:p>
      <w:pPr>
        <w:pStyle w:val="43"/>
        <w:rPr>
          <w:rFonts w:ascii="Arial" w:hAnsi="Arial" w:eastAsia="黑体"/>
          <w:b/>
          <w:bCs/>
          <w:color w:val="auto"/>
          <w:u w:val="single"/>
        </w:rPr>
      </w:pPr>
      <w:r>
        <w:rPr>
          <w:b/>
          <w:bCs/>
          <w:color w:val="auto"/>
          <w:u w:val="single"/>
        </w:rPr>
        <w:br w:type="page"/>
      </w:r>
    </w:p>
    <w:p>
      <w:pPr>
        <w:pStyle w:val="6"/>
        <w:spacing w:before="0" w:after="0" w:line="360" w:lineRule="auto"/>
        <w:rPr>
          <w:b/>
          <w:bCs/>
          <w:color w:val="auto"/>
          <w:sz w:val="24"/>
          <w:szCs w:val="24"/>
          <w:u w:val="single"/>
        </w:rPr>
      </w:pPr>
      <w:r>
        <w:rPr>
          <w:rFonts w:hint="eastAsia"/>
          <w:b/>
          <w:bCs/>
          <w:color w:val="auto"/>
          <w:sz w:val="24"/>
          <w:szCs w:val="24"/>
          <w:u w:val="single"/>
        </w:rPr>
        <w:t>7.2.4</w:t>
      </w:r>
      <w:r>
        <w:rPr>
          <w:b/>
          <w:bCs/>
          <w:color w:val="auto"/>
          <w:sz w:val="24"/>
          <w:szCs w:val="24"/>
          <w:u w:val="single"/>
        </w:rPr>
        <w:t>.</w:t>
      </w:r>
      <w:r>
        <w:rPr>
          <w:rFonts w:hint="eastAsia"/>
          <w:b/>
          <w:bCs/>
          <w:color w:val="auto"/>
          <w:sz w:val="24"/>
          <w:szCs w:val="24"/>
          <w:u w:val="single"/>
        </w:rPr>
        <w:t>2含锌废水预处理工艺可行性分析</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（1）含锌废水预处理工艺</w:t>
      </w:r>
    </w:p>
    <w:p>
      <w:pPr>
        <w:spacing w:line="360" w:lineRule="auto"/>
        <w:ind w:firstLine="482" w:firstLineChars="200"/>
        <w:rPr>
          <w:b/>
          <w:bCs/>
          <w:color w:val="auto"/>
          <w:sz w:val="24"/>
          <w:szCs w:val="20"/>
          <w:u w:val="single"/>
        </w:rPr>
      </w:pPr>
      <w:r>
        <w:rPr>
          <w:rFonts w:hint="eastAsia"/>
          <w:b/>
          <w:bCs/>
          <w:color w:val="auto"/>
          <w:sz w:val="24"/>
          <w:szCs w:val="20"/>
          <w:u w:val="single"/>
        </w:rPr>
        <w:t>含锌废水预处理系统工艺流程见下图：</w:t>
      </w:r>
    </w:p>
    <w:p>
      <w:pPr>
        <w:spacing w:line="360" w:lineRule="auto"/>
        <w:jc w:val="center"/>
        <w:rPr>
          <w:b/>
          <w:bCs/>
          <w:color w:val="auto"/>
          <w:u w:val="single"/>
        </w:rPr>
      </w:pPr>
      <w:r>
        <w:rPr>
          <w:color w:val="auto"/>
        </w:rPr>
        <w:drawing>
          <wp:inline distT="0" distB="0" distL="114300" distR="114300">
            <wp:extent cx="4648200" cy="4943475"/>
            <wp:effectExtent l="0" t="0" r="0" b="9525"/>
            <wp:docPr id="6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30"/>
                    <pic:cNvPicPr>
                      <a:picLocks noChangeAspect="1"/>
                    </pic:cNvPicPr>
                  </pic:nvPicPr>
                  <pic:blipFill>
                    <a:blip r:embed="rId153"/>
                    <a:stretch>
                      <a:fillRect/>
                    </a:stretch>
                  </pic:blipFill>
                  <pic:spPr>
                    <a:xfrm>
                      <a:off x="0" y="0"/>
                      <a:ext cx="4648200" cy="4943475"/>
                    </a:xfrm>
                    <a:prstGeom prst="rect">
                      <a:avLst/>
                    </a:prstGeom>
                    <a:noFill/>
                    <a:ln>
                      <a:noFill/>
                    </a:ln>
                  </pic:spPr>
                </pic:pic>
              </a:graphicData>
            </a:graphic>
          </wp:inline>
        </w:drawing>
      </w:r>
    </w:p>
    <w:p>
      <w:pPr>
        <w:pStyle w:val="32"/>
        <w:adjustRightInd w:val="0"/>
        <w:snapToGrid w:val="0"/>
        <w:spacing w:after="0"/>
        <w:jc w:val="center"/>
        <w:rPr>
          <w:rFonts w:eastAsia="黑体"/>
          <w:b/>
          <w:bCs/>
          <w:color w:val="auto"/>
          <w:kern w:val="21"/>
          <w:sz w:val="24"/>
          <w:u w:val="single"/>
        </w:rPr>
      </w:pPr>
      <w:r>
        <w:rPr>
          <w:rFonts w:hint="eastAsia" w:eastAsia="黑体"/>
          <w:b/>
          <w:bCs/>
          <w:color w:val="auto"/>
          <w:kern w:val="21"/>
          <w:sz w:val="24"/>
          <w:u w:val="single"/>
        </w:rPr>
        <w:t>图</w:t>
      </w:r>
      <w:r>
        <w:rPr>
          <w:rFonts w:hint="eastAsia" w:eastAsia="黑体"/>
          <w:b/>
          <w:bCs/>
          <w:color w:val="auto"/>
          <w:kern w:val="21"/>
          <w:sz w:val="24"/>
          <w:u w:val="single"/>
          <w:lang w:val="en-US"/>
        </w:rPr>
        <w:t>7.2-3</w:t>
      </w:r>
      <w:r>
        <w:rPr>
          <w:rFonts w:eastAsia="黑体"/>
          <w:b/>
          <w:bCs/>
          <w:color w:val="auto"/>
          <w:kern w:val="21"/>
          <w:sz w:val="24"/>
          <w:u w:val="single"/>
          <w:lang w:val="en-US"/>
        </w:rPr>
        <w:t xml:space="preserve"> </w:t>
      </w:r>
      <w:r>
        <w:rPr>
          <w:rFonts w:hint="eastAsia" w:eastAsia="黑体"/>
          <w:b/>
          <w:bCs/>
          <w:color w:val="auto"/>
          <w:kern w:val="21"/>
          <w:sz w:val="24"/>
          <w:u w:val="single"/>
          <w:lang w:val="en-US"/>
        </w:rPr>
        <w:t xml:space="preserve"> 含锌废水预处理工艺流程</w:t>
      </w:r>
    </w:p>
    <w:p>
      <w:pPr>
        <w:spacing w:line="360" w:lineRule="auto"/>
        <w:ind w:firstLine="482" w:firstLineChars="200"/>
        <w:rPr>
          <w:b/>
          <w:bCs/>
          <w:color w:val="auto"/>
          <w:sz w:val="24"/>
          <w:szCs w:val="20"/>
          <w:u w:val="single"/>
        </w:rPr>
      </w:pPr>
      <w:r>
        <w:rPr>
          <w:rFonts w:hint="eastAsia"/>
          <w:b/>
          <w:bCs/>
          <w:color w:val="auto"/>
          <w:sz w:val="24"/>
          <w:szCs w:val="20"/>
          <w:u w:val="single"/>
        </w:rPr>
        <w:t>工艺流程说明：</w:t>
      </w:r>
    </w:p>
    <w:p>
      <w:pPr>
        <w:pStyle w:val="32"/>
        <w:adjustRightInd w:val="0"/>
        <w:snapToGrid w:val="0"/>
        <w:spacing w:after="0" w:line="360" w:lineRule="auto"/>
        <w:ind w:firstLine="482" w:firstLineChars="200"/>
        <w:rPr>
          <w:rFonts w:ascii="宋体" w:hAnsi="宋体"/>
          <w:b/>
          <w:bCs/>
          <w:color w:val="auto"/>
          <w:kern w:val="21"/>
          <w:sz w:val="24"/>
          <w:u w:val="single"/>
        </w:rPr>
      </w:pPr>
      <w:r>
        <w:rPr>
          <w:rFonts w:hint="eastAsia"/>
          <w:b/>
          <w:bCs/>
          <w:color w:val="auto"/>
          <w:sz w:val="24"/>
          <w:szCs w:val="20"/>
          <w:u w:val="single"/>
        </w:rPr>
        <w:t>含锌废水经收集管网进入含锌废水收集槽经水质、水量调节后，用提升泵将废水提升至中和反应池，该阶段投加</w:t>
      </w:r>
      <w:r>
        <w:rPr>
          <w:b/>
          <w:bCs/>
          <w:color w:val="auto"/>
          <w:sz w:val="24"/>
          <w:szCs w:val="20"/>
          <w:u w:val="single"/>
        </w:rPr>
        <w:t xml:space="preserve">NaOH </w:t>
      </w:r>
      <w:r>
        <w:rPr>
          <w:rFonts w:hint="eastAsia"/>
          <w:b/>
          <w:bCs/>
          <w:color w:val="auto"/>
          <w:sz w:val="24"/>
          <w:szCs w:val="20"/>
          <w:u w:val="single"/>
        </w:rPr>
        <w:t>调节废水中的</w:t>
      </w:r>
      <w:r>
        <w:rPr>
          <w:b/>
          <w:bCs/>
          <w:color w:val="auto"/>
          <w:sz w:val="24"/>
          <w:szCs w:val="20"/>
          <w:u w:val="single"/>
        </w:rPr>
        <w:t>PH</w:t>
      </w:r>
      <w:r>
        <w:rPr>
          <w:rFonts w:hint="eastAsia"/>
          <w:b/>
          <w:bCs/>
          <w:color w:val="auto"/>
          <w:sz w:val="24"/>
          <w:szCs w:val="20"/>
          <w:u w:val="single"/>
        </w:rPr>
        <w:t>值为</w:t>
      </w:r>
      <w:r>
        <w:rPr>
          <w:b/>
          <w:bCs/>
          <w:color w:val="auto"/>
          <w:sz w:val="24"/>
          <w:szCs w:val="20"/>
          <w:u w:val="single"/>
        </w:rPr>
        <w:t>9.0~9.5</w:t>
      </w:r>
      <w:r>
        <w:rPr>
          <w:rFonts w:hint="eastAsia"/>
          <w:b/>
          <w:bCs/>
          <w:color w:val="auto"/>
          <w:sz w:val="24"/>
          <w:szCs w:val="20"/>
          <w:u w:val="single"/>
        </w:rPr>
        <w:t>，该反应阶段可将废水中的锌等重金属离子转化为氢氧化物沉淀，加碱中和反应的水自流进入絮凝反应池，该阶段投入</w:t>
      </w:r>
      <w:r>
        <w:rPr>
          <w:b/>
          <w:bCs/>
          <w:color w:val="auto"/>
          <w:sz w:val="24"/>
          <w:szCs w:val="20"/>
          <w:u w:val="single"/>
        </w:rPr>
        <w:t>100-300ppm</w:t>
      </w:r>
      <w:r>
        <w:rPr>
          <w:rFonts w:hint="eastAsia"/>
          <w:b/>
          <w:bCs/>
          <w:color w:val="auto"/>
          <w:sz w:val="24"/>
          <w:szCs w:val="20"/>
          <w:u w:val="single"/>
        </w:rPr>
        <w:t>絮凝剂聚合氯化铝，再进入絮效池投加</w:t>
      </w:r>
      <w:r>
        <w:rPr>
          <w:b/>
          <w:bCs/>
          <w:color w:val="auto"/>
          <w:sz w:val="24"/>
          <w:szCs w:val="20"/>
          <w:u w:val="single"/>
        </w:rPr>
        <w:t>10ppm</w:t>
      </w:r>
      <w:r>
        <w:rPr>
          <w:rFonts w:hint="eastAsia"/>
          <w:b/>
          <w:bCs/>
          <w:color w:val="auto"/>
          <w:sz w:val="24"/>
          <w:szCs w:val="20"/>
          <w:u w:val="single"/>
        </w:rPr>
        <w:t>的助凝剂聚丙烯胺，形成比重大于水的矾花后进行沉淀分离。沉淀分离完成后上清液经加酸回调</w:t>
      </w:r>
      <w:r>
        <w:rPr>
          <w:b/>
          <w:bCs/>
          <w:color w:val="auto"/>
          <w:sz w:val="24"/>
          <w:szCs w:val="20"/>
          <w:u w:val="single"/>
        </w:rPr>
        <w:t xml:space="preserve">pH </w:t>
      </w:r>
      <w:r>
        <w:rPr>
          <w:rFonts w:hint="eastAsia"/>
          <w:b/>
          <w:bCs/>
          <w:color w:val="auto"/>
          <w:sz w:val="24"/>
          <w:szCs w:val="20"/>
          <w:u w:val="single"/>
        </w:rPr>
        <w:t>值后，进入多介质过滤器去除水中存在的少量悬浮物及部分</w:t>
      </w:r>
      <w:r>
        <w:rPr>
          <w:b/>
          <w:bCs/>
          <w:color w:val="auto"/>
          <w:sz w:val="24"/>
          <w:szCs w:val="20"/>
          <w:u w:val="single"/>
        </w:rPr>
        <w:t xml:space="preserve">COD </w:t>
      </w:r>
      <w:r>
        <w:rPr>
          <w:rFonts w:hint="eastAsia"/>
          <w:b/>
          <w:bCs/>
          <w:color w:val="auto"/>
          <w:sz w:val="24"/>
          <w:szCs w:val="20"/>
          <w:u w:val="single"/>
        </w:rPr>
        <w:t>等，多介质过滤出水进入生化调节池进行零排放处理。沉淀池底部污泥排入</w:t>
      </w:r>
      <w:r>
        <w:rPr>
          <w:rFonts w:hint="eastAsia"/>
          <w:b/>
          <w:bCs/>
          <w:color w:val="auto"/>
          <w:sz w:val="24"/>
          <w:szCs w:val="20"/>
          <w:u w:val="single"/>
          <w:lang w:val="en-US" w:eastAsia="zh-CN"/>
        </w:rPr>
        <w:t>锌</w:t>
      </w:r>
      <w:r>
        <w:rPr>
          <w:rFonts w:hint="eastAsia"/>
          <w:b/>
          <w:bCs/>
          <w:color w:val="auto"/>
          <w:sz w:val="24"/>
          <w:szCs w:val="20"/>
          <w:u w:val="single"/>
        </w:rPr>
        <w:t>污泥池，通过污泥专用泵打入压滤机内压榨，滤液返回到调节池内，泥饼交有资质的单位处置。</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（2）含锌废水预处理主要设备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含锌废水预处理系统主要设备见下表。</w:t>
      </w:r>
    </w:p>
    <w:p>
      <w:pPr>
        <w:pStyle w:val="32"/>
        <w:adjustRightInd w:val="0"/>
        <w:snapToGrid w:val="0"/>
        <w:spacing w:after="0" w:line="360" w:lineRule="auto"/>
        <w:ind w:firstLine="482" w:firstLineChars="200"/>
        <w:jc w:val="center"/>
        <w:rPr>
          <w:rFonts w:ascii="宋体" w:hAnsi="宋体"/>
          <w:b/>
          <w:bCs/>
          <w:color w:val="auto"/>
          <w:kern w:val="21"/>
          <w:sz w:val="24"/>
          <w:u w:val="single"/>
        </w:rPr>
      </w:pPr>
      <w:r>
        <w:rPr>
          <w:rFonts w:hint="eastAsia" w:eastAsia="黑体"/>
          <w:b/>
          <w:bCs/>
          <w:color w:val="auto"/>
          <w:kern w:val="21"/>
          <w:sz w:val="24"/>
          <w:u w:val="single"/>
          <w:lang w:val="en-US"/>
        </w:rPr>
        <w:t>表7.2-3</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含锌废水预处理系统主要设备一览表</w:t>
      </w:r>
    </w:p>
    <w:tbl>
      <w:tblPr>
        <w:tblStyle w:val="83"/>
        <w:tblW w:w="5004" w:type="pct"/>
        <w:tblInd w:w="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6"/>
        <w:gridCol w:w="881"/>
        <w:gridCol w:w="1309"/>
        <w:gridCol w:w="2077"/>
        <w:gridCol w:w="1622"/>
        <w:gridCol w:w="526"/>
        <w:gridCol w:w="496"/>
        <w:gridCol w:w="92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tcBorders>
              <w:tl2br w:val="nil"/>
              <w:tr2bl w:val="nil"/>
            </w:tcBorders>
            <w:shd w:val="clear" w:color="auto" w:fill="auto"/>
            <w:vAlign w:val="center"/>
          </w:tcPr>
          <w:p>
            <w:pPr>
              <w:jc w:val="center"/>
              <w:rPr>
                <w:b/>
                <w:bCs/>
                <w:color w:val="auto"/>
                <w:u w:val="single"/>
              </w:rPr>
            </w:pPr>
            <w:r>
              <w:rPr>
                <w:b/>
                <w:bCs/>
                <w:color w:val="auto"/>
                <w:spacing w:val="-2"/>
                <w:u w:val="single"/>
              </w:rPr>
              <w:t>序</w:t>
            </w:r>
            <w:r>
              <w:rPr>
                <w:b/>
                <w:bCs/>
                <w:color w:val="auto"/>
                <w:spacing w:val="-1"/>
                <w:u w:val="single"/>
              </w:rPr>
              <w:t>号</w:t>
            </w:r>
          </w:p>
        </w:tc>
        <w:tc>
          <w:tcPr>
            <w:tcW w:w="529" w:type="pct"/>
            <w:tcBorders>
              <w:tl2br w:val="nil"/>
              <w:tr2bl w:val="nil"/>
            </w:tcBorders>
            <w:shd w:val="clear" w:color="auto" w:fill="auto"/>
            <w:vAlign w:val="center"/>
          </w:tcPr>
          <w:p>
            <w:pPr>
              <w:jc w:val="center"/>
              <w:rPr>
                <w:b/>
                <w:bCs/>
                <w:color w:val="auto"/>
                <w:u w:val="single"/>
              </w:rPr>
            </w:pPr>
            <w:r>
              <w:rPr>
                <w:b/>
                <w:bCs/>
                <w:color w:val="auto"/>
                <w:spacing w:val="-4"/>
                <w:u w:val="single"/>
              </w:rPr>
              <w:t>系</w:t>
            </w:r>
            <w:r>
              <w:rPr>
                <w:b/>
                <w:bCs/>
                <w:color w:val="auto"/>
                <w:spacing w:val="-3"/>
                <w:u w:val="single"/>
              </w:rPr>
              <w:t>统</w:t>
            </w:r>
          </w:p>
        </w:tc>
        <w:tc>
          <w:tcPr>
            <w:tcW w:w="786" w:type="pct"/>
            <w:tcBorders>
              <w:tl2br w:val="nil"/>
              <w:tr2bl w:val="nil"/>
            </w:tcBorders>
            <w:shd w:val="clear" w:color="auto" w:fill="auto"/>
            <w:vAlign w:val="center"/>
          </w:tcPr>
          <w:p>
            <w:pPr>
              <w:jc w:val="center"/>
              <w:rPr>
                <w:b/>
                <w:bCs/>
                <w:color w:val="auto"/>
                <w:u w:val="single"/>
              </w:rPr>
            </w:pPr>
            <w:r>
              <w:rPr>
                <w:b/>
                <w:bCs/>
                <w:color w:val="auto"/>
                <w:spacing w:val="-4"/>
                <w:u w:val="single"/>
              </w:rPr>
              <w:t>名</w:t>
            </w:r>
            <w:r>
              <w:rPr>
                <w:b/>
                <w:bCs/>
                <w:color w:val="auto"/>
                <w:spacing w:val="-3"/>
                <w:u w:val="single"/>
              </w:rPr>
              <w:t>称</w:t>
            </w:r>
          </w:p>
        </w:tc>
        <w:tc>
          <w:tcPr>
            <w:tcW w:w="1247" w:type="pct"/>
            <w:tcBorders>
              <w:tl2br w:val="nil"/>
              <w:tr2bl w:val="nil"/>
            </w:tcBorders>
            <w:shd w:val="clear" w:color="auto" w:fill="auto"/>
            <w:vAlign w:val="center"/>
          </w:tcPr>
          <w:p>
            <w:pPr>
              <w:jc w:val="center"/>
              <w:rPr>
                <w:b/>
                <w:bCs/>
                <w:color w:val="auto"/>
                <w:u w:val="single"/>
              </w:rPr>
            </w:pPr>
            <w:r>
              <w:rPr>
                <w:b/>
                <w:bCs/>
                <w:color w:val="auto"/>
                <w:spacing w:val="-1"/>
                <w:u w:val="single"/>
              </w:rPr>
              <w:t>规格型号</w:t>
            </w:r>
          </w:p>
        </w:tc>
        <w:tc>
          <w:tcPr>
            <w:tcW w:w="974" w:type="pct"/>
            <w:tcBorders>
              <w:tl2br w:val="nil"/>
              <w:tr2bl w:val="nil"/>
            </w:tcBorders>
            <w:shd w:val="clear" w:color="auto" w:fill="auto"/>
            <w:vAlign w:val="center"/>
          </w:tcPr>
          <w:p>
            <w:pPr>
              <w:jc w:val="center"/>
              <w:rPr>
                <w:b/>
                <w:bCs/>
                <w:color w:val="auto"/>
                <w:u w:val="single"/>
              </w:rPr>
            </w:pPr>
            <w:r>
              <w:rPr>
                <w:rFonts w:eastAsia="Meiryo"/>
                <w:b/>
                <w:bCs/>
                <w:color w:val="auto"/>
                <w:spacing w:val="-6"/>
                <w:u w:val="single"/>
              </w:rPr>
              <w:t>⼚</w:t>
            </w:r>
            <w:r>
              <w:rPr>
                <w:b/>
                <w:bCs/>
                <w:color w:val="auto"/>
                <w:spacing w:val="-4"/>
                <w:u w:val="single"/>
              </w:rPr>
              <w:t>商</w:t>
            </w:r>
          </w:p>
        </w:tc>
        <w:tc>
          <w:tcPr>
            <w:tcW w:w="316" w:type="pct"/>
            <w:tcBorders>
              <w:tl2br w:val="nil"/>
              <w:tr2bl w:val="nil"/>
            </w:tcBorders>
            <w:shd w:val="clear" w:color="auto" w:fill="auto"/>
            <w:vAlign w:val="center"/>
          </w:tcPr>
          <w:p>
            <w:pPr>
              <w:jc w:val="center"/>
              <w:rPr>
                <w:b/>
                <w:bCs/>
                <w:color w:val="auto"/>
                <w:u w:val="single"/>
              </w:rPr>
            </w:pPr>
            <w:r>
              <w:rPr>
                <w:b/>
                <w:bCs/>
                <w:color w:val="auto"/>
                <w:spacing w:val="-3"/>
                <w:u w:val="single"/>
              </w:rPr>
              <w:t>单位</w:t>
            </w:r>
          </w:p>
        </w:tc>
        <w:tc>
          <w:tcPr>
            <w:tcW w:w="298" w:type="pct"/>
            <w:tcBorders>
              <w:tl2br w:val="nil"/>
              <w:tr2bl w:val="nil"/>
            </w:tcBorders>
            <w:shd w:val="clear" w:color="auto" w:fill="auto"/>
            <w:vAlign w:val="center"/>
          </w:tcPr>
          <w:p>
            <w:pPr>
              <w:jc w:val="center"/>
              <w:rPr>
                <w:b/>
                <w:bCs/>
                <w:color w:val="auto"/>
                <w:u w:val="single"/>
              </w:rPr>
            </w:pPr>
            <w:r>
              <w:rPr>
                <w:b/>
                <w:bCs/>
                <w:color w:val="auto"/>
                <w:spacing w:val="-3"/>
                <w:u w:val="single"/>
              </w:rPr>
              <w:t>数</w:t>
            </w:r>
            <w:r>
              <w:rPr>
                <w:b/>
                <w:bCs/>
                <w:color w:val="auto"/>
                <w:spacing w:val="-2"/>
                <w:u w:val="single"/>
              </w:rPr>
              <w:t>量</w:t>
            </w:r>
          </w:p>
        </w:tc>
        <w:tc>
          <w:tcPr>
            <w:tcW w:w="557" w:type="pct"/>
            <w:tcBorders>
              <w:tl2br w:val="nil"/>
              <w:tr2bl w:val="nil"/>
            </w:tcBorders>
            <w:shd w:val="clear" w:color="auto" w:fill="auto"/>
            <w:vAlign w:val="center"/>
          </w:tcPr>
          <w:p>
            <w:pPr>
              <w:jc w:val="center"/>
              <w:rPr>
                <w:b/>
                <w:bCs/>
                <w:color w:val="auto"/>
                <w:u w:val="single"/>
              </w:rPr>
            </w:pPr>
            <w:r>
              <w:rPr>
                <w:b/>
                <w:bCs/>
                <w:color w:val="auto"/>
                <w:spacing w:val="-3"/>
                <w:u w:val="single"/>
              </w:rPr>
              <w:t>备</w:t>
            </w:r>
            <w:r>
              <w:rPr>
                <w:b/>
                <w:bCs/>
                <w:color w:val="auto"/>
                <w:spacing w:val="-2"/>
                <w:u w:val="single"/>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2" w:type="pct"/>
            <w:vMerge w:val="restart"/>
            <w:tcBorders>
              <w:tl2br w:val="nil"/>
              <w:tr2bl w:val="nil"/>
            </w:tcBorders>
            <w:shd w:val="clear" w:color="auto" w:fill="auto"/>
            <w:vAlign w:val="center"/>
          </w:tcPr>
          <w:p>
            <w:pPr>
              <w:jc w:val="center"/>
              <w:rPr>
                <w:b/>
                <w:bCs/>
                <w:color w:val="auto"/>
                <w:u w:val="single"/>
              </w:rPr>
            </w:pPr>
            <w:r>
              <w:rPr>
                <w:b/>
                <w:bCs/>
                <w:color w:val="auto"/>
                <w:u w:val="single"/>
              </w:rPr>
              <w:t>1</w:t>
            </w:r>
          </w:p>
        </w:tc>
        <w:tc>
          <w:tcPr>
            <w:tcW w:w="529" w:type="pct"/>
            <w:vMerge w:val="restart"/>
            <w:tcBorders>
              <w:tl2br w:val="nil"/>
              <w:tr2bl w:val="nil"/>
            </w:tcBorders>
            <w:shd w:val="clear" w:color="auto" w:fill="auto"/>
            <w:vAlign w:val="center"/>
          </w:tcPr>
          <w:p>
            <w:pPr>
              <w:jc w:val="center"/>
              <w:rPr>
                <w:b/>
                <w:bCs/>
                <w:color w:val="auto"/>
                <w:u w:val="single"/>
              </w:rPr>
            </w:pPr>
            <w:r>
              <w:rPr>
                <w:b/>
                <w:bCs/>
                <w:color w:val="auto"/>
                <w:spacing w:val="-1"/>
                <w:u w:val="single"/>
              </w:rPr>
              <w:t>含锌废水收</w:t>
            </w:r>
            <w:r>
              <w:rPr>
                <w:b/>
                <w:bCs/>
                <w:color w:val="auto"/>
                <w:u w:val="single"/>
              </w:rPr>
              <w:t>集</w:t>
            </w:r>
            <w:r>
              <w:rPr>
                <w:b/>
                <w:bCs/>
                <w:color w:val="auto"/>
                <w:spacing w:val="-4"/>
                <w:u w:val="single"/>
              </w:rPr>
              <w:t>系</w:t>
            </w:r>
            <w:r>
              <w:rPr>
                <w:b/>
                <w:bCs/>
                <w:color w:val="auto"/>
                <w:spacing w:val="-3"/>
                <w:u w:val="single"/>
              </w:rPr>
              <w:t>统</w:t>
            </w:r>
          </w:p>
        </w:tc>
        <w:tc>
          <w:tcPr>
            <w:tcW w:w="786" w:type="pct"/>
            <w:tcBorders>
              <w:tl2br w:val="nil"/>
              <w:tr2bl w:val="nil"/>
            </w:tcBorders>
            <w:shd w:val="clear" w:color="auto" w:fill="auto"/>
            <w:vAlign w:val="center"/>
          </w:tcPr>
          <w:p>
            <w:pPr>
              <w:jc w:val="center"/>
              <w:rPr>
                <w:b/>
                <w:bCs/>
                <w:color w:val="auto"/>
                <w:u w:val="single"/>
              </w:rPr>
            </w:pPr>
            <w:r>
              <w:rPr>
                <w:b/>
                <w:bCs/>
                <w:color w:val="auto"/>
                <w:spacing w:val="-1"/>
                <w:u w:val="single"/>
              </w:rPr>
              <w:t>锌废</w:t>
            </w:r>
            <w:r>
              <w:rPr>
                <w:rFonts w:hint="eastAsia"/>
                <w:b/>
                <w:bCs/>
                <w:color w:val="auto"/>
                <w:spacing w:val="-1"/>
                <w:u w:val="single"/>
              </w:rPr>
              <w:t>水</w:t>
            </w:r>
            <w:r>
              <w:rPr>
                <w:b/>
                <w:bCs/>
                <w:color w:val="auto"/>
                <w:u w:val="single"/>
              </w:rPr>
              <w:t>收集桶</w:t>
            </w:r>
          </w:p>
        </w:tc>
        <w:tc>
          <w:tcPr>
            <w:tcW w:w="1247" w:type="pct"/>
            <w:tcBorders>
              <w:tl2br w:val="nil"/>
              <w:tr2bl w:val="nil"/>
            </w:tcBorders>
            <w:shd w:val="clear" w:color="auto" w:fill="auto"/>
            <w:vAlign w:val="center"/>
          </w:tcPr>
          <w:p>
            <w:pPr>
              <w:jc w:val="center"/>
              <w:rPr>
                <w:b/>
                <w:bCs/>
                <w:color w:val="auto"/>
                <w:u w:val="single"/>
              </w:rPr>
            </w:pPr>
            <w:r>
              <w:rPr>
                <w:b/>
                <w:bCs/>
                <w:color w:val="auto"/>
                <w:spacing w:val="-15"/>
                <w:u w:val="single"/>
              </w:rPr>
              <w:t>5m</w:t>
            </w:r>
            <w:r>
              <w:rPr>
                <w:b/>
                <w:bCs/>
                <w:color w:val="auto"/>
                <w:spacing w:val="-15"/>
                <w:u w:val="single"/>
                <w:vertAlign w:val="superscript"/>
              </w:rPr>
              <w:t>3</w:t>
            </w:r>
            <w:r>
              <w:rPr>
                <w:b/>
                <w:bCs/>
                <w:color w:val="auto"/>
                <w:spacing w:val="-11"/>
                <w:u w:val="single"/>
              </w:rPr>
              <w:t>，PPH/PE 材质</w:t>
            </w:r>
          </w:p>
        </w:tc>
        <w:tc>
          <w:tcPr>
            <w:tcW w:w="974" w:type="pct"/>
            <w:tcBorders>
              <w:tl2br w:val="nil"/>
              <w:tr2bl w:val="nil"/>
            </w:tcBorders>
            <w:shd w:val="clear" w:color="auto" w:fill="auto"/>
            <w:vAlign w:val="center"/>
          </w:tcPr>
          <w:p>
            <w:pPr>
              <w:jc w:val="center"/>
              <w:rPr>
                <w:b/>
                <w:bCs/>
                <w:color w:val="auto"/>
                <w:u w:val="single"/>
              </w:rPr>
            </w:pPr>
            <w:r>
              <w:rPr>
                <w:b/>
                <w:bCs/>
                <w:color w:val="auto"/>
                <w:spacing w:val="-2"/>
                <w:u w:val="single"/>
              </w:rPr>
              <w:t>逸</w:t>
            </w:r>
            <w:r>
              <w:rPr>
                <w:rFonts w:eastAsia="Meiryo"/>
                <w:b/>
                <w:bCs/>
                <w:color w:val="auto"/>
                <w:spacing w:val="-2"/>
                <w:u w:val="single"/>
              </w:rPr>
              <w:t>⾠</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原</w:t>
            </w:r>
            <w:r>
              <w:rPr>
                <w:rFonts w:hint="eastAsia"/>
                <w:b/>
                <w:bCs/>
                <w:color w:val="auto"/>
                <w:spacing w:val="-2"/>
                <w:u w:val="single"/>
              </w:rPr>
              <w:t>水</w:t>
            </w:r>
            <w:r>
              <w:rPr>
                <w:b/>
                <w:bCs/>
                <w:color w:val="auto"/>
                <w:spacing w:val="-1"/>
                <w:u w:val="single"/>
              </w:rPr>
              <w:t>泵</w:t>
            </w:r>
          </w:p>
        </w:tc>
        <w:tc>
          <w:tcPr>
            <w:tcW w:w="1247" w:type="pct"/>
            <w:tcBorders>
              <w:tl2br w:val="nil"/>
              <w:tr2bl w:val="nil"/>
            </w:tcBorders>
            <w:shd w:val="clear" w:color="auto" w:fill="auto"/>
            <w:vAlign w:val="center"/>
          </w:tcPr>
          <w:p>
            <w:pPr>
              <w:jc w:val="center"/>
              <w:rPr>
                <w:b/>
                <w:bCs/>
                <w:color w:val="auto"/>
                <w:u w:val="single"/>
              </w:rPr>
            </w:pPr>
            <w:r>
              <w:rPr>
                <w:b/>
                <w:bCs/>
                <w:color w:val="auto"/>
                <w:spacing w:val="-12"/>
                <w:u w:val="single"/>
              </w:rPr>
              <w:t>Q=1</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2"/>
                <w:u w:val="single"/>
              </w:rPr>
              <w:t>，H=15m，FRP</w:t>
            </w:r>
            <w:r>
              <w:rPr>
                <w:b/>
                <w:bCs/>
                <w:color w:val="auto"/>
                <w:spacing w:val="-10"/>
                <w:u w:val="single"/>
              </w:rPr>
              <w:t>P</w:t>
            </w:r>
            <w:r>
              <w:rPr>
                <w:b/>
                <w:bCs/>
                <w:color w:val="auto"/>
                <w:spacing w:val="-12"/>
                <w:u w:val="single"/>
              </w:rPr>
              <w:t xml:space="preserve"> 材质</w:t>
            </w:r>
          </w:p>
        </w:tc>
        <w:tc>
          <w:tcPr>
            <w:tcW w:w="974" w:type="pct"/>
            <w:tcBorders>
              <w:tl2br w:val="nil"/>
              <w:tr2bl w:val="nil"/>
            </w:tcBorders>
            <w:shd w:val="clear" w:color="auto" w:fill="auto"/>
            <w:vAlign w:val="center"/>
          </w:tcPr>
          <w:p>
            <w:pPr>
              <w:jc w:val="center"/>
              <w:rPr>
                <w:b/>
                <w:bCs/>
                <w:color w:val="auto"/>
                <w:u w:val="single"/>
              </w:rPr>
            </w:pPr>
            <w:r>
              <w:rPr>
                <w:b/>
                <w:bCs/>
                <w:color w:val="auto"/>
                <w:spacing w:val="-6"/>
                <w:u w:val="single"/>
              </w:rPr>
              <w:t>美</w:t>
            </w:r>
            <w:r>
              <w:rPr>
                <w:b/>
                <w:bCs/>
                <w:color w:val="auto"/>
                <w:spacing w:val="-3"/>
                <w:u w:val="single"/>
              </w:rPr>
              <w:t>宝/国宝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r>
              <w:rPr>
                <w:rFonts w:hint="eastAsia"/>
                <w:b/>
                <w:bCs/>
                <w:color w:val="auto"/>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进</w:t>
            </w:r>
            <w:r>
              <w:rPr>
                <w:rFonts w:hint="eastAsia"/>
                <w:b/>
                <w:bCs/>
                <w:color w:val="auto"/>
                <w:spacing w:val="-2"/>
                <w:u w:val="single"/>
              </w:rPr>
              <w:t>水</w:t>
            </w:r>
            <w:r>
              <w:rPr>
                <w:b/>
                <w:bCs/>
                <w:color w:val="auto"/>
                <w:spacing w:val="-1"/>
                <w:u w:val="single"/>
              </w:rPr>
              <w:t>辅助系统</w:t>
            </w:r>
          </w:p>
        </w:tc>
        <w:tc>
          <w:tcPr>
            <w:tcW w:w="1247" w:type="pct"/>
            <w:tcBorders>
              <w:tl2br w:val="nil"/>
              <w:tr2bl w:val="nil"/>
            </w:tcBorders>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974" w:type="pct"/>
            <w:tcBorders>
              <w:tl2br w:val="nil"/>
              <w:tr2bl w:val="nil"/>
            </w:tcBorders>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5"/>
                <w:u w:val="single"/>
              </w:rPr>
              <w:t>电磁流量计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15"/>
                <w:u w:val="single"/>
              </w:rPr>
              <w:t>4</w:t>
            </w:r>
            <w:r>
              <w:rPr>
                <w:rFonts w:hint="eastAsia"/>
                <w:b/>
                <w:bCs/>
                <w:color w:val="auto"/>
                <w:spacing w:val="-15"/>
                <w:u w:val="single"/>
                <w:lang w:eastAsia="zh-CN"/>
              </w:rPr>
              <w:t>～</w:t>
            </w:r>
            <w:r>
              <w:rPr>
                <w:b/>
                <w:bCs/>
                <w:color w:val="auto"/>
                <w:spacing w:val="-13"/>
                <w:u w:val="single"/>
              </w:rPr>
              <w:t>20mA</w:t>
            </w:r>
          </w:p>
        </w:tc>
        <w:tc>
          <w:tcPr>
            <w:tcW w:w="974" w:type="pct"/>
            <w:tcBorders>
              <w:tl2br w:val="nil"/>
              <w:tr2bl w:val="nil"/>
            </w:tcBorders>
            <w:shd w:val="clear" w:color="auto" w:fill="auto"/>
            <w:vAlign w:val="center"/>
          </w:tcPr>
          <w:p>
            <w:pPr>
              <w:jc w:val="center"/>
              <w:rPr>
                <w:b/>
                <w:bCs/>
                <w:color w:val="auto"/>
                <w:u w:val="single"/>
              </w:rPr>
            </w:pPr>
            <w:r>
              <w:rPr>
                <w:b/>
                <w:bCs/>
                <w:color w:val="auto"/>
                <w:spacing w:val="-6"/>
                <w:u w:val="single"/>
              </w:rPr>
              <w:t>创</w:t>
            </w:r>
            <w:r>
              <w:rPr>
                <w:b/>
                <w:bCs/>
                <w:color w:val="auto"/>
                <w:spacing w:val="-4"/>
                <w:u w:val="single"/>
              </w:rPr>
              <w:t>新</w:t>
            </w:r>
            <w:r>
              <w:rPr>
                <w:b/>
                <w:bCs/>
                <w:color w:val="auto"/>
                <w:spacing w:val="-3"/>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12"/>
                <w:u w:val="single"/>
              </w:rPr>
              <w:t>4</w:t>
            </w:r>
            <w:r>
              <w:rPr>
                <w:b/>
                <w:bCs/>
                <w:color w:val="auto"/>
                <w:spacing w:val="-8"/>
                <w:u w:val="single"/>
              </w:rPr>
              <w:t>-20mA</w:t>
            </w:r>
          </w:p>
        </w:tc>
        <w:tc>
          <w:tcPr>
            <w:tcW w:w="974" w:type="pct"/>
            <w:tcBorders>
              <w:tl2br w:val="nil"/>
              <w:tr2bl w:val="nil"/>
            </w:tcBorders>
            <w:shd w:val="clear" w:color="auto" w:fill="auto"/>
            <w:vAlign w:val="center"/>
          </w:tcPr>
          <w:p>
            <w:pPr>
              <w:jc w:val="center"/>
              <w:rPr>
                <w:b/>
                <w:bCs/>
                <w:color w:val="auto"/>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流量计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8"/>
                <w:u w:val="single"/>
              </w:rPr>
              <w:t>机</w:t>
            </w:r>
            <w:r>
              <w:rPr>
                <w:b/>
                <w:bCs/>
                <w:color w:val="auto"/>
                <w:spacing w:val="-5"/>
                <w:u w:val="single"/>
              </w:rPr>
              <w:t>械</w:t>
            </w:r>
            <w:r>
              <w:rPr>
                <w:b/>
                <w:bCs/>
                <w:color w:val="auto"/>
                <w:spacing w:val="-4"/>
                <w:u w:val="single"/>
              </w:rPr>
              <w:t>式、PVC</w:t>
            </w:r>
          </w:p>
        </w:tc>
        <w:tc>
          <w:tcPr>
            <w:tcW w:w="974" w:type="pct"/>
            <w:tcBorders>
              <w:tl2br w:val="nil"/>
              <w:tr2bl w:val="nil"/>
            </w:tcBorders>
            <w:shd w:val="clear" w:color="auto" w:fill="auto"/>
            <w:vAlign w:val="center"/>
          </w:tcPr>
          <w:p>
            <w:pPr>
              <w:jc w:val="center"/>
              <w:rPr>
                <w:b/>
                <w:bCs/>
                <w:color w:val="auto"/>
                <w:u w:val="single"/>
              </w:rPr>
            </w:pPr>
            <w:r>
              <w:rPr>
                <w:rFonts w:hint="eastAsia"/>
                <w:b/>
                <w:bCs/>
                <w:color w:val="auto"/>
                <w:spacing w:val="-2"/>
                <w:u w:val="single"/>
              </w:rPr>
              <w:t>金</w:t>
            </w:r>
            <w:r>
              <w:rPr>
                <w:b/>
                <w:bCs/>
                <w:color w:val="auto"/>
                <w:spacing w:val="-2"/>
                <w:u w:val="single"/>
              </w:rPr>
              <w:t>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2" w:type="pct"/>
            <w:vMerge w:val="restart"/>
            <w:tcBorders>
              <w:tl2br w:val="nil"/>
              <w:tr2bl w:val="nil"/>
            </w:tcBorders>
            <w:shd w:val="clear" w:color="auto" w:fill="auto"/>
            <w:vAlign w:val="center"/>
          </w:tcPr>
          <w:p>
            <w:pPr>
              <w:jc w:val="center"/>
              <w:rPr>
                <w:b/>
                <w:bCs/>
                <w:color w:val="auto"/>
                <w:u w:val="single"/>
              </w:rPr>
            </w:pPr>
            <w:r>
              <w:rPr>
                <w:b/>
                <w:bCs/>
                <w:color w:val="auto"/>
                <w:u w:val="single"/>
              </w:rPr>
              <w:t>2</w:t>
            </w:r>
          </w:p>
        </w:tc>
        <w:tc>
          <w:tcPr>
            <w:tcW w:w="529" w:type="pct"/>
            <w:vMerge w:val="restart"/>
            <w:tcBorders>
              <w:tl2br w:val="nil"/>
              <w:tr2bl w:val="nil"/>
            </w:tcBorders>
            <w:shd w:val="clear" w:color="auto" w:fill="auto"/>
            <w:vAlign w:val="center"/>
          </w:tcPr>
          <w:p>
            <w:pPr>
              <w:jc w:val="center"/>
              <w:rPr>
                <w:b/>
                <w:bCs/>
                <w:color w:val="auto"/>
                <w:u w:val="single"/>
              </w:rPr>
            </w:pPr>
            <w:r>
              <w:rPr>
                <w:b/>
                <w:bCs/>
                <w:color w:val="auto"/>
                <w:spacing w:val="-4"/>
                <w:u w:val="single"/>
              </w:rPr>
              <w:t>反</w:t>
            </w:r>
            <w:r>
              <w:rPr>
                <w:b/>
                <w:bCs/>
                <w:color w:val="auto"/>
                <w:spacing w:val="-3"/>
                <w:u w:val="single"/>
              </w:rPr>
              <w:t>应沉淀</w:t>
            </w:r>
            <w:r>
              <w:rPr>
                <w:rFonts w:eastAsia="Meiryo"/>
                <w:b/>
                <w:bCs/>
                <w:color w:val="auto"/>
                <w:spacing w:val="-3"/>
                <w:u w:val="single"/>
              </w:rPr>
              <w:t>⼀</w:t>
            </w:r>
            <w:r>
              <w:rPr>
                <w:b/>
                <w:bCs/>
                <w:color w:val="auto"/>
                <w:spacing w:val="-1"/>
                <w:u w:val="single"/>
              </w:rPr>
              <w:t>体槽</w:t>
            </w: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反</w:t>
            </w:r>
            <w:r>
              <w:rPr>
                <w:b/>
                <w:bCs/>
                <w:color w:val="auto"/>
                <w:spacing w:val="-1"/>
                <w:u w:val="single"/>
              </w:rPr>
              <w:t>应沉淀槽</w:t>
            </w:r>
          </w:p>
        </w:tc>
        <w:tc>
          <w:tcPr>
            <w:tcW w:w="1247" w:type="pct"/>
            <w:tcBorders>
              <w:tl2br w:val="nil"/>
              <w:tr2bl w:val="nil"/>
            </w:tcBorders>
            <w:shd w:val="clear" w:color="auto" w:fill="auto"/>
            <w:vAlign w:val="center"/>
          </w:tcPr>
          <w:p>
            <w:pPr>
              <w:jc w:val="center"/>
              <w:rPr>
                <w:b/>
                <w:bCs/>
                <w:color w:val="auto"/>
                <w:u w:val="single"/>
              </w:rPr>
            </w:pPr>
            <w:r>
              <w:rPr>
                <w:b/>
                <w:bCs/>
                <w:color w:val="auto"/>
                <w:spacing w:val="-9"/>
                <w:u w:val="single"/>
              </w:rPr>
              <w:t>PP</w:t>
            </w:r>
            <w:r>
              <w:rPr>
                <w:b/>
                <w:bCs/>
                <w:color w:val="auto"/>
                <w:spacing w:val="-11"/>
                <w:u w:val="single"/>
              </w:rPr>
              <w:t xml:space="preserve"> </w:t>
            </w:r>
            <w:r>
              <w:rPr>
                <w:b/>
                <w:bCs/>
                <w:color w:val="auto"/>
                <w:spacing w:val="-9"/>
                <w:u w:val="single"/>
              </w:rPr>
              <w:t>或 Q235 防腐</w:t>
            </w:r>
          </w:p>
        </w:tc>
        <w:tc>
          <w:tcPr>
            <w:tcW w:w="974" w:type="pct"/>
            <w:tcBorders>
              <w:tl2br w:val="nil"/>
              <w:tr2bl w:val="nil"/>
            </w:tcBorders>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个</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加药泵</w:t>
            </w:r>
          </w:p>
        </w:tc>
        <w:tc>
          <w:tcPr>
            <w:tcW w:w="1247" w:type="pct"/>
            <w:tcBorders>
              <w:tl2br w:val="nil"/>
              <w:tr2bl w:val="nil"/>
            </w:tcBorders>
            <w:shd w:val="clear" w:color="auto" w:fill="auto"/>
            <w:vAlign w:val="center"/>
          </w:tcPr>
          <w:p>
            <w:pPr>
              <w:jc w:val="center"/>
              <w:rPr>
                <w:b/>
                <w:bCs/>
                <w:color w:val="auto"/>
                <w:u w:val="single"/>
              </w:rPr>
            </w:pPr>
            <w:r>
              <w:rPr>
                <w:b/>
                <w:bCs/>
                <w:color w:val="auto"/>
                <w:spacing w:val="-14"/>
                <w:u w:val="single"/>
              </w:rPr>
              <w:t>碱</w:t>
            </w:r>
            <w:r>
              <w:rPr>
                <w:b/>
                <w:bCs/>
                <w:color w:val="auto"/>
                <w:spacing w:val="-8"/>
                <w:u w:val="single"/>
              </w:rPr>
              <w:t>、PAC、PAM</w:t>
            </w:r>
          </w:p>
        </w:tc>
        <w:tc>
          <w:tcPr>
            <w:tcW w:w="974" w:type="pct"/>
            <w:tcBorders>
              <w:tl2br w:val="nil"/>
              <w:tr2bl w:val="nil"/>
            </w:tcBorders>
            <w:shd w:val="clear" w:color="auto" w:fill="auto"/>
            <w:vAlign w:val="center"/>
          </w:tcPr>
          <w:p>
            <w:pPr>
              <w:jc w:val="center"/>
              <w:rPr>
                <w:b/>
                <w:bCs/>
                <w:color w:val="auto"/>
                <w:u w:val="single"/>
              </w:rPr>
            </w:pPr>
            <w:r>
              <w:rPr>
                <w:b/>
                <w:bCs/>
                <w:color w:val="auto"/>
                <w:spacing w:val="-14"/>
                <w:u w:val="single"/>
              </w:rPr>
              <w:t>WRS/PROM</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2"/>
                <w:u w:val="single"/>
              </w:rPr>
              <w:t>加药流</w:t>
            </w:r>
            <w:r>
              <w:rPr>
                <w:b/>
                <w:bCs/>
                <w:color w:val="auto"/>
                <w:spacing w:val="-1"/>
                <w:u w:val="single"/>
              </w:rPr>
              <w:t>量计</w:t>
            </w:r>
          </w:p>
        </w:tc>
        <w:tc>
          <w:tcPr>
            <w:tcW w:w="1247" w:type="pct"/>
            <w:tcBorders>
              <w:tl2br w:val="nil"/>
              <w:tr2bl w:val="nil"/>
            </w:tcBorders>
            <w:shd w:val="clear" w:color="auto" w:fill="auto"/>
            <w:vAlign w:val="center"/>
          </w:tcPr>
          <w:p>
            <w:pPr>
              <w:jc w:val="center"/>
              <w:rPr>
                <w:b/>
                <w:bCs/>
                <w:color w:val="auto"/>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tcBorders>
              <w:tl2br w:val="nil"/>
              <w:tr2bl w:val="nil"/>
            </w:tcBorders>
            <w:shd w:val="clear" w:color="auto" w:fill="auto"/>
            <w:vAlign w:val="center"/>
          </w:tcPr>
          <w:p>
            <w:pPr>
              <w:jc w:val="center"/>
              <w:rPr>
                <w:b/>
                <w:bCs/>
                <w:color w:val="auto"/>
                <w:u w:val="single"/>
              </w:rPr>
            </w:pPr>
            <w:r>
              <w:rPr>
                <w:rFonts w:hint="eastAsia"/>
                <w:b/>
                <w:bCs/>
                <w:color w:val="auto"/>
                <w:spacing w:val="-2"/>
                <w:u w:val="single"/>
              </w:rPr>
              <w:t>金</w:t>
            </w:r>
            <w:r>
              <w:rPr>
                <w:b/>
                <w:bCs/>
                <w:color w:val="auto"/>
                <w:spacing w:val="-2"/>
                <w:u w:val="single"/>
              </w:rPr>
              <w:t>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个</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tcBorders>
              <w:tl2br w:val="nil"/>
              <w:tr2bl w:val="nil"/>
            </w:tcBorders>
            <w:shd w:val="clear" w:color="auto" w:fill="auto"/>
            <w:vAlign w:val="center"/>
          </w:tcPr>
          <w:p>
            <w:pPr>
              <w:jc w:val="center"/>
              <w:rPr>
                <w:b/>
                <w:bCs/>
                <w:color w:val="auto"/>
                <w:u w:val="single"/>
              </w:rPr>
            </w:pPr>
            <w:r>
              <w:rPr>
                <w:b/>
                <w:bCs/>
                <w:color w:val="auto"/>
                <w:spacing w:val="-6"/>
                <w:u w:val="single"/>
              </w:rPr>
              <w:t>0</w:t>
            </w:r>
            <w:r>
              <w:rPr>
                <w:b/>
                <w:bCs/>
                <w:color w:val="auto"/>
                <w:spacing w:val="-5"/>
                <w:u w:val="single"/>
              </w:rPr>
              <w:t>-</w:t>
            </w:r>
            <w:r>
              <w:rPr>
                <w:b/>
                <w:bCs/>
                <w:color w:val="auto"/>
                <w:spacing w:val="-3"/>
                <w:u w:val="single"/>
              </w:rPr>
              <w:t>14，</w:t>
            </w:r>
            <w:r>
              <w:rPr>
                <w:rFonts w:hint="eastAsia"/>
                <w:b/>
                <w:bCs/>
                <w:color w:val="auto"/>
                <w:spacing w:val="-3"/>
                <w:u w:val="single"/>
              </w:rPr>
              <w:t>面</w:t>
            </w:r>
            <w:r>
              <w:rPr>
                <w:b/>
                <w:bCs/>
                <w:color w:val="auto"/>
                <w:spacing w:val="-3"/>
                <w:u w:val="single"/>
              </w:rPr>
              <w:t>板式</w:t>
            </w:r>
          </w:p>
        </w:tc>
        <w:tc>
          <w:tcPr>
            <w:tcW w:w="974" w:type="pct"/>
            <w:tcBorders>
              <w:tl2br w:val="nil"/>
              <w:tr2bl w:val="nil"/>
            </w:tcBorders>
            <w:shd w:val="clear" w:color="auto" w:fill="auto"/>
            <w:vAlign w:val="center"/>
          </w:tcPr>
          <w:p>
            <w:pPr>
              <w:jc w:val="center"/>
              <w:rPr>
                <w:b/>
                <w:bCs/>
                <w:color w:val="auto"/>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搅拌机</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12"/>
                <w:u w:val="single"/>
              </w:rPr>
              <w:t>微</w:t>
            </w:r>
            <w:r>
              <w:rPr>
                <w:rFonts w:hint="eastAsia" w:ascii="宋体" w:hAnsi="宋体" w:cs="宋体"/>
                <w:b/>
                <w:bCs/>
                <w:color w:val="auto"/>
                <w:spacing w:val="-11"/>
                <w:u w:val="single"/>
              </w:rPr>
              <w:t>⻮</w:t>
            </w:r>
            <w:r>
              <w:rPr>
                <w:b/>
                <w:bCs/>
                <w:color w:val="auto"/>
                <w:spacing w:val="-6"/>
                <w:u w:val="single"/>
              </w:rPr>
              <w:t>轮，Q235 衬塑，30-60rpm</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5"/>
                <w:u w:val="single"/>
              </w:rPr>
              <w:t>国茂/永创</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搅拌</w:t>
            </w:r>
            <w:r>
              <w:rPr>
                <w:b/>
                <w:bCs/>
                <w:color w:val="auto"/>
                <w:spacing w:val="-1"/>
                <w:u w:val="single"/>
              </w:rPr>
              <w:t>机</w:t>
            </w:r>
            <w:r>
              <w:rPr>
                <w:rFonts w:eastAsia="Meiryo"/>
                <w:b/>
                <w:bCs/>
                <w:color w:val="auto"/>
                <w:spacing w:val="-1"/>
                <w:u w:val="single"/>
              </w:rPr>
              <w:t>⽀</w:t>
            </w:r>
            <w:r>
              <w:rPr>
                <w:b/>
                <w:bCs/>
                <w:color w:val="auto"/>
                <w:spacing w:val="-1"/>
                <w:u w:val="single"/>
              </w:rPr>
              <w:t>架</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9"/>
                <w:u w:val="single"/>
              </w:rPr>
              <w:t>Q235 防腐</w:t>
            </w:r>
          </w:p>
        </w:tc>
        <w:tc>
          <w:tcPr>
            <w:tcW w:w="974" w:type="pct"/>
            <w:tcBorders>
              <w:tl2br w:val="nil"/>
              <w:tr2bl w:val="nil"/>
            </w:tcBorders>
            <w:shd w:val="clear" w:color="auto" w:fill="auto"/>
            <w:vAlign w:val="center"/>
          </w:tcPr>
          <w:p>
            <w:pPr>
              <w:jc w:val="center"/>
              <w:rPr>
                <w:b/>
                <w:bCs/>
                <w:color w:val="auto"/>
                <w:spacing w:val="-12"/>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3</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4"/>
                <w:u w:val="single"/>
              </w:rPr>
              <w:t>布</w:t>
            </w:r>
            <w:r>
              <w:rPr>
                <w:rFonts w:hint="eastAsia"/>
                <w:b/>
                <w:bCs/>
                <w:color w:val="auto"/>
                <w:spacing w:val="-4"/>
                <w:u w:val="single"/>
              </w:rPr>
              <w:t>水</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3"/>
                <w:u w:val="single"/>
              </w:rPr>
              <w:t>布</w:t>
            </w:r>
            <w:r>
              <w:rPr>
                <w:rFonts w:hint="eastAsia"/>
                <w:b/>
                <w:bCs/>
                <w:color w:val="auto"/>
                <w:spacing w:val="-3"/>
                <w:u w:val="single"/>
              </w:rPr>
              <w:t>水</w:t>
            </w:r>
            <w:r>
              <w:rPr>
                <w:b/>
                <w:bCs/>
                <w:color w:val="auto"/>
                <w:spacing w:val="-2"/>
                <w:u w:val="single"/>
              </w:rPr>
              <w:t>管</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7"/>
                <w:u w:val="single"/>
              </w:rPr>
              <w:t>出</w:t>
            </w:r>
            <w:r>
              <w:rPr>
                <w:rFonts w:hint="eastAsia"/>
                <w:b/>
                <w:bCs/>
                <w:color w:val="auto"/>
                <w:spacing w:val="-7"/>
                <w:u w:val="single"/>
              </w:rPr>
              <w:t>水</w:t>
            </w:r>
            <w:r>
              <w:rPr>
                <w:b/>
                <w:bCs/>
                <w:color w:val="auto"/>
                <w:spacing w:val="-4"/>
                <w:u w:val="single"/>
              </w:rPr>
              <w:t>堰板</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7"/>
                <w:u w:val="single"/>
              </w:rPr>
              <w:t>PVC</w:t>
            </w:r>
            <w:r>
              <w:rPr>
                <w:b/>
                <w:bCs/>
                <w:color w:val="auto"/>
                <w:spacing w:val="-8"/>
                <w:u w:val="single"/>
              </w:rPr>
              <w:t>/</w:t>
            </w:r>
            <w:r>
              <w:rPr>
                <w:b/>
                <w:bCs/>
                <w:color w:val="auto"/>
                <w:spacing w:val="-7"/>
                <w:u w:val="single"/>
              </w:rPr>
              <w:t>不锈钢</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1"/>
                <w:u w:val="single"/>
              </w:rPr>
              <w:t>斜管填料</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12"/>
                <w:u w:val="single"/>
              </w:rPr>
              <w:t>Φ</w:t>
            </w:r>
            <w:r>
              <w:rPr>
                <w:b/>
                <w:bCs/>
                <w:color w:val="auto"/>
                <w:spacing w:val="-9"/>
                <w:u w:val="single"/>
              </w:rPr>
              <w:t>50mm，</w:t>
            </w:r>
            <w:r>
              <w:rPr>
                <w:rFonts w:eastAsia="Meiryo"/>
                <w:b/>
                <w:bCs/>
                <w:color w:val="auto"/>
                <w:spacing w:val="-9"/>
                <w:u w:val="single"/>
              </w:rPr>
              <w:t>⼄</w:t>
            </w:r>
            <w:r>
              <w:rPr>
                <w:b/>
                <w:bCs/>
                <w:color w:val="auto"/>
                <w:spacing w:val="-9"/>
                <w:u w:val="single"/>
              </w:rPr>
              <w:t>丙共聚</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4"/>
                <w:u w:val="single"/>
              </w:rPr>
              <w:t>宜</w:t>
            </w:r>
            <w:r>
              <w:rPr>
                <w:b/>
                <w:bCs/>
                <w:color w:val="auto"/>
                <w:spacing w:val="-2"/>
                <w:u w:val="single"/>
              </w:rPr>
              <w:t>兴</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1"/>
                <w:u w:val="single"/>
              </w:rPr>
              <w:t>斜管填料</w:t>
            </w:r>
            <w:r>
              <w:rPr>
                <w:rFonts w:eastAsia="Meiryo"/>
                <w:b/>
                <w:bCs/>
                <w:color w:val="auto"/>
                <w:u w:val="single"/>
              </w:rPr>
              <w:t>⽀</w:t>
            </w:r>
            <w:r>
              <w:rPr>
                <w:b/>
                <w:bCs/>
                <w:color w:val="auto"/>
                <w:u w:val="single"/>
              </w:rPr>
              <w:t>架</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9"/>
                <w:u w:val="single"/>
              </w:rPr>
              <w:t>Q235 防腐</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b/>
                <w:bCs/>
                <w:color w:val="auto"/>
                <w:spacing w:val="-2"/>
                <w:u w:val="single"/>
              </w:rPr>
              <w:t>排泥泵</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8"/>
                <w:u w:val="single"/>
              </w:rPr>
              <w:t>DN</w:t>
            </w:r>
            <w:r>
              <w:rPr>
                <w:b/>
                <w:bCs/>
                <w:color w:val="auto"/>
                <w:spacing w:val="-10"/>
                <w:u w:val="single"/>
              </w:rPr>
              <w:t>4</w:t>
            </w:r>
            <w:r>
              <w:rPr>
                <w:b/>
                <w:bCs/>
                <w:color w:val="auto"/>
                <w:spacing w:val="-8"/>
                <w:u w:val="single"/>
              </w:rPr>
              <w:t>0，</w:t>
            </w:r>
            <w:r>
              <w:rPr>
                <w:rFonts w:hint="eastAsia"/>
                <w:b/>
                <w:bCs/>
                <w:color w:val="auto"/>
                <w:spacing w:val="-8"/>
                <w:u w:val="single"/>
              </w:rPr>
              <w:t>气</w:t>
            </w:r>
            <w:r>
              <w:rPr>
                <w:b/>
                <w:bCs/>
                <w:color w:val="auto"/>
                <w:spacing w:val="-8"/>
                <w:u w:val="single"/>
              </w:rPr>
              <w:t>动泵</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11"/>
                <w:u w:val="single"/>
              </w:rPr>
              <w:t>美国 ARO/VERDE</w:t>
            </w:r>
            <w:r>
              <w:rPr>
                <w:b/>
                <w:bCs/>
                <w:color w:val="auto"/>
                <w:spacing w:val="-10"/>
                <w:u w:val="single"/>
              </w:rPr>
              <w:t>R</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r>
              <w:rPr>
                <w:rFonts w:hint="eastAsia"/>
                <w:b/>
                <w:bCs/>
                <w:color w:val="auto"/>
                <w:u w:val="single"/>
              </w:rPr>
              <w:t>1用1</w:t>
            </w:r>
            <w:r>
              <w:rPr>
                <w:b/>
                <w:bCs/>
                <w:color w:val="auto"/>
                <w:u w:val="single"/>
              </w:rPr>
              <w:t xml:space="preserve"> 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rFonts w:hint="eastAsia"/>
                <w:b/>
                <w:bCs/>
                <w:color w:val="auto"/>
                <w:spacing w:val="-5"/>
                <w:u w:val="single"/>
              </w:rPr>
              <w:t>手</w:t>
            </w:r>
            <w:r>
              <w:rPr>
                <w:b/>
                <w:bCs/>
                <w:color w:val="auto"/>
                <w:spacing w:val="-5"/>
                <w:u w:val="single"/>
              </w:rPr>
              <w:t>动排泥阀</w:t>
            </w:r>
          </w:p>
        </w:tc>
        <w:tc>
          <w:tcPr>
            <w:tcW w:w="1247" w:type="pct"/>
            <w:tcBorders>
              <w:tl2br w:val="nil"/>
              <w:tr2bl w:val="nil"/>
            </w:tcBorders>
            <w:shd w:val="clear" w:color="auto" w:fill="auto"/>
            <w:vAlign w:val="center"/>
          </w:tcPr>
          <w:p>
            <w:pPr>
              <w:jc w:val="center"/>
              <w:rPr>
                <w:b/>
                <w:bCs/>
                <w:color w:val="auto"/>
                <w:spacing w:val="-6"/>
                <w:u w:val="single"/>
              </w:rPr>
            </w:pPr>
            <w:r>
              <w:rPr>
                <w:b/>
                <w:bCs/>
                <w:color w:val="auto"/>
                <w:spacing w:val="-13"/>
                <w:u w:val="single"/>
              </w:rPr>
              <w:t>UPVC，DN65</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2"/>
                <w:u w:val="single"/>
              </w:rPr>
            </w:pPr>
            <w:r>
              <w:rPr>
                <w:rFonts w:eastAsia="Meiryo"/>
                <w:b/>
                <w:bCs/>
                <w:color w:val="auto"/>
                <w:spacing w:val="-10"/>
                <w:u w:val="single"/>
              </w:rPr>
              <w:t>⾃</w:t>
            </w:r>
            <w:r>
              <w:rPr>
                <w:b/>
                <w:bCs/>
                <w:color w:val="auto"/>
                <w:spacing w:val="-9"/>
                <w:u w:val="single"/>
              </w:rPr>
              <w:t>动排泥阀</w:t>
            </w:r>
          </w:p>
        </w:tc>
        <w:tc>
          <w:tcPr>
            <w:tcW w:w="1247" w:type="pct"/>
            <w:tcBorders>
              <w:tl2br w:val="nil"/>
              <w:tr2bl w:val="nil"/>
            </w:tcBorders>
            <w:shd w:val="clear" w:color="auto" w:fill="auto"/>
            <w:vAlign w:val="center"/>
          </w:tcPr>
          <w:p>
            <w:pPr>
              <w:jc w:val="center"/>
              <w:rPr>
                <w:b/>
                <w:bCs/>
                <w:color w:val="auto"/>
                <w:spacing w:val="-6"/>
                <w:u w:val="single"/>
              </w:rPr>
            </w:pPr>
            <w:r>
              <w:rPr>
                <w:rFonts w:hint="eastAsia"/>
                <w:b/>
                <w:bCs/>
                <w:color w:val="auto"/>
                <w:spacing w:val="-15"/>
                <w:u w:val="single"/>
              </w:rPr>
              <w:t>气</w:t>
            </w:r>
            <w:r>
              <w:rPr>
                <w:b/>
                <w:bCs/>
                <w:color w:val="auto"/>
                <w:spacing w:val="-15"/>
                <w:u w:val="single"/>
              </w:rPr>
              <w:t>动，UPVC，  D</w:t>
            </w:r>
            <w:r>
              <w:rPr>
                <w:b/>
                <w:bCs/>
                <w:color w:val="auto"/>
                <w:spacing w:val="-14"/>
                <w:u w:val="single"/>
              </w:rPr>
              <w:t>N</w:t>
            </w:r>
            <w:r>
              <w:rPr>
                <w:b/>
                <w:bCs/>
                <w:color w:val="auto"/>
                <w:spacing w:val="-15"/>
                <w:u w:val="single"/>
              </w:rPr>
              <w:t>65</w:t>
            </w:r>
          </w:p>
        </w:tc>
        <w:tc>
          <w:tcPr>
            <w:tcW w:w="974" w:type="pct"/>
            <w:tcBorders>
              <w:tl2br w:val="nil"/>
              <w:tr2bl w:val="nil"/>
            </w:tcBorders>
            <w:shd w:val="clear" w:color="auto" w:fill="auto"/>
            <w:vAlign w:val="center"/>
          </w:tcPr>
          <w:p>
            <w:pPr>
              <w:jc w:val="center"/>
              <w:rPr>
                <w:b/>
                <w:bCs/>
                <w:color w:val="auto"/>
                <w:spacing w:val="-12"/>
                <w:u w:val="single"/>
              </w:rPr>
            </w:pPr>
            <w:r>
              <w:rPr>
                <w:b/>
                <w:bCs/>
                <w:color w:val="auto"/>
                <w:spacing w:val="-9"/>
                <w:u w:val="single"/>
              </w:rPr>
              <w:t>FLOWX</w:t>
            </w:r>
            <w:r>
              <w:rPr>
                <w:b/>
                <w:bCs/>
                <w:color w:val="auto"/>
                <w:spacing w:val="-10"/>
                <w:u w:val="single"/>
              </w:rPr>
              <w:t>/</w:t>
            </w:r>
            <w:r>
              <w:rPr>
                <w:b/>
                <w:bCs/>
                <w:color w:val="auto"/>
                <w:spacing w:val="-9"/>
                <w:u w:val="single"/>
              </w:rPr>
              <w:t>圣尔诺</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restart"/>
            <w:tcBorders>
              <w:tl2br w:val="nil"/>
              <w:tr2bl w:val="nil"/>
            </w:tcBorders>
            <w:shd w:val="clear" w:color="auto" w:fill="auto"/>
            <w:vAlign w:val="center"/>
          </w:tcPr>
          <w:p>
            <w:pPr>
              <w:jc w:val="center"/>
              <w:rPr>
                <w:b/>
                <w:bCs/>
                <w:color w:val="auto"/>
                <w:u w:val="single"/>
              </w:rPr>
            </w:pPr>
            <w:r>
              <w:rPr>
                <w:b/>
                <w:bCs/>
                <w:color w:val="auto"/>
                <w:u w:val="single"/>
              </w:rPr>
              <w:t>3</w:t>
            </w:r>
          </w:p>
        </w:tc>
        <w:tc>
          <w:tcPr>
            <w:tcW w:w="529" w:type="pct"/>
            <w:vMerge w:val="restart"/>
            <w:tcBorders>
              <w:tl2br w:val="nil"/>
              <w:tr2bl w:val="nil"/>
            </w:tcBorders>
            <w:shd w:val="clear" w:color="auto" w:fill="auto"/>
            <w:vAlign w:val="center"/>
          </w:tcPr>
          <w:p>
            <w:pPr>
              <w:jc w:val="center"/>
              <w:rPr>
                <w:b/>
                <w:bCs/>
                <w:color w:val="auto"/>
                <w:u w:val="single"/>
              </w:rPr>
            </w:pPr>
            <w:r>
              <w:rPr>
                <w:b/>
                <w:bCs/>
                <w:color w:val="auto"/>
                <w:spacing w:val="-7"/>
                <w:u w:val="single"/>
              </w:rPr>
              <w:t>pH回调池</w:t>
            </w: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加药泵</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u w:val="single"/>
              </w:rPr>
              <w:t>酸</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4"/>
                <w:u w:val="single"/>
              </w:rPr>
              <w:t>WRS/PROM</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加药流</w:t>
            </w:r>
            <w:r>
              <w:rPr>
                <w:b/>
                <w:bCs/>
                <w:color w:val="auto"/>
                <w:spacing w:val="-1"/>
                <w:u w:val="single"/>
              </w:rPr>
              <w:t>量计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6"/>
                <w:u w:val="single"/>
              </w:rPr>
              <w:t>0</w:t>
            </w:r>
            <w:r>
              <w:rPr>
                <w:b/>
                <w:bCs/>
                <w:color w:val="auto"/>
                <w:spacing w:val="-5"/>
                <w:u w:val="single"/>
              </w:rPr>
              <w:t>-</w:t>
            </w:r>
            <w:r>
              <w:rPr>
                <w:b/>
                <w:bCs/>
                <w:color w:val="auto"/>
                <w:spacing w:val="-3"/>
                <w:u w:val="single"/>
              </w:rPr>
              <w:t>14，</w:t>
            </w:r>
            <w:r>
              <w:rPr>
                <w:rFonts w:eastAsia="Meiryo"/>
                <w:b/>
                <w:bCs/>
                <w:color w:val="auto"/>
                <w:spacing w:val="-3"/>
                <w:u w:val="single"/>
              </w:rPr>
              <w:t>⾯</w:t>
            </w:r>
            <w:r>
              <w:rPr>
                <w:b/>
                <w:bCs/>
                <w:color w:val="auto"/>
                <w:spacing w:val="-3"/>
                <w:u w:val="single"/>
              </w:rPr>
              <w:t>板式</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搅拌系</w:t>
            </w:r>
            <w:r>
              <w:rPr>
                <w:b/>
                <w:bCs/>
                <w:color w:val="auto"/>
                <w:spacing w:val="-1"/>
                <w:u w:val="single"/>
              </w:rPr>
              <w:t>统</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9"/>
                <w:u w:val="single"/>
              </w:rPr>
              <w:t>UPVC</w:t>
            </w:r>
            <w:r>
              <w:rPr>
                <w:b/>
                <w:bCs/>
                <w:color w:val="auto"/>
                <w:spacing w:val="-10"/>
                <w:u w:val="single"/>
              </w:rPr>
              <w:t xml:space="preserve"> </w:t>
            </w:r>
            <w:r>
              <w:rPr>
                <w:b/>
                <w:bCs/>
                <w:color w:val="auto"/>
                <w:spacing w:val="-9"/>
                <w:u w:val="single"/>
              </w:rPr>
              <w:t>管制作</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7"/>
                <w:u w:val="single"/>
              </w:rPr>
              <w:t>pH</w:t>
            </w:r>
            <w:r>
              <w:rPr>
                <w:b/>
                <w:bCs/>
                <w:color w:val="auto"/>
                <w:spacing w:val="-11"/>
                <w:u w:val="single"/>
              </w:rPr>
              <w:t xml:space="preserve"> </w:t>
            </w:r>
            <w:r>
              <w:rPr>
                <w:b/>
                <w:bCs/>
                <w:color w:val="auto"/>
                <w:spacing w:val="-7"/>
                <w:u w:val="single"/>
              </w:rPr>
              <w:t>回调池</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9"/>
                <w:u w:val="single"/>
              </w:rPr>
              <w:t>PE</w:t>
            </w:r>
            <w:r>
              <w:rPr>
                <w:b/>
                <w:bCs/>
                <w:color w:val="auto"/>
                <w:spacing w:val="-18"/>
                <w:u w:val="single"/>
              </w:rPr>
              <w:t>/</w:t>
            </w:r>
            <w:r>
              <w:rPr>
                <w:b/>
                <w:bCs/>
                <w:color w:val="auto"/>
                <w:spacing w:val="-9"/>
                <w:u w:val="single"/>
              </w:rPr>
              <w:t>PP</w:t>
            </w:r>
            <w:r>
              <w:rPr>
                <w:b/>
                <w:bCs/>
                <w:color w:val="auto"/>
                <w:spacing w:val="-12"/>
                <w:u w:val="single"/>
              </w:rPr>
              <w:t xml:space="preserve"> </w:t>
            </w:r>
            <w:r>
              <w:rPr>
                <w:b/>
                <w:bCs/>
                <w:color w:val="auto"/>
                <w:spacing w:val="-9"/>
                <w:u w:val="single"/>
              </w:rPr>
              <w:t>或 Q235 材质</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 w:hRule="atLeast"/>
        </w:trPr>
        <w:tc>
          <w:tcPr>
            <w:tcW w:w="292" w:type="pct"/>
            <w:vMerge w:val="restart"/>
            <w:tcBorders>
              <w:tl2br w:val="nil"/>
              <w:tr2bl w:val="nil"/>
            </w:tcBorders>
            <w:shd w:val="clear" w:color="auto" w:fill="auto"/>
            <w:vAlign w:val="center"/>
          </w:tcPr>
          <w:p>
            <w:pPr>
              <w:jc w:val="center"/>
              <w:rPr>
                <w:b/>
                <w:bCs/>
                <w:color w:val="auto"/>
                <w:u w:val="single"/>
              </w:rPr>
            </w:pPr>
            <w:r>
              <w:rPr>
                <w:b/>
                <w:bCs/>
                <w:color w:val="auto"/>
                <w:u w:val="single"/>
              </w:rPr>
              <w:t>4</w:t>
            </w:r>
          </w:p>
        </w:tc>
        <w:tc>
          <w:tcPr>
            <w:tcW w:w="529" w:type="pct"/>
            <w:vMerge w:val="restart"/>
            <w:tcBorders>
              <w:tl2br w:val="nil"/>
              <w:tr2bl w:val="nil"/>
            </w:tcBorders>
            <w:shd w:val="clear" w:color="auto" w:fill="auto"/>
            <w:vAlign w:val="center"/>
          </w:tcPr>
          <w:p>
            <w:pPr>
              <w:jc w:val="center"/>
              <w:rPr>
                <w:b/>
                <w:bCs/>
                <w:color w:val="auto"/>
                <w:u w:val="single"/>
              </w:rPr>
            </w:pPr>
            <w:r>
              <w:rPr>
                <w:b/>
                <w:bCs/>
                <w:color w:val="auto"/>
                <w:spacing w:val="-6"/>
                <w:u w:val="single"/>
              </w:rPr>
              <w:t>多</w:t>
            </w:r>
            <w:r>
              <w:rPr>
                <w:b/>
                <w:bCs/>
                <w:color w:val="auto"/>
                <w:spacing w:val="-4"/>
                <w:u w:val="single"/>
              </w:rPr>
              <w:t>介</w:t>
            </w:r>
            <w:r>
              <w:rPr>
                <w:b/>
                <w:bCs/>
                <w:color w:val="auto"/>
                <w:spacing w:val="-3"/>
                <w:u w:val="single"/>
              </w:rPr>
              <w:t>质过滤</w:t>
            </w:r>
            <w:r>
              <w:rPr>
                <w:b/>
                <w:bCs/>
                <w:color w:val="auto"/>
                <w:spacing w:val="-4"/>
                <w:u w:val="single"/>
              </w:rPr>
              <w:t>系</w:t>
            </w:r>
            <w:r>
              <w:rPr>
                <w:b/>
                <w:bCs/>
                <w:color w:val="auto"/>
                <w:spacing w:val="-3"/>
                <w:u w:val="single"/>
              </w:rPr>
              <w:t>统</w:t>
            </w:r>
          </w:p>
        </w:tc>
        <w:tc>
          <w:tcPr>
            <w:tcW w:w="78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提升泵</w:t>
            </w:r>
          </w:p>
        </w:tc>
        <w:tc>
          <w:tcPr>
            <w:tcW w:w="1247"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Q=0.5m</w:t>
            </w:r>
            <w:r>
              <w:rPr>
                <w:b/>
                <w:bCs/>
                <w:color w:val="auto"/>
                <w:spacing w:val="-2"/>
                <w:u w:val="single"/>
                <w:vertAlign w:val="superscript"/>
              </w:rPr>
              <w:t>3</w:t>
            </w:r>
            <w:r>
              <w:rPr>
                <w:b/>
                <w:bCs/>
                <w:color w:val="auto"/>
                <w:spacing w:val="-2"/>
                <w:u w:val="single"/>
              </w:rPr>
              <w:t>/h，H=35m，过流SUS304</w:t>
            </w:r>
          </w:p>
        </w:tc>
        <w:tc>
          <w:tcPr>
            <w:tcW w:w="974"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南</w:t>
            </w:r>
            <w:r>
              <w:rPr>
                <w:rFonts w:hint="eastAsia"/>
                <w:b/>
                <w:bCs/>
                <w:color w:val="auto"/>
                <w:spacing w:val="-2"/>
                <w:u w:val="single"/>
              </w:rPr>
              <w:t>方</w:t>
            </w:r>
            <w:r>
              <w:rPr>
                <w:b/>
                <w:bCs/>
                <w:color w:val="auto"/>
                <w:spacing w:val="-2"/>
                <w:u w:val="single"/>
              </w:rPr>
              <w:t>/川源</w:t>
            </w:r>
          </w:p>
        </w:tc>
        <w:tc>
          <w:tcPr>
            <w:tcW w:w="31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台</w:t>
            </w:r>
          </w:p>
        </w:tc>
        <w:tc>
          <w:tcPr>
            <w:tcW w:w="298"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2</w:t>
            </w:r>
          </w:p>
        </w:tc>
        <w:tc>
          <w:tcPr>
            <w:tcW w:w="557" w:type="pct"/>
            <w:tcBorders>
              <w:tl2br w:val="nil"/>
              <w:tr2bl w:val="nil"/>
            </w:tcBorders>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反洗泵</w:t>
            </w:r>
          </w:p>
        </w:tc>
        <w:tc>
          <w:tcPr>
            <w:tcW w:w="1247"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Q=1.5m</w:t>
            </w:r>
            <w:r>
              <w:rPr>
                <w:b/>
                <w:bCs/>
                <w:color w:val="auto"/>
                <w:spacing w:val="-2"/>
                <w:u w:val="single"/>
                <w:vertAlign w:val="superscript"/>
              </w:rPr>
              <w:t>3</w:t>
            </w:r>
            <w:r>
              <w:rPr>
                <w:b/>
                <w:bCs/>
                <w:color w:val="auto"/>
                <w:spacing w:val="-2"/>
                <w:u w:val="single"/>
              </w:rPr>
              <w:t>/h，H=35m，过流SUS304</w:t>
            </w:r>
          </w:p>
        </w:tc>
        <w:tc>
          <w:tcPr>
            <w:tcW w:w="974"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南</w:t>
            </w:r>
            <w:r>
              <w:rPr>
                <w:rFonts w:hint="eastAsia"/>
                <w:b/>
                <w:bCs/>
                <w:color w:val="auto"/>
                <w:spacing w:val="-2"/>
                <w:u w:val="single"/>
              </w:rPr>
              <w:t>方</w:t>
            </w:r>
            <w:r>
              <w:rPr>
                <w:b/>
                <w:bCs/>
                <w:color w:val="auto"/>
                <w:spacing w:val="-2"/>
                <w:u w:val="single"/>
              </w:rPr>
              <w:t>/川源</w:t>
            </w:r>
          </w:p>
        </w:tc>
        <w:tc>
          <w:tcPr>
            <w:tcW w:w="316"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台</w:t>
            </w:r>
          </w:p>
        </w:tc>
        <w:tc>
          <w:tcPr>
            <w:tcW w:w="298" w:type="pct"/>
            <w:tcBorders>
              <w:tl2br w:val="nil"/>
              <w:tr2bl w:val="nil"/>
            </w:tcBorders>
            <w:shd w:val="clear" w:color="auto" w:fill="auto"/>
            <w:vAlign w:val="center"/>
          </w:tcPr>
          <w:p>
            <w:pPr>
              <w:jc w:val="center"/>
              <w:rPr>
                <w:b/>
                <w:bCs/>
                <w:color w:val="auto"/>
                <w:spacing w:val="-2"/>
                <w:u w:val="single"/>
              </w:rPr>
            </w:pPr>
            <w:r>
              <w:rPr>
                <w:b/>
                <w:bCs/>
                <w:color w:val="auto"/>
                <w:spacing w:val="-2"/>
                <w:u w:val="single"/>
              </w:rPr>
              <w:t>1</w:t>
            </w:r>
          </w:p>
        </w:tc>
        <w:tc>
          <w:tcPr>
            <w:tcW w:w="557" w:type="pct"/>
            <w:tcBorders>
              <w:tl2br w:val="nil"/>
              <w:tr2bl w:val="nil"/>
            </w:tcBorders>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流量计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LZS</w:t>
            </w:r>
          </w:p>
        </w:tc>
        <w:tc>
          <w:tcPr>
            <w:tcW w:w="974" w:type="pct"/>
            <w:tcBorders>
              <w:tl2br w:val="nil"/>
              <w:tr2bl w:val="nil"/>
            </w:tcBorders>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4"/>
                <w:u w:val="single"/>
              </w:rPr>
              <w:t>多介</w:t>
            </w:r>
            <w:r>
              <w:rPr>
                <w:b/>
                <w:bCs/>
                <w:color w:val="auto"/>
                <w:spacing w:val="-2"/>
                <w:u w:val="single"/>
              </w:rPr>
              <w:t>质过滤器</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20"/>
                <w:u w:val="single"/>
              </w:rPr>
              <w:t>Ø</w:t>
            </w:r>
            <w:r>
              <w:rPr>
                <w:b/>
                <w:bCs/>
                <w:color w:val="auto"/>
                <w:spacing w:val="-11"/>
                <w:u w:val="single"/>
              </w:rPr>
              <w:t>4</w:t>
            </w:r>
            <w:r>
              <w:rPr>
                <w:b/>
                <w:bCs/>
                <w:color w:val="auto"/>
                <w:spacing w:val="-10"/>
                <w:u w:val="single"/>
              </w:rPr>
              <w:t>00mm，FRP 或 Q235 衬胶</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rFonts w:hint="eastAsia"/>
                <w:b/>
                <w:bCs/>
                <w:color w:val="auto"/>
                <w:spacing w:val="-8"/>
                <w:u w:val="single"/>
              </w:rPr>
              <w:t>自</w:t>
            </w:r>
            <w:r>
              <w:rPr>
                <w:b/>
                <w:bCs/>
                <w:color w:val="auto"/>
                <w:spacing w:val="-8"/>
                <w:u w:val="single"/>
              </w:rPr>
              <w:t>动控制阀</w:t>
            </w:r>
            <w:r>
              <w:rPr>
                <w:rFonts w:hint="eastAsia" w:ascii="宋体" w:hAnsi="宋体" w:cs="宋体"/>
                <w:b/>
                <w:bCs/>
                <w:color w:val="auto"/>
                <w:spacing w:val="-8"/>
                <w:u w:val="single"/>
              </w:rPr>
              <w:t>⻔</w:t>
            </w:r>
          </w:p>
        </w:tc>
        <w:tc>
          <w:tcPr>
            <w:tcW w:w="1247" w:type="pct"/>
            <w:tcBorders>
              <w:tl2br w:val="nil"/>
              <w:tr2bl w:val="nil"/>
            </w:tcBorders>
            <w:shd w:val="clear" w:color="auto" w:fill="auto"/>
            <w:vAlign w:val="center"/>
          </w:tcPr>
          <w:p>
            <w:pPr>
              <w:jc w:val="center"/>
              <w:rPr>
                <w:b/>
                <w:bCs/>
                <w:color w:val="auto"/>
                <w:spacing w:val="-15"/>
                <w:u w:val="single"/>
              </w:rPr>
            </w:pPr>
            <w:r>
              <w:rPr>
                <w:rFonts w:hint="eastAsia"/>
                <w:b/>
                <w:bCs/>
                <w:color w:val="auto"/>
                <w:spacing w:val="-7"/>
                <w:u w:val="single"/>
              </w:rPr>
              <w:t>气</w:t>
            </w:r>
            <w:r>
              <w:rPr>
                <w:b/>
                <w:bCs/>
                <w:color w:val="auto"/>
                <w:spacing w:val="-7"/>
                <w:u w:val="single"/>
              </w:rPr>
              <w:t>动，UPVC</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0"/>
                <w:u w:val="single"/>
              </w:rPr>
              <w:t>三</w:t>
            </w:r>
            <w:r>
              <w:rPr>
                <w:b/>
                <w:bCs/>
                <w:color w:val="auto"/>
                <w:spacing w:val="-6"/>
                <w:u w:val="single"/>
              </w:rPr>
              <w:t>厘</w:t>
            </w:r>
            <w:r>
              <w:rPr>
                <w:b/>
                <w:bCs/>
                <w:color w:val="auto"/>
                <w:spacing w:val="-5"/>
                <w:u w:val="single"/>
              </w:rPr>
              <w:t>/弗雷</w:t>
            </w:r>
            <w:r>
              <w:rPr>
                <w:rFonts w:hint="eastAsia"/>
                <w:b/>
                <w:bCs/>
                <w:color w:val="auto"/>
                <w:spacing w:val="-5"/>
                <w:u w:val="single"/>
              </w:rPr>
              <w:t>西</w:t>
            </w:r>
            <w:r>
              <w:rPr>
                <w:b/>
                <w:bCs/>
                <w:color w:val="auto"/>
                <w:spacing w:val="-5"/>
                <w:u w:val="single"/>
              </w:rPr>
              <w:t>/协</w:t>
            </w:r>
            <w:r>
              <w:rPr>
                <w:rFonts w:hint="eastAsia"/>
                <w:b/>
                <w:bCs/>
                <w:color w:val="auto"/>
                <w:spacing w:val="-5"/>
                <w:u w:val="single"/>
              </w:rPr>
              <w:t>羽</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填</w:t>
            </w:r>
            <w:r>
              <w:rPr>
                <w:b/>
                <w:bCs/>
                <w:color w:val="auto"/>
                <w:spacing w:val="-1"/>
                <w:u w:val="single"/>
              </w:rPr>
              <w:t>料</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6"/>
                <w:u w:val="single"/>
              </w:rPr>
              <w:t>多</w:t>
            </w:r>
            <w:r>
              <w:rPr>
                <w:b/>
                <w:bCs/>
                <w:color w:val="auto"/>
                <w:spacing w:val="-3"/>
                <w:u w:val="single"/>
              </w:rPr>
              <w:t>级滤料</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滤器</w:t>
            </w:r>
            <w:r>
              <w:rPr>
                <w:rFonts w:hint="eastAsia"/>
                <w:b/>
                <w:bCs/>
                <w:color w:val="auto"/>
                <w:spacing w:val="-1"/>
                <w:u w:val="single"/>
              </w:rPr>
              <w:t>支</w:t>
            </w:r>
            <w:r>
              <w:rPr>
                <w:b/>
                <w:bCs/>
                <w:color w:val="auto"/>
                <w:spacing w:val="-1"/>
                <w:u w:val="single"/>
              </w:rPr>
              <w:t>架</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9"/>
                <w:u w:val="single"/>
              </w:rPr>
              <w:t>Q235 防腐</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1"/>
                <w:u w:val="single"/>
              </w:rPr>
              <w:t>压</w:t>
            </w:r>
            <w:r>
              <w:rPr>
                <w:rFonts w:hint="eastAsia"/>
                <w:b/>
                <w:bCs/>
                <w:color w:val="auto"/>
                <w:spacing w:val="-1"/>
                <w:u w:val="single"/>
              </w:rPr>
              <w:t>力</w:t>
            </w:r>
            <w:r>
              <w:rPr>
                <w:b/>
                <w:bCs/>
                <w:color w:val="auto"/>
                <w:u w:val="single"/>
              </w:rPr>
              <w:t>表</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0</w:t>
            </w:r>
            <w:r>
              <w:rPr>
                <w:b/>
                <w:bCs/>
                <w:color w:val="auto"/>
                <w:spacing w:val="-10"/>
                <w:u w:val="single"/>
              </w:rPr>
              <w:t>-0.6MPa，SUS304 材质</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16"/>
                <w:u w:val="single"/>
              </w:rPr>
              <w:t>布</w:t>
            </w:r>
            <w:r>
              <w:rPr>
                <w:b/>
                <w:bCs/>
                <w:color w:val="auto"/>
                <w:spacing w:val="-8"/>
                <w:u w:val="single"/>
              </w:rPr>
              <w:t>莱迪/KINGTAI/先锋</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台</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2</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滤产</w:t>
            </w:r>
            <w:r>
              <w:rPr>
                <w:rFonts w:hint="eastAsia"/>
                <w:b/>
                <w:bCs/>
                <w:color w:val="auto"/>
                <w:spacing w:val="-1"/>
                <w:u w:val="single"/>
              </w:rPr>
              <w:t>水</w:t>
            </w:r>
            <w:r>
              <w:rPr>
                <w:b/>
                <w:bCs/>
                <w:color w:val="auto"/>
                <w:spacing w:val="-1"/>
                <w:u w:val="single"/>
              </w:rPr>
              <w:t>箱</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10T，PE/PPH</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vMerge w:val="continue"/>
            <w:tcBorders>
              <w:tl2br w:val="nil"/>
              <w:tr2bl w:val="nil"/>
            </w:tcBorders>
            <w:shd w:val="clear" w:color="auto" w:fill="auto"/>
            <w:vAlign w:val="center"/>
          </w:tcPr>
          <w:p>
            <w:pPr>
              <w:jc w:val="center"/>
              <w:rPr>
                <w:b/>
                <w:bCs/>
                <w:color w:val="auto"/>
                <w:u w:val="single"/>
              </w:rPr>
            </w:pPr>
          </w:p>
        </w:tc>
        <w:tc>
          <w:tcPr>
            <w:tcW w:w="529" w:type="pct"/>
            <w:vMerge w:val="continue"/>
            <w:tcBorders>
              <w:tl2br w:val="nil"/>
              <w:tr2bl w:val="nil"/>
            </w:tcBorders>
            <w:shd w:val="clear" w:color="auto" w:fill="auto"/>
            <w:vAlign w:val="center"/>
          </w:tcPr>
          <w:p>
            <w:pPr>
              <w:jc w:val="center"/>
              <w:rPr>
                <w:b/>
                <w:bCs/>
                <w:color w:val="auto"/>
                <w:u w:val="single"/>
              </w:rPr>
            </w:pPr>
          </w:p>
        </w:tc>
        <w:tc>
          <w:tcPr>
            <w:tcW w:w="786" w:type="pct"/>
            <w:tcBorders>
              <w:tl2br w:val="nil"/>
              <w:tr2bl w:val="nil"/>
            </w:tcBorders>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1"/>
                <w:u w:val="single"/>
              </w:rPr>
              <w:t>10T，PE/PPH</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套</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tcBorders>
              <w:tl2br w:val="nil"/>
              <w:tr2bl w:val="nil"/>
            </w:tcBorders>
            <w:shd w:val="clear" w:color="auto" w:fill="auto"/>
            <w:vAlign w:val="center"/>
          </w:tcPr>
          <w:p>
            <w:pPr>
              <w:jc w:val="center"/>
              <w:rPr>
                <w:b/>
                <w:bCs/>
                <w:color w:val="auto"/>
                <w:u w:val="single"/>
              </w:rPr>
            </w:pPr>
            <w:r>
              <w:rPr>
                <w:b/>
                <w:bCs/>
                <w:color w:val="auto"/>
                <w:u w:val="single"/>
              </w:rPr>
              <w:t>5</w:t>
            </w:r>
          </w:p>
        </w:tc>
        <w:tc>
          <w:tcPr>
            <w:tcW w:w="1315" w:type="pct"/>
            <w:gridSpan w:val="2"/>
            <w:tcBorders>
              <w:tl2br w:val="nil"/>
              <w:tr2bl w:val="nil"/>
            </w:tcBorders>
            <w:shd w:val="clear" w:color="auto" w:fill="auto"/>
            <w:vAlign w:val="center"/>
          </w:tcPr>
          <w:p>
            <w:pPr>
              <w:jc w:val="center"/>
              <w:rPr>
                <w:b/>
                <w:bCs/>
                <w:color w:val="auto"/>
                <w:spacing w:val="-10"/>
                <w:u w:val="single"/>
              </w:rPr>
            </w:pPr>
            <w:r>
              <w:rPr>
                <w:rFonts w:eastAsia="Meiryo"/>
                <w:b/>
                <w:bCs/>
                <w:color w:val="auto"/>
                <w:spacing w:val="-5"/>
                <w:u w:val="single"/>
              </w:rPr>
              <w:t>⼆</w:t>
            </w:r>
            <w:r>
              <w:rPr>
                <w:b/>
                <w:bCs/>
                <w:color w:val="auto"/>
                <w:spacing w:val="-5"/>
                <w:u w:val="single"/>
              </w:rPr>
              <w:t>次管道阀</w:t>
            </w:r>
            <w:r>
              <w:rPr>
                <w:rFonts w:hint="eastAsia" w:ascii="宋体" w:hAnsi="宋体" w:cs="宋体"/>
                <w:b/>
                <w:bCs/>
                <w:color w:val="auto"/>
                <w:spacing w:val="-5"/>
                <w:u w:val="single"/>
              </w:rPr>
              <w:t>⻔</w:t>
            </w:r>
          </w:p>
        </w:tc>
        <w:tc>
          <w:tcPr>
            <w:tcW w:w="1247" w:type="pct"/>
            <w:tcBorders>
              <w:tl2br w:val="nil"/>
              <w:tr2bl w:val="nil"/>
            </w:tcBorders>
            <w:shd w:val="clear" w:color="auto" w:fill="auto"/>
            <w:vAlign w:val="center"/>
          </w:tcPr>
          <w:p>
            <w:pPr>
              <w:jc w:val="center"/>
              <w:rPr>
                <w:b/>
                <w:bCs/>
                <w:color w:val="auto"/>
                <w:spacing w:val="-15"/>
                <w:u w:val="single"/>
              </w:rPr>
            </w:pPr>
            <w:r>
              <w:rPr>
                <w:b/>
                <w:bCs/>
                <w:color w:val="auto"/>
                <w:spacing w:val="-10"/>
                <w:u w:val="single"/>
              </w:rPr>
              <w:t>PN</w:t>
            </w:r>
            <w:r>
              <w:rPr>
                <w:b/>
                <w:bCs/>
                <w:color w:val="auto"/>
                <w:spacing w:val="-16"/>
                <w:u w:val="single"/>
              </w:rPr>
              <w:t>1</w:t>
            </w:r>
            <w:r>
              <w:rPr>
                <w:b/>
                <w:bCs/>
                <w:color w:val="auto"/>
                <w:spacing w:val="-10"/>
                <w:u w:val="single"/>
              </w:rPr>
              <w:t>0</w:t>
            </w:r>
            <w:r>
              <w:rPr>
                <w:rFonts w:hint="eastAsia"/>
                <w:b/>
                <w:bCs/>
                <w:color w:val="auto"/>
                <w:spacing w:val="-10"/>
                <w:u w:val="single"/>
              </w:rPr>
              <w:t>，</w:t>
            </w:r>
            <w:r>
              <w:rPr>
                <w:b/>
                <w:bCs/>
                <w:color w:val="auto"/>
                <w:spacing w:val="-10"/>
                <w:u w:val="single"/>
              </w:rPr>
              <w:t>UPVC 化</w:t>
            </w:r>
            <w:r>
              <w:rPr>
                <w:rFonts w:eastAsia="Meiryo"/>
                <w:b/>
                <w:bCs/>
                <w:color w:val="auto"/>
                <w:spacing w:val="-10"/>
                <w:u w:val="single"/>
              </w:rPr>
              <w:t>⼯</w:t>
            </w:r>
            <w:r>
              <w:rPr>
                <w:b/>
                <w:bCs/>
                <w:color w:val="auto"/>
                <w:spacing w:val="-10"/>
                <w:u w:val="single"/>
              </w:rPr>
              <w:t>管</w:t>
            </w: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tcBorders>
              <w:tl2br w:val="nil"/>
              <w:tr2bl w:val="nil"/>
            </w:tcBorders>
            <w:shd w:val="clear" w:color="auto" w:fill="auto"/>
            <w:vAlign w:val="center"/>
          </w:tcPr>
          <w:p>
            <w:pPr>
              <w:jc w:val="center"/>
              <w:rPr>
                <w:b/>
                <w:bCs/>
                <w:color w:val="auto"/>
                <w:u w:val="single"/>
              </w:rPr>
            </w:pPr>
            <w:r>
              <w:rPr>
                <w:b/>
                <w:bCs/>
                <w:color w:val="auto"/>
                <w:u w:val="single"/>
              </w:rPr>
              <w:t>6</w:t>
            </w:r>
          </w:p>
        </w:tc>
        <w:tc>
          <w:tcPr>
            <w:tcW w:w="1315" w:type="pct"/>
            <w:gridSpan w:val="2"/>
            <w:tcBorders>
              <w:tl2br w:val="nil"/>
              <w:tr2bl w:val="nil"/>
            </w:tcBorders>
            <w:shd w:val="clear" w:color="auto" w:fill="auto"/>
            <w:vAlign w:val="center"/>
          </w:tcPr>
          <w:p>
            <w:pPr>
              <w:jc w:val="center"/>
              <w:rPr>
                <w:b/>
                <w:bCs/>
                <w:color w:val="auto"/>
                <w:spacing w:val="-10"/>
                <w:u w:val="single"/>
              </w:rPr>
            </w:pPr>
            <w:r>
              <w:rPr>
                <w:b/>
                <w:bCs/>
                <w:color w:val="auto"/>
                <w:spacing w:val="-2"/>
                <w:u w:val="single"/>
              </w:rPr>
              <w:t>五金杂件</w:t>
            </w:r>
            <w:r>
              <w:rPr>
                <w:b/>
                <w:bCs/>
                <w:color w:val="auto"/>
                <w:spacing w:val="-1"/>
                <w:u w:val="single"/>
              </w:rPr>
              <w:t>辅材</w:t>
            </w:r>
          </w:p>
        </w:tc>
        <w:tc>
          <w:tcPr>
            <w:tcW w:w="1247" w:type="pct"/>
            <w:tcBorders>
              <w:tl2br w:val="nil"/>
              <w:tr2bl w:val="nil"/>
            </w:tcBorders>
            <w:shd w:val="clear" w:color="auto" w:fill="auto"/>
            <w:vAlign w:val="center"/>
          </w:tcPr>
          <w:p>
            <w:pPr>
              <w:jc w:val="center"/>
              <w:rPr>
                <w:b/>
                <w:bCs/>
                <w:color w:val="auto"/>
                <w:spacing w:val="-15"/>
                <w:u w:val="single"/>
              </w:rPr>
            </w:pP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tcBorders>
              <w:tl2br w:val="nil"/>
              <w:tr2bl w:val="nil"/>
            </w:tcBorders>
            <w:shd w:val="clear" w:color="auto" w:fill="auto"/>
            <w:vAlign w:val="center"/>
          </w:tcPr>
          <w:p>
            <w:pPr>
              <w:jc w:val="center"/>
              <w:rPr>
                <w:b/>
                <w:bCs/>
                <w:color w:val="auto"/>
                <w:u w:val="single"/>
              </w:rPr>
            </w:pPr>
            <w:r>
              <w:rPr>
                <w:b/>
                <w:bCs/>
                <w:color w:val="auto"/>
                <w:u w:val="single"/>
              </w:rPr>
              <w:t>7</w:t>
            </w:r>
          </w:p>
        </w:tc>
        <w:tc>
          <w:tcPr>
            <w:tcW w:w="1315" w:type="pct"/>
            <w:gridSpan w:val="2"/>
            <w:tcBorders>
              <w:tl2br w:val="nil"/>
              <w:tr2bl w:val="nil"/>
            </w:tcBorders>
            <w:shd w:val="clear" w:color="auto" w:fill="auto"/>
            <w:vAlign w:val="center"/>
          </w:tcPr>
          <w:p>
            <w:pPr>
              <w:jc w:val="center"/>
              <w:rPr>
                <w:b/>
                <w:bCs/>
                <w:color w:val="auto"/>
                <w:spacing w:val="-10"/>
                <w:u w:val="single"/>
              </w:rPr>
            </w:pPr>
            <w:r>
              <w:rPr>
                <w:b/>
                <w:bCs/>
                <w:color w:val="auto"/>
                <w:spacing w:val="-2"/>
                <w:u w:val="single"/>
              </w:rPr>
              <w:t>动力控制线</w:t>
            </w:r>
            <w:r>
              <w:rPr>
                <w:b/>
                <w:bCs/>
                <w:color w:val="auto"/>
                <w:spacing w:val="-1"/>
                <w:u w:val="single"/>
              </w:rPr>
              <w:t>缆</w:t>
            </w:r>
          </w:p>
        </w:tc>
        <w:tc>
          <w:tcPr>
            <w:tcW w:w="1247" w:type="pct"/>
            <w:tcBorders>
              <w:tl2br w:val="nil"/>
              <w:tr2bl w:val="nil"/>
            </w:tcBorders>
            <w:shd w:val="clear" w:color="auto" w:fill="auto"/>
            <w:vAlign w:val="center"/>
          </w:tcPr>
          <w:p>
            <w:pPr>
              <w:jc w:val="center"/>
              <w:rPr>
                <w:b/>
                <w:bCs/>
                <w:color w:val="auto"/>
                <w:spacing w:val="-15"/>
                <w:u w:val="single"/>
              </w:rPr>
            </w:pP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2" w:type="pct"/>
            <w:tcBorders>
              <w:tl2br w:val="nil"/>
              <w:tr2bl w:val="nil"/>
            </w:tcBorders>
            <w:shd w:val="clear" w:color="auto" w:fill="auto"/>
            <w:vAlign w:val="center"/>
          </w:tcPr>
          <w:p>
            <w:pPr>
              <w:jc w:val="center"/>
              <w:rPr>
                <w:b/>
                <w:bCs/>
                <w:color w:val="auto"/>
                <w:u w:val="single"/>
              </w:rPr>
            </w:pPr>
            <w:r>
              <w:rPr>
                <w:b/>
                <w:bCs/>
                <w:color w:val="auto"/>
                <w:spacing w:val="-11"/>
                <w:u w:val="single"/>
              </w:rPr>
              <w:t>8</w:t>
            </w:r>
          </w:p>
        </w:tc>
        <w:tc>
          <w:tcPr>
            <w:tcW w:w="1315" w:type="pct"/>
            <w:gridSpan w:val="2"/>
            <w:tcBorders>
              <w:tl2br w:val="nil"/>
              <w:tr2bl w:val="nil"/>
            </w:tcBorders>
            <w:shd w:val="clear" w:color="auto" w:fill="auto"/>
            <w:vAlign w:val="center"/>
          </w:tcPr>
          <w:p>
            <w:pPr>
              <w:jc w:val="center"/>
              <w:rPr>
                <w:b/>
                <w:bCs/>
                <w:color w:val="auto"/>
                <w:spacing w:val="-10"/>
                <w:u w:val="single"/>
              </w:rPr>
            </w:pPr>
            <w:r>
              <w:rPr>
                <w:b/>
                <w:bCs/>
                <w:color w:val="auto"/>
                <w:spacing w:val="-1"/>
                <w:u w:val="single"/>
              </w:rPr>
              <w:t>桥架及线</w:t>
            </w:r>
            <w:r>
              <w:rPr>
                <w:b/>
                <w:bCs/>
                <w:color w:val="auto"/>
                <w:u w:val="single"/>
              </w:rPr>
              <w:t>管</w:t>
            </w:r>
          </w:p>
        </w:tc>
        <w:tc>
          <w:tcPr>
            <w:tcW w:w="1247" w:type="pct"/>
            <w:tcBorders>
              <w:tl2br w:val="nil"/>
              <w:tr2bl w:val="nil"/>
            </w:tcBorders>
            <w:shd w:val="clear" w:color="auto" w:fill="auto"/>
            <w:vAlign w:val="center"/>
          </w:tcPr>
          <w:p>
            <w:pPr>
              <w:jc w:val="center"/>
              <w:rPr>
                <w:b/>
                <w:bCs/>
                <w:color w:val="auto"/>
                <w:spacing w:val="-15"/>
                <w:u w:val="single"/>
              </w:rPr>
            </w:pPr>
          </w:p>
        </w:tc>
        <w:tc>
          <w:tcPr>
            <w:tcW w:w="974" w:type="pct"/>
            <w:tcBorders>
              <w:tl2br w:val="nil"/>
              <w:tr2bl w:val="nil"/>
            </w:tcBorders>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tcBorders>
              <w:tl2br w:val="nil"/>
              <w:tr2bl w:val="nil"/>
            </w:tcBorders>
            <w:shd w:val="clear" w:color="auto" w:fill="auto"/>
            <w:vAlign w:val="center"/>
          </w:tcPr>
          <w:p>
            <w:pPr>
              <w:jc w:val="center"/>
              <w:rPr>
                <w:b/>
                <w:bCs/>
                <w:color w:val="auto"/>
                <w:u w:val="single"/>
              </w:rPr>
            </w:pPr>
            <w:r>
              <w:rPr>
                <w:b/>
                <w:bCs/>
                <w:color w:val="auto"/>
                <w:u w:val="single"/>
              </w:rPr>
              <w:t>批</w:t>
            </w:r>
          </w:p>
        </w:tc>
        <w:tc>
          <w:tcPr>
            <w:tcW w:w="298" w:type="pct"/>
            <w:tcBorders>
              <w:tl2br w:val="nil"/>
              <w:tr2bl w:val="nil"/>
            </w:tcBorders>
            <w:shd w:val="clear" w:color="auto" w:fill="auto"/>
            <w:vAlign w:val="center"/>
          </w:tcPr>
          <w:p>
            <w:pPr>
              <w:jc w:val="center"/>
              <w:rPr>
                <w:b/>
                <w:bCs/>
                <w:color w:val="auto"/>
                <w:u w:val="single"/>
              </w:rPr>
            </w:pPr>
            <w:r>
              <w:rPr>
                <w:b/>
                <w:bCs/>
                <w:color w:val="auto"/>
                <w:u w:val="single"/>
              </w:rPr>
              <w:t>1</w:t>
            </w:r>
          </w:p>
        </w:tc>
        <w:tc>
          <w:tcPr>
            <w:tcW w:w="557" w:type="pct"/>
            <w:tcBorders>
              <w:tl2br w:val="nil"/>
              <w:tr2bl w:val="nil"/>
            </w:tcBorders>
            <w:shd w:val="clear" w:color="auto" w:fill="auto"/>
            <w:vAlign w:val="center"/>
          </w:tcPr>
          <w:p>
            <w:pPr>
              <w:jc w:val="center"/>
              <w:rPr>
                <w:b/>
                <w:bCs/>
                <w:color w:val="auto"/>
                <w:u w:val="single"/>
              </w:rPr>
            </w:pP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ind w:firstLine="482" w:firstLineChars="200"/>
        <w:textAlignment w:val="auto"/>
        <w:rPr>
          <w:rFonts w:ascii="宋体" w:hAnsi="宋体"/>
          <w:b/>
          <w:bCs/>
          <w:color w:val="auto"/>
          <w:kern w:val="21"/>
          <w:sz w:val="24"/>
          <w:u w:val="single"/>
          <w:lang w:val="en-US"/>
        </w:rPr>
      </w:pPr>
      <w:r>
        <w:rPr>
          <w:rFonts w:hint="eastAsia" w:ascii="宋体" w:hAnsi="宋体"/>
          <w:b/>
          <w:bCs/>
          <w:color w:val="auto"/>
          <w:kern w:val="21"/>
          <w:sz w:val="24"/>
          <w:u w:val="single"/>
          <w:lang w:val="en-US"/>
        </w:rPr>
        <w:t>（3）含锌废水预处理系统可行性分析及处理效率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含锌废水预处理系统与含镍废水预处理系统工艺一致，此处不再赘述。处理效果见下表。</w:t>
      </w:r>
    </w:p>
    <w:p>
      <w:pPr>
        <w:pStyle w:val="32"/>
        <w:adjustRightInd w:val="0"/>
        <w:snapToGrid w:val="0"/>
        <w:spacing w:after="0" w:line="360" w:lineRule="auto"/>
        <w:ind w:firstLine="482" w:firstLineChars="200"/>
        <w:jc w:val="center"/>
        <w:rPr>
          <w:rFonts w:ascii="宋体" w:hAnsi="宋体"/>
          <w:b/>
          <w:bCs/>
          <w:color w:val="auto"/>
          <w:kern w:val="21"/>
          <w:sz w:val="24"/>
          <w:u w:val="single"/>
        </w:rPr>
      </w:pPr>
      <w:r>
        <w:rPr>
          <w:rFonts w:hint="eastAsia" w:eastAsia="黑体"/>
          <w:b/>
          <w:bCs/>
          <w:color w:val="auto"/>
          <w:kern w:val="21"/>
          <w:sz w:val="24"/>
          <w:u w:val="single"/>
          <w:lang w:val="en-US"/>
        </w:rPr>
        <w:t>表7.2-4</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含锌废水预处理系统处理效率</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844"/>
        <w:gridCol w:w="893"/>
        <w:gridCol w:w="695"/>
        <w:gridCol w:w="821"/>
        <w:gridCol w:w="695"/>
        <w:gridCol w:w="695"/>
        <w:gridCol w:w="695"/>
        <w:gridCol w:w="794"/>
        <w:gridCol w:w="696"/>
        <w:gridCol w:w="696"/>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Merge w:val="restart"/>
            <w:vAlign w:val="center"/>
          </w:tcPr>
          <w:p>
            <w:pPr>
              <w:jc w:val="center"/>
              <w:rPr>
                <w:b/>
                <w:bCs/>
                <w:color w:val="auto"/>
                <w:u w:val="single"/>
              </w:rPr>
            </w:pPr>
            <w:r>
              <w:rPr>
                <w:b/>
                <w:bCs/>
                <w:color w:val="auto"/>
                <w:u w:val="single"/>
              </w:rPr>
              <w:t>项目</w:t>
            </w:r>
          </w:p>
        </w:tc>
        <w:tc>
          <w:tcPr>
            <w:tcW w:w="588" w:type="pct"/>
            <w:vAlign w:val="center"/>
          </w:tcPr>
          <w:p>
            <w:pPr>
              <w:jc w:val="center"/>
              <w:rPr>
                <w:b/>
                <w:bCs/>
                <w:color w:val="auto"/>
                <w:u w:val="single"/>
              </w:rPr>
            </w:pPr>
            <w:r>
              <w:rPr>
                <w:b/>
                <w:bCs/>
                <w:color w:val="auto"/>
                <w:u w:val="single"/>
              </w:rPr>
              <w:t>水量</w:t>
            </w:r>
          </w:p>
        </w:tc>
        <w:tc>
          <w:tcPr>
            <w:tcW w:w="442" w:type="pct"/>
            <w:vAlign w:val="center"/>
          </w:tcPr>
          <w:p>
            <w:pPr>
              <w:jc w:val="center"/>
              <w:rPr>
                <w:b/>
                <w:bCs/>
                <w:color w:val="auto"/>
                <w:u w:val="single"/>
                <w:vertAlign w:val="superscript"/>
              </w:rPr>
            </w:pPr>
            <w:r>
              <w:rPr>
                <w:b/>
                <w:bCs/>
                <w:color w:val="auto"/>
                <w:kern w:val="21"/>
                <w:u w:val="single"/>
              </w:rPr>
              <w:t>COD</w:t>
            </w:r>
          </w:p>
        </w:tc>
        <w:tc>
          <w:tcPr>
            <w:tcW w:w="450" w:type="pct"/>
            <w:vAlign w:val="center"/>
          </w:tcPr>
          <w:p>
            <w:pPr>
              <w:jc w:val="center"/>
              <w:rPr>
                <w:b/>
                <w:bCs/>
                <w:color w:val="auto"/>
                <w:u w:val="single"/>
              </w:rPr>
            </w:pPr>
            <w:r>
              <w:rPr>
                <w:b/>
                <w:bCs/>
                <w:color w:val="auto"/>
                <w:kern w:val="21"/>
                <w:u w:val="single"/>
              </w:rPr>
              <w:t>NH</w:t>
            </w:r>
            <w:r>
              <w:rPr>
                <w:b/>
                <w:bCs/>
                <w:color w:val="auto"/>
                <w:kern w:val="21"/>
                <w:u w:val="single"/>
                <w:vertAlign w:val="subscript"/>
              </w:rPr>
              <w:t>3</w:t>
            </w:r>
            <w:r>
              <w:rPr>
                <w:b/>
                <w:bCs/>
                <w:color w:val="auto"/>
                <w:kern w:val="21"/>
                <w:u w:val="single"/>
              </w:rPr>
              <w:t>-N</w:t>
            </w:r>
          </w:p>
        </w:tc>
        <w:tc>
          <w:tcPr>
            <w:tcW w:w="448" w:type="pct"/>
            <w:vAlign w:val="center"/>
          </w:tcPr>
          <w:p>
            <w:pPr>
              <w:jc w:val="center"/>
              <w:rPr>
                <w:b/>
                <w:bCs/>
                <w:color w:val="auto"/>
                <w:u w:val="single"/>
              </w:rPr>
            </w:pPr>
            <w:r>
              <w:rPr>
                <w:b/>
                <w:bCs/>
                <w:color w:val="auto"/>
                <w:kern w:val="21"/>
                <w:u w:val="single"/>
              </w:rPr>
              <w:t>SS</w:t>
            </w:r>
          </w:p>
        </w:tc>
        <w:tc>
          <w:tcPr>
            <w:tcW w:w="408" w:type="pct"/>
            <w:tcBorders>
              <w:right w:val="single" w:color="auto" w:sz="4" w:space="0"/>
            </w:tcBorders>
            <w:vAlign w:val="center"/>
          </w:tcPr>
          <w:p>
            <w:pPr>
              <w:jc w:val="center"/>
              <w:rPr>
                <w:b/>
                <w:bCs/>
                <w:color w:val="auto"/>
                <w:kern w:val="21"/>
                <w:u w:val="single"/>
              </w:rPr>
            </w:pPr>
            <w:r>
              <w:rPr>
                <w:b/>
                <w:bCs/>
                <w:color w:val="auto"/>
                <w:kern w:val="21"/>
                <w:u w:val="single"/>
              </w:rPr>
              <w:t>石油类</w:t>
            </w:r>
          </w:p>
        </w:tc>
        <w:tc>
          <w:tcPr>
            <w:tcW w:w="387" w:type="pct"/>
            <w:tcBorders>
              <w:left w:val="single" w:color="auto" w:sz="4" w:space="0"/>
            </w:tcBorders>
            <w:vAlign w:val="center"/>
          </w:tcPr>
          <w:p>
            <w:pPr>
              <w:jc w:val="center"/>
              <w:rPr>
                <w:b/>
                <w:bCs/>
                <w:color w:val="auto"/>
                <w:u w:val="single"/>
                <w:vertAlign w:val="superscript"/>
              </w:rPr>
            </w:pPr>
            <w:r>
              <w:rPr>
                <w:b/>
                <w:bCs/>
                <w:color w:val="auto"/>
                <w:kern w:val="21"/>
                <w:u w:val="single"/>
              </w:rPr>
              <w:t>总镍</w:t>
            </w:r>
          </w:p>
        </w:tc>
        <w:tc>
          <w:tcPr>
            <w:tcW w:w="309" w:type="pct"/>
            <w:vAlign w:val="center"/>
          </w:tcPr>
          <w:p>
            <w:pPr>
              <w:jc w:val="center"/>
              <w:rPr>
                <w:b/>
                <w:bCs/>
                <w:color w:val="auto"/>
                <w:kern w:val="21"/>
                <w:u w:val="single"/>
              </w:rPr>
            </w:pPr>
            <w:r>
              <w:rPr>
                <w:b/>
                <w:bCs/>
                <w:color w:val="auto"/>
                <w:kern w:val="21"/>
                <w:u w:val="single"/>
              </w:rPr>
              <w:t>总锌</w:t>
            </w:r>
          </w:p>
        </w:tc>
        <w:tc>
          <w:tcPr>
            <w:tcW w:w="384" w:type="pct"/>
            <w:vAlign w:val="center"/>
          </w:tcPr>
          <w:p>
            <w:pPr>
              <w:jc w:val="center"/>
              <w:rPr>
                <w:b/>
                <w:bCs/>
                <w:color w:val="auto"/>
                <w:kern w:val="21"/>
                <w:u w:val="single"/>
              </w:rPr>
            </w:pPr>
            <w:r>
              <w:rPr>
                <w:b/>
                <w:bCs/>
                <w:color w:val="auto"/>
                <w:kern w:val="21"/>
                <w:u w:val="single"/>
              </w:rPr>
              <w:t>六价铬</w:t>
            </w:r>
          </w:p>
        </w:tc>
        <w:tc>
          <w:tcPr>
            <w:tcW w:w="434" w:type="pct"/>
            <w:vAlign w:val="center"/>
          </w:tcPr>
          <w:p>
            <w:pPr>
              <w:jc w:val="center"/>
              <w:rPr>
                <w:b/>
                <w:bCs/>
                <w:color w:val="auto"/>
                <w:kern w:val="21"/>
                <w:u w:val="single"/>
              </w:rPr>
            </w:pPr>
            <w:r>
              <w:rPr>
                <w:b/>
                <w:bCs/>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Merge w:val="continue"/>
            <w:vAlign w:val="center"/>
          </w:tcPr>
          <w:p>
            <w:pPr>
              <w:jc w:val="center"/>
              <w:rPr>
                <w:b/>
                <w:bCs/>
                <w:color w:val="auto"/>
                <w:u w:val="single"/>
              </w:rPr>
            </w:pPr>
          </w:p>
        </w:tc>
        <w:tc>
          <w:tcPr>
            <w:tcW w:w="588" w:type="pct"/>
            <w:vAlign w:val="center"/>
          </w:tcPr>
          <w:p>
            <w:pPr>
              <w:jc w:val="center"/>
              <w:rPr>
                <w:b/>
                <w:bCs/>
                <w:color w:val="auto"/>
                <w:u w:val="single"/>
              </w:rPr>
            </w:pPr>
            <w:r>
              <w:rPr>
                <w:b/>
                <w:bCs/>
                <w:color w:val="auto"/>
                <w:u w:val="single"/>
              </w:rPr>
              <w:t>m</w:t>
            </w:r>
            <w:r>
              <w:rPr>
                <w:b/>
                <w:bCs/>
                <w:color w:val="auto"/>
                <w:u w:val="single"/>
                <w:vertAlign w:val="superscript"/>
              </w:rPr>
              <w:t>3</w:t>
            </w:r>
            <w:r>
              <w:rPr>
                <w:b/>
                <w:bCs/>
                <w:color w:val="auto"/>
                <w:u w:val="single"/>
              </w:rPr>
              <w:t>/d</w:t>
            </w:r>
          </w:p>
        </w:tc>
        <w:tc>
          <w:tcPr>
            <w:tcW w:w="442" w:type="pct"/>
            <w:vAlign w:val="center"/>
          </w:tcPr>
          <w:p>
            <w:pPr>
              <w:jc w:val="center"/>
              <w:rPr>
                <w:b/>
                <w:bCs/>
                <w:color w:val="auto"/>
                <w:u w:val="single"/>
              </w:rPr>
            </w:pPr>
            <w:r>
              <w:rPr>
                <w:b/>
                <w:bCs/>
                <w:color w:val="auto"/>
                <w:u w:val="single"/>
              </w:rPr>
              <w:t>mg/L</w:t>
            </w:r>
          </w:p>
        </w:tc>
        <w:tc>
          <w:tcPr>
            <w:tcW w:w="450" w:type="pct"/>
            <w:vAlign w:val="center"/>
          </w:tcPr>
          <w:p>
            <w:pPr>
              <w:jc w:val="center"/>
              <w:rPr>
                <w:b/>
                <w:bCs/>
                <w:color w:val="auto"/>
                <w:u w:val="single"/>
              </w:rPr>
            </w:pPr>
            <w:r>
              <w:rPr>
                <w:b/>
                <w:bCs/>
                <w:color w:val="auto"/>
                <w:u w:val="single"/>
              </w:rPr>
              <w:t>mg/L</w:t>
            </w:r>
          </w:p>
        </w:tc>
        <w:tc>
          <w:tcPr>
            <w:tcW w:w="448" w:type="pct"/>
            <w:vAlign w:val="center"/>
          </w:tcPr>
          <w:p>
            <w:pPr>
              <w:jc w:val="center"/>
              <w:rPr>
                <w:b/>
                <w:bCs/>
                <w:color w:val="auto"/>
                <w:u w:val="single"/>
              </w:rPr>
            </w:pPr>
            <w:r>
              <w:rPr>
                <w:b/>
                <w:bCs/>
                <w:color w:val="auto"/>
                <w:u w:val="single"/>
              </w:rPr>
              <w:t>mg/L</w:t>
            </w:r>
          </w:p>
        </w:tc>
        <w:tc>
          <w:tcPr>
            <w:tcW w:w="408" w:type="pct"/>
            <w:tcBorders>
              <w:right w:val="single" w:color="auto" w:sz="4" w:space="0"/>
            </w:tcBorders>
            <w:vAlign w:val="center"/>
          </w:tcPr>
          <w:p>
            <w:pPr>
              <w:jc w:val="center"/>
              <w:rPr>
                <w:b/>
                <w:bCs/>
                <w:color w:val="auto"/>
                <w:kern w:val="21"/>
                <w:u w:val="single"/>
              </w:rPr>
            </w:pPr>
            <w:r>
              <w:rPr>
                <w:b/>
                <w:bCs/>
                <w:color w:val="auto"/>
                <w:kern w:val="21"/>
                <w:u w:val="single"/>
              </w:rPr>
              <w:t>mg/L</w:t>
            </w:r>
          </w:p>
        </w:tc>
        <w:tc>
          <w:tcPr>
            <w:tcW w:w="387" w:type="pct"/>
            <w:tcBorders>
              <w:left w:val="single" w:color="auto" w:sz="4" w:space="0"/>
            </w:tcBorders>
            <w:vAlign w:val="center"/>
          </w:tcPr>
          <w:p>
            <w:pPr>
              <w:jc w:val="center"/>
              <w:rPr>
                <w:b/>
                <w:bCs/>
                <w:color w:val="auto"/>
                <w:u w:val="single"/>
                <w:vertAlign w:val="superscript"/>
              </w:rPr>
            </w:pPr>
            <w:r>
              <w:rPr>
                <w:b/>
                <w:bCs/>
                <w:color w:val="auto"/>
                <w:u w:val="single"/>
              </w:rPr>
              <w:t>mg/L</w:t>
            </w:r>
          </w:p>
        </w:tc>
        <w:tc>
          <w:tcPr>
            <w:tcW w:w="309" w:type="pct"/>
            <w:vAlign w:val="center"/>
          </w:tcPr>
          <w:p>
            <w:pPr>
              <w:jc w:val="center"/>
              <w:rPr>
                <w:b/>
                <w:bCs/>
                <w:color w:val="auto"/>
                <w:u w:val="single"/>
              </w:rPr>
            </w:pPr>
            <w:r>
              <w:rPr>
                <w:b/>
                <w:bCs/>
                <w:color w:val="auto"/>
                <w:u w:val="single"/>
              </w:rPr>
              <w:t>mg/L</w:t>
            </w:r>
          </w:p>
        </w:tc>
        <w:tc>
          <w:tcPr>
            <w:tcW w:w="384" w:type="pct"/>
            <w:vAlign w:val="center"/>
          </w:tcPr>
          <w:p>
            <w:pPr>
              <w:jc w:val="center"/>
              <w:rPr>
                <w:b/>
                <w:bCs/>
                <w:color w:val="auto"/>
                <w:u w:val="single"/>
              </w:rPr>
            </w:pPr>
            <w:r>
              <w:rPr>
                <w:b/>
                <w:bCs/>
                <w:color w:val="auto"/>
                <w:u w:val="single"/>
              </w:rPr>
              <w:t>mg/L</w:t>
            </w:r>
          </w:p>
        </w:tc>
        <w:tc>
          <w:tcPr>
            <w:tcW w:w="434" w:type="pct"/>
            <w:vAlign w:val="center"/>
          </w:tcPr>
          <w:p>
            <w:pPr>
              <w:jc w:val="center"/>
              <w:rPr>
                <w:b/>
                <w:bCs/>
                <w:color w:val="auto"/>
                <w:u w:val="single"/>
              </w:rPr>
            </w:pPr>
            <w:r>
              <w:rPr>
                <w:b/>
                <w:bCs/>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color w:val="auto"/>
                <w:u w:val="single"/>
              </w:rPr>
            </w:pPr>
            <w:r>
              <w:rPr>
                <w:b/>
                <w:bCs/>
                <w:color w:val="auto"/>
                <w:u w:val="single"/>
              </w:rPr>
              <w:t>含锌废水</w:t>
            </w:r>
          </w:p>
        </w:tc>
        <w:tc>
          <w:tcPr>
            <w:tcW w:w="588" w:type="pct"/>
            <w:vAlign w:val="center"/>
          </w:tcPr>
          <w:p>
            <w:pPr>
              <w:jc w:val="center"/>
              <w:rPr>
                <w:b/>
                <w:bCs/>
                <w:color w:val="auto"/>
                <w:u w:val="single"/>
              </w:rPr>
            </w:pPr>
            <w:r>
              <w:rPr>
                <w:b/>
                <w:bCs/>
                <w:color w:val="auto"/>
                <w:u w:val="single"/>
              </w:rPr>
              <w:t>9.2964</w:t>
            </w:r>
          </w:p>
        </w:tc>
        <w:tc>
          <w:tcPr>
            <w:tcW w:w="442" w:type="pct"/>
            <w:vAlign w:val="center"/>
          </w:tcPr>
          <w:p>
            <w:pPr>
              <w:jc w:val="center"/>
              <w:rPr>
                <w:b/>
                <w:bCs/>
                <w:color w:val="auto"/>
                <w:u w:val="single"/>
              </w:rPr>
            </w:pPr>
            <w:r>
              <w:rPr>
                <w:b/>
                <w:bCs/>
                <w:color w:val="auto"/>
                <w:u w:val="single"/>
              </w:rPr>
              <w:t>150</w:t>
            </w:r>
          </w:p>
        </w:tc>
        <w:tc>
          <w:tcPr>
            <w:tcW w:w="450" w:type="pct"/>
            <w:vAlign w:val="center"/>
          </w:tcPr>
          <w:p>
            <w:pPr>
              <w:jc w:val="center"/>
              <w:rPr>
                <w:b/>
                <w:bCs/>
                <w:color w:val="auto"/>
                <w:u w:val="single"/>
              </w:rPr>
            </w:pPr>
            <w:r>
              <w:rPr>
                <w:b/>
                <w:bCs/>
                <w:color w:val="auto"/>
                <w:u w:val="single"/>
              </w:rPr>
              <w:t>20</w:t>
            </w:r>
          </w:p>
        </w:tc>
        <w:tc>
          <w:tcPr>
            <w:tcW w:w="448" w:type="pct"/>
            <w:vAlign w:val="center"/>
          </w:tcPr>
          <w:p>
            <w:pPr>
              <w:jc w:val="center"/>
              <w:rPr>
                <w:b/>
                <w:bCs/>
                <w:color w:val="auto"/>
                <w:u w:val="single"/>
              </w:rPr>
            </w:pPr>
            <w:r>
              <w:rPr>
                <w:b/>
                <w:bCs/>
                <w:color w:val="auto"/>
                <w:u w:val="single"/>
              </w:rPr>
              <w:t>70</w:t>
            </w:r>
          </w:p>
        </w:tc>
        <w:tc>
          <w:tcPr>
            <w:tcW w:w="408"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87" w:type="pct"/>
            <w:tcBorders>
              <w:left w:val="single" w:color="auto" w:sz="4" w:space="0"/>
            </w:tcBorders>
            <w:vAlign w:val="center"/>
          </w:tcPr>
          <w:p>
            <w:pPr>
              <w:jc w:val="center"/>
              <w:rPr>
                <w:b/>
                <w:bCs/>
                <w:color w:val="auto"/>
                <w:u w:val="single"/>
              </w:rPr>
            </w:pPr>
            <w:r>
              <w:rPr>
                <w:b/>
                <w:bCs/>
                <w:color w:val="auto"/>
                <w:u w:val="single"/>
              </w:rPr>
              <w:t>/</w:t>
            </w:r>
          </w:p>
        </w:tc>
        <w:tc>
          <w:tcPr>
            <w:tcW w:w="309" w:type="pct"/>
            <w:vAlign w:val="center"/>
          </w:tcPr>
          <w:p>
            <w:pPr>
              <w:jc w:val="center"/>
              <w:rPr>
                <w:b/>
                <w:bCs/>
                <w:color w:val="auto"/>
                <w:u w:val="single"/>
              </w:rPr>
            </w:pPr>
            <w:r>
              <w:rPr>
                <w:b/>
                <w:bCs/>
                <w:color w:val="auto"/>
                <w:u w:val="single"/>
              </w:rPr>
              <w:t>50</w:t>
            </w:r>
          </w:p>
        </w:tc>
        <w:tc>
          <w:tcPr>
            <w:tcW w:w="384" w:type="pct"/>
            <w:vAlign w:val="center"/>
          </w:tcPr>
          <w:p>
            <w:pPr>
              <w:jc w:val="center"/>
              <w:rPr>
                <w:b/>
                <w:bCs/>
                <w:color w:val="auto"/>
                <w:u w:val="single"/>
              </w:rPr>
            </w:pPr>
            <w:r>
              <w:rPr>
                <w:b/>
                <w:bCs/>
                <w:color w:val="auto"/>
                <w:u w:val="single"/>
              </w:rPr>
              <w:t>/</w:t>
            </w:r>
          </w:p>
        </w:tc>
        <w:tc>
          <w:tcPr>
            <w:tcW w:w="434" w:type="pct"/>
            <w:vAlign w:val="center"/>
          </w:tcPr>
          <w:p>
            <w:pPr>
              <w:jc w:val="center"/>
              <w:rPr>
                <w:b/>
                <w:bCs/>
                <w:color w:val="auto"/>
                <w:u w:val="single"/>
              </w:rPr>
            </w:pP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color w:val="auto"/>
                <w:u w:val="single"/>
              </w:rPr>
            </w:pPr>
            <w:r>
              <w:rPr>
                <w:b/>
                <w:bCs/>
                <w:color w:val="auto"/>
                <w:u w:val="single"/>
              </w:rPr>
              <w:t>去除率</w:t>
            </w:r>
          </w:p>
        </w:tc>
        <w:tc>
          <w:tcPr>
            <w:tcW w:w="588" w:type="pct"/>
            <w:vAlign w:val="center"/>
          </w:tcPr>
          <w:p>
            <w:pPr>
              <w:jc w:val="center"/>
              <w:rPr>
                <w:b/>
                <w:bCs/>
                <w:color w:val="auto"/>
                <w:u w:val="single"/>
              </w:rPr>
            </w:pPr>
            <w:r>
              <w:rPr>
                <w:rFonts w:hint="eastAsia"/>
                <w:b/>
                <w:bCs/>
                <w:color w:val="auto"/>
                <w:u w:val="single"/>
              </w:rPr>
              <w:t>/</w:t>
            </w:r>
          </w:p>
        </w:tc>
        <w:tc>
          <w:tcPr>
            <w:tcW w:w="442" w:type="pct"/>
            <w:vAlign w:val="center"/>
          </w:tcPr>
          <w:p>
            <w:pPr>
              <w:jc w:val="center"/>
              <w:rPr>
                <w:b/>
                <w:bCs/>
                <w:color w:val="auto"/>
                <w:u w:val="single"/>
              </w:rPr>
            </w:pPr>
            <w:r>
              <w:rPr>
                <w:rFonts w:hint="eastAsia"/>
                <w:b/>
                <w:bCs/>
                <w:color w:val="auto"/>
                <w:u w:val="single"/>
              </w:rPr>
              <w:t>/</w:t>
            </w:r>
          </w:p>
        </w:tc>
        <w:tc>
          <w:tcPr>
            <w:tcW w:w="450" w:type="pct"/>
            <w:vAlign w:val="center"/>
          </w:tcPr>
          <w:p>
            <w:pPr>
              <w:jc w:val="center"/>
              <w:rPr>
                <w:b/>
                <w:bCs/>
                <w:color w:val="auto"/>
                <w:u w:val="single"/>
              </w:rPr>
            </w:pPr>
            <w:r>
              <w:rPr>
                <w:rFonts w:hint="eastAsia"/>
                <w:b/>
                <w:bCs/>
                <w:color w:val="auto"/>
                <w:u w:val="single"/>
              </w:rPr>
              <w:t>/</w:t>
            </w:r>
          </w:p>
        </w:tc>
        <w:tc>
          <w:tcPr>
            <w:tcW w:w="448" w:type="pct"/>
            <w:vAlign w:val="center"/>
          </w:tcPr>
          <w:p>
            <w:pPr>
              <w:jc w:val="center"/>
              <w:rPr>
                <w:b/>
                <w:bCs/>
                <w:color w:val="auto"/>
                <w:u w:val="single"/>
              </w:rPr>
            </w:pPr>
            <w:r>
              <w:rPr>
                <w:rFonts w:hint="eastAsia"/>
                <w:b/>
                <w:bCs/>
                <w:color w:val="auto"/>
                <w:u w:val="single"/>
              </w:rPr>
              <w:t>90%</w:t>
            </w:r>
          </w:p>
        </w:tc>
        <w:tc>
          <w:tcPr>
            <w:tcW w:w="408"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87" w:type="pct"/>
            <w:tcBorders>
              <w:left w:val="single" w:color="auto" w:sz="4" w:space="0"/>
            </w:tcBorders>
            <w:vAlign w:val="center"/>
          </w:tcPr>
          <w:p>
            <w:pPr>
              <w:jc w:val="center"/>
              <w:rPr>
                <w:b/>
                <w:bCs/>
                <w:color w:val="auto"/>
                <w:u w:val="single"/>
              </w:rPr>
            </w:pPr>
            <w:r>
              <w:rPr>
                <w:rFonts w:hint="eastAsia"/>
                <w:b/>
                <w:bCs/>
                <w:color w:val="auto"/>
                <w:u w:val="single"/>
              </w:rPr>
              <w:t>/</w:t>
            </w:r>
          </w:p>
        </w:tc>
        <w:tc>
          <w:tcPr>
            <w:tcW w:w="309" w:type="pct"/>
            <w:vAlign w:val="center"/>
          </w:tcPr>
          <w:p>
            <w:pPr>
              <w:jc w:val="center"/>
              <w:rPr>
                <w:b/>
                <w:bCs/>
                <w:color w:val="auto"/>
                <w:u w:val="single"/>
              </w:rPr>
            </w:pPr>
            <w:r>
              <w:rPr>
                <w:rFonts w:hint="eastAsia"/>
                <w:b/>
                <w:bCs/>
                <w:color w:val="auto"/>
                <w:u w:val="single"/>
              </w:rPr>
              <w:t>98.8%</w:t>
            </w:r>
          </w:p>
        </w:tc>
        <w:tc>
          <w:tcPr>
            <w:tcW w:w="384" w:type="pct"/>
            <w:vAlign w:val="center"/>
          </w:tcPr>
          <w:p>
            <w:pPr>
              <w:jc w:val="center"/>
              <w:rPr>
                <w:b/>
                <w:bCs/>
                <w:color w:val="auto"/>
                <w:u w:val="single"/>
              </w:rPr>
            </w:pPr>
            <w:r>
              <w:rPr>
                <w:rFonts w:hint="eastAsia"/>
                <w:b/>
                <w:bCs/>
                <w:color w:val="auto"/>
                <w:u w:val="single"/>
              </w:rPr>
              <w:t>/</w:t>
            </w:r>
          </w:p>
        </w:tc>
        <w:tc>
          <w:tcPr>
            <w:tcW w:w="434" w:type="pct"/>
            <w:vAlign w:val="center"/>
          </w:tcPr>
          <w:p>
            <w:pPr>
              <w:jc w:val="center"/>
              <w:rPr>
                <w:b/>
                <w:bCs/>
                <w:color w:val="auto"/>
                <w:u w:val="single"/>
              </w:rPr>
            </w:pPr>
            <w:r>
              <w:rPr>
                <w:rFonts w:hint="eastAsia"/>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color w:val="auto"/>
                <w:u w:val="single"/>
              </w:rPr>
            </w:pPr>
            <w:r>
              <w:rPr>
                <w:b/>
                <w:bCs/>
                <w:color w:val="auto"/>
                <w:u w:val="single"/>
              </w:rPr>
              <w:t>含锌废水预处理（混凝沉淀+多介质过滤器）出水</w:t>
            </w:r>
          </w:p>
        </w:tc>
        <w:tc>
          <w:tcPr>
            <w:tcW w:w="588" w:type="pct"/>
            <w:vAlign w:val="center"/>
          </w:tcPr>
          <w:p>
            <w:pPr>
              <w:jc w:val="center"/>
              <w:rPr>
                <w:b/>
                <w:bCs/>
                <w:color w:val="auto"/>
                <w:u w:val="single"/>
              </w:rPr>
            </w:pPr>
            <w:r>
              <w:rPr>
                <w:rFonts w:hint="eastAsia"/>
                <w:b/>
                <w:bCs/>
                <w:color w:val="auto"/>
                <w:u w:val="single"/>
              </w:rPr>
              <w:t>9.2964</w:t>
            </w:r>
          </w:p>
        </w:tc>
        <w:tc>
          <w:tcPr>
            <w:tcW w:w="442" w:type="pct"/>
            <w:vAlign w:val="center"/>
          </w:tcPr>
          <w:p>
            <w:pPr>
              <w:jc w:val="center"/>
              <w:rPr>
                <w:b/>
                <w:bCs/>
                <w:color w:val="auto"/>
                <w:u w:val="single"/>
              </w:rPr>
            </w:pPr>
            <w:r>
              <w:rPr>
                <w:rFonts w:hint="eastAsia"/>
                <w:b/>
                <w:bCs/>
                <w:color w:val="auto"/>
                <w:u w:val="single"/>
              </w:rPr>
              <w:t>150</w:t>
            </w:r>
          </w:p>
        </w:tc>
        <w:tc>
          <w:tcPr>
            <w:tcW w:w="450" w:type="pct"/>
            <w:vAlign w:val="center"/>
          </w:tcPr>
          <w:p>
            <w:pPr>
              <w:jc w:val="center"/>
              <w:rPr>
                <w:b/>
                <w:bCs/>
                <w:color w:val="auto"/>
                <w:u w:val="single"/>
              </w:rPr>
            </w:pPr>
            <w:r>
              <w:rPr>
                <w:rFonts w:hint="eastAsia"/>
                <w:b/>
                <w:bCs/>
                <w:color w:val="auto"/>
                <w:u w:val="single"/>
              </w:rPr>
              <w:t>20</w:t>
            </w:r>
          </w:p>
        </w:tc>
        <w:tc>
          <w:tcPr>
            <w:tcW w:w="448" w:type="pct"/>
            <w:vAlign w:val="center"/>
          </w:tcPr>
          <w:p>
            <w:pPr>
              <w:jc w:val="center"/>
              <w:rPr>
                <w:b/>
                <w:bCs/>
                <w:color w:val="auto"/>
                <w:u w:val="single"/>
              </w:rPr>
            </w:pPr>
            <w:r>
              <w:rPr>
                <w:rFonts w:hint="eastAsia"/>
                <w:b/>
                <w:bCs/>
                <w:color w:val="auto"/>
                <w:u w:val="single"/>
              </w:rPr>
              <w:t>7</w:t>
            </w:r>
          </w:p>
        </w:tc>
        <w:tc>
          <w:tcPr>
            <w:tcW w:w="408"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87" w:type="pct"/>
            <w:tcBorders>
              <w:left w:val="single" w:color="auto" w:sz="4" w:space="0"/>
            </w:tcBorders>
            <w:vAlign w:val="center"/>
          </w:tcPr>
          <w:p>
            <w:pPr>
              <w:jc w:val="center"/>
              <w:rPr>
                <w:b/>
                <w:bCs/>
                <w:color w:val="auto"/>
                <w:u w:val="single"/>
              </w:rPr>
            </w:pPr>
            <w:r>
              <w:rPr>
                <w:rFonts w:hint="eastAsia"/>
                <w:b/>
                <w:bCs/>
                <w:color w:val="auto"/>
                <w:u w:val="single"/>
              </w:rPr>
              <w:t>/</w:t>
            </w:r>
          </w:p>
        </w:tc>
        <w:tc>
          <w:tcPr>
            <w:tcW w:w="309" w:type="pct"/>
            <w:vAlign w:val="center"/>
          </w:tcPr>
          <w:p>
            <w:pPr>
              <w:jc w:val="center"/>
              <w:rPr>
                <w:b/>
                <w:bCs/>
                <w:color w:val="auto"/>
                <w:u w:val="single"/>
              </w:rPr>
            </w:pPr>
            <w:r>
              <w:rPr>
                <w:rFonts w:hint="eastAsia"/>
                <w:b/>
                <w:bCs/>
                <w:color w:val="auto"/>
                <w:u w:val="single"/>
              </w:rPr>
              <w:t>0.6</w:t>
            </w:r>
          </w:p>
        </w:tc>
        <w:tc>
          <w:tcPr>
            <w:tcW w:w="384" w:type="pct"/>
            <w:vAlign w:val="center"/>
          </w:tcPr>
          <w:p>
            <w:pPr>
              <w:jc w:val="center"/>
              <w:rPr>
                <w:b/>
                <w:bCs/>
                <w:color w:val="auto"/>
                <w:u w:val="single"/>
              </w:rPr>
            </w:pPr>
            <w:r>
              <w:rPr>
                <w:rFonts w:hint="eastAsia"/>
                <w:b/>
                <w:bCs/>
                <w:color w:val="auto"/>
                <w:u w:val="single"/>
              </w:rPr>
              <w:t>/</w:t>
            </w:r>
          </w:p>
        </w:tc>
        <w:tc>
          <w:tcPr>
            <w:tcW w:w="434" w:type="pct"/>
            <w:vAlign w:val="center"/>
          </w:tcPr>
          <w:p>
            <w:pPr>
              <w:jc w:val="center"/>
              <w:rPr>
                <w:b/>
                <w:bCs/>
                <w:color w:val="auto"/>
                <w:u w:val="single"/>
              </w:rPr>
            </w:pPr>
            <w:r>
              <w:rPr>
                <w:rFonts w:hint="eastAsia"/>
                <w:b/>
                <w:bCs/>
                <w:color w:val="auto"/>
                <w:u w:val="single"/>
              </w:rPr>
              <w:t>/</w:t>
            </w:r>
          </w:p>
        </w:tc>
      </w:tr>
    </w:tbl>
    <w:p>
      <w:pPr>
        <w:pStyle w:val="354"/>
        <w:ind w:firstLine="480"/>
        <w:rPr>
          <w:b/>
          <w:bCs/>
          <w:color w:val="auto"/>
          <w:u w:val="single"/>
        </w:rPr>
      </w:pPr>
      <w:r>
        <w:rPr>
          <w:rFonts w:hint="eastAsia"/>
          <w:b/>
          <w:bCs/>
          <w:color w:val="auto"/>
          <w:kern w:val="21"/>
          <w:u w:val="single"/>
        </w:rPr>
        <w:t>根据《排污许可证申请与核发技术规范  电镀工业》（</w:t>
      </w:r>
      <w:r>
        <w:rPr>
          <w:b/>
          <w:bCs/>
          <w:color w:val="auto"/>
          <w:kern w:val="21"/>
          <w:u w:val="single"/>
        </w:rPr>
        <w:t>HJ855-2017</w:t>
      </w:r>
      <w:r>
        <w:rPr>
          <w:rFonts w:hint="eastAsia"/>
          <w:b/>
          <w:bCs/>
          <w:color w:val="auto"/>
          <w:kern w:val="21"/>
          <w:u w:val="single"/>
        </w:rPr>
        <w:t>），含锌废水治理的可行技术有：化学沉淀法处理技术、化学法</w:t>
      </w:r>
      <w:r>
        <w:rPr>
          <w:b/>
          <w:bCs/>
          <w:color w:val="auto"/>
          <w:kern w:val="21"/>
          <w:u w:val="single"/>
        </w:rPr>
        <w:t>+</w:t>
      </w:r>
      <w:r>
        <w:rPr>
          <w:rFonts w:hint="eastAsia"/>
          <w:b/>
          <w:bCs/>
          <w:color w:val="auto"/>
          <w:kern w:val="21"/>
          <w:u w:val="single"/>
        </w:rPr>
        <w:t>膜分离法处理技术，本项目采用“</w:t>
      </w:r>
      <w:r>
        <w:rPr>
          <w:b/>
          <w:bCs/>
          <w:color w:val="auto"/>
          <w:u w:val="single"/>
        </w:rPr>
        <w:t>混凝沉淀+多介质过滤器</w:t>
      </w:r>
      <w:r>
        <w:rPr>
          <w:rFonts w:hint="eastAsia"/>
          <w:b/>
          <w:bCs/>
          <w:color w:val="auto"/>
          <w:u w:val="single"/>
          <w:lang w:eastAsia="zh-CN"/>
        </w:rPr>
        <w:t>”</w:t>
      </w:r>
      <w:r>
        <w:rPr>
          <w:rFonts w:hint="eastAsia"/>
          <w:b/>
          <w:bCs/>
          <w:color w:val="auto"/>
          <w:u w:val="single"/>
        </w:rPr>
        <w:t>及“</w:t>
      </w:r>
      <w:r>
        <w:rPr>
          <w:rFonts w:hint="eastAsia"/>
          <w:b/>
          <w:bCs/>
          <w:color w:val="auto"/>
          <w:kern w:val="21"/>
          <w:u w:val="single"/>
        </w:rPr>
        <w:t>化学法</w:t>
      </w:r>
      <w:r>
        <w:rPr>
          <w:b/>
          <w:bCs/>
          <w:color w:val="auto"/>
          <w:kern w:val="21"/>
          <w:u w:val="single"/>
        </w:rPr>
        <w:t>+</w:t>
      </w:r>
      <w:r>
        <w:rPr>
          <w:rFonts w:hint="eastAsia"/>
          <w:b/>
          <w:bCs/>
          <w:color w:val="auto"/>
          <w:kern w:val="21"/>
          <w:u w:val="single"/>
        </w:rPr>
        <w:t>膜分离法处理技术</w:t>
      </w:r>
      <w:r>
        <w:rPr>
          <w:b/>
          <w:bCs/>
          <w:color w:val="auto"/>
          <w:kern w:val="21"/>
          <w:u w:val="single"/>
        </w:rPr>
        <w:t>”</w:t>
      </w:r>
      <w:r>
        <w:rPr>
          <w:rFonts w:hint="eastAsia"/>
          <w:b/>
          <w:bCs/>
          <w:color w:val="auto"/>
          <w:kern w:val="21"/>
          <w:u w:val="single"/>
        </w:rPr>
        <w:t>，属于可行技术，符合要求。</w:t>
      </w:r>
    </w:p>
    <w:p>
      <w:pPr>
        <w:pStyle w:val="189"/>
        <w:rPr>
          <w:b/>
          <w:bCs/>
          <w:color w:val="auto"/>
          <w:u w:val="single"/>
        </w:rPr>
      </w:pPr>
    </w:p>
    <w:p>
      <w:pPr>
        <w:pStyle w:val="43"/>
        <w:rPr>
          <w:rFonts w:ascii="Arial" w:hAnsi="Arial" w:eastAsia="黑体"/>
          <w:b/>
          <w:bCs/>
          <w:color w:val="auto"/>
          <w:u w:val="single"/>
        </w:rPr>
      </w:pPr>
      <w:r>
        <w:rPr>
          <w:b/>
          <w:bCs/>
          <w:color w:val="auto"/>
          <w:u w:val="single"/>
        </w:rPr>
        <w:br w:type="page"/>
      </w:r>
    </w:p>
    <w:p>
      <w:pPr>
        <w:pStyle w:val="6"/>
        <w:spacing w:before="0" w:after="0" w:line="360" w:lineRule="auto"/>
        <w:rPr>
          <w:b/>
          <w:bCs/>
          <w:color w:val="auto"/>
          <w:sz w:val="24"/>
          <w:szCs w:val="24"/>
          <w:u w:val="single"/>
        </w:rPr>
      </w:pPr>
      <w:r>
        <w:rPr>
          <w:rFonts w:hint="eastAsia"/>
          <w:b/>
          <w:bCs/>
          <w:color w:val="auto"/>
          <w:sz w:val="24"/>
          <w:szCs w:val="24"/>
          <w:u w:val="single"/>
        </w:rPr>
        <w:t>7.2.4</w:t>
      </w:r>
      <w:r>
        <w:rPr>
          <w:b/>
          <w:bCs/>
          <w:color w:val="auto"/>
          <w:sz w:val="24"/>
          <w:szCs w:val="24"/>
          <w:u w:val="single"/>
        </w:rPr>
        <w:t>.</w:t>
      </w:r>
      <w:r>
        <w:rPr>
          <w:rFonts w:hint="eastAsia"/>
          <w:b/>
          <w:bCs/>
          <w:color w:val="auto"/>
          <w:sz w:val="24"/>
          <w:szCs w:val="24"/>
          <w:u w:val="single"/>
        </w:rPr>
        <w:t>3含铬废水预处理工艺可行性分析</w:t>
      </w:r>
    </w:p>
    <w:p>
      <w:pPr>
        <w:pStyle w:val="32"/>
        <w:adjustRightInd w:val="0"/>
        <w:snapToGrid w:val="0"/>
        <w:spacing w:after="0" w:line="360" w:lineRule="auto"/>
        <w:rPr>
          <w:rFonts w:ascii="宋体" w:hAnsi="宋体"/>
          <w:b/>
          <w:bCs/>
          <w:color w:val="auto"/>
          <w:kern w:val="21"/>
          <w:sz w:val="24"/>
          <w:u w:val="single"/>
          <w:lang w:val="en-US"/>
        </w:rPr>
      </w:pPr>
      <w:r>
        <w:rPr>
          <w:rFonts w:hint="eastAsia" w:ascii="宋体" w:hAnsi="宋体"/>
          <w:b/>
          <w:bCs/>
          <w:color w:val="auto"/>
          <w:kern w:val="21"/>
          <w:sz w:val="24"/>
          <w:u w:val="single"/>
          <w:lang w:val="en-US"/>
        </w:rPr>
        <w:t>（1）含铬废水预处理工艺</w:t>
      </w:r>
    </w:p>
    <w:p>
      <w:pPr>
        <w:pStyle w:val="32"/>
        <w:adjustRightInd w:val="0"/>
        <w:snapToGrid w:val="0"/>
        <w:spacing w:after="0" w:line="360" w:lineRule="auto"/>
        <w:ind w:firstLine="482" w:firstLineChars="200"/>
        <w:rPr>
          <w:b/>
          <w:bCs/>
          <w:color w:val="auto"/>
          <w:sz w:val="24"/>
          <w:szCs w:val="20"/>
          <w:u w:val="single"/>
        </w:rPr>
      </w:pPr>
      <w:r>
        <w:rPr>
          <w:rFonts w:hint="eastAsia"/>
          <w:b/>
          <w:bCs/>
          <w:color w:val="auto"/>
          <w:sz w:val="24"/>
          <w:szCs w:val="20"/>
          <w:u w:val="single"/>
        </w:rPr>
        <w:t>含铬废水预处理系统工艺流程见下图：</w:t>
      </w:r>
    </w:p>
    <w:p>
      <w:pPr>
        <w:pStyle w:val="20"/>
        <w:ind w:firstLine="0" w:firstLineChars="0"/>
        <w:jc w:val="center"/>
        <w:rPr>
          <w:b/>
          <w:bCs/>
          <w:color w:val="auto"/>
          <w:u w:val="single"/>
        </w:rPr>
      </w:pPr>
    </w:p>
    <w:p>
      <w:pPr>
        <w:pStyle w:val="20"/>
        <w:ind w:firstLine="0" w:firstLineChars="0"/>
        <w:jc w:val="center"/>
        <w:rPr>
          <w:b/>
          <w:bCs/>
          <w:color w:val="auto"/>
          <w:sz w:val="24"/>
          <w:u w:val="single"/>
        </w:rPr>
      </w:pPr>
      <w:r>
        <w:rPr>
          <w:color w:val="auto"/>
          <w:sz w:val="28"/>
        </w:rPr>
        <mc:AlternateContent>
          <mc:Choice Requires="wps">
            <w:drawing>
              <wp:anchor distT="0" distB="0" distL="114300" distR="114300" simplePos="0" relativeHeight="251786240" behindDoc="0" locked="0" layoutInCell="1" allowOverlap="1">
                <wp:simplePos x="0" y="0"/>
                <wp:positionH relativeFrom="column">
                  <wp:posOffset>382905</wp:posOffset>
                </wp:positionH>
                <wp:positionV relativeFrom="paragraph">
                  <wp:posOffset>5414645</wp:posOffset>
                </wp:positionV>
                <wp:extent cx="4562475" cy="114300"/>
                <wp:effectExtent l="0" t="0" r="9525" b="0"/>
                <wp:wrapNone/>
                <wp:docPr id="106" name="矩形 106"/>
                <wp:cNvGraphicFramePr/>
                <a:graphic xmlns:a="http://schemas.openxmlformats.org/drawingml/2006/main">
                  <a:graphicData uri="http://schemas.microsoft.com/office/word/2010/wordprocessingShape">
                    <wps:wsp>
                      <wps:cNvSpPr/>
                      <wps:spPr>
                        <a:xfrm>
                          <a:off x="1524000" y="7430135"/>
                          <a:ext cx="4562475" cy="1143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5pt;margin-top:426.35pt;height:9pt;width:359.25pt;z-index:251786240;v-text-anchor:middle;mso-width-relative:page;mso-height-relative:page;" fillcolor="#FFFFFF [3212]" filled="t" stroked="f" coordsize="21600,21600" o:gfxdata="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OBDCrjVAAAACgEAAA8AAAAAAAAAAQAgAAAAIgAAAGRycy9kb3ducmV2LnhtbFBL&#10;AQIUABQAAAAIAIdO4kDWP/YJawIAAMQEAAAOAAAAAAAAAAEAIAAAACQBAABkcnMvZTJvRG9jLnht&#10;bFBLBQYAAAAABgAGAFkBAAABBgAAAAA=&#10;">
                <v:fill on="t" focussize="0,0"/>
                <v:stroke on="f" weight="2pt"/>
                <v:imagedata o:title=""/>
                <o:lock v:ext="edit" aspectratio="f"/>
              </v:rect>
            </w:pict>
          </mc:Fallback>
        </mc:AlternateContent>
      </w:r>
      <w:r>
        <w:rPr>
          <w:b/>
          <w:bCs/>
          <w:color w:val="auto"/>
          <w:u w:val="single"/>
        </w:rPr>
        <w:object>
          <v:shape id="_x0000_i1046" o:spt="75" alt="" type="#_x0000_t75" style="height:428.35pt;width:336.05pt;" o:ole="t" filled="f" o:preferrelative="t" stroked="f" coordsize="21600,21600">
            <v:path/>
            <v:fill on="f" focussize="0,0"/>
            <v:stroke on="f"/>
            <v:imagedata r:id="rId155" o:title=""/>
            <o:lock v:ext="edit" aspectratio="f"/>
            <w10:wrap type="none"/>
            <w10:anchorlock/>
          </v:shape>
          <o:OLEObject Type="Embed" ProgID="Visio.Drawing.11" ShapeID="_x0000_i1046" DrawAspect="Content" ObjectID="_1468075749" r:id="rId154">
            <o:LockedField>false</o:LockedField>
          </o:OLEObject>
        </w:object>
      </w:r>
    </w:p>
    <w:p>
      <w:pPr>
        <w:pStyle w:val="32"/>
        <w:adjustRightInd w:val="0"/>
        <w:snapToGrid w:val="0"/>
        <w:spacing w:after="0"/>
        <w:ind w:firstLine="2409" w:firstLineChars="1000"/>
        <w:jc w:val="both"/>
        <w:rPr>
          <w:rFonts w:eastAsia="黑体"/>
          <w:b/>
          <w:bCs/>
          <w:color w:val="auto"/>
          <w:kern w:val="21"/>
          <w:sz w:val="24"/>
          <w:u w:val="single"/>
          <w:lang w:val="en-US"/>
        </w:rPr>
      </w:pPr>
      <w:r>
        <w:rPr>
          <w:rFonts w:hint="eastAsia" w:eastAsia="黑体"/>
          <w:b/>
          <w:bCs/>
          <w:color w:val="auto"/>
          <w:kern w:val="21"/>
          <w:sz w:val="24"/>
          <w:u w:val="single"/>
        </w:rPr>
        <w:t>图</w:t>
      </w:r>
      <w:r>
        <w:rPr>
          <w:rFonts w:hint="eastAsia" w:eastAsia="黑体"/>
          <w:b/>
          <w:bCs/>
          <w:color w:val="auto"/>
          <w:kern w:val="21"/>
          <w:sz w:val="24"/>
          <w:u w:val="single"/>
          <w:lang w:val="en-US"/>
        </w:rPr>
        <w:t xml:space="preserve">7.2-4 </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含铬废水预处理工艺流程</w:t>
      </w:r>
    </w:p>
    <w:p>
      <w:pPr>
        <w:pStyle w:val="32"/>
        <w:adjustRightInd w:val="0"/>
        <w:snapToGrid w:val="0"/>
        <w:spacing w:after="0" w:line="360" w:lineRule="auto"/>
        <w:ind w:firstLine="482" w:firstLineChars="200"/>
        <w:jc w:val="both"/>
        <w:rPr>
          <w:b/>
          <w:bCs/>
          <w:color w:val="auto"/>
          <w:kern w:val="0"/>
          <w:sz w:val="24"/>
          <w:u w:val="single"/>
        </w:rPr>
      </w:pPr>
      <w:r>
        <w:rPr>
          <w:b/>
          <w:bCs/>
          <w:color w:val="auto"/>
          <w:kern w:val="0"/>
          <w:sz w:val="24"/>
          <w:u w:val="single"/>
        </w:rPr>
        <w:t>工艺流程说明：</w:t>
      </w:r>
    </w:p>
    <w:p>
      <w:pPr>
        <w:autoSpaceDE w:val="0"/>
        <w:autoSpaceDN w:val="0"/>
        <w:adjustRightInd w:val="0"/>
        <w:spacing w:line="360" w:lineRule="auto"/>
        <w:ind w:firstLine="482" w:firstLineChars="200"/>
        <w:rPr>
          <w:b/>
          <w:bCs/>
          <w:color w:val="auto"/>
          <w:kern w:val="0"/>
          <w:sz w:val="24"/>
          <w:szCs w:val="24"/>
          <w:u w:val="single"/>
        </w:rPr>
      </w:pPr>
      <w:r>
        <w:rPr>
          <w:b/>
          <w:bCs/>
          <w:color w:val="auto"/>
          <w:kern w:val="0"/>
          <w:sz w:val="24"/>
          <w:szCs w:val="24"/>
          <w:u w:val="single"/>
        </w:rPr>
        <w:t>含铬废水主要来源于</w:t>
      </w:r>
      <w:r>
        <w:rPr>
          <w:b/>
          <w:bCs/>
          <w:color w:val="auto"/>
          <w:sz w:val="24"/>
          <w:szCs w:val="20"/>
          <w:u w:val="single"/>
        </w:rPr>
        <w:t>含钝化槽液、钝化后水洗废水、中和槽液、中和后水洗废水过滤膜反冲洗水、封闭槽液、封闭后水洗废水、酸雾塔废水</w:t>
      </w:r>
      <w:r>
        <w:rPr>
          <w:b/>
          <w:bCs/>
          <w:color w:val="auto"/>
          <w:kern w:val="0"/>
          <w:sz w:val="24"/>
          <w:szCs w:val="24"/>
          <w:u w:val="single"/>
        </w:rPr>
        <w:t>，废</w:t>
      </w:r>
      <w:r>
        <w:rPr>
          <w:rFonts w:hint="eastAsia"/>
          <w:b/>
          <w:bCs/>
          <w:color w:val="auto"/>
          <w:kern w:val="0"/>
          <w:sz w:val="24"/>
          <w:szCs w:val="24"/>
          <w:u w:val="single"/>
        </w:rPr>
        <w:t>水</w:t>
      </w:r>
      <w:r>
        <w:rPr>
          <w:b/>
          <w:bCs/>
          <w:color w:val="auto"/>
          <w:kern w:val="0"/>
          <w:sz w:val="24"/>
          <w:szCs w:val="24"/>
          <w:u w:val="single"/>
        </w:rPr>
        <w:t>中主要含有三价铬、六价铬等。Cr</w:t>
      </w:r>
      <w:r>
        <w:rPr>
          <w:b/>
          <w:bCs/>
          <w:color w:val="auto"/>
          <w:kern w:val="0"/>
          <w:sz w:val="24"/>
          <w:szCs w:val="24"/>
          <w:u w:val="single"/>
          <w:vertAlign w:val="superscript"/>
        </w:rPr>
        <w:t>6+</w:t>
      </w:r>
      <w:r>
        <w:rPr>
          <w:b/>
          <w:bCs/>
          <w:color w:val="auto"/>
          <w:kern w:val="0"/>
          <w:sz w:val="24"/>
          <w:szCs w:val="24"/>
          <w:u w:val="single"/>
        </w:rPr>
        <w:t>有较强的氧化性，其不仅不能与任何物质反应或共聚沉淀去除，还会对膜会产</w:t>
      </w:r>
      <w:r>
        <w:rPr>
          <w:rFonts w:hint="eastAsia"/>
          <w:b/>
          <w:bCs/>
          <w:color w:val="auto"/>
          <w:kern w:val="0"/>
          <w:sz w:val="24"/>
          <w:szCs w:val="24"/>
          <w:u w:val="single"/>
        </w:rPr>
        <w:t>生</w:t>
      </w:r>
      <w:r>
        <w:rPr>
          <w:b/>
          <w:bCs/>
          <w:color w:val="auto"/>
          <w:kern w:val="0"/>
          <w:sz w:val="24"/>
          <w:szCs w:val="24"/>
          <w:u w:val="single"/>
        </w:rPr>
        <w:t>致命的损伤，因此需向废</w:t>
      </w:r>
      <w:r>
        <w:rPr>
          <w:rFonts w:hint="eastAsia"/>
          <w:b/>
          <w:bCs/>
          <w:color w:val="auto"/>
          <w:kern w:val="0"/>
          <w:sz w:val="24"/>
          <w:szCs w:val="24"/>
          <w:u w:val="single"/>
        </w:rPr>
        <w:t>水</w:t>
      </w:r>
      <w:r>
        <w:rPr>
          <w:b/>
          <w:bCs/>
          <w:color w:val="auto"/>
          <w:kern w:val="0"/>
          <w:sz w:val="24"/>
          <w:szCs w:val="24"/>
          <w:u w:val="single"/>
        </w:rPr>
        <w:t>中投加还原剂将Cr</w:t>
      </w:r>
      <w:r>
        <w:rPr>
          <w:b/>
          <w:bCs/>
          <w:color w:val="auto"/>
          <w:kern w:val="0"/>
          <w:sz w:val="24"/>
          <w:szCs w:val="24"/>
          <w:u w:val="single"/>
          <w:vertAlign w:val="superscript"/>
        </w:rPr>
        <w:t>6+</w:t>
      </w:r>
      <w:r>
        <w:rPr>
          <w:b/>
          <w:bCs/>
          <w:color w:val="auto"/>
          <w:kern w:val="0"/>
          <w:sz w:val="24"/>
          <w:szCs w:val="24"/>
          <w:u w:val="single"/>
        </w:rPr>
        <w:t>还原成微毒的Cr</w:t>
      </w:r>
      <w:r>
        <w:rPr>
          <w:b/>
          <w:bCs/>
          <w:color w:val="auto"/>
          <w:kern w:val="0"/>
          <w:sz w:val="24"/>
          <w:szCs w:val="24"/>
          <w:u w:val="single"/>
          <w:vertAlign w:val="superscript"/>
        </w:rPr>
        <w:t>3+</w:t>
      </w:r>
      <w:r>
        <w:rPr>
          <w:b/>
          <w:bCs/>
          <w:color w:val="auto"/>
          <w:kern w:val="0"/>
          <w:sz w:val="24"/>
          <w:szCs w:val="24"/>
          <w:u w:val="single"/>
        </w:rPr>
        <w:t>，并进</w:t>
      </w:r>
      <w:r>
        <w:rPr>
          <w:rFonts w:hint="eastAsia"/>
          <w:b/>
          <w:bCs/>
          <w:color w:val="auto"/>
          <w:kern w:val="0"/>
          <w:sz w:val="24"/>
          <w:szCs w:val="24"/>
          <w:u w:val="single"/>
        </w:rPr>
        <w:t>行一</w:t>
      </w:r>
      <w:r>
        <w:rPr>
          <w:b/>
          <w:bCs/>
          <w:color w:val="auto"/>
          <w:kern w:val="0"/>
          <w:sz w:val="24"/>
          <w:szCs w:val="24"/>
          <w:u w:val="single"/>
        </w:rPr>
        <w:t>定去除后，才能进</w:t>
      </w:r>
      <w:r>
        <w:rPr>
          <w:rFonts w:hint="eastAsia"/>
          <w:b/>
          <w:bCs/>
          <w:color w:val="auto"/>
          <w:kern w:val="0"/>
          <w:sz w:val="24"/>
          <w:szCs w:val="24"/>
          <w:u w:val="single"/>
        </w:rPr>
        <w:t>入</w:t>
      </w:r>
      <w:r>
        <w:rPr>
          <w:b/>
          <w:bCs/>
          <w:color w:val="auto"/>
          <w:kern w:val="0"/>
          <w:sz w:val="24"/>
          <w:szCs w:val="24"/>
          <w:u w:val="single"/>
        </w:rPr>
        <w:t>后续的零排放系统。</w:t>
      </w:r>
    </w:p>
    <w:p>
      <w:pPr>
        <w:autoSpaceDE w:val="0"/>
        <w:autoSpaceDN w:val="0"/>
        <w:adjustRightInd w:val="0"/>
        <w:spacing w:line="360" w:lineRule="auto"/>
        <w:ind w:firstLine="482" w:firstLineChars="200"/>
        <w:rPr>
          <w:b/>
          <w:bCs/>
          <w:color w:val="auto"/>
          <w:kern w:val="0"/>
          <w:sz w:val="24"/>
          <w:szCs w:val="24"/>
          <w:u w:val="single"/>
        </w:rPr>
      </w:pPr>
      <w:r>
        <w:rPr>
          <w:b/>
          <w:bCs/>
          <w:color w:val="auto"/>
          <w:kern w:val="0"/>
          <w:sz w:val="24"/>
          <w:szCs w:val="24"/>
          <w:u w:val="single"/>
        </w:rPr>
        <w:t>由于焦亚硫酸钠的还原</w:t>
      </w:r>
      <w:r>
        <w:rPr>
          <w:rFonts w:hint="eastAsia"/>
          <w:b/>
          <w:bCs/>
          <w:color w:val="auto"/>
          <w:kern w:val="0"/>
          <w:sz w:val="24"/>
          <w:szCs w:val="24"/>
          <w:u w:val="single"/>
        </w:rPr>
        <w:t>用</w:t>
      </w:r>
      <w:r>
        <w:rPr>
          <w:b/>
          <w:bCs/>
          <w:color w:val="auto"/>
          <w:kern w:val="0"/>
          <w:sz w:val="24"/>
          <w:szCs w:val="24"/>
          <w:u w:val="single"/>
        </w:rPr>
        <w:t>量最少、最易于储存、处理效果最好，因此以焦亚硫酸钠作为还原剂，含铬废</w:t>
      </w:r>
      <w:r>
        <w:rPr>
          <w:rFonts w:hint="eastAsia"/>
          <w:b/>
          <w:bCs/>
          <w:color w:val="auto"/>
          <w:kern w:val="0"/>
          <w:sz w:val="24"/>
          <w:szCs w:val="24"/>
          <w:u w:val="single"/>
        </w:rPr>
        <w:t>水</w:t>
      </w:r>
      <w:r>
        <w:rPr>
          <w:b/>
          <w:bCs/>
          <w:color w:val="auto"/>
          <w:kern w:val="0"/>
          <w:sz w:val="24"/>
          <w:szCs w:val="24"/>
          <w:u w:val="single"/>
        </w:rPr>
        <w:t>经收集管</w:t>
      </w:r>
      <w:r>
        <w:rPr>
          <w:rFonts w:hint="eastAsia"/>
          <w:b/>
          <w:bCs/>
          <w:color w:val="auto"/>
          <w:kern w:val="0"/>
          <w:sz w:val="24"/>
          <w:szCs w:val="24"/>
          <w:u w:val="single"/>
        </w:rPr>
        <w:t>网</w:t>
      </w:r>
      <w:r>
        <w:rPr>
          <w:b/>
          <w:bCs/>
          <w:color w:val="auto"/>
          <w:kern w:val="0"/>
          <w:sz w:val="24"/>
          <w:szCs w:val="24"/>
          <w:u w:val="single"/>
        </w:rPr>
        <w:t>收集后进</w:t>
      </w:r>
      <w:r>
        <w:rPr>
          <w:rFonts w:hint="eastAsia"/>
          <w:b/>
          <w:bCs/>
          <w:color w:val="auto"/>
          <w:kern w:val="0"/>
          <w:sz w:val="24"/>
          <w:szCs w:val="24"/>
          <w:u w:val="single"/>
        </w:rPr>
        <w:t>入</w:t>
      </w:r>
      <w:r>
        <w:rPr>
          <w:b/>
          <w:bCs/>
          <w:color w:val="auto"/>
          <w:kern w:val="0"/>
          <w:sz w:val="24"/>
          <w:szCs w:val="24"/>
          <w:u w:val="single"/>
        </w:rPr>
        <w:t>收集槽，经⼀定的时间调质均匀后，提升</w:t>
      </w:r>
      <w:r>
        <w:rPr>
          <w:rFonts w:hint="eastAsia"/>
          <w:b/>
          <w:bCs/>
          <w:color w:val="auto"/>
          <w:kern w:val="0"/>
          <w:sz w:val="24"/>
          <w:szCs w:val="24"/>
          <w:u w:val="single"/>
        </w:rPr>
        <w:t>至</w:t>
      </w:r>
      <w:r>
        <w:rPr>
          <w:b/>
          <w:bCs/>
          <w:color w:val="auto"/>
          <w:kern w:val="0"/>
          <w:sz w:val="24"/>
          <w:szCs w:val="24"/>
          <w:u w:val="single"/>
        </w:rPr>
        <w:t>还原反应池， 加</w:t>
      </w:r>
      <w:r>
        <w:rPr>
          <w:rFonts w:hint="eastAsia"/>
          <w:b/>
          <w:bCs/>
          <w:color w:val="auto"/>
          <w:kern w:val="0"/>
          <w:sz w:val="24"/>
          <w:szCs w:val="24"/>
          <w:u w:val="single"/>
        </w:rPr>
        <w:t>入</w:t>
      </w:r>
      <w:r>
        <w:rPr>
          <w:b/>
          <w:bCs/>
          <w:color w:val="auto"/>
          <w:kern w:val="0"/>
          <w:sz w:val="24"/>
          <w:szCs w:val="24"/>
          <w:u w:val="single"/>
        </w:rPr>
        <w:t>⼀定量的酸液和焦亚硫酸钠溶液控制pH值在2~3 和ORP 值在-270~-240mv。六价铬被还原成三价铬的反应如下：</w:t>
      </w:r>
    </w:p>
    <w:p>
      <w:pPr>
        <w:autoSpaceDE w:val="0"/>
        <w:autoSpaceDN w:val="0"/>
        <w:adjustRightInd w:val="0"/>
        <w:spacing w:line="360" w:lineRule="auto"/>
        <w:ind w:firstLine="482" w:firstLineChars="200"/>
        <w:jc w:val="center"/>
        <w:rPr>
          <w:b/>
          <w:bCs/>
          <w:color w:val="auto"/>
          <w:kern w:val="0"/>
          <w:sz w:val="24"/>
          <w:szCs w:val="24"/>
          <w:u w:val="single"/>
        </w:rPr>
      </w:pPr>
      <w:r>
        <w:rPr>
          <w:b/>
          <w:bCs/>
          <w:color w:val="auto"/>
          <w:kern w:val="0"/>
          <w:sz w:val="24"/>
          <w:szCs w:val="24"/>
          <w:u w:val="single"/>
        </w:rPr>
        <w:t>2H</w:t>
      </w:r>
      <w:r>
        <w:rPr>
          <w:b/>
          <w:bCs/>
          <w:color w:val="auto"/>
          <w:kern w:val="0"/>
          <w:sz w:val="24"/>
          <w:szCs w:val="24"/>
          <w:u w:val="single"/>
          <w:vertAlign w:val="subscript"/>
        </w:rPr>
        <w:t>2</w:t>
      </w:r>
      <w:r>
        <w:rPr>
          <w:b/>
          <w:bCs/>
          <w:color w:val="auto"/>
          <w:kern w:val="0"/>
          <w:sz w:val="24"/>
          <w:szCs w:val="24"/>
          <w:u w:val="single"/>
        </w:rPr>
        <w:t>Cr</w:t>
      </w:r>
      <w:r>
        <w:rPr>
          <w:b/>
          <w:bCs/>
          <w:color w:val="auto"/>
          <w:kern w:val="0"/>
          <w:sz w:val="24"/>
          <w:szCs w:val="24"/>
          <w:u w:val="single"/>
          <w:vertAlign w:val="subscript"/>
        </w:rPr>
        <w:t>2</w:t>
      </w:r>
      <w:r>
        <w:rPr>
          <w:b/>
          <w:bCs/>
          <w:color w:val="auto"/>
          <w:kern w:val="0"/>
          <w:sz w:val="24"/>
          <w:szCs w:val="24"/>
          <w:u w:val="single"/>
        </w:rPr>
        <w:t>O</w:t>
      </w:r>
      <w:r>
        <w:rPr>
          <w:b/>
          <w:bCs/>
          <w:color w:val="auto"/>
          <w:kern w:val="0"/>
          <w:sz w:val="24"/>
          <w:szCs w:val="24"/>
          <w:u w:val="single"/>
          <w:vertAlign w:val="subscript"/>
        </w:rPr>
        <w:t>7</w:t>
      </w:r>
      <w:r>
        <w:rPr>
          <w:b/>
          <w:bCs/>
          <w:color w:val="auto"/>
          <w:kern w:val="0"/>
          <w:sz w:val="24"/>
          <w:szCs w:val="24"/>
          <w:u w:val="single"/>
        </w:rPr>
        <w:t>+3Na</w:t>
      </w:r>
      <w:r>
        <w:rPr>
          <w:b/>
          <w:bCs/>
          <w:color w:val="auto"/>
          <w:kern w:val="0"/>
          <w:sz w:val="24"/>
          <w:szCs w:val="24"/>
          <w:u w:val="single"/>
          <w:vertAlign w:val="subscript"/>
        </w:rPr>
        <w:t>2</w:t>
      </w:r>
      <w:r>
        <w:rPr>
          <w:b/>
          <w:bCs/>
          <w:color w:val="auto"/>
          <w:kern w:val="0"/>
          <w:sz w:val="24"/>
          <w:szCs w:val="24"/>
          <w:u w:val="single"/>
        </w:rPr>
        <w:t>S</w:t>
      </w:r>
      <w:r>
        <w:rPr>
          <w:b/>
          <w:bCs/>
          <w:color w:val="auto"/>
          <w:kern w:val="0"/>
          <w:sz w:val="24"/>
          <w:szCs w:val="24"/>
          <w:u w:val="single"/>
          <w:vertAlign w:val="subscript"/>
        </w:rPr>
        <w:t>2</w:t>
      </w:r>
      <w:r>
        <w:rPr>
          <w:b/>
          <w:bCs/>
          <w:color w:val="auto"/>
          <w:kern w:val="0"/>
          <w:sz w:val="24"/>
          <w:szCs w:val="24"/>
          <w:u w:val="single"/>
        </w:rPr>
        <w:t>O</w:t>
      </w:r>
      <w:r>
        <w:rPr>
          <w:b/>
          <w:bCs/>
          <w:color w:val="auto"/>
          <w:kern w:val="0"/>
          <w:sz w:val="24"/>
          <w:szCs w:val="24"/>
          <w:u w:val="single"/>
          <w:vertAlign w:val="subscript"/>
        </w:rPr>
        <w:t>5</w:t>
      </w:r>
      <w:r>
        <w:rPr>
          <w:b/>
          <w:bCs/>
          <w:color w:val="auto"/>
          <w:kern w:val="0"/>
          <w:sz w:val="24"/>
          <w:szCs w:val="24"/>
          <w:u w:val="single"/>
        </w:rPr>
        <w:t>+3H</w:t>
      </w:r>
      <w:r>
        <w:rPr>
          <w:b/>
          <w:bCs/>
          <w:color w:val="auto"/>
          <w:kern w:val="0"/>
          <w:sz w:val="24"/>
          <w:szCs w:val="24"/>
          <w:u w:val="single"/>
          <w:vertAlign w:val="subscript"/>
        </w:rPr>
        <w:t>2</w:t>
      </w:r>
      <w:r>
        <w:rPr>
          <w:b/>
          <w:bCs/>
          <w:color w:val="auto"/>
          <w:kern w:val="0"/>
          <w:sz w:val="24"/>
          <w:szCs w:val="24"/>
          <w:u w:val="single"/>
        </w:rPr>
        <w:t>SO</w:t>
      </w:r>
      <w:r>
        <w:rPr>
          <w:b/>
          <w:bCs/>
          <w:color w:val="auto"/>
          <w:kern w:val="0"/>
          <w:sz w:val="24"/>
          <w:szCs w:val="24"/>
          <w:u w:val="single"/>
          <w:vertAlign w:val="subscript"/>
        </w:rPr>
        <w:t>4</w:t>
      </w:r>
      <w:r>
        <w:rPr>
          <w:b/>
          <w:bCs/>
          <w:color w:val="auto"/>
          <w:kern w:val="0"/>
          <w:sz w:val="24"/>
          <w:szCs w:val="24"/>
          <w:u w:val="single"/>
        </w:rPr>
        <w:t>——2Cr</w:t>
      </w:r>
      <w:r>
        <w:rPr>
          <w:b/>
          <w:bCs/>
          <w:color w:val="auto"/>
          <w:kern w:val="0"/>
          <w:sz w:val="24"/>
          <w:szCs w:val="24"/>
          <w:u w:val="single"/>
          <w:vertAlign w:val="subscript"/>
        </w:rPr>
        <w:t>2</w:t>
      </w:r>
      <w:r>
        <w:rPr>
          <w:b/>
          <w:bCs/>
          <w:color w:val="auto"/>
          <w:kern w:val="0"/>
          <w:sz w:val="24"/>
          <w:szCs w:val="24"/>
          <w:u w:val="single"/>
        </w:rPr>
        <w:t>(SO</w:t>
      </w:r>
      <w:r>
        <w:rPr>
          <w:b/>
          <w:bCs/>
          <w:color w:val="auto"/>
          <w:kern w:val="0"/>
          <w:sz w:val="24"/>
          <w:szCs w:val="24"/>
          <w:u w:val="single"/>
          <w:vertAlign w:val="subscript"/>
        </w:rPr>
        <w:t>4</w:t>
      </w:r>
      <w:r>
        <w:rPr>
          <w:b/>
          <w:bCs/>
          <w:color w:val="auto"/>
          <w:kern w:val="0"/>
          <w:sz w:val="24"/>
          <w:szCs w:val="24"/>
          <w:u w:val="single"/>
        </w:rPr>
        <w:t>)</w:t>
      </w:r>
      <w:r>
        <w:rPr>
          <w:b/>
          <w:bCs/>
          <w:color w:val="auto"/>
          <w:kern w:val="0"/>
          <w:sz w:val="24"/>
          <w:szCs w:val="24"/>
          <w:u w:val="single"/>
          <w:vertAlign w:val="subscript"/>
        </w:rPr>
        <w:t>3</w:t>
      </w:r>
      <w:r>
        <w:rPr>
          <w:b/>
          <w:bCs/>
          <w:color w:val="auto"/>
          <w:kern w:val="0"/>
          <w:sz w:val="24"/>
          <w:szCs w:val="24"/>
          <w:u w:val="single"/>
        </w:rPr>
        <w:t>+3Na</w:t>
      </w:r>
      <w:r>
        <w:rPr>
          <w:b/>
          <w:bCs/>
          <w:color w:val="auto"/>
          <w:kern w:val="0"/>
          <w:sz w:val="24"/>
          <w:szCs w:val="24"/>
          <w:u w:val="single"/>
          <w:vertAlign w:val="subscript"/>
        </w:rPr>
        <w:t>2</w:t>
      </w:r>
      <w:r>
        <w:rPr>
          <w:b/>
          <w:bCs/>
          <w:color w:val="auto"/>
          <w:kern w:val="0"/>
          <w:sz w:val="24"/>
          <w:szCs w:val="24"/>
          <w:u w:val="single"/>
        </w:rPr>
        <w:t>SO</w:t>
      </w:r>
      <w:r>
        <w:rPr>
          <w:b/>
          <w:bCs/>
          <w:color w:val="auto"/>
          <w:kern w:val="0"/>
          <w:sz w:val="24"/>
          <w:szCs w:val="24"/>
          <w:u w:val="single"/>
          <w:vertAlign w:val="subscript"/>
        </w:rPr>
        <w:t>4</w:t>
      </w:r>
      <w:r>
        <w:rPr>
          <w:b/>
          <w:bCs/>
          <w:color w:val="auto"/>
          <w:kern w:val="0"/>
          <w:sz w:val="24"/>
          <w:szCs w:val="24"/>
          <w:u w:val="single"/>
        </w:rPr>
        <w:t>+5H</w:t>
      </w:r>
      <w:r>
        <w:rPr>
          <w:b/>
          <w:bCs/>
          <w:color w:val="auto"/>
          <w:kern w:val="0"/>
          <w:sz w:val="24"/>
          <w:szCs w:val="24"/>
          <w:u w:val="single"/>
          <w:vertAlign w:val="subscript"/>
        </w:rPr>
        <w:t>2</w:t>
      </w:r>
      <w:r>
        <w:rPr>
          <w:b/>
          <w:bCs/>
          <w:color w:val="auto"/>
          <w:kern w:val="0"/>
          <w:sz w:val="24"/>
          <w:szCs w:val="24"/>
          <w:u w:val="single"/>
        </w:rPr>
        <w:t>O</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b/>
          <w:bCs/>
          <w:color w:val="auto"/>
          <w:kern w:val="0"/>
          <w:sz w:val="24"/>
          <w:u w:val="single"/>
        </w:rPr>
        <w:t>在搅拌状态下充分反应15min 后加</w:t>
      </w:r>
      <w:r>
        <w:rPr>
          <w:rFonts w:hint="eastAsia"/>
          <w:b/>
          <w:bCs/>
          <w:color w:val="auto"/>
          <w:kern w:val="0"/>
          <w:sz w:val="24"/>
          <w:u w:val="single"/>
        </w:rPr>
        <w:t>入</w:t>
      </w:r>
      <w:r>
        <w:rPr>
          <w:b/>
          <w:bCs/>
          <w:color w:val="auto"/>
          <w:kern w:val="0"/>
          <w:sz w:val="24"/>
          <w:u w:val="single"/>
        </w:rPr>
        <w:t>液碱控制pH 值为9.0~9.5，该反应阶段可将废水中的铬离</w:t>
      </w:r>
      <w:r>
        <w:rPr>
          <w:rFonts w:hint="eastAsia"/>
          <w:b/>
          <w:bCs/>
          <w:color w:val="auto"/>
          <w:kern w:val="0"/>
          <w:sz w:val="24"/>
          <w:u w:val="single"/>
        </w:rPr>
        <w:t>子</w:t>
      </w:r>
      <w:r>
        <w:rPr>
          <w:b/>
          <w:bCs/>
          <w:color w:val="auto"/>
          <w:kern w:val="0"/>
          <w:sz w:val="24"/>
          <w:u w:val="single"/>
        </w:rPr>
        <w:t>转化为氢氧化铬沉淀，充分反应后进</w:t>
      </w:r>
      <w:r>
        <w:rPr>
          <w:rFonts w:hint="eastAsia"/>
          <w:b/>
          <w:bCs/>
          <w:color w:val="auto"/>
          <w:kern w:val="0"/>
          <w:sz w:val="24"/>
          <w:u w:val="single"/>
        </w:rPr>
        <w:t>入</w:t>
      </w:r>
      <w:r>
        <w:rPr>
          <w:b/>
          <w:bCs/>
          <w:color w:val="auto"/>
          <w:kern w:val="0"/>
          <w:sz w:val="24"/>
          <w:u w:val="single"/>
        </w:rPr>
        <w:t>絮凝反应，该阶段投入100-300ppm絮凝剂聚合氯化铝，再进</w:t>
      </w:r>
      <w:r>
        <w:rPr>
          <w:rFonts w:hint="eastAsia"/>
          <w:b/>
          <w:bCs/>
          <w:color w:val="auto"/>
          <w:kern w:val="0"/>
          <w:sz w:val="24"/>
          <w:u w:val="single"/>
        </w:rPr>
        <w:t>入</w:t>
      </w:r>
      <w:r>
        <w:rPr>
          <w:b/>
          <w:bCs/>
          <w:color w:val="auto"/>
          <w:kern w:val="0"/>
          <w:sz w:val="24"/>
          <w:u w:val="single"/>
        </w:rPr>
        <w:t>絮效池投加10ppm 的助凝剂聚丙烯胺，形成</w:t>
      </w:r>
      <w:r>
        <w:rPr>
          <w:rFonts w:hint="eastAsia"/>
          <w:b/>
          <w:bCs/>
          <w:color w:val="auto"/>
          <w:kern w:val="0"/>
          <w:sz w:val="24"/>
          <w:u w:val="single"/>
        </w:rPr>
        <w:t>比</w:t>
      </w:r>
      <w:r>
        <w:rPr>
          <w:b/>
          <w:bCs/>
          <w:color w:val="auto"/>
          <w:kern w:val="0"/>
          <w:sz w:val="24"/>
          <w:u w:val="single"/>
        </w:rPr>
        <w:t>重</w:t>
      </w:r>
      <w:r>
        <w:rPr>
          <w:rFonts w:hint="eastAsia"/>
          <w:b/>
          <w:bCs/>
          <w:color w:val="auto"/>
          <w:kern w:val="0"/>
          <w:sz w:val="24"/>
          <w:u w:val="single"/>
        </w:rPr>
        <w:t>大</w:t>
      </w:r>
      <w:r>
        <w:rPr>
          <w:b/>
          <w:bCs/>
          <w:color w:val="auto"/>
          <w:kern w:val="0"/>
          <w:sz w:val="24"/>
          <w:u w:val="single"/>
        </w:rPr>
        <w:t>于</w:t>
      </w:r>
      <w:r>
        <w:rPr>
          <w:rFonts w:hint="eastAsia"/>
          <w:b/>
          <w:bCs/>
          <w:color w:val="auto"/>
          <w:kern w:val="0"/>
          <w:sz w:val="24"/>
          <w:u w:val="single"/>
        </w:rPr>
        <w:t>水</w:t>
      </w:r>
      <w:r>
        <w:rPr>
          <w:b/>
          <w:bCs/>
          <w:color w:val="auto"/>
          <w:kern w:val="0"/>
          <w:sz w:val="24"/>
          <w:u w:val="single"/>
        </w:rPr>
        <w:t>的矾花后进</w:t>
      </w:r>
      <w:r>
        <w:rPr>
          <w:rFonts w:hint="eastAsia"/>
          <w:b/>
          <w:bCs/>
          <w:color w:val="auto"/>
          <w:kern w:val="0"/>
          <w:sz w:val="24"/>
          <w:u w:val="single"/>
        </w:rPr>
        <w:t>入</w:t>
      </w:r>
      <w:r>
        <w:rPr>
          <w:b/>
          <w:bCs/>
          <w:color w:val="auto"/>
          <w:kern w:val="0"/>
          <w:sz w:val="24"/>
          <w:u w:val="single"/>
        </w:rPr>
        <w:t>沉淀池进</w:t>
      </w:r>
      <w:r>
        <w:rPr>
          <w:rFonts w:hint="eastAsia"/>
          <w:b/>
          <w:bCs/>
          <w:color w:val="auto"/>
          <w:kern w:val="0"/>
          <w:sz w:val="24"/>
          <w:u w:val="single"/>
        </w:rPr>
        <w:t>行</w:t>
      </w:r>
      <w:r>
        <w:rPr>
          <w:b/>
          <w:bCs/>
          <w:color w:val="auto"/>
          <w:kern w:val="0"/>
          <w:sz w:val="24"/>
          <w:u w:val="single"/>
        </w:rPr>
        <w:t>泥</w:t>
      </w:r>
      <w:r>
        <w:rPr>
          <w:rFonts w:hint="eastAsia"/>
          <w:b/>
          <w:bCs/>
          <w:color w:val="auto"/>
          <w:kern w:val="0"/>
          <w:sz w:val="24"/>
          <w:u w:val="single"/>
        </w:rPr>
        <w:t>水</w:t>
      </w:r>
      <w:r>
        <w:rPr>
          <w:b/>
          <w:bCs/>
          <w:color w:val="auto"/>
          <w:kern w:val="0"/>
          <w:sz w:val="24"/>
          <w:u w:val="single"/>
        </w:rPr>
        <w:t>分离。上清液经PH 回调后进</w:t>
      </w:r>
      <w:r>
        <w:rPr>
          <w:rFonts w:hint="eastAsia"/>
          <w:b/>
          <w:bCs/>
          <w:color w:val="auto"/>
          <w:kern w:val="0"/>
          <w:sz w:val="24"/>
          <w:u w:val="single"/>
        </w:rPr>
        <w:t>入</w:t>
      </w:r>
      <w:r>
        <w:rPr>
          <w:b/>
          <w:bCs/>
          <w:color w:val="auto"/>
          <w:kern w:val="0"/>
          <w:sz w:val="24"/>
          <w:u w:val="single"/>
        </w:rPr>
        <w:t>多介质过滤系统，多介质过滤出</w:t>
      </w:r>
      <w:r>
        <w:rPr>
          <w:rFonts w:hint="eastAsia"/>
          <w:b/>
          <w:bCs/>
          <w:color w:val="auto"/>
          <w:kern w:val="0"/>
          <w:sz w:val="24"/>
          <w:u w:val="single"/>
        </w:rPr>
        <w:t>水</w:t>
      </w:r>
      <w:r>
        <w:rPr>
          <w:b/>
          <w:bCs/>
          <w:color w:val="auto"/>
          <w:kern w:val="0"/>
          <w:sz w:val="24"/>
          <w:u w:val="single"/>
        </w:rPr>
        <w:t>进</w:t>
      </w:r>
      <w:r>
        <w:rPr>
          <w:rFonts w:hint="eastAsia"/>
          <w:b/>
          <w:bCs/>
          <w:color w:val="auto"/>
          <w:kern w:val="0"/>
          <w:sz w:val="24"/>
          <w:u w:val="single"/>
        </w:rPr>
        <w:t>入生</w:t>
      </w:r>
      <w:r>
        <w:rPr>
          <w:b/>
          <w:bCs/>
          <w:color w:val="auto"/>
          <w:kern w:val="0"/>
          <w:sz w:val="24"/>
          <w:u w:val="single"/>
        </w:rPr>
        <w:t>化调节池进</w:t>
      </w:r>
      <w:r>
        <w:rPr>
          <w:rFonts w:hint="eastAsia"/>
          <w:b/>
          <w:bCs/>
          <w:color w:val="auto"/>
          <w:kern w:val="0"/>
          <w:sz w:val="24"/>
          <w:u w:val="single"/>
        </w:rPr>
        <w:t>行</w:t>
      </w:r>
      <w:r>
        <w:rPr>
          <w:b/>
          <w:bCs/>
          <w:color w:val="auto"/>
          <w:kern w:val="0"/>
          <w:sz w:val="24"/>
          <w:u w:val="single"/>
        </w:rPr>
        <w:t>零排放处理。沉淀池底部污泥排</w:t>
      </w:r>
      <w:r>
        <w:rPr>
          <w:rFonts w:hint="eastAsia"/>
          <w:b/>
          <w:bCs/>
          <w:color w:val="auto"/>
          <w:kern w:val="0"/>
          <w:sz w:val="24"/>
          <w:u w:val="single"/>
        </w:rPr>
        <w:t>入</w:t>
      </w:r>
      <w:r>
        <w:rPr>
          <w:b/>
          <w:bCs/>
          <w:color w:val="auto"/>
          <w:kern w:val="0"/>
          <w:sz w:val="24"/>
          <w:u w:val="single"/>
        </w:rPr>
        <w:t>铬污泥池，通过污泥专</w:t>
      </w:r>
      <w:r>
        <w:rPr>
          <w:rFonts w:hint="eastAsia"/>
          <w:b/>
          <w:bCs/>
          <w:color w:val="auto"/>
          <w:kern w:val="0"/>
          <w:sz w:val="24"/>
          <w:u w:val="single"/>
        </w:rPr>
        <w:t>用</w:t>
      </w:r>
      <w:r>
        <w:rPr>
          <w:b/>
          <w:bCs/>
          <w:color w:val="auto"/>
          <w:kern w:val="0"/>
          <w:sz w:val="24"/>
          <w:u w:val="single"/>
        </w:rPr>
        <w:t>泵打</w:t>
      </w:r>
      <w:r>
        <w:rPr>
          <w:rFonts w:hint="eastAsia"/>
          <w:b/>
          <w:bCs/>
          <w:color w:val="auto"/>
          <w:kern w:val="0"/>
          <w:sz w:val="24"/>
          <w:u w:val="single"/>
        </w:rPr>
        <w:t>入</w:t>
      </w:r>
      <w:r>
        <w:rPr>
          <w:b/>
          <w:bCs/>
          <w:color w:val="auto"/>
          <w:kern w:val="0"/>
          <w:sz w:val="24"/>
          <w:u w:val="single"/>
        </w:rPr>
        <w:t>压滤机内压榨，滤液返回到调节池内，泥饼交有资质的单位处置。</w:t>
      </w:r>
    </w:p>
    <w:p>
      <w:pPr>
        <w:pStyle w:val="32"/>
        <w:adjustRightInd w:val="0"/>
        <w:snapToGrid w:val="0"/>
        <w:spacing w:after="0" w:line="360" w:lineRule="auto"/>
        <w:rPr>
          <w:rFonts w:ascii="宋体" w:hAnsi="宋体"/>
          <w:b/>
          <w:bCs/>
          <w:color w:val="auto"/>
          <w:kern w:val="21"/>
          <w:sz w:val="24"/>
          <w:u w:val="single"/>
          <w:lang w:val="en-US"/>
        </w:rPr>
      </w:pPr>
      <w:r>
        <w:rPr>
          <w:rFonts w:hint="eastAsia" w:ascii="宋体" w:hAnsi="宋体"/>
          <w:b/>
          <w:bCs/>
          <w:color w:val="auto"/>
          <w:kern w:val="21"/>
          <w:sz w:val="24"/>
          <w:u w:val="single"/>
          <w:lang w:val="en-US"/>
        </w:rPr>
        <w:t>（2）含铬废水预处理主要设备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含铬废水预处理系统主要设备见下表。</w:t>
      </w:r>
    </w:p>
    <w:p>
      <w:pPr>
        <w:pStyle w:val="32"/>
        <w:adjustRightInd w:val="0"/>
        <w:snapToGrid w:val="0"/>
        <w:spacing w:after="0"/>
        <w:jc w:val="center"/>
        <w:rPr>
          <w:rFonts w:eastAsia="黑体"/>
          <w:b/>
          <w:bCs/>
          <w:color w:val="auto"/>
          <w:kern w:val="21"/>
          <w:sz w:val="24"/>
          <w:u w:val="single"/>
        </w:rPr>
      </w:pPr>
      <w:r>
        <w:rPr>
          <w:rFonts w:hint="eastAsia" w:eastAsia="黑体"/>
          <w:b/>
          <w:bCs/>
          <w:color w:val="auto"/>
          <w:kern w:val="21"/>
          <w:sz w:val="24"/>
          <w:u w:val="single"/>
          <w:lang w:val="en-US"/>
        </w:rPr>
        <w:t>表7.2-5</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含铬废水预处理系统主要设备一览表</w:t>
      </w:r>
    </w:p>
    <w:tbl>
      <w:tblPr>
        <w:tblStyle w:val="83"/>
        <w:tblW w:w="4998" w:type="pct"/>
        <w:tblInd w:w="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5"/>
        <w:gridCol w:w="880"/>
        <w:gridCol w:w="1309"/>
        <w:gridCol w:w="2074"/>
        <w:gridCol w:w="1620"/>
        <w:gridCol w:w="526"/>
        <w:gridCol w:w="496"/>
        <w:gridCol w:w="92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spacing w:val="-2"/>
                <w:u w:val="single"/>
              </w:rPr>
              <w:t>序</w:t>
            </w:r>
            <w:r>
              <w:rPr>
                <w:b/>
                <w:bCs/>
                <w:color w:val="auto"/>
                <w:spacing w:val="-1"/>
                <w:u w:val="single"/>
              </w:rPr>
              <w:t>号</w:t>
            </w:r>
          </w:p>
        </w:tc>
        <w:tc>
          <w:tcPr>
            <w:tcW w:w="529" w:type="pct"/>
            <w:shd w:val="clear" w:color="auto" w:fill="auto"/>
            <w:vAlign w:val="center"/>
          </w:tcPr>
          <w:p>
            <w:pPr>
              <w:jc w:val="center"/>
              <w:rPr>
                <w:b/>
                <w:bCs/>
                <w:color w:val="auto"/>
                <w:u w:val="single"/>
              </w:rPr>
            </w:pPr>
            <w:r>
              <w:rPr>
                <w:b/>
                <w:bCs/>
                <w:color w:val="auto"/>
                <w:spacing w:val="-4"/>
                <w:u w:val="single"/>
              </w:rPr>
              <w:t>系</w:t>
            </w:r>
            <w:r>
              <w:rPr>
                <w:b/>
                <w:bCs/>
                <w:color w:val="auto"/>
                <w:spacing w:val="-3"/>
                <w:u w:val="single"/>
              </w:rPr>
              <w:t>统</w:t>
            </w:r>
          </w:p>
        </w:tc>
        <w:tc>
          <w:tcPr>
            <w:tcW w:w="787" w:type="pct"/>
            <w:shd w:val="clear" w:color="auto" w:fill="auto"/>
            <w:vAlign w:val="center"/>
          </w:tcPr>
          <w:p>
            <w:pPr>
              <w:jc w:val="center"/>
              <w:rPr>
                <w:b/>
                <w:bCs/>
                <w:color w:val="auto"/>
                <w:u w:val="single"/>
              </w:rPr>
            </w:pPr>
            <w:r>
              <w:rPr>
                <w:b/>
                <w:bCs/>
                <w:color w:val="auto"/>
                <w:spacing w:val="-4"/>
                <w:u w:val="single"/>
              </w:rPr>
              <w:t>名</w:t>
            </w:r>
            <w:r>
              <w:rPr>
                <w:b/>
                <w:bCs/>
                <w:color w:val="auto"/>
                <w:spacing w:val="-3"/>
                <w:u w:val="single"/>
              </w:rPr>
              <w:t>称</w:t>
            </w:r>
          </w:p>
        </w:tc>
        <w:tc>
          <w:tcPr>
            <w:tcW w:w="1247" w:type="pct"/>
            <w:shd w:val="clear" w:color="auto" w:fill="auto"/>
            <w:vAlign w:val="center"/>
          </w:tcPr>
          <w:p>
            <w:pPr>
              <w:jc w:val="center"/>
              <w:rPr>
                <w:b/>
                <w:bCs/>
                <w:color w:val="auto"/>
                <w:u w:val="single"/>
              </w:rPr>
            </w:pPr>
            <w:r>
              <w:rPr>
                <w:b/>
                <w:bCs/>
                <w:color w:val="auto"/>
                <w:spacing w:val="-1"/>
                <w:u w:val="single"/>
              </w:rPr>
              <w:t>规格型号</w:t>
            </w:r>
          </w:p>
        </w:tc>
        <w:tc>
          <w:tcPr>
            <w:tcW w:w="974" w:type="pct"/>
            <w:shd w:val="clear" w:color="auto" w:fill="auto"/>
            <w:vAlign w:val="center"/>
          </w:tcPr>
          <w:p>
            <w:pPr>
              <w:jc w:val="center"/>
              <w:rPr>
                <w:b/>
                <w:bCs/>
                <w:color w:val="auto"/>
                <w:u w:val="single"/>
              </w:rPr>
            </w:pPr>
            <w:r>
              <w:rPr>
                <w:rFonts w:eastAsia="Meiryo"/>
                <w:b/>
                <w:bCs/>
                <w:color w:val="auto"/>
                <w:spacing w:val="-6"/>
                <w:u w:val="single"/>
              </w:rPr>
              <w:t>⼚</w:t>
            </w:r>
            <w:r>
              <w:rPr>
                <w:b/>
                <w:bCs/>
                <w:color w:val="auto"/>
                <w:spacing w:val="-4"/>
                <w:u w:val="single"/>
              </w:rPr>
              <w:t>商</w:t>
            </w:r>
          </w:p>
        </w:tc>
        <w:tc>
          <w:tcPr>
            <w:tcW w:w="316" w:type="pct"/>
            <w:shd w:val="clear" w:color="auto" w:fill="auto"/>
            <w:vAlign w:val="center"/>
          </w:tcPr>
          <w:p>
            <w:pPr>
              <w:jc w:val="center"/>
              <w:rPr>
                <w:b/>
                <w:bCs/>
                <w:color w:val="auto"/>
                <w:u w:val="single"/>
              </w:rPr>
            </w:pPr>
            <w:r>
              <w:rPr>
                <w:b/>
                <w:bCs/>
                <w:color w:val="auto"/>
                <w:spacing w:val="-3"/>
                <w:u w:val="single"/>
              </w:rPr>
              <w:t>单位</w:t>
            </w:r>
          </w:p>
        </w:tc>
        <w:tc>
          <w:tcPr>
            <w:tcW w:w="298" w:type="pct"/>
            <w:shd w:val="clear" w:color="auto" w:fill="auto"/>
            <w:vAlign w:val="center"/>
          </w:tcPr>
          <w:p>
            <w:pPr>
              <w:jc w:val="center"/>
              <w:rPr>
                <w:b/>
                <w:bCs/>
                <w:color w:val="auto"/>
                <w:u w:val="single"/>
              </w:rPr>
            </w:pPr>
            <w:r>
              <w:rPr>
                <w:b/>
                <w:bCs/>
                <w:color w:val="auto"/>
                <w:spacing w:val="-3"/>
                <w:u w:val="single"/>
              </w:rPr>
              <w:t>数</w:t>
            </w:r>
            <w:r>
              <w:rPr>
                <w:b/>
                <w:bCs/>
                <w:color w:val="auto"/>
                <w:spacing w:val="-2"/>
                <w:u w:val="single"/>
              </w:rPr>
              <w:t>量</w:t>
            </w:r>
          </w:p>
        </w:tc>
        <w:tc>
          <w:tcPr>
            <w:tcW w:w="557" w:type="pct"/>
            <w:shd w:val="clear" w:color="auto" w:fill="auto"/>
            <w:vAlign w:val="center"/>
          </w:tcPr>
          <w:p>
            <w:pPr>
              <w:jc w:val="center"/>
              <w:rPr>
                <w:b/>
                <w:bCs/>
                <w:color w:val="auto"/>
                <w:u w:val="single"/>
              </w:rPr>
            </w:pPr>
            <w:r>
              <w:rPr>
                <w:b/>
                <w:bCs/>
                <w:color w:val="auto"/>
                <w:spacing w:val="-3"/>
                <w:u w:val="single"/>
              </w:rPr>
              <w:t>备</w:t>
            </w:r>
            <w:r>
              <w:rPr>
                <w:b/>
                <w:bCs/>
                <w:color w:val="auto"/>
                <w:spacing w:val="-2"/>
                <w:u w:val="single"/>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restart"/>
            <w:tcBorders>
              <w:bottom w:val="nil"/>
            </w:tcBorders>
            <w:shd w:val="clear" w:color="auto" w:fill="auto"/>
            <w:vAlign w:val="center"/>
          </w:tcPr>
          <w:p>
            <w:pPr>
              <w:jc w:val="center"/>
              <w:rPr>
                <w:b/>
                <w:bCs/>
                <w:color w:val="auto"/>
                <w:u w:val="single"/>
              </w:rPr>
            </w:pPr>
            <w:r>
              <w:rPr>
                <w:b/>
                <w:bCs/>
                <w:color w:val="auto"/>
                <w:u w:val="single"/>
              </w:rPr>
              <w:t>1</w:t>
            </w:r>
          </w:p>
        </w:tc>
        <w:tc>
          <w:tcPr>
            <w:tcW w:w="529" w:type="pct"/>
            <w:vMerge w:val="restart"/>
            <w:tcBorders>
              <w:bottom w:val="nil"/>
            </w:tcBorders>
            <w:shd w:val="clear" w:color="auto" w:fill="auto"/>
            <w:vAlign w:val="center"/>
          </w:tcPr>
          <w:p>
            <w:pPr>
              <w:jc w:val="center"/>
              <w:rPr>
                <w:b/>
                <w:bCs/>
                <w:color w:val="auto"/>
                <w:u w:val="single"/>
              </w:rPr>
            </w:pPr>
            <w:r>
              <w:rPr>
                <w:b/>
                <w:bCs/>
                <w:color w:val="auto"/>
                <w:spacing w:val="-1"/>
                <w:u w:val="single"/>
              </w:rPr>
              <w:t>铬废</w:t>
            </w:r>
            <w:r>
              <w:rPr>
                <w:rFonts w:hint="eastAsia"/>
                <w:b/>
                <w:bCs/>
                <w:color w:val="auto"/>
                <w:spacing w:val="-1"/>
                <w:u w:val="single"/>
              </w:rPr>
              <w:t>水</w:t>
            </w:r>
            <w:r>
              <w:rPr>
                <w:b/>
                <w:bCs/>
                <w:color w:val="auto"/>
                <w:spacing w:val="-1"/>
                <w:u w:val="single"/>
              </w:rPr>
              <w:t>收集</w:t>
            </w:r>
            <w:r>
              <w:rPr>
                <w:b/>
                <w:bCs/>
                <w:color w:val="auto"/>
                <w:spacing w:val="-4"/>
                <w:u w:val="single"/>
              </w:rPr>
              <w:t>系</w:t>
            </w:r>
            <w:r>
              <w:rPr>
                <w:b/>
                <w:bCs/>
                <w:color w:val="auto"/>
                <w:spacing w:val="-3"/>
                <w:u w:val="single"/>
              </w:rPr>
              <w:t>统</w:t>
            </w:r>
          </w:p>
        </w:tc>
        <w:tc>
          <w:tcPr>
            <w:tcW w:w="787" w:type="pct"/>
            <w:shd w:val="clear" w:color="auto" w:fill="auto"/>
            <w:vAlign w:val="center"/>
          </w:tcPr>
          <w:p>
            <w:pPr>
              <w:jc w:val="center"/>
              <w:rPr>
                <w:b/>
                <w:bCs/>
                <w:color w:val="auto"/>
                <w:u w:val="single"/>
              </w:rPr>
            </w:pPr>
            <w:r>
              <w:rPr>
                <w:b/>
                <w:bCs/>
                <w:color w:val="auto"/>
                <w:spacing w:val="-1"/>
                <w:u w:val="single"/>
              </w:rPr>
              <w:t>铬废</w:t>
            </w:r>
            <w:r>
              <w:rPr>
                <w:rFonts w:hint="eastAsia"/>
                <w:b/>
                <w:bCs/>
                <w:color w:val="auto"/>
                <w:spacing w:val="-1"/>
                <w:u w:val="single"/>
              </w:rPr>
              <w:t>水</w:t>
            </w:r>
            <w:r>
              <w:rPr>
                <w:b/>
                <w:bCs/>
                <w:color w:val="auto"/>
                <w:spacing w:val="-1"/>
                <w:u w:val="single"/>
              </w:rPr>
              <w:t>收</w:t>
            </w:r>
            <w:r>
              <w:rPr>
                <w:b/>
                <w:bCs/>
                <w:color w:val="auto"/>
                <w:u w:val="single"/>
              </w:rPr>
              <w:t>集桶</w:t>
            </w:r>
          </w:p>
        </w:tc>
        <w:tc>
          <w:tcPr>
            <w:tcW w:w="1247" w:type="pct"/>
            <w:shd w:val="clear" w:color="auto" w:fill="auto"/>
            <w:vAlign w:val="center"/>
          </w:tcPr>
          <w:p>
            <w:pPr>
              <w:jc w:val="center"/>
              <w:rPr>
                <w:b/>
                <w:bCs/>
                <w:color w:val="auto"/>
                <w:u w:val="single"/>
              </w:rPr>
            </w:pPr>
            <w:r>
              <w:rPr>
                <w:b/>
                <w:bCs/>
                <w:color w:val="auto"/>
                <w:spacing w:val="-15"/>
                <w:u w:val="single"/>
              </w:rPr>
              <w:t>30m</w:t>
            </w:r>
            <w:r>
              <w:rPr>
                <w:b/>
                <w:bCs/>
                <w:color w:val="auto"/>
                <w:spacing w:val="-15"/>
                <w:u w:val="single"/>
                <w:vertAlign w:val="superscript"/>
              </w:rPr>
              <w:t>3</w:t>
            </w:r>
            <w:r>
              <w:rPr>
                <w:b/>
                <w:bCs/>
                <w:color w:val="auto"/>
                <w:spacing w:val="-11"/>
                <w:u w:val="single"/>
              </w:rPr>
              <w:t>，PPH/PE 材质</w:t>
            </w:r>
          </w:p>
        </w:tc>
        <w:tc>
          <w:tcPr>
            <w:tcW w:w="974" w:type="pct"/>
            <w:shd w:val="clear" w:color="auto" w:fill="auto"/>
            <w:vAlign w:val="center"/>
          </w:tcPr>
          <w:p>
            <w:pPr>
              <w:jc w:val="center"/>
              <w:rPr>
                <w:b/>
                <w:bCs/>
                <w:color w:val="auto"/>
                <w:u w:val="single"/>
              </w:rPr>
            </w:pPr>
            <w:r>
              <w:rPr>
                <w:b/>
                <w:bCs/>
                <w:color w:val="auto"/>
                <w:spacing w:val="-2"/>
                <w:u w:val="single"/>
              </w:rPr>
              <w:t>逸</w:t>
            </w:r>
            <w:r>
              <w:rPr>
                <w:rFonts w:eastAsia="Meiryo"/>
                <w:b/>
                <w:bCs/>
                <w:color w:val="auto"/>
                <w:spacing w:val="-2"/>
                <w:u w:val="single"/>
              </w:rPr>
              <w:t>⾠</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2"/>
                <w:u w:val="single"/>
              </w:rPr>
              <w:t>原</w:t>
            </w:r>
            <w:r>
              <w:rPr>
                <w:rFonts w:hint="eastAsia"/>
                <w:b/>
                <w:bCs/>
                <w:color w:val="auto"/>
                <w:spacing w:val="-2"/>
                <w:u w:val="single"/>
              </w:rPr>
              <w:t>水</w:t>
            </w:r>
            <w:r>
              <w:rPr>
                <w:b/>
                <w:bCs/>
                <w:color w:val="auto"/>
                <w:spacing w:val="-1"/>
                <w:u w:val="single"/>
              </w:rPr>
              <w:t>泵</w:t>
            </w:r>
          </w:p>
        </w:tc>
        <w:tc>
          <w:tcPr>
            <w:tcW w:w="1247" w:type="pct"/>
            <w:shd w:val="clear" w:color="auto" w:fill="auto"/>
            <w:vAlign w:val="center"/>
          </w:tcPr>
          <w:p>
            <w:pPr>
              <w:jc w:val="center"/>
              <w:rPr>
                <w:b/>
                <w:bCs/>
                <w:color w:val="auto"/>
                <w:u w:val="single"/>
              </w:rPr>
            </w:pPr>
            <w:r>
              <w:rPr>
                <w:b/>
                <w:bCs/>
                <w:color w:val="auto"/>
                <w:spacing w:val="-12"/>
                <w:u w:val="single"/>
              </w:rPr>
              <w:t>Q=5</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2"/>
                <w:u w:val="single"/>
              </w:rPr>
              <w:t>，H=15m，FRP</w:t>
            </w:r>
            <w:r>
              <w:rPr>
                <w:b/>
                <w:bCs/>
                <w:color w:val="auto"/>
                <w:spacing w:val="-10"/>
                <w:u w:val="single"/>
              </w:rPr>
              <w:t>P</w:t>
            </w:r>
            <w:r>
              <w:rPr>
                <w:b/>
                <w:bCs/>
                <w:color w:val="auto"/>
                <w:spacing w:val="-12"/>
                <w:u w:val="single"/>
              </w:rPr>
              <w:t xml:space="preserve"> 材质</w:t>
            </w:r>
          </w:p>
        </w:tc>
        <w:tc>
          <w:tcPr>
            <w:tcW w:w="974" w:type="pct"/>
            <w:shd w:val="clear" w:color="auto" w:fill="auto"/>
            <w:vAlign w:val="center"/>
          </w:tcPr>
          <w:p>
            <w:pPr>
              <w:jc w:val="center"/>
              <w:rPr>
                <w:b/>
                <w:bCs/>
                <w:color w:val="auto"/>
                <w:u w:val="single"/>
              </w:rPr>
            </w:pPr>
            <w:r>
              <w:rPr>
                <w:b/>
                <w:bCs/>
                <w:color w:val="auto"/>
                <w:spacing w:val="-6"/>
                <w:u w:val="single"/>
              </w:rPr>
              <w:t>美</w:t>
            </w:r>
            <w:r>
              <w:rPr>
                <w:b/>
                <w:bCs/>
                <w:color w:val="auto"/>
                <w:spacing w:val="-3"/>
                <w:u w:val="single"/>
              </w:rPr>
              <w:t>宝/国宝</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r>
              <w:rPr>
                <w:rFonts w:hint="eastAsia"/>
                <w:b/>
                <w:bCs/>
                <w:color w:val="auto"/>
                <w:spacing w:val="-4"/>
                <w:u w:val="single"/>
              </w:rPr>
              <w:t>1用1</w:t>
            </w:r>
            <w:r>
              <w:rPr>
                <w:b/>
                <w:bCs/>
                <w:color w:val="auto"/>
                <w:spacing w:val="-3"/>
                <w:u w:val="single"/>
              </w:rPr>
              <w:t>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2"/>
                <w:u w:val="single"/>
              </w:rPr>
              <w:t>进</w:t>
            </w:r>
            <w:r>
              <w:rPr>
                <w:rFonts w:hint="eastAsia"/>
                <w:b/>
                <w:bCs/>
                <w:color w:val="auto"/>
                <w:spacing w:val="-2"/>
                <w:u w:val="single"/>
              </w:rPr>
              <w:t>水</w:t>
            </w:r>
            <w:r>
              <w:rPr>
                <w:b/>
                <w:bCs/>
                <w:color w:val="auto"/>
                <w:spacing w:val="-1"/>
                <w:u w:val="single"/>
              </w:rPr>
              <w:t>辅助系统</w:t>
            </w:r>
          </w:p>
        </w:tc>
        <w:tc>
          <w:tcPr>
            <w:tcW w:w="1247"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974"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5"/>
                <w:u w:val="single"/>
              </w:rPr>
              <w:t>电磁流量计</w:t>
            </w:r>
          </w:p>
        </w:tc>
        <w:tc>
          <w:tcPr>
            <w:tcW w:w="1247" w:type="pct"/>
            <w:shd w:val="clear" w:color="auto" w:fill="auto"/>
            <w:vAlign w:val="center"/>
          </w:tcPr>
          <w:p>
            <w:pPr>
              <w:jc w:val="center"/>
              <w:rPr>
                <w:b/>
                <w:bCs/>
                <w:color w:val="auto"/>
                <w:u w:val="single"/>
              </w:rPr>
            </w:pPr>
            <w:r>
              <w:rPr>
                <w:b/>
                <w:bCs/>
                <w:color w:val="auto"/>
                <w:spacing w:val="-15"/>
                <w:u w:val="single"/>
              </w:rPr>
              <w:t>4</w:t>
            </w:r>
            <w:r>
              <w:rPr>
                <w:rFonts w:hint="eastAsia"/>
                <w:b/>
                <w:bCs/>
                <w:color w:val="auto"/>
                <w:spacing w:val="-15"/>
                <w:u w:val="single"/>
                <w:lang w:eastAsia="zh-CN"/>
              </w:rPr>
              <w:t>～</w:t>
            </w:r>
            <w:r>
              <w:rPr>
                <w:b/>
                <w:bCs/>
                <w:color w:val="auto"/>
                <w:spacing w:val="-13"/>
                <w:u w:val="single"/>
              </w:rPr>
              <w:t>20mA</w:t>
            </w:r>
          </w:p>
        </w:tc>
        <w:tc>
          <w:tcPr>
            <w:tcW w:w="974" w:type="pct"/>
            <w:shd w:val="clear" w:color="auto" w:fill="auto"/>
            <w:vAlign w:val="center"/>
          </w:tcPr>
          <w:p>
            <w:pPr>
              <w:jc w:val="center"/>
              <w:rPr>
                <w:b/>
                <w:bCs/>
                <w:color w:val="auto"/>
                <w:u w:val="single"/>
              </w:rPr>
            </w:pPr>
            <w:r>
              <w:rPr>
                <w:b/>
                <w:bCs/>
                <w:color w:val="auto"/>
                <w:spacing w:val="-6"/>
                <w:u w:val="single"/>
              </w:rPr>
              <w:t>创</w:t>
            </w:r>
            <w:r>
              <w:rPr>
                <w:b/>
                <w:bCs/>
                <w:color w:val="auto"/>
                <w:spacing w:val="-4"/>
                <w:u w:val="single"/>
              </w:rPr>
              <w:t>新</w:t>
            </w:r>
            <w:r>
              <w:rPr>
                <w:b/>
                <w:bCs/>
                <w:color w:val="auto"/>
                <w:spacing w:val="-3"/>
                <w:u w:val="single"/>
              </w:rPr>
              <w:t>/美仪</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3"/>
                <w:u w:val="single"/>
              </w:rPr>
              <w:t>液</w:t>
            </w:r>
            <w:r>
              <w:rPr>
                <w:b/>
                <w:bCs/>
                <w:color w:val="auto"/>
                <w:spacing w:val="-2"/>
                <w:u w:val="single"/>
              </w:rPr>
              <w:t>位计</w:t>
            </w:r>
          </w:p>
        </w:tc>
        <w:tc>
          <w:tcPr>
            <w:tcW w:w="1247" w:type="pct"/>
            <w:shd w:val="clear" w:color="auto" w:fill="auto"/>
            <w:vAlign w:val="center"/>
          </w:tcPr>
          <w:p>
            <w:pPr>
              <w:jc w:val="center"/>
              <w:rPr>
                <w:b/>
                <w:bCs/>
                <w:color w:val="auto"/>
                <w:u w:val="single"/>
              </w:rPr>
            </w:pPr>
            <w:r>
              <w:rPr>
                <w:b/>
                <w:bCs/>
                <w:color w:val="auto"/>
                <w:spacing w:val="-12"/>
                <w:u w:val="single"/>
              </w:rPr>
              <w:t>4</w:t>
            </w:r>
            <w:r>
              <w:rPr>
                <w:b/>
                <w:bCs/>
                <w:color w:val="auto"/>
                <w:spacing w:val="-8"/>
                <w:u w:val="single"/>
              </w:rPr>
              <w:t>-20mA</w:t>
            </w:r>
          </w:p>
        </w:tc>
        <w:tc>
          <w:tcPr>
            <w:tcW w:w="974" w:type="pct"/>
            <w:shd w:val="clear" w:color="auto" w:fill="auto"/>
            <w:vAlign w:val="center"/>
          </w:tcPr>
          <w:p>
            <w:pPr>
              <w:jc w:val="center"/>
              <w:rPr>
                <w:b/>
                <w:bCs/>
                <w:color w:val="auto"/>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2" w:type="pct"/>
            <w:vMerge w:val="continue"/>
            <w:tcBorders>
              <w:top w:val="nil"/>
            </w:tcBorders>
            <w:shd w:val="clear" w:color="auto" w:fill="auto"/>
            <w:vAlign w:val="center"/>
          </w:tcPr>
          <w:p>
            <w:pPr>
              <w:jc w:val="center"/>
              <w:rPr>
                <w:b/>
                <w:bCs/>
                <w:color w:val="auto"/>
                <w:u w:val="single"/>
              </w:rPr>
            </w:pPr>
          </w:p>
        </w:tc>
        <w:tc>
          <w:tcPr>
            <w:tcW w:w="529" w:type="pct"/>
            <w:vMerge w:val="continue"/>
            <w:tcBorders>
              <w:top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2"/>
                <w:u w:val="single"/>
              </w:rPr>
              <w:t>流量计</w:t>
            </w:r>
          </w:p>
        </w:tc>
        <w:tc>
          <w:tcPr>
            <w:tcW w:w="1247" w:type="pct"/>
            <w:shd w:val="clear" w:color="auto" w:fill="auto"/>
            <w:vAlign w:val="center"/>
          </w:tcPr>
          <w:p>
            <w:pPr>
              <w:jc w:val="center"/>
              <w:rPr>
                <w:b/>
                <w:bCs/>
                <w:color w:val="auto"/>
                <w:u w:val="single"/>
              </w:rPr>
            </w:pPr>
            <w:r>
              <w:rPr>
                <w:b/>
                <w:bCs/>
                <w:color w:val="auto"/>
                <w:spacing w:val="-8"/>
                <w:u w:val="single"/>
              </w:rPr>
              <w:t>机</w:t>
            </w:r>
            <w:r>
              <w:rPr>
                <w:b/>
                <w:bCs/>
                <w:color w:val="auto"/>
                <w:spacing w:val="-5"/>
                <w:u w:val="single"/>
              </w:rPr>
              <w:t>械</w:t>
            </w:r>
            <w:r>
              <w:rPr>
                <w:b/>
                <w:bCs/>
                <w:color w:val="auto"/>
                <w:spacing w:val="-4"/>
                <w:u w:val="single"/>
              </w:rPr>
              <w:t>式、PVC</w:t>
            </w:r>
          </w:p>
        </w:tc>
        <w:tc>
          <w:tcPr>
            <w:tcW w:w="974" w:type="pct"/>
            <w:shd w:val="clear" w:color="auto" w:fill="auto"/>
            <w:vAlign w:val="center"/>
          </w:tcPr>
          <w:p>
            <w:pPr>
              <w:jc w:val="center"/>
              <w:rPr>
                <w:b/>
                <w:bCs/>
                <w:color w:val="auto"/>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u w:val="single"/>
              </w:rPr>
            </w:pPr>
            <w:r>
              <w:rPr>
                <w:b/>
                <w:bCs/>
                <w:color w:val="auto"/>
                <w:u w:val="single"/>
              </w:rPr>
              <w:t>2</w:t>
            </w:r>
          </w:p>
        </w:tc>
        <w:tc>
          <w:tcPr>
            <w:tcW w:w="529" w:type="pct"/>
            <w:vMerge w:val="restart"/>
            <w:shd w:val="clear" w:color="auto" w:fill="auto"/>
            <w:vAlign w:val="center"/>
          </w:tcPr>
          <w:p>
            <w:pPr>
              <w:jc w:val="center"/>
              <w:rPr>
                <w:b/>
                <w:bCs/>
                <w:color w:val="auto"/>
                <w:u w:val="single"/>
              </w:rPr>
            </w:pPr>
            <w:r>
              <w:rPr>
                <w:b/>
                <w:bCs/>
                <w:color w:val="auto"/>
                <w:spacing w:val="-2"/>
                <w:u w:val="single"/>
              </w:rPr>
              <w:t>还原反</w:t>
            </w:r>
            <w:r>
              <w:rPr>
                <w:b/>
                <w:bCs/>
                <w:color w:val="auto"/>
                <w:spacing w:val="-1"/>
                <w:u w:val="single"/>
              </w:rPr>
              <w:t>应沉</w:t>
            </w:r>
            <w:r>
              <w:rPr>
                <w:b/>
                <w:bCs/>
                <w:color w:val="auto"/>
                <w:spacing w:val="-2"/>
                <w:u w:val="single"/>
              </w:rPr>
              <w:t>淀</w:t>
            </w:r>
            <w:r>
              <w:rPr>
                <w:rFonts w:hint="eastAsia"/>
                <w:b/>
                <w:bCs/>
                <w:color w:val="auto"/>
                <w:spacing w:val="-2"/>
                <w:u w:val="single"/>
              </w:rPr>
              <w:t>一</w:t>
            </w:r>
            <w:r>
              <w:rPr>
                <w:b/>
                <w:bCs/>
                <w:color w:val="auto"/>
                <w:spacing w:val="-1"/>
                <w:u w:val="single"/>
              </w:rPr>
              <w:t>体槽</w:t>
            </w:r>
          </w:p>
        </w:tc>
        <w:tc>
          <w:tcPr>
            <w:tcW w:w="787" w:type="pct"/>
            <w:shd w:val="clear" w:color="auto" w:fill="auto"/>
            <w:vAlign w:val="center"/>
          </w:tcPr>
          <w:p>
            <w:pPr>
              <w:jc w:val="center"/>
              <w:rPr>
                <w:b/>
                <w:bCs/>
                <w:color w:val="auto"/>
                <w:u w:val="single"/>
              </w:rPr>
            </w:pPr>
            <w:r>
              <w:rPr>
                <w:b/>
                <w:bCs/>
                <w:color w:val="auto"/>
                <w:spacing w:val="-1"/>
                <w:u w:val="single"/>
              </w:rPr>
              <w:t>还原反应沉淀槽</w:t>
            </w:r>
          </w:p>
        </w:tc>
        <w:tc>
          <w:tcPr>
            <w:tcW w:w="1247" w:type="pct"/>
            <w:shd w:val="clear" w:color="auto" w:fill="auto"/>
            <w:vAlign w:val="center"/>
          </w:tcPr>
          <w:p>
            <w:pPr>
              <w:jc w:val="center"/>
              <w:rPr>
                <w:b/>
                <w:bCs/>
                <w:color w:val="auto"/>
                <w:u w:val="single"/>
              </w:rPr>
            </w:pPr>
            <w:r>
              <w:rPr>
                <w:b/>
                <w:bCs/>
                <w:color w:val="auto"/>
                <w:spacing w:val="-9"/>
                <w:u w:val="single"/>
              </w:rPr>
              <w:t>PP</w:t>
            </w:r>
            <w:r>
              <w:rPr>
                <w:b/>
                <w:bCs/>
                <w:color w:val="auto"/>
                <w:spacing w:val="-11"/>
                <w:u w:val="single"/>
              </w:rPr>
              <w:t xml:space="preserve"> </w:t>
            </w:r>
            <w:r>
              <w:rPr>
                <w:b/>
                <w:bCs/>
                <w:color w:val="auto"/>
                <w:spacing w:val="-9"/>
                <w:u w:val="single"/>
              </w:rPr>
              <w:t>或 Q235 防腐</w:t>
            </w:r>
          </w:p>
        </w:tc>
        <w:tc>
          <w:tcPr>
            <w:tcW w:w="974"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个</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加药泵</w:t>
            </w:r>
          </w:p>
        </w:tc>
        <w:tc>
          <w:tcPr>
            <w:tcW w:w="1247" w:type="pct"/>
            <w:shd w:val="clear" w:color="auto" w:fill="auto"/>
            <w:vAlign w:val="center"/>
          </w:tcPr>
          <w:p>
            <w:pPr>
              <w:jc w:val="center"/>
              <w:rPr>
                <w:b/>
                <w:bCs/>
                <w:color w:val="auto"/>
                <w:spacing w:val="-9"/>
                <w:u w:val="single"/>
              </w:rPr>
            </w:pPr>
            <w:r>
              <w:rPr>
                <w:b/>
                <w:bCs/>
                <w:color w:val="auto"/>
                <w:spacing w:val="-14"/>
                <w:u w:val="single"/>
              </w:rPr>
              <w:t>碱</w:t>
            </w:r>
            <w:r>
              <w:rPr>
                <w:b/>
                <w:bCs/>
                <w:color w:val="auto"/>
                <w:spacing w:val="-8"/>
                <w:u w:val="single"/>
              </w:rPr>
              <w:t>、PAC、PAM</w:t>
            </w:r>
          </w:p>
        </w:tc>
        <w:tc>
          <w:tcPr>
            <w:tcW w:w="974" w:type="pct"/>
            <w:shd w:val="clear" w:color="auto" w:fill="auto"/>
            <w:vAlign w:val="center"/>
          </w:tcPr>
          <w:p>
            <w:pPr>
              <w:jc w:val="center"/>
              <w:rPr>
                <w:b/>
                <w:bCs/>
                <w:color w:val="auto"/>
                <w:spacing w:val="-6"/>
                <w:u w:val="single"/>
              </w:rPr>
            </w:pPr>
            <w:r>
              <w:rPr>
                <w:b/>
                <w:bCs/>
                <w:color w:val="auto"/>
                <w:spacing w:val="-14"/>
                <w:u w:val="single"/>
              </w:rPr>
              <w:t>WRS/PROM</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5</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加药流</w:t>
            </w:r>
            <w:r>
              <w:rPr>
                <w:b/>
                <w:bCs/>
                <w:color w:val="auto"/>
                <w:spacing w:val="-1"/>
                <w:u w:val="single"/>
              </w:rPr>
              <w:t>量计</w:t>
            </w:r>
          </w:p>
        </w:tc>
        <w:tc>
          <w:tcPr>
            <w:tcW w:w="1247" w:type="pct"/>
            <w:shd w:val="clear" w:color="auto" w:fill="auto"/>
            <w:vAlign w:val="center"/>
          </w:tcPr>
          <w:p>
            <w:pPr>
              <w:jc w:val="center"/>
              <w:rPr>
                <w:b/>
                <w:bCs/>
                <w:color w:val="auto"/>
                <w:spacing w:val="-9"/>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shd w:val="clear" w:color="auto" w:fill="auto"/>
            <w:vAlign w:val="center"/>
          </w:tcPr>
          <w:p>
            <w:pPr>
              <w:jc w:val="center"/>
              <w:rPr>
                <w:b/>
                <w:bCs/>
                <w:color w:val="auto"/>
                <w:spacing w:val="-6"/>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个</w:t>
            </w:r>
          </w:p>
        </w:tc>
        <w:tc>
          <w:tcPr>
            <w:tcW w:w="298" w:type="pct"/>
            <w:shd w:val="clear" w:color="auto" w:fill="auto"/>
            <w:vAlign w:val="center"/>
          </w:tcPr>
          <w:p>
            <w:pPr>
              <w:jc w:val="center"/>
              <w:rPr>
                <w:b/>
                <w:bCs/>
                <w:color w:val="auto"/>
                <w:u w:val="single"/>
              </w:rPr>
            </w:pPr>
            <w:r>
              <w:rPr>
                <w:b/>
                <w:bCs/>
                <w:color w:val="auto"/>
                <w:u w:val="single"/>
              </w:rPr>
              <w:t>5</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shd w:val="clear" w:color="auto" w:fill="auto"/>
            <w:vAlign w:val="center"/>
          </w:tcPr>
          <w:p>
            <w:pPr>
              <w:jc w:val="center"/>
              <w:rPr>
                <w:b/>
                <w:bCs/>
                <w:color w:val="auto"/>
                <w:spacing w:val="-9"/>
                <w:u w:val="single"/>
              </w:rPr>
            </w:pPr>
            <w:r>
              <w:rPr>
                <w:b/>
                <w:bCs/>
                <w:color w:val="auto"/>
                <w:spacing w:val="-6"/>
                <w:u w:val="single"/>
              </w:rPr>
              <w:t>0</w:t>
            </w:r>
            <w:r>
              <w:rPr>
                <w:b/>
                <w:bCs/>
                <w:color w:val="auto"/>
                <w:spacing w:val="-5"/>
                <w:u w:val="single"/>
              </w:rPr>
              <w:t>-</w:t>
            </w:r>
            <w:r>
              <w:rPr>
                <w:b/>
                <w:bCs/>
                <w:color w:val="auto"/>
                <w:spacing w:val="-3"/>
                <w:u w:val="single"/>
              </w:rPr>
              <w:t>14，</w:t>
            </w:r>
            <w:r>
              <w:rPr>
                <w:rFonts w:eastAsia="Meiryo"/>
                <w:b/>
                <w:bCs/>
                <w:color w:val="auto"/>
                <w:spacing w:val="-3"/>
                <w:u w:val="single"/>
              </w:rPr>
              <w:t>⾯</w:t>
            </w:r>
            <w:r>
              <w:rPr>
                <w:b/>
                <w:bCs/>
                <w:color w:val="auto"/>
                <w:spacing w:val="-3"/>
                <w:u w:val="single"/>
              </w:rPr>
              <w:t>板式</w:t>
            </w:r>
          </w:p>
        </w:tc>
        <w:tc>
          <w:tcPr>
            <w:tcW w:w="974" w:type="pct"/>
            <w:shd w:val="clear" w:color="auto" w:fill="auto"/>
            <w:vAlign w:val="center"/>
          </w:tcPr>
          <w:p>
            <w:pPr>
              <w:jc w:val="center"/>
              <w:rPr>
                <w:b/>
                <w:bCs/>
                <w:color w:val="auto"/>
                <w:spacing w:val="-6"/>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1"/>
                <w:u w:val="single"/>
              </w:rPr>
              <w:t>ORP</w:t>
            </w:r>
            <w:r>
              <w:rPr>
                <w:b/>
                <w:bCs/>
                <w:color w:val="auto"/>
                <w:spacing w:val="-12"/>
                <w:u w:val="single"/>
              </w:rPr>
              <w:t xml:space="preserve"> </w:t>
            </w:r>
            <w:r>
              <w:rPr>
                <w:b/>
                <w:bCs/>
                <w:color w:val="auto"/>
                <w:spacing w:val="-11"/>
                <w:u w:val="single"/>
              </w:rPr>
              <w:t>仪</w:t>
            </w:r>
          </w:p>
        </w:tc>
        <w:tc>
          <w:tcPr>
            <w:tcW w:w="1247" w:type="pct"/>
            <w:shd w:val="clear" w:color="auto" w:fill="auto"/>
            <w:vAlign w:val="center"/>
          </w:tcPr>
          <w:p>
            <w:pPr>
              <w:jc w:val="center"/>
              <w:rPr>
                <w:b/>
                <w:bCs/>
                <w:color w:val="auto"/>
                <w:spacing w:val="-9"/>
                <w:u w:val="single"/>
              </w:rPr>
            </w:pPr>
            <w:r>
              <w:rPr>
                <w:b/>
                <w:bCs/>
                <w:color w:val="auto"/>
                <w:spacing w:val="-13"/>
                <w:u w:val="single"/>
              </w:rPr>
              <w:t>0</w:t>
            </w:r>
            <w:r>
              <w:rPr>
                <w:b/>
                <w:bCs/>
                <w:color w:val="auto"/>
                <w:spacing w:val="-7"/>
                <w:u w:val="single"/>
              </w:rPr>
              <w:t>-1000mV，</w:t>
            </w:r>
            <w:r>
              <w:rPr>
                <w:rFonts w:eastAsia="Meiryo"/>
                <w:b/>
                <w:bCs/>
                <w:color w:val="auto"/>
                <w:spacing w:val="-7"/>
                <w:u w:val="single"/>
              </w:rPr>
              <w:t>⾯</w:t>
            </w:r>
            <w:r>
              <w:rPr>
                <w:b/>
                <w:bCs/>
                <w:color w:val="auto"/>
                <w:spacing w:val="-7"/>
                <w:u w:val="single"/>
              </w:rPr>
              <w:t>板式</w:t>
            </w:r>
          </w:p>
        </w:tc>
        <w:tc>
          <w:tcPr>
            <w:tcW w:w="974" w:type="pct"/>
            <w:shd w:val="clear" w:color="auto" w:fill="auto"/>
            <w:vAlign w:val="center"/>
          </w:tcPr>
          <w:p>
            <w:pPr>
              <w:jc w:val="center"/>
              <w:rPr>
                <w:b/>
                <w:bCs/>
                <w:color w:val="auto"/>
                <w:spacing w:val="-6"/>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搅拌机</w:t>
            </w:r>
          </w:p>
        </w:tc>
        <w:tc>
          <w:tcPr>
            <w:tcW w:w="1247" w:type="pct"/>
            <w:shd w:val="clear" w:color="auto" w:fill="auto"/>
            <w:vAlign w:val="center"/>
          </w:tcPr>
          <w:p>
            <w:pPr>
              <w:jc w:val="center"/>
              <w:rPr>
                <w:b/>
                <w:bCs/>
                <w:color w:val="auto"/>
                <w:spacing w:val="-9"/>
                <w:u w:val="single"/>
              </w:rPr>
            </w:pPr>
            <w:r>
              <w:rPr>
                <w:b/>
                <w:bCs/>
                <w:color w:val="auto"/>
                <w:spacing w:val="-12"/>
                <w:u w:val="single"/>
              </w:rPr>
              <w:t>微</w:t>
            </w:r>
            <w:r>
              <w:rPr>
                <w:rFonts w:hint="eastAsia" w:ascii="宋体" w:hAnsi="宋体" w:cs="宋体"/>
                <w:b/>
                <w:bCs/>
                <w:color w:val="auto"/>
                <w:spacing w:val="-11"/>
                <w:u w:val="single"/>
              </w:rPr>
              <w:t>⻮</w:t>
            </w:r>
            <w:r>
              <w:rPr>
                <w:b/>
                <w:bCs/>
                <w:color w:val="auto"/>
                <w:spacing w:val="-6"/>
                <w:u w:val="single"/>
              </w:rPr>
              <w:t>轮，Q235 衬塑，30-60rpm</w:t>
            </w:r>
          </w:p>
        </w:tc>
        <w:tc>
          <w:tcPr>
            <w:tcW w:w="974" w:type="pct"/>
            <w:shd w:val="clear" w:color="auto" w:fill="auto"/>
            <w:vAlign w:val="center"/>
          </w:tcPr>
          <w:p>
            <w:pPr>
              <w:jc w:val="center"/>
              <w:rPr>
                <w:b/>
                <w:bCs/>
                <w:color w:val="auto"/>
                <w:spacing w:val="-6"/>
                <w:u w:val="single"/>
              </w:rPr>
            </w:pPr>
            <w:r>
              <w:rPr>
                <w:b/>
                <w:bCs/>
                <w:color w:val="auto"/>
                <w:spacing w:val="-5"/>
                <w:u w:val="single"/>
              </w:rPr>
              <w:t>国茂/永创</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4</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搅拌</w:t>
            </w:r>
            <w:r>
              <w:rPr>
                <w:b/>
                <w:bCs/>
                <w:color w:val="auto"/>
                <w:spacing w:val="-1"/>
                <w:u w:val="single"/>
              </w:rPr>
              <w:t>机</w:t>
            </w:r>
            <w:r>
              <w:rPr>
                <w:rFonts w:hint="eastAsia"/>
                <w:b/>
                <w:bCs/>
                <w:color w:val="auto"/>
                <w:spacing w:val="-1"/>
                <w:u w:val="single"/>
              </w:rPr>
              <w:t>支</w:t>
            </w:r>
            <w:r>
              <w:rPr>
                <w:b/>
                <w:bCs/>
                <w:color w:val="auto"/>
                <w:spacing w:val="-1"/>
                <w:u w:val="single"/>
              </w:rPr>
              <w:t>架</w:t>
            </w:r>
          </w:p>
        </w:tc>
        <w:tc>
          <w:tcPr>
            <w:tcW w:w="1247" w:type="pct"/>
            <w:shd w:val="clear" w:color="auto" w:fill="auto"/>
            <w:vAlign w:val="center"/>
          </w:tcPr>
          <w:p>
            <w:pPr>
              <w:jc w:val="center"/>
              <w:rPr>
                <w:b/>
                <w:bCs/>
                <w:color w:val="auto"/>
                <w:spacing w:val="-9"/>
                <w:u w:val="single"/>
              </w:rPr>
            </w:pPr>
            <w:r>
              <w:rPr>
                <w:b/>
                <w:bCs/>
                <w:color w:val="auto"/>
                <w:spacing w:val="-9"/>
                <w:u w:val="single"/>
              </w:rPr>
              <w:t>Q235 防腐</w:t>
            </w:r>
          </w:p>
        </w:tc>
        <w:tc>
          <w:tcPr>
            <w:tcW w:w="974" w:type="pct"/>
            <w:shd w:val="clear" w:color="auto" w:fill="auto"/>
            <w:vAlign w:val="center"/>
          </w:tcPr>
          <w:p>
            <w:pPr>
              <w:jc w:val="center"/>
              <w:rPr>
                <w:b/>
                <w:bCs/>
                <w:color w:val="auto"/>
                <w:spacing w:val="-6"/>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4</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4"/>
                <w:u w:val="single"/>
              </w:rPr>
              <w:t>布</w:t>
            </w:r>
            <w:r>
              <w:rPr>
                <w:rFonts w:hint="eastAsia"/>
                <w:b/>
                <w:bCs/>
                <w:color w:val="auto"/>
                <w:spacing w:val="-4"/>
                <w:u w:val="single"/>
              </w:rPr>
              <w:t>水</w:t>
            </w:r>
          </w:p>
        </w:tc>
        <w:tc>
          <w:tcPr>
            <w:tcW w:w="1247" w:type="pct"/>
            <w:shd w:val="clear" w:color="auto" w:fill="auto"/>
            <w:vAlign w:val="center"/>
          </w:tcPr>
          <w:p>
            <w:pPr>
              <w:jc w:val="center"/>
              <w:rPr>
                <w:b/>
                <w:bCs/>
                <w:color w:val="auto"/>
                <w:spacing w:val="-9"/>
                <w:u w:val="single"/>
              </w:rPr>
            </w:pPr>
            <w:r>
              <w:rPr>
                <w:b/>
                <w:bCs/>
                <w:color w:val="auto"/>
                <w:spacing w:val="-3"/>
                <w:u w:val="single"/>
              </w:rPr>
              <w:t>布</w:t>
            </w:r>
            <w:r>
              <w:rPr>
                <w:rFonts w:hint="eastAsia"/>
                <w:b/>
                <w:bCs/>
                <w:color w:val="auto"/>
                <w:spacing w:val="-3"/>
                <w:u w:val="single"/>
              </w:rPr>
              <w:t>水</w:t>
            </w:r>
            <w:r>
              <w:rPr>
                <w:b/>
                <w:bCs/>
                <w:color w:val="auto"/>
                <w:spacing w:val="-2"/>
                <w:u w:val="single"/>
              </w:rPr>
              <w:t>管</w:t>
            </w:r>
          </w:p>
        </w:tc>
        <w:tc>
          <w:tcPr>
            <w:tcW w:w="974" w:type="pct"/>
            <w:shd w:val="clear" w:color="auto" w:fill="auto"/>
            <w:vAlign w:val="center"/>
          </w:tcPr>
          <w:p>
            <w:pPr>
              <w:jc w:val="center"/>
              <w:rPr>
                <w:b/>
                <w:bCs/>
                <w:color w:val="auto"/>
                <w:spacing w:val="-6"/>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7"/>
                <w:u w:val="single"/>
              </w:rPr>
              <w:t>出</w:t>
            </w:r>
            <w:r>
              <w:rPr>
                <w:rFonts w:hint="eastAsia"/>
                <w:b/>
                <w:bCs/>
                <w:color w:val="auto"/>
                <w:spacing w:val="-7"/>
                <w:u w:val="single"/>
              </w:rPr>
              <w:t>水</w:t>
            </w:r>
            <w:r>
              <w:rPr>
                <w:b/>
                <w:bCs/>
                <w:color w:val="auto"/>
                <w:spacing w:val="-4"/>
                <w:u w:val="single"/>
              </w:rPr>
              <w:t>堰板</w:t>
            </w:r>
          </w:p>
        </w:tc>
        <w:tc>
          <w:tcPr>
            <w:tcW w:w="1247" w:type="pct"/>
            <w:shd w:val="clear" w:color="auto" w:fill="auto"/>
            <w:vAlign w:val="center"/>
          </w:tcPr>
          <w:p>
            <w:pPr>
              <w:jc w:val="center"/>
              <w:rPr>
                <w:b/>
                <w:bCs/>
                <w:color w:val="auto"/>
                <w:spacing w:val="-9"/>
                <w:u w:val="single"/>
              </w:rPr>
            </w:pPr>
            <w:r>
              <w:rPr>
                <w:b/>
                <w:bCs/>
                <w:color w:val="auto"/>
                <w:spacing w:val="-7"/>
                <w:u w:val="single"/>
              </w:rPr>
              <w:t>PVC</w:t>
            </w:r>
            <w:r>
              <w:rPr>
                <w:b/>
                <w:bCs/>
                <w:color w:val="auto"/>
                <w:spacing w:val="-8"/>
                <w:u w:val="single"/>
              </w:rPr>
              <w:t>/</w:t>
            </w:r>
            <w:r>
              <w:rPr>
                <w:b/>
                <w:bCs/>
                <w:color w:val="auto"/>
                <w:spacing w:val="-7"/>
                <w:u w:val="single"/>
              </w:rPr>
              <w:t>不锈钢</w:t>
            </w:r>
          </w:p>
        </w:tc>
        <w:tc>
          <w:tcPr>
            <w:tcW w:w="974" w:type="pct"/>
            <w:shd w:val="clear" w:color="auto" w:fill="auto"/>
            <w:vAlign w:val="center"/>
          </w:tcPr>
          <w:p>
            <w:pPr>
              <w:jc w:val="center"/>
              <w:rPr>
                <w:b/>
                <w:bCs/>
                <w:color w:val="auto"/>
                <w:spacing w:val="-6"/>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
                <w:u w:val="single"/>
              </w:rPr>
              <w:t>斜管填料</w:t>
            </w:r>
          </w:p>
        </w:tc>
        <w:tc>
          <w:tcPr>
            <w:tcW w:w="1247" w:type="pct"/>
            <w:shd w:val="clear" w:color="auto" w:fill="auto"/>
            <w:vAlign w:val="center"/>
          </w:tcPr>
          <w:p>
            <w:pPr>
              <w:jc w:val="center"/>
              <w:rPr>
                <w:b/>
                <w:bCs/>
                <w:color w:val="auto"/>
                <w:spacing w:val="-9"/>
                <w:u w:val="single"/>
              </w:rPr>
            </w:pPr>
            <w:r>
              <w:rPr>
                <w:b/>
                <w:bCs/>
                <w:color w:val="auto"/>
                <w:spacing w:val="-12"/>
                <w:u w:val="single"/>
              </w:rPr>
              <w:t>Φ</w:t>
            </w:r>
            <w:r>
              <w:rPr>
                <w:b/>
                <w:bCs/>
                <w:color w:val="auto"/>
                <w:spacing w:val="-9"/>
                <w:u w:val="single"/>
              </w:rPr>
              <w:t>50mm，</w:t>
            </w:r>
            <w:r>
              <w:rPr>
                <w:rFonts w:eastAsia="Meiryo"/>
                <w:b/>
                <w:bCs/>
                <w:color w:val="auto"/>
                <w:spacing w:val="-9"/>
                <w:u w:val="single"/>
              </w:rPr>
              <w:t>⼄</w:t>
            </w:r>
            <w:r>
              <w:rPr>
                <w:b/>
                <w:bCs/>
                <w:color w:val="auto"/>
                <w:spacing w:val="-9"/>
                <w:u w:val="single"/>
              </w:rPr>
              <w:t>丙共聚</w:t>
            </w:r>
          </w:p>
        </w:tc>
        <w:tc>
          <w:tcPr>
            <w:tcW w:w="974" w:type="pct"/>
            <w:shd w:val="clear" w:color="auto" w:fill="auto"/>
            <w:vAlign w:val="center"/>
          </w:tcPr>
          <w:p>
            <w:pPr>
              <w:jc w:val="center"/>
              <w:rPr>
                <w:b/>
                <w:bCs/>
                <w:color w:val="auto"/>
                <w:spacing w:val="-6"/>
                <w:u w:val="single"/>
              </w:rPr>
            </w:pPr>
            <w:r>
              <w:rPr>
                <w:b/>
                <w:bCs/>
                <w:color w:val="auto"/>
                <w:spacing w:val="-4"/>
                <w:u w:val="single"/>
              </w:rPr>
              <w:t>宜</w:t>
            </w:r>
            <w:r>
              <w:rPr>
                <w:b/>
                <w:bCs/>
                <w:color w:val="auto"/>
                <w:spacing w:val="-2"/>
                <w:u w:val="single"/>
              </w:rPr>
              <w:t>兴</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
                <w:u w:val="single"/>
              </w:rPr>
              <w:t>斜管填料</w:t>
            </w:r>
            <w:r>
              <w:rPr>
                <w:rFonts w:hint="eastAsia"/>
                <w:b/>
                <w:bCs/>
                <w:color w:val="auto"/>
                <w:spacing w:val="-1"/>
                <w:u w:val="single"/>
              </w:rPr>
              <w:t>支</w:t>
            </w:r>
            <w:r>
              <w:rPr>
                <w:b/>
                <w:bCs/>
                <w:color w:val="auto"/>
                <w:u w:val="single"/>
              </w:rPr>
              <w:t>架</w:t>
            </w:r>
          </w:p>
        </w:tc>
        <w:tc>
          <w:tcPr>
            <w:tcW w:w="1247" w:type="pct"/>
            <w:shd w:val="clear" w:color="auto" w:fill="auto"/>
            <w:vAlign w:val="center"/>
          </w:tcPr>
          <w:p>
            <w:pPr>
              <w:jc w:val="center"/>
              <w:rPr>
                <w:b/>
                <w:bCs/>
                <w:color w:val="auto"/>
                <w:spacing w:val="-9"/>
                <w:u w:val="single"/>
              </w:rPr>
            </w:pPr>
            <w:r>
              <w:rPr>
                <w:b/>
                <w:bCs/>
                <w:color w:val="auto"/>
                <w:spacing w:val="-9"/>
                <w:u w:val="single"/>
              </w:rPr>
              <w:t>Q235 防腐</w:t>
            </w:r>
          </w:p>
        </w:tc>
        <w:tc>
          <w:tcPr>
            <w:tcW w:w="974" w:type="pct"/>
            <w:shd w:val="clear" w:color="auto" w:fill="auto"/>
            <w:vAlign w:val="center"/>
          </w:tcPr>
          <w:p>
            <w:pPr>
              <w:jc w:val="center"/>
              <w:rPr>
                <w:b/>
                <w:bCs/>
                <w:color w:val="auto"/>
                <w:spacing w:val="-6"/>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排泥泵</w:t>
            </w:r>
          </w:p>
        </w:tc>
        <w:tc>
          <w:tcPr>
            <w:tcW w:w="1247" w:type="pct"/>
            <w:shd w:val="clear" w:color="auto" w:fill="auto"/>
            <w:vAlign w:val="center"/>
          </w:tcPr>
          <w:p>
            <w:pPr>
              <w:jc w:val="center"/>
              <w:rPr>
                <w:b/>
                <w:bCs/>
                <w:color w:val="auto"/>
                <w:spacing w:val="-9"/>
                <w:u w:val="single"/>
              </w:rPr>
            </w:pPr>
            <w:r>
              <w:rPr>
                <w:b/>
                <w:bCs/>
                <w:color w:val="auto"/>
                <w:spacing w:val="-8"/>
                <w:u w:val="single"/>
              </w:rPr>
              <w:t>DN</w:t>
            </w:r>
            <w:r>
              <w:rPr>
                <w:b/>
                <w:bCs/>
                <w:color w:val="auto"/>
                <w:spacing w:val="-10"/>
                <w:u w:val="single"/>
              </w:rPr>
              <w:t>4</w:t>
            </w:r>
            <w:r>
              <w:rPr>
                <w:b/>
                <w:bCs/>
                <w:color w:val="auto"/>
                <w:spacing w:val="-8"/>
                <w:u w:val="single"/>
              </w:rPr>
              <w:t>0，</w:t>
            </w:r>
            <w:r>
              <w:rPr>
                <w:rFonts w:eastAsia="Meiryo"/>
                <w:b/>
                <w:bCs/>
                <w:color w:val="auto"/>
                <w:spacing w:val="-8"/>
                <w:u w:val="single"/>
              </w:rPr>
              <w:t>⽓</w:t>
            </w:r>
            <w:r>
              <w:rPr>
                <w:b/>
                <w:bCs/>
                <w:color w:val="auto"/>
                <w:spacing w:val="-8"/>
                <w:u w:val="single"/>
              </w:rPr>
              <w:t>动泵</w:t>
            </w:r>
          </w:p>
        </w:tc>
        <w:tc>
          <w:tcPr>
            <w:tcW w:w="974" w:type="pct"/>
            <w:shd w:val="clear" w:color="auto" w:fill="auto"/>
            <w:vAlign w:val="center"/>
          </w:tcPr>
          <w:p>
            <w:pPr>
              <w:jc w:val="center"/>
              <w:rPr>
                <w:b/>
                <w:bCs/>
                <w:color w:val="auto"/>
                <w:spacing w:val="-6"/>
                <w:u w:val="single"/>
              </w:rPr>
            </w:pPr>
            <w:r>
              <w:rPr>
                <w:b/>
                <w:bCs/>
                <w:color w:val="auto"/>
                <w:spacing w:val="-11"/>
                <w:u w:val="single"/>
              </w:rPr>
              <w:t>美国 ARO/VERDE</w:t>
            </w:r>
            <w:r>
              <w:rPr>
                <w:b/>
                <w:bCs/>
                <w:color w:val="auto"/>
                <w:spacing w:val="-10"/>
                <w:u w:val="single"/>
              </w:rPr>
              <w:t>R</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r>
              <w:rPr>
                <w:rFonts w:eastAsia="Meiryo"/>
                <w:b/>
                <w:bCs/>
                <w:color w:val="auto"/>
                <w:spacing w:val="-5"/>
                <w:u w:val="single"/>
              </w:rPr>
              <w:t>⼀</w:t>
            </w:r>
            <w:r>
              <w:rPr>
                <w:b/>
                <w:bCs/>
                <w:color w:val="auto"/>
                <w:spacing w:val="-4"/>
                <w:u w:val="single"/>
              </w:rPr>
              <w:t>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rFonts w:hint="eastAsia"/>
                <w:b/>
                <w:bCs/>
                <w:color w:val="auto"/>
                <w:spacing w:val="-5"/>
                <w:u w:val="single"/>
              </w:rPr>
              <w:t>手</w:t>
            </w:r>
            <w:r>
              <w:rPr>
                <w:b/>
                <w:bCs/>
                <w:color w:val="auto"/>
                <w:spacing w:val="-5"/>
                <w:u w:val="single"/>
              </w:rPr>
              <w:t>动排泥阀</w:t>
            </w:r>
          </w:p>
        </w:tc>
        <w:tc>
          <w:tcPr>
            <w:tcW w:w="1247" w:type="pct"/>
            <w:shd w:val="clear" w:color="auto" w:fill="auto"/>
            <w:vAlign w:val="center"/>
          </w:tcPr>
          <w:p>
            <w:pPr>
              <w:jc w:val="center"/>
              <w:rPr>
                <w:b/>
                <w:bCs/>
                <w:color w:val="auto"/>
                <w:spacing w:val="-9"/>
                <w:u w:val="single"/>
              </w:rPr>
            </w:pPr>
            <w:r>
              <w:rPr>
                <w:b/>
                <w:bCs/>
                <w:color w:val="auto"/>
                <w:spacing w:val="-13"/>
                <w:u w:val="single"/>
              </w:rPr>
              <w:t>UPVC，DN65</w:t>
            </w:r>
          </w:p>
        </w:tc>
        <w:tc>
          <w:tcPr>
            <w:tcW w:w="974" w:type="pct"/>
            <w:shd w:val="clear" w:color="auto" w:fill="auto"/>
            <w:vAlign w:val="center"/>
          </w:tcPr>
          <w:p>
            <w:pPr>
              <w:jc w:val="center"/>
              <w:rPr>
                <w:b/>
                <w:bCs/>
                <w:color w:val="auto"/>
                <w:spacing w:val="-6"/>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rFonts w:hint="eastAsia"/>
                <w:b/>
                <w:bCs/>
                <w:color w:val="auto"/>
                <w:spacing w:val="-9"/>
                <w:u w:val="single"/>
              </w:rPr>
              <w:t>自</w:t>
            </w:r>
            <w:r>
              <w:rPr>
                <w:b/>
                <w:bCs/>
                <w:color w:val="auto"/>
                <w:spacing w:val="-9"/>
                <w:u w:val="single"/>
              </w:rPr>
              <w:t>动排泥阀</w:t>
            </w:r>
          </w:p>
        </w:tc>
        <w:tc>
          <w:tcPr>
            <w:tcW w:w="1247" w:type="pct"/>
            <w:shd w:val="clear" w:color="auto" w:fill="auto"/>
            <w:vAlign w:val="center"/>
          </w:tcPr>
          <w:p>
            <w:pPr>
              <w:jc w:val="center"/>
              <w:rPr>
                <w:b/>
                <w:bCs/>
                <w:color w:val="auto"/>
                <w:spacing w:val="-9"/>
                <w:u w:val="single"/>
              </w:rPr>
            </w:pPr>
            <w:r>
              <w:rPr>
                <w:rFonts w:hint="eastAsia"/>
                <w:b/>
                <w:bCs/>
                <w:color w:val="auto"/>
                <w:spacing w:val="-15"/>
                <w:u w:val="single"/>
              </w:rPr>
              <w:t>气</w:t>
            </w:r>
            <w:r>
              <w:rPr>
                <w:b/>
                <w:bCs/>
                <w:color w:val="auto"/>
                <w:spacing w:val="-15"/>
                <w:u w:val="single"/>
              </w:rPr>
              <w:t>动，UPVC，  D</w:t>
            </w:r>
            <w:r>
              <w:rPr>
                <w:b/>
                <w:bCs/>
                <w:color w:val="auto"/>
                <w:spacing w:val="-14"/>
                <w:u w:val="single"/>
              </w:rPr>
              <w:t>N</w:t>
            </w:r>
            <w:r>
              <w:rPr>
                <w:b/>
                <w:bCs/>
                <w:color w:val="auto"/>
                <w:spacing w:val="-15"/>
                <w:u w:val="single"/>
              </w:rPr>
              <w:t>65</w:t>
            </w:r>
          </w:p>
        </w:tc>
        <w:tc>
          <w:tcPr>
            <w:tcW w:w="974" w:type="pct"/>
            <w:shd w:val="clear" w:color="auto" w:fill="auto"/>
            <w:vAlign w:val="center"/>
          </w:tcPr>
          <w:p>
            <w:pPr>
              <w:jc w:val="center"/>
              <w:rPr>
                <w:b/>
                <w:bCs/>
                <w:color w:val="auto"/>
                <w:spacing w:val="-6"/>
                <w:u w:val="single"/>
              </w:rPr>
            </w:pPr>
            <w:r>
              <w:rPr>
                <w:b/>
                <w:bCs/>
                <w:color w:val="auto"/>
                <w:spacing w:val="-9"/>
                <w:u w:val="single"/>
              </w:rPr>
              <w:t>FLOWX</w:t>
            </w:r>
            <w:r>
              <w:rPr>
                <w:b/>
                <w:bCs/>
                <w:color w:val="auto"/>
                <w:spacing w:val="-10"/>
                <w:u w:val="single"/>
              </w:rPr>
              <w:t>/</w:t>
            </w:r>
            <w:r>
              <w:rPr>
                <w:b/>
                <w:bCs/>
                <w:color w:val="auto"/>
                <w:spacing w:val="-9"/>
                <w:u w:val="single"/>
              </w:rPr>
              <w:t>圣尔诺</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u w:val="single"/>
              </w:rPr>
            </w:pPr>
            <w:r>
              <w:rPr>
                <w:b/>
                <w:bCs/>
                <w:color w:val="auto"/>
                <w:u w:val="single"/>
              </w:rPr>
              <w:t>3</w:t>
            </w:r>
          </w:p>
        </w:tc>
        <w:tc>
          <w:tcPr>
            <w:tcW w:w="529" w:type="pct"/>
            <w:vMerge w:val="restart"/>
            <w:shd w:val="clear" w:color="auto" w:fill="auto"/>
            <w:vAlign w:val="center"/>
          </w:tcPr>
          <w:p>
            <w:pPr>
              <w:jc w:val="center"/>
              <w:rPr>
                <w:b/>
                <w:bCs/>
                <w:color w:val="auto"/>
                <w:u w:val="single"/>
              </w:rPr>
            </w:pPr>
            <w:r>
              <w:rPr>
                <w:b/>
                <w:bCs/>
                <w:color w:val="auto"/>
                <w:spacing w:val="-7"/>
                <w:u w:val="single"/>
              </w:rPr>
              <w:t>pH回调池</w:t>
            </w:r>
          </w:p>
        </w:tc>
        <w:tc>
          <w:tcPr>
            <w:tcW w:w="787" w:type="pct"/>
            <w:shd w:val="clear" w:color="auto" w:fill="auto"/>
            <w:vAlign w:val="center"/>
          </w:tcPr>
          <w:p>
            <w:pPr>
              <w:jc w:val="center"/>
              <w:rPr>
                <w:b/>
                <w:bCs/>
                <w:color w:val="auto"/>
                <w:spacing w:val="-10"/>
                <w:u w:val="single"/>
              </w:rPr>
            </w:pPr>
            <w:r>
              <w:rPr>
                <w:b/>
                <w:bCs/>
                <w:color w:val="auto"/>
                <w:spacing w:val="-2"/>
                <w:u w:val="single"/>
              </w:rPr>
              <w:t>加药泵</w:t>
            </w:r>
          </w:p>
        </w:tc>
        <w:tc>
          <w:tcPr>
            <w:tcW w:w="1247" w:type="pct"/>
            <w:shd w:val="clear" w:color="auto" w:fill="auto"/>
            <w:vAlign w:val="center"/>
          </w:tcPr>
          <w:p>
            <w:pPr>
              <w:jc w:val="center"/>
              <w:rPr>
                <w:b/>
                <w:bCs/>
                <w:color w:val="auto"/>
                <w:spacing w:val="-15"/>
                <w:u w:val="single"/>
              </w:rPr>
            </w:pPr>
            <w:r>
              <w:rPr>
                <w:b/>
                <w:bCs/>
                <w:color w:val="auto"/>
                <w:u w:val="single"/>
              </w:rPr>
              <w:t>酸</w:t>
            </w:r>
          </w:p>
        </w:tc>
        <w:tc>
          <w:tcPr>
            <w:tcW w:w="974" w:type="pct"/>
            <w:shd w:val="clear" w:color="auto" w:fill="auto"/>
            <w:vAlign w:val="center"/>
          </w:tcPr>
          <w:p>
            <w:pPr>
              <w:jc w:val="center"/>
              <w:rPr>
                <w:b/>
                <w:bCs/>
                <w:color w:val="auto"/>
                <w:spacing w:val="-9"/>
                <w:u w:val="single"/>
              </w:rPr>
            </w:pPr>
            <w:r>
              <w:rPr>
                <w:b/>
                <w:bCs/>
                <w:color w:val="auto"/>
                <w:spacing w:val="-14"/>
                <w:u w:val="single"/>
              </w:rPr>
              <w:t>WRS/PROM</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加药流</w:t>
            </w:r>
            <w:r>
              <w:rPr>
                <w:b/>
                <w:bCs/>
                <w:color w:val="auto"/>
                <w:spacing w:val="-1"/>
                <w:u w:val="single"/>
              </w:rPr>
              <w:t>量计</w:t>
            </w:r>
          </w:p>
        </w:tc>
        <w:tc>
          <w:tcPr>
            <w:tcW w:w="1247" w:type="pct"/>
            <w:shd w:val="clear" w:color="auto" w:fill="auto"/>
            <w:vAlign w:val="center"/>
          </w:tcPr>
          <w:p>
            <w:pPr>
              <w:jc w:val="center"/>
              <w:rPr>
                <w:b/>
                <w:bCs/>
                <w:color w:val="auto"/>
                <w:spacing w:val="-15"/>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shd w:val="clear" w:color="auto" w:fill="auto"/>
            <w:vAlign w:val="center"/>
          </w:tcPr>
          <w:p>
            <w:pPr>
              <w:jc w:val="center"/>
              <w:rPr>
                <w:b/>
                <w:bCs/>
                <w:color w:val="auto"/>
                <w:spacing w:val="-15"/>
                <w:u w:val="single"/>
              </w:rPr>
            </w:pPr>
            <w:r>
              <w:rPr>
                <w:b/>
                <w:bCs/>
                <w:color w:val="auto"/>
                <w:spacing w:val="-6"/>
                <w:u w:val="single"/>
              </w:rPr>
              <w:t>0</w:t>
            </w:r>
            <w:r>
              <w:rPr>
                <w:b/>
                <w:bCs/>
                <w:color w:val="auto"/>
                <w:spacing w:val="-5"/>
                <w:u w:val="single"/>
              </w:rPr>
              <w:t>-</w:t>
            </w:r>
            <w:r>
              <w:rPr>
                <w:b/>
                <w:bCs/>
                <w:color w:val="auto"/>
                <w:spacing w:val="-3"/>
                <w:u w:val="single"/>
              </w:rPr>
              <w:t>14，</w:t>
            </w:r>
            <w:r>
              <w:rPr>
                <w:rFonts w:eastAsia="Meiryo"/>
                <w:b/>
                <w:bCs/>
                <w:color w:val="auto"/>
                <w:spacing w:val="-3"/>
                <w:u w:val="single"/>
              </w:rPr>
              <w:t>⾯</w:t>
            </w:r>
            <w:r>
              <w:rPr>
                <w:b/>
                <w:bCs/>
                <w:color w:val="auto"/>
                <w:spacing w:val="-3"/>
                <w:u w:val="single"/>
              </w:rPr>
              <w:t>板式</w:t>
            </w:r>
          </w:p>
        </w:tc>
        <w:tc>
          <w:tcPr>
            <w:tcW w:w="974" w:type="pct"/>
            <w:shd w:val="clear" w:color="auto" w:fill="auto"/>
            <w:vAlign w:val="center"/>
          </w:tcPr>
          <w:p>
            <w:pPr>
              <w:jc w:val="center"/>
              <w:rPr>
                <w:b/>
                <w:bCs/>
                <w:color w:val="auto"/>
                <w:spacing w:val="-9"/>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搅拌系</w:t>
            </w:r>
            <w:r>
              <w:rPr>
                <w:b/>
                <w:bCs/>
                <w:color w:val="auto"/>
                <w:spacing w:val="-1"/>
                <w:u w:val="single"/>
              </w:rPr>
              <w:t>统</w:t>
            </w:r>
          </w:p>
        </w:tc>
        <w:tc>
          <w:tcPr>
            <w:tcW w:w="1247" w:type="pct"/>
            <w:shd w:val="clear" w:color="auto" w:fill="auto"/>
            <w:vAlign w:val="center"/>
          </w:tcPr>
          <w:p>
            <w:pPr>
              <w:jc w:val="center"/>
              <w:rPr>
                <w:b/>
                <w:bCs/>
                <w:color w:val="auto"/>
                <w:spacing w:val="-15"/>
                <w:u w:val="single"/>
              </w:rPr>
            </w:pPr>
            <w:r>
              <w:rPr>
                <w:b/>
                <w:bCs/>
                <w:color w:val="auto"/>
                <w:spacing w:val="-9"/>
                <w:u w:val="single"/>
              </w:rPr>
              <w:t>UPVC</w:t>
            </w:r>
            <w:r>
              <w:rPr>
                <w:b/>
                <w:bCs/>
                <w:color w:val="auto"/>
                <w:spacing w:val="-10"/>
                <w:u w:val="single"/>
              </w:rPr>
              <w:t xml:space="preserve"> </w:t>
            </w:r>
            <w:r>
              <w:rPr>
                <w:b/>
                <w:bCs/>
                <w:color w:val="auto"/>
                <w:spacing w:val="-9"/>
                <w:u w:val="single"/>
              </w:rPr>
              <w:t>管制作</w:t>
            </w:r>
          </w:p>
        </w:tc>
        <w:tc>
          <w:tcPr>
            <w:tcW w:w="974" w:type="pct"/>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shd w:val="clear" w:color="auto" w:fill="auto"/>
            <w:vAlign w:val="center"/>
          </w:tcPr>
          <w:p>
            <w:pPr>
              <w:jc w:val="center"/>
              <w:rPr>
                <w:b/>
                <w:bCs/>
                <w:color w:val="auto"/>
                <w:spacing w:val="-9"/>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7"/>
                <w:u w:val="single"/>
              </w:rPr>
              <w:t>pH</w:t>
            </w:r>
            <w:r>
              <w:rPr>
                <w:b/>
                <w:bCs/>
                <w:color w:val="auto"/>
                <w:spacing w:val="-11"/>
                <w:u w:val="single"/>
              </w:rPr>
              <w:t xml:space="preserve"> </w:t>
            </w:r>
            <w:r>
              <w:rPr>
                <w:b/>
                <w:bCs/>
                <w:color w:val="auto"/>
                <w:spacing w:val="-7"/>
                <w:u w:val="single"/>
              </w:rPr>
              <w:t>回调池</w:t>
            </w:r>
          </w:p>
        </w:tc>
        <w:tc>
          <w:tcPr>
            <w:tcW w:w="1247" w:type="pct"/>
            <w:shd w:val="clear" w:color="auto" w:fill="auto"/>
            <w:vAlign w:val="center"/>
          </w:tcPr>
          <w:p>
            <w:pPr>
              <w:jc w:val="center"/>
              <w:rPr>
                <w:b/>
                <w:bCs/>
                <w:color w:val="auto"/>
                <w:spacing w:val="-15"/>
                <w:u w:val="single"/>
              </w:rPr>
            </w:pPr>
            <w:r>
              <w:rPr>
                <w:b/>
                <w:bCs/>
                <w:color w:val="auto"/>
                <w:spacing w:val="-9"/>
                <w:u w:val="single"/>
              </w:rPr>
              <w:t>PE</w:t>
            </w:r>
            <w:r>
              <w:rPr>
                <w:b/>
                <w:bCs/>
                <w:color w:val="auto"/>
                <w:spacing w:val="-18"/>
                <w:u w:val="single"/>
              </w:rPr>
              <w:t>/</w:t>
            </w:r>
            <w:r>
              <w:rPr>
                <w:b/>
                <w:bCs/>
                <w:color w:val="auto"/>
                <w:spacing w:val="-9"/>
                <w:u w:val="single"/>
              </w:rPr>
              <w:t>PP</w:t>
            </w:r>
            <w:r>
              <w:rPr>
                <w:b/>
                <w:bCs/>
                <w:color w:val="auto"/>
                <w:spacing w:val="-12"/>
                <w:u w:val="single"/>
              </w:rPr>
              <w:t xml:space="preserve"> </w:t>
            </w:r>
            <w:r>
              <w:rPr>
                <w:b/>
                <w:bCs/>
                <w:color w:val="auto"/>
                <w:spacing w:val="-9"/>
                <w:u w:val="single"/>
              </w:rPr>
              <w:t>或 Q235 材质</w:t>
            </w:r>
          </w:p>
        </w:tc>
        <w:tc>
          <w:tcPr>
            <w:tcW w:w="974" w:type="pct"/>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u w:val="single"/>
              </w:rPr>
            </w:pPr>
            <w:r>
              <w:rPr>
                <w:b/>
                <w:bCs/>
                <w:color w:val="auto"/>
                <w:u w:val="single"/>
              </w:rPr>
              <w:t>4</w:t>
            </w:r>
          </w:p>
        </w:tc>
        <w:tc>
          <w:tcPr>
            <w:tcW w:w="529" w:type="pct"/>
            <w:vMerge w:val="restart"/>
            <w:shd w:val="clear" w:color="auto" w:fill="auto"/>
            <w:vAlign w:val="center"/>
          </w:tcPr>
          <w:p>
            <w:pPr>
              <w:jc w:val="center"/>
              <w:rPr>
                <w:b/>
                <w:bCs/>
                <w:color w:val="auto"/>
                <w:u w:val="single"/>
              </w:rPr>
            </w:pPr>
            <w:r>
              <w:rPr>
                <w:b/>
                <w:bCs/>
                <w:color w:val="auto"/>
                <w:spacing w:val="-6"/>
                <w:u w:val="single"/>
              </w:rPr>
              <w:t>多</w:t>
            </w:r>
            <w:r>
              <w:rPr>
                <w:b/>
                <w:bCs/>
                <w:color w:val="auto"/>
                <w:spacing w:val="-4"/>
                <w:u w:val="single"/>
              </w:rPr>
              <w:t>介</w:t>
            </w:r>
            <w:r>
              <w:rPr>
                <w:b/>
                <w:bCs/>
                <w:color w:val="auto"/>
                <w:spacing w:val="-3"/>
                <w:u w:val="single"/>
              </w:rPr>
              <w:t>质过滤</w:t>
            </w:r>
            <w:r>
              <w:rPr>
                <w:b/>
                <w:bCs/>
                <w:color w:val="auto"/>
                <w:spacing w:val="-4"/>
                <w:u w:val="single"/>
              </w:rPr>
              <w:t>系</w:t>
            </w:r>
            <w:r>
              <w:rPr>
                <w:b/>
                <w:bCs/>
                <w:color w:val="auto"/>
                <w:spacing w:val="-3"/>
                <w:u w:val="single"/>
              </w:rPr>
              <w:t>统</w:t>
            </w:r>
          </w:p>
        </w:tc>
        <w:tc>
          <w:tcPr>
            <w:tcW w:w="787" w:type="pct"/>
            <w:shd w:val="clear" w:color="auto" w:fill="auto"/>
            <w:vAlign w:val="center"/>
          </w:tcPr>
          <w:p>
            <w:pPr>
              <w:jc w:val="center"/>
              <w:rPr>
                <w:b/>
                <w:bCs/>
                <w:color w:val="auto"/>
                <w:spacing w:val="-10"/>
                <w:u w:val="single"/>
              </w:rPr>
            </w:pPr>
            <w:r>
              <w:rPr>
                <w:b/>
                <w:bCs/>
                <w:color w:val="auto"/>
                <w:spacing w:val="-2"/>
                <w:u w:val="single"/>
              </w:rPr>
              <w:t>提</w:t>
            </w:r>
            <w:r>
              <w:rPr>
                <w:b/>
                <w:bCs/>
                <w:color w:val="auto"/>
                <w:spacing w:val="-1"/>
                <w:u w:val="single"/>
              </w:rPr>
              <w:t>升泵</w:t>
            </w:r>
          </w:p>
        </w:tc>
        <w:tc>
          <w:tcPr>
            <w:tcW w:w="1247" w:type="pct"/>
            <w:shd w:val="clear" w:color="auto" w:fill="auto"/>
            <w:vAlign w:val="center"/>
          </w:tcPr>
          <w:p>
            <w:pPr>
              <w:jc w:val="center"/>
              <w:rPr>
                <w:b/>
                <w:bCs/>
                <w:color w:val="auto"/>
                <w:spacing w:val="-15"/>
                <w:u w:val="single"/>
              </w:rPr>
            </w:pPr>
            <w:r>
              <w:rPr>
                <w:b/>
                <w:bCs/>
                <w:color w:val="auto"/>
                <w:spacing w:val="-11"/>
                <w:u w:val="single"/>
              </w:rPr>
              <w:t>Q</w:t>
            </w:r>
            <w:r>
              <w:rPr>
                <w:b/>
                <w:bCs/>
                <w:color w:val="auto"/>
                <w:spacing w:val="-22"/>
                <w:u w:val="single"/>
              </w:rPr>
              <w:t>=</w:t>
            </w:r>
            <w:r>
              <w:rPr>
                <w:b/>
                <w:bCs/>
                <w:color w:val="auto"/>
                <w:spacing w:val="-18"/>
                <w:u w:val="single"/>
              </w:rPr>
              <w:t>5</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1"/>
                <w:u w:val="single"/>
              </w:rPr>
              <w:t>，H=35m，过流 SUS304</w:t>
            </w:r>
          </w:p>
        </w:tc>
        <w:tc>
          <w:tcPr>
            <w:tcW w:w="974" w:type="pct"/>
            <w:shd w:val="clear" w:color="auto" w:fill="auto"/>
            <w:vAlign w:val="center"/>
          </w:tcPr>
          <w:p>
            <w:pPr>
              <w:jc w:val="center"/>
              <w:rPr>
                <w:b/>
                <w:bCs/>
                <w:color w:val="auto"/>
                <w:spacing w:val="-9"/>
                <w:u w:val="single"/>
              </w:rPr>
            </w:pPr>
            <w:r>
              <w:rPr>
                <w:b/>
                <w:bCs/>
                <w:color w:val="auto"/>
                <w:spacing w:val="-4"/>
                <w:u w:val="single"/>
              </w:rPr>
              <w:t>南</w:t>
            </w:r>
            <w:r>
              <w:rPr>
                <w:rFonts w:hint="eastAsia"/>
                <w:b/>
                <w:bCs/>
                <w:color w:val="auto"/>
                <w:spacing w:val="-4"/>
                <w:u w:val="single"/>
              </w:rPr>
              <w:t>方</w:t>
            </w:r>
            <w:r>
              <w:rPr>
                <w:b/>
                <w:bCs/>
                <w:color w:val="auto"/>
                <w:spacing w:val="-4"/>
                <w:u w:val="single"/>
              </w:rPr>
              <w:t>/川源</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反洗</w:t>
            </w:r>
            <w:r>
              <w:rPr>
                <w:b/>
                <w:bCs/>
                <w:color w:val="auto"/>
                <w:spacing w:val="-1"/>
                <w:u w:val="single"/>
              </w:rPr>
              <w:t>泵</w:t>
            </w:r>
          </w:p>
        </w:tc>
        <w:tc>
          <w:tcPr>
            <w:tcW w:w="1247" w:type="pct"/>
            <w:shd w:val="clear" w:color="auto" w:fill="auto"/>
            <w:vAlign w:val="center"/>
          </w:tcPr>
          <w:p>
            <w:pPr>
              <w:jc w:val="center"/>
              <w:rPr>
                <w:b/>
                <w:bCs/>
                <w:color w:val="auto"/>
                <w:spacing w:val="-15"/>
                <w:u w:val="single"/>
              </w:rPr>
            </w:pPr>
            <w:r>
              <w:rPr>
                <w:b/>
                <w:bCs/>
                <w:color w:val="auto"/>
                <w:spacing w:val="-11"/>
                <w:u w:val="single"/>
              </w:rPr>
              <w:t>Q</w:t>
            </w:r>
            <w:r>
              <w:rPr>
                <w:b/>
                <w:bCs/>
                <w:color w:val="auto"/>
                <w:spacing w:val="-22"/>
                <w:u w:val="single"/>
              </w:rPr>
              <w:t>=</w:t>
            </w:r>
            <w:r>
              <w:rPr>
                <w:b/>
                <w:bCs/>
                <w:color w:val="auto"/>
                <w:spacing w:val="-18"/>
                <w:u w:val="single"/>
              </w:rPr>
              <w:t>8</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1"/>
                <w:u w:val="single"/>
              </w:rPr>
              <w:t>，H=35m，过流 SUS304</w:t>
            </w:r>
          </w:p>
        </w:tc>
        <w:tc>
          <w:tcPr>
            <w:tcW w:w="974" w:type="pct"/>
            <w:shd w:val="clear" w:color="auto" w:fill="auto"/>
            <w:vAlign w:val="center"/>
          </w:tcPr>
          <w:p>
            <w:pPr>
              <w:jc w:val="center"/>
              <w:rPr>
                <w:b/>
                <w:bCs/>
                <w:color w:val="auto"/>
                <w:spacing w:val="-9"/>
                <w:u w:val="single"/>
              </w:rPr>
            </w:pPr>
            <w:r>
              <w:rPr>
                <w:b/>
                <w:bCs/>
                <w:color w:val="auto"/>
                <w:spacing w:val="-4"/>
                <w:u w:val="single"/>
              </w:rPr>
              <w:t>南</w:t>
            </w:r>
            <w:r>
              <w:rPr>
                <w:rFonts w:hint="eastAsia"/>
                <w:b/>
                <w:bCs/>
                <w:color w:val="auto"/>
                <w:spacing w:val="-4"/>
                <w:u w:val="single"/>
              </w:rPr>
              <w:t>方</w:t>
            </w:r>
            <w:r>
              <w:rPr>
                <w:b/>
                <w:bCs/>
                <w:color w:val="auto"/>
                <w:spacing w:val="-4"/>
                <w:u w:val="single"/>
              </w:rPr>
              <w:t>/川源</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流量计</w:t>
            </w:r>
          </w:p>
        </w:tc>
        <w:tc>
          <w:tcPr>
            <w:tcW w:w="1247" w:type="pct"/>
            <w:shd w:val="clear" w:color="auto" w:fill="auto"/>
            <w:vAlign w:val="center"/>
          </w:tcPr>
          <w:p>
            <w:pPr>
              <w:jc w:val="center"/>
              <w:rPr>
                <w:b/>
                <w:bCs/>
                <w:color w:val="auto"/>
                <w:spacing w:val="-15"/>
                <w:u w:val="single"/>
              </w:rPr>
            </w:pPr>
            <w:r>
              <w:rPr>
                <w:b/>
                <w:bCs/>
                <w:color w:val="auto"/>
                <w:spacing w:val="-11"/>
                <w:u w:val="single"/>
              </w:rPr>
              <w:t>LZS</w:t>
            </w:r>
          </w:p>
        </w:tc>
        <w:tc>
          <w:tcPr>
            <w:tcW w:w="974" w:type="pct"/>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4"/>
                <w:u w:val="single"/>
              </w:rPr>
              <w:t>多介</w:t>
            </w:r>
            <w:r>
              <w:rPr>
                <w:b/>
                <w:bCs/>
                <w:color w:val="auto"/>
                <w:spacing w:val="-2"/>
                <w:u w:val="single"/>
              </w:rPr>
              <w:t>质过滤器</w:t>
            </w:r>
          </w:p>
        </w:tc>
        <w:tc>
          <w:tcPr>
            <w:tcW w:w="1247" w:type="pct"/>
            <w:shd w:val="clear" w:color="auto" w:fill="auto"/>
            <w:vAlign w:val="center"/>
          </w:tcPr>
          <w:p>
            <w:pPr>
              <w:jc w:val="center"/>
              <w:rPr>
                <w:b/>
                <w:bCs/>
                <w:color w:val="auto"/>
                <w:spacing w:val="-15"/>
                <w:u w:val="single"/>
              </w:rPr>
            </w:pPr>
            <w:r>
              <w:rPr>
                <w:b/>
                <w:bCs/>
                <w:color w:val="auto"/>
                <w:spacing w:val="-20"/>
                <w:u w:val="single"/>
              </w:rPr>
              <w:t>Ø</w:t>
            </w:r>
            <w:r>
              <w:rPr>
                <w:b/>
                <w:bCs/>
                <w:color w:val="auto"/>
                <w:spacing w:val="-11"/>
                <w:u w:val="single"/>
              </w:rPr>
              <w:t>8</w:t>
            </w:r>
            <w:r>
              <w:rPr>
                <w:b/>
                <w:bCs/>
                <w:color w:val="auto"/>
                <w:spacing w:val="-10"/>
                <w:u w:val="single"/>
              </w:rPr>
              <w:t>00mm，FRP 或 Q235 衬胶</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rFonts w:hint="eastAsia"/>
                <w:b/>
                <w:bCs/>
                <w:color w:val="auto"/>
                <w:spacing w:val="-8"/>
                <w:u w:val="single"/>
              </w:rPr>
              <w:t>自</w:t>
            </w:r>
            <w:r>
              <w:rPr>
                <w:b/>
                <w:bCs/>
                <w:color w:val="auto"/>
                <w:spacing w:val="-8"/>
                <w:u w:val="single"/>
              </w:rPr>
              <w:t>动控制阀</w:t>
            </w:r>
            <w:r>
              <w:rPr>
                <w:rFonts w:hint="eastAsia" w:ascii="宋体" w:hAnsi="宋体" w:cs="宋体"/>
                <w:b/>
                <w:bCs/>
                <w:color w:val="auto"/>
                <w:spacing w:val="-8"/>
                <w:u w:val="single"/>
              </w:rPr>
              <w:t>⻔</w:t>
            </w:r>
          </w:p>
        </w:tc>
        <w:tc>
          <w:tcPr>
            <w:tcW w:w="1247" w:type="pct"/>
            <w:shd w:val="clear" w:color="auto" w:fill="auto"/>
            <w:vAlign w:val="center"/>
          </w:tcPr>
          <w:p>
            <w:pPr>
              <w:jc w:val="center"/>
              <w:rPr>
                <w:b/>
                <w:bCs/>
                <w:color w:val="auto"/>
                <w:spacing w:val="-15"/>
                <w:u w:val="single"/>
              </w:rPr>
            </w:pPr>
            <w:r>
              <w:rPr>
                <w:rFonts w:eastAsia="Meiryo"/>
                <w:b/>
                <w:bCs/>
                <w:color w:val="auto"/>
                <w:spacing w:val="-11"/>
                <w:u w:val="single"/>
              </w:rPr>
              <w:t>⽓</w:t>
            </w:r>
            <w:r>
              <w:rPr>
                <w:b/>
                <w:bCs/>
                <w:color w:val="auto"/>
                <w:spacing w:val="-7"/>
                <w:u w:val="single"/>
              </w:rPr>
              <w:t>动，UPVC</w:t>
            </w:r>
          </w:p>
        </w:tc>
        <w:tc>
          <w:tcPr>
            <w:tcW w:w="974" w:type="pct"/>
            <w:shd w:val="clear" w:color="auto" w:fill="auto"/>
            <w:vAlign w:val="center"/>
          </w:tcPr>
          <w:p>
            <w:pPr>
              <w:jc w:val="center"/>
              <w:rPr>
                <w:b/>
                <w:bCs/>
                <w:color w:val="auto"/>
                <w:spacing w:val="-9"/>
                <w:u w:val="single"/>
              </w:rPr>
            </w:pPr>
            <w:r>
              <w:rPr>
                <w:b/>
                <w:bCs/>
                <w:color w:val="auto"/>
                <w:spacing w:val="-10"/>
                <w:u w:val="single"/>
              </w:rPr>
              <w:t>三</w:t>
            </w:r>
            <w:r>
              <w:rPr>
                <w:b/>
                <w:bCs/>
                <w:color w:val="auto"/>
                <w:spacing w:val="-6"/>
                <w:u w:val="single"/>
              </w:rPr>
              <w:t>厘</w:t>
            </w:r>
            <w:r>
              <w:rPr>
                <w:b/>
                <w:bCs/>
                <w:color w:val="auto"/>
                <w:spacing w:val="-5"/>
                <w:u w:val="single"/>
              </w:rPr>
              <w:t>/弗雷</w:t>
            </w:r>
            <w:r>
              <w:rPr>
                <w:rFonts w:hint="eastAsia"/>
                <w:b/>
                <w:bCs/>
                <w:color w:val="auto"/>
                <w:spacing w:val="-5"/>
                <w:u w:val="single"/>
              </w:rPr>
              <w:t>西</w:t>
            </w:r>
            <w:r>
              <w:rPr>
                <w:b/>
                <w:bCs/>
                <w:color w:val="auto"/>
                <w:spacing w:val="-5"/>
                <w:u w:val="single"/>
              </w:rPr>
              <w:t>/协</w:t>
            </w:r>
            <w:r>
              <w:rPr>
                <w:rFonts w:hint="eastAsia"/>
                <w:b/>
                <w:bCs/>
                <w:color w:val="auto"/>
                <w:spacing w:val="-5"/>
                <w:u w:val="single"/>
              </w:rPr>
              <w:t>羽</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填</w:t>
            </w:r>
            <w:r>
              <w:rPr>
                <w:b/>
                <w:bCs/>
                <w:color w:val="auto"/>
                <w:spacing w:val="-1"/>
                <w:u w:val="single"/>
              </w:rPr>
              <w:t>料</w:t>
            </w:r>
          </w:p>
        </w:tc>
        <w:tc>
          <w:tcPr>
            <w:tcW w:w="1247" w:type="pct"/>
            <w:shd w:val="clear" w:color="auto" w:fill="auto"/>
            <w:vAlign w:val="center"/>
          </w:tcPr>
          <w:p>
            <w:pPr>
              <w:jc w:val="center"/>
              <w:rPr>
                <w:b/>
                <w:bCs/>
                <w:color w:val="auto"/>
                <w:spacing w:val="-15"/>
                <w:u w:val="single"/>
              </w:rPr>
            </w:pPr>
            <w:r>
              <w:rPr>
                <w:b/>
                <w:bCs/>
                <w:color w:val="auto"/>
                <w:spacing w:val="-6"/>
                <w:u w:val="single"/>
              </w:rPr>
              <w:t>多</w:t>
            </w:r>
            <w:r>
              <w:rPr>
                <w:b/>
                <w:bCs/>
                <w:color w:val="auto"/>
                <w:spacing w:val="-3"/>
                <w:u w:val="single"/>
              </w:rPr>
              <w:t>级滤料</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滤器</w:t>
            </w:r>
            <w:r>
              <w:rPr>
                <w:rFonts w:hint="eastAsia"/>
                <w:b/>
                <w:bCs/>
                <w:color w:val="auto"/>
                <w:spacing w:val="-1"/>
                <w:u w:val="single"/>
              </w:rPr>
              <w:t>支</w:t>
            </w:r>
            <w:r>
              <w:rPr>
                <w:b/>
                <w:bCs/>
                <w:color w:val="auto"/>
                <w:spacing w:val="-1"/>
                <w:u w:val="single"/>
              </w:rPr>
              <w:t>架</w:t>
            </w:r>
          </w:p>
        </w:tc>
        <w:tc>
          <w:tcPr>
            <w:tcW w:w="1247" w:type="pct"/>
            <w:shd w:val="clear" w:color="auto" w:fill="auto"/>
            <w:vAlign w:val="center"/>
          </w:tcPr>
          <w:p>
            <w:pPr>
              <w:jc w:val="center"/>
              <w:rPr>
                <w:b/>
                <w:bCs/>
                <w:color w:val="auto"/>
                <w:spacing w:val="-15"/>
                <w:u w:val="single"/>
              </w:rPr>
            </w:pPr>
            <w:r>
              <w:rPr>
                <w:b/>
                <w:bCs/>
                <w:color w:val="auto"/>
                <w:spacing w:val="-9"/>
                <w:u w:val="single"/>
              </w:rPr>
              <w:t>Q235 防腐</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shd w:val="clear" w:color="auto" w:fill="auto"/>
            <w:vAlign w:val="center"/>
          </w:tcPr>
          <w:p>
            <w:pPr>
              <w:jc w:val="center"/>
              <w:rPr>
                <w:b/>
                <w:bCs/>
                <w:color w:val="auto"/>
                <w:spacing w:val="-9"/>
                <w:u w:val="single"/>
              </w:rPr>
            </w:pPr>
            <w:r>
              <w:rPr>
                <w:b/>
                <w:bCs/>
                <w:color w:val="auto"/>
                <w:u w:val="single"/>
              </w:rPr>
              <w:drawing>
                <wp:anchor distT="0" distB="0" distL="114300" distR="114300" simplePos="0" relativeHeight="251773952" behindDoc="0" locked="0" layoutInCell="1" allowOverlap="1">
                  <wp:simplePos x="0" y="0"/>
                  <wp:positionH relativeFrom="page">
                    <wp:posOffset>5160645</wp:posOffset>
                  </wp:positionH>
                  <wp:positionV relativeFrom="page">
                    <wp:posOffset>2168525</wp:posOffset>
                  </wp:positionV>
                  <wp:extent cx="1441450" cy="6350"/>
                  <wp:effectExtent l="0" t="0" r="0" b="0"/>
                  <wp:wrapNone/>
                  <wp:docPr id="1380" name="图片 1380"/>
                  <wp:cNvGraphicFramePr/>
                  <a:graphic xmlns:a="http://schemas.openxmlformats.org/drawingml/2006/main">
                    <a:graphicData uri="http://schemas.openxmlformats.org/drawingml/2006/picture">
                      <pic:pic xmlns:pic="http://schemas.openxmlformats.org/drawingml/2006/picture">
                        <pic:nvPicPr>
                          <pic:cNvPr id="1380" name="图片 1380"/>
                          <pic:cNvPicPr>
                            <a:picLocks noChangeArrowheads="1"/>
                          </pic:cNvPicPr>
                        </pic:nvPicPr>
                        <pic:blipFill>
                          <a:blip r:embed="rId156"/>
                          <a:srcRect/>
                          <a:stretch>
                            <a:fillRect/>
                          </a:stretch>
                        </pic:blipFill>
                        <pic:spPr>
                          <a:xfrm>
                            <a:off x="0" y="0"/>
                            <a:ext cx="1441450" cy="6350"/>
                          </a:xfrm>
                          <a:prstGeom prst="rect">
                            <a:avLst/>
                          </a:prstGeom>
                          <a:noFill/>
                          <a:ln>
                            <a:noFill/>
                          </a:ln>
                        </pic:spPr>
                      </pic:pic>
                    </a:graphicData>
                  </a:graphic>
                </wp:anchor>
              </w:drawing>
            </w:r>
            <w:r>
              <w:rPr>
                <w:b/>
                <w:bCs/>
                <w:color w:val="auto"/>
                <w:spacing w:val="-8"/>
                <w:u w:val="single"/>
              </w:rPr>
              <w:t>FEEJOY</w:t>
            </w:r>
            <w:r>
              <w:rPr>
                <w:b/>
                <w:bCs/>
                <w:color w:val="auto"/>
                <w:spacing w:val="-11"/>
                <w:u w:val="single"/>
              </w:rPr>
              <w:t>/</w:t>
            </w:r>
            <w:r>
              <w:rPr>
                <w:b/>
                <w:bCs/>
                <w:color w:val="auto"/>
                <w:spacing w:val="-8"/>
                <w:u w:val="single"/>
              </w:rPr>
              <w:t>美仪</w:t>
            </w:r>
          </w:p>
        </w:tc>
        <w:tc>
          <w:tcPr>
            <w:tcW w:w="316" w:type="pct"/>
            <w:shd w:val="clear" w:color="auto" w:fill="auto"/>
            <w:vAlign w:val="center"/>
          </w:tcPr>
          <w:p>
            <w:pPr>
              <w:jc w:val="center"/>
              <w:rPr>
                <w:b/>
                <w:bCs/>
                <w:color w:val="auto"/>
                <w:u w:val="single"/>
              </w:rPr>
            </w:pPr>
            <w:r>
              <w:rPr>
                <w:b/>
                <w:bCs/>
                <w:color w:val="auto"/>
                <w:u w:val="single"/>
              </w:rPr>
              <w:drawing>
                <wp:anchor distT="0" distB="0" distL="114300" distR="114300" simplePos="0" relativeHeight="251774976" behindDoc="0" locked="0" layoutInCell="1" allowOverlap="1">
                  <wp:simplePos x="0" y="0"/>
                  <wp:positionH relativeFrom="page">
                    <wp:posOffset>6608445</wp:posOffset>
                  </wp:positionH>
                  <wp:positionV relativeFrom="page">
                    <wp:posOffset>2168525</wp:posOffset>
                  </wp:positionV>
                  <wp:extent cx="464185" cy="6350"/>
                  <wp:effectExtent l="0" t="0" r="0" b="0"/>
                  <wp:wrapNone/>
                  <wp:docPr id="1379" name="图片 1379"/>
                  <wp:cNvGraphicFramePr/>
                  <a:graphic xmlns:a="http://schemas.openxmlformats.org/drawingml/2006/main">
                    <a:graphicData uri="http://schemas.openxmlformats.org/drawingml/2006/picture">
                      <pic:pic xmlns:pic="http://schemas.openxmlformats.org/drawingml/2006/picture">
                        <pic:nvPicPr>
                          <pic:cNvPr id="1379" name="图片 1379"/>
                          <pic:cNvPicPr>
                            <a:picLocks noChangeArrowheads="1"/>
                          </pic:cNvPicPr>
                        </pic:nvPicPr>
                        <pic:blipFill>
                          <a:blip r:embed="rId157"/>
                          <a:srcRect/>
                          <a:stretch>
                            <a:fillRect/>
                          </a:stretch>
                        </pic:blipFill>
                        <pic:spPr>
                          <a:xfrm>
                            <a:off x="0" y="0"/>
                            <a:ext cx="464185" cy="6350"/>
                          </a:xfrm>
                          <a:prstGeom prst="rect">
                            <a:avLst/>
                          </a:prstGeom>
                          <a:noFill/>
                          <a:ln>
                            <a:noFill/>
                          </a:ln>
                        </pic:spPr>
                      </pic:pic>
                    </a:graphicData>
                  </a:graphic>
                </wp:anchor>
              </w:drawing>
            </w: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drawing>
                <wp:anchor distT="0" distB="0" distL="114300" distR="114300" simplePos="0" relativeHeight="251776000" behindDoc="0" locked="0" layoutInCell="1" allowOverlap="1">
                  <wp:simplePos x="0" y="0"/>
                  <wp:positionH relativeFrom="page">
                    <wp:posOffset>7078345</wp:posOffset>
                  </wp:positionH>
                  <wp:positionV relativeFrom="page">
                    <wp:posOffset>2168525</wp:posOffset>
                  </wp:positionV>
                  <wp:extent cx="438150" cy="6350"/>
                  <wp:effectExtent l="0" t="0" r="0" b="0"/>
                  <wp:wrapNone/>
                  <wp:docPr id="1378" name="图片 1378"/>
                  <wp:cNvGraphicFramePr/>
                  <a:graphic xmlns:a="http://schemas.openxmlformats.org/drawingml/2006/main">
                    <a:graphicData uri="http://schemas.openxmlformats.org/drawingml/2006/picture">
                      <pic:pic xmlns:pic="http://schemas.openxmlformats.org/drawingml/2006/picture">
                        <pic:nvPicPr>
                          <pic:cNvPr id="1378" name="图片 1378"/>
                          <pic:cNvPicPr>
                            <a:picLocks noChangeArrowheads="1"/>
                          </pic:cNvPicPr>
                        </pic:nvPicPr>
                        <pic:blipFill>
                          <a:blip r:embed="rId158"/>
                          <a:srcRect/>
                          <a:stretch>
                            <a:fillRect/>
                          </a:stretch>
                        </pic:blipFill>
                        <pic:spPr>
                          <a:xfrm>
                            <a:off x="0" y="0"/>
                            <a:ext cx="438150" cy="6350"/>
                          </a:xfrm>
                          <a:prstGeom prst="rect">
                            <a:avLst/>
                          </a:prstGeom>
                          <a:noFill/>
                          <a:ln>
                            <a:noFill/>
                          </a:ln>
                        </pic:spPr>
                      </pic:pic>
                    </a:graphicData>
                  </a:graphic>
                </wp:anchor>
              </w:drawing>
            </w: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1"/>
                <w:u w:val="single"/>
              </w:rPr>
              <w:t>压</w:t>
            </w:r>
            <w:r>
              <w:rPr>
                <w:rFonts w:hint="eastAsia"/>
                <w:b/>
                <w:bCs/>
                <w:color w:val="auto"/>
                <w:spacing w:val="-1"/>
                <w:u w:val="single"/>
              </w:rPr>
              <w:t>力</w:t>
            </w:r>
            <w:r>
              <w:rPr>
                <w:b/>
                <w:bCs/>
                <w:color w:val="auto"/>
                <w:u w:val="single"/>
              </w:rPr>
              <w:t>表</w:t>
            </w:r>
          </w:p>
        </w:tc>
        <w:tc>
          <w:tcPr>
            <w:tcW w:w="1247" w:type="pct"/>
            <w:shd w:val="clear" w:color="auto" w:fill="auto"/>
            <w:vAlign w:val="center"/>
          </w:tcPr>
          <w:p>
            <w:pPr>
              <w:jc w:val="center"/>
              <w:rPr>
                <w:b/>
                <w:bCs/>
                <w:color w:val="auto"/>
                <w:spacing w:val="-15"/>
                <w:u w:val="single"/>
              </w:rPr>
            </w:pPr>
            <w:r>
              <w:rPr>
                <w:b/>
                <w:bCs/>
                <w:color w:val="auto"/>
                <w:spacing w:val="-11"/>
                <w:u w:val="single"/>
              </w:rPr>
              <w:t>0</w:t>
            </w:r>
            <w:r>
              <w:rPr>
                <w:b/>
                <w:bCs/>
                <w:color w:val="auto"/>
                <w:spacing w:val="-10"/>
                <w:u w:val="single"/>
              </w:rPr>
              <w:t>-0.6MPa，SUS304 材质</w:t>
            </w:r>
          </w:p>
        </w:tc>
        <w:tc>
          <w:tcPr>
            <w:tcW w:w="974" w:type="pct"/>
            <w:shd w:val="clear" w:color="auto" w:fill="auto"/>
            <w:vAlign w:val="center"/>
          </w:tcPr>
          <w:p>
            <w:pPr>
              <w:jc w:val="center"/>
              <w:rPr>
                <w:b/>
                <w:bCs/>
                <w:color w:val="auto"/>
                <w:spacing w:val="-9"/>
                <w:u w:val="single"/>
              </w:rPr>
            </w:pPr>
            <w:r>
              <w:rPr>
                <w:b/>
                <w:bCs/>
                <w:color w:val="auto"/>
                <w:spacing w:val="-16"/>
                <w:u w:val="single"/>
              </w:rPr>
              <w:t>布</w:t>
            </w:r>
            <w:r>
              <w:rPr>
                <w:b/>
                <w:bCs/>
                <w:color w:val="auto"/>
                <w:spacing w:val="-8"/>
                <w:u w:val="single"/>
              </w:rPr>
              <w:t>莱迪/KINGTAI/先锋</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滤产</w:t>
            </w:r>
            <w:r>
              <w:rPr>
                <w:rFonts w:hint="eastAsia"/>
                <w:b/>
                <w:bCs/>
                <w:color w:val="auto"/>
                <w:spacing w:val="-1"/>
                <w:u w:val="single"/>
              </w:rPr>
              <w:t>水</w:t>
            </w:r>
            <w:r>
              <w:rPr>
                <w:b/>
                <w:bCs/>
                <w:color w:val="auto"/>
                <w:spacing w:val="-1"/>
                <w:u w:val="single"/>
              </w:rPr>
              <w:t>箱</w:t>
            </w:r>
          </w:p>
        </w:tc>
        <w:tc>
          <w:tcPr>
            <w:tcW w:w="1247" w:type="pct"/>
            <w:shd w:val="clear" w:color="auto" w:fill="auto"/>
            <w:vAlign w:val="center"/>
          </w:tcPr>
          <w:p>
            <w:pPr>
              <w:jc w:val="center"/>
              <w:rPr>
                <w:b/>
                <w:bCs/>
                <w:color w:val="auto"/>
                <w:spacing w:val="-15"/>
                <w:u w:val="single"/>
              </w:rPr>
            </w:pPr>
            <w:r>
              <w:rPr>
                <w:b/>
                <w:bCs/>
                <w:color w:val="auto"/>
                <w:spacing w:val="-11"/>
                <w:u w:val="single"/>
              </w:rPr>
              <w:t>10T，PE/PPH</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p>
        </w:tc>
        <w:tc>
          <w:tcPr>
            <w:tcW w:w="316" w:type="pct"/>
            <w:shd w:val="clear" w:color="auto" w:fill="auto"/>
            <w:vAlign w:val="center"/>
          </w:tcPr>
          <w:p>
            <w:pPr>
              <w:jc w:val="center"/>
              <w:rPr>
                <w:b/>
                <w:bCs/>
                <w:color w:val="auto"/>
                <w:u w:val="single"/>
              </w:rPr>
            </w:pPr>
          </w:p>
        </w:tc>
        <w:tc>
          <w:tcPr>
            <w:tcW w:w="298" w:type="pct"/>
            <w:shd w:val="clear" w:color="auto" w:fill="auto"/>
            <w:vAlign w:val="center"/>
          </w:tcPr>
          <w:p>
            <w:pPr>
              <w:jc w:val="center"/>
              <w:rPr>
                <w:b/>
                <w:bCs/>
                <w:color w:val="auto"/>
                <w:u w:val="single"/>
              </w:rPr>
            </w:pP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u w:val="single"/>
              </w:rPr>
              <w:t>5</w:t>
            </w:r>
          </w:p>
        </w:tc>
        <w:tc>
          <w:tcPr>
            <w:tcW w:w="1316" w:type="pct"/>
            <w:gridSpan w:val="2"/>
            <w:shd w:val="clear" w:color="auto" w:fill="auto"/>
            <w:vAlign w:val="center"/>
          </w:tcPr>
          <w:p>
            <w:pPr>
              <w:jc w:val="center"/>
              <w:rPr>
                <w:rFonts w:hint="eastAsia" w:eastAsia="宋体"/>
                <w:b/>
                <w:bCs/>
                <w:color w:val="auto"/>
                <w:spacing w:val="-10"/>
                <w:u w:val="single"/>
                <w:lang w:val="en-US" w:eastAsia="zh-CN"/>
              </w:rPr>
            </w:pPr>
            <w:r>
              <w:rPr>
                <w:rFonts w:hint="eastAsia"/>
                <w:b/>
                <w:bCs/>
                <w:color w:val="auto"/>
                <w:spacing w:val="-5"/>
                <w:u w:val="single"/>
              </w:rPr>
              <w:t>二</w:t>
            </w:r>
            <w:r>
              <w:rPr>
                <w:b/>
                <w:bCs/>
                <w:color w:val="auto"/>
                <w:spacing w:val="-5"/>
                <w:u w:val="single"/>
              </w:rPr>
              <w:t>次管道阀</w:t>
            </w:r>
            <w:r>
              <w:rPr>
                <w:rFonts w:hint="eastAsia"/>
                <w:b/>
                <w:bCs/>
                <w:color w:val="auto"/>
                <w:spacing w:val="-5"/>
                <w:u w:val="single"/>
                <w:lang w:val="en-US" w:eastAsia="zh-CN"/>
              </w:rPr>
              <w:t>门</w:t>
            </w:r>
          </w:p>
        </w:tc>
        <w:tc>
          <w:tcPr>
            <w:tcW w:w="1247" w:type="pct"/>
            <w:shd w:val="clear" w:color="auto" w:fill="auto"/>
            <w:vAlign w:val="center"/>
          </w:tcPr>
          <w:p>
            <w:pPr>
              <w:jc w:val="center"/>
              <w:rPr>
                <w:b/>
                <w:bCs/>
                <w:color w:val="auto"/>
                <w:spacing w:val="-15"/>
                <w:u w:val="single"/>
              </w:rPr>
            </w:pPr>
            <w:r>
              <w:rPr>
                <w:b/>
                <w:bCs/>
                <w:color w:val="auto"/>
                <w:spacing w:val="-10"/>
                <w:u w:val="single"/>
              </w:rPr>
              <w:t>PN</w:t>
            </w:r>
            <w:r>
              <w:rPr>
                <w:b/>
                <w:bCs/>
                <w:color w:val="auto"/>
                <w:spacing w:val="-16"/>
                <w:u w:val="single"/>
              </w:rPr>
              <w:t>1</w:t>
            </w:r>
            <w:r>
              <w:rPr>
                <w:b/>
                <w:bCs/>
                <w:color w:val="auto"/>
                <w:spacing w:val="-10"/>
                <w:u w:val="single"/>
              </w:rPr>
              <w:t>0</w:t>
            </w:r>
            <w:r>
              <w:rPr>
                <w:rFonts w:hint="eastAsia"/>
                <w:b/>
                <w:bCs/>
                <w:color w:val="auto"/>
                <w:spacing w:val="-10"/>
                <w:u w:val="single"/>
              </w:rPr>
              <w:t>，</w:t>
            </w:r>
            <w:r>
              <w:rPr>
                <w:b/>
                <w:bCs/>
                <w:color w:val="auto"/>
                <w:spacing w:val="-10"/>
                <w:u w:val="single"/>
              </w:rPr>
              <w:t>UPVC 化</w:t>
            </w:r>
            <w:r>
              <w:rPr>
                <w:rFonts w:eastAsia="Meiryo"/>
                <w:b/>
                <w:bCs/>
                <w:color w:val="auto"/>
                <w:spacing w:val="-10"/>
                <w:u w:val="single"/>
              </w:rPr>
              <w:t>⼯</w:t>
            </w:r>
            <w:r>
              <w:rPr>
                <w:b/>
                <w:bCs/>
                <w:color w:val="auto"/>
                <w:spacing w:val="-10"/>
                <w:u w:val="single"/>
              </w:rPr>
              <w:t>管</w:t>
            </w:r>
          </w:p>
        </w:tc>
        <w:tc>
          <w:tcPr>
            <w:tcW w:w="974" w:type="pct"/>
            <w:shd w:val="clear" w:color="auto" w:fill="auto"/>
            <w:vAlign w:val="center"/>
          </w:tcPr>
          <w:p>
            <w:pPr>
              <w:jc w:val="center"/>
              <w:rPr>
                <w:b/>
                <w:bCs/>
                <w:color w:val="auto"/>
                <w:spacing w:val="-9"/>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u w:val="single"/>
              </w:rPr>
              <w:t>6</w:t>
            </w:r>
          </w:p>
        </w:tc>
        <w:tc>
          <w:tcPr>
            <w:tcW w:w="1316" w:type="pct"/>
            <w:gridSpan w:val="2"/>
            <w:shd w:val="clear" w:color="auto" w:fill="auto"/>
            <w:vAlign w:val="center"/>
          </w:tcPr>
          <w:p>
            <w:pPr>
              <w:jc w:val="center"/>
              <w:rPr>
                <w:b/>
                <w:bCs/>
                <w:color w:val="auto"/>
                <w:spacing w:val="-10"/>
                <w:u w:val="single"/>
              </w:rPr>
            </w:pPr>
            <w:r>
              <w:rPr>
                <w:b/>
                <w:bCs/>
                <w:color w:val="auto"/>
                <w:spacing w:val="-2"/>
                <w:u w:val="single"/>
              </w:rPr>
              <w:t>五金杂件</w:t>
            </w:r>
            <w:r>
              <w:rPr>
                <w:b/>
                <w:bCs/>
                <w:color w:val="auto"/>
                <w:spacing w:val="-1"/>
                <w:u w:val="single"/>
              </w:rPr>
              <w:t>辅材</w:t>
            </w: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u w:val="single"/>
              </w:rPr>
              <w:t>7</w:t>
            </w:r>
          </w:p>
        </w:tc>
        <w:tc>
          <w:tcPr>
            <w:tcW w:w="1316" w:type="pct"/>
            <w:gridSpan w:val="2"/>
            <w:shd w:val="clear" w:color="auto" w:fill="auto"/>
            <w:vAlign w:val="center"/>
          </w:tcPr>
          <w:p>
            <w:pPr>
              <w:jc w:val="center"/>
              <w:rPr>
                <w:b/>
                <w:bCs/>
                <w:color w:val="auto"/>
                <w:spacing w:val="-10"/>
                <w:u w:val="single"/>
              </w:rPr>
            </w:pPr>
            <w:r>
              <w:rPr>
                <w:b/>
                <w:bCs/>
                <w:color w:val="auto"/>
                <w:spacing w:val="-2"/>
                <w:u w:val="single"/>
              </w:rPr>
              <w:t>动力控制线</w:t>
            </w:r>
            <w:r>
              <w:rPr>
                <w:b/>
                <w:bCs/>
                <w:color w:val="auto"/>
                <w:spacing w:val="-1"/>
                <w:u w:val="single"/>
              </w:rPr>
              <w:t>缆</w:t>
            </w: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92" w:type="pct"/>
            <w:shd w:val="clear" w:color="auto" w:fill="auto"/>
            <w:vAlign w:val="center"/>
          </w:tcPr>
          <w:p>
            <w:pPr>
              <w:jc w:val="center"/>
              <w:rPr>
                <w:b/>
                <w:bCs/>
                <w:color w:val="auto"/>
                <w:u w:val="single"/>
              </w:rPr>
            </w:pPr>
            <w:r>
              <w:rPr>
                <w:b/>
                <w:bCs/>
                <w:color w:val="auto"/>
                <w:u w:val="single"/>
              </w:rPr>
              <w:t>8</w:t>
            </w:r>
          </w:p>
        </w:tc>
        <w:tc>
          <w:tcPr>
            <w:tcW w:w="1316" w:type="pct"/>
            <w:gridSpan w:val="2"/>
            <w:shd w:val="clear" w:color="auto" w:fill="auto"/>
            <w:vAlign w:val="center"/>
          </w:tcPr>
          <w:p>
            <w:pPr>
              <w:jc w:val="center"/>
              <w:rPr>
                <w:b/>
                <w:bCs/>
                <w:color w:val="auto"/>
                <w:spacing w:val="-10"/>
                <w:u w:val="single"/>
              </w:rPr>
            </w:pPr>
            <w:r>
              <w:rPr>
                <w:b/>
                <w:bCs/>
                <w:color w:val="auto"/>
                <w:spacing w:val="-1"/>
                <w:u w:val="single"/>
              </w:rPr>
              <w:t>桥架及线</w:t>
            </w:r>
            <w:r>
              <w:rPr>
                <w:b/>
                <w:bCs/>
                <w:color w:val="auto"/>
                <w:u w:val="single"/>
              </w:rPr>
              <w:t>管</w:t>
            </w: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textAlignment w:val="auto"/>
        <w:rPr>
          <w:rFonts w:ascii="宋体" w:hAnsi="宋体"/>
          <w:b/>
          <w:bCs/>
          <w:color w:val="auto"/>
          <w:kern w:val="21"/>
          <w:sz w:val="24"/>
          <w:u w:val="single"/>
          <w:lang w:val="en-US"/>
        </w:rPr>
      </w:pPr>
      <w:r>
        <w:rPr>
          <w:rFonts w:hint="eastAsia" w:ascii="宋体" w:hAnsi="宋体"/>
          <w:b/>
          <w:bCs/>
          <w:color w:val="auto"/>
          <w:kern w:val="21"/>
          <w:sz w:val="24"/>
          <w:u w:val="single"/>
          <w:lang w:val="en-US"/>
        </w:rPr>
        <w:t>（3）含铬废水预处理系统可行性分析及处理效率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1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①</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还原</w:t>
      </w:r>
      <w:r>
        <w:rPr>
          <w:rFonts w:hint="eastAsia" w:ascii="宋体" w:hAnsi="宋体"/>
          <w:b/>
          <w:bCs/>
          <w:color w:val="auto"/>
          <w:kern w:val="21"/>
          <w:sz w:val="24"/>
          <w:u w:val="single"/>
          <w:lang w:val="en-US"/>
        </w:rPr>
        <w:t>+</w:t>
      </w:r>
      <w:r>
        <w:rPr>
          <w:rFonts w:ascii="宋体" w:hAnsi="宋体"/>
          <w:b/>
          <w:bCs/>
          <w:color w:val="auto"/>
          <w:kern w:val="21"/>
          <w:sz w:val="24"/>
          <w:u w:val="single"/>
          <w:lang w:val="en-US"/>
        </w:rPr>
        <w:t>混凝沉淀</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本项目含铬废水采用化学还原法处理技术进行预处理，依据《电镀污染防治最佳可行技术指南》</w:t>
      </w:r>
      <w:r>
        <w:rPr>
          <w:rFonts w:hint="default" w:ascii="Times New Roman" w:hAnsi="Times New Roman" w:cs="Times New Roman"/>
          <w:b/>
          <w:bCs/>
          <w:color w:val="auto"/>
          <w:kern w:val="21"/>
          <w:sz w:val="24"/>
          <w:u w:val="single"/>
          <w:lang w:val="en-US"/>
        </w:rPr>
        <w:t>（试行）（HJ-BAT-11）</w:t>
      </w:r>
      <w:r>
        <w:rPr>
          <w:rFonts w:hint="eastAsia" w:ascii="宋体" w:hAnsi="宋体"/>
          <w:b/>
          <w:bCs/>
          <w:color w:val="auto"/>
          <w:kern w:val="21"/>
          <w:sz w:val="24"/>
          <w:u w:val="single"/>
          <w:lang w:val="en-US"/>
        </w:rPr>
        <w:t>，化学还原法是在酸性（</w:t>
      </w:r>
      <w:r>
        <w:rPr>
          <w:rFonts w:ascii="宋体" w:hAnsi="宋体"/>
          <w:b/>
          <w:bCs/>
          <w:color w:val="auto"/>
          <w:kern w:val="21"/>
          <w:sz w:val="24"/>
          <w:u w:val="single"/>
          <w:lang w:val="en-US"/>
        </w:rPr>
        <w:t xml:space="preserve">pH </w:t>
      </w:r>
      <w:r>
        <w:rPr>
          <w:rFonts w:hint="eastAsia" w:ascii="宋体" w:hAnsi="宋体"/>
          <w:b/>
          <w:bCs/>
          <w:color w:val="auto"/>
          <w:kern w:val="21"/>
          <w:sz w:val="24"/>
          <w:u w:val="single"/>
          <w:lang w:val="en-US"/>
        </w:rPr>
        <w:t>值</w:t>
      </w:r>
      <w:r>
        <w:rPr>
          <w:rFonts w:ascii="宋体" w:hAnsi="宋体"/>
          <w:b/>
          <w:bCs/>
          <w:color w:val="auto"/>
          <w:kern w:val="21"/>
          <w:sz w:val="24"/>
          <w:u w:val="single"/>
          <w:lang w:val="en-US"/>
        </w:rPr>
        <w:t>2.5</w:t>
      </w:r>
      <w:r>
        <w:rPr>
          <w:rFonts w:hint="eastAsia" w:ascii="宋体" w:hAnsi="宋体"/>
          <w:b/>
          <w:bCs/>
          <w:color w:val="auto"/>
          <w:kern w:val="21"/>
          <w:sz w:val="24"/>
          <w:u w:val="single"/>
          <w:lang w:val="en-US"/>
        </w:rPr>
        <w:t>～</w:t>
      </w:r>
      <w:r>
        <w:rPr>
          <w:rFonts w:ascii="宋体" w:hAnsi="宋体"/>
          <w:b/>
          <w:bCs/>
          <w:color w:val="auto"/>
          <w:kern w:val="21"/>
          <w:sz w:val="24"/>
          <w:u w:val="single"/>
          <w:lang w:val="en-US"/>
        </w:rPr>
        <w:t>3.0</w:t>
      </w:r>
      <w:r>
        <w:rPr>
          <w:rFonts w:hint="eastAsia" w:ascii="宋体" w:hAnsi="宋体"/>
          <w:b/>
          <w:bCs/>
          <w:color w:val="auto"/>
          <w:kern w:val="21"/>
          <w:sz w:val="24"/>
          <w:u w:val="single"/>
          <w:lang w:val="en-US"/>
        </w:rPr>
        <w:t>）条件下，将废水中的六价铬还原成低毒的三价铬，再调整</w:t>
      </w:r>
      <w:r>
        <w:rPr>
          <w:rFonts w:ascii="宋体" w:hAnsi="宋体"/>
          <w:b/>
          <w:bCs/>
          <w:color w:val="auto"/>
          <w:kern w:val="21"/>
          <w:sz w:val="24"/>
          <w:u w:val="single"/>
          <w:lang w:val="en-US"/>
        </w:rPr>
        <w:t xml:space="preserve">pH </w:t>
      </w:r>
      <w:r>
        <w:rPr>
          <w:rFonts w:hint="eastAsia" w:ascii="宋体" w:hAnsi="宋体"/>
          <w:b/>
          <w:bCs/>
          <w:color w:val="auto"/>
          <w:kern w:val="21"/>
          <w:sz w:val="24"/>
          <w:u w:val="single"/>
          <w:lang w:val="en-US"/>
        </w:rPr>
        <w:t>值至</w:t>
      </w:r>
      <w:r>
        <w:rPr>
          <w:rFonts w:ascii="宋体" w:hAnsi="宋体"/>
          <w:b/>
          <w:bCs/>
          <w:color w:val="auto"/>
          <w:kern w:val="21"/>
          <w:sz w:val="24"/>
          <w:u w:val="single"/>
          <w:lang w:val="en-US"/>
        </w:rPr>
        <w:t>7</w:t>
      </w:r>
      <w:r>
        <w:rPr>
          <w:rFonts w:hint="eastAsia" w:ascii="宋体" w:hAnsi="宋体"/>
          <w:b/>
          <w:bCs/>
          <w:color w:val="auto"/>
          <w:kern w:val="21"/>
          <w:sz w:val="24"/>
          <w:u w:val="single"/>
          <w:lang w:val="en-US"/>
        </w:rPr>
        <w:t>～</w:t>
      </w:r>
      <w:r>
        <w:rPr>
          <w:rFonts w:ascii="宋体" w:hAnsi="宋体"/>
          <w:b/>
          <w:bCs/>
          <w:color w:val="auto"/>
          <w:kern w:val="21"/>
          <w:sz w:val="24"/>
          <w:u w:val="single"/>
          <w:lang w:val="en-US"/>
        </w:rPr>
        <w:t>9</w:t>
      </w:r>
      <w:r>
        <w:rPr>
          <w:rFonts w:hint="eastAsia" w:ascii="宋体" w:hAnsi="宋体"/>
          <w:b/>
          <w:bCs/>
          <w:color w:val="auto"/>
          <w:kern w:val="21"/>
          <w:sz w:val="24"/>
          <w:u w:val="single"/>
          <w:lang w:val="en-US"/>
        </w:rPr>
        <w:t>，使其以氢氧化铬形态沉淀去除。该技术可消除含铬废水的毒性，具有稳定、可靠、易于实现自动控制等特点，该技术适用于电镀企业含铬废水的处理。化学还原法处理重金属去除率≥</w:t>
      </w:r>
      <w:r>
        <w:rPr>
          <w:rFonts w:ascii="宋体" w:hAnsi="宋体"/>
          <w:b/>
          <w:bCs/>
          <w:color w:val="auto"/>
          <w:kern w:val="21"/>
          <w:sz w:val="24"/>
          <w:u w:val="single"/>
          <w:lang w:val="en-US"/>
        </w:rPr>
        <w:t>98%。</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2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②</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多介质过滤</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多介质过滤系统与含镍、含锌处理系统相同</w:t>
      </w:r>
      <w:r>
        <w:rPr>
          <w:rFonts w:hint="eastAsia" w:ascii="宋体" w:hAnsi="宋体"/>
          <w:b/>
          <w:bCs/>
          <w:color w:val="auto"/>
          <w:kern w:val="21"/>
          <w:sz w:val="24"/>
          <w:u w:val="single"/>
          <w:lang w:val="en-US" w:eastAsia="zh-CN"/>
        </w:rPr>
        <w:t>，</w:t>
      </w:r>
      <w:r>
        <w:rPr>
          <w:rFonts w:hint="eastAsia" w:ascii="宋体" w:hAnsi="宋体"/>
          <w:b/>
          <w:bCs/>
          <w:color w:val="auto"/>
          <w:kern w:val="21"/>
          <w:sz w:val="24"/>
          <w:u w:val="single"/>
          <w:lang w:val="en-US"/>
        </w:rPr>
        <w:t>此处不再赘述。</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处理效果见下表。</w:t>
      </w:r>
    </w:p>
    <w:p>
      <w:pPr>
        <w:pStyle w:val="32"/>
        <w:adjustRightInd w:val="0"/>
        <w:snapToGrid w:val="0"/>
        <w:spacing w:after="0" w:line="360" w:lineRule="auto"/>
        <w:ind w:firstLine="482" w:firstLineChars="200"/>
        <w:jc w:val="center"/>
        <w:rPr>
          <w:rFonts w:ascii="宋体" w:hAnsi="宋体"/>
          <w:b/>
          <w:bCs/>
          <w:color w:val="auto"/>
          <w:kern w:val="21"/>
          <w:sz w:val="24"/>
          <w:u w:val="single"/>
        </w:rPr>
      </w:pPr>
      <w:r>
        <w:rPr>
          <w:rFonts w:hint="eastAsia" w:eastAsia="黑体"/>
          <w:b/>
          <w:bCs/>
          <w:color w:val="auto"/>
          <w:kern w:val="21"/>
          <w:sz w:val="24"/>
          <w:u w:val="single"/>
          <w:lang w:val="en-US"/>
        </w:rPr>
        <w:t>表7.2-6</w:t>
      </w:r>
      <w:r>
        <w:rPr>
          <w:rFonts w:eastAsia="黑体"/>
          <w:b/>
          <w:bCs/>
          <w:color w:val="auto"/>
          <w:kern w:val="21"/>
          <w:sz w:val="24"/>
          <w:u w:val="single"/>
          <w:lang w:val="en-US"/>
        </w:rPr>
        <w:t xml:space="preserve">   </w:t>
      </w:r>
      <w:r>
        <w:rPr>
          <w:rFonts w:hint="eastAsia" w:eastAsia="黑体"/>
          <w:b/>
          <w:bCs/>
          <w:color w:val="auto"/>
          <w:kern w:val="21"/>
          <w:sz w:val="24"/>
          <w:u w:val="single"/>
          <w:lang w:val="en-US"/>
        </w:rPr>
        <w:t>含铬废水预处理系统处理效率</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528"/>
        <w:gridCol w:w="1004"/>
        <w:gridCol w:w="695"/>
        <w:gridCol w:w="821"/>
        <w:gridCol w:w="695"/>
        <w:gridCol w:w="695"/>
        <w:gridCol w:w="695"/>
        <w:gridCol w:w="696"/>
        <w:gridCol w:w="900"/>
        <w:gridCol w:w="79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Merge w:val="restart"/>
            <w:vAlign w:val="center"/>
          </w:tcPr>
          <w:p>
            <w:pPr>
              <w:jc w:val="center"/>
              <w:rPr>
                <w:b/>
                <w:bCs/>
                <w:color w:val="auto"/>
                <w:u w:val="single"/>
              </w:rPr>
            </w:pPr>
            <w:r>
              <w:rPr>
                <w:b/>
                <w:bCs/>
                <w:color w:val="auto"/>
                <w:u w:val="single"/>
              </w:rPr>
              <w:t>项目</w:t>
            </w:r>
          </w:p>
        </w:tc>
        <w:tc>
          <w:tcPr>
            <w:tcW w:w="588" w:type="pct"/>
            <w:vAlign w:val="center"/>
          </w:tcPr>
          <w:p>
            <w:pPr>
              <w:jc w:val="center"/>
              <w:rPr>
                <w:b/>
                <w:bCs/>
                <w:color w:val="auto"/>
                <w:u w:val="single"/>
              </w:rPr>
            </w:pPr>
            <w:r>
              <w:rPr>
                <w:b/>
                <w:bCs/>
                <w:color w:val="auto"/>
                <w:u w:val="single"/>
              </w:rPr>
              <w:t>水量</w:t>
            </w:r>
          </w:p>
        </w:tc>
        <w:tc>
          <w:tcPr>
            <w:tcW w:w="442" w:type="pct"/>
            <w:vAlign w:val="center"/>
          </w:tcPr>
          <w:p>
            <w:pPr>
              <w:jc w:val="center"/>
              <w:rPr>
                <w:b/>
                <w:bCs/>
                <w:color w:val="auto"/>
                <w:u w:val="single"/>
                <w:vertAlign w:val="superscript"/>
              </w:rPr>
            </w:pPr>
            <w:r>
              <w:rPr>
                <w:b/>
                <w:bCs/>
                <w:color w:val="auto"/>
                <w:kern w:val="21"/>
                <w:u w:val="single"/>
              </w:rPr>
              <w:t>COD</w:t>
            </w:r>
          </w:p>
        </w:tc>
        <w:tc>
          <w:tcPr>
            <w:tcW w:w="450" w:type="pct"/>
            <w:vAlign w:val="center"/>
          </w:tcPr>
          <w:p>
            <w:pPr>
              <w:jc w:val="center"/>
              <w:rPr>
                <w:b/>
                <w:bCs/>
                <w:color w:val="auto"/>
                <w:u w:val="single"/>
              </w:rPr>
            </w:pPr>
            <w:r>
              <w:rPr>
                <w:b/>
                <w:bCs/>
                <w:color w:val="auto"/>
                <w:kern w:val="21"/>
                <w:u w:val="single"/>
              </w:rPr>
              <w:t>NH</w:t>
            </w:r>
            <w:r>
              <w:rPr>
                <w:b/>
                <w:bCs/>
                <w:color w:val="auto"/>
                <w:kern w:val="21"/>
                <w:u w:val="single"/>
                <w:vertAlign w:val="subscript"/>
              </w:rPr>
              <w:t>3</w:t>
            </w:r>
            <w:r>
              <w:rPr>
                <w:b/>
                <w:bCs/>
                <w:color w:val="auto"/>
                <w:kern w:val="21"/>
                <w:u w:val="single"/>
              </w:rPr>
              <w:t>-N</w:t>
            </w:r>
          </w:p>
        </w:tc>
        <w:tc>
          <w:tcPr>
            <w:tcW w:w="448" w:type="pct"/>
            <w:vAlign w:val="center"/>
          </w:tcPr>
          <w:p>
            <w:pPr>
              <w:jc w:val="center"/>
              <w:rPr>
                <w:b/>
                <w:bCs/>
                <w:color w:val="auto"/>
                <w:u w:val="single"/>
              </w:rPr>
            </w:pPr>
            <w:r>
              <w:rPr>
                <w:b/>
                <w:bCs/>
                <w:color w:val="auto"/>
                <w:kern w:val="21"/>
                <w:u w:val="single"/>
              </w:rPr>
              <w:t>SS</w:t>
            </w:r>
          </w:p>
        </w:tc>
        <w:tc>
          <w:tcPr>
            <w:tcW w:w="408" w:type="pct"/>
            <w:tcBorders>
              <w:right w:val="single" w:color="auto" w:sz="4" w:space="0"/>
            </w:tcBorders>
            <w:vAlign w:val="center"/>
          </w:tcPr>
          <w:p>
            <w:pPr>
              <w:jc w:val="center"/>
              <w:rPr>
                <w:b/>
                <w:bCs/>
                <w:color w:val="auto"/>
                <w:kern w:val="21"/>
                <w:u w:val="single"/>
              </w:rPr>
            </w:pPr>
            <w:r>
              <w:rPr>
                <w:b/>
                <w:bCs/>
                <w:color w:val="auto"/>
                <w:kern w:val="21"/>
                <w:u w:val="single"/>
              </w:rPr>
              <w:t>石油类</w:t>
            </w:r>
          </w:p>
        </w:tc>
        <w:tc>
          <w:tcPr>
            <w:tcW w:w="387" w:type="pct"/>
            <w:tcBorders>
              <w:left w:val="single" w:color="auto" w:sz="4" w:space="0"/>
            </w:tcBorders>
            <w:vAlign w:val="center"/>
          </w:tcPr>
          <w:p>
            <w:pPr>
              <w:jc w:val="center"/>
              <w:rPr>
                <w:b/>
                <w:bCs/>
                <w:color w:val="auto"/>
                <w:u w:val="single"/>
                <w:vertAlign w:val="superscript"/>
              </w:rPr>
            </w:pPr>
            <w:r>
              <w:rPr>
                <w:b/>
                <w:bCs/>
                <w:color w:val="auto"/>
                <w:kern w:val="21"/>
                <w:u w:val="single"/>
              </w:rPr>
              <w:t>总镍</w:t>
            </w:r>
          </w:p>
        </w:tc>
        <w:tc>
          <w:tcPr>
            <w:tcW w:w="309" w:type="pct"/>
            <w:vAlign w:val="center"/>
          </w:tcPr>
          <w:p>
            <w:pPr>
              <w:jc w:val="center"/>
              <w:rPr>
                <w:b/>
                <w:bCs/>
                <w:color w:val="auto"/>
                <w:kern w:val="21"/>
                <w:u w:val="single"/>
              </w:rPr>
            </w:pPr>
            <w:r>
              <w:rPr>
                <w:b/>
                <w:bCs/>
                <w:color w:val="auto"/>
                <w:kern w:val="21"/>
                <w:u w:val="single"/>
              </w:rPr>
              <w:t>总锌</w:t>
            </w:r>
          </w:p>
        </w:tc>
        <w:tc>
          <w:tcPr>
            <w:tcW w:w="384" w:type="pct"/>
            <w:vAlign w:val="center"/>
          </w:tcPr>
          <w:p>
            <w:pPr>
              <w:jc w:val="center"/>
              <w:rPr>
                <w:b/>
                <w:bCs/>
                <w:color w:val="auto"/>
                <w:kern w:val="21"/>
                <w:u w:val="single"/>
              </w:rPr>
            </w:pPr>
            <w:r>
              <w:rPr>
                <w:b/>
                <w:bCs/>
                <w:color w:val="auto"/>
                <w:kern w:val="21"/>
                <w:u w:val="single"/>
              </w:rPr>
              <w:t>六价铬</w:t>
            </w:r>
          </w:p>
        </w:tc>
        <w:tc>
          <w:tcPr>
            <w:tcW w:w="434" w:type="pct"/>
            <w:vAlign w:val="center"/>
          </w:tcPr>
          <w:p>
            <w:pPr>
              <w:jc w:val="center"/>
              <w:rPr>
                <w:b/>
                <w:bCs/>
                <w:color w:val="auto"/>
                <w:kern w:val="21"/>
                <w:u w:val="single"/>
              </w:rPr>
            </w:pPr>
            <w:r>
              <w:rPr>
                <w:b/>
                <w:bCs/>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Merge w:val="continue"/>
            <w:vAlign w:val="center"/>
          </w:tcPr>
          <w:p>
            <w:pPr>
              <w:jc w:val="center"/>
              <w:rPr>
                <w:b/>
                <w:bCs/>
                <w:color w:val="auto"/>
                <w:u w:val="single"/>
              </w:rPr>
            </w:pPr>
          </w:p>
        </w:tc>
        <w:tc>
          <w:tcPr>
            <w:tcW w:w="588" w:type="pct"/>
            <w:vAlign w:val="center"/>
          </w:tcPr>
          <w:p>
            <w:pPr>
              <w:jc w:val="center"/>
              <w:rPr>
                <w:b/>
                <w:bCs/>
                <w:color w:val="auto"/>
                <w:u w:val="single"/>
              </w:rPr>
            </w:pPr>
            <w:r>
              <w:rPr>
                <w:b/>
                <w:bCs/>
                <w:color w:val="auto"/>
                <w:u w:val="single"/>
              </w:rPr>
              <w:t>m</w:t>
            </w:r>
            <w:r>
              <w:rPr>
                <w:b/>
                <w:bCs/>
                <w:color w:val="auto"/>
                <w:u w:val="single"/>
                <w:vertAlign w:val="superscript"/>
              </w:rPr>
              <w:t>3</w:t>
            </w:r>
            <w:r>
              <w:rPr>
                <w:b/>
                <w:bCs/>
                <w:color w:val="auto"/>
                <w:u w:val="single"/>
              </w:rPr>
              <w:t>/d</w:t>
            </w:r>
          </w:p>
        </w:tc>
        <w:tc>
          <w:tcPr>
            <w:tcW w:w="442" w:type="pct"/>
            <w:vAlign w:val="center"/>
          </w:tcPr>
          <w:p>
            <w:pPr>
              <w:jc w:val="center"/>
              <w:rPr>
                <w:b/>
                <w:bCs/>
                <w:color w:val="auto"/>
                <w:u w:val="single"/>
              </w:rPr>
            </w:pPr>
            <w:r>
              <w:rPr>
                <w:b/>
                <w:bCs/>
                <w:color w:val="auto"/>
                <w:u w:val="single"/>
              </w:rPr>
              <w:t>mg/L</w:t>
            </w:r>
          </w:p>
        </w:tc>
        <w:tc>
          <w:tcPr>
            <w:tcW w:w="450" w:type="pct"/>
            <w:vAlign w:val="center"/>
          </w:tcPr>
          <w:p>
            <w:pPr>
              <w:jc w:val="center"/>
              <w:rPr>
                <w:b/>
                <w:bCs/>
                <w:color w:val="auto"/>
                <w:u w:val="single"/>
              </w:rPr>
            </w:pPr>
            <w:r>
              <w:rPr>
                <w:b/>
                <w:bCs/>
                <w:color w:val="auto"/>
                <w:u w:val="single"/>
              </w:rPr>
              <w:t>mg/L</w:t>
            </w:r>
          </w:p>
        </w:tc>
        <w:tc>
          <w:tcPr>
            <w:tcW w:w="448" w:type="pct"/>
            <w:vAlign w:val="center"/>
          </w:tcPr>
          <w:p>
            <w:pPr>
              <w:jc w:val="center"/>
              <w:rPr>
                <w:b/>
                <w:bCs/>
                <w:color w:val="auto"/>
                <w:u w:val="single"/>
              </w:rPr>
            </w:pPr>
            <w:r>
              <w:rPr>
                <w:b/>
                <w:bCs/>
                <w:color w:val="auto"/>
                <w:u w:val="single"/>
              </w:rPr>
              <w:t>mg/L</w:t>
            </w:r>
          </w:p>
        </w:tc>
        <w:tc>
          <w:tcPr>
            <w:tcW w:w="408" w:type="pct"/>
            <w:tcBorders>
              <w:right w:val="single" w:color="auto" w:sz="4" w:space="0"/>
            </w:tcBorders>
            <w:vAlign w:val="center"/>
          </w:tcPr>
          <w:p>
            <w:pPr>
              <w:jc w:val="center"/>
              <w:rPr>
                <w:b/>
                <w:bCs/>
                <w:color w:val="auto"/>
                <w:kern w:val="21"/>
                <w:u w:val="single"/>
              </w:rPr>
            </w:pPr>
            <w:r>
              <w:rPr>
                <w:b/>
                <w:bCs/>
                <w:color w:val="auto"/>
                <w:kern w:val="21"/>
                <w:u w:val="single"/>
              </w:rPr>
              <w:t>mg/L</w:t>
            </w:r>
          </w:p>
        </w:tc>
        <w:tc>
          <w:tcPr>
            <w:tcW w:w="387" w:type="pct"/>
            <w:tcBorders>
              <w:left w:val="single" w:color="auto" w:sz="4" w:space="0"/>
            </w:tcBorders>
            <w:vAlign w:val="center"/>
          </w:tcPr>
          <w:p>
            <w:pPr>
              <w:jc w:val="center"/>
              <w:rPr>
                <w:b/>
                <w:bCs/>
                <w:color w:val="auto"/>
                <w:u w:val="single"/>
                <w:vertAlign w:val="superscript"/>
              </w:rPr>
            </w:pPr>
            <w:r>
              <w:rPr>
                <w:b/>
                <w:bCs/>
                <w:color w:val="auto"/>
                <w:u w:val="single"/>
              </w:rPr>
              <w:t>mg/L</w:t>
            </w:r>
          </w:p>
        </w:tc>
        <w:tc>
          <w:tcPr>
            <w:tcW w:w="309" w:type="pct"/>
            <w:vAlign w:val="center"/>
          </w:tcPr>
          <w:p>
            <w:pPr>
              <w:jc w:val="center"/>
              <w:rPr>
                <w:b/>
                <w:bCs/>
                <w:color w:val="auto"/>
                <w:u w:val="single"/>
              </w:rPr>
            </w:pPr>
            <w:r>
              <w:rPr>
                <w:b/>
                <w:bCs/>
                <w:color w:val="auto"/>
                <w:u w:val="single"/>
              </w:rPr>
              <w:t>mg/L</w:t>
            </w:r>
          </w:p>
        </w:tc>
        <w:tc>
          <w:tcPr>
            <w:tcW w:w="384" w:type="pct"/>
            <w:vAlign w:val="center"/>
          </w:tcPr>
          <w:p>
            <w:pPr>
              <w:jc w:val="center"/>
              <w:rPr>
                <w:b/>
                <w:bCs/>
                <w:color w:val="auto"/>
                <w:u w:val="single"/>
              </w:rPr>
            </w:pPr>
            <w:r>
              <w:rPr>
                <w:b/>
                <w:bCs/>
                <w:color w:val="auto"/>
                <w:u w:val="single"/>
              </w:rPr>
              <w:t>mg/L</w:t>
            </w:r>
          </w:p>
        </w:tc>
        <w:tc>
          <w:tcPr>
            <w:tcW w:w="434" w:type="pct"/>
            <w:vAlign w:val="center"/>
          </w:tcPr>
          <w:p>
            <w:pPr>
              <w:jc w:val="center"/>
              <w:rPr>
                <w:b/>
                <w:bCs/>
                <w:color w:val="auto"/>
                <w:u w:val="single"/>
              </w:rPr>
            </w:pPr>
            <w:r>
              <w:rPr>
                <w:b/>
                <w:bCs/>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color w:val="auto"/>
                <w:u w:val="single"/>
              </w:rPr>
            </w:pPr>
            <w:r>
              <w:rPr>
                <w:b/>
                <w:bCs/>
                <w:color w:val="auto"/>
                <w:u w:val="single"/>
              </w:rPr>
              <w:t>含铬废水</w:t>
            </w:r>
          </w:p>
        </w:tc>
        <w:tc>
          <w:tcPr>
            <w:tcW w:w="588" w:type="pct"/>
            <w:vAlign w:val="center"/>
          </w:tcPr>
          <w:p>
            <w:pPr>
              <w:jc w:val="center"/>
              <w:rPr>
                <w:b/>
                <w:bCs/>
                <w:color w:val="auto"/>
                <w:u w:val="single"/>
              </w:rPr>
            </w:pPr>
            <w:r>
              <w:rPr>
                <w:b/>
                <w:bCs/>
                <w:color w:val="auto"/>
                <w:u w:val="single"/>
              </w:rPr>
              <w:t>136.1616</w:t>
            </w:r>
          </w:p>
        </w:tc>
        <w:tc>
          <w:tcPr>
            <w:tcW w:w="442" w:type="pct"/>
            <w:vAlign w:val="center"/>
          </w:tcPr>
          <w:p>
            <w:pPr>
              <w:jc w:val="center"/>
              <w:rPr>
                <w:b/>
                <w:bCs/>
                <w:color w:val="auto"/>
                <w:u w:val="single"/>
              </w:rPr>
            </w:pPr>
            <w:r>
              <w:rPr>
                <w:b/>
                <w:bCs/>
                <w:color w:val="auto"/>
                <w:u w:val="single"/>
              </w:rPr>
              <w:t>50</w:t>
            </w:r>
          </w:p>
        </w:tc>
        <w:tc>
          <w:tcPr>
            <w:tcW w:w="450" w:type="pct"/>
            <w:vAlign w:val="center"/>
          </w:tcPr>
          <w:p>
            <w:pPr>
              <w:jc w:val="center"/>
              <w:rPr>
                <w:b/>
                <w:bCs/>
                <w:color w:val="auto"/>
                <w:u w:val="single"/>
              </w:rPr>
            </w:pPr>
            <w:r>
              <w:rPr>
                <w:b/>
                <w:bCs/>
                <w:color w:val="auto"/>
                <w:u w:val="single"/>
              </w:rPr>
              <w:t>3</w:t>
            </w:r>
          </w:p>
        </w:tc>
        <w:tc>
          <w:tcPr>
            <w:tcW w:w="448" w:type="pct"/>
            <w:vAlign w:val="center"/>
          </w:tcPr>
          <w:p>
            <w:pPr>
              <w:jc w:val="center"/>
              <w:rPr>
                <w:b/>
                <w:bCs/>
                <w:color w:val="auto"/>
                <w:u w:val="single"/>
              </w:rPr>
            </w:pPr>
            <w:r>
              <w:rPr>
                <w:b/>
                <w:bCs/>
                <w:color w:val="auto"/>
                <w:u w:val="single"/>
              </w:rPr>
              <w:t>200</w:t>
            </w:r>
          </w:p>
        </w:tc>
        <w:tc>
          <w:tcPr>
            <w:tcW w:w="408"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87" w:type="pct"/>
            <w:tcBorders>
              <w:left w:val="single" w:color="auto" w:sz="4" w:space="0"/>
            </w:tcBorders>
            <w:vAlign w:val="center"/>
          </w:tcPr>
          <w:p>
            <w:pPr>
              <w:jc w:val="center"/>
              <w:rPr>
                <w:b/>
                <w:bCs/>
                <w:color w:val="auto"/>
                <w:u w:val="single"/>
              </w:rPr>
            </w:pPr>
            <w:r>
              <w:rPr>
                <w:b/>
                <w:bCs/>
                <w:color w:val="auto"/>
                <w:u w:val="single"/>
              </w:rPr>
              <w:t>/</w:t>
            </w:r>
          </w:p>
        </w:tc>
        <w:tc>
          <w:tcPr>
            <w:tcW w:w="309" w:type="pct"/>
            <w:vAlign w:val="center"/>
          </w:tcPr>
          <w:p>
            <w:pPr>
              <w:jc w:val="center"/>
              <w:rPr>
                <w:b/>
                <w:bCs/>
                <w:color w:val="auto"/>
                <w:u w:val="single"/>
              </w:rPr>
            </w:pPr>
            <w:r>
              <w:rPr>
                <w:b/>
                <w:bCs/>
                <w:color w:val="auto"/>
                <w:u w:val="single"/>
              </w:rPr>
              <w:t>/</w:t>
            </w:r>
          </w:p>
        </w:tc>
        <w:tc>
          <w:tcPr>
            <w:tcW w:w="384" w:type="pct"/>
            <w:vAlign w:val="center"/>
          </w:tcPr>
          <w:p>
            <w:pPr>
              <w:jc w:val="center"/>
              <w:rPr>
                <w:b/>
                <w:bCs/>
                <w:color w:val="auto"/>
                <w:u w:val="single"/>
              </w:rPr>
            </w:pPr>
            <w:r>
              <w:rPr>
                <w:b/>
                <w:bCs/>
                <w:color w:val="auto"/>
                <w:u w:val="single"/>
              </w:rPr>
              <w:t>200</w:t>
            </w:r>
          </w:p>
        </w:tc>
        <w:tc>
          <w:tcPr>
            <w:tcW w:w="434" w:type="pct"/>
            <w:vAlign w:val="center"/>
          </w:tcPr>
          <w:p>
            <w:pPr>
              <w:jc w:val="center"/>
              <w:rPr>
                <w:b/>
                <w:bCs/>
                <w:color w:val="auto"/>
                <w:u w:val="single"/>
              </w:rPr>
            </w:pPr>
            <w:r>
              <w:rPr>
                <w:b/>
                <w:bCs/>
                <w:color w:val="auto"/>
                <w:u w:val="single"/>
              </w:rPr>
              <w:t>300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color w:val="auto"/>
                <w:u w:val="single"/>
              </w:rPr>
            </w:pPr>
            <w:r>
              <w:rPr>
                <w:rFonts w:hint="eastAsia"/>
                <w:b/>
                <w:bCs/>
                <w:color w:val="auto"/>
                <w:u w:val="single"/>
              </w:rPr>
              <w:t>去除率</w:t>
            </w:r>
          </w:p>
        </w:tc>
        <w:tc>
          <w:tcPr>
            <w:tcW w:w="588" w:type="pct"/>
            <w:vAlign w:val="center"/>
          </w:tcPr>
          <w:p>
            <w:pPr>
              <w:jc w:val="center"/>
              <w:rPr>
                <w:b/>
                <w:bCs/>
                <w:color w:val="auto"/>
                <w:u w:val="single"/>
              </w:rPr>
            </w:pPr>
            <w:r>
              <w:rPr>
                <w:rFonts w:hint="eastAsia"/>
                <w:b/>
                <w:bCs/>
                <w:color w:val="auto"/>
                <w:u w:val="single"/>
              </w:rPr>
              <w:t>/</w:t>
            </w:r>
          </w:p>
        </w:tc>
        <w:tc>
          <w:tcPr>
            <w:tcW w:w="442" w:type="pct"/>
            <w:vAlign w:val="center"/>
          </w:tcPr>
          <w:p>
            <w:pPr>
              <w:jc w:val="center"/>
              <w:rPr>
                <w:b/>
                <w:bCs/>
                <w:color w:val="auto"/>
                <w:u w:val="single"/>
              </w:rPr>
            </w:pPr>
            <w:r>
              <w:rPr>
                <w:rFonts w:hint="eastAsia"/>
                <w:b/>
                <w:bCs/>
                <w:color w:val="auto"/>
                <w:u w:val="single"/>
              </w:rPr>
              <w:t>/</w:t>
            </w:r>
          </w:p>
        </w:tc>
        <w:tc>
          <w:tcPr>
            <w:tcW w:w="450" w:type="pct"/>
            <w:vAlign w:val="center"/>
          </w:tcPr>
          <w:p>
            <w:pPr>
              <w:jc w:val="center"/>
              <w:rPr>
                <w:b/>
                <w:bCs/>
                <w:color w:val="auto"/>
                <w:u w:val="single"/>
              </w:rPr>
            </w:pPr>
            <w:r>
              <w:rPr>
                <w:rFonts w:hint="eastAsia"/>
                <w:b/>
                <w:bCs/>
                <w:color w:val="auto"/>
                <w:u w:val="single"/>
              </w:rPr>
              <w:t>/</w:t>
            </w:r>
          </w:p>
        </w:tc>
        <w:tc>
          <w:tcPr>
            <w:tcW w:w="448" w:type="pct"/>
            <w:vAlign w:val="center"/>
          </w:tcPr>
          <w:p>
            <w:pPr>
              <w:jc w:val="center"/>
              <w:rPr>
                <w:b/>
                <w:bCs/>
                <w:color w:val="auto"/>
                <w:u w:val="single"/>
              </w:rPr>
            </w:pPr>
            <w:r>
              <w:rPr>
                <w:rFonts w:hint="eastAsia"/>
                <w:b/>
                <w:bCs/>
                <w:color w:val="auto"/>
                <w:u w:val="single"/>
              </w:rPr>
              <w:t>90%</w:t>
            </w:r>
          </w:p>
        </w:tc>
        <w:tc>
          <w:tcPr>
            <w:tcW w:w="408"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87" w:type="pct"/>
            <w:tcBorders>
              <w:left w:val="single" w:color="auto" w:sz="4" w:space="0"/>
            </w:tcBorders>
            <w:vAlign w:val="center"/>
          </w:tcPr>
          <w:p>
            <w:pPr>
              <w:jc w:val="center"/>
              <w:rPr>
                <w:b/>
                <w:bCs/>
                <w:color w:val="auto"/>
                <w:u w:val="single"/>
              </w:rPr>
            </w:pPr>
            <w:r>
              <w:rPr>
                <w:rFonts w:hint="eastAsia"/>
                <w:b/>
                <w:bCs/>
                <w:color w:val="auto"/>
                <w:u w:val="single"/>
              </w:rPr>
              <w:t>/</w:t>
            </w:r>
          </w:p>
        </w:tc>
        <w:tc>
          <w:tcPr>
            <w:tcW w:w="309" w:type="pct"/>
            <w:vAlign w:val="center"/>
          </w:tcPr>
          <w:p>
            <w:pPr>
              <w:jc w:val="center"/>
              <w:rPr>
                <w:b/>
                <w:bCs/>
                <w:color w:val="auto"/>
                <w:u w:val="single"/>
              </w:rPr>
            </w:pPr>
            <w:r>
              <w:rPr>
                <w:rFonts w:hint="eastAsia"/>
                <w:b/>
                <w:bCs/>
                <w:color w:val="auto"/>
                <w:u w:val="single"/>
              </w:rPr>
              <w:t>/</w:t>
            </w:r>
          </w:p>
        </w:tc>
        <w:tc>
          <w:tcPr>
            <w:tcW w:w="384" w:type="pct"/>
            <w:vAlign w:val="center"/>
          </w:tcPr>
          <w:p>
            <w:pPr>
              <w:jc w:val="center"/>
              <w:rPr>
                <w:b/>
                <w:bCs/>
                <w:color w:val="auto"/>
                <w:u w:val="single"/>
              </w:rPr>
            </w:pPr>
            <w:r>
              <w:rPr>
                <w:rFonts w:hint="eastAsia"/>
                <w:b/>
                <w:bCs/>
                <w:color w:val="auto"/>
                <w:u w:val="single"/>
              </w:rPr>
              <w:t>99.76%</w:t>
            </w:r>
          </w:p>
        </w:tc>
        <w:tc>
          <w:tcPr>
            <w:tcW w:w="434" w:type="pct"/>
            <w:vAlign w:val="center"/>
          </w:tcPr>
          <w:p>
            <w:pPr>
              <w:jc w:val="center"/>
              <w:rPr>
                <w:b/>
                <w:bCs/>
                <w:color w:val="auto"/>
                <w:u w:val="single"/>
              </w:rPr>
            </w:pPr>
            <w:r>
              <w:rPr>
                <w:rFonts w:hint="eastAsia"/>
                <w:b/>
                <w:bCs/>
                <w:color w:val="auto"/>
                <w:u w:val="single"/>
              </w:rPr>
              <w:t>99.2%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color w:val="auto"/>
                <w:u w:val="single"/>
              </w:rPr>
            </w:pPr>
            <w:r>
              <w:rPr>
                <w:b/>
                <w:bCs/>
                <w:color w:val="auto"/>
                <w:u w:val="single"/>
              </w:rPr>
              <w:t>含铬废水预处理（还原+混凝沉淀+多介质过滤器）出水</w:t>
            </w:r>
          </w:p>
        </w:tc>
        <w:tc>
          <w:tcPr>
            <w:tcW w:w="588" w:type="pct"/>
            <w:vAlign w:val="center"/>
          </w:tcPr>
          <w:p>
            <w:pPr>
              <w:jc w:val="center"/>
              <w:rPr>
                <w:b/>
                <w:bCs/>
                <w:color w:val="auto"/>
                <w:u w:val="single"/>
              </w:rPr>
            </w:pPr>
            <w:r>
              <w:rPr>
                <w:rFonts w:hint="eastAsia"/>
                <w:b/>
                <w:bCs/>
                <w:color w:val="auto"/>
                <w:u w:val="single"/>
              </w:rPr>
              <w:t>136.1616</w:t>
            </w:r>
          </w:p>
        </w:tc>
        <w:tc>
          <w:tcPr>
            <w:tcW w:w="442" w:type="pct"/>
            <w:vAlign w:val="center"/>
          </w:tcPr>
          <w:p>
            <w:pPr>
              <w:jc w:val="center"/>
              <w:rPr>
                <w:b/>
                <w:bCs/>
                <w:color w:val="auto"/>
                <w:u w:val="single"/>
              </w:rPr>
            </w:pPr>
            <w:r>
              <w:rPr>
                <w:rFonts w:hint="eastAsia"/>
                <w:b/>
                <w:bCs/>
                <w:color w:val="auto"/>
                <w:u w:val="single"/>
              </w:rPr>
              <w:t>50</w:t>
            </w:r>
          </w:p>
        </w:tc>
        <w:tc>
          <w:tcPr>
            <w:tcW w:w="450" w:type="pct"/>
            <w:vAlign w:val="center"/>
          </w:tcPr>
          <w:p>
            <w:pPr>
              <w:jc w:val="center"/>
              <w:rPr>
                <w:b/>
                <w:bCs/>
                <w:color w:val="auto"/>
                <w:u w:val="single"/>
              </w:rPr>
            </w:pPr>
            <w:r>
              <w:rPr>
                <w:rFonts w:hint="eastAsia"/>
                <w:b/>
                <w:bCs/>
                <w:color w:val="auto"/>
                <w:u w:val="single"/>
              </w:rPr>
              <w:t>3</w:t>
            </w:r>
          </w:p>
        </w:tc>
        <w:tc>
          <w:tcPr>
            <w:tcW w:w="448" w:type="pct"/>
            <w:vAlign w:val="center"/>
          </w:tcPr>
          <w:p>
            <w:pPr>
              <w:jc w:val="center"/>
              <w:rPr>
                <w:b/>
                <w:bCs/>
                <w:color w:val="auto"/>
                <w:u w:val="single"/>
              </w:rPr>
            </w:pPr>
            <w:r>
              <w:rPr>
                <w:rFonts w:hint="eastAsia"/>
                <w:b/>
                <w:bCs/>
                <w:color w:val="auto"/>
                <w:u w:val="single"/>
              </w:rPr>
              <w:t>20</w:t>
            </w:r>
          </w:p>
        </w:tc>
        <w:tc>
          <w:tcPr>
            <w:tcW w:w="408" w:type="pct"/>
            <w:tcBorders>
              <w:right w:val="single" w:color="auto" w:sz="4" w:space="0"/>
            </w:tcBorders>
            <w:vAlign w:val="center"/>
          </w:tcPr>
          <w:p>
            <w:pPr>
              <w:jc w:val="center"/>
              <w:rPr>
                <w:b/>
                <w:bCs/>
                <w:color w:val="auto"/>
                <w:u w:val="single"/>
              </w:rPr>
            </w:pPr>
            <w:r>
              <w:rPr>
                <w:rFonts w:hint="eastAsia"/>
                <w:b/>
                <w:bCs/>
                <w:color w:val="auto"/>
                <w:u w:val="single"/>
                <w:lang w:eastAsia="zh-CN"/>
              </w:rPr>
              <w:t>/</w:t>
            </w:r>
          </w:p>
        </w:tc>
        <w:tc>
          <w:tcPr>
            <w:tcW w:w="387" w:type="pct"/>
            <w:tcBorders>
              <w:left w:val="single" w:color="auto" w:sz="4" w:space="0"/>
            </w:tcBorders>
            <w:vAlign w:val="center"/>
          </w:tcPr>
          <w:p>
            <w:pPr>
              <w:jc w:val="center"/>
              <w:rPr>
                <w:b/>
                <w:bCs/>
                <w:color w:val="auto"/>
                <w:u w:val="single"/>
              </w:rPr>
            </w:pPr>
            <w:r>
              <w:rPr>
                <w:rFonts w:hint="eastAsia"/>
                <w:b/>
                <w:bCs/>
                <w:color w:val="auto"/>
                <w:u w:val="single"/>
              </w:rPr>
              <w:t>/</w:t>
            </w:r>
          </w:p>
        </w:tc>
        <w:tc>
          <w:tcPr>
            <w:tcW w:w="309" w:type="pct"/>
            <w:vAlign w:val="center"/>
          </w:tcPr>
          <w:p>
            <w:pPr>
              <w:jc w:val="center"/>
              <w:rPr>
                <w:b/>
                <w:bCs/>
                <w:color w:val="auto"/>
                <w:u w:val="single"/>
              </w:rPr>
            </w:pPr>
            <w:r>
              <w:rPr>
                <w:rFonts w:hint="eastAsia"/>
                <w:b/>
                <w:bCs/>
                <w:color w:val="auto"/>
                <w:u w:val="single"/>
              </w:rPr>
              <w:t>/</w:t>
            </w:r>
          </w:p>
        </w:tc>
        <w:tc>
          <w:tcPr>
            <w:tcW w:w="384" w:type="pct"/>
            <w:vAlign w:val="center"/>
          </w:tcPr>
          <w:p>
            <w:pPr>
              <w:jc w:val="center"/>
              <w:rPr>
                <w:b/>
                <w:bCs/>
                <w:color w:val="auto"/>
                <w:u w:val="single"/>
              </w:rPr>
            </w:pPr>
            <w:r>
              <w:rPr>
                <w:rFonts w:hint="eastAsia"/>
                <w:b/>
                <w:bCs/>
                <w:color w:val="auto"/>
                <w:u w:val="single"/>
              </w:rPr>
              <w:t>0.48</w:t>
            </w:r>
          </w:p>
        </w:tc>
        <w:tc>
          <w:tcPr>
            <w:tcW w:w="434" w:type="pct"/>
            <w:vAlign w:val="center"/>
          </w:tcPr>
          <w:p>
            <w:pPr>
              <w:jc w:val="center"/>
              <w:rPr>
                <w:b/>
                <w:bCs/>
                <w:color w:val="auto"/>
                <w:u w:val="single"/>
              </w:rPr>
            </w:pPr>
            <w:r>
              <w:rPr>
                <w:rFonts w:hint="eastAsia"/>
                <w:b/>
                <w:bCs/>
                <w:color w:val="auto"/>
                <w:u w:val="single"/>
              </w:rPr>
              <w:t>2.4</w:t>
            </w:r>
          </w:p>
        </w:tc>
      </w:tr>
    </w:tbl>
    <w:p>
      <w:pPr>
        <w:pStyle w:val="32"/>
        <w:adjustRightInd w:val="0"/>
        <w:snapToGrid w:val="0"/>
        <w:spacing w:before="120" w:beforeLines="50" w:after="0" w:line="360" w:lineRule="auto"/>
        <w:ind w:firstLine="482" w:firstLineChars="200"/>
        <w:rPr>
          <w:rFonts w:ascii="宋体" w:hAnsi="宋体"/>
          <w:b/>
          <w:bCs/>
          <w:color w:val="auto"/>
          <w:sz w:val="24"/>
          <w:u w:val="single"/>
        </w:rPr>
      </w:pPr>
      <w:r>
        <w:rPr>
          <w:rFonts w:hint="eastAsia" w:ascii="宋体" w:hAnsi="宋体"/>
          <w:b/>
          <w:bCs/>
          <w:color w:val="auto"/>
          <w:sz w:val="24"/>
          <w:u w:val="single"/>
        </w:rPr>
        <w:t>根据《排污许可证申请与核发技术规范   电镀工业》（</w:t>
      </w:r>
      <w:r>
        <w:rPr>
          <w:b/>
          <w:bCs/>
          <w:color w:val="auto"/>
          <w:sz w:val="24"/>
          <w:u w:val="single"/>
        </w:rPr>
        <w:t>HJ855-2017</w:t>
      </w:r>
      <w:r>
        <w:rPr>
          <w:rFonts w:hint="eastAsia" w:ascii="宋体" w:hAnsi="宋体"/>
          <w:b/>
          <w:bCs/>
          <w:color w:val="auto"/>
          <w:sz w:val="24"/>
          <w:u w:val="single"/>
        </w:rPr>
        <w:t>），含铬废水治理的可行技术有：化学还原法处理技术、电解法处理工艺、其他，本项目采用化学还原处理技术可以将</w:t>
      </w:r>
      <w:r>
        <w:rPr>
          <w:b/>
          <w:bCs/>
          <w:color w:val="auto"/>
          <w:sz w:val="24"/>
          <w:u w:val="single"/>
        </w:rPr>
        <w:t>Cr</w:t>
      </w:r>
      <w:r>
        <w:rPr>
          <w:b/>
          <w:bCs/>
          <w:color w:val="auto"/>
          <w:sz w:val="24"/>
          <w:u w:val="single"/>
          <w:vertAlign w:val="superscript"/>
        </w:rPr>
        <w:t>6+</w:t>
      </w:r>
      <w:r>
        <w:rPr>
          <w:rFonts w:hint="eastAsia" w:ascii="宋体" w:hAnsi="宋体"/>
          <w:b/>
          <w:bCs/>
          <w:color w:val="auto"/>
          <w:sz w:val="24"/>
          <w:u w:val="single"/>
        </w:rPr>
        <w:t>还原成的</w:t>
      </w:r>
      <w:r>
        <w:rPr>
          <w:b/>
          <w:bCs/>
          <w:color w:val="auto"/>
          <w:sz w:val="24"/>
          <w:u w:val="single"/>
        </w:rPr>
        <w:t>Cr</w:t>
      </w:r>
      <w:r>
        <w:rPr>
          <w:b/>
          <w:bCs/>
          <w:color w:val="auto"/>
          <w:sz w:val="24"/>
          <w:u w:val="single"/>
          <w:vertAlign w:val="superscript"/>
        </w:rPr>
        <w:t>3+</w:t>
      </w:r>
      <w:r>
        <w:rPr>
          <w:rFonts w:hint="eastAsia" w:ascii="宋体" w:hAnsi="宋体"/>
          <w:b/>
          <w:bCs/>
          <w:color w:val="auto"/>
          <w:sz w:val="24"/>
          <w:u w:val="single"/>
        </w:rPr>
        <w:t>，使其更容易产生沉淀被去除掉，</w:t>
      </w:r>
      <w:r>
        <w:rPr>
          <w:rFonts w:ascii="宋体" w:hAnsi="宋体"/>
          <w:b/>
          <w:bCs/>
          <w:color w:val="auto"/>
          <w:sz w:val="24"/>
          <w:u w:val="single"/>
        </w:rPr>
        <w:t xml:space="preserve"> </w:t>
      </w:r>
      <w:r>
        <w:rPr>
          <w:rFonts w:hint="eastAsia" w:ascii="宋体" w:hAnsi="宋体"/>
          <w:b/>
          <w:bCs/>
          <w:color w:val="auto"/>
          <w:sz w:val="24"/>
          <w:u w:val="single"/>
        </w:rPr>
        <w:t>之后通过其他工艺（</w:t>
      </w:r>
      <w:r>
        <w:rPr>
          <w:rFonts w:ascii="宋体" w:hAnsi="宋体"/>
          <w:b/>
          <w:bCs/>
          <w:color w:val="auto"/>
          <w:sz w:val="24"/>
          <w:u w:val="single"/>
        </w:rPr>
        <w:t>混凝沉淀+多介质过滤器</w:t>
      </w:r>
      <w:r>
        <w:rPr>
          <w:rFonts w:hint="eastAsia" w:ascii="宋体" w:hAnsi="宋体"/>
          <w:b/>
          <w:bCs/>
          <w:color w:val="auto"/>
          <w:sz w:val="24"/>
          <w:u w:val="single"/>
        </w:rPr>
        <w:t>）进行处理，</w:t>
      </w:r>
      <w:r>
        <w:rPr>
          <w:rFonts w:ascii="宋体" w:hAnsi="宋体"/>
          <w:b/>
          <w:bCs/>
          <w:color w:val="auto"/>
          <w:sz w:val="24"/>
          <w:u w:val="single"/>
        </w:rPr>
        <w:t xml:space="preserve"> </w:t>
      </w:r>
      <w:r>
        <w:rPr>
          <w:rFonts w:hint="eastAsia" w:ascii="宋体" w:hAnsi="宋体"/>
          <w:b/>
          <w:bCs/>
          <w:color w:val="auto"/>
          <w:sz w:val="24"/>
          <w:u w:val="single"/>
        </w:rPr>
        <w:t>属于可行技术，符合要求。</w:t>
      </w:r>
    </w:p>
    <w:p>
      <w:pPr>
        <w:pStyle w:val="6"/>
        <w:spacing w:before="0" w:after="0" w:line="360" w:lineRule="auto"/>
        <w:rPr>
          <w:b/>
          <w:bCs/>
          <w:color w:val="auto"/>
          <w:sz w:val="24"/>
          <w:szCs w:val="24"/>
          <w:u w:val="single"/>
        </w:rPr>
      </w:pPr>
      <w:r>
        <w:rPr>
          <w:rFonts w:hint="eastAsia"/>
          <w:b/>
          <w:bCs/>
          <w:color w:val="auto"/>
          <w:sz w:val="24"/>
          <w:szCs w:val="24"/>
          <w:u w:val="single"/>
        </w:rPr>
        <w:t>7.2.4</w:t>
      </w:r>
      <w:r>
        <w:rPr>
          <w:b/>
          <w:bCs/>
          <w:color w:val="auto"/>
          <w:sz w:val="24"/>
          <w:szCs w:val="24"/>
          <w:u w:val="single"/>
        </w:rPr>
        <w:t>.</w:t>
      </w:r>
      <w:r>
        <w:rPr>
          <w:rFonts w:hint="eastAsia"/>
          <w:b/>
          <w:bCs/>
          <w:color w:val="auto"/>
          <w:sz w:val="24"/>
          <w:szCs w:val="24"/>
          <w:u w:val="single"/>
        </w:rPr>
        <w:t>4地面废水预处理工艺可行性分析</w:t>
      </w:r>
    </w:p>
    <w:p>
      <w:pPr>
        <w:pStyle w:val="32"/>
        <w:adjustRightInd w:val="0"/>
        <w:snapToGrid w:val="0"/>
        <w:spacing w:after="0" w:line="360" w:lineRule="auto"/>
        <w:rPr>
          <w:rFonts w:ascii="宋体" w:hAnsi="宋体"/>
          <w:b/>
          <w:bCs/>
          <w:color w:val="auto"/>
          <w:kern w:val="21"/>
          <w:sz w:val="24"/>
          <w:u w:val="single"/>
        </w:rPr>
      </w:pPr>
      <w:r>
        <w:rPr>
          <w:rFonts w:hint="eastAsia" w:ascii="宋体" w:hAnsi="宋体"/>
          <w:b/>
          <w:bCs/>
          <w:color w:val="auto"/>
          <w:kern w:val="21"/>
          <w:sz w:val="24"/>
          <w:u w:val="single"/>
          <w:lang w:val="en-US"/>
        </w:rPr>
        <w:t>（1）地面废水预处理工艺</w:t>
      </w:r>
    </w:p>
    <w:p>
      <w:pPr>
        <w:spacing w:line="360" w:lineRule="auto"/>
        <w:ind w:firstLine="482" w:firstLineChars="200"/>
        <w:rPr>
          <w:rFonts w:ascii="宋体" w:hAnsi="宋体" w:cs="宋体"/>
          <w:b/>
          <w:bCs/>
          <w:color w:val="auto"/>
          <w:kern w:val="0"/>
          <w:sz w:val="24"/>
          <w:szCs w:val="24"/>
          <w:u w:val="single"/>
        </w:rPr>
      </w:pPr>
      <w:r>
        <w:rPr>
          <w:rFonts w:hint="eastAsia"/>
          <w:b/>
          <w:bCs/>
          <w:color w:val="auto"/>
          <w:sz w:val="24"/>
          <w:szCs w:val="20"/>
          <w:u w:val="single"/>
        </w:rPr>
        <w:t>地面废水预处理系统工艺流程见下图：</w:t>
      </w:r>
    </w:p>
    <w:p>
      <w:pPr>
        <w:pStyle w:val="20"/>
        <w:ind w:firstLine="0" w:firstLineChars="0"/>
        <w:jc w:val="center"/>
        <w:rPr>
          <w:rFonts w:ascii="宋体" w:hAnsi="宋体" w:cs="宋体"/>
          <w:b/>
          <w:bCs/>
          <w:color w:val="auto"/>
          <w:kern w:val="0"/>
          <w:sz w:val="24"/>
          <w:szCs w:val="24"/>
          <w:u w:val="single"/>
        </w:rPr>
      </w:pPr>
      <w:r>
        <w:rPr>
          <w:color w:val="auto"/>
        </w:rPr>
        <w:drawing>
          <wp:inline distT="0" distB="0" distL="114300" distR="114300">
            <wp:extent cx="5000625" cy="6467475"/>
            <wp:effectExtent l="0" t="0" r="9525" b="9525"/>
            <wp:docPr id="6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31"/>
                    <pic:cNvPicPr>
                      <a:picLocks noChangeAspect="1"/>
                    </pic:cNvPicPr>
                  </pic:nvPicPr>
                  <pic:blipFill>
                    <a:blip r:embed="rId159"/>
                    <a:stretch>
                      <a:fillRect/>
                    </a:stretch>
                  </pic:blipFill>
                  <pic:spPr>
                    <a:xfrm>
                      <a:off x="0" y="0"/>
                      <a:ext cx="5000625" cy="6467475"/>
                    </a:xfrm>
                    <a:prstGeom prst="rect">
                      <a:avLst/>
                    </a:prstGeom>
                    <a:noFill/>
                    <a:ln>
                      <a:noFill/>
                    </a:ln>
                  </pic:spPr>
                </pic:pic>
              </a:graphicData>
            </a:graphic>
          </wp:inline>
        </w:drawing>
      </w:r>
    </w:p>
    <w:p>
      <w:pPr>
        <w:pStyle w:val="32"/>
        <w:adjustRightInd w:val="0"/>
        <w:snapToGrid w:val="0"/>
        <w:spacing w:after="0"/>
        <w:ind w:left="1320" w:hanging="480"/>
        <w:jc w:val="center"/>
        <w:rPr>
          <w:rFonts w:eastAsia="黑体"/>
          <w:b/>
          <w:bCs/>
          <w:color w:val="auto"/>
          <w:kern w:val="21"/>
          <w:sz w:val="24"/>
          <w:u w:val="single"/>
          <w:lang w:val="en-US"/>
        </w:rPr>
      </w:pPr>
      <w:r>
        <w:rPr>
          <w:rFonts w:hint="eastAsia" w:eastAsia="黑体"/>
          <w:b/>
          <w:bCs/>
          <w:color w:val="auto"/>
          <w:kern w:val="21"/>
          <w:sz w:val="24"/>
          <w:u w:val="single"/>
        </w:rPr>
        <w:t>图7.2</w:t>
      </w:r>
      <w:r>
        <w:rPr>
          <w:rFonts w:hint="eastAsia" w:eastAsia="黑体"/>
          <w:b/>
          <w:bCs/>
          <w:color w:val="auto"/>
          <w:kern w:val="21"/>
          <w:sz w:val="24"/>
          <w:u w:val="single"/>
          <w:lang w:val="en-US"/>
        </w:rPr>
        <w:t>-5</w:t>
      </w:r>
      <w:r>
        <w:rPr>
          <w:rFonts w:eastAsia="黑体"/>
          <w:b/>
          <w:bCs/>
          <w:color w:val="auto"/>
          <w:kern w:val="21"/>
          <w:sz w:val="24"/>
          <w:u w:val="single"/>
          <w:lang w:val="en-US"/>
        </w:rPr>
        <w:t xml:space="preserve">  地面</w:t>
      </w:r>
      <w:r>
        <w:rPr>
          <w:rFonts w:hint="eastAsia" w:eastAsia="黑体"/>
          <w:b/>
          <w:bCs/>
          <w:color w:val="auto"/>
          <w:kern w:val="21"/>
          <w:sz w:val="24"/>
          <w:u w:val="single"/>
          <w:lang w:val="en-US"/>
        </w:rPr>
        <w:t>废水预处理工艺流程</w:t>
      </w:r>
    </w:p>
    <w:p>
      <w:pPr>
        <w:autoSpaceDE w:val="0"/>
        <w:autoSpaceDN w:val="0"/>
        <w:adjustRightInd w:val="0"/>
        <w:spacing w:line="480" w:lineRule="auto"/>
        <w:rPr>
          <w:b/>
          <w:bCs/>
          <w:color w:val="auto"/>
          <w:kern w:val="0"/>
          <w:sz w:val="24"/>
          <w:szCs w:val="24"/>
          <w:u w:val="single"/>
        </w:rPr>
      </w:pPr>
      <w:r>
        <w:rPr>
          <w:b/>
          <w:bCs/>
          <w:color w:val="auto"/>
          <w:kern w:val="0"/>
          <w:sz w:val="24"/>
          <w:szCs w:val="24"/>
          <w:u w:val="single"/>
        </w:rPr>
        <w:t>工艺流程说明</w:t>
      </w:r>
      <w:r>
        <w:rPr>
          <w:rFonts w:hint="eastAsia"/>
          <w:b/>
          <w:bCs/>
          <w:color w:val="auto"/>
          <w:kern w:val="0"/>
          <w:sz w:val="24"/>
          <w:szCs w:val="24"/>
          <w:u w:val="single"/>
        </w:rPr>
        <w:t>：</w:t>
      </w:r>
    </w:p>
    <w:p>
      <w:pPr>
        <w:pStyle w:val="32"/>
        <w:adjustRightInd w:val="0"/>
        <w:snapToGrid w:val="0"/>
        <w:spacing w:after="0" w:line="360" w:lineRule="auto"/>
        <w:ind w:firstLine="482" w:firstLineChars="200"/>
        <w:rPr>
          <w:rFonts w:ascii="宋体" w:hAnsi="宋体"/>
          <w:b/>
          <w:bCs/>
          <w:color w:val="auto"/>
          <w:kern w:val="21"/>
          <w:sz w:val="24"/>
          <w:u w:val="single"/>
        </w:rPr>
      </w:pPr>
      <w:r>
        <w:rPr>
          <w:b/>
          <w:bCs/>
          <w:color w:val="auto"/>
          <w:kern w:val="0"/>
          <w:sz w:val="24"/>
          <w:u w:val="single"/>
        </w:rPr>
        <w:t>本项目地面废</w:t>
      </w:r>
      <w:r>
        <w:rPr>
          <w:rFonts w:hint="eastAsia"/>
          <w:b/>
          <w:bCs/>
          <w:color w:val="auto"/>
          <w:kern w:val="0"/>
          <w:sz w:val="24"/>
          <w:u w:val="single"/>
        </w:rPr>
        <w:t>水</w:t>
      </w:r>
      <w:r>
        <w:rPr>
          <w:b/>
          <w:bCs/>
          <w:color w:val="auto"/>
          <w:kern w:val="0"/>
          <w:sz w:val="24"/>
          <w:u w:val="single"/>
        </w:rPr>
        <w:t>主要由车间地面清洗</w:t>
      </w:r>
      <w:r>
        <w:rPr>
          <w:rFonts w:hint="eastAsia"/>
          <w:b/>
          <w:bCs/>
          <w:color w:val="auto"/>
          <w:kern w:val="0"/>
          <w:sz w:val="24"/>
          <w:u w:val="single"/>
        </w:rPr>
        <w:t>水</w:t>
      </w:r>
      <w:r>
        <w:rPr>
          <w:b/>
          <w:bCs/>
          <w:color w:val="auto"/>
          <w:kern w:val="0"/>
          <w:sz w:val="24"/>
          <w:u w:val="single"/>
        </w:rPr>
        <w:t>和车间</w:t>
      </w:r>
      <w:r>
        <w:rPr>
          <w:rFonts w:hint="eastAsia"/>
          <w:b/>
          <w:bCs/>
          <w:color w:val="auto"/>
          <w:kern w:val="0"/>
          <w:sz w:val="24"/>
          <w:u w:val="single"/>
        </w:rPr>
        <w:t>“</w:t>
      </w:r>
      <w:r>
        <w:rPr>
          <w:b/>
          <w:bCs/>
          <w:color w:val="auto"/>
          <w:kern w:val="0"/>
          <w:sz w:val="24"/>
          <w:u w:val="single"/>
        </w:rPr>
        <w:t>跑冒滴漏</w:t>
      </w:r>
      <w:r>
        <w:rPr>
          <w:rFonts w:hint="eastAsia"/>
          <w:b/>
          <w:bCs/>
          <w:color w:val="auto"/>
          <w:kern w:val="0"/>
          <w:sz w:val="24"/>
          <w:u w:val="single"/>
        </w:rPr>
        <w:t>”</w:t>
      </w:r>
      <w:r>
        <w:rPr>
          <w:b/>
          <w:bCs/>
          <w:color w:val="auto"/>
          <w:kern w:val="0"/>
          <w:sz w:val="24"/>
          <w:u w:val="single"/>
        </w:rPr>
        <w:t>及膜系统化学清洗和树脂再</w:t>
      </w:r>
      <w:r>
        <w:rPr>
          <w:rFonts w:hint="eastAsia"/>
          <w:b/>
          <w:bCs/>
          <w:color w:val="auto"/>
          <w:kern w:val="0"/>
          <w:sz w:val="24"/>
          <w:u w:val="single"/>
        </w:rPr>
        <w:t>生</w:t>
      </w:r>
      <w:r>
        <w:rPr>
          <w:b/>
          <w:bCs/>
          <w:color w:val="auto"/>
          <w:kern w:val="0"/>
          <w:sz w:val="24"/>
          <w:u w:val="single"/>
        </w:rPr>
        <w:t>废</w:t>
      </w:r>
      <w:r>
        <w:rPr>
          <w:rFonts w:hint="eastAsia"/>
          <w:b/>
          <w:bCs/>
          <w:color w:val="auto"/>
          <w:kern w:val="0"/>
          <w:sz w:val="24"/>
          <w:u w:val="single"/>
        </w:rPr>
        <w:t>水</w:t>
      </w:r>
      <w:r>
        <w:rPr>
          <w:b/>
          <w:bCs/>
          <w:color w:val="auto"/>
          <w:kern w:val="0"/>
          <w:sz w:val="24"/>
          <w:u w:val="single"/>
        </w:rPr>
        <w:t>等组成，由于不仅含有铬，还含有药洗下来的络合剂、再</w:t>
      </w:r>
      <w:r>
        <w:rPr>
          <w:rFonts w:hint="eastAsia"/>
          <w:b/>
          <w:bCs/>
          <w:color w:val="auto"/>
          <w:kern w:val="0"/>
          <w:sz w:val="24"/>
          <w:u w:val="single"/>
        </w:rPr>
        <w:t>生</w:t>
      </w:r>
      <w:r>
        <w:rPr>
          <w:b/>
          <w:bCs/>
          <w:color w:val="auto"/>
          <w:kern w:val="0"/>
          <w:sz w:val="24"/>
          <w:u w:val="single"/>
        </w:rPr>
        <w:t>液及其他金属元素等，因此该废</w:t>
      </w:r>
      <w:r>
        <w:rPr>
          <w:rFonts w:hint="eastAsia"/>
          <w:b/>
          <w:bCs/>
          <w:color w:val="auto"/>
          <w:kern w:val="0"/>
          <w:sz w:val="24"/>
          <w:u w:val="single"/>
        </w:rPr>
        <w:t>水</w:t>
      </w:r>
      <w:r>
        <w:rPr>
          <w:b/>
          <w:bCs/>
          <w:color w:val="auto"/>
          <w:kern w:val="0"/>
          <w:sz w:val="24"/>
          <w:u w:val="single"/>
        </w:rPr>
        <w:t>成分较复杂。废</w:t>
      </w:r>
      <w:r>
        <w:rPr>
          <w:rFonts w:hint="eastAsia"/>
          <w:b/>
          <w:bCs/>
          <w:color w:val="auto"/>
          <w:kern w:val="0"/>
          <w:sz w:val="24"/>
          <w:u w:val="single"/>
        </w:rPr>
        <w:t>水</w:t>
      </w:r>
      <w:r>
        <w:rPr>
          <w:b/>
          <w:bCs/>
          <w:color w:val="auto"/>
          <w:kern w:val="0"/>
          <w:sz w:val="24"/>
          <w:u w:val="single"/>
        </w:rPr>
        <w:t>经收集池收集后由提升泵提升进</w:t>
      </w:r>
      <w:r>
        <w:rPr>
          <w:rFonts w:hint="eastAsia"/>
          <w:b/>
          <w:bCs/>
          <w:color w:val="auto"/>
          <w:kern w:val="0"/>
          <w:sz w:val="24"/>
          <w:u w:val="single"/>
        </w:rPr>
        <w:t>入</w:t>
      </w:r>
      <w:r>
        <w:rPr>
          <w:b/>
          <w:bCs/>
          <w:color w:val="auto"/>
          <w:kern w:val="0"/>
          <w:sz w:val="24"/>
          <w:u w:val="single"/>
        </w:rPr>
        <w:t>氧化池，</w:t>
      </w:r>
      <w:bookmarkStart w:id="390" w:name="OLE_LINK3"/>
      <w:r>
        <w:rPr>
          <w:b/>
          <w:bCs/>
          <w:color w:val="auto"/>
          <w:kern w:val="0"/>
          <w:sz w:val="24"/>
          <w:u w:val="single"/>
        </w:rPr>
        <w:t>通过硫酸控制pH值在2.5~3，投加类芬顿试剂，在氧化剂活化下可以氧化废</w:t>
      </w:r>
      <w:r>
        <w:rPr>
          <w:rFonts w:hint="eastAsia"/>
          <w:b/>
          <w:bCs/>
          <w:color w:val="auto"/>
          <w:kern w:val="0"/>
          <w:sz w:val="24"/>
          <w:u w:val="single"/>
        </w:rPr>
        <w:t>水</w:t>
      </w:r>
      <w:r>
        <w:rPr>
          <w:b/>
          <w:bCs/>
          <w:color w:val="auto"/>
          <w:kern w:val="0"/>
          <w:sz w:val="24"/>
          <w:u w:val="single"/>
        </w:rPr>
        <w:t>中的环氧树脂、醇类等难降解的有机物和络合物</w:t>
      </w:r>
      <w:bookmarkEnd w:id="390"/>
      <w:r>
        <w:rPr>
          <w:b/>
          <w:bCs/>
          <w:color w:val="auto"/>
          <w:kern w:val="0"/>
          <w:sz w:val="24"/>
          <w:u w:val="single"/>
        </w:rPr>
        <w:t>，在PH调整池中通过液碱控制pH值在10~11，并投加PAC\PAM，充分反应后沉淀物在斜板沉淀池中进</w:t>
      </w:r>
      <w:r>
        <w:rPr>
          <w:rFonts w:hint="eastAsia"/>
          <w:b/>
          <w:bCs/>
          <w:color w:val="auto"/>
          <w:kern w:val="0"/>
          <w:sz w:val="24"/>
          <w:u w:val="single"/>
        </w:rPr>
        <w:t>行</w:t>
      </w:r>
      <w:r>
        <w:rPr>
          <w:b/>
          <w:bCs/>
          <w:color w:val="auto"/>
          <w:kern w:val="0"/>
          <w:sz w:val="24"/>
          <w:u w:val="single"/>
        </w:rPr>
        <w:t>泥</w:t>
      </w:r>
      <w:r>
        <w:rPr>
          <w:rFonts w:hint="eastAsia"/>
          <w:b/>
          <w:bCs/>
          <w:color w:val="auto"/>
          <w:kern w:val="0"/>
          <w:sz w:val="24"/>
          <w:u w:val="single"/>
        </w:rPr>
        <w:t>水</w:t>
      </w:r>
      <w:r>
        <w:rPr>
          <w:b/>
          <w:bCs/>
          <w:color w:val="auto"/>
          <w:kern w:val="0"/>
          <w:sz w:val="24"/>
          <w:u w:val="single"/>
        </w:rPr>
        <w:t>分离，上清液进入PH调整池中通过硫酸控制pH值在2-3，</w:t>
      </w:r>
      <w:r>
        <w:rPr>
          <w:b/>
          <w:bCs/>
          <w:color w:val="auto"/>
          <w:spacing w:val="-6"/>
          <w:kern w:val="0"/>
          <w:sz w:val="24"/>
          <w:u w:val="single"/>
        </w:rPr>
        <w:t>并投加焦亚硫酸钠溶液</w:t>
      </w:r>
      <w:r>
        <w:rPr>
          <w:rFonts w:hint="eastAsia"/>
          <w:b/>
          <w:bCs/>
          <w:color w:val="auto"/>
          <w:spacing w:val="-6"/>
          <w:kern w:val="0"/>
          <w:sz w:val="24"/>
          <w:u w:val="single"/>
        </w:rPr>
        <w:t>，</w:t>
      </w:r>
      <w:r>
        <w:rPr>
          <w:b/>
          <w:bCs/>
          <w:color w:val="auto"/>
          <w:spacing w:val="-6"/>
          <w:kern w:val="0"/>
          <w:sz w:val="24"/>
          <w:u w:val="single"/>
        </w:rPr>
        <w:t>控制ORP值在-270~-240m</w:t>
      </w:r>
      <w:r>
        <w:rPr>
          <w:b/>
          <w:bCs/>
          <w:color w:val="auto"/>
          <w:kern w:val="0"/>
          <w:sz w:val="24"/>
          <w:u w:val="single"/>
        </w:rPr>
        <w:t>v，进</w:t>
      </w:r>
      <w:r>
        <w:rPr>
          <w:rFonts w:hint="eastAsia"/>
          <w:b/>
          <w:bCs/>
          <w:color w:val="auto"/>
          <w:kern w:val="0"/>
          <w:sz w:val="24"/>
          <w:u w:val="single"/>
        </w:rPr>
        <w:t>行</w:t>
      </w:r>
      <w:r>
        <w:rPr>
          <w:b/>
          <w:bCs/>
          <w:color w:val="auto"/>
          <w:kern w:val="0"/>
          <w:sz w:val="24"/>
          <w:u w:val="single"/>
        </w:rPr>
        <w:t>还原反应，还原反应后出</w:t>
      </w:r>
      <w:r>
        <w:rPr>
          <w:rFonts w:hint="eastAsia"/>
          <w:b/>
          <w:bCs/>
          <w:color w:val="auto"/>
          <w:kern w:val="0"/>
          <w:sz w:val="24"/>
          <w:u w:val="single"/>
        </w:rPr>
        <w:t>水</w:t>
      </w:r>
      <w:r>
        <w:rPr>
          <w:b/>
          <w:bCs/>
          <w:color w:val="auto"/>
          <w:kern w:val="0"/>
          <w:sz w:val="24"/>
          <w:u w:val="single"/>
        </w:rPr>
        <w:t>投加NaOH、PAC、PAM，充分反应后在二级斜板沉淀池中进</w:t>
      </w:r>
      <w:r>
        <w:rPr>
          <w:rFonts w:hint="eastAsia"/>
          <w:b/>
          <w:bCs/>
          <w:color w:val="auto"/>
          <w:kern w:val="0"/>
          <w:sz w:val="24"/>
          <w:u w:val="single"/>
        </w:rPr>
        <w:t>行</w:t>
      </w:r>
      <w:r>
        <w:rPr>
          <w:b/>
          <w:bCs/>
          <w:color w:val="auto"/>
          <w:kern w:val="0"/>
          <w:sz w:val="24"/>
          <w:u w:val="single"/>
        </w:rPr>
        <w:t>泥</w:t>
      </w:r>
      <w:r>
        <w:rPr>
          <w:rFonts w:hint="eastAsia"/>
          <w:b/>
          <w:bCs/>
          <w:color w:val="auto"/>
          <w:kern w:val="0"/>
          <w:sz w:val="24"/>
          <w:u w:val="single"/>
        </w:rPr>
        <w:t>水</w:t>
      </w:r>
      <w:r>
        <w:rPr>
          <w:b/>
          <w:bCs/>
          <w:color w:val="auto"/>
          <w:kern w:val="0"/>
          <w:sz w:val="24"/>
          <w:u w:val="single"/>
        </w:rPr>
        <w:t>分离，污泥进</w:t>
      </w:r>
      <w:r>
        <w:rPr>
          <w:rFonts w:hint="eastAsia"/>
          <w:b/>
          <w:bCs/>
          <w:color w:val="auto"/>
          <w:kern w:val="0"/>
          <w:sz w:val="24"/>
          <w:u w:val="single"/>
        </w:rPr>
        <w:t>入</w:t>
      </w:r>
      <w:r>
        <w:rPr>
          <w:b/>
          <w:bCs/>
          <w:color w:val="auto"/>
          <w:kern w:val="0"/>
          <w:sz w:val="24"/>
          <w:u w:val="single"/>
        </w:rPr>
        <w:t>综合污泥池，上清液进入PH 回调池，回调后经多介质过滤后进</w:t>
      </w:r>
      <w:r>
        <w:rPr>
          <w:rFonts w:hint="eastAsia"/>
          <w:b/>
          <w:bCs/>
          <w:color w:val="auto"/>
          <w:kern w:val="0"/>
          <w:sz w:val="24"/>
          <w:u w:val="single"/>
        </w:rPr>
        <w:t>入生</w:t>
      </w:r>
      <w:r>
        <w:rPr>
          <w:b/>
          <w:bCs/>
          <w:color w:val="auto"/>
          <w:kern w:val="0"/>
          <w:sz w:val="24"/>
          <w:u w:val="single"/>
        </w:rPr>
        <w:t>化调节池。</w:t>
      </w:r>
      <w:r>
        <w:rPr>
          <w:rFonts w:hint="eastAsia"/>
          <w:b/>
          <w:bCs/>
          <w:color w:val="auto"/>
          <w:sz w:val="24"/>
          <w:szCs w:val="20"/>
          <w:u w:val="single"/>
        </w:rPr>
        <w:t>污泥通过专用泵打入压滤机内压榨，滤液返回到调节池内，泥饼交有资质的单位处置。</w:t>
      </w:r>
    </w:p>
    <w:p>
      <w:pPr>
        <w:pStyle w:val="32"/>
        <w:adjustRightInd w:val="0"/>
        <w:snapToGrid w:val="0"/>
        <w:spacing w:after="0" w:line="360" w:lineRule="auto"/>
        <w:rPr>
          <w:rFonts w:ascii="宋体" w:hAnsi="宋体"/>
          <w:b/>
          <w:bCs/>
          <w:color w:val="auto"/>
          <w:kern w:val="21"/>
          <w:sz w:val="24"/>
          <w:u w:val="single"/>
          <w:lang w:val="en-US"/>
        </w:rPr>
      </w:pPr>
      <w:r>
        <w:rPr>
          <w:rFonts w:hint="eastAsia" w:ascii="宋体" w:hAnsi="宋体"/>
          <w:b/>
          <w:bCs/>
          <w:color w:val="auto"/>
          <w:kern w:val="21"/>
          <w:sz w:val="24"/>
          <w:u w:val="single"/>
          <w:lang w:val="en-US"/>
        </w:rPr>
        <w:t>（2）地面废水预处理主要设备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地面废水预处理系统主要设备见下表。</w:t>
      </w:r>
    </w:p>
    <w:p>
      <w:pPr>
        <w:pStyle w:val="32"/>
        <w:adjustRightInd w:val="0"/>
        <w:snapToGrid w:val="0"/>
        <w:spacing w:after="0" w:line="360" w:lineRule="auto"/>
        <w:ind w:firstLine="482" w:firstLineChars="200"/>
        <w:jc w:val="center"/>
        <w:rPr>
          <w:rFonts w:ascii="宋体" w:hAnsi="宋体"/>
          <w:b/>
          <w:bCs/>
          <w:color w:val="auto"/>
          <w:kern w:val="21"/>
          <w:sz w:val="24"/>
          <w:u w:val="single"/>
        </w:rPr>
      </w:pPr>
      <w:r>
        <w:rPr>
          <w:rFonts w:hint="eastAsia" w:eastAsia="黑体"/>
          <w:b/>
          <w:bCs/>
          <w:color w:val="auto"/>
          <w:kern w:val="21"/>
          <w:sz w:val="24"/>
          <w:u w:val="single"/>
          <w:lang w:val="en-US"/>
        </w:rPr>
        <w:t>表7.2-7</w:t>
      </w:r>
      <w:r>
        <w:rPr>
          <w:rFonts w:eastAsia="黑体"/>
          <w:b/>
          <w:bCs/>
          <w:color w:val="auto"/>
          <w:kern w:val="21"/>
          <w:sz w:val="24"/>
          <w:u w:val="single"/>
          <w:lang w:val="en-US"/>
        </w:rPr>
        <w:t xml:space="preserve">   地面</w:t>
      </w:r>
      <w:r>
        <w:rPr>
          <w:rFonts w:hint="eastAsia" w:eastAsia="黑体"/>
          <w:b/>
          <w:bCs/>
          <w:color w:val="auto"/>
          <w:kern w:val="21"/>
          <w:sz w:val="24"/>
          <w:u w:val="single"/>
          <w:lang w:val="en-US"/>
        </w:rPr>
        <w:t>废水预处理系统主要设备一览表</w:t>
      </w:r>
    </w:p>
    <w:tbl>
      <w:tblPr>
        <w:tblStyle w:val="83"/>
        <w:tblW w:w="4998" w:type="pct"/>
        <w:tblInd w:w="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5"/>
        <w:gridCol w:w="880"/>
        <w:gridCol w:w="1309"/>
        <w:gridCol w:w="2074"/>
        <w:gridCol w:w="1620"/>
        <w:gridCol w:w="526"/>
        <w:gridCol w:w="496"/>
        <w:gridCol w:w="92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spacing w:val="-2"/>
                <w:u w:val="single"/>
              </w:rPr>
              <w:t>序</w:t>
            </w:r>
            <w:r>
              <w:rPr>
                <w:b/>
                <w:bCs/>
                <w:color w:val="auto"/>
                <w:spacing w:val="-1"/>
                <w:u w:val="single"/>
              </w:rPr>
              <w:t>号</w:t>
            </w:r>
          </w:p>
        </w:tc>
        <w:tc>
          <w:tcPr>
            <w:tcW w:w="529" w:type="pct"/>
            <w:shd w:val="clear" w:color="auto" w:fill="auto"/>
            <w:vAlign w:val="center"/>
          </w:tcPr>
          <w:p>
            <w:pPr>
              <w:jc w:val="center"/>
              <w:rPr>
                <w:b/>
                <w:bCs/>
                <w:color w:val="auto"/>
                <w:u w:val="single"/>
              </w:rPr>
            </w:pPr>
            <w:r>
              <w:rPr>
                <w:b/>
                <w:bCs/>
                <w:color w:val="auto"/>
                <w:spacing w:val="-4"/>
                <w:u w:val="single"/>
              </w:rPr>
              <w:t>系</w:t>
            </w:r>
            <w:r>
              <w:rPr>
                <w:b/>
                <w:bCs/>
                <w:color w:val="auto"/>
                <w:spacing w:val="-3"/>
                <w:u w:val="single"/>
              </w:rPr>
              <w:t>统</w:t>
            </w:r>
          </w:p>
        </w:tc>
        <w:tc>
          <w:tcPr>
            <w:tcW w:w="787" w:type="pct"/>
            <w:shd w:val="clear" w:color="auto" w:fill="auto"/>
            <w:vAlign w:val="center"/>
          </w:tcPr>
          <w:p>
            <w:pPr>
              <w:jc w:val="center"/>
              <w:rPr>
                <w:b/>
                <w:bCs/>
                <w:color w:val="auto"/>
                <w:u w:val="single"/>
              </w:rPr>
            </w:pPr>
            <w:r>
              <w:rPr>
                <w:b/>
                <w:bCs/>
                <w:color w:val="auto"/>
                <w:spacing w:val="-4"/>
                <w:u w:val="single"/>
              </w:rPr>
              <w:t>名</w:t>
            </w:r>
            <w:r>
              <w:rPr>
                <w:b/>
                <w:bCs/>
                <w:color w:val="auto"/>
                <w:spacing w:val="-3"/>
                <w:u w:val="single"/>
              </w:rPr>
              <w:t>称</w:t>
            </w:r>
          </w:p>
        </w:tc>
        <w:tc>
          <w:tcPr>
            <w:tcW w:w="1247" w:type="pct"/>
            <w:shd w:val="clear" w:color="auto" w:fill="auto"/>
            <w:vAlign w:val="center"/>
          </w:tcPr>
          <w:p>
            <w:pPr>
              <w:jc w:val="center"/>
              <w:rPr>
                <w:b/>
                <w:bCs/>
                <w:color w:val="auto"/>
                <w:u w:val="single"/>
              </w:rPr>
            </w:pPr>
            <w:r>
              <w:rPr>
                <w:b/>
                <w:bCs/>
                <w:color w:val="auto"/>
                <w:spacing w:val="-1"/>
                <w:u w:val="single"/>
              </w:rPr>
              <w:t>规格型号</w:t>
            </w:r>
          </w:p>
        </w:tc>
        <w:tc>
          <w:tcPr>
            <w:tcW w:w="974" w:type="pct"/>
            <w:shd w:val="clear" w:color="auto" w:fill="auto"/>
            <w:vAlign w:val="center"/>
          </w:tcPr>
          <w:p>
            <w:pPr>
              <w:jc w:val="center"/>
              <w:rPr>
                <w:b/>
                <w:bCs/>
                <w:color w:val="auto"/>
                <w:u w:val="single"/>
              </w:rPr>
            </w:pPr>
            <w:r>
              <w:rPr>
                <w:rFonts w:hint="eastAsia"/>
                <w:b/>
                <w:bCs/>
                <w:color w:val="auto"/>
                <w:spacing w:val="-4"/>
                <w:u w:val="single"/>
                <w:lang w:val="en-US" w:eastAsia="zh-CN"/>
              </w:rPr>
              <w:t>厂</w:t>
            </w:r>
            <w:r>
              <w:rPr>
                <w:b/>
                <w:bCs/>
                <w:color w:val="auto"/>
                <w:spacing w:val="-4"/>
                <w:u w:val="single"/>
              </w:rPr>
              <w:t>商</w:t>
            </w:r>
          </w:p>
        </w:tc>
        <w:tc>
          <w:tcPr>
            <w:tcW w:w="316" w:type="pct"/>
            <w:shd w:val="clear" w:color="auto" w:fill="auto"/>
            <w:vAlign w:val="center"/>
          </w:tcPr>
          <w:p>
            <w:pPr>
              <w:jc w:val="center"/>
              <w:rPr>
                <w:b/>
                <w:bCs/>
                <w:color w:val="auto"/>
                <w:u w:val="single"/>
              </w:rPr>
            </w:pPr>
            <w:r>
              <w:rPr>
                <w:b/>
                <w:bCs/>
                <w:color w:val="auto"/>
                <w:spacing w:val="-3"/>
                <w:u w:val="single"/>
              </w:rPr>
              <w:t>单位</w:t>
            </w:r>
          </w:p>
        </w:tc>
        <w:tc>
          <w:tcPr>
            <w:tcW w:w="298" w:type="pct"/>
            <w:shd w:val="clear" w:color="auto" w:fill="auto"/>
            <w:vAlign w:val="center"/>
          </w:tcPr>
          <w:p>
            <w:pPr>
              <w:jc w:val="center"/>
              <w:rPr>
                <w:b/>
                <w:bCs/>
                <w:color w:val="auto"/>
                <w:u w:val="single"/>
              </w:rPr>
            </w:pPr>
            <w:r>
              <w:rPr>
                <w:b/>
                <w:bCs/>
                <w:color w:val="auto"/>
                <w:spacing w:val="-3"/>
                <w:u w:val="single"/>
              </w:rPr>
              <w:t>数</w:t>
            </w:r>
            <w:r>
              <w:rPr>
                <w:b/>
                <w:bCs/>
                <w:color w:val="auto"/>
                <w:spacing w:val="-2"/>
                <w:u w:val="single"/>
              </w:rPr>
              <w:t>量</w:t>
            </w:r>
          </w:p>
        </w:tc>
        <w:tc>
          <w:tcPr>
            <w:tcW w:w="557" w:type="pct"/>
            <w:shd w:val="clear" w:color="auto" w:fill="auto"/>
            <w:vAlign w:val="center"/>
          </w:tcPr>
          <w:p>
            <w:pPr>
              <w:jc w:val="center"/>
              <w:rPr>
                <w:b/>
                <w:bCs/>
                <w:color w:val="auto"/>
                <w:u w:val="single"/>
              </w:rPr>
            </w:pPr>
            <w:r>
              <w:rPr>
                <w:b/>
                <w:bCs/>
                <w:color w:val="auto"/>
                <w:spacing w:val="-3"/>
                <w:u w:val="single"/>
              </w:rPr>
              <w:t>备</w:t>
            </w:r>
            <w:r>
              <w:rPr>
                <w:b/>
                <w:bCs/>
                <w:color w:val="auto"/>
                <w:spacing w:val="-2"/>
                <w:u w:val="single"/>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restart"/>
            <w:tcBorders>
              <w:bottom w:val="nil"/>
            </w:tcBorders>
            <w:shd w:val="clear" w:color="auto" w:fill="auto"/>
            <w:vAlign w:val="center"/>
          </w:tcPr>
          <w:p>
            <w:pPr>
              <w:jc w:val="center"/>
              <w:rPr>
                <w:b/>
                <w:bCs/>
                <w:color w:val="auto"/>
                <w:u w:val="single"/>
              </w:rPr>
            </w:pPr>
            <w:r>
              <w:rPr>
                <w:b/>
                <w:bCs/>
                <w:color w:val="auto"/>
                <w:u w:val="single"/>
              </w:rPr>
              <w:t>1</w:t>
            </w:r>
          </w:p>
        </w:tc>
        <w:tc>
          <w:tcPr>
            <w:tcW w:w="529" w:type="pct"/>
            <w:vMerge w:val="restart"/>
            <w:tcBorders>
              <w:bottom w:val="nil"/>
            </w:tcBorders>
            <w:shd w:val="clear" w:color="auto" w:fill="auto"/>
            <w:vAlign w:val="center"/>
          </w:tcPr>
          <w:p>
            <w:pPr>
              <w:jc w:val="center"/>
              <w:rPr>
                <w:rFonts w:asciiTheme="minorEastAsia" w:hAnsiTheme="minorEastAsia" w:eastAsiaTheme="minorEastAsia"/>
                <w:b/>
                <w:bCs/>
                <w:color w:val="auto"/>
                <w:u w:val="single"/>
              </w:rPr>
            </w:pPr>
            <w:r>
              <w:rPr>
                <w:rFonts w:asciiTheme="minorEastAsia" w:hAnsiTheme="minorEastAsia" w:eastAsiaTheme="minorEastAsia"/>
                <w:b/>
                <w:bCs/>
                <w:color w:val="auto"/>
                <w:spacing w:val="-1"/>
                <w:u w:val="single"/>
              </w:rPr>
              <w:t>地面</w:t>
            </w:r>
            <w:r>
              <w:rPr>
                <w:rFonts w:hint="eastAsia" w:asciiTheme="minorEastAsia" w:hAnsiTheme="minorEastAsia" w:eastAsiaTheme="minorEastAsia"/>
                <w:b/>
                <w:bCs/>
                <w:color w:val="auto"/>
                <w:spacing w:val="-1"/>
                <w:u w:val="single"/>
              </w:rPr>
              <w:t>水</w:t>
            </w:r>
            <w:r>
              <w:rPr>
                <w:rFonts w:asciiTheme="minorEastAsia" w:hAnsiTheme="minorEastAsia" w:eastAsiaTheme="minorEastAsia"/>
                <w:b/>
                <w:bCs/>
                <w:color w:val="auto"/>
                <w:spacing w:val="-1"/>
                <w:u w:val="single"/>
              </w:rPr>
              <w:t>收集</w:t>
            </w:r>
            <w:r>
              <w:rPr>
                <w:rFonts w:asciiTheme="minorEastAsia" w:hAnsiTheme="minorEastAsia" w:eastAsiaTheme="minorEastAsia"/>
                <w:b/>
                <w:bCs/>
                <w:color w:val="auto"/>
                <w:spacing w:val="-4"/>
                <w:u w:val="single"/>
              </w:rPr>
              <w:t>系</w:t>
            </w:r>
            <w:r>
              <w:rPr>
                <w:rFonts w:asciiTheme="minorEastAsia" w:hAnsiTheme="minorEastAsia" w:eastAsiaTheme="minorEastAsia"/>
                <w:b/>
                <w:bCs/>
                <w:color w:val="auto"/>
                <w:spacing w:val="-3"/>
                <w:u w:val="single"/>
              </w:rPr>
              <w:t>统</w:t>
            </w:r>
          </w:p>
        </w:tc>
        <w:tc>
          <w:tcPr>
            <w:tcW w:w="787" w:type="pct"/>
            <w:shd w:val="clear" w:color="auto" w:fill="auto"/>
            <w:vAlign w:val="center"/>
          </w:tcPr>
          <w:p>
            <w:pPr>
              <w:jc w:val="center"/>
              <w:rPr>
                <w:b/>
                <w:bCs/>
                <w:color w:val="auto"/>
                <w:u w:val="single"/>
              </w:rPr>
            </w:pPr>
            <w:r>
              <w:rPr>
                <w:b/>
                <w:bCs/>
                <w:color w:val="auto"/>
                <w:spacing w:val="-1"/>
                <w:u w:val="single"/>
              </w:rPr>
              <w:t>地面废</w:t>
            </w:r>
            <w:r>
              <w:rPr>
                <w:rFonts w:hint="eastAsia"/>
                <w:b/>
                <w:bCs/>
                <w:color w:val="auto"/>
                <w:spacing w:val="-1"/>
                <w:u w:val="single"/>
                <w:lang w:val="en-US" w:eastAsia="zh-CN"/>
              </w:rPr>
              <w:t>水</w:t>
            </w:r>
            <w:r>
              <w:rPr>
                <w:b/>
                <w:bCs/>
                <w:color w:val="auto"/>
                <w:spacing w:val="-1"/>
                <w:u w:val="single"/>
              </w:rPr>
              <w:t>收</w:t>
            </w:r>
            <w:r>
              <w:rPr>
                <w:b/>
                <w:bCs/>
                <w:color w:val="auto"/>
                <w:u w:val="single"/>
              </w:rPr>
              <w:t>集桶</w:t>
            </w:r>
          </w:p>
        </w:tc>
        <w:tc>
          <w:tcPr>
            <w:tcW w:w="1247" w:type="pct"/>
            <w:shd w:val="clear" w:color="auto" w:fill="auto"/>
            <w:vAlign w:val="center"/>
          </w:tcPr>
          <w:p>
            <w:pPr>
              <w:jc w:val="center"/>
              <w:rPr>
                <w:b/>
                <w:bCs/>
                <w:color w:val="auto"/>
                <w:u w:val="single"/>
              </w:rPr>
            </w:pPr>
            <w:r>
              <w:rPr>
                <w:b/>
                <w:bCs/>
                <w:color w:val="auto"/>
                <w:spacing w:val="-15"/>
                <w:u w:val="single"/>
              </w:rPr>
              <w:t>10m</w:t>
            </w:r>
            <w:r>
              <w:rPr>
                <w:b/>
                <w:bCs/>
                <w:color w:val="auto"/>
                <w:spacing w:val="-15"/>
                <w:u w:val="single"/>
                <w:vertAlign w:val="superscript"/>
              </w:rPr>
              <w:t>3</w:t>
            </w:r>
            <w:r>
              <w:rPr>
                <w:b/>
                <w:bCs/>
                <w:color w:val="auto"/>
                <w:spacing w:val="-11"/>
                <w:u w:val="single"/>
              </w:rPr>
              <w:t>，PPH/PE 材质</w:t>
            </w:r>
          </w:p>
        </w:tc>
        <w:tc>
          <w:tcPr>
            <w:tcW w:w="974" w:type="pct"/>
            <w:shd w:val="clear" w:color="auto" w:fill="auto"/>
            <w:vAlign w:val="center"/>
          </w:tcPr>
          <w:p>
            <w:pPr>
              <w:jc w:val="center"/>
              <w:rPr>
                <w:b/>
                <w:bCs/>
                <w:color w:val="auto"/>
                <w:u w:val="single"/>
              </w:rPr>
            </w:pPr>
            <w:r>
              <w:rPr>
                <w:b/>
                <w:bCs/>
                <w:color w:val="auto"/>
                <w:spacing w:val="-2"/>
                <w:u w:val="single"/>
              </w:rPr>
              <w:t>逸</w:t>
            </w:r>
            <w:r>
              <w:rPr>
                <w:rFonts w:eastAsia="Meiryo"/>
                <w:b/>
                <w:bCs/>
                <w:color w:val="auto"/>
                <w:spacing w:val="-2"/>
                <w:u w:val="single"/>
              </w:rPr>
              <w:t>⾠</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2"/>
                <w:u w:val="single"/>
              </w:rPr>
              <w:t>原</w:t>
            </w:r>
            <w:r>
              <w:rPr>
                <w:rFonts w:hint="eastAsia"/>
                <w:b/>
                <w:bCs/>
                <w:color w:val="auto"/>
                <w:spacing w:val="-2"/>
                <w:u w:val="single"/>
              </w:rPr>
              <w:t>水</w:t>
            </w:r>
            <w:r>
              <w:rPr>
                <w:b/>
                <w:bCs/>
                <w:color w:val="auto"/>
                <w:spacing w:val="-1"/>
                <w:u w:val="single"/>
              </w:rPr>
              <w:t>泵</w:t>
            </w:r>
          </w:p>
        </w:tc>
        <w:tc>
          <w:tcPr>
            <w:tcW w:w="1247" w:type="pct"/>
            <w:shd w:val="clear" w:color="auto" w:fill="auto"/>
            <w:vAlign w:val="center"/>
          </w:tcPr>
          <w:p>
            <w:pPr>
              <w:jc w:val="center"/>
              <w:rPr>
                <w:b/>
                <w:bCs/>
                <w:color w:val="auto"/>
                <w:u w:val="single"/>
              </w:rPr>
            </w:pPr>
            <w:r>
              <w:rPr>
                <w:b/>
                <w:bCs/>
                <w:color w:val="auto"/>
                <w:spacing w:val="-12"/>
                <w:u w:val="single"/>
              </w:rPr>
              <w:t>Q=1</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2"/>
                <w:u w:val="single"/>
              </w:rPr>
              <w:t>，H=15m，FRP</w:t>
            </w:r>
            <w:r>
              <w:rPr>
                <w:b/>
                <w:bCs/>
                <w:color w:val="auto"/>
                <w:spacing w:val="-10"/>
                <w:u w:val="single"/>
              </w:rPr>
              <w:t>P</w:t>
            </w:r>
            <w:r>
              <w:rPr>
                <w:b/>
                <w:bCs/>
                <w:color w:val="auto"/>
                <w:spacing w:val="-12"/>
                <w:u w:val="single"/>
              </w:rPr>
              <w:t xml:space="preserve"> 材质</w:t>
            </w:r>
          </w:p>
        </w:tc>
        <w:tc>
          <w:tcPr>
            <w:tcW w:w="974" w:type="pct"/>
            <w:shd w:val="clear" w:color="auto" w:fill="auto"/>
            <w:vAlign w:val="center"/>
          </w:tcPr>
          <w:p>
            <w:pPr>
              <w:jc w:val="center"/>
              <w:rPr>
                <w:b/>
                <w:bCs/>
                <w:color w:val="auto"/>
                <w:u w:val="single"/>
              </w:rPr>
            </w:pPr>
            <w:r>
              <w:rPr>
                <w:b/>
                <w:bCs/>
                <w:color w:val="auto"/>
                <w:spacing w:val="-6"/>
                <w:u w:val="single"/>
              </w:rPr>
              <w:t>美</w:t>
            </w:r>
            <w:r>
              <w:rPr>
                <w:b/>
                <w:bCs/>
                <w:color w:val="auto"/>
                <w:spacing w:val="-3"/>
                <w:u w:val="single"/>
              </w:rPr>
              <w:t>宝/国宝</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ind w:firstLine="211" w:firstLineChars="100"/>
              <w:jc w:val="both"/>
              <w:rPr>
                <w:b/>
                <w:bCs/>
                <w:color w:val="auto"/>
                <w:u w:val="single"/>
              </w:rPr>
            </w:pPr>
            <w:r>
              <w:rPr>
                <w:rFonts w:hint="eastAsia"/>
                <w:b/>
                <w:bCs/>
                <w:color w:val="auto"/>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2"/>
                <w:u w:val="single"/>
              </w:rPr>
              <w:t>进</w:t>
            </w:r>
            <w:r>
              <w:rPr>
                <w:rFonts w:hint="eastAsia"/>
                <w:b/>
                <w:bCs/>
                <w:color w:val="auto"/>
                <w:spacing w:val="-2"/>
                <w:u w:val="single"/>
              </w:rPr>
              <w:t>水</w:t>
            </w:r>
            <w:r>
              <w:rPr>
                <w:b/>
                <w:bCs/>
                <w:color w:val="auto"/>
                <w:spacing w:val="-1"/>
                <w:u w:val="single"/>
              </w:rPr>
              <w:t>辅助系统</w:t>
            </w:r>
          </w:p>
        </w:tc>
        <w:tc>
          <w:tcPr>
            <w:tcW w:w="1247"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974"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5"/>
                <w:u w:val="single"/>
              </w:rPr>
              <w:t>电磁流量计</w:t>
            </w:r>
          </w:p>
        </w:tc>
        <w:tc>
          <w:tcPr>
            <w:tcW w:w="1247" w:type="pct"/>
            <w:shd w:val="clear" w:color="auto" w:fill="auto"/>
            <w:vAlign w:val="center"/>
          </w:tcPr>
          <w:p>
            <w:pPr>
              <w:jc w:val="center"/>
              <w:rPr>
                <w:b/>
                <w:bCs/>
                <w:color w:val="auto"/>
                <w:u w:val="single"/>
              </w:rPr>
            </w:pPr>
            <w:r>
              <w:rPr>
                <w:b/>
                <w:bCs/>
                <w:color w:val="auto"/>
                <w:spacing w:val="-15"/>
                <w:u w:val="single"/>
              </w:rPr>
              <w:t>4</w:t>
            </w:r>
            <w:r>
              <w:rPr>
                <w:rFonts w:hint="eastAsia"/>
                <w:b/>
                <w:bCs/>
                <w:color w:val="auto"/>
                <w:spacing w:val="-15"/>
                <w:u w:val="single"/>
                <w:lang w:eastAsia="zh-CN"/>
              </w:rPr>
              <w:t>～</w:t>
            </w:r>
            <w:r>
              <w:rPr>
                <w:b/>
                <w:bCs/>
                <w:color w:val="auto"/>
                <w:spacing w:val="-13"/>
                <w:u w:val="single"/>
              </w:rPr>
              <w:t>20mA</w:t>
            </w:r>
          </w:p>
        </w:tc>
        <w:tc>
          <w:tcPr>
            <w:tcW w:w="974" w:type="pct"/>
            <w:shd w:val="clear" w:color="auto" w:fill="auto"/>
            <w:vAlign w:val="center"/>
          </w:tcPr>
          <w:p>
            <w:pPr>
              <w:jc w:val="center"/>
              <w:rPr>
                <w:b/>
                <w:bCs/>
                <w:color w:val="auto"/>
                <w:u w:val="single"/>
              </w:rPr>
            </w:pPr>
            <w:r>
              <w:rPr>
                <w:b/>
                <w:bCs/>
                <w:color w:val="auto"/>
                <w:spacing w:val="-6"/>
                <w:u w:val="single"/>
              </w:rPr>
              <w:t>创</w:t>
            </w:r>
            <w:r>
              <w:rPr>
                <w:b/>
                <w:bCs/>
                <w:color w:val="auto"/>
                <w:spacing w:val="-4"/>
                <w:u w:val="single"/>
              </w:rPr>
              <w:t>新</w:t>
            </w:r>
            <w:r>
              <w:rPr>
                <w:b/>
                <w:bCs/>
                <w:color w:val="auto"/>
                <w:spacing w:val="-3"/>
                <w:u w:val="single"/>
              </w:rPr>
              <w:t>/美仪</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2" w:type="pct"/>
            <w:vMerge w:val="continue"/>
            <w:tcBorders>
              <w:top w:val="nil"/>
              <w:bottom w:val="nil"/>
            </w:tcBorders>
            <w:shd w:val="clear" w:color="auto" w:fill="auto"/>
            <w:vAlign w:val="center"/>
          </w:tcPr>
          <w:p>
            <w:pPr>
              <w:jc w:val="center"/>
              <w:rPr>
                <w:b/>
                <w:bCs/>
                <w:color w:val="auto"/>
                <w:u w:val="single"/>
              </w:rPr>
            </w:pPr>
          </w:p>
        </w:tc>
        <w:tc>
          <w:tcPr>
            <w:tcW w:w="529" w:type="pct"/>
            <w:vMerge w:val="continue"/>
            <w:tcBorders>
              <w:top w:val="nil"/>
              <w:bottom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3"/>
                <w:u w:val="single"/>
              </w:rPr>
              <w:t>液</w:t>
            </w:r>
            <w:r>
              <w:rPr>
                <w:b/>
                <w:bCs/>
                <w:color w:val="auto"/>
                <w:spacing w:val="-2"/>
                <w:u w:val="single"/>
              </w:rPr>
              <w:t>位计</w:t>
            </w:r>
          </w:p>
        </w:tc>
        <w:tc>
          <w:tcPr>
            <w:tcW w:w="1247" w:type="pct"/>
            <w:shd w:val="clear" w:color="auto" w:fill="auto"/>
            <w:vAlign w:val="center"/>
          </w:tcPr>
          <w:p>
            <w:pPr>
              <w:jc w:val="center"/>
              <w:rPr>
                <w:b/>
                <w:bCs/>
                <w:color w:val="auto"/>
                <w:u w:val="single"/>
              </w:rPr>
            </w:pPr>
            <w:r>
              <w:rPr>
                <w:b/>
                <w:bCs/>
                <w:color w:val="auto"/>
                <w:spacing w:val="-12"/>
                <w:u w:val="single"/>
              </w:rPr>
              <w:t>4</w:t>
            </w:r>
            <w:r>
              <w:rPr>
                <w:b/>
                <w:bCs/>
                <w:color w:val="auto"/>
                <w:spacing w:val="-8"/>
                <w:u w:val="single"/>
              </w:rPr>
              <w:t>-20mA</w:t>
            </w:r>
          </w:p>
        </w:tc>
        <w:tc>
          <w:tcPr>
            <w:tcW w:w="974" w:type="pct"/>
            <w:shd w:val="clear" w:color="auto" w:fill="auto"/>
            <w:vAlign w:val="center"/>
          </w:tcPr>
          <w:p>
            <w:pPr>
              <w:jc w:val="center"/>
              <w:rPr>
                <w:b/>
                <w:bCs/>
                <w:color w:val="auto"/>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2" w:type="pct"/>
            <w:vMerge w:val="continue"/>
            <w:tcBorders>
              <w:top w:val="nil"/>
            </w:tcBorders>
            <w:shd w:val="clear" w:color="auto" w:fill="auto"/>
            <w:vAlign w:val="center"/>
          </w:tcPr>
          <w:p>
            <w:pPr>
              <w:jc w:val="center"/>
              <w:rPr>
                <w:b/>
                <w:bCs/>
                <w:color w:val="auto"/>
                <w:u w:val="single"/>
              </w:rPr>
            </w:pPr>
          </w:p>
        </w:tc>
        <w:tc>
          <w:tcPr>
            <w:tcW w:w="529" w:type="pct"/>
            <w:vMerge w:val="continue"/>
            <w:tcBorders>
              <w:top w:val="nil"/>
            </w:tcBorders>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u w:val="single"/>
              </w:rPr>
            </w:pPr>
            <w:r>
              <w:rPr>
                <w:b/>
                <w:bCs/>
                <w:color w:val="auto"/>
                <w:spacing w:val="-2"/>
                <w:u w:val="single"/>
              </w:rPr>
              <w:t>流量计</w:t>
            </w:r>
          </w:p>
        </w:tc>
        <w:tc>
          <w:tcPr>
            <w:tcW w:w="1247" w:type="pct"/>
            <w:shd w:val="clear" w:color="auto" w:fill="auto"/>
            <w:vAlign w:val="center"/>
          </w:tcPr>
          <w:p>
            <w:pPr>
              <w:jc w:val="center"/>
              <w:rPr>
                <w:b/>
                <w:bCs/>
                <w:color w:val="auto"/>
                <w:u w:val="single"/>
              </w:rPr>
            </w:pPr>
            <w:r>
              <w:rPr>
                <w:b/>
                <w:bCs/>
                <w:color w:val="auto"/>
                <w:spacing w:val="-8"/>
                <w:u w:val="single"/>
              </w:rPr>
              <w:t>机</w:t>
            </w:r>
            <w:r>
              <w:rPr>
                <w:b/>
                <w:bCs/>
                <w:color w:val="auto"/>
                <w:spacing w:val="-5"/>
                <w:u w:val="single"/>
              </w:rPr>
              <w:t>械</w:t>
            </w:r>
            <w:r>
              <w:rPr>
                <w:b/>
                <w:bCs/>
                <w:color w:val="auto"/>
                <w:spacing w:val="-4"/>
                <w:u w:val="single"/>
              </w:rPr>
              <w:t>式、PVC</w:t>
            </w:r>
          </w:p>
        </w:tc>
        <w:tc>
          <w:tcPr>
            <w:tcW w:w="974" w:type="pct"/>
            <w:shd w:val="clear" w:color="auto" w:fill="auto"/>
            <w:vAlign w:val="center"/>
          </w:tcPr>
          <w:p>
            <w:pPr>
              <w:jc w:val="center"/>
              <w:rPr>
                <w:b/>
                <w:bCs/>
                <w:color w:val="auto"/>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u w:val="single"/>
              </w:rPr>
            </w:pPr>
            <w:r>
              <w:rPr>
                <w:b/>
                <w:bCs/>
                <w:color w:val="auto"/>
                <w:u w:val="single"/>
              </w:rPr>
              <w:t>2</w:t>
            </w:r>
          </w:p>
        </w:tc>
        <w:tc>
          <w:tcPr>
            <w:tcW w:w="529" w:type="pct"/>
            <w:vMerge w:val="restart"/>
            <w:shd w:val="clear" w:color="auto" w:fill="auto"/>
            <w:vAlign w:val="center"/>
          </w:tcPr>
          <w:p>
            <w:pPr>
              <w:jc w:val="center"/>
              <w:rPr>
                <w:b/>
                <w:bCs/>
                <w:color w:val="auto"/>
                <w:u w:val="single"/>
              </w:rPr>
            </w:pPr>
            <w:r>
              <w:rPr>
                <w:b/>
                <w:bCs/>
                <w:color w:val="auto"/>
                <w:spacing w:val="-2"/>
                <w:u w:val="single"/>
              </w:rPr>
              <w:t>氧化反</w:t>
            </w:r>
            <w:r>
              <w:rPr>
                <w:b/>
                <w:bCs/>
                <w:color w:val="auto"/>
                <w:spacing w:val="-1"/>
                <w:u w:val="single"/>
              </w:rPr>
              <w:t>应沉</w:t>
            </w:r>
            <w:r>
              <w:rPr>
                <w:b/>
                <w:bCs/>
                <w:color w:val="auto"/>
                <w:spacing w:val="-2"/>
                <w:u w:val="single"/>
              </w:rPr>
              <w:t>淀</w:t>
            </w:r>
            <w:r>
              <w:rPr>
                <w:rFonts w:hint="eastAsia"/>
                <w:b/>
                <w:bCs/>
                <w:color w:val="auto"/>
                <w:spacing w:val="-2"/>
                <w:u w:val="single"/>
              </w:rPr>
              <w:t>一</w:t>
            </w:r>
            <w:r>
              <w:rPr>
                <w:b/>
                <w:bCs/>
                <w:color w:val="auto"/>
                <w:spacing w:val="-1"/>
                <w:u w:val="single"/>
              </w:rPr>
              <w:t>体槽</w:t>
            </w:r>
          </w:p>
        </w:tc>
        <w:tc>
          <w:tcPr>
            <w:tcW w:w="787" w:type="pct"/>
            <w:shd w:val="clear" w:color="auto" w:fill="auto"/>
            <w:vAlign w:val="center"/>
          </w:tcPr>
          <w:p>
            <w:pPr>
              <w:jc w:val="center"/>
              <w:rPr>
                <w:b/>
                <w:bCs/>
                <w:color w:val="auto"/>
                <w:u w:val="single"/>
              </w:rPr>
            </w:pPr>
            <w:r>
              <w:rPr>
                <w:b/>
                <w:bCs/>
                <w:color w:val="auto"/>
                <w:spacing w:val="-1"/>
                <w:u w:val="single"/>
              </w:rPr>
              <w:t>氧化反应沉淀槽</w:t>
            </w:r>
          </w:p>
        </w:tc>
        <w:tc>
          <w:tcPr>
            <w:tcW w:w="1247" w:type="pct"/>
            <w:shd w:val="clear" w:color="auto" w:fill="auto"/>
            <w:vAlign w:val="center"/>
          </w:tcPr>
          <w:p>
            <w:pPr>
              <w:jc w:val="center"/>
              <w:rPr>
                <w:b/>
                <w:bCs/>
                <w:color w:val="auto"/>
                <w:u w:val="single"/>
              </w:rPr>
            </w:pPr>
            <w:r>
              <w:rPr>
                <w:b/>
                <w:bCs/>
                <w:color w:val="auto"/>
                <w:spacing w:val="-9"/>
                <w:u w:val="single"/>
              </w:rPr>
              <w:t>PP</w:t>
            </w:r>
            <w:r>
              <w:rPr>
                <w:b/>
                <w:bCs/>
                <w:color w:val="auto"/>
                <w:spacing w:val="-11"/>
                <w:u w:val="single"/>
              </w:rPr>
              <w:t xml:space="preserve"> </w:t>
            </w:r>
            <w:r>
              <w:rPr>
                <w:b/>
                <w:bCs/>
                <w:color w:val="auto"/>
                <w:spacing w:val="-9"/>
                <w:u w:val="single"/>
              </w:rPr>
              <w:t>或 Q235 防腐</w:t>
            </w:r>
          </w:p>
        </w:tc>
        <w:tc>
          <w:tcPr>
            <w:tcW w:w="974"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个</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加药泵</w:t>
            </w:r>
          </w:p>
        </w:tc>
        <w:tc>
          <w:tcPr>
            <w:tcW w:w="1247" w:type="pct"/>
            <w:shd w:val="clear" w:color="auto" w:fill="auto"/>
            <w:vAlign w:val="center"/>
          </w:tcPr>
          <w:p>
            <w:pPr>
              <w:jc w:val="center"/>
              <w:rPr>
                <w:b/>
                <w:bCs/>
                <w:color w:val="auto"/>
                <w:spacing w:val="-9"/>
                <w:u w:val="single"/>
              </w:rPr>
            </w:pPr>
            <w:r>
              <w:rPr>
                <w:b/>
                <w:bCs/>
                <w:color w:val="auto"/>
                <w:spacing w:val="-14"/>
                <w:u w:val="single"/>
              </w:rPr>
              <w:t>碱</w:t>
            </w:r>
            <w:r>
              <w:rPr>
                <w:b/>
                <w:bCs/>
                <w:color w:val="auto"/>
                <w:spacing w:val="-8"/>
                <w:u w:val="single"/>
              </w:rPr>
              <w:t>、PAC、PAM</w:t>
            </w:r>
          </w:p>
        </w:tc>
        <w:tc>
          <w:tcPr>
            <w:tcW w:w="974" w:type="pct"/>
            <w:shd w:val="clear" w:color="auto" w:fill="auto"/>
            <w:vAlign w:val="center"/>
          </w:tcPr>
          <w:p>
            <w:pPr>
              <w:jc w:val="center"/>
              <w:rPr>
                <w:b/>
                <w:bCs/>
                <w:color w:val="auto"/>
                <w:spacing w:val="-6"/>
                <w:u w:val="single"/>
              </w:rPr>
            </w:pPr>
            <w:r>
              <w:rPr>
                <w:b/>
                <w:bCs/>
                <w:color w:val="auto"/>
                <w:spacing w:val="-14"/>
                <w:u w:val="single"/>
              </w:rPr>
              <w:t>WRS/PROM</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5</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加药流</w:t>
            </w:r>
            <w:r>
              <w:rPr>
                <w:b/>
                <w:bCs/>
                <w:color w:val="auto"/>
                <w:spacing w:val="-1"/>
                <w:u w:val="single"/>
              </w:rPr>
              <w:t>量计</w:t>
            </w:r>
          </w:p>
        </w:tc>
        <w:tc>
          <w:tcPr>
            <w:tcW w:w="1247" w:type="pct"/>
            <w:shd w:val="clear" w:color="auto" w:fill="auto"/>
            <w:vAlign w:val="center"/>
          </w:tcPr>
          <w:p>
            <w:pPr>
              <w:jc w:val="center"/>
              <w:rPr>
                <w:b/>
                <w:bCs/>
                <w:color w:val="auto"/>
                <w:spacing w:val="-9"/>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shd w:val="clear" w:color="auto" w:fill="auto"/>
            <w:vAlign w:val="center"/>
          </w:tcPr>
          <w:p>
            <w:pPr>
              <w:jc w:val="center"/>
              <w:rPr>
                <w:b/>
                <w:bCs/>
                <w:color w:val="auto"/>
                <w:spacing w:val="-6"/>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个</w:t>
            </w:r>
          </w:p>
        </w:tc>
        <w:tc>
          <w:tcPr>
            <w:tcW w:w="298" w:type="pct"/>
            <w:shd w:val="clear" w:color="auto" w:fill="auto"/>
            <w:vAlign w:val="center"/>
          </w:tcPr>
          <w:p>
            <w:pPr>
              <w:jc w:val="center"/>
              <w:rPr>
                <w:b/>
                <w:bCs/>
                <w:color w:val="auto"/>
                <w:u w:val="single"/>
              </w:rPr>
            </w:pPr>
            <w:r>
              <w:rPr>
                <w:b/>
                <w:bCs/>
                <w:color w:val="auto"/>
                <w:u w:val="single"/>
              </w:rPr>
              <w:t>5</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shd w:val="clear" w:color="auto" w:fill="auto"/>
            <w:vAlign w:val="center"/>
          </w:tcPr>
          <w:p>
            <w:pPr>
              <w:jc w:val="center"/>
              <w:rPr>
                <w:b/>
                <w:bCs/>
                <w:color w:val="auto"/>
                <w:spacing w:val="-9"/>
                <w:u w:val="single"/>
              </w:rPr>
            </w:pPr>
            <w:r>
              <w:rPr>
                <w:b/>
                <w:bCs/>
                <w:color w:val="auto"/>
                <w:spacing w:val="-6"/>
                <w:u w:val="single"/>
              </w:rPr>
              <w:t>0</w:t>
            </w:r>
            <w:r>
              <w:rPr>
                <w:b/>
                <w:bCs/>
                <w:color w:val="auto"/>
                <w:spacing w:val="-5"/>
                <w:u w:val="single"/>
              </w:rPr>
              <w:t>-</w:t>
            </w:r>
            <w:r>
              <w:rPr>
                <w:b/>
                <w:bCs/>
                <w:color w:val="auto"/>
                <w:spacing w:val="-3"/>
                <w:u w:val="single"/>
              </w:rPr>
              <w:t>14，</w:t>
            </w:r>
            <w:r>
              <w:rPr>
                <w:rFonts w:hint="eastAsia"/>
                <w:b/>
                <w:bCs/>
                <w:color w:val="auto"/>
                <w:spacing w:val="-3"/>
                <w:u w:val="single"/>
              </w:rPr>
              <w:t>面</w:t>
            </w:r>
            <w:r>
              <w:rPr>
                <w:b/>
                <w:bCs/>
                <w:color w:val="auto"/>
                <w:spacing w:val="-3"/>
                <w:u w:val="single"/>
              </w:rPr>
              <w:t>板式</w:t>
            </w:r>
          </w:p>
        </w:tc>
        <w:tc>
          <w:tcPr>
            <w:tcW w:w="974" w:type="pct"/>
            <w:shd w:val="clear" w:color="auto" w:fill="auto"/>
            <w:vAlign w:val="center"/>
          </w:tcPr>
          <w:p>
            <w:pPr>
              <w:jc w:val="center"/>
              <w:rPr>
                <w:b/>
                <w:bCs/>
                <w:color w:val="auto"/>
                <w:spacing w:val="-6"/>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1"/>
                <w:u w:val="single"/>
              </w:rPr>
              <w:t>ORP</w:t>
            </w:r>
            <w:r>
              <w:rPr>
                <w:b/>
                <w:bCs/>
                <w:color w:val="auto"/>
                <w:spacing w:val="-12"/>
                <w:u w:val="single"/>
              </w:rPr>
              <w:t xml:space="preserve"> </w:t>
            </w:r>
            <w:r>
              <w:rPr>
                <w:b/>
                <w:bCs/>
                <w:color w:val="auto"/>
                <w:spacing w:val="-11"/>
                <w:u w:val="single"/>
              </w:rPr>
              <w:t>仪</w:t>
            </w:r>
          </w:p>
        </w:tc>
        <w:tc>
          <w:tcPr>
            <w:tcW w:w="1247" w:type="pct"/>
            <w:shd w:val="clear" w:color="auto" w:fill="auto"/>
            <w:vAlign w:val="center"/>
          </w:tcPr>
          <w:p>
            <w:pPr>
              <w:jc w:val="center"/>
              <w:rPr>
                <w:b/>
                <w:bCs/>
                <w:color w:val="auto"/>
                <w:spacing w:val="-9"/>
                <w:u w:val="single"/>
              </w:rPr>
            </w:pPr>
            <w:r>
              <w:rPr>
                <w:b/>
                <w:bCs/>
                <w:color w:val="auto"/>
                <w:spacing w:val="-13"/>
                <w:u w:val="single"/>
              </w:rPr>
              <w:t>0</w:t>
            </w:r>
            <w:r>
              <w:rPr>
                <w:b/>
                <w:bCs/>
                <w:color w:val="auto"/>
                <w:spacing w:val="-7"/>
                <w:u w:val="single"/>
              </w:rPr>
              <w:t>-1000mV，</w:t>
            </w:r>
            <w:r>
              <w:rPr>
                <w:rFonts w:hint="eastAsia"/>
                <w:b/>
                <w:bCs/>
                <w:color w:val="auto"/>
                <w:spacing w:val="-7"/>
                <w:u w:val="single"/>
              </w:rPr>
              <w:t>面</w:t>
            </w:r>
            <w:r>
              <w:rPr>
                <w:b/>
                <w:bCs/>
                <w:color w:val="auto"/>
                <w:spacing w:val="-7"/>
                <w:u w:val="single"/>
              </w:rPr>
              <w:t>板式</w:t>
            </w:r>
          </w:p>
        </w:tc>
        <w:tc>
          <w:tcPr>
            <w:tcW w:w="974" w:type="pct"/>
            <w:shd w:val="clear" w:color="auto" w:fill="auto"/>
            <w:vAlign w:val="center"/>
          </w:tcPr>
          <w:p>
            <w:pPr>
              <w:jc w:val="center"/>
              <w:rPr>
                <w:b/>
                <w:bCs/>
                <w:color w:val="auto"/>
                <w:spacing w:val="-6"/>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搅拌机</w:t>
            </w:r>
          </w:p>
        </w:tc>
        <w:tc>
          <w:tcPr>
            <w:tcW w:w="1247" w:type="pct"/>
            <w:shd w:val="clear" w:color="auto" w:fill="auto"/>
            <w:vAlign w:val="center"/>
          </w:tcPr>
          <w:p>
            <w:pPr>
              <w:jc w:val="center"/>
              <w:rPr>
                <w:b/>
                <w:bCs/>
                <w:color w:val="auto"/>
                <w:spacing w:val="-9"/>
                <w:u w:val="single"/>
              </w:rPr>
            </w:pPr>
            <w:r>
              <w:rPr>
                <w:b/>
                <w:bCs/>
                <w:color w:val="auto"/>
                <w:spacing w:val="-12"/>
                <w:u w:val="single"/>
              </w:rPr>
              <w:t>微齿轮</w:t>
            </w:r>
            <w:r>
              <w:rPr>
                <w:b/>
                <w:bCs/>
                <w:color w:val="auto"/>
                <w:spacing w:val="-6"/>
                <w:u w:val="single"/>
              </w:rPr>
              <w:t>，Q235 衬塑，30-60rpm</w:t>
            </w:r>
          </w:p>
        </w:tc>
        <w:tc>
          <w:tcPr>
            <w:tcW w:w="974" w:type="pct"/>
            <w:shd w:val="clear" w:color="auto" w:fill="auto"/>
            <w:vAlign w:val="center"/>
          </w:tcPr>
          <w:p>
            <w:pPr>
              <w:jc w:val="center"/>
              <w:rPr>
                <w:b/>
                <w:bCs/>
                <w:color w:val="auto"/>
                <w:spacing w:val="-6"/>
                <w:u w:val="single"/>
              </w:rPr>
            </w:pPr>
            <w:r>
              <w:rPr>
                <w:b/>
                <w:bCs/>
                <w:color w:val="auto"/>
                <w:spacing w:val="-5"/>
                <w:u w:val="single"/>
              </w:rPr>
              <w:t>国茂/永创</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4</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搅拌</w:t>
            </w:r>
            <w:r>
              <w:rPr>
                <w:b/>
                <w:bCs/>
                <w:color w:val="auto"/>
                <w:spacing w:val="-1"/>
                <w:u w:val="single"/>
              </w:rPr>
              <w:t>机</w:t>
            </w:r>
            <w:r>
              <w:rPr>
                <w:rFonts w:hint="eastAsia"/>
                <w:b/>
                <w:bCs/>
                <w:color w:val="auto"/>
                <w:spacing w:val="-1"/>
                <w:u w:val="single"/>
              </w:rPr>
              <w:t>支</w:t>
            </w:r>
            <w:r>
              <w:rPr>
                <w:b/>
                <w:bCs/>
                <w:color w:val="auto"/>
                <w:spacing w:val="-1"/>
                <w:u w:val="single"/>
              </w:rPr>
              <w:t>架</w:t>
            </w:r>
          </w:p>
        </w:tc>
        <w:tc>
          <w:tcPr>
            <w:tcW w:w="1247" w:type="pct"/>
            <w:shd w:val="clear" w:color="auto" w:fill="auto"/>
            <w:vAlign w:val="center"/>
          </w:tcPr>
          <w:p>
            <w:pPr>
              <w:jc w:val="center"/>
              <w:rPr>
                <w:b/>
                <w:bCs/>
                <w:color w:val="auto"/>
                <w:spacing w:val="-9"/>
                <w:u w:val="single"/>
              </w:rPr>
            </w:pPr>
            <w:r>
              <w:rPr>
                <w:b/>
                <w:bCs/>
                <w:color w:val="auto"/>
                <w:spacing w:val="-9"/>
                <w:u w:val="single"/>
              </w:rPr>
              <w:t>Q235 防腐</w:t>
            </w:r>
          </w:p>
        </w:tc>
        <w:tc>
          <w:tcPr>
            <w:tcW w:w="974" w:type="pct"/>
            <w:shd w:val="clear" w:color="auto" w:fill="auto"/>
            <w:vAlign w:val="center"/>
          </w:tcPr>
          <w:p>
            <w:pPr>
              <w:jc w:val="center"/>
              <w:rPr>
                <w:b/>
                <w:bCs/>
                <w:color w:val="auto"/>
                <w:spacing w:val="-6"/>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4</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4"/>
                <w:u w:val="single"/>
              </w:rPr>
              <w:t>布</w:t>
            </w:r>
            <w:r>
              <w:rPr>
                <w:rFonts w:hint="eastAsia"/>
                <w:b/>
                <w:bCs/>
                <w:color w:val="auto"/>
                <w:spacing w:val="-4"/>
                <w:u w:val="single"/>
              </w:rPr>
              <w:t>水</w:t>
            </w:r>
          </w:p>
        </w:tc>
        <w:tc>
          <w:tcPr>
            <w:tcW w:w="1247" w:type="pct"/>
            <w:shd w:val="clear" w:color="auto" w:fill="auto"/>
            <w:vAlign w:val="center"/>
          </w:tcPr>
          <w:p>
            <w:pPr>
              <w:jc w:val="center"/>
              <w:rPr>
                <w:b/>
                <w:bCs/>
                <w:color w:val="auto"/>
                <w:spacing w:val="-9"/>
                <w:u w:val="single"/>
              </w:rPr>
            </w:pPr>
            <w:r>
              <w:rPr>
                <w:b/>
                <w:bCs/>
                <w:color w:val="auto"/>
                <w:spacing w:val="-3"/>
                <w:u w:val="single"/>
              </w:rPr>
              <w:t>布</w:t>
            </w:r>
            <w:r>
              <w:rPr>
                <w:rFonts w:hint="eastAsia"/>
                <w:b/>
                <w:bCs/>
                <w:color w:val="auto"/>
                <w:spacing w:val="-3"/>
                <w:u w:val="single"/>
                <w:lang w:val="en-US" w:eastAsia="zh-CN"/>
              </w:rPr>
              <w:t>水</w:t>
            </w:r>
            <w:r>
              <w:rPr>
                <w:b/>
                <w:bCs/>
                <w:color w:val="auto"/>
                <w:spacing w:val="-2"/>
                <w:u w:val="single"/>
              </w:rPr>
              <w:t>管</w:t>
            </w:r>
          </w:p>
        </w:tc>
        <w:tc>
          <w:tcPr>
            <w:tcW w:w="974" w:type="pct"/>
            <w:shd w:val="clear" w:color="auto" w:fill="auto"/>
            <w:vAlign w:val="center"/>
          </w:tcPr>
          <w:p>
            <w:pPr>
              <w:jc w:val="center"/>
              <w:rPr>
                <w:b/>
                <w:bCs/>
                <w:color w:val="auto"/>
                <w:spacing w:val="-6"/>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7"/>
                <w:u w:val="single"/>
              </w:rPr>
              <w:t>出</w:t>
            </w:r>
            <w:r>
              <w:rPr>
                <w:rFonts w:hint="eastAsia"/>
                <w:b/>
                <w:bCs/>
                <w:color w:val="auto"/>
                <w:spacing w:val="-7"/>
                <w:u w:val="single"/>
              </w:rPr>
              <w:t>水</w:t>
            </w:r>
            <w:r>
              <w:rPr>
                <w:b/>
                <w:bCs/>
                <w:color w:val="auto"/>
                <w:spacing w:val="-4"/>
                <w:u w:val="single"/>
              </w:rPr>
              <w:t>堰板</w:t>
            </w:r>
          </w:p>
        </w:tc>
        <w:tc>
          <w:tcPr>
            <w:tcW w:w="1247" w:type="pct"/>
            <w:shd w:val="clear" w:color="auto" w:fill="auto"/>
            <w:vAlign w:val="center"/>
          </w:tcPr>
          <w:p>
            <w:pPr>
              <w:jc w:val="center"/>
              <w:rPr>
                <w:b/>
                <w:bCs/>
                <w:color w:val="auto"/>
                <w:spacing w:val="-9"/>
                <w:u w:val="single"/>
              </w:rPr>
            </w:pPr>
            <w:r>
              <w:rPr>
                <w:b/>
                <w:bCs/>
                <w:color w:val="auto"/>
                <w:spacing w:val="-7"/>
                <w:u w:val="single"/>
              </w:rPr>
              <w:t>PVC</w:t>
            </w:r>
            <w:r>
              <w:rPr>
                <w:b/>
                <w:bCs/>
                <w:color w:val="auto"/>
                <w:spacing w:val="-8"/>
                <w:u w:val="single"/>
              </w:rPr>
              <w:t>/</w:t>
            </w:r>
            <w:r>
              <w:rPr>
                <w:b/>
                <w:bCs/>
                <w:color w:val="auto"/>
                <w:spacing w:val="-7"/>
                <w:u w:val="single"/>
              </w:rPr>
              <w:t>不锈钢</w:t>
            </w:r>
          </w:p>
        </w:tc>
        <w:tc>
          <w:tcPr>
            <w:tcW w:w="974" w:type="pct"/>
            <w:shd w:val="clear" w:color="auto" w:fill="auto"/>
            <w:vAlign w:val="center"/>
          </w:tcPr>
          <w:p>
            <w:pPr>
              <w:jc w:val="center"/>
              <w:rPr>
                <w:b/>
                <w:bCs/>
                <w:color w:val="auto"/>
                <w:spacing w:val="-6"/>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
                <w:u w:val="single"/>
              </w:rPr>
              <w:t>斜管填料</w:t>
            </w:r>
          </w:p>
        </w:tc>
        <w:tc>
          <w:tcPr>
            <w:tcW w:w="1247" w:type="pct"/>
            <w:shd w:val="clear" w:color="auto" w:fill="auto"/>
            <w:vAlign w:val="center"/>
          </w:tcPr>
          <w:p>
            <w:pPr>
              <w:jc w:val="center"/>
              <w:rPr>
                <w:b/>
                <w:bCs/>
                <w:color w:val="auto"/>
                <w:spacing w:val="-9"/>
                <w:u w:val="single"/>
              </w:rPr>
            </w:pPr>
            <w:r>
              <w:rPr>
                <w:b/>
                <w:bCs/>
                <w:color w:val="auto"/>
                <w:spacing w:val="-12"/>
                <w:u w:val="single"/>
              </w:rPr>
              <w:t>Φ</w:t>
            </w:r>
            <w:r>
              <w:rPr>
                <w:b/>
                <w:bCs/>
                <w:color w:val="auto"/>
                <w:spacing w:val="-9"/>
                <w:u w:val="single"/>
              </w:rPr>
              <w:t>50mm，</w:t>
            </w:r>
            <w:r>
              <w:rPr>
                <w:rFonts w:hint="eastAsia"/>
                <w:b/>
                <w:bCs/>
                <w:color w:val="auto"/>
                <w:spacing w:val="-9"/>
                <w:u w:val="single"/>
                <w:lang w:val="en-US" w:eastAsia="zh-CN"/>
              </w:rPr>
              <w:t>乙</w:t>
            </w:r>
            <w:r>
              <w:rPr>
                <w:b/>
                <w:bCs/>
                <w:color w:val="auto"/>
                <w:spacing w:val="-9"/>
                <w:u w:val="single"/>
              </w:rPr>
              <w:t>丙共聚</w:t>
            </w:r>
          </w:p>
        </w:tc>
        <w:tc>
          <w:tcPr>
            <w:tcW w:w="974" w:type="pct"/>
            <w:shd w:val="clear" w:color="auto" w:fill="auto"/>
            <w:vAlign w:val="center"/>
          </w:tcPr>
          <w:p>
            <w:pPr>
              <w:jc w:val="center"/>
              <w:rPr>
                <w:b/>
                <w:bCs/>
                <w:color w:val="auto"/>
                <w:spacing w:val="-6"/>
                <w:u w:val="single"/>
              </w:rPr>
            </w:pPr>
            <w:r>
              <w:rPr>
                <w:b/>
                <w:bCs/>
                <w:color w:val="auto"/>
                <w:spacing w:val="-4"/>
                <w:u w:val="single"/>
              </w:rPr>
              <w:t>宜</w:t>
            </w:r>
            <w:r>
              <w:rPr>
                <w:b/>
                <w:bCs/>
                <w:color w:val="auto"/>
                <w:spacing w:val="-2"/>
                <w:u w:val="single"/>
              </w:rPr>
              <w:t>兴</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1"/>
                <w:u w:val="single"/>
              </w:rPr>
              <w:t>斜管填料</w:t>
            </w:r>
            <w:r>
              <w:rPr>
                <w:rFonts w:hint="eastAsia"/>
                <w:b/>
                <w:bCs/>
                <w:color w:val="auto"/>
                <w:spacing w:val="-1"/>
                <w:u w:val="single"/>
              </w:rPr>
              <w:t>支</w:t>
            </w:r>
            <w:r>
              <w:rPr>
                <w:b/>
                <w:bCs/>
                <w:color w:val="auto"/>
                <w:u w:val="single"/>
              </w:rPr>
              <w:t>架</w:t>
            </w:r>
          </w:p>
        </w:tc>
        <w:tc>
          <w:tcPr>
            <w:tcW w:w="1247" w:type="pct"/>
            <w:shd w:val="clear" w:color="auto" w:fill="auto"/>
            <w:vAlign w:val="center"/>
          </w:tcPr>
          <w:p>
            <w:pPr>
              <w:jc w:val="center"/>
              <w:rPr>
                <w:b/>
                <w:bCs/>
                <w:color w:val="auto"/>
                <w:spacing w:val="-9"/>
                <w:u w:val="single"/>
              </w:rPr>
            </w:pPr>
            <w:r>
              <w:rPr>
                <w:b/>
                <w:bCs/>
                <w:color w:val="auto"/>
                <w:spacing w:val="-9"/>
                <w:u w:val="single"/>
              </w:rPr>
              <w:t>Q235 防腐</w:t>
            </w:r>
          </w:p>
        </w:tc>
        <w:tc>
          <w:tcPr>
            <w:tcW w:w="974" w:type="pct"/>
            <w:shd w:val="clear" w:color="auto" w:fill="auto"/>
            <w:vAlign w:val="center"/>
          </w:tcPr>
          <w:p>
            <w:pPr>
              <w:jc w:val="center"/>
              <w:rPr>
                <w:b/>
                <w:bCs/>
                <w:color w:val="auto"/>
                <w:spacing w:val="-6"/>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b/>
                <w:bCs/>
                <w:color w:val="auto"/>
                <w:spacing w:val="-2"/>
                <w:u w:val="single"/>
              </w:rPr>
              <w:t>排泥泵</w:t>
            </w:r>
          </w:p>
        </w:tc>
        <w:tc>
          <w:tcPr>
            <w:tcW w:w="1247" w:type="pct"/>
            <w:shd w:val="clear" w:color="auto" w:fill="auto"/>
            <w:vAlign w:val="center"/>
          </w:tcPr>
          <w:p>
            <w:pPr>
              <w:jc w:val="center"/>
              <w:rPr>
                <w:b/>
                <w:bCs/>
                <w:color w:val="auto"/>
                <w:spacing w:val="-9"/>
                <w:u w:val="single"/>
              </w:rPr>
            </w:pPr>
            <w:r>
              <w:rPr>
                <w:b/>
                <w:bCs/>
                <w:color w:val="auto"/>
                <w:spacing w:val="-8"/>
                <w:u w:val="single"/>
              </w:rPr>
              <w:t>DN</w:t>
            </w:r>
            <w:r>
              <w:rPr>
                <w:b/>
                <w:bCs/>
                <w:color w:val="auto"/>
                <w:spacing w:val="-10"/>
                <w:u w:val="single"/>
              </w:rPr>
              <w:t>4</w:t>
            </w:r>
            <w:r>
              <w:rPr>
                <w:b/>
                <w:bCs/>
                <w:color w:val="auto"/>
                <w:spacing w:val="-8"/>
                <w:u w:val="single"/>
              </w:rPr>
              <w:t>0，</w:t>
            </w:r>
            <w:r>
              <w:rPr>
                <w:rFonts w:hint="eastAsia"/>
                <w:b/>
                <w:bCs/>
                <w:color w:val="auto"/>
                <w:spacing w:val="-8"/>
                <w:u w:val="single"/>
                <w:lang w:val="en-US" w:eastAsia="zh-CN"/>
              </w:rPr>
              <w:t>气</w:t>
            </w:r>
            <w:r>
              <w:rPr>
                <w:b/>
                <w:bCs/>
                <w:color w:val="auto"/>
                <w:spacing w:val="-8"/>
                <w:u w:val="single"/>
              </w:rPr>
              <w:t>动泵</w:t>
            </w:r>
          </w:p>
        </w:tc>
        <w:tc>
          <w:tcPr>
            <w:tcW w:w="974" w:type="pct"/>
            <w:shd w:val="clear" w:color="auto" w:fill="auto"/>
            <w:vAlign w:val="center"/>
          </w:tcPr>
          <w:p>
            <w:pPr>
              <w:jc w:val="center"/>
              <w:rPr>
                <w:b/>
                <w:bCs/>
                <w:color w:val="auto"/>
                <w:spacing w:val="-6"/>
                <w:u w:val="single"/>
              </w:rPr>
            </w:pPr>
            <w:r>
              <w:rPr>
                <w:b/>
                <w:bCs/>
                <w:color w:val="auto"/>
                <w:spacing w:val="-11"/>
                <w:u w:val="single"/>
              </w:rPr>
              <w:t>美国 ARO/VERDE</w:t>
            </w:r>
            <w:r>
              <w:rPr>
                <w:b/>
                <w:bCs/>
                <w:color w:val="auto"/>
                <w:spacing w:val="-10"/>
                <w:u w:val="single"/>
              </w:rPr>
              <w:t>R</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r>
              <w:rPr>
                <w:rFonts w:hint="eastAsia"/>
                <w:b/>
                <w:bCs/>
                <w:color w:val="auto"/>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rFonts w:hint="eastAsia"/>
                <w:b/>
                <w:bCs/>
                <w:color w:val="auto"/>
                <w:spacing w:val="-5"/>
                <w:u w:val="single"/>
              </w:rPr>
              <w:t>手</w:t>
            </w:r>
            <w:r>
              <w:rPr>
                <w:b/>
                <w:bCs/>
                <w:color w:val="auto"/>
                <w:spacing w:val="-5"/>
                <w:u w:val="single"/>
              </w:rPr>
              <w:t>动排泥阀</w:t>
            </w:r>
          </w:p>
        </w:tc>
        <w:tc>
          <w:tcPr>
            <w:tcW w:w="1247" w:type="pct"/>
            <w:shd w:val="clear" w:color="auto" w:fill="auto"/>
            <w:vAlign w:val="center"/>
          </w:tcPr>
          <w:p>
            <w:pPr>
              <w:jc w:val="center"/>
              <w:rPr>
                <w:b/>
                <w:bCs/>
                <w:color w:val="auto"/>
                <w:spacing w:val="-9"/>
                <w:u w:val="single"/>
              </w:rPr>
            </w:pPr>
            <w:r>
              <w:rPr>
                <w:b/>
                <w:bCs/>
                <w:color w:val="auto"/>
                <w:spacing w:val="-13"/>
                <w:u w:val="single"/>
              </w:rPr>
              <w:t>UPVC，DN65</w:t>
            </w:r>
          </w:p>
        </w:tc>
        <w:tc>
          <w:tcPr>
            <w:tcW w:w="974" w:type="pct"/>
            <w:shd w:val="clear" w:color="auto" w:fill="auto"/>
            <w:vAlign w:val="center"/>
          </w:tcPr>
          <w:p>
            <w:pPr>
              <w:jc w:val="center"/>
              <w:rPr>
                <w:b/>
                <w:bCs/>
                <w:color w:val="auto"/>
                <w:spacing w:val="-6"/>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
                <w:u w:val="single"/>
              </w:rPr>
            </w:pPr>
            <w:r>
              <w:rPr>
                <w:rFonts w:hint="eastAsia"/>
                <w:b/>
                <w:bCs/>
                <w:color w:val="auto"/>
                <w:spacing w:val="-9"/>
                <w:u w:val="single"/>
              </w:rPr>
              <w:t>自</w:t>
            </w:r>
            <w:r>
              <w:rPr>
                <w:b/>
                <w:bCs/>
                <w:color w:val="auto"/>
                <w:spacing w:val="-9"/>
                <w:u w:val="single"/>
              </w:rPr>
              <w:t>动排泥阀</w:t>
            </w:r>
          </w:p>
        </w:tc>
        <w:tc>
          <w:tcPr>
            <w:tcW w:w="1247" w:type="pct"/>
            <w:shd w:val="clear" w:color="auto" w:fill="auto"/>
            <w:vAlign w:val="center"/>
          </w:tcPr>
          <w:p>
            <w:pPr>
              <w:jc w:val="center"/>
              <w:rPr>
                <w:b/>
                <w:bCs/>
                <w:color w:val="auto"/>
                <w:spacing w:val="-9"/>
                <w:u w:val="single"/>
              </w:rPr>
            </w:pPr>
            <w:r>
              <w:rPr>
                <w:rFonts w:hint="eastAsia"/>
                <w:b/>
                <w:bCs/>
                <w:color w:val="auto"/>
                <w:spacing w:val="-15"/>
                <w:u w:val="single"/>
                <w:lang w:val="en-US" w:eastAsia="zh-CN"/>
              </w:rPr>
              <w:t>气</w:t>
            </w:r>
            <w:r>
              <w:rPr>
                <w:b/>
                <w:bCs/>
                <w:color w:val="auto"/>
                <w:spacing w:val="-15"/>
                <w:u w:val="single"/>
              </w:rPr>
              <w:t>动，UPVC，  D</w:t>
            </w:r>
            <w:r>
              <w:rPr>
                <w:b/>
                <w:bCs/>
                <w:color w:val="auto"/>
                <w:spacing w:val="-14"/>
                <w:u w:val="single"/>
              </w:rPr>
              <w:t>N</w:t>
            </w:r>
            <w:r>
              <w:rPr>
                <w:b/>
                <w:bCs/>
                <w:color w:val="auto"/>
                <w:spacing w:val="-15"/>
                <w:u w:val="single"/>
              </w:rPr>
              <w:t>65</w:t>
            </w:r>
          </w:p>
        </w:tc>
        <w:tc>
          <w:tcPr>
            <w:tcW w:w="974" w:type="pct"/>
            <w:shd w:val="clear" w:color="auto" w:fill="auto"/>
            <w:vAlign w:val="center"/>
          </w:tcPr>
          <w:p>
            <w:pPr>
              <w:jc w:val="center"/>
              <w:rPr>
                <w:b/>
                <w:bCs/>
                <w:color w:val="auto"/>
                <w:spacing w:val="-6"/>
                <w:u w:val="single"/>
              </w:rPr>
            </w:pPr>
            <w:r>
              <w:rPr>
                <w:b/>
                <w:bCs/>
                <w:color w:val="auto"/>
                <w:spacing w:val="-9"/>
                <w:u w:val="single"/>
              </w:rPr>
              <w:t>FLOWX</w:t>
            </w:r>
            <w:r>
              <w:rPr>
                <w:b/>
                <w:bCs/>
                <w:color w:val="auto"/>
                <w:spacing w:val="-10"/>
                <w:u w:val="single"/>
              </w:rPr>
              <w:t>/</w:t>
            </w:r>
            <w:r>
              <w:rPr>
                <w:b/>
                <w:bCs/>
                <w:color w:val="auto"/>
                <w:spacing w:val="-9"/>
                <w:u w:val="single"/>
              </w:rPr>
              <w:t>圣尔诺</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spacing w:val="-2"/>
                <w:u w:val="single"/>
              </w:rPr>
            </w:pPr>
            <w:r>
              <w:rPr>
                <w:b/>
                <w:bCs/>
                <w:color w:val="auto"/>
                <w:spacing w:val="-2"/>
                <w:u w:val="single"/>
              </w:rPr>
              <w:t>3</w:t>
            </w:r>
          </w:p>
        </w:tc>
        <w:tc>
          <w:tcPr>
            <w:tcW w:w="529" w:type="pct"/>
            <w:vMerge w:val="restart"/>
            <w:shd w:val="clear" w:color="auto" w:fill="auto"/>
            <w:vAlign w:val="center"/>
          </w:tcPr>
          <w:p>
            <w:pPr>
              <w:jc w:val="center"/>
              <w:rPr>
                <w:b/>
                <w:bCs/>
                <w:color w:val="auto"/>
                <w:u w:val="single"/>
              </w:rPr>
            </w:pPr>
            <w:r>
              <w:rPr>
                <w:b/>
                <w:bCs/>
                <w:color w:val="auto"/>
                <w:spacing w:val="-2"/>
                <w:u w:val="single"/>
              </w:rPr>
              <w:t>还原反</w:t>
            </w:r>
            <w:r>
              <w:rPr>
                <w:b/>
                <w:bCs/>
                <w:color w:val="auto"/>
                <w:spacing w:val="-1"/>
                <w:u w:val="single"/>
              </w:rPr>
              <w:t>应沉</w:t>
            </w:r>
            <w:r>
              <w:rPr>
                <w:b/>
                <w:bCs/>
                <w:color w:val="auto"/>
                <w:spacing w:val="-2"/>
                <w:u w:val="single"/>
              </w:rPr>
              <w:t>淀</w:t>
            </w:r>
            <w:r>
              <w:rPr>
                <w:rFonts w:hint="eastAsia"/>
                <w:b/>
                <w:bCs/>
                <w:color w:val="auto"/>
                <w:spacing w:val="-2"/>
                <w:u w:val="single"/>
              </w:rPr>
              <w:t>一</w:t>
            </w:r>
            <w:r>
              <w:rPr>
                <w:b/>
                <w:bCs/>
                <w:color w:val="auto"/>
                <w:spacing w:val="-1"/>
                <w:u w:val="single"/>
              </w:rPr>
              <w:t>体槽</w:t>
            </w:r>
          </w:p>
        </w:tc>
        <w:tc>
          <w:tcPr>
            <w:tcW w:w="787" w:type="pct"/>
            <w:shd w:val="clear" w:color="auto" w:fill="auto"/>
            <w:vAlign w:val="center"/>
          </w:tcPr>
          <w:p>
            <w:pPr>
              <w:jc w:val="center"/>
              <w:rPr>
                <w:b/>
                <w:bCs/>
                <w:color w:val="auto"/>
                <w:u w:val="single"/>
              </w:rPr>
            </w:pPr>
            <w:r>
              <w:rPr>
                <w:b/>
                <w:bCs/>
                <w:color w:val="auto"/>
                <w:spacing w:val="-1"/>
                <w:u w:val="single"/>
              </w:rPr>
              <w:t>还原反应沉淀槽</w:t>
            </w:r>
          </w:p>
        </w:tc>
        <w:tc>
          <w:tcPr>
            <w:tcW w:w="1247" w:type="pct"/>
            <w:shd w:val="clear" w:color="auto" w:fill="auto"/>
            <w:vAlign w:val="center"/>
          </w:tcPr>
          <w:p>
            <w:pPr>
              <w:jc w:val="center"/>
              <w:rPr>
                <w:b/>
                <w:bCs/>
                <w:color w:val="auto"/>
                <w:u w:val="single"/>
              </w:rPr>
            </w:pPr>
            <w:r>
              <w:rPr>
                <w:b/>
                <w:bCs/>
                <w:color w:val="auto"/>
                <w:spacing w:val="-9"/>
                <w:u w:val="single"/>
              </w:rPr>
              <w:t>PP</w:t>
            </w:r>
            <w:r>
              <w:rPr>
                <w:b/>
                <w:bCs/>
                <w:color w:val="auto"/>
                <w:spacing w:val="-11"/>
                <w:u w:val="single"/>
              </w:rPr>
              <w:t xml:space="preserve"> </w:t>
            </w:r>
            <w:r>
              <w:rPr>
                <w:b/>
                <w:bCs/>
                <w:color w:val="auto"/>
                <w:spacing w:val="-9"/>
                <w:u w:val="single"/>
              </w:rPr>
              <w:t>或 Q235 防腐</w:t>
            </w:r>
          </w:p>
        </w:tc>
        <w:tc>
          <w:tcPr>
            <w:tcW w:w="974" w:type="pct"/>
            <w:shd w:val="clear" w:color="auto" w:fill="auto"/>
            <w:vAlign w:val="center"/>
          </w:tcPr>
          <w:p>
            <w:pPr>
              <w:jc w:val="center"/>
              <w:rPr>
                <w:b/>
                <w:bCs/>
                <w:color w:val="auto"/>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个</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2"/>
                <w:u w:val="single"/>
              </w:rPr>
              <w:t>加药泵</w:t>
            </w:r>
          </w:p>
        </w:tc>
        <w:tc>
          <w:tcPr>
            <w:tcW w:w="1247" w:type="pct"/>
            <w:shd w:val="clear" w:color="auto" w:fill="auto"/>
            <w:vAlign w:val="center"/>
          </w:tcPr>
          <w:p>
            <w:pPr>
              <w:jc w:val="center"/>
              <w:rPr>
                <w:b/>
                <w:bCs/>
                <w:color w:val="auto"/>
                <w:spacing w:val="-2"/>
                <w:u w:val="single"/>
              </w:rPr>
            </w:pPr>
            <w:r>
              <w:rPr>
                <w:b/>
                <w:bCs/>
                <w:color w:val="auto"/>
                <w:spacing w:val="-14"/>
                <w:u w:val="single"/>
              </w:rPr>
              <w:t>碱</w:t>
            </w:r>
            <w:r>
              <w:rPr>
                <w:b/>
                <w:bCs/>
                <w:color w:val="auto"/>
                <w:spacing w:val="-8"/>
                <w:u w:val="single"/>
              </w:rPr>
              <w:t>、PAC、PAM</w:t>
            </w:r>
          </w:p>
        </w:tc>
        <w:tc>
          <w:tcPr>
            <w:tcW w:w="974" w:type="pct"/>
            <w:shd w:val="clear" w:color="auto" w:fill="auto"/>
            <w:vAlign w:val="center"/>
          </w:tcPr>
          <w:p>
            <w:pPr>
              <w:jc w:val="center"/>
              <w:rPr>
                <w:b/>
                <w:bCs/>
                <w:color w:val="auto"/>
                <w:spacing w:val="-2"/>
                <w:u w:val="single"/>
              </w:rPr>
            </w:pPr>
            <w:r>
              <w:rPr>
                <w:b/>
                <w:bCs/>
                <w:color w:val="auto"/>
                <w:spacing w:val="-14"/>
                <w:u w:val="single"/>
              </w:rPr>
              <w:t>WRS/PROM</w:t>
            </w:r>
          </w:p>
        </w:tc>
        <w:tc>
          <w:tcPr>
            <w:tcW w:w="316" w:type="pct"/>
            <w:shd w:val="clear" w:color="auto" w:fill="auto"/>
            <w:vAlign w:val="center"/>
          </w:tcPr>
          <w:p>
            <w:pPr>
              <w:jc w:val="center"/>
              <w:rPr>
                <w:b/>
                <w:bCs/>
                <w:color w:val="auto"/>
                <w:spacing w:val="-2"/>
                <w:u w:val="single"/>
              </w:rPr>
            </w:pPr>
            <w:r>
              <w:rPr>
                <w:b/>
                <w:bCs/>
                <w:color w:val="auto"/>
                <w:u w:val="single"/>
              </w:rPr>
              <w:t>台</w:t>
            </w:r>
          </w:p>
        </w:tc>
        <w:tc>
          <w:tcPr>
            <w:tcW w:w="298" w:type="pct"/>
            <w:shd w:val="clear" w:color="auto" w:fill="auto"/>
            <w:vAlign w:val="center"/>
          </w:tcPr>
          <w:p>
            <w:pPr>
              <w:jc w:val="center"/>
              <w:rPr>
                <w:b/>
                <w:bCs/>
                <w:color w:val="auto"/>
                <w:spacing w:val="-2"/>
                <w:u w:val="single"/>
              </w:rPr>
            </w:pPr>
            <w:r>
              <w:rPr>
                <w:b/>
                <w:bCs/>
                <w:color w:val="auto"/>
                <w:u w:val="single"/>
              </w:rPr>
              <w:t>5</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2"/>
                <w:u w:val="single"/>
              </w:rPr>
              <w:t>加药流</w:t>
            </w:r>
            <w:r>
              <w:rPr>
                <w:b/>
                <w:bCs/>
                <w:color w:val="auto"/>
                <w:spacing w:val="-1"/>
                <w:u w:val="single"/>
              </w:rPr>
              <w:t>量计</w:t>
            </w:r>
          </w:p>
        </w:tc>
        <w:tc>
          <w:tcPr>
            <w:tcW w:w="1247" w:type="pct"/>
            <w:shd w:val="clear" w:color="auto" w:fill="auto"/>
            <w:vAlign w:val="center"/>
          </w:tcPr>
          <w:p>
            <w:pPr>
              <w:jc w:val="center"/>
              <w:rPr>
                <w:b/>
                <w:bCs/>
                <w:color w:val="auto"/>
                <w:spacing w:val="-2"/>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shd w:val="clear" w:color="auto" w:fill="auto"/>
            <w:vAlign w:val="center"/>
          </w:tcPr>
          <w:p>
            <w:pPr>
              <w:jc w:val="center"/>
              <w:rPr>
                <w:b/>
                <w:bCs/>
                <w:color w:val="auto"/>
                <w:spacing w:val="-2"/>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spacing w:val="-2"/>
                <w:u w:val="single"/>
              </w:rPr>
            </w:pPr>
            <w:r>
              <w:rPr>
                <w:b/>
                <w:bCs/>
                <w:color w:val="auto"/>
                <w:u w:val="single"/>
              </w:rPr>
              <w:t>个</w:t>
            </w:r>
          </w:p>
        </w:tc>
        <w:tc>
          <w:tcPr>
            <w:tcW w:w="298" w:type="pct"/>
            <w:shd w:val="clear" w:color="auto" w:fill="auto"/>
            <w:vAlign w:val="center"/>
          </w:tcPr>
          <w:p>
            <w:pPr>
              <w:jc w:val="center"/>
              <w:rPr>
                <w:b/>
                <w:bCs/>
                <w:color w:val="auto"/>
                <w:spacing w:val="-2"/>
                <w:u w:val="single"/>
              </w:rPr>
            </w:pPr>
            <w:r>
              <w:rPr>
                <w:b/>
                <w:bCs/>
                <w:color w:val="auto"/>
                <w:u w:val="single"/>
              </w:rPr>
              <w:t>5</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shd w:val="clear" w:color="auto" w:fill="auto"/>
            <w:vAlign w:val="center"/>
          </w:tcPr>
          <w:p>
            <w:pPr>
              <w:jc w:val="center"/>
              <w:rPr>
                <w:b/>
                <w:bCs/>
                <w:color w:val="auto"/>
                <w:spacing w:val="-2"/>
                <w:u w:val="single"/>
              </w:rPr>
            </w:pPr>
            <w:r>
              <w:rPr>
                <w:b/>
                <w:bCs/>
                <w:color w:val="auto"/>
                <w:spacing w:val="-6"/>
                <w:u w:val="single"/>
              </w:rPr>
              <w:t>0</w:t>
            </w:r>
            <w:r>
              <w:rPr>
                <w:b/>
                <w:bCs/>
                <w:color w:val="auto"/>
                <w:spacing w:val="-5"/>
                <w:u w:val="single"/>
              </w:rPr>
              <w:t>-</w:t>
            </w:r>
            <w:r>
              <w:rPr>
                <w:b/>
                <w:bCs/>
                <w:color w:val="auto"/>
                <w:spacing w:val="-3"/>
                <w:u w:val="single"/>
              </w:rPr>
              <w:t>14，</w:t>
            </w:r>
            <w:r>
              <w:rPr>
                <w:rFonts w:hint="eastAsia"/>
                <w:b/>
                <w:bCs/>
                <w:color w:val="auto"/>
                <w:spacing w:val="-3"/>
                <w:u w:val="single"/>
              </w:rPr>
              <w:t>面</w:t>
            </w:r>
            <w:r>
              <w:rPr>
                <w:b/>
                <w:bCs/>
                <w:color w:val="auto"/>
                <w:spacing w:val="-3"/>
                <w:u w:val="single"/>
              </w:rPr>
              <w:t>板式</w:t>
            </w:r>
          </w:p>
        </w:tc>
        <w:tc>
          <w:tcPr>
            <w:tcW w:w="974" w:type="pct"/>
            <w:shd w:val="clear" w:color="auto" w:fill="auto"/>
            <w:vAlign w:val="center"/>
          </w:tcPr>
          <w:p>
            <w:pPr>
              <w:jc w:val="center"/>
              <w:rPr>
                <w:b/>
                <w:bCs/>
                <w:color w:val="auto"/>
                <w:spacing w:val="-2"/>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spacing w:val="-2"/>
                <w:u w:val="single"/>
              </w:rPr>
            </w:pPr>
            <w:r>
              <w:rPr>
                <w:b/>
                <w:bCs/>
                <w:color w:val="auto"/>
                <w:u w:val="single"/>
              </w:rPr>
              <w:t>套</w:t>
            </w:r>
          </w:p>
        </w:tc>
        <w:tc>
          <w:tcPr>
            <w:tcW w:w="298" w:type="pct"/>
            <w:shd w:val="clear" w:color="auto" w:fill="auto"/>
            <w:vAlign w:val="center"/>
          </w:tcPr>
          <w:p>
            <w:pPr>
              <w:jc w:val="center"/>
              <w:rPr>
                <w:b/>
                <w:bCs/>
                <w:color w:val="auto"/>
                <w:spacing w:val="-2"/>
                <w:u w:val="single"/>
              </w:rPr>
            </w:pPr>
            <w:r>
              <w:rPr>
                <w:b/>
                <w:bCs/>
                <w:color w:val="auto"/>
                <w:u w:val="single"/>
              </w:rPr>
              <w:t>2</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11"/>
                <w:u w:val="single"/>
              </w:rPr>
              <w:t>ORP</w:t>
            </w:r>
            <w:r>
              <w:rPr>
                <w:b/>
                <w:bCs/>
                <w:color w:val="auto"/>
                <w:spacing w:val="-12"/>
                <w:u w:val="single"/>
              </w:rPr>
              <w:t xml:space="preserve"> </w:t>
            </w:r>
            <w:r>
              <w:rPr>
                <w:b/>
                <w:bCs/>
                <w:color w:val="auto"/>
                <w:spacing w:val="-11"/>
                <w:u w:val="single"/>
              </w:rPr>
              <w:t>仪</w:t>
            </w:r>
          </w:p>
        </w:tc>
        <w:tc>
          <w:tcPr>
            <w:tcW w:w="1247" w:type="pct"/>
            <w:shd w:val="clear" w:color="auto" w:fill="auto"/>
            <w:vAlign w:val="center"/>
          </w:tcPr>
          <w:p>
            <w:pPr>
              <w:jc w:val="center"/>
              <w:rPr>
                <w:b/>
                <w:bCs/>
                <w:color w:val="auto"/>
                <w:spacing w:val="-2"/>
                <w:u w:val="single"/>
              </w:rPr>
            </w:pPr>
            <w:r>
              <w:rPr>
                <w:b/>
                <w:bCs/>
                <w:color w:val="auto"/>
                <w:spacing w:val="-13"/>
                <w:u w:val="single"/>
              </w:rPr>
              <w:t>0</w:t>
            </w:r>
            <w:r>
              <w:rPr>
                <w:b/>
                <w:bCs/>
                <w:color w:val="auto"/>
                <w:spacing w:val="-7"/>
                <w:u w:val="single"/>
              </w:rPr>
              <w:t>-1000mV，</w:t>
            </w:r>
            <w:r>
              <w:rPr>
                <w:rFonts w:hint="eastAsia"/>
                <w:b/>
                <w:bCs/>
                <w:color w:val="auto"/>
                <w:spacing w:val="-7"/>
                <w:u w:val="single"/>
              </w:rPr>
              <w:t>面</w:t>
            </w:r>
            <w:r>
              <w:rPr>
                <w:b/>
                <w:bCs/>
                <w:color w:val="auto"/>
                <w:spacing w:val="-7"/>
                <w:u w:val="single"/>
              </w:rPr>
              <w:t>板式</w:t>
            </w:r>
          </w:p>
        </w:tc>
        <w:tc>
          <w:tcPr>
            <w:tcW w:w="974" w:type="pct"/>
            <w:shd w:val="clear" w:color="auto" w:fill="auto"/>
            <w:vAlign w:val="center"/>
          </w:tcPr>
          <w:p>
            <w:pPr>
              <w:jc w:val="center"/>
              <w:rPr>
                <w:b/>
                <w:bCs/>
                <w:color w:val="auto"/>
                <w:spacing w:val="-2"/>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spacing w:val="-2"/>
                <w:u w:val="single"/>
              </w:rPr>
            </w:pPr>
            <w:r>
              <w:rPr>
                <w:b/>
                <w:bCs/>
                <w:color w:val="auto"/>
                <w:u w:val="single"/>
              </w:rPr>
              <w:t>套</w:t>
            </w:r>
          </w:p>
        </w:tc>
        <w:tc>
          <w:tcPr>
            <w:tcW w:w="298" w:type="pct"/>
            <w:shd w:val="clear" w:color="auto" w:fill="auto"/>
            <w:vAlign w:val="center"/>
          </w:tcPr>
          <w:p>
            <w:pPr>
              <w:jc w:val="center"/>
              <w:rPr>
                <w:b/>
                <w:bCs/>
                <w:color w:val="auto"/>
                <w:spacing w:val="-2"/>
                <w:u w:val="single"/>
              </w:rPr>
            </w:pPr>
            <w:r>
              <w:rPr>
                <w:b/>
                <w:bCs/>
                <w:color w:val="auto"/>
                <w:u w:val="single"/>
              </w:rPr>
              <w:t>1</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2"/>
                <w:u w:val="single"/>
              </w:rPr>
              <w:t>搅拌机</w:t>
            </w:r>
          </w:p>
        </w:tc>
        <w:tc>
          <w:tcPr>
            <w:tcW w:w="1247" w:type="pct"/>
            <w:shd w:val="clear" w:color="auto" w:fill="auto"/>
            <w:vAlign w:val="center"/>
          </w:tcPr>
          <w:p>
            <w:pPr>
              <w:jc w:val="center"/>
              <w:rPr>
                <w:b/>
                <w:bCs/>
                <w:color w:val="auto"/>
                <w:spacing w:val="-2"/>
                <w:u w:val="single"/>
              </w:rPr>
            </w:pPr>
            <w:r>
              <w:rPr>
                <w:b/>
                <w:bCs/>
                <w:color w:val="auto"/>
                <w:spacing w:val="-12"/>
                <w:u w:val="single"/>
              </w:rPr>
              <w:t>微</w:t>
            </w:r>
            <w:r>
              <w:rPr>
                <w:rFonts w:hint="eastAsia" w:ascii="宋体" w:hAnsi="宋体" w:cs="宋体"/>
                <w:b/>
                <w:bCs/>
                <w:color w:val="auto"/>
                <w:spacing w:val="-11"/>
                <w:u w:val="single"/>
              </w:rPr>
              <w:t>⻮</w:t>
            </w:r>
            <w:r>
              <w:rPr>
                <w:b/>
                <w:bCs/>
                <w:color w:val="auto"/>
                <w:spacing w:val="-6"/>
                <w:u w:val="single"/>
              </w:rPr>
              <w:t>轮，Q235 衬塑，30-60rpm</w:t>
            </w:r>
          </w:p>
        </w:tc>
        <w:tc>
          <w:tcPr>
            <w:tcW w:w="974" w:type="pct"/>
            <w:shd w:val="clear" w:color="auto" w:fill="auto"/>
            <w:vAlign w:val="center"/>
          </w:tcPr>
          <w:p>
            <w:pPr>
              <w:jc w:val="center"/>
              <w:rPr>
                <w:b/>
                <w:bCs/>
                <w:color w:val="auto"/>
                <w:spacing w:val="-2"/>
                <w:u w:val="single"/>
              </w:rPr>
            </w:pPr>
            <w:r>
              <w:rPr>
                <w:b/>
                <w:bCs/>
                <w:color w:val="auto"/>
                <w:spacing w:val="-5"/>
                <w:u w:val="single"/>
              </w:rPr>
              <w:t>国茂/永创</w:t>
            </w:r>
          </w:p>
        </w:tc>
        <w:tc>
          <w:tcPr>
            <w:tcW w:w="316" w:type="pct"/>
            <w:shd w:val="clear" w:color="auto" w:fill="auto"/>
            <w:vAlign w:val="center"/>
          </w:tcPr>
          <w:p>
            <w:pPr>
              <w:jc w:val="center"/>
              <w:rPr>
                <w:b/>
                <w:bCs/>
                <w:color w:val="auto"/>
                <w:spacing w:val="-2"/>
                <w:u w:val="single"/>
              </w:rPr>
            </w:pPr>
            <w:r>
              <w:rPr>
                <w:b/>
                <w:bCs/>
                <w:color w:val="auto"/>
                <w:u w:val="single"/>
              </w:rPr>
              <w:t>台</w:t>
            </w:r>
          </w:p>
        </w:tc>
        <w:tc>
          <w:tcPr>
            <w:tcW w:w="298" w:type="pct"/>
            <w:shd w:val="clear" w:color="auto" w:fill="auto"/>
            <w:vAlign w:val="center"/>
          </w:tcPr>
          <w:p>
            <w:pPr>
              <w:jc w:val="center"/>
              <w:rPr>
                <w:b/>
                <w:bCs/>
                <w:color w:val="auto"/>
                <w:spacing w:val="-2"/>
                <w:u w:val="single"/>
              </w:rPr>
            </w:pPr>
            <w:r>
              <w:rPr>
                <w:b/>
                <w:bCs/>
                <w:color w:val="auto"/>
                <w:u w:val="single"/>
              </w:rPr>
              <w:t>4</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2"/>
                <w:u w:val="single"/>
              </w:rPr>
              <w:t>搅拌</w:t>
            </w:r>
            <w:r>
              <w:rPr>
                <w:b/>
                <w:bCs/>
                <w:color w:val="auto"/>
                <w:spacing w:val="-1"/>
                <w:u w:val="single"/>
              </w:rPr>
              <w:t>机</w:t>
            </w:r>
            <w:r>
              <w:rPr>
                <w:rFonts w:eastAsia="Meiryo"/>
                <w:b/>
                <w:bCs/>
                <w:color w:val="auto"/>
                <w:spacing w:val="-1"/>
                <w:u w:val="single"/>
              </w:rPr>
              <w:t>⽀</w:t>
            </w:r>
            <w:r>
              <w:rPr>
                <w:b/>
                <w:bCs/>
                <w:color w:val="auto"/>
                <w:spacing w:val="-1"/>
                <w:u w:val="single"/>
              </w:rPr>
              <w:t>架</w:t>
            </w:r>
          </w:p>
        </w:tc>
        <w:tc>
          <w:tcPr>
            <w:tcW w:w="1247" w:type="pct"/>
            <w:shd w:val="clear" w:color="auto" w:fill="auto"/>
            <w:vAlign w:val="center"/>
          </w:tcPr>
          <w:p>
            <w:pPr>
              <w:jc w:val="center"/>
              <w:rPr>
                <w:b/>
                <w:bCs/>
                <w:color w:val="auto"/>
                <w:spacing w:val="-2"/>
                <w:u w:val="single"/>
              </w:rPr>
            </w:pPr>
            <w:r>
              <w:rPr>
                <w:b/>
                <w:bCs/>
                <w:color w:val="auto"/>
                <w:spacing w:val="-9"/>
                <w:u w:val="single"/>
              </w:rPr>
              <w:t>Q235 防腐</w:t>
            </w:r>
          </w:p>
        </w:tc>
        <w:tc>
          <w:tcPr>
            <w:tcW w:w="974" w:type="pct"/>
            <w:shd w:val="clear" w:color="auto" w:fill="auto"/>
            <w:vAlign w:val="center"/>
          </w:tcPr>
          <w:p>
            <w:pPr>
              <w:jc w:val="center"/>
              <w:rPr>
                <w:b/>
                <w:bCs/>
                <w:color w:val="auto"/>
                <w:spacing w:val="-2"/>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spacing w:val="-2"/>
                <w:u w:val="single"/>
              </w:rPr>
            </w:pPr>
            <w:r>
              <w:rPr>
                <w:b/>
                <w:bCs/>
                <w:color w:val="auto"/>
                <w:u w:val="single"/>
              </w:rPr>
              <w:t>套</w:t>
            </w:r>
          </w:p>
        </w:tc>
        <w:tc>
          <w:tcPr>
            <w:tcW w:w="298" w:type="pct"/>
            <w:shd w:val="clear" w:color="auto" w:fill="auto"/>
            <w:vAlign w:val="center"/>
          </w:tcPr>
          <w:p>
            <w:pPr>
              <w:jc w:val="center"/>
              <w:rPr>
                <w:b/>
                <w:bCs/>
                <w:color w:val="auto"/>
                <w:spacing w:val="-2"/>
                <w:u w:val="single"/>
              </w:rPr>
            </w:pPr>
            <w:r>
              <w:rPr>
                <w:b/>
                <w:bCs/>
                <w:color w:val="auto"/>
                <w:u w:val="single"/>
              </w:rPr>
              <w:t>4</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4"/>
                <w:u w:val="single"/>
              </w:rPr>
              <w:t>布</w:t>
            </w:r>
            <w:r>
              <w:rPr>
                <w:rFonts w:hint="eastAsia"/>
                <w:b/>
                <w:bCs/>
                <w:color w:val="auto"/>
                <w:spacing w:val="-4"/>
                <w:u w:val="single"/>
              </w:rPr>
              <w:t>水</w:t>
            </w:r>
          </w:p>
        </w:tc>
        <w:tc>
          <w:tcPr>
            <w:tcW w:w="1247" w:type="pct"/>
            <w:shd w:val="clear" w:color="auto" w:fill="auto"/>
            <w:vAlign w:val="center"/>
          </w:tcPr>
          <w:p>
            <w:pPr>
              <w:jc w:val="center"/>
              <w:rPr>
                <w:b/>
                <w:bCs/>
                <w:color w:val="auto"/>
                <w:spacing w:val="-2"/>
                <w:u w:val="single"/>
              </w:rPr>
            </w:pPr>
            <w:r>
              <w:rPr>
                <w:b/>
                <w:bCs/>
                <w:color w:val="auto"/>
                <w:spacing w:val="-3"/>
                <w:u w:val="single"/>
              </w:rPr>
              <w:t>布</w:t>
            </w:r>
            <w:r>
              <w:rPr>
                <w:rFonts w:hint="eastAsia"/>
                <w:b/>
                <w:bCs/>
                <w:color w:val="auto"/>
                <w:spacing w:val="-3"/>
                <w:u w:val="single"/>
              </w:rPr>
              <w:t>水</w:t>
            </w:r>
            <w:r>
              <w:rPr>
                <w:b/>
                <w:bCs/>
                <w:color w:val="auto"/>
                <w:spacing w:val="-2"/>
                <w:u w:val="single"/>
              </w:rPr>
              <w:t>管</w:t>
            </w:r>
          </w:p>
        </w:tc>
        <w:tc>
          <w:tcPr>
            <w:tcW w:w="974" w:type="pct"/>
            <w:shd w:val="clear" w:color="auto" w:fill="auto"/>
            <w:vAlign w:val="center"/>
          </w:tcPr>
          <w:p>
            <w:pPr>
              <w:jc w:val="center"/>
              <w:rPr>
                <w:b/>
                <w:bCs/>
                <w:color w:val="auto"/>
                <w:spacing w:val="-2"/>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spacing w:val="-2"/>
                <w:u w:val="single"/>
              </w:rPr>
            </w:pPr>
            <w:r>
              <w:rPr>
                <w:b/>
                <w:bCs/>
                <w:color w:val="auto"/>
                <w:u w:val="single"/>
              </w:rPr>
              <w:t>套</w:t>
            </w:r>
          </w:p>
        </w:tc>
        <w:tc>
          <w:tcPr>
            <w:tcW w:w="298" w:type="pct"/>
            <w:shd w:val="clear" w:color="auto" w:fill="auto"/>
            <w:vAlign w:val="center"/>
          </w:tcPr>
          <w:p>
            <w:pPr>
              <w:jc w:val="center"/>
              <w:rPr>
                <w:b/>
                <w:bCs/>
                <w:color w:val="auto"/>
                <w:spacing w:val="-2"/>
                <w:u w:val="single"/>
              </w:rPr>
            </w:pPr>
            <w:r>
              <w:rPr>
                <w:b/>
                <w:bCs/>
                <w:color w:val="auto"/>
                <w:u w:val="single"/>
              </w:rPr>
              <w:t>1</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7"/>
                <w:u w:val="single"/>
              </w:rPr>
              <w:t>出</w:t>
            </w:r>
            <w:r>
              <w:rPr>
                <w:rFonts w:hint="eastAsia"/>
                <w:b/>
                <w:bCs/>
                <w:color w:val="auto"/>
                <w:spacing w:val="-7"/>
                <w:u w:val="single"/>
              </w:rPr>
              <w:t>水</w:t>
            </w:r>
            <w:r>
              <w:rPr>
                <w:b/>
                <w:bCs/>
                <w:color w:val="auto"/>
                <w:spacing w:val="-4"/>
                <w:u w:val="single"/>
              </w:rPr>
              <w:t>堰板</w:t>
            </w:r>
          </w:p>
        </w:tc>
        <w:tc>
          <w:tcPr>
            <w:tcW w:w="1247" w:type="pct"/>
            <w:shd w:val="clear" w:color="auto" w:fill="auto"/>
            <w:vAlign w:val="center"/>
          </w:tcPr>
          <w:p>
            <w:pPr>
              <w:jc w:val="center"/>
              <w:rPr>
                <w:b/>
                <w:bCs/>
                <w:color w:val="auto"/>
                <w:spacing w:val="-2"/>
                <w:u w:val="single"/>
              </w:rPr>
            </w:pPr>
            <w:r>
              <w:rPr>
                <w:b/>
                <w:bCs/>
                <w:color w:val="auto"/>
                <w:spacing w:val="-7"/>
                <w:u w:val="single"/>
              </w:rPr>
              <w:t>PVC</w:t>
            </w:r>
            <w:r>
              <w:rPr>
                <w:b/>
                <w:bCs/>
                <w:color w:val="auto"/>
                <w:spacing w:val="-8"/>
                <w:u w:val="single"/>
              </w:rPr>
              <w:t>/</w:t>
            </w:r>
            <w:r>
              <w:rPr>
                <w:b/>
                <w:bCs/>
                <w:color w:val="auto"/>
                <w:spacing w:val="-7"/>
                <w:u w:val="single"/>
              </w:rPr>
              <w:t>不锈钢</w:t>
            </w:r>
          </w:p>
        </w:tc>
        <w:tc>
          <w:tcPr>
            <w:tcW w:w="974" w:type="pct"/>
            <w:shd w:val="clear" w:color="auto" w:fill="auto"/>
            <w:vAlign w:val="center"/>
          </w:tcPr>
          <w:p>
            <w:pPr>
              <w:jc w:val="center"/>
              <w:rPr>
                <w:b/>
                <w:bCs/>
                <w:color w:val="auto"/>
                <w:spacing w:val="-2"/>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spacing w:val="-2"/>
                <w:u w:val="single"/>
              </w:rPr>
            </w:pPr>
            <w:r>
              <w:rPr>
                <w:b/>
                <w:bCs/>
                <w:color w:val="auto"/>
                <w:u w:val="single"/>
              </w:rPr>
              <w:t>套</w:t>
            </w:r>
          </w:p>
        </w:tc>
        <w:tc>
          <w:tcPr>
            <w:tcW w:w="298" w:type="pct"/>
            <w:shd w:val="clear" w:color="auto" w:fill="auto"/>
            <w:vAlign w:val="center"/>
          </w:tcPr>
          <w:p>
            <w:pPr>
              <w:jc w:val="center"/>
              <w:rPr>
                <w:b/>
                <w:bCs/>
                <w:color w:val="auto"/>
                <w:spacing w:val="-2"/>
                <w:u w:val="single"/>
              </w:rPr>
            </w:pPr>
            <w:r>
              <w:rPr>
                <w:b/>
                <w:bCs/>
                <w:color w:val="auto"/>
                <w:u w:val="single"/>
              </w:rPr>
              <w:t>1</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1"/>
                <w:u w:val="single"/>
              </w:rPr>
              <w:t>斜管填料</w:t>
            </w:r>
          </w:p>
        </w:tc>
        <w:tc>
          <w:tcPr>
            <w:tcW w:w="1247" w:type="pct"/>
            <w:shd w:val="clear" w:color="auto" w:fill="auto"/>
            <w:vAlign w:val="center"/>
          </w:tcPr>
          <w:p>
            <w:pPr>
              <w:jc w:val="center"/>
              <w:rPr>
                <w:b/>
                <w:bCs/>
                <w:color w:val="auto"/>
                <w:spacing w:val="-2"/>
                <w:u w:val="single"/>
              </w:rPr>
            </w:pPr>
            <w:r>
              <w:rPr>
                <w:b/>
                <w:bCs/>
                <w:color w:val="auto"/>
                <w:spacing w:val="-12"/>
                <w:u w:val="single"/>
              </w:rPr>
              <w:t>Φ</w:t>
            </w:r>
            <w:r>
              <w:rPr>
                <w:b/>
                <w:bCs/>
                <w:color w:val="auto"/>
                <w:spacing w:val="-9"/>
                <w:u w:val="single"/>
              </w:rPr>
              <w:t>50mm，</w:t>
            </w:r>
            <w:r>
              <w:rPr>
                <w:rFonts w:hint="eastAsia"/>
                <w:b/>
                <w:bCs/>
                <w:color w:val="auto"/>
                <w:spacing w:val="-9"/>
                <w:u w:val="single"/>
              </w:rPr>
              <w:t>乙</w:t>
            </w:r>
            <w:r>
              <w:rPr>
                <w:b/>
                <w:bCs/>
                <w:color w:val="auto"/>
                <w:spacing w:val="-9"/>
                <w:u w:val="single"/>
              </w:rPr>
              <w:t>丙共聚</w:t>
            </w:r>
          </w:p>
        </w:tc>
        <w:tc>
          <w:tcPr>
            <w:tcW w:w="974" w:type="pct"/>
            <w:shd w:val="clear" w:color="auto" w:fill="auto"/>
            <w:vAlign w:val="center"/>
          </w:tcPr>
          <w:p>
            <w:pPr>
              <w:jc w:val="center"/>
              <w:rPr>
                <w:b/>
                <w:bCs/>
                <w:color w:val="auto"/>
                <w:spacing w:val="-2"/>
                <w:u w:val="single"/>
              </w:rPr>
            </w:pPr>
            <w:r>
              <w:rPr>
                <w:b/>
                <w:bCs/>
                <w:color w:val="auto"/>
                <w:spacing w:val="-4"/>
                <w:u w:val="single"/>
              </w:rPr>
              <w:t>宜</w:t>
            </w:r>
            <w:r>
              <w:rPr>
                <w:b/>
                <w:bCs/>
                <w:color w:val="auto"/>
                <w:spacing w:val="-2"/>
                <w:u w:val="single"/>
              </w:rPr>
              <w:t>兴</w:t>
            </w:r>
          </w:p>
        </w:tc>
        <w:tc>
          <w:tcPr>
            <w:tcW w:w="316" w:type="pct"/>
            <w:shd w:val="clear" w:color="auto" w:fill="auto"/>
            <w:vAlign w:val="center"/>
          </w:tcPr>
          <w:p>
            <w:pPr>
              <w:jc w:val="center"/>
              <w:rPr>
                <w:b/>
                <w:bCs/>
                <w:color w:val="auto"/>
                <w:spacing w:val="-2"/>
                <w:u w:val="single"/>
              </w:rPr>
            </w:pPr>
            <w:r>
              <w:rPr>
                <w:b/>
                <w:bCs/>
                <w:color w:val="auto"/>
                <w:u w:val="single"/>
              </w:rPr>
              <w:t>批</w:t>
            </w:r>
          </w:p>
        </w:tc>
        <w:tc>
          <w:tcPr>
            <w:tcW w:w="298" w:type="pct"/>
            <w:shd w:val="clear" w:color="auto" w:fill="auto"/>
            <w:vAlign w:val="center"/>
          </w:tcPr>
          <w:p>
            <w:pPr>
              <w:jc w:val="center"/>
              <w:rPr>
                <w:b/>
                <w:bCs/>
                <w:color w:val="auto"/>
                <w:spacing w:val="-2"/>
                <w:u w:val="single"/>
              </w:rPr>
            </w:pPr>
            <w:r>
              <w:rPr>
                <w:b/>
                <w:bCs/>
                <w:color w:val="auto"/>
                <w:u w:val="single"/>
              </w:rPr>
              <w:t>1</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b/>
                <w:bCs/>
                <w:color w:val="auto"/>
                <w:spacing w:val="-1"/>
                <w:u w:val="single"/>
              </w:rPr>
              <w:t>斜管填料</w:t>
            </w:r>
            <w:r>
              <w:rPr>
                <w:rFonts w:hint="eastAsia"/>
                <w:b/>
                <w:bCs/>
                <w:color w:val="auto"/>
                <w:spacing w:val="-1"/>
                <w:u w:val="single"/>
                <w:lang w:val="en-US" w:eastAsia="zh-CN"/>
              </w:rPr>
              <w:t>支</w:t>
            </w:r>
            <w:r>
              <w:rPr>
                <w:b/>
                <w:bCs/>
                <w:color w:val="auto"/>
                <w:u w:val="single"/>
              </w:rPr>
              <w:t>架</w:t>
            </w:r>
          </w:p>
        </w:tc>
        <w:tc>
          <w:tcPr>
            <w:tcW w:w="1247" w:type="pct"/>
            <w:shd w:val="clear" w:color="auto" w:fill="auto"/>
            <w:vAlign w:val="center"/>
          </w:tcPr>
          <w:p>
            <w:pPr>
              <w:jc w:val="center"/>
              <w:rPr>
                <w:b/>
                <w:bCs/>
                <w:color w:val="auto"/>
                <w:spacing w:val="-2"/>
                <w:u w:val="single"/>
              </w:rPr>
            </w:pPr>
            <w:r>
              <w:rPr>
                <w:b/>
                <w:bCs/>
                <w:color w:val="auto"/>
                <w:spacing w:val="-9"/>
                <w:u w:val="single"/>
              </w:rPr>
              <w:t>Q235 防腐</w:t>
            </w:r>
          </w:p>
        </w:tc>
        <w:tc>
          <w:tcPr>
            <w:tcW w:w="974" w:type="pct"/>
            <w:shd w:val="clear" w:color="auto" w:fill="auto"/>
            <w:vAlign w:val="center"/>
          </w:tcPr>
          <w:p>
            <w:pPr>
              <w:jc w:val="center"/>
              <w:rPr>
                <w:b/>
                <w:bCs/>
                <w:color w:val="auto"/>
                <w:spacing w:val="-2"/>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spacing w:val="-2"/>
                <w:u w:val="single"/>
              </w:rPr>
            </w:pPr>
            <w:r>
              <w:rPr>
                <w:b/>
                <w:bCs/>
                <w:color w:val="auto"/>
                <w:u w:val="single"/>
              </w:rPr>
              <w:t>套</w:t>
            </w:r>
          </w:p>
        </w:tc>
        <w:tc>
          <w:tcPr>
            <w:tcW w:w="298" w:type="pct"/>
            <w:shd w:val="clear" w:color="auto" w:fill="auto"/>
            <w:vAlign w:val="center"/>
          </w:tcPr>
          <w:p>
            <w:pPr>
              <w:jc w:val="center"/>
              <w:rPr>
                <w:b/>
                <w:bCs/>
                <w:color w:val="auto"/>
                <w:spacing w:val="-2"/>
                <w:u w:val="single"/>
              </w:rPr>
            </w:pPr>
            <w:r>
              <w:rPr>
                <w:b/>
                <w:bCs/>
                <w:color w:val="auto"/>
                <w:u w:val="single"/>
              </w:rPr>
              <w:t>1</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2"/>
                <w:u w:val="single"/>
              </w:rPr>
            </w:pPr>
            <w:r>
              <w:rPr>
                <w:rFonts w:hint="eastAsia"/>
                <w:b/>
                <w:bCs/>
                <w:color w:val="auto"/>
                <w:spacing w:val="-5"/>
                <w:u w:val="single"/>
              </w:rPr>
              <w:t>手</w:t>
            </w:r>
            <w:r>
              <w:rPr>
                <w:b/>
                <w:bCs/>
                <w:color w:val="auto"/>
                <w:spacing w:val="-5"/>
                <w:u w:val="single"/>
              </w:rPr>
              <w:t>动排泥阀</w:t>
            </w:r>
          </w:p>
        </w:tc>
        <w:tc>
          <w:tcPr>
            <w:tcW w:w="1247" w:type="pct"/>
            <w:shd w:val="clear" w:color="auto" w:fill="auto"/>
            <w:vAlign w:val="center"/>
          </w:tcPr>
          <w:p>
            <w:pPr>
              <w:jc w:val="center"/>
              <w:rPr>
                <w:b/>
                <w:bCs/>
                <w:color w:val="auto"/>
                <w:spacing w:val="-2"/>
                <w:u w:val="single"/>
              </w:rPr>
            </w:pPr>
            <w:r>
              <w:rPr>
                <w:b/>
                <w:bCs/>
                <w:color w:val="auto"/>
                <w:spacing w:val="-13"/>
                <w:u w:val="single"/>
              </w:rPr>
              <w:t>UPVC，DN65</w:t>
            </w:r>
          </w:p>
        </w:tc>
        <w:tc>
          <w:tcPr>
            <w:tcW w:w="974" w:type="pct"/>
            <w:shd w:val="clear" w:color="auto" w:fill="auto"/>
            <w:vAlign w:val="center"/>
          </w:tcPr>
          <w:p>
            <w:pPr>
              <w:jc w:val="center"/>
              <w:rPr>
                <w:b/>
                <w:bCs/>
                <w:color w:val="auto"/>
                <w:spacing w:val="-2"/>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shd w:val="clear" w:color="auto" w:fill="auto"/>
            <w:vAlign w:val="center"/>
          </w:tcPr>
          <w:p>
            <w:pPr>
              <w:jc w:val="center"/>
              <w:rPr>
                <w:b/>
                <w:bCs/>
                <w:color w:val="auto"/>
                <w:spacing w:val="-2"/>
                <w:u w:val="single"/>
              </w:rPr>
            </w:pPr>
            <w:r>
              <w:rPr>
                <w:b/>
                <w:bCs/>
                <w:color w:val="auto"/>
                <w:u w:val="single"/>
              </w:rPr>
              <w:t>批</w:t>
            </w:r>
          </w:p>
        </w:tc>
        <w:tc>
          <w:tcPr>
            <w:tcW w:w="298" w:type="pct"/>
            <w:shd w:val="clear" w:color="auto" w:fill="auto"/>
            <w:vAlign w:val="center"/>
          </w:tcPr>
          <w:p>
            <w:pPr>
              <w:jc w:val="center"/>
              <w:rPr>
                <w:b/>
                <w:bCs/>
                <w:color w:val="auto"/>
                <w:spacing w:val="-2"/>
                <w:u w:val="single"/>
              </w:rPr>
            </w:pPr>
            <w:r>
              <w:rPr>
                <w:b/>
                <w:bCs/>
                <w:color w:val="auto"/>
                <w:u w:val="single"/>
              </w:rPr>
              <w:t>1</w:t>
            </w:r>
          </w:p>
        </w:tc>
        <w:tc>
          <w:tcPr>
            <w:tcW w:w="557" w:type="pct"/>
            <w:shd w:val="clear" w:color="auto" w:fill="auto"/>
            <w:vAlign w:val="center"/>
          </w:tcPr>
          <w:p>
            <w:pPr>
              <w:jc w:val="center"/>
              <w:rPr>
                <w:b/>
                <w:bCs/>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spacing w:val="-2"/>
                <w:u w:val="single"/>
              </w:rPr>
            </w:pPr>
          </w:p>
        </w:tc>
        <w:tc>
          <w:tcPr>
            <w:tcW w:w="529" w:type="pct"/>
            <w:vMerge w:val="continue"/>
            <w:shd w:val="clear" w:color="auto" w:fill="auto"/>
            <w:vAlign w:val="center"/>
          </w:tcPr>
          <w:p>
            <w:pPr>
              <w:jc w:val="center"/>
              <w:rPr>
                <w:b/>
                <w:bCs/>
                <w:color w:val="auto"/>
                <w:spacing w:val="-2"/>
                <w:u w:val="single"/>
              </w:rPr>
            </w:pPr>
          </w:p>
        </w:tc>
        <w:tc>
          <w:tcPr>
            <w:tcW w:w="787" w:type="pct"/>
            <w:shd w:val="clear" w:color="auto" w:fill="auto"/>
            <w:vAlign w:val="center"/>
          </w:tcPr>
          <w:p>
            <w:pPr>
              <w:jc w:val="center"/>
              <w:rPr>
                <w:b/>
                <w:bCs/>
                <w:color w:val="auto"/>
                <w:spacing w:val="-1"/>
                <w:u w:val="single"/>
              </w:rPr>
            </w:pPr>
            <w:r>
              <w:rPr>
                <w:rFonts w:hint="eastAsia"/>
                <w:b/>
                <w:bCs/>
                <w:color w:val="auto"/>
                <w:spacing w:val="-9"/>
                <w:u w:val="single"/>
              </w:rPr>
              <w:t>自</w:t>
            </w:r>
            <w:r>
              <w:rPr>
                <w:b/>
                <w:bCs/>
                <w:color w:val="auto"/>
                <w:spacing w:val="-9"/>
                <w:u w:val="single"/>
              </w:rPr>
              <w:t>动排泥阀</w:t>
            </w:r>
          </w:p>
        </w:tc>
        <w:tc>
          <w:tcPr>
            <w:tcW w:w="1247" w:type="pct"/>
            <w:shd w:val="clear" w:color="auto" w:fill="auto"/>
            <w:vAlign w:val="center"/>
          </w:tcPr>
          <w:p>
            <w:pPr>
              <w:jc w:val="center"/>
              <w:rPr>
                <w:b/>
                <w:bCs/>
                <w:color w:val="auto"/>
                <w:spacing w:val="-9"/>
                <w:u w:val="single"/>
              </w:rPr>
            </w:pPr>
            <w:r>
              <w:rPr>
                <w:rFonts w:eastAsia="Meiryo"/>
                <w:b/>
                <w:bCs/>
                <w:color w:val="auto"/>
                <w:spacing w:val="-15"/>
                <w:u w:val="single"/>
              </w:rPr>
              <w:t>⽓</w:t>
            </w:r>
            <w:r>
              <w:rPr>
                <w:b/>
                <w:bCs/>
                <w:color w:val="auto"/>
                <w:spacing w:val="-15"/>
                <w:u w:val="single"/>
              </w:rPr>
              <w:t>动，UPVC，  D</w:t>
            </w:r>
            <w:r>
              <w:rPr>
                <w:b/>
                <w:bCs/>
                <w:color w:val="auto"/>
                <w:spacing w:val="-14"/>
                <w:u w:val="single"/>
              </w:rPr>
              <w:t>N</w:t>
            </w:r>
            <w:r>
              <w:rPr>
                <w:b/>
                <w:bCs/>
                <w:color w:val="auto"/>
                <w:spacing w:val="-15"/>
                <w:u w:val="single"/>
              </w:rPr>
              <w:t>65</w:t>
            </w:r>
          </w:p>
        </w:tc>
        <w:tc>
          <w:tcPr>
            <w:tcW w:w="974" w:type="pct"/>
            <w:shd w:val="clear" w:color="auto" w:fill="auto"/>
            <w:vAlign w:val="center"/>
          </w:tcPr>
          <w:p>
            <w:pPr>
              <w:jc w:val="center"/>
              <w:rPr>
                <w:b/>
                <w:bCs/>
                <w:color w:val="auto"/>
                <w:spacing w:val="-6"/>
                <w:u w:val="single"/>
              </w:rPr>
            </w:pPr>
            <w:r>
              <w:rPr>
                <w:b/>
                <w:bCs/>
                <w:color w:val="auto"/>
                <w:spacing w:val="-9"/>
                <w:u w:val="single"/>
              </w:rPr>
              <w:t>FLOWX</w:t>
            </w:r>
            <w:r>
              <w:rPr>
                <w:b/>
                <w:bCs/>
                <w:color w:val="auto"/>
                <w:spacing w:val="-10"/>
                <w:u w:val="single"/>
              </w:rPr>
              <w:t>/</w:t>
            </w:r>
            <w:r>
              <w:rPr>
                <w:b/>
                <w:bCs/>
                <w:color w:val="auto"/>
                <w:spacing w:val="-9"/>
                <w:u w:val="single"/>
              </w:rPr>
              <w:t>圣尔诺</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u w:val="single"/>
              </w:rPr>
            </w:pPr>
            <w:r>
              <w:rPr>
                <w:b/>
                <w:bCs/>
                <w:color w:val="auto"/>
                <w:u w:val="single"/>
              </w:rPr>
              <w:t>4</w:t>
            </w:r>
          </w:p>
        </w:tc>
        <w:tc>
          <w:tcPr>
            <w:tcW w:w="529" w:type="pct"/>
            <w:vMerge w:val="restart"/>
            <w:shd w:val="clear" w:color="auto" w:fill="auto"/>
            <w:vAlign w:val="center"/>
          </w:tcPr>
          <w:p>
            <w:pPr>
              <w:jc w:val="center"/>
              <w:rPr>
                <w:b/>
                <w:bCs/>
                <w:color w:val="auto"/>
                <w:u w:val="single"/>
              </w:rPr>
            </w:pPr>
            <w:r>
              <w:rPr>
                <w:b/>
                <w:bCs/>
                <w:color w:val="auto"/>
                <w:u w:val="single"/>
              </w:rPr>
              <w:t>pH回调池</w:t>
            </w:r>
          </w:p>
        </w:tc>
        <w:tc>
          <w:tcPr>
            <w:tcW w:w="787" w:type="pct"/>
            <w:shd w:val="clear" w:color="auto" w:fill="auto"/>
            <w:vAlign w:val="center"/>
          </w:tcPr>
          <w:p>
            <w:pPr>
              <w:jc w:val="center"/>
              <w:rPr>
                <w:b/>
                <w:bCs/>
                <w:color w:val="auto"/>
                <w:spacing w:val="-1"/>
                <w:u w:val="single"/>
              </w:rPr>
            </w:pPr>
            <w:r>
              <w:rPr>
                <w:b/>
                <w:bCs/>
                <w:color w:val="auto"/>
                <w:spacing w:val="-1"/>
                <w:u w:val="single"/>
              </w:rPr>
              <w:t>加药泵</w:t>
            </w:r>
          </w:p>
        </w:tc>
        <w:tc>
          <w:tcPr>
            <w:tcW w:w="1247" w:type="pct"/>
            <w:shd w:val="clear" w:color="auto" w:fill="auto"/>
            <w:vAlign w:val="center"/>
          </w:tcPr>
          <w:p>
            <w:pPr>
              <w:jc w:val="center"/>
              <w:rPr>
                <w:b/>
                <w:bCs/>
                <w:color w:val="auto"/>
                <w:spacing w:val="-9"/>
                <w:u w:val="single"/>
              </w:rPr>
            </w:pPr>
            <w:r>
              <w:rPr>
                <w:b/>
                <w:bCs/>
                <w:color w:val="auto"/>
                <w:spacing w:val="-9"/>
                <w:u w:val="single"/>
              </w:rPr>
              <w:t>酸</w:t>
            </w:r>
          </w:p>
        </w:tc>
        <w:tc>
          <w:tcPr>
            <w:tcW w:w="974" w:type="pct"/>
            <w:shd w:val="clear" w:color="auto" w:fill="auto"/>
            <w:vAlign w:val="center"/>
          </w:tcPr>
          <w:p>
            <w:pPr>
              <w:jc w:val="center"/>
              <w:rPr>
                <w:b/>
                <w:bCs/>
                <w:color w:val="auto"/>
                <w:spacing w:val="-6"/>
                <w:u w:val="single"/>
              </w:rPr>
            </w:pPr>
            <w:r>
              <w:rPr>
                <w:b/>
                <w:bCs/>
                <w:color w:val="auto"/>
                <w:spacing w:val="-6"/>
                <w:u w:val="single"/>
              </w:rPr>
              <w:t>WRS/PROM</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加药流</w:t>
            </w:r>
            <w:r>
              <w:rPr>
                <w:b/>
                <w:bCs/>
                <w:color w:val="auto"/>
                <w:spacing w:val="-1"/>
                <w:u w:val="single"/>
              </w:rPr>
              <w:t>量计</w:t>
            </w:r>
          </w:p>
        </w:tc>
        <w:tc>
          <w:tcPr>
            <w:tcW w:w="1247" w:type="pct"/>
            <w:shd w:val="clear" w:color="auto" w:fill="auto"/>
            <w:vAlign w:val="center"/>
          </w:tcPr>
          <w:p>
            <w:pPr>
              <w:jc w:val="center"/>
              <w:rPr>
                <w:b/>
                <w:bCs/>
                <w:color w:val="auto"/>
                <w:spacing w:val="-15"/>
                <w:u w:val="single"/>
              </w:rPr>
            </w:pPr>
            <w:r>
              <w:rPr>
                <w:b/>
                <w:bCs/>
                <w:color w:val="auto"/>
                <w:spacing w:val="-15"/>
                <w:u w:val="single"/>
              </w:rPr>
              <w:t>DN</w:t>
            </w:r>
            <w:r>
              <w:rPr>
                <w:b/>
                <w:bCs/>
                <w:color w:val="auto"/>
                <w:spacing w:val="-16"/>
                <w:u w:val="single"/>
              </w:rPr>
              <w:t>1</w:t>
            </w:r>
            <w:r>
              <w:rPr>
                <w:b/>
                <w:bCs/>
                <w:color w:val="auto"/>
                <w:spacing w:val="-15"/>
                <w:u w:val="single"/>
              </w:rPr>
              <w:t>5</w:t>
            </w:r>
          </w:p>
        </w:tc>
        <w:tc>
          <w:tcPr>
            <w:tcW w:w="974" w:type="pct"/>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12"/>
                <w:u w:val="single"/>
              </w:rPr>
              <w:t>PH</w:t>
            </w:r>
            <w:r>
              <w:rPr>
                <w:b/>
                <w:bCs/>
                <w:color w:val="auto"/>
                <w:spacing w:val="-16"/>
                <w:u w:val="single"/>
              </w:rPr>
              <w:t xml:space="preserve"> </w:t>
            </w:r>
            <w:r>
              <w:rPr>
                <w:b/>
                <w:bCs/>
                <w:color w:val="auto"/>
                <w:spacing w:val="-12"/>
                <w:u w:val="single"/>
              </w:rPr>
              <w:t>仪</w:t>
            </w:r>
          </w:p>
        </w:tc>
        <w:tc>
          <w:tcPr>
            <w:tcW w:w="1247" w:type="pct"/>
            <w:shd w:val="clear" w:color="auto" w:fill="auto"/>
            <w:vAlign w:val="center"/>
          </w:tcPr>
          <w:p>
            <w:pPr>
              <w:jc w:val="center"/>
              <w:rPr>
                <w:b/>
                <w:bCs/>
                <w:color w:val="auto"/>
                <w:spacing w:val="-15"/>
                <w:u w:val="single"/>
              </w:rPr>
            </w:pPr>
            <w:r>
              <w:rPr>
                <w:b/>
                <w:bCs/>
                <w:color w:val="auto"/>
                <w:spacing w:val="-6"/>
                <w:u w:val="single"/>
              </w:rPr>
              <w:t>0</w:t>
            </w:r>
            <w:r>
              <w:rPr>
                <w:b/>
                <w:bCs/>
                <w:color w:val="auto"/>
                <w:spacing w:val="-5"/>
                <w:u w:val="single"/>
              </w:rPr>
              <w:t>-</w:t>
            </w:r>
            <w:r>
              <w:rPr>
                <w:b/>
                <w:bCs/>
                <w:color w:val="auto"/>
                <w:spacing w:val="-3"/>
                <w:u w:val="single"/>
              </w:rPr>
              <w:t>14，</w:t>
            </w:r>
            <w:r>
              <w:rPr>
                <w:rFonts w:hint="eastAsia"/>
                <w:b/>
                <w:bCs/>
                <w:color w:val="auto"/>
                <w:spacing w:val="-3"/>
                <w:u w:val="single"/>
              </w:rPr>
              <w:t>面</w:t>
            </w:r>
            <w:r>
              <w:rPr>
                <w:b/>
                <w:bCs/>
                <w:color w:val="auto"/>
                <w:spacing w:val="-3"/>
                <w:u w:val="single"/>
              </w:rPr>
              <w:t>板式</w:t>
            </w:r>
          </w:p>
        </w:tc>
        <w:tc>
          <w:tcPr>
            <w:tcW w:w="974" w:type="pct"/>
            <w:shd w:val="clear" w:color="auto" w:fill="auto"/>
            <w:vAlign w:val="center"/>
          </w:tcPr>
          <w:p>
            <w:pPr>
              <w:jc w:val="center"/>
              <w:rPr>
                <w:b/>
                <w:bCs/>
                <w:color w:val="auto"/>
                <w:spacing w:val="-9"/>
                <w:u w:val="single"/>
              </w:rPr>
            </w:pPr>
            <w:r>
              <w:rPr>
                <w:b/>
                <w:bCs/>
                <w:color w:val="auto"/>
                <w:spacing w:val="-12"/>
                <w:u w:val="single"/>
              </w:rPr>
              <w:t>HOTEC</w:t>
            </w:r>
            <w:r>
              <w:rPr>
                <w:b/>
                <w:bCs/>
                <w:color w:val="auto"/>
                <w:spacing w:val="-21"/>
                <w:u w:val="single"/>
              </w:rPr>
              <w:t>/</w:t>
            </w:r>
            <w:r>
              <w:rPr>
                <w:b/>
                <w:bCs/>
                <w:color w:val="auto"/>
                <w:spacing w:val="-12"/>
                <w:u w:val="single"/>
              </w:rPr>
              <w:t>SUNTEX</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搅拌系</w:t>
            </w:r>
            <w:r>
              <w:rPr>
                <w:b/>
                <w:bCs/>
                <w:color w:val="auto"/>
                <w:spacing w:val="-1"/>
                <w:u w:val="single"/>
              </w:rPr>
              <w:t>统</w:t>
            </w:r>
          </w:p>
        </w:tc>
        <w:tc>
          <w:tcPr>
            <w:tcW w:w="1247" w:type="pct"/>
            <w:shd w:val="clear" w:color="auto" w:fill="auto"/>
            <w:vAlign w:val="center"/>
          </w:tcPr>
          <w:p>
            <w:pPr>
              <w:jc w:val="center"/>
              <w:rPr>
                <w:b/>
                <w:bCs/>
                <w:color w:val="auto"/>
                <w:spacing w:val="-15"/>
                <w:u w:val="single"/>
              </w:rPr>
            </w:pPr>
            <w:r>
              <w:rPr>
                <w:b/>
                <w:bCs/>
                <w:color w:val="auto"/>
                <w:spacing w:val="-9"/>
                <w:u w:val="single"/>
              </w:rPr>
              <w:t>UPVC</w:t>
            </w:r>
            <w:r>
              <w:rPr>
                <w:b/>
                <w:bCs/>
                <w:color w:val="auto"/>
                <w:spacing w:val="-10"/>
                <w:u w:val="single"/>
              </w:rPr>
              <w:t xml:space="preserve"> </w:t>
            </w:r>
            <w:r>
              <w:rPr>
                <w:b/>
                <w:bCs/>
                <w:color w:val="auto"/>
                <w:spacing w:val="-9"/>
                <w:u w:val="single"/>
              </w:rPr>
              <w:t>管制作</w:t>
            </w:r>
          </w:p>
        </w:tc>
        <w:tc>
          <w:tcPr>
            <w:tcW w:w="974" w:type="pct"/>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3"/>
                <w:u w:val="single"/>
              </w:rPr>
              <w:t>液</w:t>
            </w:r>
            <w:r>
              <w:rPr>
                <w:b/>
                <w:bCs/>
                <w:color w:val="auto"/>
                <w:spacing w:val="-2"/>
                <w:u w:val="single"/>
              </w:rPr>
              <w:t>位计</w:t>
            </w:r>
          </w:p>
        </w:tc>
        <w:tc>
          <w:tcPr>
            <w:tcW w:w="1247" w:type="pct"/>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shd w:val="clear" w:color="auto" w:fill="auto"/>
            <w:vAlign w:val="center"/>
          </w:tcPr>
          <w:p>
            <w:pPr>
              <w:jc w:val="center"/>
              <w:rPr>
                <w:b/>
                <w:bCs/>
                <w:color w:val="auto"/>
                <w:spacing w:val="-9"/>
                <w:u w:val="single"/>
              </w:rPr>
            </w:pPr>
            <w:r>
              <w:rPr>
                <w:b/>
                <w:bCs/>
                <w:color w:val="auto"/>
                <w:spacing w:val="-8"/>
                <w:u w:val="single"/>
              </w:rPr>
              <w:t>FEEJOY</w:t>
            </w:r>
            <w:r>
              <w:rPr>
                <w:b/>
                <w:bCs/>
                <w:color w:val="auto"/>
                <w:spacing w:val="-11"/>
                <w:u w:val="single"/>
              </w:rPr>
              <w:t>/</w:t>
            </w:r>
            <w:r>
              <w:rPr>
                <w:b/>
                <w:bCs/>
                <w:color w:val="auto"/>
                <w:spacing w:val="-8"/>
                <w:u w:val="single"/>
              </w:rPr>
              <w:t>美仪</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7"/>
                <w:u w:val="single"/>
              </w:rPr>
              <w:t>pH</w:t>
            </w:r>
            <w:r>
              <w:rPr>
                <w:b/>
                <w:bCs/>
                <w:color w:val="auto"/>
                <w:spacing w:val="-11"/>
                <w:u w:val="single"/>
              </w:rPr>
              <w:t xml:space="preserve"> </w:t>
            </w:r>
            <w:r>
              <w:rPr>
                <w:b/>
                <w:bCs/>
                <w:color w:val="auto"/>
                <w:spacing w:val="-7"/>
                <w:u w:val="single"/>
              </w:rPr>
              <w:t>回调池</w:t>
            </w:r>
          </w:p>
        </w:tc>
        <w:tc>
          <w:tcPr>
            <w:tcW w:w="1247" w:type="pct"/>
            <w:shd w:val="clear" w:color="auto" w:fill="auto"/>
            <w:vAlign w:val="center"/>
          </w:tcPr>
          <w:p>
            <w:pPr>
              <w:jc w:val="center"/>
              <w:rPr>
                <w:b/>
                <w:bCs/>
                <w:color w:val="auto"/>
                <w:spacing w:val="-15"/>
                <w:u w:val="single"/>
              </w:rPr>
            </w:pPr>
            <w:r>
              <w:rPr>
                <w:b/>
                <w:bCs/>
                <w:color w:val="auto"/>
                <w:spacing w:val="-9"/>
                <w:u w:val="single"/>
              </w:rPr>
              <w:t>PE</w:t>
            </w:r>
            <w:r>
              <w:rPr>
                <w:b/>
                <w:bCs/>
                <w:color w:val="auto"/>
                <w:spacing w:val="-18"/>
                <w:u w:val="single"/>
              </w:rPr>
              <w:t>/</w:t>
            </w:r>
            <w:r>
              <w:rPr>
                <w:b/>
                <w:bCs/>
                <w:color w:val="auto"/>
                <w:spacing w:val="-9"/>
                <w:u w:val="single"/>
              </w:rPr>
              <w:t>PP</w:t>
            </w:r>
            <w:r>
              <w:rPr>
                <w:b/>
                <w:bCs/>
                <w:color w:val="auto"/>
                <w:spacing w:val="-12"/>
                <w:u w:val="single"/>
              </w:rPr>
              <w:t xml:space="preserve"> </w:t>
            </w:r>
            <w:r>
              <w:rPr>
                <w:b/>
                <w:bCs/>
                <w:color w:val="auto"/>
                <w:spacing w:val="-9"/>
                <w:u w:val="single"/>
              </w:rPr>
              <w:t>或 Q235 材质</w:t>
            </w:r>
          </w:p>
        </w:tc>
        <w:tc>
          <w:tcPr>
            <w:tcW w:w="974" w:type="pct"/>
            <w:shd w:val="clear" w:color="auto" w:fill="auto"/>
            <w:vAlign w:val="center"/>
          </w:tcPr>
          <w:p>
            <w:pPr>
              <w:jc w:val="center"/>
              <w:rPr>
                <w:b/>
                <w:bCs/>
                <w:color w:val="auto"/>
                <w:spacing w:val="-9"/>
                <w:u w:val="single"/>
              </w:rPr>
            </w:pPr>
            <w:r>
              <w:rPr>
                <w:rFonts w:hint="eastAsia"/>
                <w:b/>
                <w:bCs/>
                <w:color w:val="auto"/>
                <w:spacing w:val="-5"/>
                <w:u w:val="single"/>
              </w:rPr>
              <w:t>非</w:t>
            </w:r>
            <w:r>
              <w:rPr>
                <w:b/>
                <w:bCs/>
                <w:color w:val="auto"/>
                <w:spacing w:val="-5"/>
                <w:u w:val="single"/>
              </w:rPr>
              <w:t>标</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restart"/>
            <w:shd w:val="clear" w:color="auto" w:fill="auto"/>
            <w:vAlign w:val="center"/>
          </w:tcPr>
          <w:p>
            <w:pPr>
              <w:jc w:val="center"/>
              <w:rPr>
                <w:b/>
                <w:bCs/>
                <w:color w:val="auto"/>
                <w:u w:val="single"/>
              </w:rPr>
            </w:pPr>
            <w:r>
              <w:rPr>
                <w:b/>
                <w:bCs/>
                <w:color w:val="auto"/>
                <w:u w:val="single"/>
              </w:rPr>
              <w:t>5</w:t>
            </w:r>
          </w:p>
        </w:tc>
        <w:tc>
          <w:tcPr>
            <w:tcW w:w="529" w:type="pct"/>
            <w:vMerge w:val="restart"/>
            <w:shd w:val="clear" w:color="auto" w:fill="auto"/>
            <w:vAlign w:val="center"/>
          </w:tcPr>
          <w:p>
            <w:pPr>
              <w:jc w:val="center"/>
              <w:rPr>
                <w:b/>
                <w:bCs/>
                <w:color w:val="auto"/>
                <w:u w:val="single"/>
              </w:rPr>
            </w:pPr>
            <w:r>
              <w:rPr>
                <w:b/>
                <w:bCs/>
                <w:color w:val="auto"/>
                <w:spacing w:val="-6"/>
                <w:u w:val="single"/>
              </w:rPr>
              <w:t>多</w:t>
            </w:r>
            <w:r>
              <w:rPr>
                <w:b/>
                <w:bCs/>
                <w:color w:val="auto"/>
                <w:spacing w:val="-4"/>
                <w:u w:val="single"/>
              </w:rPr>
              <w:t>介</w:t>
            </w:r>
            <w:r>
              <w:rPr>
                <w:b/>
                <w:bCs/>
                <w:color w:val="auto"/>
                <w:spacing w:val="-3"/>
                <w:u w:val="single"/>
              </w:rPr>
              <w:t>质过滤</w:t>
            </w:r>
            <w:r>
              <w:rPr>
                <w:b/>
                <w:bCs/>
                <w:color w:val="auto"/>
                <w:spacing w:val="-4"/>
                <w:u w:val="single"/>
              </w:rPr>
              <w:t>系</w:t>
            </w:r>
            <w:r>
              <w:rPr>
                <w:b/>
                <w:bCs/>
                <w:color w:val="auto"/>
                <w:spacing w:val="-3"/>
                <w:u w:val="single"/>
              </w:rPr>
              <w:t>统</w:t>
            </w:r>
          </w:p>
        </w:tc>
        <w:tc>
          <w:tcPr>
            <w:tcW w:w="787" w:type="pct"/>
            <w:shd w:val="clear" w:color="auto" w:fill="auto"/>
            <w:vAlign w:val="center"/>
          </w:tcPr>
          <w:p>
            <w:pPr>
              <w:jc w:val="center"/>
              <w:rPr>
                <w:b/>
                <w:bCs/>
                <w:color w:val="auto"/>
                <w:spacing w:val="-10"/>
                <w:u w:val="single"/>
              </w:rPr>
            </w:pPr>
            <w:r>
              <w:rPr>
                <w:b/>
                <w:bCs/>
                <w:color w:val="auto"/>
                <w:spacing w:val="-2"/>
                <w:u w:val="single"/>
              </w:rPr>
              <w:t>提</w:t>
            </w:r>
            <w:r>
              <w:rPr>
                <w:b/>
                <w:bCs/>
                <w:color w:val="auto"/>
                <w:spacing w:val="-1"/>
                <w:u w:val="single"/>
              </w:rPr>
              <w:t>升泵</w:t>
            </w:r>
          </w:p>
        </w:tc>
        <w:tc>
          <w:tcPr>
            <w:tcW w:w="1247" w:type="pct"/>
            <w:shd w:val="clear" w:color="auto" w:fill="auto"/>
            <w:vAlign w:val="center"/>
          </w:tcPr>
          <w:p>
            <w:pPr>
              <w:jc w:val="center"/>
              <w:rPr>
                <w:b/>
                <w:bCs/>
                <w:color w:val="auto"/>
                <w:spacing w:val="-15"/>
                <w:u w:val="single"/>
              </w:rPr>
            </w:pPr>
            <w:r>
              <w:rPr>
                <w:b/>
                <w:bCs/>
                <w:color w:val="auto"/>
                <w:spacing w:val="-11"/>
                <w:u w:val="single"/>
              </w:rPr>
              <w:t>Q</w:t>
            </w:r>
            <w:r>
              <w:rPr>
                <w:b/>
                <w:bCs/>
                <w:color w:val="auto"/>
                <w:spacing w:val="-22"/>
                <w:u w:val="single"/>
              </w:rPr>
              <w:t>=</w:t>
            </w:r>
            <w:r>
              <w:rPr>
                <w:b/>
                <w:bCs/>
                <w:color w:val="auto"/>
                <w:spacing w:val="-18"/>
                <w:u w:val="single"/>
              </w:rPr>
              <w:t>5</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1"/>
                <w:u w:val="single"/>
              </w:rPr>
              <w:t>，H=35m，过流 SUS304</w:t>
            </w:r>
          </w:p>
        </w:tc>
        <w:tc>
          <w:tcPr>
            <w:tcW w:w="974" w:type="pct"/>
            <w:shd w:val="clear" w:color="auto" w:fill="auto"/>
            <w:vAlign w:val="center"/>
          </w:tcPr>
          <w:p>
            <w:pPr>
              <w:jc w:val="center"/>
              <w:rPr>
                <w:b/>
                <w:bCs/>
                <w:color w:val="auto"/>
                <w:spacing w:val="-9"/>
                <w:u w:val="single"/>
              </w:rPr>
            </w:pPr>
            <w:r>
              <w:rPr>
                <w:b/>
                <w:bCs/>
                <w:color w:val="auto"/>
                <w:spacing w:val="-4"/>
                <w:u w:val="single"/>
              </w:rPr>
              <w:t>南</w:t>
            </w:r>
            <w:r>
              <w:rPr>
                <w:rFonts w:hint="eastAsia"/>
                <w:b/>
                <w:bCs/>
                <w:color w:val="auto"/>
                <w:spacing w:val="-4"/>
                <w:u w:val="single"/>
              </w:rPr>
              <w:t>方</w:t>
            </w:r>
            <w:r>
              <w:rPr>
                <w:b/>
                <w:bCs/>
                <w:color w:val="auto"/>
                <w:spacing w:val="-4"/>
                <w:u w:val="single"/>
              </w:rPr>
              <w:t>/川源</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反洗</w:t>
            </w:r>
            <w:r>
              <w:rPr>
                <w:b/>
                <w:bCs/>
                <w:color w:val="auto"/>
                <w:spacing w:val="-1"/>
                <w:u w:val="single"/>
              </w:rPr>
              <w:t>泵</w:t>
            </w:r>
          </w:p>
        </w:tc>
        <w:tc>
          <w:tcPr>
            <w:tcW w:w="1247" w:type="pct"/>
            <w:shd w:val="clear" w:color="auto" w:fill="auto"/>
            <w:vAlign w:val="center"/>
          </w:tcPr>
          <w:p>
            <w:pPr>
              <w:jc w:val="center"/>
              <w:rPr>
                <w:b/>
                <w:bCs/>
                <w:color w:val="auto"/>
                <w:spacing w:val="-15"/>
                <w:u w:val="single"/>
              </w:rPr>
            </w:pPr>
            <w:r>
              <w:rPr>
                <w:b/>
                <w:bCs/>
                <w:color w:val="auto"/>
                <w:spacing w:val="-11"/>
                <w:u w:val="single"/>
              </w:rPr>
              <w:t>Q</w:t>
            </w:r>
            <w:r>
              <w:rPr>
                <w:b/>
                <w:bCs/>
                <w:color w:val="auto"/>
                <w:spacing w:val="-22"/>
                <w:u w:val="single"/>
              </w:rPr>
              <w:t>=</w:t>
            </w:r>
            <w:r>
              <w:rPr>
                <w:b/>
                <w:bCs/>
                <w:color w:val="auto"/>
                <w:spacing w:val="-18"/>
                <w:u w:val="single"/>
              </w:rPr>
              <w:t>8</w:t>
            </w:r>
            <w:r>
              <w:rPr>
                <w:b/>
                <w:bCs/>
                <w:color w:val="auto"/>
                <w:spacing w:val="-2"/>
                <w:u w:val="single"/>
              </w:rPr>
              <w:t>m</w:t>
            </w:r>
            <w:r>
              <w:rPr>
                <w:b/>
                <w:bCs/>
                <w:color w:val="auto"/>
                <w:spacing w:val="-2"/>
                <w:u w:val="single"/>
                <w:vertAlign w:val="superscript"/>
              </w:rPr>
              <w:t>3</w:t>
            </w:r>
            <w:r>
              <w:rPr>
                <w:b/>
                <w:bCs/>
                <w:color w:val="auto"/>
                <w:spacing w:val="-2"/>
                <w:u w:val="single"/>
              </w:rPr>
              <w:t>/h</w:t>
            </w:r>
            <w:r>
              <w:rPr>
                <w:b/>
                <w:bCs/>
                <w:color w:val="auto"/>
                <w:spacing w:val="-11"/>
                <w:u w:val="single"/>
              </w:rPr>
              <w:t>，H=35m，过流 SUS304</w:t>
            </w:r>
          </w:p>
        </w:tc>
        <w:tc>
          <w:tcPr>
            <w:tcW w:w="974" w:type="pct"/>
            <w:shd w:val="clear" w:color="auto" w:fill="auto"/>
            <w:vAlign w:val="center"/>
          </w:tcPr>
          <w:p>
            <w:pPr>
              <w:jc w:val="center"/>
              <w:rPr>
                <w:b/>
                <w:bCs/>
                <w:color w:val="auto"/>
                <w:spacing w:val="-9"/>
                <w:u w:val="single"/>
              </w:rPr>
            </w:pPr>
            <w:r>
              <w:rPr>
                <w:b/>
                <w:bCs/>
                <w:color w:val="auto"/>
                <w:spacing w:val="-4"/>
                <w:u w:val="single"/>
              </w:rPr>
              <w:t>南</w:t>
            </w:r>
            <w:r>
              <w:rPr>
                <w:rFonts w:hint="eastAsia"/>
                <w:b/>
                <w:bCs/>
                <w:color w:val="auto"/>
                <w:spacing w:val="-4"/>
                <w:u w:val="single"/>
              </w:rPr>
              <w:t>方</w:t>
            </w:r>
            <w:r>
              <w:rPr>
                <w:b/>
                <w:bCs/>
                <w:color w:val="auto"/>
                <w:spacing w:val="-4"/>
                <w:u w:val="single"/>
              </w:rPr>
              <w:t>/川源</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流量计</w:t>
            </w:r>
          </w:p>
        </w:tc>
        <w:tc>
          <w:tcPr>
            <w:tcW w:w="1247" w:type="pct"/>
            <w:shd w:val="clear" w:color="auto" w:fill="auto"/>
            <w:vAlign w:val="center"/>
          </w:tcPr>
          <w:p>
            <w:pPr>
              <w:jc w:val="center"/>
              <w:rPr>
                <w:b/>
                <w:bCs/>
                <w:color w:val="auto"/>
                <w:spacing w:val="-15"/>
                <w:u w:val="single"/>
              </w:rPr>
            </w:pPr>
            <w:r>
              <w:rPr>
                <w:b/>
                <w:bCs/>
                <w:color w:val="auto"/>
                <w:spacing w:val="-11"/>
                <w:u w:val="single"/>
              </w:rPr>
              <w:t>LZS</w:t>
            </w:r>
          </w:p>
        </w:tc>
        <w:tc>
          <w:tcPr>
            <w:tcW w:w="974" w:type="pct"/>
            <w:shd w:val="clear" w:color="auto" w:fill="auto"/>
            <w:vAlign w:val="center"/>
          </w:tcPr>
          <w:p>
            <w:pPr>
              <w:jc w:val="center"/>
              <w:rPr>
                <w:b/>
                <w:bCs/>
                <w:color w:val="auto"/>
                <w:spacing w:val="-9"/>
                <w:u w:val="single"/>
              </w:rPr>
            </w:pPr>
            <w:r>
              <w:rPr>
                <w:rFonts w:hint="eastAsia"/>
                <w:b/>
                <w:bCs/>
                <w:color w:val="auto"/>
                <w:spacing w:val="-2"/>
                <w:u w:val="single"/>
              </w:rPr>
              <w:t>金</w:t>
            </w:r>
            <w:r>
              <w:rPr>
                <w:b/>
                <w:bCs/>
                <w:color w:val="auto"/>
                <w:spacing w:val="-2"/>
                <w:u w:val="single"/>
              </w:rPr>
              <w:t>泰或同等</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4"/>
                <w:u w:val="single"/>
              </w:rPr>
              <w:t>多介</w:t>
            </w:r>
            <w:r>
              <w:rPr>
                <w:b/>
                <w:bCs/>
                <w:color w:val="auto"/>
                <w:spacing w:val="-2"/>
                <w:u w:val="single"/>
              </w:rPr>
              <w:t>质过滤器</w:t>
            </w:r>
          </w:p>
        </w:tc>
        <w:tc>
          <w:tcPr>
            <w:tcW w:w="1247" w:type="pct"/>
            <w:shd w:val="clear" w:color="auto" w:fill="auto"/>
            <w:vAlign w:val="center"/>
          </w:tcPr>
          <w:p>
            <w:pPr>
              <w:jc w:val="center"/>
              <w:rPr>
                <w:b/>
                <w:bCs/>
                <w:color w:val="auto"/>
                <w:spacing w:val="-15"/>
                <w:u w:val="single"/>
              </w:rPr>
            </w:pPr>
            <w:r>
              <w:rPr>
                <w:b/>
                <w:bCs/>
                <w:color w:val="auto"/>
                <w:spacing w:val="-20"/>
                <w:u w:val="single"/>
              </w:rPr>
              <w:t>Ø</w:t>
            </w:r>
            <w:r>
              <w:rPr>
                <w:b/>
                <w:bCs/>
                <w:color w:val="auto"/>
                <w:spacing w:val="-11"/>
                <w:u w:val="single"/>
              </w:rPr>
              <w:t>8</w:t>
            </w:r>
            <w:r>
              <w:rPr>
                <w:b/>
                <w:bCs/>
                <w:color w:val="auto"/>
                <w:spacing w:val="-10"/>
                <w:u w:val="single"/>
              </w:rPr>
              <w:t>00mm，FRP 或 Q235 衬胶</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rFonts w:hint="eastAsia"/>
                <w:b/>
                <w:bCs/>
                <w:color w:val="auto"/>
                <w:spacing w:val="-8"/>
                <w:u w:val="single"/>
              </w:rPr>
              <w:t>自</w:t>
            </w:r>
            <w:r>
              <w:rPr>
                <w:b/>
                <w:bCs/>
                <w:color w:val="auto"/>
                <w:spacing w:val="-8"/>
                <w:u w:val="single"/>
              </w:rPr>
              <w:t>动控制阀</w:t>
            </w:r>
            <w:r>
              <w:rPr>
                <w:rFonts w:hint="eastAsia"/>
                <w:b/>
                <w:bCs/>
                <w:color w:val="auto"/>
                <w:spacing w:val="-8"/>
                <w:u w:val="single"/>
              </w:rPr>
              <w:t>门</w:t>
            </w:r>
          </w:p>
        </w:tc>
        <w:tc>
          <w:tcPr>
            <w:tcW w:w="1247" w:type="pct"/>
            <w:shd w:val="clear" w:color="auto" w:fill="auto"/>
            <w:vAlign w:val="center"/>
          </w:tcPr>
          <w:p>
            <w:pPr>
              <w:jc w:val="center"/>
              <w:rPr>
                <w:b/>
                <w:bCs/>
                <w:color w:val="auto"/>
                <w:spacing w:val="-15"/>
                <w:u w:val="single"/>
              </w:rPr>
            </w:pPr>
            <w:r>
              <w:rPr>
                <w:rFonts w:eastAsia="Meiryo"/>
                <w:b/>
                <w:bCs/>
                <w:color w:val="auto"/>
                <w:spacing w:val="-11"/>
                <w:u w:val="single"/>
              </w:rPr>
              <w:t>⽓</w:t>
            </w:r>
            <w:r>
              <w:rPr>
                <w:b/>
                <w:bCs/>
                <w:color w:val="auto"/>
                <w:spacing w:val="-7"/>
                <w:u w:val="single"/>
              </w:rPr>
              <w:t>动，UPVC</w:t>
            </w:r>
          </w:p>
        </w:tc>
        <w:tc>
          <w:tcPr>
            <w:tcW w:w="974" w:type="pct"/>
            <w:shd w:val="clear" w:color="auto" w:fill="auto"/>
            <w:vAlign w:val="center"/>
          </w:tcPr>
          <w:p>
            <w:pPr>
              <w:jc w:val="center"/>
              <w:rPr>
                <w:b/>
                <w:bCs/>
                <w:color w:val="auto"/>
                <w:spacing w:val="-9"/>
                <w:u w:val="single"/>
              </w:rPr>
            </w:pPr>
            <w:r>
              <w:rPr>
                <w:b/>
                <w:bCs/>
                <w:color w:val="auto"/>
                <w:spacing w:val="-10"/>
                <w:u w:val="single"/>
              </w:rPr>
              <w:t>三</w:t>
            </w:r>
            <w:r>
              <w:rPr>
                <w:b/>
                <w:bCs/>
                <w:color w:val="auto"/>
                <w:spacing w:val="-6"/>
                <w:u w:val="single"/>
              </w:rPr>
              <w:t>厘</w:t>
            </w:r>
            <w:r>
              <w:rPr>
                <w:b/>
                <w:bCs/>
                <w:color w:val="auto"/>
                <w:spacing w:val="-5"/>
                <w:u w:val="single"/>
              </w:rPr>
              <w:t>/弗雷</w:t>
            </w:r>
            <w:r>
              <w:rPr>
                <w:rFonts w:hint="eastAsia"/>
                <w:b/>
                <w:bCs/>
                <w:color w:val="auto"/>
                <w:spacing w:val="-5"/>
                <w:u w:val="single"/>
              </w:rPr>
              <w:t>西</w:t>
            </w:r>
            <w:r>
              <w:rPr>
                <w:b/>
                <w:bCs/>
                <w:color w:val="auto"/>
                <w:spacing w:val="-5"/>
                <w:u w:val="single"/>
              </w:rPr>
              <w:t>/协</w:t>
            </w:r>
            <w:r>
              <w:rPr>
                <w:rFonts w:hint="eastAsia"/>
                <w:b/>
                <w:bCs/>
                <w:color w:val="auto"/>
                <w:spacing w:val="-5"/>
                <w:u w:val="single"/>
              </w:rPr>
              <w:t>羽</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填</w:t>
            </w:r>
            <w:r>
              <w:rPr>
                <w:b/>
                <w:bCs/>
                <w:color w:val="auto"/>
                <w:spacing w:val="-1"/>
                <w:u w:val="single"/>
              </w:rPr>
              <w:t>料</w:t>
            </w:r>
          </w:p>
        </w:tc>
        <w:tc>
          <w:tcPr>
            <w:tcW w:w="1247" w:type="pct"/>
            <w:shd w:val="clear" w:color="auto" w:fill="auto"/>
            <w:vAlign w:val="center"/>
          </w:tcPr>
          <w:p>
            <w:pPr>
              <w:jc w:val="center"/>
              <w:rPr>
                <w:b/>
                <w:bCs/>
                <w:color w:val="auto"/>
                <w:spacing w:val="-15"/>
                <w:u w:val="single"/>
              </w:rPr>
            </w:pPr>
            <w:r>
              <w:rPr>
                <w:b/>
                <w:bCs/>
                <w:color w:val="auto"/>
                <w:spacing w:val="-6"/>
                <w:u w:val="single"/>
              </w:rPr>
              <w:t>多</w:t>
            </w:r>
            <w:r>
              <w:rPr>
                <w:b/>
                <w:bCs/>
                <w:color w:val="auto"/>
                <w:spacing w:val="-3"/>
                <w:u w:val="single"/>
              </w:rPr>
              <w:t>级滤料</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滤器</w:t>
            </w:r>
            <w:r>
              <w:rPr>
                <w:rFonts w:hint="eastAsia"/>
                <w:b/>
                <w:bCs/>
                <w:color w:val="auto"/>
                <w:spacing w:val="-1"/>
                <w:u w:val="single"/>
              </w:rPr>
              <w:t>支</w:t>
            </w:r>
            <w:r>
              <w:rPr>
                <w:b/>
                <w:bCs/>
                <w:color w:val="auto"/>
                <w:spacing w:val="-1"/>
                <w:u w:val="single"/>
              </w:rPr>
              <w:t>架</w:t>
            </w:r>
          </w:p>
        </w:tc>
        <w:tc>
          <w:tcPr>
            <w:tcW w:w="1247" w:type="pct"/>
            <w:shd w:val="clear" w:color="auto" w:fill="auto"/>
            <w:vAlign w:val="center"/>
          </w:tcPr>
          <w:p>
            <w:pPr>
              <w:jc w:val="center"/>
              <w:rPr>
                <w:b/>
                <w:bCs/>
                <w:color w:val="auto"/>
                <w:spacing w:val="-15"/>
                <w:u w:val="single"/>
              </w:rPr>
            </w:pPr>
            <w:r>
              <w:rPr>
                <w:b/>
                <w:bCs/>
                <w:color w:val="auto"/>
                <w:spacing w:val="-9"/>
                <w:u w:val="single"/>
              </w:rPr>
              <w:t>Q235 防腐</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u w:val="single"/>
              </w:rPr>
              <w:drawing>
                <wp:anchor distT="0" distB="0" distL="114300" distR="114300" simplePos="0" relativeHeight="251777024" behindDoc="0" locked="0" layoutInCell="1" allowOverlap="1">
                  <wp:simplePos x="0" y="0"/>
                  <wp:positionH relativeFrom="page">
                    <wp:posOffset>2137410</wp:posOffset>
                  </wp:positionH>
                  <wp:positionV relativeFrom="page">
                    <wp:posOffset>2168525</wp:posOffset>
                  </wp:positionV>
                  <wp:extent cx="1162685" cy="6350"/>
                  <wp:effectExtent l="0" t="0" r="0" b="0"/>
                  <wp:wrapNone/>
                  <wp:docPr id="1385" name="图片 1385"/>
                  <wp:cNvGraphicFramePr/>
                  <a:graphic xmlns:a="http://schemas.openxmlformats.org/drawingml/2006/main">
                    <a:graphicData uri="http://schemas.openxmlformats.org/drawingml/2006/picture">
                      <pic:pic xmlns:pic="http://schemas.openxmlformats.org/drawingml/2006/picture">
                        <pic:nvPicPr>
                          <pic:cNvPr id="1385" name="图片 1385"/>
                          <pic:cNvPicPr>
                            <a:picLocks noChangeArrowheads="1"/>
                          </pic:cNvPicPr>
                        </pic:nvPicPr>
                        <pic:blipFill>
                          <a:blip r:embed="rId160"/>
                          <a:srcRect/>
                          <a:stretch>
                            <a:fillRect/>
                          </a:stretch>
                        </pic:blipFill>
                        <pic:spPr>
                          <a:xfrm>
                            <a:off x="0" y="0"/>
                            <a:ext cx="1162685" cy="6350"/>
                          </a:xfrm>
                          <a:prstGeom prst="rect">
                            <a:avLst/>
                          </a:prstGeom>
                          <a:noFill/>
                          <a:ln>
                            <a:noFill/>
                          </a:ln>
                        </pic:spPr>
                      </pic:pic>
                    </a:graphicData>
                  </a:graphic>
                </wp:anchor>
              </w:drawing>
            </w:r>
            <w:r>
              <w:rPr>
                <w:b/>
                <w:bCs/>
                <w:color w:val="auto"/>
                <w:spacing w:val="-3"/>
                <w:u w:val="single"/>
              </w:rPr>
              <w:t>液</w:t>
            </w:r>
            <w:r>
              <w:rPr>
                <w:b/>
                <w:bCs/>
                <w:color w:val="auto"/>
                <w:spacing w:val="-2"/>
                <w:u w:val="single"/>
              </w:rPr>
              <w:t>位计</w:t>
            </w:r>
          </w:p>
        </w:tc>
        <w:tc>
          <w:tcPr>
            <w:tcW w:w="1247" w:type="pct"/>
            <w:shd w:val="clear" w:color="auto" w:fill="auto"/>
            <w:vAlign w:val="center"/>
          </w:tcPr>
          <w:p>
            <w:pPr>
              <w:jc w:val="center"/>
              <w:rPr>
                <w:b/>
                <w:bCs/>
                <w:color w:val="auto"/>
                <w:spacing w:val="-15"/>
                <w:u w:val="single"/>
              </w:rPr>
            </w:pPr>
            <w:r>
              <w:rPr>
                <w:b/>
                <w:bCs/>
                <w:color w:val="auto"/>
                <w:spacing w:val="-12"/>
                <w:u w:val="single"/>
              </w:rPr>
              <w:t>4</w:t>
            </w:r>
            <w:r>
              <w:rPr>
                <w:b/>
                <w:bCs/>
                <w:color w:val="auto"/>
                <w:spacing w:val="-8"/>
                <w:u w:val="single"/>
              </w:rPr>
              <w:t>-20mA</w:t>
            </w:r>
          </w:p>
        </w:tc>
        <w:tc>
          <w:tcPr>
            <w:tcW w:w="974" w:type="pct"/>
            <w:shd w:val="clear" w:color="auto" w:fill="auto"/>
            <w:vAlign w:val="center"/>
          </w:tcPr>
          <w:p>
            <w:pPr>
              <w:jc w:val="center"/>
              <w:rPr>
                <w:b/>
                <w:bCs/>
                <w:color w:val="auto"/>
                <w:spacing w:val="-9"/>
                <w:u w:val="single"/>
              </w:rPr>
            </w:pPr>
            <w:r>
              <w:rPr>
                <w:b/>
                <w:bCs/>
                <w:color w:val="auto"/>
                <w:u w:val="single"/>
              </w:rPr>
              <w:drawing>
                <wp:anchor distT="0" distB="0" distL="114300" distR="114300" simplePos="0" relativeHeight="251778048" behindDoc="0" locked="0" layoutInCell="1" allowOverlap="1">
                  <wp:simplePos x="0" y="0"/>
                  <wp:positionH relativeFrom="page">
                    <wp:posOffset>5160645</wp:posOffset>
                  </wp:positionH>
                  <wp:positionV relativeFrom="page">
                    <wp:posOffset>2168525</wp:posOffset>
                  </wp:positionV>
                  <wp:extent cx="1441450" cy="6350"/>
                  <wp:effectExtent l="0" t="0" r="0" b="0"/>
                  <wp:wrapNone/>
                  <wp:docPr id="1384" name="图片 1384"/>
                  <wp:cNvGraphicFramePr/>
                  <a:graphic xmlns:a="http://schemas.openxmlformats.org/drawingml/2006/main">
                    <a:graphicData uri="http://schemas.openxmlformats.org/drawingml/2006/picture">
                      <pic:pic xmlns:pic="http://schemas.openxmlformats.org/drawingml/2006/picture">
                        <pic:nvPicPr>
                          <pic:cNvPr id="1384" name="图片 1384"/>
                          <pic:cNvPicPr>
                            <a:picLocks noChangeArrowheads="1"/>
                          </pic:cNvPicPr>
                        </pic:nvPicPr>
                        <pic:blipFill>
                          <a:blip r:embed="rId156"/>
                          <a:srcRect/>
                          <a:stretch>
                            <a:fillRect/>
                          </a:stretch>
                        </pic:blipFill>
                        <pic:spPr>
                          <a:xfrm>
                            <a:off x="0" y="0"/>
                            <a:ext cx="1441450" cy="6350"/>
                          </a:xfrm>
                          <a:prstGeom prst="rect">
                            <a:avLst/>
                          </a:prstGeom>
                          <a:noFill/>
                          <a:ln>
                            <a:noFill/>
                          </a:ln>
                        </pic:spPr>
                      </pic:pic>
                    </a:graphicData>
                  </a:graphic>
                </wp:anchor>
              </w:drawing>
            </w:r>
            <w:r>
              <w:rPr>
                <w:b/>
                <w:bCs/>
                <w:color w:val="auto"/>
                <w:spacing w:val="-8"/>
                <w:u w:val="single"/>
              </w:rPr>
              <w:t>FEEJOY</w:t>
            </w:r>
            <w:r>
              <w:rPr>
                <w:b/>
                <w:bCs/>
                <w:color w:val="auto"/>
                <w:spacing w:val="-11"/>
                <w:u w:val="single"/>
              </w:rPr>
              <w:t>/</w:t>
            </w:r>
            <w:r>
              <w:rPr>
                <w:b/>
                <w:bCs/>
                <w:color w:val="auto"/>
                <w:spacing w:val="-8"/>
                <w:u w:val="single"/>
              </w:rPr>
              <w:t>美仪</w:t>
            </w:r>
          </w:p>
        </w:tc>
        <w:tc>
          <w:tcPr>
            <w:tcW w:w="316" w:type="pct"/>
            <w:shd w:val="clear" w:color="auto" w:fill="auto"/>
            <w:vAlign w:val="center"/>
          </w:tcPr>
          <w:p>
            <w:pPr>
              <w:jc w:val="center"/>
              <w:rPr>
                <w:b/>
                <w:bCs/>
                <w:color w:val="auto"/>
                <w:u w:val="single"/>
              </w:rPr>
            </w:pPr>
            <w:r>
              <w:rPr>
                <w:b/>
                <w:bCs/>
                <w:color w:val="auto"/>
                <w:u w:val="single"/>
              </w:rPr>
              <w:drawing>
                <wp:anchor distT="0" distB="0" distL="114300" distR="114300" simplePos="0" relativeHeight="251779072" behindDoc="0" locked="0" layoutInCell="1" allowOverlap="1">
                  <wp:simplePos x="0" y="0"/>
                  <wp:positionH relativeFrom="page">
                    <wp:posOffset>6608445</wp:posOffset>
                  </wp:positionH>
                  <wp:positionV relativeFrom="page">
                    <wp:posOffset>2168525</wp:posOffset>
                  </wp:positionV>
                  <wp:extent cx="464185" cy="6350"/>
                  <wp:effectExtent l="0" t="0" r="0" b="0"/>
                  <wp:wrapNone/>
                  <wp:docPr id="1383" name="图片 1383"/>
                  <wp:cNvGraphicFramePr/>
                  <a:graphic xmlns:a="http://schemas.openxmlformats.org/drawingml/2006/main">
                    <a:graphicData uri="http://schemas.openxmlformats.org/drawingml/2006/picture">
                      <pic:pic xmlns:pic="http://schemas.openxmlformats.org/drawingml/2006/picture">
                        <pic:nvPicPr>
                          <pic:cNvPr id="1383" name="图片 1383"/>
                          <pic:cNvPicPr>
                            <a:picLocks noChangeArrowheads="1"/>
                          </pic:cNvPicPr>
                        </pic:nvPicPr>
                        <pic:blipFill>
                          <a:blip r:embed="rId157"/>
                          <a:srcRect/>
                          <a:stretch>
                            <a:fillRect/>
                          </a:stretch>
                        </pic:blipFill>
                        <pic:spPr>
                          <a:xfrm>
                            <a:off x="0" y="0"/>
                            <a:ext cx="464185" cy="6350"/>
                          </a:xfrm>
                          <a:prstGeom prst="rect">
                            <a:avLst/>
                          </a:prstGeom>
                          <a:noFill/>
                          <a:ln>
                            <a:noFill/>
                          </a:ln>
                        </pic:spPr>
                      </pic:pic>
                    </a:graphicData>
                  </a:graphic>
                </wp:anchor>
              </w:drawing>
            </w: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drawing>
                <wp:anchor distT="0" distB="0" distL="114300" distR="114300" simplePos="0" relativeHeight="251780096" behindDoc="0" locked="0" layoutInCell="1" allowOverlap="1">
                  <wp:simplePos x="0" y="0"/>
                  <wp:positionH relativeFrom="page">
                    <wp:posOffset>7078345</wp:posOffset>
                  </wp:positionH>
                  <wp:positionV relativeFrom="page">
                    <wp:posOffset>2168525</wp:posOffset>
                  </wp:positionV>
                  <wp:extent cx="438150" cy="6350"/>
                  <wp:effectExtent l="0" t="0" r="0" b="0"/>
                  <wp:wrapNone/>
                  <wp:docPr id="1382" name="图片 1382"/>
                  <wp:cNvGraphicFramePr/>
                  <a:graphic xmlns:a="http://schemas.openxmlformats.org/drawingml/2006/main">
                    <a:graphicData uri="http://schemas.openxmlformats.org/drawingml/2006/picture">
                      <pic:pic xmlns:pic="http://schemas.openxmlformats.org/drawingml/2006/picture">
                        <pic:nvPicPr>
                          <pic:cNvPr id="1382" name="图片 1382"/>
                          <pic:cNvPicPr>
                            <a:picLocks noChangeArrowheads="1"/>
                          </pic:cNvPicPr>
                        </pic:nvPicPr>
                        <pic:blipFill>
                          <a:blip r:embed="rId158"/>
                          <a:srcRect/>
                          <a:stretch>
                            <a:fillRect/>
                          </a:stretch>
                        </pic:blipFill>
                        <pic:spPr>
                          <a:xfrm>
                            <a:off x="0" y="0"/>
                            <a:ext cx="438150" cy="6350"/>
                          </a:xfrm>
                          <a:prstGeom prst="rect">
                            <a:avLst/>
                          </a:prstGeom>
                          <a:noFill/>
                          <a:ln>
                            <a:noFill/>
                          </a:ln>
                        </pic:spPr>
                      </pic:pic>
                    </a:graphicData>
                  </a:graphic>
                </wp:anchor>
              </w:drawing>
            </w: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1"/>
                <w:u w:val="single"/>
              </w:rPr>
              <w:t>压</w:t>
            </w:r>
            <w:r>
              <w:rPr>
                <w:rFonts w:hint="eastAsia"/>
                <w:b/>
                <w:bCs/>
                <w:color w:val="auto"/>
                <w:spacing w:val="-1"/>
                <w:u w:val="single"/>
              </w:rPr>
              <w:t>力</w:t>
            </w:r>
            <w:r>
              <w:rPr>
                <w:b/>
                <w:bCs/>
                <w:color w:val="auto"/>
                <w:u w:val="single"/>
              </w:rPr>
              <w:t>表</w:t>
            </w:r>
          </w:p>
        </w:tc>
        <w:tc>
          <w:tcPr>
            <w:tcW w:w="1247" w:type="pct"/>
            <w:shd w:val="clear" w:color="auto" w:fill="auto"/>
            <w:vAlign w:val="center"/>
          </w:tcPr>
          <w:p>
            <w:pPr>
              <w:jc w:val="center"/>
              <w:rPr>
                <w:b/>
                <w:bCs/>
                <w:color w:val="auto"/>
                <w:spacing w:val="-15"/>
                <w:u w:val="single"/>
              </w:rPr>
            </w:pPr>
            <w:r>
              <w:rPr>
                <w:b/>
                <w:bCs/>
                <w:color w:val="auto"/>
                <w:spacing w:val="-11"/>
                <w:u w:val="single"/>
              </w:rPr>
              <w:t>0</w:t>
            </w:r>
            <w:r>
              <w:rPr>
                <w:b/>
                <w:bCs/>
                <w:color w:val="auto"/>
                <w:spacing w:val="-10"/>
                <w:u w:val="single"/>
              </w:rPr>
              <w:t>-0.6MPa，SUS304 材质</w:t>
            </w:r>
          </w:p>
        </w:tc>
        <w:tc>
          <w:tcPr>
            <w:tcW w:w="974" w:type="pct"/>
            <w:shd w:val="clear" w:color="auto" w:fill="auto"/>
            <w:vAlign w:val="center"/>
          </w:tcPr>
          <w:p>
            <w:pPr>
              <w:jc w:val="center"/>
              <w:rPr>
                <w:b/>
                <w:bCs/>
                <w:color w:val="auto"/>
                <w:spacing w:val="-9"/>
                <w:u w:val="single"/>
              </w:rPr>
            </w:pPr>
            <w:r>
              <w:rPr>
                <w:b/>
                <w:bCs/>
                <w:color w:val="auto"/>
                <w:spacing w:val="-16"/>
                <w:u w:val="single"/>
              </w:rPr>
              <w:t>布</w:t>
            </w:r>
            <w:r>
              <w:rPr>
                <w:b/>
                <w:bCs/>
                <w:color w:val="auto"/>
                <w:spacing w:val="-8"/>
                <w:u w:val="single"/>
              </w:rPr>
              <w:t>莱迪/KINGTAI/先锋</w:t>
            </w:r>
          </w:p>
        </w:tc>
        <w:tc>
          <w:tcPr>
            <w:tcW w:w="316" w:type="pct"/>
            <w:shd w:val="clear" w:color="auto" w:fill="auto"/>
            <w:vAlign w:val="center"/>
          </w:tcPr>
          <w:p>
            <w:pPr>
              <w:jc w:val="center"/>
              <w:rPr>
                <w:b/>
                <w:bCs/>
                <w:color w:val="auto"/>
                <w:u w:val="single"/>
              </w:rPr>
            </w:pPr>
            <w:r>
              <w:rPr>
                <w:b/>
                <w:bCs/>
                <w:color w:val="auto"/>
                <w:u w:val="single"/>
              </w:rPr>
              <w:t>台</w:t>
            </w:r>
          </w:p>
        </w:tc>
        <w:tc>
          <w:tcPr>
            <w:tcW w:w="298" w:type="pct"/>
            <w:shd w:val="clear" w:color="auto" w:fill="auto"/>
            <w:vAlign w:val="center"/>
          </w:tcPr>
          <w:p>
            <w:pPr>
              <w:jc w:val="center"/>
              <w:rPr>
                <w:b/>
                <w:bCs/>
                <w:color w:val="auto"/>
                <w:u w:val="single"/>
              </w:rPr>
            </w:pPr>
            <w:r>
              <w:rPr>
                <w:b/>
                <w:bCs/>
                <w:color w:val="auto"/>
                <w:u w:val="single"/>
              </w:rPr>
              <w:t>2</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vMerge w:val="continue"/>
            <w:shd w:val="clear" w:color="auto" w:fill="auto"/>
            <w:vAlign w:val="center"/>
          </w:tcPr>
          <w:p>
            <w:pPr>
              <w:jc w:val="center"/>
              <w:rPr>
                <w:b/>
                <w:bCs/>
                <w:color w:val="auto"/>
                <w:u w:val="single"/>
              </w:rPr>
            </w:pPr>
          </w:p>
        </w:tc>
        <w:tc>
          <w:tcPr>
            <w:tcW w:w="529" w:type="pct"/>
            <w:vMerge w:val="continue"/>
            <w:shd w:val="clear" w:color="auto" w:fill="auto"/>
            <w:vAlign w:val="center"/>
          </w:tcPr>
          <w:p>
            <w:pPr>
              <w:jc w:val="center"/>
              <w:rPr>
                <w:b/>
                <w:bCs/>
                <w:color w:val="auto"/>
                <w:u w:val="single"/>
              </w:rPr>
            </w:pPr>
          </w:p>
        </w:tc>
        <w:tc>
          <w:tcPr>
            <w:tcW w:w="787" w:type="pct"/>
            <w:shd w:val="clear" w:color="auto" w:fill="auto"/>
            <w:vAlign w:val="center"/>
          </w:tcPr>
          <w:p>
            <w:pPr>
              <w:jc w:val="center"/>
              <w:rPr>
                <w:b/>
                <w:bCs/>
                <w:color w:val="auto"/>
                <w:spacing w:val="-10"/>
                <w:u w:val="single"/>
              </w:rPr>
            </w:pPr>
            <w:r>
              <w:rPr>
                <w:b/>
                <w:bCs/>
                <w:color w:val="auto"/>
                <w:spacing w:val="-2"/>
                <w:u w:val="single"/>
              </w:rPr>
              <w:t>过</w:t>
            </w:r>
            <w:r>
              <w:rPr>
                <w:b/>
                <w:bCs/>
                <w:color w:val="auto"/>
                <w:spacing w:val="-1"/>
                <w:u w:val="single"/>
              </w:rPr>
              <w:t>滤产</w:t>
            </w:r>
            <w:r>
              <w:rPr>
                <w:rFonts w:hint="eastAsia"/>
                <w:b/>
                <w:bCs/>
                <w:color w:val="auto"/>
                <w:spacing w:val="-1"/>
                <w:u w:val="single"/>
              </w:rPr>
              <w:t>水</w:t>
            </w:r>
            <w:r>
              <w:rPr>
                <w:b/>
                <w:bCs/>
                <w:color w:val="auto"/>
                <w:spacing w:val="-1"/>
                <w:u w:val="single"/>
              </w:rPr>
              <w:t>箱</w:t>
            </w:r>
          </w:p>
        </w:tc>
        <w:tc>
          <w:tcPr>
            <w:tcW w:w="1247" w:type="pct"/>
            <w:shd w:val="clear" w:color="auto" w:fill="auto"/>
            <w:vAlign w:val="center"/>
          </w:tcPr>
          <w:p>
            <w:pPr>
              <w:jc w:val="center"/>
              <w:rPr>
                <w:b/>
                <w:bCs/>
                <w:color w:val="auto"/>
                <w:spacing w:val="-15"/>
                <w:u w:val="single"/>
              </w:rPr>
            </w:pPr>
            <w:r>
              <w:rPr>
                <w:b/>
                <w:bCs/>
                <w:color w:val="auto"/>
                <w:spacing w:val="-11"/>
                <w:u w:val="single"/>
              </w:rPr>
              <w:t>10T，PE/PPH</w:t>
            </w:r>
          </w:p>
        </w:tc>
        <w:tc>
          <w:tcPr>
            <w:tcW w:w="974" w:type="pct"/>
            <w:shd w:val="clear" w:color="auto" w:fill="auto"/>
            <w:vAlign w:val="center"/>
          </w:tcPr>
          <w:p>
            <w:pPr>
              <w:jc w:val="center"/>
              <w:rPr>
                <w:b/>
                <w:bCs/>
                <w:color w:val="auto"/>
                <w:spacing w:val="-9"/>
                <w:u w:val="single"/>
              </w:rPr>
            </w:pPr>
            <w:r>
              <w:rPr>
                <w:b/>
                <w:bCs/>
                <w:color w:val="auto"/>
                <w:spacing w:val="-2"/>
                <w:u w:val="single"/>
              </w:rPr>
              <w:t>逸</w:t>
            </w:r>
            <w:r>
              <w:rPr>
                <w:rFonts w:hint="eastAsia"/>
                <w:b/>
                <w:bCs/>
                <w:color w:val="auto"/>
                <w:spacing w:val="-2"/>
                <w:u w:val="single"/>
              </w:rPr>
              <w:t>辰</w:t>
            </w:r>
            <w:r>
              <w:rPr>
                <w:b/>
                <w:bCs/>
                <w:color w:val="auto"/>
                <w:spacing w:val="-1"/>
                <w:u w:val="single"/>
              </w:rPr>
              <w:t>环保</w:t>
            </w:r>
          </w:p>
        </w:tc>
        <w:tc>
          <w:tcPr>
            <w:tcW w:w="316" w:type="pct"/>
            <w:shd w:val="clear" w:color="auto" w:fill="auto"/>
            <w:vAlign w:val="center"/>
          </w:tcPr>
          <w:p>
            <w:pPr>
              <w:jc w:val="center"/>
              <w:rPr>
                <w:b/>
                <w:bCs/>
                <w:color w:val="auto"/>
                <w:u w:val="single"/>
              </w:rPr>
            </w:pPr>
            <w:r>
              <w:rPr>
                <w:b/>
                <w:bCs/>
                <w:color w:val="auto"/>
                <w:u w:val="single"/>
              </w:rPr>
              <w:t>套</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u w:val="single"/>
              </w:rPr>
              <w:t>6</w:t>
            </w:r>
          </w:p>
        </w:tc>
        <w:tc>
          <w:tcPr>
            <w:tcW w:w="1316" w:type="pct"/>
            <w:gridSpan w:val="2"/>
            <w:shd w:val="clear" w:color="auto" w:fill="auto"/>
            <w:vAlign w:val="center"/>
          </w:tcPr>
          <w:p>
            <w:pPr>
              <w:jc w:val="center"/>
              <w:rPr>
                <w:b/>
                <w:bCs/>
                <w:color w:val="auto"/>
                <w:spacing w:val="-10"/>
                <w:u w:val="single"/>
              </w:rPr>
            </w:pPr>
            <w:r>
              <w:rPr>
                <w:rFonts w:hint="eastAsia"/>
                <w:b/>
                <w:bCs/>
                <w:color w:val="auto"/>
                <w:spacing w:val="-5"/>
                <w:u w:val="single"/>
              </w:rPr>
              <w:t>二</w:t>
            </w:r>
            <w:r>
              <w:rPr>
                <w:b/>
                <w:bCs/>
                <w:color w:val="auto"/>
                <w:spacing w:val="-5"/>
                <w:u w:val="single"/>
              </w:rPr>
              <w:t>次管道阀</w:t>
            </w:r>
            <w:r>
              <w:rPr>
                <w:rFonts w:hint="eastAsia"/>
                <w:b/>
                <w:bCs/>
                <w:color w:val="auto"/>
                <w:spacing w:val="-5"/>
                <w:u w:val="single"/>
              </w:rPr>
              <w:t>门</w:t>
            </w:r>
          </w:p>
        </w:tc>
        <w:tc>
          <w:tcPr>
            <w:tcW w:w="1247" w:type="pct"/>
            <w:shd w:val="clear" w:color="auto" w:fill="auto"/>
            <w:vAlign w:val="center"/>
          </w:tcPr>
          <w:p>
            <w:pPr>
              <w:jc w:val="center"/>
              <w:rPr>
                <w:b/>
                <w:bCs/>
                <w:color w:val="auto"/>
                <w:spacing w:val="-15"/>
                <w:u w:val="single"/>
              </w:rPr>
            </w:pPr>
            <w:r>
              <w:rPr>
                <w:b/>
                <w:bCs/>
                <w:color w:val="auto"/>
                <w:spacing w:val="-10"/>
                <w:u w:val="single"/>
              </w:rPr>
              <w:t>PN</w:t>
            </w:r>
            <w:r>
              <w:rPr>
                <w:b/>
                <w:bCs/>
                <w:color w:val="auto"/>
                <w:spacing w:val="-16"/>
                <w:u w:val="single"/>
              </w:rPr>
              <w:t>1</w:t>
            </w:r>
            <w:r>
              <w:rPr>
                <w:b/>
                <w:bCs/>
                <w:color w:val="auto"/>
                <w:spacing w:val="-10"/>
                <w:u w:val="single"/>
              </w:rPr>
              <w:t>0</w:t>
            </w:r>
            <w:r>
              <w:rPr>
                <w:rFonts w:hint="eastAsia"/>
                <w:b/>
                <w:bCs/>
                <w:color w:val="auto"/>
                <w:spacing w:val="-10"/>
                <w:u w:val="single"/>
              </w:rPr>
              <w:t>，</w:t>
            </w:r>
            <w:r>
              <w:rPr>
                <w:b/>
                <w:bCs/>
                <w:color w:val="auto"/>
                <w:spacing w:val="-10"/>
                <w:u w:val="single"/>
              </w:rPr>
              <w:t>UPVC 化</w:t>
            </w:r>
            <w:r>
              <w:rPr>
                <w:rFonts w:eastAsia="Meiryo"/>
                <w:b/>
                <w:bCs/>
                <w:color w:val="auto"/>
                <w:spacing w:val="-10"/>
                <w:u w:val="single"/>
              </w:rPr>
              <w:t>⼯</w:t>
            </w:r>
            <w:r>
              <w:rPr>
                <w:b/>
                <w:bCs/>
                <w:color w:val="auto"/>
                <w:spacing w:val="-10"/>
                <w:u w:val="single"/>
              </w:rPr>
              <w:t>管</w:t>
            </w:r>
          </w:p>
        </w:tc>
        <w:tc>
          <w:tcPr>
            <w:tcW w:w="974" w:type="pct"/>
            <w:shd w:val="clear" w:color="auto" w:fill="auto"/>
            <w:vAlign w:val="center"/>
          </w:tcPr>
          <w:p>
            <w:pPr>
              <w:jc w:val="center"/>
              <w:rPr>
                <w:b/>
                <w:bCs/>
                <w:color w:val="auto"/>
                <w:spacing w:val="-9"/>
                <w:u w:val="single"/>
              </w:rPr>
            </w:pPr>
            <w:r>
              <w:rPr>
                <w:b/>
                <w:bCs/>
                <w:color w:val="auto"/>
                <w:spacing w:val="-6"/>
                <w:u w:val="single"/>
              </w:rPr>
              <w:t>环</w:t>
            </w:r>
            <w:r>
              <w:rPr>
                <w:b/>
                <w:bCs/>
                <w:color w:val="auto"/>
                <w:spacing w:val="-4"/>
                <w:u w:val="single"/>
              </w:rPr>
              <w:t>琪</w:t>
            </w:r>
            <w:r>
              <w:rPr>
                <w:b/>
                <w:bCs/>
                <w:color w:val="auto"/>
                <w:spacing w:val="-3"/>
                <w:u w:val="single"/>
              </w:rPr>
              <w:t>/协</w:t>
            </w:r>
            <w:r>
              <w:rPr>
                <w:rFonts w:hint="eastAsia"/>
                <w:b/>
                <w:bCs/>
                <w:color w:val="auto"/>
                <w:spacing w:val="-3"/>
                <w:u w:val="single"/>
              </w:rPr>
              <w:t>羽</w:t>
            </w:r>
            <w:r>
              <w:rPr>
                <w:b/>
                <w:bCs/>
                <w:color w:val="auto"/>
                <w:spacing w:val="-3"/>
                <w:u w:val="single"/>
              </w:rPr>
              <w:t>/三厘</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u w:val="single"/>
              </w:rPr>
              <w:t>7</w:t>
            </w:r>
          </w:p>
        </w:tc>
        <w:tc>
          <w:tcPr>
            <w:tcW w:w="1316" w:type="pct"/>
            <w:gridSpan w:val="2"/>
            <w:shd w:val="clear" w:color="auto" w:fill="auto"/>
            <w:vAlign w:val="center"/>
          </w:tcPr>
          <w:p>
            <w:pPr>
              <w:jc w:val="center"/>
              <w:rPr>
                <w:b/>
                <w:bCs/>
                <w:color w:val="auto"/>
                <w:spacing w:val="-10"/>
                <w:u w:val="single"/>
              </w:rPr>
            </w:pPr>
            <w:r>
              <w:rPr>
                <w:b/>
                <w:bCs/>
                <w:color w:val="auto"/>
                <w:spacing w:val="-2"/>
                <w:u w:val="single"/>
              </w:rPr>
              <w:t>五金杂件</w:t>
            </w:r>
            <w:r>
              <w:rPr>
                <w:b/>
                <w:bCs/>
                <w:color w:val="auto"/>
                <w:spacing w:val="-1"/>
                <w:u w:val="single"/>
              </w:rPr>
              <w:t>辅材</w:t>
            </w: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2" w:type="pct"/>
            <w:shd w:val="clear" w:color="auto" w:fill="auto"/>
            <w:vAlign w:val="center"/>
          </w:tcPr>
          <w:p>
            <w:pPr>
              <w:jc w:val="center"/>
              <w:rPr>
                <w:b/>
                <w:bCs/>
                <w:color w:val="auto"/>
                <w:u w:val="single"/>
              </w:rPr>
            </w:pPr>
            <w:r>
              <w:rPr>
                <w:b/>
                <w:bCs/>
                <w:color w:val="auto"/>
                <w:u w:val="single"/>
              </w:rPr>
              <w:t>8</w:t>
            </w:r>
          </w:p>
        </w:tc>
        <w:tc>
          <w:tcPr>
            <w:tcW w:w="1316" w:type="pct"/>
            <w:gridSpan w:val="2"/>
            <w:shd w:val="clear" w:color="auto" w:fill="auto"/>
            <w:vAlign w:val="center"/>
          </w:tcPr>
          <w:p>
            <w:pPr>
              <w:jc w:val="center"/>
              <w:rPr>
                <w:b/>
                <w:bCs/>
                <w:color w:val="auto"/>
                <w:spacing w:val="-10"/>
                <w:u w:val="single"/>
              </w:rPr>
            </w:pPr>
            <w:r>
              <w:rPr>
                <w:b/>
                <w:bCs/>
                <w:color w:val="auto"/>
                <w:spacing w:val="-2"/>
                <w:u w:val="single"/>
              </w:rPr>
              <w:t>动力控制线</w:t>
            </w:r>
            <w:r>
              <w:rPr>
                <w:b/>
                <w:bCs/>
                <w:color w:val="auto"/>
                <w:spacing w:val="-1"/>
                <w:u w:val="single"/>
              </w:rPr>
              <w:t>缆</w:t>
            </w: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92" w:type="pct"/>
            <w:shd w:val="clear" w:color="auto" w:fill="auto"/>
            <w:vAlign w:val="center"/>
          </w:tcPr>
          <w:p>
            <w:pPr>
              <w:jc w:val="center"/>
              <w:rPr>
                <w:b/>
                <w:bCs/>
                <w:color w:val="auto"/>
                <w:u w:val="single"/>
              </w:rPr>
            </w:pPr>
            <w:r>
              <w:rPr>
                <w:b/>
                <w:bCs/>
                <w:color w:val="auto"/>
                <w:u w:val="single"/>
              </w:rPr>
              <w:t>9</w:t>
            </w:r>
          </w:p>
        </w:tc>
        <w:tc>
          <w:tcPr>
            <w:tcW w:w="1316" w:type="pct"/>
            <w:gridSpan w:val="2"/>
            <w:shd w:val="clear" w:color="auto" w:fill="auto"/>
            <w:vAlign w:val="center"/>
          </w:tcPr>
          <w:p>
            <w:pPr>
              <w:jc w:val="center"/>
              <w:rPr>
                <w:b/>
                <w:bCs/>
                <w:color w:val="auto"/>
                <w:spacing w:val="-10"/>
                <w:u w:val="single"/>
              </w:rPr>
            </w:pPr>
            <w:r>
              <w:rPr>
                <w:b/>
                <w:bCs/>
                <w:color w:val="auto"/>
                <w:spacing w:val="-1"/>
                <w:u w:val="single"/>
              </w:rPr>
              <w:t>桥架及线</w:t>
            </w:r>
            <w:r>
              <w:rPr>
                <w:b/>
                <w:bCs/>
                <w:color w:val="auto"/>
                <w:u w:val="single"/>
              </w:rPr>
              <w:t>管</w:t>
            </w:r>
          </w:p>
        </w:tc>
        <w:tc>
          <w:tcPr>
            <w:tcW w:w="1247" w:type="pct"/>
            <w:shd w:val="clear" w:color="auto" w:fill="auto"/>
            <w:vAlign w:val="center"/>
          </w:tcPr>
          <w:p>
            <w:pPr>
              <w:jc w:val="center"/>
              <w:rPr>
                <w:b/>
                <w:bCs/>
                <w:color w:val="auto"/>
                <w:spacing w:val="-15"/>
                <w:u w:val="single"/>
              </w:rPr>
            </w:pPr>
          </w:p>
        </w:tc>
        <w:tc>
          <w:tcPr>
            <w:tcW w:w="974" w:type="pct"/>
            <w:shd w:val="clear" w:color="auto" w:fill="auto"/>
            <w:vAlign w:val="center"/>
          </w:tcPr>
          <w:p>
            <w:pPr>
              <w:jc w:val="center"/>
              <w:rPr>
                <w:b/>
                <w:bCs/>
                <w:color w:val="auto"/>
                <w:spacing w:val="-9"/>
                <w:u w:val="single"/>
              </w:rPr>
            </w:pPr>
            <w:r>
              <w:rPr>
                <w:b/>
                <w:bCs/>
                <w:color w:val="auto"/>
                <w:spacing w:val="-6"/>
                <w:u w:val="single"/>
              </w:rPr>
              <w:t>国</w:t>
            </w:r>
            <w:r>
              <w:rPr>
                <w:b/>
                <w:bCs/>
                <w:color w:val="auto"/>
                <w:spacing w:val="-4"/>
                <w:u w:val="single"/>
              </w:rPr>
              <w:t>产</w:t>
            </w:r>
            <w:r>
              <w:rPr>
                <w:b/>
                <w:bCs/>
                <w:color w:val="auto"/>
                <w:spacing w:val="-3"/>
                <w:u w:val="single"/>
              </w:rPr>
              <w:t>优质</w:t>
            </w:r>
          </w:p>
        </w:tc>
        <w:tc>
          <w:tcPr>
            <w:tcW w:w="316" w:type="pct"/>
            <w:shd w:val="clear" w:color="auto" w:fill="auto"/>
            <w:vAlign w:val="center"/>
          </w:tcPr>
          <w:p>
            <w:pPr>
              <w:jc w:val="center"/>
              <w:rPr>
                <w:b/>
                <w:bCs/>
                <w:color w:val="auto"/>
                <w:u w:val="single"/>
              </w:rPr>
            </w:pPr>
            <w:r>
              <w:rPr>
                <w:b/>
                <w:bCs/>
                <w:color w:val="auto"/>
                <w:u w:val="single"/>
              </w:rPr>
              <w:t>批</w:t>
            </w:r>
          </w:p>
        </w:tc>
        <w:tc>
          <w:tcPr>
            <w:tcW w:w="298" w:type="pct"/>
            <w:shd w:val="clear" w:color="auto" w:fill="auto"/>
            <w:vAlign w:val="center"/>
          </w:tcPr>
          <w:p>
            <w:pPr>
              <w:jc w:val="center"/>
              <w:rPr>
                <w:b/>
                <w:bCs/>
                <w:color w:val="auto"/>
                <w:u w:val="single"/>
              </w:rPr>
            </w:pPr>
            <w:r>
              <w:rPr>
                <w:b/>
                <w:bCs/>
                <w:color w:val="auto"/>
                <w:u w:val="single"/>
              </w:rPr>
              <w:t>1</w:t>
            </w:r>
          </w:p>
        </w:tc>
        <w:tc>
          <w:tcPr>
            <w:tcW w:w="557" w:type="pct"/>
            <w:shd w:val="clear" w:color="auto" w:fill="auto"/>
            <w:vAlign w:val="center"/>
          </w:tcPr>
          <w:p>
            <w:pPr>
              <w:jc w:val="center"/>
              <w:rPr>
                <w:b/>
                <w:bCs/>
                <w:color w:val="auto"/>
                <w:u w:val="single"/>
              </w:rPr>
            </w:pP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textAlignment w:val="auto"/>
        <w:rPr>
          <w:rFonts w:ascii="宋体" w:hAnsi="宋体"/>
          <w:b/>
          <w:bCs/>
          <w:color w:val="auto"/>
          <w:kern w:val="21"/>
          <w:sz w:val="24"/>
          <w:u w:val="single"/>
          <w:lang w:val="en-US"/>
        </w:rPr>
      </w:pPr>
      <w:r>
        <w:rPr>
          <w:rFonts w:hint="eastAsia" w:ascii="宋体" w:hAnsi="宋体"/>
          <w:b/>
          <w:bCs/>
          <w:color w:val="auto"/>
          <w:kern w:val="21"/>
          <w:sz w:val="24"/>
          <w:u w:val="single"/>
          <w:lang w:val="en-US"/>
        </w:rPr>
        <w:t>（3）地面废水预处理系统可行性分析及处理效率</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1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①</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氧化</w:t>
      </w:r>
    </w:p>
    <w:p>
      <w:pPr>
        <w:pStyle w:val="32"/>
        <w:adjustRightInd w:val="0"/>
        <w:snapToGrid w:val="0"/>
        <w:spacing w:after="0" w:line="360" w:lineRule="auto"/>
        <w:ind w:firstLine="482" w:firstLineChars="200"/>
        <w:rPr>
          <w:b/>
          <w:bCs/>
          <w:color w:val="auto"/>
          <w:kern w:val="0"/>
          <w:sz w:val="24"/>
          <w:u w:val="single"/>
        </w:rPr>
      </w:pPr>
      <w:r>
        <w:rPr>
          <w:b/>
          <w:bCs/>
          <w:color w:val="auto"/>
          <w:kern w:val="0"/>
          <w:sz w:val="24"/>
          <w:u w:val="single"/>
        </w:rPr>
        <w:t>通过硫酸控制pH值在2.5~3，投加类芬顿试剂，在氧化剂活化下可以氧化废</w:t>
      </w:r>
      <w:r>
        <w:rPr>
          <w:rFonts w:hint="eastAsia"/>
          <w:b/>
          <w:bCs/>
          <w:color w:val="auto"/>
          <w:kern w:val="0"/>
          <w:sz w:val="24"/>
          <w:u w:val="single"/>
        </w:rPr>
        <w:t>水</w:t>
      </w:r>
      <w:r>
        <w:rPr>
          <w:b/>
          <w:bCs/>
          <w:color w:val="auto"/>
          <w:kern w:val="0"/>
          <w:sz w:val="24"/>
          <w:u w:val="single"/>
        </w:rPr>
        <w:t>中的环氧树脂、醇类等难降解的有机物和络合物。</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2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②</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混凝沉淀</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混凝沉淀系统与含镍、含锌处理系统相同</w:t>
      </w:r>
      <w:r>
        <w:rPr>
          <w:rFonts w:hint="eastAsia" w:ascii="宋体" w:hAnsi="宋体"/>
          <w:b/>
          <w:bCs/>
          <w:color w:val="auto"/>
          <w:kern w:val="21"/>
          <w:sz w:val="24"/>
          <w:u w:val="single"/>
          <w:lang w:val="en-US" w:eastAsia="zh-CN"/>
        </w:rPr>
        <w:t>，</w:t>
      </w:r>
      <w:r>
        <w:rPr>
          <w:rFonts w:hint="eastAsia" w:ascii="宋体" w:hAnsi="宋体"/>
          <w:b/>
          <w:bCs/>
          <w:color w:val="auto"/>
          <w:kern w:val="21"/>
          <w:sz w:val="24"/>
          <w:u w:val="single"/>
          <w:lang w:val="en-US"/>
        </w:rPr>
        <w:t>此处不再赘述。</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ascii="宋体" w:hAnsi="宋体"/>
          <w:b/>
          <w:bCs/>
          <w:color w:val="auto"/>
          <w:kern w:val="21"/>
          <w:sz w:val="24"/>
          <w:u w:val="single"/>
          <w:lang w:val="en-US"/>
        </w:rPr>
        <w:fldChar w:fldCharType="begin"/>
      </w:r>
      <w:r>
        <w:rPr>
          <w:rFonts w:ascii="宋体" w:hAnsi="宋体"/>
          <w:b/>
          <w:bCs/>
          <w:color w:val="auto"/>
          <w:kern w:val="21"/>
          <w:sz w:val="24"/>
          <w:u w:val="single"/>
          <w:lang w:val="en-US"/>
        </w:rPr>
        <w:instrText xml:space="preserve"> </w:instrText>
      </w:r>
      <w:r>
        <w:rPr>
          <w:rFonts w:hint="eastAsia" w:ascii="宋体" w:hAnsi="宋体"/>
          <w:b/>
          <w:bCs/>
          <w:color w:val="auto"/>
          <w:kern w:val="21"/>
          <w:sz w:val="24"/>
          <w:u w:val="single"/>
          <w:lang w:val="en-US"/>
        </w:rPr>
        <w:instrText xml:space="preserve">= 3 \* GB3</w:instrText>
      </w:r>
      <w:r>
        <w:rPr>
          <w:rFonts w:ascii="宋体" w:hAnsi="宋体"/>
          <w:b/>
          <w:bCs/>
          <w:color w:val="auto"/>
          <w:kern w:val="21"/>
          <w:sz w:val="24"/>
          <w:u w:val="single"/>
          <w:lang w:val="en-US"/>
        </w:rPr>
        <w:instrText xml:space="preserve"> </w:instrText>
      </w:r>
      <w:r>
        <w:rPr>
          <w:rFonts w:ascii="宋体" w:hAnsi="宋体"/>
          <w:b/>
          <w:bCs/>
          <w:color w:val="auto"/>
          <w:kern w:val="21"/>
          <w:sz w:val="24"/>
          <w:u w:val="single"/>
          <w:lang w:val="en-US"/>
        </w:rPr>
        <w:fldChar w:fldCharType="separate"/>
      </w:r>
      <w:r>
        <w:rPr>
          <w:rFonts w:hint="eastAsia" w:ascii="宋体" w:hAnsi="宋体"/>
          <w:b/>
          <w:bCs/>
          <w:color w:val="auto"/>
          <w:kern w:val="21"/>
          <w:sz w:val="24"/>
          <w:u w:val="single"/>
          <w:lang w:val="en-US"/>
        </w:rPr>
        <w:t>③</w:t>
      </w:r>
      <w:r>
        <w:rPr>
          <w:rFonts w:ascii="宋体" w:hAnsi="宋体"/>
          <w:b/>
          <w:bCs/>
          <w:color w:val="auto"/>
          <w:kern w:val="21"/>
          <w:sz w:val="24"/>
          <w:u w:val="single"/>
          <w:lang w:val="en-US"/>
        </w:rPr>
        <w:fldChar w:fldCharType="end"/>
      </w:r>
      <w:r>
        <w:rPr>
          <w:rFonts w:ascii="宋体" w:hAnsi="宋体"/>
          <w:b/>
          <w:bCs/>
          <w:color w:val="auto"/>
          <w:kern w:val="21"/>
          <w:sz w:val="24"/>
          <w:u w:val="single"/>
          <w:lang w:val="en-US"/>
        </w:rPr>
        <w:t>多介质过滤</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多介质过滤系统与含镍、含锌处理系统相同，此处不再赘述。</w:t>
      </w:r>
    </w:p>
    <w:p>
      <w:pPr>
        <w:pStyle w:val="32"/>
        <w:adjustRightInd w:val="0"/>
        <w:snapToGrid w:val="0"/>
        <w:spacing w:after="0" w:line="360" w:lineRule="auto"/>
        <w:ind w:firstLine="482" w:firstLineChars="200"/>
        <w:jc w:val="center"/>
        <w:rPr>
          <w:rFonts w:ascii="宋体" w:hAnsi="宋体"/>
          <w:b/>
          <w:bCs/>
          <w:color w:val="auto"/>
          <w:kern w:val="21"/>
          <w:sz w:val="24"/>
          <w:u w:val="single"/>
        </w:rPr>
      </w:pPr>
      <w:r>
        <w:rPr>
          <w:rFonts w:hint="eastAsia" w:eastAsia="黑体"/>
          <w:b/>
          <w:bCs/>
          <w:color w:val="auto"/>
          <w:kern w:val="21"/>
          <w:sz w:val="24"/>
          <w:u w:val="single"/>
          <w:lang w:val="en-US"/>
        </w:rPr>
        <w:t>表7.2-8</w:t>
      </w:r>
      <w:r>
        <w:rPr>
          <w:rFonts w:eastAsia="黑体"/>
          <w:b/>
          <w:bCs/>
          <w:color w:val="auto"/>
          <w:kern w:val="21"/>
          <w:sz w:val="24"/>
          <w:u w:val="single"/>
          <w:lang w:val="en-US"/>
        </w:rPr>
        <w:t xml:space="preserve">   地面</w:t>
      </w:r>
      <w:r>
        <w:rPr>
          <w:rFonts w:hint="eastAsia" w:eastAsia="黑体"/>
          <w:b/>
          <w:bCs/>
          <w:color w:val="auto"/>
          <w:kern w:val="21"/>
          <w:sz w:val="24"/>
          <w:u w:val="single"/>
          <w:lang w:val="en-US"/>
        </w:rPr>
        <w:t>废水预处理系统处理效率</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052"/>
        <w:gridCol w:w="663"/>
        <w:gridCol w:w="695"/>
        <w:gridCol w:w="821"/>
        <w:gridCol w:w="794"/>
        <w:gridCol w:w="719"/>
        <w:gridCol w:w="695"/>
        <w:gridCol w:w="695"/>
        <w:gridCol w:w="695"/>
        <w:gridCol w:w="69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4" w:hRule="atLeast"/>
          <w:jc w:val="center"/>
        </w:trPr>
        <w:tc>
          <w:tcPr>
            <w:tcW w:w="1218" w:type="pct"/>
            <w:vMerge w:val="restart"/>
            <w:vAlign w:val="center"/>
          </w:tcPr>
          <w:p>
            <w:pPr>
              <w:jc w:val="center"/>
              <w:rPr>
                <w:b/>
                <w:bCs/>
                <w:color w:val="auto"/>
                <w:u w:val="single"/>
              </w:rPr>
            </w:pPr>
            <w:r>
              <w:rPr>
                <w:b/>
                <w:bCs/>
                <w:color w:val="auto"/>
                <w:u w:val="single"/>
              </w:rPr>
              <w:t>项目</w:t>
            </w:r>
          </w:p>
        </w:tc>
        <w:tc>
          <w:tcPr>
            <w:tcW w:w="404" w:type="pct"/>
            <w:vAlign w:val="center"/>
          </w:tcPr>
          <w:p>
            <w:pPr>
              <w:jc w:val="center"/>
              <w:rPr>
                <w:b/>
                <w:bCs/>
                <w:color w:val="auto"/>
                <w:u w:val="single"/>
              </w:rPr>
            </w:pPr>
            <w:r>
              <w:rPr>
                <w:b/>
                <w:bCs/>
                <w:color w:val="auto"/>
                <w:u w:val="single"/>
              </w:rPr>
              <w:t>水量</w:t>
            </w:r>
          </w:p>
        </w:tc>
        <w:tc>
          <w:tcPr>
            <w:tcW w:w="411" w:type="pct"/>
            <w:vAlign w:val="center"/>
          </w:tcPr>
          <w:p>
            <w:pPr>
              <w:jc w:val="center"/>
              <w:rPr>
                <w:b/>
                <w:bCs/>
                <w:color w:val="auto"/>
                <w:u w:val="single"/>
                <w:vertAlign w:val="superscript"/>
              </w:rPr>
            </w:pPr>
            <w:r>
              <w:rPr>
                <w:b/>
                <w:bCs/>
                <w:color w:val="auto"/>
                <w:kern w:val="21"/>
                <w:u w:val="single"/>
              </w:rPr>
              <w:t>COD</w:t>
            </w:r>
          </w:p>
        </w:tc>
        <w:tc>
          <w:tcPr>
            <w:tcW w:w="474" w:type="pct"/>
            <w:vAlign w:val="center"/>
          </w:tcPr>
          <w:p>
            <w:pPr>
              <w:jc w:val="center"/>
              <w:rPr>
                <w:b/>
                <w:bCs/>
                <w:color w:val="auto"/>
                <w:u w:val="single"/>
              </w:rPr>
            </w:pPr>
            <w:r>
              <w:rPr>
                <w:b/>
                <w:bCs/>
                <w:color w:val="auto"/>
                <w:kern w:val="21"/>
                <w:u w:val="single"/>
              </w:rPr>
              <w:t>NH</w:t>
            </w:r>
            <w:r>
              <w:rPr>
                <w:b/>
                <w:bCs/>
                <w:color w:val="auto"/>
                <w:kern w:val="21"/>
                <w:u w:val="single"/>
                <w:vertAlign w:val="subscript"/>
              </w:rPr>
              <w:t>3</w:t>
            </w:r>
            <w:r>
              <w:rPr>
                <w:b/>
                <w:bCs/>
                <w:color w:val="auto"/>
                <w:kern w:val="21"/>
                <w:u w:val="single"/>
              </w:rPr>
              <w:t>-N</w:t>
            </w:r>
          </w:p>
        </w:tc>
        <w:tc>
          <w:tcPr>
            <w:tcW w:w="445" w:type="pct"/>
            <w:vAlign w:val="center"/>
          </w:tcPr>
          <w:p>
            <w:pPr>
              <w:jc w:val="center"/>
              <w:rPr>
                <w:b/>
                <w:bCs/>
                <w:color w:val="auto"/>
                <w:u w:val="single"/>
              </w:rPr>
            </w:pPr>
            <w:r>
              <w:rPr>
                <w:b/>
                <w:bCs/>
                <w:color w:val="auto"/>
                <w:kern w:val="21"/>
                <w:u w:val="single"/>
              </w:rPr>
              <w:t>SS</w:t>
            </w:r>
          </w:p>
        </w:tc>
        <w:tc>
          <w:tcPr>
            <w:tcW w:w="447" w:type="pct"/>
            <w:tcBorders>
              <w:right w:val="single" w:color="auto" w:sz="4" w:space="0"/>
            </w:tcBorders>
            <w:vAlign w:val="center"/>
          </w:tcPr>
          <w:p>
            <w:pPr>
              <w:jc w:val="center"/>
              <w:rPr>
                <w:b/>
                <w:bCs/>
                <w:color w:val="auto"/>
                <w:kern w:val="21"/>
                <w:u w:val="single"/>
              </w:rPr>
            </w:pPr>
            <w:r>
              <w:rPr>
                <w:b/>
                <w:bCs/>
                <w:color w:val="auto"/>
                <w:kern w:val="21"/>
                <w:u w:val="single"/>
              </w:rPr>
              <w:t>石油类</w:t>
            </w:r>
          </w:p>
        </w:tc>
        <w:tc>
          <w:tcPr>
            <w:tcW w:w="393" w:type="pct"/>
            <w:tcBorders>
              <w:left w:val="single" w:color="auto" w:sz="4" w:space="0"/>
            </w:tcBorders>
            <w:vAlign w:val="center"/>
          </w:tcPr>
          <w:p>
            <w:pPr>
              <w:jc w:val="center"/>
              <w:rPr>
                <w:b/>
                <w:bCs/>
                <w:color w:val="auto"/>
                <w:u w:val="single"/>
                <w:vertAlign w:val="superscript"/>
              </w:rPr>
            </w:pPr>
            <w:r>
              <w:rPr>
                <w:b/>
                <w:bCs/>
                <w:color w:val="auto"/>
                <w:kern w:val="21"/>
                <w:u w:val="single"/>
              </w:rPr>
              <w:t>总镍</w:t>
            </w:r>
          </w:p>
        </w:tc>
        <w:tc>
          <w:tcPr>
            <w:tcW w:w="393" w:type="pct"/>
            <w:vAlign w:val="center"/>
          </w:tcPr>
          <w:p>
            <w:pPr>
              <w:jc w:val="center"/>
              <w:rPr>
                <w:b/>
                <w:bCs/>
                <w:color w:val="auto"/>
                <w:kern w:val="21"/>
                <w:u w:val="single"/>
              </w:rPr>
            </w:pPr>
            <w:r>
              <w:rPr>
                <w:b/>
                <w:bCs/>
                <w:color w:val="auto"/>
                <w:kern w:val="21"/>
                <w:u w:val="single"/>
              </w:rPr>
              <w:t>总锌</w:t>
            </w:r>
          </w:p>
        </w:tc>
        <w:tc>
          <w:tcPr>
            <w:tcW w:w="393" w:type="pct"/>
            <w:vAlign w:val="center"/>
          </w:tcPr>
          <w:p>
            <w:pPr>
              <w:jc w:val="center"/>
              <w:rPr>
                <w:b/>
                <w:bCs/>
                <w:color w:val="auto"/>
                <w:kern w:val="21"/>
                <w:u w:val="single"/>
              </w:rPr>
            </w:pPr>
            <w:r>
              <w:rPr>
                <w:b/>
                <w:bCs/>
                <w:color w:val="auto"/>
                <w:kern w:val="21"/>
                <w:u w:val="single"/>
              </w:rPr>
              <w:t>六价铬</w:t>
            </w:r>
          </w:p>
        </w:tc>
        <w:tc>
          <w:tcPr>
            <w:tcW w:w="418" w:type="pct"/>
            <w:vAlign w:val="center"/>
          </w:tcPr>
          <w:p>
            <w:pPr>
              <w:jc w:val="center"/>
              <w:rPr>
                <w:b/>
                <w:bCs/>
                <w:color w:val="auto"/>
                <w:kern w:val="21"/>
                <w:u w:val="single"/>
              </w:rPr>
            </w:pPr>
            <w:r>
              <w:rPr>
                <w:b/>
                <w:bCs/>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5" w:hRule="atLeast"/>
          <w:jc w:val="center"/>
        </w:trPr>
        <w:tc>
          <w:tcPr>
            <w:tcW w:w="1218" w:type="pct"/>
            <w:vMerge w:val="continue"/>
            <w:vAlign w:val="center"/>
          </w:tcPr>
          <w:p>
            <w:pPr>
              <w:jc w:val="center"/>
              <w:rPr>
                <w:b/>
                <w:bCs/>
                <w:color w:val="auto"/>
                <w:u w:val="single"/>
              </w:rPr>
            </w:pPr>
          </w:p>
        </w:tc>
        <w:tc>
          <w:tcPr>
            <w:tcW w:w="404" w:type="pct"/>
            <w:vAlign w:val="center"/>
          </w:tcPr>
          <w:p>
            <w:pPr>
              <w:jc w:val="center"/>
              <w:rPr>
                <w:b/>
                <w:bCs/>
                <w:color w:val="auto"/>
                <w:u w:val="single"/>
              </w:rPr>
            </w:pPr>
            <w:r>
              <w:rPr>
                <w:b/>
                <w:bCs/>
                <w:color w:val="auto"/>
                <w:u w:val="single"/>
              </w:rPr>
              <w:t>m</w:t>
            </w:r>
            <w:r>
              <w:rPr>
                <w:b/>
                <w:bCs/>
                <w:color w:val="auto"/>
                <w:u w:val="single"/>
                <w:vertAlign w:val="superscript"/>
              </w:rPr>
              <w:t>3</w:t>
            </w:r>
            <w:r>
              <w:rPr>
                <w:b/>
                <w:bCs/>
                <w:color w:val="auto"/>
                <w:u w:val="single"/>
              </w:rPr>
              <w:t>/d</w:t>
            </w:r>
          </w:p>
        </w:tc>
        <w:tc>
          <w:tcPr>
            <w:tcW w:w="411" w:type="pct"/>
            <w:vAlign w:val="center"/>
          </w:tcPr>
          <w:p>
            <w:pPr>
              <w:jc w:val="center"/>
              <w:rPr>
                <w:b/>
                <w:bCs/>
                <w:color w:val="auto"/>
                <w:u w:val="single"/>
              </w:rPr>
            </w:pPr>
            <w:r>
              <w:rPr>
                <w:b/>
                <w:bCs/>
                <w:color w:val="auto"/>
                <w:u w:val="single"/>
              </w:rPr>
              <w:t>mg/L</w:t>
            </w:r>
          </w:p>
        </w:tc>
        <w:tc>
          <w:tcPr>
            <w:tcW w:w="474" w:type="pct"/>
            <w:vAlign w:val="center"/>
          </w:tcPr>
          <w:p>
            <w:pPr>
              <w:jc w:val="center"/>
              <w:rPr>
                <w:b/>
                <w:bCs/>
                <w:color w:val="auto"/>
                <w:u w:val="single"/>
              </w:rPr>
            </w:pPr>
            <w:r>
              <w:rPr>
                <w:b/>
                <w:bCs/>
                <w:color w:val="auto"/>
                <w:u w:val="single"/>
              </w:rPr>
              <w:t>mg/L</w:t>
            </w:r>
          </w:p>
        </w:tc>
        <w:tc>
          <w:tcPr>
            <w:tcW w:w="445" w:type="pct"/>
            <w:vAlign w:val="center"/>
          </w:tcPr>
          <w:p>
            <w:pPr>
              <w:jc w:val="center"/>
              <w:rPr>
                <w:b/>
                <w:bCs/>
                <w:color w:val="auto"/>
                <w:u w:val="single"/>
              </w:rPr>
            </w:pPr>
            <w:r>
              <w:rPr>
                <w:b/>
                <w:bCs/>
                <w:color w:val="auto"/>
                <w:u w:val="single"/>
              </w:rPr>
              <w:t>mg/L</w:t>
            </w:r>
          </w:p>
        </w:tc>
        <w:tc>
          <w:tcPr>
            <w:tcW w:w="447" w:type="pct"/>
            <w:tcBorders>
              <w:right w:val="single" w:color="auto" w:sz="4" w:space="0"/>
            </w:tcBorders>
            <w:vAlign w:val="center"/>
          </w:tcPr>
          <w:p>
            <w:pPr>
              <w:jc w:val="center"/>
              <w:rPr>
                <w:b/>
                <w:bCs/>
                <w:color w:val="auto"/>
                <w:kern w:val="21"/>
                <w:u w:val="single"/>
              </w:rPr>
            </w:pPr>
            <w:r>
              <w:rPr>
                <w:b/>
                <w:bCs/>
                <w:color w:val="auto"/>
                <w:kern w:val="21"/>
                <w:u w:val="single"/>
              </w:rPr>
              <w:t>mg/L</w:t>
            </w:r>
          </w:p>
        </w:tc>
        <w:tc>
          <w:tcPr>
            <w:tcW w:w="393" w:type="pct"/>
            <w:tcBorders>
              <w:left w:val="single" w:color="auto" w:sz="4" w:space="0"/>
            </w:tcBorders>
            <w:vAlign w:val="center"/>
          </w:tcPr>
          <w:p>
            <w:pPr>
              <w:jc w:val="center"/>
              <w:rPr>
                <w:b/>
                <w:bCs/>
                <w:color w:val="auto"/>
                <w:u w:val="single"/>
                <w:vertAlign w:val="superscript"/>
              </w:rPr>
            </w:pPr>
            <w:r>
              <w:rPr>
                <w:b/>
                <w:bCs/>
                <w:color w:val="auto"/>
                <w:u w:val="single"/>
              </w:rPr>
              <w:t>mg/L</w:t>
            </w:r>
          </w:p>
        </w:tc>
        <w:tc>
          <w:tcPr>
            <w:tcW w:w="393" w:type="pct"/>
            <w:vAlign w:val="center"/>
          </w:tcPr>
          <w:p>
            <w:pPr>
              <w:jc w:val="center"/>
              <w:rPr>
                <w:b/>
                <w:bCs/>
                <w:color w:val="auto"/>
                <w:u w:val="single"/>
              </w:rPr>
            </w:pPr>
            <w:r>
              <w:rPr>
                <w:b/>
                <w:bCs/>
                <w:color w:val="auto"/>
                <w:u w:val="single"/>
              </w:rPr>
              <w:t>mg/L</w:t>
            </w:r>
          </w:p>
        </w:tc>
        <w:tc>
          <w:tcPr>
            <w:tcW w:w="393" w:type="pct"/>
            <w:vAlign w:val="center"/>
          </w:tcPr>
          <w:p>
            <w:pPr>
              <w:jc w:val="center"/>
              <w:rPr>
                <w:b/>
                <w:bCs/>
                <w:color w:val="auto"/>
                <w:u w:val="single"/>
              </w:rPr>
            </w:pPr>
            <w:r>
              <w:rPr>
                <w:b/>
                <w:bCs/>
                <w:color w:val="auto"/>
                <w:u w:val="single"/>
              </w:rPr>
              <w:t>mg/L</w:t>
            </w:r>
          </w:p>
        </w:tc>
        <w:tc>
          <w:tcPr>
            <w:tcW w:w="418" w:type="pct"/>
            <w:vAlign w:val="center"/>
          </w:tcPr>
          <w:p>
            <w:pPr>
              <w:jc w:val="center"/>
              <w:rPr>
                <w:b/>
                <w:bCs/>
                <w:color w:val="auto"/>
                <w:u w:val="single"/>
              </w:rPr>
            </w:pPr>
            <w:r>
              <w:rPr>
                <w:b/>
                <w:bCs/>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1218" w:type="pct"/>
            <w:vAlign w:val="center"/>
          </w:tcPr>
          <w:p>
            <w:pPr>
              <w:jc w:val="center"/>
              <w:rPr>
                <w:b/>
                <w:bCs/>
                <w:color w:val="auto"/>
                <w:u w:val="single"/>
              </w:rPr>
            </w:pPr>
            <w:r>
              <w:rPr>
                <w:rFonts w:hint="eastAsia"/>
                <w:b/>
                <w:bCs/>
                <w:color w:val="auto"/>
                <w:u w:val="single"/>
              </w:rPr>
              <w:t>地面废水</w:t>
            </w:r>
          </w:p>
        </w:tc>
        <w:tc>
          <w:tcPr>
            <w:tcW w:w="404" w:type="pct"/>
            <w:vAlign w:val="center"/>
          </w:tcPr>
          <w:p>
            <w:pPr>
              <w:jc w:val="center"/>
              <w:rPr>
                <w:b/>
                <w:bCs/>
                <w:color w:val="auto"/>
                <w:u w:val="single"/>
              </w:rPr>
            </w:pPr>
            <w:r>
              <w:rPr>
                <w:rFonts w:hint="eastAsia"/>
                <w:b/>
                <w:bCs/>
                <w:color w:val="auto"/>
                <w:u w:val="single"/>
              </w:rPr>
              <w:t>0.99</w:t>
            </w:r>
          </w:p>
        </w:tc>
        <w:tc>
          <w:tcPr>
            <w:tcW w:w="411" w:type="pct"/>
            <w:vAlign w:val="center"/>
          </w:tcPr>
          <w:p>
            <w:pPr>
              <w:jc w:val="center"/>
              <w:rPr>
                <w:b/>
                <w:bCs/>
                <w:color w:val="auto"/>
                <w:u w:val="single"/>
              </w:rPr>
            </w:pPr>
            <w:r>
              <w:rPr>
                <w:rFonts w:hint="eastAsia"/>
                <w:b/>
                <w:bCs/>
                <w:color w:val="auto"/>
                <w:u w:val="single"/>
              </w:rPr>
              <w:t>150</w:t>
            </w:r>
          </w:p>
        </w:tc>
        <w:tc>
          <w:tcPr>
            <w:tcW w:w="474" w:type="pct"/>
            <w:vAlign w:val="center"/>
          </w:tcPr>
          <w:p>
            <w:pPr>
              <w:jc w:val="center"/>
              <w:rPr>
                <w:b/>
                <w:bCs/>
                <w:color w:val="auto"/>
                <w:u w:val="single"/>
              </w:rPr>
            </w:pPr>
            <w:r>
              <w:rPr>
                <w:rFonts w:hint="eastAsia"/>
                <w:b/>
                <w:bCs/>
                <w:color w:val="auto"/>
                <w:u w:val="single"/>
              </w:rPr>
              <w:t>10</w:t>
            </w:r>
          </w:p>
        </w:tc>
        <w:tc>
          <w:tcPr>
            <w:tcW w:w="445" w:type="pct"/>
            <w:vAlign w:val="center"/>
          </w:tcPr>
          <w:p>
            <w:pPr>
              <w:jc w:val="center"/>
              <w:rPr>
                <w:b/>
                <w:bCs/>
                <w:color w:val="auto"/>
                <w:u w:val="single"/>
              </w:rPr>
            </w:pPr>
            <w:r>
              <w:rPr>
                <w:rFonts w:hint="eastAsia"/>
                <w:b/>
                <w:bCs/>
                <w:color w:val="auto"/>
                <w:u w:val="single"/>
              </w:rPr>
              <w:t>200</w:t>
            </w:r>
          </w:p>
        </w:tc>
        <w:tc>
          <w:tcPr>
            <w:tcW w:w="447"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93" w:type="pct"/>
            <w:tcBorders>
              <w:left w:val="single" w:color="auto" w:sz="4" w:space="0"/>
            </w:tcBorders>
            <w:vAlign w:val="center"/>
          </w:tcPr>
          <w:p>
            <w:pPr>
              <w:jc w:val="center"/>
              <w:rPr>
                <w:b/>
                <w:bCs/>
                <w:color w:val="auto"/>
                <w:u w:val="single"/>
              </w:rPr>
            </w:pPr>
            <w:r>
              <w:rPr>
                <w:rFonts w:hint="eastAsia"/>
                <w:b/>
                <w:bCs/>
                <w:color w:val="auto"/>
                <w:u w:val="single"/>
              </w:rPr>
              <w:t>2.5</w:t>
            </w:r>
          </w:p>
        </w:tc>
        <w:tc>
          <w:tcPr>
            <w:tcW w:w="393" w:type="pct"/>
            <w:vAlign w:val="center"/>
          </w:tcPr>
          <w:p>
            <w:pPr>
              <w:jc w:val="center"/>
              <w:rPr>
                <w:b/>
                <w:bCs/>
                <w:color w:val="auto"/>
                <w:u w:val="single"/>
              </w:rPr>
            </w:pPr>
            <w:r>
              <w:rPr>
                <w:rFonts w:hint="eastAsia"/>
                <w:b/>
                <w:bCs/>
                <w:color w:val="auto"/>
                <w:u w:val="single"/>
              </w:rPr>
              <w:t>1</w:t>
            </w:r>
          </w:p>
        </w:tc>
        <w:tc>
          <w:tcPr>
            <w:tcW w:w="393" w:type="pct"/>
            <w:vAlign w:val="center"/>
          </w:tcPr>
          <w:p>
            <w:pPr>
              <w:jc w:val="center"/>
              <w:rPr>
                <w:b/>
                <w:bCs/>
                <w:color w:val="auto"/>
                <w:u w:val="single"/>
              </w:rPr>
            </w:pPr>
            <w:r>
              <w:rPr>
                <w:rFonts w:hint="eastAsia"/>
                <w:b/>
                <w:bCs/>
                <w:color w:val="auto"/>
                <w:u w:val="single"/>
              </w:rPr>
              <w:t>5</w:t>
            </w:r>
          </w:p>
        </w:tc>
        <w:tc>
          <w:tcPr>
            <w:tcW w:w="418" w:type="pct"/>
            <w:vAlign w:val="center"/>
          </w:tcPr>
          <w:p>
            <w:pPr>
              <w:jc w:val="center"/>
              <w:rPr>
                <w:b/>
                <w:bCs/>
                <w:color w:val="auto"/>
                <w:u w:val="single"/>
              </w:rPr>
            </w:pPr>
            <w:r>
              <w:rPr>
                <w:rFonts w:hint="eastAsia"/>
                <w:b/>
                <w:bCs/>
                <w:color w:val="auto"/>
                <w:u w:val="single"/>
              </w:rPr>
              <w:t>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60" w:hRule="atLeast"/>
          <w:jc w:val="center"/>
        </w:trPr>
        <w:tc>
          <w:tcPr>
            <w:tcW w:w="1218" w:type="pct"/>
            <w:vAlign w:val="center"/>
          </w:tcPr>
          <w:p>
            <w:pPr>
              <w:jc w:val="center"/>
              <w:rPr>
                <w:b/>
                <w:bCs/>
                <w:color w:val="auto"/>
                <w:u w:val="single"/>
              </w:rPr>
            </w:pPr>
            <w:r>
              <w:rPr>
                <w:rFonts w:hint="eastAsia"/>
                <w:b/>
                <w:bCs/>
                <w:color w:val="auto"/>
                <w:u w:val="single"/>
              </w:rPr>
              <w:t>去除率</w:t>
            </w:r>
          </w:p>
        </w:tc>
        <w:tc>
          <w:tcPr>
            <w:tcW w:w="404" w:type="pct"/>
            <w:vAlign w:val="center"/>
          </w:tcPr>
          <w:p>
            <w:pPr>
              <w:jc w:val="center"/>
              <w:rPr>
                <w:b/>
                <w:bCs/>
                <w:color w:val="auto"/>
                <w:u w:val="single"/>
              </w:rPr>
            </w:pPr>
          </w:p>
        </w:tc>
        <w:tc>
          <w:tcPr>
            <w:tcW w:w="411" w:type="pct"/>
            <w:vAlign w:val="center"/>
          </w:tcPr>
          <w:p>
            <w:pPr>
              <w:jc w:val="center"/>
              <w:rPr>
                <w:b/>
                <w:bCs/>
                <w:color w:val="auto"/>
                <w:u w:val="single"/>
              </w:rPr>
            </w:pPr>
            <w:r>
              <w:rPr>
                <w:rFonts w:hint="eastAsia"/>
                <w:b/>
                <w:bCs/>
                <w:color w:val="auto"/>
                <w:u w:val="single"/>
              </w:rPr>
              <w:t>/</w:t>
            </w:r>
          </w:p>
        </w:tc>
        <w:tc>
          <w:tcPr>
            <w:tcW w:w="474" w:type="pct"/>
            <w:vAlign w:val="center"/>
          </w:tcPr>
          <w:p>
            <w:pPr>
              <w:jc w:val="center"/>
              <w:rPr>
                <w:b/>
                <w:bCs/>
                <w:color w:val="auto"/>
                <w:u w:val="single"/>
              </w:rPr>
            </w:pPr>
            <w:r>
              <w:rPr>
                <w:rFonts w:hint="eastAsia"/>
                <w:b/>
                <w:bCs/>
                <w:color w:val="auto"/>
                <w:u w:val="single"/>
              </w:rPr>
              <w:t>/</w:t>
            </w:r>
          </w:p>
        </w:tc>
        <w:tc>
          <w:tcPr>
            <w:tcW w:w="445" w:type="pct"/>
            <w:vAlign w:val="center"/>
          </w:tcPr>
          <w:p>
            <w:pPr>
              <w:jc w:val="center"/>
              <w:rPr>
                <w:b/>
                <w:bCs/>
                <w:color w:val="auto"/>
                <w:u w:val="single"/>
              </w:rPr>
            </w:pPr>
            <w:r>
              <w:rPr>
                <w:rFonts w:hint="eastAsia"/>
                <w:b/>
                <w:bCs/>
                <w:color w:val="auto"/>
                <w:u w:val="single"/>
              </w:rPr>
              <w:t>96.7%</w:t>
            </w:r>
          </w:p>
        </w:tc>
        <w:tc>
          <w:tcPr>
            <w:tcW w:w="447"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93" w:type="pct"/>
            <w:tcBorders>
              <w:left w:val="single" w:color="auto" w:sz="4" w:space="0"/>
            </w:tcBorders>
            <w:vAlign w:val="center"/>
          </w:tcPr>
          <w:p>
            <w:pPr>
              <w:jc w:val="center"/>
              <w:rPr>
                <w:b/>
                <w:bCs/>
                <w:color w:val="auto"/>
                <w:u w:val="single"/>
              </w:rPr>
            </w:pPr>
            <w:r>
              <w:rPr>
                <w:rFonts w:hint="eastAsia"/>
                <w:b/>
                <w:bCs/>
                <w:color w:val="auto"/>
                <w:u w:val="single"/>
              </w:rPr>
              <w:t>96</w:t>
            </w:r>
          </w:p>
        </w:tc>
        <w:tc>
          <w:tcPr>
            <w:tcW w:w="393" w:type="pct"/>
            <w:vAlign w:val="center"/>
          </w:tcPr>
          <w:p>
            <w:pPr>
              <w:jc w:val="center"/>
              <w:rPr>
                <w:b/>
                <w:bCs/>
                <w:color w:val="auto"/>
                <w:u w:val="single"/>
              </w:rPr>
            </w:pPr>
            <w:r>
              <w:rPr>
                <w:rFonts w:hint="eastAsia"/>
                <w:b/>
                <w:bCs/>
                <w:color w:val="auto"/>
                <w:u w:val="single"/>
              </w:rPr>
              <w:t>92</w:t>
            </w:r>
          </w:p>
        </w:tc>
        <w:tc>
          <w:tcPr>
            <w:tcW w:w="393" w:type="pct"/>
            <w:vAlign w:val="center"/>
          </w:tcPr>
          <w:p>
            <w:pPr>
              <w:jc w:val="center"/>
              <w:rPr>
                <w:b/>
                <w:bCs/>
                <w:color w:val="auto"/>
                <w:u w:val="single"/>
              </w:rPr>
            </w:pPr>
            <w:r>
              <w:rPr>
                <w:rFonts w:hint="eastAsia"/>
                <w:b/>
                <w:bCs/>
                <w:color w:val="auto"/>
                <w:u w:val="single"/>
              </w:rPr>
              <w:t>98</w:t>
            </w:r>
          </w:p>
        </w:tc>
        <w:tc>
          <w:tcPr>
            <w:tcW w:w="418" w:type="pct"/>
            <w:vAlign w:val="center"/>
          </w:tcPr>
          <w:p>
            <w:pPr>
              <w:jc w:val="center"/>
              <w:rPr>
                <w:b/>
                <w:bCs/>
                <w:color w:val="auto"/>
                <w:u w:val="single"/>
              </w:rPr>
            </w:pPr>
            <w:r>
              <w:rPr>
                <w:rFonts w:hint="eastAsia"/>
                <w:b/>
                <w:bCs/>
                <w:color w:val="auto"/>
                <w:u w:val="single"/>
              </w:rPr>
              <w:t>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94" w:hRule="atLeast"/>
          <w:jc w:val="center"/>
        </w:trPr>
        <w:tc>
          <w:tcPr>
            <w:tcW w:w="1218" w:type="pct"/>
            <w:vAlign w:val="center"/>
          </w:tcPr>
          <w:p>
            <w:pPr>
              <w:jc w:val="center"/>
              <w:rPr>
                <w:b/>
                <w:bCs/>
                <w:color w:val="auto"/>
                <w:u w:val="single"/>
              </w:rPr>
            </w:pPr>
            <w:r>
              <w:rPr>
                <w:rFonts w:hint="eastAsia"/>
                <w:b/>
                <w:bCs/>
                <w:color w:val="auto"/>
                <w:u w:val="single"/>
              </w:rPr>
              <w:t>地面废水预处理（氧化+混凝+还原+混凝+多介质过滤器）出水</w:t>
            </w:r>
          </w:p>
        </w:tc>
        <w:tc>
          <w:tcPr>
            <w:tcW w:w="404" w:type="pct"/>
            <w:vAlign w:val="center"/>
          </w:tcPr>
          <w:p>
            <w:pPr>
              <w:jc w:val="center"/>
              <w:rPr>
                <w:b/>
                <w:bCs/>
                <w:color w:val="auto"/>
                <w:u w:val="single"/>
              </w:rPr>
            </w:pPr>
            <w:r>
              <w:rPr>
                <w:rFonts w:hint="eastAsia"/>
                <w:b/>
                <w:bCs/>
                <w:color w:val="auto"/>
                <w:u w:val="single"/>
              </w:rPr>
              <w:t>0.99</w:t>
            </w:r>
          </w:p>
        </w:tc>
        <w:tc>
          <w:tcPr>
            <w:tcW w:w="411" w:type="pct"/>
            <w:vAlign w:val="center"/>
          </w:tcPr>
          <w:p>
            <w:pPr>
              <w:jc w:val="center"/>
              <w:rPr>
                <w:b/>
                <w:bCs/>
                <w:color w:val="auto"/>
                <w:u w:val="single"/>
              </w:rPr>
            </w:pPr>
            <w:r>
              <w:rPr>
                <w:rFonts w:hint="eastAsia"/>
                <w:b/>
                <w:bCs/>
                <w:color w:val="auto"/>
                <w:u w:val="single"/>
              </w:rPr>
              <w:t>150</w:t>
            </w:r>
          </w:p>
        </w:tc>
        <w:tc>
          <w:tcPr>
            <w:tcW w:w="474" w:type="pct"/>
            <w:vAlign w:val="center"/>
          </w:tcPr>
          <w:p>
            <w:pPr>
              <w:jc w:val="center"/>
              <w:rPr>
                <w:b/>
                <w:bCs/>
                <w:color w:val="auto"/>
                <w:u w:val="single"/>
              </w:rPr>
            </w:pPr>
            <w:r>
              <w:rPr>
                <w:rFonts w:hint="eastAsia"/>
                <w:b/>
                <w:bCs/>
                <w:color w:val="auto"/>
                <w:u w:val="single"/>
              </w:rPr>
              <w:t>10</w:t>
            </w:r>
          </w:p>
        </w:tc>
        <w:tc>
          <w:tcPr>
            <w:tcW w:w="445" w:type="pct"/>
            <w:vAlign w:val="center"/>
          </w:tcPr>
          <w:p>
            <w:pPr>
              <w:jc w:val="center"/>
              <w:rPr>
                <w:b/>
                <w:bCs/>
                <w:color w:val="auto"/>
                <w:u w:val="single"/>
              </w:rPr>
            </w:pPr>
            <w:r>
              <w:rPr>
                <w:rFonts w:hint="eastAsia"/>
                <w:b/>
                <w:bCs/>
                <w:color w:val="auto"/>
                <w:u w:val="single"/>
              </w:rPr>
              <w:t>6.6</w:t>
            </w:r>
          </w:p>
        </w:tc>
        <w:tc>
          <w:tcPr>
            <w:tcW w:w="447" w:type="pct"/>
            <w:tcBorders>
              <w:right w:val="single" w:color="auto" w:sz="4" w:space="0"/>
            </w:tcBorders>
            <w:vAlign w:val="center"/>
          </w:tcPr>
          <w:p>
            <w:pPr>
              <w:jc w:val="center"/>
              <w:rPr>
                <w:b/>
                <w:bCs/>
                <w:color w:val="auto"/>
                <w:u w:val="single"/>
              </w:rPr>
            </w:pPr>
            <w:r>
              <w:rPr>
                <w:rFonts w:hint="eastAsia"/>
                <w:b/>
                <w:bCs/>
                <w:color w:val="auto"/>
                <w:u w:val="single"/>
              </w:rPr>
              <w:t>/</w:t>
            </w:r>
          </w:p>
        </w:tc>
        <w:tc>
          <w:tcPr>
            <w:tcW w:w="393" w:type="pct"/>
            <w:tcBorders>
              <w:left w:val="single" w:color="auto" w:sz="4" w:space="0"/>
            </w:tcBorders>
            <w:vAlign w:val="center"/>
          </w:tcPr>
          <w:p>
            <w:pPr>
              <w:jc w:val="center"/>
              <w:rPr>
                <w:b/>
                <w:bCs/>
                <w:color w:val="auto"/>
                <w:u w:val="single"/>
              </w:rPr>
            </w:pPr>
            <w:r>
              <w:rPr>
                <w:rFonts w:hint="eastAsia"/>
                <w:b/>
                <w:bCs/>
                <w:color w:val="auto"/>
                <w:u w:val="single"/>
              </w:rPr>
              <w:t>0.1</w:t>
            </w:r>
          </w:p>
        </w:tc>
        <w:tc>
          <w:tcPr>
            <w:tcW w:w="393" w:type="pct"/>
            <w:vAlign w:val="center"/>
          </w:tcPr>
          <w:p>
            <w:pPr>
              <w:jc w:val="center"/>
              <w:rPr>
                <w:b/>
                <w:bCs/>
                <w:color w:val="auto"/>
                <w:u w:val="single"/>
              </w:rPr>
            </w:pPr>
            <w:r>
              <w:rPr>
                <w:rFonts w:hint="eastAsia"/>
                <w:b/>
                <w:bCs/>
                <w:color w:val="auto"/>
                <w:u w:val="single"/>
              </w:rPr>
              <w:t>0.08</w:t>
            </w:r>
          </w:p>
        </w:tc>
        <w:tc>
          <w:tcPr>
            <w:tcW w:w="393" w:type="pct"/>
            <w:vAlign w:val="center"/>
          </w:tcPr>
          <w:p>
            <w:pPr>
              <w:jc w:val="center"/>
              <w:rPr>
                <w:b/>
                <w:bCs/>
                <w:color w:val="auto"/>
                <w:u w:val="single"/>
              </w:rPr>
            </w:pPr>
            <w:r>
              <w:rPr>
                <w:rFonts w:hint="eastAsia"/>
                <w:b/>
                <w:bCs/>
                <w:color w:val="auto"/>
                <w:u w:val="single"/>
              </w:rPr>
              <w:t>0.1</w:t>
            </w:r>
          </w:p>
        </w:tc>
        <w:tc>
          <w:tcPr>
            <w:tcW w:w="418" w:type="pct"/>
            <w:vAlign w:val="center"/>
          </w:tcPr>
          <w:p>
            <w:pPr>
              <w:jc w:val="center"/>
              <w:rPr>
                <w:b/>
                <w:bCs/>
                <w:color w:val="auto"/>
                <w:u w:val="single"/>
              </w:rPr>
            </w:pPr>
            <w:r>
              <w:rPr>
                <w:rFonts w:hint="eastAsia"/>
                <w:b/>
                <w:bCs/>
                <w:color w:val="auto"/>
                <w:u w:val="single"/>
              </w:rPr>
              <w:t>0.6</w:t>
            </w:r>
          </w:p>
        </w:tc>
      </w:tr>
    </w:tbl>
    <w:p>
      <w:pPr>
        <w:pStyle w:val="32"/>
        <w:adjustRightInd w:val="0"/>
        <w:snapToGrid w:val="0"/>
        <w:spacing w:before="120" w:beforeLines="50" w:after="0" w:line="360" w:lineRule="auto"/>
        <w:ind w:firstLine="482" w:firstLineChars="200"/>
        <w:rPr>
          <w:rFonts w:ascii="宋体" w:hAnsi="宋体"/>
          <w:b/>
          <w:bCs/>
          <w:color w:val="auto"/>
          <w:sz w:val="24"/>
          <w:u w:val="single"/>
        </w:rPr>
      </w:pPr>
      <w:r>
        <w:rPr>
          <w:rFonts w:hint="eastAsia" w:ascii="宋体" w:hAnsi="宋体"/>
          <w:b/>
          <w:bCs/>
          <w:color w:val="auto"/>
          <w:sz w:val="24"/>
          <w:u w:val="single"/>
        </w:rPr>
        <w:t>根据《排污许可证申请与核发技术规范  电镀工业》（</w:t>
      </w:r>
      <w:r>
        <w:rPr>
          <w:b/>
          <w:bCs/>
          <w:color w:val="auto"/>
          <w:sz w:val="24"/>
          <w:u w:val="single"/>
        </w:rPr>
        <w:t>HJ855-2017</w:t>
      </w:r>
      <w:r>
        <w:rPr>
          <w:rFonts w:hint="eastAsia" w:ascii="宋体" w:hAnsi="宋体"/>
          <w:b/>
          <w:bCs/>
          <w:color w:val="auto"/>
          <w:sz w:val="24"/>
          <w:u w:val="single"/>
        </w:rPr>
        <w:t>），重金属混合</w:t>
      </w:r>
      <w:r>
        <w:rPr>
          <w:rFonts w:hint="eastAsia"/>
          <w:b/>
          <w:bCs/>
          <w:color w:val="auto"/>
          <w:kern w:val="21"/>
          <w:sz w:val="24"/>
          <w:u w:val="single"/>
          <w:lang w:val="en-US"/>
        </w:rPr>
        <w:t>废水治理的可行技术有：化学沉淀法处理技术、化学法</w:t>
      </w:r>
      <w:r>
        <w:rPr>
          <w:b/>
          <w:bCs/>
          <w:color w:val="auto"/>
          <w:kern w:val="21"/>
          <w:sz w:val="24"/>
          <w:u w:val="single"/>
          <w:lang w:val="en-US"/>
        </w:rPr>
        <w:t>+</w:t>
      </w:r>
      <w:r>
        <w:rPr>
          <w:rFonts w:hint="eastAsia"/>
          <w:b/>
          <w:bCs/>
          <w:color w:val="auto"/>
          <w:kern w:val="21"/>
          <w:sz w:val="24"/>
          <w:u w:val="single"/>
          <w:lang w:val="en-US"/>
        </w:rPr>
        <w:t>膜分离法处理技术，本项目采用“氧化+混凝+还原+混凝+多介质过滤器”及“化学法</w:t>
      </w:r>
      <w:r>
        <w:rPr>
          <w:b/>
          <w:bCs/>
          <w:color w:val="auto"/>
          <w:kern w:val="21"/>
          <w:sz w:val="24"/>
          <w:u w:val="single"/>
          <w:lang w:val="en-US"/>
        </w:rPr>
        <w:t>+</w:t>
      </w:r>
      <w:r>
        <w:rPr>
          <w:rFonts w:hint="eastAsia"/>
          <w:b/>
          <w:bCs/>
          <w:color w:val="auto"/>
          <w:kern w:val="21"/>
          <w:sz w:val="24"/>
          <w:u w:val="single"/>
          <w:lang w:val="en-US"/>
        </w:rPr>
        <w:t>膜分离法处理技术”，属于可行技术，符合要求</w:t>
      </w:r>
      <w:r>
        <w:rPr>
          <w:rFonts w:hint="eastAsia" w:ascii="宋体" w:hAnsi="宋体"/>
          <w:b/>
          <w:bCs/>
          <w:color w:val="auto"/>
          <w:sz w:val="24"/>
          <w:u w:val="single"/>
        </w:rPr>
        <w:t>。</w:t>
      </w:r>
    </w:p>
    <w:p>
      <w:pPr>
        <w:pStyle w:val="6"/>
        <w:spacing w:before="0" w:after="0" w:line="360" w:lineRule="auto"/>
        <w:rPr>
          <w:b/>
          <w:bCs/>
          <w:color w:val="auto"/>
          <w:sz w:val="24"/>
          <w:szCs w:val="24"/>
          <w:u w:val="single"/>
        </w:rPr>
      </w:pPr>
      <w:r>
        <w:rPr>
          <w:rFonts w:hint="eastAsia"/>
          <w:b/>
          <w:bCs/>
          <w:color w:val="auto"/>
          <w:sz w:val="24"/>
          <w:szCs w:val="24"/>
          <w:u w:val="single"/>
        </w:rPr>
        <w:t>7.2.4</w:t>
      </w:r>
      <w:r>
        <w:rPr>
          <w:b/>
          <w:bCs/>
          <w:color w:val="auto"/>
          <w:sz w:val="24"/>
          <w:szCs w:val="24"/>
          <w:u w:val="single"/>
        </w:rPr>
        <w:t>.</w:t>
      </w:r>
      <w:r>
        <w:rPr>
          <w:rFonts w:hint="eastAsia"/>
          <w:b/>
          <w:bCs/>
          <w:color w:val="auto"/>
          <w:sz w:val="24"/>
          <w:szCs w:val="24"/>
          <w:u w:val="single"/>
        </w:rPr>
        <w:t>5综合废水预处理工艺可行性分析</w:t>
      </w:r>
    </w:p>
    <w:p>
      <w:pPr>
        <w:pStyle w:val="32"/>
        <w:adjustRightInd w:val="0"/>
        <w:snapToGrid w:val="0"/>
        <w:spacing w:after="0" w:line="360" w:lineRule="auto"/>
        <w:ind w:firstLine="482" w:firstLineChars="200"/>
        <w:rPr>
          <w:rFonts w:ascii="宋体" w:hAnsi="宋体"/>
          <w:b/>
          <w:bCs/>
          <w:color w:val="auto"/>
          <w:kern w:val="21"/>
          <w:sz w:val="24"/>
          <w:u w:val="single"/>
          <w:lang w:val="en-US"/>
        </w:rPr>
      </w:pPr>
      <w:r>
        <w:rPr>
          <w:rFonts w:hint="eastAsia" w:ascii="宋体" w:hAnsi="宋体"/>
          <w:b/>
          <w:bCs/>
          <w:color w:val="auto"/>
          <w:kern w:val="21"/>
          <w:sz w:val="24"/>
          <w:u w:val="single"/>
          <w:lang w:val="en-US"/>
        </w:rPr>
        <w:t>综合废水包含含油废水及酸性废水，含油废水先经自己的预处理系统预处理后进入酸性废水预处理系统继续处理，最后</w:t>
      </w:r>
      <w:r>
        <w:rPr>
          <w:rFonts w:hint="eastAsia" w:ascii="宋体" w:hAnsi="宋体"/>
          <w:b/>
          <w:bCs/>
          <w:color w:val="auto"/>
          <w:kern w:val="21"/>
          <w:sz w:val="24"/>
          <w:u w:val="single"/>
          <w:lang w:val="en-US" w:eastAsia="zh-CN"/>
        </w:rPr>
        <w:t>再</w:t>
      </w:r>
      <w:r>
        <w:rPr>
          <w:rFonts w:hint="eastAsia" w:ascii="宋体" w:hAnsi="宋体"/>
          <w:b/>
          <w:bCs/>
          <w:color w:val="auto"/>
          <w:kern w:val="21"/>
          <w:sz w:val="24"/>
          <w:u w:val="single"/>
          <w:lang w:val="en-US"/>
        </w:rPr>
        <w:t>进入零排放处理系统进行最终处理。</w:t>
      </w:r>
    </w:p>
    <w:p>
      <w:pPr>
        <w:pStyle w:val="32"/>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rFonts w:ascii="宋体" w:hAnsi="宋体"/>
          <w:b/>
          <w:bCs/>
          <w:color w:val="auto"/>
          <w:kern w:val="21"/>
          <w:sz w:val="24"/>
          <w:u w:val="single"/>
        </w:rPr>
      </w:pPr>
      <w:r>
        <w:rPr>
          <w:rFonts w:hint="eastAsia" w:ascii="宋体" w:hAnsi="宋体"/>
          <w:b/>
          <w:bCs/>
          <w:color w:val="auto"/>
          <w:kern w:val="21"/>
          <w:sz w:val="24"/>
          <w:u w:val="single"/>
          <w:lang w:val="en-US"/>
        </w:rPr>
        <w:t>（1）含油废水预处理工艺</w:t>
      </w:r>
    </w:p>
    <w:p>
      <w:pPr>
        <w:spacing w:line="360" w:lineRule="auto"/>
        <w:ind w:firstLine="482" w:firstLineChars="200"/>
        <w:rPr>
          <w:color w:val="auto"/>
          <w:sz w:val="28"/>
        </w:rPr>
      </w:pPr>
      <w:r>
        <w:rPr>
          <w:rFonts w:hint="eastAsia"/>
          <w:b/>
          <w:bCs/>
          <w:color w:val="auto"/>
          <w:sz w:val="24"/>
          <w:szCs w:val="20"/>
          <w:u w:val="single"/>
        </w:rPr>
        <w:t>含油废水预处理系统工艺流程见下图：</w:t>
      </w:r>
    </w:p>
    <w:p>
      <w:pPr>
        <w:pStyle w:val="20"/>
        <w:ind w:firstLine="0" w:firstLineChars="0"/>
        <w:jc w:val="center"/>
        <w:rPr>
          <w:color w:val="auto"/>
          <w:sz w:val="28"/>
        </w:rPr>
      </w:pPr>
      <w:r>
        <w:rPr>
          <w:color w:val="auto"/>
          <w:sz w:val="28"/>
        </w:rPr>
        <w:object>
          <v:shape id="_x0000_i1047" o:spt="75" alt="" type="#_x0000_t75" style="height:239.9pt;width:396.85pt;" o:ole="t" filled="f" o:preferrelative="t" stroked="f" coordsize="21600,21600">
            <v:path/>
            <v:fill on="f" focussize="0,0"/>
            <v:stroke on="f"/>
            <v:imagedata r:id="rId162" o:title=""/>
            <o:lock v:ext="edit" aspectratio="f"/>
            <w10:wrap type="none"/>
            <w10:anchorlock/>
          </v:shape>
          <o:OLEObject Type="Embed" ProgID="Visio.Drawing.11" ShapeID="_x0000_i1047" DrawAspect="Content" ObjectID="_1468075750" r:id="rId161">
            <o:LockedField>false</o:LockedField>
          </o:OLEObject>
        </w:object>
      </w:r>
    </w:p>
    <w:p>
      <w:pPr>
        <w:pStyle w:val="20"/>
        <w:ind w:firstLine="0" w:firstLineChars="0"/>
        <w:jc w:val="center"/>
        <w:rPr>
          <w:rFonts w:hint="eastAsia" w:eastAsia="黑体"/>
          <w:b/>
          <w:bCs/>
          <w:color w:val="auto"/>
          <w:kern w:val="21"/>
          <w:sz w:val="24"/>
          <w:u w:val="single"/>
        </w:rPr>
      </w:pPr>
    </w:p>
    <w:p>
      <w:pPr>
        <w:pStyle w:val="20"/>
        <w:ind w:firstLine="0" w:firstLineChars="0"/>
        <w:jc w:val="center"/>
        <w:rPr>
          <w:b/>
          <w:bCs/>
          <w:color w:val="auto"/>
          <w:u w:val="single"/>
        </w:rPr>
      </w:pPr>
      <w:r>
        <w:rPr>
          <w:rFonts w:hint="eastAsia" w:eastAsia="黑体"/>
          <w:b/>
          <w:bCs/>
          <w:color w:val="auto"/>
          <w:kern w:val="21"/>
          <w:sz w:val="24"/>
          <w:u w:val="single"/>
        </w:rPr>
        <w:t>图7.2-6</w:t>
      </w:r>
      <w:r>
        <w:rPr>
          <w:rFonts w:eastAsia="黑体"/>
          <w:b/>
          <w:bCs/>
          <w:color w:val="auto"/>
          <w:kern w:val="21"/>
          <w:sz w:val="24"/>
          <w:u w:val="single"/>
        </w:rPr>
        <w:t xml:space="preserve">  含油</w:t>
      </w:r>
      <w:r>
        <w:rPr>
          <w:rFonts w:hint="eastAsia" w:eastAsia="黑体"/>
          <w:b/>
          <w:bCs/>
          <w:color w:val="auto"/>
          <w:kern w:val="21"/>
          <w:sz w:val="24"/>
          <w:u w:val="single"/>
        </w:rPr>
        <w:t>废水预处理工艺流程</w:t>
      </w:r>
    </w:p>
    <w:p>
      <w:pPr>
        <w:autoSpaceDE w:val="0"/>
        <w:autoSpaceDN w:val="0"/>
        <w:adjustRightInd w:val="0"/>
        <w:spacing w:line="360" w:lineRule="auto"/>
        <w:ind w:firstLine="482" w:firstLineChars="200"/>
        <w:rPr>
          <w:b/>
          <w:bCs/>
          <w:color w:val="auto"/>
          <w:kern w:val="0"/>
          <w:sz w:val="24"/>
          <w:szCs w:val="24"/>
          <w:u w:val="single"/>
        </w:rPr>
      </w:pPr>
      <w:r>
        <w:rPr>
          <w:b/>
          <w:bCs/>
          <w:color w:val="auto"/>
          <w:kern w:val="0"/>
          <w:sz w:val="24"/>
          <w:szCs w:val="24"/>
          <w:u w:val="single"/>
        </w:rPr>
        <w:t>工艺流程说明：</w:t>
      </w:r>
    </w:p>
    <w:p>
      <w:pPr>
        <w:pStyle w:val="32"/>
        <w:adjustRightInd w:val="0"/>
        <w:snapToGrid w:val="0"/>
        <w:spacing w:after="0" w:line="360" w:lineRule="auto"/>
        <w:ind w:firstLine="482" w:firstLineChars="200"/>
        <w:rPr>
          <w:rFonts w:hint="eastAsia" w:ascii="宋体" w:hAnsi="宋体" w:eastAsia="宋体"/>
          <w:b/>
          <w:bCs/>
          <w:color w:val="auto"/>
          <w:kern w:val="21"/>
          <w:sz w:val="24"/>
          <w:u w:val="single"/>
          <w:lang w:eastAsia="zh-CN"/>
        </w:rPr>
      </w:pPr>
      <w:r>
        <w:rPr>
          <w:b/>
          <w:bCs/>
          <w:color w:val="auto"/>
          <w:kern w:val="0"/>
          <w:sz w:val="24"/>
          <w:u w:val="single"/>
        </w:rPr>
        <w:t>本</w:t>
      </w:r>
      <w:r>
        <w:rPr>
          <w:rFonts w:hint="eastAsia"/>
          <w:b/>
          <w:bCs/>
          <w:color w:val="auto"/>
          <w:kern w:val="0"/>
          <w:sz w:val="24"/>
          <w:u w:val="single"/>
        </w:rPr>
        <w:t>项目含油</w:t>
      </w:r>
      <w:r>
        <w:rPr>
          <w:b/>
          <w:bCs/>
          <w:color w:val="auto"/>
          <w:kern w:val="0"/>
          <w:sz w:val="24"/>
          <w:u w:val="single"/>
        </w:rPr>
        <w:t>废</w:t>
      </w:r>
      <w:r>
        <w:rPr>
          <w:rFonts w:hint="eastAsia"/>
          <w:b/>
          <w:bCs/>
          <w:color w:val="auto"/>
          <w:kern w:val="0"/>
          <w:sz w:val="24"/>
          <w:u w:val="single"/>
        </w:rPr>
        <w:t>水</w:t>
      </w:r>
      <w:r>
        <w:rPr>
          <w:b/>
          <w:bCs/>
          <w:color w:val="auto"/>
          <w:kern w:val="0"/>
          <w:sz w:val="24"/>
          <w:u w:val="single"/>
        </w:rPr>
        <w:t>主要来源于前处理除油废液、除油后水洗废</w:t>
      </w:r>
      <w:r>
        <w:rPr>
          <w:rFonts w:hint="eastAsia"/>
          <w:b/>
          <w:bCs/>
          <w:color w:val="auto"/>
          <w:kern w:val="0"/>
          <w:sz w:val="24"/>
          <w:u w:val="single"/>
        </w:rPr>
        <w:t>水</w:t>
      </w:r>
      <w:r>
        <w:rPr>
          <w:b/>
          <w:bCs/>
          <w:color w:val="auto"/>
          <w:kern w:val="0"/>
          <w:sz w:val="24"/>
          <w:u w:val="single"/>
        </w:rPr>
        <w:t>。含油废</w:t>
      </w:r>
      <w:r>
        <w:rPr>
          <w:rFonts w:hint="eastAsia"/>
          <w:b/>
          <w:bCs/>
          <w:color w:val="auto"/>
          <w:kern w:val="0"/>
          <w:sz w:val="24"/>
          <w:u w:val="single"/>
        </w:rPr>
        <w:t>水</w:t>
      </w:r>
      <w:r>
        <w:rPr>
          <w:b/>
          <w:bCs/>
          <w:color w:val="auto"/>
          <w:kern w:val="0"/>
          <w:sz w:val="24"/>
          <w:u w:val="single"/>
        </w:rPr>
        <w:t>经收集管</w:t>
      </w:r>
      <w:r>
        <w:rPr>
          <w:rFonts w:hint="eastAsia"/>
          <w:b/>
          <w:bCs/>
          <w:color w:val="auto"/>
          <w:kern w:val="0"/>
          <w:sz w:val="24"/>
          <w:u w:val="single"/>
        </w:rPr>
        <w:t>网</w:t>
      </w:r>
      <w:r>
        <w:rPr>
          <w:b/>
          <w:bCs/>
          <w:color w:val="auto"/>
          <w:kern w:val="0"/>
          <w:sz w:val="24"/>
          <w:u w:val="single"/>
        </w:rPr>
        <w:t>进</w:t>
      </w:r>
      <w:r>
        <w:rPr>
          <w:rFonts w:hint="eastAsia"/>
          <w:b/>
          <w:bCs/>
          <w:color w:val="auto"/>
          <w:kern w:val="0"/>
          <w:sz w:val="24"/>
          <w:u w:val="single"/>
        </w:rPr>
        <w:t>入含油</w:t>
      </w:r>
      <w:r>
        <w:rPr>
          <w:b/>
          <w:bCs/>
          <w:color w:val="auto"/>
          <w:kern w:val="0"/>
          <w:sz w:val="24"/>
          <w:u w:val="single"/>
        </w:rPr>
        <w:t>废</w:t>
      </w:r>
      <w:r>
        <w:rPr>
          <w:rFonts w:hint="eastAsia"/>
          <w:b/>
          <w:bCs/>
          <w:color w:val="auto"/>
          <w:kern w:val="0"/>
          <w:sz w:val="24"/>
          <w:u w:val="single"/>
        </w:rPr>
        <w:t>水</w:t>
      </w:r>
      <w:r>
        <w:rPr>
          <w:b/>
          <w:bCs/>
          <w:color w:val="auto"/>
          <w:kern w:val="0"/>
          <w:sz w:val="24"/>
          <w:u w:val="single"/>
        </w:rPr>
        <w:t>收集池经</w:t>
      </w:r>
      <w:r>
        <w:rPr>
          <w:rFonts w:hint="eastAsia"/>
          <w:b/>
          <w:bCs/>
          <w:color w:val="auto"/>
          <w:kern w:val="0"/>
          <w:sz w:val="24"/>
          <w:u w:val="single"/>
        </w:rPr>
        <w:t>水</w:t>
      </w:r>
      <w:r>
        <w:rPr>
          <w:b/>
          <w:bCs/>
          <w:color w:val="auto"/>
          <w:kern w:val="0"/>
          <w:sz w:val="24"/>
          <w:u w:val="single"/>
        </w:rPr>
        <w:t>质、</w:t>
      </w:r>
      <w:r>
        <w:rPr>
          <w:rFonts w:hint="eastAsia"/>
          <w:b/>
          <w:bCs/>
          <w:color w:val="auto"/>
          <w:kern w:val="0"/>
          <w:sz w:val="24"/>
          <w:u w:val="single"/>
        </w:rPr>
        <w:t>水</w:t>
      </w:r>
      <w:r>
        <w:rPr>
          <w:b/>
          <w:bCs/>
          <w:color w:val="auto"/>
          <w:kern w:val="0"/>
          <w:sz w:val="24"/>
          <w:u w:val="single"/>
        </w:rPr>
        <w:t>量调节后，</w:t>
      </w:r>
      <w:r>
        <w:rPr>
          <w:rFonts w:hint="eastAsia"/>
          <w:b/>
          <w:bCs/>
          <w:color w:val="auto"/>
          <w:kern w:val="0"/>
          <w:sz w:val="24"/>
          <w:u w:val="single"/>
        </w:rPr>
        <w:t>用</w:t>
      </w:r>
      <w:r>
        <w:rPr>
          <w:b/>
          <w:bCs/>
          <w:color w:val="auto"/>
          <w:kern w:val="0"/>
          <w:sz w:val="24"/>
          <w:u w:val="single"/>
        </w:rPr>
        <w:t>提升泵将废</w:t>
      </w:r>
      <w:r>
        <w:rPr>
          <w:rFonts w:hint="eastAsia"/>
          <w:b/>
          <w:bCs/>
          <w:color w:val="auto"/>
          <w:kern w:val="0"/>
          <w:sz w:val="24"/>
          <w:u w:val="single"/>
        </w:rPr>
        <w:t>水</w:t>
      </w:r>
      <w:r>
        <w:rPr>
          <w:b/>
          <w:bCs/>
          <w:color w:val="auto"/>
          <w:kern w:val="0"/>
          <w:sz w:val="24"/>
          <w:u w:val="single"/>
        </w:rPr>
        <w:t>提升</w:t>
      </w:r>
      <w:r>
        <w:rPr>
          <w:rFonts w:hint="eastAsia"/>
          <w:b/>
          <w:bCs/>
          <w:color w:val="auto"/>
          <w:kern w:val="0"/>
          <w:sz w:val="24"/>
          <w:u w:val="single"/>
        </w:rPr>
        <w:t>至</w:t>
      </w:r>
      <w:r>
        <w:rPr>
          <w:b/>
          <w:bCs/>
          <w:color w:val="auto"/>
          <w:kern w:val="0"/>
          <w:sz w:val="24"/>
          <w:u w:val="single"/>
        </w:rPr>
        <w:t>破乳反应池，该阶段投加H</w:t>
      </w:r>
      <w:r>
        <w:rPr>
          <w:b/>
          <w:bCs/>
          <w:color w:val="auto"/>
          <w:kern w:val="0"/>
          <w:sz w:val="24"/>
          <w:u w:val="single"/>
          <w:vertAlign w:val="subscript"/>
        </w:rPr>
        <w:t>2</w:t>
      </w:r>
      <w:r>
        <w:rPr>
          <w:b/>
          <w:bCs/>
          <w:color w:val="auto"/>
          <w:kern w:val="0"/>
          <w:sz w:val="24"/>
          <w:u w:val="single"/>
        </w:rPr>
        <w:t>SO</w:t>
      </w:r>
      <w:r>
        <w:rPr>
          <w:b/>
          <w:bCs/>
          <w:color w:val="auto"/>
          <w:kern w:val="0"/>
          <w:sz w:val="24"/>
          <w:u w:val="single"/>
          <w:vertAlign w:val="subscript"/>
        </w:rPr>
        <w:t>4</w:t>
      </w:r>
      <w:r>
        <w:rPr>
          <w:b/>
          <w:bCs/>
          <w:color w:val="auto"/>
          <w:kern w:val="0"/>
          <w:sz w:val="24"/>
          <w:u w:val="single"/>
        </w:rPr>
        <w:t>、破乳剂</w:t>
      </w:r>
      <w:r>
        <w:rPr>
          <w:rFonts w:hint="eastAsia"/>
          <w:b/>
          <w:bCs/>
          <w:color w:val="auto"/>
          <w:kern w:val="0"/>
          <w:sz w:val="24"/>
          <w:u w:val="single"/>
        </w:rPr>
        <w:t>对</w:t>
      </w:r>
      <w:r>
        <w:rPr>
          <w:b/>
          <w:bCs/>
          <w:color w:val="auto"/>
          <w:kern w:val="0"/>
          <w:sz w:val="24"/>
          <w:u w:val="single"/>
        </w:rPr>
        <w:t>废</w:t>
      </w:r>
      <w:r>
        <w:rPr>
          <w:rFonts w:hint="eastAsia"/>
          <w:b/>
          <w:bCs/>
          <w:color w:val="auto"/>
          <w:kern w:val="0"/>
          <w:sz w:val="24"/>
          <w:u w:val="single"/>
        </w:rPr>
        <w:t>水</w:t>
      </w:r>
      <w:r>
        <w:rPr>
          <w:b/>
          <w:bCs/>
          <w:color w:val="auto"/>
          <w:kern w:val="0"/>
          <w:sz w:val="24"/>
          <w:u w:val="single"/>
        </w:rPr>
        <w:t>进</w:t>
      </w:r>
      <w:r>
        <w:rPr>
          <w:rFonts w:hint="eastAsia"/>
          <w:b/>
          <w:bCs/>
          <w:color w:val="auto"/>
          <w:kern w:val="0"/>
          <w:sz w:val="24"/>
          <w:u w:val="single"/>
        </w:rPr>
        <w:t>行</w:t>
      </w:r>
      <w:r>
        <w:rPr>
          <w:b/>
          <w:bCs/>
          <w:color w:val="auto"/>
          <w:kern w:val="0"/>
          <w:sz w:val="24"/>
          <w:u w:val="single"/>
        </w:rPr>
        <w:t>氧化破乳，然后</w:t>
      </w:r>
      <w:r>
        <w:rPr>
          <w:rFonts w:hint="eastAsia"/>
          <w:b/>
          <w:bCs/>
          <w:color w:val="auto"/>
          <w:kern w:val="0"/>
          <w:sz w:val="24"/>
          <w:u w:val="single"/>
        </w:rPr>
        <w:t>自</w:t>
      </w:r>
      <w:r>
        <w:rPr>
          <w:b/>
          <w:bCs/>
          <w:color w:val="auto"/>
          <w:kern w:val="0"/>
          <w:sz w:val="24"/>
          <w:u w:val="single"/>
        </w:rPr>
        <w:t>流进</w:t>
      </w:r>
      <w:r>
        <w:rPr>
          <w:rFonts w:hint="eastAsia"/>
          <w:b/>
          <w:bCs/>
          <w:color w:val="auto"/>
          <w:kern w:val="0"/>
          <w:sz w:val="24"/>
          <w:u w:val="single"/>
        </w:rPr>
        <w:t>入</w:t>
      </w:r>
      <w:r>
        <w:rPr>
          <w:b/>
          <w:bCs/>
          <w:color w:val="auto"/>
          <w:kern w:val="0"/>
          <w:sz w:val="24"/>
          <w:u w:val="single"/>
        </w:rPr>
        <w:t>混凝、絮凝槽，在此阶段加NaOH调节废</w:t>
      </w:r>
      <w:r>
        <w:rPr>
          <w:rFonts w:hint="eastAsia"/>
          <w:b/>
          <w:bCs/>
          <w:color w:val="auto"/>
          <w:kern w:val="0"/>
          <w:sz w:val="24"/>
          <w:u w:val="single"/>
        </w:rPr>
        <w:t>水</w:t>
      </w:r>
      <w:r>
        <w:rPr>
          <w:b/>
          <w:bCs/>
          <w:color w:val="auto"/>
          <w:kern w:val="0"/>
          <w:sz w:val="24"/>
          <w:u w:val="single"/>
        </w:rPr>
        <w:t>中的pH值，在最佳pH值下废</w:t>
      </w:r>
      <w:r>
        <w:rPr>
          <w:rFonts w:hint="eastAsia"/>
          <w:b/>
          <w:bCs/>
          <w:color w:val="auto"/>
          <w:kern w:val="0"/>
          <w:sz w:val="24"/>
          <w:u w:val="single"/>
        </w:rPr>
        <w:t>水</w:t>
      </w:r>
      <w:r>
        <w:rPr>
          <w:b/>
          <w:bCs/>
          <w:color w:val="auto"/>
          <w:kern w:val="0"/>
          <w:sz w:val="24"/>
          <w:u w:val="single"/>
        </w:rPr>
        <w:t>的气浮效果最好，pH调节完成后加</w:t>
      </w:r>
      <w:r>
        <w:rPr>
          <w:rFonts w:hint="eastAsia"/>
          <w:b/>
          <w:bCs/>
          <w:color w:val="auto"/>
          <w:kern w:val="0"/>
          <w:sz w:val="24"/>
          <w:u w:val="single"/>
        </w:rPr>
        <w:t>入</w:t>
      </w:r>
      <w:r>
        <w:rPr>
          <w:b/>
          <w:bCs/>
          <w:color w:val="auto"/>
          <w:kern w:val="0"/>
          <w:sz w:val="24"/>
          <w:u w:val="single"/>
        </w:rPr>
        <w:t>PAC、PAM 等絮凝助凝剂，进</w:t>
      </w:r>
      <w:r>
        <w:rPr>
          <w:rFonts w:hint="eastAsia"/>
          <w:b/>
          <w:bCs/>
          <w:color w:val="auto"/>
          <w:kern w:val="0"/>
          <w:sz w:val="24"/>
          <w:u w:val="single"/>
        </w:rPr>
        <w:t>入气</w:t>
      </w:r>
      <w:r>
        <w:rPr>
          <w:b/>
          <w:bCs/>
          <w:color w:val="auto"/>
          <w:kern w:val="0"/>
          <w:sz w:val="24"/>
          <w:u w:val="single"/>
        </w:rPr>
        <w:t>浮沉淀系统。</w:t>
      </w:r>
      <w:r>
        <w:rPr>
          <w:rFonts w:hint="eastAsia"/>
          <w:b/>
          <w:bCs/>
          <w:color w:val="auto"/>
          <w:kern w:val="0"/>
          <w:sz w:val="24"/>
          <w:u w:val="single"/>
        </w:rPr>
        <w:t>气</w:t>
      </w:r>
      <w:r>
        <w:rPr>
          <w:b/>
          <w:bCs/>
          <w:color w:val="auto"/>
          <w:kern w:val="0"/>
          <w:sz w:val="24"/>
          <w:u w:val="single"/>
        </w:rPr>
        <w:t>浮系统产生微</w:t>
      </w:r>
      <w:r>
        <w:rPr>
          <w:rFonts w:hint="eastAsia"/>
          <w:b/>
          <w:bCs/>
          <w:color w:val="auto"/>
          <w:kern w:val="0"/>
          <w:sz w:val="24"/>
          <w:u w:val="single"/>
        </w:rPr>
        <w:t>小</w:t>
      </w:r>
      <w:r>
        <w:rPr>
          <w:b/>
          <w:bCs/>
          <w:color w:val="auto"/>
          <w:kern w:val="0"/>
          <w:sz w:val="24"/>
          <w:u w:val="single"/>
        </w:rPr>
        <w:t>的</w:t>
      </w:r>
      <w:r>
        <w:rPr>
          <w:rFonts w:hint="eastAsia"/>
          <w:b/>
          <w:bCs/>
          <w:color w:val="auto"/>
          <w:kern w:val="0"/>
          <w:sz w:val="24"/>
          <w:u w:val="single"/>
        </w:rPr>
        <w:t>气</w:t>
      </w:r>
      <w:r>
        <w:rPr>
          <w:b/>
          <w:bCs/>
          <w:color w:val="auto"/>
          <w:kern w:val="0"/>
          <w:sz w:val="24"/>
          <w:u w:val="single"/>
        </w:rPr>
        <w:t>泡附着于油类物质及其他细</w:t>
      </w:r>
      <w:r>
        <w:rPr>
          <w:rFonts w:hint="eastAsia"/>
          <w:b/>
          <w:bCs/>
          <w:color w:val="auto"/>
          <w:kern w:val="0"/>
          <w:sz w:val="24"/>
          <w:u w:val="single"/>
        </w:rPr>
        <w:t>小</w:t>
      </w:r>
      <w:r>
        <w:rPr>
          <w:b/>
          <w:bCs/>
          <w:color w:val="auto"/>
          <w:kern w:val="0"/>
          <w:sz w:val="24"/>
          <w:u w:val="single"/>
        </w:rPr>
        <w:t>悬浮颗粒上上浮于</w:t>
      </w:r>
      <w:r>
        <w:rPr>
          <w:rFonts w:hint="eastAsia"/>
          <w:b/>
          <w:bCs/>
          <w:color w:val="auto"/>
          <w:kern w:val="0"/>
          <w:sz w:val="24"/>
          <w:u w:val="single"/>
        </w:rPr>
        <w:t>水面</w:t>
      </w:r>
      <w:r>
        <w:rPr>
          <w:b/>
          <w:bCs/>
          <w:color w:val="auto"/>
          <w:kern w:val="0"/>
          <w:sz w:val="24"/>
          <w:u w:val="single"/>
        </w:rPr>
        <w:t>，最终通过刮渣机刮除。</w:t>
      </w:r>
      <w:r>
        <w:rPr>
          <w:rFonts w:hint="eastAsia"/>
          <w:b/>
          <w:bCs/>
          <w:color w:val="auto"/>
          <w:kern w:val="0"/>
          <w:sz w:val="24"/>
          <w:u w:val="single"/>
          <w:lang w:val="en-US" w:eastAsia="zh-CN"/>
        </w:rPr>
        <w:t>气浮池</w:t>
      </w:r>
      <w:r>
        <w:rPr>
          <w:rFonts w:hint="eastAsia"/>
          <w:b/>
          <w:bCs w:val="0"/>
          <w:color w:val="auto"/>
          <w:sz w:val="24"/>
          <w:szCs w:val="20"/>
          <w:u w:val="single"/>
        </w:rPr>
        <w:t>产生的沉淀物沉淀于池底并通过排泥</w:t>
      </w:r>
      <w:r>
        <w:rPr>
          <w:rFonts w:hint="eastAsia"/>
          <w:b/>
          <w:bCs w:val="0"/>
          <w:color w:val="auto"/>
          <w:sz w:val="24"/>
          <w:szCs w:val="20"/>
          <w:u w:val="single"/>
          <w:lang w:val="en-US" w:eastAsia="zh-CN"/>
        </w:rPr>
        <w:t>泵</w:t>
      </w:r>
      <w:r>
        <w:rPr>
          <w:rFonts w:hint="eastAsia"/>
          <w:b/>
          <w:bCs w:val="0"/>
          <w:color w:val="auto"/>
          <w:sz w:val="24"/>
          <w:szCs w:val="20"/>
          <w:u w:val="single"/>
        </w:rPr>
        <w:t>排至综合污泥池。污泥通过专用泵打入压滤机内压榨，滤液返回到调节池内，泥饼交有资质的单位处置</w:t>
      </w:r>
      <w:r>
        <w:rPr>
          <w:rFonts w:hint="eastAsia"/>
          <w:b/>
          <w:bCs w:val="0"/>
          <w:color w:val="auto"/>
          <w:sz w:val="24"/>
          <w:szCs w:val="20"/>
          <w:u w:val="single"/>
          <w:lang w:eastAsia="zh-CN"/>
        </w:rPr>
        <w:t>。</w:t>
      </w:r>
      <w:r>
        <w:rPr>
          <w:b/>
          <w:bCs/>
          <w:color w:val="auto"/>
          <w:kern w:val="0"/>
          <w:sz w:val="24"/>
          <w:u w:val="single"/>
        </w:rPr>
        <w:t>气浮池出</w:t>
      </w:r>
      <w:r>
        <w:rPr>
          <w:rFonts w:hint="eastAsia"/>
          <w:b/>
          <w:bCs/>
          <w:color w:val="auto"/>
          <w:kern w:val="0"/>
          <w:sz w:val="24"/>
          <w:u w:val="single"/>
        </w:rPr>
        <w:t>水</w:t>
      </w:r>
      <w:r>
        <w:rPr>
          <w:b/>
          <w:bCs/>
          <w:color w:val="auto"/>
          <w:kern w:val="0"/>
          <w:sz w:val="24"/>
          <w:u w:val="single"/>
        </w:rPr>
        <w:t>进</w:t>
      </w:r>
      <w:r>
        <w:rPr>
          <w:rFonts w:hint="eastAsia"/>
          <w:b/>
          <w:bCs/>
          <w:color w:val="auto"/>
          <w:kern w:val="0"/>
          <w:sz w:val="24"/>
          <w:u w:val="single"/>
        </w:rPr>
        <w:t>入</w:t>
      </w:r>
      <w:r>
        <w:rPr>
          <w:rFonts w:hint="eastAsia"/>
          <w:b/>
          <w:bCs/>
          <w:color w:val="auto"/>
          <w:kern w:val="0"/>
          <w:sz w:val="24"/>
          <w:u w:val="single"/>
          <w:lang w:val="en-US" w:eastAsia="zh-CN"/>
        </w:rPr>
        <w:t>酸洗废水</w:t>
      </w:r>
      <w:r>
        <w:rPr>
          <w:b/>
          <w:bCs/>
          <w:color w:val="auto"/>
          <w:kern w:val="0"/>
          <w:sz w:val="24"/>
          <w:u w:val="single"/>
        </w:rPr>
        <w:t>收集池，与酸性废水进一步进</w:t>
      </w:r>
      <w:r>
        <w:rPr>
          <w:rFonts w:hint="eastAsia"/>
          <w:b/>
          <w:bCs/>
          <w:color w:val="auto"/>
          <w:kern w:val="0"/>
          <w:sz w:val="24"/>
          <w:u w:val="single"/>
        </w:rPr>
        <w:t>行</w:t>
      </w:r>
      <w:r>
        <w:rPr>
          <w:b/>
          <w:bCs/>
          <w:color w:val="auto"/>
          <w:kern w:val="0"/>
          <w:sz w:val="24"/>
          <w:u w:val="single"/>
        </w:rPr>
        <w:t>处理</w:t>
      </w:r>
      <w:r>
        <w:rPr>
          <w:rFonts w:hint="eastAsia"/>
          <w:b/>
          <w:bCs/>
          <w:color w:val="auto"/>
          <w:kern w:val="0"/>
          <w:sz w:val="24"/>
          <w:u w:val="single"/>
          <w:lang w:eastAsia="zh-CN"/>
        </w:rPr>
        <w:t>。</w:t>
      </w:r>
    </w:p>
    <w:p>
      <w:pPr>
        <w:pStyle w:val="32"/>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rFonts w:ascii="宋体" w:hAnsi="宋体"/>
          <w:b/>
          <w:bCs/>
          <w:color w:val="auto"/>
          <w:kern w:val="21"/>
          <w:sz w:val="24"/>
          <w:u w:val="single"/>
        </w:rPr>
      </w:pPr>
      <w:r>
        <w:rPr>
          <w:rFonts w:hint="eastAsia" w:ascii="宋体" w:hAnsi="宋体"/>
          <w:b/>
          <w:bCs/>
          <w:color w:val="auto"/>
          <w:kern w:val="21"/>
          <w:sz w:val="24"/>
          <w:u w:val="single"/>
          <w:lang w:val="en-US"/>
        </w:rPr>
        <w:t>（2）酸性废水预处理工艺</w:t>
      </w:r>
    </w:p>
    <w:p>
      <w:pPr>
        <w:spacing w:line="360" w:lineRule="auto"/>
        <w:ind w:firstLine="482" w:firstLineChars="200"/>
        <w:rPr>
          <w:b/>
          <w:bCs/>
          <w:color w:val="auto"/>
          <w:sz w:val="24"/>
          <w:szCs w:val="20"/>
          <w:u w:val="single"/>
        </w:rPr>
      </w:pPr>
      <w:r>
        <w:rPr>
          <w:rFonts w:hint="eastAsia"/>
          <w:b/>
          <w:bCs/>
          <w:color w:val="auto"/>
          <w:sz w:val="24"/>
          <w:szCs w:val="20"/>
          <w:u w:val="single"/>
        </w:rPr>
        <w:t>酸性废水预处理系统工艺流程见下图：</w:t>
      </w:r>
    </w:p>
    <w:p>
      <w:pPr>
        <w:autoSpaceDE w:val="0"/>
        <w:autoSpaceDN w:val="0"/>
        <w:adjustRightInd w:val="0"/>
        <w:spacing w:line="360" w:lineRule="auto"/>
        <w:ind w:firstLine="420" w:firstLineChars="200"/>
        <w:jc w:val="center"/>
        <w:rPr>
          <w:b/>
          <w:bCs w:val="0"/>
          <w:color w:val="auto"/>
          <w:u w:val="single"/>
        </w:rPr>
      </w:pPr>
      <w:r>
        <w:rPr>
          <w:color w:val="auto"/>
        </w:rPr>
        <w:object>
          <v:shape id="_x0000_i1048" o:spt="75" type="#_x0000_t75" style="height:362.25pt;width:402.95pt;" o:ole="t" filled="f" o:preferrelative="t" stroked="f" coordsize="21600,21600">
            <v:path/>
            <v:fill on="f" focussize="0,0"/>
            <v:stroke on="f"/>
            <v:imagedata r:id="rId164" o:title=""/>
            <o:lock v:ext="edit" aspectratio="f"/>
            <w10:wrap type="none"/>
            <w10:anchorlock/>
          </v:shape>
          <o:OLEObject Type="Embed" ProgID="Visio.Drawing.11" ShapeID="_x0000_i1048" DrawAspect="Content" ObjectID="_1468075751" r:id="rId163">
            <o:LockedField>false</o:LockedField>
          </o:OLEObject>
        </w:object>
      </w:r>
      <w:r>
        <w:rPr>
          <w:rFonts w:hint="eastAsia" w:eastAsia="黑体"/>
          <w:b/>
          <w:bCs w:val="0"/>
          <w:color w:val="auto"/>
          <w:kern w:val="21"/>
          <w:sz w:val="24"/>
          <w:u w:val="single"/>
        </w:rPr>
        <w:t>图7.2-7</w:t>
      </w:r>
      <w:r>
        <w:rPr>
          <w:rFonts w:eastAsia="黑体"/>
          <w:b/>
          <w:bCs w:val="0"/>
          <w:color w:val="auto"/>
          <w:kern w:val="21"/>
          <w:sz w:val="24"/>
          <w:u w:val="single"/>
        </w:rPr>
        <w:t xml:space="preserve">  酸性</w:t>
      </w:r>
      <w:r>
        <w:rPr>
          <w:rFonts w:hint="eastAsia" w:eastAsia="黑体"/>
          <w:b/>
          <w:bCs w:val="0"/>
          <w:color w:val="auto"/>
          <w:kern w:val="21"/>
          <w:sz w:val="24"/>
          <w:u w:val="single"/>
        </w:rPr>
        <w:t>废水预处理工艺流程</w:t>
      </w:r>
    </w:p>
    <w:p>
      <w:pPr>
        <w:spacing w:line="360" w:lineRule="auto"/>
        <w:ind w:firstLine="482" w:firstLineChars="200"/>
        <w:rPr>
          <w:b/>
          <w:bCs w:val="0"/>
          <w:color w:val="auto"/>
          <w:sz w:val="24"/>
          <w:szCs w:val="20"/>
          <w:u w:val="single"/>
        </w:rPr>
      </w:pPr>
      <w:r>
        <w:rPr>
          <w:rFonts w:hint="eastAsia"/>
          <w:b/>
          <w:bCs w:val="0"/>
          <w:color w:val="auto"/>
          <w:sz w:val="24"/>
          <w:szCs w:val="20"/>
          <w:u w:val="single"/>
        </w:rPr>
        <w:t>工艺流程说明</w:t>
      </w:r>
    </w:p>
    <w:p>
      <w:pPr>
        <w:spacing w:line="360" w:lineRule="auto"/>
        <w:ind w:firstLine="482" w:firstLineChars="200"/>
        <w:rPr>
          <w:b/>
          <w:bCs w:val="0"/>
          <w:color w:val="auto"/>
          <w:sz w:val="24"/>
          <w:szCs w:val="20"/>
          <w:u w:val="single"/>
        </w:rPr>
      </w:pPr>
      <w:r>
        <w:rPr>
          <w:rFonts w:hint="eastAsia"/>
          <w:b/>
          <w:bCs w:val="0"/>
          <w:color w:val="auto"/>
          <w:sz w:val="24"/>
          <w:szCs w:val="20"/>
          <w:u w:val="single"/>
        </w:rPr>
        <w:t>本项目酸洗废水主要由酸洗、酸活化、封闭水洗等工序产生的废水，废水中主要含有酸、碱、石油类有机污染物。</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b/>
          <w:bCs w:val="0"/>
          <w:color w:val="auto"/>
          <w:sz w:val="24"/>
          <w:szCs w:val="20"/>
          <w:u w:val="single"/>
        </w:rPr>
        <w:t>酸洗废水与预处理后的有机废水经收集管网进入酸洗废水调节池经水质、水量调节后，用提升泵将废水提升至</w:t>
      </w:r>
      <w:r>
        <w:rPr>
          <w:b/>
          <w:bCs w:val="0"/>
          <w:color w:val="auto"/>
          <w:sz w:val="24"/>
          <w:szCs w:val="20"/>
          <w:u w:val="single"/>
        </w:rPr>
        <w:t xml:space="preserve">PH </w:t>
      </w:r>
      <w:r>
        <w:rPr>
          <w:rFonts w:hint="eastAsia"/>
          <w:b/>
          <w:bCs w:val="0"/>
          <w:color w:val="auto"/>
          <w:sz w:val="24"/>
          <w:szCs w:val="20"/>
          <w:u w:val="single"/>
        </w:rPr>
        <w:t>调节池</w:t>
      </w:r>
      <w:r>
        <w:rPr>
          <w:rFonts w:hint="eastAsia"/>
          <w:b/>
          <w:bCs w:val="0"/>
          <w:color w:val="auto"/>
          <w:sz w:val="24"/>
          <w:szCs w:val="20"/>
          <w:u w:val="single"/>
          <w:lang w:eastAsia="zh-CN"/>
        </w:rPr>
        <w:t>再</w:t>
      </w:r>
      <w:r>
        <w:rPr>
          <w:rFonts w:hint="eastAsia"/>
          <w:b/>
          <w:bCs w:val="0"/>
          <w:color w:val="auto"/>
          <w:sz w:val="24"/>
          <w:szCs w:val="20"/>
          <w:u w:val="single"/>
        </w:rPr>
        <w:t>投加</w:t>
      </w:r>
      <w:r>
        <w:rPr>
          <w:b/>
          <w:bCs w:val="0"/>
          <w:color w:val="auto"/>
          <w:sz w:val="24"/>
          <w:szCs w:val="20"/>
          <w:u w:val="single"/>
        </w:rPr>
        <w:t xml:space="preserve">NaOH </w:t>
      </w:r>
      <w:r>
        <w:rPr>
          <w:rFonts w:hint="eastAsia"/>
          <w:b/>
          <w:bCs w:val="0"/>
          <w:color w:val="auto"/>
          <w:sz w:val="24"/>
          <w:szCs w:val="20"/>
          <w:u w:val="single"/>
        </w:rPr>
        <w:t>调节废水的</w:t>
      </w:r>
      <w:r>
        <w:rPr>
          <w:b/>
          <w:bCs w:val="0"/>
          <w:color w:val="auto"/>
          <w:sz w:val="24"/>
          <w:szCs w:val="20"/>
          <w:u w:val="single"/>
        </w:rPr>
        <w:t xml:space="preserve">pH </w:t>
      </w:r>
      <w:r>
        <w:rPr>
          <w:rFonts w:hint="eastAsia"/>
          <w:b/>
          <w:bCs w:val="0"/>
          <w:color w:val="auto"/>
          <w:sz w:val="24"/>
          <w:szCs w:val="20"/>
          <w:u w:val="single"/>
        </w:rPr>
        <w:t>值为</w:t>
      </w:r>
      <w:r>
        <w:rPr>
          <w:b/>
          <w:bCs w:val="0"/>
          <w:color w:val="auto"/>
          <w:sz w:val="24"/>
          <w:szCs w:val="20"/>
          <w:u w:val="single"/>
        </w:rPr>
        <w:t>8-9</w:t>
      </w:r>
      <w:r>
        <w:rPr>
          <w:rFonts w:hint="eastAsia"/>
          <w:b/>
          <w:bCs w:val="0"/>
          <w:color w:val="auto"/>
          <w:sz w:val="24"/>
          <w:szCs w:val="20"/>
          <w:u w:val="single"/>
        </w:rPr>
        <w:t>，</w:t>
      </w:r>
      <w:r>
        <w:rPr>
          <w:b/>
          <w:bCs w:val="0"/>
          <w:color w:val="auto"/>
          <w:sz w:val="24"/>
          <w:szCs w:val="20"/>
          <w:u w:val="single"/>
        </w:rPr>
        <w:t xml:space="preserve"> PH </w:t>
      </w:r>
      <w:r>
        <w:rPr>
          <w:rFonts w:hint="eastAsia"/>
          <w:b/>
          <w:bCs w:val="0"/>
          <w:color w:val="auto"/>
          <w:sz w:val="24"/>
          <w:szCs w:val="20"/>
          <w:u w:val="single"/>
        </w:rPr>
        <w:t>调节完成后加入</w:t>
      </w:r>
      <w:r>
        <w:rPr>
          <w:b/>
          <w:bCs w:val="0"/>
          <w:color w:val="auto"/>
          <w:sz w:val="24"/>
          <w:szCs w:val="20"/>
          <w:u w:val="single"/>
        </w:rPr>
        <w:t>PAC</w:t>
      </w:r>
      <w:r>
        <w:rPr>
          <w:rFonts w:hint="eastAsia"/>
          <w:b/>
          <w:bCs w:val="0"/>
          <w:color w:val="auto"/>
          <w:sz w:val="24"/>
          <w:szCs w:val="20"/>
          <w:u w:val="single"/>
        </w:rPr>
        <w:t>、</w:t>
      </w:r>
      <w:r>
        <w:rPr>
          <w:b/>
          <w:bCs w:val="0"/>
          <w:color w:val="auto"/>
          <w:sz w:val="24"/>
          <w:szCs w:val="20"/>
          <w:u w:val="single"/>
        </w:rPr>
        <w:t xml:space="preserve">PAM </w:t>
      </w:r>
      <w:r>
        <w:rPr>
          <w:rFonts w:hint="eastAsia"/>
          <w:b/>
          <w:bCs w:val="0"/>
          <w:color w:val="auto"/>
          <w:sz w:val="24"/>
          <w:szCs w:val="20"/>
          <w:u w:val="single"/>
        </w:rPr>
        <w:t>等絮凝剂，进入沉淀系统，产生的沉淀物沉淀于池底并通过排泥排至综合污泥池。污泥通过专用泵打入压滤机内压榨，滤液返回到调节池内，泥饼交有资质的单位处置。沉淀出水经加酸回调</w:t>
      </w:r>
      <w:r>
        <w:rPr>
          <w:b/>
          <w:bCs w:val="0"/>
          <w:color w:val="auto"/>
          <w:sz w:val="24"/>
          <w:szCs w:val="20"/>
          <w:u w:val="single"/>
        </w:rPr>
        <w:t xml:space="preserve">pH </w:t>
      </w:r>
      <w:r>
        <w:rPr>
          <w:rFonts w:hint="eastAsia"/>
          <w:b/>
          <w:bCs w:val="0"/>
          <w:color w:val="auto"/>
          <w:sz w:val="24"/>
          <w:szCs w:val="20"/>
          <w:u w:val="single"/>
        </w:rPr>
        <w:t>值后进入多介质过滤系统，然后进入生化调节池进一步处理。</w:t>
      </w:r>
    </w:p>
    <w:p>
      <w:pPr>
        <w:pStyle w:val="32"/>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rFonts w:ascii="宋体" w:hAnsi="宋体"/>
          <w:b/>
          <w:bCs w:val="0"/>
          <w:color w:val="auto"/>
          <w:kern w:val="21"/>
          <w:sz w:val="24"/>
          <w:u w:val="single"/>
          <w:lang w:val="en-US"/>
        </w:rPr>
      </w:pPr>
      <w:r>
        <w:rPr>
          <w:rFonts w:hint="eastAsia" w:ascii="宋体" w:hAnsi="宋体"/>
          <w:b/>
          <w:bCs w:val="0"/>
          <w:color w:val="auto"/>
          <w:kern w:val="21"/>
          <w:sz w:val="24"/>
          <w:u w:val="single"/>
          <w:lang w:val="en-US"/>
        </w:rPr>
        <w:t>（3）含油废水预处理主要设备</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含油废水预处理系统主要设备见下表。</w:t>
      </w:r>
    </w:p>
    <w:p>
      <w:pPr>
        <w:pStyle w:val="32"/>
        <w:adjustRightInd w:val="0"/>
        <w:snapToGrid w:val="0"/>
        <w:spacing w:after="0" w:line="360" w:lineRule="auto"/>
        <w:ind w:firstLine="482" w:firstLineChars="200"/>
        <w:jc w:val="center"/>
        <w:rPr>
          <w:rFonts w:ascii="宋体" w:hAnsi="宋体"/>
          <w:b/>
          <w:bCs w:val="0"/>
          <w:color w:val="auto"/>
          <w:kern w:val="21"/>
          <w:sz w:val="24"/>
          <w:u w:val="single"/>
        </w:rPr>
      </w:pPr>
      <w:r>
        <w:rPr>
          <w:rFonts w:hint="eastAsia" w:eastAsia="黑体"/>
          <w:b/>
          <w:bCs w:val="0"/>
          <w:color w:val="auto"/>
          <w:kern w:val="21"/>
          <w:sz w:val="24"/>
          <w:u w:val="single"/>
          <w:lang w:val="en-US"/>
        </w:rPr>
        <w:t>表7.2-9</w:t>
      </w:r>
      <w:r>
        <w:rPr>
          <w:rFonts w:eastAsia="黑体"/>
          <w:b/>
          <w:bCs w:val="0"/>
          <w:color w:val="auto"/>
          <w:kern w:val="21"/>
          <w:sz w:val="24"/>
          <w:u w:val="single"/>
          <w:lang w:val="en-US"/>
        </w:rPr>
        <w:t xml:space="preserve">   含油</w:t>
      </w:r>
      <w:r>
        <w:rPr>
          <w:rFonts w:hint="eastAsia" w:eastAsia="黑体"/>
          <w:b/>
          <w:bCs w:val="0"/>
          <w:color w:val="auto"/>
          <w:kern w:val="21"/>
          <w:sz w:val="24"/>
          <w:u w:val="single"/>
          <w:lang w:val="en-US"/>
        </w:rPr>
        <w:t>废水预处理系统主要设备一览表</w:t>
      </w:r>
    </w:p>
    <w:tbl>
      <w:tblPr>
        <w:tblStyle w:val="83"/>
        <w:tblW w:w="5002"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83"/>
        <w:gridCol w:w="875"/>
        <w:gridCol w:w="1304"/>
        <w:gridCol w:w="2072"/>
        <w:gridCol w:w="1651"/>
        <w:gridCol w:w="522"/>
        <w:gridCol w:w="492"/>
        <w:gridCol w:w="92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93" w:type="pct"/>
            <w:shd w:val="clear" w:color="auto" w:fill="auto"/>
            <w:vAlign w:val="center"/>
          </w:tcPr>
          <w:p>
            <w:pPr>
              <w:jc w:val="center"/>
              <w:rPr>
                <w:b/>
                <w:bCs w:val="0"/>
                <w:color w:val="auto"/>
                <w:u w:val="single"/>
              </w:rPr>
            </w:pPr>
            <w:r>
              <w:rPr>
                <w:b/>
                <w:bCs w:val="0"/>
                <w:color w:val="auto"/>
                <w:spacing w:val="-2"/>
                <w:u w:val="single"/>
              </w:rPr>
              <w:t>序</w:t>
            </w:r>
            <w:r>
              <w:rPr>
                <w:b/>
                <w:bCs w:val="0"/>
                <w:color w:val="auto"/>
                <w:spacing w:val="-1"/>
                <w:u w:val="single"/>
              </w:rPr>
              <w:t>号</w:t>
            </w:r>
          </w:p>
        </w:tc>
        <w:tc>
          <w:tcPr>
            <w:tcW w:w="529" w:type="pct"/>
            <w:shd w:val="clear" w:color="auto" w:fill="auto"/>
            <w:vAlign w:val="center"/>
          </w:tcPr>
          <w:p>
            <w:pPr>
              <w:jc w:val="center"/>
              <w:rPr>
                <w:b/>
                <w:bCs w:val="0"/>
                <w:color w:val="auto"/>
                <w:u w:val="single"/>
              </w:rPr>
            </w:pPr>
            <w:r>
              <w:rPr>
                <w:b/>
                <w:bCs w:val="0"/>
                <w:color w:val="auto"/>
                <w:spacing w:val="-4"/>
                <w:u w:val="single"/>
              </w:rPr>
              <w:t>系</w:t>
            </w:r>
            <w:r>
              <w:rPr>
                <w:b/>
                <w:bCs w:val="0"/>
                <w:color w:val="auto"/>
                <w:spacing w:val="-3"/>
                <w:u w:val="single"/>
              </w:rPr>
              <w:t>统</w:t>
            </w:r>
          </w:p>
        </w:tc>
        <w:tc>
          <w:tcPr>
            <w:tcW w:w="786" w:type="pct"/>
            <w:shd w:val="clear" w:color="auto" w:fill="auto"/>
            <w:vAlign w:val="center"/>
          </w:tcPr>
          <w:p>
            <w:pPr>
              <w:jc w:val="center"/>
              <w:rPr>
                <w:b/>
                <w:bCs w:val="0"/>
                <w:color w:val="auto"/>
                <w:u w:val="single"/>
              </w:rPr>
            </w:pPr>
            <w:r>
              <w:rPr>
                <w:b/>
                <w:bCs w:val="0"/>
                <w:color w:val="auto"/>
                <w:spacing w:val="-4"/>
                <w:u w:val="single"/>
              </w:rPr>
              <w:t>名</w:t>
            </w:r>
            <w:r>
              <w:rPr>
                <w:b/>
                <w:bCs w:val="0"/>
                <w:color w:val="auto"/>
                <w:spacing w:val="-3"/>
                <w:u w:val="single"/>
              </w:rPr>
              <w:t>称</w:t>
            </w:r>
          </w:p>
        </w:tc>
        <w:tc>
          <w:tcPr>
            <w:tcW w:w="1247" w:type="pct"/>
            <w:shd w:val="clear" w:color="auto" w:fill="auto"/>
            <w:vAlign w:val="center"/>
          </w:tcPr>
          <w:p>
            <w:pPr>
              <w:jc w:val="center"/>
              <w:rPr>
                <w:b/>
                <w:bCs w:val="0"/>
                <w:color w:val="auto"/>
                <w:u w:val="single"/>
              </w:rPr>
            </w:pPr>
            <w:r>
              <w:rPr>
                <w:b/>
                <w:bCs w:val="0"/>
                <w:color w:val="auto"/>
                <w:spacing w:val="-1"/>
                <w:u w:val="single"/>
              </w:rPr>
              <w:t>规格型号</w:t>
            </w:r>
          </w:p>
        </w:tc>
        <w:tc>
          <w:tcPr>
            <w:tcW w:w="974" w:type="pct"/>
            <w:shd w:val="clear" w:color="auto" w:fill="auto"/>
            <w:vAlign w:val="center"/>
          </w:tcPr>
          <w:p>
            <w:pPr>
              <w:jc w:val="center"/>
              <w:rPr>
                <w:b/>
                <w:bCs w:val="0"/>
                <w:color w:val="auto"/>
                <w:u w:val="single"/>
              </w:rPr>
            </w:pPr>
            <w:r>
              <w:rPr>
                <w:rFonts w:eastAsia="Meiryo"/>
                <w:b/>
                <w:bCs w:val="0"/>
                <w:color w:val="auto"/>
                <w:spacing w:val="-6"/>
                <w:u w:val="single"/>
              </w:rPr>
              <w:t>⼚</w:t>
            </w:r>
            <w:r>
              <w:rPr>
                <w:b/>
                <w:bCs w:val="0"/>
                <w:color w:val="auto"/>
                <w:spacing w:val="-4"/>
                <w:u w:val="single"/>
              </w:rPr>
              <w:t>商</w:t>
            </w:r>
          </w:p>
        </w:tc>
        <w:tc>
          <w:tcPr>
            <w:tcW w:w="316" w:type="pct"/>
            <w:shd w:val="clear" w:color="auto" w:fill="auto"/>
            <w:vAlign w:val="center"/>
          </w:tcPr>
          <w:p>
            <w:pPr>
              <w:jc w:val="center"/>
              <w:rPr>
                <w:b/>
                <w:bCs w:val="0"/>
                <w:color w:val="auto"/>
                <w:u w:val="single"/>
              </w:rPr>
            </w:pPr>
            <w:r>
              <w:rPr>
                <w:b/>
                <w:bCs w:val="0"/>
                <w:color w:val="auto"/>
                <w:spacing w:val="-3"/>
                <w:u w:val="single"/>
              </w:rPr>
              <w:t>单位</w:t>
            </w:r>
          </w:p>
        </w:tc>
        <w:tc>
          <w:tcPr>
            <w:tcW w:w="298" w:type="pct"/>
            <w:shd w:val="clear" w:color="auto" w:fill="auto"/>
            <w:vAlign w:val="center"/>
          </w:tcPr>
          <w:p>
            <w:pPr>
              <w:jc w:val="center"/>
              <w:rPr>
                <w:b/>
                <w:bCs w:val="0"/>
                <w:color w:val="auto"/>
                <w:u w:val="single"/>
              </w:rPr>
            </w:pPr>
            <w:r>
              <w:rPr>
                <w:b/>
                <w:bCs w:val="0"/>
                <w:color w:val="auto"/>
                <w:spacing w:val="-3"/>
                <w:u w:val="single"/>
              </w:rPr>
              <w:t>数</w:t>
            </w:r>
            <w:r>
              <w:rPr>
                <w:b/>
                <w:bCs w:val="0"/>
                <w:color w:val="auto"/>
                <w:spacing w:val="-2"/>
                <w:u w:val="single"/>
              </w:rPr>
              <w:t>量</w:t>
            </w:r>
          </w:p>
        </w:tc>
        <w:tc>
          <w:tcPr>
            <w:tcW w:w="557" w:type="pct"/>
            <w:shd w:val="clear" w:color="auto" w:fill="auto"/>
            <w:vAlign w:val="center"/>
          </w:tcPr>
          <w:p>
            <w:pPr>
              <w:jc w:val="center"/>
              <w:rPr>
                <w:b/>
                <w:bCs w:val="0"/>
                <w:color w:val="auto"/>
                <w:u w:val="single"/>
              </w:rPr>
            </w:pPr>
            <w:r>
              <w:rPr>
                <w:b/>
                <w:bCs w:val="0"/>
                <w:color w:val="auto"/>
                <w:spacing w:val="-3"/>
                <w:u w:val="single"/>
              </w:rPr>
              <w:t>备</w:t>
            </w:r>
            <w:r>
              <w:rPr>
                <w:b/>
                <w:bCs w:val="0"/>
                <w:color w:val="auto"/>
                <w:spacing w:val="-2"/>
                <w:u w:val="single"/>
              </w:rPr>
              <w:t>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3"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52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含油废</w:t>
            </w:r>
            <w:r>
              <w:rPr>
                <w:rFonts w:hint="eastAsia"/>
                <w:b/>
                <w:bCs w:val="0"/>
                <w:color w:val="auto"/>
                <w:spacing w:val="-2"/>
                <w:u w:val="single"/>
              </w:rPr>
              <w:t>水</w:t>
            </w:r>
            <w:r>
              <w:rPr>
                <w:b/>
                <w:bCs w:val="0"/>
                <w:color w:val="auto"/>
                <w:spacing w:val="-2"/>
                <w:u w:val="single"/>
              </w:rPr>
              <w:t>收集池</w:t>
            </w:r>
          </w:p>
        </w:tc>
        <w:tc>
          <w:tcPr>
            <w:tcW w:w="786" w:type="pct"/>
            <w:shd w:val="clear" w:color="auto" w:fill="auto"/>
            <w:vAlign w:val="center"/>
          </w:tcPr>
          <w:p>
            <w:pPr>
              <w:jc w:val="center"/>
              <w:rPr>
                <w:b/>
                <w:bCs w:val="0"/>
                <w:color w:val="auto"/>
                <w:spacing w:val="-2"/>
                <w:u w:val="single"/>
              </w:rPr>
            </w:pPr>
            <w:r>
              <w:rPr>
                <w:b/>
                <w:bCs w:val="0"/>
                <w:color w:val="auto"/>
                <w:spacing w:val="-2"/>
                <w:u w:val="single"/>
              </w:rPr>
              <w:t>含油废</w:t>
            </w:r>
            <w:r>
              <w:rPr>
                <w:rFonts w:hint="eastAsia"/>
                <w:b/>
                <w:bCs w:val="0"/>
                <w:color w:val="auto"/>
                <w:spacing w:val="-2"/>
                <w:u w:val="single"/>
              </w:rPr>
              <w:t>水</w:t>
            </w:r>
            <w:r>
              <w:rPr>
                <w:b/>
                <w:bCs w:val="0"/>
                <w:color w:val="auto"/>
                <w:spacing w:val="-2"/>
                <w:u w:val="single"/>
              </w:rPr>
              <w:t>收集桶</w:t>
            </w:r>
          </w:p>
        </w:tc>
        <w:tc>
          <w:tcPr>
            <w:tcW w:w="1247" w:type="pct"/>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3</w:t>
            </w:r>
            <w:r>
              <w:rPr>
                <w:b/>
                <w:bCs w:val="0"/>
                <w:color w:val="auto"/>
                <w:spacing w:val="-2"/>
                <w:u w:val="single"/>
              </w:rPr>
              <w:t>，PE 材质</w:t>
            </w:r>
          </w:p>
        </w:tc>
        <w:tc>
          <w:tcPr>
            <w:tcW w:w="974" w:type="pct"/>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16" w:type="pct"/>
            <w:shd w:val="clear" w:color="auto" w:fill="auto"/>
            <w:vAlign w:val="center"/>
          </w:tcPr>
          <w:p>
            <w:pPr>
              <w:jc w:val="center"/>
              <w:rPr>
                <w:b/>
                <w:bCs w:val="0"/>
                <w:color w:val="auto"/>
                <w:spacing w:val="-2"/>
                <w:u w:val="single"/>
              </w:rPr>
            </w:pPr>
            <w:r>
              <w:rPr>
                <w:b/>
                <w:bCs w:val="0"/>
                <w:color w:val="auto"/>
                <w:spacing w:val="-2"/>
                <w:u w:val="single"/>
              </w:rPr>
              <w:t>台</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3" w:type="pct"/>
            <w:vMerge w:val="continue"/>
            <w:tcBorders>
              <w:top w:val="nil"/>
              <w:bottom w:val="nil"/>
            </w:tcBorders>
            <w:shd w:val="clear" w:color="auto" w:fill="auto"/>
            <w:vAlign w:val="center"/>
          </w:tcPr>
          <w:p>
            <w:pPr>
              <w:jc w:val="center"/>
              <w:rPr>
                <w:b/>
                <w:bCs w:val="0"/>
                <w:color w:val="auto"/>
                <w:spacing w:val="-2"/>
                <w:u w:val="single"/>
              </w:rPr>
            </w:pPr>
          </w:p>
        </w:tc>
        <w:tc>
          <w:tcPr>
            <w:tcW w:w="529" w:type="pct"/>
            <w:vMerge w:val="continue"/>
            <w:tcBorders>
              <w:top w:val="nil"/>
              <w:bottom w:val="nil"/>
            </w:tcBorders>
            <w:shd w:val="clear" w:color="auto" w:fill="auto"/>
            <w:vAlign w:val="center"/>
          </w:tcPr>
          <w:p>
            <w:pPr>
              <w:jc w:val="center"/>
              <w:rPr>
                <w:b/>
                <w:bCs w:val="0"/>
                <w:color w:val="auto"/>
                <w:spacing w:val="-2"/>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原</w:t>
            </w:r>
            <w:r>
              <w:rPr>
                <w:rFonts w:hint="eastAsia"/>
                <w:b/>
                <w:bCs w:val="0"/>
                <w:color w:val="auto"/>
                <w:spacing w:val="-2"/>
                <w:u w:val="single"/>
              </w:rPr>
              <w:t>水</w:t>
            </w:r>
            <w:r>
              <w:rPr>
                <w:b/>
                <w:bCs w:val="0"/>
                <w:color w:val="auto"/>
                <w:spacing w:val="-2"/>
                <w:u w:val="single"/>
              </w:rPr>
              <w:t>泵</w:t>
            </w:r>
          </w:p>
        </w:tc>
        <w:tc>
          <w:tcPr>
            <w:tcW w:w="1247" w:type="pct"/>
            <w:shd w:val="clear" w:color="auto" w:fill="auto"/>
            <w:vAlign w:val="center"/>
          </w:tcPr>
          <w:p>
            <w:pPr>
              <w:jc w:val="center"/>
              <w:rPr>
                <w:b/>
                <w:bCs w:val="0"/>
                <w:color w:val="auto"/>
                <w:spacing w:val="-2"/>
                <w:u w:val="single"/>
              </w:rPr>
            </w:pPr>
            <w:r>
              <w:rPr>
                <w:b/>
                <w:bCs w:val="0"/>
                <w:color w:val="auto"/>
                <w:spacing w:val="-2"/>
                <w:u w:val="single"/>
              </w:rPr>
              <w:t>Q=4m</w:t>
            </w:r>
            <w:r>
              <w:rPr>
                <w:b/>
                <w:bCs w:val="0"/>
                <w:color w:val="auto"/>
                <w:spacing w:val="-2"/>
                <w:u w:val="single"/>
                <w:vertAlign w:val="superscript"/>
              </w:rPr>
              <w:t>3</w:t>
            </w:r>
            <w:r>
              <w:rPr>
                <w:b/>
                <w:bCs w:val="0"/>
                <w:color w:val="auto"/>
                <w:spacing w:val="-2"/>
                <w:u w:val="single"/>
              </w:rPr>
              <w:t>/h，H=15m，FRPP 材质</w:t>
            </w:r>
          </w:p>
        </w:tc>
        <w:tc>
          <w:tcPr>
            <w:tcW w:w="974" w:type="pct"/>
            <w:shd w:val="clear" w:color="auto" w:fill="auto"/>
            <w:vAlign w:val="center"/>
          </w:tcPr>
          <w:p>
            <w:pPr>
              <w:jc w:val="center"/>
              <w:rPr>
                <w:b/>
                <w:bCs w:val="0"/>
                <w:color w:val="auto"/>
                <w:spacing w:val="-2"/>
                <w:u w:val="single"/>
              </w:rPr>
            </w:pPr>
            <w:r>
              <w:rPr>
                <w:b/>
                <w:bCs w:val="0"/>
                <w:color w:val="auto"/>
                <w:spacing w:val="-2"/>
                <w:u w:val="single"/>
              </w:rPr>
              <w:t>美宝/国宝</w:t>
            </w:r>
          </w:p>
        </w:tc>
        <w:tc>
          <w:tcPr>
            <w:tcW w:w="316" w:type="pct"/>
            <w:shd w:val="clear" w:color="auto" w:fill="auto"/>
            <w:vAlign w:val="center"/>
          </w:tcPr>
          <w:p>
            <w:pPr>
              <w:jc w:val="center"/>
              <w:rPr>
                <w:b/>
                <w:bCs w:val="0"/>
                <w:color w:val="auto"/>
                <w:spacing w:val="-2"/>
                <w:u w:val="single"/>
              </w:rPr>
            </w:pPr>
            <w:r>
              <w:rPr>
                <w:b/>
                <w:bCs w:val="0"/>
                <w:color w:val="auto"/>
                <w:spacing w:val="-2"/>
                <w:u w:val="single"/>
              </w:rPr>
              <w:t>台</w:t>
            </w:r>
          </w:p>
        </w:tc>
        <w:tc>
          <w:tcPr>
            <w:tcW w:w="298" w:type="pct"/>
            <w:shd w:val="clear" w:color="auto" w:fill="auto"/>
            <w:vAlign w:val="center"/>
          </w:tcPr>
          <w:p>
            <w:pPr>
              <w:jc w:val="center"/>
              <w:rPr>
                <w:b/>
                <w:bCs w:val="0"/>
                <w:color w:val="auto"/>
                <w:spacing w:val="-2"/>
                <w:u w:val="single"/>
              </w:rPr>
            </w:pPr>
            <w:r>
              <w:rPr>
                <w:b/>
                <w:bCs w:val="0"/>
                <w:color w:val="auto"/>
                <w:spacing w:val="-2"/>
                <w:u w:val="single"/>
              </w:rPr>
              <w:t>2</w:t>
            </w:r>
          </w:p>
        </w:tc>
        <w:tc>
          <w:tcPr>
            <w:tcW w:w="557" w:type="pct"/>
            <w:shd w:val="clear" w:color="auto" w:fill="auto"/>
            <w:vAlign w:val="center"/>
          </w:tcPr>
          <w:p>
            <w:pPr>
              <w:jc w:val="center"/>
              <w:rPr>
                <w:b/>
                <w:bCs w:val="0"/>
                <w:color w:val="auto"/>
                <w:spacing w:val="-2"/>
                <w:u w:val="single"/>
              </w:rPr>
            </w:pPr>
            <w:r>
              <w:rPr>
                <w:rFonts w:hint="eastAsia"/>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3" w:type="pct"/>
            <w:vMerge w:val="continue"/>
            <w:tcBorders>
              <w:top w:val="nil"/>
              <w:bottom w:val="nil"/>
            </w:tcBorders>
            <w:shd w:val="clear" w:color="auto" w:fill="auto"/>
            <w:vAlign w:val="center"/>
          </w:tcPr>
          <w:p>
            <w:pPr>
              <w:jc w:val="center"/>
              <w:rPr>
                <w:b/>
                <w:bCs w:val="0"/>
                <w:color w:val="auto"/>
                <w:spacing w:val="-2"/>
                <w:u w:val="single"/>
              </w:rPr>
            </w:pPr>
          </w:p>
        </w:tc>
        <w:tc>
          <w:tcPr>
            <w:tcW w:w="529" w:type="pct"/>
            <w:vMerge w:val="continue"/>
            <w:tcBorders>
              <w:top w:val="nil"/>
              <w:bottom w:val="nil"/>
            </w:tcBorders>
            <w:shd w:val="clear" w:color="auto" w:fill="auto"/>
            <w:vAlign w:val="center"/>
          </w:tcPr>
          <w:p>
            <w:pPr>
              <w:jc w:val="center"/>
              <w:rPr>
                <w:b/>
                <w:bCs w:val="0"/>
                <w:color w:val="auto"/>
                <w:spacing w:val="-2"/>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进</w:t>
            </w:r>
            <w:r>
              <w:rPr>
                <w:rFonts w:hint="eastAsia"/>
                <w:b/>
                <w:bCs w:val="0"/>
                <w:color w:val="auto"/>
                <w:spacing w:val="-2"/>
                <w:u w:val="single"/>
              </w:rPr>
              <w:t>水</w:t>
            </w:r>
            <w:r>
              <w:rPr>
                <w:b/>
                <w:bCs w:val="0"/>
                <w:color w:val="auto"/>
                <w:spacing w:val="-2"/>
                <w:u w:val="single"/>
              </w:rPr>
              <w:t>辅助系统</w:t>
            </w:r>
          </w:p>
        </w:tc>
        <w:tc>
          <w:tcPr>
            <w:tcW w:w="1247" w:type="pct"/>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974" w:type="pct"/>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16" w:type="pct"/>
            <w:shd w:val="clear" w:color="auto" w:fill="auto"/>
            <w:vAlign w:val="center"/>
          </w:tcPr>
          <w:p>
            <w:pPr>
              <w:jc w:val="center"/>
              <w:rPr>
                <w:b/>
                <w:bCs w:val="0"/>
                <w:color w:val="auto"/>
                <w:spacing w:val="-2"/>
                <w:u w:val="single"/>
              </w:rPr>
            </w:pPr>
            <w:r>
              <w:rPr>
                <w:b/>
                <w:bCs w:val="0"/>
                <w:color w:val="auto"/>
                <w:spacing w:val="-2"/>
                <w:u w:val="single"/>
              </w:rPr>
              <w:t>台</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3" w:type="pct"/>
            <w:vMerge w:val="continue"/>
            <w:tcBorders>
              <w:top w:val="nil"/>
              <w:bottom w:val="nil"/>
            </w:tcBorders>
            <w:shd w:val="clear" w:color="auto" w:fill="auto"/>
            <w:vAlign w:val="center"/>
          </w:tcPr>
          <w:p>
            <w:pPr>
              <w:jc w:val="center"/>
              <w:rPr>
                <w:b/>
                <w:bCs w:val="0"/>
                <w:color w:val="auto"/>
                <w:spacing w:val="-2"/>
                <w:u w:val="single"/>
              </w:rPr>
            </w:pPr>
          </w:p>
        </w:tc>
        <w:tc>
          <w:tcPr>
            <w:tcW w:w="529" w:type="pct"/>
            <w:vMerge w:val="continue"/>
            <w:tcBorders>
              <w:top w:val="nil"/>
              <w:bottom w:val="nil"/>
            </w:tcBorders>
            <w:shd w:val="clear" w:color="auto" w:fill="auto"/>
            <w:vAlign w:val="center"/>
          </w:tcPr>
          <w:p>
            <w:pPr>
              <w:jc w:val="center"/>
              <w:rPr>
                <w:b/>
                <w:bCs w:val="0"/>
                <w:color w:val="auto"/>
                <w:spacing w:val="-2"/>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247" w:type="pct"/>
            <w:shd w:val="clear" w:color="auto" w:fill="auto"/>
            <w:vAlign w:val="center"/>
          </w:tcPr>
          <w:p>
            <w:pPr>
              <w:jc w:val="center"/>
              <w:rPr>
                <w:b/>
                <w:bCs w:val="0"/>
                <w:color w:val="auto"/>
                <w:spacing w:val="-2"/>
                <w:u w:val="single"/>
              </w:rPr>
            </w:pPr>
          </w:p>
        </w:tc>
        <w:tc>
          <w:tcPr>
            <w:tcW w:w="974"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316" w:type="pct"/>
            <w:shd w:val="clear" w:color="auto" w:fill="auto"/>
            <w:vAlign w:val="center"/>
          </w:tcPr>
          <w:p>
            <w:pPr>
              <w:jc w:val="center"/>
              <w:rPr>
                <w:b/>
                <w:bCs w:val="0"/>
                <w:color w:val="auto"/>
                <w:spacing w:val="-2"/>
                <w:u w:val="single"/>
              </w:rPr>
            </w:pPr>
            <w:r>
              <w:rPr>
                <w:b/>
                <w:bCs w:val="0"/>
                <w:color w:val="auto"/>
                <w:spacing w:val="-2"/>
                <w:u w:val="single"/>
              </w:rPr>
              <w:t>套</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3" w:type="pct"/>
            <w:vMerge w:val="continue"/>
            <w:tcBorders>
              <w:top w:val="nil"/>
            </w:tcBorders>
            <w:shd w:val="clear" w:color="auto" w:fill="auto"/>
            <w:vAlign w:val="center"/>
          </w:tcPr>
          <w:p>
            <w:pPr>
              <w:jc w:val="center"/>
              <w:rPr>
                <w:b/>
                <w:bCs w:val="0"/>
                <w:color w:val="auto"/>
                <w:spacing w:val="-2"/>
                <w:u w:val="single"/>
              </w:rPr>
            </w:pPr>
          </w:p>
        </w:tc>
        <w:tc>
          <w:tcPr>
            <w:tcW w:w="529" w:type="pct"/>
            <w:vMerge w:val="continue"/>
            <w:tcBorders>
              <w:top w:val="nil"/>
            </w:tcBorders>
            <w:shd w:val="clear" w:color="auto" w:fill="auto"/>
            <w:vAlign w:val="center"/>
          </w:tcPr>
          <w:p>
            <w:pPr>
              <w:jc w:val="center"/>
              <w:rPr>
                <w:b/>
                <w:bCs w:val="0"/>
                <w:color w:val="auto"/>
                <w:spacing w:val="-2"/>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247"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974" w:type="pct"/>
            <w:shd w:val="clear" w:color="auto" w:fill="auto"/>
            <w:vAlign w:val="center"/>
          </w:tcPr>
          <w:p>
            <w:pPr>
              <w:jc w:val="center"/>
              <w:rPr>
                <w:b/>
                <w:bCs w:val="0"/>
                <w:color w:val="auto"/>
                <w:spacing w:val="-2"/>
                <w:u w:val="single"/>
              </w:rPr>
            </w:pPr>
            <w:r>
              <w:rPr>
                <w:rFonts w:hint="eastAsia"/>
                <w:b/>
                <w:bCs w:val="0"/>
                <w:color w:val="auto"/>
                <w:spacing w:val="-2"/>
                <w:u w:val="single"/>
              </w:rPr>
              <w:t>金</w:t>
            </w:r>
            <w:r>
              <w:rPr>
                <w:b/>
                <w:bCs w:val="0"/>
                <w:color w:val="auto"/>
                <w:spacing w:val="-2"/>
                <w:u w:val="single"/>
              </w:rPr>
              <w:t>泰或同等</w:t>
            </w:r>
          </w:p>
        </w:tc>
        <w:tc>
          <w:tcPr>
            <w:tcW w:w="316" w:type="pct"/>
            <w:shd w:val="clear" w:color="auto" w:fill="auto"/>
            <w:vAlign w:val="center"/>
          </w:tcPr>
          <w:p>
            <w:pPr>
              <w:jc w:val="center"/>
              <w:rPr>
                <w:b/>
                <w:bCs w:val="0"/>
                <w:color w:val="auto"/>
                <w:spacing w:val="-2"/>
                <w:u w:val="single"/>
              </w:rPr>
            </w:pPr>
            <w:r>
              <w:rPr>
                <w:b/>
                <w:bCs w:val="0"/>
                <w:color w:val="auto"/>
                <w:spacing w:val="-2"/>
                <w:u w:val="single"/>
              </w:rPr>
              <w:t>台</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93"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529" w:type="pct"/>
            <w:vMerge w:val="restart"/>
            <w:tcBorders>
              <w:bottom w:val="nil"/>
            </w:tcBorders>
            <w:shd w:val="clear" w:color="auto" w:fill="auto"/>
            <w:vAlign w:val="center"/>
          </w:tcPr>
          <w:p>
            <w:pPr>
              <w:jc w:val="center"/>
              <w:rPr>
                <w:b/>
                <w:bCs w:val="0"/>
                <w:color w:val="auto"/>
                <w:spacing w:val="-2"/>
                <w:u w:val="single"/>
              </w:rPr>
            </w:pPr>
            <w:r>
              <w:rPr>
                <w:rFonts w:hint="eastAsia"/>
                <w:b/>
                <w:bCs w:val="0"/>
                <w:color w:val="auto"/>
                <w:spacing w:val="-2"/>
                <w:u w:val="single"/>
              </w:rPr>
              <w:t>气</w:t>
            </w:r>
            <w:r>
              <w:rPr>
                <w:b/>
                <w:bCs w:val="0"/>
                <w:color w:val="auto"/>
                <w:spacing w:val="-2"/>
                <w:u w:val="single"/>
              </w:rPr>
              <w:t>浮系统</w:t>
            </w:r>
          </w:p>
        </w:tc>
        <w:tc>
          <w:tcPr>
            <w:tcW w:w="786" w:type="pct"/>
            <w:shd w:val="clear" w:color="auto" w:fill="auto"/>
            <w:vAlign w:val="center"/>
          </w:tcPr>
          <w:p>
            <w:pPr>
              <w:jc w:val="center"/>
              <w:rPr>
                <w:b/>
                <w:bCs w:val="0"/>
                <w:color w:val="auto"/>
                <w:spacing w:val="-2"/>
                <w:u w:val="single"/>
              </w:rPr>
            </w:pPr>
            <w:r>
              <w:rPr>
                <w:b/>
                <w:bCs w:val="0"/>
                <w:color w:val="auto"/>
                <w:spacing w:val="-2"/>
                <w:u w:val="single"/>
              </w:rPr>
              <w:t>加药泵</w:t>
            </w:r>
          </w:p>
        </w:tc>
        <w:tc>
          <w:tcPr>
            <w:tcW w:w="1247" w:type="pct"/>
            <w:shd w:val="clear" w:color="auto" w:fill="auto"/>
            <w:vAlign w:val="center"/>
          </w:tcPr>
          <w:p>
            <w:pPr>
              <w:jc w:val="center"/>
              <w:rPr>
                <w:b/>
                <w:bCs w:val="0"/>
                <w:color w:val="auto"/>
                <w:spacing w:val="-2"/>
                <w:u w:val="single"/>
              </w:rPr>
            </w:pPr>
            <w:r>
              <w:rPr>
                <w:b/>
                <w:bCs w:val="0"/>
                <w:color w:val="auto"/>
                <w:spacing w:val="-2"/>
                <w:u w:val="single"/>
              </w:rPr>
              <w:t>酸、破乳剂、碱、PAC、PAM</w:t>
            </w:r>
          </w:p>
        </w:tc>
        <w:tc>
          <w:tcPr>
            <w:tcW w:w="974" w:type="pct"/>
            <w:shd w:val="clear" w:color="auto" w:fill="auto"/>
            <w:vAlign w:val="center"/>
          </w:tcPr>
          <w:p>
            <w:pPr>
              <w:jc w:val="center"/>
              <w:rPr>
                <w:b/>
                <w:bCs w:val="0"/>
                <w:color w:val="auto"/>
                <w:spacing w:val="-2"/>
                <w:u w:val="single"/>
              </w:rPr>
            </w:pPr>
            <w:r>
              <w:rPr>
                <w:b/>
                <w:bCs w:val="0"/>
                <w:color w:val="auto"/>
                <w:spacing w:val="-2"/>
                <w:u w:val="single"/>
              </w:rPr>
              <w:t>WRS/PROM</w:t>
            </w:r>
          </w:p>
        </w:tc>
        <w:tc>
          <w:tcPr>
            <w:tcW w:w="316" w:type="pct"/>
            <w:shd w:val="clear" w:color="auto" w:fill="auto"/>
            <w:vAlign w:val="center"/>
          </w:tcPr>
          <w:p>
            <w:pPr>
              <w:jc w:val="center"/>
              <w:rPr>
                <w:b/>
                <w:bCs w:val="0"/>
                <w:color w:val="auto"/>
                <w:spacing w:val="-2"/>
                <w:u w:val="single"/>
              </w:rPr>
            </w:pPr>
            <w:r>
              <w:rPr>
                <w:b/>
                <w:bCs w:val="0"/>
                <w:color w:val="auto"/>
                <w:spacing w:val="-2"/>
                <w:u w:val="single"/>
              </w:rPr>
              <w:t>台</w:t>
            </w:r>
          </w:p>
        </w:tc>
        <w:tc>
          <w:tcPr>
            <w:tcW w:w="298" w:type="pct"/>
            <w:shd w:val="clear" w:color="auto" w:fill="auto"/>
            <w:vAlign w:val="center"/>
          </w:tcPr>
          <w:p>
            <w:pPr>
              <w:jc w:val="center"/>
              <w:rPr>
                <w:b/>
                <w:bCs w:val="0"/>
                <w:color w:val="auto"/>
                <w:spacing w:val="-2"/>
                <w:u w:val="single"/>
              </w:rPr>
            </w:pPr>
            <w:r>
              <w:rPr>
                <w:b/>
                <w:bCs w:val="0"/>
                <w:color w:val="auto"/>
                <w:spacing w:val="-2"/>
                <w:u w:val="single"/>
              </w:rPr>
              <w:t>5</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3" w:type="pct"/>
            <w:vMerge w:val="continue"/>
            <w:tcBorders>
              <w:top w:val="nil"/>
              <w:bottom w:val="nil"/>
            </w:tcBorders>
            <w:shd w:val="clear" w:color="auto" w:fill="auto"/>
            <w:vAlign w:val="center"/>
          </w:tcPr>
          <w:p>
            <w:pPr>
              <w:jc w:val="center"/>
              <w:rPr>
                <w:b/>
                <w:bCs w:val="0"/>
                <w:color w:val="auto"/>
                <w:spacing w:val="-2"/>
                <w:u w:val="single"/>
              </w:rPr>
            </w:pPr>
          </w:p>
        </w:tc>
        <w:tc>
          <w:tcPr>
            <w:tcW w:w="529" w:type="pct"/>
            <w:vMerge w:val="continue"/>
            <w:tcBorders>
              <w:top w:val="nil"/>
              <w:bottom w:val="nil"/>
            </w:tcBorders>
            <w:shd w:val="clear" w:color="auto" w:fill="auto"/>
            <w:vAlign w:val="center"/>
          </w:tcPr>
          <w:p>
            <w:pPr>
              <w:jc w:val="center"/>
              <w:rPr>
                <w:b/>
                <w:bCs w:val="0"/>
                <w:color w:val="auto"/>
                <w:spacing w:val="-2"/>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加药流量计</w:t>
            </w:r>
          </w:p>
        </w:tc>
        <w:tc>
          <w:tcPr>
            <w:tcW w:w="1247" w:type="pct"/>
            <w:shd w:val="clear" w:color="auto" w:fill="auto"/>
            <w:vAlign w:val="center"/>
          </w:tcPr>
          <w:p>
            <w:pPr>
              <w:jc w:val="center"/>
              <w:rPr>
                <w:b/>
                <w:bCs w:val="0"/>
                <w:color w:val="auto"/>
                <w:spacing w:val="-2"/>
                <w:u w:val="single"/>
              </w:rPr>
            </w:pPr>
            <w:r>
              <w:rPr>
                <w:b/>
                <w:bCs w:val="0"/>
                <w:color w:val="auto"/>
                <w:spacing w:val="-2"/>
                <w:u w:val="single"/>
              </w:rPr>
              <w:t>DN15</w:t>
            </w:r>
          </w:p>
        </w:tc>
        <w:tc>
          <w:tcPr>
            <w:tcW w:w="974" w:type="pct"/>
            <w:shd w:val="clear" w:color="auto" w:fill="auto"/>
            <w:vAlign w:val="center"/>
          </w:tcPr>
          <w:p>
            <w:pPr>
              <w:jc w:val="center"/>
              <w:rPr>
                <w:b/>
                <w:bCs w:val="0"/>
                <w:color w:val="auto"/>
                <w:spacing w:val="-2"/>
                <w:u w:val="single"/>
              </w:rPr>
            </w:pPr>
            <w:r>
              <w:rPr>
                <w:rFonts w:hint="eastAsia"/>
                <w:b/>
                <w:bCs w:val="0"/>
                <w:color w:val="auto"/>
                <w:spacing w:val="-2"/>
                <w:u w:val="single"/>
              </w:rPr>
              <w:t>金</w:t>
            </w:r>
            <w:r>
              <w:rPr>
                <w:b/>
                <w:bCs w:val="0"/>
                <w:color w:val="auto"/>
                <w:spacing w:val="-2"/>
                <w:u w:val="single"/>
              </w:rPr>
              <w:t>泰或同等</w:t>
            </w:r>
          </w:p>
        </w:tc>
        <w:tc>
          <w:tcPr>
            <w:tcW w:w="316" w:type="pct"/>
            <w:shd w:val="clear" w:color="auto" w:fill="auto"/>
            <w:vAlign w:val="center"/>
          </w:tcPr>
          <w:p>
            <w:pPr>
              <w:jc w:val="center"/>
              <w:rPr>
                <w:b/>
                <w:bCs w:val="0"/>
                <w:color w:val="auto"/>
                <w:spacing w:val="-2"/>
                <w:u w:val="single"/>
              </w:rPr>
            </w:pPr>
            <w:r>
              <w:rPr>
                <w:b/>
                <w:bCs w:val="0"/>
                <w:color w:val="auto"/>
                <w:spacing w:val="-2"/>
                <w:u w:val="single"/>
              </w:rPr>
              <w:t>个</w:t>
            </w:r>
          </w:p>
        </w:tc>
        <w:tc>
          <w:tcPr>
            <w:tcW w:w="298" w:type="pct"/>
            <w:shd w:val="clear" w:color="auto" w:fill="auto"/>
            <w:vAlign w:val="center"/>
          </w:tcPr>
          <w:p>
            <w:pPr>
              <w:jc w:val="center"/>
              <w:rPr>
                <w:b/>
                <w:bCs w:val="0"/>
                <w:color w:val="auto"/>
                <w:spacing w:val="-2"/>
                <w:u w:val="single"/>
              </w:rPr>
            </w:pPr>
            <w:r>
              <w:rPr>
                <w:b/>
                <w:bCs w:val="0"/>
                <w:color w:val="auto"/>
                <w:spacing w:val="-2"/>
                <w:u w:val="single"/>
              </w:rPr>
              <w:t>5</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3" w:type="pct"/>
            <w:vMerge w:val="continue"/>
            <w:tcBorders>
              <w:top w:val="nil"/>
              <w:bottom w:val="nil"/>
            </w:tcBorders>
            <w:shd w:val="clear" w:color="auto" w:fill="auto"/>
            <w:vAlign w:val="center"/>
          </w:tcPr>
          <w:p>
            <w:pPr>
              <w:jc w:val="center"/>
              <w:rPr>
                <w:b/>
                <w:bCs w:val="0"/>
                <w:color w:val="auto"/>
                <w:u w:val="single"/>
              </w:rPr>
            </w:pPr>
          </w:p>
        </w:tc>
        <w:tc>
          <w:tcPr>
            <w:tcW w:w="529" w:type="pct"/>
            <w:vMerge w:val="continue"/>
            <w:tcBorders>
              <w:top w:val="nil"/>
              <w:bottom w:val="nil"/>
            </w:tcBorders>
            <w:shd w:val="clear" w:color="auto" w:fill="auto"/>
            <w:vAlign w:val="center"/>
          </w:tcPr>
          <w:p>
            <w:pPr>
              <w:jc w:val="center"/>
              <w:rPr>
                <w:b/>
                <w:bCs w:val="0"/>
                <w:color w:val="auto"/>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PH 仪</w:t>
            </w:r>
          </w:p>
        </w:tc>
        <w:tc>
          <w:tcPr>
            <w:tcW w:w="1247" w:type="pct"/>
            <w:shd w:val="clear" w:color="auto" w:fill="auto"/>
            <w:vAlign w:val="center"/>
          </w:tcPr>
          <w:p>
            <w:pPr>
              <w:jc w:val="center"/>
              <w:rPr>
                <w:b/>
                <w:bCs w:val="0"/>
                <w:color w:val="auto"/>
                <w:spacing w:val="-2"/>
                <w:u w:val="single"/>
              </w:rPr>
            </w:pPr>
            <w:r>
              <w:rPr>
                <w:b/>
                <w:bCs w:val="0"/>
                <w:color w:val="auto"/>
                <w:spacing w:val="-2"/>
                <w:u w:val="single"/>
              </w:rPr>
              <w:t>0-14，</w:t>
            </w:r>
            <w:r>
              <w:rPr>
                <w:rFonts w:hint="eastAsia"/>
                <w:b/>
                <w:bCs w:val="0"/>
                <w:color w:val="auto"/>
                <w:spacing w:val="-2"/>
                <w:u w:val="single"/>
              </w:rPr>
              <w:t>面</w:t>
            </w:r>
            <w:r>
              <w:rPr>
                <w:b/>
                <w:bCs w:val="0"/>
                <w:color w:val="auto"/>
                <w:spacing w:val="-2"/>
                <w:u w:val="single"/>
              </w:rPr>
              <w:t>板式</w:t>
            </w:r>
          </w:p>
        </w:tc>
        <w:tc>
          <w:tcPr>
            <w:tcW w:w="974" w:type="pct"/>
            <w:shd w:val="clear" w:color="auto" w:fill="auto"/>
            <w:vAlign w:val="center"/>
          </w:tcPr>
          <w:p>
            <w:pPr>
              <w:jc w:val="center"/>
              <w:rPr>
                <w:b/>
                <w:bCs w:val="0"/>
                <w:color w:val="auto"/>
                <w:spacing w:val="-2"/>
                <w:u w:val="single"/>
              </w:rPr>
            </w:pPr>
            <w:r>
              <w:rPr>
                <w:b/>
                <w:bCs w:val="0"/>
                <w:color w:val="auto"/>
                <w:spacing w:val="-2"/>
                <w:u w:val="single"/>
              </w:rPr>
              <w:t>HOTEC/SUNTEX</w:t>
            </w:r>
          </w:p>
        </w:tc>
        <w:tc>
          <w:tcPr>
            <w:tcW w:w="316" w:type="pct"/>
            <w:shd w:val="clear" w:color="auto" w:fill="auto"/>
            <w:vAlign w:val="center"/>
          </w:tcPr>
          <w:p>
            <w:pPr>
              <w:jc w:val="center"/>
              <w:rPr>
                <w:b/>
                <w:bCs w:val="0"/>
                <w:color w:val="auto"/>
                <w:spacing w:val="-2"/>
                <w:u w:val="single"/>
              </w:rPr>
            </w:pPr>
            <w:r>
              <w:rPr>
                <w:b/>
                <w:bCs w:val="0"/>
                <w:color w:val="auto"/>
                <w:spacing w:val="-2"/>
                <w:u w:val="single"/>
              </w:rPr>
              <w:t>套</w:t>
            </w:r>
          </w:p>
        </w:tc>
        <w:tc>
          <w:tcPr>
            <w:tcW w:w="298" w:type="pct"/>
            <w:shd w:val="clear" w:color="auto" w:fill="auto"/>
            <w:vAlign w:val="center"/>
          </w:tcPr>
          <w:p>
            <w:pPr>
              <w:jc w:val="center"/>
              <w:rPr>
                <w:b/>
                <w:bCs w:val="0"/>
                <w:color w:val="auto"/>
                <w:spacing w:val="-2"/>
                <w:u w:val="single"/>
              </w:rPr>
            </w:pPr>
            <w:r>
              <w:rPr>
                <w:b/>
                <w:bCs w:val="0"/>
                <w:color w:val="auto"/>
                <w:spacing w:val="-2"/>
                <w:u w:val="single"/>
              </w:rPr>
              <w:t>2</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3" w:type="pct"/>
            <w:vMerge w:val="continue"/>
            <w:tcBorders>
              <w:top w:val="nil"/>
              <w:bottom w:val="nil"/>
            </w:tcBorders>
            <w:shd w:val="clear" w:color="auto" w:fill="auto"/>
            <w:vAlign w:val="center"/>
          </w:tcPr>
          <w:p>
            <w:pPr>
              <w:jc w:val="center"/>
              <w:rPr>
                <w:b/>
                <w:bCs w:val="0"/>
                <w:color w:val="auto"/>
                <w:u w:val="single"/>
              </w:rPr>
            </w:pPr>
          </w:p>
        </w:tc>
        <w:tc>
          <w:tcPr>
            <w:tcW w:w="529" w:type="pct"/>
            <w:vMerge w:val="continue"/>
            <w:tcBorders>
              <w:top w:val="nil"/>
              <w:bottom w:val="nil"/>
            </w:tcBorders>
            <w:shd w:val="clear" w:color="auto" w:fill="auto"/>
            <w:vAlign w:val="center"/>
          </w:tcPr>
          <w:p>
            <w:pPr>
              <w:jc w:val="center"/>
              <w:rPr>
                <w:b/>
                <w:bCs w:val="0"/>
                <w:color w:val="auto"/>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搅拌机</w:t>
            </w:r>
          </w:p>
        </w:tc>
        <w:tc>
          <w:tcPr>
            <w:tcW w:w="1247" w:type="pct"/>
            <w:shd w:val="clear" w:color="auto" w:fill="auto"/>
            <w:vAlign w:val="center"/>
          </w:tcPr>
          <w:p>
            <w:pPr>
              <w:jc w:val="center"/>
              <w:rPr>
                <w:b/>
                <w:bCs w:val="0"/>
                <w:color w:val="auto"/>
                <w:spacing w:val="-2"/>
                <w:u w:val="single"/>
              </w:rPr>
            </w:pPr>
            <w:r>
              <w:rPr>
                <w:b/>
                <w:bCs w:val="0"/>
                <w:color w:val="auto"/>
                <w:spacing w:val="-2"/>
                <w:u w:val="single"/>
              </w:rPr>
              <w:t>Q235 衬塑，  30-60rpm</w:t>
            </w:r>
          </w:p>
        </w:tc>
        <w:tc>
          <w:tcPr>
            <w:tcW w:w="974" w:type="pct"/>
            <w:shd w:val="clear" w:color="auto" w:fill="auto"/>
            <w:vAlign w:val="center"/>
          </w:tcPr>
          <w:p>
            <w:pPr>
              <w:jc w:val="center"/>
              <w:rPr>
                <w:b/>
                <w:bCs w:val="0"/>
                <w:color w:val="auto"/>
                <w:spacing w:val="-2"/>
                <w:u w:val="single"/>
              </w:rPr>
            </w:pPr>
            <w:r>
              <w:rPr>
                <w:b/>
                <w:bCs w:val="0"/>
                <w:color w:val="auto"/>
                <w:spacing w:val="-2"/>
                <w:u w:val="single"/>
              </w:rPr>
              <w:t>国茂/永创</w:t>
            </w:r>
          </w:p>
        </w:tc>
        <w:tc>
          <w:tcPr>
            <w:tcW w:w="316" w:type="pct"/>
            <w:shd w:val="clear" w:color="auto" w:fill="auto"/>
            <w:vAlign w:val="center"/>
          </w:tcPr>
          <w:p>
            <w:pPr>
              <w:jc w:val="center"/>
              <w:rPr>
                <w:b/>
                <w:bCs w:val="0"/>
                <w:color w:val="auto"/>
                <w:spacing w:val="-2"/>
                <w:u w:val="single"/>
              </w:rPr>
            </w:pPr>
            <w:r>
              <w:rPr>
                <w:b/>
                <w:bCs w:val="0"/>
                <w:color w:val="auto"/>
                <w:spacing w:val="-2"/>
                <w:u w:val="single"/>
              </w:rPr>
              <w:t>台</w:t>
            </w:r>
          </w:p>
        </w:tc>
        <w:tc>
          <w:tcPr>
            <w:tcW w:w="298" w:type="pct"/>
            <w:shd w:val="clear" w:color="auto" w:fill="auto"/>
            <w:vAlign w:val="center"/>
          </w:tcPr>
          <w:p>
            <w:pPr>
              <w:jc w:val="center"/>
              <w:rPr>
                <w:b/>
                <w:bCs w:val="0"/>
                <w:color w:val="auto"/>
                <w:spacing w:val="-2"/>
                <w:u w:val="single"/>
              </w:rPr>
            </w:pPr>
            <w:r>
              <w:rPr>
                <w:b/>
                <w:bCs w:val="0"/>
                <w:color w:val="auto"/>
                <w:spacing w:val="-2"/>
                <w:u w:val="single"/>
              </w:rPr>
              <w:t>2</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3" w:type="pct"/>
            <w:vMerge w:val="continue"/>
            <w:tcBorders>
              <w:top w:val="nil"/>
              <w:bottom w:val="nil"/>
            </w:tcBorders>
            <w:shd w:val="clear" w:color="auto" w:fill="auto"/>
            <w:vAlign w:val="center"/>
          </w:tcPr>
          <w:p>
            <w:pPr>
              <w:jc w:val="center"/>
              <w:rPr>
                <w:b/>
                <w:bCs w:val="0"/>
                <w:color w:val="auto"/>
                <w:u w:val="single"/>
              </w:rPr>
            </w:pPr>
          </w:p>
        </w:tc>
        <w:tc>
          <w:tcPr>
            <w:tcW w:w="529" w:type="pct"/>
            <w:vMerge w:val="continue"/>
            <w:tcBorders>
              <w:top w:val="nil"/>
              <w:bottom w:val="nil"/>
            </w:tcBorders>
            <w:shd w:val="clear" w:color="auto" w:fill="auto"/>
            <w:vAlign w:val="center"/>
          </w:tcPr>
          <w:p>
            <w:pPr>
              <w:jc w:val="center"/>
              <w:rPr>
                <w:b/>
                <w:bCs w:val="0"/>
                <w:color w:val="auto"/>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搅拌机</w:t>
            </w:r>
            <w:r>
              <w:rPr>
                <w:rFonts w:hint="eastAsia"/>
                <w:b/>
                <w:bCs w:val="0"/>
                <w:color w:val="auto"/>
                <w:spacing w:val="-2"/>
                <w:u w:val="single"/>
              </w:rPr>
              <w:t>支</w:t>
            </w:r>
            <w:r>
              <w:rPr>
                <w:b/>
                <w:bCs w:val="0"/>
                <w:color w:val="auto"/>
                <w:spacing w:val="-2"/>
                <w:u w:val="single"/>
              </w:rPr>
              <w:t>架</w:t>
            </w:r>
          </w:p>
        </w:tc>
        <w:tc>
          <w:tcPr>
            <w:tcW w:w="1247" w:type="pct"/>
            <w:shd w:val="clear" w:color="auto" w:fill="auto"/>
            <w:vAlign w:val="center"/>
          </w:tcPr>
          <w:p>
            <w:pPr>
              <w:jc w:val="center"/>
              <w:rPr>
                <w:b/>
                <w:bCs w:val="0"/>
                <w:color w:val="auto"/>
                <w:spacing w:val="-2"/>
                <w:u w:val="single"/>
              </w:rPr>
            </w:pPr>
            <w:r>
              <w:rPr>
                <w:b/>
                <w:bCs w:val="0"/>
                <w:color w:val="auto"/>
                <w:spacing w:val="-2"/>
                <w:u w:val="single"/>
              </w:rPr>
              <w:t>Q235，防腐</w:t>
            </w:r>
          </w:p>
        </w:tc>
        <w:tc>
          <w:tcPr>
            <w:tcW w:w="974"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16" w:type="pct"/>
            <w:shd w:val="clear" w:color="auto" w:fill="auto"/>
            <w:vAlign w:val="center"/>
          </w:tcPr>
          <w:p>
            <w:pPr>
              <w:jc w:val="center"/>
              <w:rPr>
                <w:b/>
                <w:bCs w:val="0"/>
                <w:color w:val="auto"/>
                <w:spacing w:val="-2"/>
                <w:u w:val="single"/>
              </w:rPr>
            </w:pPr>
            <w:r>
              <w:rPr>
                <w:b/>
                <w:bCs w:val="0"/>
                <w:color w:val="auto"/>
                <w:spacing w:val="-2"/>
                <w:u w:val="single"/>
              </w:rPr>
              <w:t>套</w:t>
            </w:r>
          </w:p>
        </w:tc>
        <w:tc>
          <w:tcPr>
            <w:tcW w:w="298" w:type="pct"/>
            <w:shd w:val="clear" w:color="auto" w:fill="auto"/>
            <w:vAlign w:val="center"/>
          </w:tcPr>
          <w:p>
            <w:pPr>
              <w:jc w:val="center"/>
              <w:rPr>
                <w:b/>
                <w:bCs w:val="0"/>
                <w:color w:val="auto"/>
                <w:spacing w:val="-2"/>
                <w:u w:val="single"/>
              </w:rPr>
            </w:pPr>
            <w:r>
              <w:rPr>
                <w:b/>
                <w:bCs w:val="0"/>
                <w:color w:val="auto"/>
                <w:spacing w:val="-2"/>
                <w:u w:val="single"/>
              </w:rPr>
              <w:t>2</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93" w:type="pct"/>
            <w:vMerge w:val="continue"/>
            <w:tcBorders>
              <w:top w:val="nil"/>
              <w:bottom w:val="nil"/>
            </w:tcBorders>
            <w:shd w:val="clear" w:color="auto" w:fill="auto"/>
            <w:vAlign w:val="center"/>
          </w:tcPr>
          <w:p>
            <w:pPr>
              <w:jc w:val="center"/>
              <w:rPr>
                <w:b/>
                <w:bCs w:val="0"/>
                <w:color w:val="auto"/>
                <w:u w:val="single"/>
              </w:rPr>
            </w:pPr>
          </w:p>
        </w:tc>
        <w:tc>
          <w:tcPr>
            <w:tcW w:w="529" w:type="pct"/>
            <w:vMerge w:val="continue"/>
            <w:tcBorders>
              <w:top w:val="nil"/>
              <w:bottom w:val="nil"/>
            </w:tcBorders>
            <w:shd w:val="clear" w:color="auto" w:fill="auto"/>
            <w:vAlign w:val="center"/>
          </w:tcPr>
          <w:p>
            <w:pPr>
              <w:jc w:val="center"/>
              <w:rPr>
                <w:b/>
                <w:bCs w:val="0"/>
                <w:color w:val="auto"/>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刮渣机</w:t>
            </w:r>
          </w:p>
        </w:tc>
        <w:tc>
          <w:tcPr>
            <w:tcW w:w="1247"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974"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16" w:type="pct"/>
            <w:shd w:val="clear" w:color="auto" w:fill="auto"/>
            <w:vAlign w:val="center"/>
          </w:tcPr>
          <w:p>
            <w:pPr>
              <w:jc w:val="center"/>
              <w:rPr>
                <w:b/>
                <w:bCs w:val="0"/>
                <w:color w:val="auto"/>
                <w:spacing w:val="-2"/>
                <w:u w:val="single"/>
              </w:rPr>
            </w:pPr>
            <w:r>
              <w:rPr>
                <w:b/>
                <w:bCs w:val="0"/>
                <w:color w:val="auto"/>
                <w:spacing w:val="-2"/>
                <w:u w:val="single"/>
              </w:rPr>
              <w:t>套</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93" w:type="pct"/>
            <w:vMerge w:val="continue"/>
            <w:tcBorders>
              <w:top w:val="nil"/>
              <w:bottom w:val="nil"/>
            </w:tcBorders>
            <w:shd w:val="clear" w:color="auto" w:fill="auto"/>
            <w:vAlign w:val="center"/>
          </w:tcPr>
          <w:p>
            <w:pPr>
              <w:jc w:val="center"/>
              <w:rPr>
                <w:b/>
                <w:bCs w:val="0"/>
                <w:color w:val="auto"/>
                <w:u w:val="single"/>
              </w:rPr>
            </w:pPr>
          </w:p>
        </w:tc>
        <w:tc>
          <w:tcPr>
            <w:tcW w:w="529" w:type="pct"/>
            <w:vMerge w:val="continue"/>
            <w:tcBorders>
              <w:top w:val="nil"/>
              <w:bottom w:val="nil"/>
            </w:tcBorders>
            <w:shd w:val="clear" w:color="auto" w:fill="auto"/>
            <w:vAlign w:val="center"/>
          </w:tcPr>
          <w:p>
            <w:pPr>
              <w:jc w:val="center"/>
              <w:rPr>
                <w:b/>
                <w:bCs w:val="0"/>
                <w:color w:val="auto"/>
                <w:u w:val="single"/>
              </w:rPr>
            </w:pPr>
          </w:p>
        </w:tc>
        <w:tc>
          <w:tcPr>
            <w:tcW w:w="786" w:type="pct"/>
            <w:shd w:val="clear" w:color="auto" w:fill="auto"/>
            <w:vAlign w:val="center"/>
          </w:tcPr>
          <w:p>
            <w:pPr>
              <w:jc w:val="center"/>
              <w:rPr>
                <w:b/>
                <w:bCs w:val="0"/>
                <w:color w:val="auto"/>
                <w:spacing w:val="-2"/>
                <w:u w:val="single"/>
              </w:rPr>
            </w:pPr>
            <w:r>
              <w:rPr>
                <w:b/>
                <w:bCs w:val="0"/>
                <w:color w:val="auto"/>
                <w:spacing w:val="-2"/>
                <w:u w:val="single"/>
              </w:rPr>
              <w:t>溶</w:t>
            </w:r>
            <w:r>
              <w:rPr>
                <w:rFonts w:hint="eastAsia"/>
                <w:b/>
                <w:bCs w:val="0"/>
                <w:color w:val="auto"/>
                <w:spacing w:val="-2"/>
                <w:u w:val="single"/>
              </w:rPr>
              <w:t>气</w:t>
            </w:r>
            <w:r>
              <w:rPr>
                <w:b/>
                <w:bCs w:val="0"/>
                <w:color w:val="auto"/>
                <w:spacing w:val="-2"/>
                <w:u w:val="single"/>
              </w:rPr>
              <w:t>系统</w:t>
            </w:r>
          </w:p>
        </w:tc>
        <w:tc>
          <w:tcPr>
            <w:tcW w:w="1247" w:type="pct"/>
            <w:shd w:val="clear" w:color="auto" w:fill="auto"/>
            <w:vAlign w:val="center"/>
          </w:tcPr>
          <w:p>
            <w:pPr>
              <w:jc w:val="center"/>
              <w:rPr>
                <w:b/>
                <w:bCs w:val="0"/>
                <w:color w:val="auto"/>
                <w:spacing w:val="-2"/>
                <w:u w:val="single"/>
              </w:rPr>
            </w:pPr>
            <w:r>
              <w:rPr>
                <w:b/>
                <w:bCs w:val="0"/>
                <w:color w:val="auto"/>
                <w:spacing w:val="-2"/>
                <w:u w:val="single"/>
              </w:rPr>
              <w:t>3m</w:t>
            </w:r>
            <w:r>
              <w:rPr>
                <w:b/>
                <w:bCs w:val="0"/>
                <w:color w:val="auto"/>
                <w:spacing w:val="-2"/>
                <w:u w:val="single"/>
                <w:vertAlign w:val="superscript"/>
              </w:rPr>
              <w:t>3</w:t>
            </w:r>
            <w:r>
              <w:rPr>
                <w:b/>
                <w:bCs w:val="0"/>
                <w:color w:val="auto"/>
                <w:spacing w:val="-2"/>
                <w:u w:val="single"/>
              </w:rPr>
              <w:t>/h</w:t>
            </w:r>
          </w:p>
        </w:tc>
        <w:tc>
          <w:tcPr>
            <w:tcW w:w="974"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16" w:type="pct"/>
            <w:shd w:val="clear" w:color="auto" w:fill="auto"/>
            <w:vAlign w:val="center"/>
          </w:tcPr>
          <w:p>
            <w:pPr>
              <w:jc w:val="center"/>
              <w:rPr>
                <w:b/>
                <w:bCs w:val="0"/>
                <w:color w:val="auto"/>
                <w:spacing w:val="-2"/>
                <w:u w:val="single"/>
              </w:rPr>
            </w:pPr>
            <w:r>
              <w:rPr>
                <w:b/>
                <w:bCs w:val="0"/>
                <w:color w:val="auto"/>
                <w:spacing w:val="-2"/>
                <w:u w:val="single"/>
              </w:rPr>
              <w:t>套</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293" w:type="pct"/>
            <w:vMerge w:val="continue"/>
            <w:tcBorders>
              <w:top w:val="nil"/>
            </w:tcBorders>
            <w:shd w:val="clear" w:color="auto" w:fill="auto"/>
            <w:vAlign w:val="center"/>
          </w:tcPr>
          <w:p>
            <w:pPr>
              <w:jc w:val="center"/>
              <w:rPr>
                <w:b/>
                <w:bCs w:val="0"/>
                <w:color w:val="auto"/>
                <w:u w:val="single"/>
              </w:rPr>
            </w:pPr>
          </w:p>
        </w:tc>
        <w:tc>
          <w:tcPr>
            <w:tcW w:w="529" w:type="pct"/>
            <w:vMerge w:val="continue"/>
            <w:tcBorders>
              <w:top w:val="nil"/>
            </w:tcBorders>
            <w:shd w:val="clear" w:color="auto" w:fill="auto"/>
            <w:vAlign w:val="center"/>
          </w:tcPr>
          <w:p>
            <w:pPr>
              <w:jc w:val="center"/>
              <w:rPr>
                <w:b/>
                <w:bCs w:val="0"/>
                <w:color w:val="auto"/>
                <w:u w:val="single"/>
              </w:rPr>
            </w:pPr>
          </w:p>
        </w:tc>
        <w:tc>
          <w:tcPr>
            <w:tcW w:w="786" w:type="pct"/>
            <w:shd w:val="clear" w:color="auto" w:fill="auto"/>
            <w:vAlign w:val="center"/>
          </w:tcPr>
          <w:p>
            <w:pPr>
              <w:jc w:val="center"/>
              <w:rPr>
                <w:b/>
                <w:bCs w:val="0"/>
                <w:color w:val="auto"/>
                <w:spacing w:val="-2"/>
                <w:u w:val="single"/>
              </w:rPr>
            </w:pPr>
            <w:r>
              <w:rPr>
                <w:rFonts w:hint="eastAsia"/>
                <w:b/>
                <w:bCs w:val="0"/>
                <w:color w:val="auto"/>
                <w:spacing w:val="-2"/>
                <w:u w:val="single"/>
              </w:rPr>
              <w:t>气</w:t>
            </w:r>
            <w:r>
              <w:rPr>
                <w:b/>
                <w:bCs w:val="0"/>
                <w:color w:val="auto"/>
                <w:spacing w:val="-2"/>
                <w:u w:val="single"/>
              </w:rPr>
              <w:t>浮</w:t>
            </w:r>
            <w:r>
              <w:rPr>
                <w:rFonts w:eastAsia="Meiryo"/>
                <w:b/>
                <w:bCs w:val="0"/>
                <w:color w:val="auto"/>
                <w:spacing w:val="-2"/>
                <w:u w:val="single"/>
              </w:rPr>
              <w:t>⼀</w:t>
            </w:r>
            <w:r>
              <w:rPr>
                <w:b/>
                <w:bCs w:val="0"/>
                <w:color w:val="auto"/>
                <w:spacing w:val="-2"/>
                <w:u w:val="single"/>
              </w:rPr>
              <w:t>体机</w:t>
            </w:r>
          </w:p>
        </w:tc>
        <w:tc>
          <w:tcPr>
            <w:tcW w:w="1247" w:type="pct"/>
            <w:shd w:val="clear" w:color="auto" w:fill="auto"/>
            <w:vAlign w:val="center"/>
          </w:tcPr>
          <w:p>
            <w:pPr>
              <w:jc w:val="center"/>
              <w:rPr>
                <w:b/>
                <w:bCs w:val="0"/>
                <w:color w:val="auto"/>
                <w:spacing w:val="-2"/>
                <w:u w:val="single"/>
              </w:rPr>
            </w:pPr>
            <w:r>
              <w:rPr>
                <w:b/>
                <w:bCs w:val="0"/>
                <w:color w:val="auto"/>
                <w:spacing w:val="-2"/>
                <w:u w:val="single"/>
              </w:rPr>
              <w:t>3.5m</w:t>
            </w:r>
            <w:r>
              <w:rPr>
                <w:b/>
                <w:bCs w:val="0"/>
                <w:color w:val="auto"/>
                <w:spacing w:val="-2"/>
                <w:u w:val="single"/>
                <w:vertAlign w:val="superscript"/>
              </w:rPr>
              <w:t>3</w:t>
            </w:r>
            <w:r>
              <w:rPr>
                <w:b/>
                <w:bCs w:val="0"/>
                <w:color w:val="auto"/>
                <w:spacing w:val="-2"/>
                <w:u w:val="single"/>
              </w:rPr>
              <w:t>/h，Q235 防腐</w:t>
            </w:r>
          </w:p>
        </w:tc>
        <w:tc>
          <w:tcPr>
            <w:tcW w:w="974"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16" w:type="pct"/>
            <w:shd w:val="clear" w:color="auto" w:fill="auto"/>
            <w:vAlign w:val="center"/>
          </w:tcPr>
          <w:p>
            <w:pPr>
              <w:jc w:val="center"/>
              <w:rPr>
                <w:b/>
                <w:bCs w:val="0"/>
                <w:color w:val="auto"/>
                <w:spacing w:val="-2"/>
                <w:u w:val="single"/>
              </w:rPr>
            </w:pPr>
            <w:r>
              <w:rPr>
                <w:b/>
                <w:bCs w:val="0"/>
                <w:color w:val="auto"/>
                <w:spacing w:val="-2"/>
                <w:u w:val="single"/>
              </w:rPr>
              <w:t>套</w:t>
            </w:r>
          </w:p>
        </w:tc>
        <w:tc>
          <w:tcPr>
            <w:tcW w:w="298" w:type="pct"/>
            <w:shd w:val="clear" w:color="auto" w:fill="auto"/>
            <w:vAlign w:val="center"/>
          </w:tcPr>
          <w:p>
            <w:pPr>
              <w:jc w:val="center"/>
              <w:rPr>
                <w:b/>
                <w:bCs w:val="0"/>
                <w:color w:val="auto"/>
                <w:spacing w:val="-2"/>
                <w:u w:val="single"/>
              </w:rPr>
            </w:pPr>
            <w:r>
              <w:rPr>
                <w:b/>
                <w:bCs w:val="0"/>
                <w:color w:val="auto"/>
                <w:spacing w:val="-2"/>
                <w:u w:val="single"/>
              </w:rPr>
              <w:t>1</w:t>
            </w:r>
          </w:p>
        </w:tc>
        <w:tc>
          <w:tcPr>
            <w:tcW w:w="557" w:type="pct"/>
            <w:shd w:val="clear" w:color="auto" w:fill="auto"/>
            <w:vAlign w:val="center"/>
          </w:tcPr>
          <w:p>
            <w:pPr>
              <w:jc w:val="center"/>
              <w:rPr>
                <w:b/>
                <w:bCs w:val="0"/>
                <w:color w:val="auto"/>
                <w:spacing w:val="-2"/>
                <w:u w:val="single"/>
              </w:rPr>
            </w:pP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ind w:firstLine="482" w:firstLineChars="200"/>
        <w:textAlignment w:val="auto"/>
        <w:rPr>
          <w:rFonts w:ascii="宋体" w:hAnsi="宋体"/>
          <w:b/>
          <w:bCs w:val="0"/>
          <w:color w:val="auto"/>
          <w:kern w:val="21"/>
          <w:sz w:val="24"/>
          <w:u w:val="single"/>
          <w:lang w:val="en-US"/>
        </w:rPr>
      </w:pPr>
      <w:r>
        <w:rPr>
          <w:rFonts w:hint="eastAsia" w:ascii="宋体" w:hAnsi="宋体"/>
          <w:b/>
          <w:bCs w:val="0"/>
          <w:color w:val="auto"/>
          <w:kern w:val="21"/>
          <w:sz w:val="24"/>
          <w:u w:val="single"/>
          <w:lang w:val="en-US"/>
        </w:rPr>
        <w:t>（4）酸性废水预处理主要设备</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酸性废水预处理系统主要设备见下表。</w:t>
      </w:r>
    </w:p>
    <w:p>
      <w:pPr>
        <w:pStyle w:val="32"/>
        <w:adjustRightInd w:val="0"/>
        <w:snapToGrid w:val="0"/>
        <w:spacing w:after="0" w:line="360" w:lineRule="auto"/>
        <w:ind w:firstLine="482" w:firstLineChars="200"/>
        <w:jc w:val="center"/>
        <w:rPr>
          <w:rFonts w:ascii="宋体" w:hAnsi="宋体"/>
          <w:b/>
          <w:bCs w:val="0"/>
          <w:color w:val="auto"/>
          <w:kern w:val="21"/>
          <w:sz w:val="24"/>
          <w:u w:val="single"/>
        </w:rPr>
      </w:pPr>
      <w:r>
        <w:rPr>
          <w:rFonts w:hint="eastAsia" w:eastAsia="黑体"/>
          <w:b/>
          <w:bCs w:val="0"/>
          <w:color w:val="auto"/>
          <w:kern w:val="21"/>
          <w:sz w:val="24"/>
          <w:u w:val="single"/>
          <w:lang w:val="en-US"/>
        </w:rPr>
        <w:t>表7.2-10</w:t>
      </w:r>
      <w:r>
        <w:rPr>
          <w:rFonts w:eastAsia="黑体"/>
          <w:b/>
          <w:bCs w:val="0"/>
          <w:color w:val="auto"/>
          <w:kern w:val="21"/>
          <w:sz w:val="24"/>
          <w:u w:val="single"/>
          <w:lang w:val="en-US"/>
        </w:rPr>
        <w:t xml:space="preserve">   酸性</w:t>
      </w:r>
      <w:r>
        <w:rPr>
          <w:rFonts w:hint="eastAsia" w:eastAsia="黑体"/>
          <w:b/>
          <w:bCs w:val="0"/>
          <w:color w:val="auto"/>
          <w:kern w:val="21"/>
          <w:sz w:val="24"/>
          <w:u w:val="single"/>
          <w:lang w:val="en-US"/>
        </w:rPr>
        <w:t>废水预处理系统主要设备一览表</w:t>
      </w:r>
    </w:p>
    <w:tbl>
      <w:tblPr>
        <w:tblStyle w:val="83"/>
        <w:tblW w:w="500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59"/>
        <w:gridCol w:w="871"/>
        <w:gridCol w:w="1353"/>
        <w:gridCol w:w="1963"/>
        <w:gridCol w:w="1651"/>
        <w:gridCol w:w="494"/>
        <w:gridCol w:w="484"/>
        <w:gridCol w:w="105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282"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序号</w:t>
            </w:r>
          </w:p>
        </w:tc>
        <w:tc>
          <w:tcPr>
            <w:tcW w:w="529"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系统</w:t>
            </w: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名称</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规格型号</w:t>
            </w:r>
          </w:p>
        </w:tc>
        <w:tc>
          <w:tcPr>
            <w:tcW w:w="943" w:type="pct"/>
            <w:tcBorders>
              <w:tl2br w:val="nil"/>
              <w:tr2bl w:val="nil"/>
            </w:tcBorders>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商</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单位</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数量</w:t>
            </w:r>
          </w:p>
        </w:tc>
        <w:tc>
          <w:tcPr>
            <w:tcW w:w="639"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restart"/>
            <w:tcBorders>
              <w:tl2br w:val="nil"/>
              <w:tr2bl w:val="nil"/>
            </w:tcBorders>
            <w:shd w:val="clear" w:color="auto" w:fill="auto"/>
            <w:vAlign w:val="center"/>
          </w:tcPr>
          <w:p>
            <w:pPr>
              <w:jc w:val="center"/>
              <w:rPr>
                <w:b/>
                <w:bCs w:val="0"/>
                <w:color w:val="auto"/>
                <w:spacing w:val="-2"/>
                <w:u w:val="single"/>
              </w:rPr>
            </w:pPr>
          </w:p>
        </w:tc>
        <w:tc>
          <w:tcPr>
            <w:tcW w:w="529" w:type="pct"/>
            <w:vMerge w:val="restar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酸洗废</w:t>
            </w:r>
            <w:r>
              <w:rPr>
                <w:rFonts w:hint="eastAsia"/>
                <w:b/>
                <w:bCs w:val="0"/>
                <w:color w:val="auto"/>
                <w:spacing w:val="-2"/>
                <w:u w:val="single"/>
              </w:rPr>
              <w:t>水</w:t>
            </w:r>
            <w:r>
              <w:rPr>
                <w:b/>
                <w:bCs w:val="0"/>
                <w:color w:val="auto"/>
                <w:spacing w:val="-2"/>
                <w:u w:val="single"/>
              </w:rPr>
              <w:t>收集池</w:t>
            </w: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酸洗废</w:t>
            </w:r>
            <w:r>
              <w:rPr>
                <w:rFonts w:hint="eastAsia"/>
                <w:b/>
                <w:bCs w:val="0"/>
                <w:color w:val="auto"/>
                <w:spacing w:val="-2"/>
                <w:u w:val="single"/>
              </w:rPr>
              <w:t>水</w:t>
            </w:r>
            <w:r>
              <w:rPr>
                <w:b/>
                <w:bCs w:val="0"/>
                <w:color w:val="auto"/>
                <w:spacing w:val="-2"/>
                <w:u w:val="single"/>
              </w:rPr>
              <w:t>收集桶</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3</w:t>
            </w:r>
            <w:r>
              <w:rPr>
                <w:b/>
                <w:bCs w:val="0"/>
                <w:color w:val="auto"/>
                <w:spacing w:val="-2"/>
                <w:u w:val="single"/>
              </w:rPr>
              <w:t>，PE 材质</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原</w:t>
            </w:r>
            <w:r>
              <w:rPr>
                <w:rFonts w:hint="eastAsia"/>
                <w:b/>
                <w:bCs w:val="0"/>
                <w:color w:val="auto"/>
                <w:spacing w:val="-2"/>
                <w:u w:val="single"/>
              </w:rPr>
              <w:t>水</w:t>
            </w:r>
            <w:r>
              <w:rPr>
                <w:b/>
                <w:bCs w:val="0"/>
                <w:color w:val="auto"/>
                <w:spacing w:val="-2"/>
                <w:u w:val="single"/>
              </w:rPr>
              <w:t>泵</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Q=11m</w:t>
            </w:r>
            <w:r>
              <w:rPr>
                <w:b/>
                <w:bCs w:val="0"/>
                <w:color w:val="auto"/>
                <w:spacing w:val="-2"/>
                <w:u w:val="single"/>
                <w:vertAlign w:val="superscript"/>
              </w:rPr>
              <w:t>3</w:t>
            </w:r>
            <w:r>
              <w:rPr>
                <w:b/>
                <w:bCs w:val="0"/>
                <w:color w:val="auto"/>
                <w:spacing w:val="-2"/>
                <w:u w:val="single"/>
              </w:rPr>
              <w:t>/h，H=15m，FRPP 材质</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美宝/国宝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639"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进</w:t>
            </w:r>
            <w:r>
              <w:rPr>
                <w:rFonts w:hint="eastAsia"/>
                <w:b/>
                <w:bCs w:val="0"/>
                <w:color w:val="auto"/>
                <w:spacing w:val="-2"/>
                <w:u w:val="single"/>
              </w:rPr>
              <w:t>水</w:t>
            </w:r>
            <w:r>
              <w:rPr>
                <w:b/>
                <w:bCs w:val="0"/>
                <w:color w:val="auto"/>
                <w:spacing w:val="-2"/>
                <w:u w:val="single"/>
              </w:rPr>
              <w:t>辅助系统</w:t>
            </w:r>
          </w:p>
        </w:tc>
        <w:tc>
          <w:tcPr>
            <w:tcW w:w="1184"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液位计</w:t>
            </w:r>
          </w:p>
        </w:tc>
        <w:tc>
          <w:tcPr>
            <w:tcW w:w="1184" w:type="pct"/>
            <w:tcBorders>
              <w:tl2br w:val="nil"/>
              <w:tr2bl w:val="nil"/>
            </w:tcBorders>
            <w:shd w:val="clear" w:color="auto" w:fill="auto"/>
            <w:vAlign w:val="center"/>
          </w:tcPr>
          <w:p>
            <w:pPr>
              <w:jc w:val="center"/>
              <w:rPr>
                <w:b/>
                <w:bCs w:val="0"/>
                <w:color w:val="auto"/>
                <w:spacing w:val="-2"/>
                <w:u w:val="single"/>
              </w:rPr>
            </w:pP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FEEJOY/美仪</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流量计</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机械式、PVC</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金</w:t>
            </w:r>
            <w:r>
              <w:rPr>
                <w:b/>
                <w:bCs w:val="0"/>
                <w:color w:val="auto"/>
                <w:spacing w:val="-2"/>
                <w:u w:val="single"/>
              </w:rPr>
              <w:t>泰或同等</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282" w:type="pct"/>
            <w:vMerge w:val="restar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529" w:type="pct"/>
            <w:vMerge w:val="restar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反应沉淀</w:t>
            </w:r>
            <w:r>
              <w:rPr>
                <w:rFonts w:hint="eastAsia"/>
                <w:b/>
                <w:bCs w:val="0"/>
                <w:color w:val="auto"/>
                <w:spacing w:val="-2"/>
                <w:u w:val="single"/>
              </w:rPr>
              <w:t>一</w:t>
            </w:r>
            <w:r>
              <w:rPr>
                <w:b/>
                <w:bCs w:val="0"/>
                <w:color w:val="auto"/>
                <w:spacing w:val="-2"/>
                <w:u w:val="single"/>
              </w:rPr>
              <w:t>体槽</w:t>
            </w: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反应沉淀槽</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PP 或 Q235 防腐</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个</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加药泵</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碱、PAC、PAM</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WRS/PROM</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3</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加药流量计</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DN15</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金</w:t>
            </w:r>
            <w:r>
              <w:rPr>
                <w:b/>
                <w:bCs w:val="0"/>
                <w:color w:val="auto"/>
                <w:spacing w:val="-2"/>
                <w:u w:val="single"/>
              </w:rPr>
              <w:t>泰或同等</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个</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3</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PH 仪</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0-14，</w:t>
            </w:r>
            <w:r>
              <w:rPr>
                <w:rFonts w:hint="eastAsia"/>
                <w:b/>
                <w:bCs w:val="0"/>
                <w:color w:val="auto"/>
                <w:spacing w:val="-2"/>
                <w:u w:val="single"/>
              </w:rPr>
              <w:t>面</w:t>
            </w:r>
            <w:r>
              <w:rPr>
                <w:b/>
                <w:bCs w:val="0"/>
                <w:color w:val="auto"/>
                <w:spacing w:val="-2"/>
                <w:u w:val="single"/>
              </w:rPr>
              <w:t>板式</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HOTEC/SUNTEX</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搅拌机</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微</w:t>
            </w:r>
            <w:r>
              <w:rPr>
                <w:rFonts w:hint="eastAsia" w:ascii="宋体" w:hAnsi="宋体" w:cs="宋体"/>
                <w:b/>
                <w:bCs w:val="0"/>
                <w:color w:val="auto"/>
                <w:spacing w:val="-2"/>
                <w:u w:val="single"/>
              </w:rPr>
              <w:t>⻮轮，</w:t>
            </w:r>
            <w:r>
              <w:rPr>
                <w:b/>
                <w:bCs w:val="0"/>
                <w:color w:val="auto"/>
                <w:spacing w:val="-2"/>
                <w:u w:val="single"/>
              </w:rPr>
              <w:t>Q235 衬塑，30-60rpm</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国茂/永创</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3</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搅拌机</w:t>
            </w:r>
            <w:r>
              <w:rPr>
                <w:rFonts w:hint="eastAsia"/>
                <w:b/>
                <w:bCs w:val="0"/>
                <w:color w:val="auto"/>
                <w:spacing w:val="-2"/>
                <w:u w:val="single"/>
              </w:rPr>
              <w:t>支</w:t>
            </w:r>
            <w:r>
              <w:rPr>
                <w:b/>
                <w:bCs w:val="0"/>
                <w:color w:val="auto"/>
                <w:spacing w:val="-2"/>
                <w:u w:val="single"/>
              </w:rPr>
              <w:t>架</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Q235 防腐</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3</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布</w:t>
            </w:r>
            <w:r>
              <w:rPr>
                <w:rFonts w:hint="eastAsia"/>
                <w:b/>
                <w:bCs w:val="0"/>
                <w:color w:val="auto"/>
                <w:spacing w:val="-2"/>
                <w:u w:val="single"/>
              </w:rPr>
              <w:t>水</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布</w:t>
            </w:r>
            <w:r>
              <w:rPr>
                <w:rFonts w:hint="eastAsia"/>
                <w:b/>
                <w:bCs w:val="0"/>
                <w:color w:val="auto"/>
                <w:spacing w:val="-2"/>
                <w:u w:val="single"/>
              </w:rPr>
              <w:t>水</w:t>
            </w:r>
            <w:r>
              <w:rPr>
                <w:b/>
                <w:bCs w:val="0"/>
                <w:color w:val="auto"/>
                <w:spacing w:val="-2"/>
                <w:u w:val="single"/>
              </w:rPr>
              <w:t>管</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出</w:t>
            </w:r>
            <w:r>
              <w:rPr>
                <w:rFonts w:hint="eastAsia"/>
                <w:b/>
                <w:bCs w:val="0"/>
                <w:color w:val="auto"/>
                <w:spacing w:val="-2"/>
                <w:u w:val="single"/>
              </w:rPr>
              <w:t>水</w:t>
            </w:r>
            <w:r>
              <w:rPr>
                <w:b/>
                <w:bCs w:val="0"/>
                <w:color w:val="auto"/>
                <w:spacing w:val="-2"/>
                <w:u w:val="single"/>
              </w:rPr>
              <w:t>堰板</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PVC/不锈钢</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斜管填料</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Φ50mm，</w:t>
            </w:r>
            <w:r>
              <w:rPr>
                <w:rFonts w:eastAsia="Meiryo"/>
                <w:b/>
                <w:bCs w:val="0"/>
                <w:color w:val="auto"/>
                <w:spacing w:val="-2"/>
                <w:u w:val="single"/>
              </w:rPr>
              <w:t>⼄</w:t>
            </w:r>
            <w:r>
              <w:rPr>
                <w:b/>
                <w:bCs w:val="0"/>
                <w:color w:val="auto"/>
                <w:spacing w:val="-2"/>
                <w:u w:val="single"/>
              </w:rPr>
              <w:t>丙共聚</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宜兴</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斜管填料</w:t>
            </w:r>
            <w:r>
              <w:rPr>
                <w:rFonts w:hint="eastAsia"/>
                <w:b/>
                <w:bCs w:val="0"/>
                <w:color w:val="auto"/>
                <w:spacing w:val="-2"/>
                <w:u w:val="single"/>
              </w:rPr>
              <w:t>支</w:t>
            </w:r>
            <w:r>
              <w:rPr>
                <w:b/>
                <w:bCs w:val="0"/>
                <w:color w:val="auto"/>
                <w:spacing w:val="-2"/>
                <w:u w:val="single"/>
              </w:rPr>
              <w:t>架</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Q235 防腐</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eastAsia="Meiryo"/>
                <w:b/>
                <w:bCs w:val="0"/>
                <w:color w:val="auto"/>
                <w:spacing w:val="-2"/>
                <w:u w:val="single"/>
              </w:rPr>
              <w:t>⾠</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排泥泵</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DN40，</w:t>
            </w:r>
            <w:r>
              <w:rPr>
                <w:rFonts w:eastAsia="Meiryo"/>
                <w:b/>
                <w:bCs w:val="0"/>
                <w:color w:val="auto"/>
                <w:spacing w:val="-2"/>
                <w:u w:val="single"/>
              </w:rPr>
              <w:t>⽓</w:t>
            </w:r>
            <w:r>
              <w:rPr>
                <w:b/>
                <w:bCs w:val="0"/>
                <w:color w:val="auto"/>
                <w:spacing w:val="-2"/>
                <w:u w:val="single"/>
              </w:rPr>
              <w:t>动泵</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美国 ARO/VERDER</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639" w:type="pct"/>
            <w:tcBorders>
              <w:tl2br w:val="nil"/>
              <w:tr2bl w:val="nil"/>
            </w:tcBorders>
            <w:shd w:val="clear" w:color="auto" w:fill="auto"/>
            <w:vAlign w:val="center"/>
          </w:tcPr>
          <w:p>
            <w:pPr>
              <w:ind w:firstLine="207" w:firstLineChars="100"/>
              <w:jc w:val="both"/>
              <w:rPr>
                <w:b/>
                <w:bCs w:val="0"/>
                <w:color w:val="auto"/>
                <w:spacing w:val="-2"/>
                <w:u w:val="single"/>
              </w:rPr>
            </w:pPr>
            <w:r>
              <w:rPr>
                <w:rFonts w:hint="eastAsia"/>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手</w:t>
            </w:r>
            <w:r>
              <w:rPr>
                <w:b/>
                <w:bCs w:val="0"/>
                <w:color w:val="auto"/>
                <w:spacing w:val="-2"/>
                <w:u w:val="single"/>
              </w:rPr>
              <w:t>动排泥阀</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UPVC</w:t>
            </w:r>
            <w:r>
              <w:rPr>
                <w:rFonts w:hint="eastAsia"/>
                <w:b/>
                <w:bCs w:val="0"/>
                <w:color w:val="auto"/>
                <w:spacing w:val="-2"/>
                <w:u w:val="single"/>
              </w:rPr>
              <w:t>，</w:t>
            </w:r>
            <w:r>
              <w:rPr>
                <w:b/>
                <w:bCs w:val="0"/>
                <w:color w:val="auto"/>
                <w:spacing w:val="-2"/>
                <w:u w:val="single"/>
              </w:rPr>
              <w:t>DN65</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环琪/协</w:t>
            </w:r>
            <w:r>
              <w:rPr>
                <w:rFonts w:hint="eastAsia"/>
                <w:b/>
                <w:bCs w:val="0"/>
                <w:color w:val="auto"/>
                <w:spacing w:val="-2"/>
                <w:u w:val="single"/>
              </w:rPr>
              <w:t>羽</w:t>
            </w:r>
            <w:r>
              <w:rPr>
                <w:b/>
                <w:bCs w:val="0"/>
                <w:color w:val="auto"/>
                <w:spacing w:val="-2"/>
                <w:u w:val="single"/>
              </w:rPr>
              <w:t>/三厘</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自</w:t>
            </w:r>
            <w:r>
              <w:rPr>
                <w:b/>
                <w:bCs w:val="0"/>
                <w:color w:val="auto"/>
                <w:spacing w:val="-2"/>
                <w:u w:val="single"/>
              </w:rPr>
              <w:t>动排泥阀</w:t>
            </w:r>
          </w:p>
        </w:tc>
        <w:tc>
          <w:tcPr>
            <w:tcW w:w="1184" w:type="pct"/>
            <w:tcBorders>
              <w:tl2br w:val="nil"/>
              <w:tr2bl w:val="nil"/>
            </w:tcBorders>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动，UPVC，DN65</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FLOWX/圣尔诺</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restar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3</w:t>
            </w:r>
          </w:p>
        </w:tc>
        <w:tc>
          <w:tcPr>
            <w:tcW w:w="529" w:type="pct"/>
            <w:vMerge w:val="restart"/>
            <w:tcBorders>
              <w:tl2br w:val="nil"/>
              <w:tr2bl w:val="nil"/>
            </w:tcBorders>
            <w:shd w:val="clear" w:color="auto" w:fill="auto"/>
            <w:vAlign w:val="center"/>
          </w:tcPr>
          <w:p>
            <w:pPr>
              <w:jc w:val="center"/>
              <w:rPr>
                <w:rFonts w:asciiTheme="minorEastAsia" w:hAnsiTheme="minorEastAsia" w:eastAsiaTheme="minorEastAsia"/>
                <w:b/>
                <w:bCs w:val="0"/>
                <w:color w:val="auto"/>
                <w:spacing w:val="-2"/>
                <w:u w:val="single"/>
              </w:rPr>
            </w:pPr>
            <w:r>
              <w:rPr>
                <w:rFonts w:asciiTheme="minorEastAsia" w:hAnsiTheme="minorEastAsia" w:eastAsiaTheme="minorEastAsia"/>
                <w:b/>
                <w:bCs w:val="0"/>
                <w:color w:val="auto"/>
                <w:spacing w:val="-2"/>
                <w:u w:val="single"/>
              </w:rPr>
              <w:t>中间水池</w:t>
            </w: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中间</w:t>
            </w:r>
            <w:r>
              <w:rPr>
                <w:rFonts w:hint="eastAsia"/>
                <w:b/>
                <w:bCs w:val="0"/>
                <w:color w:val="auto"/>
                <w:spacing w:val="-2"/>
                <w:u w:val="single"/>
              </w:rPr>
              <w:t>水</w:t>
            </w:r>
            <w:r>
              <w:rPr>
                <w:b/>
                <w:bCs w:val="0"/>
                <w:color w:val="auto"/>
                <w:spacing w:val="-2"/>
                <w:u w:val="single"/>
              </w:rPr>
              <w:t>池</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20m</w:t>
            </w:r>
            <w:r>
              <w:rPr>
                <w:b/>
                <w:bCs w:val="0"/>
                <w:color w:val="auto"/>
                <w:spacing w:val="-2"/>
                <w:u w:val="single"/>
                <w:vertAlign w:val="superscript"/>
              </w:rPr>
              <w:t>3</w:t>
            </w:r>
            <w:r>
              <w:rPr>
                <w:b/>
                <w:bCs w:val="0"/>
                <w:color w:val="auto"/>
                <w:spacing w:val="-2"/>
                <w:u w:val="single"/>
              </w:rPr>
              <w:t>，PE 材质</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trPr>
        <w:tc>
          <w:tcPr>
            <w:tcW w:w="282" w:type="pct"/>
            <w:vMerge w:val="continue"/>
            <w:tcBorders>
              <w:tl2br w:val="nil"/>
              <w:tr2bl w:val="nil"/>
            </w:tcBorders>
            <w:shd w:val="clear" w:color="auto" w:fill="auto"/>
            <w:vAlign w:val="center"/>
          </w:tcPr>
          <w:p>
            <w:pPr>
              <w:jc w:val="center"/>
              <w:rPr>
                <w:b/>
                <w:bCs w:val="0"/>
                <w:color w:val="auto"/>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原</w:t>
            </w:r>
            <w:r>
              <w:rPr>
                <w:rFonts w:hint="eastAsia"/>
                <w:b/>
                <w:bCs w:val="0"/>
                <w:color w:val="auto"/>
                <w:spacing w:val="-2"/>
                <w:u w:val="single"/>
              </w:rPr>
              <w:t>水</w:t>
            </w:r>
            <w:r>
              <w:rPr>
                <w:b/>
                <w:bCs w:val="0"/>
                <w:color w:val="auto"/>
                <w:spacing w:val="-2"/>
                <w:u w:val="single"/>
              </w:rPr>
              <w:t>泵</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Q=11m</w:t>
            </w:r>
            <w:r>
              <w:rPr>
                <w:b/>
                <w:bCs w:val="0"/>
                <w:color w:val="auto"/>
                <w:spacing w:val="-2"/>
                <w:u w:val="single"/>
                <w:vertAlign w:val="superscript"/>
              </w:rPr>
              <w:t>3</w:t>
            </w:r>
            <w:r>
              <w:rPr>
                <w:b/>
                <w:bCs w:val="0"/>
                <w:color w:val="auto"/>
                <w:spacing w:val="-2"/>
                <w:u w:val="single"/>
              </w:rPr>
              <w:t>/h，H=25m，SUS304 材 质</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南</w:t>
            </w:r>
            <w:r>
              <w:rPr>
                <w:rFonts w:hint="eastAsia"/>
                <w:b/>
                <w:bCs w:val="0"/>
                <w:color w:val="auto"/>
                <w:spacing w:val="-2"/>
                <w:u w:val="single"/>
              </w:rPr>
              <w:t>方</w:t>
            </w:r>
            <w:r>
              <w:rPr>
                <w:b/>
                <w:bCs w:val="0"/>
                <w:color w:val="auto"/>
                <w:spacing w:val="-2"/>
                <w:u w:val="single"/>
              </w:rPr>
              <w:t>/南元泵业</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639"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82" w:type="pct"/>
            <w:vMerge w:val="continue"/>
            <w:tcBorders>
              <w:tl2br w:val="nil"/>
              <w:tr2bl w:val="nil"/>
            </w:tcBorders>
            <w:shd w:val="clear" w:color="auto" w:fill="auto"/>
            <w:vAlign w:val="center"/>
          </w:tcPr>
          <w:p>
            <w:pPr>
              <w:jc w:val="center"/>
              <w:rPr>
                <w:b/>
                <w:bCs w:val="0"/>
                <w:color w:val="auto"/>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液位控制器</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浮</w:t>
            </w:r>
            <w:r>
              <w:rPr>
                <w:rFonts w:hint="eastAsia"/>
                <w:b/>
                <w:bCs w:val="0"/>
                <w:color w:val="auto"/>
                <w:spacing w:val="-2"/>
                <w:u w:val="single"/>
              </w:rPr>
              <w:t>子</w:t>
            </w:r>
            <w:r>
              <w:rPr>
                <w:b/>
                <w:bCs w:val="0"/>
                <w:color w:val="auto"/>
                <w:spacing w:val="-2"/>
                <w:u w:val="single"/>
              </w:rPr>
              <w:t>式</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FEEJOY</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进</w:t>
            </w:r>
            <w:r>
              <w:rPr>
                <w:rFonts w:hint="eastAsia"/>
                <w:b/>
                <w:bCs w:val="0"/>
                <w:color w:val="auto"/>
                <w:spacing w:val="-2"/>
                <w:u w:val="single"/>
              </w:rPr>
              <w:t>水</w:t>
            </w:r>
            <w:r>
              <w:rPr>
                <w:b/>
                <w:bCs w:val="0"/>
                <w:color w:val="auto"/>
                <w:spacing w:val="-2"/>
                <w:u w:val="single"/>
              </w:rPr>
              <w:t>辅助系统</w:t>
            </w:r>
          </w:p>
        </w:tc>
        <w:tc>
          <w:tcPr>
            <w:tcW w:w="1184"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非</w:t>
            </w:r>
            <w:r>
              <w:rPr>
                <w:b/>
                <w:bCs w:val="0"/>
                <w:color w:val="auto"/>
                <w:spacing w:val="-2"/>
                <w:u w:val="single"/>
              </w:rPr>
              <w:t>标</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trPr>
        <w:tc>
          <w:tcPr>
            <w:tcW w:w="282" w:type="pct"/>
            <w:vMerge w:val="continue"/>
            <w:tcBorders>
              <w:tl2br w:val="nil"/>
              <w:tr2bl w:val="nil"/>
            </w:tcBorders>
            <w:shd w:val="clear" w:color="auto" w:fill="auto"/>
            <w:vAlign w:val="center"/>
          </w:tcPr>
          <w:p>
            <w:pPr>
              <w:jc w:val="center"/>
              <w:rPr>
                <w:b/>
                <w:bCs w:val="0"/>
                <w:color w:val="auto"/>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机械式流量计</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DN65，PVC</w:t>
            </w:r>
          </w:p>
        </w:tc>
        <w:tc>
          <w:tcPr>
            <w:tcW w:w="943"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金</w:t>
            </w:r>
            <w:r>
              <w:rPr>
                <w:b/>
                <w:bCs w:val="0"/>
                <w:color w:val="auto"/>
                <w:spacing w:val="-2"/>
                <w:u w:val="single"/>
              </w:rPr>
              <w:t>泰或同等</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restar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4</w:t>
            </w:r>
          </w:p>
        </w:tc>
        <w:tc>
          <w:tcPr>
            <w:tcW w:w="529" w:type="pct"/>
            <w:vMerge w:val="restar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多介质过滤器</w:t>
            </w: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多介质过滤器</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Ø1400mm，FRP 材质</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滤料</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多级滤料</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反洗泵</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Q=18m</w:t>
            </w:r>
            <w:r>
              <w:rPr>
                <w:b/>
                <w:bCs w:val="0"/>
                <w:color w:val="auto"/>
                <w:spacing w:val="-2"/>
                <w:u w:val="single"/>
                <w:vertAlign w:val="superscript"/>
              </w:rPr>
              <w:t>3</w:t>
            </w:r>
            <w:r>
              <w:rPr>
                <w:b/>
                <w:bCs w:val="0"/>
                <w:color w:val="auto"/>
                <w:spacing w:val="-2"/>
                <w:u w:val="single"/>
              </w:rPr>
              <w:t>/h，H=25m，SUS304 材 质</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南</w:t>
            </w:r>
            <w:r>
              <w:rPr>
                <w:rFonts w:hint="eastAsia"/>
                <w:b/>
                <w:bCs w:val="0"/>
                <w:color w:val="auto"/>
                <w:spacing w:val="-2"/>
                <w:u w:val="single"/>
              </w:rPr>
              <w:t>方</w:t>
            </w:r>
            <w:r>
              <w:rPr>
                <w:b/>
                <w:bCs w:val="0"/>
                <w:color w:val="auto"/>
                <w:spacing w:val="-2"/>
                <w:u w:val="single"/>
              </w:rPr>
              <w:t>/南元泵业</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压</w:t>
            </w:r>
            <w:r>
              <w:rPr>
                <w:rFonts w:hint="eastAsia"/>
                <w:b/>
                <w:bCs w:val="0"/>
                <w:color w:val="auto"/>
                <w:spacing w:val="-2"/>
                <w:u w:val="single"/>
              </w:rPr>
              <w:t>力</w:t>
            </w:r>
            <w:r>
              <w:rPr>
                <w:b/>
                <w:bCs w:val="0"/>
                <w:color w:val="auto"/>
                <w:spacing w:val="-2"/>
                <w:u w:val="single"/>
              </w:rPr>
              <w:t>表</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0-0.6MPa</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布莱迪/先锋</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个</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4</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过滤器</w:t>
            </w:r>
            <w:r>
              <w:rPr>
                <w:rFonts w:hint="eastAsia"/>
                <w:b/>
                <w:bCs w:val="0"/>
                <w:color w:val="auto"/>
                <w:spacing w:val="-2"/>
                <w:u w:val="single"/>
              </w:rPr>
              <w:t>支</w:t>
            </w:r>
            <w:r>
              <w:rPr>
                <w:b/>
                <w:bCs w:val="0"/>
                <w:color w:val="auto"/>
                <w:spacing w:val="-2"/>
                <w:u w:val="single"/>
              </w:rPr>
              <w:t>架</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Q235 防腐</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套</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282" w:type="pct"/>
            <w:vMerge w:val="continue"/>
            <w:tcBorders>
              <w:tl2br w:val="nil"/>
              <w:tr2bl w:val="nil"/>
            </w:tcBorders>
            <w:shd w:val="clear" w:color="auto" w:fill="auto"/>
            <w:vAlign w:val="center"/>
          </w:tcPr>
          <w:p>
            <w:pPr>
              <w:jc w:val="center"/>
              <w:rPr>
                <w:b/>
                <w:bCs w:val="0"/>
                <w:color w:val="auto"/>
                <w:spacing w:val="-2"/>
                <w:u w:val="single"/>
              </w:rPr>
            </w:pPr>
          </w:p>
        </w:tc>
        <w:tc>
          <w:tcPr>
            <w:tcW w:w="529" w:type="pct"/>
            <w:vMerge w:val="continue"/>
            <w:tcBorders>
              <w:tl2br w:val="nil"/>
              <w:tr2bl w:val="nil"/>
            </w:tcBorders>
            <w:shd w:val="clear" w:color="auto" w:fill="auto"/>
            <w:vAlign w:val="center"/>
          </w:tcPr>
          <w:p>
            <w:pPr>
              <w:jc w:val="center"/>
              <w:rPr>
                <w:b/>
                <w:bCs w:val="0"/>
                <w:color w:val="auto"/>
                <w:spacing w:val="-2"/>
                <w:u w:val="single"/>
              </w:rPr>
            </w:pPr>
          </w:p>
        </w:tc>
        <w:tc>
          <w:tcPr>
            <w:tcW w:w="818"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自</w:t>
            </w:r>
            <w:r>
              <w:rPr>
                <w:b/>
                <w:bCs w:val="0"/>
                <w:color w:val="auto"/>
                <w:spacing w:val="-2"/>
                <w:u w:val="single"/>
              </w:rPr>
              <w:t>动控制阀</w:t>
            </w:r>
            <w:r>
              <w:rPr>
                <w:rFonts w:hint="eastAsia" w:ascii="宋体" w:hAnsi="宋体" w:cs="宋体"/>
                <w:b/>
                <w:bCs w:val="0"/>
                <w:color w:val="auto"/>
                <w:spacing w:val="-2"/>
                <w:u w:val="single"/>
              </w:rPr>
              <w:t>⻔</w:t>
            </w: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UPVC</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环琪/协</w:t>
            </w:r>
            <w:r>
              <w:rPr>
                <w:rFonts w:hint="eastAsia"/>
                <w:b/>
                <w:bCs w:val="0"/>
                <w:color w:val="auto"/>
                <w:spacing w:val="-2"/>
                <w:u w:val="single"/>
              </w:rPr>
              <w:t>羽</w:t>
            </w:r>
            <w:r>
              <w:rPr>
                <w:b/>
                <w:bCs w:val="0"/>
                <w:color w:val="auto"/>
                <w:spacing w:val="-2"/>
                <w:u w:val="single"/>
              </w:rPr>
              <w:t>/三厘</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1" w:hRule="atLeast"/>
        </w:trPr>
        <w:tc>
          <w:tcPr>
            <w:tcW w:w="282"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5</w:t>
            </w:r>
          </w:p>
        </w:tc>
        <w:tc>
          <w:tcPr>
            <w:tcW w:w="529" w:type="pct"/>
            <w:tcBorders>
              <w:tl2br w:val="nil"/>
              <w:tr2bl w:val="nil"/>
            </w:tcBorders>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次管道阀门</w:t>
            </w:r>
          </w:p>
        </w:tc>
        <w:tc>
          <w:tcPr>
            <w:tcW w:w="818" w:type="pct"/>
            <w:tcBorders>
              <w:tl2br w:val="nil"/>
              <w:tr2bl w:val="nil"/>
            </w:tcBorders>
            <w:shd w:val="clear" w:color="auto" w:fill="auto"/>
            <w:vAlign w:val="center"/>
          </w:tcPr>
          <w:p>
            <w:pPr>
              <w:jc w:val="center"/>
              <w:rPr>
                <w:b/>
                <w:bCs w:val="0"/>
                <w:color w:val="auto"/>
                <w:spacing w:val="-2"/>
                <w:u w:val="single"/>
              </w:rPr>
            </w:pPr>
          </w:p>
        </w:tc>
        <w:tc>
          <w:tcPr>
            <w:tcW w:w="1184"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PN10</w:t>
            </w:r>
            <w:r>
              <w:rPr>
                <w:rFonts w:hint="eastAsia"/>
                <w:b/>
                <w:bCs w:val="0"/>
                <w:color w:val="auto"/>
                <w:spacing w:val="-2"/>
                <w:u w:val="single"/>
              </w:rPr>
              <w:t>，</w:t>
            </w:r>
            <w:r>
              <w:rPr>
                <w:b/>
                <w:bCs w:val="0"/>
                <w:color w:val="auto"/>
                <w:spacing w:val="-2"/>
                <w:u w:val="single"/>
              </w:rPr>
              <w:t>UPVC 化</w:t>
            </w:r>
            <w:r>
              <w:rPr>
                <w:rFonts w:eastAsia="Meiryo"/>
                <w:b/>
                <w:bCs w:val="0"/>
                <w:color w:val="auto"/>
                <w:spacing w:val="-2"/>
                <w:u w:val="single"/>
              </w:rPr>
              <w:t>⼯</w:t>
            </w:r>
            <w:r>
              <w:rPr>
                <w:b/>
                <w:bCs w:val="0"/>
                <w:color w:val="auto"/>
                <w:spacing w:val="-2"/>
                <w:u w:val="single"/>
              </w:rPr>
              <w:t>管</w:t>
            </w: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环琪/协</w:t>
            </w:r>
            <w:r>
              <w:rPr>
                <w:rFonts w:hint="eastAsia"/>
                <w:b/>
                <w:bCs w:val="0"/>
                <w:color w:val="auto"/>
                <w:spacing w:val="-2"/>
                <w:u w:val="single"/>
              </w:rPr>
              <w:t>羽</w:t>
            </w:r>
            <w:r>
              <w:rPr>
                <w:b/>
                <w:bCs w:val="0"/>
                <w:color w:val="auto"/>
                <w:spacing w:val="-2"/>
                <w:u w:val="single"/>
              </w:rPr>
              <w:t>/三厘</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282"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6</w:t>
            </w:r>
          </w:p>
        </w:tc>
        <w:tc>
          <w:tcPr>
            <w:tcW w:w="529"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五金杂件辅材</w:t>
            </w:r>
          </w:p>
        </w:tc>
        <w:tc>
          <w:tcPr>
            <w:tcW w:w="818" w:type="pct"/>
            <w:tcBorders>
              <w:tl2br w:val="nil"/>
              <w:tr2bl w:val="nil"/>
            </w:tcBorders>
            <w:shd w:val="clear" w:color="auto" w:fill="auto"/>
            <w:vAlign w:val="center"/>
          </w:tcPr>
          <w:p>
            <w:pPr>
              <w:jc w:val="center"/>
              <w:rPr>
                <w:b/>
                <w:bCs w:val="0"/>
                <w:color w:val="auto"/>
                <w:spacing w:val="-2"/>
                <w:u w:val="single"/>
              </w:rPr>
            </w:pPr>
          </w:p>
        </w:tc>
        <w:tc>
          <w:tcPr>
            <w:tcW w:w="1184" w:type="pct"/>
            <w:tcBorders>
              <w:tl2br w:val="nil"/>
              <w:tr2bl w:val="nil"/>
            </w:tcBorders>
            <w:shd w:val="clear" w:color="auto" w:fill="auto"/>
            <w:vAlign w:val="center"/>
          </w:tcPr>
          <w:p>
            <w:pPr>
              <w:jc w:val="center"/>
              <w:rPr>
                <w:b/>
                <w:bCs w:val="0"/>
                <w:color w:val="auto"/>
                <w:spacing w:val="-2"/>
                <w:u w:val="single"/>
              </w:rPr>
            </w:pP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国产优质</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 w:hRule="atLeast"/>
        </w:trPr>
        <w:tc>
          <w:tcPr>
            <w:tcW w:w="282"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7</w:t>
            </w:r>
          </w:p>
        </w:tc>
        <w:tc>
          <w:tcPr>
            <w:tcW w:w="529"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动力控制线缆</w:t>
            </w:r>
          </w:p>
        </w:tc>
        <w:tc>
          <w:tcPr>
            <w:tcW w:w="818" w:type="pct"/>
            <w:tcBorders>
              <w:tl2br w:val="nil"/>
              <w:tr2bl w:val="nil"/>
            </w:tcBorders>
            <w:shd w:val="clear" w:color="auto" w:fill="auto"/>
            <w:vAlign w:val="center"/>
          </w:tcPr>
          <w:p>
            <w:pPr>
              <w:jc w:val="center"/>
              <w:rPr>
                <w:b/>
                <w:bCs w:val="0"/>
                <w:color w:val="auto"/>
                <w:spacing w:val="-2"/>
                <w:u w:val="single"/>
              </w:rPr>
            </w:pPr>
          </w:p>
        </w:tc>
        <w:tc>
          <w:tcPr>
            <w:tcW w:w="1184" w:type="pct"/>
            <w:tcBorders>
              <w:tl2br w:val="nil"/>
              <w:tr2bl w:val="nil"/>
            </w:tcBorders>
            <w:shd w:val="clear" w:color="auto" w:fill="auto"/>
            <w:vAlign w:val="center"/>
          </w:tcPr>
          <w:p>
            <w:pPr>
              <w:jc w:val="center"/>
              <w:rPr>
                <w:b/>
                <w:bCs w:val="0"/>
                <w:color w:val="auto"/>
                <w:spacing w:val="-2"/>
                <w:u w:val="single"/>
              </w:rPr>
            </w:pP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国产优质</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1" w:hRule="atLeast"/>
        </w:trPr>
        <w:tc>
          <w:tcPr>
            <w:tcW w:w="282" w:type="pct"/>
            <w:tcBorders>
              <w:tl2br w:val="nil"/>
              <w:tr2bl w:val="nil"/>
            </w:tcBorders>
            <w:shd w:val="clear" w:color="auto" w:fill="auto"/>
            <w:vAlign w:val="center"/>
          </w:tcPr>
          <w:p>
            <w:pPr>
              <w:jc w:val="center"/>
              <w:rPr>
                <w:b/>
                <w:bCs w:val="0"/>
                <w:color w:val="auto"/>
                <w:spacing w:val="-2"/>
                <w:u w:val="single"/>
              </w:rPr>
            </w:pPr>
            <w:r>
              <w:rPr>
                <w:rFonts w:hint="eastAsia"/>
                <w:b/>
                <w:bCs w:val="0"/>
                <w:color w:val="auto"/>
                <w:spacing w:val="-2"/>
                <w:u w:val="single"/>
              </w:rPr>
              <w:t>8</w:t>
            </w:r>
          </w:p>
        </w:tc>
        <w:tc>
          <w:tcPr>
            <w:tcW w:w="529"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桥架及线管</w:t>
            </w:r>
          </w:p>
        </w:tc>
        <w:tc>
          <w:tcPr>
            <w:tcW w:w="818" w:type="pct"/>
            <w:tcBorders>
              <w:tl2br w:val="nil"/>
              <w:tr2bl w:val="nil"/>
            </w:tcBorders>
            <w:shd w:val="clear" w:color="auto" w:fill="auto"/>
            <w:vAlign w:val="center"/>
          </w:tcPr>
          <w:p>
            <w:pPr>
              <w:jc w:val="center"/>
              <w:rPr>
                <w:b/>
                <w:bCs w:val="0"/>
                <w:color w:val="auto"/>
                <w:spacing w:val="-2"/>
                <w:u w:val="single"/>
              </w:rPr>
            </w:pPr>
          </w:p>
        </w:tc>
        <w:tc>
          <w:tcPr>
            <w:tcW w:w="1184" w:type="pct"/>
            <w:tcBorders>
              <w:tl2br w:val="nil"/>
              <w:tr2bl w:val="nil"/>
            </w:tcBorders>
            <w:shd w:val="clear" w:color="auto" w:fill="auto"/>
            <w:vAlign w:val="center"/>
          </w:tcPr>
          <w:p>
            <w:pPr>
              <w:jc w:val="center"/>
              <w:rPr>
                <w:b/>
                <w:bCs w:val="0"/>
                <w:color w:val="auto"/>
                <w:spacing w:val="-2"/>
                <w:u w:val="single"/>
              </w:rPr>
            </w:pPr>
          </w:p>
        </w:tc>
        <w:tc>
          <w:tcPr>
            <w:tcW w:w="94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国产优质</w:t>
            </w:r>
          </w:p>
        </w:tc>
        <w:tc>
          <w:tcPr>
            <w:tcW w:w="303"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批</w:t>
            </w:r>
          </w:p>
        </w:tc>
        <w:tc>
          <w:tcPr>
            <w:tcW w:w="297" w:type="pct"/>
            <w:tcBorders>
              <w:tl2br w:val="nil"/>
              <w:tr2bl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639" w:type="pct"/>
            <w:tcBorders>
              <w:tl2br w:val="nil"/>
              <w:tr2bl w:val="nil"/>
            </w:tcBorders>
            <w:shd w:val="clear" w:color="auto" w:fill="auto"/>
            <w:vAlign w:val="center"/>
          </w:tcPr>
          <w:p>
            <w:pPr>
              <w:jc w:val="center"/>
              <w:rPr>
                <w:b/>
                <w:bCs w:val="0"/>
                <w:color w:val="auto"/>
                <w:spacing w:val="-2"/>
                <w:u w:val="single"/>
              </w:rPr>
            </w:pPr>
          </w:p>
        </w:tc>
      </w:tr>
    </w:tbl>
    <w:p>
      <w:pPr>
        <w:pStyle w:val="32"/>
        <w:keepNext w:val="0"/>
        <w:keepLines w:val="0"/>
        <w:pageBreakBefore w:val="0"/>
        <w:widowControl/>
        <w:kinsoku/>
        <w:wordWrap/>
        <w:overflowPunct/>
        <w:topLinePunct w:val="0"/>
        <w:autoSpaceDE/>
        <w:autoSpaceDN/>
        <w:bidi w:val="0"/>
        <w:adjustRightInd w:val="0"/>
        <w:snapToGrid w:val="0"/>
        <w:spacing w:before="120" w:beforeLines="50" w:after="0" w:line="360" w:lineRule="auto"/>
        <w:ind w:firstLine="482" w:firstLineChars="200"/>
        <w:textAlignment w:val="auto"/>
        <w:rPr>
          <w:rFonts w:ascii="宋体" w:hAnsi="宋体"/>
          <w:b/>
          <w:bCs w:val="0"/>
          <w:color w:val="auto"/>
          <w:kern w:val="21"/>
          <w:sz w:val="24"/>
          <w:u w:val="single"/>
          <w:lang w:val="en-US"/>
        </w:rPr>
      </w:pPr>
      <w:r>
        <w:rPr>
          <w:rFonts w:hint="eastAsia" w:ascii="宋体" w:hAnsi="宋体"/>
          <w:b/>
          <w:bCs w:val="0"/>
          <w:color w:val="auto"/>
          <w:kern w:val="21"/>
          <w:sz w:val="24"/>
          <w:u w:val="single"/>
          <w:lang w:val="en-US"/>
        </w:rPr>
        <w:t>（5）综合废水预处理系统可行性分析及处理效率</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ascii="宋体" w:hAnsi="宋体"/>
          <w:b/>
          <w:bCs w:val="0"/>
          <w:color w:val="auto"/>
          <w:kern w:val="21"/>
          <w:sz w:val="24"/>
          <w:u w:val="single"/>
          <w:lang w:val="en-US"/>
        </w:rPr>
        <w:fldChar w:fldCharType="begin"/>
      </w:r>
      <w:r>
        <w:rPr>
          <w:rFonts w:ascii="宋体" w:hAnsi="宋体"/>
          <w:b/>
          <w:bCs w:val="0"/>
          <w:color w:val="auto"/>
          <w:kern w:val="21"/>
          <w:sz w:val="24"/>
          <w:u w:val="single"/>
          <w:lang w:val="en-US"/>
        </w:rPr>
        <w:instrText xml:space="preserve"> </w:instrText>
      </w:r>
      <w:r>
        <w:rPr>
          <w:rFonts w:hint="eastAsia" w:ascii="宋体" w:hAnsi="宋体"/>
          <w:b/>
          <w:bCs w:val="0"/>
          <w:color w:val="auto"/>
          <w:kern w:val="21"/>
          <w:sz w:val="24"/>
          <w:u w:val="single"/>
          <w:lang w:val="en-US"/>
        </w:rPr>
        <w:instrText xml:space="preserve">= 1 \* GB3</w:instrText>
      </w:r>
      <w:r>
        <w:rPr>
          <w:rFonts w:ascii="宋体" w:hAnsi="宋体"/>
          <w:b/>
          <w:bCs w:val="0"/>
          <w:color w:val="auto"/>
          <w:kern w:val="21"/>
          <w:sz w:val="24"/>
          <w:u w:val="single"/>
          <w:lang w:val="en-US"/>
        </w:rPr>
        <w:instrText xml:space="preserve"> </w:instrText>
      </w:r>
      <w:r>
        <w:rPr>
          <w:rFonts w:ascii="宋体" w:hAnsi="宋体"/>
          <w:b/>
          <w:bCs w:val="0"/>
          <w:color w:val="auto"/>
          <w:kern w:val="21"/>
          <w:sz w:val="24"/>
          <w:u w:val="single"/>
          <w:lang w:val="en-US"/>
        </w:rPr>
        <w:fldChar w:fldCharType="separate"/>
      </w:r>
      <w:r>
        <w:rPr>
          <w:rFonts w:hint="eastAsia" w:ascii="宋体" w:hAnsi="宋体"/>
          <w:b/>
          <w:bCs w:val="0"/>
          <w:color w:val="auto"/>
          <w:kern w:val="21"/>
          <w:sz w:val="24"/>
          <w:u w:val="single"/>
          <w:lang w:val="en-US"/>
        </w:rPr>
        <w:t>①</w:t>
      </w:r>
      <w:r>
        <w:rPr>
          <w:rFonts w:ascii="宋体" w:hAnsi="宋体"/>
          <w:b/>
          <w:bCs w:val="0"/>
          <w:color w:val="auto"/>
          <w:kern w:val="21"/>
          <w:sz w:val="24"/>
          <w:u w:val="single"/>
          <w:lang w:val="en-US"/>
        </w:rPr>
        <w:fldChar w:fldCharType="end"/>
      </w:r>
      <w:r>
        <w:rPr>
          <w:rFonts w:ascii="宋体" w:hAnsi="宋体"/>
          <w:b/>
          <w:bCs w:val="0"/>
          <w:color w:val="auto"/>
          <w:kern w:val="21"/>
          <w:sz w:val="24"/>
          <w:u w:val="single"/>
          <w:lang w:val="en-US"/>
        </w:rPr>
        <w:t>破乳</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b/>
          <w:bCs w:val="0"/>
          <w:color w:val="auto"/>
          <w:kern w:val="0"/>
          <w:sz w:val="24"/>
          <w:u w:val="single"/>
        </w:rPr>
        <w:t>在破乳反应池内投加H</w:t>
      </w:r>
      <w:r>
        <w:rPr>
          <w:b/>
          <w:bCs w:val="0"/>
          <w:color w:val="auto"/>
          <w:kern w:val="0"/>
          <w:sz w:val="24"/>
          <w:u w:val="single"/>
          <w:vertAlign w:val="subscript"/>
        </w:rPr>
        <w:t>2</w:t>
      </w:r>
      <w:r>
        <w:rPr>
          <w:b/>
          <w:bCs w:val="0"/>
          <w:color w:val="auto"/>
          <w:kern w:val="0"/>
          <w:sz w:val="24"/>
          <w:u w:val="single"/>
        </w:rPr>
        <w:t>SO</w:t>
      </w:r>
      <w:r>
        <w:rPr>
          <w:b/>
          <w:bCs w:val="0"/>
          <w:color w:val="auto"/>
          <w:kern w:val="0"/>
          <w:sz w:val="24"/>
          <w:u w:val="single"/>
          <w:vertAlign w:val="subscript"/>
        </w:rPr>
        <w:t>4</w:t>
      </w:r>
      <w:r>
        <w:rPr>
          <w:b/>
          <w:bCs w:val="0"/>
          <w:color w:val="auto"/>
          <w:kern w:val="0"/>
          <w:sz w:val="24"/>
          <w:u w:val="single"/>
        </w:rPr>
        <w:t>、破乳剂</w:t>
      </w:r>
      <w:r>
        <w:rPr>
          <w:rFonts w:hint="eastAsia"/>
          <w:b/>
          <w:bCs w:val="0"/>
          <w:color w:val="auto"/>
          <w:kern w:val="0"/>
          <w:sz w:val="24"/>
          <w:u w:val="single"/>
        </w:rPr>
        <w:t>对</w:t>
      </w:r>
      <w:r>
        <w:rPr>
          <w:b/>
          <w:bCs w:val="0"/>
          <w:color w:val="auto"/>
          <w:kern w:val="0"/>
          <w:sz w:val="24"/>
          <w:u w:val="single"/>
        </w:rPr>
        <w:t>废</w:t>
      </w:r>
      <w:r>
        <w:rPr>
          <w:rFonts w:hint="eastAsia"/>
          <w:b/>
          <w:bCs w:val="0"/>
          <w:color w:val="auto"/>
          <w:kern w:val="0"/>
          <w:sz w:val="24"/>
          <w:u w:val="single"/>
        </w:rPr>
        <w:t>水</w:t>
      </w:r>
      <w:r>
        <w:rPr>
          <w:b/>
          <w:bCs w:val="0"/>
          <w:color w:val="auto"/>
          <w:kern w:val="0"/>
          <w:sz w:val="24"/>
          <w:u w:val="single"/>
        </w:rPr>
        <w:t>进</w:t>
      </w:r>
      <w:r>
        <w:rPr>
          <w:rFonts w:hint="eastAsia"/>
          <w:b/>
          <w:bCs w:val="0"/>
          <w:color w:val="auto"/>
          <w:kern w:val="0"/>
          <w:sz w:val="24"/>
          <w:u w:val="single"/>
        </w:rPr>
        <w:t>行</w:t>
      </w:r>
      <w:r>
        <w:rPr>
          <w:rFonts w:ascii="宋体" w:hAnsi="宋体"/>
          <w:b/>
          <w:bCs w:val="0"/>
          <w:color w:val="auto"/>
          <w:kern w:val="21"/>
          <w:sz w:val="24"/>
          <w:u w:val="single"/>
          <w:lang w:val="en-US"/>
        </w:rPr>
        <w:t>氧化破乳，使乳状液的分散相小液珠聚集成团</w:t>
      </w:r>
      <w:r>
        <w:rPr>
          <w:rFonts w:hint="eastAsia" w:ascii="宋体" w:hAnsi="宋体"/>
          <w:b/>
          <w:bCs w:val="0"/>
          <w:color w:val="auto"/>
          <w:kern w:val="21"/>
          <w:sz w:val="24"/>
          <w:u w:val="single"/>
          <w:lang w:val="en-US" w:eastAsia="zh-CN"/>
        </w:rPr>
        <w:t>，</w:t>
      </w:r>
      <w:r>
        <w:rPr>
          <w:rFonts w:ascii="宋体" w:hAnsi="宋体"/>
          <w:b/>
          <w:bCs w:val="0"/>
          <w:color w:val="auto"/>
          <w:kern w:val="21"/>
          <w:sz w:val="24"/>
          <w:u w:val="single"/>
          <w:lang w:val="en-US"/>
        </w:rPr>
        <w:t>形成大液滴</w:t>
      </w:r>
      <w:r>
        <w:rPr>
          <w:rFonts w:hint="eastAsia" w:ascii="宋体" w:hAnsi="宋体"/>
          <w:b/>
          <w:bCs w:val="0"/>
          <w:color w:val="auto"/>
          <w:kern w:val="21"/>
          <w:sz w:val="24"/>
          <w:u w:val="single"/>
          <w:lang w:val="en-US" w:eastAsia="zh-CN"/>
        </w:rPr>
        <w:t>，</w:t>
      </w:r>
      <w:r>
        <w:rPr>
          <w:rFonts w:ascii="宋体" w:hAnsi="宋体"/>
          <w:b/>
          <w:bCs w:val="0"/>
          <w:color w:val="auto"/>
          <w:kern w:val="21"/>
          <w:sz w:val="24"/>
          <w:u w:val="single"/>
          <w:lang w:val="en-US"/>
        </w:rPr>
        <w:t>最终使油水两相分层析出。</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ascii="宋体" w:hAnsi="宋体"/>
          <w:b/>
          <w:bCs w:val="0"/>
          <w:color w:val="auto"/>
          <w:kern w:val="21"/>
          <w:sz w:val="24"/>
          <w:u w:val="single"/>
          <w:lang w:val="en-US"/>
        </w:rPr>
        <w:fldChar w:fldCharType="begin"/>
      </w:r>
      <w:r>
        <w:rPr>
          <w:rFonts w:ascii="宋体" w:hAnsi="宋体"/>
          <w:b/>
          <w:bCs w:val="0"/>
          <w:color w:val="auto"/>
          <w:kern w:val="21"/>
          <w:sz w:val="24"/>
          <w:u w:val="single"/>
          <w:lang w:val="en-US"/>
        </w:rPr>
        <w:instrText xml:space="preserve"> </w:instrText>
      </w:r>
      <w:r>
        <w:rPr>
          <w:rFonts w:hint="eastAsia" w:ascii="宋体" w:hAnsi="宋体"/>
          <w:b/>
          <w:bCs w:val="0"/>
          <w:color w:val="auto"/>
          <w:kern w:val="21"/>
          <w:sz w:val="24"/>
          <w:u w:val="single"/>
          <w:lang w:val="en-US"/>
        </w:rPr>
        <w:instrText xml:space="preserve">= 2 \* GB3</w:instrText>
      </w:r>
      <w:r>
        <w:rPr>
          <w:rFonts w:ascii="宋体" w:hAnsi="宋体"/>
          <w:b/>
          <w:bCs w:val="0"/>
          <w:color w:val="auto"/>
          <w:kern w:val="21"/>
          <w:sz w:val="24"/>
          <w:u w:val="single"/>
          <w:lang w:val="en-US"/>
        </w:rPr>
        <w:instrText xml:space="preserve"> </w:instrText>
      </w:r>
      <w:r>
        <w:rPr>
          <w:rFonts w:ascii="宋体" w:hAnsi="宋体"/>
          <w:b/>
          <w:bCs w:val="0"/>
          <w:color w:val="auto"/>
          <w:kern w:val="21"/>
          <w:sz w:val="24"/>
          <w:u w:val="single"/>
          <w:lang w:val="en-US"/>
        </w:rPr>
        <w:fldChar w:fldCharType="separate"/>
      </w:r>
      <w:r>
        <w:rPr>
          <w:rFonts w:hint="eastAsia" w:ascii="宋体" w:hAnsi="宋体"/>
          <w:b/>
          <w:bCs w:val="0"/>
          <w:color w:val="auto"/>
          <w:kern w:val="21"/>
          <w:sz w:val="24"/>
          <w:u w:val="single"/>
          <w:lang w:val="en-US"/>
        </w:rPr>
        <w:t>②</w:t>
      </w:r>
      <w:r>
        <w:rPr>
          <w:rFonts w:ascii="宋体" w:hAnsi="宋体"/>
          <w:b/>
          <w:bCs w:val="0"/>
          <w:color w:val="auto"/>
          <w:kern w:val="21"/>
          <w:sz w:val="24"/>
          <w:u w:val="single"/>
          <w:lang w:val="en-US"/>
        </w:rPr>
        <w:fldChar w:fldCharType="end"/>
      </w:r>
      <w:r>
        <w:rPr>
          <w:rFonts w:ascii="宋体" w:hAnsi="宋体"/>
          <w:b/>
          <w:bCs w:val="0"/>
          <w:color w:val="auto"/>
          <w:kern w:val="21"/>
          <w:sz w:val="24"/>
          <w:u w:val="single"/>
          <w:lang w:val="en-US"/>
        </w:rPr>
        <w:t>气浮</w:t>
      </w:r>
    </w:p>
    <w:p>
      <w:pPr>
        <w:pStyle w:val="32"/>
        <w:adjustRightInd w:val="0"/>
        <w:snapToGrid w:val="0"/>
        <w:spacing w:after="0" w:line="360" w:lineRule="auto"/>
        <w:ind w:firstLine="482" w:firstLineChars="200"/>
        <w:rPr>
          <w:b/>
          <w:bCs w:val="0"/>
          <w:color w:val="auto"/>
          <w:kern w:val="0"/>
          <w:sz w:val="24"/>
          <w:u w:val="single"/>
        </w:rPr>
      </w:pPr>
      <w:r>
        <w:rPr>
          <w:b/>
          <w:bCs w:val="0"/>
          <w:color w:val="auto"/>
          <w:kern w:val="0"/>
          <w:sz w:val="24"/>
          <w:u w:val="single"/>
        </w:rPr>
        <w:t>气浮是在水中产生大量细微气泡，细微气泡与废水中小悬浮粒子相黏附。形成整体密度小于水的</w:t>
      </w:r>
      <w:r>
        <w:rPr>
          <w:rFonts w:hint="eastAsia"/>
          <w:b/>
          <w:bCs w:val="0"/>
          <w:color w:val="auto"/>
          <w:kern w:val="0"/>
          <w:sz w:val="24"/>
          <w:u w:val="single"/>
          <w:lang w:eastAsia="zh-CN"/>
        </w:rPr>
        <w:t>“</w:t>
      </w:r>
      <w:r>
        <w:rPr>
          <w:b/>
          <w:bCs w:val="0"/>
          <w:color w:val="auto"/>
          <w:kern w:val="0"/>
          <w:sz w:val="24"/>
          <w:u w:val="single"/>
        </w:rPr>
        <w:t>气泡颗粒</w:t>
      </w:r>
      <w:r>
        <w:rPr>
          <w:rFonts w:hint="eastAsia"/>
          <w:b/>
          <w:bCs w:val="0"/>
          <w:color w:val="auto"/>
          <w:kern w:val="0"/>
          <w:sz w:val="24"/>
          <w:u w:val="single"/>
          <w:lang w:eastAsia="zh-CN"/>
        </w:rPr>
        <w:t>”</w:t>
      </w:r>
      <w:r>
        <w:rPr>
          <w:b/>
          <w:bCs w:val="0"/>
          <w:color w:val="auto"/>
          <w:kern w:val="0"/>
          <w:sz w:val="24"/>
          <w:u w:val="single"/>
        </w:rPr>
        <w:t>复合体，悬浮粒子随气泡一起浮升到水面，形成泡沫浮渣，从而使水中悬浮物得以分离。</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ascii="宋体" w:hAnsi="宋体"/>
          <w:b/>
          <w:bCs w:val="0"/>
          <w:color w:val="auto"/>
          <w:kern w:val="21"/>
          <w:sz w:val="24"/>
          <w:u w:val="single"/>
          <w:lang w:val="en-US"/>
        </w:rPr>
        <w:fldChar w:fldCharType="begin"/>
      </w:r>
      <w:r>
        <w:rPr>
          <w:rFonts w:ascii="宋体" w:hAnsi="宋体"/>
          <w:b/>
          <w:bCs w:val="0"/>
          <w:color w:val="auto"/>
          <w:kern w:val="21"/>
          <w:sz w:val="24"/>
          <w:u w:val="single"/>
          <w:lang w:val="en-US"/>
        </w:rPr>
        <w:instrText xml:space="preserve"> </w:instrText>
      </w:r>
      <w:r>
        <w:rPr>
          <w:rFonts w:hint="eastAsia" w:ascii="宋体" w:hAnsi="宋体"/>
          <w:b/>
          <w:bCs w:val="0"/>
          <w:color w:val="auto"/>
          <w:kern w:val="21"/>
          <w:sz w:val="24"/>
          <w:u w:val="single"/>
          <w:lang w:val="en-US"/>
        </w:rPr>
        <w:instrText xml:space="preserve">= 3 \* GB3</w:instrText>
      </w:r>
      <w:r>
        <w:rPr>
          <w:rFonts w:ascii="宋体" w:hAnsi="宋体"/>
          <w:b/>
          <w:bCs w:val="0"/>
          <w:color w:val="auto"/>
          <w:kern w:val="21"/>
          <w:sz w:val="24"/>
          <w:u w:val="single"/>
          <w:lang w:val="en-US"/>
        </w:rPr>
        <w:instrText xml:space="preserve"> </w:instrText>
      </w:r>
      <w:r>
        <w:rPr>
          <w:rFonts w:ascii="宋体" w:hAnsi="宋体"/>
          <w:b/>
          <w:bCs w:val="0"/>
          <w:color w:val="auto"/>
          <w:kern w:val="21"/>
          <w:sz w:val="24"/>
          <w:u w:val="single"/>
          <w:lang w:val="en-US"/>
        </w:rPr>
        <w:fldChar w:fldCharType="separate"/>
      </w:r>
      <w:r>
        <w:rPr>
          <w:rFonts w:hint="eastAsia" w:ascii="宋体" w:hAnsi="宋体"/>
          <w:b/>
          <w:bCs w:val="0"/>
          <w:color w:val="auto"/>
          <w:kern w:val="21"/>
          <w:sz w:val="24"/>
          <w:u w:val="single"/>
          <w:lang w:val="en-US"/>
        </w:rPr>
        <w:t>③</w:t>
      </w:r>
      <w:r>
        <w:rPr>
          <w:rFonts w:ascii="宋体" w:hAnsi="宋体"/>
          <w:b/>
          <w:bCs w:val="0"/>
          <w:color w:val="auto"/>
          <w:kern w:val="21"/>
          <w:sz w:val="24"/>
          <w:u w:val="single"/>
          <w:lang w:val="en-US"/>
        </w:rPr>
        <w:fldChar w:fldCharType="end"/>
      </w:r>
      <w:r>
        <w:rPr>
          <w:rFonts w:ascii="宋体" w:hAnsi="宋体"/>
          <w:b/>
          <w:bCs w:val="0"/>
          <w:color w:val="auto"/>
          <w:kern w:val="21"/>
          <w:sz w:val="24"/>
          <w:u w:val="single"/>
          <w:lang w:val="en-US"/>
        </w:rPr>
        <w:t>混凝沉淀</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混凝沉淀系统与含镍、含锌处理系统相同</w:t>
      </w:r>
      <w:r>
        <w:rPr>
          <w:rFonts w:hint="eastAsia" w:ascii="宋体" w:hAnsi="宋体"/>
          <w:b/>
          <w:bCs w:val="0"/>
          <w:color w:val="auto"/>
          <w:kern w:val="21"/>
          <w:sz w:val="24"/>
          <w:u w:val="single"/>
          <w:lang w:val="en-US" w:eastAsia="zh-CN"/>
        </w:rPr>
        <w:t>，</w:t>
      </w:r>
      <w:r>
        <w:rPr>
          <w:rFonts w:hint="eastAsia" w:ascii="宋体" w:hAnsi="宋体"/>
          <w:b/>
          <w:bCs w:val="0"/>
          <w:color w:val="auto"/>
          <w:kern w:val="21"/>
          <w:sz w:val="24"/>
          <w:u w:val="single"/>
          <w:lang w:val="en-US"/>
        </w:rPr>
        <w:t>此处不再赘述。</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ascii="宋体" w:hAnsi="宋体"/>
          <w:b/>
          <w:bCs w:val="0"/>
          <w:color w:val="auto"/>
          <w:kern w:val="21"/>
          <w:sz w:val="24"/>
          <w:u w:val="single"/>
          <w:lang w:val="en-US"/>
        </w:rPr>
        <w:fldChar w:fldCharType="begin"/>
      </w:r>
      <w:r>
        <w:rPr>
          <w:rFonts w:ascii="宋体" w:hAnsi="宋体"/>
          <w:b/>
          <w:bCs w:val="0"/>
          <w:color w:val="auto"/>
          <w:kern w:val="21"/>
          <w:sz w:val="24"/>
          <w:u w:val="single"/>
          <w:lang w:val="en-US"/>
        </w:rPr>
        <w:instrText xml:space="preserve"> </w:instrText>
      </w:r>
      <w:r>
        <w:rPr>
          <w:rFonts w:hint="eastAsia" w:ascii="宋体" w:hAnsi="宋体"/>
          <w:b/>
          <w:bCs w:val="0"/>
          <w:color w:val="auto"/>
          <w:kern w:val="21"/>
          <w:sz w:val="24"/>
          <w:u w:val="single"/>
          <w:lang w:val="en-US"/>
        </w:rPr>
        <w:instrText xml:space="preserve">= 4 \* GB3</w:instrText>
      </w:r>
      <w:r>
        <w:rPr>
          <w:rFonts w:ascii="宋体" w:hAnsi="宋体"/>
          <w:b/>
          <w:bCs w:val="0"/>
          <w:color w:val="auto"/>
          <w:kern w:val="21"/>
          <w:sz w:val="24"/>
          <w:u w:val="single"/>
          <w:lang w:val="en-US"/>
        </w:rPr>
        <w:instrText xml:space="preserve"> </w:instrText>
      </w:r>
      <w:r>
        <w:rPr>
          <w:rFonts w:ascii="宋体" w:hAnsi="宋体"/>
          <w:b/>
          <w:bCs w:val="0"/>
          <w:color w:val="auto"/>
          <w:kern w:val="21"/>
          <w:sz w:val="24"/>
          <w:u w:val="single"/>
          <w:lang w:val="en-US"/>
        </w:rPr>
        <w:fldChar w:fldCharType="separate"/>
      </w:r>
      <w:r>
        <w:rPr>
          <w:rFonts w:hint="eastAsia" w:ascii="宋体" w:hAnsi="宋体"/>
          <w:b/>
          <w:bCs w:val="0"/>
          <w:color w:val="auto"/>
          <w:kern w:val="21"/>
          <w:sz w:val="24"/>
          <w:u w:val="single"/>
          <w:lang w:val="en-US"/>
        </w:rPr>
        <w:t>④</w:t>
      </w:r>
      <w:r>
        <w:rPr>
          <w:rFonts w:ascii="宋体" w:hAnsi="宋体"/>
          <w:b/>
          <w:bCs w:val="0"/>
          <w:color w:val="auto"/>
          <w:kern w:val="21"/>
          <w:sz w:val="24"/>
          <w:u w:val="single"/>
          <w:lang w:val="en-US"/>
        </w:rPr>
        <w:fldChar w:fldCharType="end"/>
      </w:r>
      <w:r>
        <w:rPr>
          <w:rFonts w:ascii="宋体" w:hAnsi="宋体"/>
          <w:b/>
          <w:bCs w:val="0"/>
          <w:color w:val="auto"/>
          <w:kern w:val="21"/>
          <w:sz w:val="24"/>
          <w:u w:val="single"/>
          <w:lang w:val="en-US"/>
        </w:rPr>
        <w:t>多介质过滤</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多介质过滤系统与含镍、含锌处理系统相同</w:t>
      </w:r>
      <w:r>
        <w:rPr>
          <w:rFonts w:hint="eastAsia" w:ascii="宋体" w:hAnsi="宋体"/>
          <w:b/>
          <w:bCs w:val="0"/>
          <w:color w:val="auto"/>
          <w:kern w:val="21"/>
          <w:sz w:val="24"/>
          <w:u w:val="single"/>
          <w:lang w:val="en-US" w:eastAsia="zh-CN"/>
        </w:rPr>
        <w:t>，</w:t>
      </w:r>
      <w:r>
        <w:rPr>
          <w:rFonts w:hint="eastAsia" w:ascii="宋体" w:hAnsi="宋体"/>
          <w:b/>
          <w:bCs w:val="0"/>
          <w:color w:val="auto"/>
          <w:kern w:val="21"/>
          <w:sz w:val="24"/>
          <w:u w:val="single"/>
          <w:lang w:val="en-US"/>
        </w:rPr>
        <w:t>此处不再赘述。</w:t>
      </w:r>
    </w:p>
    <w:p>
      <w:pPr>
        <w:pStyle w:val="32"/>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eastAsia="黑体"/>
          <w:b/>
          <w:bCs w:val="0"/>
          <w:color w:val="auto"/>
          <w:kern w:val="21"/>
          <w:sz w:val="24"/>
          <w:u w:val="single"/>
          <w:lang w:val="en-US"/>
        </w:rPr>
      </w:pPr>
      <w:r>
        <w:rPr>
          <w:rFonts w:hint="eastAsia" w:eastAsia="黑体"/>
          <w:b/>
          <w:bCs w:val="0"/>
          <w:color w:val="auto"/>
          <w:kern w:val="21"/>
          <w:sz w:val="24"/>
          <w:u w:val="single"/>
          <w:lang w:val="en-US"/>
        </w:rPr>
        <w:t>表7.2-11</w:t>
      </w:r>
      <w:r>
        <w:rPr>
          <w:rFonts w:eastAsia="黑体"/>
          <w:b/>
          <w:bCs w:val="0"/>
          <w:color w:val="auto"/>
          <w:kern w:val="21"/>
          <w:sz w:val="24"/>
          <w:u w:val="single"/>
          <w:lang w:val="en-US"/>
        </w:rPr>
        <w:t xml:space="preserve">  综合</w:t>
      </w:r>
      <w:r>
        <w:rPr>
          <w:rFonts w:hint="eastAsia" w:eastAsia="黑体"/>
          <w:b/>
          <w:bCs w:val="0"/>
          <w:color w:val="auto"/>
          <w:kern w:val="21"/>
          <w:sz w:val="24"/>
          <w:u w:val="single"/>
          <w:lang w:val="en-US"/>
        </w:rPr>
        <w:t>废水预处理系统处理效率</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332"/>
        <w:gridCol w:w="1004"/>
        <w:gridCol w:w="695"/>
        <w:gridCol w:w="821"/>
        <w:gridCol w:w="695"/>
        <w:gridCol w:w="695"/>
        <w:gridCol w:w="794"/>
        <w:gridCol w:w="794"/>
        <w:gridCol w:w="899"/>
        <w:gridCol w:w="79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781" w:type="pct"/>
            <w:vMerge w:val="restart"/>
            <w:vAlign w:val="center"/>
          </w:tcPr>
          <w:p>
            <w:pPr>
              <w:jc w:val="center"/>
              <w:rPr>
                <w:b/>
                <w:bCs w:val="0"/>
                <w:color w:val="auto"/>
                <w:u w:val="single"/>
              </w:rPr>
            </w:pPr>
            <w:r>
              <w:rPr>
                <w:b/>
                <w:bCs w:val="0"/>
                <w:color w:val="auto"/>
                <w:u w:val="single"/>
              </w:rPr>
              <w:t>项目</w:t>
            </w:r>
          </w:p>
        </w:tc>
        <w:tc>
          <w:tcPr>
            <w:tcW w:w="588" w:type="pct"/>
            <w:vAlign w:val="center"/>
          </w:tcPr>
          <w:p>
            <w:pPr>
              <w:jc w:val="center"/>
              <w:rPr>
                <w:b/>
                <w:bCs w:val="0"/>
                <w:color w:val="auto"/>
                <w:u w:val="single"/>
              </w:rPr>
            </w:pPr>
            <w:r>
              <w:rPr>
                <w:b/>
                <w:bCs w:val="0"/>
                <w:color w:val="auto"/>
                <w:u w:val="single"/>
              </w:rPr>
              <w:t>水量</w:t>
            </w:r>
          </w:p>
        </w:tc>
        <w:tc>
          <w:tcPr>
            <w:tcW w:w="407" w:type="pct"/>
            <w:vAlign w:val="center"/>
          </w:tcPr>
          <w:p>
            <w:pPr>
              <w:jc w:val="center"/>
              <w:rPr>
                <w:b/>
                <w:bCs w:val="0"/>
                <w:color w:val="auto"/>
                <w:u w:val="single"/>
                <w:vertAlign w:val="superscript"/>
              </w:rPr>
            </w:pPr>
            <w:r>
              <w:rPr>
                <w:b/>
                <w:bCs w:val="0"/>
                <w:color w:val="auto"/>
                <w:kern w:val="21"/>
                <w:u w:val="single"/>
              </w:rPr>
              <w:t>COD</w:t>
            </w:r>
          </w:p>
        </w:tc>
        <w:tc>
          <w:tcPr>
            <w:tcW w:w="481" w:type="pct"/>
            <w:vAlign w:val="center"/>
          </w:tcPr>
          <w:p>
            <w:pPr>
              <w:jc w:val="center"/>
              <w:rPr>
                <w:b/>
                <w:bCs w:val="0"/>
                <w:color w:val="auto"/>
                <w:u w:val="single"/>
              </w:rPr>
            </w:pPr>
            <w:r>
              <w:rPr>
                <w:b/>
                <w:bCs w:val="0"/>
                <w:color w:val="auto"/>
                <w:kern w:val="21"/>
                <w:u w:val="single"/>
              </w:rPr>
              <w:t>NH</w:t>
            </w:r>
            <w:r>
              <w:rPr>
                <w:b/>
                <w:bCs w:val="0"/>
                <w:color w:val="auto"/>
                <w:kern w:val="21"/>
                <w:u w:val="single"/>
                <w:vertAlign w:val="subscript"/>
              </w:rPr>
              <w:t>3</w:t>
            </w:r>
            <w:r>
              <w:rPr>
                <w:b/>
                <w:bCs w:val="0"/>
                <w:color w:val="auto"/>
                <w:kern w:val="21"/>
                <w:u w:val="single"/>
              </w:rPr>
              <w:t>-N</w:t>
            </w:r>
          </w:p>
        </w:tc>
        <w:tc>
          <w:tcPr>
            <w:tcW w:w="407" w:type="pct"/>
            <w:vAlign w:val="center"/>
          </w:tcPr>
          <w:p>
            <w:pPr>
              <w:jc w:val="center"/>
              <w:rPr>
                <w:b/>
                <w:bCs w:val="0"/>
                <w:color w:val="auto"/>
                <w:u w:val="single"/>
              </w:rPr>
            </w:pPr>
            <w:r>
              <w:rPr>
                <w:b/>
                <w:bCs w:val="0"/>
                <w:color w:val="auto"/>
                <w:kern w:val="21"/>
                <w:u w:val="single"/>
              </w:rPr>
              <w:t>SS</w:t>
            </w:r>
          </w:p>
        </w:tc>
        <w:tc>
          <w:tcPr>
            <w:tcW w:w="407" w:type="pct"/>
            <w:tcBorders>
              <w:right w:val="single" w:color="auto" w:sz="4" w:space="0"/>
            </w:tcBorders>
            <w:vAlign w:val="center"/>
          </w:tcPr>
          <w:p>
            <w:pPr>
              <w:jc w:val="center"/>
              <w:rPr>
                <w:b/>
                <w:bCs w:val="0"/>
                <w:color w:val="auto"/>
                <w:kern w:val="21"/>
                <w:u w:val="single"/>
              </w:rPr>
            </w:pPr>
            <w:r>
              <w:rPr>
                <w:b/>
                <w:bCs w:val="0"/>
                <w:color w:val="auto"/>
                <w:kern w:val="21"/>
                <w:u w:val="single"/>
              </w:rPr>
              <w:t>石油类</w:t>
            </w:r>
          </w:p>
        </w:tc>
        <w:tc>
          <w:tcPr>
            <w:tcW w:w="465" w:type="pct"/>
            <w:tcBorders>
              <w:left w:val="single" w:color="auto" w:sz="4" w:space="0"/>
            </w:tcBorders>
            <w:vAlign w:val="center"/>
          </w:tcPr>
          <w:p>
            <w:pPr>
              <w:jc w:val="center"/>
              <w:rPr>
                <w:b/>
                <w:bCs w:val="0"/>
                <w:color w:val="auto"/>
                <w:u w:val="single"/>
                <w:vertAlign w:val="superscript"/>
              </w:rPr>
            </w:pPr>
            <w:r>
              <w:rPr>
                <w:b/>
                <w:bCs w:val="0"/>
                <w:color w:val="auto"/>
                <w:kern w:val="21"/>
                <w:u w:val="single"/>
              </w:rPr>
              <w:t>总镍</w:t>
            </w:r>
          </w:p>
        </w:tc>
        <w:tc>
          <w:tcPr>
            <w:tcW w:w="465" w:type="pct"/>
            <w:vAlign w:val="center"/>
          </w:tcPr>
          <w:p>
            <w:pPr>
              <w:jc w:val="center"/>
              <w:rPr>
                <w:b/>
                <w:bCs w:val="0"/>
                <w:color w:val="auto"/>
                <w:kern w:val="21"/>
                <w:u w:val="single"/>
              </w:rPr>
            </w:pPr>
            <w:r>
              <w:rPr>
                <w:b/>
                <w:bCs w:val="0"/>
                <w:color w:val="auto"/>
                <w:kern w:val="21"/>
                <w:u w:val="single"/>
              </w:rPr>
              <w:t>总锌</w:t>
            </w:r>
          </w:p>
        </w:tc>
        <w:tc>
          <w:tcPr>
            <w:tcW w:w="527" w:type="pct"/>
            <w:vAlign w:val="center"/>
          </w:tcPr>
          <w:p>
            <w:pPr>
              <w:jc w:val="center"/>
              <w:rPr>
                <w:b/>
                <w:bCs w:val="0"/>
                <w:color w:val="auto"/>
                <w:kern w:val="21"/>
                <w:u w:val="single"/>
              </w:rPr>
            </w:pPr>
            <w:r>
              <w:rPr>
                <w:b/>
                <w:bCs w:val="0"/>
                <w:color w:val="auto"/>
                <w:kern w:val="21"/>
                <w:u w:val="single"/>
              </w:rPr>
              <w:t>六价铬</w:t>
            </w:r>
          </w:p>
        </w:tc>
        <w:tc>
          <w:tcPr>
            <w:tcW w:w="466" w:type="pct"/>
            <w:vAlign w:val="center"/>
          </w:tcPr>
          <w:p>
            <w:pPr>
              <w:jc w:val="center"/>
              <w:rPr>
                <w:b/>
                <w:bCs w:val="0"/>
                <w:color w:val="auto"/>
                <w:kern w:val="21"/>
                <w:u w:val="single"/>
              </w:rPr>
            </w:pPr>
            <w:r>
              <w:rPr>
                <w:b/>
                <w:bCs w:val="0"/>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781" w:type="pct"/>
            <w:vMerge w:val="continue"/>
            <w:vAlign w:val="center"/>
          </w:tcPr>
          <w:p>
            <w:pPr>
              <w:jc w:val="center"/>
              <w:rPr>
                <w:b/>
                <w:bCs w:val="0"/>
                <w:color w:val="auto"/>
                <w:u w:val="single"/>
              </w:rPr>
            </w:pPr>
          </w:p>
        </w:tc>
        <w:tc>
          <w:tcPr>
            <w:tcW w:w="588" w:type="pct"/>
            <w:vAlign w:val="center"/>
          </w:tcPr>
          <w:p>
            <w:pPr>
              <w:jc w:val="center"/>
              <w:rPr>
                <w:b/>
                <w:bCs w:val="0"/>
                <w:color w:val="auto"/>
                <w:u w:val="single"/>
              </w:rPr>
            </w:pPr>
            <w:r>
              <w:rPr>
                <w:b/>
                <w:bCs w:val="0"/>
                <w:color w:val="auto"/>
                <w:u w:val="single"/>
              </w:rPr>
              <w:t>m</w:t>
            </w:r>
            <w:r>
              <w:rPr>
                <w:b/>
                <w:bCs w:val="0"/>
                <w:color w:val="auto"/>
                <w:u w:val="single"/>
                <w:vertAlign w:val="superscript"/>
              </w:rPr>
              <w:t>3</w:t>
            </w:r>
            <w:r>
              <w:rPr>
                <w:b/>
                <w:bCs w:val="0"/>
                <w:color w:val="auto"/>
                <w:u w:val="single"/>
              </w:rPr>
              <w:t>/d</w:t>
            </w:r>
          </w:p>
        </w:tc>
        <w:tc>
          <w:tcPr>
            <w:tcW w:w="407" w:type="pct"/>
            <w:vAlign w:val="center"/>
          </w:tcPr>
          <w:p>
            <w:pPr>
              <w:jc w:val="center"/>
              <w:rPr>
                <w:b/>
                <w:bCs w:val="0"/>
                <w:color w:val="auto"/>
                <w:u w:val="single"/>
              </w:rPr>
            </w:pPr>
            <w:r>
              <w:rPr>
                <w:b/>
                <w:bCs w:val="0"/>
                <w:color w:val="auto"/>
                <w:u w:val="single"/>
              </w:rPr>
              <w:t>mg/L</w:t>
            </w:r>
          </w:p>
        </w:tc>
        <w:tc>
          <w:tcPr>
            <w:tcW w:w="481" w:type="pct"/>
            <w:vAlign w:val="center"/>
          </w:tcPr>
          <w:p>
            <w:pPr>
              <w:jc w:val="center"/>
              <w:rPr>
                <w:b/>
                <w:bCs w:val="0"/>
                <w:color w:val="auto"/>
                <w:u w:val="single"/>
              </w:rPr>
            </w:pPr>
            <w:r>
              <w:rPr>
                <w:b/>
                <w:bCs w:val="0"/>
                <w:color w:val="auto"/>
                <w:u w:val="single"/>
              </w:rPr>
              <w:t>mg/L</w:t>
            </w:r>
          </w:p>
        </w:tc>
        <w:tc>
          <w:tcPr>
            <w:tcW w:w="407" w:type="pct"/>
            <w:vAlign w:val="center"/>
          </w:tcPr>
          <w:p>
            <w:pPr>
              <w:jc w:val="center"/>
              <w:rPr>
                <w:b/>
                <w:bCs w:val="0"/>
                <w:color w:val="auto"/>
                <w:u w:val="single"/>
              </w:rPr>
            </w:pPr>
            <w:r>
              <w:rPr>
                <w:b/>
                <w:bCs w:val="0"/>
                <w:color w:val="auto"/>
                <w:u w:val="single"/>
              </w:rPr>
              <w:t>mg/L</w:t>
            </w:r>
          </w:p>
        </w:tc>
        <w:tc>
          <w:tcPr>
            <w:tcW w:w="407" w:type="pct"/>
            <w:tcBorders>
              <w:right w:val="single" w:color="auto" w:sz="4" w:space="0"/>
            </w:tcBorders>
            <w:vAlign w:val="center"/>
          </w:tcPr>
          <w:p>
            <w:pPr>
              <w:jc w:val="center"/>
              <w:rPr>
                <w:b/>
                <w:bCs w:val="0"/>
                <w:color w:val="auto"/>
                <w:kern w:val="21"/>
                <w:u w:val="single"/>
              </w:rPr>
            </w:pPr>
            <w:r>
              <w:rPr>
                <w:b/>
                <w:bCs w:val="0"/>
                <w:color w:val="auto"/>
                <w:kern w:val="21"/>
                <w:u w:val="single"/>
              </w:rPr>
              <w:t>mg/L</w:t>
            </w:r>
          </w:p>
        </w:tc>
        <w:tc>
          <w:tcPr>
            <w:tcW w:w="465" w:type="pct"/>
            <w:tcBorders>
              <w:left w:val="single" w:color="auto" w:sz="4" w:space="0"/>
            </w:tcBorders>
            <w:vAlign w:val="center"/>
          </w:tcPr>
          <w:p>
            <w:pPr>
              <w:jc w:val="center"/>
              <w:rPr>
                <w:b/>
                <w:bCs w:val="0"/>
                <w:color w:val="auto"/>
                <w:u w:val="single"/>
                <w:vertAlign w:val="superscript"/>
              </w:rPr>
            </w:pPr>
            <w:r>
              <w:rPr>
                <w:b/>
                <w:bCs w:val="0"/>
                <w:color w:val="auto"/>
                <w:u w:val="single"/>
              </w:rPr>
              <w:t>mg/L</w:t>
            </w:r>
          </w:p>
        </w:tc>
        <w:tc>
          <w:tcPr>
            <w:tcW w:w="465" w:type="pct"/>
            <w:vAlign w:val="center"/>
          </w:tcPr>
          <w:p>
            <w:pPr>
              <w:jc w:val="center"/>
              <w:rPr>
                <w:b/>
                <w:bCs w:val="0"/>
                <w:color w:val="auto"/>
                <w:u w:val="single"/>
              </w:rPr>
            </w:pPr>
            <w:r>
              <w:rPr>
                <w:b/>
                <w:bCs w:val="0"/>
                <w:color w:val="auto"/>
                <w:u w:val="single"/>
              </w:rPr>
              <w:t>mg/L</w:t>
            </w:r>
          </w:p>
        </w:tc>
        <w:tc>
          <w:tcPr>
            <w:tcW w:w="527" w:type="pct"/>
            <w:vAlign w:val="center"/>
          </w:tcPr>
          <w:p>
            <w:pPr>
              <w:jc w:val="center"/>
              <w:rPr>
                <w:b/>
                <w:bCs w:val="0"/>
                <w:color w:val="auto"/>
                <w:u w:val="single"/>
              </w:rPr>
            </w:pPr>
            <w:r>
              <w:rPr>
                <w:b/>
                <w:bCs w:val="0"/>
                <w:color w:val="auto"/>
                <w:u w:val="single"/>
              </w:rPr>
              <w:t>mg/L</w:t>
            </w:r>
          </w:p>
        </w:tc>
        <w:tc>
          <w:tcPr>
            <w:tcW w:w="466" w:type="pct"/>
            <w:vAlign w:val="center"/>
          </w:tcPr>
          <w:p>
            <w:pPr>
              <w:jc w:val="center"/>
              <w:rPr>
                <w:b/>
                <w:bCs w:val="0"/>
                <w:color w:val="auto"/>
                <w:u w:val="single"/>
              </w:rPr>
            </w:pPr>
            <w:r>
              <w:rPr>
                <w:b/>
                <w:bCs w:val="0"/>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781" w:type="pct"/>
            <w:vAlign w:val="center"/>
          </w:tcPr>
          <w:p>
            <w:pPr>
              <w:jc w:val="center"/>
              <w:rPr>
                <w:b/>
                <w:bCs w:val="0"/>
                <w:color w:val="auto"/>
                <w:u w:val="single"/>
              </w:rPr>
            </w:pPr>
            <w:r>
              <w:rPr>
                <w:rFonts w:hint="eastAsia"/>
                <w:b/>
                <w:bCs w:val="0"/>
                <w:color w:val="auto"/>
                <w:u w:val="single"/>
              </w:rPr>
              <w:t>综合废水</w:t>
            </w:r>
          </w:p>
        </w:tc>
        <w:tc>
          <w:tcPr>
            <w:tcW w:w="588" w:type="pct"/>
            <w:vAlign w:val="center"/>
          </w:tcPr>
          <w:p>
            <w:pPr>
              <w:jc w:val="center"/>
              <w:rPr>
                <w:b/>
                <w:bCs w:val="0"/>
                <w:color w:val="auto"/>
                <w:u w:val="single"/>
              </w:rPr>
            </w:pPr>
            <w:r>
              <w:rPr>
                <w:b/>
                <w:bCs w:val="0"/>
                <w:color w:val="auto"/>
                <w:u w:val="single"/>
              </w:rPr>
              <w:t>168.9075</w:t>
            </w:r>
          </w:p>
        </w:tc>
        <w:tc>
          <w:tcPr>
            <w:tcW w:w="407" w:type="pct"/>
            <w:vAlign w:val="center"/>
          </w:tcPr>
          <w:p>
            <w:pPr>
              <w:jc w:val="center"/>
              <w:rPr>
                <w:b/>
                <w:bCs w:val="0"/>
                <w:color w:val="auto"/>
                <w:u w:val="single"/>
              </w:rPr>
            </w:pPr>
            <w:r>
              <w:rPr>
                <w:rFonts w:hint="eastAsia"/>
                <w:b/>
                <w:bCs w:val="0"/>
                <w:color w:val="auto"/>
                <w:u w:val="single"/>
              </w:rPr>
              <w:t>529</w:t>
            </w:r>
          </w:p>
        </w:tc>
        <w:tc>
          <w:tcPr>
            <w:tcW w:w="481" w:type="pct"/>
            <w:vAlign w:val="center"/>
          </w:tcPr>
          <w:p>
            <w:pPr>
              <w:jc w:val="center"/>
              <w:rPr>
                <w:b/>
                <w:bCs w:val="0"/>
                <w:color w:val="auto"/>
                <w:u w:val="single"/>
              </w:rPr>
            </w:pPr>
            <w:r>
              <w:rPr>
                <w:rFonts w:hint="eastAsia"/>
                <w:b/>
                <w:bCs w:val="0"/>
                <w:color w:val="auto"/>
                <w:u w:val="single"/>
              </w:rPr>
              <w:t>21.25</w:t>
            </w:r>
          </w:p>
        </w:tc>
        <w:tc>
          <w:tcPr>
            <w:tcW w:w="407" w:type="pct"/>
            <w:vAlign w:val="center"/>
          </w:tcPr>
          <w:p>
            <w:pPr>
              <w:jc w:val="center"/>
              <w:rPr>
                <w:b/>
                <w:bCs w:val="0"/>
                <w:color w:val="auto"/>
                <w:u w:val="single"/>
              </w:rPr>
            </w:pPr>
            <w:r>
              <w:rPr>
                <w:rFonts w:hint="eastAsia"/>
                <w:b/>
                <w:bCs w:val="0"/>
                <w:color w:val="auto"/>
                <w:u w:val="single"/>
              </w:rPr>
              <w:t>400</w:t>
            </w:r>
          </w:p>
        </w:tc>
        <w:tc>
          <w:tcPr>
            <w:tcW w:w="407" w:type="pct"/>
            <w:tcBorders>
              <w:right w:val="single" w:color="auto" w:sz="4" w:space="0"/>
            </w:tcBorders>
            <w:vAlign w:val="center"/>
          </w:tcPr>
          <w:p>
            <w:pPr>
              <w:jc w:val="center"/>
              <w:rPr>
                <w:b/>
                <w:bCs w:val="0"/>
                <w:color w:val="auto"/>
                <w:u w:val="single"/>
              </w:rPr>
            </w:pPr>
            <w:r>
              <w:rPr>
                <w:rFonts w:hint="eastAsia"/>
                <w:b/>
                <w:bCs w:val="0"/>
                <w:color w:val="auto"/>
                <w:u w:val="single"/>
              </w:rPr>
              <w:t>2.21</w:t>
            </w:r>
          </w:p>
        </w:tc>
        <w:tc>
          <w:tcPr>
            <w:tcW w:w="465" w:type="pct"/>
            <w:tcBorders>
              <w:left w:val="single" w:color="auto" w:sz="4" w:space="0"/>
            </w:tcBorders>
            <w:vAlign w:val="center"/>
          </w:tcPr>
          <w:p>
            <w:pPr>
              <w:jc w:val="center"/>
              <w:rPr>
                <w:b/>
                <w:bCs w:val="0"/>
                <w:color w:val="auto"/>
                <w:u w:val="single"/>
              </w:rPr>
            </w:pPr>
            <w:r>
              <w:rPr>
                <w:rFonts w:hint="eastAsia"/>
                <w:b/>
                <w:bCs w:val="0"/>
                <w:color w:val="auto"/>
                <w:u w:val="single"/>
              </w:rPr>
              <w:t>5</w:t>
            </w:r>
          </w:p>
        </w:tc>
        <w:tc>
          <w:tcPr>
            <w:tcW w:w="465" w:type="pct"/>
            <w:vAlign w:val="center"/>
          </w:tcPr>
          <w:p>
            <w:pPr>
              <w:jc w:val="center"/>
              <w:rPr>
                <w:b/>
                <w:bCs w:val="0"/>
                <w:color w:val="auto"/>
                <w:u w:val="single"/>
              </w:rPr>
            </w:pPr>
            <w:r>
              <w:rPr>
                <w:rFonts w:hint="eastAsia"/>
                <w:b/>
                <w:bCs w:val="0"/>
                <w:color w:val="auto"/>
                <w:u w:val="single"/>
              </w:rPr>
              <w:t>2.5</w:t>
            </w:r>
          </w:p>
        </w:tc>
        <w:tc>
          <w:tcPr>
            <w:tcW w:w="527" w:type="pct"/>
            <w:vAlign w:val="center"/>
          </w:tcPr>
          <w:p>
            <w:pPr>
              <w:jc w:val="center"/>
              <w:rPr>
                <w:b/>
                <w:bCs w:val="0"/>
                <w:color w:val="auto"/>
                <w:u w:val="single"/>
              </w:rPr>
            </w:pPr>
            <w:r>
              <w:rPr>
                <w:rFonts w:hint="eastAsia"/>
                <w:b/>
                <w:bCs w:val="0"/>
                <w:color w:val="auto"/>
                <w:u w:val="single"/>
              </w:rPr>
              <w:t>10</w:t>
            </w:r>
          </w:p>
        </w:tc>
        <w:tc>
          <w:tcPr>
            <w:tcW w:w="466" w:type="pct"/>
            <w:vAlign w:val="center"/>
          </w:tcPr>
          <w:p>
            <w:pPr>
              <w:jc w:val="center"/>
              <w:rPr>
                <w:b/>
                <w:bCs w:val="0"/>
                <w:color w:val="auto"/>
                <w:u w:val="single"/>
              </w:rPr>
            </w:pPr>
            <w:r>
              <w:rPr>
                <w:rFonts w:hint="eastAsia"/>
                <w:b/>
                <w:bCs w:val="0"/>
                <w:color w:val="auto"/>
                <w:u w:val="single"/>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781" w:type="pct"/>
            <w:vAlign w:val="center"/>
          </w:tcPr>
          <w:p>
            <w:pPr>
              <w:jc w:val="center"/>
              <w:rPr>
                <w:b/>
                <w:bCs w:val="0"/>
                <w:color w:val="auto"/>
                <w:u w:val="single"/>
              </w:rPr>
            </w:pPr>
            <w:r>
              <w:rPr>
                <w:rFonts w:hint="eastAsia"/>
                <w:b/>
                <w:bCs w:val="0"/>
                <w:color w:val="auto"/>
                <w:u w:val="single"/>
              </w:rPr>
              <w:t>去除率</w:t>
            </w:r>
          </w:p>
        </w:tc>
        <w:tc>
          <w:tcPr>
            <w:tcW w:w="588" w:type="pct"/>
            <w:vAlign w:val="center"/>
          </w:tcPr>
          <w:p>
            <w:pPr>
              <w:jc w:val="center"/>
              <w:rPr>
                <w:b/>
                <w:bCs w:val="0"/>
                <w:color w:val="auto"/>
                <w:u w:val="single"/>
              </w:rPr>
            </w:pPr>
            <w:r>
              <w:rPr>
                <w:rFonts w:hint="eastAsia"/>
                <w:b/>
                <w:bCs w:val="0"/>
                <w:color w:val="auto"/>
                <w:u w:val="single"/>
              </w:rPr>
              <w:t>/</w:t>
            </w:r>
          </w:p>
        </w:tc>
        <w:tc>
          <w:tcPr>
            <w:tcW w:w="407" w:type="pct"/>
            <w:vAlign w:val="center"/>
          </w:tcPr>
          <w:p>
            <w:pPr>
              <w:jc w:val="center"/>
              <w:rPr>
                <w:b/>
                <w:bCs w:val="0"/>
                <w:color w:val="auto"/>
                <w:u w:val="single"/>
              </w:rPr>
            </w:pPr>
            <w:r>
              <w:rPr>
                <w:rFonts w:hint="eastAsia"/>
                <w:b/>
                <w:bCs w:val="0"/>
                <w:color w:val="auto"/>
                <w:u w:val="single"/>
              </w:rPr>
              <w:t>20%</w:t>
            </w:r>
          </w:p>
        </w:tc>
        <w:tc>
          <w:tcPr>
            <w:tcW w:w="481" w:type="pct"/>
            <w:vAlign w:val="center"/>
          </w:tcPr>
          <w:p>
            <w:pPr>
              <w:jc w:val="center"/>
              <w:rPr>
                <w:b/>
                <w:bCs w:val="0"/>
                <w:color w:val="auto"/>
                <w:u w:val="single"/>
              </w:rPr>
            </w:pPr>
            <w:r>
              <w:rPr>
                <w:rFonts w:hint="eastAsia"/>
                <w:b/>
                <w:bCs w:val="0"/>
                <w:color w:val="auto"/>
                <w:u w:val="single"/>
              </w:rPr>
              <w:t>/</w:t>
            </w:r>
          </w:p>
        </w:tc>
        <w:tc>
          <w:tcPr>
            <w:tcW w:w="407" w:type="pct"/>
            <w:vAlign w:val="center"/>
          </w:tcPr>
          <w:p>
            <w:pPr>
              <w:jc w:val="center"/>
              <w:rPr>
                <w:b/>
                <w:bCs w:val="0"/>
                <w:color w:val="auto"/>
                <w:u w:val="single"/>
              </w:rPr>
            </w:pPr>
            <w:r>
              <w:rPr>
                <w:rFonts w:hint="eastAsia"/>
                <w:b/>
                <w:bCs w:val="0"/>
                <w:color w:val="auto"/>
                <w:u w:val="single"/>
              </w:rPr>
              <w:t>75%</w:t>
            </w:r>
          </w:p>
        </w:tc>
        <w:tc>
          <w:tcPr>
            <w:tcW w:w="407" w:type="pct"/>
            <w:tcBorders>
              <w:right w:val="single" w:color="auto" w:sz="4" w:space="0"/>
            </w:tcBorders>
            <w:vAlign w:val="center"/>
          </w:tcPr>
          <w:p>
            <w:pPr>
              <w:jc w:val="center"/>
              <w:rPr>
                <w:b/>
                <w:bCs w:val="0"/>
                <w:color w:val="auto"/>
                <w:u w:val="single"/>
              </w:rPr>
            </w:pPr>
            <w:r>
              <w:rPr>
                <w:rFonts w:hint="eastAsia"/>
                <w:b/>
                <w:bCs w:val="0"/>
                <w:color w:val="auto"/>
                <w:u w:val="single"/>
              </w:rPr>
              <w:t>80%</w:t>
            </w:r>
          </w:p>
        </w:tc>
        <w:tc>
          <w:tcPr>
            <w:tcW w:w="465" w:type="pct"/>
            <w:tcBorders>
              <w:left w:val="single" w:color="auto" w:sz="4" w:space="0"/>
            </w:tcBorders>
            <w:vAlign w:val="center"/>
          </w:tcPr>
          <w:p>
            <w:pPr>
              <w:jc w:val="center"/>
              <w:rPr>
                <w:b/>
                <w:bCs w:val="0"/>
                <w:color w:val="auto"/>
                <w:u w:val="single"/>
              </w:rPr>
            </w:pPr>
            <w:r>
              <w:rPr>
                <w:rFonts w:hint="eastAsia"/>
                <w:b/>
                <w:bCs w:val="0"/>
                <w:color w:val="auto"/>
                <w:u w:val="single"/>
              </w:rPr>
              <w:t>99.6%</w:t>
            </w:r>
          </w:p>
        </w:tc>
        <w:tc>
          <w:tcPr>
            <w:tcW w:w="465" w:type="pct"/>
            <w:vAlign w:val="center"/>
          </w:tcPr>
          <w:p>
            <w:pPr>
              <w:jc w:val="center"/>
              <w:rPr>
                <w:b/>
                <w:bCs w:val="0"/>
                <w:color w:val="auto"/>
                <w:u w:val="single"/>
              </w:rPr>
            </w:pPr>
            <w:r>
              <w:rPr>
                <w:rFonts w:hint="eastAsia"/>
                <w:b/>
                <w:bCs w:val="0"/>
                <w:color w:val="auto"/>
                <w:u w:val="single"/>
              </w:rPr>
              <w:t>98.8%</w:t>
            </w:r>
          </w:p>
        </w:tc>
        <w:tc>
          <w:tcPr>
            <w:tcW w:w="527" w:type="pct"/>
            <w:vAlign w:val="center"/>
          </w:tcPr>
          <w:p>
            <w:pPr>
              <w:jc w:val="center"/>
              <w:rPr>
                <w:b/>
                <w:bCs w:val="0"/>
                <w:color w:val="auto"/>
                <w:u w:val="single"/>
              </w:rPr>
            </w:pPr>
            <w:r>
              <w:rPr>
                <w:rFonts w:hint="eastAsia"/>
                <w:b/>
                <w:bCs w:val="0"/>
                <w:color w:val="auto"/>
                <w:u w:val="single"/>
              </w:rPr>
              <w:t>99.76%</w:t>
            </w:r>
          </w:p>
        </w:tc>
        <w:tc>
          <w:tcPr>
            <w:tcW w:w="466" w:type="pct"/>
            <w:vAlign w:val="center"/>
          </w:tcPr>
          <w:p>
            <w:pPr>
              <w:jc w:val="center"/>
              <w:rPr>
                <w:b/>
                <w:bCs w:val="0"/>
                <w:color w:val="auto"/>
                <w:u w:val="single"/>
              </w:rPr>
            </w:pPr>
            <w:r>
              <w:rPr>
                <w:rFonts w:hint="eastAsia"/>
                <w:b/>
                <w:bCs w:val="0"/>
                <w:color w:val="auto"/>
                <w:u w:val="single"/>
              </w:rPr>
              <w:t>99.2%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781" w:type="pct"/>
            <w:vAlign w:val="center"/>
          </w:tcPr>
          <w:p>
            <w:pPr>
              <w:jc w:val="center"/>
              <w:rPr>
                <w:b/>
                <w:bCs w:val="0"/>
                <w:color w:val="auto"/>
                <w:u w:val="single"/>
              </w:rPr>
            </w:pPr>
            <w:r>
              <w:rPr>
                <w:rFonts w:hint="eastAsia"/>
                <w:b/>
                <w:bCs w:val="0"/>
                <w:color w:val="auto"/>
                <w:u w:val="single"/>
              </w:rPr>
              <w:t>综合废水预处理（破乳+混凝+气浮+混凝沉淀+多介质过滤）出水</w:t>
            </w:r>
          </w:p>
        </w:tc>
        <w:tc>
          <w:tcPr>
            <w:tcW w:w="588" w:type="pct"/>
            <w:vAlign w:val="center"/>
          </w:tcPr>
          <w:p>
            <w:pPr>
              <w:jc w:val="center"/>
              <w:rPr>
                <w:b/>
                <w:bCs w:val="0"/>
                <w:color w:val="auto"/>
                <w:u w:val="single"/>
              </w:rPr>
            </w:pPr>
            <w:r>
              <w:rPr>
                <w:b/>
                <w:bCs w:val="0"/>
                <w:color w:val="auto"/>
                <w:u w:val="single"/>
              </w:rPr>
              <w:t>168.9075</w:t>
            </w:r>
          </w:p>
        </w:tc>
        <w:tc>
          <w:tcPr>
            <w:tcW w:w="407" w:type="pct"/>
            <w:vAlign w:val="center"/>
          </w:tcPr>
          <w:p>
            <w:pPr>
              <w:jc w:val="center"/>
              <w:rPr>
                <w:b/>
                <w:bCs w:val="0"/>
                <w:color w:val="auto"/>
                <w:u w:val="single"/>
              </w:rPr>
            </w:pPr>
            <w:r>
              <w:rPr>
                <w:rFonts w:hint="eastAsia"/>
                <w:b/>
                <w:bCs w:val="0"/>
                <w:color w:val="auto"/>
                <w:u w:val="single"/>
              </w:rPr>
              <w:t>423.2</w:t>
            </w:r>
          </w:p>
        </w:tc>
        <w:tc>
          <w:tcPr>
            <w:tcW w:w="481" w:type="pct"/>
            <w:vAlign w:val="center"/>
          </w:tcPr>
          <w:p>
            <w:pPr>
              <w:jc w:val="center"/>
              <w:rPr>
                <w:b/>
                <w:bCs w:val="0"/>
                <w:color w:val="auto"/>
                <w:u w:val="single"/>
              </w:rPr>
            </w:pPr>
            <w:r>
              <w:rPr>
                <w:rFonts w:hint="eastAsia"/>
                <w:b/>
                <w:bCs w:val="0"/>
                <w:color w:val="auto"/>
                <w:u w:val="single"/>
              </w:rPr>
              <w:t>21.25</w:t>
            </w:r>
          </w:p>
        </w:tc>
        <w:tc>
          <w:tcPr>
            <w:tcW w:w="407" w:type="pct"/>
            <w:vAlign w:val="center"/>
          </w:tcPr>
          <w:p>
            <w:pPr>
              <w:jc w:val="center"/>
              <w:rPr>
                <w:b/>
                <w:bCs w:val="0"/>
                <w:color w:val="auto"/>
                <w:u w:val="single"/>
              </w:rPr>
            </w:pPr>
            <w:r>
              <w:rPr>
                <w:rFonts w:hint="eastAsia"/>
                <w:b/>
                <w:bCs w:val="0"/>
                <w:color w:val="auto"/>
                <w:u w:val="single"/>
              </w:rPr>
              <w:t>100</w:t>
            </w:r>
          </w:p>
        </w:tc>
        <w:tc>
          <w:tcPr>
            <w:tcW w:w="407" w:type="pct"/>
            <w:tcBorders>
              <w:right w:val="single" w:color="auto" w:sz="4" w:space="0"/>
            </w:tcBorders>
            <w:vAlign w:val="center"/>
          </w:tcPr>
          <w:p>
            <w:pPr>
              <w:jc w:val="center"/>
              <w:rPr>
                <w:b/>
                <w:bCs w:val="0"/>
                <w:color w:val="auto"/>
                <w:u w:val="single"/>
              </w:rPr>
            </w:pPr>
            <w:r>
              <w:rPr>
                <w:rFonts w:hint="eastAsia"/>
                <w:b/>
                <w:bCs w:val="0"/>
                <w:color w:val="auto"/>
                <w:u w:val="single"/>
              </w:rPr>
              <w:t>0.442</w:t>
            </w:r>
          </w:p>
        </w:tc>
        <w:tc>
          <w:tcPr>
            <w:tcW w:w="465" w:type="pct"/>
            <w:tcBorders>
              <w:left w:val="single" w:color="auto" w:sz="4" w:space="0"/>
            </w:tcBorders>
            <w:vAlign w:val="center"/>
          </w:tcPr>
          <w:p>
            <w:pPr>
              <w:jc w:val="center"/>
              <w:rPr>
                <w:b/>
                <w:bCs w:val="0"/>
                <w:color w:val="auto"/>
                <w:u w:val="single"/>
              </w:rPr>
            </w:pPr>
            <w:r>
              <w:rPr>
                <w:rFonts w:hint="eastAsia"/>
                <w:b/>
                <w:bCs w:val="0"/>
                <w:color w:val="auto"/>
                <w:u w:val="single"/>
              </w:rPr>
              <w:t>0.02</w:t>
            </w:r>
          </w:p>
        </w:tc>
        <w:tc>
          <w:tcPr>
            <w:tcW w:w="465" w:type="pct"/>
            <w:vAlign w:val="center"/>
          </w:tcPr>
          <w:p>
            <w:pPr>
              <w:jc w:val="center"/>
              <w:rPr>
                <w:b/>
                <w:bCs w:val="0"/>
                <w:color w:val="auto"/>
                <w:u w:val="single"/>
              </w:rPr>
            </w:pPr>
            <w:r>
              <w:rPr>
                <w:rFonts w:hint="eastAsia"/>
                <w:b/>
                <w:bCs w:val="0"/>
                <w:color w:val="auto"/>
                <w:u w:val="single"/>
              </w:rPr>
              <w:t>0.03</w:t>
            </w:r>
          </w:p>
        </w:tc>
        <w:tc>
          <w:tcPr>
            <w:tcW w:w="527" w:type="pct"/>
            <w:vAlign w:val="center"/>
          </w:tcPr>
          <w:p>
            <w:pPr>
              <w:jc w:val="center"/>
              <w:rPr>
                <w:b/>
                <w:bCs w:val="0"/>
                <w:color w:val="auto"/>
                <w:u w:val="single"/>
              </w:rPr>
            </w:pPr>
            <w:r>
              <w:rPr>
                <w:rFonts w:hint="eastAsia"/>
                <w:b/>
                <w:bCs w:val="0"/>
                <w:color w:val="auto"/>
                <w:u w:val="single"/>
              </w:rPr>
              <w:t>0.24</w:t>
            </w:r>
          </w:p>
        </w:tc>
        <w:tc>
          <w:tcPr>
            <w:tcW w:w="466" w:type="pct"/>
            <w:vAlign w:val="center"/>
          </w:tcPr>
          <w:p>
            <w:pPr>
              <w:jc w:val="center"/>
              <w:rPr>
                <w:b/>
                <w:bCs w:val="0"/>
                <w:color w:val="auto"/>
                <w:u w:val="single"/>
              </w:rPr>
            </w:pPr>
            <w:r>
              <w:rPr>
                <w:rFonts w:hint="eastAsia"/>
                <w:b/>
                <w:bCs w:val="0"/>
                <w:color w:val="auto"/>
                <w:u w:val="single"/>
              </w:rPr>
              <w:t>0.12</w:t>
            </w:r>
          </w:p>
        </w:tc>
      </w:tr>
    </w:tbl>
    <w:p>
      <w:pPr>
        <w:pStyle w:val="32"/>
        <w:adjustRightInd w:val="0"/>
        <w:snapToGrid w:val="0"/>
        <w:spacing w:before="120" w:beforeLines="50" w:after="0" w:line="360" w:lineRule="auto"/>
        <w:ind w:firstLine="482" w:firstLineChars="200"/>
        <w:rPr>
          <w:rFonts w:ascii="宋体" w:hAnsi="宋体"/>
          <w:b/>
          <w:bCs w:val="0"/>
          <w:color w:val="auto"/>
          <w:sz w:val="24"/>
          <w:u w:val="single"/>
        </w:rPr>
      </w:pPr>
      <w:r>
        <w:rPr>
          <w:rFonts w:hint="eastAsia" w:ascii="宋体" w:hAnsi="宋体"/>
          <w:b/>
          <w:bCs w:val="0"/>
          <w:color w:val="auto"/>
          <w:sz w:val="24"/>
          <w:u w:val="single"/>
        </w:rPr>
        <w:t>根据《排污许可证申请与核发技术规范   电镀工业》（</w:t>
      </w:r>
      <w:r>
        <w:rPr>
          <w:b/>
          <w:bCs w:val="0"/>
          <w:color w:val="auto"/>
          <w:sz w:val="24"/>
          <w:u w:val="single"/>
        </w:rPr>
        <w:t>HJ855-2017</w:t>
      </w:r>
      <w:r>
        <w:rPr>
          <w:rFonts w:hint="eastAsia" w:ascii="宋体" w:hAnsi="宋体"/>
          <w:b/>
          <w:bCs w:val="0"/>
          <w:color w:val="auto"/>
          <w:sz w:val="24"/>
          <w:u w:val="single"/>
        </w:rPr>
        <w:t>），重金属混合废水治理的可行技术有：化学沉淀法处理技术、化学法</w:t>
      </w:r>
      <w:r>
        <w:rPr>
          <w:rFonts w:ascii="宋体" w:hAnsi="宋体"/>
          <w:b/>
          <w:bCs w:val="0"/>
          <w:color w:val="auto"/>
          <w:sz w:val="24"/>
          <w:u w:val="single"/>
        </w:rPr>
        <w:t>+</w:t>
      </w:r>
      <w:r>
        <w:rPr>
          <w:rFonts w:hint="eastAsia" w:ascii="宋体" w:hAnsi="宋体"/>
          <w:b/>
          <w:bCs w:val="0"/>
          <w:color w:val="auto"/>
          <w:sz w:val="24"/>
          <w:u w:val="single"/>
        </w:rPr>
        <w:t>膜分离法处理技术，本项目</w:t>
      </w:r>
      <w:r>
        <w:rPr>
          <w:rFonts w:hint="eastAsia" w:ascii="宋体" w:hAnsi="宋体"/>
          <w:b/>
          <w:bCs w:val="0"/>
          <w:color w:val="auto"/>
          <w:sz w:val="24"/>
          <w:u w:val="single"/>
          <w:lang w:val="en-US"/>
        </w:rPr>
        <w:t>采用</w:t>
      </w:r>
      <w:r>
        <w:rPr>
          <w:rFonts w:ascii="宋体" w:hAnsi="宋体"/>
          <w:b/>
          <w:bCs w:val="0"/>
          <w:color w:val="auto"/>
          <w:sz w:val="24"/>
          <w:u w:val="single"/>
        </w:rPr>
        <w:t>“</w:t>
      </w:r>
      <w:r>
        <w:rPr>
          <w:rFonts w:hint="eastAsia" w:ascii="宋体" w:hAnsi="宋体"/>
          <w:b/>
          <w:bCs w:val="0"/>
          <w:color w:val="auto"/>
          <w:sz w:val="24"/>
          <w:u w:val="single"/>
        </w:rPr>
        <w:t>破乳+混凝+气浮+混凝沉淀+多介质过滤</w:t>
      </w:r>
      <w:r>
        <w:rPr>
          <w:rFonts w:ascii="宋体" w:hAnsi="宋体"/>
          <w:b/>
          <w:bCs w:val="0"/>
          <w:color w:val="auto"/>
          <w:sz w:val="24"/>
          <w:u w:val="single"/>
        </w:rPr>
        <w:t>”</w:t>
      </w:r>
      <w:r>
        <w:rPr>
          <w:rFonts w:hint="eastAsia" w:ascii="宋体" w:hAnsi="宋体"/>
          <w:b/>
          <w:bCs w:val="0"/>
          <w:color w:val="auto"/>
          <w:sz w:val="24"/>
          <w:u w:val="single"/>
        </w:rPr>
        <w:t>，属于“化学法</w:t>
      </w:r>
      <w:r>
        <w:rPr>
          <w:rFonts w:ascii="宋体" w:hAnsi="宋体"/>
          <w:b/>
          <w:bCs w:val="0"/>
          <w:color w:val="auto"/>
          <w:sz w:val="24"/>
          <w:u w:val="single"/>
        </w:rPr>
        <w:t>+</w:t>
      </w:r>
      <w:r>
        <w:rPr>
          <w:rFonts w:hint="eastAsia" w:ascii="宋体" w:hAnsi="宋体"/>
          <w:b/>
          <w:bCs w:val="0"/>
          <w:color w:val="auto"/>
          <w:sz w:val="24"/>
          <w:u w:val="single"/>
        </w:rPr>
        <w:t>膜分离法处理技术”为可行</w:t>
      </w:r>
      <w:r>
        <w:rPr>
          <w:rFonts w:hint="eastAsia"/>
          <w:b/>
          <w:bCs w:val="0"/>
          <w:color w:val="auto"/>
          <w:kern w:val="21"/>
          <w:sz w:val="24"/>
          <w:u w:val="single"/>
          <w:lang w:val="en-US"/>
        </w:rPr>
        <w:t>技术，符合要求</w:t>
      </w:r>
      <w:r>
        <w:rPr>
          <w:rFonts w:hint="eastAsia" w:ascii="宋体" w:hAnsi="宋体"/>
          <w:b/>
          <w:bCs w:val="0"/>
          <w:color w:val="auto"/>
          <w:sz w:val="24"/>
          <w:u w:val="single"/>
        </w:rPr>
        <w:t>。</w:t>
      </w:r>
    </w:p>
    <w:p>
      <w:pPr>
        <w:pStyle w:val="390"/>
        <w:tabs>
          <w:tab w:val="clear" w:pos="1800"/>
        </w:tabs>
        <w:adjustRightInd w:val="0"/>
        <w:snapToGrid w:val="0"/>
        <w:spacing w:line="360" w:lineRule="auto"/>
        <w:ind w:left="0" w:firstLine="0"/>
        <w:outlineLvl w:val="2"/>
        <w:rPr>
          <w:rFonts w:eastAsia="黑体"/>
          <w:b/>
          <w:bCs w:val="0"/>
          <w:color w:val="auto"/>
          <w:kern w:val="21"/>
          <w:sz w:val="28"/>
          <w:szCs w:val="28"/>
          <w:u w:val="single"/>
        </w:rPr>
      </w:pPr>
      <w:r>
        <w:rPr>
          <w:rFonts w:eastAsia="黑体"/>
          <w:b/>
          <w:bCs w:val="0"/>
          <w:color w:val="auto"/>
          <w:kern w:val="21"/>
          <w:sz w:val="28"/>
          <w:szCs w:val="28"/>
          <w:u w:val="single"/>
        </w:rPr>
        <w:t>7.2.</w:t>
      </w:r>
      <w:r>
        <w:rPr>
          <w:rFonts w:hint="eastAsia" w:eastAsia="黑体"/>
          <w:b/>
          <w:bCs w:val="0"/>
          <w:color w:val="auto"/>
          <w:kern w:val="21"/>
          <w:sz w:val="28"/>
          <w:szCs w:val="28"/>
          <w:u w:val="single"/>
        </w:rPr>
        <w:t>5废水零排放处理系统</w:t>
      </w:r>
      <w:r>
        <w:rPr>
          <w:rFonts w:eastAsia="黑体"/>
          <w:b/>
          <w:bCs w:val="0"/>
          <w:color w:val="auto"/>
          <w:kern w:val="21"/>
          <w:sz w:val="28"/>
          <w:szCs w:val="28"/>
          <w:u w:val="single"/>
        </w:rPr>
        <w:t>可行性分析</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1、废水零排放处理系统工艺</w:t>
      </w:r>
    </w:p>
    <w:p>
      <w:pPr>
        <w:pStyle w:val="32"/>
        <w:adjustRightInd w:val="0"/>
        <w:snapToGrid w:val="0"/>
        <w:spacing w:after="0" w:line="360" w:lineRule="auto"/>
        <w:ind w:firstLine="482" w:firstLineChars="200"/>
        <w:rPr>
          <w:rFonts w:ascii="宋体" w:hAnsi="宋体"/>
          <w:b/>
          <w:bCs w:val="0"/>
          <w:color w:val="auto"/>
          <w:kern w:val="21"/>
          <w:sz w:val="24"/>
          <w:u w:val="single"/>
        </w:rPr>
      </w:pPr>
      <w:r>
        <w:rPr>
          <w:rFonts w:hint="eastAsia" w:ascii="宋体" w:hAnsi="宋体"/>
          <w:b/>
          <w:bCs w:val="0"/>
          <w:color w:val="auto"/>
          <w:kern w:val="21"/>
          <w:sz w:val="24"/>
          <w:u w:val="single"/>
        </w:rPr>
        <w:t>根据《排污许可证申请与核发技术规范  电镀工业》（</w:t>
      </w:r>
      <w:r>
        <w:rPr>
          <w:b/>
          <w:bCs w:val="0"/>
          <w:color w:val="auto"/>
          <w:kern w:val="21"/>
          <w:sz w:val="24"/>
          <w:u w:val="single"/>
        </w:rPr>
        <w:t>HJ855-2017</w:t>
      </w:r>
      <w:r>
        <w:rPr>
          <w:rFonts w:hint="eastAsia" w:ascii="宋体" w:hAnsi="宋体"/>
          <w:b/>
          <w:bCs w:val="0"/>
          <w:color w:val="auto"/>
          <w:kern w:val="21"/>
          <w:sz w:val="24"/>
          <w:u w:val="single"/>
        </w:rPr>
        <w:t>），废水治理的可行技术有：</w:t>
      </w:r>
      <w:r>
        <w:rPr>
          <w:rFonts w:ascii="宋体" w:hAnsi="宋体"/>
          <w:b/>
          <w:bCs w:val="0"/>
          <w:color w:val="auto"/>
          <w:kern w:val="21"/>
          <w:sz w:val="24"/>
          <w:u w:val="single"/>
        </w:rPr>
        <w:t>“</w:t>
      </w:r>
      <w:r>
        <w:rPr>
          <w:b/>
          <w:bCs w:val="0"/>
          <w:color w:val="auto"/>
          <w:kern w:val="21"/>
          <w:sz w:val="24"/>
          <w:u w:val="single"/>
        </w:rPr>
        <w:t>A/O生物处理技</w:t>
      </w:r>
      <w:r>
        <w:rPr>
          <w:rFonts w:hint="eastAsia" w:ascii="宋体" w:hAnsi="宋体"/>
          <w:b/>
          <w:bCs w:val="0"/>
          <w:color w:val="auto"/>
          <w:kern w:val="21"/>
          <w:sz w:val="24"/>
          <w:u w:val="single"/>
        </w:rPr>
        <w:t>术</w:t>
      </w:r>
      <w:r>
        <w:rPr>
          <w:rFonts w:hint="eastAsia" w:ascii="宋体" w:hAnsi="宋体"/>
          <w:b/>
          <w:bCs w:val="0"/>
          <w:color w:val="auto"/>
          <w:kern w:val="21"/>
          <w:sz w:val="24"/>
          <w:u w:val="single"/>
          <w:lang w:eastAsia="zh-CN"/>
        </w:rPr>
        <w:t>”“</w:t>
      </w:r>
      <w:r>
        <w:rPr>
          <w:b/>
          <w:bCs w:val="0"/>
          <w:color w:val="auto"/>
          <w:kern w:val="21"/>
          <w:sz w:val="24"/>
          <w:u w:val="single"/>
        </w:rPr>
        <w:t>A</w:t>
      </w:r>
      <w:r>
        <w:rPr>
          <w:b/>
          <w:bCs w:val="0"/>
          <w:color w:val="auto"/>
          <w:kern w:val="21"/>
          <w:sz w:val="24"/>
          <w:u w:val="single"/>
          <w:vertAlign w:val="superscript"/>
        </w:rPr>
        <w:t>2</w:t>
      </w:r>
      <w:r>
        <w:rPr>
          <w:b/>
          <w:bCs w:val="0"/>
          <w:color w:val="auto"/>
          <w:kern w:val="21"/>
          <w:sz w:val="24"/>
          <w:u w:val="single"/>
        </w:rPr>
        <w:t>/O</w:t>
      </w:r>
      <w:r>
        <w:rPr>
          <w:rFonts w:hint="eastAsia" w:ascii="宋体" w:hAnsi="宋体"/>
          <w:b/>
          <w:bCs w:val="0"/>
          <w:color w:val="auto"/>
          <w:kern w:val="21"/>
          <w:sz w:val="24"/>
          <w:u w:val="single"/>
        </w:rPr>
        <w:t>生物处理技术</w:t>
      </w:r>
      <w:r>
        <w:rPr>
          <w:rFonts w:hint="eastAsia" w:ascii="宋体" w:hAnsi="宋体"/>
          <w:b/>
          <w:bCs w:val="0"/>
          <w:color w:val="auto"/>
          <w:kern w:val="21"/>
          <w:sz w:val="24"/>
          <w:u w:val="single"/>
          <w:lang w:eastAsia="zh-CN"/>
        </w:rPr>
        <w:t>”“</w:t>
      </w:r>
      <w:r>
        <w:rPr>
          <w:rFonts w:hint="eastAsia" w:ascii="宋体" w:hAnsi="宋体"/>
          <w:b/>
          <w:bCs w:val="0"/>
          <w:color w:val="auto"/>
          <w:kern w:val="21"/>
          <w:sz w:val="24"/>
          <w:u w:val="single"/>
        </w:rPr>
        <w:t>好氧膜生物处理技术</w:t>
      </w:r>
      <w:r>
        <w:rPr>
          <w:rFonts w:hint="eastAsia" w:ascii="宋体" w:hAnsi="宋体"/>
          <w:b/>
          <w:bCs w:val="0"/>
          <w:color w:val="auto"/>
          <w:kern w:val="21"/>
          <w:sz w:val="24"/>
          <w:u w:val="single"/>
          <w:lang w:eastAsia="zh-CN"/>
        </w:rPr>
        <w:t>”“</w:t>
      </w:r>
      <w:r>
        <w:rPr>
          <w:rFonts w:hint="eastAsia" w:ascii="宋体" w:hAnsi="宋体"/>
          <w:b/>
          <w:bCs w:val="0"/>
          <w:color w:val="auto"/>
          <w:kern w:val="21"/>
          <w:sz w:val="24"/>
          <w:u w:val="single"/>
        </w:rPr>
        <w:t>缺氧（或兼氧）膜生物处理技术</w:t>
      </w:r>
      <w:r>
        <w:rPr>
          <w:rFonts w:hint="eastAsia" w:ascii="宋体" w:hAnsi="宋体"/>
          <w:b/>
          <w:bCs w:val="0"/>
          <w:color w:val="auto"/>
          <w:kern w:val="21"/>
          <w:sz w:val="24"/>
          <w:u w:val="single"/>
          <w:lang w:eastAsia="zh-CN"/>
        </w:rPr>
        <w:t>”“</w:t>
      </w:r>
      <w:r>
        <w:rPr>
          <w:rFonts w:hint="eastAsia" w:ascii="宋体" w:hAnsi="宋体"/>
          <w:b/>
          <w:bCs w:val="0"/>
          <w:color w:val="auto"/>
          <w:kern w:val="21"/>
          <w:sz w:val="24"/>
          <w:u w:val="single"/>
        </w:rPr>
        <w:t>厌氧</w:t>
      </w:r>
      <w:r>
        <w:rPr>
          <w:rFonts w:ascii="宋体" w:hAnsi="宋体"/>
          <w:b/>
          <w:bCs w:val="0"/>
          <w:color w:val="auto"/>
          <w:kern w:val="21"/>
          <w:sz w:val="24"/>
          <w:u w:val="single"/>
        </w:rPr>
        <w:t>-</w:t>
      </w:r>
      <w:r>
        <w:rPr>
          <w:rFonts w:hint="eastAsia" w:ascii="宋体" w:hAnsi="宋体"/>
          <w:b/>
          <w:bCs w:val="0"/>
          <w:color w:val="auto"/>
          <w:kern w:val="21"/>
          <w:sz w:val="24"/>
          <w:u w:val="single"/>
        </w:rPr>
        <w:t>缺氧（或兼氧）膜生物处理技术</w:t>
      </w:r>
      <w:r>
        <w:rPr>
          <w:rFonts w:ascii="宋体" w:hAnsi="宋体"/>
          <w:b/>
          <w:bCs w:val="0"/>
          <w:color w:val="auto"/>
          <w:kern w:val="21"/>
          <w:sz w:val="24"/>
          <w:u w:val="single"/>
        </w:rPr>
        <w:t>”</w:t>
      </w:r>
      <w:r>
        <w:rPr>
          <w:rFonts w:hint="eastAsia" w:ascii="宋体" w:hAnsi="宋体"/>
          <w:b/>
          <w:bCs w:val="0"/>
          <w:color w:val="auto"/>
          <w:kern w:val="21"/>
          <w:sz w:val="24"/>
          <w:u w:val="single"/>
        </w:rPr>
        <w:t>。本项目零排放处理系统核心工艺采用</w:t>
      </w:r>
      <w:r>
        <w:rPr>
          <w:rFonts w:ascii="宋体" w:hAnsi="宋体"/>
          <w:b/>
          <w:bCs w:val="0"/>
          <w:color w:val="auto"/>
          <w:kern w:val="21"/>
          <w:sz w:val="24"/>
          <w:u w:val="single"/>
        </w:rPr>
        <w:t>“</w:t>
      </w:r>
      <w:r>
        <w:rPr>
          <w:b/>
          <w:bCs w:val="0"/>
          <w:color w:val="auto"/>
          <w:kern w:val="21"/>
          <w:sz w:val="24"/>
          <w:u w:val="single"/>
        </w:rPr>
        <w:t>A</w:t>
      </w:r>
      <w:r>
        <w:rPr>
          <w:b/>
          <w:bCs w:val="0"/>
          <w:color w:val="auto"/>
          <w:kern w:val="21"/>
          <w:sz w:val="24"/>
          <w:u w:val="single"/>
          <w:vertAlign w:val="superscript"/>
        </w:rPr>
        <w:t>2</w:t>
      </w:r>
      <w:r>
        <w:rPr>
          <w:b/>
          <w:bCs w:val="0"/>
          <w:color w:val="auto"/>
          <w:kern w:val="21"/>
          <w:sz w:val="24"/>
          <w:u w:val="single"/>
        </w:rPr>
        <w:t>/O</w:t>
      </w:r>
      <w:r>
        <w:rPr>
          <w:rFonts w:hint="eastAsia" w:ascii="宋体" w:hAnsi="宋体"/>
          <w:b/>
          <w:bCs w:val="0"/>
          <w:color w:val="auto"/>
          <w:kern w:val="21"/>
          <w:sz w:val="24"/>
          <w:u w:val="single"/>
        </w:rPr>
        <w:t>生物处理技术+膜生物处理技术+深度处理</w:t>
      </w:r>
      <w:r>
        <w:rPr>
          <w:rFonts w:ascii="宋体" w:hAnsi="宋体"/>
          <w:b/>
          <w:bCs w:val="0"/>
          <w:color w:val="auto"/>
          <w:kern w:val="21"/>
          <w:sz w:val="24"/>
          <w:u w:val="single"/>
        </w:rPr>
        <w:t>”</w:t>
      </w:r>
      <w:r>
        <w:rPr>
          <w:rFonts w:hint="eastAsia" w:ascii="宋体" w:hAnsi="宋体"/>
          <w:b/>
          <w:bCs w:val="0"/>
          <w:color w:val="auto"/>
          <w:kern w:val="21"/>
          <w:sz w:val="24"/>
          <w:u w:val="single"/>
        </w:rPr>
        <w:t>，属于可行技术，符合要求。</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0"/>
          <w:sz w:val="24"/>
          <w:u w:val="single"/>
        </w:rPr>
        <w:t>各类废水经预处理后进</w:t>
      </w:r>
      <w:r>
        <w:rPr>
          <w:rFonts w:hint="eastAsia"/>
          <w:b/>
          <w:bCs w:val="0"/>
          <w:color w:val="auto"/>
          <w:kern w:val="0"/>
          <w:sz w:val="24"/>
          <w:u w:val="single"/>
        </w:rPr>
        <w:t>入生化</w:t>
      </w:r>
      <w:r>
        <w:rPr>
          <w:b/>
          <w:bCs w:val="0"/>
          <w:color w:val="auto"/>
          <w:kern w:val="0"/>
          <w:sz w:val="24"/>
          <w:u w:val="single"/>
        </w:rPr>
        <w:t>调节池。经提升泵提升进</w:t>
      </w:r>
      <w:r>
        <w:rPr>
          <w:rFonts w:hint="eastAsia"/>
          <w:b/>
          <w:bCs w:val="0"/>
          <w:color w:val="auto"/>
          <w:kern w:val="0"/>
          <w:sz w:val="24"/>
          <w:u w:val="single"/>
        </w:rPr>
        <w:t>入生化</w:t>
      </w:r>
      <w:r>
        <w:rPr>
          <w:b/>
          <w:bCs w:val="0"/>
          <w:color w:val="auto"/>
          <w:kern w:val="0"/>
          <w:sz w:val="24"/>
          <w:u w:val="single"/>
        </w:rPr>
        <w:t>处理系统，生化处理系统由厌氧池、缺氧池、好氧/MBR 池组成，可去除废</w:t>
      </w:r>
      <w:r>
        <w:rPr>
          <w:rFonts w:hint="eastAsia"/>
          <w:b/>
          <w:bCs w:val="0"/>
          <w:color w:val="auto"/>
          <w:kern w:val="0"/>
          <w:sz w:val="24"/>
          <w:u w:val="single"/>
        </w:rPr>
        <w:t>水</w:t>
      </w:r>
      <w:r>
        <w:rPr>
          <w:b/>
          <w:bCs w:val="0"/>
          <w:color w:val="auto"/>
          <w:kern w:val="0"/>
          <w:sz w:val="24"/>
          <w:u w:val="single"/>
        </w:rPr>
        <w:t>中的有机物、氨氮、总氮等污染物，减少膜系统和蒸发器的污堵，同时</w:t>
      </w:r>
      <w:r>
        <w:rPr>
          <w:rFonts w:hint="eastAsia"/>
          <w:b/>
          <w:bCs w:val="0"/>
          <w:color w:val="auto"/>
          <w:kern w:val="0"/>
          <w:sz w:val="24"/>
          <w:u w:val="single"/>
        </w:rPr>
        <w:t>生化</w:t>
      </w:r>
      <w:r>
        <w:rPr>
          <w:b/>
          <w:bCs w:val="0"/>
          <w:color w:val="auto"/>
          <w:kern w:val="0"/>
          <w:sz w:val="24"/>
          <w:u w:val="single"/>
        </w:rPr>
        <w:t>系统MBR产</w:t>
      </w:r>
      <w:r>
        <w:rPr>
          <w:rFonts w:hint="eastAsia"/>
          <w:b/>
          <w:bCs w:val="0"/>
          <w:color w:val="auto"/>
          <w:kern w:val="0"/>
          <w:sz w:val="24"/>
          <w:u w:val="single"/>
        </w:rPr>
        <w:t>水</w:t>
      </w:r>
      <w:r>
        <w:rPr>
          <w:b/>
          <w:bCs w:val="0"/>
          <w:color w:val="auto"/>
          <w:kern w:val="0"/>
          <w:sz w:val="24"/>
          <w:u w:val="single"/>
        </w:rPr>
        <w:t>可直接进</w:t>
      </w:r>
      <w:r>
        <w:rPr>
          <w:rFonts w:hint="eastAsia"/>
          <w:b/>
          <w:bCs w:val="0"/>
          <w:color w:val="auto"/>
          <w:kern w:val="0"/>
          <w:sz w:val="24"/>
          <w:u w:val="single"/>
        </w:rPr>
        <w:t>入一</w:t>
      </w:r>
      <w:r>
        <w:rPr>
          <w:b/>
          <w:bCs w:val="0"/>
          <w:color w:val="auto"/>
          <w:kern w:val="0"/>
          <w:sz w:val="24"/>
          <w:u w:val="single"/>
        </w:rPr>
        <w:t>级反渗透。一级反渗透的浓水进</w:t>
      </w:r>
      <w:r>
        <w:rPr>
          <w:rFonts w:hint="eastAsia"/>
          <w:b/>
          <w:bCs w:val="0"/>
          <w:color w:val="auto"/>
          <w:kern w:val="0"/>
          <w:sz w:val="24"/>
          <w:u w:val="single"/>
        </w:rPr>
        <w:t>入</w:t>
      </w:r>
      <w:r>
        <w:rPr>
          <w:b/>
          <w:bCs w:val="0"/>
          <w:color w:val="auto"/>
          <w:kern w:val="0"/>
          <w:sz w:val="24"/>
          <w:u w:val="single"/>
        </w:rPr>
        <w:t>深度软化系统去除</w:t>
      </w:r>
      <w:r>
        <w:rPr>
          <w:rFonts w:hint="eastAsia"/>
          <w:b/>
          <w:bCs w:val="0"/>
          <w:color w:val="auto"/>
          <w:kern w:val="0"/>
          <w:sz w:val="24"/>
          <w:u w:val="single"/>
        </w:rPr>
        <w:t>水</w:t>
      </w:r>
      <w:r>
        <w:rPr>
          <w:b/>
          <w:bCs w:val="0"/>
          <w:color w:val="auto"/>
          <w:kern w:val="0"/>
          <w:sz w:val="24"/>
          <w:u w:val="single"/>
        </w:rPr>
        <w:t>中的硬度后，进入二级膜系统（运行压力约350~450bar）进一步脱盐，二级浓</w:t>
      </w:r>
      <w:r>
        <w:rPr>
          <w:rFonts w:hint="eastAsia"/>
          <w:b/>
          <w:bCs w:val="0"/>
          <w:color w:val="auto"/>
          <w:kern w:val="0"/>
          <w:sz w:val="24"/>
          <w:u w:val="single"/>
        </w:rPr>
        <w:t>水</w:t>
      </w:r>
      <w:r>
        <w:rPr>
          <w:b/>
          <w:bCs w:val="0"/>
          <w:color w:val="auto"/>
          <w:kern w:val="0"/>
          <w:sz w:val="24"/>
          <w:u w:val="single"/>
        </w:rPr>
        <w:t>进入DTRO （运行压力约800~900bar）继续浓缩后，最终剩余约10%的浓液进入MVR 蒸发器蒸发结晶，结晶盐委外处理。多级膜浓缩系统产</w:t>
      </w:r>
      <w:r>
        <w:rPr>
          <w:rFonts w:hint="eastAsia"/>
          <w:b/>
          <w:bCs w:val="0"/>
          <w:color w:val="auto"/>
          <w:kern w:val="0"/>
          <w:sz w:val="24"/>
          <w:u w:val="single"/>
        </w:rPr>
        <w:t>水</w:t>
      </w:r>
      <w:r>
        <w:rPr>
          <w:b/>
          <w:bCs w:val="0"/>
          <w:color w:val="auto"/>
          <w:kern w:val="0"/>
          <w:sz w:val="24"/>
          <w:u w:val="single"/>
        </w:rPr>
        <w:t>与蒸发冷凝</w:t>
      </w:r>
      <w:r>
        <w:rPr>
          <w:rFonts w:hint="eastAsia"/>
          <w:b/>
          <w:bCs w:val="0"/>
          <w:color w:val="auto"/>
          <w:kern w:val="0"/>
          <w:sz w:val="24"/>
          <w:u w:val="single"/>
        </w:rPr>
        <w:t>水</w:t>
      </w:r>
      <w:r>
        <w:rPr>
          <w:b/>
          <w:bCs w:val="0"/>
          <w:color w:val="auto"/>
          <w:kern w:val="0"/>
          <w:sz w:val="24"/>
          <w:u w:val="single"/>
        </w:rPr>
        <w:t>经两级脱盐RO 脱盐后电导</w:t>
      </w:r>
      <w:r>
        <w:rPr>
          <w:rFonts w:hint="eastAsia"/>
          <w:b/>
          <w:bCs w:val="0"/>
          <w:color w:val="auto"/>
          <w:kern w:val="0"/>
          <w:sz w:val="24"/>
          <w:u w:val="single"/>
        </w:rPr>
        <w:t>小</w:t>
      </w:r>
      <w:r>
        <w:rPr>
          <w:b/>
          <w:bCs w:val="0"/>
          <w:color w:val="auto"/>
          <w:kern w:val="0"/>
          <w:sz w:val="24"/>
          <w:u w:val="single"/>
        </w:rPr>
        <w:t>于20us/cm 后回</w:t>
      </w:r>
      <w:r>
        <w:rPr>
          <w:rFonts w:hint="eastAsia"/>
          <w:b/>
          <w:bCs w:val="0"/>
          <w:color w:val="auto"/>
          <w:kern w:val="0"/>
          <w:sz w:val="24"/>
          <w:u w:val="single"/>
        </w:rPr>
        <w:t>用</w:t>
      </w:r>
      <w:r>
        <w:rPr>
          <w:b/>
          <w:bCs w:val="0"/>
          <w:color w:val="auto"/>
          <w:kern w:val="0"/>
          <w:sz w:val="24"/>
          <w:u w:val="single"/>
        </w:rPr>
        <w:t>于车间生产。</w:t>
      </w:r>
    </w:p>
    <w:p>
      <w:pPr>
        <w:spacing w:line="360" w:lineRule="auto"/>
        <w:ind w:firstLine="422" w:firstLineChars="200"/>
        <w:rPr>
          <w:b/>
          <w:bCs w:val="0"/>
          <w:color w:val="auto"/>
          <w:sz w:val="24"/>
          <w:szCs w:val="20"/>
          <w:u w:val="single"/>
        </w:rPr>
      </w:pPr>
      <w:r>
        <w:rPr>
          <w:b/>
          <w:bCs w:val="0"/>
          <w:color w:val="auto"/>
          <w:u w:val="single"/>
        </w:rPr>
        <w:pict>
          <v:shape id="_x0000_s2469" o:spid="_x0000_s2469" o:spt="75" alt="" type="#_x0000_t75" style="position:absolute;left:0pt;margin-left:121.45pt;margin-top:17.15pt;height:470.55pt;width:254.65pt;z-index:251786240;mso-width-relative:page;mso-height-relative:page;" o:ole="t" filled="f" o:preferrelative="t" stroked="f" coordsize="21600,21600">
            <v:path/>
            <v:fill on="f" focussize="0,0"/>
            <v:stroke on="f"/>
            <v:imagedata r:id="rId166" o:title=""/>
            <o:lock v:ext="edit" aspectratio="f"/>
          </v:shape>
          <o:OLEObject Type="Embed" ProgID="Visio.Drawing.11" ShapeID="_x0000_s2469" DrawAspect="Content" ObjectID="_1468075752" r:id="rId165">
            <o:LockedField>false</o:LockedField>
          </o:OLEObject>
        </w:pict>
      </w:r>
      <w:r>
        <w:rPr>
          <w:rFonts w:hint="eastAsia"/>
          <w:b/>
          <w:bCs w:val="0"/>
          <w:color w:val="auto"/>
          <w:sz w:val="24"/>
          <w:szCs w:val="20"/>
          <w:u w:val="single"/>
        </w:rPr>
        <w:t>其处理工艺如下：</w:t>
      </w: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43"/>
        <w:rPr>
          <w:b/>
          <w:bCs w:val="0"/>
          <w:color w:val="auto"/>
          <w:sz w:val="24"/>
          <w:u w:val="single"/>
        </w:rPr>
      </w:pPr>
    </w:p>
    <w:p>
      <w:pPr>
        <w:pStyle w:val="32"/>
        <w:adjustRightInd w:val="0"/>
        <w:snapToGrid w:val="0"/>
        <w:spacing w:after="0" w:line="360" w:lineRule="auto"/>
        <w:jc w:val="center"/>
        <w:rPr>
          <w:b/>
          <w:bCs w:val="0"/>
          <w:color w:val="auto"/>
          <w:kern w:val="21"/>
          <w:sz w:val="24"/>
          <w:u w:val="single"/>
        </w:rPr>
      </w:pPr>
      <w:r>
        <w:rPr>
          <w:rFonts w:hint="eastAsia" w:eastAsia="黑体"/>
          <w:b/>
          <w:bCs w:val="0"/>
          <w:color w:val="auto"/>
          <w:kern w:val="21"/>
          <w:sz w:val="24"/>
          <w:u w:val="single"/>
        </w:rPr>
        <w:t>图</w:t>
      </w:r>
      <w:r>
        <w:rPr>
          <w:rFonts w:hint="eastAsia" w:eastAsia="黑体"/>
          <w:b/>
          <w:bCs w:val="0"/>
          <w:color w:val="auto"/>
          <w:kern w:val="21"/>
          <w:sz w:val="24"/>
          <w:u w:val="single"/>
          <w:lang w:val="en-US"/>
        </w:rPr>
        <w:t xml:space="preserve">7.2-8 </w:t>
      </w:r>
      <w:r>
        <w:rPr>
          <w:rFonts w:eastAsia="黑体"/>
          <w:b/>
          <w:bCs w:val="0"/>
          <w:color w:val="auto"/>
          <w:kern w:val="21"/>
          <w:sz w:val="24"/>
          <w:u w:val="single"/>
          <w:lang w:val="en-US"/>
        </w:rPr>
        <w:t xml:space="preserve">   </w:t>
      </w:r>
      <w:r>
        <w:rPr>
          <w:rFonts w:hint="eastAsia" w:eastAsia="黑体"/>
          <w:b/>
          <w:bCs w:val="0"/>
          <w:color w:val="auto"/>
          <w:kern w:val="21"/>
          <w:sz w:val="24"/>
          <w:u w:val="single"/>
          <w:lang w:val="en-US"/>
        </w:rPr>
        <w:t>废水</w:t>
      </w:r>
      <w:r>
        <w:rPr>
          <w:rFonts w:eastAsia="黑体"/>
          <w:b/>
          <w:bCs w:val="0"/>
          <w:color w:val="auto"/>
          <w:kern w:val="21"/>
          <w:sz w:val="24"/>
          <w:u w:val="single"/>
          <w:lang w:val="en-US"/>
        </w:rPr>
        <w:t>零排放</w:t>
      </w:r>
      <w:r>
        <w:rPr>
          <w:rFonts w:hint="eastAsia" w:eastAsia="黑体"/>
          <w:b/>
          <w:bCs w:val="0"/>
          <w:color w:val="auto"/>
          <w:kern w:val="21"/>
          <w:sz w:val="24"/>
          <w:u w:val="single"/>
          <w:lang w:val="en-US"/>
        </w:rPr>
        <w:t>处理工艺流程</w:t>
      </w:r>
    </w:p>
    <w:p>
      <w:pPr>
        <w:pStyle w:val="32"/>
        <w:adjustRightInd w:val="0"/>
        <w:snapToGrid w:val="0"/>
        <w:spacing w:after="0" w:line="360" w:lineRule="auto"/>
        <w:rPr>
          <w:b/>
          <w:bCs w:val="0"/>
          <w:color w:val="auto"/>
          <w:kern w:val="21"/>
          <w:sz w:val="24"/>
          <w:u w:val="single"/>
        </w:rPr>
      </w:pPr>
      <w:r>
        <w:rPr>
          <w:rFonts w:hint="eastAsia"/>
          <w:b/>
          <w:bCs w:val="0"/>
          <w:color w:val="auto"/>
          <w:kern w:val="21"/>
          <w:sz w:val="24"/>
          <w:u w:val="single"/>
        </w:rPr>
        <w:t>2、废水零排放处理系统主要设备</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b/>
          <w:bCs w:val="0"/>
          <w:color w:val="auto"/>
          <w:kern w:val="21"/>
          <w:sz w:val="24"/>
          <w:u w:val="single"/>
          <w:lang w:val="en-US" w:eastAsia="zh-CN"/>
        </w:rPr>
        <w:t>废</w:t>
      </w:r>
      <w:r>
        <w:rPr>
          <w:rFonts w:hint="eastAsia"/>
          <w:b/>
          <w:bCs w:val="0"/>
          <w:color w:val="auto"/>
          <w:kern w:val="21"/>
          <w:sz w:val="24"/>
          <w:u w:val="single"/>
        </w:rPr>
        <w:t>水零排放处理系统</w:t>
      </w:r>
      <w:r>
        <w:rPr>
          <w:rFonts w:hint="eastAsia" w:ascii="宋体" w:hAnsi="宋体"/>
          <w:b/>
          <w:bCs w:val="0"/>
          <w:color w:val="auto"/>
          <w:kern w:val="21"/>
          <w:sz w:val="24"/>
          <w:u w:val="single"/>
          <w:lang w:val="en-US"/>
        </w:rPr>
        <w:t>主要设备见下表。</w:t>
      </w:r>
    </w:p>
    <w:p>
      <w:pPr>
        <w:pStyle w:val="32"/>
        <w:adjustRightInd w:val="0"/>
        <w:snapToGrid w:val="0"/>
        <w:spacing w:after="0"/>
        <w:ind w:firstLine="482" w:firstLineChars="200"/>
        <w:jc w:val="center"/>
        <w:rPr>
          <w:b/>
          <w:bCs w:val="0"/>
          <w:color w:val="auto"/>
          <w:kern w:val="21"/>
          <w:sz w:val="24"/>
          <w:u w:val="single"/>
        </w:rPr>
      </w:pPr>
      <w:r>
        <w:rPr>
          <w:rFonts w:hint="eastAsia" w:eastAsia="黑体"/>
          <w:b/>
          <w:bCs w:val="0"/>
          <w:color w:val="auto"/>
          <w:kern w:val="21"/>
          <w:sz w:val="24"/>
          <w:u w:val="single"/>
          <w:lang w:val="en-US"/>
        </w:rPr>
        <w:t>表7.2-12</w:t>
      </w:r>
      <w:r>
        <w:rPr>
          <w:rFonts w:eastAsia="黑体"/>
          <w:b/>
          <w:bCs w:val="0"/>
          <w:color w:val="auto"/>
          <w:kern w:val="21"/>
          <w:sz w:val="24"/>
          <w:u w:val="single"/>
          <w:lang w:val="en-US"/>
        </w:rPr>
        <w:t xml:space="preserve">   </w:t>
      </w:r>
      <w:r>
        <w:rPr>
          <w:rFonts w:hint="eastAsia" w:eastAsia="黑体"/>
          <w:b/>
          <w:bCs w:val="0"/>
          <w:color w:val="auto"/>
          <w:kern w:val="21"/>
          <w:sz w:val="24"/>
          <w:u w:val="single"/>
          <w:lang w:val="en-US" w:eastAsia="zh-CN"/>
        </w:rPr>
        <w:t>废</w:t>
      </w:r>
      <w:r>
        <w:rPr>
          <w:rFonts w:hint="eastAsia" w:eastAsia="黑体"/>
          <w:b/>
          <w:bCs w:val="0"/>
          <w:color w:val="auto"/>
          <w:kern w:val="21"/>
          <w:sz w:val="24"/>
          <w:u w:val="single"/>
          <w:lang w:val="en-US"/>
        </w:rPr>
        <w:t>水零排放处理系统主要设备一览表</w:t>
      </w:r>
    </w:p>
    <w:tbl>
      <w:tblPr>
        <w:tblStyle w:val="83"/>
        <w:tblpPr w:leftFromText="180" w:rightFromText="180" w:vertAnchor="text" w:horzAnchor="page" w:tblpXSpec="center" w:tblpY="80"/>
        <w:tblOverlap w:val="never"/>
        <w:tblW w:w="500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50"/>
        <w:gridCol w:w="845"/>
        <w:gridCol w:w="1274"/>
        <w:gridCol w:w="2530"/>
        <w:gridCol w:w="1480"/>
        <w:gridCol w:w="396"/>
        <w:gridCol w:w="461"/>
        <w:gridCol w:w="89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shd w:val="clear" w:color="auto" w:fill="auto"/>
            <w:vAlign w:val="center"/>
          </w:tcPr>
          <w:p>
            <w:pPr>
              <w:jc w:val="center"/>
              <w:rPr>
                <w:b/>
                <w:bCs w:val="0"/>
                <w:color w:val="auto"/>
                <w:spacing w:val="-2"/>
                <w:u w:val="single"/>
              </w:rPr>
            </w:pPr>
            <w:r>
              <w:rPr>
                <w:b/>
                <w:bCs w:val="0"/>
                <w:color w:val="auto"/>
                <w:spacing w:val="-2"/>
                <w:u w:val="single"/>
              </w:rPr>
              <w:t>序号</w:t>
            </w:r>
          </w:p>
        </w:tc>
        <w:tc>
          <w:tcPr>
            <w:tcW w:w="516" w:type="pct"/>
            <w:shd w:val="clear" w:color="auto" w:fill="auto"/>
            <w:vAlign w:val="center"/>
          </w:tcPr>
          <w:p>
            <w:pPr>
              <w:jc w:val="center"/>
              <w:rPr>
                <w:b/>
                <w:bCs w:val="0"/>
                <w:color w:val="auto"/>
                <w:spacing w:val="-2"/>
                <w:u w:val="single"/>
              </w:rPr>
            </w:pPr>
            <w:r>
              <w:rPr>
                <w:b/>
                <w:bCs w:val="0"/>
                <w:color w:val="auto"/>
                <w:spacing w:val="-2"/>
                <w:u w:val="single"/>
              </w:rPr>
              <w:t>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名称</w:t>
            </w:r>
          </w:p>
        </w:tc>
        <w:tc>
          <w:tcPr>
            <w:tcW w:w="1526" w:type="pct"/>
            <w:shd w:val="clear" w:color="auto" w:fill="auto"/>
            <w:vAlign w:val="center"/>
          </w:tcPr>
          <w:p>
            <w:pPr>
              <w:jc w:val="center"/>
              <w:rPr>
                <w:b/>
                <w:bCs w:val="0"/>
                <w:color w:val="auto"/>
                <w:spacing w:val="-2"/>
                <w:u w:val="single"/>
              </w:rPr>
            </w:pPr>
            <w:r>
              <w:rPr>
                <w:b/>
                <w:bCs w:val="0"/>
                <w:color w:val="auto"/>
                <w:spacing w:val="-2"/>
                <w:u w:val="single"/>
              </w:rPr>
              <w:t>规格型号</w:t>
            </w:r>
          </w:p>
        </w:tc>
        <w:tc>
          <w:tcPr>
            <w:tcW w:w="826" w:type="pct"/>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商</w:t>
            </w:r>
          </w:p>
        </w:tc>
        <w:tc>
          <w:tcPr>
            <w:tcW w:w="246" w:type="pct"/>
            <w:shd w:val="clear" w:color="auto" w:fill="auto"/>
            <w:vAlign w:val="center"/>
          </w:tcPr>
          <w:p>
            <w:pPr>
              <w:jc w:val="center"/>
              <w:rPr>
                <w:b/>
                <w:bCs w:val="0"/>
                <w:color w:val="auto"/>
                <w:spacing w:val="-2"/>
                <w:u w:val="single"/>
              </w:rPr>
            </w:pPr>
            <w:r>
              <w:rPr>
                <w:b/>
                <w:bCs w:val="0"/>
                <w:color w:val="auto"/>
                <w:spacing w:val="-2"/>
                <w:u w:val="single"/>
              </w:rPr>
              <w:t>单位</w:t>
            </w:r>
          </w:p>
        </w:tc>
        <w:tc>
          <w:tcPr>
            <w:tcW w:w="285" w:type="pct"/>
            <w:shd w:val="clear" w:color="auto" w:fill="auto"/>
            <w:vAlign w:val="center"/>
          </w:tcPr>
          <w:p>
            <w:pPr>
              <w:jc w:val="center"/>
              <w:rPr>
                <w:b/>
                <w:bCs w:val="0"/>
                <w:color w:val="auto"/>
                <w:spacing w:val="-2"/>
                <w:u w:val="single"/>
              </w:rPr>
            </w:pPr>
            <w:r>
              <w:rPr>
                <w:b/>
                <w:bCs w:val="0"/>
                <w:color w:val="auto"/>
                <w:spacing w:val="-2"/>
                <w:u w:val="single"/>
              </w:rPr>
              <w:t>数量</w:t>
            </w:r>
          </w:p>
        </w:tc>
        <w:tc>
          <w:tcPr>
            <w:tcW w:w="545" w:type="pct"/>
            <w:shd w:val="clear" w:color="auto" w:fill="auto"/>
            <w:vAlign w:val="center"/>
          </w:tcPr>
          <w:p>
            <w:pPr>
              <w:jc w:val="center"/>
              <w:rPr>
                <w:b/>
                <w:bCs w:val="0"/>
                <w:color w:val="auto"/>
                <w:spacing w:val="-2"/>
                <w:u w:val="single"/>
              </w:rPr>
            </w:pPr>
            <w:r>
              <w:rPr>
                <w:b/>
                <w:bCs w:val="0"/>
                <w:color w:val="auto"/>
                <w:spacing w:val="-2"/>
                <w:u w:val="singl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生化调节池</w:t>
            </w:r>
          </w:p>
        </w:tc>
        <w:tc>
          <w:tcPr>
            <w:tcW w:w="773" w:type="pct"/>
            <w:shd w:val="clear" w:color="auto" w:fill="auto"/>
            <w:vAlign w:val="center"/>
          </w:tcPr>
          <w:p>
            <w:pPr>
              <w:jc w:val="center"/>
              <w:rPr>
                <w:b/>
                <w:bCs w:val="0"/>
                <w:color w:val="auto"/>
                <w:spacing w:val="-2"/>
                <w:u w:val="single"/>
              </w:rPr>
            </w:pPr>
            <w:r>
              <w:rPr>
                <w:b/>
                <w:bCs w:val="0"/>
                <w:color w:val="auto"/>
                <w:spacing w:val="-2"/>
                <w:u w:val="single"/>
              </w:rPr>
              <w:t>中间水池</w:t>
            </w:r>
          </w:p>
        </w:tc>
        <w:tc>
          <w:tcPr>
            <w:tcW w:w="1526" w:type="pct"/>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 xml:space="preserve">3 </w:t>
            </w:r>
            <w:r>
              <w:rPr>
                <w:b/>
                <w:bCs w:val="0"/>
                <w:color w:val="auto"/>
                <w:spacing w:val="-2"/>
                <w:u w:val="single"/>
              </w:rPr>
              <w:t>，PE/PPH</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生化提升泵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Q=21m</w:t>
            </w:r>
            <w:r>
              <w:rPr>
                <w:b/>
                <w:bCs w:val="0"/>
                <w:color w:val="auto"/>
                <w:spacing w:val="-2"/>
                <w:u w:val="single"/>
                <w:vertAlign w:val="superscript"/>
              </w:rPr>
              <w:t>3</w:t>
            </w:r>
            <w:r>
              <w:rPr>
                <w:b/>
                <w:bCs w:val="0"/>
                <w:color w:val="auto"/>
                <w:spacing w:val="-2"/>
                <w:u w:val="single"/>
              </w:rPr>
              <w:t>/h， H=20m，SUS304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both"/>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进水辅助系统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restart"/>
            <w:shd w:val="clear" w:color="auto" w:fill="auto"/>
            <w:vAlign w:val="center"/>
          </w:tcPr>
          <w:p>
            <w:pPr>
              <w:jc w:val="center"/>
              <w:rPr>
                <w:b/>
                <w:bCs w:val="0"/>
                <w:color w:val="auto"/>
                <w:spacing w:val="-2"/>
                <w:u w:val="single"/>
              </w:rPr>
            </w:pPr>
            <w:r>
              <w:rPr>
                <w:b/>
                <w:bCs w:val="0"/>
                <w:color w:val="auto"/>
                <w:spacing w:val="-2"/>
                <w:u w:val="single"/>
              </w:rPr>
              <w:t>2</w:t>
            </w:r>
          </w:p>
        </w:tc>
        <w:tc>
          <w:tcPr>
            <w:tcW w:w="516" w:type="pct"/>
            <w:vMerge w:val="restart"/>
            <w:shd w:val="clear" w:color="auto" w:fill="auto"/>
            <w:vAlign w:val="center"/>
          </w:tcPr>
          <w:p>
            <w:pPr>
              <w:jc w:val="both"/>
              <w:rPr>
                <w:b/>
                <w:bCs w:val="0"/>
                <w:color w:val="auto"/>
                <w:spacing w:val="-2"/>
                <w:u w:val="single"/>
              </w:rPr>
            </w:pPr>
            <w:r>
              <w:rPr>
                <w:rFonts w:hint="eastAsia"/>
                <w:b/>
                <w:bCs w:val="0"/>
                <w:color w:val="auto"/>
                <w:spacing w:val="-2"/>
                <w:u w:val="single"/>
              </w:rPr>
              <w:t>生</w:t>
            </w:r>
            <w:r>
              <w:rPr>
                <w:b/>
                <w:bCs w:val="0"/>
                <w:color w:val="auto"/>
                <w:spacing w:val="-2"/>
                <w:u w:val="single"/>
              </w:rPr>
              <w:t>化系统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生化水池</w:t>
            </w:r>
          </w:p>
        </w:tc>
        <w:tc>
          <w:tcPr>
            <w:tcW w:w="1526" w:type="pct"/>
            <w:shd w:val="clear" w:color="auto" w:fill="auto"/>
            <w:vAlign w:val="center"/>
          </w:tcPr>
          <w:p>
            <w:pPr>
              <w:jc w:val="center"/>
              <w:rPr>
                <w:b/>
                <w:bCs w:val="0"/>
                <w:color w:val="auto"/>
                <w:spacing w:val="-2"/>
                <w:u w:val="single"/>
              </w:rPr>
            </w:pPr>
            <w:r>
              <w:rPr>
                <w:b/>
                <w:bCs w:val="0"/>
                <w:color w:val="auto"/>
                <w:spacing w:val="-2"/>
                <w:u w:val="single"/>
              </w:rPr>
              <w:t>Q235 防腐，  3*3*15m</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厌氧填料</w:t>
            </w:r>
          </w:p>
        </w:tc>
        <w:tc>
          <w:tcPr>
            <w:tcW w:w="1526" w:type="pct"/>
            <w:shd w:val="clear" w:color="auto" w:fill="auto"/>
            <w:vAlign w:val="center"/>
          </w:tcPr>
          <w:p>
            <w:pPr>
              <w:jc w:val="center"/>
              <w:rPr>
                <w:b/>
                <w:bCs w:val="0"/>
                <w:color w:val="auto"/>
                <w:spacing w:val="-2"/>
                <w:u w:val="single"/>
              </w:rPr>
            </w:pPr>
            <w:r>
              <w:rPr>
                <w:b/>
                <w:bCs w:val="0"/>
                <w:color w:val="auto"/>
                <w:spacing w:val="-2"/>
                <w:u w:val="single"/>
              </w:rPr>
              <w:t>组合填料</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厌氧布水</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非标制作</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搅拌机</w:t>
            </w:r>
          </w:p>
        </w:tc>
        <w:tc>
          <w:tcPr>
            <w:tcW w:w="1526" w:type="pct"/>
            <w:shd w:val="clear" w:color="auto" w:fill="auto"/>
            <w:vAlign w:val="center"/>
          </w:tcPr>
          <w:p>
            <w:pPr>
              <w:jc w:val="center"/>
              <w:rPr>
                <w:b/>
                <w:bCs w:val="0"/>
                <w:color w:val="auto"/>
                <w:spacing w:val="-2"/>
                <w:u w:val="single"/>
              </w:rPr>
            </w:pPr>
            <w:r>
              <w:rPr>
                <w:b/>
                <w:bCs w:val="0"/>
                <w:color w:val="auto"/>
                <w:spacing w:val="-2"/>
                <w:u w:val="single"/>
              </w:rPr>
              <w:t>水下SUS304 材质，自动耦合</w:t>
            </w:r>
          </w:p>
        </w:tc>
        <w:tc>
          <w:tcPr>
            <w:tcW w:w="826" w:type="pct"/>
            <w:shd w:val="clear" w:color="auto" w:fill="auto"/>
            <w:vAlign w:val="center"/>
          </w:tcPr>
          <w:p>
            <w:pPr>
              <w:jc w:val="center"/>
              <w:rPr>
                <w:b/>
                <w:bCs w:val="0"/>
                <w:color w:val="auto"/>
                <w:spacing w:val="-2"/>
                <w:u w:val="single"/>
              </w:rPr>
            </w:pPr>
            <w:r>
              <w:rPr>
                <w:b/>
                <w:bCs w:val="0"/>
                <w:color w:val="auto"/>
                <w:spacing w:val="-2"/>
                <w:u w:val="single"/>
              </w:rPr>
              <w:t>创垒</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溶氧仪</w:t>
            </w:r>
          </w:p>
        </w:tc>
        <w:tc>
          <w:tcPr>
            <w:tcW w:w="1526" w:type="pct"/>
            <w:shd w:val="clear" w:color="auto" w:fill="auto"/>
            <w:vAlign w:val="center"/>
          </w:tcPr>
          <w:p>
            <w:pPr>
              <w:jc w:val="center"/>
              <w:rPr>
                <w:b/>
                <w:bCs w:val="0"/>
                <w:color w:val="auto"/>
                <w:spacing w:val="-2"/>
                <w:u w:val="single"/>
              </w:rPr>
            </w:pPr>
            <w:r>
              <w:rPr>
                <w:b/>
                <w:bCs w:val="0"/>
                <w:color w:val="auto"/>
                <w:spacing w:val="-2"/>
                <w:u w:val="single"/>
              </w:rPr>
              <w:t>0~10mg/L</w:t>
            </w:r>
          </w:p>
        </w:tc>
        <w:tc>
          <w:tcPr>
            <w:tcW w:w="826" w:type="pct"/>
            <w:shd w:val="clear" w:color="auto" w:fill="auto"/>
            <w:vAlign w:val="center"/>
          </w:tcPr>
          <w:p>
            <w:pPr>
              <w:jc w:val="center"/>
              <w:rPr>
                <w:b/>
                <w:bCs w:val="0"/>
                <w:color w:val="auto"/>
                <w:spacing w:val="-2"/>
                <w:u w:val="single"/>
              </w:rPr>
            </w:pPr>
            <w:r>
              <w:rPr>
                <w:b/>
                <w:bCs w:val="0"/>
                <w:color w:val="auto"/>
                <w:spacing w:val="-2"/>
                <w:u w:val="single"/>
              </w:rPr>
              <w:t>美仪/雷磁</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曝气系统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曝气器、控制阀⻔、风管</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空气悬浮⻛机</w:t>
            </w:r>
          </w:p>
        </w:tc>
        <w:tc>
          <w:tcPr>
            <w:tcW w:w="152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22kw</w:t>
            </w:r>
          </w:p>
        </w:tc>
        <w:tc>
          <w:tcPr>
            <w:tcW w:w="82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豫浮</w:t>
            </w:r>
          </w:p>
        </w:tc>
        <w:tc>
          <w:tcPr>
            <w:tcW w:w="24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2</w:t>
            </w:r>
          </w:p>
        </w:tc>
        <w:tc>
          <w:tcPr>
            <w:tcW w:w="545" w:type="pct"/>
            <w:tcBorders>
              <w:bottom w:val="single" w:color="000000" w:sz="2" w:space="0"/>
            </w:tcBorders>
            <w:shd w:val="clear" w:color="auto" w:fill="auto"/>
            <w:vAlign w:val="center"/>
          </w:tcPr>
          <w:p>
            <w:pPr>
              <w:jc w:val="both"/>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MBR 膜系统</w:t>
            </w:r>
          </w:p>
        </w:tc>
        <w:tc>
          <w:tcPr>
            <w:tcW w:w="152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21m</w:t>
            </w:r>
            <w:r>
              <w:rPr>
                <w:b/>
                <w:bCs w:val="0"/>
                <w:color w:val="auto"/>
                <w:spacing w:val="-2"/>
                <w:u w:val="single"/>
                <w:vertAlign w:val="superscript"/>
              </w:rPr>
              <w:t>3</w:t>
            </w:r>
            <w:r>
              <w:rPr>
                <w:b/>
                <w:bCs w:val="0"/>
                <w:color w:val="auto"/>
                <w:spacing w:val="-2"/>
                <w:u w:val="single"/>
              </w:rPr>
              <w:t>/h，膜</w:t>
            </w:r>
            <w:r>
              <w:rPr>
                <w:rFonts w:eastAsia="Meiryo"/>
                <w:b/>
                <w:bCs w:val="0"/>
                <w:color w:val="auto"/>
                <w:spacing w:val="-2"/>
                <w:u w:val="single"/>
              </w:rPr>
              <w:t>⽚</w:t>
            </w:r>
            <w:r>
              <w:rPr>
                <w:b/>
                <w:bCs w:val="0"/>
                <w:color w:val="auto"/>
                <w:spacing w:val="-2"/>
                <w:u w:val="single"/>
              </w:rPr>
              <w:t xml:space="preserve"> PVDF 材质，机架 SUS304 材质</w:t>
            </w:r>
          </w:p>
        </w:tc>
        <w:tc>
          <w:tcPr>
            <w:tcW w:w="82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top w:val="single" w:color="000000" w:sz="2" w:space="0"/>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MBR 抽吸泵</w:t>
            </w:r>
          </w:p>
        </w:tc>
        <w:tc>
          <w:tcPr>
            <w:tcW w:w="1526" w:type="pct"/>
            <w:shd w:val="clear" w:color="auto" w:fill="auto"/>
            <w:vAlign w:val="center"/>
          </w:tcPr>
          <w:p>
            <w:pPr>
              <w:jc w:val="center"/>
              <w:rPr>
                <w:b/>
                <w:bCs w:val="0"/>
                <w:color w:val="auto"/>
                <w:spacing w:val="-2"/>
                <w:u w:val="single"/>
              </w:rPr>
            </w:pPr>
            <w:r>
              <w:rPr>
                <w:b/>
                <w:bCs w:val="0"/>
                <w:color w:val="auto"/>
                <w:spacing w:val="-2"/>
                <w:u w:val="single"/>
              </w:rPr>
              <w:t>21m</w:t>
            </w:r>
            <w:r>
              <w:rPr>
                <w:b/>
                <w:bCs w:val="0"/>
                <w:color w:val="auto"/>
                <w:spacing w:val="-2"/>
                <w:u w:val="single"/>
                <w:vertAlign w:val="superscript"/>
              </w:rPr>
              <w:t>3</w:t>
            </w:r>
            <w:r>
              <w:rPr>
                <w:b/>
                <w:bCs w:val="0"/>
                <w:color w:val="auto"/>
                <w:spacing w:val="-2"/>
                <w:u w:val="single"/>
              </w:rPr>
              <w:t>/h，H=15m，自吸泵</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南方/南元/锦田</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MBR 反洗泵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Q=122m</w:t>
            </w:r>
            <w:r>
              <w:rPr>
                <w:b/>
                <w:bCs w:val="0"/>
                <w:color w:val="auto"/>
                <w:spacing w:val="-2"/>
                <w:u w:val="single"/>
                <w:vertAlign w:val="superscript"/>
              </w:rPr>
              <w:t>3</w:t>
            </w:r>
            <w:r>
              <w:rPr>
                <w:b/>
                <w:bCs w:val="0"/>
                <w:color w:val="auto"/>
                <w:spacing w:val="-2"/>
                <w:u w:val="single"/>
              </w:rPr>
              <w:t>/h，H=20m，SUS304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污泥回流泵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Q=40m</w:t>
            </w:r>
            <w:r>
              <w:rPr>
                <w:b/>
                <w:bCs w:val="0"/>
                <w:color w:val="auto"/>
                <w:spacing w:val="-2"/>
                <w:u w:val="single"/>
                <w:vertAlign w:val="superscript"/>
              </w:rPr>
              <w:t>3</w:t>
            </w:r>
            <w:r>
              <w:rPr>
                <w:b/>
                <w:bCs w:val="0"/>
                <w:color w:val="auto"/>
                <w:spacing w:val="-2"/>
                <w:u w:val="single"/>
              </w:rPr>
              <w:t>/h，H=20m</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负压表</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布莱迪/先锋</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压力变送器</w:t>
            </w:r>
          </w:p>
        </w:tc>
        <w:tc>
          <w:tcPr>
            <w:tcW w:w="1526" w:type="pct"/>
            <w:shd w:val="clear" w:color="auto" w:fill="auto"/>
            <w:vAlign w:val="center"/>
          </w:tcPr>
          <w:p>
            <w:pPr>
              <w:jc w:val="center"/>
              <w:rPr>
                <w:b/>
                <w:bCs w:val="0"/>
                <w:color w:val="auto"/>
                <w:spacing w:val="-2"/>
                <w:u w:val="single"/>
              </w:rPr>
            </w:pPr>
            <w:r>
              <w:rPr>
                <w:b/>
                <w:bCs w:val="0"/>
                <w:color w:val="auto"/>
                <w:spacing w:val="-2"/>
                <w:u w:val="single"/>
              </w:rPr>
              <w:t>-0.1~0.3MPa</w:t>
            </w:r>
          </w:p>
        </w:tc>
        <w:tc>
          <w:tcPr>
            <w:tcW w:w="826" w:type="pct"/>
            <w:shd w:val="clear" w:color="auto" w:fill="auto"/>
            <w:vAlign w:val="center"/>
          </w:tcPr>
          <w:p>
            <w:pPr>
              <w:jc w:val="center"/>
              <w:rPr>
                <w:b/>
                <w:bCs w:val="0"/>
                <w:color w:val="auto"/>
                <w:spacing w:val="-2"/>
                <w:u w:val="single"/>
              </w:rPr>
            </w:pPr>
            <w:r>
              <w:rPr>
                <w:b/>
                <w:bCs w:val="0"/>
                <w:color w:val="auto"/>
                <w:spacing w:val="-2"/>
                <w:u w:val="single"/>
              </w:rPr>
              <w:t>ABB/BD</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自动控制阀</w:t>
            </w:r>
          </w:p>
        </w:tc>
        <w:tc>
          <w:tcPr>
            <w:tcW w:w="1526" w:type="pct"/>
            <w:shd w:val="clear" w:color="auto" w:fill="auto"/>
            <w:vAlign w:val="center"/>
          </w:tcPr>
          <w:p>
            <w:pPr>
              <w:jc w:val="center"/>
              <w:rPr>
                <w:b/>
                <w:bCs w:val="0"/>
                <w:color w:val="auto"/>
                <w:spacing w:val="-2"/>
                <w:u w:val="single"/>
              </w:rPr>
            </w:pPr>
            <w:r>
              <w:rPr>
                <w:b/>
                <w:bCs w:val="0"/>
                <w:color w:val="auto"/>
                <w:spacing w:val="-2"/>
                <w:u w:val="single"/>
              </w:rPr>
              <w:t>UPVC，气动</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FLOWX</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2</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电磁流量计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创新/美仪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产水液位计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反洗加药泵</w:t>
            </w:r>
          </w:p>
        </w:tc>
        <w:tc>
          <w:tcPr>
            <w:tcW w:w="1526" w:type="pct"/>
            <w:shd w:val="clear" w:color="auto" w:fill="auto"/>
            <w:vAlign w:val="center"/>
          </w:tcPr>
          <w:p>
            <w:pPr>
              <w:jc w:val="center"/>
              <w:rPr>
                <w:b/>
                <w:bCs w:val="0"/>
                <w:color w:val="auto"/>
                <w:spacing w:val="-2"/>
                <w:u w:val="single"/>
              </w:rPr>
            </w:pPr>
            <w:r>
              <w:rPr>
                <w:b/>
                <w:bCs w:val="0"/>
                <w:color w:val="auto"/>
                <w:spacing w:val="-2"/>
                <w:u w:val="single"/>
              </w:rPr>
              <w:t>酸、次钠</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WRS</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加药箱</w:t>
            </w:r>
          </w:p>
        </w:tc>
        <w:tc>
          <w:tcPr>
            <w:tcW w:w="1526" w:type="pct"/>
            <w:shd w:val="clear" w:color="auto" w:fill="auto"/>
            <w:vAlign w:val="center"/>
          </w:tcPr>
          <w:p>
            <w:pPr>
              <w:jc w:val="center"/>
              <w:rPr>
                <w:b/>
                <w:bCs w:val="0"/>
                <w:color w:val="auto"/>
                <w:spacing w:val="-2"/>
                <w:u w:val="single"/>
              </w:rPr>
            </w:pPr>
            <w:r>
              <w:rPr>
                <w:b/>
                <w:bCs w:val="0"/>
                <w:color w:val="auto"/>
                <w:spacing w:val="-2"/>
                <w:u w:val="single"/>
              </w:rPr>
              <w:t>200L，PE</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3</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MBR 产</w:t>
            </w:r>
            <w:r>
              <w:rPr>
                <w:rFonts w:hint="eastAsia"/>
                <w:b/>
                <w:bCs w:val="0"/>
                <w:color w:val="auto"/>
                <w:spacing w:val="-2"/>
                <w:u w:val="single"/>
              </w:rPr>
              <w:t>水</w:t>
            </w:r>
            <w:r>
              <w:rPr>
                <w:b/>
                <w:bCs w:val="0"/>
                <w:color w:val="auto"/>
                <w:spacing w:val="-2"/>
                <w:u w:val="single"/>
              </w:rPr>
              <w:t>池</w:t>
            </w:r>
          </w:p>
        </w:tc>
        <w:tc>
          <w:tcPr>
            <w:tcW w:w="773" w:type="pct"/>
            <w:shd w:val="clear" w:color="auto" w:fill="auto"/>
            <w:vAlign w:val="center"/>
          </w:tcPr>
          <w:p>
            <w:pPr>
              <w:jc w:val="center"/>
              <w:rPr>
                <w:b/>
                <w:bCs w:val="0"/>
                <w:color w:val="auto"/>
                <w:spacing w:val="-2"/>
                <w:u w:val="single"/>
              </w:rPr>
            </w:pPr>
            <w:r>
              <w:rPr>
                <w:b/>
                <w:bCs w:val="0"/>
                <w:color w:val="auto"/>
                <w:spacing w:val="-2"/>
                <w:u w:val="single"/>
              </w:rPr>
              <w:t>MBR 产</w:t>
            </w:r>
            <w:r>
              <w:rPr>
                <w:rFonts w:hint="eastAsia"/>
                <w:b/>
                <w:bCs w:val="0"/>
                <w:color w:val="auto"/>
                <w:spacing w:val="-2"/>
                <w:u w:val="single"/>
              </w:rPr>
              <w:t>水</w:t>
            </w:r>
            <w:r>
              <w:rPr>
                <w:b/>
                <w:bCs w:val="0"/>
                <w:color w:val="auto"/>
                <w:spacing w:val="-2"/>
                <w:u w:val="single"/>
              </w:rPr>
              <w:t>池</w:t>
            </w:r>
          </w:p>
        </w:tc>
        <w:tc>
          <w:tcPr>
            <w:tcW w:w="1526" w:type="pct"/>
            <w:shd w:val="clear" w:color="auto" w:fill="auto"/>
            <w:vAlign w:val="center"/>
          </w:tcPr>
          <w:p>
            <w:pPr>
              <w:jc w:val="center"/>
              <w:rPr>
                <w:b/>
                <w:bCs w:val="0"/>
                <w:color w:val="auto"/>
                <w:spacing w:val="-2"/>
                <w:u w:val="single"/>
              </w:rPr>
            </w:pPr>
            <w:r>
              <w:rPr>
                <w:b/>
                <w:bCs w:val="0"/>
                <w:color w:val="auto"/>
                <w:spacing w:val="-2"/>
                <w:u w:val="single"/>
              </w:rPr>
              <w:t>50m</w:t>
            </w:r>
            <w:r>
              <w:rPr>
                <w:b/>
                <w:bCs w:val="0"/>
                <w:color w:val="auto"/>
                <w:spacing w:val="-2"/>
                <w:u w:val="single"/>
                <w:vertAlign w:val="superscript"/>
              </w:rPr>
              <w:t>3</w:t>
            </w:r>
            <w:r>
              <w:rPr>
                <w:b/>
                <w:bCs w:val="0"/>
                <w:color w:val="auto"/>
                <w:spacing w:val="-2"/>
                <w:u w:val="single"/>
              </w:rPr>
              <w:t xml:space="preserve"> </w:t>
            </w:r>
            <w:r>
              <w:rPr>
                <w:rFonts w:hint="eastAsia"/>
                <w:b/>
                <w:bCs w:val="0"/>
                <w:color w:val="auto"/>
                <w:spacing w:val="-2"/>
                <w:u w:val="single"/>
              </w:rPr>
              <w:t>，</w:t>
            </w:r>
            <w:r>
              <w:rPr>
                <w:b/>
                <w:bCs w:val="0"/>
                <w:color w:val="auto"/>
                <w:spacing w:val="-2"/>
                <w:u w:val="single"/>
              </w:rPr>
              <w:t>Q235 防腐或PE材质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5"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RO 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Q=10m</w:t>
            </w:r>
            <w:r>
              <w:rPr>
                <w:b/>
                <w:bCs w:val="0"/>
                <w:color w:val="auto"/>
                <w:spacing w:val="-2"/>
                <w:u w:val="single"/>
                <w:vertAlign w:val="superscript"/>
              </w:rPr>
              <w:t>3</w:t>
            </w:r>
            <w:r>
              <w:rPr>
                <w:b/>
                <w:bCs w:val="0"/>
                <w:color w:val="auto"/>
                <w:spacing w:val="-2"/>
                <w:u w:val="single"/>
              </w:rPr>
              <w:t>/h，H=25m，SUS304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both"/>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w:t>
            </w:r>
            <w:r>
              <w:rPr>
                <w:rFonts w:hint="eastAsia"/>
                <w:b/>
                <w:bCs w:val="0"/>
                <w:color w:val="auto"/>
                <w:spacing w:val="-2"/>
                <w:u w:val="single"/>
              </w:rPr>
              <w:t>水</w:t>
            </w:r>
            <w:r>
              <w:rPr>
                <w:b/>
                <w:bCs w:val="0"/>
                <w:color w:val="auto"/>
                <w:spacing w:val="-2"/>
                <w:u w:val="single"/>
              </w:rPr>
              <w:t>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tcBorders>
            <w:shd w:val="clear" w:color="auto" w:fill="auto"/>
            <w:vAlign w:val="center"/>
          </w:tcPr>
          <w:p>
            <w:pPr>
              <w:jc w:val="center"/>
              <w:rPr>
                <w:b/>
                <w:bCs w:val="0"/>
                <w:color w:val="auto"/>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DN50，PVC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restart"/>
            <w:shd w:val="clear" w:color="auto" w:fill="auto"/>
            <w:vAlign w:val="center"/>
          </w:tcPr>
          <w:p>
            <w:pPr>
              <w:jc w:val="center"/>
              <w:rPr>
                <w:b/>
                <w:bCs w:val="0"/>
                <w:color w:val="auto"/>
                <w:u w:val="single"/>
              </w:rPr>
            </w:pPr>
            <w:r>
              <w:rPr>
                <w:b/>
                <w:bCs w:val="0"/>
                <w:color w:val="auto"/>
                <w:u w:val="single"/>
              </w:rPr>
              <w:t>4</w:t>
            </w:r>
          </w:p>
        </w:tc>
        <w:tc>
          <w:tcPr>
            <w:tcW w:w="516" w:type="pct"/>
            <w:vMerge w:val="restart"/>
            <w:shd w:val="clear" w:color="auto" w:fill="auto"/>
            <w:vAlign w:val="center"/>
          </w:tcPr>
          <w:p>
            <w:pPr>
              <w:jc w:val="center"/>
              <w:rPr>
                <w:b/>
                <w:bCs w:val="0"/>
                <w:color w:val="auto"/>
                <w:spacing w:val="-2"/>
                <w:u w:val="single"/>
              </w:rPr>
            </w:pPr>
            <w:r>
              <w:rPr>
                <w:b/>
                <w:bCs w:val="0"/>
                <w:color w:val="auto"/>
                <w:spacing w:val="-2"/>
                <w:u w:val="single"/>
              </w:rPr>
              <w:t>ECRO1 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袋式过滤器</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过滤精度 5um，T102</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11m</w:t>
            </w:r>
            <w:r>
              <w:rPr>
                <w:b/>
                <w:bCs w:val="0"/>
                <w:color w:val="auto"/>
                <w:spacing w:val="-2"/>
                <w:u w:val="single"/>
                <w:vertAlign w:val="superscript"/>
              </w:rPr>
              <w:t>3</w:t>
            </w:r>
            <w:r>
              <w:rPr>
                <w:b/>
                <w:bCs w:val="0"/>
                <w:color w:val="auto"/>
                <w:spacing w:val="-2"/>
                <w:u w:val="single"/>
              </w:rPr>
              <w:t>/h，8040，抗污染膜</w:t>
            </w:r>
          </w:p>
        </w:tc>
        <w:tc>
          <w:tcPr>
            <w:tcW w:w="826" w:type="pct"/>
            <w:shd w:val="clear" w:color="auto" w:fill="auto"/>
            <w:vAlign w:val="center"/>
          </w:tcPr>
          <w:p>
            <w:pPr>
              <w:jc w:val="center"/>
              <w:rPr>
                <w:b/>
                <w:bCs w:val="0"/>
                <w:color w:val="auto"/>
                <w:spacing w:val="-2"/>
                <w:u w:val="single"/>
              </w:rPr>
            </w:pPr>
            <w:r>
              <w:rPr>
                <w:b/>
                <w:bCs w:val="0"/>
                <w:color w:val="auto"/>
                <w:spacing w:val="-2"/>
                <w:u w:val="single"/>
              </w:rPr>
              <w:t>苏伊士/陶氏/东丽</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反渗透膜壳</w:t>
            </w:r>
          </w:p>
        </w:tc>
        <w:tc>
          <w:tcPr>
            <w:tcW w:w="1526" w:type="pct"/>
            <w:shd w:val="clear" w:color="auto" w:fill="auto"/>
            <w:vAlign w:val="center"/>
          </w:tcPr>
          <w:p>
            <w:pPr>
              <w:jc w:val="center"/>
              <w:rPr>
                <w:b/>
                <w:bCs w:val="0"/>
                <w:color w:val="auto"/>
                <w:spacing w:val="-2"/>
                <w:u w:val="single"/>
              </w:rPr>
            </w:pPr>
            <w:r>
              <w:rPr>
                <w:b/>
                <w:bCs w:val="0"/>
                <w:color w:val="auto"/>
                <w:spacing w:val="-2"/>
                <w:u w:val="single"/>
              </w:rPr>
              <w:t>80200，  300PSI，FRP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丰汭/FirstLine</w:t>
            </w:r>
          </w:p>
        </w:tc>
        <w:tc>
          <w:tcPr>
            <w:tcW w:w="246" w:type="pct"/>
            <w:shd w:val="clear" w:color="auto" w:fill="auto"/>
            <w:vAlign w:val="center"/>
          </w:tcPr>
          <w:p>
            <w:pPr>
              <w:jc w:val="center"/>
              <w:rPr>
                <w:b/>
                <w:bCs w:val="0"/>
                <w:color w:val="auto"/>
                <w:spacing w:val="-2"/>
                <w:u w:val="single"/>
              </w:rPr>
            </w:pPr>
            <w:r>
              <w:rPr>
                <w:rFonts w:hint="eastAsia"/>
                <w:b/>
                <w:bCs w:val="0"/>
                <w:color w:val="auto"/>
                <w:spacing w:val="-2"/>
                <w:u w:val="single"/>
              </w:rPr>
              <w:t>支</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反渗透机架</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hint="eastAsia"/>
                <w:b/>
                <w:bCs w:val="0"/>
                <w:color w:val="auto"/>
                <w:spacing w:val="-2"/>
                <w:u w:val="single"/>
              </w:rPr>
              <w:t>面</w:t>
            </w:r>
            <w:r>
              <w:rPr>
                <w:b/>
                <w:bCs w:val="0"/>
                <w:color w:val="auto"/>
                <w:spacing w:val="-2"/>
                <w:u w:val="single"/>
              </w:rPr>
              <w:t>板式压</w:t>
            </w:r>
            <w:r>
              <w:rPr>
                <w:rFonts w:eastAsia="Meiryo"/>
                <w:b/>
                <w:bCs w:val="0"/>
                <w:color w:val="auto"/>
                <w:spacing w:val="-2"/>
                <w:u w:val="single"/>
              </w:rPr>
              <w:t>⼒</w:t>
            </w:r>
            <w:r>
              <w:rPr>
                <w:b/>
                <w:bCs w:val="0"/>
                <w:color w:val="auto"/>
                <w:spacing w:val="-2"/>
                <w:u w:val="single"/>
              </w:rPr>
              <w:t>表</w:t>
            </w:r>
          </w:p>
        </w:tc>
        <w:tc>
          <w:tcPr>
            <w:tcW w:w="1526" w:type="pct"/>
            <w:shd w:val="clear" w:color="auto" w:fill="auto"/>
            <w:vAlign w:val="center"/>
          </w:tcPr>
          <w:p>
            <w:pPr>
              <w:jc w:val="center"/>
              <w:rPr>
                <w:b/>
                <w:bCs w:val="0"/>
                <w:color w:val="auto"/>
                <w:spacing w:val="-2"/>
                <w:u w:val="single"/>
              </w:rPr>
            </w:pPr>
            <w:r>
              <w:rPr>
                <w:b/>
                <w:bCs w:val="0"/>
                <w:color w:val="auto"/>
                <w:spacing w:val="-2"/>
                <w:u w:val="single"/>
              </w:rPr>
              <w:t>0-1.0MPa，0-2.5MPa</w:t>
            </w:r>
          </w:p>
        </w:tc>
        <w:tc>
          <w:tcPr>
            <w:tcW w:w="826" w:type="pct"/>
            <w:shd w:val="clear" w:color="auto" w:fill="auto"/>
            <w:vAlign w:val="center"/>
          </w:tcPr>
          <w:p>
            <w:pPr>
              <w:jc w:val="center"/>
              <w:rPr>
                <w:b/>
                <w:bCs w:val="0"/>
                <w:color w:val="auto"/>
                <w:spacing w:val="-2"/>
                <w:u w:val="single"/>
              </w:rPr>
            </w:pPr>
            <w:r>
              <w:rPr>
                <w:b/>
                <w:bCs w:val="0"/>
                <w:color w:val="auto"/>
                <w:spacing w:val="-2"/>
                <w:u w:val="single"/>
              </w:rPr>
              <w:t>布莱迪/先锋</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hint="eastAsia"/>
                <w:b/>
                <w:bCs w:val="0"/>
                <w:color w:val="auto"/>
                <w:spacing w:val="-2"/>
                <w:u w:val="single"/>
              </w:rPr>
              <w:t>高</w:t>
            </w:r>
            <w:r>
              <w:rPr>
                <w:b/>
                <w:bCs w:val="0"/>
                <w:color w:val="auto"/>
                <w:spacing w:val="-2"/>
                <w:u w:val="single"/>
              </w:rPr>
              <w:t>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PN1.6</w:t>
            </w:r>
          </w:p>
        </w:tc>
        <w:tc>
          <w:tcPr>
            <w:tcW w:w="826" w:type="pct"/>
            <w:shd w:val="clear" w:color="auto" w:fill="auto"/>
            <w:vAlign w:val="center"/>
          </w:tcPr>
          <w:p>
            <w:pPr>
              <w:jc w:val="center"/>
              <w:rPr>
                <w:b/>
                <w:bCs w:val="0"/>
                <w:color w:val="auto"/>
                <w:spacing w:val="-2"/>
                <w:u w:val="single"/>
              </w:rPr>
            </w:pPr>
            <w:r>
              <w:rPr>
                <w:b/>
                <w:bCs w:val="0"/>
                <w:color w:val="auto"/>
                <w:spacing w:val="-2"/>
                <w:u w:val="single"/>
              </w:rPr>
              <w:t>逸</w:t>
            </w:r>
            <w:r>
              <w:rPr>
                <w:rFonts w:hint="eastAsia"/>
                <w:b/>
                <w:bCs w:val="0"/>
                <w:color w:val="auto"/>
                <w:spacing w:val="-2"/>
                <w:u w:val="single"/>
              </w:rPr>
              <w:t>辰</w:t>
            </w:r>
            <w:r>
              <w:rPr>
                <w:b/>
                <w:bCs w:val="0"/>
                <w:color w:val="auto"/>
                <w:spacing w:val="-2"/>
                <w:u w:val="single"/>
              </w:rPr>
              <w:t>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低压管路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UPVC，PN10</w:t>
            </w:r>
          </w:p>
        </w:tc>
        <w:tc>
          <w:tcPr>
            <w:tcW w:w="826" w:type="pct"/>
            <w:shd w:val="clear" w:color="auto" w:fill="auto"/>
            <w:vAlign w:val="center"/>
          </w:tcPr>
          <w:p>
            <w:pPr>
              <w:jc w:val="center"/>
              <w:rPr>
                <w:b/>
                <w:bCs w:val="0"/>
                <w:color w:val="auto"/>
                <w:spacing w:val="-2"/>
                <w:u w:val="single"/>
              </w:rPr>
            </w:pPr>
            <w:r>
              <w:rPr>
                <w:b/>
                <w:bCs w:val="0"/>
                <w:color w:val="auto"/>
                <w:spacing w:val="-2"/>
                <w:u w:val="single"/>
              </w:rPr>
              <w:t>协羽</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top w:val="nil"/>
            </w:tcBorders>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压泵</w:t>
            </w:r>
          </w:p>
        </w:tc>
        <w:tc>
          <w:tcPr>
            <w:tcW w:w="1526" w:type="pct"/>
            <w:tcBorders>
              <w:top w:val="nil"/>
            </w:tcBorders>
            <w:shd w:val="clear" w:color="auto" w:fill="auto"/>
            <w:vAlign w:val="center"/>
          </w:tcPr>
          <w:p>
            <w:pPr>
              <w:jc w:val="center"/>
              <w:rPr>
                <w:b/>
                <w:bCs w:val="0"/>
                <w:color w:val="auto"/>
                <w:spacing w:val="-2"/>
                <w:u w:val="single"/>
              </w:rPr>
            </w:pPr>
            <w:r>
              <w:rPr>
                <w:b/>
                <w:bCs w:val="0"/>
                <w:color w:val="auto"/>
                <w:spacing w:val="-2"/>
                <w:u w:val="single"/>
              </w:rPr>
              <w:t>Q=15m</w:t>
            </w:r>
            <w:r>
              <w:rPr>
                <w:b/>
                <w:bCs w:val="0"/>
                <w:color w:val="auto"/>
                <w:spacing w:val="-2"/>
                <w:u w:val="single"/>
                <w:vertAlign w:val="superscript"/>
              </w:rPr>
              <w:t>3</w:t>
            </w:r>
            <w:r>
              <w:rPr>
                <w:b/>
                <w:bCs w:val="0"/>
                <w:color w:val="auto"/>
                <w:spacing w:val="-2"/>
                <w:u w:val="single"/>
              </w:rPr>
              <w:t>/h，H=160m，SUS304 材 质</w:t>
            </w:r>
          </w:p>
        </w:tc>
        <w:tc>
          <w:tcPr>
            <w:tcW w:w="826" w:type="pct"/>
            <w:tcBorders>
              <w:top w:val="nil"/>
            </w:tcBorders>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tcBorders>
              <w:top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top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top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配套高压泵</w:t>
            </w:r>
          </w:p>
        </w:tc>
        <w:tc>
          <w:tcPr>
            <w:tcW w:w="826" w:type="pct"/>
            <w:shd w:val="clear" w:color="auto" w:fill="auto"/>
            <w:vAlign w:val="center"/>
          </w:tcPr>
          <w:p>
            <w:pPr>
              <w:jc w:val="center"/>
              <w:rPr>
                <w:b/>
                <w:bCs w:val="0"/>
                <w:color w:val="auto"/>
                <w:spacing w:val="-2"/>
                <w:u w:val="single"/>
              </w:rPr>
            </w:pPr>
            <w:r>
              <w:rPr>
                <w:b/>
                <w:bCs w:val="0"/>
                <w:color w:val="auto"/>
                <w:spacing w:val="-2"/>
                <w:u w:val="single"/>
              </w:rPr>
              <w:t>三菱/台达</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循环泵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Q=30m</w:t>
            </w:r>
            <w:r>
              <w:rPr>
                <w:b/>
                <w:bCs w:val="0"/>
                <w:color w:val="auto"/>
                <w:spacing w:val="-2"/>
                <w:u w:val="single"/>
                <w:vertAlign w:val="superscript"/>
              </w:rPr>
              <w:t>3</w:t>
            </w:r>
            <w:r>
              <w:rPr>
                <w:b/>
                <w:bCs w:val="0"/>
                <w:color w:val="auto"/>
                <w:spacing w:val="-2"/>
                <w:u w:val="single"/>
              </w:rPr>
              <w:t>/h，H=30m，SUS304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低压保护开关</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w:t>
            </w:r>
          </w:p>
        </w:tc>
        <w:tc>
          <w:tcPr>
            <w:tcW w:w="826" w:type="pct"/>
            <w:shd w:val="clear" w:color="auto" w:fill="auto"/>
            <w:vAlign w:val="center"/>
          </w:tcPr>
          <w:p>
            <w:pPr>
              <w:jc w:val="center"/>
              <w:rPr>
                <w:b/>
                <w:bCs w:val="0"/>
                <w:color w:val="auto"/>
                <w:spacing w:val="-2"/>
                <w:u w:val="single"/>
              </w:rPr>
            </w:pPr>
            <w:r>
              <w:rPr>
                <w:b/>
                <w:bCs w:val="0"/>
                <w:color w:val="auto"/>
                <w:spacing w:val="-2"/>
                <w:u w:val="single"/>
              </w:rPr>
              <w:t>UE/BD</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加药泵</w:t>
            </w:r>
          </w:p>
        </w:tc>
        <w:tc>
          <w:tcPr>
            <w:tcW w:w="1526" w:type="pct"/>
            <w:shd w:val="clear" w:color="auto" w:fill="auto"/>
            <w:vAlign w:val="center"/>
          </w:tcPr>
          <w:p>
            <w:pPr>
              <w:jc w:val="center"/>
              <w:rPr>
                <w:b/>
                <w:bCs w:val="0"/>
                <w:color w:val="auto"/>
                <w:spacing w:val="-2"/>
                <w:u w:val="single"/>
              </w:rPr>
            </w:pPr>
            <w:r>
              <w:rPr>
                <w:b/>
                <w:bCs w:val="0"/>
                <w:color w:val="auto"/>
                <w:spacing w:val="-2"/>
                <w:u w:val="single"/>
              </w:rPr>
              <w:t>20L/h</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WRS</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加药箱</w:t>
            </w:r>
          </w:p>
        </w:tc>
        <w:tc>
          <w:tcPr>
            <w:tcW w:w="1526" w:type="pct"/>
            <w:shd w:val="clear" w:color="auto" w:fill="auto"/>
            <w:vAlign w:val="center"/>
          </w:tcPr>
          <w:p>
            <w:pPr>
              <w:jc w:val="center"/>
              <w:rPr>
                <w:b/>
                <w:bCs w:val="0"/>
                <w:color w:val="auto"/>
                <w:spacing w:val="-2"/>
                <w:u w:val="single"/>
              </w:rPr>
            </w:pPr>
            <w:r>
              <w:rPr>
                <w:b/>
                <w:bCs w:val="0"/>
                <w:color w:val="auto"/>
                <w:spacing w:val="-2"/>
                <w:u w:val="single"/>
              </w:rPr>
              <w:t>200L，PE</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塑料转</w:t>
            </w:r>
            <w:r>
              <w:rPr>
                <w:rFonts w:hint="eastAsia"/>
                <w:b/>
                <w:bCs w:val="0"/>
                <w:color w:val="auto"/>
                <w:spacing w:val="-2"/>
                <w:u w:val="single"/>
                <w:lang w:val="en-US" w:eastAsia="zh-CN"/>
              </w:rPr>
              <w:t>子</w:t>
            </w: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自动阀</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电动</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FLOWX</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在线流量计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美仪/创新</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电导率</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4-20mA，在线</w:t>
            </w:r>
          </w:p>
        </w:tc>
        <w:tc>
          <w:tcPr>
            <w:tcW w:w="826" w:type="pct"/>
            <w:shd w:val="clear" w:color="auto" w:fill="auto"/>
            <w:vAlign w:val="center"/>
          </w:tcPr>
          <w:p>
            <w:pPr>
              <w:jc w:val="center"/>
              <w:rPr>
                <w:b/>
                <w:bCs w:val="0"/>
                <w:color w:val="auto"/>
                <w:spacing w:val="-2"/>
                <w:u w:val="single"/>
              </w:rPr>
            </w:pPr>
            <w:r>
              <w:rPr>
                <w:b/>
                <w:bCs w:val="0"/>
                <w:color w:val="auto"/>
                <w:spacing w:val="-2"/>
                <w:u w:val="single"/>
              </w:rPr>
              <w:t>ROC/SUNTEX</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RO 药洗系统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配套药洗泵、药洗过滤器、药洗水箱</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r>
              <w:rPr>
                <w:b/>
                <w:bCs w:val="0"/>
                <w:color w:val="auto"/>
                <w:spacing w:val="-2"/>
                <w:u w:val="single"/>
              </w:rPr>
              <w:t>共用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5</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RO1 浓水池</w:t>
            </w:r>
          </w:p>
        </w:tc>
        <w:tc>
          <w:tcPr>
            <w:tcW w:w="773" w:type="pct"/>
            <w:shd w:val="clear" w:color="auto" w:fill="auto"/>
            <w:vAlign w:val="center"/>
          </w:tcPr>
          <w:p>
            <w:pPr>
              <w:jc w:val="center"/>
              <w:rPr>
                <w:b/>
                <w:bCs w:val="0"/>
                <w:color w:val="auto"/>
                <w:spacing w:val="-2"/>
                <w:u w:val="single"/>
              </w:rPr>
            </w:pPr>
            <w:r>
              <w:rPr>
                <w:b/>
                <w:bCs w:val="0"/>
                <w:color w:val="auto"/>
                <w:spacing w:val="-2"/>
                <w:u w:val="single"/>
              </w:rPr>
              <w:t>RO1 浓水池</w:t>
            </w:r>
          </w:p>
        </w:tc>
        <w:tc>
          <w:tcPr>
            <w:tcW w:w="1526" w:type="pct"/>
            <w:shd w:val="clear" w:color="auto" w:fill="auto"/>
            <w:vAlign w:val="center"/>
          </w:tcPr>
          <w:p>
            <w:pPr>
              <w:jc w:val="center"/>
              <w:rPr>
                <w:b/>
                <w:bCs w:val="0"/>
                <w:color w:val="auto"/>
                <w:spacing w:val="-2"/>
                <w:u w:val="single"/>
              </w:rPr>
            </w:pPr>
            <w:r>
              <w:rPr>
                <w:b/>
                <w:bCs w:val="0"/>
                <w:color w:val="auto"/>
                <w:spacing w:val="-2"/>
                <w:u w:val="single"/>
              </w:rPr>
              <w:t>20m</w:t>
            </w:r>
            <w:r>
              <w:rPr>
                <w:b/>
                <w:bCs w:val="0"/>
                <w:color w:val="auto"/>
                <w:spacing w:val="-2"/>
                <w:u w:val="single"/>
                <w:vertAlign w:val="superscript"/>
              </w:rPr>
              <w:t>3</w:t>
            </w:r>
            <w:r>
              <w:rPr>
                <w:b/>
                <w:bCs w:val="0"/>
                <w:color w:val="auto"/>
                <w:spacing w:val="-2"/>
                <w:u w:val="single"/>
              </w:rPr>
              <w:t>，PE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Q=8m</w:t>
            </w:r>
            <w:r>
              <w:rPr>
                <w:b/>
                <w:bCs w:val="0"/>
                <w:color w:val="auto"/>
                <w:spacing w:val="-2"/>
                <w:u w:val="single"/>
                <w:vertAlign w:val="superscript"/>
              </w:rPr>
              <w:t>3</w:t>
            </w:r>
            <w:r>
              <w:rPr>
                <w:b/>
                <w:bCs w:val="0"/>
                <w:color w:val="auto"/>
                <w:spacing w:val="-2"/>
                <w:u w:val="single"/>
              </w:rPr>
              <w:t>/h，H=10m，衬塑材质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国产优质</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both"/>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进水辅助系统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机械式流量计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DN25，PVC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6</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深度软 化系统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过滤器</w:t>
            </w:r>
          </w:p>
        </w:tc>
        <w:tc>
          <w:tcPr>
            <w:tcW w:w="1526" w:type="pct"/>
            <w:shd w:val="clear" w:color="auto" w:fill="auto"/>
            <w:vAlign w:val="center"/>
          </w:tcPr>
          <w:p>
            <w:pPr>
              <w:jc w:val="center"/>
              <w:rPr>
                <w:b/>
                <w:bCs w:val="0"/>
                <w:color w:val="auto"/>
                <w:spacing w:val="-2"/>
                <w:u w:val="single"/>
              </w:rPr>
            </w:pPr>
            <w:r>
              <w:rPr>
                <w:b/>
                <w:bCs w:val="0"/>
                <w:color w:val="auto"/>
                <w:spacing w:val="-2"/>
                <w:u w:val="single"/>
              </w:rPr>
              <w:t>Ø1200mm，FRP 或 Q235 衬胶</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再生系统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含再生水箱，射流器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LZS</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自动控制阀门</w:t>
            </w:r>
          </w:p>
        </w:tc>
        <w:tc>
          <w:tcPr>
            <w:tcW w:w="1526" w:type="pct"/>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动头</w:t>
            </w:r>
          </w:p>
        </w:tc>
        <w:tc>
          <w:tcPr>
            <w:tcW w:w="826" w:type="pct"/>
            <w:shd w:val="clear" w:color="auto" w:fill="auto"/>
            <w:vAlign w:val="center"/>
          </w:tcPr>
          <w:p>
            <w:pPr>
              <w:jc w:val="center"/>
              <w:rPr>
                <w:b/>
                <w:bCs w:val="0"/>
                <w:color w:val="auto"/>
                <w:spacing w:val="-2"/>
                <w:u w:val="single"/>
              </w:rPr>
            </w:pPr>
            <w:r>
              <w:rPr>
                <w:b/>
                <w:bCs w:val="0"/>
                <w:color w:val="auto"/>
                <w:spacing w:val="-2"/>
                <w:u w:val="single"/>
              </w:rPr>
              <w:t>润新</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过滤器支架</w:t>
            </w:r>
          </w:p>
        </w:tc>
        <w:tc>
          <w:tcPr>
            <w:tcW w:w="1526" w:type="pct"/>
            <w:shd w:val="clear" w:color="auto" w:fill="auto"/>
            <w:vAlign w:val="center"/>
          </w:tcPr>
          <w:p>
            <w:pPr>
              <w:jc w:val="center"/>
              <w:rPr>
                <w:b/>
                <w:bCs w:val="0"/>
                <w:color w:val="auto"/>
                <w:spacing w:val="-2"/>
                <w:u w:val="single"/>
              </w:rPr>
            </w:pPr>
            <w:r>
              <w:rPr>
                <w:b/>
                <w:bCs w:val="0"/>
                <w:color w:val="auto"/>
                <w:spacing w:val="-2"/>
                <w:u w:val="single"/>
              </w:rPr>
              <w:t>Q235 防腐</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捕捉器</w:t>
            </w:r>
          </w:p>
        </w:tc>
        <w:tc>
          <w:tcPr>
            <w:tcW w:w="1526" w:type="pct"/>
            <w:shd w:val="clear" w:color="auto" w:fill="auto"/>
            <w:vAlign w:val="center"/>
          </w:tcPr>
          <w:p>
            <w:pPr>
              <w:jc w:val="center"/>
              <w:rPr>
                <w:b/>
                <w:bCs w:val="0"/>
                <w:color w:val="auto"/>
                <w:spacing w:val="-2"/>
                <w:u w:val="single"/>
              </w:rPr>
            </w:pPr>
            <w:r>
              <w:rPr>
                <w:b/>
                <w:bCs w:val="0"/>
                <w:color w:val="auto"/>
                <w:spacing w:val="-2"/>
                <w:u w:val="single"/>
              </w:rPr>
              <w:t>PVC/不锈钢</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压力表</w:t>
            </w:r>
          </w:p>
        </w:tc>
        <w:tc>
          <w:tcPr>
            <w:tcW w:w="1526" w:type="pct"/>
            <w:shd w:val="clear" w:color="auto" w:fill="auto"/>
            <w:vAlign w:val="center"/>
          </w:tcPr>
          <w:p>
            <w:pPr>
              <w:jc w:val="center"/>
              <w:rPr>
                <w:b/>
                <w:bCs w:val="0"/>
                <w:color w:val="auto"/>
                <w:spacing w:val="-2"/>
                <w:u w:val="single"/>
              </w:rPr>
            </w:pPr>
            <w:r>
              <w:rPr>
                <w:b/>
                <w:bCs w:val="0"/>
                <w:color w:val="auto"/>
                <w:spacing w:val="-2"/>
                <w:u w:val="single"/>
              </w:rPr>
              <w:t>0-0.6MPa，SUS304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布莱迪/KINGTAI/先锋</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restart"/>
            <w:tcBorders>
              <w:top w:val="nil"/>
              <w:bottom w:val="nil"/>
            </w:tcBorders>
            <w:shd w:val="clear" w:color="auto" w:fill="auto"/>
            <w:vAlign w:val="center"/>
          </w:tcPr>
          <w:p>
            <w:pPr>
              <w:jc w:val="center"/>
              <w:rPr>
                <w:b/>
                <w:bCs w:val="0"/>
                <w:color w:val="auto"/>
                <w:spacing w:val="-2"/>
                <w:u w:val="single"/>
              </w:rPr>
            </w:pPr>
            <w:r>
              <w:rPr>
                <w:b/>
                <w:bCs w:val="0"/>
                <w:color w:val="auto"/>
                <w:spacing w:val="-2"/>
                <w:u w:val="single"/>
              </w:rPr>
              <w:t>7</w:t>
            </w:r>
          </w:p>
        </w:tc>
        <w:tc>
          <w:tcPr>
            <w:tcW w:w="516" w:type="pct"/>
            <w:vMerge w:val="restart"/>
            <w:tcBorders>
              <w:top w:val="nil"/>
              <w:bottom w:val="nil"/>
            </w:tcBorders>
            <w:shd w:val="clear" w:color="auto" w:fill="auto"/>
            <w:vAlign w:val="center"/>
          </w:tcPr>
          <w:p>
            <w:pPr>
              <w:jc w:val="center"/>
              <w:rPr>
                <w:b/>
                <w:bCs w:val="0"/>
                <w:color w:val="auto"/>
                <w:spacing w:val="-2"/>
                <w:u w:val="single"/>
              </w:rPr>
            </w:pPr>
            <w:r>
              <w:rPr>
                <w:b/>
                <w:bCs w:val="0"/>
                <w:color w:val="auto"/>
                <w:spacing w:val="-2"/>
                <w:u w:val="single"/>
              </w:rPr>
              <w:t>ECRO2 系统</w:t>
            </w:r>
          </w:p>
        </w:tc>
        <w:tc>
          <w:tcPr>
            <w:tcW w:w="773" w:type="pct"/>
            <w:tcBorders>
              <w:top w:val="nil"/>
            </w:tcBorders>
            <w:shd w:val="clear" w:color="auto" w:fill="auto"/>
            <w:vAlign w:val="center"/>
          </w:tcPr>
          <w:p>
            <w:pPr>
              <w:jc w:val="center"/>
              <w:rPr>
                <w:b/>
                <w:bCs w:val="0"/>
                <w:color w:val="auto"/>
                <w:spacing w:val="-2"/>
                <w:u w:val="single"/>
              </w:rPr>
            </w:pPr>
            <w:r>
              <w:rPr>
                <w:b/>
                <w:bCs w:val="0"/>
                <w:color w:val="auto"/>
                <w:spacing w:val="-2"/>
                <w:u w:val="single"/>
              </w:rPr>
              <w:t>袋式过滤器</w:t>
            </w:r>
          </w:p>
        </w:tc>
        <w:tc>
          <w:tcPr>
            <w:tcW w:w="1526" w:type="pct"/>
            <w:tcBorders>
              <w:top w:val="nil"/>
            </w:tcBorders>
            <w:shd w:val="clear" w:color="auto" w:fill="auto"/>
            <w:vAlign w:val="center"/>
          </w:tcPr>
          <w:p>
            <w:pPr>
              <w:jc w:val="center"/>
              <w:rPr>
                <w:b/>
                <w:bCs w:val="0"/>
                <w:color w:val="auto"/>
                <w:spacing w:val="-2"/>
                <w:u w:val="single"/>
              </w:rPr>
            </w:pPr>
            <w:r>
              <w:rPr>
                <w:b/>
                <w:bCs w:val="0"/>
                <w:color w:val="auto"/>
                <w:spacing w:val="-2"/>
                <w:u w:val="single"/>
              </w:rPr>
              <w:t>SUS304 材质，  过滤精度 5um，T102</w:t>
            </w:r>
          </w:p>
        </w:tc>
        <w:tc>
          <w:tcPr>
            <w:tcW w:w="826" w:type="pct"/>
            <w:tcBorders>
              <w:top w:val="nil"/>
            </w:tcBorders>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tcBorders>
              <w:top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top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top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2.25m</w:t>
            </w:r>
            <w:r>
              <w:rPr>
                <w:b/>
                <w:bCs w:val="0"/>
                <w:color w:val="auto"/>
                <w:spacing w:val="-2"/>
                <w:u w:val="single"/>
                <w:vertAlign w:val="superscript"/>
              </w:rPr>
              <w:t>3</w:t>
            </w:r>
            <w:r>
              <w:rPr>
                <w:b/>
                <w:bCs w:val="0"/>
                <w:color w:val="auto"/>
                <w:spacing w:val="-2"/>
                <w:u w:val="single"/>
              </w:rPr>
              <w:t>/h，8040，抗污染膜</w:t>
            </w:r>
          </w:p>
        </w:tc>
        <w:tc>
          <w:tcPr>
            <w:tcW w:w="826" w:type="pct"/>
            <w:shd w:val="clear" w:color="auto" w:fill="auto"/>
            <w:vAlign w:val="center"/>
          </w:tcPr>
          <w:p>
            <w:pPr>
              <w:jc w:val="center"/>
              <w:rPr>
                <w:b/>
                <w:bCs w:val="0"/>
                <w:color w:val="auto"/>
                <w:spacing w:val="-2"/>
                <w:u w:val="single"/>
              </w:rPr>
            </w:pPr>
            <w:r>
              <w:rPr>
                <w:b/>
                <w:bCs w:val="0"/>
                <w:color w:val="auto"/>
                <w:spacing w:val="-2"/>
                <w:u w:val="single"/>
              </w:rPr>
              <w:t>苏伊士/陶氏/东丽</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反渗透膜壳</w:t>
            </w:r>
          </w:p>
        </w:tc>
        <w:tc>
          <w:tcPr>
            <w:tcW w:w="1526" w:type="pct"/>
            <w:shd w:val="clear" w:color="auto" w:fill="auto"/>
            <w:vAlign w:val="center"/>
          </w:tcPr>
          <w:p>
            <w:pPr>
              <w:jc w:val="center"/>
              <w:rPr>
                <w:b/>
                <w:bCs w:val="0"/>
                <w:color w:val="auto"/>
                <w:spacing w:val="-2"/>
                <w:u w:val="single"/>
              </w:rPr>
            </w:pPr>
            <w:r>
              <w:rPr>
                <w:b/>
                <w:bCs w:val="0"/>
                <w:color w:val="auto"/>
                <w:spacing w:val="-2"/>
                <w:u w:val="single"/>
              </w:rPr>
              <w:t>80200， 600PSI，FRP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丰汭/FirstLine</w:t>
            </w:r>
          </w:p>
        </w:tc>
        <w:tc>
          <w:tcPr>
            <w:tcW w:w="246" w:type="pct"/>
            <w:shd w:val="clear" w:color="auto" w:fill="auto"/>
            <w:vAlign w:val="center"/>
          </w:tcPr>
          <w:p>
            <w:pPr>
              <w:jc w:val="center"/>
              <w:rPr>
                <w:b/>
                <w:bCs w:val="0"/>
                <w:color w:val="auto"/>
                <w:spacing w:val="-2"/>
                <w:u w:val="single"/>
              </w:rPr>
            </w:pPr>
            <w:r>
              <w:rPr>
                <w:b/>
                <w:bCs w:val="0"/>
                <w:color w:val="auto"/>
                <w:spacing w:val="-2"/>
                <w:u w:val="single"/>
              </w:rPr>
              <w:t>支</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反渗透机架</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r>
              <w:rPr>
                <w:b/>
                <w:bCs w:val="0"/>
                <w:color w:val="auto"/>
                <w:spacing w:val="-2"/>
                <w:u w:val="single"/>
              </w:rPr>
              <w:t>与 ECRO1 共用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面板式压</w:t>
            </w:r>
            <w:r>
              <w:rPr>
                <w:rFonts w:hint="eastAsia"/>
                <w:b/>
                <w:bCs w:val="0"/>
                <w:color w:val="auto"/>
                <w:spacing w:val="-2"/>
                <w:u w:val="single"/>
              </w:rPr>
              <w:t>力</w:t>
            </w:r>
            <w:r>
              <w:rPr>
                <w:b/>
                <w:bCs w:val="0"/>
                <w:color w:val="auto"/>
                <w:spacing w:val="-2"/>
                <w:u w:val="single"/>
              </w:rPr>
              <w:t>表</w:t>
            </w:r>
          </w:p>
        </w:tc>
        <w:tc>
          <w:tcPr>
            <w:tcW w:w="1526" w:type="pct"/>
            <w:shd w:val="clear" w:color="auto" w:fill="auto"/>
            <w:vAlign w:val="center"/>
          </w:tcPr>
          <w:p>
            <w:pPr>
              <w:jc w:val="center"/>
              <w:rPr>
                <w:b/>
                <w:bCs w:val="0"/>
                <w:color w:val="auto"/>
                <w:spacing w:val="-2"/>
                <w:u w:val="single"/>
              </w:rPr>
            </w:pPr>
            <w:r>
              <w:rPr>
                <w:b/>
                <w:bCs w:val="0"/>
                <w:color w:val="auto"/>
                <w:spacing w:val="-2"/>
                <w:u w:val="single"/>
              </w:rPr>
              <w:t>0-1.0MPa，0-6MPa</w:t>
            </w:r>
          </w:p>
        </w:tc>
        <w:tc>
          <w:tcPr>
            <w:tcW w:w="826" w:type="pct"/>
            <w:shd w:val="clear" w:color="auto" w:fill="auto"/>
            <w:vAlign w:val="center"/>
          </w:tcPr>
          <w:p>
            <w:pPr>
              <w:jc w:val="center"/>
              <w:rPr>
                <w:b/>
                <w:bCs w:val="0"/>
                <w:color w:val="auto"/>
                <w:spacing w:val="-2"/>
                <w:u w:val="single"/>
              </w:rPr>
            </w:pPr>
            <w:r>
              <w:rPr>
                <w:b/>
                <w:bCs w:val="0"/>
                <w:color w:val="auto"/>
                <w:spacing w:val="-2"/>
                <w:u w:val="single"/>
              </w:rPr>
              <w:t>布莱迪/先锋</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PN6.0</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低压管路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UPVC，PN10</w:t>
            </w:r>
          </w:p>
        </w:tc>
        <w:tc>
          <w:tcPr>
            <w:tcW w:w="826" w:type="pct"/>
            <w:shd w:val="clear" w:color="auto" w:fill="auto"/>
            <w:vAlign w:val="center"/>
          </w:tcPr>
          <w:p>
            <w:pPr>
              <w:jc w:val="center"/>
              <w:rPr>
                <w:b/>
                <w:bCs w:val="0"/>
                <w:color w:val="auto"/>
                <w:spacing w:val="-2"/>
                <w:u w:val="single"/>
              </w:rPr>
            </w:pPr>
            <w:r>
              <w:rPr>
                <w:b/>
                <w:bCs w:val="0"/>
                <w:color w:val="auto"/>
                <w:spacing w:val="-2"/>
                <w:u w:val="single"/>
              </w:rPr>
              <w:t>协羽</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Q=4m</w:t>
            </w:r>
            <w:r>
              <w:rPr>
                <w:b/>
                <w:bCs w:val="0"/>
                <w:color w:val="auto"/>
                <w:spacing w:val="-2"/>
                <w:u w:val="single"/>
                <w:vertAlign w:val="superscript"/>
              </w:rPr>
              <w:t>3</w:t>
            </w:r>
            <w:r>
              <w:rPr>
                <w:b/>
                <w:bCs w:val="0"/>
                <w:color w:val="auto"/>
                <w:spacing w:val="-2"/>
                <w:u w:val="single"/>
              </w:rPr>
              <w:t>/h，H=350m，SUS304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配套高压泵</w:t>
            </w:r>
          </w:p>
        </w:tc>
        <w:tc>
          <w:tcPr>
            <w:tcW w:w="826" w:type="pct"/>
            <w:shd w:val="clear" w:color="auto" w:fill="auto"/>
            <w:vAlign w:val="center"/>
          </w:tcPr>
          <w:p>
            <w:pPr>
              <w:jc w:val="center"/>
              <w:rPr>
                <w:b/>
                <w:bCs w:val="0"/>
                <w:color w:val="auto"/>
                <w:spacing w:val="-2"/>
                <w:u w:val="single"/>
              </w:rPr>
            </w:pPr>
            <w:r>
              <w:rPr>
                <w:b/>
                <w:bCs w:val="0"/>
                <w:color w:val="auto"/>
                <w:spacing w:val="-2"/>
                <w:u w:val="single"/>
              </w:rPr>
              <w:t>三菱/台达</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循环泵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Q=10m</w:t>
            </w:r>
            <w:r>
              <w:rPr>
                <w:b/>
                <w:bCs w:val="0"/>
                <w:color w:val="auto"/>
                <w:spacing w:val="-2"/>
                <w:u w:val="single"/>
                <w:vertAlign w:val="superscript"/>
              </w:rPr>
              <w:t>3</w:t>
            </w:r>
            <w:r>
              <w:rPr>
                <w:b/>
                <w:bCs w:val="0"/>
                <w:color w:val="auto"/>
                <w:spacing w:val="-2"/>
                <w:u w:val="single"/>
              </w:rPr>
              <w:t>/h，H=30m，SUS304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高低压保护开关</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w:t>
            </w:r>
          </w:p>
        </w:tc>
        <w:tc>
          <w:tcPr>
            <w:tcW w:w="826" w:type="pct"/>
            <w:shd w:val="clear" w:color="auto" w:fill="auto"/>
            <w:vAlign w:val="center"/>
          </w:tcPr>
          <w:p>
            <w:pPr>
              <w:jc w:val="center"/>
              <w:rPr>
                <w:b/>
                <w:bCs w:val="0"/>
                <w:color w:val="auto"/>
                <w:spacing w:val="-2"/>
                <w:u w:val="single"/>
              </w:rPr>
            </w:pPr>
            <w:r>
              <w:rPr>
                <w:b/>
                <w:bCs w:val="0"/>
                <w:color w:val="auto"/>
                <w:spacing w:val="-2"/>
                <w:u w:val="single"/>
              </w:rPr>
              <w:t>UE/BD</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加药系统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含加药泵、加药箱</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WRS</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塑料转</w:t>
            </w:r>
            <w:r>
              <w:rPr>
                <w:rFonts w:hint="eastAsia"/>
                <w:b/>
                <w:bCs w:val="0"/>
                <w:color w:val="auto"/>
                <w:spacing w:val="-2"/>
                <w:u w:val="single"/>
              </w:rPr>
              <w:t>子</w:t>
            </w: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自动阀</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电动，耐压 PN6.0</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FLOWX</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在线流量计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美仪/创新</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电导率</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4-20mA，在线</w:t>
            </w:r>
          </w:p>
        </w:tc>
        <w:tc>
          <w:tcPr>
            <w:tcW w:w="826" w:type="pct"/>
            <w:shd w:val="clear" w:color="auto" w:fill="auto"/>
            <w:vAlign w:val="center"/>
          </w:tcPr>
          <w:p>
            <w:pPr>
              <w:jc w:val="center"/>
              <w:rPr>
                <w:b/>
                <w:bCs w:val="0"/>
                <w:color w:val="auto"/>
                <w:spacing w:val="-2"/>
                <w:u w:val="single"/>
              </w:rPr>
            </w:pPr>
            <w:r>
              <w:rPr>
                <w:b/>
                <w:bCs w:val="0"/>
                <w:color w:val="auto"/>
                <w:spacing w:val="-2"/>
                <w:u w:val="single"/>
              </w:rPr>
              <w:t>ROC/SUNTEX</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8</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RO2 浓水池</w:t>
            </w:r>
          </w:p>
        </w:tc>
        <w:tc>
          <w:tcPr>
            <w:tcW w:w="773" w:type="pct"/>
            <w:shd w:val="clear" w:color="auto" w:fill="auto"/>
            <w:vAlign w:val="center"/>
          </w:tcPr>
          <w:p>
            <w:pPr>
              <w:jc w:val="center"/>
              <w:rPr>
                <w:b/>
                <w:bCs w:val="0"/>
                <w:color w:val="auto"/>
                <w:spacing w:val="-2"/>
                <w:u w:val="single"/>
              </w:rPr>
            </w:pPr>
            <w:r>
              <w:rPr>
                <w:b/>
                <w:bCs w:val="0"/>
                <w:color w:val="auto"/>
                <w:spacing w:val="-2"/>
                <w:u w:val="single"/>
              </w:rPr>
              <w:t>RO2 浓</w:t>
            </w:r>
            <w:r>
              <w:rPr>
                <w:rFonts w:hint="eastAsia"/>
                <w:b/>
                <w:bCs w:val="0"/>
                <w:color w:val="auto"/>
                <w:spacing w:val="-2"/>
                <w:u w:val="single"/>
              </w:rPr>
              <w:t>水</w:t>
            </w:r>
            <w:r>
              <w:rPr>
                <w:b/>
                <w:bCs w:val="0"/>
                <w:color w:val="auto"/>
                <w:spacing w:val="-2"/>
                <w:u w:val="single"/>
              </w:rPr>
              <w:t>池</w:t>
            </w:r>
          </w:p>
        </w:tc>
        <w:tc>
          <w:tcPr>
            <w:tcW w:w="1526" w:type="pct"/>
            <w:shd w:val="clear" w:color="auto" w:fill="auto"/>
            <w:vAlign w:val="center"/>
          </w:tcPr>
          <w:p>
            <w:pPr>
              <w:jc w:val="center"/>
              <w:rPr>
                <w:b/>
                <w:bCs w:val="0"/>
                <w:color w:val="auto"/>
                <w:spacing w:val="-2"/>
                <w:u w:val="single"/>
              </w:rPr>
            </w:pPr>
            <w:r>
              <w:rPr>
                <w:b/>
                <w:bCs w:val="0"/>
                <w:color w:val="auto"/>
                <w:spacing w:val="-2"/>
                <w:u w:val="single"/>
              </w:rPr>
              <w:t>20m</w:t>
            </w:r>
            <w:r>
              <w:rPr>
                <w:b/>
                <w:bCs w:val="0"/>
                <w:color w:val="auto"/>
                <w:spacing w:val="-2"/>
                <w:u w:val="single"/>
                <w:vertAlign w:val="superscript"/>
              </w:rPr>
              <w:t>3</w:t>
            </w:r>
            <w:r>
              <w:rPr>
                <w:b/>
                <w:bCs w:val="0"/>
                <w:color w:val="auto"/>
                <w:spacing w:val="-2"/>
                <w:u w:val="single"/>
              </w:rPr>
              <w:t>，PE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Q=2m</w:t>
            </w:r>
            <w:r>
              <w:rPr>
                <w:b/>
                <w:bCs w:val="0"/>
                <w:color w:val="auto"/>
                <w:spacing w:val="-2"/>
                <w:u w:val="single"/>
                <w:vertAlign w:val="superscript"/>
              </w:rPr>
              <w:t>3</w:t>
            </w:r>
            <w:r>
              <w:rPr>
                <w:b/>
                <w:bCs w:val="0"/>
                <w:color w:val="auto"/>
                <w:spacing w:val="-2"/>
                <w:u w:val="single"/>
              </w:rPr>
              <w:t>/h，H=10m，衬塑材质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国产优质</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w:t>
            </w:r>
            <w:r>
              <w:rPr>
                <w:rFonts w:hint="eastAsia"/>
                <w:b/>
                <w:bCs w:val="0"/>
                <w:color w:val="auto"/>
                <w:spacing w:val="-2"/>
                <w:u w:val="single"/>
              </w:rPr>
              <w:t>水</w:t>
            </w:r>
            <w:r>
              <w:rPr>
                <w:b/>
                <w:bCs w:val="0"/>
                <w:color w:val="auto"/>
                <w:spacing w:val="-2"/>
                <w:u w:val="single"/>
              </w:rPr>
              <w:t>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浮子式</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机械式流量计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DN25，PVC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5" w:hRule="atLeast"/>
          <w:jc w:val="center"/>
        </w:trPr>
        <w:tc>
          <w:tcPr>
            <w:tcW w:w="279" w:type="pct"/>
            <w:vMerge w:val="restart"/>
            <w:shd w:val="clear" w:color="auto" w:fill="auto"/>
            <w:vAlign w:val="center"/>
          </w:tcPr>
          <w:p>
            <w:pPr>
              <w:jc w:val="center"/>
              <w:rPr>
                <w:b/>
                <w:bCs w:val="0"/>
                <w:color w:val="auto"/>
                <w:spacing w:val="-2"/>
                <w:u w:val="single"/>
              </w:rPr>
            </w:pPr>
            <w:r>
              <w:rPr>
                <w:b/>
                <w:bCs w:val="0"/>
                <w:color w:val="auto"/>
                <w:spacing w:val="-2"/>
                <w:u w:val="single"/>
              </w:rPr>
              <w:t>9</w:t>
            </w:r>
          </w:p>
        </w:tc>
        <w:tc>
          <w:tcPr>
            <w:tcW w:w="516" w:type="pct"/>
            <w:vMerge w:val="restart"/>
            <w:shd w:val="clear" w:color="auto" w:fill="auto"/>
            <w:vAlign w:val="center"/>
          </w:tcPr>
          <w:p>
            <w:pPr>
              <w:jc w:val="center"/>
              <w:rPr>
                <w:b/>
                <w:bCs w:val="0"/>
                <w:color w:val="auto"/>
                <w:spacing w:val="-2"/>
                <w:u w:val="single"/>
              </w:rPr>
            </w:pPr>
            <w:r>
              <w:rPr>
                <w:b/>
                <w:bCs w:val="0"/>
                <w:color w:val="auto"/>
                <w:spacing w:val="-2"/>
                <w:u w:val="single"/>
              </w:rPr>
              <w:t>DTRO 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袋式过滤器</w:t>
            </w:r>
          </w:p>
        </w:tc>
        <w:tc>
          <w:tcPr>
            <w:tcW w:w="1526" w:type="pct"/>
            <w:shd w:val="clear" w:color="auto" w:fill="auto"/>
            <w:vAlign w:val="center"/>
          </w:tcPr>
          <w:p>
            <w:pPr>
              <w:jc w:val="center"/>
              <w:rPr>
                <w:b/>
                <w:bCs w:val="0"/>
                <w:color w:val="auto"/>
                <w:spacing w:val="-2"/>
                <w:u w:val="single"/>
              </w:rPr>
            </w:pPr>
            <w:r>
              <w:rPr>
                <w:b/>
                <w:bCs w:val="0"/>
                <w:color w:val="auto"/>
                <w:spacing w:val="-2"/>
                <w:u w:val="single"/>
              </w:rPr>
              <w:t>PP</w:t>
            </w:r>
          </w:p>
        </w:tc>
        <w:tc>
          <w:tcPr>
            <w:tcW w:w="826" w:type="pct"/>
            <w:shd w:val="clear" w:color="auto" w:fill="auto"/>
            <w:vAlign w:val="center"/>
          </w:tcPr>
          <w:p>
            <w:pPr>
              <w:jc w:val="center"/>
              <w:rPr>
                <w:b/>
                <w:bCs w:val="0"/>
                <w:color w:val="auto"/>
                <w:spacing w:val="-2"/>
                <w:u w:val="single"/>
              </w:rPr>
            </w:pPr>
            <w:r>
              <w:rPr>
                <w:b/>
                <w:bCs w:val="0"/>
                <w:color w:val="auto"/>
                <w:spacing w:val="-2"/>
                <w:u w:val="single"/>
              </w:rPr>
              <w:t>美宝/恒鑫</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高压柱塞泵</w:t>
            </w:r>
          </w:p>
        </w:tc>
        <w:tc>
          <w:tcPr>
            <w:tcW w:w="152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Q=3.5m</w:t>
            </w:r>
            <w:r>
              <w:rPr>
                <w:b/>
                <w:bCs w:val="0"/>
                <w:color w:val="auto"/>
                <w:spacing w:val="-2"/>
                <w:u w:val="single"/>
                <w:vertAlign w:val="superscript"/>
              </w:rPr>
              <w:t>3</w:t>
            </w:r>
            <w:r>
              <w:rPr>
                <w:b/>
                <w:bCs w:val="0"/>
                <w:color w:val="auto"/>
                <w:spacing w:val="-2"/>
                <w:u w:val="single"/>
              </w:rPr>
              <w:t>/h，H=800m，材质 316L</w:t>
            </w:r>
          </w:p>
        </w:tc>
        <w:tc>
          <w:tcPr>
            <w:tcW w:w="82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美国 CAT</w:t>
            </w:r>
          </w:p>
        </w:tc>
        <w:tc>
          <w:tcPr>
            <w:tcW w:w="24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bottom w:val="single" w:color="000000" w:sz="2" w:space="0"/>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配套</w:t>
            </w:r>
          </w:p>
        </w:tc>
        <w:tc>
          <w:tcPr>
            <w:tcW w:w="82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日本三菱/西门子</w:t>
            </w:r>
          </w:p>
        </w:tc>
        <w:tc>
          <w:tcPr>
            <w:tcW w:w="24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top w:val="single" w:color="000000" w:sz="2" w:space="0"/>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碟管式膜柱</w:t>
            </w:r>
          </w:p>
        </w:tc>
        <w:tc>
          <w:tcPr>
            <w:tcW w:w="1526" w:type="pct"/>
            <w:shd w:val="clear" w:color="auto" w:fill="auto"/>
            <w:vAlign w:val="center"/>
          </w:tcPr>
          <w:p>
            <w:pPr>
              <w:jc w:val="center"/>
              <w:rPr>
                <w:b/>
                <w:bCs w:val="0"/>
                <w:color w:val="auto"/>
                <w:spacing w:val="-2"/>
                <w:u w:val="single"/>
              </w:rPr>
            </w:pPr>
            <w:r>
              <w:rPr>
                <w:b/>
                <w:bCs w:val="0"/>
                <w:color w:val="auto"/>
                <w:spacing w:val="-2"/>
                <w:u w:val="single"/>
              </w:rPr>
              <w:t>产</w:t>
            </w:r>
            <w:r>
              <w:rPr>
                <w:rFonts w:eastAsia="Meiryo"/>
                <w:b/>
                <w:bCs w:val="0"/>
                <w:color w:val="auto"/>
                <w:spacing w:val="-2"/>
                <w:u w:val="single"/>
              </w:rPr>
              <w:t>⽔</w:t>
            </w:r>
            <w:r>
              <w:rPr>
                <w:b/>
                <w:bCs w:val="0"/>
                <w:color w:val="auto"/>
                <w:spacing w:val="-2"/>
                <w:u w:val="single"/>
              </w:rPr>
              <w:t>能</w:t>
            </w:r>
            <w:r>
              <w:rPr>
                <w:rFonts w:eastAsia="Meiryo"/>
                <w:b/>
                <w:bCs w:val="0"/>
                <w:color w:val="auto"/>
                <w:spacing w:val="-2"/>
                <w:u w:val="single"/>
              </w:rPr>
              <w:t>⼒</w:t>
            </w:r>
            <w:r>
              <w:rPr>
                <w:b/>
                <w:bCs w:val="0"/>
                <w:color w:val="auto"/>
                <w:spacing w:val="-2"/>
                <w:u w:val="single"/>
              </w:rPr>
              <w:t xml:space="preserve"> 2m</w:t>
            </w:r>
            <w:r>
              <w:rPr>
                <w:b/>
                <w:bCs w:val="0"/>
                <w:color w:val="auto"/>
                <w:spacing w:val="-2"/>
                <w:u w:val="single"/>
                <w:vertAlign w:val="superscript"/>
              </w:rPr>
              <w:t>3</w:t>
            </w:r>
            <w:r>
              <w:rPr>
                <w:b/>
                <w:bCs w:val="0"/>
                <w:color w:val="auto"/>
                <w:spacing w:val="-2"/>
                <w:u w:val="single"/>
              </w:rPr>
              <w:t>/h，8040，</w:t>
            </w:r>
            <w:r>
              <w:rPr>
                <w:rFonts w:eastAsia="Meiryo"/>
                <w:b/>
                <w:bCs w:val="0"/>
                <w:color w:val="auto"/>
                <w:spacing w:val="-2"/>
                <w:u w:val="single"/>
              </w:rPr>
              <w:t>⼯</w:t>
            </w:r>
            <w:r>
              <w:rPr>
                <w:b/>
                <w:bCs w:val="0"/>
                <w:color w:val="auto"/>
                <w:spacing w:val="-2"/>
                <w:u w:val="single"/>
              </w:rPr>
              <w:t>作压</w:t>
            </w:r>
            <w:r>
              <w:rPr>
                <w:rFonts w:eastAsia="Meiryo"/>
                <w:b/>
                <w:bCs w:val="0"/>
                <w:color w:val="auto"/>
                <w:spacing w:val="-2"/>
                <w:u w:val="single"/>
              </w:rPr>
              <w:t>⼒</w:t>
            </w:r>
            <w:r>
              <w:rPr>
                <w:b/>
                <w:bCs w:val="0"/>
                <w:color w:val="auto"/>
                <w:spacing w:val="-2"/>
                <w:u w:val="single"/>
              </w:rPr>
              <w:t>≤9MPa</w:t>
            </w:r>
          </w:p>
        </w:tc>
        <w:tc>
          <w:tcPr>
            <w:tcW w:w="826" w:type="pct"/>
            <w:shd w:val="clear" w:color="auto" w:fill="auto"/>
            <w:vAlign w:val="center"/>
          </w:tcPr>
          <w:p>
            <w:pPr>
              <w:jc w:val="center"/>
              <w:rPr>
                <w:b/>
                <w:bCs w:val="0"/>
                <w:color w:val="auto"/>
                <w:spacing w:val="-2"/>
                <w:u w:val="single"/>
              </w:rPr>
            </w:pPr>
            <w:r>
              <w:rPr>
                <w:b/>
                <w:bCs w:val="0"/>
                <w:color w:val="auto"/>
                <w:spacing w:val="-2"/>
                <w:u w:val="single"/>
              </w:rPr>
              <w:t>ROCHEM/MFT</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循环泵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Q=10m</w:t>
            </w:r>
            <w:r>
              <w:rPr>
                <w:b/>
                <w:bCs w:val="0"/>
                <w:color w:val="auto"/>
                <w:spacing w:val="-2"/>
                <w:u w:val="single"/>
                <w:vertAlign w:val="superscript"/>
              </w:rPr>
              <w:t>3</w:t>
            </w:r>
            <w:r>
              <w:rPr>
                <w:b/>
                <w:bCs w:val="0"/>
                <w:color w:val="auto"/>
                <w:spacing w:val="-2"/>
                <w:u w:val="single"/>
              </w:rPr>
              <w:t>/h，H=90m，材质 2205</w:t>
            </w:r>
          </w:p>
        </w:tc>
        <w:tc>
          <w:tcPr>
            <w:tcW w:w="826" w:type="pct"/>
            <w:shd w:val="clear" w:color="auto" w:fill="auto"/>
            <w:vAlign w:val="center"/>
          </w:tcPr>
          <w:p>
            <w:pPr>
              <w:jc w:val="center"/>
              <w:rPr>
                <w:b/>
                <w:bCs w:val="0"/>
                <w:color w:val="auto"/>
                <w:spacing w:val="-2"/>
                <w:u w:val="single"/>
              </w:rPr>
            </w:pPr>
            <w:r>
              <w:rPr>
                <w:b/>
                <w:bCs w:val="0"/>
                <w:color w:val="auto"/>
                <w:spacing w:val="-2"/>
                <w:u w:val="single"/>
              </w:rPr>
              <w:t>帝国/FRISTAM</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hint="eastAsia"/>
                <w:b/>
                <w:bCs w:val="0"/>
                <w:color w:val="auto"/>
                <w:spacing w:val="-2"/>
                <w:u w:val="single"/>
              </w:rPr>
              <w:t>高</w:t>
            </w:r>
            <w:r>
              <w:rPr>
                <w:b/>
                <w:bCs w:val="0"/>
                <w:color w:val="auto"/>
                <w:spacing w:val="-2"/>
                <w:u w:val="single"/>
              </w:rPr>
              <w:t>压蓄能器</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AOQ</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组合机架</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w:t>
            </w:r>
            <w:r>
              <w:rPr>
                <w:rFonts w:hint="eastAsia"/>
                <w:b/>
                <w:bCs w:val="0"/>
                <w:color w:val="auto"/>
                <w:spacing w:val="-2"/>
                <w:u w:val="single"/>
              </w:rPr>
              <w:t>非</w:t>
            </w:r>
            <w:r>
              <w:rPr>
                <w:b/>
                <w:bCs w:val="0"/>
                <w:color w:val="auto"/>
                <w:spacing w:val="-2"/>
                <w:u w:val="single"/>
              </w:rPr>
              <w:t>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自动控制阀</w:t>
            </w:r>
          </w:p>
        </w:tc>
        <w:tc>
          <w:tcPr>
            <w:tcW w:w="1526" w:type="pct"/>
            <w:shd w:val="clear" w:color="auto" w:fill="auto"/>
            <w:vAlign w:val="center"/>
          </w:tcPr>
          <w:p>
            <w:pPr>
              <w:jc w:val="center"/>
              <w:rPr>
                <w:b/>
                <w:bCs w:val="0"/>
                <w:color w:val="auto"/>
                <w:spacing w:val="-2"/>
                <w:u w:val="single"/>
              </w:rPr>
            </w:pPr>
            <w:r>
              <w:rPr>
                <w:b/>
                <w:bCs w:val="0"/>
                <w:color w:val="auto"/>
                <w:spacing w:val="-2"/>
                <w:u w:val="single"/>
              </w:rPr>
              <w:t>3/4" RCV type RC 300 HH500</w:t>
            </w:r>
          </w:p>
        </w:tc>
        <w:tc>
          <w:tcPr>
            <w:tcW w:w="826" w:type="pct"/>
            <w:shd w:val="clear" w:color="auto" w:fill="auto"/>
            <w:vAlign w:val="center"/>
          </w:tcPr>
          <w:p>
            <w:pPr>
              <w:jc w:val="center"/>
              <w:rPr>
                <w:b/>
                <w:bCs w:val="0"/>
                <w:color w:val="auto"/>
                <w:spacing w:val="-2"/>
                <w:u w:val="single"/>
              </w:rPr>
            </w:pPr>
            <w:r>
              <w:rPr>
                <w:b/>
                <w:bCs w:val="0"/>
                <w:color w:val="auto"/>
                <w:spacing w:val="-2"/>
                <w:u w:val="single"/>
              </w:rPr>
              <w:t>Badger</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含高压软管，SUS316L</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在线流量仪</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GF</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电导仪</w:t>
            </w:r>
          </w:p>
        </w:tc>
        <w:tc>
          <w:tcPr>
            <w:tcW w:w="1526" w:type="pct"/>
            <w:shd w:val="clear" w:color="auto" w:fill="auto"/>
            <w:vAlign w:val="center"/>
          </w:tcPr>
          <w:p>
            <w:pPr>
              <w:jc w:val="center"/>
              <w:rPr>
                <w:b/>
                <w:bCs w:val="0"/>
                <w:color w:val="auto"/>
                <w:spacing w:val="-2"/>
                <w:u w:val="single"/>
              </w:rPr>
            </w:pPr>
            <w:r>
              <w:rPr>
                <w:b/>
                <w:bCs w:val="0"/>
                <w:color w:val="auto"/>
                <w:spacing w:val="-2"/>
                <w:u w:val="single"/>
              </w:rPr>
              <w:t>0-200,2000,20000μs</w:t>
            </w:r>
          </w:p>
        </w:tc>
        <w:tc>
          <w:tcPr>
            <w:tcW w:w="826" w:type="pct"/>
            <w:shd w:val="clear" w:color="auto" w:fill="auto"/>
            <w:vAlign w:val="center"/>
          </w:tcPr>
          <w:p>
            <w:pPr>
              <w:jc w:val="center"/>
              <w:rPr>
                <w:b/>
                <w:bCs w:val="0"/>
                <w:color w:val="auto"/>
                <w:spacing w:val="-2"/>
                <w:u w:val="single"/>
              </w:rPr>
            </w:pPr>
            <w:r>
              <w:rPr>
                <w:b/>
                <w:bCs w:val="0"/>
                <w:color w:val="auto"/>
                <w:spacing w:val="-2"/>
                <w:u w:val="single"/>
              </w:rPr>
              <w:t>GF</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清洗系统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含清洗水箱，清洗泵，电加热系统</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就地控制柜</w:t>
            </w:r>
          </w:p>
        </w:tc>
        <w:tc>
          <w:tcPr>
            <w:tcW w:w="1526" w:type="pct"/>
            <w:shd w:val="clear" w:color="auto" w:fill="auto"/>
            <w:vAlign w:val="center"/>
          </w:tcPr>
          <w:p>
            <w:pPr>
              <w:jc w:val="center"/>
              <w:rPr>
                <w:b/>
                <w:bCs w:val="0"/>
                <w:color w:val="auto"/>
                <w:spacing w:val="-2"/>
                <w:u w:val="single"/>
              </w:rPr>
            </w:pPr>
            <w:r>
              <w:rPr>
                <w:b/>
                <w:bCs w:val="0"/>
                <w:color w:val="auto"/>
                <w:spacing w:val="-2"/>
                <w:u w:val="single"/>
              </w:rPr>
              <w:t>防威图，800*600*2200</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hint="eastAsia"/>
                <w:b/>
                <w:bCs w:val="0"/>
                <w:color w:val="auto"/>
                <w:spacing w:val="-2"/>
                <w:u w:val="single"/>
              </w:rPr>
              <w:t>气</w:t>
            </w:r>
            <w:r>
              <w:rPr>
                <w:b/>
                <w:bCs w:val="0"/>
                <w:color w:val="auto"/>
                <w:spacing w:val="-2"/>
                <w:u w:val="single"/>
              </w:rPr>
              <w:t>动隔膜阀</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GF/FLOWX</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低压管路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含低压软管，UPVC，PN10</w:t>
            </w:r>
          </w:p>
        </w:tc>
        <w:tc>
          <w:tcPr>
            <w:tcW w:w="826" w:type="pct"/>
            <w:shd w:val="clear" w:color="auto" w:fill="auto"/>
            <w:vAlign w:val="center"/>
          </w:tcPr>
          <w:p>
            <w:pPr>
              <w:jc w:val="center"/>
              <w:rPr>
                <w:b/>
                <w:bCs w:val="0"/>
                <w:color w:val="auto"/>
                <w:spacing w:val="-2"/>
                <w:u w:val="single"/>
              </w:rPr>
            </w:pPr>
            <w:r>
              <w:rPr>
                <w:b/>
                <w:bCs w:val="0"/>
                <w:color w:val="auto"/>
                <w:spacing w:val="-2"/>
                <w:u w:val="single"/>
              </w:rPr>
              <w:t>协羽</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restart"/>
            <w:tcBorders>
              <w:bottom w:val="nil"/>
            </w:tcBorders>
            <w:shd w:val="clear" w:color="auto" w:fill="auto"/>
            <w:vAlign w:val="center"/>
          </w:tcPr>
          <w:p>
            <w:pPr>
              <w:jc w:val="center"/>
              <w:rPr>
                <w:b/>
                <w:bCs w:val="0"/>
                <w:color w:val="auto"/>
                <w:u w:val="single"/>
              </w:rPr>
            </w:pPr>
            <w:r>
              <w:rPr>
                <w:b/>
                <w:bCs w:val="0"/>
                <w:color w:val="auto"/>
                <w:spacing w:val="-11"/>
                <w:u w:val="single"/>
              </w:rPr>
              <w:t>1</w:t>
            </w:r>
            <w:r>
              <w:rPr>
                <w:b/>
                <w:bCs w:val="0"/>
                <w:color w:val="auto"/>
                <w:spacing w:val="-9"/>
                <w:u w:val="single"/>
              </w:rPr>
              <w:t>0</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最终浓水池</w:t>
            </w:r>
          </w:p>
        </w:tc>
        <w:tc>
          <w:tcPr>
            <w:tcW w:w="773" w:type="pct"/>
            <w:shd w:val="clear" w:color="auto" w:fill="auto"/>
            <w:vAlign w:val="center"/>
          </w:tcPr>
          <w:p>
            <w:pPr>
              <w:jc w:val="center"/>
              <w:rPr>
                <w:b/>
                <w:bCs w:val="0"/>
                <w:color w:val="auto"/>
                <w:spacing w:val="-2"/>
                <w:u w:val="single"/>
              </w:rPr>
            </w:pPr>
            <w:r>
              <w:rPr>
                <w:b/>
                <w:bCs w:val="0"/>
                <w:color w:val="auto"/>
                <w:spacing w:val="-2"/>
                <w:u w:val="single"/>
              </w:rPr>
              <w:t>最终浓水池</w:t>
            </w:r>
          </w:p>
        </w:tc>
        <w:tc>
          <w:tcPr>
            <w:tcW w:w="1526" w:type="pct"/>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3</w:t>
            </w:r>
            <w:r>
              <w:rPr>
                <w:b/>
                <w:bCs w:val="0"/>
                <w:color w:val="auto"/>
                <w:spacing w:val="-2"/>
                <w:u w:val="single"/>
              </w:rPr>
              <w:t>，PE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Q=1m</w:t>
            </w:r>
            <w:r>
              <w:rPr>
                <w:b/>
                <w:bCs w:val="0"/>
                <w:color w:val="auto"/>
                <w:spacing w:val="-2"/>
                <w:u w:val="single"/>
                <w:vertAlign w:val="superscript"/>
              </w:rPr>
              <w:t>3</w:t>
            </w:r>
            <w:r>
              <w:rPr>
                <w:b/>
                <w:bCs w:val="0"/>
                <w:color w:val="auto"/>
                <w:spacing w:val="-2"/>
                <w:u w:val="single"/>
              </w:rPr>
              <w:t>/h，H=30m，衬塑材质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国产优质</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both"/>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w:t>
            </w:r>
            <w:r>
              <w:rPr>
                <w:rFonts w:hint="eastAsia"/>
                <w:b/>
                <w:bCs w:val="0"/>
                <w:color w:val="auto"/>
                <w:spacing w:val="-2"/>
                <w:u w:val="single"/>
              </w:rPr>
              <w:t>水</w:t>
            </w:r>
            <w:r>
              <w:rPr>
                <w:b/>
                <w:bCs w:val="0"/>
                <w:color w:val="auto"/>
                <w:spacing w:val="-2"/>
                <w:u w:val="single"/>
              </w:rPr>
              <w:t>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浮子式</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tcBorders>
            <w:shd w:val="clear" w:color="auto" w:fill="auto"/>
            <w:vAlign w:val="center"/>
          </w:tcPr>
          <w:p>
            <w:pPr>
              <w:jc w:val="center"/>
              <w:rPr>
                <w:b/>
                <w:bCs w:val="0"/>
                <w:color w:val="auto"/>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机械式流量计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DN25，PVC</w:t>
            </w:r>
          </w:p>
        </w:tc>
        <w:tc>
          <w:tcPr>
            <w:tcW w:w="826" w:type="pct"/>
            <w:shd w:val="clear" w:color="auto" w:fill="auto"/>
            <w:vAlign w:val="center"/>
          </w:tcPr>
          <w:p>
            <w:pPr>
              <w:jc w:val="center"/>
              <w:rPr>
                <w:b/>
                <w:bCs w:val="0"/>
                <w:color w:val="auto"/>
                <w:spacing w:val="-2"/>
                <w:u w:val="single"/>
              </w:rPr>
            </w:pPr>
            <w:r>
              <w:rPr>
                <w:rFonts w:hint="eastAsia"/>
                <w:b/>
                <w:bCs w:val="0"/>
                <w:color w:val="auto"/>
                <w:spacing w:val="-2"/>
                <w:u w:val="single"/>
              </w:rPr>
              <w:t>金</w:t>
            </w:r>
            <w:r>
              <w:rPr>
                <w:b/>
                <w:bCs w:val="0"/>
                <w:color w:val="auto"/>
                <w:spacing w:val="-2"/>
                <w:u w:val="single"/>
              </w:rPr>
              <w:t>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5" w:hRule="atLeast"/>
          <w:jc w:val="center"/>
        </w:trPr>
        <w:tc>
          <w:tcPr>
            <w:tcW w:w="279" w:type="pct"/>
            <w:vMerge w:val="restart"/>
            <w:shd w:val="clear" w:color="auto" w:fill="auto"/>
            <w:vAlign w:val="center"/>
          </w:tcPr>
          <w:p>
            <w:pPr>
              <w:jc w:val="center"/>
              <w:rPr>
                <w:b/>
                <w:bCs w:val="0"/>
                <w:color w:val="auto"/>
                <w:u w:val="single"/>
              </w:rPr>
            </w:pPr>
            <w:r>
              <w:rPr>
                <w:b/>
                <w:bCs w:val="0"/>
                <w:color w:val="auto"/>
                <w:spacing w:val="-11"/>
                <w:u w:val="single"/>
              </w:rPr>
              <w:t>1</w:t>
            </w:r>
            <w:r>
              <w:rPr>
                <w:b/>
                <w:bCs w:val="0"/>
                <w:color w:val="auto"/>
                <w:spacing w:val="-9"/>
                <w:u w:val="single"/>
              </w:rPr>
              <w:t>1</w:t>
            </w:r>
          </w:p>
        </w:tc>
        <w:tc>
          <w:tcPr>
            <w:tcW w:w="516" w:type="pct"/>
            <w:vMerge w:val="restart"/>
            <w:shd w:val="clear" w:color="auto" w:fill="auto"/>
            <w:vAlign w:val="center"/>
          </w:tcPr>
          <w:p>
            <w:pPr>
              <w:jc w:val="center"/>
              <w:rPr>
                <w:b/>
                <w:bCs w:val="0"/>
                <w:color w:val="auto"/>
                <w:spacing w:val="-2"/>
                <w:u w:val="single"/>
              </w:rPr>
            </w:pPr>
            <w:r>
              <w:rPr>
                <w:b/>
                <w:bCs w:val="0"/>
                <w:color w:val="auto"/>
                <w:spacing w:val="-2"/>
                <w:u w:val="single"/>
              </w:rPr>
              <w:t>撬装式 MBR</w:t>
            </w:r>
          </w:p>
          <w:p>
            <w:pPr>
              <w:jc w:val="center"/>
              <w:rPr>
                <w:b/>
                <w:bCs w:val="0"/>
                <w:color w:val="auto"/>
                <w:spacing w:val="-2"/>
                <w:u w:val="single"/>
              </w:rPr>
            </w:pPr>
            <w:r>
              <w:rPr>
                <w:b/>
                <w:bCs w:val="0"/>
                <w:color w:val="auto"/>
                <w:spacing w:val="-2"/>
                <w:u w:val="single"/>
              </w:rPr>
              <w:t>蒸发器</w:t>
            </w:r>
          </w:p>
          <w:p>
            <w:pPr>
              <w:jc w:val="center"/>
              <w:rPr>
                <w:b/>
                <w:bCs w:val="0"/>
                <w:color w:val="auto"/>
                <w:spacing w:val="-2"/>
                <w:u w:val="single"/>
              </w:rPr>
            </w:pPr>
            <w:r>
              <w:rPr>
                <w:b/>
                <w:bCs w:val="0"/>
                <w:color w:val="auto"/>
                <w:spacing w:val="-2"/>
                <w:u w:val="single"/>
              </w:rPr>
              <w:t>(1.5t/h)</w:t>
            </w:r>
          </w:p>
        </w:tc>
        <w:tc>
          <w:tcPr>
            <w:tcW w:w="773" w:type="pct"/>
            <w:shd w:val="clear" w:color="auto" w:fill="auto"/>
            <w:vAlign w:val="center"/>
          </w:tcPr>
          <w:p>
            <w:pPr>
              <w:jc w:val="center"/>
              <w:rPr>
                <w:b/>
                <w:bCs w:val="0"/>
                <w:color w:val="auto"/>
                <w:spacing w:val="-2"/>
                <w:u w:val="single"/>
              </w:rPr>
            </w:pPr>
            <w:r>
              <w:rPr>
                <w:b/>
                <w:bCs w:val="0"/>
                <w:color w:val="auto"/>
                <w:spacing w:val="-2"/>
                <w:u w:val="single"/>
              </w:rPr>
              <w:t>罗茨压缩机</w:t>
            </w:r>
          </w:p>
        </w:tc>
        <w:tc>
          <w:tcPr>
            <w:tcW w:w="1526" w:type="pct"/>
            <w:shd w:val="clear" w:color="auto" w:fill="auto"/>
            <w:vAlign w:val="center"/>
          </w:tcPr>
          <w:p>
            <w:pPr>
              <w:jc w:val="center"/>
              <w:rPr>
                <w:b/>
                <w:bCs w:val="0"/>
                <w:color w:val="auto"/>
                <w:spacing w:val="-2"/>
                <w:u w:val="single"/>
              </w:rPr>
            </w:pPr>
          </w:p>
        </w:tc>
        <w:tc>
          <w:tcPr>
            <w:tcW w:w="826" w:type="pct"/>
            <w:vMerge w:val="restart"/>
            <w:tcBorders>
              <w:bottom w:val="nil"/>
            </w:tcBorders>
            <w:shd w:val="clear" w:color="auto" w:fill="auto"/>
            <w:vAlign w:val="center"/>
          </w:tcPr>
          <w:p>
            <w:pPr>
              <w:jc w:val="center"/>
              <w:rPr>
                <w:b/>
                <w:bCs w:val="0"/>
                <w:color w:val="auto"/>
                <w:spacing w:val="-2"/>
                <w:u w:val="single"/>
              </w:rPr>
            </w:pPr>
          </w:p>
          <w:p>
            <w:pPr>
              <w:jc w:val="center"/>
              <w:rPr>
                <w:b/>
                <w:bCs w:val="0"/>
                <w:color w:val="auto"/>
                <w:spacing w:val="-2"/>
                <w:u w:val="single"/>
              </w:rPr>
            </w:pPr>
          </w:p>
          <w:p>
            <w:pPr>
              <w:jc w:val="center"/>
              <w:rPr>
                <w:b/>
                <w:bCs w:val="0"/>
                <w:color w:val="auto"/>
                <w:spacing w:val="-2"/>
                <w:u w:val="single"/>
              </w:rPr>
            </w:pPr>
          </w:p>
          <w:p>
            <w:pPr>
              <w:jc w:val="center"/>
              <w:rPr>
                <w:b/>
                <w:bCs w:val="0"/>
                <w:color w:val="auto"/>
                <w:spacing w:val="-2"/>
                <w:u w:val="single"/>
              </w:rPr>
            </w:pPr>
          </w:p>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反应釜</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bottom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加热器</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bottom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分离器</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bottom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预热器</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bottom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不凝气冷凝器</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bottom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蒸馏水罐</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bottom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冷却塔</w:t>
            </w:r>
          </w:p>
        </w:tc>
        <w:tc>
          <w:tcPr>
            <w:tcW w:w="1526" w:type="pct"/>
            <w:shd w:val="clear" w:color="auto" w:fill="auto"/>
            <w:vAlign w:val="center"/>
          </w:tcPr>
          <w:p>
            <w:pPr>
              <w:jc w:val="center"/>
              <w:rPr>
                <w:b/>
                <w:bCs w:val="0"/>
                <w:color w:val="auto"/>
                <w:spacing w:val="-2"/>
                <w:u w:val="single"/>
              </w:rPr>
            </w:pPr>
          </w:p>
        </w:tc>
        <w:tc>
          <w:tcPr>
            <w:tcW w:w="826" w:type="pct"/>
            <w:vMerge w:val="continue"/>
            <w:tcBorders>
              <w:top w:val="nil"/>
            </w:tcBorders>
            <w:shd w:val="clear" w:color="auto" w:fill="auto"/>
            <w:vAlign w:val="center"/>
          </w:tcPr>
          <w:p>
            <w:pPr>
              <w:jc w:val="center"/>
              <w:rPr>
                <w:b/>
                <w:bCs w:val="0"/>
                <w:color w:val="auto"/>
                <w:spacing w:val="-2"/>
                <w:u w:val="single"/>
              </w:rPr>
            </w:pP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top w:val="nil"/>
            </w:tcBorders>
            <w:shd w:val="clear" w:color="auto" w:fill="auto"/>
            <w:vAlign w:val="center"/>
          </w:tcPr>
          <w:p>
            <w:pPr>
              <w:jc w:val="center"/>
              <w:rPr>
                <w:b/>
                <w:bCs w:val="0"/>
                <w:color w:val="auto"/>
                <w:spacing w:val="-2"/>
                <w:u w:val="single"/>
              </w:rPr>
            </w:pPr>
            <w:r>
              <w:rPr>
                <w:b/>
                <w:bCs w:val="0"/>
                <w:color w:val="auto"/>
                <w:spacing w:val="-2"/>
                <w:u w:val="single"/>
              </w:rPr>
              <w:t>循环水泵</w:t>
            </w:r>
          </w:p>
        </w:tc>
        <w:tc>
          <w:tcPr>
            <w:tcW w:w="1526" w:type="pct"/>
            <w:tcBorders>
              <w:top w:val="nil"/>
            </w:tcBorders>
            <w:shd w:val="clear" w:color="auto" w:fill="auto"/>
            <w:vAlign w:val="center"/>
          </w:tcPr>
          <w:p>
            <w:pPr>
              <w:jc w:val="center"/>
              <w:rPr>
                <w:b/>
                <w:bCs w:val="0"/>
                <w:color w:val="auto"/>
                <w:spacing w:val="-2"/>
                <w:u w:val="single"/>
              </w:rPr>
            </w:pPr>
          </w:p>
        </w:tc>
        <w:tc>
          <w:tcPr>
            <w:tcW w:w="826" w:type="pct"/>
            <w:tcBorders>
              <w:top w:val="nil"/>
            </w:tcBorders>
            <w:shd w:val="clear" w:color="auto" w:fill="auto"/>
            <w:vAlign w:val="center"/>
          </w:tcPr>
          <w:p>
            <w:pPr>
              <w:jc w:val="center"/>
              <w:rPr>
                <w:b/>
                <w:bCs w:val="0"/>
                <w:color w:val="auto"/>
                <w:spacing w:val="-2"/>
                <w:u w:val="single"/>
              </w:rPr>
            </w:pPr>
            <w:r>
              <w:rPr>
                <w:b/>
                <w:bCs w:val="0"/>
                <w:color w:val="auto"/>
                <w:spacing w:val="-2"/>
                <w:u w:val="single"/>
              </w:rPr>
              <w:t>杭州或同等品牌</w:t>
            </w:r>
          </w:p>
        </w:tc>
        <w:tc>
          <w:tcPr>
            <w:tcW w:w="246" w:type="pct"/>
            <w:tcBorders>
              <w:top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top w:val="nil"/>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top w:val="nil"/>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水泵机组</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南方或同等品牌</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仪表配件</w:t>
            </w:r>
          </w:p>
        </w:tc>
        <w:tc>
          <w:tcPr>
            <w:tcW w:w="1526" w:type="pct"/>
            <w:shd w:val="clear" w:color="auto" w:fill="auto"/>
            <w:vAlign w:val="center"/>
          </w:tcPr>
          <w:p>
            <w:pPr>
              <w:jc w:val="center"/>
              <w:rPr>
                <w:b/>
                <w:bCs w:val="0"/>
                <w:color w:val="auto"/>
                <w:spacing w:val="-2"/>
                <w:u w:val="single"/>
              </w:rPr>
            </w:pPr>
            <w:r>
              <w:rPr>
                <w:b/>
                <w:bCs w:val="0"/>
                <w:color w:val="auto"/>
                <w:spacing w:val="-2"/>
                <w:u w:val="single"/>
              </w:rPr>
              <w:t>按需配置</w:t>
            </w:r>
          </w:p>
        </w:tc>
        <w:tc>
          <w:tcPr>
            <w:tcW w:w="826" w:type="pct"/>
            <w:shd w:val="clear" w:color="auto" w:fill="auto"/>
            <w:vAlign w:val="center"/>
          </w:tcPr>
          <w:p>
            <w:pPr>
              <w:jc w:val="center"/>
              <w:rPr>
                <w:b/>
                <w:bCs w:val="0"/>
                <w:color w:val="auto"/>
                <w:spacing w:val="-2"/>
                <w:u w:val="single"/>
              </w:rPr>
            </w:pPr>
            <w:r>
              <w:rPr>
                <w:b/>
                <w:bCs w:val="0"/>
                <w:color w:val="auto"/>
                <w:spacing w:val="-2"/>
                <w:u w:val="single"/>
              </w:rPr>
              <w:t>上仪或同等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管道阀⻔</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南亚/协羽/三厘</w:t>
            </w:r>
          </w:p>
        </w:tc>
        <w:tc>
          <w:tcPr>
            <w:tcW w:w="246" w:type="pct"/>
            <w:shd w:val="clear" w:color="auto" w:fill="auto"/>
            <w:vAlign w:val="center"/>
          </w:tcPr>
          <w:p>
            <w:pPr>
              <w:jc w:val="center"/>
              <w:rPr>
                <w:b/>
                <w:bCs w:val="0"/>
                <w:color w:val="auto"/>
                <w:spacing w:val="-2"/>
                <w:u w:val="single"/>
              </w:rPr>
            </w:pPr>
          </w:p>
        </w:tc>
        <w:tc>
          <w:tcPr>
            <w:tcW w:w="285" w:type="pct"/>
            <w:shd w:val="clear" w:color="auto" w:fill="auto"/>
            <w:vAlign w:val="center"/>
          </w:tcPr>
          <w:p>
            <w:pPr>
              <w:jc w:val="center"/>
              <w:rPr>
                <w:b/>
                <w:bCs w:val="0"/>
                <w:color w:val="auto"/>
                <w:spacing w:val="-2"/>
                <w:u w:val="single"/>
              </w:rPr>
            </w:pP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12</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RO1产</w:t>
            </w:r>
            <w:r>
              <w:rPr>
                <w:rFonts w:hint="eastAsia"/>
                <w:b/>
                <w:bCs w:val="0"/>
                <w:color w:val="auto"/>
                <w:spacing w:val="-2"/>
                <w:u w:val="single"/>
              </w:rPr>
              <w:t>水</w:t>
            </w:r>
            <w:r>
              <w:rPr>
                <w:b/>
                <w:bCs w:val="0"/>
                <w:color w:val="auto"/>
                <w:spacing w:val="-2"/>
                <w:u w:val="single"/>
              </w:rPr>
              <w:t>池</w:t>
            </w:r>
          </w:p>
        </w:tc>
        <w:tc>
          <w:tcPr>
            <w:tcW w:w="773" w:type="pct"/>
            <w:shd w:val="clear" w:color="auto" w:fill="auto"/>
            <w:vAlign w:val="center"/>
          </w:tcPr>
          <w:p>
            <w:pPr>
              <w:jc w:val="center"/>
              <w:rPr>
                <w:b/>
                <w:bCs w:val="0"/>
                <w:color w:val="auto"/>
                <w:spacing w:val="-2"/>
                <w:u w:val="single"/>
              </w:rPr>
            </w:pPr>
            <w:r>
              <w:rPr>
                <w:b/>
                <w:bCs w:val="0"/>
                <w:color w:val="auto"/>
                <w:spacing w:val="-2"/>
                <w:u w:val="single"/>
              </w:rPr>
              <w:t>RO1 产</w:t>
            </w:r>
            <w:r>
              <w:rPr>
                <w:rFonts w:eastAsia="Meiryo"/>
                <w:b/>
                <w:bCs w:val="0"/>
                <w:color w:val="auto"/>
                <w:spacing w:val="-2"/>
                <w:u w:val="single"/>
              </w:rPr>
              <w:t>⽔</w:t>
            </w:r>
            <w:r>
              <w:rPr>
                <w:b/>
                <w:bCs w:val="0"/>
                <w:color w:val="auto"/>
                <w:spacing w:val="-2"/>
                <w:u w:val="single"/>
              </w:rPr>
              <w:t>池</w:t>
            </w:r>
          </w:p>
        </w:tc>
        <w:tc>
          <w:tcPr>
            <w:tcW w:w="1526" w:type="pct"/>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3</w:t>
            </w:r>
            <w:r>
              <w:rPr>
                <w:b/>
                <w:bCs w:val="0"/>
                <w:color w:val="auto"/>
                <w:spacing w:val="-2"/>
                <w:u w:val="single"/>
              </w:rPr>
              <w:t>，PE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级 RO 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Q=34m³/h，H=25m，SUS304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进水辅助系统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13</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脱盐RO1系统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袋式过滤器</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材质，过滤精度 5um，T102</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25.5m</w:t>
            </w:r>
            <w:r>
              <w:rPr>
                <w:b/>
                <w:bCs w:val="0"/>
                <w:color w:val="auto"/>
                <w:spacing w:val="-2"/>
                <w:u w:val="single"/>
                <w:vertAlign w:val="superscript"/>
              </w:rPr>
              <w:t>3</w:t>
            </w:r>
            <w:r>
              <w:rPr>
                <w:b/>
                <w:bCs w:val="0"/>
                <w:color w:val="auto"/>
                <w:spacing w:val="-2"/>
                <w:u w:val="single"/>
              </w:rPr>
              <w:t>/h，8040，脱盐膜</w:t>
            </w:r>
          </w:p>
        </w:tc>
        <w:tc>
          <w:tcPr>
            <w:tcW w:w="826" w:type="pct"/>
            <w:shd w:val="clear" w:color="auto" w:fill="auto"/>
            <w:vAlign w:val="center"/>
          </w:tcPr>
          <w:p>
            <w:pPr>
              <w:jc w:val="center"/>
              <w:rPr>
                <w:b/>
                <w:bCs w:val="0"/>
                <w:color w:val="auto"/>
                <w:spacing w:val="-2"/>
                <w:u w:val="single"/>
              </w:rPr>
            </w:pPr>
            <w:r>
              <w:rPr>
                <w:b/>
                <w:bCs w:val="0"/>
                <w:color w:val="auto"/>
                <w:spacing w:val="-2"/>
                <w:u w:val="single"/>
              </w:rPr>
              <w:t>苏伊士/陶氏/东丽</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反渗透膜壳</w:t>
            </w:r>
          </w:p>
        </w:tc>
        <w:tc>
          <w:tcPr>
            <w:tcW w:w="1526" w:type="pct"/>
            <w:shd w:val="clear" w:color="auto" w:fill="auto"/>
            <w:vAlign w:val="center"/>
          </w:tcPr>
          <w:p>
            <w:pPr>
              <w:jc w:val="center"/>
              <w:rPr>
                <w:b/>
                <w:bCs w:val="0"/>
                <w:color w:val="auto"/>
                <w:spacing w:val="-2"/>
                <w:u w:val="single"/>
              </w:rPr>
            </w:pPr>
            <w:r>
              <w:rPr>
                <w:b/>
                <w:bCs w:val="0"/>
                <w:color w:val="auto"/>
                <w:spacing w:val="-2"/>
                <w:u w:val="single"/>
              </w:rPr>
              <w:t>80160，FRP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丰汭/FirstLine</w:t>
            </w:r>
          </w:p>
        </w:tc>
        <w:tc>
          <w:tcPr>
            <w:tcW w:w="246" w:type="pct"/>
            <w:shd w:val="clear" w:color="auto" w:fill="auto"/>
            <w:vAlign w:val="center"/>
          </w:tcPr>
          <w:p>
            <w:pPr>
              <w:jc w:val="center"/>
              <w:rPr>
                <w:b/>
                <w:bCs w:val="0"/>
                <w:color w:val="auto"/>
                <w:spacing w:val="-2"/>
                <w:u w:val="single"/>
              </w:rPr>
            </w:pPr>
            <w:r>
              <w:rPr>
                <w:b/>
                <w:bCs w:val="0"/>
                <w:color w:val="auto"/>
                <w:spacing w:val="-2"/>
                <w:u w:val="single"/>
              </w:rPr>
              <w:t>支</w:t>
            </w:r>
          </w:p>
        </w:tc>
        <w:tc>
          <w:tcPr>
            <w:tcW w:w="285" w:type="pct"/>
            <w:shd w:val="clear" w:color="auto" w:fill="auto"/>
            <w:vAlign w:val="center"/>
          </w:tcPr>
          <w:p>
            <w:pPr>
              <w:jc w:val="center"/>
              <w:rPr>
                <w:b/>
                <w:bCs w:val="0"/>
                <w:color w:val="auto"/>
                <w:spacing w:val="-2"/>
                <w:u w:val="single"/>
              </w:rPr>
            </w:pPr>
            <w:r>
              <w:rPr>
                <w:b/>
                <w:bCs w:val="0"/>
                <w:color w:val="auto"/>
                <w:spacing w:val="-2"/>
                <w:u w:val="single"/>
              </w:rPr>
              <w:t>5</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反渗透机架</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面板式压</w:t>
            </w:r>
            <w:r>
              <w:rPr>
                <w:rFonts w:hint="eastAsia"/>
                <w:b/>
                <w:bCs w:val="0"/>
                <w:color w:val="auto"/>
                <w:spacing w:val="-2"/>
                <w:u w:val="single"/>
              </w:rPr>
              <w:t>力</w:t>
            </w:r>
            <w:r>
              <w:rPr>
                <w:b/>
                <w:bCs w:val="0"/>
                <w:color w:val="auto"/>
                <w:spacing w:val="-2"/>
                <w:u w:val="single"/>
              </w:rPr>
              <w:t>表</w:t>
            </w:r>
          </w:p>
        </w:tc>
        <w:tc>
          <w:tcPr>
            <w:tcW w:w="1526" w:type="pct"/>
            <w:shd w:val="clear" w:color="auto" w:fill="auto"/>
            <w:vAlign w:val="center"/>
          </w:tcPr>
          <w:p>
            <w:pPr>
              <w:jc w:val="center"/>
              <w:rPr>
                <w:b/>
                <w:bCs w:val="0"/>
                <w:color w:val="auto"/>
                <w:spacing w:val="-2"/>
                <w:u w:val="single"/>
              </w:rPr>
            </w:pPr>
            <w:r>
              <w:rPr>
                <w:b/>
                <w:bCs w:val="0"/>
                <w:color w:val="auto"/>
                <w:spacing w:val="-2"/>
                <w:u w:val="single"/>
              </w:rPr>
              <w:t>0-1.0MPa，0-2.5MPa</w:t>
            </w:r>
          </w:p>
        </w:tc>
        <w:tc>
          <w:tcPr>
            <w:tcW w:w="826" w:type="pct"/>
            <w:shd w:val="clear" w:color="auto" w:fill="auto"/>
            <w:vAlign w:val="center"/>
          </w:tcPr>
          <w:p>
            <w:pPr>
              <w:jc w:val="center"/>
              <w:rPr>
                <w:b/>
                <w:bCs w:val="0"/>
                <w:color w:val="auto"/>
                <w:spacing w:val="-2"/>
                <w:u w:val="single"/>
              </w:rPr>
            </w:pPr>
            <w:r>
              <w:rPr>
                <w:b/>
                <w:bCs w:val="0"/>
                <w:color w:val="auto"/>
                <w:spacing w:val="-2"/>
                <w:u w:val="single"/>
              </w:rPr>
              <w:t>布莱迪/先锋</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低压管路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UPVC，PN10</w:t>
            </w:r>
          </w:p>
        </w:tc>
        <w:tc>
          <w:tcPr>
            <w:tcW w:w="826" w:type="pct"/>
            <w:shd w:val="clear" w:color="auto" w:fill="auto"/>
            <w:vAlign w:val="center"/>
          </w:tcPr>
          <w:p>
            <w:pPr>
              <w:jc w:val="center"/>
              <w:rPr>
                <w:b/>
                <w:bCs w:val="0"/>
                <w:color w:val="auto"/>
                <w:spacing w:val="-2"/>
                <w:u w:val="single"/>
              </w:rPr>
            </w:pPr>
            <w:r>
              <w:rPr>
                <w:b/>
                <w:bCs w:val="0"/>
                <w:color w:val="auto"/>
                <w:spacing w:val="-2"/>
                <w:u w:val="single"/>
              </w:rPr>
              <w:t>协羽</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Q=34m</w:t>
            </w:r>
            <w:r>
              <w:rPr>
                <w:b/>
                <w:bCs w:val="0"/>
                <w:color w:val="auto"/>
                <w:spacing w:val="-2"/>
                <w:u w:val="single"/>
                <w:vertAlign w:val="superscript"/>
              </w:rPr>
              <w:t>3</w:t>
            </w:r>
            <w:r>
              <w:rPr>
                <w:b/>
                <w:bCs w:val="0"/>
                <w:color w:val="auto"/>
                <w:spacing w:val="-2"/>
                <w:u w:val="single"/>
              </w:rPr>
              <w:t>/h，H=140m，SUS304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w:t>
            </w:r>
            <w:r>
              <w:rPr>
                <w:rFonts w:eastAsia="Meiryo"/>
                <w:b/>
                <w:bCs w:val="0"/>
                <w:color w:val="auto"/>
                <w:spacing w:val="-2"/>
                <w:u w:val="single"/>
              </w:rPr>
              <w:t>⽅</w:t>
            </w:r>
            <w:r>
              <w:rPr>
                <w:b/>
                <w:bCs w:val="0"/>
                <w:color w:val="auto"/>
                <w:spacing w:val="-2"/>
                <w:u w:val="single"/>
              </w:rPr>
              <w:t>/南元泵业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循环泵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Q=70m</w:t>
            </w:r>
            <w:r>
              <w:rPr>
                <w:b/>
                <w:bCs w:val="0"/>
                <w:color w:val="auto"/>
                <w:spacing w:val="-2"/>
                <w:u w:val="single"/>
                <w:vertAlign w:val="superscript"/>
              </w:rPr>
              <w:t>3</w:t>
            </w:r>
            <w:r>
              <w:rPr>
                <w:b/>
                <w:bCs w:val="0"/>
                <w:color w:val="auto"/>
                <w:spacing w:val="-2"/>
                <w:u w:val="single"/>
              </w:rPr>
              <w:t>/h，H=30m，SUS304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w:t>
            </w:r>
            <w:r>
              <w:rPr>
                <w:rFonts w:eastAsia="Meiryo"/>
                <w:b/>
                <w:bCs w:val="0"/>
                <w:color w:val="auto"/>
                <w:spacing w:val="-2"/>
                <w:u w:val="single"/>
              </w:rPr>
              <w:t>⽅</w:t>
            </w:r>
            <w:r>
              <w:rPr>
                <w:b/>
                <w:bCs w:val="0"/>
                <w:color w:val="auto"/>
                <w:spacing w:val="-2"/>
                <w:u w:val="single"/>
              </w:rPr>
              <w:t>/南元泵业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w:t>
            </w:r>
            <w:r>
              <w:rPr>
                <w:rFonts w:eastAsia="Meiryo"/>
                <w:b/>
                <w:bCs w:val="0"/>
                <w:color w:val="auto"/>
                <w:spacing w:val="-2"/>
                <w:u w:val="single"/>
              </w:rPr>
              <w:t>⾼</w:t>
            </w:r>
            <w:r>
              <w:rPr>
                <w:b/>
                <w:bCs w:val="0"/>
                <w:color w:val="auto"/>
                <w:spacing w:val="-2"/>
                <w:u w:val="single"/>
              </w:rPr>
              <w:t>压泵</w:t>
            </w:r>
          </w:p>
        </w:tc>
        <w:tc>
          <w:tcPr>
            <w:tcW w:w="826" w:type="pct"/>
            <w:shd w:val="clear" w:color="auto" w:fill="auto"/>
            <w:vAlign w:val="center"/>
          </w:tcPr>
          <w:p>
            <w:pPr>
              <w:jc w:val="center"/>
              <w:rPr>
                <w:b/>
                <w:bCs w:val="0"/>
                <w:color w:val="auto"/>
                <w:spacing w:val="-2"/>
                <w:u w:val="single"/>
              </w:rPr>
            </w:pPr>
            <w:r>
              <w:rPr>
                <w:b/>
                <w:bCs w:val="0"/>
                <w:color w:val="auto"/>
                <w:spacing w:val="-2"/>
                <w:u w:val="single"/>
              </w:rPr>
              <w:t>三菱/西门子</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保护开关</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w:t>
            </w:r>
          </w:p>
        </w:tc>
        <w:tc>
          <w:tcPr>
            <w:tcW w:w="826" w:type="pct"/>
            <w:shd w:val="clear" w:color="auto" w:fill="auto"/>
            <w:vAlign w:val="center"/>
          </w:tcPr>
          <w:p>
            <w:pPr>
              <w:jc w:val="center"/>
              <w:rPr>
                <w:b/>
                <w:bCs w:val="0"/>
                <w:color w:val="auto"/>
                <w:spacing w:val="-2"/>
                <w:u w:val="single"/>
              </w:rPr>
            </w:pPr>
            <w:r>
              <w:rPr>
                <w:b/>
                <w:bCs w:val="0"/>
                <w:color w:val="auto"/>
                <w:spacing w:val="-2"/>
                <w:u w:val="single"/>
              </w:rPr>
              <w:t>UE/BD</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塑料转子流量计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rFonts w:eastAsia="Meiryo"/>
                <w:b/>
                <w:bCs w:val="0"/>
                <w:color w:val="auto"/>
                <w:spacing w:val="-2"/>
                <w:u w:val="single"/>
              </w:rPr>
              <w:t>⾃</w:t>
            </w:r>
            <w:r>
              <w:rPr>
                <w:b/>
                <w:bCs w:val="0"/>
                <w:color w:val="auto"/>
                <w:spacing w:val="-2"/>
                <w:u w:val="single"/>
              </w:rPr>
              <w:t>动阀</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电动</w:t>
            </w:r>
          </w:p>
        </w:tc>
        <w:tc>
          <w:tcPr>
            <w:tcW w:w="826" w:type="pct"/>
            <w:shd w:val="clear" w:color="auto" w:fill="auto"/>
            <w:vAlign w:val="center"/>
          </w:tcPr>
          <w:p>
            <w:pPr>
              <w:jc w:val="center"/>
              <w:rPr>
                <w:b/>
                <w:bCs w:val="0"/>
                <w:color w:val="auto"/>
                <w:spacing w:val="-2"/>
                <w:u w:val="single"/>
              </w:rPr>
            </w:pPr>
            <w:r>
              <w:rPr>
                <w:b/>
                <w:bCs w:val="0"/>
                <w:color w:val="auto"/>
                <w:spacing w:val="-2"/>
                <w:u w:val="single"/>
              </w:rPr>
              <w:t>意</w:t>
            </w:r>
            <w:r>
              <w:rPr>
                <w:rFonts w:eastAsia="Meiryo"/>
                <w:b/>
                <w:bCs w:val="0"/>
                <w:color w:val="auto"/>
                <w:spacing w:val="-2"/>
                <w:u w:val="single"/>
              </w:rPr>
              <w:t>⼤</w:t>
            </w:r>
            <w:r>
              <w:rPr>
                <w:b/>
                <w:bCs w:val="0"/>
                <w:color w:val="auto"/>
                <w:spacing w:val="-2"/>
                <w:u w:val="single"/>
              </w:rPr>
              <w:t>利 FLOWX</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在线流量计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美仪/创新</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tcBorders>
            <w:shd w:val="clear" w:color="auto" w:fill="auto"/>
            <w:vAlign w:val="center"/>
          </w:tcPr>
          <w:p>
            <w:pPr>
              <w:jc w:val="center"/>
              <w:rPr>
                <w:b/>
                <w:bCs w:val="0"/>
                <w:color w:val="auto"/>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电导率</w:t>
            </w:r>
          </w:p>
        </w:tc>
        <w:tc>
          <w:tcPr>
            <w:tcW w:w="1526" w:type="pct"/>
            <w:shd w:val="clear" w:color="auto" w:fill="auto"/>
            <w:vAlign w:val="center"/>
          </w:tcPr>
          <w:p>
            <w:pPr>
              <w:jc w:val="center"/>
              <w:rPr>
                <w:b/>
                <w:bCs w:val="0"/>
                <w:color w:val="auto"/>
                <w:spacing w:val="-2"/>
                <w:u w:val="single"/>
              </w:rPr>
            </w:pPr>
            <w:r>
              <w:rPr>
                <w:b/>
                <w:bCs w:val="0"/>
                <w:color w:val="auto"/>
                <w:spacing w:val="-2"/>
                <w:u w:val="single"/>
              </w:rPr>
              <w:t>2000us/cm，在线</w:t>
            </w:r>
          </w:p>
        </w:tc>
        <w:tc>
          <w:tcPr>
            <w:tcW w:w="826" w:type="pct"/>
            <w:shd w:val="clear" w:color="auto" w:fill="auto"/>
            <w:vAlign w:val="center"/>
          </w:tcPr>
          <w:p>
            <w:pPr>
              <w:jc w:val="center"/>
              <w:rPr>
                <w:b/>
                <w:bCs w:val="0"/>
                <w:color w:val="auto"/>
                <w:spacing w:val="-2"/>
                <w:u w:val="single"/>
              </w:rPr>
            </w:pPr>
            <w:r>
              <w:rPr>
                <w:b/>
                <w:bCs w:val="0"/>
                <w:color w:val="auto"/>
                <w:spacing w:val="-2"/>
                <w:u w:val="single"/>
              </w:rPr>
              <w:t>ROC/SUNTEX</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jc w:val="center"/>
        </w:trPr>
        <w:tc>
          <w:tcPr>
            <w:tcW w:w="279" w:type="pct"/>
            <w:vMerge w:val="restart"/>
            <w:shd w:val="clear" w:color="auto" w:fill="auto"/>
            <w:vAlign w:val="center"/>
          </w:tcPr>
          <w:p>
            <w:pPr>
              <w:jc w:val="center"/>
              <w:rPr>
                <w:b/>
                <w:bCs w:val="0"/>
                <w:color w:val="auto"/>
                <w:u w:val="single"/>
              </w:rPr>
            </w:pPr>
            <w:r>
              <w:rPr>
                <w:b/>
                <w:bCs w:val="0"/>
                <w:color w:val="auto"/>
                <w:spacing w:val="-11"/>
                <w:u w:val="single"/>
              </w:rPr>
              <w:t>1</w:t>
            </w:r>
            <w:r>
              <w:rPr>
                <w:b/>
                <w:bCs w:val="0"/>
                <w:color w:val="auto"/>
                <w:spacing w:val="-9"/>
                <w:u w:val="single"/>
              </w:rPr>
              <w:t>4</w:t>
            </w:r>
          </w:p>
        </w:tc>
        <w:tc>
          <w:tcPr>
            <w:tcW w:w="516" w:type="pct"/>
            <w:vMerge w:val="restart"/>
            <w:shd w:val="clear" w:color="auto" w:fill="auto"/>
            <w:vAlign w:val="center"/>
          </w:tcPr>
          <w:p>
            <w:pPr>
              <w:jc w:val="center"/>
              <w:rPr>
                <w:b/>
                <w:bCs w:val="0"/>
                <w:color w:val="auto"/>
                <w:spacing w:val="-2"/>
                <w:u w:val="single"/>
              </w:rPr>
            </w:pPr>
            <w:r>
              <w:rPr>
                <w:b/>
                <w:bCs w:val="0"/>
                <w:color w:val="auto"/>
                <w:spacing w:val="-2"/>
                <w:u w:val="single"/>
              </w:rPr>
              <w:t>脱盐 RO1 产水箱</w:t>
            </w:r>
          </w:p>
        </w:tc>
        <w:tc>
          <w:tcPr>
            <w:tcW w:w="773"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产水箱</w:t>
            </w:r>
          </w:p>
        </w:tc>
        <w:tc>
          <w:tcPr>
            <w:tcW w:w="152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3</w:t>
            </w:r>
            <w:r>
              <w:rPr>
                <w:b/>
                <w:bCs w:val="0"/>
                <w:color w:val="auto"/>
                <w:spacing w:val="-2"/>
                <w:u w:val="single"/>
              </w:rPr>
              <w:t>，PE 材质</w:t>
            </w:r>
          </w:p>
        </w:tc>
        <w:tc>
          <w:tcPr>
            <w:tcW w:w="82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tcBorders>
              <w:bottom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1</w:t>
            </w:r>
          </w:p>
        </w:tc>
        <w:tc>
          <w:tcPr>
            <w:tcW w:w="545" w:type="pct"/>
            <w:tcBorders>
              <w:bottom w:val="single" w:color="000000" w:sz="2" w:space="0"/>
            </w:tcBorders>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回用水泵</w:t>
            </w:r>
          </w:p>
        </w:tc>
        <w:tc>
          <w:tcPr>
            <w:tcW w:w="152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Q=10m</w:t>
            </w:r>
            <w:r>
              <w:rPr>
                <w:b/>
                <w:bCs w:val="0"/>
                <w:color w:val="auto"/>
                <w:spacing w:val="-2"/>
                <w:u w:val="single"/>
                <w:vertAlign w:val="superscript"/>
              </w:rPr>
              <w:t>3</w:t>
            </w:r>
            <w:r>
              <w:rPr>
                <w:b/>
                <w:bCs w:val="0"/>
                <w:color w:val="auto"/>
                <w:spacing w:val="-2"/>
                <w:u w:val="single"/>
              </w:rPr>
              <w:t>/h，H=40m，SUS304 材 质</w:t>
            </w:r>
          </w:p>
        </w:tc>
        <w:tc>
          <w:tcPr>
            <w:tcW w:w="82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2</w:t>
            </w:r>
          </w:p>
        </w:tc>
        <w:tc>
          <w:tcPr>
            <w:tcW w:w="545" w:type="pct"/>
            <w:tcBorders>
              <w:top w:val="single" w:color="000000" w:sz="2" w:space="0"/>
            </w:tcBorders>
            <w:shd w:val="clear" w:color="auto" w:fill="auto"/>
            <w:vAlign w:val="center"/>
          </w:tcPr>
          <w:p>
            <w:pPr>
              <w:jc w:val="center"/>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提升泵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Q=20m</w:t>
            </w:r>
            <w:r>
              <w:rPr>
                <w:b/>
                <w:bCs w:val="0"/>
                <w:color w:val="auto"/>
                <w:spacing w:val="-2"/>
                <w:u w:val="single"/>
                <w:vertAlign w:val="superscript"/>
              </w:rPr>
              <w:t>3</w:t>
            </w:r>
            <w:r>
              <w:rPr>
                <w:b/>
                <w:bCs w:val="0"/>
                <w:color w:val="auto"/>
                <w:spacing w:val="-2"/>
                <w:u w:val="single"/>
              </w:rPr>
              <w:t>/h，H=30m，SUS304 材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both"/>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压力传感器</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DANFOSS</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配套提升泵</w:t>
            </w:r>
          </w:p>
        </w:tc>
        <w:tc>
          <w:tcPr>
            <w:tcW w:w="826" w:type="pct"/>
            <w:shd w:val="clear" w:color="auto" w:fill="auto"/>
            <w:vAlign w:val="center"/>
          </w:tcPr>
          <w:p>
            <w:pPr>
              <w:jc w:val="center"/>
              <w:rPr>
                <w:b/>
                <w:bCs w:val="0"/>
                <w:color w:val="auto"/>
                <w:spacing w:val="-2"/>
                <w:u w:val="single"/>
              </w:rPr>
            </w:pPr>
            <w:r>
              <w:rPr>
                <w:b/>
                <w:bCs w:val="0"/>
                <w:color w:val="auto"/>
                <w:spacing w:val="-2"/>
                <w:u w:val="single"/>
              </w:rPr>
              <w:t>三菱/西门子</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进水辅助系统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1" w:hRule="atLeast"/>
          <w:jc w:val="center"/>
        </w:trPr>
        <w:tc>
          <w:tcPr>
            <w:tcW w:w="279"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15</w:t>
            </w:r>
          </w:p>
        </w:tc>
        <w:tc>
          <w:tcPr>
            <w:tcW w:w="516" w:type="pct"/>
            <w:vMerge w:val="restart"/>
            <w:tcBorders>
              <w:bottom w:val="nil"/>
            </w:tcBorders>
            <w:shd w:val="clear" w:color="auto" w:fill="auto"/>
            <w:vAlign w:val="center"/>
          </w:tcPr>
          <w:p>
            <w:pPr>
              <w:jc w:val="center"/>
              <w:rPr>
                <w:b/>
                <w:bCs w:val="0"/>
                <w:color w:val="auto"/>
                <w:spacing w:val="-2"/>
                <w:u w:val="single"/>
              </w:rPr>
            </w:pPr>
            <w:r>
              <w:rPr>
                <w:b/>
                <w:bCs w:val="0"/>
                <w:color w:val="auto"/>
                <w:spacing w:val="-2"/>
                <w:u w:val="single"/>
              </w:rPr>
              <w:t>脱盐RO2 系统</w:t>
            </w:r>
          </w:p>
        </w:tc>
        <w:tc>
          <w:tcPr>
            <w:tcW w:w="773" w:type="pct"/>
            <w:shd w:val="clear" w:color="auto" w:fill="auto"/>
            <w:vAlign w:val="center"/>
          </w:tcPr>
          <w:p>
            <w:pPr>
              <w:jc w:val="center"/>
              <w:rPr>
                <w:b/>
                <w:bCs w:val="0"/>
                <w:color w:val="auto"/>
                <w:spacing w:val="-2"/>
                <w:u w:val="single"/>
              </w:rPr>
            </w:pPr>
            <w:r>
              <w:rPr>
                <w:b/>
                <w:bCs w:val="0"/>
                <w:color w:val="auto"/>
                <w:spacing w:val="-2"/>
                <w:u w:val="single"/>
              </w:rPr>
              <w:t>袋式过滤器</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  过滤精度 5um，T102</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16m</w:t>
            </w:r>
            <w:r>
              <w:rPr>
                <w:b/>
                <w:bCs w:val="0"/>
                <w:color w:val="auto"/>
                <w:spacing w:val="-2"/>
                <w:u w:val="single"/>
                <w:vertAlign w:val="superscript"/>
              </w:rPr>
              <w:t>3</w:t>
            </w:r>
            <w:r>
              <w:rPr>
                <w:b/>
                <w:bCs w:val="0"/>
                <w:color w:val="auto"/>
                <w:spacing w:val="-2"/>
                <w:u w:val="single"/>
              </w:rPr>
              <w:t>/h，8040，脱盐膜</w:t>
            </w:r>
          </w:p>
        </w:tc>
        <w:tc>
          <w:tcPr>
            <w:tcW w:w="826" w:type="pct"/>
            <w:shd w:val="clear" w:color="auto" w:fill="auto"/>
            <w:vAlign w:val="center"/>
          </w:tcPr>
          <w:p>
            <w:pPr>
              <w:jc w:val="center"/>
              <w:rPr>
                <w:b/>
                <w:bCs w:val="0"/>
                <w:color w:val="auto"/>
                <w:spacing w:val="-2"/>
                <w:u w:val="single"/>
              </w:rPr>
            </w:pPr>
            <w:r>
              <w:rPr>
                <w:b/>
                <w:bCs w:val="0"/>
                <w:color w:val="auto"/>
                <w:spacing w:val="-2"/>
                <w:u w:val="single"/>
              </w:rPr>
              <w:t>苏伊士/陶氏/东丽</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反渗透膜壳</w:t>
            </w:r>
          </w:p>
        </w:tc>
        <w:tc>
          <w:tcPr>
            <w:tcW w:w="1526" w:type="pct"/>
            <w:shd w:val="clear" w:color="auto" w:fill="auto"/>
            <w:vAlign w:val="center"/>
          </w:tcPr>
          <w:p>
            <w:pPr>
              <w:jc w:val="center"/>
              <w:rPr>
                <w:b/>
                <w:bCs w:val="0"/>
                <w:color w:val="auto"/>
                <w:spacing w:val="-2"/>
                <w:u w:val="single"/>
              </w:rPr>
            </w:pPr>
            <w:r>
              <w:rPr>
                <w:b/>
                <w:bCs w:val="0"/>
                <w:color w:val="auto"/>
                <w:spacing w:val="-2"/>
                <w:u w:val="single"/>
              </w:rPr>
              <w:t>80160，FRP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丰汭/FirstLine</w:t>
            </w:r>
          </w:p>
        </w:tc>
        <w:tc>
          <w:tcPr>
            <w:tcW w:w="246" w:type="pct"/>
            <w:shd w:val="clear" w:color="auto" w:fill="auto"/>
            <w:vAlign w:val="center"/>
          </w:tcPr>
          <w:p>
            <w:pPr>
              <w:jc w:val="center"/>
              <w:rPr>
                <w:b/>
                <w:bCs w:val="0"/>
                <w:color w:val="auto"/>
                <w:spacing w:val="-2"/>
                <w:u w:val="single"/>
              </w:rPr>
            </w:pPr>
            <w:r>
              <w:rPr>
                <w:rFonts w:hint="eastAsia"/>
                <w:b/>
                <w:bCs w:val="0"/>
                <w:color w:val="auto"/>
                <w:spacing w:val="-2"/>
                <w:u w:val="single"/>
              </w:rPr>
              <w:t>支</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反渗透机架</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r>
              <w:rPr>
                <w:b/>
                <w:bCs w:val="0"/>
                <w:color w:val="auto"/>
                <w:spacing w:val="-2"/>
                <w:u w:val="single"/>
              </w:rPr>
              <w:t>与脱盐 RO1 共用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面板式压力表</w:t>
            </w:r>
          </w:p>
        </w:tc>
        <w:tc>
          <w:tcPr>
            <w:tcW w:w="1526" w:type="pct"/>
            <w:shd w:val="clear" w:color="auto" w:fill="auto"/>
            <w:vAlign w:val="center"/>
          </w:tcPr>
          <w:p>
            <w:pPr>
              <w:jc w:val="center"/>
              <w:rPr>
                <w:b/>
                <w:bCs w:val="0"/>
                <w:color w:val="auto"/>
                <w:spacing w:val="-2"/>
                <w:u w:val="single"/>
              </w:rPr>
            </w:pPr>
            <w:r>
              <w:rPr>
                <w:b/>
                <w:bCs w:val="0"/>
                <w:color w:val="auto"/>
                <w:spacing w:val="-2"/>
                <w:u w:val="single"/>
              </w:rPr>
              <w:t>0-1.0MPa，0-2.5MPa</w:t>
            </w:r>
          </w:p>
        </w:tc>
        <w:tc>
          <w:tcPr>
            <w:tcW w:w="826" w:type="pct"/>
            <w:shd w:val="clear" w:color="auto" w:fill="auto"/>
            <w:vAlign w:val="center"/>
          </w:tcPr>
          <w:p>
            <w:pPr>
              <w:jc w:val="center"/>
              <w:rPr>
                <w:b/>
                <w:bCs w:val="0"/>
                <w:color w:val="auto"/>
                <w:spacing w:val="-2"/>
                <w:u w:val="single"/>
              </w:rPr>
            </w:pPr>
            <w:r>
              <w:rPr>
                <w:b/>
                <w:bCs w:val="0"/>
                <w:color w:val="auto"/>
                <w:spacing w:val="-2"/>
                <w:u w:val="single"/>
              </w:rPr>
              <w:t>布莱迪/先锋</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低压管路</w:t>
            </w:r>
          </w:p>
        </w:tc>
        <w:tc>
          <w:tcPr>
            <w:tcW w:w="1526" w:type="pct"/>
            <w:shd w:val="clear" w:color="auto" w:fill="auto"/>
            <w:vAlign w:val="center"/>
          </w:tcPr>
          <w:p>
            <w:pPr>
              <w:jc w:val="center"/>
              <w:rPr>
                <w:b/>
                <w:bCs w:val="0"/>
                <w:color w:val="auto"/>
                <w:spacing w:val="-2"/>
                <w:u w:val="single"/>
              </w:rPr>
            </w:pPr>
            <w:r>
              <w:rPr>
                <w:b/>
                <w:bCs w:val="0"/>
                <w:color w:val="auto"/>
                <w:spacing w:val="-2"/>
                <w:u w:val="single"/>
              </w:rPr>
              <w:t>UPVC，PN10</w:t>
            </w:r>
          </w:p>
        </w:tc>
        <w:tc>
          <w:tcPr>
            <w:tcW w:w="826" w:type="pct"/>
            <w:shd w:val="clear" w:color="auto" w:fill="auto"/>
            <w:vAlign w:val="center"/>
          </w:tcPr>
          <w:p>
            <w:pPr>
              <w:jc w:val="center"/>
              <w:rPr>
                <w:b/>
                <w:bCs w:val="0"/>
                <w:color w:val="auto"/>
                <w:spacing w:val="-2"/>
                <w:u w:val="single"/>
              </w:rPr>
            </w:pPr>
            <w:r>
              <w:rPr>
                <w:b/>
                <w:bCs w:val="0"/>
                <w:color w:val="auto"/>
                <w:spacing w:val="-2"/>
                <w:u w:val="single"/>
              </w:rPr>
              <w:t>协羽</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高压泵</w:t>
            </w:r>
          </w:p>
        </w:tc>
        <w:tc>
          <w:tcPr>
            <w:tcW w:w="1526" w:type="pct"/>
            <w:shd w:val="clear" w:color="auto" w:fill="auto"/>
            <w:vAlign w:val="center"/>
          </w:tcPr>
          <w:p>
            <w:pPr>
              <w:jc w:val="center"/>
              <w:rPr>
                <w:b/>
                <w:bCs w:val="0"/>
                <w:color w:val="auto"/>
                <w:spacing w:val="-2"/>
                <w:u w:val="single"/>
              </w:rPr>
            </w:pPr>
            <w:r>
              <w:rPr>
                <w:b/>
                <w:bCs w:val="0"/>
                <w:color w:val="auto"/>
                <w:spacing w:val="-2"/>
                <w:u w:val="single"/>
              </w:rPr>
              <w:t>Q=20m</w:t>
            </w:r>
            <w:r>
              <w:rPr>
                <w:b/>
                <w:bCs w:val="0"/>
                <w:color w:val="auto"/>
                <w:spacing w:val="-2"/>
                <w:u w:val="single"/>
                <w:vertAlign w:val="superscript"/>
              </w:rPr>
              <w:t>3</w:t>
            </w:r>
            <w:r>
              <w:rPr>
                <w:b/>
                <w:bCs w:val="0"/>
                <w:color w:val="auto"/>
                <w:spacing w:val="-2"/>
                <w:u w:val="single"/>
              </w:rPr>
              <w:t>/h，H=120m，SUS304 质</w:t>
            </w:r>
          </w:p>
        </w:tc>
        <w:tc>
          <w:tcPr>
            <w:tcW w:w="826" w:type="pct"/>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配套高压泵</w:t>
            </w:r>
          </w:p>
        </w:tc>
        <w:tc>
          <w:tcPr>
            <w:tcW w:w="826" w:type="pct"/>
            <w:shd w:val="clear" w:color="auto" w:fill="auto"/>
            <w:vAlign w:val="center"/>
          </w:tcPr>
          <w:p>
            <w:pPr>
              <w:jc w:val="center"/>
              <w:rPr>
                <w:b/>
                <w:bCs w:val="0"/>
                <w:color w:val="auto"/>
                <w:spacing w:val="-2"/>
                <w:u w:val="single"/>
              </w:rPr>
            </w:pPr>
            <w:r>
              <w:rPr>
                <w:b/>
                <w:bCs w:val="0"/>
                <w:color w:val="auto"/>
                <w:spacing w:val="-2"/>
                <w:u w:val="single"/>
              </w:rPr>
              <w:t>三菱/西门子</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保护开关</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w:t>
            </w:r>
          </w:p>
        </w:tc>
        <w:tc>
          <w:tcPr>
            <w:tcW w:w="826" w:type="pct"/>
            <w:shd w:val="clear" w:color="auto" w:fill="auto"/>
            <w:vAlign w:val="center"/>
          </w:tcPr>
          <w:p>
            <w:pPr>
              <w:jc w:val="center"/>
              <w:rPr>
                <w:b/>
                <w:bCs w:val="0"/>
                <w:color w:val="auto"/>
                <w:spacing w:val="-2"/>
                <w:u w:val="single"/>
              </w:rPr>
            </w:pPr>
            <w:r>
              <w:rPr>
                <w:b/>
                <w:bCs w:val="0"/>
                <w:color w:val="auto"/>
                <w:spacing w:val="-2"/>
                <w:u w:val="single"/>
              </w:rPr>
              <w:t>UE/BD</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塑料转子流量计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3</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自动阀</w:t>
            </w:r>
          </w:p>
        </w:tc>
        <w:tc>
          <w:tcPr>
            <w:tcW w:w="1526" w:type="pct"/>
            <w:shd w:val="clear" w:color="auto" w:fill="auto"/>
            <w:vAlign w:val="center"/>
          </w:tcPr>
          <w:p>
            <w:pPr>
              <w:jc w:val="center"/>
              <w:rPr>
                <w:b/>
                <w:bCs w:val="0"/>
                <w:color w:val="auto"/>
                <w:spacing w:val="-2"/>
                <w:u w:val="single"/>
              </w:rPr>
            </w:pPr>
            <w:r>
              <w:rPr>
                <w:b/>
                <w:bCs w:val="0"/>
                <w:color w:val="auto"/>
                <w:spacing w:val="-2"/>
                <w:u w:val="single"/>
              </w:rPr>
              <w:t>SUS304 材质，电动</w:t>
            </w:r>
          </w:p>
        </w:tc>
        <w:tc>
          <w:tcPr>
            <w:tcW w:w="826" w:type="pct"/>
            <w:shd w:val="clear" w:color="auto" w:fill="auto"/>
            <w:vAlign w:val="center"/>
          </w:tcPr>
          <w:p>
            <w:pPr>
              <w:jc w:val="center"/>
              <w:rPr>
                <w:b/>
                <w:bCs w:val="0"/>
                <w:color w:val="auto"/>
                <w:spacing w:val="-2"/>
                <w:u w:val="single"/>
              </w:rPr>
            </w:pPr>
            <w:r>
              <w:rPr>
                <w:b/>
                <w:bCs w:val="0"/>
                <w:color w:val="auto"/>
                <w:spacing w:val="-2"/>
                <w:u w:val="single"/>
              </w:rPr>
              <w:t>意大利 FLOWX</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279" w:type="pct"/>
            <w:vMerge w:val="continue"/>
            <w:tcBorders>
              <w:top w:val="nil"/>
              <w:bottom w:val="nil"/>
            </w:tcBorders>
            <w:shd w:val="clear" w:color="auto" w:fill="auto"/>
            <w:vAlign w:val="center"/>
          </w:tcPr>
          <w:p>
            <w:pPr>
              <w:jc w:val="center"/>
              <w:rPr>
                <w:b/>
                <w:bCs w:val="0"/>
                <w:color w:val="auto"/>
                <w:spacing w:val="-2"/>
                <w:u w:val="single"/>
              </w:rPr>
            </w:pPr>
          </w:p>
        </w:tc>
        <w:tc>
          <w:tcPr>
            <w:tcW w:w="516" w:type="pct"/>
            <w:vMerge w:val="continue"/>
            <w:tcBorders>
              <w:top w:val="nil"/>
              <w:bottom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在线流量计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4-20mA</w:t>
            </w:r>
          </w:p>
        </w:tc>
        <w:tc>
          <w:tcPr>
            <w:tcW w:w="826" w:type="pct"/>
            <w:shd w:val="clear" w:color="auto" w:fill="auto"/>
            <w:vAlign w:val="center"/>
          </w:tcPr>
          <w:p>
            <w:pPr>
              <w:jc w:val="center"/>
              <w:rPr>
                <w:b/>
                <w:bCs w:val="0"/>
                <w:color w:val="auto"/>
                <w:spacing w:val="-2"/>
                <w:u w:val="single"/>
              </w:rPr>
            </w:pPr>
            <w:r>
              <w:rPr>
                <w:b/>
                <w:bCs w:val="0"/>
                <w:color w:val="auto"/>
                <w:spacing w:val="-2"/>
                <w:u w:val="single"/>
              </w:rPr>
              <w:t>美仪/创新</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tcBorders>
              <w:top w:val="nil"/>
            </w:tcBorders>
            <w:shd w:val="clear" w:color="auto" w:fill="auto"/>
            <w:vAlign w:val="center"/>
          </w:tcPr>
          <w:p>
            <w:pPr>
              <w:jc w:val="center"/>
              <w:rPr>
                <w:b/>
                <w:bCs w:val="0"/>
                <w:color w:val="auto"/>
                <w:spacing w:val="-2"/>
                <w:u w:val="single"/>
              </w:rPr>
            </w:pPr>
          </w:p>
        </w:tc>
        <w:tc>
          <w:tcPr>
            <w:tcW w:w="516" w:type="pct"/>
            <w:vMerge w:val="continue"/>
            <w:tcBorders>
              <w:top w:val="nil"/>
            </w:tcBorders>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电导率</w:t>
            </w:r>
          </w:p>
        </w:tc>
        <w:tc>
          <w:tcPr>
            <w:tcW w:w="1526" w:type="pct"/>
            <w:shd w:val="clear" w:color="auto" w:fill="auto"/>
            <w:vAlign w:val="center"/>
          </w:tcPr>
          <w:p>
            <w:pPr>
              <w:jc w:val="center"/>
              <w:rPr>
                <w:b/>
                <w:bCs w:val="0"/>
                <w:color w:val="auto"/>
                <w:spacing w:val="-2"/>
                <w:u w:val="single"/>
              </w:rPr>
            </w:pPr>
            <w:r>
              <w:rPr>
                <w:b/>
                <w:bCs w:val="0"/>
                <w:color w:val="auto"/>
                <w:spacing w:val="-2"/>
                <w:u w:val="single"/>
              </w:rPr>
              <w:t>2000us/cm，在线</w:t>
            </w:r>
          </w:p>
        </w:tc>
        <w:tc>
          <w:tcPr>
            <w:tcW w:w="826" w:type="pct"/>
            <w:shd w:val="clear" w:color="auto" w:fill="auto"/>
            <w:vAlign w:val="center"/>
          </w:tcPr>
          <w:p>
            <w:pPr>
              <w:jc w:val="center"/>
              <w:rPr>
                <w:b/>
                <w:bCs w:val="0"/>
                <w:color w:val="auto"/>
                <w:spacing w:val="-2"/>
                <w:u w:val="single"/>
              </w:rPr>
            </w:pPr>
            <w:r>
              <w:rPr>
                <w:b/>
                <w:bCs w:val="0"/>
                <w:color w:val="auto"/>
                <w:spacing w:val="-2"/>
                <w:u w:val="single"/>
              </w:rPr>
              <w:t>ROC/SUNTEX</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vMerge w:val="restart"/>
            <w:shd w:val="clear" w:color="auto" w:fill="auto"/>
            <w:vAlign w:val="center"/>
          </w:tcPr>
          <w:p>
            <w:pPr>
              <w:jc w:val="center"/>
              <w:rPr>
                <w:b/>
                <w:bCs w:val="0"/>
                <w:color w:val="auto"/>
                <w:spacing w:val="-2"/>
                <w:u w:val="single"/>
              </w:rPr>
            </w:pPr>
            <w:r>
              <w:rPr>
                <w:b/>
                <w:bCs w:val="0"/>
                <w:color w:val="auto"/>
                <w:spacing w:val="-2"/>
                <w:u w:val="single"/>
              </w:rPr>
              <w:t>16</w:t>
            </w:r>
          </w:p>
        </w:tc>
        <w:tc>
          <w:tcPr>
            <w:tcW w:w="516" w:type="pct"/>
            <w:vMerge w:val="restart"/>
            <w:shd w:val="clear" w:color="auto" w:fill="auto"/>
            <w:vAlign w:val="center"/>
          </w:tcPr>
          <w:p>
            <w:pPr>
              <w:jc w:val="center"/>
              <w:rPr>
                <w:b/>
                <w:bCs w:val="0"/>
                <w:color w:val="auto"/>
                <w:spacing w:val="-2"/>
                <w:u w:val="single"/>
              </w:rPr>
            </w:pPr>
            <w:r>
              <w:rPr>
                <w:b/>
                <w:bCs w:val="0"/>
                <w:color w:val="auto"/>
                <w:spacing w:val="-2"/>
                <w:u w:val="single"/>
              </w:rPr>
              <w:t>零排放回用水箱</w:t>
            </w:r>
          </w:p>
        </w:tc>
        <w:tc>
          <w:tcPr>
            <w:tcW w:w="773" w:type="pct"/>
            <w:shd w:val="clear" w:color="auto" w:fill="auto"/>
            <w:vAlign w:val="center"/>
          </w:tcPr>
          <w:p>
            <w:pPr>
              <w:jc w:val="center"/>
              <w:rPr>
                <w:b/>
                <w:bCs w:val="0"/>
                <w:color w:val="auto"/>
                <w:spacing w:val="-2"/>
                <w:u w:val="single"/>
              </w:rPr>
            </w:pPr>
            <w:r>
              <w:rPr>
                <w:b/>
                <w:bCs w:val="0"/>
                <w:color w:val="auto"/>
                <w:spacing w:val="-2"/>
                <w:u w:val="single"/>
              </w:rPr>
              <w:t>回用水箱</w:t>
            </w:r>
          </w:p>
        </w:tc>
        <w:tc>
          <w:tcPr>
            <w:tcW w:w="1526" w:type="pct"/>
            <w:shd w:val="clear" w:color="auto" w:fill="auto"/>
            <w:vAlign w:val="center"/>
          </w:tcPr>
          <w:p>
            <w:pPr>
              <w:jc w:val="center"/>
              <w:rPr>
                <w:b/>
                <w:bCs w:val="0"/>
                <w:color w:val="auto"/>
                <w:spacing w:val="-2"/>
                <w:u w:val="single"/>
              </w:rPr>
            </w:pPr>
            <w:r>
              <w:rPr>
                <w:b/>
                <w:bCs w:val="0"/>
                <w:color w:val="auto"/>
                <w:spacing w:val="-2"/>
                <w:u w:val="single"/>
              </w:rPr>
              <w:t>30m</w:t>
            </w:r>
            <w:r>
              <w:rPr>
                <w:b/>
                <w:bCs w:val="0"/>
                <w:color w:val="auto"/>
                <w:spacing w:val="-2"/>
                <w:u w:val="single"/>
                <w:vertAlign w:val="superscript"/>
              </w:rPr>
              <w:t>3</w:t>
            </w:r>
            <w:r>
              <w:rPr>
                <w:b/>
                <w:bCs w:val="0"/>
                <w:color w:val="auto"/>
                <w:spacing w:val="-2"/>
                <w:u w:val="single"/>
              </w:rPr>
              <w:t>，PE 材质</w:t>
            </w:r>
          </w:p>
        </w:tc>
        <w:tc>
          <w:tcPr>
            <w:tcW w:w="826" w:type="pct"/>
            <w:shd w:val="clear" w:color="auto" w:fill="auto"/>
            <w:vAlign w:val="center"/>
          </w:tcPr>
          <w:p>
            <w:pPr>
              <w:jc w:val="center"/>
              <w:rPr>
                <w:b/>
                <w:bCs w:val="0"/>
                <w:color w:val="auto"/>
                <w:spacing w:val="-2"/>
                <w:u w:val="single"/>
              </w:rPr>
            </w:pPr>
            <w:r>
              <w:rPr>
                <w:b/>
                <w:bCs w:val="0"/>
                <w:color w:val="auto"/>
                <w:spacing w:val="-2"/>
                <w:u w:val="single"/>
              </w:rPr>
              <w:t>逸辰环保</w:t>
            </w:r>
          </w:p>
        </w:tc>
        <w:tc>
          <w:tcPr>
            <w:tcW w:w="246" w:type="pct"/>
            <w:shd w:val="clear" w:color="auto" w:fill="auto"/>
            <w:vAlign w:val="center"/>
          </w:tcPr>
          <w:p>
            <w:pPr>
              <w:jc w:val="center"/>
              <w:rPr>
                <w:b/>
                <w:bCs w:val="0"/>
                <w:color w:val="auto"/>
                <w:spacing w:val="-2"/>
                <w:u w:val="single"/>
              </w:rPr>
            </w:pPr>
            <w:r>
              <w:rPr>
                <w:b/>
                <w:bCs w:val="0"/>
                <w:color w:val="auto"/>
                <w:spacing w:val="-2"/>
                <w:u w:val="single"/>
              </w:rPr>
              <w:t>个</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tcBorders>
              <w:top w:val="nil"/>
            </w:tcBorders>
            <w:shd w:val="clear" w:color="auto" w:fill="auto"/>
            <w:vAlign w:val="center"/>
          </w:tcPr>
          <w:p>
            <w:pPr>
              <w:jc w:val="center"/>
              <w:rPr>
                <w:b/>
                <w:bCs w:val="0"/>
                <w:color w:val="auto"/>
                <w:spacing w:val="-2"/>
                <w:u w:val="single"/>
              </w:rPr>
            </w:pPr>
            <w:r>
              <w:rPr>
                <w:b/>
                <w:bCs w:val="0"/>
                <w:color w:val="auto"/>
                <w:spacing w:val="-2"/>
                <w:u w:val="single"/>
              </w:rPr>
              <w:t>回用水泵</w:t>
            </w:r>
          </w:p>
        </w:tc>
        <w:tc>
          <w:tcPr>
            <w:tcW w:w="1526" w:type="pct"/>
            <w:tcBorders>
              <w:top w:val="nil"/>
            </w:tcBorders>
            <w:shd w:val="clear" w:color="auto" w:fill="auto"/>
            <w:vAlign w:val="center"/>
          </w:tcPr>
          <w:p>
            <w:pPr>
              <w:jc w:val="center"/>
              <w:rPr>
                <w:b/>
                <w:bCs w:val="0"/>
                <w:color w:val="auto"/>
                <w:spacing w:val="-2"/>
                <w:u w:val="single"/>
              </w:rPr>
            </w:pPr>
            <w:r>
              <w:rPr>
                <w:b/>
                <w:bCs w:val="0"/>
                <w:color w:val="auto"/>
                <w:spacing w:val="-2"/>
                <w:u w:val="single"/>
              </w:rPr>
              <w:t>Q=1m</w:t>
            </w:r>
            <w:r>
              <w:rPr>
                <w:b/>
                <w:bCs w:val="0"/>
                <w:color w:val="auto"/>
                <w:spacing w:val="-2"/>
                <w:u w:val="single"/>
                <w:vertAlign w:val="superscript"/>
              </w:rPr>
              <w:t>3</w:t>
            </w:r>
            <w:r>
              <w:rPr>
                <w:b/>
                <w:bCs w:val="0"/>
                <w:color w:val="auto"/>
                <w:spacing w:val="-2"/>
                <w:u w:val="single"/>
              </w:rPr>
              <w:t>/h，H=40m，SUS304 材 质</w:t>
            </w:r>
          </w:p>
        </w:tc>
        <w:tc>
          <w:tcPr>
            <w:tcW w:w="826" w:type="pct"/>
            <w:tcBorders>
              <w:top w:val="nil"/>
            </w:tcBorders>
            <w:shd w:val="clear" w:color="auto" w:fill="auto"/>
            <w:vAlign w:val="center"/>
          </w:tcPr>
          <w:p>
            <w:pPr>
              <w:jc w:val="center"/>
              <w:rPr>
                <w:b/>
                <w:bCs w:val="0"/>
                <w:color w:val="auto"/>
                <w:spacing w:val="-2"/>
                <w:u w:val="single"/>
              </w:rPr>
            </w:pPr>
            <w:r>
              <w:rPr>
                <w:b/>
                <w:bCs w:val="0"/>
                <w:color w:val="auto"/>
                <w:spacing w:val="-2"/>
                <w:u w:val="single"/>
              </w:rPr>
              <w:t>南方/南元泵业</w:t>
            </w:r>
          </w:p>
        </w:tc>
        <w:tc>
          <w:tcPr>
            <w:tcW w:w="246" w:type="pct"/>
            <w:tcBorders>
              <w:top w:val="nil"/>
            </w:tcBorders>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tcBorders>
              <w:top w:val="nil"/>
            </w:tcBorders>
            <w:shd w:val="clear" w:color="auto" w:fill="auto"/>
            <w:vAlign w:val="center"/>
          </w:tcPr>
          <w:p>
            <w:pPr>
              <w:jc w:val="center"/>
              <w:rPr>
                <w:b/>
                <w:bCs w:val="0"/>
                <w:color w:val="auto"/>
                <w:spacing w:val="-2"/>
                <w:u w:val="single"/>
              </w:rPr>
            </w:pPr>
            <w:r>
              <w:rPr>
                <w:b/>
                <w:bCs w:val="0"/>
                <w:color w:val="auto"/>
                <w:spacing w:val="-2"/>
                <w:u w:val="single"/>
              </w:rPr>
              <w:t>2</w:t>
            </w:r>
          </w:p>
        </w:tc>
        <w:tc>
          <w:tcPr>
            <w:tcW w:w="545" w:type="pct"/>
            <w:tcBorders>
              <w:top w:val="nil"/>
            </w:tcBorders>
            <w:shd w:val="clear" w:color="auto" w:fill="auto"/>
            <w:vAlign w:val="center"/>
          </w:tcPr>
          <w:p>
            <w:pPr>
              <w:jc w:val="center"/>
              <w:rPr>
                <w:b/>
                <w:bCs w:val="0"/>
                <w:color w:val="auto"/>
                <w:spacing w:val="-2"/>
                <w:u w:val="single"/>
              </w:rPr>
            </w:pPr>
            <w:r>
              <w:rPr>
                <w:b/>
                <w:bCs w:val="0"/>
                <w:color w:val="auto"/>
                <w:spacing w:val="-2"/>
                <w:u w:val="single"/>
              </w:rPr>
              <w:t>1用1备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杀菌器</w:t>
            </w:r>
          </w:p>
        </w:tc>
        <w:tc>
          <w:tcPr>
            <w:tcW w:w="1526" w:type="pct"/>
            <w:shd w:val="clear" w:color="auto" w:fill="auto"/>
            <w:vAlign w:val="center"/>
          </w:tcPr>
          <w:p>
            <w:pPr>
              <w:jc w:val="center"/>
              <w:rPr>
                <w:b/>
                <w:bCs w:val="0"/>
                <w:color w:val="auto"/>
                <w:spacing w:val="-2"/>
                <w:u w:val="single"/>
              </w:rPr>
            </w:pPr>
            <w:r>
              <w:rPr>
                <w:b/>
                <w:bCs w:val="0"/>
                <w:color w:val="auto"/>
                <w:spacing w:val="-2"/>
                <w:u w:val="single"/>
              </w:rPr>
              <w:t>Q=15m</w:t>
            </w:r>
            <w:r>
              <w:rPr>
                <w:b/>
                <w:bCs w:val="0"/>
                <w:color w:val="auto"/>
                <w:spacing w:val="-2"/>
                <w:u w:val="single"/>
                <w:vertAlign w:val="superscript"/>
              </w:rPr>
              <w:t>3</w:t>
            </w:r>
            <w:r>
              <w:rPr>
                <w:b/>
                <w:bCs w:val="0"/>
                <w:color w:val="auto"/>
                <w:spacing w:val="-2"/>
                <w:u w:val="single"/>
              </w:rPr>
              <w:t>/h，SUS304</w:t>
            </w:r>
          </w:p>
        </w:tc>
        <w:tc>
          <w:tcPr>
            <w:tcW w:w="826" w:type="pct"/>
            <w:shd w:val="clear" w:color="auto" w:fill="auto"/>
            <w:vAlign w:val="center"/>
          </w:tcPr>
          <w:p>
            <w:pPr>
              <w:jc w:val="center"/>
              <w:rPr>
                <w:b/>
                <w:bCs w:val="0"/>
                <w:color w:val="auto"/>
                <w:spacing w:val="-2"/>
                <w:u w:val="single"/>
              </w:rPr>
            </w:pPr>
            <w:r>
              <w:rPr>
                <w:b/>
                <w:bCs w:val="0"/>
                <w:color w:val="auto"/>
                <w:spacing w:val="-2"/>
                <w:u w:val="single"/>
              </w:rPr>
              <w:t>照光光/朗瑞</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压力传感器</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DANFOSS</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变频器</w:t>
            </w:r>
          </w:p>
        </w:tc>
        <w:tc>
          <w:tcPr>
            <w:tcW w:w="1526" w:type="pct"/>
            <w:shd w:val="clear" w:color="auto" w:fill="auto"/>
            <w:vAlign w:val="center"/>
          </w:tcPr>
          <w:p>
            <w:pPr>
              <w:jc w:val="center"/>
              <w:rPr>
                <w:b/>
                <w:bCs w:val="0"/>
                <w:color w:val="auto"/>
                <w:spacing w:val="-2"/>
                <w:u w:val="single"/>
              </w:rPr>
            </w:pPr>
            <w:r>
              <w:rPr>
                <w:b/>
                <w:bCs w:val="0"/>
                <w:color w:val="auto"/>
                <w:spacing w:val="-2"/>
                <w:u w:val="single"/>
              </w:rPr>
              <w:t>配套提升泵</w:t>
            </w:r>
          </w:p>
        </w:tc>
        <w:tc>
          <w:tcPr>
            <w:tcW w:w="826" w:type="pct"/>
            <w:shd w:val="clear" w:color="auto" w:fill="auto"/>
            <w:vAlign w:val="center"/>
          </w:tcPr>
          <w:p>
            <w:pPr>
              <w:jc w:val="center"/>
              <w:rPr>
                <w:b/>
                <w:bCs w:val="0"/>
                <w:color w:val="auto"/>
                <w:spacing w:val="-2"/>
                <w:u w:val="single"/>
              </w:rPr>
            </w:pPr>
            <w:r>
              <w:rPr>
                <w:b/>
                <w:bCs w:val="0"/>
                <w:color w:val="auto"/>
                <w:spacing w:val="-2"/>
                <w:u w:val="single"/>
              </w:rPr>
              <w:t>三菱/台达</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2</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进水辅助系统</w:t>
            </w:r>
          </w:p>
        </w:tc>
        <w:tc>
          <w:tcPr>
            <w:tcW w:w="15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826" w:type="pct"/>
            <w:shd w:val="clear" w:color="auto" w:fill="auto"/>
            <w:vAlign w:val="center"/>
          </w:tcPr>
          <w:p>
            <w:pPr>
              <w:jc w:val="center"/>
              <w:rPr>
                <w:b/>
                <w:bCs w:val="0"/>
                <w:color w:val="auto"/>
                <w:spacing w:val="-2"/>
                <w:u w:val="single"/>
              </w:rPr>
            </w:pPr>
            <w:r>
              <w:rPr>
                <w:b/>
                <w:bCs w:val="0"/>
                <w:color w:val="auto"/>
                <w:spacing w:val="-2"/>
                <w:u w:val="single"/>
              </w:rPr>
              <w:t>非标</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液位计</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FEEJOY/美仪</w:t>
            </w:r>
          </w:p>
        </w:tc>
        <w:tc>
          <w:tcPr>
            <w:tcW w:w="246" w:type="pct"/>
            <w:shd w:val="clear" w:color="auto" w:fill="auto"/>
            <w:vAlign w:val="center"/>
          </w:tcPr>
          <w:p>
            <w:pPr>
              <w:jc w:val="center"/>
              <w:rPr>
                <w:b/>
                <w:bCs w:val="0"/>
                <w:color w:val="auto"/>
                <w:spacing w:val="-2"/>
                <w:u w:val="single"/>
              </w:rPr>
            </w:pPr>
            <w:r>
              <w:rPr>
                <w:b/>
                <w:bCs w:val="0"/>
                <w:color w:val="auto"/>
                <w:spacing w:val="-2"/>
                <w:u w:val="single"/>
              </w:rPr>
              <w:t>套</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vMerge w:val="continue"/>
            <w:shd w:val="clear" w:color="auto" w:fill="auto"/>
            <w:vAlign w:val="center"/>
          </w:tcPr>
          <w:p>
            <w:pPr>
              <w:jc w:val="center"/>
              <w:rPr>
                <w:b/>
                <w:bCs w:val="0"/>
                <w:color w:val="auto"/>
                <w:spacing w:val="-2"/>
                <w:u w:val="single"/>
              </w:rPr>
            </w:pPr>
          </w:p>
        </w:tc>
        <w:tc>
          <w:tcPr>
            <w:tcW w:w="516" w:type="pct"/>
            <w:vMerge w:val="continue"/>
            <w:shd w:val="clear" w:color="auto" w:fill="auto"/>
            <w:vAlign w:val="center"/>
          </w:tcPr>
          <w:p>
            <w:pPr>
              <w:jc w:val="center"/>
              <w:rPr>
                <w:b/>
                <w:bCs w:val="0"/>
                <w:color w:val="auto"/>
                <w:spacing w:val="-2"/>
                <w:u w:val="single"/>
              </w:rPr>
            </w:pPr>
          </w:p>
        </w:tc>
        <w:tc>
          <w:tcPr>
            <w:tcW w:w="773" w:type="pct"/>
            <w:shd w:val="clear" w:color="auto" w:fill="auto"/>
            <w:vAlign w:val="center"/>
          </w:tcPr>
          <w:p>
            <w:pPr>
              <w:jc w:val="center"/>
              <w:rPr>
                <w:b/>
                <w:bCs w:val="0"/>
                <w:color w:val="auto"/>
                <w:spacing w:val="-2"/>
                <w:u w:val="single"/>
              </w:rPr>
            </w:pPr>
            <w:r>
              <w:rPr>
                <w:b/>
                <w:bCs w:val="0"/>
                <w:color w:val="auto"/>
                <w:spacing w:val="-2"/>
                <w:u w:val="single"/>
              </w:rPr>
              <w:t>流量计</w:t>
            </w:r>
          </w:p>
        </w:tc>
        <w:tc>
          <w:tcPr>
            <w:tcW w:w="1526" w:type="pct"/>
            <w:shd w:val="clear" w:color="auto" w:fill="auto"/>
            <w:vAlign w:val="center"/>
          </w:tcPr>
          <w:p>
            <w:pPr>
              <w:jc w:val="center"/>
              <w:rPr>
                <w:b/>
                <w:bCs w:val="0"/>
                <w:color w:val="auto"/>
                <w:spacing w:val="-2"/>
                <w:u w:val="single"/>
              </w:rPr>
            </w:pPr>
            <w:r>
              <w:rPr>
                <w:b/>
                <w:bCs w:val="0"/>
                <w:color w:val="auto"/>
                <w:spacing w:val="-2"/>
                <w:u w:val="single"/>
              </w:rPr>
              <w:t>机械式，PVC</w:t>
            </w:r>
          </w:p>
        </w:tc>
        <w:tc>
          <w:tcPr>
            <w:tcW w:w="826" w:type="pct"/>
            <w:shd w:val="clear" w:color="auto" w:fill="auto"/>
            <w:vAlign w:val="center"/>
          </w:tcPr>
          <w:p>
            <w:pPr>
              <w:jc w:val="center"/>
              <w:rPr>
                <w:b/>
                <w:bCs w:val="0"/>
                <w:color w:val="auto"/>
                <w:spacing w:val="-2"/>
                <w:u w:val="single"/>
              </w:rPr>
            </w:pPr>
            <w:r>
              <w:rPr>
                <w:b/>
                <w:bCs w:val="0"/>
                <w:color w:val="auto"/>
                <w:spacing w:val="-2"/>
                <w:u w:val="single"/>
              </w:rPr>
              <w:t>金泰或同等</w:t>
            </w:r>
          </w:p>
        </w:tc>
        <w:tc>
          <w:tcPr>
            <w:tcW w:w="246" w:type="pct"/>
            <w:shd w:val="clear" w:color="auto" w:fill="auto"/>
            <w:vAlign w:val="center"/>
          </w:tcPr>
          <w:p>
            <w:pPr>
              <w:jc w:val="center"/>
              <w:rPr>
                <w:b/>
                <w:bCs w:val="0"/>
                <w:color w:val="auto"/>
                <w:spacing w:val="-2"/>
                <w:u w:val="single"/>
              </w:rPr>
            </w:pPr>
            <w:r>
              <w:rPr>
                <w:b/>
                <w:bCs w:val="0"/>
                <w:color w:val="auto"/>
                <w:spacing w:val="-2"/>
                <w:u w:val="single"/>
              </w:rPr>
              <w:t>台</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shd w:val="clear" w:color="auto" w:fill="auto"/>
            <w:vAlign w:val="center"/>
          </w:tcPr>
          <w:p>
            <w:pPr>
              <w:jc w:val="center"/>
              <w:rPr>
                <w:b/>
                <w:bCs w:val="0"/>
                <w:color w:val="auto"/>
                <w:spacing w:val="-2"/>
                <w:u w:val="single"/>
              </w:rPr>
            </w:pPr>
            <w:r>
              <w:rPr>
                <w:b/>
                <w:bCs w:val="0"/>
                <w:color w:val="auto"/>
                <w:spacing w:val="-2"/>
                <w:u w:val="single"/>
              </w:rPr>
              <w:t>17</w:t>
            </w:r>
          </w:p>
        </w:tc>
        <w:tc>
          <w:tcPr>
            <w:tcW w:w="1289" w:type="pct"/>
            <w:gridSpan w:val="2"/>
            <w:shd w:val="clear" w:color="auto" w:fill="auto"/>
            <w:vAlign w:val="center"/>
          </w:tcPr>
          <w:p>
            <w:pPr>
              <w:jc w:val="center"/>
              <w:rPr>
                <w:b/>
                <w:bCs w:val="0"/>
                <w:color w:val="auto"/>
                <w:spacing w:val="-2"/>
                <w:u w:val="single"/>
              </w:rPr>
            </w:pPr>
            <w:r>
              <w:rPr>
                <w:b/>
                <w:bCs w:val="0"/>
                <w:color w:val="auto"/>
                <w:spacing w:val="-2"/>
                <w:u w:val="single"/>
              </w:rPr>
              <w:t>二次管道阀⻔</w:t>
            </w:r>
          </w:p>
        </w:tc>
        <w:tc>
          <w:tcPr>
            <w:tcW w:w="1526" w:type="pct"/>
            <w:shd w:val="clear" w:color="auto" w:fill="auto"/>
            <w:vAlign w:val="center"/>
          </w:tcPr>
          <w:p>
            <w:pPr>
              <w:jc w:val="center"/>
              <w:rPr>
                <w:b/>
                <w:bCs w:val="0"/>
                <w:color w:val="auto"/>
                <w:spacing w:val="-2"/>
                <w:u w:val="single"/>
              </w:rPr>
            </w:pPr>
            <w:r>
              <w:rPr>
                <w:b/>
                <w:bCs w:val="0"/>
                <w:color w:val="auto"/>
                <w:spacing w:val="-2"/>
                <w:u w:val="single"/>
              </w:rPr>
              <w:t>PN10，UPVC 化</w:t>
            </w:r>
            <w:r>
              <w:rPr>
                <w:rFonts w:eastAsia="Meiryo"/>
                <w:b/>
                <w:bCs w:val="0"/>
                <w:color w:val="auto"/>
                <w:spacing w:val="-2"/>
                <w:u w:val="single"/>
              </w:rPr>
              <w:t>⼯</w:t>
            </w:r>
            <w:r>
              <w:rPr>
                <w:b/>
                <w:bCs w:val="0"/>
                <w:color w:val="auto"/>
                <w:spacing w:val="-2"/>
                <w:u w:val="single"/>
              </w:rPr>
              <w:t>管</w:t>
            </w:r>
          </w:p>
        </w:tc>
        <w:tc>
          <w:tcPr>
            <w:tcW w:w="826" w:type="pct"/>
            <w:shd w:val="clear" w:color="auto" w:fill="auto"/>
            <w:vAlign w:val="center"/>
          </w:tcPr>
          <w:p>
            <w:pPr>
              <w:jc w:val="center"/>
              <w:rPr>
                <w:b/>
                <w:bCs w:val="0"/>
                <w:color w:val="auto"/>
                <w:spacing w:val="-2"/>
                <w:u w:val="single"/>
              </w:rPr>
            </w:pPr>
            <w:r>
              <w:rPr>
                <w:b/>
                <w:bCs w:val="0"/>
                <w:color w:val="auto"/>
                <w:spacing w:val="-2"/>
                <w:u w:val="single"/>
              </w:rPr>
              <w:t>环琪/协羽/三厘</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279" w:type="pct"/>
            <w:shd w:val="clear" w:color="auto" w:fill="auto"/>
            <w:vAlign w:val="center"/>
          </w:tcPr>
          <w:p>
            <w:pPr>
              <w:jc w:val="center"/>
              <w:rPr>
                <w:b/>
                <w:bCs w:val="0"/>
                <w:color w:val="auto"/>
                <w:spacing w:val="-2"/>
                <w:u w:val="single"/>
              </w:rPr>
            </w:pPr>
            <w:r>
              <w:rPr>
                <w:b/>
                <w:bCs w:val="0"/>
                <w:color w:val="auto"/>
                <w:spacing w:val="-2"/>
                <w:u w:val="single"/>
              </w:rPr>
              <w:t>18</w:t>
            </w:r>
          </w:p>
        </w:tc>
        <w:tc>
          <w:tcPr>
            <w:tcW w:w="1289" w:type="pct"/>
            <w:gridSpan w:val="2"/>
            <w:shd w:val="clear" w:color="auto" w:fill="auto"/>
            <w:vAlign w:val="center"/>
          </w:tcPr>
          <w:p>
            <w:pPr>
              <w:jc w:val="center"/>
              <w:rPr>
                <w:b/>
                <w:bCs w:val="0"/>
                <w:color w:val="auto"/>
                <w:spacing w:val="-2"/>
                <w:u w:val="single"/>
              </w:rPr>
            </w:pPr>
            <w:r>
              <w:rPr>
                <w:b/>
                <w:bCs w:val="0"/>
                <w:color w:val="auto"/>
                <w:spacing w:val="-2"/>
                <w:u w:val="single"/>
              </w:rPr>
              <w:t>五金杂件辅材</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国产优质</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jc w:val="center"/>
        </w:trPr>
        <w:tc>
          <w:tcPr>
            <w:tcW w:w="279" w:type="pct"/>
            <w:shd w:val="clear" w:color="auto" w:fill="auto"/>
            <w:vAlign w:val="center"/>
          </w:tcPr>
          <w:p>
            <w:pPr>
              <w:jc w:val="center"/>
              <w:rPr>
                <w:b/>
                <w:bCs w:val="0"/>
                <w:color w:val="auto"/>
                <w:spacing w:val="-2"/>
                <w:u w:val="single"/>
              </w:rPr>
            </w:pPr>
            <w:r>
              <w:rPr>
                <w:b/>
                <w:bCs w:val="0"/>
                <w:color w:val="auto"/>
                <w:spacing w:val="-2"/>
                <w:u w:val="single"/>
              </w:rPr>
              <w:t>19</w:t>
            </w:r>
          </w:p>
        </w:tc>
        <w:tc>
          <w:tcPr>
            <w:tcW w:w="1289" w:type="pct"/>
            <w:gridSpan w:val="2"/>
            <w:shd w:val="clear" w:color="auto" w:fill="auto"/>
            <w:vAlign w:val="center"/>
          </w:tcPr>
          <w:p>
            <w:pPr>
              <w:jc w:val="center"/>
              <w:rPr>
                <w:b/>
                <w:bCs w:val="0"/>
                <w:color w:val="auto"/>
                <w:spacing w:val="-2"/>
                <w:u w:val="single"/>
              </w:rPr>
            </w:pPr>
            <w:r>
              <w:rPr>
                <w:b/>
                <w:bCs w:val="0"/>
                <w:color w:val="auto"/>
                <w:spacing w:val="-2"/>
                <w:u w:val="single"/>
              </w:rPr>
              <w:t>动</w:t>
            </w:r>
            <w:r>
              <w:rPr>
                <w:rFonts w:eastAsia="Meiryo"/>
                <w:b/>
                <w:bCs w:val="0"/>
                <w:color w:val="auto"/>
                <w:spacing w:val="-2"/>
                <w:u w:val="single"/>
              </w:rPr>
              <w:t>⼒</w:t>
            </w:r>
            <w:r>
              <w:rPr>
                <w:b/>
                <w:bCs w:val="0"/>
                <w:color w:val="auto"/>
                <w:spacing w:val="-2"/>
                <w:u w:val="single"/>
              </w:rPr>
              <w:t>控制线缆</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国产优质</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jc w:val="center"/>
        </w:trPr>
        <w:tc>
          <w:tcPr>
            <w:tcW w:w="279" w:type="pct"/>
            <w:shd w:val="clear" w:color="auto" w:fill="auto"/>
            <w:vAlign w:val="center"/>
          </w:tcPr>
          <w:p>
            <w:pPr>
              <w:jc w:val="center"/>
              <w:rPr>
                <w:b/>
                <w:bCs w:val="0"/>
                <w:color w:val="auto"/>
                <w:spacing w:val="-2"/>
                <w:u w:val="single"/>
              </w:rPr>
            </w:pPr>
            <w:r>
              <w:rPr>
                <w:b/>
                <w:bCs w:val="0"/>
                <w:color w:val="auto"/>
                <w:spacing w:val="-2"/>
                <w:u w:val="single"/>
              </w:rPr>
              <w:t>20</w:t>
            </w:r>
          </w:p>
        </w:tc>
        <w:tc>
          <w:tcPr>
            <w:tcW w:w="1289" w:type="pct"/>
            <w:gridSpan w:val="2"/>
            <w:shd w:val="clear" w:color="auto" w:fill="auto"/>
            <w:vAlign w:val="center"/>
          </w:tcPr>
          <w:p>
            <w:pPr>
              <w:jc w:val="center"/>
              <w:rPr>
                <w:b/>
                <w:bCs w:val="0"/>
                <w:color w:val="auto"/>
                <w:spacing w:val="-2"/>
                <w:u w:val="single"/>
              </w:rPr>
            </w:pPr>
            <w:r>
              <w:rPr>
                <w:b/>
                <w:bCs w:val="0"/>
                <w:color w:val="auto"/>
                <w:spacing w:val="-2"/>
                <w:u w:val="single"/>
              </w:rPr>
              <w:t>桥架及线管</w:t>
            </w:r>
          </w:p>
        </w:tc>
        <w:tc>
          <w:tcPr>
            <w:tcW w:w="1526" w:type="pct"/>
            <w:shd w:val="clear" w:color="auto" w:fill="auto"/>
            <w:vAlign w:val="center"/>
          </w:tcPr>
          <w:p>
            <w:pPr>
              <w:jc w:val="center"/>
              <w:rPr>
                <w:b/>
                <w:bCs w:val="0"/>
                <w:color w:val="auto"/>
                <w:spacing w:val="-2"/>
                <w:u w:val="single"/>
              </w:rPr>
            </w:pPr>
          </w:p>
        </w:tc>
        <w:tc>
          <w:tcPr>
            <w:tcW w:w="826" w:type="pct"/>
            <w:shd w:val="clear" w:color="auto" w:fill="auto"/>
            <w:vAlign w:val="center"/>
          </w:tcPr>
          <w:p>
            <w:pPr>
              <w:jc w:val="center"/>
              <w:rPr>
                <w:b/>
                <w:bCs w:val="0"/>
                <w:color w:val="auto"/>
                <w:spacing w:val="-2"/>
                <w:u w:val="single"/>
              </w:rPr>
            </w:pPr>
            <w:r>
              <w:rPr>
                <w:b/>
                <w:bCs w:val="0"/>
                <w:color w:val="auto"/>
                <w:spacing w:val="-2"/>
                <w:u w:val="single"/>
              </w:rPr>
              <w:t>国产优质</w:t>
            </w:r>
          </w:p>
        </w:tc>
        <w:tc>
          <w:tcPr>
            <w:tcW w:w="246" w:type="pct"/>
            <w:shd w:val="clear" w:color="auto" w:fill="auto"/>
            <w:vAlign w:val="center"/>
          </w:tcPr>
          <w:p>
            <w:pPr>
              <w:jc w:val="center"/>
              <w:rPr>
                <w:b/>
                <w:bCs w:val="0"/>
                <w:color w:val="auto"/>
                <w:spacing w:val="-2"/>
                <w:u w:val="single"/>
              </w:rPr>
            </w:pPr>
            <w:r>
              <w:rPr>
                <w:b/>
                <w:bCs w:val="0"/>
                <w:color w:val="auto"/>
                <w:spacing w:val="-2"/>
                <w:u w:val="single"/>
              </w:rPr>
              <w:t>批</w:t>
            </w:r>
          </w:p>
        </w:tc>
        <w:tc>
          <w:tcPr>
            <w:tcW w:w="285" w:type="pct"/>
            <w:shd w:val="clear" w:color="auto" w:fill="auto"/>
            <w:vAlign w:val="center"/>
          </w:tcPr>
          <w:p>
            <w:pPr>
              <w:jc w:val="center"/>
              <w:rPr>
                <w:b/>
                <w:bCs w:val="0"/>
                <w:color w:val="auto"/>
                <w:spacing w:val="-2"/>
                <w:u w:val="single"/>
              </w:rPr>
            </w:pPr>
            <w:r>
              <w:rPr>
                <w:b/>
                <w:bCs w:val="0"/>
                <w:color w:val="auto"/>
                <w:spacing w:val="-2"/>
                <w:u w:val="single"/>
              </w:rPr>
              <w:t>1</w:t>
            </w:r>
          </w:p>
        </w:tc>
        <w:tc>
          <w:tcPr>
            <w:tcW w:w="545" w:type="pct"/>
            <w:shd w:val="clear" w:color="auto" w:fill="auto"/>
            <w:vAlign w:val="center"/>
          </w:tcPr>
          <w:p>
            <w:pPr>
              <w:jc w:val="center"/>
              <w:rPr>
                <w:b/>
                <w:bCs w:val="0"/>
                <w:color w:val="auto"/>
                <w:spacing w:val="-2"/>
                <w:u w:val="single"/>
              </w:rPr>
            </w:pPr>
          </w:p>
        </w:tc>
      </w:tr>
    </w:tbl>
    <w:p>
      <w:pPr>
        <w:pStyle w:val="32"/>
        <w:adjustRightInd w:val="0"/>
        <w:snapToGrid w:val="0"/>
        <w:spacing w:after="0" w:line="360" w:lineRule="auto"/>
        <w:ind w:firstLine="482" w:firstLineChars="200"/>
        <w:rPr>
          <w:b/>
          <w:bCs w:val="0"/>
          <w:color w:val="auto"/>
          <w:kern w:val="21"/>
          <w:sz w:val="24"/>
          <w:u w:val="single"/>
        </w:rPr>
      </w:pPr>
    </w:p>
    <w:p>
      <w:pPr>
        <w:pStyle w:val="32"/>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textAlignment w:val="auto"/>
        <w:rPr>
          <w:b/>
          <w:bCs w:val="0"/>
          <w:color w:val="auto"/>
          <w:kern w:val="21"/>
          <w:sz w:val="24"/>
          <w:u w:val="single"/>
        </w:rPr>
      </w:pPr>
      <w:r>
        <w:rPr>
          <w:rFonts w:hint="eastAsia"/>
          <w:b/>
          <w:bCs w:val="0"/>
          <w:color w:val="auto"/>
          <w:kern w:val="21"/>
          <w:sz w:val="24"/>
          <w:u w:val="single"/>
        </w:rPr>
        <w:t>3、废水零排放系统</w:t>
      </w:r>
      <w:r>
        <w:rPr>
          <w:rFonts w:hint="eastAsia" w:ascii="宋体" w:hAnsi="宋体"/>
          <w:b/>
          <w:bCs w:val="0"/>
          <w:color w:val="auto"/>
          <w:kern w:val="21"/>
          <w:sz w:val="24"/>
          <w:u w:val="single"/>
          <w:lang w:val="en-US"/>
        </w:rPr>
        <w:t>可行性分析及处理效率</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fldChar w:fldCharType="begin"/>
      </w:r>
      <w:r>
        <w:rPr>
          <w:b/>
          <w:bCs w:val="0"/>
          <w:color w:val="auto"/>
          <w:kern w:val="21"/>
          <w:sz w:val="24"/>
          <w:u w:val="single"/>
        </w:rPr>
        <w:instrText xml:space="preserve"> </w:instrText>
      </w:r>
      <w:r>
        <w:rPr>
          <w:rFonts w:hint="eastAsia"/>
          <w:b/>
          <w:bCs w:val="0"/>
          <w:color w:val="auto"/>
          <w:kern w:val="21"/>
          <w:sz w:val="24"/>
          <w:u w:val="single"/>
        </w:rPr>
        <w:instrText xml:space="preserve">= 1 \* GB3</w:instrText>
      </w:r>
      <w:r>
        <w:rPr>
          <w:b/>
          <w:bCs w:val="0"/>
          <w:color w:val="auto"/>
          <w:kern w:val="21"/>
          <w:sz w:val="24"/>
          <w:u w:val="single"/>
        </w:rPr>
        <w:instrText xml:space="preserve"> </w:instrText>
      </w:r>
      <w:r>
        <w:rPr>
          <w:b/>
          <w:bCs w:val="0"/>
          <w:color w:val="auto"/>
          <w:kern w:val="21"/>
          <w:sz w:val="24"/>
          <w:u w:val="single"/>
        </w:rPr>
        <w:fldChar w:fldCharType="separate"/>
      </w:r>
      <w:r>
        <w:rPr>
          <w:rFonts w:hint="eastAsia"/>
          <w:b/>
          <w:bCs w:val="0"/>
          <w:color w:val="auto"/>
          <w:kern w:val="21"/>
          <w:sz w:val="24"/>
          <w:u w:val="single"/>
        </w:rPr>
        <w:t>①</w:t>
      </w:r>
      <w:r>
        <w:rPr>
          <w:b/>
          <w:bCs w:val="0"/>
          <w:color w:val="auto"/>
          <w:kern w:val="21"/>
          <w:sz w:val="24"/>
          <w:u w:val="single"/>
        </w:rPr>
        <w:fldChar w:fldCharType="end"/>
      </w:r>
      <w:r>
        <w:rPr>
          <w:b/>
          <w:bCs w:val="0"/>
          <w:color w:val="auto"/>
          <w:kern w:val="21"/>
          <w:sz w:val="24"/>
          <w:u w:val="single"/>
        </w:rPr>
        <w:t>厌氧—缺氧—好氧</w:t>
      </w:r>
      <w:r>
        <w:rPr>
          <w:rFonts w:hint="eastAsia"/>
          <w:b/>
          <w:bCs w:val="0"/>
          <w:color w:val="auto"/>
          <w:kern w:val="21"/>
          <w:sz w:val="24"/>
          <w:u w:val="single"/>
        </w:rPr>
        <w:t>+MBR</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t>A</w:t>
      </w:r>
      <w:r>
        <w:rPr>
          <w:b/>
          <w:bCs w:val="0"/>
          <w:color w:val="auto"/>
          <w:kern w:val="21"/>
          <w:sz w:val="24"/>
          <w:u w:val="single"/>
          <w:vertAlign w:val="superscript"/>
        </w:rPr>
        <w:t>2</w:t>
      </w:r>
      <w:r>
        <w:rPr>
          <w:b/>
          <w:bCs w:val="0"/>
          <w:color w:val="auto"/>
          <w:kern w:val="21"/>
          <w:sz w:val="24"/>
          <w:u w:val="single"/>
        </w:rPr>
        <w:t>/O工艺是一种常用的二级污水处理工艺，具有同步脱氮除磷的作用，可用于二级污水处理或三级污水处理；后续增加深度处理后，可作为中水回用，具有良好的脱氮除磷效果。</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t>污水与回流污泥先进入厌氧池</w:t>
      </w:r>
      <w:r>
        <w:rPr>
          <w:rFonts w:hint="eastAsia"/>
          <w:b/>
          <w:bCs w:val="0"/>
          <w:color w:val="auto"/>
          <w:kern w:val="21"/>
          <w:sz w:val="24"/>
          <w:u w:val="single"/>
          <w:lang w:eastAsia="zh-CN"/>
        </w:rPr>
        <w:t>（</w:t>
      </w:r>
      <w:r>
        <w:rPr>
          <w:b/>
          <w:bCs w:val="0"/>
          <w:color w:val="auto"/>
          <w:kern w:val="21"/>
          <w:sz w:val="24"/>
          <w:u w:val="single"/>
        </w:rPr>
        <w:t>DO&lt;0.2mg/L</w:t>
      </w:r>
      <w:r>
        <w:rPr>
          <w:rFonts w:hint="eastAsia"/>
          <w:b/>
          <w:bCs w:val="0"/>
          <w:color w:val="auto"/>
          <w:kern w:val="21"/>
          <w:sz w:val="24"/>
          <w:u w:val="single"/>
          <w:lang w:eastAsia="zh-CN"/>
        </w:rPr>
        <w:t>）</w:t>
      </w:r>
      <w:r>
        <w:rPr>
          <w:b/>
          <w:bCs w:val="0"/>
          <w:color w:val="auto"/>
          <w:kern w:val="21"/>
          <w:sz w:val="24"/>
          <w:u w:val="single"/>
        </w:rPr>
        <w:t>完全混合，经一定时间</w:t>
      </w:r>
      <w:r>
        <w:rPr>
          <w:rFonts w:hint="eastAsia"/>
          <w:b/>
          <w:bCs w:val="0"/>
          <w:color w:val="auto"/>
          <w:kern w:val="21"/>
          <w:sz w:val="24"/>
          <w:u w:val="single"/>
          <w:lang w:eastAsia="zh-CN"/>
        </w:rPr>
        <w:t>（</w:t>
      </w:r>
      <w:r>
        <w:rPr>
          <w:b/>
          <w:bCs w:val="0"/>
          <w:color w:val="auto"/>
          <w:kern w:val="21"/>
          <w:sz w:val="24"/>
          <w:u w:val="single"/>
        </w:rPr>
        <w:t>1</w:t>
      </w:r>
      <w:r>
        <w:rPr>
          <w:rFonts w:hint="eastAsia"/>
          <w:b/>
          <w:bCs w:val="0"/>
          <w:color w:val="auto"/>
          <w:kern w:val="21"/>
          <w:sz w:val="24"/>
          <w:u w:val="single"/>
          <w:lang w:eastAsia="zh-CN"/>
        </w:rPr>
        <w:t>～</w:t>
      </w:r>
      <w:r>
        <w:rPr>
          <w:b/>
          <w:bCs w:val="0"/>
          <w:color w:val="auto"/>
          <w:kern w:val="21"/>
          <w:sz w:val="24"/>
          <w:u w:val="single"/>
        </w:rPr>
        <w:t>2h</w:t>
      </w:r>
      <w:r>
        <w:rPr>
          <w:rFonts w:hint="eastAsia"/>
          <w:b/>
          <w:bCs w:val="0"/>
          <w:color w:val="auto"/>
          <w:kern w:val="21"/>
          <w:sz w:val="24"/>
          <w:u w:val="single"/>
          <w:lang w:eastAsia="zh-CN"/>
        </w:rPr>
        <w:t>）</w:t>
      </w:r>
      <w:r>
        <w:rPr>
          <w:b/>
          <w:bCs w:val="0"/>
          <w:color w:val="auto"/>
          <w:kern w:val="21"/>
          <w:sz w:val="24"/>
          <w:u w:val="single"/>
        </w:rPr>
        <w:t>的厌氧分解，去除部分BOD，使部分含氮化合物转化成N2</w:t>
      </w:r>
      <w:r>
        <w:rPr>
          <w:rFonts w:hint="eastAsia"/>
          <w:b/>
          <w:bCs w:val="0"/>
          <w:color w:val="auto"/>
          <w:kern w:val="21"/>
          <w:sz w:val="24"/>
          <w:u w:val="single"/>
          <w:lang w:eastAsia="zh-CN"/>
        </w:rPr>
        <w:t>（</w:t>
      </w:r>
      <w:r>
        <w:rPr>
          <w:b/>
          <w:bCs w:val="0"/>
          <w:color w:val="auto"/>
          <w:kern w:val="21"/>
          <w:sz w:val="24"/>
          <w:u w:val="single"/>
        </w:rPr>
        <w:t>反硝化作用</w:t>
      </w:r>
      <w:r>
        <w:rPr>
          <w:rFonts w:hint="eastAsia"/>
          <w:b/>
          <w:bCs w:val="0"/>
          <w:color w:val="auto"/>
          <w:kern w:val="21"/>
          <w:sz w:val="24"/>
          <w:u w:val="single"/>
          <w:lang w:eastAsia="zh-CN"/>
        </w:rPr>
        <w:t>）</w:t>
      </w:r>
      <w:r>
        <w:rPr>
          <w:b/>
          <w:bCs w:val="0"/>
          <w:color w:val="auto"/>
          <w:kern w:val="21"/>
          <w:sz w:val="24"/>
          <w:u w:val="single"/>
        </w:rPr>
        <w:t>而释放，回流污泥中的聚磷微生物</w:t>
      </w:r>
      <w:r>
        <w:rPr>
          <w:rFonts w:hint="eastAsia"/>
          <w:b/>
          <w:bCs w:val="0"/>
          <w:color w:val="auto"/>
          <w:kern w:val="21"/>
          <w:sz w:val="24"/>
          <w:u w:val="single"/>
          <w:lang w:eastAsia="zh-CN"/>
        </w:rPr>
        <w:t>（</w:t>
      </w:r>
      <w:r>
        <w:rPr>
          <w:b/>
          <w:bCs w:val="0"/>
          <w:color w:val="auto"/>
          <w:u w:val="single"/>
        </w:rPr>
        <w:fldChar w:fldCharType="begin"/>
      </w:r>
      <w:r>
        <w:rPr>
          <w:b/>
          <w:bCs w:val="0"/>
          <w:color w:val="auto"/>
          <w:u w:val="single"/>
        </w:rPr>
        <w:instrText xml:space="preserve"> HYPERLINK "https://baike.so.com/doc/5926816-6139739.html" \t "_blank" </w:instrText>
      </w:r>
      <w:r>
        <w:rPr>
          <w:b/>
          <w:bCs w:val="0"/>
          <w:color w:val="auto"/>
          <w:u w:val="single"/>
        </w:rPr>
        <w:fldChar w:fldCharType="separate"/>
      </w:r>
      <w:r>
        <w:rPr>
          <w:b/>
          <w:bCs w:val="0"/>
          <w:color w:val="auto"/>
          <w:kern w:val="21"/>
          <w:sz w:val="24"/>
          <w:u w:val="single"/>
        </w:rPr>
        <w:t>聚磷菌</w:t>
      </w:r>
      <w:r>
        <w:rPr>
          <w:b/>
          <w:bCs w:val="0"/>
          <w:color w:val="auto"/>
          <w:kern w:val="21"/>
          <w:sz w:val="24"/>
          <w:u w:val="single"/>
        </w:rPr>
        <w:fldChar w:fldCharType="end"/>
      </w:r>
      <w:r>
        <w:rPr>
          <w:b/>
          <w:bCs w:val="0"/>
          <w:color w:val="auto"/>
          <w:kern w:val="21"/>
          <w:sz w:val="24"/>
          <w:u w:val="single"/>
        </w:rPr>
        <w:t>等</w:t>
      </w:r>
      <w:r>
        <w:rPr>
          <w:rFonts w:hint="eastAsia"/>
          <w:b/>
          <w:bCs w:val="0"/>
          <w:color w:val="auto"/>
          <w:kern w:val="21"/>
          <w:sz w:val="24"/>
          <w:u w:val="single"/>
          <w:lang w:eastAsia="zh-CN"/>
        </w:rPr>
        <w:t>）</w:t>
      </w:r>
      <w:r>
        <w:rPr>
          <w:b/>
          <w:bCs w:val="0"/>
          <w:color w:val="auto"/>
          <w:kern w:val="21"/>
          <w:sz w:val="24"/>
          <w:u w:val="single"/>
        </w:rPr>
        <w:t>释放出磷，满足细菌对磷的需求。</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t>然后污水流入缺氧池</w:t>
      </w:r>
      <w:r>
        <w:rPr>
          <w:rFonts w:hint="eastAsia"/>
          <w:b/>
          <w:bCs w:val="0"/>
          <w:color w:val="auto"/>
          <w:kern w:val="21"/>
          <w:sz w:val="24"/>
          <w:u w:val="single"/>
          <w:lang w:eastAsia="zh-CN"/>
        </w:rPr>
        <w:t>（</w:t>
      </w:r>
      <w:r>
        <w:rPr>
          <w:b/>
          <w:bCs w:val="0"/>
          <w:color w:val="auto"/>
          <w:kern w:val="21"/>
          <w:sz w:val="24"/>
          <w:u w:val="single"/>
        </w:rPr>
        <w:t>DO&lt;=0.5mg/L</w:t>
      </w:r>
      <w:r>
        <w:rPr>
          <w:rFonts w:hint="eastAsia"/>
          <w:b/>
          <w:bCs w:val="0"/>
          <w:color w:val="auto"/>
          <w:kern w:val="21"/>
          <w:sz w:val="24"/>
          <w:u w:val="single"/>
          <w:lang w:eastAsia="zh-CN"/>
        </w:rPr>
        <w:t>）</w:t>
      </w:r>
      <w:r>
        <w:rPr>
          <w:b/>
          <w:bCs w:val="0"/>
          <w:color w:val="auto"/>
          <w:kern w:val="21"/>
          <w:sz w:val="24"/>
          <w:u w:val="single"/>
        </w:rPr>
        <w:t>，池中的</w:t>
      </w:r>
      <w:r>
        <w:rPr>
          <w:b/>
          <w:bCs w:val="0"/>
          <w:color w:val="auto"/>
          <w:u w:val="single"/>
        </w:rPr>
        <w:fldChar w:fldCharType="begin"/>
      </w:r>
      <w:r>
        <w:rPr>
          <w:b/>
          <w:bCs w:val="0"/>
          <w:color w:val="auto"/>
          <w:u w:val="single"/>
        </w:rPr>
        <w:instrText xml:space="preserve"> HYPERLINK "https://baike.so.com/doc/5331830-5567132.html" \t "_blank" </w:instrText>
      </w:r>
      <w:r>
        <w:rPr>
          <w:b/>
          <w:bCs w:val="0"/>
          <w:color w:val="auto"/>
          <w:u w:val="single"/>
        </w:rPr>
        <w:fldChar w:fldCharType="separate"/>
      </w:r>
      <w:r>
        <w:rPr>
          <w:b/>
          <w:bCs w:val="0"/>
          <w:color w:val="auto"/>
          <w:kern w:val="21"/>
          <w:sz w:val="24"/>
          <w:u w:val="single"/>
        </w:rPr>
        <w:t>反硝化细菌</w:t>
      </w:r>
      <w:r>
        <w:rPr>
          <w:b/>
          <w:bCs w:val="0"/>
          <w:color w:val="auto"/>
          <w:kern w:val="21"/>
          <w:sz w:val="24"/>
          <w:u w:val="single"/>
        </w:rPr>
        <w:fldChar w:fldCharType="end"/>
      </w:r>
      <w:r>
        <w:rPr>
          <w:b/>
          <w:bCs w:val="0"/>
          <w:color w:val="auto"/>
          <w:kern w:val="21"/>
          <w:sz w:val="24"/>
          <w:u w:val="single"/>
        </w:rPr>
        <w:t>以污水中未分解的含碳有机物为碳源，将好氧池内通过内循环回流进来的硝酸根还原为N2而释放。</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t>接下来污水流入好氧池</w:t>
      </w:r>
      <w:r>
        <w:rPr>
          <w:rFonts w:hint="eastAsia"/>
          <w:b/>
          <w:bCs w:val="0"/>
          <w:color w:val="auto"/>
          <w:kern w:val="21"/>
          <w:sz w:val="24"/>
          <w:u w:val="single"/>
          <w:lang w:eastAsia="zh-CN"/>
        </w:rPr>
        <w:t>（</w:t>
      </w:r>
      <w:r>
        <w:rPr>
          <w:b/>
          <w:bCs w:val="0"/>
          <w:color w:val="auto"/>
          <w:kern w:val="21"/>
          <w:sz w:val="24"/>
          <w:u w:val="single"/>
        </w:rPr>
        <w:t>DO，2-4mg/L</w:t>
      </w:r>
      <w:r>
        <w:rPr>
          <w:rFonts w:hint="eastAsia"/>
          <w:b/>
          <w:bCs w:val="0"/>
          <w:color w:val="auto"/>
          <w:kern w:val="21"/>
          <w:sz w:val="24"/>
          <w:u w:val="single"/>
          <w:lang w:eastAsia="zh-CN"/>
        </w:rPr>
        <w:t>）</w:t>
      </w:r>
      <w:r>
        <w:rPr>
          <w:b/>
          <w:bCs w:val="0"/>
          <w:color w:val="auto"/>
          <w:kern w:val="21"/>
          <w:sz w:val="24"/>
          <w:u w:val="single"/>
        </w:rPr>
        <w:t>，水中的NH3-N</w:t>
      </w:r>
      <w:r>
        <w:rPr>
          <w:rFonts w:hint="eastAsia"/>
          <w:b/>
          <w:bCs w:val="0"/>
          <w:color w:val="auto"/>
          <w:kern w:val="21"/>
          <w:sz w:val="24"/>
          <w:u w:val="single"/>
          <w:lang w:eastAsia="zh-CN"/>
        </w:rPr>
        <w:t>（</w:t>
      </w:r>
      <w:r>
        <w:rPr>
          <w:b/>
          <w:bCs w:val="0"/>
          <w:color w:val="auto"/>
          <w:u w:val="single"/>
        </w:rPr>
        <w:fldChar w:fldCharType="begin"/>
      </w:r>
      <w:r>
        <w:rPr>
          <w:b/>
          <w:bCs w:val="0"/>
          <w:color w:val="auto"/>
          <w:u w:val="single"/>
        </w:rPr>
        <w:instrText xml:space="preserve"> HYPERLINK "https://baike.so.com/doc/1638117-1731632.html" \t "_blank" </w:instrText>
      </w:r>
      <w:r>
        <w:rPr>
          <w:b/>
          <w:bCs w:val="0"/>
          <w:color w:val="auto"/>
          <w:u w:val="single"/>
        </w:rPr>
        <w:fldChar w:fldCharType="separate"/>
      </w:r>
      <w:r>
        <w:rPr>
          <w:b/>
          <w:bCs w:val="0"/>
          <w:color w:val="auto"/>
          <w:kern w:val="21"/>
          <w:sz w:val="24"/>
          <w:u w:val="single"/>
        </w:rPr>
        <w:t>氨氮</w:t>
      </w:r>
      <w:r>
        <w:rPr>
          <w:b/>
          <w:bCs w:val="0"/>
          <w:color w:val="auto"/>
          <w:kern w:val="21"/>
          <w:sz w:val="24"/>
          <w:u w:val="single"/>
        </w:rPr>
        <w:fldChar w:fldCharType="end"/>
      </w:r>
      <w:r>
        <w:rPr>
          <w:rFonts w:hint="eastAsia"/>
          <w:b/>
          <w:bCs w:val="0"/>
          <w:color w:val="auto"/>
          <w:kern w:val="21"/>
          <w:sz w:val="24"/>
          <w:u w:val="single"/>
          <w:lang w:eastAsia="zh-CN"/>
        </w:rPr>
        <w:t>）</w:t>
      </w:r>
      <w:r>
        <w:rPr>
          <w:b/>
          <w:bCs w:val="0"/>
          <w:color w:val="auto"/>
          <w:kern w:val="21"/>
          <w:sz w:val="24"/>
          <w:u w:val="single"/>
        </w:rPr>
        <w:t>进行硝化反应生成硝酸根，同时水中的有机物氧化分解供给吸磷微生物以能量，微生物从水中吸收磷，磷进入细胞组织，富集在微生物内，经沉淀分离后以富磷污泥的形式从系统中排出。</w:t>
      </w:r>
    </w:p>
    <w:p>
      <w:pPr>
        <w:pStyle w:val="32"/>
        <w:adjustRightInd w:val="0"/>
        <w:snapToGrid w:val="0"/>
        <w:spacing w:after="0" w:line="360" w:lineRule="auto"/>
        <w:ind w:firstLine="482" w:firstLineChars="200"/>
        <w:rPr>
          <w:b/>
          <w:bCs w:val="0"/>
          <w:color w:val="auto"/>
          <w:kern w:val="21"/>
          <w:sz w:val="24"/>
          <w:u w:val="single"/>
        </w:rPr>
      </w:pPr>
      <w:r>
        <w:rPr>
          <w:rFonts w:hint="eastAsia"/>
          <w:b/>
          <w:bCs w:val="0"/>
          <w:color w:val="auto"/>
          <w:kern w:val="21"/>
          <w:sz w:val="24"/>
          <w:u w:val="single"/>
        </w:rPr>
        <w:t>MBR是指将超、微滤膜分离技术与污水处理中的生物反应器相结合而成的一种新的污水处理装置。这种反应器综合了膜处理技术和生物处理技术带来的优点。超、微滤膜组件作为溺水分离单元，可以完全取代二次沉淀池。与传统工艺比较，这种将膜与生化反应相结合的MBR工艺有明显优势。</w:t>
      </w:r>
    </w:p>
    <w:p>
      <w:pPr>
        <w:pStyle w:val="32"/>
        <w:adjustRightInd w:val="0"/>
        <w:snapToGrid w:val="0"/>
        <w:spacing w:after="0" w:line="360" w:lineRule="auto"/>
        <w:ind w:firstLine="482" w:firstLineChars="200"/>
        <w:rPr>
          <w:b/>
          <w:bCs w:val="0"/>
          <w:color w:val="auto"/>
          <w:kern w:val="21"/>
          <w:sz w:val="24"/>
          <w:u w:val="single"/>
        </w:rPr>
      </w:pPr>
      <w:r>
        <w:rPr>
          <w:rFonts w:hint="eastAsia"/>
          <w:b/>
          <w:bCs w:val="0"/>
          <w:color w:val="auto"/>
          <w:kern w:val="21"/>
          <w:sz w:val="24"/>
          <w:u w:val="single"/>
        </w:rPr>
        <w:t>本项目拟采用</w:t>
      </w:r>
      <w:r>
        <w:rPr>
          <w:b/>
          <w:bCs w:val="0"/>
          <w:color w:val="auto"/>
          <w:kern w:val="21"/>
          <w:sz w:val="24"/>
          <w:u w:val="single"/>
        </w:rPr>
        <w:t>逸辰移动式MBR一体化污水处理设备，逸辰移动式MBR一体化污水处理设备是在MBR膜生物反应器的基础上经过进一步的研发升级开发出来的第五代新型污水处理再生设备。</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t>逸辰移动式MBR一体化污水处理设备该设备集污水处理和再生工艺于一体，采用水解酸化、兼氧和好氧活性污泥生化、超滤膜分离等工艺，降解污水中的污染成分，使之达到回用要求，是超滤膜在污水处理和再生过程的一种应用。</w:t>
      </w:r>
    </w:p>
    <w:p>
      <w:pPr>
        <w:pStyle w:val="32"/>
        <w:adjustRightInd w:val="0"/>
        <w:snapToGrid w:val="0"/>
        <w:spacing w:after="0" w:line="360" w:lineRule="auto"/>
        <w:rPr>
          <w:b/>
          <w:bCs w:val="0"/>
          <w:color w:val="auto"/>
          <w:kern w:val="21"/>
          <w:sz w:val="24"/>
          <w:u w:val="single"/>
        </w:rPr>
      </w:pPr>
      <w:r>
        <w:rPr>
          <w:b/>
          <w:bCs w:val="0"/>
          <w:color w:val="auto"/>
          <w:u w:val="single"/>
          <w:lang w:val="en-US"/>
        </w:rPr>
        <w:drawing>
          <wp:inline distT="0" distB="0" distL="0" distR="0">
            <wp:extent cx="5273675" cy="3583305"/>
            <wp:effectExtent l="9525" t="9525" r="12700" b="26670"/>
            <wp:docPr id="1388" name="图片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pic:cNvPicPr>
                      <a:picLocks noChangeAspect="1" noChangeArrowheads="1"/>
                    </pic:cNvPicPr>
                  </pic:nvPicPr>
                  <pic:blipFill>
                    <a:blip r:embed="rId167"/>
                    <a:srcRect/>
                    <a:stretch>
                      <a:fillRect/>
                    </a:stretch>
                  </pic:blipFill>
                  <pic:spPr>
                    <a:xfrm>
                      <a:off x="0" y="0"/>
                      <a:ext cx="5273675" cy="3583305"/>
                    </a:xfrm>
                    <a:prstGeom prst="rect">
                      <a:avLst/>
                    </a:prstGeom>
                    <a:noFill/>
                    <a:ln>
                      <a:solidFill>
                        <a:schemeClr val="tx1"/>
                      </a:solidFill>
                    </a:ln>
                    <a:effectLst/>
                  </pic:spPr>
                </pic:pic>
              </a:graphicData>
            </a:graphic>
          </wp:inline>
        </w:drawing>
      </w:r>
    </w:p>
    <w:p>
      <w:pPr>
        <w:pStyle w:val="32"/>
        <w:adjustRightInd w:val="0"/>
        <w:snapToGrid w:val="0"/>
        <w:spacing w:after="0" w:line="360" w:lineRule="auto"/>
        <w:ind w:firstLine="482" w:firstLineChars="200"/>
        <w:jc w:val="center"/>
        <w:rPr>
          <w:b/>
          <w:bCs w:val="0"/>
          <w:color w:val="auto"/>
          <w:kern w:val="21"/>
          <w:sz w:val="24"/>
          <w:u w:val="single"/>
        </w:rPr>
      </w:pPr>
      <w:r>
        <w:rPr>
          <w:rFonts w:hint="eastAsia" w:ascii="黑体" w:hAnsi="黑体" w:eastAsia="黑体" w:cs="黑体"/>
          <w:b/>
          <w:bCs w:val="0"/>
          <w:color w:val="auto"/>
          <w:kern w:val="0"/>
          <w:sz w:val="24"/>
          <w:u w:val="single"/>
          <w:lang w:bidi="ar"/>
        </w:rPr>
        <w:t>图7.2-7   移动式一体化污水处理设备（实物图）</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lang w:val="en-US"/>
        </w:rPr>
        <w:fldChar w:fldCharType="begin"/>
      </w:r>
      <w:r>
        <w:rPr>
          <w:b/>
          <w:bCs w:val="0"/>
          <w:color w:val="auto"/>
          <w:kern w:val="21"/>
          <w:sz w:val="24"/>
          <w:u w:val="single"/>
          <w:lang w:val="en-US"/>
        </w:rPr>
        <w:instrText xml:space="preserve"> </w:instrText>
      </w:r>
      <w:r>
        <w:rPr>
          <w:rFonts w:hint="eastAsia"/>
          <w:b/>
          <w:bCs w:val="0"/>
          <w:color w:val="auto"/>
          <w:kern w:val="21"/>
          <w:sz w:val="24"/>
          <w:u w:val="single"/>
          <w:lang w:val="en-US"/>
        </w:rPr>
        <w:instrText xml:space="preserve">= 2 \* GB3</w:instrText>
      </w:r>
      <w:r>
        <w:rPr>
          <w:b/>
          <w:bCs w:val="0"/>
          <w:color w:val="auto"/>
          <w:kern w:val="21"/>
          <w:sz w:val="24"/>
          <w:u w:val="single"/>
          <w:lang w:val="en-US"/>
        </w:rPr>
        <w:instrText xml:space="preserve"> </w:instrText>
      </w:r>
      <w:r>
        <w:rPr>
          <w:b/>
          <w:bCs w:val="0"/>
          <w:color w:val="auto"/>
          <w:kern w:val="21"/>
          <w:sz w:val="24"/>
          <w:u w:val="single"/>
          <w:lang w:val="en-US"/>
        </w:rPr>
        <w:fldChar w:fldCharType="separate"/>
      </w:r>
      <w:r>
        <w:rPr>
          <w:rFonts w:hint="eastAsia"/>
          <w:b/>
          <w:bCs w:val="0"/>
          <w:color w:val="auto"/>
          <w:kern w:val="21"/>
          <w:sz w:val="24"/>
          <w:u w:val="single"/>
          <w:lang w:val="en-US"/>
        </w:rPr>
        <w:t>②</w:t>
      </w:r>
      <w:r>
        <w:rPr>
          <w:b/>
          <w:bCs w:val="0"/>
          <w:color w:val="auto"/>
          <w:kern w:val="21"/>
          <w:sz w:val="24"/>
          <w:u w:val="single"/>
          <w:lang w:val="en-US"/>
        </w:rPr>
        <w:fldChar w:fldCharType="end"/>
      </w:r>
      <w:r>
        <w:rPr>
          <w:rFonts w:hint="eastAsia"/>
          <w:b/>
          <w:bCs w:val="0"/>
          <w:color w:val="auto"/>
          <w:kern w:val="21"/>
          <w:sz w:val="24"/>
          <w:u w:val="single"/>
        </w:rPr>
        <w:t>ECRO</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0"/>
          <w:sz w:val="24"/>
          <w:u w:val="single"/>
        </w:rPr>
        <w:t>反渗透技术是</w:t>
      </w:r>
      <w:r>
        <w:rPr>
          <w:rFonts w:hint="eastAsia"/>
          <w:b/>
          <w:bCs w:val="0"/>
          <w:color w:val="auto"/>
          <w:kern w:val="0"/>
          <w:sz w:val="24"/>
          <w:u w:val="single"/>
        </w:rPr>
        <w:t>目</w:t>
      </w:r>
      <w:r>
        <w:rPr>
          <w:b/>
          <w:bCs w:val="0"/>
          <w:color w:val="auto"/>
          <w:kern w:val="0"/>
          <w:sz w:val="24"/>
          <w:u w:val="single"/>
        </w:rPr>
        <w:t>前较先进和有效的除盐技术。反渗透是采</w:t>
      </w:r>
      <w:r>
        <w:rPr>
          <w:rFonts w:hint="eastAsia"/>
          <w:b/>
          <w:bCs w:val="0"/>
          <w:color w:val="auto"/>
          <w:kern w:val="0"/>
          <w:sz w:val="24"/>
          <w:u w:val="single"/>
        </w:rPr>
        <w:t>用</w:t>
      </w:r>
      <w:r>
        <w:rPr>
          <w:b/>
          <w:bCs w:val="0"/>
          <w:color w:val="auto"/>
          <w:kern w:val="0"/>
          <w:sz w:val="24"/>
          <w:u w:val="single"/>
        </w:rPr>
        <w:t>膜法分离的</w:t>
      </w:r>
      <w:r>
        <w:rPr>
          <w:rFonts w:hint="eastAsia"/>
          <w:b/>
          <w:bCs w:val="0"/>
          <w:color w:val="auto"/>
          <w:kern w:val="0"/>
          <w:sz w:val="24"/>
          <w:u w:val="single"/>
        </w:rPr>
        <w:t>水</w:t>
      </w:r>
      <w:r>
        <w:rPr>
          <w:b/>
          <w:bCs w:val="0"/>
          <w:color w:val="auto"/>
          <w:kern w:val="0"/>
          <w:sz w:val="24"/>
          <w:u w:val="single"/>
        </w:rPr>
        <w:t>处理技术，</w:t>
      </w:r>
      <w:r>
        <w:rPr>
          <w:rFonts w:hint="eastAsia"/>
          <w:b/>
          <w:bCs w:val="0"/>
          <w:color w:val="auto"/>
          <w:kern w:val="0"/>
          <w:sz w:val="24"/>
          <w:u w:val="single"/>
        </w:rPr>
        <w:t>其原理是在压力作用下，透过反渗透膜的水成为纯水；水中的杂质被反渗透膜截留并被带出。利用反渗透技术可以有效地去除水中的溶解盐、胶体、细菌、病毒、细菌内毒素和大部分有机物等杂质。反渗透设备系统除盐率</w:t>
      </w:r>
      <w:r>
        <w:rPr>
          <w:rFonts w:hint="eastAsia"/>
          <w:b/>
          <w:bCs w:val="0"/>
          <w:color w:val="auto"/>
          <w:kern w:val="0"/>
          <w:sz w:val="24"/>
          <w:u w:val="single"/>
          <w:lang w:eastAsia="zh-CN"/>
        </w:rPr>
        <w:t>一般为95%-99%</w:t>
      </w:r>
      <w:r>
        <w:rPr>
          <w:rFonts w:hint="eastAsia"/>
          <w:b/>
          <w:bCs w:val="0"/>
          <w:color w:val="auto"/>
          <w:kern w:val="0"/>
          <w:sz w:val="24"/>
          <w:u w:val="single"/>
        </w:rPr>
        <w:t>。</w:t>
      </w:r>
    </w:p>
    <w:p>
      <w:pPr>
        <w:pStyle w:val="32"/>
        <w:adjustRightInd w:val="0"/>
        <w:snapToGrid w:val="0"/>
        <w:spacing w:after="0" w:line="360" w:lineRule="auto"/>
        <w:ind w:firstLine="482" w:firstLineChars="200"/>
        <w:rPr>
          <w:b/>
          <w:bCs w:val="0"/>
          <w:color w:val="auto"/>
          <w:kern w:val="0"/>
          <w:sz w:val="24"/>
          <w:u w:val="single"/>
        </w:rPr>
      </w:pPr>
      <w:r>
        <w:rPr>
          <w:rFonts w:hint="eastAsia"/>
          <w:b/>
          <w:bCs w:val="0"/>
          <w:color w:val="auto"/>
          <w:kern w:val="0"/>
          <w:sz w:val="24"/>
          <w:u w:val="single"/>
        </w:rPr>
        <w:t>反渗透膜元件的主要脱盐部分的机理类似于半透膜，能对水中的离子具有选择透过性，自然状态下，半透膜（反渗透膜）选择透过溶剂（水）由低浓度侧向高浓度侧进行自然渗透，在形成一定的渗透压差下达到自然渗透平衡；当在高浓度侧施加外界压力时，高浓度侧的溶剂克服自然渗透压和自然液位浓3度差而使水分子由高浓度侧向低浓度侧进行逆向渗透。</w:t>
      </w:r>
    </w:p>
    <w:p>
      <w:pPr>
        <w:pStyle w:val="32"/>
        <w:adjustRightInd w:val="0"/>
        <w:snapToGrid w:val="0"/>
        <w:spacing w:after="0" w:line="360" w:lineRule="auto"/>
        <w:rPr>
          <w:b/>
          <w:bCs w:val="0"/>
          <w:color w:val="auto"/>
          <w:kern w:val="0"/>
          <w:sz w:val="24"/>
          <w:u w:val="single"/>
        </w:rPr>
      </w:pPr>
      <w:r>
        <w:rPr>
          <w:rFonts w:ascii="宋体" w:hAnsi="宋体" w:cs="宋体"/>
          <w:b/>
          <w:bCs w:val="0"/>
          <w:color w:val="auto"/>
          <w:kern w:val="0"/>
          <w:sz w:val="24"/>
          <w:u w:val="single"/>
          <w:lang w:val="en-US"/>
        </w:rPr>
        <w:drawing>
          <wp:inline distT="0" distB="0" distL="0" distR="0">
            <wp:extent cx="5268595" cy="3385185"/>
            <wp:effectExtent l="0" t="0" r="8255" b="5715"/>
            <wp:docPr id="1387" name="图片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387"/>
                    <pic:cNvPicPr>
                      <a:picLocks noChangeAspect="1" noChangeArrowheads="1"/>
                    </pic:cNvPicPr>
                  </pic:nvPicPr>
                  <pic:blipFill>
                    <a:blip r:embed="rId168"/>
                    <a:srcRect/>
                    <a:stretch>
                      <a:fillRect/>
                    </a:stretch>
                  </pic:blipFill>
                  <pic:spPr>
                    <a:xfrm>
                      <a:off x="0" y="0"/>
                      <a:ext cx="5268595" cy="3385185"/>
                    </a:xfrm>
                    <a:prstGeom prst="rect">
                      <a:avLst/>
                    </a:prstGeom>
                    <a:noFill/>
                  </pic:spPr>
                </pic:pic>
              </a:graphicData>
            </a:graphic>
          </wp:inline>
        </w:drawing>
      </w:r>
    </w:p>
    <w:p>
      <w:pPr>
        <w:pStyle w:val="32"/>
        <w:adjustRightInd w:val="0"/>
        <w:snapToGrid w:val="0"/>
        <w:spacing w:after="0" w:line="360" w:lineRule="auto"/>
        <w:ind w:firstLine="482" w:firstLineChars="200"/>
        <w:jc w:val="center"/>
        <w:rPr>
          <w:b/>
          <w:bCs w:val="0"/>
          <w:color w:val="auto"/>
          <w:kern w:val="21"/>
          <w:sz w:val="24"/>
          <w:u w:val="single"/>
        </w:rPr>
      </w:pPr>
      <w:r>
        <w:rPr>
          <w:rFonts w:hint="eastAsia" w:ascii="黑体" w:hAnsi="黑体" w:eastAsia="黑体" w:cs="黑体"/>
          <w:b/>
          <w:bCs w:val="0"/>
          <w:color w:val="auto"/>
          <w:kern w:val="0"/>
          <w:sz w:val="24"/>
          <w:u w:val="single"/>
          <w:lang w:bidi="ar"/>
        </w:rPr>
        <w:t>图7.2-8   反渗透设备现场图（国家电网平高集团股份有限公司）</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fldChar w:fldCharType="begin"/>
      </w:r>
      <w:r>
        <w:rPr>
          <w:b/>
          <w:bCs w:val="0"/>
          <w:color w:val="auto"/>
          <w:kern w:val="21"/>
          <w:sz w:val="24"/>
          <w:u w:val="single"/>
        </w:rPr>
        <w:instrText xml:space="preserve"> </w:instrText>
      </w:r>
      <w:r>
        <w:rPr>
          <w:rFonts w:hint="eastAsia"/>
          <w:b/>
          <w:bCs w:val="0"/>
          <w:color w:val="auto"/>
          <w:kern w:val="21"/>
          <w:sz w:val="24"/>
          <w:u w:val="single"/>
        </w:rPr>
        <w:instrText xml:space="preserve">= 3 \* GB3</w:instrText>
      </w:r>
      <w:r>
        <w:rPr>
          <w:b/>
          <w:bCs w:val="0"/>
          <w:color w:val="auto"/>
          <w:kern w:val="21"/>
          <w:sz w:val="24"/>
          <w:u w:val="single"/>
        </w:rPr>
        <w:instrText xml:space="preserve"> </w:instrText>
      </w:r>
      <w:r>
        <w:rPr>
          <w:b/>
          <w:bCs w:val="0"/>
          <w:color w:val="auto"/>
          <w:kern w:val="21"/>
          <w:sz w:val="24"/>
          <w:u w:val="single"/>
        </w:rPr>
        <w:fldChar w:fldCharType="separate"/>
      </w:r>
      <w:r>
        <w:rPr>
          <w:rFonts w:hint="eastAsia"/>
          <w:b/>
          <w:bCs w:val="0"/>
          <w:color w:val="auto"/>
          <w:kern w:val="21"/>
          <w:sz w:val="24"/>
          <w:u w:val="single"/>
        </w:rPr>
        <w:t>③</w:t>
      </w:r>
      <w:r>
        <w:rPr>
          <w:b/>
          <w:bCs w:val="0"/>
          <w:color w:val="auto"/>
          <w:kern w:val="21"/>
          <w:sz w:val="24"/>
          <w:u w:val="single"/>
        </w:rPr>
        <w:fldChar w:fldCharType="end"/>
      </w:r>
      <w:r>
        <w:rPr>
          <w:rFonts w:hint="eastAsia"/>
          <w:b/>
          <w:bCs w:val="0"/>
          <w:color w:val="auto"/>
          <w:kern w:val="21"/>
          <w:sz w:val="24"/>
          <w:u w:val="single"/>
        </w:rPr>
        <w:t>DTRO</w:t>
      </w:r>
    </w:p>
    <w:p>
      <w:pPr>
        <w:pStyle w:val="32"/>
        <w:adjustRightInd w:val="0"/>
        <w:snapToGrid w:val="0"/>
        <w:spacing w:after="0" w:line="360" w:lineRule="auto"/>
        <w:ind w:firstLine="482" w:firstLineChars="200"/>
        <w:rPr>
          <w:b/>
          <w:bCs w:val="0"/>
          <w:color w:val="auto"/>
          <w:kern w:val="0"/>
          <w:sz w:val="24"/>
          <w:u w:val="single"/>
        </w:rPr>
      </w:pPr>
      <w:r>
        <w:rPr>
          <w:b/>
          <w:bCs w:val="0"/>
          <w:color w:val="auto"/>
          <w:kern w:val="0"/>
          <w:sz w:val="24"/>
          <w:u w:val="single"/>
        </w:rPr>
        <w:t>DTRO（碟管式反渗透），是一种专利型膜分离组件。该技术是专门针对高浓度料液的过滤分离而开发的， DTRO独特的宽流道、抗污染和耐高</w:t>
      </w:r>
      <w:r>
        <w:rPr>
          <w:rFonts w:hint="eastAsia"/>
          <w:b/>
          <w:bCs w:val="0"/>
          <w:color w:val="auto"/>
          <w:kern w:val="0"/>
          <w:sz w:val="24"/>
          <w:u w:val="single"/>
        </w:rPr>
        <w:t>压膜片的设计，可适应比传统卷式</w:t>
      </w:r>
      <w:r>
        <w:rPr>
          <w:b/>
          <w:bCs w:val="0"/>
          <w:color w:val="auto"/>
          <w:kern w:val="0"/>
          <w:sz w:val="24"/>
          <w:u w:val="single"/>
        </w:rPr>
        <w:t xml:space="preserve"> RO更差水质的进水要求，因此，可用于对传统卷式 RO 再浓缩，最终回收率可达</w:t>
      </w:r>
      <w:r>
        <w:rPr>
          <w:rFonts w:hint="eastAsia"/>
          <w:b/>
          <w:bCs w:val="0"/>
          <w:color w:val="auto"/>
          <w:kern w:val="0"/>
          <w:sz w:val="24"/>
          <w:u w:val="single"/>
          <w:lang w:eastAsia="zh-CN"/>
        </w:rPr>
        <w:t>75%-90%</w:t>
      </w:r>
      <w:r>
        <w:rPr>
          <w:b/>
          <w:bCs w:val="0"/>
          <w:color w:val="auto"/>
          <w:kern w:val="0"/>
          <w:sz w:val="24"/>
          <w:u w:val="single"/>
        </w:rPr>
        <w:t>，可大大降低后续热浓缩的处理量，有效降低热浓缩设备的投资和运行费用。</w:t>
      </w:r>
    </w:p>
    <w:p>
      <w:pPr>
        <w:pStyle w:val="32"/>
        <w:adjustRightInd w:val="0"/>
        <w:snapToGrid w:val="0"/>
        <w:spacing w:after="0" w:line="360" w:lineRule="auto"/>
        <w:ind w:firstLine="482" w:firstLineChars="200"/>
        <w:rPr>
          <w:b/>
          <w:bCs w:val="0"/>
          <w:color w:val="auto"/>
          <w:kern w:val="0"/>
          <w:sz w:val="24"/>
          <w:u w:val="single"/>
        </w:rPr>
      </w:pPr>
      <w:r>
        <w:rPr>
          <w:b/>
          <w:bCs w:val="0"/>
          <w:color w:val="auto"/>
          <w:kern w:val="0"/>
          <w:sz w:val="24"/>
          <w:u w:val="single"/>
        </w:rPr>
        <w:t>结构组成：DTRO 主要由过滤膜片、导流盘、中心拉杆、高压容器、两端法兰、各种密封件及</w:t>
      </w:r>
      <w:r>
        <w:rPr>
          <w:rFonts w:hint="eastAsia"/>
          <w:b/>
          <w:bCs w:val="0"/>
          <w:color w:val="auto"/>
          <w:kern w:val="0"/>
          <w:sz w:val="24"/>
          <w:u w:val="single"/>
          <w:lang w:eastAsia="zh-CN"/>
        </w:rPr>
        <w:t>连接</w:t>
      </w:r>
      <w:r>
        <w:rPr>
          <w:b/>
          <w:bCs w:val="0"/>
          <w:color w:val="auto"/>
          <w:kern w:val="0"/>
          <w:sz w:val="24"/>
          <w:u w:val="single"/>
        </w:rPr>
        <w:t xml:space="preserve">螺栓等组成。过滤膜片和导流盘交替叠放，中心拉杆串成模芯置入高压容器后两端法兰进行固定，再用拉杆结合形成。 </w:t>
      </w:r>
    </w:p>
    <w:p>
      <w:pPr>
        <w:pStyle w:val="32"/>
        <w:adjustRightInd w:val="0"/>
        <w:snapToGrid w:val="0"/>
        <w:spacing w:after="0" w:line="360" w:lineRule="auto"/>
        <w:ind w:firstLine="482" w:firstLineChars="200"/>
        <w:rPr>
          <w:b/>
          <w:bCs w:val="0"/>
          <w:color w:val="auto"/>
          <w:kern w:val="0"/>
          <w:sz w:val="24"/>
          <w:u w:val="single"/>
        </w:rPr>
      </w:pPr>
      <w:r>
        <w:rPr>
          <w:rFonts w:hint="eastAsia"/>
          <w:b/>
          <w:bCs w:val="0"/>
          <w:color w:val="auto"/>
          <w:kern w:val="0"/>
          <w:sz w:val="24"/>
          <w:u w:val="single"/>
        </w:rPr>
        <w:t>工作原理：原水通过膜芯与高压容器的间隙到达膜元件底部，均匀布流进入导流盘，在导流盘表面以雷达扫描方式流动，从投币式切口进入下一组导流盘和膜片，在整个膜柱内呈涡流状流动，产水通过中心管排出膜元件。</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0"/>
          <w:sz w:val="24"/>
          <w:u w:val="single"/>
          <w:lang w:bidi="ar"/>
        </w:rPr>
        <w:t>DTRO 对 COD、</w:t>
      </w:r>
      <w:r>
        <w:rPr>
          <w:rFonts w:hint="eastAsia"/>
          <w:b/>
          <w:bCs w:val="0"/>
          <w:color w:val="auto"/>
          <w:kern w:val="0"/>
          <w:sz w:val="24"/>
          <w:u w:val="single"/>
          <w:lang w:bidi="ar"/>
        </w:rPr>
        <w:t>无</w:t>
      </w:r>
      <w:r>
        <w:rPr>
          <w:b/>
          <w:bCs w:val="0"/>
          <w:color w:val="auto"/>
          <w:kern w:val="0"/>
          <w:sz w:val="24"/>
          <w:u w:val="single"/>
          <w:lang w:bidi="ar"/>
        </w:rPr>
        <w:t>机盐的截留率在 99%以上，有效保证出</w:t>
      </w:r>
      <w:r>
        <w:rPr>
          <w:rFonts w:hint="eastAsia"/>
          <w:b/>
          <w:bCs w:val="0"/>
          <w:color w:val="auto"/>
          <w:kern w:val="0"/>
          <w:sz w:val="24"/>
          <w:u w:val="single"/>
          <w:lang w:bidi="ar"/>
        </w:rPr>
        <w:t>水水</w:t>
      </w:r>
      <w:r>
        <w:rPr>
          <w:b/>
          <w:bCs w:val="0"/>
          <w:color w:val="auto"/>
          <w:kern w:val="0"/>
          <w:sz w:val="24"/>
          <w:u w:val="single"/>
          <w:lang w:bidi="ar"/>
        </w:rPr>
        <w:t xml:space="preserve">质； </w:t>
      </w:r>
      <w:r>
        <w:rPr>
          <w:rFonts w:hint="eastAsia"/>
          <w:b/>
          <w:bCs w:val="0"/>
          <w:color w:val="auto"/>
          <w:kern w:val="0"/>
          <w:sz w:val="24"/>
          <w:u w:val="single"/>
          <w:lang w:bidi="ar"/>
        </w:rPr>
        <w:t>大大</w:t>
      </w:r>
      <w:r>
        <w:rPr>
          <w:b/>
          <w:bCs w:val="0"/>
          <w:color w:val="auto"/>
          <w:kern w:val="0"/>
          <w:sz w:val="24"/>
          <w:u w:val="single"/>
          <w:lang w:bidi="ar"/>
        </w:rPr>
        <w:t>简化了废</w:t>
      </w:r>
      <w:r>
        <w:rPr>
          <w:rFonts w:hint="eastAsia"/>
          <w:b/>
          <w:bCs w:val="0"/>
          <w:color w:val="auto"/>
          <w:kern w:val="0"/>
          <w:sz w:val="24"/>
          <w:u w:val="single"/>
          <w:lang w:bidi="ar"/>
        </w:rPr>
        <w:t>水</w:t>
      </w:r>
      <w:r>
        <w:rPr>
          <w:b/>
          <w:bCs w:val="0"/>
          <w:color w:val="auto"/>
          <w:kern w:val="0"/>
          <w:sz w:val="24"/>
          <w:u w:val="single"/>
          <w:lang w:bidi="ar"/>
        </w:rPr>
        <w:t>治理的工艺流程、废</w:t>
      </w:r>
      <w:r>
        <w:rPr>
          <w:rFonts w:hint="eastAsia"/>
          <w:b/>
          <w:bCs w:val="0"/>
          <w:color w:val="auto"/>
          <w:kern w:val="0"/>
          <w:sz w:val="24"/>
          <w:u w:val="single"/>
          <w:lang w:bidi="ar"/>
        </w:rPr>
        <w:t>水</w:t>
      </w:r>
      <w:r>
        <w:rPr>
          <w:b/>
          <w:bCs w:val="0"/>
          <w:color w:val="auto"/>
          <w:kern w:val="0"/>
          <w:sz w:val="24"/>
          <w:u w:val="single"/>
          <w:lang w:bidi="ar"/>
        </w:rPr>
        <w:t>只需简单预处理就可进</w:t>
      </w:r>
      <w:r>
        <w:rPr>
          <w:rFonts w:hint="eastAsia"/>
          <w:b/>
          <w:bCs w:val="0"/>
          <w:color w:val="auto"/>
          <w:kern w:val="0"/>
          <w:sz w:val="24"/>
          <w:u w:val="single"/>
          <w:lang w:bidi="ar"/>
        </w:rPr>
        <w:t>入</w:t>
      </w:r>
      <w:r>
        <w:rPr>
          <w:b/>
          <w:bCs w:val="0"/>
          <w:color w:val="auto"/>
          <w:kern w:val="0"/>
          <w:sz w:val="24"/>
          <w:u w:val="single"/>
          <w:lang w:bidi="ar"/>
        </w:rPr>
        <w:t>膜系统，从</w:t>
      </w:r>
      <w:r>
        <w:rPr>
          <w:rFonts w:hint="eastAsia"/>
          <w:b/>
          <w:bCs w:val="0"/>
          <w:color w:val="auto"/>
          <w:kern w:val="0"/>
          <w:sz w:val="24"/>
          <w:u w:val="single"/>
          <w:lang w:bidi="ar"/>
        </w:rPr>
        <w:t>而大大</w:t>
      </w:r>
      <w:r>
        <w:rPr>
          <w:b/>
          <w:bCs w:val="0"/>
          <w:color w:val="auto"/>
          <w:kern w:val="0"/>
          <w:sz w:val="24"/>
          <w:u w:val="single"/>
          <w:lang w:bidi="ar"/>
        </w:rPr>
        <w:t>降低了环保的建设成本和污</w:t>
      </w:r>
      <w:r>
        <w:rPr>
          <w:rFonts w:hint="eastAsia"/>
          <w:b/>
          <w:bCs w:val="0"/>
          <w:color w:val="auto"/>
          <w:kern w:val="0"/>
          <w:sz w:val="24"/>
          <w:u w:val="single"/>
          <w:lang w:bidi="ar"/>
        </w:rPr>
        <w:t>水</w:t>
      </w:r>
      <w:r>
        <w:rPr>
          <w:b/>
          <w:bCs w:val="0"/>
          <w:color w:val="auto"/>
          <w:kern w:val="0"/>
          <w:sz w:val="24"/>
          <w:u w:val="single"/>
          <w:lang w:bidi="ar"/>
        </w:rPr>
        <w:t>处理的运</w:t>
      </w:r>
      <w:r>
        <w:rPr>
          <w:rFonts w:hint="eastAsia"/>
          <w:b/>
          <w:bCs w:val="0"/>
          <w:color w:val="auto"/>
          <w:kern w:val="0"/>
          <w:sz w:val="24"/>
          <w:u w:val="single"/>
          <w:lang w:bidi="ar"/>
        </w:rPr>
        <w:t>行</w:t>
      </w:r>
      <w:r>
        <w:rPr>
          <w:b/>
          <w:bCs w:val="0"/>
          <w:color w:val="auto"/>
          <w:kern w:val="0"/>
          <w:sz w:val="24"/>
          <w:u w:val="single"/>
          <w:lang w:bidi="ar"/>
        </w:rPr>
        <w:t>费</w:t>
      </w:r>
      <w:r>
        <w:rPr>
          <w:rFonts w:hint="eastAsia"/>
          <w:b/>
          <w:bCs w:val="0"/>
          <w:color w:val="auto"/>
          <w:kern w:val="0"/>
          <w:sz w:val="24"/>
          <w:u w:val="single"/>
          <w:lang w:bidi="ar"/>
        </w:rPr>
        <w:t>用。</w:t>
      </w:r>
    </w:p>
    <w:p>
      <w:pPr>
        <w:pStyle w:val="32"/>
        <w:adjustRightInd w:val="0"/>
        <w:snapToGrid w:val="0"/>
        <w:spacing w:after="0" w:line="360" w:lineRule="auto"/>
        <w:rPr>
          <w:b/>
          <w:bCs w:val="0"/>
          <w:color w:val="auto"/>
          <w:kern w:val="21"/>
          <w:sz w:val="24"/>
          <w:u w:val="single"/>
        </w:rPr>
      </w:pPr>
      <w:r>
        <w:rPr>
          <w:b/>
          <w:bCs w:val="0"/>
          <w:color w:val="auto"/>
          <w:u w:val="single"/>
          <w:lang w:val="en-US"/>
        </w:rPr>
        <w:drawing>
          <wp:inline distT="0" distB="0" distL="0" distR="0">
            <wp:extent cx="5273675" cy="3955415"/>
            <wp:effectExtent l="9525" t="9525" r="12700" b="16510"/>
            <wp:docPr id="1389" name="图片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389"/>
                    <pic:cNvPicPr>
                      <a:picLocks noChangeAspect="1" noChangeArrowheads="1"/>
                    </pic:cNvPicPr>
                  </pic:nvPicPr>
                  <pic:blipFill>
                    <a:blip r:embed="rId169"/>
                    <a:srcRect/>
                    <a:stretch>
                      <a:fillRect/>
                    </a:stretch>
                  </pic:blipFill>
                  <pic:spPr>
                    <a:xfrm>
                      <a:off x="0" y="0"/>
                      <a:ext cx="5273675" cy="3955415"/>
                    </a:xfrm>
                    <a:prstGeom prst="rect">
                      <a:avLst/>
                    </a:prstGeom>
                    <a:noFill/>
                    <a:ln>
                      <a:solidFill>
                        <a:schemeClr val="tx1"/>
                      </a:solidFill>
                    </a:ln>
                  </pic:spPr>
                </pic:pic>
              </a:graphicData>
            </a:graphic>
          </wp:inline>
        </w:drawing>
      </w:r>
    </w:p>
    <w:p>
      <w:pPr>
        <w:pStyle w:val="32"/>
        <w:adjustRightInd w:val="0"/>
        <w:snapToGrid w:val="0"/>
        <w:spacing w:after="0" w:line="360" w:lineRule="auto"/>
        <w:ind w:firstLine="482" w:firstLineChars="200"/>
        <w:jc w:val="center"/>
        <w:rPr>
          <w:b/>
          <w:bCs w:val="0"/>
          <w:color w:val="auto"/>
          <w:kern w:val="21"/>
          <w:sz w:val="24"/>
          <w:u w:val="single"/>
        </w:rPr>
      </w:pPr>
      <w:r>
        <w:rPr>
          <w:rFonts w:hint="eastAsia" w:ascii="黑体" w:hAnsi="黑体" w:eastAsia="黑体" w:cs="黑体"/>
          <w:b/>
          <w:bCs w:val="0"/>
          <w:color w:val="auto"/>
          <w:kern w:val="0"/>
          <w:sz w:val="24"/>
          <w:u w:val="single"/>
          <w:lang w:bidi="ar"/>
        </w:rPr>
        <w:t>图7.2-9   DTRO设备现场图</w:t>
      </w:r>
    </w:p>
    <w:p>
      <w:pPr>
        <w:pStyle w:val="32"/>
        <w:adjustRightInd w:val="0"/>
        <w:snapToGrid w:val="0"/>
        <w:spacing w:after="0" w:line="360" w:lineRule="auto"/>
        <w:ind w:firstLine="482" w:firstLineChars="200"/>
        <w:rPr>
          <w:b/>
          <w:bCs w:val="0"/>
          <w:color w:val="auto"/>
          <w:kern w:val="21"/>
          <w:sz w:val="24"/>
          <w:u w:val="single"/>
        </w:rPr>
      </w:pPr>
      <w:r>
        <w:rPr>
          <w:b/>
          <w:bCs w:val="0"/>
          <w:color w:val="auto"/>
          <w:kern w:val="21"/>
          <w:sz w:val="24"/>
          <w:u w:val="single"/>
        </w:rPr>
        <w:fldChar w:fldCharType="begin"/>
      </w:r>
      <w:r>
        <w:rPr>
          <w:b/>
          <w:bCs w:val="0"/>
          <w:color w:val="auto"/>
          <w:kern w:val="21"/>
          <w:sz w:val="24"/>
          <w:u w:val="single"/>
        </w:rPr>
        <w:instrText xml:space="preserve"> </w:instrText>
      </w:r>
      <w:r>
        <w:rPr>
          <w:rFonts w:hint="eastAsia"/>
          <w:b/>
          <w:bCs w:val="0"/>
          <w:color w:val="auto"/>
          <w:kern w:val="21"/>
          <w:sz w:val="24"/>
          <w:u w:val="single"/>
        </w:rPr>
        <w:instrText xml:space="preserve">= 4 \* GB3</w:instrText>
      </w:r>
      <w:r>
        <w:rPr>
          <w:b/>
          <w:bCs w:val="0"/>
          <w:color w:val="auto"/>
          <w:kern w:val="21"/>
          <w:sz w:val="24"/>
          <w:u w:val="single"/>
        </w:rPr>
        <w:instrText xml:space="preserve"> </w:instrText>
      </w:r>
      <w:r>
        <w:rPr>
          <w:b/>
          <w:bCs w:val="0"/>
          <w:color w:val="auto"/>
          <w:kern w:val="21"/>
          <w:sz w:val="24"/>
          <w:u w:val="single"/>
        </w:rPr>
        <w:fldChar w:fldCharType="separate"/>
      </w:r>
      <w:r>
        <w:rPr>
          <w:rFonts w:hint="eastAsia"/>
          <w:b/>
          <w:bCs w:val="0"/>
          <w:color w:val="auto"/>
          <w:kern w:val="21"/>
          <w:sz w:val="24"/>
          <w:u w:val="single"/>
        </w:rPr>
        <w:t>④</w:t>
      </w:r>
      <w:r>
        <w:rPr>
          <w:b/>
          <w:bCs w:val="0"/>
          <w:color w:val="auto"/>
          <w:kern w:val="21"/>
          <w:sz w:val="24"/>
          <w:u w:val="single"/>
        </w:rPr>
        <w:fldChar w:fldCharType="end"/>
      </w:r>
      <w:r>
        <w:rPr>
          <w:rFonts w:hint="eastAsia"/>
          <w:b/>
          <w:bCs w:val="0"/>
          <w:color w:val="auto"/>
          <w:kern w:val="21"/>
          <w:sz w:val="24"/>
          <w:u w:val="single"/>
        </w:rPr>
        <w:t>MVR</w:t>
      </w:r>
      <w:r>
        <w:rPr>
          <w:rFonts w:hint="eastAsia"/>
          <w:b/>
          <w:bCs w:val="0"/>
          <w:color w:val="auto"/>
          <w:kern w:val="21"/>
          <w:sz w:val="24"/>
          <w:u w:val="single"/>
          <w:lang w:val="en-US"/>
        </w:rPr>
        <w:t>蒸发</w:t>
      </w:r>
    </w:p>
    <w:p>
      <w:pPr>
        <w:pStyle w:val="32"/>
        <w:adjustRightInd w:val="0"/>
        <w:snapToGrid w:val="0"/>
        <w:spacing w:after="0" w:line="360" w:lineRule="auto"/>
        <w:ind w:firstLine="482" w:firstLineChars="200"/>
        <w:rPr>
          <w:b/>
          <w:bCs w:val="0"/>
          <w:color w:val="auto"/>
          <w:kern w:val="21"/>
          <w:sz w:val="24"/>
          <w:u w:val="single"/>
          <w:lang w:val="en-US"/>
        </w:rPr>
      </w:pPr>
      <w:r>
        <w:rPr>
          <w:rFonts w:hint="eastAsia"/>
          <w:b/>
          <w:bCs w:val="0"/>
          <w:color w:val="auto"/>
          <w:kern w:val="21"/>
          <w:sz w:val="24"/>
          <w:u w:val="single"/>
          <w:lang w:val="en-US"/>
        </w:rPr>
        <w:t>蒸发采用</w:t>
      </w:r>
      <w:r>
        <w:rPr>
          <w:b/>
          <w:bCs w:val="0"/>
          <w:color w:val="auto"/>
          <w:kern w:val="21"/>
          <w:sz w:val="24"/>
          <w:u w:val="single"/>
          <w:lang w:val="en-US"/>
        </w:rPr>
        <w:t>MVR</w:t>
      </w:r>
      <w:r>
        <w:rPr>
          <w:rFonts w:hint="eastAsia"/>
          <w:b/>
          <w:bCs w:val="0"/>
          <w:color w:val="auto"/>
          <w:kern w:val="21"/>
          <w:sz w:val="24"/>
          <w:u w:val="single"/>
          <w:lang w:val="en-US"/>
        </w:rPr>
        <w:t>蒸发系统，蒸发规模36m</w:t>
      </w:r>
      <w:r>
        <w:rPr>
          <w:rFonts w:hint="eastAsia"/>
          <w:b/>
          <w:bCs w:val="0"/>
          <w:color w:val="auto"/>
          <w:kern w:val="21"/>
          <w:sz w:val="24"/>
          <w:u w:val="single"/>
          <w:vertAlign w:val="superscript"/>
          <w:lang w:val="en-US"/>
        </w:rPr>
        <w:t>3</w:t>
      </w:r>
      <w:r>
        <w:rPr>
          <w:rFonts w:hint="eastAsia"/>
          <w:b/>
          <w:bCs w:val="0"/>
          <w:color w:val="auto"/>
          <w:kern w:val="21"/>
          <w:sz w:val="24"/>
          <w:u w:val="single"/>
          <w:lang w:val="en-US"/>
        </w:rPr>
        <w:t>/d，包含废水蒸发系统、结晶物分离系统等主要功能，蒸发热源来源于厂区的天然气锅炉。</w:t>
      </w:r>
    </w:p>
    <w:p>
      <w:pPr>
        <w:pStyle w:val="32"/>
        <w:adjustRightInd w:val="0"/>
        <w:snapToGrid w:val="0"/>
        <w:spacing w:after="0" w:line="360" w:lineRule="auto"/>
        <w:ind w:firstLine="482" w:firstLineChars="200"/>
        <w:rPr>
          <w:b/>
          <w:bCs w:val="0"/>
          <w:color w:val="auto"/>
          <w:kern w:val="21"/>
          <w:sz w:val="24"/>
          <w:u w:val="single"/>
          <w:lang w:val="en-US"/>
        </w:rPr>
      </w:pPr>
      <w:r>
        <w:rPr>
          <w:rFonts w:hint="eastAsia"/>
          <w:b/>
          <w:bCs w:val="0"/>
          <w:color w:val="auto"/>
          <w:kern w:val="21"/>
          <w:sz w:val="24"/>
          <w:u w:val="single"/>
          <w:lang w:val="en-US"/>
        </w:rPr>
        <w:t>蒸发原理：经过RO处理后的含重金属浓水被泵入板式热交换器，液体被喷淋到热交换管的外面形成薄膜，蒸发发生在管外，形成二次蒸汽，这些二次蒸汽经蒸汽压缩机压缩提温后进入到热交换管的管内，管内的高温蒸汽把热量传递给管外的喷淋液后，高温蒸汽被冷凝变成蒸馏水，而管外的喷淋液被加热后部分被蒸发变成蒸汽。经低能耗</w:t>
      </w:r>
      <w:r>
        <w:rPr>
          <w:b/>
          <w:bCs w:val="0"/>
          <w:color w:val="auto"/>
          <w:kern w:val="21"/>
          <w:sz w:val="24"/>
          <w:u w:val="single"/>
          <w:lang w:val="en-US"/>
        </w:rPr>
        <w:t xml:space="preserve">MVR </w:t>
      </w:r>
      <w:r>
        <w:rPr>
          <w:rFonts w:hint="eastAsia"/>
          <w:b/>
          <w:bCs w:val="0"/>
          <w:color w:val="auto"/>
          <w:kern w:val="21"/>
          <w:sz w:val="24"/>
          <w:u w:val="single"/>
          <w:lang w:val="en-US"/>
        </w:rPr>
        <w:t>强制循环蒸发浓缩后成过饱和溶液，浓缩液最后进入稠厚器，稠厚晶体排至固液分离系统分离，母液回流至上级处理系统，结晶体进入危废暂存库暂存。</w:t>
      </w:r>
    </w:p>
    <w:p>
      <w:pPr>
        <w:pStyle w:val="32"/>
        <w:adjustRightInd w:val="0"/>
        <w:snapToGrid w:val="0"/>
        <w:spacing w:after="0" w:line="360" w:lineRule="auto"/>
        <w:ind w:firstLine="482" w:firstLineChars="200"/>
        <w:rPr>
          <w:b/>
          <w:bCs w:val="0"/>
          <w:color w:val="auto"/>
          <w:kern w:val="21"/>
          <w:sz w:val="24"/>
          <w:u w:val="single"/>
          <w:lang w:val="en-US"/>
        </w:rPr>
      </w:pPr>
      <w:r>
        <w:rPr>
          <w:rFonts w:hint="eastAsia"/>
          <w:b/>
          <w:bCs w:val="0"/>
          <w:color w:val="auto"/>
          <w:kern w:val="21"/>
          <w:sz w:val="24"/>
          <w:u w:val="single"/>
          <w:lang w:val="en-US"/>
        </w:rPr>
        <w:t>本项目采用的蒸发工艺是目前现有蒸发工艺中能耗低效率较高的蒸发工艺，该蒸发工艺主要是运用蒸汽的特性，当蒸汽经压缩机压缩后，其压力和温度得到逐步提升。当较高温度的蒸汽进入蒸发器的换热管里，而热井循环液（膜处理后的浓水）在管外喷淋时，蒸汽在冷凝管里面冷凝形成冷凝水，蒸汽的热焓传给管外的喷淋水，这样连续进行蒸发。在整个系统中能量的输入只有压缩机的马达和保持系统稳定操作的很少量蒸汽热源。</w:t>
      </w:r>
    </w:p>
    <w:p>
      <w:pPr>
        <w:pStyle w:val="32"/>
        <w:adjustRightInd w:val="0"/>
        <w:snapToGrid w:val="0"/>
        <w:spacing w:after="0" w:line="360" w:lineRule="auto"/>
        <w:ind w:firstLine="482" w:firstLineChars="200"/>
        <w:rPr>
          <w:b/>
          <w:bCs w:val="0"/>
          <w:color w:val="auto"/>
          <w:kern w:val="21"/>
          <w:sz w:val="24"/>
          <w:u w:val="single"/>
          <w:lang w:val="en-US"/>
        </w:rPr>
      </w:pPr>
      <w:r>
        <w:rPr>
          <w:b/>
          <w:bCs w:val="0"/>
          <w:color w:val="auto"/>
          <w:kern w:val="21"/>
          <w:sz w:val="24"/>
          <w:u w:val="single"/>
          <w:lang w:val="en-US"/>
        </w:rPr>
        <w:t xml:space="preserve">MVR </w:t>
      </w:r>
      <w:r>
        <w:rPr>
          <w:rFonts w:hint="eastAsia"/>
          <w:b/>
          <w:bCs w:val="0"/>
          <w:color w:val="auto"/>
          <w:kern w:val="21"/>
          <w:sz w:val="24"/>
          <w:u w:val="single"/>
          <w:lang w:val="en-US"/>
        </w:rPr>
        <w:t>蒸发系统工艺流程见下图</w:t>
      </w:r>
    </w:p>
    <w:p>
      <w:pPr>
        <w:pStyle w:val="32"/>
        <w:adjustRightInd w:val="0"/>
        <w:snapToGrid w:val="0"/>
        <w:spacing w:after="0" w:line="360" w:lineRule="auto"/>
        <w:rPr>
          <w:b/>
          <w:bCs w:val="0"/>
          <w:color w:val="auto"/>
          <w:kern w:val="21"/>
          <w:sz w:val="24"/>
          <w:u w:val="single"/>
          <w:lang w:val="en-US"/>
        </w:rPr>
      </w:pPr>
      <w:r>
        <w:rPr>
          <w:rFonts w:hint="eastAsia"/>
          <w:b/>
          <w:bCs w:val="0"/>
          <w:color w:val="auto"/>
          <w:kern w:val="21"/>
          <w:sz w:val="24"/>
          <w:u w:val="single"/>
          <w:lang w:val="en-US"/>
        </w:rPr>
        <mc:AlternateContent>
          <mc:Choice Requires="wpc">
            <w:drawing>
              <wp:inline distT="0" distB="0" distL="0" distR="0">
                <wp:extent cx="5279390" cy="1196975"/>
                <wp:effectExtent l="0" t="0" r="0" b="0"/>
                <wp:docPr id="1404" name="画布 140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30" name="矩形 1390"/>
                        <wps:cNvSpPr/>
                        <wps:spPr>
                          <a:xfrm>
                            <a:off x="1153887" y="54429"/>
                            <a:ext cx="1055914" cy="304800"/>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热回收装置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1" name="矩形 1391"/>
                        <wps:cNvSpPr/>
                        <wps:spPr>
                          <a:xfrm>
                            <a:off x="2612573" y="54429"/>
                            <a:ext cx="1055914" cy="304800"/>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MVR蒸发系统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2" name="矩形 1392"/>
                        <wps:cNvSpPr/>
                        <wps:spPr>
                          <a:xfrm>
                            <a:off x="2612573" y="816430"/>
                            <a:ext cx="1055914" cy="304800"/>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固液分离系统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3" name="矩形 1393"/>
                        <wps:cNvSpPr/>
                        <wps:spPr>
                          <a:xfrm>
                            <a:off x="4071259" y="54429"/>
                            <a:ext cx="1055914" cy="304800"/>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冷凝水回流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4" name="矩形 1394"/>
                        <wps:cNvSpPr/>
                        <wps:spPr>
                          <a:xfrm>
                            <a:off x="4071259" y="816430"/>
                            <a:ext cx="1055914" cy="304800"/>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结晶盐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5" name="矩形 1395"/>
                        <wps:cNvSpPr/>
                        <wps:spPr>
                          <a:xfrm>
                            <a:off x="0" y="54430"/>
                            <a:ext cx="827314" cy="304800"/>
                          </a:xfrm>
                          <a:prstGeom prst="rect">
                            <a:avLst/>
                          </a:prstGeom>
                          <a:noFill/>
                          <a:ln w="9525">
                            <a:noFill/>
                          </a:ln>
                        </wps:spPr>
                        <wps:style>
                          <a:lnRef idx="2">
                            <a:schemeClr val="accent6"/>
                          </a:lnRef>
                          <a:fillRef idx="1">
                            <a:schemeClr val="lt1"/>
                          </a:fillRef>
                          <a:effectRef idx="0">
                            <a:schemeClr val="accent6"/>
                          </a:effectRef>
                          <a:fontRef idx="minor">
                            <a:schemeClr val="dk1"/>
                          </a:fontRef>
                        </wps:style>
                        <wps:txbx>
                          <w:txbxContent>
                            <w:p>
                              <w:pPr>
                                <w:jc w:val="center"/>
                              </w:pPr>
                              <w:r>
                                <w:rPr>
                                  <w:rFonts w:hint="eastAsia"/>
                                </w:rPr>
                                <w:t>上级来水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6" name="直接箭头连接符 1396"/>
                        <wps:cNvCnPr/>
                        <wps:spPr>
                          <a:xfrm flipV="1">
                            <a:off x="827314" y="206829"/>
                            <a:ext cx="326573" cy="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7" name="直接箭头连接符 1397"/>
                        <wps:cNvCnPr/>
                        <wps:spPr>
                          <a:xfrm>
                            <a:off x="2209801" y="206829"/>
                            <a:ext cx="402772"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8" name="直接箭头连接符 1398"/>
                        <wps:cNvCnPr/>
                        <wps:spPr>
                          <a:xfrm>
                            <a:off x="3668487" y="206829"/>
                            <a:ext cx="402772" cy="0"/>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39" name="直接箭头连接符 1400"/>
                        <wps:cNvCnPr/>
                        <wps:spPr>
                          <a:xfrm flipV="1">
                            <a:off x="3668487" y="979715"/>
                            <a:ext cx="511627" cy="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0" name="直接箭头连接符 1402"/>
                        <wps:cNvCnPr/>
                        <wps:spPr>
                          <a:xfrm>
                            <a:off x="3140530" y="359229"/>
                            <a:ext cx="0" cy="457201"/>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641" name="肘形连接符 1403"/>
                        <wps:cNvCnPr/>
                        <wps:spPr>
                          <a:xfrm rot="10800000">
                            <a:off x="1153887" y="359229"/>
                            <a:ext cx="1469572" cy="620485"/>
                          </a:xfrm>
                          <a:prstGeom prst="bentConnector2">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94.25pt;width:415.7pt;" coordsize="5279390,1196975" editas="canvas" o:gfxdata="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">
                <o:lock v:ext="edit" aspectratio="f"/>
                <v:shape id="_x0000_s1026" o:spid="_x0000_s1026" style="position:absolute;left:0;top:0;height:1196975;width:5279390;" filled="f" stroked="f" coordsize="21600,21600" o:gfxdata="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">
                  <v:fill on="f" focussize="0,0"/>
                  <v:stroke on="f"/>
                  <v:imagedata o:title=""/>
                  <o:lock v:ext="edit" aspectratio="t"/>
                </v:shape>
                <v:rect id="矩形 1390" o:spid="_x0000_s1026" o:spt="1" style="position:absolute;left:1153887;top:54429;height:304800;width:1055914;v-text-anchor:middle;" filled="f" stroked="t" coordsize="21600,21600" o:gfxdata="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1GNlrVAAAABQEAAA8AAAAAAAAAAQAgAAAAIgAAAGRycy9kb3ducmV2&#10;LnhtbFBLAQIUABQAAAAIAIdO4kD4OkRacQIAAM0EAAAOAAAAAAAAAAEAIAAAACQBAABkcnMvZTJv&#10;RG9jLnhtbFBLBQYAAAAABgAGAFkBAAAHBgAAAAA=&#10;">
                  <v:fill on="f" focussize="0,0"/>
                  <v:stroke color="#000000 [3213]" joinstyle="round"/>
                  <v:imagedata o:title=""/>
                  <o:lock v:ext="edit" aspectratio="f"/>
                  <v:textbox>
                    <w:txbxContent>
                      <w:p>
                        <w:pPr>
                          <w:jc w:val="center"/>
                        </w:pPr>
                        <w:r>
                          <w:rPr>
                            <w:rFonts w:hint="eastAsia"/>
                          </w:rPr>
                          <w:t>热回收装置</w:t>
                        </w:r>
                      </w:p>
                    </w:txbxContent>
                  </v:textbox>
                </v:rect>
                <v:rect id="矩形 1391" o:spid="_x0000_s1026" o:spt="1" style="position:absolute;left:2612573;top:54429;height:304800;width:1055914;v-text-anchor:middle;" filled="f" stroked="t" coordsize="21600,21600" o:gfxdata="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7UY2WtUAAAAFAQAADwAAAAAAAAABACAAAAAiAAAAZHJzL2Rvd25y&#10;ZXYueG1sUEsBAhQAFAAAAAgAh07iQCSLe8VzAgAAzQQAAA4AAAAAAAAAAQAgAAAAJAEAAGRycy9l&#10;Mm9Eb2MueG1sUEsFBgAAAAAGAAYAWQEAAAkGAAAAAA==&#10;">
                  <v:fill on="f" focussize="0,0"/>
                  <v:stroke color="#000000 [3213]" joinstyle="round"/>
                  <v:imagedata o:title=""/>
                  <o:lock v:ext="edit" aspectratio="f"/>
                  <v:textbox>
                    <w:txbxContent>
                      <w:p>
                        <w:pPr>
                          <w:jc w:val="center"/>
                        </w:pPr>
                        <w:r>
                          <w:rPr>
                            <w:rFonts w:hint="eastAsia"/>
                          </w:rPr>
                          <w:t>MVR蒸发系统</w:t>
                        </w:r>
                      </w:p>
                    </w:txbxContent>
                  </v:textbox>
                </v:rect>
                <v:rect id="矩形 1392" o:spid="_x0000_s1026" o:spt="1" style="position:absolute;left:2612573;top:816430;height:304800;width:1055914;v-text-anchor:middle;" filled="f" stroked="t" coordsize="21600,21600" o:gfxdata="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tRjZa1QAAAAUBAAAPAAAAAAAAAAEAIAAAACIAAABkcnMvZG93bnJl&#10;di54bWxQSwECFAAUAAAACACHTuJAnMPp/3ICAADOBAAADgAAAAAAAAABACAAAAAkAQAAZHJzL2Uy&#10;b0RvYy54bWxQSwUGAAAAAAYABgBZAQAACAYAAAAA&#10;">
                  <v:fill on="f" focussize="0,0"/>
                  <v:stroke color="#000000 [3213]" joinstyle="round"/>
                  <v:imagedata o:title=""/>
                  <o:lock v:ext="edit" aspectratio="f"/>
                  <v:textbox>
                    <w:txbxContent>
                      <w:p>
                        <w:pPr>
                          <w:jc w:val="center"/>
                        </w:pPr>
                        <w:r>
                          <w:rPr>
                            <w:rFonts w:hint="eastAsia"/>
                          </w:rPr>
                          <w:t>固液分离系统</w:t>
                        </w:r>
                      </w:p>
                    </w:txbxContent>
                  </v:textbox>
                </v:rect>
                <v:rect id="矩形 1393" o:spid="_x0000_s1026" o:spt="1" style="position:absolute;left:4071259;top:54429;height:304800;width:1055914;v-text-anchor:middle;" filled="f" stroked="f" coordsize="21600,21600" o:gfxdata="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Mt&#10;b7XRAAAABQEAAA8AAAAAAAAAAQAgAAAAIgAAAGRycy9kb3ducmV2LnhtbFBLAQIUABQAAAAIAIdO&#10;4kDJZcBeYwIAAKQEAAAOAAAAAAAAAAEAIAAAACABAABkcnMvZTJvRG9jLnhtbFBLBQYAAAAABgAG&#10;AFkBAAD1BQAAAAA=&#10;">
                  <v:fill on="f" focussize="0,0"/>
                  <v:stroke on="f"/>
                  <v:imagedata o:title=""/>
                  <o:lock v:ext="edit" aspectratio="f"/>
                  <v:textbox>
                    <w:txbxContent>
                      <w:p>
                        <w:pPr>
                          <w:jc w:val="center"/>
                        </w:pPr>
                        <w:r>
                          <w:rPr>
                            <w:rFonts w:hint="eastAsia"/>
                          </w:rPr>
                          <w:t>冷凝水回流</w:t>
                        </w:r>
                      </w:p>
                    </w:txbxContent>
                  </v:textbox>
                </v:rect>
                <v:rect id="矩形 1394" o:spid="_x0000_s1026" o:spt="1" style="position:absolute;left:4071259;top:816430;height:304800;width:1055914;v-text-anchor:middle;" filled="f" stroked="f" coordsize="21600,21600" o:gfxdata="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Mt&#10;b7XRAAAABQEAAA8AAAAAAAAAAQAgAAAAIgAAAGRycy9kb3ducmV2LnhtbFBLAQIUABQAAAAIAIdO&#10;4kCkXvNRYwIAAKUEAAAOAAAAAAAAAAEAIAAAACABAABkcnMvZTJvRG9jLnhtbFBLBQYAAAAABgAG&#10;AFkBAAD1BQAAAAA=&#10;">
                  <v:fill on="f" focussize="0,0"/>
                  <v:stroke on="f"/>
                  <v:imagedata o:title=""/>
                  <o:lock v:ext="edit" aspectratio="f"/>
                  <v:textbox>
                    <w:txbxContent>
                      <w:p>
                        <w:pPr>
                          <w:jc w:val="center"/>
                        </w:pPr>
                        <w:r>
                          <w:rPr>
                            <w:rFonts w:hint="eastAsia"/>
                          </w:rPr>
                          <w:t>结晶盐</w:t>
                        </w:r>
                      </w:p>
                    </w:txbxContent>
                  </v:textbox>
                </v:rect>
                <v:rect id="矩形 1395" o:spid="_x0000_s1026" o:spt="1" style="position:absolute;left:0;top:54430;height:304800;width:827314;v-text-anchor:middle;" filled="f" stroked="f" coordsize="21600,21600" o:gfxdata="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zLW+10QAAAAUB&#10;AAAPAAAAAAAAAAEAIAAAACIAAABkcnMvZG93bnJldi54bWxQSwECFAAUAAAACACHTuJAeJU3XFsC&#10;AACdBAAADgAAAAAAAAABACAAAAAgAQAAZHJzL2Uyb0RvYy54bWxQSwUGAAAAAAYABgBZAQAA7QUA&#10;AAAA&#10;">
                  <v:fill on="f" focussize="0,0"/>
                  <v:stroke on="f"/>
                  <v:imagedata o:title=""/>
                  <o:lock v:ext="edit" aspectratio="f"/>
                  <v:textbox>
                    <w:txbxContent>
                      <w:p>
                        <w:pPr>
                          <w:jc w:val="center"/>
                        </w:pPr>
                        <w:r>
                          <w:rPr>
                            <w:rFonts w:hint="eastAsia"/>
                          </w:rPr>
                          <w:t>上级来水</w:t>
                        </w:r>
                      </w:p>
                    </w:txbxContent>
                  </v:textbox>
                </v:rect>
                <v:shape id="直接箭头连接符 1396" o:spid="_x0000_s1026" o:spt="32" type="#_x0000_t32" style="position:absolute;left:827314;top:206829;flip:y;height:1;width:326573;" filled="f" stroked="t" coordsize="21600,21600" o:gfxdata="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pCLZxdUAAAAFAQAADwAAAAAAAAABACAAAAAiAAAAZHJzL2Rvd25yZXYueG1sUEsBAhQAFAAAAAgA&#10;h07iQPPipu8oAgAAHgQAAA4AAAAAAAAAAQAgAAAAJAEAAGRycy9lMm9Eb2MueG1sUEsFBgAAAAAG&#10;AAYAWQEAAL4FAAAAAA==&#10;">
                  <v:fill on="f" focussize="0,0"/>
                  <v:stroke color="#000000 [3213]" joinstyle="round" endarrow="block"/>
                  <v:imagedata o:title=""/>
                  <o:lock v:ext="edit" aspectratio="f"/>
                </v:shape>
                <v:shape id="直接箭头连接符 1397" o:spid="_x0000_s1026" o:spt="32" type="#_x0000_t32" style="position:absolute;left:2209801;top:206829;height:0;width:402772;" filled="f" stroked="t" coordsize="21600,21600" o:gfxdata="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L7xu9YA&#10;AAAFAQAADwAAAAAAAAABACAAAAAiAAAAZHJzL2Rvd25yZXYueG1sUEsBAhQAFAAAAAgAh07iQDbu&#10;YkAhAgAAFQQAAA4AAAAAAAAAAQAgAAAAJQEAAGRycy9lMm9Eb2MueG1sUEsFBgAAAAAGAAYAWQEA&#10;ALgFAAAAAA==&#10;">
                  <v:fill on="f" focussize="0,0"/>
                  <v:stroke color="#000000 [3213]" joinstyle="round" endarrow="block"/>
                  <v:imagedata o:title=""/>
                  <o:lock v:ext="edit" aspectratio="f"/>
                </v:shape>
                <v:shape id="直接箭头连接符 1398" o:spid="_x0000_s1026" o:spt="32" type="#_x0000_t32" style="position:absolute;left:3668487;top:206829;height:0;width:402772;" filled="f" stroked="t" coordsize="21600,21600" o:gfxdata="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UvvG7&#10;1gAAAAUBAAAPAAAAAAAAAAEAIAAAACIAAABkcnMvZG93bnJldi54bWxQSwECFAAUAAAACACHTuJA&#10;9Ibh1CMCAAAVBAAADgAAAAAAAAABACAAAAAlAQAAZHJzL2Uyb0RvYy54bWxQSwUGAAAAAAYABgBZ&#10;AQAAugUAAAAA&#10;">
                  <v:fill on="f" focussize="0,0"/>
                  <v:stroke color="#000000 [3213]" joinstyle="round" endarrow="block"/>
                  <v:imagedata o:title=""/>
                  <o:lock v:ext="edit" aspectratio="f"/>
                </v:shape>
                <v:shape id="直接箭头连接符 1400" o:spid="_x0000_s1026" o:spt="32" type="#_x0000_t32" style="position:absolute;left:3668487;top:979715;flip:y;height:1;width:511627;" filled="f" stroked="t" coordsize="21600,21600" o:gfxdata="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pCLZ&#10;xdUAAAAFAQAADwAAAAAAAAABACAAAAAiAAAAZHJzL2Rvd25yZXYueG1sUEsBAhQAFAAAAAgAh07i&#10;QMMB9Y8lAgAAHwQAAA4AAAAAAAAAAQAgAAAAJAEAAGRycy9lMm9Eb2MueG1sUEsFBgAAAAAGAAYA&#10;WQEAALsFAAAAAA==&#10;">
                  <v:fill on="f" focussize="0,0"/>
                  <v:stroke color="#000000 [3213]" joinstyle="round" endarrow="block"/>
                  <v:imagedata o:title=""/>
                  <o:lock v:ext="edit" aspectratio="f"/>
                </v:shape>
                <v:shape id="直接箭头连接符 1402" o:spid="_x0000_s1026" o:spt="32" type="#_x0000_t32" style="position:absolute;left:3140530;top:359229;height:457201;width:0;" filled="f" stroked="t" coordsize="21600,21600" o:gfxdata="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UvvG71gAAAAUB&#10;AAAPAAAAAAAAAAEAIAAAACIAAABkcnMvZG93bnJldi54bWxQSwECFAAUAAAACACHTuJAy6nmDx0C&#10;AAAVBAAADgAAAAAAAAABACAAAAAlAQAAZHJzL2Uyb0RvYy54bWxQSwUGAAAAAAYABgBZAQAAtAUA&#10;AAAA&#10;">
                  <v:fill on="f" focussize="0,0"/>
                  <v:stroke color="#000000 [3213]" joinstyle="round" endarrow="block"/>
                  <v:imagedata o:title=""/>
                  <o:lock v:ext="edit" aspectratio="f"/>
                </v:shape>
                <v:shape id="肘形连接符 1403" o:spid="_x0000_s1026" o:spt="33" type="#_x0000_t33" style="position:absolute;left:1153887;top:359229;height:620485;width:1469572;rotation:11796480f;" filled="f" stroked="t" coordsize="21600,21600" o:gfxdata="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U40lbtUAAAAFAQAADwAAAAAAAAABACAAAAAiAAAAZHJzL2Rvd25yZXYueG1sUEsBAhQAFAAA&#10;AAgAh07iQN1JWrcrAgAAIAQAAA4AAAAAAAAAAQAgAAAAJAEAAGRycy9lMm9Eb2MueG1sUEsFBgAA&#10;AAAGAAYAWQEAAMEFAAAAAA==&#10;">
                  <v:fill on="f" focussize="0,0"/>
                  <v:stroke color="#000000 [3213]" joinstyle="round" endarrow="block"/>
                  <v:imagedata o:title=""/>
                  <o:lock v:ext="edit" aspectratio="f"/>
                </v:shape>
                <w10:wrap type="none"/>
                <w10:anchorlock/>
              </v:group>
            </w:pict>
          </mc:Fallback>
        </mc:AlternateContent>
      </w:r>
    </w:p>
    <w:p>
      <w:pPr>
        <w:pStyle w:val="32"/>
        <w:adjustRightInd w:val="0"/>
        <w:snapToGrid w:val="0"/>
        <w:spacing w:after="0" w:line="360" w:lineRule="auto"/>
        <w:jc w:val="center"/>
        <w:rPr>
          <w:rFonts w:eastAsia="黑体"/>
          <w:b/>
          <w:bCs w:val="0"/>
          <w:color w:val="auto"/>
          <w:kern w:val="21"/>
          <w:sz w:val="24"/>
          <w:u w:val="single"/>
          <w:lang w:val="en-US"/>
        </w:rPr>
      </w:pPr>
      <w:r>
        <w:rPr>
          <w:rFonts w:eastAsia="黑体"/>
          <w:b/>
          <w:bCs w:val="0"/>
          <w:color w:val="auto"/>
          <w:kern w:val="21"/>
          <w:sz w:val="24"/>
          <w:u w:val="single"/>
          <w:lang w:val="en-US"/>
        </w:rPr>
        <w:t>图</w:t>
      </w:r>
      <w:r>
        <w:rPr>
          <w:rFonts w:hint="eastAsia" w:eastAsia="黑体"/>
          <w:b/>
          <w:bCs w:val="0"/>
          <w:color w:val="auto"/>
          <w:kern w:val="21"/>
          <w:sz w:val="24"/>
          <w:u w:val="single"/>
          <w:lang w:val="en-US"/>
        </w:rPr>
        <w:t>7.2</w:t>
      </w:r>
      <w:r>
        <w:rPr>
          <w:rFonts w:eastAsia="黑体"/>
          <w:b/>
          <w:bCs w:val="0"/>
          <w:color w:val="auto"/>
          <w:kern w:val="21"/>
          <w:sz w:val="24"/>
          <w:u w:val="single"/>
          <w:lang w:val="en-US"/>
        </w:rPr>
        <w:t>-</w:t>
      </w:r>
      <w:r>
        <w:rPr>
          <w:rFonts w:hint="eastAsia" w:eastAsia="黑体"/>
          <w:b/>
          <w:bCs w:val="0"/>
          <w:color w:val="auto"/>
          <w:kern w:val="21"/>
          <w:sz w:val="24"/>
          <w:u w:val="single"/>
          <w:lang w:val="en-US"/>
        </w:rPr>
        <w:t>10</w:t>
      </w:r>
      <w:r>
        <w:rPr>
          <w:rFonts w:eastAsia="黑体"/>
          <w:b/>
          <w:bCs w:val="0"/>
          <w:color w:val="auto"/>
          <w:kern w:val="21"/>
          <w:sz w:val="24"/>
          <w:u w:val="single"/>
          <w:lang w:val="en-US"/>
        </w:rPr>
        <w:t xml:space="preserve">   </w:t>
      </w:r>
      <w:r>
        <w:rPr>
          <w:rFonts w:hint="eastAsia" w:eastAsia="黑体"/>
          <w:b/>
          <w:bCs w:val="0"/>
          <w:color w:val="auto"/>
          <w:kern w:val="21"/>
          <w:sz w:val="24"/>
          <w:u w:val="single"/>
          <w:lang w:val="en-US"/>
        </w:rPr>
        <w:t>MVR蒸发系统</w:t>
      </w:r>
      <w:r>
        <w:rPr>
          <w:rFonts w:eastAsia="黑体"/>
          <w:b/>
          <w:bCs w:val="0"/>
          <w:color w:val="auto"/>
          <w:kern w:val="21"/>
          <w:sz w:val="24"/>
          <w:u w:val="single"/>
          <w:lang w:val="en-US"/>
        </w:rPr>
        <w:t>工艺流程图</w:t>
      </w:r>
    </w:p>
    <w:p>
      <w:pPr>
        <w:pStyle w:val="32"/>
        <w:adjustRightInd w:val="0"/>
        <w:snapToGrid w:val="0"/>
        <w:spacing w:after="0" w:line="360" w:lineRule="auto"/>
        <w:rPr>
          <w:b/>
          <w:bCs w:val="0"/>
          <w:color w:val="auto"/>
          <w:kern w:val="21"/>
          <w:sz w:val="24"/>
          <w:u w:val="single"/>
        </w:rPr>
      </w:pPr>
      <w:r>
        <w:rPr>
          <w:b/>
          <w:bCs w:val="0"/>
          <w:color w:val="auto"/>
          <w:u w:val="single"/>
          <w:lang w:val="en-US"/>
        </w:rPr>
        <w:drawing>
          <wp:inline distT="0" distB="0" distL="0" distR="0">
            <wp:extent cx="5273675" cy="4305935"/>
            <wp:effectExtent l="9525" t="9525" r="12700" b="27940"/>
            <wp:docPr id="1405" name="图片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1405"/>
                    <pic:cNvPicPr>
                      <a:picLocks noChangeAspect="1" noChangeArrowheads="1"/>
                    </pic:cNvPicPr>
                  </pic:nvPicPr>
                  <pic:blipFill>
                    <a:blip r:embed="rId170"/>
                    <a:srcRect/>
                    <a:stretch>
                      <a:fillRect/>
                    </a:stretch>
                  </pic:blipFill>
                  <pic:spPr>
                    <a:xfrm>
                      <a:off x="0" y="0"/>
                      <a:ext cx="5273675" cy="4305935"/>
                    </a:xfrm>
                    <a:prstGeom prst="rect">
                      <a:avLst/>
                    </a:prstGeom>
                    <a:noFill/>
                    <a:ln>
                      <a:solidFill>
                        <a:schemeClr val="tx1"/>
                      </a:solidFill>
                    </a:ln>
                  </pic:spPr>
                </pic:pic>
              </a:graphicData>
            </a:graphic>
          </wp:inline>
        </w:drawing>
      </w:r>
    </w:p>
    <w:p>
      <w:pPr>
        <w:pStyle w:val="32"/>
        <w:adjustRightInd w:val="0"/>
        <w:snapToGrid w:val="0"/>
        <w:spacing w:after="0" w:line="360" w:lineRule="auto"/>
        <w:jc w:val="center"/>
        <w:rPr>
          <w:rFonts w:eastAsia="黑体"/>
          <w:b/>
          <w:bCs w:val="0"/>
          <w:color w:val="auto"/>
          <w:kern w:val="21"/>
          <w:sz w:val="24"/>
          <w:u w:val="single"/>
          <w:lang w:val="en-US"/>
        </w:rPr>
      </w:pPr>
      <w:r>
        <w:rPr>
          <w:rFonts w:eastAsia="黑体"/>
          <w:b/>
          <w:bCs w:val="0"/>
          <w:color w:val="auto"/>
          <w:kern w:val="21"/>
          <w:sz w:val="24"/>
          <w:u w:val="single"/>
          <w:lang w:val="en-US"/>
        </w:rPr>
        <w:t>图</w:t>
      </w:r>
      <w:r>
        <w:rPr>
          <w:rFonts w:hint="eastAsia" w:eastAsia="黑体"/>
          <w:b/>
          <w:bCs w:val="0"/>
          <w:color w:val="auto"/>
          <w:kern w:val="21"/>
          <w:sz w:val="24"/>
          <w:u w:val="single"/>
          <w:lang w:val="en-US"/>
        </w:rPr>
        <w:t>7.2</w:t>
      </w:r>
      <w:r>
        <w:rPr>
          <w:rFonts w:eastAsia="黑体"/>
          <w:b/>
          <w:bCs w:val="0"/>
          <w:color w:val="auto"/>
          <w:kern w:val="21"/>
          <w:sz w:val="24"/>
          <w:u w:val="single"/>
          <w:lang w:val="en-US"/>
        </w:rPr>
        <w:t>-</w:t>
      </w:r>
      <w:r>
        <w:rPr>
          <w:rFonts w:hint="eastAsia" w:eastAsia="黑体"/>
          <w:b/>
          <w:bCs w:val="0"/>
          <w:color w:val="auto"/>
          <w:kern w:val="21"/>
          <w:sz w:val="24"/>
          <w:u w:val="single"/>
          <w:lang w:val="en-US"/>
        </w:rPr>
        <w:t>11</w:t>
      </w:r>
      <w:r>
        <w:rPr>
          <w:rFonts w:eastAsia="黑体"/>
          <w:b/>
          <w:bCs w:val="0"/>
          <w:color w:val="auto"/>
          <w:kern w:val="21"/>
          <w:sz w:val="24"/>
          <w:u w:val="single"/>
          <w:lang w:val="en-US"/>
        </w:rPr>
        <w:t xml:space="preserve">   </w:t>
      </w:r>
      <w:r>
        <w:rPr>
          <w:rFonts w:hint="eastAsia" w:eastAsia="黑体"/>
          <w:b/>
          <w:bCs w:val="0"/>
          <w:color w:val="auto"/>
          <w:kern w:val="21"/>
          <w:sz w:val="24"/>
          <w:u w:val="single"/>
          <w:lang w:val="en-US"/>
        </w:rPr>
        <w:t>MVR蒸发系统内部实物图</w:t>
      </w:r>
    </w:p>
    <w:p>
      <w:pPr>
        <w:pStyle w:val="32"/>
        <w:adjustRightInd w:val="0"/>
        <w:snapToGrid w:val="0"/>
        <w:spacing w:after="0" w:line="360" w:lineRule="auto"/>
        <w:ind w:firstLine="482" w:firstLineChars="200"/>
        <w:rPr>
          <w:rFonts w:ascii="宋体" w:hAnsi="宋体"/>
          <w:b/>
          <w:bCs w:val="0"/>
          <w:color w:val="auto"/>
          <w:kern w:val="21"/>
          <w:sz w:val="24"/>
          <w:u w:val="single"/>
          <w:lang w:val="en-US"/>
        </w:rPr>
      </w:pPr>
      <w:r>
        <w:rPr>
          <w:rFonts w:hint="eastAsia" w:ascii="宋体" w:hAnsi="宋体"/>
          <w:b/>
          <w:bCs w:val="0"/>
          <w:color w:val="auto"/>
          <w:kern w:val="21"/>
          <w:sz w:val="24"/>
          <w:u w:val="single"/>
          <w:lang w:val="en-US"/>
        </w:rPr>
        <w:t>上述各股废水经预处理后，进入生化调节池内进行均质均量，然后进入零排放系统深度处理，处理效率见下表：</w:t>
      </w:r>
    </w:p>
    <w:p>
      <w:pPr>
        <w:pStyle w:val="32"/>
        <w:adjustRightInd w:val="0"/>
        <w:snapToGrid w:val="0"/>
        <w:spacing w:after="0"/>
        <w:ind w:firstLine="482" w:firstLineChars="200"/>
        <w:jc w:val="center"/>
        <w:rPr>
          <w:b/>
          <w:bCs w:val="0"/>
          <w:color w:val="auto"/>
          <w:kern w:val="21"/>
          <w:sz w:val="24"/>
          <w:u w:val="single"/>
          <w:lang w:val="en-US"/>
        </w:rPr>
      </w:pPr>
      <w:r>
        <w:rPr>
          <w:rFonts w:hint="eastAsia" w:eastAsia="黑体"/>
          <w:b/>
          <w:bCs w:val="0"/>
          <w:color w:val="auto"/>
          <w:kern w:val="21"/>
          <w:sz w:val="24"/>
          <w:u w:val="single"/>
          <w:lang w:val="en-US"/>
        </w:rPr>
        <w:t>表7.2-12</w:t>
      </w:r>
      <w:r>
        <w:rPr>
          <w:rFonts w:eastAsia="黑体"/>
          <w:b/>
          <w:bCs w:val="0"/>
          <w:color w:val="auto"/>
          <w:kern w:val="21"/>
          <w:sz w:val="24"/>
          <w:u w:val="single"/>
          <w:lang w:val="en-US"/>
        </w:rPr>
        <w:t xml:space="preserve">   </w:t>
      </w:r>
      <w:r>
        <w:rPr>
          <w:rFonts w:hint="eastAsia" w:eastAsia="黑体"/>
          <w:b/>
          <w:bCs w:val="0"/>
          <w:color w:val="auto"/>
          <w:kern w:val="21"/>
          <w:sz w:val="24"/>
          <w:u w:val="single"/>
          <w:lang w:val="en-US"/>
        </w:rPr>
        <w:t>废水零排放系统处理效率</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663"/>
        <w:gridCol w:w="1001"/>
        <w:gridCol w:w="693"/>
        <w:gridCol w:w="818"/>
        <w:gridCol w:w="693"/>
        <w:gridCol w:w="693"/>
        <w:gridCol w:w="791"/>
        <w:gridCol w:w="791"/>
        <w:gridCol w:w="693"/>
        <w:gridCol w:w="69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Merge w:val="restart"/>
            <w:vAlign w:val="center"/>
          </w:tcPr>
          <w:p>
            <w:pPr>
              <w:jc w:val="center"/>
              <w:rPr>
                <w:b/>
                <w:bCs w:val="0"/>
                <w:color w:val="auto"/>
                <w:u w:val="single"/>
              </w:rPr>
            </w:pPr>
            <w:r>
              <w:rPr>
                <w:b/>
                <w:bCs w:val="0"/>
                <w:color w:val="auto"/>
                <w:u w:val="single"/>
              </w:rPr>
              <w:t>项目</w:t>
            </w:r>
          </w:p>
        </w:tc>
        <w:tc>
          <w:tcPr>
            <w:tcW w:w="588" w:type="pct"/>
            <w:vAlign w:val="center"/>
          </w:tcPr>
          <w:p>
            <w:pPr>
              <w:jc w:val="center"/>
              <w:rPr>
                <w:b/>
                <w:bCs w:val="0"/>
                <w:color w:val="auto"/>
                <w:u w:val="single"/>
              </w:rPr>
            </w:pPr>
            <w:r>
              <w:rPr>
                <w:b/>
                <w:bCs w:val="0"/>
                <w:color w:val="auto"/>
                <w:u w:val="single"/>
              </w:rPr>
              <w:t>水量</w:t>
            </w:r>
          </w:p>
        </w:tc>
        <w:tc>
          <w:tcPr>
            <w:tcW w:w="442" w:type="pct"/>
            <w:vAlign w:val="center"/>
          </w:tcPr>
          <w:p>
            <w:pPr>
              <w:jc w:val="center"/>
              <w:rPr>
                <w:b/>
                <w:bCs w:val="0"/>
                <w:color w:val="auto"/>
                <w:u w:val="single"/>
                <w:vertAlign w:val="superscript"/>
              </w:rPr>
            </w:pPr>
            <w:r>
              <w:rPr>
                <w:b/>
                <w:bCs w:val="0"/>
                <w:color w:val="auto"/>
                <w:kern w:val="21"/>
                <w:u w:val="single"/>
              </w:rPr>
              <w:t>COD</w:t>
            </w:r>
          </w:p>
        </w:tc>
        <w:tc>
          <w:tcPr>
            <w:tcW w:w="450" w:type="pct"/>
            <w:vAlign w:val="center"/>
          </w:tcPr>
          <w:p>
            <w:pPr>
              <w:jc w:val="center"/>
              <w:rPr>
                <w:b/>
                <w:bCs w:val="0"/>
                <w:color w:val="auto"/>
                <w:u w:val="single"/>
              </w:rPr>
            </w:pPr>
            <w:r>
              <w:rPr>
                <w:b/>
                <w:bCs w:val="0"/>
                <w:color w:val="auto"/>
                <w:kern w:val="21"/>
                <w:u w:val="single"/>
              </w:rPr>
              <w:t>NH</w:t>
            </w:r>
            <w:r>
              <w:rPr>
                <w:b/>
                <w:bCs w:val="0"/>
                <w:color w:val="auto"/>
                <w:kern w:val="21"/>
                <w:u w:val="single"/>
                <w:vertAlign w:val="subscript"/>
              </w:rPr>
              <w:t>3</w:t>
            </w:r>
            <w:r>
              <w:rPr>
                <w:b/>
                <w:bCs w:val="0"/>
                <w:color w:val="auto"/>
                <w:kern w:val="21"/>
                <w:u w:val="single"/>
              </w:rPr>
              <w:t>-N</w:t>
            </w:r>
          </w:p>
        </w:tc>
        <w:tc>
          <w:tcPr>
            <w:tcW w:w="448" w:type="pct"/>
            <w:vAlign w:val="center"/>
          </w:tcPr>
          <w:p>
            <w:pPr>
              <w:jc w:val="center"/>
              <w:rPr>
                <w:b/>
                <w:bCs w:val="0"/>
                <w:color w:val="auto"/>
                <w:u w:val="single"/>
              </w:rPr>
            </w:pPr>
            <w:r>
              <w:rPr>
                <w:b/>
                <w:bCs w:val="0"/>
                <w:color w:val="auto"/>
                <w:kern w:val="21"/>
                <w:u w:val="single"/>
              </w:rPr>
              <w:t>SS</w:t>
            </w:r>
          </w:p>
        </w:tc>
        <w:tc>
          <w:tcPr>
            <w:tcW w:w="410" w:type="pct"/>
            <w:tcBorders>
              <w:right w:val="single" w:color="auto" w:sz="4" w:space="0"/>
            </w:tcBorders>
            <w:vAlign w:val="center"/>
          </w:tcPr>
          <w:p>
            <w:pPr>
              <w:jc w:val="center"/>
              <w:rPr>
                <w:b/>
                <w:bCs w:val="0"/>
                <w:color w:val="auto"/>
                <w:kern w:val="21"/>
                <w:u w:val="single"/>
              </w:rPr>
            </w:pPr>
            <w:r>
              <w:rPr>
                <w:b/>
                <w:bCs w:val="0"/>
                <w:color w:val="auto"/>
                <w:kern w:val="21"/>
                <w:u w:val="single"/>
              </w:rPr>
              <w:t>石油类</w:t>
            </w:r>
          </w:p>
        </w:tc>
        <w:tc>
          <w:tcPr>
            <w:tcW w:w="387" w:type="pct"/>
            <w:tcBorders>
              <w:left w:val="single" w:color="auto" w:sz="4" w:space="0"/>
            </w:tcBorders>
            <w:vAlign w:val="center"/>
          </w:tcPr>
          <w:p>
            <w:pPr>
              <w:jc w:val="center"/>
              <w:rPr>
                <w:b/>
                <w:bCs w:val="0"/>
                <w:color w:val="auto"/>
                <w:u w:val="single"/>
                <w:vertAlign w:val="superscript"/>
              </w:rPr>
            </w:pPr>
            <w:r>
              <w:rPr>
                <w:b/>
                <w:bCs w:val="0"/>
                <w:color w:val="auto"/>
                <w:kern w:val="21"/>
                <w:u w:val="single"/>
              </w:rPr>
              <w:t>总镍</w:t>
            </w:r>
          </w:p>
        </w:tc>
        <w:tc>
          <w:tcPr>
            <w:tcW w:w="309" w:type="pct"/>
            <w:vAlign w:val="center"/>
          </w:tcPr>
          <w:p>
            <w:pPr>
              <w:jc w:val="center"/>
              <w:rPr>
                <w:b/>
                <w:bCs w:val="0"/>
                <w:color w:val="auto"/>
                <w:kern w:val="21"/>
                <w:u w:val="single"/>
              </w:rPr>
            </w:pPr>
            <w:r>
              <w:rPr>
                <w:b/>
                <w:bCs w:val="0"/>
                <w:color w:val="auto"/>
                <w:kern w:val="21"/>
                <w:u w:val="single"/>
              </w:rPr>
              <w:t>总锌</w:t>
            </w:r>
          </w:p>
        </w:tc>
        <w:tc>
          <w:tcPr>
            <w:tcW w:w="384" w:type="pct"/>
            <w:vAlign w:val="center"/>
          </w:tcPr>
          <w:p>
            <w:pPr>
              <w:jc w:val="center"/>
              <w:rPr>
                <w:b/>
                <w:bCs w:val="0"/>
                <w:color w:val="auto"/>
                <w:kern w:val="21"/>
                <w:u w:val="single"/>
              </w:rPr>
            </w:pPr>
            <w:r>
              <w:rPr>
                <w:b/>
                <w:bCs w:val="0"/>
                <w:color w:val="auto"/>
                <w:kern w:val="21"/>
                <w:u w:val="single"/>
              </w:rPr>
              <w:t>六价铬</w:t>
            </w:r>
          </w:p>
        </w:tc>
        <w:tc>
          <w:tcPr>
            <w:tcW w:w="432" w:type="pct"/>
            <w:vAlign w:val="center"/>
          </w:tcPr>
          <w:p>
            <w:pPr>
              <w:jc w:val="center"/>
              <w:rPr>
                <w:b/>
                <w:bCs w:val="0"/>
                <w:color w:val="auto"/>
                <w:kern w:val="21"/>
                <w:u w:val="single"/>
              </w:rPr>
            </w:pPr>
            <w:r>
              <w:rPr>
                <w:b/>
                <w:bCs w:val="0"/>
                <w:color w:val="auto"/>
                <w:kern w:val="21"/>
                <w:u w:val="single"/>
              </w:rPr>
              <w:t>总铬</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Merge w:val="continue"/>
            <w:vAlign w:val="center"/>
          </w:tcPr>
          <w:p>
            <w:pPr>
              <w:jc w:val="center"/>
              <w:rPr>
                <w:b/>
                <w:bCs w:val="0"/>
                <w:color w:val="auto"/>
                <w:u w:val="single"/>
              </w:rPr>
            </w:pPr>
          </w:p>
        </w:tc>
        <w:tc>
          <w:tcPr>
            <w:tcW w:w="588" w:type="pct"/>
            <w:vAlign w:val="center"/>
          </w:tcPr>
          <w:p>
            <w:pPr>
              <w:jc w:val="center"/>
              <w:rPr>
                <w:b/>
                <w:bCs w:val="0"/>
                <w:color w:val="auto"/>
                <w:u w:val="single"/>
              </w:rPr>
            </w:pPr>
            <w:r>
              <w:rPr>
                <w:b/>
                <w:bCs w:val="0"/>
                <w:color w:val="auto"/>
                <w:u w:val="single"/>
              </w:rPr>
              <w:t>m</w:t>
            </w:r>
            <w:r>
              <w:rPr>
                <w:b/>
                <w:bCs w:val="0"/>
                <w:color w:val="auto"/>
                <w:u w:val="single"/>
                <w:vertAlign w:val="superscript"/>
              </w:rPr>
              <w:t>3</w:t>
            </w:r>
            <w:r>
              <w:rPr>
                <w:b/>
                <w:bCs w:val="0"/>
                <w:color w:val="auto"/>
                <w:u w:val="single"/>
              </w:rPr>
              <w:t>/d</w:t>
            </w:r>
          </w:p>
        </w:tc>
        <w:tc>
          <w:tcPr>
            <w:tcW w:w="442" w:type="pct"/>
            <w:vAlign w:val="center"/>
          </w:tcPr>
          <w:p>
            <w:pPr>
              <w:jc w:val="center"/>
              <w:rPr>
                <w:b/>
                <w:bCs w:val="0"/>
                <w:color w:val="auto"/>
                <w:u w:val="single"/>
              </w:rPr>
            </w:pPr>
            <w:r>
              <w:rPr>
                <w:b/>
                <w:bCs w:val="0"/>
                <w:color w:val="auto"/>
                <w:u w:val="single"/>
              </w:rPr>
              <w:t>mg/L</w:t>
            </w:r>
          </w:p>
        </w:tc>
        <w:tc>
          <w:tcPr>
            <w:tcW w:w="450" w:type="pct"/>
            <w:vAlign w:val="center"/>
          </w:tcPr>
          <w:p>
            <w:pPr>
              <w:jc w:val="center"/>
              <w:rPr>
                <w:b/>
                <w:bCs w:val="0"/>
                <w:color w:val="auto"/>
                <w:u w:val="single"/>
              </w:rPr>
            </w:pPr>
            <w:r>
              <w:rPr>
                <w:b/>
                <w:bCs w:val="0"/>
                <w:color w:val="auto"/>
                <w:u w:val="single"/>
              </w:rPr>
              <w:t>mg/L</w:t>
            </w:r>
          </w:p>
        </w:tc>
        <w:tc>
          <w:tcPr>
            <w:tcW w:w="448" w:type="pct"/>
            <w:vAlign w:val="center"/>
          </w:tcPr>
          <w:p>
            <w:pPr>
              <w:jc w:val="center"/>
              <w:rPr>
                <w:b/>
                <w:bCs w:val="0"/>
                <w:color w:val="auto"/>
                <w:u w:val="single"/>
              </w:rPr>
            </w:pPr>
            <w:r>
              <w:rPr>
                <w:b/>
                <w:bCs w:val="0"/>
                <w:color w:val="auto"/>
                <w:u w:val="single"/>
              </w:rPr>
              <w:t>mg/L</w:t>
            </w:r>
          </w:p>
        </w:tc>
        <w:tc>
          <w:tcPr>
            <w:tcW w:w="410" w:type="pct"/>
            <w:tcBorders>
              <w:right w:val="single" w:color="auto" w:sz="4" w:space="0"/>
            </w:tcBorders>
            <w:vAlign w:val="center"/>
          </w:tcPr>
          <w:p>
            <w:pPr>
              <w:jc w:val="center"/>
              <w:rPr>
                <w:b/>
                <w:bCs w:val="0"/>
                <w:color w:val="auto"/>
                <w:kern w:val="21"/>
                <w:u w:val="single"/>
              </w:rPr>
            </w:pPr>
            <w:r>
              <w:rPr>
                <w:b/>
                <w:bCs w:val="0"/>
                <w:color w:val="auto"/>
                <w:kern w:val="21"/>
                <w:u w:val="single"/>
              </w:rPr>
              <w:t>mg/L</w:t>
            </w:r>
          </w:p>
        </w:tc>
        <w:tc>
          <w:tcPr>
            <w:tcW w:w="387" w:type="pct"/>
            <w:tcBorders>
              <w:left w:val="single" w:color="auto" w:sz="4" w:space="0"/>
            </w:tcBorders>
            <w:vAlign w:val="center"/>
          </w:tcPr>
          <w:p>
            <w:pPr>
              <w:jc w:val="center"/>
              <w:rPr>
                <w:b/>
                <w:bCs w:val="0"/>
                <w:color w:val="auto"/>
                <w:u w:val="single"/>
                <w:vertAlign w:val="superscript"/>
              </w:rPr>
            </w:pPr>
            <w:r>
              <w:rPr>
                <w:b/>
                <w:bCs w:val="0"/>
                <w:color w:val="auto"/>
                <w:u w:val="single"/>
              </w:rPr>
              <w:t>mg/L</w:t>
            </w:r>
          </w:p>
        </w:tc>
        <w:tc>
          <w:tcPr>
            <w:tcW w:w="309" w:type="pct"/>
            <w:vAlign w:val="center"/>
          </w:tcPr>
          <w:p>
            <w:pPr>
              <w:jc w:val="center"/>
              <w:rPr>
                <w:b/>
                <w:bCs w:val="0"/>
                <w:color w:val="auto"/>
                <w:u w:val="single"/>
              </w:rPr>
            </w:pPr>
            <w:r>
              <w:rPr>
                <w:b/>
                <w:bCs w:val="0"/>
                <w:color w:val="auto"/>
                <w:u w:val="single"/>
              </w:rPr>
              <w:t>mg/L</w:t>
            </w:r>
          </w:p>
        </w:tc>
        <w:tc>
          <w:tcPr>
            <w:tcW w:w="384" w:type="pct"/>
            <w:vAlign w:val="center"/>
          </w:tcPr>
          <w:p>
            <w:pPr>
              <w:jc w:val="center"/>
              <w:rPr>
                <w:b/>
                <w:bCs w:val="0"/>
                <w:color w:val="auto"/>
                <w:u w:val="single"/>
              </w:rPr>
            </w:pPr>
            <w:r>
              <w:rPr>
                <w:b/>
                <w:bCs w:val="0"/>
                <w:color w:val="auto"/>
                <w:u w:val="single"/>
              </w:rPr>
              <w:t>mg/L</w:t>
            </w:r>
          </w:p>
        </w:tc>
        <w:tc>
          <w:tcPr>
            <w:tcW w:w="432" w:type="pct"/>
            <w:vAlign w:val="center"/>
          </w:tcPr>
          <w:p>
            <w:pPr>
              <w:jc w:val="center"/>
              <w:rPr>
                <w:b/>
                <w:bCs w:val="0"/>
                <w:color w:val="auto"/>
                <w:u w:val="single"/>
              </w:rPr>
            </w:pPr>
            <w:r>
              <w:rPr>
                <w:b/>
                <w:bCs w:val="0"/>
                <w:color w:val="auto"/>
                <w:u w:val="single"/>
              </w:rPr>
              <w:t>mg/L</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b/>
                <w:bCs w:val="0"/>
                <w:color w:val="auto"/>
                <w:u w:val="single"/>
              </w:rPr>
              <w:t>生化调节池</w:t>
            </w:r>
          </w:p>
        </w:tc>
        <w:tc>
          <w:tcPr>
            <w:tcW w:w="588" w:type="pct"/>
            <w:vAlign w:val="center"/>
          </w:tcPr>
          <w:p>
            <w:pPr>
              <w:jc w:val="center"/>
              <w:rPr>
                <w:b/>
                <w:bCs w:val="0"/>
                <w:color w:val="auto"/>
                <w:u w:val="single"/>
              </w:rPr>
            </w:pPr>
            <w:r>
              <w:rPr>
                <w:rFonts w:hint="eastAsia"/>
                <w:b/>
                <w:bCs w:val="0"/>
                <w:color w:val="auto"/>
                <w:u w:val="single"/>
              </w:rPr>
              <w:t>394.4955</w:t>
            </w:r>
          </w:p>
        </w:tc>
        <w:tc>
          <w:tcPr>
            <w:tcW w:w="442" w:type="pct"/>
            <w:vAlign w:val="center"/>
          </w:tcPr>
          <w:p>
            <w:pPr>
              <w:jc w:val="center"/>
              <w:rPr>
                <w:b/>
                <w:bCs w:val="0"/>
                <w:color w:val="auto"/>
                <w:u w:val="single"/>
              </w:rPr>
            </w:pPr>
            <w:r>
              <w:rPr>
                <w:rFonts w:hint="eastAsia"/>
                <w:b/>
                <w:bCs w:val="0"/>
                <w:color w:val="auto"/>
                <w:u w:val="single"/>
              </w:rPr>
              <w:t>240.1</w:t>
            </w:r>
          </w:p>
        </w:tc>
        <w:tc>
          <w:tcPr>
            <w:tcW w:w="450" w:type="pct"/>
            <w:vAlign w:val="center"/>
          </w:tcPr>
          <w:p>
            <w:pPr>
              <w:jc w:val="center"/>
              <w:rPr>
                <w:b/>
                <w:bCs w:val="0"/>
                <w:color w:val="auto"/>
                <w:u w:val="single"/>
              </w:rPr>
            </w:pPr>
            <w:r>
              <w:rPr>
                <w:rFonts w:hint="eastAsia"/>
                <w:b/>
                <w:bCs w:val="0"/>
                <w:color w:val="auto"/>
                <w:u w:val="single"/>
              </w:rPr>
              <w:t>13.4</w:t>
            </w:r>
          </w:p>
        </w:tc>
        <w:tc>
          <w:tcPr>
            <w:tcW w:w="448" w:type="pct"/>
            <w:vAlign w:val="center"/>
          </w:tcPr>
          <w:p>
            <w:pPr>
              <w:jc w:val="center"/>
              <w:rPr>
                <w:b/>
                <w:bCs w:val="0"/>
                <w:color w:val="auto"/>
                <w:u w:val="single"/>
              </w:rPr>
            </w:pPr>
            <w:r>
              <w:rPr>
                <w:rFonts w:hint="eastAsia"/>
                <w:b/>
                <w:bCs w:val="0"/>
                <w:color w:val="auto"/>
                <w:u w:val="single"/>
              </w:rPr>
              <w:t>52.2</w:t>
            </w:r>
          </w:p>
        </w:tc>
        <w:tc>
          <w:tcPr>
            <w:tcW w:w="410" w:type="pct"/>
            <w:tcBorders>
              <w:right w:val="single" w:color="auto" w:sz="4" w:space="0"/>
            </w:tcBorders>
            <w:vAlign w:val="center"/>
          </w:tcPr>
          <w:p>
            <w:pPr>
              <w:jc w:val="center"/>
              <w:rPr>
                <w:b/>
                <w:bCs w:val="0"/>
                <w:color w:val="auto"/>
                <w:kern w:val="21"/>
                <w:u w:val="single"/>
              </w:rPr>
            </w:pPr>
            <w:r>
              <w:rPr>
                <w:rFonts w:hint="eastAsia"/>
                <w:b/>
                <w:bCs w:val="0"/>
                <w:color w:val="auto"/>
                <w:u w:val="single"/>
              </w:rPr>
              <w:t>0.19</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0.09</w:t>
            </w:r>
          </w:p>
        </w:tc>
        <w:tc>
          <w:tcPr>
            <w:tcW w:w="309" w:type="pct"/>
            <w:vAlign w:val="center"/>
          </w:tcPr>
          <w:p>
            <w:pPr>
              <w:jc w:val="center"/>
              <w:rPr>
                <w:b/>
                <w:bCs w:val="0"/>
                <w:color w:val="auto"/>
                <w:u w:val="single"/>
              </w:rPr>
            </w:pPr>
            <w:r>
              <w:rPr>
                <w:rFonts w:hint="eastAsia"/>
                <w:b/>
                <w:bCs w:val="0"/>
                <w:color w:val="auto"/>
                <w:u w:val="single"/>
              </w:rPr>
              <w:t>0.027</w:t>
            </w:r>
          </w:p>
        </w:tc>
        <w:tc>
          <w:tcPr>
            <w:tcW w:w="384" w:type="pct"/>
            <w:vAlign w:val="center"/>
          </w:tcPr>
          <w:p>
            <w:pPr>
              <w:jc w:val="center"/>
              <w:rPr>
                <w:b/>
                <w:bCs w:val="0"/>
                <w:color w:val="auto"/>
                <w:u w:val="single"/>
              </w:rPr>
            </w:pPr>
            <w:r>
              <w:rPr>
                <w:rFonts w:hint="eastAsia"/>
                <w:b/>
                <w:bCs w:val="0"/>
                <w:color w:val="auto"/>
                <w:u w:val="single"/>
              </w:rPr>
              <w:t>0.27</w:t>
            </w:r>
          </w:p>
        </w:tc>
        <w:tc>
          <w:tcPr>
            <w:tcW w:w="432" w:type="pct"/>
            <w:vAlign w:val="center"/>
          </w:tcPr>
          <w:p>
            <w:pPr>
              <w:jc w:val="center"/>
              <w:rPr>
                <w:b/>
                <w:bCs w:val="0"/>
                <w:color w:val="auto"/>
                <w:u w:val="single"/>
              </w:rPr>
            </w:pPr>
            <w:r>
              <w:rPr>
                <w:rFonts w:hint="eastAsia"/>
                <w:b/>
                <w:bCs w:val="0"/>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1939" w:hRule="atLeast"/>
          <w:jc w:val="center"/>
        </w:trPr>
        <w:tc>
          <w:tcPr>
            <w:tcW w:w="1145" w:type="pct"/>
            <w:vAlign w:val="center"/>
          </w:tcPr>
          <w:p>
            <w:pPr>
              <w:rPr>
                <w:b/>
                <w:bCs w:val="0"/>
                <w:color w:val="auto"/>
                <w:u w:val="single"/>
              </w:rPr>
            </w:pPr>
            <w:r>
              <w:rPr>
                <w:rFonts w:hint="eastAsia"/>
                <w:b/>
                <w:bCs w:val="0"/>
                <w:color w:val="auto"/>
                <w:u w:val="single"/>
              </w:rPr>
              <w:t>生化系统+MBR进水</w:t>
            </w:r>
          </w:p>
        </w:tc>
        <w:tc>
          <w:tcPr>
            <w:tcW w:w="588" w:type="pct"/>
            <w:vAlign w:val="center"/>
          </w:tcPr>
          <w:p>
            <w:pPr>
              <w:jc w:val="center"/>
              <w:rPr>
                <w:b/>
                <w:bCs w:val="0"/>
                <w:color w:val="auto"/>
                <w:u w:val="single"/>
              </w:rPr>
            </w:pPr>
            <w:r>
              <w:rPr>
                <w:rFonts w:hint="eastAsia"/>
                <w:b/>
                <w:bCs w:val="0"/>
                <w:color w:val="auto"/>
                <w:u w:val="single"/>
              </w:rPr>
              <w:t>394.4955</w:t>
            </w:r>
          </w:p>
        </w:tc>
        <w:tc>
          <w:tcPr>
            <w:tcW w:w="442" w:type="pct"/>
            <w:vAlign w:val="center"/>
          </w:tcPr>
          <w:p>
            <w:pPr>
              <w:jc w:val="center"/>
              <w:rPr>
                <w:b/>
                <w:bCs w:val="0"/>
                <w:color w:val="auto"/>
                <w:u w:val="single"/>
              </w:rPr>
            </w:pPr>
            <w:r>
              <w:rPr>
                <w:rFonts w:hint="eastAsia"/>
                <w:b/>
                <w:bCs w:val="0"/>
                <w:color w:val="auto"/>
                <w:u w:val="single"/>
              </w:rPr>
              <w:t>240.1</w:t>
            </w:r>
          </w:p>
        </w:tc>
        <w:tc>
          <w:tcPr>
            <w:tcW w:w="450" w:type="pct"/>
            <w:vAlign w:val="center"/>
          </w:tcPr>
          <w:p>
            <w:pPr>
              <w:jc w:val="center"/>
              <w:rPr>
                <w:b/>
                <w:bCs w:val="0"/>
                <w:color w:val="auto"/>
                <w:u w:val="single"/>
              </w:rPr>
            </w:pPr>
            <w:r>
              <w:rPr>
                <w:rFonts w:hint="eastAsia"/>
                <w:b/>
                <w:bCs w:val="0"/>
                <w:color w:val="auto"/>
                <w:u w:val="single"/>
              </w:rPr>
              <w:t>13.4</w:t>
            </w:r>
          </w:p>
        </w:tc>
        <w:tc>
          <w:tcPr>
            <w:tcW w:w="448" w:type="pct"/>
            <w:vAlign w:val="center"/>
          </w:tcPr>
          <w:p>
            <w:pPr>
              <w:jc w:val="center"/>
              <w:rPr>
                <w:b/>
                <w:bCs w:val="0"/>
                <w:color w:val="auto"/>
                <w:u w:val="single"/>
              </w:rPr>
            </w:pPr>
            <w:r>
              <w:rPr>
                <w:rFonts w:hint="eastAsia"/>
                <w:b/>
                <w:bCs w:val="0"/>
                <w:color w:val="auto"/>
                <w:u w:val="single"/>
              </w:rPr>
              <w:t>52.2</w:t>
            </w:r>
          </w:p>
        </w:tc>
        <w:tc>
          <w:tcPr>
            <w:tcW w:w="410" w:type="pct"/>
            <w:tcBorders>
              <w:right w:val="single" w:color="auto" w:sz="4" w:space="0"/>
            </w:tcBorders>
            <w:vAlign w:val="center"/>
          </w:tcPr>
          <w:p>
            <w:pPr>
              <w:jc w:val="center"/>
              <w:rPr>
                <w:b/>
                <w:bCs w:val="0"/>
                <w:color w:val="auto"/>
                <w:u w:val="single"/>
              </w:rPr>
            </w:pPr>
            <w:r>
              <w:rPr>
                <w:rFonts w:hint="eastAsia"/>
                <w:b/>
                <w:bCs w:val="0"/>
                <w:color w:val="auto"/>
                <w:u w:val="single"/>
              </w:rPr>
              <w:t>0.19</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0.09</w:t>
            </w:r>
          </w:p>
        </w:tc>
        <w:tc>
          <w:tcPr>
            <w:tcW w:w="309" w:type="pct"/>
            <w:vAlign w:val="center"/>
          </w:tcPr>
          <w:p>
            <w:pPr>
              <w:jc w:val="center"/>
              <w:rPr>
                <w:b/>
                <w:bCs w:val="0"/>
                <w:color w:val="auto"/>
                <w:u w:val="single"/>
              </w:rPr>
            </w:pPr>
            <w:r>
              <w:rPr>
                <w:rFonts w:hint="eastAsia"/>
                <w:b/>
                <w:bCs w:val="0"/>
                <w:color w:val="auto"/>
                <w:u w:val="single"/>
              </w:rPr>
              <w:t>0.027</w:t>
            </w:r>
          </w:p>
        </w:tc>
        <w:tc>
          <w:tcPr>
            <w:tcW w:w="384" w:type="pct"/>
            <w:vAlign w:val="center"/>
          </w:tcPr>
          <w:p>
            <w:pPr>
              <w:jc w:val="center"/>
              <w:rPr>
                <w:b/>
                <w:bCs w:val="0"/>
                <w:color w:val="auto"/>
                <w:u w:val="single"/>
              </w:rPr>
            </w:pPr>
            <w:r>
              <w:rPr>
                <w:rFonts w:hint="eastAsia"/>
                <w:b/>
                <w:bCs w:val="0"/>
                <w:color w:val="auto"/>
                <w:u w:val="single"/>
              </w:rPr>
              <w:t>0.27</w:t>
            </w:r>
          </w:p>
        </w:tc>
        <w:tc>
          <w:tcPr>
            <w:tcW w:w="432" w:type="pct"/>
            <w:vAlign w:val="center"/>
          </w:tcPr>
          <w:p>
            <w:pPr>
              <w:jc w:val="center"/>
              <w:rPr>
                <w:b/>
                <w:bCs w:val="0"/>
                <w:color w:val="auto"/>
                <w:u w:val="single"/>
              </w:rPr>
            </w:pPr>
            <w:r>
              <w:rPr>
                <w:rFonts w:hint="eastAsia"/>
                <w:b/>
                <w:bCs w:val="0"/>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rFonts w:hint="eastAsia"/>
                <w:b/>
                <w:bCs w:val="0"/>
                <w:color w:val="auto"/>
                <w:u w:val="single"/>
              </w:rPr>
              <w:t>去除率</w:t>
            </w:r>
          </w:p>
        </w:tc>
        <w:tc>
          <w:tcPr>
            <w:tcW w:w="588" w:type="pct"/>
            <w:vAlign w:val="center"/>
          </w:tcPr>
          <w:p>
            <w:pPr>
              <w:jc w:val="center"/>
              <w:rPr>
                <w:b/>
                <w:bCs w:val="0"/>
                <w:color w:val="auto"/>
                <w:u w:val="single"/>
              </w:rPr>
            </w:pPr>
            <w:r>
              <w:rPr>
                <w:rFonts w:hint="eastAsia"/>
                <w:b/>
                <w:bCs w:val="0"/>
                <w:color w:val="auto"/>
                <w:u w:val="single"/>
              </w:rPr>
              <w:t>/</w:t>
            </w:r>
          </w:p>
        </w:tc>
        <w:tc>
          <w:tcPr>
            <w:tcW w:w="442" w:type="pct"/>
            <w:vAlign w:val="center"/>
          </w:tcPr>
          <w:p>
            <w:pPr>
              <w:jc w:val="center"/>
              <w:rPr>
                <w:b/>
                <w:bCs w:val="0"/>
                <w:color w:val="auto"/>
                <w:u w:val="single"/>
              </w:rPr>
            </w:pPr>
            <w:r>
              <w:rPr>
                <w:rFonts w:hint="eastAsia"/>
                <w:b/>
                <w:bCs w:val="0"/>
                <w:color w:val="auto"/>
                <w:u w:val="single"/>
              </w:rPr>
              <w:t>60%</w:t>
            </w:r>
          </w:p>
        </w:tc>
        <w:tc>
          <w:tcPr>
            <w:tcW w:w="450" w:type="pct"/>
            <w:vAlign w:val="center"/>
          </w:tcPr>
          <w:p>
            <w:pPr>
              <w:jc w:val="center"/>
              <w:rPr>
                <w:b/>
                <w:bCs w:val="0"/>
                <w:color w:val="auto"/>
                <w:u w:val="single"/>
              </w:rPr>
            </w:pPr>
            <w:r>
              <w:rPr>
                <w:rFonts w:hint="eastAsia"/>
                <w:b/>
                <w:bCs w:val="0"/>
                <w:color w:val="auto"/>
                <w:u w:val="single"/>
              </w:rPr>
              <w:t>80%</w:t>
            </w:r>
          </w:p>
        </w:tc>
        <w:tc>
          <w:tcPr>
            <w:tcW w:w="448" w:type="pct"/>
            <w:vAlign w:val="center"/>
          </w:tcPr>
          <w:p>
            <w:pPr>
              <w:jc w:val="center"/>
              <w:rPr>
                <w:b/>
                <w:bCs w:val="0"/>
                <w:color w:val="auto"/>
                <w:u w:val="single"/>
              </w:rPr>
            </w:pPr>
            <w:r>
              <w:rPr>
                <w:rFonts w:hint="eastAsia"/>
                <w:b/>
                <w:bCs w:val="0"/>
                <w:color w:val="auto"/>
                <w:u w:val="single"/>
              </w:rPr>
              <w:t>90%</w:t>
            </w:r>
          </w:p>
        </w:tc>
        <w:tc>
          <w:tcPr>
            <w:tcW w:w="410" w:type="pct"/>
            <w:tcBorders>
              <w:right w:val="single" w:color="auto" w:sz="4" w:space="0"/>
            </w:tcBorders>
            <w:vAlign w:val="center"/>
          </w:tcPr>
          <w:p>
            <w:pPr>
              <w:jc w:val="center"/>
              <w:rPr>
                <w:b/>
                <w:bCs w:val="0"/>
                <w:color w:val="auto"/>
                <w:u w:val="single"/>
              </w:rPr>
            </w:pPr>
            <w:r>
              <w:rPr>
                <w:rFonts w:hint="eastAsia"/>
                <w:b/>
                <w:bCs w:val="0"/>
                <w:color w:val="auto"/>
                <w:u w:val="single"/>
              </w:rPr>
              <w:t>/</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w:t>
            </w:r>
          </w:p>
        </w:tc>
        <w:tc>
          <w:tcPr>
            <w:tcW w:w="309" w:type="pct"/>
            <w:vAlign w:val="center"/>
          </w:tcPr>
          <w:p>
            <w:pPr>
              <w:jc w:val="center"/>
              <w:rPr>
                <w:b/>
                <w:bCs w:val="0"/>
                <w:color w:val="auto"/>
                <w:u w:val="single"/>
              </w:rPr>
            </w:pPr>
            <w:r>
              <w:rPr>
                <w:rFonts w:hint="eastAsia"/>
                <w:b/>
                <w:bCs w:val="0"/>
                <w:color w:val="auto"/>
                <w:u w:val="single"/>
              </w:rPr>
              <w:t>/</w:t>
            </w:r>
          </w:p>
        </w:tc>
        <w:tc>
          <w:tcPr>
            <w:tcW w:w="384" w:type="pct"/>
            <w:vAlign w:val="center"/>
          </w:tcPr>
          <w:p>
            <w:pPr>
              <w:jc w:val="center"/>
              <w:rPr>
                <w:b/>
                <w:bCs w:val="0"/>
                <w:color w:val="auto"/>
                <w:u w:val="single"/>
              </w:rPr>
            </w:pPr>
            <w:r>
              <w:rPr>
                <w:rFonts w:hint="eastAsia"/>
                <w:b/>
                <w:bCs w:val="0"/>
                <w:color w:val="auto"/>
                <w:u w:val="single"/>
              </w:rPr>
              <w:t>/</w:t>
            </w:r>
          </w:p>
        </w:tc>
        <w:tc>
          <w:tcPr>
            <w:tcW w:w="432" w:type="pct"/>
            <w:vAlign w:val="center"/>
          </w:tcPr>
          <w:p>
            <w:pPr>
              <w:jc w:val="center"/>
              <w:rPr>
                <w:b/>
                <w:bCs w:val="0"/>
                <w:color w:val="auto"/>
                <w:u w:val="single"/>
              </w:rPr>
            </w:pPr>
            <w:r>
              <w:rPr>
                <w:rFonts w:hint="eastAsia"/>
                <w:b/>
                <w:bCs w:val="0"/>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rFonts w:hint="eastAsia"/>
                <w:b/>
                <w:bCs w:val="0"/>
                <w:color w:val="auto"/>
                <w:u w:val="single"/>
              </w:rPr>
              <w:t>生化系统+MBR出水</w:t>
            </w:r>
          </w:p>
        </w:tc>
        <w:tc>
          <w:tcPr>
            <w:tcW w:w="588" w:type="pct"/>
            <w:vAlign w:val="center"/>
          </w:tcPr>
          <w:p>
            <w:pPr>
              <w:jc w:val="center"/>
              <w:rPr>
                <w:b/>
                <w:bCs w:val="0"/>
                <w:color w:val="auto"/>
                <w:u w:val="single"/>
              </w:rPr>
            </w:pPr>
            <w:r>
              <w:rPr>
                <w:rFonts w:hint="eastAsia"/>
                <w:b/>
                <w:bCs w:val="0"/>
                <w:color w:val="auto"/>
                <w:u w:val="single"/>
              </w:rPr>
              <w:t>394.4955</w:t>
            </w:r>
          </w:p>
        </w:tc>
        <w:tc>
          <w:tcPr>
            <w:tcW w:w="442" w:type="pct"/>
            <w:vAlign w:val="center"/>
          </w:tcPr>
          <w:p>
            <w:pPr>
              <w:jc w:val="center"/>
              <w:rPr>
                <w:b/>
                <w:bCs w:val="0"/>
                <w:color w:val="auto"/>
                <w:u w:val="single"/>
              </w:rPr>
            </w:pPr>
            <w:r>
              <w:rPr>
                <w:rFonts w:hint="eastAsia"/>
                <w:b/>
                <w:bCs w:val="0"/>
                <w:color w:val="auto"/>
                <w:u w:val="single"/>
              </w:rPr>
              <w:t>96</w:t>
            </w:r>
          </w:p>
        </w:tc>
        <w:tc>
          <w:tcPr>
            <w:tcW w:w="450" w:type="pct"/>
            <w:vAlign w:val="center"/>
          </w:tcPr>
          <w:p>
            <w:pPr>
              <w:jc w:val="center"/>
              <w:rPr>
                <w:b/>
                <w:bCs w:val="0"/>
                <w:color w:val="auto"/>
                <w:u w:val="single"/>
              </w:rPr>
            </w:pPr>
            <w:r>
              <w:rPr>
                <w:rFonts w:hint="eastAsia"/>
                <w:b/>
                <w:bCs w:val="0"/>
                <w:color w:val="auto"/>
                <w:u w:val="single"/>
              </w:rPr>
              <w:t>2.68</w:t>
            </w:r>
          </w:p>
        </w:tc>
        <w:tc>
          <w:tcPr>
            <w:tcW w:w="448" w:type="pct"/>
            <w:vAlign w:val="center"/>
          </w:tcPr>
          <w:p>
            <w:pPr>
              <w:jc w:val="center"/>
              <w:rPr>
                <w:b/>
                <w:bCs w:val="0"/>
                <w:color w:val="auto"/>
                <w:u w:val="single"/>
              </w:rPr>
            </w:pPr>
            <w:r>
              <w:rPr>
                <w:rFonts w:hint="eastAsia"/>
                <w:b/>
                <w:bCs w:val="0"/>
                <w:color w:val="auto"/>
                <w:u w:val="single"/>
              </w:rPr>
              <w:t>5.22</w:t>
            </w:r>
          </w:p>
        </w:tc>
        <w:tc>
          <w:tcPr>
            <w:tcW w:w="410" w:type="pct"/>
            <w:tcBorders>
              <w:right w:val="single" w:color="auto" w:sz="4" w:space="0"/>
            </w:tcBorders>
            <w:vAlign w:val="center"/>
          </w:tcPr>
          <w:p>
            <w:pPr>
              <w:jc w:val="center"/>
              <w:rPr>
                <w:b/>
                <w:bCs w:val="0"/>
                <w:color w:val="auto"/>
                <w:u w:val="single"/>
              </w:rPr>
            </w:pPr>
            <w:r>
              <w:rPr>
                <w:rFonts w:hint="eastAsia"/>
                <w:b/>
                <w:bCs w:val="0"/>
                <w:color w:val="auto"/>
                <w:u w:val="single"/>
              </w:rPr>
              <w:t>0.19</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0.09</w:t>
            </w:r>
          </w:p>
        </w:tc>
        <w:tc>
          <w:tcPr>
            <w:tcW w:w="309" w:type="pct"/>
            <w:vAlign w:val="center"/>
          </w:tcPr>
          <w:p>
            <w:pPr>
              <w:jc w:val="center"/>
              <w:rPr>
                <w:b/>
                <w:bCs w:val="0"/>
                <w:color w:val="auto"/>
                <w:u w:val="single"/>
              </w:rPr>
            </w:pPr>
            <w:r>
              <w:rPr>
                <w:rFonts w:hint="eastAsia"/>
                <w:b/>
                <w:bCs w:val="0"/>
                <w:color w:val="auto"/>
                <w:u w:val="single"/>
              </w:rPr>
              <w:t>0.027</w:t>
            </w:r>
          </w:p>
        </w:tc>
        <w:tc>
          <w:tcPr>
            <w:tcW w:w="384" w:type="pct"/>
            <w:vAlign w:val="center"/>
          </w:tcPr>
          <w:p>
            <w:pPr>
              <w:jc w:val="center"/>
              <w:rPr>
                <w:b/>
                <w:bCs w:val="0"/>
                <w:color w:val="auto"/>
                <w:u w:val="single"/>
              </w:rPr>
            </w:pPr>
            <w:r>
              <w:rPr>
                <w:rFonts w:hint="eastAsia"/>
                <w:b/>
                <w:bCs w:val="0"/>
                <w:color w:val="auto"/>
                <w:u w:val="single"/>
              </w:rPr>
              <w:t>0.27</w:t>
            </w:r>
          </w:p>
        </w:tc>
        <w:tc>
          <w:tcPr>
            <w:tcW w:w="432" w:type="pct"/>
            <w:vAlign w:val="center"/>
          </w:tcPr>
          <w:p>
            <w:pPr>
              <w:jc w:val="center"/>
              <w:rPr>
                <w:b/>
                <w:bCs w:val="0"/>
                <w:color w:val="auto"/>
                <w:u w:val="single"/>
              </w:rPr>
            </w:pPr>
            <w:r>
              <w:rPr>
                <w:rFonts w:hint="eastAsia"/>
                <w:b/>
                <w:bCs w:val="0"/>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rFonts w:hint="eastAsia"/>
                <w:b/>
                <w:bCs w:val="0"/>
                <w:color w:val="auto"/>
                <w:u w:val="single"/>
              </w:rPr>
              <w:t>反渗透系统（</w:t>
            </w:r>
            <w:r>
              <w:rPr>
                <w:rFonts w:hint="eastAsia"/>
                <w:b/>
                <w:bCs w:val="0"/>
                <w:color w:val="auto"/>
                <w:u w:val="single"/>
                <w:lang w:val="en-US" w:eastAsia="zh-CN"/>
              </w:rPr>
              <w:t>二</w:t>
            </w:r>
            <w:r>
              <w:rPr>
                <w:rFonts w:hint="eastAsia"/>
                <w:b/>
                <w:bCs w:val="0"/>
                <w:color w:val="auto"/>
                <w:u w:val="single"/>
              </w:rPr>
              <w:t>ECRO+DTRO+二级RO）进水（全部回用）</w:t>
            </w:r>
          </w:p>
        </w:tc>
        <w:tc>
          <w:tcPr>
            <w:tcW w:w="588" w:type="pct"/>
            <w:vAlign w:val="center"/>
          </w:tcPr>
          <w:p>
            <w:pPr>
              <w:jc w:val="center"/>
              <w:rPr>
                <w:b/>
                <w:bCs w:val="0"/>
                <w:color w:val="auto"/>
                <w:u w:val="single"/>
              </w:rPr>
            </w:pPr>
            <w:r>
              <w:rPr>
                <w:rFonts w:hint="eastAsia"/>
                <w:b/>
                <w:bCs w:val="0"/>
                <w:color w:val="auto"/>
                <w:u w:val="single"/>
              </w:rPr>
              <w:t>394.4955</w:t>
            </w:r>
          </w:p>
        </w:tc>
        <w:tc>
          <w:tcPr>
            <w:tcW w:w="442" w:type="pct"/>
            <w:vAlign w:val="center"/>
          </w:tcPr>
          <w:p>
            <w:pPr>
              <w:jc w:val="center"/>
              <w:rPr>
                <w:b/>
                <w:bCs w:val="0"/>
                <w:color w:val="auto"/>
                <w:u w:val="single"/>
              </w:rPr>
            </w:pPr>
            <w:r>
              <w:rPr>
                <w:rFonts w:hint="eastAsia"/>
                <w:b/>
                <w:bCs w:val="0"/>
                <w:color w:val="auto"/>
                <w:u w:val="single"/>
              </w:rPr>
              <w:t>96</w:t>
            </w:r>
          </w:p>
        </w:tc>
        <w:tc>
          <w:tcPr>
            <w:tcW w:w="450" w:type="pct"/>
            <w:vAlign w:val="center"/>
          </w:tcPr>
          <w:p>
            <w:pPr>
              <w:jc w:val="center"/>
              <w:rPr>
                <w:b/>
                <w:bCs w:val="0"/>
                <w:color w:val="auto"/>
                <w:u w:val="single"/>
              </w:rPr>
            </w:pPr>
            <w:r>
              <w:rPr>
                <w:rFonts w:hint="eastAsia"/>
                <w:b/>
                <w:bCs w:val="0"/>
                <w:color w:val="auto"/>
                <w:u w:val="single"/>
              </w:rPr>
              <w:t>2.68</w:t>
            </w:r>
          </w:p>
        </w:tc>
        <w:tc>
          <w:tcPr>
            <w:tcW w:w="448" w:type="pct"/>
            <w:vAlign w:val="center"/>
          </w:tcPr>
          <w:p>
            <w:pPr>
              <w:jc w:val="center"/>
              <w:rPr>
                <w:b/>
                <w:bCs w:val="0"/>
                <w:color w:val="auto"/>
                <w:u w:val="single"/>
              </w:rPr>
            </w:pPr>
            <w:r>
              <w:rPr>
                <w:rFonts w:hint="eastAsia"/>
                <w:b/>
                <w:bCs w:val="0"/>
                <w:color w:val="auto"/>
                <w:u w:val="single"/>
              </w:rPr>
              <w:t>5.22</w:t>
            </w:r>
          </w:p>
        </w:tc>
        <w:tc>
          <w:tcPr>
            <w:tcW w:w="410" w:type="pct"/>
            <w:tcBorders>
              <w:right w:val="single" w:color="auto" w:sz="4" w:space="0"/>
            </w:tcBorders>
            <w:vAlign w:val="center"/>
          </w:tcPr>
          <w:p>
            <w:pPr>
              <w:jc w:val="center"/>
              <w:rPr>
                <w:b/>
                <w:bCs w:val="0"/>
                <w:color w:val="auto"/>
                <w:u w:val="single"/>
              </w:rPr>
            </w:pPr>
            <w:r>
              <w:rPr>
                <w:rFonts w:hint="eastAsia"/>
                <w:b/>
                <w:bCs w:val="0"/>
                <w:color w:val="auto"/>
                <w:u w:val="single"/>
              </w:rPr>
              <w:t>0.19</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0.09</w:t>
            </w:r>
          </w:p>
        </w:tc>
        <w:tc>
          <w:tcPr>
            <w:tcW w:w="309" w:type="pct"/>
            <w:vAlign w:val="center"/>
          </w:tcPr>
          <w:p>
            <w:pPr>
              <w:jc w:val="center"/>
              <w:rPr>
                <w:b/>
                <w:bCs w:val="0"/>
                <w:color w:val="auto"/>
                <w:u w:val="single"/>
              </w:rPr>
            </w:pPr>
            <w:r>
              <w:rPr>
                <w:rFonts w:hint="eastAsia"/>
                <w:b/>
                <w:bCs w:val="0"/>
                <w:color w:val="auto"/>
                <w:u w:val="single"/>
              </w:rPr>
              <w:t>0.027</w:t>
            </w:r>
          </w:p>
        </w:tc>
        <w:tc>
          <w:tcPr>
            <w:tcW w:w="384" w:type="pct"/>
            <w:vAlign w:val="center"/>
          </w:tcPr>
          <w:p>
            <w:pPr>
              <w:jc w:val="center"/>
              <w:rPr>
                <w:b/>
                <w:bCs w:val="0"/>
                <w:color w:val="auto"/>
                <w:u w:val="single"/>
              </w:rPr>
            </w:pPr>
            <w:r>
              <w:rPr>
                <w:rFonts w:hint="eastAsia"/>
                <w:b/>
                <w:bCs w:val="0"/>
                <w:color w:val="auto"/>
                <w:u w:val="single"/>
              </w:rPr>
              <w:t>0.27</w:t>
            </w:r>
          </w:p>
        </w:tc>
        <w:tc>
          <w:tcPr>
            <w:tcW w:w="432" w:type="pct"/>
            <w:vAlign w:val="center"/>
          </w:tcPr>
          <w:p>
            <w:pPr>
              <w:jc w:val="center"/>
              <w:rPr>
                <w:b/>
                <w:bCs w:val="0"/>
                <w:color w:val="auto"/>
                <w:u w:val="single"/>
              </w:rPr>
            </w:pPr>
            <w:r>
              <w:rPr>
                <w:rFonts w:hint="eastAsia"/>
                <w:b/>
                <w:bCs w:val="0"/>
                <w:color w:val="auto"/>
                <w:u w:val="single"/>
              </w:rPr>
              <w:t>0.88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rFonts w:hint="eastAsia"/>
                <w:b/>
                <w:bCs w:val="0"/>
                <w:color w:val="auto"/>
                <w:u w:val="single"/>
              </w:rPr>
              <w:t>去除率</w:t>
            </w:r>
          </w:p>
        </w:tc>
        <w:tc>
          <w:tcPr>
            <w:tcW w:w="588" w:type="pct"/>
            <w:vAlign w:val="center"/>
          </w:tcPr>
          <w:p>
            <w:pPr>
              <w:jc w:val="center"/>
              <w:rPr>
                <w:b/>
                <w:bCs w:val="0"/>
                <w:color w:val="auto"/>
                <w:u w:val="single"/>
              </w:rPr>
            </w:pPr>
            <w:r>
              <w:rPr>
                <w:rFonts w:hint="eastAsia"/>
                <w:b/>
                <w:bCs w:val="0"/>
                <w:color w:val="auto"/>
                <w:u w:val="single"/>
              </w:rPr>
              <w:t>/</w:t>
            </w:r>
          </w:p>
        </w:tc>
        <w:tc>
          <w:tcPr>
            <w:tcW w:w="442" w:type="pct"/>
            <w:vAlign w:val="center"/>
          </w:tcPr>
          <w:p>
            <w:pPr>
              <w:jc w:val="center"/>
              <w:rPr>
                <w:b/>
                <w:bCs w:val="0"/>
                <w:color w:val="auto"/>
                <w:u w:val="single"/>
              </w:rPr>
            </w:pPr>
            <w:r>
              <w:rPr>
                <w:rFonts w:hint="eastAsia"/>
                <w:b/>
                <w:bCs w:val="0"/>
                <w:color w:val="auto"/>
                <w:u w:val="single"/>
              </w:rPr>
              <w:t>93.8</w:t>
            </w:r>
          </w:p>
        </w:tc>
        <w:tc>
          <w:tcPr>
            <w:tcW w:w="450" w:type="pct"/>
            <w:vAlign w:val="center"/>
          </w:tcPr>
          <w:p>
            <w:pPr>
              <w:jc w:val="center"/>
              <w:rPr>
                <w:b/>
                <w:bCs w:val="0"/>
                <w:color w:val="auto"/>
                <w:u w:val="single"/>
              </w:rPr>
            </w:pPr>
            <w:r>
              <w:rPr>
                <w:rFonts w:hint="eastAsia"/>
                <w:b/>
                <w:bCs w:val="0"/>
                <w:color w:val="auto"/>
                <w:u w:val="single"/>
              </w:rPr>
              <w:t>90</w:t>
            </w:r>
          </w:p>
        </w:tc>
        <w:tc>
          <w:tcPr>
            <w:tcW w:w="448" w:type="pct"/>
            <w:vAlign w:val="center"/>
          </w:tcPr>
          <w:p>
            <w:pPr>
              <w:jc w:val="center"/>
              <w:rPr>
                <w:b/>
                <w:bCs w:val="0"/>
                <w:color w:val="auto"/>
                <w:u w:val="single"/>
              </w:rPr>
            </w:pPr>
            <w:r>
              <w:rPr>
                <w:rFonts w:hint="eastAsia"/>
                <w:b/>
                <w:bCs w:val="0"/>
                <w:color w:val="auto"/>
                <w:u w:val="single"/>
              </w:rPr>
              <w:t>95</w:t>
            </w:r>
          </w:p>
        </w:tc>
        <w:tc>
          <w:tcPr>
            <w:tcW w:w="410" w:type="pct"/>
            <w:tcBorders>
              <w:right w:val="single" w:color="auto" w:sz="4" w:space="0"/>
            </w:tcBorders>
            <w:vAlign w:val="center"/>
          </w:tcPr>
          <w:p>
            <w:pPr>
              <w:jc w:val="center"/>
              <w:rPr>
                <w:b/>
                <w:bCs w:val="0"/>
                <w:color w:val="auto"/>
                <w:u w:val="single"/>
              </w:rPr>
            </w:pPr>
            <w:r>
              <w:rPr>
                <w:rFonts w:hint="eastAsia"/>
                <w:b/>
                <w:bCs w:val="0"/>
                <w:color w:val="auto"/>
                <w:u w:val="single"/>
              </w:rPr>
              <w:t>/</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95</w:t>
            </w:r>
          </w:p>
        </w:tc>
        <w:tc>
          <w:tcPr>
            <w:tcW w:w="309" w:type="pct"/>
            <w:vAlign w:val="center"/>
          </w:tcPr>
          <w:p>
            <w:pPr>
              <w:jc w:val="center"/>
              <w:rPr>
                <w:b/>
                <w:bCs w:val="0"/>
                <w:color w:val="auto"/>
                <w:u w:val="single"/>
              </w:rPr>
            </w:pPr>
            <w:r>
              <w:rPr>
                <w:rFonts w:hint="eastAsia"/>
                <w:b/>
                <w:bCs w:val="0"/>
                <w:color w:val="auto"/>
                <w:u w:val="single"/>
              </w:rPr>
              <w:t>97.5</w:t>
            </w:r>
          </w:p>
        </w:tc>
        <w:tc>
          <w:tcPr>
            <w:tcW w:w="384" w:type="pct"/>
            <w:vAlign w:val="center"/>
          </w:tcPr>
          <w:p>
            <w:pPr>
              <w:jc w:val="center"/>
              <w:rPr>
                <w:b/>
                <w:bCs w:val="0"/>
                <w:color w:val="auto"/>
                <w:u w:val="single"/>
              </w:rPr>
            </w:pPr>
            <w:r>
              <w:rPr>
                <w:rFonts w:hint="eastAsia"/>
                <w:b/>
                <w:bCs w:val="0"/>
                <w:color w:val="auto"/>
                <w:u w:val="single"/>
              </w:rPr>
              <w:t>90</w:t>
            </w:r>
          </w:p>
        </w:tc>
        <w:tc>
          <w:tcPr>
            <w:tcW w:w="432" w:type="pct"/>
            <w:vAlign w:val="center"/>
          </w:tcPr>
          <w:p>
            <w:pPr>
              <w:jc w:val="center"/>
              <w:rPr>
                <w:b/>
                <w:bCs w:val="0"/>
                <w:color w:val="auto"/>
                <w:u w:val="single"/>
              </w:rPr>
            </w:pPr>
            <w:r>
              <w:rPr>
                <w:rFonts w:hint="eastAsia"/>
                <w:b/>
                <w:bCs w:val="0"/>
                <w:color w:val="auto"/>
                <w:u w:val="single"/>
              </w:rPr>
              <w:t>97.5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rFonts w:hint="eastAsia"/>
                <w:b/>
                <w:bCs w:val="0"/>
                <w:color w:val="auto"/>
                <w:u w:val="single"/>
              </w:rPr>
              <w:t>反渗透系统（二ECRO+DTRO+二级RO）出水（全部回用）</w:t>
            </w:r>
          </w:p>
        </w:tc>
        <w:tc>
          <w:tcPr>
            <w:tcW w:w="588" w:type="pct"/>
            <w:vAlign w:val="center"/>
          </w:tcPr>
          <w:p>
            <w:pPr>
              <w:jc w:val="center"/>
              <w:rPr>
                <w:b/>
                <w:bCs w:val="0"/>
                <w:color w:val="auto"/>
                <w:u w:val="single"/>
              </w:rPr>
            </w:pPr>
            <w:r>
              <w:rPr>
                <w:rFonts w:hint="eastAsia"/>
                <w:b/>
                <w:bCs w:val="0"/>
                <w:color w:val="auto"/>
                <w:u w:val="single"/>
              </w:rPr>
              <w:t>39</w:t>
            </w:r>
            <w:r>
              <w:rPr>
                <w:rFonts w:hint="eastAsia"/>
                <w:b/>
                <w:bCs w:val="0"/>
                <w:color w:val="auto"/>
                <w:u w:val="single"/>
                <w:lang w:val="en-US" w:eastAsia="zh-CN"/>
              </w:rPr>
              <w:t>1</w:t>
            </w:r>
            <w:r>
              <w:rPr>
                <w:rFonts w:hint="eastAsia"/>
                <w:b/>
                <w:bCs w:val="0"/>
                <w:color w:val="auto"/>
                <w:u w:val="single"/>
              </w:rPr>
              <w:t>.5368</w:t>
            </w:r>
          </w:p>
        </w:tc>
        <w:tc>
          <w:tcPr>
            <w:tcW w:w="442" w:type="pct"/>
            <w:vAlign w:val="center"/>
          </w:tcPr>
          <w:p>
            <w:pPr>
              <w:jc w:val="center"/>
              <w:rPr>
                <w:b/>
                <w:bCs w:val="0"/>
                <w:color w:val="auto"/>
                <w:u w:val="single"/>
              </w:rPr>
            </w:pPr>
            <w:r>
              <w:rPr>
                <w:rFonts w:hint="eastAsia"/>
                <w:b/>
                <w:bCs w:val="0"/>
                <w:color w:val="auto"/>
                <w:u w:val="single"/>
              </w:rPr>
              <w:t>6</w:t>
            </w:r>
          </w:p>
        </w:tc>
        <w:tc>
          <w:tcPr>
            <w:tcW w:w="450" w:type="pct"/>
            <w:vAlign w:val="center"/>
          </w:tcPr>
          <w:p>
            <w:pPr>
              <w:jc w:val="center"/>
              <w:rPr>
                <w:b/>
                <w:bCs w:val="0"/>
                <w:color w:val="auto"/>
                <w:u w:val="single"/>
              </w:rPr>
            </w:pPr>
            <w:r>
              <w:rPr>
                <w:rFonts w:hint="eastAsia"/>
                <w:b/>
                <w:bCs w:val="0"/>
                <w:color w:val="auto"/>
                <w:u w:val="single"/>
              </w:rPr>
              <w:t>0.27</w:t>
            </w:r>
          </w:p>
        </w:tc>
        <w:tc>
          <w:tcPr>
            <w:tcW w:w="448" w:type="pct"/>
            <w:vAlign w:val="center"/>
          </w:tcPr>
          <w:p>
            <w:pPr>
              <w:jc w:val="center"/>
              <w:rPr>
                <w:b/>
                <w:bCs w:val="0"/>
                <w:color w:val="auto"/>
                <w:u w:val="single"/>
              </w:rPr>
            </w:pPr>
            <w:r>
              <w:rPr>
                <w:rFonts w:hint="eastAsia"/>
                <w:b/>
                <w:bCs w:val="0"/>
                <w:color w:val="auto"/>
                <w:u w:val="single"/>
              </w:rPr>
              <w:t>0.26</w:t>
            </w:r>
          </w:p>
        </w:tc>
        <w:tc>
          <w:tcPr>
            <w:tcW w:w="410" w:type="pct"/>
            <w:tcBorders>
              <w:right w:val="single" w:color="auto" w:sz="4" w:space="0"/>
            </w:tcBorders>
            <w:vAlign w:val="center"/>
          </w:tcPr>
          <w:p>
            <w:pPr>
              <w:jc w:val="center"/>
              <w:rPr>
                <w:b/>
                <w:bCs w:val="0"/>
                <w:color w:val="auto"/>
                <w:u w:val="single"/>
              </w:rPr>
            </w:pPr>
            <w:r>
              <w:rPr>
                <w:rFonts w:hint="eastAsia"/>
                <w:b/>
                <w:bCs w:val="0"/>
                <w:color w:val="auto"/>
                <w:u w:val="single"/>
              </w:rPr>
              <w:t>0.19</w:t>
            </w: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0.0045</w:t>
            </w:r>
          </w:p>
        </w:tc>
        <w:tc>
          <w:tcPr>
            <w:tcW w:w="309" w:type="pct"/>
            <w:vAlign w:val="center"/>
          </w:tcPr>
          <w:p>
            <w:pPr>
              <w:jc w:val="center"/>
              <w:rPr>
                <w:b/>
                <w:bCs w:val="0"/>
                <w:color w:val="auto"/>
                <w:u w:val="single"/>
              </w:rPr>
            </w:pPr>
            <w:r>
              <w:rPr>
                <w:rFonts w:hint="eastAsia"/>
                <w:b/>
                <w:bCs w:val="0"/>
                <w:color w:val="auto"/>
                <w:u w:val="single"/>
              </w:rPr>
              <w:t>0.0007</w:t>
            </w:r>
          </w:p>
        </w:tc>
        <w:tc>
          <w:tcPr>
            <w:tcW w:w="384" w:type="pct"/>
            <w:vAlign w:val="center"/>
          </w:tcPr>
          <w:p>
            <w:pPr>
              <w:jc w:val="center"/>
              <w:rPr>
                <w:b/>
                <w:bCs w:val="0"/>
                <w:color w:val="auto"/>
                <w:u w:val="single"/>
              </w:rPr>
            </w:pPr>
            <w:r>
              <w:rPr>
                <w:rFonts w:hint="eastAsia"/>
                <w:b/>
                <w:bCs w:val="0"/>
                <w:color w:val="auto"/>
                <w:u w:val="single"/>
              </w:rPr>
              <w:t>0.027</w:t>
            </w:r>
          </w:p>
        </w:tc>
        <w:tc>
          <w:tcPr>
            <w:tcW w:w="432" w:type="pct"/>
            <w:vAlign w:val="center"/>
          </w:tcPr>
          <w:p>
            <w:pPr>
              <w:jc w:val="center"/>
              <w:rPr>
                <w:b/>
                <w:bCs w:val="0"/>
                <w:color w:val="auto"/>
                <w:u w:val="single"/>
              </w:rPr>
            </w:pPr>
            <w:r>
              <w:rPr>
                <w:rFonts w:hint="eastAsia"/>
                <w:b/>
                <w:bCs w:val="0"/>
                <w:color w:val="auto"/>
                <w:u w:val="single"/>
              </w:rPr>
              <w:t>0.022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1145" w:type="pct"/>
            <w:vAlign w:val="center"/>
          </w:tcPr>
          <w:p>
            <w:pPr>
              <w:jc w:val="center"/>
              <w:rPr>
                <w:b/>
                <w:bCs w:val="0"/>
                <w:color w:val="auto"/>
                <w:u w:val="single"/>
              </w:rPr>
            </w:pPr>
            <w:r>
              <w:rPr>
                <w:rFonts w:hint="eastAsia"/>
                <w:b/>
                <w:bCs w:val="0"/>
                <w:color w:val="auto"/>
                <w:u w:val="single"/>
              </w:rPr>
              <w:t>MVR蒸发结晶</w:t>
            </w:r>
          </w:p>
        </w:tc>
        <w:tc>
          <w:tcPr>
            <w:tcW w:w="588" w:type="pct"/>
            <w:vAlign w:val="center"/>
          </w:tcPr>
          <w:p>
            <w:pPr>
              <w:jc w:val="center"/>
              <w:rPr>
                <w:b/>
                <w:bCs w:val="0"/>
                <w:color w:val="auto"/>
                <w:u w:val="single"/>
              </w:rPr>
            </w:pPr>
            <w:r>
              <w:rPr>
                <w:rFonts w:hint="eastAsia"/>
                <w:b/>
                <w:bCs w:val="0"/>
                <w:color w:val="auto"/>
                <w:u w:val="single"/>
              </w:rPr>
              <w:t>2.9587</w:t>
            </w:r>
          </w:p>
        </w:tc>
        <w:tc>
          <w:tcPr>
            <w:tcW w:w="442" w:type="pct"/>
            <w:vAlign w:val="center"/>
          </w:tcPr>
          <w:p>
            <w:pPr>
              <w:jc w:val="center"/>
              <w:rPr>
                <w:b/>
                <w:bCs w:val="0"/>
                <w:color w:val="auto"/>
                <w:u w:val="single"/>
              </w:rPr>
            </w:pPr>
            <w:r>
              <w:rPr>
                <w:rFonts w:hint="eastAsia"/>
                <w:b/>
                <w:bCs w:val="0"/>
                <w:color w:val="auto"/>
                <w:u w:val="single"/>
              </w:rPr>
              <w:t>/</w:t>
            </w:r>
          </w:p>
        </w:tc>
        <w:tc>
          <w:tcPr>
            <w:tcW w:w="450" w:type="pct"/>
            <w:vAlign w:val="center"/>
          </w:tcPr>
          <w:p>
            <w:pPr>
              <w:jc w:val="center"/>
              <w:rPr>
                <w:b/>
                <w:bCs w:val="0"/>
                <w:color w:val="auto"/>
                <w:u w:val="single"/>
              </w:rPr>
            </w:pPr>
            <w:r>
              <w:rPr>
                <w:rFonts w:hint="eastAsia"/>
                <w:b/>
                <w:bCs w:val="0"/>
                <w:color w:val="auto"/>
                <w:u w:val="single"/>
              </w:rPr>
              <w:t>/</w:t>
            </w:r>
          </w:p>
        </w:tc>
        <w:tc>
          <w:tcPr>
            <w:tcW w:w="448" w:type="pct"/>
            <w:vAlign w:val="center"/>
          </w:tcPr>
          <w:p>
            <w:pPr>
              <w:jc w:val="center"/>
              <w:rPr>
                <w:b/>
                <w:bCs w:val="0"/>
                <w:color w:val="auto"/>
                <w:u w:val="single"/>
              </w:rPr>
            </w:pPr>
            <w:r>
              <w:rPr>
                <w:rFonts w:hint="eastAsia"/>
                <w:b/>
                <w:bCs w:val="0"/>
                <w:color w:val="auto"/>
                <w:u w:val="single"/>
              </w:rPr>
              <w:t>/</w:t>
            </w:r>
          </w:p>
        </w:tc>
        <w:tc>
          <w:tcPr>
            <w:tcW w:w="410" w:type="pct"/>
            <w:tcBorders>
              <w:right w:val="single" w:color="auto" w:sz="4" w:space="0"/>
            </w:tcBorders>
            <w:vAlign w:val="center"/>
          </w:tcPr>
          <w:p>
            <w:pPr>
              <w:jc w:val="center"/>
              <w:rPr>
                <w:b/>
                <w:bCs w:val="0"/>
                <w:color w:val="auto"/>
                <w:u w:val="single"/>
              </w:rPr>
            </w:pPr>
          </w:p>
        </w:tc>
        <w:tc>
          <w:tcPr>
            <w:tcW w:w="387" w:type="pct"/>
            <w:tcBorders>
              <w:left w:val="single" w:color="auto" w:sz="4" w:space="0"/>
            </w:tcBorders>
            <w:vAlign w:val="center"/>
          </w:tcPr>
          <w:p>
            <w:pPr>
              <w:jc w:val="center"/>
              <w:rPr>
                <w:b/>
                <w:bCs w:val="0"/>
                <w:color w:val="auto"/>
                <w:u w:val="single"/>
              </w:rPr>
            </w:pPr>
            <w:r>
              <w:rPr>
                <w:rFonts w:hint="eastAsia"/>
                <w:b/>
                <w:bCs w:val="0"/>
                <w:color w:val="auto"/>
                <w:u w:val="single"/>
              </w:rPr>
              <w:t>/</w:t>
            </w:r>
          </w:p>
        </w:tc>
        <w:tc>
          <w:tcPr>
            <w:tcW w:w="309" w:type="pct"/>
            <w:vAlign w:val="center"/>
          </w:tcPr>
          <w:p>
            <w:pPr>
              <w:jc w:val="center"/>
              <w:rPr>
                <w:b/>
                <w:bCs w:val="0"/>
                <w:color w:val="auto"/>
                <w:u w:val="single"/>
              </w:rPr>
            </w:pPr>
            <w:r>
              <w:rPr>
                <w:rFonts w:hint="eastAsia"/>
                <w:b/>
                <w:bCs w:val="0"/>
                <w:color w:val="auto"/>
                <w:u w:val="single"/>
              </w:rPr>
              <w:t>/</w:t>
            </w:r>
          </w:p>
        </w:tc>
        <w:tc>
          <w:tcPr>
            <w:tcW w:w="384" w:type="pct"/>
            <w:vAlign w:val="center"/>
          </w:tcPr>
          <w:p>
            <w:pPr>
              <w:jc w:val="center"/>
              <w:rPr>
                <w:b/>
                <w:bCs w:val="0"/>
                <w:color w:val="auto"/>
                <w:u w:val="single"/>
              </w:rPr>
            </w:pPr>
            <w:r>
              <w:rPr>
                <w:rFonts w:hint="eastAsia"/>
                <w:b/>
                <w:bCs w:val="0"/>
                <w:color w:val="auto"/>
                <w:u w:val="single"/>
              </w:rPr>
              <w:t>/</w:t>
            </w:r>
          </w:p>
        </w:tc>
        <w:tc>
          <w:tcPr>
            <w:tcW w:w="432" w:type="pct"/>
            <w:vAlign w:val="center"/>
          </w:tcPr>
          <w:p>
            <w:pPr>
              <w:jc w:val="center"/>
              <w:rPr>
                <w:b/>
                <w:bCs w:val="0"/>
                <w:color w:val="auto"/>
                <w:u w:val="single"/>
              </w:rPr>
            </w:pPr>
            <w:r>
              <w:rPr>
                <w:rFonts w:hint="eastAsia"/>
                <w:b/>
                <w:bCs w:val="0"/>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5" w:hRule="atLeast"/>
          <w:jc w:val="center"/>
        </w:trPr>
        <w:tc>
          <w:tcPr>
            <w:tcW w:w="5000" w:type="pct"/>
            <w:gridSpan w:val="10"/>
            <w:vAlign w:val="center"/>
          </w:tcPr>
          <w:p>
            <w:pPr>
              <w:rPr>
                <w:rFonts w:ascii="宋体" w:hAnsi="Courier New"/>
                <w:b/>
                <w:bCs w:val="0"/>
                <w:color w:val="auto"/>
                <w:u w:val="single"/>
              </w:rPr>
            </w:pPr>
            <w:r>
              <w:rPr>
                <w:rFonts w:hint="eastAsia" w:ascii="宋体" w:hAnsi="Courier New"/>
                <w:b/>
                <w:bCs w:val="0"/>
                <w:color w:val="auto"/>
                <w:u w:val="single"/>
              </w:rPr>
              <w:t>备注：1、回用水电导率：</w:t>
            </w:r>
            <w:r>
              <w:rPr>
                <w:rFonts w:hint="eastAsia" w:ascii="宋体" w:hAnsi="Courier New"/>
                <w:b/>
                <w:bCs w:val="0"/>
                <w:color w:val="auto"/>
                <w:u w:val="single"/>
                <w:lang w:val="en-US" w:eastAsia="zh-CN"/>
              </w:rPr>
              <w:t>20</w:t>
            </w:r>
            <w:r>
              <w:rPr>
                <w:rFonts w:ascii="宋体" w:hAnsi="Courier New"/>
                <w:b/>
                <w:bCs w:val="0"/>
                <w:color w:val="auto"/>
                <w:u w:val="single"/>
              </w:rPr>
              <w:t>us/cm</w:t>
            </w:r>
          </w:p>
          <w:p>
            <w:pPr>
              <w:pStyle w:val="43"/>
              <w:rPr>
                <w:b/>
                <w:bCs w:val="0"/>
                <w:color w:val="auto"/>
                <w:u w:val="single"/>
              </w:rPr>
            </w:pPr>
            <w:r>
              <w:rPr>
                <w:rFonts w:hint="eastAsia"/>
                <w:b/>
                <w:bCs w:val="0"/>
                <w:color w:val="auto"/>
                <w:szCs w:val="21"/>
                <w:u w:val="single"/>
              </w:rPr>
              <w:t>2、废水处理系统设置有</w:t>
            </w:r>
            <w:r>
              <w:rPr>
                <w:b/>
                <w:bCs w:val="0"/>
                <w:color w:val="auto"/>
                <w:szCs w:val="21"/>
                <w:u w:val="single"/>
              </w:rPr>
              <w:t>pH</w:t>
            </w:r>
            <w:r>
              <w:rPr>
                <w:rFonts w:hint="eastAsia"/>
                <w:b/>
                <w:bCs w:val="0"/>
                <w:color w:val="auto"/>
                <w:szCs w:val="21"/>
                <w:u w:val="single"/>
              </w:rPr>
              <w:t>自动调节系统，可根据水质适时调整</w:t>
            </w:r>
            <w:r>
              <w:rPr>
                <w:b/>
                <w:bCs w:val="0"/>
                <w:color w:val="auto"/>
                <w:szCs w:val="21"/>
                <w:u w:val="single"/>
              </w:rPr>
              <w:t>pH</w:t>
            </w:r>
            <w:r>
              <w:rPr>
                <w:rFonts w:hint="eastAsia"/>
                <w:b/>
                <w:bCs w:val="0"/>
                <w:color w:val="auto"/>
                <w:szCs w:val="21"/>
                <w:u w:val="single"/>
              </w:rPr>
              <w:t>值，保证出水</w:t>
            </w:r>
            <w:r>
              <w:rPr>
                <w:b/>
                <w:bCs w:val="0"/>
                <w:color w:val="auto"/>
                <w:szCs w:val="21"/>
                <w:u w:val="single"/>
              </w:rPr>
              <w:t>pH</w:t>
            </w:r>
            <w:r>
              <w:rPr>
                <w:rFonts w:hint="eastAsia"/>
                <w:b/>
                <w:bCs w:val="0"/>
                <w:color w:val="auto"/>
                <w:szCs w:val="21"/>
                <w:u w:val="single"/>
              </w:rPr>
              <w:t>值在</w:t>
            </w:r>
            <w:r>
              <w:rPr>
                <w:b/>
                <w:bCs w:val="0"/>
                <w:color w:val="auto"/>
                <w:szCs w:val="21"/>
                <w:u w:val="single"/>
              </w:rPr>
              <w:t>6</w:t>
            </w:r>
            <w:r>
              <w:rPr>
                <w:rFonts w:hint="eastAsia"/>
                <w:b/>
                <w:color w:val="auto"/>
                <w:kern w:val="21"/>
                <w:sz w:val="24"/>
                <w:u w:val="single"/>
                <w:lang w:val="en-US" w:eastAsia="zh-CN"/>
              </w:rPr>
              <w:t>～</w:t>
            </w:r>
            <w:r>
              <w:rPr>
                <w:b/>
                <w:bCs w:val="0"/>
                <w:color w:val="auto"/>
                <w:szCs w:val="21"/>
                <w:u w:val="single"/>
              </w:rPr>
              <w:t>9</w:t>
            </w:r>
            <w:r>
              <w:rPr>
                <w:rFonts w:hint="eastAsia"/>
                <w:b/>
                <w:bCs w:val="0"/>
                <w:color w:val="auto"/>
                <w:szCs w:val="21"/>
                <w:u w:val="single"/>
              </w:rPr>
              <w:t>，满足回用要求，因此不再对其进行预测计算。</w:t>
            </w: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240" w:lineRule="auto"/>
        <w:ind w:firstLine="482" w:firstLineChars="200"/>
        <w:jc w:val="center"/>
        <w:textAlignment w:val="auto"/>
        <w:rPr>
          <w:rFonts w:eastAsia="黑体"/>
          <w:b/>
          <w:bCs w:val="0"/>
          <w:color w:val="auto"/>
          <w:kern w:val="21"/>
          <w:sz w:val="24"/>
          <w:u w:val="single"/>
          <w:lang w:val="en-US"/>
        </w:rPr>
      </w:pPr>
      <w:r>
        <w:rPr>
          <w:rFonts w:hint="eastAsia" w:eastAsia="黑体"/>
          <w:b/>
          <w:bCs w:val="0"/>
          <w:color w:val="auto"/>
          <w:kern w:val="21"/>
          <w:sz w:val="24"/>
          <w:u w:val="single"/>
          <w:lang w:val="en-US"/>
        </w:rPr>
        <w:t>表7.2-13  废水电导率去除效率一览表</w:t>
      </w:r>
    </w:p>
    <w:tbl>
      <w:tblPr>
        <w:tblStyle w:val="8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81"/>
        <w:gridCol w:w="870"/>
        <w:gridCol w:w="2951"/>
        <w:gridCol w:w="2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序号</w:t>
            </w:r>
          </w:p>
        </w:tc>
        <w:tc>
          <w:tcPr>
            <w:tcW w:w="2240" w:type="pct"/>
            <w:gridSpan w:val="2"/>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工段</w:t>
            </w:r>
          </w:p>
        </w:tc>
        <w:tc>
          <w:tcPr>
            <w:tcW w:w="1715" w:type="pct"/>
            <w:shd w:val="clear" w:color="auto" w:fill="auto"/>
            <w:vAlign w:val="center"/>
          </w:tcPr>
          <w:p>
            <w:pPr>
              <w:jc w:val="center"/>
              <w:rPr>
                <w:b/>
                <w:bCs w:val="0"/>
                <w:iCs/>
                <w:color w:val="auto"/>
                <w:u w:val="single"/>
              </w:rPr>
            </w:pPr>
            <w:r>
              <w:rPr>
                <w:b/>
                <w:bCs w:val="0"/>
                <w:iCs/>
                <w:color w:val="auto"/>
                <w:u w:val="single"/>
              </w:rPr>
              <w:t>指标 （us/cm）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1</w:t>
            </w:r>
          </w:p>
        </w:tc>
        <w:tc>
          <w:tcPr>
            <w:tcW w:w="2240" w:type="pct"/>
            <w:gridSpan w:val="2"/>
            <w:shd w:val="clear" w:color="auto" w:fill="auto"/>
            <w:vAlign w:val="center"/>
          </w:tcPr>
          <w:p>
            <w:pPr>
              <w:jc w:val="center"/>
              <w:rPr>
                <w:b/>
                <w:bCs w:val="0"/>
                <w:color w:val="auto"/>
                <w:kern w:val="0"/>
                <w:u w:val="single"/>
              </w:rPr>
            </w:pPr>
            <w:r>
              <w:rPr>
                <w:b/>
                <w:bCs w:val="0"/>
                <w:color w:val="auto"/>
                <w:u w:val="single"/>
              </w:rPr>
              <w:t>生化调节池</w:t>
            </w:r>
          </w:p>
        </w:tc>
        <w:tc>
          <w:tcPr>
            <w:tcW w:w="1715" w:type="pct"/>
            <w:shd w:val="clear" w:color="auto" w:fill="auto"/>
            <w:vAlign w:val="center"/>
          </w:tcPr>
          <w:p>
            <w:pPr>
              <w:jc w:val="center"/>
              <w:rPr>
                <w:b/>
                <w:bCs w:val="0"/>
                <w:iCs/>
                <w:color w:val="auto"/>
                <w:kern w:val="0"/>
                <w:u w:val="single"/>
              </w:rPr>
            </w:pPr>
            <w:r>
              <w:rPr>
                <w:b/>
                <w:bCs w:val="0"/>
                <w:iCs/>
                <w:color w:val="auto"/>
                <w:u w:val="single"/>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2</w:t>
            </w:r>
          </w:p>
        </w:tc>
        <w:tc>
          <w:tcPr>
            <w:tcW w:w="2240" w:type="pct"/>
            <w:gridSpan w:val="2"/>
            <w:shd w:val="clear" w:color="auto" w:fill="auto"/>
            <w:vAlign w:val="center"/>
          </w:tcPr>
          <w:p>
            <w:pPr>
              <w:jc w:val="center"/>
              <w:rPr>
                <w:b/>
                <w:bCs w:val="0"/>
                <w:color w:val="auto"/>
                <w:kern w:val="0"/>
                <w:u w:val="single"/>
              </w:rPr>
            </w:pPr>
            <w:r>
              <w:rPr>
                <w:b/>
                <w:bCs w:val="0"/>
                <w:color w:val="auto"/>
                <w:u w:val="single"/>
              </w:rPr>
              <w:t>生化出水（MBR产水）</w:t>
            </w:r>
          </w:p>
        </w:tc>
        <w:tc>
          <w:tcPr>
            <w:tcW w:w="1715" w:type="pct"/>
            <w:shd w:val="clear" w:color="auto" w:fill="auto"/>
            <w:vAlign w:val="center"/>
          </w:tcPr>
          <w:p>
            <w:pPr>
              <w:jc w:val="center"/>
              <w:rPr>
                <w:b/>
                <w:bCs w:val="0"/>
                <w:iCs/>
                <w:color w:val="auto"/>
                <w:kern w:val="0"/>
                <w:u w:val="single"/>
              </w:rPr>
            </w:pPr>
            <w:r>
              <w:rPr>
                <w:b/>
                <w:bCs w:val="0"/>
                <w:iCs/>
                <w:color w:val="auto"/>
                <w:u w:val="single"/>
              </w:rPr>
              <w:t>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3</w:t>
            </w:r>
          </w:p>
        </w:tc>
        <w:tc>
          <w:tcPr>
            <w:tcW w:w="510" w:type="pct"/>
            <w:vMerge w:val="restart"/>
            <w:shd w:val="clear" w:color="auto" w:fill="auto"/>
            <w:vAlign w:val="center"/>
          </w:tcPr>
          <w:p>
            <w:pPr>
              <w:jc w:val="center"/>
              <w:rPr>
                <w:b/>
                <w:bCs w:val="0"/>
                <w:color w:val="auto"/>
                <w:kern w:val="0"/>
                <w:u w:val="single"/>
              </w:rPr>
            </w:pPr>
            <w:r>
              <w:rPr>
                <w:b/>
                <w:bCs w:val="0"/>
                <w:color w:val="auto"/>
                <w:kern w:val="0"/>
                <w:u w:val="single"/>
              </w:rPr>
              <w:t>反渗透系统</w:t>
            </w:r>
          </w:p>
        </w:tc>
        <w:tc>
          <w:tcPr>
            <w:tcW w:w="1730" w:type="pct"/>
            <w:shd w:val="clear" w:color="auto" w:fill="auto"/>
            <w:vAlign w:val="center"/>
          </w:tcPr>
          <w:p>
            <w:pPr>
              <w:jc w:val="center"/>
              <w:rPr>
                <w:b/>
                <w:bCs w:val="0"/>
                <w:color w:val="auto"/>
                <w:kern w:val="0"/>
                <w:u w:val="single"/>
              </w:rPr>
            </w:pPr>
            <w:r>
              <w:rPr>
                <w:b/>
                <w:bCs w:val="0"/>
                <w:color w:val="auto"/>
                <w:u w:val="single"/>
              </w:rPr>
              <w:t>ECRO1产水</w:t>
            </w:r>
          </w:p>
        </w:tc>
        <w:tc>
          <w:tcPr>
            <w:tcW w:w="1715" w:type="pct"/>
            <w:shd w:val="clear" w:color="auto" w:fill="auto"/>
            <w:vAlign w:val="center"/>
          </w:tcPr>
          <w:p>
            <w:pPr>
              <w:jc w:val="center"/>
              <w:rPr>
                <w:b/>
                <w:bCs w:val="0"/>
                <w:iCs/>
                <w:color w:val="auto"/>
                <w:kern w:val="0"/>
                <w:u w:val="single"/>
              </w:rPr>
            </w:pPr>
            <w:r>
              <w:rPr>
                <w:b/>
                <w:bCs w:val="0"/>
                <w:iCs/>
                <w:color w:val="auto"/>
                <w:u w:val="single"/>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4</w:t>
            </w:r>
          </w:p>
        </w:tc>
        <w:tc>
          <w:tcPr>
            <w:tcW w:w="510" w:type="pct"/>
            <w:vMerge w:val="continue"/>
            <w:shd w:val="clear" w:color="auto" w:fill="auto"/>
            <w:vAlign w:val="center"/>
          </w:tcPr>
          <w:p>
            <w:pPr>
              <w:jc w:val="center"/>
              <w:rPr>
                <w:b/>
                <w:bCs w:val="0"/>
                <w:color w:val="auto"/>
                <w:kern w:val="0"/>
                <w:u w:val="single"/>
              </w:rPr>
            </w:pPr>
          </w:p>
        </w:tc>
        <w:tc>
          <w:tcPr>
            <w:tcW w:w="1730" w:type="pct"/>
            <w:shd w:val="clear" w:color="auto" w:fill="auto"/>
            <w:vAlign w:val="center"/>
          </w:tcPr>
          <w:p>
            <w:pPr>
              <w:jc w:val="center"/>
              <w:rPr>
                <w:b/>
                <w:bCs w:val="0"/>
                <w:color w:val="auto"/>
                <w:kern w:val="0"/>
                <w:u w:val="single"/>
              </w:rPr>
            </w:pPr>
            <w:r>
              <w:rPr>
                <w:b/>
                <w:bCs w:val="0"/>
                <w:color w:val="auto"/>
                <w:u w:val="single"/>
              </w:rPr>
              <w:t>ECRO2产水</w:t>
            </w:r>
          </w:p>
        </w:tc>
        <w:tc>
          <w:tcPr>
            <w:tcW w:w="1715" w:type="pct"/>
            <w:shd w:val="clear" w:color="auto" w:fill="auto"/>
            <w:vAlign w:val="center"/>
          </w:tcPr>
          <w:p>
            <w:pPr>
              <w:jc w:val="center"/>
              <w:rPr>
                <w:b/>
                <w:bCs w:val="0"/>
                <w:iCs/>
                <w:color w:val="auto"/>
                <w:kern w:val="0"/>
                <w:u w:val="single"/>
              </w:rPr>
            </w:pPr>
            <w:r>
              <w:rPr>
                <w:b/>
                <w:bCs w:val="0"/>
                <w:iCs/>
                <w:color w:val="auto"/>
                <w:u w:val="single"/>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5</w:t>
            </w:r>
          </w:p>
        </w:tc>
        <w:tc>
          <w:tcPr>
            <w:tcW w:w="510" w:type="pct"/>
            <w:vMerge w:val="continue"/>
            <w:shd w:val="clear" w:color="auto" w:fill="auto"/>
            <w:vAlign w:val="center"/>
          </w:tcPr>
          <w:p>
            <w:pPr>
              <w:jc w:val="center"/>
              <w:rPr>
                <w:b/>
                <w:bCs w:val="0"/>
                <w:color w:val="auto"/>
                <w:kern w:val="0"/>
                <w:u w:val="single"/>
              </w:rPr>
            </w:pPr>
          </w:p>
        </w:tc>
        <w:tc>
          <w:tcPr>
            <w:tcW w:w="1730" w:type="pct"/>
            <w:shd w:val="clear" w:color="auto" w:fill="auto"/>
            <w:vAlign w:val="center"/>
          </w:tcPr>
          <w:p>
            <w:pPr>
              <w:jc w:val="center"/>
              <w:rPr>
                <w:b/>
                <w:bCs w:val="0"/>
                <w:color w:val="auto"/>
                <w:kern w:val="0"/>
                <w:u w:val="single"/>
              </w:rPr>
            </w:pPr>
            <w:r>
              <w:rPr>
                <w:b/>
                <w:bCs w:val="0"/>
                <w:color w:val="auto"/>
                <w:u w:val="single"/>
              </w:rPr>
              <w:t>DTRO产水</w:t>
            </w:r>
          </w:p>
        </w:tc>
        <w:tc>
          <w:tcPr>
            <w:tcW w:w="1715" w:type="pct"/>
            <w:shd w:val="clear" w:color="auto" w:fill="auto"/>
            <w:vAlign w:val="center"/>
          </w:tcPr>
          <w:p>
            <w:pPr>
              <w:jc w:val="center"/>
              <w:rPr>
                <w:b/>
                <w:bCs w:val="0"/>
                <w:iCs/>
                <w:color w:val="auto"/>
                <w:kern w:val="0"/>
                <w:u w:val="single"/>
              </w:rPr>
            </w:pPr>
            <w:r>
              <w:rPr>
                <w:b/>
                <w:bCs w:val="0"/>
                <w:iCs/>
                <w:color w:val="auto"/>
                <w:u w:val="single"/>
              </w:rPr>
              <w:t>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6</w:t>
            </w:r>
          </w:p>
        </w:tc>
        <w:tc>
          <w:tcPr>
            <w:tcW w:w="510" w:type="pct"/>
            <w:vMerge w:val="continue"/>
            <w:shd w:val="clear" w:color="auto" w:fill="auto"/>
            <w:vAlign w:val="center"/>
          </w:tcPr>
          <w:p>
            <w:pPr>
              <w:jc w:val="center"/>
              <w:rPr>
                <w:b/>
                <w:bCs w:val="0"/>
                <w:color w:val="auto"/>
                <w:kern w:val="0"/>
                <w:u w:val="single"/>
              </w:rPr>
            </w:pPr>
          </w:p>
        </w:tc>
        <w:tc>
          <w:tcPr>
            <w:tcW w:w="1730" w:type="pct"/>
            <w:shd w:val="clear" w:color="auto" w:fill="auto"/>
            <w:vAlign w:val="center"/>
          </w:tcPr>
          <w:p>
            <w:pPr>
              <w:jc w:val="center"/>
              <w:rPr>
                <w:b/>
                <w:bCs w:val="0"/>
                <w:color w:val="auto"/>
                <w:kern w:val="0"/>
                <w:u w:val="single"/>
              </w:rPr>
            </w:pPr>
            <w:r>
              <w:rPr>
                <w:b/>
                <w:bCs w:val="0"/>
                <w:color w:val="auto"/>
                <w:u w:val="single"/>
              </w:rPr>
              <w:t>脱盐RO1产水</w:t>
            </w:r>
          </w:p>
        </w:tc>
        <w:tc>
          <w:tcPr>
            <w:tcW w:w="1715" w:type="pct"/>
            <w:shd w:val="clear" w:color="auto" w:fill="auto"/>
            <w:vAlign w:val="center"/>
          </w:tcPr>
          <w:p>
            <w:pPr>
              <w:jc w:val="center"/>
              <w:rPr>
                <w:b/>
                <w:bCs w:val="0"/>
                <w:iCs/>
                <w:color w:val="auto"/>
                <w:kern w:val="0"/>
                <w:u w:val="single"/>
              </w:rPr>
            </w:pPr>
            <w:r>
              <w:rPr>
                <w:b/>
                <w:bCs w:val="0"/>
                <w:iCs/>
                <w:color w:val="auto"/>
                <w:u w:val="singl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7</w:t>
            </w:r>
          </w:p>
        </w:tc>
        <w:tc>
          <w:tcPr>
            <w:tcW w:w="510" w:type="pct"/>
            <w:vMerge w:val="continue"/>
            <w:shd w:val="clear" w:color="auto" w:fill="auto"/>
            <w:vAlign w:val="center"/>
          </w:tcPr>
          <w:p>
            <w:pPr>
              <w:jc w:val="center"/>
              <w:rPr>
                <w:b/>
                <w:bCs w:val="0"/>
                <w:color w:val="auto"/>
                <w:kern w:val="0"/>
                <w:u w:val="single"/>
              </w:rPr>
            </w:pPr>
          </w:p>
        </w:tc>
        <w:tc>
          <w:tcPr>
            <w:tcW w:w="1730" w:type="pct"/>
            <w:shd w:val="clear" w:color="auto" w:fill="auto"/>
            <w:vAlign w:val="center"/>
          </w:tcPr>
          <w:p>
            <w:pPr>
              <w:jc w:val="center"/>
              <w:rPr>
                <w:b/>
                <w:bCs w:val="0"/>
                <w:color w:val="auto"/>
                <w:kern w:val="0"/>
                <w:u w:val="single"/>
              </w:rPr>
            </w:pPr>
            <w:r>
              <w:rPr>
                <w:b/>
                <w:bCs w:val="0"/>
                <w:color w:val="auto"/>
                <w:u w:val="single"/>
              </w:rPr>
              <w:t>脱盐RO2产水</w:t>
            </w:r>
          </w:p>
        </w:tc>
        <w:tc>
          <w:tcPr>
            <w:tcW w:w="1715" w:type="pct"/>
            <w:shd w:val="clear" w:color="auto" w:fill="auto"/>
            <w:vAlign w:val="center"/>
          </w:tcPr>
          <w:p>
            <w:pPr>
              <w:jc w:val="center"/>
              <w:rPr>
                <w:b/>
                <w:bCs w:val="0"/>
                <w:iCs/>
                <w:color w:val="auto"/>
                <w:kern w:val="0"/>
                <w:u w:val="single"/>
              </w:rPr>
            </w:pPr>
            <w:r>
              <w:rPr>
                <w:b/>
                <w:bCs w:val="0"/>
                <w:iCs/>
                <w:color w:val="auto"/>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44" w:type="pct"/>
            <w:shd w:val="clear" w:color="auto" w:fill="auto"/>
            <w:vAlign w:val="center"/>
          </w:tcPr>
          <w:p>
            <w:pPr>
              <w:autoSpaceDE w:val="0"/>
              <w:autoSpaceDN w:val="0"/>
              <w:adjustRightInd w:val="0"/>
              <w:jc w:val="center"/>
              <w:rPr>
                <w:b/>
                <w:bCs w:val="0"/>
                <w:color w:val="auto"/>
                <w:kern w:val="0"/>
                <w:u w:val="single"/>
              </w:rPr>
            </w:pPr>
            <w:r>
              <w:rPr>
                <w:b/>
                <w:bCs w:val="0"/>
                <w:color w:val="auto"/>
                <w:kern w:val="0"/>
                <w:u w:val="single"/>
              </w:rPr>
              <w:t>8</w:t>
            </w:r>
          </w:p>
        </w:tc>
        <w:tc>
          <w:tcPr>
            <w:tcW w:w="2240" w:type="pct"/>
            <w:gridSpan w:val="2"/>
            <w:shd w:val="clear" w:color="auto" w:fill="auto"/>
            <w:vAlign w:val="center"/>
          </w:tcPr>
          <w:p>
            <w:pPr>
              <w:jc w:val="center"/>
              <w:rPr>
                <w:b/>
                <w:bCs w:val="0"/>
                <w:color w:val="auto"/>
                <w:u w:val="single"/>
              </w:rPr>
            </w:pPr>
            <w:r>
              <w:rPr>
                <w:b/>
                <w:bCs w:val="0"/>
                <w:color w:val="auto"/>
                <w:u w:val="single"/>
              </w:rPr>
              <w:t>去除率</w:t>
            </w:r>
          </w:p>
        </w:tc>
        <w:tc>
          <w:tcPr>
            <w:tcW w:w="1715" w:type="pct"/>
            <w:shd w:val="clear" w:color="auto" w:fill="auto"/>
            <w:vAlign w:val="center"/>
          </w:tcPr>
          <w:p>
            <w:pPr>
              <w:jc w:val="center"/>
              <w:rPr>
                <w:b/>
                <w:bCs w:val="0"/>
                <w:iCs/>
                <w:color w:val="auto"/>
                <w:kern w:val="0"/>
                <w:u w:val="single"/>
              </w:rPr>
            </w:pPr>
            <w:r>
              <w:rPr>
                <w:b/>
                <w:bCs w:val="0"/>
                <w:iCs/>
                <w:color w:val="auto"/>
                <w:u w:val="single"/>
              </w:rPr>
              <w:t>99.8%</w:t>
            </w:r>
          </w:p>
        </w:tc>
      </w:tr>
    </w:tbl>
    <w:p>
      <w:pPr>
        <w:pStyle w:val="32"/>
        <w:keepNext w:val="0"/>
        <w:keepLines w:val="0"/>
        <w:pageBreakBefore w:val="0"/>
        <w:widowControl/>
        <w:kinsoku/>
        <w:wordWrap/>
        <w:overflowPunct/>
        <w:topLinePunct w:val="0"/>
        <w:autoSpaceDE/>
        <w:autoSpaceDN/>
        <w:bidi w:val="0"/>
        <w:adjustRightInd w:val="0"/>
        <w:snapToGrid w:val="0"/>
        <w:spacing w:before="157" w:beforeLines="50" w:after="0" w:line="360" w:lineRule="auto"/>
        <w:ind w:firstLine="482" w:firstLineChars="200"/>
        <w:textAlignment w:val="auto"/>
        <w:rPr>
          <w:b/>
          <w:bCs w:val="0"/>
          <w:color w:val="auto"/>
          <w:kern w:val="21"/>
          <w:sz w:val="24"/>
          <w:u w:val="single"/>
        </w:rPr>
      </w:pPr>
      <w:r>
        <w:rPr>
          <w:rFonts w:hint="eastAsia"/>
          <w:b/>
          <w:bCs w:val="0"/>
          <w:color w:val="auto"/>
          <w:kern w:val="21"/>
          <w:sz w:val="24"/>
          <w:u w:val="single"/>
        </w:rPr>
        <w:t>4、同类企业运行效果</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本项目全部生产线废水采用分类收集、分类处理、深度处理、全部回用，各类废水采用预处理后，最终全部进入零排放处理系统，经深度处理后全部回用。采用此类废水处理方式的企业经调查有孝感惠茹金属表面处理有限公司2000t/a金属表面处理项目、盐城千佰镀金属表面处理有限公司工件表面处理（年处理工件518.32万平方米）项目，具体如下：</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（1）孝感惠茹金属表面处理有限公司2000t/a金属表面处理项目</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孝感惠茹金属表面处理有限公司2000t/a金属表面处理项目于</w:t>
      </w:r>
      <w:r>
        <w:rPr>
          <w:b/>
          <w:color w:val="auto"/>
          <w:kern w:val="21"/>
          <w:sz w:val="24"/>
          <w:u w:val="single"/>
          <w:lang w:val="en-US"/>
        </w:rPr>
        <w:t>2021</w:t>
      </w:r>
      <w:r>
        <w:rPr>
          <w:rFonts w:hint="eastAsia"/>
          <w:b/>
          <w:color w:val="auto"/>
          <w:kern w:val="21"/>
          <w:sz w:val="24"/>
          <w:u w:val="single"/>
          <w:lang w:val="en-US"/>
        </w:rPr>
        <w:t>年</w:t>
      </w:r>
      <w:r>
        <w:rPr>
          <w:b/>
          <w:color w:val="auto"/>
          <w:kern w:val="21"/>
          <w:sz w:val="24"/>
          <w:u w:val="single"/>
          <w:lang w:val="en-US"/>
        </w:rPr>
        <w:t>9</w:t>
      </w:r>
      <w:r>
        <w:rPr>
          <w:rFonts w:hint="eastAsia"/>
          <w:b/>
          <w:color w:val="auto"/>
          <w:kern w:val="21"/>
          <w:sz w:val="24"/>
          <w:u w:val="single"/>
          <w:lang w:val="en-US"/>
        </w:rPr>
        <w:t>月委托湖北汇策环保技术有限公司承担该项目的环境影响评价工作，</w:t>
      </w:r>
      <w:r>
        <w:rPr>
          <w:b/>
          <w:color w:val="auto"/>
          <w:kern w:val="21"/>
          <w:sz w:val="24"/>
          <w:u w:val="single"/>
          <w:lang w:val="en-US"/>
        </w:rPr>
        <w:t>2021</w:t>
      </w:r>
      <w:r>
        <w:rPr>
          <w:rFonts w:hint="eastAsia"/>
          <w:b/>
          <w:color w:val="auto"/>
          <w:kern w:val="21"/>
          <w:sz w:val="24"/>
          <w:u w:val="single"/>
          <w:lang w:val="en-US"/>
        </w:rPr>
        <w:t>年</w:t>
      </w:r>
      <w:r>
        <w:rPr>
          <w:b/>
          <w:color w:val="auto"/>
          <w:kern w:val="21"/>
          <w:sz w:val="24"/>
          <w:u w:val="single"/>
          <w:lang w:val="en-US"/>
        </w:rPr>
        <w:t>12</w:t>
      </w:r>
      <w:r>
        <w:rPr>
          <w:rFonts w:hint="eastAsia"/>
          <w:b/>
          <w:color w:val="auto"/>
          <w:kern w:val="21"/>
          <w:sz w:val="24"/>
          <w:u w:val="single"/>
          <w:lang w:val="en-US"/>
        </w:rPr>
        <w:t>月编制完成《孝感惠茹金属表面处理有限公司</w:t>
      </w:r>
      <w:r>
        <w:rPr>
          <w:b/>
          <w:color w:val="auto"/>
          <w:kern w:val="21"/>
          <w:sz w:val="24"/>
          <w:u w:val="single"/>
          <w:lang w:val="en-US"/>
        </w:rPr>
        <w:t xml:space="preserve">2000t/a </w:t>
      </w:r>
      <w:r>
        <w:rPr>
          <w:rFonts w:hint="eastAsia"/>
          <w:b/>
          <w:color w:val="auto"/>
          <w:kern w:val="21"/>
          <w:sz w:val="24"/>
          <w:u w:val="single"/>
          <w:lang w:val="en-US"/>
        </w:rPr>
        <w:t>金属表面处理项目环境影响报告书》。于</w:t>
      </w:r>
      <w:r>
        <w:rPr>
          <w:b/>
          <w:color w:val="auto"/>
          <w:kern w:val="21"/>
          <w:sz w:val="24"/>
          <w:u w:val="single"/>
          <w:lang w:val="en-US"/>
        </w:rPr>
        <w:t xml:space="preserve">2022 </w:t>
      </w:r>
      <w:r>
        <w:rPr>
          <w:rFonts w:hint="eastAsia"/>
          <w:b/>
          <w:color w:val="auto"/>
          <w:kern w:val="21"/>
          <w:sz w:val="24"/>
          <w:u w:val="single"/>
          <w:lang w:val="en-US"/>
        </w:rPr>
        <w:t>年</w:t>
      </w:r>
      <w:r>
        <w:rPr>
          <w:b/>
          <w:color w:val="auto"/>
          <w:kern w:val="21"/>
          <w:sz w:val="24"/>
          <w:u w:val="single"/>
          <w:lang w:val="en-US"/>
        </w:rPr>
        <w:t>2</w:t>
      </w:r>
      <w:r>
        <w:rPr>
          <w:rFonts w:hint="eastAsia"/>
          <w:b/>
          <w:color w:val="auto"/>
          <w:kern w:val="21"/>
          <w:sz w:val="24"/>
          <w:u w:val="single"/>
          <w:lang w:val="en-US"/>
        </w:rPr>
        <w:t>月</w:t>
      </w:r>
      <w:r>
        <w:rPr>
          <w:b/>
          <w:color w:val="auto"/>
          <w:kern w:val="21"/>
          <w:sz w:val="24"/>
          <w:u w:val="single"/>
          <w:lang w:val="en-US"/>
        </w:rPr>
        <w:t xml:space="preserve">10 </w:t>
      </w:r>
      <w:r>
        <w:rPr>
          <w:rFonts w:hint="eastAsia"/>
          <w:b/>
          <w:color w:val="auto"/>
          <w:kern w:val="21"/>
          <w:sz w:val="24"/>
          <w:u w:val="single"/>
          <w:lang w:val="en-US"/>
        </w:rPr>
        <w:t>日通过孝感市生态环境局的审批，审批文号：孝环函</w:t>
      </w:r>
      <w:r>
        <w:rPr>
          <w:b/>
          <w:color w:val="auto"/>
          <w:kern w:val="21"/>
          <w:sz w:val="24"/>
          <w:u w:val="single"/>
          <w:lang w:val="en-US"/>
        </w:rPr>
        <w:t xml:space="preserve">[2022]16 </w:t>
      </w:r>
      <w:r>
        <w:rPr>
          <w:rFonts w:hint="eastAsia"/>
          <w:b/>
          <w:color w:val="auto"/>
          <w:kern w:val="21"/>
          <w:sz w:val="24"/>
          <w:u w:val="single"/>
          <w:lang w:val="en-US"/>
        </w:rPr>
        <w:t>号。</w:t>
      </w:r>
      <w:r>
        <w:rPr>
          <w:b/>
          <w:color w:val="auto"/>
          <w:kern w:val="21"/>
          <w:sz w:val="24"/>
          <w:u w:val="single"/>
          <w:lang w:val="en-US"/>
        </w:rPr>
        <w:t xml:space="preserve">2022 </w:t>
      </w:r>
      <w:r>
        <w:rPr>
          <w:rFonts w:hint="eastAsia"/>
          <w:b/>
          <w:color w:val="auto"/>
          <w:kern w:val="21"/>
          <w:sz w:val="24"/>
          <w:u w:val="single"/>
          <w:lang w:val="en-US"/>
        </w:rPr>
        <w:t>年</w:t>
      </w:r>
      <w:r>
        <w:rPr>
          <w:b/>
          <w:color w:val="auto"/>
          <w:kern w:val="21"/>
          <w:sz w:val="24"/>
          <w:u w:val="single"/>
          <w:lang w:val="en-US"/>
        </w:rPr>
        <w:t>4</w:t>
      </w:r>
      <w:r>
        <w:rPr>
          <w:rFonts w:hint="eastAsia"/>
          <w:b/>
          <w:color w:val="auto"/>
          <w:kern w:val="21"/>
          <w:sz w:val="24"/>
          <w:u w:val="single"/>
          <w:lang w:val="en-US"/>
        </w:rPr>
        <w:t>月孝感惠茹金属表面处理有限公司</w:t>
      </w:r>
      <w:r>
        <w:rPr>
          <w:b/>
          <w:color w:val="auto"/>
          <w:kern w:val="21"/>
          <w:sz w:val="24"/>
          <w:u w:val="single"/>
          <w:lang w:val="en-US"/>
        </w:rPr>
        <w:t xml:space="preserve">2000t/a </w:t>
      </w:r>
      <w:r>
        <w:rPr>
          <w:rFonts w:hint="eastAsia"/>
          <w:b/>
          <w:color w:val="auto"/>
          <w:kern w:val="21"/>
          <w:sz w:val="24"/>
          <w:u w:val="single"/>
          <w:lang w:val="en-US"/>
        </w:rPr>
        <w:t>金属表面处理项目投入试生产。孝感惠茹金属表面处理有限公司</w:t>
      </w:r>
      <w:r>
        <w:rPr>
          <w:b/>
          <w:color w:val="auto"/>
          <w:kern w:val="21"/>
          <w:sz w:val="24"/>
          <w:u w:val="single"/>
          <w:lang w:val="en-US"/>
        </w:rPr>
        <w:t xml:space="preserve">2000t/a </w:t>
      </w:r>
      <w:r>
        <w:rPr>
          <w:rFonts w:hint="eastAsia"/>
          <w:b/>
          <w:color w:val="auto"/>
          <w:kern w:val="21"/>
          <w:sz w:val="24"/>
          <w:u w:val="single"/>
          <w:lang w:val="en-US"/>
        </w:rPr>
        <w:t>金属表面处理项目于</w:t>
      </w:r>
      <w:r>
        <w:rPr>
          <w:b/>
          <w:color w:val="auto"/>
          <w:kern w:val="21"/>
          <w:sz w:val="24"/>
          <w:u w:val="single"/>
          <w:lang w:val="en-US"/>
        </w:rPr>
        <w:t xml:space="preserve">2022 </w:t>
      </w:r>
      <w:r>
        <w:rPr>
          <w:rFonts w:hint="eastAsia"/>
          <w:b/>
          <w:color w:val="auto"/>
          <w:kern w:val="21"/>
          <w:sz w:val="24"/>
          <w:u w:val="single"/>
          <w:lang w:val="en-US"/>
        </w:rPr>
        <w:t>年</w:t>
      </w:r>
      <w:r>
        <w:rPr>
          <w:b/>
          <w:color w:val="auto"/>
          <w:kern w:val="21"/>
          <w:sz w:val="24"/>
          <w:u w:val="single"/>
          <w:lang w:val="en-US"/>
        </w:rPr>
        <w:t xml:space="preserve">2 </w:t>
      </w:r>
      <w:r>
        <w:rPr>
          <w:rFonts w:hint="eastAsia"/>
          <w:b/>
          <w:color w:val="auto"/>
          <w:kern w:val="21"/>
          <w:sz w:val="24"/>
          <w:u w:val="single"/>
          <w:lang w:val="en-US"/>
        </w:rPr>
        <w:t>月动工建设，于</w:t>
      </w:r>
      <w:r>
        <w:rPr>
          <w:b/>
          <w:color w:val="auto"/>
          <w:kern w:val="21"/>
          <w:sz w:val="24"/>
          <w:u w:val="single"/>
          <w:lang w:val="en-US"/>
        </w:rPr>
        <w:t xml:space="preserve">2022 </w:t>
      </w:r>
      <w:r>
        <w:rPr>
          <w:rFonts w:hint="eastAsia"/>
          <w:b/>
          <w:color w:val="auto"/>
          <w:kern w:val="21"/>
          <w:sz w:val="24"/>
          <w:u w:val="single"/>
          <w:lang w:val="en-US"/>
        </w:rPr>
        <w:t>年</w:t>
      </w:r>
      <w:r>
        <w:rPr>
          <w:b/>
          <w:color w:val="auto"/>
          <w:kern w:val="21"/>
          <w:sz w:val="24"/>
          <w:u w:val="single"/>
          <w:lang w:val="en-US"/>
        </w:rPr>
        <w:t xml:space="preserve">4 </w:t>
      </w:r>
      <w:r>
        <w:rPr>
          <w:rFonts w:hint="eastAsia"/>
          <w:b/>
          <w:color w:val="auto"/>
          <w:kern w:val="21"/>
          <w:sz w:val="24"/>
          <w:u w:val="single"/>
          <w:lang w:val="en-US"/>
        </w:rPr>
        <w:t>月竣工投入调试运行。生产线包含设置镀镍线1条、镀锌线1条。产品为电镀工件，其中镀镍件产量200t/a，镀锌件产量450t/a，镀镍线原料包含镍板、氯化镍、硫酸镍、铬酸酐等，镀锌线原料包含锌板、盐酸、氯化锌、三价铬等。污水包括含镍废水、含锌废水、含铬废水、除油废水、酸性废水等。污水处理方式为：分质预处理+深度处理+全部回用，具体处理方式如下：</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含油、含酸废水：</w:t>
      </w:r>
      <w:r>
        <w:rPr>
          <w:b/>
          <w:color w:val="auto"/>
          <w:kern w:val="21"/>
          <w:sz w:val="24"/>
          <w:u w:val="single"/>
          <w:lang w:val="en-US"/>
        </w:rPr>
        <w:t>采用通过破乳+高效气浮预处理有效去除浮油和乳化油，降低水中的有机物的含量，采用中和法调节酸碱度，再结合</w:t>
      </w:r>
      <w:r>
        <w:rPr>
          <w:rFonts w:hint="eastAsia"/>
          <w:b/>
          <w:color w:val="auto"/>
          <w:kern w:val="21"/>
          <w:sz w:val="24"/>
          <w:u w:val="single"/>
          <w:lang w:val="en-US"/>
        </w:rPr>
        <w:t>“</w:t>
      </w:r>
      <w:r>
        <w:rPr>
          <w:b/>
          <w:color w:val="auto"/>
          <w:kern w:val="21"/>
          <w:sz w:val="24"/>
          <w:u w:val="single"/>
          <w:lang w:val="en-US"/>
        </w:rPr>
        <w:t>化学沉淀+生物降解</w:t>
      </w:r>
      <w:r>
        <w:rPr>
          <w:rFonts w:hint="eastAsia"/>
          <w:b/>
          <w:color w:val="auto"/>
          <w:kern w:val="21"/>
          <w:sz w:val="24"/>
          <w:u w:val="single"/>
          <w:lang w:val="en-US"/>
        </w:rPr>
        <w:t>”</w:t>
      </w:r>
      <w:r>
        <w:rPr>
          <w:b/>
          <w:color w:val="auto"/>
          <w:kern w:val="21"/>
          <w:sz w:val="24"/>
          <w:u w:val="single"/>
          <w:lang w:val="en-US"/>
        </w:rPr>
        <w:t>工艺对含油废水及酸性废水进行处理，达到除油、中和并同时去除废水中的铁、铝及少量重金属离子。</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含镍废水：含镍废水主要采用离子交换法处理，</w:t>
      </w:r>
      <w:r>
        <w:rPr>
          <w:b/>
          <w:color w:val="auto"/>
          <w:kern w:val="21"/>
          <w:sz w:val="24"/>
          <w:u w:val="single"/>
          <w:lang w:val="en-US"/>
        </w:rPr>
        <w:t>镀镍废水中的 Ni</w:t>
      </w:r>
      <w:r>
        <w:rPr>
          <w:b/>
          <w:color w:val="auto"/>
          <w:kern w:val="21"/>
          <w:sz w:val="24"/>
          <w:u w:val="single"/>
          <w:vertAlign w:val="superscript"/>
          <w:lang w:val="en-US"/>
        </w:rPr>
        <w:t>2+</w:t>
      </w:r>
      <w:r>
        <w:rPr>
          <w:b/>
          <w:color w:val="auto"/>
          <w:kern w:val="21"/>
          <w:sz w:val="24"/>
          <w:u w:val="single"/>
          <w:lang w:val="en-US"/>
        </w:rPr>
        <w:t xml:space="preserve"> 离子采用阳离子交换树脂吸附。尾水进入生化系统处理，含镍污泥脱水后定期外运由相关资质单位处理。</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含铬废水：</w:t>
      </w:r>
      <w:r>
        <w:rPr>
          <w:b/>
          <w:color w:val="auto"/>
          <w:kern w:val="21"/>
          <w:sz w:val="24"/>
          <w:u w:val="single"/>
          <w:lang w:val="en-US"/>
        </w:rPr>
        <w:t>含铬废水先调节池调节水质水量，泵入铬反应池，依次投加一定量的酸、还原剂、碱，投加硫酸使含铬废水pH小于 2~3，投加亚硫酸钠，控制 ORP值在230~270之间使六价铬还原为三价铬，反应时间宜控制在 20</w:t>
      </w:r>
      <w:r>
        <w:rPr>
          <w:rFonts w:hint="eastAsia"/>
          <w:b/>
          <w:color w:val="auto"/>
          <w:kern w:val="21"/>
          <w:sz w:val="24"/>
          <w:u w:val="single"/>
          <w:lang w:val="en-US" w:eastAsia="zh-CN"/>
        </w:rPr>
        <w:t>～</w:t>
      </w:r>
      <w:r>
        <w:rPr>
          <w:b/>
          <w:color w:val="auto"/>
          <w:kern w:val="21"/>
          <w:sz w:val="24"/>
          <w:u w:val="single"/>
          <w:lang w:val="en-US"/>
        </w:rPr>
        <w:t>30min。在pH调节池中投加氢氧化钠调节pH至8.0±0.4（不允许 pH＞9），使三价铬形成氢氧化铬沉淀，在沉淀池中投加助凝、混凝剂后形成絮体后沉淀，再进入膜分离系统，将泥水分离，分离后的清水进行后续深度处理。</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深度处理系统：包含生化处理系统和膜处理系统，生化处理系统</w:t>
      </w:r>
      <w:r>
        <w:rPr>
          <w:b/>
          <w:color w:val="auto"/>
          <w:kern w:val="21"/>
          <w:sz w:val="24"/>
          <w:u w:val="single"/>
          <w:lang w:val="en-US"/>
        </w:rPr>
        <w:t>预处理后的污水经</w:t>
      </w:r>
      <w:r>
        <w:rPr>
          <w:rFonts w:hint="eastAsia"/>
          <w:b/>
          <w:color w:val="auto"/>
          <w:kern w:val="21"/>
          <w:sz w:val="24"/>
          <w:u w:val="single"/>
          <w:lang w:val="en-US" w:eastAsia="zh-CN"/>
        </w:rPr>
        <w:t>调节</w:t>
      </w:r>
      <w:r>
        <w:rPr>
          <w:b/>
          <w:color w:val="auto"/>
          <w:kern w:val="21"/>
          <w:sz w:val="24"/>
          <w:u w:val="single"/>
          <w:lang w:val="en-US"/>
        </w:rPr>
        <w:t xml:space="preserve"> pH 至生化适应范围后进入生化处理系统，通过 A/CSBR 的生物降级作用，去除大部分的 COD、氨氮及 SS 等物质，也能降低 并能保证重金属指标。生化沉淀出水自流进入回用水处理系统中的 RO（反渗透） 预处理系统。RO 系统后将产生相应的浓缩液，该部分浓水要继续进入后续的膜系统进行浓缩，需要将经过一级浓缩后升高的COD等有机物进一步去除。膜处理系统膜过滤系统产生的淡水进入回用产水池，产生的浓水进入浓缩系统。当浓缩水的含盐量浓缩达到一定程度时先送入预热系统，在该系统中浓水通过换热器与蒸发系统产生的冷凝水进入热交换，除掉O</w:t>
      </w:r>
      <w:r>
        <w:rPr>
          <w:b/>
          <w:color w:val="auto"/>
          <w:kern w:val="21"/>
          <w:sz w:val="24"/>
          <w:u w:val="single"/>
          <w:vertAlign w:val="subscript"/>
          <w:lang w:val="en-US"/>
        </w:rPr>
        <w:t>2</w:t>
      </w:r>
      <w:r>
        <w:rPr>
          <w:b/>
          <w:color w:val="auto"/>
          <w:kern w:val="21"/>
          <w:sz w:val="24"/>
          <w:u w:val="single"/>
          <w:lang w:val="en-US"/>
        </w:rPr>
        <w:t>和 CO</w:t>
      </w:r>
      <w:r>
        <w:rPr>
          <w:b/>
          <w:color w:val="auto"/>
          <w:kern w:val="21"/>
          <w:sz w:val="24"/>
          <w:u w:val="single"/>
          <w:vertAlign w:val="subscript"/>
          <w:lang w:val="en-US"/>
        </w:rPr>
        <w:t>2</w:t>
      </w:r>
      <w:r>
        <w:rPr>
          <w:b/>
          <w:color w:val="auto"/>
          <w:kern w:val="21"/>
          <w:sz w:val="24"/>
          <w:u w:val="single"/>
          <w:lang w:val="en-US"/>
        </w:rPr>
        <w:t>等气体，在预热系统通过换热达到规定温度后进入多效蒸发器内进行蒸发浓缩。蒸发结晶盐</w:t>
      </w:r>
      <w:r>
        <w:rPr>
          <w:rFonts w:hint="eastAsia"/>
          <w:b/>
          <w:color w:val="auto"/>
          <w:kern w:val="21"/>
          <w:sz w:val="24"/>
          <w:u w:val="single"/>
          <w:lang w:val="en-US" w:eastAsia="zh-CN"/>
        </w:rPr>
        <w:t>作为</w:t>
      </w:r>
      <w:r>
        <w:rPr>
          <w:b/>
          <w:color w:val="auto"/>
          <w:kern w:val="21"/>
          <w:sz w:val="24"/>
          <w:u w:val="single"/>
          <w:lang w:val="en-US"/>
        </w:rPr>
        <w:t>危废处理。</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根据《孝感惠茹金属表面处理有限公司2000t/a金属表面处理项目验收监测报告》可知，该项目污水处理系统运行稳定，深度处理后废水回用于生产环节，生活污水经化粪池处理后排入园区污水管网，符合竣工验收条件，</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（2）盐城千佰镀金属表面处理有限公司工件表面处理（年处理工件518.32万平方米）项目</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盐城千佰镀金属表面处理有限公司工件表面处理（年处理工件518.32万平方米）项目于</w:t>
      </w:r>
      <w:r>
        <w:rPr>
          <w:b/>
          <w:color w:val="auto"/>
          <w:kern w:val="21"/>
          <w:sz w:val="24"/>
          <w:u w:val="single"/>
          <w:lang w:val="en-US"/>
        </w:rPr>
        <w:t>202</w:t>
      </w:r>
      <w:r>
        <w:rPr>
          <w:rFonts w:hint="eastAsia"/>
          <w:b/>
          <w:color w:val="auto"/>
          <w:kern w:val="21"/>
          <w:sz w:val="24"/>
          <w:u w:val="single"/>
          <w:lang w:val="en-US"/>
        </w:rPr>
        <w:t>1</w:t>
      </w:r>
      <w:r>
        <w:rPr>
          <w:b/>
          <w:color w:val="auto"/>
          <w:kern w:val="21"/>
          <w:sz w:val="24"/>
          <w:u w:val="single"/>
          <w:lang w:val="en-US"/>
        </w:rPr>
        <w:t xml:space="preserve"> </w:t>
      </w:r>
      <w:r>
        <w:rPr>
          <w:rFonts w:hint="eastAsia"/>
          <w:b/>
          <w:color w:val="auto"/>
          <w:kern w:val="21"/>
          <w:sz w:val="24"/>
          <w:u w:val="single"/>
          <w:lang w:val="en-US"/>
        </w:rPr>
        <w:t>年3月24日通过盐城市生态环境局的审批，审批文号：盐环审</w:t>
      </w:r>
      <w:r>
        <w:rPr>
          <w:b/>
          <w:color w:val="auto"/>
          <w:kern w:val="21"/>
          <w:sz w:val="24"/>
          <w:u w:val="single"/>
          <w:lang w:val="en-US"/>
        </w:rPr>
        <w:t>[202</w:t>
      </w:r>
      <w:r>
        <w:rPr>
          <w:rFonts w:hint="eastAsia"/>
          <w:b/>
          <w:color w:val="auto"/>
          <w:kern w:val="21"/>
          <w:sz w:val="24"/>
          <w:u w:val="single"/>
          <w:lang w:val="en-US"/>
        </w:rPr>
        <w:t>1</w:t>
      </w:r>
      <w:r>
        <w:rPr>
          <w:b/>
          <w:color w:val="auto"/>
          <w:kern w:val="21"/>
          <w:sz w:val="24"/>
          <w:u w:val="single"/>
          <w:lang w:val="en-US"/>
        </w:rPr>
        <w:t>]</w:t>
      </w:r>
      <w:r>
        <w:rPr>
          <w:rFonts w:hint="eastAsia"/>
          <w:b/>
          <w:color w:val="auto"/>
          <w:kern w:val="21"/>
          <w:sz w:val="24"/>
          <w:u w:val="single"/>
          <w:lang w:val="en-US"/>
        </w:rPr>
        <w:t>7号。目前已开始建设，预计2023年</w:t>
      </w:r>
      <w:r>
        <w:rPr>
          <w:rFonts w:hint="eastAsia"/>
          <w:b/>
          <w:color w:val="auto"/>
          <w:kern w:val="21"/>
          <w:sz w:val="24"/>
          <w:u w:val="single"/>
          <w:lang w:val="en-US" w:eastAsia="zh-CN"/>
        </w:rPr>
        <w:t>3月</w:t>
      </w:r>
      <w:r>
        <w:rPr>
          <w:rFonts w:hint="eastAsia"/>
          <w:b/>
          <w:color w:val="auto"/>
          <w:kern w:val="21"/>
          <w:sz w:val="24"/>
          <w:u w:val="single"/>
          <w:lang w:val="en-US"/>
        </w:rPr>
        <w:t>中旬竣工调试运行。</w:t>
      </w:r>
    </w:p>
    <w:p>
      <w:pPr>
        <w:pStyle w:val="32"/>
        <w:adjustRightInd w:val="0"/>
        <w:snapToGrid w:val="0"/>
        <w:spacing w:after="0" w:line="360" w:lineRule="auto"/>
        <w:ind w:firstLine="482" w:firstLineChars="200"/>
        <w:rPr>
          <w:b/>
          <w:color w:val="auto"/>
          <w:kern w:val="21"/>
          <w:sz w:val="24"/>
          <w:u w:val="single"/>
          <w:lang w:val="en-US"/>
        </w:rPr>
      </w:pPr>
      <w:r>
        <w:rPr>
          <w:b/>
          <w:color w:val="auto"/>
          <w:sz w:val="24"/>
          <w:u w:val="single"/>
        </w:rPr>
        <w:t>本项目拟建设 44 条生产线，具体包括 37 条电镀生产线、2条磷化 生产线、1 条电解抛光生产线、3 条阳极氧化生产线、1 条电泳生产线。其中，电镀</w:t>
      </w:r>
      <w:r>
        <w:rPr>
          <w:rFonts w:hint="eastAsia"/>
          <w:b/>
          <w:color w:val="auto"/>
          <w:sz w:val="24"/>
          <w:u w:val="single"/>
          <w:lang w:eastAsia="zh-CN"/>
        </w:rPr>
        <w:t>生产线</w:t>
      </w:r>
      <w:r>
        <w:rPr>
          <w:b/>
          <w:color w:val="auto"/>
          <w:sz w:val="24"/>
          <w:u w:val="single"/>
        </w:rPr>
        <w:t>包括 18 条镀锌线（6 条滚镀镀锌生产线、12 条挂镀镀锌生产线）、8 条镀铜镍铬生产 线、1 条镀金生产线、1 条镀银生产线、5 条镀硬铬生产线、2 条 ABS 生产线、2 条锌镍 合金生产线。年处理工件总外层面积共 518.32 万 m2，其中电镀面积 434.92 万 m2，其他 非电镀表面处理面积 83.4 万 m2。</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废水处理方式如下</w:t>
      </w:r>
    </w:p>
    <w:p>
      <w:pPr>
        <w:pStyle w:val="32"/>
        <w:adjustRightInd w:val="0"/>
        <w:snapToGrid w:val="0"/>
        <w:spacing w:after="0" w:line="360" w:lineRule="auto"/>
        <w:ind w:firstLine="482" w:firstLineChars="200"/>
        <w:rPr>
          <w:b/>
          <w:color w:val="auto"/>
          <w:sz w:val="24"/>
          <w:u w:val="single"/>
        </w:rPr>
      </w:pPr>
      <w:r>
        <w:rPr>
          <w:b/>
          <w:color w:val="auto"/>
          <w:sz w:val="24"/>
          <w:u w:val="single"/>
        </w:rPr>
        <w:t>含油废水：含油废水经过收集后，提升至破乳气浮一体化设备并加入破乳剂使油珠脱水，乳化 液中的自由水分子减少，乳化液油珠的水化层被破坏，使乳化油转换成分散油；加入 PAM、PAC 吸附油类，从而达到除油的目的。</w:t>
      </w:r>
    </w:p>
    <w:p>
      <w:pPr>
        <w:pStyle w:val="32"/>
        <w:adjustRightInd w:val="0"/>
        <w:snapToGrid w:val="0"/>
        <w:spacing w:after="0" w:line="360" w:lineRule="auto"/>
        <w:ind w:firstLine="482" w:firstLineChars="200"/>
        <w:rPr>
          <w:b/>
          <w:color w:val="auto"/>
          <w:sz w:val="24"/>
          <w:u w:val="single"/>
        </w:rPr>
      </w:pPr>
      <w:r>
        <w:rPr>
          <w:rFonts w:hint="eastAsia"/>
          <w:b/>
          <w:color w:val="auto"/>
          <w:sz w:val="24"/>
          <w:u w:val="single"/>
        </w:rPr>
        <w:t>含铬废水：</w:t>
      </w:r>
      <w:r>
        <w:rPr>
          <w:b/>
          <w:color w:val="auto"/>
          <w:sz w:val="24"/>
          <w:u w:val="single"/>
        </w:rPr>
        <w:t>低浓含铬废水收集后提升至超滤+RO 系统，产水回用于该生产工段，浓水与高浓含铬废水一起进入还原絮凝沉淀一体化设备，废水首先进入还原池，因废水中铬主要以 六价铬存在，依次向反应池内投加硫酸，由 pH 控制器控制 H</w:t>
      </w:r>
      <w:r>
        <w:rPr>
          <w:b/>
          <w:color w:val="auto"/>
          <w:sz w:val="24"/>
          <w:u w:val="single"/>
          <w:vertAlign w:val="subscript"/>
        </w:rPr>
        <w:t>2</w:t>
      </w:r>
      <w:r>
        <w:rPr>
          <w:b/>
          <w:color w:val="auto"/>
          <w:sz w:val="24"/>
          <w:u w:val="single"/>
        </w:rPr>
        <w:t>SO</w:t>
      </w:r>
      <w:r>
        <w:rPr>
          <w:b/>
          <w:color w:val="auto"/>
          <w:sz w:val="24"/>
          <w:u w:val="single"/>
          <w:vertAlign w:val="subscript"/>
        </w:rPr>
        <w:t>4</w:t>
      </w:r>
      <w:r>
        <w:rPr>
          <w:b/>
          <w:color w:val="auto"/>
          <w:sz w:val="24"/>
          <w:u w:val="single"/>
        </w:rPr>
        <w:t xml:space="preserve"> 投加，调整 pH 值至适当值，向其中投加还原剂硫酸亚铁，将废水中含有的六价铬还原为低毒性的三价铬， 继而投加氢氧化钠将废水调至碱性，并投加 PAC、PAM、重金属捕捉剂进行絮凝反应 盐城千佰镀金属表面处理有限公司工件表面处理（年处理工件 518.32 万平方米）项目 382 生成铬沉淀物，进而通过沉淀达到使铬元素脱离废水的目的，同时加入次氯酸钠氧化水 中氨氮达到预处理氨氮的作用。处理后的废水排到盐水收集池。产生的污泥进入对应的 污泥处理及污泥干化装置</w:t>
      </w:r>
      <w:r>
        <w:rPr>
          <w:rFonts w:hint="eastAsia"/>
          <w:b/>
          <w:color w:val="auto"/>
          <w:sz w:val="24"/>
          <w:u w:val="single"/>
          <w:lang w:eastAsia="zh-CN"/>
        </w:rPr>
        <w:t>进一步</w:t>
      </w:r>
      <w:r>
        <w:rPr>
          <w:b/>
          <w:color w:val="auto"/>
          <w:sz w:val="24"/>
          <w:u w:val="single"/>
        </w:rPr>
        <w:t>脱水后委外处置。</w:t>
      </w:r>
    </w:p>
    <w:p>
      <w:pPr>
        <w:pStyle w:val="32"/>
        <w:adjustRightInd w:val="0"/>
        <w:snapToGrid w:val="0"/>
        <w:spacing w:after="0" w:line="360" w:lineRule="auto"/>
        <w:ind w:firstLine="482" w:firstLineChars="200"/>
        <w:rPr>
          <w:b/>
          <w:color w:val="auto"/>
          <w:sz w:val="24"/>
          <w:u w:val="single"/>
        </w:rPr>
      </w:pPr>
      <w:r>
        <w:rPr>
          <w:rFonts w:hint="eastAsia"/>
          <w:b/>
          <w:color w:val="auto"/>
          <w:sz w:val="24"/>
          <w:u w:val="single"/>
        </w:rPr>
        <w:t>含镍废水：</w:t>
      </w:r>
      <w:r>
        <w:rPr>
          <w:b/>
          <w:color w:val="auto"/>
          <w:sz w:val="24"/>
          <w:u w:val="single"/>
        </w:rPr>
        <w:t>化学镍废水收集后，经过次氯酸钠氧化破除含镍络合物后与低浓含镍废水以及含锌 镍废水一起进入超滤+RO系统，超滤+RO 系统产水回用于该生产工段，浓水与高浓含镍废水一起进入絮凝沉淀一体化装置，在混凝沉淀装置内加入液碱调节pH 值再加入混凝剂、重金属离子捕捉剂</w:t>
      </w:r>
      <w:r>
        <w:rPr>
          <w:rFonts w:hint="eastAsia"/>
          <w:b/>
          <w:color w:val="auto"/>
          <w:sz w:val="24"/>
          <w:u w:val="single"/>
          <w:lang w:eastAsia="zh-CN"/>
        </w:rPr>
        <w:t>除去废水</w:t>
      </w:r>
      <w:r>
        <w:rPr>
          <w:b/>
          <w:color w:val="auto"/>
          <w:sz w:val="24"/>
          <w:u w:val="single"/>
        </w:rPr>
        <w:t>中的镍。处理后的废水排到盐水收集池。产生的污泥进入对应的污泥处理及污泥干化装置</w:t>
      </w:r>
      <w:r>
        <w:rPr>
          <w:rFonts w:hint="eastAsia"/>
          <w:b/>
          <w:color w:val="auto"/>
          <w:sz w:val="24"/>
          <w:u w:val="single"/>
          <w:lang w:eastAsia="zh-CN"/>
        </w:rPr>
        <w:t>进一步</w:t>
      </w:r>
      <w:r>
        <w:rPr>
          <w:b/>
          <w:color w:val="auto"/>
          <w:sz w:val="24"/>
          <w:u w:val="single"/>
        </w:rPr>
        <w:t>脱水后委外处置。</w:t>
      </w:r>
    </w:p>
    <w:p>
      <w:pPr>
        <w:pStyle w:val="32"/>
        <w:adjustRightInd w:val="0"/>
        <w:snapToGrid w:val="0"/>
        <w:spacing w:after="0" w:line="360" w:lineRule="auto"/>
        <w:ind w:firstLine="482" w:firstLineChars="200"/>
        <w:rPr>
          <w:b/>
          <w:color w:val="auto"/>
          <w:sz w:val="24"/>
          <w:u w:val="single"/>
        </w:rPr>
      </w:pPr>
      <w:r>
        <w:rPr>
          <w:rFonts w:hint="eastAsia"/>
          <w:b/>
          <w:color w:val="auto"/>
          <w:sz w:val="24"/>
          <w:u w:val="single"/>
        </w:rPr>
        <w:t>含锌废水：</w:t>
      </w:r>
      <w:r>
        <w:rPr>
          <w:b/>
          <w:color w:val="auto"/>
          <w:sz w:val="24"/>
          <w:u w:val="single"/>
        </w:rPr>
        <w:t>含</w:t>
      </w:r>
      <w:r>
        <w:rPr>
          <w:rFonts w:hint="eastAsia"/>
          <w:b/>
          <w:color w:val="auto"/>
          <w:sz w:val="24"/>
          <w:u w:val="single"/>
          <w:lang w:val="en-US"/>
        </w:rPr>
        <w:t>镍</w:t>
      </w:r>
      <w:r>
        <w:rPr>
          <w:b/>
          <w:color w:val="auto"/>
          <w:sz w:val="24"/>
          <w:u w:val="single"/>
        </w:rPr>
        <w:t>废水、含锌废水、综合废水经收集混合后，一起进入超滤+RO 系统，产水回用于生产工段，浓水再与综合槽液、含</w:t>
      </w:r>
      <w:r>
        <w:rPr>
          <w:rFonts w:hint="eastAsia"/>
          <w:b/>
          <w:color w:val="auto"/>
          <w:sz w:val="24"/>
          <w:u w:val="single"/>
          <w:lang w:val="en-US"/>
        </w:rPr>
        <w:t>镍</w:t>
      </w:r>
      <w:r>
        <w:rPr>
          <w:b/>
          <w:color w:val="auto"/>
          <w:sz w:val="24"/>
          <w:u w:val="single"/>
        </w:rPr>
        <w:t>槽液、含</w:t>
      </w:r>
      <w:r>
        <w:rPr>
          <w:rFonts w:hint="eastAsia"/>
          <w:b/>
          <w:color w:val="auto"/>
          <w:sz w:val="24"/>
          <w:u w:val="single"/>
          <w:lang w:eastAsia="zh-CN"/>
        </w:rPr>
        <w:t>锌</w:t>
      </w:r>
      <w:r>
        <w:rPr>
          <w:b/>
          <w:color w:val="auto"/>
          <w:sz w:val="24"/>
          <w:u w:val="single"/>
        </w:rPr>
        <w:t>槽液一起进入离心电解旋流装置处理并回收废水中的铜。除铜后进行两级絮凝沉淀，一级絮凝沉淀加液碱控制 pH≤8 并投加 PAC、PAM 以及重金属离子捕捉剂沉淀废水中的锌、铝，二级絮凝沉淀加液控制 pH≤10 并投加 PAM 以及重金属离子捕捉剂沉淀废水中的镍。处理后的废水排到盐水收集池。产生的污泥进入对应的污泥处理及污泥干化装置</w:t>
      </w:r>
      <w:r>
        <w:rPr>
          <w:rFonts w:hint="eastAsia"/>
          <w:b/>
          <w:color w:val="auto"/>
          <w:sz w:val="24"/>
          <w:u w:val="single"/>
          <w:lang w:eastAsia="zh-CN"/>
        </w:rPr>
        <w:t>进一步</w:t>
      </w:r>
      <w:r>
        <w:rPr>
          <w:b/>
          <w:color w:val="auto"/>
          <w:sz w:val="24"/>
          <w:u w:val="single"/>
        </w:rPr>
        <w:t>脱水后委外处置。</w:t>
      </w:r>
    </w:p>
    <w:p>
      <w:pPr>
        <w:pStyle w:val="32"/>
        <w:adjustRightInd w:val="0"/>
        <w:snapToGrid w:val="0"/>
        <w:spacing w:after="0" w:line="360" w:lineRule="auto"/>
        <w:ind w:firstLine="482" w:firstLineChars="200"/>
        <w:rPr>
          <w:b/>
          <w:color w:val="auto"/>
          <w:sz w:val="24"/>
          <w:u w:val="single"/>
        </w:rPr>
      </w:pPr>
      <w:r>
        <w:rPr>
          <w:rFonts w:hint="eastAsia"/>
          <w:b/>
          <w:color w:val="auto"/>
          <w:sz w:val="24"/>
          <w:u w:val="single"/>
        </w:rPr>
        <w:t>回用系统：</w:t>
      </w:r>
      <w:r>
        <w:rPr>
          <w:b/>
          <w:color w:val="auto"/>
          <w:sz w:val="24"/>
          <w:u w:val="single"/>
        </w:rPr>
        <w:t>各废水预处理工段的排水分别进入盐水收集池匀质后，盐水经泵输送到 MVR 蒸发系统，蒸发冷凝液经RO系统处理后淡水去中水收集与分配系统，废盐委外处理，母液回流至盐水收集池重新处理。</w:t>
      </w:r>
    </w:p>
    <w:p>
      <w:pPr>
        <w:pStyle w:val="32"/>
        <w:adjustRightInd w:val="0"/>
        <w:snapToGrid w:val="0"/>
        <w:spacing w:after="0" w:line="360" w:lineRule="auto"/>
        <w:rPr>
          <w:color w:val="auto"/>
        </w:rPr>
      </w:pPr>
      <w:r>
        <w:rPr>
          <w:rFonts w:hint="eastAsia"/>
          <w:color w:val="auto"/>
        </w:rPr>
        <w:t xml:space="preserve">   </w:t>
      </w:r>
      <w:r>
        <w:rPr>
          <w:rFonts w:hint="eastAsia"/>
          <w:color w:val="auto"/>
          <w:lang w:val="en-US"/>
        </w:rPr>
        <w:drawing>
          <wp:inline distT="0" distB="0" distL="114300" distR="114300">
            <wp:extent cx="2334895" cy="1752600"/>
            <wp:effectExtent l="0" t="0" r="8255" b="0"/>
            <wp:docPr id="98" name="图片 98" descr="b4a1b72eb1514d1f4877bfe98f9b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b4a1b72eb1514d1f4877bfe98f9b811"/>
                    <pic:cNvPicPr>
                      <a:picLocks noChangeAspect="1"/>
                    </pic:cNvPicPr>
                  </pic:nvPicPr>
                  <pic:blipFill>
                    <a:blip r:embed="rId171"/>
                    <a:stretch>
                      <a:fillRect/>
                    </a:stretch>
                  </pic:blipFill>
                  <pic:spPr>
                    <a:xfrm>
                      <a:off x="0" y="0"/>
                      <a:ext cx="2334895" cy="1752600"/>
                    </a:xfrm>
                    <a:prstGeom prst="rect">
                      <a:avLst/>
                    </a:prstGeom>
                  </pic:spPr>
                </pic:pic>
              </a:graphicData>
            </a:graphic>
          </wp:inline>
        </w:drawing>
      </w:r>
      <w:r>
        <w:rPr>
          <w:rFonts w:hint="eastAsia"/>
          <w:color w:val="auto"/>
        </w:rPr>
        <w:t xml:space="preserve"> </w:t>
      </w:r>
      <w:r>
        <w:rPr>
          <w:color w:val="auto"/>
          <w:lang w:val="en-US"/>
        </w:rPr>
        <w:drawing>
          <wp:inline distT="0" distB="0" distL="114300" distR="114300">
            <wp:extent cx="2630170" cy="1745615"/>
            <wp:effectExtent l="0" t="0" r="17780" b="6985"/>
            <wp:docPr id="10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8"/>
                    <pic:cNvPicPr>
                      <a:picLocks noChangeAspect="1"/>
                    </pic:cNvPicPr>
                  </pic:nvPicPr>
                  <pic:blipFill>
                    <a:blip r:embed="rId172"/>
                    <a:stretch>
                      <a:fillRect/>
                    </a:stretch>
                  </pic:blipFill>
                  <pic:spPr>
                    <a:xfrm>
                      <a:off x="0" y="0"/>
                      <a:ext cx="2630170" cy="1745615"/>
                    </a:xfrm>
                    <a:prstGeom prst="rect">
                      <a:avLst/>
                    </a:prstGeom>
                    <a:noFill/>
                    <a:ln>
                      <a:noFill/>
                    </a:ln>
                  </pic:spPr>
                </pic:pic>
              </a:graphicData>
            </a:graphic>
          </wp:inline>
        </w:drawing>
      </w:r>
    </w:p>
    <w:p>
      <w:pPr>
        <w:pStyle w:val="32"/>
        <w:adjustRightInd w:val="0"/>
        <w:snapToGrid w:val="0"/>
        <w:spacing w:after="0" w:line="360" w:lineRule="auto"/>
        <w:ind w:firstLine="1205" w:firstLineChars="500"/>
        <w:jc w:val="both"/>
        <w:rPr>
          <w:rFonts w:eastAsia="黑体"/>
          <w:b/>
          <w:color w:val="auto"/>
          <w:kern w:val="21"/>
          <w:sz w:val="24"/>
          <w:lang w:val="en-US"/>
        </w:rPr>
      </w:pPr>
      <w:r>
        <w:rPr>
          <w:rFonts w:hint="eastAsia" w:eastAsia="黑体"/>
          <w:b/>
          <w:color w:val="auto"/>
          <w:kern w:val="21"/>
          <w:sz w:val="24"/>
          <w:lang w:val="en-US"/>
        </w:rPr>
        <w:t xml:space="preserve"> 污水处理车间                  多级膜浓缩系统</w:t>
      </w:r>
    </w:p>
    <w:p>
      <w:pPr>
        <w:pStyle w:val="32"/>
        <w:adjustRightInd w:val="0"/>
        <w:snapToGrid w:val="0"/>
        <w:spacing w:after="0" w:line="360" w:lineRule="auto"/>
        <w:ind w:firstLine="1205" w:firstLineChars="500"/>
        <w:jc w:val="both"/>
        <w:rPr>
          <w:rFonts w:eastAsia="黑体"/>
          <w:b/>
          <w:color w:val="auto"/>
          <w:kern w:val="21"/>
          <w:sz w:val="24"/>
          <w:lang w:val="en-US"/>
        </w:rPr>
      </w:pPr>
    </w:p>
    <w:p>
      <w:pPr>
        <w:pStyle w:val="32"/>
        <w:adjustRightInd w:val="0"/>
        <w:snapToGrid w:val="0"/>
        <w:spacing w:after="0" w:line="360" w:lineRule="auto"/>
        <w:ind w:firstLine="1205" w:firstLineChars="500"/>
        <w:jc w:val="both"/>
        <w:rPr>
          <w:rFonts w:eastAsia="黑体"/>
          <w:b/>
          <w:color w:val="auto"/>
          <w:kern w:val="21"/>
          <w:sz w:val="24"/>
          <w:lang w:val="en-US"/>
        </w:rPr>
      </w:pPr>
    </w:p>
    <w:p>
      <w:pPr>
        <w:pStyle w:val="32"/>
        <w:adjustRightInd w:val="0"/>
        <w:snapToGrid w:val="0"/>
        <w:spacing w:after="0" w:line="360" w:lineRule="auto"/>
        <w:ind w:firstLine="1205" w:firstLineChars="500"/>
        <w:jc w:val="both"/>
        <w:rPr>
          <w:rFonts w:eastAsia="黑体"/>
          <w:b/>
          <w:color w:val="auto"/>
          <w:kern w:val="21"/>
          <w:sz w:val="24"/>
          <w:lang w:val="en-US"/>
        </w:rPr>
      </w:pPr>
    </w:p>
    <w:p>
      <w:pPr>
        <w:pStyle w:val="32"/>
        <w:adjustRightInd w:val="0"/>
        <w:snapToGrid w:val="0"/>
        <w:spacing w:after="0" w:line="360" w:lineRule="auto"/>
        <w:ind w:firstLine="1205" w:firstLineChars="500"/>
        <w:jc w:val="both"/>
        <w:rPr>
          <w:rFonts w:eastAsia="黑体"/>
          <w:b/>
          <w:color w:val="auto"/>
          <w:kern w:val="21"/>
          <w:sz w:val="24"/>
          <w:lang w:val="en-US"/>
        </w:rPr>
      </w:pPr>
    </w:p>
    <w:p>
      <w:pPr>
        <w:pStyle w:val="32"/>
        <w:adjustRightInd w:val="0"/>
        <w:snapToGrid w:val="0"/>
        <w:spacing w:after="0" w:line="360" w:lineRule="auto"/>
        <w:jc w:val="center"/>
        <w:rPr>
          <w:rFonts w:eastAsia="黑体"/>
          <w:b/>
          <w:color w:val="auto"/>
          <w:kern w:val="21"/>
          <w:sz w:val="24"/>
          <w:u w:val="single"/>
          <w:lang w:val="en-US"/>
        </w:rPr>
      </w:pPr>
      <w:r>
        <w:rPr>
          <w:rFonts w:hint="eastAsia" w:eastAsia="黑体"/>
          <w:b/>
          <w:color w:val="auto"/>
          <w:kern w:val="21"/>
          <w:sz w:val="24"/>
          <w:u w:val="single"/>
          <w:lang w:val="en-US"/>
        </w:rPr>
        <w:drawing>
          <wp:anchor distT="0" distB="0" distL="114300" distR="114300" simplePos="0" relativeHeight="251785216" behindDoc="0" locked="0" layoutInCell="1" allowOverlap="1">
            <wp:simplePos x="0" y="0"/>
            <wp:positionH relativeFrom="column">
              <wp:posOffset>3049270</wp:posOffset>
            </wp:positionH>
            <wp:positionV relativeFrom="paragraph">
              <wp:posOffset>159385</wp:posOffset>
            </wp:positionV>
            <wp:extent cx="2635885" cy="1911350"/>
            <wp:effectExtent l="0" t="0" r="12065" b="12700"/>
            <wp:wrapNone/>
            <wp:docPr id="104" name="图片 104" descr="16735872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673587220502"/>
                    <pic:cNvPicPr>
                      <a:picLocks noChangeAspect="1"/>
                    </pic:cNvPicPr>
                  </pic:nvPicPr>
                  <pic:blipFill>
                    <a:blip r:embed="rId173"/>
                    <a:stretch>
                      <a:fillRect/>
                    </a:stretch>
                  </pic:blipFill>
                  <pic:spPr>
                    <a:xfrm>
                      <a:off x="0" y="0"/>
                      <a:ext cx="2635885" cy="1911350"/>
                    </a:xfrm>
                    <a:prstGeom prst="rect">
                      <a:avLst/>
                    </a:prstGeom>
                  </pic:spPr>
                </pic:pic>
              </a:graphicData>
            </a:graphic>
          </wp:anchor>
        </w:drawing>
      </w:r>
      <w:r>
        <w:rPr>
          <w:color w:val="auto"/>
          <w:lang w:val="en-US"/>
        </w:rPr>
        <w:drawing>
          <wp:anchor distT="0" distB="0" distL="114300" distR="114300" simplePos="0" relativeHeight="251784192" behindDoc="0" locked="0" layoutInCell="1" allowOverlap="1">
            <wp:simplePos x="0" y="0"/>
            <wp:positionH relativeFrom="column">
              <wp:posOffset>116840</wp:posOffset>
            </wp:positionH>
            <wp:positionV relativeFrom="paragraph">
              <wp:posOffset>156210</wp:posOffset>
            </wp:positionV>
            <wp:extent cx="2710180" cy="1950085"/>
            <wp:effectExtent l="0" t="0" r="13970" b="12065"/>
            <wp:wrapNone/>
            <wp:docPr id="1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9"/>
                    <pic:cNvPicPr>
                      <a:picLocks noChangeAspect="1"/>
                    </pic:cNvPicPr>
                  </pic:nvPicPr>
                  <pic:blipFill>
                    <a:blip r:embed="rId174"/>
                    <a:stretch>
                      <a:fillRect/>
                    </a:stretch>
                  </pic:blipFill>
                  <pic:spPr>
                    <a:xfrm>
                      <a:off x="0" y="0"/>
                      <a:ext cx="2710180" cy="1950085"/>
                    </a:xfrm>
                    <a:prstGeom prst="rect">
                      <a:avLst/>
                    </a:prstGeom>
                    <a:noFill/>
                    <a:ln>
                      <a:noFill/>
                    </a:ln>
                  </pic:spPr>
                </pic:pic>
              </a:graphicData>
            </a:graphic>
          </wp:anchor>
        </w:drawing>
      </w:r>
    </w:p>
    <w:p>
      <w:pPr>
        <w:pStyle w:val="32"/>
        <w:adjustRightInd w:val="0"/>
        <w:snapToGrid w:val="0"/>
        <w:spacing w:after="0" w:line="360" w:lineRule="auto"/>
        <w:jc w:val="center"/>
        <w:rPr>
          <w:rFonts w:eastAsia="黑体"/>
          <w:b/>
          <w:color w:val="auto"/>
          <w:kern w:val="21"/>
          <w:sz w:val="24"/>
          <w:u w:val="single"/>
          <w:lang w:val="en-US"/>
        </w:rPr>
      </w:pPr>
    </w:p>
    <w:p>
      <w:pPr>
        <w:pStyle w:val="32"/>
        <w:adjustRightInd w:val="0"/>
        <w:snapToGrid w:val="0"/>
        <w:spacing w:after="0" w:line="360" w:lineRule="auto"/>
        <w:jc w:val="center"/>
        <w:rPr>
          <w:rFonts w:eastAsia="黑体"/>
          <w:b/>
          <w:color w:val="auto"/>
          <w:kern w:val="21"/>
          <w:sz w:val="24"/>
          <w:u w:val="single"/>
          <w:lang w:val="en-US"/>
        </w:rPr>
      </w:pPr>
    </w:p>
    <w:p>
      <w:pPr>
        <w:pStyle w:val="32"/>
        <w:adjustRightInd w:val="0"/>
        <w:snapToGrid w:val="0"/>
        <w:spacing w:after="0" w:line="360" w:lineRule="auto"/>
        <w:jc w:val="center"/>
        <w:rPr>
          <w:rFonts w:eastAsia="黑体"/>
          <w:b/>
          <w:color w:val="auto"/>
          <w:kern w:val="21"/>
          <w:sz w:val="24"/>
          <w:u w:val="single"/>
          <w:lang w:val="en-US"/>
        </w:rPr>
      </w:pPr>
    </w:p>
    <w:p>
      <w:pPr>
        <w:pStyle w:val="32"/>
        <w:adjustRightInd w:val="0"/>
        <w:snapToGrid w:val="0"/>
        <w:spacing w:after="0" w:line="360" w:lineRule="auto"/>
        <w:jc w:val="center"/>
        <w:rPr>
          <w:rFonts w:eastAsia="黑体"/>
          <w:b/>
          <w:color w:val="auto"/>
          <w:kern w:val="21"/>
          <w:sz w:val="24"/>
          <w:u w:val="single"/>
          <w:lang w:val="en-US"/>
        </w:rPr>
      </w:pPr>
    </w:p>
    <w:p>
      <w:pPr>
        <w:pStyle w:val="32"/>
        <w:adjustRightInd w:val="0"/>
        <w:snapToGrid w:val="0"/>
        <w:spacing w:after="0" w:line="360" w:lineRule="auto"/>
        <w:jc w:val="center"/>
        <w:rPr>
          <w:rFonts w:eastAsia="黑体"/>
          <w:b/>
          <w:color w:val="auto"/>
          <w:kern w:val="21"/>
          <w:sz w:val="24"/>
          <w:u w:val="single"/>
          <w:lang w:val="en-US"/>
        </w:rPr>
      </w:pPr>
    </w:p>
    <w:p>
      <w:pPr>
        <w:pStyle w:val="32"/>
        <w:adjustRightInd w:val="0"/>
        <w:snapToGrid w:val="0"/>
        <w:spacing w:after="0" w:line="360" w:lineRule="auto"/>
        <w:jc w:val="center"/>
        <w:rPr>
          <w:rFonts w:eastAsia="黑体"/>
          <w:b/>
          <w:color w:val="auto"/>
          <w:kern w:val="21"/>
          <w:sz w:val="24"/>
          <w:u w:val="single"/>
          <w:lang w:val="en-US"/>
        </w:rPr>
      </w:pPr>
    </w:p>
    <w:p>
      <w:pPr>
        <w:pStyle w:val="32"/>
        <w:adjustRightInd w:val="0"/>
        <w:snapToGrid w:val="0"/>
        <w:spacing w:after="0" w:line="360" w:lineRule="auto"/>
        <w:jc w:val="both"/>
        <w:rPr>
          <w:rFonts w:eastAsia="黑体"/>
          <w:b/>
          <w:color w:val="auto"/>
          <w:kern w:val="21"/>
          <w:sz w:val="24"/>
          <w:u w:val="single"/>
          <w:lang w:val="en-US"/>
        </w:rPr>
      </w:pPr>
    </w:p>
    <w:p>
      <w:pPr>
        <w:pStyle w:val="32"/>
        <w:adjustRightInd w:val="0"/>
        <w:snapToGrid w:val="0"/>
        <w:spacing w:after="0" w:line="360" w:lineRule="auto"/>
        <w:ind w:firstLine="1687" w:firstLineChars="700"/>
        <w:jc w:val="both"/>
        <w:rPr>
          <w:rFonts w:eastAsia="黑体"/>
          <w:b/>
          <w:color w:val="auto"/>
          <w:kern w:val="21"/>
          <w:sz w:val="24"/>
          <w:u w:val="single"/>
          <w:lang w:val="en-US"/>
        </w:rPr>
      </w:pPr>
      <w:r>
        <w:rPr>
          <w:rFonts w:hint="eastAsia" w:eastAsia="黑体"/>
          <w:b/>
          <w:color w:val="auto"/>
          <w:kern w:val="21"/>
          <w:sz w:val="24"/>
          <w:u w:val="single"/>
          <w:lang w:val="en-US"/>
        </w:rPr>
        <w:t xml:space="preserve">管路系统 </w:t>
      </w:r>
      <w:r>
        <w:rPr>
          <w:rFonts w:hint="eastAsia" w:eastAsia="黑体"/>
          <w:b/>
          <w:color w:val="auto"/>
          <w:kern w:val="21"/>
          <w:sz w:val="24"/>
          <w:lang w:val="en-US"/>
        </w:rPr>
        <w:t xml:space="preserve">                                </w:t>
      </w:r>
      <w:r>
        <w:rPr>
          <w:rFonts w:hint="eastAsia" w:eastAsia="黑体"/>
          <w:b/>
          <w:color w:val="auto"/>
          <w:kern w:val="21"/>
          <w:sz w:val="24"/>
          <w:u w:val="single"/>
          <w:lang w:val="en-US"/>
        </w:rPr>
        <w:t>监控系统</w:t>
      </w:r>
    </w:p>
    <w:p>
      <w:pPr>
        <w:pStyle w:val="32"/>
        <w:adjustRightInd w:val="0"/>
        <w:snapToGrid w:val="0"/>
        <w:spacing w:after="0" w:line="360" w:lineRule="auto"/>
        <w:jc w:val="center"/>
        <w:rPr>
          <w:rFonts w:eastAsia="黑体"/>
          <w:b/>
          <w:color w:val="auto"/>
          <w:kern w:val="21"/>
          <w:sz w:val="24"/>
          <w:u w:val="single"/>
          <w:lang w:val="en-US"/>
        </w:rPr>
      </w:pPr>
      <w:r>
        <w:rPr>
          <w:rFonts w:eastAsia="黑体"/>
          <w:b/>
          <w:color w:val="auto"/>
          <w:kern w:val="21"/>
          <w:sz w:val="24"/>
          <w:u w:val="single"/>
          <w:lang w:val="en-US"/>
        </w:rPr>
        <w:t>图</w:t>
      </w:r>
      <w:r>
        <w:rPr>
          <w:rFonts w:hint="eastAsia" w:eastAsia="黑体"/>
          <w:b/>
          <w:color w:val="auto"/>
          <w:kern w:val="21"/>
          <w:sz w:val="24"/>
          <w:u w:val="single"/>
          <w:lang w:val="en-US"/>
        </w:rPr>
        <w:t>7.2</w:t>
      </w:r>
      <w:r>
        <w:rPr>
          <w:rFonts w:eastAsia="黑体"/>
          <w:b/>
          <w:color w:val="auto"/>
          <w:kern w:val="21"/>
          <w:sz w:val="24"/>
          <w:u w:val="single"/>
          <w:lang w:val="en-US"/>
        </w:rPr>
        <w:t>-</w:t>
      </w:r>
      <w:r>
        <w:rPr>
          <w:rFonts w:hint="eastAsia" w:eastAsia="黑体"/>
          <w:b/>
          <w:color w:val="auto"/>
          <w:kern w:val="21"/>
          <w:sz w:val="24"/>
          <w:u w:val="single"/>
          <w:lang w:val="en-US"/>
        </w:rPr>
        <w:t>12   零排放处理系统实际案例照片</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5、污水处理站稳定运行措施保证</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本项目设计涉重废水经处理后全部回用于生产系统，为保证回用水的稳定，膜处理系统设备均采用一用一备，同时采用先进的自动化控制系统和恒压变频供水系统，确保各个用水点的水量。</w:t>
      </w:r>
    </w:p>
    <w:p>
      <w:pPr>
        <w:spacing w:line="360" w:lineRule="auto"/>
        <w:ind w:firstLine="482" w:firstLineChars="200"/>
        <w:rPr>
          <w:b/>
          <w:color w:val="auto"/>
          <w:kern w:val="21"/>
          <w:sz w:val="24"/>
          <w:szCs w:val="24"/>
          <w:u w:val="single"/>
        </w:rPr>
      </w:pPr>
      <w:r>
        <w:rPr>
          <w:rFonts w:hint="eastAsia"/>
          <w:b/>
          <w:color w:val="auto"/>
          <w:kern w:val="21"/>
          <w:sz w:val="24"/>
          <w:szCs w:val="24"/>
          <w:u w:val="single"/>
        </w:rPr>
        <w:t>污水处理站自控系统由管理层、控制管理层、现场控制层三层组成，控制系统结构采 用集散型控制系统，以便于实现“集中管理，分散控制”的三级控制。指挥权集中、控制权分散、注重功能分散，以求控制灵活，提高整个系统的可靠性。PLC 用于监控水泵、阀门、 风机等的运行和操作，仪表用于检测水的 pH、电导、温度等水质参数。污水处理站中心控制室配置一台计算机操作站，装 Windows 7 系统，运行 WINCC 或 Intouch 组态做成了人机界面，监测和控制整个污水站的生产和运行情况。通过自动化的监控系统可以实时掌握污水处理系统运行效果及回用水水量和水质情况，出现异常可以及时处理，以保证生产的正常运行。</w:t>
      </w:r>
    </w:p>
    <w:p>
      <w:pPr>
        <w:pStyle w:val="43"/>
        <w:spacing w:line="360" w:lineRule="auto"/>
        <w:ind w:firstLine="482" w:firstLineChars="200"/>
        <w:rPr>
          <w:b/>
          <w:color w:val="auto"/>
          <w:kern w:val="21"/>
          <w:sz w:val="24"/>
          <w:u w:val="single"/>
        </w:rPr>
      </w:pPr>
      <w:r>
        <w:rPr>
          <w:rFonts w:hint="eastAsia" w:ascii="Times New Roman" w:hAnsi="Times New Roman"/>
          <w:b/>
          <w:color w:val="auto"/>
          <w:kern w:val="21"/>
          <w:sz w:val="24"/>
          <w:szCs w:val="24"/>
          <w:u w:val="single"/>
        </w:rPr>
        <w:t>经零排系统处理后的回用水主要集中在回用水池，从回用水池到回用水点之间会布设定向用水管路，同时有恒压变频水泵保证供水的稳定。</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6、结论</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项目零排放处理系统出水水质COD6mg/L、NH</w:t>
      </w:r>
      <w:r>
        <w:rPr>
          <w:rFonts w:hint="eastAsia"/>
          <w:b/>
          <w:color w:val="auto"/>
          <w:kern w:val="21"/>
          <w:sz w:val="24"/>
          <w:u w:val="single"/>
          <w:vertAlign w:val="subscript"/>
          <w:lang w:val="en-US"/>
        </w:rPr>
        <w:t>3</w:t>
      </w:r>
      <w:r>
        <w:rPr>
          <w:rFonts w:hint="eastAsia"/>
          <w:b/>
          <w:color w:val="auto"/>
          <w:kern w:val="21"/>
          <w:sz w:val="24"/>
          <w:u w:val="single"/>
          <w:lang w:val="en-US"/>
        </w:rPr>
        <w:t>-N0.27mg/L、SS0.26mg/L、石油类0.19mg/L、总镍0.0045 mg/L</w:t>
      </w:r>
      <w:r>
        <w:rPr>
          <w:rFonts w:hint="eastAsia"/>
          <w:b/>
          <w:color w:val="auto"/>
          <w:kern w:val="21"/>
          <w:sz w:val="24"/>
          <w:u w:val="single"/>
          <w:lang w:val="en-US" w:eastAsia="zh-CN"/>
        </w:rPr>
        <w:t>、</w:t>
      </w:r>
      <w:r>
        <w:rPr>
          <w:rFonts w:hint="eastAsia"/>
          <w:b/>
          <w:color w:val="auto"/>
          <w:kern w:val="21"/>
          <w:sz w:val="24"/>
          <w:u w:val="single"/>
          <w:lang w:val="en-US"/>
        </w:rPr>
        <w:t>总锌0.0007 mg/L、六价铬0.027 mg/L、总铬0.022 mg/L、电导率10su/cm，水质满足电镀用水要求。项目各工序水洗总计需水量为416.8534 m</w:t>
      </w:r>
      <w:r>
        <w:rPr>
          <w:rFonts w:hint="eastAsia"/>
          <w:b/>
          <w:color w:val="auto"/>
          <w:kern w:val="21"/>
          <w:sz w:val="24"/>
          <w:u w:val="single"/>
          <w:vertAlign w:val="superscript"/>
          <w:lang w:val="en-US"/>
        </w:rPr>
        <w:t>3</w:t>
      </w:r>
      <w:r>
        <w:rPr>
          <w:rFonts w:hint="eastAsia"/>
          <w:b/>
          <w:color w:val="auto"/>
          <w:kern w:val="21"/>
          <w:sz w:val="24"/>
          <w:u w:val="single"/>
          <w:lang w:val="en-US"/>
        </w:rPr>
        <w:t>/d，零排放处理系统出水391.5368m</w:t>
      </w:r>
      <w:r>
        <w:rPr>
          <w:rFonts w:hint="eastAsia"/>
          <w:b/>
          <w:color w:val="auto"/>
          <w:kern w:val="21"/>
          <w:sz w:val="24"/>
          <w:u w:val="single"/>
          <w:vertAlign w:val="superscript"/>
          <w:lang w:val="en-US"/>
        </w:rPr>
        <w:t>3</w:t>
      </w:r>
      <w:r>
        <w:rPr>
          <w:rFonts w:hint="eastAsia"/>
          <w:b/>
          <w:color w:val="auto"/>
          <w:kern w:val="21"/>
          <w:sz w:val="24"/>
          <w:u w:val="single"/>
          <w:lang w:val="en-US"/>
        </w:rPr>
        <w:t>/d，因此生产线各水洗工序可消纳其回用水量。</w:t>
      </w:r>
    </w:p>
    <w:p>
      <w:pPr>
        <w:pStyle w:val="32"/>
        <w:adjustRightInd w:val="0"/>
        <w:snapToGrid w:val="0"/>
        <w:spacing w:after="0" w:line="360" w:lineRule="auto"/>
        <w:ind w:firstLine="482" w:firstLineChars="200"/>
        <w:rPr>
          <w:b/>
          <w:color w:val="auto"/>
          <w:kern w:val="21"/>
          <w:sz w:val="24"/>
          <w:u w:val="single"/>
          <w:lang w:val="en-US"/>
        </w:rPr>
      </w:pPr>
      <w:r>
        <w:rPr>
          <w:rFonts w:hint="eastAsia"/>
          <w:b/>
          <w:color w:val="auto"/>
          <w:kern w:val="21"/>
          <w:sz w:val="24"/>
          <w:u w:val="single"/>
          <w:lang w:val="en-US"/>
        </w:rPr>
        <w:t>综上，从水质、水量、同类企业运行情况等方面分析后，零排放处理系统出水可回用于各环节水洗工序，同时，为确保出水稳定，本项目污水处理站采用自动化控制系统同时重担膜处理系统设备采用一用一备同时回用水采用变频恒压供水，因此，废水处理系统能做到稳定运行，处理设施可行。</w:t>
      </w:r>
    </w:p>
    <w:p>
      <w:pPr>
        <w:pStyle w:val="390"/>
        <w:tabs>
          <w:tab w:val="clear" w:pos="1800"/>
        </w:tabs>
        <w:adjustRightInd w:val="0"/>
        <w:snapToGrid w:val="0"/>
        <w:spacing w:line="360" w:lineRule="auto"/>
        <w:ind w:left="0" w:firstLine="0"/>
        <w:outlineLvl w:val="2"/>
        <w:rPr>
          <w:rFonts w:eastAsia="黑体"/>
          <w:b/>
          <w:bCs w:val="0"/>
          <w:color w:val="auto"/>
          <w:kern w:val="21"/>
          <w:sz w:val="28"/>
          <w:szCs w:val="28"/>
          <w:u w:val="single"/>
        </w:rPr>
      </w:pPr>
      <w:r>
        <w:rPr>
          <w:rFonts w:eastAsia="黑体"/>
          <w:bCs/>
          <w:color w:val="auto"/>
          <w:kern w:val="21"/>
          <w:sz w:val="28"/>
          <w:szCs w:val="28"/>
        </w:rPr>
        <w:t>7.2.</w:t>
      </w:r>
      <w:r>
        <w:rPr>
          <w:rFonts w:hint="eastAsia" w:eastAsia="黑体"/>
          <w:bCs/>
          <w:color w:val="auto"/>
          <w:kern w:val="21"/>
          <w:sz w:val="28"/>
          <w:szCs w:val="28"/>
        </w:rPr>
        <w:t>6</w:t>
      </w:r>
      <w:r>
        <w:rPr>
          <w:rFonts w:hint="eastAsia" w:eastAsia="黑体"/>
          <w:b/>
          <w:bCs w:val="0"/>
          <w:color w:val="auto"/>
          <w:kern w:val="21"/>
          <w:sz w:val="28"/>
          <w:szCs w:val="28"/>
          <w:u w:val="single"/>
        </w:rPr>
        <w:t>废水处理工艺运行成本可行性分析</w:t>
      </w:r>
    </w:p>
    <w:p>
      <w:pPr>
        <w:pStyle w:val="32"/>
        <w:adjustRightInd w:val="0"/>
        <w:snapToGrid w:val="0"/>
        <w:spacing w:after="0" w:line="360" w:lineRule="auto"/>
        <w:ind w:firstLine="482" w:firstLineChars="200"/>
        <w:rPr>
          <w:b/>
          <w:bCs w:val="0"/>
          <w:color w:val="auto"/>
          <w:kern w:val="21"/>
          <w:sz w:val="24"/>
          <w:u w:val="single"/>
          <w:lang w:val="en-US"/>
        </w:rPr>
      </w:pPr>
      <w:r>
        <w:rPr>
          <w:rFonts w:hint="eastAsia"/>
          <w:b/>
          <w:bCs w:val="0"/>
          <w:color w:val="auto"/>
          <w:kern w:val="21"/>
          <w:sz w:val="24"/>
          <w:u w:val="single"/>
          <w:lang w:val="en-US"/>
        </w:rPr>
        <w:t>本项目零排废水处理设施总投资</w:t>
      </w:r>
      <w:r>
        <w:rPr>
          <w:rFonts w:hint="eastAsia"/>
          <w:b/>
          <w:bCs w:val="0"/>
          <w:color w:val="auto"/>
          <w:kern w:val="21"/>
          <w:sz w:val="24"/>
          <w:u w:val="single"/>
          <w:lang w:val="en-US" w:eastAsia="zh-CN"/>
        </w:rPr>
        <w:t>估算</w:t>
      </w:r>
      <w:r>
        <w:rPr>
          <w:rFonts w:hint="eastAsia"/>
          <w:b/>
          <w:bCs w:val="0"/>
          <w:color w:val="auto"/>
          <w:kern w:val="21"/>
          <w:sz w:val="24"/>
          <w:u w:val="single"/>
          <w:lang w:val="en-US"/>
        </w:rPr>
        <w:t>1500万，运行费用估算为41.65元/吨。</w:t>
      </w:r>
    </w:p>
    <w:p>
      <w:pPr>
        <w:pStyle w:val="6"/>
        <w:spacing w:before="0" w:after="0" w:line="360" w:lineRule="auto"/>
        <w:rPr>
          <w:b/>
          <w:bCs w:val="0"/>
          <w:color w:val="auto"/>
          <w:sz w:val="24"/>
          <w:szCs w:val="24"/>
          <w:u w:val="single"/>
        </w:rPr>
      </w:pPr>
      <w:bookmarkStart w:id="391" w:name="_Toc123134880"/>
      <w:bookmarkStart w:id="392" w:name="_Toc123134935"/>
      <w:r>
        <w:rPr>
          <w:rFonts w:hint="eastAsia"/>
          <w:b/>
          <w:bCs w:val="0"/>
          <w:color w:val="auto"/>
          <w:sz w:val="24"/>
          <w:szCs w:val="24"/>
          <w:u w:val="single"/>
        </w:rPr>
        <w:t>7.2.6.1 运行费用计算依据</w:t>
      </w:r>
      <w:bookmarkEnd w:id="391"/>
      <w:bookmarkEnd w:id="392"/>
    </w:p>
    <w:p>
      <w:pPr>
        <w:pStyle w:val="32"/>
        <w:adjustRightInd w:val="0"/>
        <w:snapToGrid w:val="0"/>
        <w:spacing w:after="0" w:line="360" w:lineRule="auto"/>
        <w:ind w:firstLine="482" w:firstLineChars="200"/>
        <w:rPr>
          <w:b/>
          <w:bCs w:val="0"/>
          <w:color w:val="auto"/>
          <w:kern w:val="21"/>
          <w:sz w:val="24"/>
          <w:u w:val="single"/>
          <w:lang w:val="en-US"/>
        </w:rPr>
      </w:pPr>
      <w:r>
        <w:rPr>
          <w:rFonts w:hint="eastAsia"/>
          <w:b/>
          <w:bCs w:val="0"/>
          <w:color w:val="auto"/>
          <w:kern w:val="21"/>
          <w:sz w:val="24"/>
          <w:u w:val="single"/>
          <w:lang w:val="en-US"/>
        </w:rPr>
        <w:t>运行费用计算依据见下表：</w:t>
      </w:r>
    </w:p>
    <w:p>
      <w:pPr>
        <w:pStyle w:val="32"/>
        <w:adjustRightInd w:val="0"/>
        <w:snapToGrid w:val="0"/>
        <w:spacing w:after="0"/>
        <w:ind w:firstLine="482" w:firstLineChars="200"/>
        <w:jc w:val="center"/>
        <w:rPr>
          <w:rFonts w:eastAsia="黑体"/>
          <w:b/>
          <w:bCs w:val="0"/>
          <w:color w:val="auto"/>
          <w:kern w:val="21"/>
          <w:sz w:val="24"/>
          <w:u w:val="single"/>
          <w:lang w:val="en-US"/>
        </w:rPr>
      </w:pPr>
      <w:r>
        <w:rPr>
          <w:rFonts w:hint="eastAsia" w:eastAsia="黑体"/>
          <w:b/>
          <w:bCs w:val="0"/>
          <w:color w:val="auto"/>
          <w:kern w:val="21"/>
          <w:sz w:val="24"/>
          <w:u w:val="single"/>
          <w:lang w:val="en-US"/>
        </w:rPr>
        <w:t>表7.2-14   运行费用计算依据一览表</w:t>
      </w:r>
    </w:p>
    <w:p>
      <w:pPr>
        <w:spacing w:line="64" w:lineRule="exact"/>
        <w:rPr>
          <w:b/>
          <w:bCs w:val="0"/>
          <w:color w:val="auto"/>
          <w:u w:val="single"/>
        </w:rPr>
      </w:pPr>
    </w:p>
    <w:tbl>
      <w:tblPr>
        <w:tblStyle w:val="83"/>
        <w:tblW w:w="8464" w:type="dxa"/>
        <w:tblInd w:w="3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22"/>
        <w:gridCol w:w="2615"/>
        <w:gridCol w:w="1917"/>
        <w:gridCol w:w="2910"/>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2" w:hRule="atLeast"/>
        </w:trPr>
        <w:tc>
          <w:tcPr>
            <w:tcW w:w="1022" w:type="dxa"/>
            <w:shd w:val="clear" w:color="auto" w:fill="auto"/>
            <w:vAlign w:val="center"/>
          </w:tcPr>
          <w:p>
            <w:pPr>
              <w:jc w:val="center"/>
              <w:rPr>
                <w:b/>
                <w:bCs w:val="0"/>
                <w:color w:val="auto"/>
                <w:u w:val="single"/>
              </w:rPr>
            </w:pPr>
            <w:r>
              <w:rPr>
                <w:b/>
                <w:bCs w:val="0"/>
                <w:color w:val="auto"/>
                <w:spacing w:val="-2"/>
                <w:u w:val="single"/>
              </w:rPr>
              <w:t>序号</w:t>
            </w:r>
          </w:p>
        </w:tc>
        <w:tc>
          <w:tcPr>
            <w:tcW w:w="2615" w:type="dxa"/>
            <w:shd w:val="clear" w:color="auto" w:fill="auto"/>
            <w:vAlign w:val="center"/>
          </w:tcPr>
          <w:p>
            <w:pPr>
              <w:jc w:val="center"/>
              <w:rPr>
                <w:b/>
                <w:bCs w:val="0"/>
                <w:color w:val="auto"/>
                <w:u w:val="single"/>
              </w:rPr>
            </w:pPr>
            <w:r>
              <w:rPr>
                <w:b/>
                <w:bCs w:val="0"/>
                <w:color w:val="auto"/>
                <w:spacing w:val="-4"/>
                <w:u w:val="single"/>
              </w:rPr>
              <w:t>药</w:t>
            </w:r>
            <w:r>
              <w:rPr>
                <w:b/>
                <w:bCs w:val="0"/>
                <w:color w:val="auto"/>
                <w:spacing w:val="-3"/>
                <w:u w:val="single"/>
              </w:rPr>
              <w:t>剂</w:t>
            </w:r>
            <w:r>
              <w:rPr>
                <w:b/>
                <w:bCs w:val="0"/>
                <w:color w:val="auto"/>
                <w:spacing w:val="-2"/>
                <w:u w:val="single"/>
              </w:rPr>
              <w:t>名称</w:t>
            </w:r>
          </w:p>
        </w:tc>
        <w:tc>
          <w:tcPr>
            <w:tcW w:w="1917" w:type="dxa"/>
            <w:shd w:val="clear" w:color="auto" w:fill="auto"/>
            <w:vAlign w:val="center"/>
          </w:tcPr>
          <w:p>
            <w:pPr>
              <w:jc w:val="center"/>
              <w:rPr>
                <w:b/>
                <w:bCs w:val="0"/>
                <w:color w:val="auto"/>
                <w:u w:val="single"/>
              </w:rPr>
            </w:pPr>
            <w:r>
              <w:rPr>
                <w:b/>
                <w:bCs w:val="0"/>
                <w:color w:val="auto"/>
                <w:spacing w:val="13"/>
                <w:u w:val="single"/>
              </w:rPr>
              <w:t>价格</w:t>
            </w:r>
            <w:r>
              <w:rPr>
                <w:rFonts w:hint="eastAsia"/>
                <w:b/>
                <w:bCs w:val="0"/>
                <w:color w:val="auto"/>
                <w:spacing w:val="13"/>
                <w:u w:val="single"/>
                <w:lang w:eastAsia="zh-CN"/>
              </w:rPr>
              <w:t>（</w:t>
            </w:r>
            <w:r>
              <w:rPr>
                <w:b/>
                <w:bCs w:val="0"/>
                <w:color w:val="auto"/>
                <w:spacing w:val="13"/>
                <w:u w:val="single"/>
              </w:rPr>
              <w:t>元/</w:t>
            </w:r>
            <w:r>
              <w:rPr>
                <w:b/>
                <w:bCs w:val="0"/>
                <w:color w:val="auto"/>
                <w:u w:val="single"/>
              </w:rPr>
              <w:t>kg</w:t>
            </w:r>
            <w:r>
              <w:rPr>
                <w:rFonts w:hint="eastAsia"/>
                <w:b/>
                <w:bCs w:val="0"/>
                <w:color w:val="auto"/>
                <w:u w:val="single"/>
                <w:lang w:eastAsia="zh-CN"/>
              </w:rPr>
              <w:t>）</w:t>
            </w:r>
          </w:p>
        </w:tc>
        <w:tc>
          <w:tcPr>
            <w:tcW w:w="2910" w:type="dxa"/>
            <w:shd w:val="clear" w:color="auto" w:fill="auto"/>
            <w:vAlign w:val="center"/>
          </w:tcPr>
          <w:p>
            <w:pPr>
              <w:jc w:val="center"/>
              <w:rPr>
                <w:b/>
                <w:bCs w:val="0"/>
                <w:color w:val="auto"/>
                <w:u w:val="single"/>
              </w:rPr>
            </w:pPr>
            <w:r>
              <w:rPr>
                <w:b/>
                <w:bCs w:val="0"/>
                <w:color w:val="auto"/>
                <w:spacing w:val="-3"/>
                <w:u w:val="single"/>
              </w:rPr>
              <w:t>主要参数</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022" w:type="dxa"/>
            <w:shd w:val="clear" w:color="auto" w:fill="auto"/>
            <w:vAlign w:val="center"/>
          </w:tcPr>
          <w:p>
            <w:pPr>
              <w:jc w:val="center"/>
              <w:rPr>
                <w:b/>
                <w:bCs w:val="0"/>
                <w:color w:val="auto"/>
                <w:u w:val="single"/>
              </w:rPr>
            </w:pPr>
            <w:r>
              <w:rPr>
                <w:b/>
                <w:bCs w:val="0"/>
                <w:color w:val="auto"/>
                <w:u w:val="single"/>
              </w:rPr>
              <w:t>1</w:t>
            </w:r>
          </w:p>
        </w:tc>
        <w:tc>
          <w:tcPr>
            <w:tcW w:w="2615" w:type="dxa"/>
            <w:shd w:val="clear" w:color="auto" w:fill="auto"/>
            <w:vAlign w:val="center"/>
          </w:tcPr>
          <w:p>
            <w:pPr>
              <w:jc w:val="center"/>
              <w:rPr>
                <w:b/>
                <w:bCs w:val="0"/>
                <w:color w:val="auto"/>
                <w:u w:val="single"/>
              </w:rPr>
            </w:pPr>
            <w:r>
              <w:rPr>
                <w:b/>
                <w:bCs w:val="0"/>
                <w:color w:val="auto"/>
                <w:spacing w:val="19"/>
                <w:u w:val="single"/>
              </w:rPr>
              <w:t>氢</w:t>
            </w:r>
            <w:r>
              <w:rPr>
                <w:b/>
                <w:bCs w:val="0"/>
                <w:color w:val="auto"/>
                <w:spacing w:val="15"/>
                <w:u w:val="single"/>
              </w:rPr>
              <w:t>氧化钠</w:t>
            </w:r>
            <w:r>
              <w:rPr>
                <w:rFonts w:hint="eastAsia"/>
                <w:b/>
                <w:bCs w:val="0"/>
                <w:color w:val="auto"/>
                <w:spacing w:val="15"/>
                <w:u w:val="single"/>
                <w:lang w:eastAsia="zh-CN"/>
              </w:rPr>
              <w:t>（</w:t>
            </w:r>
            <w:r>
              <w:rPr>
                <w:b/>
                <w:bCs w:val="0"/>
                <w:color w:val="auto"/>
                <w:spacing w:val="15"/>
                <w:u w:val="single"/>
              </w:rPr>
              <w:t>片碱</w:t>
            </w:r>
            <w:r>
              <w:rPr>
                <w:rFonts w:hint="eastAsia"/>
                <w:b/>
                <w:bCs w:val="0"/>
                <w:color w:val="auto"/>
                <w:spacing w:val="15"/>
                <w:u w:val="single"/>
                <w:lang w:eastAsia="zh-CN"/>
              </w:rPr>
              <w:t>）</w:t>
            </w:r>
          </w:p>
        </w:tc>
        <w:tc>
          <w:tcPr>
            <w:tcW w:w="1917" w:type="dxa"/>
            <w:shd w:val="clear" w:color="auto" w:fill="auto"/>
            <w:vAlign w:val="center"/>
          </w:tcPr>
          <w:p>
            <w:pPr>
              <w:jc w:val="center"/>
              <w:rPr>
                <w:b/>
                <w:bCs w:val="0"/>
                <w:color w:val="auto"/>
                <w:u w:val="single"/>
              </w:rPr>
            </w:pPr>
            <w:r>
              <w:rPr>
                <w:b/>
                <w:bCs w:val="0"/>
                <w:color w:val="auto"/>
                <w:u w:val="single"/>
              </w:rPr>
              <w:t>4</w:t>
            </w:r>
          </w:p>
        </w:tc>
        <w:tc>
          <w:tcPr>
            <w:tcW w:w="2910" w:type="dxa"/>
            <w:shd w:val="clear" w:color="auto" w:fill="auto"/>
            <w:vAlign w:val="center"/>
          </w:tcPr>
          <w:p>
            <w:pPr>
              <w:jc w:val="center"/>
              <w:rPr>
                <w:b/>
                <w:bCs w:val="0"/>
                <w:color w:val="auto"/>
                <w:u w:val="single"/>
              </w:rPr>
            </w:pPr>
            <w:r>
              <w:rPr>
                <w:b/>
                <w:bCs w:val="0"/>
                <w:color w:val="auto"/>
                <w:spacing w:val="-24"/>
                <w:u w:val="single"/>
              </w:rPr>
              <w:t>9</w:t>
            </w:r>
            <w:r>
              <w:rPr>
                <w:b/>
                <w:bCs w:val="0"/>
                <w:color w:val="auto"/>
                <w:spacing w:val="-23"/>
                <w:u w:val="single"/>
              </w:rPr>
              <w:t>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22" w:type="dxa"/>
            <w:shd w:val="clear" w:color="auto" w:fill="auto"/>
            <w:vAlign w:val="center"/>
          </w:tcPr>
          <w:p>
            <w:pPr>
              <w:jc w:val="center"/>
              <w:rPr>
                <w:b/>
                <w:bCs w:val="0"/>
                <w:color w:val="auto"/>
                <w:u w:val="single"/>
              </w:rPr>
            </w:pPr>
            <w:r>
              <w:rPr>
                <w:b/>
                <w:bCs w:val="0"/>
                <w:color w:val="auto"/>
                <w:u w:val="single"/>
              </w:rPr>
              <w:t>2</w:t>
            </w:r>
          </w:p>
        </w:tc>
        <w:tc>
          <w:tcPr>
            <w:tcW w:w="2615" w:type="dxa"/>
            <w:shd w:val="clear" w:color="auto" w:fill="auto"/>
            <w:vAlign w:val="center"/>
          </w:tcPr>
          <w:p>
            <w:pPr>
              <w:jc w:val="center"/>
              <w:rPr>
                <w:b/>
                <w:bCs w:val="0"/>
                <w:color w:val="auto"/>
                <w:u w:val="single"/>
              </w:rPr>
            </w:pPr>
            <w:r>
              <w:rPr>
                <w:b/>
                <w:bCs w:val="0"/>
                <w:color w:val="auto"/>
                <w:spacing w:val="14"/>
                <w:u w:val="single"/>
              </w:rPr>
              <w:t>聚</w:t>
            </w:r>
            <w:r>
              <w:rPr>
                <w:b/>
                <w:bCs w:val="0"/>
                <w:color w:val="auto"/>
                <w:spacing w:val="11"/>
                <w:u w:val="single"/>
              </w:rPr>
              <w:t>合氯化铝</w:t>
            </w:r>
            <w:r>
              <w:rPr>
                <w:rFonts w:hint="eastAsia"/>
                <w:b/>
                <w:bCs w:val="0"/>
                <w:color w:val="auto"/>
                <w:spacing w:val="11"/>
                <w:u w:val="single"/>
                <w:lang w:eastAsia="zh-CN"/>
              </w:rPr>
              <w:t>(</w:t>
            </w:r>
            <w:r>
              <w:rPr>
                <w:b/>
                <w:bCs w:val="0"/>
                <w:color w:val="auto"/>
                <w:u w:val="single"/>
              </w:rPr>
              <w:t>PAC</w:t>
            </w:r>
            <w:r>
              <w:rPr>
                <w:b/>
                <w:bCs w:val="0"/>
                <w:color w:val="auto"/>
                <w:spacing w:val="11"/>
                <w:u w:val="single"/>
              </w:rPr>
              <w:t>)</w:t>
            </w:r>
          </w:p>
        </w:tc>
        <w:tc>
          <w:tcPr>
            <w:tcW w:w="1917" w:type="dxa"/>
            <w:shd w:val="clear" w:color="auto" w:fill="auto"/>
            <w:vAlign w:val="center"/>
          </w:tcPr>
          <w:p>
            <w:pPr>
              <w:jc w:val="center"/>
              <w:rPr>
                <w:b/>
                <w:bCs w:val="0"/>
                <w:color w:val="auto"/>
                <w:u w:val="single"/>
              </w:rPr>
            </w:pPr>
            <w:r>
              <w:rPr>
                <w:b/>
                <w:bCs w:val="0"/>
                <w:color w:val="auto"/>
                <w:spacing w:val="-11"/>
                <w:u w:val="single"/>
              </w:rPr>
              <w:t>2</w:t>
            </w:r>
            <w:r>
              <w:rPr>
                <w:b/>
                <w:bCs w:val="0"/>
                <w:color w:val="auto"/>
                <w:spacing w:val="-8"/>
                <w:u w:val="single"/>
              </w:rPr>
              <w:t>.2</w:t>
            </w:r>
          </w:p>
        </w:tc>
        <w:tc>
          <w:tcPr>
            <w:tcW w:w="2910" w:type="dxa"/>
            <w:shd w:val="clear" w:color="auto" w:fill="auto"/>
            <w:vAlign w:val="center"/>
          </w:tcPr>
          <w:p>
            <w:pPr>
              <w:jc w:val="center"/>
              <w:rPr>
                <w:b/>
                <w:bCs w:val="0"/>
                <w:color w:val="auto"/>
                <w:u w:val="single"/>
              </w:rPr>
            </w:pPr>
            <w:r>
              <w:rPr>
                <w:b/>
                <w:bCs w:val="0"/>
                <w:color w:val="auto"/>
                <w:spacing w:val="-14"/>
                <w:u w:val="single"/>
              </w:rPr>
              <w:t>氯化铝 30%含量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022" w:type="dxa"/>
            <w:shd w:val="clear" w:color="auto" w:fill="auto"/>
            <w:vAlign w:val="center"/>
          </w:tcPr>
          <w:p>
            <w:pPr>
              <w:jc w:val="center"/>
              <w:rPr>
                <w:b/>
                <w:bCs w:val="0"/>
                <w:color w:val="auto"/>
                <w:u w:val="single"/>
              </w:rPr>
            </w:pPr>
            <w:r>
              <w:rPr>
                <w:b/>
                <w:bCs w:val="0"/>
                <w:color w:val="auto"/>
                <w:u w:val="single"/>
              </w:rPr>
              <w:t>3</w:t>
            </w:r>
          </w:p>
        </w:tc>
        <w:tc>
          <w:tcPr>
            <w:tcW w:w="2615" w:type="dxa"/>
            <w:shd w:val="clear" w:color="auto" w:fill="auto"/>
            <w:vAlign w:val="center"/>
          </w:tcPr>
          <w:p>
            <w:pPr>
              <w:jc w:val="center"/>
              <w:rPr>
                <w:b/>
                <w:bCs w:val="0"/>
                <w:color w:val="auto"/>
                <w:u w:val="single"/>
              </w:rPr>
            </w:pPr>
            <w:r>
              <w:rPr>
                <w:b/>
                <w:bCs w:val="0"/>
                <w:color w:val="auto"/>
                <w:spacing w:val="11"/>
                <w:u w:val="single"/>
              </w:rPr>
              <w:t>聚</w:t>
            </w:r>
            <w:r>
              <w:rPr>
                <w:b/>
                <w:bCs w:val="0"/>
                <w:color w:val="auto"/>
                <w:spacing w:val="8"/>
                <w:u w:val="single"/>
              </w:rPr>
              <w:t>丙烯酰胺</w:t>
            </w:r>
            <w:r>
              <w:rPr>
                <w:rFonts w:hint="eastAsia"/>
                <w:b/>
                <w:bCs w:val="0"/>
                <w:color w:val="auto"/>
                <w:spacing w:val="8"/>
                <w:u w:val="single"/>
                <w:lang w:eastAsia="zh-CN"/>
              </w:rPr>
              <w:t>(</w:t>
            </w:r>
            <w:r>
              <w:rPr>
                <w:b/>
                <w:bCs w:val="0"/>
                <w:color w:val="auto"/>
                <w:u w:val="single"/>
              </w:rPr>
              <w:t>PAM</w:t>
            </w:r>
            <w:r>
              <w:rPr>
                <w:b/>
                <w:bCs w:val="0"/>
                <w:color w:val="auto"/>
                <w:spacing w:val="8"/>
                <w:u w:val="single"/>
              </w:rPr>
              <w:t>)</w:t>
            </w:r>
          </w:p>
        </w:tc>
        <w:tc>
          <w:tcPr>
            <w:tcW w:w="1917" w:type="dxa"/>
            <w:shd w:val="clear" w:color="auto" w:fill="auto"/>
            <w:vAlign w:val="center"/>
          </w:tcPr>
          <w:p>
            <w:pPr>
              <w:jc w:val="center"/>
              <w:rPr>
                <w:b/>
                <w:bCs w:val="0"/>
                <w:color w:val="auto"/>
                <w:u w:val="single"/>
              </w:rPr>
            </w:pPr>
            <w:r>
              <w:rPr>
                <w:b/>
                <w:bCs w:val="0"/>
                <w:color w:val="auto"/>
                <w:spacing w:val="-11"/>
                <w:u w:val="single"/>
              </w:rPr>
              <w:t>2</w:t>
            </w:r>
            <w:r>
              <w:rPr>
                <w:b/>
                <w:bCs w:val="0"/>
                <w:color w:val="auto"/>
                <w:spacing w:val="-10"/>
                <w:u w:val="single"/>
              </w:rPr>
              <w:t>5</w:t>
            </w:r>
          </w:p>
        </w:tc>
        <w:tc>
          <w:tcPr>
            <w:tcW w:w="2910" w:type="dxa"/>
            <w:shd w:val="clear" w:color="auto" w:fill="auto"/>
            <w:vAlign w:val="center"/>
          </w:tcPr>
          <w:p>
            <w:pPr>
              <w:jc w:val="center"/>
              <w:rPr>
                <w:b/>
                <w:bCs w:val="0"/>
                <w:color w:val="auto"/>
                <w:u w:val="single"/>
              </w:rPr>
            </w:pPr>
            <w:r>
              <w:rPr>
                <w:b/>
                <w:bCs w:val="0"/>
                <w:color w:val="auto"/>
                <w:spacing w:val="-6"/>
                <w:u w:val="single"/>
              </w:rPr>
              <w:t>阴离</w:t>
            </w:r>
            <w:r>
              <w:rPr>
                <w:rFonts w:eastAsia="Meiryo"/>
                <w:b/>
                <w:bCs w:val="0"/>
                <w:color w:val="auto"/>
                <w:spacing w:val="-6"/>
                <w:u w:val="single"/>
              </w:rPr>
              <w:t>⼦</w:t>
            </w:r>
            <w:r>
              <w:rPr>
                <w:b/>
                <w:bCs w:val="0"/>
                <w:color w:val="auto"/>
                <w:spacing w:val="-6"/>
                <w:u w:val="single"/>
              </w:rPr>
              <w:t>型，分</w:t>
            </w:r>
            <w:r>
              <w:rPr>
                <w:rFonts w:hint="eastAsia"/>
                <w:b/>
                <w:bCs w:val="0"/>
                <w:color w:val="auto"/>
                <w:spacing w:val="-6"/>
                <w:u w:val="single"/>
                <w:lang w:val="en-US" w:eastAsia="zh-CN"/>
              </w:rPr>
              <w:t>子</w:t>
            </w:r>
            <w:r>
              <w:rPr>
                <w:b/>
                <w:bCs w:val="0"/>
                <w:color w:val="auto"/>
                <w:spacing w:val="-6"/>
                <w:u w:val="single"/>
              </w:rPr>
              <w:t>量 1000 万以</w:t>
            </w:r>
            <w:r>
              <w:rPr>
                <w:b/>
                <w:bCs w:val="0"/>
                <w:color w:val="auto"/>
                <w:spacing w:val="-4"/>
                <w:u w:val="single"/>
              </w:rPr>
              <w:t>上</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22" w:type="dxa"/>
            <w:shd w:val="clear" w:color="auto" w:fill="auto"/>
            <w:vAlign w:val="center"/>
          </w:tcPr>
          <w:p>
            <w:pPr>
              <w:jc w:val="center"/>
              <w:rPr>
                <w:b/>
                <w:bCs w:val="0"/>
                <w:color w:val="auto"/>
                <w:u w:val="single"/>
              </w:rPr>
            </w:pPr>
            <w:r>
              <w:rPr>
                <w:b/>
                <w:bCs w:val="0"/>
                <w:color w:val="auto"/>
                <w:u w:val="single"/>
              </w:rPr>
              <w:t>4</w:t>
            </w:r>
          </w:p>
        </w:tc>
        <w:tc>
          <w:tcPr>
            <w:tcW w:w="2615" w:type="dxa"/>
            <w:shd w:val="clear" w:color="auto" w:fill="auto"/>
            <w:vAlign w:val="center"/>
          </w:tcPr>
          <w:p>
            <w:pPr>
              <w:jc w:val="center"/>
              <w:rPr>
                <w:b/>
                <w:bCs w:val="0"/>
                <w:color w:val="auto"/>
                <w:u w:val="single"/>
              </w:rPr>
            </w:pPr>
            <w:r>
              <w:rPr>
                <w:b/>
                <w:bCs w:val="0"/>
                <w:color w:val="auto"/>
                <w:spacing w:val="-2"/>
                <w:u w:val="single"/>
              </w:rPr>
              <w:t>硫</w:t>
            </w:r>
            <w:r>
              <w:rPr>
                <w:b/>
                <w:bCs w:val="0"/>
                <w:color w:val="auto"/>
                <w:spacing w:val="-1"/>
                <w:u w:val="single"/>
              </w:rPr>
              <w:t>酸</w:t>
            </w:r>
          </w:p>
        </w:tc>
        <w:tc>
          <w:tcPr>
            <w:tcW w:w="1917" w:type="dxa"/>
            <w:shd w:val="clear" w:color="auto" w:fill="auto"/>
            <w:vAlign w:val="center"/>
          </w:tcPr>
          <w:p>
            <w:pPr>
              <w:jc w:val="center"/>
              <w:rPr>
                <w:b/>
                <w:bCs w:val="0"/>
                <w:color w:val="auto"/>
                <w:u w:val="single"/>
              </w:rPr>
            </w:pPr>
            <w:r>
              <w:rPr>
                <w:b/>
                <w:bCs w:val="0"/>
                <w:color w:val="auto"/>
                <w:spacing w:val="-11"/>
                <w:u w:val="single"/>
              </w:rPr>
              <w:t>1</w:t>
            </w:r>
            <w:r>
              <w:rPr>
                <w:b/>
                <w:bCs w:val="0"/>
                <w:color w:val="auto"/>
                <w:spacing w:val="-9"/>
                <w:u w:val="single"/>
              </w:rPr>
              <w:t>.1</w:t>
            </w:r>
          </w:p>
        </w:tc>
        <w:tc>
          <w:tcPr>
            <w:tcW w:w="2910" w:type="dxa"/>
            <w:shd w:val="clear" w:color="auto" w:fill="auto"/>
            <w:vAlign w:val="center"/>
          </w:tcPr>
          <w:p>
            <w:pPr>
              <w:jc w:val="center"/>
              <w:rPr>
                <w:b/>
                <w:bCs w:val="0"/>
                <w:color w:val="auto"/>
                <w:u w:val="single"/>
              </w:rPr>
            </w:pPr>
            <w:r>
              <w:rPr>
                <w:b/>
                <w:bCs w:val="0"/>
                <w:color w:val="auto"/>
                <w:spacing w:val="-21"/>
                <w:u w:val="single"/>
              </w:rPr>
              <w:t>9</w:t>
            </w:r>
            <w:r>
              <w:rPr>
                <w:b/>
                <w:bCs w:val="0"/>
                <w:color w:val="auto"/>
                <w:spacing w:val="-18"/>
                <w:u w:val="single"/>
              </w:rPr>
              <w:t>8%浓度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2" w:hRule="atLeast"/>
        </w:trPr>
        <w:tc>
          <w:tcPr>
            <w:tcW w:w="1022" w:type="dxa"/>
            <w:shd w:val="clear" w:color="auto" w:fill="auto"/>
            <w:vAlign w:val="center"/>
          </w:tcPr>
          <w:p>
            <w:pPr>
              <w:jc w:val="center"/>
              <w:rPr>
                <w:b/>
                <w:bCs w:val="0"/>
                <w:color w:val="auto"/>
                <w:u w:val="single"/>
              </w:rPr>
            </w:pPr>
            <w:r>
              <w:rPr>
                <w:b/>
                <w:bCs w:val="0"/>
                <w:color w:val="auto"/>
                <w:u w:val="single"/>
              </w:rPr>
              <w:t>5</w:t>
            </w:r>
          </w:p>
        </w:tc>
        <w:tc>
          <w:tcPr>
            <w:tcW w:w="2615" w:type="dxa"/>
            <w:shd w:val="clear" w:color="auto" w:fill="auto"/>
            <w:vAlign w:val="center"/>
          </w:tcPr>
          <w:p>
            <w:pPr>
              <w:jc w:val="center"/>
              <w:rPr>
                <w:b/>
                <w:bCs w:val="0"/>
                <w:color w:val="auto"/>
                <w:u w:val="single"/>
              </w:rPr>
            </w:pPr>
            <w:r>
              <w:rPr>
                <w:b/>
                <w:bCs w:val="0"/>
                <w:color w:val="auto"/>
                <w:spacing w:val="-11"/>
                <w:u w:val="single"/>
              </w:rPr>
              <w:t>双氧水</w:t>
            </w:r>
          </w:p>
        </w:tc>
        <w:tc>
          <w:tcPr>
            <w:tcW w:w="1917" w:type="dxa"/>
            <w:shd w:val="clear" w:color="auto" w:fill="auto"/>
            <w:vAlign w:val="center"/>
          </w:tcPr>
          <w:p>
            <w:pPr>
              <w:jc w:val="center"/>
              <w:rPr>
                <w:b/>
                <w:bCs w:val="0"/>
                <w:color w:val="auto"/>
                <w:u w:val="single"/>
              </w:rPr>
            </w:pPr>
            <w:r>
              <w:rPr>
                <w:b/>
                <w:bCs w:val="0"/>
                <w:color w:val="auto"/>
                <w:spacing w:val="-11"/>
                <w:u w:val="single"/>
              </w:rPr>
              <w:t>1</w:t>
            </w:r>
            <w:r>
              <w:rPr>
                <w:b/>
                <w:bCs w:val="0"/>
                <w:color w:val="auto"/>
                <w:spacing w:val="-9"/>
                <w:u w:val="single"/>
              </w:rPr>
              <w:t>.6</w:t>
            </w:r>
          </w:p>
        </w:tc>
        <w:tc>
          <w:tcPr>
            <w:tcW w:w="2910" w:type="dxa"/>
            <w:shd w:val="clear" w:color="auto" w:fill="auto"/>
            <w:vAlign w:val="center"/>
          </w:tcPr>
          <w:p>
            <w:pPr>
              <w:jc w:val="center"/>
              <w:rPr>
                <w:b/>
                <w:bCs w:val="0"/>
                <w:color w:val="auto"/>
                <w:u w:val="single"/>
              </w:rPr>
            </w:pPr>
            <w:r>
              <w:rPr>
                <w:b/>
                <w:bCs w:val="0"/>
                <w:color w:val="auto"/>
                <w:spacing w:val="-24"/>
                <w:u w:val="single"/>
              </w:rPr>
              <w:t>2</w:t>
            </w:r>
            <w:r>
              <w:rPr>
                <w:b/>
                <w:bCs w:val="0"/>
                <w:color w:val="auto"/>
                <w:spacing w:val="-23"/>
                <w:u w:val="single"/>
              </w:rPr>
              <w:t>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22" w:type="dxa"/>
            <w:shd w:val="clear" w:color="auto" w:fill="auto"/>
            <w:vAlign w:val="center"/>
          </w:tcPr>
          <w:p>
            <w:pPr>
              <w:jc w:val="center"/>
              <w:rPr>
                <w:b/>
                <w:bCs w:val="0"/>
                <w:color w:val="auto"/>
                <w:u w:val="single"/>
              </w:rPr>
            </w:pPr>
            <w:r>
              <w:rPr>
                <w:b/>
                <w:bCs w:val="0"/>
                <w:color w:val="auto"/>
                <w:u w:val="single"/>
              </w:rPr>
              <w:t>6</w:t>
            </w:r>
          </w:p>
        </w:tc>
        <w:tc>
          <w:tcPr>
            <w:tcW w:w="2615" w:type="dxa"/>
            <w:shd w:val="clear" w:color="auto" w:fill="auto"/>
            <w:vAlign w:val="center"/>
          </w:tcPr>
          <w:p>
            <w:pPr>
              <w:jc w:val="center"/>
              <w:rPr>
                <w:b/>
                <w:bCs w:val="0"/>
                <w:color w:val="auto"/>
                <w:u w:val="single"/>
              </w:rPr>
            </w:pPr>
            <w:r>
              <w:rPr>
                <w:b/>
                <w:bCs w:val="0"/>
                <w:color w:val="auto"/>
                <w:spacing w:val="-2"/>
                <w:u w:val="single"/>
              </w:rPr>
              <w:t>硫</w:t>
            </w:r>
            <w:r>
              <w:rPr>
                <w:b/>
                <w:bCs w:val="0"/>
                <w:color w:val="auto"/>
                <w:spacing w:val="-1"/>
                <w:u w:val="single"/>
              </w:rPr>
              <w:t>酸亚铁</w:t>
            </w:r>
          </w:p>
        </w:tc>
        <w:tc>
          <w:tcPr>
            <w:tcW w:w="1917" w:type="dxa"/>
            <w:shd w:val="clear" w:color="auto" w:fill="auto"/>
            <w:vAlign w:val="center"/>
          </w:tcPr>
          <w:p>
            <w:pPr>
              <w:jc w:val="center"/>
              <w:rPr>
                <w:b/>
                <w:bCs w:val="0"/>
                <w:color w:val="auto"/>
                <w:u w:val="single"/>
              </w:rPr>
            </w:pPr>
            <w:r>
              <w:rPr>
                <w:b/>
                <w:bCs w:val="0"/>
                <w:color w:val="auto"/>
                <w:spacing w:val="-11"/>
                <w:u w:val="single"/>
              </w:rPr>
              <w:t>0</w:t>
            </w:r>
            <w:r>
              <w:rPr>
                <w:b/>
                <w:bCs w:val="0"/>
                <w:color w:val="auto"/>
                <w:spacing w:val="-8"/>
                <w:u w:val="single"/>
              </w:rPr>
              <w:t>.6</w:t>
            </w:r>
          </w:p>
        </w:tc>
        <w:tc>
          <w:tcPr>
            <w:tcW w:w="2910" w:type="dxa"/>
            <w:shd w:val="clear" w:color="auto" w:fill="auto"/>
            <w:vAlign w:val="center"/>
          </w:tcPr>
          <w:p>
            <w:pPr>
              <w:jc w:val="center"/>
              <w:rPr>
                <w:b/>
                <w:bCs w:val="0"/>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022" w:type="dxa"/>
            <w:shd w:val="clear" w:color="auto" w:fill="auto"/>
            <w:vAlign w:val="center"/>
          </w:tcPr>
          <w:p>
            <w:pPr>
              <w:jc w:val="center"/>
              <w:rPr>
                <w:b/>
                <w:bCs w:val="0"/>
                <w:color w:val="auto"/>
                <w:u w:val="single"/>
              </w:rPr>
            </w:pPr>
            <w:r>
              <w:rPr>
                <w:b/>
                <w:bCs w:val="0"/>
                <w:color w:val="auto"/>
                <w:u w:val="single"/>
              </w:rPr>
              <w:t>7</w:t>
            </w:r>
          </w:p>
        </w:tc>
        <w:tc>
          <w:tcPr>
            <w:tcW w:w="2615" w:type="dxa"/>
            <w:shd w:val="clear" w:color="auto" w:fill="auto"/>
            <w:vAlign w:val="center"/>
          </w:tcPr>
          <w:p>
            <w:pPr>
              <w:jc w:val="center"/>
              <w:rPr>
                <w:b/>
                <w:bCs w:val="0"/>
                <w:color w:val="auto"/>
                <w:u w:val="single"/>
              </w:rPr>
            </w:pPr>
            <w:r>
              <w:rPr>
                <w:b/>
                <w:bCs w:val="0"/>
                <w:color w:val="auto"/>
                <w:spacing w:val="-2"/>
                <w:u w:val="single"/>
              </w:rPr>
              <w:t>氯</w:t>
            </w:r>
            <w:r>
              <w:rPr>
                <w:b/>
                <w:bCs w:val="0"/>
                <w:color w:val="auto"/>
                <w:spacing w:val="-1"/>
                <w:u w:val="single"/>
              </w:rPr>
              <w:t>化钙</w:t>
            </w:r>
          </w:p>
        </w:tc>
        <w:tc>
          <w:tcPr>
            <w:tcW w:w="1917" w:type="dxa"/>
            <w:shd w:val="clear" w:color="auto" w:fill="auto"/>
            <w:vAlign w:val="center"/>
          </w:tcPr>
          <w:p>
            <w:pPr>
              <w:jc w:val="center"/>
              <w:rPr>
                <w:b/>
                <w:bCs w:val="0"/>
                <w:color w:val="auto"/>
                <w:u w:val="single"/>
              </w:rPr>
            </w:pPr>
            <w:r>
              <w:rPr>
                <w:b/>
                <w:bCs w:val="0"/>
                <w:color w:val="auto"/>
                <w:u w:val="single"/>
              </w:rPr>
              <w:t>1</w:t>
            </w:r>
          </w:p>
        </w:tc>
        <w:tc>
          <w:tcPr>
            <w:tcW w:w="2910" w:type="dxa"/>
            <w:shd w:val="clear" w:color="auto" w:fill="auto"/>
            <w:vAlign w:val="center"/>
          </w:tcPr>
          <w:p>
            <w:pPr>
              <w:jc w:val="center"/>
              <w:rPr>
                <w:b/>
                <w:bCs w:val="0"/>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22" w:type="dxa"/>
            <w:shd w:val="clear" w:color="auto" w:fill="auto"/>
            <w:vAlign w:val="center"/>
          </w:tcPr>
          <w:p>
            <w:pPr>
              <w:jc w:val="center"/>
              <w:rPr>
                <w:b/>
                <w:bCs w:val="0"/>
                <w:color w:val="auto"/>
                <w:u w:val="single"/>
              </w:rPr>
            </w:pPr>
            <w:r>
              <w:rPr>
                <w:b/>
                <w:bCs w:val="0"/>
                <w:color w:val="auto"/>
                <w:u w:val="single"/>
              </w:rPr>
              <w:t>8</w:t>
            </w:r>
          </w:p>
        </w:tc>
        <w:tc>
          <w:tcPr>
            <w:tcW w:w="2615" w:type="dxa"/>
            <w:shd w:val="clear" w:color="auto" w:fill="auto"/>
            <w:vAlign w:val="center"/>
          </w:tcPr>
          <w:p>
            <w:pPr>
              <w:jc w:val="center"/>
              <w:rPr>
                <w:b/>
                <w:bCs w:val="0"/>
                <w:color w:val="auto"/>
                <w:u w:val="single"/>
              </w:rPr>
            </w:pPr>
            <w:r>
              <w:rPr>
                <w:b/>
                <w:bCs w:val="0"/>
                <w:color w:val="auto"/>
                <w:spacing w:val="-5"/>
                <w:u w:val="single"/>
              </w:rPr>
              <w:t>阻</w:t>
            </w:r>
            <w:r>
              <w:rPr>
                <w:b/>
                <w:bCs w:val="0"/>
                <w:color w:val="auto"/>
                <w:spacing w:val="-3"/>
                <w:u w:val="single"/>
              </w:rPr>
              <w:t>垢剂</w:t>
            </w:r>
          </w:p>
        </w:tc>
        <w:tc>
          <w:tcPr>
            <w:tcW w:w="1917" w:type="dxa"/>
            <w:shd w:val="clear" w:color="auto" w:fill="auto"/>
            <w:vAlign w:val="center"/>
          </w:tcPr>
          <w:p>
            <w:pPr>
              <w:jc w:val="center"/>
              <w:rPr>
                <w:b/>
                <w:bCs w:val="0"/>
                <w:color w:val="auto"/>
                <w:u w:val="single"/>
              </w:rPr>
            </w:pPr>
            <w:r>
              <w:rPr>
                <w:b/>
                <w:bCs w:val="0"/>
                <w:color w:val="auto"/>
                <w:spacing w:val="-12"/>
                <w:u w:val="single"/>
              </w:rPr>
              <w:t>6</w:t>
            </w:r>
            <w:r>
              <w:rPr>
                <w:b/>
                <w:bCs w:val="0"/>
                <w:color w:val="auto"/>
                <w:spacing w:val="-10"/>
                <w:u w:val="single"/>
              </w:rPr>
              <w:t>0</w:t>
            </w:r>
          </w:p>
        </w:tc>
        <w:tc>
          <w:tcPr>
            <w:tcW w:w="2910" w:type="dxa"/>
            <w:shd w:val="clear" w:color="auto" w:fill="auto"/>
            <w:vAlign w:val="center"/>
          </w:tcPr>
          <w:p>
            <w:pPr>
              <w:jc w:val="center"/>
              <w:rPr>
                <w:b/>
                <w:bCs w:val="0"/>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8" w:hRule="atLeast"/>
        </w:trPr>
        <w:tc>
          <w:tcPr>
            <w:tcW w:w="1022" w:type="dxa"/>
            <w:shd w:val="clear" w:color="auto" w:fill="auto"/>
            <w:vAlign w:val="center"/>
          </w:tcPr>
          <w:p>
            <w:pPr>
              <w:jc w:val="center"/>
              <w:rPr>
                <w:b/>
                <w:bCs w:val="0"/>
                <w:color w:val="auto"/>
                <w:u w:val="single"/>
              </w:rPr>
            </w:pPr>
            <w:r>
              <w:rPr>
                <w:b/>
                <w:bCs w:val="0"/>
                <w:color w:val="auto"/>
                <w:u w:val="single"/>
              </w:rPr>
              <w:t>9</w:t>
            </w:r>
          </w:p>
        </w:tc>
        <w:tc>
          <w:tcPr>
            <w:tcW w:w="2615" w:type="dxa"/>
            <w:shd w:val="clear" w:color="auto" w:fill="auto"/>
            <w:vAlign w:val="center"/>
          </w:tcPr>
          <w:p>
            <w:pPr>
              <w:jc w:val="center"/>
              <w:rPr>
                <w:b/>
                <w:bCs w:val="0"/>
                <w:color w:val="auto"/>
                <w:u w:val="single"/>
              </w:rPr>
            </w:pPr>
            <w:r>
              <w:rPr>
                <w:b/>
                <w:bCs w:val="0"/>
                <w:color w:val="auto"/>
                <w:spacing w:val="14"/>
                <w:u w:val="single"/>
              </w:rPr>
              <w:t>电</w:t>
            </w:r>
            <w:r>
              <w:rPr>
                <w:b/>
                <w:bCs w:val="0"/>
                <w:color w:val="auto"/>
                <w:spacing w:val="8"/>
                <w:u w:val="single"/>
              </w:rPr>
              <w:t>费</w:t>
            </w:r>
            <w:r>
              <w:rPr>
                <w:rFonts w:hint="eastAsia"/>
                <w:b/>
                <w:bCs w:val="0"/>
                <w:color w:val="auto"/>
                <w:spacing w:val="8"/>
                <w:u w:val="single"/>
                <w:lang w:eastAsia="zh-CN"/>
              </w:rPr>
              <w:t>（</w:t>
            </w:r>
            <w:r>
              <w:rPr>
                <w:rFonts w:hint="eastAsia"/>
                <w:b/>
                <w:bCs w:val="0"/>
                <w:color w:val="auto"/>
                <w:spacing w:val="8"/>
                <w:u w:val="single"/>
                <w:lang w:val="en-US" w:eastAsia="zh-CN"/>
              </w:rPr>
              <w:t>白</w:t>
            </w:r>
            <w:r>
              <w:rPr>
                <w:b/>
                <w:bCs w:val="0"/>
                <w:color w:val="auto"/>
                <w:spacing w:val="8"/>
                <w:u w:val="single"/>
              </w:rPr>
              <w:t>天与晚上均价</w:t>
            </w:r>
            <w:r>
              <w:rPr>
                <w:rFonts w:hint="eastAsia"/>
                <w:b/>
                <w:bCs w:val="0"/>
                <w:color w:val="auto"/>
                <w:spacing w:val="8"/>
                <w:u w:val="single"/>
                <w:lang w:eastAsia="zh-CN"/>
              </w:rPr>
              <w:t>）</w:t>
            </w:r>
          </w:p>
        </w:tc>
        <w:tc>
          <w:tcPr>
            <w:tcW w:w="1917" w:type="dxa"/>
            <w:shd w:val="clear" w:color="auto" w:fill="auto"/>
            <w:vAlign w:val="center"/>
          </w:tcPr>
          <w:p>
            <w:pPr>
              <w:jc w:val="center"/>
              <w:rPr>
                <w:b/>
                <w:bCs w:val="0"/>
                <w:color w:val="auto"/>
                <w:u w:val="single"/>
              </w:rPr>
            </w:pPr>
            <w:r>
              <w:rPr>
                <w:b/>
                <w:bCs w:val="0"/>
                <w:color w:val="auto"/>
                <w:spacing w:val="-10"/>
                <w:u w:val="single"/>
              </w:rPr>
              <w:t>0</w:t>
            </w:r>
            <w:r>
              <w:rPr>
                <w:b/>
                <w:bCs w:val="0"/>
                <w:color w:val="auto"/>
                <w:spacing w:val="-8"/>
                <w:u w:val="single"/>
              </w:rPr>
              <w:t>.8 元/度</w:t>
            </w:r>
          </w:p>
        </w:tc>
        <w:tc>
          <w:tcPr>
            <w:tcW w:w="2910" w:type="dxa"/>
            <w:shd w:val="clear" w:color="auto" w:fill="auto"/>
            <w:vAlign w:val="center"/>
          </w:tcPr>
          <w:p>
            <w:pPr>
              <w:jc w:val="center"/>
              <w:rPr>
                <w:b/>
                <w:bCs w:val="0"/>
                <w:color w:val="auto"/>
                <w:u w:val="singl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7" w:hRule="atLeast"/>
        </w:trPr>
        <w:tc>
          <w:tcPr>
            <w:tcW w:w="1022" w:type="dxa"/>
            <w:shd w:val="clear" w:color="auto" w:fill="auto"/>
            <w:vAlign w:val="center"/>
          </w:tcPr>
          <w:p>
            <w:pPr>
              <w:jc w:val="center"/>
              <w:rPr>
                <w:b/>
                <w:bCs w:val="0"/>
                <w:color w:val="auto"/>
                <w:u w:val="single"/>
              </w:rPr>
            </w:pPr>
            <w:r>
              <w:rPr>
                <w:b/>
                <w:bCs w:val="0"/>
                <w:color w:val="auto"/>
                <w:spacing w:val="-12"/>
                <w:u w:val="single"/>
              </w:rPr>
              <w:t>1</w:t>
            </w:r>
            <w:r>
              <w:rPr>
                <w:b/>
                <w:bCs w:val="0"/>
                <w:color w:val="auto"/>
                <w:spacing w:val="-11"/>
                <w:u w:val="single"/>
              </w:rPr>
              <w:t>0</w:t>
            </w:r>
          </w:p>
        </w:tc>
        <w:tc>
          <w:tcPr>
            <w:tcW w:w="2615" w:type="dxa"/>
            <w:shd w:val="clear" w:color="auto" w:fill="auto"/>
            <w:vAlign w:val="center"/>
          </w:tcPr>
          <w:p>
            <w:pPr>
              <w:jc w:val="center"/>
              <w:rPr>
                <w:b/>
                <w:bCs w:val="0"/>
                <w:color w:val="auto"/>
                <w:u w:val="single"/>
              </w:rPr>
            </w:pPr>
            <w:r>
              <w:rPr>
                <w:rFonts w:hint="eastAsia"/>
                <w:b/>
                <w:bCs w:val="0"/>
                <w:color w:val="auto"/>
                <w:spacing w:val="-6"/>
                <w:u w:val="single"/>
                <w:lang w:val="en-US" w:eastAsia="zh-CN"/>
              </w:rPr>
              <w:t>人</w:t>
            </w:r>
            <w:r>
              <w:rPr>
                <w:b/>
                <w:bCs w:val="0"/>
                <w:color w:val="auto"/>
                <w:spacing w:val="-6"/>
                <w:u w:val="single"/>
              </w:rPr>
              <w:t>员</w:t>
            </w:r>
          </w:p>
        </w:tc>
        <w:tc>
          <w:tcPr>
            <w:tcW w:w="1917" w:type="dxa"/>
            <w:shd w:val="clear" w:color="auto" w:fill="auto"/>
            <w:vAlign w:val="center"/>
          </w:tcPr>
          <w:p>
            <w:pPr>
              <w:jc w:val="center"/>
              <w:rPr>
                <w:b/>
                <w:bCs w:val="0"/>
                <w:color w:val="auto"/>
                <w:u w:val="single"/>
              </w:rPr>
            </w:pPr>
            <w:r>
              <w:rPr>
                <w:b/>
                <w:bCs w:val="0"/>
                <w:color w:val="auto"/>
                <w:spacing w:val="-19"/>
                <w:u w:val="single"/>
              </w:rPr>
              <w:t>4</w:t>
            </w:r>
            <w:r>
              <w:rPr>
                <w:b/>
                <w:bCs w:val="0"/>
                <w:color w:val="auto"/>
                <w:spacing w:val="-12"/>
                <w:u w:val="single"/>
              </w:rPr>
              <w:t>500 元/</w:t>
            </w:r>
            <w:r>
              <w:rPr>
                <w:rFonts w:eastAsia="Meiryo"/>
                <w:b/>
                <w:bCs w:val="0"/>
                <w:color w:val="auto"/>
                <w:spacing w:val="-12"/>
                <w:u w:val="single"/>
              </w:rPr>
              <w:t>⽉</w:t>
            </w:r>
          </w:p>
        </w:tc>
        <w:tc>
          <w:tcPr>
            <w:tcW w:w="2910" w:type="dxa"/>
            <w:shd w:val="clear" w:color="auto" w:fill="auto"/>
            <w:vAlign w:val="center"/>
          </w:tcPr>
          <w:p>
            <w:pPr>
              <w:jc w:val="center"/>
              <w:rPr>
                <w:b/>
                <w:bCs w:val="0"/>
                <w:color w:val="auto"/>
                <w:u w:val="single"/>
              </w:rPr>
            </w:pPr>
            <w:r>
              <w:rPr>
                <w:b/>
                <w:bCs w:val="0"/>
                <w:color w:val="auto"/>
                <w:spacing w:val="15"/>
                <w:u w:val="single"/>
              </w:rPr>
              <w:t>4</w:t>
            </w:r>
            <w:r>
              <w:rPr>
                <w:b/>
                <w:bCs w:val="0"/>
                <w:color w:val="auto"/>
                <w:spacing w:val="8"/>
                <w:u w:val="single"/>
              </w:rPr>
              <w:t xml:space="preserve"> 个</w:t>
            </w:r>
            <w:r>
              <w:rPr>
                <w:rFonts w:hint="eastAsia"/>
                <w:b/>
                <w:bCs w:val="0"/>
                <w:color w:val="auto"/>
                <w:spacing w:val="8"/>
                <w:u w:val="single"/>
                <w:lang w:eastAsia="zh-CN"/>
              </w:rPr>
              <w:t>（</w:t>
            </w:r>
            <w:r>
              <w:rPr>
                <w:b/>
                <w:bCs w:val="0"/>
                <w:color w:val="auto"/>
                <w:spacing w:val="8"/>
                <w:u w:val="single"/>
              </w:rPr>
              <w:t>8</w:t>
            </w:r>
            <w:r>
              <w:rPr>
                <w:rFonts w:eastAsia="Meiryo"/>
                <w:b/>
                <w:bCs w:val="0"/>
                <w:color w:val="auto"/>
                <w:spacing w:val="8"/>
                <w:u w:val="single"/>
              </w:rPr>
              <w:t>⼩</w:t>
            </w:r>
            <w:r>
              <w:rPr>
                <w:b/>
                <w:bCs w:val="0"/>
                <w:color w:val="auto"/>
                <w:spacing w:val="8"/>
                <w:u w:val="single"/>
              </w:rPr>
              <w:t>时</w:t>
            </w:r>
            <w:r>
              <w:rPr>
                <w:rFonts w:hint="eastAsia"/>
                <w:b/>
                <w:bCs w:val="0"/>
                <w:color w:val="auto"/>
                <w:spacing w:val="8"/>
                <w:u w:val="single"/>
                <w:lang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3" w:hRule="atLeast"/>
        </w:trPr>
        <w:tc>
          <w:tcPr>
            <w:tcW w:w="1022" w:type="dxa"/>
            <w:shd w:val="clear" w:color="auto" w:fill="auto"/>
            <w:vAlign w:val="center"/>
          </w:tcPr>
          <w:p>
            <w:pPr>
              <w:jc w:val="center"/>
              <w:rPr>
                <w:b/>
                <w:bCs w:val="0"/>
                <w:color w:val="auto"/>
                <w:u w:val="single"/>
              </w:rPr>
            </w:pPr>
            <w:r>
              <w:rPr>
                <w:b/>
                <w:bCs w:val="0"/>
                <w:color w:val="auto"/>
                <w:spacing w:val="-12"/>
                <w:u w:val="single"/>
              </w:rPr>
              <w:t>1</w:t>
            </w:r>
            <w:r>
              <w:rPr>
                <w:b/>
                <w:bCs w:val="0"/>
                <w:color w:val="auto"/>
                <w:spacing w:val="-11"/>
                <w:u w:val="single"/>
              </w:rPr>
              <w:t>1</w:t>
            </w:r>
          </w:p>
        </w:tc>
        <w:tc>
          <w:tcPr>
            <w:tcW w:w="2615" w:type="dxa"/>
            <w:shd w:val="clear" w:color="auto" w:fill="auto"/>
            <w:vAlign w:val="center"/>
          </w:tcPr>
          <w:p>
            <w:pPr>
              <w:jc w:val="center"/>
              <w:rPr>
                <w:rFonts w:hint="eastAsia" w:eastAsia="宋体"/>
                <w:b/>
                <w:bCs w:val="0"/>
                <w:color w:val="auto"/>
                <w:u w:val="single"/>
                <w:lang w:eastAsia="zh-CN"/>
              </w:rPr>
            </w:pPr>
            <w:r>
              <w:rPr>
                <w:rFonts w:eastAsia="Meiryo"/>
                <w:b/>
                <w:bCs w:val="0"/>
                <w:color w:val="auto"/>
                <w:spacing w:val="-11"/>
                <w:u w:val="single"/>
              </w:rPr>
              <w:t>⾃</w:t>
            </w:r>
            <w:r>
              <w:rPr>
                <w:b/>
                <w:bCs w:val="0"/>
                <w:color w:val="auto"/>
                <w:spacing w:val="-11"/>
                <w:u w:val="single"/>
              </w:rPr>
              <w:t>来</w:t>
            </w:r>
            <w:r>
              <w:rPr>
                <w:rFonts w:hint="eastAsia"/>
                <w:b/>
                <w:bCs w:val="0"/>
                <w:color w:val="auto"/>
                <w:spacing w:val="-11"/>
                <w:u w:val="single"/>
                <w:lang w:val="en-US" w:eastAsia="zh-CN"/>
              </w:rPr>
              <w:t>水</w:t>
            </w:r>
          </w:p>
        </w:tc>
        <w:tc>
          <w:tcPr>
            <w:tcW w:w="1917" w:type="dxa"/>
            <w:shd w:val="clear" w:color="auto" w:fill="auto"/>
            <w:vAlign w:val="center"/>
          </w:tcPr>
          <w:p>
            <w:pPr>
              <w:jc w:val="center"/>
              <w:rPr>
                <w:b/>
                <w:bCs w:val="0"/>
                <w:color w:val="auto"/>
                <w:u w:val="single"/>
              </w:rPr>
            </w:pPr>
            <w:r>
              <w:rPr>
                <w:b/>
                <w:bCs w:val="0"/>
                <w:color w:val="auto"/>
                <w:spacing w:val="-12"/>
                <w:u w:val="single"/>
              </w:rPr>
              <w:t>5</w:t>
            </w:r>
            <w:r>
              <w:rPr>
                <w:b/>
                <w:bCs w:val="0"/>
                <w:color w:val="auto"/>
                <w:spacing w:val="-8"/>
                <w:u w:val="single"/>
              </w:rPr>
              <w:t>.0 元/吨</w:t>
            </w:r>
          </w:p>
        </w:tc>
        <w:tc>
          <w:tcPr>
            <w:tcW w:w="2910" w:type="dxa"/>
            <w:shd w:val="clear" w:color="auto" w:fill="auto"/>
            <w:vAlign w:val="center"/>
          </w:tcPr>
          <w:p>
            <w:pPr>
              <w:jc w:val="center"/>
              <w:rPr>
                <w:b/>
                <w:bCs w:val="0"/>
                <w:color w:val="auto"/>
                <w:u w:val="single"/>
              </w:rPr>
            </w:pPr>
          </w:p>
        </w:tc>
      </w:tr>
    </w:tbl>
    <w:p>
      <w:pPr>
        <w:pStyle w:val="6"/>
        <w:spacing w:before="0" w:after="0" w:line="360" w:lineRule="auto"/>
        <w:rPr>
          <w:b/>
          <w:bCs w:val="0"/>
          <w:color w:val="auto"/>
          <w:sz w:val="24"/>
          <w:szCs w:val="24"/>
          <w:u w:val="single"/>
        </w:rPr>
      </w:pPr>
      <w:bookmarkStart w:id="393" w:name="_Toc123134881"/>
      <w:bookmarkStart w:id="394" w:name="_Toc123134936"/>
      <w:r>
        <w:rPr>
          <w:b/>
          <w:bCs w:val="0"/>
          <w:color w:val="auto"/>
          <w:sz w:val="24"/>
          <w:szCs w:val="24"/>
          <w:u w:val="single"/>
        </w:rPr>
        <w:t>7.2</w:t>
      </w:r>
      <w:r>
        <w:rPr>
          <w:rFonts w:hint="eastAsia"/>
          <w:b/>
          <w:bCs w:val="0"/>
          <w:color w:val="auto"/>
          <w:sz w:val="24"/>
          <w:szCs w:val="24"/>
          <w:u w:val="single"/>
        </w:rPr>
        <w:t>.6.2</w:t>
      </w:r>
      <w:r>
        <w:rPr>
          <w:b/>
          <w:bCs w:val="0"/>
          <w:color w:val="auto"/>
          <w:sz w:val="24"/>
          <w:szCs w:val="24"/>
          <w:u w:val="single"/>
        </w:rPr>
        <w:t xml:space="preserve"> 电费</w:t>
      </w:r>
      <w:bookmarkEnd w:id="393"/>
      <w:bookmarkEnd w:id="394"/>
    </w:p>
    <w:p>
      <w:pPr>
        <w:pStyle w:val="32"/>
        <w:adjustRightInd w:val="0"/>
        <w:snapToGrid w:val="0"/>
        <w:spacing w:after="0" w:line="360" w:lineRule="auto"/>
        <w:ind w:firstLine="482" w:firstLineChars="200"/>
        <w:rPr>
          <w:b/>
          <w:bCs w:val="0"/>
          <w:color w:val="auto"/>
          <w:kern w:val="21"/>
          <w:sz w:val="24"/>
          <w:u w:val="single"/>
          <w:lang w:val="en-US"/>
        </w:rPr>
      </w:pPr>
      <w:r>
        <w:rPr>
          <w:b/>
          <w:bCs w:val="0"/>
          <w:color w:val="auto"/>
          <w:kern w:val="21"/>
          <w:sz w:val="24"/>
          <w:u w:val="single"/>
          <w:lang w:val="en-US"/>
        </w:rPr>
        <w:t>本项目装机功率约380kw</w:t>
      </w:r>
      <w:r>
        <w:rPr>
          <w:rFonts w:hint="eastAsia"/>
          <w:b/>
          <w:bCs w:val="0"/>
          <w:color w:val="auto"/>
          <w:kern w:val="21"/>
          <w:sz w:val="24"/>
          <w:u w:val="single"/>
          <w:lang w:val="en-US" w:eastAsia="zh-CN"/>
        </w:rPr>
        <w:t>（</w:t>
      </w:r>
      <w:r>
        <w:rPr>
          <w:b/>
          <w:bCs w:val="0"/>
          <w:color w:val="auto"/>
          <w:kern w:val="21"/>
          <w:sz w:val="24"/>
          <w:u w:val="single"/>
          <w:lang w:val="en-US"/>
        </w:rPr>
        <w:t>不含蒸发器</w:t>
      </w:r>
      <w:r>
        <w:rPr>
          <w:rFonts w:hint="eastAsia"/>
          <w:b/>
          <w:bCs w:val="0"/>
          <w:color w:val="auto"/>
          <w:kern w:val="21"/>
          <w:sz w:val="24"/>
          <w:u w:val="single"/>
          <w:lang w:val="en-US" w:eastAsia="zh-CN"/>
        </w:rPr>
        <w:t>）</w:t>
      </w:r>
      <w:r>
        <w:rPr>
          <w:b/>
          <w:bCs w:val="0"/>
          <w:color w:val="auto"/>
          <w:kern w:val="21"/>
          <w:sz w:val="24"/>
          <w:u w:val="single"/>
          <w:lang w:val="en-US"/>
        </w:rPr>
        <w:t xml:space="preserve"> ，常用功率约 340kw，则每小时耗电量约340kwx0.8元/度=272 元，日电费为 272x2</w:t>
      </w:r>
      <w:r>
        <w:rPr>
          <w:rFonts w:hint="eastAsia"/>
          <w:b/>
          <w:bCs w:val="0"/>
          <w:color w:val="auto"/>
          <w:kern w:val="21"/>
          <w:sz w:val="24"/>
          <w:u w:val="single"/>
          <w:lang w:val="en-US"/>
        </w:rPr>
        <w:t>4</w:t>
      </w:r>
      <w:r>
        <w:rPr>
          <w:b/>
          <w:bCs w:val="0"/>
          <w:color w:val="auto"/>
          <w:kern w:val="21"/>
          <w:sz w:val="24"/>
          <w:u w:val="single"/>
          <w:lang w:val="en-US"/>
        </w:rPr>
        <w:t>=</w:t>
      </w:r>
      <w:r>
        <w:rPr>
          <w:rFonts w:hint="eastAsia"/>
          <w:b/>
          <w:bCs w:val="0"/>
          <w:color w:val="auto"/>
          <w:kern w:val="21"/>
          <w:sz w:val="24"/>
          <w:u w:val="single"/>
          <w:lang w:val="en-US"/>
        </w:rPr>
        <w:t>6528</w:t>
      </w:r>
      <w:r>
        <w:rPr>
          <w:b/>
          <w:bCs w:val="0"/>
          <w:color w:val="auto"/>
          <w:kern w:val="21"/>
          <w:sz w:val="24"/>
          <w:u w:val="single"/>
          <w:lang w:val="en-US"/>
        </w:rPr>
        <w:t>元。则吨水耗电费约</w:t>
      </w:r>
      <w:r>
        <w:rPr>
          <w:rFonts w:hint="eastAsia"/>
          <w:b/>
          <w:bCs w:val="0"/>
          <w:color w:val="auto"/>
          <w:kern w:val="21"/>
          <w:sz w:val="24"/>
          <w:u w:val="single"/>
          <w:lang w:val="en-US"/>
        </w:rPr>
        <w:t>6528</w:t>
      </w:r>
      <w:r>
        <w:rPr>
          <w:b/>
          <w:bCs w:val="0"/>
          <w:color w:val="auto"/>
          <w:kern w:val="21"/>
          <w:sz w:val="24"/>
          <w:u w:val="single"/>
          <w:lang w:val="en-US"/>
        </w:rPr>
        <w:t>元/h÷400 吨/h=</w:t>
      </w:r>
      <w:r>
        <w:rPr>
          <w:rFonts w:hint="eastAsia"/>
          <w:b/>
          <w:bCs w:val="0"/>
          <w:color w:val="auto"/>
          <w:kern w:val="21"/>
          <w:sz w:val="24"/>
          <w:u w:val="single"/>
          <w:lang w:val="en-US"/>
        </w:rPr>
        <w:t>14.5</w:t>
      </w:r>
      <w:r>
        <w:rPr>
          <w:b/>
          <w:bCs w:val="0"/>
          <w:color w:val="auto"/>
          <w:kern w:val="21"/>
          <w:sz w:val="24"/>
          <w:u w:val="single"/>
          <w:lang w:val="en-US"/>
        </w:rPr>
        <w:t>元。</w:t>
      </w:r>
    </w:p>
    <w:p>
      <w:pPr>
        <w:pStyle w:val="6"/>
        <w:spacing w:before="0" w:after="0" w:line="360" w:lineRule="auto"/>
        <w:rPr>
          <w:b/>
          <w:bCs w:val="0"/>
          <w:color w:val="auto"/>
          <w:sz w:val="24"/>
          <w:szCs w:val="24"/>
          <w:u w:val="single"/>
        </w:rPr>
      </w:pPr>
      <w:bookmarkStart w:id="395" w:name="_Toc123134882"/>
      <w:bookmarkStart w:id="396" w:name="_Toc123134937"/>
      <w:r>
        <w:rPr>
          <w:b/>
          <w:bCs w:val="0"/>
          <w:color w:val="auto"/>
          <w:sz w:val="24"/>
          <w:szCs w:val="24"/>
          <w:u w:val="single"/>
        </w:rPr>
        <w:t>7.</w:t>
      </w:r>
      <w:r>
        <w:rPr>
          <w:rFonts w:hint="eastAsia"/>
          <w:b/>
          <w:bCs w:val="0"/>
          <w:color w:val="auto"/>
          <w:sz w:val="24"/>
          <w:szCs w:val="24"/>
          <w:u w:val="single"/>
        </w:rPr>
        <w:t>2.6.3</w:t>
      </w:r>
      <w:r>
        <w:rPr>
          <w:b/>
          <w:bCs w:val="0"/>
          <w:color w:val="auto"/>
          <w:sz w:val="24"/>
          <w:szCs w:val="24"/>
          <w:u w:val="single"/>
        </w:rPr>
        <w:t xml:space="preserve"> 药剂费</w:t>
      </w:r>
      <w:bookmarkEnd w:id="395"/>
      <w:bookmarkEnd w:id="396"/>
    </w:p>
    <w:p>
      <w:pPr>
        <w:pStyle w:val="32"/>
        <w:adjustRightInd w:val="0"/>
        <w:snapToGrid w:val="0"/>
        <w:spacing w:after="0" w:line="360" w:lineRule="auto"/>
        <w:ind w:firstLine="482" w:firstLineChars="200"/>
        <w:rPr>
          <w:b/>
          <w:bCs w:val="0"/>
          <w:color w:val="auto"/>
          <w:kern w:val="21"/>
          <w:sz w:val="24"/>
          <w:u w:val="single"/>
          <w:lang w:val="en-US"/>
        </w:rPr>
      </w:pPr>
      <w:r>
        <w:rPr>
          <w:b/>
          <w:bCs w:val="0"/>
          <w:color w:val="auto"/>
          <w:kern w:val="21"/>
          <w:sz w:val="24"/>
          <w:u w:val="single"/>
          <w:lang w:val="en-US"/>
        </w:rPr>
        <w:t>按同类废</w:t>
      </w:r>
      <w:r>
        <w:rPr>
          <w:rFonts w:hint="eastAsia"/>
          <w:b/>
          <w:bCs w:val="0"/>
          <w:color w:val="auto"/>
          <w:kern w:val="21"/>
          <w:sz w:val="24"/>
          <w:u w:val="single"/>
          <w:lang w:val="en-US"/>
        </w:rPr>
        <w:t>水</w:t>
      </w:r>
      <w:r>
        <w:rPr>
          <w:b/>
          <w:bCs w:val="0"/>
          <w:color w:val="auto"/>
          <w:kern w:val="21"/>
          <w:sz w:val="24"/>
          <w:u w:val="single"/>
          <w:lang w:val="en-US"/>
        </w:rPr>
        <w:t>处理费用，平均吨</w:t>
      </w:r>
      <w:r>
        <w:rPr>
          <w:rFonts w:hint="eastAsia"/>
          <w:b/>
          <w:bCs w:val="0"/>
          <w:color w:val="auto"/>
          <w:kern w:val="21"/>
          <w:sz w:val="24"/>
          <w:u w:val="single"/>
          <w:lang w:val="en-US"/>
        </w:rPr>
        <w:t>水</w:t>
      </w:r>
      <w:r>
        <w:rPr>
          <w:b/>
          <w:bCs w:val="0"/>
          <w:color w:val="auto"/>
          <w:kern w:val="21"/>
          <w:sz w:val="24"/>
          <w:u w:val="single"/>
          <w:lang w:val="en-US"/>
        </w:rPr>
        <w:t>处理费用约15元，</w:t>
      </w:r>
      <w:r>
        <w:rPr>
          <w:rFonts w:hint="eastAsia"/>
          <w:b/>
          <w:bCs w:val="0"/>
          <w:color w:val="auto"/>
          <w:kern w:val="21"/>
          <w:sz w:val="24"/>
          <w:u w:val="single"/>
          <w:lang w:val="en-US"/>
        </w:rPr>
        <w:t>日</w:t>
      </w:r>
      <w:r>
        <w:rPr>
          <w:b/>
          <w:bCs w:val="0"/>
          <w:color w:val="auto"/>
          <w:kern w:val="21"/>
          <w:sz w:val="24"/>
          <w:u w:val="single"/>
          <w:lang w:val="en-US"/>
        </w:rPr>
        <w:t>药剂费为15</w:t>
      </w:r>
      <w:r>
        <w:rPr>
          <w:rFonts w:hint="eastAsia"/>
          <w:b/>
          <w:bCs w:val="0"/>
          <w:color w:val="auto"/>
          <w:kern w:val="21"/>
          <w:sz w:val="24"/>
          <w:u w:val="single"/>
          <w:lang w:val="en-US"/>
        </w:rPr>
        <w:t>×</w:t>
      </w:r>
      <w:r>
        <w:rPr>
          <w:b/>
          <w:bCs w:val="0"/>
          <w:color w:val="auto"/>
          <w:kern w:val="21"/>
          <w:sz w:val="24"/>
          <w:u w:val="single"/>
          <w:lang w:val="en-US"/>
        </w:rPr>
        <w:t>4</w:t>
      </w:r>
      <w:r>
        <w:rPr>
          <w:rFonts w:hint="eastAsia"/>
          <w:b/>
          <w:bCs w:val="0"/>
          <w:color w:val="auto"/>
          <w:kern w:val="21"/>
          <w:sz w:val="24"/>
          <w:u w:val="single"/>
          <w:lang w:val="en-US"/>
        </w:rPr>
        <w:t>5</w:t>
      </w:r>
      <w:r>
        <w:rPr>
          <w:b/>
          <w:bCs w:val="0"/>
          <w:color w:val="auto"/>
          <w:kern w:val="21"/>
          <w:sz w:val="24"/>
          <w:u w:val="single"/>
          <w:lang w:val="en-US"/>
        </w:rPr>
        <w:t>0=</w:t>
      </w:r>
      <w:r>
        <w:rPr>
          <w:rFonts w:hint="eastAsia"/>
          <w:b/>
          <w:bCs w:val="0"/>
          <w:color w:val="auto"/>
          <w:kern w:val="21"/>
          <w:sz w:val="24"/>
          <w:u w:val="single"/>
          <w:lang w:val="en-US"/>
        </w:rPr>
        <w:t>6750</w:t>
      </w:r>
      <w:r>
        <w:rPr>
          <w:b/>
          <w:bCs w:val="0"/>
          <w:color w:val="auto"/>
          <w:kern w:val="21"/>
          <w:sz w:val="24"/>
          <w:u w:val="single"/>
          <w:lang w:val="en-US"/>
        </w:rPr>
        <w:t xml:space="preserve"> 元。</w:t>
      </w:r>
    </w:p>
    <w:p>
      <w:pPr>
        <w:pStyle w:val="6"/>
        <w:spacing w:before="0" w:after="0" w:line="360" w:lineRule="auto"/>
        <w:rPr>
          <w:b/>
          <w:bCs w:val="0"/>
          <w:color w:val="auto"/>
          <w:sz w:val="24"/>
          <w:szCs w:val="24"/>
          <w:u w:val="single"/>
        </w:rPr>
      </w:pPr>
      <w:bookmarkStart w:id="397" w:name="_Toc123134938"/>
      <w:bookmarkStart w:id="398" w:name="_Toc123134883"/>
      <w:r>
        <w:rPr>
          <w:b/>
          <w:bCs w:val="0"/>
          <w:color w:val="auto"/>
          <w:sz w:val="24"/>
          <w:szCs w:val="24"/>
          <w:u w:val="single"/>
        </w:rPr>
        <w:t>7.</w:t>
      </w:r>
      <w:r>
        <w:rPr>
          <w:rFonts w:hint="eastAsia"/>
          <w:b/>
          <w:bCs w:val="0"/>
          <w:color w:val="auto"/>
          <w:sz w:val="24"/>
          <w:szCs w:val="24"/>
          <w:u w:val="single"/>
        </w:rPr>
        <w:t xml:space="preserve">2.6.4 </w:t>
      </w:r>
      <w:r>
        <w:rPr>
          <w:b/>
          <w:bCs w:val="0"/>
          <w:color w:val="auto"/>
          <w:sz w:val="24"/>
          <w:szCs w:val="24"/>
          <w:u w:val="single"/>
        </w:rPr>
        <w:t>MVR蒸发费</w:t>
      </w:r>
      <w:bookmarkEnd w:id="397"/>
      <w:bookmarkEnd w:id="398"/>
      <w:r>
        <w:rPr>
          <w:b/>
          <w:bCs w:val="0"/>
          <w:color w:val="auto"/>
          <w:sz w:val="24"/>
          <w:szCs w:val="24"/>
          <w:u w:val="single"/>
        </w:rPr>
        <w:t>用</w:t>
      </w:r>
    </w:p>
    <w:p>
      <w:pPr>
        <w:spacing w:line="360" w:lineRule="auto"/>
        <w:ind w:left="43" w:right="59" w:firstLine="482" w:firstLineChars="200"/>
        <w:rPr>
          <w:b/>
          <w:bCs w:val="0"/>
          <w:color w:val="auto"/>
          <w:sz w:val="24"/>
          <w:szCs w:val="24"/>
          <w:u w:val="single"/>
        </w:rPr>
      </w:pPr>
      <w:r>
        <w:rPr>
          <w:b/>
          <w:bCs w:val="0"/>
          <w:color w:val="auto"/>
          <w:sz w:val="24"/>
          <w:szCs w:val="24"/>
          <w:u w:val="single"/>
        </w:rPr>
        <w:t>MVR系统总装机功率约</w:t>
      </w:r>
      <w:r>
        <w:rPr>
          <w:rFonts w:hint="eastAsia"/>
          <w:b/>
          <w:bCs w:val="0"/>
          <w:color w:val="auto"/>
          <w:sz w:val="24"/>
          <w:szCs w:val="24"/>
          <w:u w:val="single"/>
        </w:rPr>
        <w:t>120</w:t>
      </w:r>
      <w:r>
        <w:rPr>
          <w:b/>
          <w:bCs w:val="0"/>
          <w:color w:val="auto"/>
          <w:sz w:val="24"/>
          <w:szCs w:val="24"/>
          <w:u w:val="single"/>
        </w:rPr>
        <w:t>kw，正常运</w:t>
      </w:r>
      <w:r>
        <w:rPr>
          <w:rFonts w:hint="eastAsia"/>
          <w:b/>
          <w:bCs w:val="0"/>
          <w:color w:val="auto"/>
          <w:sz w:val="24"/>
          <w:szCs w:val="24"/>
          <w:u w:val="single"/>
        </w:rPr>
        <w:t>行</w:t>
      </w:r>
      <w:r>
        <w:rPr>
          <w:b/>
          <w:bCs w:val="0"/>
          <w:color w:val="auto"/>
          <w:sz w:val="24"/>
          <w:szCs w:val="24"/>
          <w:u w:val="single"/>
        </w:rPr>
        <w:t>功率约</w:t>
      </w:r>
      <w:r>
        <w:rPr>
          <w:rFonts w:hint="eastAsia"/>
          <w:b/>
          <w:bCs w:val="0"/>
          <w:color w:val="auto"/>
          <w:sz w:val="24"/>
          <w:szCs w:val="24"/>
          <w:u w:val="single"/>
        </w:rPr>
        <w:t>110</w:t>
      </w:r>
      <w:r>
        <w:rPr>
          <w:b/>
          <w:bCs w:val="0"/>
          <w:color w:val="auto"/>
          <w:sz w:val="24"/>
          <w:szCs w:val="24"/>
          <w:u w:val="single"/>
        </w:rPr>
        <w:t>kw，每日运</w:t>
      </w:r>
      <w:r>
        <w:rPr>
          <w:rFonts w:hint="eastAsia"/>
          <w:b/>
          <w:bCs w:val="0"/>
          <w:color w:val="auto"/>
          <w:sz w:val="24"/>
          <w:szCs w:val="24"/>
          <w:u w:val="single"/>
        </w:rPr>
        <w:t>行</w:t>
      </w:r>
      <w:r>
        <w:rPr>
          <w:b/>
          <w:bCs w:val="0"/>
          <w:color w:val="auto"/>
          <w:sz w:val="24"/>
          <w:szCs w:val="24"/>
          <w:u w:val="single"/>
        </w:rPr>
        <w:t>时间按2</w:t>
      </w:r>
      <w:r>
        <w:rPr>
          <w:rFonts w:hint="eastAsia"/>
          <w:b/>
          <w:bCs w:val="0"/>
          <w:color w:val="auto"/>
          <w:sz w:val="24"/>
          <w:szCs w:val="24"/>
          <w:u w:val="single"/>
        </w:rPr>
        <w:t>4</w:t>
      </w:r>
      <w:r>
        <w:rPr>
          <w:b/>
          <w:bCs w:val="0"/>
          <w:color w:val="auto"/>
          <w:sz w:val="24"/>
          <w:szCs w:val="24"/>
          <w:u w:val="single"/>
        </w:rPr>
        <w:t>h计算，则废水处理系统每日运</w:t>
      </w:r>
      <w:r>
        <w:rPr>
          <w:rFonts w:hint="eastAsia"/>
          <w:b/>
          <w:bCs w:val="0"/>
          <w:color w:val="auto"/>
          <w:sz w:val="24"/>
          <w:szCs w:val="24"/>
          <w:u w:val="single"/>
        </w:rPr>
        <w:t>行</w:t>
      </w:r>
      <w:r>
        <w:rPr>
          <w:b/>
          <w:bCs w:val="0"/>
          <w:color w:val="auto"/>
          <w:sz w:val="24"/>
          <w:szCs w:val="24"/>
          <w:u w:val="single"/>
        </w:rPr>
        <w:t xml:space="preserve">耗电费为 </w:t>
      </w:r>
      <w:r>
        <w:rPr>
          <w:rFonts w:hint="eastAsia"/>
          <w:b/>
          <w:bCs w:val="0"/>
          <w:color w:val="auto"/>
          <w:sz w:val="24"/>
          <w:szCs w:val="24"/>
          <w:u w:val="single"/>
        </w:rPr>
        <w:t>110</w:t>
      </w:r>
      <w:r>
        <w:rPr>
          <w:b/>
          <w:bCs w:val="0"/>
          <w:color w:val="auto"/>
          <w:sz w:val="24"/>
          <w:szCs w:val="24"/>
          <w:u w:val="single"/>
        </w:rPr>
        <w:t>kw</w:t>
      </w:r>
      <w:r>
        <w:rPr>
          <w:rFonts w:hint="eastAsia"/>
          <w:b/>
          <w:bCs w:val="0"/>
          <w:color w:val="auto"/>
          <w:sz w:val="24"/>
          <w:szCs w:val="24"/>
          <w:u w:val="single"/>
        </w:rPr>
        <w:t>×</w:t>
      </w:r>
      <w:r>
        <w:rPr>
          <w:b/>
          <w:bCs w:val="0"/>
          <w:color w:val="auto"/>
          <w:sz w:val="24"/>
          <w:szCs w:val="24"/>
          <w:u w:val="single"/>
        </w:rPr>
        <w:t>2</w:t>
      </w:r>
      <w:r>
        <w:rPr>
          <w:rFonts w:hint="eastAsia"/>
          <w:b/>
          <w:bCs w:val="0"/>
          <w:color w:val="auto"/>
          <w:sz w:val="24"/>
          <w:szCs w:val="24"/>
          <w:u w:val="single"/>
        </w:rPr>
        <w:t>4</w:t>
      </w:r>
      <w:r>
        <w:rPr>
          <w:b/>
          <w:bCs w:val="0"/>
          <w:color w:val="auto"/>
          <w:sz w:val="24"/>
          <w:szCs w:val="24"/>
          <w:u w:val="single"/>
        </w:rPr>
        <w:t>h</w:t>
      </w:r>
      <w:r>
        <w:rPr>
          <w:rFonts w:hint="eastAsia"/>
          <w:b/>
          <w:bCs w:val="0"/>
          <w:color w:val="auto"/>
          <w:sz w:val="24"/>
          <w:szCs w:val="24"/>
          <w:u w:val="single"/>
        </w:rPr>
        <w:t>×</w:t>
      </w:r>
      <w:r>
        <w:rPr>
          <w:b/>
          <w:bCs w:val="0"/>
          <w:color w:val="auto"/>
          <w:sz w:val="24"/>
          <w:szCs w:val="24"/>
          <w:u w:val="single"/>
        </w:rPr>
        <w:t>0.8 元/度=</w:t>
      </w:r>
      <w:r>
        <w:rPr>
          <w:rFonts w:hint="eastAsia"/>
          <w:b/>
          <w:bCs w:val="0"/>
          <w:color w:val="auto"/>
          <w:sz w:val="24"/>
          <w:szCs w:val="24"/>
          <w:u w:val="single"/>
        </w:rPr>
        <w:t>2112</w:t>
      </w:r>
      <w:r>
        <w:rPr>
          <w:b/>
          <w:bCs w:val="0"/>
          <w:color w:val="auto"/>
          <w:sz w:val="24"/>
          <w:szCs w:val="24"/>
          <w:u w:val="single"/>
        </w:rPr>
        <w:t>元。</w:t>
      </w:r>
    </w:p>
    <w:p>
      <w:pPr>
        <w:spacing w:line="360" w:lineRule="auto"/>
        <w:ind w:left="43" w:right="59" w:firstLine="482" w:firstLineChars="200"/>
        <w:rPr>
          <w:b/>
          <w:bCs w:val="0"/>
          <w:color w:val="auto"/>
          <w:sz w:val="24"/>
          <w:szCs w:val="24"/>
          <w:u w:val="single"/>
        </w:rPr>
      </w:pPr>
      <w:r>
        <w:rPr>
          <w:b/>
          <w:bCs w:val="0"/>
          <w:color w:val="auto"/>
          <w:sz w:val="24"/>
          <w:szCs w:val="24"/>
          <w:u w:val="single"/>
        </w:rPr>
        <w:t>MVR 蒸发</w:t>
      </w:r>
      <w:r>
        <w:rPr>
          <w:rFonts w:hint="eastAsia"/>
          <w:b/>
          <w:bCs w:val="0"/>
          <w:color w:val="auto"/>
          <w:sz w:val="24"/>
          <w:szCs w:val="24"/>
          <w:u w:val="single"/>
        </w:rPr>
        <w:t>一</w:t>
      </w:r>
      <w:r>
        <w:rPr>
          <w:b/>
          <w:bCs w:val="0"/>
          <w:color w:val="auto"/>
          <w:sz w:val="24"/>
          <w:szCs w:val="24"/>
          <w:u w:val="single"/>
        </w:rPr>
        <w:t>吨水约消耗</w:t>
      </w:r>
      <w:r>
        <w:rPr>
          <w:rFonts w:hint="eastAsia"/>
          <w:b/>
          <w:bCs w:val="0"/>
          <w:color w:val="auto"/>
          <w:sz w:val="24"/>
          <w:szCs w:val="24"/>
          <w:u w:val="single"/>
        </w:rPr>
        <w:t>200</w:t>
      </w:r>
      <w:r>
        <w:rPr>
          <w:b/>
          <w:bCs w:val="0"/>
          <w:color w:val="auto"/>
          <w:sz w:val="24"/>
          <w:szCs w:val="24"/>
          <w:u w:val="single"/>
        </w:rPr>
        <w:t>kg 蒸汽，预热需消耗蒸汽500kg，1吨蒸汽以 240元计，则预热1次消耗蒸汽0.5</w:t>
      </w:r>
      <w:r>
        <w:rPr>
          <w:rFonts w:hint="eastAsia"/>
          <w:b/>
          <w:bCs w:val="0"/>
          <w:color w:val="auto"/>
          <w:sz w:val="24"/>
          <w:szCs w:val="24"/>
          <w:u w:val="single"/>
        </w:rPr>
        <w:t>×</w:t>
      </w:r>
      <w:r>
        <w:rPr>
          <w:b/>
          <w:bCs w:val="0"/>
          <w:color w:val="auto"/>
          <w:sz w:val="24"/>
          <w:szCs w:val="24"/>
          <w:u w:val="single"/>
        </w:rPr>
        <w:t>240=120 元，每天蒸汽消耗量为 0.</w:t>
      </w:r>
      <w:r>
        <w:rPr>
          <w:rFonts w:hint="eastAsia"/>
          <w:b/>
          <w:bCs w:val="0"/>
          <w:color w:val="auto"/>
          <w:sz w:val="24"/>
          <w:szCs w:val="24"/>
          <w:u w:val="single"/>
        </w:rPr>
        <w:t>2×36×</w:t>
      </w:r>
      <w:r>
        <w:rPr>
          <w:b/>
          <w:bCs w:val="0"/>
          <w:color w:val="auto"/>
          <w:sz w:val="24"/>
          <w:szCs w:val="24"/>
          <w:u w:val="single"/>
        </w:rPr>
        <w:t>240=</w:t>
      </w:r>
      <w:r>
        <w:rPr>
          <w:rFonts w:hint="eastAsia"/>
          <w:b/>
          <w:bCs w:val="0"/>
          <w:color w:val="auto"/>
          <w:sz w:val="24"/>
          <w:szCs w:val="24"/>
          <w:u w:val="single"/>
        </w:rPr>
        <w:t>1728</w:t>
      </w:r>
      <w:r>
        <w:rPr>
          <w:b/>
          <w:bCs w:val="0"/>
          <w:color w:val="auto"/>
          <w:sz w:val="24"/>
          <w:szCs w:val="24"/>
          <w:u w:val="single"/>
        </w:rPr>
        <w:t>元。则吨水运行费用：</w:t>
      </w:r>
      <w:r>
        <w:rPr>
          <w:rFonts w:hint="eastAsia"/>
          <w:b/>
          <w:bCs w:val="0"/>
          <w:color w:val="auto"/>
          <w:sz w:val="24"/>
          <w:szCs w:val="24"/>
          <w:u w:val="single"/>
        </w:rPr>
        <w:t>8.8</w:t>
      </w:r>
      <w:r>
        <w:rPr>
          <w:b/>
          <w:bCs w:val="0"/>
          <w:color w:val="auto"/>
          <w:sz w:val="24"/>
          <w:szCs w:val="24"/>
          <w:u w:val="single"/>
        </w:rPr>
        <w:t>元</w:t>
      </w:r>
      <w:r>
        <w:rPr>
          <w:rFonts w:hint="eastAsia"/>
          <w:b/>
          <w:bCs w:val="0"/>
          <w:color w:val="auto"/>
          <w:sz w:val="24"/>
          <w:szCs w:val="24"/>
          <w:u w:val="single"/>
        </w:rPr>
        <w:t>。</w:t>
      </w:r>
    </w:p>
    <w:p>
      <w:pPr>
        <w:pStyle w:val="6"/>
        <w:spacing w:before="0" w:after="0" w:line="360" w:lineRule="auto"/>
        <w:rPr>
          <w:b/>
          <w:bCs w:val="0"/>
          <w:color w:val="auto"/>
          <w:sz w:val="24"/>
          <w:szCs w:val="24"/>
          <w:u w:val="single"/>
        </w:rPr>
      </w:pPr>
      <w:bookmarkStart w:id="399" w:name="_Toc123134884"/>
      <w:bookmarkStart w:id="400" w:name="_Toc123134939"/>
      <w:r>
        <w:rPr>
          <w:rFonts w:hint="eastAsia"/>
          <w:b/>
          <w:bCs w:val="0"/>
          <w:color w:val="auto"/>
          <w:sz w:val="24"/>
          <w:szCs w:val="24"/>
          <w:u w:val="single"/>
        </w:rPr>
        <w:t>7.2.6.5 膜更换费</w:t>
      </w:r>
      <w:bookmarkEnd w:id="399"/>
      <w:bookmarkEnd w:id="400"/>
      <w:r>
        <w:rPr>
          <w:rFonts w:hint="eastAsia"/>
          <w:b/>
          <w:bCs w:val="0"/>
          <w:color w:val="auto"/>
          <w:sz w:val="24"/>
          <w:szCs w:val="24"/>
          <w:u w:val="single"/>
        </w:rPr>
        <w:t>用</w:t>
      </w:r>
    </w:p>
    <w:p>
      <w:pPr>
        <w:adjustRightInd w:val="0"/>
        <w:snapToGrid w:val="0"/>
        <w:spacing w:line="360" w:lineRule="auto"/>
        <w:ind w:firstLine="482" w:firstLineChars="200"/>
        <w:rPr>
          <w:b/>
          <w:bCs w:val="0"/>
          <w:color w:val="auto"/>
          <w:kern w:val="21"/>
          <w:sz w:val="24"/>
          <w:szCs w:val="24"/>
          <w:u w:val="single"/>
        </w:rPr>
      </w:pPr>
      <w:r>
        <w:rPr>
          <w:b/>
          <w:bCs w:val="0"/>
          <w:color w:val="auto"/>
          <w:kern w:val="21"/>
          <w:sz w:val="24"/>
          <w:szCs w:val="24"/>
          <w:u w:val="single"/>
        </w:rPr>
        <w:t>膜使</w:t>
      </w:r>
      <w:r>
        <w:rPr>
          <w:rFonts w:hint="eastAsia"/>
          <w:b/>
          <w:bCs w:val="0"/>
          <w:color w:val="auto"/>
          <w:kern w:val="21"/>
          <w:sz w:val="24"/>
          <w:szCs w:val="24"/>
          <w:u w:val="single"/>
        </w:rPr>
        <w:t>用</w:t>
      </w:r>
      <w:r>
        <w:rPr>
          <w:b/>
          <w:bCs w:val="0"/>
          <w:color w:val="auto"/>
          <w:kern w:val="21"/>
          <w:sz w:val="24"/>
          <w:szCs w:val="24"/>
          <w:u w:val="single"/>
        </w:rPr>
        <w:t>寿命约</w:t>
      </w:r>
      <w:r>
        <w:rPr>
          <w:rFonts w:hint="eastAsia"/>
          <w:b/>
          <w:bCs w:val="0"/>
          <w:color w:val="auto"/>
          <w:kern w:val="21"/>
          <w:sz w:val="24"/>
          <w:szCs w:val="24"/>
          <w:u w:val="single"/>
        </w:rPr>
        <w:t>3</w:t>
      </w:r>
      <w:r>
        <w:rPr>
          <w:b/>
          <w:bCs w:val="0"/>
          <w:color w:val="auto"/>
          <w:kern w:val="21"/>
          <w:sz w:val="24"/>
          <w:szCs w:val="24"/>
          <w:u w:val="single"/>
        </w:rPr>
        <w:t>年，每次更换费用约</w:t>
      </w:r>
      <w:r>
        <w:rPr>
          <w:rFonts w:hint="eastAsia"/>
          <w:b/>
          <w:bCs w:val="0"/>
          <w:color w:val="auto"/>
          <w:kern w:val="21"/>
          <w:sz w:val="24"/>
          <w:szCs w:val="24"/>
          <w:u w:val="single"/>
        </w:rPr>
        <w:t>75</w:t>
      </w:r>
      <w:r>
        <w:rPr>
          <w:b/>
          <w:bCs w:val="0"/>
          <w:color w:val="auto"/>
          <w:kern w:val="21"/>
          <w:sz w:val="24"/>
          <w:szCs w:val="24"/>
          <w:u w:val="single"/>
        </w:rPr>
        <w:t>万元，则每</w:t>
      </w:r>
      <w:r>
        <w:rPr>
          <w:rFonts w:hint="eastAsia"/>
          <w:b/>
          <w:bCs w:val="0"/>
          <w:color w:val="auto"/>
          <w:kern w:val="21"/>
          <w:sz w:val="24"/>
          <w:szCs w:val="24"/>
          <w:u w:val="single"/>
        </w:rPr>
        <w:t>日</w:t>
      </w:r>
      <w:r>
        <w:rPr>
          <w:b/>
          <w:bCs w:val="0"/>
          <w:color w:val="auto"/>
          <w:kern w:val="21"/>
          <w:sz w:val="24"/>
          <w:szCs w:val="24"/>
          <w:u w:val="single"/>
        </w:rPr>
        <w:t>更换费用约</w:t>
      </w:r>
      <w:r>
        <w:rPr>
          <w:rFonts w:hint="eastAsia"/>
          <w:b/>
          <w:bCs w:val="0"/>
          <w:color w:val="auto"/>
          <w:kern w:val="21"/>
          <w:sz w:val="24"/>
          <w:szCs w:val="24"/>
          <w:u w:val="single"/>
        </w:rPr>
        <w:t>757.6</w:t>
      </w:r>
      <w:r>
        <w:rPr>
          <w:b/>
          <w:bCs w:val="0"/>
          <w:color w:val="auto"/>
          <w:kern w:val="21"/>
          <w:sz w:val="24"/>
          <w:szCs w:val="24"/>
          <w:u w:val="single"/>
        </w:rPr>
        <w:t>元。吨</w:t>
      </w:r>
      <w:r>
        <w:rPr>
          <w:rFonts w:hint="eastAsia"/>
          <w:b/>
          <w:bCs w:val="0"/>
          <w:color w:val="auto"/>
          <w:kern w:val="21"/>
          <w:sz w:val="24"/>
          <w:szCs w:val="24"/>
          <w:u w:val="single"/>
        </w:rPr>
        <w:t>水</w:t>
      </w:r>
      <w:r>
        <w:rPr>
          <w:b/>
          <w:bCs w:val="0"/>
          <w:color w:val="auto"/>
          <w:kern w:val="21"/>
          <w:sz w:val="24"/>
          <w:szCs w:val="24"/>
          <w:u w:val="single"/>
        </w:rPr>
        <w:t>更换费用</w:t>
      </w:r>
      <w:r>
        <w:rPr>
          <w:rFonts w:hint="eastAsia"/>
          <w:b/>
          <w:bCs w:val="0"/>
          <w:color w:val="auto"/>
          <w:kern w:val="21"/>
          <w:sz w:val="24"/>
          <w:szCs w:val="24"/>
          <w:u w:val="single"/>
        </w:rPr>
        <w:t>约1.68</w:t>
      </w:r>
      <w:r>
        <w:rPr>
          <w:b/>
          <w:bCs w:val="0"/>
          <w:color w:val="auto"/>
          <w:kern w:val="21"/>
          <w:sz w:val="24"/>
          <w:szCs w:val="24"/>
          <w:u w:val="single"/>
        </w:rPr>
        <w:t>元。</w:t>
      </w:r>
    </w:p>
    <w:p>
      <w:pPr>
        <w:pStyle w:val="6"/>
        <w:spacing w:before="0" w:after="0" w:line="360" w:lineRule="auto"/>
        <w:rPr>
          <w:b/>
          <w:bCs w:val="0"/>
          <w:color w:val="auto"/>
          <w:sz w:val="24"/>
          <w:szCs w:val="24"/>
          <w:u w:val="single"/>
        </w:rPr>
      </w:pPr>
      <w:bookmarkStart w:id="401" w:name="_Toc123134940"/>
      <w:bookmarkStart w:id="402" w:name="_Toc123134885"/>
      <w:r>
        <w:rPr>
          <w:rFonts w:hint="eastAsia"/>
          <w:b/>
          <w:bCs w:val="0"/>
          <w:color w:val="auto"/>
          <w:sz w:val="24"/>
          <w:szCs w:val="24"/>
          <w:u w:val="single"/>
        </w:rPr>
        <w:t>7.2.6.6人工费</w:t>
      </w:r>
      <w:bookmarkEnd w:id="401"/>
      <w:bookmarkEnd w:id="402"/>
    </w:p>
    <w:p>
      <w:pPr>
        <w:adjustRightInd w:val="0"/>
        <w:snapToGrid w:val="0"/>
        <w:spacing w:line="360" w:lineRule="auto"/>
        <w:ind w:firstLine="482" w:firstLineChars="200"/>
        <w:rPr>
          <w:b/>
          <w:bCs w:val="0"/>
          <w:color w:val="auto"/>
          <w:kern w:val="21"/>
          <w:sz w:val="24"/>
          <w:szCs w:val="24"/>
          <w:u w:val="single"/>
        </w:rPr>
      </w:pPr>
      <w:r>
        <w:rPr>
          <w:b/>
          <w:bCs w:val="0"/>
          <w:color w:val="auto"/>
          <w:kern w:val="21"/>
          <w:sz w:val="24"/>
          <w:szCs w:val="24"/>
          <w:u w:val="single"/>
        </w:rPr>
        <w:t>污</w:t>
      </w:r>
      <w:r>
        <w:rPr>
          <w:rFonts w:hint="eastAsia"/>
          <w:b/>
          <w:bCs w:val="0"/>
          <w:color w:val="auto"/>
          <w:kern w:val="21"/>
          <w:sz w:val="24"/>
          <w:szCs w:val="24"/>
          <w:u w:val="single"/>
        </w:rPr>
        <w:t>水</w:t>
      </w:r>
      <w:r>
        <w:rPr>
          <w:b/>
          <w:bCs w:val="0"/>
          <w:color w:val="auto"/>
          <w:kern w:val="21"/>
          <w:sz w:val="24"/>
          <w:szCs w:val="24"/>
          <w:u w:val="single"/>
        </w:rPr>
        <w:t>站配置5人，</w:t>
      </w:r>
      <w:r>
        <w:rPr>
          <w:rFonts w:hint="eastAsia"/>
          <w:b/>
          <w:bCs w:val="0"/>
          <w:color w:val="auto"/>
          <w:kern w:val="21"/>
          <w:sz w:val="24"/>
          <w:szCs w:val="24"/>
          <w:u w:val="single"/>
        </w:rPr>
        <w:t>平</w:t>
      </w:r>
      <w:r>
        <w:rPr>
          <w:b/>
          <w:bCs w:val="0"/>
          <w:color w:val="auto"/>
          <w:kern w:val="21"/>
          <w:sz w:val="24"/>
          <w:szCs w:val="24"/>
          <w:u w:val="single"/>
        </w:rPr>
        <w:t>均</w:t>
      </w:r>
      <w:r>
        <w:rPr>
          <w:rFonts w:hint="eastAsia"/>
          <w:b/>
          <w:bCs w:val="0"/>
          <w:color w:val="auto"/>
          <w:kern w:val="21"/>
          <w:sz w:val="24"/>
          <w:szCs w:val="24"/>
          <w:u w:val="single"/>
        </w:rPr>
        <w:t>每人工</w:t>
      </w:r>
      <w:r>
        <w:rPr>
          <w:b/>
          <w:bCs w:val="0"/>
          <w:color w:val="auto"/>
          <w:kern w:val="21"/>
          <w:sz w:val="24"/>
          <w:szCs w:val="24"/>
          <w:u w:val="single"/>
        </w:rPr>
        <w:t>资为4500元/</w:t>
      </w:r>
      <w:r>
        <w:rPr>
          <w:rFonts w:hint="eastAsia"/>
          <w:b/>
          <w:bCs w:val="0"/>
          <w:color w:val="auto"/>
          <w:kern w:val="21"/>
          <w:sz w:val="24"/>
          <w:szCs w:val="24"/>
          <w:u w:val="single"/>
        </w:rPr>
        <w:t>月</w:t>
      </w:r>
      <w:r>
        <w:rPr>
          <w:b/>
          <w:bCs w:val="0"/>
          <w:color w:val="auto"/>
          <w:kern w:val="21"/>
          <w:sz w:val="24"/>
          <w:szCs w:val="24"/>
          <w:u w:val="single"/>
        </w:rPr>
        <w:t>，则</w:t>
      </w:r>
      <w:r>
        <w:rPr>
          <w:rFonts w:hint="eastAsia"/>
          <w:b/>
          <w:bCs w:val="0"/>
          <w:color w:val="auto"/>
          <w:kern w:val="21"/>
          <w:sz w:val="24"/>
          <w:szCs w:val="24"/>
          <w:u w:val="single"/>
        </w:rPr>
        <w:t>日人工费用为</w:t>
      </w:r>
      <w:r>
        <w:rPr>
          <w:b/>
          <w:bCs w:val="0"/>
          <w:color w:val="auto"/>
          <w:kern w:val="21"/>
          <w:sz w:val="24"/>
          <w:szCs w:val="24"/>
          <w:u w:val="single"/>
        </w:rPr>
        <w:t>750元，吨</w:t>
      </w:r>
      <w:r>
        <w:rPr>
          <w:rFonts w:hint="eastAsia"/>
          <w:b/>
          <w:bCs w:val="0"/>
          <w:color w:val="auto"/>
          <w:kern w:val="21"/>
          <w:sz w:val="24"/>
          <w:szCs w:val="24"/>
          <w:u w:val="single"/>
        </w:rPr>
        <w:t>水人工费用</w:t>
      </w:r>
      <w:r>
        <w:rPr>
          <w:b/>
          <w:bCs w:val="0"/>
          <w:color w:val="auto"/>
          <w:kern w:val="21"/>
          <w:sz w:val="24"/>
          <w:szCs w:val="24"/>
          <w:u w:val="single"/>
        </w:rPr>
        <w:t>约1.</w:t>
      </w:r>
      <w:r>
        <w:rPr>
          <w:rFonts w:hint="eastAsia"/>
          <w:b/>
          <w:bCs w:val="0"/>
          <w:color w:val="auto"/>
          <w:kern w:val="21"/>
          <w:sz w:val="24"/>
          <w:szCs w:val="24"/>
          <w:u w:val="single"/>
        </w:rPr>
        <w:t>67</w:t>
      </w:r>
      <w:r>
        <w:rPr>
          <w:b/>
          <w:bCs w:val="0"/>
          <w:color w:val="auto"/>
          <w:kern w:val="21"/>
          <w:sz w:val="24"/>
          <w:szCs w:val="24"/>
          <w:u w:val="single"/>
        </w:rPr>
        <w:t>元。</w:t>
      </w:r>
    </w:p>
    <w:p>
      <w:pPr>
        <w:pStyle w:val="6"/>
        <w:spacing w:before="0" w:after="0" w:line="360" w:lineRule="auto"/>
        <w:rPr>
          <w:b/>
          <w:bCs w:val="0"/>
          <w:color w:val="auto"/>
          <w:sz w:val="24"/>
          <w:szCs w:val="24"/>
          <w:u w:val="single"/>
        </w:rPr>
      </w:pPr>
      <w:bookmarkStart w:id="403" w:name="_Toc123134941"/>
      <w:bookmarkStart w:id="404" w:name="_Toc123134886"/>
      <w:r>
        <w:rPr>
          <w:rFonts w:hint="eastAsia"/>
          <w:b/>
          <w:bCs w:val="0"/>
          <w:color w:val="auto"/>
          <w:sz w:val="24"/>
          <w:szCs w:val="24"/>
          <w:u w:val="single"/>
        </w:rPr>
        <w:t>7.2.6.7</w:t>
      </w:r>
      <w:r>
        <w:rPr>
          <w:b/>
          <w:bCs w:val="0"/>
          <w:color w:val="auto"/>
          <w:sz w:val="24"/>
          <w:szCs w:val="24"/>
          <w:u w:val="single"/>
        </w:rPr>
        <w:t xml:space="preserve"> </w:t>
      </w:r>
      <w:r>
        <w:rPr>
          <w:rFonts w:hint="eastAsia"/>
          <w:b/>
          <w:bCs w:val="0"/>
          <w:color w:val="auto"/>
          <w:sz w:val="24"/>
          <w:szCs w:val="24"/>
          <w:u w:val="single"/>
        </w:rPr>
        <w:t>日总运行费用</w:t>
      </w:r>
      <w:bookmarkEnd w:id="403"/>
      <w:bookmarkEnd w:id="404"/>
    </w:p>
    <w:p>
      <w:pPr>
        <w:adjustRightInd w:val="0"/>
        <w:snapToGrid w:val="0"/>
        <w:spacing w:line="360" w:lineRule="auto"/>
        <w:ind w:firstLine="482" w:firstLineChars="200"/>
        <w:rPr>
          <w:color w:val="auto"/>
          <w:kern w:val="21"/>
          <w:sz w:val="24"/>
          <w:szCs w:val="24"/>
        </w:rPr>
      </w:pPr>
      <w:r>
        <w:rPr>
          <w:rFonts w:hint="eastAsia"/>
          <w:b/>
          <w:bCs w:val="0"/>
          <w:color w:val="auto"/>
          <w:kern w:val="21"/>
          <w:sz w:val="24"/>
          <w:szCs w:val="24"/>
          <w:u w:val="single"/>
        </w:rPr>
        <w:t>日总运行费用：6528</w:t>
      </w:r>
      <w:r>
        <w:rPr>
          <w:b/>
          <w:bCs w:val="0"/>
          <w:color w:val="auto"/>
          <w:kern w:val="21"/>
          <w:sz w:val="24"/>
          <w:szCs w:val="24"/>
          <w:u w:val="single"/>
        </w:rPr>
        <w:t>+</w:t>
      </w:r>
      <w:r>
        <w:rPr>
          <w:rFonts w:hint="eastAsia"/>
          <w:b/>
          <w:bCs w:val="0"/>
          <w:color w:val="auto"/>
          <w:kern w:val="21"/>
          <w:sz w:val="24"/>
          <w:szCs w:val="24"/>
          <w:u w:val="single"/>
        </w:rPr>
        <w:t>675</w:t>
      </w:r>
      <w:r>
        <w:rPr>
          <w:b/>
          <w:bCs w:val="0"/>
          <w:color w:val="auto"/>
          <w:kern w:val="21"/>
          <w:sz w:val="24"/>
          <w:szCs w:val="24"/>
          <w:u w:val="single"/>
        </w:rPr>
        <w:t>0+</w:t>
      </w:r>
      <w:r>
        <w:rPr>
          <w:rFonts w:hint="eastAsia"/>
          <w:b/>
          <w:bCs w:val="0"/>
          <w:color w:val="auto"/>
          <w:kern w:val="21"/>
          <w:sz w:val="24"/>
          <w:szCs w:val="24"/>
          <w:u w:val="single"/>
        </w:rPr>
        <w:t>3960</w:t>
      </w:r>
      <w:r>
        <w:rPr>
          <w:b/>
          <w:bCs w:val="0"/>
          <w:color w:val="auto"/>
          <w:kern w:val="21"/>
          <w:sz w:val="24"/>
          <w:szCs w:val="24"/>
          <w:u w:val="single"/>
        </w:rPr>
        <w:t>+</w:t>
      </w:r>
      <w:r>
        <w:rPr>
          <w:rFonts w:hint="eastAsia"/>
          <w:b/>
          <w:bCs w:val="0"/>
          <w:color w:val="auto"/>
          <w:kern w:val="21"/>
          <w:sz w:val="24"/>
          <w:szCs w:val="24"/>
          <w:u w:val="single"/>
        </w:rPr>
        <w:t>757.6</w:t>
      </w:r>
      <w:r>
        <w:rPr>
          <w:b/>
          <w:bCs w:val="0"/>
          <w:color w:val="auto"/>
          <w:kern w:val="21"/>
          <w:sz w:val="24"/>
          <w:szCs w:val="24"/>
          <w:u w:val="single"/>
        </w:rPr>
        <w:t>+750=</w:t>
      </w:r>
      <w:r>
        <w:rPr>
          <w:rFonts w:hint="eastAsia"/>
          <w:b/>
          <w:bCs w:val="0"/>
          <w:color w:val="auto"/>
          <w:kern w:val="21"/>
          <w:sz w:val="24"/>
          <w:szCs w:val="24"/>
          <w:u w:val="single"/>
        </w:rPr>
        <w:t>18745.6</w:t>
      </w:r>
      <w:r>
        <w:rPr>
          <w:b/>
          <w:bCs w:val="0"/>
          <w:color w:val="auto"/>
          <w:kern w:val="21"/>
          <w:sz w:val="24"/>
          <w:szCs w:val="24"/>
          <w:u w:val="single"/>
        </w:rPr>
        <w:t>元。</w:t>
      </w:r>
      <w:r>
        <w:rPr>
          <w:rFonts w:hint="eastAsia"/>
          <w:b/>
          <w:bCs w:val="0"/>
          <w:color w:val="auto"/>
          <w:kern w:val="21"/>
          <w:sz w:val="24"/>
          <w:szCs w:val="24"/>
          <w:u w:val="single"/>
          <w:lang w:eastAsia="zh-CN"/>
        </w:rPr>
        <w:t>（</w:t>
      </w:r>
      <w:r>
        <w:rPr>
          <w:b/>
          <w:bCs w:val="0"/>
          <w:color w:val="auto"/>
          <w:kern w:val="21"/>
          <w:sz w:val="24"/>
          <w:szCs w:val="24"/>
          <w:u w:val="single"/>
        </w:rPr>
        <w:t>不含污泥处理费</w:t>
      </w:r>
      <w:r>
        <w:rPr>
          <w:rFonts w:hint="eastAsia"/>
          <w:b/>
          <w:bCs w:val="0"/>
          <w:color w:val="auto"/>
          <w:kern w:val="21"/>
          <w:sz w:val="24"/>
          <w:szCs w:val="24"/>
          <w:u w:val="single"/>
          <w:lang w:eastAsia="zh-CN"/>
        </w:rPr>
        <w:t>）</w:t>
      </w:r>
      <w:r>
        <w:rPr>
          <w:b/>
          <w:bCs w:val="0"/>
          <w:color w:val="auto"/>
          <w:kern w:val="21"/>
          <w:sz w:val="24"/>
          <w:szCs w:val="24"/>
          <w:u w:val="single"/>
        </w:rPr>
        <w:t xml:space="preserve"> 吨</w:t>
      </w:r>
      <w:r>
        <w:rPr>
          <w:rFonts w:hint="eastAsia"/>
          <w:b/>
          <w:bCs w:val="0"/>
          <w:color w:val="auto"/>
          <w:kern w:val="21"/>
          <w:sz w:val="24"/>
          <w:szCs w:val="24"/>
          <w:u w:val="single"/>
        </w:rPr>
        <w:t>水</w:t>
      </w:r>
      <w:r>
        <w:rPr>
          <w:b/>
          <w:bCs w:val="0"/>
          <w:color w:val="auto"/>
          <w:kern w:val="21"/>
          <w:sz w:val="24"/>
          <w:szCs w:val="24"/>
          <w:u w:val="single"/>
        </w:rPr>
        <w:t>运</w:t>
      </w:r>
      <w:r>
        <w:rPr>
          <w:rFonts w:hint="eastAsia"/>
          <w:b/>
          <w:bCs w:val="0"/>
          <w:color w:val="auto"/>
          <w:kern w:val="21"/>
          <w:sz w:val="24"/>
          <w:szCs w:val="24"/>
          <w:u w:val="single"/>
        </w:rPr>
        <w:t>行</w:t>
      </w:r>
      <w:r>
        <w:rPr>
          <w:b/>
          <w:bCs w:val="0"/>
          <w:color w:val="auto"/>
          <w:kern w:val="21"/>
          <w:sz w:val="24"/>
          <w:szCs w:val="24"/>
          <w:u w:val="single"/>
        </w:rPr>
        <w:t>费用</w:t>
      </w:r>
      <w:r>
        <w:rPr>
          <w:rFonts w:hint="eastAsia"/>
          <w:b/>
          <w:bCs w:val="0"/>
          <w:color w:val="auto"/>
          <w:kern w:val="21"/>
          <w:sz w:val="24"/>
          <w:szCs w:val="24"/>
          <w:u w:val="single"/>
        </w:rPr>
        <w:t>：14.5</w:t>
      </w:r>
      <w:r>
        <w:rPr>
          <w:b/>
          <w:bCs w:val="0"/>
          <w:color w:val="auto"/>
          <w:kern w:val="21"/>
          <w:sz w:val="24"/>
          <w:szCs w:val="24"/>
          <w:u w:val="single"/>
        </w:rPr>
        <w:t>+</w:t>
      </w:r>
      <w:r>
        <w:rPr>
          <w:rFonts w:hint="eastAsia"/>
          <w:b/>
          <w:bCs w:val="0"/>
          <w:color w:val="auto"/>
          <w:kern w:val="21"/>
          <w:sz w:val="24"/>
          <w:szCs w:val="24"/>
          <w:u w:val="single"/>
        </w:rPr>
        <w:t>15</w:t>
      </w:r>
      <w:r>
        <w:rPr>
          <w:b/>
          <w:bCs w:val="0"/>
          <w:color w:val="auto"/>
          <w:kern w:val="21"/>
          <w:sz w:val="24"/>
          <w:szCs w:val="24"/>
          <w:u w:val="single"/>
        </w:rPr>
        <w:t>+</w:t>
      </w:r>
      <w:r>
        <w:rPr>
          <w:rFonts w:hint="eastAsia"/>
          <w:b/>
          <w:bCs w:val="0"/>
          <w:color w:val="auto"/>
          <w:kern w:val="21"/>
          <w:sz w:val="24"/>
          <w:szCs w:val="24"/>
          <w:u w:val="single"/>
        </w:rPr>
        <w:t>8.8</w:t>
      </w:r>
      <w:r>
        <w:rPr>
          <w:b/>
          <w:bCs w:val="0"/>
          <w:color w:val="auto"/>
          <w:kern w:val="21"/>
          <w:sz w:val="24"/>
          <w:szCs w:val="24"/>
          <w:u w:val="single"/>
        </w:rPr>
        <w:t>+1.</w:t>
      </w:r>
      <w:r>
        <w:rPr>
          <w:rFonts w:hint="eastAsia"/>
          <w:b/>
          <w:bCs w:val="0"/>
          <w:color w:val="auto"/>
          <w:kern w:val="21"/>
          <w:sz w:val="24"/>
          <w:szCs w:val="24"/>
          <w:u w:val="single"/>
        </w:rPr>
        <w:t>68</w:t>
      </w:r>
      <w:r>
        <w:rPr>
          <w:b/>
          <w:bCs w:val="0"/>
          <w:color w:val="auto"/>
          <w:kern w:val="21"/>
          <w:sz w:val="24"/>
          <w:szCs w:val="24"/>
          <w:u w:val="single"/>
        </w:rPr>
        <w:t>+1.</w:t>
      </w:r>
      <w:r>
        <w:rPr>
          <w:rFonts w:hint="eastAsia"/>
          <w:b/>
          <w:bCs w:val="0"/>
          <w:color w:val="auto"/>
          <w:kern w:val="21"/>
          <w:sz w:val="24"/>
          <w:szCs w:val="24"/>
          <w:u w:val="single"/>
        </w:rPr>
        <w:t>67</w:t>
      </w:r>
      <w:r>
        <w:rPr>
          <w:b/>
          <w:bCs w:val="0"/>
          <w:color w:val="auto"/>
          <w:kern w:val="21"/>
          <w:sz w:val="24"/>
          <w:szCs w:val="24"/>
          <w:u w:val="single"/>
        </w:rPr>
        <w:t>=</w:t>
      </w:r>
      <w:r>
        <w:rPr>
          <w:rFonts w:hint="eastAsia"/>
          <w:b/>
          <w:bCs w:val="0"/>
          <w:color w:val="auto"/>
          <w:kern w:val="21"/>
          <w:sz w:val="24"/>
          <w:szCs w:val="24"/>
          <w:u w:val="single"/>
        </w:rPr>
        <w:t>41.65</w:t>
      </w:r>
      <w:r>
        <w:rPr>
          <w:b/>
          <w:bCs w:val="0"/>
          <w:color w:val="auto"/>
          <w:kern w:val="21"/>
          <w:sz w:val="24"/>
          <w:szCs w:val="24"/>
          <w:u w:val="single"/>
        </w:rPr>
        <w:t xml:space="preserve">元。 </w:t>
      </w:r>
      <w:r>
        <w:rPr>
          <w:rFonts w:hint="eastAsia"/>
          <w:b/>
          <w:bCs w:val="0"/>
          <w:color w:val="auto"/>
          <w:kern w:val="21"/>
          <w:sz w:val="24"/>
          <w:szCs w:val="24"/>
          <w:u w:val="single"/>
          <w:lang w:eastAsia="zh-CN"/>
        </w:rPr>
        <w:t>（</w:t>
      </w:r>
      <w:r>
        <w:rPr>
          <w:b/>
          <w:bCs w:val="0"/>
          <w:color w:val="auto"/>
          <w:kern w:val="21"/>
          <w:sz w:val="24"/>
          <w:szCs w:val="24"/>
          <w:u w:val="single"/>
        </w:rPr>
        <w:t>不含污泥处理费</w:t>
      </w:r>
      <w:r>
        <w:rPr>
          <w:rFonts w:hint="eastAsia"/>
          <w:b/>
          <w:bCs w:val="0"/>
          <w:color w:val="auto"/>
          <w:kern w:val="21"/>
          <w:sz w:val="24"/>
          <w:szCs w:val="24"/>
          <w:u w:val="single"/>
          <w:lang w:eastAsia="zh-CN"/>
        </w:rPr>
        <w:t>）</w:t>
      </w:r>
      <w:r>
        <w:rPr>
          <w:b/>
          <w:bCs w:val="0"/>
          <w:color w:val="auto"/>
          <w:kern w:val="21"/>
          <w:sz w:val="24"/>
          <w:szCs w:val="24"/>
          <w:u w:val="single"/>
        </w:rPr>
        <w:t xml:space="preserve"> </w:t>
      </w:r>
      <w:r>
        <w:rPr>
          <w:color w:val="auto"/>
          <w:kern w:val="21"/>
          <w:sz w:val="24"/>
          <w:szCs w:val="24"/>
        </w:rPr>
        <w:t>。</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05" w:name="_Toc112338968"/>
      <w:bookmarkStart w:id="406" w:name="_Toc25116"/>
      <w:r>
        <w:rPr>
          <w:bCs w:val="0"/>
          <w:color w:val="auto"/>
          <w:kern w:val="0"/>
          <w:szCs w:val="20"/>
          <w:lang w:val="en-US"/>
        </w:rPr>
        <w:t>7.3地下水污染防治措施分析</w:t>
      </w:r>
      <w:bookmarkEnd w:id="405"/>
      <w:bookmarkEnd w:id="406"/>
    </w:p>
    <w:p>
      <w:pPr>
        <w:pStyle w:val="33"/>
        <w:adjustRightInd w:val="0"/>
        <w:snapToGrid w:val="0"/>
        <w:spacing w:after="0" w:line="360" w:lineRule="auto"/>
        <w:ind w:left="0" w:leftChars="0" w:firstLine="480" w:firstLineChars="200"/>
        <w:rPr>
          <w:color w:val="auto"/>
          <w:kern w:val="21"/>
          <w:sz w:val="24"/>
        </w:rPr>
      </w:pPr>
      <w:r>
        <w:rPr>
          <w:color w:val="auto"/>
          <w:kern w:val="21"/>
          <w:sz w:val="24"/>
        </w:rPr>
        <w:t>本项目位于获嘉县产业集聚区北区城东片区安王路与梧桐路西北角，</w:t>
      </w:r>
      <w:r>
        <w:rPr>
          <w:rFonts w:hint="eastAsia"/>
          <w:color w:val="auto"/>
          <w:kern w:val="21"/>
          <w:sz w:val="24"/>
          <w:lang w:eastAsia="zh-CN"/>
        </w:rPr>
        <w:t>租用</w:t>
      </w:r>
      <w:r>
        <w:rPr>
          <w:color w:val="auto"/>
          <w:kern w:val="21"/>
          <w:sz w:val="24"/>
        </w:rPr>
        <w:t>河南奔茨新能源有限公司</w:t>
      </w:r>
      <w:r>
        <w:rPr>
          <w:rFonts w:hint="eastAsia"/>
          <w:color w:val="auto"/>
          <w:kern w:val="21"/>
          <w:sz w:val="24"/>
          <w:lang w:eastAsia="zh-CN"/>
        </w:rPr>
        <w:t>现有</w:t>
      </w:r>
      <w:r>
        <w:rPr>
          <w:rFonts w:hint="eastAsia"/>
          <w:color w:val="auto"/>
          <w:kern w:val="21"/>
          <w:sz w:val="24"/>
        </w:rPr>
        <w:t>车间，南车间原为</w:t>
      </w:r>
      <w:r>
        <w:rPr>
          <w:color w:val="auto"/>
          <w:kern w:val="21"/>
          <w:sz w:val="24"/>
        </w:rPr>
        <w:t>河南奔茨新能源有限公司展厅区域，北车间原为河南奔茨新能源有限公司总装车间，根据对《河南奔茨新能源有限公司年产</w:t>
      </w:r>
      <w:r>
        <w:rPr>
          <w:rFonts w:hint="eastAsia"/>
          <w:color w:val="auto"/>
          <w:kern w:val="21"/>
          <w:sz w:val="24"/>
        </w:rPr>
        <w:t>10万辆电动车建设项目</w:t>
      </w:r>
      <w:r>
        <w:rPr>
          <w:color w:val="auto"/>
          <w:kern w:val="21"/>
          <w:sz w:val="24"/>
        </w:rPr>
        <w:t>》环评及验收的查阅，以及实地探勘、人员访谈，得知车间目前防渗情况并不满足本项目防腐防渗要求，因此评价要求本项目地下水污染防治措施按照</w:t>
      </w:r>
      <w:r>
        <w:rPr>
          <w:rFonts w:hint="eastAsia"/>
          <w:color w:val="auto"/>
          <w:kern w:val="21"/>
          <w:sz w:val="24"/>
        </w:rPr>
        <w:t>“</w:t>
      </w:r>
      <w:r>
        <w:rPr>
          <w:color w:val="auto"/>
          <w:kern w:val="21"/>
          <w:sz w:val="24"/>
        </w:rPr>
        <w:t>源头控制、分区防治、污染监控、应急响应</w:t>
      </w:r>
      <w:r>
        <w:rPr>
          <w:rFonts w:hint="eastAsia"/>
          <w:color w:val="auto"/>
          <w:kern w:val="21"/>
          <w:sz w:val="24"/>
        </w:rPr>
        <w:t>”</w:t>
      </w:r>
      <w:r>
        <w:rPr>
          <w:color w:val="auto"/>
          <w:kern w:val="21"/>
          <w:sz w:val="24"/>
        </w:rPr>
        <w:t>相结合的原则，从污染物的产生、入渗、扩散、应急响应全方位进行控制，并制定了</w:t>
      </w:r>
      <w:r>
        <w:rPr>
          <w:rFonts w:hint="eastAsia"/>
          <w:color w:val="auto"/>
          <w:kern w:val="21"/>
          <w:sz w:val="24"/>
          <w:lang w:eastAsia="zh-CN"/>
        </w:rPr>
        <w:t>以下</w:t>
      </w:r>
      <w:r>
        <w:rPr>
          <w:color w:val="auto"/>
          <w:kern w:val="21"/>
          <w:sz w:val="24"/>
        </w:rPr>
        <w:t>防渗措施及要求。</w:t>
      </w:r>
    </w:p>
    <w:p>
      <w:pPr>
        <w:pStyle w:val="33"/>
        <w:adjustRightInd w:val="0"/>
        <w:snapToGrid w:val="0"/>
        <w:spacing w:after="0" w:line="360" w:lineRule="auto"/>
        <w:ind w:left="0" w:leftChars="0"/>
        <w:outlineLvl w:val="2"/>
        <w:rPr>
          <w:rFonts w:eastAsia="黑体"/>
          <w:color w:val="auto"/>
          <w:kern w:val="21"/>
          <w:sz w:val="28"/>
          <w:szCs w:val="28"/>
        </w:rPr>
      </w:pPr>
      <w:r>
        <w:rPr>
          <w:rFonts w:eastAsia="黑体"/>
          <w:color w:val="auto"/>
          <w:kern w:val="21"/>
          <w:sz w:val="28"/>
          <w:szCs w:val="28"/>
        </w:rPr>
        <w:t>7.3.1污染源控制措施</w:t>
      </w:r>
    </w:p>
    <w:p>
      <w:pPr>
        <w:pStyle w:val="33"/>
        <w:adjustRightInd w:val="0"/>
        <w:snapToGrid w:val="0"/>
        <w:spacing w:after="0" w:line="360" w:lineRule="auto"/>
        <w:ind w:left="0" w:leftChars="0" w:firstLine="480" w:firstLineChars="200"/>
        <w:rPr>
          <w:color w:val="auto"/>
          <w:kern w:val="21"/>
          <w:sz w:val="24"/>
        </w:rPr>
      </w:pPr>
      <w:r>
        <w:rPr>
          <w:color w:val="auto"/>
          <w:kern w:val="21"/>
          <w:sz w:val="24"/>
        </w:rPr>
        <w:t>（1）建镀槽放置平台高度1.</w:t>
      </w:r>
      <w:r>
        <w:rPr>
          <w:rFonts w:hint="eastAsia"/>
          <w:color w:val="auto"/>
          <w:kern w:val="21"/>
          <w:sz w:val="24"/>
        </w:rPr>
        <w:t>6</w:t>
      </w:r>
      <w:r>
        <w:rPr>
          <w:color w:val="auto"/>
          <w:kern w:val="21"/>
          <w:sz w:val="24"/>
        </w:rPr>
        <w:t>m，具有防腐、防渗功能，并便于安装排水管道、观察镀槽渗漏情况。</w:t>
      </w:r>
    </w:p>
    <w:p>
      <w:pPr>
        <w:pStyle w:val="33"/>
        <w:adjustRightInd w:val="0"/>
        <w:snapToGrid w:val="0"/>
        <w:spacing w:after="0" w:line="360" w:lineRule="auto"/>
        <w:ind w:left="0" w:leftChars="0" w:firstLine="480" w:firstLineChars="200"/>
        <w:rPr>
          <w:color w:val="auto"/>
          <w:kern w:val="21"/>
          <w:sz w:val="24"/>
        </w:rPr>
      </w:pPr>
      <w:r>
        <w:rPr>
          <w:color w:val="auto"/>
          <w:kern w:val="21"/>
          <w:sz w:val="24"/>
        </w:rPr>
        <w:t>（2）生产线建设接水托盘，其宽比槽的两边各宽约20cm、长度不小于槽的长度，深度不小于10cm，用6mm 塑料板制作，与水洗槽底部无缝连接。接水盘根据收水的性质分区域设置，收集的废水全部用PP 管接入相应类别废水排放管。</w:t>
      </w:r>
    </w:p>
    <w:p>
      <w:pPr>
        <w:pStyle w:val="33"/>
        <w:adjustRightInd w:val="0"/>
        <w:snapToGrid w:val="0"/>
        <w:spacing w:after="0" w:line="360" w:lineRule="auto"/>
        <w:ind w:left="0" w:leftChars="0" w:firstLine="480" w:firstLineChars="200"/>
        <w:rPr>
          <w:color w:val="auto"/>
          <w:kern w:val="21"/>
          <w:sz w:val="24"/>
        </w:rPr>
      </w:pPr>
      <w:r>
        <w:rPr>
          <w:color w:val="auto"/>
          <w:kern w:val="21"/>
          <w:sz w:val="24"/>
        </w:rPr>
        <w:t>（3）做好含重金属废物和废酸液的收集、贮存和管理，防止渗滤液和废酸液外渗污染地下水。</w:t>
      </w:r>
    </w:p>
    <w:p>
      <w:pPr>
        <w:pStyle w:val="33"/>
        <w:adjustRightInd w:val="0"/>
        <w:snapToGrid w:val="0"/>
        <w:spacing w:after="0" w:line="360" w:lineRule="auto"/>
        <w:ind w:left="0" w:leftChars="0"/>
        <w:outlineLvl w:val="2"/>
        <w:rPr>
          <w:rFonts w:eastAsia="黑体"/>
          <w:color w:val="auto"/>
          <w:kern w:val="21"/>
          <w:sz w:val="28"/>
          <w:szCs w:val="28"/>
        </w:rPr>
      </w:pPr>
      <w:r>
        <w:rPr>
          <w:rFonts w:eastAsia="黑体"/>
          <w:color w:val="auto"/>
          <w:kern w:val="21"/>
          <w:sz w:val="28"/>
          <w:szCs w:val="28"/>
        </w:rPr>
        <w:t>7.3.2生产区分区防渗控制措施</w:t>
      </w:r>
    </w:p>
    <w:p>
      <w:pPr>
        <w:pStyle w:val="33"/>
        <w:adjustRightInd w:val="0"/>
        <w:snapToGrid w:val="0"/>
        <w:spacing w:after="0" w:line="360" w:lineRule="auto"/>
        <w:ind w:left="0" w:leftChars="0" w:firstLine="482" w:firstLineChars="200"/>
        <w:rPr>
          <w:b/>
          <w:bCs/>
          <w:color w:val="auto"/>
          <w:kern w:val="21"/>
          <w:sz w:val="24"/>
          <w:u w:val="single"/>
        </w:rPr>
      </w:pPr>
      <w:r>
        <w:rPr>
          <w:b/>
          <w:bCs/>
          <w:color w:val="auto"/>
          <w:kern w:val="21"/>
          <w:sz w:val="24"/>
          <w:u w:val="single"/>
        </w:rPr>
        <w:t>本项目应采取的具体防渗措施渗漏及分区防渗情况见表</w:t>
      </w:r>
      <w:r>
        <w:rPr>
          <w:rFonts w:hint="eastAsia"/>
          <w:b/>
          <w:bCs/>
          <w:color w:val="auto"/>
          <w:kern w:val="21"/>
          <w:sz w:val="24"/>
          <w:u w:val="single"/>
        </w:rPr>
        <w:t>7</w:t>
      </w:r>
      <w:r>
        <w:rPr>
          <w:b/>
          <w:bCs/>
          <w:color w:val="auto"/>
          <w:kern w:val="21"/>
          <w:sz w:val="24"/>
          <w:u w:val="single"/>
        </w:rPr>
        <w:t>.3-</w:t>
      </w:r>
      <w:r>
        <w:rPr>
          <w:rFonts w:hint="eastAsia"/>
          <w:b/>
          <w:bCs/>
          <w:color w:val="auto"/>
          <w:kern w:val="21"/>
          <w:sz w:val="24"/>
          <w:u w:val="single"/>
        </w:rPr>
        <w:t>1</w:t>
      </w:r>
      <w:r>
        <w:rPr>
          <w:b/>
          <w:bCs/>
          <w:color w:val="auto"/>
          <w:kern w:val="21"/>
          <w:sz w:val="24"/>
          <w:u w:val="single"/>
        </w:rPr>
        <w:t>。</w:t>
      </w:r>
    </w:p>
    <w:p>
      <w:pPr>
        <w:widowControl w:val="0"/>
        <w:jc w:val="center"/>
        <w:rPr>
          <w:rFonts w:eastAsia="黑体"/>
          <w:b/>
          <w:bCs/>
          <w:color w:val="auto"/>
          <w:sz w:val="24"/>
          <w:szCs w:val="24"/>
          <w:u w:val="single"/>
        </w:rPr>
      </w:pPr>
      <w:r>
        <w:rPr>
          <w:rFonts w:hint="eastAsia" w:eastAsia="黑体"/>
          <w:b/>
          <w:bCs/>
          <w:color w:val="auto"/>
          <w:sz w:val="24"/>
          <w:szCs w:val="24"/>
          <w:u w:val="single"/>
        </w:rPr>
        <w:t>7</w:t>
      </w:r>
      <w:r>
        <w:rPr>
          <w:rFonts w:eastAsia="黑体"/>
          <w:b/>
          <w:bCs/>
          <w:color w:val="auto"/>
          <w:sz w:val="24"/>
          <w:szCs w:val="24"/>
          <w:u w:val="single"/>
        </w:rPr>
        <w:t>.3-</w:t>
      </w:r>
      <w:r>
        <w:rPr>
          <w:rFonts w:hint="eastAsia" w:eastAsia="黑体"/>
          <w:b/>
          <w:bCs/>
          <w:color w:val="auto"/>
          <w:sz w:val="24"/>
          <w:szCs w:val="24"/>
          <w:u w:val="single"/>
        </w:rPr>
        <w:t>1</w:t>
      </w:r>
      <w:r>
        <w:rPr>
          <w:rFonts w:eastAsia="黑体"/>
          <w:b/>
          <w:bCs/>
          <w:color w:val="auto"/>
          <w:sz w:val="24"/>
          <w:szCs w:val="24"/>
          <w:u w:val="single"/>
        </w:rPr>
        <w:t xml:space="preserve">   本项目采用的防渗措施一览表</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906"/>
        <w:gridCol w:w="1546"/>
        <w:gridCol w:w="43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序号</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名称</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防渗区</w:t>
            </w:r>
          </w:p>
        </w:tc>
        <w:tc>
          <w:tcPr>
            <w:tcW w:w="2538" w:type="pct"/>
            <w:vAlign w:val="center"/>
          </w:tcPr>
          <w:p>
            <w:pPr>
              <w:widowControl w:val="0"/>
              <w:autoSpaceDE w:val="0"/>
              <w:autoSpaceDN w:val="0"/>
              <w:adjustRightInd w:val="0"/>
              <w:ind w:firstLine="402"/>
              <w:jc w:val="center"/>
              <w:rPr>
                <w:b/>
                <w:bCs/>
                <w:color w:val="auto"/>
                <w:sz w:val="21"/>
                <w:szCs w:val="21"/>
                <w:u w:val="single"/>
              </w:rPr>
            </w:pPr>
            <w:r>
              <w:rPr>
                <w:b/>
                <w:bCs/>
                <w:color w:val="auto"/>
                <w:sz w:val="21"/>
                <w:szCs w:val="21"/>
                <w:u w:val="single"/>
              </w:rPr>
              <w:t>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1</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机加工区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重点防渗</w:t>
            </w:r>
          </w:p>
        </w:tc>
        <w:tc>
          <w:tcPr>
            <w:tcW w:w="2538" w:type="pct"/>
            <w:vMerge w:val="restar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等效厚粘防渗层</w:t>
            </w:r>
            <w:r>
              <w:rPr>
                <w:rFonts w:hint="eastAsia"/>
                <w:b/>
                <w:bCs/>
                <w:color w:val="auto"/>
                <w:sz w:val="21"/>
                <w:szCs w:val="21"/>
                <w:u w:val="single"/>
              </w:rPr>
              <w:t>Mb≥6.0m，</w:t>
            </w:r>
            <w:r>
              <w:rPr>
                <w:b/>
                <w:bCs/>
                <w:color w:val="auto"/>
                <w:sz w:val="21"/>
                <w:szCs w:val="21"/>
                <w:u w:val="single"/>
              </w:rPr>
              <w:t>渗透系数≤10</w:t>
            </w:r>
            <w:r>
              <w:rPr>
                <w:b/>
                <w:bCs/>
                <w:color w:val="auto"/>
                <w:sz w:val="21"/>
                <w:szCs w:val="21"/>
                <w:u w:val="single"/>
                <w:vertAlign w:val="superscript"/>
              </w:rPr>
              <w:t>-7</w:t>
            </w:r>
            <w:r>
              <w:rPr>
                <w:b/>
                <w:bCs/>
                <w:color w:val="auto"/>
                <w:sz w:val="21"/>
                <w:szCs w:val="21"/>
                <w:u w:val="single"/>
              </w:rPr>
              <w:t>cm/s，或</w:t>
            </w:r>
            <w:r>
              <w:rPr>
                <w:rFonts w:hint="eastAsia"/>
                <w:b/>
                <w:bCs/>
                <w:color w:val="auto"/>
                <w:sz w:val="21"/>
                <w:szCs w:val="21"/>
                <w:u w:val="single"/>
              </w:rPr>
              <w:t>2mm</w:t>
            </w:r>
            <w:r>
              <w:rPr>
                <w:b/>
                <w:bCs/>
                <w:color w:val="auto"/>
                <w:sz w:val="21"/>
                <w:szCs w:val="21"/>
                <w:u w:val="single"/>
              </w:rPr>
              <w:t>等效人工</w:t>
            </w:r>
            <w:r>
              <w:rPr>
                <w:rFonts w:hint="eastAsia"/>
                <w:b/>
                <w:bCs/>
                <w:color w:val="auto"/>
                <w:sz w:val="21"/>
                <w:szCs w:val="21"/>
                <w:u w:val="single"/>
              </w:rPr>
              <w:t>防渗</w:t>
            </w:r>
            <w:r>
              <w:rPr>
                <w:b/>
                <w:bCs/>
                <w:color w:val="auto"/>
                <w:sz w:val="21"/>
                <w:szCs w:val="21"/>
                <w:u w:val="single"/>
              </w:rPr>
              <w:t>材料，渗透系数≤10</w:t>
            </w:r>
            <w:r>
              <w:rPr>
                <w:b/>
                <w:bCs/>
                <w:color w:val="auto"/>
                <w:sz w:val="21"/>
                <w:szCs w:val="21"/>
                <w:u w:val="single"/>
                <w:vertAlign w:val="superscript"/>
              </w:rPr>
              <w:t>-10</w:t>
            </w:r>
            <w:r>
              <w:rPr>
                <w:b/>
                <w:bCs/>
                <w:color w:val="auto"/>
                <w:sz w:val="21"/>
                <w:szCs w:val="21"/>
                <w:u w:val="single"/>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2</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电镀区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重点防渗</w:t>
            </w:r>
          </w:p>
        </w:tc>
        <w:tc>
          <w:tcPr>
            <w:tcW w:w="2538" w:type="pct"/>
            <w:vMerge w:val="continue"/>
            <w:vAlign w:val="center"/>
          </w:tcPr>
          <w:p>
            <w:pPr>
              <w:widowControl w:val="0"/>
              <w:autoSpaceDE w:val="0"/>
              <w:autoSpaceDN w:val="0"/>
              <w:adjustRightInd w:val="0"/>
              <w:jc w:val="center"/>
              <w:rPr>
                <w:b/>
                <w:bCs/>
                <w:color w:val="auto"/>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3</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电镀原料区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重点防渗</w:t>
            </w:r>
          </w:p>
        </w:tc>
        <w:tc>
          <w:tcPr>
            <w:tcW w:w="2538" w:type="pct"/>
            <w:vMerge w:val="continue"/>
            <w:vAlign w:val="center"/>
          </w:tcPr>
          <w:p>
            <w:pPr>
              <w:widowControl w:val="0"/>
              <w:autoSpaceDE w:val="0"/>
              <w:autoSpaceDN w:val="0"/>
              <w:adjustRightInd w:val="0"/>
              <w:jc w:val="center"/>
              <w:rPr>
                <w:b/>
                <w:bCs/>
                <w:color w:val="auto"/>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4</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事故池</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重点防渗</w:t>
            </w:r>
          </w:p>
        </w:tc>
        <w:tc>
          <w:tcPr>
            <w:tcW w:w="2538" w:type="pct"/>
            <w:vMerge w:val="continue"/>
            <w:vAlign w:val="center"/>
          </w:tcPr>
          <w:p>
            <w:pPr>
              <w:widowControl w:val="0"/>
              <w:autoSpaceDE w:val="0"/>
              <w:autoSpaceDN w:val="0"/>
              <w:adjustRightInd w:val="0"/>
              <w:jc w:val="center"/>
              <w:rPr>
                <w:b/>
                <w:bCs/>
                <w:color w:val="auto"/>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5</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危险固废暂存处</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重点防渗</w:t>
            </w:r>
          </w:p>
        </w:tc>
        <w:tc>
          <w:tcPr>
            <w:tcW w:w="2538" w:type="pct"/>
            <w:vMerge w:val="continue"/>
            <w:vAlign w:val="center"/>
          </w:tcPr>
          <w:p>
            <w:pPr>
              <w:widowControl w:val="0"/>
              <w:autoSpaceDE w:val="0"/>
              <w:autoSpaceDN w:val="0"/>
              <w:adjustRightInd w:val="0"/>
              <w:jc w:val="center"/>
              <w:rPr>
                <w:b/>
                <w:bCs/>
                <w:color w:val="auto"/>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6</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污水处理站</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重点防渗</w:t>
            </w:r>
          </w:p>
        </w:tc>
        <w:tc>
          <w:tcPr>
            <w:tcW w:w="2538" w:type="pct"/>
            <w:vMerge w:val="continue"/>
            <w:vAlign w:val="center"/>
          </w:tcPr>
          <w:p>
            <w:pPr>
              <w:widowControl w:val="0"/>
              <w:autoSpaceDE w:val="0"/>
              <w:autoSpaceDN w:val="0"/>
              <w:adjustRightInd w:val="0"/>
              <w:jc w:val="center"/>
              <w:rPr>
                <w:b/>
                <w:bCs/>
                <w:color w:val="auto"/>
                <w:sz w:val="21"/>
                <w:szCs w:val="21"/>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7</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一般固废暂存处</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restar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等效厚粘防渗层</w:t>
            </w:r>
            <w:r>
              <w:rPr>
                <w:rFonts w:hint="eastAsia"/>
                <w:b/>
                <w:bCs/>
                <w:color w:val="auto"/>
                <w:sz w:val="21"/>
                <w:szCs w:val="21"/>
                <w:u w:val="single"/>
              </w:rPr>
              <w:t>Mb≥1.5m，</w:t>
            </w:r>
            <w:r>
              <w:rPr>
                <w:b/>
                <w:bCs/>
                <w:color w:val="auto"/>
                <w:sz w:val="21"/>
                <w:szCs w:val="21"/>
                <w:u w:val="single"/>
              </w:rPr>
              <w:t>渗透系数≤10</w:t>
            </w:r>
            <w:r>
              <w:rPr>
                <w:b/>
                <w:bCs/>
                <w:color w:val="auto"/>
                <w:sz w:val="21"/>
                <w:szCs w:val="21"/>
                <w:u w:val="single"/>
                <w:vertAlign w:val="superscript"/>
              </w:rPr>
              <w:t>-7</w:t>
            </w:r>
            <w:r>
              <w:rPr>
                <w:b/>
                <w:bCs/>
                <w:color w:val="auto"/>
                <w:sz w:val="21"/>
                <w:szCs w:val="21"/>
                <w:u w:val="single"/>
              </w:rPr>
              <w:t>cm/s，或</w:t>
            </w:r>
            <w:r>
              <w:rPr>
                <w:rFonts w:hint="eastAsia"/>
                <w:b/>
                <w:bCs/>
                <w:color w:val="auto"/>
                <w:sz w:val="21"/>
                <w:szCs w:val="21"/>
                <w:u w:val="single"/>
              </w:rPr>
              <w:t>0.75mm</w:t>
            </w:r>
            <w:r>
              <w:rPr>
                <w:b/>
                <w:bCs/>
                <w:color w:val="auto"/>
                <w:sz w:val="21"/>
                <w:szCs w:val="21"/>
                <w:u w:val="single"/>
              </w:rPr>
              <w:t>等效人工</w:t>
            </w:r>
            <w:r>
              <w:rPr>
                <w:rFonts w:hint="eastAsia"/>
                <w:b/>
                <w:bCs/>
                <w:color w:val="auto"/>
                <w:sz w:val="21"/>
                <w:szCs w:val="21"/>
                <w:u w:val="single"/>
              </w:rPr>
              <w:t>防渗</w:t>
            </w:r>
            <w:r>
              <w:rPr>
                <w:b/>
                <w:bCs/>
                <w:color w:val="auto"/>
                <w:sz w:val="21"/>
                <w:szCs w:val="21"/>
                <w:u w:val="single"/>
              </w:rPr>
              <w:t>材料，渗透系数≤10</w:t>
            </w:r>
            <w:r>
              <w:rPr>
                <w:b/>
                <w:bCs/>
                <w:color w:val="auto"/>
                <w:sz w:val="21"/>
                <w:szCs w:val="21"/>
                <w:u w:val="single"/>
                <w:vertAlign w:val="superscript"/>
              </w:rPr>
              <w:t>-</w:t>
            </w:r>
            <w:r>
              <w:rPr>
                <w:rFonts w:hint="eastAsia"/>
                <w:b/>
                <w:bCs/>
                <w:color w:val="auto"/>
                <w:sz w:val="21"/>
                <w:szCs w:val="21"/>
                <w:u w:val="single"/>
                <w:vertAlign w:val="superscript"/>
              </w:rPr>
              <w:t>7</w:t>
            </w:r>
            <w:r>
              <w:rPr>
                <w:b/>
                <w:bCs/>
                <w:color w:val="auto"/>
                <w:sz w:val="21"/>
                <w:szCs w:val="21"/>
                <w:u w:val="single"/>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8</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成品区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continue"/>
            <w:vAlign w:val="center"/>
          </w:tcPr>
          <w:p>
            <w:pPr>
              <w:widowControl w:val="0"/>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9</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包装区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continue"/>
            <w:vAlign w:val="center"/>
          </w:tcPr>
          <w:p>
            <w:pPr>
              <w:widowControl w:val="0"/>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10</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机加工原料区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continue"/>
            <w:vAlign w:val="center"/>
          </w:tcPr>
          <w:p>
            <w:pPr>
              <w:widowControl w:val="0"/>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11</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半成品区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continue"/>
            <w:vAlign w:val="center"/>
          </w:tcPr>
          <w:p>
            <w:pPr>
              <w:widowControl w:val="0"/>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12</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边角料临时存放区</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continue"/>
            <w:vAlign w:val="center"/>
          </w:tcPr>
          <w:p>
            <w:pPr>
              <w:widowControl w:val="0"/>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37" w:type="pct"/>
            <w:vAlign w:val="center"/>
          </w:tcPr>
          <w:p>
            <w:pPr>
              <w:widowControl w:val="0"/>
              <w:autoSpaceDE w:val="0"/>
              <w:autoSpaceDN w:val="0"/>
              <w:adjustRightInd w:val="0"/>
              <w:jc w:val="center"/>
              <w:rPr>
                <w:b/>
                <w:bCs/>
                <w:color w:val="auto"/>
                <w:sz w:val="21"/>
                <w:szCs w:val="21"/>
                <w:u w:val="single"/>
              </w:rPr>
            </w:pPr>
            <w:r>
              <w:rPr>
                <w:rFonts w:hint="eastAsia"/>
                <w:b/>
                <w:bCs/>
                <w:color w:val="auto"/>
                <w:sz w:val="21"/>
                <w:szCs w:val="21"/>
                <w:u w:val="single"/>
              </w:rPr>
              <w:t>13</w:t>
            </w:r>
          </w:p>
        </w:tc>
        <w:tc>
          <w:tcPr>
            <w:tcW w:w="1117"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车间内道路</w:t>
            </w:r>
          </w:p>
        </w:tc>
        <w:tc>
          <w:tcPr>
            <w:tcW w:w="906" w:type="pct"/>
            <w:vAlign w:val="center"/>
          </w:tcPr>
          <w:p>
            <w:pPr>
              <w:widowControl w:val="0"/>
              <w:autoSpaceDE w:val="0"/>
              <w:autoSpaceDN w:val="0"/>
              <w:adjustRightInd w:val="0"/>
              <w:jc w:val="center"/>
              <w:rPr>
                <w:b/>
                <w:bCs/>
                <w:color w:val="auto"/>
                <w:sz w:val="21"/>
                <w:szCs w:val="21"/>
                <w:u w:val="single"/>
              </w:rPr>
            </w:pPr>
            <w:r>
              <w:rPr>
                <w:b/>
                <w:bCs/>
                <w:color w:val="auto"/>
                <w:sz w:val="21"/>
                <w:szCs w:val="21"/>
                <w:u w:val="single"/>
              </w:rPr>
              <w:t>一般防渗</w:t>
            </w:r>
          </w:p>
        </w:tc>
        <w:tc>
          <w:tcPr>
            <w:tcW w:w="2538" w:type="pct"/>
            <w:vMerge w:val="continue"/>
            <w:vAlign w:val="center"/>
          </w:tcPr>
          <w:p>
            <w:pPr>
              <w:widowControl w:val="0"/>
              <w:autoSpaceDE w:val="0"/>
              <w:autoSpaceDN w:val="0"/>
              <w:adjustRightInd w:val="0"/>
              <w:jc w:val="center"/>
              <w:rPr>
                <w:color w:val="auto"/>
                <w:sz w:val="21"/>
                <w:szCs w:val="21"/>
              </w:rPr>
            </w:pPr>
          </w:p>
        </w:tc>
      </w:tr>
    </w:tbl>
    <w:p>
      <w:pPr>
        <w:pStyle w:val="33"/>
        <w:keepNext w:val="0"/>
        <w:keepLines w:val="0"/>
        <w:pageBreakBefore w:val="0"/>
        <w:widowControl/>
        <w:kinsoku/>
        <w:wordWrap/>
        <w:overflowPunct/>
        <w:topLinePunct w:val="0"/>
        <w:autoSpaceDE/>
        <w:autoSpaceDN/>
        <w:bidi w:val="0"/>
        <w:adjustRightInd w:val="0"/>
        <w:snapToGrid w:val="0"/>
        <w:spacing w:before="157" w:beforeLines="50" w:after="0" w:line="360" w:lineRule="auto"/>
        <w:ind w:left="0" w:leftChars="0"/>
        <w:textAlignment w:val="auto"/>
        <w:outlineLvl w:val="2"/>
        <w:rPr>
          <w:rFonts w:eastAsia="黑体"/>
          <w:color w:val="auto"/>
          <w:kern w:val="21"/>
          <w:sz w:val="28"/>
          <w:szCs w:val="28"/>
        </w:rPr>
      </w:pPr>
      <w:r>
        <w:rPr>
          <w:rFonts w:eastAsia="黑体"/>
          <w:color w:val="auto"/>
          <w:kern w:val="21"/>
          <w:sz w:val="28"/>
          <w:szCs w:val="28"/>
        </w:rPr>
        <w:t>7.3.3污染监控及应急响应措施</w:t>
      </w:r>
    </w:p>
    <w:p>
      <w:pPr>
        <w:pStyle w:val="33"/>
        <w:adjustRightInd w:val="0"/>
        <w:snapToGrid w:val="0"/>
        <w:spacing w:after="0" w:line="360" w:lineRule="auto"/>
        <w:ind w:left="0" w:leftChars="0" w:firstLine="480" w:firstLineChars="200"/>
        <w:rPr>
          <w:color w:val="auto"/>
          <w:kern w:val="21"/>
          <w:sz w:val="24"/>
        </w:rPr>
      </w:pPr>
      <w:r>
        <w:rPr>
          <w:color w:val="auto"/>
          <w:kern w:val="21"/>
          <w:sz w:val="24"/>
        </w:rPr>
        <w:t>（1）各类废水管线敷设</w:t>
      </w:r>
      <w:r>
        <w:rPr>
          <w:rFonts w:hint="eastAsia"/>
          <w:color w:val="auto"/>
          <w:kern w:val="21"/>
          <w:sz w:val="24"/>
        </w:rPr>
        <w:t>“</w:t>
      </w:r>
      <w:r>
        <w:rPr>
          <w:color w:val="auto"/>
          <w:kern w:val="21"/>
          <w:sz w:val="24"/>
        </w:rPr>
        <w:t>可视化</w:t>
      </w:r>
      <w:r>
        <w:rPr>
          <w:rFonts w:hint="eastAsia"/>
          <w:color w:val="auto"/>
          <w:kern w:val="21"/>
          <w:sz w:val="24"/>
        </w:rPr>
        <w:t>”</w:t>
      </w:r>
      <w:r>
        <w:rPr>
          <w:color w:val="auto"/>
          <w:kern w:val="21"/>
          <w:sz w:val="24"/>
        </w:rPr>
        <w:t>，即管道尽可能地上敷设，做到污染物</w:t>
      </w:r>
      <w:r>
        <w:rPr>
          <w:rFonts w:hint="eastAsia"/>
          <w:color w:val="auto"/>
          <w:kern w:val="21"/>
          <w:sz w:val="24"/>
        </w:rPr>
        <w:t>“</w:t>
      </w:r>
      <w:r>
        <w:rPr>
          <w:color w:val="auto"/>
          <w:kern w:val="21"/>
          <w:sz w:val="24"/>
        </w:rPr>
        <w:t>早发现、早处理</w:t>
      </w:r>
      <w:r>
        <w:rPr>
          <w:rFonts w:hint="eastAsia"/>
          <w:color w:val="auto"/>
          <w:kern w:val="21"/>
          <w:sz w:val="24"/>
        </w:rPr>
        <w:t>”</w:t>
      </w:r>
      <w:r>
        <w:rPr>
          <w:color w:val="auto"/>
          <w:kern w:val="21"/>
          <w:sz w:val="24"/>
        </w:rPr>
        <w:t>，以减少由于埋地管道泄漏而可能造成的地下水污染。</w:t>
      </w:r>
    </w:p>
    <w:p>
      <w:pPr>
        <w:pStyle w:val="33"/>
        <w:adjustRightInd w:val="0"/>
        <w:snapToGrid w:val="0"/>
        <w:spacing w:after="0" w:line="360" w:lineRule="auto"/>
        <w:ind w:left="0" w:leftChars="0" w:firstLine="480" w:firstLineChars="200"/>
        <w:rPr>
          <w:color w:val="auto"/>
          <w:kern w:val="21"/>
          <w:sz w:val="24"/>
        </w:rPr>
      </w:pPr>
      <w:r>
        <w:rPr>
          <w:color w:val="auto"/>
          <w:kern w:val="21"/>
          <w:sz w:val="24"/>
        </w:rPr>
        <w:t>（2）生产废水采用分类收集、分质处理的原则，采用架空布置的密闭管道输送至电镀废水处理厂处理，管道应严格做好防渗、防腐、防漏处理；室外排水沟也应</w:t>
      </w:r>
      <w:r>
        <w:rPr>
          <w:rFonts w:hint="eastAsia"/>
          <w:color w:val="auto"/>
          <w:kern w:val="21"/>
          <w:sz w:val="24"/>
          <w:lang w:eastAsia="zh-CN"/>
        </w:rPr>
        <w:t>做</w:t>
      </w:r>
      <w:r>
        <w:rPr>
          <w:color w:val="auto"/>
          <w:kern w:val="21"/>
          <w:sz w:val="24"/>
        </w:rPr>
        <w:t>防渗处理。</w:t>
      </w:r>
    </w:p>
    <w:p>
      <w:pPr>
        <w:pStyle w:val="33"/>
        <w:adjustRightInd w:val="0"/>
        <w:snapToGrid w:val="0"/>
        <w:spacing w:after="0" w:line="360" w:lineRule="auto"/>
        <w:ind w:left="0" w:leftChars="0" w:firstLine="480" w:firstLineChars="200"/>
        <w:rPr>
          <w:color w:val="auto"/>
          <w:kern w:val="21"/>
          <w:sz w:val="24"/>
        </w:rPr>
      </w:pPr>
      <w:r>
        <w:rPr>
          <w:rFonts w:hint="eastAsia"/>
          <w:color w:val="auto"/>
          <w:kern w:val="21"/>
          <w:sz w:val="24"/>
        </w:rPr>
        <w:t>（3）</w:t>
      </w:r>
      <w:r>
        <w:rPr>
          <w:color w:val="auto"/>
          <w:kern w:val="21"/>
          <w:sz w:val="24"/>
        </w:rPr>
        <w:t>项目工艺废水管线按可视、可控原则排布，应采取地上明渠明管或架空敷设，废水管道应满足防腐、防渗漏要求，生产装置、罐区等易污染区地面应进行防渗处。</w:t>
      </w:r>
    </w:p>
    <w:p>
      <w:pPr>
        <w:pStyle w:val="33"/>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rPr>
          <w:color w:val="auto"/>
          <w:kern w:val="21"/>
          <w:sz w:val="24"/>
        </w:rPr>
      </w:pPr>
      <w:r>
        <w:rPr>
          <w:color w:val="auto"/>
          <w:kern w:val="21"/>
          <w:sz w:val="24"/>
        </w:rPr>
        <w:t>（</w:t>
      </w:r>
      <w:r>
        <w:rPr>
          <w:rFonts w:hint="eastAsia"/>
          <w:color w:val="auto"/>
          <w:kern w:val="21"/>
          <w:sz w:val="24"/>
        </w:rPr>
        <w:t>4</w:t>
      </w:r>
      <w:r>
        <w:rPr>
          <w:color w:val="auto"/>
          <w:kern w:val="21"/>
          <w:sz w:val="24"/>
        </w:rPr>
        <w:t>）制定地下水监测计划，定期监测地下水质。</w:t>
      </w:r>
    </w:p>
    <w:p>
      <w:pPr>
        <w:pStyle w:val="33"/>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rPr>
          <w:color w:val="auto"/>
          <w:kern w:val="21"/>
          <w:sz w:val="24"/>
        </w:rPr>
      </w:pPr>
      <w:r>
        <w:rPr>
          <w:color w:val="auto"/>
          <w:kern w:val="21"/>
          <w:sz w:val="24"/>
        </w:rPr>
        <w:t>（</w:t>
      </w:r>
      <w:r>
        <w:rPr>
          <w:rFonts w:hint="eastAsia"/>
          <w:color w:val="auto"/>
          <w:kern w:val="21"/>
          <w:sz w:val="24"/>
        </w:rPr>
        <w:t>5</w:t>
      </w:r>
      <w:r>
        <w:rPr>
          <w:color w:val="auto"/>
          <w:kern w:val="21"/>
          <w:sz w:val="24"/>
        </w:rPr>
        <w:t>）制定废水泄漏应急响应计划，并明确专人具体负责对事故的应急处置工作。</w:t>
      </w:r>
    </w:p>
    <w:p>
      <w:pPr>
        <w:pStyle w:val="33"/>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rPr>
          <w:color w:val="auto"/>
          <w:kern w:val="21"/>
        </w:rPr>
      </w:pPr>
      <w:r>
        <w:rPr>
          <w:color w:val="auto"/>
          <w:kern w:val="21"/>
          <w:sz w:val="24"/>
        </w:rPr>
        <w:t>（</w:t>
      </w:r>
      <w:r>
        <w:rPr>
          <w:rFonts w:hint="eastAsia"/>
          <w:color w:val="auto"/>
          <w:kern w:val="21"/>
          <w:sz w:val="24"/>
        </w:rPr>
        <w:t>6</w:t>
      </w:r>
      <w:r>
        <w:rPr>
          <w:color w:val="auto"/>
          <w:kern w:val="21"/>
          <w:sz w:val="24"/>
        </w:rPr>
        <w:t>）建立检查维护制度、档案制度，以保障正常运行和资料查阅。</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07" w:name="_Toc6369"/>
      <w:bookmarkStart w:id="408" w:name="_Toc26934"/>
      <w:bookmarkStart w:id="409" w:name="_Toc11273_WPSOffice_Level2"/>
      <w:bookmarkStart w:id="410" w:name="_Toc112338969"/>
      <w:r>
        <w:rPr>
          <w:bCs w:val="0"/>
          <w:color w:val="auto"/>
          <w:kern w:val="0"/>
          <w:szCs w:val="20"/>
          <w:lang w:val="en-US"/>
        </w:rPr>
        <w:t>7.4噪声污染防治措施</w:t>
      </w:r>
      <w:bookmarkEnd w:id="407"/>
      <w:r>
        <w:rPr>
          <w:bCs w:val="0"/>
          <w:color w:val="auto"/>
          <w:kern w:val="0"/>
          <w:szCs w:val="20"/>
          <w:lang w:val="en-US"/>
        </w:rPr>
        <w:t>可行性分析</w:t>
      </w:r>
      <w:bookmarkEnd w:id="408"/>
      <w:bookmarkEnd w:id="409"/>
      <w:bookmarkEnd w:id="410"/>
    </w:p>
    <w:p>
      <w:pPr>
        <w:pStyle w:val="33"/>
        <w:adjustRightInd w:val="0"/>
        <w:snapToGrid w:val="0"/>
        <w:spacing w:after="0" w:line="360" w:lineRule="auto"/>
        <w:ind w:left="0" w:leftChars="0"/>
        <w:outlineLvl w:val="2"/>
        <w:rPr>
          <w:rFonts w:eastAsia="黑体"/>
          <w:color w:val="auto"/>
          <w:kern w:val="21"/>
          <w:sz w:val="28"/>
          <w:szCs w:val="28"/>
        </w:rPr>
      </w:pPr>
      <w:r>
        <w:rPr>
          <w:rFonts w:eastAsia="黑体"/>
          <w:color w:val="auto"/>
          <w:kern w:val="21"/>
          <w:sz w:val="28"/>
          <w:szCs w:val="28"/>
        </w:rPr>
        <w:t xml:space="preserve">7.4.1噪声控制设计原则 </w:t>
      </w:r>
    </w:p>
    <w:p>
      <w:pPr>
        <w:adjustRightInd w:val="0"/>
        <w:snapToGrid w:val="0"/>
        <w:spacing w:line="360" w:lineRule="auto"/>
        <w:ind w:firstLine="480"/>
        <w:rPr>
          <w:color w:val="auto"/>
          <w:kern w:val="21"/>
          <w:sz w:val="24"/>
          <w:szCs w:val="22"/>
        </w:rPr>
      </w:pPr>
      <w:r>
        <w:rPr>
          <w:color w:val="auto"/>
          <w:kern w:val="21"/>
          <w:sz w:val="24"/>
          <w:szCs w:val="22"/>
        </w:rPr>
        <w:t xml:space="preserve">（1）在满足工艺设计要求的条件下，优先选用噪声低、振动小的设备，从声源上降低噪声对环境的影响。 </w:t>
      </w:r>
    </w:p>
    <w:p>
      <w:pPr>
        <w:adjustRightInd w:val="0"/>
        <w:snapToGrid w:val="0"/>
        <w:spacing w:line="360" w:lineRule="auto"/>
        <w:ind w:firstLine="480"/>
        <w:rPr>
          <w:color w:val="auto"/>
          <w:kern w:val="21"/>
          <w:sz w:val="24"/>
          <w:szCs w:val="22"/>
        </w:rPr>
      </w:pPr>
      <w:r>
        <w:rPr>
          <w:color w:val="auto"/>
          <w:kern w:val="21"/>
          <w:sz w:val="24"/>
          <w:szCs w:val="22"/>
        </w:rPr>
        <w:t>（2）在平面设计时，采用</w:t>
      </w:r>
      <w:r>
        <w:rPr>
          <w:rFonts w:hint="eastAsia"/>
          <w:color w:val="auto"/>
          <w:kern w:val="21"/>
          <w:sz w:val="24"/>
          <w:szCs w:val="22"/>
        </w:rPr>
        <w:t>“</w:t>
      </w:r>
      <w:r>
        <w:rPr>
          <w:color w:val="auto"/>
          <w:kern w:val="21"/>
          <w:sz w:val="24"/>
          <w:szCs w:val="22"/>
        </w:rPr>
        <w:t>动静分开</w:t>
      </w:r>
      <w:r>
        <w:rPr>
          <w:rFonts w:hint="eastAsia"/>
          <w:color w:val="auto"/>
          <w:kern w:val="21"/>
          <w:sz w:val="24"/>
          <w:szCs w:val="22"/>
        </w:rPr>
        <w:t>”</w:t>
      </w:r>
      <w:r>
        <w:rPr>
          <w:color w:val="auto"/>
          <w:kern w:val="21"/>
          <w:sz w:val="24"/>
          <w:szCs w:val="22"/>
        </w:rPr>
        <w:t>和</w:t>
      </w:r>
      <w:r>
        <w:rPr>
          <w:rFonts w:hint="eastAsia"/>
          <w:color w:val="auto"/>
          <w:kern w:val="21"/>
          <w:sz w:val="24"/>
          <w:szCs w:val="22"/>
        </w:rPr>
        <w:t>“</w:t>
      </w:r>
      <w:r>
        <w:rPr>
          <w:color w:val="auto"/>
          <w:kern w:val="21"/>
          <w:sz w:val="24"/>
          <w:szCs w:val="22"/>
        </w:rPr>
        <w:t>合理布局</w:t>
      </w:r>
      <w:r>
        <w:rPr>
          <w:rFonts w:hint="eastAsia"/>
          <w:color w:val="auto"/>
          <w:kern w:val="21"/>
          <w:sz w:val="24"/>
          <w:szCs w:val="22"/>
        </w:rPr>
        <w:t>”</w:t>
      </w:r>
      <w:r>
        <w:rPr>
          <w:color w:val="auto"/>
          <w:kern w:val="21"/>
          <w:sz w:val="24"/>
          <w:szCs w:val="22"/>
        </w:rPr>
        <w:t xml:space="preserve">的设计原则，使高噪声设备尽可能远离噪声敏感区，主要产噪车间均集中布置，并安装在室内以便统一采取降噪措施。 </w:t>
      </w:r>
    </w:p>
    <w:p>
      <w:pPr>
        <w:pStyle w:val="33"/>
        <w:adjustRightInd w:val="0"/>
        <w:snapToGrid w:val="0"/>
        <w:spacing w:after="0" w:line="360" w:lineRule="auto"/>
        <w:ind w:left="0" w:leftChars="0"/>
        <w:outlineLvl w:val="2"/>
        <w:rPr>
          <w:rFonts w:eastAsia="黑体"/>
          <w:color w:val="auto"/>
          <w:kern w:val="21"/>
          <w:sz w:val="28"/>
          <w:szCs w:val="28"/>
        </w:rPr>
      </w:pPr>
      <w:r>
        <w:rPr>
          <w:rFonts w:eastAsia="黑体"/>
          <w:color w:val="auto"/>
          <w:kern w:val="21"/>
          <w:sz w:val="28"/>
          <w:szCs w:val="28"/>
        </w:rPr>
        <w:t xml:space="preserve">7.4.2噪声防治措施可行性分析 </w:t>
      </w:r>
    </w:p>
    <w:p>
      <w:pPr>
        <w:adjustRightInd w:val="0"/>
        <w:snapToGrid w:val="0"/>
        <w:spacing w:line="360" w:lineRule="auto"/>
        <w:rPr>
          <w:color w:val="auto"/>
          <w:kern w:val="21"/>
          <w:sz w:val="24"/>
          <w:szCs w:val="22"/>
        </w:rPr>
      </w:pPr>
      <w:r>
        <w:rPr>
          <w:color w:val="auto"/>
          <w:kern w:val="21"/>
          <w:sz w:val="24"/>
          <w:szCs w:val="22"/>
        </w:rPr>
        <w:t xml:space="preserve">（1）拟建项目噪声污染源情况 </w:t>
      </w:r>
    </w:p>
    <w:p>
      <w:pPr>
        <w:adjustRightInd w:val="0"/>
        <w:snapToGrid w:val="0"/>
        <w:spacing w:line="360" w:lineRule="auto"/>
        <w:ind w:firstLine="480"/>
        <w:rPr>
          <w:color w:val="auto"/>
          <w:kern w:val="21"/>
          <w:sz w:val="24"/>
          <w:szCs w:val="22"/>
        </w:rPr>
      </w:pPr>
      <w:r>
        <w:rPr>
          <w:color w:val="auto"/>
          <w:kern w:val="21"/>
          <w:sz w:val="24"/>
          <w:szCs w:val="22"/>
        </w:rPr>
        <w:t>建设项目主要噪声源为冲床、风机、空压机等，噪声级为</w:t>
      </w:r>
      <w:r>
        <w:rPr>
          <w:rFonts w:hint="eastAsia"/>
          <w:color w:val="auto"/>
          <w:kern w:val="21"/>
          <w:sz w:val="24"/>
          <w:szCs w:val="22"/>
        </w:rPr>
        <w:t>75</w:t>
      </w:r>
      <w:r>
        <w:rPr>
          <w:color w:val="auto"/>
          <w:kern w:val="21"/>
          <w:sz w:val="24"/>
          <w:szCs w:val="22"/>
        </w:rPr>
        <w:t xml:space="preserve">~90dB(A)。 </w:t>
      </w:r>
    </w:p>
    <w:p>
      <w:pPr>
        <w:adjustRightInd w:val="0"/>
        <w:snapToGrid w:val="0"/>
        <w:spacing w:line="360" w:lineRule="auto"/>
        <w:rPr>
          <w:color w:val="auto"/>
          <w:kern w:val="21"/>
          <w:sz w:val="24"/>
          <w:szCs w:val="22"/>
        </w:rPr>
      </w:pPr>
      <w:r>
        <w:rPr>
          <w:color w:val="auto"/>
          <w:kern w:val="21"/>
          <w:sz w:val="24"/>
          <w:szCs w:val="22"/>
        </w:rPr>
        <w:t xml:space="preserve">（2）噪声防治措施 </w:t>
      </w:r>
    </w:p>
    <w:p>
      <w:pPr>
        <w:adjustRightInd w:val="0"/>
        <w:snapToGrid w:val="0"/>
        <w:spacing w:line="360" w:lineRule="auto"/>
        <w:ind w:firstLine="480"/>
        <w:rPr>
          <w:color w:val="auto"/>
          <w:kern w:val="21"/>
          <w:sz w:val="24"/>
          <w:szCs w:val="22"/>
        </w:rPr>
      </w:pPr>
      <w:r>
        <w:rPr>
          <w:color w:val="auto"/>
          <w:kern w:val="21"/>
          <w:sz w:val="24"/>
          <w:szCs w:val="22"/>
        </w:rPr>
        <w:t xml:space="preserve">噪声防治措施的总原则是：优先选用低噪声设备；对主要产噪设备采用隔声、消声、减振等降噪措施；对车间厂房进行消声、隔声处理；对操作人员进行防噪保护等措施。 </w:t>
      </w:r>
    </w:p>
    <w:p>
      <w:pPr>
        <w:adjustRightInd w:val="0"/>
        <w:snapToGrid w:val="0"/>
        <w:spacing w:line="360" w:lineRule="auto"/>
        <w:ind w:firstLine="480"/>
        <w:rPr>
          <w:color w:val="auto"/>
          <w:kern w:val="21"/>
          <w:sz w:val="24"/>
          <w:szCs w:val="22"/>
        </w:rPr>
      </w:pPr>
      <w:r>
        <w:rPr>
          <w:color w:val="auto"/>
          <w:kern w:val="21"/>
          <w:sz w:val="24"/>
          <w:szCs w:val="22"/>
        </w:rPr>
        <w:t xml:space="preserve">针对本项目主要噪声源分别提出以下防治措施： </w:t>
      </w:r>
    </w:p>
    <w:p>
      <w:pPr>
        <w:adjustRightInd w:val="0"/>
        <w:snapToGrid w:val="0"/>
        <w:spacing w:line="360" w:lineRule="auto"/>
        <w:ind w:firstLine="480" w:firstLineChars="200"/>
        <w:rPr>
          <w:color w:val="auto"/>
          <w:kern w:val="21"/>
          <w:sz w:val="24"/>
          <w:szCs w:val="22"/>
        </w:rPr>
      </w:pPr>
      <w:r>
        <w:rPr>
          <w:color w:val="auto"/>
          <w:kern w:val="21"/>
          <w:sz w:val="24"/>
          <w:szCs w:val="22"/>
        </w:rPr>
        <w:t xml:space="preserve">1）在设备选型时优选低噪设备，并加强对设备的维护和管理，使其始终处于最佳的运行状态，以降低噪声的产生。同时合理进行车间平面布局，并与厂界之间预留出相应的绿化隔声带的距离。 </w:t>
      </w:r>
    </w:p>
    <w:p>
      <w:pPr>
        <w:adjustRightInd w:val="0"/>
        <w:snapToGrid w:val="0"/>
        <w:spacing w:line="360" w:lineRule="auto"/>
        <w:ind w:firstLine="480"/>
        <w:rPr>
          <w:color w:val="auto"/>
          <w:kern w:val="21"/>
          <w:sz w:val="24"/>
          <w:szCs w:val="22"/>
        </w:rPr>
      </w:pPr>
      <w:r>
        <w:rPr>
          <w:rFonts w:eastAsia="仿宋"/>
          <w:color w:val="auto"/>
          <w:kern w:val="21"/>
          <w:sz w:val="24"/>
          <w:szCs w:val="24"/>
        </w:rPr>
        <w:t>2）</w:t>
      </w:r>
      <w:r>
        <w:rPr>
          <w:color w:val="auto"/>
          <w:kern w:val="21"/>
          <w:sz w:val="24"/>
          <w:szCs w:val="22"/>
        </w:rPr>
        <w:t>各类风机是强噪声源，设备声级值为</w:t>
      </w:r>
      <w:r>
        <w:rPr>
          <w:rFonts w:hint="eastAsia"/>
          <w:color w:val="auto"/>
          <w:kern w:val="21"/>
          <w:sz w:val="24"/>
          <w:szCs w:val="22"/>
          <w:lang w:val="en-US" w:eastAsia="zh-CN"/>
        </w:rPr>
        <w:t>70</w:t>
      </w:r>
      <w:r>
        <w:rPr>
          <w:color w:val="auto"/>
          <w:kern w:val="21"/>
          <w:sz w:val="24"/>
          <w:szCs w:val="22"/>
        </w:rPr>
        <w:t>～9</w:t>
      </w:r>
      <w:r>
        <w:rPr>
          <w:rFonts w:hint="eastAsia"/>
          <w:color w:val="auto"/>
          <w:kern w:val="21"/>
          <w:sz w:val="24"/>
          <w:szCs w:val="22"/>
          <w:lang w:val="en-US" w:eastAsia="zh-CN"/>
        </w:rPr>
        <w:t>0</w:t>
      </w:r>
      <w:r>
        <w:rPr>
          <w:color w:val="auto"/>
          <w:kern w:val="21"/>
          <w:sz w:val="24"/>
          <w:szCs w:val="22"/>
        </w:rPr>
        <w:t xml:space="preserve"> dB(A)。应将风机设置隔声罩进行降噪、同时加设减振基础；采取以上降噪措施后，能够实现降噪在25dB(A</w:t>
      </w:r>
      <w:r>
        <w:rPr>
          <w:rFonts w:hint="eastAsia"/>
          <w:color w:val="auto"/>
          <w:kern w:val="21"/>
          <w:sz w:val="24"/>
          <w:szCs w:val="22"/>
          <w:lang w:eastAsia="zh-CN"/>
        </w:rPr>
        <w:t>）</w:t>
      </w:r>
      <w:r>
        <w:rPr>
          <w:color w:val="auto"/>
          <w:kern w:val="21"/>
          <w:sz w:val="24"/>
          <w:szCs w:val="22"/>
        </w:rPr>
        <w:t xml:space="preserve">以上。 </w:t>
      </w:r>
    </w:p>
    <w:p>
      <w:pPr>
        <w:adjustRightInd w:val="0"/>
        <w:snapToGrid w:val="0"/>
        <w:spacing w:line="360" w:lineRule="auto"/>
        <w:ind w:firstLine="480"/>
        <w:rPr>
          <w:color w:val="auto"/>
          <w:kern w:val="21"/>
          <w:sz w:val="24"/>
          <w:szCs w:val="22"/>
        </w:rPr>
      </w:pPr>
      <w:r>
        <w:rPr>
          <w:color w:val="auto"/>
          <w:kern w:val="21"/>
          <w:sz w:val="24"/>
          <w:szCs w:val="22"/>
        </w:rPr>
        <w:t xml:space="preserve">3）在采取各类隔声、降噪措施后，建设单位还应在厂区的边界种植绿化隔声带，通过绿化带的隔声降噪作用降低工程噪声对环境的影响。 </w:t>
      </w:r>
    </w:p>
    <w:p>
      <w:pPr>
        <w:adjustRightInd w:val="0"/>
        <w:snapToGrid w:val="0"/>
        <w:spacing w:line="360" w:lineRule="auto"/>
        <w:rPr>
          <w:color w:val="auto"/>
          <w:kern w:val="21"/>
          <w:sz w:val="24"/>
          <w:szCs w:val="22"/>
        </w:rPr>
      </w:pPr>
      <w:r>
        <w:rPr>
          <w:color w:val="auto"/>
          <w:kern w:val="21"/>
          <w:sz w:val="24"/>
          <w:szCs w:val="22"/>
        </w:rPr>
        <w:t xml:space="preserve">（3）可行性分析 </w:t>
      </w:r>
    </w:p>
    <w:p>
      <w:pPr>
        <w:adjustRightInd w:val="0"/>
        <w:snapToGrid w:val="0"/>
        <w:spacing w:line="360" w:lineRule="auto"/>
        <w:ind w:firstLine="420"/>
        <w:rPr>
          <w:color w:val="auto"/>
          <w:kern w:val="21"/>
          <w:sz w:val="24"/>
          <w:szCs w:val="22"/>
        </w:rPr>
      </w:pPr>
      <w:r>
        <w:rPr>
          <w:color w:val="auto"/>
          <w:kern w:val="21"/>
          <w:sz w:val="24"/>
          <w:szCs w:val="22"/>
        </w:rPr>
        <w:t>厂房隔声是噪声控制中最常用、最有效的措施之一，其基本原理为：声波在通过空气的传播途径中，碰到匀质屏蔽物时，由于两分界面特性阻抗的改变，使部分声能被屏蔽物反射回去，一部分被屏蔽物吸收，只有一小部分声能可以透过屏蔽物传到另一端。显然，透射声能仅是入射声能的一部分，因此，通过设置适当的屏蔽物便可以使大部分声能反射回去，从而降低噪声的传播。本项目产噪设备部分布置在厂房内，隔声量可达到15-2</w:t>
      </w:r>
      <w:r>
        <w:rPr>
          <w:rFonts w:hint="eastAsia"/>
          <w:color w:val="auto"/>
          <w:kern w:val="21"/>
          <w:sz w:val="24"/>
          <w:szCs w:val="22"/>
        </w:rPr>
        <w:t>5</w:t>
      </w:r>
      <w:r>
        <w:rPr>
          <w:color w:val="auto"/>
          <w:kern w:val="21"/>
          <w:sz w:val="24"/>
          <w:szCs w:val="22"/>
        </w:rPr>
        <w:t>dB(A</w:t>
      </w:r>
      <w:r>
        <w:rPr>
          <w:rFonts w:hint="eastAsia"/>
          <w:color w:val="auto"/>
          <w:kern w:val="21"/>
          <w:sz w:val="24"/>
          <w:szCs w:val="22"/>
          <w:lang w:eastAsia="zh-CN"/>
        </w:rPr>
        <w:t>）</w:t>
      </w:r>
      <w:r>
        <w:rPr>
          <w:color w:val="auto"/>
          <w:kern w:val="21"/>
          <w:sz w:val="24"/>
          <w:szCs w:val="22"/>
        </w:rPr>
        <w:t xml:space="preserve">以上，可有效降低噪声源对外环境的影响。 </w:t>
      </w:r>
    </w:p>
    <w:p>
      <w:pPr>
        <w:adjustRightInd w:val="0"/>
        <w:snapToGrid w:val="0"/>
        <w:spacing w:line="360" w:lineRule="auto"/>
        <w:ind w:firstLine="480"/>
        <w:rPr>
          <w:color w:val="auto"/>
          <w:kern w:val="21"/>
          <w:sz w:val="24"/>
          <w:szCs w:val="22"/>
        </w:rPr>
      </w:pPr>
      <w:r>
        <w:rPr>
          <w:color w:val="auto"/>
          <w:kern w:val="21"/>
          <w:sz w:val="24"/>
          <w:szCs w:val="22"/>
        </w:rPr>
        <w:t xml:space="preserve">综上所述，项目建成后产生的各类噪声均采取了相应的治理措施，项目噪声源经以上措施处理后传至厂界的噪声值低于《工业企业厂界环境噪声排放标准》（GB12348-2008）中3类区标准要求，因此该项目噪声的治理是可行的。 </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11" w:name="_Toc16320"/>
      <w:bookmarkStart w:id="412" w:name="_Toc112338970"/>
      <w:bookmarkStart w:id="413" w:name="_Toc12293"/>
      <w:bookmarkStart w:id="414" w:name="_Toc1632_WPSOffice_Level2"/>
      <w:r>
        <w:rPr>
          <w:bCs w:val="0"/>
          <w:color w:val="auto"/>
          <w:kern w:val="0"/>
          <w:szCs w:val="20"/>
          <w:lang w:val="en-US"/>
        </w:rPr>
        <w:t>7.5固体废物污染防治措施</w:t>
      </w:r>
      <w:bookmarkEnd w:id="411"/>
      <w:r>
        <w:rPr>
          <w:bCs w:val="0"/>
          <w:color w:val="auto"/>
          <w:kern w:val="0"/>
          <w:szCs w:val="20"/>
          <w:lang w:val="en-US"/>
        </w:rPr>
        <w:t>可行性分析</w:t>
      </w:r>
      <w:bookmarkEnd w:id="412"/>
      <w:bookmarkEnd w:id="413"/>
      <w:bookmarkEnd w:id="414"/>
    </w:p>
    <w:p>
      <w:pPr>
        <w:pStyle w:val="33"/>
        <w:adjustRightInd w:val="0"/>
        <w:snapToGrid w:val="0"/>
        <w:spacing w:after="0" w:line="360" w:lineRule="auto"/>
        <w:ind w:left="0" w:leftChars="0"/>
        <w:outlineLvl w:val="2"/>
        <w:rPr>
          <w:rFonts w:eastAsia="黑体"/>
          <w:b/>
          <w:bCs/>
          <w:color w:val="auto"/>
          <w:kern w:val="21"/>
          <w:sz w:val="28"/>
          <w:szCs w:val="28"/>
          <w:u w:val="single"/>
        </w:rPr>
      </w:pPr>
      <w:r>
        <w:rPr>
          <w:rFonts w:eastAsia="黑体"/>
          <w:b/>
          <w:bCs/>
          <w:color w:val="auto"/>
          <w:kern w:val="21"/>
          <w:sz w:val="28"/>
          <w:szCs w:val="28"/>
          <w:u w:val="single"/>
        </w:rPr>
        <w:t>7.5.1一般固废防治措施可行性分析</w:t>
      </w:r>
    </w:p>
    <w:p>
      <w:pPr>
        <w:adjustRightInd w:val="0"/>
        <w:snapToGrid w:val="0"/>
        <w:spacing w:line="360" w:lineRule="auto"/>
        <w:ind w:firstLine="482" w:firstLineChars="200"/>
        <w:rPr>
          <w:b/>
          <w:bCs/>
          <w:color w:val="auto"/>
          <w:kern w:val="21"/>
          <w:sz w:val="24"/>
          <w:szCs w:val="24"/>
          <w:u w:val="single"/>
        </w:rPr>
      </w:pPr>
      <w:r>
        <w:rPr>
          <w:b/>
          <w:bCs/>
          <w:color w:val="auto"/>
          <w:kern w:val="21"/>
          <w:sz w:val="24"/>
          <w:szCs w:val="24"/>
          <w:u w:val="single"/>
        </w:rPr>
        <w:t>本项目产生的一般固体废物中不合格品、边角料收集后外售；</w:t>
      </w:r>
      <w:r>
        <w:rPr>
          <w:rFonts w:hint="eastAsia"/>
          <w:b/>
          <w:bCs/>
          <w:color w:val="auto"/>
          <w:kern w:val="21"/>
          <w:sz w:val="24"/>
          <w:u w:val="single"/>
        </w:rPr>
        <w:t>废RO膜由更换厂家回收；</w:t>
      </w:r>
      <w:r>
        <w:rPr>
          <w:b/>
          <w:bCs/>
          <w:color w:val="auto"/>
          <w:kern w:val="21"/>
          <w:sz w:val="24"/>
          <w:szCs w:val="24"/>
          <w:u w:val="single"/>
        </w:rPr>
        <w:t>职工生活垃圾收集后</w:t>
      </w:r>
      <w:r>
        <w:rPr>
          <w:rFonts w:hint="eastAsia"/>
          <w:b/>
          <w:bCs/>
          <w:color w:val="auto"/>
          <w:kern w:val="21"/>
          <w:sz w:val="24"/>
          <w:u w:val="single"/>
        </w:rPr>
        <w:t>定期运往垃圾中转站</w:t>
      </w:r>
      <w:r>
        <w:rPr>
          <w:b/>
          <w:bCs/>
          <w:color w:val="auto"/>
          <w:kern w:val="21"/>
          <w:sz w:val="24"/>
          <w:szCs w:val="24"/>
          <w:u w:val="single"/>
        </w:rPr>
        <w:t>。</w:t>
      </w:r>
    </w:p>
    <w:p>
      <w:pPr>
        <w:pStyle w:val="33"/>
        <w:adjustRightInd w:val="0"/>
        <w:snapToGrid w:val="0"/>
        <w:spacing w:after="0" w:line="360" w:lineRule="auto"/>
        <w:ind w:left="0" w:leftChars="0" w:firstLine="482" w:firstLineChars="200"/>
        <w:jc w:val="both"/>
        <w:rPr>
          <w:b/>
          <w:bCs/>
          <w:color w:val="auto"/>
          <w:kern w:val="21"/>
          <w:sz w:val="24"/>
          <w:u w:val="single"/>
        </w:rPr>
      </w:pPr>
      <w:r>
        <w:rPr>
          <w:b/>
          <w:bCs/>
          <w:color w:val="auto"/>
          <w:kern w:val="21"/>
          <w:sz w:val="24"/>
          <w:u w:val="single"/>
        </w:rPr>
        <w:t>一般固废贮存要求：本次评价要求一般固废收集存放设施应参照《一般工业固体废物贮存和填埋污染控制标准》（GB185</w:t>
      </w:r>
      <w:r>
        <w:rPr>
          <w:rFonts w:hint="eastAsia"/>
          <w:b/>
          <w:bCs/>
          <w:color w:val="auto"/>
          <w:kern w:val="21"/>
          <w:sz w:val="24"/>
          <w:u w:val="single"/>
        </w:rPr>
        <w:t>9</w:t>
      </w:r>
      <w:r>
        <w:rPr>
          <w:b/>
          <w:bCs/>
          <w:color w:val="auto"/>
          <w:kern w:val="21"/>
          <w:sz w:val="24"/>
          <w:u w:val="single"/>
        </w:rPr>
        <w:t>9-2020）的相关要求建设，应建设顶棚和围堰，地面进行防渗处理，防渗性能不低于1.5m厚，渗透系数≤1.0×10</w:t>
      </w:r>
      <w:r>
        <w:rPr>
          <w:b/>
          <w:bCs/>
          <w:color w:val="auto"/>
          <w:kern w:val="21"/>
          <w:sz w:val="24"/>
          <w:u w:val="single"/>
          <w:vertAlign w:val="superscript"/>
        </w:rPr>
        <w:t>-7</w:t>
      </w:r>
      <w:r>
        <w:rPr>
          <w:b/>
          <w:bCs/>
          <w:color w:val="auto"/>
          <w:kern w:val="21"/>
          <w:sz w:val="24"/>
          <w:u w:val="single"/>
        </w:rPr>
        <w:t>cm/s的黏土层的防渗性能，防止污染物流失造成二次污染，以</w:t>
      </w:r>
      <w:r>
        <w:rPr>
          <w:rFonts w:hint="eastAsia"/>
          <w:b/>
          <w:bCs/>
          <w:color w:val="auto"/>
          <w:kern w:val="21"/>
          <w:sz w:val="24"/>
          <w:u w:val="single"/>
        </w:rPr>
        <w:t>“</w:t>
      </w:r>
      <w:r>
        <w:rPr>
          <w:b/>
          <w:bCs/>
          <w:color w:val="auto"/>
          <w:kern w:val="21"/>
          <w:sz w:val="24"/>
          <w:u w:val="single"/>
        </w:rPr>
        <w:t>减量化、资源化、无害化</w:t>
      </w:r>
      <w:r>
        <w:rPr>
          <w:rFonts w:hint="eastAsia"/>
          <w:b/>
          <w:bCs/>
          <w:color w:val="auto"/>
          <w:kern w:val="21"/>
          <w:sz w:val="24"/>
          <w:u w:val="single"/>
        </w:rPr>
        <w:t>”</w:t>
      </w:r>
      <w:r>
        <w:rPr>
          <w:b/>
          <w:bCs/>
          <w:color w:val="auto"/>
          <w:kern w:val="21"/>
          <w:sz w:val="24"/>
          <w:u w:val="single"/>
        </w:rPr>
        <w:t>为基本原则，在综合利用的基础上，及时组织清运，最终经综合利用或妥善处置。建设1</w:t>
      </w:r>
      <w:r>
        <w:rPr>
          <w:rFonts w:hint="eastAsia"/>
          <w:b/>
          <w:bCs/>
          <w:color w:val="auto"/>
          <w:kern w:val="21"/>
          <w:sz w:val="24"/>
          <w:u w:val="single"/>
          <w:lang w:eastAsia="zh-CN"/>
        </w:rPr>
        <w:t>座</w:t>
      </w:r>
      <w:r>
        <w:rPr>
          <w:b/>
          <w:bCs/>
          <w:color w:val="auto"/>
          <w:kern w:val="21"/>
          <w:sz w:val="24"/>
          <w:u w:val="single"/>
        </w:rPr>
        <w:t>一般固废暂存间</w:t>
      </w:r>
      <w:r>
        <w:rPr>
          <w:rFonts w:hint="eastAsia"/>
          <w:b/>
          <w:bCs/>
          <w:color w:val="auto"/>
          <w:kern w:val="21"/>
          <w:sz w:val="24"/>
          <w:u w:val="single"/>
          <w:lang w:eastAsia="zh-CN"/>
        </w:rPr>
        <w:t>，占地</w:t>
      </w:r>
      <w:r>
        <w:rPr>
          <w:rFonts w:hint="eastAsia"/>
          <w:b/>
          <w:bCs/>
          <w:color w:val="auto"/>
          <w:kern w:val="21"/>
          <w:sz w:val="24"/>
          <w:u w:val="single"/>
          <w:lang w:val="en-US" w:eastAsia="zh-CN"/>
        </w:rPr>
        <w:t>面积</w:t>
      </w:r>
      <w:r>
        <w:rPr>
          <w:rFonts w:hint="eastAsia"/>
          <w:b/>
          <w:bCs/>
          <w:color w:val="auto"/>
          <w:kern w:val="21"/>
          <w:sz w:val="24"/>
          <w:u w:val="single"/>
        </w:rPr>
        <w:t>3</w:t>
      </w:r>
      <w:r>
        <w:rPr>
          <w:b/>
          <w:bCs/>
          <w:color w:val="auto"/>
          <w:kern w:val="21"/>
          <w:sz w:val="24"/>
          <w:u w:val="single"/>
        </w:rPr>
        <w:t>00m</w:t>
      </w:r>
      <w:r>
        <w:rPr>
          <w:b/>
          <w:bCs/>
          <w:color w:val="auto"/>
          <w:kern w:val="21"/>
          <w:sz w:val="24"/>
          <w:u w:val="single"/>
          <w:vertAlign w:val="superscript"/>
        </w:rPr>
        <w:t>2</w:t>
      </w:r>
      <w:r>
        <w:rPr>
          <w:b/>
          <w:bCs/>
          <w:color w:val="auto"/>
          <w:kern w:val="21"/>
          <w:sz w:val="24"/>
          <w:u w:val="single"/>
        </w:rPr>
        <w:t>。</w:t>
      </w:r>
    </w:p>
    <w:p>
      <w:pPr>
        <w:pStyle w:val="33"/>
        <w:adjustRightInd w:val="0"/>
        <w:snapToGrid w:val="0"/>
        <w:spacing w:after="0" w:line="360" w:lineRule="auto"/>
        <w:ind w:left="0" w:leftChars="0"/>
        <w:outlineLvl w:val="2"/>
        <w:rPr>
          <w:rFonts w:eastAsia="黑体"/>
          <w:b/>
          <w:bCs/>
          <w:color w:val="auto"/>
          <w:kern w:val="21"/>
          <w:sz w:val="28"/>
          <w:szCs w:val="28"/>
          <w:u w:val="single"/>
        </w:rPr>
      </w:pPr>
      <w:r>
        <w:rPr>
          <w:rFonts w:eastAsia="黑体"/>
          <w:b/>
          <w:bCs/>
          <w:color w:val="auto"/>
          <w:kern w:val="21"/>
          <w:sz w:val="28"/>
          <w:szCs w:val="28"/>
          <w:u w:val="single"/>
        </w:rPr>
        <w:t>7.5.2危险废物防治措施可行性分析</w:t>
      </w:r>
    </w:p>
    <w:p>
      <w:pPr>
        <w:adjustRightInd w:val="0"/>
        <w:snapToGrid w:val="0"/>
        <w:spacing w:line="360" w:lineRule="auto"/>
        <w:ind w:firstLine="482" w:firstLineChars="200"/>
        <w:rPr>
          <w:b/>
          <w:bCs/>
          <w:color w:val="auto"/>
          <w:kern w:val="21"/>
          <w:sz w:val="24"/>
          <w:szCs w:val="24"/>
          <w:u w:val="single"/>
        </w:rPr>
      </w:pPr>
      <w:r>
        <w:rPr>
          <w:b/>
          <w:bCs/>
          <w:color w:val="auto"/>
          <w:kern w:val="21"/>
          <w:sz w:val="24"/>
          <w:u w:val="single"/>
        </w:rPr>
        <w:t>本项目产生的</w:t>
      </w:r>
      <w:r>
        <w:rPr>
          <w:rFonts w:hint="eastAsia"/>
          <w:b/>
          <w:bCs/>
          <w:color w:val="auto"/>
          <w:kern w:val="21"/>
          <w:sz w:val="24"/>
          <w:u w:val="single"/>
        </w:rPr>
        <w:t>危险废物为镀镍槽液、镀锌槽液、含镍废物、含锌废物、含铬废物、</w:t>
      </w:r>
      <w:r>
        <w:rPr>
          <w:rFonts w:hint="eastAsia"/>
          <w:b/>
          <w:bCs/>
          <w:snapToGrid w:val="0"/>
          <w:color w:val="auto"/>
          <w:kern w:val="21"/>
          <w:sz w:val="24"/>
          <w:szCs w:val="24"/>
          <w:u w:val="single"/>
        </w:rPr>
        <w:t>气浮池污油</w:t>
      </w:r>
      <w:r>
        <w:rPr>
          <w:rFonts w:hint="eastAsia"/>
          <w:b/>
          <w:bCs/>
          <w:color w:val="auto"/>
          <w:kern w:val="21"/>
          <w:sz w:val="24"/>
          <w:u w:val="single"/>
        </w:rPr>
        <w:t>、废机油、废水反渗透膜、生化处理污泥</w:t>
      </w:r>
      <w:r>
        <w:rPr>
          <w:b/>
          <w:bCs/>
          <w:color w:val="auto"/>
          <w:kern w:val="21"/>
          <w:sz w:val="24"/>
          <w:szCs w:val="24"/>
          <w:u w:val="single"/>
        </w:rPr>
        <w:t>，各类危险废物除镀槽槽液直接拉走以外，其余危废进行分类暂存至厂房北侧的危险废物暂存间暂存，定期交有资质单位处置。</w:t>
      </w:r>
    </w:p>
    <w:p>
      <w:pPr>
        <w:adjustRightInd w:val="0"/>
        <w:snapToGrid w:val="0"/>
        <w:spacing w:line="360" w:lineRule="auto"/>
        <w:ind w:firstLine="482" w:firstLineChars="200"/>
        <w:rPr>
          <w:b/>
          <w:color w:val="auto"/>
          <w:kern w:val="21"/>
          <w:sz w:val="24"/>
          <w:u w:val="single"/>
        </w:rPr>
      </w:pPr>
    </w:p>
    <w:p>
      <w:pPr>
        <w:adjustRightInd w:val="0"/>
        <w:snapToGrid w:val="0"/>
        <w:spacing w:line="360" w:lineRule="auto"/>
        <w:ind w:firstLine="480" w:firstLineChars="200"/>
        <w:rPr>
          <w:color w:val="auto"/>
          <w:kern w:val="21"/>
          <w:sz w:val="24"/>
          <w:szCs w:val="24"/>
        </w:rPr>
        <w:sectPr>
          <w:footerReference r:id="rId24" w:type="default"/>
          <w:pgSz w:w="11907" w:h="16840"/>
          <w:pgMar w:top="1440" w:right="1797" w:bottom="1440" w:left="1797" w:header="1134" w:footer="992" w:gutter="0"/>
          <w:cols w:space="720" w:num="1"/>
          <w:docGrid w:linePitch="312" w:charSpace="0"/>
        </w:sectPr>
      </w:pPr>
    </w:p>
    <w:p>
      <w:pPr>
        <w:tabs>
          <w:tab w:val="left" w:pos="3227"/>
        </w:tabs>
        <w:adjustRightInd w:val="0"/>
        <w:snapToGrid w:val="0"/>
        <w:jc w:val="center"/>
        <w:rPr>
          <w:rFonts w:eastAsia="黑体"/>
          <w:color w:val="auto"/>
          <w:kern w:val="21"/>
          <w:sz w:val="24"/>
          <w:szCs w:val="24"/>
        </w:rPr>
      </w:pPr>
      <w:r>
        <w:rPr>
          <w:rFonts w:eastAsia="黑体"/>
          <w:color w:val="auto"/>
          <w:kern w:val="21"/>
          <w:sz w:val="24"/>
          <w:szCs w:val="24"/>
        </w:rPr>
        <w:t>表</w:t>
      </w:r>
      <w:r>
        <w:rPr>
          <w:rFonts w:hint="eastAsia" w:eastAsia="黑体"/>
          <w:color w:val="auto"/>
          <w:kern w:val="21"/>
          <w:sz w:val="24"/>
          <w:szCs w:val="24"/>
        </w:rPr>
        <w:t>7.5-1</w:t>
      </w:r>
      <w:r>
        <w:rPr>
          <w:rFonts w:eastAsia="黑体"/>
          <w:color w:val="auto"/>
          <w:kern w:val="21"/>
          <w:sz w:val="24"/>
          <w:szCs w:val="24"/>
        </w:rPr>
        <w:t xml:space="preserve">  本项目危险废弃物产生情况统计表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074"/>
        <w:gridCol w:w="1130"/>
        <w:gridCol w:w="1199"/>
        <w:gridCol w:w="1029"/>
        <w:gridCol w:w="1793"/>
        <w:gridCol w:w="765"/>
        <w:gridCol w:w="1124"/>
        <w:gridCol w:w="1156"/>
        <w:gridCol w:w="1124"/>
        <w:gridCol w:w="858"/>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77"/>
              <w:adjustRightInd w:val="0"/>
              <w:snapToGrid w:val="0"/>
              <w:rPr>
                <w:b/>
                <w:bCs/>
                <w:color w:val="auto"/>
                <w:kern w:val="21"/>
              </w:rPr>
            </w:pPr>
            <w:r>
              <w:rPr>
                <w:b/>
                <w:bCs/>
                <w:color w:val="auto"/>
                <w:kern w:val="21"/>
              </w:rPr>
              <w:t>序号</w:t>
            </w:r>
          </w:p>
        </w:tc>
        <w:tc>
          <w:tcPr>
            <w:tcW w:w="1074" w:type="dxa"/>
            <w:vAlign w:val="center"/>
          </w:tcPr>
          <w:p>
            <w:pPr>
              <w:pStyle w:val="377"/>
              <w:adjustRightInd w:val="0"/>
              <w:snapToGrid w:val="0"/>
              <w:jc w:val="center"/>
              <w:rPr>
                <w:b/>
                <w:bCs/>
                <w:color w:val="auto"/>
                <w:kern w:val="21"/>
              </w:rPr>
            </w:pPr>
            <w:r>
              <w:rPr>
                <w:b/>
                <w:bCs/>
                <w:color w:val="auto"/>
                <w:kern w:val="21"/>
              </w:rPr>
              <w:t>危险废物 名称</w:t>
            </w:r>
          </w:p>
        </w:tc>
        <w:tc>
          <w:tcPr>
            <w:tcW w:w="1130" w:type="dxa"/>
            <w:vAlign w:val="center"/>
          </w:tcPr>
          <w:p>
            <w:pPr>
              <w:pStyle w:val="377"/>
              <w:adjustRightInd w:val="0"/>
              <w:snapToGrid w:val="0"/>
              <w:jc w:val="center"/>
              <w:rPr>
                <w:b/>
                <w:bCs/>
                <w:color w:val="auto"/>
                <w:kern w:val="21"/>
              </w:rPr>
            </w:pPr>
            <w:r>
              <w:rPr>
                <w:b/>
                <w:bCs/>
                <w:color w:val="auto"/>
                <w:kern w:val="21"/>
              </w:rPr>
              <w:t>危险废物类别</w:t>
            </w:r>
          </w:p>
        </w:tc>
        <w:tc>
          <w:tcPr>
            <w:tcW w:w="1199" w:type="dxa"/>
            <w:vAlign w:val="center"/>
          </w:tcPr>
          <w:p>
            <w:pPr>
              <w:pStyle w:val="377"/>
              <w:adjustRightInd w:val="0"/>
              <w:snapToGrid w:val="0"/>
              <w:jc w:val="center"/>
              <w:rPr>
                <w:b/>
                <w:bCs/>
                <w:color w:val="auto"/>
                <w:kern w:val="21"/>
              </w:rPr>
            </w:pPr>
            <w:r>
              <w:rPr>
                <w:b/>
                <w:bCs/>
                <w:color w:val="auto"/>
                <w:kern w:val="21"/>
              </w:rPr>
              <w:t>危险废物代码</w:t>
            </w:r>
          </w:p>
        </w:tc>
        <w:tc>
          <w:tcPr>
            <w:tcW w:w="1029" w:type="dxa"/>
            <w:vAlign w:val="center"/>
          </w:tcPr>
          <w:p>
            <w:pPr>
              <w:pStyle w:val="377"/>
              <w:adjustRightInd w:val="0"/>
              <w:snapToGrid w:val="0"/>
              <w:jc w:val="center"/>
              <w:rPr>
                <w:b/>
                <w:bCs/>
                <w:color w:val="auto"/>
                <w:kern w:val="21"/>
              </w:rPr>
            </w:pPr>
            <w:r>
              <w:rPr>
                <w:b/>
                <w:bCs/>
                <w:color w:val="auto"/>
                <w:kern w:val="21"/>
              </w:rPr>
              <w:t>产生量</w:t>
            </w:r>
          </w:p>
          <w:p>
            <w:pPr>
              <w:pStyle w:val="377"/>
              <w:adjustRightInd w:val="0"/>
              <w:snapToGrid w:val="0"/>
              <w:jc w:val="center"/>
              <w:rPr>
                <w:b/>
                <w:bCs/>
                <w:color w:val="auto"/>
                <w:kern w:val="21"/>
              </w:rPr>
            </w:pPr>
            <w:r>
              <w:rPr>
                <w:rFonts w:hint="eastAsia"/>
                <w:b/>
                <w:bCs/>
                <w:color w:val="auto"/>
                <w:kern w:val="21"/>
              </w:rPr>
              <w:t>t/a</w:t>
            </w:r>
          </w:p>
        </w:tc>
        <w:tc>
          <w:tcPr>
            <w:tcW w:w="1793" w:type="dxa"/>
            <w:vAlign w:val="center"/>
          </w:tcPr>
          <w:p>
            <w:pPr>
              <w:pStyle w:val="377"/>
              <w:adjustRightInd w:val="0"/>
              <w:snapToGrid w:val="0"/>
              <w:jc w:val="center"/>
              <w:rPr>
                <w:b/>
                <w:bCs/>
                <w:color w:val="auto"/>
                <w:kern w:val="21"/>
              </w:rPr>
            </w:pPr>
            <w:r>
              <w:rPr>
                <w:b/>
                <w:bCs/>
                <w:color w:val="auto"/>
                <w:kern w:val="21"/>
              </w:rPr>
              <w:t>产生工序及装置</w:t>
            </w:r>
          </w:p>
        </w:tc>
        <w:tc>
          <w:tcPr>
            <w:tcW w:w="765" w:type="dxa"/>
            <w:vAlign w:val="center"/>
          </w:tcPr>
          <w:p>
            <w:pPr>
              <w:pStyle w:val="377"/>
              <w:adjustRightInd w:val="0"/>
              <w:snapToGrid w:val="0"/>
              <w:jc w:val="center"/>
              <w:rPr>
                <w:b/>
                <w:bCs/>
                <w:color w:val="auto"/>
                <w:kern w:val="21"/>
              </w:rPr>
            </w:pPr>
            <w:r>
              <w:rPr>
                <w:b/>
                <w:bCs/>
                <w:color w:val="auto"/>
                <w:kern w:val="21"/>
              </w:rPr>
              <w:t>形态</w:t>
            </w:r>
          </w:p>
        </w:tc>
        <w:tc>
          <w:tcPr>
            <w:tcW w:w="1124" w:type="dxa"/>
            <w:vAlign w:val="center"/>
          </w:tcPr>
          <w:p>
            <w:pPr>
              <w:pStyle w:val="377"/>
              <w:adjustRightInd w:val="0"/>
              <w:snapToGrid w:val="0"/>
              <w:jc w:val="center"/>
              <w:rPr>
                <w:b/>
                <w:bCs/>
                <w:color w:val="auto"/>
                <w:kern w:val="21"/>
              </w:rPr>
            </w:pPr>
            <w:r>
              <w:rPr>
                <w:b/>
                <w:bCs/>
                <w:color w:val="auto"/>
                <w:kern w:val="21"/>
              </w:rPr>
              <w:t>主要成分</w:t>
            </w:r>
          </w:p>
        </w:tc>
        <w:tc>
          <w:tcPr>
            <w:tcW w:w="1156" w:type="dxa"/>
            <w:vAlign w:val="center"/>
          </w:tcPr>
          <w:p>
            <w:pPr>
              <w:pStyle w:val="377"/>
              <w:adjustRightInd w:val="0"/>
              <w:snapToGrid w:val="0"/>
              <w:jc w:val="center"/>
              <w:rPr>
                <w:b/>
                <w:bCs/>
                <w:color w:val="auto"/>
                <w:kern w:val="21"/>
              </w:rPr>
            </w:pPr>
            <w:r>
              <w:rPr>
                <w:b/>
                <w:bCs/>
                <w:color w:val="auto"/>
                <w:kern w:val="21"/>
              </w:rPr>
              <w:t>有害成分</w:t>
            </w:r>
          </w:p>
        </w:tc>
        <w:tc>
          <w:tcPr>
            <w:tcW w:w="1124" w:type="dxa"/>
            <w:vAlign w:val="center"/>
          </w:tcPr>
          <w:p>
            <w:pPr>
              <w:pStyle w:val="377"/>
              <w:adjustRightInd w:val="0"/>
              <w:snapToGrid w:val="0"/>
              <w:jc w:val="center"/>
              <w:rPr>
                <w:b/>
                <w:bCs/>
                <w:color w:val="auto"/>
                <w:kern w:val="21"/>
              </w:rPr>
            </w:pPr>
            <w:r>
              <w:rPr>
                <w:b/>
                <w:bCs/>
                <w:color w:val="auto"/>
                <w:kern w:val="21"/>
              </w:rPr>
              <w:t>产废周期</w:t>
            </w:r>
          </w:p>
        </w:tc>
        <w:tc>
          <w:tcPr>
            <w:tcW w:w="858" w:type="dxa"/>
            <w:vAlign w:val="center"/>
          </w:tcPr>
          <w:p>
            <w:pPr>
              <w:pStyle w:val="377"/>
              <w:adjustRightInd w:val="0"/>
              <w:snapToGrid w:val="0"/>
              <w:jc w:val="center"/>
              <w:rPr>
                <w:b/>
                <w:bCs/>
                <w:color w:val="auto"/>
                <w:kern w:val="21"/>
              </w:rPr>
            </w:pPr>
            <w:r>
              <w:rPr>
                <w:b/>
                <w:bCs/>
                <w:color w:val="auto"/>
                <w:kern w:val="21"/>
              </w:rPr>
              <w:t>危险</w:t>
            </w:r>
          </w:p>
          <w:p>
            <w:pPr>
              <w:pStyle w:val="377"/>
              <w:adjustRightInd w:val="0"/>
              <w:snapToGrid w:val="0"/>
              <w:jc w:val="center"/>
              <w:rPr>
                <w:b/>
                <w:bCs/>
                <w:color w:val="auto"/>
                <w:kern w:val="21"/>
              </w:rPr>
            </w:pPr>
            <w:r>
              <w:rPr>
                <w:b/>
                <w:bCs/>
                <w:color w:val="auto"/>
                <w:kern w:val="21"/>
              </w:rPr>
              <w:t>特性</w:t>
            </w:r>
          </w:p>
        </w:tc>
        <w:tc>
          <w:tcPr>
            <w:tcW w:w="1118" w:type="dxa"/>
            <w:vAlign w:val="center"/>
          </w:tcPr>
          <w:p>
            <w:pPr>
              <w:pStyle w:val="377"/>
              <w:adjustRightInd w:val="0"/>
              <w:snapToGrid w:val="0"/>
              <w:jc w:val="center"/>
              <w:rPr>
                <w:b/>
                <w:bCs/>
                <w:color w:val="auto"/>
                <w:kern w:val="21"/>
              </w:rPr>
            </w:pPr>
            <w:r>
              <w:rPr>
                <w:b/>
                <w:bCs/>
                <w:color w:val="auto"/>
                <w:kern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color w:val="auto"/>
                <w:kern w:val="21"/>
                <w:szCs w:val="21"/>
              </w:rPr>
              <w:t>1</w:t>
            </w:r>
          </w:p>
        </w:tc>
        <w:tc>
          <w:tcPr>
            <w:tcW w:w="107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镀镍槽液</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336-054-17</w:t>
            </w:r>
          </w:p>
        </w:tc>
        <w:tc>
          <w:tcPr>
            <w:tcW w:w="102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656.1</w:t>
            </w:r>
            <w:r>
              <w:rPr>
                <w:color w:val="auto"/>
                <w:kern w:val="21"/>
                <w:szCs w:val="21"/>
              </w:rPr>
              <w:t>（5a）</w:t>
            </w:r>
          </w:p>
        </w:tc>
        <w:tc>
          <w:tcPr>
            <w:tcW w:w="1793" w:type="dxa"/>
            <w:vAlign w:val="center"/>
          </w:tcPr>
          <w:p>
            <w:pPr>
              <w:pStyle w:val="33"/>
              <w:adjustRightInd w:val="0"/>
              <w:snapToGrid w:val="0"/>
              <w:spacing w:after="0"/>
              <w:ind w:left="0" w:leftChars="0"/>
              <w:jc w:val="center"/>
              <w:rPr>
                <w:color w:val="auto"/>
                <w:kern w:val="21"/>
                <w:szCs w:val="21"/>
              </w:rPr>
            </w:pPr>
            <w:r>
              <w:rPr>
                <w:color w:val="auto"/>
                <w:kern w:val="21"/>
                <w:szCs w:val="21"/>
              </w:rPr>
              <w:t>镀镍槽</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szCs w:val="21"/>
              </w:rPr>
              <w:t>液体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水、镍</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镍</w:t>
            </w:r>
          </w:p>
        </w:tc>
        <w:tc>
          <w:tcPr>
            <w:tcW w:w="112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5年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T</w:t>
            </w:r>
          </w:p>
        </w:tc>
        <w:tc>
          <w:tcPr>
            <w:tcW w:w="1118" w:type="dxa"/>
            <w:vMerge w:val="restart"/>
            <w:vAlign w:val="center"/>
          </w:tcPr>
          <w:p>
            <w:pPr>
              <w:pStyle w:val="33"/>
              <w:adjustRightInd w:val="0"/>
              <w:snapToGrid w:val="0"/>
              <w:spacing w:after="0"/>
              <w:ind w:left="0" w:leftChars="0"/>
              <w:jc w:val="center"/>
              <w:rPr>
                <w:color w:val="auto"/>
                <w:kern w:val="21"/>
                <w:szCs w:val="21"/>
              </w:rPr>
            </w:pPr>
            <w:r>
              <w:rPr>
                <w:color w:val="auto"/>
                <w:kern w:val="21"/>
                <w:szCs w:val="21"/>
              </w:rPr>
              <w:t>危废暂存间分类暂存，定期委托有资质的单位处置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color w:val="auto"/>
                <w:kern w:val="21"/>
                <w:szCs w:val="21"/>
              </w:rPr>
              <w:t>2</w:t>
            </w:r>
          </w:p>
        </w:tc>
        <w:tc>
          <w:tcPr>
            <w:tcW w:w="107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镀锌槽液</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336-052-17</w:t>
            </w:r>
          </w:p>
        </w:tc>
        <w:tc>
          <w:tcPr>
            <w:tcW w:w="102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21.42</w:t>
            </w:r>
            <w:r>
              <w:rPr>
                <w:color w:val="auto"/>
                <w:kern w:val="21"/>
                <w:szCs w:val="21"/>
              </w:rPr>
              <w:t>（5a）</w:t>
            </w:r>
          </w:p>
        </w:tc>
        <w:tc>
          <w:tcPr>
            <w:tcW w:w="1793" w:type="dxa"/>
            <w:vAlign w:val="center"/>
          </w:tcPr>
          <w:p>
            <w:pPr>
              <w:pStyle w:val="33"/>
              <w:adjustRightInd w:val="0"/>
              <w:snapToGrid w:val="0"/>
              <w:spacing w:after="0"/>
              <w:ind w:left="0" w:leftChars="0"/>
              <w:jc w:val="center"/>
              <w:rPr>
                <w:color w:val="auto"/>
                <w:kern w:val="21"/>
                <w:szCs w:val="21"/>
              </w:rPr>
            </w:pPr>
            <w:r>
              <w:rPr>
                <w:color w:val="auto"/>
                <w:kern w:val="21"/>
                <w:szCs w:val="21"/>
              </w:rPr>
              <w:t>镀锌槽</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szCs w:val="21"/>
              </w:rPr>
              <w:t>液体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水、锌</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锌</w:t>
            </w:r>
          </w:p>
        </w:tc>
        <w:tc>
          <w:tcPr>
            <w:tcW w:w="1124" w:type="dxa"/>
            <w:vAlign w:val="center"/>
          </w:tcPr>
          <w:p>
            <w:pPr>
              <w:adjustRightInd w:val="0"/>
              <w:snapToGrid w:val="0"/>
              <w:jc w:val="center"/>
              <w:rPr>
                <w:color w:val="auto"/>
                <w:kern w:val="21"/>
              </w:rPr>
            </w:pPr>
            <w:r>
              <w:rPr>
                <w:rFonts w:hint="eastAsia"/>
                <w:color w:val="auto"/>
                <w:kern w:val="21"/>
              </w:rPr>
              <w:t>5年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T</w:t>
            </w:r>
          </w:p>
        </w:tc>
        <w:tc>
          <w:tcPr>
            <w:tcW w:w="1118" w:type="dxa"/>
            <w:vMerge w:val="continue"/>
            <w:vAlign w:val="center"/>
          </w:tcPr>
          <w:p>
            <w:pPr>
              <w:pStyle w:val="33"/>
              <w:adjustRightInd w:val="0"/>
              <w:snapToGrid w:val="0"/>
              <w:spacing w:after="0"/>
              <w:ind w:left="0" w:leftChars="0"/>
              <w:jc w:val="center"/>
              <w:rPr>
                <w:color w:val="auto"/>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color w:val="auto"/>
                <w:kern w:val="21"/>
                <w:szCs w:val="21"/>
              </w:rPr>
              <w:t>3</w:t>
            </w:r>
          </w:p>
        </w:tc>
        <w:tc>
          <w:tcPr>
            <w:tcW w:w="1074" w:type="dxa"/>
            <w:vAlign w:val="center"/>
          </w:tcPr>
          <w:p>
            <w:pPr>
              <w:pStyle w:val="33"/>
              <w:adjustRightInd w:val="0"/>
              <w:snapToGrid w:val="0"/>
              <w:spacing w:after="0"/>
              <w:ind w:left="0" w:leftChars="0"/>
              <w:jc w:val="center"/>
              <w:rPr>
                <w:color w:val="auto"/>
                <w:kern w:val="21"/>
                <w:szCs w:val="21"/>
              </w:rPr>
            </w:pPr>
            <w:r>
              <w:rPr>
                <w:color w:val="auto"/>
                <w:kern w:val="21"/>
                <w:szCs w:val="21"/>
              </w:rPr>
              <w:t>含镍废物</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336-054-17</w:t>
            </w:r>
          </w:p>
        </w:tc>
        <w:tc>
          <w:tcPr>
            <w:tcW w:w="1029" w:type="dxa"/>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49.89</w:t>
            </w:r>
          </w:p>
        </w:tc>
        <w:tc>
          <w:tcPr>
            <w:tcW w:w="1793" w:type="dxa"/>
            <w:vAlign w:val="center"/>
          </w:tcPr>
          <w:p>
            <w:pPr>
              <w:pStyle w:val="33"/>
              <w:adjustRightInd w:val="0"/>
              <w:snapToGrid w:val="0"/>
              <w:spacing w:after="0"/>
              <w:ind w:left="0" w:leftChars="0"/>
              <w:jc w:val="center"/>
              <w:rPr>
                <w:rFonts w:hint="eastAsia" w:eastAsia="宋体"/>
                <w:color w:val="auto"/>
                <w:kern w:val="21"/>
                <w:szCs w:val="21"/>
                <w:lang w:eastAsia="zh-CN"/>
              </w:rPr>
            </w:pPr>
            <w:r>
              <w:rPr>
                <w:color w:val="auto"/>
                <w:kern w:val="21"/>
                <w:szCs w:val="21"/>
              </w:rPr>
              <w:t>镀镍槽</w:t>
            </w:r>
          </w:p>
        </w:tc>
        <w:tc>
          <w:tcPr>
            <w:tcW w:w="765" w:type="dxa"/>
            <w:vAlign w:val="center"/>
          </w:tcPr>
          <w:p>
            <w:pPr>
              <w:adjustRightInd w:val="0"/>
              <w:snapToGrid w:val="0"/>
              <w:jc w:val="center"/>
              <w:rPr>
                <w:color w:val="auto"/>
                <w:kern w:val="21"/>
              </w:rPr>
            </w:pPr>
            <w:r>
              <w:rPr>
                <w:color w:val="auto"/>
                <w:kern w:val="21"/>
              </w:rPr>
              <w:t>固体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镍</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镍</w:t>
            </w:r>
          </w:p>
        </w:tc>
        <w:tc>
          <w:tcPr>
            <w:tcW w:w="1124" w:type="dxa"/>
            <w:vAlign w:val="center"/>
          </w:tcPr>
          <w:p>
            <w:pPr>
              <w:adjustRightInd w:val="0"/>
              <w:snapToGrid w:val="0"/>
              <w:jc w:val="center"/>
              <w:rPr>
                <w:rFonts w:hint="eastAsia" w:eastAsia="宋体"/>
                <w:color w:val="auto"/>
                <w:kern w:val="21"/>
                <w:lang w:eastAsia="zh-CN"/>
              </w:rPr>
            </w:pPr>
            <w:r>
              <w:rPr>
                <w:rFonts w:hint="eastAsia"/>
                <w:color w:val="auto"/>
                <w:kern w:val="21"/>
                <w:lang w:eastAsia="zh-CN"/>
              </w:rPr>
              <w:t>年</w:t>
            </w:r>
          </w:p>
        </w:tc>
        <w:tc>
          <w:tcPr>
            <w:tcW w:w="858" w:type="dxa"/>
            <w:vAlign w:val="center"/>
          </w:tcPr>
          <w:p>
            <w:pPr>
              <w:adjustRightInd w:val="0"/>
              <w:snapToGrid w:val="0"/>
              <w:jc w:val="center"/>
              <w:rPr>
                <w:color w:val="auto"/>
                <w:kern w:val="21"/>
              </w:rPr>
            </w:pPr>
            <w:r>
              <w:rPr>
                <w:rFonts w:hint="eastAsia"/>
                <w:color w:val="auto"/>
                <w:kern w:val="21"/>
              </w:rPr>
              <w:t>T</w:t>
            </w:r>
          </w:p>
        </w:tc>
        <w:tc>
          <w:tcPr>
            <w:tcW w:w="1118" w:type="dxa"/>
            <w:vMerge w:val="continue"/>
            <w:vAlign w:val="center"/>
          </w:tcPr>
          <w:p>
            <w:pPr>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color w:val="auto"/>
                <w:kern w:val="21"/>
                <w:szCs w:val="21"/>
              </w:rPr>
              <w:t>4</w:t>
            </w:r>
          </w:p>
        </w:tc>
        <w:tc>
          <w:tcPr>
            <w:tcW w:w="1074" w:type="dxa"/>
            <w:vAlign w:val="center"/>
          </w:tcPr>
          <w:p>
            <w:pPr>
              <w:pStyle w:val="33"/>
              <w:adjustRightInd w:val="0"/>
              <w:snapToGrid w:val="0"/>
              <w:spacing w:after="0"/>
              <w:ind w:left="0" w:leftChars="0"/>
              <w:jc w:val="center"/>
              <w:rPr>
                <w:color w:val="auto"/>
                <w:kern w:val="21"/>
                <w:szCs w:val="21"/>
              </w:rPr>
            </w:pPr>
            <w:r>
              <w:rPr>
                <w:color w:val="auto"/>
                <w:kern w:val="21"/>
                <w:szCs w:val="21"/>
              </w:rPr>
              <w:t>含锌废物</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336-052-17</w:t>
            </w:r>
          </w:p>
        </w:tc>
        <w:tc>
          <w:tcPr>
            <w:tcW w:w="1029" w:type="dxa"/>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2.571</w:t>
            </w:r>
          </w:p>
        </w:tc>
        <w:tc>
          <w:tcPr>
            <w:tcW w:w="1793" w:type="dxa"/>
            <w:vAlign w:val="center"/>
          </w:tcPr>
          <w:p>
            <w:pPr>
              <w:pStyle w:val="33"/>
              <w:adjustRightInd w:val="0"/>
              <w:snapToGrid w:val="0"/>
              <w:spacing w:after="0"/>
              <w:ind w:left="0" w:leftChars="0"/>
              <w:jc w:val="center"/>
              <w:rPr>
                <w:rFonts w:hint="eastAsia" w:eastAsia="宋体"/>
                <w:color w:val="auto"/>
                <w:kern w:val="21"/>
                <w:szCs w:val="21"/>
                <w:lang w:eastAsia="zh-CN"/>
              </w:rPr>
            </w:pPr>
            <w:r>
              <w:rPr>
                <w:color w:val="auto"/>
                <w:kern w:val="21"/>
                <w:szCs w:val="21"/>
              </w:rPr>
              <w:t>镀锌槽</w:t>
            </w:r>
          </w:p>
        </w:tc>
        <w:tc>
          <w:tcPr>
            <w:tcW w:w="765" w:type="dxa"/>
            <w:vAlign w:val="center"/>
          </w:tcPr>
          <w:p>
            <w:pPr>
              <w:adjustRightInd w:val="0"/>
              <w:snapToGrid w:val="0"/>
              <w:jc w:val="center"/>
              <w:rPr>
                <w:color w:val="auto"/>
                <w:kern w:val="21"/>
              </w:rPr>
            </w:pPr>
            <w:r>
              <w:rPr>
                <w:color w:val="auto"/>
                <w:kern w:val="21"/>
              </w:rPr>
              <w:t>固体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锌</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锌</w:t>
            </w:r>
          </w:p>
        </w:tc>
        <w:tc>
          <w:tcPr>
            <w:tcW w:w="1124" w:type="dxa"/>
            <w:vAlign w:val="center"/>
          </w:tcPr>
          <w:p>
            <w:pPr>
              <w:adjustRightInd w:val="0"/>
              <w:snapToGrid w:val="0"/>
              <w:jc w:val="center"/>
              <w:rPr>
                <w:color w:val="auto"/>
                <w:kern w:val="21"/>
              </w:rPr>
            </w:pPr>
            <w:r>
              <w:rPr>
                <w:rFonts w:hint="eastAsia"/>
                <w:color w:val="auto"/>
                <w:kern w:val="21"/>
                <w:lang w:eastAsia="zh-CN"/>
              </w:rPr>
              <w:t>年</w:t>
            </w:r>
          </w:p>
        </w:tc>
        <w:tc>
          <w:tcPr>
            <w:tcW w:w="858" w:type="dxa"/>
            <w:vAlign w:val="center"/>
          </w:tcPr>
          <w:p>
            <w:pPr>
              <w:adjustRightInd w:val="0"/>
              <w:snapToGrid w:val="0"/>
              <w:jc w:val="center"/>
              <w:rPr>
                <w:color w:val="auto"/>
                <w:kern w:val="21"/>
              </w:rPr>
            </w:pPr>
            <w:r>
              <w:rPr>
                <w:rFonts w:hint="eastAsia"/>
                <w:color w:val="auto"/>
                <w:kern w:val="21"/>
              </w:rPr>
              <w:t>T</w:t>
            </w:r>
          </w:p>
        </w:tc>
        <w:tc>
          <w:tcPr>
            <w:tcW w:w="1118" w:type="dxa"/>
            <w:vMerge w:val="continue"/>
            <w:vAlign w:val="center"/>
          </w:tcPr>
          <w:p>
            <w:pPr>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color w:val="auto"/>
                <w:kern w:val="21"/>
                <w:szCs w:val="21"/>
              </w:rPr>
              <w:t>5</w:t>
            </w:r>
          </w:p>
        </w:tc>
        <w:tc>
          <w:tcPr>
            <w:tcW w:w="1074" w:type="dxa"/>
            <w:vAlign w:val="center"/>
          </w:tcPr>
          <w:p>
            <w:pPr>
              <w:pStyle w:val="33"/>
              <w:adjustRightInd w:val="0"/>
              <w:snapToGrid w:val="0"/>
              <w:spacing w:after="0"/>
              <w:ind w:left="0" w:leftChars="0"/>
              <w:jc w:val="center"/>
              <w:rPr>
                <w:color w:val="auto"/>
                <w:kern w:val="21"/>
                <w:szCs w:val="21"/>
              </w:rPr>
            </w:pPr>
            <w:r>
              <w:rPr>
                <w:color w:val="auto"/>
                <w:kern w:val="21"/>
                <w:szCs w:val="21"/>
              </w:rPr>
              <w:t>含铬废物</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336-068-17</w:t>
            </w:r>
          </w:p>
        </w:tc>
        <w:tc>
          <w:tcPr>
            <w:tcW w:w="1029" w:type="dxa"/>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72.6949</w:t>
            </w:r>
          </w:p>
        </w:tc>
        <w:tc>
          <w:tcPr>
            <w:tcW w:w="1793" w:type="dxa"/>
            <w:vAlign w:val="center"/>
          </w:tcPr>
          <w:p>
            <w:pPr>
              <w:pStyle w:val="33"/>
              <w:adjustRightInd w:val="0"/>
              <w:snapToGrid w:val="0"/>
              <w:spacing w:after="0"/>
              <w:ind w:left="0" w:leftChars="0"/>
              <w:jc w:val="center"/>
              <w:rPr>
                <w:color w:val="auto"/>
                <w:kern w:val="21"/>
                <w:szCs w:val="21"/>
              </w:rPr>
            </w:pPr>
            <w:r>
              <w:rPr>
                <w:color w:val="auto"/>
                <w:kern w:val="21"/>
                <w:szCs w:val="21"/>
              </w:rPr>
              <w:t>钝化工序</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rPr>
              <w:t>固体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铬</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铬</w:t>
            </w:r>
          </w:p>
        </w:tc>
        <w:tc>
          <w:tcPr>
            <w:tcW w:w="1124" w:type="dxa"/>
            <w:vAlign w:val="center"/>
          </w:tcPr>
          <w:p>
            <w:pPr>
              <w:adjustRightInd w:val="0"/>
              <w:snapToGrid w:val="0"/>
              <w:spacing w:after="0"/>
              <w:ind w:left="0" w:leftChars="0"/>
              <w:jc w:val="center"/>
              <w:rPr>
                <w:color w:val="auto"/>
                <w:kern w:val="21"/>
                <w:szCs w:val="21"/>
              </w:rPr>
            </w:pPr>
            <w:r>
              <w:rPr>
                <w:rFonts w:hint="eastAsia"/>
                <w:color w:val="auto"/>
                <w:kern w:val="21"/>
                <w:lang w:eastAsia="zh-CN"/>
              </w:rPr>
              <w:t>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T</w:t>
            </w:r>
          </w:p>
        </w:tc>
        <w:tc>
          <w:tcPr>
            <w:tcW w:w="1118" w:type="dxa"/>
            <w:vMerge w:val="continue"/>
            <w:vAlign w:val="center"/>
          </w:tcPr>
          <w:p>
            <w:pPr>
              <w:pStyle w:val="33"/>
              <w:adjustRightInd w:val="0"/>
              <w:snapToGrid w:val="0"/>
              <w:spacing w:after="0"/>
              <w:ind w:left="0" w:leftChars="0"/>
              <w:jc w:val="center"/>
              <w:rPr>
                <w:color w:val="auto"/>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6</w:t>
            </w:r>
          </w:p>
        </w:tc>
        <w:tc>
          <w:tcPr>
            <w:tcW w:w="107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气浮池污油</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危险废物HW08</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900-210-08</w:t>
            </w:r>
          </w:p>
        </w:tc>
        <w:tc>
          <w:tcPr>
            <w:tcW w:w="102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0.099</w:t>
            </w:r>
          </w:p>
        </w:tc>
        <w:tc>
          <w:tcPr>
            <w:tcW w:w="1793" w:type="dxa"/>
            <w:vAlign w:val="center"/>
          </w:tcPr>
          <w:p>
            <w:pPr>
              <w:pStyle w:val="33"/>
              <w:adjustRightInd w:val="0"/>
              <w:snapToGrid w:val="0"/>
              <w:spacing w:after="0"/>
              <w:ind w:left="0" w:leftChars="0"/>
              <w:jc w:val="center"/>
              <w:rPr>
                <w:rFonts w:hint="eastAsia" w:eastAsia="宋体"/>
                <w:color w:val="auto"/>
                <w:kern w:val="21"/>
                <w:szCs w:val="21"/>
                <w:lang w:eastAsia="zh-CN"/>
              </w:rPr>
            </w:pPr>
            <w:r>
              <w:rPr>
                <w:rFonts w:hint="eastAsia"/>
                <w:color w:val="auto"/>
                <w:kern w:val="21"/>
                <w:szCs w:val="21"/>
                <w:lang w:eastAsia="zh-CN"/>
              </w:rPr>
              <w:t>气浮池</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szCs w:val="21"/>
              </w:rPr>
              <w:t>液体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浮油</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浮油</w:t>
            </w:r>
          </w:p>
        </w:tc>
        <w:tc>
          <w:tcPr>
            <w:tcW w:w="1124" w:type="dxa"/>
            <w:vAlign w:val="center"/>
          </w:tcPr>
          <w:p>
            <w:pPr>
              <w:adjustRightInd w:val="0"/>
              <w:snapToGrid w:val="0"/>
              <w:spacing w:after="0"/>
              <w:ind w:left="0" w:leftChars="0"/>
              <w:jc w:val="center"/>
              <w:rPr>
                <w:color w:val="auto"/>
                <w:kern w:val="21"/>
                <w:szCs w:val="21"/>
              </w:rPr>
            </w:pPr>
            <w:r>
              <w:rPr>
                <w:rFonts w:hint="eastAsia"/>
                <w:color w:val="auto"/>
                <w:kern w:val="21"/>
                <w:lang w:eastAsia="zh-CN"/>
              </w:rPr>
              <w:t>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T、I</w:t>
            </w:r>
          </w:p>
        </w:tc>
        <w:tc>
          <w:tcPr>
            <w:tcW w:w="1118" w:type="dxa"/>
            <w:vMerge w:val="continue"/>
            <w:vAlign w:val="center"/>
          </w:tcPr>
          <w:p>
            <w:pPr>
              <w:pStyle w:val="33"/>
              <w:adjustRightInd w:val="0"/>
              <w:snapToGrid w:val="0"/>
              <w:spacing w:after="0"/>
              <w:ind w:left="0" w:leftChars="0"/>
              <w:jc w:val="center"/>
              <w:rPr>
                <w:color w:val="auto"/>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7</w:t>
            </w:r>
          </w:p>
        </w:tc>
        <w:tc>
          <w:tcPr>
            <w:tcW w:w="1074" w:type="dxa"/>
            <w:vAlign w:val="center"/>
          </w:tcPr>
          <w:p>
            <w:pPr>
              <w:pStyle w:val="33"/>
              <w:adjustRightInd w:val="0"/>
              <w:snapToGrid w:val="0"/>
              <w:spacing w:after="0"/>
              <w:ind w:left="0" w:leftChars="0"/>
              <w:jc w:val="center"/>
              <w:rPr>
                <w:color w:val="auto"/>
                <w:kern w:val="21"/>
                <w:szCs w:val="21"/>
              </w:rPr>
            </w:pPr>
            <w:r>
              <w:rPr>
                <w:color w:val="auto"/>
                <w:kern w:val="21"/>
                <w:szCs w:val="21"/>
              </w:rPr>
              <w:t>废机油</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危险废物HW08</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900-249-08</w:t>
            </w:r>
          </w:p>
        </w:tc>
        <w:tc>
          <w:tcPr>
            <w:tcW w:w="102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1t/a</w:t>
            </w:r>
          </w:p>
        </w:tc>
        <w:tc>
          <w:tcPr>
            <w:tcW w:w="1793" w:type="dxa"/>
            <w:vAlign w:val="center"/>
          </w:tcPr>
          <w:p>
            <w:pPr>
              <w:pStyle w:val="33"/>
              <w:adjustRightInd w:val="0"/>
              <w:snapToGrid w:val="0"/>
              <w:spacing w:after="0"/>
              <w:ind w:left="0" w:leftChars="0"/>
              <w:jc w:val="center"/>
              <w:rPr>
                <w:color w:val="auto"/>
                <w:kern w:val="21"/>
                <w:szCs w:val="21"/>
              </w:rPr>
            </w:pPr>
            <w:r>
              <w:rPr>
                <w:color w:val="auto"/>
                <w:kern w:val="21"/>
                <w:szCs w:val="21"/>
              </w:rPr>
              <w:t>机械设备</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szCs w:val="21"/>
              </w:rPr>
              <w:t>液体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废矿物油</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废矿物油</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T、I</w:t>
            </w:r>
          </w:p>
        </w:tc>
        <w:tc>
          <w:tcPr>
            <w:tcW w:w="1118" w:type="dxa"/>
            <w:vMerge w:val="continue"/>
            <w:vAlign w:val="center"/>
          </w:tcPr>
          <w:p>
            <w:pPr>
              <w:pStyle w:val="33"/>
              <w:adjustRightInd w:val="0"/>
              <w:snapToGrid w:val="0"/>
              <w:spacing w:after="0"/>
              <w:ind w:left="0" w:leftChars="0"/>
              <w:jc w:val="center"/>
              <w:rPr>
                <w:color w:val="auto"/>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8</w:t>
            </w:r>
          </w:p>
        </w:tc>
        <w:tc>
          <w:tcPr>
            <w:tcW w:w="1074" w:type="dxa"/>
            <w:vAlign w:val="center"/>
          </w:tcPr>
          <w:p>
            <w:pPr>
              <w:pStyle w:val="33"/>
              <w:adjustRightInd w:val="0"/>
              <w:snapToGrid w:val="0"/>
              <w:spacing w:after="0"/>
              <w:ind w:left="0" w:leftChars="0"/>
              <w:jc w:val="center"/>
              <w:rPr>
                <w:color w:val="auto"/>
                <w:kern w:val="21"/>
                <w:szCs w:val="21"/>
              </w:rPr>
            </w:pPr>
            <w:r>
              <w:rPr>
                <w:rFonts w:hint="eastAsia"/>
                <w:color w:val="auto"/>
                <w:kern w:val="21"/>
                <w:lang w:eastAsia="zh-CN"/>
              </w:rPr>
              <w:t>废</w:t>
            </w:r>
            <w:r>
              <w:rPr>
                <w:rFonts w:hint="eastAsia"/>
                <w:color w:val="auto"/>
                <w:kern w:val="21"/>
              </w:rPr>
              <w:t>水反渗透膜</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危险废物HW49</w:t>
            </w:r>
          </w:p>
        </w:tc>
        <w:tc>
          <w:tcPr>
            <w:tcW w:w="119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900-041-49</w:t>
            </w:r>
          </w:p>
        </w:tc>
        <w:tc>
          <w:tcPr>
            <w:tcW w:w="102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6（3a）t</w:t>
            </w:r>
          </w:p>
        </w:tc>
        <w:tc>
          <w:tcPr>
            <w:tcW w:w="1793" w:type="dxa"/>
            <w:vAlign w:val="center"/>
          </w:tcPr>
          <w:p>
            <w:pPr>
              <w:pStyle w:val="33"/>
              <w:adjustRightInd w:val="0"/>
              <w:snapToGrid w:val="0"/>
              <w:spacing w:after="0"/>
              <w:ind w:left="0" w:leftChars="0"/>
              <w:jc w:val="center"/>
              <w:rPr>
                <w:color w:val="auto"/>
                <w:kern w:val="21"/>
                <w:szCs w:val="21"/>
              </w:rPr>
            </w:pPr>
            <w:r>
              <w:rPr>
                <w:color w:val="auto"/>
                <w:kern w:val="21"/>
                <w:szCs w:val="21"/>
              </w:rPr>
              <w:t>废水膜处理</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rPr>
              <w:t>固体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反渗透膜</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重金属</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rPr>
              <w:t>T</w:t>
            </w:r>
          </w:p>
        </w:tc>
        <w:tc>
          <w:tcPr>
            <w:tcW w:w="1118" w:type="dxa"/>
            <w:vMerge w:val="continue"/>
            <w:vAlign w:val="center"/>
          </w:tcPr>
          <w:p>
            <w:pPr>
              <w:pStyle w:val="33"/>
              <w:adjustRightInd w:val="0"/>
              <w:snapToGrid w:val="0"/>
              <w:spacing w:after="0"/>
              <w:ind w:left="0" w:leftChars="0"/>
              <w:jc w:val="center"/>
              <w:rPr>
                <w:color w:val="auto"/>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9" w:type="dxa"/>
            <w:vAlign w:val="center"/>
          </w:tcPr>
          <w:p>
            <w:pPr>
              <w:pStyle w:val="33"/>
              <w:adjustRightInd w:val="0"/>
              <w:snapToGrid w:val="0"/>
              <w:spacing w:after="0"/>
              <w:ind w:left="0" w:leftChars="0"/>
              <w:jc w:val="center"/>
              <w:rPr>
                <w:b/>
                <w:color w:val="auto"/>
              </w:rPr>
            </w:pPr>
            <w:r>
              <w:rPr>
                <w:rFonts w:hint="eastAsia"/>
                <w:b/>
                <w:color w:val="auto"/>
                <w:kern w:val="21"/>
                <w:szCs w:val="21"/>
              </w:rPr>
              <w:t>9</w:t>
            </w:r>
          </w:p>
        </w:tc>
        <w:tc>
          <w:tcPr>
            <w:tcW w:w="1074" w:type="dxa"/>
            <w:vAlign w:val="center"/>
          </w:tcPr>
          <w:p>
            <w:pPr>
              <w:pStyle w:val="33"/>
              <w:adjustRightInd w:val="0"/>
              <w:snapToGrid w:val="0"/>
              <w:spacing w:after="0"/>
              <w:ind w:left="0" w:leftChars="0"/>
              <w:jc w:val="center"/>
              <w:rPr>
                <w:color w:val="auto"/>
                <w:kern w:val="21"/>
                <w:szCs w:val="21"/>
              </w:rPr>
            </w:pPr>
            <w:r>
              <w:rPr>
                <w:color w:val="auto"/>
                <w:kern w:val="21"/>
              </w:rPr>
              <w:t>生化处理污泥</w:t>
            </w:r>
          </w:p>
        </w:tc>
        <w:tc>
          <w:tcPr>
            <w:tcW w:w="113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199" w:type="dxa"/>
            <w:vAlign w:val="center"/>
          </w:tcPr>
          <w:p>
            <w:pPr>
              <w:pStyle w:val="33"/>
              <w:adjustRightInd w:val="0"/>
              <w:snapToGrid w:val="0"/>
              <w:spacing w:after="0"/>
              <w:ind w:left="0" w:leftChars="0"/>
              <w:jc w:val="center"/>
              <w:rPr>
                <w:color w:val="auto"/>
                <w:kern w:val="21"/>
                <w:szCs w:val="21"/>
              </w:rPr>
            </w:pPr>
            <w:r>
              <w:rPr>
                <w:color w:val="auto"/>
                <w:kern w:val="21"/>
                <w:szCs w:val="21"/>
              </w:rPr>
              <w:t>336-06</w:t>
            </w:r>
            <w:r>
              <w:rPr>
                <w:rFonts w:hint="eastAsia"/>
                <w:color w:val="auto"/>
                <w:kern w:val="21"/>
                <w:szCs w:val="21"/>
              </w:rPr>
              <w:t>3</w:t>
            </w:r>
            <w:r>
              <w:rPr>
                <w:color w:val="auto"/>
                <w:kern w:val="21"/>
                <w:szCs w:val="21"/>
              </w:rPr>
              <w:t>-17</w:t>
            </w:r>
          </w:p>
        </w:tc>
        <w:tc>
          <w:tcPr>
            <w:tcW w:w="1029"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161.788t</w:t>
            </w:r>
          </w:p>
        </w:tc>
        <w:tc>
          <w:tcPr>
            <w:tcW w:w="1793" w:type="dxa"/>
            <w:vAlign w:val="center"/>
          </w:tcPr>
          <w:p>
            <w:pPr>
              <w:pStyle w:val="33"/>
              <w:adjustRightInd w:val="0"/>
              <w:snapToGrid w:val="0"/>
              <w:spacing w:after="0"/>
              <w:ind w:left="0" w:leftChars="0"/>
              <w:jc w:val="center"/>
              <w:rPr>
                <w:color w:val="auto"/>
                <w:kern w:val="21"/>
                <w:szCs w:val="21"/>
              </w:rPr>
            </w:pPr>
            <w:r>
              <w:rPr>
                <w:color w:val="auto"/>
                <w:kern w:val="21"/>
                <w:szCs w:val="21"/>
              </w:rPr>
              <w:t>废水生化处理</w:t>
            </w:r>
          </w:p>
        </w:tc>
        <w:tc>
          <w:tcPr>
            <w:tcW w:w="765" w:type="dxa"/>
            <w:vAlign w:val="center"/>
          </w:tcPr>
          <w:p>
            <w:pPr>
              <w:pStyle w:val="33"/>
              <w:adjustRightInd w:val="0"/>
              <w:snapToGrid w:val="0"/>
              <w:spacing w:after="0"/>
              <w:ind w:left="0" w:leftChars="0"/>
              <w:jc w:val="center"/>
              <w:rPr>
                <w:color w:val="auto"/>
                <w:kern w:val="21"/>
                <w:szCs w:val="21"/>
              </w:rPr>
            </w:pPr>
            <w:r>
              <w:rPr>
                <w:color w:val="auto"/>
                <w:kern w:val="21"/>
              </w:rPr>
              <w:t>固体</w:t>
            </w:r>
          </w:p>
        </w:tc>
        <w:tc>
          <w:tcPr>
            <w:tcW w:w="1124" w:type="dxa"/>
            <w:vAlign w:val="center"/>
          </w:tcPr>
          <w:p>
            <w:pPr>
              <w:pStyle w:val="33"/>
              <w:adjustRightInd w:val="0"/>
              <w:snapToGrid w:val="0"/>
              <w:spacing w:after="0"/>
              <w:ind w:left="0" w:leftChars="0"/>
              <w:jc w:val="center"/>
              <w:rPr>
                <w:color w:val="auto"/>
                <w:kern w:val="21"/>
                <w:szCs w:val="21"/>
              </w:rPr>
            </w:pPr>
            <w:r>
              <w:rPr>
                <w:color w:val="auto"/>
                <w:kern w:val="21"/>
                <w:szCs w:val="21"/>
              </w:rPr>
              <w:t>污泥</w:t>
            </w:r>
          </w:p>
        </w:tc>
        <w:tc>
          <w:tcPr>
            <w:tcW w:w="1156" w:type="dxa"/>
            <w:vAlign w:val="center"/>
          </w:tcPr>
          <w:p>
            <w:pPr>
              <w:pStyle w:val="33"/>
              <w:adjustRightInd w:val="0"/>
              <w:snapToGrid w:val="0"/>
              <w:spacing w:after="0"/>
              <w:ind w:left="0" w:leftChars="0"/>
              <w:jc w:val="center"/>
              <w:rPr>
                <w:color w:val="auto"/>
                <w:kern w:val="21"/>
                <w:szCs w:val="21"/>
              </w:rPr>
            </w:pPr>
            <w:r>
              <w:rPr>
                <w:color w:val="auto"/>
                <w:kern w:val="21"/>
                <w:szCs w:val="21"/>
              </w:rPr>
              <w:t>重金属</w:t>
            </w:r>
          </w:p>
        </w:tc>
        <w:tc>
          <w:tcPr>
            <w:tcW w:w="1124" w:type="dxa"/>
            <w:vAlign w:val="center"/>
          </w:tcPr>
          <w:p>
            <w:pPr>
              <w:pStyle w:val="33"/>
              <w:adjustRightInd w:val="0"/>
              <w:snapToGrid w:val="0"/>
              <w:spacing w:after="0"/>
              <w:ind w:left="0" w:leftChars="0"/>
              <w:jc w:val="center"/>
              <w:rPr>
                <w:color w:val="auto"/>
                <w:kern w:val="21"/>
                <w:szCs w:val="21"/>
              </w:rPr>
            </w:pPr>
            <w:r>
              <w:rPr>
                <w:rFonts w:hint="eastAsia"/>
                <w:color w:val="auto"/>
                <w:kern w:val="21"/>
                <w:lang w:eastAsia="zh-CN"/>
              </w:rPr>
              <w:t>年</w:t>
            </w:r>
          </w:p>
        </w:tc>
        <w:tc>
          <w:tcPr>
            <w:tcW w:w="858" w:type="dxa"/>
            <w:vAlign w:val="center"/>
          </w:tcPr>
          <w:p>
            <w:pPr>
              <w:pStyle w:val="33"/>
              <w:adjustRightInd w:val="0"/>
              <w:snapToGrid w:val="0"/>
              <w:spacing w:after="0"/>
              <w:ind w:left="0" w:leftChars="0"/>
              <w:jc w:val="center"/>
              <w:rPr>
                <w:color w:val="auto"/>
                <w:kern w:val="21"/>
                <w:szCs w:val="21"/>
              </w:rPr>
            </w:pPr>
            <w:r>
              <w:rPr>
                <w:rFonts w:hint="eastAsia"/>
                <w:color w:val="auto"/>
                <w:kern w:val="21"/>
              </w:rPr>
              <w:t>T</w:t>
            </w:r>
          </w:p>
        </w:tc>
        <w:tc>
          <w:tcPr>
            <w:tcW w:w="1118" w:type="dxa"/>
            <w:vMerge w:val="continue"/>
            <w:vAlign w:val="center"/>
          </w:tcPr>
          <w:p>
            <w:pPr>
              <w:pStyle w:val="33"/>
              <w:adjustRightInd w:val="0"/>
              <w:snapToGrid w:val="0"/>
              <w:spacing w:after="0"/>
              <w:ind w:left="0" w:leftChars="0"/>
              <w:jc w:val="center"/>
              <w:rPr>
                <w:color w:val="auto"/>
                <w:kern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039" w:type="dxa"/>
            <w:gridSpan w:val="12"/>
            <w:vAlign w:val="center"/>
          </w:tcPr>
          <w:p>
            <w:pPr>
              <w:pStyle w:val="33"/>
              <w:adjustRightInd w:val="0"/>
              <w:snapToGrid w:val="0"/>
              <w:spacing w:after="0"/>
              <w:ind w:left="0" w:leftChars="0"/>
              <w:rPr>
                <w:color w:val="auto"/>
                <w:kern w:val="21"/>
                <w:szCs w:val="21"/>
              </w:rPr>
            </w:pPr>
            <w:r>
              <w:rPr>
                <w:color w:val="auto"/>
                <w:kern w:val="21"/>
                <w:szCs w:val="21"/>
              </w:rPr>
              <w:t>注：</w:t>
            </w:r>
            <w:r>
              <w:rPr>
                <w:rFonts w:eastAsia="Times New Roman"/>
                <w:color w:val="auto"/>
                <w:kern w:val="21"/>
                <w:szCs w:val="21"/>
              </w:rPr>
              <w:t>T</w:t>
            </w:r>
            <w:r>
              <w:rPr>
                <w:color w:val="auto"/>
                <w:kern w:val="21"/>
                <w:szCs w:val="21"/>
              </w:rPr>
              <w:t>：毒性；</w:t>
            </w:r>
            <w:r>
              <w:rPr>
                <w:rFonts w:eastAsia="Times New Roman"/>
                <w:color w:val="auto"/>
                <w:kern w:val="21"/>
                <w:szCs w:val="21"/>
              </w:rPr>
              <w:t>I</w:t>
            </w:r>
            <w:r>
              <w:rPr>
                <w:color w:val="auto"/>
                <w:kern w:val="21"/>
                <w:szCs w:val="21"/>
              </w:rPr>
              <w:t>：易燃性；</w:t>
            </w:r>
            <w:r>
              <w:rPr>
                <w:rFonts w:eastAsia="Times New Roman"/>
                <w:color w:val="auto"/>
                <w:kern w:val="21"/>
                <w:szCs w:val="21"/>
              </w:rPr>
              <w:t>In</w:t>
            </w:r>
            <w:r>
              <w:rPr>
                <w:color w:val="auto"/>
                <w:kern w:val="21"/>
                <w:szCs w:val="21"/>
              </w:rPr>
              <w:t>：感染性；</w:t>
            </w:r>
            <w:r>
              <w:rPr>
                <w:rFonts w:hint="eastAsia"/>
                <w:color w:val="auto"/>
                <w:kern w:val="21"/>
                <w:szCs w:val="21"/>
              </w:rPr>
              <w:t>C：腐蚀性</w:t>
            </w:r>
          </w:p>
        </w:tc>
      </w:tr>
    </w:tbl>
    <w:p>
      <w:pPr>
        <w:tabs>
          <w:tab w:val="left" w:pos="3227"/>
        </w:tabs>
        <w:adjustRightInd w:val="0"/>
        <w:snapToGrid w:val="0"/>
        <w:jc w:val="center"/>
        <w:rPr>
          <w:rFonts w:eastAsia="黑体"/>
          <w:color w:val="auto"/>
          <w:kern w:val="21"/>
          <w:sz w:val="24"/>
          <w:szCs w:val="24"/>
          <w:u w:val="single"/>
        </w:rPr>
        <w:sectPr>
          <w:pgSz w:w="16840" w:h="11907" w:orient="landscape"/>
          <w:pgMar w:top="1797" w:right="1440" w:bottom="1797" w:left="1440" w:header="877" w:footer="1186" w:gutter="0"/>
          <w:pgNumType w:fmt="numberInDash"/>
          <w:cols w:space="720" w:num="1"/>
          <w:docGrid w:linePitch="286" w:charSpace="0"/>
        </w:sectPr>
      </w:pPr>
    </w:p>
    <w:p>
      <w:pPr>
        <w:tabs>
          <w:tab w:val="left" w:pos="3227"/>
        </w:tabs>
        <w:adjustRightInd w:val="0"/>
        <w:snapToGrid w:val="0"/>
        <w:jc w:val="center"/>
        <w:rPr>
          <w:color w:val="auto"/>
          <w:kern w:val="21"/>
          <w:sz w:val="16"/>
          <w:szCs w:val="16"/>
        </w:rPr>
      </w:pPr>
      <w:r>
        <w:rPr>
          <w:rFonts w:eastAsia="黑体"/>
          <w:color w:val="auto"/>
          <w:kern w:val="21"/>
          <w:sz w:val="24"/>
          <w:szCs w:val="24"/>
        </w:rPr>
        <w:t>表</w:t>
      </w:r>
      <w:r>
        <w:rPr>
          <w:rFonts w:hint="eastAsia" w:eastAsia="黑体"/>
          <w:color w:val="auto"/>
          <w:kern w:val="21"/>
          <w:sz w:val="24"/>
          <w:szCs w:val="24"/>
        </w:rPr>
        <w:t>7.5-2</w:t>
      </w:r>
      <w:r>
        <w:rPr>
          <w:rFonts w:eastAsia="黑体"/>
          <w:color w:val="auto"/>
          <w:kern w:val="21"/>
          <w:sz w:val="24"/>
          <w:szCs w:val="24"/>
        </w:rPr>
        <w:t xml:space="preserve">  本项目危废贮存场所基本情况一览表</w:t>
      </w:r>
    </w:p>
    <w:tbl>
      <w:tblPr>
        <w:tblStyle w:val="83"/>
        <w:tblW w:w="86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4"/>
        <w:gridCol w:w="872"/>
        <w:gridCol w:w="1400"/>
        <w:gridCol w:w="885"/>
        <w:gridCol w:w="1363"/>
        <w:gridCol w:w="658"/>
        <w:gridCol w:w="673"/>
        <w:gridCol w:w="771"/>
        <w:gridCol w:w="718"/>
        <w:gridCol w:w="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2" w:hRule="atLeast"/>
          <w:jc w:val="center"/>
        </w:trPr>
        <w:tc>
          <w:tcPr>
            <w:tcW w:w="444" w:type="dxa"/>
            <w:vAlign w:val="center"/>
          </w:tcPr>
          <w:p>
            <w:pPr>
              <w:pStyle w:val="377"/>
              <w:adjustRightInd w:val="0"/>
              <w:snapToGrid w:val="0"/>
              <w:jc w:val="center"/>
              <w:rPr>
                <w:b/>
                <w:bCs/>
                <w:color w:val="auto"/>
                <w:kern w:val="21"/>
              </w:rPr>
            </w:pPr>
            <w:r>
              <w:rPr>
                <w:b/>
                <w:bCs/>
                <w:color w:val="auto"/>
                <w:kern w:val="21"/>
              </w:rPr>
              <w:t>序 号</w:t>
            </w:r>
          </w:p>
        </w:tc>
        <w:tc>
          <w:tcPr>
            <w:tcW w:w="872" w:type="dxa"/>
            <w:vAlign w:val="center"/>
          </w:tcPr>
          <w:p>
            <w:pPr>
              <w:pStyle w:val="377"/>
              <w:adjustRightInd w:val="0"/>
              <w:snapToGrid w:val="0"/>
              <w:jc w:val="center"/>
              <w:rPr>
                <w:b/>
                <w:bCs/>
                <w:color w:val="auto"/>
                <w:kern w:val="21"/>
              </w:rPr>
            </w:pPr>
            <w:r>
              <w:rPr>
                <w:b/>
                <w:bCs/>
                <w:color w:val="auto"/>
                <w:kern w:val="21"/>
              </w:rPr>
              <w:t>贮存</w:t>
            </w:r>
          </w:p>
          <w:p>
            <w:pPr>
              <w:pStyle w:val="377"/>
              <w:adjustRightInd w:val="0"/>
              <w:snapToGrid w:val="0"/>
              <w:jc w:val="center"/>
              <w:rPr>
                <w:b/>
                <w:bCs/>
                <w:color w:val="auto"/>
                <w:kern w:val="21"/>
              </w:rPr>
            </w:pPr>
            <w:r>
              <w:rPr>
                <w:b/>
                <w:bCs/>
                <w:color w:val="auto"/>
                <w:kern w:val="21"/>
              </w:rPr>
              <w:t>场所</w:t>
            </w:r>
          </w:p>
          <w:p>
            <w:pPr>
              <w:pStyle w:val="377"/>
              <w:adjustRightInd w:val="0"/>
              <w:snapToGrid w:val="0"/>
              <w:jc w:val="center"/>
              <w:rPr>
                <w:b/>
                <w:bCs/>
                <w:color w:val="auto"/>
                <w:kern w:val="21"/>
              </w:rPr>
            </w:pPr>
            <w:r>
              <w:rPr>
                <w:b/>
                <w:bCs/>
                <w:color w:val="auto"/>
                <w:kern w:val="21"/>
              </w:rPr>
              <w:t>（设施）</w:t>
            </w:r>
          </w:p>
          <w:p>
            <w:pPr>
              <w:pStyle w:val="377"/>
              <w:adjustRightInd w:val="0"/>
              <w:snapToGrid w:val="0"/>
              <w:jc w:val="center"/>
              <w:rPr>
                <w:b/>
                <w:bCs/>
                <w:color w:val="auto"/>
                <w:kern w:val="21"/>
              </w:rPr>
            </w:pPr>
            <w:r>
              <w:rPr>
                <w:b/>
                <w:bCs/>
                <w:color w:val="auto"/>
                <w:kern w:val="21"/>
              </w:rPr>
              <w:t>名称</w:t>
            </w:r>
          </w:p>
        </w:tc>
        <w:tc>
          <w:tcPr>
            <w:tcW w:w="1400" w:type="dxa"/>
            <w:vAlign w:val="center"/>
          </w:tcPr>
          <w:p>
            <w:pPr>
              <w:pStyle w:val="377"/>
              <w:adjustRightInd w:val="0"/>
              <w:snapToGrid w:val="0"/>
              <w:jc w:val="center"/>
              <w:rPr>
                <w:b/>
                <w:bCs/>
                <w:color w:val="auto"/>
                <w:kern w:val="21"/>
              </w:rPr>
            </w:pPr>
            <w:r>
              <w:rPr>
                <w:b/>
                <w:bCs/>
                <w:color w:val="auto"/>
                <w:kern w:val="21"/>
              </w:rPr>
              <w:t>危险废物名称</w:t>
            </w:r>
          </w:p>
        </w:tc>
        <w:tc>
          <w:tcPr>
            <w:tcW w:w="885" w:type="dxa"/>
            <w:vAlign w:val="center"/>
          </w:tcPr>
          <w:p>
            <w:pPr>
              <w:pStyle w:val="377"/>
              <w:adjustRightInd w:val="0"/>
              <w:snapToGrid w:val="0"/>
              <w:jc w:val="center"/>
              <w:rPr>
                <w:b/>
                <w:bCs/>
                <w:color w:val="auto"/>
                <w:kern w:val="21"/>
              </w:rPr>
            </w:pPr>
            <w:r>
              <w:rPr>
                <w:b/>
                <w:bCs/>
                <w:color w:val="auto"/>
                <w:kern w:val="21"/>
              </w:rPr>
              <w:t>危险废 物类别</w:t>
            </w:r>
          </w:p>
        </w:tc>
        <w:tc>
          <w:tcPr>
            <w:tcW w:w="1363" w:type="dxa"/>
            <w:vAlign w:val="center"/>
          </w:tcPr>
          <w:p>
            <w:pPr>
              <w:pStyle w:val="377"/>
              <w:adjustRightInd w:val="0"/>
              <w:snapToGrid w:val="0"/>
              <w:jc w:val="center"/>
              <w:rPr>
                <w:b/>
                <w:bCs/>
                <w:color w:val="auto"/>
                <w:kern w:val="21"/>
              </w:rPr>
            </w:pPr>
            <w:r>
              <w:rPr>
                <w:b/>
                <w:bCs/>
                <w:color w:val="auto"/>
                <w:kern w:val="21"/>
              </w:rPr>
              <w:t>危险废物代 码</w:t>
            </w:r>
          </w:p>
        </w:tc>
        <w:tc>
          <w:tcPr>
            <w:tcW w:w="658" w:type="dxa"/>
            <w:vAlign w:val="center"/>
          </w:tcPr>
          <w:p>
            <w:pPr>
              <w:pStyle w:val="377"/>
              <w:adjustRightInd w:val="0"/>
              <w:snapToGrid w:val="0"/>
              <w:jc w:val="center"/>
              <w:rPr>
                <w:b/>
                <w:bCs/>
                <w:color w:val="auto"/>
                <w:kern w:val="21"/>
              </w:rPr>
            </w:pPr>
            <w:r>
              <w:rPr>
                <w:b/>
                <w:bCs/>
                <w:color w:val="auto"/>
                <w:kern w:val="21"/>
              </w:rPr>
              <w:t>位置</w:t>
            </w:r>
          </w:p>
        </w:tc>
        <w:tc>
          <w:tcPr>
            <w:tcW w:w="673" w:type="dxa"/>
            <w:vAlign w:val="center"/>
          </w:tcPr>
          <w:p>
            <w:pPr>
              <w:pStyle w:val="377"/>
              <w:adjustRightInd w:val="0"/>
              <w:snapToGrid w:val="0"/>
              <w:jc w:val="center"/>
              <w:rPr>
                <w:b/>
                <w:bCs/>
                <w:color w:val="auto"/>
                <w:kern w:val="21"/>
              </w:rPr>
            </w:pPr>
            <w:r>
              <w:rPr>
                <w:b/>
                <w:bCs/>
                <w:color w:val="auto"/>
                <w:kern w:val="21"/>
              </w:rPr>
              <w:t>占地 面积</w:t>
            </w:r>
          </w:p>
        </w:tc>
        <w:tc>
          <w:tcPr>
            <w:tcW w:w="771" w:type="dxa"/>
            <w:vAlign w:val="center"/>
          </w:tcPr>
          <w:p>
            <w:pPr>
              <w:pStyle w:val="377"/>
              <w:adjustRightInd w:val="0"/>
              <w:snapToGrid w:val="0"/>
              <w:jc w:val="center"/>
              <w:rPr>
                <w:b/>
                <w:bCs/>
                <w:color w:val="auto"/>
                <w:kern w:val="21"/>
              </w:rPr>
            </w:pPr>
            <w:r>
              <w:rPr>
                <w:b/>
                <w:bCs/>
                <w:color w:val="auto"/>
                <w:kern w:val="21"/>
              </w:rPr>
              <w:t>贮存方式</w:t>
            </w:r>
          </w:p>
        </w:tc>
        <w:tc>
          <w:tcPr>
            <w:tcW w:w="718" w:type="dxa"/>
            <w:vAlign w:val="center"/>
          </w:tcPr>
          <w:p>
            <w:pPr>
              <w:pStyle w:val="377"/>
              <w:adjustRightInd w:val="0"/>
              <w:snapToGrid w:val="0"/>
              <w:jc w:val="center"/>
              <w:rPr>
                <w:b/>
                <w:bCs/>
                <w:color w:val="auto"/>
                <w:kern w:val="21"/>
              </w:rPr>
            </w:pPr>
            <w:r>
              <w:rPr>
                <w:b/>
                <w:bCs/>
                <w:color w:val="auto"/>
                <w:kern w:val="21"/>
              </w:rPr>
              <w:t>贮存 能力</w:t>
            </w:r>
          </w:p>
        </w:tc>
        <w:tc>
          <w:tcPr>
            <w:tcW w:w="849" w:type="dxa"/>
            <w:vAlign w:val="center"/>
          </w:tcPr>
          <w:p>
            <w:pPr>
              <w:pStyle w:val="377"/>
              <w:adjustRightInd w:val="0"/>
              <w:snapToGrid w:val="0"/>
              <w:jc w:val="center"/>
              <w:rPr>
                <w:b/>
                <w:bCs/>
                <w:color w:val="auto"/>
                <w:kern w:val="21"/>
              </w:rPr>
            </w:pPr>
            <w:r>
              <w:rPr>
                <w:b/>
                <w:bCs/>
                <w:color w:val="auto"/>
                <w:kern w:val="21"/>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color w:val="auto"/>
                <w:kern w:val="21"/>
                <w:szCs w:val="21"/>
              </w:rPr>
              <w:t>1</w:t>
            </w:r>
          </w:p>
        </w:tc>
        <w:tc>
          <w:tcPr>
            <w:tcW w:w="872" w:type="dxa"/>
            <w:vMerge w:val="restart"/>
            <w:vAlign w:val="center"/>
          </w:tcPr>
          <w:p>
            <w:pPr>
              <w:pStyle w:val="377"/>
              <w:adjustRightInd w:val="0"/>
              <w:snapToGrid w:val="0"/>
              <w:jc w:val="center"/>
              <w:rPr>
                <w:color w:val="auto"/>
                <w:kern w:val="21"/>
              </w:rPr>
            </w:pPr>
            <w:r>
              <w:rPr>
                <w:color w:val="auto"/>
                <w:kern w:val="21"/>
              </w:rPr>
              <w:t>危废暂存间</w:t>
            </w:r>
          </w:p>
        </w:tc>
        <w:tc>
          <w:tcPr>
            <w:tcW w:w="140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镀镍槽液</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336-054-17</w:t>
            </w:r>
          </w:p>
        </w:tc>
        <w:tc>
          <w:tcPr>
            <w:tcW w:w="658" w:type="dxa"/>
            <w:vMerge w:val="restart"/>
            <w:vAlign w:val="center"/>
          </w:tcPr>
          <w:p>
            <w:pPr>
              <w:pStyle w:val="377"/>
              <w:adjustRightInd w:val="0"/>
              <w:snapToGrid w:val="0"/>
              <w:jc w:val="center"/>
              <w:rPr>
                <w:color w:val="auto"/>
                <w:kern w:val="21"/>
              </w:rPr>
            </w:pPr>
            <w:r>
              <w:rPr>
                <w:color w:val="auto"/>
                <w:kern w:val="21"/>
              </w:rPr>
              <w:t>厂房北侧</w:t>
            </w:r>
          </w:p>
        </w:tc>
        <w:tc>
          <w:tcPr>
            <w:tcW w:w="673" w:type="dxa"/>
            <w:vMerge w:val="restart"/>
            <w:vAlign w:val="center"/>
          </w:tcPr>
          <w:p>
            <w:pPr>
              <w:pStyle w:val="377"/>
              <w:adjustRightInd w:val="0"/>
              <w:snapToGrid w:val="0"/>
              <w:jc w:val="center"/>
              <w:rPr>
                <w:color w:val="auto"/>
                <w:kern w:val="21"/>
              </w:rPr>
            </w:pPr>
            <w:r>
              <w:rPr>
                <w:rFonts w:hint="eastAsia"/>
                <w:color w:val="auto"/>
                <w:kern w:val="21"/>
              </w:rPr>
              <w:t>150m</w:t>
            </w:r>
            <w:r>
              <w:rPr>
                <w:rFonts w:hint="eastAsia"/>
                <w:color w:val="auto"/>
                <w:kern w:val="21"/>
                <w:vertAlign w:val="superscript"/>
              </w:rPr>
              <w:t>2</w:t>
            </w:r>
          </w:p>
        </w:tc>
        <w:tc>
          <w:tcPr>
            <w:tcW w:w="771"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w:t>
            </w:r>
          </w:p>
        </w:tc>
        <w:tc>
          <w:tcPr>
            <w:tcW w:w="849" w:type="dxa"/>
            <w:vAlign w:val="center"/>
          </w:tcPr>
          <w:p>
            <w:pPr>
              <w:pStyle w:val="377"/>
              <w:adjustRightInd w:val="0"/>
              <w:snapToGrid w:val="0"/>
              <w:jc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color w:val="auto"/>
                <w:kern w:val="21"/>
                <w:szCs w:val="21"/>
              </w:rPr>
              <w:t>2</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镀锌槽液</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336-052-17</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w:t>
            </w:r>
          </w:p>
        </w:tc>
        <w:tc>
          <w:tcPr>
            <w:tcW w:w="849" w:type="dxa"/>
            <w:vAlign w:val="center"/>
          </w:tcPr>
          <w:p>
            <w:pPr>
              <w:pStyle w:val="377"/>
              <w:adjustRightInd w:val="0"/>
              <w:snapToGrid w:val="0"/>
              <w:jc w:val="center"/>
              <w:rPr>
                <w:color w:val="auto"/>
                <w:kern w:val="21"/>
              </w:rPr>
            </w:pPr>
            <w:r>
              <w:rPr>
                <w:rFonts w:hint="eastAsia"/>
                <w:color w:val="auto"/>
                <w:kern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color w:val="auto"/>
                <w:kern w:val="21"/>
                <w:szCs w:val="21"/>
              </w:rPr>
              <w:t>3</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color w:val="auto"/>
                <w:kern w:val="21"/>
                <w:szCs w:val="21"/>
              </w:rPr>
              <w:t>含镍废物</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336-054-17</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color w:val="auto"/>
                <w:kern w:val="21"/>
                <w:szCs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5t</w:t>
            </w:r>
          </w:p>
        </w:tc>
        <w:tc>
          <w:tcPr>
            <w:tcW w:w="849" w:type="dxa"/>
            <w:vMerge w:val="restart"/>
            <w:vAlign w:val="center"/>
          </w:tcPr>
          <w:p>
            <w:pPr>
              <w:pStyle w:val="377"/>
              <w:adjustRightInd w:val="0"/>
              <w:snapToGrid w:val="0"/>
              <w:jc w:val="center"/>
              <w:rPr>
                <w:color w:val="auto"/>
                <w:kern w:val="21"/>
              </w:rPr>
            </w:pPr>
            <w:r>
              <w:rPr>
                <w:rFonts w:hint="eastAsia"/>
                <w:color w:val="auto"/>
                <w:kern w:val="21"/>
              </w:rPr>
              <w:t>30d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color w:val="auto"/>
                <w:kern w:val="21"/>
                <w:szCs w:val="21"/>
              </w:rPr>
              <w:t>4</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color w:val="auto"/>
                <w:kern w:val="21"/>
                <w:szCs w:val="21"/>
              </w:rPr>
              <w:t>含锌废物</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336-052-17</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color w:val="auto"/>
                <w:kern w:val="21"/>
                <w:szCs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1t</w:t>
            </w:r>
          </w:p>
        </w:tc>
        <w:tc>
          <w:tcPr>
            <w:tcW w:w="849" w:type="dxa"/>
            <w:vMerge w:val="continue"/>
            <w:vAlign w:val="center"/>
          </w:tcPr>
          <w:p>
            <w:pPr>
              <w:pStyle w:val="377"/>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color w:val="auto"/>
                <w:kern w:val="21"/>
                <w:szCs w:val="21"/>
              </w:rPr>
              <w:t>5</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color w:val="auto"/>
                <w:kern w:val="21"/>
                <w:szCs w:val="21"/>
              </w:rPr>
              <w:t>含铬废物</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336-068-17</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adjustRightInd w:val="0"/>
              <w:snapToGrid w:val="0"/>
              <w:jc w:val="center"/>
              <w:rPr>
                <w:color w:val="auto"/>
                <w:kern w:val="21"/>
              </w:rPr>
            </w:pPr>
            <w:r>
              <w:rPr>
                <w:color w:val="auto"/>
                <w:kern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10t</w:t>
            </w:r>
          </w:p>
        </w:tc>
        <w:tc>
          <w:tcPr>
            <w:tcW w:w="849" w:type="dxa"/>
            <w:vMerge w:val="continue"/>
            <w:vAlign w:val="center"/>
          </w:tcPr>
          <w:p>
            <w:pPr>
              <w:pStyle w:val="377"/>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bookmarkStart w:id="415" w:name="_bookmark42"/>
            <w:bookmarkStart w:id="416" w:name="_bookmark43"/>
            <w:r>
              <w:rPr>
                <w:rFonts w:hint="eastAsia"/>
                <w:color w:val="auto"/>
                <w:kern w:val="21"/>
                <w:szCs w:val="21"/>
              </w:rPr>
              <w:t>6</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气浮池污油</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危险废物HW08</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900-210-08</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color w:val="auto"/>
                <w:kern w:val="21"/>
                <w:szCs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0.5t</w:t>
            </w:r>
          </w:p>
        </w:tc>
        <w:tc>
          <w:tcPr>
            <w:tcW w:w="849" w:type="dxa"/>
            <w:vMerge w:val="continue"/>
            <w:vAlign w:val="center"/>
          </w:tcPr>
          <w:p>
            <w:pPr>
              <w:pStyle w:val="377"/>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7</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color w:val="auto"/>
                <w:kern w:val="21"/>
                <w:szCs w:val="21"/>
              </w:rPr>
              <w:t>废机油</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危险废物HW08</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900-249-08</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color w:val="auto"/>
                <w:kern w:val="21"/>
                <w:szCs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1.5t</w:t>
            </w:r>
          </w:p>
        </w:tc>
        <w:tc>
          <w:tcPr>
            <w:tcW w:w="849" w:type="dxa"/>
            <w:vMerge w:val="continue"/>
            <w:vAlign w:val="center"/>
          </w:tcPr>
          <w:p>
            <w:pPr>
              <w:pStyle w:val="377"/>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8</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rFonts w:hint="eastAsia"/>
                <w:color w:val="auto"/>
                <w:kern w:val="21"/>
              </w:rPr>
              <w:t>反水反渗透膜</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危险废物HW49</w:t>
            </w:r>
          </w:p>
        </w:tc>
        <w:tc>
          <w:tcPr>
            <w:tcW w:w="1363"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900-041-49</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color w:val="auto"/>
                <w:kern w:val="21"/>
                <w:szCs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8t</w:t>
            </w:r>
          </w:p>
        </w:tc>
        <w:tc>
          <w:tcPr>
            <w:tcW w:w="849" w:type="dxa"/>
            <w:vMerge w:val="continue"/>
            <w:vAlign w:val="center"/>
          </w:tcPr>
          <w:p>
            <w:pPr>
              <w:pStyle w:val="377"/>
              <w:adjustRightInd w:val="0"/>
              <w:snapToGrid w:val="0"/>
              <w:jc w:val="center"/>
              <w:rPr>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44"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9</w:t>
            </w:r>
          </w:p>
        </w:tc>
        <w:tc>
          <w:tcPr>
            <w:tcW w:w="872" w:type="dxa"/>
            <w:vMerge w:val="continue"/>
            <w:vAlign w:val="center"/>
          </w:tcPr>
          <w:p>
            <w:pPr>
              <w:pStyle w:val="377"/>
              <w:adjustRightInd w:val="0"/>
              <w:snapToGrid w:val="0"/>
              <w:jc w:val="center"/>
              <w:rPr>
                <w:color w:val="auto"/>
                <w:kern w:val="21"/>
              </w:rPr>
            </w:pPr>
          </w:p>
        </w:tc>
        <w:tc>
          <w:tcPr>
            <w:tcW w:w="1400" w:type="dxa"/>
            <w:vAlign w:val="center"/>
          </w:tcPr>
          <w:p>
            <w:pPr>
              <w:pStyle w:val="33"/>
              <w:adjustRightInd w:val="0"/>
              <w:snapToGrid w:val="0"/>
              <w:spacing w:after="0"/>
              <w:ind w:left="0" w:leftChars="0"/>
              <w:jc w:val="center"/>
              <w:rPr>
                <w:color w:val="auto"/>
                <w:kern w:val="21"/>
                <w:szCs w:val="21"/>
              </w:rPr>
            </w:pPr>
            <w:r>
              <w:rPr>
                <w:color w:val="auto"/>
                <w:kern w:val="21"/>
              </w:rPr>
              <w:t>生化处理污泥</w:t>
            </w:r>
          </w:p>
        </w:tc>
        <w:tc>
          <w:tcPr>
            <w:tcW w:w="885"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危险废物HW17</w:t>
            </w:r>
          </w:p>
        </w:tc>
        <w:tc>
          <w:tcPr>
            <w:tcW w:w="1363" w:type="dxa"/>
            <w:vAlign w:val="center"/>
          </w:tcPr>
          <w:p>
            <w:pPr>
              <w:pStyle w:val="33"/>
              <w:adjustRightInd w:val="0"/>
              <w:snapToGrid w:val="0"/>
              <w:spacing w:after="0"/>
              <w:ind w:left="0" w:leftChars="0"/>
              <w:jc w:val="center"/>
              <w:rPr>
                <w:color w:val="auto"/>
                <w:kern w:val="21"/>
                <w:szCs w:val="21"/>
              </w:rPr>
            </w:pPr>
            <w:r>
              <w:rPr>
                <w:color w:val="auto"/>
                <w:kern w:val="21"/>
                <w:szCs w:val="21"/>
              </w:rPr>
              <w:t>336-06</w:t>
            </w:r>
            <w:r>
              <w:rPr>
                <w:rFonts w:hint="eastAsia"/>
                <w:color w:val="auto"/>
                <w:kern w:val="21"/>
                <w:szCs w:val="21"/>
              </w:rPr>
              <w:t>3</w:t>
            </w:r>
            <w:r>
              <w:rPr>
                <w:color w:val="auto"/>
                <w:kern w:val="21"/>
                <w:szCs w:val="21"/>
              </w:rPr>
              <w:t>-17</w:t>
            </w:r>
          </w:p>
        </w:tc>
        <w:tc>
          <w:tcPr>
            <w:tcW w:w="658" w:type="dxa"/>
            <w:vMerge w:val="continue"/>
            <w:vAlign w:val="center"/>
          </w:tcPr>
          <w:p>
            <w:pPr>
              <w:pStyle w:val="377"/>
              <w:adjustRightInd w:val="0"/>
              <w:snapToGrid w:val="0"/>
              <w:jc w:val="center"/>
              <w:rPr>
                <w:color w:val="auto"/>
                <w:kern w:val="21"/>
              </w:rPr>
            </w:pPr>
          </w:p>
        </w:tc>
        <w:tc>
          <w:tcPr>
            <w:tcW w:w="673" w:type="dxa"/>
            <w:vMerge w:val="continue"/>
            <w:vAlign w:val="center"/>
          </w:tcPr>
          <w:p>
            <w:pPr>
              <w:pStyle w:val="377"/>
              <w:adjustRightInd w:val="0"/>
              <w:snapToGrid w:val="0"/>
              <w:jc w:val="center"/>
              <w:rPr>
                <w:color w:val="auto"/>
                <w:kern w:val="21"/>
              </w:rPr>
            </w:pPr>
          </w:p>
        </w:tc>
        <w:tc>
          <w:tcPr>
            <w:tcW w:w="771" w:type="dxa"/>
            <w:vAlign w:val="center"/>
          </w:tcPr>
          <w:p>
            <w:pPr>
              <w:pStyle w:val="33"/>
              <w:adjustRightInd w:val="0"/>
              <w:snapToGrid w:val="0"/>
              <w:spacing w:after="0"/>
              <w:ind w:left="0" w:leftChars="0"/>
              <w:jc w:val="center"/>
              <w:rPr>
                <w:color w:val="auto"/>
                <w:kern w:val="21"/>
                <w:szCs w:val="21"/>
              </w:rPr>
            </w:pPr>
            <w:r>
              <w:rPr>
                <w:color w:val="auto"/>
                <w:kern w:val="21"/>
                <w:szCs w:val="21"/>
              </w:rPr>
              <w:t>桶装</w:t>
            </w:r>
          </w:p>
        </w:tc>
        <w:tc>
          <w:tcPr>
            <w:tcW w:w="718" w:type="dxa"/>
            <w:vAlign w:val="center"/>
          </w:tcPr>
          <w:p>
            <w:pPr>
              <w:pStyle w:val="33"/>
              <w:adjustRightInd w:val="0"/>
              <w:snapToGrid w:val="0"/>
              <w:spacing w:after="0"/>
              <w:ind w:left="0" w:leftChars="0"/>
              <w:jc w:val="center"/>
              <w:rPr>
                <w:color w:val="auto"/>
                <w:kern w:val="21"/>
                <w:szCs w:val="21"/>
              </w:rPr>
            </w:pPr>
            <w:r>
              <w:rPr>
                <w:rFonts w:hint="eastAsia"/>
                <w:color w:val="auto"/>
                <w:kern w:val="21"/>
                <w:szCs w:val="21"/>
              </w:rPr>
              <w:t>15t</w:t>
            </w:r>
          </w:p>
        </w:tc>
        <w:tc>
          <w:tcPr>
            <w:tcW w:w="849" w:type="dxa"/>
            <w:vMerge w:val="continue"/>
            <w:vAlign w:val="center"/>
          </w:tcPr>
          <w:p>
            <w:pPr>
              <w:pStyle w:val="377"/>
              <w:adjustRightInd w:val="0"/>
              <w:snapToGrid w:val="0"/>
              <w:jc w:val="center"/>
              <w:rPr>
                <w:color w:val="auto"/>
                <w:kern w:val="21"/>
              </w:rPr>
            </w:pPr>
          </w:p>
        </w:tc>
      </w:tr>
      <w:bookmarkEnd w:id="415"/>
      <w:bookmarkEnd w:id="416"/>
    </w:tbl>
    <w:p>
      <w:pPr>
        <w:keepNext w:val="0"/>
        <w:keepLines w:val="0"/>
        <w:pageBreakBefore w:val="0"/>
        <w:widowControl/>
        <w:kinsoku/>
        <w:wordWrap/>
        <w:overflowPunct/>
        <w:topLinePunct w:val="0"/>
        <w:autoSpaceDE/>
        <w:autoSpaceDN/>
        <w:bidi w:val="0"/>
        <w:adjustRightInd w:val="0"/>
        <w:snapToGrid w:val="0"/>
        <w:spacing w:before="161" w:beforeLines="50" w:line="360" w:lineRule="auto"/>
        <w:ind w:firstLine="482"/>
        <w:textAlignment w:val="auto"/>
        <w:rPr>
          <w:b/>
          <w:color w:val="auto"/>
          <w:kern w:val="21"/>
          <w:sz w:val="24"/>
          <w:u w:val="single"/>
        </w:rPr>
      </w:pPr>
      <w:r>
        <w:rPr>
          <w:rFonts w:hint="eastAsia"/>
          <w:b/>
          <w:color w:val="auto"/>
          <w:kern w:val="21"/>
          <w:sz w:val="24"/>
          <w:u w:val="single"/>
        </w:rPr>
        <w:t>本项目危险废物分类贮存，不同类型危废按区存放，采用桶装，盛装桶采用200kg铁桶，直径0.6m，高0.9m，每30天由危废单位转运一次，项目在厂区北侧设置</w:t>
      </w:r>
      <w:r>
        <w:rPr>
          <w:rFonts w:hint="eastAsia"/>
          <w:b/>
          <w:color w:val="auto"/>
          <w:kern w:val="21"/>
          <w:sz w:val="24"/>
          <w:u w:val="single"/>
          <w:lang w:eastAsia="zh-CN"/>
        </w:rPr>
        <w:t>一座</w:t>
      </w:r>
      <w:r>
        <w:rPr>
          <w:rFonts w:hint="eastAsia"/>
          <w:b/>
          <w:color w:val="auto"/>
          <w:kern w:val="21"/>
          <w:sz w:val="24"/>
          <w:u w:val="single"/>
        </w:rPr>
        <w:t>占地面积150m</w:t>
      </w:r>
      <w:r>
        <w:rPr>
          <w:rFonts w:hint="eastAsia"/>
          <w:b/>
          <w:color w:val="auto"/>
          <w:kern w:val="21"/>
          <w:sz w:val="24"/>
          <w:u w:val="single"/>
          <w:vertAlign w:val="superscript"/>
        </w:rPr>
        <w:t>2</w:t>
      </w:r>
      <w:r>
        <w:rPr>
          <w:rFonts w:hint="eastAsia"/>
          <w:b/>
          <w:color w:val="auto"/>
          <w:kern w:val="21"/>
          <w:sz w:val="24"/>
          <w:u w:val="single"/>
        </w:rPr>
        <w:t>（5m</w:t>
      </w:r>
      <w:r>
        <w:rPr>
          <w:rFonts w:hint="eastAsia" w:ascii="宋体" w:hAnsi="宋体"/>
          <w:b/>
          <w:color w:val="auto"/>
          <w:kern w:val="21"/>
          <w:sz w:val="24"/>
          <w:u w:val="single"/>
        </w:rPr>
        <w:t>×</w:t>
      </w:r>
      <w:r>
        <w:rPr>
          <w:rFonts w:hint="eastAsia"/>
          <w:b/>
          <w:color w:val="auto"/>
          <w:kern w:val="21"/>
          <w:sz w:val="24"/>
          <w:u w:val="single"/>
        </w:rPr>
        <w:t>30m）的危废暂存间用于暂存各类危废，暂存间内道路宽2m长30m，实际贮存面积为90m</w:t>
      </w:r>
      <w:r>
        <w:rPr>
          <w:rFonts w:hint="eastAsia"/>
          <w:b/>
          <w:color w:val="auto"/>
          <w:kern w:val="21"/>
          <w:sz w:val="24"/>
          <w:u w:val="single"/>
          <w:vertAlign w:val="superscript"/>
        </w:rPr>
        <w:t>2</w:t>
      </w:r>
      <w:r>
        <w:rPr>
          <w:rFonts w:hint="eastAsia"/>
          <w:b/>
          <w:color w:val="auto"/>
          <w:kern w:val="21"/>
          <w:sz w:val="24"/>
          <w:u w:val="single"/>
        </w:rPr>
        <w:t>，各类危废贮存面积合理性分析见下表。</w:t>
      </w:r>
    </w:p>
    <w:p>
      <w:pPr>
        <w:tabs>
          <w:tab w:val="left" w:pos="3227"/>
        </w:tabs>
        <w:adjustRightInd w:val="0"/>
        <w:snapToGrid w:val="0"/>
        <w:jc w:val="center"/>
        <w:rPr>
          <w:b/>
          <w:color w:val="auto"/>
          <w:kern w:val="21"/>
          <w:sz w:val="16"/>
          <w:szCs w:val="16"/>
          <w:u w:val="single"/>
        </w:rPr>
      </w:pPr>
      <w:r>
        <w:rPr>
          <w:rFonts w:eastAsia="黑体"/>
          <w:b/>
          <w:color w:val="auto"/>
          <w:kern w:val="21"/>
          <w:sz w:val="24"/>
          <w:szCs w:val="24"/>
          <w:u w:val="single"/>
        </w:rPr>
        <w:t>表</w:t>
      </w:r>
      <w:r>
        <w:rPr>
          <w:rFonts w:hint="eastAsia" w:eastAsia="黑体"/>
          <w:b/>
          <w:color w:val="auto"/>
          <w:kern w:val="21"/>
          <w:sz w:val="24"/>
          <w:szCs w:val="24"/>
          <w:u w:val="single"/>
        </w:rPr>
        <w:t>7.5-3</w:t>
      </w:r>
      <w:r>
        <w:rPr>
          <w:rFonts w:eastAsia="黑体"/>
          <w:b/>
          <w:color w:val="auto"/>
          <w:kern w:val="21"/>
          <w:sz w:val="24"/>
          <w:szCs w:val="24"/>
          <w:u w:val="single"/>
        </w:rPr>
        <w:t xml:space="preserve">  本项目危废贮存面积设置合理性一览表</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528"/>
        <w:gridCol w:w="1125"/>
        <w:gridCol w:w="1155"/>
        <w:gridCol w:w="1470"/>
        <w:gridCol w:w="1260"/>
        <w:gridCol w:w="1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序号</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危废名称</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贮存能力t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铁桶数量</w:t>
            </w:r>
          </w:p>
          <w:p>
            <w:pPr>
              <w:pStyle w:val="32"/>
              <w:widowControl w:val="0"/>
              <w:spacing w:after="0" w:line="240" w:lineRule="auto"/>
              <w:ind w:firstLine="0" w:firstLineChars="0"/>
              <w:jc w:val="center"/>
              <w:rPr>
                <w:b/>
                <w:color w:val="auto"/>
                <w:u w:val="single"/>
                <w:lang w:val="en-US"/>
              </w:rPr>
            </w:pPr>
            <w:r>
              <w:rPr>
                <w:rFonts w:hint="eastAsia"/>
                <w:b/>
                <w:color w:val="auto"/>
                <w:u w:val="single"/>
                <w:lang w:val="en-US"/>
              </w:rPr>
              <w:t>个</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所需面积</w:t>
            </w:r>
          </w:p>
          <w:p>
            <w:pPr>
              <w:pStyle w:val="32"/>
              <w:widowControl w:val="0"/>
              <w:spacing w:after="0" w:line="240" w:lineRule="auto"/>
              <w:ind w:firstLine="0" w:firstLineChars="0"/>
              <w:jc w:val="center"/>
              <w:rPr>
                <w:b/>
                <w:color w:val="auto"/>
                <w:u w:val="single"/>
                <w:lang w:val="en-US"/>
              </w:rPr>
            </w:pPr>
            <w:r>
              <w:rPr>
                <w:rFonts w:hint="eastAsia"/>
                <w:b/>
                <w:color w:val="auto"/>
                <w:u w:val="single"/>
                <w:lang w:val="en-US"/>
              </w:rPr>
              <w:t>m</w:t>
            </w:r>
            <w:r>
              <w:rPr>
                <w:rFonts w:hint="eastAsia"/>
                <w:b/>
                <w:color w:val="auto"/>
                <w:u w:val="single"/>
                <w:vertAlign w:val="superscript"/>
                <w:lang w:val="en-US"/>
              </w:rPr>
              <w:t>2</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规划面积</w:t>
            </w:r>
            <w:r>
              <w:rPr>
                <w:rFonts w:hint="eastAsia"/>
                <w:b/>
                <w:color w:val="auto"/>
                <w:u w:val="single"/>
              </w:rPr>
              <w:t>m</w:t>
            </w:r>
            <w:r>
              <w:rPr>
                <w:rFonts w:hint="eastAsia"/>
                <w:b/>
                <w:color w:val="auto"/>
                <w:u w:val="single"/>
                <w:vertAlign w:val="superscript"/>
              </w:rPr>
              <w:t>2</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1</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含镍废物</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5t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25</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9</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10.8</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2</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含锌废物</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5</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1.8</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3.6</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3</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含铬废物</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10t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50</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18</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19.8</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4</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气浮池污油</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0.5t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3</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1.08</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1.8</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5</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废机油</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1.5t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8</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2.88</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5.4</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6</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反水反渗透膜</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8t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40</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14.4</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18</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7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7</w:t>
            </w:r>
          </w:p>
        </w:tc>
        <w:tc>
          <w:tcPr>
            <w:tcW w:w="1528"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生化处理污泥</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15t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75</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27</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30.6</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03" w:type="dxa"/>
            <w:gridSpan w:val="2"/>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b/>
                <w:color w:val="auto"/>
                <w:kern w:val="21"/>
                <w:szCs w:val="21"/>
                <w:u w:val="single"/>
              </w:rPr>
              <w:t>总计</w:t>
            </w:r>
          </w:p>
        </w:tc>
        <w:tc>
          <w:tcPr>
            <w:tcW w:w="112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41t</w:t>
            </w:r>
          </w:p>
        </w:tc>
        <w:tc>
          <w:tcPr>
            <w:tcW w:w="1155"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206</w:t>
            </w:r>
          </w:p>
        </w:tc>
        <w:tc>
          <w:tcPr>
            <w:tcW w:w="147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74.15</w:t>
            </w:r>
          </w:p>
        </w:tc>
        <w:tc>
          <w:tcPr>
            <w:tcW w:w="1260"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90</w:t>
            </w:r>
          </w:p>
        </w:tc>
        <w:tc>
          <w:tcPr>
            <w:tcW w:w="1029" w:type="dxa"/>
            <w:vAlign w:val="center"/>
          </w:tcPr>
          <w:p>
            <w:pPr>
              <w:pStyle w:val="33"/>
              <w:widowControl w:val="0"/>
              <w:adjustRightInd w:val="0"/>
              <w:snapToGrid w:val="0"/>
              <w:spacing w:after="0" w:line="240" w:lineRule="auto"/>
              <w:ind w:left="0" w:leftChars="0" w:firstLine="0" w:firstLineChars="0"/>
              <w:jc w:val="center"/>
              <w:rPr>
                <w:b/>
                <w:color w:val="auto"/>
                <w:kern w:val="21"/>
                <w:szCs w:val="21"/>
                <w:u w:val="single"/>
              </w:rPr>
            </w:pPr>
            <w:r>
              <w:rPr>
                <w:rFonts w:hint="eastAsia"/>
                <w:b/>
                <w:color w:val="auto"/>
                <w:kern w:val="21"/>
                <w:szCs w:val="21"/>
                <w:u w:val="single"/>
              </w:rPr>
              <w:t>合理</w:t>
            </w:r>
          </w:p>
        </w:tc>
      </w:tr>
    </w:tbl>
    <w:p>
      <w:pPr>
        <w:adjustRightInd w:val="0"/>
        <w:snapToGrid w:val="0"/>
        <w:spacing w:line="360" w:lineRule="auto"/>
        <w:ind w:firstLine="480"/>
        <w:rPr>
          <w:color w:val="auto"/>
          <w:kern w:val="21"/>
          <w:sz w:val="24"/>
          <w:szCs w:val="22"/>
        </w:rPr>
      </w:pPr>
      <w:r>
        <w:rPr>
          <w:color w:val="auto"/>
          <w:kern w:val="21"/>
          <w:sz w:val="24"/>
          <w:szCs w:val="22"/>
        </w:rPr>
        <w:t>危险废物储存在危废暂存间，危险废物收集储存过程需按下列要求进行管理：</w:t>
      </w:r>
    </w:p>
    <w:p>
      <w:pPr>
        <w:adjustRightInd w:val="0"/>
        <w:snapToGrid w:val="0"/>
        <w:spacing w:line="360" w:lineRule="auto"/>
        <w:ind w:firstLine="480"/>
        <w:rPr>
          <w:color w:val="auto"/>
          <w:kern w:val="21"/>
          <w:sz w:val="24"/>
          <w:szCs w:val="22"/>
        </w:rPr>
      </w:pPr>
      <w:r>
        <w:rPr>
          <w:color w:val="auto"/>
          <w:kern w:val="21"/>
          <w:sz w:val="24"/>
          <w:szCs w:val="22"/>
        </w:rPr>
        <w:t>1、危险废物暂存间严格按规定设置环境保护图形标志，并建立检查维护制度，严格执行《危险废物贮存污染控制标准》（GB18597-2001）中的有关规定，加强对危废的临时存储和转运管理要求，防止发生污染事故。严格执行以下措施：</w:t>
      </w:r>
    </w:p>
    <w:p>
      <w:pPr>
        <w:adjustRightInd w:val="0"/>
        <w:snapToGrid w:val="0"/>
        <w:spacing w:line="360" w:lineRule="auto"/>
        <w:ind w:firstLine="480"/>
        <w:rPr>
          <w:color w:val="auto"/>
          <w:kern w:val="21"/>
          <w:sz w:val="24"/>
          <w:szCs w:val="22"/>
        </w:rPr>
      </w:pPr>
      <w:r>
        <w:rPr>
          <w:color w:val="auto"/>
          <w:kern w:val="21"/>
          <w:sz w:val="24"/>
          <w:szCs w:val="22"/>
        </w:rPr>
        <w:t>（1）一般措施</w:t>
      </w:r>
    </w:p>
    <w:p>
      <w:pPr>
        <w:adjustRightInd w:val="0"/>
        <w:snapToGrid w:val="0"/>
        <w:spacing w:line="360" w:lineRule="auto"/>
        <w:ind w:firstLine="480"/>
        <w:rPr>
          <w:color w:val="auto"/>
          <w:kern w:val="21"/>
          <w:sz w:val="24"/>
          <w:szCs w:val="22"/>
        </w:rPr>
      </w:pPr>
      <w:r>
        <w:rPr>
          <w:rFonts w:hint="eastAsia"/>
          <w:color w:val="auto"/>
          <w:kern w:val="21"/>
          <w:sz w:val="24"/>
          <w:szCs w:val="22"/>
        </w:rPr>
        <w:t>①</w:t>
      </w:r>
      <w:r>
        <w:rPr>
          <w:color w:val="auto"/>
          <w:kern w:val="21"/>
          <w:sz w:val="24"/>
          <w:szCs w:val="22"/>
        </w:rPr>
        <w:t xml:space="preserve"> 建造专用的危险废物贮存设施。</w:t>
      </w:r>
    </w:p>
    <w:p>
      <w:pPr>
        <w:adjustRightInd w:val="0"/>
        <w:snapToGrid w:val="0"/>
        <w:spacing w:line="360" w:lineRule="auto"/>
        <w:ind w:firstLine="480"/>
        <w:rPr>
          <w:color w:val="auto"/>
          <w:kern w:val="21"/>
          <w:sz w:val="24"/>
          <w:szCs w:val="22"/>
        </w:rPr>
      </w:pPr>
      <w:r>
        <w:rPr>
          <w:rFonts w:hint="eastAsia"/>
          <w:color w:val="auto"/>
          <w:kern w:val="21"/>
          <w:sz w:val="24"/>
          <w:szCs w:val="22"/>
        </w:rPr>
        <w:t>②</w:t>
      </w:r>
      <w:r>
        <w:rPr>
          <w:color w:val="auto"/>
          <w:kern w:val="21"/>
          <w:sz w:val="24"/>
          <w:szCs w:val="22"/>
        </w:rPr>
        <w:t xml:space="preserve"> 危险废物暂存间应按规定设置环境保护图形标志，并建立检查维护制度，严格执行《危险废物贮存污染控制标准》（GB18597-2001）中的有关规定，做到防风、防雨、防晒、防渗、防腐、防泄漏，同时危险固废在转运、处理等过程应严格按照国家有关危险废物处置规范进行。具体要求如下：</w:t>
      </w:r>
    </w:p>
    <w:p>
      <w:pPr>
        <w:adjustRightInd w:val="0"/>
        <w:snapToGrid w:val="0"/>
        <w:spacing w:line="360" w:lineRule="auto"/>
        <w:ind w:firstLine="480"/>
        <w:rPr>
          <w:color w:val="auto"/>
          <w:kern w:val="21"/>
          <w:sz w:val="24"/>
          <w:szCs w:val="22"/>
        </w:rPr>
      </w:pPr>
      <w:r>
        <w:rPr>
          <w:color w:val="auto"/>
          <w:kern w:val="21"/>
          <w:sz w:val="24"/>
          <w:szCs w:val="22"/>
        </w:rPr>
        <w:t>a. 危险废物暂存间基础必须防渗，渗透系数≤10</w:t>
      </w:r>
      <w:r>
        <w:rPr>
          <w:color w:val="auto"/>
          <w:kern w:val="21"/>
          <w:sz w:val="24"/>
          <w:szCs w:val="22"/>
          <w:vertAlign w:val="superscript"/>
        </w:rPr>
        <w:t>-1</w:t>
      </w:r>
      <w:r>
        <w:rPr>
          <w:rFonts w:hint="eastAsia"/>
          <w:color w:val="auto"/>
          <w:kern w:val="21"/>
          <w:sz w:val="24"/>
          <w:szCs w:val="22"/>
          <w:vertAlign w:val="superscript"/>
        </w:rPr>
        <w:t>0</w:t>
      </w:r>
      <w:r>
        <w:rPr>
          <w:color w:val="auto"/>
          <w:kern w:val="21"/>
          <w:sz w:val="24"/>
          <w:szCs w:val="22"/>
        </w:rPr>
        <w:t xml:space="preserve"> cm/s；</w:t>
      </w:r>
    </w:p>
    <w:p>
      <w:pPr>
        <w:adjustRightInd w:val="0"/>
        <w:snapToGrid w:val="0"/>
        <w:spacing w:line="360" w:lineRule="auto"/>
        <w:ind w:firstLine="480"/>
        <w:rPr>
          <w:color w:val="auto"/>
          <w:kern w:val="21"/>
          <w:sz w:val="24"/>
          <w:szCs w:val="22"/>
        </w:rPr>
      </w:pPr>
      <w:r>
        <w:rPr>
          <w:color w:val="auto"/>
          <w:kern w:val="21"/>
          <w:sz w:val="24"/>
          <w:szCs w:val="22"/>
        </w:rPr>
        <w:t>b. 危险废物暂存间地面、裙脚要用坚固、防渗的材料建造，建筑材料必须与危险废物相容，衬里能够覆盖危险废物可能涉及到的范围，衬里材料与堆放危险废物相容；</w:t>
      </w:r>
    </w:p>
    <w:p>
      <w:pPr>
        <w:adjustRightInd w:val="0"/>
        <w:snapToGrid w:val="0"/>
        <w:spacing w:line="360" w:lineRule="auto"/>
        <w:ind w:firstLine="480"/>
        <w:rPr>
          <w:color w:val="auto"/>
          <w:kern w:val="21"/>
          <w:sz w:val="24"/>
          <w:szCs w:val="22"/>
        </w:rPr>
      </w:pPr>
      <w:r>
        <w:rPr>
          <w:color w:val="auto"/>
          <w:kern w:val="21"/>
          <w:sz w:val="24"/>
          <w:szCs w:val="22"/>
        </w:rPr>
        <w:t>c.做好危险废物情况的记录，记录上须注明危险废物的名称、来源、数量、特性、入库日期、废物出库日期及接收单位名称。危险废物的记录和货单在危险废物回取后继续保留三年；</w:t>
      </w:r>
    </w:p>
    <w:p>
      <w:pPr>
        <w:adjustRightInd w:val="0"/>
        <w:snapToGrid w:val="0"/>
        <w:spacing w:line="360" w:lineRule="auto"/>
        <w:ind w:firstLine="480"/>
        <w:rPr>
          <w:color w:val="auto"/>
          <w:kern w:val="21"/>
          <w:sz w:val="24"/>
          <w:szCs w:val="22"/>
        </w:rPr>
      </w:pPr>
      <w:r>
        <w:rPr>
          <w:color w:val="auto"/>
          <w:kern w:val="21"/>
          <w:sz w:val="24"/>
          <w:szCs w:val="22"/>
        </w:rPr>
        <w:t>d.定期对所贮存的危险废物贮存设施进行检查，发现破损，应及时采取措施清理更换。盛装危险废物的容器上必须粘贴符合 GB18597-2001 标准附录 A 所示的标签。</w:t>
      </w:r>
    </w:p>
    <w:p>
      <w:pPr>
        <w:adjustRightInd w:val="0"/>
        <w:snapToGrid w:val="0"/>
        <w:spacing w:line="360" w:lineRule="auto"/>
        <w:ind w:firstLine="480"/>
        <w:rPr>
          <w:color w:val="auto"/>
          <w:kern w:val="21"/>
          <w:sz w:val="24"/>
          <w:szCs w:val="22"/>
        </w:rPr>
      </w:pPr>
      <w:r>
        <w:rPr>
          <w:color w:val="auto"/>
          <w:kern w:val="21"/>
          <w:sz w:val="24"/>
          <w:szCs w:val="22"/>
        </w:rPr>
        <w:t>（2）危险废物贮存容器</w:t>
      </w:r>
    </w:p>
    <w:p>
      <w:pPr>
        <w:adjustRightInd w:val="0"/>
        <w:snapToGrid w:val="0"/>
        <w:spacing w:line="360" w:lineRule="auto"/>
        <w:ind w:firstLine="480"/>
        <w:rPr>
          <w:color w:val="auto"/>
          <w:kern w:val="21"/>
          <w:sz w:val="24"/>
          <w:szCs w:val="22"/>
        </w:rPr>
      </w:pPr>
      <w:r>
        <w:rPr>
          <w:rFonts w:hint="eastAsia"/>
          <w:color w:val="auto"/>
          <w:kern w:val="21"/>
          <w:sz w:val="24"/>
          <w:szCs w:val="22"/>
        </w:rPr>
        <w:t>①</w:t>
      </w:r>
      <w:r>
        <w:rPr>
          <w:color w:val="auto"/>
          <w:kern w:val="21"/>
          <w:sz w:val="24"/>
          <w:szCs w:val="22"/>
        </w:rPr>
        <w:t xml:space="preserve"> 应当使用符合标准的容器盛装危险废物。</w:t>
      </w:r>
    </w:p>
    <w:p>
      <w:pPr>
        <w:adjustRightInd w:val="0"/>
        <w:snapToGrid w:val="0"/>
        <w:spacing w:line="360" w:lineRule="auto"/>
        <w:ind w:firstLine="480"/>
        <w:rPr>
          <w:color w:val="auto"/>
          <w:kern w:val="21"/>
          <w:sz w:val="24"/>
          <w:szCs w:val="22"/>
        </w:rPr>
      </w:pPr>
      <w:r>
        <w:rPr>
          <w:rFonts w:hint="eastAsia"/>
          <w:color w:val="auto"/>
          <w:kern w:val="21"/>
          <w:sz w:val="24"/>
          <w:szCs w:val="22"/>
        </w:rPr>
        <w:t>②</w:t>
      </w:r>
      <w:r>
        <w:rPr>
          <w:color w:val="auto"/>
          <w:kern w:val="21"/>
          <w:sz w:val="24"/>
          <w:szCs w:val="22"/>
        </w:rPr>
        <w:t xml:space="preserve"> 装载危险废物的容器及材质和衬里要满足相应的强度要求。</w:t>
      </w:r>
      <w:r>
        <w:rPr>
          <w:rFonts w:hint="eastAsia"/>
          <w:color w:val="auto"/>
          <w:kern w:val="21"/>
          <w:sz w:val="24"/>
          <w:szCs w:val="22"/>
        </w:rPr>
        <w:t>③</w:t>
      </w:r>
      <w:r>
        <w:rPr>
          <w:color w:val="auto"/>
          <w:kern w:val="21"/>
          <w:sz w:val="24"/>
          <w:szCs w:val="22"/>
        </w:rPr>
        <w:t xml:space="preserve"> 装载危险废物的容器必须完好无损。</w:t>
      </w:r>
    </w:p>
    <w:p>
      <w:pPr>
        <w:adjustRightInd w:val="0"/>
        <w:snapToGrid w:val="0"/>
        <w:spacing w:line="360" w:lineRule="auto"/>
        <w:ind w:firstLine="480"/>
        <w:rPr>
          <w:color w:val="auto"/>
          <w:kern w:val="21"/>
          <w:sz w:val="24"/>
          <w:szCs w:val="22"/>
        </w:rPr>
      </w:pPr>
      <w:r>
        <w:rPr>
          <w:rFonts w:hint="eastAsia"/>
          <w:color w:val="auto"/>
          <w:kern w:val="21"/>
          <w:sz w:val="24"/>
          <w:szCs w:val="22"/>
        </w:rPr>
        <w:t>④</w:t>
      </w:r>
      <w:r>
        <w:rPr>
          <w:color w:val="auto"/>
          <w:kern w:val="21"/>
          <w:sz w:val="24"/>
          <w:szCs w:val="22"/>
        </w:rPr>
        <w:t xml:space="preserve"> 盛装危险废物的容器材质和衬里要与危险废物相容（不相互反应）。</w:t>
      </w:r>
    </w:p>
    <w:p>
      <w:pPr>
        <w:adjustRightInd w:val="0"/>
        <w:snapToGrid w:val="0"/>
        <w:spacing w:line="360" w:lineRule="auto"/>
        <w:ind w:firstLine="480"/>
        <w:rPr>
          <w:color w:val="auto"/>
          <w:kern w:val="21"/>
          <w:sz w:val="24"/>
          <w:szCs w:val="22"/>
        </w:rPr>
      </w:pPr>
      <w:r>
        <w:rPr>
          <w:rFonts w:hint="eastAsia"/>
          <w:color w:val="auto"/>
          <w:kern w:val="21"/>
          <w:sz w:val="24"/>
          <w:szCs w:val="22"/>
        </w:rPr>
        <w:t>⑤</w:t>
      </w:r>
      <w:r>
        <w:rPr>
          <w:color w:val="auto"/>
          <w:kern w:val="21"/>
          <w:sz w:val="24"/>
          <w:szCs w:val="22"/>
        </w:rPr>
        <w:t xml:space="preserve"> 必须定期对所贮存的危险废物包装容器及贮存设施进行检查，发现破损，应及时采取措施清理更换。</w:t>
      </w:r>
    </w:p>
    <w:p>
      <w:pPr>
        <w:adjustRightInd w:val="0"/>
        <w:snapToGrid w:val="0"/>
        <w:spacing w:line="360" w:lineRule="auto"/>
        <w:ind w:firstLine="480"/>
        <w:rPr>
          <w:color w:val="auto"/>
          <w:kern w:val="21"/>
          <w:sz w:val="24"/>
          <w:szCs w:val="22"/>
        </w:rPr>
      </w:pPr>
      <w:r>
        <w:rPr>
          <w:color w:val="auto"/>
          <w:kern w:val="21"/>
          <w:sz w:val="24"/>
          <w:szCs w:val="22"/>
        </w:rPr>
        <w:t>（3）危险废物贮存设施的安全防护</w:t>
      </w:r>
    </w:p>
    <w:p>
      <w:pPr>
        <w:adjustRightInd w:val="0"/>
        <w:snapToGrid w:val="0"/>
        <w:spacing w:line="360" w:lineRule="auto"/>
        <w:ind w:firstLine="480"/>
        <w:rPr>
          <w:color w:val="auto"/>
          <w:kern w:val="21"/>
          <w:sz w:val="24"/>
          <w:szCs w:val="22"/>
        </w:rPr>
      </w:pPr>
      <w:r>
        <w:rPr>
          <w:color w:val="auto"/>
          <w:kern w:val="21"/>
          <w:sz w:val="24"/>
          <w:szCs w:val="22"/>
        </w:rPr>
        <w:t>危险废物贮存设施都必须按 GB15562.2 的规定设置警示标志。危险废物贮存设施应配备通讯设备、照明设施、安全防护服装及工具，并设有应急防护设施。</w:t>
      </w:r>
    </w:p>
    <w:p>
      <w:pPr>
        <w:adjustRightInd w:val="0"/>
        <w:snapToGrid w:val="0"/>
        <w:spacing w:line="360" w:lineRule="auto"/>
        <w:ind w:firstLine="480"/>
        <w:rPr>
          <w:color w:val="auto"/>
          <w:kern w:val="21"/>
          <w:sz w:val="24"/>
          <w:szCs w:val="22"/>
        </w:rPr>
      </w:pPr>
      <w:r>
        <w:rPr>
          <w:color w:val="auto"/>
          <w:kern w:val="21"/>
          <w:sz w:val="24"/>
          <w:szCs w:val="22"/>
        </w:rPr>
        <w:t>2、企业须健全危险废物相关管理制度，并严格落实。</w:t>
      </w:r>
    </w:p>
    <w:p>
      <w:pPr>
        <w:adjustRightInd w:val="0"/>
        <w:snapToGrid w:val="0"/>
        <w:spacing w:line="360" w:lineRule="auto"/>
        <w:ind w:firstLine="480"/>
        <w:rPr>
          <w:color w:val="auto"/>
          <w:kern w:val="21"/>
          <w:sz w:val="24"/>
          <w:szCs w:val="22"/>
        </w:rPr>
      </w:pPr>
      <w:r>
        <w:rPr>
          <w:color w:val="auto"/>
          <w:kern w:val="21"/>
          <w:sz w:val="24"/>
          <w:szCs w:val="22"/>
        </w:rPr>
        <w:t>（1）企业须建立危险废物收集操作规程、危险废物转运操作规程、危险废物暂存管理规程等相关制度，并认真落实；</w:t>
      </w:r>
    </w:p>
    <w:p>
      <w:pPr>
        <w:adjustRightInd w:val="0"/>
        <w:snapToGrid w:val="0"/>
        <w:spacing w:line="360" w:lineRule="auto"/>
        <w:ind w:firstLine="480"/>
        <w:rPr>
          <w:color w:val="auto"/>
          <w:kern w:val="21"/>
          <w:sz w:val="24"/>
          <w:szCs w:val="22"/>
        </w:rPr>
      </w:pPr>
      <w:r>
        <w:rPr>
          <w:color w:val="auto"/>
          <w:kern w:val="21"/>
          <w:sz w:val="24"/>
          <w:szCs w:val="22"/>
        </w:rPr>
        <w:t>（2）企业须对危险废物储运场所张贴</w:t>
      </w:r>
      <w:r>
        <w:rPr>
          <w:rFonts w:hint="eastAsia"/>
          <w:color w:val="auto"/>
          <w:kern w:val="21"/>
          <w:sz w:val="24"/>
          <w:szCs w:val="22"/>
          <w:lang w:eastAsia="zh-CN"/>
        </w:rPr>
        <w:t>警示标识</w:t>
      </w:r>
      <w:r>
        <w:rPr>
          <w:color w:val="auto"/>
          <w:kern w:val="21"/>
          <w:sz w:val="24"/>
          <w:szCs w:val="22"/>
        </w:rPr>
        <w:t>，危险废物包装物张贴警示标签；</w:t>
      </w:r>
    </w:p>
    <w:p>
      <w:pPr>
        <w:adjustRightInd w:val="0"/>
        <w:snapToGrid w:val="0"/>
        <w:spacing w:line="360" w:lineRule="auto"/>
        <w:ind w:firstLine="480"/>
        <w:rPr>
          <w:color w:val="auto"/>
          <w:kern w:val="21"/>
          <w:sz w:val="24"/>
          <w:szCs w:val="22"/>
        </w:rPr>
      </w:pPr>
      <w:r>
        <w:rPr>
          <w:color w:val="auto"/>
          <w:kern w:val="21"/>
          <w:sz w:val="24"/>
          <w:szCs w:val="22"/>
        </w:rPr>
        <w:t>（3）规范危险废物统计、建立危险废物收集及储运有关档案，认真填写《危险废物项目区内转运记录表》，</w:t>
      </w:r>
      <w:r>
        <w:rPr>
          <w:rFonts w:hint="eastAsia"/>
          <w:color w:val="auto"/>
          <w:kern w:val="21"/>
          <w:sz w:val="24"/>
          <w:szCs w:val="22"/>
          <w:lang w:eastAsia="zh-CN"/>
        </w:rPr>
        <w:t>做好</w:t>
      </w:r>
      <w:r>
        <w:rPr>
          <w:color w:val="auto"/>
          <w:kern w:val="21"/>
          <w:sz w:val="24"/>
          <w:szCs w:val="22"/>
        </w:rPr>
        <w:t>危险废物情况的记录，记录上须注明危险废物的名称、来源、数量、特性和包装容器的类别、入库日期、存放库位、废物出库日期及接收单位名称等，并即时存档以备查阅。</w:t>
      </w:r>
    </w:p>
    <w:p>
      <w:pPr>
        <w:adjustRightInd w:val="0"/>
        <w:snapToGrid w:val="0"/>
        <w:spacing w:line="360" w:lineRule="auto"/>
        <w:ind w:firstLine="480"/>
        <w:rPr>
          <w:color w:val="auto"/>
          <w:kern w:val="21"/>
          <w:sz w:val="24"/>
          <w:szCs w:val="22"/>
        </w:rPr>
      </w:pPr>
      <w:r>
        <w:rPr>
          <w:color w:val="auto"/>
          <w:kern w:val="21"/>
          <w:sz w:val="24"/>
          <w:szCs w:val="22"/>
        </w:rPr>
        <w:t>3、危险废物在暂存期间存储和管理的相关要求。</w:t>
      </w:r>
    </w:p>
    <w:p>
      <w:pPr>
        <w:adjustRightInd w:val="0"/>
        <w:snapToGrid w:val="0"/>
        <w:spacing w:line="360" w:lineRule="auto"/>
        <w:ind w:firstLine="480"/>
        <w:rPr>
          <w:color w:val="auto"/>
          <w:kern w:val="21"/>
          <w:sz w:val="24"/>
          <w:szCs w:val="22"/>
        </w:rPr>
      </w:pPr>
      <w:r>
        <w:rPr>
          <w:color w:val="auto"/>
          <w:kern w:val="21"/>
          <w:sz w:val="24"/>
          <w:szCs w:val="22"/>
        </w:rPr>
        <w:t>（1）必须将危险废物装入容器内进行密封装运，禁止将不相容（相互反应）的危险废物在同一容器内混装；</w:t>
      </w:r>
    </w:p>
    <w:p>
      <w:pPr>
        <w:adjustRightInd w:val="0"/>
        <w:snapToGrid w:val="0"/>
        <w:spacing w:line="360" w:lineRule="auto"/>
        <w:ind w:firstLine="480"/>
        <w:rPr>
          <w:color w:val="auto"/>
          <w:kern w:val="21"/>
          <w:sz w:val="24"/>
          <w:szCs w:val="22"/>
        </w:rPr>
      </w:pPr>
      <w:r>
        <w:rPr>
          <w:color w:val="auto"/>
          <w:kern w:val="21"/>
          <w:sz w:val="24"/>
          <w:szCs w:val="22"/>
        </w:rPr>
        <w:t>（2）盛装危险废物的容器应当符合标准，材质要满足相应的强度要求且必须完好无损，容器材质和衬里要与危险废物相容（不相互反应）；</w:t>
      </w:r>
    </w:p>
    <w:p>
      <w:pPr>
        <w:adjustRightInd w:val="0"/>
        <w:snapToGrid w:val="0"/>
        <w:spacing w:line="360" w:lineRule="auto"/>
        <w:ind w:firstLine="480"/>
        <w:rPr>
          <w:color w:val="auto"/>
          <w:kern w:val="21"/>
          <w:sz w:val="24"/>
          <w:szCs w:val="22"/>
        </w:rPr>
      </w:pPr>
      <w:r>
        <w:rPr>
          <w:color w:val="auto"/>
          <w:kern w:val="21"/>
          <w:sz w:val="24"/>
          <w:szCs w:val="22"/>
        </w:rPr>
        <w:t>（3）必须定期对所贮存的危险废物包装容器及贮存设施进行检查，发现破损，应及时采取措施清理更换。</w:t>
      </w:r>
    </w:p>
    <w:p>
      <w:pPr>
        <w:adjustRightInd w:val="0"/>
        <w:snapToGrid w:val="0"/>
        <w:spacing w:line="360" w:lineRule="auto"/>
        <w:ind w:firstLine="480"/>
        <w:rPr>
          <w:rFonts w:eastAsia="黑体"/>
          <w:bCs/>
          <w:color w:val="auto"/>
          <w:kern w:val="21"/>
          <w:sz w:val="24"/>
          <w:szCs w:val="24"/>
        </w:rPr>
      </w:pPr>
      <w:r>
        <w:rPr>
          <w:color w:val="auto"/>
          <w:kern w:val="21"/>
          <w:sz w:val="24"/>
          <w:szCs w:val="22"/>
        </w:rPr>
        <w:t>综上，本项目对所产生的固体废物分别集中收集，按类别进行处理。采取以上措施后，项目固体废物可得到妥善有效的处理处置。</w:t>
      </w:r>
      <w:bookmarkStart w:id="417" w:name="_Toc143085423"/>
      <w:bookmarkStart w:id="418" w:name="_Toc239790080"/>
      <w:bookmarkStart w:id="419" w:name="_Toc22074_WPSOffice_Level1"/>
      <w:bookmarkStart w:id="420" w:name="_Toc258848205"/>
      <w:bookmarkStart w:id="421" w:name="_Toc19245"/>
      <w:bookmarkStart w:id="422" w:name="_Toc11220"/>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23" w:name="_Toc17521"/>
      <w:bookmarkStart w:id="424" w:name="_Toc112338971"/>
      <w:r>
        <w:rPr>
          <w:bCs w:val="0"/>
          <w:color w:val="auto"/>
          <w:kern w:val="0"/>
          <w:szCs w:val="20"/>
          <w:lang w:val="en-US"/>
        </w:rPr>
        <w:t>7.</w:t>
      </w:r>
      <w:r>
        <w:rPr>
          <w:rFonts w:hint="eastAsia"/>
          <w:bCs w:val="0"/>
          <w:color w:val="auto"/>
          <w:kern w:val="0"/>
          <w:szCs w:val="20"/>
          <w:lang w:val="en-US"/>
        </w:rPr>
        <w:t>6土壤</w:t>
      </w:r>
      <w:r>
        <w:rPr>
          <w:bCs w:val="0"/>
          <w:color w:val="auto"/>
          <w:kern w:val="0"/>
          <w:szCs w:val="20"/>
          <w:lang w:val="en-US"/>
        </w:rPr>
        <w:t>污染防治措施可行性分析</w:t>
      </w:r>
      <w:bookmarkEnd w:id="423"/>
      <w:bookmarkEnd w:id="424"/>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针对土壤防治</w:t>
      </w:r>
      <w:r>
        <w:rPr>
          <w:rFonts w:hint="eastAsia"/>
          <w:color w:val="auto"/>
          <w:kern w:val="21"/>
          <w:sz w:val="24"/>
          <w:szCs w:val="24"/>
          <w:lang w:eastAsia="zh-CN"/>
        </w:rPr>
        <w:t>采取以下</w:t>
      </w:r>
      <w:r>
        <w:rPr>
          <w:rFonts w:hint="eastAsia"/>
          <w:color w:val="auto"/>
          <w:kern w:val="21"/>
          <w:sz w:val="24"/>
          <w:szCs w:val="24"/>
        </w:rPr>
        <w:t>措施：</w:t>
      </w:r>
    </w:p>
    <w:p>
      <w:pPr>
        <w:adjustRightInd w:val="0"/>
        <w:snapToGrid w:val="0"/>
        <w:spacing w:line="360" w:lineRule="auto"/>
        <w:ind w:firstLine="480" w:firstLineChars="200"/>
        <w:rPr>
          <w:color w:val="auto"/>
          <w:kern w:val="21"/>
          <w:sz w:val="24"/>
          <w:szCs w:val="24"/>
        </w:rPr>
      </w:pPr>
      <w:r>
        <w:rPr>
          <w:rFonts w:hint="eastAsia"/>
          <w:color w:val="auto"/>
          <w:kern w:val="21"/>
          <w:sz w:val="24"/>
          <w:szCs w:val="24"/>
        </w:rPr>
        <w:t>（1）项目厂区内应尽可能全部进行硬化防渗处理，并遵循</w:t>
      </w:r>
      <w:r>
        <w:rPr>
          <w:rFonts w:hint="eastAsia"/>
          <w:color w:val="auto"/>
          <w:kern w:val="21"/>
          <w:sz w:val="24"/>
          <w:szCs w:val="24"/>
          <w:lang w:eastAsia="zh-CN"/>
        </w:rPr>
        <w:t>“</w:t>
      </w:r>
      <w:r>
        <w:rPr>
          <w:color w:val="auto"/>
          <w:kern w:val="21"/>
          <w:sz w:val="24"/>
        </w:rPr>
        <w:t>生产设施不落地</w:t>
      </w:r>
      <w:r>
        <w:rPr>
          <w:rFonts w:hint="eastAsia"/>
          <w:color w:val="auto"/>
          <w:kern w:val="21"/>
          <w:sz w:val="24"/>
          <w:lang w:eastAsia="zh-CN"/>
        </w:rPr>
        <w:t>”</w:t>
      </w:r>
      <w:r>
        <w:rPr>
          <w:color w:val="auto"/>
          <w:kern w:val="21"/>
          <w:sz w:val="24"/>
        </w:rPr>
        <w:t>原则进行建设，</w:t>
      </w:r>
      <w:r>
        <w:rPr>
          <w:rFonts w:hint="eastAsia"/>
          <w:color w:val="auto"/>
          <w:kern w:val="21"/>
          <w:sz w:val="24"/>
          <w:szCs w:val="24"/>
        </w:rPr>
        <w:t>原材料应放置在托盘上等；</w:t>
      </w:r>
    </w:p>
    <w:p>
      <w:pPr>
        <w:adjustRightInd w:val="0"/>
        <w:snapToGrid w:val="0"/>
        <w:spacing w:line="360" w:lineRule="auto"/>
        <w:ind w:firstLine="480" w:firstLineChars="200"/>
        <w:rPr>
          <w:color w:val="auto"/>
          <w:kern w:val="21"/>
          <w:sz w:val="24"/>
          <w:szCs w:val="24"/>
        </w:rPr>
      </w:pPr>
      <w:r>
        <w:rPr>
          <w:color w:val="auto"/>
          <w:kern w:val="21"/>
          <w:sz w:val="24"/>
          <w:szCs w:val="24"/>
        </w:rPr>
        <w:t>（2）</w:t>
      </w:r>
      <w:r>
        <w:rPr>
          <w:rFonts w:hint="eastAsia"/>
          <w:color w:val="auto"/>
          <w:kern w:val="21"/>
          <w:sz w:val="24"/>
          <w:szCs w:val="24"/>
        </w:rPr>
        <w:t>厂区污水处理站应严格按照标准设计施工，地下排水管道采用防渗性能好的管道，设置防渗管道槽，若发生管道污水泄漏，混凝土收集槽可将泄漏的污水集中收集后排入污水处理站事故池（缓冲池），可起到多层防渗作用；</w:t>
      </w:r>
    </w:p>
    <w:p>
      <w:pPr>
        <w:pStyle w:val="33"/>
        <w:spacing w:line="360" w:lineRule="auto"/>
        <w:ind w:left="0" w:leftChars="0" w:firstLine="480" w:firstLineChars="200"/>
        <w:rPr>
          <w:color w:val="auto"/>
          <w:kern w:val="21"/>
          <w:sz w:val="24"/>
        </w:rPr>
      </w:pPr>
      <w:r>
        <w:rPr>
          <w:rFonts w:hint="eastAsia"/>
          <w:color w:val="auto"/>
          <w:kern w:val="21"/>
          <w:sz w:val="24"/>
        </w:rPr>
        <w:t>（3）生产过程中使用的化学原辅料应按相关要求进行贮存，生产使用过程中做好防范措施，防止化学原料泄漏。</w:t>
      </w:r>
    </w:p>
    <w:p>
      <w:pPr>
        <w:pStyle w:val="33"/>
        <w:spacing w:line="360" w:lineRule="auto"/>
        <w:ind w:left="0" w:leftChars="0" w:firstLine="480" w:firstLineChars="200"/>
        <w:rPr>
          <w:color w:val="auto"/>
          <w:kern w:val="21"/>
          <w:sz w:val="24"/>
        </w:rPr>
      </w:pPr>
      <w:r>
        <w:rPr>
          <w:rFonts w:hint="eastAsia"/>
          <w:color w:val="auto"/>
          <w:kern w:val="21"/>
          <w:sz w:val="24"/>
        </w:rPr>
        <w:t>（4）</w:t>
      </w:r>
      <w:r>
        <w:rPr>
          <w:color w:val="auto"/>
          <w:kern w:val="21"/>
          <w:sz w:val="24"/>
        </w:rPr>
        <w:t>车间内实行干湿区分离，湿区地面应敷设网格板，湿镀件上下挂具作业必须在湿区内进行。</w:t>
      </w:r>
    </w:p>
    <w:p>
      <w:pPr>
        <w:pStyle w:val="32"/>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在采取严格的防腐防渗措施后，项目废水基本不会直接渗入土壤造成土壤污染。因此项目的土壤污染防治措施在技术上是可行的。</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25" w:name="_Toc112338972"/>
      <w:bookmarkStart w:id="426" w:name="_Toc41926451"/>
      <w:r>
        <w:rPr>
          <w:rFonts w:hint="eastAsia"/>
          <w:bCs w:val="0"/>
          <w:color w:val="auto"/>
          <w:kern w:val="0"/>
          <w:szCs w:val="20"/>
          <w:lang w:val="en-US"/>
        </w:rPr>
        <w:t>7.7</w:t>
      </w:r>
      <w:r>
        <w:rPr>
          <w:bCs w:val="0"/>
          <w:color w:val="auto"/>
          <w:kern w:val="0"/>
          <w:szCs w:val="20"/>
          <w:lang w:val="en-US"/>
        </w:rPr>
        <w:t>污染防治措施投资估算</w:t>
      </w:r>
      <w:bookmarkEnd w:id="425"/>
      <w:bookmarkEnd w:id="426"/>
    </w:p>
    <w:p>
      <w:pPr>
        <w:pStyle w:val="32"/>
        <w:adjustRightInd w:val="0"/>
        <w:snapToGrid w:val="0"/>
        <w:spacing w:after="0" w:line="360" w:lineRule="auto"/>
        <w:ind w:firstLine="480" w:firstLineChars="200"/>
        <w:rPr>
          <w:color w:val="auto"/>
          <w:kern w:val="21"/>
          <w:sz w:val="24"/>
          <w:lang w:val="en-US"/>
        </w:rPr>
      </w:pPr>
      <w:r>
        <w:rPr>
          <w:color w:val="auto"/>
          <w:kern w:val="21"/>
          <w:sz w:val="24"/>
          <w:lang w:val="en-US"/>
        </w:rPr>
        <w:t>本项目总投资</w:t>
      </w:r>
      <w:r>
        <w:rPr>
          <w:rFonts w:hint="eastAsia"/>
          <w:color w:val="auto"/>
          <w:kern w:val="21"/>
          <w:sz w:val="24"/>
          <w:lang w:val="en-US"/>
        </w:rPr>
        <w:t>56000万元</w:t>
      </w:r>
      <w:r>
        <w:rPr>
          <w:color w:val="auto"/>
          <w:kern w:val="21"/>
          <w:sz w:val="24"/>
          <w:lang w:val="en-US"/>
        </w:rPr>
        <w:t>，</w:t>
      </w:r>
      <w:r>
        <w:rPr>
          <w:b/>
          <w:bCs/>
          <w:color w:val="auto"/>
          <w:kern w:val="21"/>
          <w:sz w:val="24"/>
          <w:u w:val="single"/>
          <w:lang w:val="en-US"/>
        </w:rPr>
        <w:t>环保投资</w:t>
      </w:r>
      <w:r>
        <w:rPr>
          <w:rFonts w:hint="eastAsia"/>
          <w:b/>
          <w:bCs/>
          <w:color w:val="auto"/>
          <w:kern w:val="21"/>
          <w:sz w:val="24"/>
          <w:u w:val="single"/>
          <w:lang w:val="en-US"/>
        </w:rPr>
        <w:t>1942万，</w:t>
      </w:r>
      <w:r>
        <w:rPr>
          <w:b/>
          <w:bCs/>
          <w:color w:val="auto"/>
          <w:kern w:val="21"/>
          <w:sz w:val="24"/>
          <w:u w:val="single"/>
          <w:lang w:val="en-US"/>
        </w:rPr>
        <w:t>占项目总投资的</w:t>
      </w:r>
      <w:r>
        <w:rPr>
          <w:rFonts w:hint="eastAsia"/>
          <w:b/>
          <w:bCs/>
          <w:color w:val="auto"/>
          <w:kern w:val="21"/>
          <w:sz w:val="24"/>
          <w:u w:val="single"/>
          <w:lang w:val="en-US"/>
        </w:rPr>
        <w:t>3.5</w:t>
      </w:r>
      <w:r>
        <w:rPr>
          <w:b/>
          <w:bCs/>
          <w:color w:val="auto"/>
          <w:kern w:val="21"/>
          <w:sz w:val="24"/>
          <w:u w:val="single"/>
          <w:lang w:val="en-US"/>
        </w:rPr>
        <w:t>%。</w:t>
      </w:r>
      <w:r>
        <w:rPr>
          <w:color w:val="auto"/>
          <w:kern w:val="21"/>
          <w:sz w:val="24"/>
          <w:lang w:val="en-US"/>
        </w:rPr>
        <w:t>本项目环保投资构成情况详见表</w:t>
      </w:r>
      <w:r>
        <w:rPr>
          <w:rFonts w:hint="eastAsia"/>
          <w:color w:val="auto"/>
          <w:kern w:val="21"/>
          <w:sz w:val="24"/>
          <w:lang w:val="en-US"/>
        </w:rPr>
        <w:t>7.7</w:t>
      </w:r>
      <w:r>
        <w:rPr>
          <w:color w:val="auto"/>
          <w:kern w:val="21"/>
          <w:sz w:val="24"/>
          <w:lang w:val="en-US"/>
        </w:rPr>
        <w:t>-1。</w:t>
      </w:r>
    </w:p>
    <w:p>
      <w:pPr>
        <w:widowControl w:val="0"/>
        <w:tabs>
          <w:tab w:val="center" w:pos="4575"/>
          <w:tab w:val="left" w:pos="7365"/>
        </w:tabs>
        <w:jc w:val="center"/>
        <w:rPr>
          <w:rFonts w:hint="default" w:eastAsia="黑体"/>
          <w:b/>
          <w:bCs/>
          <w:color w:val="auto"/>
          <w:sz w:val="24"/>
          <w:szCs w:val="22"/>
          <w:lang w:val="en-US" w:eastAsia="zh-CN"/>
        </w:rPr>
      </w:pPr>
      <w:r>
        <w:rPr>
          <w:rFonts w:eastAsia="黑体"/>
          <w:b/>
          <w:bCs/>
          <w:color w:val="auto"/>
          <w:sz w:val="24"/>
          <w:szCs w:val="22"/>
        </w:rPr>
        <w:t>表</w:t>
      </w:r>
      <w:r>
        <w:rPr>
          <w:rFonts w:hint="eastAsia" w:eastAsia="黑体"/>
          <w:b/>
          <w:bCs/>
          <w:color w:val="auto"/>
          <w:sz w:val="24"/>
          <w:szCs w:val="22"/>
        </w:rPr>
        <w:t>7.7</w:t>
      </w:r>
      <w:r>
        <w:rPr>
          <w:rFonts w:eastAsia="黑体"/>
          <w:b/>
          <w:bCs/>
          <w:color w:val="auto"/>
          <w:sz w:val="24"/>
          <w:szCs w:val="22"/>
        </w:rPr>
        <w:t>-1   本项目环保投资估算一览表</w:t>
      </w:r>
      <w:r>
        <w:rPr>
          <w:rFonts w:hint="eastAsia" w:eastAsia="黑体"/>
          <w:b/>
          <w:bCs/>
          <w:color w:val="auto"/>
          <w:sz w:val="24"/>
          <w:szCs w:val="22"/>
          <w:lang w:val="en-US" w:eastAsia="zh-CN"/>
        </w:rPr>
        <w:t xml:space="preserve">     单位：万元</w:t>
      </w:r>
    </w:p>
    <w:tbl>
      <w:tblPr>
        <w:tblStyle w:val="83"/>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394"/>
        <w:gridCol w:w="3569"/>
        <w:gridCol w:w="1545"/>
        <w:gridCol w:w="915"/>
        <w:gridCol w:w="9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956" w:type="dxa"/>
            <w:gridSpan w:val="2"/>
            <w:vAlign w:val="center"/>
          </w:tcPr>
          <w:p>
            <w:pPr>
              <w:widowControl w:val="0"/>
              <w:spacing w:line="240" w:lineRule="exact"/>
              <w:jc w:val="center"/>
              <w:rPr>
                <w:b/>
                <w:bCs/>
                <w:color w:val="auto"/>
                <w:u w:val="single"/>
              </w:rPr>
            </w:pPr>
            <w:r>
              <w:rPr>
                <w:b/>
                <w:bCs/>
                <w:color w:val="auto"/>
                <w:u w:val="single"/>
              </w:rPr>
              <w:t>污染源</w:t>
            </w:r>
          </w:p>
        </w:tc>
        <w:tc>
          <w:tcPr>
            <w:tcW w:w="5114" w:type="dxa"/>
            <w:gridSpan w:val="2"/>
            <w:vAlign w:val="center"/>
          </w:tcPr>
          <w:p>
            <w:pPr>
              <w:widowControl w:val="0"/>
              <w:spacing w:line="240" w:lineRule="exact"/>
              <w:jc w:val="center"/>
              <w:rPr>
                <w:b/>
                <w:bCs/>
                <w:color w:val="auto"/>
                <w:u w:val="single"/>
              </w:rPr>
            </w:pPr>
            <w:r>
              <w:rPr>
                <w:b/>
                <w:bCs/>
                <w:color w:val="auto"/>
                <w:u w:val="single"/>
              </w:rPr>
              <w:t>设施名称</w:t>
            </w:r>
          </w:p>
        </w:tc>
        <w:tc>
          <w:tcPr>
            <w:tcW w:w="915" w:type="dxa"/>
            <w:vAlign w:val="center"/>
          </w:tcPr>
          <w:p>
            <w:pPr>
              <w:widowControl w:val="0"/>
              <w:spacing w:line="240" w:lineRule="exact"/>
              <w:jc w:val="center"/>
              <w:rPr>
                <w:b/>
                <w:bCs/>
                <w:color w:val="auto"/>
                <w:u w:val="single"/>
              </w:rPr>
            </w:pPr>
            <w:r>
              <w:rPr>
                <w:b/>
                <w:bCs/>
                <w:color w:val="auto"/>
                <w:u w:val="single"/>
              </w:rPr>
              <w:t>数量</w:t>
            </w:r>
          </w:p>
        </w:tc>
        <w:tc>
          <w:tcPr>
            <w:tcW w:w="961" w:type="dxa"/>
            <w:vAlign w:val="center"/>
          </w:tcPr>
          <w:p>
            <w:pPr>
              <w:widowControl w:val="0"/>
              <w:spacing w:line="240" w:lineRule="exact"/>
              <w:jc w:val="center"/>
              <w:rPr>
                <w:b/>
                <w:bCs/>
                <w:color w:val="auto"/>
                <w:u w:val="single"/>
              </w:rPr>
            </w:pPr>
            <w:r>
              <w:rPr>
                <w:b/>
                <w:bCs/>
                <w:color w:val="auto"/>
                <w:u w:val="single"/>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562" w:type="dxa"/>
            <w:vMerge w:val="restart"/>
            <w:vAlign w:val="center"/>
          </w:tcPr>
          <w:p>
            <w:pPr>
              <w:widowControl w:val="0"/>
              <w:spacing w:line="240" w:lineRule="exact"/>
              <w:jc w:val="center"/>
              <w:rPr>
                <w:b/>
                <w:bCs/>
                <w:color w:val="auto"/>
                <w:u w:val="single"/>
              </w:rPr>
            </w:pPr>
            <w:r>
              <w:rPr>
                <w:b/>
                <w:bCs/>
                <w:color w:val="auto"/>
                <w:u w:val="single"/>
              </w:rPr>
              <w:t>废气</w:t>
            </w:r>
          </w:p>
        </w:tc>
        <w:tc>
          <w:tcPr>
            <w:tcW w:w="1394" w:type="dxa"/>
            <w:vAlign w:val="center"/>
          </w:tcPr>
          <w:p>
            <w:pPr>
              <w:widowControl w:val="0"/>
              <w:spacing w:line="240" w:lineRule="exact"/>
              <w:jc w:val="center"/>
              <w:rPr>
                <w:b/>
                <w:bCs/>
                <w:color w:val="auto"/>
                <w:u w:val="single"/>
              </w:rPr>
            </w:pPr>
            <w:r>
              <w:rPr>
                <w:b/>
                <w:bCs/>
                <w:color w:val="auto"/>
                <w:u w:val="single"/>
              </w:rPr>
              <w:t>焊接烟尘</w:t>
            </w:r>
          </w:p>
        </w:tc>
        <w:tc>
          <w:tcPr>
            <w:tcW w:w="5114" w:type="dxa"/>
            <w:gridSpan w:val="2"/>
            <w:vAlign w:val="center"/>
          </w:tcPr>
          <w:p>
            <w:pPr>
              <w:widowControl w:val="0"/>
              <w:spacing w:line="240" w:lineRule="exact"/>
              <w:ind w:firstLine="402"/>
              <w:jc w:val="center"/>
              <w:rPr>
                <w:rFonts w:hint="eastAsia" w:eastAsia="宋体"/>
                <w:b/>
                <w:bCs/>
                <w:color w:val="auto"/>
                <w:u w:val="single"/>
                <w:lang w:eastAsia="zh-CN"/>
              </w:rPr>
            </w:pPr>
            <w:r>
              <w:rPr>
                <w:rFonts w:hint="eastAsia"/>
                <w:b/>
                <w:bCs/>
                <w:color w:val="auto"/>
                <w:u w:val="single"/>
              </w:rPr>
              <w:t>集气罩+1套袋式除尘器+</w:t>
            </w:r>
            <w:r>
              <w:rPr>
                <w:rFonts w:hint="eastAsia"/>
                <w:b/>
                <w:bCs/>
                <w:color w:val="auto"/>
                <w:u w:val="single"/>
                <w:lang w:eastAsia="zh-CN"/>
              </w:rPr>
              <w:t>15m高排气筒</w:t>
            </w:r>
          </w:p>
        </w:tc>
        <w:tc>
          <w:tcPr>
            <w:tcW w:w="915" w:type="dxa"/>
            <w:vAlign w:val="center"/>
          </w:tcPr>
          <w:p>
            <w:pPr>
              <w:widowControl w:val="0"/>
              <w:spacing w:line="240" w:lineRule="exact"/>
              <w:jc w:val="center"/>
              <w:rPr>
                <w:b/>
                <w:bCs/>
                <w:color w:val="auto"/>
                <w:u w:val="single"/>
              </w:rPr>
            </w:pPr>
            <w:r>
              <w:rPr>
                <w:rFonts w:hint="eastAsia"/>
                <w:b/>
                <w:bCs/>
                <w:color w:val="auto"/>
                <w:u w:val="single"/>
              </w:rPr>
              <w:t>1</w:t>
            </w:r>
          </w:p>
        </w:tc>
        <w:tc>
          <w:tcPr>
            <w:tcW w:w="961" w:type="dxa"/>
            <w:vAlign w:val="center"/>
          </w:tcPr>
          <w:p>
            <w:pPr>
              <w:widowControl w:val="0"/>
              <w:spacing w:line="240" w:lineRule="exact"/>
              <w:ind w:firstLine="402"/>
              <w:rPr>
                <w:b/>
                <w:bCs/>
                <w:color w:val="auto"/>
                <w:u w:val="single"/>
              </w:rPr>
            </w:pPr>
            <w:r>
              <w:rPr>
                <w:rFonts w:hint="eastAsia"/>
                <w:b/>
                <w:bCs/>
                <w:color w:val="auto"/>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562" w:type="dxa"/>
            <w:vMerge w:val="continue"/>
            <w:vAlign w:val="center"/>
          </w:tcPr>
          <w:p>
            <w:pPr>
              <w:widowControl w:val="0"/>
              <w:spacing w:line="240" w:lineRule="exact"/>
              <w:jc w:val="center"/>
              <w:rPr>
                <w:b/>
                <w:bCs/>
                <w:color w:val="auto"/>
                <w:u w:val="single"/>
              </w:rPr>
            </w:pPr>
          </w:p>
        </w:tc>
        <w:tc>
          <w:tcPr>
            <w:tcW w:w="1394" w:type="dxa"/>
            <w:vAlign w:val="center"/>
          </w:tcPr>
          <w:p>
            <w:pPr>
              <w:widowControl w:val="0"/>
              <w:spacing w:line="240" w:lineRule="exact"/>
              <w:jc w:val="center"/>
              <w:rPr>
                <w:b/>
                <w:bCs/>
                <w:color w:val="auto"/>
                <w:u w:val="single"/>
              </w:rPr>
            </w:pPr>
            <w:r>
              <w:rPr>
                <w:b/>
                <w:bCs/>
                <w:color w:val="auto"/>
                <w:u w:val="single"/>
              </w:rPr>
              <w:t>污水站恶臭</w:t>
            </w:r>
          </w:p>
        </w:tc>
        <w:tc>
          <w:tcPr>
            <w:tcW w:w="5114" w:type="dxa"/>
            <w:gridSpan w:val="2"/>
            <w:vAlign w:val="center"/>
          </w:tcPr>
          <w:p>
            <w:pPr>
              <w:widowControl w:val="0"/>
              <w:spacing w:line="240" w:lineRule="exact"/>
              <w:ind w:firstLine="402"/>
              <w:jc w:val="center"/>
              <w:rPr>
                <w:rFonts w:hint="eastAsia" w:eastAsia="宋体"/>
                <w:b/>
                <w:bCs/>
                <w:color w:val="auto"/>
                <w:u w:val="single"/>
                <w:lang w:eastAsia="zh-CN"/>
              </w:rPr>
            </w:pPr>
            <w:r>
              <w:rPr>
                <w:b/>
                <w:bCs/>
                <w:color w:val="auto"/>
                <w:u w:val="single"/>
              </w:rPr>
              <w:t>加盖封闭</w:t>
            </w:r>
            <w:r>
              <w:rPr>
                <w:rFonts w:hint="eastAsia"/>
                <w:b/>
                <w:bCs/>
                <w:color w:val="auto"/>
                <w:u w:val="single"/>
              </w:rPr>
              <w:t>+1套生物除臭+</w:t>
            </w:r>
            <w:r>
              <w:rPr>
                <w:rFonts w:hint="eastAsia"/>
                <w:b/>
                <w:bCs/>
                <w:color w:val="auto"/>
                <w:u w:val="single"/>
                <w:lang w:eastAsia="zh-CN"/>
              </w:rPr>
              <w:t>15m高排气筒</w:t>
            </w:r>
          </w:p>
        </w:tc>
        <w:tc>
          <w:tcPr>
            <w:tcW w:w="915" w:type="dxa"/>
            <w:vAlign w:val="center"/>
          </w:tcPr>
          <w:p>
            <w:pPr>
              <w:widowControl w:val="0"/>
              <w:spacing w:line="240" w:lineRule="exact"/>
              <w:jc w:val="center"/>
              <w:rPr>
                <w:b/>
                <w:bCs/>
                <w:color w:val="auto"/>
                <w:u w:val="single"/>
              </w:rPr>
            </w:pPr>
            <w:r>
              <w:rPr>
                <w:rFonts w:hint="eastAsia"/>
                <w:b/>
                <w:bCs/>
                <w:color w:val="auto"/>
                <w:u w:val="single"/>
              </w:rPr>
              <w:t>1</w:t>
            </w:r>
          </w:p>
        </w:tc>
        <w:tc>
          <w:tcPr>
            <w:tcW w:w="961" w:type="dxa"/>
            <w:vAlign w:val="center"/>
          </w:tcPr>
          <w:p>
            <w:pPr>
              <w:widowControl w:val="0"/>
              <w:spacing w:line="240" w:lineRule="exact"/>
              <w:ind w:firstLine="402"/>
              <w:rPr>
                <w:b/>
                <w:bCs/>
                <w:color w:val="auto"/>
                <w:u w:val="single"/>
              </w:rPr>
            </w:pPr>
            <w:r>
              <w:rPr>
                <w:rFonts w:hint="eastAsia"/>
                <w:b/>
                <w:bCs/>
                <w:color w:val="auto"/>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562" w:type="dxa"/>
            <w:vMerge w:val="continue"/>
            <w:vAlign w:val="center"/>
          </w:tcPr>
          <w:p>
            <w:pPr>
              <w:widowControl w:val="0"/>
              <w:spacing w:line="240" w:lineRule="exact"/>
              <w:jc w:val="center"/>
              <w:rPr>
                <w:b/>
                <w:bCs/>
                <w:color w:val="auto"/>
                <w:u w:val="single"/>
              </w:rPr>
            </w:pPr>
          </w:p>
        </w:tc>
        <w:tc>
          <w:tcPr>
            <w:tcW w:w="1394" w:type="dxa"/>
            <w:vAlign w:val="center"/>
          </w:tcPr>
          <w:p>
            <w:pPr>
              <w:widowControl w:val="0"/>
              <w:spacing w:line="240" w:lineRule="exact"/>
              <w:jc w:val="center"/>
              <w:rPr>
                <w:b/>
                <w:bCs/>
                <w:color w:val="auto"/>
                <w:u w:val="single"/>
              </w:rPr>
            </w:pPr>
            <w:r>
              <w:rPr>
                <w:b/>
                <w:bCs/>
                <w:color w:val="auto"/>
                <w:u w:val="single"/>
              </w:rPr>
              <w:t>酸雾</w:t>
            </w:r>
          </w:p>
        </w:tc>
        <w:tc>
          <w:tcPr>
            <w:tcW w:w="5114" w:type="dxa"/>
            <w:gridSpan w:val="2"/>
            <w:vAlign w:val="center"/>
          </w:tcPr>
          <w:p>
            <w:pPr>
              <w:widowControl w:val="0"/>
              <w:spacing w:line="240" w:lineRule="exact"/>
              <w:jc w:val="center"/>
              <w:rPr>
                <w:rFonts w:hint="eastAsia" w:eastAsia="宋体"/>
                <w:b/>
                <w:bCs/>
                <w:color w:val="auto"/>
                <w:u w:val="single"/>
                <w:lang w:eastAsia="zh-CN"/>
              </w:rPr>
            </w:pPr>
            <w:r>
              <w:rPr>
                <w:rFonts w:hint="eastAsia"/>
                <w:b/>
                <w:bCs/>
                <w:color w:val="auto"/>
                <w:u w:val="single"/>
              </w:rPr>
              <w:t>1套盐酸储罐集气罩+</w:t>
            </w:r>
            <w:r>
              <w:rPr>
                <w:b/>
                <w:bCs/>
                <w:color w:val="auto"/>
                <w:u w:val="single"/>
              </w:rPr>
              <w:t>密闭生产线</w:t>
            </w:r>
            <w:r>
              <w:rPr>
                <w:rFonts w:hint="eastAsia"/>
                <w:b/>
                <w:bCs/>
                <w:color w:val="auto"/>
                <w:u w:val="single"/>
              </w:rPr>
              <w:t>+8套顶吸罩</w:t>
            </w:r>
            <w:r>
              <w:rPr>
                <w:b/>
                <w:bCs/>
                <w:color w:val="auto"/>
                <w:u w:val="single"/>
              </w:rPr>
              <w:t>+</w:t>
            </w:r>
            <w:r>
              <w:rPr>
                <w:rFonts w:hint="eastAsia"/>
                <w:b/>
                <w:bCs/>
                <w:color w:val="auto"/>
                <w:u w:val="single"/>
              </w:rPr>
              <w:t>8套槽边双侧抽风+8套二级碱液喷淋塔+</w:t>
            </w:r>
            <w:r>
              <w:rPr>
                <w:rFonts w:hint="eastAsia"/>
                <w:b/>
                <w:bCs/>
                <w:color w:val="auto"/>
                <w:u w:val="single"/>
                <w:lang w:eastAsia="zh-CN"/>
              </w:rPr>
              <w:t>15m高排气筒</w:t>
            </w:r>
          </w:p>
        </w:tc>
        <w:tc>
          <w:tcPr>
            <w:tcW w:w="915" w:type="dxa"/>
            <w:vAlign w:val="center"/>
          </w:tcPr>
          <w:p>
            <w:pPr>
              <w:widowControl w:val="0"/>
              <w:spacing w:line="240" w:lineRule="exact"/>
              <w:jc w:val="center"/>
              <w:rPr>
                <w:b/>
                <w:bCs/>
                <w:color w:val="auto"/>
                <w:u w:val="single"/>
              </w:rPr>
            </w:pPr>
            <w:r>
              <w:rPr>
                <w:rFonts w:hint="eastAsia"/>
                <w:b/>
                <w:bCs/>
                <w:color w:val="auto"/>
                <w:u w:val="single"/>
              </w:rPr>
              <w:t>1</w:t>
            </w:r>
          </w:p>
        </w:tc>
        <w:tc>
          <w:tcPr>
            <w:tcW w:w="961" w:type="dxa"/>
            <w:vAlign w:val="center"/>
          </w:tcPr>
          <w:p>
            <w:pPr>
              <w:widowControl w:val="0"/>
              <w:spacing w:line="240" w:lineRule="exact"/>
              <w:jc w:val="center"/>
              <w:rPr>
                <w:b/>
                <w:bCs/>
                <w:color w:val="auto"/>
                <w:u w:val="single"/>
              </w:rPr>
            </w:pPr>
            <w:r>
              <w:rPr>
                <w:rFonts w:hint="eastAsia"/>
                <w:b/>
                <w:bCs/>
                <w:color w:val="auto"/>
                <w:u w:val="single"/>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Align w:val="center"/>
          </w:tcPr>
          <w:p>
            <w:pPr>
              <w:widowControl w:val="0"/>
              <w:spacing w:line="240" w:lineRule="exact"/>
              <w:jc w:val="center"/>
              <w:rPr>
                <w:b/>
                <w:bCs/>
                <w:color w:val="auto"/>
                <w:u w:val="single"/>
              </w:rPr>
            </w:pPr>
            <w:r>
              <w:rPr>
                <w:b/>
                <w:bCs/>
                <w:color w:val="auto"/>
                <w:u w:val="single"/>
              </w:rPr>
              <w:t>燃气锅炉</w:t>
            </w:r>
          </w:p>
        </w:tc>
        <w:tc>
          <w:tcPr>
            <w:tcW w:w="5114" w:type="dxa"/>
            <w:gridSpan w:val="2"/>
            <w:vAlign w:val="center"/>
          </w:tcPr>
          <w:p>
            <w:pPr>
              <w:widowControl w:val="0"/>
              <w:spacing w:line="240" w:lineRule="exact"/>
              <w:jc w:val="center"/>
              <w:rPr>
                <w:b/>
                <w:bCs/>
                <w:color w:val="auto"/>
                <w:u w:val="single"/>
              </w:rPr>
            </w:pPr>
            <w:r>
              <w:rPr>
                <w:b/>
                <w:bCs/>
                <w:color w:val="auto"/>
                <w:u w:val="single"/>
              </w:rPr>
              <w:t>低氮燃烧器</w:t>
            </w:r>
            <w:r>
              <w:rPr>
                <w:rFonts w:hint="eastAsia"/>
                <w:b/>
                <w:bCs/>
                <w:color w:val="auto"/>
                <w:u w:val="single"/>
              </w:rPr>
              <w:t>+烟气再循环</w:t>
            </w:r>
          </w:p>
        </w:tc>
        <w:tc>
          <w:tcPr>
            <w:tcW w:w="915" w:type="dxa"/>
            <w:vAlign w:val="center"/>
          </w:tcPr>
          <w:p>
            <w:pPr>
              <w:widowControl w:val="0"/>
              <w:spacing w:line="240" w:lineRule="exact"/>
              <w:jc w:val="center"/>
              <w:rPr>
                <w:b/>
                <w:bCs/>
                <w:color w:val="auto"/>
                <w:u w:val="single"/>
              </w:rPr>
            </w:pPr>
            <w:r>
              <w:rPr>
                <w:rFonts w:hint="eastAsia"/>
                <w:b/>
                <w:bCs/>
                <w:color w:val="auto"/>
                <w:u w:val="single"/>
              </w:rPr>
              <w:t>2</w:t>
            </w:r>
          </w:p>
        </w:tc>
        <w:tc>
          <w:tcPr>
            <w:tcW w:w="961" w:type="dxa"/>
            <w:vAlign w:val="center"/>
          </w:tcPr>
          <w:p>
            <w:pPr>
              <w:widowControl w:val="0"/>
              <w:spacing w:line="240" w:lineRule="exact"/>
              <w:jc w:val="center"/>
              <w:rPr>
                <w:b/>
                <w:bCs/>
                <w:color w:val="auto"/>
                <w:u w:val="single"/>
              </w:rPr>
            </w:pPr>
            <w:r>
              <w:rPr>
                <w:rFonts w:hint="eastAsia"/>
                <w:b/>
                <w:bCs/>
                <w:color w:val="auto"/>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restart"/>
            <w:vAlign w:val="center"/>
          </w:tcPr>
          <w:p>
            <w:pPr>
              <w:widowControl w:val="0"/>
              <w:spacing w:line="240" w:lineRule="exact"/>
              <w:jc w:val="center"/>
              <w:rPr>
                <w:b/>
                <w:bCs/>
                <w:color w:val="auto"/>
                <w:u w:val="single"/>
              </w:rPr>
            </w:pPr>
            <w:r>
              <w:rPr>
                <w:b/>
                <w:bCs/>
                <w:color w:val="auto"/>
                <w:u w:val="single"/>
              </w:rPr>
              <w:t>废水</w:t>
            </w:r>
          </w:p>
        </w:tc>
        <w:tc>
          <w:tcPr>
            <w:tcW w:w="1394" w:type="dxa"/>
            <w:vMerge w:val="restart"/>
            <w:vAlign w:val="center"/>
          </w:tcPr>
          <w:p>
            <w:pPr>
              <w:widowControl w:val="0"/>
              <w:spacing w:line="240" w:lineRule="exact"/>
              <w:jc w:val="center"/>
              <w:rPr>
                <w:b/>
                <w:bCs/>
                <w:color w:val="auto"/>
                <w:u w:val="single"/>
              </w:rPr>
            </w:pPr>
            <w:r>
              <w:rPr>
                <w:b/>
                <w:bCs/>
                <w:color w:val="auto"/>
                <w:u w:val="single"/>
              </w:rPr>
              <w:t>污水处理站</w:t>
            </w:r>
          </w:p>
        </w:tc>
        <w:tc>
          <w:tcPr>
            <w:tcW w:w="3569" w:type="dxa"/>
            <w:vAlign w:val="center"/>
          </w:tcPr>
          <w:p>
            <w:pPr>
              <w:adjustRightInd w:val="0"/>
              <w:snapToGrid w:val="0"/>
              <w:jc w:val="center"/>
              <w:rPr>
                <w:b/>
                <w:bCs/>
                <w:color w:val="auto"/>
                <w:u w:val="single"/>
              </w:rPr>
            </w:pPr>
            <w:r>
              <w:rPr>
                <w:rFonts w:hint="eastAsia"/>
                <w:b/>
                <w:bCs/>
                <w:color w:val="auto"/>
                <w:u w:val="single"/>
              </w:rPr>
              <w:t>含镍废水预处理系统：pH调节→混凝沉淀→回调→多介质过滤</w:t>
            </w:r>
          </w:p>
        </w:tc>
        <w:tc>
          <w:tcPr>
            <w:tcW w:w="1545" w:type="dxa"/>
            <w:vMerge w:val="restart"/>
            <w:vAlign w:val="center"/>
          </w:tcPr>
          <w:p>
            <w:pPr>
              <w:adjustRightInd w:val="0"/>
              <w:snapToGrid w:val="0"/>
              <w:jc w:val="center"/>
              <w:rPr>
                <w:b/>
                <w:bCs/>
                <w:color w:val="auto"/>
                <w:u w:val="single"/>
              </w:rPr>
            </w:pPr>
            <w:r>
              <w:rPr>
                <w:rFonts w:hint="eastAsia"/>
                <w:b/>
                <w:bCs/>
                <w:color w:val="auto"/>
                <w:u w:val="single"/>
              </w:rPr>
              <w:t>零排放处理系统：A</w:t>
            </w:r>
            <w:r>
              <w:rPr>
                <w:rFonts w:hint="eastAsia"/>
                <w:b/>
                <w:bCs/>
                <w:color w:val="auto"/>
                <w:u w:val="single"/>
                <w:vertAlign w:val="superscript"/>
              </w:rPr>
              <w:t>2</w:t>
            </w:r>
            <w:r>
              <w:rPr>
                <w:b/>
                <w:bCs/>
                <w:color w:val="auto"/>
                <w:u w:val="single"/>
              </w:rPr>
              <w:t>/O</w:t>
            </w:r>
            <w:r>
              <w:rPr>
                <w:rFonts w:hint="eastAsia"/>
                <w:b/>
                <w:bCs/>
                <w:color w:val="auto"/>
                <w:u w:val="single"/>
              </w:rPr>
              <w:t>→</w:t>
            </w:r>
            <w:r>
              <w:rPr>
                <w:b/>
                <w:bCs/>
                <w:color w:val="auto"/>
                <w:u w:val="single"/>
              </w:rPr>
              <w:t>MBR</w:t>
            </w:r>
            <w:r>
              <w:rPr>
                <w:rFonts w:hint="eastAsia"/>
                <w:b/>
                <w:bCs/>
                <w:color w:val="auto"/>
                <w:u w:val="single"/>
              </w:rPr>
              <w:t>→两级E</w:t>
            </w:r>
            <w:r>
              <w:rPr>
                <w:b/>
                <w:bCs/>
                <w:color w:val="auto"/>
                <w:u w:val="single"/>
              </w:rPr>
              <w:t>CRO</w:t>
            </w:r>
            <w:r>
              <w:rPr>
                <w:rFonts w:hint="eastAsia"/>
                <w:b/>
                <w:bCs/>
                <w:color w:val="auto"/>
                <w:u w:val="single"/>
              </w:rPr>
              <w:t>→</w:t>
            </w:r>
            <w:r>
              <w:rPr>
                <w:b/>
                <w:bCs/>
                <w:color w:val="auto"/>
                <w:u w:val="single"/>
              </w:rPr>
              <w:t>DTRO</w:t>
            </w:r>
            <w:r>
              <w:rPr>
                <w:rFonts w:hint="eastAsia"/>
                <w:b/>
                <w:bCs/>
                <w:color w:val="auto"/>
                <w:u w:val="single"/>
              </w:rPr>
              <w:t>→二级RO→MVR蒸发</w:t>
            </w:r>
          </w:p>
        </w:tc>
        <w:tc>
          <w:tcPr>
            <w:tcW w:w="915" w:type="dxa"/>
            <w:vMerge w:val="restart"/>
            <w:vAlign w:val="center"/>
          </w:tcPr>
          <w:p>
            <w:pPr>
              <w:widowControl w:val="0"/>
              <w:spacing w:line="240" w:lineRule="exact"/>
              <w:jc w:val="center"/>
              <w:rPr>
                <w:b/>
                <w:bCs/>
                <w:color w:val="auto"/>
                <w:u w:val="single"/>
              </w:rPr>
            </w:pPr>
            <w:r>
              <w:rPr>
                <w:rFonts w:hint="eastAsia"/>
                <w:b/>
                <w:bCs/>
                <w:color w:val="auto"/>
                <w:u w:val="single"/>
              </w:rPr>
              <w:t>1</w:t>
            </w:r>
          </w:p>
        </w:tc>
        <w:tc>
          <w:tcPr>
            <w:tcW w:w="961" w:type="dxa"/>
            <w:vMerge w:val="restart"/>
            <w:vAlign w:val="center"/>
          </w:tcPr>
          <w:p>
            <w:pPr>
              <w:widowControl w:val="0"/>
              <w:spacing w:line="240" w:lineRule="exact"/>
              <w:jc w:val="center"/>
              <w:rPr>
                <w:b/>
                <w:bCs/>
                <w:color w:val="auto"/>
                <w:u w:val="single"/>
              </w:rPr>
            </w:pPr>
            <w:r>
              <w:rPr>
                <w:rFonts w:hint="eastAsia"/>
                <w:b/>
                <w:bCs/>
                <w:color w:val="auto"/>
                <w:u w:val="single"/>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Merge w:val="continue"/>
            <w:vAlign w:val="center"/>
          </w:tcPr>
          <w:p>
            <w:pPr>
              <w:widowControl w:val="0"/>
              <w:spacing w:line="240" w:lineRule="exact"/>
              <w:jc w:val="center"/>
              <w:rPr>
                <w:b/>
                <w:bCs/>
                <w:color w:val="auto"/>
                <w:u w:val="single"/>
              </w:rPr>
            </w:pPr>
          </w:p>
        </w:tc>
        <w:tc>
          <w:tcPr>
            <w:tcW w:w="3569" w:type="dxa"/>
            <w:vAlign w:val="center"/>
          </w:tcPr>
          <w:p>
            <w:pPr>
              <w:adjustRightInd w:val="0"/>
              <w:snapToGrid w:val="0"/>
              <w:rPr>
                <w:b/>
                <w:bCs/>
                <w:color w:val="auto"/>
                <w:kern w:val="21"/>
                <w:u w:val="single"/>
              </w:rPr>
            </w:pPr>
            <w:r>
              <w:rPr>
                <w:rFonts w:hint="eastAsia"/>
                <w:b/>
                <w:bCs/>
                <w:color w:val="auto"/>
                <w:u w:val="single"/>
              </w:rPr>
              <w:t>含锌废水预处理系统：pH调节→混凝沉淀→回调→多介质过滤</w:t>
            </w:r>
          </w:p>
        </w:tc>
        <w:tc>
          <w:tcPr>
            <w:tcW w:w="1545" w:type="dxa"/>
            <w:vMerge w:val="continue"/>
            <w:vAlign w:val="center"/>
          </w:tcPr>
          <w:p>
            <w:pPr>
              <w:adjustRightInd w:val="0"/>
              <w:snapToGrid w:val="0"/>
              <w:rPr>
                <w:b/>
                <w:bCs/>
                <w:color w:val="auto"/>
                <w:kern w:val="21"/>
                <w:u w:val="single"/>
              </w:rPr>
            </w:pPr>
          </w:p>
        </w:tc>
        <w:tc>
          <w:tcPr>
            <w:tcW w:w="915" w:type="dxa"/>
            <w:vMerge w:val="continue"/>
            <w:vAlign w:val="center"/>
          </w:tcPr>
          <w:p>
            <w:pPr>
              <w:widowControl w:val="0"/>
              <w:spacing w:line="240" w:lineRule="exact"/>
              <w:jc w:val="center"/>
              <w:rPr>
                <w:b/>
                <w:bCs/>
                <w:color w:val="auto"/>
                <w:u w:val="single"/>
              </w:rPr>
            </w:pPr>
          </w:p>
        </w:tc>
        <w:tc>
          <w:tcPr>
            <w:tcW w:w="961" w:type="dxa"/>
            <w:vMerge w:val="continue"/>
            <w:vAlign w:val="center"/>
          </w:tcPr>
          <w:p>
            <w:pPr>
              <w:widowControl w:val="0"/>
              <w:spacing w:line="240" w:lineRule="exact"/>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Merge w:val="continue"/>
            <w:vAlign w:val="center"/>
          </w:tcPr>
          <w:p>
            <w:pPr>
              <w:widowControl w:val="0"/>
              <w:spacing w:line="240" w:lineRule="exact"/>
              <w:jc w:val="center"/>
              <w:rPr>
                <w:b/>
                <w:bCs/>
                <w:color w:val="auto"/>
                <w:u w:val="single"/>
              </w:rPr>
            </w:pPr>
          </w:p>
        </w:tc>
        <w:tc>
          <w:tcPr>
            <w:tcW w:w="3569" w:type="dxa"/>
            <w:vAlign w:val="center"/>
          </w:tcPr>
          <w:p>
            <w:pPr>
              <w:adjustRightInd w:val="0"/>
              <w:snapToGrid w:val="0"/>
              <w:rPr>
                <w:b/>
                <w:bCs/>
                <w:color w:val="auto"/>
                <w:kern w:val="21"/>
                <w:u w:val="single"/>
              </w:rPr>
            </w:pPr>
            <w:r>
              <w:rPr>
                <w:rFonts w:hint="eastAsia"/>
                <w:b/>
                <w:bCs/>
                <w:color w:val="auto"/>
                <w:u w:val="single"/>
              </w:rPr>
              <w:t>含铬废水预处理系统：还原→pH调节→混凝沉淀→回调→多介质过滤</w:t>
            </w:r>
          </w:p>
        </w:tc>
        <w:tc>
          <w:tcPr>
            <w:tcW w:w="1545" w:type="dxa"/>
            <w:vMerge w:val="continue"/>
            <w:vAlign w:val="center"/>
          </w:tcPr>
          <w:p>
            <w:pPr>
              <w:adjustRightInd w:val="0"/>
              <w:snapToGrid w:val="0"/>
              <w:rPr>
                <w:b/>
                <w:bCs/>
                <w:color w:val="auto"/>
                <w:kern w:val="21"/>
                <w:u w:val="single"/>
              </w:rPr>
            </w:pPr>
          </w:p>
        </w:tc>
        <w:tc>
          <w:tcPr>
            <w:tcW w:w="915" w:type="dxa"/>
            <w:vMerge w:val="continue"/>
            <w:vAlign w:val="center"/>
          </w:tcPr>
          <w:p>
            <w:pPr>
              <w:widowControl w:val="0"/>
              <w:spacing w:line="240" w:lineRule="exact"/>
              <w:jc w:val="center"/>
              <w:rPr>
                <w:b/>
                <w:bCs/>
                <w:color w:val="auto"/>
                <w:u w:val="single"/>
              </w:rPr>
            </w:pPr>
          </w:p>
        </w:tc>
        <w:tc>
          <w:tcPr>
            <w:tcW w:w="961" w:type="dxa"/>
            <w:vMerge w:val="continue"/>
            <w:vAlign w:val="center"/>
          </w:tcPr>
          <w:p>
            <w:pPr>
              <w:widowControl w:val="0"/>
              <w:spacing w:line="240" w:lineRule="exact"/>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Merge w:val="continue"/>
            <w:vAlign w:val="center"/>
          </w:tcPr>
          <w:p>
            <w:pPr>
              <w:widowControl w:val="0"/>
              <w:spacing w:line="240" w:lineRule="exact"/>
              <w:jc w:val="center"/>
              <w:rPr>
                <w:b/>
                <w:bCs/>
                <w:color w:val="auto"/>
                <w:u w:val="single"/>
              </w:rPr>
            </w:pPr>
          </w:p>
        </w:tc>
        <w:tc>
          <w:tcPr>
            <w:tcW w:w="3569" w:type="dxa"/>
            <w:vAlign w:val="center"/>
          </w:tcPr>
          <w:p>
            <w:pPr>
              <w:adjustRightInd w:val="0"/>
              <w:snapToGrid w:val="0"/>
              <w:rPr>
                <w:b/>
                <w:bCs/>
                <w:color w:val="auto"/>
                <w:kern w:val="21"/>
                <w:u w:val="single"/>
              </w:rPr>
            </w:pPr>
            <w:r>
              <w:rPr>
                <w:rFonts w:hint="eastAsia"/>
                <w:b/>
                <w:bCs/>
                <w:color w:val="auto"/>
                <w:u w:val="single"/>
              </w:rPr>
              <w:t>含油废水预处理系统：</w:t>
            </w:r>
            <w:r>
              <w:rPr>
                <w:b/>
                <w:bCs/>
                <w:color w:val="auto"/>
                <w:u w:val="single"/>
              </w:rPr>
              <w:t>破乳</w:t>
            </w:r>
            <w:r>
              <w:rPr>
                <w:rFonts w:hint="eastAsia"/>
                <w:b/>
                <w:bCs/>
                <w:color w:val="auto"/>
                <w:u w:val="single"/>
              </w:rPr>
              <w:t>→</w:t>
            </w:r>
            <w:r>
              <w:rPr>
                <w:b/>
                <w:bCs/>
                <w:color w:val="auto"/>
                <w:u w:val="single"/>
              </w:rPr>
              <w:t>pH调节</w:t>
            </w:r>
            <w:r>
              <w:rPr>
                <w:rFonts w:hint="eastAsia"/>
                <w:b/>
                <w:bCs/>
                <w:color w:val="auto"/>
                <w:u w:val="single"/>
              </w:rPr>
              <w:t>→混凝→气浮</w:t>
            </w:r>
          </w:p>
        </w:tc>
        <w:tc>
          <w:tcPr>
            <w:tcW w:w="1545" w:type="dxa"/>
            <w:vMerge w:val="continue"/>
            <w:vAlign w:val="center"/>
          </w:tcPr>
          <w:p>
            <w:pPr>
              <w:adjustRightInd w:val="0"/>
              <w:snapToGrid w:val="0"/>
              <w:rPr>
                <w:b/>
                <w:bCs/>
                <w:color w:val="auto"/>
                <w:kern w:val="21"/>
                <w:u w:val="single"/>
              </w:rPr>
            </w:pPr>
          </w:p>
        </w:tc>
        <w:tc>
          <w:tcPr>
            <w:tcW w:w="915" w:type="dxa"/>
            <w:vMerge w:val="continue"/>
            <w:vAlign w:val="center"/>
          </w:tcPr>
          <w:p>
            <w:pPr>
              <w:widowControl w:val="0"/>
              <w:spacing w:line="240" w:lineRule="exact"/>
              <w:jc w:val="center"/>
              <w:rPr>
                <w:b/>
                <w:bCs/>
                <w:color w:val="auto"/>
                <w:u w:val="single"/>
              </w:rPr>
            </w:pPr>
          </w:p>
        </w:tc>
        <w:tc>
          <w:tcPr>
            <w:tcW w:w="961" w:type="dxa"/>
            <w:vMerge w:val="continue"/>
            <w:vAlign w:val="center"/>
          </w:tcPr>
          <w:p>
            <w:pPr>
              <w:widowControl w:val="0"/>
              <w:spacing w:line="240" w:lineRule="exact"/>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Merge w:val="continue"/>
            <w:vAlign w:val="center"/>
          </w:tcPr>
          <w:p>
            <w:pPr>
              <w:widowControl w:val="0"/>
              <w:spacing w:line="240" w:lineRule="exact"/>
              <w:jc w:val="center"/>
              <w:rPr>
                <w:b/>
                <w:bCs/>
                <w:color w:val="auto"/>
                <w:u w:val="single"/>
              </w:rPr>
            </w:pPr>
          </w:p>
        </w:tc>
        <w:tc>
          <w:tcPr>
            <w:tcW w:w="3569" w:type="dxa"/>
            <w:vAlign w:val="center"/>
          </w:tcPr>
          <w:p>
            <w:pPr>
              <w:adjustRightInd w:val="0"/>
              <w:snapToGrid w:val="0"/>
              <w:rPr>
                <w:b/>
                <w:bCs/>
                <w:color w:val="auto"/>
                <w:kern w:val="21"/>
                <w:u w:val="single"/>
              </w:rPr>
            </w:pPr>
            <w:r>
              <w:rPr>
                <w:rFonts w:hint="eastAsia"/>
                <w:b/>
                <w:bCs/>
                <w:color w:val="auto"/>
                <w:u w:val="single"/>
              </w:rPr>
              <w:t>酸性废水预处理系统：pH调节→混凝沉淀→回调→多介质过滤</w:t>
            </w:r>
          </w:p>
        </w:tc>
        <w:tc>
          <w:tcPr>
            <w:tcW w:w="1545" w:type="dxa"/>
            <w:vMerge w:val="continue"/>
            <w:vAlign w:val="center"/>
          </w:tcPr>
          <w:p>
            <w:pPr>
              <w:adjustRightInd w:val="0"/>
              <w:snapToGrid w:val="0"/>
              <w:rPr>
                <w:b/>
                <w:bCs/>
                <w:color w:val="auto"/>
                <w:kern w:val="21"/>
                <w:u w:val="single"/>
              </w:rPr>
            </w:pPr>
          </w:p>
        </w:tc>
        <w:tc>
          <w:tcPr>
            <w:tcW w:w="915" w:type="dxa"/>
            <w:vMerge w:val="continue"/>
            <w:vAlign w:val="center"/>
          </w:tcPr>
          <w:p>
            <w:pPr>
              <w:widowControl w:val="0"/>
              <w:spacing w:line="240" w:lineRule="exact"/>
              <w:jc w:val="center"/>
              <w:rPr>
                <w:b/>
                <w:bCs/>
                <w:color w:val="auto"/>
                <w:u w:val="single"/>
              </w:rPr>
            </w:pPr>
          </w:p>
        </w:tc>
        <w:tc>
          <w:tcPr>
            <w:tcW w:w="961" w:type="dxa"/>
            <w:vMerge w:val="continue"/>
            <w:vAlign w:val="center"/>
          </w:tcPr>
          <w:p>
            <w:pPr>
              <w:widowControl w:val="0"/>
              <w:spacing w:line="240" w:lineRule="exact"/>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Merge w:val="continue"/>
            <w:vAlign w:val="center"/>
          </w:tcPr>
          <w:p>
            <w:pPr>
              <w:widowControl w:val="0"/>
              <w:spacing w:line="240" w:lineRule="exact"/>
              <w:jc w:val="center"/>
              <w:rPr>
                <w:b/>
                <w:bCs/>
                <w:color w:val="auto"/>
                <w:u w:val="single"/>
              </w:rPr>
            </w:pPr>
          </w:p>
        </w:tc>
        <w:tc>
          <w:tcPr>
            <w:tcW w:w="3569" w:type="dxa"/>
            <w:vAlign w:val="center"/>
          </w:tcPr>
          <w:p>
            <w:pPr>
              <w:adjustRightInd w:val="0"/>
              <w:snapToGrid w:val="0"/>
              <w:rPr>
                <w:b/>
                <w:bCs/>
                <w:color w:val="auto"/>
                <w:kern w:val="21"/>
                <w:u w:val="single"/>
              </w:rPr>
            </w:pPr>
            <w:r>
              <w:rPr>
                <w:rFonts w:hint="eastAsia"/>
                <w:b/>
                <w:bCs/>
                <w:color w:val="auto"/>
                <w:u w:val="single"/>
              </w:rPr>
              <w:t>地面废水预处理系统：氧化→pH调节→混凝沉淀→还原→混凝沉淀→回调→多介质过滤</w:t>
            </w:r>
          </w:p>
        </w:tc>
        <w:tc>
          <w:tcPr>
            <w:tcW w:w="1545" w:type="dxa"/>
            <w:vMerge w:val="continue"/>
            <w:vAlign w:val="center"/>
          </w:tcPr>
          <w:p>
            <w:pPr>
              <w:adjustRightInd w:val="0"/>
              <w:snapToGrid w:val="0"/>
              <w:rPr>
                <w:b/>
                <w:bCs/>
                <w:color w:val="auto"/>
                <w:kern w:val="21"/>
                <w:u w:val="single"/>
              </w:rPr>
            </w:pPr>
          </w:p>
        </w:tc>
        <w:tc>
          <w:tcPr>
            <w:tcW w:w="915" w:type="dxa"/>
            <w:vMerge w:val="continue"/>
            <w:vAlign w:val="center"/>
          </w:tcPr>
          <w:p>
            <w:pPr>
              <w:widowControl w:val="0"/>
              <w:spacing w:line="240" w:lineRule="exact"/>
              <w:jc w:val="center"/>
              <w:rPr>
                <w:b/>
                <w:bCs/>
                <w:color w:val="auto"/>
                <w:u w:val="single"/>
              </w:rPr>
            </w:pPr>
          </w:p>
        </w:tc>
        <w:tc>
          <w:tcPr>
            <w:tcW w:w="961" w:type="dxa"/>
            <w:vMerge w:val="continue"/>
            <w:vAlign w:val="center"/>
          </w:tcPr>
          <w:p>
            <w:pPr>
              <w:widowControl w:val="0"/>
              <w:spacing w:line="240" w:lineRule="exact"/>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Align w:val="center"/>
          </w:tcPr>
          <w:p>
            <w:pPr>
              <w:widowControl w:val="0"/>
              <w:spacing w:line="240" w:lineRule="exact"/>
              <w:jc w:val="center"/>
              <w:rPr>
                <w:b/>
                <w:bCs/>
                <w:color w:val="auto"/>
                <w:u w:val="single"/>
              </w:rPr>
            </w:pPr>
            <w:r>
              <w:rPr>
                <w:b/>
                <w:bCs/>
                <w:color w:val="auto"/>
                <w:u w:val="single"/>
              </w:rPr>
              <w:t>生活污水</w:t>
            </w:r>
          </w:p>
        </w:tc>
        <w:tc>
          <w:tcPr>
            <w:tcW w:w="5114" w:type="dxa"/>
            <w:gridSpan w:val="2"/>
            <w:vAlign w:val="center"/>
          </w:tcPr>
          <w:p>
            <w:pPr>
              <w:adjustRightInd w:val="0"/>
              <w:snapToGrid w:val="0"/>
              <w:jc w:val="center"/>
              <w:rPr>
                <w:b/>
                <w:bCs/>
                <w:color w:val="auto"/>
                <w:kern w:val="21"/>
                <w:u w:val="single"/>
              </w:rPr>
            </w:pPr>
            <w:r>
              <w:rPr>
                <w:rFonts w:hint="eastAsia"/>
                <w:b/>
                <w:bCs/>
                <w:color w:val="auto"/>
                <w:u w:val="single"/>
              </w:rPr>
              <w:t>化粪池</w:t>
            </w:r>
          </w:p>
        </w:tc>
        <w:tc>
          <w:tcPr>
            <w:tcW w:w="915" w:type="dxa"/>
            <w:vAlign w:val="center"/>
          </w:tcPr>
          <w:p>
            <w:pPr>
              <w:widowControl w:val="0"/>
              <w:spacing w:line="240" w:lineRule="exact"/>
              <w:jc w:val="center"/>
              <w:rPr>
                <w:b/>
                <w:bCs/>
                <w:color w:val="auto"/>
                <w:u w:val="single"/>
              </w:rPr>
            </w:pPr>
            <w:r>
              <w:rPr>
                <w:b/>
                <w:bCs/>
                <w:color w:val="auto"/>
                <w:u w:val="single"/>
              </w:rPr>
              <w:t>依托现有</w:t>
            </w:r>
          </w:p>
        </w:tc>
        <w:tc>
          <w:tcPr>
            <w:tcW w:w="961" w:type="dxa"/>
            <w:vAlign w:val="center"/>
          </w:tcPr>
          <w:p>
            <w:pPr>
              <w:widowControl w:val="0"/>
              <w:spacing w:line="240" w:lineRule="exact"/>
              <w:jc w:val="center"/>
              <w:rPr>
                <w:b/>
                <w:bCs/>
                <w:color w:val="auto"/>
                <w:u w:val="single"/>
              </w:rPr>
            </w:pPr>
            <w:r>
              <w:rPr>
                <w:rFonts w:hint="eastAsia"/>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restart"/>
            <w:vAlign w:val="center"/>
          </w:tcPr>
          <w:p>
            <w:pPr>
              <w:widowControl w:val="0"/>
              <w:spacing w:line="240" w:lineRule="exact"/>
              <w:jc w:val="center"/>
              <w:rPr>
                <w:b/>
                <w:bCs/>
                <w:color w:val="auto"/>
                <w:u w:val="single"/>
              </w:rPr>
            </w:pPr>
            <w:r>
              <w:rPr>
                <w:b/>
                <w:bCs/>
                <w:color w:val="auto"/>
                <w:u w:val="single"/>
              </w:rPr>
              <w:t>固废</w:t>
            </w:r>
          </w:p>
        </w:tc>
        <w:tc>
          <w:tcPr>
            <w:tcW w:w="1394" w:type="dxa"/>
            <w:vAlign w:val="center"/>
          </w:tcPr>
          <w:p>
            <w:pPr>
              <w:widowControl w:val="0"/>
              <w:spacing w:line="240" w:lineRule="exact"/>
              <w:jc w:val="center"/>
              <w:rPr>
                <w:b/>
                <w:bCs/>
                <w:color w:val="auto"/>
                <w:u w:val="single"/>
              </w:rPr>
            </w:pPr>
            <w:r>
              <w:rPr>
                <w:b/>
                <w:bCs/>
                <w:color w:val="auto"/>
                <w:u w:val="single"/>
              </w:rPr>
              <w:t>一般固废</w:t>
            </w:r>
          </w:p>
        </w:tc>
        <w:tc>
          <w:tcPr>
            <w:tcW w:w="5114" w:type="dxa"/>
            <w:gridSpan w:val="2"/>
            <w:vAlign w:val="center"/>
          </w:tcPr>
          <w:p>
            <w:pPr>
              <w:widowControl w:val="0"/>
              <w:spacing w:line="240" w:lineRule="exact"/>
              <w:jc w:val="center"/>
              <w:rPr>
                <w:b/>
                <w:bCs/>
                <w:color w:val="auto"/>
                <w:u w:val="single"/>
              </w:rPr>
            </w:pPr>
            <w:r>
              <w:rPr>
                <w:b/>
                <w:bCs/>
                <w:color w:val="auto"/>
                <w:u w:val="single"/>
              </w:rPr>
              <w:t>一</w:t>
            </w:r>
            <w:r>
              <w:rPr>
                <w:rFonts w:hint="eastAsia"/>
                <w:b/>
                <w:bCs/>
                <w:color w:val="auto"/>
                <w:u w:val="single"/>
                <w:lang w:val="en-US" w:eastAsia="zh-CN"/>
              </w:rPr>
              <w:t>座</w:t>
            </w:r>
            <w:r>
              <w:rPr>
                <w:rFonts w:hint="eastAsia"/>
                <w:b/>
                <w:bCs/>
                <w:color w:val="auto"/>
                <w:u w:val="single"/>
              </w:rPr>
              <w:t>300m</w:t>
            </w:r>
            <w:r>
              <w:rPr>
                <w:rFonts w:hint="eastAsia"/>
                <w:b/>
                <w:bCs/>
                <w:color w:val="auto"/>
                <w:u w:val="single"/>
                <w:vertAlign w:val="superscript"/>
              </w:rPr>
              <w:t>2</w:t>
            </w:r>
            <w:r>
              <w:rPr>
                <w:rFonts w:hint="eastAsia"/>
                <w:b/>
                <w:bCs/>
                <w:color w:val="auto"/>
                <w:u w:val="single"/>
              </w:rPr>
              <w:t>一般固废暂存间</w:t>
            </w:r>
          </w:p>
        </w:tc>
        <w:tc>
          <w:tcPr>
            <w:tcW w:w="915" w:type="dxa"/>
            <w:vAlign w:val="center"/>
          </w:tcPr>
          <w:p>
            <w:pPr>
              <w:widowControl w:val="0"/>
              <w:spacing w:line="240" w:lineRule="exact"/>
              <w:jc w:val="center"/>
              <w:rPr>
                <w:b/>
                <w:bCs/>
                <w:color w:val="auto"/>
                <w:u w:val="single"/>
              </w:rPr>
            </w:pPr>
            <w:r>
              <w:rPr>
                <w:rFonts w:hint="eastAsia"/>
                <w:b/>
                <w:bCs/>
                <w:color w:val="auto"/>
                <w:u w:val="single"/>
              </w:rPr>
              <w:t>1</w:t>
            </w:r>
          </w:p>
        </w:tc>
        <w:tc>
          <w:tcPr>
            <w:tcW w:w="961" w:type="dxa"/>
            <w:vAlign w:val="center"/>
          </w:tcPr>
          <w:p>
            <w:pPr>
              <w:widowControl w:val="0"/>
              <w:spacing w:line="240" w:lineRule="exact"/>
              <w:jc w:val="center"/>
              <w:rPr>
                <w:b/>
                <w:bCs/>
                <w:color w:val="auto"/>
                <w:u w:val="single"/>
              </w:rPr>
            </w:pPr>
            <w:r>
              <w:rPr>
                <w:rFonts w:hint="eastAsia"/>
                <w:b/>
                <w:bCs/>
                <w:color w:val="auto"/>
                <w:u w:val="singl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Align w:val="center"/>
          </w:tcPr>
          <w:p>
            <w:pPr>
              <w:widowControl w:val="0"/>
              <w:spacing w:line="240" w:lineRule="exact"/>
              <w:jc w:val="center"/>
              <w:rPr>
                <w:b/>
                <w:bCs/>
                <w:color w:val="auto"/>
                <w:u w:val="single"/>
              </w:rPr>
            </w:pPr>
            <w:r>
              <w:rPr>
                <w:b/>
                <w:bCs/>
                <w:color w:val="auto"/>
                <w:u w:val="single"/>
              </w:rPr>
              <w:t>危险废物</w:t>
            </w:r>
          </w:p>
        </w:tc>
        <w:tc>
          <w:tcPr>
            <w:tcW w:w="5114" w:type="dxa"/>
            <w:gridSpan w:val="2"/>
            <w:vAlign w:val="center"/>
          </w:tcPr>
          <w:p>
            <w:pPr>
              <w:widowControl w:val="0"/>
              <w:spacing w:line="240" w:lineRule="exact"/>
              <w:jc w:val="center"/>
              <w:rPr>
                <w:b/>
                <w:bCs/>
                <w:color w:val="auto"/>
                <w:u w:val="single"/>
              </w:rPr>
            </w:pPr>
            <w:r>
              <w:rPr>
                <w:b/>
                <w:bCs/>
                <w:color w:val="auto"/>
                <w:u w:val="single"/>
              </w:rPr>
              <w:t>一</w:t>
            </w:r>
            <w:r>
              <w:rPr>
                <w:rFonts w:hint="eastAsia"/>
                <w:b/>
                <w:bCs/>
                <w:color w:val="auto"/>
                <w:u w:val="single"/>
                <w:lang w:val="en-US" w:eastAsia="zh-CN"/>
              </w:rPr>
              <w:t>座</w:t>
            </w:r>
            <w:r>
              <w:rPr>
                <w:rFonts w:hint="eastAsia"/>
                <w:b/>
                <w:bCs/>
                <w:color w:val="auto"/>
                <w:u w:val="single"/>
              </w:rPr>
              <w:t>150m</w:t>
            </w:r>
            <w:r>
              <w:rPr>
                <w:rFonts w:hint="eastAsia"/>
                <w:b/>
                <w:bCs/>
                <w:color w:val="auto"/>
                <w:u w:val="single"/>
                <w:vertAlign w:val="superscript"/>
              </w:rPr>
              <w:t>2</w:t>
            </w:r>
            <w:r>
              <w:rPr>
                <w:rFonts w:hint="eastAsia"/>
                <w:b/>
                <w:bCs/>
                <w:color w:val="auto"/>
                <w:u w:val="single"/>
              </w:rPr>
              <w:t>危险废物暂存间</w:t>
            </w:r>
          </w:p>
        </w:tc>
        <w:tc>
          <w:tcPr>
            <w:tcW w:w="915" w:type="dxa"/>
            <w:vAlign w:val="center"/>
          </w:tcPr>
          <w:p>
            <w:pPr>
              <w:widowControl w:val="0"/>
              <w:spacing w:line="240" w:lineRule="exact"/>
              <w:jc w:val="center"/>
              <w:rPr>
                <w:b/>
                <w:bCs/>
                <w:color w:val="auto"/>
                <w:u w:val="single"/>
              </w:rPr>
            </w:pPr>
            <w:r>
              <w:rPr>
                <w:rFonts w:hint="eastAsia"/>
                <w:b/>
                <w:bCs/>
                <w:color w:val="auto"/>
                <w:u w:val="single"/>
              </w:rPr>
              <w:t>1</w:t>
            </w:r>
          </w:p>
        </w:tc>
        <w:tc>
          <w:tcPr>
            <w:tcW w:w="961" w:type="dxa"/>
            <w:vAlign w:val="center"/>
          </w:tcPr>
          <w:p>
            <w:pPr>
              <w:widowControl w:val="0"/>
              <w:spacing w:line="240" w:lineRule="exact"/>
              <w:jc w:val="center"/>
              <w:rPr>
                <w:b/>
                <w:bCs/>
                <w:color w:val="auto"/>
                <w:u w:val="single"/>
              </w:rPr>
            </w:pPr>
            <w:r>
              <w:rPr>
                <w:rFonts w:hint="eastAsia"/>
                <w:b/>
                <w:bCs/>
                <w:color w:val="auto"/>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b/>
                <w:bCs/>
                <w:color w:val="auto"/>
                <w:u w:val="single"/>
              </w:rPr>
            </w:pPr>
          </w:p>
        </w:tc>
        <w:tc>
          <w:tcPr>
            <w:tcW w:w="1394" w:type="dxa"/>
            <w:vAlign w:val="center"/>
          </w:tcPr>
          <w:p>
            <w:pPr>
              <w:widowControl w:val="0"/>
              <w:spacing w:line="240" w:lineRule="exact"/>
              <w:jc w:val="center"/>
              <w:rPr>
                <w:b/>
                <w:bCs/>
                <w:color w:val="auto"/>
                <w:u w:val="single"/>
              </w:rPr>
            </w:pPr>
            <w:r>
              <w:rPr>
                <w:b/>
                <w:bCs/>
                <w:color w:val="auto"/>
                <w:u w:val="single"/>
              </w:rPr>
              <w:t>生活垃圾</w:t>
            </w:r>
          </w:p>
        </w:tc>
        <w:tc>
          <w:tcPr>
            <w:tcW w:w="5114" w:type="dxa"/>
            <w:gridSpan w:val="2"/>
            <w:vAlign w:val="center"/>
          </w:tcPr>
          <w:p>
            <w:pPr>
              <w:widowControl w:val="0"/>
              <w:spacing w:line="240" w:lineRule="exact"/>
              <w:jc w:val="center"/>
              <w:rPr>
                <w:b/>
                <w:bCs/>
                <w:color w:val="auto"/>
                <w:u w:val="single"/>
              </w:rPr>
            </w:pPr>
            <w:r>
              <w:rPr>
                <w:b/>
                <w:bCs/>
                <w:color w:val="auto"/>
                <w:u w:val="single"/>
              </w:rPr>
              <w:t>若干垃圾桶</w:t>
            </w:r>
          </w:p>
        </w:tc>
        <w:tc>
          <w:tcPr>
            <w:tcW w:w="915" w:type="dxa"/>
            <w:vAlign w:val="center"/>
          </w:tcPr>
          <w:p>
            <w:pPr>
              <w:widowControl w:val="0"/>
              <w:spacing w:line="240" w:lineRule="exact"/>
              <w:jc w:val="center"/>
              <w:rPr>
                <w:b/>
                <w:bCs/>
                <w:color w:val="auto"/>
                <w:u w:val="single"/>
              </w:rPr>
            </w:pPr>
            <w:r>
              <w:rPr>
                <w:b/>
                <w:bCs/>
                <w:color w:val="auto"/>
                <w:u w:val="single"/>
              </w:rPr>
              <w:t>若干</w:t>
            </w:r>
          </w:p>
        </w:tc>
        <w:tc>
          <w:tcPr>
            <w:tcW w:w="961" w:type="dxa"/>
            <w:vAlign w:val="center"/>
          </w:tcPr>
          <w:p>
            <w:pPr>
              <w:widowControl w:val="0"/>
              <w:spacing w:line="240" w:lineRule="exact"/>
              <w:jc w:val="center"/>
              <w:rPr>
                <w:b/>
                <w:bCs/>
                <w:color w:val="auto"/>
                <w:u w:val="single"/>
              </w:rPr>
            </w:pPr>
            <w:r>
              <w:rPr>
                <w:rFonts w:hint="eastAsia"/>
                <w:b/>
                <w:bCs/>
                <w:color w:val="auto"/>
                <w:u w:val="singl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6" w:type="dxa"/>
            <w:gridSpan w:val="2"/>
            <w:vAlign w:val="center"/>
          </w:tcPr>
          <w:p>
            <w:pPr>
              <w:widowControl w:val="0"/>
              <w:spacing w:line="240" w:lineRule="exact"/>
              <w:jc w:val="center"/>
              <w:rPr>
                <w:b/>
                <w:bCs/>
                <w:color w:val="auto"/>
                <w:u w:val="single"/>
              </w:rPr>
            </w:pPr>
            <w:r>
              <w:rPr>
                <w:b/>
                <w:bCs/>
                <w:color w:val="auto"/>
                <w:u w:val="single"/>
              </w:rPr>
              <w:t>风险防范与应急设施</w:t>
            </w:r>
          </w:p>
        </w:tc>
        <w:tc>
          <w:tcPr>
            <w:tcW w:w="5114" w:type="dxa"/>
            <w:gridSpan w:val="2"/>
            <w:vAlign w:val="center"/>
          </w:tcPr>
          <w:p>
            <w:pPr>
              <w:widowControl w:val="0"/>
              <w:spacing w:line="240" w:lineRule="exact"/>
              <w:jc w:val="center"/>
              <w:rPr>
                <w:b/>
                <w:bCs/>
                <w:color w:val="auto"/>
                <w:u w:val="single"/>
              </w:rPr>
            </w:pPr>
            <w:r>
              <w:rPr>
                <w:b/>
                <w:bCs/>
                <w:color w:val="auto"/>
                <w:u w:val="single"/>
              </w:rPr>
              <w:t>消防器材、事故池、漫坡、围堰等</w:t>
            </w:r>
          </w:p>
        </w:tc>
        <w:tc>
          <w:tcPr>
            <w:tcW w:w="915" w:type="dxa"/>
            <w:vAlign w:val="center"/>
          </w:tcPr>
          <w:p>
            <w:pPr>
              <w:widowControl w:val="0"/>
              <w:spacing w:line="240" w:lineRule="exact"/>
              <w:jc w:val="center"/>
              <w:rPr>
                <w:b/>
                <w:bCs/>
                <w:color w:val="auto"/>
                <w:u w:val="single"/>
              </w:rPr>
            </w:pPr>
            <w:r>
              <w:rPr>
                <w:rFonts w:hint="eastAsia"/>
                <w:b/>
                <w:bCs/>
                <w:color w:val="auto"/>
                <w:u w:val="single"/>
              </w:rPr>
              <w:t>/</w:t>
            </w:r>
          </w:p>
        </w:tc>
        <w:tc>
          <w:tcPr>
            <w:tcW w:w="961" w:type="dxa"/>
            <w:vAlign w:val="center"/>
          </w:tcPr>
          <w:p>
            <w:pPr>
              <w:widowControl w:val="0"/>
              <w:spacing w:line="240" w:lineRule="exact"/>
              <w:jc w:val="center"/>
              <w:rPr>
                <w:b/>
                <w:bCs/>
                <w:color w:val="auto"/>
                <w:u w:val="single"/>
              </w:rPr>
            </w:pPr>
            <w:r>
              <w:rPr>
                <w:rFonts w:hint="eastAsia"/>
                <w:b/>
                <w:bCs/>
                <w:color w:val="auto"/>
                <w:u w:val="singl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6" w:type="dxa"/>
            <w:gridSpan w:val="2"/>
            <w:vAlign w:val="center"/>
          </w:tcPr>
          <w:p>
            <w:pPr>
              <w:widowControl w:val="0"/>
              <w:spacing w:line="240" w:lineRule="exact"/>
              <w:jc w:val="center"/>
              <w:rPr>
                <w:b/>
                <w:bCs/>
                <w:color w:val="auto"/>
                <w:u w:val="single"/>
              </w:rPr>
            </w:pPr>
            <w:r>
              <w:rPr>
                <w:b/>
                <w:bCs/>
                <w:color w:val="auto"/>
                <w:u w:val="single"/>
              </w:rPr>
              <w:t>防渗</w:t>
            </w:r>
          </w:p>
        </w:tc>
        <w:tc>
          <w:tcPr>
            <w:tcW w:w="5114" w:type="dxa"/>
            <w:gridSpan w:val="2"/>
            <w:vAlign w:val="center"/>
          </w:tcPr>
          <w:p>
            <w:pPr>
              <w:widowControl w:val="0"/>
              <w:spacing w:line="240" w:lineRule="exact"/>
              <w:jc w:val="center"/>
              <w:rPr>
                <w:b/>
                <w:bCs/>
                <w:color w:val="auto"/>
                <w:u w:val="single"/>
              </w:rPr>
            </w:pPr>
            <w:r>
              <w:rPr>
                <w:b/>
                <w:bCs/>
                <w:color w:val="auto"/>
                <w:u w:val="single"/>
              </w:rPr>
              <w:t>厂区、车间地面防渗处理</w:t>
            </w:r>
          </w:p>
        </w:tc>
        <w:tc>
          <w:tcPr>
            <w:tcW w:w="915" w:type="dxa"/>
            <w:vAlign w:val="center"/>
          </w:tcPr>
          <w:p>
            <w:pPr>
              <w:widowControl w:val="0"/>
              <w:spacing w:line="240" w:lineRule="exact"/>
              <w:jc w:val="center"/>
              <w:rPr>
                <w:b/>
                <w:bCs/>
                <w:color w:val="auto"/>
                <w:u w:val="single"/>
              </w:rPr>
            </w:pPr>
            <w:r>
              <w:rPr>
                <w:rFonts w:hint="eastAsia"/>
                <w:b/>
                <w:bCs/>
                <w:color w:val="auto"/>
                <w:u w:val="single"/>
              </w:rPr>
              <w:t>/</w:t>
            </w:r>
          </w:p>
        </w:tc>
        <w:tc>
          <w:tcPr>
            <w:tcW w:w="961" w:type="dxa"/>
            <w:vAlign w:val="center"/>
          </w:tcPr>
          <w:p>
            <w:pPr>
              <w:widowControl w:val="0"/>
              <w:spacing w:line="240" w:lineRule="exact"/>
              <w:jc w:val="center"/>
              <w:rPr>
                <w:b/>
                <w:bCs/>
                <w:color w:val="auto"/>
                <w:u w:val="single"/>
              </w:rPr>
            </w:pPr>
            <w:r>
              <w:rPr>
                <w:rFonts w:hint="eastAsia"/>
                <w:b/>
                <w:bCs/>
                <w:color w:val="auto"/>
                <w:u w:val="single"/>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6" w:type="dxa"/>
            <w:gridSpan w:val="2"/>
            <w:vMerge w:val="restart"/>
            <w:vAlign w:val="center"/>
          </w:tcPr>
          <w:p>
            <w:pPr>
              <w:widowControl w:val="0"/>
              <w:spacing w:line="240" w:lineRule="exact"/>
              <w:jc w:val="center"/>
              <w:rPr>
                <w:b/>
                <w:bCs/>
                <w:color w:val="auto"/>
                <w:u w:val="single"/>
              </w:rPr>
            </w:pPr>
            <w:r>
              <w:rPr>
                <w:b/>
                <w:bCs/>
                <w:color w:val="auto"/>
                <w:u w:val="single"/>
              </w:rPr>
              <w:t>其他</w:t>
            </w:r>
          </w:p>
        </w:tc>
        <w:tc>
          <w:tcPr>
            <w:tcW w:w="5114" w:type="dxa"/>
            <w:gridSpan w:val="2"/>
            <w:vAlign w:val="center"/>
          </w:tcPr>
          <w:p>
            <w:pPr>
              <w:widowControl w:val="0"/>
              <w:spacing w:line="240" w:lineRule="exact"/>
              <w:jc w:val="center"/>
              <w:rPr>
                <w:b/>
                <w:bCs/>
                <w:color w:val="auto"/>
                <w:u w:val="single"/>
              </w:rPr>
            </w:pPr>
            <w:r>
              <w:rPr>
                <w:b/>
                <w:bCs/>
                <w:color w:val="auto"/>
                <w:kern w:val="21"/>
                <w:u w:val="single"/>
              </w:rPr>
              <w:t>安装电控设备、视频监控设备、污染物在线监控设备</w:t>
            </w:r>
          </w:p>
        </w:tc>
        <w:tc>
          <w:tcPr>
            <w:tcW w:w="915" w:type="dxa"/>
            <w:vAlign w:val="center"/>
          </w:tcPr>
          <w:p>
            <w:pPr>
              <w:widowControl w:val="0"/>
              <w:spacing w:line="240" w:lineRule="exact"/>
              <w:jc w:val="center"/>
              <w:rPr>
                <w:b/>
                <w:bCs/>
                <w:color w:val="auto"/>
                <w:u w:val="single"/>
              </w:rPr>
            </w:pPr>
            <w:r>
              <w:rPr>
                <w:rFonts w:hint="eastAsia"/>
                <w:b/>
                <w:bCs/>
                <w:color w:val="auto"/>
                <w:u w:val="single"/>
              </w:rPr>
              <w:t>/</w:t>
            </w:r>
          </w:p>
        </w:tc>
        <w:tc>
          <w:tcPr>
            <w:tcW w:w="961" w:type="dxa"/>
            <w:vAlign w:val="center"/>
          </w:tcPr>
          <w:p>
            <w:pPr>
              <w:widowControl w:val="0"/>
              <w:spacing w:line="240" w:lineRule="exact"/>
              <w:jc w:val="center"/>
              <w:rPr>
                <w:b/>
                <w:bCs/>
                <w:color w:val="auto"/>
                <w:u w:val="single"/>
              </w:rPr>
            </w:pPr>
            <w:r>
              <w:rPr>
                <w:rFonts w:hint="eastAsia"/>
                <w:b/>
                <w:bCs/>
                <w:color w:val="auto"/>
                <w:u w:val="singl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6" w:type="dxa"/>
            <w:gridSpan w:val="2"/>
            <w:vMerge w:val="continue"/>
            <w:vAlign w:val="center"/>
          </w:tcPr>
          <w:p>
            <w:pPr>
              <w:widowControl w:val="0"/>
              <w:spacing w:line="240" w:lineRule="exact"/>
              <w:jc w:val="center"/>
              <w:rPr>
                <w:b/>
                <w:bCs/>
                <w:color w:val="auto"/>
                <w:u w:val="single"/>
              </w:rPr>
            </w:pPr>
          </w:p>
        </w:tc>
        <w:tc>
          <w:tcPr>
            <w:tcW w:w="5114" w:type="dxa"/>
            <w:gridSpan w:val="2"/>
            <w:vAlign w:val="center"/>
          </w:tcPr>
          <w:p>
            <w:pPr>
              <w:widowControl w:val="0"/>
              <w:spacing w:line="240" w:lineRule="exact"/>
              <w:jc w:val="center"/>
              <w:rPr>
                <w:b/>
                <w:bCs/>
                <w:color w:val="auto"/>
                <w:kern w:val="21"/>
                <w:u w:val="single"/>
              </w:rPr>
            </w:pPr>
            <w:r>
              <w:rPr>
                <w:b/>
                <w:bCs/>
                <w:color w:val="auto"/>
                <w:kern w:val="21"/>
                <w:u w:val="single"/>
              </w:rPr>
              <w:t>在厂区及前李庄村设置两处地下水监测井</w:t>
            </w:r>
          </w:p>
        </w:tc>
        <w:tc>
          <w:tcPr>
            <w:tcW w:w="915" w:type="dxa"/>
            <w:vAlign w:val="center"/>
          </w:tcPr>
          <w:p>
            <w:pPr>
              <w:widowControl w:val="0"/>
              <w:spacing w:line="240" w:lineRule="exact"/>
              <w:jc w:val="center"/>
              <w:rPr>
                <w:b/>
                <w:bCs/>
                <w:color w:val="auto"/>
                <w:u w:val="single"/>
              </w:rPr>
            </w:pPr>
            <w:r>
              <w:rPr>
                <w:rFonts w:hint="eastAsia"/>
                <w:b/>
                <w:bCs/>
                <w:color w:val="auto"/>
                <w:u w:val="single"/>
              </w:rPr>
              <w:t>/</w:t>
            </w:r>
          </w:p>
        </w:tc>
        <w:tc>
          <w:tcPr>
            <w:tcW w:w="961" w:type="dxa"/>
            <w:vAlign w:val="center"/>
          </w:tcPr>
          <w:p>
            <w:pPr>
              <w:widowControl w:val="0"/>
              <w:spacing w:line="240" w:lineRule="exact"/>
              <w:jc w:val="center"/>
              <w:rPr>
                <w:b/>
                <w:bCs/>
                <w:color w:val="auto"/>
                <w:u w:val="single"/>
              </w:rPr>
            </w:pPr>
            <w:r>
              <w:rPr>
                <w:rFonts w:hint="eastAsia"/>
                <w:b/>
                <w:bCs/>
                <w:color w:val="auto"/>
                <w:u w:val="singl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85" w:type="dxa"/>
            <w:gridSpan w:val="5"/>
            <w:vAlign w:val="center"/>
          </w:tcPr>
          <w:p>
            <w:pPr>
              <w:widowControl w:val="0"/>
              <w:spacing w:line="240" w:lineRule="exact"/>
              <w:jc w:val="center"/>
              <w:rPr>
                <w:b/>
                <w:bCs/>
                <w:color w:val="auto"/>
                <w:u w:val="single"/>
              </w:rPr>
            </w:pPr>
            <w:r>
              <w:rPr>
                <w:rFonts w:hint="eastAsia"/>
                <w:b/>
                <w:bCs/>
                <w:color w:val="auto"/>
                <w:u w:val="single"/>
              </w:rPr>
              <w:t>/</w:t>
            </w:r>
          </w:p>
        </w:tc>
        <w:tc>
          <w:tcPr>
            <w:tcW w:w="961" w:type="dxa"/>
            <w:vAlign w:val="center"/>
          </w:tcPr>
          <w:p>
            <w:pPr>
              <w:widowControl w:val="0"/>
              <w:spacing w:line="240" w:lineRule="exact"/>
              <w:jc w:val="center"/>
              <w:rPr>
                <w:b/>
                <w:bCs/>
                <w:color w:val="auto"/>
                <w:u w:val="single"/>
              </w:rPr>
            </w:pPr>
            <w:r>
              <w:rPr>
                <w:rFonts w:hint="eastAsia"/>
                <w:b/>
                <w:bCs/>
                <w:color w:val="auto"/>
                <w:u w:val="single"/>
              </w:rPr>
              <w:t>1942</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27" w:name="_Toc41926452"/>
      <w:bookmarkStart w:id="428" w:name="_Toc112338973"/>
      <w:r>
        <w:rPr>
          <w:rFonts w:hint="eastAsia"/>
          <w:bCs w:val="0"/>
          <w:color w:val="auto"/>
          <w:kern w:val="0"/>
          <w:szCs w:val="20"/>
          <w:lang w:val="en-US"/>
        </w:rPr>
        <w:t>7.8</w:t>
      </w:r>
      <w:r>
        <w:rPr>
          <w:bCs w:val="0"/>
          <w:color w:val="auto"/>
          <w:kern w:val="0"/>
          <w:szCs w:val="20"/>
          <w:lang w:val="en-US"/>
        </w:rPr>
        <w:t xml:space="preserve"> 环保投资竣工验收内容</w:t>
      </w:r>
      <w:bookmarkEnd w:id="427"/>
      <w:bookmarkEnd w:id="428"/>
    </w:p>
    <w:p>
      <w:pPr>
        <w:pStyle w:val="32"/>
        <w:adjustRightInd w:val="0"/>
        <w:snapToGrid w:val="0"/>
        <w:spacing w:after="0" w:line="360" w:lineRule="auto"/>
        <w:ind w:firstLine="480" w:firstLineChars="200"/>
        <w:rPr>
          <w:color w:val="auto"/>
          <w:kern w:val="21"/>
          <w:sz w:val="24"/>
          <w:lang w:val="en-US"/>
        </w:rPr>
        <w:sectPr>
          <w:footerReference r:id="rId25" w:type="default"/>
          <w:footerReference r:id="rId26" w:type="even"/>
          <w:pgSz w:w="11907" w:h="16840"/>
          <w:pgMar w:top="1440" w:right="1797" w:bottom="1440" w:left="1797" w:header="851" w:footer="992" w:gutter="0"/>
          <w:cols w:space="720" w:num="1"/>
          <w:docGrid w:linePitch="320" w:charSpace="0"/>
        </w:sectPr>
      </w:pPr>
      <w:r>
        <w:rPr>
          <w:color w:val="auto"/>
          <w:kern w:val="21"/>
          <w:sz w:val="24"/>
          <w:lang w:val="en-US"/>
        </w:rPr>
        <w:t>本项目环保设施竣工验收内容见表</w:t>
      </w:r>
      <w:r>
        <w:rPr>
          <w:rFonts w:hint="eastAsia"/>
          <w:color w:val="auto"/>
          <w:kern w:val="21"/>
          <w:sz w:val="24"/>
          <w:lang w:val="en-US"/>
        </w:rPr>
        <w:t>7.8</w:t>
      </w:r>
      <w:r>
        <w:rPr>
          <w:color w:val="auto"/>
          <w:kern w:val="21"/>
          <w:sz w:val="24"/>
          <w:lang w:val="en-US"/>
        </w:rPr>
        <w:t>-1。</w:t>
      </w:r>
    </w:p>
    <w:p>
      <w:pPr>
        <w:widowControl w:val="0"/>
        <w:tabs>
          <w:tab w:val="center" w:pos="4575"/>
          <w:tab w:val="left" w:pos="7365"/>
        </w:tabs>
        <w:jc w:val="center"/>
        <w:rPr>
          <w:rFonts w:ascii="黑体" w:hAnsi="黑体" w:eastAsia="黑体"/>
          <w:b/>
          <w:bCs/>
          <w:color w:val="auto"/>
          <w:sz w:val="22"/>
          <w:szCs w:val="24"/>
          <w:u w:val="single"/>
        </w:rPr>
      </w:pPr>
      <w:r>
        <w:rPr>
          <w:rFonts w:ascii="黑体" w:hAnsi="黑体" w:eastAsia="黑体"/>
          <w:b/>
          <w:bCs/>
          <w:color w:val="auto"/>
          <w:sz w:val="24"/>
          <w:szCs w:val="22"/>
          <w:u w:val="single"/>
        </w:rPr>
        <w:t>表</w:t>
      </w:r>
      <w:r>
        <w:rPr>
          <w:rFonts w:hint="eastAsia" w:ascii="黑体" w:hAnsi="黑体" w:eastAsia="黑体"/>
          <w:b/>
          <w:bCs/>
          <w:color w:val="auto"/>
          <w:sz w:val="24"/>
          <w:szCs w:val="22"/>
          <w:u w:val="single"/>
        </w:rPr>
        <w:t>7.8</w:t>
      </w:r>
      <w:r>
        <w:rPr>
          <w:rFonts w:ascii="黑体" w:hAnsi="黑体" w:eastAsia="黑体"/>
          <w:b/>
          <w:bCs/>
          <w:color w:val="auto"/>
          <w:sz w:val="24"/>
          <w:szCs w:val="22"/>
          <w:u w:val="single"/>
        </w:rPr>
        <w:t>-1    本项目环保设施竣工验收一览表</w:t>
      </w:r>
    </w:p>
    <w:tbl>
      <w:tblPr>
        <w:tblStyle w:val="83"/>
        <w:tblW w:w="133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85" w:type="dxa"/>
          <w:bottom w:w="57" w:type="dxa"/>
          <w:right w:w="85" w:type="dxa"/>
        </w:tblCellMar>
      </w:tblPr>
      <w:tblGrid>
        <w:gridCol w:w="570"/>
        <w:gridCol w:w="1641"/>
        <w:gridCol w:w="3281"/>
        <w:gridCol w:w="2100"/>
        <w:gridCol w:w="5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Align w:val="center"/>
          </w:tcPr>
          <w:p>
            <w:pPr>
              <w:widowControl w:val="0"/>
              <w:jc w:val="center"/>
              <w:rPr>
                <w:b/>
                <w:bCs/>
                <w:color w:val="auto"/>
                <w:u w:val="single"/>
              </w:rPr>
            </w:pPr>
            <w:r>
              <w:rPr>
                <w:b/>
                <w:bCs/>
                <w:color w:val="auto"/>
                <w:u w:val="single"/>
              </w:rPr>
              <w:t>类型</w:t>
            </w:r>
          </w:p>
        </w:tc>
        <w:tc>
          <w:tcPr>
            <w:tcW w:w="1641" w:type="dxa"/>
            <w:vAlign w:val="center"/>
          </w:tcPr>
          <w:p>
            <w:pPr>
              <w:widowControl w:val="0"/>
              <w:jc w:val="center"/>
              <w:rPr>
                <w:b/>
                <w:bCs/>
                <w:color w:val="auto"/>
                <w:u w:val="single"/>
              </w:rPr>
            </w:pPr>
            <w:r>
              <w:rPr>
                <w:b/>
                <w:bCs/>
                <w:color w:val="auto"/>
                <w:u w:val="single"/>
              </w:rPr>
              <w:t>污染源</w:t>
            </w:r>
          </w:p>
        </w:tc>
        <w:tc>
          <w:tcPr>
            <w:tcW w:w="5381" w:type="dxa"/>
            <w:gridSpan w:val="2"/>
            <w:vAlign w:val="center"/>
          </w:tcPr>
          <w:p>
            <w:pPr>
              <w:widowControl w:val="0"/>
              <w:jc w:val="center"/>
              <w:rPr>
                <w:b/>
                <w:bCs/>
                <w:color w:val="auto"/>
                <w:u w:val="single"/>
              </w:rPr>
            </w:pPr>
            <w:r>
              <w:rPr>
                <w:b/>
                <w:bCs/>
                <w:color w:val="auto"/>
                <w:u w:val="single"/>
              </w:rPr>
              <w:t>处理措施</w:t>
            </w:r>
          </w:p>
        </w:tc>
        <w:tc>
          <w:tcPr>
            <w:tcW w:w="5731" w:type="dxa"/>
            <w:vAlign w:val="center"/>
          </w:tcPr>
          <w:p>
            <w:pPr>
              <w:widowControl w:val="0"/>
              <w:jc w:val="center"/>
              <w:rPr>
                <w:b/>
                <w:bCs/>
                <w:color w:val="auto"/>
                <w:u w:val="single"/>
              </w:rPr>
            </w:pPr>
            <w:r>
              <w:rPr>
                <w:b/>
                <w:bCs/>
                <w:color w:val="auto"/>
                <w:u w:val="single"/>
              </w:rPr>
              <w:t>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restart"/>
            <w:vAlign w:val="center"/>
          </w:tcPr>
          <w:p>
            <w:pPr>
              <w:widowControl w:val="0"/>
              <w:jc w:val="center"/>
              <w:rPr>
                <w:b/>
                <w:bCs/>
                <w:color w:val="auto"/>
                <w:u w:val="single"/>
              </w:rPr>
            </w:pPr>
            <w:r>
              <w:rPr>
                <w:b/>
                <w:bCs/>
                <w:color w:val="auto"/>
                <w:u w:val="single"/>
              </w:rPr>
              <w:t>废气</w:t>
            </w:r>
          </w:p>
        </w:tc>
        <w:tc>
          <w:tcPr>
            <w:tcW w:w="1641" w:type="dxa"/>
            <w:vAlign w:val="center"/>
          </w:tcPr>
          <w:p>
            <w:pPr>
              <w:widowControl w:val="0"/>
              <w:spacing w:line="240" w:lineRule="exact"/>
              <w:jc w:val="center"/>
              <w:rPr>
                <w:b/>
                <w:bCs/>
                <w:color w:val="auto"/>
                <w:u w:val="single"/>
              </w:rPr>
            </w:pPr>
            <w:r>
              <w:rPr>
                <w:b/>
                <w:bCs/>
                <w:color w:val="auto"/>
                <w:u w:val="single"/>
              </w:rPr>
              <w:t>焊接烟尘</w:t>
            </w:r>
          </w:p>
        </w:tc>
        <w:tc>
          <w:tcPr>
            <w:tcW w:w="5381" w:type="dxa"/>
            <w:gridSpan w:val="2"/>
            <w:vAlign w:val="center"/>
          </w:tcPr>
          <w:p>
            <w:pPr>
              <w:widowControl w:val="0"/>
              <w:spacing w:line="240" w:lineRule="exact"/>
              <w:ind w:firstLine="402"/>
              <w:jc w:val="center"/>
              <w:rPr>
                <w:rFonts w:hint="eastAsia" w:eastAsia="宋体"/>
                <w:b/>
                <w:bCs/>
                <w:color w:val="auto"/>
                <w:u w:val="single"/>
                <w:lang w:eastAsia="zh-CN"/>
              </w:rPr>
            </w:pPr>
            <w:r>
              <w:rPr>
                <w:rFonts w:hint="eastAsia"/>
                <w:b/>
                <w:bCs/>
                <w:color w:val="auto"/>
                <w:u w:val="single"/>
              </w:rPr>
              <w:t>集气罩+1套袋式除尘器+</w:t>
            </w:r>
            <w:r>
              <w:rPr>
                <w:rFonts w:hint="eastAsia"/>
                <w:b/>
                <w:bCs/>
                <w:color w:val="auto"/>
                <w:u w:val="single"/>
                <w:lang w:eastAsia="zh-CN"/>
              </w:rPr>
              <w:t>15m高排气筒</w:t>
            </w:r>
          </w:p>
        </w:tc>
        <w:tc>
          <w:tcPr>
            <w:tcW w:w="5731" w:type="dxa"/>
            <w:vAlign w:val="center"/>
          </w:tcPr>
          <w:p>
            <w:pPr>
              <w:widowControl w:val="0"/>
              <w:jc w:val="center"/>
              <w:rPr>
                <w:b/>
                <w:bCs/>
                <w:color w:val="auto"/>
                <w:u w:val="single"/>
              </w:rPr>
            </w:pPr>
            <w:r>
              <w:rPr>
                <w:b/>
                <w:bCs/>
                <w:color w:val="auto"/>
                <w:u w:val="single"/>
              </w:rPr>
              <w:t>《大气污染物综合排放标准》（GB16297-1996）表2二级标准及《新乡市生态环境局关于进一步规范工业企业颗粒物排放限值的通知》中其他所有涉气</w:t>
            </w:r>
            <w:r>
              <w:rPr>
                <w:rFonts w:hint="eastAsia"/>
                <w:b/>
                <w:bCs/>
                <w:color w:val="auto"/>
                <w:u w:val="single"/>
              </w:rPr>
              <w:t>工业企业</w:t>
            </w:r>
            <w:r>
              <w:rPr>
                <w:b/>
                <w:bCs/>
                <w:color w:val="auto"/>
                <w:u w:val="single"/>
              </w:rPr>
              <w:t>排放口颗粒物排放浓度不高于10mg/m</w:t>
            </w:r>
            <w:r>
              <w:rPr>
                <w:b/>
                <w:bCs/>
                <w:color w:val="auto"/>
                <w:u w:val="single"/>
                <w:vertAlign w:val="superscript"/>
              </w:rPr>
              <w:t>3</w:t>
            </w:r>
            <w:r>
              <w:rPr>
                <w:b/>
                <w:bCs/>
                <w:color w:val="auto"/>
                <w:u w:val="single"/>
              </w:rPr>
              <w:t>的排放标准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b/>
                <w:bCs/>
                <w:color w:val="auto"/>
                <w:u w:val="single"/>
              </w:rPr>
              <w:t>污水站恶臭</w:t>
            </w:r>
          </w:p>
        </w:tc>
        <w:tc>
          <w:tcPr>
            <w:tcW w:w="5381" w:type="dxa"/>
            <w:gridSpan w:val="2"/>
            <w:vAlign w:val="center"/>
          </w:tcPr>
          <w:p>
            <w:pPr>
              <w:widowControl w:val="0"/>
              <w:spacing w:line="240" w:lineRule="exact"/>
              <w:ind w:firstLine="402"/>
              <w:jc w:val="center"/>
              <w:rPr>
                <w:rFonts w:hint="eastAsia" w:eastAsia="宋体"/>
                <w:b/>
                <w:bCs/>
                <w:color w:val="auto"/>
                <w:u w:val="single"/>
                <w:lang w:eastAsia="zh-CN"/>
              </w:rPr>
            </w:pPr>
            <w:r>
              <w:rPr>
                <w:b/>
                <w:bCs/>
                <w:color w:val="auto"/>
                <w:u w:val="single"/>
              </w:rPr>
              <w:t>加盖封闭</w:t>
            </w:r>
            <w:r>
              <w:rPr>
                <w:rFonts w:hint="eastAsia"/>
                <w:b/>
                <w:bCs/>
                <w:color w:val="auto"/>
                <w:u w:val="single"/>
              </w:rPr>
              <w:t>+1套生物除臭+</w:t>
            </w:r>
            <w:r>
              <w:rPr>
                <w:rFonts w:hint="eastAsia"/>
                <w:b/>
                <w:bCs/>
                <w:color w:val="auto"/>
                <w:u w:val="single"/>
                <w:lang w:eastAsia="zh-CN"/>
              </w:rPr>
              <w:t>15m高排气筒</w:t>
            </w:r>
          </w:p>
        </w:tc>
        <w:tc>
          <w:tcPr>
            <w:tcW w:w="5731" w:type="dxa"/>
            <w:vAlign w:val="center"/>
          </w:tcPr>
          <w:p>
            <w:pPr>
              <w:pStyle w:val="377"/>
              <w:adjustRightInd w:val="0"/>
              <w:snapToGrid w:val="0"/>
              <w:jc w:val="center"/>
              <w:rPr>
                <w:b/>
                <w:bCs/>
                <w:color w:val="auto"/>
                <w:u w:val="single"/>
              </w:rPr>
            </w:pPr>
            <w:r>
              <w:rPr>
                <w:b/>
                <w:bCs/>
                <w:color w:val="auto"/>
                <w:kern w:val="21"/>
                <w:u w:val="single"/>
              </w:rPr>
              <w:t>《</w:t>
            </w:r>
            <w:r>
              <w:rPr>
                <w:rFonts w:hint="eastAsia"/>
                <w:b/>
                <w:bCs/>
                <w:color w:val="auto"/>
                <w:kern w:val="21"/>
                <w:u w:val="single"/>
              </w:rPr>
              <w:t>恶臭</w:t>
            </w:r>
            <w:r>
              <w:rPr>
                <w:b/>
                <w:bCs/>
                <w:color w:val="auto"/>
                <w:kern w:val="21"/>
                <w:u w:val="single"/>
              </w:rPr>
              <w:t>污染物排放标准》</w:t>
            </w:r>
            <w:r>
              <w:rPr>
                <w:rFonts w:hint="eastAsia"/>
                <w:b/>
                <w:bCs/>
                <w:color w:val="auto"/>
                <w:kern w:val="21"/>
                <w:u w:val="single"/>
              </w:rPr>
              <w:t>（</w:t>
            </w:r>
            <w:r>
              <w:rPr>
                <w:b/>
                <w:bCs/>
                <w:color w:val="auto"/>
                <w:kern w:val="21"/>
                <w:u w:val="single"/>
              </w:rPr>
              <w:t>GB14554</w:t>
            </w:r>
            <w:r>
              <w:rPr>
                <w:rFonts w:hint="eastAsia"/>
                <w:b/>
                <w:bCs/>
                <w:color w:val="auto"/>
                <w:kern w:val="21"/>
                <w:u w:val="single"/>
              </w:rPr>
              <w:t>-</w:t>
            </w:r>
            <w:r>
              <w:rPr>
                <w:b/>
                <w:bCs/>
                <w:color w:val="auto"/>
                <w:kern w:val="21"/>
                <w:u w:val="single"/>
              </w:rPr>
              <w:t>93</w:t>
            </w:r>
            <w:r>
              <w:rPr>
                <w:rFonts w:hint="eastAsia"/>
                <w:b/>
                <w:bCs/>
                <w:color w:val="auto"/>
                <w:kern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b/>
                <w:bCs/>
                <w:color w:val="auto"/>
                <w:u w:val="single"/>
              </w:rPr>
              <w:t>酸雾</w:t>
            </w:r>
          </w:p>
        </w:tc>
        <w:tc>
          <w:tcPr>
            <w:tcW w:w="5381" w:type="dxa"/>
            <w:gridSpan w:val="2"/>
            <w:vAlign w:val="center"/>
          </w:tcPr>
          <w:p>
            <w:pPr>
              <w:widowControl w:val="0"/>
              <w:spacing w:line="240" w:lineRule="exact"/>
              <w:jc w:val="center"/>
              <w:rPr>
                <w:rFonts w:hint="eastAsia" w:eastAsia="宋体"/>
                <w:b/>
                <w:bCs/>
                <w:color w:val="auto"/>
                <w:u w:val="single"/>
                <w:lang w:eastAsia="zh-CN"/>
              </w:rPr>
            </w:pPr>
            <w:r>
              <w:rPr>
                <w:rFonts w:hint="eastAsia"/>
                <w:b/>
                <w:bCs/>
                <w:color w:val="auto"/>
                <w:u w:val="single"/>
              </w:rPr>
              <w:t>1套盐酸储罐集气罩+</w:t>
            </w:r>
            <w:r>
              <w:rPr>
                <w:b/>
                <w:bCs/>
                <w:color w:val="auto"/>
                <w:u w:val="single"/>
              </w:rPr>
              <w:t>密闭生产线</w:t>
            </w:r>
            <w:r>
              <w:rPr>
                <w:rFonts w:hint="eastAsia"/>
                <w:b/>
                <w:bCs/>
                <w:color w:val="auto"/>
                <w:u w:val="single"/>
              </w:rPr>
              <w:t>+8套顶吸罩</w:t>
            </w:r>
            <w:r>
              <w:rPr>
                <w:b/>
                <w:bCs/>
                <w:color w:val="auto"/>
                <w:u w:val="single"/>
              </w:rPr>
              <w:t>+</w:t>
            </w:r>
            <w:r>
              <w:rPr>
                <w:rFonts w:hint="eastAsia"/>
                <w:b/>
                <w:bCs/>
                <w:color w:val="auto"/>
                <w:u w:val="single"/>
              </w:rPr>
              <w:t>8套槽边双侧抽风+8套二级碱液喷淋塔+</w:t>
            </w:r>
            <w:r>
              <w:rPr>
                <w:rFonts w:hint="eastAsia"/>
                <w:b/>
                <w:bCs/>
                <w:color w:val="auto"/>
                <w:u w:val="single"/>
                <w:lang w:eastAsia="zh-CN"/>
              </w:rPr>
              <w:t>15m高排气筒</w:t>
            </w:r>
          </w:p>
        </w:tc>
        <w:tc>
          <w:tcPr>
            <w:tcW w:w="5731" w:type="dxa"/>
            <w:vAlign w:val="center"/>
          </w:tcPr>
          <w:p>
            <w:pPr>
              <w:widowControl w:val="0"/>
              <w:jc w:val="center"/>
              <w:rPr>
                <w:b/>
                <w:bCs/>
                <w:color w:val="auto"/>
                <w:u w:val="single"/>
              </w:rPr>
            </w:pPr>
            <w:r>
              <w:rPr>
                <w:b/>
                <w:bCs/>
                <w:color w:val="auto"/>
                <w:kern w:val="21"/>
                <w:u w:val="single"/>
              </w:rPr>
              <w:t>《电镀污染物排放标准》（GB21900-2008）表5标准中氯化氢排放标准30mg/m</w:t>
            </w:r>
            <w:r>
              <w:rPr>
                <w:b/>
                <w:bCs/>
                <w:color w:val="auto"/>
                <w:kern w:val="21"/>
                <w:u w:val="single"/>
                <w:vertAlign w:val="superscript"/>
              </w:rPr>
              <w:t>3</w:t>
            </w:r>
            <w:r>
              <w:rPr>
                <w:b/>
                <w:bCs/>
                <w:color w:val="auto"/>
                <w:kern w:val="21"/>
                <w:u w:val="single"/>
              </w:rPr>
              <w:t>及</w:t>
            </w:r>
            <w:r>
              <w:rPr>
                <w:rFonts w:hint="eastAsia"/>
                <w:b/>
                <w:bCs/>
                <w:color w:val="auto"/>
                <w:kern w:val="21"/>
                <w:u w:val="single"/>
              </w:rPr>
              <w:t>《河南省重污染天气重点行业应急减排措施制定技术指南（</w:t>
            </w:r>
            <w:r>
              <w:rPr>
                <w:b/>
                <w:bCs/>
                <w:color w:val="auto"/>
                <w:kern w:val="21"/>
                <w:u w:val="single"/>
              </w:rPr>
              <w:t>2021</w:t>
            </w:r>
            <w:r>
              <w:rPr>
                <w:rFonts w:hint="eastAsia"/>
                <w:b/>
                <w:bCs/>
                <w:color w:val="auto"/>
                <w:kern w:val="21"/>
                <w:u w:val="single"/>
              </w:rPr>
              <w:t>年修订）》中“金属表面处理及热处理加工”</w:t>
            </w:r>
            <w:r>
              <w:rPr>
                <w:b/>
                <w:bCs/>
                <w:color w:val="auto"/>
                <w:kern w:val="21"/>
                <w:u w:val="single"/>
              </w:rPr>
              <w:t xml:space="preserve"> 中</w:t>
            </w:r>
            <w:r>
              <w:rPr>
                <w:rFonts w:hint="eastAsia"/>
                <w:b/>
                <w:bCs/>
                <w:color w:val="auto"/>
                <w:kern w:val="21"/>
                <w:u w:val="single"/>
              </w:rPr>
              <w:t>1</w:t>
            </w:r>
            <w:r>
              <w:rPr>
                <w:b/>
                <w:bCs/>
                <w:color w:val="auto"/>
                <w:kern w:val="21"/>
                <w:u w:val="single"/>
              </w:rPr>
              <w:t>0mg/m</w:t>
            </w:r>
            <w:r>
              <w:rPr>
                <w:b/>
                <w:bCs/>
                <w:color w:val="auto"/>
                <w:kern w:val="21"/>
                <w:u w:val="single"/>
                <w:vertAlign w:val="superscript"/>
              </w:rPr>
              <w:t>3</w:t>
            </w:r>
            <w:r>
              <w:rPr>
                <w:rFonts w:hint="eastAsia"/>
                <w:b/>
                <w:bCs/>
                <w:color w:val="auto"/>
                <w:kern w:val="21"/>
                <w:u w:val="single"/>
              </w:rPr>
              <w:t>浓度限值要求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b/>
                <w:bCs/>
                <w:color w:val="auto"/>
                <w:u w:val="single"/>
              </w:rPr>
              <w:t>燃气锅炉</w:t>
            </w:r>
          </w:p>
        </w:tc>
        <w:tc>
          <w:tcPr>
            <w:tcW w:w="5381" w:type="dxa"/>
            <w:gridSpan w:val="2"/>
            <w:vAlign w:val="center"/>
          </w:tcPr>
          <w:p>
            <w:pPr>
              <w:widowControl w:val="0"/>
              <w:spacing w:line="240" w:lineRule="exact"/>
              <w:jc w:val="center"/>
              <w:rPr>
                <w:b/>
                <w:bCs/>
                <w:color w:val="auto"/>
                <w:u w:val="single"/>
              </w:rPr>
            </w:pPr>
            <w:r>
              <w:rPr>
                <w:rFonts w:hint="eastAsia"/>
                <w:b/>
                <w:bCs/>
                <w:color w:val="auto"/>
                <w:u w:val="single"/>
              </w:rPr>
              <w:t>2套</w:t>
            </w:r>
            <w:r>
              <w:rPr>
                <w:b/>
                <w:bCs/>
                <w:color w:val="auto"/>
                <w:u w:val="single"/>
              </w:rPr>
              <w:t>低氮燃烧器</w:t>
            </w:r>
            <w:r>
              <w:rPr>
                <w:rFonts w:hint="eastAsia"/>
                <w:b/>
                <w:bCs/>
                <w:color w:val="auto"/>
                <w:u w:val="single"/>
              </w:rPr>
              <w:t>+烟气再循环</w:t>
            </w:r>
          </w:p>
        </w:tc>
        <w:tc>
          <w:tcPr>
            <w:tcW w:w="5731" w:type="dxa"/>
            <w:vAlign w:val="center"/>
          </w:tcPr>
          <w:p>
            <w:pPr>
              <w:widowControl w:val="0"/>
              <w:jc w:val="center"/>
              <w:rPr>
                <w:b/>
                <w:bCs/>
                <w:color w:val="auto"/>
                <w:u w:val="single"/>
              </w:rPr>
            </w:pPr>
            <w:r>
              <w:rPr>
                <w:b/>
                <w:bCs/>
                <w:snapToGrid w:val="0"/>
                <w:color w:val="auto"/>
                <w:kern w:val="21"/>
                <w:u w:val="single"/>
              </w:rPr>
              <w:t>《锅炉大气污染物排放标准》（DB41/2089-2021）表1在基准含氧量3.5%的条件下，颗粒物、SO</w:t>
            </w:r>
            <w:r>
              <w:rPr>
                <w:b/>
                <w:bCs/>
                <w:snapToGrid w:val="0"/>
                <w:color w:val="auto"/>
                <w:kern w:val="21"/>
                <w:u w:val="single"/>
                <w:vertAlign w:val="subscript"/>
              </w:rPr>
              <w:t>2</w:t>
            </w:r>
            <w:r>
              <w:rPr>
                <w:b/>
                <w:bCs/>
                <w:snapToGrid w:val="0"/>
                <w:color w:val="auto"/>
                <w:kern w:val="21"/>
                <w:u w:val="single"/>
              </w:rPr>
              <w:t>、NOx排放浓度分别不高于5</w:t>
            </w:r>
            <w:r>
              <w:rPr>
                <w:b/>
                <w:bCs/>
                <w:color w:val="auto"/>
                <w:u w:val="single"/>
              </w:rPr>
              <w:t>mg/m</w:t>
            </w:r>
            <w:r>
              <w:rPr>
                <w:b/>
                <w:bCs/>
                <w:color w:val="auto"/>
                <w:u w:val="single"/>
                <w:vertAlign w:val="superscript"/>
              </w:rPr>
              <w:t>3</w:t>
            </w:r>
            <w:r>
              <w:rPr>
                <w:b/>
                <w:bCs/>
                <w:color w:val="auto"/>
                <w:u w:val="single"/>
              </w:rPr>
              <w:t>、</w:t>
            </w:r>
            <w:r>
              <w:rPr>
                <w:b/>
                <w:bCs/>
                <w:snapToGrid w:val="0"/>
                <w:color w:val="auto"/>
                <w:kern w:val="21"/>
                <w:u w:val="single"/>
              </w:rPr>
              <w:t>10</w:t>
            </w:r>
            <w:r>
              <w:rPr>
                <w:b/>
                <w:bCs/>
                <w:color w:val="auto"/>
                <w:u w:val="single"/>
              </w:rPr>
              <w:t>mg/m</w:t>
            </w:r>
            <w:r>
              <w:rPr>
                <w:b/>
                <w:bCs/>
                <w:color w:val="auto"/>
                <w:u w:val="single"/>
                <w:vertAlign w:val="superscript"/>
              </w:rPr>
              <w:t>3</w:t>
            </w:r>
            <w:r>
              <w:rPr>
                <w:b/>
                <w:bCs/>
                <w:color w:val="auto"/>
                <w:u w:val="single"/>
              </w:rPr>
              <w:t>、</w:t>
            </w:r>
            <w:r>
              <w:rPr>
                <w:b/>
                <w:bCs/>
                <w:snapToGrid w:val="0"/>
                <w:color w:val="auto"/>
                <w:kern w:val="21"/>
                <w:u w:val="single"/>
              </w:rPr>
              <w:t>30</w:t>
            </w:r>
            <w:r>
              <w:rPr>
                <w:b/>
                <w:bCs/>
                <w:color w:val="auto"/>
                <w:u w:val="single"/>
              </w:rPr>
              <w:t>mg/m</w:t>
            </w:r>
            <w:r>
              <w:rPr>
                <w:b/>
                <w:bCs/>
                <w:color w:val="auto"/>
                <w:u w:val="single"/>
                <w:vertAlign w:val="superscript"/>
              </w:rPr>
              <w:t>3</w:t>
            </w:r>
            <w:r>
              <w:rPr>
                <w:b/>
                <w:bCs/>
                <w:color w:val="auto"/>
                <w:kern w:val="21"/>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restart"/>
            <w:vAlign w:val="center"/>
          </w:tcPr>
          <w:p>
            <w:pPr>
              <w:widowControl w:val="0"/>
              <w:jc w:val="center"/>
              <w:rPr>
                <w:b/>
                <w:bCs/>
                <w:color w:val="auto"/>
                <w:u w:val="single"/>
              </w:rPr>
            </w:pPr>
            <w:r>
              <w:rPr>
                <w:b/>
                <w:bCs/>
                <w:color w:val="auto"/>
                <w:u w:val="single"/>
              </w:rPr>
              <w:t>废水</w:t>
            </w:r>
          </w:p>
        </w:tc>
        <w:tc>
          <w:tcPr>
            <w:tcW w:w="1641" w:type="dxa"/>
            <w:vAlign w:val="center"/>
          </w:tcPr>
          <w:p>
            <w:pPr>
              <w:widowControl w:val="0"/>
              <w:spacing w:line="240" w:lineRule="exact"/>
              <w:jc w:val="center"/>
              <w:rPr>
                <w:b/>
                <w:bCs/>
                <w:color w:val="auto"/>
                <w:u w:val="single"/>
              </w:rPr>
            </w:pPr>
            <w:r>
              <w:rPr>
                <w:b/>
                <w:bCs/>
                <w:color w:val="auto"/>
                <w:u w:val="single"/>
              </w:rPr>
              <w:t>生活污水、纯水制备及锅炉浓水</w:t>
            </w:r>
          </w:p>
        </w:tc>
        <w:tc>
          <w:tcPr>
            <w:tcW w:w="5381" w:type="dxa"/>
            <w:gridSpan w:val="2"/>
            <w:vAlign w:val="center"/>
          </w:tcPr>
          <w:p>
            <w:pPr>
              <w:adjustRightInd w:val="0"/>
              <w:snapToGrid w:val="0"/>
              <w:rPr>
                <w:b/>
                <w:bCs/>
                <w:color w:val="auto"/>
                <w:u w:val="single"/>
              </w:rPr>
            </w:pPr>
            <w:r>
              <w:rPr>
                <w:b/>
                <w:bCs/>
                <w:color w:val="auto"/>
                <w:u w:val="single"/>
              </w:rPr>
              <w:t>生活污水经化粪池处理后与纯水制备及锅炉浓水一同经厂区总排口排入</w:t>
            </w:r>
            <w:r>
              <w:rPr>
                <w:rFonts w:hint="eastAsia"/>
                <w:b/>
                <w:bCs/>
                <w:color w:val="auto"/>
                <w:kern w:val="21"/>
                <w:u w:val="single"/>
              </w:rPr>
              <w:t>同盟污水处理厂</w:t>
            </w:r>
          </w:p>
        </w:tc>
        <w:tc>
          <w:tcPr>
            <w:tcW w:w="5731" w:type="dxa"/>
            <w:vAlign w:val="center"/>
          </w:tcPr>
          <w:p>
            <w:pPr>
              <w:widowControl w:val="0"/>
              <w:jc w:val="center"/>
              <w:rPr>
                <w:b/>
                <w:bCs/>
                <w:color w:val="auto"/>
                <w:u w:val="single"/>
              </w:rPr>
            </w:pPr>
            <w:r>
              <w:rPr>
                <w:rFonts w:hint="eastAsia"/>
                <w:b/>
                <w:bCs/>
                <w:color w:val="auto"/>
                <w:kern w:val="21"/>
                <w:u w:val="single"/>
              </w:rPr>
              <w:t>同盟污水处理厂收水水质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rFonts w:hint="eastAsia"/>
                <w:b/>
                <w:bCs/>
                <w:color w:val="auto"/>
                <w:u w:val="single"/>
              </w:rPr>
              <w:t>含镍废水</w:t>
            </w:r>
          </w:p>
        </w:tc>
        <w:tc>
          <w:tcPr>
            <w:tcW w:w="3281" w:type="dxa"/>
            <w:vAlign w:val="center"/>
          </w:tcPr>
          <w:p>
            <w:pPr>
              <w:adjustRightInd w:val="0"/>
              <w:snapToGrid w:val="0"/>
              <w:rPr>
                <w:b/>
                <w:bCs/>
                <w:color w:val="auto"/>
                <w:kern w:val="21"/>
                <w:u w:val="single"/>
              </w:rPr>
            </w:pPr>
            <w:r>
              <w:rPr>
                <w:rFonts w:hint="eastAsia"/>
                <w:b/>
                <w:bCs/>
                <w:color w:val="auto"/>
                <w:u w:val="single"/>
              </w:rPr>
              <w:t>含镍废水预处理系统：pH调节→混凝沉淀→回调→多介质过滤</w:t>
            </w:r>
          </w:p>
        </w:tc>
        <w:tc>
          <w:tcPr>
            <w:tcW w:w="2100" w:type="dxa"/>
            <w:vMerge w:val="restart"/>
            <w:vAlign w:val="center"/>
          </w:tcPr>
          <w:p>
            <w:pPr>
              <w:adjustRightInd w:val="0"/>
              <w:snapToGrid w:val="0"/>
              <w:rPr>
                <w:b/>
                <w:bCs/>
                <w:color w:val="auto"/>
                <w:kern w:val="21"/>
                <w:u w:val="single"/>
              </w:rPr>
            </w:pPr>
            <w:r>
              <w:rPr>
                <w:rFonts w:hint="eastAsia"/>
                <w:b/>
                <w:bCs/>
                <w:color w:val="auto"/>
                <w:u w:val="single"/>
              </w:rPr>
              <w:t>零排放处理系统：A</w:t>
            </w:r>
            <w:r>
              <w:rPr>
                <w:rFonts w:hint="eastAsia"/>
                <w:b/>
                <w:bCs/>
                <w:color w:val="auto"/>
                <w:u w:val="single"/>
                <w:vertAlign w:val="superscript"/>
              </w:rPr>
              <w:t>2</w:t>
            </w:r>
            <w:r>
              <w:rPr>
                <w:b/>
                <w:bCs/>
                <w:color w:val="auto"/>
                <w:u w:val="single"/>
              </w:rPr>
              <w:t>/O</w:t>
            </w:r>
            <w:r>
              <w:rPr>
                <w:rFonts w:hint="eastAsia"/>
                <w:b/>
                <w:bCs/>
                <w:color w:val="auto"/>
                <w:u w:val="single"/>
              </w:rPr>
              <w:t>→</w:t>
            </w:r>
            <w:r>
              <w:rPr>
                <w:b/>
                <w:bCs/>
                <w:color w:val="auto"/>
                <w:u w:val="single"/>
              </w:rPr>
              <w:t>MBR</w:t>
            </w:r>
            <w:r>
              <w:rPr>
                <w:rFonts w:hint="eastAsia"/>
                <w:b/>
                <w:bCs/>
                <w:color w:val="auto"/>
                <w:u w:val="single"/>
              </w:rPr>
              <w:t>→两级E</w:t>
            </w:r>
            <w:r>
              <w:rPr>
                <w:b/>
                <w:bCs/>
                <w:color w:val="auto"/>
                <w:u w:val="single"/>
              </w:rPr>
              <w:t>CRO</w:t>
            </w:r>
            <w:r>
              <w:rPr>
                <w:rFonts w:hint="eastAsia"/>
                <w:b/>
                <w:bCs/>
                <w:color w:val="auto"/>
                <w:u w:val="single"/>
              </w:rPr>
              <w:t>→</w:t>
            </w:r>
            <w:r>
              <w:rPr>
                <w:b/>
                <w:bCs/>
                <w:color w:val="auto"/>
                <w:u w:val="single"/>
              </w:rPr>
              <w:t>DTRO</w:t>
            </w:r>
            <w:r>
              <w:rPr>
                <w:rFonts w:hint="eastAsia"/>
                <w:b/>
                <w:bCs/>
                <w:color w:val="auto"/>
                <w:u w:val="single"/>
              </w:rPr>
              <w:t>→二级RO→MVR蒸发</w:t>
            </w:r>
          </w:p>
        </w:tc>
        <w:tc>
          <w:tcPr>
            <w:tcW w:w="5731" w:type="dxa"/>
            <w:vMerge w:val="restart"/>
            <w:vAlign w:val="center"/>
          </w:tcPr>
          <w:p>
            <w:pPr>
              <w:widowControl w:val="0"/>
              <w:jc w:val="center"/>
              <w:rPr>
                <w:rFonts w:hint="eastAsia" w:eastAsia="宋体"/>
                <w:b/>
                <w:bCs/>
                <w:color w:val="auto"/>
                <w:u w:val="single"/>
                <w:lang w:eastAsia="zh-CN"/>
              </w:rPr>
            </w:pPr>
            <w:r>
              <w:rPr>
                <w:b/>
                <w:bCs/>
                <w:color w:val="auto"/>
                <w:u w:val="single"/>
              </w:rPr>
              <w:t>全部回用</w:t>
            </w:r>
            <w:r>
              <w:rPr>
                <w:rFonts w:hint="eastAsia"/>
                <w:b/>
                <w:bCs/>
                <w:color w:val="auto"/>
                <w:u w:val="single"/>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rFonts w:hint="eastAsia"/>
                <w:b/>
                <w:bCs/>
                <w:color w:val="auto"/>
                <w:u w:val="single"/>
              </w:rPr>
              <w:t>含锌废水</w:t>
            </w:r>
          </w:p>
        </w:tc>
        <w:tc>
          <w:tcPr>
            <w:tcW w:w="3281" w:type="dxa"/>
            <w:vAlign w:val="center"/>
          </w:tcPr>
          <w:p>
            <w:pPr>
              <w:adjustRightInd w:val="0"/>
              <w:snapToGrid w:val="0"/>
              <w:rPr>
                <w:b/>
                <w:bCs/>
                <w:color w:val="auto"/>
                <w:kern w:val="21"/>
                <w:u w:val="single"/>
              </w:rPr>
            </w:pPr>
            <w:r>
              <w:rPr>
                <w:rFonts w:hint="eastAsia"/>
                <w:b/>
                <w:bCs/>
                <w:color w:val="auto"/>
                <w:u w:val="single"/>
              </w:rPr>
              <w:t>含锌废水预处理系统：pH调节→混凝沉淀→回调→多介质过滤</w:t>
            </w:r>
          </w:p>
        </w:tc>
        <w:tc>
          <w:tcPr>
            <w:tcW w:w="2100" w:type="dxa"/>
            <w:vMerge w:val="continue"/>
            <w:vAlign w:val="center"/>
          </w:tcPr>
          <w:p>
            <w:pPr>
              <w:adjustRightInd w:val="0"/>
              <w:snapToGrid w:val="0"/>
              <w:rPr>
                <w:b/>
                <w:bCs/>
                <w:color w:val="auto"/>
                <w:kern w:val="21"/>
                <w:u w:val="single"/>
              </w:rPr>
            </w:pPr>
          </w:p>
        </w:tc>
        <w:tc>
          <w:tcPr>
            <w:tcW w:w="5731" w:type="dxa"/>
            <w:vMerge w:val="continue"/>
            <w:vAlign w:val="center"/>
          </w:tcPr>
          <w:p>
            <w:pPr>
              <w:widowControl w:val="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rFonts w:hint="eastAsia"/>
                <w:b/>
                <w:bCs/>
                <w:color w:val="auto"/>
                <w:u w:val="single"/>
              </w:rPr>
              <w:t>含铬废水</w:t>
            </w:r>
          </w:p>
        </w:tc>
        <w:tc>
          <w:tcPr>
            <w:tcW w:w="3281" w:type="dxa"/>
            <w:vAlign w:val="center"/>
          </w:tcPr>
          <w:p>
            <w:pPr>
              <w:adjustRightInd w:val="0"/>
              <w:snapToGrid w:val="0"/>
              <w:rPr>
                <w:b/>
                <w:bCs/>
                <w:color w:val="auto"/>
                <w:kern w:val="21"/>
                <w:u w:val="single"/>
              </w:rPr>
            </w:pPr>
            <w:r>
              <w:rPr>
                <w:rFonts w:hint="eastAsia"/>
                <w:b/>
                <w:bCs/>
                <w:color w:val="auto"/>
                <w:u w:val="single"/>
              </w:rPr>
              <w:t>含铬废水预处理系统：还原→pH调节→混凝沉淀→回调→多介质过滤</w:t>
            </w:r>
          </w:p>
        </w:tc>
        <w:tc>
          <w:tcPr>
            <w:tcW w:w="2100" w:type="dxa"/>
            <w:vMerge w:val="continue"/>
            <w:vAlign w:val="center"/>
          </w:tcPr>
          <w:p>
            <w:pPr>
              <w:adjustRightInd w:val="0"/>
              <w:snapToGrid w:val="0"/>
              <w:rPr>
                <w:b/>
                <w:bCs/>
                <w:color w:val="auto"/>
                <w:kern w:val="21"/>
                <w:u w:val="single"/>
              </w:rPr>
            </w:pPr>
          </w:p>
        </w:tc>
        <w:tc>
          <w:tcPr>
            <w:tcW w:w="5731" w:type="dxa"/>
            <w:vMerge w:val="continue"/>
            <w:vAlign w:val="center"/>
          </w:tcPr>
          <w:p>
            <w:pPr>
              <w:widowControl w:val="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rFonts w:hint="eastAsia"/>
                <w:b/>
                <w:bCs/>
                <w:color w:val="auto"/>
                <w:u w:val="single"/>
              </w:rPr>
              <w:t>含油废水</w:t>
            </w:r>
          </w:p>
        </w:tc>
        <w:tc>
          <w:tcPr>
            <w:tcW w:w="3281" w:type="dxa"/>
            <w:vAlign w:val="center"/>
          </w:tcPr>
          <w:p>
            <w:pPr>
              <w:adjustRightInd w:val="0"/>
              <w:snapToGrid w:val="0"/>
              <w:rPr>
                <w:b/>
                <w:bCs/>
                <w:color w:val="auto"/>
                <w:kern w:val="21"/>
                <w:u w:val="single"/>
              </w:rPr>
            </w:pPr>
            <w:r>
              <w:rPr>
                <w:rFonts w:hint="eastAsia"/>
                <w:b/>
                <w:bCs/>
                <w:color w:val="auto"/>
                <w:u w:val="single"/>
              </w:rPr>
              <w:t>含油废水预处理系统：</w:t>
            </w:r>
            <w:r>
              <w:rPr>
                <w:b/>
                <w:bCs/>
                <w:color w:val="auto"/>
                <w:u w:val="single"/>
              </w:rPr>
              <w:t>破乳</w:t>
            </w:r>
            <w:r>
              <w:rPr>
                <w:rFonts w:hint="eastAsia"/>
                <w:b/>
                <w:bCs/>
                <w:color w:val="auto"/>
                <w:u w:val="single"/>
              </w:rPr>
              <w:t>→</w:t>
            </w:r>
            <w:r>
              <w:rPr>
                <w:b/>
                <w:bCs/>
                <w:color w:val="auto"/>
                <w:u w:val="single"/>
              </w:rPr>
              <w:t>pH调节</w:t>
            </w:r>
            <w:r>
              <w:rPr>
                <w:rFonts w:hint="eastAsia"/>
                <w:b/>
                <w:bCs/>
                <w:color w:val="auto"/>
                <w:u w:val="single"/>
              </w:rPr>
              <w:t>→混凝→气浮</w:t>
            </w:r>
          </w:p>
        </w:tc>
        <w:tc>
          <w:tcPr>
            <w:tcW w:w="2100" w:type="dxa"/>
            <w:vMerge w:val="continue"/>
            <w:vAlign w:val="center"/>
          </w:tcPr>
          <w:p>
            <w:pPr>
              <w:adjustRightInd w:val="0"/>
              <w:snapToGrid w:val="0"/>
              <w:rPr>
                <w:b/>
                <w:bCs/>
                <w:color w:val="auto"/>
                <w:kern w:val="21"/>
                <w:u w:val="single"/>
              </w:rPr>
            </w:pPr>
          </w:p>
        </w:tc>
        <w:tc>
          <w:tcPr>
            <w:tcW w:w="5731" w:type="dxa"/>
            <w:vMerge w:val="continue"/>
            <w:vAlign w:val="center"/>
          </w:tcPr>
          <w:p>
            <w:pPr>
              <w:widowControl w:val="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rFonts w:hint="eastAsia"/>
                <w:b/>
                <w:bCs/>
                <w:color w:val="auto"/>
                <w:u w:val="single"/>
              </w:rPr>
              <w:t>酸性废水</w:t>
            </w:r>
          </w:p>
        </w:tc>
        <w:tc>
          <w:tcPr>
            <w:tcW w:w="3281" w:type="dxa"/>
            <w:vAlign w:val="center"/>
          </w:tcPr>
          <w:p>
            <w:pPr>
              <w:adjustRightInd w:val="0"/>
              <w:snapToGrid w:val="0"/>
              <w:rPr>
                <w:b/>
                <w:bCs/>
                <w:color w:val="auto"/>
                <w:kern w:val="21"/>
                <w:u w:val="single"/>
              </w:rPr>
            </w:pPr>
            <w:r>
              <w:rPr>
                <w:rFonts w:hint="eastAsia"/>
                <w:b/>
                <w:bCs/>
                <w:color w:val="auto"/>
                <w:u w:val="single"/>
              </w:rPr>
              <w:t>酸性废水预处理系统：pH调节→混凝沉淀→回调→多介质过滤</w:t>
            </w:r>
          </w:p>
        </w:tc>
        <w:tc>
          <w:tcPr>
            <w:tcW w:w="2100" w:type="dxa"/>
            <w:vMerge w:val="continue"/>
            <w:vAlign w:val="center"/>
          </w:tcPr>
          <w:p>
            <w:pPr>
              <w:adjustRightInd w:val="0"/>
              <w:snapToGrid w:val="0"/>
              <w:rPr>
                <w:b/>
                <w:bCs/>
                <w:color w:val="auto"/>
                <w:kern w:val="21"/>
                <w:u w:val="single"/>
              </w:rPr>
            </w:pPr>
          </w:p>
        </w:tc>
        <w:tc>
          <w:tcPr>
            <w:tcW w:w="5731" w:type="dxa"/>
            <w:vMerge w:val="continue"/>
            <w:vAlign w:val="center"/>
          </w:tcPr>
          <w:p>
            <w:pPr>
              <w:widowControl w:val="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rFonts w:hint="eastAsia"/>
                <w:b/>
                <w:bCs/>
                <w:color w:val="auto"/>
                <w:u w:val="single"/>
              </w:rPr>
              <w:t>地面废水</w:t>
            </w:r>
          </w:p>
        </w:tc>
        <w:tc>
          <w:tcPr>
            <w:tcW w:w="3281" w:type="dxa"/>
            <w:vAlign w:val="center"/>
          </w:tcPr>
          <w:p>
            <w:pPr>
              <w:adjustRightInd w:val="0"/>
              <w:snapToGrid w:val="0"/>
              <w:rPr>
                <w:b/>
                <w:bCs/>
                <w:color w:val="auto"/>
                <w:kern w:val="21"/>
                <w:u w:val="single"/>
              </w:rPr>
            </w:pPr>
            <w:r>
              <w:rPr>
                <w:rFonts w:hint="eastAsia"/>
                <w:b/>
                <w:bCs/>
                <w:color w:val="auto"/>
                <w:u w:val="single"/>
              </w:rPr>
              <w:t>地面废水预处理系统：氧化→pH调节→混凝沉淀→还原→混凝沉淀→回调→多介质过滤</w:t>
            </w:r>
          </w:p>
        </w:tc>
        <w:tc>
          <w:tcPr>
            <w:tcW w:w="2100" w:type="dxa"/>
            <w:vMerge w:val="continue"/>
            <w:vAlign w:val="center"/>
          </w:tcPr>
          <w:p>
            <w:pPr>
              <w:adjustRightInd w:val="0"/>
              <w:snapToGrid w:val="0"/>
              <w:rPr>
                <w:b/>
                <w:bCs/>
                <w:color w:val="auto"/>
                <w:kern w:val="21"/>
                <w:u w:val="single"/>
              </w:rPr>
            </w:pPr>
          </w:p>
        </w:tc>
        <w:tc>
          <w:tcPr>
            <w:tcW w:w="5731" w:type="dxa"/>
            <w:vMerge w:val="continue"/>
            <w:vAlign w:val="center"/>
          </w:tcPr>
          <w:p>
            <w:pPr>
              <w:widowControl w:val="0"/>
              <w:jc w:val="center"/>
              <w:rPr>
                <w:b/>
                <w:bCs/>
                <w:color w:val="auto"/>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restart"/>
            <w:vAlign w:val="center"/>
          </w:tcPr>
          <w:p>
            <w:pPr>
              <w:widowControl w:val="0"/>
              <w:jc w:val="center"/>
              <w:rPr>
                <w:b/>
                <w:bCs/>
                <w:color w:val="auto"/>
                <w:u w:val="single"/>
              </w:rPr>
            </w:pPr>
            <w:r>
              <w:rPr>
                <w:b/>
                <w:bCs/>
                <w:color w:val="auto"/>
                <w:u w:val="single"/>
              </w:rPr>
              <w:t>固体废物</w:t>
            </w:r>
          </w:p>
        </w:tc>
        <w:tc>
          <w:tcPr>
            <w:tcW w:w="1641" w:type="dxa"/>
            <w:vAlign w:val="center"/>
          </w:tcPr>
          <w:p>
            <w:pPr>
              <w:widowControl w:val="0"/>
              <w:spacing w:line="240" w:lineRule="exact"/>
              <w:jc w:val="center"/>
              <w:rPr>
                <w:b/>
                <w:bCs/>
                <w:color w:val="auto"/>
                <w:u w:val="single"/>
              </w:rPr>
            </w:pPr>
            <w:r>
              <w:rPr>
                <w:b/>
                <w:bCs/>
                <w:color w:val="auto"/>
                <w:u w:val="single"/>
              </w:rPr>
              <w:t>一般固废</w:t>
            </w:r>
          </w:p>
        </w:tc>
        <w:tc>
          <w:tcPr>
            <w:tcW w:w="5381" w:type="dxa"/>
            <w:gridSpan w:val="2"/>
            <w:vAlign w:val="center"/>
          </w:tcPr>
          <w:p>
            <w:pPr>
              <w:widowControl w:val="0"/>
              <w:spacing w:line="240" w:lineRule="exact"/>
              <w:jc w:val="center"/>
              <w:rPr>
                <w:b/>
                <w:bCs/>
                <w:color w:val="auto"/>
                <w:u w:val="single"/>
              </w:rPr>
            </w:pPr>
            <w:r>
              <w:rPr>
                <w:b/>
                <w:bCs/>
                <w:color w:val="auto"/>
                <w:u w:val="single"/>
              </w:rPr>
              <w:t>一</w:t>
            </w:r>
            <w:r>
              <w:rPr>
                <w:rFonts w:hint="eastAsia"/>
                <w:b/>
                <w:bCs/>
                <w:color w:val="auto"/>
                <w:u w:val="single"/>
                <w:lang w:eastAsia="zh-CN"/>
              </w:rPr>
              <w:t>座</w:t>
            </w:r>
            <w:r>
              <w:rPr>
                <w:rFonts w:hint="eastAsia"/>
                <w:b/>
                <w:bCs/>
                <w:color w:val="auto"/>
                <w:u w:val="single"/>
              </w:rPr>
              <w:t>300m</w:t>
            </w:r>
            <w:r>
              <w:rPr>
                <w:rFonts w:hint="eastAsia"/>
                <w:b/>
                <w:bCs/>
                <w:color w:val="auto"/>
                <w:u w:val="single"/>
                <w:vertAlign w:val="superscript"/>
              </w:rPr>
              <w:t>2</w:t>
            </w:r>
            <w:r>
              <w:rPr>
                <w:rFonts w:hint="eastAsia"/>
                <w:b/>
                <w:bCs/>
                <w:color w:val="auto"/>
                <w:u w:val="single"/>
              </w:rPr>
              <w:t>一般固废暂存间</w:t>
            </w:r>
          </w:p>
        </w:tc>
        <w:tc>
          <w:tcPr>
            <w:tcW w:w="5731" w:type="dxa"/>
            <w:vAlign w:val="center"/>
          </w:tcPr>
          <w:p>
            <w:pPr>
              <w:adjustRightInd w:val="0"/>
              <w:snapToGrid w:val="0"/>
              <w:jc w:val="center"/>
              <w:rPr>
                <w:rFonts w:hint="eastAsia" w:eastAsia="宋体"/>
                <w:b/>
                <w:bCs/>
                <w:color w:val="auto"/>
                <w:kern w:val="21"/>
                <w:u w:val="single"/>
                <w:lang w:eastAsia="zh-CN"/>
              </w:rPr>
            </w:pPr>
            <w:r>
              <w:rPr>
                <w:b/>
                <w:bCs/>
                <w:color w:val="auto"/>
                <w:kern w:val="21"/>
                <w:u w:val="single"/>
              </w:rPr>
              <w:t>防渗漏、防雨淋、防扬尘</w:t>
            </w:r>
            <w:r>
              <w:rPr>
                <w:rFonts w:hint="eastAsia"/>
                <w:b/>
                <w:bCs/>
                <w:color w:val="auto"/>
                <w:kern w:val="21"/>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b/>
                <w:bCs/>
                <w:color w:val="auto"/>
                <w:u w:val="single"/>
              </w:rPr>
              <w:t>危险废物</w:t>
            </w:r>
          </w:p>
        </w:tc>
        <w:tc>
          <w:tcPr>
            <w:tcW w:w="5381" w:type="dxa"/>
            <w:gridSpan w:val="2"/>
            <w:vAlign w:val="center"/>
          </w:tcPr>
          <w:p>
            <w:pPr>
              <w:widowControl w:val="0"/>
              <w:spacing w:line="240" w:lineRule="exact"/>
              <w:jc w:val="center"/>
              <w:rPr>
                <w:b/>
                <w:bCs/>
                <w:color w:val="auto"/>
                <w:u w:val="single"/>
              </w:rPr>
            </w:pPr>
            <w:r>
              <w:rPr>
                <w:b/>
                <w:bCs/>
                <w:color w:val="auto"/>
                <w:u w:val="single"/>
              </w:rPr>
              <w:t>一</w:t>
            </w:r>
            <w:r>
              <w:rPr>
                <w:rFonts w:hint="eastAsia"/>
                <w:b/>
                <w:bCs/>
                <w:color w:val="auto"/>
                <w:u w:val="single"/>
                <w:lang w:eastAsia="zh-CN"/>
              </w:rPr>
              <w:t>座</w:t>
            </w:r>
            <w:r>
              <w:rPr>
                <w:rFonts w:hint="eastAsia"/>
                <w:b/>
                <w:bCs/>
                <w:color w:val="auto"/>
                <w:u w:val="single"/>
              </w:rPr>
              <w:t>150m</w:t>
            </w:r>
            <w:r>
              <w:rPr>
                <w:rFonts w:hint="eastAsia"/>
                <w:b/>
                <w:bCs/>
                <w:color w:val="auto"/>
                <w:u w:val="single"/>
                <w:vertAlign w:val="superscript"/>
              </w:rPr>
              <w:t>2</w:t>
            </w:r>
            <w:r>
              <w:rPr>
                <w:rFonts w:hint="eastAsia"/>
                <w:b/>
                <w:bCs/>
                <w:color w:val="auto"/>
                <w:u w:val="single"/>
              </w:rPr>
              <w:t>危险废物暂存间</w:t>
            </w:r>
          </w:p>
        </w:tc>
        <w:tc>
          <w:tcPr>
            <w:tcW w:w="5731" w:type="dxa"/>
            <w:vAlign w:val="center"/>
          </w:tcPr>
          <w:p>
            <w:pPr>
              <w:adjustRightInd w:val="0"/>
              <w:snapToGrid w:val="0"/>
              <w:jc w:val="center"/>
              <w:rPr>
                <w:rFonts w:hint="eastAsia" w:eastAsia="宋体"/>
                <w:b/>
                <w:bCs/>
                <w:color w:val="auto"/>
                <w:kern w:val="21"/>
                <w:u w:val="single"/>
                <w:lang w:eastAsia="zh-CN"/>
              </w:rPr>
            </w:pPr>
            <w:r>
              <w:rPr>
                <w:b/>
                <w:bCs/>
                <w:color w:val="auto"/>
                <w:kern w:val="21"/>
                <w:u w:val="single"/>
              </w:rPr>
              <w:t>《危险废物贮存污染控制标准》（GB18597-2001）</w:t>
            </w:r>
            <w:r>
              <w:rPr>
                <w:b/>
                <w:bCs/>
                <w:color w:val="auto"/>
                <w:kern w:val="21"/>
                <w:u w:val="single"/>
                <w:shd w:val="clear" w:color="auto" w:fill="FFFFFF"/>
              </w:rPr>
              <w:t>及修改单</w:t>
            </w:r>
            <w:r>
              <w:rPr>
                <w:rFonts w:hint="eastAsia"/>
                <w:b/>
                <w:bCs/>
                <w:color w:val="auto"/>
                <w:kern w:val="21"/>
                <w:u w:val="single"/>
                <w:shd w:val="clear" w:color="auto" w:fill="FFFFFF"/>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Merge w:val="continue"/>
            <w:vAlign w:val="center"/>
          </w:tcPr>
          <w:p>
            <w:pPr>
              <w:widowControl w:val="0"/>
              <w:jc w:val="center"/>
              <w:rPr>
                <w:b/>
                <w:bCs/>
                <w:color w:val="auto"/>
                <w:u w:val="single"/>
              </w:rPr>
            </w:pPr>
          </w:p>
        </w:tc>
        <w:tc>
          <w:tcPr>
            <w:tcW w:w="1641" w:type="dxa"/>
            <w:vAlign w:val="center"/>
          </w:tcPr>
          <w:p>
            <w:pPr>
              <w:widowControl w:val="0"/>
              <w:spacing w:line="240" w:lineRule="exact"/>
              <w:jc w:val="center"/>
              <w:rPr>
                <w:b/>
                <w:bCs/>
                <w:color w:val="auto"/>
                <w:u w:val="single"/>
              </w:rPr>
            </w:pPr>
            <w:r>
              <w:rPr>
                <w:b/>
                <w:bCs/>
                <w:color w:val="auto"/>
                <w:u w:val="single"/>
              </w:rPr>
              <w:t>生活垃圾</w:t>
            </w:r>
          </w:p>
        </w:tc>
        <w:tc>
          <w:tcPr>
            <w:tcW w:w="5381" w:type="dxa"/>
            <w:gridSpan w:val="2"/>
            <w:vAlign w:val="center"/>
          </w:tcPr>
          <w:p>
            <w:pPr>
              <w:widowControl w:val="0"/>
              <w:spacing w:line="240" w:lineRule="exact"/>
              <w:jc w:val="center"/>
              <w:rPr>
                <w:b/>
                <w:bCs/>
                <w:color w:val="auto"/>
                <w:u w:val="single"/>
              </w:rPr>
            </w:pPr>
            <w:r>
              <w:rPr>
                <w:b/>
                <w:bCs/>
                <w:color w:val="auto"/>
                <w:u w:val="single"/>
              </w:rPr>
              <w:t>若干垃圾桶</w:t>
            </w:r>
          </w:p>
        </w:tc>
        <w:tc>
          <w:tcPr>
            <w:tcW w:w="5731" w:type="dxa"/>
            <w:vAlign w:val="center"/>
          </w:tcPr>
          <w:p>
            <w:pPr>
              <w:widowControl w:val="0"/>
              <w:jc w:val="center"/>
              <w:rPr>
                <w:b/>
                <w:bCs/>
                <w:color w:val="auto"/>
                <w:u w:val="single"/>
              </w:rPr>
            </w:pPr>
            <w:r>
              <w:rPr>
                <w:rFonts w:hint="eastAsia"/>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Align w:val="center"/>
          </w:tcPr>
          <w:p>
            <w:pPr>
              <w:widowControl w:val="0"/>
              <w:jc w:val="center"/>
              <w:rPr>
                <w:b/>
                <w:bCs/>
                <w:color w:val="auto"/>
                <w:u w:val="single"/>
              </w:rPr>
            </w:pPr>
            <w:r>
              <w:rPr>
                <w:b/>
                <w:bCs/>
                <w:color w:val="auto"/>
                <w:u w:val="single"/>
              </w:rPr>
              <w:t>噪声</w:t>
            </w:r>
          </w:p>
        </w:tc>
        <w:tc>
          <w:tcPr>
            <w:tcW w:w="1641" w:type="dxa"/>
            <w:vAlign w:val="center"/>
          </w:tcPr>
          <w:p>
            <w:pPr>
              <w:widowControl w:val="0"/>
              <w:jc w:val="center"/>
              <w:rPr>
                <w:b/>
                <w:bCs/>
                <w:color w:val="auto"/>
                <w:u w:val="single"/>
              </w:rPr>
            </w:pPr>
            <w:r>
              <w:rPr>
                <w:b/>
                <w:bCs/>
                <w:color w:val="auto"/>
                <w:u w:val="single"/>
              </w:rPr>
              <w:t>设备噪声</w:t>
            </w:r>
          </w:p>
        </w:tc>
        <w:tc>
          <w:tcPr>
            <w:tcW w:w="5381" w:type="dxa"/>
            <w:gridSpan w:val="2"/>
            <w:vAlign w:val="center"/>
          </w:tcPr>
          <w:p>
            <w:pPr>
              <w:widowControl w:val="0"/>
              <w:jc w:val="center"/>
              <w:rPr>
                <w:b/>
                <w:bCs/>
                <w:color w:val="auto"/>
                <w:u w:val="single"/>
              </w:rPr>
            </w:pPr>
            <w:r>
              <w:rPr>
                <w:b/>
                <w:bCs/>
                <w:color w:val="auto"/>
                <w:u w:val="single"/>
              </w:rPr>
              <w:t>高噪声设备置于设备间内，采取减振、隔声、消声等措施，厂界达标</w:t>
            </w:r>
          </w:p>
        </w:tc>
        <w:tc>
          <w:tcPr>
            <w:tcW w:w="5731" w:type="dxa"/>
            <w:vAlign w:val="center"/>
          </w:tcPr>
          <w:p>
            <w:pPr>
              <w:widowControl w:val="0"/>
              <w:jc w:val="center"/>
              <w:rPr>
                <w:rFonts w:hint="eastAsia" w:eastAsia="宋体"/>
                <w:b/>
                <w:bCs/>
                <w:color w:val="auto"/>
                <w:u w:val="single"/>
                <w:lang w:eastAsia="zh-CN"/>
              </w:rPr>
            </w:pPr>
            <w:r>
              <w:rPr>
                <w:b/>
                <w:bCs/>
                <w:color w:val="auto"/>
                <w:u w:val="single"/>
              </w:rPr>
              <w:t>满足《工业企业厂界环境噪声排放标准》（GB12348-2008）3类标准要求（昼间65 dB(A)、夜间55dB(A)）</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570" w:type="dxa"/>
            <w:vAlign w:val="center"/>
          </w:tcPr>
          <w:p>
            <w:pPr>
              <w:widowControl w:val="0"/>
              <w:jc w:val="center"/>
              <w:rPr>
                <w:b/>
                <w:bCs/>
                <w:color w:val="auto"/>
                <w:u w:val="single"/>
              </w:rPr>
            </w:pPr>
            <w:r>
              <w:rPr>
                <w:b/>
                <w:bCs/>
                <w:color w:val="auto"/>
                <w:u w:val="single"/>
              </w:rPr>
              <w:t>环境风险</w:t>
            </w:r>
          </w:p>
        </w:tc>
        <w:tc>
          <w:tcPr>
            <w:tcW w:w="1641" w:type="dxa"/>
            <w:vAlign w:val="center"/>
          </w:tcPr>
          <w:p>
            <w:pPr>
              <w:widowControl w:val="0"/>
              <w:spacing w:line="240" w:lineRule="exact"/>
              <w:jc w:val="center"/>
              <w:rPr>
                <w:b/>
                <w:bCs/>
                <w:color w:val="auto"/>
                <w:u w:val="single"/>
              </w:rPr>
            </w:pPr>
            <w:r>
              <w:rPr>
                <w:b/>
                <w:bCs/>
                <w:color w:val="auto"/>
                <w:u w:val="single"/>
              </w:rPr>
              <w:t>风险防范与应急设施</w:t>
            </w:r>
          </w:p>
        </w:tc>
        <w:tc>
          <w:tcPr>
            <w:tcW w:w="5381" w:type="dxa"/>
            <w:gridSpan w:val="2"/>
            <w:vAlign w:val="center"/>
          </w:tcPr>
          <w:p>
            <w:pPr>
              <w:widowControl w:val="0"/>
              <w:spacing w:line="240" w:lineRule="exact"/>
              <w:jc w:val="center"/>
              <w:rPr>
                <w:b/>
                <w:bCs/>
                <w:color w:val="auto"/>
                <w:u w:val="single"/>
              </w:rPr>
            </w:pPr>
            <w:r>
              <w:rPr>
                <w:rFonts w:hint="eastAsia"/>
                <w:b/>
                <w:bCs/>
                <w:color w:val="auto"/>
                <w:u w:val="single"/>
              </w:rPr>
              <w:t>消防器材、事故池、漫坡、围堰等</w:t>
            </w:r>
          </w:p>
        </w:tc>
        <w:tc>
          <w:tcPr>
            <w:tcW w:w="5731" w:type="dxa"/>
            <w:vAlign w:val="center"/>
          </w:tcPr>
          <w:p>
            <w:pPr>
              <w:widowControl w:val="0"/>
              <w:jc w:val="center"/>
              <w:rPr>
                <w:b/>
                <w:bCs/>
                <w:color w:val="auto"/>
                <w:u w:val="single"/>
              </w:rPr>
            </w:pPr>
            <w:r>
              <w:rPr>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2211" w:type="dxa"/>
            <w:gridSpan w:val="2"/>
            <w:vMerge w:val="restart"/>
            <w:vAlign w:val="center"/>
          </w:tcPr>
          <w:p>
            <w:pPr>
              <w:widowControl w:val="0"/>
              <w:spacing w:line="270" w:lineRule="exact"/>
              <w:jc w:val="center"/>
              <w:rPr>
                <w:b/>
                <w:bCs/>
                <w:color w:val="auto"/>
                <w:u w:val="single"/>
              </w:rPr>
            </w:pPr>
            <w:r>
              <w:rPr>
                <w:b/>
                <w:bCs/>
                <w:color w:val="auto"/>
                <w:u w:val="single"/>
              </w:rPr>
              <w:t>防渗</w:t>
            </w:r>
          </w:p>
        </w:tc>
        <w:tc>
          <w:tcPr>
            <w:tcW w:w="5381" w:type="dxa"/>
            <w:gridSpan w:val="2"/>
            <w:vAlign w:val="center"/>
          </w:tcPr>
          <w:p>
            <w:pPr>
              <w:widowControl w:val="0"/>
              <w:spacing w:line="270" w:lineRule="exact"/>
              <w:jc w:val="center"/>
              <w:rPr>
                <w:b/>
                <w:bCs/>
                <w:color w:val="auto"/>
                <w:u w:val="single"/>
              </w:rPr>
            </w:pPr>
            <w:r>
              <w:rPr>
                <w:b/>
                <w:bCs/>
                <w:color w:val="auto"/>
                <w:u w:val="single"/>
              </w:rPr>
              <w:t>重点防渗</w:t>
            </w:r>
            <w:r>
              <w:rPr>
                <w:rFonts w:hint="eastAsia"/>
                <w:b/>
                <w:bCs/>
                <w:color w:val="auto"/>
                <w:u w:val="single"/>
              </w:rPr>
              <w:t>区</w:t>
            </w:r>
          </w:p>
        </w:tc>
        <w:tc>
          <w:tcPr>
            <w:tcW w:w="5731" w:type="dxa"/>
            <w:vAlign w:val="center"/>
          </w:tcPr>
          <w:p>
            <w:pPr>
              <w:widowControl w:val="0"/>
              <w:spacing w:line="280" w:lineRule="exact"/>
              <w:jc w:val="center"/>
              <w:rPr>
                <w:rFonts w:hint="eastAsia" w:eastAsia="宋体"/>
                <w:b/>
                <w:bCs/>
                <w:color w:val="auto"/>
                <w:u w:val="single"/>
                <w:lang w:eastAsia="zh-CN"/>
              </w:rPr>
            </w:pPr>
            <w:r>
              <w:rPr>
                <w:b/>
                <w:bCs/>
                <w:color w:val="auto"/>
                <w:u w:val="single"/>
              </w:rPr>
              <w:t>等效厚粘防渗层</w:t>
            </w:r>
            <w:r>
              <w:rPr>
                <w:rFonts w:hint="eastAsia"/>
                <w:b/>
                <w:bCs/>
                <w:color w:val="auto"/>
                <w:u w:val="single"/>
              </w:rPr>
              <w:t>Mb≥6.0m，</w:t>
            </w:r>
            <w:r>
              <w:rPr>
                <w:b/>
                <w:bCs/>
                <w:color w:val="auto"/>
                <w:u w:val="single"/>
              </w:rPr>
              <w:t>渗透系数≤10</w:t>
            </w:r>
            <w:r>
              <w:rPr>
                <w:b/>
                <w:bCs/>
                <w:color w:val="auto"/>
                <w:u w:val="single"/>
                <w:vertAlign w:val="superscript"/>
              </w:rPr>
              <w:t>-7</w:t>
            </w:r>
            <w:r>
              <w:rPr>
                <w:b/>
                <w:bCs/>
                <w:color w:val="auto"/>
                <w:u w:val="single"/>
              </w:rPr>
              <w:t>cm/s，或</w:t>
            </w:r>
            <w:r>
              <w:rPr>
                <w:rFonts w:hint="eastAsia"/>
                <w:b/>
                <w:bCs/>
                <w:color w:val="auto"/>
                <w:u w:val="single"/>
              </w:rPr>
              <w:t>2mm</w:t>
            </w:r>
            <w:r>
              <w:rPr>
                <w:b/>
                <w:bCs/>
                <w:color w:val="auto"/>
                <w:u w:val="single"/>
              </w:rPr>
              <w:t>等效人工</w:t>
            </w:r>
            <w:r>
              <w:rPr>
                <w:rFonts w:hint="eastAsia"/>
                <w:b/>
                <w:bCs/>
                <w:color w:val="auto"/>
                <w:u w:val="single"/>
              </w:rPr>
              <w:t>防渗</w:t>
            </w:r>
            <w:r>
              <w:rPr>
                <w:b/>
                <w:bCs/>
                <w:color w:val="auto"/>
                <w:u w:val="single"/>
              </w:rPr>
              <w:t>材料，渗透系数≤10</w:t>
            </w:r>
            <w:r>
              <w:rPr>
                <w:b/>
                <w:bCs/>
                <w:color w:val="auto"/>
                <w:u w:val="single"/>
                <w:vertAlign w:val="superscript"/>
              </w:rPr>
              <w:t>-10</w:t>
            </w:r>
            <w:r>
              <w:rPr>
                <w:b/>
                <w:bCs/>
                <w:color w:val="auto"/>
                <w:u w:val="single"/>
              </w:rPr>
              <w:t>cm/s</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2211" w:type="dxa"/>
            <w:gridSpan w:val="2"/>
            <w:vMerge w:val="continue"/>
            <w:vAlign w:val="center"/>
          </w:tcPr>
          <w:p>
            <w:pPr>
              <w:widowControl w:val="0"/>
              <w:spacing w:line="270" w:lineRule="exact"/>
              <w:jc w:val="center"/>
              <w:rPr>
                <w:b/>
                <w:bCs/>
                <w:color w:val="auto"/>
                <w:u w:val="single"/>
              </w:rPr>
            </w:pPr>
          </w:p>
        </w:tc>
        <w:tc>
          <w:tcPr>
            <w:tcW w:w="5381" w:type="dxa"/>
            <w:gridSpan w:val="2"/>
            <w:vAlign w:val="center"/>
          </w:tcPr>
          <w:p>
            <w:pPr>
              <w:widowControl w:val="0"/>
              <w:spacing w:line="270" w:lineRule="exact"/>
              <w:jc w:val="center"/>
              <w:rPr>
                <w:b/>
                <w:bCs/>
                <w:color w:val="auto"/>
                <w:u w:val="single"/>
              </w:rPr>
            </w:pPr>
            <w:r>
              <w:rPr>
                <w:rFonts w:hint="eastAsia"/>
                <w:b/>
                <w:bCs/>
                <w:color w:val="auto"/>
                <w:u w:val="single"/>
              </w:rPr>
              <w:t>一般</w:t>
            </w:r>
            <w:r>
              <w:rPr>
                <w:b/>
                <w:bCs/>
                <w:color w:val="auto"/>
                <w:u w:val="single"/>
              </w:rPr>
              <w:t>防渗</w:t>
            </w:r>
            <w:r>
              <w:rPr>
                <w:rFonts w:hint="eastAsia"/>
                <w:b/>
                <w:bCs/>
                <w:color w:val="auto"/>
                <w:u w:val="single"/>
              </w:rPr>
              <w:t>区</w:t>
            </w:r>
          </w:p>
        </w:tc>
        <w:tc>
          <w:tcPr>
            <w:tcW w:w="5731" w:type="dxa"/>
            <w:vAlign w:val="center"/>
          </w:tcPr>
          <w:p>
            <w:pPr>
              <w:widowControl w:val="0"/>
              <w:spacing w:line="280" w:lineRule="exact"/>
              <w:jc w:val="center"/>
              <w:rPr>
                <w:rFonts w:hint="eastAsia" w:eastAsia="宋体"/>
                <w:b/>
                <w:bCs/>
                <w:color w:val="auto"/>
                <w:u w:val="single"/>
                <w:lang w:eastAsia="zh-CN"/>
              </w:rPr>
            </w:pPr>
            <w:r>
              <w:rPr>
                <w:b/>
                <w:bCs/>
                <w:color w:val="auto"/>
                <w:u w:val="single"/>
              </w:rPr>
              <w:t>等效厚粘防渗层</w:t>
            </w:r>
            <w:r>
              <w:rPr>
                <w:rFonts w:hint="eastAsia"/>
                <w:b/>
                <w:bCs/>
                <w:color w:val="auto"/>
                <w:u w:val="single"/>
              </w:rPr>
              <w:t>Mb≥1.5m，</w:t>
            </w:r>
            <w:r>
              <w:rPr>
                <w:b/>
                <w:bCs/>
                <w:color w:val="auto"/>
                <w:u w:val="single"/>
              </w:rPr>
              <w:t>渗透系数≤10</w:t>
            </w:r>
            <w:r>
              <w:rPr>
                <w:b/>
                <w:bCs/>
                <w:color w:val="auto"/>
                <w:u w:val="single"/>
                <w:vertAlign w:val="superscript"/>
              </w:rPr>
              <w:t>-7</w:t>
            </w:r>
            <w:r>
              <w:rPr>
                <w:b/>
                <w:bCs/>
                <w:color w:val="auto"/>
                <w:u w:val="single"/>
              </w:rPr>
              <w:t>cm/s，或</w:t>
            </w:r>
            <w:r>
              <w:rPr>
                <w:rFonts w:hint="eastAsia"/>
                <w:b/>
                <w:bCs/>
                <w:color w:val="auto"/>
                <w:u w:val="single"/>
              </w:rPr>
              <w:t>0.75mm</w:t>
            </w:r>
            <w:r>
              <w:rPr>
                <w:b/>
                <w:bCs/>
                <w:color w:val="auto"/>
                <w:u w:val="single"/>
              </w:rPr>
              <w:t>等效人工</w:t>
            </w:r>
            <w:r>
              <w:rPr>
                <w:rFonts w:hint="eastAsia"/>
                <w:b/>
                <w:bCs/>
                <w:color w:val="auto"/>
                <w:u w:val="single"/>
              </w:rPr>
              <w:t>防渗</w:t>
            </w:r>
            <w:r>
              <w:rPr>
                <w:b/>
                <w:bCs/>
                <w:color w:val="auto"/>
                <w:u w:val="single"/>
              </w:rPr>
              <w:t>材料，渗透系数≤10</w:t>
            </w:r>
            <w:r>
              <w:rPr>
                <w:b/>
                <w:bCs/>
                <w:color w:val="auto"/>
                <w:u w:val="single"/>
                <w:vertAlign w:val="superscript"/>
              </w:rPr>
              <w:t>-</w:t>
            </w:r>
            <w:r>
              <w:rPr>
                <w:rFonts w:hint="eastAsia"/>
                <w:b/>
                <w:bCs/>
                <w:color w:val="auto"/>
                <w:u w:val="single"/>
                <w:vertAlign w:val="superscript"/>
              </w:rPr>
              <w:t>7</w:t>
            </w:r>
            <w:r>
              <w:rPr>
                <w:b/>
                <w:bCs/>
                <w:color w:val="auto"/>
                <w:u w:val="single"/>
              </w:rPr>
              <w:t>cm/s</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2211" w:type="dxa"/>
            <w:gridSpan w:val="2"/>
            <w:vMerge w:val="continue"/>
            <w:vAlign w:val="center"/>
          </w:tcPr>
          <w:p>
            <w:pPr>
              <w:widowControl w:val="0"/>
              <w:spacing w:line="270" w:lineRule="exact"/>
              <w:jc w:val="center"/>
              <w:rPr>
                <w:b/>
                <w:bCs/>
                <w:color w:val="auto"/>
                <w:u w:val="single"/>
              </w:rPr>
            </w:pPr>
          </w:p>
        </w:tc>
        <w:tc>
          <w:tcPr>
            <w:tcW w:w="5381" w:type="dxa"/>
            <w:gridSpan w:val="2"/>
            <w:vAlign w:val="center"/>
          </w:tcPr>
          <w:p>
            <w:pPr>
              <w:widowControl w:val="0"/>
              <w:spacing w:line="270" w:lineRule="exact"/>
              <w:jc w:val="center"/>
              <w:rPr>
                <w:b/>
                <w:bCs/>
                <w:color w:val="auto"/>
                <w:u w:val="single"/>
              </w:rPr>
            </w:pPr>
            <w:r>
              <w:rPr>
                <w:rFonts w:hint="eastAsia"/>
                <w:b/>
                <w:bCs/>
                <w:color w:val="auto"/>
                <w:u w:val="single"/>
              </w:rPr>
              <w:t>危险废物暂存间</w:t>
            </w:r>
          </w:p>
        </w:tc>
        <w:tc>
          <w:tcPr>
            <w:tcW w:w="5731" w:type="dxa"/>
            <w:vAlign w:val="center"/>
          </w:tcPr>
          <w:p>
            <w:pPr>
              <w:widowControl w:val="0"/>
              <w:spacing w:line="280" w:lineRule="exact"/>
              <w:jc w:val="center"/>
              <w:rPr>
                <w:rFonts w:hint="eastAsia" w:eastAsia="宋体"/>
                <w:b/>
                <w:bCs/>
                <w:color w:val="auto"/>
                <w:u w:val="single"/>
                <w:lang w:eastAsia="zh-CN"/>
              </w:rPr>
            </w:pPr>
            <w:r>
              <w:rPr>
                <w:b/>
                <w:bCs/>
                <w:color w:val="auto"/>
                <w:u w:val="single"/>
              </w:rPr>
              <w:t>等效厚粘防渗层</w:t>
            </w:r>
            <w:r>
              <w:rPr>
                <w:rFonts w:hint="eastAsia"/>
                <w:b/>
                <w:bCs/>
                <w:color w:val="auto"/>
                <w:u w:val="single"/>
              </w:rPr>
              <w:t>Mb≥6.0m，</w:t>
            </w:r>
            <w:r>
              <w:rPr>
                <w:b/>
                <w:bCs/>
                <w:color w:val="auto"/>
                <w:u w:val="single"/>
              </w:rPr>
              <w:t>渗透系数≤10</w:t>
            </w:r>
            <w:r>
              <w:rPr>
                <w:b/>
                <w:bCs/>
                <w:color w:val="auto"/>
                <w:u w:val="single"/>
                <w:vertAlign w:val="superscript"/>
              </w:rPr>
              <w:t>-7</w:t>
            </w:r>
            <w:r>
              <w:rPr>
                <w:b/>
                <w:bCs/>
                <w:color w:val="auto"/>
                <w:u w:val="single"/>
              </w:rPr>
              <w:t>cm/s，或</w:t>
            </w:r>
            <w:r>
              <w:rPr>
                <w:rFonts w:hint="eastAsia"/>
                <w:b/>
                <w:bCs/>
                <w:color w:val="auto"/>
                <w:u w:val="single"/>
              </w:rPr>
              <w:t>2mm</w:t>
            </w:r>
            <w:r>
              <w:rPr>
                <w:b/>
                <w:bCs/>
                <w:color w:val="auto"/>
                <w:u w:val="single"/>
              </w:rPr>
              <w:t>等效人工</w:t>
            </w:r>
            <w:r>
              <w:rPr>
                <w:rFonts w:hint="eastAsia"/>
                <w:b/>
                <w:bCs/>
                <w:color w:val="auto"/>
                <w:u w:val="single"/>
              </w:rPr>
              <w:t>防渗</w:t>
            </w:r>
            <w:r>
              <w:rPr>
                <w:b/>
                <w:bCs/>
                <w:color w:val="auto"/>
                <w:u w:val="single"/>
              </w:rPr>
              <w:t>材料，渗透系数≤10</w:t>
            </w:r>
            <w:r>
              <w:rPr>
                <w:b/>
                <w:bCs/>
                <w:color w:val="auto"/>
                <w:u w:val="single"/>
                <w:vertAlign w:val="superscript"/>
              </w:rPr>
              <w:t>-10</w:t>
            </w:r>
            <w:r>
              <w:rPr>
                <w:b/>
                <w:bCs/>
                <w:color w:val="auto"/>
                <w:u w:val="single"/>
              </w:rPr>
              <w:t>cm/s</w:t>
            </w:r>
            <w:r>
              <w:rPr>
                <w:rFonts w:hint="eastAsia"/>
                <w:b/>
                <w:bCs/>
                <w:color w:val="auto"/>
                <w:u w:val="singl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2211" w:type="dxa"/>
            <w:gridSpan w:val="2"/>
            <w:vMerge w:val="restart"/>
            <w:vAlign w:val="center"/>
          </w:tcPr>
          <w:p>
            <w:pPr>
              <w:widowControl w:val="0"/>
              <w:spacing w:line="270" w:lineRule="exact"/>
              <w:jc w:val="center"/>
              <w:rPr>
                <w:b/>
                <w:bCs/>
                <w:color w:val="auto"/>
                <w:u w:val="single"/>
              </w:rPr>
            </w:pPr>
            <w:r>
              <w:rPr>
                <w:b/>
                <w:bCs/>
                <w:color w:val="auto"/>
                <w:u w:val="single"/>
              </w:rPr>
              <w:t>其他</w:t>
            </w:r>
          </w:p>
        </w:tc>
        <w:tc>
          <w:tcPr>
            <w:tcW w:w="5381" w:type="dxa"/>
            <w:gridSpan w:val="2"/>
            <w:vAlign w:val="center"/>
          </w:tcPr>
          <w:p>
            <w:pPr>
              <w:widowControl w:val="0"/>
              <w:spacing w:line="270" w:lineRule="exact"/>
              <w:jc w:val="center"/>
              <w:rPr>
                <w:b/>
                <w:bCs/>
                <w:color w:val="auto"/>
                <w:u w:val="single"/>
              </w:rPr>
            </w:pPr>
            <w:r>
              <w:rPr>
                <w:b/>
                <w:bCs/>
                <w:color w:val="auto"/>
                <w:kern w:val="21"/>
                <w:u w:val="single"/>
              </w:rPr>
              <w:t>安装电控设备、视频监控设备、污染物在线监控设备</w:t>
            </w:r>
          </w:p>
        </w:tc>
        <w:tc>
          <w:tcPr>
            <w:tcW w:w="5731" w:type="dxa"/>
            <w:vAlign w:val="center"/>
          </w:tcPr>
          <w:p>
            <w:pPr>
              <w:widowControl w:val="0"/>
              <w:spacing w:line="280" w:lineRule="exact"/>
              <w:jc w:val="center"/>
              <w:rPr>
                <w:b/>
                <w:bCs/>
                <w:color w:val="auto"/>
                <w:u w:val="single"/>
              </w:rPr>
            </w:pPr>
            <w:r>
              <w:rPr>
                <w:rFonts w:hint="eastAsia"/>
                <w:b/>
                <w:bCs/>
                <w:color w:val="auto"/>
                <w:u w:val="singl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85" w:type="dxa"/>
            <w:bottom w:w="57" w:type="dxa"/>
            <w:right w:w="85" w:type="dxa"/>
          </w:tblCellMar>
        </w:tblPrEx>
        <w:trPr>
          <w:trHeight w:val="420" w:hRule="atLeast"/>
          <w:jc w:val="center"/>
        </w:trPr>
        <w:tc>
          <w:tcPr>
            <w:tcW w:w="2211" w:type="dxa"/>
            <w:gridSpan w:val="2"/>
            <w:vMerge w:val="continue"/>
            <w:vAlign w:val="center"/>
          </w:tcPr>
          <w:p>
            <w:pPr>
              <w:widowControl w:val="0"/>
              <w:spacing w:line="270" w:lineRule="exact"/>
              <w:jc w:val="center"/>
              <w:rPr>
                <w:b/>
                <w:bCs/>
                <w:color w:val="auto"/>
                <w:u w:val="single"/>
              </w:rPr>
            </w:pPr>
          </w:p>
        </w:tc>
        <w:tc>
          <w:tcPr>
            <w:tcW w:w="5381" w:type="dxa"/>
            <w:gridSpan w:val="2"/>
            <w:vAlign w:val="center"/>
          </w:tcPr>
          <w:p>
            <w:pPr>
              <w:widowControl w:val="0"/>
              <w:spacing w:line="270" w:lineRule="exact"/>
              <w:jc w:val="center"/>
              <w:rPr>
                <w:b/>
                <w:bCs/>
                <w:color w:val="auto"/>
                <w:kern w:val="21"/>
                <w:u w:val="single"/>
              </w:rPr>
            </w:pPr>
            <w:r>
              <w:rPr>
                <w:b/>
                <w:bCs/>
                <w:color w:val="auto"/>
                <w:kern w:val="21"/>
                <w:u w:val="single"/>
              </w:rPr>
              <w:t>在厂区及前李庄村设置两处地下水监测井</w:t>
            </w:r>
          </w:p>
        </w:tc>
        <w:tc>
          <w:tcPr>
            <w:tcW w:w="5731" w:type="dxa"/>
            <w:vAlign w:val="center"/>
          </w:tcPr>
          <w:p>
            <w:pPr>
              <w:widowControl w:val="0"/>
              <w:spacing w:line="280" w:lineRule="exact"/>
              <w:jc w:val="center"/>
              <w:rPr>
                <w:b/>
                <w:bCs/>
                <w:color w:val="auto"/>
                <w:u w:val="single"/>
              </w:rPr>
            </w:pPr>
            <w:r>
              <w:rPr>
                <w:rFonts w:hint="eastAsia"/>
                <w:b/>
                <w:bCs/>
                <w:color w:val="auto"/>
                <w:u w:val="single"/>
              </w:rPr>
              <w:t>/</w:t>
            </w:r>
          </w:p>
        </w:tc>
      </w:tr>
    </w:tbl>
    <w:p>
      <w:pPr>
        <w:pStyle w:val="32"/>
        <w:adjustRightInd w:val="0"/>
        <w:snapToGrid w:val="0"/>
        <w:spacing w:after="0" w:line="360" w:lineRule="auto"/>
        <w:ind w:firstLine="420" w:firstLineChars="200"/>
        <w:rPr>
          <w:color w:val="auto"/>
          <w:kern w:val="21"/>
          <w:lang w:val="en-US"/>
        </w:rPr>
        <w:sectPr>
          <w:pgSz w:w="16840" w:h="11907" w:orient="landscape"/>
          <w:pgMar w:top="1797" w:right="1440" w:bottom="1797" w:left="1440" w:header="1134" w:footer="992" w:gutter="0"/>
          <w:pgNumType w:fmt="numberInDash"/>
          <w:cols w:space="720" w:num="1"/>
          <w:docGrid w:linePitch="312" w:charSpace="0"/>
        </w:sectPr>
      </w:pPr>
    </w:p>
    <w:bookmarkEnd w:id="417"/>
    <w:bookmarkEnd w:id="418"/>
    <w:bookmarkEnd w:id="419"/>
    <w:bookmarkEnd w:id="420"/>
    <w:bookmarkEnd w:id="421"/>
    <w:bookmarkEnd w:id="422"/>
    <w:p>
      <w:pPr>
        <w:adjustRightInd w:val="0"/>
        <w:snapToGrid w:val="0"/>
        <w:spacing w:line="480" w:lineRule="auto"/>
        <w:jc w:val="center"/>
        <w:outlineLvl w:val="0"/>
        <w:rPr>
          <w:rFonts w:eastAsia="黑体"/>
          <w:color w:val="auto"/>
          <w:kern w:val="21"/>
          <w:sz w:val="36"/>
          <w:szCs w:val="36"/>
        </w:rPr>
      </w:pPr>
      <w:bookmarkStart w:id="429" w:name="_Toc112338974"/>
      <w:bookmarkStart w:id="430" w:name="_Toc16763"/>
      <w:bookmarkStart w:id="431" w:name="_Toc22522_WPSOffice_Level1"/>
      <w:bookmarkStart w:id="432" w:name="_Toc15069_WPSOffice_Level1"/>
      <w:bookmarkStart w:id="433" w:name="_Toc16035"/>
      <w:bookmarkStart w:id="434" w:name="_Toc25132"/>
      <w:bookmarkStart w:id="435" w:name="_Toc225498100"/>
      <w:bookmarkStart w:id="436" w:name="_Toc225497888"/>
      <w:bookmarkStart w:id="437" w:name="_Toc225489810"/>
      <w:bookmarkStart w:id="438" w:name="_Toc264113719"/>
      <w:bookmarkStart w:id="439" w:name="_Toc225498039"/>
      <w:bookmarkStart w:id="440" w:name="_Toc225498567"/>
      <w:bookmarkStart w:id="441" w:name="_Toc219026246"/>
      <w:r>
        <w:rPr>
          <w:rFonts w:hint="eastAsia" w:eastAsia="黑体"/>
          <w:color w:val="auto"/>
          <w:kern w:val="21"/>
          <w:sz w:val="36"/>
          <w:szCs w:val="36"/>
        </w:rPr>
        <w:t xml:space="preserve">第八章  </w:t>
      </w:r>
      <w:r>
        <w:rPr>
          <w:rFonts w:eastAsia="黑体"/>
          <w:color w:val="auto"/>
          <w:kern w:val="21"/>
          <w:sz w:val="36"/>
          <w:szCs w:val="36"/>
        </w:rPr>
        <w:t>环境</w:t>
      </w:r>
      <w:r>
        <w:rPr>
          <w:rFonts w:hint="eastAsia" w:eastAsia="黑体"/>
          <w:color w:val="auto"/>
          <w:kern w:val="21"/>
          <w:sz w:val="36"/>
          <w:szCs w:val="36"/>
        </w:rPr>
        <w:t>影响</w:t>
      </w:r>
      <w:r>
        <w:rPr>
          <w:rFonts w:eastAsia="黑体"/>
          <w:color w:val="auto"/>
          <w:kern w:val="21"/>
          <w:sz w:val="36"/>
          <w:szCs w:val="36"/>
        </w:rPr>
        <w:t>经济损益分析</w:t>
      </w:r>
      <w:bookmarkEnd w:id="429"/>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环境经济损益分析是建设项目环境影响评价的一个重要组成部分，它是综合评价判断建设项目的投资经济效益和环保措施是否能够补偿或多大程度上补偿由于项目的建设可能造成的环境影响和损失的重要依据。</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42" w:name="_Toc112338975"/>
      <w:r>
        <w:rPr>
          <w:rFonts w:hint="eastAsia"/>
          <w:bCs w:val="0"/>
          <w:color w:val="auto"/>
          <w:kern w:val="0"/>
          <w:szCs w:val="20"/>
          <w:lang w:val="en-US"/>
        </w:rPr>
        <w:t>8.1社会效益分析</w:t>
      </w:r>
      <w:bookmarkEnd w:id="442"/>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河南中能锂动电源有限公司年产79.2198亿只电池配件项目具有的社会效益：</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1）河南中能锂动电源有限公司拟投资56000万元、在新乡市获嘉县产业集聚区内建设年产79.2198亿只电池配件项目，本项目的建设，不仅可以进一步提高公司的整体技术水平，为企业带来更大的效益，增强其市场竞争能力，同时可以增加当地财政收入，对当地经济发展具有一定的积极作用。</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（2）本项目符合国家的产业政策，选址符合城市规划和土地政策。项目投产后，公司既满足了市场需求，又为当地经济发展</w:t>
      </w:r>
      <w:r>
        <w:rPr>
          <w:rFonts w:hint="eastAsia"/>
          <w:color w:val="auto"/>
          <w:kern w:val="0"/>
          <w:sz w:val="24"/>
          <w:szCs w:val="20"/>
          <w:lang w:eastAsia="zh-CN"/>
        </w:rPr>
        <w:t>做出</w:t>
      </w:r>
      <w:r>
        <w:rPr>
          <w:rFonts w:hint="eastAsia"/>
          <w:color w:val="auto"/>
          <w:kern w:val="0"/>
          <w:sz w:val="24"/>
          <w:szCs w:val="20"/>
        </w:rPr>
        <w:t>了贡献；还能拉动了周边相关产业的发展，对当地的社会经济发展起到积极作用；生产需要各种辅助原料，以及产品的流通，可带动和促进当地相应的工业、交通运输业的发展，更能促进区域经济多方面的交流发展。因此，项目的建设社会效益显著。</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（3）可新增就业，减轻当地的就业压力，同时促进社会的稳定发展，增加当地居民收入，提高居民的整体生活水平，有利于社会的安定，为企业的发展提供良好的群众基础</w:t>
      </w:r>
      <w:r>
        <w:rPr>
          <w:color w:val="auto"/>
          <w:kern w:val="0"/>
          <w:sz w:val="24"/>
          <w:szCs w:val="20"/>
        </w:rPr>
        <w:t>。</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综上所述，项目的建设可有效地促进</w:t>
      </w:r>
      <w:r>
        <w:rPr>
          <w:rFonts w:hint="eastAsia"/>
          <w:color w:val="auto"/>
          <w:kern w:val="0"/>
          <w:sz w:val="24"/>
          <w:szCs w:val="20"/>
        </w:rPr>
        <w:t>当地</w:t>
      </w:r>
      <w:r>
        <w:rPr>
          <w:color w:val="auto"/>
          <w:kern w:val="0"/>
          <w:sz w:val="24"/>
          <w:szCs w:val="20"/>
        </w:rPr>
        <w:t>社会和经济的协调发展，</w:t>
      </w:r>
      <w:r>
        <w:rPr>
          <w:rFonts w:hint="eastAsia"/>
          <w:color w:val="auto"/>
          <w:kern w:val="0"/>
          <w:sz w:val="24"/>
          <w:szCs w:val="20"/>
        </w:rPr>
        <w:t>评价认为，</w:t>
      </w:r>
      <w:r>
        <w:rPr>
          <w:color w:val="auto"/>
          <w:kern w:val="0"/>
          <w:sz w:val="24"/>
          <w:szCs w:val="20"/>
        </w:rPr>
        <w:t>项目的建设</w:t>
      </w:r>
      <w:r>
        <w:rPr>
          <w:rFonts w:hint="eastAsia"/>
          <w:color w:val="auto"/>
          <w:kern w:val="0"/>
          <w:sz w:val="24"/>
          <w:szCs w:val="20"/>
        </w:rPr>
        <w:t>具有良好的</w:t>
      </w:r>
      <w:r>
        <w:rPr>
          <w:color w:val="auto"/>
          <w:kern w:val="0"/>
          <w:sz w:val="24"/>
          <w:szCs w:val="20"/>
        </w:rPr>
        <w:t>社会效益。</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43" w:name="_Toc112338976"/>
      <w:r>
        <w:rPr>
          <w:rFonts w:hint="eastAsia"/>
          <w:bCs w:val="0"/>
          <w:color w:val="auto"/>
          <w:kern w:val="0"/>
          <w:szCs w:val="20"/>
          <w:lang w:val="en-US"/>
        </w:rPr>
        <w:t>8.2</w:t>
      </w:r>
      <w:r>
        <w:rPr>
          <w:bCs w:val="0"/>
          <w:color w:val="auto"/>
          <w:kern w:val="0"/>
          <w:szCs w:val="20"/>
          <w:lang w:val="en-US"/>
        </w:rPr>
        <w:t>经济效益分析</w:t>
      </w:r>
      <w:bookmarkEnd w:id="443"/>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根据建设单位提供的本项目的建议书及其他经济数据，本项目的主要经济指标</w:t>
      </w:r>
      <w:r>
        <w:rPr>
          <w:color w:val="auto"/>
          <w:kern w:val="0"/>
          <w:sz w:val="24"/>
          <w:szCs w:val="20"/>
        </w:rPr>
        <w:t>见下表：</w:t>
      </w: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表8.2</w:t>
      </w:r>
      <w:r>
        <w:rPr>
          <w:rFonts w:ascii="黑体" w:hAnsi="黑体" w:eastAsia="黑体"/>
          <w:color w:val="auto"/>
          <w:sz w:val="24"/>
          <w:szCs w:val="22"/>
        </w:rPr>
        <w:t xml:space="preserve">-1   </w:t>
      </w:r>
      <w:r>
        <w:rPr>
          <w:rFonts w:hint="eastAsia" w:ascii="黑体" w:hAnsi="黑体" w:eastAsia="黑体"/>
          <w:color w:val="auto"/>
          <w:sz w:val="24"/>
          <w:szCs w:val="22"/>
        </w:rPr>
        <w:t xml:space="preserve"> 工程经济效益分析</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959"/>
        <w:gridCol w:w="3301"/>
        <w:gridCol w:w="2131"/>
        <w:gridCol w:w="213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jc w:val="center"/>
              <w:rPr>
                <w:rFonts w:cs="宋体"/>
                <w:b/>
                <w:color w:val="auto"/>
                <w:szCs w:val="20"/>
              </w:rPr>
            </w:pPr>
            <w:r>
              <w:rPr>
                <w:rFonts w:cs="宋体"/>
                <w:b/>
                <w:color w:val="auto"/>
                <w:szCs w:val="20"/>
              </w:rPr>
              <w:t>序号</w:t>
            </w:r>
          </w:p>
        </w:tc>
        <w:tc>
          <w:tcPr>
            <w:tcW w:w="3301" w:type="dxa"/>
            <w:vAlign w:val="center"/>
          </w:tcPr>
          <w:p>
            <w:pPr>
              <w:widowControl w:val="0"/>
              <w:jc w:val="center"/>
              <w:rPr>
                <w:rFonts w:cs="宋体"/>
                <w:b/>
                <w:color w:val="auto"/>
                <w:szCs w:val="20"/>
              </w:rPr>
            </w:pPr>
            <w:r>
              <w:rPr>
                <w:rFonts w:cs="宋体"/>
                <w:b/>
                <w:color w:val="auto"/>
                <w:szCs w:val="20"/>
              </w:rPr>
              <w:t>项目</w:t>
            </w:r>
          </w:p>
        </w:tc>
        <w:tc>
          <w:tcPr>
            <w:tcW w:w="2131" w:type="dxa"/>
            <w:vAlign w:val="center"/>
          </w:tcPr>
          <w:p>
            <w:pPr>
              <w:widowControl w:val="0"/>
              <w:jc w:val="center"/>
              <w:rPr>
                <w:rFonts w:cs="宋体"/>
                <w:b/>
                <w:color w:val="auto"/>
                <w:szCs w:val="20"/>
              </w:rPr>
            </w:pPr>
            <w:r>
              <w:rPr>
                <w:rFonts w:cs="宋体"/>
                <w:b/>
                <w:color w:val="auto"/>
                <w:szCs w:val="20"/>
              </w:rPr>
              <w:t>单位</w:t>
            </w:r>
          </w:p>
        </w:tc>
        <w:tc>
          <w:tcPr>
            <w:tcW w:w="2131" w:type="dxa"/>
            <w:vAlign w:val="center"/>
          </w:tcPr>
          <w:p>
            <w:pPr>
              <w:widowControl w:val="0"/>
              <w:jc w:val="center"/>
              <w:rPr>
                <w:rFonts w:cs="宋体"/>
                <w:b/>
                <w:color w:val="auto"/>
                <w:szCs w:val="20"/>
              </w:rPr>
            </w:pPr>
            <w:r>
              <w:rPr>
                <w:rFonts w:cs="宋体"/>
                <w:b/>
                <w:color w:val="auto"/>
                <w:szCs w:val="20"/>
              </w:rPr>
              <w:t>数量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Merge w:val="restart"/>
            <w:vAlign w:val="center"/>
          </w:tcPr>
          <w:p>
            <w:pPr>
              <w:widowControl w:val="0"/>
              <w:contextualSpacing/>
              <w:jc w:val="center"/>
              <w:textAlignment w:val="baseline"/>
              <w:rPr>
                <w:color w:val="auto"/>
                <w:kern w:val="0"/>
              </w:rPr>
            </w:pPr>
            <w:r>
              <w:rPr>
                <w:color w:val="auto"/>
                <w:kern w:val="0"/>
              </w:rPr>
              <w:t>1</w:t>
            </w:r>
          </w:p>
        </w:tc>
        <w:tc>
          <w:tcPr>
            <w:tcW w:w="3301" w:type="dxa"/>
            <w:vAlign w:val="center"/>
          </w:tcPr>
          <w:p>
            <w:pPr>
              <w:widowControl w:val="0"/>
              <w:contextualSpacing/>
              <w:jc w:val="center"/>
              <w:textAlignment w:val="baseline"/>
              <w:rPr>
                <w:color w:val="auto"/>
                <w:kern w:val="0"/>
              </w:rPr>
            </w:pPr>
            <w:r>
              <w:rPr>
                <w:color w:val="auto"/>
                <w:kern w:val="0"/>
              </w:rPr>
              <w:t>总投资</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56000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Merge w:val="continue"/>
            <w:vAlign w:val="center"/>
          </w:tcPr>
          <w:p>
            <w:pPr>
              <w:widowControl w:val="0"/>
              <w:contextualSpacing/>
              <w:jc w:val="center"/>
              <w:textAlignment w:val="baseline"/>
              <w:rPr>
                <w:color w:val="auto"/>
                <w:kern w:val="0"/>
              </w:rPr>
            </w:pPr>
          </w:p>
        </w:tc>
        <w:tc>
          <w:tcPr>
            <w:tcW w:w="3301" w:type="dxa"/>
            <w:vAlign w:val="center"/>
          </w:tcPr>
          <w:p>
            <w:pPr>
              <w:widowControl w:val="0"/>
              <w:contextualSpacing/>
              <w:jc w:val="center"/>
              <w:textAlignment w:val="baseline"/>
              <w:rPr>
                <w:color w:val="auto"/>
                <w:kern w:val="0"/>
              </w:rPr>
            </w:pPr>
            <w:r>
              <w:rPr>
                <w:color w:val="auto"/>
                <w:kern w:val="0"/>
              </w:rPr>
              <w:t>其中：固定资产投资</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48000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Merge w:val="continue"/>
            <w:vAlign w:val="center"/>
          </w:tcPr>
          <w:p>
            <w:pPr>
              <w:widowControl w:val="0"/>
              <w:contextualSpacing/>
              <w:jc w:val="center"/>
              <w:textAlignment w:val="baseline"/>
              <w:rPr>
                <w:color w:val="auto"/>
                <w:kern w:val="0"/>
              </w:rPr>
            </w:pPr>
          </w:p>
        </w:tc>
        <w:tc>
          <w:tcPr>
            <w:tcW w:w="3301" w:type="dxa"/>
            <w:vAlign w:val="center"/>
          </w:tcPr>
          <w:p>
            <w:pPr>
              <w:widowControl w:val="0"/>
              <w:contextualSpacing/>
              <w:jc w:val="center"/>
              <w:textAlignment w:val="baseline"/>
              <w:rPr>
                <w:color w:val="auto"/>
                <w:kern w:val="0"/>
              </w:rPr>
            </w:pPr>
            <w:r>
              <w:rPr>
                <w:color w:val="auto"/>
                <w:kern w:val="0"/>
              </w:rPr>
              <w:t>流动资金</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8000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color w:val="auto"/>
                <w:kern w:val="0"/>
              </w:rPr>
            </w:pPr>
            <w:r>
              <w:rPr>
                <w:color w:val="auto"/>
                <w:kern w:val="0"/>
              </w:rPr>
              <w:t>2</w:t>
            </w:r>
          </w:p>
        </w:tc>
        <w:tc>
          <w:tcPr>
            <w:tcW w:w="3301" w:type="dxa"/>
            <w:vAlign w:val="center"/>
          </w:tcPr>
          <w:p>
            <w:pPr>
              <w:widowControl w:val="0"/>
              <w:contextualSpacing/>
              <w:jc w:val="center"/>
              <w:textAlignment w:val="baseline"/>
              <w:rPr>
                <w:color w:val="auto"/>
                <w:kern w:val="0"/>
              </w:rPr>
            </w:pPr>
            <w:r>
              <w:rPr>
                <w:color w:val="auto"/>
                <w:kern w:val="0"/>
              </w:rPr>
              <w:t>年销售收入</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9500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color w:val="auto"/>
                <w:kern w:val="0"/>
              </w:rPr>
            </w:pPr>
            <w:r>
              <w:rPr>
                <w:color w:val="auto"/>
                <w:kern w:val="0"/>
              </w:rPr>
              <w:t>3</w:t>
            </w:r>
          </w:p>
        </w:tc>
        <w:tc>
          <w:tcPr>
            <w:tcW w:w="3301" w:type="dxa"/>
            <w:vAlign w:val="center"/>
          </w:tcPr>
          <w:p>
            <w:pPr>
              <w:widowControl w:val="0"/>
              <w:contextualSpacing/>
              <w:jc w:val="center"/>
              <w:textAlignment w:val="baseline"/>
              <w:rPr>
                <w:color w:val="auto"/>
                <w:kern w:val="0"/>
              </w:rPr>
            </w:pPr>
            <w:r>
              <w:rPr>
                <w:color w:val="auto"/>
                <w:kern w:val="0"/>
              </w:rPr>
              <w:t>总成本</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3000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color w:val="auto"/>
                <w:kern w:val="0"/>
              </w:rPr>
            </w:pPr>
            <w:r>
              <w:rPr>
                <w:color w:val="auto"/>
                <w:kern w:val="0"/>
              </w:rPr>
              <w:t>4</w:t>
            </w:r>
          </w:p>
        </w:tc>
        <w:tc>
          <w:tcPr>
            <w:tcW w:w="3301" w:type="dxa"/>
            <w:vAlign w:val="center"/>
          </w:tcPr>
          <w:p>
            <w:pPr>
              <w:widowControl w:val="0"/>
              <w:contextualSpacing/>
              <w:jc w:val="center"/>
              <w:textAlignment w:val="baseline"/>
              <w:rPr>
                <w:color w:val="auto"/>
                <w:kern w:val="0"/>
              </w:rPr>
            </w:pPr>
            <w:r>
              <w:rPr>
                <w:rFonts w:hint="eastAsia"/>
                <w:color w:val="auto"/>
                <w:kern w:val="0"/>
                <w:lang w:eastAsia="zh-CN"/>
              </w:rPr>
              <w:t>上缴税金</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950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color w:val="auto"/>
                <w:kern w:val="0"/>
              </w:rPr>
            </w:pPr>
            <w:r>
              <w:rPr>
                <w:color w:val="auto"/>
                <w:kern w:val="0"/>
              </w:rPr>
              <w:t>5</w:t>
            </w:r>
          </w:p>
        </w:tc>
        <w:tc>
          <w:tcPr>
            <w:tcW w:w="3301" w:type="dxa"/>
            <w:vAlign w:val="center"/>
          </w:tcPr>
          <w:p>
            <w:pPr>
              <w:widowControl w:val="0"/>
              <w:contextualSpacing/>
              <w:jc w:val="center"/>
              <w:textAlignment w:val="baseline"/>
              <w:rPr>
                <w:color w:val="auto"/>
                <w:kern w:val="0"/>
              </w:rPr>
            </w:pPr>
            <w:r>
              <w:rPr>
                <w:color w:val="auto"/>
                <w:kern w:val="0"/>
              </w:rPr>
              <w:t>年销售利润（税前）</w:t>
            </w:r>
          </w:p>
        </w:tc>
        <w:tc>
          <w:tcPr>
            <w:tcW w:w="2131" w:type="dxa"/>
            <w:vAlign w:val="center"/>
          </w:tcPr>
          <w:p>
            <w:pPr>
              <w:widowControl w:val="0"/>
              <w:contextualSpacing/>
              <w:jc w:val="center"/>
              <w:textAlignment w:val="baseline"/>
              <w:rPr>
                <w:color w:val="auto"/>
                <w:kern w:val="0"/>
              </w:rPr>
            </w:pPr>
            <w:r>
              <w:rPr>
                <w:color w:val="auto"/>
                <w:kern w:val="0"/>
              </w:rPr>
              <w:t>万 元</w:t>
            </w:r>
          </w:p>
        </w:tc>
        <w:tc>
          <w:tcPr>
            <w:tcW w:w="2131" w:type="dxa"/>
            <w:vAlign w:val="center"/>
          </w:tcPr>
          <w:p>
            <w:pPr>
              <w:widowControl w:val="0"/>
              <w:contextualSpacing/>
              <w:jc w:val="center"/>
              <w:textAlignment w:val="baseline"/>
              <w:rPr>
                <w:color w:val="auto"/>
                <w:kern w:val="0"/>
              </w:rPr>
            </w:pPr>
            <w:r>
              <w:rPr>
                <w:rFonts w:hint="eastAsia"/>
                <w:color w:val="auto"/>
                <w:kern w:val="0"/>
              </w:rPr>
              <w:t>6500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rFonts w:hint="eastAsia" w:eastAsia="宋体"/>
                <w:b/>
                <w:bCs/>
                <w:color w:val="auto"/>
                <w:kern w:val="0"/>
                <w:u w:val="single"/>
                <w:lang w:val="en-US" w:eastAsia="zh-CN"/>
              </w:rPr>
            </w:pPr>
            <w:r>
              <w:rPr>
                <w:rFonts w:hint="eastAsia"/>
                <w:b/>
                <w:bCs/>
                <w:color w:val="auto"/>
                <w:kern w:val="0"/>
                <w:u w:val="single"/>
                <w:lang w:val="en-US" w:eastAsia="zh-CN"/>
              </w:rPr>
              <w:t>6</w:t>
            </w:r>
          </w:p>
        </w:tc>
        <w:tc>
          <w:tcPr>
            <w:tcW w:w="3301" w:type="dxa"/>
            <w:vAlign w:val="center"/>
          </w:tcPr>
          <w:p>
            <w:pPr>
              <w:widowControl w:val="0"/>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年利润（税后）</w:t>
            </w:r>
          </w:p>
        </w:tc>
        <w:tc>
          <w:tcPr>
            <w:tcW w:w="2131" w:type="dxa"/>
            <w:vAlign w:val="center"/>
          </w:tcPr>
          <w:p>
            <w:pPr>
              <w:widowControl w:val="0"/>
              <w:contextualSpacing/>
              <w:jc w:val="center"/>
              <w:textAlignment w:val="baseline"/>
              <w:rPr>
                <w:b/>
                <w:bCs/>
                <w:color w:val="auto"/>
                <w:kern w:val="0"/>
                <w:u w:val="single"/>
              </w:rPr>
            </w:pPr>
            <w:r>
              <w:rPr>
                <w:b/>
                <w:bCs/>
                <w:color w:val="auto"/>
                <w:kern w:val="0"/>
                <w:u w:val="single"/>
              </w:rPr>
              <w:t>万 元</w:t>
            </w:r>
          </w:p>
        </w:tc>
        <w:tc>
          <w:tcPr>
            <w:tcW w:w="2131" w:type="dxa"/>
            <w:vAlign w:val="center"/>
          </w:tcPr>
          <w:p>
            <w:pPr>
              <w:widowControl w:val="0"/>
              <w:contextualSpacing/>
              <w:jc w:val="center"/>
              <w:textAlignment w:val="baseline"/>
              <w:rPr>
                <w:rFonts w:hint="default" w:eastAsia="宋体"/>
                <w:b/>
                <w:bCs/>
                <w:color w:val="auto"/>
                <w:kern w:val="0"/>
                <w:u w:val="single"/>
                <w:lang w:val="en-US" w:eastAsia="zh-CN"/>
              </w:rPr>
            </w:pPr>
            <w:r>
              <w:rPr>
                <w:rFonts w:hint="eastAsia"/>
                <w:b/>
                <w:bCs/>
                <w:color w:val="auto"/>
                <w:kern w:val="0"/>
                <w:u w:val="single"/>
                <w:lang w:val="en-US" w:eastAsia="zh-CN"/>
              </w:rPr>
              <w:t>5550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rFonts w:hint="eastAsia" w:eastAsia="宋体"/>
                <w:color w:val="auto"/>
                <w:kern w:val="0"/>
                <w:lang w:val="en-US" w:eastAsia="zh-CN"/>
              </w:rPr>
            </w:pPr>
            <w:r>
              <w:rPr>
                <w:rFonts w:hint="eastAsia"/>
                <w:color w:val="auto"/>
                <w:kern w:val="0"/>
                <w:lang w:val="en-US" w:eastAsia="zh-CN"/>
              </w:rPr>
              <w:t>7</w:t>
            </w:r>
          </w:p>
        </w:tc>
        <w:tc>
          <w:tcPr>
            <w:tcW w:w="3301" w:type="dxa"/>
            <w:vAlign w:val="center"/>
          </w:tcPr>
          <w:p>
            <w:pPr>
              <w:widowControl w:val="0"/>
              <w:contextualSpacing/>
              <w:jc w:val="center"/>
              <w:textAlignment w:val="baseline"/>
              <w:rPr>
                <w:color w:val="auto"/>
                <w:kern w:val="0"/>
              </w:rPr>
            </w:pPr>
            <w:r>
              <w:rPr>
                <w:color w:val="auto"/>
                <w:kern w:val="0"/>
              </w:rPr>
              <w:t>投资利润率</w:t>
            </w:r>
          </w:p>
        </w:tc>
        <w:tc>
          <w:tcPr>
            <w:tcW w:w="2131" w:type="dxa"/>
            <w:vAlign w:val="center"/>
          </w:tcPr>
          <w:p>
            <w:pPr>
              <w:widowControl w:val="0"/>
              <w:contextualSpacing/>
              <w:jc w:val="center"/>
              <w:textAlignment w:val="baseline"/>
              <w:rPr>
                <w:color w:val="auto"/>
                <w:kern w:val="0"/>
              </w:rPr>
            </w:pPr>
            <w:r>
              <w:rPr>
                <w:rFonts w:hint="eastAsia"/>
                <w:color w:val="auto"/>
                <w:kern w:val="0"/>
              </w:rPr>
              <w:t>%</w:t>
            </w:r>
          </w:p>
        </w:tc>
        <w:tc>
          <w:tcPr>
            <w:tcW w:w="2131" w:type="dxa"/>
            <w:vAlign w:val="center"/>
          </w:tcPr>
          <w:p>
            <w:pPr>
              <w:widowControl w:val="0"/>
              <w:contextualSpacing/>
              <w:jc w:val="center"/>
              <w:textAlignment w:val="baseline"/>
              <w:rPr>
                <w:color w:val="auto"/>
                <w:kern w:val="0"/>
              </w:rPr>
            </w:pPr>
            <w:r>
              <w:rPr>
                <w:rFonts w:hint="eastAsia"/>
                <w:b/>
                <w:bCs/>
                <w:color w:val="auto"/>
                <w:kern w:val="0"/>
                <w:u w:val="single"/>
              </w:rPr>
              <w:t>11.61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959" w:type="dxa"/>
            <w:vAlign w:val="center"/>
          </w:tcPr>
          <w:p>
            <w:pPr>
              <w:widowControl w:val="0"/>
              <w:contextualSpacing/>
              <w:jc w:val="center"/>
              <w:textAlignment w:val="baseline"/>
              <w:rPr>
                <w:rFonts w:hint="eastAsia" w:eastAsia="宋体"/>
                <w:color w:val="auto"/>
                <w:kern w:val="0"/>
                <w:lang w:val="en-US" w:eastAsia="zh-CN"/>
              </w:rPr>
            </w:pPr>
            <w:r>
              <w:rPr>
                <w:rFonts w:hint="eastAsia"/>
                <w:color w:val="auto"/>
                <w:kern w:val="0"/>
                <w:lang w:val="en-US" w:eastAsia="zh-CN"/>
              </w:rPr>
              <w:t>8</w:t>
            </w:r>
          </w:p>
        </w:tc>
        <w:tc>
          <w:tcPr>
            <w:tcW w:w="3301" w:type="dxa"/>
            <w:vAlign w:val="center"/>
          </w:tcPr>
          <w:p>
            <w:pPr>
              <w:widowControl w:val="0"/>
              <w:contextualSpacing/>
              <w:jc w:val="center"/>
              <w:textAlignment w:val="baseline"/>
              <w:rPr>
                <w:color w:val="auto"/>
                <w:kern w:val="0"/>
              </w:rPr>
            </w:pPr>
            <w:r>
              <w:rPr>
                <w:color w:val="auto"/>
                <w:kern w:val="0"/>
              </w:rPr>
              <w:t>投资回收期（</w:t>
            </w:r>
            <w:r>
              <w:rPr>
                <w:rFonts w:hint="eastAsia"/>
                <w:color w:val="auto"/>
                <w:kern w:val="0"/>
                <w:lang w:eastAsia="zh-CN"/>
              </w:rPr>
              <w:t>不含</w:t>
            </w:r>
            <w:r>
              <w:rPr>
                <w:color w:val="auto"/>
                <w:kern w:val="0"/>
              </w:rPr>
              <w:t>建设期）</w:t>
            </w:r>
          </w:p>
        </w:tc>
        <w:tc>
          <w:tcPr>
            <w:tcW w:w="2131" w:type="dxa"/>
            <w:vAlign w:val="center"/>
          </w:tcPr>
          <w:p>
            <w:pPr>
              <w:widowControl w:val="0"/>
              <w:contextualSpacing/>
              <w:jc w:val="center"/>
              <w:textAlignment w:val="baseline"/>
              <w:rPr>
                <w:color w:val="auto"/>
                <w:kern w:val="0"/>
              </w:rPr>
            </w:pPr>
            <w:r>
              <w:rPr>
                <w:color w:val="auto"/>
                <w:kern w:val="0"/>
              </w:rPr>
              <w:t>年</w:t>
            </w:r>
          </w:p>
        </w:tc>
        <w:tc>
          <w:tcPr>
            <w:tcW w:w="2131" w:type="dxa"/>
            <w:vAlign w:val="center"/>
          </w:tcPr>
          <w:p>
            <w:pPr>
              <w:widowControl w:val="0"/>
              <w:contextualSpacing/>
              <w:jc w:val="center"/>
              <w:textAlignment w:val="baseline"/>
              <w:rPr>
                <w:color w:val="auto"/>
                <w:kern w:val="0"/>
              </w:rPr>
            </w:pPr>
            <w:r>
              <w:rPr>
                <w:rFonts w:hint="eastAsia"/>
                <w:b/>
                <w:bCs/>
                <w:color w:val="auto"/>
                <w:kern w:val="0"/>
                <w:u w:val="single"/>
              </w:rPr>
              <w:t>10.1</w:t>
            </w:r>
          </w:p>
        </w:tc>
      </w:tr>
    </w:tbl>
    <w:p>
      <w:pPr>
        <w:widowControl w:val="0"/>
        <w:adjustRightInd w:val="0"/>
        <w:snapToGrid w:val="0"/>
        <w:spacing w:before="120" w:line="360" w:lineRule="auto"/>
        <w:ind w:firstLine="482" w:firstLineChars="200"/>
        <w:jc w:val="both"/>
        <w:textAlignment w:val="baseline"/>
        <w:rPr>
          <w:b w:val="0"/>
          <w:bCs/>
          <w:color w:val="auto"/>
          <w:kern w:val="0"/>
          <w:sz w:val="24"/>
          <w:szCs w:val="20"/>
          <w:u w:val="none"/>
        </w:rPr>
      </w:pPr>
      <w:r>
        <w:rPr>
          <w:b/>
          <w:color w:val="auto"/>
          <w:kern w:val="0"/>
          <w:sz w:val="24"/>
          <w:szCs w:val="20"/>
          <w:u w:val="single"/>
        </w:rPr>
        <w:t>本项目完成后正常年销售收入</w:t>
      </w:r>
      <w:r>
        <w:rPr>
          <w:rFonts w:hint="eastAsia"/>
          <w:b/>
          <w:color w:val="auto"/>
          <w:kern w:val="0"/>
          <w:sz w:val="24"/>
          <w:szCs w:val="20"/>
          <w:u w:val="single"/>
        </w:rPr>
        <w:t>9500</w:t>
      </w:r>
      <w:r>
        <w:rPr>
          <w:b/>
          <w:color w:val="auto"/>
          <w:kern w:val="0"/>
          <w:sz w:val="24"/>
          <w:szCs w:val="20"/>
          <w:u w:val="single"/>
        </w:rPr>
        <w:t>万元，年税</w:t>
      </w:r>
      <w:r>
        <w:rPr>
          <w:rFonts w:hint="eastAsia"/>
          <w:b/>
          <w:color w:val="auto"/>
          <w:kern w:val="0"/>
          <w:sz w:val="24"/>
          <w:szCs w:val="20"/>
          <w:u w:val="single"/>
        </w:rPr>
        <w:t>前</w:t>
      </w:r>
      <w:r>
        <w:rPr>
          <w:b/>
          <w:color w:val="auto"/>
          <w:kern w:val="0"/>
          <w:sz w:val="24"/>
          <w:szCs w:val="20"/>
          <w:u w:val="single"/>
        </w:rPr>
        <w:t>利润总额</w:t>
      </w:r>
      <w:r>
        <w:rPr>
          <w:rFonts w:hint="eastAsia"/>
          <w:b/>
          <w:color w:val="auto"/>
          <w:kern w:val="0"/>
          <w:sz w:val="24"/>
          <w:szCs w:val="20"/>
          <w:u w:val="single"/>
        </w:rPr>
        <w:t>6500</w:t>
      </w:r>
      <w:r>
        <w:rPr>
          <w:b/>
          <w:color w:val="auto"/>
          <w:kern w:val="0"/>
          <w:sz w:val="24"/>
          <w:szCs w:val="20"/>
          <w:u w:val="single"/>
        </w:rPr>
        <w:t>万元，投资利润率为</w:t>
      </w:r>
      <w:r>
        <w:rPr>
          <w:rFonts w:hint="eastAsia"/>
          <w:b/>
          <w:color w:val="auto"/>
          <w:kern w:val="0"/>
          <w:sz w:val="24"/>
          <w:szCs w:val="20"/>
          <w:u w:val="single"/>
        </w:rPr>
        <w:t>11.61</w:t>
      </w:r>
      <w:r>
        <w:rPr>
          <w:b/>
          <w:color w:val="auto"/>
          <w:kern w:val="0"/>
          <w:sz w:val="24"/>
          <w:szCs w:val="20"/>
          <w:u w:val="single"/>
        </w:rPr>
        <w:t>%。</w:t>
      </w:r>
      <w:r>
        <w:rPr>
          <w:b w:val="0"/>
          <w:bCs/>
          <w:color w:val="auto"/>
          <w:kern w:val="0"/>
          <w:sz w:val="24"/>
          <w:szCs w:val="20"/>
          <w:u w:val="none"/>
        </w:rPr>
        <w:t>从上述各项经济指标可以看出，工程投资产生的经济效益显著，企业具有较强的抗风险能力，项目建设投产后可获得较稳定的经济效益</w:t>
      </w:r>
      <w:r>
        <w:rPr>
          <w:b/>
          <w:color w:val="auto"/>
          <w:kern w:val="0"/>
          <w:sz w:val="24"/>
          <w:szCs w:val="20"/>
          <w:u w:val="single"/>
        </w:rPr>
        <w:t>。工程投资回收期</w:t>
      </w:r>
      <w:r>
        <w:rPr>
          <w:rFonts w:hint="eastAsia"/>
          <w:b/>
          <w:color w:val="auto"/>
          <w:kern w:val="0"/>
          <w:sz w:val="24"/>
          <w:szCs w:val="20"/>
          <w:u w:val="single"/>
        </w:rPr>
        <w:t>10.1</w:t>
      </w:r>
      <w:r>
        <w:rPr>
          <w:b/>
          <w:color w:val="auto"/>
          <w:kern w:val="0"/>
          <w:sz w:val="24"/>
          <w:szCs w:val="20"/>
          <w:u w:val="single"/>
        </w:rPr>
        <w:t>年，</w:t>
      </w:r>
      <w:r>
        <w:rPr>
          <w:b w:val="0"/>
          <w:bCs/>
          <w:color w:val="auto"/>
          <w:kern w:val="0"/>
          <w:sz w:val="24"/>
          <w:szCs w:val="20"/>
          <w:u w:val="none"/>
        </w:rPr>
        <w:t>具有良好的发展潜力。因此，从经济角度考虑本项目的建设是可行的。</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44" w:name="_Toc112338977"/>
      <w:r>
        <w:rPr>
          <w:rFonts w:hint="eastAsia"/>
          <w:bCs w:val="0"/>
          <w:color w:val="auto"/>
          <w:kern w:val="0"/>
          <w:szCs w:val="20"/>
          <w:lang w:val="en-US"/>
        </w:rPr>
        <w:t>8.3环境损益分析</w:t>
      </w:r>
      <w:bookmarkEnd w:id="444"/>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8.3.1</w:t>
      </w:r>
      <w:r>
        <w:rPr>
          <w:rFonts w:eastAsia="黑体"/>
          <w:color w:val="auto"/>
          <w:kern w:val="21"/>
          <w:sz w:val="28"/>
          <w:szCs w:val="28"/>
        </w:rPr>
        <w:t>环保投资估算</w:t>
      </w:r>
    </w:p>
    <w:p>
      <w:pPr>
        <w:adjustRightInd w:val="0"/>
        <w:snapToGrid w:val="0"/>
        <w:spacing w:line="360" w:lineRule="auto"/>
        <w:ind w:firstLine="480" w:firstLineChars="200"/>
        <w:textAlignment w:val="baseline"/>
        <w:rPr>
          <w:color w:val="auto"/>
          <w:kern w:val="0"/>
          <w:sz w:val="24"/>
          <w:szCs w:val="20"/>
        </w:rPr>
      </w:pPr>
      <w:r>
        <w:rPr>
          <w:color w:val="auto"/>
          <w:kern w:val="21"/>
          <w:sz w:val="24"/>
        </w:rPr>
        <w:t>本项目总投资</w:t>
      </w:r>
      <w:r>
        <w:rPr>
          <w:rFonts w:hint="eastAsia"/>
          <w:color w:val="auto"/>
          <w:kern w:val="21"/>
          <w:sz w:val="24"/>
        </w:rPr>
        <w:t>56000万元</w:t>
      </w:r>
      <w:r>
        <w:rPr>
          <w:color w:val="auto"/>
          <w:kern w:val="21"/>
          <w:sz w:val="24"/>
        </w:rPr>
        <w:t>，环保投资</w:t>
      </w:r>
      <w:r>
        <w:rPr>
          <w:rFonts w:hint="eastAsia"/>
          <w:color w:val="auto"/>
          <w:kern w:val="21"/>
          <w:sz w:val="24"/>
        </w:rPr>
        <w:t>1942万，</w:t>
      </w:r>
      <w:r>
        <w:rPr>
          <w:color w:val="auto"/>
          <w:kern w:val="21"/>
          <w:sz w:val="24"/>
        </w:rPr>
        <w:t>占项目总投资的</w:t>
      </w:r>
      <w:r>
        <w:rPr>
          <w:rFonts w:hint="eastAsia"/>
          <w:color w:val="auto"/>
          <w:kern w:val="21"/>
          <w:sz w:val="24"/>
        </w:rPr>
        <w:t>3.5</w:t>
      </w:r>
      <w:r>
        <w:rPr>
          <w:color w:val="auto"/>
          <w:kern w:val="21"/>
          <w:sz w:val="24"/>
        </w:rPr>
        <w:t>%</w:t>
      </w:r>
      <w:r>
        <w:rPr>
          <w:color w:val="auto"/>
          <w:kern w:val="0"/>
          <w:sz w:val="24"/>
          <w:szCs w:val="20"/>
        </w:rPr>
        <w:t>其中环保投资主要投资内容及投资估算详见表</w:t>
      </w:r>
      <w:r>
        <w:rPr>
          <w:rFonts w:hint="eastAsia"/>
          <w:color w:val="auto"/>
          <w:kern w:val="0"/>
          <w:sz w:val="24"/>
          <w:szCs w:val="20"/>
        </w:rPr>
        <w:t>8.3-1</w:t>
      </w:r>
      <w:r>
        <w:rPr>
          <w:color w:val="auto"/>
          <w:kern w:val="0"/>
          <w:sz w:val="24"/>
          <w:szCs w:val="20"/>
        </w:rPr>
        <w:t>。</w:t>
      </w:r>
    </w:p>
    <w:p>
      <w:pPr>
        <w:widowControl w:val="0"/>
        <w:tabs>
          <w:tab w:val="center" w:pos="4575"/>
          <w:tab w:val="left" w:pos="7365"/>
        </w:tabs>
        <w:jc w:val="center"/>
        <w:rPr>
          <w:rFonts w:hint="default" w:ascii="黑体" w:hAnsi="黑体" w:eastAsia="黑体"/>
          <w:color w:val="auto"/>
          <w:sz w:val="24"/>
          <w:szCs w:val="22"/>
          <w:lang w:val="en-US" w:eastAsia="zh-CN"/>
        </w:rPr>
      </w:pPr>
      <w:r>
        <w:rPr>
          <w:rFonts w:hint="eastAsia" w:ascii="黑体" w:hAnsi="黑体" w:eastAsia="黑体"/>
          <w:color w:val="auto"/>
          <w:sz w:val="24"/>
          <w:szCs w:val="22"/>
        </w:rPr>
        <w:t>表8.3-1</w:t>
      </w:r>
      <w:r>
        <w:rPr>
          <w:rFonts w:ascii="黑体" w:hAnsi="黑体" w:eastAsia="黑体"/>
          <w:color w:val="auto"/>
          <w:sz w:val="24"/>
          <w:szCs w:val="22"/>
        </w:rPr>
        <w:t xml:space="preserve">  </w:t>
      </w:r>
      <w:r>
        <w:rPr>
          <w:rFonts w:hint="eastAsia" w:ascii="黑体" w:hAnsi="黑体" w:eastAsia="黑体"/>
          <w:color w:val="auto"/>
          <w:sz w:val="24"/>
          <w:szCs w:val="22"/>
        </w:rPr>
        <w:t xml:space="preserve">  工程完成后环保投资一览表</w:t>
      </w:r>
      <w:r>
        <w:rPr>
          <w:rFonts w:hint="eastAsia" w:ascii="黑体" w:hAnsi="黑体" w:eastAsia="黑体"/>
          <w:color w:val="auto"/>
          <w:sz w:val="24"/>
          <w:szCs w:val="22"/>
          <w:lang w:val="en-US" w:eastAsia="zh-CN"/>
        </w:rPr>
        <w:t xml:space="preserve">   单位：万元</w:t>
      </w:r>
    </w:p>
    <w:tbl>
      <w:tblPr>
        <w:tblStyle w:val="83"/>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673"/>
        <w:gridCol w:w="2835"/>
        <w:gridCol w:w="1618"/>
        <w:gridCol w:w="1100"/>
        <w:gridCol w:w="11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235" w:type="dxa"/>
            <w:gridSpan w:val="2"/>
            <w:vAlign w:val="center"/>
          </w:tcPr>
          <w:p>
            <w:pPr>
              <w:widowControl w:val="0"/>
              <w:spacing w:line="240" w:lineRule="exact"/>
              <w:jc w:val="center"/>
              <w:rPr>
                <w:b/>
                <w:bCs/>
                <w:color w:val="auto"/>
              </w:rPr>
            </w:pPr>
            <w:r>
              <w:rPr>
                <w:b/>
                <w:bCs/>
                <w:color w:val="auto"/>
              </w:rPr>
              <w:t>污染源</w:t>
            </w:r>
          </w:p>
        </w:tc>
        <w:tc>
          <w:tcPr>
            <w:tcW w:w="4453" w:type="dxa"/>
            <w:gridSpan w:val="2"/>
            <w:vAlign w:val="center"/>
          </w:tcPr>
          <w:p>
            <w:pPr>
              <w:widowControl w:val="0"/>
              <w:spacing w:line="240" w:lineRule="exact"/>
              <w:jc w:val="center"/>
              <w:rPr>
                <w:b/>
                <w:bCs/>
                <w:color w:val="auto"/>
              </w:rPr>
            </w:pPr>
            <w:r>
              <w:rPr>
                <w:b/>
                <w:bCs/>
                <w:color w:val="auto"/>
              </w:rPr>
              <w:t>设施名称</w:t>
            </w:r>
          </w:p>
        </w:tc>
        <w:tc>
          <w:tcPr>
            <w:tcW w:w="1100" w:type="dxa"/>
            <w:vAlign w:val="center"/>
          </w:tcPr>
          <w:p>
            <w:pPr>
              <w:widowControl w:val="0"/>
              <w:spacing w:line="240" w:lineRule="exact"/>
              <w:jc w:val="center"/>
              <w:rPr>
                <w:b/>
                <w:bCs/>
                <w:color w:val="auto"/>
              </w:rPr>
            </w:pPr>
            <w:r>
              <w:rPr>
                <w:b/>
                <w:bCs/>
                <w:color w:val="auto"/>
              </w:rPr>
              <w:t>数量</w:t>
            </w:r>
          </w:p>
        </w:tc>
        <w:tc>
          <w:tcPr>
            <w:tcW w:w="1158" w:type="dxa"/>
            <w:vAlign w:val="center"/>
          </w:tcPr>
          <w:p>
            <w:pPr>
              <w:widowControl w:val="0"/>
              <w:spacing w:line="240" w:lineRule="exact"/>
              <w:jc w:val="center"/>
              <w:rPr>
                <w:b/>
                <w:bCs/>
                <w:color w:val="auto"/>
              </w:rPr>
            </w:pPr>
            <w:r>
              <w:rPr>
                <w:b/>
                <w:bCs/>
                <w:color w:val="auto"/>
              </w:rPr>
              <w:t>投资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restart"/>
            <w:vAlign w:val="center"/>
          </w:tcPr>
          <w:p>
            <w:pPr>
              <w:widowControl w:val="0"/>
              <w:spacing w:line="240" w:lineRule="exact"/>
              <w:jc w:val="center"/>
              <w:rPr>
                <w:color w:val="auto"/>
              </w:rPr>
            </w:pPr>
            <w:r>
              <w:rPr>
                <w:color w:val="auto"/>
              </w:rPr>
              <w:t>废气</w:t>
            </w:r>
          </w:p>
        </w:tc>
        <w:tc>
          <w:tcPr>
            <w:tcW w:w="1673" w:type="dxa"/>
            <w:vAlign w:val="center"/>
          </w:tcPr>
          <w:p>
            <w:pPr>
              <w:widowControl w:val="0"/>
              <w:spacing w:line="240" w:lineRule="exact"/>
              <w:jc w:val="center"/>
              <w:rPr>
                <w:color w:val="auto"/>
              </w:rPr>
            </w:pPr>
            <w:r>
              <w:rPr>
                <w:color w:val="auto"/>
              </w:rPr>
              <w:t>焊接烟尘</w:t>
            </w:r>
          </w:p>
        </w:tc>
        <w:tc>
          <w:tcPr>
            <w:tcW w:w="4453" w:type="dxa"/>
            <w:gridSpan w:val="2"/>
            <w:vAlign w:val="center"/>
          </w:tcPr>
          <w:p>
            <w:pPr>
              <w:widowControl w:val="0"/>
              <w:spacing w:line="240" w:lineRule="exact"/>
              <w:ind w:firstLine="402"/>
              <w:jc w:val="center"/>
              <w:rPr>
                <w:rFonts w:hint="eastAsia" w:eastAsia="宋体"/>
                <w:color w:val="auto"/>
                <w:lang w:eastAsia="zh-CN"/>
              </w:rPr>
            </w:pPr>
            <w:r>
              <w:rPr>
                <w:rFonts w:hint="eastAsia"/>
                <w:color w:val="auto"/>
              </w:rPr>
              <w:t>集气罩+1套袋式除尘器+</w:t>
            </w:r>
            <w:r>
              <w:rPr>
                <w:rFonts w:hint="eastAsia"/>
                <w:color w:val="auto"/>
                <w:lang w:eastAsia="zh-CN"/>
              </w:rPr>
              <w:t>15m高排气筒</w:t>
            </w:r>
          </w:p>
        </w:tc>
        <w:tc>
          <w:tcPr>
            <w:tcW w:w="1100" w:type="dxa"/>
            <w:vAlign w:val="center"/>
          </w:tcPr>
          <w:p>
            <w:pPr>
              <w:widowControl w:val="0"/>
              <w:spacing w:line="240" w:lineRule="exact"/>
              <w:jc w:val="center"/>
              <w:rPr>
                <w:color w:val="auto"/>
              </w:rPr>
            </w:pPr>
            <w:r>
              <w:rPr>
                <w:rFonts w:hint="eastAsia"/>
                <w:color w:val="auto"/>
              </w:rPr>
              <w:t>1</w:t>
            </w:r>
          </w:p>
        </w:tc>
        <w:tc>
          <w:tcPr>
            <w:tcW w:w="1158" w:type="dxa"/>
            <w:vAlign w:val="center"/>
          </w:tcPr>
          <w:p>
            <w:pPr>
              <w:widowControl w:val="0"/>
              <w:spacing w:line="240" w:lineRule="exact"/>
              <w:ind w:firstLine="402"/>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trPr>
        <w:tc>
          <w:tcPr>
            <w:tcW w:w="562" w:type="dxa"/>
            <w:vMerge w:val="continue"/>
            <w:vAlign w:val="center"/>
          </w:tcPr>
          <w:p>
            <w:pPr>
              <w:widowControl w:val="0"/>
              <w:spacing w:line="240" w:lineRule="exact"/>
              <w:jc w:val="center"/>
              <w:rPr>
                <w:color w:val="auto"/>
              </w:rPr>
            </w:pPr>
          </w:p>
        </w:tc>
        <w:tc>
          <w:tcPr>
            <w:tcW w:w="1673" w:type="dxa"/>
            <w:vAlign w:val="center"/>
          </w:tcPr>
          <w:p>
            <w:pPr>
              <w:widowControl w:val="0"/>
              <w:spacing w:line="240" w:lineRule="exact"/>
              <w:jc w:val="center"/>
              <w:rPr>
                <w:color w:val="auto"/>
              </w:rPr>
            </w:pPr>
            <w:r>
              <w:rPr>
                <w:color w:val="auto"/>
              </w:rPr>
              <w:t>污水站恶臭</w:t>
            </w:r>
          </w:p>
        </w:tc>
        <w:tc>
          <w:tcPr>
            <w:tcW w:w="4453" w:type="dxa"/>
            <w:gridSpan w:val="2"/>
            <w:vAlign w:val="center"/>
          </w:tcPr>
          <w:p>
            <w:pPr>
              <w:widowControl w:val="0"/>
              <w:spacing w:line="240" w:lineRule="exact"/>
              <w:ind w:firstLine="402"/>
              <w:jc w:val="center"/>
              <w:rPr>
                <w:rFonts w:hint="eastAsia" w:eastAsia="宋体"/>
                <w:color w:val="auto"/>
                <w:lang w:eastAsia="zh-CN"/>
              </w:rPr>
            </w:pPr>
            <w:r>
              <w:rPr>
                <w:color w:val="auto"/>
              </w:rPr>
              <w:t>加盖封闭</w:t>
            </w:r>
            <w:r>
              <w:rPr>
                <w:rFonts w:hint="eastAsia"/>
                <w:color w:val="auto"/>
              </w:rPr>
              <w:t>+1套生物除臭+</w:t>
            </w:r>
            <w:r>
              <w:rPr>
                <w:rFonts w:hint="eastAsia"/>
                <w:color w:val="auto"/>
                <w:lang w:eastAsia="zh-CN"/>
              </w:rPr>
              <w:t>15m高排气筒</w:t>
            </w:r>
          </w:p>
        </w:tc>
        <w:tc>
          <w:tcPr>
            <w:tcW w:w="1100" w:type="dxa"/>
            <w:vAlign w:val="center"/>
          </w:tcPr>
          <w:p>
            <w:pPr>
              <w:widowControl w:val="0"/>
              <w:spacing w:line="240" w:lineRule="exact"/>
              <w:jc w:val="center"/>
              <w:rPr>
                <w:color w:val="auto"/>
              </w:rPr>
            </w:pPr>
            <w:r>
              <w:rPr>
                <w:rFonts w:hint="eastAsia"/>
                <w:color w:val="auto"/>
              </w:rPr>
              <w:t>1</w:t>
            </w:r>
          </w:p>
        </w:tc>
        <w:tc>
          <w:tcPr>
            <w:tcW w:w="1158" w:type="dxa"/>
            <w:vAlign w:val="center"/>
          </w:tcPr>
          <w:p>
            <w:pPr>
              <w:widowControl w:val="0"/>
              <w:spacing w:line="240" w:lineRule="exact"/>
              <w:ind w:firstLine="402"/>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Align w:val="center"/>
          </w:tcPr>
          <w:p>
            <w:pPr>
              <w:widowControl w:val="0"/>
              <w:spacing w:line="240" w:lineRule="exact"/>
              <w:jc w:val="center"/>
              <w:rPr>
                <w:color w:val="auto"/>
              </w:rPr>
            </w:pPr>
            <w:r>
              <w:rPr>
                <w:color w:val="auto"/>
              </w:rPr>
              <w:t>酸雾</w:t>
            </w:r>
          </w:p>
        </w:tc>
        <w:tc>
          <w:tcPr>
            <w:tcW w:w="4453" w:type="dxa"/>
            <w:gridSpan w:val="2"/>
            <w:vAlign w:val="center"/>
          </w:tcPr>
          <w:p>
            <w:pPr>
              <w:widowControl w:val="0"/>
              <w:spacing w:line="240" w:lineRule="exact"/>
              <w:jc w:val="center"/>
              <w:rPr>
                <w:rFonts w:hint="eastAsia" w:eastAsia="宋体"/>
                <w:color w:val="auto"/>
                <w:lang w:eastAsia="zh-CN"/>
              </w:rPr>
            </w:pPr>
            <w:r>
              <w:rPr>
                <w:rFonts w:hint="eastAsia"/>
                <w:color w:val="auto"/>
              </w:rPr>
              <w:t>1套盐酸储罐集气罩+</w:t>
            </w:r>
            <w:r>
              <w:rPr>
                <w:color w:val="auto"/>
              </w:rPr>
              <w:t>密闭生产线</w:t>
            </w:r>
            <w:r>
              <w:rPr>
                <w:rFonts w:hint="eastAsia"/>
                <w:color w:val="auto"/>
              </w:rPr>
              <w:t>+8套顶吸罩</w:t>
            </w:r>
            <w:r>
              <w:rPr>
                <w:color w:val="auto"/>
              </w:rPr>
              <w:t>+</w:t>
            </w:r>
            <w:r>
              <w:rPr>
                <w:rFonts w:hint="eastAsia"/>
                <w:color w:val="auto"/>
              </w:rPr>
              <w:t>8套槽边双侧抽风+8套二级碱液喷淋塔+</w:t>
            </w:r>
            <w:r>
              <w:rPr>
                <w:rFonts w:hint="eastAsia"/>
                <w:color w:val="auto"/>
                <w:lang w:eastAsia="zh-CN"/>
              </w:rPr>
              <w:t>15m高排气筒</w:t>
            </w:r>
          </w:p>
        </w:tc>
        <w:tc>
          <w:tcPr>
            <w:tcW w:w="1100" w:type="dxa"/>
            <w:vAlign w:val="center"/>
          </w:tcPr>
          <w:p>
            <w:pPr>
              <w:widowControl w:val="0"/>
              <w:spacing w:line="240" w:lineRule="exact"/>
              <w:jc w:val="center"/>
              <w:rPr>
                <w:color w:val="auto"/>
              </w:rPr>
            </w:pPr>
            <w:r>
              <w:rPr>
                <w:rFonts w:hint="eastAsia"/>
                <w:color w:val="auto"/>
              </w:rPr>
              <w:t>1</w:t>
            </w:r>
          </w:p>
        </w:tc>
        <w:tc>
          <w:tcPr>
            <w:tcW w:w="1158" w:type="dxa"/>
            <w:vAlign w:val="center"/>
          </w:tcPr>
          <w:p>
            <w:pPr>
              <w:widowControl w:val="0"/>
              <w:spacing w:line="240" w:lineRule="exact"/>
              <w:jc w:val="center"/>
              <w:rPr>
                <w:color w:val="auto"/>
              </w:rPr>
            </w:pPr>
            <w:r>
              <w:rPr>
                <w:rFonts w:hint="eastAsia"/>
                <w:color w:val="auto"/>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Align w:val="center"/>
          </w:tcPr>
          <w:p>
            <w:pPr>
              <w:widowControl w:val="0"/>
              <w:spacing w:line="240" w:lineRule="exact"/>
              <w:jc w:val="center"/>
              <w:rPr>
                <w:color w:val="auto"/>
              </w:rPr>
            </w:pPr>
            <w:r>
              <w:rPr>
                <w:color w:val="auto"/>
              </w:rPr>
              <w:t>燃气锅炉</w:t>
            </w:r>
          </w:p>
        </w:tc>
        <w:tc>
          <w:tcPr>
            <w:tcW w:w="4453" w:type="dxa"/>
            <w:gridSpan w:val="2"/>
            <w:vAlign w:val="center"/>
          </w:tcPr>
          <w:p>
            <w:pPr>
              <w:widowControl w:val="0"/>
              <w:spacing w:line="240" w:lineRule="exact"/>
              <w:jc w:val="center"/>
              <w:rPr>
                <w:color w:val="auto"/>
              </w:rPr>
            </w:pPr>
            <w:r>
              <w:rPr>
                <w:color w:val="auto"/>
              </w:rPr>
              <w:t>低氮燃烧器</w:t>
            </w:r>
            <w:r>
              <w:rPr>
                <w:rFonts w:hint="eastAsia"/>
                <w:color w:val="auto"/>
              </w:rPr>
              <w:t>+烟气再循环</w:t>
            </w:r>
          </w:p>
        </w:tc>
        <w:tc>
          <w:tcPr>
            <w:tcW w:w="1100" w:type="dxa"/>
            <w:vAlign w:val="center"/>
          </w:tcPr>
          <w:p>
            <w:pPr>
              <w:widowControl w:val="0"/>
              <w:spacing w:line="240" w:lineRule="exact"/>
              <w:jc w:val="center"/>
              <w:rPr>
                <w:color w:val="auto"/>
              </w:rPr>
            </w:pPr>
            <w:r>
              <w:rPr>
                <w:rFonts w:hint="eastAsia"/>
                <w:color w:val="auto"/>
              </w:rPr>
              <w:t>2</w:t>
            </w:r>
          </w:p>
        </w:tc>
        <w:tc>
          <w:tcPr>
            <w:tcW w:w="1158" w:type="dxa"/>
            <w:vAlign w:val="center"/>
          </w:tcPr>
          <w:p>
            <w:pPr>
              <w:widowControl w:val="0"/>
              <w:spacing w:line="240" w:lineRule="exact"/>
              <w:jc w:val="center"/>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restart"/>
            <w:vAlign w:val="center"/>
          </w:tcPr>
          <w:p>
            <w:pPr>
              <w:widowControl w:val="0"/>
              <w:spacing w:line="240" w:lineRule="exact"/>
              <w:jc w:val="center"/>
              <w:rPr>
                <w:color w:val="auto"/>
              </w:rPr>
            </w:pPr>
            <w:r>
              <w:rPr>
                <w:color w:val="auto"/>
              </w:rPr>
              <w:t>废水</w:t>
            </w:r>
          </w:p>
        </w:tc>
        <w:tc>
          <w:tcPr>
            <w:tcW w:w="1673" w:type="dxa"/>
            <w:vMerge w:val="restart"/>
            <w:vAlign w:val="center"/>
          </w:tcPr>
          <w:p>
            <w:pPr>
              <w:widowControl w:val="0"/>
              <w:spacing w:line="240" w:lineRule="exact"/>
              <w:jc w:val="center"/>
              <w:rPr>
                <w:color w:val="auto"/>
              </w:rPr>
            </w:pPr>
            <w:r>
              <w:rPr>
                <w:color w:val="auto"/>
              </w:rPr>
              <w:t>污水处理站</w:t>
            </w:r>
          </w:p>
        </w:tc>
        <w:tc>
          <w:tcPr>
            <w:tcW w:w="2835" w:type="dxa"/>
            <w:vAlign w:val="center"/>
          </w:tcPr>
          <w:p>
            <w:pPr>
              <w:adjustRightInd w:val="0"/>
              <w:snapToGrid w:val="0"/>
              <w:jc w:val="center"/>
              <w:rPr>
                <w:color w:val="auto"/>
              </w:rPr>
            </w:pPr>
            <w:r>
              <w:rPr>
                <w:rFonts w:hint="eastAsia"/>
                <w:color w:val="auto"/>
              </w:rPr>
              <w:t>含镍废水预处理系统：pH调节→混凝沉淀→回调→多介质过滤</w:t>
            </w:r>
          </w:p>
        </w:tc>
        <w:tc>
          <w:tcPr>
            <w:tcW w:w="1618" w:type="dxa"/>
            <w:vMerge w:val="restart"/>
            <w:vAlign w:val="center"/>
          </w:tcPr>
          <w:p>
            <w:pPr>
              <w:adjustRightInd w:val="0"/>
              <w:snapToGrid w:val="0"/>
              <w:jc w:val="center"/>
              <w:rPr>
                <w:color w:val="auto"/>
              </w:rPr>
            </w:pPr>
            <w:r>
              <w:rPr>
                <w:rFonts w:hint="eastAsia"/>
                <w:color w:val="auto"/>
              </w:rPr>
              <w:t>零排放处理系统：A</w:t>
            </w:r>
            <w:r>
              <w:rPr>
                <w:rFonts w:hint="eastAsia"/>
                <w:color w:val="auto"/>
                <w:vertAlign w:val="superscript"/>
              </w:rPr>
              <w:t>2</w:t>
            </w:r>
            <w:r>
              <w:rPr>
                <w:color w:val="auto"/>
              </w:rPr>
              <w:t>/O</w:t>
            </w:r>
            <w:r>
              <w:rPr>
                <w:rFonts w:hint="eastAsia"/>
                <w:color w:val="auto"/>
              </w:rPr>
              <w:t>→</w:t>
            </w:r>
            <w:r>
              <w:rPr>
                <w:color w:val="auto"/>
              </w:rPr>
              <w:t>MBR</w:t>
            </w:r>
            <w:r>
              <w:rPr>
                <w:rFonts w:hint="eastAsia"/>
                <w:color w:val="auto"/>
              </w:rPr>
              <w:t>→两级E</w:t>
            </w:r>
            <w:r>
              <w:rPr>
                <w:color w:val="auto"/>
              </w:rPr>
              <w:t>CRO</w:t>
            </w:r>
            <w:r>
              <w:rPr>
                <w:rFonts w:hint="eastAsia"/>
                <w:color w:val="auto"/>
              </w:rPr>
              <w:t>→</w:t>
            </w:r>
            <w:r>
              <w:rPr>
                <w:color w:val="auto"/>
              </w:rPr>
              <w:t>DTRO</w:t>
            </w:r>
            <w:r>
              <w:rPr>
                <w:rFonts w:hint="eastAsia"/>
                <w:color w:val="auto"/>
              </w:rPr>
              <w:t>→二级RO→MVR蒸发</w:t>
            </w:r>
          </w:p>
        </w:tc>
        <w:tc>
          <w:tcPr>
            <w:tcW w:w="1100" w:type="dxa"/>
            <w:vMerge w:val="restart"/>
            <w:vAlign w:val="center"/>
          </w:tcPr>
          <w:p>
            <w:pPr>
              <w:widowControl w:val="0"/>
              <w:spacing w:line="240" w:lineRule="exact"/>
              <w:jc w:val="center"/>
              <w:rPr>
                <w:color w:val="auto"/>
              </w:rPr>
            </w:pPr>
            <w:r>
              <w:rPr>
                <w:rFonts w:hint="eastAsia"/>
                <w:color w:val="auto"/>
              </w:rPr>
              <w:t>1</w:t>
            </w:r>
          </w:p>
        </w:tc>
        <w:tc>
          <w:tcPr>
            <w:tcW w:w="1158" w:type="dxa"/>
            <w:vMerge w:val="restart"/>
            <w:vAlign w:val="center"/>
          </w:tcPr>
          <w:p>
            <w:pPr>
              <w:widowControl w:val="0"/>
              <w:spacing w:line="240" w:lineRule="exact"/>
              <w:jc w:val="center"/>
              <w:rPr>
                <w:color w:val="auto"/>
              </w:rPr>
            </w:pPr>
            <w:r>
              <w:rPr>
                <w:rFonts w:hint="eastAsia"/>
                <w:color w:val="auto"/>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Merge w:val="continue"/>
            <w:vAlign w:val="center"/>
          </w:tcPr>
          <w:p>
            <w:pPr>
              <w:widowControl w:val="0"/>
              <w:spacing w:line="240" w:lineRule="exact"/>
              <w:jc w:val="center"/>
              <w:rPr>
                <w:color w:val="auto"/>
              </w:rPr>
            </w:pPr>
          </w:p>
        </w:tc>
        <w:tc>
          <w:tcPr>
            <w:tcW w:w="2835" w:type="dxa"/>
            <w:vAlign w:val="center"/>
          </w:tcPr>
          <w:p>
            <w:pPr>
              <w:adjustRightInd w:val="0"/>
              <w:snapToGrid w:val="0"/>
              <w:rPr>
                <w:color w:val="auto"/>
                <w:kern w:val="21"/>
              </w:rPr>
            </w:pPr>
            <w:r>
              <w:rPr>
                <w:rFonts w:hint="eastAsia"/>
                <w:color w:val="auto"/>
              </w:rPr>
              <w:t>含锌废水预处理系统：pH调节→混凝沉淀→回调→多介质过滤</w:t>
            </w:r>
          </w:p>
        </w:tc>
        <w:tc>
          <w:tcPr>
            <w:tcW w:w="1618" w:type="dxa"/>
            <w:vMerge w:val="continue"/>
            <w:vAlign w:val="center"/>
          </w:tcPr>
          <w:p>
            <w:pPr>
              <w:adjustRightInd w:val="0"/>
              <w:snapToGrid w:val="0"/>
              <w:rPr>
                <w:color w:val="auto"/>
                <w:kern w:val="21"/>
              </w:rPr>
            </w:pPr>
          </w:p>
        </w:tc>
        <w:tc>
          <w:tcPr>
            <w:tcW w:w="1100" w:type="dxa"/>
            <w:vMerge w:val="continue"/>
            <w:vAlign w:val="center"/>
          </w:tcPr>
          <w:p>
            <w:pPr>
              <w:widowControl w:val="0"/>
              <w:spacing w:line="240" w:lineRule="exact"/>
              <w:jc w:val="center"/>
              <w:rPr>
                <w:color w:val="auto"/>
              </w:rPr>
            </w:pPr>
          </w:p>
        </w:tc>
        <w:tc>
          <w:tcPr>
            <w:tcW w:w="1158" w:type="dxa"/>
            <w:vMerge w:val="continue"/>
            <w:vAlign w:val="center"/>
          </w:tcPr>
          <w:p>
            <w:pPr>
              <w:widowControl w:val="0"/>
              <w:spacing w:line="240" w:lineRule="exac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Merge w:val="continue"/>
            <w:vAlign w:val="center"/>
          </w:tcPr>
          <w:p>
            <w:pPr>
              <w:widowControl w:val="0"/>
              <w:spacing w:line="240" w:lineRule="exact"/>
              <w:jc w:val="center"/>
              <w:rPr>
                <w:color w:val="auto"/>
              </w:rPr>
            </w:pPr>
          </w:p>
        </w:tc>
        <w:tc>
          <w:tcPr>
            <w:tcW w:w="2835" w:type="dxa"/>
            <w:vAlign w:val="center"/>
          </w:tcPr>
          <w:p>
            <w:pPr>
              <w:adjustRightInd w:val="0"/>
              <w:snapToGrid w:val="0"/>
              <w:rPr>
                <w:color w:val="auto"/>
                <w:kern w:val="21"/>
              </w:rPr>
            </w:pPr>
            <w:r>
              <w:rPr>
                <w:rFonts w:hint="eastAsia"/>
                <w:color w:val="auto"/>
              </w:rPr>
              <w:t>含铬废水预处理系统：还原→pH调节→混凝沉淀→回调→多介质过滤</w:t>
            </w:r>
          </w:p>
        </w:tc>
        <w:tc>
          <w:tcPr>
            <w:tcW w:w="1618" w:type="dxa"/>
            <w:vMerge w:val="continue"/>
            <w:vAlign w:val="center"/>
          </w:tcPr>
          <w:p>
            <w:pPr>
              <w:adjustRightInd w:val="0"/>
              <w:snapToGrid w:val="0"/>
              <w:rPr>
                <w:color w:val="auto"/>
                <w:kern w:val="21"/>
              </w:rPr>
            </w:pPr>
          </w:p>
        </w:tc>
        <w:tc>
          <w:tcPr>
            <w:tcW w:w="1100" w:type="dxa"/>
            <w:vMerge w:val="continue"/>
            <w:vAlign w:val="center"/>
          </w:tcPr>
          <w:p>
            <w:pPr>
              <w:widowControl w:val="0"/>
              <w:spacing w:line="240" w:lineRule="exact"/>
              <w:jc w:val="center"/>
              <w:rPr>
                <w:color w:val="auto"/>
              </w:rPr>
            </w:pPr>
          </w:p>
        </w:tc>
        <w:tc>
          <w:tcPr>
            <w:tcW w:w="1158" w:type="dxa"/>
            <w:vMerge w:val="continue"/>
            <w:vAlign w:val="center"/>
          </w:tcPr>
          <w:p>
            <w:pPr>
              <w:widowControl w:val="0"/>
              <w:spacing w:line="240" w:lineRule="exac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Merge w:val="continue"/>
            <w:vAlign w:val="center"/>
          </w:tcPr>
          <w:p>
            <w:pPr>
              <w:widowControl w:val="0"/>
              <w:spacing w:line="240" w:lineRule="exact"/>
              <w:jc w:val="center"/>
              <w:rPr>
                <w:color w:val="auto"/>
              </w:rPr>
            </w:pPr>
          </w:p>
        </w:tc>
        <w:tc>
          <w:tcPr>
            <w:tcW w:w="2835" w:type="dxa"/>
            <w:vAlign w:val="center"/>
          </w:tcPr>
          <w:p>
            <w:pPr>
              <w:adjustRightInd w:val="0"/>
              <w:snapToGrid w:val="0"/>
              <w:rPr>
                <w:color w:val="auto"/>
                <w:kern w:val="21"/>
              </w:rPr>
            </w:pPr>
            <w:r>
              <w:rPr>
                <w:rFonts w:hint="eastAsia"/>
                <w:color w:val="auto"/>
              </w:rPr>
              <w:t>含油废水预处理系统：</w:t>
            </w:r>
            <w:r>
              <w:rPr>
                <w:color w:val="auto"/>
              </w:rPr>
              <w:t>破乳</w:t>
            </w:r>
            <w:r>
              <w:rPr>
                <w:rFonts w:hint="eastAsia"/>
                <w:color w:val="auto"/>
              </w:rPr>
              <w:t>→</w:t>
            </w:r>
            <w:r>
              <w:rPr>
                <w:color w:val="auto"/>
              </w:rPr>
              <w:t>pH调节</w:t>
            </w:r>
            <w:r>
              <w:rPr>
                <w:rFonts w:hint="eastAsia"/>
                <w:color w:val="auto"/>
              </w:rPr>
              <w:t>→混凝→气浮</w:t>
            </w:r>
          </w:p>
        </w:tc>
        <w:tc>
          <w:tcPr>
            <w:tcW w:w="1618" w:type="dxa"/>
            <w:vMerge w:val="continue"/>
            <w:vAlign w:val="center"/>
          </w:tcPr>
          <w:p>
            <w:pPr>
              <w:adjustRightInd w:val="0"/>
              <w:snapToGrid w:val="0"/>
              <w:rPr>
                <w:color w:val="auto"/>
                <w:kern w:val="21"/>
              </w:rPr>
            </w:pPr>
          </w:p>
        </w:tc>
        <w:tc>
          <w:tcPr>
            <w:tcW w:w="1100" w:type="dxa"/>
            <w:vMerge w:val="continue"/>
            <w:vAlign w:val="center"/>
          </w:tcPr>
          <w:p>
            <w:pPr>
              <w:widowControl w:val="0"/>
              <w:spacing w:line="240" w:lineRule="exact"/>
              <w:jc w:val="center"/>
              <w:rPr>
                <w:color w:val="auto"/>
              </w:rPr>
            </w:pPr>
          </w:p>
        </w:tc>
        <w:tc>
          <w:tcPr>
            <w:tcW w:w="1158" w:type="dxa"/>
            <w:vMerge w:val="continue"/>
            <w:vAlign w:val="center"/>
          </w:tcPr>
          <w:p>
            <w:pPr>
              <w:widowControl w:val="0"/>
              <w:spacing w:line="240" w:lineRule="exac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Merge w:val="continue"/>
            <w:vAlign w:val="center"/>
          </w:tcPr>
          <w:p>
            <w:pPr>
              <w:widowControl w:val="0"/>
              <w:spacing w:line="240" w:lineRule="exact"/>
              <w:jc w:val="center"/>
              <w:rPr>
                <w:color w:val="auto"/>
              </w:rPr>
            </w:pPr>
          </w:p>
        </w:tc>
        <w:tc>
          <w:tcPr>
            <w:tcW w:w="2835" w:type="dxa"/>
            <w:vAlign w:val="center"/>
          </w:tcPr>
          <w:p>
            <w:pPr>
              <w:adjustRightInd w:val="0"/>
              <w:snapToGrid w:val="0"/>
              <w:rPr>
                <w:color w:val="auto"/>
                <w:kern w:val="21"/>
              </w:rPr>
            </w:pPr>
            <w:r>
              <w:rPr>
                <w:rFonts w:hint="eastAsia"/>
                <w:color w:val="auto"/>
              </w:rPr>
              <w:t>酸性废水预处理系统：pH调节→混凝沉淀→回调→多介质过滤</w:t>
            </w:r>
          </w:p>
        </w:tc>
        <w:tc>
          <w:tcPr>
            <w:tcW w:w="1618" w:type="dxa"/>
            <w:vMerge w:val="continue"/>
            <w:vAlign w:val="center"/>
          </w:tcPr>
          <w:p>
            <w:pPr>
              <w:adjustRightInd w:val="0"/>
              <w:snapToGrid w:val="0"/>
              <w:rPr>
                <w:color w:val="auto"/>
                <w:kern w:val="21"/>
              </w:rPr>
            </w:pPr>
          </w:p>
        </w:tc>
        <w:tc>
          <w:tcPr>
            <w:tcW w:w="1100" w:type="dxa"/>
            <w:vMerge w:val="continue"/>
            <w:vAlign w:val="center"/>
          </w:tcPr>
          <w:p>
            <w:pPr>
              <w:widowControl w:val="0"/>
              <w:spacing w:line="240" w:lineRule="exact"/>
              <w:jc w:val="center"/>
              <w:rPr>
                <w:color w:val="auto"/>
              </w:rPr>
            </w:pPr>
          </w:p>
        </w:tc>
        <w:tc>
          <w:tcPr>
            <w:tcW w:w="1158" w:type="dxa"/>
            <w:vMerge w:val="continue"/>
            <w:vAlign w:val="center"/>
          </w:tcPr>
          <w:p>
            <w:pPr>
              <w:widowControl w:val="0"/>
              <w:spacing w:line="240" w:lineRule="exac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Merge w:val="continue"/>
            <w:vAlign w:val="center"/>
          </w:tcPr>
          <w:p>
            <w:pPr>
              <w:widowControl w:val="0"/>
              <w:spacing w:line="240" w:lineRule="exact"/>
              <w:jc w:val="center"/>
              <w:rPr>
                <w:color w:val="auto"/>
              </w:rPr>
            </w:pPr>
          </w:p>
        </w:tc>
        <w:tc>
          <w:tcPr>
            <w:tcW w:w="2835" w:type="dxa"/>
            <w:vAlign w:val="center"/>
          </w:tcPr>
          <w:p>
            <w:pPr>
              <w:adjustRightInd w:val="0"/>
              <w:snapToGrid w:val="0"/>
              <w:rPr>
                <w:color w:val="auto"/>
                <w:kern w:val="21"/>
              </w:rPr>
            </w:pPr>
            <w:r>
              <w:rPr>
                <w:rFonts w:hint="eastAsia"/>
                <w:color w:val="auto"/>
              </w:rPr>
              <w:t>地面废水预处理系统：氧化→pH调节→混凝沉淀→还原→混凝沉淀→回调→多介质过滤</w:t>
            </w:r>
          </w:p>
        </w:tc>
        <w:tc>
          <w:tcPr>
            <w:tcW w:w="1618" w:type="dxa"/>
            <w:vMerge w:val="continue"/>
            <w:vAlign w:val="center"/>
          </w:tcPr>
          <w:p>
            <w:pPr>
              <w:adjustRightInd w:val="0"/>
              <w:snapToGrid w:val="0"/>
              <w:rPr>
                <w:color w:val="auto"/>
                <w:kern w:val="21"/>
              </w:rPr>
            </w:pPr>
          </w:p>
        </w:tc>
        <w:tc>
          <w:tcPr>
            <w:tcW w:w="1100" w:type="dxa"/>
            <w:vMerge w:val="continue"/>
            <w:vAlign w:val="center"/>
          </w:tcPr>
          <w:p>
            <w:pPr>
              <w:widowControl w:val="0"/>
              <w:spacing w:line="240" w:lineRule="exact"/>
              <w:jc w:val="center"/>
              <w:rPr>
                <w:color w:val="auto"/>
              </w:rPr>
            </w:pPr>
          </w:p>
        </w:tc>
        <w:tc>
          <w:tcPr>
            <w:tcW w:w="1158" w:type="dxa"/>
            <w:vMerge w:val="continue"/>
            <w:vAlign w:val="center"/>
          </w:tcPr>
          <w:p>
            <w:pPr>
              <w:widowControl w:val="0"/>
              <w:spacing w:line="240" w:lineRule="exact"/>
              <w:jc w:val="center"/>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Align w:val="center"/>
          </w:tcPr>
          <w:p>
            <w:pPr>
              <w:widowControl w:val="0"/>
              <w:spacing w:line="240" w:lineRule="exact"/>
              <w:jc w:val="center"/>
              <w:rPr>
                <w:color w:val="auto"/>
              </w:rPr>
            </w:pPr>
            <w:r>
              <w:rPr>
                <w:color w:val="auto"/>
              </w:rPr>
              <w:t>生活污水</w:t>
            </w:r>
          </w:p>
        </w:tc>
        <w:tc>
          <w:tcPr>
            <w:tcW w:w="4453" w:type="dxa"/>
            <w:gridSpan w:val="2"/>
            <w:vAlign w:val="center"/>
          </w:tcPr>
          <w:p>
            <w:pPr>
              <w:adjustRightInd w:val="0"/>
              <w:snapToGrid w:val="0"/>
              <w:jc w:val="center"/>
              <w:rPr>
                <w:color w:val="auto"/>
                <w:kern w:val="21"/>
              </w:rPr>
            </w:pPr>
            <w:r>
              <w:rPr>
                <w:rFonts w:hint="eastAsia"/>
                <w:color w:val="auto"/>
              </w:rPr>
              <w:t>化粪池</w:t>
            </w:r>
          </w:p>
        </w:tc>
        <w:tc>
          <w:tcPr>
            <w:tcW w:w="1100" w:type="dxa"/>
            <w:vAlign w:val="center"/>
          </w:tcPr>
          <w:p>
            <w:pPr>
              <w:widowControl w:val="0"/>
              <w:spacing w:line="240" w:lineRule="exact"/>
              <w:jc w:val="center"/>
              <w:rPr>
                <w:color w:val="auto"/>
              </w:rPr>
            </w:pPr>
            <w:r>
              <w:rPr>
                <w:color w:val="auto"/>
              </w:rPr>
              <w:t>依托现有</w:t>
            </w:r>
          </w:p>
        </w:tc>
        <w:tc>
          <w:tcPr>
            <w:tcW w:w="1158" w:type="dxa"/>
            <w:vAlign w:val="center"/>
          </w:tcPr>
          <w:p>
            <w:pPr>
              <w:widowControl w:val="0"/>
              <w:spacing w:line="240" w:lineRule="exact"/>
              <w:jc w:val="center"/>
              <w:rPr>
                <w:color w:val="auto"/>
              </w:rPr>
            </w:pPr>
            <w:r>
              <w:rPr>
                <w:rFonts w:hint="eastAsia"/>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restart"/>
            <w:vAlign w:val="center"/>
          </w:tcPr>
          <w:p>
            <w:pPr>
              <w:widowControl w:val="0"/>
              <w:spacing w:line="240" w:lineRule="exact"/>
              <w:jc w:val="center"/>
              <w:rPr>
                <w:color w:val="auto"/>
              </w:rPr>
            </w:pPr>
            <w:r>
              <w:rPr>
                <w:color w:val="auto"/>
              </w:rPr>
              <w:t>固废</w:t>
            </w:r>
          </w:p>
        </w:tc>
        <w:tc>
          <w:tcPr>
            <w:tcW w:w="1673" w:type="dxa"/>
            <w:vAlign w:val="center"/>
          </w:tcPr>
          <w:p>
            <w:pPr>
              <w:widowControl w:val="0"/>
              <w:spacing w:line="240" w:lineRule="exact"/>
              <w:jc w:val="center"/>
              <w:rPr>
                <w:color w:val="auto"/>
              </w:rPr>
            </w:pPr>
            <w:r>
              <w:rPr>
                <w:color w:val="auto"/>
              </w:rPr>
              <w:t>一般固废</w:t>
            </w:r>
          </w:p>
        </w:tc>
        <w:tc>
          <w:tcPr>
            <w:tcW w:w="4453" w:type="dxa"/>
            <w:gridSpan w:val="2"/>
            <w:vAlign w:val="center"/>
          </w:tcPr>
          <w:p>
            <w:pPr>
              <w:widowControl w:val="0"/>
              <w:spacing w:line="240" w:lineRule="exact"/>
              <w:jc w:val="center"/>
              <w:rPr>
                <w:color w:val="auto"/>
              </w:rPr>
            </w:pPr>
            <w:r>
              <w:rPr>
                <w:color w:val="auto"/>
              </w:rPr>
              <w:t>一</w:t>
            </w:r>
            <w:r>
              <w:rPr>
                <w:rFonts w:hint="eastAsia"/>
                <w:color w:val="auto"/>
                <w:lang w:eastAsia="zh-CN"/>
              </w:rPr>
              <w:t>座</w:t>
            </w:r>
            <w:r>
              <w:rPr>
                <w:rFonts w:hint="eastAsia"/>
                <w:color w:val="auto"/>
              </w:rPr>
              <w:t>300m</w:t>
            </w:r>
            <w:r>
              <w:rPr>
                <w:rFonts w:hint="eastAsia"/>
                <w:color w:val="auto"/>
                <w:vertAlign w:val="superscript"/>
              </w:rPr>
              <w:t>2</w:t>
            </w:r>
            <w:r>
              <w:rPr>
                <w:rFonts w:hint="eastAsia"/>
                <w:color w:val="auto"/>
              </w:rPr>
              <w:t>一般固废暂存间</w:t>
            </w:r>
          </w:p>
        </w:tc>
        <w:tc>
          <w:tcPr>
            <w:tcW w:w="1100" w:type="dxa"/>
            <w:vAlign w:val="center"/>
          </w:tcPr>
          <w:p>
            <w:pPr>
              <w:widowControl w:val="0"/>
              <w:spacing w:line="240" w:lineRule="exact"/>
              <w:jc w:val="center"/>
              <w:rPr>
                <w:color w:val="auto"/>
              </w:rPr>
            </w:pPr>
            <w:r>
              <w:rPr>
                <w:rFonts w:hint="eastAsia"/>
                <w:color w:val="auto"/>
              </w:rPr>
              <w:t>1</w:t>
            </w:r>
          </w:p>
        </w:tc>
        <w:tc>
          <w:tcPr>
            <w:tcW w:w="1158" w:type="dxa"/>
            <w:vAlign w:val="center"/>
          </w:tcPr>
          <w:p>
            <w:pPr>
              <w:widowControl w:val="0"/>
              <w:spacing w:line="240" w:lineRule="exact"/>
              <w:jc w:val="center"/>
              <w:rPr>
                <w:color w:val="auto"/>
              </w:rPr>
            </w:pPr>
            <w:r>
              <w:rPr>
                <w:rFonts w:hint="eastAsia"/>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Align w:val="center"/>
          </w:tcPr>
          <w:p>
            <w:pPr>
              <w:widowControl w:val="0"/>
              <w:spacing w:line="240" w:lineRule="exact"/>
              <w:jc w:val="center"/>
              <w:rPr>
                <w:color w:val="auto"/>
              </w:rPr>
            </w:pPr>
            <w:r>
              <w:rPr>
                <w:color w:val="auto"/>
              </w:rPr>
              <w:t>危险废物</w:t>
            </w:r>
          </w:p>
        </w:tc>
        <w:tc>
          <w:tcPr>
            <w:tcW w:w="4453" w:type="dxa"/>
            <w:gridSpan w:val="2"/>
            <w:vAlign w:val="center"/>
          </w:tcPr>
          <w:p>
            <w:pPr>
              <w:widowControl w:val="0"/>
              <w:spacing w:line="240" w:lineRule="exact"/>
              <w:jc w:val="center"/>
              <w:rPr>
                <w:color w:val="auto"/>
              </w:rPr>
            </w:pPr>
            <w:r>
              <w:rPr>
                <w:color w:val="auto"/>
              </w:rPr>
              <w:t>一</w:t>
            </w:r>
            <w:r>
              <w:rPr>
                <w:rFonts w:hint="eastAsia"/>
                <w:color w:val="auto"/>
                <w:lang w:eastAsia="zh-CN"/>
              </w:rPr>
              <w:t>座</w:t>
            </w:r>
            <w:r>
              <w:rPr>
                <w:rFonts w:hint="eastAsia"/>
                <w:color w:val="auto"/>
              </w:rPr>
              <w:t>150m</w:t>
            </w:r>
            <w:r>
              <w:rPr>
                <w:rFonts w:hint="eastAsia"/>
                <w:color w:val="auto"/>
                <w:vertAlign w:val="superscript"/>
              </w:rPr>
              <w:t>2</w:t>
            </w:r>
            <w:r>
              <w:rPr>
                <w:rFonts w:hint="eastAsia"/>
                <w:color w:val="auto"/>
              </w:rPr>
              <w:t>危险废物暂存间</w:t>
            </w:r>
          </w:p>
        </w:tc>
        <w:tc>
          <w:tcPr>
            <w:tcW w:w="1100" w:type="dxa"/>
            <w:vAlign w:val="center"/>
          </w:tcPr>
          <w:p>
            <w:pPr>
              <w:widowControl w:val="0"/>
              <w:spacing w:line="240" w:lineRule="exact"/>
              <w:jc w:val="center"/>
              <w:rPr>
                <w:color w:val="auto"/>
              </w:rPr>
            </w:pPr>
            <w:r>
              <w:rPr>
                <w:rFonts w:hint="eastAsia"/>
                <w:color w:val="auto"/>
              </w:rPr>
              <w:t>1</w:t>
            </w:r>
          </w:p>
        </w:tc>
        <w:tc>
          <w:tcPr>
            <w:tcW w:w="1158" w:type="dxa"/>
            <w:vAlign w:val="center"/>
          </w:tcPr>
          <w:p>
            <w:pPr>
              <w:widowControl w:val="0"/>
              <w:spacing w:line="240" w:lineRule="exact"/>
              <w:jc w:val="center"/>
              <w:rPr>
                <w:color w:val="auto"/>
              </w:rPr>
            </w:pPr>
            <w:r>
              <w:rPr>
                <w:rFonts w:hint="eastAsia"/>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2" w:type="dxa"/>
            <w:vMerge w:val="continue"/>
            <w:vAlign w:val="center"/>
          </w:tcPr>
          <w:p>
            <w:pPr>
              <w:widowControl w:val="0"/>
              <w:spacing w:line="240" w:lineRule="exact"/>
              <w:jc w:val="center"/>
              <w:rPr>
                <w:color w:val="auto"/>
              </w:rPr>
            </w:pPr>
          </w:p>
        </w:tc>
        <w:tc>
          <w:tcPr>
            <w:tcW w:w="1673" w:type="dxa"/>
            <w:vAlign w:val="center"/>
          </w:tcPr>
          <w:p>
            <w:pPr>
              <w:widowControl w:val="0"/>
              <w:spacing w:line="240" w:lineRule="exact"/>
              <w:jc w:val="center"/>
              <w:rPr>
                <w:color w:val="auto"/>
              </w:rPr>
            </w:pPr>
            <w:r>
              <w:rPr>
                <w:color w:val="auto"/>
              </w:rPr>
              <w:t>生活垃圾</w:t>
            </w:r>
          </w:p>
        </w:tc>
        <w:tc>
          <w:tcPr>
            <w:tcW w:w="4453" w:type="dxa"/>
            <w:gridSpan w:val="2"/>
            <w:vAlign w:val="center"/>
          </w:tcPr>
          <w:p>
            <w:pPr>
              <w:widowControl w:val="0"/>
              <w:spacing w:line="240" w:lineRule="exact"/>
              <w:jc w:val="center"/>
              <w:rPr>
                <w:color w:val="auto"/>
              </w:rPr>
            </w:pPr>
            <w:r>
              <w:rPr>
                <w:color w:val="auto"/>
              </w:rPr>
              <w:t>若干垃圾桶</w:t>
            </w:r>
          </w:p>
        </w:tc>
        <w:tc>
          <w:tcPr>
            <w:tcW w:w="1100" w:type="dxa"/>
            <w:vAlign w:val="center"/>
          </w:tcPr>
          <w:p>
            <w:pPr>
              <w:widowControl w:val="0"/>
              <w:spacing w:line="240" w:lineRule="exact"/>
              <w:jc w:val="center"/>
              <w:rPr>
                <w:color w:val="auto"/>
              </w:rPr>
            </w:pPr>
            <w:r>
              <w:rPr>
                <w:color w:val="auto"/>
              </w:rPr>
              <w:t>若干</w:t>
            </w:r>
          </w:p>
        </w:tc>
        <w:tc>
          <w:tcPr>
            <w:tcW w:w="1158" w:type="dxa"/>
            <w:vAlign w:val="center"/>
          </w:tcPr>
          <w:p>
            <w:pPr>
              <w:widowControl w:val="0"/>
              <w:spacing w:line="240" w:lineRule="exact"/>
              <w:jc w:val="center"/>
              <w:rPr>
                <w:color w:val="auto"/>
              </w:rPr>
            </w:pPr>
            <w:r>
              <w:rPr>
                <w:rFonts w:hint="eastAsia"/>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5" w:type="dxa"/>
            <w:gridSpan w:val="2"/>
            <w:vAlign w:val="center"/>
          </w:tcPr>
          <w:p>
            <w:pPr>
              <w:widowControl w:val="0"/>
              <w:spacing w:line="240" w:lineRule="exact"/>
              <w:jc w:val="center"/>
              <w:rPr>
                <w:color w:val="auto"/>
              </w:rPr>
            </w:pPr>
            <w:r>
              <w:rPr>
                <w:color w:val="auto"/>
              </w:rPr>
              <w:t>风险防范与应急设施</w:t>
            </w:r>
          </w:p>
        </w:tc>
        <w:tc>
          <w:tcPr>
            <w:tcW w:w="4453" w:type="dxa"/>
            <w:gridSpan w:val="2"/>
            <w:vAlign w:val="center"/>
          </w:tcPr>
          <w:p>
            <w:pPr>
              <w:widowControl w:val="0"/>
              <w:spacing w:line="240" w:lineRule="exact"/>
              <w:jc w:val="center"/>
              <w:rPr>
                <w:color w:val="auto"/>
              </w:rPr>
            </w:pPr>
            <w:r>
              <w:rPr>
                <w:color w:val="auto"/>
              </w:rPr>
              <w:t>消防器材、事故池、漫坡、围堰等</w:t>
            </w:r>
          </w:p>
        </w:tc>
        <w:tc>
          <w:tcPr>
            <w:tcW w:w="1100" w:type="dxa"/>
            <w:vAlign w:val="center"/>
          </w:tcPr>
          <w:p>
            <w:pPr>
              <w:widowControl w:val="0"/>
              <w:spacing w:line="240" w:lineRule="exact"/>
              <w:jc w:val="center"/>
              <w:rPr>
                <w:color w:val="auto"/>
              </w:rPr>
            </w:pPr>
            <w:r>
              <w:rPr>
                <w:rFonts w:hint="eastAsia"/>
                <w:color w:val="auto"/>
              </w:rPr>
              <w:t>/</w:t>
            </w:r>
          </w:p>
        </w:tc>
        <w:tc>
          <w:tcPr>
            <w:tcW w:w="1158" w:type="dxa"/>
            <w:vAlign w:val="center"/>
          </w:tcPr>
          <w:p>
            <w:pPr>
              <w:widowControl w:val="0"/>
              <w:spacing w:line="240" w:lineRule="exact"/>
              <w:jc w:val="center"/>
              <w:rPr>
                <w:color w:val="auto"/>
              </w:rPr>
            </w:pPr>
            <w:r>
              <w:rPr>
                <w:rFonts w:hint="eastAsia"/>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5" w:type="dxa"/>
            <w:gridSpan w:val="2"/>
            <w:vAlign w:val="center"/>
          </w:tcPr>
          <w:p>
            <w:pPr>
              <w:widowControl w:val="0"/>
              <w:spacing w:line="240" w:lineRule="exact"/>
              <w:jc w:val="center"/>
              <w:rPr>
                <w:color w:val="auto"/>
              </w:rPr>
            </w:pPr>
            <w:r>
              <w:rPr>
                <w:color w:val="auto"/>
              </w:rPr>
              <w:t>防渗</w:t>
            </w:r>
          </w:p>
        </w:tc>
        <w:tc>
          <w:tcPr>
            <w:tcW w:w="4453" w:type="dxa"/>
            <w:gridSpan w:val="2"/>
            <w:vAlign w:val="center"/>
          </w:tcPr>
          <w:p>
            <w:pPr>
              <w:widowControl w:val="0"/>
              <w:spacing w:line="240" w:lineRule="exact"/>
              <w:jc w:val="center"/>
              <w:rPr>
                <w:color w:val="auto"/>
              </w:rPr>
            </w:pPr>
            <w:r>
              <w:rPr>
                <w:color w:val="auto"/>
              </w:rPr>
              <w:t>厂区、车间地面防渗处理</w:t>
            </w:r>
          </w:p>
        </w:tc>
        <w:tc>
          <w:tcPr>
            <w:tcW w:w="1100" w:type="dxa"/>
            <w:vAlign w:val="center"/>
          </w:tcPr>
          <w:p>
            <w:pPr>
              <w:widowControl w:val="0"/>
              <w:spacing w:line="240" w:lineRule="exact"/>
              <w:jc w:val="center"/>
              <w:rPr>
                <w:color w:val="auto"/>
              </w:rPr>
            </w:pPr>
            <w:r>
              <w:rPr>
                <w:rFonts w:hint="eastAsia"/>
                <w:color w:val="auto"/>
              </w:rPr>
              <w:t>/</w:t>
            </w:r>
          </w:p>
        </w:tc>
        <w:tc>
          <w:tcPr>
            <w:tcW w:w="1158" w:type="dxa"/>
            <w:vAlign w:val="center"/>
          </w:tcPr>
          <w:p>
            <w:pPr>
              <w:widowControl w:val="0"/>
              <w:spacing w:line="240" w:lineRule="exact"/>
              <w:jc w:val="center"/>
              <w:rPr>
                <w:color w:val="auto"/>
              </w:rPr>
            </w:pPr>
            <w:r>
              <w:rPr>
                <w:rFonts w:hint="eastAsia"/>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5" w:type="dxa"/>
            <w:gridSpan w:val="2"/>
            <w:vMerge w:val="restart"/>
            <w:vAlign w:val="center"/>
          </w:tcPr>
          <w:p>
            <w:pPr>
              <w:widowControl w:val="0"/>
              <w:spacing w:line="240" w:lineRule="exact"/>
              <w:jc w:val="center"/>
              <w:rPr>
                <w:color w:val="auto"/>
              </w:rPr>
            </w:pPr>
            <w:r>
              <w:rPr>
                <w:color w:val="auto"/>
              </w:rPr>
              <w:t>其他</w:t>
            </w:r>
          </w:p>
        </w:tc>
        <w:tc>
          <w:tcPr>
            <w:tcW w:w="4453" w:type="dxa"/>
            <w:gridSpan w:val="2"/>
            <w:vAlign w:val="center"/>
          </w:tcPr>
          <w:p>
            <w:pPr>
              <w:widowControl w:val="0"/>
              <w:spacing w:line="240" w:lineRule="exact"/>
              <w:jc w:val="center"/>
              <w:rPr>
                <w:color w:val="auto"/>
              </w:rPr>
            </w:pPr>
            <w:r>
              <w:rPr>
                <w:color w:val="auto"/>
                <w:kern w:val="21"/>
              </w:rPr>
              <w:t>安装电控设备、视频监控设备、污染物在线监控设备</w:t>
            </w:r>
          </w:p>
        </w:tc>
        <w:tc>
          <w:tcPr>
            <w:tcW w:w="1100" w:type="dxa"/>
            <w:vAlign w:val="center"/>
          </w:tcPr>
          <w:p>
            <w:pPr>
              <w:widowControl w:val="0"/>
              <w:spacing w:line="240" w:lineRule="exact"/>
              <w:jc w:val="center"/>
              <w:rPr>
                <w:color w:val="auto"/>
              </w:rPr>
            </w:pPr>
            <w:r>
              <w:rPr>
                <w:rFonts w:hint="eastAsia"/>
                <w:color w:val="auto"/>
              </w:rPr>
              <w:t>/</w:t>
            </w:r>
          </w:p>
        </w:tc>
        <w:tc>
          <w:tcPr>
            <w:tcW w:w="1158" w:type="dxa"/>
            <w:vAlign w:val="center"/>
          </w:tcPr>
          <w:p>
            <w:pPr>
              <w:widowControl w:val="0"/>
              <w:spacing w:line="240" w:lineRule="exact"/>
              <w:jc w:val="center"/>
              <w:rPr>
                <w:color w:val="auto"/>
              </w:rPr>
            </w:pPr>
            <w:r>
              <w:rPr>
                <w:rFonts w:hint="eastAsia"/>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35" w:type="dxa"/>
            <w:gridSpan w:val="2"/>
            <w:vMerge w:val="continue"/>
            <w:vAlign w:val="center"/>
          </w:tcPr>
          <w:p>
            <w:pPr>
              <w:widowControl w:val="0"/>
              <w:spacing w:line="240" w:lineRule="exact"/>
              <w:jc w:val="center"/>
              <w:rPr>
                <w:color w:val="auto"/>
              </w:rPr>
            </w:pPr>
          </w:p>
        </w:tc>
        <w:tc>
          <w:tcPr>
            <w:tcW w:w="4453" w:type="dxa"/>
            <w:gridSpan w:val="2"/>
            <w:vAlign w:val="center"/>
          </w:tcPr>
          <w:p>
            <w:pPr>
              <w:widowControl w:val="0"/>
              <w:spacing w:line="240" w:lineRule="exact"/>
              <w:jc w:val="center"/>
              <w:rPr>
                <w:color w:val="auto"/>
                <w:kern w:val="21"/>
              </w:rPr>
            </w:pPr>
            <w:r>
              <w:rPr>
                <w:color w:val="auto"/>
                <w:kern w:val="21"/>
              </w:rPr>
              <w:t>在厂区及前李庄村设置两处地下水监测井</w:t>
            </w:r>
          </w:p>
        </w:tc>
        <w:tc>
          <w:tcPr>
            <w:tcW w:w="1100" w:type="dxa"/>
            <w:vAlign w:val="center"/>
          </w:tcPr>
          <w:p>
            <w:pPr>
              <w:widowControl w:val="0"/>
              <w:spacing w:line="240" w:lineRule="exact"/>
              <w:jc w:val="center"/>
              <w:rPr>
                <w:color w:val="auto"/>
              </w:rPr>
            </w:pPr>
            <w:r>
              <w:rPr>
                <w:rFonts w:hint="eastAsia"/>
                <w:color w:val="auto"/>
              </w:rPr>
              <w:t>/</w:t>
            </w:r>
          </w:p>
        </w:tc>
        <w:tc>
          <w:tcPr>
            <w:tcW w:w="1158" w:type="dxa"/>
            <w:vAlign w:val="center"/>
          </w:tcPr>
          <w:p>
            <w:pPr>
              <w:widowControl w:val="0"/>
              <w:spacing w:line="240" w:lineRule="exact"/>
              <w:jc w:val="center"/>
              <w:rPr>
                <w:color w:val="auto"/>
              </w:rPr>
            </w:pPr>
            <w:r>
              <w:rPr>
                <w:rFonts w:hint="eastAsia"/>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88" w:type="dxa"/>
            <w:gridSpan w:val="5"/>
            <w:vAlign w:val="center"/>
          </w:tcPr>
          <w:p>
            <w:pPr>
              <w:widowControl w:val="0"/>
              <w:spacing w:line="240" w:lineRule="exact"/>
              <w:jc w:val="center"/>
              <w:rPr>
                <w:color w:val="auto"/>
              </w:rPr>
            </w:pPr>
            <w:r>
              <w:rPr>
                <w:rFonts w:hint="eastAsia"/>
                <w:color w:val="auto"/>
              </w:rPr>
              <w:t>/</w:t>
            </w:r>
          </w:p>
        </w:tc>
        <w:tc>
          <w:tcPr>
            <w:tcW w:w="1158" w:type="dxa"/>
            <w:vAlign w:val="center"/>
          </w:tcPr>
          <w:p>
            <w:pPr>
              <w:widowControl w:val="0"/>
              <w:spacing w:line="240" w:lineRule="exact"/>
              <w:jc w:val="center"/>
              <w:rPr>
                <w:color w:val="auto"/>
              </w:rPr>
            </w:pPr>
            <w:r>
              <w:rPr>
                <w:rFonts w:hint="eastAsia"/>
                <w:color w:val="auto"/>
              </w:rPr>
              <w:t>1942</w:t>
            </w:r>
          </w:p>
        </w:tc>
      </w:tr>
    </w:tbl>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8.3.2</w:t>
      </w:r>
      <w:r>
        <w:rPr>
          <w:rFonts w:eastAsia="黑体"/>
          <w:color w:val="auto"/>
          <w:kern w:val="21"/>
          <w:sz w:val="28"/>
          <w:szCs w:val="28"/>
        </w:rPr>
        <w:t>环保运行费用估算</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工程完成后项目环保运行费用主要包括环保设备的维修费、折旧费、环保管理及其他费用，成本费用主要包括原辅材料消耗费，动力消耗费及人员工资，福利等。设备的折旧年限为</w:t>
      </w:r>
      <w:r>
        <w:rPr>
          <w:color w:val="auto"/>
          <w:kern w:val="0"/>
          <w:sz w:val="24"/>
          <w:szCs w:val="20"/>
        </w:rPr>
        <w:t>15</w:t>
      </w:r>
      <w:r>
        <w:rPr>
          <w:rFonts w:hint="eastAsia"/>
          <w:color w:val="auto"/>
          <w:kern w:val="0"/>
          <w:sz w:val="24"/>
          <w:szCs w:val="20"/>
        </w:rPr>
        <w:t>年，设备的修理费率为</w:t>
      </w:r>
      <w:r>
        <w:rPr>
          <w:color w:val="auto"/>
          <w:kern w:val="0"/>
          <w:sz w:val="24"/>
          <w:szCs w:val="20"/>
        </w:rPr>
        <w:t>2.5%</w:t>
      </w:r>
      <w:r>
        <w:rPr>
          <w:rFonts w:hint="eastAsia"/>
          <w:color w:val="auto"/>
          <w:kern w:val="0"/>
          <w:sz w:val="24"/>
          <w:szCs w:val="20"/>
        </w:rPr>
        <w:t>。为使项目环保治理设施正常运行，并达到预期的治理效果，环保运行费用估算：</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w:t>
      </w:r>
      <w:r>
        <w:rPr>
          <w:color w:val="auto"/>
          <w:kern w:val="0"/>
          <w:sz w:val="24"/>
          <w:szCs w:val="20"/>
        </w:rPr>
        <w:t>1</w:t>
      </w:r>
      <w:r>
        <w:rPr>
          <w:rFonts w:hint="eastAsia"/>
          <w:color w:val="auto"/>
          <w:kern w:val="0"/>
          <w:sz w:val="24"/>
          <w:szCs w:val="20"/>
        </w:rPr>
        <w:t>）环保设施运营费及修理费</w:t>
      </w:r>
    </w:p>
    <w:p>
      <w:pPr>
        <w:adjustRightInd w:val="0"/>
        <w:snapToGrid w:val="0"/>
        <w:spacing w:line="360" w:lineRule="auto"/>
        <w:ind w:firstLine="480" w:firstLineChars="200"/>
        <w:textAlignment w:val="baseline"/>
        <w:rPr>
          <w:color w:val="auto"/>
          <w:kern w:val="0"/>
          <w:sz w:val="24"/>
          <w:szCs w:val="20"/>
        </w:rPr>
      </w:pPr>
      <w:r>
        <w:rPr>
          <w:rFonts w:hint="eastAsia"/>
          <w:color w:val="auto"/>
          <w:kern w:val="0"/>
          <w:sz w:val="24"/>
          <w:szCs w:val="20"/>
        </w:rPr>
        <w:t>根据防污减污措施评价，本项目污染防治措施的运行费用主要为污水站运行费、废气治理设施运行费用和危险废物处置费用。根据7.2.6小节，污水处理站运行费为每年618.</w:t>
      </w:r>
      <w:r>
        <w:rPr>
          <w:rFonts w:hint="eastAsia"/>
          <w:color w:val="auto"/>
          <w:kern w:val="0"/>
          <w:sz w:val="24"/>
          <w:szCs w:val="20"/>
          <w:lang w:val="en-US" w:eastAsia="zh-CN"/>
        </w:rPr>
        <w:t>6</w:t>
      </w:r>
      <w:r>
        <w:rPr>
          <w:rFonts w:hint="eastAsia"/>
          <w:color w:val="auto"/>
          <w:kern w:val="0"/>
          <w:sz w:val="24"/>
          <w:szCs w:val="20"/>
        </w:rPr>
        <w:t>万元，废气运营费及危废处置费用按照环保总投资的1</w:t>
      </w:r>
      <w:r>
        <w:rPr>
          <w:color w:val="auto"/>
          <w:kern w:val="0"/>
          <w:sz w:val="24"/>
          <w:szCs w:val="20"/>
        </w:rPr>
        <w:t>0%</w:t>
      </w:r>
      <w:r>
        <w:rPr>
          <w:rFonts w:hint="eastAsia"/>
          <w:color w:val="auto"/>
          <w:kern w:val="0"/>
          <w:sz w:val="24"/>
          <w:szCs w:val="20"/>
        </w:rPr>
        <w:t>估算，设备的修理费用按照环保总投资的</w:t>
      </w:r>
      <w:r>
        <w:rPr>
          <w:color w:val="auto"/>
          <w:kern w:val="0"/>
          <w:sz w:val="24"/>
          <w:szCs w:val="20"/>
        </w:rPr>
        <w:t>2.5%</w:t>
      </w:r>
      <w:r>
        <w:rPr>
          <w:rFonts w:hint="eastAsia"/>
          <w:color w:val="auto"/>
          <w:kern w:val="0"/>
          <w:sz w:val="24"/>
          <w:szCs w:val="20"/>
        </w:rPr>
        <w:t>估算，则项目环保设施运营费用约为194.2万元，环保设备的修理费约为48.55万元。</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2</w:t>
      </w:r>
      <w:r>
        <w:rPr>
          <w:rFonts w:hint="eastAsia"/>
          <w:color w:val="auto"/>
          <w:kern w:val="0"/>
          <w:sz w:val="24"/>
          <w:szCs w:val="20"/>
        </w:rPr>
        <w:t>）环保设施折旧费</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项目环保设施运营期间会产生环保设施的折旧费，项目按照折旧年限</w:t>
      </w:r>
      <w:r>
        <w:rPr>
          <w:color w:val="auto"/>
          <w:kern w:val="0"/>
          <w:sz w:val="24"/>
          <w:szCs w:val="20"/>
        </w:rPr>
        <w:t>15</w:t>
      </w:r>
      <w:r>
        <w:rPr>
          <w:rFonts w:hint="eastAsia"/>
          <w:color w:val="auto"/>
          <w:kern w:val="0"/>
          <w:sz w:val="24"/>
          <w:szCs w:val="20"/>
        </w:rPr>
        <w:t>年进行考虑，项目环保设施的折旧费用计算如下：</w:t>
      </w:r>
    </w:p>
    <w:p>
      <w:pPr>
        <w:widowControl w:val="0"/>
        <w:adjustRightInd w:val="0"/>
        <w:snapToGrid w:val="0"/>
        <w:spacing w:line="360" w:lineRule="auto"/>
        <w:jc w:val="center"/>
        <w:textAlignment w:val="baseline"/>
        <w:rPr>
          <w:color w:val="auto"/>
          <w:kern w:val="0"/>
          <w:sz w:val="24"/>
          <w:szCs w:val="20"/>
        </w:rPr>
      </w:pPr>
      <w:r>
        <w:rPr>
          <w:color w:val="auto"/>
          <w:kern w:val="0"/>
          <w:sz w:val="24"/>
          <w:szCs w:val="20"/>
        </w:rPr>
        <w:t>C</w:t>
      </w:r>
      <w:r>
        <w:rPr>
          <w:color w:val="auto"/>
          <w:kern w:val="0"/>
          <w:sz w:val="24"/>
          <w:szCs w:val="20"/>
          <w:vertAlign w:val="subscript"/>
        </w:rPr>
        <w:t>2</w:t>
      </w:r>
      <w:r>
        <w:rPr>
          <w:color w:val="auto"/>
          <w:kern w:val="0"/>
          <w:sz w:val="24"/>
          <w:szCs w:val="20"/>
        </w:rPr>
        <w:t>=a×C</w:t>
      </w:r>
      <w:r>
        <w:rPr>
          <w:color w:val="auto"/>
          <w:kern w:val="0"/>
          <w:sz w:val="24"/>
          <w:szCs w:val="20"/>
          <w:vertAlign w:val="subscript"/>
        </w:rPr>
        <w:t>0</w:t>
      </w:r>
      <w:r>
        <w:rPr>
          <w:color w:val="auto"/>
          <w:kern w:val="0"/>
          <w:sz w:val="24"/>
          <w:szCs w:val="20"/>
        </w:rPr>
        <w:t>/n</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式中，</w:t>
      </w:r>
      <w:r>
        <w:rPr>
          <w:color w:val="auto"/>
          <w:kern w:val="0"/>
          <w:sz w:val="24"/>
          <w:szCs w:val="20"/>
        </w:rPr>
        <w:t>a—</w:t>
      </w:r>
      <w:r>
        <w:rPr>
          <w:rFonts w:hint="eastAsia"/>
          <w:color w:val="auto"/>
          <w:kern w:val="0"/>
          <w:sz w:val="24"/>
          <w:szCs w:val="20"/>
        </w:rPr>
        <w:t>固定资产形成率，取</w:t>
      </w:r>
      <w:r>
        <w:rPr>
          <w:color w:val="auto"/>
          <w:kern w:val="0"/>
          <w:sz w:val="24"/>
          <w:szCs w:val="20"/>
        </w:rPr>
        <w:t>90%</w:t>
      </w:r>
      <w:r>
        <w:rPr>
          <w:rFonts w:hint="eastAsia"/>
          <w:color w:val="auto"/>
          <w:kern w:val="0"/>
          <w:sz w:val="24"/>
          <w:szCs w:val="20"/>
        </w:rPr>
        <w:t>；</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n—</w:t>
      </w:r>
      <w:r>
        <w:rPr>
          <w:rFonts w:hint="eastAsia"/>
          <w:color w:val="auto"/>
          <w:kern w:val="0"/>
          <w:sz w:val="24"/>
          <w:szCs w:val="20"/>
        </w:rPr>
        <w:t>折旧年限，取</w:t>
      </w:r>
      <w:r>
        <w:rPr>
          <w:color w:val="auto"/>
          <w:kern w:val="0"/>
          <w:sz w:val="24"/>
          <w:szCs w:val="20"/>
        </w:rPr>
        <w:t>1</w:t>
      </w:r>
      <w:r>
        <w:rPr>
          <w:rFonts w:hint="eastAsia"/>
          <w:color w:val="auto"/>
          <w:kern w:val="0"/>
          <w:sz w:val="24"/>
          <w:szCs w:val="20"/>
        </w:rPr>
        <w:t>5年；</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C</w:t>
      </w:r>
      <w:r>
        <w:rPr>
          <w:color w:val="auto"/>
          <w:kern w:val="0"/>
          <w:sz w:val="24"/>
          <w:szCs w:val="20"/>
          <w:vertAlign w:val="subscript"/>
        </w:rPr>
        <w:t>0</w:t>
      </w:r>
      <w:r>
        <w:rPr>
          <w:color w:val="auto"/>
          <w:kern w:val="0"/>
          <w:sz w:val="24"/>
          <w:szCs w:val="20"/>
        </w:rPr>
        <w:t>—</w:t>
      </w:r>
      <w:r>
        <w:rPr>
          <w:rFonts w:hint="eastAsia"/>
          <w:color w:val="auto"/>
          <w:kern w:val="0"/>
          <w:sz w:val="24"/>
          <w:szCs w:val="20"/>
        </w:rPr>
        <w:t>环保设施投资。</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经计算，项目环保设施折旧费为116.52万元。</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3</w:t>
      </w:r>
      <w:r>
        <w:rPr>
          <w:rFonts w:hint="eastAsia"/>
          <w:color w:val="auto"/>
          <w:kern w:val="0"/>
          <w:sz w:val="24"/>
          <w:szCs w:val="20"/>
        </w:rPr>
        <w:t>）环保管理费</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环保管理费用包括管理部门的办公费、</w:t>
      </w:r>
      <w:r>
        <w:rPr>
          <w:rFonts w:hint="eastAsia"/>
          <w:color w:val="auto"/>
          <w:kern w:val="0"/>
          <w:sz w:val="24"/>
          <w:szCs w:val="20"/>
          <w:lang w:eastAsia="zh-CN"/>
        </w:rPr>
        <w:t>检测费</w:t>
      </w:r>
      <w:r>
        <w:rPr>
          <w:rFonts w:hint="eastAsia"/>
          <w:color w:val="auto"/>
          <w:kern w:val="0"/>
          <w:sz w:val="24"/>
          <w:szCs w:val="20"/>
        </w:rPr>
        <w:t>和技术咨询费等，按环保设施投资折旧费用与运行费用的</w:t>
      </w:r>
      <w:r>
        <w:rPr>
          <w:rFonts w:hint="eastAsia"/>
          <w:color w:val="auto"/>
          <w:kern w:val="0"/>
          <w:sz w:val="24"/>
          <w:szCs w:val="20"/>
          <w:lang w:val="en-US" w:eastAsia="zh-CN"/>
        </w:rPr>
        <w:t>1</w:t>
      </w:r>
      <w:r>
        <w:rPr>
          <w:color w:val="auto"/>
          <w:kern w:val="0"/>
          <w:sz w:val="24"/>
          <w:szCs w:val="20"/>
        </w:rPr>
        <w:t>%</w:t>
      </w:r>
      <w:r>
        <w:rPr>
          <w:rFonts w:hint="eastAsia"/>
          <w:color w:val="auto"/>
          <w:kern w:val="0"/>
          <w:sz w:val="24"/>
          <w:szCs w:val="20"/>
        </w:rPr>
        <w:t>计算，则项目运营期环保管理费为9.</w:t>
      </w:r>
      <w:r>
        <w:rPr>
          <w:rFonts w:hint="eastAsia"/>
          <w:color w:val="auto"/>
          <w:kern w:val="0"/>
          <w:sz w:val="24"/>
          <w:szCs w:val="20"/>
          <w:lang w:val="en-US" w:eastAsia="zh-CN"/>
        </w:rPr>
        <w:t>779</w:t>
      </w:r>
      <w:r>
        <w:rPr>
          <w:rFonts w:hint="eastAsia"/>
          <w:color w:val="auto"/>
          <w:kern w:val="0"/>
          <w:sz w:val="24"/>
          <w:szCs w:val="20"/>
        </w:rPr>
        <w:t>万元。</w:t>
      </w:r>
    </w:p>
    <w:p>
      <w:pPr>
        <w:widowControl w:val="0"/>
        <w:adjustRightInd w:val="0"/>
        <w:snapToGrid w:val="0"/>
        <w:spacing w:line="360" w:lineRule="auto"/>
        <w:ind w:firstLine="480" w:firstLineChars="200"/>
        <w:jc w:val="both"/>
        <w:textAlignment w:val="baseline"/>
        <w:rPr>
          <w:b/>
          <w:bCs/>
          <w:color w:val="auto"/>
          <w:kern w:val="0"/>
          <w:sz w:val="24"/>
          <w:szCs w:val="20"/>
          <w:u w:val="single"/>
        </w:rPr>
      </w:pPr>
      <w:r>
        <w:rPr>
          <w:rFonts w:hint="eastAsia"/>
          <w:color w:val="auto"/>
          <w:kern w:val="0"/>
          <w:sz w:val="24"/>
          <w:szCs w:val="20"/>
        </w:rPr>
        <w:t>综上所述，项目环保设施总运行费用为987.6万元，</w:t>
      </w:r>
      <w:r>
        <w:rPr>
          <w:rFonts w:hint="eastAsia"/>
          <w:b/>
          <w:bCs/>
          <w:color w:val="auto"/>
          <w:kern w:val="0"/>
          <w:sz w:val="24"/>
          <w:szCs w:val="20"/>
          <w:u w:val="single"/>
        </w:rPr>
        <w:t>占全年利润</w:t>
      </w:r>
      <w:r>
        <w:rPr>
          <w:rFonts w:hint="eastAsia"/>
          <w:b/>
          <w:bCs/>
          <w:color w:val="auto"/>
          <w:kern w:val="0"/>
          <w:sz w:val="24"/>
          <w:szCs w:val="20"/>
          <w:u w:val="single"/>
          <w:lang w:eastAsia="zh-CN"/>
        </w:rPr>
        <w:t>（</w:t>
      </w:r>
      <w:r>
        <w:rPr>
          <w:rFonts w:hint="eastAsia"/>
          <w:b/>
          <w:bCs/>
          <w:color w:val="auto"/>
          <w:kern w:val="0"/>
          <w:sz w:val="24"/>
          <w:szCs w:val="20"/>
          <w:u w:val="single"/>
          <w:lang w:val="en-US" w:eastAsia="zh-CN"/>
        </w:rPr>
        <w:t>税后</w:t>
      </w:r>
      <w:r>
        <w:rPr>
          <w:rFonts w:hint="eastAsia"/>
          <w:b/>
          <w:bCs/>
          <w:color w:val="auto"/>
          <w:kern w:val="0"/>
          <w:sz w:val="24"/>
          <w:szCs w:val="20"/>
          <w:u w:val="single"/>
          <w:lang w:eastAsia="zh-CN"/>
        </w:rPr>
        <w:t>）</w:t>
      </w:r>
      <w:r>
        <w:rPr>
          <w:rFonts w:hint="eastAsia"/>
          <w:b/>
          <w:bCs/>
          <w:color w:val="auto"/>
          <w:kern w:val="0"/>
          <w:sz w:val="24"/>
          <w:szCs w:val="20"/>
          <w:u w:val="single"/>
        </w:rPr>
        <w:t>的17.8</w:t>
      </w:r>
      <w:r>
        <w:rPr>
          <w:b/>
          <w:bCs/>
          <w:color w:val="auto"/>
          <w:kern w:val="0"/>
          <w:sz w:val="24"/>
          <w:szCs w:val="20"/>
          <w:u w:val="single"/>
        </w:rPr>
        <w:t>%</w:t>
      </w:r>
      <w:r>
        <w:rPr>
          <w:rFonts w:hint="eastAsia"/>
          <w:b/>
          <w:bCs/>
          <w:color w:val="auto"/>
          <w:kern w:val="0"/>
          <w:sz w:val="24"/>
          <w:szCs w:val="20"/>
          <w:u w:val="single"/>
        </w:rPr>
        <w:t>。</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8.3.3</w:t>
      </w:r>
      <w:r>
        <w:rPr>
          <w:rFonts w:eastAsia="黑体"/>
          <w:color w:val="auto"/>
          <w:kern w:val="21"/>
          <w:sz w:val="28"/>
          <w:szCs w:val="28"/>
        </w:rPr>
        <w:t>工程环境收益估算</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通过设置专项资金进行污染治理，不仅</w:t>
      </w:r>
      <w:r>
        <w:rPr>
          <w:rFonts w:hint="eastAsia"/>
          <w:color w:val="auto"/>
          <w:kern w:val="0"/>
          <w:sz w:val="24"/>
          <w:szCs w:val="20"/>
          <w:lang w:eastAsia="zh-CN"/>
        </w:rPr>
        <w:t>可以最大限度地</w:t>
      </w:r>
      <w:r>
        <w:rPr>
          <w:rFonts w:hint="eastAsia"/>
          <w:color w:val="auto"/>
          <w:kern w:val="0"/>
          <w:sz w:val="24"/>
          <w:szCs w:val="20"/>
        </w:rPr>
        <w:t>减少污染物的排放量，而且实现了部分可利用废物的回收，降低了企业的运行成本，产生了良好的环境效益：</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1、环境效益</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本项目环境效益见表</w:t>
      </w:r>
      <w:r>
        <w:rPr>
          <w:rFonts w:hint="eastAsia"/>
          <w:color w:val="auto"/>
          <w:kern w:val="0"/>
          <w:sz w:val="24"/>
          <w:szCs w:val="20"/>
        </w:rPr>
        <w:t>8</w:t>
      </w:r>
      <w:r>
        <w:rPr>
          <w:color w:val="auto"/>
          <w:kern w:val="0"/>
          <w:sz w:val="24"/>
          <w:szCs w:val="20"/>
        </w:rPr>
        <w:t>.</w:t>
      </w:r>
      <w:r>
        <w:rPr>
          <w:rFonts w:hint="eastAsia"/>
          <w:color w:val="auto"/>
          <w:kern w:val="0"/>
          <w:sz w:val="24"/>
          <w:szCs w:val="20"/>
        </w:rPr>
        <w:t>3</w:t>
      </w:r>
      <w:r>
        <w:rPr>
          <w:color w:val="auto"/>
          <w:kern w:val="0"/>
          <w:sz w:val="24"/>
          <w:szCs w:val="20"/>
        </w:rPr>
        <w:t>-</w:t>
      </w:r>
      <w:r>
        <w:rPr>
          <w:rFonts w:hint="eastAsia"/>
          <w:color w:val="auto"/>
          <w:kern w:val="0"/>
          <w:sz w:val="24"/>
          <w:szCs w:val="20"/>
        </w:rPr>
        <w:t>2</w:t>
      </w:r>
      <w:r>
        <w:rPr>
          <w:color w:val="auto"/>
          <w:kern w:val="0"/>
          <w:sz w:val="24"/>
          <w:szCs w:val="20"/>
        </w:rPr>
        <w:t>。</w:t>
      </w:r>
    </w:p>
    <w:p>
      <w:pPr>
        <w:widowControl w:val="0"/>
        <w:tabs>
          <w:tab w:val="center" w:pos="4575"/>
          <w:tab w:val="left" w:pos="7365"/>
        </w:tabs>
        <w:jc w:val="center"/>
        <w:rPr>
          <w:rFonts w:ascii="黑体" w:hAnsi="黑体" w:eastAsia="黑体"/>
          <w:color w:val="auto"/>
          <w:sz w:val="24"/>
          <w:szCs w:val="22"/>
        </w:rPr>
      </w:pPr>
      <w:r>
        <w:rPr>
          <w:rFonts w:ascii="黑体" w:hAnsi="黑体" w:eastAsia="黑体"/>
          <w:color w:val="auto"/>
          <w:sz w:val="24"/>
          <w:szCs w:val="22"/>
        </w:rPr>
        <w:t xml:space="preserve">表 </w:t>
      </w:r>
      <w:r>
        <w:rPr>
          <w:rFonts w:hint="eastAsia" w:ascii="黑体" w:hAnsi="黑体" w:eastAsia="黑体"/>
          <w:color w:val="auto"/>
          <w:sz w:val="24"/>
          <w:szCs w:val="22"/>
        </w:rPr>
        <w:t>8</w:t>
      </w:r>
      <w:r>
        <w:rPr>
          <w:rFonts w:ascii="黑体" w:hAnsi="黑体" w:eastAsia="黑体"/>
          <w:color w:val="auto"/>
          <w:sz w:val="24"/>
          <w:szCs w:val="22"/>
        </w:rPr>
        <w:t>.</w:t>
      </w:r>
      <w:r>
        <w:rPr>
          <w:rFonts w:hint="eastAsia" w:ascii="黑体" w:hAnsi="黑体" w:eastAsia="黑体"/>
          <w:color w:val="auto"/>
          <w:sz w:val="24"/>
          <w:szCs w:val="22"/>
        </w:rPr>
        <w:t>3</w:t>
      </w:r>
      <w:r>
        <w:rPr>
          <w:rFonts w:ascii="黑体" w:hAnsi="黑体" w:eastAsia="黑体"/>
          <w:color w:val="auto"/>
          <w:sz w:val="24"/>
          <w:szCs w:val="22"/>
        </w:rPr>
        <w:t>-</w:t>
      </w:r>
      <w:r>
        <w:rPr>
          <w:rFonts w:hint="eastAsia" w:ascii="黑体" w:hAnsi="黑体" w:eastAsia="黑体"/>
          <w:color w:val="auto"/>
          <w:sz w:val="24"/>
          <w:szCs w:val="22"/>
        </w:rPr>
        <w:t>2</w:t>
      </w:r>
      <w:r>
        <w:rPr>
          <w:rFonts w:ascii="黑体" w:hAnsi="黑体" w:eastAsia="黑体"/>
          <w:color w:val="auto"/>
          <w:sz w:val="24"/>
          <w:szCs w:val="22"/>
        </w:rPr>
        <w:t xml:space="preserve">   本项目环境效益</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1056"/>
        <w:gridCol w:w="6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2" w:type="pct"/>
            <w:vAlign w:val="center"/>
          </w:tcPr>
          <w:p>
            <w:pPr>
              <w:widowControl w:val="0"/>
              <w:adjustRightInd w:val="0"/>
              <w:snapToGrid w:val="0"/>
              <w:jc w:val="center"/>
              <w:textAlignment w:val="baseline"/>
              <w:rPr>
                <w:rFonts w:hint="default" w:ascii="Times New Roman" w:hAnsi="Times New Roman" w:cs="Times New Roman"/>
                <w:b/>
                <w:color w:val="auto"/>
                <w:kern w:val="0"/>
                <w:sz w:val="21"/>
                <w:szCs w:val="21"/>
                <w:u w:val="none"/>
              </w:rPr>
            </w:pPr>
            <w:r>
              <w:rPr>
                <w:rFonts w:hint="default" w:ascii="Times New Roman" w:hAnsi="Times New Roman" w:cs="Times New Roman"/>
                <w:b/>
                <w:color w:val="auto"/>
                <w:kern w:val="0"/>
                <w:sz w:val="21"/>
                <w:szCs w:val="21"/>
                <w:u w:val="none"/>
              </w:rPr>
              <w:t>序号</w:t>
            </w:r>
          </w:p>
        </w:tc>
        <w:tc>
          <w:tcPr>
            <w:tcW w:w="619" w:type="pct"/>
            <w:vAlign w:val="center"/>
          </w:tcPr>
          <w:p>
            <w:pPr>
              <w:widowControl w:val="0"/>
              <w:adjustRightInd w:val="0"/>
              <w:snapToGrid w:val="0"/>
              <w:jc w:val="center"/>
              <w:textAlignment w:val="baseline"/>
              <w:rPr>
                <w:rFonts w:hint="default" w:ascii="Times New Roman" w:hAnsi="Times New Roman" w:cs="Times New Roman"/>
                <w:b/>
                <w:color w:val="auto"/>
                <w:kern w:val="0"/>
                <w:sz w:val="21"/>
                <w:szCs w:val="21"/>
                <w:u w:val="none"/>
              </w:rPr>
            </w:pPr>
            <w:r>
              <w:rPr>
                <w:rFonts w:hint="default" w:ascii="Times New Roman" w:hAnsi="Times New Roman" w:cs="Times New Roman"/>
                <w:b/>
                <w:color w:val="auto"/>
                <w:kern w:val="0"/>
                <w:sz w:val="21"/>
                <w:szCs w:val="21"/>
                <w:u w:val="none"/>
              </w:rPr>
              <w:t>项目</w:t>
            </w:r>
          </w:p>
        </w:tc>
        <w:tc>
          <w:tcPr>
            <w:tcW w:w="3989" w:type="pct"/>
            <w:vAlign w:val="center"/>
          </w:tcPr>
          <w:p>
            <w:pPr>
              <w:widowControl w:val="0"/>
              <w:adjustRightInd w:val="0"/>
              <w:snapToGrid w:val="0"/>
              <w:jc w:val="center"/>
              <w:textAlignment w:val="baseline"/>
              <w:rPr>
                <w:rFonts w:hint="default" w:ascii="Times New Roman" w:hAnsi="Times New Roman" w:cs="Times New Roman"/>
                <w:b/>
                <w:color w:val="auto"/>
                <w:kern w:val="0"/>
                <w:sz w:val="21"/>
                <w:szCs w:val="21"/>
                <w:u w:val="none"/>
              </w:rPr>
            </w:pPr>
            <w:r>
              <w:rPr>
                <w:rFonts w:hint="default" w:ascii="Times New Roman" w:hAnsi="Times New Roman" w:cs="Times New Roman"/>
                <w:b/>
                <w:color w:val="auto"/>
                <w:kern w:val="0"/>
                <w:sz w:val="21"/>
                <w:szCs w:val="21"/>
                <w:u w:val="none"/>
              </w:rPr>
              <w:t>环境效益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619"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废气处理</w:t>
            </w:r>
          </w:p>
        </w:tc>
        <w:tc>
          <w:tcPr>
            <w:tcW w:w="3989" w:type="pct"/>
            <w:vAlign w:val="center"/>
          </w:tcPr>
          <w:p>
            <w:pPr>
              <w:widowControl w:val="0"/>
              <w:adjustRightInd w:val="0"/>
              <w:snapToGrid w:val="0"/>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r>
              <w:rPr>
                <w:rFonts w:hint="default" w:ascii="Times New Roman" w:hAnsi="Times New Roman" w:cs="Times New Roman"/>
                <w:bCs/>
                <w:color w:val="auto"/>
                <w:kern w:val="21"/>
                <w:sz w:val="21"/>
                <w:szCs w:val="21"/>
              </w:rPr>
              <w:t>酸雾</w:t>
            </w:r>
            <w:r>
              <w:rPr>
                <w:rFonts w:hint="default" w:ascii="Times New Roman" w:hAnsi="Times New Roman" w:cs="Times New Roman"/>
                <w:color w:val="auto"/>
                <w:kern w:val="0"/>
                <w:sz w:val="21"/>
                <w:szCs w:val="21"/>
              </w:rPr>
              <w:t>：</w:t>
            </w:r>
            <w:r>
              <w:rPr>
                <w:rFonts w:hint="default" w:ascii="Times New Roman" w:hAnsi="Times New Roman" w:cs="Times New Roman"/>
                <w:color w:val="auto"/>
                <w:kern w:val="21"/>
                <w:sz w:val="21"/>
                <w:szCs w:val="21"/>
                <w:lang w:val="en-GB"/>
              </w:rPr>
              <w:t>生产车间中的每条生产线采用透明板进行整体封闭，只在两端工件上下料处开口，在各电镀线酸雾产生点设置顶吸罩+槽边双侧抽风收集系统，酸储罐安装酸雾集气罩，收集的酸雾经总管道进入车间酸雾处理系统，然后通过二级喷淋吸收塔，加入碱液进行中和反应，用一台加压泵闭路循环回用，使溶液在加压的条件下保持连续稳定的闭路循环回用，经过喷淋吸收后进入风机输送至排气筒，实现达标排放。</w:t>
            </w:r>
            <w:r>
              <w:rPr>
                <w:rFonts w:hint="default" w:ascii="Times New Roman" w:hAnsi="Times New Roman" w:cs="Times New Roman"/>
                <w:color w:val="auto"/>
                <w:kern w:val="21"/>
                <w:sz w:val="21"/>
                <w:szCs w:val="21"/>
              </w:rPr>
              <w:t>经治理后，本项目氯化氢排放满足《电镀污染物排放标准》（GB21900-2008）表5标准中30mg/m</w:t>
            </w:r>
            <w:r>
              <w:rPr>
                <w:rFonts w:hint="default" w:ascii="Times New Roman" w:hAnsi="Times New Roman" w:cs="Times New Roman"/>
                <w:color w:val="auto"/>
                <w:kern w:val="21"/>
                <w:sz w:val="21"/>
                <w:szCs w:val="21"/>
                <w:vertAlign w:val="superscript"/>
              </w:rPr>
              <w:t>3</w:t>
            </w:r>
            <w:r>
              <w:rPr>
                <w:rFonts w:hint="default" w:ascii="Times New Roman" w:hAnsi="Times New Roman" w:cs="Times New Roman"/>
                <w:color w:val="auto"/>
                <w:kern w:val="21"/>
                <w:sz w:val="21"/>
                <w:szCs w:val="21"/>
              </w:rPr>
              <w:t>的标准限值及</w:t>
            </w:r>
            <w:r>
              <w:rPr>
                <w:rFonts w:hint="default" w:ascii="Times New Roman" w:hAnsi="Times New Roman" w:cs="Times New Roman"/>
                <w:color w:val="auto"/>
                <w:kern w:val="0"/>
                <w:sz w:val="21"/>
                <w:szCs w:val="21"/>
                <w:lang w:val="zh-CN" w:bidi="zh-CN"/>
              </w:rPr>
              <w:t>《河南省重污染天气重点行业应急减排措施制定技术指南（2021年修订）》中</w:t>
            </w:r>
            <w:r>
              <w:rPr>
                <w:rFonts w:hint="eastAsia" w:cs="Times New Roman"/>
                <w:color w:val="auto"/>
                <w:kern w:val="0"/>
                <w:sz w:val="21"/>
                <w:szCs w:val="21"/>
                <w:lang w:val="zh-CN" w:bidi="zh-CN"/>
              </w:rPr>
              <w:t>“</w:t>
            </w:r>
            <w:r>
              <w:rPr>
                <w:rFonts w:hint="default" w:ascii="Times New Roman" w:hAnsi="Times New Roman" w:cs="Times New Roman"/>
                <w:color w:val="auto"/>
                <w:sz w:val="21"/>
                <w:szCs w:val="21"/>
              </w:rPr>
              <w:t>金属表面处理及热处理加工</w:t>
            </w:r>
            <w:r>
              <w:rPr>
                <w:rFonts w:hint="eastAsia" w:cs="Times New Roman"/>
                <w:color w:val="auto"/>
                <w:sz w:val="21"/>
                <w:szCs w:val="21"/>
                <w:lang w:eastAsia="zh-CN"/>
              </w:rPr>
              <w:t>”</w:t>
            </w:r>
            <w:r>
              <w:rPr>
                <w:rFonts w:hint="default" w:ascii="Times New Roman" w:hAnsi="Times New Roman" w:cs="Times New Roman"/>
                <w:color w:val="auto"/>
                <w:kern w:val="0"/>
                <w:sz w:val="21"/>
                <w:szCs w:val="21"/>
                <w:lang w:val="zh-CN" w:bidi="zh-CN"/>
              </w:rPr>
              <w:t>10mg/m</w:t>
            </w:r>
            <w:r>
              <w:rPr>
                <w:rFonts w:hint="default" w:ascii="Times New Roman" w:hAnsi="Times New Roman" w:cs="Times New Roman"/>
                <w:color w:val="auto"/>
                <w:kern w:val="0"/>
                <w:sz w:val="21"/>
                <w:szCs w:val="21"/>
                <w:vertAlign w:val="superscript"/>
                <w:lang w:val="zh-CN" w:bidi="zh-CN"/>
              </w:rPr>
              <w:t>3</w:t>
            </w:r>
            <w:r>
              <w:rPr>
                <w:rFonts w:hint="default" w:ascii="Times New Roman" w:hAnsi="Times New Roman" w:cs="Times New Roman"/>
                <w:color w:val="auto"/>
                <w:kern w:val="0"/>
                <w:sz w:val="21"/>
                <w:szCs w:val="21"/>
                <w:lang w:val="zh-CN" w:bidi="zh-CN"/>
              </w:rPr>
              <w:t>浓度限值要求</w:t>
            </w:r>
            <w:r>
              <w:rPr>
                <w:rFonts w:hint="default" w:ascii="Times New Roman" w:hAnsi="Times New Roman" w:cs="Times New Roman"/>
                <w:color w:val="auto"/>
                <w:kern w:val="21"/>
                <w:sz w:val="21"/>
                <w:szCs w:val="21"/>
              </w:rPr>
              <w:t>。</w:t>
            </w:r>
          </w:p>
          <w:p>
            <w:pPr>
              <w:widowControl w:val="0"/>
              <w:adjustRightInd w:val="0"/>
              <w:snapToGrid w:val="0"/>
              <w:jc w:val="both"/>
              <w:textAlignment w:val="baseline"/>
              <w:rPr>
                <w:rFonts w:hint="default" w:ascii="Times New Roman" w:hAnsi="Times New Roman" w:cs="Times New Roman"/>
                <w:color w:val="auto"/>
                <w:kern w:val="21"/>
                <w:sz w:val="21"/>
                <w:szCs w:val="21"/>
              </w:rPr>
            </w:pPr>
            <w:r>
              <w:rPr>
                <w:rFonts w:hint="default" w:ascii="Times New Roman" w:hAnsi="Times New Roman" w:cs="Times New Roman"/>
                <w:color w:val="auto"/>
                <w:kern w:val="0"/>
                <w:sz w:val="21"/>
                <w:szCs w:val="21"/>
              </w:rPr>
              <w:t>（2）</w:t>
            </w:r>
            <w:r>
              <w:rPr>
                <w:rFonts w:hint="default" w:ascii="Times New Roman" w:hAnsi="Times New Roman" w:cs="Times New Roman"/>
                <w:bCs/>
                <w:color w:val="auto"/>
                <w:kern w:val="21"/>
                <w:sz w:val="21"/>
                <w:szCs w:val="21"/>
              </w:rPr>
              <w:t>燃气锅炉</w:t>
            </w:r>
            <w:r>
              <w:rPr>
                <w:rFonts w:hint="default" w:ascii="Times New Roman" w:hAnsi="Times New Roman" w:cs="Times New Roman"/>
                <w:color w:val="auto"/>
                <w:kern w:val="21"/>
                <w:sz w:val="21"/>
                <w:szCs w:val="21"/>
              </w:rPr>
              <w:t>废气</w:t>
            </w:r>
            <w:r>
              <w:rPr>
                <w:rFonts w:hint="default" w:ascii="Times New Roman" w:hAnsi="Times New Roman" w:cs="Times New Roman"/>
                <w:color w:val="auto"/>
                <w:kern w:val="0"/>
                <w:sz w:val="21"/>
                <w:szCs w:val="21"/>
              </w:rPr>
              <w:t>：</w:t>
            </w:r>
            <w:r>
              <w:rPr>
                <w:rFonts w:hint="default" w:ascii="Times New Roman" w:hAnsi="Times New Roman" w:cs="Times New Roman"/>
                <w:color w:val="auto"/>
                <w:kern w:val="21"/>
                <w:sz w:val="21"/>
                <w:szCs w:val="21"/>
              </w:rPr>
              <w:t>本项目设置4t/h、6t/h的燃气锅炉各一台，为电镀线提供所需蒸汽，废气通过同一排气筒排出，锅炉采用低氮燃烧</w:t>
            </w:r>
            <w:r>
              <w:rPr>
                <w:rFonts w:hint="default" w:ascii="Times New Roman" w:hAnsi="Times New Roman" w:cs="Times New Roman"/>
                <w:color w:val="auto"/>
                <w:sz w:val="21"/>
                <w:szCs w:val="21"/>
              </w:rPr>
              <w:t>+烟气再循环</w:t>
            </w:r>
            <w:r>
              <w:rPr>
                <w:rFonts w:hint="default" w:ascii="Times New Roman" w:hAnsi="Times New Roman" w:cs="Times New Roman"/>
                <w:color w:val="auto"/>
                <w:kern w:val="21"/>
                <w:sz w:val="21"/>
                <w:szCs w:val="21"/>
              </w:rPr>
              <w:t>技术，有效降低燃烧温度，抑制氮氧化物的合成。</w:t>
            </w:r>
            <w:r>
              <w:rPr>
                <w:rFonts w:hint="default" w:ascii="Times New Roman" w:hAnsi="Times New Roman" w:cs="Times New Roman"/>
                <w:bCs/>
                <w:snapToGrid w:val="0"/>
                <w:color w:val="auto"/>
                <w:kern w:val="21"/>
                <w:sz w:val="21"/>
                <w:szCs w:val="21"/>
              </w:rPr>
              <w:t>项目燃气锅炉污染物排放能够满足《锅炉大气污染物排放标准》（DB41/2089-2021）表1中在基准含氧量3.5%的条件下，颗粒物、SO</w:t>
            </w:r>
            <w:r>
              <w:rPr>
                <w:rFonts w:hint="default" w:ascii="Times New Roman" w:hAnsi="Times New Roman" w:cs="Times New Roman"/>
                <w:bCs/>
                <w:snapToGrid w:val="0"/>
                <w:color w:val="auto"/>
                <w:kern w:val="21"/>
                <w:sz w:val="21"/>
                <w:szCs w:val="21"/>
                <w:vertAlign w:val="subscript"/>
              </w:rPr>
              <w:t>2</w:t>
            </w:r>
            <w:r>
              <w:rPr>
                <w:rFonts w:hint="default" w:ascii="Times New Roman" w:hAnsi="Times New Roman" w:cs="Times New Roman"/>
                <w:bCs/>
                <w:snapToGrid w:val="0"/>
                <w:color w:val="auto"/>
                <w:kern w:val="21"/>
                <w:sz w:val="21"/>
                <w:szCs w:val="21"/>
              </w:rPr>
              <w:t>、NOx排放浓度分别不高于5</w:t>
            </w: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r>
              <w:rPr>
                <w:rFonts w:hint="default" w:ascii="Times New Roman" w:hAnsi="Times New Roman" w:cs="Times New Roman"/>
                <w:bCs/>
                <w:snapToGrid w:val="0"/>
                <w:color w:val="auto"/>
                <w:kern w:val="21"/>
                <w:sz w:val="21"/>
                <w:szCs w:val="21"/>
              </w:rPr>
              <w:t>10</w:t>
            </w: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w:t>
            </w:r>
            <w:r>
              <w:rPr>
                <w:rFonts w:hint="default" w:ascii="Times New Roman" w:hAnsi="Times New Roman" w:cs="Times New Roman"/>
                <w:bCs/>
                <w:snapToGrid w:val="0"/>
                <w:color w:val="auto"/>
                <w:kern w:val="21"/>
                <w:sz w:val="21"/>
                <w:szCs w:val="21"/>
              </w:rPr>
              <w:t>30</w:t>
            </w: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21"/>
                <w:sz w:val="21"/>
                <w:szCs w:val="21"/>
              </w:rPr>
              <w:t>。</w:t>
            </w:r>
          </w:p>
          <w:p>
            <w:pPr>
              <w:widowControl w:val="0"/>
              <w:adjustRightInd w:val="0"/>
              <w:snapToGrid w:val="0"/>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w:t>
            </w:r>
            <w:r>
              <w:rPr>
                <w:rFonts w:hint="default" w:ascii="Times New Roman" w:hAnsi="Times New Roman" w:cs="Times New Roman"/>
                <w:color w:val="auto"/>
                <w:kern w:val="21"/>
                <w:sz w:val="21"/>
                <w:szCs w:val="21"/>
                <w:lang w:val="en-GB"/>
              </w:rPr>
              <w:t>3）污水站恶臭：本项目将污水站调节池、生化池、污泥池加盖密闭，并将恶臭气体集中收集引入生物除臭设施进行除臭，处理后经</w:t>
            </w:r>
            <w:r>
              <w:rPr>
                <w:rFonts w:hint="eastAsia" w:cs="Times New Roman"/>
                <w:color w:val="auto"/>
                <w:kern w:val="21"/>
                <w:sz w:val="21"/>
                <w:szCs w:val="21"/>
                <w:lang w:val="en-GB" w:eastAsia="zh-CN"/>
              </w:rPr>
              <w:t>15m高排气筒</w:t>
            </w:r>
            <w:r>
              <w:rPr>
                <w:rFonts w:hint="default" w:ascii="Times New Roman" w:hAnsi="Times New Roman" w:cs="Times New Roman"/>
                <w:color w:val="auto"/>
                <w:kern w:val="21"/>
                <w:sz w:val="21"/>
                <w:szCs w:val="21"/>
                <w:lang w:val="en-GB"/>
              </w:rPr>
              <w:t>排放。经治理后污水站恶臭能够满足《恶臭污染物排放标准》(GB14554-1993</w:t>
            </w:r>
            <w:r>
              <w:rPr>
                <w:rFonts w:hint="default" w:ascii="Times New Roman" w:hAnsi="Times New Roman" w:cs="Times New Roman"/>
                <w:color w:val="auto"/>
                <w:kern w:val="21"/>
                <w:sz w:val="21"/>
                <w:szCs w:val="21"/>
                <w:lang w:val="en-GB" w:eastAsia="zh-CN"/>
              </w:rPr>
              <w:t>）</w:t>
            </w:r>
            <w:r>
              <w:rPr>
                <w:rFonts w:hint="default" w:ascii="Times New Roman" w:hAnsi="Times New Roman" w:cs="Times New Roman"/>
                <w:color w:val="auto"/>
                <w:kern w:val="21"/>
                <w:sz w:val="21"/>
                <w:szCs w:val="21"/>
                <w:lang w:val="en-GB"/>
              </w:rPr>
              <w:t>表2标准要求符合可行技术要求。</w:t>
            </w:r>
          </w:p>
          <w:p>
            <w:pPr>
              <w:widowControl w:val="0"/>
              <w:adjustRightInd w:val="0"/>
              <w:snapToGrid w:val="0"/>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bCs/>
                <w:color w:val="auto"/>
                <w:kern w:val="0"/>
                <w:sz w:val="21"/>
                <w:szCs w:val="21"/>
              </w:rPr>
              <w:t>（4）焊接</w:t>
            </w:r>
            <w:r>
              <w:rPr>
                <w:rFonts w:hint="default" w:ascii="Times New Roman" w:hAnsi="Times New Roman" w:cs="Times New Roman"/>
                <w:color w:val="auto"/>
                <w:kern w:val="0"/>
                <w:sz w:val="21"/>
                <w:szCs w:val="21"/>
                <w:lang w:bidi="en-US"/>
              </w:rPr>
              <w:t>烟尘：本项目每台焊机固定工位并在上方设置小型集气罩并采用软管连接至主管道，焊接烟气收集后通过主管道引入袋式除尘器中进行处理，处理后的尾气经1根15m高的排气筒有组织排放。</w:t>
            </w:r>
            <w:r>
              <w:rPr>
                <w:rFonts w:hint="default" w:ascii="Times New Roman" w:hAnsi="Times New Roman" w:cs="Times New Roman"/>
                <w:color w:val="auto"/>
                <w:kern w:val="21"/>
                <w:sz w:val="21"/>
                <w:szCs w:val="21"/>
              </w:rPr>
              <w:t>本项目焊接烟尘经上述措施处理后，颗粒物排放速率和排放浓度均</w:t>
            </w:r>
            <w:r>
              <w:rPr>
                <w:rFonts w:hint="default" w:ascii="Times New Roman" w:hAnsi="Times New Roman" w:cs="Times New Roman"/>
                <w:color w:val="auto"/>
                <w:kern w:val="0"/>
                <w:sz w:val="21"/>
                <w:szCs w:val="21"/>
              </w:rPr>
              <w:t>能够</w:t>
            </w:r>
            <w:r>
              <w:rPr>
                <w:rFonts w:hint="default" w:ascii="Times New Roman" w:hAnsi="Times New Roman" w:cs="Times New Roman"/>
                <w:color w:val="auto"/>
                <w:sz w:val="21"/>
                <w:szCs w:val="21"/>
              </w:rPr>
              <w:t>《大气污染物综合排放标准》（GB16297-1996）表2二级标准及《新乡市生态环境局关于进一步规范工业企业颗粒物排放限值的通知》中其他所有涉气工业企业排放口颗粒物排放浓度不高于10mg/m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的排放标准。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w:t>
            </w:r>
          </w:p>
        </w:tc>
        <w:tc>
          <w:tcPr>
            <w:tcW w:w="619"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废水</w:t>
            </w:r>
          </w:p>
        </w:tc>
        <w:tc>
          <w:tcPr>
            <w:tcW w:w="3989" w:type="pct"/>
            <w:vAlign w:val="center"/>
          </w:tcPr>
          <w:p>
            <w:pPr>
              <w:adjustRightInd w:val="0"/>
              <w:snapToGrid w:val="0"/>
              <w:rPr>
                <w:rFonts w:hint="default" w:ascii="Times New Roman" w:hAnsi="Times New Roman" w:cs="Times New Roman"/>
                <w:color w:val="auto"/>
                <w:kern w:val="21"/>
                <w:sz w:val="21"/>
                <w:szCs w:val="21"/>
              </w:rPr>
            </w:pPr>
            <w:r>
              <w:rPr>
                <w:rFonts w:hint="default" w:ascii="Times New Roman" w:hAnsi="Times New Roman" w:cs="Times New Roman"/>
                <w:color w:val="auto"/>
                <w:kern w:val="0"/>
                <w:sz w:val="21"/>
                <w:szCs w:val="21"/>
                <w:lang w:val="zh-CN" w:bidi="zh-CN"/>
              </w:rPr>
              <w:t>本项目建设</w:t>
            </w:r>
            <w:r>
              <w:rPr>
                <w:rFonts w:hint="eastAsia" w:cs="Times New Roman"/>
                <w:color w:val="auto"/>
                <w:kern w:val="0"/>
                <w:sz w:val="21"/>
                <w:szCs w:val="21"/>
                <w:lang w:val="en-US" w:bidi="zh-CN"/>
              </w:rPr>
              <w:t>1座</w:t>
            </w:r>
            <w:r>
              <w:rPr>
                <w:rFonts w:hint="default" w:ascii="Times New Roman" w:hAnsi="Times New Roman" w:cs="Times New Roman"/>
                <w:color w:val="auto"/>
                <w:kern w:val="0"/>
                <w:sz w:val="21"/>
                <w:szCs w:val="21"/>
                <w:lang w:val="zh-CN" w:bidi="zh-CN"/>
              </w:rPr>
              <w:t>450m</w:t>
            </w:r>
            <w:r>
              <w:rPr>
                <w:rFonts w:hint="default" w:ascii="Times New Roman" w:hAnsi="Times New Roman" w:cs="Times New Roman"/>
                <w:color w:val="auto"/>
                <w:kern w:val="0"/>
                <w:sz w:val="21"/>
                <w:szCs w:val="21"/>
                <w:vertAlign w:val="superscript"/>
                <w:lang w:val="zh-CN" w:bidi="zh-CN"/>
              </w:rPr>
              <w:t>3</w:t>
            </w:r>
            <w:r>
              <w:rPr>
                <w:rFonts w:hint="default" w:ascii="Times New Roman" w:hAnsi="Times New Roman" w:cs="Times New Roman"/>
                <w:color w:val="auto"/>
                <w:kern w:val="0"/>
                <w:sz w:val="21"/>
                <w:szCs w:val="21"/>
                <w:lang w:val="zh-CN" w:bidi="zh-CN"/>
              </w:rPr>
              <w:t>/d的污水处理</w:t>
            </w:r>
            <w:r>
              <w:rPr>
                <w:rFonts w:hint="default" w:ascii="Times New Roman" w:hAnsi="Times New Roman" w:cs="Times New Roman"/>
                <w:color w:val="auto"/>
                <w:kern w:val="21"/>
                <w:sz w:val="21"/>
                <w:szCs w:val="21"/>
              </w:rPr>
              <w:t>站，含镍废水进入含镍废水预处理系统（pH调节→混凝沉淀→回调→多介质过滤）；含锌废水进入含锌废水预处理系统（pH调节→混凝沉淀→回调→多介质过滤）；含铬废水进入含铬废水预处理系统（还原→pH调节→混凝沉淀→回调→多介质过滤）；地面清洗废水进入地面清洗废水预处理系统（氧化→pH调节→混凝沉淀→还原→混凝沉淀→回调→多介质过滤）；含油废水进入含油废水预处理系统（经破乳→pH调节→混凝→气浮）预处理后，再与酸性废水一同进入酸性废水预处理系统（pH调节→混凝沉淀→回调→多介质过滤）。经预处理后的各股废水一</w:t>
            </w:r>
            <w:r>
              <w:rPr>
                <w:rFonts w:hint="eastAsia" w:cs="Times New Roman"/>
                <w:color w:val="auto"/>
                <w:kern w:val="21"/>
                <w:sz w:val="21"/>
                <w:szCs w:val="21"/>
                <w:lang w:eastAsia="zh-CN"/>
              </w:rPr>
              <w:t>同</w:t>
            </w:r>
            <w:r>
              <w:rPr>
                <w:rFonts w:hint="default" w:ascii="Times New Roman" w:hAnsi="Times New Roman" w:cs="Times New Roman"/>
                <w:color w:val="auto"/>
                <w:kern w:val="21"/>
                <w:sz w:val="21"/>
                <w:szCs w:val="21"/>
              </w:rPr>
              <w:t>进入零排放处理系统</w:t>
            </w:r>
            <w:r>
              <w:rPr>
                <w:rFonts w:hint="eastAsia" w:cs="Times New Roman"/>
                <w:color w:val="auto"/>
                <w:sz w:val="21"/>
                <w:szCs w:val="21"/>
                <w:lang w:eastAsia="zh-CN"/>
              </w:rPr>
              <w:t>（</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/O→MBR→两级ECRO→DTRO→二级RO→MVR蒸发</w:t>
            </w:r>
            <w:r>
              <w:rPr>
                <w:rFonts w:hint="eastAsia" w:cs="Times New Roman"/>
                <w:color w:val="auto"/>
                <w:sz w:val="21"/>
                <w:szCs w:val="21"/>
                <w:lang w:eastAsia="zh-CN"/>
              </w:rPr>
              <w:t>）</w:t>
            </w:r>
            <w:r>
              <w:rPr>
                <w:rFonts w:hint="default" w:ascii="Times New Roman" w:hAnsi="Times New Roman" w:cs="Times New Roman"/>
                <w:color w:val="auto"/>
                <w:sz w:val="21"/>
                <w:szCs w:val="21"/>
              </w:rPr>
              <w:t>进行</w:t>
            </w:r>
            <w:r>
              <w:rPr>
                <w:rFonts w:hint="eastAsia" w:cs="Times New Roman"/>
                <w:color w:val="auto"/>
                <w:sz w:val="21"/>
                <w:szCs w:val="21"/>
                <w:lang w:eastAsia="zh-CN"/>
              </w:rPr>
              <w:t>深度</w:t>
            </w:r>
            <w:r>
              <w:rPr>
                <w:rFonts w:hint="default" w:ascii="Times New Roman" w:hAnsi="Times New Roman" w:cs="Times New Roman"/>
                <w:color w:val="auto"/>
                <w:kern w:val="21"/>
                <w:sz w:val="21"/>
                <w:szCs w:val="21"/>
              </w:rPr>
              <w:t>处理，</w:t>
            </w:r>
            <w:r>
              <w:rPr>
                <w:rFonts w:hint="eastAsia" w:cs="Times New Roman"/>
                <w:color w:val="auto"/>
                <w:kern w:val="21"/>
                <w:sz w:val="21"/>
                <w:szCs w:val="21"/>
                <w:lang w:eastAsia="zh-CN"/>
              </w:rPr>
              <w:t>深度处理后全部</w:t>
            </w:r>
            <w:r>
              <w:rPr>
                <w:rFonts w:hint="default" w:ascii="Times New Roman" w:hAnsi="Times New Roman" w:cs="Times New Roman"/>
                <w:color w:val="auto"/>
                <w:kern w:val="21"/>
                <w:sz w:val="21"/>
                <w:szCs w:val="21"/>
              </w:rPr>
              <w:t>回用</w:t>
            </w:r>
            <w:r>
              <w:rPr>
                <w:rFonts w:hint="eastAsia" w:cs="Times New Roman"/>
                <w:color w:val="auto"/>
                <w:kern w:val="21"/>
                <w:sz w:val="21"/>
                <w:szCs w:val="21"/>
                <w:lang w:eastAsia="zh-CN"/>
              </w:rPr>
              <w:t>于生产线</w:t>
            </w:r>
            <w:r>
              <w:rPr>
                <w:rFonts w:hint="default" w:ascii="Times New Roman" w:hAnsi="Times New Roman" w:cs="Times New Roman"/>
                <w:color w:val="auto"/>
                <w:kern w:val="21"/>
                <w:sz w:val="21"/>
                <w:szCs w:val="21"/>
              </w:rPr>
              <w:t>，结晶盐</w:t>
            </w:r>
            <w:r>
              <w:rPr>
                <w:rFonts w:hint="default" w:ascii="Times New Roman" w:hAnsi="Times New Roman" w:cs="Times New Roman"/>
                <w:color w:val="auto"/>
                <w:kern w:val="21"/>
                <w:sz w:val="21"/>
                <w:szCs w:val="21"/>
                <w:lang w:eastAsia="zh-CN"/>
              </w:rPr>
              <w:t>作为</w:t>
            </w:r>
            <w:r>
              <w:rPr>
                <w:rFonts w:hint="default" w:ascii="Times New Roman" w:hAnsi="Times New Roman" w:cs="Times New Roman"/>
                <w:color w:val="auto"/>
                <w:kern w:val="21"/>
                <w:sz w:val="21"/>
                <w:szCs w:val="21"/>
              </w:rPr>
              <w:t>危废处置。</w:t>
            </w:r>
          </w:p>
          <w:p>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kern w:val="21"/>
                <w:sz w:val="21"/>
                <w:szCs w:val="21"/>
              </w:rPr>
              <w:t>纯水制备浓水、</w:t>
            </w:r>
            <w:r>
              <w:rPr>
                <w:rFonts w:hint="default" w:ascii="Times New Roman" w:hAnsi="Times New Roman" w:cs="Times New Roman"/>
                <w:color w:val="auto"/>
                <w:kern w:val="21"/>
                <w:sz w:val="21"/>
                <w:szCs w:val="21"/>
                <w:lang w:eastAsia="zh-CN"/>
              </w:rPr>
              <w:t>锅炉浓水</w:t>
            </w:r>
            <w:r>
              <w:rPr>
                <w:rFonts w:hint="default" w:ascii="Times New Roman" w:hAnsi="Times New Roman" w:cs="Times New Roman"/>
                <w:color w:val="auto"/>
                <w:kern w:val="21"/>
                <w:sz w:val="21"/>
                <w:szCs w:val="21"/>
              </w:rPr>
              <w:t>及生活污水经市政管网排入同盟污水处理厂，出水满足同盟污水处理厂收水水质标准。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3</w:t>
            </w:r>
          </w:p>
        </w:tc>
        <w:tc>
          <w:tcPr>
            <w:tcW w:w="619"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固废处理</w:t>
            </w:r>
          </w:p>
        </w:tc>
        <w:tc>
          <w:tcPr>
            <w:tcW w:w="3989" w:type="pct"/>
            <w:vAlign w:val="center"/>
          </w:tcPr>
          <w:p>
            <w:pPr>
              <w:widowControl w:val="0"/>
              <w:tabs>
                <w:tab w:val="left" w:pos="1770"/>
              </w:tabs>
              <w:adjustRightInd w:val="0"/>
              <w:snapToGrid w:val="0"/>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①本项目产生的各种固体废物均按要求存放，不会对周围环境产生影响。</w:t>
            </w:r>
          </w:p>
          <w:p>
            <w:pPr>
              <w:widowControl w:val="0"/>
              <w:tabs>
                <w:tab w:val="left" w:pos="1770"/>
              </w:tabs>
              <w:adjustRightInd w:val="0"/>
              <w:snapToGrid w:val="0"/>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②固体废物均得到了综合利用或合理处置，固废处置率达到100%。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2"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4</w:t>
            </w:r>
          </w:p>
        </w:tc>
        <w:tc>
          <w:tcPr>
            <w:tcW w:w="619"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噪声治理</w:t>
            </w:r>
          </w:p>
        </w:tc>
        <w:tc>
          <w:tcPr>
            <w:tcW w:w="3989" w:type="pct"/>
            <w:vAlign w:val="center"/>
          </w:tcPr>
          <w:p>
            <w:pPr>
              <w:widowControl w:val="0"/>
              <w:adjustRightInd w:val="0"/>
              <w:snapToGrid w:val="0"/>
              <w:jc w:val="both"/>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21"/>
                <w:sz w:val="21"/>
                <w:szCs w:val="21"/>
              </w:rPr>
              <w:t>本项目主要高噪声设备有冲压机、</w:t>
            </w:r>
            <w:r>
              <w:rPr>
                <w:rFonts w:hint="eastAsia" w:cs="Times New Roman"/>
                <w:color w:val="auto"/>
                <w:kern w:val="21"/>
                <w:sz w:val="21"/>
                <w:szCs w:val="21"/>
                <w:lang w:eastAsia="zh-CN"/>
              </w:rPr>
              <w:t>空压机及风机</w:t>
            </w:r>
            <w:r>
              <w:rPr>
                <w:rFonts w:hint="default" w:ascii="Times New Roman" w:hAnsi="Times New Roman" w:cs="Times New Roman"/>
                <w:color w:val="auto"/>
                <w:kern w:val="21"/>
                <w:sz w:val="21"/>
                <w:szCs w:val="21"/>
              </w:rPr>
              <w:t>等</w:t>
            </w:r>
            <w:r>
              <w:rPr>
                <w:rFonts w:hint="default" w:ascii="Times New Roman" w:hAnsi="Times New Roman" w:cs="Times New Roman"/>
                <w:color w:val="auto"/>
                <w:kern w:val="0"/>
                <w:sz w:val="21"/>
                <w:szCs w:val="21"/>
              </w:rPr>
              <w:t>，针对不同噪声类型，经采取相应的基础减振、厂房隔声、加设消声器及隔声罩等措施后，可以满足《工业企业厂界环境噪声排放标准》（GB12348-2008）3类要求。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392"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5</w:t>
            </w:r>
          </w:p>
        </w:tc>
        <w:tc>
          <w:tcPr>
            <w:tcW w:w="619" w:type="pct"/>
            <w:vAlign w:val="center"/>
          </w:tcPr>
          <w:p>
            <w:pPr>
              <w:widowControl w:val="0"/>
              <w:adjustRightInd w:val="0"/>
              <w:snapToGrid w:val="0"/>
              <w:jc w:val="center"/>
              <w:textAlignment w:val="baseline"/>
              <w:rPr>
                <w:rFonts w:hint="default" w:ascii="Times New Roman" w:hAnsi="Times New Roman" w:cs="Times New Roman"/>
                <w:color w:val="auto"/>
                <w:kern w:val="0"/>
                <w:sz w:val="21"/>
                <w:szCs w:val="21"/>
                <w:highlight w:val="yellow"/>
              </w:rPr>
            </w:pPr>
            <w:r>
              <w:rPr>
                <w:rFonts w:hint="default" w:ascii="Times New Roman" w:hAnsi="Times New Roman" w:cs="Times New Roman"/>
                <w:color w:val="auto"/>
                <w:kern w:val="0"/>
                <w:sz w:val="21"/>
                <w:szCs w:val="21"/>
              </w:rPr>
              <w:t>总量控制指标</w:t>
            </w:r>
          </w:p>
        </w:tc>
        <w:tc>
          <w:tcPr>
            <w:tcW w:w="3989" w:type="pct"/>
            <w:vAlign w:val="center"/>
          </w:tcPr>
          <w:p>
            <w:pPr>
              <w:widowControl w:val="0"/>
              <w:adjustRightInd w:val="0"/>
              <w:snapToGrid w:val="0"/>
              <w:jc w:val="both"/>
              <w:textAlignment w:val="baseline"/>
              <w:rPr>
                <w:rFonts w:hint="default" w:ascii="Times New Roman" w:hAnsi="Times New Roman" w:cs="Times New Roman"/>
                <w:color w:val="auto"/>
                <w:kern w:val="0"/>
                <w:sz w:val="21"/>
                <w:szCs w:val="21"/>
                <w:highlight w:val="yellow"/>
              </w:rPr>
            </w:pPr>
            <w:r>
              <w:rPr>
                <w:rFonts w:hint="default" w:ascii="Times New Roman" w:hAnsi="Times New Roman" w:cs="Times New Roman"/>
                <w:snapToGrid w:val="0"/>
                <w:color w:val="auto"/>
                <w:kern w:val="21"/>
                <w:sz w:val="21"/>
                <w:szCs w:val="21"/>
              </w:rPr>
              <w:t>废气</w:t>
            </w:r>
            <w:r>
              <w:rPr>
                <w:rFonts w:hint="default" w:ascii="Times New Roman" w:hAnsi="Times New Roman" w:cs="Times New Roman"/>
                <w:color w:val="auto"/>
                <w:kern w:val="21"/>
                <w:sz w:val="21"/>
                <w:szCs w:val="21"/>
              </w:rPr>
              <w:t>控制指标为</w:t>
            </w:r>
            <w:r>
              <w:rPr>
                <w:rFonts w:hint="default" w:ascii="Times New Roman" w:hAnsi="Times New Roman" w:eastAsia="宋体" w:cs="Times New Roman"/>
                <w:b/>
                <w:bCs/>
                <w:color w:val="auto"/>
                <w:sz w:val="21"/>
                <w:szCs w:val="21"/>
                <w:u w:val="single"/>
              </w:rPr>
              <w:t>NOx</w:t>
            </w:r>
            <w:r>
              <w:rPr>
                <w:rFonts w:hint="default" w:ascii="Times New Roman" w:hAnsi="Times New Roman" w:cs="Times New Roman"/>
                <w:b/>
                <w:bCs/>
                <w:color w:val="auto"/>
                <w:sz w:val="21"/>
                <w:szCs w:val="21"/>
                <w:u w:val="single"/>
                <w:lang w:val="en-US" w:eastAsia="zh-CN"/>
              </w:rPr>
              <w:t xml:space="preserve"> 1.316t/a、SO</w:t>
            </w:r>
            <w:r>
              <w:rPr>
                <w:rFonts w:hint="default" w:ascii="Times New Roman" w:hAnsi="Times New Roman" w:cs="Times New Roman"/>
                <w:b/>
                <w:bCs/>
                <w:color w:val="auto"/>
                <w:sz w:val="21"/>
                <w:szCs w:val="21"/>
                <w:u w:val="single"/>
                <w:vertAlign w:val="subscript"/>
                <w:lang w:val="en-US" w:eastAsia="zh-CN"/>
              </w:rPr>
              <w:t>2</w:t>
            </w:r>
            <w:r>
              <w:rPr>
                <w:rFonts w:hint="default" w:ascii="Times New Roman" w:hAnsi="Times New Roman" w:cs="Times New Roman"/>
                <w:b/>
                <w:bCs/>
                <w:color w:val="auto"/>
                <w:sz w:val="21"/>
                <w:szCs w:val="21"/>
                <w:u w:val="single"/>
                <w:vertAlign w:val="baseline"/>
                <w:lang w:val="en-US" w:eastAsia="zh-CN"/>
              </w:rPr>
              <w:t xml:space="preserve"> 0.435t/a、颗粒物 0.460t/a</w:t>
            </w:r>
            <w:r>
              <w:rPr>
                <w:rFonts w:hint="default" w:ascii="Times New Roman" w:hAnsi="Times New Roman" w:cs="Times New Roman"/>
                <w:color w:val="auto"/>
                <w:kern w:val="21"/>
                <w:sz w:val="21"/>
                <w:szCs w:val="21"/>
                <w:lang w:eastAsia="zh-CN"/>
              </w:rPr>
              <w:t>；</w:t>
            </w:r>
            <w:r>
              <w:rPr>
                <w:rFonts w:hint="default" w:ascii="Times New Roman" w:hAnsi="Times New Roman" w:cs="Times New Roman"/>
                <w:snapToGrid w:val="0"/>
                <w:color w:val="auto"/>
                <w:kern w:val="21"/>
                <w:sz w:val="21"/>
                <w:szCs w:val="21"/>
              </w:rPr>
              <w:t>废水中COD、NH</w:t>
            </w:r>
            <w:r>
              <w:rPr>
                <w:rFonts w:hint="default" w:ascii="Times New Roman" w:hAnsi="Times New Roman" w:cs="Times New Roman"/>
                <w:snapToGrid w:val="0"/>
                <w:color w:val="auto"/>
                <w:kern w:val="21"/>
                <w:sz w:val="21"/>
                <w:szCs w:val="21"/>
                <w:vertAlign w:val="subscript"/>
              </w:rPr>
              <w:t>3</w:t>
            </w:r>
            <w:r>
              <w:rPr>
                <w:rFonts w:hint="default" w:ascii="Times New Roman" w:hAnsi="Times New Roman" w:cs="Times New Roman"/>
                <w:snapToGrid w:val="0"/>
                <w:color w:val="auto"/>
                <w:kern w:val="21"/>
                <w:sz w:val="21"/>
                <w:szCs w:val="21"/>
              </w:rPr>
              <w:t>-N、厂区总排口控制指标为COD 0.924t/a、NH</w:t>
            </w:r>
            <w:r>
              <w:rPr>
                <w:rFonts w:hint="default" w:ascii="Times New Roman" w:hAnsi="Times New Roman" w:cs="Times New Roman"/>
                <w:snapToGrid w:val="0"/>
                <w:color w:val="auto"/>
                <w:kern w:val="21"/>
                <w:sz w:val="21"/>
                <w:szCs w:val="21"/>
                <w:vertAlign w:val="subscript"/>
              </w:rPr>
              <w:t>3</w:t>
            </w:r>
            <w:r>
              <w:rPr>
                <w:rFonts w:hint="default" w:ascii="Times New Roman" w:hAnsi="Times New Roman" w:cs="Times New Roman"/>
                <w:snapToGrid w:val="0"/>
                <w:color w:val="auto"/>
                <w:kern w:val="21"/>
                <w:sz w:val="21"/>
                <w:szCs w:val="21"/>
              </w:rPr>
              <w:t>-N 0.045t/a。通过同盟污水处理厂处理后排入水环境污染物总量控制指标为COD0.391t/a、NH</w:t>
            </w:r>
            <w:r>
              <w:rPr>
                <w:rFonts w:hint="default" w:ascii="Times New Roman" w:hAnsi="Times New Roman" w:cs="Times New Roman"/>
                <w:snapToGrid w:val="0"/>
                <w:color w:val="auto"/>
                <w:kern w:val="21"/>
                <w:sz w:val="21"/>
                <w:szCs w:val="21"/>
                <w:vertAlign w:val="subscript"/>
              </w:rPr>
              <w:t>3</w:t>
            </w:r>
            <w:r>
              <w:rPr>
                <w:rFonts w:hint="default" w:ascii="Times New Roman" w:hAnsi="Times New Roman" w:cs="Times New Roman"/>
                <w:snapToGrid w:val="0"/>
                <w:color w:val="auto"/>
                <w:kern w:val="21"/>
                <w:sz w:val="21"/>
                <w:szCs w:val="21"/>
              </w:rPr>
              <w:t>-N 0.020t/a。</w:t>
            </w:r>
          </w:p>
        </w:tc>
      </w:tr>
    </w:tbl>
    <w:p>
      <w:pPr>
        <w:keepNext w:val="0"/>
        <w:keepLines w:val="0"/>
        <w:pageBreakBefore w:val="0"/>
        <w:widowControl w:val="0"/>
        <w:tabs>
          <w:tab w:val="left" w:pos="605"/>
        </w:tabs>
        <w:kinsoku/>
        <w:wordWrap/>
        <w:overflowPunct/>
        <w:topLinePunct w:val="0"/>
        <w:autoSpaceDE/>
        <w:autoSpaceDN/>
        <w:bidi w:val="0"/>
        <w:adjustRightInd w:val="0"/>
        <w:snapToGrid w:val="0"/>
        <w:spacing w:before="191" w:beforeLines="50" w:line="360" w:lineRule="auto"/>
        <w:ind w:firstLine="480" w:firstLineChars="200"/>
        <w:jc w:val="both"/>
        <w:textAlignment w:val="baseline"/>
        <w:rPr>
          <w:color w:val="auto"/>
          <w:kern w:val="0"/>
          <w:sz w:val="24"/>
          <w:szCs w:val="20"/>
        </w:rPr>
      </w:pPr>
      <w:r>
        <w:rPr>
          <w:color w:val="auto"/>
          <w:kern w:val="0"/>
          <w:sz w:val="24"/>
          <w:szCs w:val="20"/>
        </w:rPr>
        <w:t>由</w:t>
      </w:r>
      <w:r>
        <w:rPr>
          <w:rFonts w:hint="eastAsia"/>
          <w:color w:val="auto"/>
          <w:kern w:val="0"/>
          <w:sz w:val="24"/>
          <w:szCs w:val="20"/>
        </w:rPr>
        <w:t>上表</w:t>
      </w:r>
      <w:r>
        <w:rPr>
          <w:color w:val="auto"/>
          <w:kern w:val="0"/>
          <w:sz w:val="24"/>
          <w:szCs w:val="20"/>
        </w:rPr>
        <w:t>可知，本项目采用了较完善可靠的环保治理措施，项目改建完成后，降低了污染物排放量，因而可使排入周围环境的污染物大大降低，将其对环境的影响降至较低水平。</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2、环保投资收益</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本项目进行镀锌、镀镍、钝化液回收及一般固废的外售，</w:t>
      </w:r>
      <w:r>
        <w:rPr>
          <w:color w:val="auto"/>
          <w:kern w:val="0"/>
          <w:sz w:val="24"/>
          <w:szCs w:val="20"/>
        </w:rPr>
        <w:t>通过</w:t>
      </w:r>
      <w:r>
        <w:rPr>
          <w:rFonts w:hint="eastAsia"/>
          <w:color w:val="auto"/>
          <w:kern w:val="0"/>
          <w:sz w:val="24"/>
          <w:szCs w:val="20"/>
        </w:rPr>
        <w:t>对镀液和钝化液</w:t>
      </w:r>
      <w:r>
        <w:rPr>
          <w:color w:val="auto"/>
          <w:kern w:val="0"/>
          <w:sz w:val="24"/>
          <w:szCs w:val="20"/>
        </w:rPr>
        <w:t>的回收</w:t>
      </w:r>
      <w:r>
        <w:rPr>
          <w:rFonts w:hint="eastAsia"/>
          <w:color w:val="auto"/>
          <w:kern w:val="0"/>
          <w:sz w:val="24"/>
          <w:szCs w:val="20"/>
          <w:lang w:eastAsia="zh-CN"/>
        </w:rPr>
        <w:t>及</w:t>
      </w:r>
      <w:r>
        <w:rPr>
          <w:rFonts w:hint="eastAsia"/>
          <w:color w:val="auto"/>
          <w:kern w:val="0"/>
          <w:sz w:val="24"/>
          <w:szCs w:val="20"/>
        </w:rPr>
        <w:t>一般固废的外售</w:t>
      </w:r>
      <w:r>
        <w:rPr>
          <w:color w:val="auto"/>
          <w:kern w:val="0"/>
          <w:sz w:val="24"/>
          <w:szCs w:val="20"/>
        </w:rPr>
        <w:t>，实现了资源</w:t>
      </w:r>
      <w:r>
        <w:rPr>
          <w:rFonts w:hint="eastAsia"/>
          <w:color w:val="auto"/>
          <w:kern w:val="0"/>
          <w:sz w:val="24"/>
          <w:szCs w:val="20"/>
        </w:rPr>
        <w:t>的最大</w:t>
      </w:r>
      <w:r>
        <w:rPr>
          <w:rFonts w:hint="eastAsia"/>
          <w:color w:val="auto"/>
          <w:kern w:val="0"/>
          <w:sz w:val="24"/>
          <w:szCs w:val="20"/>
          <w:lang w:eastAsia="zh-CN"/>
        </w:rPr>
        <w:t>化</w:t>
      </w:r>
      <w:r>
        <w:rPr>
          <w:rFonts w:hint="eastAsia"/>
          <w:color w:val="auto"/>
          <w:kern w:val="0"/>
          <w:sz w:val="24"/>
          <w:szCs w:val="20"/>
        </w:rPr>
        <w:t>利用</w:t>
      </w:r>
      <w:r>
        <w:rPr>
          <w:color w:val="auto"/>
          <w:kern w:val="0"/>
          <w:sz w:val="24"/>
          <w:szCs w:val="20"/>
        </w:rPr>
        <w:t>，降低了购买生产原料所需要的资金，经济效益、环境效益明显；</w:t>
      </w:r>
      <w:r>
        <w:rPr>
          <w:rFonts w:hint="eastAsia"/>
          <w:color w:val="auto"/>
          <w:kern w:val="0"/>
          <w:sz w:val="24"/>
          <w:szCs w:val="20"/>
        </w:rPr>
        <w:t>本项目通过建设各种污染防治措施，实现了污染物的达标排放，可以减少排污费和超标排污费的缴纳额度；</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综上所述，</w:t>
      </w:r>
      <w:r>
        <w:rPr>
          <w:color w:val="auto"/>
          <w:kern w:val="0"/>
          <w:sz w:val="24"/>
          <w:szCs w:val="20"/>
        </w:rPr>
        <w:t>本项目环保工程主要收益见表</w:t>
      </w:r>
      <w:r>
        <w:rPr>
          <w:rFonts w:hint="eastAsia"/>
          <w:color w:val="auto"/>
          <w:kern w:val="0"/>
          <w:sz w:val="24"/>
          <w:szCs w:val="20"/>
        </w:rPr>
        <w:t>8.3-3</w:t>
      </w:r>
      <w:r>
        <w:rPr>
          <w:color w:val="auto"/>
          <w:kern w:val="0"/>
          <w:sz w:val="24"/>
          <w:szCs w:val="20"/>
        </w:rPr>
        <w:t>。</w:t>
      </w:r>
    </w:p>
    <w:p>
      <w:pPr>
        <w:pStyle w:val="43"/>
        <w:rPr>
          <w:color w:val="auto"/>
          <w:kern w:val="0"/>
          <w:sz w:val="24"/>
          <w:szCs w:val="20"/>
        </w:rPr>
      </w:pPr>
    </w:p>
    <w:p>
      <w:pPr>
        <w:pStyle w:val="43"/>
        <w:rPr>
          <w:color w:val="auto"/>
          <w:kern w:val="0"/>
          <w:sz w:val="24"/>
          <w:szCs w:val="20"/>
        </w:rPr>
      </w:pPr>
    </w:p>
    <w:p>
      <w:pPr>
        <w:widowControl w:val="0"/>
        <w:tabs>
          <w:tab w:val="center" w:pos="4575"/>
          <w:tab w:val="left" w:pos="7365"/>
        </w:tabs>
        <w:jc w:val="center"/>
        <w:rPr>
          <w:rFonts w:hint="eastAsia" w:ascii="黑体" w:hAnsi="黑体" w:eastAsia="黑体"/>
          <w:color w:val="auto"/>
          <w:sz w:val="24"/>
          <w:szCs w:val="22"/>
        </w:rPr>
      </w:pPr>
    </w:p>
    <w:p>
      <w:pPr>
        <w:widowControl w:val="0"/>
        <w:tabs>
          <w:tab w:val="center" w:pos="4575"/>
          <w:tab w:val="left" w:pos="7365"/>
        </w:tabs>
        <w:jc w:val="center"/>
        <w:rPr>
          <w:rFonts w:hint="default" w:ascii="黑体" w:hAnsi="黑体" w:eastAsia="黑体"/>
          <w:color w:val="auto"/>
          <w:sz w:val="24"/>
          <w:szCs w:val="22"/>
          <w:lang w:val="en-US" w:eastAsia="zh-CN"/>
        </w:rPr>
      </w:pPr>
      <w:r>
        <w:rPr>
          <w:rFonts w:hint="eastAsia" w:ascii="黑体" w:hAnsi="黑体" w:eastAsia="黑体"/>
          <w:color w:val="auto"/>
          <w:sz w:val="24"/>
          <w:szCs w:val="22"/>
        </w:rPr>
        <w:t>表8.3-3    主要环保收益一览表</w:t>
      </w:r>
      <w:r>
        <w:rPr>
          <w:rFonts w:hint="eastAsia" w:ascii="黑体" w:hAnsi="黑体" w:eastAsia="黑体"/>
          <w:color w:val="auto"/>
          <w:sz w:val="24"/>
          <w:szCs w:val="22"/>
          <w:lang w:val="en-US" w:eastAsia="zh-CN"/>
        </w:rPr>
        <w:t xml:space="preserve">    单位：万元/年</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1517"/>
        <w:gridCol w:w="3684"/>
        <w:gridCol w:w="313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596" w:type="dxa"/>
            <w:vAlign w:val="center"/>
          </w:tcPr>
          <w:p>
            <w:pPr>
              <w:widowControl w:val="0"/>
              <w:jc w:val="center"/>
              <w:rPr>
                <w:rFonts w:cs="宋体"/>
                <w:b/>
                <w:color w:val="auto"/>
                <w:szCs w:val="20"/>
              </w:rPr>
            </w:pPr>
            <w:r>
              <w:rPr>
                <w:rFonts w:cs="宋体"/>
                <w:b/>
                <w:color w:val="auto"/>
                <w:szCs w:val="20"/>
              </w:rPr>
              <w:t>序号</w:t>
            </w:r>
          </w:p>
        </w:tc>
        <w:tc>
          <w:tcPr>
            <w:tcW w:w="3880" w:type="dxa"/>
            <w:vAlign w:val="center"/>
          </w:tcPr>
          <w:p>
            <w:pPr>
              <w:widowControl w:val="0"/>
              <w:jc w:val="center"/>
              <w:rPr>
                <w:rFonts w:cs="宋体"/>
                <w:b/>
                <w:color w:val="auto"/>
                <w:szCs w:val="20"/>
              </w:rPr>
            </w:pPr>
            <w:r>
              <w:rPr>
                <w:rFonts w:cs="宋体"/>
                <w:b/>
                <w:color w:val="auto"/>
                <w:szCs w:val="20"/>
              </w:rPr>
              <w:t>项目</w:t>
            </w:r>
          </w:p>
        </w:tc>
        <w:tc>
          <w:tcPr>
            <w:tcW w:w="3298" w:type="dxa"/>
            <w:vAlign w:val="center"/>
          </w:tcPr>
          <w:p>
            <w:pPr>
              <w:widowControl w:val="0"/>
              <w:jc w:val="center"/>
              <w:rPr>
                <w:rFonts w:cs="宋体"/>
                <w:b/>
                <w:color w:val="auto"/>
                <w:szCs w:val="20"/>
              </w:rPr>
            </w:pPr>
            <w:r>
              <w:rPr>
                <w:rFonts w:cs="宋体"/>
                <w:b/>
                <w:color w:val="auto"/>
                <w:szCs w:val="20"/>
              </w:rPr>
              <w:t>环保收益</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596" w:type="dxa"/>
            <w:vAlign w:val="center"/>
          </w:tcPr>
          <w:p>
            <w:pPr>
              <w:widowControl w:val="0"/>
              <w:contextualSpacing/>
              <w:jc w:val="center"/>
              <w:textAlignment w:val="baseline"/>
              <w:rPr>
                <w:color w:val="auto"/>
                <w:kern w:val="0"/>
              </w:rPr>
            </w:pPr>
            <w:r>
              <w:rPr>
                <w:color w:val="auto"/>
                <w:kern w:val="0"/>
              </w:rPr>
              <w:t>1</w:t>
            </w:r>
          </w:p>
        </w:tc>
        <w:tc>
          <w:tcPr>
            <w:tcW w:w="3880" w:type="dxa"/>
            <w:vAlign w:val="center"/>
          </w:tcPr>
          <w:p>
            <w:pPr>
              <w:widowControl w:val="0"/>
              <w:contextualSpacing/>
              <w:jc w:val="center"/>
              <w:textAlignment w:val="baseline"/>
              <w:rPr>
                <w:color w:val="auto"/>
                <w:kern w:val="0"/>
              </w:rPr>
            </w:pPr>
            <w:r>
              <w:rPr>
                <w:rFonts w:hint="eastAsia"/>
                <w:color w:val="auto"/>
                <w:kern w:val="0"/>
              </w:rPr>
              <w:t>镀液回收</w:t>
            </w:r>
          </w:p>
        </w:tc>
        <w:tc>
          <w:tcPr>
            <w:tcW w:w="3298" w:type="dxa"/>
            <w:vAlign w:val="center"/>
          </w:tcPr>
          <w:p>
            <w:pPr>
              <w:widowControl w:val="0"/>
              <w:contextualSpacing/>
              <w:jc w:val="center"/>
              <w:textAlignment w:val="baseline"/>
              <w:rPr>
                <w:color w:val="auto"/>
                <w:kern w:val="0"/>
              </w:rPr>
            </w:pPr>
            <w:r>
              <w:rPr>
                <w:rFonts w:hint="eastAsia"/>
                <w:color w:val="auto"/>
                <w:kern w:val="0"/>
              </w:rPr>
              <w:t>180</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596" w:type="dxa"/>
            <w:vAlign w:val="center"/>
          </w:tcPr>
          <w:p>
            <w:pPr>
              <w:widowControl w:val="0"/>
              <w:contextualSpacing/>
              <w:jc w:val="center"/>
              <w:textAlignment w:val="baseline"/>
              <w:rPr>
                <w:color w:val="auto"/>
                <w:kern w:val="0"/>
              </w:rPr>
            </w:pPr>
            <w:r>
              <w:rPr>
                <w:rFonts w:hint="eastAsia"/>
                <w:color w:val="auto"/>
                <w:kern w:val="0"/>
              </w:rPr>
              <w:t>2</w:t>
            </w:r>
          </w:p>
        </w:tc>
        <w:tc>
          <w:tcPr>
            <w:tcW w:w="3880" w:type="dxa"/>
            <w:vAlign w:val="center"/>
          </w:tcPr>
          <w:p>
            <w:pPr>
              <w:widowControl w:val="0"/>
              <w:contextualSpacing/>
              <w:jc w:val="center"/>
              <w:textAlignment w:val="baseline"/>
              <w:rPr>
                <w:color w:val="auto"/>
                <w:kern w:val="0"/>
              </w:rPr>
            </w:pPr>
            <w:r>
              <w:rPr>
                <w:rFonts w:hint="eastAsia"/>
                <w:color w:val="auto"/>
                <w:kern w:val="0"/>
              </w:rPr>
              <w:t>一般工业固体废物</w:t>
            </w:r>
          </w:p>
        </w:tc>
        <w:tc>
          <w:tcPr>
            <w:tcW w:w="3298" w:type="dxa"/>
            <w:vAlign w:val="center"/>
          </w:tcPr>
          <w:p>
            <w:pPr>
              <w:widowControl w:val="0"/>
              <w:contextualSpacing/>
              <w:jc w:val="center"/>
              <w:textAlignment w:val="baseline"/>
              <w:rPr>
                <w:color w:val="auto"/>
                <w:kern w:val="0"/>
              </w:rPr>
            </w:pPr>
            <w:r>
              <w:rPr>
                <w:rFonts w:hint="eastAsia"/>
                <w:color w:val="auto"/>
                <w:kern w:val="0"/>
              </w:rPr>
              <w:t>15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5476" w:type="dxa"/>
            <w:gridSpan w:val="2"/>
            <w:vAlign w:val="center"/>
          </w:tcPr>
          <w:p>
            <w:pPr>
              <w:widowControl w:val="0"/>
              <w:contextualSpacing/>
              <w:jc w:val="center"/>
              <w:textAlignment w:val="baseline"/>
              <w:rPr>
                <w:color w:val="auto"/>
                <w:kern w:val="0"/>
              </w:rPr>
            </w:pPr>
            <w:r>
              <w:rPr>
                <w:rFonts w:hint="eastAsia"/>
                <w:color w:val="auto"/>
                <w:kern w:val="0"/>
              </w:rPr>
              <w:t>合计</w:t>
            </w:r>
          </w:p>
        </w:tc>
        <w:tc>
          <w:tcPr>
            <w:tcW w:w="3298" w:type="dxa"/>
            <w:vAlign w:val="center"/>
          </w:tcPr>
          <w:p>
            <w:pPr>
              <w:widowControl w:val="0"/>
              <w:contextualSpacing/>
              <w:jc w:val="center"/>
              <w:textAlignment w:val="baseline"/>
              <w:rPr>
                <w:color w:val="auto"/>
                <w:kern w:val="0"/>
              </w:rPr>
            </w:pPr>
            <w:r>
              <w:rPr>
                <w:rFonts w:hint="eastAsia"/>
                <w:color w:val="auto"/>
                <w:kern w:val="0"/>
              </w:rPr>
              <w:t>185</w:t>
            </w:r>
          </w:p>
        </w:tc>
      </w:tr>
    </w:tbl>
    <w:p>
      <w:pPr>
        <w:keepNext w:val="0"/>
        <w:keepLines w:val="0"/>
        <w:pageBreakBefore w:val="0"/>
        <w:widowControl w:val="0"/>
        <w:kinsoku/>
        <w:wordWrap/>
        <w:overflowPunct/>
        <w:topLinePunct w:val="0"/>
        <w:autoSpaceDE/>
        <w:autoSpaceDN/>
        <w:bidi w:val="0"/>
        <w:adjustRightInd w:val="0"/>
        <w:snapToGrid w:val="0"/>
        <w:spacing w:before="191" w:beforeLines="50" w:line="360" w:lineRule="auto"/>
        <w:ind w:firstLine="480" w:firstLineChars="200"/>
        <w:jc w:val="both"/>
        <w:textAlignment w:val="baseline"/>
        <w:rPr>
          <w:color w:val="auto"/>
          <w:kern w:val="0"/>
          <w:sz w:val="24"/>
          <w:szCs w:val="20"/>
        </w:rPr>
      </w:pPr>
      <w:r>
        <w:rPr>
          <w:rFonts w:hint="eastAsia"/>
          <w:color w:val="auto"/>
          <w:kern w:val="0"/>
          <w:sz w:val="24"/>
          <w:szCs w:val="20"/>
        </w:rPr>
        <w:t>3、环境负效益</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本项目</w:t>
      </w:r>
      <w:r>
        <w:rPr>
          <w:rFonts w:hint="eastAsia"/>
          <w:color w:val="auto"/>
          <w:kern w:val="0"/>
          <w:sz w:val="24"/>
          <w:szCs w:val="20"/>
          <w:lang w:eastAsia="zh-CN"/>
        </w:rPr>
        <w:t>虽然</w:t>
      </w:r>
      <w:r>
        <w:rPr>
          <w:rFonts w:hint="eastAsia"/>
          <w:color w:val="auto"/>
          <w:kern w:val="0"/>
          <w:sz w:val="24"/>
          <w:szCs w:val="20"/>
        </w:rPr>
        <w:t>采用了先进的技术和生产装置，并采取了可靠有效的环保措施，确保了污染物达标排放，最大限度减少了污染物的排放量，但每年仍然向环境中排放一定的污染物。根据评价的预测结果，这些污染物虽然不会对评价区域产生明显的不利影响，但其潜在的负面影响是不可避免的，负面的影响具有累积效应，负面影响对环境造成的累积影响将会或多或少</w:t>
      </w:r>
      <w:r>
        <w:rPr>
          <w:rFonts w:hint="eastAsia"/>
          <w:color w:val="auto"/>
          <w:kern w:val="0"/>
          <w:sz w:val="24"/>
          <w:szCs w:val="20"/>
          <w:lang w:eastAsia="zh-CN"/>
        </w:rPr>
        <w:t>地对</w:t>
      </w:r>
      <w:r>
        <w:rPr>
          <w:rFonts w:hint="eastAsia"/>
          <w:color w:val="auto"/>
          <w:kern w:val="0"/>
          <w:sz w:val="24"/>
          <w:szCs w:val="20"/>
        </w:rPr>
        <w:t>周边环境及居民产生一定的危害，因此，该项目对环境的影响还需要长期的监测和关注。</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8.3.4</w:t>
      </w:r>
      <w:r>
        <w:rPr>
          <w:rFonts w:eastAsia="黑体"/>
          <w:color w:val="auto"/>
          <w:kern w:val="21"/>
          <w:sz w:val="28"/>
          <w:szCs w:val="28"/>
        </w:rPr>
        <w:t>环保投资比例系数 Hz</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环保投资比例系数是指环保建设投资与企业建设总投资的比值，它体现了企业对环保工作的重视程度。</w:t>
      </w:r>
    </w:p>
    <w:p>
      <w:pPr>
        <w:widowControl w:val="0"/>
        <w:spacing w:before="120" w:beforeLines="50"/>
        <w:jc w:val="center"/>
        <w:rPr>
          <w:color w:val="auto"/>
          <w:position w:val="-24"/>
          <w:sz w:val="24"/>
          <w:szCs w:val="28"/>
        </w:rPr>
      </w:pPr>
      <w:r>
        <w:rPr>
          <w:color w:val="auto"/>
          <w:position w:val="-24"/>
          <w:sz w:val="24"/>
          <w:szCs w:val="28"/>
        </w:rPr>
        <w:t>Hz=</w:t>
      </w:r>
      <w:r>
        <w:rPr>
          <w:rFonts w:hint="eastAsia" w:cs="宋体"/>
          <w:color w:val="auto"/>
          <w:position w:val="-24"/>
          <w:sz w:val="24"/>
          <w:szCs w:val="28"/>
        </w:rPr>
        <w:t>（</w:t>
      </w:r>
      <w:r>
        <w:rPr>
          <w:color w:val="auto"/>
          <w:position w:val="-24"/>
          <w:sz w:val="24"/>
          <w:szCs w:val="28"/>
        </w:rPr>
        <w:t>E</w:t>
      </w:r>
      <w:r>
        <w:rPr>
          <w:color w:val="auto"/>
          <w:position w:val="-24"/>
          <w:sz w:val="24"/>
          <w:szCs w:val="28"/>
          <w:vertAlign w:val="subscript"/>
        </w:rPr>
        <w:t>O</w:t>
      </w:r>
      <w:r>
        <w:rPr>
          <w:color w:val="auto"/>
          <w:position w:val="-24"/>
          <w:sz w:val="24"/>
          <w:szCs w:val="28"/>
        </w:rPr>
        <w:t>/E</w:t>
      </w:r>
      <w:r>
        <w:rPr>
          <w:color w:val="auto"/>
          <w:position w:val="-24"/>
          <w:sz w:val="24"/>
          <w:szCs w:val="28"/>
          <w:vertAlign w:val="subscript"/>
        </w:rPr>
        <w:t>R</w:t>
      </w:r>
      <w:r>
        <w:rPr>
          <w:rFonts w:hint="eastAsia" w:cs="宋体"/>
          <w:color w:val="auto"/>
          <w:position w:val="-24"/>
          <w:sz w:val="24"/>
          <w:szCs w:val="28"/>
        </w:rPr>
        <w:t>）</w:t>
      </w:r>
      <w:r>
        <w:rPr>
          <w:color w:val="auto"/>
          <w:position w:val="-24"/>
          <w:sz w:val="24"/>
          <w:szCs w:val="28"/>
        </w:rPr>
        <w:t>×100%</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式中：E</w:t>
      </w:r>
      <w:r>
        <w:rPr>
          <w:color w:val="auto"/>
          <w:kern w:val="0"/>
          <w:sz w:val="24"/>
          <w:szCs w:val="20"/>
          <w:vertAlign w:val="subscript"/>
        </w:rPr>
        <w:t>O</w:t>
      </w:r>
      <w:r>
        <w:rPr>
          <w:color w:val="auto"/>
          <w:kern w:val="0"/>
          <w:sz w:val="24"/>
          <w:szCs w:val="20"/>
        </w:rPr>
        <w:t>——环保建设投资，万元</w:t>
      </w:r>
    </w:p>
    <w:p>
      <w:pPr>
        <w:widowControl w:val="0"/>
        <w:adjustRightInd w:val="0"/>
        <w:snapToGrid w:val="0"/>
        <w:spacing w:line="360" w:lineRule="auto"/>
        <w:ind w:firstLine="1200" w:firstLineChars="500"/>
        <w:jc w:val="both"/>
        <w:textAlignment w:val="baseline"/>
        <w:rPr>
          <w:color w:val="auto"/>
          <w:kern w:val="0"/>
          <w:sz w:val="24"/>
          <w:szCs w:val="20"/>
        </w:rPr>
      </w:pPr>
      <w:r>
        <w:rPr>
          <w:color w:val="auto"/>
          <w:kern w:val="0"/>
          <w:sz w:val="24"/>
          <w:szCs w:val="20"/>
        </w:rPr>
        <w:t>E</w:t>
      </w:r>
      <w:r>
        <w:rPr>
          <w:color w:val="auto"/>
          <w:kern w:val="0"/>
          <w:sz w:val="24"/>
          <w:szCs w:val="20"/>
          <w:vertAlign w:val="subscript"/>
        </w:rPr>
        <w:t>R</w:t>
      </w:r>
      <w:r>
        <w:rPr>
          <w:color w:val="auto"/>
          <w:kern w:val="0"/>
          <w:sz w:val="24"/>
          <w:szCs w:val="20"/>
        </w:rPr>
        <w:t>——企业建设总投资，万元</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项目各项环保投资费用为</w:t>
      </w:r>
      <w:r>
        <w:rPr>
          <w:rFonts w:hint="eastAsia"/>
          <w:color w:val="auto"/>
          <w:kern w:val="0"/>
          <w:sz w:val="24"/>
          <w:szCs w:val="20"/>
        </w:rPr>
        <w:t>1942万元</w:t>
      </w:r>
      <w:r>
        <w:rPr>
          <w:color w:val="auto"/>
          <w:kern w:val="0"/>
          <w:sz w:val="24"/>
          <w:szCs w:val="20"/>
        </w:rPr>
        <w:t>，项目总投资费用为</w:t>
      </w:r>
      <w:r>
        <w:rPr>
          <w:rFonts w:hint="eastAsia"/>
          <w:color w:val="auto"/>
          <w:kern w:val="0"/>
          <w:sz w:val="24"/>
          <w:szCs w:val="20"/>
        </w:rPr>
        <w:t>56000万元</w:t>
      </w:r>
      <w:r>
        <w:rPr>
          <w:color w:val="auto"/>
          <w:kern w:val="0"/>
          <w:sz w:val="24"/>
          <w:szCs w:val="20"/>
        </w:rPr>
        <w:t>，环保投资占工程计划总投资的</w:t>
      </w:r>
      <w:r>
        <w:rPr>
          <w:rFonts w:hint="eastAsia"/>
          <w:color w:val="auto"/>
          <w:kern w:val="0"/>
          <w:sz w:val="24"/>
          <w:szCs w:val="20"/>
        </w:rPr>
        <w:t>3.5%</w:t>
      </w:r>
      <w:r>
        <w:rPr>
          <w:color w:val="auto"/>
          <w:kern w:val="0"/>
          <w:sz w:val="24"/>
          <w:szCs w:val="20"/>
        </w:rPr>
        <w:t>。本工程的环保投资能有效地提高</w:t>
      </w:r>
      <w:r>
        <w:rPr>
          <w:rFonts w:hint="eastAsia"/>
          <w:color w:val="auto"/>
          <w:kern w:val="0"/>
          <w:sz w:val="24"/>
          <w:szCs w:val="20"/>
        </w:rPr>
        <w:t>水及</w:t>
      </w:r>
      <w:r>
        <w:rPr>
          <w:color w:val="auto"/>
          <w:kern w:val="0"/>
          <w:sz w:val="24"/>
          <w:szCs w:val="20"/>
        </w:rPr>
        <w:t>原料利用率，降低能耗、物耗，减轻了对周围环境的影响。总的来说，该项目的环保投资</w:t>
      </w:r>
      <w:r>
        <w:rPr>
          <w:rFonts w:hint="eastAsia"/>
          <w:color w:val="auto"/>
          <w:kern w:val="0"/>
          <w:sz w:val="24"/>
          <w:szCs w:val="20"/>
        </w:rPr>
        <w:t>在企业的可接受范围内</w:t>
      </w:r>
      <w:r>
        <w:rPr>
          <w:color w:val="auto"/>
          <w:kern w:val="0"/>
          <w:sz w:val="24"/>
          <w:szCs w:val="20"/>
        </w:rPr>
        <w:t>。</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8.3.5</w:t>
      </w:r>
      <w:r>
        <w:rPr>
          <w:rFonts w:eastAsia="黑体"/>
          <w:color w:val="auto"/>
          <w:kern w:val="21"/>
          <w:sz w:val="28"/>
          <w:szCs w:val="28"/>
        </w:rPr>
        <w:t>产值环境系数 Fg</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产值环境系数是指年环保运行费用与工业总产值的比值，年环保费用是指环保治理设施及综合利用装置的运行费用、折旧费、日常管理费等。产值环境系数的表达式为：</w:t>
      </w:r>
    </w:p>
    <w:p>
      <w:pPr>
        <w:widowControl w:val="0"/>
        <w:spacing w:before="120" w:beforeLines="50"/>
        <w:jc w:val="center"/>
        <w:rPr>
          <w:color w:val="auto"/>
          <w:position w:val="-24"/>
          <w:sz w:val="24"/>
          <w:szCs w:val="28"/>
        </w:rPr>
      </w:pPr>
      <w:r>
        <w:rPr>
          <w:color w:val="auto"/>
          <w:position w:val="-24"/>
          <w:sz w:val="24"/>
          <w:szCs w:val="28"/>
        </w:rPr>
        <w:t>Fg=</w:t>
      </w:r>
      <w:r>
        <w:rPr>
          <w:rFonts w:hint="eastAsia" w:ascii="宋体" w:hAnsi="宋体" w:cs="宋体"/>
          <w:color w:val="auto"/>
          <w:position w:val="-24"/>
          <w:sz w:val="24"/>
          <w:szCs w:val="28"/>
        </w:rPr>
        <w:t>（</w:t>
      </w:r>
      <w:r>
        <w:rPr>
          <w:color w:val="auto"/>
          <w:position w:val="-24"/>
          <w:sz w:val="24"/>
          <w:szCs w:val="28"/>
        </w:rPr>
        <w:t>E</w:t>
      </w:r>
      <w:r>
        <w:rPr>
          <w:color w:val="auto"/>
          <w:position w:val="-24"/>
          <w:sz w:val="24"/>
          <w:szCs w:val="28"/>
          <w:vertAlign w:val="subscript"/>
        </w:rPr>
        <w:t>Z</w:t>
      </w:r>
      <w:r>
        <w:rPr>
          <w:color w:val="auto"/>
          <w:position w:val="-24"/>
          <w:sz w:val="24"/>
          <w:szCs w:val="28"/>
        </w:rPr>
        <w:t>/E</w:t>
      </w:r>
      <w:r>
        <w:rPr>
          <w:color w:val="auto"/>
          <w:position w:val="-24"/>
          <w:sz w:val="24"/>
          <w:szCs w:val="28"/>
          <w:vertAlign w:val="subscript"/>
        </w:rPr>
        <w:t>RS</w:t>
      </w:r>
      <w:r>
        <w:rPr>
          <w:rFonts w:hint="eastAsia" w:ascii="宋体" w:hAnsi="宋体" w:cs="宋体"/>
          <w:color w:val="auto"/>
          <w:position w:val="-24"/>
          <w:sz w:val="24"/>
          <w:szCs w:val="28"/>
        </w:rPr>
        <w:t>）</w:t>
      </w:r>
      <w:r>
        <w:rPr>
          <w:color w:val="auto"/>
          <w:position w:val="-24"/>
          <w:sz w:val="24"/>
          <w:szCs w:val="28"/>
        </w:rPr>
        <w:t>×100%</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式中：E</w:t>
      </w:r>
      <w:r>
        <w:rPr>
          <w:color w:val="auto"/>
          <w:kern w:val="0"/>
          <w:sz w:val="24"/>
          <w:szCs w:val="20"/>
          <w:vertAlign w:val="subscript"/>
        </w:rPr>
        <w:t>Z</w:t>
      </w:r>
      <w:r>
        <w:rPr>
          <w:color w:val="auto"/>
          <w:kern w:val="0"/>
          <w:sz w:val="24"/>
          <w:szCs w:val="20"/>
        </w:rPr>
        <w:t>——年环保费用，万元</w:t>
      </w:r>
    </w:p>
    <w:p>
      <w:pPr>
        <w:widowControl w:val="0"/>
        <w:adjustRightInd w:val="0"/>
        <w:snapToGrid w:val="0"/>
        <w:spacing w:line="360" w:lineRule="auto"/>
        <w:ind w:firstLine="1200" w:firstLineChars="500"/>
        <w:jc w:val="both"/>
        <w:textAlignment w:val="baseline"/>
        <w:rPr>
          <w:color w:val="auto"/>
          <w:kern w:val="0"/>
          <w:sz w:val="24"/>
          <w:szCs w:val="20"/>
        </w:rPr>
      </w:pPr>
      <w:r>
        <w:rPr>
          <w:color w:val="auto"/>
          <w:kern w:val="0"/>
          <w:sz w:val="24"/>
          <w:szCs w:val="20"/>
        </w:rPr>
        <w:t>E</w:t>
      </w:r>
      <w:r>
        <w:rPr>
          <w:color w:val="auto"/>
          <w:kern w:val="0"/>
          <w:sz w:val="24"/>
          <w:szCs w:val="20"/>
          <w:vertAlign w:val="subscript"/>
        </w:rPr>
        <w:t>RS</w:t>
      </w:r>
      <w:r>
        <w:rPr>
          <w:color w:val="auto"/>
          <w:kern w:val="0"/>
          <w:sz w:val="24"/>
          <w:szCs w:val="20"/>
        </w:rPr>
        <w:t>——年工业总产值，万元</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项目实施后，每年环保运行费用为</w:t>
      </w:r>
      <w:r>
        <w:rPr>
          <w:rFonts w:hint="eastAsia"/>
          <w:color w:val="auto"/>
          <w:kern w:val="0"/>
          <w:sz w:val="24"/>
          <w:szCs w:val="20"/>
        </w:rPr>
        <w:t>987.6</w:t>
      </w:r>
      <w:r>
        <w:rPr>
          <w:color w:val="auto"/>
          <w:kern w:val="0"/>
          <w:sz w:val="24"/>
          <w:szCs w:val="20"/>
        </w:rPr>
        <w:t>万元，本项目年工业总产值</w:t>
      </w:r>
      <w:r>
        <w:rPr>
          <w:rFonts w:hint="eastAsia"/>
          <w:color w:val="auto"/>
          <w:kern w:val="0"/>
          <w:sz w:val="24"/>
          <w:szCs w:val="20"/>
        </w:rPr>
        <w:t>6500</w:t>
      </w:r>
      <w:r>
        <w:rPr>
          <w:color w:val="auto"/>
          <w:kern w:val="0"/>
          <w:sz w:val="24"/>
          <w:szCs w:val="20"/>
        </w:rPr>
        <w:t>万元，则产值环境系数为</w:t>
      </w:r>
      <w:r>
        <w:rPr>
          <w:rFonts w:hint="eastAsia"/>
          <w:color w:val="auto"/>
          <w:kern w:val="0"/>
          <w:sz w:val="24"/>
          <w:szCs w:val="20"/>
        </w:rPr>
        <w:t>15</w:t>
      </w:r>
      <w:r>
        <w:rPr>
          <w:rFonts w:hint="eastAsia"/>
          <w:color w:val="auto"/>
          <w:kern w:val="0"/>
          <w:sz w:val="24"/>
          <w:szCs w:val="20"/>
          <w:lang w:val="en-US" w:eastAsia="zh-CN"/>
        </w:rPr>
        <w:t>.19</w:t>
      </w:r>
      <w:r>
        <w:rPr>
          <w:color w:val="auto"/>
          <w:kern w:val="0"/>
          <w:sz w:val="24"/>
          <w:szCs w:val="20"/>
        </w:rPr>
        <w:t>%，这意味着每生产万元产值所花费的环保费用为</w:t>
      </w:r>
      <w:r>
        <w:rPr>
          <w:rFonts w:hint="eastAsia"/>
          <w:color w:val="auto"/>
          <w:kern w:val="0"/>
          <w:sz w:val="24"/>
          <w:szCs w:val="20"/>
        </w:rPr>
        <w:t>1519</w:t>
      </w:r>
      <w:r>
        <w:rPr>
          <w:color w:val="auto"/>
          <w:kern w:val="0"/>
          <w:sz w:val="24"/>
          <w:szCs w:val="20"/>
        </w:rPr>
        <w:t>元。</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8.3.6</w:t>
      </w:r>
      <w:r>
        <w:rPr>
          <w:rFonts w:eastAsia="黑体"/>
          <w:color w:val="auto"/>
          <w:kern w:val="21"/>
          <w:sz w:val="28"/>
          <w:szCs w:val="28"/>
        </w:rPr>
        <w:t>环境经济效益系数 JX</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环境经济效益系数 JX 是指因有效的环境保护措施而挽回的经济价值与环境保护费用之比，其表达式为：</w:t>
      </w:r>
    </w:p>
    <w:p>
      <w:pPr>
        <w:widowControl w:val="0"/>
        <w:spacing w:before="120" w:beforeLines="50"/>
        <w:jc w:val="center"/>
        <w:rPr>
          <w:color w:val="auto"/>
          <w:position w:val="-24"/>
          <w:sz w:val="24"/>
          <w:szCs w:val="28"/>
        </w:rPr>
      </w:pPr>
      <w:r>
        <w:rPr>
          <w:color w:val="auto"/>
          <w:position w:val="-24"/>
          <w:sz w:val="24"/>
          <w:szCs w:val="28"/>
        </w:rPr>
        <w:t>J</w:t>
      </w:r>
      <w:r>
        <w:rPr>
          <w:color w:val="auto"/>
          <w:position w:val="-24"/>
          <w:sz w:val="24"/>
          <w:szCs w:val="28"/>
          <w:vertAlign w:val="subscript"/>
        </w:rPr>
        <w:t>X</w:t>
      </w:r>
      <w:r>
        <w:rPr>
          <w:color w:val="auto"/>
          <w:position w:val="-24"/>
          <w:sz w:val="24"/>
          <w:szCs w:val="28"/>
        </w:rPr>
        <w:t>=E</w:t>
      </w:r>
      <w:r>
        <w:rPr>
          <w:color w:val="auto"/>
          <w:position w:val="-24"/>
          <w:sz w:val="24"/>
          <w:szCs w:val="28"/>
          <w:vertAlign w:val="subscript"/>
        </w:rPr>
        <w:t>i</w:t>
      </w:r>
      <w:r>
        <w:rPr>
          <w:color w:val="auto"/>
          <w:position w:val="-24"/>
          <w:sz w:val="24"/>
          <w:szCs w:val="28"/>
        </w:rPr>
        <w:t>/E</w:t>
      </w:r>
      <w:r>
        <w:rPr>
          <w:color w:val="auto"/>
          <w:position w:val="-24"/>
          <w:sz w:val="24"/>
          <w:szCs w:val="28"/>
          <w:vertAlign w:val="subscript"/>
        </w:rPr>
        <w:t>Z</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式中：E</w:t>
      </w:r>
      <w:r>
        <w:rPr>
          <w:color w:val="auto"/>
          <w:kern w:val="0"/>
          <w:sz w:val="24"/>
          <w:szCs w:val="20"/>
          <w:vertAlign w:val="subscript"/>
        </w:rPr>
        <w:t>i</w:t>
      </w:r>
      <w:r>
        <w:rPr>
          <w:color w:val="auto"/>
          <w:kern w:val="0"/>
          <w:sz w:val="24"/>
          <w:szCs w:val="20"/>
        </w:rPr>
        <w:t>——每年环保措施挽回的经济效益，万元</w:t>
      </w:r>
    </w:p>
    <w:p>
      <w:pPr>
        <w:widowControl w:val="0"/>
        <w:adjustRightInd w:val="0"/>
        <w:snapToGrid w:val="0"/>
        <w:spacing w:line="360" w:lineRule="auto"/>
        <w:ind w:firstLine="1200" w:firstLineChars="500"/>
        <w:jc w:val="both"/>
        <w:textAlignment w:val="baseline"/>
        <w:rPr>
          <w:color w:val="auto"/>
          <w:kern w:val="0"/>
          <w:sz w:val="24"/>
          <w:szCs w:val="20"/>
        </w:rPr>
      </w:pPr>
      <w:r>
        <w:rPr>
          <w:color w:val="auto"/>
          <w:kern w:val="0"/>
          <w:sz w:val="24"/>
          <w:szCs w:val="20"/>
        </w:rPr>
        <w:t>E</w:t>
      </w:r>
      <w:r>
        <w:rPr>
          <w:color w:val="auto"/>
          <w:kern w:val="0"/>
          <w:sz w:val="24"/>
          <w:szCs w:val="20"/>
          <w:vertAlign w:val="subscript"/>
        </w:rPr>
        <w:t>Z</w:t>
      </w:r>
      <w:r>
        <w:rPr>
          <w:color w:val="auto"/>
          <w:kern w:val="0"/>
          <w:sz w:val="24"/>
          <w:szCs w:val="20"/>
        </w:rPr>
        <w:t>——年环保费用，万元</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项目每年环境经济效益为</w:t>
      </w:r>
      <w:r>
        <w:rPr>
          <w:rFonts w:hint="eastAsia"/>
          <w:color w:val="auto"/>
          <w:kern w:val="0"/>
          <w:sz w:val="24"/>
          <w:szCs w:val="20"/>
        </w:rPr>
        <w:t>185</w:t>
      </w:r>
      <w:r>
        <w:rPr>
          <w:color w:val="auto"/>
          <w:kern w:val="0"/>
          <w:sz w:val="24"/>
          <w:szCs w:val="20"/>
        </w:rPr>
        <w:t>万元，年环保费用为</w:t>
      </w:r>
      <w:r>
        <w:rPr>
          <w:rFonts w:hint="eastAsia"/>
          <w:color w:val="auto"/>
          <w:kern w:val="0"/>
          <w:sz w:val="24"/>
          <w:szCs w:val="20"/>
        </w:rPr>
        <w:t>987.6</w:t>
      </w:r>
      <w:r>
        <w:rPr>
          <w:color w:val="auto"/>
          <w:kern w:val="0"/>
          <w:sz w:val="24"/>
          <w:szCs w:val="20"/>
        </w:rPr>
        <w:t>万元，则环境经济效益系数为</w:t>
      </w:r>
      <w:r>
        <w:rPr>
          <w:rFonts w:hint="eastAsia"/>
          <w:color w:val="auto"/>
          <w:kern w:val="0"/>
          <w:sz w:val="24"/>
          <w:szCs w:val="20"/>
        </w:rPr>
        <w:t>0.19:</w:t>
      </w:r>
      <w:r>
        <w:rPr>
          <w:color w:val="auto"/>
          <w:kern w:val="0"/>
          <w:sz w:val="24"/>
          <w:szCs w:val="20"/>
        </w:rPr>
        <w:t>1。</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8.3.7</w:t>
      </w:r>
      <w:r>
        <w:rPr>
          <w:rFonts w:eastAsia="黑体"/>
          <w:color w:val="auto"/>
          <w:kern w:val="21"/>
          <w:sz w:val="28"/>
          <w:szCs w:val="28"/>
        </w:rPr>
        <w:t>工程环境效益综述</w:t>
      </w:r>
    </w:p>
    <w:p>
      <w:pPr>
        <w:widowControl w:val="0"/>
        <w:adjustRightInd w:val="0"/>
        <w:snapToGrid w:val="0"/>
        <w:spacing w:line="360" w:lineRule="auto"/>
        <w:ind w:firstLine="480" w:firstLineChars="200"/>
        <w:jc w:val="both"/>
        <w:textAlignment w:val="baseline"/>
        <w:rPr>
          <w:color w:val="auto"/>
          <w:kern w:val="0"/>
          <w:sz w:val="24"/>
          <w:szCs w:val="24"/>
        </w:rPr>
      </w:pPr>
      <w:r>
        <w:rPr>
          <w:color w:val="auto"/>
          <w:kern w:val="0"/>
          <w:sz w:val="24"/>
          <w:szCs w:val="20"/>
        </w:rPr>
        <w:t>本项目</w:t>
      </w:r>
      <w:r>
        <w:rPr>
          <w:color w:val="auto"/>
          <w:kern w:val="0"/>
          <w:sz w:val="24"/>
          <w:szCs w:val="24"/>
        </w:rPr>
        <w:t>的环境效益主要体现在环保投资减轻项目对环境的影响程度</w:t>
      </w:r>
      <w:r>
        <w:rPr>
          <w:rFonts w:hint="eastAsia"/>
          <w:color w:val="auto"/>
          <w:kern w:val="0"/>
          <w:sz w:val="24"/>
          <w:szCs w:val="24"/>
        </w:rPr>
        <w:t>。</w:t>
      </w:r>
    </w:p>
    <w:p>
      <w:pPr>
        <w:widowControl w:val="0"/>
        <w:adjustRightInd w:val="0"/>
        <w:snapToGrid w:val="0"/>
        <w:spacing w:line="360" w:lineRule="auto"/>
        <w:ind w:firstLine="480" w:firstLineChars="200"/>
        <w:jc w:val="both"/>
        <w:textAlignment w:val="baseline"/>
        <w:rPr>
          <w:color w:val="auto"/>
          <w:kern w:val="0"/>
          <w:sz w:val="24"/>
          <w:szCs w:val="24"/>
        </w:rPr>
      </w:pPr>
      <w:r>
        <w:rPr>
          <w:rFonts w:hint="eastAsia"/>
          <w:color w:val="auto"/>
          <w:kern w:val="0"/>
          <w:sz w:val="24"/>
          <w:szCs w:val="24"/>
        </w:rPr>
        <w:t>废气：焊接烟尘</w:t>
      </w:r>
      <w:r>
        <w:rPr>
          <w:rFonts w:hint="eastAsia"/>
          <w:color w:val="auto"/>
          <w:sz w:val="24"/>
          <w:szCs w:val="24"/>
        </w:rPr>
        <w:t>经袋式除尘器处理</w:t>
      </w:r>
      <w:r>
        <w:rPr>
          <w:rFonts w:hint="eastAsia"/>
          <w:color w:val="auto"/>
          <w:kern w:val="0"/>
          <w:sz w:val="24"/>
          <w:szCs w:val="24"/>
        </w:rPr>
        <w:t>后有组织排放；污水站恶臭</w:t>
      </w:r>
      <w:r>
        <w:rPr>
          <w:rFonts w:hint="eastAsia"/>
          <w:color w:val="auto"/>
          <w:sz w:val="24"/>
          <w:szCs w:val="24"/>
        </w:rPr>
        <w:t>经生物除臭</w:t>
      </w:r>
      <w:r>
        <w:rPr>
          <w:rFonts w:hint="eastAsia"/>
          <w:color w:val="auto"/>
          <w:kern w:val="0"/>
          <w:sz w:val="24"/>
          <w:szCs w:val="24"/>
        </w:rPr>
        <w:t>后有组织排放；</w:t>
      </w:r>
      <w:r>
        <w:rPr>
          <w:color w:val="auto"/>
          <w:sz w:val="24"/>
          <w:szCs w:val="24"/>
        </w:rPr>
        <w:t>酸雾</w:t>
      </w:r>
      <w:r>
        <w:rPr>
          <w:rFonts w:hint="eastAsia"/>
          <w:color w:val="auto"/>
          <w:sz w:val="24"/>
          <w:szCs w:val="24"/>
        </w:rPr>
        <w:t>经二级碱液喷淋塔处理后</w:t>
      </w:r>
      <w:r>
        <w:rPr>
          <w:rFonts w:hint="eastAsia"/>
          <w:color w:val="auto"/>
          <w:kern w:val="0"/>
          <w:sz w:val="24"/>
          <w:szCs w:val="24"/>
        </w:rPr>
        <w:t>有组织排放；</w:t>
      </w:r>
      <w:r>
        <w:rPr>
          <w:color w:val="auto"/>
          <w:sz w:val="24"/>
          <w:szCs w:val="24"/>
        </w:rPr>
        <w:t>燃气锅炉</w:t>
      </w:r>
      <w:r>
        <w:rPr>
          <w:rFonts w:hint="eastAsia"/>
          <w:color w:val="auto"/>
          <w:sz w:val="24"/>
          <w:szCs w:val="24"/>
        </w:rPr>
        <w:t>废气经</w:t>
      </w:r>
      <w:r>
        <w:rPr>
          <w:color w:val="auto"/>
          <w:sz w:val="24"/>
          <w:szCs w:val="24"/>
        </w:rPr>
        <w:t>低氮燃烧器</w:t>
      </w:r>
      <w:r>
        <w:rPr>
          <w:rFonts w:hint="eastAsia"/>
          <w:color w:val="auto"/>
          <w:sz w:val="24"/>
          <w:szCs w:val="24"/>
        </w:rPr>
        <w:t>+烟气再循环处理</w:t>
      </w:r>
      <w:r>
        <w:rPr>
          <w:rFonts w:hint="eastAsia"/>
          <w:color w:val="auto"/>
          <w:kern w:val="0"/>
          <w:sz w:val="24"/>
          <w:szCs w:val="24"/>
        </w:rPr>
        <w:t>后有组织排放。</w:t>
      </w:r>
    </w:p>
    <w:p>
      <w:pPr>
        <w:widowControl w:val="0"/>
        <w:adjustRightInd w:val="0"/>
        <w:snapToGrid w:val="0"/>
        <w:spacing w:line="360" w:lineRule="auto"/>
        <w:ind w:firstLine="480" w:firstLineChars="200"/>
        <w:jc w:val="both"/>
        <w:textAlignment w:val="baseline"/>
        <w:rPr>
          <w:color w:val="auto"/>
          <w:kern w:val="0"/>
          <w:sz w:val="24"/>
          <w:szCs w:val="24"/>
        </w:rPr>
      </w:pPr>
      <w:r>
        <w:rPr>
          <w:rFonts w:hint="eastAsia"/>
          <w:color w:val="auto"/>
          <w:kern w:val="0"/>
          <w:sz w:val="24"/>
          <w:szCs w:val="24"/>
        </w:rPr>
        <w:t>废水：</w:t>
      </w:r>
      <w:r>
        <w:rPr>
          <w:color w:val="auto"/>
          <w:kern w:val="21"/>
          <w:sz w:val="24"/>
          <w:szCs w:val="22"/>
        </w:rPr>
        <w:t>本项目废水主要包括</w:t>
      </w:r>
      <w:r>
        <w:rPr>
          <w:rFonts w:hint="eastAsia"/>
          <w:color w:val="auto"/>
          <w:kern w:val="21"/>
          <w:sz w:val="24"/>
          <w:szCs w:val="22"/>
          <w:lang w:eastAsia="zh-CN"/>
        </w:rPr>
        <w:t>综合废水（</w:t>
      </w:r>
      <w:r>
        <w:rPr>
          <w:color w:val="auto"/>
          <w:kern w:val="21"/>
          <w:sz w:val="24"/>
          <w:szCs w:val="22"/>
        </w:rPr>
        <w:t>含油废水、酸性废水</w:t>
      </w:r>
      <w:r>
        <w:rPr>
          <w:rFonts w:hint="eastAsia"/>
          <w:color w:val="auto"/>
          <w:kern w:val="21"/>
          <w:sz w:val="24"/>
          <w:szCs w:val="22"/>
          <w:lang w:eastAsia="zh-CN"/>
        </w:rPr>
        <w:t>）</w:t>
      </w:r>
      <w:r>
        <w:rPr>
          <w:color w:val="auto"/>
          <w:kern w:val="21"/>
          <w:sz w:val="24"/>
          <w:szCs w:val="22"/>
        </w:rPr>
        <w:t>、含镍废水、含锌废水、含铬废水、地面废水、锅炉浓水、纯水制备浓水及生活污水，</w:t>
      </w:r>
      <w:r>
        <w:rPr>
          <w:rFonts w:hint="eastAsia"/>
          <w:color w:val="auto"/>
          <w:kern w:val="21"/>
          <w:sz w:val="24"/>
          <w:szCs w:val="22"/>
          <w:lang w:eastAsia="zh-CN"/>
        </w:rPr>
        <w:t>含</w:t>
      </w:r>
      <w:r>
        <w:rPr>
          <w:color w:val="auto"/>
          <w:kern w:val="21"/>
          <w:sz w:val="24"/>
          <w:szCs w:val="22"/>
        </w:rPr>
        <w:t>油废水、酸性废水、含镍废水、含锌废水、含铬废水、地面废水分别经各自的预处理系统预处理后进入零排放处理系统，经处理后全部回用</w:t>
      </w:r>
      <w:r>
        <w:rPr>
          <w:rFonts w:hint="eastAsia"/>
          <w:color w:val="auto"/>
          <w:kern w:val="21"/>
          <w:sz w:val="24"/>
          <w:szCs w:val="22"/>
          <w:lang w:eastAsia="zh-CN"/>
        </w:rPr>
        <w:t>，</w:t>
      </w:r>
      <w:r>
        <w:rPr>
          <w:color w:val="auto"/>
          <w:kern w:val="21"/>
          <w:sz w:val="24"/>
          <w:szCs w:val="22"/>
        </w:rPr>
        <w:t>不外排，锅炉浓水、纯水制备浓水及生活污水经厂区总排口</w:t>
      </w:r>
      <w:r>
        <w:rPr>
          <w:rFonts w:hint="eastAsia"/>
          <w:color w:val="auto"/>
          <w:kern w:val="21"/>
          <w:sz w:val="24"/>
          <w:szCs w:val="22"/>
        </w:rPr>
        <w:t>排入同盟污水处理厂。</w:t>
      </w:r>
    </w:p>
    <w:p>
      <w:pPr>
        <w:widowControl w:val="0"/>
        <w:adjustRightInd w:val="0"/>
        <w:snapToGrid w:val="0"/>
        <w:spacing w:line="360" w:lineRule="auto"/>
        <w:ind w:firstLine="480" w:firstLineChars="200"/>
        <w:jc w:val="both"/>
        <w:textAlignment w:val="baseline"/>
        <w:rPr>
          <w:color w:val="auto"/>
          <w:kern w:val="0"/>
          <w:sz w:val="24"/>
          <w:szCs w:val="24"/>
        </w:rPr>
      </w:pPr>
      <w:r>
        <w:rPr>
          <w:color w:val="auto"/>
          <w:kern w:val="0"/>
          <w:sz w:val="24"/>
          <w:szCs w:val="24"/>
        </w:rPr>
        <w:t>经计算：</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（1）项目完成后项目环保投资比例系数Hz为</w:t>
      </w:r>
      <w:r>
        <w:rPr>
          <w:rFonts w:hint="eastAsia"/>
          <w:color w:val="auto"/>
          <w:kern w:val="0"/>
          <w:sz w:val="24"/>
          <w:szCs w:val="20"/>
        </w:rPr>
        <w:t>3.5%</w:t>
      </w:r>
      <w:r>
        <w:rPr>
          <w:color w:val="auto"/>
          <w:kern w:val="0"/>
          <w:sz w:val="24"/>
          <w:szCs w:val="20"/>
        </w:rPr>
        <w:t>，表示环保投资占工程计划总投资的</w:t>
      </w:r>
      <w:r>
        <w:rPr>
          <w:rFonts w:hint="eastAsia"/>
          <w:color w:val="auto"/>
          <w:kern w:val="0"/>
          <w:sz w:val="24"/>
          <w:szCs w:val="20"/>
        </w:rPr>
        <w:t>3.5%</w:t>
      </w:r>
      <w:r>
        <w:rPr>
          <w:color w:val="auto"/>
          <w:kern w:val="0"/>
          <w:sz w:val="24"/>
          <w:szCs w:val="20"/>
        </w:rPr>
        <w:t>；</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（2）Fg产值环境系数为</w:t>
      </w:r>
      <w:r>
        <w:rPr>
          <w:rFonts w:hint="eastAsia"/>
          <w:color w:val="auto"/>
          <w:kern w:val="0"/>
          <w:sz w:val="24"/>
          <w:szCs w:val="20"/>
        </w:rPr>
        <w:t>15</w:t>
      </w:r>
      <w:r>
        <w:rPr>
          <w:rFonts w:hint="eastAsia"/>
          <w:color w:val="auto"/>
          <w:kern w:val="0"/>
          <w:sz w:val="24"/>
          <w:szCs w:val="20"/>
          <w:lang w:val="en-US" w:eastAsia="zh-CN"/>
        </w:rPr>
        <w:t>.19</w:t>
      </w:r>
      <w:r>
        <w:rPr>
          <w:color w:val="auto"/>
          <w:kern w:val="0"/>
          <w:sz w:val="24"/>
          <w:szCs w:val="20"/>
        </w:rPr>
        <w:t>%，表示每生产万元产值所花费的环保费用为</w:t>
      </w:r>
      <w:r>
        <w:rPr>
          <w:rFonts w:hint="eastAsia"/>
          <w:color w:val="auto"/>
          <w:kern w:val="0"/>
          <w:sz w:val="24"/>
          <w:szCs w:val="20"/>
        </w:rPr>
        <w:t>1519</w:t>
      </w:r>
      <w:r>
        <w:rPr>
          <w:color w:val="auto"/>
          <w:kern w:val="0"/>
          <w:sz w:val="24"/>
          <w:szCs w:val="20"/>
        </w:rPr>
        <w:t>元；</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（3）环境经济效益系数J</w:t>
      </w:r>
      <w:r>
        <w:rPr>
          <w:color w:val="auto"/>
          <w:kern w:val="0"/>
          <w:sz w:val="24"/>
          <w:szCs w:val="20"/>
          <w:vertAlign w:val="subscript"/>
        </w:rPr>
        <w:t>X</w:t>
      </w:r>
      <w:r>
        <w:rPr>
          <w:color w:val="auto"/>
          <w:kern w:val="0"/>
          <w:sz w:val="24"/>
          <w:szCs w:val="20"/>
        </w:rPr>
        <w:t>为</w:t>
      </w:r>
      <w:r>
        <w:rPr>
          <w:rFonts w:hint="eastAsia"/>
          <w:color w:val="auto"/>
          <w:kern w:val="0"/>
          <w:sz w:val="24"/>
          <w:szCs w:val="20"/>
        </w:rPr>
        <w:t>0.19:1</w:t>
      </w:r>
      <w:r>
        <w:rPr>
          <w:color w:val="auto"/>
          <w:kern w:val="0"/>
          <w:sz w:val="24"/>
          <w:szCs w:val="20"/>
        </w:rPr>
        <w:t>，表示每投入1元环保投资可挽回</w:t>
      </w:r>
      <w:r>
        <w:rPr>
          <w:rFonts w:hint="eastAsia"/>
          <w:color w:val="auto"/>
          <w:kern w:val="0"/>
          <w:sz w:val="24"/>
          <w:szCs w:val="20"/>
        </w:rPr>
        <w:t>0.19</w:t>
      </w:r>
      <w:r>
        <w:rPr>
          <w:color w:val="auto"/>
          <w:kern w:val="0"/>
          <w:sz w:val="24"/>
          <w:szCs w:val="20"/>
        </w:rPr>
        <w:t>元经济价值。</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建设项目环境效益的核算是一项复杂、系统的工作，本项目通过适当的环保投资实现污染物达标排放，并纳入区域总量控制指标内，在达到经济目标的同时亦实现环境目标和持续发展。</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综上所述，虽然项目需要付出一定的经济代价进行污染治理，但在治理污染物的同时也为企业带来了一定程度的收益，综合评定后，评价认为项目设置的环保投资是必要的，设置环保投资带来的环境效益是明显的。</w:t>
      </w:r>
    </w:p>
    <w:p>
      <w:pPr>
        <w:widowControl w:val="0"/>
        <w:adjustRightInd w:val="0"/>
        <w:snapToGrid w:val="0"/>
        <w:spacing w:line="360" w:lineRule="auto"/>
        <w:ind w:firstLine="480" w:firstLineChars="200"/>
        <w:jc w:val="both"/>
        <w:textAlignment w:val="baseline"/>
        <w:rPr>
          <w:color w:val="auto"/>
          <w:kern w:val="0"/>
          <w:sz w:val="24"/>
          <w:szCs w:val="20"/>
        </w:rPr>
      </w:pPr>
    </w:p>
    <w:p>
      <w:pPr>
        <w:pStyle w:val="3"/>
        <w:pageBreakBefore/>
        <w:widowControl w:val="0"/>
        <w:tabs>
          <w:tab w:val="left" w:pos="360"/>
        </w:tabs>
        <w:adjustRightInd/>
        <w:spacing w:before="240" w:beforeLines="100" w:after="240" w:afterLines="100" w:line="360" w:lineRule="auto"/>
        <w:contextualSpacing/>
        <w:textAlignment w:val="baseline"/>
        <w:rPr>
          <w:color w:val="auto"/>
          <w:kern w:val="21"/>
          <w:szCs w:val="36"/>
        </w:rPr>
      </w:pPr>
      <w:bookmarkStart w:id="445" w:name="_Toc112338978"/>
      <w:r>
        <w:rPr>
          <w:rFonts w:hint="eastAsia"/>
          <w:bCs w:val="0"/>
          <w:color w:val="auto"/>
          <w:szCs w:val="20"/>
        </w:rPr>
        <w:t>第九章  环境管理与监控计划</w:t>
      </w:r>
      <w:bookmarkEnd w:id="445"/>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46" w:name="_Toc112338979"/>
      <w:r>
        <w:rPr>
          <w:rFonts w:hint="eastAsia"/>
          <w:bCs w:val="0"/>
          <w:color w:val="auto"/>
          <w:kern w:val="0"/>
          <w:szCs w:val="20"/>
          <w:lang w:val="en-US"/>
        </w:rPr>
        <w:t>9.1环境管理</w:t>
      </w:r>
      <w:bookmarkEnd w:id="446"/>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环境管理是企业管理中的一项重要内容，加大环境管理力度是实现企业环境效益、社会效益协调发展和走可持续发展道路的重要措施，是企业生存和发展的重要保障之一，环境监测是工业污染防治的依据和环境管理的基础，加强污染监控工作是了解和掌握排污特征、研究污染发展趋势、开展环保技术研究和综合利用能源的有效途径。随着人民生活水平的不断提高和环保意识的不断增强，对于建设项目所引起的环境质量影响日益受到普遍关注，这就要求企业领导者能够及时地掌握本企业的生产和排污状况，因此制定并落实严格的环境管理与监控计划，</w:t>
      </w:r>
      <w:r>
        <w:rPr>
          <w:rFonts w:hint="eastAsia"/>
          <w:color w:val="auto"/>
          <w:kern w:val="0"/>
          <w:sz w:val="24"/>
          <w:szCs w:val="20"/>
          <w:lang w:eastAsia="zh-CN"/>
        </w:rPr>
        <w:t>才能最大限度地</w:t>
      </w:r>
      <w:r>
        <w:rPr>
          <w:color w:val="auto"/>
          <w:kern w:val="0"/>
          <w:sz w:val="24"/>
          <w:szCs w:val="20"/>
        </w:rPr>
        <w:t>减少污染物的产生与排放。</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9.1.1环境管理的原则</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根据工程特点及国家环境保护发展要求，环境管理应遵循如下原则：</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①经济、社会和环境三效益统一，坚持可持续发展的原则。</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②预防为主，管治结合的原则。在生产运行过程中，坚持设备“大修大改、小修小改和逢修必改”的环保原则。</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③环保优先的原则。主要工艺设施的改进，新工艺、新技术的采用，企业发展规划的制定，坚持统筹规划、合理布局、清洁生产、集中控制和治理污染。</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④依靠科技进步，推进清洁生产，节能降耗，降低污染的原则。</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⑤专业环保管理与公众参与相结合的原则。加强环保宣传，提高全体员工的环保意识，推动本工程的环境保护工作。</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9.1.2</w:t>
      </w:r>
      <w:r>
        <w:rPr>
          <w:rFonts w:eastAsia="黑体"/>
          <w:color w:val="auto"/>
          <w:kern w:val="21"/>
          <w:sz w:val="28"/>
          <w:szCs w:val="28"/>
        </w:rPr>
        <w:t>环境管理机构的设置</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根据国家、河南省有关环保法规和建设项目环境管理的要求，为加强该工程施工期及运行期的环境保护工作，公司应设置环境保护管理机构。根据本次工程实际情况，污水处理站管理操作人员5人，负责全公司污水的处理。评价建议在各车间培训若干有经验、懂技术的技术人员担任车间兼职环保管理人员，把环境管理落实到生产的每个单元，严格监督管理。</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环境管理专员对本项目的基本职能和主要工作职</w:t>
      </w:r>
      <w:r>
        <w:rPr>
          <w:color w:val="auto"/>
          <w:kern w:val="0"/>
          <w:sz w:val="24"/>
          <w:szCs w:val="20"/>
        </w:rPr>
        <w:t>责见表</w:t>
      </w:r>
      <w:r>
        <w:rPr>
          <w:rFonts w:hint="eastAsia"/>
          <w:color w:val="auto"/>
          <w:kern w:val="0"/>
          <w:sz w:val="24"/>
          <w:szCs w:val="20"/>
        </w:rPr>
        <w:t>9.1-1</w:t>
      </w:r>
      <w:r>
        <w:rPr>
          <w:color w:val="auto"/>
          <w:kern w:val="0"/>
          <w:sz w:val="24"/>
          <w:szCs w:val="20"/>
        </w:rPr>
        <w:t>。</w:t>
      </w:r>
      <w:r>
        <w:rPr>
          <w:rFonts w:hint="eastAsia"/>
          <w:color w:val="auto"/>
          <w:kern w:val="0"/>
          <w:sz w:val="24"/>
          <w:szCs w:val="20"/>
        </w:rPr>
        <w:t>环境管理专员应具</w:t>
      </w:r>
      <w:r>
        <w:rPr>
          <w:color w:val="auto"/>
          <w:kern w:val="0"/>
          <w:sz w:val="24"/>
          <w:szCs w:val="20"/>
        </w:rPr>
        <w:t>备的素质见表</w:t>
      </w:r>
      <w:r>
        <w:rPr>
          <w:rFonts w:hint="eastAsia"/>
          <w:color w:val="auto"/>
          <w:kern w:val="0"/>
          <w:sz w:val="24"/>
          <w:szCs w:val="20"/>
        </w:rPr>
        <w:t>9.1-2</w:t>
      </w:r>
      <w:r>
        <w:rPr>
          <w:color w:val="auto"/>
          <w:kern w:val="0"/>
          <w:sz w:val="24"/>
          <w:szCs w:val="20"/>
        </w:rPr>
        <w:t>。</w:t>
      </w: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表9.1-1     环境管理机构职能</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959"/>
        <w:gridCol w:w="7570"/>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562" w:type="pct"/>
            <w:vAlign w:val="center"/>
          </w:tcPr>
          <w:p>
            <w:pPr>
              <w:widowControl w:val="0"/>
              <w:jc w:val="center"/>
              <w:rPr>
                <w:rFonts w:cs="宋体"/>
                <w:b/>
                <w:color w:val="auto"/>
                <w:szCs w:val="20"/>
              </w:rPr>
            </w:pPr>
            <w:r>
              <w:rPr>
                <w:rFonts w:hint="eastAsia" w:cs="宋体"/>
                <w:b/>
                <w:color w:val="auto"/>
                <w:szCs w:val="20"/>
              </w:rPr>
              <w:t>项目</w:t>
            </w:r>
          </w:p>
        </w:tc>
        <w:tc>
          <w:tcPr>
            <w:tcW w:w="4438" w:type="pct"/>
            <w:vAlign w:val="center"/>
          </w:tcPr>
          <w:p>
            <w:pPr>
              <w:widowControl w:val="0"/>
              <w:jc w:val="center"/>
              <w:rPr>
                <w:rFonts w:cs="宋体"/>
                <w:b/>
                <w:color w:val="auto"/>
                <w:szCs w:val="20"/>
              </w:rPr>
            </w:pPr>
            <w:r>
              <w:rPr>
                <w:rFonts w:hint="eastAsia" w:cs="宋体"/>
                <w:b/>
                <w:color w:val="auto"/>
                <w:szCs w:val="20"/>
              </w:rPr>
              <w:t>管理职能</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2" w:type="pct"/>
            <w:vAlign w:val="center"/>
          </w:tcPr>
          <w:p>
            <w:pPr>
              <w:widowControl w:val="0"/>
              <w:contextualSpacing/>
              <w:jc w:val="center"/>
              <w:textAlignment w:val="baseline"/>
              <w:rPr>
                <w:color w:val="auto"/>
                <w:kern w:val="0"/>
              </w:rPr>
            </w:pPr>
            <w:r>
              <w:rPr>
                <w:rFonts w:hint="eastAsia"/>
                <w:color w:val="auto"/>
                <w:kern w:val="0"/>
              </w:rPr>
              <w:t>施工期</w:t>
            </w:r>
          </w:p>
        </w:tc>
        <w:tc>
          <w:tcPr>
            <w:tcW w:w="4438" w:type="pct"/>
            <w:vAlign w:val="center"/>
          </w:tcPr>
          <w:p>
            <w:pPr>
              <w:widowControl w:val="0"/>
              <w:contextualSpacing/>
              <w:jc w:val="center"/>
              <w:textAlignment w:val="baseline"/>
              <w:rPr>
                <w:color w:val="auto"/>
                <w:kern w:val="0"/>
              </w:rPr>
            </w:pPr>
            <w:r>
              <w:rPr>
                <w:rFonts w:hint="eastAsia"/>
                <w:color w:val="auto"/>
                <w:kern w:val="0"/>
              </w:rPr>
              <w:t>·监督工程建设过程中环保设施的落实情况</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2" w:type="pct"/>
            <w:vAlign w:val="center"/>
          </w:tcPr>
          <w:p>
            <w:pPr>
              <w:widowControl w:val="0"/>
              <w:contextualSpacing/>
              <w:jc w:val="center"/>
              <w:textAlignment w:val="baseline"/>
              <w:rPr>
                <w:color w:val="auto"/>
                <w:kern w:val="0"/>
              </w:rPr>
            </w:pPr>
            <w:r>
              <w:rPr>
                <w:rFonts w:hint="eastAsia"/>
                <w:color w:val="auto"/>
                <w:kern w:val="0"/>
              </w:rPr>
              <w:t>竣工验收管理</w:t>
            </w:r>
          </w:p>
        </w:tc>
        <w:tc>
          <w:tcPr>
            <w:tcW w:w="4438" w:type="pct"/>
            <w:vAlign w:val="center"/>
          </w:tcPr>
          <w:p>
            <w:pPr>
              <w:widowControl w:val="0"/>
              <w:adjustRightInd w:val="0"/>
              <w:snapToGrid w:val="0"/>
              <w:ind w:firstLine="210" w:firstLineChars="100"/>
              <w:rPr>
                <w:snapToGrid w:val="0"/>
                <w:color w:val="auto"/>
                <w:kern w:val="0"/>
                <w:szCs w:val="24"/>
              </w:rPr>
            </w:pPr>
            <w:r>
              <w:rPr>
                <w:rFonts w:hint="eastAsia"/>
                <w:snapToGrid w:val="0"/>
                <w:color w:val="auto"/>
                <w:kern w:val="0"/>
                <w:szCs w:val="24"/>
              </w:rPr>
              <w:t>·根据《建设项目环境保护竣工验收管理规定》，建设项目验收前，建设单位应针对环保手续履行情况、项目建成情况、环境保护设施建设情况进行自查</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·确保建设项目的环境保护设施和主体工程同时进行调试</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·建设单位正式投入运行前，必须实施监测并编制项目竣工环境保护验收报告，公开、登记相关信息并建立档案后才能正式运行</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2" w:type="pct"/>
            <w:vAlign w:val="center"/>
          </w:tcPr>
          <w:p>
            <w:pPr>
              <w:widowControl w:val="0"/>
              <w:contextualSpacing/>
              <w:jc w:val="center"/>
              <w:textAlignment w:val="baseline"/>
              <w:rPr>
                <w:color w:val="auto"/>
                <w:kern w:val="0"/>
              </w:rPr>
            </w:pPr>
            <w:r>
              <w:rPr>
                <w:rFonts w:hint="eastAsia"/>
                <w:color w:val="auto"/>
                <w:kern w:val="0"/>
              </w:rPr>
              <w:t>运行期</w:t>
            </w:r>
          </w:p>
        </w:tc>
        <w:tc>
          <w:tcPr>
            <w:tcW w:w="4438" w:type="pct"/>
            <w:vAlign w:val="center"/>
          </w:tcPr>
          <w:p>
            <w:pPr>
              <w:widowControl w:val="0"/>
              <w:adjustRightInd w:val="0"/>
              <w:snapToGrid w:val="0"/>
              <w:ind w:firstLine="210" w:firstLineChars="100"/>
              <w:rPr>
                <w:snapToGrid w:val="0"/>
                <w:color w:val="auto"/>
                <w:kern w:val="0"/>
                <w:szCs w:val="24"/>
              </w:rPr>
            </w:pPr>
            <w:r>
              <w:rPr>
                <w:rFonts w:hint="eastAsia"/>
                <w:snapToGrid w:val="0"/>
                <w:color w:val="auto"/>
                <w:kern w:val="0"/>
                <w:szCs w:val="24"/>
              </w:rPr>
              <w:t>·认真贯彻执行国家、省、市及行业部门制定的环保法规和各项规章制度及具体要求</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·制定符合本公司实际生产技术水平的环护管理制度和条例并监督执行，组织制定实施全公司环保规划和计划</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·制定并负责实施环保设备的运行管理计划、操作规程</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·对环保设施的运行情况进行监控，负责环保设施及设备的常规维护，确保其正常、高效运转</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·监督、管理本厂环境监测站的日常监测工作，负责环境监测资料管理</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·负责环保排污管理、审定工作，处理全厂的环境污染事故，随时做好应急准备，对已发生的事故应及时处理并上报有关部门</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·研究开发污染治理和综合利用技术，收集、推广和应用先进的环境保护经验和技术</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·加强企业职工的清洁生产教育和培训，提高企业推行清洁生产的自觉性，对生产实施全过程清洁生产和环境管理</w:t>
            </w:r>
          </w:p>
          <w:p>
            <w:pPr>
              <w:widowControl w:val="0"/>
              <w:adjustRightInd w:val="0"/>
              <w:snapToGrid w:val="0"/>
              <w:ind w:firstLine="210" w:firstLineChars="100"/>
              <w:rPr>
                <w:snapToGrid w:val="0"/>
                <w:color w:val="auto"/>
                <w:kern w:val="0"/>
                <w:szCs w:val="24"/>
              </w:rPr>
            </w:pPr>
            <w:r>
              <w:rPr>
                <w:rFonts w:hint="eastAsia"/>
                <w:snapToGrid w:val="0"/>
                <w:color w:val="auto"/>
                <w:kern w:val="0"/>
                <w:szCs w:val="24"/>
              </w:rPr>
              <w:t>·对公司环保设施运行情况和环境保护管理情况分别编制月报、季报和年报，并报上级部门</w:t>
            </w:r>
          </w:p>
        </w:tc>
      </w:tr>
    </w:tbl>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表9.1-2     环境管理专员素质要求</w:t>
      </w:r>
    </w:p>
    <w:tbl>
      <w:tblPr>
        <w:tblStyle w:val="83"/>
        <w:tblW w:w="5000"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725"/>
        <w:gridCol w:w="780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25" w:type="pct"/>
            <w:vAlign w:val="center"/>
          </w:tcPr>
          <w:p>
            <w:pPr>
              <w:widowControl w:val="0"/>
              <w:jc w:val="center"/>
              <w:rPr>
                <w:rFonts w:cs="宋体"/>
                <w:b/>
                <w:color w:val="auto"/>
                <w:szCs w:val="20"/>
              </w:rPr>
            </w:pPr>
            <w:r>
              <w:rPr>
                <w:rFonts w:hint="eastAsia" w:cs="宋体"/>
                <w:b/>
                <w:color w:val="auto"/>
                <w:szCs w:val="20"/>
              </w:rPr>
              <w:t>序号</w:t>
            </w:r>
          </w:p>
        </w:tc>
        <w:tc>
          <w:tcPr>
            <w:tcW w:w="4575" w:type="pct"/>
            <w:vAlign w:val="center"/>
          </w:tcPr>
          <w:p>
            <w:pPr>
              <w:widowControl w:val="0"/>
              <w:jc w:val="center"/>
              <w:rPr>
                <w:rFonts w:cs="宋体"/>
                <w:b/>
                <w:color w:val="auto"/>
                <w:szCs w:val="20"/>
              </w:rPr>
            </w:pPr>
            <w:r>
              <w:rPr>
                <w:rFonts w:hint="eastAsia" w:cs="宋体"/>
                <w:b/>
                <w:color w:val="auto"/>
                <w:szCs w:val="20"/>
              </w:rPr>
              <w:t>素质要求</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25" w:type="pct"/>
            <w:vAlign w:val="center"/>
          </w:tcPr>
          <w:p>
            <w:pPr>
              <w:widowControl w:val="0"/>
              <w:contextualSpacing/>
              <w:jc w:val="center"/>
              <w:textAlignment w:val="baseline"/>
              <w:rPr>
                <w:color w:val="auto"/>
                <w:kern w:val="0"/>
              </w:rPr>
            </w:pPr>
            <w:r>
              <w:rPr>
                <w:color w:val="auto"/>
                <w:kern w:val="0"/>
              </w:rPr>
              <w:t>1</w:t>
            </w:r>
          </w:p>
        </w:tc>
        <w:tc>
          <w:tcPr>
            <w:tcW w:w="4575" w:type="pct"/>
            <w:vAlign w:val="center"/>
          </w:tcPr>
          <w:p>
            <w:pPr>
              <w:widowControl w:val="0"/>
              <w:contextualSpacing/>
              <w:jc w:val="center"/>
              <w:textAlignment w:val="baseline"/>
              <w:rPr>
                <w:color w:val="auto"/>
                <w:kern w:val="0"/>
              </w:rPr>
            </w:pPr>
            <w:r>
              <w:rPr>
                <w:rFonts w:hint="eastAsia"/>
                <w:color w:val="auto"/>
                <w:kern w:val="0"/>
              </w:rPr>
              <w:t>热爱环保事业，熟悉国家有关环保法规、方针政策、条例和标准等</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25" w:type="pct"/>
            <w:vAlign w:val="center"/>
          </w:tcPr>
          <w:p>
            <w:pPr>
              <w:widowControl w:val="0"/>
              <w:contextualSpacing/>
              <w:jc w:val="center"/>
              <w:textAlignment w:val="baseline"/>
              <w:rPr>
                <w:color w:val="auto"/>
                <w:kern w:val="0"/>
              </w:rPr>
            </w:pPr>
            <w:r>
              <w:rPr>
                <w:color w:val="auto"/>
                <w:kern w:val="0"/>
              </w:rPr>
              <w:t>2</w:t>
            </w:r>
          </w:p>
        </w:tc>
        <w:tc>
          <w:tcPr>
            <w:tcW w:w="4575" w:type="pct"/>
            <w:vAlign w:val="center"/>
          </w:tcPr>
          <w:p>
            <w:pPr>
              <w:widowControl w:val="0"/>
              <w:contextualSpacing/>
              <w:jc w:val="center"/>
              <w:textAlignment w:val="baseline"/>
              <w:rPr>
                <w:color w:val="auto"/>
                <w:kern w:val="0"/>
              </w:rPr>
            </w:pPr>
            <w:r>
              <w:rPr>
                <w:rFonts w:hint="eastAsia"/>
                <w:color w:val="auto"/>
                <w:kern w:val="0"/>
              </w:rPr>
              <w:t>熟悉企业生产工艺，了解企业各项管理内容，能够提出本工程环境管理与综合防治的合理方案和建议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25" w:type="pct"/>
            <w:vAlign w:val="center"/>
          </w:tcPr>
          <w:p>
            <w:pPr>
              <w:widowControl w:val="0"/>
              <w:contextualSpacing/>
              <w:jc w:val="center"/>
              <w:textAlignment w:val="baseline"/>
              <w:rPr>
                <w:color w:val="auto"/>
                <w:kern w:val="0"/>
              </w:rPr>
            </w:pPr>
            <w:r>
              <w:rPr>
                <w:color w:val="auto"/>
                <w:kern w:val="0"/>
              </w:rPr>
              <w:t>3</w:t>
            </w:r>
          </w:p>
        </w:tc>
        <w:tc>
          <w:tcPr>
            <w:tcW w:w="4575" w:type="pct"/>
            <w:vAlign w:val="center"/>
          </w:tcPr>
          <w:p>
            <w:pPr>
              <w:widowControl w:val="0"/>
              <w:contextualSpacing/>
              <w:jc w:val="center"/>
              <w:textAlignment w:val="baseline"/>
              <w:rPr>
                <w:color w:val="auto"/>
                <w:kern w:val="0"/>
              </w:rPr>
            </w:pPr>
            <w:r>
              <w:rPr>
                <w:rFonts w:hint="eastAsia"/>
                <w:color w:val="auto"/>
                <w:kern w:val="0"/>
              </w:rPr>
              <w:t>具备清洁生产知识，能够提出合理的清洁生产方案，不断改进企业清洁生产水平</w:t>
            </w:r>
          </w:p>
        </w:tc>
      </w:tr>
    </w:tbl>
    <w:p>
      <w:pPr>
        <w:keepNext w:val="0"/>
        <w:keepLines w:val="0"/>
        <w:pageBreakBefore w:val="0"/>
        <w:widowControl w:val="0"/>
        <w:kinsoku/>
        <w:wordWrap/>
        <w:overflowPunct/>
        <w:topLinePunct w:val="0"/>
        <w:autoSpaceDE/>
        <w:autoSpaceDN/>
        <w:bidi w:val="0"/>
        <w:adjustRightInd w:val="0"/>
        <w:snapToGrid w:val="0"/>
        <w:spacing w:before="191" w:beforeLines="50" w:line="360" w:lineRule="auto"/>
        <w:ind w:firstLine="480" w:firstLineChars="200"/>
        <w:jc w:val="both"/>
        <w:textAlignment w:val="baseline"/>
        <w:rPr>
          <w:color w:val="auto"/>
          <w:kern w:val="0"/>
          <w:sz w:val="24"/>
          <w:szCs w:val="20"/>
        </w:rPr>
      </w:pPr>
      <w:r>
        <w:rPr>
          <w:rFonts w:hint="eastAsia"/>
          <w:color w:val="auto"/>
          <w:kern w:val="0"/>
          <w:sz w:val="24"/>
          <w:szCs w:val="20"/>
        </w:rPr>
        <w:t>为保证工作的顺利进行，安全环保处应在各车间培训业务熟练、责任心强的技术人员担任车间兼职管理人员，以便于监督管理，防患于未然。</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47" w:name="_Toc112338980"/>
      <w:r>
        <w:rPr>
          <w:rFonts w:hint="eastAsia"/>
          <w:bCs w:val="0"/>
          <w:color w:val="auto"/>
          <w:kern w:val="0"/>
          <w:szCs w:val="20"/>
          <w:lang w:val="en-US"/>
        </w:rPr>
        <w:t>9.2</w:t>
      </w:r>
      <w:r>
        <w:rPr>
          <w:bCs w:val="0"/>
          <w:color w:val="auto"/>
          <w:kern w:val="0"/>
          <w:szCs w:val="20"/>
          <w:lang w:val="en-US"/>
        </w:rPr>
        <w:t>环境监控计划</w:t>
      </w:r>
      <w:bookmarkEnd w:id="447"/>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9.2.1环境监测的目的</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环境监测的目的是为了准确、及时、全面地反映环境质量现状及发展趋势，对该厂主要污染物排放进行定期监测，为环境管理、污染源控制、环境规划等提供科学依据。因此，环境监测是环境管理工作必不可少的手段，是科学管理企业环保工作的基础。通过监测计划的制定与实施，及时发现环保措施的不足，进行修正和改进，确保环保设施长期高效稳定</w:t>
      </w:r>
      <w:r>
        <w:rPr>
          <w:rFonts w:hint="eastAsia"/>
          <w:color w:val="auto"/>
          <w:kern w:val="0"/>
          <w:sz w:val="24"/>
          <w:szCs w:val="20"/>
          <w:lang w:eastAsia="zh-CN"/>
        </w:rPr>
        <w:t>地</w:t>
      </w:r>
      <w:r>
        <w:rPr>
          <w:rFonts w:hint="eastAsia"/>
          <w:color w:val="auto"/>
          <w:kern w:val="0"/>
          <w:sz w:val="24"/>
          <w:szCs w:val="20"/>
        </w:rPr>
        <w:t>进行。</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9.2.2监测任务</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环境监测是环境管理的基础，并为企业制定污染防治对策和规划提供依据。根据工程污染物排放的实际情况和就近方便的原则，该项目具体监测工作建议委托有资质的环境监测机构完成。主要任务如下：</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ascii="宋体" w:hAnsi="宋体" w:cs="宋体"/>
          <w:color w:val="auto"/>
          <w:kern w:val="0"/>
          <w:sz w:val="24"/>
          <w:szCs w:val="20"/>
        </w:rPr>
        <w:t>①</w:t>
      </w:r>
      <w:r>
        <w:rPr>
          <w:color w:val="auto"/>
          <w:kern w:val="0"/>
          <w:sz w:val="24"/>
          <w:szCs w:val="20"/>
        </w:rPr>
        <w:t>定期监测建设项目排放的污染物是否符合国家所规定的排放标准；</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ascii="宋体" w:hAnsi="宋体" w:cs="宋体"/>
          <w:color w:val="auto"/>
          <w:kern w:val="0"/>
          <w:sz w:val="24"/>
          <w:szCs w:val="20"/>
        </w:rPr>
        <w:t>②</w:t>
      </w:r>
      <w:r>
        <w:rPr>
          <w:color w:val="auto"/>
          <w:kern w:val="0"/>
          <w:sz w:val="24"/>
          <w:szCs w:val="20"/>
        </w:rPr>
        <w:t>分析所排污染物的变化规律，为制定污染控制措施提供依据；</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ascii="宋体" w:hAnsi="宋体" w:cs="宋体"/>
          <w:color w:val="auto"/>
          <w:kern w:val="0"/>
          <w:sz w:val="24"/>
          <w:szCs w:val="20"/>
        </w:rPr>
        <w:t>③</w:t>
      </w:r>
      <w:r>
        <w:rPr>
          <w:color w:val="auto"/>
          <w:kern w:val="0"/>
          <w:sz w:val="24"/>
          <w:szCs w:val="20"/>
        </w:rPr>
        <w:t>负责污染事故的监测及报告；</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④</w:t>
      </w:r>
      <w:r>
        <w:rPr>
          <w:color w:val="auto"/>
          <w:kern w:val="0"/>
          <w:sz w:val="24"/>
          <w:szCs w:val="20"/>
        </w:rPr>
        <w:t>环境监测对象主要有两个方面，即污染源监测和企业环境质量监测。</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9.2.3</w:t>
      </w:r>
      <w:r>
        <w:rPr>
          <w:rFonts w:eastAsia="黑体"/>
          <w:color w:val="auto"/>
          <w:kern w:val="21"/>
          <w:sz w:val="28"/>
          <w:szCs w:val="28"/>
        </w:rPr>
        <w:t>监控要求</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（1）根据《固定污染源排气中颗粒物测定与气态污染物采样方法》（GB/T16157-1996）要求，在废气治理设施前、后分别预留监测孔，设置明显标志。</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（2）根据《环境保护图形标志—排放口（源）》（GB15562.1-1995）标准要求，分别在废气排放口和噪声排放源设置环境保护图形标志，便于污染源的监督管理和常规监测工作的进行。</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（3）污染监控应严格按照国家有关标准和技术规范进行。</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9.2.4</w:t>
      </w:r>
      <w:r>
        <w:rPr>
          <w:rFonts w:eastAsia="黑体"/>
          <w:color w:val="auto"/>
          <w:kern w:val="21"/>
          <w:sz w:val="28"/>
          <w:szCs w:val="28"/>
        </w:rPr>
        <w:t>运行期监控计划</w:t>
      </w:r>
    </w:p>
    <w:p>
      <w:pPr>
        <w:adjustRightInd w:val="0"/>
        <w:snapToGrid w:val="0"/>
        <w:spacing w:line="360" w:lineRule="auto"/>
        <w:ind w:firstLine="480" w:firstLineChars="200"/>
        <w:rPr>
          <w:color w:val="auto"/>
          <w:kern w:val="0"/>
          <w:sz w:val="24"/>
          <w:szCs w:val="20"/>
        </w:rPr>
      </w:pPr>
      <w:r>
        <w:rPr>
          <w:rFonts w:hint="eastAsia"/>
          <w:color w:val="auto"/>
          <w:kern w:val="21"/>
          <w:sz w:val="24"/>
        </w:rPr>
        <w:t>根据《排污单位自行监测技术指南 电镀工业》（HJ985-2018）和《排污单位自行监测技术指南 火力发电及锅炉》（HJ820-2017），</w:t>
      </w:r>
      <w:r>
        <w:rPr>
          <w:color w:val="auto"/>
          <w:kern w:val="21"/>
          <w:sz w:val="24"/>
        </w:rPr>
        <w:t>对生产过程中产生的废气、</w:t>
      </w:r>
      <w:r>
        <w:rPr>
          <w:rFonts w:hint="eastAsia"/>
          <w:color w:val="auto"/>
          <w:kern w:val="21"/>
          <w:sz w:val="24"/>
        </w:rPr>
        <w:t>废水（总排口）、</w:t>
      </w:r>
      <w:r>
        <w:rPr>
          <w:color w:val="auto"/>
          <w:kern w:val="21"/>
          <w:sz w:val="24"/>
        </w:rPr>
        <w:t>噪声进行监控，具体监测工作</w:t>
      </w:r>
      <w:r>
        <w:rPr>
          <w:rFonts w:hint="eastAsia"/>
          <w:color w:val="auto"/>
          <w:kern w:val="21"/>
          <w:sz w:val="24"/>
        </w:rPr>
        <w:t>自行完成或</w:t>
      </w:r>
      <w:r>
        <w:rPr>
          <w:color w:val="auto"/>
          <w:kern w:val="21"/>
          <w:sz w:val="24"/>
        </w:rPr>
        <w:t>委托有资质的环境监测机构完成</w:t>
      </w:r>
      <w:r>
        <w:rPr>
          <w:rFonts w:hint="eastAsia"/>
          <w:color w:val="auto"/>
          <w:kern w:val="21"/>
          <w:sz w:val="24"/>
        </w:rPr>
        <w:t>，项目运营期的环境监测计划如下。</w:t>
      </w:r>
    </w:p>
    <w:p>
      <w:pPr>
        <w:widowControl w:val="0"/>
        <w:tabs>
          <w:tab w:val="center" w:pos="4575"/>
          <w:tab w:val="left" w:pos="7365"/>
        </w:tabs>
        <w:jc w:val="center"/>
        <w:rPr>
          <w:rFonts w:ascii="黑体" w:hAnsi="黑体" w:eastAsia="黑体"/>
          <w:color w:val="auto"/>
          <w:sz w:val="24"/>
          <w:szCs w:val="22"/>
        </w:rPr>
      </w:pPr>
      <w:r>
        <w:rPr>
          <w:rFonts w:ascii="黑体" w:hAnsi="黑体" w:eastAsia="黑体"/>
          <w:color w:val="auto"/>
          <w:sz w:val="24"/>
          <w:szCs w:val="22"/>
        </w:rPr>
        <w:t>表</w:t>
      </w:r>
      <w:r>
        <w:rPr>
          <w:rFonts w:hint="eastAsia" w:ascii="黑体" w:hAnsi="黑体" w:eastAsia="黑体"/>
          <w:color w:val="auto"/>
          <w:sz w:val="24"/>
          <w:szCs w:val="22"/>
        </w:rPr>
        <w:t>9.2-1</w:t>
      </w:r>
      <w:r>
        <w:rPr>
          <w:rFonts w:ascii="黑体" w:hAnsi="黑体" w:eastAsia="黑体"/>
          <w:color w:val="auto"/>
          <w:sz w:val="24"/>
          <w:szCs w:val="22"/>
        </w:rPr>
        <w:t xml:space="preserve"> </w:t>
      </w:r>
      <w:r>
        <w:rPr>
          <w:rFonts w:hint="eastAsia" w:ascii="黑体" w:hAnsi="黑体" w:eastAsia="黑体"/>
          <w:color w:val="auto"/>
          <w:sz w:val="24"/>
          <w:szCs w:val="22"/>
        </w:rPr>
        <w:t xml:space="preserve">    有组织废气自行监测点位、监测项目及最低监测频次</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004"/>
        <w:gridCol w:w="990"/>
        <w:gridCol w:w="1905"/>
        <w:gridCol w:w="2791"/>
        <w:gridCol w:w="167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004" w:type="dxa"/>
            <w:tcMar>
              <w:top w:w="0" w:type="dxa"/>
              <w:left w:w="28" w:type="dxa"/>
              <w:bottom w:w="0" w:type="dxa"/>
              <w:right w:w="28" w:type="dxa"/>
            </w:tcMar>
            <w:vAlign w:val="center"/>
          </w:tcPr>
          <w:p>
            <w:pPr>
              <w:widowControl w:val="0"/>
              <w:jc w:val="center"/>
              <w:rPr>
                <w:rFonts w:cs="宋体"/>
                <w:b/>
                <w:color w:val="auto"/>
                <w:szCs w:val="20"/>
              </w:rPr>
            </w:pPr>
            <w:r>
              <w:rPr>
                <w:rFonts w:cs="宋体"/>
                <w:b/>
                <w:color w:val="auto"/>
                <w:szCs w:val="20"/>
              </w:rPr>
              <w:t>污染源</w:t>
            </w:r>
          </w:p>
        </w:tc>
        <w:tc>
          <w:tcPr>
            <w:tcW w:w="990" w:type="dxa"/>
            <w:tcMar>
              <w:top w:w="0" w:type="dxa"/>
              <w:left w:w="28" w:type="dxa"/>
              <w:bottom w:w="0" w:type="dxa"/>
              <w:right w:w="28" w:type="dxa"/>
            </w:tcMar>
            <w:vAlign w:val="center"/>
          </w:tcPr>
          <w:p>
            <w:pPr>
              <w:widowControl w:val="0"/>
              <w:jc w:val="center"/>
              <w:rPr>
                <w:rFonts w:hint="eastAsia" w:cs="宋体"/>
                <w:b/>
                <w:color w:val="auto"/>
                <w:szCs w:val="20"/>
              </w:rPr>
            </w:pPr>
            <w:r>
              <w:rPr>
                <w:rFonts w:hint="eastAsia" w:cs="宋体"/>
                <w:b/>
                <w:color w:val="auto"/>
                <w:szCs w:val="20"/>
              </w:rPr>
              <w:t>排气筒</w:t>
            </w:r>
          </w:p>
          <w:p>
            <w:pPr>
              <w:widowControl w:val="0"/>
              <w:jc w:val="center"/>
              <w:rPr>
                <w:rFonts w:cs="宋体"/>
                <w:b/>
                <w:color w:val="auto"/>
                <w:szCs w:val="20"/>
              </w:rPr>
            </w:pPr>
            <w:r>
              <w:rPr>
                <w:rFonts w:hint="eastAsia" w:cs="宋体"/>
                <w:b/>
                <w:color w:val="auto"/>
                <w:szCs w:val="20"/>
              </w:rPr>
              <w:t>编号</w:t>
            </w:r>
          </w:p>
        </w:tc>
        <w:tc>
          <w:tcPr>
            <w:tcW w:w="1905" w:type="dxa"/>
            <w:vAlign w:val="center"/>
          </w:tcPr>
          <w:p>
            <w:pPr>
              <w:widowControl w:val="0"/>
              <w:jc w:val="center"/>
              <w:rPr>
                <w:rFonts w:cs="宋体"/>
                <w:b/>
                <w:color w:val="auto"/>
                <w:szCs w:val="20"/>
              </w:rPr>
            </w:pPr>
            <w:r>
              <w:rPr>
                <w:rFonts w:cs="宋体"/>
                <w:b/>
                <w:color w:val="auto"/>
                <w:szCs w:val="20"/>
              </w:rPr>
              <w:t>监测</w:t>
            </w:r>
            <w:r>
              <w:rPr>
                <w:rFonts w:hint="eastAsia" w:cs="宋体"/>
                <w:b/>
                <w:color w:val="auto"/>
                <w:szCs w:val="20"/>
              </w:rPr>
              <w:t>点位</w:t>
            </w:r>
          </w:p>
        </w:tc>
        <w:tc>
          <w:tcPr>
            <w:tcW w:w="2791" w:type="dxa"/>
            <w:tcMar>
              <w:top w:w="0" w:type="dxa"/>
              <w:left w:w="28" w:type="dxa"/>
              <w:bottom w:w="0" w:type="dxa"/>
              <w:right w:w="28" w:type="dxa"/>
            </w:tcMar>
            <w:vAlign w:val="center"/>
          </w:tcPr>
          <w:p>
            <w:pPr>
              <w:widowControl w:val="0"/>
              <w:jc w:val="center"/>
              <w:rPr>
                <w:rFonts w:cs="宋体"/>
                <w:b/>
                <w:color w:val="auto"/>
                <w:szCs w:val="20"/>
              </w:rPr>
            </w:pPr>
            <w:r>
              <w:rPr>
                <w:rFonts w:cs="宋体"/>
                <w:b/>
                <w:color w:val="auto"/>
                <w:szCs w:val="20"/>
              </w:rPr>
              <w:t>监测项目</w:t>
            </w:r>
          </w:p>
        </w:tc>
        <w:tc>
          <w:tcPr>
            <w:tcW w:w="1676" w:type="dxa"/>
            <w:tcMar>
              <w:top w:w="0" w:type="dxa"/>
              <w:left w:w="28" w:type="dxa"/>
              <w:bottom w:w="0" w:type="dxa"/>
              <w:right w:w="28" w:type="dxa"/>
            </w:tcMar>
            <w:vAlign w:val="center"/>
          </w:tcPr>
          <w:p>
            <w:pPr>
              <w:widowControl w:val="0"/>
              <w:jc w:val="center"/>
              <w:rPr>
                <w:rFonts w:cs="宋体"/>
                <w:b/>
                <w:color w:val="auto"/>
                <w:szCs w:val="20"/>
              </w:rPr>
            </w:pPr>
            <w:r>
              <w:rPr>
                <w:rFonts w:hint="eastAsia" w:cs="宋体"/>
                <w:b/>
                <w:color w:val="auto"/>
                <w:szCs w:val="20"/>
              </w:rPr>
              <w:t>最低</w:t>
            </w:r>
            <w:r>
              <w:rPr>
                <w:rFonts w:cs="宋体"/>
                <w:b/>
                <w:color w:val="auto"/>
                <w:szCs w:val="20"/>
              </w:rPr>
              <w:t>监测</w:t>
            </w:r>
            <w:r>
              <w:rPr>
                <w:rFonts w:hint="eastAsia" w:cs="宋体"/>
                <w:b/>
                <w:color w:val="auto"/>
                <w:szCs w:val="20"/>
              </w:rPr>
              <w:t>频次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004" w:type="dxa"/>
            <w:vMerge w:val="restart"/>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0"/>
              </w:rPr>
              <w:t>废气</w:t>
            </w:r>
            <w:r>
              <w:rPr>
                <w:rFonts w:hint="eastAsia"/>
                <w:color w:val="auto"/>
                <w:kern w:val="0"/>
              </w:rPr>
              <w:t>监测</w:t>
            </w:r>
          </w:p>
        </w:tc>
        <w:tc>
          <w:tcPr>
            <w:tcW w:w="990"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DA001</w:t>
            </w:r>
          </w:p>
        </w:tc>
        <w:tc>
          <w:tcPr>
            <w:tcW w:w="1905" w:type="dxa"/>
            <w:vAlign w:val="center"/>
          </w:tcPr>
          <w:p>
            <w:pPr>
              <w:widowControl w:val="0"/>
              <w:contextualSpacing/>
              <w:jc w:val="center"/>
              <w:textAlignment w:val="baseline"/>
              <w:rPr>
                <w:color w:val="auto"/>
                <w:kern w:val="0"/>
              </w:rPr>
            </w:pPr>
            <w:r>
              <w:rPr>
                <w:color w:val="auto"/>
                <w:kern w:val="21"/>
              </w:rPr>
              <w:t>二级碱液喷淋中和塔排气筒</w:t>
            </w:r>
          </w:p>
        </w:tc>
        <w:tc>
          <w:tcPr>
            <w:tcW w:w="2791"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HCl</w:t>
            </w:r>
          </w:p>
        </w:tc>
        <w:tc>
          <w:tcPr>
            <w:tcW w:w="1676"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0"/>
              </w:rPr>
              <w:t>1次/半年</w:t>
            </w:r>
          </w:p>
          <w:p>
            <w:pPr>
              <w:widowControl w:val="0"/>
              <w:contextualSpacing/>
              <w:jc w:val="center"/>
              <w:textAlignment w:val="baseline"/>
              <w:rPr>
                <w:color w:val="auto"/>
                <w:kern w:val="0"/>
              </w:rPr>
            </w:pPr>
            <w:r>
              <w:rPr>
                <w:rFonts w:hint="eastAsia"/>
                <w:color w:val="auto"/>
                <w:kern w:val="0"/>
              </w:rPr>
              <w:t>每次两天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004"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990" w:type="dxa"/>
            <w:vMerge w:val="restart"/>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DA002</w:t>
            </w:r>
          </w:p>
        </w:tc>
        <w:tc>
          <w:tcPr>
            <w:tcW w:w="1905" w:type="dxa"/>
            <w:vMerge w:val="restart"/>
            <w:vAlign w:val="center"/>
          </w:tcPr>
          <w:p>
            <w:pPr>
              <w:widowControl w:val="0"/>
              <w:contextualSpacing/>
              <w:jc w:val="center"/>
              <w:textAlignment w:val="baseline"/>
              <w:rPr>
                <w:color w:val="auto"/>
                <w:kern w:val="21"/>
              </w:rPr>
            </w:pPr>
            <w:r>
              <w:rPr>
                <w:rFonts w:hint="eastAsia"/>
                <w:color w:val="auto"/>
                <w:kern w:val="0"/>
              </w:rPr>
              <w:t>锅炉排气筒</w:t>
            </w:r>
          </w:p>
        </w:tc>
        <w:tc>
          <w:tcPr>
            <w:tcW w:w="2791"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NOx</w:t>
            </w:r>
          </w:p>
        </w:tc>
        <w:tc>
          <w:tcPr>
            <w:tcW w:w="1676"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0"/>
              </w:rPr>
              <w:t>在线监测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004"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990"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1905" w:type="dxa"/>
            <w:vMerge w:val="continue"/>
            <w:vAlign w:val="center"/>
          </w:tcPr>
          <w:p>
            <w:pPr>
              <w:widowControl w:val="0"/>
              <w:contextualSpacing/>
              <w:jc w:val="center"/>
              <w:textAlignment w:val="baseline"/>
              <w:rPr>
                <w:color w:val="auto"/>
                <w:kern w:val="0"/>
              </w:rPr>
            </w:pPr>
          </w:p>
        </w:tc>
        <w:tc>
          <w:tcPr>
            <w:tcW w:w="2791"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颗粒物、SO</w:t>
            </w:r>
            <w:r>
              <w:rPr>
                <w:rFonts w:hint="eastAsia"/>
                <w:color w:val="auto"/>
                <w:kern w:val="0"/>
                <w:vertAlign w:val="subscript"/>
              </w:rPr>
              <w:t>2</w:t>
            </w:r>
            <w:r>
              <w:rPr>
                <w:rFonts w:hint="eastAsia"/>
                <w:color w:val="auto"/>
                <w:kern w:val="0"/>
              </w:rPr>
              <w:t>、林格曼黑度</w:t>
            </w:r>
          </w:p>
        </w:tc>
        <w:tc>
          <w:tcPr>
            <w:tcW w:w="1676"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1次/季度</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004"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990"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DA003</w:t>
            </w:r>
          </w:p>
        </w:tc>
        <w:tc>
          <w:tcPr>
            <w:tcW w:w="1905" w:type="dxa"/>
            <w:vAlign w:val="center"/>
          </w:tcPr>
          <w:p>
            <w:pPr>
              <w:widowControl w:val="0"/>
              <w:contextualSpacing/>
              <w:jc w:val="center"/>
              <w:textAlignment w:val="baseline"/>
              <w:rPr>
                <w:color w:val="auto"/>
                <w:kern w:val="21"/>
              </w:rPr>
            </w:pPr>
            <w:r>
              <w:rPr>
                <w:color w:val="auto"/>
                <w:kern w:val="21"/>
              </w:rPr>
              <w:t>恶臭排气筒</w:t>
            </w:r>
          </w:p>
        </w:tc>
        <w:tc>
          <w:tcPr>
            <w:tcW w:w="2791"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NH</w:t>
            </w:r>
            <w:r>
              <w:rPr>
                <w:rFonts w:hint="eastAsia"/>
                <w:color w:val="auto"/>
                <w:kern w:val="0"/>
                <w:vertAlign w:val="subscript"/>
              </w:rPr>
              <w:t>3</w:t>
            </w:r>
            <w:r>
              <w:rPr>
                <w:rFonts w:hint="eastAsia"/>
                <w:color w:val="auto"/>
                <w:kern w:val="0"/>
              </w:rPr>
              <w:t>、H</w:t>
            </w:r>
            <w:r>
              <w:rPr>
                <w:rFonts w:hint="eastAsia"/>
                <w:color w:val="auto"/>
                <w:kern w:val="0"/>
                <w:vertAlign w:val="subscript"/>
              </w:rPr>
              <w:t>2</w:t>
            </w:r>
            <w:r>
              <w:rPr>
                <w:rFonts w:hint="eastAsia"/>
                <w:color w:val="auto"/>
                <w:kern w:val="0"/>
              </w:rPr>
              <w:t>S、臭气浓度</w:t>
            </w:r>
          </w:p>
        </w:tc>
        <w:tc>
          <w:tcPr>
            <w:tcW w:w="1676"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0"/>
              </w:rPr>
              <w:t>1次/半年</w:t>
            </w:r>
          </w:p>
          <w:p>
            <w:pPr>
              <w:widowControl w:val="0"/>
              <w:contextualSpacing/>
              <w:jc w:val="center"/>
              <w:textAlignment w:val="baseline"/>
              <w:rPr>
                <w:color w:val="auto"/>
                <w:kern w:val="0"/>
              </w:rPr>
            </w:pPr>
            <w:r>
              <w:rPr>
                <w:rFonts w:hint="eastAsia"/>
                <w:color w:val="auto"/>
                <w:kern w:val="0"/>
              </w:rPr>
              <w:t>每次两天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004"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990"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DA004</w:t>
            </w:r>
          </w:p>
        </w:tc>
        <w:tc>
          <w:tcPr>
            <w:tcW w:w="1905" w:type="dxa"/>
            <w:vAlign w:val="center"/>
          </w:tcPr>
          <w:p>
            <w:pPr>
              <w:widowControl w:val="0"/>
              <w:contextualSpacing/>
              <w:jc w:val="center"/>
              <w:textAlignment w:val="baseline"/>
              <w:rPr>
                <w:color w:val="auto"/>
                <w:kern w:val="0"/>
              </w:rPr>
            </w:pPr>
            <w:r>
              <w:rPr>
                <w:rFonts w:hint="eastAsia"/>
                <w:color w:val="auto"/>
                <w:kern w:val="0"/>
              </w:rPr>
              <w:t>除尘器排气筒</w:t>
            </w:r>
          </w:p>
        </w:tc>
        <w:tc>
          <w:tcPr>
            <w:tcW w:w="2791"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0"/>
              </w:rPr>
              <w:t>颗粒物</w:t>
            </w:r>
          </w:p>
        </w:tc>
        <w:tc>
          <w:tcPr>
            <w:tcW w:w="1676"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0"/>
              </w:rPr>
              <w:t>1次/半年</w:t>
            </w:r>
          </w:p>
          <w:p>
            <w:pPr>
              <w:widowControl w:val="0"/>
              <w:contextualSpacing/>
              <w:jc w:val="center"/>
              <w:textAlignment w:val="baseline"/>
              <w:rPr>
                <w:color w:val="auto"/>
                <w:kern w:val="0"/>
              </w:rPr>
            </w:pPr>
            <w:r>
              <w:rPr>
                <w:rFonts w:hint="eastAsia"/>
                <w:color w:val="auto"/>
                <w:kern w:val="0"/>
              </w:rPr>
              <w:t>每次两天</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91" w:beforeLines="50"/>
        <w:jc w:val="center"/>
        <w:textAlignment w:val="auto"/>
        <w:rPr>
          <w:rFonts w:ascii="黑体" w:hAnsi="黑体" w:eastAsia="黑体"/>
          <w:color w:val="auto"/>
          <w:sz w:val="24"/>
          <w:szCs w:val="22"/>
        </w:rPr>
      </w:pPr>
      <w:r>
        <w:rPr>
          <w:rFonts w:hint="eastAsia" w:ascii="黑体" w:hAnsi="黑体" w:eastAsia="黑体"/>
          <w:color w:val="auto"/>
          <w:sz w:val="24"/>
          <w:szCs w:val="22"/>
        </w:rPr>
        <w:t>表9.2-3</w:t>
      </w:r>
      <w:r>
        <w:rPr>
          <w:rFonts w:ascii="黑体" w:hAnsi="黑体" w:eastAsia="黑体"/>
          <w:color w:val="auto"/>
          <w:sz w:val="24"/>
          <w:szCs w:val="22"/>
        </w:rPr>
        <w:t xml:space="preserve"> </w:t>
      </w:r>
      <w:r>
        <w:rPr>
          <w:rFonts w:hint="eastAsia" w:ascii="黑体" w:hAnsi="黑体" w:eastAsia="黑体"/>
          <w:color w:val="auto"/>
          <w:sz w:val="24"/>
          <w:szCs w:val="22"/>
        </w:rPr>
        <w:t xml:space="preserve">  </w:t>
      </w:r>
      <w:r>
        <w:rPr>
          <w:rFonts w:ascii="黑体" w:hAnsi="黑体" w:eastAsia="黑体"/>
          <w:color w:val="auto"/>
          <w:sz w:val="24"/>
          <w:szCs w:val="22"/>
        </w:rPr>
        <w:t xml:space="preserve"> </w:t>
      </w:r>
      <w:r>
        <w:rPr>
          <w:rFonts w:hint="eastAsia" w:ascii="黑体" w:hAnsi="黑体" w:eastAsia="黑体"/>
          <w:color w:val="auto"/>
          <w:sz w:val="24"/>
          <w:szCs w:val="22"/>
        </w:rPr>
        <w:t>无组织废气排放监测点位、监测项目指标及监测频次</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2346"/>
        <w:gridCol w:w="3970"/>
        <w:gridCol w:w="213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vAlign w:val="center"/>
          </w:tcPr>
          <w:p>
            <w:pPr>
              <w:widowControl w:val="0"/>
              <w:jc w:val="center"/>
              <w:rPr>
                <w:rFonts w:cs="宋体"/>
                <w:b/>
                <w:color w:val="auto"/>
                <w:szCs w:val="20"/>
              </w:rPr>
            </w:pPr>
            <w:r>
              <w:rPr>
                <w:rFonts w:cs="宋体"/>
                <w:b/>
                <w:color w:val="auto"/>
                <w:szCs w:val="20"/>
              </w:rPr>
              <w:t>监测</w:t>
            </w:r>
            <w:r>
              <w:rPr>
                <w:rFonts w:hint="eastAsia" w:cs="宋体"/>
                <w:b/>
                <w:color w:val="auto"/>
                <w:szCs w:val="20"/>
              </w:rPr>
              <w:t>点位</w:t>
            </w:r>
          </w:p>
        </w:tc>
        <w:tc>
          <w:tcPr>
            <w:tcW w:w="2349" w:type="pct"/>
            <w:tcMar>
              <w:top w:w="0" w:type="dxa"/>
              <w:left w:w="28" w:type="dxa"/>
              <w:bottom w:w="0" w:type="dxa"/>
              <w:right w:w="28" w:type="dxa"/>
            </w:tcMar>
            <w:vAlign w:val="center"/>
          </w:tcPr>
          <w:p>
            <w:pPr>
              <w:widowControl w:val="0"/>
              <w:jc w:val="center"/>
              <w:rPr>
                <w:rFonts w:cs="宋体"/>
                <w:b/>
                <w:color w:val="auto"/>
                <w:szCs w:val="20"/>
              </w:rPr>
            </w:pPr>
            <w:r>
              <w:rPr>
                <w:rFonts w:cs="宋体"/>
                <w:b/>
                <w:color w:val="auto"/>
                <w:szCs w:val="20"/>
              </w:rPr>
              <w:t>监测项目</w:t>
            </w:r>
          </w:p>
        </w:tc>
        <w:tc>
          <w:tcPr>
            <w:tcW w:w="1262" w:type="pct"/>
            <w:tcMar>
              <w:top w:w="0" w:type="dxa"/>
              <w:left w:w="28" w:type="dxa"/>
              <w:bottom w:w="0" w:type="dxa"/>
              <w:right w:w="28" w:type="dxa"/>
            </w:tcMar>
            <w:vAlign w:val="center"/>
          </w:tcPr>
          <w:p>
            <w:pPr>
              <w:widowControl w:val="0"/>
              <w:jc w:val="center"/>
              <w:rPr>
                <w:rFonts w:cs="宋体"/>
                <w:b/>
                <w:color w:val="auto"/>
                <w:szCs w:val="20"/>
              </w:rPr>
            </w:pPr>
            <w:r>
              <w:rPr>
                <w:rFonts w:hint="eastAsia" w:cs="宋体"/>
                <w:b/>
                <w:color w:val="auto"/>
                <w:szCs w:val="20"/>
              </w:rPr>
              <w:t>最低</w:t>
            </w:r>
            <w:r>
              <w:rPr>
                <w:rFonts w:cs="宋体"/>
                <w:b/>
                <w:color w:val="auto"/>
                <w:szCs w:val="20"/>
              </w:rPr>
              <w:t>监测</w:t>
            </w:r>
            <w:r>
              <w:rPr>
                <w:rFonts w:hint="eastAsia" w:cs="宋体"/>
                <w:b/>
                <w:color w:val="auto"/>
                <w:szCs w:val="20"/>
              </w:rPr>
              <w:t>频次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88" w:type="pct"/>
            <w:vAlign w:val="center"/>
          </w:tcPr>
          <w:p>
            <w:pPr>
              <w:widowControl w:val="0"/>
              <w:jc w:val="center"/>
              <w:rPr>
                <w:rFonts w:cs="宋体"/>
                <w:color w:val="auto"/>
              </w:rPr>
            </w:pPr>
            <w:r>
              <w:rPr>
                <w:rFonts w:hint="eastAsia" w:cs="宋体"/>
                <w:color w:val="auto"/>
              </w:rPr>
              <w:t>企业边界</w:t>
            </w:r>
          </w:p>
        </w:tc>
        <w:tc>
          <w:tcPr>
            <w:tcW w:w="2349" w:type="pct"/>
            <w:tcMar>
              <w:top w:w="0" w:type="dxa"/>
              <w:left w:w="28" w:type="dxa"/>
              <w:bottom w:w="0" w:type="dxa"/>
              <w:right w:w="28" w:type="dxa"/>
            </w:tcMar>
            <w:vAlign w:val="center"/>
          </w:tcPr>
          <w:p>
            <w:pPr>
              <w:widowControl w:val="0"/>
              <w:autoSpaceDE w:val="0"/>
              <w:autoSpaceDN w:val="0"/>
              <w:adjustRightInd w:val="0"/>
              <w:jc w:val="center"/>
              <w:rPr>
                <w:color w:val="auto"/>
                <w:kern w:val="0"/>
              </w:rPr>
            </w:pPr>
            <w:r>
              <w:rPr>
                <w:rFonts w:hint="eastAsia"/>
                <w:color w:val="auto"/>
                <w:kern w:val="0"/>
              </w:rPr>
              <w:t>颗粒物、NH</w:t>
            </w:r>
            <w:r>
              <w:rPr>
                <w:rFonts w:hint="eastAsia"/>
                <w:color w:val="auto"/>
                <w:kern w:val="0"/>
                <w:vertAlign w:val="subscript"/>
              </w:rPr>
              <w:t>3</w:t>
            </w:r>
            <w:r>
              <w:rPr>
                <w:rFonts w:hint="eastAsia"/>
                <w:color w:val="auto"/>
                <w:kern w:val="0"/>
              </w:rPr>
              <w:t>、H</w:t>
            </w:r>
            <w:r>
              <w:rPr>
                <w:rFonts w:hint="eastAsia"/>
                <w:color w:val="auto"/>
                <w:kern w:val="0"/>
                <w:vertAlign w:val="subscript"/>
              </w:rPr>
              <w:t>2</w:t>
            </w:r>
            <w:r>
              <w:rPr>
                <w:rFonts w:hint="eastAsia"/>
                <w:color w:val="auto"/>
                <w:kern w:val="0"/>
              </w:rPr>
              <w:t>S、臭气浓度、HCl</w:t>
            </w:r>
            <w:r>
              <w:rPr>
                <w:color w:val="auto"/>
                <w:kern w:val="0"/>
              </w:rPr>
              <w:t xml:space="preserve"> </w:t>
            </w:r>
          </w:p>
        </w:tc>
        <w:tc>
          <w:tcPr>
            <w:tcW w:w="1262" w:type="pct"/>
            <w:tcMar>
              <w:top w:w="0" w:type="dxa"/>
              <w:left w:w="28" w:type="dxa"/>
              <w:bottom w:w="0" w:type="dxa"/>
              <w:right w:w="28" w:type="dxa"/>
            </w:tcMar>
            <w:vAlign w:val="center"/>
          </w:tcPr>
          <w:p>
            <w:pPr>
              <w:widowControl w:val="0"/>
              <w:jc w:val="center"/>
              <w:rPr>
                <w:rFonts w:cs="宋体"/>
                <w:color w:val="auto"/>
                <w:szCs w:val="20"/>
              </w:rPr>
            </w:pPr>
            <w:r>
              <w:rPr>
                <w:rFonts w:cs="宋体"/>
                <w:color w:val="auto"/>
                <w:szCs w:val="20"/>
              </w:rPr>
              <w:t>1次/</w:t>
            </w:r>
            <w:r>
              <w:rPr>
                <w:rFonts w:hint="eastAsia" w:cs="宋体"/>
                <w:color w:val="auto"/>
                <w:szCs w:val="20"/>
              </w:rPr>
              <w:t>年</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91" w:beforeLines="50"/>
        <w:jc w:val="center"/>
        <w:textAlignment w:val="auto"/>
        <w:rPr>
          <w:rFonts w:ascii="黑体" w:hAnsi="黑体" w:eastAsia="黑体"/>
          <w:color w:val="auto"/>
          <w:sz w:val="24"/>
          <w:szCs w:val="22"/>
        </w:rPr>
      </w:pPr>
      <w:r>
        <w:rPr>
          <w:rFonts w:hint="eastAsia" w:ascii="黑体" w:hAnsi="黑体" w:eastAsia="黑体"/>
          <w:color w:val="auto"/>
          <w:sz w:val="24"/>
          <w:szCs w:val="22"/>
        </w:rPr>
        <w:t xml:space="preserve">表9.2-4    </w:t>
      </w:r>
      <w:r>
        <w:rPr>
          <w:rFonts w:ascii="黑体" w:hAnsi="黑体" w:eastAsia="黑体"/>
          <w:color w:val="auto"/>
          <w:sz w:val="24"/>
          <w:szCs w:val="22"/>
        </w:rPr>
        <w:t xml:space="preserve"> </w:t>
      </w:r>
      <w:r>
        <w:rPr>
          <w:rFonts w:hint="eastAsia" w:ascii="黑体" w:hAnsi="黑体" w:eastAsia="黑体"/>
          <w:color w:val="auto"/>
          <w:sz w:val="24"/>
          <w:szCs w:val="22"/>
        </w:rPr>
        <w:t>废水排放监测点位、监测项目指标及监测频次</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878"/>
        <w:gridCol w:w="2693"/>
        <w:gridCol w:w="3119"/>
        <w:gridCol w:w="167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78" w:type="dxa"/>
            <w:vAlign w:val="center"/>
          </w:tcPr>
          <w:p>
            <w:pPr>
              <w:widowControl w:val="0"/>
              <w:jc w:val="center"/>
              <w:rPr>
                <w:rFonts w:cs="宋体"/>
                <w:b/>
                <w:color w:val="auto"/>
                <w:szCs w:val="20"/>
              </w:rPr>
            </w:pPr>
            <w:r>
              <w:rPr>
                <w:rFonts w:hint="eastAsia" w:cs="宋体"/>
                <w:b/>
                <w:color w:val="auto"/>
                <w:szCs w:val="20"/>
              </w:rPr>
              <w:t>污染源</w:t>
            </w:r>
          </w:p>
        </w:tc>
        <w:tc>
          <w:tcPr>
            <w:tcW w:w="2693" w:type="dxa"/>
            <w:tcMar>
              <w:top w:w="0" w:type="dxa"/>
              <w:left w:w="28" w:type="dxa"/>
              <w:bottom w:w="0" w:type="dxa"/>
              <w:right w:w="28" w:type="dxa"/>
            </w:tcMar>
            <w:vAlign w:val="center"/>
          </w:tcPr>
          <w:p>
            <w:pPr>
              <w:widowControl w:val="0"/>
              <w:jc w:val="center"/>
              <w:rPr>
                <w:rFonts w:cs="宋体"/>
                <w:b/>
                <w:color w:val="auto"/>
                <w:szCs w:val="20"/>
              </w:rPr>
            </w:pPr>
            <w:r>
              <w:rPr>
                <w:rFonts w:cs="宋体"/>
                <w:b/>
                <w:color w:val="auto"/>
                <w:szCs w:val="20"/>
              </w:rPr>
              <w:t>监测</w:t>
            </w:r>
            <w:r>
              <w:rPr>
                <w:rFonts w:hint="eastAsia" w:cs="宋体"/>
                <w:b/>
                <w:color w:val="auto"/>
                <w:szCs w:val="20"/>
              </w:rPr>
              <w:t>点位</w:t>
            </w:r>
          </w:p>
        </w:tc>
        <w:tc>
          <w:tcPr>
            <w:tcW w:w="3119" w:type="dxa"/>
            <w:tcMar>
              <w:top w:w="0" w:type="dxa"/>
              <w:left w:w="28" w:type="dxa"/>
              <w:bottom w:w="0" w:type="dxa"/>
              <w:right w:w="28" w:type="dxa"/>
            </w:tcMar>
            <w:vAlign w:val="center"/>
          </w:tcPr>
          <w:p>
            <w:pPr>
              <w:widowControl w:val="0"/>
              <w:jc w:val="center"/>
              <w:rPr>
                <w:rFonts w:cs="宋体"/>
                <w:b/>
                <w:color w:val="auto"/>
                <w:szCs w:val="20"/>
              </w:rPr>
            </w:pPr>
            <w:r>
              <w:rPr>
                <w:rFonts w:cs="宋体"/>
                <w:b/>
                <w:color w:val="auto"/>
                <w:szCs w:val="20"/>
              </w:rPr>
              <w:t>监测项目</w:t>
            </w:r>
          </w:p>
        </w:tc>
        <w:tc>
          <w:tcPr>
            <w:tcW w:w="1676" w:type="dxa"/>
            <w:vAlign w:val="center"/>
          </w:tcPr>
          <w:p>
            <w:pPr>
              <w:widowControl w:val="0"/>
              <w:jc w:val="center"/>
              <w:rPr>
                <w:rFonts w:cs="宋体"/>
                <w:b/>
                <w:color w:val="auto"/>
                <w:szCs w:val="20"/>
              </w:rPr>
            </w:pPr>
            <w:r>
              <w:rPr>
                <w:rFonts w:hint="eastAsia" w:cs="宋体"/>
                <w:b/>
                <w:color w:val="auto"/>
                <w:szCs w:val="20"/>
              </w:rPr>
              <w:t>最低</w:t>
            </w:r>
            <w:r>
              <w:rPr>
                <w:rFonts w:cs="宋体"/>
                <w:b/>
                <w:color w:val="auto"/>
                <w:szCs w:val="20"/>
              </w:rPr>
              <w:t>监测</w:t>
            </w:r>
            <w:r>
              <w:rPr>
                <w:rFonts w:hint="eastAsia" w:cs="宋体"/>
                <w:b/>
                <w:color w:val="auto"/>
                <w:szCs w:val="20"/>
              </w:rPr>
              <w:t>频次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78" w:type="dxa"/>
            <w:vMerge w:val="restart"/>
            <w:vAlign w:val="center"/>
          </w:tcPr>
          <w:p>
            <w:pPr>
              <w:widowControl w:val="0"/>
              <w:contextualSpacing/>
              <w:jc w:val="center"/>
              <w:textAlignment w:val="baseline"/>
              <w:rPr>
                <w:color w:val="auto"/>
                <w:kern w:val="0"/>
              </w:rPr>
            </w:pPr>
            <w:r>
              <w:rPr>
                <w:rFonts w:hint="eastAsia"/>
                <w:color w:val="auto"/>
                <w:kern w:val="0"/>
              </w:rPr>
              <w:t>废水</w:t>
            </w:r>
          </w:p>
        </w:tc>
        <w:tc>
          <w:tcPr>
            <w:tcW w:w="2693" w:type="dxa"/>
            <w:vMerge w:val="restart"/>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污水总排放口</w:t>
            </w:r>
          </w:p>
        </w:tc>
        <w:tc>
          <w:tcPr>
            <w:tcW w:w="3119"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流量</w:t>
            </w:r>
            <w:r>
              <w:rPr>
                <w:color w:val="auto"/>
                <w:kern w:val="21"/>
              </w:rPr>
              <w:t>、COD、NH</w:t>
            </w:r>
            <w:r>
              <w:rPr>
                <w:color w:val="auto"/>
                <w:kern w:val="21"/>
                <w:vertAlign w:val="subscript"/>
              </w:rPr>
              <w:t>3</w:t>
            </w:r>
            <w:r>
              <w:rPr>
                <w:color w:val="auto"/>
                <w:kern w:val="21"/>
              </w:rPr>
              <w:t>-N</w:t>
            </w:r>
          </w:p>
        </w:tc>
        <w:tc>
          <w:tcPr>
            <w:tcW w:w="1676" w:type="dxa"/>
            <w:vAlign w:val="center"/>
          </w:tcPr>
          <w:p>
            <w:pPr>
              <w:widowControl w:val="0"/>
              <w:contextualSpacing/>
              <w:jc w:val="center"/>
              <w:textAlignment w:val="baseline"/>
              <w:rPr>
                <w:color w:val="auto"/>
                <w:kern w:val="0"/>
              </w:rPr>
            </w:pPr>
            <w:r>
              <w:rPr>
                <w:rFonts w:hint="eastAsia"/>
                <w:color w:val="auto"/>
                <w:kern w:val="0"/>
              </w:rPr>
              <w:t>在线监测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78" w:type="dxa"/>
            <w:vMerge w:val="continue"/>
            <w:vAlign w:val="center"/>
          </w:tcPr>
          <w:p>
            <w:pPr>
              <w:widowControl w:val="0"/>
              <w:contextualSpacing/>
              <w:jc w:val="center"/>
              <w:textAlignment w:val="baseline"/>
              <w:rPr>
                <w:color w:val="auto"/>
                <w:kern w:val="0"/>
              </w:rPr>
            </w:pPr>
          </w:p>
        </w:tc>
        <w:tc>
          <w:tcPr>
            <w:tcW w:w="2693"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3119"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21"/>
              </w:rPr>
              <w:t>pH</w:t>
            </w:r>
          </w:p>
        </w:tc>
        <w:tc>
          <w:tcPr>
            <w:tcW w:w="1676" w:type="dxa"/>
            <w:vAlign w:val="center"/>
          </w:tcPr>
          <w:p>
            <w:pPr>
              <w:widowControl w:val="0"/>
              <w:contextualSpacing/>
              <w:jc w:val="center"/>
              <w:textAlignment w:val="baseline"/>
              <w:rPr>
                <w:color w:val="auto"/>
                <w:kern w:val="0"/>
              </w:rPr>
            </w:pPr>
            <w:r>
              <w:rPr>
                <w:color w:val="auto"/>
                <w:kern w:val="0"/>
              </w:rPr>
              <w:t>1次/</w:t>
            </w:r>
            <w:r>
              <w:rPr>
                <w:rFonts w:hint="eastAsia"/>
                <w:color w:val="auto"/>
                <w:kern w:val="0"/>
              </w:rPr>
              <w:t>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78" w:type="dxa"/>
            <w:vMerge w:val="continue"/>
            <w:vAlign w:val="center"/>
          </w:tcPr>
          <w:p>
            <w:pPr>
              <w:widowControl w:val="0"/>
              <w:contextualSpacing/>
              <w:jc w:val="center"/>
              <w:textAlignment w:val="baseline"/>
              <w:rPr>
                <w:color w:val="auto"/>
                <w:kern w:val="0"/>
              </w:rPr>
            </w:pPr>
          </w:p>
        </w:tc>
        <w:tc>
          <w:tcPr>
            <w:tcW w:w="2693" w:type="dxa"/>
            <w:vMerge w:val="continue"/>
            <w:tcMar>
              <w:top w:w="0" w:type="dxa"/>
              <w:left w:w="28" w:type="dxa"/>
              <w:bottom w:w="0" w:type="dxa"/>
              <w:right w:w="28" w:type="dxa"/>
            </w:tcMar>
            <w:vAlign w:val="center"/>
          </w:tcPr>
          <w:p>
            <w:pPr>
              <w:widowControl w:val="0"/>
              <w:contextualSpacing/>
              <w:jc w:val="center"/>
              <w:textAlignment w:val="baseline"/>
              <w:rPr>
                <w:color w:val="auto"/>
                <w:kern w:val="0"/>
              </w:rPr>
            </w:pPr>
          </w:p>
        </w:tc>
        <w:tc>
          <w:tcPr>
            <w:tcW w:w="3119" w:type="dxa"/>
            <w:tcMar>
              <w:top w:w="0" w:type="dxa"/>
              <w:left w:w="28" w:type="dxa"/>
              <w:bottom w:w="0" w:type="dxa"/>
              <w:right w:w="28" w:type="dxa"/>
            </w:tcMar>
            <w:vAlign w:val="center"/>
          </w:tcPr>
          <w:p>
            <w:pPr>
              <w:widowControl w:val="0"/>
              <w:contextualSpacing/>
              <w:jc w:val="center"/>
              <w:textAlignment w:val="baseline"/>
              <w:rPr>
                <w:color w:val="auto"/>
                <w:kern w:val="0"/>
              </w:rPr>
            </w:pPr>
            <w:r>
              <w:rPr>
                <w:color w:val="auto"/>
                <w:kern w:val="21"/>
              </w:rPr>
              <w:t>SS、TP、TN</w:t>
            </w:r>
          </w:p>
        </w:tc>
        <w:tc>
          <w:tcPr>
            <w:tcW w:w="1676" w:type="dxa"/>
            <w:vAlign w:val="center"/>
          </w:tcPr>
          <w:p>
            <w:pPr>
              <w:widowControl w:val="0"/>
              <w:contextualSpacing/>
              <w:jc w:val="center"/>
              <w:textAlignment w:val="baseline"/>
              <w:rPr>
                <w:color w:val="auto"/>
                <w:kern w:val="0"/>
              </w:rPr>
            </w:pPr>
            <w:r>
              <w:rPr>
                <w:color w:val="auto"/>
                <w:kern w:val="0"/>
              </w:rPr>
              <w:t>1次/</w:t>
            </w:r>
            <w:r>
              <w:rPr>
                <w:rFonts w:hint="eastAsia"/>
                <w:color w:val="auto"/>
                <w:kern w:val="0"/>
              </w:rPr>
              <w:t>月</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666" w:hRule="atLeast"/>
          <w:jc w:val="center"/>
        </w:trPr>
        <w:tc>
          <w:tcPr>
            <w:tcW w:w="3571" w:type="dxa"/>
            <w:gridSpan w:val="2"/>
            <w:vAlign w:val="center"/>
          </w:tcPr>
          <w:p>
            <w:pPr>
              <w:widowControl w:val="0"/>
              <w:contextualSpacing/>
              <w:jc w:val="center"/>
              <w:textAlignment w:val="baseline"/>
              <w:rPr>
                <w:color w:val="auto"/>
                <w:kern w:val="0"/>
              </w:rPr>
            </w:pPr>
            <w:r>
              <w:rPr>
                <w:rFonts w:hint="eastAsia"/>
                <w:color w:val="auto"/>
                <w:kern w:val="0"/>
              </w:rPr>
              <w:t>雨水排放口</w:t>
            </w:r>
          </w:p>
        </w:tc>
        <w:tc>
          <w:tcPr>
            <w:tcW w:w="3119" w:type="dxa"/>
            <w:tcMar>
              <w:top w:w="0" w:type="dxa"/>
              <w:left w:w="28" w:type="dxa"/>
              <w:bottom w:w="0" w:type="dxa"/>
              <w:right w:w="28" w:type="dxa"/>
            </w:tcMar>
            <w:vAlign w:val="center"/>
          </w:tcPr>
          <w:p>
            <w:pPr>
              <w:widowControl w:val="0"/>
              <w:contextualSpacing/>
              <w:jc w:val="center"/>
              <w:textAlignment w:val="baseline"/>
              <w:rPr>
                <w:color w:val="auto"/>
                <w:kern w:val="0"/>
              </w:rPr>
            </w:pPr>
            <w:r>
              <w:rPr>
                <w:rFonts w:hint="eastAsia"/>
                <w:color w:val="auto"/>
                <w:kern w:val="0"/>
              </w:rPr>
              <w:t>pH、悬浮物</w:t>
            </w:r>
          </w:p>
        </w:tc>
        <w:tc>
          <w:tcPr>
            <w:tcW w:w="1676" w:type="dxa"/>
            <w:vAlign w:val="center"/>
          </w:tcPr>
          <w:p>
            <w:pPr>
              <w:widowControl w:val="0"/>
              <w:contextualSpacing/>
              <w:jc w:val="center"/>
              <w:textAlignment w:val="baseline"/>
              <w:rPr>
                <w:color w:val="auto"/>
                <w:kern w:val="0"/>
              </w:rPr>
            </w:pPr>
            <w:r>
              <w:rPr>
                <w:color w:val="auto"/>
                <w:kern w:val="0"/>
              </w:rPr>
              <w:t>1次/</w:t>
            </w:r>
            <w:r>
              <w:rPr>
                <w:rFonts w:hint="eastAsia"/>
                <w:color w:val="auto"/>
                <w:kern w:val="0"/>
              </w:rPr>
              <w:t>天</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91" w:beforeLines="50"/>
        <w:jc w:val="center"/>
        <w:textAlignment w:val="auto"/>
        <w:rPr>
          <w:rFonts w:ascii="黑体" w:hAnsi="黑体" w:eastAsia="黑体"/>
          <w:color w:val="auto"/>
          <w:sz w:val="24"/>
          <w:szCs w:val="22"/>
        </w:rPr>
      </w:pPr>
      <w:r>
        <w:rPr>
          <w:rFonts w:hint="eastAsia" w:ascii="黑体" w:hAnsi="黑体" w:eastAsia="黑体"/>
          <w:color w:val="auto"/>
          <w:sz w:val="24"/>
          <w:szCs w:val="22"/>
        </w:rPr>
        <w:t>表9.2-5</w:t>
      </w:r>
      <w:r>
        <w:rPr>
          <w:rFonts w:ascii="黑体" w:hAnsi="黑体" w:eastAsia="黑体"/>
          <w:color w:val="auto"/>
          <w:sz w:val="24"/>
          <w:szCs w:val="22"/>
        </w:rPr>
        <w:t xml:space="preserve"> </w:t>
      </w:r>
      <w:r>
        <w:rPr>
          <w:rFonts w:hint="eastAsia" w:ascii="黑体" w:hAnsi="黑体" w:eastAsia="黑体"/>
          <w:color w:val="auto"/>
          <w:sz w:val="24"/>
          <w:szCs w:val="22"/>
        </w:rPr>
        <w:t xml:space="preserve">    噪声排放监测计划</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3"/>
        <w:gridCol w:w="2133"/>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248" w:type="pct"/>
            <w:shd w:val="clear" w:color="auto" w:fill="auto"/>
          </w:tcPr>
          <w:p>
            <w:pPr>
              <w:widowControl w:val="0"/>
              <w:spacing w:before="120" w:beforeLines="50" w:after="120" w:afterLines="50"/>
              <w:jc w:val="center"/>
              <w:rPr>
                <w:rFonts w:ascii="Calibri" w:hAnsi="Calibri" w:cs="宋体"/>
                <w:b/>
                <w:color w:val="auto"/>
                <w:szCs w:val="20"/>
              </w:rPr>
            </w:pPr>
            <w:r>
              <w:rPr>
                <w:rFonts w:hint="eastAsia" w:ascii="Calibri" w:hAnsi="Calibri" w:cs="宋体"/>
                <w:b/>
                <w:color w:val="auto"/>
                <w:szCs w:val="20"/>
              </w:rPr>
              <w:t>阶段</w:t>
            </w:r>
          </w:p>
        </w:tc>
        <w:tc>
          <w:tcPr>
            <w:tcW w:w="1250" w:type="pct"/>
            <w:shd w:val="clear" w:color="auto" w:fill="auto"/>
          </w:tcPr>
          <w:p>
            <w:pPr>
              <w:widowControl w:val="0"/>
              <w:spacing w:before="120" w:beforeLines="50" w:after="120" w:afterLines="50"/>
              <w:jc w:val="center"/>
              <w:rPr>
                <w:rFonts w:ascii="Calibri" w:hAnsi="Calibri" w:cs="宋体"/>
                <w:b/>
                <w:color w:val="auto"/>
                <w:szCs w:val="20"/>
              </w:rPr>
            </w:pPr>
            <w:r>
              <w:rPr>
                <w:rFonts w:hint="eastAsia" w:ascii="Calibri" w:hAnsi="Calibri" w:cs="宋体"/>
                <w:b/>
                <w:color w:val="auto"/>
                <w:szCs w:val="20"/>
              </w:rPr>
              <w:t>监测点位</w:t>
            </w:r>
          </w:p>
        </w:tc>
        <w:tc>
          <w:tcPr>
            <w:tcW w:w="1250" w:type="pct"/>
            <w:shd w:val="clear" w:color="auto" w:fill="auto"/>
          </w:tcPr>
          <w:p>
            <w:pPr>
              <w:widowControl w:val="0"/>
              <w:spacing w:before="120" w:beforeLines="50" w:after="120" w:afterLines="50"/>
              <w:jc w:val="center"/>
              <w:rPr>
                <w:rFonts w:ascii="Calibri" w:hAnsi="Calibri" w:cs="宋体"/>
                <w:b/>
                <w:color w:val="auto"/>
                <w:szCs w:val="20"/>
              </w:rPr>
            </w:pPr>
            <w:r>
              <w:rPr>
                <w:rFonts w:hint="eastAsia" w:ascii="Calibri" w:hAnsi="Calibri" w:cs="宋体"/>
                <w:b/>
                <w:color w:val="auto"/>
                <w:szCs w:val="20"/>
              </w:rPr>
              <w:t>监测项目</w:t>
            </w:r>
          </w:p>
        </w:tc>
        <w:tc>
          <w:tcPr>
            <w:tcW w:w="1250" w:type="pct"/>
            <w:shd w:val="clear" w:color="auto" w:fill="auto"/>
          </w:tcPr>
          <w:p>
            <w:pPr>
              <w:widowControl w:val="0"/>
              <w:spacing w:before="120" w:beforeLines="50" w:after="120" w:afterLines="50"/>
              <w:jc w:val="center"/>
              <w:rPr>
                <w:rFonts w:ascii="Calibri" w:hAnsi="Calibri" w:cs="宋体"/>
                <w:b/>
                <w:color w:val="auto"/>
                <w:szCs w:val="20"/>
              </w:rPr>
            </w:pPr>
            <w:r>
              <w:rPr>
                <w:rFonts w:hint="eastAsia" w:ascii="Calibri" w:hAnsi="Calibri" w:cs="宋体"/>
                <w:b/>
                <w:color w:val="auto"/>
                <w:szCs w:val="20"/>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248" w:type="pct"/>
            <w:shd w:val="clear" w:color="auto" w:fill="auto"/>
          </w:tcPr>
          <w:p>
            <w:pPr>
              <w:widowControl w:val="0"/>
              <w:spacing w:before="120" w:beforeLines="50" w:after="120" w:afterLines="50"/>
              <w:jc w:val="center"/>
              <w:rPr>
                <w:rFonts w:ascii="Calibri" w:hAnsi="Calibri" w:cs="宋体"/>
                <w:color w:val="auto"/>
                <w:szCs w:val="20"/>
              </w:rPr>
            </w:pPr>
            <w:r>
              <w:rPr>
                <w:rFonts w:hint="eastAsia" w:ascii="Calibri" w:hAnsi="Calibri" w:cs="宋体"/>
                <w:color w:val="auto"/>
                <w:szCs w:val="20"/>
              </w:rPr>
              <w:t>运营期</w:t>
            </w:r>
          </w:p>
        </w:tc>
        <w:tc>
          <w:tcPr>
            <w:tcW w:w="1250" w:type="pct"/>
            <w:shd w:val="clear" w:color="auto" w:fill="auto"/>
          </w:tcPr>
          <w:p>
            <w:pPr>
              <w:widowControl w:val="0"/>
              <w:spacing w:before="120" w:beforeLines="50" w:after="120" w:afterLines="50"/>
              <w:jc w:val="center"/>
              <w:rPr>
                <w:rFonts w:ascii="Calibri" w:hAnsi="Calibri" w:cs="宋体"/>
                <w:color w:val="auto"/>
                <w:szCs w:val="20"/>
              </w:rPr>
            </w:pPr>
            <w:r>
              <w:rPr>
                <w:rFonts w:hint="eastAsia" w:ascii="Calibri" w:hAnsi="Calibri" w:cs="宋体"/>
                <w:color w:val="auto"/>
                <w:szCs w:val="20"/>
              </w:rPr>
              <w:t>厂界外1米处</w:t>
            </w:r>
          </w:p>
        </w:tc>
        <w:tc>
          <w:tcPr>
            <w:tcW w:w="1250" w:type="pct"/>
            <w:shd w:val="clear" w:color="auto" w:fill="auto"/>
          </w:tcPr>
          <w:p>
            <w:pPr>
              <w:widowControl w:val="0"/>
              <w:spacing w:before="120" w:beforeLines="50" w:after="120" w:afterLines="50"/>
              <w:jc w:val="center"/>
              <w:rPr>
                <w:rFonts w:ascii="Calibri" w:hAnsi="Calibri" w:cs="宋体"/>
                <w:color w:val="auto"/>
                <w:szCs w:val="20"/>
              </w:rPr>
            </w:pPr>
            <w:r>
              <w:rPr>
                <w:rFonts w:hint="eastAsia" w:ascii="Calibri" w:hAnsi="Calibri" w:cs="宋体"/>
                <w:color w:val="auto"/>
                <w:szCs w:val="20"/>
              </w:rPr>
              <w:t>噪声</w:t>
            </w:r>
          </w:p>
        </w:tc>
        <w:tc>
          <w:tcPr>
            <w:tcW w:w="1250" w:type="pct"/>
            <w:shd w:val="clear" w:color="auto" w:fill="auto"/>
          </w:tcPr>
          <w:p>
            <w:pPr>
              <w:widowControl w:val="0"/>
              <w:spacing w:before="120" w:beforeLines="50" w:after="120" w:afterLines="50"/>
              <w:jc w:val="center"/>
              <w:rPr>
                <w:rFonts w:ascii="Calibri" w:hAnsi="Calibri" w:cs="宋体"/>
                <w:color w:val="auto"/>
                <w:szCs w:val="20"/>
              </w:rPr>
            </w:pPr>
            <w:r>
              <w:rPr>
                <w:rFonts w:ascii="Calibri" w:hAnsi="Calibri" w:cs="宋体"/>
                <w:color w:val="auto"/>
                <w:szCs w:val="20"/>
              </w:rPr>
              <w:t>1次/</w:t>
            </w:r>
            <w:r>
              <w:rPr>
                <w:rFonts w:hint="eastAsia" w:ascii="Calibri" w:hAnsi="Calibri" w:cs="宋体"/>
                <w:color w:val="auto"/>
                <w:szCs w:val="20"/>
              </w:rPr>
              <w:t>季度</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91" w:beforeLines="50"/>
        <w:jc w:val="center"/>
        <w:textAlignment w:val="auto"/>
        <w:rPr>
          <w:rFonts w:ascii="黑体" w:hAnsi="黑体" w:eastAsia="黑体"/>
          <w:color w:val="auto"/>
          <w:sz w:val="24"/>
          <w:szCs w:val="22"/>
        </w:rPr>
      </w:pPr>
      <w:r>
        <w:rPr>
          <w:rFonts w:hint="eastAsia" w:ascii="黑体" w:hAnsi="黑体" w:eastAsia="黑体"/>
          <w:color w:val="auto"/>
          <w:sz w:val="24"/>
          <w:szCs w:val="22"/>
        </w:rPr>
        <w:t>表9.2-6</w:t>
      </w:r>
      <w:r>
        <w:rPr>
          <w:rFonts w:ascii="黑体" w:hAnsi="黑体" w:eastAsia="黑体"/>
          <w:color w:val="auto"/>
          <w:sz w:val="24"/>
          <w:szCs w:val="22"/>
        </w:rPr>
        <w:t xml:space="preserve"> </w:t>
      </w:r>
      <w:r>
        <w:rPr>
          <w:rFonts w:hint="eastAsia" w:ascii="黑体" w:hAnsi="黑体" w:eastAsia="黑体"/>
          <w:color w:val="auto"/>
          <w:sz w:val="24"/>
          <w:szCs w:val="22"/>
        </w:rPr>
        <w:t xml:space="preserve">    地下水、土壤跟踪监测计划</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1646"/>
        <w:gridCol w:w="2440"/>
        <w:gridCol w:w="2104"/>
        <w:gridCol w:w="11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691" w:type="pct"/>
            <w:shd w:val="clear" w:color="auto" w:fill="auto"/>
            <w:vAlign w:val="center"/>
          </w:tcPr>
          <w:p>
            <w:pPr>
              <w:widowControl w:val="0"/>
              <w:jc w:val="center"/>
              <w:rPr>
                <w:rFonts w:ascii="Calibri" w:hAnsi="Calibri" w:cs="宋体"/>
                <w:b/>
                <w:bCs/>
                <w:color w:val="auto"/>
                <w:szCs w:val="20"/>
              </w:rPr>
            </w:pPr>
            <w:r>
              <w:rPr>
                <w:rFonts w:hint="eastAsia" w:ascii="Calibri" w:hAnsi="Calibri" w:cs="宋体"/>
                <w:b/>
                <w:bCs/>
                <w:color w:val="auto"/>
                <w:szCs w:val="20"/>
              </w:rPr>
              <w:t>类别</w:t>
            </w:r>
          </w:p>
        </w:tc>
        <w:tc>
          <w:tcPr>
            <w:tcW w:w="965" w:type="pct"/>
            <w:vAlign w:val="center"/>
          </w:tcPr>
          <w:p>
            <w:pPr>
              <w:widowControl w:val="0"/>
              <w:jc w:val="center"/>
              <w:rPr>
                <w:rFonts w:ascii="Calibri" w:hAnsi="Calibri" w:cs="宋体"/>
                <w:b/>
                <w:bCs/>
                <w:color w:val="auto"/>
                <w:szCs w:val="20"/>
              </w:rPr>
            </w:pPr>
            <w:r>
              <w:rPr>
                <w:rFonts w:hint="eastAsia" w:ascii="Calibri" w:hAnsi="Calibri" w:cs="宋体"/>
                <w:b/>
                <w:bCs/>
                <w:color w:val="auto"/>
                <w:szCs w:val="20"/>
              </w:rPr>
              <w:t>监测点位</w:t>
            </w:r>
          </w:p>
        </w:tc>
        <w:tc>
          <w:tcPr>
            <w:tcW w:w="1430" w:type="pct"/>
            <w:shd w:val="clear" w:color="auto" w:fill="auto"/>
            <w:vAlign w:val="center"/>
          </w:tcPr>
          <w:p>
            <w:pPr>
              <w:widowControl w:val="0"/>
              <w:jc w:val="center"/>
              <w:rPr>
                <w:rFonts w:ascii="Calibri" w:hAnsi="Calibri" w:cs="宋体"/>
                <w:b/>
                <w:bCs/>
                <w:color w:val="auto"/>
                <w:szCs w:val="20"/>
                <w:u w:val="single"/>
              </w:rPr>
            </w:pPr>
            <w:r>
              <w:rPr>
                <w:rFonts w:ascii="Calibri" w:hAnsi="Calibri" w:cs="宋体"/>
                <w:b/>
                <w:bCs/>
                <w:color w:val="auto"/>
                <w:szCs w:val="20"/>
                <w:u w:val="single"/>
              </w:rPr>
              <w:t>坐标</w:t>
            </w:r>
          </w:p>
        </w:tc>
        <w:tc>
          <w:tcPr>
            <w:tcW w:w="1233" w:type="pct"/>
            <w:shd w:val="clear" w:color="auto" w:fill="auto"/>
            <w:vAlign w:val="center"/>
          </w:tcPr>
          <w:p>
            <w:pPr>
              <w:widowControl w:val="0"/>
              <w:jc w:val="center"/>
              <w:rPr>
                <w:rFonts w:ascii="Calibri" w:hAnsi="Calibri" w:cs="宋体"/>
                <w:b/>
                <w:bCs/>
                <w:color w:val="auto"/>
                <w:szCs w:val="20"/>
              </w:rPr>
            </w:pPr>
            <w:r>
              <w:rPr>
                <w:rFonts w:hint="eastAsia" w:ascii="Calibri" w:hAnsi="Calibri" w:cs="宋体"/>
                <w:b/>
                <w:bCs/>
                <w:color w:val="auto"/>
                <w:szCs w:val="20"/>
              </w:rPr>
              <w:t>监测项目</w:t>
            </w:r>
          </w:p>
        </w:tc>
        <w:tc>
          <w:tcPr>
            <w:tcW w:w="678" w:type="pct"/>
            <w:shd w:val="clear" w:color="auto" w:fill="auto"/>
            <w:vAlign w:val="center"/>
          </w:tcPr>
          <w:p>
            <w:pPr>
              <w:widowControl w:val="0"/>
              <w:jc w:val="center"/>
              <w:rPr>
                <w:rFonts w:ascii="Calibri" w:hAnsi="Calibri" w:cs="宋体"/>
                <w:b/>
                <w:bCs/>
                <w:color w:val="auto"/>
                <w:szCs w:val="20"/>
              </w:rPr>
            </w:pPr>
            <w:r>
              <w:rPr>
                <w:rFonts w:hint="eastAsia" w:ascii="Calibri" w:hAnsi="Calibri" w:cs="宋体"/>
                <w:b/>
                <w:bCs/>
                <w:color w:val="auto"/>
                <w:szCs w:val="20"/>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691" w:type="pct"/>
            <w:vMerge w:val="restart"/>
            <w:shd w:val="clear" w:color="auto" w:fill="auto"/>
            <w:vAlign w:val="center"/>
          </w:tcPr>
          <w:p>
            <w:pPr>
              <w:widowControl w:val="0"/>
              <w:jc w:val="center"/>
              <w:rPr>
                <w:rFonts w:ascii="Calibri" w:hAnsi="Calibri" w:cs="宋体"/>
                <w:color w:val="auto"/>
                <w:szCs w:val="20"/>
              </w:rPr>
            </w:pPr>
            <w:r>
              <w:rPr>
                <w:rFonts w:hint="eastAsia" w:ascii="Calibri" w:hAnsi="Calibri" w:cs="宋体"/>
                <w:color w:val="auto"/>
                <w:szCs w:val="20"/>
              </w:rPr>
              <w:t>地下水</w:t>
            </w:r>
          </w:p>
        </w:tc>
        <w:tc>
          <w:tcPr>
            <w:tcW w:w="965" w:type="pct"/>
            <w:vAlign w:val="center"/>
          </w:tcPr>
          <w:p>
            <w:pPr>
              <w:widowControl w:val="0"/>
              <w:jc w:val="center"/>
              <w:rPr>
                <w:rFonts w:ascii="Calibri" w:hAnsi="Calibri" w:cs="宋体"/>
                <w:color w:val="auto"/>
                <w:szCs w:val="20"/>
              </w:rPr>
            </w:pPr>
            <w:r>
              <w:rPr>
                <w:rFonts w:ascii="Calibri" w:hAnsi="Calibri" w:cs="宋体"/>
                <w:color w:val="auto"/>
                <w:szCs w:val="20"/>
              </w:rPr>
              <w:t>厂区</w:t>
            </w:r>
          </w:p>
        </w:tc>
        <w:tc>
          <w:tcPr>
            <w:tcW w:w="1430" w:type="pct"/>
            <w:shd w:val="clear" w:color="auto" w:fill="auto"/>
            <w:vAlign w:val="center"/>
          </w:tcPr>
          <w:p>
            <w:pPr>
              <w:contextualSpacing/>
              <w:jc w:val="center"/>
              <w:textAlignment w:val="baseline"/>
              <w:rPr>
                <w:b/>
                <w:bCs/>
                <w:color w:val="auto"/>
                <w:kern w:val="0"/>
                <w:u w:val="single"/>
              </w:rPr>
            </w:pPr>
            <w:r>
              <w:rPr>
                <w:rFonts w:hint="eastAsia"/>
                <w:b/>
                <w:bCs/>
                <w:color w:val="auto"/>
                <w:kern w:val="0"/>
                <w:u w:val="single"/>
              </w:rPr>
              <w:t>E113°42′37.67″</w:t>
            </w:r>
          </w:p>
          <w:p>
            <w:pPr>
              <w:widowControl w:val="0"/>
              <w:jc w:val="center"/>
              <w:rPr>
                <w:rFonts w:ascii="Calibri" w:hAnsi="Calibri" w:cs="宋体"/>
                <w:b/>
                <w:bCs/>
                <w:color w:val="auto"/>
                <w:szCs w:val="20"/>
                <w:u w:val="single"/>
              </w:rPr>
            </w:pPr>
            <w:r>
              <w:rPr>
                <w:rFonts w:hint="eastAsia"/>
                <w:b/>
                <w:bCs/>
                <w:color w:val="auto"/>
                <w:kern w:val="0"/>
                <w:u w:val="single"/>
              </w:rPr>
              <w:t>N35°16′04.26″</w:t>
            </w:r>
          </w:p>
        </w:tc>
        <w:tc>
          <w:tcPr>
            <w:tcW w:w="1233" w:type="pct"/>
            <w:vMerge w:val="restart"/>
            <w:shd w:val="clear" w:color="auto" w:fill="auto"/>
            <w:vAlign w:val="center"/>
          </w:tcPr>
          <w:p>
            <w:pPr>
              <w:widowControl w:val="0"/>
              <w:jc w:val="center"/>
              <w:rPr>
                <w:rFonts w:ascii="Calibri" w:hAnsi="Calibri" w:cs="宋体"/>
                <w:color w:val="auto"/>
                <w:szCs w:val="20"/>
              </w:rPr>
            </w:pPr>
            <w:r>
              <w:rPr>
                <w:rFonts w:ascii="Calibri" w:hAnsi="Calibri" w:cs="宋体"/>
                <w:color w:val="auto"/>
                <w:szCs w:val="20"/>
              </w:rPr>
              <w:t>耗氧量、氨氮、总镍、</w:t>
            </w:r>
            <w:r>
              <w:rPr>
                <w:rFonts w:hint="eastAsia" w:ascii="Calibri" w:hAnsi="Calibri" w:cs="宋体"/>
                <w:color w:val="auto"/>
                <w:szCs w:val="20"/>
                <w:lang w:eastAsia="zh-CN"/>
              </w:rPr>
              <w:t>铬（</w:t>
            </w:r>
            <w:r>
              <w:rPr>
                <w:rFonts w:ascii="Calibri" w:hAnsi="Calibri" w:cs="宋体"/>
                <w:color w:val="auto"/>
                <w:szCs w:val="20"/>
              </w:rPr>
              <w:t>六价铬</w:t>
            </w:r>
            <w:r>
              <w:rPr>
                <w:rFonts w:hint="eastAsia" w:ascii="Calibri" w:hAnsi="Calibri" w:cs="宋体"/>
                <w:color w:val="auto"/>
                <w:szCs w:val="20"/>
                <w:lang w:eastAsia="zh-CN"/>
              </w:rPr>
              <w:t>）</w:t>
            </w:r>
            <w:r>
              <w:rPr>
                <w:rFonts w:ascii="Calibri" w:hAnsi="Calibri" w:cs="宋体"/>
                <w:color w:val="auto"/>
                <w:szCs w:val="20"/>
              </w:rPr>
              <w:t>、锌</w:t>
            </w:r>
          </w:p>
        </w:tc>
        <w:tc>
          <w:tcPr>
            <w:tcW w:w="678" w:type="pct"/>
            <w:vMerge w:val="restart"/>
            <w:shd w:val="clear" w:color="auto" w:fill="auto"/>
            <w:vAlign w:val="center"/>
          </w:tcPr>
          <w:p>
            <w:pPr>
              <w:widowControl w:val="0"/>
              <w:jc w:val="center"/>
              <w:rPr>
                <w:rFonts w:ascii="Calibri" w:hAnsi="Calibri" w:cs="宋体"/>
                <w:color w:val="auto"/>
                <w:szCs w:val="20"/>
              </w:rPr>
            </w:pPr>
            <w:r>
              <w:rPr>
                <w:rFonts w:ascii="Calibri" w:hAnsi="Calibri" w:cs="宋体"/>
                <w:color w:val="auto"/>
                <w:szCs w:val="20"/>
              </w:rPr>
              <w:t>1次/</w:t>
            </w:r>
            <w:r>
              <w:rPr>
                <w:rFonts w:hint="eastAsia" w:ascii="Calibri" w:hAnsi="Calibri" w:cs="宋体"/>
                <w:color w:val="auto"/>
                <w:szCs w:val="20"/>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691" w:type="pct"/>
            <w:vMerge w:val="continue"/>
            <w:shd w:val="clear" w:color="auto" w:fill="auto"/>
            <w:vAlign w:val="center"/>
          </w:tcPr>
          <w:p>
            <w:pPr>
              <w:widowControl w:val="0"/>
              <w:jc w:val="center"/>
              <w:rPr>
                <w:rFonts w:ascii="Calibri" w:hAnsi="Calibri" w:cs="宋体"/>
                <w:color w:val="auto"/>
                <w:szCs w:val="20"/>
              </w:rPr>
            </w:pPr>
          </w:p>
        </w:tc>
        <w:tc>
          <w:tcPr>
            <w:tcW w:w="965" w:type="pct"/>
            <w:vAlign w:val="center"/>
          </w:tcPr>
          <w:p>
            <w:pPr>
              <w:widowControl w:val="0"/>
              <w:jc w:val="center"/>
              <w:rPr>
                <w:rFonts w:ascii="Calibri" w:hAnsi="Calibri" w:cs="宋体"/>
                <w:color w:val="auto"/>
                <w:szCs w:val="20"/>
              </w:rPr>
            </w:pPr>
            <w:r>
              <w:rPr>
                <w:rFonts w:ascii="Calibri" w:hAnsi="Calibri" w:cs="宋体"/>
                <w:color w:val="auto"/>
                <w:szCs w:val="20"/>
              </w:rPr>
              <w:t>前李庄村</w:t>
            </w:r>
          </w:p>
        </w:tc>
        <w:tc>
          <w:tcPr>
            <w:tcW w:w="1430" w:type="pct"/>
            <w:shd w:val="clear" w:color="auto" w:fill="auto"/>
            <w:vAlign w:val="center"/>
          </w:tcPr>
          <w:p>
            <w:pPr>
              <w:contextualSpacing/>
              <w:jc w:val="center"/>
              <w:textAlignment w:val="baseline"/>
              <w:rPr>
                <w:b/>
                <w:bCs/>
                <w:color w:val="auto"/>
                <w:kern w:val="0"/>
                <w:u w:val="single"/>
              </w:rPr>
            </w:pPr>
            <w:r>
              <w:rPr>
                <w:rFonts w:hint="eastAsia"/>
                <w:b/>
                <w:bCs/>
                <w:color w:val="auto"/>
                <w:kern w:val="0"/>
                <w:u w:val="single"/>
              </w:rPr>
              <w:t>E113°42′39.68″</w:t>
            </w:r>
          </w:p>
          <w:p>
            <w:pPr>
              <w:widowControl w:val="0"/>
              <w:jc w:val="center"/>
              <w:rPr>
                <w:rFonts w:ascii="Calibri" w:hAnsi="Calibri" w:cs="宋体"/>
                <w:b/>
                <w:bCs/>
                <w:color w:val="auto"/>
                <w:szCs w:val="20"/>
                <w:u w:val="single"/>
              </w:rPr>
            </w:pPr>
            <w:r>
              <w:rPr>
                <w:rFonts w:hint="eastAsia"/>
                <w:b/>
                <w:bCs/>
                <w:color w:val="auto"/>
                <w:kern w:val="0"/>
                <w:u w:val="single"/>
              </w:rPr>
              <w:t>N35°16′31.14″</w:t>
            </w:r>
          </w:p>
        </w:tc>
        <w:tc>
          <w:tcPr>
            <w:tcW w:w="1233" w:type="pct"/>
            <w:vMerge w:val="continue"/>
            <w:shd w:val="clear" w:color="auto" w:fill="auto"/>
            <w:vAlign w:val="center"/>
          </w:tcPr>
          <w:p>
            <w:pPr>
              <w:widowControl w:val="0"/>
              <w:jc w:val="center"/>
              <w:rPr>
                <w:rFonts w:ascii="Calibri" w:hAnsi="Calibri" w:cs="宋体"/>
                <w:color w:val="auto"/>
                <w:szCs w:val="20"/>
              </w:rPr>
            </w:pPr>
          </w:p>
        </w:tc>
        <w:tc>
          <w:tcPr>
            <w:tcW w:w="678" w:type="pct"/>
            <w:vMerge w:val="continue"/>
            <w:shd w:val="clear" w:color="auto" w:fill="auto"/>
            <w:vAlign w:val="center"/>
          </w:tcPr>
          <w:p>
            <w:pPr>
              <w:widowControl w:val="0"/>
              <w:jc w:val="center"/>
              <w:rPr>
                <w:rFonts w:ascii="Calibri" w:hAnsi="Calibri"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6" w:hRule="atLeast"/>
          <w:jc w:val="center"/>
        </w:trPr>
        <w:tc>
          <w:tcPr>
            <w:tcW w:w="691" w:type="pct"/>
            <w:shd w:val="clear" w:color="auto" w:fill="auto"/>
            <w:vAlign w:val="center"/>
          </w:tcPr>
          <w:p>
            <w:pPr>
              <w:widowControl w:val="0"/>
              <w:jc w:val="center"/>
              <w:rPr>
                <w:rFonts w:ascii="Calibri" w:hAnsi="Calibri" w:cs="宋体"/>
                <w:color w:val="auto"/>
                <w:szCs w:val="20"/>
              </w:rPr>
            </w:pPr>
            <w:r>
              <w:rPr>
                <w:rFonts w:hint="eastAsia" w:ascii="Calibri" w:hAnsi="Calibri" w:cs="宋体"/>
                <w:color w:val="auto"/>
                <w:szCs w:val="20"/>
              </w:rPr>
              <w:t>土壤</w:t>
            </w:r>
          </w:p>
        </w:tc>
        <w:tc>
          <w:tcPr>
            <w:tcW w:w="965" w:type="pct"/>
            <w:vAlign w:val="center"/>
          </w:tcPr>
          <w:p>
            <w:pPr>
              <w:widowControl w:val="0"/>
              <w:jc w:val="center"/>
              <w:rPr>
                <w:rFonts w:ascii="Calibri" w:hAnsi="Calibri" w:cs="宋体"/>
                <w:color w:val="auto"/>
                <w:szCs w:val="20"/>
              </w:rPr>
            </w:pPr>
            <w:r>
              <w:rPr>
                <w:rFonts w:hint="eastAsia" w:ascii="Calibri" w:hAnsi="Calibri" w:cs="宋体"/>
                <w:color w:val="auto"/>
                <w:szCs w:val="20"/>
              </w:rPr>
              <w:t>污水处理站附近</w:t>
            </w:r>
          </w:p>
        </w:tc>
        <w:tc>
          <w:tcPr>
            <w:tcW w:w="1430" w:type="pct"/>
            <w:shd w:val="clear" w:color="auto" w:fill="auto"/>
            <w:vAlign w:val="center"/>
          </w:tcPr>
          <w:p>
            <w:pPr>
              <w:contextualSpacing/>
              <w:jc w:val="center"/>
              <w:textAlignment w:val="baseline"/>
              <w:rPr>
                <w:b/>
                <w:bCs/>
                <w:color w:val="auto"/>
                <w:kern w:val="0"/>
                <w:u w:val="single"/>
              </w:rPr>
            </w:pPr>
            <w:r>
              <w:rPr>
                <w:rFonts w:hint="eastAsia"/>
                <w:b/>
                <w:bCs/>
                <w:color w:val="auto"/>
                <w:kern w:val="0"/>
                <w:u w:val="single"/>
              </w:rPr>
              <w:t>E113°42′31.96″</w:t>
            </w:r>
          </w:p>
          <w:p>
            <w:pPr>
              <w:widowControl w:val="0"/>
              <w:jc w:val="center"/>
              <w:rPr>
                <w:rFonts w:ascii="Calibri" w:hAnsi="Calibri" w:cs="宋体"/>
                <w:b/>
                <w:bCs/>
                <w:color w:val="auto"/>
                <w:szCs w:val="20"/>
                <w:u w:val="single"/>
              </w:rPr>
            </w:pPr>
            <w:r>
              <w:rPr>
                <w:rFonts w:hint="eastAsia"/>
                <w:b/>
                <w:bCs/>
                <w:color w:val="auto"/>
                <w:kern w:val="0"/>
                <w:u w:val="single"/>
              </w:rPr>
              <w:t>N35°16′02.61″</w:t>
            </w:r>
          </w:p>
        </w:tc>
        <w:tc>
          <w:tcPr>
            <w:tcW w:w="1233" w:type="pct"/>
            <w:shd w:val="clear" w:color="auto" w:fill="auto"/>
            <w:vAlign w:val="center"/>
          </w:tcPr>
          <w:p>
            <w:pPr>
              <w:widowControl w:val="0"/>
              <w:jc w:val="center"/>
              <w:rPr>
                <w:rFonts w:ascii="Calibri" w:hAnsi="Calibri" w:cs="宋体"/>
                <w:color w:val="auto"/>
                <w:szCs w:val="20"/>
              </w:rPr>
            </w:pPr>
            <w:r>
              <w:rPr>
                <w:rFonts w:hint="eastAsia" w:ascii="Calibri" w:hAnsi="Calibri" w:cs="宋体"/>
                <w:color w:val="auto"/>
                <w:szCs w:val="20"/>
              </w:rPr>
              <w:t>PH值、总镍、总锌、总铬、六价铬</w:t>
            </w:r>
          </w:p>
        </w:tc>
        <w:tc>
          <w:tcPr>
            <w:tcW w:w="678" w:type="pct"/>
            <w:shd w:val="clear" w:color="auto" w:fill="auto"/>
            <w:vAlign w:val="center"/>
          </w:tcPr>
          <w:p>
            <w:pPr>
              <w:widowControl w:val="0"/>
              <w:jc w:val="center"/>
              <w:rPr>
                <w:rFonts w:ascii="Calibri" w:hAnsi="Calibri" w:cs="宋体"/>
                <w:color w:val="auto"/>
                <w:szCs w:val="20"/>
              </w:rPr>
            </w:pPr>
            <w:r>
              <w:rPr>
                <w:rFonts w:hint="eastAsia" w:ascii="Calibri" w:hAnsi="Calibri" w:cs="宋体"/>
                <w:color w:val="auto"/>
                <w:szCs w:val="20"/>
              </w:rPr>
              <w:t>3</w:t>
            </w:r>
            <w:r>
              <w:rPr>
                <w:rFonts w:ascii="Calibri" w:hAnsi="Calibri" w:cs="宋体"/>
                <w:color w:val="auto"/>
                <w:szCs w:val="20"/>
              </w:rPr>
              <w:t>次/</w:t>
            </w:r>
            <w:r>
              <w:rPr>
                <w:rFonts w:hint="eastAsia" w:ascii="Calibri" w:hAnsi="Calibri" w:cs="宋体"/>
                <w:color w:val="auto"/>
                <w:szCs w:val="20"/>
              </w:rPr>
              <w:t>年</w:t>
            </w:r>
          </w:p>
        </w:tc>
      </w:tr>
    </w:tbl>
    <w:p>
      <w:pPr>
        <w:widowControl w:val="0"/>
        <w:adjustRightInd w:val="0"/>
        <w:snapToGrid w:val="0"/>
        <w:spacing w:line="360" w:lineRule="exact"/>
        <w:ind w:firstLine="422" w:firstLineChars="200"/>
        <w:jc w:val="both"/>
        <w:textAlignment w:val="baseline"/>
        <w:rPr>
          <w:b/>
          <w:color w:val="auto"/>
          <w:szCs w:val="20"/>
        </w:rPr>
      </w:pPr>
      <w:r>
        <w:rPr>
          <w:b/>
          <w:color w:val="auto"/>
          <w:kern w:val="0"/>
          <w:szCs w:val="20"/>
        </w:rPr>
        <w:t>注：可</w:t>
      </w:r>
      <w:r>
        <w:rPr>
          <w:rFonts w:hint="eastAsia"/>
          <w:b/>
          <w:color w:val="auto"/>
          <w:kern w:val="0"/>
          <w:szCs w:val="20"/>
        </w:rPr>
        <w:t>自行监测或</w:t>
      </w:r>
      <w:r>
        <w:rPr>
          <w:b/>
          <w:color w:val="auto"/>
          <w:kern w:val="0"/>
          <w:szCs w:val="20"/>
        </w:rPr>
        <w:t>委托当地有资质单位监测</w:t>
      </w:r>
      <w:r>
        <w:rPr>
          <w:rFonts w:hint="eastAsia"/>
          <w:b/>
          <w:color w:val="auto"/>
          <w:kern w:val="0"/>
          <w:szCs w:val="20"/>
        </w:rPr>
        <w:t>，监测结果应向社会公开。</w:t>
      </w:r>
    </w:p>
    <w:p>
      <w:pPr>
        <w:keepNext w:val="0"/>
        <w:keepLines w:val="0"/>
        <w:pageBreakBefore w:val="0"/>
        <w:widowControl/>
        <w:kinsoku/>
        <w:wordWrap/>
        <w:overflowPunct/>
        <w:topLinePunct w:val="0"/>
        <w:autoSpaceDE/>
        <w:autoSpaceDN/>
        <w:bidi w:val="0"/>
        <w:adjustRightInd w:val="0"/>
        <w:snapToGrid w:val="0"/>
        <w:spacing w:before="191" w:beforeLines="50" w:line="360" w:lineRule="auto"/>
        <w:textAlignment w:val="auto"/>
        <w:outlineLvl w:val="2"/>
        <w:rPr>
          <w:rFonts w:eastAsia="黑体"/>
          <w:color w:val="auto"/>
          <w:kern w:val="21"/>
          <w:sz w:val="28"/>
          <w:szCs w:val="28"/>
        </w:rPr>
      </w:pPr>
      <w:r>
        <w:rPr>
          <w:rFonts w:hint="eastAsia" w:eastAsia="黑体"/>
          <w:color w:val="auto"/>
          <w:kern w:val="21"/>
          <w:sz w:val="28"/>
          <w:szCs w:val="28"/>
        </w:rPr>
        <w:t>9.2.6验收监测质量保证与质量控制</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验收监测采样及样品分析均严格按照《环境水质监测质量保证手册</w:t>
      </w:r>
      <w:r>
        <w:rPr>
          <w:rFonts w:hint="eastAsia"/>
          <w:color w:val="auto"/>
          <w:kern w:val="0"/>
          <w:sz w:val="24"/>
          <w:szCs w:val="20"/>
        </w:rPr>
        <w:t>》（</w:t>
      </w:r>
      <w:r>
        <w:rPr>
          <w:color w:val="auto"/>
          <w:kern w:val="0"/>
          <w:sz w:val="24"/>
          <w:szCs w:val="20"/>
        </w:rPr>
        <w:t>第二版</w:t>
      </w:r>
      <w:r>
        <w:rPr>
          <w:rFonts w:hint="eastAsia"/>
          <w:color w:val="auto"/>
          <w:kern w:val="0"/>
          <w:sz w:val="24"/>
          <w:szCs w:val="20"/>
        </w:rPr>
        <w:t>）</w:t>
      </w:r>
      <w:r>
        <w:rPr>
          <w:color w:val="auto"/>
          <w:kern w:val="0"/>
          <w:sz w:val="24"/>
          <w:szCs w:val="20"/>
        </w:rPr>
        <w:t>、《环境空气监测质量保证手册》及《环境监测技术规范》等要求进行，实施全程质量控制。具体质控要求如下：</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A</w:t>
      </w:r>
      <w:r>
        <w:rPr>
          <w:color w:val="auto"/>
          <w:kern w:val="0"/>
          <w:sz w:val="24"/>
          <w:szCs w:val="20"/>
        </w:rPr>
        <w:t>、</w:t>
      </w:r>
      <w:r>
        <w:rPr>
          <w:rFonts w:hint="eastAsia"/>
          <w:color w:val="auto"/>
          <w:kern w:val="0"/>
          <w:sz w:val="24"/>
          <w:szCs w:val="20"/>
        </w:rPr>
        <w:t>验收监测应当确保</w:t>
      </w:r>
      <w:r>
        <w:rPr>
          <w:color w:val="auto"/>
          <w:kern w:val="0"/>
          <w:sz w:val="24"/>
          <w:szCs w:val="20"/>
        </w:rPr>
        <w:t>监测期间主体工程工况稳定</w:t>
      </w:r>
      <w:r>
        <w:rPr>
          <w:rFonts w:hint="eastAsia"/>
          <w:color w:val="auto"/>
          <w:kern w:val="0"/>
          <w:sz w:val="24"/>
          <w:szCs w:val="20"/>
        </w:rPr>
        <w:t>、</w:t>
      </w:r>
      <w:r>
        <w:rPr>
          <w:color w:val="auto"/>
          <w:kern w:val="0"/>
          <w:sz w:val="24"/>
          <w:szCs w:val="20"/>
        </w:rPr>
        <w:t>环境保护设施运行正常的情况下进行</w:t>
      </w:r>
      <w:r>
        <w:rPr>
          <w:rFonts w:hint="eastAsia"/>
          <w:color w:val="auto"/>
          <w:kern w:val="0"/>
          <w:sz w:val="24"/>
          <w:szCs w:val="20"/>
        </w:rPr>
        <w:t>。</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B、合理布设监测点位，保证各监测点位布设的科学性和可比性。</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9.2.7监测分析方法</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样品采集及分析采用国标（或推荐）方法，对目前尚无国标方法的项目，则采用《空气和废气监测分析方法》（第四版）中的分析方法。</w:t>
      </w:r>
    </w:p>
    <w:p>
      <w:pPr>
        <w:keepNext w:val="0"/>
        <w:keepLines w:val="0"/>
        <w:pageBreakBefore w:val="0"/>
        <w:widowControl/>
        <w:kinsoku/>
        <w:wordWrap/>
        <w:overflowPunct/>
        <w:topLinePunct w:val="0"/>
        <w:autoSpaceDE/>
        <w:autoSpaceDN/>
        <w:bidi w:val="0"/>
        <w:adjustRightInd w:val="0"/>
        <w:snapToGrid w:val="0"/>
        <w:spacing w:before="191" w:beforeLines="50" w:line="360" w:lineRule="auto"/>
        <w:textAlignment w:val="auto"/>
        <w:outlineLvl w:val="2"/>
        <w:rPr>
          <w:rFonts w:eastAsia="黑体"/>
          <w:color w:val="auto"/>
          <w:kern w:val="21"/>
          <w:sz w:val="28"/>
          <w:szCs w:val="28"/>
        </w:rPr>
      </w:pPr>
      <w:bookmarkStart w:id="448" w:name="_Toc112338981"/>
      <w:r>
        <w:rPr>
          <w:rFonts w:hint="eastAsia" w:eastAsia="黑体"/>
          <w:color w:val="auto"/>
          <w:kern w:val="21"/>
          <w:sz w:val="28"/>
          <w:szCs w:val="28"/>
        </w:rPr>
        <w:t>9.2.5</w:t>
      </w:r>
      <w:r>
        <w:rPr>
          <w:rFonts w:eastAsia="黑体"/>
          <w:color w:val="auto"/>
          <w:kern w:val="21"/>
          <w:sz w:val="28"/>
          <w:szCs w:val="28"/>
        </w:rPr>
        <w:t>应急监测计划</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当企业发生非正常工况或污染防治设施运行不正常时，大量未经处理的污染物排放可</w:t>
      </w:r>
      <w:r>
        <w:rPr>
          <w:color w:val="auto"/>
          <w:kern w:val="0"/>
          <w:sz w:val="24"/>
          <w:szCs w:val="20"/>
        </w:rPr>
        <w:t>能对环境产生严重的污染</w:t>
      </w:r>
      <w:r>
        <w:rPr>
          <w:rFonts w:hint="eastAsia"/>
          <w:color w:val="auto"/>
          <w:kern w:val="0"/>
          <w:sz w:val="24"/>
          <w:szCs w:val="20"/>
        </w:rPr>
        <w:t>。本公司环境</w:t>
      </w:r>
      <w:r>
        <w:rPr>
          <w:color w:val="auto"/>
          <w:kern w:val="0"/>
          <w:sz w:val="24"/>
          <w:szCs w:val="20"/>
        </w:rPr>
        <w:t>监测</w:t>
      </w:r>
      <w:r>
        <w:rPr>
          <w:rFonts w:hint="eastAsia"/>
          <w:color w:val="auto"/>
          <w:kern w:val="0"/>
          <w:sz w:val="24"/>
          <w:szCs w:val="20"/>
        </w:rPr>
        <w:t>站</w:t>
      </w:r>
      <w:r>
        <w:rPr>
          <w:color w:val="auto"/>
          <w:kern w:val="0"/>
          <w:sz w:val="24"/>
          <w:szCs w:val="20"/>
        </w:rPr>
        <w:t>应对该情况下可能产生的污染源及时分析，</w:t>
      </w:r>
      <w:r>
        <w:rPr>
          <w:rFonts w:hint="eastAsia"/>
          <w:color w:val="auto"/>
          <w:kern w:val="0"/>
          <w:sz w:val="24"/>
          <w:szCs w:val="20"/>
        </w:rPr>
        <w:t>并</w:t>
      </w:r>
      <w:r>
        <w:rPr>
          <w:color w:val="auto"/>
          <w:kern w:val="0"/>
          <w:sz w:val="24"/>
          <w:szCs w:val="20"/>
        </w:rPr>
        <w:t>立即委托地方环境监测站</w:t>
      </w:r>
      <w:r>
        <w:rPr>
          <w:rFonts w:hint="eastAsia"/>
          <w:color w:val="auto"/>
          <w:kern w:val="0"/>
          <w:sz w:val="24"/>
          <w:szCs w:val="20"/>
        </w:rPr>
        <w:t>同时监测</w:t>
      </w:r>
      <w:r>
        <w:rPr>
          <w:color w:val="auto"/>
          <w:kern w:val="0"/>
          <w:sz w:val="24"/>
          <w:szCs w:val="20"/>
        </w:rPr>
        <w:t>，以便采取应急措施</w:t>
      </w:r>
      <w:r>
        <w:rPr>
          <w:rFonts w:hint="eastAsia"/>
          <w:color w:val="auto"/>
          <w:kern w:val="0"/>
          <w:sz w:val="24"/>
          <w:szCs w:val="20"/>
        </w:rPr>
        <w:t>，</w:t>
      </w:r>
      <w:r>
        <w:rPr>
          <w:color w:val="auto"/>
          <w:kern w:val="0"/>
          <w:sz w:val="24"/>
          <w:szCs w:val="20"/>
        </w:rPr>
        <w:t>将产生的环境影响控制在最小程度</w:t>
      </w:r>
      <w:r>
        <w:rPr>
          <w:rFonts w:hint="eastAsia"/>
          <w:color w:val="auto"/>
          <w:kern w:val="0"/>
          <w:sz w:val="24"/>
          <w:szCs w:val="20"/>
        </w:rPr>
        <w:t>。</w:t>
      </w:r>
      <w:r>
        <w:rPr>
          <w:rFonts w:hint="eastAsia" w:ascii="宋体" w:hAnsi="宋体"/>
          <w:color w:val="auto"/>
          <w:kern w:val="0"/>
          <w:sz w:val="24"/>
          <w:szCs w:val="20"/>
        </w:rPr>
        <w:t>对发生较大的污染影响，应立即报告上级主管部门，果断采取联合措施，制止污染事故的蔓延。</w:t>
      </w:r>
      <w:r>
        <w:rPr>
          <w:color w:val="auto"/>
          <w:kern w:val="0"/>
          <w:sz w:val="24"/>
          <w:szCs w:val="20"/>
        </w:rPr>
        <w:t>应急监测计划见表</w:t>
      </w:r>
      <w:r>
        <w:rPr>
          <w:rFonts w:hint="eastAsia"/>
          <w:color w:val="auto"/>
          <w:kern w:val="0"/>
          <w:sz w:val="24"/>
          <w:szCs w:val="20"/>
        </w:rPr>
        <w:t>9.2-7</w:t>
      </w:r>
      <w:r>
        <w:rPr>
          <w:color w:val="auto"/>
          <w:kern w:val="0"/>
          <w:sz w:val="24"/>
          <w:szCs w:val="20"/>
        </w:rPr>
        <w:t>。</w:t>
      </w: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表9.2-7      应急监测计划表</w:t>
      </w:r>
    </w:p>
    <w:tbl>
      <w:tblPr>
        <w:tblStyle w:val="83"/>
        <w:tblW w:w="5000" w:type="pct"/>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955"/>
        <w:gridCol w:w="1988"/>
        <w:gridCol w:w="1844"/>
        <w:gridCol w:w="2409"/>
        <w:gridCol w:w="1333"/>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0" w:type="pct"/>
            <w:vAlign w:val="center"/>
          </w:tcPr>
          <w:p>
            <w:pPr>
              <w:widowControl w:val="0"/>
              <w:jc w:val="center"/>
              <w:rPr>
                <w:rFonts w:cs="宋体"/>
                <w:b/>
                <w:color w:val="auto"/>
                <w:szCs w:val="20"/>
              </w:rPr>
            </w:pPr>
            <w:r>
              <w:rPr>
                <w:rFonts w:hint="eastAsia" w:cs="宋体"/>
                <w:b/>
                <w:color w:val="auto"/>
                <w:szCs w:val="20"/>
              </w:rPr>
              <w:t>序号</w:t>
            </w:r>
          </w:p>
        </w:tc>
        <w:tc>
          <w:tcPr>
            <w:tcW w:w="1165" w:type="pct"/>
            <w:vAlign w:val="center"/>
          </w:tcPr>
          <w:p>
            <w:pPr>
              <w:widowControl w:val="0"/>
              <w:jc w:val="center"/>
              <w:rPr>
                <w:rFonts w:cs="宋体"/>
                <w:b/>
                <w:color w:val="auto"/>
                <w:szCs w:val="20"/>
              </w:rPr>
            </w:pPr>
            <w:r>
              <w:rPr>
                <w:rFonts w:hint="eastAsia" w:cs="宋体"/>
                <w:b/>
                <w:color w:val="auto"/>
                <w:szCs w:val="20"/>
              </w:rPr>
              <w:t>事故类型</w:t>
            </w:r>
          </w:p>
        </w:tc>
        <w:tc>
          <w:tcPr>
            <w:tcW w:w="1081" w:type="pct"/>
            <w:vAlign w:val="center"/>
          </w:tcPr>
          <w:p>
            <w:pPr>
              <w:widowControl w:val="0"/>
              <w:jc w:val="center"/>
              <w:rPr>
                <w:rFonts w:cs="宋体"/>
                <w:b/>
                <w:color w:val="auto"/>
                <w:szCs w:val="20"/>
              </w:rPr>
            </w:pPr>
            <w:r>
              <w:rPr>
                <w:rFonts w:hint="eastAsia" w:cs="宋体"/>
                <w:b/>
                <w:color w:val="auto"/>
                <w:szCs w:val="20"/>
              </w:rPr>
              <w:t>监测位置</w:t>
            </w:r>
          </w:p>
        </w:tc>
        <w:tc>
          <w:tcPr>
            <w:tcW w:w="1412" w:type="pct"/>
            <w:vAlign w:val="center"/>
          </w:tcPr>
          <w:p>
            <w:pPr>
              <w:widowControl w:val="0"/>
              <w:jc w:val="center"/>
              <w:rPr>
                <w:rFonts w:cs="宋体"/>
                <w:b/>
                <w:color w:val="auto"/>
                <w:szCs w:val="20"/>
              </w:rPr>
            </w:pPr>
            <w:r>
              <w:rPr>
                <w:rFonts w:hint="eastAsia" w:cs="宋体"/>
                <w:b/>
                <w:color w:val="auto"/>
                <w:szCs w:val="20"/>
              </w:rPr>
              <w:t>监测项目</w:t>
            </w:r>
          </w:p>
        </w:tc>
        <w:tc>
          <w:tcPr>
            <w:tcW w:w="781" w:type="pct"/>
            <w:vAlign w:val="center"/>
          </w:tcPr>
          <w:p>
            <w:pPr>
              <w:widowControl w:val="0"/>
              <w:jc w:val="center"/>
              <w:rPr>
                <w:rFonts w:cs="宋体"/>
                <w:b/>
                <w:color w:val="auto"/>
                <w:szCs w:val="20"/>
              </w:rPr>
            </w:pPr>
            <w:r>
              <w:rPr>
                <w:rFonts w:cs="宋体"/>
                <w:b/>
                <w:color w:val="auto"/>
                <w:szCs w:val="20"/>
              </w:rPr>
              <w:t>监测频率</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0" w:type="pct"/>
            <w:vAlign w:val="center"/>
          </w:tcPr>
          <w:p>
            <w:pPr>
              <w:widowControl w:val="0"/>
              <w:contextualSpacing/>
              <w:jc w:val="center"/>
              <w:textAlignment w:val="baseline"/>
              <w:rPr>
                <w:color w:val="auto"/>
                <w:kern w:val="0"/>
              </w:rPr>
            </w:pPr>
            <w:r>
              <w:rPr>
                <w:rFonts w:hint="eastAsia"/>
                <w:color w:val="auto"/>
                <w:kern w:val="0"/>
              </w:rPr>
              <w:t>废气</w:t>
            </w:r>
          </w:p>
        </w:tc>
        <w:tc>
          <w:tcPr>
            <w:tcW w:w="1165" w:type="pct"/>
            <w:vAlign w:val="center"/>
          </w:tcPr>
          <w:p>
            <w:pPr>
              <w:widowControl w:val="0"/>
              <w:contextualSpacing/>
              <w:jc w:val="center"/>
              <w:textAlignment w:val="baseline"/>
              <w:rPr>
                <w:color w:val="auto"/>
                <w:kern w:val="0"/>
              </w:rPr>
            </w:pPr>
            <w:r>
              <w:rPr>
                <w:rFonts w:hint="eastAsia"/>
                <w:color w:val="auto"/>
                <w:kern w:val="0"/>
              </w:rPr>
              <w:t>废气治理设施不正常运行</w:t>
            </w:r>
          </w:p>
        </w:tc>
        <w:tc>
          <w:tcPr>
            <w:tcW w:w="1081" w:type="pct"/>
            <w:vAlign w:val="center"/>
          </w:tcPr>
          <w:p>
            <w:pPr>
              <w:widowControl w:val="0"/>
              <w:contextualSpacing/>
              <w:jc w:val="center"/>
              <w:textAlignment w:val="baseline"/>
              <w:rPr>
                <w:color w:val="auto"/>
                <w:kern w:val="0"/>
              </w:rPr>
            </w:pPr>
            <w:r>
              <w:rPr>
                <w:color w:val="auto"/>
                <w:kern w:val="0"/>
              </w:rPr>
              <w:t>废气治理措施排气</w:t>
            </w:r>
            <w:r>
              <w:rPr>
                <w:rFonts w:hint="eastAsia"/>
                <w:color w:val="auto"/>
                <w:kern w:val="0"/>
              </w:rPr>
              <w:t>筒、</w:t>
            </w:r>
            <w:r>
              <w:rPr>
                <w:color w:val="auto"/>
                <w:kern w:val="0"/>
              </w:rPr>
              <w:t>厂界四周</w:t>
            </w:r>
          </w:p>
        </w:tc>
        <w:tc>
          <w:tcPr>
            <w:tcW w:w="1412" w:type="pct"/>
            <w:vAlign w:val="center"/>
          </w:tcPr>
          <w:p>
            <w:pPr>
              <w:widowControl w:val="0"/>
              <w:contextualSpacing/>
              <w:jc w:val="center"/>
              <w:textAlignment w:val="baseline"/>
              <w:rPr>
                <w:color w:val="auto"/>
                <w:kern w:val="0"/>
              </w:rPr>
            </w:pPr>
            <w:r>
              <w:rPr>
                <w:color w:val="auto"/>
                <w:kern w:val="0"/>
              </w:rPr>
              <w:t>颗粒物、</w:t>
            </w:r>
            <w:r>
              <w:rPr>
                <w:rFonts w:hint="eastAsia" w:ascii="宋体" w:hAnsi="Calibri" w:cs="宋体"/>
                <w:color w:val="auto"/>
                <w:kern w:val="0"/>
              </w:rPr>
              <w:t>氯化氢</w:t>
            </w:r>
          </w:p>
        </w:tc>
        <w:tc>
          <w:tcPr>
            <w:tcW w:w="781" w:type="pct"/>
            <w:vAlign w:val="center"/>
          </w:tcPr>
          <w:p>
            <w:pPr>
              <w:widowControl w:val="0"/>
              <w:contextualSpacing/>
              <w:jc w:val="center"/>
              <w:textAlignment w:val="baseline"/>
              <w:rPr>
                <w:color w:val="auto"/>
                <w:kern w:val="0"/>
              </w:rPr>
            </w:pPr>
            <w:r>
              <w:rPr>
                <w:color w:val="auto"/>
                <w:kern w:val="0"/>
              </w:rPr>
              <w:t>每天四次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0" w:type="pct"/>
            <w:vAlign w:val="center"/>
          </w:tcPr>
          <w:p>
            <w:pPr>
              <w:widowControl w:val="0"/>
              <w:contextualSpacing/>
              <w:jc w:val="center"/>
              <w:textAlignment w:val="baseline"/>
              <w:rPr>
                <w:color w:val="auto"/>
                <w:kern w:val="0"/>
              </w:rPr>
            </w:pPr>
            <w:r>
              <w:rPr>
                <w:rFonts w:hint="eastAsia"/>
                <w:color w:val="auto"/>
                <w:kern w:val="0"/>
              </w:rPr>
              <w:t>地表水</w:t>
            </w:r>
          </w:p>
        </w:tc>
        <w:tc>
          <w:tcPr>
            <w:tcW w:w="1165" w:type="pct"/>
            <w:vAlign w:val="center"/>
          </w:tcPr>
          <w:p>
            <w:pPr>
              <w:widowControl w:val="0"/>
              <w:contextualSpacing/>
              <w:jc w:val="center"/>
              <w:textAlignment w:val="baseline"/>
              <w:rPr>
                <w:color w:val="auto"/>
                <w:kern w:val="0"/>
              </w:rPr>
            </w:pPr>
            <w:r>
              <w:rPr>
                <w:rFonts w:hint="eastAsia"/>
                <w:color w:val="auto"/>
                <w:kern w:val="0"/>
              </w:rPr>
              <w:t>火灾、污水处理站运行不正常</w:t>
            </w:r>
          </w:p>
        </w:tc>
        <w:tc>
          <w:tcPr>
            <w:tcW w:w="1081" w:type="pct"/>
            <w:vAlign w:val="center"/>
          </w:tcPr>
          <w:p>
            <w:pPr>
              <w:widowControl w:val="0"/>
              <w:contextualSpacing/>
              <w:jc w:val="center"/>
              <w:textAlignment w:val="baseline"/>
              <w:rPr>
                <w:color w:val="auto"/>
                <w:kern w:val="0"/>
              </w:rPr>
            </w:pPr>
            <w:r>
              <w:rPr>
                <w:rFonts w:hint="eastAsia"/>
                <w:color w:val="auto"/>
                <w:kern w:val="0"/>
              </w:rPr>
              <w:t>事故废水收集池内及总排口水质</w:t>
            </w:r>
          </w:p>
        </w:tc>
        <w:tc>
          <w:tcPr>
            <w:tcW w:w="1412" w:type="pct"/>
            <w:vAlign w:val="center"/>
          </w:tcPr>
          <w:p>
            <w:pPr>
              <w:widowControl w:val="0"/>
              <w:contextualSpacing/>
              <w:jc w:val="center"/>
              <w:textAlignment w:val="baseline"/>
              <w:rPr>
                <w:color w:val="auto"/>
                <w:kern w:val="0"/>
              </w:rPr>
            </w:pPr>
            <w:r>
              <w:rPr>
                <w:rFonts w:hint="eastAsia"/>
                <w:color w:val="auto"/>
                <w:kern w:val="0"/>
              </w:rPr>
              <w:t>流量、</w:t>
            </w:r>
            <w:r>
              <w:rPr>
                <w:color w:val="auto"/>
                <w:kern w:val="21"/>
              </w:rPr>
              <w:t>pH、COD、BOD</w:t>
            </w:r>
            <w:r>
              <w:rPr>
                <w:color w:val="auto"/>
                <w:kern w:val="21"/>
                <w:vertAlign w:val="subscript"/>
              </w:rPr>
              <w:t>5</w:t>
            </w:r>
            <w:r>
              <w:rPr>
                <w:color w:val="auto"/>
                <w:kern w:val="21"/>
              </w:rPr>
              <w:t>、SS、NH</w:t>
            </w:r>
            <w:r>
              <w:rPr>
                <w:color w:val="auto"/>
                <w:kern w:val="21"/>
                <w:vertAlign w:val="subscript"/>
              </w:rPr>
              <w:t>3</w:t>
            </w:r>
            <w:r>
              <w:rPr>
                <w:color w:val="auto"/>
                <w:kern w:val="21"/>
              </w:rPr>
              <w:t>-N、TP、TN</w:t>
            </w:r>
          </w:p>
        </w:tc>
        <w:tc>
          <w:tcPr>
            <w:tcW w:w="781" w:type="pct"/>
            <w:vAlign w:val="center"/>
          </w:tcPr>
          <w:p>
            <w:pPr>
              <w:widowControl w:val="0"/>
              <w:contextualSpacing/>
              <w:jc w:val="center"/>
              <w:textAlignment w:val="baseline"/>
              <w:rPr>
                <w:color w:val="auto"/>
                <w:kern w:val="0"/>
              </w:rPr>
            </w:pPr>
            <w:r>
              <w:rPr>
                <w:color w:val="auto"/>
                <w:kern w:val="0"/>
              </w:rPr>
              <w:t>每</w:t>
            </w:r>
            <w:r>
              <w:rPr>
                <w:rFonts w:hint="eastAsia"/>
                <w:color w:val="auto"/>
                <w:kern w:val="0"/>
              </w:rPr>
              <w:t>2h一次</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60" w:type="pct"/>
            <w:vAlign w:val="center"/>
          </w:tcPr>
          <w:p>
            <w:pPr>
              <w:widowControl w:val="0"/>
              <w:contextualSpacing/>
              <w:jc w:val="center"/>
              <w:textAlignment w:val="baseline"/>
              <w:rPr>
                <w:color w:val="auto"/>
                <w:kern w:val="0"/>
              </w:rPr>
            </w:pPr>
            <w:r>
              <w:rPr>
                <w:rFonts w:hint="eastAsia"/>
                <w:color w:val="auto"/>
                <w:kern w:val="0"/>
              </w:rPr>
              <w:t>地下水</w:t>
            </w:r>
          </w:p>
        </w:tc>
        <w:tc>
          <w:tcPr>
            <w:tcW w:w="1165" w:type="pct"/>
            <w:vAlign w:val="center"/>
          </w:tcPr>
          <w:p>
            <w:pPr>
              <w:widowControl w:val="0"/>
              <w:contextualSpacing/>
              <w:jc w:val="center"/>
              <w:textAlignment w:val="baseline"/>
              <w:rPr>
                <w:color w:val="auto"/>
                <w:kern w:val="0"/>
              </w:rPr>
            </w:pPr>
            <w:r>
              <w:rPr>
                <w:rFonts w:hint="eastAsia"/>
                <w:color w:val="auto"/>
                <w:kern w:val="0"/>
              </w:rPr>
              <w:t>污水处理设施运行出现问题</w:t>
            </w:r>
          </w:p>
        </w:tc>
        <w:tc>
          <w:tcPr>
            <w:tcW w:w="1081" w:type="pct"/>
            <w:vAlign w:val="center"/>
          </w:tcPr>
          <w:p>
            <w:pPr>
              <w:widowControl w:val="0"/>
              <w:contextualSpacing/>
              <w:jc w:val="center"/>
              <w:textAlignment w:val="baseline"/>
              <w:rPr>
                <w:color w:val="auto"/>
                <w:kern w:val="0"/>
              </w:rPr>
            </w:pPr>
            <w:r>
              <w:rPr>
                <w:color w:val="auto"/>
                <w:kern w:val="0"/>
              </w:rPr>
              <w:t>厂址监控井</w:t>
            </w:r>
          </w:p>
        </w:tc>
        <w:tc>
          <w:tcPr>
            <w:tcW w:w="1412" w:type="pct"/>
            <w:vAlign w:val="center"/>
          </w:tcPr>
          <w:p>
            <w:pPr>
              <w:widowControl w:val="0"/>
              <w:contextualSpacing/>
              <w:jc w:val="center"/>
              <w:textAlignment w:val="baseline"/>
              <w:rPr>
                <w:color w:val="auto"/>
                <w:kern w:val="0"/>
              </w:rPr>
            </w:pPr>
            <w:r>
              <w:rPr>
                <w:rFonts w:hint="eastAsia"/>
                <w:color w:val="auto"/>
                <w:kern w:val="0"/>
              </w:rPr>
              <w:t>pH、</w:t>
            </w:r>
            <w:r>
              <w:rPr>
                <w:color w:val="auto"/>
                <w:kern w:val="0"/>
              </w:rPr>
              <w:t>COD</w:t>
            </w:r>
            <w:r>
              <w:rPr>
                <w:rFonts w:hint="eastAsia"/>
                <w:color w:val="auto"/>
                <w:kern w:val="0"/>
              </w:rPr>
              <w:t>、氨氮、总镍、总锌、总铬</w:t>
            </w:r>
          </w:p>
        </w:tc>
        <w:tc>
          <w:tcPr>
            <w:tcW w:w="781" w:type="pct"/>
            <w:vAlign w:val="center"/>
          </w:tcPr>
          <w:p>
            <w:pPr>
              <w:widowControl w:val="0"/>
              <w:contextualSpacing/>
              <w:jc w:val="center"/>
              <w:textAlignment w:val="baseline"/>
              <w:rPr>
                <w:color w:val="auto"/>
                <w:kern w:val="0"/>
              </w:rPr>
            </w:pPr>
            <w:r>
              <w:rPr>
                <w:color w:val="auto"/>
                <w:kern w:val="0"/>
              </w:rPr>
              <w:t>每年丰枯水期各一次</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r>
        <w:rPr>
          <w:rFonts w:hint="eastAsia"/>
          <w:bCs w:val="0"/>
          <w:color w:val="auto"/>
          <w:kern w:val="0"/>
          <w:szCs w:val="20"/>
          <w:lang w:val="en-US"/>
        </w:rPr>
        <w:t>9.3环境管理台账</w:t>
      </w:r>
      <w:bookmarkEnd w:id="448"/>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建议</w:t>
      </w:r>
      <w:r>
        <w:rPr>
          <w:color w:val="auto"/>
          <w:kern w:val="0"/>
          <w:sz w:val="24"/>
          <w:szCs w:val="20"/>
        </w:rPr>
        <w:t>企业建立环境保护台账，台账主要包括生产设施运行记录表、废水处理设施运行记录表、废气处理设施运行记录表等相关内容。环境管理台账表格样式见表</w:t>
      </w:r>
      <w:r>
        <w:rPr>
          <w:rFonts w:hint="eastAsia"/>
          <w:color w:val="auto"/>
          <w:kern w:val="0"/>
          <w:sz w:val="24"/>
          <w:szCs w:val="20"/>
        </w:rPr>
        <w:t>9.3-1</w:t>
      </w:r>
      <w:r>
        <w:rPr>
          <w:color w:val="auto"/>
          <w:kern w:val="0"/>
          <w:sz w:val="24"/>
          <w:szCs w:val="20"/>
        </w:rPr>
        <w:t>。</w:t>
      </w: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表9.3-1      环境管理台账</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239"/>
        <w:gridCol w:w="1601"/>
        <w:gridCol w:w="1421"/>
        <w:gridCol w:w="1420"/>
        <w:gridCol w:w="1420"/>
        <w:gridCol w:w="1421"/>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239" w:type="dxa"/>
            <w:vAlign w:val="center"/>
          </w:tcPr>
          <w:p>
            <w:pPr>
              <w:widowControl w:val="0"/>
              <w:jc w:val="center"/>
              <w:rPr>
                <w:rFonts w:cs="宋体"/>
                <w:b/>
                <w:color w:val="auto"/>
                <w:szCs w:val="20"/>
              </w:rPr>
            </w:pPr>
            <w:r>
              <w:rPr>
                <w:rFonts w:cs="宋体"/>
                <w:b/>
                <w:color w:val="auto"/>
                <w:szCs w:val="20"/>
              </w:rPr>
              <w:t>序号</w:t>
            </w:r>
          </w:p>
        </w:tc>
        <w:tc>
          <w:tcPr>
            <w:tcW w:w="1601" w:type="dxa"/>
            <w:vAlign w:val="center"/>
          </w:tcPr>
          <w:p>
            <w:pPr>
              <w:widowControl w:val="0"/>
              <w:jc w:val="center"/>
              <w:rPr>
                <w:rFonts w:cs="宋体"/>
                <w:b/>
                <w:color w:val="auto"/>
                <w:szCs w:val="20"/>
              </w:rPr>
            </w:pPr>
            <w:r>
              <w:rPr>
                <w:rFonts w:cs="宋体"/>
                <w:b/>
                <w:color w:val="auto"/>
                <w:szCs w:val="20"/>
              </w:rPr>
              <w:t>设施类别</w:t>
            </w:r>
          </w:p>
        </w:tc>
        <w:tc>
          <w:tcPr>
            <w:tcW w:w="1421" w:type="dxa"/>
            <w:vAlign w:val="center"/>
          </w:tcPr>
          <w:p>
            <w:pPr>
              <w:widowControl w:val="0"/>
              <w:jc w:val="center"/>
              <w:rPr>
                <w:rFonts w:cs="宋体"/>
                <w:b/>
                <w:color w:val="auto"/>
                <w:szCs w:val="20"/>
              </w:rPr>
            </w:pPr>
            <w:r>
              <w:rPr>
                <w:rFonts w:cs="宋体"/>
                <w:b/>
                <w:color w:val="auto"/>
                <w:szCs w:val="20"/>
              </w:rPr>
              <w:t>操作参数</w:t>
            </w:r>
          </w:p>
        </w:tc>
        <w:tc>
          <w:tcPr>
            <w:tcW w:w="1420" w:type="dxa"/>
            <w:vAlign w:val="center"/>
          </w:tcPr>
          <w:p>
            <w:pPr>
              <w:widowControl w:val="0"/>
              <w:jc w:val="center"/>
              <w:rPr>
                <w:rFonts w:cs="宋体"/>
                <w:b/>
                <w:color w:val="auto"/>
                <w:szCs w:val="20"/>
              </w:rPr>
            </w:pPr>
            <w:r>
              <w:rPr>
                <w:rFonts w:cs="宋体"/>
                <w:b/>
                <w:color w:val="auto"/>
                <w:szCs w:val="20"/>
              </w:rPr>
              <w:t>记录内容</w:t>
            </w:r>
          </w:p>
        </w:tc>
        <w:tc>
          <w:tcPr>
            <w:tcW w:w="1420" w:type="dxa"/>
            <w:vAlign w:val="center"/>
          </w:tcPr>
          <w:p>
            <w:pPr>
              <w:widowControl w:val="0"/>
              <w:jc w:val="center"/>
              <w:rPr>
                <w:rFonts w:cs="宋体"/>
                <w:b/>
                <w:color w:val="auto"/>
                <w:szCs w:val="20"/>
              </w:rPr>
            </w:pPr>
            <w:r>
              <w:rPr>
                <w:rFonts w:cs="宋体"/>
                <w:b/>
                <w:color w:val="auto"/>
                <w:szCs w:val="20"/>
              </w:rPr>
              <w:t>记录频次</w:t>
            </w:r>
          </w:p>
        </w:tc>
        <w:tc>
          <w:tcPr>
            <w:tcW w:w="1421" w:type="dxa"/>
            <w:vAlign w:val="center"/>
          </w:tcPr>
          <w:p>
            <w:pPr>
              <w:widowControl w:val="0"/>
              <w:jc w:val="center"/>
              <w:rPr>
                <w:rFonts w:cs="宋体"/>
                <w:b/>
                <w:color w:val="auto"/>
                <w:szCs w:val="20"/>
              </w:rPr>
            </w:pPr>
            <w:r>
              <w:rPr>
                <w:rFonts w:cs="宋体"/>
                <w:b/>
                <w:color w:val="auto"/>
                <w:szCs w:val="20"/>
              </w:rPr>
              <w:t>记录形式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239" w:type="dxa"/>
            <w:vAlign w:val="center"/>
          </w:tcPr>
          <w:p>
            <w:pPr>
              <w:widowControl w:val="0"/>
              <w:contextualSpacing/>
              <w:jc w:val="center"/>
              <w:textAlignment w:val="baseline"/>
              <w:rPr>
                <w:color w:val="auto"/>
                <w:kern w:val="0"/>
              </w:rPr>
            </w:pPr>
          </w:p>
        </w:tc>
        <w:tc>
          <w:tcPr>
            <w:tcW w:w="1601" w:type="dxa"/>
            <w:vMerge w:val="restart"/>
            <w:vAlign w:val="center"/>
          </w:tcPr>
          <w:p>
            <w:pPr>
              <w:widowControl w:val="0"/>
              <w:contextualSpacing/>
              <w:jc w:val="center"/>
              <w:textAlignment w:val="baseline"/>
              <w:rPr>
                <w:color w:val="auto"/>
                <w:kern w:val="0"/>
              </w:rPr>
            </w:pPr>
            <w:r>
              <w:rPr>
                <w:color w:val="auto"/>
                <w:kern w:val="0"/>
              </w:rPr>
              <w:t>生产设施</w:t>
            </w:r>
          </w:p>
        </w:tc>
        <w:tc>
          <w:tcPr>
            <w:tcW w:w="1421"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1" w:type="dxa"/>
            <w:vAlign w:val="center"/>
          </w:tcPr>
          <w:p>
            <w:pPr>
              <w:widowControl w:val="0"/>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239" w:type="dxa"/>
            <w:vAlign w:val="center"/>
          </w:tcPr>
          <w:p>
            <w:pPr>
              <w:widowControl w:val="0"/>
              <w:contextualSpacing/>
              <w:jc w:val="center"/>
              <w:textAlignment w:val="baseline"/>
              <w:rPr>
                <w:color w:val="auto"/>
                <w:kern w:val="0"/>
              </w:rPr>
            </w:pPr>
          </w:p>
        </w:tc>
        <w:tc>
          <w:tcPr>
            <w:tcW w:w="1601" w:type="dxa"/>
            <w:vMerge w:val="continue"/>
            <w:vAlign w:val="center"/>
          </w:tcPr>
          <w:p>
            <w:pPr>
              <w:widowControl w:val="0"/>
              <w:contextualSpacing/>
              <w:jc w:val="center"/>
              <w:textAlignment w:val="baseline"/>
              <w:rPr>
                <w:color w:val="auto"/>
                <w:kern w:val="0"/>
              </w:rPr>
            </w:pPr>
          </w:p>
        </w:tc>
        <w:tc>
          <w:tcPr>
            <w:tcW w:w="1421"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1" w:type="dxa"/>
            <w:vAlign w:val="center"/>
          </w:tcPr>
          <w:p>
            <w:pPr>
              <w:widowControl w:val="0"/>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239" w:type="dxa"/>
            <w:vAlign w:val="center"/>
          </w:tcPr>
          <w:p>
            <w:pPr>
              <w:widowControl w:val="0"/>
              <w:contextualSpacing/>
              <w:jc w:val="center"/>
              <w:textAlignment w:val="baseline"/>
              <w:rPr>
                <w:color w:val="auto"/>
                <w:kern w:val="0"/>
              </w:rPr>
            </w:pPr>
          </w:p>
        </w:tc>
        <w:tc>
          <w:tcPr>
            <w:tcW w:w="1601" w:type="dxa"/>
            <w:vMerge w:val="restart"/>
            <w:vAlign w:val="center"/>
          </w:tcPr>
          <w:p>
            <w:pPr>
              <w:widowControl w:val="0"/>
              <w:contextualSpacing/>
              <w:jc w:val="center"/>
              <w:textAlignment w:val="baseline"/>
              <w:rPr>
                <w:color w:val="auto"/>
                <w:kern w:val="0"/>
              </w:rPr>
            </w:pPr>
            <w:r>
              <w:rPr>
                <w:color w:val="auto"/>
                <w:kern w:val="0"/>
              </w:rPr>
              <w:t>污染防治设施</w:t>
            </w:r>
          </w:p>
        </w:tc>
        <w:tc>
          <w:tcPr>
            <w:tcW w:w="1421"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1" w:type="dxa"/>
            <w:vAlign w:val="center"/>
          </w:tcPr>
          <w:p>
            <w:pPr>
              <w:widowControl w:val="0"/>
              <w:contextualSpacing/>
              <w:jc w:val="center"/>
              <w:textAlignment w:val="baseline"/>
              <w:rPr>
                <w:color w:val="auto"/>
                <w:kern w:val="0"/>
              </w:rPr>
            </w:pPr>
            <w:r>
              <w:rPr>
                <w:color w:val="auto"/>
                <w:kern w:val="0"/>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1239" w:type="dxa"/>
            <w:vAlign w:val="center"/>
          </w:tcPr>
          <w:p>
            <w:pPr>
              <w:widowControl w:val="0"/>
              <w:contextualSpacing/>
              <w:jc w:val="center"/>
              <w:textAlignment w:val="baseline"/>
              <w:rPr>
                <w:color w:val="auto"/>
                <w:kern w:val="0"/>
              </w:rPr>
            </w:pPr>
          </w:p>
        </w:tc>
        <w:tc>
          <w:tcPr>
            <w:tcW w:w="1601" w:type="dxa"/>
            <w:vMerge w:val="continue"/>
            <w:vAlign w:val="center"/>
          </w:tcPr>
          <w:p>
            <w:pPr>
              <w:widowControl w:val="0"/>
              <w:contextualSpacing/>
              <w:jc w:val="center"/>
              <w:textAlignment w:val="baseline"/>
              <w:rPr>
                <w:color w:val="auto"/>
                <w:kern w:val="0"/>
              </w:rPr>
            </w:pPr>
          </w:p>
        </w:tc>
        <w:tc>
          <w:tcPr>
            <w:tcW w:w="1421"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0" w:type="dxa"/>
            <w:vAlign w:val="center"/>
          </w:tcPr>
          <w:p>
            <w:pPr>
              <w:widowControl w:val="0"/>
              <w:contextualSpacing/>
              <w:jc w:val="center"/>
              <w:textAlignment w:val="baseline"/>
              <w:rPr>
                <w:color w:val="auto"/>
                <w:kern w:val="0"/>
              </w:rPr>
            </w:pPr>
            <w:r>
              <w:rPr>
                <w:color w:val="auto"/>
                <w:kern w:val="0"/>
              </w:rPr>
              <w:t>……</w:t>
            </w:r>
          </w:p>
        </w:tc>
        <w:tc>
          <w:tcPr>
            <w:tcW w:w="1421" w:type="dxa"/>
            <w:vAlign w:val="center"/>
          </w:tcPr>
          <w:p>
            <w:pPr>
              <w:widowControl w:val="0"/>
              <w:contextualSpacing/>
              <w:jc w:val="center"/>
              <w:textAlignment w:val="baseline"/>
              <w:rPr>
                <w:color w:val="auto"/>
                <w:kern w:val="0"/>
              </w:rPr>
            </w:pPr>
            <w:r>
              <w:rPr>
                <w:color w:val="auto"/>
                <w:kern w:val="0"/>
              </w:rPr>
              <w:t>……</w:t>
            </w:r>
          </w:p>
        </w:tc>
      </w:tr>
    </w:tbl>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49" w:name="_Toc112338982"/>
      <w:r>
        <w:rPr>
          <w:rFonts w:hint="eastAsia"/>
          <w:bCs w:val="0"/>
          <w:color w:val="auto"/>
          <w:kern w:val="0"/>
          <w:szCs w:val="20"/>
          <w:lang w:val="en-US"/>
        </w:rPr>
        <w:t>9.4工程概况及</w:t>
      </w:r>
      <w:r>
        <w:rPr>
          <w:bCs w:val="0"/>
          <w:color w:val="auto"/>
          <w:kern w:val="0"/>
          <w:szCs w:val="20"/>
          <w:lang w:val="en-US"/>
        </w:rPr>
        <w:t>信息公开</w:t>
      </w:r>
      <w:r>
        <w:rPr>
          <w:rFonts w:hint="eastAsia"/>
          <w:bCs w:val="0"/>
          <w:color w:val="auto"/>
          <w:kern w:val="0"/>
          <w:szCs w:val="20"/>
          <w:lang w:val="en-US"/>
        </w:rPr>
        <w:t>内容</w:t>
      </w:r>
      <w:bookmarkEnd w:id="449"/>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9.4.1 工程概况</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建设单位应该根据《环境影响评价公众参与办法》等要求，按时公开项目基本情况，如项目主要组成情况、项目产品方案、污染物产排及治理措施等情况。</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（1）项目概况</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河南中能锂动电源有限公司位于</w:t>
      </w:r>
      <w:r>
        <w:rPr>
          <w:color w:val="auto"/>
          <w:kern w:val="21"/>
          <w:sz w:val="24"/>
          <w:szCs w:val="20"/>
        </w:rPr>
        <w:t>获嘉县产业集聚区北区城东片区梧桐路安王线西北角</w:t>
      </w:r>
      <w:r>
        <w:rPr>
          <w:rFonts w:hint="eastAsia"/>
          <w:color w:val="auto"/>
          <w:kern w:val="0"/>
          <w:sz w:val="24"/>
          <w:szCs w:val="20"/>
        </w:rPr>
        <w:t>，</w:t>
      </w:r>
      <w:r>
        <w:rPr>
          <w:color w:val="auto"/>
          <w:kern w:val="21"/>
          <w:sz w:val="24"/>
          <w:szCs w:val="24"/>
        </w:rPr>
        <w:t>厂址中心坐标为东经113.710203881°，北纬35.267804278°。本项目四周环境为：</w:t>
      </w:r>
      <w:r>
        <w:rPr>
          <w:rFonts w:hint="eastAsia"/>
          <w:color w:val="auto"/>
          <w:kern w:val="21"/>
          <w:sz w:val="24"/>
          <w:szCs w:val="24"/>
        </w:rPr>
        <w:t>东临河南奔茨新能源有限公司和河南华圣曦铝业有限公司；西临获嘉县华夏建材有限公司；南临新乡沅嘉汽车制造有限公司及梧桐路，隔梧桐路为壹仓优品；北临邦力电器；东北276m为前李村，北侧740m为后李村。</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随着市场对</w:t>
      </w:r>
      <w:r>
        <w:rPr>
          <w:rFonts w:hint="eastAsia"/>
          <w:color w:val="auto"/>
          <w:kern w:val="0"/>
          <w:sz w:val="24"/>
          <w:szCs w:val="20"/>
        </w:rPr>
        <w:t>锂电池</w:t>
      </w:r>
      <w:r>
        <w:rPr>
          <w:color w:val="auto"/>
          <w:kern w:val="0"/>
          <w:sz w:val="24"/>
          <w:szCs w:val="20"/>
        </w:rPr>
        <w:t>的增加</w:t>
      </w:r>
      <w:r>
        <w:rPr>
          <w:rFonts w:hint="eastAsia"/>
          <w:color w:val="auto"/>
          <w:kern w:val="0"/>
          <w:sz w:val="24"/>
          <w:szCs w:val="20"/>
        </w:rPr>
        <w:t>，企业从长远考虑，拟投资56000万元建设“年产79.2198亿只电池配件项目”，即为本项目。</w:t>
      </w:r>
      <w:r>
        <w:rPr>
          <w:color w:val="auto"/>
          <w:kern w:val="0"/>
          <w:sz w:val="24"/>
          <w:szCs w:val="20"/>
        </w:rPr>
        <w:t>本项目工程组成等见表</w:t>
      </w:r>
      <w:r>
        <w:rPr>
          <w:rFonts w:hint="eastAsia"/>
          <w:color w:val="auto"/>
          <w:kern w:val="0"/>
          <w:sz w:val="24"/>
          <w:szCs w:val="20"/>
        </w:rPr>
        <w:t>9.4</w:t>
      </w:r>
      <w:r>
        <w:rPr>
          <w:color w:val="auto"/>
          <w:kern w:val="0"/>
          <w:sz w:val="24"/>
          <w:szCs w:val="20"/>
        </w:rPr>
        <w:t>-</w:t>
      </w:r>
      <w:r>
        <w:rPr>
          <w:rFonts w:hint="eastAsia"/>
          <w:color w:val="auto"/>
          <w:kern w:val="0"/>
          <w:sz w:val="24"/>
          <w:szCs w:val="20"/>
        </w:rPr>
        <w:t>1</w:t>
      </w:r>
      <w:r>
        <w:rPr>
          <w:color w:val="auto"/>
          <w:kern w:val="0"/>
          <w:sz w:val="24"/>
          <w:szCs w:val="20"/>
        </w:rPr>
        <w:t>，本项目</w:t>
      </w:r>
      <w:r>
        <w:rPr>
          <w:rFonts w:hint="eastAsia"/>
          <w:color w:val="auto"/>
          <w:kern w:val="0"/>
          <w:sz w:val="24"/>
          <w:szCs w:val="20"/>
        </w:rPr>
        <w:t>产品方案</w:t>
      </w:r>
      <w:r>
        <w:rPr>
          <w:color w:val="auto"/>
          <w:kern w:val="0"/>
          <w:sz w:val="24"/>
          <w:szCs w:val="20"/>
        </w:rPr>
        <w:t>见表</w:t>
      </w:r>
      <w:r>
        <w:rPr>
          <w:rFonts w:hint="eastAsia"/>
          <w:color w:val="auto"/>
          <w:kern w:val="0"/>
          <w:sz w:val="24"/>
          <w:szCs w:val="20"/>
        </w:rPr>
        <w:t>9.4</w:t>
      </w:r>
      <w:r>
        <w:rPr>
          <w:color w:val="auto"/>
          <w:kern w:val="0"/>
          <w:sz w:val="24"/>
          <w:szCs w:val="20"/>
        </w:rPr>
        <w:t>-</w:t>
      </w:r>
      <w:r>
        <w:rPr>
          <w:rFonts w:hint="eastAsia"/>
          <w:color w:val="auto"/>
          <w:kern w:val="0"/>
          <w:sz w:val="24"/>
          <w:szCs w:val="20"/>
        </w:rPr>
        <w:t>2</w:t>
      </w:r>
      <w:r>
        <w:rPr>
          <w:color w:val="auto"/>
          <w:kern w:val="0"/>
          <w:sz w:val="24"/>
          <w:szCs w:val="20"/>
        </w:rPr>
        <w:t>，项目所用原辅材料组分要求见表</w:t>
      </w:r>
      <w:r>
        <w:rPr>
          <w:rFonts w:hint="eastAsia"/>
          <w:color w:val="auto"/>
          <w:kern w:val="0"/>
          <w:sz w:val="24"/>
          <w:szCs w:val="20"/>
        </w:rPr>
        <w:t>9.4</w:t>
      </w:r>
      <w:r>
        <w:rPr>
          <w:color w:val="auto"/>
          <w:kern w:val="0"/>
          <w:sz w:val="24"/>
          <w:szCs w:val="20"/>
        </w:rPr>
        <w:t>-</w:t>
      </w:r>
      <w:r>
        <w:rPr>
          <w:rFonts w:hint="eastAsia"/>
          <w:color w:val="auto"/>
          <w:kern w:val="0"/>
          <w:sz w:val="24"/>
          <w:szCs w:val="20"/>
        </w:rPr>
        <w:t>3</w:t>
      </w:r>
      <w:r>
        <w:rPr>
          <w:color w:val="auto"/>
          <w:kern w:val="0"/>
          <w:sz w:val="24"/>
          <w:szCs w:val="20"/>
        </w:rPr>
        <w:t>，</w:t>
      </w:r>
    </w:p>
    <w:p>
      <w:pPr>
        <w:widowControl w:val="0"/>
        <w:tabs>
          <w:tab w:val="center" w:pos="4575"/>
          <w:tab w:val="left" w:pos="7365"/>
        </w:tabs>
        <w:jc w:val="center"/>
        <w:rPr>
          <w:rFonts w:ascii="黑体" w:hAnsi="黑体" w:eastAsia="黑体"/>
          <w:color w:val="auto"/>
          <w:sz w:val="24"/>
          <w:szCs w:val="22"/>
        </w:rPr>
      </w:pPr>
      <w:r>
        <w:rPr>
          <w:rFonts w:ascii="黑体" w:hAnsi="黑体" w:eastAsia="黑体"/>
          <w:color w:val="auto"/>
          <w:sz w:val="24"/>
          <w:szCs w:val="22"/>
        </w:rPr>
        <w:t>表</w:t>
      </w:r>
      <w:r>
        <w:rPr>
          <w:rFonts w:hint="eastAsia" w:ascii="黑体" w:hAnsi="黑体" w:eastAsia="黑体"/>
          <w:color w:val="auto"/>
          <w:sz w:val="24"/>
          <w:szCs w:val="22"/>
        </w:rPr>
        <w:t>9</w:t>
      </w:r>
      <w:r>
        <w:rPr>
          <w:rFonts w:ascii="黑体" w:hAnsi="黑体" w:eastAsia="黑体"/>
          <w:color w:val="auto"/>
          <w:sz w:val="24"/>
          <w:szCs w:val="22"/>
        </w:rPr>
        <w:t>.</w:t>
      </w:r>
      <w:r>
        <w:rPr>
          <w:rFonts w:hint="eastAsia" w:ascii="黑体" w:hAnsi="黑体" w:eastAsia="黑体"/>
          <w:color w:val="auto"/>
          <w:sz w:val="24"/>
          <w:szCs w:val="22"/>
        </w:rPr>
        <w:t>4</w:t>
      </w:r>
      <w:r>
        <w:rPr>
          <w:rFonts w:ascii="黑体" w:hAnsi="黑体" w:eastAsia="黑体"/>
          <w:color w:val="auto"/>
          <w:sz w:val="24"/>
          <w:szCs w:val="22"/>
        </w:rPr>
        <w:t>-1  本项目</w:t>
      </w:r>
      <w:r>
        <w:rPr>
          <w:rFonts w:hint="eastAsia" w:ascii="黑体" w:hAnsi="黑体" w:eastAsia="黑体"/>
          <w:color w:val="auto"/>
          <w:sz w:val="24"/>
          <w:szCs w:val="22"/>
        </w:rPr>
        <w:t>工程组成</w:t>
      </w:r>
      <w:r>
        <w:rPr>
          <w:rFonts w:ascii="黑体" w:hAnsi="黑体" w:eastAsia="黑体"/>
          <w:color w:val="auto"/>
          <w:sz w:val="24"/>
          <w:szCs w:val="22"/>
        </w:rPr>
        <w:t>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080"/>
        <w:gridCol w:w="1515"/>
        <w:gridCol w:w="2999"/>
        <w:gridCol w:w="2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Align w:val="center"/>
          </w:tcPr>
          <w:p>
            <w:pPr>
              <w:adjustRightInd w:val="0"/>
              <w:snapToGrid w:val="0"/>
              <w:jc w:val="center"/>
              <w:rPr>
                <w:b/>
                <w:bCs/>
                <w:snapToGrid w:val="0"/>
                <w:color w:val="auto"/>
                <w:kern w:val="21"/>
              </w:rPr>
            </w:pPr>
            <w:r>
              <w:rPr>
                <w:b/>
                <w:bCs/>
                <w:snapToGrid w:val="0"/>
                <w:color w:val="auto"/>
                <w:kern w:val="21"/>
              </w:rPr>
              <w:t>序号</w:t>
            </w:r>
          </w:p>
        </w:tc>
        <w:tc>
          <w:tcPr>
            <w:tcW w:w="1080" w:type="dxa"/>
            <w:vAlign w:val="center"/>
          </w:tcPr>
          <w:p>
            <w:pPr>
              <w:adjustRightInd w:val="0"/>
              <w:snapToGrid w:val="0"/>
              <w:jc w:val="center"/>
              <w:rPr>
                <w:b/>
                <w:bCs/>
                <w:snapToGrid w:val="0"/>
                <w:color w:val="auto"/>
                <w:kern w:val="21"/>
              </w:rPr>
            </w:pPr>
            <w:r>
              <w:rPr>
                <w:b/>
                <w:bCs/>
                <w:snapToGrid w:val="0"/>
                <w:color w:val="auto"/>
                <w:kern w:val="21"/>
              </w:rPr>
              <w:t>工程名称</w:t>
            </w:r>
          </w:p>
        </w:tc>
        <w:tc>
          <w:tcPr>
            <w:tcW w:w="1515" w:type="dxa"/>
            <w:vAlign w:val="center"/>
          </w:tcPr>
          <w:p>
            <w:pPr>
              <w:adjustRightInd w:val="0"/>
              <w:snapToGrid w:val="0"/>
              <w:jc w:val="center"/>
              <w:rPr>
                <w:b/>
                <w:bCs/>
                <w:snapToGrid w:val="0"/>
                <w:color w:val="auto"/>
                <w:kern w:val="21"/>
              </w:rPr>
            </w:pPr>
            <w:r>
              <w:rPr>
                <w:b/>
                <w:bCs/>
                <w:snapToGrid w:val="0"/>
                <w:color w:val="auto"/>
                <w:kern w:val="21"/>
              </w:rPr>
              <w:t>主要工程内容</w:t>
            </w:r>
          </w:p>
        </w:tc>
        <w:tc>
          <w:tcPr>
            <w:tcW w:w="5238" w:type="dxa"/>
            <w:gridSpan w:val="2"/>
            <w:vAlign w:val="center"/>
          </w:tcPr>
          <w:p>
            <w:pPr>
              <w:adjustRightInd w:val="0"/>
              <w:snapToGrid w:val="0"/>
              <w:jc w:val="center"/>
              <w:rPr>
                <w:b/>
                <w:bCs/>
                <w:snapToGrid w:val="0"/>
                <w:color w:val="auto"/>
                <w:kern w:val="21"/>
              </w:rPr>
            </w:pPr>
            <w:r>
              <w:rPr>
                <w:b/>
                <w:bCs/>
                <w:snapToGrid w:val="0"/>
                <w:color w:val="auto"/>
                <w:kern w:val="21"/>
              </w:rPr>
              <w:t>建设规模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snapToGrid w:val="0"/>
                <w:color w:val="auto"/>
                <w:kern w:val="21"/>
              </w:rPr>
              <w:t>1</w:t>
            </w:r>
          </w:p>
        </w:tc>
        <w:tc>
          <w:tcPr>
            <w:tcW w:w="1080" w:type="dxa"/>
            <w:vMerge w:val="restart"/>
            <w:vAlign w:val="center"/>
          </w:tcPr>
          <w:p>
            <w:pPr>
              <w:adjustRightInd w:val="0"/>
              <w:snapToGrid w:val="0"/>
              <w:jc w:val="center"/>
              <w:rPr>
                <w:snapToGrid w:val="0"/>
                <w:color w:val="auto"/>
                <w:kern w:val="21"/>
              </w:rPr>
            </w:pPr>
            <w:r>
              <w:rPr>
                <w:snapToGrid w:val="0"/>
                <w:color w:val="auto"/>
                <w:kern w:val="21"/>
              </w:rPr>
              <w:t>主体工程</w:t>
            </w:r>
          </w:p>
        </w:tc>
        <w:tc>
          <w:tcPr>
            <w:tcW w:w="1515" w:type="dxa"/>
            <w:vAlign w:val="center"/>
          </w:tcPr>
          <w:p>
            <w:pPr>
              <w:adjustRightInd w:val="0"/>
              <w:snapToGrid w:val="0"/>
              <w:jc w:val="center"/>
              <w:rPr>
                <w:snapToGrid w:val="0"/>
                <w:color w:val="auto"/>
                <w:kern w:val="21"/>
              </w:rPr>
            </w:pPr>
            <w:r>
              <w:rPr>
                <w:snapToGrid w:val="0"/>
                <w:color w:val="auto"/>
                <w:kern w:val="21"/>
              </w:rPr>
              <w:t>北厂房</w:t>
            </w:r>
          </w:p>
        </w:tc>
        <w:tc>
          <w:tcPr>
            <w:tcW w:w="5238" w:type="dxa"/>
            <w:gridSpan w:val="2"/>
            <w:vAlign w:val="center"/>
          </w:tcPr>
          <w:p>
            <w:pPr>
              <w:adjustRightInd w:val="0"/>
              <w:snapToGrid w:val="0"/>
              <w:rPr>
                <w:snapToGrid w:val="0"/>
                <w:color w:val="auto"/>
                <w:kern w:val="21"/>
              </w:rPr>
            </w:pPr>
            <w:r>
              <w:rPr>
                <w:color w:val="auto"/>
                <w:kern w:val="21"/>
              </w:rPr>
              <w:t>1层建筑，高</w:t>
            </w:r>
            <w:r>
              <w:rPr>
                <w:rFonts w:hint="eastAsia"/>
                <w:color w:val="auto"/>
                <w:kern w:val="21"/>
              </w:rPr>
              <w:t>12</w:t>
            </w:r>
            <w:r>
              <w:rPr>
                <w:color w:val="auto"/>
                <w:kern w:val="21"/>
              </w:rPr>
              <w:t>m，建筑面积为</w:t>
            </w:r>
            <w:r>
              <w:rPr>
                <w:snapToGrid w:val="0"/>
                <w:color w:val="auto"/>
                <w:kern w:val="21"/>
              </w:rPr>
              <w:t>1</w:t>
            </w:r>
            <w:r>
              <w:rPr>
                <w:rFonts w:hint="eastAsia"/>
                <w:snapToGrid w:val="0"/>
                <w:color w:val="auto"/>
                <w:kern w:val="21"/>
              </w:rPr>
              <w:t>3300</w:t>
            </w:r>
            <w:r>
              <w:rPr>
                <w:snapToGrid w:val="0"/>
                <w:color w:val="auto"/>
                <w:kern w:val="21"/>
              </w:rPr>
              <w:t>m</w:t>
            </w:r>
            <w:r>
              <w:rPr>
                <w:snapToGrid w:val="0"/>
                <w:color w:val="auto"/>
                <w:kern w:val="21"/>
                <w:vertAlign w:val="superscript"/>
              </w:rPr>
              <w:t>2</w:t>
            </w:r>
            <w:r>
              <w:rPr>
                <w:color w:val="auto"/>
                <w:kern w:val="21"/>
              </w:rPr>
              <w:t>，内设</w:t>
            </w:r>
            <w:r>
              <w:rPr>
                <w:rFonts w:hint="eastAsia"/>
                <w:color w:val="auto"/>
                <w:kern w:val="21"/>
              </w:rPr>
              <w:t>10条生产线，分别为6条电池壳镀镍线（200万只/天）、3条盖帽镀镍线（400万只/天），1条电池箱镀锌线（6000个/天），两台燃气锅炉位于厂房西侧，酸雾废气治理设施位于生产线西侧。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南厂房</w:t>
            </w:r>
          </w:p>
        </w:tc>
        <w:tc>
          <w:tcPr>
            <w:tcW w:w="5238" w:type="dxa"/>
            <w:gridSpan w:val="2"/>
            <w:vAlign w:val="center"/>
          </w:tcPr>
          <w:p>
            <w:pPr>
              <w:adjustRightInd w:val="0"/>
              <w:snapToGrid w:val="0"/>
              <w:rPr>
                <w:snapToGrid w:val="0"/>
                <w:color w:val="auto"/>
                <w:kern w:val="21"/>
              </w:rPr>
            </w:pPr>
            <w:r>
              <w:rPr>
                <w:rFonts w:hint="eastAsia"/>
                <w:color w:val="auto"/>
                <w:kern w:val="21"/>
              </w:rPr>
              <w:t>1</w:t>
            </w:r>
            <w:r>
              <w:rPr>
                <w:color w:val="auto"/>
                <w:kern w:val="21"/>
              </w:rPr>
              <w:t>层建筑，高</w:t>
            </w:r>
            <w:r>
              <w:rPr>
                <w:rFonts w:hint="eastAsia"/>
                <w:color w:val="auto"/>
                <w:kern w:val="21"/>
              </w:rPr>
              <w:t>12</w:t>
            </w:r>
            <w:r>
              <w:rPr>
                <w:color w:val="auto"/>
                <w:kern w:val="21"/>
              </w:rPr>
              <w:t>m，建筑面积为</w:t>
            </w:r>
            <w:r>
              <w:rPr>
                <w:rFonts w:hint="eastAsia"/>
                <w:snapToGrid w:val="0"/>
                <w:color w:val="auto"/>
                <w:kern w:val="21"/>
              </w:rPr>
              <w:t>7400</w:t>
            </w:r>
            <w:r>
              <w:rPr>
                <w:snapToGrid w:val="0"/>
                <w:color w:val="auto"/>
                <w:kern w:val="21"/>
              </w:rPr>
              <w:t>m</w:t>
            </w:r>
            <w:r>
              <w:rPr>
                <w:snapToGrid w:val="0"/>
                <w:color w:val="auto"/>
                <w:kern w:val="21"/>
                <w:vertAlign w:val="superscript"/>
              </w:rPr>
              <w:t>2</w:t>
            </w:r>
            <w:r>
              <w:rPr>
                <w:color w:val="auto"/>
                <w:kern w:val="21"/>
              </w:rPr>
              <w:t>，用于机加工，内设钢壳冲床区（</w:t>
            </w:r>
            <w:r>
              <w:rPr>
                <w:rFonts w:hint="eastAsia"/>
                <w:color w:val="auto"/>
                <w:kern w:val="21"/>
              </w:rPr>
              <w:t>105台钢壳冲床（11.5万只/天/台）</w:t>
            </w:r>
            <w:r>
              <w:rPr>
                <w:color w:val="auto"/>
                <w:kern w:val="21"/>
              </w:rPr>
              <w:t>）</w:t>
            </w:r>
            <w:r>
              <w:rPr>
                <w:rFonts w:hint="eastAsia"/>
                <w:color w:val="auto"/>
                <w:kern w:val="21"/>
              </w:rPr>
              <w:t>、盖帽冲床区（30台盖帽冲床（40.3万只/天/台</w:t>
            </w:r>
            <w:r>
              <w:rPr>
                <w:color w:val="auto"/>
                <w:kern w:val="21"/>
              </w:rPr>
              <w:t>）</w:t>
            </w:r>
            <w:r>
              <w:rPr>
                <w:rFonts w:hint="eastAsia"/>
                <w:color w:val="auto"/>
                <w:kern w:val="21"/>
              </w:rPr>
              <w:t>）、电池箱加工区（4台数控平开下料机、10台折弯机、20台电焊机）</w:t>
            </w:r>
            <w:r>
              <w:rPr>
                <w:color w:val="auto"/>
                <w:kern w:val="21"/>
              </w:rPr>
              <w:t>、</w:t>
            </w:r>
            <w:r>
              <w:rPr>
                <w:rFonts w:hint="eastAsia"/>
                <w:color w:val="auto"/>
                <w:kern w:val="21"/>
              </w:rPr>
              <w:t>4台模修车床。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Align w:val="center"/>
          </w:tcPr>
          <w:p>
            <w:pPr>
              <w:adjustRightInd w:val="0"/>
              <w:snapToGrid w:val="0"/>
              <w:jc w:val="center"/>
              <w:rPr>
                <w:snapToGrid w:val="0"/>
                <w:color w:val="auto"/>
                <w:kern w:val="21"/>
              </w:rPr>
            </w:pPr>
            <w:r>
              <w:rPr>
                <w:snapToGrid w:val="0"/>
                <w:color w:val="auto"/>
                <w:kern w:val="21"/>
              </w:rPr>
              <w:t>2</w:t>
            </w:r>
          </w:p>
        </w:tc>
        <w:tc>
          <w:tcPr>
            <w:tcW w:w="1080" w:type="dxa"/>
            <w:vAlign w:val="center"/>
          </w:tcPr>
          <w:p>
            <w:pPr>
              <w:adjustRightInd w:val="0"/>
              <w:snapToGrid w:val="0"/>
              <w:jc w:val="center"/>
              <w:rPr>
                <w:snapToGrid w:val="0"/>
                <w:color w:val="auto"/>
                <w:kern w:val="21"/>
              </w:rPr>
            </w:pPr>
            <w:r>
              <w:rPr>
                <w:snapToGrid w:val="0"/>
                <w:color w:val="auto"/>
                <w:kern w:val="21"/>
              </w:rPr>
              <w:t>辅助工程</w:t>
            </w:r>
          </w:p>
        </w:tc>
        <w:tc>
          <w:tcPr>
            <w:tcW w:w="1515" w:type="dxa"/>
            <w:vAlign w:val="center"/>
          </w:tcPr>
          <w:p>
            <w:pPr>
              <w:adjustRightInd w:val="0"/>
              <w:snapToGrid w:val="0"/>
              <w:jc w:val="center"/>
              <w:rPr>
                <w:snapToGrid w:val="0"/>
                <w:color w:val="auto"/>
                <w:kern w:val="21"/>
              </w:rPr>
            </w:pPr>
            <w:r>
              <w:rPr>
                <w:snapToGrid w:val="0"/>
                <w:color w:val="auto"/>
                <w:kern w:val="21"/>
              </w:rPr>
              <w:t>办公楼</w:t>
            </w:r>
          </w:p>
        </w:tc>
        <w:tc>
          <w:tcPr>
            <w:tcW w:w="5238" w:type="dxa"/>
            <w:gridSpan w:val="2"/>
            <w:vAlign w:val="center"/>
          </w:tcPr>
          <w:p>
            <w:pPr>
              <w:adjustRightInd w:val="0"/>
              <w:snapToGrid w:val="0"/>
              <w:rPr>
                <w:color w:val="auto"/>
                <w:kern w:val="21"/>
              </w:rPr>
            </w:pPr>
            <w:r>
              <w:rPr>
                <w:color w:val="auto"/>
                <w:kern w:val="21"/>
              </w:rPr>
              <w:t>依托河南奔茨新能源有限公司现有办公楼，位于生产区的东侧，不提供宿舍及食堂。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3</w:t>
            </w:r>
          </w:p>
        </w:tc>
        <w:tc>
          <w:tcPr>
            <w:tcW w:w="1080" w:type="dxa"/>
            <w:vMerge w:val="restart"/>
            <w:vAlign w:val="center"/>
          </w:tcPr>
          <w:p>
            <w:pPr>
              <w:adjustRightInd w:val="0"/>
              <w:snapToGrid w:val="0"/>
              <w:jc w:val="center"/>
              <w:rPr>
                <w:snapToGrid w:val="0"/>
                <w:color w:val="auto"/>
                <w:kern w:val="21"/>
              </w:rPr>
            </w:pPr>
            <w:r>
              <w:rPr>
                <w:snapToGrid w:val="0"/>
                <w:color w:val="auto"/>
                <w:kern w:val="21"/>
              </w:rPr>
              <w:t>公用工程</w:t>
            </w:r>
          </w:p>
        </w:tc>
        <w:tc>
          <w:tcPr>
            <w:tcW w:w="1515" w:type="dxa"/>
            <w:vAlign w:val="center"/>
          </w:tcPr>
          <w:p>
            <w:pPr>
              <w:adjustRightInd w:val="0"/>
              <w:snapToGrid w:val="0"/>
              <w:jc w:val="center"/>
              <w:rPr>
                <w:snapToGrid w:val="0"/>
                <w:color w:val="auto"/>
                <w:kern w:val="21"/>
              </w:rPr>
            </w:pPr>
            <w:r>
              <w:rPr>
                <w:snapToGrid w:val="0"/>
                <w:color w:val="auto"/>
                <w:kern w:val="21"/>
              </w:rPr>
              <w:t>供热</w:t>
            </w:r>
          </w:p>
        </w:tc>
        <w:tc>
          <w:tcPr>
            <w:tcW w:w="5238" w:type="dxa"/>
            <w:gridSpan w:val="2"/>
            <w:vAlign w:val="center"/>
          </w:tcPr>
          <w:p>
            <w:pPr>
              <w:adjustRightInd w:val="0"/>
              <w:snapToGrid w:val="0"/>
              <w:rPr>
                <w:color w:val="auto"/>
                <w:kern w:val="21"/>
              </w:rPr>
            </w:pPr>
            <w:r>
              <w:rPr>
                <w:color w:val="auto"/>
                <w:kern w:val="21"/>
              </w:rPr>
              <w:t>项目工业供热由</w:t>
            </w:r>
            <w:r>
              <w:rPr>
                <w:rFonts w:hint="eastAsia"/>
                <w:color w:val="auto"/>
                <w:kern w:val="21"/>
              </w:rPr>
              <w:t>1</w:t>
            </w:r>
            <w:r>
              <w:rPr>
                <w:color w:val="auto"/>
                <w:kern w:val="21"/>
              </w:rPr>
              <w:t>台</w:t>
            </w:r>
            <w:r>
              <w:rPr>
                <w:rFonts w:hint="eastAsia"/>
                <w:color w:val="auto"/>
                <w:kern w:val="21"/>
              </w:rPr>
              <w:t>4t/h和1台6t/h燃气锅炉供给。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天然气</w:t>
            </w:r>
          </w:p>
        </w:tc>
        <w:tc>
          <w:tcPr>
            <w:tcW w:w="5238" w:type="dxa"/>
            <w:gridSpan w:val="2"/>
            <w:vAlign w:val="center"/>
          </w:tcPr>
          <w:p>
            <w:pPr>
              <w:adjustRightInd w:val="0"/>
              <w:snapToGrid w:val="0"/>
              <w:rPr>
                <w:color w:val="auto"/>
                <w:kern w:val="21"/>
              </w:rPr>
            </w:pPr>
            <w:r>
              <w:rPr>
                <w:rFonts w:hint="eastAsia"/>
                <w:color w:val="auto"/>
              </w:rPr>
              <w:t>西气东输获嘉分输站。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排水</w:t>
            </w:r>
          </w:p>
        </w:tc>
        <w:tc>
          <w:tcPr>
            <w:tcW w:w="5238" w:type="dxa"/>
            <w:gridSpan w:val="2"/>
            <w:vAlign w:val="center"/>
          </w:tcPr>
          <w:p>
            <w:pPr>
              <w:adjustRightInd w:val="0"/>
              <w:snapToGrid w:val="0"/>
              <w:rPr>
                <w:rFonts w:hint="eastAsia" w:eastAsia="宋体"/>
                <w:color w:val="auto"/>
                <w:kern w:val="21"/>
                <w:lang w:eastAsia="zh-CN"/>
              </w:rPr>
            </w:pPr>
            <w:r>
              <w:rPr>
                <w:rFonts w:hint="eastAsia"/>
                <w:color w:val="auto"/>
                <w:kern w:val="21"/>
              </w:rPr>
              <w:t>所有生产线废水（包含地面清洗废水）经处理后全部回用于生产线，不外排，污染物最终通过污泥及结晶盐形式委外处理，实现含重金属废水零排放。浓水及生活污水排入同盟污水处理厂</w:t>
            </w:r>
            <w:r>
              <w:rPr>
                <w:rFonts w:hint="eastAsia"/>
                <w:color w:val="auto"/>
                <w:kern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4</w:t>
            </w:r>
          </w:p>
        </w:tc>
        <w:tc>
          <w:tcPr>
            <w:tcW w:w="1080" w:type="dxa"/>
            <w:vMerge w:val="restart"/>
            <w:vAlign w:val="center"/>
          </w:tcPr>
          <w:p>
            <w:pPr>
              <w:adjustRightInd w:val="0"/>
              <w:snapToGrid w:val="0"/>
              <w:jc w:val="center"/>
              <w:rPr>
                <w:snapToGrid w:val="0"/>
                <w:color w:val="auto"/>
                <w:kern w:val="21"/>
              </w:rPr>
            </w:pPr>
            <w:r>
              <w:rPr>
                <w:snapToGrid w:val="0"/>
                <w:color w:val="auto"/>
                <w:kern w:val="21"/>
              </w:rPr>
              <w:t>储运工程</w:t>
            </w:r>
          </w:p>
        </w:tc>
        <w:tc>
          <w:tcPr>
            <w:tcW w:w="1515" w:type="dxa"/>
            <w:vAlign w:val="center"/>
          </w:tcPr>
          <w:p>
            <w:pPr>
              <w:adjustRightInd w:val="0"/>
              <w:snapToGrid w:val="0"/>
              <w:jc w:val="center"/>
              <w:rPr>
                <w:snapToGrid w:val="0"/>
                <w:color w:val="auto"/>
                <w:kern w:val="21"/>
              </w:rPr>
            </w:pPr>
            <w:r>
              <w:rPr>
                <w:snapToGrid w:val="0"/>
                <w:color w:val="auto"/>
                <w:kern w:val="21"/>
              </w:rPr>
              <w:t>原料区</w:t>
            </w:r>
          </w:p>
        </w:tc>
        <w:tc>
          <w:tcPr>
            <w:tcW w:w="5238" w:type="dxa"/>
            <w:gridSpan w:val="2"/>
            <w:vAlign w:val="center"/>
          </w:tcPr>
          <w:p>
            <w:pPr>
              <w:adjustRightInd w:val="0"/>
              <w:snapToGrid w:val="0"/>
              <w:rPr>
                <w:color w:val="auto"/>
                <w:kern w:val="21"/>
              </w:rPr>
            </w:pPr>
            <w:r>
              <w:rPr>
                <w:color w:val="auto"/>
                <w:kern w:val="21"/>
              </w:rPr>
              <w:t>北侧厂房：北侧厂房设置封闭的电镀线原料区（专库），位于车间东部，占地</w:t>
            </w:r>
            <w:r>
              <w:rPr>
                <w:rFonts w:hint="eastAsia"/>
                <w:color w:val="auto"/>
                <w:kern w:val="21"/>
              </w:rPr>
              <w:t>900m</w:t>
            </w:r>
            <w:r>
              <w:rPr>
                <w:rFonts w:hint="eastAsia"/>
                <w:color w:val="auto"/>
                <w:kern w:val="21"/>
                <w:vertAlign w:val="superscript"/>
              </w:rPr>
              <w:t>2</w:t>
            </w:r>
            <w:r>
              <w:rPr>
                <w:rFonts w:hint="eastAsia"/>
                <w:color w:val="auto"/>
                <w:kern w:val="21"/>
              </w:rPr>
              <w:t>，用于储存镍板、锌板、盐酸、硫酸、添加剂等电镀线所需原料。</w:t>
            </w:r>
          </w:p>
          <w:p>
            <w:pPr>
              <w:adjustRightInd w:val="0"/>
              <w:snapToGrid w:val="0"/>
              <w:rPr>
                <w:color w:val="auto"/>
                <w:kern w:val="21"/>
              </w:rPr>
            </w:pPr>
            <w:r>
              <w:rPr>
                <w:color w:val="auto"/>
                <w:kern w:val="21"/>
              </w:rPr>
              <w:t>南侧厂房：南侧厂房南部设置原料储区，占地面积</w:t>
            </w:r>
            <w:r>
              <w:rPr>
                <w:rFonts w:hint="eastAsia"/>
                <w:color w:val="auto"/>
                <w:kern w:val="21"/>
              </w:rPr>
              <w:t>1100m</w:t>
            </w:r>
            <w:r>
              <w:rPr>
                <w:rFonts w:hint="eastAsia"/>
                <w:color w:val="auto"/>
                <w:kern w:val="21"/>
                <w:vertAlign w:val="superscript"/>
              </w:rPr>
              <w:t>2</w:t>
            </w:r>
            <w:r>
              <w:rPr>
                <w:rFonts w:hint="eastAsia"/>
                <w:color w:val="auto"/>
                <w:kern w:val="21"/>
              </w:rPr>
              <w:t>，用于储存带钢。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半成品区</w:t>
            </w:r>
          </w:p>
        </w:tc>
        <w:tc>
          <w:tcPr>
            <w:tcW w:w="5238" w:type="dxa"/>
            <w:gridSpan w:val="2"/>
            <w:vAlign w:val="center"/>
          </w:tcPr>
          <w:p>
            <w:pPr>
              <w:adjustRightInd w:val="0"/>
              <w:snapToGrid w:val="0"/>
              <w:rPr>
                <w:color w:val="auto"/>
                <w:kern w:val="21"/>
              </w:rPr>
            </w:pPr>
            <w:r>
              <w:rPr>
                <w:color w:val="auto"/>
                <w:kern w:val="21"/>
              </w:rPr>
              <w:t>半成品为机加工完成的钢壳、盖帽及电池箱。</w:t>
            </w:r>
          </w:p>
          <w:p>
            <w:pPr>
              <w:adjustRightInd w:val="0"/>
              <w:snapToGrid w:val="0"/>
              <w:rPr>
                <w:color w:val="auto"/>
                <w:kern w:val="21"/>
              </w:rPr>
            </w:pPr>
            <w:r>
              <w:rPr>
                <w:rFonts w:hint="eastAsia"/>
                <w:color w:val="auto"/>
                <w:kern w:val="21"/>
              </w:rPr>
              <w:t>南厂房设置半成品区，占地2000m</w:t>
            </w:r>
            <w:r>
              <w:rPr>
                <w:rFonts w:hint="eastAsia"/>
                <w:color w:val="auto"/>
                <w:kern w:val="21"/>
                <w:vertAlign w:val="superscript"/>
              </w:rPr>
              <w:t>2</w:t>
            </w:r>
            <w:r>
              <w:rPr>
                <w:rFonts w:hint="eastAsia"/>
                <w:color w:val="auto"/>
                <w:kern w:val="21"/>
              </w:rPr>
              <w:t>。电镀线采用架空布置，架空层下可存放待镀的半成品。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成品区</w:t>
            </w:r>
          </w:p>
        </w:tc>
        <w:tc>
          <w:tcPr>
            <w:tcW w:w="5238" w:type="dxa"/>
            <w:gridSpan w:val="2"/>
            <w:vAlign w:val="center"/>
          </w:tcPr>
          <w:p>
            <w:pPr>
              <w:adjustRightInd w:val="0"/>
              <w:snapToGrid w:val="0"/>
              <w:rPr>
                <w:color w:val="auto"/>
                <w:kern w:val="21"/>
              </w:rPr>
            </w:pPr>
            <w:r>
              <w:rPr>
                <w:rFonts w:hint="eastAsia"/>
                <w:color w:val="auto"/>
                <w:kern w:val="21"/>
              </w:rPr>
              <w:t>北厂房设置包装区，布置8台包装机，占地230m</w:t>
            </w:r>
            <w:r>
              <w:rPr>
                <w:rFonts w:hint="eastAsia"/>
                <w:color w:val="auto"/>
                <w:kern w:val="21"/>
                <w:vertAlign w:val="superscript"/>
              </w:rPr>
              <w:t>2</w:t>
            </w:r>
            <w:r>
              <w:rPr>
                <w:rFonts w:hint="eastAsia"/>
                <w:color w:val="auto"/>
                <w:kern w:val="21"/>
              </w:rPr>
              <w:t>。</w:t>
            </w:r>
          </w:p>
          <w:p>
            <w:pPr>
              <w:adjustRightInd w:val="0"/>
              <w:snapToGrid w:val="0"/>
              <w:rPr>
                <w:color w:val="auto"/>
                <w:kern w:val="21"/>
              </w:rPr>
            </w:pPr>
            <w:r>
              <w:rPr>
                <w:color w:val="auto"/>
                <w:kern w:val="21"/>
              </w:rPr>
              <w:t>成品区位于北侧厂房南部，占地</w:t>
            </w:r>
            <w:r>
              <w:rPr>
                <w:rFonts w:hint="eastAsia"/>
                <w:color w:val="auto"/>
                <w:kern w:val="21"/>
              </w:rPr>
              <w:t>2500m</w:t>
            </w:r>
            <w:r>
              <w:rPr>
                <w:rFonts w:hint="eastAsia"/>
                <w:color w:val="auto"/>
                <w:kern w:val="21"/>
                <w:vertAlign w:val="superscript"/>
              </w:rPr>
              <w:t>2</w:t>
            </w:r>
            <w:r>
              <w:rPr>
                <w:rFonts w:hint="eastAsia"/>
                <w:color w:val="auto"/>
                <w:kern w:val="21"/>
              </w:rPr>
              <w:t>；</w:t>
            </w:r>
            <w:r>
              <w:rPr>
                <w:color w:val="auto"/>
                <w:kern w:val="21"/>
              </w:rPr>
              <w:t xml:space="preserve"> </w:t>
            </w:r>
            <w:r>
              <w:rPr>
                <w:rFonts w:hint="eastAsia"/>
                <w:color w:val="auto"/>
                <w:kern w:val="21"/>
              </w:rPr>
              <w:t>电镀线采用架空布置，架空层下可存放电镀成品。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5</w:t>
            </w:r>
          </w:p>
        </w:tc>
        <w:tc>
          <w:tcPr>
            <w:tcW w:w="1080" w:type="dxa"/>
            <w:vMerge w:val="restart"/>
            <w:vAlign w:val="center"/>
          </w:tcPr>
          <w:p>
            <w:pPr>
              <w:adjustRightInd w:val="0"/>
              <w:snapToGrid w:val="0"/>
              <w:jc w:val="center"/>
              <w:rPr>
                <w:snapToGrid w:val="0"/>
                <w:color w:val="auto"/>
                <w:kern w:val="21"/>
              </w:rPr>
            </w:pPr>
            <w:r>
              <w:rPr>
                <w:snapToGrid w:val="0"/>
                <w:color w:val="auto"/>
                <w:kern w:val="21"/>
              </w:rPr>
              <w:t>依托工程</w:t>
            </w:r>
          </w:p>
        </w:tc>
        <w:tc>
          <w:tcPr>
            <w:tcW w:w="1515" w:type="dxa"/>
            <w:vAlign w:val="center"/>
          </w:tcPr>
          <w:p>
            <w:pPr>
              <w:adjustRightInd w:val="0"/>
              <w:snapToGrid w:val="0"/>
              <w:jc w:val="center"/>
              <w:rPr>
                <w:snapToGrid w:val="0"/>
                <w:color w:val="auto"/>
                <w:kern w:val="21"/>
              </w:rPr>
            </w:pPr>
            <w:r>
              <w:rPr>
                <w:snapToGrid w:val="0"/>
                <w:color w:val="auto"/>
                <w:kern w:val="21"/>
              </w:rPr>
              <w:t>配电</w:t>
            </w:r>
          </w:p>
        </w:tc>
        <w:tc>
          <w:tcPr>
            <w:tcW w:w="5238" w:type="dxa"/>
            <w:gridSpan w:val="2"/>
            <w:vAlign w:val="center"/>
          </w:tcPr>
          <w:p>
            <w:pPr>
              <w:adjustRightInd w:val="0"/>
              <w:snapToGrid w:val="0"/>
              <w:rPr>
                <w:color w:val="auto"/>
                <w:kern w:val="21"/>
              </w:rPr>
            </w:pPr>
            <w:r>
              <w:rPr>
                <w:color w:val="auto"/>
                <w:kern w:val="21"/>
              </w:rPr>
              <w:t>项目依托河南奔茨新能源有限公司现有两台变电站，一台</w:t>
            </w:r>
            <w:r>
              <w:rPr>
                <w:rFonts w:hint="eastAsia"/>
                <w:color w:val="auto"/>
                <w:kern w:val="21"/>
              </w:rPr>
              <w:t>1000KVA、</w:t>
            </w:r>
            <w:r>
              <w:rPr>
                <w:color w:val="auto"/>
                <w:kern w:val="21"/>
              </w:rPr>
              <w:t>一台</w:t>
            </w:r>
            <w:r>
              <w:rPr>
                <w:rFonts w:hint="eastAsia"/>
                <w:color w:val="auto"/>
                <w:kern w:val="21"/>
              </w:rPr>
              <w:t>500KVA。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snapToGrid w:val="0"/>
                <w:color w:val="auto"/>
                <w:kern w:val="21"/>
              </w:rPr>
              <w:t>供水</w:t>
            </w:r>
          </w:p>
        </w:tc>
        <w:tc>
          <w:tcPr>
            <w:tcW w:w="5238" w:type="dxa"/>
            <w:gridSpan w:val="2"/>
            <w:vAlign w:val="center"/>
          </w:tcPr>
          <w:p>
            <w:pPr>
              <w:adjustRightInd w:val="0"/>
              <w:snapToGrid w:val="0"/>
              <w:rPr>
                <w:color w:val="auto"/>
                <w:kern w:val="21"/>
              </w:rPr>
            </w:pPr>
            <w:r>
              <w:rPr>
                <w:color w:val="auto"/>
                <w:kern w:val="21"/>
              </w:rPr>
              <w:t>项目供水依托河南奔茨新能源有限公司现有供水管网，由市政供给。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restart"/>
            <w:vAlign w:val="center"/>
          </w:tcPr>
          <w:p>
            <w:pPr>
              <w:adjustRightInd w:val="0"/>
              <w:snapToGrid w:val="0"/>
              <w:jc w:val="center"/>
              <w:rPr>
                <w:snapToGrid w:val="0"/>
                <w:color w:val="auto"/>
                <w:kern w:val="21"/>
              </w:rPr>
            </w:pPr>
            <w:r>
              <w:rPr>
                <w:rFonts w:hint="eastAsia"/>
                <w:snapToGrid w:val="0"/>
                <w:color w:val="auto"/>
                <w:kern w:val="21"/>
              </w:rPr>
              <w:t>6</w:t>
            </w:r>
          </w:p>
        </w:tc>
        <w:tc>
          <w:tcPr>
            <w:tcW w:w="1080" w:type="dxa"/>
            <w:vMerge w:val="restart"/>
            <w:vAlign w:val="center"/>
          </w:tcPr>
          <w:p>
            <w:pPr>
              <w:adjustRightInd w:val="0"/>
              <w:snapToGrid w:val="0"/>
              <w:jc w:val="center"/>
              <w:rPr>
                <w:snapToGrid w:val="0"/>
                <w:color w:val="auto"/>
                <w:kern w:val="21"/>
              </w:rPr>
            </w:pPr>
            <w:r>
              <w:rPr>
                <w:snapToGrid w:val="0"/>
                <w:color w:val="auto"/>
                <w:kern w:val="21"/>
              </w:rPr>
              <w:t>环保工程</w:t>
            </w:r>
          </w:p>
        </w:tc>
        <w:tc>
          <w:tcPr>
            <w:tcW w:w="1515" w:type="dxa"/>
            <w:vAlign w:val="center"/>
          </w:tcPr>
          <w:p>
            <w:pPr>
              <w:adjustRightInd w:val="0"/>
              <w:snapToGrid w:val="0"/>
              <w:jc w:val="center"/>
              <w:rPr>
                <w:snapToGrid w:val="0"/>
                <w:color w:val="auto"/>
                <w:kern w:val="21"/>
              </w:rPr>
            </w:pPr>
            <w:r>
              <w:rPr>
                <w:rFonts w:hint="eastAsia"/>
                <w:snapToGrid w:val="0"/>
                <w:color w:val="auto"/>
                <w:kern w:val="21"/>
              </w:rPr>
              <w:t>废气</w:t>
            </w:r>
          </w:p>
        </w:tc>
        <w:tc>
          <w:tcPr>
            <w:tcW w:w="5238" w:type="dxa"/>
            <w:gridSpan w:val="2"/>
            <w:vAlign w:val="center"/>
          </w:tcPr>
          <w:p>
            <w:pPr>
              <w:adjustRightInd w:val="0"/>
              <w:snapToGrid w:val="0"/>
              <w:rPr>
                <w:color w:val="auto"/>
                <w:kern w:val="21"/>
              </w:rPr>
            </w:pPr>
            <w:r>
              <w:rPr>
                <w:rFonts w:hint="eastAsia"/>
                <w:color w:val="auto"/>
                <w:lang w:eastAsia="zh-CN"/>
              </w:rPr>
              <w:t>生产线</w:t>
            </w:r>
            <w:r>
              <w:rPr>
                <w:rFonts w:hint="eastAsia"/>
                <w:color w:val="auto"/>
              </w:rPr>
              <w:t>酸雾采用</w:t>
            </w:r>
            <w:r>
              <w:rPr>
                <w:color w:val="auto"/>
              </w:rPr>
              <w:t>密闭生产线</w:t>
            </w:r>
            <w:r>
              <w:rPr>
                <w:rFonts w:hint="eastAsia"/>
                <w:color w:val="auto"/>
              </w:rPr>
              <w:t>+顶吸罩</w:t>
            </w:r>
            <w:r>
              <w:rPr>
                <w:color w:val="auto"/>
              </w:rPr>
              <w:t>+</w:t>
            </w:r>
            <w:r>
              <w:rPr>
                <w:rFonts w:hint="eastAsia"/>
                <w:color w:val="auto"/>
              </w:rPr>
              <w:t>槽边双侧抽风</w:t>
            </w:r>
            <w:r>
              <w:rPr>
                <w:rFonts w:hint="eastAsia"/>
                <w:color w:val="auto"/>
                <w:lang w:eastAsia="zh-CN"/>
              </w:rPr>
              <w:t>收集，酸储罐酸雾采用集气罩收集，集中收集的酸雾经</w:t>
            </w:r>
            <w:r>
              <w:rPr>
                <w:rFonts w:hint="eastAsia"/>
                <w:color w:val="auto"/>
              </w:rPr>
              <w:t>二级碱液喷淋中和塔处理后由15m</w:t>
            </w:r>
            <w:r>
              <w:rPr>
                <w:rFonts w:hint="eastAsia"/>
                <w:color w:val="auto"/>
                <w:lang w:eastAsia="zh-CN"/>
              </w:rPr>
              <w:t>高</w:t>
            </w:r>
            <w:r>
              <w:rPr>
                <w:rFonts w:hint="eastAsia"/>
                <w:color w:val="auto"/>
              </w:rPr>
              <w:t>排气筒排放；燃气锅炉采用低氮燃烧器+烟气再循环；焊接烟尘采用袋式除尘器处理后由15m</w:t>
            </w:r>
            <w:r>
              <w:rPr>
                <w:rFonts w:hint="eastAsia"/>
                <w:color w:val="auto"/>
                <w:lang w:eastAsia="zh-CN"/>
              </w:rPr>
              <w:t>高</w:t>
            </w:r>
            <w:r>
              <w:rPr>
                <w:rFonts w:hint="eastAsia"/>
                <w:color w:val="auto"/>
              </w:rPr>
              <w:t>排气筒排放；污水站恶臭采用生物除臭处理后由15m</w:t>
            </w:r>
            <w:r>
              <w:rPr>
                <w:rFonts w:hint="eastAsia"/>
                <w:color w:val="auto"/>
                <w:lang w:eastAsia="zh-CN"/>
              </w:rPr>
              <w:t>高</w:t>
            </w:r>
            <w:r>
              <w:rPr>
                <w:rFonts w:hint="eastAsia"/>
                <w:color w:val="auto"/>
              </w:rPr>
              <w:t>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restart"/>
            <w:vAlign w:val="center"/>
          </w:tcPr>
          <w:p>
            <w:pPr>
              <w:adjustRightInd w:val="0"/>
              <w:snapToGrid w:val="0"/>
              <w:jc w:val="center"/>
              <w:rPr>
                <w:snapToGrid w:val="0"/>
                <w:color w:val="auto"/>
                <w:kern w:val="21"/>
              </w:rPr>
            </w:pPr>
            <w:r>
              <w:rPr>
                <w:rFonts w:hint="eastAsia"/>
                <w:snapToGrid w:val="0"/>
                <w:color w:val="auto"/>
                <w:kern w:val="21"/>
              </w:rPr>
              <w:t>废水</w:t>
            </w:r>
          </w:p>
        </w:tc>
        <w:tc>
          <w:tcPr>
            <w:tcW w:w="2999" w:type="dxa"/>
            <w:vAlign w:val="center"/>
          </w:tcPr>
          <w:p>
            <w:pPr>
              <w:adjustRightInd w:val="0"/>
              <w:snapToGrid w:val="0"/>
              <w:rPr>
                <w:color w:val="auto"/>
              </w:rPr>
            </w:pPr>
            <w:r>
              <w:rPr>
                <w:rFonts w:hint="eastAsia"/>
                <w:color w:val="auto"/>
              </w:rPr>
              <w:t>含镍废水预处理系统：pH调节→混凝沉淀→回调→多介质过滤</w:t>
            </w:r>
          </w:p>
        </w:tc>
        <w:tc>
          <w:tcPr>
            <w:tcW w:w="2239" w:type="dxa"/>
            <w:vMerge w:val="restart"/>
            <w:vAlign w:val="center"/>
          </w:tcPr>
          <w:p>
            <w:pPr>
              <w:adjustRightInd w:val="0"/>
              <w:snapToGrid w:val="0"/>
              <w:rPr>
                <w:color w:val="auto"/>
              </w:rPr>
            </w:pPr>
            <w:r>
              <w:rPr>
                <w:rFonts w:hint="eastAsia"/>
                <w:color w:val="auto"/>
              </w:rPr>
              <w:t>零排放处理系统：A</w:t>
            </w:r>
            <w:r>
              <w:rPr>
                <w:rFonts w:hint="eastAsia"/>
                <w:color w:val="auto"/>
                <w:vertAlign w:val="superscript"/>
              </w:rPr>
              <w:t>2</w:t>
            </w:r>
            <w:r>
              <w:rPr>
                <w:color w:val="auto"/>
              </w:rPr>
              <w:t>/O</w:t>
            </w:r>
            <w:r>
              <w:rPr>
                <w:rFonts w:hint="eastAsia"/>
                <w:color w:val="auto"/>
              </w:rPr>
              <w:t>→</w:t>
            </w:r>
            <w:r>
              <w:rPr>
                <w:color w:val="auto"/>
              </w:rPr>
              <w:t>MBR</w:t>
            </w:r>
            <w:r>
              <w:rPr>
                <w:rFonts w:hint="eastAsia"/>
                <w:color w:val="auto"/>
              </w:rPr>
              <w:t>→两级E</w:t>
            </w:r>
            <w:r>
              <w:rPr>
                <w:color w:val="auto"/>
              </w:rPr>
              <w:t>CRO</w:t>
            </w:r>
            <w:r>
              <w:rPr>
                <w:rFonts w:hint="eastAsia"/>
                <w:color w:val="auto"/>
              </w:rPr>
              <w:t>→</w:t>
            </w:r>
            <w:r>
              <w:rPr>
                <w:color w:val="auto"/>
              </w:rPr>
              <w:t>DTRO</w:t>
            </w:r>
            <w:r>
              <w:rPr>
                <w:rFonts w:hint="eastAsia"/>
                <w:color w:val="auto"/>
              </w:rPr>
              <w:t>→二级RO→MVR蒸发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2999" w:type="dxa"/>
            <w:vAlign w:val="center"/>
          </w:tcPr>
          <w:p>
            <w:pPr>
              <w:adjustRightInd w:val="0"/>
              <w:snapToGrid w:val="0"/>
              <w:rPr>
                <w:color w:val="auto"/>
              </w:rPr>
            </w:pPr>
            <w:r>
              <w:rPr>
                <w:rFonts w:hint="eastAsia"/>
                <w:color w:val="auto"/>
              </w:rPr>
              <w:t>含锌废水预处理系统：pH调节→混凝沉淀→回调→多介质过滤</w:t>
            </w:r>
          </w:p>
        </w:tc>
        <w:tc>
          <w:tcPr>
            <w:tcW w:w="2239"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2999" w:type="dxa"/>
            <w:vAlign w:val="center"/>
          </w:tcPr>
          <w:p>
            <w:pPr>
              <w:adjustRightInd w:val="0"/>
              <w:snapToGrid w:val="0"/>
              <w:rPr>
                <w:color w:val="auto"/>
              </w:rPr>
            </w:pPr>
            <w:r>
              <w:rPr>
                <w:rFonts w:hint="eastAsia"/>
                <w:color w:val="auto"/>
              </w:rPr>
              <w:t>含铬废水预处理系统：还原→pH调节→混凝沉淀→回调→多介质过滤</w:t>
            </w:r>
          </w:p>
        </w:tc>
        <w:tc>
          <w:tcPr>
            <w:tcW w:w="2239"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2999" w:type="dxa"/>
            <w:vAlign w:val="center"/>
          </w:tcPr>
          <w:p>
            <w:pPr>
              <w:adjustRightInd w:val="0"/>
              <w:snapToGrid w:val="0"/>
              <w:rPr>
                <w:color w:val="auto"/>
              </w:rPr>
            </w:pPr>
            <w:r>
              <w:rPr>
                <w:rFonts w:hint="eastAsia"/>
                <w:color w:val="auto"/>
              </w:rPr>
              <w:t>含油废水预处理系统：</w:t>
            </w:r>
            <w:r>
              <w:rPr>
                <w:color w:val="auto"/>
              </w:rPr>
              <w:t>破乳</w:t>
            </w:r>
            <w:r>
              <w:rPr>
                <w:rFonts w:hint="eastAsia"/>
                <w:color w:val="auto"/>
              </w:rPr>
              <w:t>→</w:t>
            </w:r>
            <w:r>
              <w:rPr>
                <w:color w:val="auto"/>
              </w:rPr>
              <w:t>pH调节</w:t>
            </w:r>
            <w:r>
              <w:rPr>
                <w:rFonts w:hint="eastAsia"/>
                <w:color w:val="auto"/>
              </w:rPr>
              <w:t>→混凝→气浮</w:t>
            </w:r>
          </w:p>
        </w:tc>
        <w:tc>
          <w:tcPr>
            <w:tcW w:w="2239"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2999" w:type="dxa"/>
            <w:vAlign w:val="center"/>
          </w:tcPr>
          <w:p>
            <w:pPr>
              <w:adjustRightInd w:val="0"/>
              <w:snapToGrid w:val="0"/>
              <w:rPr>
                <w:color w:val="auto"/>
              </w:rPr>
            </w:pPr>
            <w:r>
              <w:rPr>
                <w:rFonts w:hint="eastAsia"/>
                <w:color w:val="auto"/>
              </w:rPr>
              <w:t>酸性废水预处理系统：pH调节→混凝沉淀→回调→多介质过滤</w:t>
            </w:r>
          </w:p>
        </w:tc>
        <w:tc>
          <w:tcPr>
            <w:tcW w:w="2239"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Merge w:val="continue"/>
            <w:vAlign w:val="center"/>
          </w:tcPr>
          <w:p>
            <w:pPr>
              <w:adjustRightInd w:val="0"/>
              <w:snapToGrid w:val="0"/>
              <w:jc w:val="center"/>
              <w:rPr>
                <w:snapToGrid w:val="0"/>
                <w:color w:val="auto"/>
                <w:kern w:val="21"/>
              </w:rPr>
            </w:pPr>
          </w:p>
        </w:tc>
        <w:tc>
          <w:tcPr>
            <w:tcW w:w="2999" w:type="dxa"/>
            <w:vAlign w:val="center"/>
          </w:tcPr>
          <w:p>
            <w:pPr>
              <w:adjustRightInd w:val="0"/>
              <w:snapToGrid w:val="0"/>
              <w:rPr>
                <w:color w:val="auto"/>
              </w:rPr>
            </w:pPr>
            <w:r>
              <w:rPr>
                <w:rFonts w:hint="eastAsia"/>
                <w:color w:val="auto"/>
              </w:rPr>
              <w:t>地面废水预处理系统：氧化→pH调节→混凝沉淀→还原→混凝沉淀→回调→多介质过滤</w:t>
            </w:r>
          </w:p>
        </w:tc>
        <w:tc>
          <w:tcPr>
            <w:tcW w:w="2239" w:type="dxa"/>
            <w:vMerge w:val="continue"/>
            <w:vAlign w:val="center"/>
          </w:tcPr>
          <w:p>
            <w:pPr>
              <w:adjustRightInd w:val="0"/>
              <w:snapToGrid w:val="0"/>
              <w:rPr>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rFonts w:hint="eastAsia"/>
                <w:snapToGrid w:val="0"/>
                <w:color w:val="auto"/>
                <w:kern w:val="21"/>
              </w:rPr>
              <w:t>噪声</w:t>
            </w:r>
          </w:p>
        </w:tc>
        <w:tc>
          <w:tcPr>
            <w:tcW w:w="5238" w:type="dxa"/>
            <w:gridSpan w:val="2"/>
            <w:vAlign w:val="center"/>
          </w:tcPr>
          <w:p>
            <w:pPr>
              <w:adjustRightInd w:val="0"/>
              <w:snapToGrid w:val="0"/>
              <w:rPr>
                <w:color w:val="auto"/>
                <w:kern w:val="21"/>
              </w:rPr>
            </w:pPr>
            <w:r>
              <w:rPr>
                <w:rFonts w:hint="eastAsia"/>
                <w:color w:val="auto"/>
                <w:kern w:val="21"/>
              </w:rPr>
              <w:t>设备减震、厂房隔声。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1" w:type="dxa"/>
            <w:vMerge w:val="continue"/>
            <w:vAlign w:val="center"/>
          </w:tcPr>
          <w:p>
            <w:pPr>
              <w:adjustRightInd w:val="0"/>
              <w:snapToGrid w:val="0"/>
              <w:jc w:val="center"/>
              <w:rPr>
                <w:snapToGrid w:val="0"/>
                <w:color w:val="auto"/>
                <w:kern w:val="21"/>
              </w:rPr>
            </w:pPr>
          </w:p>
        </w:tc>
        <w:tc>
          <w:tcPr>
            <w:tcW w:w="1080" w:type="dxa"/>
            <w:vMerge w:val="continue"/>
            <w:vAlign w:val="center"/>
          </w:tcPr>
          <w:p>
            <w:pPr>
              <w:adjustRightInd w:val="0"/>
              <w:snapToGrid w:val="0"/>
              <w:jc w:val="center"/>
              <w:rPr>
                <w:snapToGrid w:val="0"/>
                <w:color w:val="auto"/>
                <w:kern w:val="21"/>
              </w:rPr>
            </w:pPr>
          </w:p>
        </w:tc>
        <w:tc>
          <w:tcPr>
            <w:tcW w:w="1515" w:type="dxa"/>
            <w:vAlign w:val="center"/>
          </w:tcPr>
          <w:p>
            <w:pPr>
              <w:adjustRightInd w:val="0"/>
              <w:snapToGrid w:val="0"/>
              <w:jc w:val="center"/>
              <w:rPr>
                <w:snapToGrid w:val="0"/>
                <w:color w:val="auto"/>
                <w:kern w:val="21"/>
              </w:rPr>
            </w:pPr>
            <w:r>
              <w:rPr>
                <w:rFonts w:hint="eastAsia"/>
                <w:snapToGrid w:val="0"/>
                <w:color w:val="auto"/>
                <w:kern w:val="21"/>
              </w:rPr>
              <w:t>固废</w:t>
            </w:r>
          </w:p>
        </w:tc>
        <w:tc>
          <w:tcPr>
            <w:tcW w:w="5238" w:type="dxa"/>
            <w:gridSpan w:val="2"/>
            <w:vAlign w:val="center"/>
          </w:tcPr>
          <w:p>
            <w:pPr>
              <w:adjustRightInd w:val="0"/>
              <w:snapToGrid w:val="0"/>
              <w:rPr>
                <w:color w:val="auto"/>
                <w:kern w:val="21"/>
              </w:rPr>
            </w:pPr>
            <w:r>
              <w:rPr>
                <w:rFonts w:hint="eastAsia"/>
                <w:color w:val="auto"/>
                <w:kern w:val="21"/>
              </w:rPr>
              <w:t>设置</w:t>
            </w:r>
            <w:r>
              <w:rPr>
                <w:rFonts w:hint="eastAsia"/>
                <w:color w:val="auto"/>
                <w:kern w:val="21"/>
                <w:lang w:val="en-US" w:eastAsia="zh-CN"/>
              </w:rPr>
              <w:t>1座</w:t>
            </w:r>
            <w:r>
              <w:rPr>
                <w:rFonts w:hint="eastAsia"/>
                <w:color w:val="auto"/>
                <w:kern w:val="21"/>
              </w:rPr>
              <w:t>一般固废暂存间300m</w:t>
            </w:r>
            <w:r>
              <w:rPr>
                <w:rFonts w:hint="eastAsia"/>
                <w:color w:val="auto"/>
                <w:kern w:val="21"/>
                <w:vertAlign w:val="superscript"/>
              </w:rPr>
              <w:t>2</w:t>
            </w:r>
            <w:r>
              <w:rPr>
                <w:rFonts w:hint="eastAsia"/>
                <w:color w:val="auto"/>
                <w:kern w:val="21"/>
              </w:rPr>
              <w:t>，</w:t>
            </w:r>
            <w:r>
              <w:rPr>
                <w:rFonts w:hint="eastAsia"/>
                <w:color w:val="auto"/>
                <w:kern w:val="21"/>
                <w:lang w:val="en-US" w:eastAsia="zh-CN"/>
              </w:rPr>
              <w:t>1座</w:t>
            </w:r>
            <w:r>
              <w:rPr>
                <w:rFonts w:hint="eastAsia"/>
                <w:color w:val="auto"/>
                <w:kern w:val="21"/>
              </w:rPr>
              <w:t>危险固废暂存间150m</w:t>
            </w:r>
            <w:r>
              <w:rPr>
                <w:rFonts w:hint="eastAsia"/>
                <w:color w:val="auto"/>
                <w:kern w:val="21"/>
                <w:vertAlign w:val="superscript"/>
              </w:rPr>
              <w:t>2</w:t>
            </w:r>
            <w:r>
              <w:rPr>
                <w:rFonts w:hint="eastAsia"/>
                <w:color w:val="auto"/>
                <w:kern w:val="21"/>
              </w:rPr>
              <w:t>。</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91" w:beforeLines="50"/>
        <w:jc w:val="center"/>
        <w:textAlignment w:val="auto"/>
        <w:rPr>
          <w:rFonts w:ascii="黑体" w:hAnsi="黑体" w:eastAsia="黑体"/>
          <w:color w:val="auto"/>
          <w:sz w:val="24"/>
          <w:szCs w:val="22"/>
        </w:rPr>
      </w:pPr>
      <w:r>
        <w:rPr>
          <w:rFonts w:ascii="黑体" w:hAnsi="黑体" w:eastAsia="黑体"/>
          <w:color w:val="auto"/>
          <w:sz w:val="24"/>
          <w:szCs w:val="22"/>
        </w:rPr>
        <w:t>表</w:t>
      </w:r>
      <w:r>
        <w:rPr>
          <w:rFonts w:hint="eastAsia" w:ascii="黑体" w:hAnsi="黑体" w:eastAsia="黑体"/>
          <w:color w:val="auto"/>
          <w:sz w:val="24"/>
          <w:szCs w:val="22"/>
        </w:rPr>
        <w:t>9</w:t>
      </w:r>
      <w:r>
        <w:rPr>
          <w:rFonts w:ascii="黑体" w:hAnsi="黑体" w:eastAsia="黑体"/>
          <w:color w:val="auto"/>
          <w:sz w:val="24"/>
          <w:szCs w:val="22"/>
        </w:rPr>
        <w:t>.</w:t>
      </w:r>
      <w:r>
        <w:rPr>
          <w:rFonts w:hint="eastAsia" w:ascii="黑体" w:hAnsi="黑体" w:eastAsia="黑体"/>
          <w:color w:val="auto"/>
          <w:sz w:val="24"/>
          <w:szCs w:val="22"/>
        </w:rPr>
        <w:t>4</w:t>
      </w:r>
      <w:r>
        <w:rPr>
          <w:rFonts w:ascii="黑体" w:hAnsi="黑体" w:eastAsia="黑体"/>
          <w:color w:val="auto"/>
          <w:sz w:val="24"/>
          <w:szCs w:val="22"/>
        </w:rPr>
        <w:t>-2  本项目产品方案</w:t>
      </w:r>
      <w:r>
        <w:rPr>
          <w:rFonts w:hint="eastAsia" w:ascii="黑体" w:hAnsi="黑体" w:eastAsia="黑体"/>
          <w:color w:val="auto"/>
          <w:sz w:val="24"/>
          <w:szCs w:val="22"/>
        </w:rPr>
        <w:t>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276"/>
        <w:gridCol w:w="1545"/>
        <w:gridCol w:w="1276"/>
        <w:gridCol w:w="3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6" w:type="dxa"/>
            <w:vAlign w:val="center"/>
          </w:tcPr>
          <w:p>
            <w:pPr>
              <w:adjustRightInd w:val="0"/>
              <w:snapToGrid w:val="0"/>
              <w:jc w:val="center"/>
              <w:textAlignment w:val="baseline"/>
              <w:rPr>
                <w:b/>
                <w:bCs/>
                <w:color w:val="auto"/>
                <w:kern w:val="21"/>
              </w:rPr>
            </w:pPr>
            <w:r>
              <w:rPr>
                <w:b/>
                <w:bCs/>
                <w:color w:val="auto"/>
                <w:kern w:val="21"/>
              </w:rPr>
              <w:t>序号</w:t>
            </w:r>
          </w:p>
        </w:tc>
        <w:tc>
          <w:tcPr>
            <w:tcW w:w="1276" w:type="dxa"/>
            <w:vAlign w:val="center"/>
          </w:tcPr>
          <w:p>
            <w:pPr>
              <w:adjustRightInd w:val="0"/>
              <w:snapToGrid w:val="0"/>
              <w:jc w:val="center"/>
              <w:textAlignment w:val="baseline"/>
              <w:rPr>
                <w:b/>
                <w:bCs/>
                <w:color w:val="auto"/>
                <w:kern w:val="21"/>
              </w:rPr>
            </w:pPr>
            <w:r>
              <w:rPr>
                <w:b/>
                <w:bCs/>
                <w:color w:val="auto"/>
                <w:kern w:val="21"/>
              </w:rPr>
              <w:t>产品名称</w:t>
            </w:r>
          </w:p>
        </w:tc>
        <w:tc>
          <w:tcPr>
            <w:tcW w:w="1545" w:type="dxa"/>
            <w:vAlign w:val="center"/>
          </w:tcPr>
          <w:p>
            <w:pPr>
              <w:adjustRightInd w:val="0"/>
              <w:snapToGrid w:val="0"/>
              <w:jc w:val="center"/>
              <w:textAlignment w:val="baseline"/>
              <w:rPr>
                <w:b/>
                <w:bCs/>
                <w:color w:val="auto"/>
                <w:kern w:val="21"/>
              </w:rPr>
            </w:pPr>
            <w:r>
              <w:rPr>
                <w:b/>
                <w:bCs/>
                <w:color w:val="auto"/>
                <w:kern w:val="21"/>
              </w:rPr>
              <w:t>产能</w:t>
            </w:r>
          </w:p>
        </w:tc>
        <w:tc>
          <w:tcPr>
            <w:tcW w:w="1276" w:type="dxa"/>
            <w:vAlign w:val="center"/>
          </w:tcPr>
          <w:p>
            <w:pPr>
              <w:adjustRightInd w:val="0"/>
              <w:snapToGrid w:val="0"/>
              <w:jc w:val="center"/>
              <w:textAlignment w:val="baseline"/>
              <w:rPr>
                <w:b/>
                <w:bCs/>
                <w:color w:val="auto"/>
                <w:kern w:val="21"/>
              </w:rPr>
            </w:pPr>
            <w:r>
              <w:rPr>
                <w:b/>
                <w:bCs/>
                <w:color w:val="auto"/>
                <w:kern w:val="21"/>
              </w:rPr>
              <w:t>单位</w:t>
            </w:r>
          </w:p>
        </w:tc>
        <w:tc>
          <w:tcPr>
            <w:tcW w:w="3741" w:type="dxa"/>
            <w:vAlign w:val="center"/>
          </w:tcPr>
          <w:p>
            <w:pPr>
              <w:adjustRightInd w:val="0"/>
              <w:snapToGrid w:val="0"/>
              <w:jc w:val="center"/>
              <w:textAlignment w:val="baseline"/>
              <w:rPr>
                <w:b/>
                <w:bCs/>
                <w:color w:val="auto"/>
                <w:kern w:val="21"/>
              </w:rPr>
            </w:pPr>
            <w:r>
              <w:rPr>
                <w:b/>
                <w:bCs/>
                <w:color w:val="auto"/>
                <w:kern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6" w:type="dxa"/>
            <w:vAlign w:val="center"/>
          </w:tcPr>
          <w:p>
            <w:pPr>
              <w:adjustRightInd w:val="0"/>
              <w:snapToGrid w:val="0"/>
              <w:jc w:val="center"/>
              <w:textAlignment w:val="baseline"/>
              <w:rPr>
                <w:color w:val="auto"/>
                <w:kern w:val="21"/>
              </w:rPr>
            </w:pPr>
            <w:r>
              <w:rPr>
                <w:color w:val="auto"/>
                <w:kern w:val="21"/>
              </w:rPr>
              <w:t>1</w:t>
            </w:r>
          </w:p>
        </w:tc>
        <w:tc>
          <w:tcPr>
            <w:tcW w:w="1276" w:type="dxa"/>
            <w:vAlign w:val="center"/>
          </w:tcPr>
          <w:p>
            <w:pPr>
              <w:adjustRightInd w:val="0"/>
              <w:snapToGrid w:val="0"/>
              <w:jc w:val="center"/>
              <w:textAlignment w:val="baseline"/>
              <w:rPr>
                <w:color w:val="auto"/>
                <w:kern w:val="21"/>
              </w:rPr>
            </w:pPr>
            <w:r>
              <w:rPr>
                <w:rFonts w:hint="eastAsia"/>
                <w:color w:val="auto"/>
                <w:kern w:val="21"/>
                <w:lang w:eastAsia="zh-CN"/>
              </w:rPr>
              <w:t>锂电池</w:t>
            </w:r>
            <w:r>
              <w:rPr>
                <w:color w:val="auto"/>
                <w:kern w:val="21"/>
              </w:rPr>
              <w:t>钢壳</w:t>
            </w:r>
          </w:p>
        </w:tc>
        <w:tc>
          <w:tcPr>
            <w:tcW w:w="1545" w:type="dxa"/>
            <w:vAlign w:val="center"/>
          </w:tcPr>
          <w:p>
            <w:pPr>
              <w:adjustRightInd w:val="0"/>
              <w:snapToGrid w:val="0"/>
              <w:jc w:val="center"/>
              <w:textAlignment w:val="baseline"/>
              <w:rPr>
                <w:color w:val="auto"/>
                <w:kern w:val="21"/>
              </w:rPr>
            </w:pPr>
            <w:r>
              <w:rPr>
                <w:rFonts w:hint="eastAsia"/>
                <w:color w:val="auto"/>
                <w:kern w:val="21"/>
              </w:rPr>
              <w:t>39.6</w:t>
            </w:r>
          </w:p>
        </w:tc>
        <w:tc>
          <w:tcPr>
            <w:tcW w:w="1276" w:type="dxa"/>
            <w:vAlign w:val="center"/>
          </w:tcPr>
          <w:p>
            <w:pPr>
              <w:adjustRightInd w:val="0"/>
              <w:snapToGrid w:val="0"/>
              <w:jc w:val="center"/>
              <w:textAlignment w:val="baseline"/>
              <w:rPr>
                <w:color w:val="auto"/>
                <w:kern w:val="21"/>
              </w:rPr>
            </w:pPr>
            <w:r>
              <w:rPr>
                <w:color w:val="auto"/>
                <w:kern w:val="21"/>
              </w:rPr>
              <w:t>亿只</w:t>
            </w:r>
            <w:r>
              <w:rPr>
                <w:rFonts w:hint="eastAsia"/>
                <w:color w:val="auto"/>
                <w:kern w:val="21"/>
              </w:rPr>
              <w:t>/年</w:t>
            </w:r>
          </w:p>
        </w:tc>
        <w:tc>
          <w:tcPr>
            <w:tcW w:w="3741" w:type="dxa"/>
            <w:vAlign w:val="center"/>
          </w:tcPr>
          <w:p>
            <w:pPr>
              <w:adjustRightInd w:val="0"/>
              <w:snapToGrid w:val="0"/>
              <w:jc w:val="center"/>
              <w:textAlignment w:val="baseline"/>
              <w:rPr>
                <w:color w:val="auto"/>
                <w:kern w:val="21"/>
              </w:rPr>
            </w:pPr>
            <w:r>
              <w:rPr>
                <w:color w:val="auto"/>
                <w:kern w:val="21"/>
              </w:rPr>
              <w:t>单条钢壳镀镍线产能为</w:t>
            </w:r>
            <w:r>
              <w:rPr>
                <w:rFonts w:hint="eastAsia"/>
                <w:color w:val="auto"/>
                <w:kern w:val="21"/>
              </w:rPr>
              <w:t>200万只/天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66" w:type="dxa"/>
            <w:vAlign w:val="center"/>
          </w:tcPr>
          <w:p>
            <w:pPr>
              <w:adjustRightInd w:val="0"/>
              <w:snapToGrid w:val="0"/>
              <w:jc w:val="center"/>
              <w:textAlignment w:val="baseline"/>
              <w:rPr>
                <w:color w:val="auto"/>
                <w:kern w:val="21"/>
              </w:rPr>
            </w:pPr>
            <w:r>
              <w:rPr>
                <w:rFonts w:hint="eastAsia"/>
                <w:color w:val="auto"/>
                <w:kern w:val="21"/>
              </w:rPr>
              <w:t>2</w:t>
            </w:r>
          </w:p>
        </w:tc>
        <w:tc>
          <w:tcPr>
            <w:tcW w:w="1276" w:type="dxa"/>
            <w:vAlign w:val="center"/>
          </w:tcPr>
          <w:p>
            <w:pPr>
              <w:adjustRightInd w:val="0"/>
              <w:snapToGrid w:val="0"/>
              <w:jc w:val="center"/>
              <w:textAlignment w:val="baseline"/>
              <w:rPr>
                <w:color w:val="auto"/>
                <w:kern w:val="21"/>
              </w:rPr>
            </w:pPr>
            <w:r>
              <w:rPr>
                <w:rFonts w:hint="eastAsia"/>
                <w:color w:val="auto"/>
                <w:kern w:val="21"/>
                <w:lang w:eastAsia="zh-CN"/>
              </w:rPr>
              <w:t>锂电池</w:t>
            </w:r>
            <w:r>
              <w:rPr>
                <w:color w:val="auto"/>
                <w:kern w:val="21"/>
              </w:rPr>
              <w:t>盖帽</w:t>
            </w:r>
          </w:p>
        </w:tc>
        <w:tc>
          <w:tcPr>
            <w:tcW w:w="1545" w:type="dxa"/>
            <w:vAlign w:val="center"/>
          </w:tcPr>
          <w:p>
            <w:pPr>
              <w:adjustRightInd w:val="0"/>
              <w:snapToGrid w:val="0"/>
              <w:jc w:val="center"/>
              <w:textAlignment w:val="baseline"/>
              <w:rPr>
                <w:color w:val="auto"/>
                <w:kern w:val="21"/>
              </w:rPr>
            </w:pPr>
            <w:r>
              <w:rPr>
                <w:rFonts w:hint="eastAsia"/>
                <w:color w:val="auto"/>
                <w:kern w:val="21"/>
              </w:rPr>
              <w:t>39.6</w:t>
            </w:r>
          </w:p>
        </w:tc>
        <w:tc>
          <w:tcPr>
            <w:tcW w:w="1276" w:type="dxa"/>
            <w:vAlign w:val="center"/>
          </w:tcPr>
          <w:p>
            <w:pPr>
              <w:adjustRightInd w:val="0"/>
              <w:snapToGrid w:val="0"/>
              <w:jc w:val="center"/>
              <w:textAlignment w:val="baseline"/>
              <w:rPr>
                <w:color w:val="auto"/>
                <w:kern w:val="21"/>
              </w:rPr>
            </w:pPr>
            <w:r>
              <w:rPr>
                <w:color w:val="auto"/>
                <w:kern w:val="21"/>
              </w:rPr>
              <w:t>亿只</w:t>
            </w:r>
            <w:r>
              <w:rPr>
                <w:rFonts w:hint="eastAsia"/>
                <w:color w:val="auto"/>
                <w:kern w:val="21"/>
              </w:rPr>
              <w:t>/年</w:t>
            </w:r>
          </w:p>
        </w:tc>
        <w:tc>
          <w:tcPr>
            <w:tcW w:w="3741" w:type="dxa"/>
            <w:vAlign w:val="center"/>
          </w:tcPr>
          <w:p>
            <w:pPr>
              <w:adjustRightInd w:val="0"/>
              <w:snapToGrid w:val="0"/>
              <w:jc w:val="center"/>
              <w:textAlignment w:val="baseline"/>
              <w:rPr>
                <w:color w:val="auto"/>
                <w:kern w:val="21"/>
              </w:rPr>
            </w:pPr>
            <w:r>
              <w:rPr>
                <w:color w:val="auto"/>
                <w:kern w:val="21"/>
              </w:rPr>
              <w:t>单条盖帽镀镍线产能为</w:t>
            </w:r>
            <w:r>
              <w:rPr>
                <w:rFonts w:hint="eastAsia"/>
                <w:color w:val="auto"/>
                <w:kern w:val="21"/>
              </w:rPr>
              <w:t>400万只/天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66" w:type="dxa"/>
            <w:vAlign w:val="center"/>
          </w:tcPr>
          <w:p>
            <w:pPr>
              <w:adjustRightInd w:val="0"/>
              <w:snapToGrid w:val="0"/>
              <w:jc w:val="center"/>
              <w:textAlignment w:val="baseline"/>
              <w:rPr>
                <w:color w:val="auto"/>
                <w:kern w:val="21"/>
              </w:rPr>
            </w:pPr>
            <w:r>
              <w:rPr>
                <w:rFonts w:hint="eastAsia"/>
                <w:color w:val="auto"/>
                <w:kern w:val="21"/>
              </w:rPr>
              <w:t>3</w:t>
            </w:r>
          </w:p>
        </w:tc>
        <w:tc>
          <w:tcPr>
            <w:tcW w:w="1276" w:type="dxa"/>
            <w:vAlign w:val="center"/>
          </w:tcPr>
          <w:p>
            <w:pPr>
              <w:adjustRightInd w:val="0"/>
              <w:snapToGrid w:val="0"/>
              <w:jc w:val="center"/>
              <w:textAlignment w:val="baseline"/>
              <w:rPr>
                <w:color w:val="auto"/>
                <w:kern w:val="21"/>
              </w:rPr>
            </w:pPr>
            <w:r>
              <w:rPr>
                <w:rFonts w:hint="eastAsia"/>
                <w:color w:val="auto"/>
                <w:kern w:val="21"/>
                <w:lang w:eastAsia="zh-CN"/>
              </w:rPr>
              <w:t>锂</w:t>
            </w:r>
            <w:r>
              <w:rPr>
                <w:color w:val="auto"/>
                <w:kern w:val="21"/>
              </w:rPr>
              <w:t>电池箱</w:t>
            </w:r>
          </w:p>
        </w:tc>
        <w:tc>
          <w:tcPr>
            <w:tcW w:w="1545" w:type="dxa"/>
            <w:vAlign w:val="center"/>
          </w:tcPr>
          <w:p>
            <w:pPr>
              <w:adjustRightInd w:val="0"/>
              <w:snapToGrid w:val="0"/>
              <w:jc w:val="center"/>
              <w:textAlignment w:val="baseline"/>
              <w:rPr>
                <w:color w:val="auto"/>
                <w:kern w:val="21"/>
              </w:rPr>
            </w:pPr>
            <w:r>
              <w:rPr>
                <w:rFonts w:hint="eastAsia"/>
                <w:color w:val="auto"/>
                <w:kern w:val="21"/>
              </w:rPr>
              <w:t>0.0198</w:t>
            </w:r>
          </w:p>
        </w:tc>
        <w:tc>
          <w:tcPr>
            <w:tcW w:w="1276" w:type="dxa"/>
            <w:vAlign w:val="center"/>
          </w:tcPr>
          <w:p>
            <w:pPr>
              <w:adjustRightInd w:val="0"/>
              <w:snapToGrid w:val="0"/>
              <w:jc w:val="center"/>
              <w:textAlignment w:val="baseline"/>
              <w:rPr>
                <w:color w:val="auto"/>
                <w:kern w:val="21"/>
              </w:rPr>
            </w:pPr>
            <w:r>
              <w:rPr>
                <w:color w:val="auto"/>
                <w:kern w:val="21"/>
              </w:rPr>
              <w:t>亿个</w:t>
            </w:r>
            <w:r>
              <w:rPr>
                <w:rFonts w:hint="eastAsia"/>
                <w:color w:val="auto"/>
                <w:kern w:val="21"/>
              </w:rPr>
              <w:t>/年</w:t>
            </w:r>
          </w:p>
        </w:tc>
        <w:tc>
          <w:tcPr>
            <w:tcW w:w="3741" w:type="dxa"/>
            <w:vAlign w:val="center"/>
          </w:tcPr>
          <w:p>
            <w:pPr>
              <w:adjustRightInd w:val="0"/>
              <w:snapToGrid w:val="0"/>
              <w:jc w:val="center"/>
              <w:textAlignment w:val="baseline"/>
              <w:rPr>
                <w:color w:val="auto"/>
                <w:kern w:val="21"/>
              </w:rPr>
            </w:pPr>
            <w:r>
              <w:rPr>
                <w:color w:val="auto"/>
                <w:kern w:val="21"/>
              </w:rPr>
              <w:t>单条电池箱镀锌线产能为</w:t>
            </w:r>
            <w:r>
              <w:rPr>
                <w:rFonts w:hint="eastAsia"/>
                <w:color w:val="auto"/>
                <w:kern w:val="21"/>
              </w:rPr>
              <w:t>6000个/天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942" w:type="dxa"/>
            <w:gridSpan w:val="2"/>
            <w:vAlign w:val="center"/>
          </w:tcPr>
          <w:p>
            <w:pPr>
              <w:adjustRightInd w:val="0"/>
              <w:snapToGrid w:val="0"/>
              <w:jc w:val="center"/>
              <w:textAlignment w:val="baseline"/>
              <w:rPr>
                <w:color w:val="auto"/>
                <w:kern w:val="21"/>
              </w:rPr>
            </w:pPr>
            <w:r>
              <w:rPr>
                <w:color w:val="auto"/>
                <w:kern w:val="21"/>
              </w:rPr>
              <w:t>合计</w:t>
            </w:r>
          </w:p>
        </w:tc>
        <w:tc>
          <w:tcPr>
            <w:tcW w:w="1545" w:type="dxa"/>
            <w:vAlign w:val="center"/>
          </w:tcPr>
          <w:p>
            <w:pPr>
              <w:adjustRightInd w:val="0"/>
              <w:snapToGrid w:val="0"/>
              <w:jc w:val="center"/>
              <w:textAlignment w:val="baseline"/>
              <w:rPr>
                <w:color w:val="auto"/>
                <w:kern w:val="21"/>
              </w:rPr>
            </w:pPr>
            <w:r>
              <w:rPr>
                <w:rFonts w:hint="eastAsia"/>
                <w:color w:val="auto"/>
                <w:kern w:val="21"/>
              </w:rPr>
              <w:t>79.2198</w:t>
            </w:r>
          </w:p>
        </w:tc>
        <w:tc>
          <w:tcPr>
            <w:tcW w:w="1276" w:type="dxa"/>
            <w:vAlign w:val="center"/>
          </w:tcPr>
          <w:p>
            <w:pPr>
              <w:adjustRightInd w:val="0"/>
              <w:snapToGrid w:val="0"/>
              <w:jc w:val="center"/>
              <w:textAlignment w:val="baseline"/>
              <w:rPr>
                <w:color w:val="auto"/>
                <w:kern w:val="21"/>
              </w:rPr>
            </w:pPr>
            <w:r>
              <w:rPr>
                <w:color w:val="auto"/>
                <w:kern w:val="21"/>
              </w:rPr>
              <w:t>亿个</w:t>
            </w:r>
            <w:r>
              <w:rPr>
                <w:rFonts w:hint="eastAsia"/>
                <w:color w:val="auto"/>
                <w:kern w:val="21"/>
              </w:rPr>
              <w:t>/年</w:t>
            </w:r>
          </w:p>
        </w:tc>
        <w:tc>
          <w:tcPr>
            <w:tcW w:w="3741" w:type="dxa"/>
            <w:vAlign w:val="center"/>
          </w:tcPr>
          <w:p>
            <w:pPr>
              <w:adjustRightInd w:val="0"/>
              <w:snapToGrid w:val="0"/>
              <w:jc w:val="center"/>
              <w:textAlignment w:val="baseline"/>
              <w:rPr>
                <w:color w:val="auto"/>
                <w:kern w:val="21"/>
              </w:rPr>
            </w:pPr>
            <w:r>
              <w:rPr>
                <w:rFonts w:hint="eastAsia"/>
                <w:color w:val="auto"/>
                <w:kern w:val="21"/>
              </w:rPr>
              <w:t>/</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91" w:beforeLines="50"/>
        <w:jc w:val="center"/>
        <w:textAlignment w:val="auto"/>
        <w:rPr>
          <w:rFonts w:ascii="黑体" w:hAnsi="黑体" w:eastAsia="黑体"/>
          <w:b/>
          <w:bCs/>
          <w:color w:val="auto"/>
          <w:sz w:val="24"/>
          <w:szCs w:val="22"/>
        </w:rPr>
      </w:pPr>
      <w:r>
        <w:rPr>
          <w:rFonts w:ascii="黑体" w:hAnsi="黑体" w:eastAsia="黑体"/>
          <w:b/>
          <w:bCs/>
          <w:color w:val="auto"/>
          <w:sz w:val="24"/>
          <w:szCs w:val="22"/>
        </w:rPr>
        <w:t>表</w:t>
      </w:r>
      <w:r>
        <w:rPr>
          <w:rFonts w:hint="eastAsia" w:ascii="黑体" w:hAnsi="黑体" w:eastAsia="黑体"/>
          <w:b/>
          <w:bCs/>
          <w:color w:val="auto"/>
          <w:sz w:val="24"/>
          <w:szCs w:val="22"/>
        </w:rPr>
        <w:t>9</w:t>
      </w:r>
      <w:r>
        <w:rPr>
          <w:rFonts w:ascii="黑体" w:hAnsi="黑体" w:eastAsia="黑体"/>
          <w:b/>
          <w:bCs/>
          <w:color w:val="auto"/>
          <w:sz w:val="24"/>
          <w:szCs w:val="22"/>
        </w:rPr>
        <w:t>.</w:t>
      </w:r>
      <w:r>
        <w:rPr>
          <w:rFonts w:hint="eastAsia" w:ascii="黑体" w:hAnsi="黑体" w:eastAsia="黑体"/>
          <w:b/>
          <w:bCs/>
          <w:color w:val="auto"/>
          <w:sz w:val="24"/>
          <w:szCs w:val="22"/>
        </w:rPr>
        <w:t>4</w:t>
      </w:r>
      <w:r>
        <w:rPr>
          <w:rFonts w:ascii="黑体" w:hAnsi="黑体" w:eastAsia="黑体"/>
          <w:b/>
          <w:bCs/>
          <w:color w:val="auto"/>
          <w:sz w:val="24"/>
          <w:szCs w:val="22"/>
        </w:rPr>
        <w:t>-</w:t>
      </w:r>
      <w:r>
        <w:rPr>
          <w:rFonts w:hint="eastAsia" w:ascii="黑体" w:hAnsi="黑体" w:eastAsia="黑体"/>
          <w:b/>
          <w:bCs/>
          <w:color w:val="auto"/>
          <w:sz w:val="24"/>
          <w:szCs w:val="22"/>
        </w:rPr>
        <w:t>3</w:t>
      </w:r>
      <w:r>
        <w:rPr>
          <w:rFonts w:ascii="黑体" w:hAnsi="黑体" w:eastAsia="黑体"/>
          <w:b/>
          <w:bCs/>
          <w:color w:val="auto"/>
          <w:sz w:val="24"/>
          <w:szCs w:val="22"/>
        </w:rPr>
        <w:t xml:space="preserve">  </w:t>
      </w:r>
      <w:r>
        <w:rPr>
          <w:rFonts w:hint="eastAsia" w:ascii="黑体" w:hAnsi="黑体" w:eastAsia="黑体"/>
          <w:b/>
          <w:bCs/>
          <w:color w:val="auto"/>
          <w:sz w:val="24"/>
          <w:szCs w:val="22"/>
        </w:rPr>
        <w:t>本项目</w:t>
      </w:r>
      <w:r>
        <w:rPr>
          <w:rFonts w:ascii="黑体" w:hAnsi="黑体" w:eastAsia="黑体"/>
          <w:b/>
          <w:bCs/>
          <w:color w:val="auto"/>
          <w:sz w:val="24"/>
          <w:szCs w:val="22"/>
        </w:rPr>
        <w:t>主要原辅材料一览表</w:t>
      </w:r>
    </w:p>
    <w:tbl>
      <w:tblPr>
        <w:tblStyle w:val="8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389"/>
        <w:gridCol w:w="1559"/>
        <w:gridCol w:w="993"/>
        <w:gridCol w:w="708"/>
        <w:gridCol w:w="1276"/>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85" w:type="dxa"/>
            <w:gridSpan w:val="2"/>
            <w:shd w:val="clear" w:color="auto" w:fill="auto"/>
            <w:vAlign w:val="center"/>
          </w:tcPr>
          <w:p>
            <w:pPr>
              <w:adjustRightInd w:val="0"/>
              <w:snapToGrid w:val="0"/>
              <w:jc w:val="center"/>
              <w:rPr>
                <w:b/>
                <w:bCs w:val="0"/>
                <w:color w:val="auto"/>
                <w:kern w:val="21"/>
              </w:rPr>
            </w:pPr>
            <w:r>
              <w:rPr>
                <w:rFonts w:hint="eastAsia"/>
                <w:b/>
                <w:bCs w:val="0"/>
                <w:color w:val="auto"/>
                <w:kern w:val="21"/>
              </w:rPr>
              <w:t>原料名称</w:t>
            </w:r>
          </w:p>
        </w:tc>
        <w:tc>
          <w:tcPr>
            <w:tcW w:w="1559" w:type="dxa"/>
            <w:shd w:val="clear" w:color="auto" w:fill="auto"/>
            <w:vAlign w:val="center"/>
          </w:tcPr>
          <w:p>
            <w:pPr>
              <w:adjustRightInd w:val="0"/>
              <w:snapToGrid w:val="0"/>
              <w:jc w:val="center"/>
              <w:rPr>
                <w:b/>
                <w:bCs w:val="0"/>
                <w:color w:val="auto"/>
                <w:kern w:val="21"/>
              </w:rPr>
            </w:pPr>
            <w:r>
              <w:rPr>
                <w:rFonts w:hint="eastAsia"/>
                <w:b/>
                <w:bCs w:val="0"/>
                <w:color w:val="auto"/>
                <w:kern w:val="21"/>
              </w:rPr>
              <w:t>规格</w:t>
            </w:r>
          </w:p>
        </w:tc>
        <w:tc>
          <w:tcPr>
            <w:tcW w:w="993" w:type="dxa"/>
            <w:shd w:val="clear" w:color="auto" w:fill="auto"/>
            <w:vAlign w:val="center"/>
          </w:tcPr>
          <w:p>
            <w:pPr>
              <w:adjustRightInd w:val="0"/>
              <w:snapToGrid w:val="0"/>
              <w:jc w:val="center"/>
              <w:rPr>
                <w:b/>
                <w:bCs w:val="0"/>
                <w:color w:val="auto"/>
                <w:kern w:val="21"/>
              </w:rPr>
            </w:pPr>
            <w:r>
              <w:rPr>
                <w:rFonts w:hint="eastAsia"/>
                <w:b/>
                <w:bCs w:val="0"/>
                <w:color w:val="auto"/>
                <w:kern w:val="21"/>
              </w:rPr>
              <w:t>用量（t/a）</w:t>
            </w:r>
          </w:p>
        </w:tc>
        <w:tc>
          <w:tcPr>
            <w:tcW w:w="708" w:type="dxa"/>
            <w:shd w:val="clear" w:color="auto" w:fill="auto"/>
            <w:vAlign w:val="center"/>
          </w:tcPr>
          <w:p>
            <w:pPr>
              <w:adjustRightInd w:val="0"/>
              <w:snapToGrid w:val="0"/>
              <w:jc w:val="center"/>
              <w:rPr>
                <w:b/>
                <w:bCs w:val="0"/>
                <w:color w:val="auto"/>
                <w:kern w:val="21"/>
              </w:rPr>
            </w:pPr>
            <w:r>
              <w:rPr>
                <w:b/>
                <w:bCs w:val="0"/>
                <w:color w:val="auto"/>
                <w:kern w:val="21"/>
              </w:rPr>
              <w:t>状态</w:t>
            </w:r>
          </w:p>
        </w:tc>
        <w:tc>
          <w:tcPr>
            <w:tcW w:w="1276" w:type="dxa"/>
            <w:shd w:val="clear" w:color="auto" w:fill="auto"/>
            <w:vAlign w:val="center"/>
          </w:tcPr>
          <w:p>
            <w:pPr>
              <w:adjustRightInd w:val="0"/>
              <w:snapToGrid w:val="0"/>
              <w:jc w:val="center"/>
              <w:rPr>
                <w:b/>
                <w:bCs w:val="0"/>
                <w:color w:val="auto"/>
                <w:kern w:val="21"/>
              </w:rPr>
            </w:pPr>
            <w:r>
              <w:rPr>
                <w:rFonts w:hint="eastAsia"/>
                <w:b/>
                <w:bCs w:val="0"/>
                <w:color w:val="auto"/>
                <w:kern w:val="21"/>
              </w:rPr>
              <w:t>包装</w:t>
            </w:r>
          </w:p>
        </w:tc>
        <w:tc>
          <w:tcPr>
            <w:tcW w:w="901" w:type="dxa"/>
            <w:shd w:val="clear" w:color="auto" w:fill="auto"/>
            <w:vAlign w:val="center"/>
          </w:tcPr>
          <w:p>
            <w:pPr>
              <w:adjustRightInd w:val="0"/>
              <w:snapToGrid w:val="0"/>
              <w:jc w:val="center"/>
              <w:rPr>
                <w:rFonts w:hint="eastAsia"/>
                <w:b/>
                <w:bCs w:val="0"/>
                <w:color w:val="auto"/>
                <w:kern w:val="21"/>
              </w:rPr>
            </w:pPr>
            <w:r>
              <w:rPr>
                <w:rFonts w:hint="eastAsia"/>
                <w:b/>
                <w:bCs w:val="0"/>
                <w:color w:val="auto"/>
                <w:kern w:val="21"/>
              </w:rPr>
              <w:t>储存</w:t>
            </w:r>
          </w:p>
          <w:p>
            <w:pPr>
              <w:adjustRightInd w:val="0"/>
              <w:snapToGrid w:val="0"/>
              <w:jc w:val="center"/>
              <w:rPr>
                <w:b/>
                <w:bCs w:val="0"/>
                <w:color w:val="auto"/>
                <w:kern w:val="21"/>
              </w:rPr>
            </w:pPr>
            <w:r>
              <w:rPr>
                <w:rFonts w:hint="eastAsia"/>
                <w:b/>
                <w:bCs w:val="0"/>
                <w:color w:val="auto"/>
                <w:kern w:val="21"/>
              </w:rPr>
              <w:t>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机加工工序</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钢壳钢带</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0.3mm*130mm</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40917</w:t>
            </w:r>
          </w:p>
        </w:tc>
        <w:tc>
          <w:tcPr>
            <w:tcW w:w="708" w:type="dxa"/>
            <w:shd w:val="clear" w:color="auto" w:fill="auto"/>
            <w:vAlign w:val="center"/>
          </w:tcPr>
          <w:p>
            <w:pPr>
              <w:adjustRightInd w:val="0"/>
              <w:snapToGrid w:val="0"/>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1828kg/卷</w:t>
            </w:r>
          </w:p>
        </w:tc>
        <w:tc>
          <w:tcPr>
            <w:tcW w:w="901" w:type="dxa"/>
            <w:vMerge w:val="restart"/>
            <w:shd w:val="clear" w:color="auto" w:fill="auto"/>
            <w:vAlign w:val="center"/>
          </w:tcPr>
          <w:p>
            <w:pPr>
              <w:adjustRightInd w:val="0"/>
              <w:snapToGrid w:val="0"/>
              <w:jc w:val="center"/>
              <w:rPr>
                <w:bCs/>
                <w:color w:val="auto"/>
                <w:kern w:val="21"/>
              </w:rPr>
            </w:pPr>
            <w:r>
              <w:rPr>
                <w:rFonts w:hint="eastAsia"/>
                <w:bCs/>
                <w:color w:val="auto"/>
                <w:kern w:val="21"/>
              </w:rPr>
              <w:t>南车间原料区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盖帽钢带</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0.3mm*20mm</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3022</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70kg/卷</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电池箱钢卷</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1.0mm*800mm</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10943</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28t/卷</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焊丝</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0.8mm</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79.2</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15kg/卷</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齿轮油</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90</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180kg/桶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拉伸油</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350</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180kg/桶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前处理工序</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碱性脱脂剂</w:t>
            </w:r>
          </w:p>
        </w:tc>
        <w:tc>
          <w:tcPr>
            <w:tcW w:w="1559" w:type="dxa"/>
            <w:shd w:val="clear" w:color="auto" w:fill="auto"/>
            <w:vAlign w:val="center"/>
          </w:tcPr>
          <w:p>
            <w:pPr>
              <w:pStyle w:val="283"/>
              <w:jc w:val="center"/>
              <w:rPr>
                <w:rFonts w:ascii="Times New Roman" w:cs="Times New Roman"/>
                <w:bCs/>
                <w:color w:val="auto"/>
                <w:kern w:val="21"/>
                <w:sz w:val="21"/>
                <w:szCs w:val="21"/>
              </w:rPr>
            </w:pPr>
            <w:r>
              <w:rPr>
                <w:rFonts w:ascii="Times New Roman" w:cs="Times New Roman"/>
                <w:bCs/>
                <w:color w:val="auto"/>
                <w:kern w:val="21"/>
                <w:sz w:val="21"/>
                <w:szCs w:val="21"/>
              </w:rPr>
              <w:t>主要成分：氢氧化钠</w:t>
            </w:r>
            <w:r>
              <w:rPr>
                <w:rFonts w:hint="eastAsia" w:ascii="Times New Roman" w:cs="Times New Roman"/>
                <w:bCs/>
                <w:color w:val="auto"/>
                <w:kern w:val="21"/>
                <w:sz w:val="21"/>
                <w:szCs w:val="21"/>
              </w:rPr>
              <w:t>、</w:t>
            </w:r>
            <w:r>
              <w:rPr>
                <w:rFonts w:ascii="Times New Roman" w:cs="Times New Roman"/>
                <w:bCs/>
                <w:color w:val="auto"/>
                <w:kern w:val="21"/>
                <w:sz w:val="21"/>
                <w:szCs w:val="21"/>
              </w:rPr>
              <w:t>碳酸钠</w:t>
            </w:r>
            <w:r>
              <w:rPr>
                <w:rFonts w:hint="eastAsia" w:ascii="Times New Roman" w:cs="Times New Roman"/>
                <w:bCs/>
                <w:color w:val="auto"/>
                <w:kern w:val="21"/>
                <w:sz w:val="21"/>
                <w:szCs w:val="21"/>
              </w:rPr>
              <w:t>、表面活性剂；</w:t>
            </w:r>
            <w:r>
              <w:rPr>
                <w:rFonts w:ascii="Times New Roman" w:cs="Times New Roman"/>
                <w:bCs/>
                <w:color w:val="auto"/>
                <w:kern w:val="21"/>
                <w:sz w:val="21"/>
                <w:szCs w:val="21"/>
              </w:rPr>
              <w:t>含量50g/L</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77</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restart"/>
            <w:shd w:val="clear" w:color="auto" w:fill="auto"/>
            <w:vAlign w:val="center"/>
          </w:tcPr>
          <w:p>
            <w:pPr>
              <w:adjustRightInd w:val="0"/>
              <w:snapToGrid w:val="0"/>
              <w:jc w:val="center"/>
              <w:rPr>
                <w:bCs/>
                <w:color w:val="auto"/>
                <w:kern w:val="21"/>
              </w:rPr>
            </w:pPr>
            <w:r>
              <w:rPr>
                <w:rFonts w:hint="eastAsia"/>
                <w:bCs/>
                <w:color w:val="auto"/>
                <w:kern w:val="21"/>
              </w:rPr>
              <w:t>北车间原料区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盐酸</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35%</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359.17</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10T储罐</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电镀工序</w:t>
            </w:r>
          </w:p>
          <w:p>
            <w:pPr>
              <w:adjustRightInd w:val="0"/>
              <w:snapToGrid w:val="0"/>
              <w:jc w:val="center"/>
              <w:rPr>
                <w:bCs/>
                <w:color w:val="auto"/>
                <w:kern w:val="21"/>
              </w:rPr>
            </w:pPr>
            <w:r>
              <w:rPr>
                <w:rFonts w:hint="eastAsia"/>
                <w:bCs/>
                <w:color w:val="auto"/>
                <w:kern w:val="21"/>
              </w:rPr>
              <w:t>（镀镍、镀锌）</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镍板</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99.99%</w:t>
            </w:r>
          </w:p>
        </w:tc>
        <w:tc>
          <w:tcPr>
            <w:tcW w:w="993" w:type="dxa"/>
            <w:shd w:val="clear" w:color="auto" w:fill="auto"/>
            <w:vAlign w:val="center"/>
          </w:tcPr>
          <w:p>
            <w:pPr>
              <w:adjustRightInd w:val="0"/>
              <w:snapToGrid w:val="0"/>
              <w:jc w:val="center"/>
              <w:rPr>
                <w:bCs/>
                <w:color w:val="auto"/>
                <w:kern w:val="21"/>
              </w:rPr>
            </w:pPr>
            <w:r>
              <w:rPr>
                <w:rFonts w:hint="eastAsia"/>
                <w:color w:val="auto"/>
                <w:kern w:val="21"/>
              </w:rPr>
              <w:t>675.706</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5kg/块</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氯化镍</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95%</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109.926</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硫酸镍</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95%</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200.307</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氯化锌</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95%</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2.114</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锌板</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99.99%</w:t>
            </w:r>
          </w:p>
        </w:tc>
        <w:tc>
          <w:tcPr>
            <w:tcW w:w="993" w:type="dxa"/>
            <w:shd w:val="clear" w:color="auto" w:fill="auto"/>
            <w:vAlign w:val="center"/>
          </w:tcPr>
          <w:p>
            <w:pPr>
              <w:adjustRightInd w:val="0"/>
              <w:snapToGrid w:val="0"/>
              <w:jc w:val="center"/>
              <w:rPr>
                <w:bCs/>
                <w:color w:val="auto"/>
                <w:kern w:val="21"/>
              </w:rPr>
            </w:pPr>
            <w:r>
              <w:rPr>
                <w:rFonts w:hint="eastAsia"/>
                <w:color w:val="auto"/>
                <w:kern w:val="21"/>
              </w:rPr>
              <w:t>42.112</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5kg/块</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硼酸</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99%</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37</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柔软剂</w:t>
            </w:r>
          </w:p>
        </w:tc>
        <w:tc>
          <w:tcPr>
            <w:tcW w:w="1559" w:type="dxa"/>
            <w:shd w:val="clear" w:color="auto" w:fill="auto"/>
            <w:vAlign w:val="center"/>
          </w:tcPr>
          <w:p>
            <w:pPr>
              <w:widowControl w:val="0"/>
              <w:adjustRightInd w:val="0"/>
              <w:snapToGrid w:val="0"/>
              <w:jc w:val="center"/>
              <w:rPr>
                <w:bCs/>
                <w:color w:val="auto"/>
                <w:kern w:val="21"/>
              </w:rPr>
            </w:pPr>
            <w:r>
              <w:rPr>
                <w:rFonts w:hint="eastAsia"/>
                <w:bCs/>
                <w:color w:val="auto"/>
                <w:kern w:val="21"/>
              </w:rPr>
              <w:t>糖精钠</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92</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光亮剂</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丁炔二醇，糖精，丙烷磺酸吡啶嗡盐</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11</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漂白</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柠檬酸</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5g/L</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22</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葡萄糖酸钠</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5.5</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shd w:val="clear" w:color="auto" w:fill="auto"/>
            <w:vAlign w:val="center"/>
          </w:tcPr>
          <w:p>
            <w:pPr>
              <w:adjustRightInd w:val="0"/>
              <w:snapToGrid w:val="0"/>
              <w:jc w:val="center"/>
              <w:rPr>
                <w:bCs/>
                <w:color w:val="auto"/>
                <w:kern w:val="21"/>
              </w:rPr>
            </w:pPr>
            <w:r>
              <w:rPr>
                <w:rFonts w:hint="eastAsia"/>
                <w:bCs/>
                <w:color w:val="auto"/>
                <w:kern w:val="21"/>
              </w:rPr>
              <w:t>中和</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氢氧化钠</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99%</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66</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钝化</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铬酸酐</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99%</w:t>
            </w:r>
          </w:p>
        </w:tc>
        <w:tc>
          <w:tcPr>
            <w:tcW w:w="993" w:type="dxa"/>
            <w:shd w:val="clear" w:color="auto" w:fill="auto"/>
            <w:vAlign w:val="center"/>
          </w:tcPr>
          <w:p>
            <w:pPr>
              <w:adjustRightInd w:val="0"/>
              <w:snapToGrid w:val="0"/>
              <w:jc w:val="center"/>
              <w:rPr>
                <w:bCs/>
                <w:color w:val="auto"/>
                <w:kern w:val="21"/>
              </w:rPr>
            </w:pPr>
            <w:r>
              <w:rPr>
                <w:rFonts w:hint="eastAsia"/>
                <w:color w:val="auto"/>
                <w:kern w:val="21"/>
              </w:rPr>
              <w:t>257.966</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50kg/桶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bCs/>
                <w:color w:val="auto"/>
                <w:kern w:val="21"/>
              </w:rPr>
              <w:t>三价铬钝化剂</w:t>
            </w:r>
          </w:p>
        </w:tc>
        <w:tc>
          <w:tcPr>
            <w:tcW w:w="1559" w:type="dxa"/>
            <w:shd w:val="clear" w:color="auto" w:fill="auto"/>
            <w:vAlign w:val="center"/>
          </w:tcPr>
          <w:p>
            <w:pPr>
              <w:widowControl w:val="0"/>
              <w:autoSpaceDE w:val="0"/>
              <w:autoSpaceDN w:val="0"/>
              <w:adjustRightInd w:val="0"/>
              <w:rPr>
                <w:bCs/>
                <w:color w:val="auto"/>
                <w:kern w:val="21"/>
              </w:rPr>
            </w:pPr>
            <w:r>
              <w:rPr>
                <w:rFonts w:hint="eastAsia"/>
                <w:bCs/>
                <w:color w:val="auto"/>
                <w:kern w:val="21"/>
              </w:rPr>
              <w:t>硝酸铬及络合剂、促进剂等化学混合物</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10.277</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shd w:val="clear" w:color="auto" w:fill="auto"/>
            <w:vAlign w:val="center"/>
          </w:tcPr>
          <w:p>
            <w:pPr>
              <w:adjustRightInd w:val="0"/>
              <w:snapToGrid w:val="0"/>
              <w:jc w:val="center"/>
              <w:rPr>
                <w:bCs/>
                <w:color w:val="auto"/>
                <w:kern w:val="21"/>
              </w:rPr>
            </w:pPr>
            <w:r>
              <w:rPr>
                <w:rFonts w:hint="eastAsia"/>
                <w:bCs/>
                <w:color w:val="auto"/>
                <w:kern w:val="21"/>
              </w:rPr>
              <w:t>出光</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硫酸</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98%</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32</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5T储罐</w:t>
            </w:r>
          </w:p>
        </w:tc>
        <w:tc>
          <w:tcPr>
            <w:tcW w:w="901" w:type="dxa"/>
            <w:vMerge w:val="continue"/>
            <w:shd w:val="clear" w:color="auto" w:fill="auto"/>
            <w:vAlign w:val="center"/>
          </w:tcPr>
          <w:p>
            <w:pPr>
              <w:widowControl w:val="0"/>
              <w:adjustRightInd w:val="0"/>
              <w:snapToGrid w:val="0"/>
              <w:spacing w:line="480" w:lineRule="exact"/>
              <w:ind w:firstLine="420" w:firstLineChars="20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shd w:val="clear" w:color="auto" w:fill="auto"/>
            <w:vAlign w:val="center"/>
          </w:tcPr>
          <w:p>
            <w:pPr>
              <w:adjustRightInd w:val="0"/>
              <w:snapToGrid w:val="0"/>
              <w:jc w:val="center"/>
              <w:rPr>
                <w:bCs/>
                <w:color w:val="auto"/>
                <w:kern w:val="21"/>
              </w:rPr>
            </w:pPr>
            <w:r>
              <w:rPr>
                <w:rFonts w:hint="eastAsia"/>
                <w:bCs/>
                <w:color w:val="auto"/>
                <w:kern w:val="21"/>
              </w:rPr>
              <w:t>封闭</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封闭剂</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AES和甘油</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5.5</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50kg/桶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污水处理系统</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硫酸</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98%</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4.5</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500L PE罐</w:t>
            </w:r>
          </w:p>
        </w:tc>
        <w:tc>
          <w:tcPr>
            <w:tcW w:w="901" w:type="dxa"/>
            <w:vMerge w:val="restart"/>
            <w:shd w:val="clear" w:color="auto" w:fill="auto"/>
            <w:vAlign w:val="center"/>
          </w:tcPr>
          <w:p>
            <w:pPr>
              <w:adjustRightInd w:val="0"/>
              <w:snapToGrid w:val="0"/>
              <w:jc w:val="center"/>
              <w:rPr>
                <w:bCs/>
                <w:color w:val="auto"/>
                <w:kern w:val="21"/>
              </w:rPr>
            </w:pPr>
            <w:r>
              <w:rPr>
                <w:rFonts w:hint="eastAsia"/>
                <w:bCs/>
                <w:color w:val="auto"/>
                <w:kern w:val="21"/>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亚硫酸氢钠</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1.5</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widowControl w:val="0"/>
              <w:adjustRightInd w:val="0"/>
              <w:snapToGrid w:val="0"/>
              <w:spacing w:line="360" w:lineRule="auto"/>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双氧水</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5</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也太</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1T储罐</w:t>
            </w:r>
          </w:p>
        </w:tc>
        <w:tc>
          <w:tcPr>
            <w:tcW w:w="901" w:type="dxa"/>
            <w:vMerge w:val="continue"/>
            <w:shd w:val="clear" w:color="auto" w:fill="auto"/>
            <w:vAlign w:val="center"/>
          </w:tcPr>
          <w:p>
            <w:pPr>
              <w:widowControl w:val="0"/>
              <w:adjustRightInd w:val="0"/>
              <w:snapToGrid w:val="0"/>
              <w:spacing w:line="360" w:lineRule="auto"/>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片碱</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NaoH</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0.75</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破乳剂</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成分：表面活性剂</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0.35</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混凝剂</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成分：PAM、PAC</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25.2</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氯化钙</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3.2</w:t>
            </w:r>
          </w:p>
        </w:tc>
        <w:tc>
          <w:tcPr>
            <w:tcW w:w="708" w:type="dxa"/>
            <w:shd w:val="clear" w:color="auto" w:fill="auto"/>
            <w:vAlign w:val="center"/>
          </w:tcPr>
          <w:p>
            <w:pPr>
              <w:adjustRightInd w:val="0"/>
              <w:snapToGrid w:val="0"/>
              <w:jc w:val="center"/>
              <w:rPr>
                <w:bCs/>
                <w:color w:val="auto"/>
                <w:kern w:val="21"/>
              </w:rPr>
            </w:pPr>
            <w:r>
              <w:rPr>
                <w:rFonts w:hint="eastAsia"/>
                <w:bCs/>
                <w:color w:val="auto"/>
                <w:kern w:val="21"/>
              </w:rPr>
              <w:t>固态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25kg/袋</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阻垢剂</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93" w:type="dxa"/>
            <w:shd w:val="clear" w:color="auto" w:fill="auto"/>
            <w:vAlign w:val="center"/>
          </w:tcPr>
          <w:p>
            <w:pPr>
              <w:adjustRightInd w:val="0"/>
              <w:snapToGrid w:val="0"/>
              <w:jc w:val="center"/>
              <w:rPr>
                <w:bCs/>
                <w:color w:val="auto"/>
                <w:kern w:val="21"/>
              </w:rPr>
            </w:pPr>
            <w:r>
              <w:rPr>
                <w:rFonts w:hint="eastAsia"/>
                <w:bCs/>
                <w:color w:val="auto"/>
                <w:kern w:val="21"/>
              </w:rPr>
              <w:t>0.05</w:t>
            </w:r>
          </w:p>
        </w:tc>
        <w:tc>
          <w:tcPr>
            <w:tcW w:w="708" w:type="dxa"/>
            <w:shd w:val="clear" w:color="auto" w:fill="auto"/>
            <w:vAlign w:val="center"/>
          </w:tcPr>
          <w:p>
            <w:pPr>
              <w:adjustRightInd w:val="0"/>
              <w:snapToGrid w:val="0"/>
              <w:jc w:val="center"/>
              <w:rPr>
                <w:bCs/>
                <w:color w:val="auto"/>
                <w:kern w:val="21"/>
              </w:rPr>
            </w:pPr>
            <w:r>
              <w:rPr>
                <w:bCs/>
                <w:color w:val="auto"/>
                <w:kern w:val="21"/>
              </w:rPr>
              <w:t>液态</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25kg/桶</w:t>
            </w:r>
          </w:p>
        </w:tc>
        <w:tc>
          <w:tcPr>
            <w:tcW w:w="901" w:type="dxa"/>
            <w:vMerge w:val="continue"/>
            <w:shd w:val="clear" w:color="auto" w:fill="auto"/>
            <w:vAlign w:val="center"/>
          </w:tcPr>
          <w:p>
            <w:pPr>
              <w:adjustRightInd w:val="0"/>
              <w:snapToGrid w:val="0"/>
              <w:jc w:val="center"/>
              <w:rPr>
                <w:bCs/>
                <w:color w:val="auto"/>
                <w:kern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restart"/>
            <w:shd w:val="clear" w:color="auto" w:fill="auto"/>
            <w:vAlign w:val="center"/>
          </w:tcPr>
          <w:p>
            <w:pPr>
              <w:adjustRightInd w:val="0"/>
              <w:snapToGrid w:val="0"/>
              <w:jc w:val="center"/>
              <w:rPr>
                <w:bCs/>
                <w:color w:val="auto"/>
                <w:kern w:val="21"/>
              </w:rPr>
            </w:pPr>
            <w:r>
              <w:rPr>
                <w:rFonts w:hint="eastAsia"/>
                <w:bCs/>
                <w:color w:val="auto"/>
                <w:kern w:val="21"/>
              </w:rPr>
              <w:t>资源能源</w:t>
            </w: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水</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1701" w:type="dxa"/>
            <w:gridSpan w:val="2"/>
            <w:shd w:val="clear" w:color="auto" w:fill="auto"/>
            <w:vAlign w:val="center"/>
          </w:tcPr>
          <w:p>
            <w:pPr>
              <w:adjustRightInd w:val="0"/>
              <w:snapToGrid w:val="0"/>
              <w:jc w:val="center"/>
              <w:rPr>
                <w:bCs/>
                <w:color w:val="auto"/>
                <w:kern w:val="21"/>
              </w:rPr>
            </w:pPr>
            <w:r>
              <w:rPr>
                <w:rFonts w:hint="eastAsia"/>
                <w:bCs/>
                <w:color w:val="auto"/>
                <w:kern w:val="21"/>
              </w:rPr>
              <w:t>31965.731</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01" w:type="dxa"/>
            <w:shd w:val="clear" w:color="auto" w:fill="auto"/>
            <w:vAlign w:val="center"/>
          </w:tcPr>
          <w:p>
            <w:pPr>
              <w:adjustRightInd w:val="0"/>
              <w:snapToGrid w:val="0"/>
              <w:jc w:val="center"/>
              <w:rPr>
                <w:rFonts w:hint="eastAsia"/>
                <w:bCs/>
                <w:color w:val="auto"/>
                <w:kern w:val="21"/>
              </w:rPr>
            </w:pPr>
            <w:r>
              <w:rPr>
                <w:rFonts w:hint="eastAsia"/>
                <w:bCs/>
                <w:color w:val="auto"/>
                <w:kern w:val="21"/>
              </w:rPr>
              <w:t>管网</w:t>
            </w:r>
          </w:p>
          <w:p>
            <w:pPr>
              <w:adjustRightInd w:val="0"/>
              <w:snapToGrid w:val="0"/>
              <w:jc w:val="center"/>
              <w:rPr>
                <w:bCs/>
                <w:color w:val="auto"/>
                <w:kern w:val="21"/>
              </w:rPr>
            </w:pPr>
            <w:r>
              <w:rPr>
                <w:rFonts w:hint="eastAsia"/>
                <w:bCs/>
                <w:color w:val="auto"/>
                <w:kern w:val="21"/>
              </w:rPr>
              <w:t>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电</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1701" w:type="dxa"/>
            <w:gridSpan w:val="2"/>
            <w:shd w:val="clear" w:color="auto" w:fill="auto"/>
            <w:vAlign w:val="center"/>
          </w:tcPr>
          <w:p>
            <w:pPr>
              <w:adjustRightInd w:val="0"/>
              <w:snapToGrid w:val="0"/>
              <w:jc w:val="center"/>
              <w:rPr>
                <w:bCs/>
                <w:color w:val="auto"/>
                <w:kern w:val="21"/>
              </w:rPr>
            </w:pPr>
            <w:r>
              <w:rPr>
                <w:rFonts w:hint="eastAsia"/>
                <w:bCs/>
                <w:color w:val="auto"/>
                <w:kern w:val="21"/>
              </w:rPr>
              <w:t>720万kwh</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01" w:type="dxa"/>
            <w:shd w:val="clear" w:color="auto" w:fill="auto"/>
            <w:vAlign w:val="center"/>
          </w:tcPr>
          <w:p>
            <w:pPr>
              <w:adjustRightInd w:val="0"/>
              <w:snapToGrid w:val="0"/>
              <w:jc w:val="center"/>
              <w:rPr>
                <w:rFonts w:hint="eastAsia"/>
                <w:bCs/>
                <w:color w:val="auto"/>
                <w:kern w:val="21"/>
              </w:rPr>
            </w:pPr>
            <w:r>
              <w:rPr>
                <w:rFonts w:hint="eastAsia"/>
                <w:bCs/>
                <w:color w:val="auto"/>
                <w:kern w:val="21"/>
              </w:rPr>
              <w:t>电网</w:t>
            </w:r>
          </w:p>
          <w:p>
            <w:pPr>
              <w:adjustRightInd w:val="0"/>
              <w:snapToGrid w:val="0"/>
              <w:jc w:val="center"/>
              <w:rPr>
                <w:bCs/>
                <w:color w:val="auto"/>
                <w:kern w:val="21"/>
              </w:rPr>
            </w:pPr>
            <w:r>
              <w:rPr>
                <w:rFonts w:hint="eastAsia"/>
                <w:bCs/>
                <w:color w:val="auto"/>
                <w:kern w:val="21"/>
              </w:rPr>
              <w:t>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96" w:type="dxa"/>
            <w:vMerge w:val="continue"/>
            <w:shd w:val="clear" w:color="auto" w:fill="auto"/>
            <w:vAlign w:val="center"/>
          </w:tcPr>
          <w:p>
            <w:pPr>
              <w:adjustRightInd w:val="0"/>
              <w:snapToGrid w:val="0"/>
              <w:jc w:val="center"/>
              <w:rPr>
                <w:bCs/>
                <w:color w:val="auto"/>
                <w:kern w:val="21"/>
              </w:rPr>
            </w:pPr>
          </w:p>
        </w:tc>
        <w:tc>
          <w:tcPr>
            <w:tcW w:w="1389" w:type="dxa"/>
            <w:shd w:val="clear" w:color="auto" w:fill="auto"/>
            <w:vAlign w:val="center"/>
          </w:tcPr>
          <w:p>
            <w:pPr>
              <w:adjustRightInd w:val="0"/>
              <w:snapToGrid w:val="0"/>
              <w:jc w:val="center"/>
              <w:rPr>
                <w:bCs/>
                <w:color w:val="auto"/>
                <w:kern w:val="21"/>
              </w:rPr>
            </w:pPr>
            <w:r>
              <w:rPr>
                <w:rFonts w:hint="eastAsia"/>
                <w:bCs/>
                <w:color w:val="auto"/>
                <w:kern w:val="21"/>
              </w:rPr>
              <w:t>天然气</w:t>
            </w:r>
          </w:p>
        </w:tc>
        <w:tc>
          <w:tcPr>
            <w:tcW w:w="1559"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1701" w:type="dxa"/>
            <w:gridSpan w:val="2"/>
            <w:shd w:val="clear" w:color="auto" w:fill="auto"/>
            <w:vAlign w:val="center"/>
          </w:tcPr>
          <w:p>
            <w:pPr>
              <w:adjustRightInd w:val="0"/>
              <w:snapToGrid w:val="0"/>
              <w:jc w:val="center"/>
              <w:rPr>
                <w:bCs/>
                <w:color w:val="auto"/>
                <w:kern w:val="21"/>
              </w:rPr>
            </w:pPr>
            <w:r>
              <w:rPr>
                <w:rFonts w:hint="eastAsia"/>
                <w:bCs/>
                <w:color w:val="auto"/>
                <w:kern w:val="21"/>
              </w:rPr>
              <w:t>434.44万m</w:t>
            </w:r>
            <w:r>
              <w:rPr>
                <w:rFonts w:hint="eastAsia"/>
                <w:bCs/>
                <w:color w:val="auto"/>
                <w:kern w:val="21"/>
                <w:vertAlign w:val="superscript"/>
              </w:rPr>
              <w:t>3</w:t>
            </w:r>
          </w:p>
        </w:tc>
        <w:tc>
          <w:tcPr>
            <w:tcW w:w="1276" w:type="dxa"/>
            <w:shd w:val="clear" w:color="auto" w:fill="auto"/>
            <w:vAlign w:val="center"/>
          </w:tcPr>
          <w:p>
            <w:pPr>
              <w:adjustRightInd w:val="0"/>
              <w:snapToGrid w:val="0"/>
              <w:jc w:val="center"/>
              <w:rPr>
                <w:bCs/>
                <w:color w:val="auto"/>
                <w:kern w:val="21"/>
              </w:rPr>
            </w:pPr>
            <w:r>
              <w:rPr>
                <w:rFonts w:hint="eastAsia"/>
                <w:bCs/>
                <w:color w:val="auto"/>
                <w:kern w:val="21"/>
              </w:rPr>
              <w:t>/</w:t>
            </w:r>
          </w:p>
        </w:tc>
        <w:tc>
          <w:tcPr>
            <w:tcW w:w="901" w:type="dxa"/>
            <w:shd w:val="clear" w:color="auto" w:fill="auto"/>
            <w:vAlign w:val="center"/>
          </w:tcPr>
          <w:p>
            <w:pPr>
              <w:adjustRightInd w:val="0"/>
              <w:snapToGrid w:val="0"/>
              <w:jc w:val="center"/>
              <w:rPr>
                <w:rFonts w:hint="eastAsia"/>
                <w:bCs/>
                <w:color w:val="auto"/>
                <w:kern w:val="21"/>
              </w:rPr>
            </w:pPr>
            <w:r>
              <w:rPr>
                <w:rFonts w:hint="eastAsia"/>
                <w:bCs/>
                <w:color w:val="auto"/>
                <w:kern w:val="21"/>
              </w:rPr>
              <w:t>管道</w:t>
            </w:r>
          </w:p>
          <w:p>
            <w:pPr>
              <w:adjustRightInd w:val="0"/>
              <w:snapToGrid w:val="0"/>
              <w:jc w:val="center"/>
              <w:rPr>
                <w:bCs/>
                <w:color w:val="auto"/>
                <w:kern w:val="21"/>
              </w:rPr>
            </w:pPr>
            <w:r>
              <w:rPr>
                <w:rFonts w:hint="eastAsia"/>
                <w:bCs/>
                <w:color w:val="auto"/>
                <w:kern w:val="21"/>
              </w:rPr>
              <w:t>供应</w:t>
            </w:r>
          </w:p>
        </w:tc>
      </w:tr>
    </w:tbl>
    <w:p>
      <w:pPr>
        <w:keepNext w:val="0"/>
        <w:keepLines w:val="0"/>
        <w:pageBreakBefore w:val="0"/>
        <w:widowControl w:val="0"/>
        <w:kinsoku/>
        <w:wordWrap/>
        <w:overflowPunct/>
        <w:topLinePunct w:val="0"/>
        <w:autoSpaceDE/>
        <w:autoSpaceDN/>
        <w:bidi w:val="0"/>
        <w:adjustRightInd w:val="0"/>
        <w:snapToGrid w:val="0"/>
        <w:spacing w:before="191" w:beforeLines="50" w:line="360" w:lineRule="auto"/>
        <w:ind w:firstLine="480" w:firstLineChars="200"/>
        <w:jc w:val="both"/>
        <w:textAlignment w:val="baseline"/>
        <w:rPr>
          <w:color w:val="auto"/>
          <w:kern w:val="0"/>
          <w:sz w:val="24"/>
          <w:szCs w:val="20"/>
        </w:rPr>
      </w:pPr>
      <w:r>
        <w:rPr>
          <w:rFonts w:hint="eastAsia"/>
          <w:color w:val="auto"/>
          <w:kern w:val="0"/>
          <w:sz w:val="24"/>
          <w:szCs w:val="20"/>
        </w:rPr>
        <w:t>（2）针对项目运营期产生的环境影响，项目拟采取的防治措施</w:t>
      </w:r>
    </w:p>
    <w:p>
      <w:pPr>
        <w:widowControl w:val="0"/>
        <w:adjustRightInd w:val="0"/>
        <w:snapToGrid w:val="0"/>
        <w:spacing w:line="360" w:lineRule="auto"/>
        <w:ind w:firstLine="482" w:firstLineChars="200"/>
        <w:jc w:val="both"/>
        <w:textAlignment w:val="baseline"/>
        <w:rPr>
          <w:color w:val="auto"/>
          <w:kern w:val="21"/>
          <w:sz w:val="24"/>
          <w:szCs w:val="24"/>
        </w:rPr>
      </w:pPr>
      <w:r>
        <w:rPr>
          <w:rFonts w:hint="eastAsia"/>
          <w:b/>
          <w:color w:val="auto"/>
          <w:kern w:val="0"/>
          <w:sz w:val="24"/>
          <w:szCs w:val="24"/>
        </w:rPr>
        <w:t>废气：</w:t>
      </w:r>
      <w:r>
        <w:rPr>
          <w:color w:val="auto"/>
          <w:kern w:val="21"/>
          <w:sz w:val="24"/>
          <w:szCs w:val="24"/>
        </w:rPr>
        <w:t>本项目大气污染源主要为生产线</w:t>
      </w:r>
      <w:r>
        <w:rPr>
          <w:rFonts w:hint="eastAsia"/>
          <w:color w:val="auto"/>
          <w:kern w:val="21"/>
          <w:sz w:val="24"/>
          <w:szCs w:val="24"/>
        </w:rPr>
        <w:t>酸雾、酸储罐酸雾、</w:t>
      </w:r>
      <w:r>
        <w:rPr>
          <w:color w:val="auto"/>
          <w:kern w:val="21"/>
          <w:sz w:val="24"/>
          <w:szCs w:val="24"/>
        </w:rPr>
        <w:t>燃气锅炉废气、污水站恶臭、焊接烟尘。</w:t>
      </w:r>
    </w:p>
    <w:p>
      <w:pPr>
        <w:widowControl w:val="0"/>
        <w:adjustRightInd w:val="0"/>
        <w:snapToGrid w:val="0"/>
        <w:spacing w:line="360" w:lineRule="auto"/>
        <w:ind w:firstLine="480" w:firstLineChars="200"/>
        <w:jc w:val="both"/>
        <w:textAlignment w:val="baseline"/>
        <w:rPr>
          <w:rFonts w:hint="eastAsia"/>
          <w:color w:val="auto"/>
          <w:kern w:val="21"/>
          <w:sz w:val="24"/>
          <w:szCs w:val="24"/>
        </w:rPr>
      </w:pPr>
      <w:r>
        <w:rPr>
          <w:rFonts w:hint="eastAsia"/>
          <w:color w:val="auto"/>
          <w:kern w:val="21"/>
          <w:sz w:val="24"/>
          <w:szCs w:val="24"/>
        </w:rPr>
        <w:t>电镀线设置全封闭，酸洗槽</w:t>
      </w:r>
      <w:r>
        <w:rPr>
          <w:rFonts w:hint="eastAsia"/>
          <w:color w:val="auto"/>
          <w:kern w:val="21"/>
          <w:sz w:val="24"/>
          <w:szCs w:val="24"/>
          <w:lang w:val="en-GB"/>
        </w:rPr>
        <w:t>设置顶吸罩</w:t>
      </w:r>
      <w:r>
        <w:rPr>
          <w:color w:val="auto"/>
          <w:kern w:val="21"/>
          <w:sz w:val="24"/>
          <w:szCs w:val="24"/>
          <w:lang w:val="en-GB"/>
        </w:rPr>
        <w:t>+</w:t>
      </w:r>
      <w:r>
        <w:rPr>
          <w:rFonts w:hint="eastAsia"/>
          <w:color w:val="auto"/>
          <w:kern w:val="21"/>
          <w:sz w:val="24"/>
          <w:szCs w:val="24"/>
          <w:lang w:val="en-GB"/>
        </w:rPr>
        <w:t>槽边双侧抽风收集系统</w:t>
      </w:r>
      <w:r>
        <w:rPr>
          <w:rFonts w:hint="eastAsia"/>
          <w:color w:val="auto"/>
          <w:kern w:val="21"/>
          <w:sz w:val="24"/>
          <w:szCs w:val="24"/>
        </w:rPr>
        <w:t>，酸储罐设置顶吸集气罩，收集的酸雾经二级碱液喷淋中和塔处理后，于15m高排气筒排放，外排废气可满足</w:t>
      </w:r>
      <w:r>
        <w:rPr>
          <w:color w:val="auto"/>
          <w:kern w:val="21"/>
          <w:sz w:val="24"/>
          <w:szCs w:val="24"/>
        </w:rPr>
        <w:t>《电镀污染物排放标准》（GB21900-2008）表5标准中氯化氢排放标准30mg/m</w:t>
      </w:r>
      <w:r>
        <w:rPr>
          <w:color w:val="auto"/>
          <w:kern w:val="21"/>
          <w:sz w:val="24"/>
          <w:szCs w:val="24"/>
          <w:vertAlign w:val="superscript"/>
        </w:rPr>
        <w:t>3</w:t>
      </w:r>
      <w:r>
        <w:rPr>
          <w:color w:val="auto"/>
          <w:kern w:val="21"/>
          <w:sz w:val="24"/>
          <w:szCs w:val="24"/>
        </w:rPr>
        <w:t>及</w:t>
      </w:r>
      <w:r>
        <w:rPr>
          <w:rFonts w:hint="eastAsia" w:ascii="宋体" w:hAnsi="宋体" w:cs="宋体"/>
          <w:color w:val="auto"/>
          <w:kern w:val="0"/>
          <w:sz w:val="24"/>
          <w:szCs w:val="24"/>
          <w:lang w:val="zh-CN" w:bidi="zh-CN"/>
        </w:rPr>
        <w:t>《河南省重污染天气重点行业应急减排措施制定技术指南（</w:t>
      </w:r>
      <w:r>
        <w:rPr>
          <w:rFonts w:ascii="宋体" w:hAnsi="宋体" w:cs="宋体"/>
          <w:color w:val="auto"/>
          <w:kern w:val="0"/>
          <w:sz w:val="24"/>
          <w:szCs w:val="24"/>
          <w:lang w:val="zh-CN" w:bidi="zh-CN"/>
        </w:rPr>
        <w:t>2021</w:t>
      </w:r>
      <w:r>
        <w:rPr>
          <w:rFonts w:hint="eastAsia" w:ascii="宋体" w:hAnsi="宋体" w:cs="宋体"/>
          <w:color w:val="auto"/>
          <w:kern w:val="0"/>
          <w:sz w:val="24"/>
          <w:szCs w:val="24"/>
          <w:lang w:val="zh-CN" w:bidi="zh-CN"/>
        </w:rPr>
        <w:t>年修订）》中“</w:t>
      </w:r>
      <w:r>
        <w:rPr>
          <w:rFonts w:hint="eastAsia"/>
          <w:color w:val="auto"/>
          <w:sz w:val="24"/>
          <w:szCs w:val="24"/>
        </w:rPr>
        <w:t>金属表面处理及热处理加工</w:t>
      </w:r>
      <w:r>
        <w:rPr>
          <w:rFonts w:hint="eastAsia"/>
          <w:color w:val="auto"/>
          <w:sz w:val="24"/>
          <w:szCs w:val="24"/>
          <w:lang w:eastAsia="zh-CN"/>
        </w:rPr>
        <w:t>”</w:t>
      </w:r>
      <w:r>
        <w:rPr>
          <w:rFonts w:hint="default" w:ascii="Times New Roman" w:hAnsi="Times New Roman" w:cs="Times New Roman"/>
          <w:color w:val="auto"/>
          <w:kern w:val="0"/>
          <w:sz w:val="24"/>
          <w:szCs w:val="24"/>
          <w:lang w:val="zh-CN" w:bidi="zh-CN"/>
        </w:rPr>
        <w:t>10mg/m</w:t>
      </w:r>
      <w:r>
        <w:rPr>
          <w:rFonts w:hint="default" w:ascii="Times New Roman" w:hAnsi="Times New Roman" w:cs="Times New Roman"/>
          <w:color w:val="auto"/>
          <w:kern w:val="0"/>
          <w:sz w:val="24"/>
          <w:szCs w:val="24"/>
          <w:vertAlign w:val="superscript"/>
          <w:lang w:val="zh-CN" w:bidi="zh-CN"/>
        </w:rPr>
        <w:t>3</w:t>
      </w:r>
      <w:r>
        <w:rPr>
          <w:rFonts w:hint="default" w:ascii="Times New Roman" w:hAnsi="Times New Roman" w:cs="Times New Roman"/>
          <w:color w:val="auto"/>
          <w:kern w:val="0"/>
          <w:sz w:val="24"/>
          <w:szCs w:val="24"/>
          <w:lang w:val="zh-CN" w:bidi="zh-CN"/>
        </w:rPr>
        <w:t>浓度限</w:t>
      </w:r>
      <w:r>
        <w:rPr>
          <w:rFonts w:hint="eastAsia" w:ascii="宋体" w:hAnsi="宋体" w:cs="宋体"/>
          <w:color w:val="auto"/>
          <w:kern w:val="0"/>
          <w:sz w:val="24"/>
          <w:szCs w:val="24"/>
          <w:lang w:val="zh-CN" w:bidi="zh-CN"/>
        </w:rPr>
        <w:t>值要求</w:t>
      </w:r>
      <w:r>
        <w:rPr>
          <w:rFonts w:hint="eastAsia"/>
          <w:color w:val="auto"/>
          <w:kern w:val="21"/>
          <w:sz w:val="24"/>
          <w:szCs w:val="24"/>
        </w:rPr>
        <w:t>；</w:t>
      </w:r>
    </w:p>
    <w:p>
      <w:pPr>
        <w:widowControl w:val="0"/>
        <w:adjustRightInd w:val="0"/>
        <w:snapToGrid w:val="0"/>
        <w:spacing w:line="360" w:lineRule="auto"/>
        <w:ind w:firstLine="480" w:firstLineChars="200"/>
        <w:jc w:val="both"/>
        <w:textAlignment w:val="baseline"/>
        <w:rPr>
          <w:rFonts w:hint="eastAsia" w:eastAsia="宋体"/>
          <w:color w:val="auto"/>
          <w:kern w:val="0"/>
          <w:sz w:val="24"/>
          <w:szCs w:val="24"/>
          <w:vertAlign w:val="baseline"/>
          <w:lang w:eastAsia="zh-CN"/>
        </w:rPr>
      </w:pPr>
      <w:r>
        <w:rPr>
          <w:rFonts w:hint="eastAsia"/>
          <w:color w:val="auto"/>
          <w:kern w:val="21"/>
          <w:sz w:val="24"/>
          <w:szCs w:val="24"/>
          <w:lang w:val="en-US" w:eastAsia="zh-CN"/>
        </w:rPr>
        <w:t xml:space="preserve"> </w:t>
      </w:r>
      <w:r>
        <w:rPr>
          <w:bCs/>
          <w:snapToGrid w:val="0"/>
          <w:color w:val="auto"/>
          <w:kern w:val="21"/>
          <w:sz w:val="24"/>
          <w:szCs w:val="24"/>
        </w:rPr>
        <w:t>燃气锅炉采用低氮燃烧器</w:t>
      </w:r>
      <w:r>
        <w:rPr>
          <w:rFonts w:hint="eastAsia"/>
          <w:bCs/>
          <w:snapToGrid w:val="0"/>
          <w:color w:val="auto"/>
          <w:kern w:val="21"/>
          <w:sz w:val="24"/>
          <w:szCs w:val="24"/>
        </w:rPr>
        <w:t>+烟气再循环</w:t>
      </w:r>
      <w:r>
        <w:rPr>
          <w:bCs/>
          <w:snapToGrid w:val="0"/>
          <w:color w:val="auto"/>
          <w:kern w:val="21"/>
          <w:sz w:val="24"/>
          <w:szCs w:val="24"/>
        </w:rPr>
        <w:t>，污染物排放能够满足《锅炉大气污染物排放标准》（DB41/2089-2021）表1中在基准含氧量3.5%的条件下，颗粒物、SO</w:t>
      </w:r>
      <w:r>
        <w:rPr>
          <w:bCs/>
          <w:snapToGrid w:val="0"/>
          <w:color w:val="auto"/>
          <w:kern w:val="21"/>
          <w:sz w:val="24"/>
          <w:szCs w:val="24"/>
          <w:vertAlign w:val="subscript"/>
        </w:rPr>
        <w:t>2</w:t>
      </w:r>
      <w:r>
        <w:rPr>
          <w:bCs/>
          <w:snapToGrid w:val="0"/>
          <w:color w:val="auto"/>
          <w:kern w:val="21"/>
          <w:sz w:val="24"/>
          <w:szCs w:val="24"/>
        </w:rPr>
        <w:t>、NOx排放浓度分别不高于5</w:t>
      </w:r>
      <w:r>
        <w:rPr>
          <w:color w:val="auto"/>
          <w:kern w:val="0"/>
          <w:sz w:val="24"/>
          <w:szCs w:val="24"/>
        </w:rPr>
        <w:t>mg/m</w:t>
      </w:r>
      <w:r>
        <w:rPr>
          <w:color w:val="auto"/>
          <w:kern w:val="0"/>
          <w:sz w:val="24"/>
          <w:szCs w:val="24"/>
          <w:vertAlign w:val="superscript"/>
        </w:rPr>
        <w:t>3</w:t>
      </w:r>
      <w:r>
        <w:rPr>
          <w:color w:val="auto"/>
          <w:kern w:val="0"/>
          <w:sz w:val="24"/>
          <w:szCs w:val="24"/>
        </w:rPr>
        <w:t>、</w:t>
      </w:r>
      <w:r>
        <w:rPr>
          <w:bCs/>
          <w:snapToGrid w:val="0"/>
          <w:color w:val="auto"/>
          <w:kern w:val="21"/>
          <w:sz w:val="24"/>
          <w:szCs w:val="24"/>
        </w:rPr>
        <w:t>10</w:t>
      </w:r>
      <w:r>
        <w:rPr>
          <w:color w:val="auto"/>
          <w:kern w:val="0"/>
          <w:sz w:val="24"/>
          <w:szCs w:val="24"/>
        </w:rPr>
        <w:t>mg/m</w:t>
      </w:r>
      <w:r>
        <w:rPr>
          <w:color w:val="auto"/>
          <w:kern w:val="0"/>
          <w:sz w:val="24"/>
          <w:szCs w:val="24"/>
          <w:vertAlign w:val="superscript"/>
        </w:rPr>
        <w:t>3</w:t>
      </w:r>
      <w:r>
        <w:rPr>
          <w:color w:val="auto"/>
          <w:kern w:val="0"/>
          <w:sz w:val="24"/>
          <w:szCs w:val="24"/>
        </w:rPr>
        <w:t>、</w:t>
      </w:r>
      <w:r>
        <w:rPr>
          <w:bCs/>
          <w:snapToGrid w:val="0"/>
          <w:color w:val="auto"/>
          <w:kern w:val="21"/>
          <w:sz w:val="24"/>
          <w:szCs w:val="24"/>
        </w:rPr>
        <w:t>30</w:t>
      </w:r>
      <w:r>
        <w:rPr>
          <w:color w:val="auto"/>
          <w:kern w:val="0"/>
          <w:sz w:val="24"/>
          <w:szCs w:val="24"/>
        </w:rPr>
        <w:t>mg/m</w:t>
      </w:r>
      <w:r>
        <w:rPr>
          <w:color w:val="auto"/>
          <w:kern w:val="0"/>
          <w:sz w:val="24"/>
          <w:szCs w:val="24"/>
          <w:vertAlign w:val="superscript"/>
        </w:rPr>
        <w:t>3</w:t>
      </w:r>
      <w:r>
        <w:rPr>
          <w:rFonts w:hint="eastAsia"/>
          <w:color w:val="auto"/>
          <w:kern w:val="0"/>
          <w:sz w:val="24"/>
          <w:szCs w:val="24"/>
          <w:vertAlign w:val="baseline"/>
          <w:lang w:eastAsia="zh-CN"/>
        </w:rPr>
        <w:t>的要求。</w:t>
      </w:r>
    </w:p>
    <w:p>
      <w:pPr>
        <w:widowControl w:val="0"/>
        <w:adjustRightInd w:val="0"/>
        <w:snapToGrid w:val="0"/>
        <w:spacing w:line="360" w:lineRule="auto"/>
        <w:ind w:firstLine="480" w:firstLineChars="200"/>
        <w:jc w:val="both"/>
        <w:textAlignment w:val="baseline"/>
        <w:rPr>
          <w:color w:val="auto"/>
          <w:kern w:val="21"/>
          <w:sz w:val="24"/>
          <w:szCs w:val="24"/>
          <w:lang w:val="en-GB"/>
        </w:rPr>
      </w:pPr>
      <w:r>
        <w:rPr>
          <w:color w:val="auto"/>
          <w:kern w:val="21"/>
          <w:sz w:val="24"/>
          <w:szCs w:val="24"/>
          <w:lang w:val="en-GB"/>
        </w:rPr>
        <w:t>项目污水站调节池、生化池、二沉池及污泥池加盖密闭，并将恶臭气体集中收集引入生物除臭设施进行除臭，处理后经</w:t>
      </w:r>
      <w:r>
        <w:rPr>
          <w:rFonts w:hint="eastAsia"/>
          <w:color w:val="auto"/>
          <w:kern w:val="21"/>
          <w:sz w:val="24"/>
          <w:szCs w:val="24"/>
          <w:lang w:val="en-GB" w:eastAsia="zh-CN"/>
        </w:rPr>
        <w:t>15m高排气筒</w:t>
      </w:r>
      <w:r>
        <w:rPr>
          <w:rFonts w:hint="eastAsia"/>
          <w:color w:val="auto"/>
          <w:kern w:val="21"/>
          <w:sz w:val="24"/>
          <w:szCs w:val="24"/>
          <w:lang w:val="en-GB"/>
        </w:rPr>
        <w:t>排放</w:t>
      </w:r>
      <w:r>
        <w:rPr>
          <w:color w:val="auto"/>
          <w:kern w:val="21"/>
          <w:sz w:val="24"/>
          <w:szCs w:val="24"/>
          <w:lang w:val="en-GB"/>
        </w:rPr>
        <w:t>。经治理后污水站恶臭能够满足</w:t>
      </w:r>
      <w:r>
        <w:rPr>
          <w:rFonts w:hint="eastAsia"/>
          <w:color w:val="auto"/>
          <w:kern w:val="21"/>
          <w:sz w:val="24"/>
          <w:szCs w:val="24"/>
          <w:lang w:val="en-GB"/>
        </w:rPr>
        <w:t>《恶臭污染物排放标准》(GB14554-1993</w:t>
      </w:r>
      <w:r>
        <w:rPr>
          <w:rFonts w:hint="eastAsia"/>
          <w:color w:val="auto"/>
          <w:kern w:val="21"/>
          <w:sz w:val="24"/>
          <w:szCs w:val="24"/>
          <w:lang w:val="en-GB" w:eastAsia="zh-CN"/>
        </w:rPr>
        <w:t>）</w:t>
      </w:r>
      <w:r>
        <w:rPr>
          <w:rFonts w:hint="eastAsia"/>
          <w:color w:val="auto"/>
          <w:kern w:val="21"/>
          <w:sz w:val="24"/>
          <w:szCs w:val="24"/>
          <w:lang w:val="en-GB"/>
        </w:rPr>
        <w:t>表2标准要求</w:t>
      </w:r>
      <w:r>
        <w:rPr>
          <w:color w:val="auto"/>
          <w:kern w:val="21"/>
          <w:sz w:val="24"/>
          <w:szCs w:val="24"/>
          <w:lang w:val="en-GB"/>
        </w:rPr>
        <w:t>。</w:t>
      </w:r>
    </w:p>
    <w:p>
      <w:pPr>
        <w:widowControl w:val="0"/>
        <w:adjustRightInd w:val="0"/>
        <w:snapToGrid w:val="0"/>
        <w:spacing w:line="360" w:lineRule="auto"/>
        <w:ind w:firstLine="480" w:firstLineChars="200"/>
        <w:jc w:val="both"/>
        <w:textAlignment w:val="baseline"/>
        <w:rPr>
          <w:color w:val="auto"/>
          <w:kern w:val="21"/>
          <w:sz w:val="24"/>
          <w:szCs w:val="24"/>
        </w:rPr>
      </w:pPr>
      <w:r>
        <w:rPr>
          <w:color w:val="auto"/>
          <w:kern w:val="0"/>
          <w:sz w:val="24"/>
          <w:szCs w:val="24"/>
          <w:lang w:bidi="en-US"/>
        </w:rPr>
        <w:t>项目</w:t>
      </w:r>
      <w:r>
        <w:rPr>
          <w:rFonts w:hint="eastAsia"/>
          <w:color w:val="auto"/>
          <w:kern w:val="0"/>
          <w:sz w:val="24"/>
          <w:szCs w:val="24"/>
          <w:lang w:bidi="en-US"/>
        </w:rPr>
        <w:t>每台焊机固定工位并在上方设置小型集气罩并采用软管连接至主管道，焊接烟气收集后通过主管道引入袋式除尘器中进行处理</w:t>
      </w:r>
      <w:r>
        <w:rPr>
          <w:color w:val="auto"/>
          <w:kern w:val="0"/>
          <w:sz w:val="24"/>
          <w:szCs w:val="24"/>
          <w:lang w:bidi="en-US"/>
        </w:rPr>
        <w:t>，处理后的尾气经1根15m高的排气筒有组织排放。</w:t>
      </w:r>
      <w:r>
        <w:rPr>
          <w:color w:val="auto"/>
          <w:kern w:val="21"/>
          <w:sz w:val="24"/>
          <w:szCs w:val="24"/>
        </w:rPr>
        <w:t>本项目焊接烟尘经上述措施处理后，颗粒物排放速率和排放浓度均</w:t>
      </w:r>
      <w:r>
        <w:rPr>
          <w:color w:val="auto"/>
          <w:kern w:val="0"/>
          <w:sz w:val="24"/>
          <w:szCs w:val="24"/>
        </w:rPr>
        <w:t>能够</w:t>
      </w:r>
      <w:r>
        <w:rPr>
          <w:color w:val="auto"/>
          <w:sz w:val="24"/>
          <w:szCs w:val="24"/>
        </w:rPr>
        <w:t>《大气污染物综合排放标准》（GB16297-1996）表2二级标准及《新乡市生态环境局关于进一步规范工业企业颗粒物排放限值的通知》中其他所有涉气</w:t>
      </w:r>
      <w:r>
        <w:rPr>
          <w:rFonts w:hint="eastAsia"/>
          <w:color w:val="auto"/>
          <w:sz w:val="24"/>
          <w:szCs w:val="24"/>
        </w:rPr>
        <w:t>工业企业</w:t>
      </w:r>
      <w:r>
        <w:rPr>
          <w:color w:val="auto"/>
          <w:sz w:val="24"/>
          <w:szCs w:val="24"/>
        </w:rPr>
        <w:t>排放口颗粒物排放浓度不高于10mg/m</w:t>
      </w:r>
      <w:r>
        <w:rPr>
          <w:color w:val="auto"/>
          <w:sz w:val="24"/>
          <w:szCs w:val="24"/>
          <w:vertAlign w:val="superscript"/>
        </w:rPr>
        <w:t>3</w:t>
      </w:r>
      <w:r>
        <w:rPr>
          <w:color w:val="auto"/>
          <w:sz w:val="24"/>
          <w:szCs w:val="24"/>
        </w:rPr>
        <w:t>的排放标准。</w:t>
      </w:r>
    </w:p>
    <w:p>
      <w:pPr>
        <w:adjustRightInd w:val="0"/>
        <w:snapToGrid w:val="0"/>
        <w:spacing w:line="360" w:lineRule="auto"/>
        <w:ind w:firstLine="482" w:firstLineChars="200"/>
        <w:rPr>
          <w:color w:val="auto"/>
          <w:kern w:val="21"/>
          <w:sz w:val="24"/>
          <w:szCs w:val="24"/>
        </w:rPr>
      </w:pPr>
      <w:r>
        <w:rPr>
          <w:rFonts w:hint="eastAsia"/>
          <w:b/>
          <w:color w:val="auto"/>
          <w:kern w:val="0"/>
          <w:sz w:val="24"/>
          <w:szCs w:val="20"/>
        </w:rPr>
        <w:t>废水：</w:t>
      </w:r>
      <w:r>
        <w:rPr>
          <w:rFonts w:ascii="宋体" w:hAnsi="宋体" w:cs="宋体"/>
          <w:color w:val="auto"/>
          <w:kern w:val="0"/>
          <w:sz w:val="24"/>
          <w:szCs w:val="24"/>
          <w:lang w:val="zh-CN" w:bidi="zh-CN"/>
        </w:rPr>
        <w:t>本项目建设</w:t>
      </w:r>
      <w:r>
        <w:rPr>
          <w:rFonts w:hint="eastAsia" w:ascii="宋体" w:hAnsi="宋体" w:cs="宋体"/>
          <w:color w:val="auto"/>
          <w:kern w:val="0"/>
          <w:sz w:val="24"/>
          <w:szCs w:val="24"/>
          <w:lang w:val="en-US" w:bidi="zh-CN"/>
        </w:rPr>
        <w:t>1座</w:t>
      </w:r>
      <w:r>
        <w:rPr>
          <w:rFonts w:ascii="宋体" w:hAnsi="宋体" w:cs="宋体"/>
          <w:color w:val="auto"/>
          <w:kern w:val="0"/>
          <w:sz w:val="24"/>
          <w:szCs w:val="24"/>
          <w:lang w:val="zh-CN" w:bidi="zh-CN"/>
        </w:rPr>
        <w:t>处理规模为</w:t>
      </w:r>
      <w:r>
        <w:rPr>
          <w:rFonts w:hint="eastAsia" w:hAnsi="宋体" w:cs="宋体"/>
          <w:color w:val="auto"/>
          <w:kern w:val="0"/>
          <w:sz w:val="24"/>
          <w:szCs w:val="24"/>
          <w:lang w:val="zh-CN" w:bidi="zh-CN"/>
        </w:rPr>
        <w:t>450m</w:t>
      </w:r>
      <w:r>
        <w:rPr>
          <w:rFonts w:hint="eastAsia" w:hAnsi="宋体" w:cs="宋体"/>
          <w:color w:val="auto"/>
          <w:kern w:val="0"/>
          <w:sz w:val="24"/>
          <w:szCs w:val="24"/>
          <w:vertAlign w:val="superscript"/>
          <w:lang w:val="zh-CN" w:bidi="zh-CN"/>
        </w:rPr>
        <w:t>3</w:t>
      </w:r>
      <w:r>
        <w:rPr>
          <w:rFonts w:hint="eastAsia" w:hAnsi="宋体" w:cs="宋体"/>
          <w:color w:val="auto"/>
          <w:kern w:val="0"/>
          <w:sz w:val="24"/>
          <w:szCs w:val="24"/>
          <w:lang w:val="zh-CN" w:bidi="zh-CN"/>
        </w:rPr>
        <w:t>/d</w:t>
      </w:r>
      <w:r>
        <w:rPr>
          <w:rFonts w:ascii="宋体" w:hAnsi="宋体" w:cs="宋体"/>
          <w:color w:val="auto"/>
          <w:kern w:val="0"/>
          <w:sz w:val="24"/>
          <w:szCs w:val="24"/>
          <w:lang w:val="zh-CN" w:bidi="zh-CN"/>
        </w:rPr>
        <w:t>的污水处理</w:t>
      </w:r>
      <w:r>
        <w:rPr>
          <w:color w:val="auto"/>
          <w:kern w:val="21"/>
          <w:sz w:val="24"/>
        </w:rPr>
        <w:t>站，</w:t>
      </w:r>
      <w:r>
        <w:rPr>
          <w:color w:val="auto"/>
          <w:kern w:val="21"/>
          <w:sz w:val="24"/>
          <w:szCs w:val="24"/>
        </w:rPr>
        <w:t>含镍废水进入含镍废水预处理系统（</w:t>
      </w:r>
      <w:r>
        <w:rPr>
          <w:rFonts w:hint="eastAsia"/>
          <w:color w:val="auto"/>
          <w:kern w:val="21"/>
          <w:sz w:val="24"/>
          <w:szCs w:val="24"/>
        </w:rPr>
        <w:t>pH调节→混凝沉淀→回调→多介质过滤</w:t>
      </w:r>
      <w:r>
        <w:rPr>
          <w:color w:val="auto"/>
          <w:kern w:val="21"/>
          <w:sz w:val="24"/>
          <w:szCs w:val="24"/>
        </w:rPr>
        <w:t>）；含锌废水进入含锌废水预处理系统（</w:t>
      </w:r>
      <w:r>
        <w:rPr>
          <w:rFonts w:hint="eastAsia"/>
          <w:color w:val="auto"/>
          <w:kern w:val="21"/>
          <w:sz w:val="24"/>
          <w:szCs w:val="24"/>
        </w:rPr>
        <w:t>pH调节→混凝沉淀→回调→多介质过滤</w:t>
      </w:r>
      <w:r>
        <w:rPr>
          <w:color w:val="auto"/>
          <w:kern w:val="21"/>
          <w:sz w:val="24"/>
          <w:szCs w:val="24"/>
        </w:rPr>
        <w:t>）；含铬废水进入含铬废水预处理系统（</w:t>
      </w:r>
      <w:r>
        <w:rPr>
          <w:rFonts w:hint="eastAsia"/>
          <w:color w:val="auto"/>
          <w:kern w:val="21"/>
          <w:sz w:val="24"/>
          <w:szCs w:val="24"/>
        </w:rPr>
        <w:t>还原→pH调节→混凝沉淀→回调→多介质过滤</w:t>
      </w:r>
      <w:r>
        <w:rPr>
          <w:color w:val="auto"/>
          <w:kern w:val="21"/>
          <w:sz w:val="24"/>
          <w:szCs w:val="24"/>
        </w:rPr>
        <w:t>）；地面清洗废水进入地面清洗废水预处理系统（</w:t>
      </w:r>
      <w:r>
        <w:rPr>
          <w:rFonts w:hint="eastAsia"/>
          <w:color w:val="auto"/>
          <w:kern w:val="21"/>
          <w:sz w:val="24"/>
          <w:szCs w:val="24"/>
        </w:rPr>
        <w:t>氧化→pH调节→混凝沉淀→还原→混凝沉淀→回调→多介质过滤</w:t>
      </w:r>
      <w:r>
        <w:rPr>
          <w:color w:val="auto"/>
          <w:kern w:val="21"/>
          <w:sz w:val="24"/>
          <w:szCs w:val="24"/>
        </w:rPr>
        <w:t>）；</w:t>
      </w:r>
      <w:r>
        <w:rPr>
          <w:rFonts w:hint="eastAsia"/>
          <w:color w:val="auto"/>
          <w:kern w:val="21"/>
          <w:sz w:val="24"/>
        </w:rPr>
        <w:t>含油废水进入含油废水预处理系统（经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→混凝→气浮）预处理后，再与酸性废水一同进入酸性废水预处理系统（pH调节→混凝沉淀→回调→多介质过滤）。</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经预处理后的各股废水一</w:t>
      </w:r>
      <w:r>
        <w:rPr>
          <w:rFonts w:hint="eastAsia"/>
          <w:color w:val="auto"/>
          <w:kern w:val="0"/>
          <w:sz w:val="24"/>
          <w:szCs w:val="20"/>
          <w:lang w:val="en-US" w:eastAsia="zh-CN"/>
        </w:rPr>
        <w:t>同</w:t>
      </w:r>
      <w:r>
        <w:rPr>
          <w:color w:val="auto"/>
          <w:kern w:val="0"/>
          <w:sz w:val="24"/>
          <w:szCs w:val="20"/>
        </w:rPr>
        <w:t>进入零排放处理系统</w:t>
      </w:r>
      <w:r>
        <w:rPr>
          <w:rFonts w:hint="eastAsia"/>
          <w:color w:val="auto"/>
          <w:kern w:val="0"/>
          <w:sz w:val="24"/>
          <w:szCs w:val="20"/>
          <w:lang w:eastAsia="zh-CN"/>
        </w:rPr>
        <w:t>（</w:t>
      </w:r>
      <w:r>
        <w:rPr>
          <w:rFonts w:hint="eastAsia"/>
          <w:color w:val="auto"/>
          <w:kern w:val="0"/>
          <w:sz w:val="24"/>
          <w:szCs w:val="20"/>
        </w:rPr>
        <w:t>A</w:t>
      </w:r>
      <w:r>
        <w:rPr>
          <w:rFonts w:hint="eastAsia"/>
          <w:color w:val="auto"/>
          <w:kern w:val="0"/>
          <w:sz w:val="24"/>
          <w:szCs w:val="20"/>
          <w:vertAlign w:val="superscript"/>
        </w:rPr>
        <w:t>2</w:t>
      </w:r>
      <w:r>
        <w:rPr>
          <w:color w:val="auto"/>
          <w:kern w:val="0"/>
          <w:sz w:val="24"/>
          <w:szCs w:val="20"/>
        </w:rPr>
        <w:t>/O</w:t>
      </w:r>
      <w:r>
        <w:rPr>
          <w:rFonts w:hint="eastAsia"/>
          <w:color w:val="auto"/>
          <w:kern w:val="0"/>
          <w:sz w:val="24"/>
          <w:szCs w:val="20"/>
        </w:rPr>
        <w:t>→</w:t>
      </w:r>
      <w:r>
        <w:rPr>
          <w:color w:val="auto"/>
          <w:kern w:val="0"/>
          <w:sz w:val="24"/>
          <w:szCs w:val="20"/>
        </w:rPr>
        <w:t>MBR</w:t>
      </w:r>
      <w:r>
        <w:rPr>
          <w:rFonts w:hint="eastAsia"/>
          <w:color w:val="auto"/>
          <w:kern w:val="0"/>
          <w:sz w:val="24"/>
          <w:szCs w:val="20"/>
        </w:rPr>
        <w:t>→两级E</w:t>
      </w:r>
      <w:r>
        <w:rPr>
          <w:color w:val="auto"/>
          <w:kern w:val="0"/>
          <w:sz w:val="24"/>
          <w:szCs w:val="20"/>
        </w:rPr>
        <w:t>CRO</w:t>
      </w:r>
      <w:r>
        <w:rPr>
          <w:rFonts w:hint="eastAsia"/>
          <w:color w:val="auto"/>
          <w:kern w:val="0"/>
          <w:sz w:val="24"/>
          <w:szCs w:val="20"/>
        </w:rPr>
        <w:t>→</w:t>
      </w:r>
      <w:r>
        <w:rPr>
          <w:color w:val="auto"/>
          <w:kern w:val="0"/>
          <w:sz w:val="24"/>
          <w:szCs w:val="20"/>
        </w:rPr>
        <w:t>DTRO</w:t>
      </w:r>
      <w:r>
        <w:rPr>
          <w:rFonts w:hint="eastAsia"/>
          <w:color w:val="auto"/>
          <w:kern w:val="0"/>
          <w:sz w:val="24"/>
          <w:szCs w:val="20"/>
        </w:rPr>
        <w:t>→二级RO→MVR蒸发</w:t>
      </w:r>
      <w:r>
        <w:rPr>
          <w:rFonts w:hint="eastAsia"/>
          <w:color w:val="auto"/>
          <w:kern w:val="0"/>
          <w:sz w:val="24"/>
          <w:szCs w:val="20"/>
          <w:lang w:eastAsia="zh-CN"/>
        </w:rPr>
        <w:t>）</w:t>
      </w:r>
      <w:r>
        <w:rPr>
          <w:rFonts w:hint="eastAsia"/>
          <w:color w:val="auto"/>
          <w:kern w:val="0"/>
          <w:sz w:val="24"/>
          <w:szCs w:val="20"/>
        </w:rPr>
        <w:t>进行</w:t>
      </w:r>
      <w:r>
        <w:rPr>
          <w:rFonts w:hint="eastAsia"/>
          <w:color w:val="auto"/>
          <w:kern w:val="0"/>
          <w:sz w:val="24"/>
          <w:szCs w:val="20"/>
          <w:lang w:eastAsia="zh-CN"/>
        </w:rPr>
        <w:t>深度</w:t>
      </w:r>
      <w:r>
        <w:rPr>
          <w:rFonts w:hint="eastAsia"/>
          <w:color w:val="auto"/>
          <w:kern w:val="0"/>
          <w:sz w:val="24"/>
          <w:szCs w:val="20"/>
        </w:rPr>
        <w:t>处理</w:t>
      </w:r>
      <w:r>
        <w:rPr>
          <w:color w:val="auto"/>
          <w:kern w:val="0"/>
          <w:sz w:val="24"/>
          <w:szCs w:val="20"/>
        </w:rPr>
        <w:t>，</w:t>
      </w:r>
      <w:r>
        <w:rPr>
          <w:rFonts w:hint="eastAsia"/>
          <w:color w:val="auto"/>
          <w:kern w:val="0"/>
          <w:sz w:val="24"/>
          <w:szCs w:val="20"/>
          <w:lang w:eastAsia="zh-CN"/>
        </w:rPr>
        <w:t>深度处理后全部回用于生产线</w:t>
      </w:r>
      <w:r>
        <w:rPr>
          <w:color w:val="auto"/>
          <w:kern w:val="0"/>
          <w:sz w:val="24"/>
          <w:szCs w:val="20"/>
        </w:rPr>
        <w:t>，结晶盐</w:t>
      </w:r>
      <w:r>
        <w:rPr>
          <w:rFonts w:hint="eastAsia"/>
          <w:color w:val="auto"/>
          <w:kern w:val="0"/>
          <w:sz w:val="24"/>
          <w:szCs w:val="20"/>
          <w:lang w:eastAsia="zh-CN"/>
        </w:rPr>
        <w:t>作为</w:t>
      </w:r>
      <w:r>
        <w:rPr>
          <w:color w:val="auto"/>
          <w:kern w:val="0"/>
          <w:sz w:val="24"/>
          <w:szCs w:val="20"/>
        </w:rPr>
        <w:t>危废处置。</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纯水制备浓水、</w:t>
      </w:r>
      <w:r>
        <w:rPr>
          <w:rFonts w:hint="eastAsia"/>
          <w:color w:val="auto"/>
          <w:kern w:val="0"/>
          <w:sz w:val="24"/>
          <w:szCs w:val="20"/>
          <w:lang w:eastAsia="zh-CN"/>
        </w:rPr>
        <w:t>锅炉浓水</w:t>
      </w:r>
      <w:r>
        <w:rPr>
          <w:color w:val="auto"/>
          <w:kern w:val="0"/>
          <w:sz w:val="24"/>
          <w:szCs w:val="20"/>
        </w:rPr>
        <w:t>及生活污水经市政管网</w:t>
      </w:r>
      <w:r>
        <w:rPr>
          <w:rFonts w:hint="eastAsia"/>
          <w:color w:val="auto"/>
          <w:kern w:val="0"/>
          <w:sz w:val="24"/>
          <w:szCs w:val="20"/>
        </w:rPr>
        <w:t>排入同盟污水处理厂，出水满足同盟污水处理厂收水水质标准。</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21"/>
          <w:sz w:val="24"/>
          <w:szCs w:val="22"/>
        </w:rPr>
        <w:t>厂区内采取分区防渗处理后，对地下水影响较小。</w:t>
      </w:r>
    </w:p>
    <w:p>
      <w:pPr>
        <w:widowControl w:val="0"/>
        <w:adjustRightInd w:val="0"/>
        <w:snapToGrid w:val="0"/>
        <w:spacing w:line="360" w:lineRule="auto"/>
        <w:ind w:firstLine="482" w:firstLineChars="200"/>
        <w:jc w:val="both"/>
        <w:textAlignment w:val="baseline"/>
        <w:rPr>
          <w:color w:val="auto"/>
          <w:kern w:val="0"/>
          <w:sz w:val="24"/>
          <w:szCs w:val="20"/>
        </w:rPr>
      </w:pPr>
      <w:r>
        <w:rPr>
          <w:rFonts w:hint="eastAsia"/>
          <w:b/>
          <w:color w:val="auto"/>
          <w:kern w:val="0"/>
          <w:sz w:val="24"/>
          <w:szCs w:val="20"/>
        </w:rPr>
        <w:t>噪声：</w:t>
      </w:r>
      <w:r>
        <w:rPr>
          <w:color w:val="auto"/>
          <w:kern w:val="21"/>
          <w:sz w:val="24"/>
          <w:szCs w:val="20"/>
        </w:rPr>
        <w:t>本项目主要高噪声设备有风机、冲压机、折弯机等，经采取相应的基础减振、厂房隔声等措施后，厂界噪声可以达到《工业企业厂界环境噪声排放标准》（GB12348-2008）中3类标准要求，对周围外环境影响较小。</w:t>
      </w:r>
    </w:p>
    <w:p>
      <w:pPr>
        <w:pStyle w:val="32"/>
        <w:spacing w:after="0" w:line="360" w:lineRule="auto"/>
        <w:ind w:firstLine="480"/>
        <w:rPr>
          <w:color w:val="auto"/>
          <w:kern w:val="21"/>
          <w:sz w:val="24"/>
        </w:rPr>
      </w:pPr>
      <w:r>
        <w:rPr>
          <w:rFonts w:hint="eastAsia"/>
          <w:b/>
          <w:color w:val="auto"/>
          <w:kern w:val="0"/>
          <w:sz w:val="24"/>
          <w:szCs w:val="20"/>
        </w:rPr>
        <w:t>固废：</w:t>
      </w:r>
      <w:r>
        <w:rPr>
          <w:color w:val="auto"/>
          <w:kern w:val="21"/>
          <w:sz w:val="24"/>
        </w:rPr>
        <w:t>本项目一般固废主要为边角料、不合格镀件、纯水制备</w:t>
      </w:r>
      <w:r>
        <w:rPr>
          <w:rFonts w:hint="eastAsia"/>
          <w:color w:val="auto"/>
          <w:kern w:val="21"/>
          <w:sz w:val="24"/>
          <w:lang w:eastAsia="zh-CN"/>
        </w:rPr>
        <w:t>废</w:t>
      </w:r>
      <w:r>
        <w:rPr>
          <w:rFonts w:hint="eastAsia"/>
          <w:color w:val="auto"/>
          <w:kern w:val="21"/>
          <w:sz w:val="24"/>
        </w:rPr>
        <w:t>RO膜</w:t>
      </w:r>
      <w:r>
        <w:rPr>
          <w:rFonts w:hint="eastAsia"/>
          <w:color w:val="auto"/>
          <w:kern w:val="21"/>
          <w:sz w:val="24"/>
          <w:lang w:eastAsia="zh-CN"/>
        </w:rPr>
        <w:t>，</w:t>
      </w:r>
      <w:r>
        <w:rPr>
          <w:rFonts w:hint="eastAsia"/>
          <w:color w:val="auto"/>
          <w:kern w:val="21"/>
          <w:sz w:val="24"/>
          <w:lang w:val="en-US" w:eastAsia="zh-CN"/>
        </w:rPr>
        <w:t>一般固废均</w:t>
      </w:r>
      <w:r>
        <w:rPr>
          <w:rFonts w:hint="eastAsia"/>
          <w:color w:val="auto"/>
          <w:kern w:val="21"/>
          <w:sz w:val="24"/>
        </w:rPr>
        <w:t>暂存于一般固废暂存间，综合利用；危险废物</w:t>
      </w:r>
      <w:r>
        <w:rPr>
          <w:rFonts w:hint="eastAsia"/>
          <w:color w:val="auto"/>
          <w:kern w:val="21"/>
          <w:sz w:val="24"/>
          <w:lang w:val="en-US" w:eastAsia="zh-CN"/>
        </w:rPr>
        <w:t>中</w:t>
      </w:r>
      <w:r>
        <w:rPr>
          <w:rFonts w:hint="eastAsia"/>
          <w:color w:val="auto"/>
          <w:kern w:val="21"/>
          <w:sz w:val="24"/>
        </w:rPr>
        <w:t>镀镍槽液、镀锌槽液每5年更换一次，由危废处置单位直接拉走，不暂存，含镍废物、含锌废物、含铬废物、</w:t>
      </w:r>
      <w:r>
        <w:rPr>
          <w:rFonts w:hint="eastAsia"/>
          <w:snapToGrid w:val="0"/>
          <w:color w:val="auto"/>
          <w:kern w:val="21"/>
          <w:sz w:val="24"/>
        </w:rPr>
        <w:t>气浮池污油</w:t>
      </w:r>
      <w:r>
        <w:rPr>
          <w:rFonts w:hint="eastAsia"/>
          <w:color w:val="auto"/>
          <w:kern w:val="21"/>
          <w:sz w:val="24"/>
        </w:rPr>
        <w:t>、废机油、废水反渗透膜（3年更换一次）、生化处理污泥暂存于危废暂存间，定期交有资质单位处置；</w:t>
      </w:r>
      <w:r>
        <w:rPr>
          <w:color w:val="auto"/>
          <w:kern w:val="21"/>
          <w:sz w:val="24"/>
        </w:rPr>
        <w:t>生活垃圾</w:t>
      </w:r>
      <w:r>
        <w:rPr>
          <w:rFonts w:hint="eastAsia"/>
          <w:color w:val="auto"/>
          <w:kern w:val="21"/>
          <w:sz w:val="24"/>
          <w:lang w:eastAsia="zh-CN"/>
        </w:rPr>
        <w:t>有</w:t>
      </w:r>
      <w:r>
        <w:rPr>
          <w:color w:val="auto"/>
          <w:kern w:val="21"/>
          <w:sz w:val="24"/>
        </w:rPr>
        <w:t>垃圾桶收集，</w:t>
      </w:r>
      <w:r>
        <w:rPr>
          <w:rFonts w:hint="eastAsia"/>
          <w:color w:val="auto"/>
          <w:kern w:val="21"/>
          <w:sz w:val="24"/>
        </w:rPr>
        <w:t>定期运往垃圾中转站</w:t>
      </w:r>
      <w:r>
        <w:rPr>
          <w:color w:val="auto"/>
          <w:kern w:val="21"/>
          <w:sz w:val="24"/>
        </w:rPr>
        <w:t>。</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本项目</w:t>
      </w:r>
      <w:r>
        <w:rPr>
          <w:color w:val="auto"/>
          <w:spacing w:val="-3"/>
          <w:kern w:val="0"/>
          <w:sz w:val="24"/>
          <w:szCs w:val="20"/>
        </w:rPr>
        <w:t>大</w:t>
      </w:r>
      <w:r>
        <w:rPr>
          <w:color w:val="auto"/>
          <w:kern w:val="0"/>
          <w:sz w:val="24"/>
          <w:szCs w:val="20"/>
        </w:rPr>
        <w:t>气污</w:t>
      </w:r>
      <w:r>
        <w:rPr>
          <w:color w:val="auto"/>
          <w:spacing w:val="-3"/>
          <w:kern w:val="0"/>
          <w:sz w:val="24"/>
          <w:szCs w:val="20"/>
        </w:rPr>
        <w:t>染物</w:t>
      </w:r>
      <w:r>
        <w:rPr>
          <w:color w:val="auto"/>
          <w:kern w:val="0"/>
          <w:sz w:val="24"/>
          <w:szCs w:val="20"/>
        </w:rPr>
        <w:t>排放清</w:t>
      </w:r>
      <w:r>
        <w:rPr>
          <w:color w:val="auto"/>
          <w:spacing w:val="-3"/>
          <w:kern w:val="0"/>
          <w:sz w:val="24"/>
          <w:szCs w:val="20"/>
        </w:rPr>
        <w:t>单</w:t>
      </w:r>
      <w:r>
        <w:rPr>
          <w:color w:val="auto"/>
          <w:spacing w:val="1"/>
          <w:kern w:val="0"/>
          <w:sz w:val="24"/>
          <w:szCs w:val="20"/>
        </w:rPr>
        <w:t>见</w:t>
      </w:r>
      <w:r>
        <w:rPr>
          <w:color w:val="auto"/>
          <w:kern w:val="0"/>
          <w:sz w:val="24"/>
          <w:szCs w:val="20"/>
        </w:rPr>
        <w:t>表</w:t>
      </w:r>
      <w:r>
        <w:rPr>
          <w:rFonts w:hint="eastAsia"/>
          <w:color w:val="auto"/>
          <w:spacing w:val="1"/>
          <w:kern w:val="0"/>
          <w:sz w:val="24"/>
          <w:szCs w:val="20"/>
        </w:rPr>
        <w:t>9.4</w:t>
      </w:r>
      <w:r>
        <w:rPr>
          <w:rFonts w:eastAsia="Times New Roman"/>
          <w:color w:val="auto"/>
          <w:kern w:val="0"/>
          <w:sz w:val="24"/>
          <w:szCs w:val="20"/>
        </w:rPr>
        <w:t>-</w:t>
      </w:r>
      <w:r>
        <w:rPr>
          <w:rFonts w:hint="eastAsia"/>
          <w:color w:val="auto"/>
          <w:spacing w:val="-2"/>
          <w:kern w:val="0"/>
          <w:sz w:val="24"/>
          <w:szCs w:val="20"/>
        </w:rPr>
        <w:t>4</w:t>
      </w:r>
      <w:r>
        <w:rPr>
          <w:color w:val="auto"/>
          <w:kern w:val="0"/>
          <w:sz w:val="24"/>
          <w:szCs w:val="20"/>
        </w:rPr>
        <w:t>，</w:t>
      </w:r>
      <w:r>
        <w:rPr>
          <w:rFonts w:hint="eastAsia"/>
          <w:color w:val="auto"/>
          <w:spacing w:val="-3"/>
          <w:kern w:val="0"/>
          <w:sz w:val="24"/>
          <w:szCs w:val="20"/>
        </w:rPr>
        <w:t>废水</w:t>
      </w:r>
      <w:r>
        <w:rPr>
          <w:color w:val="auto"/>
          <w:kern w:val="0"/>
          <w:sz w:val="24"/>
          <w:szCs w:val="20"/>
        </w:rPr>
        <w:t>污</w:t>
      </w:r>
      <w:r>
        <w:rPr>
          <w:color w:val="auto"/>
          <w:spacing w:val="-3"/>
          <w:kern w:val="0"/>
          <w:sz w:val="24"/>
          <w:szCs w:val="20"/>
        </w:rPr>
        <w:t>染物</w:t>
      </w:r>
      <w:r>
        <w:rPr>
          <w:color w:val="auto"/>
          <w:kern w:val="0"/>
          <w:sz w:val="24"/>
          <w:szCs w:val="20"/>
        </w:rPr>
        <w:t>排放清</w:t>
      </w:r>
      <w:r>
        <w:rPr>
          <w:color w:val="auto"/>
          <w:spacing w:val="-3"/>
          <w:kern w:val="0"/>
          <w:sz w:val="24"/>
          <w:szCs w:val="20"/>
        </w:rPr>
        <w:t>单</w:t>
      </w:r>
      <w:r>
        <w:rPr>
          <w:color w:val="auto"/>
          <w:spacing w:val="1"/>
          <w:kern w:val="0"/>
          <w:sz w:val="24"/>
          <w:szCs w:val="20"/>
        </w:rPr>
        <w:t>见</w:t>
      </w:r>
      <w:r>
        <w:rPr>
          <w:color w:val="auto"/>
          <w:kern w:val="0"/>
          <w:sz w:val="24"/>
          <w:szCs w:val="20"/>
        </w:rPr>
        <w:t>表</w:t>
      </w:r>
      <w:r>
        <w:rPr>
          <w:rFonts w:hint="eastAsia"/>
          <w:color w:val="auto"/>
          <w:spacing w:val="1"/>
          <w:kern w:val="0"/>
          <w:sz w:val="24"/>
          <w:szCs w:val="20"/>
        </w:rPr>
        <w:t>9.4</w:t>
      </w:r>
      <w:r>
        <w:rPr>
          <w:rFonts w:eastAsia="Times New Roman"/>
          <w:color w:val="auto"/>
          <w:kern w:val="0"/>
          <w:sz w:val="24"/>
          <w:szCs w:val="20"/>
        </w:rPr>
        <w:t>-</w:t>
      </w:r>
      <w:r>
        <w:rPr>
          <w:rFonts w:hint="eastAsia"/>
          <w:color w:val="auto"/>
          <w:kern w:val="0"/>
          <w:sz w:val="24"/>
          <w:szCs w:val="20"/>
        </w:rPr>
        <w:t>5</w:t>
      </w:r>
      <w:r>
        <w:rPr>
          <w:color w:val="auto"/>
          <w:kern w:val="0"/>
          <w:sz w:val="24"/>
          <w:szCs w:val="20"/>
        </w:rPr>
        <w:t>，固体废物产生及处置清单见表</w:t>
      </w:r>
      <w:r>
        <w:rPr>
          <w:rFonts w:hint="eastAsia"/>
          <w:color w:val="auto"/>
          <w:spacing w:val="1"/>
          <w:kern w:val="0"/>
          <w:sz w:val="24"/>
          <w:szCs w:val="20"/>
        </w:rPr>
        <w:t>9.4</w:t>
      </w:r>
      <w:r>
        <w:rPr>
          <w:rFonts w:eastAsia="Times New Roman"/>
          <w:color w:val="auto"/>
          <w:kern w:val="0"/>
          <w:sz w:val="24"/>
          <w:szCs w:val="20"/>
        </w:rPr>
        <w:t>-</w:t>
      </w:r>
      <w:r>
        <w:rPr>
          <w:rFonts w:hint="eastAsia"/>
          <w:color w:val="auto"/>
          <w:kern w:val="0"/>
          <w:sz w:val="24"/>
          <w:szCs w:val="20"/>
        </w:rPr>
        <w:t>6</w:t>
      </w:r>
      <w:r>
        <w:rPr>
          <w:color w:val="auto"/>
          <w:kern w:val="0"/>
          <w:sz w:val="24"/>
          <w:szCs w:val="20"/>
        </w:rPr>
        <w:t>。</w:t>
      </w:r>
    </w:p>
    <w:p>
      <w:pPr>
        <w:widowControl w:val="0"/>
        <w:spacing w:before="240" w:beforeLines="100" w:after="120" w:afterLines="50"/>
        <w:ind w:firstLine="482" w:firstLineChars="200"/>
        <w:jc w:val="both"/>
        <w:rPr>
          <w:b/>
          <w:color w:val="auto"/>
          <w:sz w:val="24"/>
          <w:szCs w:val="24"/>
        </w:rPr>
        <w:sectPr>
          <w:headerReference r:id="rId28" w:type="first"/>
          <w:footerReference r:id="rId31" w:type="first"/>
          <w:footerReference r:id="rId29" w:type="default"/>
          <w:headerReference r:id="rId27" w:type="even"/>
          <w:footerReference r:id="rId30" w:type="even"/>
          <w:pgSz w:w="11907" w:h="16840"/>
          <w:pgMar w:top="1440" w:right="1797" w:bottom="1440" w:left="1797" w:header="907" w:footer="907" w:gutter="0"/>
          <w:cols w:space="425" w:num="1"/>
          <w:docGrid w:linePitch="380" w:charSpace="0"/>
        </w:sectPr>
      </w:pP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表9.4-4  本项目废气污染源排放清单</w:t>
      </w:r>
    </w:p>
    <w:tbl>
      <w:tblPr>
        <w:tblStyle w:val="83"/>
        <w:tblW w:w="1491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595"/>
        <w:gridCol w:w="993"/>
        <w:gridCol w:w="1701"/>
        <w:gridCol w:w="1559"/>
        <w:gridCol w:w="709"/>
        <w:gridCol w:w="708"/>
        <w:gridCol w:w="709"/>
        <w:gridCol w:w="709"/>
        <w:gridCol w:w="709"/>
        <w:gridCol w:w="708"/>
        <w:gridCol w:w="709"/>
        <w:gridCol w:w="851"/>
        <w:gridCol w:w="708"/>
        <w:gridCol w:w="354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94" w:hRule="atLeast"/>
        </w:trPr>
        <w:tc>
          <w:tcPr>
            <w:tcW w:w="595" w:type="dxa"/>
            <w:vMerge w:val="restart"/>
            <w:vAlign w:val="center"/>
          </w:tcPr>
          <w:p>
            <w:pPr>
              <w:widowControl w:val="0"/>
              <w:adjustRightInd w:val="0"/>
              <w:snapToGrid w:val="0"/>
              <w:jc w:val="center"/>
              <w:textAlignment w:val="baseline"/>
              <w:rPr>
                <w:b/>
                <w:bCs/>
                <w:color w:val="auto"/>
                <w:kern w:val="0"/>
              </w:rPr>
            </w:pPr>
            <w:r>
              <w:rPr>
                <w:b/>
                <w:bCs/>
                <w:color w:val="auto"/>
                <w:kern w:val="0"/>
              </w:rPr>
              <w:t>污染物类别</w:t>
            </w:r>
          </w:p>
        </w:tc>
        <w:tc>
          <w:tcPr>
            <w:tcW w:w="993" w:type="dxa"/>
            <w:vMerge w:val="restart"/>
            <w:vAlign w:val="center"/>
          </w:tcPr>
          <w:p>
            <w:pPr>
              <w:widowControl w:val="0"/>
              <w:adjustRightInd w:val="0"/>
              <w:snapToGrid w:val="0"/>
              <w:jc w:val="center"/>
              <w:textAlignment w:val="baseline"/>
              <w:rPr>
                <w:b/>
                <w:bCs/>
                <w:color w:val="auto"/>
                <w:kern w:val="0"/>
              </w:rPr>
            </w:pPr>
            <w:r>
              <w:rPr>
                <w:rFonts w:hint="eastAsia"/>
                <w:b/>
                <w:bCs/>
                <w:color w:val="auto"/>
                <w:kern w:val="0"/>
              </w:rPr>
              <w:t>污染源</w:t>
            </w:r>
          </w:p>
        </w:tc>
        <w:tc>
          <w:tcPr>
            <w:tcW w:w="1701" w:type="dxa"/>
            <w:vMerge w:val="restart"/>
            <w:vAlign w:val="center"/>
          </w:tcPr>
          <w:p>
            <w:pPr>
              <w:widowControl w:val="0"/>
              <w:adjustRightInd w:val="0"/>
              <w:snapToGrid w:val="0"/>
              <w:jc w:val="center"/>
              <w:textAlignment w:val="baseline"/>
              <w:rPr>
                <w:b/>
                <w:bCs/>
                <w:color w:val="auto"/>
                <w:kern w:val="0"/>
              </w:rPr>
            </w:pPr>
            <w:r>
              <w:rPr>
                <w:b/>
                <w:bCs/>
                <w:color w:val="auto"/>
                <w:kern w:val="0"/>
              </w:rPr>
              <w:t>排污口或</w:t>
            </w:r>
          </w:p>
          <w:p>
            <w:pPr>
              <w:widowControl w:val="0"/>
              <w:adjustRightInd w:val="0"/>
              <w:snapToGrid w:val="0"/>
              <w:jc w:val="center"/>
              <w:textAlignment w:val="baseline"/>
              <w:rPr>
                <w:b/>
                <w:bCs/>
                <w:color w:val="auto"/>
                <w:kern w:val="0"/>
              </w:rPr>
            </w:pPr>
            <w:r>
              <w:rPr>
                <w:b/>
                <w:bCs/>
                <w:color w:val="auto"/>
                <w:kern w:val="0"/>
              </w:rPr>
              <w:t>地理坐标</w:t>
            </w:r>
          </w:p>
        </w:tc>
        <w:tc>
          <w:tcPr>
            <w:tcW w:w="1559" w:type="dxa"/>
            <w:vMerge w:val="restart"/>
            <w:vAlign w:val="center"/>
          </w:tcPr>
          <w:p>
            <w:pPr>
              <w:widowControl w:val="0"/>
              <w:adjustRightInd w:val="0"/>
              <w:snapToGrid w:val="0"/>
              <w:jc w:val="center"/>
              <w:textAlignment w:val="baseline"/>
              <w:rPr>
                <w:b/>
                <w:bCs/>
                <w:color w:val="auto"/>
                <w:kern w:val="0"/>
              </w:rPr>
            </w:pPr>
            <w:r>
              <w:rPr>
                <w:b/>
                <w:bCs/>
                <w:color w:val="auto"/>
                <w:kern w:val="0"/>
              </w:rPr>
              <w:t>治理措施相关</w:t>
            </w:r>
          </w:p>
          <w:p>
            <w:pPr>
              <w:widowControl w:val="0"/>
              <w:adjustRightInd w:val="0"/>
              <w:snapToGrid w:val="0"/>
              <w:jc w:val="center"/>
              <w:textAlignment w:val="baseline"/>
              <w:rPr>
                <w:b/>
                <w:bCs/>
                <w:color w:val="auto"/>
                <w:kern w:val="0"/>
              </w:rPr>
            </w:pPr>
            <w:r>
              <w:rPr>
                <w:b/>
                <w:bCs/>
                <w:color w:val="auto"/>
                <w:kern w:val="0"/>
              </w:rPr>
              <w:t>参数</w:t>
            </w:r>
          </w:p>
        </w:tc>
        <w:tc>
          <w:tcPr>
            <w:tcW w:w="709" w:type="dxa"/>
            <w:vMerge w:val="restart"/>
            <w:vAlign w:val="center"/>
          </w:tcPr>
          <w:p>
            <w:pPr>
              <w:widowControl w:val="0"/>
              <w:adjustRightInd w:val="0"/>
              <w:snapToGrid w:val="0"/>
              <w:jc w:val="center"/>
              <w:textAlignment w:val="baseline"/>
              <w:rPr>
                <w:b/>
                <w:bCs/>
                <w:color w:val="auto"/>
                <w:kern w:val="0"/>
              </w:rPr>
            </w:pPr>
            <w:r>
              <w:rPr>
                <w:b/>
                <w:bCs/>
                <w:color w:val="auto"/>
                <w:kern w:val="0"/>
              </w:rPr>
              <w:t>污染</w:t>
            </w:r>
          </w:p>
          <w:p>
            <w:pPr>
              <w:widowControl w:val="0"/>
              <w:adjustRightInd w:val="0"/>
              <w:snapToGrid w:val="0"/>
              <w:jc w:val="center"/>
              <w:textAlignment w:val="baseline"/>
              <w:rPr>
                <w:b/>
                <w:bCs/>
                <w:color w:val="auto"/>
                <w:kern w:val="0"/>
              </w:rPr>
            </w:pPr>
            <w:r>
              <w:rPr>
                <w:b/>
                <w:bCs/>
                <w:color w:val="auto"/>
                <w:kern w:val="0"/>
              </w:rPr>
              <w:t>物种类</w:t>
            </w:r>
          </w:p>
        </w:tc>
        <w:tc>
          <w:tcPr>
            <w:tcW w:w="2126" w:type="dxa"/>
            <w:gridSpan w:val="3"/>
            <w:vAlign w:val="center"/>
          </w:tcPr>
          <w:p>
            <w:pPr>
              <w:widowControl w:val="0"/>
              <w:adjustRightInd w:val="0"/>
              <w:snapToGrid w:val="0"/>
              <w:jc w:val="center"/>
              <w:textAlignment w:val="baseline"/>
              <w:rPr>
                <w:b/>
                <w:bCs/>
                <w:color w:val="auto"/>
                <w:kern w:val="0"/>
              </w:rPr>
            </w:pPr>
            <w:r>
              <w:rPr>
                <w:b/>
                <w:bCs/>
                <w:color w:val="auto"/>
                <w:kern w:val="0"/>
              </w:rPr>
              <w:t>排气筒参数</w:t>
            </w:r>
          </w:p>
        </w:tc>
        <w:tc>
          <w:tcPr>
            <w:tcW w:w="2126" w:type="dxa"/>
            <w:gridSpan w:val="3"/>
            <w:vAlign w:val="center"/>
          </w:tcPr>
          <w:p>
            <w:pPr>
              <w:widowControl w:val="0"/>
              <w:adjustRightInd w:val="0"/>
              <w:snapToGrid w:val="0"/>
              <w:jc w:val="center"/>
              <w:textAlignment w:val="baseline"/>
              <w:rPr>
                <w:b/>
                <w:bCs/>
                <w:color w:val="auto"/>
                <w:kern w:val="0"/>
              </w:rPr>
            </w:pPr>
            <w:r>
              <w:rPr>
                <w:b/>
                <w:bCs/>
                <w:color w:val="auto"/>
                <w:kern w:val="0"/>
              </w:rPr>
              <w:t>排放情况</w:t>
            </w:r>
          </w:p>
        </w:tc>
        <w:tc>
          <w:tcPr>
            <w:tcW w:w="5103" w:type="dxa"/>
            <w:gridSpan w:val="3"/>
            <w:vAlign w:val="center"/>
          </w:tcPr>
          <w:p>
            <w:pPr>
              <w:widowControl w:val="0"/>
              <w:adjustRightInd w:val="0"/>
              <w:snapToGrid w:val="0"/>
              <w:jc w:val="center"/>
              <w:textAlignment w:val="baseline"/>
              <w:rPr>
                <w:b/>
                <w:bCs/>
                <w:color w:val="auto"/>
                <w:kern w:val="0"/>
              </w:rPr>
            </w:pPr>
            <w:r>
              <w:rPr>
                <w:b/>
                <w:bCs/>
                <w:color w:val="auto"/>
                <w:kern w:val="0"/>
              </w:rPr>
              <w:t>许可排放情况</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819" w:hRule="atLeast"/>
        </w:trPr>
        <w:tc>
          <w:tcPr>
            <w:tcW w:w="595" w:type="dxa"/>
            <w:vMerge w:val="continue"/>
            <w:vAlign w:val="center"/>
          </w:tcPr>
          <w:p>
            <w:pPr>
              <w:widowControl w:val="0"/>
              <w:adjustRightInd w:val="0"/>
              <w:snapToGrid w:val="0"/>
              <w:jc w:val="center"/>
              <w:textAlignment w:val="baseline"/>
              <w:rPr>
                <w:b/>
                <w:bCs/>
                <w:color w:val="auto"/>
                <w:kern w:val="0"/>
              </w:rPr>
            </w:pPr>
          </w:p>
        </w:tc>
        <w:tc>
          <w:tcPr>
            <w:tcW w:w="993" w:type="dxa"/>
            <w:vMerge w:val="continue"/>
            <w:vAlign w:val="center"/>
          </w:tcPr>
          <w:p>
            <w:pPr>
              <w:widowControl w:val="0"/>
              <w:adjustRightInd w:val="0"/>
              <w:snapToGrid w:val="0"/>
              <w:jc w:val="center"/>
              <w:textAlignment w:val="baseline"/>
              <w:rPr>
                <w:b/>
                <w:bCs/>
                <w:color w:val="auto"/>
                <w:kern w:val="0"/>
              </w:rPr>
            </w:pPr>
          </w:p>
        </w:tc>
        <w:tc>
          <w:tcPr>
            <w:tcW w:w="1701" w:type="dxa"/>
            <w:vMerge w:val="continue"/>
            <w:vAlign w:val="center"/>
          </w:tcPr>
          <w:p>
            <w:pPr>
              <w:widowControl w:val="0"/>
              <w:adjustRightInd w:val="0"/>
              <w:snapToGrid w:val="0"/>
              <w:jc w:val="center"/>
              <w:textAlignment w:val="baseline"/>
              <w:rPr>
                <w:b/>
                <w:bCs/>
                <w:color w:val="auto"/>
                <w:kern w:val="0"/>
              </w:rPr>
            </w:pPr>
          </w:p>
        </w:tc>
        <w:tc>
          <w:tcPr>
            <w:tcW w:w="1559" w:type="dxa"/>
            <w:vMerge w:val="continue"/>
            <w:vAlign w:val="center"/>
          </w:tcPr>
          <w:p>
            <w:pPr>
              <w:widowControl w:val="0"/>
              <w:adjustRightInd w:val="0"/>
              <w:snapToGrid w:val="0"/>
              <w:jc w:val="center"/>
              <w:textAlignment w:val="baseline"/>
              <w:rPr>
                <w:b/>
                <w:bCs/>
                <w:color w:val="auto"/>
                <w:kern w:val="0"/>
              </w:rPr>
            </w:pPr>
          </w:p>
        </w:tc>
        <w:tc>
          <w:tcPr>
            <w:tcW w:w="709" w:type="dxa"/>
            <w:vMerge w:val="continue"/>
            <w:vAlign w:val="center"/>
          </w:tcPr>
          <w:p>
            <w:pPr>
              <w:widowControl w:val="0"/>
              <w:adjustRightInd w:val="0"/>
              <w:snapToGrid w:val="0"/>
              <w:jc w:val="center"/>
              <w:textAlignment w:val="baseline"/>
              <w:rPr>
                <w:b/>
                <w:bCs/>
                <w:color w:val="auto"/>
                <w:kern w:val="0"/>
              </w:rPr>
            </w:pPr>
          </w:p>
        </w:tc>
        <w:tc>
          <w:tcPr>
            <w:tcW w:w="708" w:type="dxa"/>
            <w:vAlign w:val="center"/>
          </w:tcPr>
          <w:p>
            <w:pPr>
              <w:widowControl w:val="0"/>
              <w:adjustRightInd w:val="0"/>
              <w:snapToGrid w:val="0"/>
              <w:jc w:val="center"/>
              <w:textAlignment w:val="baseline"/>
              <w:rPr>
                <w:b/>
                <w:bCs/>
                <w:color w:val="auto"/>
                <w:kern w:val="0"/>
              </w:rPr>
            </w:pPr>
            <w:r>
              <w:rPr>
                <w:b/>
                <w:bCs/>
                <w:color w:val="auto"/>
                <w:kern w:val="0"/>
              </w:rPr>
              <w:t>排气量</w:t>
            </w:r>
          </w:p>
          <w:p>
            <w:pPr>
              <w:widowControl w:val="0"/>
              <w:adjustRightInd w:val="0"/>
              <w:snapToGrid w:val="0"/>
              <w:jc w:val="center"/>
              <w:textAlignment w:val="baseline"/>
              <w:rPr>
                <w:b/>
                <w:bCs/>
                <w:color w:val="auto"/>
                <w:kern w:val="0"/>
              </w:rPr>
            </w:pPr>
            <w:r>
              <w:rPr>
                <w:b/>
                <w:bCs/>
                <w:color w:val="auto"/>
                <w:kern w:val="0"/>
              </w:rPr>
              <w:t>m</w:t>
            </w:r>
            <w:r>
              <w:rPr>
                <w:b/>
                <w:bCs/>
                <w:color w:val="auto"/>
                <w:kern w:val="0"/>
                <w:vertAlign w:val="superscript"/>
              </w:rPr>
              <w:t>3</w:t>
            </w:r>
            <w:r>
              <w:rPr>
                <w:b/>
                <w:bCs/>
                <w:color w:val="auto"/>
                <w:kern w:val="0"/>
              </w:rPr>
              <w:t>/h</w:t>
            </w:r>
          </w:p>
        </w:tc>
        <w:tc>
          <w:tcPr>
            <w:tcW w:w="709" w:type="dxa"/>
            <w:vAlign w:val="center"/>
          </w:tcPr>
          <w:p>
            <w:pPr>
              <w:widowControl w:val="0"/>
              <w:adjustRightInd w:val="0"/>
              <w:snapToGrid w:val="0"/>
              <w:jc w:val="center"/>
              <w:textAlignment w:val="baseline"/>
              <w:rPr>
                <w:b/>
                <w:bCs/>
                <w:color w:val="auto"/>
                <w:kern w:val="0"/>
              </w:rPr>
            </w:pPr>
            <w:r>
              <w:rPr>
                <w:b/>
                <w:bCs/>
                <w:color w:val="auto"/>
                <w:kern w:val="0"/>
              </w:rPr>
              <w:t>烟气温度</w:t>
            </w:r>
            <w:r>
              <w:rPr>
                <w:rFonts w:hint="eastAsia" w:ascii="宋体" w:hAnsi="宋体" w:cs="宋体"/>
                <w:b/>
                <w:bCs/>
                <w:color w:val="auto"/>
                <w:kern w:val="0"/>
              </w:rPr>
              <w:t>℃</w:t>
            </w:r>
          </w:p>
        </w:tc>
        <w:tc>
          <w:tcPr>
            <w:tcW w:w="709" w:type="dxa"/>
            <w:vAlign w:val="center"/>
          </w:tcPr>
          <w:p>
            <w:pPr>
              <w:widowControl w:val="0"/>
              <w:adjustRightInd w:val="0"/>
              <w:snapToGrid w:val="0"/>
              <w:jc w:val="center"/>
              <w:textAlignment w:val="baseline"/>
              <w:rPr>
                <w:b/>
                <w:bCs/>
                <w:color w:val="auto"/>
                <w:kern w:val="0"/>
              </w:rPr>
            </w:pPr>
            <w:r>
              <w:rPr>
                <w:b/>
                <w:bCs/>
                <w:color w:val="auto"/>
                <w:kern w:val="0"/>
              </w:rPr>
              <w:t>高、内径</w:t>
            </w:r>
          </w:p>
        </w:tc>
        <w:tc>
          <w:tcPr>
            <w:tcW w:w="709" w:type="dxa"/>
            <w:vAlign w:val="center"/>
          </w:tcPr>
          <w:p>
            <w:pPr>
              <w:widowControl w:val="0"/>
              <w:adjustRightInd w:val="0"/>
              <w:snapToGrid w:val="0"/>
              <w:jc w:val="center"/>
              <w:textAlignment w:val="baseline"/>
              <w:rPr>
                <w:b/>
                <w:bCs/>
                <w:color w:val="auto"/>
                <w:kern w:val="0"/>
              </w:rPr>
            </w:pPr>
            <w:r>
              <w:rPr>
                <w:b/>
                <w:bCs/>
                <w:color w:val="auto"/>
                <w:kern w:val="0"/>
              </w:rPr>
              <w:t>浓度</w:t>
            </w:r>
          </w:p>
          <w:p>
            <w:pPr>
              <w:widowControl w:val="0"/>
              <w:adjustRightInd w:val="0"/>
              <w:snapToGrid w:val="0"/>
              <w:jc w:val="center"/>
              <w:textAlignment w:val="baseline"/>
              <w:rPr>
                <w:b/>
                <w:bCs/>
                <w:color w:val="auto"/>
                <w:kern w:val="0"/>
              </w:rPr>
            </w:pPr>
            <w:r>
              <w:rPr>
                <w:b/>
                <w:bCs/>
                <w:color w:val="auto"/>
                <w:kern w:val="0"/>
              </w:rPr>
              <w:t>mg/m</w:t>
            </w:r>
            <w:r>
              <w:rPr>
                <w:b/>
                <w:bCs/>
                <w:color w:val="auto"/>
                <w:kern w:val="0"/>
                <w:vertAlign w:val="superscript"/>
              </w:rPr>
              <w:t>3</w:t>
            </w:r>
          </w:p>
        </w:tc>
        <w:tc>
          <w:tcPr>
            <w:tcW w:w="708" w:type="dxa"/>
            <w:vAlign w:val="center"/>
          </w:tcPr>
          <w:p>
            <w:pPr>
              <w:widowControl w:val="0"/>
              <w:adjustRightInd w:val="0"/>
              <w:snapToGrid w:val="0"/>
              <w:jc w:val="center"/>
              <w:textAlignment w:val="baseline"/>
              <w:rPr>
                <w:b/>
                <w:bCs/>
                <w:color w:val="auto"/>
                <w:kern w:val="0"/>
              </w:rPr>
            </w:pPr>
            <w:r>
              <w:rPr>
                <w:b/>
                <w:bCs/>
                <w:color w:val="auto"/>
                <w:kern w:val="0"/>
              </w:rPr>
              <w:t>速率</w:t>
            </w:r>
          </w:p>
          <w:p>
            <w:pPr>
              <w:widowControl w:val="0"/>
              <w:adjustRightInd w:val="0"/>
              <w:snapToGrid w:val="0"/>
              <w:jc w:val="center"/>
              <w:textAlignment w:val="baseline"/>
              <w:rPr>
                <w:b/>
                <w:bCs/>
                <w:color w:val="auto"/>
                <w:kern w:val="0"/>
              </w:rPr>
            </w:pPr>
            <w:r>
              <w:rPr>
                <w:b/>
                <w:bCs/>
                <w:color w:val="auto"/>
                <w:kern w:val="0"/>
              </w:rPr>
              <w:t>kg/h</w:t>
            </w:r>
          </w:p>
        </w:tc>
        <w:tc>
          <w:tcPr>
            <w:tcW w:w="709" w:type="dxa"/>
            <w:vAlign w:val="center"/>
          </w:tcPr>
          <w:p>
            <w:pPr>
              <w:widowControl w:val="0"/>
              <w:adjustRightInd w:val="0"/>
              <w:snapToGrid w:val="0"/>
              <w:jc w:val="center"/>
              <w:textAlignment w:val="baseline"/>
              <w:rPr>
                <w:b/>
                <w:bCs/>
                <w:color w:val="auto"/>
                <w:kern w:val="0"/>
              </w:rPr>
            </w:pPr>
            <w:r>
              <w:rPr>
                <w:b/>
                <w:bCs/>
                <w:color w:val="auto"/>
                <w:kern w:val="0"/>
              </w:rPr>
              <w:t>排放量</w:t>
            </w:r>
          </w:p>
          <w:p>
            <w:pPr>
              <w:widowControl w:val="0"/>
              <w:adjustRightInd w:val="0"/>
              <w:snapToGrid w:val="0"/>
              <w:jc w:val="center"/>
              <w:textAlignment w:val="baseline"/>
              <w:rPr>
                <w:b/>
                <w:bCs/>
                <w:color w:val="auto"/>
                <w:kern w:val="0"/>
              </w:rPr>
            </w:pPr>
            <w:r>
              <w:rPr>
                <w:b/>
                <w:bCs/>
                <w:color w:val="auto"/>
                <w:kern w:val="0"/>
              </w:rPr>
              <w:t>t/a</w:t>
            </w:r>
          </w:p>
        </w:tc>
        <w:tc>
          <w:tcPr>
            <w:tcW w:w="851" w:type="dxa"/>
            <w:vAlign w:val="center"/>
          </w:tcPr>
          <w:p>
            <w:pPr>
              <w:widowControl w:val="0"/>
              <w:adjustRightInd w:val="0"/>
              <w:snapToGrid w:val="0"/>
              <w:jc w:val="center"/>
              <w:textAlignment w:val="baseline"/>
              <w:rPr>
                <w:b/>
                <w:bCs/>
                <w:color w:val="auto"/>
                <w:kern w:val="0"/>
              </w:rPr>
            </w:pPr>
            <w:r>
              <w:rPr>
                <w:b/>
                <w:bCs/>
                <w:color w:val="auto"/>
                <w:kern w:val="0"/>
              </w:rPr>
              <w:t>浓度</w:t>
            </w:r>
          </w:p>
          <w:p>
            <w:pPr>
              <w:widowControl w:val="0"/>
              <w:adjustRightInd w:val="0"/>
              <w:snapToGrid w:val="0"/>
              <w:jc w:val="center"/>
              <w:textAlignment w:val="baseline"/>
              <w:rPr>
                <w:b/>
                <w:bCs/>
                <w:color w:val="auto"/>
                <w:kern w:val="0"/>
              </w:rPr>
            </w:pPr>
            <w:r>
              <w:rPr>
                <w:b/>
                <w:bCs/>
                <w:color w:val="auto"/>
                <w:kern w:val="0"/>
              </w:rPr>
              <w:t>mg/m</w:t>
            </w:r>
            <w:r>
              <w:rPr>
                <w:b/>
                <w:bCs/>
                <w:color w:val="auto"/>
                <w:kern w:val="0"/>
                <w:vertAlign w:val="superscript"/>
              </w:rPr>
              <w:t>3</w:t>
            </w:r>
          </w:p>
        </w:tc>
        <w:tc>
          <w:tcPr>
            <w:tcW w:w="708" w:type="dxa"/>
            <w:vAlign w:val="center"/>
          </w:tcPr>
          <w:p>
            <w:pPr>
              <w:widowControl w:val="0"/>
              <w:adjustRightInd w:val="0"/>
              <w:snapToGrid w:val="0"/>
              <w:jc w:val="center"/>
              <w:textAlignment w:val="baseline"/>
              <w:rPr>
                <w:b/>
                <w:bCs/>
                <w:color w:val="auto"/>
                <w:kern w:val="0"/>
              </w:rPr>
            </w:pPr>
            <w:r>
              <w:rPr>
                <w:b/>
                <w:bCs/>
                <w:color w:val="auto"/>
                <w:kern w:val="0"/>
              </w:rPr>
              <w:t>总量指标t/a</w:t>
            </w:r>
          </w:p>
        </w:tc>
        <w:tc>
          <w:tcPr>
            <w:tcW w:w="3544" w:type="dxa"/>
            <w:vAlign w:val="center"/>
          </w:tcPr>
          <w:p>
            <w:pPr>
              <w:widowControl w:val="0"/>
              <w:adjustRightInd w:val="0"/>
              <w:snapToGrid w:val="0"/>
              <w:jc w:val="center"/>
              <w:textAlignment w:val="baseline"/>
              <w:rPr>
                <w:b/>
                <w:bCs/>
                <w:color w:val="auto"/>
                <w:kern w:val="0"/>
              </w:rPr>
            </w:pPr>
            <w:r>
              <w:rPr>
                <w:b/>
                <w:bCs/>
                <w:color w:val="auto"/>
                <w:kern w:val="0"/>
              </w:rPr>
              <w:t>执行标准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23" w:hRule="atLeast"/>
        </w:trPr>
        <w:tc>
          <w:tcPr>
            <w:tcW w:w="595" w:type="dxa"/>
            <w:vMerge w:val="restart"/>
            <w:vAlign w:val="center"/>
          </w:tcPr>
          <w:p>
            <w:pPr>
              <w:widowControl w:val="0"/>
              <w:adjustRightInd w:val="0"/>
              <w:snapToGrid w:val="0"/>
              <w:jc w:val="center"/>
              <w:textAlignment w:val="baseline"/>
              <w:rPr>
                <w:color w:val="auto"/>
                <w:kern w:val="0"/>
              </w:rPr>
            </w:pPr>
            <w:r>
              <w:rPr>
                <w:color w:val="auto"/>
                <w:kern w:val="0"/>
              </w:rPr>
              <w:t>废气</w:t>
            </w:r>
          </w:p>
        </w:tc>
        <w:tc>
          <w:tcPr>
            <w:tcW w:w="993" w:type="dxa"/>
            <w:tcBorders>
              <w:bottom w:val="single" w:color="000000" w:sz="6" w:space="0"/>
            </w:tcBorders>
            <w:vAlign w:val="center"/>
          </w:tcPr>
          <w:p>
            <w:pPr>
              <w:widowControl w:val="0"/>
              <w:adjustRightInd w:val="0"/>
              <w:snapToGrid w:val="0"/>
              <w:jc w:val="center"/>
              <w:textAlignment w:val="baseline"/>
              <w:rPr>
                <w:bCs/>
                <w:color w:val="auto"/>
                <w:kern w:val="0"/>
              </w:rPr>
            </w:pPr>
            <w:r>
              <w:rPr>
                <w:color w:val="auto"/>
                <w:kern w:val="21"/>
              </w:rPr>
              <w:t>二级碱液喷淋中和塔排气筒</w:t>
            </w:r>
          </w:p>
        </w:tc>
        <w:tc>
          <w:tcPr>
            <w:tcW w:w="1701" w:type="dxa"/>
            <w:tcBorders>
              <w:bottom w:val="single" w:color="000000" w:sz="6" w:space="0"/>
            </w:tcBorders>
            <w:vAlign w:val="center"/>
          </w:tcPr>
          <w:p>
            <w:pPr>
              <w:widowControl w:val="0"/>
              <w:adjustRightInd w:val="0"/>
              <w:snapToGrid w:val="0"/>
              <w:jc w:val="center"/>
              <w:textAlignment w:val="baseline"/>
              <w:rPr>
                <w:bCs/>
                <w:color w:val="auto"/>
                <w:kern w:val="0"/>
              </w:rPr>
            </w:pPr>
            <w:r>
              <w:rPr>
                <w:bCs/>
                <w:color w:val="auto"/>
                <w:kern w:val="0"/>
              </w:rPr>
              <w:t>经度：</w:t>
            </w:r>
            <w:r>
              <w:rPr>
                <w:color w:val="auto"/>
                <w:kern w:val="0"/>
              </w:rPr>
              <w:t>113.708958</w:t>
            </w:r>
          </w:p>
          <w:p>
            <w:pPr>
              <w:widowControl w:val="0"/>
              <w:adjustRightInd w:val="0"/>
              <w:snapToGrid w:val="0"/>
              <w:jc w:val="center"/>
              <w:textAlignment w:val="baseline"/>
              <w:rPr>
                <w:bCs/>
                <w:color w:val="auto"/>
                <w:kern w:val="0"/>
              </w:rPr>
            </w:pPr>
            <w:r>
              <w:rPr>
                <w:bCs/>
                <w:color w:val="auto"/>
                <w:kern w:val="0"/>
              </w:rPr>
              <w:t>纬度：</w:t>
            </w:r>
            <w:r>
              <w:rPr>
                <w:color w:val="auto"/>
                <w:kern w:val="0"/>
              </w:rPr>
              <w:t>35.267791</w:t>
            </w:r>
          </w:p>
        </w:tc>
        <w:tc>
          <w:tcPr>
            <w:tcW w:w="1559" w:type="dxa"/>
            <w:tcBorders>
              <w:bottom w:val="single" w:color="000000" w:sz="6" w:space="0"/>
            </w:tcBorders>
            <w:vAlign w:val="center"/>
          </w:tcPr>
          <w:p>
            <w:pPr>
              <w:widowControl w:val="0"/>
              <w:adjustRightInd w:val="0"/>
              <w:snapToGrid w:val="0"/>
              <w:jc w:val="center"/>
              <w:textAlignment w:val="baseline"/>
              <w:rPr>
                <w:rFonts w:hint="eastAsia" w:eastAsia="宋体"/>
                <w:bCs/>
                <w:color w:val="auto"/>
                <w:kern w:val="0"/>
                <w:lang w:eastAsia="zh-CN"/>
              </w:rPr>
            </w:pPr>
            <w:r>
              <w:rPr>
                <w:rFonts w:hint="eastAsia"/>
                <w:color w:val="auto"/>
                <w:kern w:val="0"/>
              </w:rPr>
              <w:t>二级</w:t>
            </w:r>
            <w:r>
              <w:rPr>
                <w:rFonts w:hint="eastAsia"/>
                <w:color w:val="auto"/>
                <w:kern w:val="0"/>
                <w:lang w:val="en-US" w:eastAsia="zh-CN"/>
              </w:rPr>
              <w:t>碱</w:t>
            </w:r>
            <w:r>
              <w:rPr>
                <w:rFonts w:hint="eastAsia"/>
                <w:color w:val="auto"/>
                <w:kern w:val="0"/>
              </w:rPr>
              <w:t>喷淋中和塔</w:t>
            </w:r>
            <w:r>
              <w:rPr>
                <w:bCs/>
                <w:color w:val="auto"/>
                <w:kern w:val="0"/>
              </w:rPr>
              <w:t>+</w:t>
            </w:r>
            <w:r>
              <w:rPr>
                <w:rFonts w:hint="eastAsia"/>
                <w:bCs/>
                <w:color w:val="auto"/>
                <w:kern w:val="0"/>
                <w:lang w:eastAsia="zh-CN"/>
              </w:rPr>
              <w:t>15m高排气筒</w:t>
            </w:r>
          </w:p>
        </w:tc>
        <w:tc>
          <w:tcPr>
            <w:tcW w:w="709" w:type="dxa"/>
            <w:vAlign w:val="center"/>
          </w:tcPr>
          <w:p>
            <w:pPr>
              <w:widowControl w:val="0"/>
              <w:adjustRightInd w:val="0"/>
              <w:snapToGrid w:val="0"/>
              <w:jc w:val="center"/>
              <w:textAlignment w:val="baseline"/>
              <w:rPr>
                <w:bCs/>
                <w:color w:val="auto"/>
                <w:kern w:val="0"/>
              </w:rPr>
            </w:pPr>
            <w:r>
              <w:rPr>
                <w:rFonts w:hint="eastAsia"/>
                <w:color w:val="auto"/>
                <w:kern w:val="0"/>
              </w:rPr>
              <w:t>HCl</w:t>
            </w:r>
          </w:p>
        </w:tc>
        <w:tc>
          <w:tcPr>
            <w:tcW w:w="708" w:type="dxa"/>
            <w:tcBorders>
              <w:bottom w:val="single" w:color="000000" w:sz="6" w:space="0"/>
            </w:tcBorders>
            <w:vAlign w:val="center"/>
          </w:tcPr>
          <w:p>
            <w:pPr>
              <w:widowControl w:val="0"/>
              <w:adjustRightInd w:val="0"/>
              <w:snapToGrid w:val="0"/>
              <w:jc w:val="center"/>
              <w:textAlignment w:val="baseline"/>
              <w:rPr>
                <w:bCs/>
                <w:color w:val="auto"/>
                <w:kern w:val="0"/>
              </w:rPr>
            </w:pPr>
            <w:r>
              <w:rPr>
                <w:rFonts w:hint="eastAsia"/>
                <w:color w:val="auto"/>
                <w:kern w:val="0"/>
              </w:rPr>
              <w:t>38000</w:t>
            </w:r>
          </w:p>
        </w:tc>
        <w:tc>
          <w:tcPr>
            <w:tcW w:w="709" w:type="dxa"/>
            <w:tcBorders>
              <w:bottom w:val="single" w:color="000000" w:sz="6" w:space="0"/>
            </w:tcBorders>
            <w:vAlign w:val="center"/>
          </w:tcPr>
          <w:p>
            <w:pPr>
              <w:widowControl w:val="0"/>
              <w:adjustRightInd w:val="0"/>
              <w:snapToGrid w:val="0"/>
              <w:jc w:val="center"/>
              <w:textAlignment w:val="baseline"/>
              <w:rPr>
                <w:bCs/>
                <w:color w:val="auto"/>
                <w:kern w:val="0"/>
              </w:rPr>
            </w:pPr>
            <w:r>
              <w:rPr>
                <w:rFonts w:hint="eastAsia"/>
                <w:color w:val="auto"/>
                <w:kern w:val="0"/>
              </w:rPr>
              <w:t>25</w:t>
            </w:r>
          </w:p>
        </w:tc>
        <w:tc>
          <w:tcPr>
            <w:tcW w:w="709" w:type="dxa"/>
            <w:tcBorders>
              <w:bottom w:val="single" w:color="000000" w:sz="6" w:space="0"/>
            </w:tcBorders>
            <w:vAlign w:val="center"/>
          </w:tcPr>
          <w:p>
            <w:pPr>
              <w:widowControl w:val="0"/>
              <w:adjustRightInd w:val="0"/>
              <w:snapToGrid w:val="0"/>
              <w:jc w:val="center"/>
              <w:textAlignment w:val="baseline"/>
              <w:rPr>
                <w:bCs/>
                <w:color w:val="auto"/>
                <w:kern w:val="0"/>
              </w:rPr>
            </w:pPr>
            <w:r>
              <w:rPr>
                <w:color w:val="auto"/>
                <w:kern w:val="0"/>
              </w:rPr>
              <w:t>1</w:t>
            </w:r>
            <w:r>
              <w:rPr>
                <w:rFonts w:hint="eastAsia"/>
                <w:color w:val="auto"/>
                <w:kern w:val="0"/>
              </w:rPr>
              <w:t>5</w:t>
            </w:r>
            <w:r>
              <w:rPr>
                <w:color w:val="auto"/>
                <w:kern w:val="0"/>
              </w:rPr>
              <w:t>/</w:t>
            </w:r>
            <w:r>
              <w:rPr>
                <w:rFonts w:hint="eastAsia"/>
                <w:color w:val="auto"/>
                <w:kern w:val="0"/>
              </w:rPr>
              <w:t>1.0</w:t>
            </w:r>
          </w:p>
        </w:tc>
        <w:tc>
          <w:tcPr>
            <w:tcW w:w="709" w:type="dxa"/>
            <w:tcBorders>
              <w:bottom w:val="single" w:color="000000" w:sz="6" w:space="0"/>
            </w:tcBorders>
            <w:vAlign w:val="center"/>
          </w:tcPr>
          <w:p>
            <w:pPr>
              <w:widowControl w:val="0"/>
              <w:jc w:val="center"/>
              <w:rPr>
                <w:color w:val="auto"/>
                <w:szCs w:val="18"/>
              </w:rPr>
            </w:pPr>
            <w:r>
              <w:rPr>
                <w:rFonts w:hint="eastAsia"/>
                <w:color w:val="auto"/>
                <w:szCs w:val="18"/>
              </w:rPr>
              <w:t>0.895</w:t>
            </w:r>
          </w:p>
          <w:p>
            <w:pPr>
              <w:widowControl w:val="0"/>
              <w:adjustRightInd w:val="0"/>
              <w:snapToGrid w:val="0"/>
              <w:jc w:val="center"/>
              <w:textAlignment w:val="baseline"/>
              <w:rPr>
                <w:bCs/>
                <w:color w:val="auto"/>
                <w:kern w:val="0"/>
              </w:rPr>
            </w:pPr>
            <w:r>
              <w:rPr>
                <w:rFonts w:hint="eastAsia"/>
                <w:color w:val="auto"/>
                <w:szCs w:val="18"/>
              </w:rPr>
              <w:t>（基准浓度2.747）</w:t>
            </w:r>
          </w:p>
        </w:tc>
        <w:tc>
          <w:tcPr>
            <w:tcW w:w="708" w:type="dxa"/>
            <w:tcBorders>
              <w:bottom w:val="single" w:color="000000" w:sz="6" w:space="0"/>
            </w:tcBorders>
            <w:vAlign w:val="center"/>
          </w:tcPr>
          <w:p>
            <w:pPr>
              <w:widowControl w:val="0"/>
              <w:adjustRightInd w:val="0"/>
              <w:snapToGrid w:val="0"/>
              <w:jc w:val="center"/>
              <w:textAlignment w:val="baseline"/>
              <w:rPr>
                <w:rFonts w:hint="default" w:eastAsia="宋体"/>
                <w:bCs/>
                <w:color w:val="auto"/>
                <w:kern w:val="0"/>
                <w:lang w:val="en-US" w:eastAsia="zh-CN"/>
              </w:rPr>
            </w:pPr>
            <w:r>
              <w:rPr>
                <w:rFonts w:hint="eastAsia"/>
                <w:color w:val="auto"/>
                <w:szCs w:val="18"/>
              </w:rPr>
              <w:t>0.03</w:t>
            </w:r>
            <w:r>
              <w:rPr>
                <w:rFonts w:hint="eastAsia"/>
                <w:color w:val="auto"/>
                <w:szCs w:val="18"/>
                <w:lang w:val="en-US" w:eastAsia="zh-CN"/>
              </w:rPr>
              <w:t>42</w:t>
            </w:r>
          </w:p>
        </w:tc>
        <w:tc>
          <w:tcPr>
            <w:tcW w:w="709" w:type="dxa"/>
            <w:tcBorders>
              <w:bottom w:val="single" w:color="000000" w:sz="6" w:space="0"/>
            </w:tcBorders>
            <w:vAlign w:val="center"/>
          </w:tcPr>
          <w:p>
            <w:pPr>
              <w:widowControl w:val="0"/>
              <w:adjustRightInd w:val="0"/>
              <w:snapToGrid w:val="0"/>
              <w:jc w:val="center"/>
              <w:textAlignment w:val="baseline"/>
              <w:rPr>
                <w:rFonts w:hint="default" w:eastAsia="宋体"/>
                <w:bCs/>
                <w:color w:val="auto"/>
                <w:kern w:val="0"/>
                <w:lang w:val="en-US" w:eastAsia="zh-CN"/>
              </w:rPr>
            </w:pPr>
            <w:r>
              <w:rPr>
                <w:rFonts w:hint="eastAsia"/>
                <w:bCs/>
                <w:color w:val="auto"/>
                <w:kern w:val="0"/>
                <w:lang w:val="en-US" w:eastAsia="zh-CN"/>
              </w:rPr>
              <w:t>0.254</w:t>
            </w:r>
          </w:p>
        </w:tc>
        <w:tc>
          <w:tcPr>
            <w:tcW w:w="851" w:type="dxa"/>
            <w:tcBorders>
              <w:bottom w:val="single" w:color="000000" w:sz="6" w:space="0"/>
            </w:tcBorders>
            <w:vAlign w:val="center"/>
          </w:tcPr>
          <w:p>
            <w:pPr>
              <w:widowControl w:val="0"/>
              <w:adjustRightInd w:val="0"/>
              <w:snapToGrid w:val="0"/>
              <w:jc w:val="center"/>
              <w:textAlignment w:val="baseline"/>
              <w:rPr>
                <w:bCs/>
                <w:color w:val="auto"/>
                <w:kern w:val="0"/>
              </w:rPr>
            </w:pPr>
            <w:r>
              <w:rPr>
                <w:rFonts w:hint="eastAsia"/>
                <w:color w:val="auto"/>
                <w:kern w:val="0"/>
              </w:rPr>
              <w:t>30</w:t>
            </w:r>
          </w:p>
        </w:tc>
        <w:tc>
          <w:tcPr>
            <w:tcW w:w="708" w:type="dxa"/>
            <w:tcBorders>
              <w:bottom w:val="single" w:color="000000" w:sz="6" w:space="0"/>
            </w:tcBorders>
            <w:vAlign w:val="center"/>
          </w:tcPr>
          <w:p>
            <w:pPr>
              <w:widowControl w:val="0"/>
              <w:adjustRightInd w:val="0"/>
              <w:snapToGrid w:val="0"/>
              <w:jc w:val="center"/>
              <w:textAlignment w:val="baseline"/>
              <w:rPr>
                <w:bCs/>
                <w:color w:val="auto"/>
                <w:kern w:val="0"/>
              </w:rPr>
            </w:pPr>
            <w:r>
              <w:rPr>
                <w:rFonts w:hint="eastAsia"/>
                <w:color w:val="auto"/>
                <w:kern w:val="0"/>
              </w:rPr>
              <w:t>/</w:t>
            </w:r>
          </w:p>
        </w:tc>
        <w:tc>
          <w:tcPr>
            <w:tcW w:w="3544" w:type="dxa"/>
            <w:tcBorders>
              <w:bottom w:val="single" w:color="000000" w:sz="6" w:space="0"/>
            </w:tcBorders>
            <w:vAlign w:val="center"/>
          </w:tcPr>
          <w:p>
            <w:pPr>
              <w:widowControl w:val="0"/>
              <w:adjustRightInd w:val="0"/>
              <w:snapToGrid w:val="0"/>
              <w:jc w:val="center"/>
              <w:textAlignment w:val="baseline"/>
              <w:rPr>
                <w:color w:val="auto"/>
                <w:kern w:val="0"/>
              </w:rPr>
            </w:pPr>
            <w:r>
              <w:rPr>
                <w:color w:val="auto"/>
                <w:kern w:val="21"/>
              </w:rPr>
              <w:t>《电镀污染物排放标准》（GB21900-2008）表5标准中30mg/m</w:t>
            </w:r>
            <w:r>
              <w:rPr>
                <w:color w:val="auto"/>
                <w:kern w:val="21"/>
                <w:vertAlign w:val="superscript"/>
              </w:rPr>
              <w:t>3</w:t>
            </w:r>
            <w:r>
              <w:rPr>
                <w:color w:val="auto"/>
                <w:kern w:val="21"/>
              </w:rPr>
              <w:t>标准限值及</w:t>
            </w:r>
            <w:r>
              <w:rPr>
                <w:rFonts w:hint="eastAsia" w:ascii="宋体" w:hAnsi="宋体" w:cs="宋体"/>
                <w:color w:val="auto"/>
                <w:kern w:val="0"/>
                <w:lang w:val="zh-CN" w:bidi="zh-CN"/>
              </w:rPr>
              <w:t>《河南省重污染天气重点行业应急减排措施制定技术指南（</w:t>
            </w:r>
            <w:r>
              <w:rPr>
                <w:rFonts w:ascii="宋体" w:hAnsi="宋体" w:cs="宋体"/>
                <w:color w:val="auto"/>
                <w:kern w:val="0"/>
                <w:lang w:val="zh-CN" w:bidi="zh-CN"/>
              </w:rPr>
              <w:t>2021</w:t>
            </w:r>
            <w:r>
              <w:rPr>
                <w:rFonts w:hint="eastAsia" w:ascii="宋体" w:hAnsi="宋体" w:cs="宋体"/>
                <w:color w:val="auto"/>
                <w:kern w:val="0"/>
                <w:lang w:val="zh-CN" w:bidi="zh-CN"/>
              </w:rPr>
              <w:t>年修订）》中“</w:t>
            </w:r>
            <w:r>
              <w:rPr>
                <w:rFonts w:hint="eastAsia"/>
                <w:color w:val="auto"/>
              </w:rPr>
              <w:t>金属表面处理及热处理加工</w:t>
            </w:r>
            <w:r>
              <w:rPr>
                <w:rFonts w:hint="eastAsia" w:ascii="宋体" w:hAnsi="宋体" w:cs="宋体"/>
                <w:color w:val="auto"/>
                <w:kern w:val="0"/>
                <w:lang w:val="zh-CN" w:bidi="zh-CN"/>
              </w:rPr>
              <w:t>”10mg/m</w:t>
            </w:r>
            <w:r>
              <w:rPr>
                <w:rFonts w:hint="eastAsia" w:ascii="宋体" w:hAnsi="宋体" w:cs="宋体"/>
                <w:color w:val="auto"/>
                <w:kern w:val="0"/>
                <w:vertAlign w:val="superscript"/>
                <w:lang w:val="zh-CN" w:bidi="zh-CN"/>
              </w:rPr>
              <w:t>3</w:t>
            </w:r>
            <w:r>
              <w:rPr>
                <w:rFonts w:hint="eastAsia" w:ascii="宋体" w:hAnsi="宋体" w:cs="宋体"/>
                <w:color w:val="auto"/>
                <w:kern w:val="0"/>
                <w:lang w:val="zh-CN" w:bidi="zh-CN"/>
              </w:rPr>
              <w:t>浓度限值要求</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1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restart"/>
            <w:vAlign w:val="center"/>
          </w:tcPr>
          <w:p>
            <w:pPr>
              <w:widowControl w:val="0"/>
              <w:adjustRightInd w:val="0"/>
              <w:snapToGrid w:val="0"/>
              <w:jc w:val="center"/>
              <w:textAlignment w:val="baseline"/>
              <w:rPr>
                <w:color w:val="auto"/>
                <w:kern w:val="0"/>
              </w:rPr>
            </w:pPr>
            <w:r>
              <w:rPr>
                <w:rFonts w:hint="eastAsia"/>
                <w:color w:val="auto"/>
                <w:kern w:val="0"/>
              </w:rPr>
              <w:t>6t/h锅炉</w:t>
            </w:r>
          </w:p>
        </w:tc>
        <w:tc>
          <w:tcPr>
            <w:tcW w:w="1701" w:type="dxa"/>
            <w:vMerge w:val="restart"/>
            <w:vAlign w:val="center"/>
          </w:tcPr>
          <w:p>
            <w:pPr>
              <w:widowControl w:val="0"/>
              <w:adjustRightInd w:val="0"/>
              <w:snapToGrid w:val="0"/>
              <w:jc w:val="center"/>
              <w:textAlignment w:val="baseline"/>
              <w:rPr>
                <w:bCs/>
                <w:color w:val="auto"/>
                <w:kern w:val="0"/>
              </w:rPr>
            </w:pPr>
            <w:r>
              <w:rPr>
                <w:bCs/>
                <w:color w:val="auto"/>
                <w:kern w:val="0"/>
              </w:rPr>
              <w:t>经度：</w:t>
            </w:r>
            <w:r>
              <w:rPr>
                <w:color w:val="auto"/>
                <w:kern w:val="0"/>
              </w:rPr>
              <w:t>113.708989</w:t>
            </w:r>
          </w:p>
          <w:p>
            <w:pPr>
              <w:widowControl w:val="0"/>
              <w:adjustRightInd w:val="0"/>
              <w:snapToGrid w:val="0"/>
              <w:jc w:val="center"/>
              <w:textAlignment w:val="baseline"/>
              <w:rPr>
                <w:color w:val="auto"/>
                <w:kern w:val="0"/>
              </w:rPr>
            </w:pPr>
            <w:r>
              <w:rPr>
                <w:bCs/>
                <w:color w:val="auto"/>
                <w:kern w:val="0"/>
              </w:rPr>
              <w:t>纬度：</w:t>
            </w:r>
            <w:r>
              <w:rPr>
                <w:color w:val="auto"/>
                <w:kern w:val="0"/>
              </w:rPr>
              <w:t>35.267613</w:t>
            </w:r>
          </w:p>
        </w:tc>
        <w:tc>
          <w:tcPr>
            <w:tcW w:w="1559" w:type="dxa"/>
            <w:vMerge w:val="restart"/>
            <w:vAlign w:val="center"/>
          </w:tcPr>
          <w:p>
            <w:pPr>
              <w:widowControl w:val="0"/>
              <w:adjustRightInd w:val="0"/>
              <w:snapToGrid w:val="0"/>
              <w:jc w:val="center"/>
              <w:textAlignment w:val="baseline"/>
              <w:rPr>
                <w:rFonts w:hint="eastAsia" w:eastAsia="宋体"/>
                <w:color w:val="auto"/>
                <w:kern w:val="0"/>
                <w:lang w:eastAsia="zh-CN"/>
              </w:rPr>
            </w:pPr>
            <w:r>
              <w:rPr>
                <w:rFonts w:hint="eastAsia"/>
                <w:color w:val="auto"/>
                <w:kern w:val="0"/>
              </w:rPr>
              <w:t>低氮燃烧</w:t>
            </w:r>
            <w:r>
              <w:rPr>
                <w:rFonts w:hint="eastAsia"/>
                <w:color w:val="auto"/>
              </w:rPr>
              <w:t>+烟气再循环</w:t>
            </w:r>
            <w:r>
              <w:rPr>
                <w:bCs/>
                <w:color w:val="auto"/>
                <w:kern w:val="0"/>
              </w:rPr>
              <w:t>+</w:t>
            </w:r>
            <w:r>
              <w:rPr>
                <w:rFonts w:hint="eastAsia"/>
                <w:bCs/>
                <w:color w:val="auto"/>
                <w:kern w:val="0"/>
                <w:lang w:eastAsia="zh-CN"/>
              </w:rPr>
              <w:t>15m高排气筒</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颗粒物</w:t>
            </w:r>
          </w:p>
        </w:tc>
        <w:tc>
          <w:tcPr>
            <w:tcW w:w="708" w:type="dxa"/>
            <w:vMerge w:val="restart"/>
            <w:vAlign w:val="center"/>
          </w:tcPr>
          <w:p>
            <w:pPr>
              <w:widowControl w:val="0"/>
              <w:adjustRightInd w:val="0"/>
              <w:snapToGrid w:val="0"/>
              <w:jc w:val="center"/>
              <w:textAlignment w:val="baseline"/>
              <w:rPr>
                <w:color w:val="auto"/>
                <w:kern w:val="0"/>
              </w:rPr>
            </w:pPr>
            <w:r>
              <w:rPr>
                <w:rFonts w:hint="eastAsia"/>
                <w:color w:val="auto"/>
              </w:rPr>
              <w:t>4835.96</w:t>
            </w:r>
          </w:p>
        </w:tc>
        <w:tc>
          <w:tcPr>
            <w:tcW w:w="709" w:type="dxa"/>
            <w:vMerge w:val="restart"/>
            <w:vAlign w:val="center"/>
          </w:tcPr>
          <w:p>
            <w:pPr>
              <w:widowControl w:val="0"/>
              <w:adjustRightInd w:val="0"/>
              <w:snapToGrid w:val="0"/>
              <w:jc w:val="center"/>
              <w:textAlignment w:val="baseline"/>
              <w:rPr>
                <w:color w:val="auto"/>
                <w:kern w:val="0"/>
              </w:rPr>
            </w:pPr>
            <w:r>
              <w:rPr>
                <w:rFonts w:hint="eastAsia"/>
                <w:color w:val="auto"/>
                <w:kern w:val="0"/>
              </w:rPr>
              <w:t>50</w:t>
            </w:r>
          </w:p>
        </w:tc>
        <w:tc>
          <w:tcPr>
            <w:tcW w:w="709" w:type="dxa"/>
            <w:vMerge w:val="restart"/>
            <w:vAlign w:val="center"/>
          </w:tcPr>
          <w:p>
            <w:pPr>
              <w:widowControl w:val="0"/>
              <w:adjustRightInd w:val="0"/>
              <w:snapToGrid w:val="0"/>
              <w:jc w:val="center"/>
              <w:textAlignment w:val="baseline"/>
              <w:rPr>
                <w:color w:val="auto"/>
                <w:kern w:val="0"/>
              </w:rPr>
            </w:pPr>
            <w:r>
              <w:rPr>
                <w:bCs/>
                <w:color w:val="auto"/>
                <w:kern w:val="0"/>
              </w:rPr>
              <w:t>1</w:t>
            </w:r>
            <w:r>
              <w:rPr>
                <w:rFonts w:hint="eastAsia"/>
                <w:bCs/>
                <w:color w:val="auto"/>
                <w:kern w:val="0"/>
              </w:rPr>
              <w:t>5</w:t>
            </w:r>
            <w:r>
              <w:rPr>
                <w:bCs/>
                <w:color w:val="auto"/>
                <w:kern w:val="0"/>
              </w:rPr>
              <w:t>/</w:t>
            </w:r>
            <w:r>
              <w:rPr>
                <w:rFonts w:hint="eastAsia"/>
                <w:bCs/>
                <w:color w:val="auto"/>
                <w:kern w:val="0"/>
              </w:rPr>
              <w:t>0.5</w:t>
            </w:r>
          </w:p>
        </w:tc>
        <w:tc>
          <w:tcPr>
            <w:tcW w:w="709" w:type="dxa"/>
            <w:vAlign w:val="center"/>
          </w:tcPr>
          <w:p>
            <w:pPr>
              <w:widowControl w:val="0"/>
              <w:adjustRightInd w:val="0"/>
              <w:snapToGrid w:val="0"/>
              <w:jc w:val="center"/>
              <w:textAlignment w:val="baseline"/>
              <w:rPr>
                <w:color w:val="auto"/>
                <w:kern w:val="0"/>
              </w:rPr>
            </w:pPr>
            <w:r>
              <w:rPr>
                <w:rFonts w:hint="eastAsia"/>
                <w:color w:val="auto"/>
              </w:rPr>
              <w:t>4.8</w:t>
            </w:r>
          </w:p>
        </w:tc>
        <w:tc>
          <w:tcPr>
            <w:tcW w:w="708" w:type="dxa"/>
            <w:vAlign w:val="center"/>
          </w:tcPr>
          <w:p>
            <w:pPr>
              <w:widowControl w:val="0"/>
              <w:jc w:val="center"/>
              <w:rPr>
                <w:color w:val="auto"/>
              </w:rPr>
            </w:pPr>
            <w:r>
              <w:rPr>
                <w:rFonts w:hint="eastAsia"/>
                <w:color w:val="auto"/>
              </w:rPr>
              <w:t>0.0232</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0.1837</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5</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restart"/>
            <w:tcBorders>
              <w:top w:val="single" w:color="auto" w:sz="4" w:space="0"/>
            </w:tcBorders>
            <w:vAlign w:val="center"/>
          </w:tcPr>
          <w:p>
            <w:pPr>
              <w:widowControl w:val="0"/>
              <w:adjustRightInd w:val="0"/>
              <w:snapToGrid w:val="0"/>
              <w:jc w:val="both"/>
              <w:textAlignment w:val="baseline"/>
              <w:rPr>
                <w:color w:val="auto"/>
                <w:kern w:val="0"/>
              </w:rPr>
            </w:pPr>
            <w:r>
              <w:rPr>
                <w:bCs/>
                <w:snapToGrid w:val="0"/>
                <w:color w:val="auto"/>
                <w:kern w:val="21"/>
              </w:rPr>
              <w:t>《锅炉大气污染物排放标准》（DB41/2089-2021）表1中在基准含氧量3.5%的条件下，颗粒物、SO</w:t>
            </w:r>
            <w:r>
              <w:rPr>
                <w:bCs/>
                <w:snapToGrid w:val="0"/>
                <w:color w:val="auto"/>
                <w:kern w:val="21"/>
                <w:vertAlign w:val="subscript"/>
              </w:rPr>
              <w:t>2</w:t>
            </w:r>
            <w:r>
              <w:rPr>
                <w:bCs/>
                <w:snapToGrid w:val="0"/>
                <w:color w:val="auto"/>
                <w:kern w:val="21"/>
              </w:rPr>
              <w:t>、NOx排放浓度分别不高于5</w:t>
            </w:r>
            <w:r>
              <w:rPr>
                <w:color w:val="auto"/>
                <w:kern w:val="0"/>
              </w:rPr>
              <w:t>mg/m</w:t>
            </w:r>
            <w:r>
              <w:rPr>
                <w:color w:val="auto"/>
                <w:kern w:val="0"/>
                <w:vertAlign w:val="superscript"/>
              </w:rPr>
              <w:t>3</w:t>
            </w:r>
            <w:r>
              <w:rPr>
                <w:color w:val="auto"/>
                <w:kern w:val="0"/>
              </w:rPr>
              <w:t>、</w:t>
            </w:r>
            <w:r>
              <w:rPr>
                <w:bCs/>
                <w:snapToGrid w:val="0"/>
                <w:color w:val="auto"/>
                <w:kern w:val="21"/>
              </w:rPr>
              <w:t>10</w:t>
            </w:r>
            <w:r>
              <w:rPr>
                <w:color w:val="auto"/>
                <w:kern w:val="0"/>
              </w:rPr>
              <w:t>mg/m</w:t>
            </w:r>
            <w:r>
              <w:rPr>
                <w:color w:val="auto"/>
                <w:kern w:val="0"/>
                <w:vertAlign w:val="superscript"/>
              </w:rPr>
              <w:t>3</w:t>
            </w:r>
            <w:r>
              <w:rPr>
                <w:color w:val="auto"/>
                <w:kern w:val="0"/>
              </w:rPr>
              <w:t>、</w:t>
            </w:r>
            <w:r>
              <w:rPr>
                <w:bCs/>
                <w:snapToGrid w:val="0"/>
                <w:color w:val="auto"/>
                <w:kern w:val="21"/>
              </w:rPr>
              <w:t>30</w:t>
            </w:r>
            <w:r>
              <w:rPr>
                <w:color w:val="auto"/>
                <w:kern w:val="0"/>
              </w:rPr>
              <w:t>mg/m</w:t>
            </w:r>
            <w:r>
              <w:rPr>
                <w:color w:val="auto"/>
                <w:kern w:val="0"/>
                <w:vertAlign w:val="superscript"/>
              </w:rPr>
              <w:t>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28"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continue"/>
            <w:vAlign w:val="center"/>
          </w:tcPr>
          <w:p>
            <w:pPr>
              <w:widowControl w:val="0"/>
              <w:adjustRightInd w:val="0"/>
              <w:snapToGrid w:val="0"/>
              <w:jc w:val="center"/>
              <w:textAlignment w:val="baseline"/>
              <w:rPr>
                <w:color w:val="auto"/>
                <w:kern w:val="0"/>
              </w:rPr>
            </w:pPr>
          </w:p>
        </w:tc>
        <w:tc>
          <w:tcPr>
            <w:tcW w:w="1701" w:type="dxa"/>
            <w:vMerge w:val="continue"/>
            <w:vAlign w:val="center"/>
          </w:tcPr>
          <w:p>
            <w:pPr>
              <w:widowControl w:val="0"/>
              <w:adjustRightInd w:val="0"/>
              <w:snapToGrid w:val="0"/>
              <w:jc w:val="center"/>
              <w:textAlignment w:val="baseline"/>
              <w:rPr>
                <w:bCs/>
                <w:color w:val="auto"/>
                <w:kern w:val="0"/>
              </w:rPr>
            </w:pPr>
          </w:p>
        </w:tc>
        <w:tc>
          <w:tcPr>
            <w:tcW w:w="155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SO</w:t>
            </w:r>
            <w:r>
              <w:rPr>
                <w:rFonts w:hint="eastAsia"/>
                <w:color w:val="auto"/>
                <w:kern w:val="0"/>
                <w:vertAlign w:val="subscript"/>
              </w:rPr>
              <w:t>2</w:t>
            </w:r>
          </w:p>
        </w:tc>
        <w:tc>
          <w:tcPr>
            <w:tcW w:w="708"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rPr>
              <w:t>9.28</w:t>
            </w:r>
          </w:p>
        </w:tc>
        <w:tc>
          <w:tcPr>
            <w:tcW w:w="708" w:type="dxa"/>
            <w:vAlign w:val="center"/>
          </w:tcPr>
          <w:p>
            <w:pPr>
              <w:widowControl w:val="0"/>
              <w:jc w:val="center"/>
              <w:rPr>
                <w:color w:val="auto"/>
              </w:rPr>
            </w:pPr>
            <w:r>
              <w:rPr>
                <w:rFonts w:hint="eastAsia"/>
                <w:color w:val="auto"/>
              </w:rPr>
              <w:t>0.0449</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0.3556</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10</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continue"/>
            <w:vAlign w:val="center"/>
          </w:tcPr>
          <w:p>
            <w:pPr>
              <w:widowControl w:val="0"/>
              <w:adjustRightInd w:val="0"/>
              <w:snapToGrid w:val="0"/>
              <w:jc w:val="center"/>
              <w:textAlignment w:val="baseline"/>
              <w:rPr>
                <w:color w:val="auto"/>
                <w:kern w:val="0"/>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continue"/>
            <w:vAlign w:val="center"/>
          </w:tcPr>
          <w:p>
            <w:pPr>
              <w:widowControl w:val="0"/>
              <w:adjustRightInd w:val="0"/>
              <w:snapToGrid w:val="0"/>
              <w:jc w:val="center"/>
              <w:textAlignment w:val="baseline"/>
              <w:rPr>
                <w:color w:val="auto"/>
                <w:kern w:val="0"/>
              </w:rPr>
            </w:pPr>
          </w:p>
        </w:tc>
        <w:tc>
          <w:tcPr>
            <w:tcW w:w="1701" w:type="dxa"/>
            <w:vMerge w:val="continue"/>
            <w:vAlign w:val="center"/>
          </w:tcPr>
          <w:p>
            <w:pPr>
              <w:widowControl w:val="0"/>
              <w:adjustRightInd w:val="0"/>
              <w:snapToGrid w:val="0"/>
              <w:jc w:val="center"/>
              <w:textAlignment w:val="baseline"/>
              <w:rPr>
                <w:bCs/>
                <w:color w:val="auto"/>
                <w:kern w:val="0"/>
              </w:rPr>
            </w:pPr>
          </w:p>
        </w:tc>
        <w:tc>
          <w:tcPr>
            <w:tcW w:w="155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NOx</w:t>
            </w:r>
          </w:p>
        </w:tc>
        <w:tc>
          <w:tcPr>
            <w:tcW w:w="708"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rPr>
              <w:t>28.12</w:t>
            </w:r>
          </w:p>
        </w:tc>
        <w:tc>
          <w:tcPr>
            <w:tcW w:w="708" w:type="dxa"/>
            <w:vAlign w:val="center"/>
          </w:tcPr>
          <w:p>
            <w:pPr>
              <w:widowControl w:val="0"/>
              <w:jc w:val="center"/>
              <w:rPr>
                <w:color w:val="auto"/>
              </w:rPr>
            </w:pPr>
            <w:r>
              <w:rPr>
                <w:rFonts w:hint="eastAsia"/>
                <w:color w:val="auto"/>
              </w:rPr>
              <w:t>0.1360</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1.0771</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30</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continue"/>
            <w:vAlign w:val="center"/>
          </w:tcPr>
          <w:p>
            <w:pPr>
              <w:widowControl w:val="0"/>
              <w:adjustRightInd w:val="0"/>
              <w:snapToGrid w:val="0"/>
              <w:jc w:val="center"/>
              <w:textAlignment w:val="baseline"/>
              <w:rPr>
                <w:color w:val="auto"/>
                <w:kern w:val="0"/>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restart"/>
            <w:vAlign w:val="center"/>
          </w:tcPr>
          <w:p>
            <w:pPr>
              <w:widowControl w:val="0"/>
              <w:adjustRightInd w:val="0"/>
              <w:snapToGrid w:val="0"/>
              <w:jc w:val="center"/>
              <w:textAlignment w:val="baseline"/>
              <w:rPr>
                <w:color w:val="auto"/>
                <w:kern w:val="0"/>
              </w:rPr>
            </w:pPr>
            <w:r>
              <w:rPr>
                <w:rFonts w:hint="eastAsia"/>
                <w:color w:val="auto"/>
                <w:kern w:val="0"/>
              </w:rPr>
              <w:t>4t/h锅炉</w:t>
            </w:r>
          </w:p>
        </w:tc>
        <w:tc>
          <w:tcPr>
            <w:tcW w:w="1701" w:type="dxa"/>
            <w:vMerge w:val="continue"/>
            <w:vAlign w:val="center"/>
          </w:tcPr>
          <w:p>
            <w:pPr>
              <w:widowControl w:val="0"/>
              <w:adjustRightInd w:val="0"/>
              <w:snapToGrid w:val="0"/>
              <w:jc w:val="center"/>
              <w:textAlignment w:val="baseline"/>
              <w:rPr>
                <w:bCs/>
                <w:color w:val="auto"/>
                <w:kern w:val="0"/>
              </w:rPr>
            </w:pPr>
          </w:p>
        </w:tc>
        <w:tc>
          <w:tcPr>
            <w:tcW w:w="155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颗粒物</w:t>
            </w:r>
          </w:p>
        </w:tc>
        <w:tc>
          <w:tcPr>
            <w:tcW w:w="708" w:type="dxa"/>
            <w:vMerge w:val="restart"/>
            <w:vAlign w:val="center"/>
          </w:tcPr>
          <w:p>
            <w:pPr>
              <w:widowControl w:val="0"/>
              <w:adjustRightInd w:val="0"/>
              <w:snapToGrid w:val="0"/>
              <w:jc w:val="center"/>
              <w:textAlignment w:val="baseline"/>
              <w:rPr>
                <w:color w:val="auto"/>
                <w:kern w:val="0"/>
              </w:rPr>
            </w:pPr>
            <w:r>
              <w:rPr>
                <w:rFonts w:hint="eastAsia"/>
                <w:color w:val="auto"/>
              </w:rPr>
              <w:t>3224.02</w:t>
            </w:r>
          </w:p>
        </w:tc>
        <w:tc>
          <w:tcPr>
            <w:tcW w:w="709"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rPr>
              <w:t>4.8</w:t>
            </w:r>
          </w:p>
        </w:tc>
        <w:tc>
          <w:tcPr>
            <w:tcW w:w="708" w:type="dxa"/>
            <w:vAlign w:val="center"/>
          </w:tcPr>
          <w:p>
            <w:pPr>
              <w:widowControl w:val="0"/>
              <w:jc w:val="center"/>
              <w:rPr>
                <w:color w:val="auto"/>
              </w:rPr>
            </w:pPr>
            <w:r>
              <w:rPr>
                <w:rFonts w:hint="eastAsia"/>
                <w:color w:val="auto"/>
              </w:rPr>
              <w:t>0.0155</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0.0409</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5</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continue"/>
            <w:vAlign w:val="center"/>
          </w:tcPr>
          <w:p>
            <w:pPr>
              <w:widowControl w:val="0"/>
              <w:adjustRightInd w:val="0"/>
              <w:snapToGrid w:val="0"/>
              <w:jc w:val="center"/>
              <w:textAlignment w:val="baseline"/>
              <w:rPr>
                <w:color w:val="auto"/>
                <w:kern w:val="0"/>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continue"/>
            <w:vAlign w:val="center"/>
          </w:tcPr>
          <w:p>
            <w:pPr>
              <w:widowControl w:val="0"/>
              <w:adjustRightInd w:val="0"/>
              <w:snapToGrid w:val="0"/>
              <w:jc w:val="center"/>
              <w:textAlignment w:val="baseline"/>
              <w:rPr>
                <w:color w:val="auto"/>
                <w:kern w:val="0"/>
              </w:rPr>
            </w:pPr>
          </w:p>
        </w:tc>
        <w:tc>
          <w:tcPr>
            <w:tcW w:w="1701" w:type="dxa"/>
            <w:vMerge w:val="continue"/>
            <w:vAlign w:val="center"/>
          </w:tcPr>
          <w:p>
            <w:pPr>
              <w:widowControl w:val="0"/>
              <w:adjustRightInd w:val="0"/>
              <w:snapToGrid w:val="0"/>
              <w:jc w:val="center"/>
              <w:textAlignment w:val="baseline"/>
              <w:rPr>
                <w:bCs/>
                <w:color w:val="auto"/>
                <w:kern w:val="0"/>
              </w:rPr>
            </w:pPr>
          </w:p>
        </w:tc>
        <w:tc>
          <w:tcPr>
            <w:tcW w:w="155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SO</w:t>
            </w:r>
            <w:r>
              <w:rPr>
                <w:rFonts w:hint="eastAsia"/>
                <w:color w:val="auto"/>
                <w:kern w:val="0"/>
                <w:vertAlign w:val="subscript"/>
              </w:rPr>
              <w:t>2</w:t>
            </w:r>
          </w:p>
        </w:tc>
        <w:tc>
          <w:tcPr>
            <w:tcW w:w="708"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rPr>
              <w:t>9.28</w:t>
            </w:r>
          </w:p>
        </w:tc>
        <w:tc>
          <w:tcPr>
            <w:tcW w:w="708" w:type="dxa"/>
            <w:vAlign w:val="center"/>
          </w:tcPr>
          <w:p>
            <w:pPr>
              <w:widowControl w:val="0"/>
              <w:jc w:val="center"/>
              <w:rPr>
                <w:color w:val="auto"/>
              </w:rPr>
            </w:pPr>
            <w:r>
              <w:rPr>
                <w:rFonts w:hint="eastAsia"/>
                <w:color w:val="auto"/>
              </w:rPr>
              <w:t>0.0299</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0.0789</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10</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continue"/>
            <w:vAlign w:val="center"/>
          </w:tcPr>
          <w:p>
            <w:pPr>
              <w:widowControl w:val="0"/>
              <w:adjustRightInd w:val="0"/>
              <w:snapToGrid w:val="0"/>
              <w:jc w:val="center"/>
              <w:textAlignment w:val="baseline"/>
              <w:rPr>
                <w:color w:val="auto"/>
                <w:kern w:val="0"/>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continue"/>
            <w:vAlign w:val="center"/>
          </w:tcPr>
          <w:p>
            <w:pPr>
              <w:widowControl w:val="0"/>
              <w:adjustRightInd w:val="0"/>
              <w:snapToGrid w:val="0"/>
              <w:jc w:val="center"/>
              <w:textAlignment w:val="baseline"/>
              <w:rPr>
                <w:color w:val="auto"/>
                <w:kern w:val="0"/>
              </w:rPr>
            </w:pPr>
          </w:p>
        </w:tc>
        <w:tc>
          <w:tcPr>
            <w:tcW w:w="1701" w:type="dxa"/>
            <w:vMerge w:val="continue"/>
            <w:vAlign w:val="center"/>
          </w:tcPr>
          <w:p>
            <w:pPr>
              <w:widowControl w:val="0"/>
              <w:adjustRightInd w:val="0"/>
              <w:snapToGrid w:val="0"/>
              <w:jc w:val="center"/>
              <w:textAlignment w:val="baseline"/>
              <w:rPr>
                <w:bCs/>
                <w:color w:val="auto"/>
                <w:kern w:val="0"/>
              </w:rPr>
            </w:pPr>
          </w:p>
        </w:tc>
        <w:tc>
          <w:tcPr>
            <w:tcW w:w="155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NOx</w:t>
            </w:r>
          </w:p>
        </w:tc>
        <w:tc>
          <w:tcPr>
            <w:tcW w:w="708"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rPr>
              <w:t>28.12</w:t>
            </w:r>
          </w:p>
        </w:tc>
        <w:tc>
          <w:tcPr>
            <w:tcW w:w="708" w:type="dxa"/>
            <w:vAlign w:val="center"/>
          </w:tcPr>
          <w:p>
            <w:pPr>
              <w:widowControl w:val="0"/>
              <w:jc w:val="center"/>
              <w:rPr>
                <w:color w:val="auto"/>
              </w:rPr>
            </w:pPr>
            <w:r>
              <w:rPr>
                <w:rFonts w:hint="eastAsia"/>
                <w:color w:val="auto"/>
              </w:rPr>
              <w:t>0.0906</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0.2392</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30</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continue"/>
            <w:vAlign w:val="center"/>
          </w:tcPr>
          <w:p>
            <w:pPr>
              <w:widowControl w:val="0"/>
              <w:adjustRightInd w:val="0"/>
              <w:snapToGrid w:val="0"/>
              <w:jc w:val="center"/>
              <w:textAlignment w:val="baseline"/>
              <w:rPr>
                <w:color w:val="auto"/>
                <w:kern w:val="0"/>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restart"/>
            <w:vAlign w:val="center"/>
          </w:tcPr>
          <w:p>
            <w:pPr>
              <w:widowControl w:val="0"/>
              <w:adjustRightInd w:val="0"/>
              <w:snapToGrid w:val="0"/>
              <w:jc w:val="center"/>
              <w:textAlignment w:val="baseline"/>
              <w:rPr>
                <w:color w:val="auto"/>
                <w:kern w:val="0"/>
              </w:rPr>
            </w:pPr>
            <w:r>
              <w:rPr>
                <w:color w:val="auto"/>
                <w:kern w:val="0"/>
              </w:rPr>
              <w:t>恶臭排气筒</w:t>
            </w:r>
          </w:p>
        </w:tc>
        <w:tc>
          <w:tcPr>
            <w:tcW w:w="1701" w:type="dxa"/>
            <w:vMerge w:val="restart"/>
            <w:vAlign w:val="center"/>
          </w:tcPr>
          <w:p>
            <w:pPr>
              <w:widowControl w:val="0"/>
              <w:adjustRightInd w:val="0"/>
              <w:snapToGrid w:val="0"/>
              <w:jc w:val="center"/>
              <w:textAlignment w:val="baseline"/>
              <w:rPr>
                <w:bCs/>
                <w:color w:val="auto"/>
                <w:kern w:val="0"/>
              </w:rPr>
            </w:pPr>
            <w:r>
              <w:rPr>
                <w:bCs/>
                <w:color w:val="auto"/>
                <w:kern w:val="0"/>
              </w:rPr>
              <w:t>经度：</w:t>
            </w:r>
            <w:r>
              <w:rPr>
                <w:rFonts w:hint="eastAsia"/>
                <w:bCs/>
                <w:color w:val="auto"/>
                <w:kern w:val="0"/>
              </w:rPr>
              <w:t>113.708861</w:t>
            </w:r>
          </w:p>
          <w:p>
            <w:pPr>
              <w:widowControl w:val="0"/>
              <w:adjustRightInd w:val="0"/>
              <w:snapToGrid w:val="0"/>
              <w:jc w:val="center"/>
              <w:textAlignment w:val="baseline"/>
              <w:rPr>
                <w:bCs/>
                <w:color w:val="auto"/>
                <w:kern w:val="0"/>
              </w:rPr>
            </w:pPr>
            <w:r>
              <w:rPr>
                <w:bCs/>
                <w:color w:val="auto"/>
                <w:kern w:val="0"/>
              </w:rPr>
              <w:t>纬度：</w:t>
            </w:r>
            <w:r>
              <w:rPr>
                <w:color w:val="auto"/>
                <w:kern w:val="0"/>
              </w:rPr>
              <w:t>35.</w:t>
            </w:r>
            <w:r>
              <w:rPr>
                <w:rFonts w:hint="eastAsia"/>
                <w:color w:val="auto"/>
                <w:kern w:val="0"/>
              </w:rPr>
              <w:t>267833</w:t>
            </w:r>
          </w:p>
        </w:tc>
        <w:tc>
          <w:tcPr>
            <w:tcW w:w="1559" w:type="dxa"/>
            <w:vMerge w:val="restart"/>
            <w:vAlign w:val="center"/>
          </w:tcPr>
          <w:p>
            <w:pPr>
              <w:widowControl w:val="0"/>
              <w:adjustRightInd w:val="0"/>
              <w:snapToGrid w:val="0"/>
              <w:jc w:val="center"/>
              <w:textAlignment w:val="baseline"/>
              <w:rPr>
                <w:rFonts w:hint="eastAsia" w:eastAsia="宋体"/>
                <w:color w:val="auto"/>
                <w:kern w:val="0"/>
                <w:lang w:eastAsia="zh-CN"/>
              </w:rPr>
            </w:pPr>
            <w:r>
              <w:rPr>
                <w:color w:val="auto"/>
                <w:kern w:val="0"/>
              </w:rPr>
              <w:t>生物除臭</w:t>
            </w:r>
            <w:r>
              <w:rPr>
                <w:rFonts w:hint="eastAsia"/>
                <w:color w:val="auto"/>
                <w:kern w:val="0"/>
              </w:rPr>
              <w:t>+</w:t>
            </w:r>
            <w:r>
              <w:rPr>
                <w:rFonts w:hint="eastAsia"/>
                <w:color w:val="auto"/>
                <w:kern w:val="0"/>
                <w:lang w:eastAsia="zh-CN"/>
              </w:rPr>
              <w:t>15m高排气筒</w:t>
            </w: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NH</w:t>
            </w:r>
            <w:r>
              <w:rPr>
                <w:rFonts w:hint="eastAsia"/>
                <w:color w:val="auto"/>
                <w:kern w:val="0"/>
                <w:vertAlign w:val="subscript"/>
              </w:rPr>
              <w:t>3</w:t>
            </w:r>
          </w:p>
        </w:tc>
        <w:tc>
          <w:tcPr>
            <w:tcW w:w="708" w:type="dxa"/>
            <w:vMerge w:val="restart"/>
            <w:vAlign w:val="center"/>
          </w:tcPr>
          <w:p>
            <w:pPr>
              <w:widowControl w:val="0"/>
              <w:adjustRightInd w:val="0"/>
              <w:snapToGrid w:val="0"/>
              <w:jc w:val="center"/>
              <w:textAlignment w:val="baseline"/>
              <w:rPr>
                <w:rFonts w:hint="default" w:eastAsia="宋体"/>
                <w:color w:val="auto"/>
                <w:kern w:val="0"/>
                <w:lang w:val="en-US" w:eastAsia="zh-CN"/>
              </w:rPr>
            </w:pPr>
            <w:r>
              <w:rPr>
                <w:rFonts w:hint="eastAsia"/>
                <w:color w:val="auto"/>
                <w:kern w:val="0"/>
                <w:lang w:val="en-US" w:eastAsia="zh-CN"/>
              </w:rPr>
              <w:t>5000</w:t>
            </w:r>
          </w:p>
        </w:tc>
        <w:tc>
          <w:tcPr>
            <w:tcW w:w="709" w:type="dxa"/>
            <w:vMerge w:val="restart"/>
            <w:vAlign w:val="center"/>
          </w:tcPr>
          <w:p>
            <w:pPr>
              <w:widowControl w:val="0"/>
              <w:adjustRightInd w:val="0"/>
              <w:snapToGrid w:val="0"/>
              <w:jc w:val="center"/>
              <w:textAlignment w:val="baseline"/>
              <w:rPr>
                <w:color w:val="auto"/>
                <w:kern w:val="0"/>
              </w:rPr>
            </w:pPr>
            <w:r>
              <w:rPr>
                <w:rFonts w:hint="eastAsia"/>
                <w:color w:val="auto"/>
                <w:kern w:val="0"/>
              </w:rPr>
              <w:t>25</w:t>
            </w:r>
          </w:p>
        </w:tc>
        <w:tc>
          <w:tcPr>
            <w:tcW w:w="709" w:type="dxa"/>
            <w:vMerge w:val="restart"/>
            <w:vAlign w:val="center"/>
          </w:tcPr>
          <w:p>
            <w:pPr>
              <w:widowControl w:val="0"/>
              <w:adjustRightInd w:val="0"/>
              <w:snapToGrid w:val="0"/>
              <w:jc w:val="center"/>
              <w:textAlignment w:val="baseline"/>
              <w:rPr>
                <w:color w:val="auto"/>
                <w:kern w:val="0"/>
              </w:rPr>
            </w:pPr>
            <w:r>
              <w:rPr>
                <w:bCs/>
                <w:color w:val="auto"/>
                <w:kern w:val="0"/>
              </w:rPr>
              <w:t>1</w:t>
            </w:r>
            <w:r>
              <w:rPr>
                <w:rFonts w:hint="eastAsia"/>
                <w:bCs/>
                <w:color w:val="auto"/>
                <w:kern w:val="0"/>
              </w:rPr>
              <w:t>5</w:t>
            </w:r>
            <w:r>
              <w:rPr>
                <w:bCs/>
                <w:color w:val="auto"/>
                <w:kern w:val="0"/>
              </w:rPr>
              <w:t>/</w:t>
            </w:r>
            <w:r>
              <w:rPr>
                <w:rFonts w:hint="eastAsia"/>
                <w:bCs/>
                <w:color w:val="auto"/>
                <w:kern w:val="0"/>
              </w:rPr>
              <w:t>0.5</w:t>
            </w:r>
          </w:p>
        </w:tc>
        <w:tc>
          <w:tcPr>
            <w:tcW w:w="709" w:type="dxa"/>
            <w:vAlign w:val="center"/>
          </w:tcPr>
          <w:p>
            <w:pPr>
              <w:widowControl w:val="0"/>
              <w:jc w:val="center"/>
              <w:rPr>
                <w:rFonts w:hint="default" w:eastAsia="宋体"/>
                <w:b/>
                <w:bCs/>
                <w:color w:val="auto"/>
                <w:u w:val="single"/>
                <w:lang w:val="en-US" w:eastAsia="zh-CN"/>
              </w:rPr>
            </w:pPr>
            <w:r>
              <w:rPr>
                <w:rFonts w:hint="eastAsia"/>
                <w:b/>
                <w:bCs/>
                <w:color w:val="auto"/>
                <w:u w:val="single"/>
                <w:lang w:val="en-US" w:eastAsia="zh-CN"/>
              </w:rPr>
              <w:t>14.28</w:t>
            </w:r>
          </w:p>
        </w:tc>
        <w:tc>
          <w:tcPr>
            <w:tcW w:w="708" w:type="dxa"/>
            <w:vAlign w:val="center"/>
          </w:tcPr>
          <w:p>
            <w:pPr>
              <w:widowControl w:val="0"/>
              <w:jc w:val="center"/>
              <w:rPr>
                <w:color w:val="auto"/>
                <w:sz w:val="18"/>
                <w:szCs w:val="18"/>
              </w:rPr>
            </w:pPr>
            <w:r>
              <w:rPr>
                <w:rFonts w:hint="eastAsia"/>
                <w:bCs/>
                <w:snapToGrid w:val="0"/>
                <w:color w:val="auto"/>
                <w:kern w:val="21"/>
                <w:sz w:val="18"/>
                <w:szCs w:val="18"/>
              </w:rPr>
              <w:t>0.0714</w:t>
            </w:r>
          </w:p>
        </w:tc>
        <w:tc>
          <w:tcPr>
            <w:tcW w:w="709" w:type="dxa"/>
            <w:vAlign w:val="center"/>
          </w:tcPr>
          <w:p>
            <w:pPr>
              <w:widowControl w:val="0"/>
              <w:snapToGrid w:val="0"/>
              <w:spacing w:line="240" w:lineRule="atLeast"/>
              <w:jc w:val="center"/>
              <w:rPr>
                <w:b/>
                <w:bCs/>
                <w:color w:val="auto"/>
                <w:sz w:val="18"/>
                <w:szCs w:val="18"/>
                <w:highlight w:val="none"/>
                <w:u w:val="single"/>
              </w:rPr>
            </w:pPr>
            <w:r>
              <w:rPr>
                <w:rFonts w:hint="eastAsia"/>
                <w:b/>
                <w:bCs/>
                <w:color w:val="auto"/>
                <w:sz w:val="20"/>
                <w:highlight w:val="none"/>
                <w:u w:val="single"/>
              </w:rPr>
              <w:t>0.565</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restart"/>
            <w:vAlign w:val="center"/>
          </w:tcPr>
          <w:p>
            <w:pPr>
              <w:widowControl w:val="0"/>
              <w:adjustRightInd w:val="0"/>
              <w:snapToGrid w:val="0"/>
              <w:jc w:val="center"/>
              <w:textAlignment w:val="baseline"/>
              <w:rPr>
                <w:color w:val="auto"/>
                <w:kern w:val="0"/>
              </w:rPr>
            </w:pPr>
            <w:r>
              <w:rPr>
                <w:rFonts w:hint="eastAsia"/>
                <w:bCs/>
                <w:snapToGrid w:val="0"/>
                <w:color w:val="auto"/>
                <w:kern w:val="21"/>
              </w:rPr>
              <w:t>《恶臭污染物排放标准》(GB14554-1993</w:t>
            </w:r>
            <w:r>
              <w:rPr>
                <w:rFonts w:hint="eastAsia"/>
                <w:bCs/>
                <w:snapToGrid w:val="0"/>
                <w:color w:val="auto"/>
                <w:kern w:val="21"/>
                <w:lang w:eastAsia="zh-CN"/>
              </w:rPr>
              <w:t>）</w:t>
            </w:r>
            <w:r>
              <w:rPr>
                <w:rFonts w:hint="eastAsia"/>
                <w:bCs/>
                <w:snapToGrid w:val="0"/>
                <w:color w:val="auto"/>
                <w:kern w:val="21"/>
              </w:rPr>
              <w:t>表2标准中NH</w:t>
            </w:r>
            <w:r>
              <w:rPr>
                <w:rFonts w:hint="eastAsia"/>
                <w:bCs/>
                <w:snapToGrid w:val="0"/>
                <w:color w:val="auto"/>
                <w:kern w:val="21"/>
                <w:vertAlign w:val="subscript"/>
              </w:rPr>
              <w:t>3</w:t>
            </w:r>
            <w:r>
              <w:rPr>
                <w:rFonts w:hint="eastAsia"/>
                <w:bCs/>
                <w:snapToGrid w:val="0"/>
                <w:color w:val="auto"/>
                <w:kern w:val="21"/>
              </w:rPr>
              <w:t>4.9kg/h、H</w:t>
            </w:r>
            <w:r>
              <w:rPr>
                <w:rFonts w:hint="eastAsia"/>
                <w:bCs/>
                <w:snapToGrid w:val="0"/>
                <w:color w:val="auto"/>
                <w:kern w:val="21"/>
                <w:vertAlign w:val="subscript"/>
              </w:rPr>
              <w:t>2</w:t>
            </w:r>
            <w:r>
              <w:rPr>
                <w:rFonts w:hint="eastAsia"/>
                <w:bCs/>
                <w:snapToGrid w:val="0"/>
                <w:color w:val="auto"/>
                <w:kern w:val="21"/>
              </w:rPr>
              <w:t>S0.33kg/h</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Merge w:val="continue"/>
            <w:vAlign w:val="center"/>
          </w:tcPr>
          <w:p>
            <w:pPr>
              <w:widowControl w:val="0"/>
              <w:adjustRightInd w:val="0"/>
              <w:snapToGrid w:val="0"/>
              <w:jc w:val="center"/>
              <w:textAlignment w:val="baseline"/>
              <w:rPr>
                <w:color w:val="auto"/>
                <w:kern w:val="0"/>
              </w:rPr>
            </w:pPr>
          </w:p>
        </w:tc>
        <w:tc>
          <w:tcPr>
            <w:tcW w:w="1701" w:type="dxa"/>
            <w:vMerge w:val="continue"/>
            <w:vAlign w:val="center"/>
          </w:tcPr>
          <w:p>
            <w:pPr>
              <w:widowControl w:val="0"/>
              <w:adjustRightInd w:val="0"/>
              <w:snapToGrid w:val="0"/>
              <w:jc w:val="center"/>
              <w:textAlignment w:val="baseline"/>
              <w:rPr>
                <w:bCs/>
                <w:color w:val="auto"/>
                <w:kern w:val="0"/>
              </w:rPr>
            </w:pPr>
          </w:p>
        </w:tc>
        <w:tc>
          <w:tcPr>
            <w:tcW w:w="155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adjustRightInd w:val="0"/>
              <w:snapToGrid w:val="0"/>
              <w:jc w:val="center"/>
              <w:textAlignment w:val="baseline"/>
              <w:rPr>
                <w:color w:val="auto"/>
                <w:kern w:val="0"/>
              </w:rPr>
            </w:pPr>
            <w:r>
              <w:rPr>
                <w:rFonts w:hint="eastAsia"/>
                <w:color w:val="auto"/>
                <w:kern w:val="0"/>
              </w:rPr>
              <w:t>H</w:t>
            </w:r>
            <w:r>
              <w:rPr>
                <w:rFonts w:hint="eastAsia"/>
                <w:color w:val="auto"/>
                <w:kern w:val="0"/>
                <w:vertAlign w:val="subscript"/>
              </w:rPr>
              <w:t>2</w:t>
            </w:r>
            <w:r>
              <w:rPr>
                <w:rFonts w:hint="eastAsia"/>
                <w:color w:val="auto"/>
                <w:kern w:val="0"/>
              </w:rPr>
              <w:t>S</w:t>
            </w:r>
          </w:p>
        </w:tc>
        <w:tc>
          <w:tcPr>
            <w:tcW w:w="708"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Merge w:val="continue"/>
            <w:vAlign w:val="center"/>
          </w:tcPr>
          <w:p>
            <w:pPr>
              <w:widowControl w:val="0"/>
              <w:adjustRightInd w:val="0"/>
              <w:snapToGrid w:val="0"/>
              <w:jc w:val="center"/>
              <w:textAlignment w:val="baseline"/>
              <w:rPr>
                <w:color w:val="auto"/>
                <w:kern w:val="0"/>
              </w:rPr>
            </w:pPr>
          </w:p>
        </w:tc>
        <w:tc>
          <w:tcPr>
            <w:tcW w:w="709" w:type="dxa"/>
            <w:vAlign w:val="center"/>
          </w:tcPr>
          <w:p>
            <w:pPr>
              <w:widowControl w:val="0"/>
              <w:jc w:val="center"/>
              <w:rPr>
                <w:rFonts w:hint="default" w:eastAsia="宋体"/>
                <w:b/>
                <w:bCs/>
                <w:color w:val="auto"/>
                <w:u w:val="single"/>
                <w:lang w:val="en-US" w:eastAsia="zh-CN"/>
              </w:rPr>
            </w:pPr>
            <w:r>
              <w:rPr>
                <w:rFonts w:hint="eastAsia"/>
                <w:b/>
                <w:bCs/>
                <w:color w:val="auto"/>
                <w:sz w:val="18"/>
                <w:szCs w:val="18"/>
                <w:u w:val="single"/>
              </w:rPr>
              <w:t>0.</w:t>
            </w:r>
            <w:r>
              <w:rPr>
                <w:rFonts w:hint="eastAsia"/>
                <w:b/>
                <w:bCs/>
                <w:color w:val="auto"/>
                <w:sz w:val="18"/>
                <w:szCs w:val="18"/>
                <w:u w:val="single"/>
                <w:lang w:val="en-US" w:eastAsia="zh-CN"/>
              </w:rPr>
              <w:t>1023</w:t>
            </w:r>
          </w:p>
        </w:tc>
        <w:tc>
          <w:tcPr>
            <w:tcW w:w="708" w:type="dxa"/>
            <w:vAlign w:val="center"/>
          </w:tcPr>
          <w:p>
            <w:pPr>
              <w:widowControl w:val="0"/>
              <w:jc w:val="center"/>
              <w:rPr>
                <w:color w:val="auto"/>
                <w:sz w:val="18"/>
                <w:szCs w:val="18"/>
              </w:rPr>
            </w:pPr>
            <w:r>
              <w:rPr>
                <w:rFonts w:hint="eastAsia"/>
                <w:bCs/>
                <w:snapToGrid w:val="0"/>
                <w:color w:val="auto"/>
                <w:kern w:val="21"/>
                <w:sz w:val="18"/>
                <w:szCs w:val="18"/>
                <w:lang w:val="en-US" w:eastAsia="zh-CN"/>
              </w:rPr>
              <w:t>5.117</w:t>
            </w:r>
            <w:r>
              <w:rPr>
                <w:rFonts w:hint="eastAsia"/>
                <w:bCs/>
                <w:snapToGrid w:val="0"/>
                <w:color w:val="auto"/>
                <w:kern w:val="21"/>
                <w:sz w:val="18"/>
                <w:szCs w:val="18"/>
              </w:rPr>
              <w:t>×10</w:t>
            </w:r>
            <w:r>
              <w:rPr>
                <w:rFonts w:hint="eastAsia"/>
                <w:bCs/>
                <w:snapToGrid w:val="0"/>
                <w:color w:val="auto"/>
                <w:kern w:val="21"/>
                <w:sz w:val="18"/>
                <w:szCs w:val="18"/>
                <w:vertAlign w:val="superscript"/>
              </w:rPr>
              <w:t>-4</w:t>
            </w:r>
          </w:p>
        </w:tc>
        <w:tc>
          <w:tcPr>
            <w:tcW w:w="709" w:type="dxa"/>
            <w:vAlign w:val="center"/>
          </w:tcPr>
          <w:p>
            <w:pPr>
              <w:widowControl w:val="0"/>
              <w:snapToGrid w:val="0"/>
              <w:spacing w:line="240" w:lineRule="atLeast"/>
              <w:jc w:val="center"/>
              <w:rPr>
                <w:rFonts w:hint="eastAsia" w:eastAsia="宋体"/>
                <w:b/>
                <w:bCs/>
                <w:color w:val="auto"/>
                <w:sz w:val="18"/>
                <w:szCs w:val="18"/>
                <w:highlight w:val="none"/>
                <w:u w:val="single"/>
                <w:lang w:val="en-US" w:eastAsia="zh-CN"/>
              </w:rPr>
            </w:pPr>
            <w:r>
              <w:rPr>
                <w:rFonts w:hint="eastAsia"/>
                <w:b/>
                <w:bCs/>
                <w:color w:val="auto"/>
                <w:highlight w:val="none"/>
                <w:u w:val="single"/>
                <w:lang w:val="en-US" w:eastAsia="zh-CN"/>
              </w:rPr>
              <w:t>4.053</w:t>
            </w:r>
            <w:r>
              <w:rPr>
                <w:b/>
                <w:bCs/>
                <w:color w:val="auto"/>
                <w:highlight w:val="none"/>
                <w:u w:val="single"/>
              </w:rPr>
              <w:t>×10</w:t>
            </w:r>
            <w:r>
              <w:rPr>
                <w:b/>
                <w:bCs/>
                <w:color w:val="auto"/>
                <w:highlight w:val="none"/>
                <w:u w:val="single"/>
                <w:vertAlign w:val="superscript"/>
              </w:rPr>
              <w:t>-</w:t>
            </w:r>
            <w:r>
              <w:rPr>
                <w:rFonts w:hint="eastAsia"/>
                <w:b/>
                <w:bCs/>
                <w:color w:val="auto"/>
                <w:highlight w:val="none"/>
                <w:u w:val="single"/>
                <w:vertAlign w:val="superscript"/>
                <w:lang w:val="en-US" w:eastAsia="zh-CN"/>
              </w:rPr>
              <w:t>3</w:t>
            </w:r>
          </w:p>
        </w:tc>
        <w:tc>
          <w:tcPr>
            <w:tcW w:w="851"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708" w:type="dxa"/>
            <w:vAlign w:val="center"/>
          </w:tcPr>
          <w:p>
            <w:pPr>
              <w:widowControl w:val="0"/>
              <w:adjustRightInd w:val="0"/>
              <w:snapToGrid w:val="0"/>
              <w:jc w:val="center"/>
              <w:textAlignment w:val="baseline"/>
              <w:rPr>
                <w:color w:val="auto"/>
                <w:kern w:val="0"/>
              </w:rPr>
            </w:pPr>
            <w:r>
              <w:rPr>
                <w:rFonts w:hint="eastAsia"/>
                <w:color w:val="auto"/>
                <w:kern w:val="0"/>
              </w:rPr>
              <w:t>/</w:t>
            </w:r>
          </w:p>
        </w:tc>
        <w:tc>
          <w:tcPr>
            <w:tcW w:w="3544" w:type="dxa"/>
            <w:vMerge w:val="continue"/>
            <w:vAlign w:val="center"/>
          </w:tcPr>
          <w:p>
            <w:pPr>
              <w:widowControl w:val="0"/>
              <w:adjustRightInd w:val="0"/>
              <w:snapToGrid w:val="0"/>
              <w:jc w:val="center"/>
              <w:textAlignment w:val="baseline"/>
              <w:rPr>
                <w:color w:val="auto"/>
                <w:kern w:val="0"/>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7" w:hRule="atLeast"/>
        </w:trPr>
        <w:tc>
          <w:tcPr>
            <w:tcW w:w="595" w:type="dxa"/>
            <w:vMerge w:val="continue"/>
            <w:vAlign w:val="center"/>
          </w:tcPr>
          <w:p>
            <w:pPr>
              <w:widowControl w:val="0"/>
              <w:adjustRightInd w:val="0"/>
              <w:snapToGrid w:val="0"/>
              <w:jc w:val="center"/>
              <w:textAlignment w:val="baseline"/>
              <w:rPr>
                <w:color w:val="auto"/>
                <w:kern w:val="0"/>
              </w:rPr>
            </w:pPr>
          </w:p>
        </w:tc>
        <w:tc>
          <w:tcPr>
            <w:tcW w:w="993" w:type="dxa"/>
            <w:vAlign w:val="center"/>
          </w:tcPr>
          <w:p>
            <w:pPr>
              <w:widowControl w:val="0"/>
              <w:adjustRightInd w:val="0"/>
              <w:snapToGrid w:val="0"/>
              <w:jc w:val="center"/>
              <w:textAlignment w:val="baseline"/>
              <w:rPr>
                <w:bCs/>
                <w:color w:val="auto"/>
                <w:kern w:val="0"/>
              </w:rPr>
            </w:pPr>
            <w:r>
              <w:rPr>
                <w:rFonts w:hint="eastAsia"/>
                <w:color w:val="auto"/>
                <w:kern w:val="0"/>
              </w:rPr>
              <w:t>除尘器排气筒</w:t>
            </w:r>
          </w:p>
        </w:tc>
        <w:tc>
          <w:tcPr>
            <w:tcW w:w="1701" w:type="dxa"/>
            <w:vAlign w:val="center"/>
          </w:tcPr>
          <w:p>
            <w:pPr>
              <w:widowControl w:val="0"/>
              <w:adjustRightInd w:val="0"/>
              <w:snapToGrid w:val="0"/>
              <w:jc w:val="center"/>
              <w:textAlignment w:val="baseline"/>
              <w:rPr>
                <w:bCs/>
                <w:color w:val="auto"/>
                <w:kern w:val="0"/>
              </w:rPr>
            </w:pPr>
            <w:r>
              <w:rPr>
                <w:bCs/>
                <w:color w:val="auto"/>
                <w:kern w:val="0"/>
              </w:rPr>
              <w:t>经度：</w:t>
            </w:r>
            <w:r>
              <w:rPr>
                <w:color w:val="auto"/>
                <w:kern w:val="0"/>
              </w:rPr>
              <w:t>113.709028</w:t>
            </w:r>
          </w:p>
          <w:p>
            <w:pPr>
              <w:widowControl w:val="0"/>
              <w:adjustRightInd w:val="0"/>
              <w:snapToGrid w:val="0"/>
              <w:jc w:val="center"/>
              <w:textAlignment w:val="baseline"/>
              <w:rPr>
                <w:bCs/>
                <w:color w:val="auto"/>
                <w:kern w:val="0"/>
              </w:rPr>
            </w:pPr>
            <w:r>
              <w:rPr>
                <w:bCs/>
                <w:color w:val="auto"/>
                <w:kern w:val="0"/>
              </w:rPr>
              <w:t>纬度：</w:t>
            </w:r>
            <w:r>
              <w:rPr>
                <w:color w:val="auto"/>
                <w:kern w:val="0"/>
              </w:rPr>
              <w:t>35.268207</w:t>
            </w:r>
          </w:p>
        </w:tc>
        <w:tc>
          <w:tcPr>
            <w:tcW w:w="1559" w:type="dxa"/>
            <w:vAlign w:val="center"/>
          </w:tcPr>
          <w:p>
            <w:pPr>
              <w:widowControl w:val="0"/>
              <w:adjustRightInd w:val="0"/>
              <w:snapToGrid w:val="0"/>
              <w:jc w:val="center"/>
              <w:textAlignment w:val="baseline"/>
              <w:rPr>
                <w:rFonts w:hint="eastAsia" w:eastAsia="宋体"/>
                <w:bCs/>
                <w:color w:val="auto"/>
                <w:kern w:val="0"/>
                <w:lang w:eastAsia="zh-CN"/>
              </w:rPr>
            </w:pPr>
            <w:r>
              <w:rPr>
                <w:rFonts w:hint="eastAsia"/>
                <w:color w:val="auto"/>
                <w:kern w:val="0"/>
              </w:rPr>
              <w:t>袋式除尘</w:t>
            </w:r>
            <w:r>
              <w:rPr>
                <w:bCs/>
                <w:color w:val="auto"/>
                <w:kern w:val="0"/>
              </w:rPr>
              <w:t>+</w:t>
            </w:r>
            <w:r>
              <w:rPr>
                <w:rFonts w:hint="eastAsia"/>
                <w:bCs/>
                <w:color w:val="auto"/>
                <w:kern w:val="0"/>
                <w:lang w:eastAsia="zh-CN"/>
              </w:rPr>
              <w:t>15m高排气筒</w:t>
            </w:r>
          </w:p>
        </w:tc>
        <w:tc>
          <w:tcPr>
            <w:tcW w:w="709" w:type="dxa"/>
            <w:vAlign w:val="center"/>
          </w:tcPr>
          <w:p>
            <w:pPr>
              <w:widowControl w:val="0"/>
              <w:adjustRightInd w:val="0"/>
              <w:snapToGrid w:val="0"/>
              <w:jc w:val="center"/>
              <w:textAlignment w:val="baseline"/>
              <w:rPr>
                <w:bCs/>
                <w:color w:val="auto"/>
                <w:kern w:val="0"/>
              </w:rPr>
            </w:pPr>
            <w:r>
              <w:rPr>
                <w:rFonts w:hint="eastAsia"/>
                <w:color w:val="auto"/>
                <w:kern w:val="0"/>
              </w:rPr>
              <w:t>颗粒物</w:t>
            </w:r>
          </w:p>
        </w:tc>
        <w:tc>
          <w:tcPr>
            <w:tcW w:w="708" w:type="dxa"/>
            <w:vAlign w:val="center"/>
          </w:tcPr>
          <w:p>
            <w:pPr>
              <w:widowControl w:val="0"/>
              <w:adjustRightInd w:val="0"/>
              <w:snapToGrid w:val="0"/>
              <w:jc w:val="center"/>
              <w:textAlignment w:val="baseline"/>
              <w:rPr>
                <w:bCs/>
                <w:color w:val="auto"/>
                <w:kern w:val="0"/>
              </w:rPr>
            </w:pPr>
            <w:r>
              <w:rPr>
                <w:rFonts w:hint="eastAsia"/>
                <w:bCs/>
                <w:color w:val="auto"/>
                <w:kern w:val="0"/>
              </w:rPr>
              <w:t>5000</w:t>
            </w:r>
          </w:p>
        </w:tc>
        <w:tc>
          <w:tcPr>
            <w:tcW w:w="709" w:type="dxa"/>
            <w:vAlign w:val="center"/>
          </w:tcPr>
          <w:p>
            <w:pPr>
              <w:widowControl w:val="0"/>
              <w:adjustRightInd w:val="0"/>
              <w:snapToGrid w:val="0"/>
              <w:jc w:val="center"/>
              <w:textAlignment w:val="baseline"/>
              <w:rPr>
                <w:bCs/>
                <w:color w:val="auto"/>
                <w:kern w:val="0"/>
              </w:rPr>
            </w:pPr>
            <w:r>
              <w:rPr>
                <w:rFonts w:hint="eastAsia"/>
                <w:bCs/>
                <w:color w:val="auto"/>
                <w:kern w:val="0"/>
              </w:rPr>
              <w:t>25</w:t>
            </w:r>
          </w:p>
        </w:tc>
        <w:tc>
          <w:tcPr>
            <w:tcW w:w="709" w:type="dxa"/>
            <w:vAlign w:val="center"/>
          </w:tcPr>
          <w:p>
            <w:pPr>
              <w:widowControl w:val="0"/>
              <w:adjustRightInd w:val="0"/>
              <w:snapToGrid w:val="0"/>
              <w:jc w:val="center"/>
              <w:textAlignment w:val="baseline"/>
              <w:rPr>
                <w:bCs/>
                <w:color w:val="auto"/>
                <w:kern w:val="0"/>
              </w:rPr>
            </w:pPr>
            <w:r>
              <w:rPr>
                <w:bCs/>
                <w:color w:val="auto"/>
                <w:kern w:val="0"/>
              </w:rPr>
              <w:t>1</w:t>
            </w:r>
            <w:r>
              <w:rPr>
                <w:rFonts w:hint="eastAsia"/>
                <w:bCs/>
                <w:color w:val="auto"/>
                <w:kern w:val="0"/>
              </w:rPr>
              <w:t>5</w:t>
            </w:r>
            <w:r>
              <w:rPr>
                <w:bCs/>
                <w:color w:val="auto"/>
                <w:kern w:val="0"/>
              </w:rPr>
              <w:t>/0.</w:t>
            </w:r>
            <w:r>
              <w:rPr>
                <w:rFonts w:hint="eastAsia"/>
                <w:bCs/>
                <w:color w:val="auto"/>
                <w:kern w:val="0"/>
              </w:rPr>
              <w:t>5</w:t>
            </w:r>
          </w:p>
        </w:tc>
        <w:tc>
          <w:tcPr>
            <w:tcW w:w="709" w:type="dxa"/>
            <w:vAlign w:val="center"/>
          </w:tcPr>
          <w:p>
            <w:pPr>
              <w:widowControl w:val="0"/>
              <w:adjustRightInd w:val="0"/>
              <w:snapToGrid w:val="0"/>
              <w:jc w:val="center"/>
              <w:textAlignment w:val="baseline"/>
              <w:rPr>
                <w:rFonts w:hint="default" w:eastAsia="宋体"/>
                <w:b/>
                <w:bCs w:val="0"/>
                <w:color w:val="auto"/>
                <w:kern w:val="0"/>
                <w:u w:val="single"/>
                <w:lang w:val="en-US" w:eastAsia="zh-CN"/>
              </w:rPr>
            </w:pPr>
            <w:r>
              <w:rPr>
                <w:rFonts w:hint="eastAsia"/>
                <w:b/>
                <w:bCs w:val="0"/>
                <w:color w:val="auto"/>
                <w:kern w:val="0"/>
                <w:u w:val="single"/>
                <w:lang w:val="en-US" w:eastAsia="zh-CN"/>
              </w:rPr>
              <w:t>4.428</w:t>
            </w:r>
          </w:p>
        </w:tc>
        <w:tc>
          <w:tcPr>
            <w:tcW w:w="708" w:type="dxa"/>
            <w:vAlign w:val="center"/>
          </w:tcPr>
          <w:p>
            <w:pPr>
              <w:widowControl w:val="0"/>
              <w:adjustRightInd w:val="0"/>
              <w:snapToGrid w:val="0"/>
              <w:jc w:val="center"/>
              <w:textAlignment w:val="baseline"/>
              <w:rPr>
                <w:rFonts w:hint="default" w:eastAsia="宋体"/>
                <w:b/>
                <w:bCs w:val="0"/>
                <w:color w:val="auto"/>
                <w:kern w:val="0"/>
                <w:u w:val="single"/>
                <w:lang w:val="en-US" w:eastAsia="zh-CN"/>
              </w:rPr>
            </w:pPr>
            <w:r>
              <w:rPr>
                <w:rFonts w:hint="eastAsia"/>
                <w:b/>
                <w:bCs w:val="0"/>
                <w:color w:val="auto"/>
                <w:sz w:val="18"/>
                <w:szCs w:val="18"/>
                <w:u w:val="single"/>
              </w:rPr>
              <w:t>0.0</w:t>
            </w:r>
            <w:r>
              <w:rPr>
                <w:rFonts w:hint="eastAsia"/>
                <w:b/>
                <w:bCs w:val="0"/>
                <w:color w:val="auto"/>
                <w:sz w:val="18"/>
                <w:szCs w:val="18"/>
                <w:u w:val="single"/>
                <w:lang w:val="en-US" w:eastAsia="zh-CN"/>
              </w:rPr>
              <w:t>221</w:t>
            </w:r>
          </w:p>
        </w:tc>
        <w:tc>
          <w:tcPr>
            <w:tcW w:w="709" w:type="dxa"/>
            <w:vAlign w:val="center"/>
          </w:tcPr>
          <w:p>
            <w:pPr>
              <w:widowControl w:val="0"/>
              <w:adjustRightInd w:val="0"/>
              <w:snapToGrid w:val="0"/>
              <w:jc w:val="center"/>
              <w:textAlignment w:val="baseline"/>
              <w:rPr>
                <w:rFonts w:hint="default" w:eastAsia="宋体"/>
                <w:b/>
                <w:bCs/>
                <w:color w:val="auto"/>
                <w:kern w:val="0"/>
                <w:highlight w:val="none"/>
                <w:u w:val="single"/>
                <w:lang w:val="en-US" w:eastAsia="zh-CN"/>
              </w:rPr>
            </w:pPr>
            <w:r>
              <w:rPr>
                <w:rFonts w:hint="eastAsia"/>
                <w:b/>
                <w:bCs/>
                <w:color w:val="auto"/>
                <w:kern w:val="0"/>
                <w:highlight w:val="none"/>
                <w:u w:val="single"/>
              </w:rPr>
              <w:t>0.0</w:t>
            </w:r>
            <w:r>
              <w:rPr>
                <w:rFonts w:hint="eastAsia"/>
                <w:b/>
                <w:bCs/>
                <w:color w:val="auto"/>
                <w:kern w:val="0"/>
                <w:highlight w:val="none"/>
                <w:u w:val="single"/>
                <w:lang w:val="en-US" w:eastAsia="zh-CN"/>
              </w:rPr>
              <w:t>73</w:t>
            </w:r>
          </w:p>
        </w:tc>
        <w:tc>
          <w:tcPr>
            <w:tcW w:w="851" w:type="dxa"/>
            <w:vAlign w:val="center"/>
          </w:tcPr>
          <w:p>
            <w:pPr>
              <w:widowControl w:val="0"/>
              <w:adjustRightInd w:val="0"/>
              <w:snapToGrid w:val="0"/>
              <w:jc w:val="center"/>
              <w:textAlignment w:val="baseline"/>
              <w:rPr>
                <w:bCs/>
                <w:color w:val="auto"/>
                <w:kern w:val="0"/>
              </w:rPr>
            </w:pPr>
            <w:r>
              <w:rPr>
                <w:rFonts w:hint="eastAsia"/>
                <w:bCs/>
                <w:color w:val="auto"/>
                <w:kern w:val="0"/>
              </w:rPr>
              <w:t>10</w:t>
            </w:r>
          </w:p>
        </w:tc>
        <w:tc>
          <w:tcPr>
            <w:tcW w:w="708" w:type="dxa"/>
            <w:vAlign w:val="center"/>
          </w:tcPr>
          <w:p>
            <w:pPr>
              <w:widowControl w:val="0"/>
              <w:adjustRightInd w:val="0"/>
              <w:snapToGrid w:val="0"/>
              <w:jc w:val="center"/>
              <w:textAlignment w:val="baseline"/>
              <w:rPr>
                <w:bCs/>
                <w:color w:val="auto"/>
                <w:kern w:val="0"/>
              </w:rPr>
            </w:pPr>
            <w:r>
              <w:rPr>
                <w:rFonts w:hint="eastAsia"/>
                <w:bCs/>
                <w:color w:val="auto"/>
                <w:kern w:val="0"/>
              </w:rPr>
              <w:t>/</w:t>
            </w:r>
          </w:p>
        </w:tc>
        <w:tc>
          <w:tcPr>
            <w:tcW w:w="3544" w:type="dxa"/>
            <w:vAlign w:val="center"/>
          </w:tcPr>
          <w:p>
            <w:pPr>
              <w:widowControl w:val="0"/>
              <w:adjustRightInd w:val="0"/>
              <w:snapToGrid w:val="0"/>
              <w:jc w:val="center"/>
              <w:textAlignment w:val="baseline"/>
              <w:rPr>
                <w:color w:val="auto"/>
                <w:kern w:val="0"/>
              </w:rPr>
            </w:pPr>
            <w:r>
              <w:rPr>
                <w:color w:val="auto"/>
                <w:kern w:val="0"/>
                <w:lang w:bidi="en-US"/>
              </w:rPr>
              <w:t>《</w:t>
            </w:r>
            <w:r>
              <w:rPr>
                <w:color w:val="auto"/>
                <w:kern w:val="0"/>
              </w:rPr>
              <w:t>新乡市生态环境局关于进一步规范工业企业颗粒物排放限值的通知</w:t>
            </w:r>
            <w:r>
              <w:rPr>
                <w:color w:val="auto"/>
                <w:kern w:val="0"/>
                <w:lang w:bidi="en-US"/>
              </w:rPr>
              <w:t>》</w:t>
            </w:r>
            <w:r>
              <w:rPr>
                <w:color w:val="auto"/>
                <w:kern w:val="0"/>
              </w:rPr>
              <w:t>中其他所有涉气</w:t>
            </w:r>
            <w:r>
              <w:rPr>
                <w:rFonts w:hint="eastAsia"/>
                <w:color w:val="auto"/>
                <w:kern w:val="0"/>
              </w:rPr>
              <w:t>工业企业</w:t>
            </w:r>
            <w:r>
              <w:rPr>
                <w:color w:val="auto"/>
                <w:kern w:val="0"/>
              </w:rPr>
              <w:t>排放口颗粒物排放浓度不高于10mg/m</w:t>
            </w:r>
            <w:r>
              <w:rPr>
                <w:color w:val="auto"/>
                <w:kern w:val="0"/>
                <w:vertAlign w:val="superscript"/>
              </w:rPr>
              <w:t>3</w:t>
            </w:r>
            <w:r>
              <w:rPr>
                <w:color w:val="auto"/>
                <w:kern w:val="0"/>
              </w:rPr>
              <w:t>的排放标准</w:t>
            </w:r>
          </w:p>
        </w:tc>
      </w:tr>
    </w:tbl>
    <w:p>
      <w:pPr>
        <w:widowControl w:val="0"/>
        <w:spacing w:before="240" w:beforeLines="100" w:after="120" w:afterLines="50"/>
        <w:jc w:val="both"/>
        <w:rPr>
          <w:b/>
          <w:color w:val="auto"/>
          <w:sz w:val="24"/>
          <w:szCs w:val="24"/>
        </w:rPr>
      </w:pPr>
    </w:p>
    <w:p>
      <w:pPr>
        <w:keepNext w:val="0"/>
        <w:keepLines w:val="0"/>
        <w:pageBreakBefore w:val="0"/>
        <w:widowControl w:val="0"/>
        <w:kinsoku/>
        <w:wordWrap/>
        <w:overflowPunct/>
        <w:topLinePunct w:val="0"/>
        <w:autoSpaceDE/>
        <w:autoSpaceDN/>
        <w:bidi w:val="0"/>
        <w:adjustRightInd/>
        <w:snapToGrid/>
        <w:spacing w:before="571" w:beforeLines="150"/>
        <w:ind w:firstLine="482" w:firstLineChars="200"/>
        <w:jc w:val="both"/>
        <w:textAlignment w:val="auto"/>
        <w:rPr>
          <w:b/>
          <w:color w:val="auto"/>
          <w:sz w:val="24"/>
          <w:szCs w:val="24"/>
        </w:rPr>
        <w:sectPr>
          <w:pgSz w:w="16840" w:h="11907" w:orient="landscape"/>
          <w:pgMar w:top="1797" w:right="1440" w:bottom="1797" w:left="1440" w:header="907" w:footer="907" w:gutter="0"/>
          <w:cols w:space="425" w:num="1"/>
          <w:docGrid w:linePitch="380" w:charSpace="0"/>
        </w:sectPr>
      </w:pPr>
    </w:p>
    <w:p>
      <w:pPr>
        <w:widowControl w:val="0"/>
        <w:tabs>
          <w:tab w:val="center" w:pos="4575"/>
          <w:tab w:val="left" w:pos="7365"/>
        </w:tabs>
        <w:jc w:val="center"/>
        <w:rPr>
          <w:rFonts w:hint="eastAsia" w:ascii="黑体" w:hAnsi="黑体" w:eastAsia="黑体"/>
          <w:color w:val="auto"/>
          <w:sz w:val="24"/>
          <w:szCs w:val="22"/>
        </w:rPr>
      </w:pPr>
    </w:p>
    <w:p>
      <w:pPr>
        <w:widowControl w:val="0"/>
        <w:tabs>
          <w:tab w:val="center" w:pos="4575"/>
          <w:tab w:val="left" w:pos="7365"/>
        </w:tabs>
        <w:jc w:val="center"/>
        <w:rPr>
          <w:rFonts w:eastAsia="黑体"/>
          <w:b/>
          <w:bCs/>
          <w:color w:val="auto"/>
          <w:kern w:val="21"/>
          <w:sz w:val="24"/>
        </w:rPr>
      </w:pPr>
      <w:r>
        <w:rPr>
          <w:rFonts w:hint="eastAsia" w:ascii="黑体" w:hAnsi="黑体" w:eastAsia="黑体"/>
          <w:color w:val="auto"/>
          <w:sz w:val="24"/>
          <w:szCs w:val="22"/>
        </w:rPr>
        <w:t>表9.4-5        废水污染物产排情况      单位：t/a</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6"/>
        <w:gridCol w:w="2234"/>
        <w:gridCol w:w="2023"/>
        <w:gridCol w:w="2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b/>
                <w:bCs/>
                <w:color w:val="auto"/>
                <w:szCs w:val="21"/>
              </w:rPr>
            </w:pPr>
            <w:r>
              <w:rPr>
                <w:rFonts w:hint="eastAsia"/>
                <w:b/>
                <w:bCs/>
                <w:color w:val="auto"/>
                <w:szCs w:val="21"/>
              </w:rPr>
              <w:t>污染物</w:t>
            </w:r>
          </w:p>
        </w:tc>
        <w:tc>
          <w:tcPr>
            <w:tcW w:w="1311" w:type="pct"/>
            <w:vAlign w:val="center"/>
          </w:tcPr>
          <w:p>
            <w:pPr>
              <w:pStyle w:val="33"/>
              <w:adjustRightInd w:val="0"/>
              <w:snapToGrid w:val="0"/>
              <w:spacing w:after="0"/>
              <w:ind w:left="0" w:leftChars="0"/>
              <w:jc w:val="center"/>
              <w:rPr>
                <w:b/>
                <w:bCs/>
                <w:color w:val="auto"/>
                <w:szCs w:val="21"/>
              </w:rPr>
            </w:pPr>
            <w:r>
              <w:rPr>
                <w:rFonts w:hint="eastAsia"/>
                <w:b/>
                <w:bCs/>
                <w:color w:val="auto"/>
                <w:szCs w:val="21"/>
              </w:rPr>
              <w:t>产生量（t/a）</w:t>
            </w:r>
          </w:p>
        </w:tc>
        <w:tc>
          <w:tcPr>
            <w:tcW w:w="1187" w:type="pct"/>
            <w:vAlign w:val="center"/>
          </w:tcPr>
          <w:p>
            <w:pPr>
              <w:pStyle w:val="33"/>
              <w:adjustRightInd w:val="0"/>
              <w:snapToGrid w:val="0"/>
              <w:spacing w:after="0"/>
              <w:ind w:left="0" w:leftChars="0"/>
              <w:jc w:val="center"/>
              <w:rPr>
                <w:b/>
                <w:bCs/>
                <w:color w:val="auto"/>
                <w:szCs w:val="21"/>
              </w:rPr>
            </w:pPr>
            <w:r>
              <w:rPr>
                <w:rFonts w:hint="eastAsia"/>
                <w:b/>
                <w:bCs/>
                <w:color w:val="auto"/>
                <w:szCs w:val="21"/>
              </w:rPr>
              <w:t>削减量（t/a）</w:t>
            </w:r>
          </w:p>
        </w:tc>
        <w:tc>
          <w:tcPr>
            <w:tcW w:w="1542" w:type="pct"/>
            <w:vAlign w:val="center"/>
          </w:tcPr>
          <w:p>
            <w:pPr>
              <w:pStyle w:val="33"/>
              <w:adjustRightInd w:val="0"/>
              <w:snapToGrid w:val="0"/>
              <w:spacing w:after="0"/>
              <w:ind w:left="0" w:leftChars="0"/>
              <w:jc w:val="center"/>
              <w:rPr>
                <w:b/>
                <w:bCs/>
                <w:color w:val="auto"/>
                <w:szCs w:val="21"/>
              </w:rPr>
            </w:pPr>
            <w:r>
              <w:rPr>
                <w:rFonts w:hint="eastAsia"/>
                <w:b/>
                <w:bCs/>
                <w:color w:val="auto"/>
                <w:szCs w:val="21"/>
              </w:rPr>
              <w:t>排放量（总排口）（t/a）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color w:val="auto"/>
                <w:szCs w:val="21"/>
              </w:rPr>
            </w:pPr>
            <w:r>
              <w:rPr>
                <w:rFonts w:hint="eastAsia"/>
                <w:color w:val="auto"/>
                <w:szCs w:val="21"/>
              </w:rPr>
              <w:t>水量</w:t>
            </w:r>
          </w:p>
        </w:tc>
        <w:tc>
          <w:tcPr>
            <w:tcW w:w="1311" w:type="pct"/>
            <w:vAlign w:val="center"/>
          </w:tcPr>
          <w:p>
            <w:pPr>
              <w:pStyle w:val="33"/>
              <w:adjustRightInd w:val="0"/>
              <w:snapToGrid w:val="0"/>
              <w:spacing w:after="0"/>
              <w:ind w:left="0" w:leftChars="0"/>
              <w:jc w:val="center"/>
              <w:rPr>
                <w:color w:val="auto"/>
                <w:szCs w:val="21"/>
              </w:rPr>
            </w:pPr>
            <w:r>
              <w:rPr>
                <w:rFonts w:hint="eastAsia"/>
                <w:color w:val="auto"/>
                <w:sz w:val="20"/>
              </w:rPr>
              <w:t>13037.079</w:t>
            </w:r>
          </w:p>
        </w:tc>
        <w:tc>
          <w:tcPr>
            <w:tcW w:w="1187" w:type="pct"/>
            <w:vAlign w:val="center"/>
          </w:tcPr>
          <w:p>
            <w:pPr>
              <w:jc w:val="center"/>
              <w:rPr>
                <w:color w:val="auto"/>
              </w:rPr>
            </w:pPr>
            <w:r>
              <w:rPr>
                <w:rFonts w:hint="eastAsia"/>
                <w:color w:val="auto"/>
                <w:sz w:val="20"/>
              </w:rPr>
              <w:t>/</w:t>
            </w:r>
          </w:p>
        </w:tc>
        <w:tc>
          <w:tcPr>
            <w:tcW w:w="1542" w:type="pct"/>
            <w:vAlign w:val="center"/>
          </w:tcPr>
          <w:p>
            <w:pPr>
              <w:adjustRightInd w:val="0"/>
              <w:snapToGrid w:val="0"/>
              <w:jc w:val="center"/>
              <w:rPr>
                <w:color w:val="auto"/>
              </w:rPr>
            </w:pPr>
            <w:r>
              <w:rPr>
                <w:rFonts w:hint="eastAsia"/>
                <w:color w:val="auto"/>
                <w:sz w:val="20"/>
              </w:rPr>
              <w:t>13037.079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color w:val="auto"/>
                <w:szCs w:val="21"/>
              </w:rPr>
            </w:pPr>
            <w:r>
              <w:rPr>
                <w:rFonts w:hint="eastAsia"/>
                <w:color w:val="auto"/>
                <w:szCs w:val="21"/>
              </w:rPr>
              <w:t>COD</w:t>
            </w:r>
          </w:p>
        </w:tc>
        <w:tc>
          <w:tcPr>
            <w:tcW w:w="1311" w:type="pct"/>
            <w:vAlign w:val="center"/>
          </w:tcPr>
          <w:p>
            <w:pPr>
              <w:pStyle w:val="33"/>
              <w:adjustRightInd w:val="0"/>
              <w:snapToGrid w:val="0"/>
              <w:spacing w:after="0"/>
              <w:ind w:left="0" w:leftChars="0"/>
              <w:jc w:val="center"/>
              <w:rPr>
                <w:rFonts w:hint="default" w:eastAsia="宋体"/>
                <w:b/>
                <w:bCs/>
                <w:color w:val="auto"/>
                <w:szCs w:val="21"/>
                <w:u w:val="single"/>
                <w:lang w:val="en-US" w:eastAsia="zh-CN"/>
              </w:rPr>
            </w:pPr>
            <w:r>
              <w:rPr>
                <w:rFonts w:hint="eastAsia"/>
                <w:b/>
                <w:bCs/>
                <w:color w:val="auto"/>
                <w:sz w:val="20"/>
                <w:u w:val="single"/>
                <w:lang w:val="en-US" w:eastAsia="zh-CN"/>
              </w:rPr>
              <w:t>1.004</w:t>
            </w:r>
          </w:p>
        </w:tc>
        <w:tc>
          <w:tcPr>
            <w:tcW w:w="1187" w:type="pct"/>
            <w:vAlign w:val="center"/>
          </w:tcPr>
          <w:p>
            <w:pPr>
              <w:jc w:val="center"/>
              <w:rPr>
                <w:rFonts w:hint="eastAsia" w:eastAsia="宋体"/>
                <w:b/>
                <w:bCs/>
                <w:color w:val="auto"/>
                <w:u w:val="single"/>
                <w:lang w:val="en-US" w:eastAsia="zh-CN"/>
              </w:rPr>
            </w:pPr>
            <w:r>
              <w:rPr>
                <w:rFonts w:hint="eastAsia"/>
                <w:b/>
                <w:bCs/>
                <w:color w:val="auto"/>
                <w:sz w:val="20"/>
                <w:u w:val="single"/>
                <w:lang w:val="en-US" w:eastAsia="zh-CN"/>
              </w:rPr>
              <w:t>0.08</w:t>
            </w:r>
          </w:p>
        </w:tc>
        <w:tc>
          <w:tcPr>
            <w:tcW w:w="1542" w:type="pct"/>
            <w:vAlign w:val="center"/>
          </w:tcPr>
          <w:p>
            <w:pPr>
              <w:jc w:val="center"/>
              <w:rPr>
                <w:b/>
                <w:bCs/>
                <w:color w:val="auto"/>
                <w:u w:val="single"/>
              </w:rPr>
            </w:pPr>
            <w:r>
              <w:rPr>
                <w:rFonts w:hint="eastAsia"/>
                <w:b/>
                <w:bCs/>
                <w:color w:val="auto"/>
                <w:sz w:val="20"/>
                <w:u w:val="single"/>
              </w:rPr>
              <w:t>0.924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color w:val="auto"/>
                <w:szCs w:val="21"/>
              </w:rPr>
            </w:pPr>
            <w:r>
              <w:rPr>
                <w:rFonts w:hint="eastAsia"/>
                <w:color w:val="auto"/>
                <w:szCs w:val="21"/>
              </w:rPr>
              <w:t>氨氮</w:t>
            </w:r>
          </w:p>
        </w:tc>
        <w:tc>
          <w:tcPr>
            <w:tcW w:w="1311" w:type="pct"/>
            <w:vAlign w:val="center"/>
          </w:tcPr>
          <w:p>
            <w:pPr>
              <w:pStyle w:val="33"/>
              <w:adjustRightInd w:val="0"/>
              <w:snapToGrid w:val="0"/>
              <w:spacing w:after="0"/>
              <w:ind w:left="0" w:leftChars="0"/>
              <w:jc w:val="center"/>
              <w:rPr>
                <w:color w:val="auto"/>
                <w:szCs w:val="21"/>
              </w:rPr>
            </w:pPr>
            <w:r>
              <w:rPr>
                <w:rFonts w:hint="eastAsia"/>
                <w:color w:val="auto"/>
                <w:sz w:val="20"/>
              </w:rPr>
              <w:t>0.045</w:t>
            </w:r>
          </w:p>
        </w:tc>
        <w:tc>
          <w:tcPr>
            <w:tcW w:w="1187" w:type="pct"/>
            <w:vAlign w:val="center"/>
          </w:tcPr>
          <w:p>
            <w:pPr>
              <w:jc w:val="center"/>
              <w:rPr>
                <w:rFonts w:hint="eastAsia" w:eastAsia="宋体"/>
                <w:b/>
                <w:bCs/>
                <w:color w:val="auto"/>
                <w:u w:val="single"/>
                <w:lang w:eastAsia="zh-CN"/>
              </w:rPr>
            </w:pPr>
            <w:r>
              <w:rPr>
                <w:rFonts w:hint="eastAsia"/>
                <w:b/>
                <w:bCs/>
                <w:color w:val="auto"/>
                <w:sz w:val="20"/>
                <w:u w:val="single"/>
                <w:lang w:val="en-US" w:eastAsia="zh-CN"/>
              </w:rPr>
              <w:t>0</w:t>
            </w:r>
          </w:p>
        </w:tc>
        <w:tc>
          <w:tcPr>
            <w:tcW w:w="1542" w:type="pct"/>
            <w:vAlign w:val="center"/>
          </w:tcPr>
          <w:p>
            <w:pPr>
              <w:jc w:val="center"/>
              <w:rPr>
                <w:bCs/>
                <w:color w:val="auto"/>
              </w:rPr>
            </w:pPr>
            <w:r>
              <w:rPr>
                <w:rFonts w:hint="eastAsia"/>
                <w:color w:val="auto"/>
                <w:sz w:val="20"/>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color w:val="auto"/>
                <w:szCs w:val="21"/>
              </w:rPr>
            </w:pPr>
            <w:r>
              <w:rPr>
                <w:rFonts w:hint="eastAsia"/>
                <w:color w:val="auto"/>
                <w:szCs w:val="21"/>
              </w:rPr>
              <w:t>TP</w:t>
            </w:r>
          </w:p>
        </w:tc>
        <w:tc>
          <w:tcPr>
            <w:tcW w:w="1311" w:type="pct"/>
            <w:vAlign w:val="center"/>
          </w:tcPr>
          <w:p>
            <w:pPr>
              <w:pStyle w:val="33"/>
              <w:adjustRightInd w:val="0"/>
              <w:snapToGrid w:val="0"/>
              <w:spacing w:after="0"/>
              <w:ind w:left="0" w:leftChars="0"/>
              <w:jc w:val="center"/>
              <w:rPr>
                <w:color w:val="auto"/>
                <w:szCs w:val="21"/>
              </w:rPr>
            </w:pPr>
            <w:r>
              <w:rPr>
                <w:rFonts w:hint="eastAsia"/>
                <w:color w:val="auto"/>
                <w:sz w:val="20"/>
              </w:rPr>
              <w:t>0.004</w:t>
            </w:r>
          </w:p>
        </w:tc>
        <w:tc>
          <w:tcPr>
            <w:tcW w:w="1187" w:type="pct"/>
            <w:vAlign w:val="center"/>
          </w:tcPr>
          <w:p>
            <w:pPr>
              <w:jc w:val="center"/>
              <w:rPr>
                <w:rFonts w:hint="eastAsia" w:eastAsia="宋体"/>
                <w:b/>
                <w:bCs/>
                <w:color w:val="auto"/>
                <w:u w:val="single"/>
                <w:lang w:val="en-US" w:eastAsia="zh-CN"/>
              </w:rPr>
            </w:pPr>
            <w:r>
              <w:rPr>
                <w:rFonts w:hint="eastAsia"/>
                <w:b/>
                <w:bCs/>
                <w:color w:val="auto"/>
                <w:u w:val="single"/>
                <w:lang w:val="en-US" w:eastAsia="zh-CN"/>
              </w:rPr>
              <w:t>0</w:t>
            </w:r>
          </w:p>
        </w:tc>
        <w:tc>
          <w:tcPr>
            <w:tcW w:w="1542" w:type="pct"/>
            <w:vAlign w:val="center"/>
          </w:tcPr>
          <w:p>
            <w:pPr>
              <w:jc w:val="center"/>
              <w:rPr>
                <w:bCs/>
                <w:color w:val="auto"/>
              </w:rPr>
            </w:pPr>
            <w:r>
              <w:rPr>
                <w:rFonts w:hint="eastAsia"/>
                <w:color w:val="auto"/>
                <w:sz w:val="20"/>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color w:val="auto"/>
                <w:szCs w:val="21"/>
              </w:rPr>
            </w:pPr>
            <w:r>
              <w:rPr>
                <w:rFonts w:hint="eastAsia"/>
                <w:color w:val="auto"/>
                <w:szCs w:val="21"/>
              </w:rPr>
              <w:t>TN</w:t>
            </w:r>
          </w:p>
        </w:tc>
        <w:tc>
          <w:tcPr>
            <w:tcW w:w="1311" w:type="pct"/>
            <w:vAlign w:val="center"/>
          </w:tcPr>
          <w:p>
            <w:pPr>
              <w:pStyle w:val="33"/>
              <w:adjustRightInd w:val="0"/>
              <w:snapToGrid w:val="0"/>
              <w:spacing w:after="0"/>
              <w:ind w:left="0" w:leftChars="0"/>
              <w:jc w:val="center"/>
              <w:rPr>
                <w:color w:val="auto"/>
                <w:szCs w:val="21"/>
              </w:rPr>
            </w:pPr>
            <w:r>
              <w:rPr>
                <w:rFonts w:hint="eastAsia"/>
                <w:color w:val="auto"/>
                <w:sz w:val="20"/>
              </w:rPr>
              <w:t>0.071</w:t>
            </w:r>
          </w:p>
        </w:tc>
        <w:tc>
          <w:tcPr>
            <w:tcW w:w="1187" w:type="pct"/>
            <w:vAlign w:val="center"/>
          </w:tcPr>
          <w:p>
            <w:pPr>
              <w:jc w:val="center"/>
              <w:rPr>
                <w:rFonts w:hint="default" w:eastAsia="宋体"/>
                <w:b/>
                <w:bCs/>
                <w:color w:val="auto"/>
                <w:u w:val="single"/>
                <w:lang w:val="en-US" w:eastAsia="zh-CN"/>
              </w:rPr>
            </w:pPr>
            <w:r>
              <w:rPr>
                <w:rFonts w:hint="eastAsia"/>
                <w:b/>
                <w:bCs/>
                <w:color w:val="auto"/>
                <w:u w:val="single"/>
                <w:lang w:val="en-US" w:eastAsia="zh-CN"/>
              </w:rPr>
              <w:t>0</w:t>
            </w:r>
          </w:p>
        </w:tc>
        <w:tc>
          <w:tcPr>
            <w:tcW w:w="1542" w:type="pct"/>
            <w:vAlign w:val="center"/>
          </w:tcPr>
          <w:p>
            <w:pPr>
              <w:jc w:val="center"/>
              <w:rPr>
                <w:bCs/>
                <w:color w:val="auto"/>
              </w:rPr>
            </w:pPr>
            <w:r>
              <w:rPr>
                <w:rFonts w:hint="eastAsia"/>
                <w:color w:val="auto"/>
                <w:sz w:val="20"/>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0" w:type="pct"/>
            <w:vAlign w:val="center"/>
          </w:tcPr>
          <w:p>
            <w:pPr>
              <w:pStyle w:val="33"/>
              <w:adjustRightInd w:val="0"/>
              <w:snapToGrid w:val="0"/>
              <w:spacing w:after="0"/>
              <w:ind w:left="0" w:leftChars="0"/>
              <w:jc w:val="center"/>
              <w:rPr>
                <w:color w:val="auto"/>
                <w:szCs w:val="21"/>
              </w:rPr>
            </w:pPr>
            <w:r>
              <w:rPr>
                <w:rFonts w:hint="eastAsia"/>
                <w:color w:val="auto"/>
                <w:szCs w:val="21"/>
              </w:rPr>
              <w:t>SS</w:t>
            </w:r>
          </w:p>
        </w:tc>
        <w:tc>
          <w:tcPr>
            <w:tcW w:w="1311" w:type="pct"/>
            <w:vAlign w:val="center"/>
          </w:tcPr>
          <w:p>
            <w:pPr>
              <w:pStyle w:val="33"/>
              <w:adjustRightInd w:val="0"/>
              <w:snapToGrid w:val="0"/>
              <w:spacing w:after="0"/>
              <w:ind w:left="0" w:leftChars="0"/>
              <w:jc w:val="center"/>
              <w:rPr>
                <w:rFonts w:hint="default" w:eastAsia="宋体"/>
                <w:b/>
                <w:bCs/>
                <w:color w:val="auto"/>
                <w:szCs w:val="21"/>
                <w:u w:val="single"/>
                <w:lang w:val="en-US" w:eastAsia="zh-CN"/>
              </w:rPr>
            </w:pPr>
            <w:r>
              <w:rPr>
                <w:rFonts w:hint="eastAsia"/>
                <w:b/>
                <w:bCs/>
                <w:color w:val="auto"/>
                <w:sz w:val="20"/>
                <w:u w:val="single"/>
                <w:lang w:val="en-US" w:eastAsia="zh-CN"/>
              </w:rPr>
              <w:t>0.955</w:t>
            </w:r>
          </w:p>
        </w:tc>
        <w:tc>
          <w:tcPr>
            <w:tcW w:w="1187" w:type="pct"/>
            <w:vAlign w:val="center"/>
          </w:tcPr>
          <w:p>
            <w:pPr>
              <w:jc w:val="center"/>
              <w:rPr>
                <w:rFonts w:hint="default" w:eastAsia="宋体"/>
                <w:b/>
                <w:bCs/>
                <w:color w:val="auto"/>
                <w:u w:val="single"/>
                <w:lang w:val="en-US" w:eastAsia="zh-CN"/>
              </w:rPr>
            </w:pPr>
            <w:r>
              <w:rPr>
                <w:rFonts w:hint="eastAsia"/>
                <w:b/>
                <w:bCs/>
                <w:color w:val="auto"/>
                <w:sz w:val="20"/>
                <w:u w:val="single"/>
                <w:lang w:val="en-US" w:eastAsia="zh-CN"/>
              </w:rPr>
              <w:t>0.118</w:t>
            </w:r>
          </w:p>
        </w:tc>
        <w:tc>
          <w:tcPr>
            <w:tcW w:w="1542" w:type="pct"/>
            <w:vAlign w:val="center"/>
          </w:tcPr>
          <w:p>
            <w:pPr>
              <w:jc w:val="center"/>
              <w:rPr>
                <w:rFonts w:hint="default" w:eastAsia="宋体"/>
                <w:b/>
                <w:bCs/>
                <w:color w:val="auto"/>
                <w:u w:val="single"/>
                <w:lang w:val="en-US" w:eastAsia="zh-CN"/>
              </w:rPr>
            </w:pPr>
            <w:r>
              <w:rPr>
                <w:rFonts w:hint="eastAsia"/>
                <w:b/>
                <w:bCs/>
                <w:color w:val="auto"/>
                <w:sz w:val="20"/>
                <w:u w:val="single"/>
                <w:lang w:val="en-US" w:eastAsia="zh-CN"/>
              </w:rPr>
              <w:t>0.837</w:t>
            </w:r>
          </w:p>
        </w:tc>
      </w:tr>
    </w:tbl>
    <w:p>
      <w:pPr>
        <w:widowControl w:val="0"/>
        <w:tabs>
          <w:tab w:val="center" w:pos="4575"/>
          <w:tab w:val="left" w:pos="7365"/>
        </w:tabs>
        <w:jc w:val="center"/>
        <w:rPr>
          <w:rFonts w:hint="eastAsia" w:ascii="黑体" w:hAnsi="黑体" w:eastAsia="黑体"/>
          <w:color w:val="auto"/>
          <w:sz w:val="24"/>
          <w:szCs w:val="22"/>
        </w:rPr>
      </w:pP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rPr>
        <w:t>表9.4-6     工程固体废弃物产生及处置情况    单位：t/a</w:t>
      </w:r>
    </w:p>
    <w:tbl>
      <w:tblPr>
        <w:tblStyle w:val="83"/>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87"/>
        <w:gridCol w:w="1238"/>
        <w:gridCol w:w="1264"/>
        <w:gridCol w:w="2157"/>
        <w:gridCol w:w="1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jc w:val="center"/>
              <w:rPr>
                <w:rFonts w:cs="宋体"/>
                <w:b/>
                <w:color w:val="auto"/>
                <w:szCs w:val="20"/>
              </w:rPr>
            </w:pPr>
            <w:r>
              <w:rPr>
                <w:rFonts w:cs="宋体"/>
                <w:b/>
                <w:color w:val="auto"/>
                <w:szCs w:val="20"/>
              </w:rPr>
              <w:t>固废名称</w:t>
            </w:r>
          </w:p>
        </w:tc>
        <w:tc>
          <w:tcPr>
            <w:tcW w:w="743" w:type="pct"/>
            <w:vAlign w:val="center"/>
          </w:tcPr>
          <w:p>
            <w:pPr>
              <w:widowControl w:val="0"/>
              <w:jc w:val="center"/>
              <w:rPr>
                <w:rFonts w:cs="宋体"/>
                <w:b/>
                <w:color w:val="auto"/>
                <w:szCs w:val="20"/>
              </w:rPr>
            </w:pPr>
            <w:r>
              <w:rPr>
                <w:rFonts w:cs="宋体"/>
                <w:b/>
                <w:color w:val="auto"/>
                <w:szCs w:val="20"/>
              </w:rPr>
              <w:t>类别</w:t>
            </w:r>
          </w:p>
        </w:tc>
        <w:tc>
          <w:tcPr>
            <w:tcW w:w="759" w:type="pct"/>
            <w:vAlign w:val="center"/>
          </w:tcPr>
          <w:p>
            <w:pPr>
              <w:widowControl w:val="0"/>
              <w:jc w:val="center"/>
              <w:rPr>
                <w:color w:val="auto"/>
              </w:rPr>
            </w:pPr>
            <w:r>
              <w:rPr>
                <w:b/>
                <w:bCs/>
                <w:color w:val="auto"/>
              </w:rPr>
              <w:t>产生量</w:t>
            </w:r>
          </w:p>
        </w:tc>
        <w:tc>
          <w:tcPr>
            <w:tcW w:w="1295" w:type="pct"/>
            <w:vAlign w:val="center"/>
          </w:tcPr>
          <w:p>
            <w:pPr>
              <w:widowControl w:val="0"/>
              <w:jc w:val="center"/>
              <w:rPr>
                <w:rFonts w:cs="宋体"/>
                <w:b/>
                <w:color w:val="auto"/>
                <w:szCs w:val="20"/>
              </w:rPr>
            </w:pPr>
            <w:r>
              <w:rPr>
                <w:rFonts w:cs="宋体"/>
                <w:b/>
                <w:color w:val="auto"/>
                <w:szCs w:val="20"/>
              </w:rPr>
              <w:t>储存方式</w:t>
            </w:r>
          </w:p>
        </w:tc>
        <w:tc>
          <w:tcPr>
            <w:tcW w:w="1008" w:type="pct"/>
            <w:vAlign w:val="center"/>
          </w:tcPr>
          <w:p>
            <w:pPr>
              <w:widowControl w:val="0"/>
              <w:jc w:val="center"/>
              <w:rPr>
                <w:rFonts w:cs="宋体"/>
                <w:b/>
                <w:color w:val="auto"/>
                <w:szCs w:val="20"/>
              </w:rPr>
            </w:pPr>
            <w:r>
              <w:rPr>
                <w:rFonts w:cs="宋体"/>
                <w:b/>
                <w:color w:val="auto"/>
                <w:szCs w:val="20"/>
              </w:rPr>
              <w:t>处理处置措施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边角料</w:t>
            </w:r>
          </w:p>
        </w:tc>
        <w:tc>
          <w:tcPr>
            <w:tcW w:w="743" w:type="pct"/>
            <w:vAlign w:val="center"/>
          </w:tcPr>
          <w:p>
            <w:pPr>
              <w:widowControl w:val="0"/>
              <w:tabs>
                <w:tab w:val="left" w:pos="3227"/>
              </w:tabs>
              <w:adjustRightInd w:val="0"/>
              <w:snapToGrid w:val="0"/>
              <w:jc w:val="center"/>
              <w:rPr>
                <w:color w:val="auto"/>
                <w:kern w:val="21"/>
              </w:rPr>
            </w:pPr>
            <w:r>
              <w:rPr>
                <w:color w:val="auto"/>
                <w:kern w:val="21"/>
              </w:rPr>
              <w:t>一般固废</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11308</w:t>
            </w:r>
          </w:p>
        </w:tc>
        <w:tc>
          <w:tcPr>
            <w:tcW w:w="1295" w:type="pct"/>
            <w:vMerge w:val="restart"/>
            <w:vAlign w:val="center"/>
          </w:tcPr>
          <w:p>
            <w:pPr>
              <w:widowControl w:val="0"/>
              <w:jc w:val="center"/>
              <w:rPr>
                <w:rFonts w:cs="宋体"/>
                <w:color w:val="auto"/>
                <w:szCs w:val="20"/>
              </w:rPr>
            </w:pPr>
            <w:r>
              <w:rPr>
                <w:rFonts w:cs="宋体"/>
                <w:color w:val="auto"/>
                <w:szCs w:val="20"/>
              </w:rPr>
              <w:t>一般固废暂存间（</w:t>
            </w:r>
            <w:r>
              <w:rPr>
                <w:rFonts w:hint="eastAsia" w:cs="宋体"/>
                <w:color w:val="auto"/>
                <w:szCs w:val="20"/>
              </w:rPr>
              <w:t>300</w:t>
            </w:r>
            <w:r>
              <w:rPr>
                <w:rFonts w:cs="宋体"/>
                <w:color w:val="auto"/>
                <w:szCs w:val="20"/>
              </w:rPr>
              <w:t>m</w:t>
            </w:r>
            <w:r>
              <w:rPr>
                <w:rFonts w:cs="宋体"/>
                <w:color w:val="auto"/>
                <w:szCs w:val="20"/>
                <w:vertAlign w:val="superscript"/>
              </w:rPr>
              <w:t>2</w:t>
            </w:r>
            <w:r>
              <w:rPr>
                <w:rFonts w:cs="宋体"/>
                <w:color w:val="auto"/>
                <w:szCs w:val="20"/>
              </w:rPr>
              <w:t>）暂存</w:t>
            </w:r>
          </w:p>
        </w:tc>
        <w:tc>
          <w:tcPr>
            <w:tcW w:w="1008" w:type="pct"/>
            <w:vMerge w:val="restart"/>
            <w:vAlign w:val="center"/>
          </w:tcPr>
          <w:p>
            <w:pPr>
              <w:widowControl w:val="0"/>
              <w:tabs>
                <w:tab w:val="left" w:pos="3227"/>
              </w:tabs>
              <w:adjustRightInd w:val="0"/>
              <w:snapToGrid w:val="0"/>
              <w:jc w:val="center"/>
              <w:rPr>
                <w:color w:val="auto"/>
                <w:kern w:val="21"/>
              </w:rPr>
            </w:pPr>
            <w:r>
              <w:rPr>
                <w:color w:val="auto"/>
                <w:kern w:val="21"/>
              </w:rPr>
              <w:t>收集后外售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不合格镀件</w:t>
            </w:r>
          </w:p>
        </w:tc>
        <w:tc>
          <w:tcPr>
            <w:tcW w:w="743" w:type="pct"/>
            <w:vAlign w:val="center"/>
          </w:tcPr>
          <w:p>
            <w:pPr>
              <w:widowControl w:val="0"/>
              <w:tabs>
                <w:tab w:val="left" w:pos="3227"/>
              </w:tabs>
              <w:adjustRightInd w:val="0"/>
              <w:snapToGrid w:val="0"/>
              <w:jc w:val="center"/>
              <w:rPr>
                <w:color w:val="auto"/>
                <w:kern w:val="21"/>
              </w:rPr>
            </w:pPr>
            <w:r>
              <w:rPr>
                <w:color w:val="auto"/>
                <w:kern w:val="21"/>
              </w:rPr>
              <w:t>一般固废</w:t>
            </w:r>
          </w:p>
        </w:tc>
        <w:tc>
          <w:tcPr>
            <w:tcW w:w="759" w:type="pct"/>
            <w:vAlign w:val="center"/>
          </w:tcPr>
          <w:p>
            <w:pPr>
              <w:pStyle w:val="33"/>
              <w:widowControl w:val="0"/>
              <w:adjustRightInd w:val="0"/>
              <w:snapToGrid w:val="0"/>
              <w:spacing w:after="0"/>
              <w:ind w:left="0" w:leftChars="0"/>
              <w:jc w:val="center"/>
              <w:rPr>
                <w:color w:val="auto"/>
                <w:kern w:val="21"/>
                <w:szCs w:val="21"/>
              </w:rPr>
            </w:pPr>
            <w:r>
              <w:rPr>
                <w:color w:val="auto"/>
                <w:kern w:val="21"/>
                <w:szCs w:val="21"/>
              </w:rPr>
              <w:t>19.76</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除尘器粉尘</w:t>
            </w:r>
          </w:p>
        </w:tc>
        <w:tc>
          <w:tcPr>
            <w:tcW w:w="743" w:type="pct"/>
            <w:vAlign w:val="center"/>
          </w:tcPr>
          <w:p>
            <w:pPr>
              <w:widowControl w:val="0"/>
              <w:tabs>
                <w:tab w:val="left" w:pos="3227"/>
              </w:tabs>
              <w:adjustRightInd w:val="0"/>
              <w:snapToGrid w:val="0"/>
              <w:jc w:val="center"/>
              <w:rPr>
                <w:color w:val="auto"/>
                <w:kern w:val="21"/>
              </w:rPr>
            </w:pPr>
            <w:r>
              <w:rPr>
                <w:color w:val="auto"/>
                <w:kern w:val="21"/>
              </w:rPr>
              <w:t>一般固废</w:t>
            </w:r>
          </w:p>
        </w:tc>
        <w:tc>
          <w:tcPr>
            <w:tcW w:w="759" w:type="pct"/>
            <w:vAlign w:val="center"/>
          </w:tcPr>
          <w:p>
            <w:pPr>
              <w:pStyle w:val="33"/>
              <w:widowControl w:val="0"/>
              <w:adjustRightInd w:val="0"/>
              <w:snapToGrid w:val="0"/>
              <w:spacing w:after="0"/>
              <w:ind w:left="0" w:leftChars="0"/>
              <w:jc w:val="center"/>
              <w:rPr>
                <w:rFonts w:hint="default" w:eastAsia="宋体"/>
                <w:color w:val="auto"/>
                <w:kern w:val="21"/>
                <w:szCs w:val="21"/>
                <w:lang w:val="en-US" w:eastAsia="zh-CN"/>
              </w:rPr>
            </w:pPr>
            <w:r>
              <w:rPr>
                <w:rFonts w:hint="eastAsia"/>
                <w:b/>
                <w:bCs/>
                <w:color w:val="auto"/>
                <w:kern w:val="21"/>
                <w:szCs w:val="21"/>
                <w:u w:val="single"/>
                <w:lang w:val="en-US" w:eastAsia="zh-CN"/>
              </w:rPr>
              <w:t>1.389</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纯水制备</w:t>
            </w:r>
            <w:r>
              <w:rPr>
                <w:rFonts w:hint="eastAsia"/>
                <w:color w:val="auto"/>
                <w:kern w:val="21"/>
                <w:lang w:eastAsia="zh-CN"/>
              </w:rPr>
              <w:t>废</w:t>
            </w:r>
            <w:r>
              <w:rPr>
                <w:color w:val="auto"/>
                <w:kern w:val="21"/>
              </w:rPr>
              <w:t>RO膜</w:t>
            </w:r>
          </w:p>
        </w:tc>
        <w:tc>
          <w:tcPr>
            <w:tcW w:w="743" w:type="pct"/>
            <w:vAlign w:val="center"/>
          </w:tcPr>
          <w:p>
            <w:pPr>
              <w:widowControl w:val="0"/>
              <w:tabs>
                <w:tab w:val="left" w:pos="3227"/>
              </w:tabs>
              <w:adjustRightInd w:val="0"/>
              <w:snapToGrid w:val="0"/>
              <w:jc w:val="center"/>
              <w:rPr>
                <w:color w:val="auto"/>
                <w:kern w:val="21"/>
              </w:rPr>
            </w:pPr>
            <w:r>
              <w:rPr>
                <w:color w:val="auto"/>
                <w:kern w:val="21"/>
              </w:rPr>
              <w:t>一般固废</w:t>
            </w:r>
          </w:p>
        </w:tc>
        <w:tc>
          <w:tcPr>
            <w:tcW w:w="759" w:type="pct"/>
            <w:vAlign w:val="center"/>
          </w:tcPr>
          <w:p>
            <w:pPr>
              <w:pStyle w:val="33"/>
              <w:widowControl w:val="0"/>
              <w:adjustRightInd w:val="0"/>
              <w:snapToGrid w:val="0"/>
              <w:spacing w:after="0"/>
              <w:ind w:left="0" w:leftChars="0"/>
              <w:jc w:val="center"/>
              <w:rPr>
                <w:color w:val="auto"/>
                <w:kern w:val="21"/>
                <w:szCs w:val="21"/>
              </w:rPr>
            </w:pPr>
            <w:r>
              <w:rPr>
                <w:color w:val="auto"/>
                <w:kern w:val="21"/>
                <w:szCs w:val="21"/>
              </w:rPr>
              <w:t>0.2</w:t>
            </w:r>
          </w:p>
        </w:tc>
        <w:tc>
          <w:tcPr>
            <w:tcW w:w="1295" w:type="pct"/>
            <w:vMerge w:val="continue"/>
            <w:vAlign w:val="center"/>
          </w:tcPr>
          <w:p>
            <w:pPr>
              <w:widowControl w:val="0"/>
              <w:jc w:val="center"/>
              <w:rPr>
                <w:rFonts w:cs="宋体"/>
                <w:color w:val="auto"/>
                <w:szCs w:val="20"/>
              </w:rPr>
            </w:pPr>
          </w:p>
        </w:tc>
        <w:tc>
          <w:tcPr>
            <w:tcW w:w="1008" w:type="pct"/>
            <w:vAlign w:val="center"/>
          </w:tcPr>
          <w:p>
            <w:pPr>
              <w:widowControl w:val="0"/>
              <w:tabs>
                <w:tab w:val="left" w:pos="3227"/>
              </w:tabs>
              <w:adjustRightInd w:val="0"/>
              <w:snapToGrid w:val="0"/>
              <w:jc w:val="center"/>
              <w:rPr>
                <w:color w:val="auto"/>
                <w:kern w:val="21"/>
              </w:rPr>
            </w:pPr>
            <w:r>
              <w:rPr>
                <w:color w:val="auto"/>
                <w:kern w:val="21"/>
              </w:rPr>
              <w:t>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生活垃圾</w:t>
            </w:r>
          </w:p>
        </w:tc>
        <w:tc>
          <w:tcPr>
            <w:tcW w:w="743" w:type="pct"/>
            <w:vAlign w:val="center"/>
          </w:tcPr>
          <w:p>
            <w:pPr>
              <w:widowControl w:val="0"/>
              <w:tabs>
                <w:tab w:val="left" w:pos="3227"/>
              </w:tabs>
              <w:adjustRightInd w:val="0"/>
              <w:snapToGrid w:val="0"/>
              <w:jc w:val="center"/>
              <w:rPr>
                <w:color w:val="auto"/>
                <w:kern w:val="21"/>
              </w:rPr>
            </w:pPr>
            <w:r>
              <w:rPr>
                <w:color w:val="auto"/>
                <w:kern w:val="21"/>
              </w:rPr>
              <w:t>一般固废</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6.6</w:t>
            </w:r>
          </w:p>
        </w:tc>
        <w:tc>
          <w:tcPr>
            <w:tcW w:w="1295" w:type="pct"/>
            <w:vMerge w:val="continue"/>
            <w:vAlign w:val="center"/>
          </w:tcPr>
          <w:p>
            <w:pPr>
              <w:widowControl w:val="0"/>
              <w:jc w:val="center"/>
              <w:rPr>
                <w:rFonts w:cs="宋体"/>
                <w:color w:val="auto"/>
                <w:szCs w:val="20"/>
              </w:rPr>
            </w:pPr>
          </w:p>
        </w:tc>
        <w:tc>
          <w:tcPr>
            <w:tcW w:w="1008" w:type="pct"/>
            <w:vAlign w:val="center"/>
          </w:tcPr>
          <w:p>
            <w:pPr>
              <w:widowControl w:val="0"/>
              <w:tabs>
                <w:tab w:val="left" w:pos="3227"/>
              </w:tabs>
              <w:adjustRightInd w:val="0"/>
              <w:snapToGrid w:val="0"/>
              <w:jc w:val="center"/>
              <w:rPr>
                <w:color w:val="auto"/>
                <w:kern w:val="21"/>
              </w:rPr>
            </w:pPr>
            <w:r>
              <w:rPr>
                <w:rFonts w:hint="eastAsia"/>
                <w:color w:val="auto"/>
                <w:kern w:val="21"/>
              </w:rPr>
              <w:t>运往垃圾中转站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镀镍槽液</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656.1</w:t>
            </w:r>
            <w:r>
              <w:rPr>
                <w:color w:val="auto"/>
                <w:kern w:val="21"/>
                <w:szCs w:val="21"/>
              </w:rPr>
              <w:t>（5a）</w:t>
            </w:r>
          </w:p>
        </w:tc>
        <w:tc>
          <w:tcPr>
            <w:tcW w:w="1295" w:type="pct"/>
            <w:vMerge w:val="restart"/>
            <w:vAlign w:val="center"/>
          </w:tcPr>
          <w:p>
            <w:pPr>
              <w:widowControl w:val="0"/>
              <w:jc w:val="center"/>
              <w:rPr>
                <w:rFonts w:cs="宋体"/>
                <w:color w:val="auto"/>
                <w:szCs w:val="20"/>
              </w:rPr>
            </w:pPr>
            <w:r>
              <w:rPr>
                <w:rFonts w:cs="宋体"/>
                <w:color w:val="auto"/>
                <w:szCs w:val="20"/>
              </w:rPr>
              <w:t>不暂存</w:t>
            </w:r>
          </w:p>
        </w:tc>
        <w:tc>
          <w:tcPr>
            <w:tcW w:w="1008" w:type="pct"/>
            <w:vMerge w:val="restart"/>
            <w:vAlign w:val="center"/>
          </w:tcPr>
          <w:p>
            <w:pPr>
              <w:widowControl w:val="0"/>
              <w:jc w:val="center"/>
              <w:rPr>
                <w:rFonts w:hint="eastAsia" w:eastAsia="宋体" w:cs="宋体"/>
                <w:color w:val="auto"/>
                <w:szCs w:val="20"/>
                <w:lang w:eastAsia="zh-CN"/>
              </w:rPr>
            </w:pPr>
            <w:r>
              <w:rPr>
                <w:rFonts w:cs="宋体"/>
                <w:color w:val="auto"/>
                <w:szCs w:val="20"/>
              </w:rPr>
              <w:t>交</w:t>
            </w:r>
            <w:r>
              <w:rPr>
                <w:rFonts w:hint="eastAsia" w:cs="宋体"/>
                <w:color w:val="auto"/>
                <w:szCs w:val="20"/>
                <w:lang w:eastAsia="zh-CN"/>
              </w:rPr>
              <w:t>有</w:t>
            </w:r>
            <w:r>
              <w:rPr>
                <w:rFonts w:cs="宋体"/>
                <w:color w:val="auto"/>
                <w:szCs w:val="20"/>
              </w:rPr>
              <w:t>资质单位</w:t>
            </w:r>
            <w:r>
              <w:rPr>
                <w:rFonts w:hint="eastAsia" w:cs="宋体"/>
                <w:color w:val="auto"/>
                <w:szCs w:val="20"/>
                <w:lang w:eastAsia="zh-CN"/>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镀锌槽液</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21.42</w:t>
            </w:r>
            <w:r>
              <w:rPr>
                <w:color w:val="auto"/>
                <w:kern w:val="21"/>
                <w:szCs w:val="21"/>
              </w:rPr>
              <w:t>（5a）</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含镍废物</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49.89</w:t>
            </w:r>
          </w:p>
        </w:tc>
        <w:tc>
          <w:tcPr>
            <w:tcW w:w="1295" w:type="pct"/>
            <w:vMerge w:val="restart"/>
            <w:vAlign w:val="center"/>
          </w:tcPr>
          <w:p>
            <w:pPr>
              <w:widowControl w:val="0"/>
              <w:jc w:val="center"/>
              <w:rPr>
                <w:rFonts w:cs="宋体"/>
                <w:color w:val="auto"/>
                <w:szCs w:val="20"/>
              </w:rPr>
            </w:pPr>
            <w:r>
              <w:rPr>
                <w:rFonts w:cs="宋体"/>
                <w:color w:val="auto"/>
                <w:szCs w:val="20"/>
              </w:rPr>
              <w:t>危险废物暂存间（</w:t>
            </w:r>
            <w:r>
              <w:rPr>
                <w:rFonts w:hint="eastAsia" w:cs="宋体"/>
                <w:color w:val="auto"/>
                <w:szCs w:val="20"/>
              </w:rPr>
              <w:t>150</w:t>
            </w:r>
            <w:r>
              <w:rPr>
                <w:rFonts w:cs="宋体"/>
                <w:color w:val="auto"/>
                <w:szCs w:val="20"/>
              </w:rPr>
              <w:t>m</w:t>
            </w:r>
            <w:r>
              <w:rPr>
                <w:rFonts w:cs="宋体"/>
                <w:color w:val="auto"/>
                <w:szCs w:val="20"/>
                <w:vertAlign w:val="superscript"/>
              </w:rPr>
              <w:t>2</w:t>
            </w:r>
            <w:r>
              <w:rPr>
                <w:rFonts w:cs="宋体"/>
                <w:color w:val="auto"/>
                <w:szCs w:val="20"/>
              </w:rPr>
              <w:t>）暂存</w:t>
            </w: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含锌废物</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2.571</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含铬废物</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72.6949</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rFonts w:hint="eastAsia"/>
                <w:color w:val="auto"/>
                <w:kern w:val="21"/>
              </w:rPr>
              <w:t>气浮池污油</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0.099</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废机油</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color w:val="auto"/>
                <w:kern w:val="21"/>
                <w:szCs w:val="21"/>
              </w:rPr>
              <w:t>1</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rFonts w:hint="eastAsia"/>
                <w:color w:val="auto"/>
                <w:kern w:val="21"/>
              </w:rPr>
              <w:t>反水反渗透膜</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6（3a）</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93" w:type="pct"/>
            <w:vAlign w:val="center"/>
          </w:tcPr>
          <w:p>
            <w:pPr>
              <w:widowControl w:val="0"/>
              <w:tabs>
                <w:tab w:val="left" w:pos="3227"/>
              </w:tabs>
              <w:adjustRightInd w:val="0"/>
              <w:snapToGrid w:val="0"/>
              <w:jc w:val="center"/>
              <w:rPr>
                <w:color w:val="auto"/>
                <w:kern w:val="21"/>
              </w:rPr>
            </w:pPr>
            <w:r>
              <w:rPr>
                <w:color w:val="auto"/>
                <w:kern w:val="21"/>
              </w:rPr>
              <w:t>生化处理污泥</w:t>
            </w:r>
          </w:p>
        </w:tc>
        <w:tc>
          <w:tcPr>
            <w:tcW w:w="743" w:type="pct"/>
            <w:vAlign w:val="center"/>
          </w:tcPr>
          <w:p>
            <w:pPr>
              <w:widowControl w:val="0"/>
              <w:tabs>
                <w:tab w:val="left" w:pos="3227"/>
              </w:tabs>
              <w:adjustRightInd w:val="0"/>
              <w:snapToGrid w:val="0"/>
              <w:jc w:val="center"/>
              <w:rPr>
                <w:color w:val="auto"/>
                <w:kern w:val="21"/>
              </w:rPr>
            </w:pPr>
            <w:r>
              <w:rPr>
                <w:color w:val="auto"/>
                <w:kern w:val="21"/>
              </w:rPr>
              <w:t>危险废物</w:t>
            </w:r>
          </w:p>
        </w:tc>
        <w:tc>
          <w:tcPr>
            <w:tcW w:w="759" w:type="pct"/>
            <w:vAlign w:val="center"/>
          </w:tcPr>
          <w:p>
            <w:pPr>
              <w:pStyle w:val="33"/>
              <w:widowControl w:val="0"/>
              <w:adjustRightInd w:val="0"/>
              <w:snapToGrid w:val="0"/>
              <w:spacing w:after="0"/>
              <w:ind w:left="0" w:leftChars="0"/>
              <w:jc w:val="center"/>
              <w:rPr>
                <w:color w:val="auto"/>
                <w:kern w:val="21"/>
                <w:szCs w:val="21"/>
              </w:rPr>
            </w:pPr>
            <w:r>
              <w:rPr>
                <w:rFonts w:hint="eastAsia"/>
                <w:color w:val="auto"/>
                <w:kern w:val="21"/>
                <w:szCs w:val="21"/>
              </w:rPr>
              <w:t>161.788</w:t>
            </w:r>
          </w:p>
        </w:tc>
        <w:tc>
          <w:tcPr>
            <w:tcW w:w="1295" w:type="pct"/>
            <w:vMerge w:val="continue"/>
            <w:vAlign w:val="center"/>
          </w:tcPr>
          <w:p>
            <w:pPr>
              <w:widowControl w:val="0"/>
              <w:jc w:val="center"/>
              <w:rPr>
                <w:rFonts w:cs="宋体"/>
                <w:color w:val="auto"/>
                <w:szCs w:val="20"/>
              </w:rPr>
            </w:pPr>
          </w:p>
        </w:tc>
        <w:tc>
          <w:tcPr>
            <w:tcW w:w="1008" w:type="pct"/>
            <w:vMerge w:val="continue"/>
            <w:vAlign w:val="center"/>
          </w:tcPr>
          <w:p>
            <w:pPr>
              <w:widowControl w:val="0"/>
              <w:jc w:val="center"/>
              <w:rPr>
                <w:rFonts w:cs="宋体"/>
                <w:color w:val="auto"/>
                <w:szCs w:val="20"/>
              </w:rPr>
            </w:pPr>
          </w:p>
        </w:tc>
      </w:tr>
    </w:tbl>
    <w:p>
      <w:pPr>
        <w:keepNext w:val="0"/>
        <w:keepLines w:val="0"/>
        <w:pageBreakBefore w:val="0"/>
        <w:widowControl/>
        <w:kinsoku/>
        <w:wordWrap/>
        <w:overflowPunct/>
        <w:topLinePunct w:val="0"/>
        <w:autoSpaceDE/>
        <w:autoSpaceDN/>
        <w:bidi w:val="0"/>
        <w:adjustRightInd w:val="0"/>
        <w:snapToGrid w:val="0"/>
        <w:spacing w:before="161" w:beforeLines="50" w:line="360" w:lineRule="auto"/>
        <w:textAlignment w:val="auto"/>
        <w:outlineLvl w:val="2"/>
        <w:rPr>
          <w:rFonts w:eastAsia="黑体"/>
          <w:color w:val="auto"/>
          <w:kern w:val="21"/>
          <w:sz w:val="28"/>
          <w:szCs w:val="28"/>
        </w:rPr>
      </w:pPr>
      <w:r>
        <w:rPr>
          <w:rFonts w:hint="eastAsia" w:eastAsia="黑体"/>
          <w:color w:val="auto"/>
          <w:kern w:val="21"/>
          <w:sz w:val="28"/>
          <w:szCs w:val="28"/>
        </w:rPr>
        <w:t>9.4.2 信息公开</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1、公开内容</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排污单位自行监测信息公开内容及方式按照《企业环境信息依法披露管理办法》生态环境部令第24号（2021年版全文）及《国家重点监控企业自行监测及信息公开办法（试行）》（环发</w:t>
      </w:r>
      <w:r>
        <w:rPr>
          <w:color w:val="auto"/>
          <w:kern w:val="0"/>
          <w:sz w:val="24"/>
          <w:szCs w:val="20"/>
        </w:rPr>
        <w:t xml:space="preserve">[2013]81 </w:t>
      </w:r>
      <w:r>
        <w:rPr>
          <w:rFonts w:hint="eastAsia"/>
          <w:color w:val="auto"/>
          <w:kern w:val="0"/>
          <w:sz w:val="24"/>
          <w:szCs w:val="20"/>
        </w:rPr>
        <w:t>号）执行，公开内容应包括：</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1</w:t>
      </w:r>
      <w:r>
        <w:rPr>
          <w:rFonts w:hint="eastAsia"/>
          <w:color w:val="auto"/>
          <w:kern w:val="0"/>
          <w:sz w:val="24"/>
          <w:szCs w:val="20"/>
        </w:rPr>
        <w:t>）基础信息：企业名称、法人代表、所属行业、地理位置、生产周期、联系方式、委托监测机构名称等；</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2</w:t>
      </w:r>
      <w:r>
        <w:rPr>
          <w:rFonts w:hint="eastAsia"/>
          <w:color w:val="auto"/>
          <w:kern w:val="0"/>
          <w:sz w:val="24"/>
          <w:szCs w:val="20"/>
        </w:rPr>
        <w:t>）自行监测方案；</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3</w:t>
      </w:r>
      <w:r>
        <w:rPr>
          <w:rFonts w:hint="eastAsia"/>
          <w:color w:val="auto"/>
          <w:kern w:val="0"/>
          <w:sz w:val="24"/>
          <w:szCs w:val="20"/>
        </w:rPr>
        <w:t>）自行监测结果：全部监测点位、监测时间、污染物种类及浓度、标准限值、达标情况、超标倍数、污染物排放方式及排放去向；</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4</w:t>
      </w:r>
      <w:r>
        <w:rPr>
          <w:rFonts w:hint="eastAsia"/>
          <w:color w:val="auto"/>
          <w:kern w:val="0"/>
          <w:sz w:val="24"/>
          <w:szCs w:val="20"/>
        </w:rPr>
        <w:t>）未开展自行监测的原因；</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5</w:t>
      </w:r>
      <w:r>
        <w:rPr>
          <w:rFonts w:hint="eastAsia"/>
          <w:color w:val="auto"/>
          <w:kern w:val="0"/>
          <w:sz w:val="24"/>
          <w:szCs w:val="20"/>
        </w:rPr>
        <w:t>）污染源监测年度报告。</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2、公开方式</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企业可通过对外网站、报纸、广播、电视等便于公众知晓的方式公开自行监测信息。同时，应当在省级或地市级环境保护主管部门统一组织建立的公布平台上公开自行监测信息，并至少保存一年。</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3、公开时限</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企业自行监测信息按以下要求的时限公开：</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1</w:t>
      </w:r>
      <w:r>
        <w:rPr>
          <w:rFonts w:hint="eastAsia"/>
          <w:color w:val="auto"/>
          <w:kern w:val="0"/>
          <w:sz w:val="24"/>
          <w:szCs w:val="20"/>
        </w:rPr>
        <w:t>）企业基础信息应随监测数据一并公布，基础信息、自行监测方案如有调整变化时，应于变更后的五日内公布最新内容；</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2</w:t>
      </w:r>
      <w:r>
        <w:rPr>
          <w:rFonts w:hint="eastAsia"/>
          <w:color w:val="auto"/>
          <w:kern w:val="0"/>
          <w:sz w:val="24"/>
          <w:szCs w:val="20"/>
        </w:rPr>
        <w:t>）手工监测数据应于每次监测完成后的次日公布；</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3</w:t>
      </w:r>
      <w:r>
        <w:rPr>
          <w:rFonts w:hint="eastAsia"/>
          <w:color w:val="auto"/>
          <w:kern w:val="0"/>
          <w:sz w:val="24"/>
          <w:szCs w:val="20"/>
        </w:rPr>
        <w:t>）自动监测数据应实时公布监测结果；</w:t>
      </w:r>
    </w:p>
    <w:p>
      <w:pPr>
        <w:widowControl w:val="0"/>
        <w:adjustRightInd w:val="0"/>
        <w:snapToGrid w:val="0"/>
        <w:spacing w:line="360" w:lineRule="auto"/>
        <w:ind w:firstLine="480" w:firstLineChars="200"/>
        <w:jc w:val="both"/>
        <w:textAlignment w:val="baseline"/>
        <w:rPr>
          <w:color w:val="auto"/>
          <w:kern w:val="0"/>
          <w:sz w:val="24"/>
          <w:szCs w:val="20"/>
        </w:rPr>
      </w:pPr>
      <w:r>
        <w:rPr>
          <w:rFonts w:hint="eastAsia"/>
          <w:color w:val="auto"/>
          <w:kern w:val="0"/>
          <w:sz w:val="24"/>
          <w:szCs w:val="20"/>
        </w:rPr>
        <w:t>（</w:t>
      </w:r>
      <w:r>
        <w:rPr>
          <w:color w:val="auto"/>
          <w:kern w:val="0"/>
          <w:sz w:val="24"/>
          <w:szCs w:val="20"/>
        </w:rPr>
        <w:t>4</w:t>
      </w:r>
      <w:r>
        <w:rPr>
          <w:rFonts w:hint="eastAsia"/>
          <w:color w:val="auto"/>
          <w:kern w:val="0"/>
          <w:sz w:val="24"/>
          <w:szCs w:val="20"/>
        </w:rPr>
        <w:t>）每年</w:t>
      </w:r>
      <w:r>
        <w:rPr>
          <w:color w:val="auto"/>
          <w:kern w:val="0"/>
          <w:sz w:val="24"/>
          <w:szCs w:val="20"/>
        </w:rPr>
        <w:t xml:space="preserve">1 </w:t>
      </w:r>
      <w:r>
        <w:rPr>
          <w:rFonts w:hint="eastAsia"/>
          <w:color w:val="auto"/>
          <w:kern w:val="0"/>
          <w:sz w:val="24"/>
          <w:szCs w:val="20"/>
        </w:rPr>
        <w:t>月底前公布上年度自行监测年度报告。</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bookmarkStart w:id="450" w:name="_Toc112338983"/>
      <w:r>
        <w:rPr>
          <w:rFonts w:hint="eastAsia"/>
          <w:bCs w:val="0"/>
          <w:color w:val="auto"/>
          <w:kern w:val="0"/>
          <w:szCs w:val="20"/>
          <w:lang w:val="en-US"/>
        </w:rPr>
        <w:t>9.5</w:t>
      </w:r>
      <w:r>
        <w:rPr>
          <w:bCs w:val="0"/>
          <w:color w:val="auto"/>
          <w:kern w:val="0"/>
          <w:szCs w:val="20"/>
          <w:lang w:val="en-US"/>
        </w:rPr>
        <w:t>工程污染物总量控制分析</w:t>
      </w:r>
      <w:bookmarkEnd w:id="450"/>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污染物排放总量控制是针对工程分析、环保治理措施及环境影响预测和分析的结果，贯</w:t>
      </w:r>
      <w:r>
        <w:rPr>
          <w:rFonts w:ascii="宋体" w:hAnsi="宋体"/>
          <w:color w:val="auto"/>
          <w:kern w:val="0"/>
          <w:sz w:val="24"/>
          <w:szCs w:val="20"/>
        </w:rPr>
        <w:t>彻“总量控制</w:t>
      </w:r>
      <w:r>
        <w:rPr>
          <w:rFonts w:hint="eastAsia" w:ascii="宋体" w:hAnsi="宋体"/>
          <w:color w:val="auto"/>
          <w:kern w:val="0"/>
          <w:sz w:val="24"/>
          <w:szCs w:val="20"/>
          <w:lang w:eastAsia="zh-CN"/>
        </w:rPr>
        <w:t>”“</w:t>
      </w:r>
      <w:r>
        <w:rPr>
          <w:rFonts w:ascii="宋体" w:hAnsi="宋体"/>
          <w:color w:val="auto"/>
          <w:kern w:val="0"/>
          <w:sz w:val="24"/>
          <w:szCs w:val="20"/>
        </w:rPr>
        <w:t>达标排放”的</w:t>
      </w:r>
      <w:r>
        <w:rPr>
          <w:color w:val="auto"/>
          <w:kern w:val="0"/>
          <w:sz w:val="24"/>
          <w:szCs w:val="20"/>
        </w:rPr>
        <w:t>原则，分析确定本项目废水、废气污染物排放总量控制指标，为环保部门监督管理提供依据。</w:t>
      </w:r>
    </w:p>
    <w:p>
      <w:pPr>
        <w:adjustRightInd w:val="0"/>
        <w:snapToGrid w:val="0"/>
        <w:spacing w:line="360" w:lineRule="auto"/>
        <w:outlineLvl w:val="2"/>
        <w:rPr>
          <w:rFonts w:eastAsia="黑体"/>
          <w:color w:val="auto"/>
          <w:kern w:val="21"/>
          <w:sz w:val="28"/>
          <w:szCs w:val="28"/>
        </w:rPr>
      </w:pPr>
      <w:r>
        <w:rPr>
          <w:rFonts w:hint="eastAsia" w:eastAsia="黑体"/>
          <w:color w:val="auto"/>
          <w:kern w:val="21"/>
          <w:sz w:val="28"/>
          <w:szCs w:val="28"/>
        </w:rPr>
        <w:t>9.5.1</w:t>
      </w:r>
      <w:r>
        <w:rPr>
          <w:rFonts w:eastAsia="黑体"/>
          <w:color w:val="auto"/>
          <w:kern w:val="21"/>
          <w:sz w:val="28"/>
          <w:szCs w:val="28"/>
        </w:rPr>
        <w:t>工程建成后污染物排放情况</w:t>
      </w:r>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根据工程分析，</w:t>
      </w:r>
      <w:r>
        <w:rPr>
          <w:rFonts w:hint="eastAsia"/>
          <w:color w:val="auto"/>
          <w:kern w:val="0"/>
          <w:sz w:val="24"/>
          <w:szCs w:val="20"/>
          <w:lang w:eastAsia="zh-CN"/>
        </w:rPr>
        <w:t>项目</w:t>
      </w:r>
      <w:r>
        <w:rPr>
          <w:color w:val="auto"/>
          <w:kern w:val="0"/>
          <w:sz w:val="24"/>
          <w:szCs w:val="20"/>
        </w:rPr>
        <w:t>完成后污染物</w:t>
      </w:r>
      <w:r>
        <w:rPr>
          <w:rFonts w:hint="eastAsia"/>
          <w:color w:val="auto"/>
          <w:kern w:val="0"/>
          <w:sz w:val="24"/>
          <w:szCs w:val="20"/>
          <w:lang w:eastAsia="zh-CN"/>
        </w:rPr>
        <w:t>产</w:t>
      </w:r>
      <w:r>
        <w:rPr>
          <w:color w:val="auto"/>
          <w:kern w:val="0"/>
          <w:sz w:val="24"/>
          <w:szCs w:val="20"/>
        </w:rPr>
        <w:t>排放情况见表</w:t>
      </w:r>
      <w:r>
        <w:rPr>
          <w:rFonts w:hint="eastAsia"/>
          <w:color w:val="auto"/>
          <w:kern w:val="0"/>
          <w:sz w:val="24"/>
          <w:szCs w:val="20"/>
        </w:rPr>
        <w:t>9.5-1</w:t>
      </w:r>
      <w:r>
        <w:rPr>
          <w:color w:val="auto"/>
          <w:kern w:val="0"/>
          <w:sz w:val="24"/>
          <w:szCs w:val="20"/>
        </w:rPr>
        <w:t>。</w:t>
      </w:r>
    </w:p>
    <w:p>
      <w:pPr>
        <w:widowControl w:val="0"/>
        <w:tabs>
          <w:tab w:val="center" w:pos="4575"/>
          <w:tab w:val="left" w:pos="7365"/>
        </w:tabs>
        <w:jc w:val="center"/>
        <w:rPr>
          <w:rFonts w:hint="eastAsia" w:ascii="黑体" w:hAnsi="黑体" w:eastAsia="黑体"/>
          <w:color w:val="auto"/>
          <w:sz w:val="24"/>
          <w:szCs w:val="22"/>
        </w:rPr>
      </w:pPr>
      <w:r>
        <w:rPr>
          <w:rFonts w:hint="eastAsia" w:ascii="黑体" w:hAnsi="黑体" w:eastAsia="黑体"/>
          <w:color w:val="auto"/>
          <w:sz w:val="24"/>
          <w:szCs w:val="22"/>
        </w:rPr>
        <w:t>表9.5-1       本项目</w:t>
      </w:r>
      <w:r>
        <w:rPr>
          <w:rFonts w:hint="eastAsia" w:ascii="黑体" w:hAnsi="黑体" w:eastAsia="黑体"/>
          <w:color w:val="auto"/>
          <w:sz w:val="24"/>
          <w:szCs w:val="22"/>
          <w:lang w:eastAsia="zh-CN"/>
        </w:rPr>
        <w:t>完成后</w:t>
      </w:r>
      <w:r>
        <w:rPr>
          <w:rFonts w:hint="eastAsia" w:ascii="黑体" w:hAnsi="黑体" w:eastAsia="黑体"/>
          <w:color w:val="auto"/>
          <w:sz w:val="24"/>
          <w:szCs w:val="22"/>
        </w:rPr>
        <w:t>污染物产排情况       单位：t/a</w:t>
      </w:r>
    </w:p>
    <w:tbl>
      <w:tblPr>
        <w:tblStyle w:val="83"/>
        <w:tblW w:w="86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662"/>
        <w:gridCol w:w="1634"/>
        <w:gridCol w:w="1634"/>
        <w:gridCol w:w="1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101" w:type="dxa"/>
            <w:vAlign w:val="center"/>
          </w:tcPr>
          <w:p>
            <w:pPr>
              <w:widowControl w:val="0"/>
              <w:snapToGrid w:val="0"/>
              <w:spacing w:line="240" w:lineRule="atLeast"/>
              <w:jc w:val="center"/>
              <w:rPr>
                <w:b/>
                <w:bCs/>
                <w:color w:val="auto"/>
                <w:sz w:val="21"/>
                <w:szCs w:val="21"/>
              </w:rPr>
            </w:pPr>
            <w:r>
              <w:rPr>
                <w:b/>
                <w:bCs/>
                <w:color w:val="auto"/>
                <w:sz w:val="21"/>
                <w:szCs w:val="21"/>
              </w:rPr>
              <w:t>种类</w:t>
            </w:r>
          </w:p>
        </w:tc>
        <w:tc>
          <w:tcPr>
            <w:tcW w:w="2662" w:type="dxa"/>
            <w:vAlign w:val="center"/>
          </w:tcPr>
          <w:p>
            <w:pPr>
              <w:widowControl w:val="0"/>
              <w:snapToGrid w:val="0"/>
              <w:spacing w:line="240" w:lineRule="atLeast"/>
              <w:jc w:val="center"/>
              <w:rPr>
                <w:b/>
                <w:bCs/>
                <w:color w:val="auto"/>
                <w:sz w:val="21"/>
                <w:szCs w:val="21"/>
              </w:rPr>
            </w:pPr>
            <w:r>
              <w:rPr>
                <w:b/>
                <w:bCs/>
                <w:color w:val="auto"/>
                <w:sz w:val="21"/>
                <w:szCs w:val="21"/>
              </w:rPr>
              <w:t>污染物名称</w:t>
            </w:r>
          </w:p>
        </w:tc>
        <w:tc>
          <w:tcPr>
            <w:tcW w:w="1634" w:type="dxa"/>
            <w:vAlign w:val="center"/>
          </w:tcPr>
          <w:p>
            <w:pPr>
              <w:widowControl w:val="0"/>
              <w:snapToGrid w:val="0"/>
              <w:spacing w:line="240" w:lineRule="atLeast"/>
              <w:jc w:val="center"/>
              <w:rPr>
                <w:b/>
                <w:bCs/>
                <w:color w:val="auto"/>
                <w:sz w:val="21"/>
                <w:szCs w:val="21"/>
              </w:rPr>
            </w:pPr>
            <w:r>
              <w:rPr>
                <w:b/>
                <w:bCs/>
                <w:color w:val="auto"/>
                <w:sz w:val="21"/>
                <w:szCs w:val="21"/>
              </w:rPr>
              <w:t>产生量（t/a）</w:t>
            </w:r>
          </w:p>
        </w:tc>
        <w:tc>
          <w:tcPr>
            <w:tcW w:w="1634" w:type="dxa"/>
            <w:vAlign w:val="center"/>
          </w:tcPr>
          <w:p>
            <w:pPr>
              <w:widowControl w:val="0"/>
              <w:snapToGrid w:val="0"/>
              <w:spacing w:line="240" w:lineRule="atLeast"/>
              <w:jc w:val="center"/>
              <w:rPr>
                <w:b/>
                <w:bCs/>
                <w:color w:val="auto"/>
                <w:sz w:val="21"/>
                <w:szCs w:val="21"/>
              </w:rPr>
            </w:pPr>
            <w:r>
              <w:rPr>
                <w:b/>
                <w:bCs/>
                <w:color w:val="auto"/>
                <w:sz w:val="21"/>
                <w:szCs w:val="21"/>
              </w:rPr>
              <w:t>削减量（t/a）</w:t>
            </w:r>
          </w:p>
        </w:tc>
        <w:tc>
          <w:tcPr>
            <w:tcW w:w="1632" w:type="dxa"/>
            <w:vAlign w:val="center"/>
          </w:tcPr>
          <w:p>
            <w:pPr>
              <w:widowControl w:val="0"/>
              <w:snapToGrid w:val="0"/>
              <w:spacing w:line="240" w:lineRule="atLeast"/>
              <w:jc w:val="center"/>
              <w:rPr>
                <w:b/>
                <w:bCs/>
                <w:color w:val="auto"/>
                <w:sz w:val="21"/>
                <w:szCs w:val="21"/>
              </w:rPr>
            </w:pPr>
            <w:r>
              <w:rPr>
                <w:b/>
                <w:bCs/>
                <w:color w:val="auto"/>
                <w:sz w:val="21"/>
                <w:szCs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restart"/>
            <w:vAlign w:val="center"/>
          </w:tcPr>
          <w:p>
            <w:pPr>
              <w:widowControl w:val="0"/>
              <w:snapToGrid w:val="0"/>
              <w:spacing w:line="240" w:lineRule="atLeast"/>
              <w:jc w:val="center"/>
              <w:rPr>
                <w:color w:val="auto"/>
                <w:sz w:val="21"/>
                <w:szCs w:val="21"/>
              </w:rPr>
            </w:pPr>
            <w:r>
              <w:rPr>
                <w:color w:val="auto"/>
                <w:sz w:val="21"/>
                <w:szCs w:val="21"/>
              </w:rPr>
              <w:t>废气</w:t>
            </w:r>
          </w:p>
        </w:tc>
        <w:tc>
          <w:tcPr>
            <w:tcW w:w="2662" w:type="dxa"/>
            <w:vAlign w:val="center"/>
          </w:tcPr>
          <w:p>
            <w:pPr>
              <w:widowControl w:val="0"/>
              <w:snapToGrid w:val="0"/>
              <w:spacing w:line="240" w:lineRule="atLeast"/>
              <w:jc w:val="center"/>
              <w:rPr>
                <w:color w:val="auto"/>
                <w:sz w:val="21"/>
                <w:szCs w:val="21"/>
              </w:rPr>
            </w:pPr>
            <w:r>
              <w:rPr>
                <w:rFonts w:hint="eastAsia"/>
                <w:color w:val="auto"/>
                <w:sz w:val="21"/>
                <w:szCs w:val="21"/>
              </w:rPr>
              <w:t>NH</w:t>
            </w:r>
            <w:r>
              <w:rPr>
                <w:rFonts w:hint="eastAsia"/>
                <w:color w:val="auto"/>
                <w:sz w:val="21"/>
                <w:szCs w:val="21"/>
                <w:vertAlign w:val="subscript"/>
              </w:rPr>
              <w:t>3</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2.827</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2.262</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snapToGrid w:val="0"/>
              <w:spacing w:line="240" w:lineRule="atLeast"/>
              <w:jc w:val="center"/>
              <w:rPr>
                <w:color w:val="auto"/>
                <w:sz w:val="21"/>
                <w:szCs w:val="21"/>
              </w:rPr>
            </w:pPr>
            <w:r>
              <w:rPr>
                <w:rFonts w:hint="eastAsia"/>
                <w:color w:val="auto"/>
                <w:sz w:val="21"/>
                <w:szCs w:val="21"/>
              </w:rPr>
              <w:t>H</w:t>
            </w:r>
            <w:r>
              <w:rPr>
                <w:rFonts w:hint="eastAsia"/>
                <w:color w:val="auto"/>
                <w:sz w:val="21"/>
                <w:szCs w:val="21"/>
                <w:vertAlign w:val="subscript"/>
              </w:rPr>
              <w:t>2</w:t>
            </w:r>
            <w:r>
              <w:rPr>
                <w:rFonts w:hint="eastAsia"/>
                <w:color w:val="auto"/>
                <w:sz w:val="21"/>
                <w:szCs w:val="21"/>
              </w:rPr>
              <w:t>S</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4.768</w:t>
            </w:r>
            <w:r>
              <w:rPr>
                <w:color w:val="auto"/>
                <w:sz w:val="21"/>
                <w:szCs w:val="21"/>
              </w:rPr>
              <w:t>×10</w:t>
            </w:r>
            <w:r>
              <w:rPr>
                <w:color w:val="auto"/>
                <w:sz w:val="21"/>
                <w:szCs w:val="21"/>
                <w:vertAlign w:val="superscript"/>
              </w:rPr>
              <w:t>-</w:t>
            </w:r>
            <w:r>
              <w:rPr>
                <w:rFonts w:hint="eastAsia"/>
                <w:color w:val="auto"/>
                <w:sz w:val="21"/>
                <w:szCs w:val="21"/>
                <w:vertAlign w:val="superscript"/>
              </w:rPr>
              <w:t>3</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0.715</w:t>
            </w:r>
            <w:r>
              <w:rPr>
                <w:color w:val="auto"/>
                <w:sz w:val="21"/>
                <w:szCs w:val="21"/>
              </w:rPr>
              <w:t>×10</w:t>
            </w:r>
            <w:r>
              <w:rPr>
                <w:color w:val="auto"/>
                <w:sz w:val="21"/>
                <w:szCs w:val="21"/>
                <w:vertAlign w:val="superscript"/>
              </w:rPr>
              <w:t>-</w:t>
            </w:r>
            <w:r>
              <w:rPr>
                <w:rFonts w:hint="eastAsia"/>
                <w:color w:val="auto"/>
                <w:sz w:val="21"/>
                <w:szCs w:val="21"/>
                <w:vertAlign w:val="superscript"/>
              </w:rPr>
              <w:t>3</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4.05</w:t>
            </w:r>
            <w:r>
              <w:rPr>
                <w:rFonts w:hint="eastAsia"/>
                <w:color w:val="auto"/>
                <w:sz w:val="21"/>
                <w:szCs w:val="21"/>
                <w:lang w:val="en-US" w:eastAsia="zh-CN"/>
              </w:rPr>
              <w:t>3</w:t>
            </w:r>
            <w:r>
              <w:rPr>
                <w:color w:val="auto"/>
                <w:sz w:val="21"/>
                <w:szCs w:val="21"/>
              </w:rPr>
              <w:t>×10</w:t>
            </w:r>
            <w:r>
              <w:rPr>
                <w:color w:val="auto"/>
                <w:sz w:val="21"/>
                <w:szCs w:val="21"/>
                <w:vertAlign w:val="superscript"/>
              </w:rPr>
              <w:t>-</w:t>
            </w:r>
            <w:r>
              <w:rPr>
                <w:rFonts w:hint="eastAsia"/>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snapToGrid w:val="0"/>
              <w:spacing w:line="240" w:lineRule="atLeast"/>
              <w:jc w:val="center"/>
              <w:rPr>
                <w:color w:val="auto"/>
                <w:sz w:val="21"/>
                <w:szCs w:val="21"/>
              </w:rPr>
            </w:pPr>
            <w:r>
              <w:rPr>
                <w:rFonts w:hint="eastAsia"/>
                <w:color w:val="auto"/>
                <w:sz w:val="21"/>
                <w:szCs w:val="21"/>
              </w:rPr>
              <w:t>HCl</w:t>
            </w:r>
          </w:p>
        </w:tc>
        <w:tc>
          <w:tcPr>
            <w:tcW w:w="1634" w:type="dxa"/>
            <w:vAlign w:val="center"/>
          </w:tcPr>
          <w:p>
            <w:pPr>
              <w:widowControl w:val="0"/>
              <w:snapToGrid w:val="0"/>
              <w:spacing w:line="240" w:lineRule="atLeast"/>
              <w:jc w:val="center"/>
              <w:rPr>
                <w:rFonts w:hint="eastAsia" w:eastAsia="宋体"/>
                <w:color w:val="auto"/>
                <w:sz w:val="21"/>
                <w:szCs w:val="21"/>
                <w:lang w:val="en-US" w:eastAsia="zh-CN"/>
              </w:rPr>
            </w:pPr>
            <w:r>
              <w:rPr>
                <w:rFonts w:hint="eastAsia"/>
                <w:color w:val="auto"/>
                <w:sz w:val="21"/>
                <w:szCs w:val="21"/>
              </w:rPr>
              <w:t>5.36</w:t>
            </w:r>
            <w:r>
              <w:rPr>
                <w:rFonts w:hint="eastAsia"/>
                <w:color w:val="auto"/>
                <w:sz w:val="21"/>
                <w:szCs w:val="21"/>
                <w:lang w:val="en-US" w:eastAsia="zh-CN"/>
              </w:rPr>
              <w:t>2</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color w:val="auto"/>
                <w:sz w:val="21"/>
                <w:szCs w:val="21"/>
              </w:rPr>
              <w:t>4.8</w:t>
            </w:r>
            <w:r>
              <w:rPr>
                <w:rFonts w:hint="eastAsia"/>
                <w:color w:val="auto"/>
                <w:sz w:val="21"/>
                <w:szCs w:val="21"/>
                <w:lang w:val="en-US" w:eastAsia="zh-CN"/>
              </w:rPr>
              <w:t>40</w:t>
            </w:r>
          </w:p>
        </w:tc>
        <w:tc>
          <w:tcPr>
            <w:tcW w:w="1632" w:type="dxa"/>
            <w:vAlign w:val="center"/>
          </w:tcPr>
          <w:p>
            <w:pPr>
              <w:widowControl w:val="0"/>
              <w:snapToGrid w:val="0"/>
              <w:spacing w:line="240" w:lineRule="atLeast"/>
              <w:jc w:val="center"/>
              <w:rPr>
                <w:rFonts w:hint="eastAsia" w:eastAsia="宋体"/>
                <w:color w:val="auto"/>
                <w:sz w:val="21"/>
                <w:szCs w:val="21"/>
                <w:lang w:val="en-US" w:eastAsia="zh-CN"/>
              </w:rPr>
            </w:pPr>
            <w:r>
              <w:rPr>
                <w:rFonts w:hint="eastAsia"/>
                <w:color w:val="auto"/>
                <w:sz w:val="21"/>
                <w:szCs w:val="21"/>
              </w:rPr>
              <w:t>0.52</w:t>
            </w:r>
            <w:r>
              <w:rPr>
                <w:rFonts w:hint="eastAsia"/>
                <w:color w:val="auto"/>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snapToGrid w:val="0"/>
              <w:spacing w:line="240" w:lineRule="atLeast"/>
              <w:jc w:val="center"/>
              <w:rPr>
                <w:b/>
                <w:bCs/>
                <w:color w:val="auto"/>
                <w:sz w:val="21"/>
                <w:szCs w:val="21"/>
                <w:u w:val="single"/>
              </w:rPr>
            </w:pPr>
            <w:r>
              <w:rPr>
                <w:b/>
                <w:bCs/>
                <w:color w:val="auto"/>
                <w:sz w:val="21"/>
                <w:szCs w:val="21"/>
                <w:u w:val="single"/>
              </w:rPr>
              <w:t>颗粒物</w:t>
            </w:r>
          </w:p>
        </w:tc>
        <w:tc>
          <w:tcPr>
            <w:tcW w:w="1634"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1.849</w:t>
            </w:r>
          </w:p>
        </w:tc>
        <w:tc>
          <w:tcPr>
            <w:tcW w:w="1634" w:type="dxa"/>
            <w:vAlign w:val="center"/>
          </w:tcPr>
          <w:p>
            <w:pPr>
              <w:widowControl w:val="0"/>
              <w:snapToGrid w:val="0"/>
              <w:spacing w:line="240" w:lineRule="atLeast"/>
              <w:jc w:val="center"/>
              <w:rPr>
                <w:rFonts w:hint="eastAsia" w:eastAsia="宋体"/>
                <w:b/>
                <w:bCs/>
                <w:color w:val="auto"/>
                <w:sz w:val="21"/>
                <w:szCs w:val="21"/>
                <w:u w:val="single"/>
                <w:lang w:val="en-US" w:eastAsia="zh-CN"/>
              </w:rPr>
            </w:pPr>
            <w:r>
              <w:rPr>
                <w:rFonts w:hint="eastAsia"/>
                <w:b/>
                <w:bCs/>
                <w:color w:val="auto"/>
                <w:sz w:val="21"/>
                <w:szCs w:val="21"/>
                <w:u w:val="single"/>
              </w:rPr>
              <w:t>1.38</w:t>
            </w:r>
            <w:r>
              <w:rPr>
                <w:rFonts w:hint="eastAsia"/>
                <w:b/>
                <w:bCs/>
                <w:color w:val="auto"/>
                <w:sz w:val="21"/>
                <w:szCs w:val="21"/>
                <w:u w:val="single"/>
                <w:lang w:val="en-US" w:eastAsia="zh-CN"/>
              </w:rPr>
              <w:t>9</w:t>
            </w:r>
          </w:p>
        </w:tc>
        <w:tc>
          <w:tcPr>
            <w:tcW w:w="1632"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rPr>
              <w:t>0.</w:t>
            </w:r>
            <w:r>
              <w:rPr>
                <w:rFonts w:hint="eastAsia"/>
                <w:b/>
                <w:bCs/>
                <w:color w:val="auto"/>
                <w:sz w:val="21"/>
                <w:szCs w:val="21"/>
                <w:u w:val="single"/>
                <w:lang w:val="en-US" w:eastAsia="zh-CN"/>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jc w:val="center"/>
              <w:rPr>
                <w:color w:val="auto"/>
                <w:sz w:val="21"/>
                <w:szCs w:val="21"/>
              </w:rPr>
            </w:pPr>
            <w:r>
              <w:rPr>
                <w:rFonts w:hint="eastAsia"/>
                <w:color w:val="auto"/>
                <w:sz w:val="21"/>
                <w:szCs w:val="21"/>
              </w:rPr>
              <w:t>SO</w:t>
            </w:r>
            <w:r>
              <w:rPr>
                <w:rFonts w:hint="eastAsia"/>
                <w:color w:val="auto"/>
                <w:sz w:val="21"/>
                <w:szCs w:val="21"/>
                <w:vertAlign w:val="subscript"/>
              </w:rPr>
              <w:t>2</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0.435</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0.435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jc w:val="center"/>
              <w:rPr>
                <w:color w:val="auto"/>
                <w:sz w:val="21"/>
                <w:szCs w:val="21"/>
              </w:rPr>
            </w:pPr>
            <w:r>
              <w:rPr>
                <w:rFonts w:hint="eastAsia"/>
                <w:color w:val="auto"/>
                <w:sz w:val="21"/>
                <w:szCs w:val="21"/>
              </w:rPr>
              <w:t>NOx</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1.316</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1.316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restart"/>
            <w:vAlign w:val="center"/>
          </w:tcPr>
          <w:p>
            <w:pPr>
              <w:widowControl w:val="0"/>
              <w:snapToGrid w:val="0"/>
              <w:spacing w:line="240" w:lineRule="atLeast"/>
              <w:jc w:val="center"/>
              <w:rPr>
                <w:color w:val="auto"/>
                <w:sz w:val="21"/>
                <w:szCs w:val="21"/>
              </w:rPr>
            </w:pPr>
            <w:r>
              <w:rPr>
                <w:color w:val="auto"/>
                <w:sz w:val="21"/>
                <w:szCs w:val="21"/>
              </w:rPr>
              <w:t>废水</w:t>
            </w: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水量</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13037.079</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13037.079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COD</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b/>
                <w:bCs/>
                <w:color w:val="auto"/>
                <w:sz w:val="21"/>
                <w:szCs w:val="21"/>
                <w:u w:val="single"/>
                <w:lang w:val="en-US" w:eastAsia="zh-CN"/>
              </w:rPr>
              <w:t>1.004</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b/>
                <w:bCs/>
                <w:color w:val="auto"/>
                <w:sz w:val="21"/>
                <w:szCs w:val="21"/>
                <w:u w:val="single"/>
                <w:lang w:val="en-US" w:eastAsia="zh-CN"/>
              </w:rPr>
              <w:t>0.08</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0.924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8"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氨氮</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0.045</w:t>
            </w:r>
          </w:p>
        </w:tc>
        <w:tc>
          <w:tcPr>
            <w:tcW w:w="1634" w:type="dxa"/>
            <w:vAlign w:val="center"/>
          </w:tcPr>
          <w:p>
            <w:pPr>
              <w:widowControl w:val="0"/>
              <w:snapToGrid w:val="0"/>
              <w:spacing w:line="240" w:lineRule="atLeast"/>
              <w:jc w:val="center"/>
              <w:rPr>
                <w:rFonts w:hint="eastAsia" w:eastAsia="宋体"/>
                <w:color w:val="auto"/>
                <w:sz w:val="21"/>
                <w:szCs w:val="21"/>
                <w:lang w:eastAsia="zh-CN"/>
              </w:rPr>
            </w:pPr>
            <w:r>
              <w:rPr>
                <w:rFonts w:hint="eastAsia"/>
                <w:color w:val="auto"/>
                <w:sz w:val="21"/>
                <w:szCs w:val="21"/>
                <w:lang w:val="en-US" w:eastAsia="zh-CN"/>
              </w:rPr>
              <w:t>0</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TP</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0.004</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color w:val="auto"/>
                <w:sz w:val="21"/>
                <w:szCs w:val="21"/>
                <w:lang w:val="en-US" w:eastAsia="zh-CN"/>
              </w:rPr>
              <w:t>0</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TN</w:t>
            </w:r>
          </w:p>
        </w:tc>
        <w:tc>
          <w:tcPr>
            <w:tcW w:w="1634" w:type="dxa"/>
            <w:vAlign w:val="center"/>
          </w:tcPr>
          <w:p>
            <w:pPr>
              <w:widowControl w:val="0"/>
              <w:snapToGrid w:val="0"/>
              <w:spacing w:line="240" w:lineRule="atLeast"/>
              <w:jc w:val="center"/>
              <w:rPr>
                <w:color w:val="auto"/>
                <w:sz w:val="21"/>
                <w:szCs w:val="21"/>
              </w:rPr>
            </w:pPr>
            <w:r>
              <w:rPr>
                <w:rFonts w:hint="eastAsia"/>
                <w:color w:val="auto"/>
                <w:sz w:val="21"/>
                <w:szCs w:val="21"/>
              </w:rPr>
              <w:t>0.071</w:t>
            </w:r>
          </w:p>
        </w:tc>
        <w:tc>
          <w:tcPr>
            <w:tcW w:w="1634" w:type="dxa"/>
            <w:vAlign w:val="center"/>
          </w:tcPr>
          <w:p>
            <w:pPr>
              <w:widowControl w:val="0"/>
              <w:snapToGrid w:val="0"/>
              <w:spacing w:line="240" w:lineRule="atLeast"/>
              <w:jc w:val="center"/>
              <w:rPr>
                <w:rFonts w:hint="default" w:eastAsia="宋体"/>
                <w:color w:val="auto"/>
                <w:sz w:val="21"/>
                <w:szCs w:val="21"/>
                <w:lang w:val="en-US" w:eastAsia="zh-CN"/>
              </w:rPr>
            </w:pPr>
            <w:r>
              <w:rPr>
                <w:rFonts w:hint="eastAsia"/>
                <w:color w:val="auto"/>
                <w:sz w:val="21"/>
                <w:szCs w:val="21"/>
                <w:lang w:val="en-US" w:eastAsia="zh-CN"/>
              </w:rPr>
              <w:t>0</w:t>
            </w:r>
          </w:p>
        </w:tc>
        <w:tc>
          <w:tcPr>
            <w:tcW w:w="1632" w:type="dxa"/>
            <w:vAlign w:val="center"/>
          </w:tcPr>
          <w:p>
            <w:pPr>
              <w:widowControl w:val="0"/>
              <w:snapToGrid w:val="0"/>
              <w:spacing w:line="240" w:lineRule="atLeast"/>
              <w:jc w:val="center"/>
              <w:rPr>
                <w:color w:val="auto"/>
                <w:sz w:val="21"/>
                <w:szCs w:val="21"/>
              </w:rPr>
            </w:pPr>
            <w:r>
              <w:rPr>
                <w:rFonts w:hint="eastAsia"/>
                <w:color w:val="auto"/>
                <w:sz w:val="21"/>
                <w:szCs w:val="21"/>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pStyle w:val="33"/>
              <w:adjustRightInd w:val="0"/>
              <w:snapToGrid w:val="0"/>
              <w:spacing w:after="0"/>
              <w:ind w:left="0" w:leftChars="0"/>
              <w:jc w:val="center"/>
              <w:rPr>
                <w:color w:val="auto"/>
                <w:sz w:val="21"/>
                <w:szCs w:val="21"/>
              </w:rPr>
            </w:pPr>
            <w:r>
              <w:rPr>
                <w:rFonts w:hint="eastAsia"/>
                <w:color w:val="auto"/>
                <w:sz w:val="21"/>
                <w:szCs w:val="21"/>
              </w:rPr>
              <w:t>SS</w:t>
            </w:r>
          </w:p>
        </w:tc>
        <w:tc>
          <w:tcPr>
            <w:tcW w:w="1634"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0.955</w:t>
            </w:r>
          </w:p>
        </w:tc>
        <w:tc>
          <w:tcPr>
            <w:tcW w:w="1634"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0.118</w:t>
            </w:r>
          </w:p>
        </w:tc>
        <w:tc>
          <w:tcPr>
            <w:tcW w:w="1632" w:type="dxa"/>
            <w:vAlign w:val="center"/>
          </w:tcPr>
          <w:p>
            <w:pPr>
              <w:widowControl w:val="0"/>
              <w:snapToGrid w:val="0"/>
              <w:spacing w:line="240" w:lineRule="atLeast"/>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0.837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6" w:hRule="atLeast"/>
          <w:jc w:val="center"/>
        </w:trPr>
        <w:tc>
          <w:tcPr>
            <w:tcW w:w="1101" w:type="dxa"/>
            <w:vMerge w:val="restart"/>
            <w:vAlign w:val="center"/>
          </w:tcPr>
          <w:p>
            <w:pPr>
              <w:widowControl w:val="0"/>
              <w:snapToGrid w:val="0"/>
              <w:spacing w:line="240" w:lineRule="atLeast"/>
              <w:jc w:val="center"/>
              <w:rPr>
                <w:color w:val="auto"/>
                <w:sz w:val="21"/>
                <w:szCs w:val="21"/>
              </w:rPr>
            </w:pPr>
            <w:r>
              <w:rPr>
                <w:color w:val="auto"/>
                <w:sz w:val="21"/>
                <w:szCs w:val="21"/>
              </w:rPr>
              <w:t>固废</w:t>
            </w:r>
          </w:p>
        </w:tc>
        <w:tc>
          <w:tcPr>
            <w:tcW w:w="2662" w:type="dxa"/>
            <w:vAlign w:val="center"/>
          </w:tcPr>
          <w:p>
            <w:pPr>
              <w:widowControl w:val="0"/>
              <w:autoSpaceDE w:val="0"/>
              <w:autoSpaceDN w:val="0"/>
              <w:adjustRightInd w:val="0"/>
              <w:snapToGrid w:val="0"/>
              <w:spacing w:line="240" w:lineRule="atLeast"/>
              <w:jc w:val="center"/>
              <w:rPr>
                <w:b/>
                <w:bCs/>
                <w:color w:val="auto"/>
                <w:sz w:val="21"/>
                <w:szCs w:val="21"/>
                <w:u w:val="single"/>
              </w:rPr>
            </w:pPr>
            <w:r>
              <w:rPr>
                <w:b/>
                <w:bCs/>
                <w:color w:val="auto"/>
                <w:sz w:val="21"/>
                <w:szCs w:val="21"/>
                <w:u w:val="single"/>
              </w:rPr>
              <w:t>一般固废</w:t>
            </w:r>
          </w:p>
        </w:tc>
        <w:tc>
          <w:tcPr>
            <w:tcW w:w="1634" w:type="dxa"/>
            <w:vAlign w:val="center"/>
          </w:tcPr>
          <w:p>
            <w:pPr>
              <w:widowControl w:val="0"/>
              <w:jc w:val="center"/>
              <w:rPr>
                <w:rFonts w:hint="eastAsia" w:eastAsia="宋体"/>
                <w:b/>
                <w:bCs/>
                <w:color w:val="auto"/>
                <w:sz w:val="21"/>
                <w:szCs w:val="21"/>
                <w:u w:val="single"/>
                <w:lang w:val="en-US" w:eastAsia="zh-CN"/>
              </w:rPr>
            </w:pPr>
            <w:r>
              <w:rPr>
                <w:rFonts w:hint="eastAsia"/>
                <w:b/>
                <w:bCs/>
                <w:color w:val="auto"/>
                <w:sz w:val="21"/>
                <w:szCs w:val="21"/>
                <w:u w:val="single"/>
              </w:rPr>
              <w:t>11335.94</w:t>
            </w:r>
            <w:r>
              <w:rPr>
                <w:rFonts w:hint="eastAsia"/>
                <w:b/>
                <w:bCs/>
                <w:color w:val="auto"/>
                <w:sz w:val="21"/>
                <w:szCs w:val="21"/>
                <w:u w:val="single"/>
                <w:lang w:val="en-US" w:eastAsia="zh-CN"/>
              </w:rPr>
              <w:t>9</w:t>
            </w:r>
          </w:p>
        </w:tc>
        <w:tc>
          <w:tcPr>
            <w:tcW w:w="1634" w:type="dxa"/>
            <w:vAlign w:val="center"/>
          </w:tcPr>
          <w:p>
            <w:pPr>
              <w:widowControl w:val="0"/>
              <w:jc w:val="center"/>
              <w:rPr>
                <w:rFonts w:hint="eastAsia" w:eastAsia="宋体"/>
                <w:b/>
                <w:bCs/>
                <w:color w:val="auto"/>
                <w:sz w:val="21"/>
                <w:szCs w:val="21"/>
                <w:u w:val="single"/>
                <w:lang w:val="en-US" w:eastAsia="zh-CN"/>
              </w:rPr>
            </w:pPr>
            <w:r>
              <w:rPr>
                <w:rFonts w:hint="eastAsia"/>
                <w:b/>
                <w:bCs/>
                <w:color w:val="auto"/>
                <w:sz w:val="21"/>
                <w:szCs w:val="21"/>
                <w:u w:val="single"/>
              </w:rPr>
              <w:t>11335.94</w:t>
            </w:r>
            <w:r>
              <w:rPr>
                <w:rFonts w:hint="eastAsia"/>
                <w:b/>
                <w:bCs/>
                <w:color w:val="auto"/>
                <w:sz w:val="21"/>
                <w:szCs w:val="21"/>
                <w:u w:val="single"/>
                <w:lang w:val="en-US" w:eastAsia="zh-CN"/>
              </w:rPr>
              <w:t>9</w:t>
            </w:r>
          </w:p>
        </w:tc>
        <w:tc>
          <w:tcPr>
            <w:tcW w:w="1632" w:type="dxa"/>
            <w:vAlign w:val="center"/>
          </w:tcPr>
          <w:p>
            <w:pPr>
              <w:widowControl w:val="0"/>
              <w:jc w:val="center"/>
              <w:rPr>
                <w:b/>
                <w:bCs/>
                <w:color w:val="auto"/>
                <w:sz w:val="21"/>
                <w:szCs w:val="21"/>
                <w:u w:val="single"/>
              </w:rPr>
            </w:pPr>
            <w:r>
              <w:rPr>
                <w:rFonts w:hint="eastAsia"/>
                <w:b/>
                <w:bCs/>
                <w:color w:val="auto"/>
                <w:sz w:val="21"/>
                <w:szCs w:val="21"/>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1101" w:type="dxa"/>
            <w:vMerge w:val="continue"/>
            <w:vAlign w:val="center"/>
          </w:tcPr>
          <w:p>
            <w:pPr>
              <w:widowControl w:val="0"/>
              <w:snapToGrid w:val="0"/>
              <w:spacing w:line="240" w:lineRule="atLeast"/>
              <w:jc w:val="center"/>
              <w:rPr>
                <w:color w:val="auto"/>
                <w:sz w:val="21"/>
                <w:szCs w:val="21"/>
              </w:rPr>
            </w:pPr>
          </w:p>
        </w:tc>
        <w:tc>
          <w:tcPr>
            <w:tcW w:w="2662" w:type="dxa"/>
            <w:vAlign w:val="center"/>
          </w:tcPr>
          <w:p>
            <w:pPr>
              <w:widowControl w:val="0"/>
              <w:autoSpaceDE w:val="0"/>
              <w:autoSpaceDN w:val="0"/>
              <w:adjustRightInd w:val="0"/>
              <w:snapToGrid w:val="0"/>
              <w:spacing w:line="240" w:lineRule="atLeast"/>
              <w:jc w:val="center"/>
              <w:rPr>
                <w:color w:val="auto"/>
                <w:sz w:val="21"/>
                <w:szCs w:val="21"/>
              </w:rPr>
            </w:pPr>
            <w:r>
              <w:rPr>
                <w:color w:val="auto"/>
                <w:sz w:val="21"/>
                <w:szCs w:val="21"/>
              </w:rPr>
              <w:t>危险废物</w:t>
            </w:r>
          </w:p>
        </w:tc>
        <w:tc>
          <w:tcPr>
            <w:tcW w:w="1634" w:type="dxa"/>
            <w:vAlign w:val="center"/>
          </w:tcPr>
          <w:p>
            <w:pPr>
              <w:widowControl w:val="0"/>
              <w:jc w:val="center"/>
              <w:rPr>
                <w:bCs/>
                <w:color w:val="auto"/>
                <w:sz w:val="21"/>
                <w:szCs w:val="21"/>
              </w:rPr>
            </w:pPr>
            <w:r>
              <w:rPr>
                <w:rFonts w:hint="eastAsia"/>
                <w:bCs/>
                <w:color w:val="auto"/>
                <w:sz w:val="21"/>
                <w:szCs w:val="21"/>
              </w:rPr>
              <w:t>425.5469</w:t>
            </w:r>
          </w:p>
        </w:tc>
        <w:tc>
          <w:tcPr>
            <w:tcW w:w="1634" w:type="dxa"/>
            <w:vAlign w:val="center"/>
          </w:tcPr>
          <w:p>
            <w:pPr>
              <w:widowControl w:val="0"/>
              <w:jc w:val="center"/>
              <w:rPr>
                <w:bCs/>
                <w:color w:val="auto"/>
                <w:sz w:val="21"/>
                <w:szCs w:val="21"/>
              </w:rPr>
            </w:pPr>
            <w:r>
              <w:rPr>
                <w:rFonts w:hint="eastAsia"/>
                <w:bCs/>
                <w:color w:val="auto"/>
                <w:sz w:val="21"/>
                <w:szCs w:val="21"/>
              </w:rPr>
              <w:t>425.5469</w:t>
            </w:r>
          </w:p>
        </w:tc>
        <w:tc>
          <w:tcPr>
            <w:tcW w:w="1632" w:type="dxa"/>
            <w:vAlign w:val="center"/>
          </w:tcPr>
          <w:p>
            <w:pPr>
              <w:widowControl w:val="0"/>
              <w:jc w:val="center"/>
              <w:rPr>
                <w:bCs/>
                <w:color w:val="auto"/>
                <w:sz w:val="21"/>
                <w:szCs w:val="21"/>
              </w:rPr>
            </w:pPr>
            <w:r>
              <w:rPr>
                <w:rFonts w:hint="eastAsia"/>
                <w:bCs/>
                <w:color w:val="auto"/>
                <w:sz w:val="21"/>
                <w:szCs w:val="21"/>
              </w:rPr>
              <w:t>0</w:t>
            </w:r>
          </w:p>
        </w:tc>
      </w:tr>
    </w:tbl>
    <w:p>
      <w:pPr>
        <w:keepNext w:val="0"/>
        <w:keepLines w:val="0"/>
        <w:pageBreakBefore w:val="0"/>
        <w:widowControl/>
        <w:kinsoku/>
        <w:wordWrap/>
        <w:overflowPunct/>
        <w:topLinePunct w:val="0"/>
        <w:autoSpaceDE/>
        <w:autoSpaceDN/>
        <w:bidi w:val="0"/>
        <w:adjustRightInd w:val="0"/>
        <w:snapToGrid w:val="0"/>
        <w:spacing w:before="161" w:beforeLines="50" w:line="360" w:lineRule="auto"/>
        <w:textAlignment w:val="auto"/>
        <w:outlineLvl w:val="2"/>
        <w:rPr>
          <w:rFonts w:eastAsia="黑体"/>
          <w:color w:val="auto"/>
          <w:kern w:val="21"/>
          <w:sz w:val="28"/>
          <w:szCs w:val="28"/>
        </w:rPr>
      </w:pPr>
      <w:r>
        <w:rPr>
          <w:rFonts w:hint="eastAsia" w:eastAsia="黑体"/>
          <w:color w:val="auto"/>
          <w:kern w:val="21"/>
          <w:sz w:val="28"/>
          <w:szCs w:val="28"/>
        </w:rPr>
        <w:t>9.5.2</w:t>
      </w:r>
      <w:r>
        <w:rPr>
          <w:rFonts w:eastAsia="黑体"/>
          <w:color w:val="auto"/>
          <w:kern w:val="21"/>
          <w:sz w:val="28"/>
          <w:szCs w:val="28"/>
        </w:rPr>
        <w:t>工程污染物排放总量控制建议指标</w:t>
      </w:r>
    </w:p>
    <w:p>
      <w:pPr>
        <w:pStyle w:val="496"/>
        <w:keepNext w:val="0"/>
        <w:keepLines w:val="0"/>
        <w:pageBreakBefore w:val="0"/>
        <w:widowControl w:val="0"/>
        <w:shd w:val="clear" w:color="auto" w:fill="auto"/>
        <w:kinsoku/>
        <w:wordWrap/>
        <w:overflowPunct/>
        <w:topLinePunct w:val="0"/>
        <w:autoSpaceDE/>
        <w:autoSpaceDN/>
        <w:bidi w:val="0"/>
        <w:adjustRightInd/>
        <w:snapToGrid/>
        <w:spacing w:line="360" w:lineRule="auto"/>
        <w:ind w:left="0" w:right="0" w:firstLine="482" w:firstLineChars="200"/>
        <w:jc w:val="both"/>
        <w:textAlignment w:val="auto"/>
        <w:rPr>
          <w:rFonts w:hint="eastAsia" w:ascii="Times New Roman" w:hAnsi="Times New Roman" w:cs="Times New Roman"/>
          <w:b/>
          <w:bCs/>
          <w:color w:val="auto"/>
          <w:spacing w:val="0"/>
          <w:w w:val="100"/>
          <w:position w:val="0"/>
          <w:sz w:val="24"/>
          <w:szCs w:val="24"/>
          <w:u w:val="single"/>
          <w:lang w:val="en-US" w:eastAsia="zh-CN" w:bidi="en-US"/>
        </w:rPr>
      </w:pPr>
      <w:bookmarkStart w:id="451" w:name="_Toc112338984"/>
      <w:r>
        <w:rPr>
          <w:rFonts w:hint="eastAsia" w:ascii="Times New Roman" w:hAnsi="Times New Roman" w:cs="Times New Roman"/>
          <w:b/>
          <w:bCs/>
          <w:color w:val="auto"/>
          <w:spacing w:val="0"/>
          <w:w w:val="100"/>
          <w:position w:val="0"/>
          <w:sz w:val="24"/>
          <w:szCs w:val="24"/>
          <w:u w:val="single"/>
          <w:lang w:val="en-US" w:eastAsia="zh-CN" w:bidi="en-US"/>
        </w:rPr>
        <w:t>本项目</w:t>
      </w:r>
      <w:r>
        <w:rPr>
          <w:rFonts w:hint="default" w:ascii="Times New Roman" w:hAnsi="Times New Roman" w:cs="Times New Roman"/>
          <w:b/>
          <w:bCs/>
          <w:color w:val="auto"/>
          <w:spacing w:val="0"/>
          <w:w w:val="100"/>
          <w:position w:val="0"/>
          <w:sz w:val="24"/>
          <w:szCs w:val="24"/>
          <w:u w:val="single"/>
          <w:lang w:val="en-US" w:eastAsia="zh-CN" w:bidi="en-US"/>
        </w:rPr>
        <w:t>新增主要污染物总量指标为：</w:t>
      </w:r>
      <w:r>
        <w:rPr>
          <w:rFonts w:hint="default" w:ascii="Times New Roman" w:hAnsi="Times New Roman"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0.391</w:t>
      </w:r>
      <w:r>
        <w:rPr>
          <w:rFonts w:hint="default" w:ascii="Times New Roman" w:hAnsi="Times New Roman" w:cs="Times New Roman"/>
          <w:b/>
          <w:bCs/>
          <w:color w:val="auto"/>
          <w:spacing w:val="0"/>
          <w:w w:val="100"/>
          <w:position w:val="0"/>
          <w:sz w:val="24"/>
          <w:szCs w:val="24"/>
          <w:u w:val="single"/>
          <w:lang w:val="en-US" w:eastAsia="en-US" w:bidi="en-US"/>
        </w:rPr>
        <w:t>t/a</w:t>
      </w:r>
      <w:r>
        <w:rPr>
          <w:rFonts w:hint="default" w:ascii="Times New Roman" w:hAnsi="Times New Roman" w:cs="Times New Roman"/>
          <w:b/>
          <w:bCs/>
          <w:color w:val="auto"/>
          <w:spacing w:val="0"/>
          <w:w w:val="100"/>
          <w:position w:val="0"/>
          <w:sz w:val="24"/>
          <w:szCs w:val="24"/>
          <w:u w:val="single"/>
          <w:lang w:val="en-US" w:eastAsia="zh-CN" w:bidi="en-US"/>
        </w:rPr>
        <w:t>、氨氮</w:t>
      </w:r>
      <w:r>
        <w:rPr>
          <w:rFonts w:hint="eastAsia" w:ascii="Times New Roman" w:hAnsi="Times New Roman" w:cs="Times New Roman"/>
          <w:b/>
          <w:bCs/>
          <w:color w:val="auto"/>
          <w:spacing w:val="0"/>
          <w:w w:val="100"/>
          <w:position w:val="0"/>
          <w:sz w:val="24"/>
          <w:szCs w:val="24"/>
          <w:u w:val="single"/>
          <w:lang w:val="en-US" w:eastAsia="zh-CN" w:bidi="en-US"/>
        </w:rPr>
        <w:t>0.020</w:t>
      </w:r>
      <w:r>
        <w:rPr>
          <w:rFonts w:hint="default" w:ascii="Times New Roman" w:hAnsi="Times New Roman"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w:t>
      </w:r>
      <w:r>
        <w:rPr>
          <w:rFonts w:hint="eastAsia" w:ascii="Times New Roman" w:hAnsi="Times New Roman" w:cs="Times New Roman"/>
          <w:b/>
          <w:bCs/>
          <w:color w:val="auto"/>
          <w:spacing w:val="0"/>
          <w:w w:val="100"/>
          <w:position w:val="0"/>
          <w:sz w:val="24"/>
          <w:szCs w:val="24"/>
          <w:u w:val="single"/>
          <w:lang w:val="en-US" w:eastAsia="zh-CN" w:bidi="en-US"/>
        </w:rPr>
        <w:tab/>
      </w:r>
      <w:r>
        <w:rPr>
          <w:rFonts w:hint="eastAsia" w:ascii="Times New Roman" w:hAnsi="Times New Roman" w:cs="Times New Roman"/>
          <w:b/>
          <w:bCs/>
          <w:color w:val="auto"/>
          <w:spacing w:val="0"/>
          <w:w w:val="100"/>
          <w:position w:val="0"/>
          <w:sz w:val="24"/>
          <w:szCs w:val="24"/>
          <w:u w:val="single"/>
          <w:lang w:val="en-US" w:eastAsia="zh-CN" w:bidi="en-US"/>
        </w:rPr>
        <w:t>SO</w:t>
      </w:r>
      <w:r>
        <w:rPr>
          <w:rFonts w:hint="eastAsia" w:ascii="Times New Roman" w:hAnsi="Times New Roman" w:cs="Times New Roman"/>
          <w:b/>
          <w:bCs/>
          <w:color w:val="auto"/>
          <w:spacing w:val="0"/>
          <w:w w:val="100"/>
          <w:position w:val="0"/>
          <w:sz w:val="24"/>
          <w:szCs w:val="24"/>
          <w:u w:val="single"/>
          <w:vertAlign w:val="subscript"/>
          <w:lang w:val="en-US" w:eastAsia="zh-CN" w:bidi="en-US"/>
        </w:rPr>
        <w:t>2</w:t>
      </w:r>
      <w:r>
        <w:rPr>
          <w:rFonts w:hint="eastAsia" w:ascii="Times New Roman" w:hAnsi="Times New Roman" w:cs="Times New Roman"/>
          <w:b/>
          <w:bCs/>
          <w:color w:val="auto"/>
          <w:spacing w:val="0"/>
          <w:w w:val="100"/>
          <w:position w:val="0"/>
          <w:sz w:val="24"/>
          <w:szCs w:val="24"/>
          <w:u w:val="single"/>
          <w:lang w:val="en-US" w:eastAsia="zh-CN" w:bidi="en-US"/>
        </w:rPr>
        <w:t xml:space="preserve"> 0.435t/a、</w:t>
      </w:r>
      <w:r>
        <w:rPr>
          <w:rFonts w:hint="default" w:ascii="Times New Roman" w:hAnsi="Times New Roman"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1.316</w:t>
      </w:r>
      <w:r>
        <w:rPr>
          <w:rFonts w:hint="default" w:ascii="Times New Roman" w:hAnsi="Times New Roman"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、颗粒物0.460t/a。</w:t>
      </w:r>
    </w:p>
    <w:p>
      <w:pPr>
        <w:pStyle w:val="496"/>
        <w:keepNext w:val="0"/>
        <w:keepLines w:val="0"/>
        <w:pageBreakBefore w:val="0"/>
        <w:widowControl w:val="0"/>
        <w:shd w:val="clear" w:color="auto" w:fill="auto"/>
        <w:kinsoku/>
        <w:wordWrap/>
        <w:overflowPunct/>
        <w:topLinePunct w:val="0"/>
        <w:autoSpaceDE/>
        <w:autoSpaceDN/>
        <w:bidi w:val="0"/>
        <w:adjustRightInd/>
        <w:snapToGrid/>
        <w:spacing w:line="360" w:lineRule="auto"/>
        <w:ind w:left="0" w:right="0" w:firstLine="482" w:firstLineChars="200"/>
        <w:jc w:val="both"/>
        <w:textAlignment w:val="auto"/>
        <w:rPr>
          <w:rFonts w:hint="eastAsia"/>
        </w:rPr>
      </w:pPr>
      <w:r>
        <w:rPr>
          <w:rFonts w:hint="eastAsia" w:ascii="Times New Roman" w:hAnsi="Times New Roman" w:cs="Times New Roman"/>
          <w:b/>
          <w:bCs/>
          <w:color w:val="auto"/>
          <w:spacing w:val="0"/>
          <w:w w:val="100"/>
          <w:position w:val="0"/>
          <w:sz w:val="24"/>
          <w:szCs w:val="24"/>
          <w:u w:val="single"/>
          <w:lang w:val="en-US" w:eastAsia="zh-CN" w:bidi="en-US"/>
        </w:rPr>
        <w:t>项目废水经获嘉县同盟污水处理厂处理后排入共产主义渠，该河段水质达标，预支总量进行单倍替代。项目废水排放所需替代量为</w:t>
      </w:r>
      <w:r>
        <w:rPr>
          <w:rFonts w:hint="default" w:ascii="Times New Roman" w:hAnsi="Times New Roman" w:eastAsia="宋体"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0.391</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default" w:ascii="Times New Roman" w:hAnsi="Times New Roman" w:eastAsia="宋体" w:cs="Times New Roman"/>
          <w:b/>
          <w:bCs/>
          <w:color w:val="auto"/>
          <w:spacing w:val="0"/>
          <w:w w:val="100"/>
          <w:position w:val="0"/>
          <w:sz w:val="24"/>
          <w:szCs w:val="24"/>
          <w:u w:val="single"/>
        </w:rPr>
        <w:t>、氨氮</w:t>
      </w:r>
      <w:r>
        <w:rPr>
          <w:rFonts w:hint="eastAsia" w:ascii="Times New Roman" w:hAnsi="Times New Roman" w:cs="Times New Roman"/>
          <w:b/>
          <w:bCs/>
          <w:color w:val="auto"/>
          <w:spacing w:val="0"/>
          <w:w w:val="100"/>
          <w:position w:val="0"/>
          <w:sz w:val="24"/>
          <w:szCs w:val="24"/>
          <w:u w:val="single"/>
          <w:lang w:val="en-US" w:eastAsia="zh-CN"/>
        </w:rPr>
        <w:t>0.020</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从平原示范区污水处理厂提标改造产生的减排剩余量（</w:t>
      </w:r>
      <w:r>
        <w:rPr>
          <w:rFonts w:hint="default" w:ascii="Times New Roman" w:hAnsi="Times New Roman" w:eastAsia="宋体"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11.24016</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default" w:ascii="Times New Roman" w:hAnsi="Times New Roman" w:eastAsia="宋体" w:cs="Times New Roman"/>
          <w:b/>
          <w:bCs/>
          <w:color w:val="auto"/>
          <w:spacing w:val="0"/>
          <w:w w:val="100"/>
          <w:position w:val="0"/>
          <w:sz w:val="24"/>
          <w:szCs w:val="24"/>
          <w:u w:val="single"/>
        </w:rPr>
        <w:t>、氨氮</w:t>
      </w:r>
      <w:r>
        <w:rPr>
          <w:rFonts w:hint="eastAsia" w:ascii="Times New Roman" w:hAnsi="Times New Roman" w:cs="Times New Roman"/>
          <w:b/>
          <w:bCs/>
          <w:color w:val="auto"/>
          <w:spacing w:val="0"/>
          <w:w w:val="100"/>
          <w:position w:val="0"/>
          <w:sz w:val="24"/>
          <w:szCs w:val="24"/>
          <w:u w:val="single"/>
          <w:lang w:val="en-US" w:eastAsia="zh-CN"/>
        </w:rPr>
        <w:t>18.40676</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eastAsia" w:ascii="Times New Roman" w:hAnsi="Times New Roman" w:cs="Times New Roman"/>
          <w:b/>
          <w:bCs/>
          <w:color w:val="auto"/>
          <w:spacing w:val="0"/>
          <w:w w:val="100"/>
          <w:position w:val="0"/>
          <w:sz w:val="24"/>
          <w:szCs w:val="24"/>
          <w:u w:val="single"/>
          <w:lang w:val="en-US" w:eastAsia="zh-CN" w:bidi="en-US"/>
        </w:rPr>
        <w:t>）中扣除；项目废气排放预支增量进行双倍替代，双倍替代量为</w:t>
      </w:r>
      <w:r>
        <w:rPr>
          <w:rFonts w:hint="eastAsia" w:ascii="Times New Roman" w:hAnsi="Times New Roman" w:cs="Times New Roman"/>
          <w:b/>
          <w:bCs/>
          <w:color w:val="auto"/>
          <w:spacing w:val="0"/>
          <w:w w:val="100"/>
          <w:position w:val="0"/>
          <w:sz w:val="24"/>
          <w:szCs w:val="24"/>
          <w:u w:val="single"/>
          <w:lang w:val="en-US" w:eastAsia="zh-CN"/>
        </w:rPr>
        <w:t>SO</w:t>
      </w:r>
      <w:r>
        <w:rPr>
          <w:rFonts w:hint="eastAsia" w:ascii="Times New Roman" w:hAnsi="Times New Roman" w:cs="Times New Roman"/>
          <w:b/>
          <w:bCs/>
          <w:color w:val="auto"/>
          <w:spacing w:val="0"/>
          <w:w w:val="100"/>
          <w:position w:val="0"/>
          <w:sz w:val="24"/>
          <w:szCs w:val="24"/>
          <w:u w:val="single"/>
          <w:vertAlign w:val="subscript"/>
          <w:lang w:val="en-US" w:eastAsia="zh-CN"/>
        </w:rPr>
        <w:t>2</w:t>
      </w:r>
      <w:r>
        <w:rPr>
          <w:rFonts w:hint="eastAsia" w:ascii="Times New Roman" w:hAnsi="Times New Roman" w:cs="Times New Roman"/>
          <w:b/>
          <w:bCs/>
          <w:color w:val="auto"/>
          <w:spacing w:val="0"/>
          <w:w w:val="100"/>
          <w:position w:val="0"/>
          <w:sz w:val="24"/>
          <w:szCs w:val="24"/>
          <w:u w:val="single"/>
          <w:vertAlign w:val="baseline"/>
          <w:lang w:val="en-US" w:eastAsia="zh-CN"/>
        </w:rPr>
        <w:t xml:space="preserve"> 0.870t/a、</w:t>
      </w:r>
      <w:r>
        <w:rPr>
          <w:rFonts w:hint="default" w:ascii="Times New Roman" w:hAnsi="Times New Roman" w:eastAsia="宋体"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2.632</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、颗粒物0.920t/a均从获嘉县华夏建材有限公司企业注销产生的减排剩余量（</w:t>
      </w:r>
      <w:r>
        <w:rPr>
          <w:rFonts w:hint="eastAsia" w:ascii="Times New Roman" w:hAnsi="Times New Roman" w:cs="Times New Roman"/>
          <w:b/>
          <w:bCs/>
          <w:color w:val="auto"/>
          <w:spacing w:val="0"/>
          <w:w w:val="100"/>
          <w:position w:val="0"/>
          <w:sz w:val="24"/>
          <w:szCs w:val="24"/>
          <w:u w:val="single"/>
          <w:lang w:val="en-US" w:eastAsia="zh-CN"/>
        </w:rPr>
        <w:t>SO</w:t>
      </w:r>
      <w:r>
        <w:rPr>
          <w:rFonts w:hint="eastAsia" w:ascii="Times New Roman" w:hAnsi="Times New Roman" w:cs="Times New Roman"/>
          <w:b/>
          <w:bCs/>
          <w:color w:val="auto"/>
          <w:spacing w:val="0"/>
          <w:w w:val="100"/>
          <w:position w:val="0"/>
          <w:sz w:val="24"/>
          <w:szCs w:val="24"/>
          <w:u w:val="single"/>
          <w:vertAlign w:val="subscript"/>
          <w:lang w:val="en-US" w:eastAsia="zh-CN"/>
        </w:rPr>
        <w:t>2</w:t>
      </w:r>
      <w:r>
        <w:rPr>
          <w:rFonts w:hint="eastAsia" w:ascii="Times New Roman" w:hAnsi="Times New Roman" w:cs="Times New Roman"/>
          <w:b/>
          <w:bCs/>
          <w:color w:val="auto"/>
          <w:spacing w:val="0"/>
          <w:w w:val="100"/>
          <w:position w:val="0"/>
          <w:sz w:val="24"/>
          <w:szCs w:val="24"/>
          <w:u w:val="single"/>
          <w:vertAlign w:val="baseline"/>
          <w:lang w:val="en-US" w:eastAsia="zh-CN"/>
        </w:rPr>
        <w:t xml:space="preserve"> 5.6928t、</w:t>
      </w:r>
      <w:r>
        <w:rPr>
          <w:rFonts w:hint="default" w:ascii="Times New Roman" w:hAnsi="Times New Roman" w:eastAsia="宋体"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7.591</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eastAsia" w:ascii="Times New Roman" w:hAnsi="Times New Roman" w:cs="Times New Roman"/>
          <w:b/>
          <w:bCs/>
          <w:color w:val="auto"/>
          <w:spacing w:val="0"/>
          <w:w w:val="100"/>
          <w:position w:val="0"/>
          <w:sz w:val="24"/>
          <w:szCs w:val="24"/>
          <w:u w:val="single"/>
          <w:lang w:val="en-US" w:eastAsia="zh-CN" w:bidi="en-US"/>
        </w:rPr>
        <w:t>、颗粒物10.8632t）中扣除。</w:t>
      </w:r>
      <w:r>
        <w:rPr>
          <w:rFonts w:hint="default" w:ascii="Times New Roman" w:hAnsi="Times New Roman" w:eastAsia="宋体" w:cs="Times New Roman"/>
          <w:b/>
          <w:bCs/>
          <w:color w:val="auto"/>
          <w:spacing w:val="0"/>
          <w:w w:val="100"/>
          <w:position w:val="0"/>
          <w:sz w:val="24"/>
          <w:szCs w:val="24"/>
          <w:u w:val="single"/>
        </w:rPr>
        <w:t>项目重点污染物排放总量均有替代来源</w:t>
      </w:r>
      <w:r>
        <w:rPr>
          <w:rFonts w:hint="eastAsia" w:ascii="Times New Roman" w:hAnsi="Times New Roman" w:cs="Times New Roman"/>
          <w:b/>
          <w:bCs/>
          <w:color w:val="auto"/>
          <w:spacing w:val="0"/>
          <w:w w:val="100"/>
          <w:position w:val="0"/>
          <w:sz w:val="24"/>
          <w:szCs w:val="24"/>
          <w:u w:val="single"/>
          <w:lang w:eastAsia="zh-CN"/>
        </w:rPr>
        <w:t>。</w:t>
      </w:r>
    </w:p>
    <w:p>
      <w:pPr>
        <w:pStyle w:val="4"/>
        <w:widowControl w:val="0"/>
        <w:tabs>
          <w:tab w:val="left" w:pos="1200"/>
          <w:tab w:val="left" w:pos="1571"/>
          <w:tab w:val="left" w:pos="1680"/>
        </w:tabs>
        <w:snapToGrid w:val="0"/>
        <w:spacing w:before="60" w:beforeLines="0" w:after="120" w:afterLines="0" w:line="560" w:lineRule="exact"/>
        <w:textAlignment w:val="baseline"/>
        <w:rPr>
          <w:bCs w:val="0"/>
          <w:color w:val="auto"/>
          <w:kern w:val="0"/>
          <w:szCs w:val="20"/>
          <w:lang w:val="en-US"/>
        </w:rPr>
      </w:pPr>
      <w:r>
        <w:rPr>
          <w:rFonts w:hint="eastAsia"/>
          <w:bCs w:val="0"/>
          <w:color w:val="auto"/>
          <w:kern w:val="0"/>
          <w:szCs w:val="20"/>
          <w:lang w:val="en-US"/>
        </w:rPr>
        <w:t>9.6</w:t>
      </w:r>
      <w:r>
        <w:rPr>
          <w:bCs w:val="0"/>
          <w:color w:val="auto"/>
          <w:kern w:val="0"/>
          <w:szCs w:val="20"/>
          <w:lang w:val="en-US"/>
        </w:rPr>
        <w:t>排污口标志管理</w:t>
      </w:r>
      <w:bookmarkEnd w:id="451"/>
    </w:p>
    <w:p>
      <w:pPr>
        <w:widowControl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根据国家、地方颁布的有关环境保护规定，厂区废水总排放口、噪声排放源均应按《环境保护图形标志排放口（源）》（GB15562.1-1995）要求设立明显标志。排污口规范化与主体工程必须同时进行，并按照《污染源监测技术规范》设置规范的、便于测量流量、流速的测流段和采样点。作为该项目竣工环保验收的重要内容之一。</w:t>
      </w:r>
    </w:p>
    <w:p>
      <w:pPr>
        <w:widowControl w:val="0"/>
        <w:adjustRightInd w:val="0"/>
        <w:snapToGrid w:val="0"/>
        <w:spacing w:line="360" w:lineRule="auto"/>
        <w:ind w:firstLine="480" w:firstLineChars="200"/>
        <w:jc w:val="both"/>
        <w:textAlignment w:val="baseline"/>
        <w:rPr>
          <w:rFonts w:hint="eastAsia"/>
          <w:color w:val="auto"/>
          <w:kern w:val="0"/>
          <w:sz w:val="24"/>
          <w:szCs w:val="20"/>
        </w:rPr>
      </w:pPr>
      <w:r>
        <w:rPr>
          <w:rFonts w:hint="eastAsia"/>
          <w:color w:val="auto"/>
          <w:kern w:val="0"/>
          <w:sz w:val="24"/>
          <w:szCs w:val="20"/>
        </w:rPr>
        <w:t>在厂区的废气排放源、固体废物贮存处置场应设置环境保护图形标志，图形符号分为提示图形和警告图形符号两种，分别按</w:t>
      </w:r>
      <w:r>
        <w:rPr>
          <w:color w:val="auto"/>
          <w:kern w:val="0"/>
          <w:sz w:val="24"/>
          <w:szCs w:val="20"/>
        </w:rPr>
        <w:t>GB15562.1-1995</w:t>
      </w:r>
      <w:r>
        <w:rPr>
          <w:rFonts w:hint="eastAsia"/>
          <w:color w:val="auto"/>
          <w:kern w:val="0"/>
          <w:sz w:val="24"/>
          <w:szCs w:val="20"/>
        </w:rPr>
        <w:t>、</w:t>
      </w:r>
      <w:r>
        <w:rPr>
          <w:color w:val="auto"/>
          <w:kern w:val="0"/>
          <w:sz w:val="24"/>
          <w:szCs w:val="20"/>
        </w:rPr>
        <w:t>GB15562.2-1995</w:t>
      </w:r>
      <w:r>
        <w:rPr>
          <w:rFonts w:hint="eastAsia"/>
          <w:color w:val="auto"/>
          <w:kern w:val="0"/>
          <w:sz w:val="24"/>
          <w:szCs w:val="20"/>
        </w:rPr>
        <w:t>执行。环境保护图形标志的形状及颜色见表9.6-1，环境保护图形符号见表9.6-2</w:t>
      </w:r>
    </w:p>
    <w:p>
      <w:pPr>
        <w:pStyle w:val="43"/>
      </w:pPr>
    </w:p>
    <w:p>
      <w:pPr>
        <w:widowControl w:val="0"/>
        <w:tabs>
          <w:tab w:val="center" w:pos="4575"/>
          <w:tab w:val="left" w:pos="7365"/>
        </w:tabs>
        <w:jc w:val="center"/>
        <w:rPr>
          <w:rFonts w:hint="eastAsia" w:ascii="黑体" w:hAnsi="黑体" w:eastAsia="黑体"/>
          <w:color w:val="auto"/>
          <w:sz w:val="24"/>
          <w:szCs w:val="22"/>
          <w:lang w:val="en-US" w:eastAsia="zh-CN"/>
        </w:rPr>
      </w:pPr>
    </w:p>
    <w:p>
      <w:pPr>
        <w:widowControl w:val="0"/>
        <w:tabs>
          <w:tab w:val="center" w:pos="4575"/>
          <w:tab w:val="left" w:pos="7365"/>
        </w:tabs>
        <w:jc w:val="center"/>
        <w:rPr>
          <w:rFonts w:ascii="黑体" w:hAnsi="黑体" w:eastAsia="黑体"/>
          <w:color w:val="auto"/>
          <w:sz w:val="24"/>
          <w:szCs w:val="22"/>
        </w:rPr>
      </w:pPr>
      <w:r>
        <w:rPr>
          <w:rFonts w:hint="eastAsia" w:ascii="黑体" w:hAnsi="黑体" w:eastAsia="黑体"/>
          <w:color w:val="auto"/>
          <w:sz w:val="24"/>
          <w:szCs w:val="22"/>
          <w:lang w:val="en-US" w:eastAsia="zh-CN"/>
        </w:rPr>
        <w:t xml:space="preserve">  </w:t>
      </w:r>
      <w:r>
        <w:rPr>
          <w:rFonts w:hint="eastAsia" w:ascii="黑体" w:hAnsi="黑体" w:eastAsia="黑体"/>
          <w:color w:val="auto"/>
          <w:sz w:val="24"/>
          <w:szCs w:val="22"/>
        </w:rPr>
        <w:t>表9.6-1</w:t>
      </w:r>
      <w:r>
        <w:rPr>
          <w:rFonts w:ascii="黑体" w:hAnsi="黑体" w:eastAsia="黑体"/>
          <w:color w:val="auto"/>
          <w:sz w:val="24"/>
          <w:szCs w:val="22"/>
        </w:rPr>
        <w:t xml:space="preserve">    </w:t>
      </w:r>
      <w:r>
        <w:rPr>
          <w:rFonts w:hint="eastAsia" w:ascii="黑体" w:hAnsi="黑体" w:eastAsia="黑体"/>
          <w:color w:val="auto"/>
          <w:sz w:val="24"/>
          <w:szCs w:val="22"/>
        </w:rPr>
        <w:t>环境保护图形标志的形状及颜色表</w:t>
      </w:r>
    </w:p>
    <w:tbl>
      <w:tblPr>
        <w:tblStyle w:val="491"/>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0" w:type="dxa"/>
            <w:vAlign w:val="center"/>
          </w:tcPr>
          <w:p>
            <w:pPr>
              <w:jc w:val="center"/>
              <w:rPr>
                <w:b/>
                <w:color w:val="auto"/>
              </w:rPr>
            </w:pPr>
            <w:r>
              <w:rPr>
                <w:rFonts w:hint="eastAsia"/>
                <w:b/>
                <w:color w:val="auto"/>
              </w:rPr>
              <w:t>名称</w:t>
            </w:r>
          </w:p>
        </w:tc>
        <w:tc>
          <w:tcPr>
            <w:tcW w:w="2130" w:type="dxa"/>
            <w:vAlign w:val="center"/>
          </w:tcPr>
          <w:p>
            <w:pPr>
              <w:jc w:val="center"/>
              <w:rPr>
                <w:b/>
                <w:color w:val="auto"/>
              </w:rPr>
            </w:pPr>
            <w:r>
              <w:rPr>
                <w:rFonts w:hint="eastAsia"/>
                <w:b/>
                <w:color w:val="auto"/>
              </w:rPr>
              <w:t>形状</w:t>
            </w:r>
          </w:p>
        </w:tc>
        <w:tc>
          <w:tcPr>
            <w:tcW w:w="2131" w:type="dxa"/>
            <w:vAlign w:val="center"/>
          </w:tcPr>
          <w:p>
            <w:pPr>
              <w:jc w:val="center"/>
              <w:rPr>
                <w:b/>
                <w:color w:val="auto"/>
              </w:rPr>
            </w:pPr>
            <w:r>
              <w:rPr>
                <w:rFonts w:hint="eastAsia"/>
                <w:b/>
                <w:color w:val="auto"/>
              </w:rPr>
              <w:t>背景颜色</w:t>
            </w:r>
          </w:p>
        </w:tc>
        <w:tc>
          <w:tcPr>
            <w:tcW w:w="2131" w:type="dxa"/>
            <w:vAlign w:val="center"/>
          </w:tcPr>
          <w:p>
            <w:pPr>
              <w:jc w:val="center"/>
              <w:rPr>
                <w:b/>
                <w:color w:val="auto"/>
              </w:rPr>
            </w:pPr>
            <w:r>
              <w:rPr>
                <w:rFonts w:hint="eastAsia"/>
                <w:b/>
                <w:color w:val="auto"/>
              </w:rPr>
              <w:t>图形颜色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0" w:type="dxa"/>
            <w:vAlign w:val="center"/>
          </w:tcPr>
          <w:p>
            <w:pPr>
              <w:jc w:val="center"/>
              <w:rPr>
                <w:color w:val="auto"/>
              </w:rPr>
            </w:pPr>
            <w:r>
              <w:rPr>
                <w:rFonts w:hint="eastAsia"/>
                <w:color w:val="auto"/>
              </w:rPr>
              <w:t>警告标志</w:t>
            </w:r>
          </w:p>
        </w:tc>
        <w:tc>
          <w:tcPr>
            <w:tcW w:w="2130" w:type="dxa"/>
            <w:vAlign w:val="center"/>
          </w:tcPr>
          <w:p>
            <w:pPr>
              <w:jc w:val="center"/>
              <w:rPr>
                <w:color w:val="auto"/>
              </w:rPr>
            </w:pPr>
            <w:r>
              <w:rPr>
                <w:rFonts w:hint="eastAsia"/>
                <w:color w:val="auto"/>
              </w:rPr>
              <w:t>三角形边框</w:t>
            </w:r>
          </w:p>
        </w:tc>
        <w:tc>
          <w:tcPr>
            <w:tcW w:w="2131" w:type="dxa"/>
            <w:vAlign w:val="center"/>
          </w:tcPr>
          <w:p>
            <w:pPr>
              <w:jc w:val="center"/>
              <w:rPr>
                <w:color w:val="auto"/>
              </w:rPr>
            </w:pPr>
            <w:r>
              <w:rPr>
                <w:rFonts w:hint="eastAsia"/>
                <w:color w:val="auto"/>
              </w:rPr>
              <w:t>黄色</w:t>
            </w:r>
          </w:p>
        </w:tc>
        <w:tc>
          <w:tcPr>
            <w:tcW w:w="2131" w:type="dxa"/>
            <w:vAlign w:val="center"/>
          </w:tcPr>
          <w:p>
            <w:pPr>
              <w:jc w:val="center"/>
              <w:rPr>
                <w:color w:val="auto"/>
              </w:rPr>
            </w:pPr>
            <w:r>
              <w:rPr>
                <w:rFonts w:hint="eastAsia"/>
                <w:color w:val="auto"/>
              </w:rPr>
              <w:t>黑色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30" w:type="dxa"/>
            <w:vAlign w:val="center"/>
          </w:tcPr>
          <w:p>
            <w:pPr>
              <w:jc w:val="center"/>
              <w:rPr>
                <w:color w:val="auto"/>
              </w:rPr>
            </w:pPr>
            <w:r>
              <w:rPr>
                <w:rFonts w:hint="eastAsia"/>
                <w:color w:val="auto"/>
              </w:rPr>
              <w:t>提示标志</w:t>
            </w:r>
          </w:p>
        </w:tc>
        <w:tc>
          <w:tcPr>
            <w:tcW w:w="2130" w:type="dxa"/>
            <w:vAlign w:val="center"/>
          </w:tcPr>
          <w:p>
            <w:pPr>
              <w:jc w:val="center"/>
              <w:rPr>
                <w:color w:val="auto"/>
              </w:rPr>
            </w:pPr>
            <w:r>
              <w:rPr>
                <w:rFonts w:hint="eastAsia"/>
                <w:color w:val="auto"/>
              </w:rPr>
              <w:t>正方形边框</w:t>
            </w:r>
          </w:p>
        </w:tc>
        <w:tc>
          <w:tcPr>
            <w:tcW w:w="2131" w:type="dxa"/>
            <w:vAlign w:val="center"/>
          </w:tcPr>
          <w:p>
            <w:pPr>
              <w:jc w:val="center"/>
              <w:rPr>
                <w:color w:val="auto"/>
              </w:rPr>
            </w:pPr>
            <w:r>
              <w:rPr>
                <w:rFonts w:hint="eastAsia"/>
                <w:color w:val="auto"/>
              </w:rPr>
              <w:t>绿色</w:t>
            </w:r>
          </w:p>
        </w:tc>
        <w:tc>
          <w:tcPr>
            <w:tcW w:w="2131" w:type="dxa"/>
            <w:vAlign w:val="center"/>
          </w:tcPr>
          <w:p>
            <w:pPr>
              <w:jc w:val="center"/>
              <w:rPr>
                <w:color w:val="auto"/>
              </w:rPr>
            </w:pPr>
            <w:r>
              <w:rPr>
                <w:rFonts w:hint="eastAsia"/>
                <w:color w:val="auto"/>
              </w:rPr>
              <w:t>白色</w:t>
            </w:r>
          </w:p>
        </w:tc>
      </w:tr>
    </w:tbl>
    <w:p>
      <w:pPr>
        <w:keepNext w:val="0"/>
        <w:keepLines w:val="0"/>
        <w:pageBreakBefore w:val="0"/>
        <w:widowControl w:val="0"/>
        <w:tabs>
          <w:tab w:val="center" w:pos="4575"/>
          <w:tab w:val="left" w:pos="7365"/>
        </w:tabs>
        <w:kinsoku/>
        <w:wordWrap/>
        <w:overflowPunct/>
        <w:topLinePunct w:val="0"/>
        <w:autoSpaceDE/>
        <w:autoSpaceDN/>
        <w:bidi w:val="0"/>
        <w:adjustRightInd/>
        <w:snapToGrid/>
        <w:spacing w:before="161" w:beforeLines="50"/>
        <w:jc w:val="center"/>
        <w:textAlignment w:val="auto"/>
        <w:rPr>
          <w:rFonts w:ascii="黑体" w:hAnsi="黑体" w:eastAsia="黑体"/>
          <w:color w:val="auto"/>
          <w:sz w:val="24"/>
          <w:szCs w:val="22"/>
        </w:rPr>
      </w:pPr>
      <w:r>
        <w:rPr>
          <w:rFonts w:hint="eastAsia" w:ascii="黑体" w:hAnsi="黑体" w:eastAsia="黑体"/>
          <w:color w:val="auto"/>
          <w:sz w:val="24"/>
          <w:szCs w:val="22"/>
        </w:rPr>
        <w:t>表9.6-2</w:t>
      </w:r>
      <w:r>
        <w:rPr>
          <w:rFonts w:ascii="黑体" w:hAnsi="黑体" w:eastAsia="黑体"/>
          <w:color w:val="auto"/>
          <w:sz w:val="24"/>
          <w:szCs w:val="22"/>
        </w:rPr>
        <w:t xml:space="preserve">      </w:t>
      </w:r>
      <w:r>
        <w:rPr>
          <w:rFonts w:hint="eastAsia" w:ascii="黑体" w:hAnsi="黑体" w:eastAsia="黑体"/>
          <w:color w:val="auto"/>
          <w:sz w:val="24"/>
          <w:szCs w:val="22"/>
        </w:rPr>
        <w:t>环境保护图形符号一览表</w:t>
      </w:r>
    </w:p>
    <w:tbl>
      <w:tblPr>
        <w:tblStyle w:val="8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560"/>
        <w:gridCol w:w="1559"/>
        <w:gridCol w:w="1559"/>
        <w:gridCol w:w="3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675" w:type="dxa"/>
            <w:vAlign w:val="center"/>
          </w:tcPr>
          <w:p>
            <w:pPr>
              <w:widowControl w:val="0"/>
              <w:spacing w:line="240" w:lineRule="auto"/>
              <w:ind w:firstLine="0" w:firstLineChars="0"/>
              <w:jc w:val="center"/>
              <w:rPr>
                <w:rFonts w:eastAsiaTheme="minorEastAsia"/>
                <w:b/>
                <w:bCs/>
                <w:color w:val="auto"/>
              </w:rPr>
            </w:pPr>
            <w:r>
              <w:rPr>
                <w:rFonts w:eastAsiaTheme="minorEastAsia"/>
                <w:b/>
                <w:bCs/>
                <w:color w:val="auto"/>
              </w:rPr>
              <w:t>序号</w:t>
            </w:r>
          </w:p>
        </w:tc>
        <w:tc>
          <w:tcPr>
            <w:tcW w:w="1560" w:type="dxa"/>
            <w:vAlign w:val="center"/>
          </w:tcPr>
          <w:p>
            <w:pPr>
              <w:widowControl w:val="0"/>
              <w:spacing w:line="240" w:lineRule="auto"/>
              <w:ind w:firstLine="0" w:firstLineChars="0"/>
              <w:jc w:val="center"/>
              <w:rPr>
                <w:rFonts w:eastAsiaTheme="minorEastAsia"/>
                <w:b/>
                <w:bCs/>
                <w:color w:val="auto"/>
              </w:rPr>
            </w:pPr>
            <w:r>
              <w:rPr>
                <w:rFonts w:eastAsiaTheme="minorEastAsia"/>
                <w:b/>
                <w:bCs/>
                <w:color w:val="auto"/>
              </w:rPr>
              <w:t>提示图形符号</w:t>
            </w:r>
          </w:p>
        </w:tc>
        <w:tc>
          <w:tcPr>
            <w:tcW w:w="1559" w:type="dxa"/>
            <w:vAlign w:val="center"/>
          </w:tcPr>
          <w:p>
            <w:pPr>
              <w:widowControl w:val="0"/>
              <w:spacing w:line="240" w:lineRule="auto"/>
              <w:ind w:firstLine="0" w:firstLineChars="0"/>
              <w:jc w:val="center"/>
              <w:rPr>
                <w:rFonts w:eastAsiaTheme="minorEastAsia"/>
                <w:b/>
                <w:bCs/>
                <w:color w:val="auto"/>
              </w:rPr>
            </w:pPr>
            <w:r>
              <w:rPr>
                <w:rFonts w:eastAsiaTheme="minorEastAsia"/>
                <w:b/>
                <w:bCs/>
                <w:color w:val="auto"/>
              </w:rPr>
              <w:t>警告图形符号</w:t>
            </w:r>
          </w:p>
        </w:tc>
        <w:tc>
          <w:tcPr>
            <w:tcW w:w="1559" w:type="dxa"/>
            <w:vAlign w:val="center"/>
          </w:tcPr>
          <w:p>
            <w:pPr>
              <w:widowControl w:val="0"/>
              <w:spacing w:line="240" w:lineRule="auto"/>
              <w:ind w:firstLine="0" w:firstLineChars="0"/>
              <w:jc w:val="center"/>
              <w:rPr>
                <w:rFonts w:eastAsiaTheme="minorEastAsia"/>
                <w:b/>
                <w:bCs/>
                <w:color w:val="auto"/>
              </w:rPr>
            </w:pPr>
            <w:r>
              <w:rPr>
                <w:rFonts w:eastAsiaTheme="minorEastAsia"/>
                <w:b/>
                <w:bCs/>
                <w:color w:val="auto"/>
              </w:rPr>
              <w:t>名称</w:t>
            </w:r>
          </w:p>
        </w:tc>
        <w:tc>
          <w:tcPr>
            <w:tcW w:w="3169" w:type="dxa"/>
            <w:vAlign w:val="center"/>
          </w:tcPr>
          <w:p>
            <w:pPr>
              <w:widowControl w:val="0"/>
              <w:spacing w:line="240" w:lineRule="auto"/>
              <w:ind w:firstLine="0" w:firstLineChars="0"/>
              <w:jc w:val="center"/>
              <w:rPr>
                <w:rFonts w:eastAsiaTheme="minorEastAsia"/>
                <w:b/>
                <w:bCs/>
                <w:color w:val="auto"/>
              </w:rPr>
            </w:pPr>
            <w:r>
              <w:rPr>
                <w:rFonts w:eastAsiaTheme="minorEastAsia"/>
                <w:b/>
                <w:bCs/>
                <w:color w:val="auto"/>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1" w:hRule="atLeast"/>
        </w:trPr>
        <w:tc>
          <w:tcPr>
            <w:tcW w:w="675" w:type="dxa"/>
            <w:vAlign w:val="center"/>
          </w:tcPr>
          <w:p>
            <w:pPr>
              <w:widowControl w:val="0"/>
              <w:spacing w:line="240" w:lineRule="auto"/>
              <w:ind w:firstLine="0" w:firstLineChars="0"/>
              <w:jc w:val="center"/>
              <w:rPr>
                <w:rFonts w:eastAsiaTheme="minorEastAsia"/>
                <w:color w:val="auto"/>
              </w:rPr>
            </w:pPr>
            <w:r>
              <w:rPr>
                <w:rFonts w:eastAsiaTheme="minorEastAsia"/>
                <w:color w:val="auto"/>
              </w:rPr>
              <w:t>1</w:t>
            </w:r>
          </w:p>
        </w:tc>
        <w:tc>
          <w:tcPr>
            <w:tcW w:w="1560"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88035"/>
                  <wp:effectExtent l="0" t="0" r="8255" b="12065"/>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noChangeArrowheads="1"/>
                          </pic:cNvPicPr>
                        </pic:nvPicPr>
                        <pic:blipFill>
                          <a:blip r:embed="rId175"/>
                          <a:srcRect/>
                          <a:stretch>
                            <a:fillRect/>
                          </a:stretch>
                        </pic:blipFill>
                        <pic:spPr>
                          <a:xfrm>
                            <a:off x="0" y="0"/>
                            <a:ext cx="792000" cy="788035"/>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88035"/>
                  <wp:effectExtent l="0" t="0" r="8255" b="1206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noChangeArrowheads="1"/>
                          </pic:cNvPicPr>
                        </pic:nvPicPr>
                        <pic:blipFill>
                          <a:blip r:embed="rId176"/>
                          <a:srcRect/>
                          <a:stretch>
                            <a:fillRect/>
                          </a:stretch>
                        </pic:blipFill>
                        <pic:spPr>
                          <a:xfrm>
                            <a:off x="0" y="0"/>
                            <a:ext cx="792000" cy="788035"/>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t>废水排放口</w:t>
            </w:r>
          </w:p>
        </w:tc>
        <w:tc>
          <w:tcPr>
            <w:tcW w:w="3169" w:type="dxa"/>
            <w:vAlign w:val="center"/>
          </w:tcPr>
          <w:p>
            <w:pPr>
              <w:widowControl w:val="0"/>
              <w:spacing w:line="240" w:lineRule="auto"/>
              <w:ind w:firstLine="0" w:firstLineChars="0"/>
              <w:jc w:val="center"/>
              <w:rPr>
                <w:rFonts w:eastAsiaTheme="minorEastAsia"/>
                <w:color w:val="auto"/>
              </w:rPr>
            </w:pPr>
            <w:r>
              <w:rPr>
                <w:rFonts w:eastAsiaTheme="minorEastAsia"/>
                <w:color w:val="auto"/>
              </w:rPr>
              <w:t>表示废水向外排放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6" w:hRule="atLeast"/>
        </w:trPr>
        <w:tc>
          <w:tcPr>
            <w:tcW w:w="675" w:type="dxa"/>
            <w:vAlign w:val="center"/>
          </w:tcPr>
          <w:p>
            <w:pPr>
              <w:widowControl w:val="0"/>
              <w:spacing w:line="240" w:lineRule="auto"/>
              <w:ind w:firstLine="0" w:firstLineChars="0"/>
              <w:jc w:val="center"/>
              <w:rPr>
                <w:rFonts w:eastAsiaTheme="minorEastAsia"/>
                <w:color w:val="auto"/>
              </w:rPr>
            </w:pPr>
            <w:r>
              <w:rPr>
                <w:rFonts w:eastAsiaTheme="minorEastAsia"/>
                <w:color w:val="auto"/>
              </w:rPr>
              <w:t>2</w:t>
            </w:r>
          </w:p>
        </w:tc>
        <w:tc>
          <w:tcPr>
            <w:tcW w:w="1560"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88035"/>
                  <wp:effectExtent l="0" t="0" r="8255" b="12065"/>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noChangeArrowheads="1"/>
                          </pic:cNvPicPr>
                        </pic:nvPicPr>
                        <pic:blipFill>
                          <a:blip r:embed="rId177"/>
                          <a:srcRect/>
                          <a:stretch>
                            <a:fillRect/>
                          </a:stretch>
                        </pic:blipFill>
                        <pic:spPr>
                          <a:xfrm>
                            <a:off x="0" y="0"/>
                            <a:ext cx="792000" cy="788035"/>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84225"/>
                  <wp:effectExtent l="0" t="0" r="8255" b="15875"/>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noChangeArrowheads="1"/>
                          </pic:cNvPicPr>
                        </pic:nvPicPr>
                        <pic:blipFill>
                          <a:blip r:embed="rId178"/>
                          <a:srcRect/>
                          <a:stretch>
                            <a:fillRect/>
                          </a:stretch>
                        </pic:blipFill>
                        <pic:spPr>
                          <a:xfrm>
                            <a:off x="0" y="0"/>
                            <a:ext cx="791845" cy="784800"/>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t>废气排放口</w:t>
            </w:r>
          </w:p>
        </w:tc>
        <w:tc>
          <w:tcPr>
            <w:tcW w:w="3169" w:type="dxa"/>
            <w:vAlign w:val="center"/>
          </w:tcPr>
          <w:p>
            <w:pPr>
              <w:widowControl w:val="0"/>
              <w:spacing w:line="240" w:lineRule="auto"/>
              <w:ind w:firstLine="0" w:firstLineChars="0"/>
              <w:jc w:val="center"/>
              <w:rPr>
                <w:rFonts w:eastAsiaTheme="minorEastAsia"/>
                <w:color w:val="auto"/>
              </w:rPr>
            </w:pPr>
            <w:r>
              <w:rPr>
                <w:rFonts w:eastAsiaTheme="minorEastAsia"/>
                <w:color w:val="auto"/>
              </w:rPr>
              <w:t>表示废气向大气环境排放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1" w:hRule="atLeast"/>
        </w:trPr>
        <w:tc>
          <w:tcPr>
            <w:tcW w:w="675" w:type="dxa"/>
            <w:vAlign w:val="center"/>
          </w:tcPr>
          <w:p>
            <w:pPr>
              <w:widowControl w:val="0"/>
              <w:spacing w:line="240" w:lineRule="auto"/>
              <w:ind w:firstLine="0" w:firstLineChars="0"/>
              <w:jc w:val="center"/>
              <w:rPr>
                <w:rFonts w:eastAsiaTheme="minorEastAsia"/>
                <w:color w:val="auto"/>
              </w:rPr>
            </w:pPr>
            <w:r>
              <w:rPr>
                <w:rFonts w:eastAsiaTheme="minorEastAsia"/>
                <w:color w:val="auto"/>
              </w:rPr>
              <w:t>3</w:t>
            </w:r>
          </w:p>
        </w:tc>
        <w:tc>
          <w:tcPr>
            <w:tcW w:w="1560"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88035"/>
                  <wp:effectExtent l="0" t="0" r="8255" b="12065"/>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noChangeArrowheads="1"/>
                          </pic:cNvPicPr>
                        </pic:nvPicPr>
                        <pic:blipFill>
                          <a:blip r:embed="rId179"/>
                          <a:srcRect/>
                          <a:stretch>
                            <a:fillRect/>
                          </a:stretch>
                        </pic:blipFill>
                        <pic:spPr>
                          <a:xfrm>
                            <a:off x="0" y="0"/>
                            <a:ext cx="792000" cy="788035"/>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37870"/>
                  <wp:effectExtent l="0" t="0" r="8255" b="508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noChangeArrowheads="1"/>
                          </pic:cNvPicPr>
                        </pic:nvPicPr>
                        <pic:blipFill>
                          <a:blip r:embed="rId180"/>
                          <a:srcRect/>
                          <a:stretch>
                            <a:fillRect/>
                          </a:stretch>
                        </pic:blipFill>
                        <pic:spPr>
                          <a:xfrm>
                            <a:off x="0" y="0"/>
                            <a:ext cx="792000" cy="737870"/>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t>一般固体废物</w:t>
            </w:r>
          </w:p>
        </w:tc>
        <w:tc>
          <w:tcPr>
            <w:tcW w:w="3169" w:type="dxa"/>
            <w:vAlign w:val="center"/>
          </w:tcPr>
          <w:p>
            <w:pPr>
              <w:widowControl w:val="0"/>
              <w:spacing w:line="240" w:lineRule="auto"/>
              <w:ind w:firstLine="0" w:firstLineChars="0"/>
              <w:jc w:val="center"/>
              <w:rPr>
                <w:rFonts w:eastAsiaTheme="minorEastAsia"/>
                <w:color w:val="auto"/>
              </w:rPr>
            </w:pPr>
            <w:r>
              <w:rPr>
                <w:rFonts w:eastAsiaTheme="minorEastAsia"/>
                <w:color w:val="auto"/>
              </w:rPr>
              <w:t>表示一般固体废物贮存、处置场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 w:hRule="atLeast"/>
        </w:trPr>
        <w:tc>
          <w:tcPr>
            <w:tcW w:w="675" w:type="dxa"/>
            <w:vAlign w:val="center"/>
          </w:tcPr>
          <w:p>
            <w:pPr>
              <w:widowControl w:val="0"/>
              <w:spacing w:line="240" w:lineRule="auto"/>
              <w:ind w:firstLine="0" w:firstLineChars="0"/>
              <w:jc w:val="center"/>
              <w:rPr>
                <w:rFonts w:eastAsiaTheme="minorEastAsia"/>
                <w:color w:val="auto"/>
              </w:rPr>
            </w:pPr>
            <w:r>
              <w:rPr>
                <w:rFonts w:eastAsiaTheme="minorEastAsia"/>
                <w:color w:val="auto"/>
              </w:rPr>
              <w:t>4</w:t>
            </w:r>
          </w:p>
        </w:tc>
        <w:tc>
          <w:tcPr>
            <w:tcW w:w="1560"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77240"/>
                  <wp:effectExtent l="0" t="0" r="8255" b="381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noChangeArrowheads="1"/>
                          </pic:cNvPicPr>
                        </pic:nvPicPr>
                        <pic:blipFill>
                          <a:blip r:embed="rId181"/>
                          <a:srcRect/>
                          <a:stretch>
                            <a:fillRect/>
                          </a:stretch>
                        </pic:blipFill>
                        <pic:spPr>
                          <a:xfrm>
                            <a:off x="0" y="0"/>
                            <a:ext cx="791845" cy="777600"/>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697865"/>
                  <wp:effectExtent l="0" t="0" r="8255" b="6985"/>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pic:cNvPicPr>
                            <a:picLocks noChangeAspect="1" noChangeArrowheads="1"/>
                          </pic:cNvPicPr>
                        </pic:nvPicPr>
                        <pic:blipFill>
                          <a:blip r:embed="rId182"/>
                          <a:srcRect/>
                          <a:stretch>
                            <a:fillRect/>
                          </a:stretch>
                        </pic:blipFill>
                        <pic:spPr>
                          <a:xfrm>
                            <a:off x="0" y="0"/>
                            <a:ext cx="791845" cy="698400"/>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t>噪声排放源</w:t>
            </w:r>
          </w:p>
        </w:tc>
        <w:tc>
          <w:tcPr>
            <w:tcW w:w="3169" w:type="dxa"/>
            <w:vAlign w:val="center"/>
          </w:tcPr>
          <w:p>
            <w:pPr>
              <w:widowControl w:val="0"/>
              <w:spacing w:line="240" w:lineRule="auto"/>
              <w:ind w:firstLine="0" w:firstLineChars="0"/>
              <w:jc w:val="center"/>
              <w:rPr>
                <w:rFonts w:eastAsiaTheme="minorEastAsia"/>
                <w:color w:val="auto"/>
              </w:rPr>
            </w:pPr>
            <w:r>
              <w:rPr>
                <w:rFonts w:eastAsiaTheme="minorEastAsia"/>
                <w:color w:val="auto"/>
              </w:rPr>
              <w:t>表示噪声向外环境排放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widowControl w:val="0"/>
              <w:spacing w:line="240" w:lineRule="auto"/>
              <w:ind w:firstLine="0" w:firstLineChars="0"/>
              <w:jc w:val="center"/>
              <w:rPr>
                <w:rFonts w:eastAsiaTheme="minorEastAsia"/>
                <w:color w:val="auto"/>
              </w:rPr>
            </w:pPr>
            <w:r>
              <w:rPr>
                <w:rFonts w:eastAsiaTheme="minorEastAsia"/>
                <w:color w:val="auto"/>
              </w:rPr>
              <w:t>5</w:t>
            </w:r>
          </w:p>
        </w:tc>
        <w:tc>
          <w:tcPr>
            <w:tcW w:w="1560" w:type="dxa"/>
            <w:vAlign w:val="center"/>
          </w:tcPr>
          <w:p>
            <w:pPr>
              <w:widowControl w:val="0"/>
              <w:spacing w:line="240" w:lineRule="auto"/>
              <w:ind w:firstLine="0" w:firstLineChars="0"/>
              <w:jc w:val="center"/>
              <w:rPr>
                <w:rFonts w:eastAsiaTheme="minorEastAsia"/>
                <w:color w:val="auto"/>
              </w:rPr>
            </w:pPr>
            <w:r>
              <w:rPr>
                <w:rFonts w:hint="eastAsia" w:eastAsiaTheme="minorEastAsia"/>
                <w:color w:val="auto"/>
              </w:rPr>
              <w:t>/</w:t>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drawing>
                <wp:inline distT="0" distB="0" distL="0" distR="0">
                  <wp:extent cx="791845" cy="701675"/>
                  <wp:effectExtent l="0" t="0" r="8255" b="3175"/>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pic:cNvPicPr>
                            <a:picLocks noChangeAspect="1" noChangeArrowheads="1"/>
                          </pic:cNvPicPr>
                        </pic:nvPicPr>
                        <pic:blipFill>
                          <a:blip r:embed="rId183"/>
                          <a:srcRect/>
                          <a:stretch>
                            <a:fillRect/>
                          </a:stretch>
                        </pic:blipFill>
                        <pic:spPr>
                          <a:xfrm>
                            <a:off x="0" y="0"/>
                            <a:ext cx="791845" cy="702000"/>
                          </a:xfrm>
                          <a:prstGeom prst="rect">
                            <a:avLst/>
                          </a:prstGeom>
                          <a:noFill/>
                          <a:ln>
                            <a:noFill/>
                          </a:ln>
                        </pic:spPr>
                      </pic:pic>
                    </a:graphicData>
                  </a:graphic>
                </wp:inline>
              </w:drawing>
            </w:r>
          </w:p>
        </w:tc>
        <w:tc>
          <w:tcPr>
            <w:tcW w:w="1559" w:type="dxa"/>
            <w:vAlign w:val="center"/>
          </w:tcPr>
          <w:p>
            <w:pPr>
              <w:widowControl w:val="0"/>
              <w:spacing w:line="240" w:lineRule="auto"/>
              <w:ind w:firstLine="0" w:firstLineChars="0"/>
              <w:jc w:val="center"/>
              <w:rPr>
                <w:rFonts w:eastAsiaTheme="minorEastAsia"/>
                <w:color w:val="auto"/>
              </w:rPr>
            </w:pPr>
            <w:r>
              <w:rPr>
                <w:rFonts w:eastAsiaTheme="minorEastAsia"/>
                <w:color w:val="auto"/>
              </w:rPr>
              <w:t>危险废物</w:t>
            </w:r>
          </w:p>
        </w:tc>
        <w:tc>
          <w:tcPr>
            <w:tcW w:w="3169" w:type="dxa"/>
            <w:vAlign w:val="center"/>
          </w:tcPr>
          <w:p>
            <w:pPr>
              <w:widowControl w:val="0"/>
              <w:spacing w:line="240" w:lineRule="auto"/>
              <w:ind w:firstLine="0" w:firstLineChars="0"/>
              <w:jc w:val="center"/>
              <w:rPr>
                <w:rFonts w:eastAsiaTheme="minorEastAsia"/>
                <w:color w:val="auto"/>
              </w:rPr>
            </w:pPr>
            <w:r>
              <w:rPr>
                <w:rFonts w:eastAsiaTheme="minorEastAsia"/>
                <w:color w:val="auto"/>
              </w:rPr>
              <w:t>表示危险废物贮存、处置场</w:t>
            </w:r>
          </w:p>
        </w:tc>
      </w:tr>
    </w:tbl>
    <w:p>
      <w:pPr>
        <w:widowControl w:val="0"/>
        <w:adjustRightInd w:val="0"/>
        <w:snapToGrid w:val="0"/>
        <w:spacing w:line="360" w:lineRule="auto"/>
        <w:ind w:firstLine="480" w:firstLineChars="200"/>
        <w:jc w:val="both"/>
        <w:textAlignment w:val="baseline"/>
        <w:rPr>
          <w:color w:val="auto"/>
          <w:kern w:val="0"/>
          <w:sz w:val="24"/>
          <w:szCs w:val="20"/>
        </w:rPr>
      </w:pPr>
    </w:p>
    <w:p>
      <w:pPr>
        <w:ind w:firstLine="480"/>
        <w:rPr>
          <w:color w:val="auto"/>
        </w:rPr>
      </w:pPr>
    </w:p>
    <w:p>
      <w:pPr>
        <w:pStyle w:val="3"/>
        <w:keepNext/>
        <w:keepLines/>
        <w:pageBreakBefore/>
        <w:widowControl w:val="0"/>
        <w:tabs>
          <w:tab w:val="left" w:pos="360"/>
        </w:tabs>
        <w:kinsoku/>
        <w:wordWrap/>
        <w:overflowPunct/>
        <w:topLinePunct w:val="0"/>
        <w:autoSpaceDE/>
        <w:autoSpaceDN/>
        <w:bidi w:val="0"/>
        <w:adjustRightInd/>
        <w:snapToGrid/>
        <w:spacing w:before="320" w:beforeLines="100" w:after="161" w:afterLines="50" w:line="360" w:lineRule="auto"/>
        <w:contextualSpacing/>
        <w:textAlignment w:val="baseline"/>
        <w:rPr>
          <w:bCs w:val="0"/>
          <w:color w:val="auto"/>
          <w:szCs w:val="20"/>
        </w:rPr>
      </w:pPr>
      <w:bookmarkStart w:id="452" w:name="_Toc112338985"/>
      <w:r>
        <w:rPr>
          <w:bCs w:val="0"/>
          <w:color w:val="auto"/>
          <w:szCs w:val="20"/>
        </w:rPr>
        <w:t>第十章  环境影响评价结论</w:t>
      </w:r>
      <w:bookmarkEnd w:id="430"/>
      <w:bookmarkEnd w:id="431"/>
      <w:bookmarkEnd w:id="432"/>
      <w:bookmarkEnd w:id="433"/>
      <w:bookmarkEnd w:id="434"/>
      <w:bookmarkEnd w:id="452"/>
    </w:p>
    <w:p>
      <w:pPr>
        <w:pStyle w:val="4"/>
        <w:pageBreakBefore w:val="0"/>
        <w:widowControl w:val="0"/>
        <w:tabs>
          <w:tab w:val="left" w:pos="1200"/>
          <w:tab w:val="left" w:pos="1571"/>
          <w:tab w:val="left" w:pos="1680"/>
        </w:tabs>
        <w:kinsoku/>
        <w:wordWrap/>
        <w:overflowPunct/>
        <w:topLinePunct w:val="0"/>
        <w:autoSpaceDE/>
        <w:autoSpaceDN/>
        <w:bidi w:val="0"/>
        <w:adjustRightInd w:val="0"/>
        <w:snapToGrid w:val="0"/>
        <w:spacing w:before="0" w:beforeLines="0" w:after="0" w:afterLines="0" w:line="360" w:lineRule="auto"/>
        <w:textAlignment w:val="baseline"/>
        <w:rPr>
          <w:bCs w:val="0"/>
          <w:color w:val="auto"/>
          <w:kern w:val="0"/>
          <w:szCs w:val="20"/>
          <w:lang w:val="en-US"/>
        </w:rPr>
      </w:pPr>
      <w:bookmarkStart w:id="453" w:name="_Toc168997049"/>
      <w:bookmarkStart w:id="454" w:name="_Toc225498096"/>
      <w:bookmarkStart w:id="455" w:name="_Toc215214490"/>
      <w:bookmarkStart w:id="456" w:name="_Toc219026242"/>
      <w:bookmarkStart w:id="457" w:name="_Toc169323620"/>
      <w:bookmarkStart w:id="458" w:name="_Toc167790625"/>
      <w:bookmarkStart w:id="459" w:name="_Toc167790230"/>
      <w:bookmarkStart w:id="460" w:name="_Toc225489806"/>
      <w:bookmarkStart w:id="461" w:name="_Toc225498035"/>
      <w:bookmarkStart w:id="462" w:name="_Toc225497884"/>
      <w:bookmarkStart w:id="463" w:name="_Toc225498563"/>
      <w:bookmarkStart w:id="464" w:name="_Toc264113715"/>
      <w:bookmarkStart w:id="465" w:name="_Toc12053"/>
      <w:bookmarkStart w:id="466" w:name="_Toc112338986"/>
      <w:bookmarkStart w:id="467" w:name="_Toc7334"/>
      <w:bookmarkStart w:id="468" w:name="_Toc15419_WPSOffice_Level2"/>
      <w:bookmarkStart w:id="469" w:name="_Toc20516"/>
      <w:r>
        <w:rPr>
          <w:bCs w:val="0"/>
          <w:color w:val="auto"/>
          <w:kern w:val="0"/>
          <w:szCs w:val="20"/>
          <w:lang w:val="en-US"/>
        </w:rPr>
        <w:t>10.1</w:t>
      </w:r>
      <w:bookmarkEnd w:id="453"/>
      <w:bookmarkEnd w:id="454"/>
      <w:bookmarkEnd w:id="455"/>
      <w:bookmarkEnd w:id="456"/>
      <w:bookmarkEnd w:id="457"/>
      <w:bookmarkEnd w:id="458"/>
      <w:bookmarkEnd w:id="459"/>
      <w:bookmarkEnd w:id="460"/>
      <w:bookmarkEnd w:id="461"/>
      <w:bookmarkEnd w:id="462"/>
      <w:bookmarkEnd w:id="463"/>
      <w:bookmarkEnd w:id="464"/>
      <w:r>
        <w:rPr>
          <w:bCs w:val="0"/>
          <w:color w:val="auto"/>
          <w:kern w:val="0"/>
          <w:szCs w:val="20"/>
          <w:lang w:val="en-US"/>
        </w:rPr>
        <w:t>评价结论</w:t>
      </w:r>
      <w:bookmarkEnd w:id="465"/>
      <w:bookmarkEnd w:id="466"/>
      <w:bookmarkEnd w:id="467"/>
      <w:bookmarkEnd w:id="468"/>
      <w:bookmarkEnd w:id="469"/>
    </w:p>
    <w:p>
      <w:pPr>
        <w:pageBreakBefore w:val="0"/>
        <w:kinsoku/>
        <w:wordWrap/>
        <w:overflowPunct/>
        <w:topLinePunct w:val="0"/>
        <w:autoSpaceDE/>
        <w:autoSpaceDN/>
        <w:bidi w:val="0"/>
        <w:adjustRightInd w:val="0"/>
        <w:snapToGrid w:val="0"/>
        <w:spacing w:line="360" w:lineRule="auto"/>
        <w:outlineLvl w:val="2"/>
        <w:rPr>
          <w:color w:val="auto"/>
          <w:kern w:val="21"/>
          <w:sz w:val="28"/>
          <w:szCs w:val="28"/>
        </w:rPr>
      </w:pPr>
      <w:bookmarkStart w:id="470" w:name="_Toc14167"/>
      <w:bookmarkStart w:id="471" w:name="_Toc219026245"/>
      <w:bookmarkStart w:id="472" w:name="_Toc225498099"/>
      <w:bookmarkStart w:id="473" w:name="_Toc225498038"/>
      <w:bookmarkStart w:id="474" w:name="_Toc169323622"/>
      <w:bookmarkStart w:id="475" w:name="_Toc167790627"/>
      <w:bookmarkStart w:id="476" w:name="_Toc215214492"/>
      <w:bookmarkStart w:id="477" w:name="_Toc225489809"/>
      <w:bookmarkStart w:id="478" w:name="_Toc168997051"/>
      <w:bookmarkStart w:id="479" w:name="_Toc264113718"/>
      <w:bookmarkStart w:id="480" w:name="_Toc225497887"/>
      <w:bookmarkStart w:id="481" w:name="_Toc167790232"/>
      <w:bookmarkStart w:id="482" w:name="_Toc225498566"/>
      <w:r>
        <w:rPr>
          <w:color w:val="auto"/>
          <w:kern w:val="21"/>
          <w:sz w:val="30"/>
          <w:szCs w:val="30"/>
        </w:rPr>
        <w:t>10</w:t>
      </w:r>
      <w:r>
        <w:rPr>
          <w:rFonts w:eastAsia="黑体"/>
          <w:bCs/>
          <w:color w:val="auto"/>
          <w:kern w:val="21"/>
          <w:sz w:val="28"/>
          <w:szCs w:val="28"/>
        </w:rPr>
        <w:t>.1.1项目概况</w:t>
      </w:r>
      <w:bookmarkEnd w:id="470"/>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rPr>
      </w:pPr>
      <w:r>
        <w:rPr>
          <w:color w:val="auto"/>
          <w:sz w:val="24"/>
          <w:szCs w:val="24"/>
        </w:rPr>
        <w:t>河南中能锂动电源有限公司拟投资</w:t>
      </w:r>
      <w:r>
        <w:rPr>
          <w:rFonts w:hint="eastAsia"/>
          <w:color w:val="auto"/>
          <w:sz w:val="24"/>
          <w:szCs w:val="24"/>
        </w:rPr>
        <w:t>5.6</w:t>
      </w:r>
      <w:r>
        <w:rPr>
          <w:color w:val="auto"/>
          <w:sz w:val="24"/>
          <w:szCs w:val="24"/>
        </w:rPr>
        <w:t>亿元在获嘉县产业集聚区安王路与梧桐路交叉口，租赁现有厂</w:t>
      </w:r>
      <w:r>
        <w:rPr>
          <w:rFonts w:hint="eastAsia"/>
          <w:color w:val="auto"/>
          <w:sz w:val="24"/>
          <w:szCs w:val="24"/>
          <w:lang w:eastAsia="zh-CN"/>
        </w:rPr>
        <w:t>房</w:t>
      </w:r>
      <w:r>
        <w:rPr>
          <w:color w:val="auto"/>
          <w:sz w:val="24"/>
          <w:szCs w:val="24"/>
        </w:rPr>
        <w:t>建设</w:t>
      </w:r>
      <w:r>
        <w:rPr>
          <w:rFonts w:ascii="宋体" w:hAnsi="宋体"/>
          <w:color w:val="auto"/>
          <w:sz w:val="24"/>
          <w:szCs w:val="24"/>
        </w:rPr>
        <w:t>“</w:t>
      </w:r>
      <w:r>
        <w:rPr>
          <w:color w:val="auto"/>
          <w:sz w:val="24"/>
          <w:szCs w:val="24"/>
        </w:rPr>
        <w:t>年产79.2198亿只电池配件项目</w:t>
      </w:r>
      <w:r>
        <w:rPr>
          <w:rFonts w:ascii="宋体" w:hAnsi="宋体"/>
          <w:color w:val="auto"/>
          <w:sz w:val="24"/>
          <w:szCs w:val="24"/>
        </w:rPr>
        <w:t>”</w:t>
      </w:r>
      <w:r>
        <w:rPr>
          <w:color w:val="auto"/>
          <w:sz w:val="24"/>
          <w:szCs w:val="24"/>
        </w:rPr>
        <w:t>。该项目总</w:t>
      </w:r>
      <w:r>
        <w:rPr>
          <w:rFonts w:hint="eastAsia"/>
          <w:color w:val="auto"/>
          <w:sz w:val="24"/>
          <w:szCs w:val="24"/>
        </w:rPr>
        <w:t>占地28000平方米，利用原有厂房两栋，建筑面积21100平方米，年产39.6亿只锂电池钢壳、39.6亿只锂电池盖帽、198万个</w:t>
      </w:r>
      <w:r>
        <w:rPr>
          <w:rFonts w:hint="eastAsia"/>
          <w:color w:val="auto"/>
          <w:sz w:val="24"/>
          <w:szCs w:val="24"/>
          <w:lang w:eastAsia="zh-CN"/>
        </w:rPr>
        <w:t>锂</w:t>
      </w:r>
      <w:r>
        <w:rPr>
          <w:rFonts w:hint="eastAsia"/>
          <w:color w:val="auto"/>
          <w:sz w:val="24"/>
          <w:szCs w:val="24"/>
        </w:rPr>
        <w:t>电池箱</w:t>
      </w:r>
      <w:r>
        <w:rPr>
          <w:color w:val="auto"/>
          <w:sz w:val="24"/>
          <w:szCs w:val="24"/>
        </w:rPr>
        <w:t>。</w:t>
      </w:r>
      <w:r>
        <w:rPr>
          <w:rFonts w:hint="eastAsia"/>
          <w:color w:val="auto"/>
          <w:sz w:val="24"/>
          <w:szCs w:val="24"/>
          <w:lang w:eastAsia="zh-CN"/>
        </w:rPr>
        <w:t>项目</w:t>
      </w:r>
      <w:r>
        <w:rPr>
          <w:color w:val="auto"/>
          <w:sz w:val="24"/>
          <w:szCs w:val="24"/>
        </w:rPr>
        <w:t>建设性质为新建，全厂劳动定员</w:t>
      </w:r>
      <w:r>
        <w:rPr>
          <w:rFonts w:hint="eastAsia"/>
          <w:color w:val="auto"/>
          <w:sz w:val="24"/>
          <w:szCs w:val="24"/>
        </w:rPr>
        <w:t>1</w:t>
      </w:r>
      <w:r>
        <w:rPr>
          <w:color w:val="auto"/>
          <w:sz w:val="24"/>
          <w:szCs w:val="24"/>
        </w:rPr>
        <w:t>00人。</w:t>
      </w:r>
    </w:p>
    <w:p>
      <w:pPr>
        <w:keepNext w:val="0"/>
        <w:keepLines w:val="0"/>
        <w:pageBreakBefore w:val="0"/>
        <w:widowControl/>
        <w:kinsoku/>
        <w:wordWrap/>
        <w:overflowPunct/>
        <w:topLinePunct w:val="0"/>
        <w:autoSpaceDE/>
        <w:autoSpaceDN/>
        <w:bidi w:val="0"/>
        <w:adjustRightInd w:val="0"/>
        <w:snapToGrid w:val="0"/>
        <w:spacing w:line="360" w:lineRule="auto"/>
        <w:textAlignment w:val="auto"/>
        <w:outlineLvl w:val="2"/>
        <w:rPr>
          <w:rFonts w:eastAsia="黑体"/>
          <w:bCs/>
          <w:color w:val="auto"/>
          <w:kern w:val="21"/>
          <w:sz w:val="28"/>
          <w:szCs w:val="28"/>
        </w:rPr>
      </w:pPr>
      <w:bookmarkStart w:id="483" w:name="_Toc8780"/>
      <w:r>
        <w:rPr>
          <w:color w:val="auto"/>
          <w:kern w:val="21"/>
          <w:sz w:val="30"/>
          <w:szCs w:val="30"/>
        </w:rPr>
        <w:t>10</w:t>
      </w:r>
      <w:r>
        <w:rPr>
          <w:rFonts w:eastAsia="黑体"/>
          <w:bCs/>
          <w:color w:val="auto"/>
          <w:kern w:val="21"/>
          <w:sz w:val="28"/>
          <w:szCs w:val="28"/>
        </w:rPr>
        <w:t>.1.2与国家政策法规的相符性</w:t>
      </w:r>
      <w:bookmarkEnd w:id="483"/>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shd w:val="clear" w:color="auto" w:fill="FFFFFF"/>
        </w:rPr>
      </w:pPr>
      <w:r>
        <w:rPr>
          <w:color w:val="auto"/>
          <w:kern w:val="21"/>
          <w:sz w:val="24"/>
          <w:shd w:val="clear" w:color="auto" w:fill="FFFFFF"/>
        </w:rPr>
        <w:t>河南中能锂动电源有限公司年产79.2198亿只电池配件项目，经</w:t>
      </w:r>
      <w:r>
        <w:rPr>
          <w:bCs/>
          <w:color w:val="auto"/>
          <w:sz w:val="24"/>
          <w:szCs w:val="24"/>
          <w:lang w:bidi="en-US"/>
        </w:rPr>
        <w:t>对照《国民经济行业分类》（GB/T4754-2017 及 2019年修正）及《</w:t>
      </w:r>
      <w:r>
        <w:rPr>
          <w:rFonts w:hint="eastAsia"/>
          <w:bCs/>
          <w:color w:val="auto"/>
          <w:sz w:val="24"/>
          <w:szCs w:val="24"/>
          <w:lang w:bidi="en-US"/>
        </w:rPr>
        <w:t>2017年国民经济行业分类注释</w:t>
      </w:r>
      <w:r>
        <w:rPr>
          <w:bCs/>
          <w:color w:val="auto"/>
          <w:sz w:val="24"/>
          <w:szCs w:val="24"/>
          <w:lang w:bidi="en-US"/>
        </w:rPr>
        <w:t>》</w:t>
      </w:r>
      <w:r>
        <w:rPr>
          <w:rFonts w:hint="eastAsia"/>
          <w:bCs/>
          <w:color w:val="auto"/>
          <w:sz w:val="24"/>
          <w:szCs w:val="24"/>
          <w:lang w:bidi="en-US"/>
        </w:rPr>
        <w:t>锂离子电池零部件及材料制造属于“</w:t>
      </w:r>
      <w:r>
        <w:rPr>
          <w:bCs/>
          <w:color w:val="auto"/>
          <w:sz w:val="24"/>
          <w:szCs w:val="24"/>
          <w:lang w:bidi="en-US"/>
        </w:rPr>
        <w:t>C</w:t>
      </w:r>
      <w:r>
        <w:rPr>
          <w:rFonts w:hint="eastAsia"/>
          <w:bCs/>
          <w:color w:val="auto"/>
          <w:sz w:val="24"/>
          <w:szCs w:val="24"/>
          <w:lang w:bidi="en-US"/>
        </w:rPr>
        <w:t>3849</w:t>
      </w:r>
      <w:r>
        <w:rPr>
          <w:bCs/>
          <w:color w:val="auto"/>
          <w:sz w:val="24"/>
          <w:szCs w:val="24"/>
          <w:lang w:bidi="en-US"/>
        </w:rPr>
        <w:t xml:space="preserve"> 其他电池制造</w:t>
      </w:r>
      <w:r>
        <w:rPr>
          <w:rFonts w:hint="eastAsia"/>
          <w:bCs/>
          <w:color w:val="auto"/>
          <w:sz w:val="24"/>
          <w:szCs w:val="24"/>
          <w:lang w:bidi="en-US"/>
        </w:rPr>
        <w:t>”。</w:t>
      </w:r>
      <w:r>
        <w:rPr>
          <w:bCs/>
          <w:color w:val="auto"/>
          <w:sz w:val="24"/>
          <w:szCs w:val="24"/>
          <w:lang w:bidi="en-US"/>
        </w:rPr>
        <w:t>本项目产品为锂电池钢壳、盖帽</w:t>
      </w:r>
      <w:r>
        <w:rPr>
          <w:rFonts w:hint="eastAsia"/>
          <w:bCs/>
          <w:color w:val="auto"/>
          <w:sz w:val="24"/>
          <w:szCs w:val="24"/>
          <w:lang w:eastAsia="zh-CN" w:bidi="en-US"/>
        </w:rPr>
        <w:t>及</w:t>
      </w:r>
      <w:r>
        <w:rPr>
          <w:bCs/>
          <w:color w:val="auto"/>
          <w:sz w:val="24"/>
          <w:szCs w:val="24"/>
          <w:lang w:bidi="en-US"/>
        </w:rPr>
        <w:t>电池箱，因此归类为</w:t>
      </w:r>
      <w:r>
        <w:rPr>
          <w:rFonts w:hint="eastAsia"/>
          <w:bCs/>
          <w:color w:val="auto"/>
          <w:sz w:val="24"/>
          <w:szCs w:val="24"/>
          <w:lang w:bidi="en-US"/>
        </w:rPr>
        <w:t>“</w:t>
      </w:r>
      <w:r>
        <w:rPr>
          <w:bCs/>
          <w:color w:val="auto"/>
          <w:sz w:val="24"/>
          <w:szCs w:val="24"/>
          <w:lang w:bidi="en-US"/>
        </w:rPr>
        <w:t>C</w:t>
      </w:r>
      <w:r>
        <w:rPr>
          <w:rFonts w:hint="eastAsia"/>
          <w:bCs/>
          <w:color w:val="auto"/>
          <w:sz w:val="24"/>
          <w:szCs w:val="24"/>
          <w:lang w:bidi="en-US"/>
        </w:rPr>
        <w:t>3849</w:t>
      </w:r>
      <w:r>
        <w:rPr>
          <w:bCs/>
          <w:color w:val="auto"/>
          <w:sz w:val="24"/>
          <w:szCs w:val="24"/>
          <w:lang w:bidi="en-US"/>
        </w:rPr>
        <w:t xml:space="preserve"> 其他电池制造</w:t>
      </w:r>
      <w:r>
        <w:rPr>
          <w:rFonts w:hint="eastAsia"/>
          <w:bCs/>
          <w:color w:val="auto"/>
          <w:sz w:val="24"/>
          <w:szCs w:val="24"/>
          <w:lang w:bidi="en-US"/>
        </w:rPr>
        <w:t>”</w:t>
      </w:r>
      <w:r>
        <w:rPr>
          <w:rFonts w:hint="eastAsia"/>
          <w:bCs/>
          <w:color w:val="auto"/>
          <w:sz w:val="24"/>
          <w:szCs w:val="24"/>
          <w:lang w:eastAsia="zh-CN" w:bidi="en-US"/>
        </w:rPr>
        <w:t>，</w:t>
      </w:r>
      <w:r>
        <w:rPr>
          <w:bCs/>
          <w:color w:val="auto"/>
          <w:sz w:val="24"/>
          <w:szCs w:val="24"/>
          <w:lang w:bidi="en-US"/>
        </w:rPr>
        <w:t>对照《产业结构调整指导目录（2019 年本）》，本项目不属于鼓励类、限制类、淘汰类，属于允许类。项目建设符合</w:t>
      </w:r>
      <w:r>
        <w:rPr>
          <w:rFonts w:hint="eastAsia"/>
          <w:bCs/>
          <w:color w:val="auto"/>
          <w:sz w:val="24"/>
          <w:szCs w:val="24"/>
          <w:lang w:eastAsia="zh-CN" w:bidi="en-US"/>
        </w:rPr>
        <w:t>国家</w:t>
      </w:r>
      <w:r>
        <w:rPr>
          <w:bCs/>
          <w:color w:val="auto"/>
          <w:sz w:val="24"/>
          <w:szCs w:val="24"/>
          <w:lang w:bidi="en-US"/>
        </w:rPr>
        <w:t>产业政策要求</w:t>
      </w:r>
      <w:r>
        <w:rPr>
          <w:color w:val="auto"/>
          <w:kern w:val="21"/>
          <w:sz w:val="24"/>
          <w:shd w:val="clear" w:color="auto" w:fill="FFFFFF"/>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bCs/>
          <w:color w:val="auto"/>
          <w:sz w:val="24"/>
          <w:szCs w:val="24"/>
          <w:lang w:bidi="en-US"/>
        </w:rPr>
      </w:pPr>
      <w:r>
        <w:rPr>
          <w:rFonts w:hint="eastAsia"/>
          <w:bCs/>
          <w:color w:val="auto"/>
          <w:sz w:val="24"/>
          <w:szCs w:val="24"/>
          <w:lang w:bidi="en-US"/>
        </w:rPr>
        <w:t>项目建设符合</w:t>
      </w:r>
      <w:r>
        <w:rPr>
          <w:rFonts w:ascii="宋体" w:hAnsi="宋体" w:cs="宋体"/>
          <w:color w:val="auto"/>
          <w:kern w:val="21"/>
          <w:sz w:val="24"/>
          <w:szCs w:val="24"/>
        </w:rPr>
        <w:t>《关于加强涉重金属行业污染防控的意见》（环土壤</w:t>
      </w:r>
      <w:r>
        <w:rPr>
          <w:rFonts w:hint="eastAsia" w:ascii="宋体" w:hAnsi="宋体" w:cs="宋体"/>
          <w:color w:val="auto"/>
          <w:kern w:val="21"/>
          <w:sz w:val="24"/>
          <w:szCs w:val="24"/>
          <w:lang w:val="en-US" w:eastAsia="zh-CN"/>
        </w:rPr>
        <w:t>[</w:t>
      </w:r>
      <w:r>
        <w:rPr>
          <w:rFonts w:eastAsia="Times New Roman"/>
          <w:color w:val="auto"/>
          <w:kern w:val="21"/>
          <w:sz w:val="24"/>
          <w:szCs w:val="24"/>
        </w:rPr>
        <w:t>2018]22</w:t>
      </w:r>
      <w:r>
        <w:rPr>
          <w:rFonts w:hint="eastAsia"/>
          <w:bCs/>
          <w:color w:val="auto"/>
          <w:sz w:val="24"/>
          <w:szCs w:val="24"/>
          <w:lang w:bidi="en-US"/>
        </w:rPr>
        <w:t>号）、《重点区域2021-2022年秋冬季大气污染综合治理攻坚方案》、《河南省涉重金属重点行业污染防控工作方案》（豫环文</w:t>
      </w:r>
      <w:r>
        <w:rPr>
          <w:rFonts w:hint="eastAsia"/>
          <w:bCs/>
          <w:color w:val="auto"/>
          <w:sz w:val="24"/>
          <w:szCs w:val="24"/>
          <w:lang w:val="en-US" w:eastAsia="zh-CN" w:bidi="en-US"/>
        </w:rPr>
        <w:t>[</w:t>
      </w:r>
      <w:r>
        <w:rPr>
          <w:rFonts w:hint="eastAsia"/>
          <w:bCs/>
          <w:color w:val="auto"/>
          <w:sz w:val="24"/>
          <w:szCs w:val="24"/>
          <w:lang w:bidi="en-US"/>
        </w:rPr>
        <w:t>2018）262号</w:t>
      </w:r>
      <w:r>
        <w:rPr>
          <w:rFonts w:hint="eastAsia"/>
          <w:bCs/>
          <w:color w:val="auto"/>
          <w:sz w:val="24"/>
          <w:szCs w:val="24"/>
          <w:lang w:val="en-US" w:eastAsia="zh-CN" w:bidi="en-US"/>
        </w:rPr>
        <w:t>]</w:t>
      </w:r>
      <w:r>
        <w:rPr>
          <w:rFonts w:hint="eastAsia"/>
          <w:bCs/>
          <w:color w:val="auto"/>
          <w:sz w:val="24"/>
          <w:szCs w:val="24"/>
          <w:lang w:eastAsia="zh-CN" w:bidi="en-US"/>
        </w:rPr>
        <w:t>）</w:t>
      </w:r>
      <w:r>
        <w:rPr>
          <w:rFonts w:hint="eastAsia"/>
          <w:bCs/>
          <w:color w:val="auto"/>
          <w:sz w:val="24"/>
          <w:szCs w:val="24"/>
          <w:lang w:bidi="en-US"/>
        </w:rPr>
        <w:t>、《关于进一步加强重金属污染防控的意见》（环固体【2022】17号）《河南省进一步加强重金属污染防控工作方案的通知》（豫环文[2022]90号）、《关于建立“两高”项目会商联审机制的通知》（豫发改环资[2021]977 号）、《关于印发河南省重金属污染防治工作指导意见的通知》（豫环文[2017]277号）、《河南省重污染天气重点行业应急减排措施制定技术指南（2021）年修订》、《关于印发河南省“十四五”生态环境保护和生态经济发展规划的通知》（豫政[2021]44 号）、《新乡市“十四五”生态环境保护和生态经济发展规划》、《关于印发新乡市2019年工业企业无组织排放治理方案的通知》、《新乡市2022年大气、水、土壤污染防治攻坚战及农业农村污染治理攻坚战实施方案》（新环攻坚办〔2022〕60号）、《新乡市“十四五”重金属污染防治工作方案》（新环[2022]110号）</w:t>
      </w:r>
      <w:r>
        <w:rPr>
          <w:rFonts w:hint="eastAsia"/>
          <w:color w:val="auto"/>
          <w:kern w:val="21"/>
          <w:sz w:val="24"/>
          <w:szCs w:val="24"/>
        </w:rPr>
        <w:t>、</w:t>
      </w:r>
      <w:r>
        <w:rPr>
          <w:color w:val="auto"/>
          <w:kern w:val="21"/>
          <w:sz w:val="24"/>
          <w:szCs w:val="24"/>
        </w:rPr>
        <w:t>《河南省电镀建设项目环境影响评价文件审查审批原则（修订）》</w:t>
      </w:r>
      <w:r>
        <w:rPr>
          <w:bCs/>
          <w:color w:val="auto"/>
          <w:sz w:val="24"/>
          <w:szCs w:val="24"/>
          <w:lang w:bidi="en-US"/>
        </w:rPr>
        <w:t>及河南省、新乡市</w:t>
      </w:r>
      <w:r>
        <w:rPr>
          <w:rFonts w:asciiTheme="minorEastAsia" w:hAnsiTheme="minorEastAsia" w:eastAsiaTheme="minorEastAsia"/>
          <w:bCs/>
          <w:color w:val="auto"/>
          <w:sz w:val="24"/>
          <w:szCs w:val="24"/>
          <w:lang w:bidi="en-US"/>
        </w:rPr>
        <w:t>“</w:t>
      </w:r>
      <w:r>
        <w:rPr>
          <w:bCs/>
          <w:color w:val="auto"/>
          <w:sz w:val="24"/>
          <w:szCs w:val="24"/>
          <w:lang w:bidi="en-US"/>
        </w:rPr>
        <w:t>三线一单</w:t>
      </w:r>
      <w:r>
        <w:rPr>
          <w:rFonts w:asciiTheme="minorEastAsia" w:hAnsiTheme="minorEastAsia" w:eastAsiaTheme="minorEastAsia"/>
          <w:bCs/>
          <w:color w:val="auto"/>
          <w:sz w:val="24"/>
          <w:szCs w:val="24"/>
          <w:lang w:bidi="en-US"/>
        </w:rPr>
        <w:t>”</w:t>
      </w:r>
      <w:r>
        <w:rPr>
          <w:bCs/>
          <w:color w:val="auto"/>
          <w:sz w:val="24"/>
          <w:szCs w:val="24"/>
          <w:lang w:bidi="en-US"/>
        </w:rPr>
        <w:t>管控要求。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bCs/>
          <w:color w:val="auto"/>
          <w:sz w:val="24"/>
          <w:szCs w:val="24"/>
          <w:lang w:bidi="en-US"/>
        </w:rPr>
      </w:pPr>
      <w:r>
        <w:rPr>
          <w:rFonts w:hint="eastAsia"/>
          <w:bCs/>
          <w:color w:val="auto"/>
          <w:sz w:val="24"/>
          <w:szCs w:val="24"/>
          <w:lang w:bidi="en-US"/>
        </w:rPr>
        <w:t>同时经对比</w:t>
      </w:r>
      <w:r>
        <w:rPr>
          <w:bCs/>
          <w:color w:val="auto"/>
          <w:kern w:val="21"/>
          <w:sz w:val="24"/>
        </w:rPr>
        <w:t>《河南省获嘉县产业集聚区发展规划（2009-2020）》及《获嘉县产业集聚区总体发展规划（2016-2020）调整方案环境影响报告书》，本项目为</w:t>
      </w:r>
      <w:r>
        <w:rPr>
          <w:rFonts w:hint="eastAsia"/>
          <w:bCs/>
          <w:color w:val="auto"/>
          <w:kern w:val="21"/>
          <w:sz w:val="24"/>
        </w:rPr>
        <w:t>C3849 其他电池制造业，位于集聚区城东机械制造功能园区，项目建设不违背主导产业及功能布局。</w:t>
      </w:r>
      <w:r>
        <w:rPr>
          <w:rFonts w:hint="eastAsia"/>
          <w:snapToGrid w:val="0"/>
          <w:color w:val="auto"/>
          <w:kern w:val="21"/>
          <w:sz w:val="24"/>
        </w:rPr>
        <w:t>用地性质为二类工业用地，与规划环评环境准入条件相符，不在环境准入负面清单内。</w:t>
      </w:r>
    </w:p>
    <w:p>
      <w:pPr>
        <w:pageBreakBefore w:val="0"/>
        <w:kinsoku/>
        <w:overflowPunct/>
        <w:topLinePunct w:val="0"/>
        <w:autoSpaceDE/>
        <w:autoSpaceDN/>
        <w:bidi w:val="0"/>
        <w:adjustRightInd w:val="0"/>
        <w:snapToGrid w:val="0"/>
        <w:spacing w:line="360" w:lineRule="auto"/>
        <w:outlineLvl w:val="2"/>
        <w:rPr>
          <w:rFonts w:eastAsia="黑体"/>
          <w:bCs/>
          <w:color w:val="auto"/>
          <w:kern w:val="21"/>
          <w:sz w:val="28"/>
          <w:szCs w:val="28"/>
        </w:rPr>
      </w:pPr>
      <w:bookmarkStart w:id="484" w:name="_Toc9261"/>
      <w:r>
        <w:rPr>
          <w:color w:val="auto"/>
          <w:kern w:val="21"/>
          <w:sz w:val="30"/>
          <w:szCs w:val="30"/>
        </w:rPr>
        <w:t>10</w:t>
      </w:r>
      <w:r>
        <w:rPr>
          <w:rFonts w:eastAsia="黑体"/>
          <w:bCs/>
          <w:color w:val="auto"/>
          <w:kern w:val="21"/>
          <w:sz w:val="28"/>
          <w:szCs w:val="28"/>
        </w:rPr>
        <w:t>.1.3环境现状评价结论</w:t>
      </w:r>
      <w:bookmarkEnd w:id="484"/>
    </w:p>
    <w:p>
      <w:pPr>
        <w:keepNext w:val="0"/>
        <w:keepLines w:val="0"/>
        <w:pageBreakBefore w:val="0"/>
        <w:widowControl/>
        <w:kinsoku/>
        <w:wordWrap/>
        <w:overflowPunct/>
        <w:topLinePunct w:val="0"/>
        <w:autoSpaceDE/>
        <w:autoSpaceDN/>
        <w:bidi w:val="0"/>
        <w:adjustRightInd w:val="0"/>
        <w:snapToGrid w:val="0"/>
        <w:spacing w:line="360" w:lineRule="auto"/>
        <w:ind w:firstLine="484" w:firstLineChars="202"/>
        <w:textAlignment w:val="auto"/>
        <w:rPr>
          <w:color w:val="auto"/>
          <w:kern w:val="21"/>
          <w:sz w:val="24"/>
        </w:rPr>
      </w:pPr>
      <w:r>
        <w:rPr>
          <w:color w:val="auto"/>
          <w:kern w:val="21"/>
          <w:sz w:val="24"/>
        </w:rPr>
        <w:t>（1）大气环境现状评价结论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bCs/>
          <w:color w:val="auto"/>
          <w:sz w:val="24"/>
          <w:szCs w:val="24"/>
          <w:lang w:bidi="en-US"/>
        </w:rPr>
      </w:pPr>
      <w:r>
        <w:rPr>
          <w:color w:val="auto"/>
          <w:kern w:val="21"/>
          <w:sz w:val="24"/>
          <w:szCs w:val="24"/>
        </w:rPr>
        <w:t>基本污染因子根据</w:t>
      </w:r>
      <w:r>
        <w:rPr>
          <w:rFonts w:hint="eastAsia" w:ascii="宋体" w:hAnsi="宋体"/>
          <w:color w:val="auto"/>
          <w:kern w:val="0"/>
          <w:sz w:val="24"/>
          <w:szCs w:val="28"/>
        </w:rPr>
        <w:t xml:space="preserve"> “新乡市生态环境局发布的新乡市</w:t>
      </w:r>
      <w:r>
        <w:rPr>
          <w:rFonts w:hint="eastAsia"/>
          <w:color w:val="auto"/>
          <w:kern w:val="0"/>
          <w:sz w:val="24"/>
          <w:szCs w:val="28"/>
          <w:lang w:val="en-US" w:eastAsia="zh-CN"/>
        </w:rPr>
        <w:t>2022</w:t>
      </w:r>
      <w:r>
        <w:rPr>
          <w:rFonts w:hint="eastAsia" w:ascii="宋体" w:hAnsi="宋体"/>
          <w:color w:val="auto"/>
          <w:kern w:val="0"/>
          <w:sz w:val="24"/>
          <w:szCs w:val="28"/>
        </w:rPr>
        <w:t>年环境质量公报”</w:t>
      </w:r>
      <w:r>
        <w:rPr>
          <w:color w:val="auto"/>
          <w:kern w:val="21"/>
          <w:sz w:val="24"/>
          <w:szCs w:val="24"/>
        </w:rPr>
        <w:t>，除PM</w:t>
      </w:r>
      <w:r>
        <w:rPr>
          <w:color w:val="auto"/>
          <w:kern w:val="21"/>
          <w:sz w:val="24"/>
          <w:szCs w:val="24"/>
          <w:vertAlign w:val="subscript"/>
        </w:rPr>
        <w:t>10</w:t>
      </w:r>
      <w:r>
        <w:rPr>
          <w:color w:val="auto"/>
          <w:kern w:val="21"/>
          <w:sz w:val="24"/>
          <w:szCs w:val="24"/>
        </w:rPr>
        <w:t>、PM</w:t>
      </w:r>
      <w:r>
        <w:rPr>
          <w:color w:val="auto"/>
          <w:kern w:val="21"/>
          <w:sz w:val="24"/>
          <w:szCs w:val="24"/>
          <w:vertAlign w:val="subscript"/>
        </w:rPr>
        <w:t>2.5</w:t>
      </w:r>
      <w:r>
        <w:rPr>
          <w:color w:val="auto"/>
          <w:kern w:val="21"/>
          <w:sz w:val="24"/>
          <w:szCs w:val="24"/>
        </w:rPr>
        <w:t>和O</w:t>
      </w:r>
      <w:r>
        <w:rPr>
          <w:rFonts w:hint="eastAsia"/>
          <w:color w:val="auto"/>
          <w:kern w:val="21"/>
          <w:sz w:val="24"/>
          <w:szCs w:val="24"/>
          <w:vertAlign w:val="subscript"/>
        </w:rPr>
        <w:t>3</w:t>
      </w:r>
      <w:r>
        <w:rPr>
          <w:color w:val="auto"/>
          <w:kern w:val="21"/>
          <w:sz w:val="24"/>
          <w:szCs w:val="24"/>
        </w:rPr>
        <w:t>以外，其他因子均能够满足《环境空气质量标准》（GB3095-2012）二级标准要求；</w:t>
      </w:r>
      <w:r>
        <w:rPr>
          <w:color w:val="auto"/>
          <w:kern w:val="0"/>
          <w:sz w:val="24"/>
          <w:szCs w:val="28"/>
        </w:rPr>
        <w:t>特征污染物（氯化氢、硫酸雾、铬酸雾、硫化氢、氨等）环境质量现状数据来源于本次环评委托</w:t>
      </w:r>
      <w:r>
        <w:rPr>
          <w:rFonts w:hint="eastAsia"/>
          <w:color w:val="auto"/>
          <w:kern w:val="0"/>
          <w:sz w:val="24"/>
          <w:szCs w:val="28"/>
        </w:rPr>
        <w:t>河南</w:t>
      </w:r>
      <w:r>
        <w:rPr>
          <w:color w:val="auto"/>
          <w:kern w:val="0"/>
          <w:sz w:val="24"/>
          <w:szCs w:val="28"/>
        </w:rPr>
        <w:t>鼎泰检测技术有限公司于2021年</w:t>
      </w:r>
      <w:r>
        <w:rPr>
          <w:rFonts w:hint="eastAsia"/>
          <w:color w:val="auto"/>
          <w:kern w:val="0"/>
          <w:sz w:val="24"/>
          <w:szCs w:val="28"/>
        </w:rPr>
        <w:t>9</w:t>
      </w:r>
      <w:r>
        <w:rPr>
          <w:color w:val="auto"/>
          <w:kern w:val="0"/>
          <w:sz w:val="24"/>
          <w:szCs w:val="28"/>
        </w:rPr>
        <w:t>月</w:t>
      </w:r>
      <w:r>
        <w:rPr>
          <w:rFonts w:hint="eastAsia"/>
          <w:color w:val="auto"/>
          <w:kern w:val="0"/>
          <w:sz w:val="24"/>
          <w:szCs w:val="28"/>
        </w:rPr>
        <w:t>16</w:t>
      </w:r>
      <w:r>
        <w:rPr>
          <w:color w:val="auto"/>
          <w:kern w:val="0"/>
          <w:sz w:val="24"/>
          <w:szCs w:val="28"/>
        </w:rPr>
        <w:t>日</w:t>
      </w:r>
      <w:r>
        <w:rPr>
          <w:rFonts w:hint="eastAsia"/>
          <w:color w:val="auto"/>
          <w:kern w:val="0"/>
          <w:sz w:val="24"/>
          <w:szCs w:val="28"/>
          <w:lang w:eastAsia="zh-CN"/>
        </w:rPr>
        <w:t>～</w:t>
      </w:r>
      <w:r>
        <w:rPr>
          <w:rFonts w:hint="eastAsia"/>
          <w:color w:val="auto"/>
          <w:kern w:val="0"/>
          <w:sz w:val="24"/>
          <w:szCs w:val="28"/>
        </w:rPr>
        <w:t>22</w:t>
      </w:r>
      <w:r>
        <w:rPr>
          <w:color w:val="auto"/>
          <w:kern w:val="0"/>
          <w:sz w:val="24"/>
          <w:szCs w:val="28"/>
        </w:rPr>
        <w:t>日进行的</w:t>
      </w:r>
      <w:r>
        <w:rPr>
          <w:rFonts w:hint="eastAsia"/>
          <w:color w:val="auto"/>
          <w:kern w:val="0"/>
          <w:sz w:val="24"/>
          <w:szCs w:val="28"/>
        </w:rPr>
        <w:t>监测数据，从</w:t>
      </w:r>
      <w:r>
        <w:rPr>
          <w:rFonts w:ascii="宋体" w:hAnsi="宋体" w:cs="宋体"/>
          <w:color w:val="auto"/>
          <w:kern w:val="0"/>
          <w:position w:val="2"/>
          <w:sz w:val="24"/>
          <w:szCs w:val="24"/>
          <w:lang w:val="zh-CN" w:bidi="zh-CN"/>
        </w:rPr>
        <w:t>监测结果可知，</w:t>
      </w:r>
      <w:r>
        <w:rPr>
          <w:rFonts w:hint="eastAsia"/>
          <w:bCs/>
          <w:color w:val="auto"/>
          <w:sz w:val="24"/>
          <w:szCs w:val="24"/>
          <w:lang w:bidi="en-US"/>
        </w:rPr>
        <w:t>项目所选取的各监测点位的特征因子HCL、硫酸雾、氨、硫化氢小时值及HCL、硫酸雾的日均值均能满足《环境影响评价技术导则 大气环境》（HJ2.2-2018）附录 D 要求；铬酸雾小时值能满足《大气污染物综合排放标准》（GB16297-1996）详解要求。</w:t>
      </w:r>
    </w:p>
    <w:p>
      <w:pPr>
        <w:keepNext w:val="0"/>
        <w:keepLines w:val="0"/>
        <w:pageBreakBefore w:val="0"/>
        <w:widowControl/>
        <w:kinsoku/>
        <w:wordWrap/>
        <w:overflowPunct/>
        <w:topLinePunct w:val="0"/>
        <w:autoSpaceDE/>
        <w:autoSpaceDN/>
        <w:bidi w:val="0"/>
        <w:adjustRightInd w:val="0"/>
        <w:snapToGrid w:val="0"/>
        <w:spacing w:line="360" w:lineRule="auto"/>
        <w:ind w:firstLine="484" w:firstLineChars="202"/>
        <w:textAlignment w:val="auto"/>
        <w:rPr>
          <w:color w:val="auto"/>
          <w:kern w:val="21"/>
          <w:sz w:val="24"/>
        </w:rPr>
      </w:pPr>
      <w:r>
        <w:rPr>
          <w:color w:val="auto"/>
          <w:kern w:val="21"/>
          <w:sz w:val="24"/>
        </w:rPr>
        <w:t>（2）地表水环境现状评价结论</w:t>
      </w:r>
    </w:p>
    <w:p>
      <w:pPr>
        <w:adjustRightInd w:val="0"/>
        <w:snapToGrid w:val="0"/>
        <w:spacing w:before="156" w:beforeLines="50" w:line="360" w:lineRule="auto"/>
        <w:ind w:firstLine="482" w:firstLineChars="200"/>
        <w:textAlignment w:val="baseline"/>
        <w:rPr>
          <w:rFonts w:hint="default" w:ascii="Times New Roman" w:hAnsi="Times New Roman" w:cs="Times New Roman"/>
          <w:b/>
          <w:bCs/>
          <w:highlight w:val="none"/>
          <w:u w:val="single"/>
        </w:rPr>
      </w:pPr>
      <w:r>
        <w:rPr>
          <w:rFonts w:hint="default" w:ascii="Times New Roman" w:hAnsi="Times New Roman" w:cs="Times New Roman"/>
          <w:b/>
          <w:bCs/>
          <w:color w:val="auto"/>
          <w:kern w:val="21"/>
          <w:sz w:val="24"/>
          <w:szCs w:val="24"/>
          <w:highlight w:val="none"/>
          <w:u w:val="single"/>
        </w:rPr>
        <w:t>地表水环境现状常规因子</w:t>
      </w:r>
      <w:r>
        <w:rPr>
          <w:rFonts w:hint="default" w:ascii="Times New Roman" w:hAnsi="Times New Roman" w:cs="Times New Roman"/>
          <w:b/>
          <w:bCs/>
          <w:color w:val="auto"/>
          <w:kern w:val="0"/>
          <w:sz w:val="24"/>
          <w:szCs w:val="20"/>
          <w:highlight w:val="none"/>
          <w:u w:val="single"/>
        </w:rPr>
        <w:t>引用</w:t>
      </w:r>
      <w:r>
        <w:rPr>
          <w:rFonts w:hint="default" w:ascii="Times New Roman" w:hAnsi="Times New Roman" w:cs="Times New Roman"/>
          <w:b/>
          <w:bCs/>
          <w:color w:val="auto"/>
          <w:kern w:val="0"/>
          <w:sz w:val="24"/>
          <w:szCs w:val="24"/>
          <w:highlight w:val="none"/>
          <w:u w:val="single"/>
        </w:rPr>
        <w:t>引用</w:t>
      </w:r>
      <w:r>
        <w:rPr>
          <w:rFonts w:hint="default" w:ascii="Times New Roman" w:hAnsi="Times New Roman" w:eastAsia="宋体" w:cs="Times New Roman"/>
          <w:b/>
          <w:bCs/>
          <w:sz w:val="24"/>
          <w:szCs w:val="24"/>
          <w:highlight w:val="none"/>
          <w:u w:val="single"/>
        </w:rPr>
        <w:t>本评价引用新乡市环境监测站对共产主义渠西永康断面2022年1-12月的平均监测数据</w:t>
      </w:r>
      <w:r>
        <w:rPr>
          <w:rFonts w:hint="default" w:ascii="Times New Roman" w:hAnsi="Times New Roman" w:eastAsia="宋体" w:cs="Times New Roman"/>
          <w:b/>
          <w:bCs/>
          <w:sz w:val="24"/>
          <w:szCs w:val="24"/>
          <w:highlight w:val="none"/>
          <w:u w:val="single"/>
          <w:lang w:eastAsia="zh-CN"/>
        </w:rPr>
        <w:t>。</w:t>
      </w:r>
      <w:r>
        <w:rPr>
          <w:rFonts w:hint="default" w:ascii="Times New Roman" w:hAnsi="Times New Roman" w:cs="Times New Roman"/>
          <w:b/>
          <w:bCs/>
          <w:color w:val="auto"/>
          <w:kern w:val="0"/>
          <w:sz w:val="24"/>
          <w:szCs w:val="20"/>
          <w:highlight w:val="none"/>
          <w:u w:val="single"/>
        </w:rPr>
        <w:t>监测结果显示，</w:t>
      </w:r>
      <w:r>
        <w:rPr>
          <w:rFonts w:hint="default" w:ascii="Times New Roman" w:hAnsi="Times New Roman" w:cs="Times New Roman"/>
          <w:b/>
          <w:bCs/>
          <w:color w:val="auto"/>
          <w:sz w:val="24"/>
          <w:szCs w:val="24"/>
          <w:highlight w:val="none"/>
          <w:u w:val="single"/>
          <w:lang w:bidi="en-US"/>
        </w:rPr>
        <w:t xml:space="preserve">COD、氨氮、TP </w:t>
      </w:r>
      <w:r>
        <w:rPr>
          <w:rFonts w:hint="default" w:ascii="Times New Roman" w:hAnsi="Times New Roman" w:cs="Times New Roman"/>
          <w:b/>
          <w:bCs/>
          <w:color w:val="auto"/>
          <w:sz w:val="24"/>
          <w:szCs w:val="24"/>
          <w:highlight w:val="none"/>
          <w:u w:val="single"/>
          <w:lang w:val="en-US" w:eastAsia="zh-CN" w:bidi="en-US"/>
        </w:rPr>
        <w:t>的浓度均能够满足</w:t>
      </w:r>
      <w:r>
        <w:rPr>
          <w:rFonts w:hint="default" w:ascii="Times New Roman" w:hAnsi="Times New Roman" w:eastAsia="宋体" w:cs="Times New Roman"/>
          <w:b/>
          <w:bCs/>
          <w:sz w:val="24"/>
          <w:szCs w:val="24"/>
          <w:highlight w:val="none"/>
          <w:u w:val="single"/>
        </w:rPr>
        <w:t>《地表水环境质量标准》（GB3838-2002）IV类标准限值。</w:t>
      </w:r>
      <w:r>
        <w:rPr>
          <w:rFonts w:hint="default" w:ascii="Times New Roman" w:hAnsi="Times New Roman" w:eastAsia="宋体" w:cs="Times New Roman"/>
          <w:b/>
          <w:bCs/>
          <w:sz w:val="24"/>
          <w:szCs w:val="24"/>
          <w:highlight w:val="none"/>
          <w:u w:val="single"/>
          <w:lang w:val="en-US" w:eastAsia="zh-CN"/>
        </w:rPr>
        <w:t>同时</w:t>
      </w:r>
      <w:r>
        <w:rPr>
          <w:rFonts w:hint="default" w:ascii="Times New Roman" w:hAnsi="Times New Roman" w:eastAsia="宋体" w:cs="Times New Roman"/>
          <w:b/>
          <w:bCs/>
          <w:sz w:val="24"/>
          <w:szCs w:val="24"/>
          <w:highlight w:val="none"/>
          <w:u w:val="single"/>
        </w:rPr>
        <w:t>新乡市</w:t>
      </w:r>
      <w:r>
        <w:rPr>
          <w:rFonts w:hint="default" w:ascii="Times New Roman" w:hAnsi="Times New Roman" w:eastAsia="宋体" w:cs="Times New Roman"/>
          <w:b/>
          <w:bCs/>
          <w:sz w:val="24"/>
          <w:szCs w:val="24"/>
          <w:highlight w:val="none"/>
          <w:u w:val="single"/>
          <w:lang w:val="en-US" w:eastAsia="zh-CN"/>
        </w:rPr>
        <w:t>目前</w:t>
      </w:r>
      <w:r>
        <w:rPr>
          <w:rFonts w:hint="default" w:ascii="Times New Roman" w:hAnsi="Times New Roman" w:eastAsia="宋体" w:cs="Times New Roman"/>
          <w:b/>
          <w:bCs/>
          <w:sz w:val="24"/>
          <w:szCs w:val="24"/>
          <w:highlight w:val="none"/>
          <w:u w:val="single"/>
        </w:rPr>
        <w:t>正在推进实施《新乡市2023年碧水保卫战实施方案》（新环攻坚办[2023] 66号），将继续改善新乡市水环境质量。</w:t>
      </w:r>
    </w:p>
    <w:p>
      <w:pPr>
        <w:keepNext w:val="0"/>
        <w:keepLines w:val="0"/>
        <w:pageBreakBefore w:val="0"/>
        <w:widowControl/>
        <w:kinsoku/>
        <w:wordWrap/>
        <w:overflowPunct/>
        <w:topLinePunct w:val="0"/>
        <w:autoSpaceDE/>
        <w:autoSpaceDN/>
        <w:bidi w:val="0"/>
        <w:adjustRightInd w:val="0"/>
        <w:snapToGrid w:val="0"/>
        <w:spacing w:line="360" w:lineRule="auto"/>
        <w:ind w:firstLine="484" w:firstLineChars="202"/>
        <w:textAlignment w:val="auto"/>
        <w:rPr>
          <w:color w:val="auto"/>
          <w:kern w:val="21"/>
          <w:sz w:val="24"/>
          <w:szCs w:val="20"/>
        </w:rPr>
      </w:pPr>
      <w:r>
        <w:rPr>
          <w:bCs/>
          <w:color w:val="auto"/>
          <w:kern w:val="21"/>
          <w:sz w:val="24"/>
        </w:rPr>
        <w:t>（3）</w:t>
      </w:r>
      <w:r>
        <w:rPr>
          <w:color w:val="auto"/>
          <w:kern w:val="21"/>
          <w:sz w:val="24"/>
        </w:rPr>
        <w:t>地下水环境</w:t>
      </w:r>
      <w:r>
        <w:rPr>
          <w:bCs/>
          <w:color w:val="auto"/>
          <w:kern w:val="21"/>
          <w:sz w:val="24"/>
        </w:rPr>
        <w:t>现状评价结论</w:t>
      </w:r>
    </w:p>
    <w:p>
      <w:pPr>
        <w:keepNext w:val="0"/>
        <w:keepLines w:val="0"/>
        <w:pageBreakBefore w:val="0"/>
        <w:widowControl/>
        <w:kinsoku/>
        <w:wordWrap/>
        <w:overflowPunct/>
        <w:topLinePunct w:val="0"/>
        <w:autoSpaceDE/>
        <w:autoSpaceDN/>
        <w:bidi w:val="0"/>
        <w:adjustRightInd w:val="0"/>
        <w:snapToGrid w:val="0"/>
        <w:spacing w:line="360" w:lineRule="auto"/>
        <w:ind w:firstLine="484" w:firstLineChars="202"/>
        <w:textAlignment w:val="auto"/>
        <w:rPr>
          <w:color w:val="auto"/>
          <w:kern w:val="21"/>
          <w:sz w:val="24"/>
          <w:szCs w:val="24"/>
        </w:rPr>
      </w:pPr>
      <w:r>
        <w:rPr>
          <w:rFonts w:hint="eastAsia"/>
          <w:color w:val="auto"/>
          <w:kern w:val="0"/>
          <w:sz w:val="24"/>
          <w:szCs w:val="20"/>
        </w:rPr>
        <w:t>评价区域内三个监测点位的地下水水质因子</w:t>
      </w:r>
      <w:r>
        <w:rPr>
          <w:color w:val="auto"/>
          <w:kern w:val="0"/>
          <w:sz w:val="24"/>
          <w:szCs w:val="20"/>
        </w:rPr>
        <w:t>pH值、K</w:t>
      </w:r>
      <w:r>
        <w:rPr>
          <w:color w:val="auto"/>
          <w:kern w:val="0"/>
          <w:sz w:val="24"/>
          <w:szCs w:val="20"/>
          <w:vertAlign w:val="superscript"/>
        </w:rPr>
        <w:t>+</w:t>
      </w:r>
      <w:r>
        <w:rPr>
          <w:color w:val="auto"/>
          <w:kern w:val="0"/>
          <w:sz w:val="24"/>
          <w:szCs w:val="20"/>
        </w:rPr>
        <w:t>、Na</w:t>
      </w:r>
      <w:r>
        <w:rPr>
          <w:color w:val="auto"/>
          <w:kern w:val="0"/>
          <w:sz w:val="24"/>
          <w:szCs w:val="20"/>
          <w:vertAlign w:val="superscript"/>
        </w:rPr>
        <w:t>+</w:t>
      </w:r>
      <w:r>
        <w:rPr>
          <w:color w:val="auto"/>
          <w:kern w:val="0"/>
          <w:sz w:val="24"/>
          <w:szCs w:val="20"/>
        </w:rPr>
        <w:t>、Ca</w:t>
      </w:r>
      <w:r>
        <w:rPr>
          <w:color w:val="auto"/>
          <w:kern w:val="0"/>
          <w:sz w:val="24"/>
          <w:szCs w:val="20"/>
          <w:vertAlign w:val="superscript"/>
        </w:rPr>
        <w:t>2+</w:t>
      </w:r>
      <w:r>
        <w:rPr>
          <w:color w:val="auto"/>
          <w:kern w:val="0"/>
          <w:sz w:val="24"/>
          <w:szCs w:val="20"/>
        </w:rPr>
        <w:t>、Mg</w:t>
      </w:r>
      <w:r>
        <w:rPr>
          <w:color w:val="auto"/>
          <w:kern w:val="0"/>
          <w:sz w:val="24"/>
          <w:szCs w:val="20"/>
          <w:vertAlign w:val="superscript"/>
        </w:rPr>
        <w:t>2+</w:t>
      </w:r>
      <w:r>
        <w:rPr>
          <w:color w:val="auto"/>
          <w:kern w:val="0"/>
          <w:sz w:val="24"/>
          <w:szCs w:val="20"/>
        </w:rPr>
        <w:t>、CO</w:t>
      </w:r>
      <w:r>
        <w:rPr>
          <w:color w:val="auto"/>
          <w:kern w:val="0"/>
          <w:sz w:val="24"/>
          <w:szCs w:val="20"/>
          <w:vertAlign w:val="subscript"/>
        </w:rPr>
        <w:t>3</w:t>
      </w:r>
      <w:r>
        <w:rPr>
          <w:color w:val="auto"/>
          <w:kern w:val="0"/>
          <w:sz w:val="24"/>
          <w:szCs w:val="20"/>
          <w:vertAlign w:val="superscript"/>
        </w:rPr>
        <w:t>2-</w:t>
      </w:r>
      <w:r>
        <w:rPr>
          <w:color w:val="auto"/>
          <w:kern w:val="0"/>
          <w:sz w:val="24"/>
          <w:szCs w:val="20"/>
        </w:rPr>
        <w:t>、HCO</w:t>
      </w:r>
      <w:r>
        <w:rPr>
          <w:color w:val="auto"/>
          <w:kern w:val="0"/>
          <w:sz w:val="24"/>
          <w:szCs w:val="20"/>
          <w:vertAlign w:val="superscript"/>
        </w:rPr>
        <w:t>3-</w:t>
      </w:r>
      <w:r>
        <w:rPr>
          <w:color w:val="auto"/>
          <w:kern w:val="0"/>
          <w:sz w:val="24"/>
          <w:szCs w:val="20"/>
        </w:rPr>
        <w:t>、Cl</w:t>
      </w:r>
      <w:r>
        <w:rPr>
          <w:color w:val="auto"/>
          <w:kern w:val="0"/>
          <w:sz w:val="24"/>
          <w:szCs w:val="20"/>
          <w:vertAlign w:val="superscript"/>
        </w:rPr>
        <w:t>-</w:t>
      </w:r>
      <w:r>
        <w:rPr>
          <w:color w:val="auto"/>
          <w:kern w:val="0"/>
          <w:sz w:val="24"/>
          <w:szCs w:val="20"/>
        </w:rPr>
        <w:t>、SO</w:t>
      </w:r>
      <w:r>
        <w:rPr>
          <w:color w:val="auto"/>
          <w:kern w:val="0"/>
          <w:sz w:val="24"/>
          <w:szCs w:val="20"/>
          <w:vertAlign w:val="subscript"/>
        </w:rPr>
        <w:t>4</w:t>
      </w:r>
      <w:r>
        <w:rPr>
          <w:color w:val="auto"/>
          <w:kern w:val="0"/>
          <w:sz w:val="24"/>
          <w:szCs w:val="20"/>
          <w:vertAlign w:val="superscript"/>
        </w:rPr>
        <w:t>2-</w:t>
      </w:r>
      <w:r>
        <w:rPr>
          <w:color w:val="auto"/>
          <w:kern w:val="0"/>
          <w:sz w:val="24"/>
          <w:szCs w:val="20"/>
        </w:rPr>
        <w:t>、氨氮、亚硝酸盐、挥发性酚类、砷、汞、铬（六价）、总硬度、铅、铁、锌、</w:t>
      </w:r>
      <w:r>
        <w:rPr>
          <w:rFonts w:hint="eastAsia"/>
          <w:color w:val="auto"/>
          <w:kern w:val="0"/>
          <w:sz w:val="24"/>
          <w:szCs w:val="20"/>
        </w:rPr>
        <w:t>镍、</w:t>
      </w:r>
      <w:r>
        <w:rPr>
          <w:color w:val="auto"/>
          <w:kern w:val="0"/>
          <w:sz w:val="24"/>
          <w:szCs w:val="20"/>
        </w:rPr>
        <w:t>溶解性总固体、阴离子合成洗涤剂、耗氧量</w:t>
      </w:r>
      <w:r>
        <w:rPr>
          <w:rFonts w:hint="eastAsia"/>
          <w:color w:val="auto"/>
          <w:kern w:val="0"/>
          <w:sz w:val="24"/>
          <w:szCs w:val="20"/>
        </w:rPr>
        <w:t>均能满足</w:t>
      </w:r>
      <w:r>
        <w:rPr>
          <w:color w:val="auto"/>
          <w:kern w:val="0"/>
          <w:sz w:val="24"/>
          <w:szCs w:val="20"/>
        </w:rPr>
        <w:t>《地下水质量标准》（GB/T14843-</w:t>
      </w:r>
      <w:r>
        <w:rPr>
          <w:rFonts w:hint="eastAsia"/>
          <w:color w:val="auto"/>
          <w:kern w:val="0"/>
          <w:sz w:val="24"/>
          <w:szCs w:val="20"/>
        </w:rPr>
        <w:t>2017</w:t>
      </w:r>
      <w:r>
        <w:rPr>
          <w:color w:val="auto"/>
          <w:kern w:val="0"/>
          <w:sz w:val="24"/>
          <w:szCs w:val="20"/>
        </w:rPr>
        <w:t>）</w:t>
      </w:r>
      <w:r>
        <w:rPr>
          <w:rFonts w:hint="eastAsia" w:cs="宋体"/>
          <w:color w:val="auto"/>
          <w:kern w:val="0"/>
          <w:sz w:val="24"/>
          <w:szCs w:val="20"/>
        </w:rPr>
        <w:t>Ⅲ</w:t>
      </w:r>
      <w:r>
        <w:rPr>
          <w:color w:val="auto"/>
          <w:kern w:val="0"/>
          <w:sz w:val="24"/>
          <w:szCs w:val="20"/>
        </w:rPr>
        <w:t>类标准</w:t>
      </w:r>
      <w:r>
        <w:rPr>
          <w:rFonts w:hint="eastAsia"/>
          <w:color w:val="auto"/>
          <w:kern w:val="0"/>
          <w:sz w:val="24"/>
          <w:szCs w:val="20"/>
        </w:rPr>
        <w:t>的要求。</w:t>
      </w:r>
    </w:p>
    <w:p>
      <w:pPr>
        <w:keepNext w:val="0"/>
        <w:keepLines w:val="0"/>
        <w:pageBreakBefore w:val="0"/>
        <w:widowControl/>
        <w:kinsoku/>
        <w:wordWrap/>
        <w:overflowPunct/>
        <w:topLinePunct w:val="0"/>
        <w:autoSpaceDE/>
        <w:autoSpaceDN/>
        <w:bidi w:val="0"/>
        <w:adjustRightInd w:val="0"/>
        <w:snapToGrid w:val="0"/>
        <w:spacing w:line="360" w:lineRule="auto"/>
        <w:ind w:firstLine="484" w:firstLineChars="202"/>
        <w:textAlignment w:val="auto"/>
        <w:rPr>
          <w:bCs/>
          <w:color w:val="auto"/>
          <w:kern w:val="21"/>
          <w:sz w:val="24"/>
        </w:rPr>
      </w:pPr>
      <w:r>
        <w:rPr>
          <w:bCs/>
          <w:color w:val="auto"/>
          <w:kern w:val="21"/>
          <w:sz w:val="24"/>
        </w:rPr>
        <w:t>（4）声环境现状评价结论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szCs w:val="22"/>
        </w:rPr>
      </w:pPr>
      <w:bookmarkStart w:id="485" w:name="_Toc232840410"/>
      <w:r>
        <w:rPr>
          <w:color w:val="auto"/>
          <w:kern w:val="21"/>
          <w:sz w:val="24"/>
          <w:szCs w:val="22"/>
        </w:rPr>
        <w:t>项目区域昼夜间噪声均可满足《声环境质量标准》(GB3096-2008</w:t>
      </w:r>
      <w:r>
        <w:rPr>
          <w:rFonts w:hint="eastAsia"/>
          <w:color w:val="auto"/>
          <w:kern w:val="21"/>
          <w:sz w:val="24"/>
          <w:szCs w:val="22"/>
          <w:lang w:eastAsia="zh-CN"/>
        </w:rPr>
        <w:t>）</w:t>
      </w:r>
      <w:r>
        <w:rPr>
          <w:color w:val="auto"/>
          <w:kern w:val="21"/>
          <w:sz w:val="24"/>
          <w:szCs w:val="22"/>
        </w:rPr>
        <w:t>中的</w:t>
      </w:r>
      <w:r>
        <w:rPr>
          <w:rFonts w:hint="eastAsia"/>
          <w:color w:val="auto"/>
          <w:kern w:val="21"/>
          <w:sz w:val="24"/>
          <w:szCs w:val="22"/>
        </w:rPr>
        <w:t>3</w:t>
      </w:r>
      <w:r>
        <w:rPr>
          <w:color w:val="auto"/>
          <w:kern w:val="21"/>
          <w:sz w:val="24"/>
          <w:szCs w:val="22"/>
        </w:rPr>
        <w:t>类标准要求，项目区域声环境现状较好。</w:t>
      </w:r>
    </w:p>
    <w:p>
      <w:pPr>
        <w:pStyle w:val="33"/>
        <w:keepNext w:val="0"/>
        <w:keepLines w:val="0"/>
        <w:pageBreakBefore w:val="0"/>
        <w:widowControl/>
        <w:kinsoku/>
        <w:wordWrap/>
        <w:overflowPunct/>
        <w:topLinePunct w:val="0"/>
        <w:autoSpaceDE/>
        <w:autoSpaceDN/>
        <w:bidi w:val="0"/>
        <w:spacing w:after="0" w:line="360" w:lineRule="auto"/>
        <w:textAlignment w:val="auto"/>
        <w:rPr>
          <w:color w:val="auto"/>
          <w:kern w:val="21"/>
          <w:sz w:val="24"/>
          <w:szCs w:val="22"/>
        </w:rPr>
      </w:pPr>
      <w:r>
        <w:rPr>
          <w:color w:val="auto"/>
          <w:kern w:val="21"/>
          <w:sz w:val="24"/>
          <w:szCs w:val="22"/>
        </w:rPr>
        <w:t>（5</w:t>
      </w:r>
      <w:r>
        <w:rPr>
          <w:bCs/>
          <w:color w:val="auto"/>
          <w:kern w:val="21"/>
          <w:sz w:val="24"/>
        </w:rPr>
        <w:t>）土壤环境现状评价结论</w:t>
      </w:r>
    </w:p>
    <w:p>
      <w:pPr>
        <w:pStyle w:val="32"/>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color w:val="auto"/>
          <w:kern w:val="21"/>
        </w:rPr>
      </w:pPr>
      <w:r>
        <w:rPr>
          <w:rFonts w:hint="eastAsia"/>
          <w:color w:val="auto"/>
          <w:kern w:val="0"/>
          <w:sz w:val="24"/>
          <w:szCs w:val="20"/>
        </w:rPr>
        <w:t>厂区内外各监测点位的土壤监测值均符合《土壤环境质量建设用地土壤污染风险管控标准（试行）》（</w:t>
      </w:r>
      <w:r>
        <w:rPr>
          <w:color w:val="auto"/>
          <w:kern w:val="0"/>
          <w:sz w:val="24"/>
          <w:szCs w:val="20"/>
        </w:rPr>
        <w:t>GB36600-2018</w:t>
      </w:r>
      <w:r>
        <w:rPr>
          <w:rFonts w:hint="eastAsia"/>
          <w:color w:val="auto"/>
          <w:kern w:val="0"/>
          <w:sz w:val="24"/>
          <w:szCs w:val="20"/>
        </w:rPr>
        <w:t>）表</w:t>
      </w:r>
      <w:r>
        <w:rPr>
          <w:color w:val="auto"/>
          <w:kern w:val="0"/>
          <w:sz w:val="24"/>
          <w:szCs w:val="20"/>
        </w:rPr>
        <w:t>1</w:t>
      </w:r>
      <w:r>
        <w:rPr>
          <w:rFonts w:hint="eastAsia"/>
          <w:color w:val="auto"/>
          <w:kern w:val="0"/>
          <w:sz w:val="24"/>
          <w:szCs w:val="20"/>
        </w:rPr>
        <w:t>基本项目第二类用地筛选值的限值要求。其中厂区内监测点位评价因子锌，由于国家环境土壤环境质量标准和河南省地方标准中没有重金属锌的浓度标准限值要求，故厂区内监测点位重金属锌的浓度监测值仅作为现状背景值。</w:t>
      </w:r>
    </w:p>
    <w:p>
      <w:pPr>
        <w:keepNext w:val="0"/>
        <w:keepLines w:val="0"/>
        <w:pageBreakBefore w:val="0"/>
        <w:widowControl/>
        <w:kinsoku/>
        <w:wordWrap/>
        <w:overflowPunct/>
        <w:topLinePunct w:val="0"/>
        <w:autoSpaceDE/>
        <w:autoSpaceDN/>
        <w:bidi w:val="0"/>
        <w:adjustRightInd w:val="0"/>
        <w:snapToGrid w:val="0"/>
        <w:spacing w:line="360" w:lineRule="auto"/>
        <w:outlineLvl w:val="2"/>
        <w:rPr>
          <w:color w:val="auto"/>
          <w:kern w:val="21"/>
          <w:sz w:val="28"/>
          <w:szCs w:val="28"/>
        </w:rPr>
      </w:pPr>
      <w:bookmarkStart w:id="486" w:name="_Toc11389"/>
      <w:r>
        <w:rPr>
          <w:color w:val="auto"/>
          <w:kern w:val="21"/>
          <w:sz w:val="28"/>
          <w:szCs w:val="28"/>
        </w:rPr>
        <w:t>10</w:t>
      </w:r>
      <w:r>
        <w:rPr>
          <w:rFonts w:eastAsia="黑体"/>
          <w:bCs/>
          <w:color w:val="auto"/>
          <w:kern w:val="21"/>
          <w:sz w:val="28"/>
          <w:szCs w:val="28"/>
        </w:rPr>
        <w:t>.1.4环境影响评价结论</w:t>
      </w:r>
      <w:bookmarkEnd w:id="485"/>
      <w:bookmarkEnd w:id="486"/>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21"/>
          <w:sz w:val="24"/>
        </w:rPr>
      </w:pPr>
      <w:r>
        <w:rPr>
          <w:color w:val="auto"/>
          <w:kern w:val="21"/>
          <w:sz w:val="24"/>
        </w:rPr>
        <w:t>（1）大气环境影响评价结论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rPr>
          <w:color w:val="auto"/>
          <w:kern w:val="21"/>
          <w:sz w:val="24"/>
          <w:szCs w:val="24"/>
        </w:rPr>
      </w:pPr>
      <w:r>
        <w:rPr>
          <w:color w:val="auto"/>
          <w:kern w:val="21"/>
          <w:sz w:val="24"/>
          <w:szCs w:val="24"/>
        </w:rPr>
        <w:t>本项目大气污染源主要为生产线</w:t>
      </w:r>
      <w:r>
        <w:rPr>
          <w:rFonts w:hint="eastAsia"/>
          <w:color w:val="auto"/>
          <w:kern w:val="21"/>
          <w:sz w:val="24"/>
          <w:szCs w:val="24"/>
        </w:rPr>
        <w:t>酸雾、酸储罐酸雾、</w:t>
      </w:r>
      <w:r>
        <w:rPr>
          <w:color w:val="auto"/>
          <w:kern w:val="21"/>
          <w:sz w:val="24"/>
          <w:szCs w:val="24"/>
        </w:rPr>
        <w:t>燃气锅炉废气、污水站恶臭、焊接烟尘。</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color w:val="auto"/>
          <w:kern w:val="21"/>
          <w:sz w:val="24"/>
          <w:szCs w:val="24"/>
          <w:lang w:val="en-US" w:eastAsia="zh-CN"/>
        </w:rPr>
      </w:pPr>
      <w:r>
        <w:rPr>
          <w:rFonts w:hint="eastAsia"/>
          <w:color w:val="auto"/>
          <w:kern w:val="21"/>
          <w:sz w:val="24"/>
          <w:szCs w:val="24"/>
        </w:rPr>
        <w:t>电镀线设置全封闭，酸洗槽</w:t>
      </w:r>
      <w:r>
        <w:rPr>
          <w:rFonts w:hint="eastAsia"/>
          <w:color w:val="auto"/>
          <w:kern w:val="21"/>
          <w:sz w:val="24"/>
          <w:szCs w:val="24"/>
          <w:lang w:val="en-GB"/>
        </w:rPr>
        <w:t>设置顶吸罩</w:t>
      </w:r>
      <w:r>
        <w:rPr>
          <w:color w:val="auto"/>
          <w:kern w:val="21"/>
          <w:sz w:val="24"/>
          <w:szCs w:val="24"/>
          <w:lang w:val="en-GB"/>
        </w:rPr>
        <w:t>+</w:t>
      </w:r>
      <w:r>
        <w:rPr>
          <w:rFonts w:hint="eastAsia"/>
          <w:color w:val="auto"/>
          <w:kern w:val="21"/>
          <w:sz w:val="24"/>
          <w:szCs w:val="24"/>
          <w:lang w:val="en-GB"/>
        </w:rPr>
        <w:t>槽边双侧抽风收集系统</w:t>
      </w:r>
      <w:r>
        <w:rPr>
          <w:rFonts w:hint="eastAsia"/>
          <w:color w:val="auto"/>
          <w:kern w:val="21"/>
          <w:sz w:val="24"/>
          <w:szCs w:val="24"/>
        </w:rPr>
        <w:t>，酸储罐设置顶吸集气罩，收集的酸雾经二级碱液喷淋中和塔处理后，于15m高排气筒排放，外排废气可满足</w:t>
      </w:r>
      <w:r>
        <w:rPr>
          <w:color w:val="auto"/>
          <w:kern w:val="21"/>
          <w:sz w:val="24"/>
          <w:szCs w:val="24"/>
        </w:rPr>
        <w:t>《电镀污染物排放标准》（GB21900-2008）表5标准中氯化氢排放标准30mg/m</w:t>
      </w:r>
      <w:r>
        <w:rPr>
          <w:color w:val="auto"/>
          <w:kern w:val="21"/>
          <w:sz w:val="24"/>
          <w:szCs w:val="24"/>
          <w:vertAlign w:val="superscript"/>
        </w:rPr>
        <w:t>3</w:t>
      </w:r>
      <w:r>
        <w:rPr>
          <w:color w:val="auto"/>
          <w:kern w:val="21"/>
          <w:sz w:val="24"/>
          <w:szCs w:val="24"/>
        </w:rPr>
        <w:t>及</w:t>
      </w:r>
      <w:r>
        <w:rPr>
          <w:rFonts w:hint="eastAsia" w:ascii="宋体" w:hAnsi="宋体" w:cs="宋体"/>
          <w:color w:val="auto"/>
          <w:kern w:val="0"/>
          <w:sz w:val="24"/>
          <w:szCs w:val="24"/>
          <w:lang w:val="zh-CN" w:bidi="zh-CN"/>
        </w:rPr>
        <w:t>《河南省重污染天气重点行业应急减排措施制定技术指南（</w:t>
      </w:r>
      <w:r>
        <w:rPr>
          <w:rFonts w:ascii="宋体" w:hAnsi="宋体" w:cs="宋体"/>
          <w:color w:val="auto"/>
          <w:kern w:val="0"/>
          <w:sz w:val="24"/>
          <w:szCs w:val="24"/>
          <w:lang w:val="zh-CN" w:bidi="zh-CN"/>
        </w:rPr>
        <w:t>2021</w:t>
      </w:r>
      <w:r>
        <w:rPr>
          <w:rFonts w:hint="eastAsia" w:ascii="宋体" w:hAnsi="宋体" w:cs="宋体"/>
          <w:color w:val="auto"/>
          <w:kern w:val="0"/>
          <w:sz w:val="24"/>
          <w:szCs w:val="24"/>
          <w:lang w:val="zh-CN" w:bidi="zh-CN"/>
        </w:rPr>
        <w:t>年修订）》中</w:t>
      </w:r>
      <w:r>
        <w:rPr>
          <w:rFonts w:hint="eastAsia"/>
          <w:color w:val="auto"/>
          <w:kern w:val="0"/>
          <w:sz w:val="24"/>
          <w:szCs w:val="24"/>
          <w:lang w:val="zh-CN" w:bidi="zh-CN"/>
        </w:rPr>
        <w:t>“</w:t>
      </w:r>
      <w:r>
        <w:rPr>
          <w:color w:val="auto"/>
          <w:sz w:val="24"/>
          <w:szCs w:val="24"/>
        </w:rPr>
        <w:t>金属表面处理及热处理加工</w:t>
      </w:r>
      <w:r>
        <w:rPr>
          <w:rFonts w:hint="eastAsia"/>
          <w:color w:val="auto"/>
          <w:sz w:val="24"/>
          <w:szCs w:val="24"/>
        </w:rPr>
        <w:t>”</w:t>
      </w:r>
      <w:r>
        <w:rPr>
          <w:color w:val="auto"/>
          <w:kern w:val="0"/>
          <w:sz w:val="24"/>
          <w:szCs w:val="24"/>
          <w:lang w:val="zh-CN" w:bidi="zh-CN"/>
        </w:rPr>
        <w:t>10mg/m</w:t>
      </w:r>
      <w:r>
        <w:rPr>
          <w:color w:val="auto"/>
          <w:kern w:val="0"/>
          <w:sz w:val="24"/>
          <w:szCs w:val="24"/>
          <w:vertAlign w:val="superscript"/>
          <w:lang w:val="zh-CN" w:bidi="zh-CN"/>
        </w:rPr>
        <w:t>3</w:t>
      </w:r>
      <w:r>
        <w:rPr>
          <w:color w:val="auto"/>
          <w:kern w:val="0"/>
          <w:sz w:val="24"/>
          <w:szCs w:val="24"/>
          <w:lang w:val="zh-CN" w:bidi="zh-CN"/>
        </w:rPr>
        <w:t>浓度限值要求</w:t>
      </w:r>
      <w:r>
        <w:rPr>
          <w:color w:val="auto"/>
          <w:kern w:val="21"/>
          <w:sz w:val="24"/>
          <w:szCs w:val="24"/>
        </w:rPr>
        <w:t>；</w:t>
      </w:r>
      <w:r>
        <w:rPr>
          <w:rFonts w:hint="eastAsia"/>
          <w:color w:val="auto"/>
          <w:kern w:val="21"/>
          <w:sz w:val="24"/>
          <w:szCs w:val="24"/>
          <w:lang w:val="en-US" w:eastAsia="zh-CN"/>
        </w:rPr>
        <w:t xml:space="preserve">  </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kern w:val="0"/>
          <w:sz w:val="24"/>
          <w:szCs w:val="24"/>
          <w:vertAlign w:val="baseline"/>
          <w:lang w:eastAsia="zh-CN"/>
        </w:rPr>
      </w:pPr>
      <w:r>
        <w:rPr>
          <w:bCs/>
          <w:snapToGrid w:val="0"/>
          <w:color w:val="auto"/>
          <w:kern w:val="21"/>
          <w:sz w:val="24"/>
          <w:szCs w:val="24"/>
        </w:rPr>
        <w:t>燃气锅炉采用低氮燃烧器+烟气再循环，污染物排放能够满足《锅炉大气污染物排放标准》（DB41/2089-2021）表1中在基准含氧量3.5%的条件下，颗粒物、SO</w:t>
      </w:r>
      <w:r>
        <w:rPr>
          <w:bCs/>
          <w:snapToGrid w:val="0"/>
          <w:color w:val="auto"/>
          <w:kern w:val="21"/>
          <w:sz w:val="24"/>
          <w:szCs w:val="24"/>
          <w:vertAlign w:val="subscript"/>
        </w:rPr>
        <w:t>2</w:t>
      </w:r>
      <w:r>
        <w:rPr>
          <w:bCs/>
          <w:snapToGrid w:val="0"/>
          <w:color w:val="auto"/>
          <w:kern w:val="21"/>
          <w:sz w:val="24"/>
          <w:szCs w:val="24"/>
        </w:rPr>
        <w:t>、NOx排放浓度分别不高于5</w:t>
      </w:r>
      <w:r>
        <w:rPr>
          <w:color w:val="auto"/>
          <w:kern w:val="0"/>
          <w:sz w:val="24"/>
          <w:szCs w:val="24"/>
        </w:rPr>
        <w:t>mg/m</w:t>
      </w:r>
      <w:r>
        <w:rPr>
          <w:color w:val="auto"/>
          <w:kern w:val="0"/>
          <w:sz w:val="24"/>
          <w:szCs w:val="24"/>
          <w:vertAlign w:val="superscript"/>
        </w:rPr>
        <w:t>3</w:t>
      </w:r>
      <w:r>
        <w:rPr>
          <w:color w:val="auto"/>
          <w:kern w:val="0"/>
          <w:sz w:val="24"/>
          <w:szCs w:val="24"/>
        </w:rPr>
        <w:t>、</w:t>
      </w:r>
      <w:r>
        <w:rPr>
          <w:bCs/>
          <w:snapToGrid w:val="0"/>
          <w:color w:val="auto"/>
          <w:kern w:val="21"/>
          <w:sz w:val="24"/>
          <w:szCs w:val="24"/>
        </w:rPr>
        <w:t>10</w:t>
      </w:r>
      <w:r>
        <w:rPr>
          <w:color w:val="auto"/>
          <w:kern w:val="0"/>
          <w:sz w:val="24"/>
          <w:szCs w:val="24"/>
        </w:rPr>
        <w:t>mg/m</w:t>
      </w:r>
      <w:r>
        <w:rPr>
          <w:color w:val="auto"/>
          <w:kern w:val="0"/>
          <w:sz w:val="24"/>
          <w:szCs w:val="24"/>
          <w:vertAlign w:val="superscript"/>
        </w:rPr>
        <w:t>3</w:t>
      </w:r>
      <w:r>
        <w:rPr>
          <w:color w:val="auto"/>
          <w:kern w:val="0"/>
          <w:sz w:val="24"/>
          <w:szCs w:val="24"/>
        </w:rPr>
        <w:t>、</w:t>
      </w:r>
      <w:r>
        <w:rPr>
          <w:bCs/>
          <w:snapToGrid w:val="0"/>
          <w:color w:val="auto"/>
          <w:kern w:val="21"/>
          <w:sz w:val="24"/>
          <w:szCs w:val="24"/>
        </w:rPr>
        <w:t>30</w:t>
      </w:r>
      <w:r>
        <w:rPr>
          <w:color w:val="auto"/>
          <w:kern w:val="0"/>
          <w:sz w:val="24"/>
          <w:szCs w:val="24"/>
        </w:rPr>
        <w:t>mg/m</w:t>
      </w:r>
      <w:r>
        <w:rPr>
          <w:color w:val="auto"/>
          <w:kern w:val="0"/>
          <w:sz w:val="24"/>
          <w:szCs w:val="24"/>
          <w:vertAlign w:val="superscript"/>
        </w:rPr>
        <w:t>3</w:t>
      </w:r>
      <w:r>
        <w:rPr>
          <w:rFonts w:hint="eastAsia"/>
          <w:color w:val="auto"/>
          <w:kern w:val="0"/>
          <w:sz w:val="24"/>
          <w:szCs w:val="24"/>
          <w:vertAlign w:val="baseline"/>
          <w:lang w:eastAsia="zh-CN"/>
        </w:rPr>
        <w:t>的要求。</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szCs w:val="24"/>
          <w:lang w:val="en-GB"/>
        </w:rPr>
      </w:pPr>
      <w:r>
        <w:rPr>
          <w:color w:val="auto"/>
          <w:kern w:val="21"/>
          <w:sz w:val="24"/>
          <w:szCs w:val="24"/>
          <w:lang w:val="en-GB"/>
        </w:rPr>
        <w:t>污水站调节池、生化池、二沉池及污泥池加盖密闭，将恶臭气体集中收集引入生物除臭设施进行除臭，处理后经</w:t>
      </w:r>
      <w:r>
        <w:rPr>
          <w:rFonts w:hint="eastAsia"/>
          <w:color w:val="auto"/>
          <w:kern w:val="21"/>
          <w:sz w:val="24"/>
          <w:szCs w:val="24"/>
          <w:lang w:val="en-GB"/>
        </w:rPr>
        <w:t>15m高排气筒排放</w:t>
      </w:r>
      <w:r>
        <w:rPr>
          <w:color w:val="auto"/>
          <w:kern w:val="21"/>
          <w:sz w:val="24"/>
          <w:szCs w:val="24"/>
          <w:lang w:val="en-GB"/>
        </w:rPr>
        <w:t>。经治理后污水站恶臭能够满足</w:t>
      </w:r>
      <w:r>
        <w:rPr>
          <w:rFonts w:hint="eastAsia"/>
          <w:color w:val="auto"/>
          <w:kern w:val="21"/>
          <w:sz w:val="24"/>
          <w:szCs w:val="24"/>
          <w:lang w:val="en-GB"/>
        </w:rPr>
        <w:t>《恶臭污染物排放标准》(GB14554-1993</w:t>
      </w:r>
      <w:r>
        <w:rPr>
          <w:rFonts w:hint="eastAsia"/>
          <w:color w:val="auto"/>
          <w:kern w:val="21"/>
          <w:sz w:val="24"/>
          <w:szCs w:val="24"/>
          <w:lang w:val="en-GB" w:eastAsia="zh-CN"/>
        </w:rPr>
        <w:t>）</w:t>
      </w:r>
      <w:r>
        <w:rPr>
          <w:rFonts w:hint="eastAsia"/>
          <w:color w:val="auto"/>
          <w:kern w:val="21"/>
          <w:sz w:val="24"/>
          <w:szCs w:val="24"/>
          <w:lang w:val="en-GB"/>
        </w:rPr>
        <w:t>表2标准要求</w:t>
      </w:r>
      <w:r>
        <w:rPr>
          <w:color w:val="auto"/>
          <w:kern w:val="21"/>
          <w:sz w:val="24"/>
          <w:szCs w:val="24"/>
          <w:lang w:val="en-GB"/>
        </w:rPr>
        <w:t>。</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auto"/>
        <w:rPr>
          <w:color w:val="auto"/>
          <w:kern w:val="21"/>
          <w:sz w:val="24"/>
        </w:rPr>
      </w:pPr>
      <w:r>
        <w:rPr>
          <w:rFonts w:hint="eastAsia"/>
          <w:color w:val="auto"/>
          <w:kern w:val="0"/>
          <w:sz w:val="24"/>
          <w:szCs w:val="24"/>
          <w:lang w:val="en-US" w:eastAsia="zh-CN" w:bidi="en-US"/>
        </w:rPr>
        <w:t>本项目</w:t>
      </w:r>
      <w:r>
        <w:rPr>
          <w:rFonts w:hint="eastAsia"/>
          <w:color w:val="auto"/>
          <w:kern w:val="0"/>
          <w:sz w:val="24"/>
          <w:szCs w:val="24"/>
          <w:lang w:bidi="en-US"/>
        </w:rPr>
        <w:t>焊机固定工位并在上方设置小型集气罩并采用软管连接至主管道，焊接烟气收集后通过主管道引入袋式除尘器处理</w:t>
      </w:r>
      <w:r>
        <w:rPr>
          <w:color w:val="auto"/>
          <w:kern w:val="0"/>
          <w:sz w:val="24"/>
          <w:szCs w:val="24"/>
          <w:lang w:bidi="en-US"/>
        </w:rPr>
        <w:t>，处理后的尾气经1根15m高排气筒有组织排放。</w:t>
      </w:r>
      <w:r>
        <w:rPr>
          <w:color w:val="auto"/>
          <w:kern w:val="21"/>
          <w:sz w:val="24"/>
          <w:szCs w:val="24"/>
        </w:rPr>
        <w:t>本项目焊接烟尘经上述措施处理后，颗粒物排放速率和排放浓度均</w:t>
      </w:r>
      <w:r>
        <w:rPr>
          <w:color w:val="auto"/>
          <w:kern w:val="0"/>
          <w:sz w:val="24"/>
          <w:szCs w:val="24"/>
        </w:rPr>
        <w:t>能够</w:t>
      </w:r>
      <w:r>
        <w:rPr>
          <w:color w:val="auto"/>
          <w:sz w:val="24"/>
          <w:szCs w:val="24"/>
        </w:rPr>
        <w:t>《大气污染物综合排放标准》（GB16297-1996）表2二级标准及《新乡市生态环境局关于进一步规范工业企业颗粒物排放限值的通知》中其他所有涉气</w:t>
      </w:r>
      <w:r>
        <w:rPr>
          <w:rFonts w:hint="eastAsia"/>
          <w:color w:val="auto"/>
          <w:sz w:val="24"/>
          <w:szCs w:val="24"/>
        </w:rPr>
        <w:t>工业企业</w:t>
      </w:r>
      <w:r>
        <w:rPr>
          <w:color w:val="auto"/>
          <w:sz w:val="24"/>
          <w:szCs w:val="24"/>
        </w:rPr>
        <w:t>排放口颗粒物排放浓度不高于10mg/m</w:t>
      </w:r>
      <w:r>
        <w:rPr>
          <w:color w:val="auto"/>
          <w:sz w:val="24"/>
          <w:szCs w:val="24"/>
          <w:vertAlign w:val="superscript"/>
        </w:rPr>
        <w:t>3</w:t>
      </w:r>
      <w:r>
        <w:rPr>
          <w:color w:val="auto"/>
          <w:sz w:val="24"/>
          <w:szCs w:val="24"/>
        </w:rPr>
        <w:t>的排放标准</w:t>
      </w:r>
      <w:r>
        <w:rPr>
          <w:color w:val="auto"/>
          <w:kern w:val="21"/>
          <w:sz w:val="24"/>
          <w:szCs w:val="24"/>
        </w:rPr>
        <w:t>。</w:t>
      </w:r>
      <w:r>
        <w:rPr>
          <w:color w:val="auto"/>
          <w:kern w:val="21"/>
          <w:sz w:val="24"/>
        </w:rPr>
        <w:t>项目运营期废气对周边环境的影响较小。</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21"/>
          <w:sz w:val="24"/>
        </w:rPr>
      </w:pPr>
      <w:r>
        <w:rPr>
          <w:color w:val="auto"/>
          <w:kern w:val="21"/>
          <w:sz w:val="24"/>
        </w:rPr>
        <w:t>（2）水环境影响评价结论</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rPr>
          <w:color w:val="auto"/>
          <w:kern w:val="21"/>
          <w:sz w:val="24"/>
          <w:szCs w:val="24"/>
        </w:rPr>
      </w:pPr>
      <w:r>
        <w:rPr>
          <w:rFonts w:ascii="宋体" w:hAnsi="宋体" w:cs="宋体"/>
          <w:color w:val="auto"/>
          <w:kern w:val="0"/>
          <w:sz w:val="24"/>
          <w:szCs w:val="24"/>
          <w:lang w:val="zh-CN" w:bidi="zh-CN"/>
        </w:rPr>
        <w:t>本项目建设</w:t>
      </w:r>
      <w:r>
        <w:rPr>
          <w:rFonts w:hint="eastAsia" w:ascii="宋体" w:hAnsi="宋体" w:cs="宋体"/>
          <w:color w:val="auto"/>
          <w:kern w:val="0"/>
          <w:sz w:val="24"/>
          <w:szCs w:val="24"/>
          <w:lang w:val="en-US" w:bidi="zh-CN"/>
        </w:rPr>
        <w:t>1座</w:t>
      </w:r>
      <w:r>
        <w:rPr>
          <w:rFonts w:hint="eastAsia" w:hAnsi="宋体" w:cs="宋体"/>
          <w:color w:val="auto"/>
          <w:kern w:val="0"/>
          <w:sz w:val="24"/>
          <w:szCs w:val="24"/>
          <w:lang w:val="zh-CN" w:bidi="zh-CN"/>
        </w:rPr>
        <w:t>450m</w:t>
      </w:r>
      <w:r>
        <w:rPr>
          <w:rFonts w:hint="eastAsia" w:hAnsi="宋体" w:cs="宋体"/>
          <w:color w:val="auto"/>
          <w:kern w:val="0"/>
          <w:sz w:val="24"/>
          <w:szCs w:val="24"/>
          <w:vertAlign w:val="superscript"/>
          <w:lang w:val="zh-CN" w:bidi="zh-CN"/>
        </w:rPr>
        <w:t>3</w:t>
      </w:r>
      <w:r>
        <w:rPr>
          <w:rFonts w:hint="eastAsia" w:hAnsi="宋体" w:cs="宋体"/>
          <w:color w:val="auto"/>
          <w:kern w:val="0"/>
          <w:sz w:val="24"/>
          <w:szCs w:val="24"/>
          <w:lang w:val="zh-CN" w:bidi="zh-CN"/>
        </w:rPr>
        <w:t>/d</w:t>
      </w:r>
      <w:r>
        <w:rPr>
          <w:rFonts w:ascii="宋体" w:hAnsi="宋体" w:cs="宋体"/>
          <w:color w:val="auto"/>
          <w:kern w:val="0"/>
          <w:sz w:val="24"/>
          <w:szCs w:val="24"/>
          <w:lang w:val="zh-CN" w:bidi="zh-CN"/>
        </w:rPr>
        <w:t>的污水处理</w:t>
      </w:r>
      <w:r>
        <w:rPr>
          <w:color w:val="auto"/>
          <w:kern w:val="21"/>
          <w:sz w:val="24"/>
        </w:rPr>
        <w:t>站，</w:t>
      </w:r>
      <w:r>
        <w:rPr>
          <w:color w:val="auto"/>
          <w:kern w:val="21"/>
          <w:sz w:val="24"/>
          <w:szCs w:val="24"/>
        </w:rPr>
        <w:t>含镍废水进入含镍废水预处理系统（</w:t>
      </w:r>
      <w:r>
        <w:rPr>
          <w:rFonts w:hint="eastAsia"/>
          <w:color w:val="auto"/>
          <w:kern w:val="21"/>
          <w:sz w:val="24"/>
          <w:szCs w:val="24"/>
        </w:rPr>
        <w:t>pH调节→混凝沉淀→回调→多介质过滤</w:t>
      </w:r>
      <w:r>
        <w:rPr>
          <w:color w:val="auto"/>
          <w:kern w:val="21"/>
          <w:sz w:val="24"/>
          <w:szCs w:val="24"/>
        </w:rPr>
        <w:t>）；含锌废水进入含锌废水预处理系统（</w:t>
      </w:r>
      <w:r>
        <w:rPr>
          <w:rFonts w:hint="eastAsia"/>
          <w:color w:val="auto"/>
          <w:kern w:val="21"/>
          <w:sz w:val="24"/>
          <w:szCs w:val="24"/>
        </w:rPr>
        <w:t>pH调节→混凝沉淀→回调→多介质过滤</w:t>
      </w:r>
      <w:r>
        <w:rPr>
          <w:color w:val="auto"/>
          <w:kern w:val="21"/>
          <w:sz w:val="24"/>
          <w:szCs w:val="24"/>
        </w:rPr>
        <w:t>）；含铬废水进入含铬废水预处理系统（</w:t>
      </w:r>
      <w:r>
        <w:rPr>
          <w:rFonts w:hint="eastAsia"/>
          <w:color w:val="auto"/>
          <w:kern w:val="21"/>
          <w:sz w:val="24"/>
          <w:szCs w:val="24"/>
        </w:rPr>
        <w:t>还原→pH调节→混凝沉淀→回调→多介质过滤</w:t>
      </w:r>
      <w:r>
        <w:rPr>
          <w:color w:val="auto"/>
          <w:kern w:val="21"/>
          <w:sz w:val="24"/>
          <w:szCs w:val="24"/>
        </w:rPr>
        <w:t>）；地面清洗废水进入地面清洗废水预处理系统（</w:t>
      </w:r>
      <w:r>
        <w:rPr>
          <w:rFonts w:hint="eastAsia"/>
          <w:color w:val="auto"/>
          <w:kern w:val="21"/>
          <w:sz w:val="24"/>
          <w:szCs w:val="24"/>
        </w:rPr>
        <w:t>氧化→pH调节→混凝沉淀→还原→混凝沉淀→回调→多介质过滤</w:t>
      </w:r>
      <w:r>
        <w:rPr>
          <w:color w:val="auto"/>
          <w:kern w:val="21"/>
          <w:sz w:val="24"/>
          <w:szCs w:val="24"/>
        </w:rPr>
        <w:t>）；</w:t>
      </w:r>
      <w:r>
        <w:rPr>
          <w:rFonts w:hint="eastAsia"/>
          <w:color w:val="auto"/>
          <w:kern w:val="21"/>
          <w:sz w:val="24"/>
        </w:rPr>
        <w:t>含油废水进入含油废水预处理系统（经</w:t>
      </w:r>
      <w:r>
        <w:rPr>
          <w:color w:val="auto"/>
          <w:kern w:val="21"/>
          <w:sz w:val="24"/>
        </w:rPr>
        <w:t>破乳</w:t>
      </w:r>
      <w:r>
        <w:rPr>
          <w:rFonts w:hint="eastAsia"/>
          <w:color w:val="auto"/>
          <w:kern w:val="21"/>
          <w:sz w:val="24"/>
        </w:rPr>
        <w:t>→</w:t>
      </w:r>
      <w:r>
        <w:rPr>
          <w:color w:val="auto"/>
          <w:kern w:val="21"/>
          <w:sz w:val="24"/>
        </w:rPr>
        <w:t>pH调节</w:t>
      </w:r>
      <w:r>
        <w:rPr>
          <w:rFonts w:hint="eastAsia"/>
          <w:color w:val="auto"/>
          <w:kern w:val="21"/>
          <w:sz w:val="24"/>
        </w:rPr>
        <w:t>→混凝→气浮）预处理后，再与酸性废水一同进入酸性废水预处理系统（pH调节→混凝沉淀→回调→多介质过滤）。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color w:val="auto"/>
          <w:kern w:val="0"/>
          <w:sz w:val="24"/>
          <w:szCs w:val="20"/>
        </w:rPr>
      </w:pPr>
      <w:r>
        <w:rPr>
          <w:color w:val="auto"/>
          <w:kern w:val="0"/>
          <w:sz w:val="24"/>
          <w:szCs w:val="20"/>
        </w:rPr>
        <w:t>经预处理后的各股废水一</w:t>
      </w:r>
      <w:r>
        <w:rPr>
          <w:rFonts w:hint="eastAsia"/>
          <w:color w:val="auto"/>
          <w:kern w:val="0"/>
          <w:sz w:val="24"/>
          <w:szCs w:val="20"/>
          <w:lang w:val="en-US" w:eastAsia="zh-CN"/>
        </w:rPr>
        <w:t>同</w:t>
      </w:r>
      <w:r>
        <w:rPr>
          <w:color w:val="auto"/>
          <w:kern w:val="0"/>
          <w:sz w:val="24"/>
          <w:szCs w:val="20"/>
        </w:rPr>
        <w:t>进入零排放处理系统</w:t>
      </w:r>
      <w:r>
        <w:rPr>
          <w:rFonts w:hint="eastAsia"/>
          <w:color w:val="auto"/>
          <w:kern w:val="0"/>
          <w:sz w:val="24"/>
          <w:szCs w:val="20"/>
          <w:lang w:eastAsia="zh-CN"/>
        </w:rPr>
        <w:t>（</w:t>
      </w:r>
      <w:r>
        <w:rPr>
          <w:rFonts w:hint="eastAsia"/>
          <w:color w:val="auto"/>
          <w:kern w:val="0"/>
          <w:sz w:val="24"/>
          <w:szCs w:val="20"/>
        </w:rPr>
        <w:t>A</w:t>
      </w:r>
      <w:r>
        <w:rPr>
          <w:rFonts w:hint="eastAsia"/>
          <w:color w:val="auto"/>
          <w:kern w:val="0"/>
          <w:sz w:val="24"/>
          <w:szCs w:val="20"/>
          <w:vertAlign w:val="superscript"/>
        </w:rPr>
        <w:t>2</w:t>
      </w:r>
      <w:r>
        <w:rPr>
          <w:color w:val="auto"/>
          <w:kern w:val="0"/>
          <w:sz w:val="24"/>
          <w:szCs w:val="20"/>
        </w:rPr>
        <w:t>/O</w:t>
      </w:r>
      <w:r>
        <w:rPr>
          <w:rFonts w:hint="eastAsia"/>
          <w:color w:val="auto"/>
          <w:kern w:val="0"/>
          <w:sz w:val="24"/>
          <w:szCs w:val="20"/>
        </w:rPr>
        <w:t>→</w:t>
      </w:r>
      <w:r>
        <w:rPr>
          <w:color w:val="auto"/>
          <w:kern w:val="0"/>
          <w:sz w:val="24"/>
          <w:szCs w:val="20"/>
        </w:rPr>
        <w:t>MBR</w:t>
      </w:r>
      <w:r>
        <w:rPr>
          <w:rFonts w:hint="eastAsia"/>
          <w:color w:val="auto"/>
          <w:kern w:val="0"/>
          <w:sz w:val="24"/>
          <w:szCs w:val="20"/>
        </w:rPr>
        <w:t>→两级E</w:t>
      </w:r>
      <w:r>
        <w:rPr>
          <w:color w:val="auto"/>
          <w:kern w:val="0"/>
          <w:sz w:val="24"/>
          <w:szCs w:val="20"/>
        </w:rPr>
        <w:t>CRO</w:t>
      </w:r>
      <w:r>
        <w:rPr>
          <w:rFonts w:hint="eastAsia"/>
          <w:color w:val="auto"/>
          <w:kern w:val="0"/>
          <w:sz w:val="24"/>
          <w:szCs w:val="20"/>
        </w:rPr>
        <w:t>→</w:t>
      </w:r>
      <w:r>
        <w:rPr>
          <w:color w:val="auto"/>
          <w:kern w:val="0"/>
          <w:sz w:val="24"/>
          <w:szCs w:val="20"/>
        </w:rPr>
        <w:t>DTRO</w:t>
      </w:r>
      <w:r>
        <w:rPr>
          <w:rFonts w:hint="eastAsia"/>
          <w:color w:val="auto"/>
          <w:kern w:val="0"/>
          <w:sz w:val="24"/>
          <w:szCs w:val="20"/>
        </w:rPr>
        <w:t>→二级RO→MVR蒸发</w:t>
      </w:r>
      <w:r>
        <w:rPr>
          <w:rFonts w:hint="eastAsia"/>
          <w:color w:val="auto"/>
          <w:kern w:val="0"/>
          <w:sz w:val="24"/>
          <w:szCs w:val="20"/>
          <w:lang w:eastAsia="zh-CN"/>
        </w:rPr>
        <w:t>）</w:t>
      </w:r>
      <w:r>
        <w:rPr>
          <w:rFonts w:hint="eastAsia"/>
          <w:color w:val="auto"/>
          <w:kern w:val="0"/>
          <w:sz w:val="24"/>
          <w:szCs w:val="20"/>
        </w:rPr>
        <w:t>进行</w:t>
      </w:r>
      <w:r>
        <w:rPr>
          <w:rFonts w:hint="eastAsia"/>
          <w:color w:val="auto"/>
          <w:kern w:val="0"/>
          <w:sz w:val="24"/>
          <w:szCs w:val="20"/>
          <w:lang w:eastAsia="zh-CN"/>
        </w:rPr>
        <w:t>深度</w:t>
      </w:r>
      <w:r>
        <w:rPr>
          <w:rFonts w:hint="eastAsia"/>
          <w:color w:val="auto"/>
          <w:kern w:val="0"/>
          <w:sz w:val="24"/>
          <w:szCs w:val="20"/>
        </w:rPr>
        <w:t>处理</w:t>
      </w:r>
      <w:r>
        <w:rPr>
          <w:color w:val="auto"/>
          <w:kern w:val="0"/>
          <w:sz w:val="24"/>
          <w:szCs w:val="20"/>
        </w:rPr>
        <w:t>，</w:t>
      </w:r>
      <w:r>
        <w:rPr>
          <w:rFonts w:hint="eastAsia"/>
          <w:color w:val="auto"/>
          <w:kern w:val="0"/>
          <w:sz w:val="24"/>
          <w:szCs w:val="20"/>
          <w:lang w:eastAsia="zh-CN"/>
        </w:rPr>
        <w:t>深度处理后全部回用于生产线，</w:t>
      </w:r>
      <w:r>
        <w:rPr>
          <w:color w:val="auto"/>
          <w:kern w:val="0"/>
          <w:sz w:val="24"/>
          <w:szCs w:val="20"/>
        </w:rPr>
        <w:t>结晶盐</w:t>
      </w:r>
      <w:r>
        <w:rPr>
          <w:rFonts w:hint="eastAsia"/>
          <w:color w:val="auto"/>
          <w:kern w:val="0"/>
          <w:sz w:val="24"/>
          <w:szCs w:val="20"/>
          <w:lang w:eastAsia="zh-CN"/>
        </w:rPr>
        <w:t>作为</w:t>
      </w:r>
      <w:r>
        <w:rPr>
          <w:color w:val="auto"/>
          <w:kern w:val="0"/>
          <w:sz w:val="24"/>
          <w:szCs w:val="20"/>
        </w:rPr>
        <w:t>危废处置。</w:t>
      </w:r>
    </w:p>
    <w:p>
      <w:pPr>
        <w:pStyle w:val="32"/>
        <w:keepNext w:val="0"/>
        <w:keepLines w:val="0"/>
        <w:pageBreakBefore w:val="0"/>
        <w:kinsoku/>
        <w:wordWrap/>
        <w:overflowPunct/>
        <w:topLinePunct w:val="0"/>
        <w:autoSpaceDE/>
        <w:autoSpaceDN/>
        <w:bidi w:val="0"/>
        <w:adjustRightInd w:val="0"/>
        <w:snapToGrid w:val="0"/>
        <w:spacing w:after="0" w:line="360" w:lineRule="auto"/>
        <w:ind w:firstLine="480" w:firstLineChars="200"/>
        <w:rPr>
          <w:color w:val="auto"/>
          <w:kern w:val="21"/>
          <w:sz w:val="24"/>
        </w:rPr>
      </w:pPr>
      <w:r>
        <w:rPr>
          <w:color w:val="auto"/>
          <w:kern w:val="0"/>
          <w:sz w:val="24"/>
          <w:szCs w:val="20"/>
        </w:rPr>
        <w:t>纯水制备浓水、锅炉</w:t>
      </w:r>
      <w:r>
        <w:rPr>
          <w:rFonts w:hint="eastAsia"/>
          <w:color w:val="auto"/>
          <w:kern w:val="0"/>
          <w:sz w:val="24"/>
          <w:szCs w:val="20"/>
          <w:lang w:val="en-US" w:eastAsia="zh-CN"/>
        </w:rPr>
        <w:t>浓</w:t>
      </w:r>
      <w:r>
        <w:rPr>
          <w:color w:val="auto"/>
          <w:kern w:val="0"/>
          <w:sz w:val="24"/>
          <w:szCs w:val="20"/>
        </w:rPr>
        <w:t>水及生活污水经市政管网</w:t>
      </w:r>
      <w:r>
        <w:rPr>
          <w:rFonts w:hint="eastAsia"/>
          <w:color w:val="auto"/>
          <w:kern w:val="0"/>
          <w:sz w:val="24"/>
          <w:szCs w:val="20"/>
        </w:rPr>
        <w:t>排入同盟污水处理厂，出水满足同盟污水处理厂收水水质标准</w:t>
      </w:r>
      <w:r>
        <w:rPr>
          <w:rFonts w:hint="eastAsia"/>
          <w:color w:val="auto"/>
          <w:kern w:val="0"/>
          <w:sz w:val="24"/>
          <w:szCs w:val="20"/>
          <w:lang w:eastAsia="zh-CN"/>
        </w:rPr>
        <w:t>要求</w:t>
      </w:r>
      <w:r>
        <w:rPr>
          <w:rFonts w:hint="eastAsia"/>
          <w:color w:val="auto"/>
          <w:kern w:val="0"/>
          <w:sz w:val="24"/>
          <w:szCs w:val="20"/>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rPr>
          <w:color w:val="auto"/>
          <w:kern w:val="21"/>
          <w:sz w:val="24"/>
          <w:szCs w:val="22"/>
        </w:rPr>
      </w:pPr>
      <w:r>
        <w:rPr>
          <w:color w:val="auto"/>
          <w:kern w:val="21"/>
          <w:sz w:val="24"/>
          <w:szCs w:val="22"/>
        </w:rPr>
        <w:t>厂区内采取分区防渗处理后，对地下水影响较小。</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baseline"/>
        <w:rPr>
          <w:color w:val="auto"/>
          <w:kern w:val="21"/>
          <w:sz w:val="24"/>
        </w:rPr>
      </w:pPr>
      <w:r>
        <w:rPr>
          <w:color w:val="auto"/>
          <w:kern w:val="21"/>
          <w:sz w:val="24"/>
        </w:rPr>
        <w:t>（3）声环境影响评价结论</w:t>
      </w:r>
    </w:p>
    <w:p>
      <w:pPr>
        <w:keepNext w:val="0"/>
        <w:keepLines w:val="0"/>
        <w:pageBreakBefore w:val="0"/>
        <w:kinsoku/>
        <w:wordWrap/>
        <w:overflowPunct/>
        <w:topLinePunct w:val="0"/>
        <w:autoSpaceDE/>
        <w:autoSpaceDN/>
        <w:bidi w:val="0"/>
        <w:adjustRightInd w:val="0"/>
        <w:snapToGrid w:val="0"/>
        <w:spacing w:line="360" w:lineRule="auto"/>
        <w:ind w:firstLine="480" w:firstLineChars="200"/>
        <w:rPr>
          <w:color w:val="auto"/>
          <w:kern w:val="21"/>
          <w:sz w:val="24"/>
        </w:rPr>
      </w:pPr>
      <w:r>
        <w:rPr>
          <w:color w:val="auto"/>
          <w:kern w:val="21"/>
          <w:sz w:val="24"/>
        </w:rPr>
        <w:t>本项目主要高噪声设备有冲压机、</w:t>
      </w:r>
      <w:r>
        <w:rPr>
          <w:rFonts w:hint="eastAsia"/>
          <w:color w:val="auto"/>
          <w:kern w:val="21"/>
          <w:sz w:val="24"/>
          <w:lang w:eastAsia="zh-CN"/>
        </w:rPr>
        <w:t>空压机及风机</w:t>
      </w:r>
      <w:r>
        <w:rPr>
          <w:color w:val="auto"/>
          <w:kern w:val="21"/>
          <w:sz w:val="24"/>
        </w:rPr>
        <w:t>等，经采取相应的基础减振、厂房隔声等措施后，厂界噪声可以</w:t>
      </w:r>
      <w:r>
        <w:rPr>
          <w:rFonts w:hint="eastAsia"/>
          <w:color w:val="auto"/>
          <w:kern w:val="21"/>
          <w:sz w:val="24"/>
          <w:lang w:eastAsia="zh-CN"/>
        </w:rPr>
        <w:t>满足</w:t>
      </w:r>
      <w:r>
        <w:rPr>
          <w:color w:val="auto"/>
          <w:kern w:val="21"/>
          <w:sz w:val="24"/>
        </w:rPr>
        <w:t>（GB12348-2008）《工业企业厂界环境噪声排放标准》中3类标准要求，对周围外环境影响较小。</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textAlignment w:val="baseline"/>
        <w:rPr>
          <w:color w:val="auto"/>
          <w:kern w:val="21"/>
          <w:sz w:val="24"/>
        </w:rPr>
      </w:pPr>
      <w:r>
        <w:rPr>
          <w:color w:val="auto"/>
          <w:kern w:val="21"/>
          <w:sz w:val="24"/>
        </w:rPr>
        <w:t>（4）固体废物影响评价结论</w:t>
      </w:r>
    </w:p>
    <w:p>
      <w:pPr>
        <w:pStyle w:val="32"/>
        <w:keepNext w:val="0"/>
        <w:keepLines w:val="0"/>
        <w:pageBreakBefore w:val="0"/>
        <w:kinsoku/>
        <w:wordWrap/>
        <w:overflowPunct/>
        <w:topLinePunct w:val="0"/>
        <w:autoSpaceDE/>
        <w:autoSpaceDN/>
        <w:bidi w:val="0"/>
        <w:spacing w:after="0" w:line="360" w:lineRule="auto"/>
        <w:ind w:firstLine="480" w:firstLineChars="200"/>
        <w:rPr>
          <w:color w:val="auto"/>
          <w:kern w:val="21"/>
          <w:sz w:val="24"/>
        </w:rPr>
      </w:pPr>
      <w:r>
        <w:rPr>
          <w:color w:val="auto"/>
          <w:kern w:val="21"/>
          <w:sz w:val="24"/>
        </w:rPr>
        <w:t>本项目一般固废主要为边角料、不合格镀件、纯水制备</w:t>
      </w:r>
      <w:r>
        <w:rPr>
          <w:rFonts w:hint="eastAsia"/>
          <w:color w:val="auto"/>
          <w:kern w:val="21"/>
          <w:sz w:val="24"/>
          <w:lang w:eastAsia="zh-CN"/>
        </w:rPr>
        <w:t>废</w:t>
      </w:r>
      <w:r>
        <w:rPr>
          <w:rFonts w:hint="eastAsia"/>
          <w:color w:val="auto"/>
          <w:kern w:val="21"/>
          <w:sz w:val="24"/>
        </w:rPr>
        <w:t>RO膜和除尘器灰尘暂存于一般固废暂存间，综合利用；危险废物镀镍槽液、镀锌槽液每5年更换一次，由危废处置单位直接拉走，不暂存；含镍废物、含锌废物、含铬废物、</w:t>
      </w:r>
      <w:r>
        <w:rPr>
          <w:rFonts w:hint="eastAsia"/>
          <w:snapToGrid w:val="0"/>
          <w:color w:val="auto"/>
          <w:kern w:val="21"/>
          <w:sz w:val="24"/>
        </w:rPr>
        <w:t>气浮池污油</w:t>
      </w:r>
      <w:r>
        <w:rPr>
          <w:rFonts w:hint="eastAsia"/>
          <w:color w:val="auto"/>
          <w:kern w:val="21"/>
          <w:sz w:val="24"/>
        </w:rPr>
        <w:t>、废机油、废水反渗透膜（3年更换一次）、生化处理污泥暂存于危废暂存间，定期交有资质单位处置；</w:t>
      </w:r>
      <w:r>
        <w:rPr>
          <w:color w:val="auto"/>
          <w:kern w:val="21"/>
          <w:sz w:val="24"/>
        </w:rPr>
        <w:t>生活垃圾</w:t>
      </w:r>
      <w:r>
        <w:rPr>
          <w:rFonts w:hint="eastAsia"/>
          <w:color w:val="auto"/>
          <w:kern w:val="21"/>
          <w:sz w:val="24"/>
          <w:lang w:eastAsia="zh-CN"/>
        </w:rPr>
        <w:t>有</w:t>
      </w:r>
      <w:r>
        <w:rPr>
          <w:color w:val="auto"/>
          <w:kern w:val="21"/>
          <w:sz w:val="24"/>
        </w:rPr>
        <w:t>垃圾桶收集，</w:t>
      </w:r>
      <w:r>
        <w:rPr>
          <w:rFonts w:hint="eastAsia"/>
          <w:color w:val="auto"/>
          <w:kern w:val="21"/>
          <w:sz w:val="24"/>
        </w:rPr>
        <w:t>定期运往垃圾中转站</w:t>
      </w:r>
      <w:r>
        <w:rPr>
          <w:color w:val="auto"/>
          <w:kern w:val="21"/>
          <w:sz w:val="24"/>
        </w:rPr>
        <w:t>，对周边环境的影响较小。</w:t>
      </w:r>
    </w:p>
    <w:p>
      <w:pPr>
        <w:pStyle w:val="33"/>
        <w:keepNext w:val="0"/>
        <w:keepLines w:val="0"/>
        <w:pageBreakBefore w:val="0"/>
        <w:widowControl/>
        <w:kinsoku/>
        <w:wordWrap/>
        <w:overflowPunct/>
        <w:topLinePunct w:val="0"/>
        <w:autoSpaceDE/>
        <w:autoSpaceDN/>
        <w:bidi w:val="0"/>
        <w:adjustRightInd/>
        <w:snapToGrid/>
        <w:spacing w:after="0" w:line="360" w:lineRule="auto"/>
        <w:ind w:left="0" w:leftChars="0" w:firstLine="480" w:firstLineChars="200"/>
        <w:textAlignment w:val="auto"/>
        <w:rPr>
          <w:color w:val="auto"/>
          <w:kern w:val="21"/>
          <w:sz w:val="24"/>
        </w:rPr>
      </w:pPr>
      <w:r>
        <w:rPr>
          <w:rFonts w:hint="eastAsia"/>
          <w:color w:val="auto"/>
          <w:kern w:val="21"/>
          <w:sz w:val="24"/>
        </w:rPr>
        <w:t>（5）地下水、土壤环境影响评价结论</w:t>
      </w:r>
    </w:p>
    <w:p>
      <w:pPr>
        <w:pStyle w:val="32"/>
        <w:keepNext w:val="0"/>
        <w:keepLines w:val="0"/>
        <w:pageBreakBefore w:val="0"/>
        <w:kinsoku/>
        <w:wordWrap/>
        <w:overflowPunct/>
        <w:topLinePunct w:val="0"/>
        <w:autoSpaceDE/>
        <w:autoSpaceDN/>
        <w:bidi w:val="0"/>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采取源头防渗控制、分区防渗，加强污水处理设施的运维，</w:t>
      </w:r>
      <w:r>
        <w:rPr>
          <w:color w:val="auto"/>
          <w:kern w:val="21"/>
          <w:sz w:val="24"/>
          <w:lang w:val="en-US"/>
        </w:rPr>
        <w:t>加强监控巡检防控并进行跟踪监测的前提下，项目建设对周边</w:t>
      </w:r>
      <w:r>
        <w:rPr>
          <w:rFonts w:hint="eastAsia"/>
          <w:color w:val="auto"/>
          <w:kern w:val="21"/>
          <w:sz w:val="24"/>
          <w:lang w:val="en-US"/>
        </w:rPr>
        <w:t>地下水及</w:t>
      </w:r>
      <w:r>
        <w:rPr>
          <w:color w:val="auto"/>
          <w:kern w:val="21"/>
          <w:sz w:val="24"/>
          <w:lang w:val="en-US"/>
        </w:rPr>
        <w:t>土壤环境的影响</w:t>
      </w:r>
      <w:r>
        <w:rPr>
          <w:rFonts w:hint="eastAsia"/>
          <w:color w:val="auto"/>
          <w:kern w:val="21"/>
          <w:sz w:val="24"/>
          <w:lang w:val="en-US"/>
        </w:rPr>
        <w:t>较小</w:t>
      </w:r>
      <w:r>
        <w:rPr>
          <w:color w:val="auto"/>
          <w:kern w:val="21"/>
          <w:sz w:val="24"/>
          <w:lang w:val="en-US"/>
        </w:rPr>
        <w:t>。</w:t>
      </w:r>
    </w:p>
    <w:p>
      <w:pPr>
        <w:pStyle w:val="32"/>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color w:val="auto"/>
          <w:kern w:val="21"/>
          <w:sz w:val="24"/>
          <w:lang w:val="en-US"/>
        </w:rPr>
      </w:pPr>
      <w:r>
        <w:rPr>
          <w:rFonts w:hint="eastAsia"/>
          <w:color w:val="auto"/>
          <w:kern w:val="21"/>
          <w:sz w:val="24"/>
        </w:rPr>
        <w:t>（</w:t>
      </w:r>
      <w:r>
        <w:rPr>
          <w:rFonts w:hint="eastAsia"/>
          <w:color w:val="auto"/>
          <w:kern w:val="21"/>
          <w:sz w:val="24"/>
          <w:lang w:val="en-US"/>
        </w:rPr>
        <w:t>6</w:t>
      </w:r>
      <w:r>
        <w:rPr>
          <w:rFonts w:hint="eastAsia"/>
          <w:color w:val="auto"/>
          <w:kern w:val="21"/>
          <w:sz w:val="24"/>
        </w:rPr>
        <w:t>）大气</w:t>
      </w:r>
      <w:r>
        <w:rPr>
          <w:rFonts w:hint="eastAsia"/>
          <w:color w:val="auto"/>
          <w:kern w:val="21"/>
          <w:sz w:val="24"/>
          <w:lang w:val="en-US"/>
        </w:rPr>
        <w:t>防护距离</w:t>
      </w:r>
    </w:p>
    <w:p>
      <w:pPr>
        <w:pStyle w:val="32"/>
        <w:keepNext w:val="0"/>
        <w:keepLines w:val="0"/>
        <w:pageBreakBefore w:val="0"/>
        <w:kinsoku/>
        <w:wordWrap/>
        <w:overflowPunct/>
        <w:topLinePunct w:val="0"/>
        <w:autoSpaceDE/>
        <w:autoSpaceDN/>
        <w:bidi w:val="0"/>
        <w:adjustRightInd w:val="0"/>
        <w:snapToGrid w:val="0"/>
        <w:spacing w:after="0" w:line="360" w:lineRule="auto"/>
        <w:ind w:firstLine="480" w:firstLineChars="200"/>
        <w:rPr>
          <w:color w:val="auto"/>
          <w:kern w:val="21"/>
          <w:sz w:val="24"/>
          <w:lang w:val="en-US"/>
        </w:rPr>
      </w:pPr>
      <w:r>
        <w:rPr>
          <w:rFonts w:hint="eastAsia"/>
          <w:color w:val="auto"/>
          <w:kern w:val="21"/>
          <w:sz w:val="24"/>
          <w:lang w:val="en-US"/>
        </w:rPr>
        <w:t>经核定，本项目无需设置大气防护距离。</w:t>
      </w:r>
    </w:p>
    <w:p>
      <w:pPr>
        <w:pageBreakBefore w:val="0"/>
        <w:kinsoku/>
        <w:overflowPunct/>
        <w:topLinePunct w:val="0"/>
        <w:autoSpaceDE/>
        <w:autoSpaceDN/>
        <w:bidi w:val="0"/>
        <w:adjustRightInd w:val="0"/>
        <w:snapToGrid w:val="0"/>
        <w:spacing w:line="360" w:lineRule="auto"/>
        <w:outlineLvl w:val="2"/>
        <w:rPr>
          <w:rFonts w:hint="eastAsia" w:eastAsia="黑体"/>
          <w:bCs/>
          <w:color w:val="auto"/>
          <w:kern w:val="21"/>
          <w:sz w:val="28"/>
          <w:szCs w:val="28"/>
          <w:lang w:val="en-US" w:eastAsia="zh-CN"/>
        </w:rPr>
      </w:pPr>
      <w:bookmarkStart w:id="487" w:name="_Toc10027"/>
      <w:r>
        <w:rPr>
          <w:color w:val="auto"/>
          <w:kern w:val="21"/>
          <w:sz w:val="28"/>
          <w:szCs w:val="28"/>
        </w:rPr>
        <w:t>10</w:t>
      </w:r>
      <w:r>
        <w:rPr>
          <w:rFonts w:eastAsia="黑体"/>
          <w:bCs/>
          <w:color w:val="auto"/>
          <w:kern w:val="21"/>
          <w:sz w:val="28"/>
          <w:szCs w:val="28"/>
        </w:rPr>
        <w:t>.1.5污染物排放总量</w:t>
      </w:r>
      <w:bookmarkEnd w:id="487"/>
      <w:r>
        <w:rPr>
          <w:rFonts w:hint="eastAsia" w:eastAsia="黑体"/>
          <w:bCs/>
          <w:color w:val="auto"/>
          <w:kern w:val="21"/>
          <w:sz w:val="28"/>
          <w:szCs w:val="28"/>
          <w:lang w:val="en-US" w:eastAsia="zh-CN"/>
        </w:rPr>
        <w:t>控制</w:t>
      </w:r>
    </w:p>
    <w:p>
      <w:pPr>
        <w:pStyle w:val="496"/>
        <w:keepNext w:val="0"/>
        <w:keepLines w:val="0"/>
        <w:pageBreakBefore w:val="0"/>
        <w:widowControl w:val="0"/>
        <w:shd w:val="clear" w:color="auto" w:fill="auto"/>
        <w:kinsoku/>
        <w:wordWrap/>
        <w:overflowPunct/>
        <w:topLinePunct w:val="0"/>
        <w:autoSpaceDE/>
        <w:autoSpaceDN/>
        <w:bidi w:val="0"/>
        <w:adjustRightInd/>
        <w:snapToGrid/>
        <w:spacing w:line="360" w:lineRule="auto"/>
        <w:ind w:left="0" w:right="0" w:firstLine="482" w:firstLineChars="200"/>
        <w:jc w:val="both"/>
        <w:textAlignment w:val="auto"/>
        <w:rPr>
          <w:rFonts w:hint="eastAsia" w:ascii="Times New Roman" w:hAnsi="Times New Roman" w:cs="Times New Roman"/>
          <w:b/>
          <w:bCs/>
          <w:color w:val="auto"/>
          <w:spacing w:val="0"/>
          <w:w w:val="100"/>
          <w:position w:val="0"/>
          <w:sz w:val="24"/>
          <w:szCs w:val="24"/>
          <w:u w:val="single"/>
          <w:lang w:val="en-US" w:eastAsia="zh-CN" w:bidi="en-US"/>
        </w:rPr>
      </w:pPr>
      <w:r>
        <w:rPr>
          <w:rFonts w:hint="eastAsia" w:ascii="Times New Roman" w:hAnsi="Times New Roman" w:cs="Times New Roman"/>
          <w:b/>
          <w:bCs/>
          <w:color w:val="auto"/>
          <w:spacing w:val="0"/>
          <w:w w:val="100"/>
          <w:position w:val="0"/>
          <w:sz w:val="24"/>
          <w:szCs w:val="24"/>
          <w:u w:val="single"/>
          <w:lang w:val="en-US" w:eastAsia="zh-CN" w:bidi="en-US"/>
        </w:rPr>
        <w:t>本项目</w:t>
      </w:r>
      <w:r>
        <w:rPr>
          <w:rFonts w:hint="default" w:ascii="Times New Roman" w:hAnsi="Times New Roman" w:cs="Times New Roman"/>
          <w:b/>
          <w:bCs/>
          <w:color w:val="auto"/>
          <w:spacing w:val="0"/>
          <w:w w:val="100"/>
          <w:position w:val="0"/>
          <w:sz w:val="24"/>
          <w:szCs w:val="24"/>
          <w:u w:val="single"/>
          <w:lang w:val="en-US" w:eastAsia="zh-CN" w:bidi="en-US"/>
        </w:rPr>
        <w:t>新增主要污染物总量指标为：</w:t>
      </w:r>
      <w:r>
        <w:rPr>
          <w:rFonts w:hint="default" w:ascii="Times New Roman" w:hAnsi="Times New Roman"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0.391</w:t>
      </w:r>
      <w:r>
        <w:rPr>
          <w:rFonts w:hint="default" w:ascii="Times New Roman" w:hAnsi="Times New Roman" w:cs="Times New Roman"/>
          <w:b/>
          <w:bCs/>
          <w:color w:val="auto"/>
          <w:spacing w:val="0"/>
          <w:w w:val="100"/>
          <w:position w:val="0"/>
          <w:sz w:val="24"/>
          <w:szCs w:val="24"/>
          <w:u w:val="single"/>
          <w:lang w:val="en-US" w:eastAsia="en-US" w:bidi="en-US"/>
        </w:rPr>
        <w:t>t/a</w:t>
      </w:r>
      <w:r>
        <w:rPr>
          <w:rFonts w:hint="default" w:ascii="Times New Roman" w:hAnsi="Times New Roman" w:cs="Times New Roman"/>
          <w:b/>
          <w:bCs/>
          <w:color w:val="auto"/>
          <w:spacing w:val="0"/>
          <w:w w:val="100"/>
          <w:position w:val="0"/>
          <w:sz w:val="24"/>
          <w:szCs w:val="24"/>
          <w:u w:val="single"/>
          <w:lang w:val="en-US" w:eastAsia="zh-CN" w:bidi="en-US"/>
        </w:rPr>
        <w:t>、氨氮</w:t>
      </w:r>
      <w:r>
        <w:rPr>
          <w:rFonts w:hint="eastAsia" w:ascii="Times New Roman" w:hAnsi="Times New Roman" w:cs="Times New Roman"/>
          <w:b/>
          <w:bCs/>
          <w:color w:val="auto"/>
          <w:spacing w:val="0"/>
          <w:w w:val="100"/>
          <w:position w:val="0"/>
          <w:sz w:val="24"/>
          <w:szCs w:val="24"/>
          <w:u w:val="single"/>
          <w:lang w:val="en-US" w:eastAsia="zh-CN" w:bidi="en-US"/>
        </w:rPr>
        <w:t>0.020</w:t>
      </w:r>
      <w:r>
        <w:rPr>
          <w:rFonts w:hint="default" w:ascii="Times New Roman" w:hAnsi="Times New Roman"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w:t>
      </w:r>
      <w:r>
        <w:rPr>
          <w:rFonts w:hint="eastAsia" w:ascii="Times New Roman" w:hAnsi="Times New Roman" w:cs="Times New Roman"/>
          <w:b/>
          <w:bCs/>
          <w:color w:val="auto"/>
          <w:spacing w:val="0"/>
          <w:w w:val="100"/>
          <w:position w:val="0"/>
          <w:sz w:val="24"/>
          <w:szCs w:val="24"/>
          <w:u w:val="single"/>
          <w:lang w:val="en-US" w:eastAsia="zh-CN" w:bidi="en-US"/>
        </w:rPr>
        <w:tab/>
      </w:r>
      <w:r>
        <w:rPr>
          <w:rFonts w:hint="eastAsia" w:ascii="Times New Roman" w:hAnsi="Times New Roman" w:cs="Times New Roman"/>
          <w:b/>
          <w:bCs/>
          <w:color w:val="auto"/>
          <w:spacing w:val="0"/>
          <w:w w:val="100"/>
          <w:position w:val="0"/>
          <w:sz w:val="24"/>
          <w:szCs w:val="24"/>
          <w:u w:val="single"/>
          <w:lang w:val="en-US" w:eastAsia="zh-CN" w:bidi="en-US"/>
        </w:rPr>
        <w:t>SO</w:t>
      </w:r>
      <w:r>
        <w:rPr>
          <w:rFonts w:hint="eastAsia" w:ascii="Times New Roman" w:hAnsi="Times New Roman" w:cs="Times New Roman"/>
          <w:b/>
          <w:bCs/>
          <w:color w:val="auto"/>
          <w:spacing w:val="0"/>
          <w:w w:val="100"/>
          <w:position w:val="0"/>
          <w:sz w:val="24"/>
          <w:szCs w:val="24"/>
          <w:u w:val="single"/>
          <w:vertAlign w:val="subscript"/>
          <w:lang w:val="en-US" w:eastAsia="zh-CN" w:bidi="en-US"/>
        </w:rPr>
        <w:t>2</w:t>
      </w:r>
      <w:r>
        <w:rPr>
          <w:rFonts w:hint="eastAsia" w:ascii="Times New Roman" w:hAnsi="Times New Roman" w:cs="Times New Roman"/>
          <w:b/>
          <w:bCs/>
          <w:color w:val="auto"/>
          <w:spacing w:val="0"/>
          <w:w w:val="100"/>
          <w:position w:val="0"/>
          <w:sz w:val="24"/>
          <w:szCs w:val="24"/>
          <w:u w:val="single"/>
          <w:lang w:val="en-US" w:eastAsia="zh-CN" w:bidi="en-US"/>
        </w:rPr>
        <w:t xml:space="preserve"> 0.435t/a、</w:t>
      </w:r>
      <w:r>
        <w:rPr>
          <w:rFonts w:hint="default" w:ascii="Times New Roman" w:hAnsi="Times New Roman"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1.316</w:t>
      </w:r>
      <w:r>
        <w:rPr>
          <w:rFonts w:hint="default" w:ascii="Times New Roman" w:hAnsi="Times New Roman"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、颗粒物0.460t/a。</w:t>
      </w:r>
    </w:p>
    <w:p>
      <w:pPr>
        <w:pStyle w:val="496"/>
        <w:keepNext w:val="0"/>
        <w:keepLines w:val="0"/>
        <w:pageBreakBefore w:val="0"/>
        <w:widowControl w:val="0"/>
        <w:shd w:val="clear" w:color="auto" w:fill="auto"/>
        <w:kinsoku/>
        <w:wordWrap/>
        <w:overflowPunct/>
        <w:topLinePunct w:val="0"/>
        <w:autoSpaceDE/>
        <w:autoSpaceDN/>
        <w:bidi w:val="0"/>
        <w:adjustRightInd/>
        <w:snapToGrid/>
        <w:spacing w:line="360" w:lineRule="auto"/>
        <w:ind w:left="0" w:right="0" w:firstLine="482" w:firstLineChars="200"/>
        <w:jc w:val="both"/>
        <w:textAlignment w:val="auto"/>
        <w:rPr>
          <w:rFonts w:hint="eastAsia" w:ascii="Times New Roman" w:hAnsi="Times New Roman" w:cs="Times New Roman"/>
          <w:b/>
          <w:bCs/>
          <w:color w:val="auto"/>
          <w:spacing w:val="0"/>
          <w:w w:val="100"/>
          <w:position w:val="0"/>
          <w:sz w:val="24"/>
          <w:szCs w:val="24"/>
          <w:u w:val="single"/>
          <w:lang w:val="en-US" w:eastAsia="zh-CN" w:bidi="en-US"/>
        </w:rPr>
      </w:pPr>
      <w:r>
        <w:rPr>
          <w:rFonts w:hint="eastAsia" w:ascii="Times New Roman" w:hAnsi="Times New Roman" w:cs="Times New Roman"/>
          <w:b/>
          <w:bCs/>
          <w:color w:val="auto"/>
          <w:spacing w:val="0"/>
          <w:w w:val="100"/>
          <w:position w:val="0"/>
          <w:sz w:val="24"/>
          <w:szCs w:val="24"/>
          <w:u w:val="single"/>
          <w:lang w:val="en-US" w:eastAsia="zh-CN" w:bidi="en-US"/>
        </w:rPr>
        <w:t>项目废水经获嘉县同盟污水处理厂处理后排入共产主义渠，该河段水质达标，预支总量进行单倍替代。项目废水排放所需替代量为</w:t>
      </w:r>
      <w:r>
        <w:rPr>
          <w:rFonts w:hint="default" w:ascii="Times New Roman" w:hAnsi="Times New Roman" w:eastAsia="宋体"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0.391</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default" w:ascii="Times New Roman" w:hAnsi="Times New Roman" w:eastAsia="宋体" w:cs="Times New Roman"/>
          <w:b/>
          <w:bCs/>
          <w:color w:val="auto"/>
          <w:spacing w:val="0"/>
          <w:w w:val="100"/>
          <w:position w:val="0"/>
          <w:sz w:val="24"/>
          <w:szCs w:val="24"/>
          <w:u w:val="single"/>
        </w:rPr>
        <w:t>、氨氮</w:t>
      </w:r>
      <w:r>
        <w:rPr>
          <w:rFonts w:hint="eastAsia" w:ascii="Times New Roman" w:hAnsi="Times New Roman" w:cs="Times New Roman"/>
          <w:b/>
          <w:bCs/>
          <w:color w:val="auto"/>
          <w:spacing w:val="0"/>
          <w:w w:val="100"/>
          <w:position w:val="0"/>
          <w:sz w:val="24"/>
          <w:szCs w:val="24"/>
          <w:u w:val="single"/>
          <w:lang w:val="en-US" w:eastAsia="zh-CN"/>
        </w:rPr>
        <w:t>0.020</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从平原示范区污水处理厂提标改造产生的减排剩余量（</w:t>
      </w:r>
      <w:r>
        <w:rPr>
          <w:rFonts w:hint="default" w:ascii="Times New Roman" w:hAnsi="Times New Roman" w:eastAsia="宋体" w:cs="Times New Roman"/>
          <w:b/>
          <w:bCs/>
          <w:color w:val="auto"/>
          <w:spacing w:val="0"/>
          <w:w w:val="100"/>
          <w:position w:val="0"/>
          <w:sz w:val="24"/>
          <w:szCs w:val="24"/>
          <w:u w:val="single"/>
          <w:lang w:val="en-US" w:eastAsia="en-US" w:bidi="en-US"/>
        </w:rPr>
        <w:t>COD</w:t>
      </w:r>
      <w:r>
        <w:rPr>
          <w:rFonts w:hint="eastAsia" w:ascii="Times New Roman" w:hAnsi="Times New Roman" w:cs="Times New Roman"/>
          <w:b/>
          <w:bCs/>
          <w:color w:val="auto"/>
          <w:spacing w:val="0"/>
          <w:w w:val="100"/>
          <w:position w:val="0"/>
          <w:sz w:val="24"/>
          <w:szCs w:val="24"/>
          <w:u w:val="single"/>
          <w:lang w:val="en-US" w:eastAsia="zh-CN" w:bidi="en-US"/>
        </w:rPr>
        <w:t xml:space="preserve"> 11.24016</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default" w:ascii="Times New Roman" w:hAnsi="Times New Roman" w:eastAsia="宋体" w:cs="Times New Roman"/>
          <w:b/>
          <w:bCs/>
          <w:color w:val="auto"/>
          <w:spacing w:val="0"/>
          <w:w w:val="100"/>
          <w:position w:val="0"/>
          <w:sz w:val="24"/>
          <w:szCs w:val="24"/>
          <w:u w:val="single"/>
        </w:rPr>
        <w:t>、氨氮</w:t>
      </w:r>
      <w:r>
        <w:rPr>
          <w:rFonts w:hint="eastAsia" w:ascii="Times New Roman" w:hAnsi="Times New Roman" w:cs="Times New Roman"/>
          <w:b/>
          <w:bCs/>
          <w:color w:val="auto"/>
          <w:spacing w:val="0"/>
          <w:w w:val="100"/>
          <w:position w:val="0"/>
          <w:sz w:val="24"/>
          <w:szCs w:val="24"/>
          <w:u w:val="single"/>
          <w:lang w:val="en-US" w:eastAsia="zh-CN"/>
        </w:rPr>
        <w:t>18.40676</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eastAsia" w:ascii="Times New Roman" w:hAnsi="Times New Roman" w:cs="Times New Roman"/>
          <w:b/>
          <w:bCs/>
          <w:color w:val="auto"/>
          <w:spacing w:val="0"/>
          <w:w w:val="100"/>
          <w:position w:val="0"/>
          <w:sz w:val="24"/>
          <w:szCs w:val="24"/>
          <w:u w:val="single"/>
          <w:lang w:val="en-US" w:eastAsia="zh-CN" w:bidi="en-US"/>
        </w:rPr>
        <w:t>）中扣除；项目废气排放预支增量进行双倍替代，双倍替代量为</w:t>
      </w:r>
      <w:r>
        <w:rPr>
          <w:rFonts w:hint="eastAsia" w:ascii="Times New Roman" w:hAnsi="Times New Roman" w:cs="Times New Roman"/>
          <w:b/>
          <w:bCs/>
          <w:color w:val="auto"/>
          <w:spacing w:val="0"/>
          <w:w w:val="100"/>
          <w:position w:val="0"/>
          <w:sz w:val="24"/>
          <w:szCs w:val="24"/>
          <w:u w:val="single"/>
          <w:lang w:val="en-US" w:eastAsia="zh-CN"/>
        </w:rPr>
        <w:t>SO</w:t>
      </w:r>
      <w:r>
        <w:rPr>
          <w:rFonts w:hint="eastAsia" w:ascii="Times New Roman" w:hAnsi="Times New Roman" w:cs="Times New Roman"/>
          <w:b/>
          <w:bCs/>
          <w:color w:val="auto"/>
          <w:spacing w:val="0"/>
          <w:w w:val="100"/>
          <w:position w:val="0"/>
          <w:sz w:val="24"/>
          <w:szCs w:val="24"/>
          <w:u w:val="single"/>
          <w:vertAlign w:val="subscript"/>
          <w:lang w:val="en-US" w:eastAsia="zh-CN"/>
        </w:rPr>
        <w:t>2</w:t>
      </w:r>
      <w:r>
        <w:rPr>
          <w:rFonts w:hint="eastAsia" w:ascii="Times New Roman" w:hAnsi="Times New Roman" w:cs="Times New Roman"/>
          <w:b/>
          <w:bCs/>
          <w:color w:val="auto"/>
          <w:spacing w:val="0"/>
          <w:w w:val="100"/>
          <w:position w:val="0"/>
          <w:sz w:val="24"/>
          <w:szCs w:val="24"/>
          <w:u w:val="single"/>
          <w:vertAlign w:val="baseline"/>
          <w:lang w:val="en-US" w:eastAsia="zh-CN"/>
        </w:rPr>
        <w:t xml:space="preserve"> 0.870t/a、</w:t>
      </w:r>
      <w:r>
        <w:rPr>
          <w:rFonts w:hint="default" w:ascii="Times New Roman" w:hAnsi="Times New Roman" w:eastAsia="宋体"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2.632</w:t>
      </w:r>
      <w:r>
        <w:rPr>
          <w:rFonts w:hint="default" w:ascii="Times New Roman" w:hAnsi="Times New Roman" w:eastAsia="宋体" w:cs="Times New Roman"/>
          <w:b/>
          <w:bCs/>
          <w:color w:val="auto"/>
          <w:spacing w:val="0"/>
          <w:w w:val="100"/>
          <w:position w:val="0"/>
          <w:sz w:val="24"/>
          <w:szCs w:val="24"/>
          <w:u w:val="single"/>
          <w:lang w:val="en-US" w:eastAsia="en-US" w:bidi="en-US"/>
        </w:rPr>
        <w:t>t/a</w:t>
      </w:r>
      <w:r>
        <w:rPr>
          <w:rFonts w:hint="eastAsia" w:ascii="Times New Roman" w:hAnsi="Times New Roman" w:cs="Times New Roman"/>
          <w:b/>
          <w:bCs/>
          <w:color w:val="auto"/>
          <w:spacing w:val="0"/>
          <w:w w:val="100"/>
          <w:position w:val="0"/>
          <w:sz w:val="24"/>
          <w:szCs w:val="24"/>
          <w:u w:val="single"/>
          <w:lang w:val="en-US" w:eastAsia="zh-CN" w:bidi="en-US"/>
        </w:rPr>
        <w:t>、颗粒物0.920t/a均从获嘉县华夏建材有限公司企业注销产生的减排剩余量（</w:t>
      </w:r>
      <w:r>
        <w:rPr>
          <w:rFonts w:hint="eastAsia" w:ascii="Times New Roman" w:hAnsi="Times New Roman" w:cs="Times New Roman"/>
          <w:b/>
          <w:bCs/>
          <w:color w:val="auto"/>
          <w:spacing w:val="0"/>
          <w:w w:val="100"/>
          <w:position w:val="0"/>
          <w:sz w:val="24"/>
          <w:szCs w:val="24"/>
          <w:u w:val="single"/>
          <w:lang w:val="en-US" w:eastAsia="zh-CN"/>
        </w:rPr>
        <w:t>SO</w:t>
      </w:r>
      <w:r>
        <w:rPr>
          <w:rFonts w:hint="eastAsia" w:ascii="Times New Roman" w:hAnsi="Times New Roman" w:cs="Times New Roman"/>
          <w:b/>
          <w:bCs/>
          <w:color w:val="auto"/>
          <w:spacing w:val="0"/>
          <w:w w:val="100"/>
          <w:position w:val="0"/>
          <w:sz w:val="24"/>
          <w:szCs w:val="24"/>
          <w:u w:val="single"/>
          <w:vertAlign w:val="subscript"/>
          <w:lang w:val="en-US" w:eastAsia="zh-CN"/>
        </w:rPr>
        <w:t>2</w:t>
      </w:r>
      <w:r>
        <w:rPr>
          <w:rFonts w:hint="eastAsia" w:ascii="Times New Roman" w:hAnsi="Times New Roman" w:cs="Times New Roman"/>
          <w:b/>
          <w:bCs/>
          <w:color w:val="auto"/>
          <w:spacing w:val="0"/>
          <w:w w:val="100"/>
          <w:position w:val="0"/>
          <w:sz w:val="24"/>
          <w:szCs w:val="24"/>
          <w:u w:val="single"/>
          <w:vertAlign w:val="baseline"/>
          <w:lang w:val="en-US" w:eastAsia="zh-CN"/>
        </w:rPr>
        <w:t xml:space="preserve"> 5.6928t、</w:t>
      </w:r>
      <w:r>
        <w:rPr>
          <w:rFonts w:hint="default" w:ascii="Times New Roman" w:hAnsi="Times New Roman" w:eastAsia="宋体" w:cs="Times New Roman"/>
          <w:b/>
          <w:bCs/>
          <w:color w:val="auto"/>
          <w:spacing w:val="0"/>
          <w:w w:val="100"/>
          <w:position w:val="0"/>
          <w:sz w:val="24"/>
          <w:szCs w:val="24"/>
          <w:u w:val="single"/>
          <w:lang w:val="en-US" w:eastAsia="en-US" w:bidi="en-US"/>
        </w:rPr>
        <w:t xml:space="preserve">NOx </w:t>
      </w:r>
      <w:r>
        <w:rPr>
          <w:rFonts w:hint="eastAsia" w:ascii="Times New Roman" w:hAnsi="Times New Roman" w:cs="Times New Roman"/>
          <w:b/>
          <w:bCs/>
          <w:color w:val="auto"/>
          <w:spacing w:val="0"/>
          <w:w w:val="100"/>
          <w:position w:val="0"/>
          <w:sz w:val="24"/>
          <w:szCs w:val="24"/>
          <w:u w:val="single"/>
          <w:lang w:val="en-US" w:eastAsia="zh-CN" w:bidi="en-US"/>
        </w:rPr>
        <w:t>7.591</w:t>
      </w:r>
      <w:r>
        <w:rPr>
          <w:rFonts w:hint="default" w:ascii="Times New Roman" w:hAnsi="Times New Roman" w:eastAsia="宋体" w:cs="Times New Roman"/>
          <w:b/>
          <w:bCs/>
          <w:color w:val="auto"/>
          <w:spacing w:val="0"/>
          <w:w w:val="100"/>
          <w:position w:val="0"/>
          <w:sz w:val="24"/>
          <w:szCs w:val="24"/>
          <w:u w:val="single"/>
          <w:lang w:val="en-US" w:eastAsia="en-US" w:bidi="en-US"/>
        </w:rPr>
        <w:t>t</w:t>
      </w:r>
      <w:r>
        <w:rPr>
          <w:rFonts w:hint="eastAsia" w:ascii="Times New Roman" w:hAnsi="Times New Roman" w:cs="Times New Roman"/>
          <w:b/>
          <w:bCs/>
          <w:color w:val="auto"/>
          <w:spacing w:val="0"/>
          <w:w w:val="100"/>
          <w:position w:val="0"/>
          <w:sz w:val="24"/>
          <w:szCs w:val="24"/>
          <w:u w:val="single"/>
          <w:lang w:val="en-US" w:eastAsia="zh-CN" w:bidi="en-US"/>
        </w:rPr>
        <w:t>、颗粒物10.8632t）中扣除。</w:t>
      </w:r>
      <w:r>
        <w:rPr>
          <w:rFonts w:hint="default" w:ascii="Times New Roman" w:hAnsi="Times New Roman" w:eastAsia="宋体" w:cs="Times New Roman"/>
          <w:b/>
          <w:bCs/>
          <w:color w:val="auto"/>
          <w:spacing w:val="0"/>
          <w:w w:val="100"/>
          <w:position w:val="0"/>
          <w:sz w:val="24"/>
          <w:szCs w:val="24"/>
          <w:u w:val="single"/>
        </w:rPr>
        <w:t>项目重点污染物排放总量均有替代来源</w:t>
      </w:r>
      <w:r>
        <w:rPr>
          <w:rFonts w:hint="eastAsia" w:ascii="Times New Roman" w:hAnsi="Times New Roman" w:cs="Times New Roman"/>
          <w:b/>
          <w:bCs/>
          <w:color w:val="auto"/>
          <w:spacing w:val="0"/>
          <w:w w:val="100"/>
          <w:position w:val="0"/>
          <w:sz w:val="24"/>
          <w:szCs w:val="24"/>
          <w:u w:val="single"/>
          <w:lang w:eastAsia="zh-CN"/>
        </w:rPr>
        <w:t>。</w:t>
      </w:r>
    </w:p>
    <w:p>
      <w:pPr>
        <w:keepNext w:val="0"/>
        <w:keepLines w:val="0"/>
        <w:pageBreakBefore w:val="0"/>
        <w:widowControl/>
        <w:kinsoku/>
        <w:overflowPunct/>
        <w:topLinePunct w:val="0"/>
        <w:autoSpaceDE/>
        <w:autoSpaceDN/>
        <w:bidi w:val="0"/>
        <w:adjustRightInd w:val="0"/>
        <w:snapToGrid w:val="0"/>
        <w:spacing w:line="360" w:lineRule="auto"/>
        <w:textAlignment w:val="auto"/>
        <w:outlineLvl w:val="2"/>
        <w:rPr>
          <w:rFonts w:eastAsia="黑体"/>
          <w:bCs/>
          <w:color w:val="auto"/>
          <w:kern w:val="21"/>
          <w:sz w:val="28"/>
          <w:szCs w:val="28"/>
        </w:rPr>
      </w:pPr>
      <w:bookmarkStart w:id="488" w:name="_Toc1014"/>
      <w:r>
        <w:rPr>
          <w:color w:val="auto"/>
          <w:kern w:val="21"/>
          <w:sz w:val="28"/>
          <w:szCs w:val="28"/>
        </w:rPr>
        <w:t>10</w:t>
      </w:r>
      <w:r>
        <w:rPr>
          <w:rFonts w:eastAsia="黑体"/>
          <w:bCs/>
          <w:color w:val="auto"/>
          <w:kern w:val="21"/>
          <w:sz w:val="28"/>
          <w:szCs w:val="28"/>
        </w:rPr>
        <w:t>.1.6环境风险</w:t>
      </w:r>
      <w:bookmarkEnd w:id="488"/>
    </w:p>
    <w:p>
      <w:pPr>
        <w:keepNext w:val="0"/>
        <w:keepLines w:val="0"/>
        <w:pageBreakBefore w:val="0"/>
        <w:widowControl/>
        <w:kinsoku/>
        <w:wordWrap/>
        <w:overflowPunct/>
        <w:topLinePunct w:val="0"/>
        <w:autoSpaceDE/>
        <w:autoSpaceDN/>
        <w:bidi w:val="0"/>
        <w:adjustRightInd w:val="0"/>
        <w:snapToGrid w:val="0"/>
        <w:spacing w:line="360" w:lineRule="auto"/>
        <w:ind w:firstLine="484" w:firstLineChars="202"/>
        <w:textAlignment w:val="auto"/>
        <w:rPr>
          <w:color w:val="auto"/>
          <w:kern w:val="21"/>
        </w:rPr>
      </w:pPr>
      <w:r>
        <w:rPr>
          <w:color w:val="auto"/>
          <w:kern w:val="21"/>
          <w:sz w:val="24"/>
        </w:rPr>
        <w:t>本项目原辅材料中涉及的盐酸、硫酸、氢氧化钠、铬酸、氯化镍、硫酸镍、镍板等物质属于危险化学品。经源项分析，</w:t>
      </w:r>
      <w:r>
        <w:rPr>
          <w:color w:val="auto"/>
          <w:kern w:val="21"/>
          <w:sz w:val="24"/>
          <w:lang w:val="en-US"/>
        </w:rPr>
        <w:t>本项目</w:t>
      </w:r>
      <w:r>
        <w:rPr>
          <w:rFonts w:hint="eastAsia"/>
          <w:color w:val="auto"/>
          <w:kern w:val="21"/>
          <w:sz w:val="24"/>
          <w:lang w:val="en-US" w:eastAsia="zh-CN"/>
        </w:rPr>
        <w:t>的</w:t>
      </w:r>
      <w:r>
        <w:rPr>
          <w:color w:val="auto"/>
          <w:kern w:val="21"/>
          <w:sz w:val="24"/>
          <w:lang w:val="en-US"/>
        </w:rPr>
        <w:t>最大可信事故</w:t>
      </w:r>
      <w:r>
        <w:rPr>
          <w:rFonts w:hint="eastAsia"/>
          <w:color w:val="auto"/>
          <w:kern w:val="21"/>
          <w:sz w:val="24"/>
          <w:lang w:val="en-US" w:eastAsia="zh-CN"/>
        </w:rPr>
        <w:t>为盐酸等危险化学品储存设施破裂造成危化品泄漏</w:t>
      </w:r>
      <w:r>
        <w:rPr>
          <w:color w:val="auto"/>
          <w:kern w:val="21"/>
          <w:sz w:val="24"/>
        </w:rPr>
        <w:t>。项目通过在电镀区设置围堰，危化品储存区设置漫坡，落实与园区风险防范联防措施，可有效降低环境风险的发生概率，尽量避免储存、装卸和生产过程电镀液和原材料泄漏事故对附近水体造成威胁，其环境风险是可控的。如出现泄漏事故，启动环境风险应急预案，将事故影响降到最低。</w:t>
      </w:r>
    </w:p>
    <w:p>
      <w:pPr>
        <w:keepNext w:val="0"/>
        <w:keepLines w:val="0"/>
        <w:pageBreakBefore w:val="0"/>
        <w:widowControl/>
        <w:kinsoku/>
        <w:overflowPunct/>
        <w:topLinePunct w:val="0"/>
        <w:autoSpaceDE/>
        <w:autoSpaceDN/>
        <w:bidi w:val="0"/>
        <w:adjustRightInd w:val="0"/>
        <w:snapToGrid w:val="0"/>
        <w:spacing w:line="360" w:lineRule="auto"/>
        <w:textAlignment w:val="auto"/>
        <w:outlineLvl w:val="2"/>
        <w:rPr>
          <w:rFonts w:eastAsia="黑体"/>
          <w:bCs/>
          <w:color w:val="auto"/>
          <w:kern w:val="21"/>
          <w:sz w:val="28"/>
          <w:szCs w:val="28"/>
        </w:rPr>
      </w:pPr>
      <w:bookmarkStart w:id="489" w:name="_Toc12290"/>
      <w:r>
        <w:rPr>
          <w:color w:val="auto"/>
          <w:kern w:val="21"/>
          <w:sz w:val="28"/>
          <w:szCs w:val="28"/>
        </w:rPr>
        <w:t>10</w:t>
      </w:r>
      <w:r>
        <w:rPr>
          <w:rFonts w:eastAsia="黑体"/>
          <w:bCs/>
          <w:color w:val="auto"/>
          <w:kern w:val="21"/>
          <w:sz w:val="28"/>
          <w:szCs w:val="28"/>
        </w:rPr>
        <w:t>.1.7公众参与</w:t>
      </w:r>
      <w:bookmarkEnd w:id="489"/>
    </w:p>
    <w:p>
      <w:pPr>
        <w:keepNext w:val="0"/>
        <w:keepLines w:val="0"/>
        <w:pageBreakBefore w:val="0"/>
        <w:widowControl/>
        <w:kinsoku/>
        <w:wordWrap w:val="0"/>
        <w:overflowPunct/>
        <w:topLinePunct w:val="0"/>
        <w:autoSpaceDE/>
        <w:autoSpaceDN/>
        <w:bidi w:val="0"/>
        <w:adjustRightInd w:val="0"/>
        <w:snapToGrid w:val="0"/>
        <w:spacing w:line="360" w:lineRule="auto"/>
        <w:ind w:firstLine="480" w:firstLineChars="200"/>
        <w:textAlignment w:val="auto"/>
        <w:rPr>
          <w:color w:val="auto"/>
          <w:kern w:val="21"/>
          <w:sz w:val="24"/>
        </w:rPr>
      </w:pPr>
      <w:r>
        <w:rPr>
          <w:color w:val="auto"/>
          <w:kern w:val="21"/>
          <w:sz w:val="24"/>
        </w:rPr>
        <w:t>河南中能锂动电源有限公司年产79.2198亿只电池配件项目环评报告编制过程中，建设单位按照《环境影响评价公众参与办法》（生态环境部令第4号）及关于发布《环境影响评价公众参与办法》配套文件的公告的要求，20</w:t>
      </w:r>
      <w:r>
        <w:rPr>
          <w:rFonts w:hint="eastAsia"/>
          <w:color w:val="auto"/>
          <w:kern w:val="21"/>
          <w:sz w:val="24"/>
        </w:rPr>
        <w:t>22</w:t>
      </w:r>
      <w:r>
        <w:rPr>
          <w:color w:val="auto"/>
          <w:kern w:val="21"/>
          <w:sz w:val="24"/>
        </w:rPr>
        <w:t>年</w:t>
      </w:r>
      <w:r>
        <w:rPr>
          <w:rFonts w:hint="eastAsia"/>
          <w:color w:val="auto"/>
          <w:kern w:val="21"/>
          <w:sz w:val="24"/>
        </w:rPr>
        <w:t>6</w:t>
      </w:r>
      <w:r>
        <w:rPr>
          <w:color w:val="auto"/>
          <w:kern w:val="21"/>
          <w:sz w:val="24"/>
        </w:rPr>
        <w:t>月</w:t>
      </w:r>
      <w:r>
        <w:rPr>
          <w:rFonts w:hint="eastAsia"/>
          <w:color w:val="auto"/>
          <w:kern w:val="21"/>
          <w:sz w:val="24"/>
        </w:rPr>
        <w:t>15</w:t>
      </w:r>
      <w:r>
        <w:rPr>
          <w:color w:val="auto"/>
          <w:kern w:val="21"/>
          <w:sz w:val="24"/>
        </w:rPr>
        <w:t>日在环境影响评价信息公示平台进行了第一次网上公示（http://www.js-eia.cn/project/detail?type=1&amp;proid=458cfbce451b1b079b4d678bcc52be5b），20</w:t>
      </w:r>
      <w:r>
        <w:rPr>
          <w:rFonts w:hint="eastAsia"/>
          <w:color w:val="auto"/>
          <w:kern w:val="21"/>
          <w:sz w:val="24"/>
        </w:rPr>
        <w:t>22</w:t>
      </w:r>
      <w:r>
        <w:rPr>
          <w:color w:val="auto"/>
          <w:kern w:val="21"/>
          <w:sz w:val="24"/>
        </w:rPr>
        <w:t>年</w:t>
      </w:r>
      <w:r>
        <w:rPr>
          <w:rFonts w:hint="eastAsia"/>
          <w:color w:val="auto"/>
          <w:kern w:val="21"/>
          <w:sz w:val="24"/>
        </w:rPr>
        <w:t>06</w:t>
      </w:r>
      <w:r>
        <w:rPr>
          <w:color w:val="auto"/>
          <w:kern w:val="21"/>
          <w:sz w:val="24"/>
        </w:rPr>
        <w:t>月</w:t>
      </w:r>
      <w:r>
        <w:rPr>
          <w:rFonts w:hint="eastAsia"/>
          <w:color w:val="auto"/>
          <w:kern w:val="21"/>
          <w:sz w:val="24"/>
        </w:rPr>
        <w:t>30</w:t>
      </w:r>
      <w:r>
        <w:rPr>
          <w:color w:val="auto"/>
          <w:kern w:val="21"/>
          <w:sz w:val="24"/>
        </w:rPr>
        <w:t>日环境影响评价信息公示平台进行了征求意见公示（http://www.js-eia.cn/project/detail?type=2&amp;proid=458cfbce451b1b079b4d678bcc52be5b），20</w:t>
      </w:r>
      <w:r>
        <w:rPr>
          <w:rFonts w:hint="eastAsia"/>
          <w:color w:val="auto"/>
          <w:kern w:val="21"/>
          <w:sz w:val="24"/>
        </w:rPr>
        <w:t>22</w:t>
      </w:r>
      <w:r>
        <w:rPr>
          <w:color w:val="auto"/>
          <w:kern w:val="21"/>
          <w:sz w:val="24"/>
        </w:rPr>
        <w:t>年</w:t>
      </w:r>
      <w:r>
        <w:rPr>
          <w:rFonts w:hint="eastAsia"/>
          <w:color w:val="auto"/>
          <w:kern w:val="21"/>
          <w:sz w:val="24"/>
        </w:rPr>
        <w:t>7</w:t>
      </w:r>
      <w:r>
        <w:rPr>
          <w:color w:val="auto"/>
          <w:kern w:val="21"/>
          <w:sz w:val="24"/>
        </w:rPr>
        <w:t>月</w:t>
      </w:r>
      <w:r>
        <w:rPr>
          <w:rFonts w:hint="eastAsia"/>
          <w:color w:val="auto"/>
          <w:kern w:val="21"/>
          <w:sz w:val="24"/>
        </w:rPr>
        <w:t>5</w:t>
      </w:r>
      <w:r>
        <w:rPr>
          <w:color w:val="auto"/>
          <w:kern w:val="21"/>
          <w:sz w:val="24"/>
        </w:rPr>
        <w:t>日和20</w:t>
      </w:r>
      <w:r>
        <w:rPr>
          <w:rFonts w:hint="eastAsia"/>
          <w:color w:val="auto"/>
          <w:kern w:val="21"/>
          <w:sz w:val="24"/>
        </w:rPr>
        <w:t>22</w:t>
      </w:r>
      <w:r>
        <w:rPr>
          <w:color w:val="auto"/>
          <w:kern w:val="21"/>
          <w:sz w:val="24"/>
        </w:rPr>
        <w:t>年</w:t>
      </w:r>
      <w:r>
        <w:rPr>
          <w:rFonts w:hint="eastAsia"/>
          <w:color w:val="auto"/>
          <w:kern w:val="21"/>
          <w:sz w:val="24"/>
        </w:rPr>
        <w:t>7</w:t>
      </w:r>
      <w:r>
        <w:rPr>
          <w:color w:val="auto"/>
          <w:kern w:val="21"/>
          <w:sz w:val="24"/>
        </w:rPr>
        <w:t>月</w:t>
      </w:r>
      <w:r>
        <w:rPr>
          <w:rFonts w:hint="eastAsia"/>
          <w:color w:val="auto"/>
          <w:kern w:val="21"/>
          <w:sz w:val="24"/>
        </w:rPr>
        <w:t>3</w:t>
      </w:r>
      <w:r>
        <w:rPr>
          <w:color w:val="auto"/>
          <w:kern w:val="21"/>
          <w:sz w:val="24"/>
        </w:rPr>
        <w:t>日在企业家日报进行了</w:t>
      </w:r>
      <w:r>
        <w:rPr>
          <w:rFonts w:hint="eastAsia"/>
          <w:color w:val="auto"/>
          <w:kern w:val="21"/>
          <w:sz w:val="24"/>
        </w:rPr>
        <w:t>两次</w:t>
      </w:r>
      <w:r>
        <w:rPr>
          <w:color w:val="auto"/>
          <w:kern w:val="21"/>
          <w:sz w:val="24"/>
        </w:rPr>
        <w:t>登报公示，20</w:t>
      </w:r>
      <w:r>
        <w:rPr>
          <w:rFonts w:hint="eastAsia"/>
          <w:color w:val="auto"/>
          <w:kern w:val="21"/>
          <w:sz w:val="24"/>
        </w:rPr>
        <w:t>22</w:t>
      </w:r>
      <w:r>
        <w:rPr>
          <w:color w:val="auto"/>
          <w:kern w:val="21"/>
          <w:sz w:val="24"/>
        </w:rPr>
        <w:t>年</w:t>
      </w:r>
      <w:r>
        <w:rPr>
          <w:rFonts w:hint="eastAsia"/>
          <w:color w:val="auto"/>
          <w:kern w:val="21"/>
          <w:sz w:val="24"/>
        </w:rPr>
        <w:t>7</w:t>
      </w:r>
      <w:r>
        <w:rPr>
          <w:color w:val="auto"/>
          <w:kern w:val="21"/>
          <w:sz w:val="24"/>
        </w:rPr>
        <w:t>月</w:t>
      </w:r>
      <w:r>
        <w:rPr>
          <w:rFonts w:hint="eastAsia"/>
          <w:color w:val="auto"/>
          <w:kern w:val="21"/>
          <w:sz w:val="24"/>
        </w:rPr>
        <w:t>8</w:t>
      </w:r>
      <w:r>
        <w:rPr>
          <w:color w:val="auto"/>
          <w:kern w:val="21"/>
          <w:sz w:val="24"/>
        </w:rPr>
        <w:t>日分别在厂址、项目周边及前李村等地进行了第二次张贴公示。项目公示期间无公众反馈意见，也没有收到公众对本项目建设提出意见的信息。</w:t>
      </w:r>
    </w:p>
    <w:p>
      <w:pPr>
        <w:pStyle w:val="33"/>
        <w:keepNext w:val="0"/>
        <w:keepLines w:val="0"/>
        <w:pageBreakBefore w:val="0"/>
        <w:widowControl/>
        <w:kinsoku/>
        <w:overflowPunct/>
        <w:topLinePunct w:val="0"/>
        <w:autoSpaceDE/>
        <w:autoSpaceDN/>
        <w:bidi w:val="0"/>
        <w:adjustRightInd w:val="0"/>
        <w:snapToGrid w:val="0"/>
        <w:spacing w:after="0" w:line="360" w:lineRule="auto"/>
        <w:ind w:left="0" w:leftChars="0"/>
        <w:textAlignment w:val="auto"/>
        <w:rPr>
          <w:rFonts w:eastAsia="黑体"/>
          <w:bCs/>
          <w:color w:val="auto"/>
          <w:kern w:val="21"/>
          <w:sz w:val="28"/>
          <w:szCs w:val="28"/>
        </w:rPr>
      </w:pPr>
      <w:r>
        <w:rPr>
          <w:rFonts w:eastAsia="黑体"/>
          <w:bCs/>
          <w:color w:val="auto"/>
          <w:kern w:val="21"/>
          <w:sz w:val="28"/>
          <w:szCs w:val="28"/>
        </w:rPr>
        <w:t xml:space="preserve">10.1.8厂址选择可行性分析结论 </w:t>
      </w:r>
    </w:p>
    <w:p>
      <w:pPr>
        <w:pStyle w:val="33"/>
        <w:keepNext w:val="0"/>
        <w:keepLines w:val="0"/>
        <w:pageBreakBefore w:val="0"/>
        <w:widowControl/>
        <w:kinsoku/>
        <w:wordWrap/>
        <w:overflowPunct/>
        <w:topLinePunct w:val="0"/>
        <w:autoSpaceDE/>
        <w:autoSpaceDN/>
        <w:bidi w:val="0"/>
        <w:adjustRightInd w:val="0"/>
        <w:snapToGrid w:val="0"/>
        <w:spacing w:after="0" w:line="360" w:lineRule="auto"/>
        <w:ind w:left="0" w:leftChars="0" w:firstLine="480" w:firstLineChars="200"/>
        <w:textAlignment w:val="auto"/>
        <w:rPr>
          <w:color w:val="auto"/>
          <w:kern w:val="21"/>
          <w:sz w:val="24"/>
        </w:rPr>
      </w:pPr>
      <w:r>
        <w:rPr>
          <w:color w:val="auto"/>
          <w:kern w:val="21"/>
          <w:sz w:val="24"/>
        </w:rPr>
        <w:t>该项目厂址位于获嘉县产业集聚区北区城东片区安王路与梧桐路西北角，建设项目属于</w:t>
      </w:r>
      <w:r>
        <w:rPr>
          <w:bCs/>
          <w:color w:val="auto"/>
          <w:sz w:val="24"/>
          <w:lang w:bidi="en-US"/>
        </w:rPr>
        <w:t>C</w:t>
      </w:r>
      <w:r>
        <w:rPr>
          <w:rFonts w:hint="eastAsia"/>
          <w:bCs/>
          <w:color w:val="auto"/>
          <w:sz w:val="24"/>
          <w:lang w:bidi="en-US"/>
        </w:rPr>
        <w:t>3849</w:t>
      </w:r>
      <w:r>
        <w:rPr>
          <w:bCs/>
          <w:color w:val="auto"/>
          <w:sz w:val="24"/>
          <w:lang w:bidi="en-US"/>
        </w:rPr>
        <w:t xml:space="preserve"> 其他电池制造</w:t>
      </w:r>
      <w:r>
        <w:rPr>
          <w:color w:val="auto"/>
          <w:kern w:val="21"/>
          <w:sz w:val="24"/>
        </w:rPr>
        <w:t>，属</w:t>
      </w:r>
      <w:r>
        <w:rPr>
          <w:rFonts w:hint="eastAsia"/>
          <w:color w:val="auto"/>
          <w:kern w:val="21"/>
          <w:sz w:val="24"/>
        </w:rPr>
        <w:t>于</w:t>
      </w:r>
      <w:r>
        <w:rPr>
          <w:color w:val="auto"/>
          <w:kern w:val="21"/>
          <w:sz w:val="24"/>
        </w:rPr>
        <w:t>二类</w:t>
      </w:r>
      <w:r>
        <w:rPr>
          <w:rFonts w:hint="eastAsia"/>
          <w:color w:val="auto"/>
          <w:kern w:val="21"/>
          <w:sz w:val="24"/>
        </w:rPr>
        <w:t>工业</w:t>
      </w:r>
      <w:r>
        <w:rPr>
          <w:rFonts w:hint="eastAsia"/>
          <w:color w:val="auto"/>
          <w:kern w:val="21"/>
          <w:sz w:val="24"/>
          <w:lang w:eastAsia="zh-CN"/>
        </w:rPr>
        <w:t>项目</w:t>
      </w:r>
      <w:r>
        <w:rPr>
          <w:color w:val="auto"/>
          <w:kern w:val="21"/>
          <w:sz w:val="24"/>
        </w:rPr>
        <w:t>，项目</w:t>
      </w:r>
      <w:r>
        <w:rPr>
          <w:rFonts w:hint="eastAsia"/>
          <w:color w:val="auto"/>
          <w:kern w:val="21"/>
          <w:sz w:val="24"/>
          <w:lang w:eastAsia="zh-CN"/>
        </w:rPr>
        <w:t>厂址</w:t>
      </w:r>
      <w:r>
        <w:rPr>
          <w:color w:val="auto"/>
          <w:kern w:val="21"/>
          <w:sz w:val="24"/>
        </w:rPr>
        <w:t>土地性质</w:t>
      </w:r>
      <w:r>
        <w:rPr>
          <w:rFonts w:hint="eastAsia"/>
          <w:color w:val="auto"/>
          <w:kern w:val="21"/>
          <w:sz w:val="24"/>
          <w:lang w:eastAsia="zh-CN"/>
        </w:rPr>
        <w:t>规划</w:t>
      </w:r>
      <w:r>
        <w:rPr>
          <w:color w:val="auto"/>
          <w:kern w:val="21"/>
          <w:sz w:val="24"/>
        </w:rPr>
        <w:t>为二类工业用地，项目符合《新乡市城市总体规划（2011-2020年）》（2016年修改）、</w:t>
      </w:r>
      <w:r>
        <w:rPr>
          <w:rFonts w:hint="eastAsia"/>
          <w:color w:val="auto"/>
          <w:kern w:val="21"/>
          <w:sz w:val="24"/>
        </w:rPr>
        <w:t>《获嘉县城市总体规划（2012-2020）》、</w:t>
      </w:r>
      <w:r>
        <w:rPr>
          <w:color w:val="auto"/>
          <w:kern w:val="21"/>
          <w:sz w:val="24"/>
        </w:rPr>
        <w:t>《获嘉县产业集聚区总体发展规划（2016-2020）调整方</w:t>
      </w:r>
      <w:r>
        <w:rPr>
          <w:bCs/>
          <w:color w:val="auto"/>
          <w:kern w:val="21"/>
          <w:sz w:val="24"/>
        </w:rPr>
        <w:t>案》、《获嘉县产业集聚区总体发展规划（2016-2020）调整方案环境影响报告书》准入条件及河南省、新乡市</w:t>
      </w:r>
      <w:r>
        <w:rPr>
          <w:rFonts w:hint="eastAsia"/>
          <w:bCs/>
          <w:color w:val="auto"/>
          <w:kern w:val="21"/>
          <w:sz w:val="24"/>
        </w:rPr>
        <w:t>“</w:t>
      </w:r>
      <w:r>
        <w:rPr>
          <w:bCs/>
          <w:color w:val="auto"/>
          <w:kern w:val="21"/>
          <w:sz w:val="24"/>
        </w:rPr>
        <w:t>三线一单</w:t>
      </w:r>
      <w:r>
        <w:rPr>
          <w:rFonts w:hint="eastAsia"/>
          <w:bCs/>
          <w:color w:val="auto"/>
          <w:kern w:val="21"/>
          <w:sz w:val="24"/>
        </w:rPr>
        <w:t>”</w:t>
      </w:r>
      <w:r>
        <w:rPr>
          <w:bCs/>
          <w:color w:val="auto"/>
          <w:kern w:val="21"/>
          <w:sz w:val="24"/>
        </w:rPr>
        <w:t>管控要求</w:t>
      </w:r>
      <w:r>
        <w:rPr>
          <w:color w:val="auto"/>
          <w:kern w:val="21"/>
          <w:sz w:val="24"/>
        </w:rPr>
        <w:t>。厂址周围距离最近的居民为</w:t>
      </w:r>
      <w:r>
        <w:rPr>
          <w:rFonts w:hint="eastAsia"/>
          <w:color w:val="auto"/>
          <w:kern w:val="21"/>
          <w:sz w:val="24"/>
        </w:rPr>
        <w:t>东北276m的前李村，公众参与阶段并未</w:t>
      </w:r>
      <w:r>
        <w:rPr>
          <w:rFonts w:hint="eastAsia"/>
          <w:color w:val="auto"/>
          <w:kern w:val="21"/>
          <w:sz w:val="24"/>
          <w:lang w:eastAsia="zh-CN"/>
        </w:rPr>
        <w:t>收</w:t>
      </w:r>
      <w:r>
        <w:rPr>
          <w:rFonts w:hint="eastAsia"/>
          <w:color w:val="auto"/>
          <w:kern w:val="21"/>
          <w:sz w:val="24"/>
        </w:rPr>
        <w:t>到周边居民的反对意见，风险因素可控，</w:t>
      </w:r>
      <w:r>
        <w:rPr>
          <w:color w:val="auto"/>
          <w:kern w:val="21"/>
          <w:sz w:val="24"/>
        </w:rPr>
        <w:t>区域内各项配套设施相对完善，并且根据获嘉县产业集聚区管理委员会出具的入驻证明，项目建设符合园区总体规划、土地利用规划及经济发展规划要求，符合准入条件。</w:t>
      </w:r>
    </w:p>
    <w:p>
      <w:pPr>
        <w:pStyle w:val="33"/>
        <w:pageBreakBefore w:val="0"/>
        <w:kinsoku/>
        <w:wordWrap/>
        <w:overflowPunct/>
        <w:topLinePunct w:val="0"/>
        <w:autoSpaceDE/>
        <w:autoSpaceDN/>
        <w:bidi w:val="0"/>
        <w:adjustRightInd w:val="0"/>
        <w:snapToGrid w:val="0"/>
        <w:spacing w:after="0" w:line="360" w:lineRule="auto"/>
        <w:ind w:left="0" w:leftChars="0" w:firstLine="480" w:firstLineChars="200"/>
        <w:rPr>
          <w:color w:val="auto"/>
          <w:kern w:val="21"/>
          <w:sz w:val="24"/>
        </w:rPr>
      </w:pPr>
      <w:r>
        <w:rPr>
          <w:color w:val="auto"/>
          <w:kern w:val="21"/>
          <w:sz w:val="24"/>
        </w:rPr>
        <w:t xml:space="preserve">综上，建设项目的厂址选择是可行的。 </w:t>
      </w:r>
    </w:p>
    <w:bookmarkEnd w:id="435"/>
    <w:bookmarkEnd w:id="436"/>
    <w:bookmarkEnd w:id="437"/>
    <w:bookmarkEnd w:id="438"/>
    <w:bookmarkEnd w:id="439"/>
    <w:bookmarkEnd w:id="440"/>
    <w:bookmarkEnd w:id="441"/>
    <w:bookmarkEnd w:id="471"/>
    <w:bookmarkEnd w:id="472"/>
    <w:bookmarkEnd w:id="473"/>
    <w:bookmarkEnd w:id="474"/>
    <w:bookmarkEnd w:id="475"/>
    <w:bookmarkEnd w:id="476"/>
    <w:bookmarkEnd w:id="477"/>
    <w:bookmarkEnd w:id="478"/>
    <w:bookmarkEnd w:id="479"/>
    <w:bookmarkEnd w:id="480"/>
    <w:bookmarkEnd w:id="481"/>
    <w:bookmarkEnd w:id="482"/>
    <w:p>
      <w:pPr>
        <w:pStyle w:val="4"/>
        <w:pageBreakBefore w:val="0"/>
        <w:widowControl w:val="0"/>
        <w:tabs>
          <w:tab w:val="left" w:pos="1200"/>
          <w:tab w:val="left" w:pos="1571"/>
          <w:tab w:val="left" w:pos="1680"/>
        </w:tabs>
        <w:kinsoku/>
        <w:wordWrap/>
        <w:overflowPunct/>
        <w:topLinePunct w:val="0"/>
        <w:autoSpaceDE/>
        <w:autoSpaceDN/>
        <w:bidi w:val="0"/>
        <w:snapToGrid w:val="0"/>
        <w:spacing w:before="0" w:beforeLines="0" w:after="0" w:afterLines="0" w:line="360" w:lineRule="auto"/>
        <w:textAlignment w:val="baseline"/>
        <w:rPr>
          <w:bCs w:val="0"/>
          <w:color w:val="auto"/>
          <w:kern w:val="0"/>
          <w:szCs w:val="20"/>
          <w:lang w:val="en-US"/>
        </w:rPr>
      </w:pPr>
      <w:bookmarkStart w:id="490" w:name="_Toc20147_WPSOffice_Level2"/>
      <w:bookmarkStart w:id="491" w:name="_Toc7406"/>
      <w:bookmarkStart w:id="492" w:name="_Toc24244"/>
      <w:bookmarkStart w:id="493" w:name="_Toc112338987"/>
      <w:bookmarkStart w:id="494" w:name="_Toc10688"/>
      <w:r>
        <w:rPr>
          <w:bCs w:val="0"/>
          <w:color w:val="auto"/>
          <w:kern w:val="0"/>
          <w:szCs w:val="20"/>
          <w:lang w:val="en-US"/>
        </w:rPr>
        <w:t>10.2要求和建议</w:t>
      </w:r>
      <w:bookmarkEnd w:id="490"/>
      <w:bookmarkEnd w:id="491"/>
      <w:bookmarkEnd w:id="492"/>
      <w:bookmarkEnd w:id="493"/>
      <w:bookmarkEnd w:id="494"/>
    </w:p>
    <w:p>
      <w:pPr>
        <w:pageBreakBefore w:val="0"/>
        <w:kinsoku/>
        <w:wordWrap/>
        <w:overflowPunct/>
        <w:topLinePunct w:val="0"/>
        <w:autoSpaceDE/>
        <w:autoSpaceDN/>
        <w:bidi w:val="0"/>
        <w:snapToGrid w:val="0"/>
        <w:spacing w:line="360" w:lineRule="auto"/>
        <w:ind w:firstLine="484" w:firstLineChars="202"/>
        <w:rPr>
          <w:color w:val="auto"/>
          <w:kern w:val="21"/>
          <w:sz w:val="24"/>
        </w:rPr>
      </w:pPr>
      <w:r>
        <w:rPr>
          <w:color w:val="auto"/>
          <w:kern w:val="21"/>
          <w:sz w:val="24"/>
        </w:rPr>
        <w:t>（1）加强对生产设备的管理和维护，及时维修或更换，严格控制</w:t>
      </w:r>
      <w:r>
        <w:rPr>
          <w:rFonts w:hint="eastAsia"/>
          <w:color w:val="auto"/>
          <w:kern w:val="21"/>
          <w:sz w:val="24"/>
        </w:rPr>
        <w:t>“</w:t>
      </w:r>
      <w:r>
        <w:rPr>
          <w:color w:val="auto"/>
          <w:kern w:val="21"/>
          <w:sz w:val="24"/>
        </w:rPr>
        <w:t>跑、冒、滴、漏</w:t>
      </w:r>
      <w:r>
        <w:rPr>
          <w:rFonts w:hint="eastAsia"/>
          <w:color w:val="auto"/>
          <w:kern w:val="21"/>
          <w:sz w:val="24"/>
        </w:rPr>
        <w:t>”</w:t>
      </w:r>
      <w:r>
        <w:rPr>
          <w:color w:val="auto"/>
          <w:kern w:val="21"/>
          <w:sz w:val="24"/>
        </w:rPr>
        <w:t>现象发生，减少污染物的排放量；</w:t>
      </w:r>
    </w:p>
    <w:p>
      <w:pPr>
        <w:pageBreakBefore w:val="0"/>
        <w:kinsoku/>
        <w:wordWrap/>
        <w:overflowPunct/>
        <w:topLinePunct w:val="0"/>
        <w:autoSpaceDE/>
        <w:autoSpaceDN/>
        <w:bidi w:val="0"/>
        <w:snapToGrid w:val="0"/>
        <w:spacing w:line="360" w:lineRule="auto"/>
        <w:ind w:firstLine="484" w:firstLineChars="202"/>
        <w:rPr>
          <w:color w:val="auto"/>
          <w:kern w:val="21"/>
          <w:sz w:val="24"/>
        </w:rPr>
      </w:pPr>
      <w:r>
        <w:rPr>
          <w:color w:val="auto"/>
          <w:kern w:val="21"/>
          <w:sz w:val="24"/>
        </w:rPr>
        <w:t>（2）废气处理设施前后应分别预留监测孔，并设置明显标志，为验收监测及运行中常规监测提供必要条件；</w:t>
      </w:r>
    </w:p>
    <w:p>
      <w:pPr>
        <w:pageBreakBefore w:val="0"/>
        <w:kinsoku/>
        <w:wordWrap/>
        <w:overflowPunct/>
        <w:topLinePunct w:val="0"/>
        <w:autoSpaceDE/>
        <w:autoSpaceDN/>
        <w:bidi w:val="0"/>
        <w:snapToGrid w:val="0"/>
        <w:spacing w:line="360" w:lineRule="auto"/>
        <w:ind w:firstLine="484" w:firstLineChars="202"/>
        <w:rPr>
          <w:color w:val="auto"/>
          <w:kern w:val="21"/>
          <w:sz w:val="24"/>
        </w:rPr>
      </w:pPr>
      <w:r>
        <w:rPr>
          <w:color w:val="auto"/>
          <w:kern w:val="21"/>
          <w:sz w:val="24"/>
        </w:rPr>
        <w:t>（3）强化双回路电源和自备电源的管理，以备突发停电事故时更换，避免因停电引起污染事故，造成环境污染；</w:t>
      </w:r>
    </w:p>
    <w:p>
      <w:pPr>
        <w:pageBreakBefore w:val="0"/>
        <w:kinsoku/>
        <w:wordWrap/>
        <w:overflowPunct/>
        <w:topLinePunct w:val="0"/>
        <w:autoSpaceDE/>
        <w:autoSpaceDN/>
        <w:bidi w:val="0"/>
        <w:snapToGrid w:val="0"/>
        <w:spacing w:line="360" w:lineRule="auto"/>
        <w:ind w:firstLine="484" w:firstLineChars="202"/>
        <w:rPr>
          <w:color w:val="auto"/>
          <w:kern w:val="21"/>
          <w:sz w:val="24"/>
        </w:rPr>
      </w:pPr>
      <w:r>
        <w:rPr>
          <w:color w:val="auto"/>
          <w:kern w:val="21"/>
          <w:sz w:val="24"/>
        </w:rPr>
        <w:t>（4）加强职工清洁生产意识教育，在日常操作过程中要树立清洁生产意识，以减少污染物排放量和提高资源的利用率；</w:t>
      </w:r>
    </w:p>
    <w:p>
      <w:pPr>
        <w:pageBreakBefore w:val="0"/>
        <w:kinsoku/>
        <w:wordWrap/>
        <w:overflowPunct/>
        <w:topLinePunct w:val="0"/>
        <w:autoSpaceDE/>
        <w:autoSpaceDN/>
        <w:bidi w:val="0"/>
        <w:snapToGrid w:val="0"/>
        <w:spacing w:line="360" w:lineRule="auto"/>
        <w:ind w:firstLine="484" w:firstLineChars="202"/>
        <w:rPr>
          <w:color w:val="auto"/>
          <w:kern w:val="21"/>
          <w:sz w:val="24"/>
        </w:rPr>
      </w:pPr>
      <w:r>
        <w:rPr>
          <w:color w:val="auto"/>
          <w:kern w:val="21"/>
          <w:sz w:val="24"/>
        </w:rPr>
        <w:t>（5）工程环保总投资为</w:t>
      </w:r>
      <w:r>
        <w:rPr>
          <w:rFonts w:hint="eastAsia"/>
          <w:color w:val="auto"/>
          <w:kern w:val="21"/>
          <w:sz w:val="24"/>
        </w:rPr>
        <w:t>1942</w:t>
      </w:r>
      <w:r>
        <w:rPr>
          <w:color w:val="auto"/>
          <w:kern w:val="21"/>
          <w:sz w:val="24"/>
        </w:rPr>
        <w:t>万元，占项目总投资</w:t>
      </w:r>
      <w:r>
        <w:rPr>
          <w:rFonts w:hint="eastAsia"/>
          <w:color w:val="auto"/>
          <w:kern w:val="21"/>
          <w:sz w:val="24"/>
        </w:rPr>
        <w:t>56000万元</w:t>
      </w:r>
      <w:r>
        <w:rPr>
          <w:color w:val="auto"/>
          <w:kern w:val="21"/>
          <w:sz w:val="24"/>
        </w:rPr>
        <w:t>的</w:t>
      </w:r>
      <w:r>
        <w:rPr>
          <w:rFonts w:hint="eastAsia"/>
          <w:color w:val="auto"/>
          <w:kern w:val="21"/>
          <w:sz w:val="24"/>
        </w:rPr>
        <w:t>3.5</w:t>
      </w:r>
      <w:r>
        <w:rPr>
          <w:color w:val="auto"/>
          <w:kern w:val="21"/>
          <w:sz w:val="24"/>
        </w:rPr>
        <w:t>%，应严格执行环保</w:t>
      </w:r>
      <w:r>
        <w:rPr>
          <w:rFonts w:hint="eastAsia"/>
          <w:color w:val="auto"/>
          <w:kern w:val="21"/>
          <w:sz w:val="24"/>
        </w:rPr>
        <w:t>“</w:t>
      </w:r>
      <w:r>
        <w:rPr>
          <w:color w:val="auto"/>
          <w:kern w:val="21"/>
          <w:sz w:val="24"/>
        </w:rPr>
        <w:t>三同时</w:t>
      </w:r>
      <w:r>
        <w:rPr>
          <w:rFonts w:hint="eastAsia"/>
          <w:color w:val="auto"/>
          <w:kern w:val="21"/>
          <w:sz w:val="24"/>
        </w:rPr>
        <w:t>”</w:t>
      </w:r>
      <w:r>
        <w:rPr>
          <w:color w:val="auto"/>
          <w:kern w:val="21"/>
          <w:sz w:val="24"/>
        </w:rPr>
        <w:t>制度，确保环保资金到位，做到专款专用。</w:t>
      </w:r>
    </w:p>
    <w:p>
      <w:pPr>
        <w:pStyle w:val="4"/>
        <w:pageBreakBefore w:val="0"/>
        <w:widowControl w:val="0"/>
        <w:tabs>
          <w:tab w:val="left" w:pos="1200"/>
          <w:tab w:val="left" w:pos="1571"/>
          <w:tab w:val="left" w:pos="1680"/>
        </w:tabs>
        <w:kinsoku/>
        <w:wordWrap/>
        <w:overflowPunct/>
        <w:topLinePunct w:val="0"/>
        <w:autoSpaceDE/>
        <w:autoSpaceDN/>
        <w:bidi w:val="0"/>
        <w:snapToGrid w:val="0"/>
        <w:spacing w:before="0" w:beforeLines="0" w:after="0" w:afterLines="0" w:line="360" w:lineRule="auto"/>
        <w:textAlignment w:val="baseline"/>
        <w:rPr>
          <w:bCs w:val="0"/>
          <w:color w:val="auto"/>
          <w:kern w:val="0"/>
          <w:szCs w:val="20"/>
          <w:lang w:val="en-US"/>
        </w:rPr>
      </w:pPr>
      <w:bookmarkStart w:id="495" w:name="_Toc760"/>
      <w:bookmarkStart w:id="496" w:name="_Toc112338988"/>
      <w:r>
        <w:rPr>
          <w:bCs w:val="0"/>
          <w:color w:val="auto"/>
          <w:kern w:val="0"/>
          <w:szCs w:val="20"/>
          <w:lang w:val="en-US"/>
        </w:rPr>
        <w:t>10.</w:t>
      </w:r>
      <w:r>
        <w:rPr>
          <w:rFonts w:hint="eastAsia"/>
          <w:bCs w:val="0"/>
          <w:color w:val="auto"/>
          <w:kern w:val="0"/>
          <w:szCs w:val="20"/>
          <w:lang w:val="en-US"/>
        </w:rPr>
        <w:t>3总结论</w:t>
      </w:r>
      <w:bookmarkEnd w:id="495"/>
      <w:bookmarkEnd w:id="496"/>
    </w:p>
    <w:p>
      <w:pPr>
        <w:keepNext w:val="0"/>
        <w:keepLines w:val="0"/>
        <w:pageBreakBefore w:val="0"/>
        <w:widowControl/>
        <w:kinsoku/>
        <w:wordWrap/>
        <w:overflowPunct/>
        <w:topLinePunct w:val="0"/>
        <w:autoSpaceDE/>
        <w:autoSpaceDN/>
        <w:bidi w:val="0"/>
        <w:adjustRightInd/>
        <w:snapToGrid w:val="0"/>
        <w:spacing w:line="360" w:lineRule="auto"/>
        <w:ind w:firstLine="484" w:firstLineChars="202"/>
        <w:textAlignment w:val="auto"/>
        <w:rPr>
          <w:color w:val="auto"/>
          <w:kern w:val="21"/>
          <w:sz w:val="24"/>
        </w:rPr>
      </w:pPr>
      <w:r>
        <w:rPr>
          <w:color w:val="auto"/>
          <w:kern w:val="21"/>
          <w:sz w:val="24"/>
        </w:rPr>
        <w:t>综上所述，河南中能锂动电源有限公司年产79.2198亿只电池配件项目建设符合国家产业政策和清洁生产的要求，厂址选择可行，总平面布置合理。项目在认真落实评价提出的各项污染防治措施后，各项污染物均能满足达标排放的要求，对区域环境的影响较小。根据企业开展的公众参与意见调查无反对公众意见。因此，从环保角度分析，本项目建设是可行的。</w:t>
      </w: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Pr>
        <w:rPr>
          <w:color w:val="auto"/>
          <w:kern w:val="21"/>
          <w:sz w:val="24"/>
        </w:rPr>
      </w:pPr>
    </w:p>
    <w:p>
      <w:pPr>
        <w:pStyle w:val="2"/>
        <w:rPr>
          <w:color w:val="auto"/>
          <w:kern w:val="21"/>
          <w:sz w:val="24"/>
        </w:rPr>
      </w:pPr>
    </w:p>
    <w:p/>
    <w:p>
      <w:pPr>
        <w:rPr>
          <w:rFonts w:hint="eastAsia" w:ascii="黑体" w:hAnsi="黑体" w:eastAsia="黑体"/>
          <w:bCs w:val="0"/>
          <w:color w:val="auto"/>
          <w:kern w:val="21"/>
          <w:sz w:val="36"/>
          <w:szCs w:val="24"/>
        </w:rPr>
        <w:sectPr>
          <w:pgSz w:w="11906" w:h="16838"/>
          <w:pgMar w:top="1440" w:right="1800" w:bottom="1440" w:left="1800" w:header="1134" w:footer="1134" w:gutter="0"/>
          <w:pgNumType w:fmt="upperRoman" w:start="1"/>
          <w:cols w:space="720" w:num="1"/>
          <w:docGrid w:linePitch="312" w:charSpace="0"/>
        </w:sectPr>
      </w:pPr>
    </w:p>
    <w:p>
      <w:pPr>
        <w:rPr>
          <w:rFonts w:hint="eastAsia" w:ascii="黑体" w:hAnsi="黑体" w:eastAsia="黑体"/>
          <w:bCs w:val="0"/>
          <w:color w:val="auto"/>
          <w:kern w:val="21"/>
          <w:sz w:val="36"/>
          <w:szCs w:val="24"/>
          <w:lang w:eastAsia="zh-CN"/>
        </w:rPr>
      </w:pPr>
    </w:p>
    <w:p>
      <w:pPr>
        <w:rPr>
          <w:rFonts w:hint="eastAsia" w:ascii="黑体" w:hAnsi="黑体" w:eastAsia="黑体"/>
          <w:bCs w:val="0"/>
          <w:color w:val="auto"/>
          <w:kern w:val="21"/>
          <w:sz w:val="36"/>
          <w:szCs w:val="24"/>
          <w:lang w:eastAsia="zh-CN"/>
        </w:rPr>
      </w:pPr>
    </w:p>
    <w:p>
      <w:pPr>
        <w:pStyle w:val="2"/>
        <w:rPr>
          <w:rFonts w:hint="eastAsia" w:ascii="黑体" w:hAnsi="黑体" w:eastAsia="黑体"/>
          <w:bCs w:val="0"/>
          <w:color w:val="auto"/>
          <w:kern w:val="21"/>
          <w:sz w:val="36"/>
          <w:szCs w:val="24"/>
          <w:lang w:eastAsia="zh-CN"/>
        </w:rPr>
      </w:pPr>
    </w:p>
    <w:p>
      <w:pPr>
        <w:rPr>
          <w:rFonts w:hint="eastAsia"/>
          <w:lang w:eastAsia="zh-CN"/>
        </w:rPr>
        <w:sectPr>
          <w:footerReference r:id="rId32" w:type="default"/>
          <w:pgSz w:w="11906" w:h="16838"/>
          <w:pgMar w:top="1440" w:right="1800" w:bottom="1440" w:left="1800" w:header="1134" w:footer="1134" w:gutter="0"/>
          <w:pgNumType w:fmt="upperRoman" w:start="1"/>
          <w:cols w:space="720" w:num="1"/>
          <w:docGrid w:linePitch="312" w:charSpace="0"/>
        </w:sect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rPr>
          <w:rFonts w:hint="eastAsia" w:eastAsia="宋体"/>
          <w:lang w:eastAsia="zh-CN"/>
        </w:rPr>
      </w:pPr>
    </w:p>
    <w:p>
      <w:pPr>
        <w:pStyle w:val="2"/>
        <w:ind w:left="0" w:leftChars="0" w:firstLine="0" w:firstLineChars="0"/>
        <w:rPr>
          <w:rFonts w:hint="eastAsia" w:eastAsia="宋体"/>
          <w:lang w:eastAsia="zh-CN"/>
        </w:rPr>
        <w:sectPr>
          <w:pgSz w:w="11906" w:h="16838"/>
          <w:pgMar w:top="1440" w:right="1800" w:bottom="1440" w:left="1800" w:header="1134" w:footer="1134" w:gutter="0"/>
          <w:pgNumType w:fmt="upperRoman" w:start="1"/>
          <w:cols w:space="720" w:num="1"/>
          <w:docGrid w:linePitch="312" w:charSpace="0"/>
        </w:sectPr>
      </w:pPr>
    </w:p>
    <w:bookmarkEnd w:id="0"/>
    <w:bookmarkEnd w:id="1"/>
    <w:p>
      <w:pPr>
        <w:keepNext w:val="0"/>
        <w:keepLines w:val="0"/>
        <w:pageBreakBefore w:val="0"/>
        <w:widowControl/>
        <w:kinsoku/>
        <w:wordWrap/>
        <w:overflowPunct/>
        <w:topLinePunct w:val="0"/>
        <w:autoSpaceDE/>
        <w:autoSpaceDN/>
        <w:bidi w:val="0"/>
        <w:adjustRightInd/>
        <w:snapToGrid w:val="0"/>
        <w:spacing w:line="360" w:lineRule="auto"/>
        <w:ind w:firstLine="484" w:firstLineChars="202"/>
        <w:textAlignment w:val="auto"/>
        <w:rPr>
          <w:color w:val="auto"/>
          <w:kern w:val="21"/>
          <w:sz w:val="24"/>
        </w:rPr>
      </w:pPr>
    </w:p>
    <w:p>
      <w:pPr>
        <w:pStyle w:val="2"/>
      </w:pPr>
      <w:r>
        <w:drawing>
          <wp:anchor distT="0" distB="0" distL="114300" distR="114300" simplePos="0" relativeHeight="251661312" behindDoc="0" locked="0" layoutInCell="1" allowOverlap="1">
            <wp:simplePos x="0" y="0"/>
            <wp:positionH relativeFrom="column">
              <wp:posOffset>-400050</wp:posOffset>
            </wp:positionH>
            <wp:positionV relativeFrom="paragraph">
              <wp:posOffset>115570</wp:posOffset>
            </wp:positionV>
            <wp:extent cx="6443345" cy="8947785"/>
            <wp:effectExtent l="0" t="0" r="14605" b="5715"/>
            <wp:wrapNone/>
            <wp:docPr id="13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5"/>
                    <pic:cNvPicPr>
                      <a:picLocks noChangeAspect="1"/>
                    </pic:cNvPicPr>
                  </pic:nvPicPr>
                  <pic:blipFill>
                    <a:blip r:embed="rId184"/>
                    <a:stretch>
                      <a:fillRect/>
                    </a:stretch>
                  </pic:blipFill>
                  <pic:spPr>
                    <a:xfrm>
                      <a:off x="0" y="0"/>
                      <a:ext cx="6443345" cy="8947785"/>
                    </a:xfrm>
                    <a:prstGeom prst="rect">
                      <a:avLst/>
                    </a:prstGeom>
                    <a:noFill/>
                    <a:ln>
                      <a:noFill/>
                    </a:ln>
                  </pic:spPr>
                </pic:pic>
              </a:graphicData>
            </a:graphic>
          </wp:anchor>
        </w:drawing>
      </w:r>
    </w:p>
    <w:p>
      <w:pPr>
        <w:pStyle w:val="2"/>
      </w:pPr>
    </w:p>
    <w:p>
      <w:pPr>
        <w:pStyle w:val="2"/>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pPr>
    </w:p>
    <w:p>
      <w:pPr>
        <w:bidi w:val="0"/>
        <w:ind w:firstLine="332" w:firstLineChars="0"/>
        <w:jc w:val="left"/>
      </w:pPr>
    </w:p>
    <w:p>
      <w:pPr>
        <w:pStyle w:val="2"/>
      </w:pPr>
    </w:p>
    <w:p/>
    <w:p>
      <w:pPr>
        <w:pStyle w:val="2"/>
      </w:pPr>
    </w:p>
    <w:p/>
    <w:p>
      <w:pPr>
        <w:pStyle w:val="2"/>
        <w:ind w:left="0" w:leftChars="0" w:firstLine="0" w:firstLineChars="0"/>
        <w:sectPr>
          <w:headerReference r:id="rId33" w:type="default"/>
          <w:footerReference r:id="rId34" w:type="default"/>
          <w:pgSz w:w="11907" w:h="16840"/>
          <w:pgMar w:top="1440" w:right="1797" w:bottom="1440" w:left="1797" w:header="1134" w:footer="1134" w:gutter="0"/>
          <w:cols w:space="720" w:num="1"/>
          <w:docGrid w:linePitch="319" w:charSpace="0"/>
        </w:sectPr>
      </w:pPr>
    </w:p>
    <w:p/>
    <w:p>
      <w:pPr>
        <w:jc w:val="center"/>
      </w:pPr>
    </w:p>
    <w:p>
      <w:pPr>
        <w:pStyle w:val="2"/>
      </w:pPr>
      <w:r>
        <w:drawing>
          <wp:anchor distT="0" distB="0" distL="114300" distR="114300" simplePos="0" relativeHeight="251662336" behindDoc="0" locked="0" layoutInCell="1" allowOverlap="1">
            <wp:simplePos x="0" y="0"/>
            <wp:positionH relativeFrom="column">
              <wp:posOffset>1200150</wp:posOffset>
            </wp:positionH>
            <wp:positionV relativeFrom="paragraph">
              <wp:posOffset>41275</wp:posOffset>
            </wp:positionV>
            <wp:extent cx="6897370" cy="4741545"/>
            <wp:effectExtent l="0" t="0" r="17780" b="1905"/>
            <wp:wrapNone/>
            <wp:docPr id="16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7"/>
                    <pic:cNvPicPr>
                      <a:picLocks noChangeAspect="1"/>
                    </pic:cNvPicPr>
                  </pic:nvPicPr>
                  <pic:blipFill>
                    <a:blip r:embed="rId185"/>
                    <a:stretch>
                      <a:fillRect/>
                    </a:stretch>
                  </pic:blipFill>
                  <pic:spPr>
                    <a:xfrm>
                      <a:off x="0" y="0"/>
                      <a:ext cx="6897370" cy="4741545"/>
                    </a:xfrm>
                    <a:prstGeom prst="rect">
                      <a:avLst/>
                    </a:prstGeom>
                    <a:noFill/>
                    <a:ln>
                      <a:noFill/>
                    </a:ln>
                  </pic:spPr>
                </pic:pic>
              </a:graphicData>
            </a:graphic>
          </wp:anchor>
        </w:drawing>
      </w: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Pr>
        <w:pStyle w:val="2"/>
        <w:jc w:val="center"/>
      </w:pPr>
      <w:r>
        <w:drawing>
          <wp:inline distT="0" distB="0" distL="114300" distR="114300">
            <wp:extent cx="7543800" cy="4981575"/>
            <wp:effectExtent l="0" t="0" r="0" b="9525"/>
            <wp:docPr id="17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4"/>
                    <pic:cNvPicPr>
                      <a:picLocks noChangeAspect="1"/>
                    </pic:cNvPicPr>
                  </pic:nvPicPr>
                  <pic:blipFill>
                    <a:blip r:embed="rId186"/>
                    <a:stretch>
                      <a:fillRect/>
                    </a:stretch>
                  </pic:blipFill>
                  <pic:spPr>
                    <a:xfrm>
                      <a:off x="0" y="0"/>
                      <a:ext cx="7543800" cy="4981575"/>
                    </a:xfrm>
                    <a:prstGeom prst="rect">
                      <a:avLst/>
                    </a:prstGeom>
                    <a:noFill/>
                    <a:ln>
                      <a:noFill/>
                    </a:ln>
                  </pic:spPr>
                </pic:pic>
              </a:graphicData>
            </a:graphic>
          </wp:inline>
        </w:drawing>
      </w:r>
    </w:p>
    <w:p>
      <w:pPr>
        <w:jc w:val="center"/>
      </w:pPr>
      <w:r>
        <w:drawing>
          <wp:inline distT="0" distB="0" distL="114300" distR="114300">
            <wp:extent cx="7677150" cy="5210175"/>
            <wp:effectExtent l="0" t="0" r="0" b="9525"/>
            <wp:docPr id="1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5"/>
                    <pic:cNvPicPr>
                      <a:picLocks noChangeAspect="1"/>
                    </pic:cNvPicPr>
                  </pic:nvPicPr>
                  <pic:blipFill>
                    <a:blip r:embed="rId187"/>
                    <a:stretch>
                      <a:fillRect/>
                    </a:stretch>
                  </pic:blipFill>
                  <pic:spPr>
                    <a:xfrm>
                      <a:off x="0" y="0"/>
                      <a:ext cx="7677150" cy="5210175"/>
                    </a:xfrm>
                    <a:prstGeom prst="rect">
                      <a:avLst/>
                    </a:prstGeom>
                    <a:noFill/>
                    <a:ln>
                      <a:noFill/>
                    </a:ln>
                  </pic:spPr>
                </pic:pic>
              </a:graphicData>
            </a:graphic>
          </wp:inline>
        </w:drawing>
      </w:r>
    </w:p>
    <w:p>
      <w:pPr>
        <w:jc w:val="center"/>
      </w:pPr>
      <w:r>
        <w:drawing>
          <wp:inline distT="0" distB="0" distL="114300" distR="114300">
            <wp:extent cx="7221220" cy="5275580"/>
            <wp:effectExtent l="0" t="0" r="17780" b="1270"/>
            <wp:docPr id="1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6"/>
                    <pic:cNvPicPr>
                      <a:picLocks noChangeAspect="1"/>
                    </pic:cNvPicPr>
                  </pic:nvPicPr>
                  <pic:blipFill>
                    <a:blip r:embed="rId188"/>
                    <a:stretch>
                      <a:fillRect/>
                    </a:stretch>
                  </pic:blipFill>
                  <pic:spPr>
                    <a:xfrm>
                      <a:off x="0" y="0"/>
                      <a:ext cx="7221220" cy="5275580"/>
                    </a:xfrm>
                    <a:prstGeom prst="rect">
                      <a:avLst/>
                    </a:prstGeom>
                    <a:noFill/>
                    <a:ln>
                      <a:noFill/>
                    </a:ln>
                  </pic:spPr>
                </pic:pic>
              </a:graphicData>
            </a:graphic>
          </wp:inline>
        </w:drawing>
      </w:r>
    </w:p>
    <w:p>
      <w:pPr>
        <w:pStyle w:val="2"/>
        <w:jc w:val="center"/>
      </w:pPr>
      <w:r>
        <w:drawing>
          <wp:inline distT="0" distB="0" distL="114300" distR="114300">
            <wp:extent cx="7343775" cy="5248275"/>
            <wp:effectExtent l="0" t="0" r="9525" b="9525"/>
            <wp:docPr id="1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7"/>
                    <pic:cNvPicPr>
                      <a:picLocks noChangeAspect="1"/>
                    </pic:cNvPicPr>
                  </pic:nvPicPr>
                  <pic:blipFill>
                    <a:blip r:embed="rId189"/>
                    <a:stretch>
                      <a:fillRect/>
                    </a:stretch>
                  </pic:blipFill>
                  <pic:spPr>
                    <a:xfrm>
                      <a:off x="0" y="0"/>
                      <a:ext cx="7343775" cy="5248275"/>
                    </a:xfrm>
                    <a:prstGeom prst="rect">
                      <a:avLst/>
                    </a:prstGeom>
                    <a:noFill/>
                    <a:ln>
                      <a:noFill/>
                    </a:ln>
                  </pic:spPr>
                </pic:pic>
              </a:graphicData>
            </a:graphic>
          </wp:inline>
        </w:drawing>
      </w:r>
    </w:p>
    <w:p>
      <w:pPr>
        <w:pStyle w:val="2"/>
        <w:jc w:val="center"/>
      </w:pPr>
      <w:r>
        <w:drawing>
          <wp:inline distT="0" distB="0" distL="114300" distR="114300">
            <wp:extent cx="7486650" cy="5229225"/>
            <wp:effectExtent l="0" t="0" r="0" b="9525"/>
            <wp:docPr id="1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8"/>
                    <pic:cNvPicPr>
                      <a:picLocks noChangeAspect="1"/>
                    </pic:cNvPicPr>
                  </pic:nvPicPr>
                  <pic:blipFill>
                    <a:blip r:embed="rId190"/>
                    <a:stretch>
                      <a:fillRect/>
                    </a:stretch>
                  </pic:blipFill>
                  <pic:spPr>
                    <a:xfrm>
                      <a:off x="0" y="0"/>
                      <a:ext cx="7486650" cy="5229225"/>
                    </a:xfrm>
                    <a:prstGeom prst="rect">
                      <a:avLst/>
                    </a:prstGeom>
                    <a:noFill/>
                    <a:ln>
                      <a:noFill/>
                    </a:ln>
                  </pic:spPr>
                </pic:pic>
              </a:graphicData>
            </a:graphic>
          </wp:inline>
        </w:drawing>
      </w:r>
    </w:p>
    <w:p/>
    <w:p>
      <w:pPr>
        <w:pStyle w:val="2"/>
      </w:pPr>
    </w:p>
    <w:p>
      <w:pPr>
        <w:jc w:val="center"/>
      </w:pPr>
      <w:r>
        <w:drawing>
          <wp:inline distT="0" distB="0" distL="114300" distR="114300">
            <wp:extent cx="7553325" cy="4962525"/>
            <wp:effectExtent l="0" t="0" r="9525" b="9525"/>
            <wp:docPr id="18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9"/>
                    <pic:cNvPicPr>
                      <a:picLocks noChangeAspect="1"/>
                    </pic:cNvPicPr>
                  </pic:nvPicPr>
                  <pic:blipFill>
                    <a:blip r:embed="rId191"/>
                    <a:stretch>
                      <a:fillRect/>
                    </a:stretch>
                  </pic:blipFill>
                  <pic:spPr>
                    <a:xfrm>
                      <a:off x="0" y="0"/>
                      <a:ext cx="7553325" cy="4962525"/>
                    </a:xfrm>
                    <a:prstGeom prst="rect">
                      <a:avLst/>
                    </a:prstGeom>
                    <a:noFill/>
                    <a:ln>
                      <a:noFill/>
                    </a:ln>
                  </pic:spPr>
                </pic:pic>
              </a:graphicData>
            </a:graphic>
          </wp:inline>
        </w:drawing>
      </w:r>
    </w:p>
    <w:p>
      <w:pPr>
        <w:sectPr>
          <w:pgSz w:w="16840" w:h="11907" w:orient="landscape"/>
          <w:pgMar w:top="1797" w:right="1440" w:bottom="1797" w:left="1440" w:header="1134" w:footer="1134" w:gutter="0"/>
          <w:cols w:space="0" w:num="1"/>
          <w:rtlGutter w:val="0"/>
          <w:docGrid w:linePitch="319" w:charSpace="0"/>
        </w:sectPr>
      </w:pPr>
    </w:p>
    <w:p>
      <w:pPr>
        <w:pStyle w:val="2"/>
      </w:pPr>
    </w:p>
    <w:p>
      <w:pPr>
        <w:pStyle w:val="2"/>
      </w:pPr>
    </w:p>
    <w:p/>
    <w:p>
      <w:pPr>
        <w:pStyle w:val="2"/>
      </w:pPr>
    </w:p>
    <w:p/>
    <w:p>
      <w:pPr>
        <w:pStyle w:val="2"/>
      </w:pPr>
    </w:p>
    <w:p>
      <w:r>
        <w:drawing>
          <wp:inline distT="0" distB="0" distL="114300" distR="114300">
            <wp:extent cx="5278120" cy="7292340"/>
            <wp:effectExtent l="0" t="0" r="17780" b="3810"/>
            <wp:docPr id="1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0"/>
                    <pic:cNvPicPr>
                      <a:picLocks noChangeAspect="1"/>
                    </pic:cNvPicPr>
                  </pic:nvPicPr>
                  <pic:blipFill>
                    <a:blip r:embed="rId192"/>
                    <a:stretch>
                      <a:fillRect/>
                    </a:stretch>
                  </pic:blipFill>
                  <pic:spPr>
                    <a:xfrm>
                      <a:off x="0" y="0"/>
                      <a:ext cx="5278120" cy="729234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p>
      <w:pPr>
        <w:pStyle w:val="2"/>
      </w:pPr>
    </w:p>
    <w:p>
      <w:r>
        <w:drawing>
          <wp:inline distT="0" distB="0" distL="114300" distR="114300">
            <wp:extent cx="5275580" cy="7195820"/>
            <wp:effectExtent l="0" t="0" r="1270" b="5080"/>
            <wp:docPr id="18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1"/>
                    <pic:cNvPicPr>
                      <a:picLocks noChangeAspect="1"/>
                    </pic:cNvPicPr>
                  </pic:nvPicPr>
                  <pic:blipFill>
                    <a:blip r:embed="rId193"/>
                    <a:stretch>
                      <a:fillRect/>
                    </a:stretch>
                  </pic:blipFill>
                  <pic:spPr>
                    <a:xfrm>
                      <a:off x="0" y="0"/>
                      <a:ext cx="5275580" cy="719582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p>
      <w:pPr>
        <w:pStyle w:val="2"/>
      </w:pPr>
    </w:p>
    <w:p/>
    <w:p>
      <w:pPr>
        <w:pStyle w:val="2"/>
      </w:pPr>
      <w:r>
        <w:drawing>
          <wp:inline distT="0" distB="0" distL="114300" distR="114300">
            <wp:extent cx="5248275" cy="7467600"/>
            <wp:effectExtent l="0" t="0" r="9525" b="0"/>
            <wp:docPr id="18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2"/>
                    <pic:cNvPicPr>
                      <a:picLocks noChangeAspect="1"/>
                    </pic:cNvPicPr>
                  </pic:nvPicPr>
                  <pic:blipFill>
                    <a:blip r:embed="rId194"/>
                    <a:stretch>
                      <a:fillRect/>
                    </a:stretch>
                  </pic:blipFill>
                  <pic:spPr>
                    <a:xfrm>
                      <a:off x="0" y="0"/>
                      <a:ext cx="5248275" cy="7467600"/>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4310" cy="7122160"/>
            <wp:effectExtent l="0" t="0" r="2540" b="2540"/>
            <wp:docPr id="18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3"/>
                    <pic:cNvPicPr>
                      <a:picLocks noChangeAspect="1"/>
                    </pic:cNvPicPr>
                  </pic:nvPicPr>
                  <pic:blipFill>
                    <a:blip r:embed="rId195"/>
                    <a:stretch>
                      <a:fillRect/>
                    </a:stretch>
                  </pic:blipFill>
                  <pic:spPr>
                    <a:xfrm>
                      <a:off x="0" y="0"/>
                      <a:ext cx="5274310" cy="7122160"/>
                    </a:xfrm>
                    <a:prstGeom prst="rect">
                      <a:avLst/>
                    </a:prstGeom>
                    <a:noFill/>
                    <a:ln>
                      <a:noFill/>
                    </a:ln>
                  </pic:spPr>
                </pic:pic>
              </a:graphicData>
            </a:graphic>
          </wp:inline>
        </w:drawing>
      </w:r>
    </w:p>
    <w:p>
      <w:pPr>
        <w:pStyle w:val="2"/>
      </w:pPr>
    </w:p>
    <w:p/>
    <w:p/>
    <w:p>
      <w:r>
        <w:drawing>
          <wp:inline distT="0" distB="0" distL="114300" distR="114300">
            <wp:extent cx="5277485" cy="7699375"/>
            <wp:effectExtent l="0" t="0" r="18415" b="15875"/>
            <wp:docPr id="18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4"/>
                    <pic:cNvPicPr>
                      <a:picLocks noChangeAspect="1"/>
                    </pic:cNvPicPr>
                  </pic:nvPicPr>
                  <pic:blipFill>
                    <a:blip r:embed="rId196"/>
                    <a:stretch>
                      <a:fillRect/>
                    </a:stretch>
                  </pic:blipFill>
                  <pic:spPr>
                    <a:xfrm>
                      <a:off x="0" y="0"/>
                      <a:ext cx="5277485" cy="7699375"/>
                    </a:xfrm>
                    <a:prstGeom prst="rect">
                      <a:avLst/>
                    </a:prstGeom>
                    <a:noFill/>
                    <a:ln>
                      <a:noFill/>
                    </a:ln>
                  </pic:spPr>
                </pic:pic>
              </a:graphicData>
            </a:graphic>
          </wp:inline>
        </w:drawing>
      </w:r>
    </w:p>
    <w:p>
      <w:pPr>
        <w:pStyle w:val="2"/>
      </w:pPr>
    </w:p>
    <w:p/>
    <w:p>
      <w:pPr>
        <w:pStyle w:val="2"/>
      </w:pPr>
    </w:p>
    <w:p/>
    <w:p>
      <w:pPr>
        <w:pStyle w:val="2"/>
      </w:pPr>
    </w:p>
    <w:p/>
    <w:p>
      <w:pPr>
        <w:pStyle w:val="2"/>
      </w:pPr>
    </w:p>
    <w:p>
      <w:r>
        <w:drawing>
          <wp:inline distT="0" distB="0" distL="114300" distR="114300">
            <wp:extent cx="5275580" cy="7402195"/>
            <wp:effectExtent l="0" t="0" r="1270" b="8255"/>
            <wp:docPr id="18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6"/>
                    <pic:cNvPicPr>
                      <a:picLocks noChangeAspect="1"/>
                    </pic:cNvPicPr>
                  </pic:nvPicPr>
                  <pic:blipFill>
                    <a:blip r:embed="rId197"/>
                    <a:stretch>
                      <a:fillRect/>
                    </a:stretch>
                  </pic:blipFill>
                  <pic:spPr>
                    <a:xfrm>
                      <a:off x="0" y="0"/>
                      <a:ext cx="5275580" cy="740219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r>
        <w:drawing>
          <wp:anchor distT="0" distB="0" distL="114300" distR="114300" simplePos="0" relativeHeight="251663360" behindDoc="0" locked="0" layoutInCell="1" allowOverlap="1">
            <wp:simplePos x="0" y="0"/>
            <wp:positionH relativeFrom="column">
              <wp:posOffset>28575</wp:posOffset>
            </wp:positionH>
            <wp:positionV relativeFrom="paragraph">
              <wp:posOffset>153035</wp:posOffset>
            </wp:positionV>
            <wp:extent cx="5273040" cy="7456805"/>
            <wp:effectExtent l="0" t="0" r="3810" b="10795"/>
            <wp:wrapSquare wrapText="bothSides"/>
            <wp:docPr id="18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7"/>
                    <pic:cNvPicPr>
                      <a:picLocks noChangeAspect="1"/>
                    </pic:cNvPicPr>
                  </pic:nvPicPr>
                  <pic:blipFill>
                    <a:blip r:embed="rId198"/>
                    <a:stretch>
                      <a:fillRect/>
                    </a:stretch>
                  </pic:blipFill>
                  <pic:spPr>
                    <a:xfrm>
                      <a:off x="0" y="0"/>
                      <a:ext cx="5273040" cy="7456805"/>
                    </a:xfrm>
                    <a:prstGeom prst="rect">
                      <a:avLst/>
                    </a:prstGeom>
                    <a:noFill/>
                    <a:ln>
                      <a:noFill/>
                    </a:ln>
                  </pic:spPr>
                </pic:pic>
              </a:graphicData>
            </a:graphic>
          </wp:anchor>
        </w:drawing>
      </w:r>
    </w:p>
    <w:p>
      <w:pPr>
        <w:pStyle w:val="2"/>
        <w:jc w:val="center"/>
      </w:pPr>
    </w:p>
    <w:p/>
    <w:p>
      <w:pPr>
        <w:pStyle w:val="2"/>
      </w:pPr>
    </w:p>
    <w:p/>
    <w:p>
      <w:pPr>
        <w:pStyle w:val="2"/>
      </w:pPr>
    </w:p>
    <w:p/>
    <w:p>
      <w:pPr>
        <w:pStyle w:val="2"/>
      </w:pPr>
    </w:p>
    <w:p/>
    <w:p>
      <w:pPr>
        <w:pStyle w:val="2"/>
      </w:pPr>
    </w:p>
    <w:p>
      <w:pPr>
        <w:pStyle w:val="2"/>
      </w:pPr>
      <w:r>
        <w:drawing>
          <wp:anchor distT="0" distB="0" distL="114300" distR="114300" simplePos="0" relativeHeight="251664384" behindDoc="1" locked="0" layoutInCell="1" allowOverlap="1">
            <wp:simplePos x="0" y="0"/>
            <wp:positionH relativeFrom="column">
              <wp:posOffset>-295275</wp:posOffset>
            </wp:positionH>
            <wp:positionV relativeFrom="paragraph">
              <wp:posOffset>141605</wp:posOffset>
            </wp:positionV>
            <wp:extent cx="5981065" cy="8404225"/>
            <wp:effectExtent l="0" t="0" r="635" b="15875"/>
            <wp:wrapNone/>
            <wp:docPr id="18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8"/>
                    <pic:cNvPicPr>
                      <a:picLocks noChangeAspect="1"/>
                    </pic:cNvPicPr>
                  </pic:nvPicPr>
                  <pic:blipFill>
                    <a:blip r:embed="rId199"/>
                    <a:stretch>
                      <a:fillRect/>
                    </a:stretch>
                  </pic:blipFill>
                  <pic:spPr>
                    <a:xfrm>
                      <a:off x="0" y="0"/>
                      <a:ext cx="5981065" cy="8404225"/>
                    </a:xfrm>
                    <a:prstGeom prst="rect">
                      <a:avLst/>
                    </a:prstGeom>
                    <a:noFill/>
                    <a:ln>
                      <a:noFill/>
                    </a:ln>
                  </pic:spPr>
                </pic:pic>
              </a:graphicData>
            </a:graphic>
          </wp:anchor>
        </w:drawing>
      </w: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r>
        <w:drawing>
          <wp:anchor distT="0" distB="0" distL="114300" distR="114300" simplePos="0" relativeHeight="251664384" behindDoc="0" locked="0" layoutInCell="1" allowOverlap="1">
            <wp:simplePos x="0" y="0"/>
            <wp:positionH relativeFrom="column">
              <wp:posOffset>-342900</wp:posOffset>
            </wp:positionH>
            <wp:positionV relativeFrom="paragraph">
              <wp:posOffset>44450</wp:posOffset>
            </wp:positionV>
            <wp:extent cx="6135370" cy="8589645"/>
            <wp:effectExtent l="0" t="0" r="17780" b="1905"/>
            <wp:wrapNone/>
            <wp:docPr id="19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9"/>
                    <pic:cNvPicPr>
                      <a:picLocks noChangeAspect="1"/>
                    </pic:cNvPicPr>
                  </pic:nvPicPr>
                  <pic:blipFill>
                    <a:blip r:embed="rId200"/>
                    <a:stretch>
                      <a:fillRect/>
                    </a:stretch>
                  </pic:blipFill>
                  <pic:spPr>
                    <a:xfrm>
                      <a:off x="0" y="0"/>
                      <a:ext cx="6135370" cy="8589645"/>
                    </a:xfrm>
                    <a:prstGeom prst="rect">
                      <a:avLst/>
                    </a:prstGeom>
                    <a:noFill/>
                    <a:ln>
                      <a:noFill/>
                    </a:ln>
                  </pic:spPr>
                </pic:pic>
              </a:graphicData>
            </a:graphic>
          </wp:anchor>
        </w:drawing>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r>
        <w:drawing>
          <wp:inline distT="0" distB="0" distL="114300" distR="114300">
            <wp:extent cx="5275580" cy="7330440"/>
            <wp:effectExtent l="0" t="0" r="1270" b="3810"/>
            <wp:docPr id="19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0"/>
                    <pic:cNvPicPr>
                      <a:picLocks noChangeAspect="1"/>
                    </pic:cNvPicPr>
                  </pic:nvPicPr>
                  <pic:blipFill>
                    <a:blip r:embed="rId201"/>
                    <a:stretch>
                      <a:fillRect/>
                    </a:stretch>
                  </pic:blipFill>
                  <pic:spPr>
                    <a:xfrm>
                      <a:off x="0" y="0"/>
                      <a:ext cx="5275580" cy="7330440"/>
                    </a:xfrm>
                    <a:prstGeom prst="rect">
                      <a:avLst/>
                    </a:prstGeom>
                    <a:noFill/>
                    <a:ln>
                      <a:noFill/>
                    </a:ln>
                  </pic:spPr>
                </pic:pic>
              </a:graphicData>
            </a:graphic>
          </wp:inline>
        </w:drawing>
      </w:r>
    </w:p>
    <w:p>
      <w:pPr>
        <w:pStyle w:val="2"/>
      </w:pPr>
    </w:p>
    <w:p/>
    <w:p>
      <w:pPr>
        <w:pStyle w:val="2"/>
      </w:pPr>
    </w:p>
    <w:p>
      <w:r>
        <w:drawing>
          <wp:anchor distT="0" distB="0" distL="114300" distR="114300" simplePos="0" relativeHeight="251666432" behindDoc="1" locked="0" layoutInCell="1" allowOverlap="1">
            <wp:simplePos x="0" y="0"/>
            <wp:positionH relativeFrom="column">
              <wp:posOffset>-638175</wp:posOffset>
            </wp:positionH>
            <wp:positionV relativeFrom="paragraph">
              <wp:posOffset>0</wp:posOffset>
            </wp:positionV>
            <wp:extent cx="6110605" cy="8693150"/>
            <wp:effectExtent l="0" t="0" r="4445" b="12700"/>
            <wp:wrapTight wrapText="bothSides">
              <wp:wrapPolygon>
                <wp:start x="0" y="0"/>
                <wp:lineTo x="0" y="21537"/>
                <wp:lineTo x="21548" y="21537"/>
                <wp:lineTo x="21548" y="0"/>
                <wp:lineTo x="0" y="0"/>
              </wp:wrapPolygon>
            </wp:wrapTight>
            <wp:docPr id="19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1"/>
                    <pic:cNvPicPr>
                      <a:picLocks noChangeAspect="1"/>
                    </pic:cNvPicPr>
                  </pic:nvPicPr>
                  <pic:blipFill>
                    <a:blip r:embed="rId202"/>
                    <a:stretch>
                      <a:fillRect/>
                    </a:stretch>
                  </pic:blipFill>
                  <pic:spPr>
                    <a:xfrm>
                      <a:off x="0" y="0"/>
                      <a:ext cx="6110605" cy="8693150"/>
                    </a:xfrm>
                    <a:prstGeom prst="rect">
                      <a:avLst/>
                    </a:prstGeom>
                    <a:noFill/>
                    <a:ln>
                      <a:noFill/>
                    </a:ln>
                  </pic:spPr>
                </pic:pic>
              </a:graphicData>
            </a:graphic>
          </wp:anchor>
        </w:drawing>
      </w:r>
    </w:p>
    <w:p>
      <w:pPr>
        <w:pStyle w:val="2"/>
      </w:pPr>
    </w:p>
    <w:p/>
    <w:p>
      <w:pPr>
        <w:pStyle w:val="2"/>
      </w:pPr>
      <w:r>
        <w:drawing>
          <wp:anchor distT="0" distB="0" distL="114300" distR="114300" simplePos="0" relativeHeight="251665408" behindDoc="0" locked="0" layoutInCell="1" allowOverlap="1">
            <wp:simplePos x="0" y="0"/>
            <wp:positionH relativeFrom="column">
              <wp:posOffset>-504825</wp:posOffset>
            </wp:positionH>
            <wp:positionV relativeFrom="page">
              <wp:posOffset>1226185</wp:posOffset>
            </wp:positionV>
            <wp:extent cx="5810250" cy="8312785"/>
            <wp:effectExtent l="0" t="0" r="0" b="12065"/>
            <wp:wrapTopAndBottom/>
            <wp:docPr id="19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2"/>
                    <pic:cNvPicPr>
                      <a:picLocks noChangeAspect="1"/>
                    </pic:cNvPicPr>
                  </pic:nvPicPr>
                  <pic:blipFill>
                    <a:blip r:embed="rId203"/>
                    <a:stretch>
                      <a:fillRect/>
                    </a:stretch>
                  </pic:blipFill>
                  <pic:spPr>
                    <a:xfrm>
                      <a:off x="0" y="0"/>
                      <a:ext cx="5810250" cy="8312785"/>
                    </a:xfrm>
                    <a:prstGeom prst="rect">
                      <a:avLst/>
                    </a:prstGeom>
                    <a:noFill/>
                    <a:ln>
                      <a:noFill/>
                    </a:ln>
                  </pic:spPr>
                </pic:pic>
              </a:graphicData>
            </a:graphic>
          </wp:anchor>
        </w:drawing>
      </w:r>
    </w:p>
    <w:p>
      <w:r>
        <w:drawing>
          <wp:anchor distT="0" distB="0" distL="114300" distR="114300" simplePos="0" relativeHeight="251667456" behindDoc="1" locked="0" layoutInCell="1" allowOverlap="1">
            <wp:simplePos x="0" y="0"/>
            <wp:positionH relativeFrom="column">
              <wp:posOffset>-295275</wp:posOffset>
            </wp:positionH>
            <wp:positionV relativeFrom="page">
              <wp:posOffset>1067435</wp:posOffset>
            </wp:positionV>
            <wp:extent cx="5978525" cy="8408035"/>
            <wp:effectExtent l="0" t="0" r="3175" b="12065"/>
            <wp:wrapNone/>
            <wp:docPr id="19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3"/>
                    <pic:cNvPicPr>
                      <a:picLocks noChangeAspect="1"/>
                    </pic:cNvPicPr>
                  </pic:nvPicPr>
                  <pic:blipFill>
                    <a:blip r:embed="rId204"/>
                    <a:stretch>
                      <a:fillRect/>
                    </a:stretch>
                  </pic:blipFill>
                  <pic:spPr>
                    <a:xfrm>
                      <a:off x="0" y="0"/>
                      <a:ext cx="5978525" cy="8408035"/>
                    </a:xfrm>
                    <a:prstGeom prst="rect">
                      <a:avLst/>
                    </a:prstGeom>
                    <a:noFill/>
                    <a:ln>
                      <a:noFill/>
                    </a:ln>
                  </pic:spPr>
                </pic:pic>
              </a:graphicData>
            </a:graphic>
          </wp:anchor>
        </w:drawing>
      </w:r>
    </w:p>
    <w:p>
      <w:pPr>
        <w:pStyle w:val="2"/>
      </w:pPr>
    </w:p>
    <w:p/>
    <w:p>
      <w:pPr>
        <w:pStyle w:val="2"/>
      </w:pPr>
    </w:p>
    <w:p/>
    <w:p>
      <w:pPr>
        <w:pStyle w:val="2"/>
      </w:pP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bidi w:val="0"/>
        <w:rPr>
          <w:rFonts w:ascii="Times New Roman" w:hAnsi="Times New Roman" w:eastAsia="宋体" w:cs="Times New Roman"/>
          <w:kern w:val="2"/>
          <w:sz w:val="21"/>
          <w:szCs w:val="21"/>
          <w:lang w:val="en-US" w:eastAsia="zh-CN" w:bidi="ar-SA"/>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r>
        <w:drawing>
          <wp:anchor distT="0" distB="0" distL="114300" distR="114300" simplePos="0" relativeHeight="251667456" behindDoc="0" locked="0" layoutInCell="1" allowOverlap="1">
            <wp:simplePos x="0" y="0"/>
            <wp:positionH relativeFrom="column">
              <wp:posOffset>-243205</wp:posOffset>
            </wp:positionH>
            <wp:positionV relativeFrom="page">
              <wp:posOffset>1069340</wp:posOffset>
            </wp:positionV>
            <wp:extent cx="6063615" cy="8508365"/>
            <wp:effectExtent l="0" t="0" r="13335" b="6985"/>
            <wp:wrapNone/>
            <wp:docPr id="19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4"/>
                    <pic:cNvPicPr>
                      <a:picLocks noChangeAspect="1"/>
                    </pic:cNvPicPr>
                  </pic:nvPicPr>
                  <pic:blipFill>
                    <a:blip r:embed="rId205"/>
                    <a:stretch>
                      <a:fillRect/>
                    </a:stretch>
                  </pic:blipFill>
                  <pic:spPr>
                    <a:xfrm>
                      <a:off x="0" y="0"/>
                      <a:ext cx="6063615" cy="8508365"/>
                    </a:xfrm>
                    <a:prstGeom prst="rect">
                      <a:avLst/>
                    </a:prstGeom>
                    <a:noFill/>
                    <a:ln>
                      <a:noFill/>
                    </a:ln>
                  </pic:spPr>
                </pic:pic>
              </a:graphicData>
            </a:graphic>
          </wp:anchor>
        </w:drawing>
      </w:r>
    </w:p>
    <w:p>
      <w:pPr>
        <w:bidi w:val="0"/>
        <w:rPr>
          <w:lang w:val="en-US" w:eastAsia="zh-CN"/>
        </w:rPr>
      </w:pPr>
    </w:p>
    <w:p>
      <w:pPr>
        <w:bidi w:val="0"/>
        <w:jc w:val="left"/>
        <w:rPr>
          <w:lang w:val="en-US" w:eastAsia="zh-CN"/>
        </w:rPr>
      </w:pPr>
    </w:p>
    <w:p>
      <w:pPr>
        <w:pStyle w:val="2"/>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ind w:firstLine="557" w:firstLineChars="0"/>
        <w:jc w:val="left"/>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r>
        <w:drawing>
          <wp:anchor distT="0" distB="0" distL="114300" distR="114300" simplePos="0" relativeHeight="251668480" behindDoc="1" locked="0" layoutInCell="1" allowOverlap="1">
            <wp:simplePos x="0" y="0"/>
            <wp:positionH relativeFrom="column">
              <wp:posOffset>-400050</wp:posOffset>
            </wp:positionH>
            <wp:positionV relativeFrom="page">
              <wp:posOffset>1169035</wp:posOffset>
            </wp:positionV>
            <wp:extent cx="6160770" cy="8634095"/>
            <wp:effectExtent l="0" t="0" r="11430" b="14605"/>
            <wp:wrapNone/>
            <wp:docPr id="19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55"/>
                    <pic:cNvPicPr>
                      <a:picLocks noChangeAspect="1"/>
                    </pic:cNvPicPr>
                  </pic:nvPicPr>
                  <pic:blipFill>
                    <a:blip r:embed="rId206"/>
                    <a:stretch>
                      <a:fillRect/>
                    </a:stretch>
                  </pic:blipFill>
                  <pic:spPr>
                    <a:xfrm>
                      <a:off x="0" y="0"/>
                      <a:ext cx="6160770" cy="8634095"/>
                    </a:xfrm>
                    <a:prstGeom prst="rect">
                      <a:avLst/>
                    </a:prstGeom>
                    <a:noFill/>
                    <a:ln>
                      <a:noFill/>
                    </a:ln>
                  </pic:spPr>
                </pic:pic>
              </a:graphicData>
            </a:graphic>
          </wp:anchor>
        </w:drawing>
      </w: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r>
        <w:drawing>
          <wp:anchor distT="0" distB="0" distL="114300" distR="114300" simplePos="0" relativeHeight="251668480" behindDoc="0" locked="0" layoutInCell="1" allowOverlap="1">
            <wp:simplePos x="0" y="0"/>
            <wp:positionH relativeFrom="column">
              <wp:posOffset>-323850</wp:posOffset>
            </wp:positionH>
            <wp:positionV relativeFrom="page">
              <wp:posOffset>897890</wp:posOffset>
            </wp:positionV>
            <wp:extent cx="6177280" cy="8740140"/>
            <wp:effectExtent l="0" t="0" r="13970" b="3810"/>
            <wp:wrapNone/>
            <wp:docPr id="19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6"/>
                    <pic:cNvPicPr>
                      <a:picLocks noChangeAspect="1"/>
                    </pic:cNvPicPr>
                  </pic:nvPicPr>
                  <pic:blipFill>
                    <a:blip r:embed="rId207"/>
                    <a:stretch>
                      <a:fillRect/>
                    </a:stretch>
                  </pic:blipFill>
                  <pic:spPr>
                    <a:xfrm>
                      <a:off x="0" y="0"/>
                      <a:ext cx="6177280" cy="8740140"/>
                    </a:xfrm>
                    <a:prstGeom prst="rect">
                      <a:avLst/>
                    </a:prstGeom>
                    <a:noFill/>
                    <a:ln>
                      <a:noFill/>
                    </a:ln>
                  </pic:spPr>
                </pic:pic>
              </a:graphicData>
            </a:graphic>
          </wp:anchor>
        </w:drawing>
      </w: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r>
        <w:drawing>
          <wp:anchor distT="0" distB="0" distL="114300" distR="114300" simplePos="0" relativeHeight="251669504" behindDoc="0" locked="0" layoutInCell="1" allowOverlap="1">
            <wp:simplePos x="0" y="0"/>
            <wp:positionH relativeFrom="column">
              <wp:posOffset>-438150</wp:posOffset>
            </wp:positionH>
            <wp:positionV relativeFrom="page">
              <wp:posOffset>1058545</wp:posOffset>
            </wp:positionV>
            <wp:extent cx="6197600" cy="8441690"/>
            <wp:effectExtent l="0" t="0" r="12700" b="16510"/>
            <wp:wrapNone/>
            <wp:docPr id="20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7"/>
                    <pic:cNvPicPr>
                      <a:picLocks noChangeAspect="1"/>
                    </pic:cNvPicPr>
                  </pic:nvPicPr>
                  <pic:blipFill>
                    <a:blip r:embed="rId208"/>
                    <a:stretch>
                      <a:fillRect/>
                    </a:stretch>
                  </pic:blipFill>
                  <pic:spPr>
                    <a:xfrm>
                      <a:off x="0" y="0"/>
                      <a:ext cx="6197600" cy="8441690"/>
                    </a:xfrm>
                    <a:prstGeom prst="rect">
                      <a:avLst/>
                    </a:prstGeom>
                    <a:noFill/>
                    <a:ln>
                      <a:noFill/>
                    </a:ln>
                  </pic:spPr>
                </pic:pic>
              </a:graphicData>
            </a:graphic>
          </wp:anchor>
        </w:drawing>
      </w: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r>
        <w:drawing>
          <wp:anchor distT="0" distB="0" distL="114300" distR="114300" simplePos="0" relativeHeight="251670528" behindDoc="0" locked="0" layoutInCell="1" allowOverlap="1">
            <wp:simplePos x="0" y="0"/>
            <wp:positionH relativeFrom="column">
              <wp:posOffset>-514350</wp:posOffset>
            </wp:positionH>
            <wp:positionV relativeFrom="page">
              <wp:posOffset>1049020</wp:posOffset>
            </wp:positionV>
            <wp:extent cx="6343015" cy="8440420"/>
            <wp:effectExtent l="0" t="0" r="635" b="17780"/>
            <wp:wrapNone/>
            <wp:docPr id="20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8"/>
                    <pic:cNvPicPr>
                      <a:picLocks noChangeAspect="1"/>
                    </pic:cNvPicPr>
                  </pic:nvPicPr>
                  <pic:blipFill>
                    <a:blip r:embed="rId209"/>
                    <a:stretch>
                      <a:fillRect/>
                    </a:stretch>
                  </pic:blipFill>
                  <pic:spPr>
                    <a:xfrm>
                      <a:off x="0" y="0"/>
                      <a:ext cx="6343015" cy="8440420"/>
                    </a:xfrm>
                    <a:prstGeom prst="rect">
                      <a:avLst/>
                    </a:prstGeom>
                    <a:noFill/>
                    <a:ln>
                      <a:noFill/>
                    </a:ln>
                  </pic:spPr>
                </pic:pic>
              </a:graphicData>
            </a:graphic>
          </wp:anchor>
        </w:drawing>
      </w: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r>
        <w:drawing>
          <wp:anchor distT="0" distB="0" distL="114300" distR="114300" simplePos="0" relativeHeight="251671552" behindDoc="0" locked="0" layoutInCell="1" allowOverlap="1">
            <wp:simplePos x="0" y="0"/>
            <wp:positionH relativeFrom="column">
              <wp:posOffset>-504825</wp:posOffset>
            </wp:positionH>
            <wp:positionV relativeFrom="page">
              <wp:posOffset>981710</wp:posOffset>
            </wp:positionV>
            <wp:extent cx="6440170" cy="8587740"/>
            <wp:effectExtent l="0" t="0" r="17780" b="3810"/>
            <wp:wrapNone/>
            <wp:docPr id="20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9"/>
                    <pic:cNvPicPr>
                      <a:picLocks noChangeAspect="1"/>
                    </pic:cNvPicPr>
                  </pic:nvPicPr>
                  <pic:blipFill>
                    <a:blip r:embed="rId210"/>
                    <a:stretch>
                      <a:fillRect/>
                    </a:stretch>
                  </pic:blipFill>
                  <pic:spPr>
                    <a:xfrm>
                      <a:off x="0" y="0"/>
                      <a:ext cx="6440170" cy="8587740"/>
                    </a:xfrm>
                    <a:prstGeom prst="rect">
                      <a:avLst/>
                    </a:prstGeom>
                    <a:noFill/>
                    <a:ln>
                      <a:noFill/>
                    </a:ln>
                  </pic:spPr>
                </pic:pic>
              </a:graphicData>
            </a:graphic>
          </wp:anchor>
        </w:drawing>
      </w: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tabs>
          <w:tab w:val="left" w:pos="1127"/>
        </w:tabs>
        <w:bidi w:val="0"/>
        <w:jc w:val="left"/>
        <w:rPr>
          <w:rFonts w:hint="eastAsia"/>
          <w:lang w:val="en-US" w:eastAsia="zh-CN"/>
        </w:rPr>
      </w:pPr>
      <w:r>
        <w:rPr>
          <w:rFonts w:hint="eastAsia"/>
          <w:lang w:val="en-US" w:eastAsia="zh-CN"/>
        </w:rPr>
        <w:tab/>
      </w:r>
    </w:p>
    <w:p>
      <w:pPr>
        <w:pStyle w:val="2"/>
        <w:rPr>
          <w:rFonts w:hint="eastAsia"/>
          <w:lang w:val="en-US" w:eastAsia="zh-CN"/>
        </w:rPr>
      </w:pPr>
    </w:p>
    <w:p>
      <w:pPr>
        <w:rPr>
          <w:rFonts w:hint="eastAsia"/>
          <w:lang w:val="en-US" w:eastAsia="zh-CN"/>
        </w:rPr>
      </w:pPr>
    </w:p>
    <w:p>
      <w:pPr>
        <w:pStyle w:val="2"/>
        <w:rPr>
          <w:rFonts w:hint="eastAsia"/>
          <w:lang w:val="en-US" w:eastAsia="zh-CN"/>
        </w:rPr>
      </w:pPr>
    </w:p>
    <w:p>
      <w:pPr>
        <w:rPr>
          <w:lang w:val="en-US" w:eastAsia="zh-CN"/>
        </w:rPr>
      </w:pPr>
    </w:p>
    <w:p>
      <w:pPr>
        <w:pStyle w:val="2"/>
      </w:pPr>
      <w:r>
        <w:drawing>
          <wp:inline distT="0" distB="0" distL="114300" distR="114300">
            <wp:extent cx="5274945" cy="7407910"/>
            <wp:effectExtent l="0" t="0" r="1905" b="2540"/>
            <wp:docPr id="20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0"/>
                    <pic:cNvPicPr>
                      <a:picLocks noChangeAspect="1"/>
                    </pic:cNvPicPr>
                  </pic:nvPicPr>
                  <pic:blipFill>
                    <a:blip r:embed="rId211"/>
                    <a:stretch>
                      <a:fillRect/>
                    </a:stretch>
                  </pic:blipFill>
                  <pic:spPr>
                    <a:xfrm>
                      <a:off x="0" y="0"/>
                      <a:ext cx="5274945" cy="7407910"/>
                    </a:xfrm>
                    <a:prstGeom prst="rect">
                      <a:avLst/>
                    </a:prstGeom>
                    <a:noFill/>
                    <a:ln>
                      <a:noFill/>
                    </a:ln>
                  </pic:spPr>
                </pic:pic>
              </a:graphicData>
            </a:graphic>
          </wp:inline>
        </w:drawing>
      </w:r>
    </w:p>
    <w:p/>
    <w:p>
      <w:pPr>
        <w:pStyle w:val="2"/>
      </w:pPr>
    </w:p>
    <w:p/>
    <w:p>
      <w:pPr>
        <w:pStyle w:val="2"/>
      </w:pPr>
    </w:p>
    <w:p/>
    <w:p>
      <w:pPr>
        <w:pStyle w:val="2"/>
      </w:pPr>
    </w:p>
    <w:p/>
    <w:p>
      <w:pPr>
        <w:pStyle w:val="2"/>
        <w:ind w:left="0" w:leftChars="0" w:firstLine="0" w:firstLineChars="0"/>
        <w:rPr>
          <w:lang w:val="en-US" w:eastAsia="zh-CN"/>
        </w:rPr>
      </w:pPr>
      <w:r>
        <w:drawing>
          <wp:inline distT="0" distB="0" distL="114300" distR="114300">
            <wp:extent cx="5276215" cy="7388860"/>
            <wp:effectExtent l="0" t="0" r="635" b="2540"/>
            <wp:docPr id="20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1"/>
                    <pic:cNvPicPr>
                      <a:picLocks noChangeAspect="1"/>
                    </pic:cNvPicPr>
                  </pic:nvPicPr>
                  <pic:blipFill>
                    <a:blip r:embed="rId212"/>
                    <a:stretch>
                      <a:fillRect/>
                    </a:stretch>
                  </pic:blipFill>
                  <pic:spPr>
                    <a:xfrm>
                      <a:off x="0" y="0"/>
                      <a:ext cx="5276215" cy="7388860"/>
                    </a:xfrm>
                    <a:prstGeom prst="rect">
                      <a:avLst/>
                    </a:prstGeom>
                    <a:noFill/>
                    <a:ln>
                      <a:noFill/>
                    </a:ln>
                  </pic:spPr>
                </pic:pic>
              </a:graphicData>
            </a:graphic>
          </wp:inline>
        </w:drawing>
      </w: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pStyle w:val="2"/>
        <w:ind w:left="0" w:leftChars="0" w:firstLine="0" w:firstLineChars="0"/>
      </w:pPr>
      <w:r>
        <w:drawing>
          <wp:inline distT="0" distB="0" distL="114300" distR="114300">
            <wp:extent cx="5276215" cy="7378065"/>
            <wp:effectExtent l="0" t="0" r="635" b="13335"/>
            <wp:docPr id="20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2"/>
                    <pic:cNvPicPr>
                      <a:picLocks noChangeAspect="1"/>
                    </pic:cNvPicPr>
                  </pic:nvPicPr>
                  <pic:blipFill>
                    <a:blip r:embed="rId213"/>
                    <a:stretch>
                      <a:fillRect/>
                    </a:stretch>
                  </pic:blipFill>
                  <pic:spPr>
                    <a:xfrm>
                      <a:off x="0" y="0"/>
                      <a:ext cx="5276215" cy="7378065"/>
                    </a:xfrm>
                    <a:prstGeom prst="rect">
                      <a:avLst/>
                    </a:prstGeom>
                    <a:noFill/>
                    <a:ln>
                      <a:noFill/>
                    </a:ln>
                  </pic:spPr>
                </pic:pic>
              </a:graphicData>
            </a:graphic>
          </wp:inline>
        </w:drawing>
      </w:r>
    </w:p>
    <w:p/>
    <w:p>
      <w:pPr>
        <w:pStyle w:val="2"/>
      </w:pPr>
    </w:p>
    <w:p/>
    <w:p>
      <w:pPr>
        <w:pStyle w:val="2"/>
      </w:pPr>
    </w:p>
    <w:p/>
    <w:p>
      <w:pPr>
        <w:pStyle w:val="2"/>
      </w:pPr>
    </w:p>
    <w:p/>
    <w:p>
      <w:pPr>
        <w:pStyle w:val="2"/>
      </w:pPr>
    </w:p>
    <w:p>
      <w:pPr>
        <w:rPr>
          <w:lang w:val="en-US" w:eastAsia="zh-CN"/>
        </w:rPr>
      </w:pPr>
      <w:r>
        <w:drawing>
          <wp:inline distT="0" distB="0" distL="114300" distR="114300">
            <wp:extent cx="5273040" cy="7431405"/>
            <wp:effectExtent l="0" t="0" r="3810" b="17145"/>
            <wp:docPr id="20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63"/>
                    <pic:cNvPicPr>
                      <a:picLocks noChangeAspect="1"/>
                    </pic:cNvPicPr>
                  </pic:nvPicPr>
                  <pic:blipFill>
                    <a:blip r:embed="rId214"/>
                    <a:stretch>
                      <a:fillRect/>
                    </a:stretch>
                  </pic:blipFill>
                  <pic:spPr>
                    <a:xfrm>
                      <a:off x="0" y="0"/>
                      <a:ext cx="5273040" cy="7431405"/>
                    </a:xfrm>
                    <a:prstGeom prst="rect">
                      <a:avLst/>
                    </a:prstGeom>
                    <a:noFill/>
                    <a:ln>
                      <a:noFill/>
                    </a:ln>
                  </pic:spPr>
                </pic:pic>
              </a:graphicData>
            </a:graphic>
          </wp:inline>
        </w:drawing>
      </w: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ind w:left="0" w:leftChars="0" w:firstLine="0" w:firstLineChars="0"/>
      </w:pPr>
      <w:r>
        <w:drawing>
          <wp:inline distT="0" distB="0" distL="114300" distR="114300">
            <wp:extent cx="5273675" cy="7450455"/>
            <wp:effectExtent l="0" t="0" r="3175" b="17145"/>
            <wp:docPr id="20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4"/>
                    <pic:cNvPicPr>
                      <a:picLocks noChangeAspect="1"/>
                    </pic:cNvPicPr>
                  </pic:nvPicPr>
                  <pic:blipFill>
                    <a:blip r:embed="rId215"/>
                    <a:stretch>
                      <a:fillRect/>
                    </a:stretch>
                  </pic:blipFill>
                  <pic:spPr>
                    <a:xfrm>
                      <a:off x="0" y="0"/>
                      <a:ext cx="5273675" cy="7450455"/>
                    </a:xfrm>
                    <a:prstGeom prst="rect">
                      <a:avLst/>
                    </a:prstGeom>
                    <a:noFill/>
                    <a:ln>
                      <a:noFill/>
                    </a:ln>
                  </pic:spPr>
                </pic:pic>
              </a:graphicData>
            </a:graphic>
          </wp:inline>
        </w:drawing>
      </w:r>
    </w:p>
    <w:p/>
    <w:p>
      <w:pPr>
        <w:pStyle w:val="2"/>
      </w:pPr>
    </w:p>
    <w:p/>
    <w:p>
      <w:pPr>
        <w:pStyle w:val="2"/>
      </w:pPr>
    </w:p>
    <w:p/>
    <w:p>
      <w:pPr>
        <w:pStyle w:val="2"/>
      </w:pPr>
    </w:p>
    <w:p/>
    <w:p>
      <w:pPr>
        <w:pStyle w:val="2"/>
      </w:pPr>
    </w:p>
    <w:p/>
    <w:p>
      <w:pPr>
        <w:pStyle w:val="2"/>
      </w:pPr>
    </w:p>
    <w:p>
      <w:r>
        <w:drawing>
          <wp:inline distT="0" distB="0" distL="114300" distR="114300">
            <wp:extent cx="5273675" cy="7298055"/>
            <wp:effectExtent l="0" t="0" r="3175" b="17145"/>
            <wp:docPr id="20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5"/>
                    <pic:cNvPicPr>
                      <a:picLocks noChangeAspect="1"/>
                    </pic:cNvPicPr>
                  </pic:nvPicPr>
                  <pic:blipFill>
                    <a:blip r:embed="rId216"/>
                    <a:stretch>
                      <a:fillRect/>
                    </a:stretch>
                  </pic:blipFill>
                  <pic:spPr>
                    <a:xfrm>
                      <a:off x="0" y="0"/>
                      <a:ext cx="5273675" cy="729805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r>
        <w:drawing>
          <wp:inline distT="0" distB="0" distL="114300" distR="114300">
            <wp:extent cx="5273040" cy="6950710"/>
            <wp:effectExtent l="0" t="0" r="3810" b="2540"/>
            <wp:docPr id="20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66"/>
                    <pic:cNvPicPr>
                      <a:picLocks noChangeAspect="1"/>
                    </pic:cNvPicPr>
                  </pic:nvPicPr>
                  <pic:blipFill>
                    <a:blip r:embed="rId217"/>
                    <a:stretch>
                      <a:fillRect/>
                    </a:stretch>
                  </pic:blipFill>
                  <pic:spPr>
                    <a:xfrm>
                      <a:off x="0" y="0"/>
                      <a:ext cx="5273040" cy="695071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p>
      <w:pPr>
        <w:pStyle w:val="2"/>
      </w:pPr>
    </w:p>
    <w:p/>
    <w:p>
      <w:r>
        <w:drawing>
          <wp:inline distT="0" distB="0" distL="114300" distR="114300">
            <wp:extent cx="5273040" cy="7440295"/>
            <wp:effectExtent l="0" t="0" r="3810" b="8255"/>
            <wp:docPr id="210"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7"/>
                    <pic:cNvPicPr>
                      <a:picLocks noChangeAspect="1"/>
                    </pic:cNvPicPr>
                  </pic:nvPicPr>
                  <pic:blipFill>
                    <a:blip r:embed="rId218"/>
                    <a:stretch>
                      <a:fillRect/>
                    </a:stretch>
                  </pic:blipFill>
                  <pic:spPr>
                    <a:xfrm>
                      <a:off x="0" y="0"/>
                      <a:ext cx="5273040" cy="744029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4945" cy="7514590"/>
            <wp:effectExtent l="0" t="0" r="1905" b="10160"/>
            <wp:docPr id="21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8"/>
                    <pic:cNvPicPr>
                      <a:picLocks noChangeAspect="1"/>
                    </pic:cNvPicPr>
                  </pic:nvPicPr>
                  <pic:blipFill>
                    <a:blip r:embed="rId219"/>
                    <a:stretch>
                      <a:fillRect/>
                    </a:stretch>
                  </pic:blipFill>
                  <pic:spPr>
                    <a:xfrm>
                      <a:off x="0" y="0"/>
                      <a:ext cx="5274945" cy="7514590"/>
                    </a:xfrm>
                    <a:prstGeom prst="rect">
                      <a:avLst/>
                    </a:prstGeom>
                    <a:noFill/>
                    <a:ln>
                      <a:noFill/>
                    </a:ln>
                  </pic:spPr>
                </pic:pic>
              </a:graphicData>
            </a:graphic>
          </wp:inline>
        </w:drawing>
      </w:r>
    </w:p>
    <w:p/>
    <w:p>
      <w:pPr>
        <w:pStyle w:val="2"/>
      </w:pPr>
    </w:p>
    <w:p/>
    <w:p>
      <w:pPr>
        <w:pStyle w:val="2"/>
      </w:pPr>
    </w:p>
    <w:p/>
    <w:p>
      <w:pPr>
        <w:pStyle w:val="2"/>
      </w:pPr>
    </w:p>
    <w:p/>
    <w:p>
      <w:pPr>
        <w:pStyle w:val="2"/>
        <w:ind w:left="0" w:leftChars="0" w:firstLine="0" w:firstLineChars="0"/>
      </w:pPr>
      <w:r>
        <w:drawing>
          <wp:inline distT="0" distB="0" distL="114300" distR="114300">
            <wp:extent cx="5278120" cy="7534910"/>
            <wp:effectExtent l="0" t="0" r="17780" b="8890"/>
            <wp:docPr id="212"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69"/>
                    <pic:cNvPicPr>
                      <a:picLocks noChangeAspect="1"/>
                    </pic:cNvPicPr>
                  </pic:nvPicPr>
                  <pic:blipFill>
                    <a:blip r:embed="rId220"/>
                    <a:stretch>
                      <a:fillRect/>
                    </a:stretch>
                  </pic:blipFill>
                  <pic:spPr>
                    <a:xfrm>
                      <a:off x="0" y="0"/>
                      <a:ext cx="5278120" cy="7534910"/>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8120" cy="7447280"/>
            <wp:effectExtent l="0" t="0" r="17780" b="1270"/>
            <wp:docPr id="21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0"/>
                    <pic:cNvPicPr>
                      <a:picLocks noChangeAspect="1"/>
                    </pic:cNvPicPr>
                  </pic:nvPicPr>
                  <pic:blipFill>
                    <a:blip r:embed="rId221"/>
                    <a:stretch>
                      <a:fillRect/>
                    </a:stretch>
                  </pic:blipFill>
                  <pic:spPr>
                    <a:xfrm>
                      <a:off x="0" y="0"/>
                      <a:ext cx="5278120" cy="744728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r>
        <w:drawing>
          <wp:inline distT="0" distB="0" distL="114300" distR="114300">
            <wp:extent cx="5277485" cy="7453630"/>
            <wp:effectExtent l="0" t="0" r="18415" b="13970"/>
            <wp:docPr id="21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71"/>
                    <pic:cNvPicPr>
                      <a:picLocks noChangeAspect="1"/>
                    </pic:cNvPicPr>
                  </pic:nvPicPr>
                  <pic:blipFill>
                    <a:blip r:embed="rId222"/>
                    <a:stretch>
                      <a:fillRect/>
                    </a:stretch>
                  </pic:blipFill>
                  <pic:spPr>
                    <a:xfrm>
                      <a:off x="0" y="0"/>
                      <a:ext cx="5277485" cy="745363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r>
        <w:drawing>
          <wp:inline distT="0" distB="0" distL="114300" distR="114300">
            <wp:extent cx="5276215" cy="7586345"/>
            <wp:effectExtent l="0" t="0" r="635" b="14605"/>
            <wp:docPr id="215"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72"/>
                    <pic:cNvPicPr>
                      <a:picLocks noChangeAspect="1"/>
                    </pic:cNvPicPr>
                  </pic:nvPicPr>
                  <pic:blipFill>
                    <a:blip r:embed="rId223"/>
                    <a:stretch>
                      <a:fillRect/>
                    </a:stretch>
                  </pic:blipFill>
                  <pic:spPr>
                    <a:xfrm>
                      <a:off x="0" y="0"/>
                      <a:ext cx="5276215" cy="758634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r>
        <w:drawing>
          <wp:anchor distT="0" distB="0" distL="114300" distR="114300" simplePos="0" relativeHeight="251672576" behindDoc="0" locked="0" layoutInCell="1" allowOverlap="1">
            <wp:simplePos x="0" y="0"/>
            <wp:positionH relativeFrom="column">
              <wp:posOffset>-9525</wp:posOffset>
            </wp:positionH>
            <wp:positionV relativeFrom="page">
              <wp:posOffset>990600</wp:posOffset>
            </wp:positionV>
            <wp:extent cx="5276215" cy="7543800"/>
            <wp:effectExtent l="0" t="0" r="635" b="0"/>
            <wp:wrapNone/>
            <wp:docPr id="21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73"/>
                    <pic:cNvPicPr>
                      <a:picLocks noChangeAspect="1"/>
                    </pic:cNvPicPr>
                  </pic:nvPicPr>
                  <pic:blipFill>
                    <a:blip r:embed="rId224"/>
                    <a:stretch>
                      <a:fillRect/>
                    </a:stretch>
                  </pic:blipFill>
                  <pic:spPr>
                    <a:xfrm>
                      <a:off x="0" y="0"/>
                      <a:ext cx="5276215" cy="7543800"/>
                    </a:xfrm>
                    <a:prstGeom prst="rect">
                      <a:avLst/>
                    </a:prstGeom>
                    <a:noFill/>
                    <a:ln>
                      <a:noFill/>
                    </a:ln>
                  </pic:spPr>
                </pic:pic>
              </a:graphicData>
            </a:graphic>
          </wp:anchor>
        </w:drawing>
      </w:r>
    </w:p>
    <w:p>
      <w:pPr>
        <w:pStyle w:val="2"/>
      </w:pPr>
    </w:p>
    <w:p/>
    <w:p>
      <w:pPr>
        <w:pStyle w:val="2"/>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ind w:left="0" w:leftChars="0" w:firstLine="0" w:firstLineChars="0"/>
      </w:pPr>
      <w:r>
        <w:drawing>
          <wp:inline distT="0" distB="0" distL="114300" distR="114300">
            <wp:extent cx="5276215" cy="7482205"/>
            <wp:effectExtent l="0" t="0" r="635" b="4445"/>
            <wp:docPr id="21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4"/>
                    <pic:cNvPicPr>
                      <a:picLocks noChangeAspect="1"/>
                    </pic:cNvPicPr>
                  </pic:nvPicPr>
                  <pic:blipFill>
                    <a:blip r:embed="rId225"/>
                    <a:stretch>
                      <a:fillRect/>
                    </a:stretch>
                  </pic:blipFill>
                  <pic:spPr>
                    <a:xfrm>
                      <a:off x="0" y="0"/>
                      <a:ext cx="5276215" cy="7482205"/>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5580" cy="7347585"/>
            <wp:effectExtent l="0" t="0" r="1270" b="5715"/>
            <wp:docPr id="218"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5"/>
                    <pic:cNvPicPr>
                      <a:picLocks noChangeAspect="1"/>
                    </pic:cNvPicPr>
                  </pic:nvPicPr>
                  <pic:blipFill>
                    <a:blip r:embed="rId226"/>
                    <a:stretch>
                      <a:fillRect/>
                    </a:stretch>
                  </pic:blipFill>
                  <pic:spPr>
                    <a:xfrm>
                      <a:off x="0" y="0"/>
                      <a:ext cx="5275580" cy="734758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r>
        <w:drawing>
          <wp:inline distT="0" distB="0" distL="114300" distR="114300">
            <wp:extent cx="5278120" cy="7632700"/>
            <wp:effectExtent l="0" t="0" r="17780" b="6350"/>
            <wp:docPr id="21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6"/>
                    <pic:cNvPicPr>
                      <a:picLocks noChangeAspect="1"/>
                    </pic:cNvPicPr>
                  </pic:nvPicPr>
                  <pic:blipFill>
                    <a:blip r:embed="rId227"/>
                    <a:stretch>
                      <a:fillRect/>
                    </a:stretch>
                  </pic:blipFill>
                  <pic:spPr>
                    <a:xfrm>
                      <a:off x="0" y="0"/>
                      <a:ext cx="5278120" cy="7632700"/>
                    </a:xfrm>
                    <a:prstGeom prst="rect">
                      <a:avLst/>
                    </a:prstGeom>
                    <a:noFill/>
                    <a:ln>
                      <a:noFill/>
                    </a:ln>
                  </pic:spPr>
                </pic:pic>
              </a:graphicData>
            </a:graphic>
          </wp:inline>
        </w:drawing>
      </w:r>
    </w:p>
    <w:p>
      <w:pPr>
        <w:pStyle w:val="2"/>
      </w:pPr>
    </w:p>
    <w:p/>
    <w:p>
      <w:pPr>
        <w:pStyle w:val="2"/>
      </w:pPr>
    </w:p>
    <w:p/>
    <w:p>
      <w:pPr>
        <w:pStyle w:val="2"/>
      </w:pPr>
    </w:p>
    <w:p/>
    <w:p>
      <w:pPr>
        <w:pStyle w:val="2"/>
      </w:pPr>
    </w:p>
    <w:p>
      <w:r>
        <w:drawing>
          <wp:inline distT="0" distB="0" distL="114300" distR="114300">
            <wp:extent cx="5274945" cy="7543165"/>
            <wp:effectExtent l="0" t="0" r="1905" b="635"/>
            <wp:docPr id="220"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7"/>
                    <pic:cNvPicPr>
                      <a:picLocks noChangeAspect="1"/>
                    </pic:cNvPicPr>
                  </pic:nvPicPr>
                  <pic:blipFill>
                    <a:blip r:embed="rId228"/>
                    <a:stretch>
                      <a:fillRect/>
                    </a:stretch>
                  </pic:blipFill>
                  <pic:spPr>
                    <a:xfrm>
                      <a:off x="0" y="0"/>
                      <a:ext cx="5274945" cy="754316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3040" cy="7576185"/>
            <wp:effectExtent l="0" t="0" r="3810" b="5715"/>
            <wp:docPr id="22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8"/>
                    <pic:cNvPicPr>
                      <a:picLocks noChangeAspect="1"/>
                    </pic:cNvPicPr>
                  </pic:nvPicPr>
                  <pic:blipFill>
                    <a:blip r:embed="rId229"/>
                    <a:stretch>
                      <a:fillRect/>
                    </a:stretch>
                  </pic:blipFill>
                  <pic:spPr>
                    <a:xfrm>
                      <a:off x="0" y="0"/>
                      <a:ext cx="5273040" cy="7576185"/>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6215" cy="7622540"/>
            <wp:effectExtent l="0" t="0" r="635" b="16510"/>
            <wp:docPr id="222"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9"/>
                    <pic:cNvPicPr>
                      <a:picLocks noChangeAspect="1"/>
                    </pic:cNvPicPr>
                  </pic:nvPicPr>
                  <pic:blipFill>
                    <a:blip r:embed="rId230"/>
                    <a:stretch>
                      <a:fillRect/>
                    </a:stretch>
                  </pic:blipFill>
                  <pic:spPr>
                    <a:xfrm>
                      <a:off x="0" y="0"/>
                      <a:ext cx="5276215" cy="762254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6850" cy="7423785"/>
            <wp:effectExtent l="0" t="0" r="0" b="5715"/>
            <wp:docPr id="223"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80"/>
                    <pic:cNvPicPr>
                      <a:picLocks noChangeAspect="1"/>
                    </pic:cNvPicPr>
                  </pic:nvPicPr>
                  <pic:blipFill>
                    <a:blip r:embed="rId231"/>
                    <a:stretch>
                      <a:fillRect/>
                    </a:stretch>
                  </pic:blipFill>
                  <pic:spPr>
                    <a:xfrm>
                      <a:off x="0" y="0"/>
                      <a:ext cx="5276850" cy="7423785"/>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4945" cy="7515860"/>
            <wp:effectExtent l="0" t="0" r="1905" b="8890"/>
            <wp:docPr id="224"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81"/>
                    <pic:cNvPicPr>
                      <a:picLocks noChangeAspect="1"/>
                    </pic:cNvPicPr>
                  </pic:nvPicPr>
                  <pic:blipFill>
                    <a:blip r:embed="rId232"/>
                    <a:stretch>
                      <a:fillRect/>
                    </a:stretch>
                  </pic:blipFill>
                  <pic:spPr>
                    <a:xfrm>
                      <a:off x="0" y="0"/>
                      <a:ext cx="5274945" cy="751586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7485" cy="7417435"/>
            <wp:effectExtent l="0" t="0" r="18415" b="12065"/>
            <wp:docPr id="225"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2"/>
                    <pic:cNvPicPr>
                      <a:picLocks noChangeAspect="1"/>
                    </pic:cNvPicPr>
                  </pic:nvPicPr>
                  <pic:blipFill>
                    <a:blip r:embed="rId233"/>
                    <a:stretch>
                      <a:fillRect/>
                    </a:stretch>
                  </pic:blipFill>
                  <pic:spPr>
                    <a:xfrm>
                      <a:off x="0" y="0"/>
                      <a:ext cx="5277485" cy="7417435"/>
                    </a:xfrm>
                    <a:prstGeom prst="rect">
                      <a:avLst/>
                    </a:prstGeom>
                    <a:noFill/>
                    <a:ln>
                      <a:noFill/>
                    </a:ln>
                  </pic:spPr>
                </pic:pic>
              </a:graphicData>
            </a:graphic>
          </wp:inline>
        </w:drawing>
      </w:r>
    </w:p>
    <w:p/>
    <w:p>
      <w:pPr>
        <w:pStyle w:val="2"/>
      </w:pPr>
    </w:p>
    <w:p/>
    <w:p>
      <w:pPr>
        <w:pStyle w:val="2"/>
      </w:pPr>
    </w:p>
    <w:p/>
    <w:p>
      <w:pPr>
        <w:pStyle w:val="2"/>
      </w:pPr>
    </w:p>
    <w:p/>
    <w:p>
      <w:pPr>
        <w:pStyle w:val="2"/>
      </w:pPr>
    </w:p>
    <w:p/>
    <w:p>
      <w:r>
        <w:drawing>
          <wp:inline distT="0" distB="0" distL="114300" distR="114300">
            <wp:extent cx="5273675" cy="7525385"/>
            <wp:effectExtent l="0" t="0" r="3175" b="18415"/>
            <wp:docPr id="22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83"/>
                    <pic:cNvPicPr>
                      <a:picLocks noChangeAspect="1"/>
                    </pic:cNvPicPr>
                  </pic:nvPicPr>
                  <pic:blipFill>
                    <a:blip r:embed="rId234"/>
                    <a:stretch>
                      <a:fillRect/>
                    </a:stretch>
                  </pic:blipFill>
                  <pic:spPr>
                    <a:xfrm>
                      <a:off x="0" y="0"/>
                      <a:ext cx="5273675" cy="752538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4310" cy="7582535"/>
            <wp:effectExtent l="0" t="0" r="2540" b="18415"/>
            <wp:docPr id="22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4"/>
                    <pic:cNvPicPr>
                      <a:picLocks noChangeAspect="1"/>
                    </pic:cNvPicPr>
                  </pic:nvPicPr>
                  <pic:blipFill>
                    <a:blip r:embed="rId235"/>
                    <a:stretch>
                      <a:fillRect/>
                    </a:stretch>
                  </pic:blipFill>
                  <pic:spPr>
                    <a:xfrm>
                      <a:off x="0" y="0"/>
                      <a:ext cx="5274310" cy="7582535"/>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4945" cy="7308850"/>
            <wp:effectExtent l="0" t="0" r="1905" b="6350"/>
            <wp:docPr id="22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85"/>
                    <pic:cNvPicPr>
                      <a:picLocks noChangeAspect="1"/>
                    </pic:cNvPicPr>
                  </pic:nvPicPr>
                  <pic:blipFill>
                    <a:blip r:embed="rId236"/>
                    <a:stretch>
                      <a:fillRect/>
                    </a:stretch>
                  </pic:blipFill>
                  <pic:spPr>
                    <a:xfrm>
                      <a:off x="0" y="0"/>
                      <a:ext cx="5274945" cy="730885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4310" cy="7188200"/>
            <wp:effectExtent l="0" t="0" r="2540" b="12700"/>
            <wp:docPr id="22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86"/>
                    <pic:cNvPicPr>
                      <a:picLocks noChangeAspect="1"/>
                    </pic:cNvPicPr>
                  </pic:nvPicPr>
                  <pic:blipFill>
                    <a:blip r:embed="rId237"/>
                    <a:stretch>
                      <a:fillRect/>
                    </a:stretch>
                  </pic:blipFill>
                  <pic:spPr>
                    <a:xfrm>
                      <a:off x="0" y="0"/>
                      <a:ext cx="5274310" cy="7188200"/>
                    </a:xfrm>
                    <a:prstGeom prst="rect">
                      <a:avLst/>
                    </a:prstGeom>
                    <a:noFill/>
                    <a:ln>
                      <a:noFill/>
                    </a:ln>
                  </pic:spPr>
                </pic:pic>
              </a:graphicData>
            </a:graphic>
          </wp:inline>
        </w:drawing>
      </w:r>
      <w:r>
        <w:drawing>
          <wp:inline distT="0" distB="0" distL="114300" distR="114300">
            <wp:extent cx="5273675" cy="7332980"/>
            <wp:effectExtent l="0" t="0" r="3175" b="1270"/>
            <wp:docPr id="23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8"/>
                    <pic:cNvPicPr>
                      <a:picLocks noChangeAspect="1"/>
                    </pic:cNvPicPr>
                  </pic:nvPicPr>
                  <pic:blipFill>
                    <a:blip r:embed="rId238"/>
                    <a:stretch>
                      <a:fillRect/>
                    </a:stretch>
                  </pic:blipFill>
                  <pic:spPr>
                    <a:xfrm>
                      <a:off x="0" y="0"/>
                      <a:ext cx="5273675" cy="7332980"/>
                    </a:xfrm>
                    <a:prstGeom prst="rect">
                      <a:avLst/>
                    </a:prstGeom>
                    <a:noFill/>
                    <a:ln>
                      <a:noFill/>
                    </a:ln>
                  </pic:spPr>
                </pic:pic>
              </a:graphicData>
            </a:graphic>
          </wp:inline>
        </w:drawing>
      </w:r>
      <w:r>
        <w:drawing>
          <wp:inline distT="0" distB="0" distL="114300" distR="114300">
            <wp:extent cx="5275580" cy="7348220"/>
            <wp:effectExtent l="0" t="0" r="1270" b="5080"/>
            <wp:docPr id="23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89"/>
                    <pic:cNvPicPr>
                      <a:picLocks noChangeAspect="1"/>
                    </pic:cNvPicPr>
                  </pic:nvPicPr>
                  <pic:blipFill>
                    <a:blip r:embed="rId239"/>
                    <a:stretch>
                      <a:fillRect/>
                    </a:stretch>
                  </pic:blipFill>
                  <pic:spPr>
                    <a:xfrm>
                      <a:off x="0" y="0"/>
                      <a:ext cx="5275580" cy="7348220"/>
                    </a:xfrm>
                    <a:prstGeom prst="rect">
                      <a:avLst/>
                    </a:prstGeom>
                    <a:noFill/>
                    <a:ln>
                      <a:noFill/>
                    </a:ln>
                  </pic:spPr>
                </pic:pic>
              </a:graphicData>
            </a:graphic>
          </wp:inline>
        </w:drawing>
      </w:r>
      <w:r>
        <w:drawing>
          <wp:inline distT="0" distB="0" distL="114300" distR="114300">
            <wp:extent cx="5273040" cy="7412355"/>
            <wp:effectExtent l="0" t="0" r="3810" b="17145"/>
            <wp:docPr id="23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7"/>
                    <pic:cNvPicPr>
                      <a:picLocks noChangeAspect="1"/>
                    </pic:cNvPicPr>
                  </pic:nvPicPr>
                  <pic:blipFill>
                    <a:blip r:embed="rId240"/>
                    <a:stretch>
                      <a:fillRect/>
                    </a:stretch>
                  </pic:blipFill>
                  <pic:spPr>
                    <a:xfrm>
                      <a:off x="0" y="0"/>
                      <a:ext cx="5273040" cy="7412355"/>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r>
        <w:drawing>
          <wp:inline distT="0" distB="0" distL="114300" distR="114300">
            <wp:extent cx="5273040" cy="7430135"/>
            <wp:effectExtent l="0" t="0" r="3810" b="18415"/>
            <wp:docPr id="23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91"/>
                    <pic:cNvPicPr>
                      <a:picLocks noChangeAspect="1"/>
                    </pic:cNvPicPr>
                  </pic:nvPicPr>
                  <pic:blipFill>
                    <a:blip r:embed="rId241"/>
                    <a:stretch>
                      <a:fillRect/>
                    </a:stretch>
                  </pic:blipFill>
                  <pic:spPr>
                    <a:xfrm>
                      <a:off x="0" y="0"/>
                      <a:ext cx="5273040" cy="7430135"/>
                    </a:xfrm>
                    <a:prstGeom prst="rect">
                      <a:avLst/>
                    </a:prstGeom>
                    <a:noFill/>
                    <a:ln>
                      <a:noFill/>
                    </a:ln>
                  </pic:spPr>
                </pic:pic>
              </a:graphicData>
            </a:graphic>
          </wp:inline>
        </w:drawing>
      </w:r>
    </w:p>
    <w:p/>
    <w:p>
      <w:pPr>
        <w:pStyle w:val="2"/>
      </w:pPr>
    </w:p>
    <w:p/>
    <w:p>
      <w:pPr>
        <w:pStyle w:val="2"/>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r>
        <w:drawing>
          <wp:anchor distT="0" distB="0" distL="114300" distR="114300" simplePos="0" relativeHeight="251673600" behindDoc="0" locked="0" layoutInCell="1" allowOverlap="1">
            <wp:simplePos x="0" y="0"/>
            <wp:positionH relativeFrom="column">
              <wp:posOffset>-189230</wp:posOffset>
            </wp:positionH>
            <wp:positionV relativeFrom="page">
              <wp:posOffset>1070610</wp:posOffset>
            </wp:positionV>
            <wp:extent cx="5864860" cy="8169275"/>
            <wp:effectExtent l="0" t="0" r="2540" b="3175"/>
            <wp:wrapNone/>
            <wp:docPr id="23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90"/>
                    <pic:cNvPicPr>
                      <a:picLocks noChangeAspect="1"/>
                    </pic:cNvPicPr>
                  </pic:nvPicPr>
                  <pic:blipFill>
                    <a:blip r:embed="rId239"/>
                    <a:stretch>
                      <a:fillRect/>
                    </a:stretch>
                  </pic:blipFill>
                  <pic:spPr>
                    <a:xfrm>
                      <a:off x="0" y="0"/>
                      <a:ext cx="5864860" cy="8169275"/>
                    </a:xfrm>
                    <a:prstGeom prst="rect">
                      <a:avLst/>
                    </a:prstGeom>
                    <a:noFill/>
                    <a:ln>
                      <a:noFill/>
                    </a:ln>
                  </pic:spPr>
                </pic:pic>
              </a:graphicData>
            </a:graphic>
          </wp:anchor>
        </w:drawing>
      </w: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r>
        <w:drawing>
          <wp:anchor distT="0" distB="0" distL="114300" distR="114300" simplePos="0" relativeHeight="251674624" behindDoc="0" locked="0" layoutInCell="1" allowOverlap="1">
            <wp:simplePos x="0" y="0"/>
            <wp:positionH relativeFrom="column">
              <wp:posOffset>-209550</wp:posOffset>
            </wp:positionH>
            <wp:positionV relativeFrom="page">
              <wp:posOffset>1019175</wp:posOffset>
            </wp:positionV>
            <wp:extent cx="5781040" cy="7964805"/>
            <wp:effectExtent l="0" t="0" r="10160" b="17145"/>
            <wp:wrapNone/>
            <wp:docPr id="23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92"/>
                    <pic:cNvPicPr>
                      <a:picLocks noChangeAspect="1"/>
                    </pic:cNvPicPr>
                  </pic:nvPicPr>
                  <pic:blipFill>
                    <a:blip r:embed="rId242"/>
                    <a:stretch>
                      <a:fillRect/>
                    </a:stretch>
                  </pic:blipFill>
                  <pic:spPr>
                    <a:xfrm>
                      <a:off x="0" y="0"/>
                      <a:ext cx="5781040" cy="7964805"/>
                    </a:xfrm>
                    <a:prstGeom prst="rect">
                      <a:avLst/>
                    </a:prstGeom>
                    <a:noFill/>
                    <a:ln>
                      <a:noFill/>
                    </a:ln>
                  </pic:spPr>
                </pic:pic>
              </a:graphicData>
            </a:graphic>
          </wp:anchor>
        </w:drawing>
      </w: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ind w:left="0" w:leftChars="0" w:firstLine="0" w:firstLineChars="0"/>
      </w:pPr>
      <w:r>
        <w:drawing>
          <wp:inline distT="0" distB="0" distL="114300" distR="114300">
            <wp:extent cx="5278120" cy="7246620"/>
            <wp:effectExtent l="0" t="0" r="17780" b="11430"/>
            <wp:docPr id="23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93"/>
                    <pic:cNvPicPr>
                      <a:picLocks noChangeAspect="1"/>
                    </pic:cNvPicPr>
                  </pic:nvPicPr>
                  <pic:blipFill>
                    <a:blip r:embed="rId243"/>
                    <a:stretch>
                      <a:fillRect/>
                    </a:stretch>
                  </pic:blipFill>
                  <pic:spPr>
                    <a:xfrm>
                      <a:off x="0" y="0"/>
                      <a:ext cx="5278120" cy="7246620"/>
                    </a:xfrm>
                    <a:prstGeom prst="rect">
                      <a:avLst/>
                    </a:prstGeom>
                    <a:noFill/>
                    <a:ln>
                      <a:noFill/>
                    </a:ln>
                  </pic:spPr>
                </pic:pic>
              </a:graphicData>
            </a:graphic>
          </wp:inline>
        </w:drawing>
      </w:r>
    </w:p>
    <w:p/>
    <w:p>
      <w:pPr>
        <w:pStyle w:val="2"/>
      </w:pPr>
    </w:p>
    <w:p/>
    <w:p>
      <w:pPr>
        <w:pStyle w:val="2"/>
      </w:pPr>
    </w:p>
    <w:p/>
    <w:p>
      <w:pPr>
        <w:pStyle w:val="2"/>
      </w:pPr>
    </w:p>
    <w:p/>
    <w:p>
      <w:pPr>
        <w:pStyle w:val="2"/>
      </w:pPr>
    </w:p>
    <w:p/>
    <w:p>
      <w:pPr>
        <w:pStyle w:val="2"/>
      </w:pPr>
    </w:p>
    <w:p/>
    <w:p>
      <w:pPr>
        <w:pStyle w:val="2"/>
        <w:ind w:left="0" w:leftChars="0" w:firstLine="0" w:firstLineChars="0"/>
      </w:pPr>
      <w:r>
        <w:drawing>
          <wp:inline distT="0" distB="0" distL="114300" distR="114300">
            <wp:extent cx="5273675" cy="7443470"/>
            <wp:effectExtent l="0" t="0" r="3175" b="5080"/>
            <wp:docPr id="23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94"/>
                    <pic:cNvPicPr>
                      <a:picLocks noChangeAspect="1"/>
                    </pic:cNvPicPr>
                  </pic:nvPicPr>
                  <pic:blipFill>
                    <a:blip r:embed="rId244"/>
                    <a:stretch>
                      <a:fillRect/>
                    </a:stretch>
                  </pic:blipFill>
                  <pic:spPr>
                    <a:xfrm>
                      <a:off x="0" y="0"/>
                      <a:ext cx="5273675" cy="7443470"/>
                    </a:xfrm>
                    <a:prstGeom prst="rect">
                      <a:avLst/>
                    </a:prstGeom>
                    <a:noFill/>
                    <a:ln>
                      <a:noFill/>
                    </a:ln>
                  </pic:spPr>
                </pic:pic>
              </a:graphicData>
            </a:graphic>
          </wp:inline>
        </w:drawing>
      </w:r>
    </w:p>
    <w:p/>
    <w:p>
      <w:pPr>
        <w:pStyle w:val="2"/>
      </w:pPr>
    </w:p>
    <w:p/>
    <w:p>
      <w:pPr>
        <w:pStyle w:val="2"/>
      </w:pPr>
    </w:p>
    <w:p/>
    <w:p>
      <w:pPr>
        <w:pStyle w:val="2"/>
      </w:pPr>
    </w:p>
    <w:p/>
    <w:p>
      <w:pPr>
        <w:pStyle w:val="2"/>
      </w:pPr>
    </w:p>
    <w:p>
      <w:r>
        <w:drawing>
          <wp:inline distT="0" distB="0" distL="114300" distR="114300">
            <wp:extent cx="5278120" cy="6977380"/>
            <wp:effectExtent l="0" t="0" r="17780" b="13970"/>
            <wp:docPr id="23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95"/>
                    <pic:cNvPicPr>
                      <a:picLocks noChangeAspect="1"/>
                    </pic:cNvPicPr>
                  </pic:nvPicPr>
                  <pic:blipFill>
                    <a:blip r:embed="rId245"/>
                    <a:stretch>
                      <a:fillRect/>
                    </a:stretch>
                  </pic:blipFill>
                  <pic:spPr>
                    <a:xfrm>
                      <a:off x="0" y="0"/>
                      <a:ext cx="5278120" cy="6977380"/>
                    </a:xfrm>
                    <a:prstGeom prst="rect">
                      <a:avLst/>
                    </a:prstGeom>
                    <a:noFill/>
                    <a:ln>
                      <a:noFill/>
                    </a:ln>
                  </pic:spPr>
                </pic:pic>
              </a:graphicData>
            </a:graphic>
          </wp:inline>
        </w:drawing>
      </w:r>
    </w:p>
    <w:p>
      <w:pPr>
        <w:pStyle w:val="2"/>
      </w:pPr>
    </w:p>
    <w:p/>
    <w:p>
      <w:pPr>
        <w:pStyle w:val="2"/>
      </w:pPr>
    </w:p>
    <w:p/>
    <w:p>
      <w:pPr>
        <w:pStyle w:val="2"/>
      </w:pPr>
    </w:p>
    <w:p/>
    <w:p>
      <w:pPr>
        <w:pStyle w:val="2"/>
      </w:pPr>
    </w:p>
    <w:p/>
    <w:p>
      <w:pPr>
        <w:pStyle w:val="2"/>
      </w:pPr>
    </w:p>
    <w:p/>
    <w:p>
      <w:pPr>
        <w:pStyle w:val="2"/>
      </w:pPr>
    </w:p>
    <w:p/>
    <w:p>
      <w:pPr>
        <w:pStyle w:val="2"/>
        <w:rPr>
          <w:lang w:val="en-US" w:eastAsia="zh-CN"/>
        </w:rPr>
      </w:pPr>
      <w:r>
        <w:drawing>
          <wp:anchor distT="0" distB="0" distL="114300" distR="114300" simplePos="0" relativeHeight="251675648" behindDoc="0" locked="0" layoutInCell="1" allowOverlap="1">
            <wp:simplePos x="0" y="0"/>
            <wp:positionH relativeFrom="column">
              <wp:posOffset>-609600</wp:posOffset>
            </wp:positionH>
            <wp:positionV relativeFrom="paragraph">
              <wp:posOffset>1270</wp:posOffset>
            </wp:positionV>
            <wp:extent cx="5581650" cy="7715250"/>
            <wp:effectExtent l="0" t="0" r="0" b="0"/>
            <wp:wrapNone/>
            <wp:docPr id="239"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96"/>
                    <pic:cNvPicPr>
                      <a:picLocks noChangeAspect="1"/>
                    </pic:cNvPicPr>
                  </pic:nvPicPr>
                  <pic:blipFill>
                    <a:blip r:embed="rId246"/>
                    <a:stretch>
                      <a:fillRect/>
                    </a:stretch>
                  </pic:blipFill>
                  <pic:spPr>
                    <a:xfrm>
                      <a:off x="0" y="0"/>
                      <a:ext cx="5581650" cy="7715250"/>
                    </a:xfrm>
                    <a:prstGeom prst="rect">
                      <a:avLst/>
                    </a:prstGeom>
                    <a:noFill/>
                    <a:ln>
                      <a:noFill/>
                    </a:ln>
                  </pic:spPr>
                </pic:pic>
              </a:graphicData>
            </a:graphic>
          </wp:anchor>
        </w:drawing>
      </w:r>
    </w:p>
    <w:p>
      <w:pPr>
        <w:pStyle w:val="2"/>
        <w:rPr>
          <w:lang w:val="en-US" w:eastAsia="zh-CN"/>
        </w:rPr>
      </w:pPr>
    </w:p>
    <w:p>
      <w:pPr>
        <w:pStyle w:val="2"/>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rPr>
          <w:lang w:val="en-US" w:eastAsia="zh-CN"/>
        </w:rPr>
      </w:pPr>
    </w:p>
    <w:p>
      <w:pPr>
        <w:bidi w:val="0"/>
        <w:ind w:firstLine="572" w:firstLineChars="0"/>
        <w:jc w:val="left"/>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rPr>
          <w:lang w:val="en-US" w:eastAsia="zh-CN"/>
        </w:rPr>
      </w:pPr>
    </w:p>
    <w:p>
      <w:pPr>
        <w:rPr>
          <w:lang w:val="en-US" w:eastAsia="zh-CN"/>
        </w:rPr>
      </w:pPr>
    </w:p>
    <w:p>
      <w:pPr>
        <w:pStyle w:val="2"/>
        <w:ind w:left="0" w:leftChars="0" w:firstLine="0" w:firstLineChars="0"/>
      </w:pPr>
      <w:r>
        <w:drawing>
          <wp:inline distT="0" distB="0" distL="114300" distR="114300">
            <wp:extent cx="5278120" cy="7081520"/>
            <wp:effectExtent l="0" t="0" r="17780" b="5080"/>
            <wp:docPr id="24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97"/>
                    <pic:cNvPicPr>
                      <a:picLocks noChangeAspect="1"/>
                    </pic:cNvPicPr>
                  </pic:nvPicPr>
                  <pic:blipFill>
                    <a:blip r:embed="rId247"/>
                    <a:stretch>
                      <a:fillRect/>
                    </a:stretch>
                  </pic:blipFill>
                  <pic:spPr>
                    <a:xfrm>
                      <a:off x="0" y="0"/>
                      <a:ext cx="5278120" cy="7081520"/>
                    </a:xfrm>
                    <a:prstGeom prst="rect">
                      <a:avLst/>
                    </a:prstGeom>
                    <a:noFill/>
                    <a:ln>
                      <a:noFill/>
                    </a:ln>
                  </pic:spPr>
                </pic:pic>
              </a:graphicData>
            </a:graphic>
          </wp:inline>
        </w:drawing>
      </w:r>
    </w:p>
    <w:p/>
    <w:p>
      <w:pPr>
        <w:pStyle w:val="2"/>
      </w:pPr>
    </w:p>
    <w:p/>
    <w:p>
      <w:pPr>
        <w:pStyle w:val="2"/>
      </w:pPr>
    </w:p>
    <w:p/>
    <w:p>
      <w:pPr>
        <w:pStyle w:val="2"/>
      </w:pPr>
    </w:p>
    <w:p/>
    <w:p>
      <w:pPr>
        <w:pStyle w:val="2"/>
      </w:pPr>
    </w:p>
    <w:p/>
    <w:p>
      <w:pPr>
        <w:pStyle w:val="2"/>
      </w:pPr>
    </w:p>
    <w:p>
      <w:r>
        <w:drawing>
          <wp:inline distT="0" distB="0" distL="114300" distR="114300">
            <wp:extent cx="5114925" cy="7172325"/>
            <wp:effectExtent l="0" t="0" r="9525" b="9525"/>
            <wp:docPr id="24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98"/>
                    <pic:cNvPicPr>
                      <a:picLocks noChangeAspect="1"/>
                    </pic:cNvPicPr>
                  </pic:nvPicPr>
                  <pic:blipFill>
                    <a:blip r:embed="rId248"/>
                    <a:stretch>
                      <a:fillRect/>
                    </a:stretch>
                  </pic:blipFill>
                  <pic:spPr>
                    <a:xfrm>
                      <a:off x="0" y="0"/>
                      <a:ext cx="5114925" cy="7172325"/>
                    </a:xfrm>
                    <a:prstGeom prst="rect">
                      <a:avLst/>
                    </a:prstGeom>
                    <a:noFill/>
                    <a:ln>
                      <a:noFill/>
                    </a:ln>
                  </pic:spPr>
                </pic:pic>
              </a:graphicData>
            </a:graphic>
          </wp:inline>
        </w:drawing>
      </w:r>
    </w:p>
    <w:p>
      <w:pPr>
        <w:pStyle w:val="2"/>
      </w:pPr>
    </w:p>
    <w:p>
      <w:pPr>
        <w:pStyle w:val="2"/>
        <w:sectPr>
          <w:pgSz w:w="11907" w:h="16840"/>
          <w:pgMar w:top="1440" w:right="1797" w:bottom="1440" w:left="1797" w:header="1134" w:footer="1134" w:gutter="0"/>
          <w:cols w:space="0" w:num="1"/>
          <w:rtlGutter w:val="0"/>
          <w:docGrid w:linePitch="319" w:charSpace="0"/>
        </w:sectPr>
      </w:pPr>
    </w:p>
    <w:p>
      <w:pPr>
        <w:jc w:val="center"/>
      </w:pPr>
      <w:r>
        <w:drawing>
          <wp:inline distT="0" distB="0" distL="114300" distR="114300">
            <wp:extent cx="8858250" cy="5880735"/>
            <wp:effectExtent l="0" t="0" r="0" b="5715"/>
            <wp:docPr id="24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04"/>
                    <pic:cNvPicPr>
                      <a:picLocks noChangeAspect="1"/>
                    </pic:cNvPicPr>
                  </pic:nvPicPr>
                  <pic:blipFill>
                    <a:blip r:embed="rId249"/>
                    <a:srcRect t="5258" b="4459"/>
                    <a:stretch>
                      <a:fillRect/>
                    </a:stretch>
                  </pic:blipFill>
                  <pic:spPr>
                    <a:xfrm>
                      <a:off x="0" y="0"/>
                      <a:ext cx="8858250" cy="5880735"/>
                    </a:xfrm>
                    <a:prstGeom prst="rect">
                      <a:avLst/>
                    </a:prstGeom>
                    <a:noFill/>
                    <a:ln>
                      <a:noFill/>
                    </a:ln>
                  </pic:spPr>
                </pic:pic>
              </a:graphicData>
            </a:graphic>
          </wp:inline>
        </w:drawing>
      </w:r>
      <w:r>
        <w:drawing>
          <wp:inline distT="0" distB="0" distL="114300" distR="114300">
            <wp:extent cx="8854440" cy="5397500"/>
            <wp:effectExtent l="0" t="0" r="3810" b="12700"/>
            <wp:docPr id="24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07"/>
                    <pic:cNvPicPr>
                      <a:picLocks noChangeAspect="1"/>
                    </pic:cNvPicPr>
                  </pic:nvPicPr>
                  <pic:blipFill>
                    <a:blip r:embed="rId250"/>
                    <a:stretch>
                      <a:fillRect/>
                    </a:stretch>
                  </pic:blipFill>
                  <pic:spPr>
                    <a:xfrm>
                      <a:off x="0" y="0"/>
                      <a:ext cx="8854440" cy="5397500"/>
                    </a:xfrm>
                    <a:prstGeom prst="rect">
                      <a:avLst/>
                    </a:prstGeom>
                    <a:noFill/>
                    <a:ln>
                      <a:noFill/>
                    </a:ln>
                  </pic:spPr>
                </pic:pic>
              </a:graphicData>
            </a:graphic>
          </wp:inline>
        </w:drawing>
      </w:r>
    </w:p>
    <w:p>
      <w:pPr>
        <w:pStyle w:val="2"/>
        <w:ind w:left="0" w:leftChars="0" w:firstLine="0" w:firstLineChars="0"/>
        <w:jc w:val="center"/>
        <w:rPr>
          <w:lang w:val="en-US" w:eastAsia="zh-CN"/>
        </w:rPr>
      </w:pPr>
      <w:r>
        <w:drawing>
          <wp:inline distT="0" distB="0" distL="114300" distR="114300">
            <wp:extent cx="8858885" cy="5450840"/>
            <wp:effectExtent l="0" t="0" r="18415" b="16510"/>
            <wp:docPr id="24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05"/>
                    <pic:cNvPicPr>
                      <a:picLocks noChangeAspect="1"/>
                    </pic:cNvPicPr>
                  </pic:nvPicPr>
                  <pic:blipFill>
                    <a:blip r:embed="rId251"/>
                    <a:stretch>
                      <a:fillRect/>
                    </a:stretch>
                  </pic:blipFill>
                  <pic:spPr>
                    <a:xfrm>
                      <a:off x="0" y="0"/>
                      <a:ext cx="8858885" cy="5450840"/>
                    </a:xfrm>
                    <a:prstGeom prst="rect">
                      <a:avLst/>
                    </a:prstGeom>
                    <a:noFill/>
                    <a:ln>
                      <a:noFill/>
                    </a:ln>
                  </pic:spPr>
                </pic:pic>
              </a:graphicData>
            </a:graphic>
          </wp:inline>
        </w:drawing>
      </w:r>
    </w:p>
    <w:p>
      <w:pPr>
        <w:jc w:val="center"/>
      </w:pPr>
    </w:p>
    <w:p>
      <w:pPr>
        <w:rPr>
          <w:lang w:val="en-US" w:eastAsia="zh-CN"/>
        </w:rPr>
      </w:pPr>
      <w:r>
        <w:drawing>
          <wp:inline distT="0" distB="0" distL="114300" distR="114300">
            <wp:extent cx="8863330" cy="3598545"/>
            <wp:effectExtent l="0" t="0" r="13970" b="1905"/>
            <wp:docPr id="25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08"/>
                    <pic:cNvPicPr>
                      <a:picLocks noChangeAspect="1"/>
                    </pic:cNvPicPr>
                  </pic:nvPicPr>
                  <pic:blipFill>
                    <a:blip r:embed="rId252"/>
                    <a:stretch>
                      <a:fillRect/>
                    </a:stretch>
                  </pic:blipFill>
                  <pic:spPr>
                    <a:xfrm>
                      <a:off x="0" y="0"/>
                      <a:ext cx="8863330" cy="3598545"/>
                    </a:xfrm>
                    <a:prstGeom prst="rect">
                      <a:avLst/>
                    </a:prstGeom>
                    <a:noFill/>
                    <a:ln>
                      <a:noFill/>
                    </a:ln>
                  </pic:spPr>
                </pic:pic>
              </a:graphicData>
            </a:graphic>
          </wp:inline>
        </w:drawing>
      </w:r>
    </w:p>
    <w:sectPr>
      <w:pgSz w:w="16840" w:h="11907" w:orient="landscape"/>
      <w:pgMar w:top="1797" w:right="1440" w:bottom="1797" w:left="1440" w:header="1134" w:footer="1134" w:gutter="0"/>
      <w:cols w:space="0" w:num="1"/>
      <w:rtlGutter w:val="0"/>
      <w:docGrid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2FF" w:usb1="400004FF" w:usb2="0000000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Verdana">
    <w:panose1 w:val="020B0604030504040204"/>
    <w:charset w:val="00"/>
    <w:family w:val="swiss"/>
    <w:pitch w:val="default"/>
    <w:sig w:usb0="A10006FF" w:usb1="4000205B" w:usb2="00000010" w:usb3="00000000" w:csb0="2000019F" w:csb1="00000000"/>
  </w:font>
  <w:font w:name="楷体_GB2312">
    <w:altName w:val="楷体"/>
    <w:panose1 w:val="00000000000000000000"/>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modern"/>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Plotter">
    <w:altName w:val="Tahoma"/>
    <w:panose1 w:val="00000000000000000000"/>
    <w:charset w:val="00"/>
    <w:family w:val="auto"/>
    <w:pitch w:val="default"/>
    <w:sig w:usb0="00000000" w:usb1="00000000" w:usb2="81609000" w:usb3="00000000" w:csb0="8163D74C" w:csb1="BFF7D17E"/>
  </w:font>
  <w:font w:name="Financial  (MF)">
    <w:altName w:val="Times New Roman"/>
    <w:panose1 w:val="00000000000000000000"/>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华文行楷">
    <w:panose1 w:val="02010800040101010101"/>
    <w:charset w:val="86"/>
    <w:family w:val="auto"/>
    <w:pitch w:val="default"/>
    <w:sig w:usb0="00000001" w:usb1="080F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TimesNewRomanPSMT">
    <w:altName w:val="微软雅黑"/>
    <w:panose1 w:val="00000000000000000000"/>
    <w:charset w:val="86"/>
    <w:family w:val="auto"/>
    <w:pitch w:val="default"/>
    <w:sig w:usb0="00000000" w:usb1="00000000" w:usb2="00000010" w:usb3="00000000" w:csb0="00060000" w:csb1="00000000"/>
  </w:font>
  <w:font w:name="Cambria Math">
    <w:panose1 w:val="02040503050406030204"/>
    <w:charset w:val="00"/>
    <w:family w:val="roman"/>
    <w:pitch w:val="default"/>
    <w:sig w:usb0="E00002FF" w:usb1="420024FF" w:usb2="00000000" w:usb3="00000000" w:csb0="2000019F" w:csb1="00000000"/>
  </w:font>
  <w:font w:name="Arial Narrow">
    <w:panose1 w:val="020B0606020202030204"/>
    <w:charset w:val="00"/>
    <w:family w:val="swiss"/>
    <w:pitch w:val="default"/>
    <w:sig w:usb0="00000287" w:usb1="00000800" w:usb2="00000000" w:usb3="00000000" w:csb0="2000009F" w:csb1="DFD70000"/>
  </w:font>
  <w:font w:name="Wingdings 2">
    <w:panose1 w:val="050201020105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0000012" w:usb3="00000000" w:csb0="4002009F" w:csb1="DFD70000"/>
  </w:font>
  <w:font w:name="MS Mincho">
    <w:panose1 w:val="02020609040205080304"/>
    <w:charset w:val="80"/>
    <w:family w:val="modern"/>
    <w:pitch w:val="default"/>
    <w:sig w:usb0="E00002FF" w:usb1="6AC7FDFB" w:usb2="00000012" w:usb3="00000000" w:csb0="4002009F" w:csb1="DFD70000"/>
  </w:font>
  <w:font w:name="Meiryo">
    <w:panose1 w:val="020B0604030504040204"/>
    <w:charset w:val="80"/>
    <w:family w:val="swiss"/>
    <w:pitch w:val="default"/>
    <w:sig w:usb0="E10102FF" w:usb1="EAC7FFFF" w:usb2="00010012" w:usb3="00000000" w:csb0="6002009F" w:csb1="DFD7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jc w:val="center"/>
    </w:pPr>
    <w:r>
      <w:fldChar w:fldCharType="begin"/>
    </w:r>
    <w:r>
      <w:instrText xml:space="preserve">PAGE   \* MERGEFORMAT</w:instrText>
    </w:r>
    <w:r>
      <w:fldChar w:fldCharType="separate"/>
    </w:r>
    <w:r>
      <w:t>IV</w:t>
    </w:r>
    <w:r>
      <w:fldChar w:fldCharType="end"/>
    </w:r>
  </w:p>
  <w:p>
    <w:pPr>
      <w:pStyle w:val="52"/>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29920" behindDoc="0" locked="0" layoutInCell="1" allowOverlap="1">
              <wp:simplePos x="0" y="0"/>
              <wp:positionH relativeFrom="margin">
                <wp:align>center</wp:align>
              </wp:positionH>
              <wp:positionV relativeFrom="paragraph">
                <wp:posOffset>0</wp:posOffset>
              </wp:positionV>
              <wp:extent cx="172085" cy="131445"/>
              <wp:effectExtent l="0" t="0" r="0" b="0"/>
              <wp:wrapNone/>
              <wp:docPr id="4" name="文本框 1289"/>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- 253 -</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89" o:spid="_x0000_s1026" o:spt="202" type="#_x0000_t202" style="position:absolute;left:0pt;margin-top:0pt;height:10.35pt;width:13.55pt;mso-position-horizontal:center;mso-position-horizontal-relative:margin;mso-wrap-style:none;z-index:251729920;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JXQ5c8AAAADAQAADwAAAAAAAAABACAAAAAiAAAAZHJz&#10;L2Rvd25yZXYueG1sUEsBAhQAFAAAAAgAh07iQGAmmogNAgAABQQAAA4AAAAAAAAAAQAgAAAAHgEA&#10;AGRycy9lMm9Eb2MueG1sUEsFBgAAAAAGAAYAWQEAAJ0FA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- 253 -</w:t>
                    </w:r>
                    <w:r>
                      <w:rPr>
                        <w:rFonts w:hint="eastAsia"/>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30944" behindDoc="0" locked="0" layoutInCell="1" allowOverlap="1">
              <wp:simplePos x="0" y="0"/>
              <wp:positionH relativeFrom="margin">
                <wp:align>center</wp:align>
              </wp:positionH>
              <wp:positionV relativeFrom="paragraph">
                <wp:posOffset>0</wp:posOffset>
              </wp:positionV>
              <wp:extent cx="172085" cy="131445"/>
              <wp:effectExtent l="0" t="0" r="0" b="0"/>
              <wp:wrapNone/>
              <wp:docPr id="3" name="文本框 1292"/>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297</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92" o:spid="_x0000_s1026" o:spt="202" type="#_x0000_t202" style="position:absolute;left:0pt;margin-top:0pt;height:10.35pt;width:13.55pt;mso-position-horizontal:center;mso-position-horizontal-relative:margin;mso-wrap-style:none;z-index:251730944;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JXQ5c8AAAADAQAADwAAAAAAAAABACAAAAAiAAAAZHJz&#10;L2Rvd25yZXYueG1sUEsBAhQAFAAAAAgAh07iQF12RsINAgAABQQAAA4AAAAAAAAAAQAgAAAAHgEA&#10;AGRycy9lMm9Eb2MueG1sUEsFBgAAAAAGAAYAWQEAAJ0FA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297</w:t>
                    </w:r>
                    <w:r>
                      <w:rPr>
                        <w:rFonts w:hint="eastAsia"/>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36064" behindDoc="0" locked="0" layoutInCell="1" allowOverlap="1">
              <wp:simplePos x="0" y="0"/>
              <wp:positionH relativeFrom="margin">
                <wp:align>center</wp:align>
              </wp:positionH>
              <wp:positionV relativeFrom="paragraph">
                <wp:posOffset>0</wp:posOffset>
              </wp:positionV>
              <wp:extent cx="172085" cy="131445"/>
              <wp:effectExtent l="0" t="0" r="0" b="0"/>
              <wp:wrapNone/>
              <wp:docPr id="24" name="文本框 1288"/>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308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88" o:spid="_x0000_s1026" o:spt="202" type="#_x0000_t202" style="position:absolute;left:0pt;margin-top:0pt;height:10.35pt;width:13.55pt;mso-position-horizontal:center;mso-position-horizontal-relative:margin;mso-wrap-style:none;z-index:251736064;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SV0OXPAAAAAwEAAA8AAAAAAAAAAQAgAAAAIgAAAGRy&#10;cy9kb3ducmV2LnhtbFBLAQIUABQAAAAIAIdO4kDFIHuTDgIAAAYEAAAOAAAAAAAAAAEAIAAAAB4B&#10;AABkcnMvZTJvRG9jLnhtbFBLBQYAAAAABgAGAFkBAACeBQ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308</w:t>
                    </w:r>
                    <w:r>
                      <w:rPr>
                        <w:rFonts w:hint="eastAsia"/>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31968" behindDoc="0" locked="0" layoutInCell="1" allowOverlap="1">
              <wp:simplePos x="0" y="0"/>
              <wp:positionH relativeFrom="margin">
                <wp:align>center</wp:align>
              </wp:positionH>
              <wp:positionV relativeFrom="paragraph">
                <wp:posOffset>0</wp:posOffset>
              </wp:positionV>
              <wp:extent cx="304800" cy="131445"/>
              <wp:effectExtent l="0" t="0" r="0" b="0"/>
              <wp:wrapNone/>
              <wp:docPr id="2" name="文本框 1293"/>
              <wp:cNvGraphicFramePr/>
              <a:graphic xmlns:a="http://schemas.openxmlformats.org/drawingml/2006/main">
                <a:graphicData uri="http://schemas.microsoft.com/office/word/2010/wordprocessingShape">
                  <wps:wsp>
                    <wps:cNvSpPr txBox="1">
                      <a:spLocks noChangeArrowheads="1"/>
                    </wps:cNvSpPr>
                    <wps:spPr bwMode="auto">
                      <a:xfrm>
                        <a:off x="0" y="0"/>
                        <a:ext cx="304800"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- 350 -</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93" o:spid="_x0000_s1026" o:spt="202" type="#_x0000_t202" style="position:absolute;left:0pt;margin-top:0pt;height:10.35pt;width:24pt;mso-position-horizontal:center;mso-position-horizontal-relative:margin;mso-wrap-style:none;z-index:251731968;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dFmxPQAAAAAwEAAA8AAAAAAAAAAQAgAAAAIgAAAGRy&#10;cy9kb3ducmV2LnhtbFBLAQIUABQAAAAIAIdO4kAbVjTIDQIAAAUEAAAOAAAAAAAAAAEAIAAAAB8B&#10;AABkcnMvZTJvRG9jLnhtbFBLBQYAAAAABgAGAFkBAACeBQ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- 350 -</w:t>
                    </w:r>
                    <w:r>
                      <w:rPr>
                        <w:rFonts w:hint="eastAsia"/>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ind w:firstLine="360"/>
    </w:pPr>
    <w:r>
      <w:rPr>
        <w:lang w:val="en-US"/>
      </w:rPr>
      <mc:AlternateContent>
        <mc:Choice Requires="wps">
          <w:drawing>
            <wp:anchor distT="0" distB="0" distL="114300" distR="114300" simplePos="0" relativeHeight="251727872" behindDoc="0" locked="0" layoutInCell="1" allowOverlap="1">
              <wp:simplePos x="0" y="0"/>
              <wp:positionH relativeFrom="margin">
                <wp:align>center</wp:align>
              </wp:positionH>
              <wp:positionV relativeFrom="paragraph">
                <wp:posOffset>-149860</wp:posOffset>
              </wp:positionV>
              <wp:extent cx="533400" cy="131445"/>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533400" cy="131445"/>
                      </a:xfrm>
                      <a:prstGeom prst="rect">
                        <a:avLst/>
                      </a:prstGeom>
                      <a:noFill/>
                      <a:ln w="6350">
                        <a:noFill/>
                      </a:ln>
                      <a:effectLst/>
                    </wps:spPr>
                    <wps:txbx>
                      <w:txbxContent>
                        <w:p>
                          <w:pPr>
                            <w:pStyle w:val="52"/>
                            <w:ind w:firstLine="360"/>
                            <w:rPr>
                              <w:rStyle w:val="130"/>
                            </w:rPr>
                          </w:pPr>
                          <w:r>
                            <w:fldChar w:fldCharType="begin"/>
                          </w:r>
                          <w:r>
                            <w:rPr>
                              <w:rStyle w:val="130"/>
                            </w:rPr>
                            <w:instrText xml:space="preserve">PAGE  </w:instrText>
                          </w:r>
                          <w:r>
                            <w:fldChar w:fldCharType="separate"/>
                          </w:r>
                          <w:r>
                            <w:rPr>
                              <w:rStyle w:val="130"/>
                            </w:rPr>
                            <w:t>- 358 -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11.8pt;height:10.35pt;width:42pt;mso-position-horizontal:center;mso-position-horizontal-relative:margin;mso-wrap-style:none;z-index:251727872;mso-width-relative:page;mso-height-relative:page;" filled="f" stroked="f" coordsize="21600,21600" o:gfxdata="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pFp2R1AAAAAYBAAAPAAAAAAAAAAEAIAAAACIAAABkcnMvZG93bnJldi54&#10;bWxQSwECFAAUAAAACACHTuJAMAwKmjcCAABlBAAADgAAAAAAAAABACAAAAAjAQAAZHJzL2Uyb0Rv&#10;Yy54bWxQSwUGAAAAAAYABgBZAQAAzAUAAAAA&#10;">
              <v:fill on="f" focussize="0,0"/>
              <v:stroke on="f" weight="0.5pt"/>
              <v:imagedata o:title=""/>
              <o:lock v:ext="edit" aspectratio="f"/>
              <v:textbox inset="0mm,0mm,0mm,0mm" style="mso-fit-shape-to-text:t;">
                <w:txbxContent>
                  <w:p>
                    <w:pPr>
                      <w:pStyle w:val="52"/>
                      <w:ind w:firstLine="360"/>
                      <w:rPr>
                        <w:rStyle w:val="130"/>
                      </w:rPr>
                    </w:pPr>
                    <w:r>
                      <w:fldChar w:fldCharType="begin"/>
                    </w:r>
                    <w:r>
                      <w:rPr>
                        <w:rStyle w:val="130"/>
                      </w:rPr>
                      <w:instrText xml:space="preserve">PAGE  </w:instrText>
                    </w:r>
                    <w:r>
                      <w:fldChar w:fldCharType="separate"/>
                    </w:r>
                    <w:r>
                      <w:rPr>
                        <w:rStyle w:val="130"/>
                      </w:rPr>
                      <w:t>- 358 -</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framePr w:wrap="around" w:vAnchor="text" w:hAnchor="margin" w:xAlign="center" w:y="1"/>
      <w:ind w:firstLine="360"/>
      <w:rPr>
        <w:rStyle w:val="130"/>
      </w:rPr>
    </w:pPr>
    <w:r>
      <w:fldChar w:fldCharType="begin"/>
    </w:r>
    <w:r>
      <w:rPr>
        <w:rStyle w:val="130"/>
      </w:rPr>
      <w:instrText xml:space="preserve">PAGE  </w:instrText>
    </w:r>
    <w:r>
      <w:fldChar w:fldCharType="end"/>
    </w:r>
  </w:p>
  <w:p>
    <w:pPr>
      <w:pStyle w:val="52"/>
      <w:ind w:firstLine="36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120"/>
      <w:jc w:val="center"/>
    </w:pPr>
    <w:r>
      <w:fldChar w:fldCharType="begin"/>
    </w:r>
    <w:r>
      <w:instrText xml:space="preserve"> PAGE   \* MERGEFORMAT </w:instrText>
    </w:r>
    <w:r>
      <w:fldChar w:fldCharType="separate"/>
    </w:r>
    <w:r>
      <w:rPr>
        <w:lang w:val="zh-CN"/>
      </w:rPr>
      <w:t>377</w:t>
    </w:r>
    <w:r>
      <w:fldChar w:fldCharType="end"/>
    </w:r>
  </w:p>
  <w:p>
    <w:pPr>
      <w:spacing w:before="120"/>
      <w:ind w:firstLine="48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ind w:firstLine="36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ind w:firstLine="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jc w:val="center"/>
    </w:pPr>
    <w:r>
      <w:fldChar w:fldCharType="begin"/>
    </w:r>
    <w:r>
      <w:instrText xml:space="preserve">PAGE   \* MERGEFORMAT</w:instrText>
    </w:r>
    <w:r>
      <w:fldChar w:fldCharType="separate"/>
    </w:r>
    <w:r>
      <w:t>70</w:t>
    </w:r>
    <w:r>
      <w:fldChar w:fldCharType="end"/>
    </w:r>
  </w:p>
  <w:p>
    <w:pPr>
      <w:pStyle w:val="32"/>
      <w:spacing w:line="14" w:lineRule="auto"/>
      <w:rPr>
        <w:sz w:val="20"/>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rPr>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72085" cy="131445"/>
              <wp:effectExtent l="0" t="0" r="0" b="1905"/>
              <wp:wrapNone/>
              <wp:docPr id="1" name="文本框 1296"/>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388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96" o:spid="_x0000_s1026" o:spt="202" type="#_x0000_t202" style="position:absolute;left:0pt;margin-top:0pt;height:10.35pt;width:13.55pt;mso-position-horizontal:center;mso-position-horizontal-relative:margin;mso-wrap-style:none;z-index:251660288;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UldDlzwAAAAMBAAAPAAAAAAAAAAEAIAAAACIAAABkcnMv&#10;ZG93bnJldi54bWxQSwECFAAUAAAACACHTuJAf1+SmQwCAAAFBAAADgAAAAAAAAABACAAAAAeAQAA&#10;ZHJzL2Uyb0RvYy54bWxQSwUGAAAAAAYABgBZAQAAnAU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388</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jc w:val="center"/>
    </w:pPr>
    <w:r>
      <w:fldChar w:fldCharType="begin"/>
    </w:r>
    <w:r>
      <w:instrText xml:space="preserve">PAGE   \* MERGEFORMAT</w:instrText>
    </w:r>
    <w:r>
      <w:fldChar w:fldCharType="separate"/>
    </w:r>
    <w:r>
      <w:t>70</w:t>
    </w:r>
    <w:r>
      <w:fldChar w:fldCharType="end"/>
    </w:r>
  </w:p>
  <w:p>
    <w:pPr>
      <w:pStyle w:val="32"/>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jc w:val="center"/>
    </w:pPr>
    <w:r>
      <w:fldChar w:fldCharType="begin"/>
    </w:r>
    <w:r>
      <w:instrText xml:space="preserve">PAGE   \* MERGEFORMAT</w:instrText>
    </w:r>
    <w:r>
      <w:fldChar w:fldCharType="separate"/>
    </w:r>
    <w:r>
      <w:t>70</w:t>
    </w:r>
    <w:r>
      <w:fldChar w:fldCharType="end"/>
    </w:r>
  </w:p>
  <w:p>
    <w:pPr>
      <w:pStyle w:val="32"/>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r>
      <mc:AlternateContent>
        <mc:Choice Requires="wps">
          <w:drawing>
            <wp:anchor distT="0" distB="0" distL="114300" distR="114300" simplePos="0" relativeHeight="251724800" behindDoc="0" locked="0" layoutInCell="1" allowOverlap="1">
              <wp:simplePos x="0" y="0"/>
              <wp:positionH relativeFrom="margin">
                <wp:align>center</wp:align>
              </wp:positionH>
              <wp:positionV relativeFrom="paragraph">
                <wp:posOffset>0</wp:posOffset>
              </wp:positionV>
              <wp:extent cx="114935" cy="131445"/>
              <wp:effectExtent l="0" t="0" r="0" b="0"/>
              <wp:wrapNone/>
              <wp:docPr id="9" name="文本框 1285"/>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84</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85" o:spid="_x0000_s1026" o:spt="202" type="#_x0000_t202" style="position:absolute;left:0pt;margin-top:0pt;height:10.35pt;width:9.05pt;mso-position-horizontal:center;mso-position-horizontal-relative:margin;mso-wrap-style:none;z-index:251724800;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AYzVodDQIAAAUEAAAOAAAAAAAAAAEAIAAAAB8B&#10;AABkcnMvZTJvRG9jLnhtbFBLBQYAAAAABgAGAFkBAACeBQ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84</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734016" behindDoc="0" locked="0" layoutInCell="1" allowOverlap="1">
              <wp:simplePos x="0" y="0"/>
              <wp:positionH relativeFrom="margin">
                <wp:align>center</wp:align>
              </wp:positionH>
              <wp:positionV relativeFrom="paragraph">
                <wp:posOffset>0</wp:posOffset>
              </wp:positionV>
              <wp:extent cx="114935" cy="131445"/>
              <wp:effectExtent l="0" t="0" r="0" b="0"/>
              <wp:wrapNone/>
              <wp:docPr id="8" name="文本框 1285"/>
              <wp:cNvGraphicFramePr/>
              <a:graphic xmlns:a="http://schemas.openxmlformats.org/drawingml/2006/main">
                <a:graphicData uri="http://schemas.microsoft.com/office/word/2010/wordprocessingShape">
                  <wps:wsp>
                    <wps:cNvSpPr txBox="1">
                      <a:spLocks noChangeArrowheads="1"/>
                    </wps:cNvSpPr>
                    <wps:spPr bwMode="auto">
                      <a:xfrm>
                        <a:off x="0" y="0"/>
                        <a:ext cx="11493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93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85" o:spid="_x0000_s1026" o:spt="202" type="#_x0000_t202" style="position:absolute;left:0pt;margin-top:0pt;height:10.35pt;width:9.05pt;mso-position-horizontal:center;mso-position-horizontal-relative:margin;mso-wrap-style:none;z-index:251734016;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PlfknQAAAAAwEAAA8AAAAAAAAAAQAgAAAAIgAAAGRy&#10;cy9kb3ducmV2LnhtbFBLAQIUABQAAAAIAIdO4kBkU/yDDQIAAAUEAAAOAAAAAAAAAAEAIAAAAB8B&#10;AABkcnMvZTJvRG9jLnhtbFBLBQYAAAAABgAGAFkBAACeBQ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93</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25824" behindDoc="0" locked="0" layoutInCell="1" allowOverlap="1">
              <wp:simplePos x="0" y="0"/>
              <wp:positionH relativeFrom="margin">
                <wp:align>center</wp:align>
              </wp:positionH>
              <wp:positionV relativeFrom="paragraph">
                <wp:posOffset>0</wp:posOffset>
              </wp:positionV>
              <wp:extent cx="172085" cy="131445"/>
              <wp:effectExtent l="0" t="0" r="0" b="0"/>
              <wp:wrapNone/>
              <wp:docPr id="7" name="文本框 1286"/>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114</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86" o:spid="_x0000_s1026" o:spt="202" type="#_x0000_t202" style="position:absolute;left:0pt;margin-top:0pt;height:10.35pt;width:13.55pt;mso-position-horizontal:center;mso-position-horizontal-relative:margin;mso-wrap-style:none;z-index:251725824;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JXQ5c8AAAADAQAADwAAAAAAAAABACAAAAAiAAAAZHJz&#10;L2Rvd25yZXYueG1sUEsBAhQAFAAAAAgAh07iQPL8G+oNAgAABQQAAA4AAAAAAAAAAQAgAAAAHgEA&#10;AGRycy9lMm9Eb2MueG1sUEsFBgAAAAAGAAYAWQEAAJ0FA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114</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26848" behindDoc="0" locked="0" layoutInCell="1" allowOverlap="1">
              <wp:simplePos x="0" y="0"/>
              <wp:positionH relativeFrom="margin">
                <wp:align>center</wp:align>
              </wp:positionH>
              <wp:positionV relativeFrom="paragraph">
                <wp:posOffset>0</wp:posOffset>
              </wp:positionV>
              <wp:extent cx="467360" cy="131445"/>
              <wp:effectExtent l="0" t="0" r="0" b="0"/>
              <wp:wrapNone/>
              <wp:docPr id="6" name="文本框 1287"/>
              <wp:cNvGraphicFramePr/>
              <a:graphic xmlns:a="http://schemas.openxmlformats.org/drawingml/2006/main">
                <a:graphicData uri="http://schemas.microsoft.com/office/word/2010/wordprocessingShape">
                  <wps:wsp>
                    <wps:cNvSpPr txBox="1">
                      <a:spLocks noChangeArrowheads="1"/>
                    </wps:cNvSpPr>
                    <wps:spPr bwMode="auto">
                      <a:xfrm>
                        <a:off x="0" y="0"/>
                        <a:ext cx="467360"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120</w:t>
                          </w:r>
                          <w:r>
                            <w:rPr>
                              <w:rFonts w:hint="eastAsia"/>
                            </w:rPr>
                            <w:fldChar w:fldCharType="end"/>
                          </w:r>
                        </w:p>
                      </w:txbxContent>
                    </wps:txbx>
                    <wps:bodyPr rot="0" vert="horz" wrap="square" lIns="0" tIns="0" rIns="0" bIns="0" anchor="t" anchorCtr="0" upright="1">
                      <a:spAutoFit/>
                    </wps:bodyPr>
                  </wps:wsp>
                </a:graphicData>
              </a:graphic>
            </wp:anchor>
          </w:drawing>
        </mc:Choice>
        <mc:Fallback>
          <w:pict>
            <v:shape id="文本框 1287" o:spid="_x0000_s1026" o:spt="202" type="#_x0000_t202" style="position:absolute;left:0pt;margin-top:0pt;height:10.35pt;width:36.8pt;mso-position-horizontal:center;mso-position-horizontal-relative:margin;z-index:251726848;mso-width-relative:page;mso-height-relative:page;" filled="f" stroked="f" coordsize="21600,21600" o:gfxdata="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hbzUnRAAAAAwEAAA8AAAAAAAAAAQAgAAAAIgAA&#10;AGRycy9kb3ducmV2LnhtbFBLAQIUABQAAAAIAIdO4kD3e7MyDwIAAAcEAAAOAAAAAAAAAAEAIAAA&#10;ACABAABkcnMvZTJvRG9jLnhtbFBLBQYAAAAABgAGAFkBAAChBQ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120</w:t>
                    </w:r>
                    <w:r>
                      <w:rPr>
                        <w:rFonts w:hint="eastAsia"/>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00" w:lineRule="exact"/>
      <w:rPr>
        <w:sz w:val="20"/>
        <w:szCs w:val="20"/>
      </w:rPr>
    </w:pPr>
    <w:r>
      <w:rPr>
        <w:sz w:val="20"/>
      </w:rPr>
      <mc:AlternateContent>
        <mc:Choice Requires="wps">
          <w:drawing>
            <wp:anchor distT="0" distB="0" distL="114300" distR="114300" simplePos="0" relativeHeight="251728896" behindDoc="0" locked="0" layoutInCell="1" allowOverlap="1">
              <wp:simplePos x="0" y="0"/>
              <wp:positionH relativeFrom="margin">
                <wp:align>center</wp:align>
              </wp:positionH>
              <wp:positionV relativeFrom="paragraph">
                <wp:posOffset>0</wp:posOffset>
              </wp:positionV>
              <wp:extent cx="172085" cy="131445"/>
              <wp:effectExtent l="0" t="0" r="0" b="0"/>
              <wp:wrapNone/>
              <wp:docPr id="5" name="文本框 1288"/>
              <wp:cNvGraphicFramePr/>
              <a:graphic xmlns:a="http://schemas.openxmlformats.org/drawingml/2006/main">
                <a:graphicData uri="http://schemas.microsoft.com/office/word/2010/wordprocessingShape">
                  <wps:wsp>
                    <wps:cNvSpPr txBox="1">
                      <a:spLocks noChangeArrowheads="1"/>
                    </wps:cNvSpPr>
                    <wps:spPr bwMode="auto">
                      <a:xfrm>
                        <a:off x="0" y="0"/>
                        <a:ext cx="172085" cy="131445"/>
                      </a:xfrm>
                      <a:prstGeom prst="rect">
                        <a:avLst/>
                      </a:prstGeom>
                      <a:noFill/>
                      <a:ln>
                        <a:noFill/>
                      </a:ln>
                    </wps:spPr>
                    <wps:txbx>
                      <w:txbxContent>
                        <w:p>
                          <w:pPr>
                            <w:pStyle w:val="52"/>
                          </w:pPr>
                          <w:r>
                            <w:rPr>
                              <w:rFonts w:hint="eastAsia"/>
                            </w:rPr>
                            <w:fldChar w:fldCharType="begin"/>
                          </w:r>
                          <w:r>
                            <w:rPr>
                              <w:rFonts w:hint="eastAsia"/>
                            </w:rPr>
                            <w:instrText xml:space="preserve"> PAGE  \* MERGEFORMAT </w:instrText>
                          </w:r>
                          <w:r>
                            <w:rPr>
                              <w:rFonts w:hint="eastAsia"/>
                            </w:rPr>
                            <w:fldChar w:fldCharType="separate"/>
                          </w:r>
                          <w:r>
                            <w:t>158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288" o:spid="_x0000_s1026" o:spt="202" type="#_x0000_t202" style="position:absolute;left:0pt;margin-top:0pt;height:10.35pt;width:13.55pt;mso-position-horizontal:center;mso-position-horizontal-relative:margin;mso-wrap-style:none;z-index:251728896;mso-width-relative:page;mso-height-relative:page;" filled="f" stroked="f" coordsize="21600,21600" o:gfxdata="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UldDlzwAAAAMBAAAPAAAAAAAAAAEAIAAAACIAAABkcnMv&#10;ZG93bnJldi54bWxQSwECFAAUAAAACACHTuJASn4iogwCAAAFBAAADgAAAAAAAAABACAAAAAeAQAA&#10;ZHJzL2Uyb0RvYy54bWxQSwUGAAAAAAYABgBZAQAAnAUAAAAA&#10;">
              <v:fill on="f" focussize="0,0"/>
              <v:stroke on="f"/>
              <v:imagedata o:title=""/>
              <o:lock v:ext="edit" aspectratio="f"/>
              <v:textbox inset="0mm,0mm,0mm,0mm" style="mso-fit-shape-to-text:t;">
                <w:txbxContent>
                  <w:p>
                    <w:pPr>
                      <w:pStyle w:val="52"/>
                    </w:pPr>
                    <w:r>
                      <w:rPr>
                        <w:rFonts w:hint="eastAsia"/>
                      </w:rPr>
                      <w:fldChar w:fldCharType="begin"/>
                    </w:r>
                    <w:r>
                      <w:rPr>
                        <w:rFonts w:hint="eastAsia"/>
                      </w:rPr>
                      <w:instrText xml:space="preserve"> PAGE  \* MERGEFORMAT </w:instrText>
                    </w:r>
                    <w:r>
                      <w:rPr>
                        <w:rFonts w:hint="eastAsia"/>
                      </w:rPr>
                      <w:fldChar w:fldCharType="separate"/>
                    </w:r>
                    <w:r>
                      <w:t>158</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lang w:val="en-US"/>
      </w:rPr>
    </w:pPr>
    <w:r>
      <w:t>河南中能锂动电源有限公司</w:t>
    </w:r>
    <w:r>
      <w:rPr>
        <w:lang w:val="en-US"/>
      </w:rPr>
      <w:t>年产79.2198亿只电池配件项目</w:t>
    </w:r>
    <w:r>
      <w:rPr>
        <w:rFonts w:hint="eastAsia"/>
        <w:lang w:val="en-US"/>
      </w:rPr>
      <w:t>环境影响报告书</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ind w:firstLine="36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ind w:firstLine="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sz w:val="20"/>
        <w:szCs w:val="20"/>
      </w:rPr>
    </w:pPr>
    <w:r>
      <w:rPr>
        <w:rFonts w:hint="eastAsia"/>
      </w:rPr>
      <w:t>河南中能锂动电源有限公司年产79.2198亿只电池配件项目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lang w:val="en-US"/>
      </w:rPr>
    </w:pPr>
    <w:r>
      <w:t>河南中能锂动电源有限公司</w:t>
    </w:r>
    <w:r>
      <w:rPr>
        <w:rFonts w:hint="eastAsia"/>
      </w:rPr>
      <w:t>年产79.2198亿只电池配件项目</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sz w:val="4"/>
        <w:szCs w:val="4"/>
      </w:rPr>
    </w:pPr>
    <w:r>
      <w:rPr>
        <w:rFonts w:hint="eastAsia"/>
      </w:rPr>
      <w:t>河南中能锂动电源有限公司年产79.2198亿只电池配件项目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sz w:val="20"/>
        <w:szCs w:val="20"/>
      </w:rPr>
    </w:pPr>
    <w:r>
      <w:rPr>
        <w:rFonts w:hint="eastAsia"/>
      </w:rPr>
      <w:t>河南中能锂动电源有限公司年产79.2198亿只电池配件项目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sz w:val="20"/>
        <w:szCs w:val="20"/>
      </w:rPr>
    </w:pPr>
    <w:r>
      <w:rPr>
        <w:rFonts w:hint="eastAsia"/>
      </w:rPr>
      <w:t>河南中能锂动电源有限公司年产79.2198亿只电池配件项目</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Pr>
    <w:r>
      <w:rPr>
        <w:rFonts w:hint="eastAsia"/>
      </w:rPr>
      <w:t>河南中能锂动电源有限公司年产79.2198亿只电池配件项目环境影响报告书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Pr>
  </w:p>
  <w:p>
    <w:pPr>
      <w:pStyle w:val="54"/>
    </w:pPr>
    <w:r>
      <w:rPr>
        <w:rFonts w:hint="eastAsia"/>
      </w:rPr>
      <w:t>河南中能锂动电源有限公司年产79.2198亿只电池配件项目环境影响报告书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sz w:val="4"/>
        <w:szCs w:val="4"/>
      </w:rPr>
    </w:pPr>
    <w:r>
      <w:t>河南中能锂动电源有限公司</w:t>
    </w:r>
    <w:r>
      <w:rPr>
        <w:lang w:val="en-US"/>
      </w:rPr>
      <w:t>年产79.2198亿只电池配件项目</w:t>
    </w:r>
    <w:r>
      <w:rPr>
        <w:rFonts w:hint="eastAsia"/>
        <w:lang w:val="en-US"/>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4"/>
      <w:pBdr>
        <w:bottom w:val="single" w:color="auto" w:sz="4" w:space="1"/>
      </w:pBdr>
      <w:rPr>
        <w:sz w:val="20"/>
        <w:szCs w:val="20"/>
      </w:rPr>
    </w:pPr>
    <w:r>
      <w:rPr>
        <w:rFonts w:hint="eastAsia"/>
      </w:rPr>
      <w:t>河南中能锂动电源有限公司年产79.2198亿只电池配件项目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A1778D0"/>
    <w:multiLevelType w:val="singleLevel"/>
    <w:tmpl w:val="BA1778D0"/>
    <w:lvl w:ilvl="0" w:tentative="0">
      <w:start w:val="1"/>
      <w:numFmt w:val="decimal"/>
      <w:suff w:val="nothing"/>
      <w:lvlText w:val="（%1）"/>
      <w:lvlJc w:val="left"/>
    </w:lvl>
  </w:abstractNum>
  <w:abstractNum w:abstractNumId="1">
    <w:nsid w:val="BC0FBAFF"/>
    <w:multiLevelType w:val="singleLevel"/>
    <w:tmpl w:val="BC0FBAFF"/>
    <w:lvl w:ilvl="0" w:tentative="0">
      <w:start w:val="6"/>
      <w:numFmt w:val="chineseCounting"/>
      <w:suff w:val="space"/>
      <w:lvlText w:val="第%1章"/>
      <w:lvlJc w:val="left"/>
      <w:rPr>
        <w:rFonts w:hint="eastAsia"/>
      </w:rPr>
    </w:lvl>
  </w:abstractNum>
  <w:abstractNum w:abstractNumId="2">
    <w:nsid w:val="DF251433"/>
    <w:multiLevelType w:val="singleLevel"/>
    <w:tmpl w:val="DF251433"/>
    <w:lvl w:ilvl="0" w:tentative="0">
      <w:start w:val="1"/>
      <w:numFmt w:val="decimal"/>
      <w:suff w:val="nothing"/>
      <w:lvlText w:val="（%1）"/>
      <w:lvlJc w:val="left"/>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I5YTVjYTc4MmFhNjg0ODE2OTU3NzBlN2EzZDgxMGIifQ=="/>
  </w:docVars>
  <w:rsids>
    <w:rsidRoot w:val="00172A27"/>
    <w:rsid w:val="0000140A"/>
    <w:rsid w:val="0000195E"/>
    <w:rsid w:val="0000234F"/>
    <w:rsid w:val="00002544"/>
    <w:rsid w:val="00002B70"/>
    <w:rsid w:val="00002DA3"/>
    <w:rsid w:val="0000313E"/>
    <w:rsid w:val="0000315C"/>
    <w:rsid w:val="0000337C"/>
    <w:rsid w:val="0000351A"/>
    <w:rsid w:val="0000368E"/>
    <w:rsid w:val="0000419E"/>
    <w:rsid w:val="000043D1"/>
    <w:rsid w:val="00004868"/>
    <w:rsid w:val="00004B9F"/>
    <w:rsid w:val="00004EA4"/>
    <w:rsid w:val="00004FB3"/>
    <w:rsid w:val="000051FF"/>
    <w:rsid w:val="0000540F"/>
    <w:rsid w:val="000055AF"/>
    <w:rsid w:val="00005670"/>
    <w:rsid w:val="00005C94"/>
    <w:rsid w:val="000061A9"/>
    <w:rsid w:val="0000670F"/>
    <w:rsid w:val="00006A4F"/>
    <w:rsid w:val="00006D2A"/>
    <w:rsid w:val="00007AA7"/>
    <w:rsid w:val="00010C39"/>
    <w:rsid w:val="00010D91"/>
    <w:rsid w:val="00010E18"/>
    <w:rsid w:val="00010E51"/>
    <w:rsid w:val="00011189"/>
    <w:rsid w:val="000112AA"/>
    <w:rsid w:val="00011698"/>
    <w:rsid w:val="00011CD0"/>
    <w:rsid w:val="00011DB2"/>
    <w:rsid w:val="000120B0"/>
    <w:rsid w:val="000122F5"/>
    <w:rsid w:val="000126AA"/>
    <w:rsid w:val="00012A28"/>
    <w:rsid w:val="00012A9D"/>
    <w:rsid w:val="00012C4D"/>
    <w:rsid w:val="00013989"/>
    <w:rsid w:val="00013A1A"/>
    <w:rsid w:val="00013B68"/>
    <w:rsid w:val="00013E75"/>
    <w:rsid w:val="00013EBD"/>
    <w:rsid w:val="00014CA8"/>
    <w:rsid w:val="00014E60"/>
    <w:rsid w:val="000152DB"/>
    <w:rsid w:val="00015357"/>
    <w:rsid w:val="000158B9"/>
    <w:rsid w:val="00015D7C"/>
    <w:rsid w:val="00015F33"/>
    <w:rsid w:val="000162EB"/>
    <w:rsid w:val="00016B39"/>
    <w:rsid w:val="000171FF"/>
    <w:rsid w:val="00017C58"/>
    <w:rsid w:val="000204BB"/>
    <w:rsid w:val="0002073F"/>
    <w:rsid w:val="0002077A"/>
    <w:rsid w:val="000209BF"/>
    <w:rsid w:val="000212D5"/>
    <w:rsid w:val="000216B7"/>
    <w:rsid w:val="00021853"/>
    <w:rsid w:val="00021A9E"/>
    <w:rsid w:val="00021CAB"/>
    <w:rsid w:val="0002204B"/>
    <w:rsid w:val="00023011"/>
    <w:rsid w:val="00023144"/>
    <w:rsid w:val="000234DA"/>
    <w:rsid w:val="00023870"/>
    <w:rsid w:val="000242ED"/>
    <w:rsid w:val="00024772"/>
    <w:rsid w:val="00024DA6"/>
    <w:rsid w:val="00024EBB"/>
    <w:rsid w:val="000251A8"/>
    <w:rsid w:val="00025340"/>
    <w:rsid w:val="0002581C"/>
    <w:rsid w:val="00025CA4"/>
    <w:rsid w:val="000262BD"/>
    <w:rsid w:val="0002725A"/>
    <w:rsid w:val="00027F46"/>
    <w:rsid w:val="00030685"/>
    <w:rsid w:val="00031173"/>
    <w:rsid w:val="00031447"/>
    <w:rsid w:val="0003151A"/>
    <w:rsid w:val="00031A14"/>
    <w:rsid w:val="00031BA1"/>
    <w:rsid w:val="00031EC5"/>
    <w:rsid w:val="00031EE1"/>
    <w:rsid w:val="00032806"/>
    <w:rsid w:val="00032A33"/>
    <w:rsid w:val="00032CE8"/>
    <w:rsid w:val="00032DA7"/>
    <w:rsid w:val="00032EA1"/>
    <w:rsid w:val="00033125"/>
    <w:rsid w:val="000339D6"/>
    <w:rsid w:val="00033B7D"/>
    <w:rsid w:val="00033BDF"/>
    <w:rsid w:val="00033E08"/>
    <w:rsid w:val="0003434D"/>
    <w:rsid w:val="00034A55"/>
    <w:rsid w:val="000350D1"/>
    <w:rsid w:val="000354C5"/>
    <w:rsid w:val="00035526"/>
    <w:rsid w:val="00035D7F"/>
    <w:rsid w:val="00035DE4"/>
    <w:rsid w:val="000362BC"/>
    <w:rsid w:val="00036719"/>
    <w:rsid w:val="00036EF9"/>
    <w:rsid w:val="00037025"/>
    <w:rsid w:val="00040AB6"/>
    <w:rsid w:val="00040D30"/>
    <w:rsid w:val="00040E9D"/>
    <w:rsid w:val="00041169"/>
    <w:rsid w:val="00041451"/>
    <w:rsid w:val="00041C24"/>
    <w:rsid w:val="00041DBC"/>
    <w:rsid w:val="00041F1C"/>
    <w:rsid w:val="0004226F"/>
    <w:rsid w:val="00042283"/>
    <w:rsid w:val="00042B17"/>
    <w:rsid w:val="00042B90"/>
    <w:rsid w:val="00042C7C"/>
    <w:rsid w:val="00042C84"/>
    <w:rsid w:val="00042F4A"/>
    <w:rsid w:val="000433A7"/>
    <w:rsid w:val="00043574"/>
    <w:rsid w:val="00043710"/>
    <w:rsid w:val="000439B5"/>
    <w:rsid w:val="00043B3E"/>
    <w:rsid w:val="00043F80"/>
    <w:rsid w:val="000440C2"/>
    <w:rsid w:val="00044403"/>
    <w:rsid w:val="00044736"/>
    <w:rsid w:val="00044AC4"/>
    <w:rsid w:val="0004551C"/>
    <w:rsid w:val="0004560A"/>
    <w:rsid w:val="00045D0D"/>
    <w:rsid w:val="000462D9"/>
    <w:rsid w:val="00047547"/>
    <w:rsid w:val="00047731"/>
    <w:rsid w:val="00047963"/>
    <w:rsid w:val="000479C0"/>
    <w:rsid w:val="00047A0F"/>
    <w:rsid w:val="00047B9C"/>
    <w:rsid w:val="000502FA"/>
    <w:rsid w:val="000505AF"/>
    <w:rsid w:val="00051223"/>
    <w:rsid w:val="0005155D"/>
    <w:rsid w:val="00051568"/>
    <w:rsid w:val="00051EB2"/>
    <w:rsid w:val="00051FC8"/>
    <w:rsid w:val="000521CF"/>
    <w:rsid w:val="000524A6"/>
    <w:rsid w:val="000524F3"/>
    <w:rsid w:val="00052C4E"/>
    <w:rsid w:val="000532E0"/>
    <w:rsid w:val="000539A2"/>
    <w:rsid w:val="00053BB1"/>
    <w:rsid w:val="0005437C"/>
    <w:rsid w:val="00054CCA"/>
    <w:rsid w:val="00055478"/>
    <w:rsid w:val="00055503"/>
    <w:rsid w:val="00055BDA"/>
    <w:rsid w:val="00055EEA"/>
    <w:rsid w:val="00055FCF"/>
    <w:rsid w:val="000564A8"/>
    <w:rsid w:val="00056573"/>
    <w:rsid w:val="00056A18"/>
    <w:rsid w:val="00056F39"/>
    <w:rsid w:val="000574E1"/>
    <w:rsid w:val="00057659"/>
    <w:rsid w:val="00057953"/>
    <w:rsid w:val="00057ABA"/>
    <w:rsid w:val="00061205"/>
    <w:rsid w:val="0006125D"/>
    <w:rsid w:val="0006266E"/>
    <w:rsid w:val="00062A30"/>
    <w:rsid w:val="00062AFB"/>
    <w:rsid w:val="00062CDE"/>
    <w:rsid w:val="000632FD"/>
    <w:rsid w:val="0006428A"/>
    <w:rsid w:val="00065C80"/>
    <w:rsid w:val="00065D5E"/>
    <w:rsid w:val="00065F41"/>
    <w:rsid w:val="00066014"/>
    <w:rsid w:val="0006605F"/>
    <w:rsid w:val="000660B9"/>
    <w:rsid w:val="00066CC2"/>
    <w:rsid w:val="00067449"/>
    <w:rsid w:val="00067AC8"/>
    <w:rsid w:val="00067CAD"/>
    <w:rsid w:val="00067D93"/>
    <w:rsid w:val="00067E2F"/>
    <w:rsid w:val="00070F60"/>
    <w:rsid w:val="00071105"/>
    <w:rsid w:val="00071138"/>
    <w:rsid w:val="000712F4"/>
    <w:rsid w:val="0007132E"/>
    <w:rsid w:val="00071724"/>
    <w:rsid w:val="000719DF"/>
    <w:rsid w:val="0007247D"/>
    <w:rsid w:val="000727F8"/>
    <w:rsid w:val="0007288B"/>
    <w:rsid w:val="00073691"/>
    <w:rsid w:val="0007396D"/>
    <w:rsid w:val="000741B4"/>
    <w:rsid w:val="000747AA"/>
    <w:rsid w:val="0007490F"/>
    <w:rsid w:val="0007494F"/>
    <w:rsid w:val="00074E25"/>
    <w:rsid w:val="00074E96"/>
    <w:rsid w:val="0007514C"/>
    <w:rsid w:val="00075708"/>
    <w:rsid w:val="000760C7"/>
    <w:rsid w:val="0007615D"/>
    <w:rsid w:val="000763F5"/>
    <w:rsid w:val="00076775"/>
    <w:rsid w:val="0007697B"/>
    <w:rsid w:val="000769C7"/>
    <w:rsid w:val="00076ED0"/>
    <w:rsid w:val="000770EA"/>
    <w:rsid w:val="00077322"/>
    <w:rsid w:val="0007745E"/>
    <w:rsid w:val="00077D51"/>
    <w:rsid w:val="00077EFD"/>
    <w:rsid w:val="000800C0"/>
    <w:rsid w:val="000810B5"/>
    <w:rsid w:val="0008127F"/>
    <w:rsid w:val="000816CC"/>
    <w:rsid w:val="0008192F"/>
    <w:rsid w:val="000820AF"/>
    <w:rsid w:val="000822AC"/>
    <w:rsid w:val="0008232C"/>
    <w:rsid w:val="00083080"/>
    <w:rsid w:val="000837B0"/>
    <w:rsid w:val="00084266"/>
    <w:rsid w:val="000844EF"/>
    <w:rsid w:val="00084533"/>
    <w:rsid w:val="00084535"/>
    <w:rsid w:val="000848A9"/>
    <w:rsid w:val="00084932"/>
    <w:rsid w:val="00084AA8"/>
    <w:rsid w:val="00084C39"/>
    <w:rsid w:val="000855AB"/>
    <w:rsid w:val="00085B1E"/>
    <w:rsid w:val="00086578"/>
    <w:rsid w:val="00086640"/>
    <w:rsid w:val="00086672"/>
    <w:rsid w:val="00086723"/>
    <w:rsid w:val="000869BD"/>
    <w:rsid w:val="000874E0"/>
    <w:rsid w:val="000876BD"/>
    <w:rsid w:val="00087966"/>
    <w:rsid w:val="000909C5"/>
    <w:rsid w:val="00090A31"/>
    <w:rsid w:val="000914A4"/>
    <w:rsid w:val="00091A08"/>
    <w:rsid w:val="00091CF0"/>
    <w:rsid w:val="00092192"/>
    <w:rsid w:val="00092AF0"/>
    <w:rsid w:val="000937DB"/>
    <w:rsid w:val="00093E06"/>
    <w:rsid w:val="00093E62"/>
    <w:rsid w:val="00093EFC"/>
    <w:rsid w:val="000943BC"/>
    <w:rsid w:val="000943BD"/>
    <w:rsid w:val="0009489F"/>
    <w:rsid w:val="0009494C"/>
    <w:rsid w:val="000949C2"/>
    <w:rsid w:val="00094D8E"/>
    <w:rsid w:val="0009557E"/>
    <w:rsid w:val="0009563E"/>
    <w:rsid w:val="00095972"/>
    <w:rsid w:val="000959FA"/>
    <w:rsid w:val="00096839"/>
    <w:rsid w:val="000968AC"/>
    <w:rsid w:val="00097049"/>
    <w:rsid w:val="0009756E"/>
    <w:rsid w:val="00097886"/>
    <w:rsid w:val="00097CB3"/>
    <w:rsid w:val="000A01DE"/>
    <w:rsid w:val="000A07D8"/>
    <w:rsid w:val="000A13C6"/>
    <w:rsid w:val="000A17D7"/>
    <w:rsid w:val="000A1E1E"/>
    <w:rsid w:val="000A227B"/>
    <w:rsid w:val="000A2893"/>
    <w:rsid w:val="000A2E30"/>
    <w:rsid w:val="000A360D"/>
    <w:rsid w:val="000A370A"/>
    <w:rsid w:val="000A376A"/>
    <w:rsid w:val="000A39BC"/>
    <w:rsid w:val="000A42D6"/>
    <w:rsid w:val="000A464B"/>
    <w:rsid w:val="000A498B"/>
    <w:rsid w:val="000A4BD6"/>
    <w:rsid w:val="000A579C"/>
    <w:rsid w:val="000A598A"/>
    <w:rsid w:val="000A5B8C"/>
    <w:rsid w:val="000A6A6E"/>
    <w:rsid w:val="000A6CF8"/>
    <w:rsid w:val="000A6D8C"/>
    <w:rsid w:val="000A6DA3"/>
    <w:rsid w:val="000A707F"/>
    <w:rsid w:val="000A70FC"/>
    <w:rsid w:val="000A7304"/>
    <w:rsid w:val="000A75FD"/>
    <w:rsid w:val="000A7BB1"/>
    <w:rsid w:val="000A7BE0"/>
    <w:rsid w:val="000B00AD"/>
    <w:rsid w:val="000B01E1"/>
    <w:rsid w:val="000B03AC"/>
    <w:rsid w:val="000B0C95"/>
    <w:rsid w:val="000B0FBC"/>
    <w:rsid w:val="000B123E"/>
    <w:rsid w:val="000B1456"/>
    <w:rsid w:val="000B14AC"/>
    <w:rsid w:val="000B14D7"/>
    <w:rsid w:val="000B1B1F"/>
    <w:rsid w:val="000B227E"/>
    <w:rsid w:val="000B281C"/>
    <w:rsid w:val="000B29E8"/>
    <w:rsid w:val="000B2E53"/>
    <w:rsid w:val="000B3366"/>
    <w:rsid w:val="000B3A60"/>
    <w:rsid w:val="000B3AC6"/>
    <w:rsid w:val="000B3F55"/>
    <w:rsid w:val="000B41DE"/>
    <w:rsid w:val="000B426A"/>
    <w:rsid w:val="000B4336"/>
    <w:rsid w:val="000B4C75"/>
    <w:rsid w:val="000B50B8"/>
    <w:rsid w:val="000B537C"/>
    <w:rsid w:val="000B53FC"/>
    <w:rsid w:val="000B5526"/>
    <w:rsid w:val="000B5D80"/>
    <w:rsid w:val="000B62F4"/>
    <w:rsid w:val="000B6449"/>
    <w:rsid w:val="000B75B5"/>
    <w:rsid w:val="000B7934"/>
    <w:rsid w:val="000C0315"/>
    <w:rsid w:val="000C07FF"/>
    <w:rsid w:val="000C0D08"/>
    <w:rsid w:val="000C0D77"/>
    <w:rsid w:val="000C0FA6"/>
    <w:rsid w:val="000C1066"/>
    <w:rsid w:val="000C2030"/>
    <w:rsid w:val="000C2446"/>
    <w:rsid w:val="000C288B"/>
    <w:rsid w:val="000C2C50"/>
    <w:rsid w:val="000C316B"/>
    <w:rsid w:val="000C353C"/>
    <w:rsid w:val="000C3605"/>
    <w:rsid w:val="000C36D2"/>
    <w:rsid w:val="000C3ADB"/>
    <w:rsid w:val="000C3C49"/>
    <w:rsid w:val="000C4068"/>
    <w:rsid w:val="000C4324"/>
    <w:rsid w:val="000C4384"/>
    <w:rsid w:val="000C4461"/>
    <w:rsid w:val="000C491B"/>
    <w:rsid w:val="000C4BDC"/>
    <w:rsid w:val="000C4F2C"/>
    <w:rsid w:val="000C5A1F"/>
    <w:rsid w:val="000C62B1"/>
    <w:rsid w:val="000C779D"/>
    <w:rsid w:val="000D1262"/>
    <w:rsid w:val="000D1C77"/>
    <w:rsid w:val="000D1E40"/>
    <w:rsid w:val="000D1E47"/>
    <w:rsid w:val="000D23F0"/>
    <w:rsid w:val="000D2531"/>
    <w:rsid w:val="000D264C"/>
    <w:rsid w:val="000D26CF"/>
    <w:rsid w:val="000D2962"/>
    <w:rsid w:val="000D2CA2"/>
    <w:rsid w:val="000D2CE2"/>
    <w:rsid w:val="000D2F3F"/>
    <w:rsid w:val="000D3E18"/>
    <w:rsid w:val="000D4F6E"/>
    <w:rsid w:val="000D508E"/>
    <w:rsid w:val="000D5619"/>
    <w:rsid w:val="000D5825"/>
    <w:rsid w:val="000D5B24"/>
    <w:rsid w:val="000D62E4"/>
    <w:rsid w:val="000D6CF5"/>
    <w:rsid w:val="000D72EB"/>
    <w:rsid w:val="000D774D"/>
    <w:rsid w:val="000D7821"/>
    <w:rsid w:val="000E0000"/>
    <w:rsid w:val="000E00F6"/>
    <w:rsid w:val="000E04E1"/>
    <w:rsid w:val="000E061A"/>
    <w:rsid w:val="000E09E6"/>
    <w:rsid w:val="000E09F6"/>
    <w:rsid w:val="000E1222"/>
    <w:rsid w:val="000E12E9"/>
    <w:rsid w:val="000E1518"/>
    <w:rsid w:val="000E15C8"/>
    <w:rsid w:val="000E1710"/>
    <w:rsid w:val="000E2134"/>
    <w:rsid w:val="000E235F"/>
    <w:rsid w:val="000E316C"/>
    <w:rsid w:val="000E32EF"/>
    <w:rsid w:val="000E3549"/>
    <w:rsid w:val="000E372C"/>
    <w:rsid w:val="000E4274"/>
    <w:rsid w:val="000E44AE"/>
    <w:rsid w:val="000E4519"/>
    <w:rsid w:val="000E4C51"/>
    <w:rsid w:val="000E4CEF"/>
    <w:rsid w:val="000E4D2F"/>
    <w:rsid w:val="000E4E92"/>
    <w:rsid w:val="000E523C"/>
    <w:rsid w:val="000E59C4"/>
    <w:rsid w:val="000E63A6"/>
    <w:rsid w:val="000E6494"/>
    <w:rsid w:val="000E6963"/>
    <w:rsid w:val="000E6B73"/>
    <w:rsid w:val="000E6CAE"/>
    <w:rsid w:val="000E722B"/>
    <w:rsid w:val="000F019A"/>
    <w:rsid w:val="000F0F99"/>
    <w:rsid w:val="000F131F"/>
    <w:rsid w:val="000F1791"/>
    <w:rsid w:val="000F1FC8"/>
    <w:rsid w:val="000F1FF3"/>
    <w:rsid w:val="000F28E4"/>
    <w:rsid w:val="000F291F"/>
    <w:rsid w:val="000F2BCD"/>
    <w:rsid w:val="000F3332"/>
    <w:rsid w:val="000F3638"/>
    <w:rsid w:val="000F39AF"/>
    <w:rsid w:val="000F3D5B"/>
    <w:rsid w:val="000F44D9"/>
    <w:rsid w:val="000F4F55"/>
    <w:rsid w:val="000F4FA1"/>
    <w:rsid w:val="000F5116"/>
    <w:rsid w:val="000F576C"/>
    <w:rsid w:val="000F5EBE"/>
    <w:rsid w:val="000F63AA"/>
    <w:rsid w:val="000F63E2"/>
    <w:rsid w:val="000F657D"/>
    <w:rsid w:val="000F6C0B"/>
    <w:rsid w:val="000F6DA8"/>
    <w:rsid w:val="000F73C4"/>
    <w:rsid w:val="000F75F3"/>
    <w:rsid w:val="00100A96"/>
    <w:rsid w:val="00101003"/>
    <w:rsid w:val="00101872"/>
    <w:rsid w:val="00101B38"/>
    <w:rsid w:val="00101F2A"/>
    <w:rsid w:val="001024F8"/>
    <w:rsid w:val="001027E3"/>
    <w:rsid w:val="00102AD6"/>
    <w:rsid w:val="00102BA4"/>
    <w:rsid w:val="00102C30"/>
    <w:rsid w:val="00103371"/>
    <w:rsid w:val="0010339E"/>
    <w:rsid w:val="001033E7"/>
    <w:rsid w:val="00103B7A"/>
    <w:rsid w:val="00103D64"/>
    <w:rsid w:val="00104430"/>
    <w:rsid w:val="00104A24"/>
    <w:rsid w:val="00104AAE"/>
    <w:rsid w:val="00104F72"/>
    <w:rsid w:val="00105642"/>
    <w:rsid w:val="00105C61"/>
    <w:rsid w:val="00105D36"/>
    <w:rsid w:val="0010683E"/>
    <w:rsid w:val="001068DF"/>
    <w:rsid w:val="00106AD9"/>
    <w:rsid w:val="00107150"/>
    <w:rsid w:val="0010764D"/>
    <w:rsid w:val="00107A8C"/>
    <w:rsid w:val="0011031E"/>
    <w:rsid w:val="00110662"/>
    <w:rsid w:val="00110733"/>
    <w:rsid w:val="00110A83"/>
    <w:rsid w:val="00111219"/>
    <w:rsid w:val="00111323"/>
    <w:rsid w:val="00111342"/>
    <w:rsid w:val="00111B7C"/>
    <w:rsid w:val="00111DE8"/>
    <w:rsid w:val="00111E65"/>
    <w:rsid w:val="00111F15"/>
    <w:rsid w:val="001121F2"/>
    <w:rsid w:val="00112545"/>
    <w:rsid w:val="001125B3"/>
    <w:rsid w:val="001125DD"/>
    <w:rsid w:val="00112880"/>
    <w:rsid w:val="00113644"/>
    <w:rsid w:val="0011386B"/>
    <w:rsid w:val="001138F6"/>
    <w:rsid w:val="00113D47"/>
    <w:rsid w:val="00114144"/>
    <w:rsid w:val="001147DB"/>
    <w:rsid w:val="00114864"/>
    <w:rsid w:val="00114E5B"/>
    <w:rsid w:val="00114E87"/>
    <w:rsid w:val="001150E0"/>
    <w:rsid w:val="00115205"/>
    <w:rsid w:val="00116124"/>
    <w:rsid w:val="00116298"/>
    <w:rsid w:val="0011636B"/>
    <w:rsid w:val="00116598"/>
    <w:rsid w:val="00116852"/>
    <w:rsid w:val="00116F71"/>
    <w:rsid w:val="001179AF"/>
    <w:rsid w:val="00117E6E"/>
    <w:rsid w:val="00120025"/>
    <w:rsid w:val="001201E6"/>
    <w:rsid w:val="001208B9"/>
    <w:rsid w:val="00120931"/>
    <w:rsid w:val="00121221"/>
    <w:rsid w:val="00121905"/>
    <w:rsid w:val="00121E93"/>
    <w:rsid w:val="00122181"/>
    <w:rsid w:val="00122431"/>
    <w:rsid w:val="00122BE1"/>
    <w:rsid w:val="00122DC5"/>
    <w:rsid w:val="00122F57"/>
    <w:rsid w:val="001233B3"/>
    <w:rsid w:val="001233BE"/>
    <w:rsid w:val="00123519"/>
    <w:rsid w:val="00123728"/>
    <w:rsid w:val="00123A0D"/>
    <w:rsid w:val="00123F9E"/>
    <w:rsid w:val="00124008"/>
    <w:rsid w:val="00124888"/>
    <w:rsid w:val="001253AF"/>
    <w:rsid w:val="001257E9"/>
    <w:rsid w:val="0012694B"/>
    <w:rsid w:val="0012696B"/>
    <w:rsid w:val="00126F7F"/>
    <w:rsid w:val="001270E6"/>
    <w:rsid w:val="001274FF"/>
    <w:rsid w:val="001277FD"/>
    <w:rsid w:val="001302A0"/>
    <w:rsid w:val="00130400"/>
    <w:rsid w:val="00130615"/>
    <w:rsid w:val="001307E1"/>
    <w:rsid w:val="00130E14"/>
    <w:rsid w:val="00131216"/>
    <w:rsid w:val="001313F3"/>
    <w:rsid w:val="00131463"/>
    <w:rsid w:val="00131B25"/>
    <w:rsid w:val="00131D4E"/>
    <w:rsid w:val="00131D73"/>
    <w:rsid w:val="00132E1A"/>
    <w:rsid w:val="00133B15"/>
    <w:rsid w:val="00134E6F"/>
    <w:rsid w:val="0013514F"/>
    <w:rsid w:val="0013565A"/>
    <w:rsid w:val="00135907"/>
    <w:rsid w:val="00135EAE"/>
    <w:rsid w:val="00135EEF"/>
    <w:rsid w:val="00135F36"/>
    <w:rsid w:val="00136B57"/>
    <w:rsid w:val="00136BF8"/>
    <w:rsid w:val="00136D1A"/>
    <w:rsid w:val="0013752A"/>
    <w:rsid w:val="00137EF2"/>
    <w:rsid w:val="00140078"/>
    <w:rsid w:val="00140E19"/>
    <w:rsid w:val="00141551"/>
    <w:rsid w:val="00141617"/>
    <w:rsid w:val="00141F63"/>
    <w:rsid w:val="0014220D"/>
    <w:rsid w:val="001424E3"/>
    <w:rsid w:val="00142702"/>
    <w:rsid w:val="001429A0"/>
    <w:rsid w:val="00143BF2"/>
    <w:rsid w:val="00144AA1"/>
    <w:rsid w:val="00144D0E"/>
    <w:rsid w:val="00145876"/>
    <w:rsid w:val="00145CC3"/>
    <w:rsid w:val="00145FF0"/>
    <w:rsid w:val="00146545"/>
    <w:rsid w:val="0014719F"/>
    <w:rsid w:val="00147773"/>
    <w:rsid w:val="00147C15"/>
    <w:rsid w:val="00147EBE"/>
    <w:rsid w:val="0015072A"/>
    <w:rsid w:val="0015091B"/>
    <w:rsid w:val="0015120E"/>
    <w:rsid w:val="00151604"/>
    <w:rsid w:val="0015218F"/>
    <w:rsid w:val="00152BFA"/>
    <w:rsid w:val="00152EAD"/>
    <w:rsid w:val="0015313C"/>
    <w:rsid w:val="001537D0"/>
    <w:rsid w:val="00153CA3"/>
    <w:rsid w:val="00154116"/>
    <w:rsid w:val="00154F3E"/>
    <w:rsid w:val="00154F57"/>
    <w:rsid w:val="0015528C"/>
    <w:rsid w:val="00155559"/>
    <w:rsid w:val="00155F87"/>
    <w:rsid w:val="00155F89"/>
    <w:rsid w:val="00156196"/>
    <w:rsid w:val="0015637F"/>
    <w:rsid w:val="001564A9"/>
    <w:rsid w:val="0015689B"/>
    <w:rsid w:val="00156F0B"/>
    <w:rsid w:val="00156FFD"/>
    <w:rsid w:val="00157053"/>
    <w:rsid w:val="001573B5"/>
    <w:rsid w:val="00160302"/>
    <w:rsid w:val="00160635"/>
    <w:rsid w:val="001607CE"/>
    <w:rsid w:val="001608BA"/>
    <w:rsid w:val="00160E85"/>
    <w:rsid w:val="00161353"/>
    <w:rsid w:val="00161549"/>
    <w:rsid w:val="00161C48"/>
    <w:rsid w:val="00162200"/>
    <w:rsid w:val="00162307"/>
    <w:rsid w:val="00162393"/>
    <w:rsid w:val="00162416"/>
    <w:rsid w:val="00163193"/>
    <w:rsid w:val="001636D9"/>
    <w:rsid w:val="00163852"/>
    <w:rsid w:val="001643E4"/>
    <w:rsid w:val="00164750"/>
    <w:rsid w:val="00164848"/>
    <w:rsid w:val="00164CDE"/>
    <w:rsid w:val="00164D0F"/>
    <w:rsid w:val="001663ED"/>
    <w:rsid w:val="00166794"/>
    <w:rsid w:val="00167267"/>
    <w:rsid w:val="00167565"/>
    <w:rsid w:val="00167825"/>
    <w:rsid w:val="00170AA3"/>
    <w:rsid w:val="00170B48"/>
    <w:rsid w:val="00170BB5"/>
    <w:rsid w:val="001718EF"/>
    <w:rsid w:val="00171E9C"/>
    <w:rsid w:val="00171F21"/>
    <w:rsid w:val="00172165"/>
    <w:rsid w:val="001725A0"/>
    <w:rsid w:val="001729D4"/>
    <w:rsid w:val="00172A27"/>
    <w:rsid w:val="00172B1A"/>
    <w:rsid w:val="00172BC7"/>
    <w:rsid w:val="00172D01"/>
    <w:rsid w:val="00173204"/>
    <w:rsid w:val="00173451"/>
    <w:rsid w:val="00173C6E"/>
    <w:rsid w:val="00174208"/>
    <w:rsid w:val="00174745"/>
    <w:rsid w:val="00174E76"/>
    <w:rsid w:val="00176967"/>
    <w:rsid w:val="00176984"/>
    <w:rsid w:val="00177294"/>
    <w:rsid w:val="001773CD"/>
    <w:rsid w:val="00177616"/>
    <w:rsid w:val="001777ED"/>
    <w:rsid w:val="00177C23"/>
    <w:rsid w:val="00177E86"/>
    <w:rsid w:val="00177F1C"/>
    <w:rsid w:val="00177F28"/>
    <w:rsid w:val="00180B94"/>
    <w:rsid w:val="00180E3B"/>
    <w:rsid w:val="00180EE9"/>
    <w:rsid w:val="00181128"/>
    <w:rsid w:val="00181554"/>
    <w:rsid w:val="00182647"/>
    <w:rsid w:val="00182B8E"/>
    <w:rsid w:val="00182E49"/>
    <w:rsid w:val="00183965"/>
    <w:rsid w:val="001841F2"/>
    <w:rsid w:val="001842A2"/>
    <w:rsid w:val="0018459A"/>
    <w:rsid w:val="00184AE6"/>
    <w:rsid w:val="00184DE0"/>
    <w:rsid w:val="00184E03"/>
    <w:rsid w:val="001854C5"/>
    <w:rsid w:val="00185655"/>
    <w:rsid w:val="00186087"/>
    <w:rsid w:val="00186AAC"/>
    <w:rsid w:val="00186D6A"/>
    <w:rsid w:val="00186DFC"/>
    <w:rsid w:val="001871F2"/>
    <w:rsid w:val="001878C2"/>
    <w:rsid w:val="001902FD"/>
    <w:rsid w:val="00190755"/>
    <w:rsid w:val="00190AD2"/>
    <w:rsid w:val="00190CA6"/>
    <w:rsid w:val="00190E41"/>
    <w:rsid w:val="001913B4"/>
    <w:rsid w:val="0019173E"/>
    <w:rsid w:val="001919DD"/>
    <w:rsid w:val="0019277C"/>
    <w:rsid w:val="001930B5"/>
    <w:rsid w:val="001936AE"/>
    <w:rsid w:val="00193A6E"/>
    <w:rsid w:val="00193CD4"/>
    <w:rsid w:val="00193F2E"/>
    <w:rsid w:val="001941E9"/>
    <w:rsid w:val="00194372"/>
    <w:rsid w:val="001950BA"/>
    <w:rsid w:val="001951D0"/>
    <w:rsid w:val="00195500"/>
    <w:rsid w:val="00195679"/>
    <w:rsid w:val="00195EFD"/>
    <w:rsid w:val="00196B89"/>
    <w:rsid w:val="00197217"/>
    <w:rsid w:val="001972AB"/>
    <w:rsid w:val="001977C1"/>
    <w:rsid w:val="00197BB4"/>
    <w:rsid w:val="00197E4A"/>
    <w:rsid w:val="00197F62"/>
    <w:rsid w:val="001A059A"/>
    <w:rsid w:val="001A099F"/>
    <w:rsid w:val="001A1092"/>
    <w:rsid w:val="001A1494"/>
    <w:rsid w:val="001A14B5"/>
    <w:rsid w:val="001A15F3"/>
    <w:rsid w:val="001A2305"/>
    <w:rsid w:val="001A31C3"/>
    <w:rsid w:val="001A32A1"/>
    <w:rsid w:val="001A37D9"/>
    <w:rsid w:val="001A3D5E"/>
    <w:rsid w:val="001A3FE4"/>
    <w:rsid w:val="001A4ADB"/>
    <w:rsid w:val="001A4B32"/>
    <w:rsid w:val="001A65BD"/>
    <w:rsid w:val="001A6ABD"/>
    <w:rsid w:val="001A7055"/>
    <w:rsid w:val="001A7538"/>
    <w:rsid w:val="001A7D74"/>
    <w:rsid w:val="001A7FE4"/>
    <w:rsid w:val="001B0058"/>
    <w:rsid w:val="001B038E"/>
    <w:rsid w:val="001B08CD"/>
    <w:rsid w:val="001B0F33"/>
    <w:rsid w:val="001B120B"/>
    <w:rsid w:val="001B1F8C"/>
    <w:rsid w:val="001B35C6"/>
    <w:rsid w:val="001B39EF"/>
    <w:rsid w:val="001B3BA5"/>
    <w:rsid w:val="001B3D75"/>
    <w:rsid w:val="001B3FC0"/>
    <w:rsid w:val="001B4320"/>
    <w:rsid w:val="001B456E"/>
    <w:rsid w:val="001B4AC3"/>
    <w:rsid w:val="001B4F67"/>
    <w:rsid w:val="001B627B"/>
    <w:rsid w:val="001B6609"/>
    <w:rsid w:val="001B6D05"/>
    <w:rsid w:val="001B7CF7"/>
    <w:rsid w:val="001C0089"/>
    <w:rsid w:val="001C02F7"/>
    <w:rsid w:val="001C0790"/>
    <w:rsid w:val="001C0868"/>
    <w:rsid w:val="001C0931"/>
    <w:rsid w:val="001C1DB0"/>
    <w:rsid w:val="001C2227"/>
    <w:rsid w:val="001C2394"/>
    <w:rsid w:val="001C24A7"/>
    <w:rsid w:val="001C29F7"/>
    <w:rsid w:val="001C2AB8"/>
    <w:rsid w:val="001C2AD8"/>
    <w:rsid w:val="001C2B64"/>
    <w:rsid w:val="001C2CD3"/>
    <w:rsid w:val="001C3174"/>
    <w:rsid w:val="001C33EA"/>
    <w:rsid w:val="001C3B89"/>
    <w:rsid w:val="001C3BB5"/>
    <w:rsid w:val="001C44E7"/>
    <w:rsid w:val="001C4AEF"/>
    <w:rsid w:val="001C4F2E"/>
    <w:rsid w:val="001C5154"/>
    <w:rsid w:val="001C527B"/>
    <w:rsid w:val="001C575C"/>
    <w:rsid w:val="001C5872"/>
    <w:rsid w:val="001C58FE"/>
    <w:rsid w:val="001C5B80"/>
    <w:rsid w:val="001C5D57"/>
    <w:rsid w:val="001C62EC"/>
    <w:rsid w:val="001C693D"/>
    <w:rsid w:val="001C716B"/>
    <w:rsid w:val="001C76CB"/>
    <w:rsid w:val="001C7858"/>
    <w:rsid w:val="001C7872"/>
    <w:rsid w:val="001C7C87"/>
    <w:rsid w:val="001C7CAF"/>
    <w:rsid w:val="001C7F35"/>
    <w:rsid w:val="001D030A"/>
    <w:rsid w:val="001D0329"/>
    <w:rsid w:val="001D03F3"/>
    <w:rsid w:val="001D07D3"/>
    <w:rsid w:val="001D086F"/>
    <w:rsid w:val="001D15F2"/>
    <w:rsid w:val="001D1702"/>
    <w:rsid w:val="001D18A2"/>
    <w:rsid w:val="001D1A2F"/>
    <w:rsid w:val="001D22CE"/>
    <w:rsid w:val="001D2AF5"/>
    <w:rsid w:val="001D2BB5"/>
    <w:rsid w:val="001D3814"/>
    <w:rsid w:val="001D3962"/>
    <w:rsid w:val="001D3A3A"/>
    <w:rsid w:val="001D3F64"/>
    <w:rsid w:val="001D485A"/>
    <w:rsid w:val="001D51A9"/>
    <w:rsid w:val="001D5219"/>
    <w:rsid w:val="001D52EE"/>
    <w:rsid w:val="001D5443"/>
    <w:rsid w:val="001D5A15"/>
    <w:rsid w:val="001D6286"/>
    <w:rsid w:val="001D63F9"/>
    <w:rsid w:val="001D6E4C"/>
    <w:rsid w:val="001D7140"/>
    <w:rsid w:val="001E0435"/>
    <w:rsid w:val="001E07CB"/>
    <w:rsid w:val="001E0BA3"/>
    <w:rsid w:val="001E0D7E"/>
    <w:rsid w:val="001E1010"/>
    <w:rsid w:val="001E1807"/>
    <w:rsid w:val="001E1A1D"/>
    <w:rsid w:val="001E1F9F"/>
    <w:rsid w:val="001E2A22"/>
    <w:rsid w:val="001E2A47"/>
    <w:rsid w:val="001E3249"/>
    <w:rsid w:val="001E38DC"/>
    <w:rsid w:val="001E3C7D"/>
    <w:rsid w:val="001E4EFC"/>
    <w:rsid w:val="001E5C56"/>
    <w:rsid w:val="001E6386"/>
    <w:rsid w:val="001E65B2"/>
    <w:rsid w:val="001E6697"/>
    <w:rsid w:val="001E690B"/>
    <w:rsid w:val="001E6932"/>
    <w:rsid w:val="001E6B28"/>
    <w:rsid w:val="001E6D3E"/>
    <w:rsid w:val="001E6FC7"/>
    <w:rsid w:val="001E706E"/>
    <w:rsid w:val="001E70E8"/>
    <w:rsid w:val="001E7183"/>
    <w:rsid w:val="001E71B9"/>
    <w:rsid w:val="001E75A8"/>
    <w:rsid w:val="001E7E5D"/>
    <w:rsid w:val="001F01E1"/>
    <w:rsid w:val="001F01E3"/>
    <w:rsid w:val="001F0C5E"/>
    <w:rsid w:val="001F1275"/>
    <w:rsid w:val="001F1509"/>
    <w:rsid w:val="001F179E"/>
    <w:rsid w:val="001F1DFE"/>
    <w:rsid w:val="001F2379"/>
    <w:rsid w:val="001F2484"/>
    <w:rsid w:val="001F264C"/>
    <w:rsid w:val="001F28D2"/>
    <w:rsid w:val="001F2A3B"/>
    <w:rsid w:val="001F3484"/>
    <w:rsid w:val="001F4350"/>
    <w:rsid w:val="001F4444"/>
    <w:rsid w:val="001F470B"/>
    <w:rsid w:val="001F4822"/>
    <w:rsid w:val="001F4885"/>
    <w:rsid w:val="001F4951"/>
    <w:rsid w:val="001F4A30"/>
    <w:rsid w:val="001F4D7E"/>
    <w:rsid w:val="001F524F"/>
    <w:rsid w:val="001F5509"/>
    <w:rsid w:val="001F5722"/>
    <w:rsid w:val="001F5AA5"/>
    <w:rsid w:val="001F5EDB"/>
    <w:rsid w:val="001F5FBF"/>
    <w:rsid w:val="001F606B"/>
    <w:rsid w:val="001F61F0"/>
    <w:rsid w:val="001F65F2"/>
    <w:rsid w:val="001F69B3"/>
    <w:rsid w:val="001F6E57"/>
    <w:rsid w:val="001F6EA6"/>
    <w:rsid w:val="001F7461"/>
    <w:rsid w:val="001F74CC"/>
    <w:rsid w:val="00200676"/>
    <w:rsid w:val="00201BDE"/>
    <w:rsid w:val="00201C89"/>
    <w:rsid w:val="002027CA"/>
    <w:rsid w:val="00202DC7"/>
    <w:rsid w:val="00202DE6"/>
    <w:rsid w:val="00203296"/>
    <w:rsid w:val="00203661"/>
    <w:rsid w:val="002039CA"/>
    <w:rsid w:val="00203BBD"/>
    <w:rsid w:val="00203D5D"/>
    <w:rsid w:val="00204695"/>
    <w:rsid w:val="00204F03"/>
    <w:rsid w:val="002052E0"/>
    <w:rsid w:val="002057A5"/>
    <w:rsid w:val="00205B80"/>
    <w:rsid w:val="00205CBF"/>
    <w:rsid w:val="0020692B"/>
    <w:rsid w:val="00206FB6"/>
    <w:rsid w:val="0020745C"/>
    <w:rsid w:val="00207CC2"/>
    <w:rsid w:val="00207CC8"/>
    <w:rsid w:val="00207CD0"/>
    <w:rsid w:val="00210232"/>
    <w:rsid w:val="002104DB"/>
    <w:rsid w:val="00210963"/>
    <w:rsid w:val="00210EC3"/>
    <w:rsid w:val="00211344"/>
    <w:rsid w:val="002116DB"/>
    <w:rsid w:val="0021189A"/>
    <w:rsid w:val="00211911"/>
    <w:rsid w:val="00211EF3"/>
    <w:rsid w:val="00211F28"/>
    <w:rsid w:val="002123CA"/>
    <w:rsid w:val="00212463"/>
    <w:rsid w:val="00212511"/>
    <w:rsid w:val="00212695"/>
    <w:rsid w:val="00212722"/>
    <w:rsid w:val="002128FD"/>
    <w:rsid w:val="00212AB1"/>
    <w:rsid w:val="00212B2E"/>
    <w:rsid w:val="00212FDA"/>
    <w:rsid w:val="0021344D"/>
    <w:rsid w:val="0021370B"/>
    <w:rsid w:val="002139A8"/>
    <w:rsid w:val="00213E60"/>
    <w:rsid w:val="00214139"/>
    <w:rsid w:val="002144F7"/>
    <w:rsid w:val="00214E0A"/>
    <w:rsid w:val="00215361"/>
    <w:rsid w:val="00215ED5"/>
    <w:rsid w:val="00215F61"/>
    <w:rsid w:val="002168CA"/>
    <w:rsid w:val="002172B0"/>
    <w:rsid w:val="00217951"/>
    <w:rsid w:val="00217B1B"/>
    <w:rsid w:val="00217B63"/>
    <w:rsid w:val="00220924"/>
    <w:rsid w:val="00220E1E"/>
    <w:rsid w:val="00220E45"/>
    <w:rsid w:val="00221196"/>
    <w:rsid w:val="00221506"/>
    <w:rsid w:val="002216BA"/>
    <w:rsid w:val="00221830"/>
    <w:rsid w:val="002218F1"/>
    <w:rsid w:val="00221EDD"/>
    <w:rsid w:val="0022269A"/>
    <w:rsid w:val="00222990"/>
    <w:rsid w:val="00222B41"/>
    <w:rsid w:val="00222C50"/>
    <w:rsid w:val="00222DA7"/>
    <w:rsid w:val="00223448"/>
    <w:rsid w:val="00223892"/>
    <w:rsid w:val="00223A68"/>
    <w:rsid w:val="00223F9D"/>
    <w:rsid w:val="0022432B"/>
    <w:rsid w:val="00224B6C"/>
    <w:rsid w:val="002253B9"/>
    <w:rsid w:val="00225922"/>
    <w:rsid w:val="00225E91"/>
    <w:rsid w:val="00226C8B"/>
    <w:rsid w:val="00226D93"/>
    <w:rsid w:val="00226E2F"/>
    <w:rsid w:val="0022781D"/>
    <w:rsid w:val="00227CAC"/>
    <w:rsid w:val="00227D8E"/>
    <w:rsid w:val="00230C47"/>
    <w:rsid w:val="00230E08"/>
    <w:rsid w:val="00230FBC"/>
    <w:rsid w:val="00231415"/>
    <w:rsid w:val="00231998"/>
    <w:rsid w:val="00231C02"/>
    <w:rsid w:val="00232774"/>
    <w:rsid w:val="002327DB"/>
    <w:rsid w:val="00232FEB"/>
    <w:rsid w:val="00234084"/>
    <w:rsid w:val="00234225"/>
    <w:rsid w:val="00235055"/>
    <w:rsid w:val="0023522C"/>
    <w:rsid w:val="002356C0"/>
    <w:rsid w:val="00235828"/>
    <w:rsid w:val="00235930"/>
    <w:rsid w:val="00235FF6"/>
    <w:rsid w:val="002369B7"/>
    <w:rsid w:val="00236B1D"/>
    <w:rsid w:val="00236D7D"/>
    <w:rsid w:val="0023703E"/>
    <w:rsid w:val="0023728A"/>
    <w:rsid w:val="00237845"/>
    <w:rsid w:val="002379A3"/>
    <w:rsid w:val="00237B5A"/>
    <w:rsid w:val="00237E58"/>
    <w:rsid w:val="00240135"/>
    <w:rsid w:val="00240EBD"/>
    <w:rsid w:val="00241252"/>
    <w:rsid w:val="0024161A"/>
    <w:rsid w:val="00241780"/>
    <w:rsid w:val="00241AEB"/>
    <w:rsid w:val="00241EF3"/>
    <w:rsid w:val="002426A3"/>
    <w:rsid w:val="00242886"/>
    <w:rsid w:val="00243431"/>
    <w:rsid w:val="00243896"/>
    <w:rsid w:val="002439D3"/>
    <w:rsid w:val="00243CBA"/>
    <w:rsid w:val="00243D6A"/>
    <w:rsid w:val="00245442"/>
    <w:rsid w:val="00245D96"/>
    <w:rsid w:val="00246C2A"/>
    <w:rsid w:val="00246D1D"/>
    <w:rsid w:val="002479D5"/>
    <w:rsid w:val="00250191"/>
    <w:rsid w:val="00250946"/>
    <w:rsid w:val="00250C93"/>
    <w:rsid w:val="00250EB1"/>
    <w:rsid w:val="0025108A"/>
    <w:rsid w:val="00251B98"/>
    <w:rsid w:val="00251F70"/>
    <w:rsid w:val="002525D5"/>
    <w:rsid w:val="00252946"/>
    <w:rsid w:val="00252ABA"/>
    <w:rsid w:val="00252B31"/>
    <w:rsid w:val="002531A1"/>
    <w:rsid w:val="002531F6"/>
    <w:rsid w:val="00253AA6"/>
    <w:rsid w:val="00253FF2"/>
    <w:rsid w:val="00254087"/>
    <w:rsid w:val="0025429C"/>
    <w:rsid w:val="0025452D"/>
    <w:rsid w:val="00254598"/>
    <w:rsid w:val="002546DB"/>
    <w:rsid w:val="00254963"/>
    <w:rsid w:val="00254E26"/>
    <w:rsid w:val="0025528D"/>
    <w:rsid w:val="00255741"/>
    <w:rsid w:val="00255DB5"/>
    <w:rsid w:val="002566E6"/>
    <w:rsid w:val="002568E8"/>
    <w:rsid w:val="00256D72"/>
    <w:rsid w:val="0025741A"/>
    <w:rsid w:val="00257467"/>
    <w:rsid w:val="00257DA0"/>
    <w:rsid w:val="002601FE"/>
    <w:rsid w:val="0026023A"/>
    <w:rsid w:val="002605D4"/>
    <w:rsid w:val="00260677"/>
    <w:rsid w:val="00260E03"/>
    <w:rsid w:val="00261182"/>
    <w:rsid w:val="00261753"/>
    <w:rsid w:val="00261F2C"/>
    <w:rsid w:val="002625D2"/>
    <w:rsid w:val="00262B73"/>
    <w:rsid w:val="00263582"/>
    <w:rsid w:val="00263B33"/>
    <w:rsid w:val="00263B86"/>
    <w:rsid w:val="002641BE"/>
    <w:rsid w:val="002641C8"/>
    <w:rsid w:val="00264268"/>
    <w:rsid w:val="00264511"/>
    <w:rsid w:val="00264BFF"/>
    <w:rsid w:val="00265054"/>
    <w:rsid w:val="00265437"/>
    <w:rsid w:val="002655FF"/>
    <w:rsid w:val="002656D0"/>
    <w:rsid w:val="00265CB5"/>
    <w:rsid w:val="00265E3F"/>
    <w:rsid w:val="00266980"/>
    <w:rsid w:val="002672C1"/>
    <w:rsid w:val="00267679"/>
    <w:rsid w:val="00267ACB"/>
    <w:rsid w:val="002705CB"/>
    <w:rsid w:val="00270688"/>
    <w:rsid w:val="00270960"/>
    <w:rsid w:val="00270D28"/>
    <w:rsid w:val="00270E03"/>
    <w:rsid w:val="00270EF5"/>
    <w:rsid w:val="00271518"/>
    <w:rsid w:val="002721E4"/>
    <w:rsid w:val="002725CA"/>
    <w:rsid w:val="0027263E"/>
    <w:rsid w:val="002728E0"/>
    <w:rsid w:val="00272AFD"/>
    <w:rsid w:val="00273A0A"/>
    <w:rsid w:val="00273BAA"/>
    <w:rsid w:val="00273ED1"/>
    <w:rsid w:val="00274622"/>
    <w:rsid w:val="00274AD9"/>
    <w:rsid w:val="00274B6E"/>
    <w:rsid w:val="00274C63"/>
    <w:rsid w:val="00274FC8"/>
    <w:rsid w:val="00275132"/>
    <w:rsid w:val="00275299"/>
    <w:rsid w:val="002755BD"/>
    <w:rsid w:val="00275A04"/>
    <w:rsid w:val="00276D33"/>
    <w:rsid w:val="0027711A"/>
    <w:rsid w:val="00277B6A"/>
    <w:rsid w:val="00277CF9"/>
    <w:rsid w:val="00277F02"/>
    <w:rsid w:val="00280CFB"/>
    <w:rsid w:val="002810C5"/>
    <w:rsid w:val="0028195C"/>
    <w:rsid w:val="00281ABF"/>
    <w:rsid w:val="002826C3"/>
    <w:rsid w:val="00284B1F"/>
    <w:rsid w:val="00284DFB"/>
    <w:rsid w:val="00285198"/>
    <w:rsid w:val="00285995"/>
    <w:rsid w:val="00285A28"/>
    <w:rsid w:val="00285A43"/>
    <w:rsid w:val="002866CB"/>
    <w:rsid w:val="002867CC"/>
    <w:rsid w:val="00287F16"/>
    <w:rsid w:val="00287F19"/>
    <w:rsid w:val="00290765"/>
    <w:rsid w:val="002916C6"/>
    <w:rsid w:val="00291A80"/>
    <w:rsid w:val="00292299"/>
    <w:rsid w:val="00292651"/>
    <w:rsid w:val="00292AEF"/>
    <w:rsid w:val="00292BE8"/>
    <w:rsid w:val="00292FB5"/>
    <w:rsid w:val="00293490"/>
    <w:rsid w:val="00293B94"/>
    <w:rsid w:val="00293C44"/>
    <w:rsid w:val="00293C4E"/>
    <w:rsid w:val="002947A2"/>
    <w:rsid w:val="00294874"/>
    <w:rsid w:val="002948C1"/>
    <w:rsid w:val="00294C34"/>
    <w:rsid w:val="00295DF0"/>
    <w:rsid w:val="00296142"/>
    <w:rsid w:val="002964E7"/>
    <w:rsid w:val="00297508"/>
    <w:rsid w:val="00297C45"/>
    <w:rsid w:val="002A0129"/>
    <w:rsid w:val="002A09D1"/>
    <w:rsid w:val="002A1647"/>
    <w:rsid w:val="002A1B54"/>
    <w:rsid w:val="002A234E"/>
    <w:rsid w:val="002A25BD"/>
    <w:rsid w:val="002A29DF"/>
    <w:rsid w:val="002A3116"/>
    <w:rsid w:val="002A344A"/>
    <w:rsid w:val="002A4158"/>
    <w:rsid w:val="002A4621"/>
    <w:rsid w:val="002A4BF9"/>
    <w:rsid w:val="002A4C96"/>
    <w:rsid w:val="002A538D"/>
    <w:rsid w:val="002A5913"/>
    <w:rsid w:val="002A5973"/>
    <w:rsid w:val="002A5A58"/>
    <w:rsid w:val="002A5FE1"/>
    <w:rsid w:val="002A66E4"/>
    <w:rsid w:val="002A6E47"/>
    <w:rsid w:val="002A6FDB"/>
    <w:rsid w:val="002A78F1"/>
    <w:rsid w:val="002A7A94"/>
    <w:rsid w:val="002B0486"/>
    <w:rsid w:val="002B073D"/>
    <w:rsid w:val="002B0B15"/>
    <w:rsid w:val="002B1949"/>
    <w:rsid w:val="002B1EEC"/>
    <w:rsid w:val="002B2207"/>
    <w:rsid w:val="002B2384"/>
    <w:rsid w:val="002B276C"/>
    <w:rsid w:val="002B282E"/>
    <w:rsid w:val="002B2BD6"/>
    <w:rsid w:val="002B2C87"/>
    <w:rsid w:val="002B2D16"/>
    <w:rsid w:val="002B3781"/>
    <w:rsid w:val="002B3EB4"/>
    <w:rsid w:val="002B48CB"/>
    <w:rsid w:val="002B4A30"/>
    <w:rsid w:val="002B53AE"/>
    <w:rsid w:val="002B544F"/>
    <w:rsid w:val="002B5F59"/>
    <w:rsid w:val="002B62C9"/>
    <w:rsid w:val="002B62DE"/>
    <w:rsid w:val="002B6657"/>
    <w:rsid w:val="002B66B3"/>
    <w:rsid w:val="002B7092"/>
    <w:rsid w:val="002B7287"/>
    <w:rsid w:val="002B7348"/>
    <w:rsid w:val="002B763C"/>
    <w:rsid w:val="002B778A"/>
    <w:rsid w:val="002B7FC6"/>
    <w:rsid w:val="002C0507"/>
    <w:rsid w:val="002C057E"/>
    <w:rsid w:val="002C06FB"/>
    <w:rsid w:val="002C0EBF"/>
    <w:rsid w:val="002C11FC"/>
    <w:rsid w:val="002C144C"/>
    <w:rsid w:val="002C167E"/>
    <w:rsid w:val="002C189B"/>
    <w:rsid w:val="002C21FB"/>
    <w:rsid w:val="002C2318"/>
    <w:rsid w:val="002C2508"/>
    <w:rsid w:val="002C263C"/>
    <w:rsid w:val="002C29F9"/>
    <w:rsid w:val="002C2B1D"/>
    <w:rsid w:val="002C2BC4"/>
    <w:rsid w:val="002C3324"/>
    <w:rsid w:val="002C35FF"/>
    <w:rsid w:val="002C3B61"/>
    <w:rsid w:val="002C3D9F"/>
    <w:rsid w:val="002C40E7"/>
    <w:rsid w:val="002C4225"/>
    <w:rsid w:val="002C480F"/>
    <w:rsid w:val="002C4DFC"/>
    <w:rsid w:val="002C64CB"/>
    <w:rsid w:val="002C6C0F"/>
    <w:rsid w:val="002C6D32"/>
    <w:rsid w:val="002C6F37"/>
    <w:rsid w:val="002C7816"/>
    <w:rsid w:val="002C7C19"/>
    <w:rsid w:val="002C7C73"/>
    <w:rsid w:val="002C7E36"/>
    <w:rsid w:val="002D0221"/>
    <w:rsid w:val="002D0334"/>
    <w:rsid w:val="002D0A1E"/>
    <w:rsid w:val="002D0D1B"/>
    <w:rsid w:val="002D0D90"/>
    <w:rsid w:val="002D1028"/>
    <w:rsid w:val="002D1176"/>
    <w:rsid w:val="002D124D"/>
    <w:rsid w:val="002D2356"/>
    <w:rsid w:val="002D251C"/>
    <w:rsid w:val="002D27B7"/>
    <w:rsid w:val="002D2833"/>
    <w:rsid w:val="002D29C6"/>
    <w:rsid w:val="002D2A84"/>
    <w:rsid w:val="002D2DD0"/>
    <w:rsid w:val="002D3342"/>
    <w:rsid w:val="002D40C5"/>
    <w:rsid w:val="002D41DC"/>
    <w:rsid w:val="002D44C2"/>
    <w:rsid w:val="002D44CE"/>
    <w:rsid w:val="002D45E4"/>
    <w:rsid w:val="002D4C00"/>
    <w:rsid w:val="002D4F22"/>
    <w:rsid w:val="002D547B"/>
    <w:rsid w:val="002D548C"/>
    <w:rsid w:val="002D58D3"/>
    <w:rsid w:val="002D5990"/>
    <w:rsid w:val="002D5DD3"/>
    <w:rsid w:val="002D6405"/>
    <w:rsid w:val="002D644F"/>
    <w:rsid w:val="002D6B80"/>
    <w:rsid w:val="002D6C3F"/>
    <w:rsid w:val="002D6F2B"/>
    <w:rsid w:val="002D6F46"/>
    <w:rsid w:val="002D76D0"/>
    <w:rsid w:val="002D7CB9"/>
    <w:rsid w:val="002D7E94"/>
    <w:rsid w:val="002E06B2"/>
    <w:rsid w:val="002E0A4A"/>
    <w:rsid w:val="002E0F77"/>
    <w:rsid w:val="002E1394"/>
    <w:rsid w:val="002E19E1"/>
    <w:rsid w:val="002E1E63"/>
    <w:rsid w:val="002E1E80"/>
    <w:rsid w:val="002E2461"/>
    <w:rsid w:val="002E2873"/>
    <w:rsid w:val="002E2B80"/>
    <w:rsid w:val="002E3377"/>
    <w:rsid w:val="002E38AE"/>
    <w:rsid w:val="002E395B"/>
    <w:rsid w:val="002E3E93"/>
    <w:rsid w:val="002E45BC"/>
    <w:rsid w:val="002E4DFD"/>
    <w:rsid w:val="002E54C2"/>
    <w:rsid w:val="002E553D"/>
    <w:rsid w:val="002E5762"/>
    <w:rsid w:val="002E5922"/>
    <w:rsid w:val="002E5D47"/>
    <w:rsid w:val="002E5DAC"/>
    <w:rsid w:val="002E5FDF"/>
    <w:rsid w:val="002E6035"/>
    <w:rsid w:val="002E6EC7"/>
    <w:rsid w:val="002E6ECC"/>
    <w:rsid w:val="002E7320"/>
    <w:rsid w:val="002E768A"/>
    <w:rsid w:val="002E79D4"/>
    <w:rsid w:val="002E7A1D"/>
    <w:rsid w:val="002E7D50"/>
    <w:rsid w:val="002F0106"/>
    <w:rsid w:val="002F048F"/>
    <w:rsid w:val="002F06F5"/>
    <w:rsid w:val="002F0818"/>
    <w:rsid w:val="002F082A"/>
    <w:rsid w:val="002F120C"/>
    <w:rsid w:val="002F1614"/>
    <w:rsid w:val="002F1663"/>
    <w:rsid w:val="002F173A"/>
    <w:rsid w:val="002F1C3D"/>
    <w:rsid w:val="002F2206"/>
    <w:rsid w:val="002F263E"/>
    <w:rsid w:val="002F2694"/>
    <w:rsid w:val="002F2715"/>
    <w:rsid w:val="002F29B7"/>
    <w:rsid w:val="002F3D9B"/>
    <w:rsid w:val="002F4490"/>
    <w:rsid w:val="002F47CA"/>
    <w:rsid w:val="002F4BB9"/>
    <w:rsid w:val="002F51DB"/>
    <w:rsid w:val="002F521D"/>
    <w:rsid w:val="002F569E"/>
    <w:rsid w:val="002F56B9"/>
    <w:rsid w:val="002F6BD6"/>
    <w:rsid w:val="002F6BD8"/>
    <w:rsid w:val="002F7B8E"/>
    <w:rsid w:val="002F7C0B"/>
    <w:rsid w:val="00300391"/>
    <w:rsid w:val="00300797"/>
    <w:rsid w:val="003007CB"/>
    <w:rsid w:val="00300A68"/>
    <w:rsid w:val="00300F16"/>
    <w:rsid w:val="00301405"/>
    <w:rsid w:val="00301A56"/>
    <w:rsid w:val="003020B6"/>
    <w:rsid w:val="00302651"/>
    <w:rsid w:val="00302972"/>
    <w:rsid w:val="00303A5C"/>
    <w:rsid w:val="00303B9C"/>
    <w:rsid w:val="0030446E"/>
    <w:rsid w:val="00304882"/>
    <w:rsid w:val="003055D8"/>
    <w:rsid w:val="0030620C"/>
    <w:rsid w:val="0030621D"/>
    <w:rsid w:val="003063D9"/>
    <w:rsid w:val="00306996"/>
    <w:rsid w:val="00306C4C"/>
    <w:rsid w:val="0030766F"/>
    <w:rsid w:val="0030796C"/>
    <w:rsid w:val="00310D59"/>
    <w:rsid w:val="00311117"/>
    <w:rsid w:val="00311CD9"/>
    <w:rsid w:val="00311F89"/>
    <w:rsid w:val="00312C1B"/>
    <w:rsid w:val="00312D67"/>
    <w:rsid w:val="00312EEC"/>
    <w:rsid w:val="003131D6"/>
    <w:rsid w:val="00313565"/>
    <w:rsid w:val="003135B8"/>
    <w:rsid w:val="003136BF"/>
    <w:rsid w:val="00313F77"/>
    <w:rsid w:val="00314226"/>
    <w:rsid w:val="003143B3"/>
    <w:rsid w:val="00314CFC"/>
    <w:rsid w:val="0031512A"/>
    <w:rsid w:val="00315A63"/>
    <w:rsid w:val="00315B92"/>
    <w:rsid w:val="00315EA6"/>
    <w:rsid w:val="0031645D"/>
    <w:rsid w:val="00316781"/>
    <w:rsid w:val="00317131"/>
    <w:rsid w:val="00317181"/>
    <w:rsid w:val="00317335"/>
    <w:rsid w:val="00317575"/>
    <w:rsid w:val="003175FC"/>
    <w:rsid w:val="00317768"/>
    <w:rsid w:val="00317C6C"/>
    <w:rsid w:val="003204DB"/>
    <w:rsid w:val="003208E0"/>
    <w:rsid w:val="00320937"/>
    <w:rsid w:val="0032149E"/>
    <w:rsid w:val="003221BB"/>
    <w:rsid w:val="00322593"/>
    <w:rsid w:val="003227E4"/>
    <w:rsid w:val="00322D8C"/>
    <w:rsid w:val="00323622"/>
    <w:rsid w:val="00323644"/>
    <w:rsid w:val="0032369B"/>
    <w:rsid w:val="003236D2"/>
    <w:rsid w:val="003237A4"/>
    <w:rsid w:val="00323850"/>
    <w:rsid w:val="00323E70"/>
    <w:rsid w:val="00324A1C"/>
    <w:rsid w:val="00325214"/>
    <w:rsid w:val="003259A1"/>
    <w:rsid w:val="00325BC2"/>
    <w:rsid w:val="003260FE"/>
    <w:rsid w:val="003262A5"/>
    <w:rsid w:val="003262FE"/>
    <w:rsid w:val="0032681F"/>
    <w:rsid w:val="00326BEB"/>
    <w:rsid w:val="00326C9A"/>
    <w:rsid w:val="00326DFD"/>
    <w:rsid w:val="003273A3"/>
    <w:rsid w:val="003277D3"/>
    <w:rsid w:val="00327EC8"/>
    <w:rsid w:val="003303AD"/>
    <w:rsid w:val="00330FE9"/>
    <w:rsid w:val="00331098"/>
    <w:rsid w:val="00331899"/>
    <w:rsid w:val="00331BE3"/>
    <w:rsid w:val="003328E8"/>
    <w:rsid w:val="00332919"/>
    <w:rsid w:val="00332C24"/>
    <w:rsid w:val="00333663"/>
    <w:rsid w:val="00334045"/>
    <w:rsid w:val="0033404C"/>
    <w:rsid w:val="0033482F"/>
    <w:rsid w:val="0033565C"/>
    <w:rsid w:val="003357A4"/>
    <w:rsid w:val="00336098"/>
    <w:rsid w:val="003360F1"/>
    <w:rsid w:val="003366CC"/>
    <w:rsid w:val="00337130"/>
    <w:rsid w:val="003371A1"/>
    <w:rsid w:val="0033778C"/>
    <w:rsid w:val="00337ABD"/>
    <w:rsid w:val="00337CF6"/>
    <w:rsid w:val="00340224"/>
    <w:rsid w:val="003410FC"/>
    <w:rsid w:val="00341293"/>
    <w:rsid w:val="00341A3A"/>
    <w:rsid w:val="00341AC1"/>
    <w:rsid w:val="00341B0A"/>
    <w:rsid w:val="00341CFB"/>
    <w:rsid w:val="00341F8F"/>
    <w:rsid w:val="00341FE2"/>
    <w:rsid w:val="0034209D"/>
    <w:rsid w:val="00342911"/>
    <w:rsid w:val="00342A15"/>
    <w:rsid w:val="00342C87"/>
    <w:rsid w:val="0034305E"/>
    <w:rsid w:val="00343105"/>
    <w:rsid w:val="00343204"/>
    <w:rsid w:val="003436BE"/>
    <w:rsid w:val="003437CD"/>
    <w:rsid w:val="00343B33"/>
    <w:rsid w:val="00343C53"/>
    <w:rsid w:val="00344222"/>
    <w:rsid w:val="003443B0"/>
    <w:rsid w:val="003448D6"/>
    <w:rsid w:val="00345103"/>
    <w:rsid w:val="0034545B"/>
    <w:rsid w:val="00345772"/>
    <w:rsid w:val="00345F99"/>
    <w:rsid w:val="0034656A"/>
    <w:rsid w:val="003469BC"/>
    <w:rsid w:val="00347217"/>
    <w:rsid w:val="00347566"/>
    <w:rsid w:val="003478C8"/>
    <w:rsid w:val="003479C8"/>
    <w:rsid w:val="00347B38"/>
    <w:rsid w:val="00350540"/>
    <w:rsid w:val="003506C2"/>
    <w:rsid w:val="00350858"/>
    <w:rsid w:val="00350B77"/>
    <w:rsid w:val="00350D5F"/>
    <w:rsid w:val="00351108"/>
    <w:rsid w:val="003511F3"/>
    <w:rsid w:val="003512F0"/>
    <w:rsid w:val="00351442"/>
    <w:rsid w:val="0035164E"/>
    <w:rsid w:val="00351AF2"/>
    <w:rsid w:val="003522C2"/>
    <w:rsid w:val="003529A5"/>
    <w:rsid w:val="00352B6C"/>
    <w:rsid w:val="00352EAB"/>
    <w:rsid w:val="003533F0"/>
    <w:rsid w:val="00353A5F"/>
    <w:rsid w:val="00353CCE"/>
    <w:rsid w:val="00354244"/>
    <w:rsid w:val="00354B09"/>
    <w:rsid w:val="0035509D"/>
    <w:rsid w:val="0035537F"/>
    <w:rsid w:val="003555BB"/>
    <w:rsid w:val="00355601"/>
    <w:rsid w:val="00355B47"/>
    <w:rsid w:val="00356535"/>
    <w:rsid w:val="00356E55"/>
    <w:rsid w:val="0035713A"/>
    <w:rsid w:val="003604F1"/>
    <w:rsid w:val="00361280"/>
    <w:rsid w:val="003617B8"/>
    <w:rsid w:val="003617F8"/>
    <w:rsid w:val="00361C3B"/>
    <w:rsid w:val="00361D62"/>
    <w:rsid w:val="003623AC"/>
    <w:rsid w:val="00362434"/>
    <w:rsid w:val="00362667"/>
    <w:rsid w:val="00362927"/>
    <w:rsid w:val="00362BB8"/>
    <w:rsid w:val="00362FF9"/>
    <w:rsid w:val="003632BC"/>
    <w:rsid w:val="003638EB"/>
    <w:rsid w:val="00363B28"/>
    <w:rsid w:val="00364843"/>
    <w:rsid w:val="003648E4"/>
    <w:rsid w:val="00364C55"/>
    <w:rsid w:val="00365B6E"/>
    <w:rsid w:val="00365CB2"/>
    <w:rsid w:val="00366698"/>
    <w:rsid w:val="00366728"/>
    <w:rsid w:val="0036688A"/>
    <w:rsid w:val="00366B18"/>
    <w:rsid w:val="00366BE7"/>
    <w:rsid w:val="003672D5"/>
    <w:rsid w:val="00367ABB"/>
    <w:rsid w:val="00367AC9"/>
    <w:rsid w:val="00367B70"/>
    <w:rsid w:val="00367B8B"/>
    <w:rsid w:val="00367F89"/>
    <w:rsid w:val="00370596"/>
    <w:rsid w:val="00370868"/>
    <w:rsid w:val="00370A5A"/>
    <w:rsid w:val="00370C01"/>
    <w:rsid w:val="00371824"/>
    <w:rsid w:val="00371A2B"/>
    <w:rsid w:val="00372579"/>
    <w:rsid w:val="003728FA"/>
    <w:rsid w:val="00373165"/>
    <w:rsid w:val="003736FC"/>
    <w:rsid w:val="00373A09"/>
    <w:rsid w:val="00373AE4"/>
    <w:rsid w:val="00373FEB"/>
    <w:rsid w:val="003745FF"/>
    <w:rsid w:val="00374FF4"/>
    <w:rsid w:val="0037659C"/>
    <w:rsid w:val="003765D3"/>
    <w:rsid w:val="00376DCC"/>
    <w:rsid w:val="0037719B"/>
    <w:rsid w:val="00377452"/>
    <w:rsid w:val="003779A6"/>
    <w:rsid w:val="00377E37"/>
    <w:rsid w:val="003806B5"/>
    <w:rsid w:val="00381438"/>
    <w:rsid w:val="00381690"/>
    <w:rsid w:val="00382759"/>
    <w:rsid w:val="0038275D"/>
    <w:rsid w:val="00382B25"/>
    <w:rsid w:val="003835D9"/>
    <w:rsid w:val="003836A5"/>
    <w:rsid w:val="00383F0B"/>
    <w:rsid w:val="00384484"/>
    <w:rsid w:val="00384FD1"/>
    <w:rsid w:val="0038528E"/>
    <w:rsid w:val="003856EE"/>
    <w:rsid w:val="00386127"/>
    <w:rsid w:val="003863FB"/>
    <w:rsid w:val="00386406"/>
    <w:rsid w:val="0038683B"/>
    <w:rsid w:val="00386BE2"/>
    <w:rsid w:val="00387E13"/>
    <w:rsid w:val="00390610"/>
    <w:rsid w:val="003906C9"/>
    <w:rsid w:val="003908BC"/>
    <w:rsid w:val="0039090E"/>
    <w:rsid w:val="00390A5B"/>
    <w:rsid w:val="00390B12"/>
    <w:rsid w:val="00390E69"/>
    <w:rsid w:val="00391650"/>
    <w:rsid w:val="00391653"/>
    <w:rsid w:val="00392895"/>
    <w:rsid w:val="00393666"/>
    <w:rsid w:val="0039386B"/>
    <w:rsid w:val="00393D7D"/>
    <w:rsid w:val="0039408B"/>
    <w:rsid w:val="0039469E"/>
    <w:rsid w:val="00395E3C"/>
    <w:rsid w:val="003965C9"/>
    <w:rsid w:val="0039664E"/>
    <w:rsid w:val="0039667E"/>
    <w:rsid w:val="003969A0"/>
    <w:rsid w:val="00396E89"/>
    <w:rsid w:val="00396EEE"/>
    <w:rsid w:val="00396FC0"/>
    <w:rsid w:val="003A09B2"/>
    <w:rsid w:val="003A0D3F"/>
    <w:rsid w:val="003A1370"/>
    <w:rsid w:val="003A16A8"/>
    <w:rsid w:val="003A1843"/>
    <w:rsid w:val="003A1895"/>
    <w:rsid w:val="003A254E"/>
    <w:rsid w:val="003A293D"/>
    <w:rsid w:val="003A3018"/>
    <w:rsid w:val="003A3408"/>
    <w:rsid w:val="003A347D"/>
    <w:rsid w:val="003A3680"/>
    <w:rsid w:val="003A383C"/>
    <w:rsid w:val="003A3A07"/>
    <w:rsid w:val="003A3EBC"/>
    <w:rsid w:val="003A4251"/>
    <w:rsid w:val="003A4335"/>
    <w:rsid w:val="003A463D"/>
    <w:rsid w:val="003A465A"/>
    <w:rsid w:val="003A49BB"/>
    <w:rsid w:val="003A560C"/>
    <w:rsid w:val="003A6391"/>
    <w:rsid w:val="003A647A"/>
    <w:rsid w:val="003A662D"/>
    <w:rsid w:val="003A716B"/>
    <w:rsid w:val="003A7226"/>
    <w:rsid w:val="003A7285"/>
    <w:rsid w:val="003A739E"/>
    <w:rsid w:val="003A7AA1"/>
    <w:rsid w:val="003A7E04"/>
    <w:rsid w:val="003B0150"/>
    <w:rsid w:val="003B017E"/>
    <w:rsid w:val="003B0312"/>
    <w:rsid w:val="003B038C"/>
    <w:rsid w:val="003B0597"/>
    <w:rsid w:val="003B0948"/>
    <w:rsid w:val="003B0B01"/>
    <w:rsid w:val="003B0F42"/>
    <w:rsid w:val="003B1624"/>
    <w:rsid w:val="003B1626"/>
    <w:rsid w:val="003B1C52"/>
    <w:rsid w:val="003B2003"/>
    <w:rsid w:val="003B207B"/>
    <w:rsid w:val="003B29B8"/>
    <w:rsid w:val="003B2A74"/>
    <w:rsid w:val="003B3678"/>
    <w:rsid w:val="003B3F94"/>
    <w:rsid w:val="003B40BD"/>
    <w:rsid w:val="003B417F"/>
    <w:rsid w:val="003B436F"/>
    <w:rsid w:val="003B5E68"/>
    <w:rsid w:val="003B5F74"/>
    <w:rsid w:val="003B6A29"/>
    <w:rsid w:val="003B6F8C"/>
    <w:rsid w:val="003B6F94"/>
    <w:rsid w:val="003B7A4E"/>
    <w:rsid w:val="003C0512"/>
    <w:rsid w:val="003C0894"/>
    <w:rsid w:val="003C0F6E"/>
    <w:rsid w:val="003C1CFF"/>
    <w:rsid w:val="003C257A"/>
    <w:rsid w:val="003C2591"/>
    <w:rsid w:val="003C2C47"/>
    <w:rsid w:val="003C3558"/>
    <w:rsid w:val="003C392B"/>
    <w:rsid w:val="003C3AFC"/>
    <w:rsid w:val="003C3D27"/>
    <w:rsid w:val="003C3D7B"/>
    <w:rsid w:val="003C430B"/>
    <w:rsid w:val="003C4407"/>
    <w:rsid w:val="003C4A5F"/>
    <w:rsid w:val="003C5C6C"/>
    <w:rsid w:val="003C5CD4"/>
    <w:rsid w:val="003C616B"/>
    <w:rsid w:val="003C670E"/>
    <w:rsid w:val="003C7004"/>
    <w:rsid w:val="003C74F6"/>
    <w:rsid w:val="003C7A3F"/>
    <w:rsid w:val="003C7AC2"/>
    <w:rsid w:val="003D010E"/>
    <w:rsid w:val="003D0980"/>
    <w:rsid w:val="003D0AB2"/>
    <w:rsid w:val="003D1C7B"/>
    <w:rsid w:val="003D1F58"/>
    <w:rsid w:val="003D232C"/>
    <w:rsid w:val="003D26D6"/>
    <w:rsid w:val="003D284E"/>
    <w:rsid w:val="003D2985"/>
    <w:rsid w:val="003D2D54"/>
    <w:rsid w:val="003D3741"/>
    <w:rsid w:val="003D3E16"/>
    <w:rsid w:val="003D3E94"/>
    <w:rsid w:val="003D3E9A"/>
    <w:rsid w:val="003D3F78"/>
    <w:rsid w:val="003D48FA"/>
    <w:rsid w:val="003D5AED"/>
    <w:rsid w:val="003D5D49"/>
    <w:rsid w:val="003D5D77"/>
    <w:rsid w:val="003D5E12"/>
    <w:rsid w:val="003D61D0"/>
    <w:rsid w:val="003D6599"/>
    <w:rsid w:val="003D68F4"/>
    <w:rsid w:val="003D6AD3"/>
    <w:rsid w:val="003D714C"/>
    <w:rsid w:val="003D7880"/>
    <w:rsid w:val="003D7E7D"/>
    <w:rsid w:val="003D7F7C"/>
    <w:rsid w:val="003E1A20"/>
    <w:rsid w:val="003E2281"/>
    <w:rsid w:val="003E253C"/>
    <w:rsid w:val="003E259F"/>
    <w:rsid w:val="003E2BCD"/>
    <w:rsid w:val="003E2BEF"/>
    <w:rsid w:val="003E2EAC"/>
    <w:rsid w:val="003E3226"/>
    <w:rsid w:val="003E3917"/>
    <w:rsid w:val="003E3C18"/>
    <w:rsid w:val="003E3CE5"/>
    <w:rsid w:val="003E46E4"/>
    <w:rsid w:val="003E48D4"/>
    <w:rsid w:val="003E510F"/>
    <w:rsid w:val="003E5703"/>
    <w:rsid w:val="003E5AB1"/>
    <w:rsid w:val="003E64C9"/>
    <w:rsid w:val="003E6D5E"/>
    <w:rsid w:val="003E6F91"/>
    <w:rsid w:val="003E7212"/>
    <w:rsid w:val="003E741C"/>
    <w:rsid w:val="003E7477"/>
    <w:rsid w:val="003E750B"/>
    <w:rsid w:val="003E7926"/>
    <w:rsid w:val="003E7AE7"/>
    <w:rsid w:val="003E7C78"/>
    <w:rsid w:val="003E7FFA"/>
    <w:rsid w:val="003F0125"/>
    <w:rsid w:val="003F02D0"/>
    <w:rsid w:val="003F04B0"/>
    <w:rsid w:val="003F0B90"/>
    <w:rsid w:val="003F1581"/>
    <w:rsid w:val="003F1B0E"/>
    <w:rsid w:val="003F1B82"/>
    <w:rsid w:val="003F1BA9"/>
    <w:rsid w:val="003F1CD0"/>
    <w:rsid w:val="003F2ADE"/>
    <w:rsid w:val="003F2DCC"/>
    <w:rsid w:val="003F323D"/>
    <w:rsid w:val="003F38E0"/>
    <w:rsid w:val="003F3C48"/>
    <w:rsid w:val="003F4168"/>
    <w:rsid w:val="003F4756"/>
    <w:rsid w:val="003F4C42"/>
    <w:rsid w:val="003F4E31"/>
    <w:rsid w:val="003F52DC"/>
    <w:rsid w:val="003F5D38"/>
    <w:rsid w:val="003F5EAE"/>
    <w:rsid w:val="003F5F3B"/>
    <w:rsid w:val="003F5FAE"/>
    <w:rsid w:val="003F6465"/>
    <w:rsid w:val="003F6505"/>
    <w:rsid w:val="003F72B7"/>
    <w:rsid w:val="003F75C4"/>
    <w:rsid w:val="003F7C5A"/>
    <w:rsid w:val="00400864"/>
    <w:rsid w:val="004009EC"/>
    <w:rsid w:val="00400A25"/>
    <w:rsid w:val="00401810"/>
    <w:rsid w:val="00401BE0"/>
    <w:rsid w:val="00401D5D"/>
    <w:rsid w:val="00401EEB"/>
    <w:rsid w:val="00402A46"/>
    <w:rsid w:val="00402DAA"/>
    <w:rsid w:val="004034F3"/>
    <w:rsid w:val="004038F0"/>
    <w:rsid w:val="00403BB9"/>
    <w:rsid w:val="00403DEB"/>
    <w:rsid w:val="00403DEE"/>
    <w:rsid w:val="004044D8"/>
    <w:rsid w:val="00404C69"/>
    <w:rsid w:val="00404EED"/>
    <w:rsid w:val="0040558E"/>
    <w:rsid w:val="00405E81"/>
    <w:rsid w:val="004064DD"/>
    <w:rsid w:val="00406E1C"/>
    <w:rsid w:val="00407A2D"/>
    <w:rsid w:val="00407CC6"/>
    <w:rsid w:val="00407E6F"/>
    <w:rsid w:val="0041012B"/>
    <w:rsid w:val="0041020F"/>
    <w:rsid w:val="004103E7"/>
    <w:rsid w:val="00410581"/>
    <w:rsid w:val="004106A5"/>
    <w:rsid w:val="0041089E"/>
    <w:rsid w:val="00411B54"/>
    <w:rsid w:val="004128F2"/>
    <w:rsid w:val="00412AE3"/>
    <w:rsid w:val="0041345F"/>
    <w:rsid w:val="004137B0"/>
    <w:rsid w:val="00414262"/>
    <w:rsid w:val="00414DD6"/>
    <w:rsid w:val="004153C7"/>
    <w:rsid w:val="00415552"/>
    <w:rsid w:val="004156B9"/>
    <w:rsid w:val="00415CEE"/>
    <w:rsid w:val="00415DDC"/>
    <w:rsid w:val="00415EBD"/>
    <w:rsid w:val="004164C8"/>
    <w:rsid w:val="00416BD2"/>
    <w:rsid w:val="00416BED"/>
    <w:rsid w:val="00417446"/>
    <w:rsid w:val="0041758E"/>
    <w:rsid w:val="004175F5"/>
    <w:rsid w:val="0041794D"/>
    <w:rsid w:val="004203DA"/>
    <w:rsid w:val="0042065E"/>
    <w:rsid w:val="00420887"/>
    <w:rsid w:val="00420FE5"/>
    <w:rsid w:val="00421399"/>
    <w:rsid w:val="00421C6D"/>
    <w:rsid w:val="00421D74"/>
    <w:rsid w:val="00421F47"/>
    <w:rsid w:val="00423387"/>
    <w:rsid w:val="00423396"/>
    <w:rsid w:val="004236F6"/>
    <w:rsid w:val="004245C5"/>
    <w:rsid w:val="00424762"/>
    <w:rsid w:val="004249D8"/>
    <w:rsid w:val="00425050"/>
    <w:rsid w:val="004251B3"/>
    <w:rsid w:val="0042528B"/>
    <w:rsid w:val="00425403"/>
    <w:rsid w:val="00425E66"/>
    <w:rsid w:val="00425E6F"/>
    <w:rsid w:val="00425EEB"/>
    <w:rsid w:val="00425F55"/>
    <w:rsid w:val="00426315"/>
    <w:rsid w:val="00426B03"/>
    <w:rsid w:val="00426B1D"/>
    <w:rsid w:val="00426B30"/>
    <w:rsid w:val="00426E82"/>
    <w:rsid w:val="004278AF"/>
    <w:rsid w:val="00427C1C"/>
    <w:rsid w:val="00430122"/>
    <w:rsid w:val="0043038D"/>
    <w:rsid w:val="004305DA"/>
    <w:rsid w:val="004309BB"/>
    <w:rsid w:val="00431368"/>
    <w:rsid w:val="004313FC"/>
    <w:rsid w:val="004314EE"/>
    <w:rsid w:val="004326F6"/>
    <w:rsid w:val="0043271F"/>
    <w:rsid w:val="00432AC8"/>
    <w:rsid w:val="00432DA4"/>
    <w:rsid w:val="00432DC4"/>
    <w:rsid w:val="004334D2"/>
    <w:rsid w:val="00433559"/>
    <w:rsid w:val="00433570"/>
    <w:rsid w:val="00433AC4"/>
    <w:rsid w:val="004345B3"/>
    <w:rsid w:val="0043466D"/>
    <w:rsid w:val="004356E0"/>
    <w:rsid w:val="0043594E"/>
    <w:rsid w:val="004359A5"/>
    <w:rsid w:val="00435ECE"/>
    <w:rsid w:val="00436004"/>
    <w:rsid w:val="0043659C"/>
    <w:rsid w:val="00436DE6"/>
    <w:rsid w:val="00437D83"/>
    <w:rsid w:val="00437F74"/>
    <w:rsid w:val="0044116A"/>
    <w:rsid w:val="0044160C"/>
    <w:rsid w:val="00441A71"/>
    <w:rsid w:val="00441C6F"/>
    <w:rsid w:val="00441D2D"/>
    <w:rsid w:val="004422D3"/>
    <w:rsid w:val="00442490"/>
    <w:rsid w:val="00442C09"/>
    <w:rsid w:val="00443BCA"/>
    <w:rsid w:val="00443FA2"/>
    <w:rsid w:val="00443FA6"/>
    <w:rsid w:val="004440F7"/>
    <w:rsid w:val="004443C3"/>
    <w:rsid w:val="0044463F"/>
    <w:rsid w:val="00445031"/>
    <w:rsid w:val="0044503D"/>
    <w:rsid w:val="004450AF"/>
    <w:rsid w:val="00445121"/>
    <w:rsid w:val="004451C9"/>
    <w:rsid w:val="0044522E"/>
    <w:rsid w:val="004452D4"/>
    <w:rsid w:val="00445399"/>
    <w:rsid w:val="00445A7D"/>
    <w:rsid w:val="00445C6C"/>
    <w:rsid w:val="00445EF0"/>
    <w:rsid w:val="00446559"/>
    <w:rsid w:val="0044657C"/>
    <w:rsid w:val="0044687A"/>
    <w:rsid w:val="0044701B"/>
    <w:rsid w:val="004478FC"/>
    <w:rsid w:val="00447AB2"/>
    <w:rsid w:val="00447F00"/>
    <w:rsid w:val="00450032"/>
    <w:rsid w:val="00450194"/>
    <w:rsid w:val="00450589"/>
    <w:rsid w:val="004507F0"/>
    <w:rsid w:val="00450825"/>
    <w:rsid w:val="0045111D"/>
    <w:rsid w:val="0045112B"/>
    <w:rsid w:val="004511D9"/>
    <w:rsid w:val="00451525"/>
    <w:rsid w:val="00451728"/>
    <w:rsid w:val="00451BED"/>
    <w:rsid w:val="00451E3F"/>
    <w:rsid w:val="00452042"/>
    <w:rsid w:val="0045267A"/>
    <w:rsid w:val="00452800"/>
    <w:rsid w:val="00452BC3"/>
    <w:rsid w:val="004530DE"/>
    <w:rsid w:val="004533CA"/>
    <w:rsid w:val="004535A1"/>
    <w:rsid w:val="004546D1"/>
    <w:rsid w:val="004557FB"/>
    <w:rsid w:val="00455C64"/>
    <w:rsid w:val="00456141"/>
    <w:rsid w:val="00456971"/>
    <w:rsid w:val="00456A72"/>
    <w:rsid w:val="004570A5"/>
    <w:rsid w:val="0045732F"/>
    <w:rsid w:val="00457466"/>
    <w:rsid w:val="00457496"/>
    <w:rsid w:val="004577B9"/>
    <w:rsid w:val="00460418"/>
    <w:rsid w:val="004607B7"/>
    <w:rsid w:val="004609F1"/>
    <w:rsid w:val="00460D99"/>
    <w:rsid w:val="00460DBC"/>
    <w:rsid w:val="00461AB9"/>
    <w:rsid w:val="00461E27"/>
    <w:rsid w:val="004629B7"/>
    <w:rsid w:val="00462BC7"/>
    <w:rsid w:val="00462C70"/>
    <w:rsid w:val="00462D19"/>
    <w:rsid w:val="004636AB"/>
    <w:rsid w:val="00463FAD"/>
    <w:rsid w:val="00464993"/>
    <w:rsid w:val="00464A6E"/>
    <w:rsid w:val="00464F24"/>
    <w:rsid w:val="00465E1D"/>
    <w:rsid w:val="004662FC"/>
    <w:rsid w:val="0046778A"/>
    <w:rsid w:val="00467B7D"/>
    <w:rsid w:val="004705B5"/>
    <w:rsid w:val="00470647"/>
    <w:rsid w:val="00470FF1"/>
    <w:rsid w:val="004711DD"/>
    <w:rsid w:val="0047171E"/>
    <w:rsid w:val="00471BCF"/>
    <w:rsid w:val="00471D7D"/>
    <w:rsid w:val="004722DA"/>
    <w:rsid w:val="00472320"/>
    <w:rsid w:val="004724D0"/>
    <w:rsid w:val="0047369D"/>
    <w:rsid w:val="00473ADD"/>
    <w:rsid w:val="004748CE"/>
    <w:rsid w:val="00475172"/>
    <w:rsid w:val="00475364"/>
    <w:rsid w:val="00475EAA"/>
    <w:rsid w:val="00476D1C"/>
    <w:rsid w:val="00476E14"/>
    <w:rsid w:val="0047705C"/>
    <w:rsid w:val="00477857"/>
    <w:rsid w:val="00477EF8"/>
    <w:rsid w:val="00480576"/>
    <w:rsid w:val="00480FD2"/>
    <w:rsid w:val="0048126F"/>
    <w:rsid w:val="004815B8"/>
    <w:rsid w:val="004815D2"/>
    <w:rsid w:val="0048181F"/>
    <w:rsid w:val="00481DBC"/>
    <w:rsid w:val="00482408"/>
    <w:rsid w:val="00482BB2"/>
    <w:rsid w:val="00482E31"/>
    <w:rsid w:val="00483026"/>
    <w:rsid w:val="00483455"/>
    <w:rsid w:val="0048384A"/>
    <w:rsid w:val="00484517"/>
    <w:rsid w:val="00484890"/>
    <w:rsid w:val="0048492C"/>
    <w:rsid w:val="00484BE1"/>
    <w:rsid w:val="00485821"/>
    <w:rsid w:val="00485EF5"/>
    <w:rsid w:val="00485F38"/>
    <w:rsid w:val="00485FC7"/>
    <w:rsid w:val="004861D6"/>
    <w:rsid w:val="0048646C"/>
    <w:rsid w:val="00486D46"/>
    <w:rsid w:val="00486D76"/>
    <w:rsid w:val="00487235"/>
    <w:rsid w:val="004876DC"/>
    <w:rsid w:val="0048778E"/>
    <w:rsid w:val="00487DBB"/>
    <w:rsid w:val="00487E48"/>
    <w:rsid w:val="0049027D"/>
    <w:rsid w:val="00490360"/>
    <w:rsid w:val="00490591"/>
    <w:rsid w:val="0049063C"/>
    <w:rsid w:val="0049089E"/>
    <w:rsid w:val="00491319"/>
    <w:rsid w:val="00491AE9"/>
    <w:rsid w:val="00491B28"/>
    <w:rsid w:val="00492041"/>
    <w:rsid w:val="004922E0"/>
    <w:rsid w:val="00492675"/>
    <w:rsid w:val="00492E51"/>
    <w:rsid w:val="00492E91"/>
    <w:rsid w:val="0049320B"/>
    <w:rsid w:val="00493A1E"/>
    <w:rsid w:val="00493E8A"/>
    <w:rsid w:val="00493FC6"/>
    <w:rsid w:val="00494070"/>
    <w:rsid w:val="00494150"/>
    <w:rsid w:val="00494738"/>
    <w:rsid w:val="00494759"/>
    <w:rsid w:val="00494AC9"/>
    <w:rsid w:val="00495163"/>
    <w:rsid w:val="00495674"/>
    <w:rsid w:val="004958CE"/>
    <w:rsid w:val="00495F4A"/>
    <w:rsid w:val="00496C5D"/>
    <w:rsid w:val="00496ED3"/>
    <w:rsid w:val="00496F61"/>
    <w:rsid w:val="00497584"/>
    <w:rsid w:val="00497C52"/>
    <w:rsid w:val="00497E1E"/>
    <w:rsid w:val="004A0241"/>
    <w:rsid w:val="004A06AC"/>
    <w:rsid w:val="004A0A53"/>
    <w:rsid w:val="004A1254"/>
    <w:rsid w:val="004A144F"/>
    <w:rsid w:val="004A148C"/>
    <w:rsid w:val="004A20E6"/>
    <w:rsid w:val="004A276A"/>
    <w:rsid w:val="004A33B1"/>
    <w:rsid w:val="004A38BE"/>
    <w:rsid w:val="004A38E9"/>
    <w:rsid w:val="004A4494"/>
    <w:rsid w:val="004A4905"/>
    <w:rsid w:val="004A5738"/>
    <w:rsid w:val="004A5A77"/>
    <w:rsid w:val="004A5DD1"/>
    <w:rsid w:val="004A5F1B"/>
    <w:rsid w:val="004A62AB"/>
    <w:rsid w:val="004A64CC"/>
    <w:rsid w:val="004A691D"/>
    <w:rsid w:val="004A6B14"/>
    <w:rsid w:val="004A6C50"/>
    <w:rsid w:val="004A770D"/>
    <w:rsid w:val="004A7A73"/>
    <w:rsid w:val="004A7F8F"/>
    <w:rsid w:val="004B01D5"/>
    <w:rsid w:val="004B0385"/>
    <w:rsid w:val="004B0C4F"/>
    <w:rsid w:val="004B0F55"/>
    <w:rsid w:val="004B154E"/>
    <w:rsid w:val="004B1CCE"/>
    <w:rsid w:val="004B2222"/>
    <w:rsid w:val="004B22F2"/>
    <w:rsid w:val="004B2A7A"/>
    <w:rsid w:val="004B2FD8"/>
    <w:rsid w:val="004B3AA7"/>
    <w:rsid w:val="004B3FB5"/>
    <w:rsid w:val="004B4016"/>
    <w:rsid w:val="004B41B4"/>
    <w:rsid w:val="004B4412"/>
    <w:rsid w:val="004B4FD7"/>
    <w:rsid w:val="004B548F"/>
    <w:rsid w:val="004B5549"/>
    <w:rsid w:val="004B57AF"/>
    <w:rsid w:val="004B5B6F"/>
    <w:rsid w:val="004B5B77"/>
    <w:rsid w:val="004B6696"/>
    <w:rsid w:val="004B66E4"/>
    <w:rsid w:val="004B7311"/>
    <w:rsid w:val="004B73BA"/>
    <w:rsid w:val="004B74B5"/>
    <w:rsid w:val="004B7C14"/>
    <w:rsid w:val="004C0176"/>
    <w:rsid w:val="004C03E4"/>
    <w:rsid w:val="004C056D"/>
    <w:rsid w:val="004C05D6"/>
    <w:rsid w:val="004C05EF"/>
    <w:rsid w:val="004C09A6"/>
    <w:rsid w:val="004C0B48"/>
    <w:rsid w:val="004C0B96"/>
    <w:rsid w:val="004C11C2"/>
    <w:rsid w:val="004C128E"/>
    <w:rsid w:val="004C18EF"/>
    <w:rsid w:val="004C1EB2"/>
    <w:rsid w:val="004C2853"/>
    <w:rsid w:val="004C3237"/>
    <w:rsid w:val="004C38CD"/>
    <w:rsid w:val="004C3954"/>
    <w:rsid w:val="004C414A"/>
    <w:rsid w:val="004C4401"/>
    <w:rsid w:val="004C456F"/>
    <w:rsid w:val="004C46DF"/>
    <w:rsid w:val="004C496E"/>
    <w:rsid w:val="004C4ADA"/>
    <w:rsid w:val="004C4EEA"/>
    <w:rsid w:val="004C4F18"/>
    <w:rsid w:val="004C5035"/>
    <w:rsid w:val="004C5753"/>
    <w:rsid w:val="004C5B02"/>
    <w:rsid w:val="004C5CDB"/>
    <w:rsid w:val="004C68C4"/>
    <w:rsid w:val="004C72E0"/>
    <w:rsid w:val="004C76CB"/>
    <w:rsid w:val="004C77C2"/>
    <w:rsid w:val="004C77FD"/>
    <w:rsid w:val="004C7E33"/>
    <w:rsid w:val="004C7E60"/>
    <w:rsid w:val="004D022C"/>
    <w:rsid w:val="004D03ED"/>
    <w:rsid w:val="004D047E"/>
    <w:rsid w:val="004D0E45"/>
    <w:rsid w:val="004D0E58"/>
    <w:rsid w:val="004D0F5E"/>
    <w:rsid w:val="004D12D9"/>
    <w:rsid w:val="004D12DB"/>
    <w:rsid w:val="004D12EB"/>
    <w:rsid w:val="004D182A"/>
    <w:rsid w:val="004D1FC4"/>
    <w:rsid w:val="004D2B34"/>
    <w:rsid w:val="004D2BA1"/>
    <w:rsid w:val="004D2BDD"/>
    <w:rsid w:val="004D339C"/>
    <w:rsid w:val="004D3432"/>
    <w:rsid w:val="004D3560"/>
    <w:rsid w:val="004D3AAC"/>
    <w:rsid w:val="004D3F4E"/>
    <w:rsid w:val="004D418C"/>
    <w:rsid w:val="004D5070"/>
    <w:rsid w:val="004D51C0"/>
    <w:rsid w:val="004D534C"/>
    <w:rsid w:val="004D55B2"/>
    <w:rsid w:val="004D55BD"/>
    <w:rsid w:val="004D5D9D"/>
    <w:rsid w:val="004D63CC"/>
    <w:rsid w:val="004D6CBB"/>
    <w:rsid w:val="004D6E18"/>
    <w:rsid w:val="004D73B0"/>
    <w:rsid w:val="004D7885"/>
    <w:rsid w:val="004D78AE"/>
    <w:rsid w:val="004D7F0A"/>
    <w:rsid w:val="004E011A"/>
    <w:rsid w:val="004E0F21"/>
    <w:rsid w:val="004E1A8D"/>
    <w:rsid w:val="004E1BA7"/>
    <w:rsid w:val="004E2093"/>
    <w:rsid w:val="004E296E"/>
    <w:rsid w:val="004E2CE6"/>
    <w:rsid w:val="004E3145"/>
    <w:rsid w:val="004E3730"/>
    <w:rsid w:val="004E3BA1"/>
    <w:rsid w:val="004E421A"/>
    <w:rsid w:val="004E4760"/>
    <w:rsid w:val="004E48F2"/>
    <w:rsid w:val="004E48FA"/>
    <w:rsid w:val="004E4E7E"/>
    <w:rsid w:val="004E58D9"/>
    <w:rsid w:val="004E59F5"/>
    <w:rsid w:val="004E5E60"/>
    <w:rsid w:val="004E6A71"/>
    <w:rsid w:val="004E724E"/>
    <w:rsid w:val="004E7F08"/>
    <w:rsid w:val="004E7F0D"/>
    <w:rsid w:val="004F04DD"/>
    <w:rsid w:val="004F0541"/>
    <w:rsid w:val="004F0F9F"/>
    <w:rsid w:val="004F1305"/>
    <w:rsid w:val="004F1A7D"/>
    <w:rsid w:val="004F1D9B"/>
    <w:rsid w:val="004F1EAD"/>
    <w:rsid w:val="004F2043"/>
    <w:rsid w:val="004F2299"/>
    <w:rsid w:val="004F23A4"/>
    <w:rsid w:val="004F2B6A"/>
    <w:rsid w:val="004F2FD1"/>
    <w:rsid w:val="004F3222"/>
    <w:rsid w:val="004F39CA"/>
    <w:rsid w:val="004F3ECA"/>
    <w:rsid w:val="004F4633"/>
    <w:rsid w:val="004F46FC"/>
    <w:rsid w:val="004F4758"/>
    <w:rsid w:val="004F4986"/>
    <w:rsid w:val="004F4B36"/>
    <w:rsid w:val="004F502C"/>
    <w:rsid w:val="004F5233"/>
    <w:rsid w:val="004F6CDD"/>
    <w:rsid w:val="004F6EA1"/>
    <w:rsid w:val="004F73BF"/>
    <w:rsid w:val="004F7473"/>
    <w:rsid w:val="0050071F"/>
    <w:rsid w:val="0050072A"/>
    <w:rsid w:val="00500C19"/>
    <w:rsid w:val="00501608"/>
    <w:rsid w:val="005018EC"/>
    <w:rsid w:val="00501DE4"/>
    <w:rsid w:val="0050218C"/>
    <w:rsid w:val="00502455"/>
    <w:rsid w:val="005028DE"/>
    <w:rsid w:val="00503015"/>
    <w:rsid w:val="005031B8"/>
    <w:rsid w:val="0050332C"/>
    <w:rsid w:val="0050345D"/>
    <w:rsid w:val="0050484B"/>
    <w:rsid w:val="00504C01"/>
    <w:rsid w:val="00505786"/>
    <w:rsid w:val="00505AC1"/>
    <w:rsid w:val="00505BF2"/>
    <w:rsid w:val="005061C1"/>
    <w:rsid w:val="005068FE"/>
    <w:rsid w:val="00507822"/>
    <w:rsid w:val="00507B67"/>
    <w:rsid w:val="00510230"/>
    <w:rsid w:val="00511141"/>
    <w:rsid w:val="005118E6"/>
    <w:rsid w:val="00512142"/>
    <w:rsid w:val="0051303B"/>
    <w:rsid w:val="0051321D"/>
    <w:rsid w:val="00513864"/>
    <w:rsid w:val="005139A5"/>
    <w:rsid w:val="00514327"/>
    <w:rsid w:val="00514D3F"/>
    <w:rsid w:val="00514FD3"/>
    <w:rsid w:val="00515403"/>
    <w:rsid w:val="00515AF3"/>
    <w:rsid w:val="00515F75"/>
    <w:rsid w:val="005163FF"/>
    <w:rsid w:val="005165EB"/>
    <w:rsid w:val="00516884"/>
    <w:rsid w:val="0051694C"/>
    <w:rsid w:val="00516AA4"/>
    <w:rsid w:val="00516B75"/>
    <w:rsid w:val="00517E4C"/>
    <w:rsid w:val="00520260"/>
    <w:rsid w:val="00520277"/>
    <w:rsid w:val="00520495"/>
    <w:rsid w:val="005218E6"/>
    <w:rsid w:val="005219BA"/>
    <w:rsid w:val="005219EC"/>
    <w:rsid w:val="00521A3F"/>
    <w:rsid w:val="00521C3E"/>
    <w:rsid w:val="00522340"/>
    <w:rsid w:val="0052268D"/>
    <w:rsid w:val="00522D89"/>
    <w:rsid w:val="00522DF7"/>
    <w:rsid w:val="00522EE3"/>
    <w:rsid w:val="00522EE8"/>
    <w:rsid w:val="005231B3"/>
    <w:rsid w:val="005232A1"/>
    <w:rsid w:val="005243CB"/>
    <w:rsid w:val="00524C3C"/>
    <w:rsid w:val="00524F7E"/>
    <w:rsid w:val="0052500D"/>
    <w:rsid w:val="0052523F"/>
    <w:rsid w:val="00525BCD"/>
    <w:rsid w:val="005262C2"/>
    <w:rsid w:val="00526431"/>
    <w:rsid w:val="0052652C"/>
    <w:rsid w:val="00526538"/>
    <w:rsid w:val="0052796F"/>
    <w:rsid w:val="00527B7B"/>
    <w:rsid w:val="00527C82"/>
    <w:rsid w:val="00527F14"/>
    <w:rsid w:val="00527F8A"/>
    <w:rsid w:val="00530587"/>
    <w:rsid w:val="005311FF"/>
    <w:rsid w:val="0053148C"/>
    <w:rsid w:val="00531861"/>
    <w:rsid w:val="005318E9"/>
    <w:rsid w:val="0053211E"/>
    <w:rsid w:val="005323E7"/>
    <w:rsid w:val="00532BBE"/>
    <w:rsid w:val="005330AC"/>
    <w:rsid w:val="00533425"/>
    <w:rsid w:val="00533538"/>
    <w:rsid w:val="00533D2B"/>
    <w:rsid w:val="00534566"/>
    <w:rsid w:val="00535310"/>
    <w:rsid w:val="005355DD"/>
    <w:rsid w:val="00535667"/>
    <w:rsid w:val="00535F94"/>
    <w:rsid w:val="00536198"/>
    <w:rsid w:val="005361C3"/>
    <w:rsid w:val="0053657D"/>
    <w:rsid w:val="005367F6"/>
    <w:rsid w:val="00536DC8"/>
    <w:rsid w:val="0053752E"/>
    <w:rsid w:val="00540096"/>
    <w:rsid w:val="00540ACC"/>
    <w:rsid w:val="00540CFE"/>
    <w:rsid w:val="00540E7A"/>
    <w:rsid w:val="00540FA4"/>
    <w:rsid w:val="0054119E"/>
    <w:rsid w:val="00541256"/>
    <w:rsid w:val="00541754"/>
    <w:rsid w:val="005423EE"/>
    <w:rsid w:val="00542822"/>
    <w:rsid w:val="00542BBB"/>
    <w:rsid w:val="00543123"/>
    <w:rsid w:val="00543273"/>
    <w:rsid w:val="00544570"/>
    <w:rsid w:val="0054479E"/>
    <w:rsid w:val="00544A8E"/>
    <w:rsid w:val="00545D92"/>
    <w:rsid w:val="005461DC"/>
    <w:rsid w:val="005469B1"/>
    <w:rsid w:val="00546AAE"/>
    <w:rsid w:val="005470A9"/>
    <w:rsid w:val="005479A9"/>
    <w:rsid w:val="00547BE3"/>
    <w:rsid w:val="00547FAF"/>
    <w:rsid w:val="005501A3"/>
    <w:rsid w:val="005505A6"/>
    <w:rsid w:val="00550F85"/>
    <w:rsid w:val="00551081"/>
    <w:rsid w:val="005511D9"/>
    <w:rsid w:val="005514E8"/>
    <w:rsid w:val="0055179E"/>
    <w:rsid w:val="00552099"/>
    <w:rsid w:val="00553357"/>
    <w:rsid w:val="0055378F"/>
    <w:rsid w:val="005537A9"/>
    <w:rsid w:val="00554359"/>
    <w:rsid w:val="0055461D"/>
    <w:rsid w:val="00554621"/>
    <w:rsid w:val="00554749"/>
    <w:rsid w:val="00554771"/>
    <w:rsid w:val="00554802"/>
    <w:rsid w:val="0055510D"/>
    <w:rsid w:val="005558E0"/>
    <w:rsid w:val="00555A7F"/>
    <w:rsid w:val="00556215"/>
    <w:rsid w:val="00556C42"/>
    <w:rsid w:val="00556EDF"/>
    <w:rsid w:val="00557553"/>
    <w:rsid w:val="005579C7"/>
    <w:rsid w:val="00557B2D"/>
    <w:rsid w:val="00560055"/>
    <w:rsid w:val="0056028D"/>
    <w:rsid w:val="00560986"/>
    <w:rsid w:val="005609A5"/>
    <w:rsid w:val="005609BB"/>
    <w:rsid w:val="00560F64"/>
    <w:rsid w:val="00560FDE"/>
    <w:rsid w:val="00561012"/>
    <w:rsid w:val="005610E6"/>
    <w:rsid w:val="005613D3"/>
    <w:rsid w:val="00561861"/>
    <w:rsid w:val="00561A80"/>
    <w:rsid w:val="00562791"/>
    <w:rsid w:val="00563081"/>
    <w:rsid w:val="0056336C"/>
    <w:rsid w:val="00563695"/>
    <w:rsid w:val="00564469"/>
    <w:rsid w:val="00564AEC"/>
    <w:rsid w:val="00564B7F"/>
    <w:rsid w:val="00565018"/>
    <w:rsid w:val="00565351"/>
    <w:rsid w:val="00565F41"/>
    <w:rsid w:val="005660BD"/>
    <w:rsid w:val="00566594"/>
    <w:rsid w:val="005668A0"/>
    <w:rsid w:val="00566DF1"/>
    <w:rsid w:val="005671F9"/>
    <w:rsid w:val="00567A27"/>
    <w:rsid w:val="00567D95"/>
    <w:rsid w:val="00570255"/>
    <w:rsid w:val="005706B1"/>
    <w:rsid w:val="00570B5C"/>
    <w:rsid w:val="00570BFC"/>
    <w:rsid w:val="00570C5D"/>
    <w:rsid w:val="00570E43"/>
    <w:rsid w:val="005713C7"/>
    <w:rsid w:val="00571479"/>
    <w:rsid w:val="00571760"/>
    <w:rsid w:val="00571B5D"/>
    <w:rsid w:val="00572671"/>
    <w:rsid w:val="005731EA"/>
    <w:rsid w:val="00573728"/>
    <w:rsid w:val="00573A4F"/>
    <w:rsid w:val="005750E2"/>
    <w:rsid w:val="0057578F"/>
    <w:rsid w:val="00575A10"/>
    <w:rsid w:val="00575CD7"/>
    <w:rsid w:val="00575E16"/>
    <w:rsid w:val="00575F0A"/>
    <w:rsid w:val="00576346"/>
    <w:rsid w:val="0057690B"/>
    <w:rsid w:val="00577B48"/>
    <w:rsid w:val="00580A16"/>
    <w:rsid w:val="00581CA2"/>
    <w:rsid w:val="00581CEE"/>
    <w:rsid w:val="005820EC"/>
    <w:rsid w:val="005829EF"/>
    <w:rsid w:val="005831E2"/>
    <w:rsid w:val="00583A48"/>
    <w:rsid w:val="00583AFA"/>
    <w:rsid w:val="00583D0E"/>
    <w:rsid w:val="00584BA9"/>
    <w:rsid w:val="00584CFD"/>
    <w:rsid w:val="0058533D"/>
    <w:rsid w:val="00585359"/>
    <w:rsid w:val="00585811"/>
    <w:rsid w:val="00587737"/>
    <w:rsid w:val="005877D0"/>
    <w:rsid w:val="00587D5C"/>
    <w:rsid w:val="0059039D"/>
    <w:rsid w:val="005906A7"/>
    <w:rsid w:val="00590A73"/>
    <w:rsid w:val="00590CFE"/>
    <w:rsid w:val="00591AB8"/>
    <w:rsid w:val="00591CB7"/>
    <w:rsid w:val="00591CDA"/>
    <w:rsid w:val="00592154"/>
    <w:rsid w:val="005923EB"/>
    <w:rsid w:val="0059342C"/>
    <w:rsid w:val="0059440B"/>
    <w:rsid w:val="00594AAF"/>
    <w:rsid w:val="00594C0D"/>
    <w:rsid w:val="0059505F"/>
    <w:rsid w:val="0059541D"/>
    <w:rsid w:val="00595F6B"/>
    <w:rsid w:val="00595F94"/>
    <w:rsid w:val="0059625F"/>
    <w:rsid w:val="00596595"/>
    <w:rsid w:val="00596DBC"/>
    <w:rsid w:val="00596EB6"/>
    <w:rsid w:val="005971B0"/>
    <w:rsid w:val="0059737B"/>
    <w:rsid w:val="00597F2A"/>
    <w:rsid w:val="005A0071"/>
    <w:rsid w:val="005A01EE"/>
    <w:rsid w:val="005A07BD"/>
    <w:rsid w:val="005A0EA0"/>
    <w:rsid w:val="005A1134"/>
    <w:rsid w:val="005A18F4"/>
    <w:rsid w:val="005A1EC8"/>
    <w:rsid w:val="005A2222"/>
    <w:rsid w:val="005A2261"/>
    <w:rsid w:val="005A28A8"/>
    <w:rsid w:val="005A2B9F"/>
    <w:rsid w:val="005A2FBC"/>
    <w:rsid w:val="005A3171"/>
    <w:rsid w:val="005A3323"/>
    <w:rsid w:val="005A3366"/>
    <w:rsid w:val="005A42F7"/>
    <w:rsid w:val="005A474E"/>
    <w:rsid w:val="005A4A3E"/>
    <w:rsid w:val="005A4C32"/>
    <w:rsid w:val="005A4D86"/>
    <w:rsid w:val="005A5128"/>
    <w:rsid w:val="005A5152"/>
    <w:rsid w:val="005A5719"/>
    <w:rsid w:val="005A6796"/>
    <w:rsid w:val="005A6887"/>
    <w:rsid w:val="005A68A9"/>
    <w:rsid w:val="005A6AA0"/>
    <w:rsid w:val="005A6C2F"/>
    <w:rsid w:val="005A6D5B"/>
    <w:rsid w:val="005A71C7"/>
    <w:rsid w:val="005A75F8"/>
    <w:rsid w:val="005A7B91"/>
    <w:rsid w:val="005A7F22"/>
    <w:rsid w:val="005B0408"/>
    <w:rsid w:val="005B08B3"/>
    <w:rsid w:val="005B0D10"/>
    <w:rsid w:val="005B124B"/>
    <w:rsid w:val="005B1841"/>
    <w:rsid w:val="005B2180"/>
    <w:rsid w:val="005B23B0"/>
    <w:rsid w:val="005B2443"/>
    <w:rsid w:val="005B2483"/>
    <w:rsid w:val="005B2E61"/>
    <w:rsid w:val="005B32AC"/>
    <w:rsid w:val="005B35C7"/>
    <w:rsid w:val="005B35F5"/>
    <w:rsid w:val="005B3B63"/>
    <w:rsid w:val="005B3D23"/>
    <w:rsid w:val="005B4066"/>
    <w:rsid w:val="005B4BBF"/>
    <w:rsid w:val="005B5022"/>
    <w:rsid w:val="005B525B"/>
    <w:rsid w:val="005B539E"/>
    <w:rsid w:val="005B5BD9"/>
    <w:rsid w:val="005B66D4"/>
    <w:rsid w:val="005B695C"/>
    <w:rsid w:val="005B6F03"/>
    <w:rsid w:val="005B7C79"/>
    <w:rsid w:val="005B7F0E"/>
    <w:rsid w:val="005C018A"/>
    <w:rsid w:val="005C0931"/>
    <w:rsid w:val="005C0C5B"/>
    <w:rsid w:val="005C1121"/>
    <w:rsid w:val="005C14A2"/>
    <w:rsid w:val="005C18BE"/>
    <w:rsid w:val="005C28CF"/>
    <w:rsid w:val="005C2E87"/>
    <w:rsid w:val="005C328E"/>
    <w:rsid w:val="005C3699"/>
    <w:rsid w:val="005C3B10"/>
    <w:rsid w:val="005C3E95"/>
    <w:rsid w:val="005C4DC9"/>
    <w:rsid w:val="005C4EB3"/>
    <w:rsid w:val="005C5BD7"/>
    <w:rsid w:val="005C5C2F"/>
    <w:rsid w:val="005C6EF8"/>
    <w:rsid w:val="005C7110"/>
    <w:rsid w:val="005C714D"/>
    <w:rsid w:val="005C7631"/>
    <w:rsid w:val="005C78B2"/>
    <w:rsid w:val="005C791D"/>
    <w:rsid w:val="005C7956"/>
    <w:rsid w:val="005C79F0"/>
    <w:rsid w:val="005C7E0D"/>
    <w:rsid w:val="005D09C8"/>
    <w:rsid w:val="005D0A64"/>
    <w:rsid w:val="005D0CE8"/>
    <w:rsid w:val="005D21CD"/>
    <w:rsid w:val="005D2401"/>
    <w:rsid w:val="005D2B9B"/>
    <w:rsid w:val="005D32D2"/>
    <w:rsid w:val="005D44F3"/>
    <w:rsid w:val="005D486F"/>
    <w:rsid w:val="005D48C4"/>
    <w:rsid w:val="005D4AB4"/>
    <w:rsid w:val="005D4B28"/>
    <w:rsid w:val="005D4CFC"/>
    <w:rsid w:val="005D4DA9"/>
    <w:rsid w:val="005D5109"/>
    <w:rsid w:val="005D6149"/>
    <w:rsid w:val="005D645B"/>
    <w:rsid w:val="005D68BA"/>
    <w:rsid w:val="005D6CE9"/>
    <w:rsid w:val="005D6F24"/>
    <w:rsid w:val="005D71CB"/>
    <w:rsid w:val="005D72B0"/>
    <w:rsid w:val="005D7545"/>
    <w:rsid w:val="005D7956"/>
    <w:rsid w:val="005D79E9"/>
    <w:rsid w:val="005D7A26"/>
    <w:rsid w:val="005D7E4A"/>
    <w:rsid w:val="005E0088"/>
    <w:rsid w:val="005E01AD"/>
    <w:rsid w:val="005E0316"/>
    <w:rsid w:val="005E0459"/>
    <w:rsid w:val="005E08F0"/>
    <w:rsid w:val="005E0AFE"/>
    <w:rsid w:val="005E0BE9"/>
    <w:rsid w:val="005E18C1"/>
    <w:rsid w:val="005E1BC6"/>
    <w:rsid w:val="005E241B"/>
    <w:rsid w:val="005E2899"/>
    <w:rsid w:val="005E301C"/>
    <w:rsid w:val="005E3315"/>
    <w:rsid w:val="005E3865"/>
    <w:rsid w:val="005E3BCA"/>
    <w:rsid w:val="005E462B"/>
    <w:rsid w:val="005E4787"/>
    <w:rsid w:val="005E47C5"/>
    <w:rsid w:val="005E4903"/>
    <w:rsid w:val="005E4AFD"/>
    <w:rsid w:val="005E5BC8"/>
    <w:rsid w:val="005E5FB8"/>
    <w:rsid w:val="005E6D87"/>
    <w:rsid w:val="005E7DA9"/>
    <w:rsid w:val="005F042B"/>
    <w:rsid w:val="005F15EE"/>
    <w:rsid w:val="005F1BA5"/>
    <w:rsid w:val="005F1D33"/>
    <w:rsid w:val="005F1DB0"/>
    <w:rsid w:val="005F283A"/>
    <w:rsid w:val="005F2950"/>
    <w:rsid w:val="005F3549"/>
    <w:rsid w:val="005F3A30"/>
    <w:rsid w:val="005F3A72"/>
    <w:rsid w:val="005F3E17"/>
    <w:rsid w:val="005F3F1A"/>
    <w:rsid w:val="005F4160"/>
    <w:rsid w:val="005F4862"/>
    <w:rsid w:val="005F499A"/>
    <w:rsid w:val="005F4EE8"/>
    <w:rsid w:val="005F5042"/>
    <w:rsid w:val="005F51A7"/>
    <w:rsid w:val="005F5A9D"/>
    <w:rsid w:val="005F5D5C"/>
    <w:rsid w:val="005F638D"/>
    <w:rsid w:val="005F6A69"/>
    <w:rsid w:val="005F7296"/>
    <w:rsid w:val="005F72F2"/>
    <w:rsid w:val="005F76A6"/>
    <w:rsid w:val="005F78DC"/>
    <w:rsid w:val="005F7F3B"/>
    <w:rsid w:val="00600E69"/>
    <w:rsid w:val="00601576"/>
    <w:rsid w:val="00601967"/>
    <w:rsid w:val="00601D09"/>
    <w:rsid w:val="00601EAE"/>
    <w:rsid w:val="006024AB"/>
    <w:rsid w:val="00602737"/>
    <w:rsid w:val="00602AB2"/>
    <w:rsid w:val="00603133"/>
    <w:rsid w:val="00603135"/>
    <w:rsid w:val="00603C49"/>
    <w:rsid w:val="00604014"/>
    <w:rsid w:val="006044FD"/>
    <w:rsid w:val="006045A1"/>
    <w:rsid w:val="006048AE"/>
    <w:rsid w:val="00604BDF"/>
    <w:rsid w:val="00604CA5"/>
    <w:rsid w:val="0060543F"/>
    <w:rsid w:val="0060588E"/>
    <w:rsid w:val="00605C05"/>
    <w:rsid w:val="00605DB3"/>
    <w:rsid w:val="00606172"/>
    <w:rsid w:val="00606177"/>
    <w:rsid w:val="00606680"/>
    <w:rsid w:val="006067FB"/>
    <w:rsid w:val="00606AE1"/>
    <w:rsid w:val="00606BF5"/>
    <w:rsid w:val="00606D86"/>
    <w:rsid w:val="006075F8"/>
    <w:rsid w:val="00607F64"/>
    <w:rsid w:val="0061025E"/>
    <w:rsid w:val="006103F1"/>
    <w:rsid w:val="00610576"/>
    <w:rsid w:val="0061062D"/>
    <w:rsid w:val="0061104B"/>
    <w:rsid w:val="006112B9"/>
    <w:rsid w:val="00611510"/>
    <w:rsid w:val="00611676"/>
    <w:rsid w:val="00611753"/>
    <w:rsid w:val="00612023"/>
    <w:rsid w:val="006120C5"/>
    <w:rsid w:val="0061223C"/>
    <w:rsid w:val="00612622"/>
    <w:rsid w:val="00612A97"/>
    <w:rsid w:val="0061303B"/>
    <w:rsid w:val="0061343A"/>
    <w:rsid w:val="00613684"/>
    <w:rsid w:val="0061387A"/>
    <w:rsid w:val="00613A33"/>
    <w:rsid w:val="00614020"/>
    <w:rsid w:val="006142E6"/>
    <w:rsid w:val="00614308"/>
    <w:rsid w:val="00614BBB"/>
    <w:rsid w:val="00614C1A"/>
    <w:rsid w:val="006152D8"/>
    <w:rsid w:val="00616407"/>
    <w:rsid w:val="00616A93"/>
    <w:rsid w:val="00616EF8"/>
    <w:rsid w:val="00617516"/>
    <w:rsid w:val="00617754"/>
    <w:rsid w:val="0061799A"/>
    <w:rsid w:val="00617E3F"/>
    <w:rsid w:val="0062019B"/>
    <w:rsid w:val="00620566"/>
    <w:rsid w:val="00620580"/>
    <w:rsid w:val="006207DC"/>
    <w:rsid w:val="00621149"/>
    <w:rsid w:val="00621434"/>
    <w:rsid w:val="006214FE"/>
    <w:rsid w:val="00621F34"/>
    <w:rsid w:val="006220E6"/>
    <w:rsid w:val="0062294E"/>
    <w:rsid w:val="00622BCD"/>
    <w:rsid w:val="00623614"/>
    <w:rsid w:val="00623B69"/>
    <w:rsid w:val="00623F68"/>
    <w:rsid w:val="006240A6"/>
    <w:rsid w:val="00624274"/>
    <w:rsid w:val="0062431A"/>
    <w:rsid w:val="0062435B"/>
    <w:rsid w:val="0062483C"/>
    <w:rsid w:val="00624A8C"/>
    <w:rsid w:val="00624F0B"/>
    <w:rsid w:val="00624F52"/>
    <w:rsid w:val="00625088"/>
    <w:rsid w:val="006257F0"/>
    <w:rsid w:val="00625A6F"/>
    <w:rsid w:val="00625F1D"/>
    <w:rsid w:val="00626313"/>
    <w:rsid w:val="00627101"/>
    <w:rsid w:val="0063016E"/>
    <w:rsid w:val="0063101E"/>
    <w:rsid w:val="00631111"/>
    <w:rsid w:val="0063130C"/>
    <w:rsid w:val="006314E0"/>
    <w:rsid w:val="00631520"/>
    <w:rsid w:val="00631573"/>
    <w:rsid w:val="00631BAB"/>
    <w:rsid w:val="00631BE4"/>
    <w:rsid w:val="006320AD"/>
    <w:rsid w:val="006324EA"/>
    <w:rsid w:val="00632D3C"/>
    <w:rsid w:val="0063333D"/>
    <w:rsid w:val="00633970"/>
    <w:rsid w:val="00633F4B"/>
    <w:rsid w:val="00634125"/>
    <w:rsid w:val="006342DB"/>
    <w:rsid w:val="00634310"/>
    <w:rsid w:val="00634514"/>
    <w:rsid w:val="0063483C"/>
    <w:rsid w:val="00635028"/>
    <w:rsid w:val="006352B0"/>
    <w:rsid w:val="00635570"/>
    <w:rsid w:val="00636020"/>
    <w:rsid w:val="00636138"/>
    <w:rsid w:val="00636659"/>
    <w:rsid w:val="006369C5"/>
    <w:rsid w:val="00636D95"/>
    <w:rsid w:val="00636FE4"/>
    <w:rsid w:val="0063700D"/>
    <w:rsid w:val="0063720A"/>
    <w:rsid w:val="006372E8"/>
    <w:rsid w:val="00637380"/>
    <w:rsid w:val="00637765"/>
    <w:rsid w:val="006378DF"/>
    <w:rsid w:val="006401AB"/>
    <w:rsid w:val="0064067A"/>
    <w:rsid w:val="00640D15"/>
    <w:rsid w:val="0064117A"/>
    <w:rsid w:val="0064125C"/>
    <w:rsid w:val="00641510"/>
    <w:rsid w:val="00641A48"/>
    <w:rsid w:val="00641BC6"/>
    <w:rsid w:val="00641C50"/>
    <w:rsid w:val="00642035"/>
    <w:rsid w:val="0064222F"/>
    <w:rsid w:val="00642814"/>
    <w:rsid w:val="00642E94"/>
    <w:rsid w:val="00643270"/>
    <w:rsid w:val="006432E5"/>
    <w:rsid w:val="00643ADA"/>
    <w:rsid w:val="00643BB4"/>
    <w:rsid w:val="006442A5"/>
    <w:rsid w:val="00644DF5"/>
    <w:rsid w:val="00644FD1"/>
    <w:rsid w:val="0064539B"/>
    <w:rsid w:val="006462D4"/>
    <w:rsid w:val="00646465"/>
    <w:rsid w:val="00646810"/>
    <w:rsid w:val="00646B83"/>
    <w:rsid w:val="0064727B"/>
    <w:rsid w:val="006472F9"/>
    <w:rsid w:val="006475AA"/>
    <w:rsid w:val="006475DC"/>
    <w:rsid w:val="00650096"/>
    <w:rsid w:val="00650121"/>
    <w:rsid w:val="00650668"/>
    <w:rsid w:val="00650D50"/>
    <w:rsid w:val="00650D55"/>
    <w:rsid w:val="00651135"/>
    <w:rsid w:val="006513C9"/>
    <w:rsid w:val="006514B0"/>
    <w:rsid w:val="0065157A"/>
    <w:rsid w:val="0065167D"/>
    <w:rsid w:val="00651A8E"/>
    <w:rsid w:val="00651AB2"/>
    <w:rsid w:val="00651BB2"/>
    <w:rsid w:val="00651CDC"/>
    <w:rsid w:val="00651FCD"/>
    <w:rsid w:val="00652041"/>
    <w:rsid w:val="00652A18"/>
    <w:rsid w:val="00652EF4"/>
    <w:rsid w:val="00653A2A"/>
    <w:rsid w:val="00653C5C"/>
    <w:rsid w:val="00653CBE"/>
    <w:rsid w:val="00653DA7"/>
    <w:rsid w:val="00654297"/>
    <w:rsid w:val="006542B5"/>
    <w:rsid w:val="00654455"/>
    <w:rsid w:val="00654602"/>
    <w:rsid w:val="006548AA"/>
    <w:rsid w:val="00654BDC"/>
    <w:rsid w:val="00654F6C"/>
    <w:rsid w:val="00655744"/>
    <w:rsid w:val="0065608F"/>
    <w:rsid w:val="00656503"/>
    <w:rsid w:val="006565E0"/>
    <w:rsid w:val="0065677E"/>
    <w:rsid w:val="00656C36"/>
    <w:rsid w:val="00656F95"/>
    <w:rsid w:val="00657583"/>
    <w:rsid w:val="0066063C"/>
    <w:rsid w:val="0066075F"/>
    <w:rsid w:val="00660844"/>
    <w:rsid w:val="00660AB3"/>
    <w:rsid w:val="006615CA"/>
    <w:rsid w:val="00661805"/>
    <w:rsid w:val="006618FB"/>
    <w:rsid w:val="00661E05"/>
    <w:rsid w:val="006624B8"/>
    <w:rsid w:val="006625D2"/>
    <w:rsid w:val="00662BF0"/>
    <w:rsid w:val="006635DE"/>
    <w:rsid w:val="0066372B"/>
    <w:rsid w:val="00663A08"/>
    <w:rsid w:val="0066409B"/>
    <w:rsid w:val="00664361"/>
    <w:rsid w:val="0066493E"/>
    <w:rsid w:val="00665265"/>
    <w:rsid w:val="00665303"/>
    <w:rsid w:val="006654DC"/>
    <w:rsid w:val="00665CBC"/>
    <w:rsid w:val="00665D90"/>
    <w:rsid w:val="006668A5"/>
    <w:rsid w:val="006669C2"/>
    <w:rsid w:val="00666BA5"/>
    <w:rsid w:val="00666D3F"/>
    <w:rsid w:val="00667188"/>
    <w:rsid w:val="00667311"/>
    <w:rsid w:val="006674A5"/>
    <w:rsid w:val="006677AB"/>
    <w:rsid w:val="00667B81"/>
    <w:rsid w:val="00667E34"/>
    <w:rsid w:val="00670807"/>
    <w:rsid w:val="00672519"/>
    <w:rsid w:val="00672779"/>
    <w:rsid w:val="00672B69"/>
    <w:rsid w:val="00672CE0"/>
    <w:rsid w:val="00672F40"/>
    <w:rsid w:val="006730FA"/>
    <w:rsid w:val="00673E3A"/>
    <w:rsid w:val="00673E95"/>
    <w:rsid w:val="00674B7B"/>
    <w:rsid w:val="00674C08"/>
    <w:rsid w:val="00674DA7"/>
    <w:rsid w:val="006753A7"/>
    <w:rsid w:val="0067587D"/>
    <w:rsid w:val="00675BD4"/>
    <w:rsid w:val="00676111"/>
    <w:rsid w:val="006763CB"/>
    <w:rsid w:val="00676E6A"/>
    <w:rsid w:val="00676F44"/>
    <w:rsid w:val="00677160"/>
    <w:rsid w:val="00677307"/>
    <w:rsid w:val="0067794C"/>
    <w:rsid w:val="00677CD7"/>
    <w:rsid w:val="006803E0"/>
    <w:rsid w:val="006806B3"/>
    <w:rsid w:val="00680A0D"/>
    <w:rsid w:val="00681EE3"/>
    <w:rsid w:val="00682A9A"/>
    <w:rsid w:val="00682F05"/>
    <w:rsid w:val="006835BC"/>
    <w:rsid w:val="006837B7"/>
    <w:rsid w:val="006837D9"/>
    <w:rsid w:val="006844E4"/>
    <w:rsid w:val="0068454F"/>
    <w:rsid w:val="00684BA0"/>
    <w:rsid w:val="00685614"/>
    <w:rsid w:val="00685720"/>
    <w:rsid w:val="00686160"/>
    <w:rsid w:val="0068633C"/>
    <w:rsid w:val="006863B9"/>
    <w:rsid w:val="006863CA"/>
    <w:rsid w:val="00686B22"/>
    <w:rsid w:val="00686ECC"/>
    <w:rsid w:val="0068752F"/>
    <w:rsid w:val="00687945"/>
    <w:rsid w:val="00687AFC"/>
    <w:rsid w:val="00687CAD"/>
    <w:rsid w:val="00690786"/>
    <w:rsid w:val="00690D76"/>
    <w:rsid w:val="00691093"/>
    <w:rsid w:val="00691111"/>
    <w:rsid w:val="00691236"/>
    <w:rsid w:val="006915A5"/>
    <w:rsid w:val="00691E37"/>
    <w:rsid w:val="00692A75"/>
    <w:rsid w:val="006935CE"/>
    <w:rsid w:val="006936E0"/>
    <w:rsid w:val="00693865"/>
    <w:rsid w:val="00693984"/>
    <w:rsid w:val="006939ED"/>
    <w:rsid w:val="00693E61"/>
    <w:rsid w:val="00694A99"/>
    <w:rsid w:val="00694EE2"/>
    <w:rsid w:val="00695825"/>
    <w:rsid w:val="0069617F"/>
    <w:rsid w:val="00696493"/>
    <w:rsid w:val="0069659B"/>
    <w:rsid w:val="006967BC"/>
    <w:rsid w:val="0069774E"/>
    <w:rsid w:val="006977A6"/>
    <w:rsid w:val="0069780C"/>
    <w:rsid w:val="006A05E9"/>
    <w:rsid w:val="006A0E24"/>
    <w:rsid w:val="006A13C7"/>
    <w:rsid w:val="006A13D2"/>
    <w:rsid w:val="006A15EF"/>
    <w:rsid w:val="006A1B53"/>
    <w:rsid w:val="006A1DCD"/>
    <w:rsid w:val="006A2029"/>
    <w:rsid w:val="006A204F"/>
    <w:rsid w:val="006A2681"/>
    <w:rsid w:val="006A2DA9"/>
    <w:rsid w:val="006A3311"/>
    <w:rsid w:val="006A3713"/>
    <w:rsid w:val="006A3F51"/>
    <w:rsid w:val="006A424E"/>
    <w:rsid w:val="006A4568"/>
    <w:rsid w:val="006A5EEB"/>
    <w:rsid w:val="006A637D"/>
    <w:rsid w:val="006A685C"/>
    <w:rsid w:val="006A6D03"/>
    <w:rsid w:val="006A6E22"/>
    <w:rsid w:val="006A7362"/>
    <w:rsid w:val="006B0140"/>
    <w:rsid w:val="006B1276"/>
    <w:rsid w:val="006B146D"/>
    <w:rsid w:val="006B2177"/>
    <w:rsid w:val="006B2A7B"/>
    <w:rsid w:val="006B2B1F"/>
    <w:rsid w:val="006B2D1B"/>
    <w:rsid w:val="006B2F45"/>
    <w:rsid w:val="006B3759"/>
    <w:rsid w:val="006B3953"/>
    <w:rsid w:val="006B413A"/>
    <w:rsid w:val="006B4CCF"/>
    <w:rsid w:val="006B4D86"/>
    <w:rsid w:val="006B50AA"/>
    <w:rsid w:val="006B540B"/>
    <w:rsid w:val="006B56F6"/>
    <w:rsid w:val="006B59A7"/>
    <w:rsid w:val="006B5D5D"/>
    <w:rsid w:val="006B6325"/>
    <w:rsid w:val="006B6377"/>
    <w:rsid w:val="006B6403"/>
    <w:rsid w:val="006B650D"/>
    <w:rsid w:val="006B6564"/>
    <w:rsid w:val="006B6B18"/>
    <w:rsid w:val="006B6E1B"/>
    <w:rsid w:val="006B74A9"/>
    <w:rsid w:val="006B772B"/>
    <w:rsid w:val="006B7BD9"/>
    <w:rsid w:val="006C06A9"/>
    <w:rsid w:val="006C0CEE"/>
    <w:rsid w:val="006C0D1F"/>
    <w:rsid w:val="006C0D37"/>
    <w:rsid w:val="006C0D5A"/>
    <w:rsid w:val="006C0F60"/>
    <w:rsid w:val="006C146B"/>
    <w:rsid w:val="006C1500"/>
    <w:rsid w:val="006C166F"/>
    <w:rsid w:val="006C195E"/>
    <w:rsid w:val="006C1D8D"/>
    <w:rsid w:val="006C1FFF"/>
    <w:rsid w:val="006C27EA"/>
    <w:rsid w:val="006C2AB5"/>
    <w:rsid w:val="006C2CB5"/>
    <w:rsid w:val="006C30D2"/>
    <w:rsid w:val="006C31C6"/>
    <w:rsid w:val="006C3E84"/>
    <w:rsid w:val="006C4000"/>
    <w:rsid w:val="006C48A3"/>
    <w:rsid w:val="006C48FC"/>
    <w:rsid w:val="006C4A0E"/>
    <w:rsid w:val="006C4A6D"/>
    <w:rsid w:val="006C4EF4"/>
    <w:rsid w:val="006C508D"/>
    <w:rsid w:val="006C5647"/>
    <w:rsid w:val="006C5861"/>
    <w:rsid w:val="006C58B0"/>
    <w:rsid w:val="006C5C74"/>
    <w:rsid w:val="006C74E3"/>
    <w:rsid w:val="006D0397"/>
    <w:rsid w:val="006D05E6"/>
    <w:rsid w:val="006D05FD"/>
    <w:rsid w:val="006D06C9"/>
    <w:rsid w:val="006D0E92"/>
    <w:rsid w:val="006D1130"/>
    <w:rsid w:val="006D17F0"/>
    <w:rsid w:val="006D1B23"/>
    <w:rsid w:val="006D1FD2"/>
    <w:rsid w:val="006D263F"/>
    <w:rsid w:val="006D26BE"/>
    <w:rsid w:val="006D27CF"/>
    <w:rsid w:val="006D2BA1"/>
    <w:rsid w:val="006D33F4"/>
    <w:rsid w:val="006D384B"/>
    <w:rsid w:val="006D3EE5"/>
    <w:rsid w:val="006D4071"/>
    <w:rsid w:val="006D4785"/>
    <w:rsid w:val="006D4DD9"/>
    <w:rsid w:val="006D5174"/>
    <w:rsid w:val="006D584C"/>
    <w:rsid w:val="006D585C"/>
    <w:rsid w:val="006D59F3"/>
    <w:rsid w:val="006D5CF1"/>
    <w:rsid w:val="006D5DF4"/>
    <w:rsid w:val="006D5F3F"/>
    <w:rsid w:val="006D7021"/>
    <w:rsid w:val="006D7058"/>
    <w:rsid w:val="006D7E6A"/>
    <w:rsid w:val="006E04E8"/>
    <w:rsid w:val="006E0894"/>
    <w:rsid w:val="006E1649"/>
    <w:rsid w:val="006E17CC"/>
    <w:rsid w:val="006E1B91"/>
    <w:rsid w:val="006E21F8"/>
    <w:rsid w:val="006E259E"/>
    <w:rsid w:val="006E270F"/>
    <w:rsid w:val="006E29A1"/>
    <w:rsid w:val="006E2C22"/>
    <w:rsid w:val="006E3778"/>
    <w:rsid w:val="006E3D02"/>
    <w:rsid w:val="006E3E4D"/>
    <w:rsid w:val="006E4384"/>
    <w:rsid w:val="006E4B75"/>
    <w:rsid w:val="006E4DD5"/>
    <w:rsid w:val="006E50CC"/>
    <w:rsid w:val="006E551D"/>
    <w:rsid w:val="006E55B2"/>
    <w:rsid w:val="006E5B76"/>
    <w:rsid w:val="006E5FE4"/>
    <w:rsid w:val="006E7A52"/>
    <w:rsid w:val="006E7C15"/>
    <w:rsid w:val="006F0210"/>
    <w:rsid w:val="006F0855"/>
    <w:rsid w:val="006F12C4"/>
    <w:rsid w:val="006F1669"/>
    <w:rsid w:val="006F2C14"/>
    <w:rsid w:val="006F30C7"/>
    <w:rsid w:val="006F3136"/>
    <w:rsid w:val="006F32F2"/>
    <w:rsid w:val="006F37B5"/>
    <w:rsid w:val="006F38E8"/>
    <w:rsid w:val="006F3CD8"/>
    <w:rsid w:val="006F3F7D"/>
    <w:rsid w:val="006F4BAD"/>
    <w:rsid w:val="006F4CFE"/>
    <w:rsid w:val="006F4FBC"/>
    <w:rsid w:val="006F50E8"/>
    <w:rsid w:val="006F5145"/>
    <w:rsid w:val="006F5BBF"/>
    <w:rsid w:val="006F6695"/>
    <w:rsid w:val="006F6C6E"/>
    <w:rsid w:val="006F7A65"/>
    <w:rsid w:val="00700A0D"/>
    <w:rsid w:val="00700AE8"/>
    <w:rsid w:val="00700B70"/>
    <w:rsid w:val="00700C0E"/>
    <w:rsid w:val="00701513"/>
    <w:rsid w:val="007018AD"/>
    <w:rsid w:val="00701C03"/>
    <w:rsid w:val="00701C3D"/>
    <w:rsid w:val="007026AE"/>
    <w:rsid w:val="00702842"/>
    <w:rsid w:val="00702BFF"/>
    <w:rsid w:val="00702CC8"/>
    <w:rsid w:val="00703AAD"/>
    <w:rsid w:val="00703ED1"/>
    <w:rsid w:val="007040C9"/>
    <w:rsid w:val="00704C68"/>
    <w:rsid w:val="00704D45"/>
    <w:rsid w:val="00705D9A"/>
    <w:rsid w:val="00705F73"/>
    <w:rsid w:val="00706483"/>
    <w:rsid w:val="00706787"/>
    <w:rsid w:val="0070755B"/>
    <w:rsid w:val="00707C18"/>
    <w:rsid w:val="00707CEF"/>
    <w:rsid w:val="007102E8"/>
    <w:rsid w:val="00710E8D"/>
    <w:rsid w:val="007112BE"/>
    <w:rsid w:val="007116F1"/>
    <w:rsid w:val="00711744"/>
    <w:rsid w:val="007120BB"/>
    <w:rsid w:val="00713128"/>
    <w:rsid w:val="0071331A"/>
    <w:rsid w:val="007133B1"/>
    <w:rsid w:val="00713811"/>
    <w:rsid w:val="00713DDA"/>
    <w:rsid w:val="007141D9"/>
    <w:rsid w:val="007155C5"/>
    <w:rsid w:val="00715E11"/>
    <w:rsid w:val="00715E88"/>
    <w:rsid w:val="007165F7"/>
    <w:rsid w:val="00716AA5"/>
    <w:rsid w:val="0071764E"/>
    <w:rsid w:val="00717B77"/>
    <w:rsid w:val="00720C2E"/>
    <w:rsid w:val="00720EE1"/>
    <w:rsid w:val="00720F0D"/>
    <w:rsid w:val="00720F83"/>
    <w:rsid w:val="00721F08"/>
    <w:rsid w:val="007220B6"/>
    <w:rsid w:val="00722697"/>
    <w:rsid w:val="007229B7"/>
    <w:rsid w:val="00722A1C"/>
    <w:rsid w:val="007232AE"/>
    <w:rsid w:val="00723334"/>
    <w:rsid w:val="007233F0"/>
    <w:rsid w:val="00723CF3"/>
    <w:rsid w:val="00724856"/>
    <w:rsid w:val="00724C6C"/>
    <w:rsid w:val="00724E94"/>
    <w:rsid w:val="0072612E"/>
    <w:rsid w:val="007264F0"/>
    <w:rsid w:val="00726E35"/>
    <w:rsid w:val="00727191"/>
    <w:rsid w:val="00727F94"/>
    <w:rsid w:val="007300C9"/>
    <w:rsid w:val="00730A68"/>
    <w:rsid w:val="00730EC3"/>
    <w:rsid w:val="00730ECD"/>
    <w:rsid w:val="00730FB2"/>
    <w:rsid w:val="0073174A"/>
    <w:rsid w:val="00732844"/>
    <w:rsid w:val="0073295E"/>
    <w:rsid w:val="00733073"/>
    <w:rsid w:val="00733316"/>
    <w:rsid w:val="007333B2"/>
    <w:rsid w:val="007340CC"/>
    <w:rsid w:val="007342EF"/>
    <w:rsid w:val="0073430E"/>
    <w:rsid w:val="0073464D"/>
    <w:rsid w:val="00734837"/>
    <w:rsid w:val="00734FBE"/>
    <w:rsid w:val="00735A50"/>
    <w:rsid w:val="007364E9"/>
    <w:rsid w:val="007365A0"/>
    <w:rsid w:val="00736A6A"/>
    <w:rsid w:val="00736FFE"/>
    <w:rsid w:val="0073752D"/>
    <w:rsid w:val="0073769C"/>
    <w:rsid w:val="0073777E"/>
    <w:rsid w:val="00737A1C"/>
    <w:rsid w:val="007407CE"/>
    <w:rsid w:val="0074081B"/>
    <w:rsid w:val="00740AC2"/>
    <w:rsid w:val="00740C46"/>
    <w:rsid w:val="00741EFF"/>
    <w:rsid w:val="00742091"/>
    <w:rsid w:val="007422D6"/>
    <w:rsid w:val="00742863"/>
    <w:rsid w:val="0074305D"/>
    <w:rsid w:val="00743509"/>
    <w:rsid w:val="00743853"/>
    <w:rsid w:val="00743997"/>
    <w:rsid w:val="00743EBE"/>
    <w:rsid w:val="007446E3"/>
    <w:rsid w:val="00744ED7"/>
    <w:rsid w:val="007454A0"/>
    <w:rsid w:val="0074582E"/>
    <w:rsid w:val="00745919"/>
    <w:rsid w:val="0074606F"/>
    <w:rsid w:val="0074698D"/>
    <w:rsid w:val="00746A38"/>
    <w:rsid w:val="00746BDD"/>
    <w:rsid w:val="00746D1B"/>
    <w:rsid w:val="007500CF"/>
    <w:rsid w:val="00750235"/>
    <w:rsid w:val="0075025E"/>
    <w:rsid w:val="00751470"/>
    <w:rsid w:val="007515AB"/>
    <w:rsid w:val="00751650"/>
    <w:rsid w:val="00751744"/>
    <w:rsid w:val="00751E16"/>
    <w:rsid w:val="00752222"/>
    <w:rsid w:val="00752E83"/>
    <w:rsid w:val="0075309B"/>
    <w:rsid w:val="0075323D"/>
    <w:rsid w:val="007533E9"/>
    <w:rsid w:val="007537F4"/>
    <w:rsid w:val="00753B45"/>
    <w:rsid w:val="0075447C"/>
    <w:rsid w:val="00754500"/>
    <w:rsid w:val="007547A1"/>
    <w:rsid w:val="00754F39"/>
    <w:rsid w:val="0075505A"/>
    <w:rsid w:val="00755291"/>
    <w:rsid w:val="00755A60"/>
    <w:rsid w:val="00755B26"/>
    <w:rsid w:val="00755E91"/>
    <w:rsid w:val="00756478"/>
    <w:rsid w:val="00756CC9"/>
    <w:rsid w:val="00756DEF"/>
    <w:rsid w:val="00756EA1"/>
    <w:rsid w:val="00756EA7"/>
    <w:rsid w:val="00757EDF"/>
    <w:rsid w:val="0076026C"/>
    <w:rsid w:val="007603B7"/>
    <w:rsid w:val="00760445"/>
    <w:rsid w:val="00760759"/>
    <w:rsid w:val="007609A4"/>
    <w:rsid w:val="00760CA5"/>
    <w:rsid w:val="0076167E"/>
    <w:rsid w:val="00762026"/>
    <w:rsid w:val="00762192"/>
    <w:rsid w:val="00762496"/>
    <w:rsid w:val="007625D7"/>
    <w:rsid w:val="00762B5D"/>
    <w:rsid w:val="00762BA4"/>
    <w:rsid w:val="007632E5"/>
    <w:rsid w:val="00763597"/>
    <w:rsid w:val="0076568A"/>
    <w:rsid w:val="007658AB"/>
    <w:rsid w:val="007666DE"/>
    <w:rsid w:val="00766A30"/>
    <w:rsid w:val="00766AD9"/>
    <w:rsid w:val="00766E60"/>
    <w:rsid w:val="00767385"/>
    <w:rsid w:val="00767B61"/>
    <w:rsid w:val="00767F11"/>
    <w:rsid w:val="00770020"/>
    <w:rsid w:val="0077197A"/>
    <w:rsid w:val="00771BB4"/>
    <w:rsid w:val="00771DAB"/>
    <w:rsid w:val="00771FD1"/>
    <w:rsid w:val="00772258"/>
    <w:rsid w:val="00772340"/>
    <w:rsid w:val="0077240D"/>
    <w:rsid w:val="007729F1"/>
    <w:rsid w:val="00772F08"/>
    <w:rsid w:val="007730E0"/>
    <w:rsid w:val="0077363E"/>
    <w:rsid w:val="00773B39"/>
    <w:rsid w:val="00774AD6"/>
    <w:rsid w:val="00775ADC"/>
    <w:rsid w:val="0077645B"/>
    <w:rsid w:val="00776AE3"/>
    <w:rsid w:val="00777334"/>
    <w:rsid w:val="00777581"/>
    <w:rsid w:val="0077772D"/>
    <w:rsid w:val="00777CBB"/>
    <w:rsid w:val="00777EF2"/>
    <w:rsid w:val="007809DC"/>
    <w:rsid w:val="00781475"/>
    <w:rsid w:val="007821EF"/>
    <w:rsid w:val="00782913"/>
    <w:rsid w:val="00782AE3"/>
    <w:rsid w:val="0078330F"/>
    <w:rsid w:val="00783CBA"/>
    <w:rsid w:val="00783F73"/>
    <w:rsid w:val="00784096"/>
    <w:rsid w:val="007848A0"/>
    <w:rsid w:val="00784F12"/>
    <w:rsid w:val="00785B18"/>
    <w:rsid w:val="00785E5A"/>
    <w:rsid w:val="00786A4E"/>
    <w:rsid w:val="00786A70"/>
    <w:rsid w:val="00786B76"/>
    <w:rsid w:val="007870AF"/>
    <w:rsid w:val="0078755D"/>
    <w:rsid w:val="00787690"/>
    <w:rsid w:val="00787B02"/>
    <w:rsid w:val="00787CD9"/>
    <w:rsid w:val="007900CF"/>
    <w:rsid w:val="00790726"/>
    <w:rsid w:val="00790738"/>
    <w:rsid w:val="007908B9"/>
    <w:rsid w:val="00790FA0"/>
    <w:rsid w:val="0079136B"/>
    <w:rsid w:val="00791665"/>
    <w:rsid w:val="007918B2"/>
    <w:rsid w:val="007924C0"/>
    <w:rsid w:val="0079269C"/>
    <w:rsid w:val="00792D04"/>
    <w:rsid w:val="00792E6E"/>
    <w:rsid w:val="0079336E"/>
    <w:rsid w:val="007934C7"/>
    <w:rsid w:val="00793630"/>
    <w:rsid w:val="00793924"/>
    <w:rsid w:val="007942C4"/>
    <w:rsid w:val="007948DD"/>
    <w:rsid w:val="00794C3C"/>
    <w:rsid w:val="00794C7E"/>
    <w:rsid w:val="00794CE3"/>
    <w:rsid w:val="00794D62"/>
    <w:rsid w:val="00795516"/>
    <w:rsid w:val="0079578F"/>
    <w:rsid w:val="00795AB3"/>
    <w:rsid w:val="00795BC0"/>
    <w:rsid w:val="00795C7E"/>
    <w:rsid w:val="00795CE2"/>
    <w:rsid w:val="00795EE5"/>
    <w:rsid w:val="0079676C"/>
    <w:rsid w:val="00796818"/>
    <w:rsid w:val="007968C2"/>
    <w:rsid w:val="00796977"/>
    <w:rsid w:val="00796FF4"/>
    <w:rsid w:val="007A0631"/>
    <w:rsid w:val="007A091B"/>
    <w:rsid w:val="007A0A7A"/>
    <w:rsid w:val="007A16B8"/>
    <w:rsid w:val="007A1C07"/>
    <w:rsid w:val="007A2E1F"/>
    <w:rsid w:val="007A2E9B"/>
    <w:rsid w:val="007A2EA4"/>
    <w:rsid w:val="007A2F1C"/>
    <w:rsid w:val="007A3266"/>
    <w:rsid w:val="007A3D7D"/>
    <w:rsid w:val="007A3E07"/>
    <w:rsid w:val="007A3E91"/>
    <w:rsid w:val="007A3FC5"/>
    <w:rsid w:val="007A47A7"/>
    <w:rsid w:val="007A4F4B"/>
    <w:rsid w:val="007A5B36"/>
    <w:rsid w:val="007A5B9C"/>
    <w:rsid w:val="007A6589"/>
    <w:rsid w:val="007A66E9"/>
    <w:rsid w:val="007A675A"/>
    <w:rsid w:val="007A6A93"/>
    <w:rsid w:val="007A7615"/>
    <w:rsid w:val="007A7673"/>
    <w:rsid w:val="007A7753"/>
    <w:rsid w:val="007A785C"/>
    <w:rsid w:val="007B007C"/>
    <w:rsid w:val="007B077D"/>
    <w:rsid w:val="007B1049"/>
    <w:rsid w:val="007B11CA"/>
    <w:rsid w:val="007B12FC"/>
    <w:rsid w:val="007B1729"/>
    <w:rsid w:val="007B2634"/>
    <w:rsid w:val="007B274A"/>
    <w:rsid w:val="007B2B79"/>
    <w:rsid w:val="007B2C32"/>
    <w:rsid w:val="007B3242"/>
    <w:rsid w:val="007B3344"/>
    <w:rsid w:val="007B3795"/>
    <w:rsid w:val="007B3C0A"/>
    <w:rsid w:val="007B4034"/>
    <w:rsid w:val="007B457A"/>
    <w:rsid w:val="007B4B7B"/>
    <w:rsid w:val="007B524F"/>
    <w:rsid w:val="007B63F9"/>
    <w:rsid w:val="007B6800"/>
    <w:rsid w:val="007B6B73"/>
    <w:rsid w:val="007B7153"/>
    <w:rsid w:val="007B7393"/>
    <w:rsid w:val="007B777F"/>
    <w:rsid w:val="007B7964"/>
    <w:rsid w:val="007C028D"/>
    <w:rsid w:val="007C03D1"/>
    <w:rsid w:val="007C062F"/>
    <w:rsid w:val="007C0845"/>
    <w:rsid w:val="007C09F6"/>
    <w:rsid w:val="007C0F81"/>
    <w:rsid w:val="007C1490"/>
    <w:rsid w:val="007C150C"/>
    <w:rsid w:val="007C1AD9"/>
    <w:rsid w:val="007C2986"/>
    <w:rsid w:val="007C2B80"/>
    <w:rsid w:val="007C2E8A"/>
    <w:rsid w:val="007C3264"/>
    <w:rsid w:val="007C3811"/>
    <w:rsid w:val="007C3CDF"/>
    <w:rsid w:val="007C3D2C"/>
    <w:rsid w:val="007C4347"/>
    <w:rsid w:val="007C4ED1"/>
    <w:rsid w:val="007C4F71"/>
    <w:rsid w:val="007C5251"/>
    <w:rsid w:val="007C5E40"/>
    <w:rsid w:val="007C6C51"/>
    <w:rsid w:val="007C7F98"/>
    <w:rsid w:val="007D06BF"/>
    <w:rsid w:val="007D0D21"/>
    <w:rsid w:val="007D12DE"/>
    <w:rsid w:val="007D13DE"/>
    <w:rsid w:val="007D14F3"/>
    <w:rsid w:val="007D1683"/>
    <w:rsid w:val="007D2D53"/>
    <w:rsid w:val="007D3924"/>
    <w:rsid w:val="007D3D2B"/>
    <w:rsid w:val="007D3FCF"/>
    <w:rsid w:val="007D4BE9"/>
    <w:rsid w:val="007D4C4A"/>
    <w:rsid w:val="007D4ED5"/>
    <w:rsid w:val="007D5501"/>
    <w:rsid w:val="007D565D"/>
    <w:rsid w:val="007D56CF"/>
    <w:rsid w:val="007D623F"/>
    <w:rsid w:val="007D7079"/>
    <w:rsid w:val="007D7B5C"/>
    <w:rsid w:val="007D7BD8"/>
    <w:rsid w:val="007D7F48"/>
    <w:rsid w:val="007E0AE7"/>
    <w:rsid w:val="007E2444"/>
    <w:rsid w:val="007E24F2"/>
    <w:rsid w:val="007E257C"/>
    <w:rsid w:val="007E25B5"/>
    <w:rsid w:val="007E2A12"/>
    <w:rsid w:val="007E4490"/>
    <w:rsid w:val="007E4B57"/>
    <w:rsid w:val="007E525D"/>
    <w:rsid w:val="007E578A"/>
    <w:rsid w:val="007E5A45"/>
    <w:rsid w:val="007E5CE0"/>
    <w:rsid w:val="007E612F"/>
    <w:rsid w:val="007E619C"/>
    <w:rsid w:val="007E62DE"/>
    <w:rsid w:val="007E68F6"/>
    <w:rsid w:val="007E7541"/>
    <w:rsid w:val="007E757D"/>
    <w:rsid w:val="007E7DE3"/>
    <w:rsid w:val="007F02CC"/>
    <w:rsid w:val="007F03C2"/>
    <w:rsid w:val="007F0601"/>
    <w:rsid w:val="007F11A5"/>
    <w:rsid w:val="007F1399"/>
    <w:rsid w:val="007F172B"/>
    <w:rsid w:val="007F197C"/>
    <w:rsid w:val="007F1F43"/>
    <w:rsid w:val="007F25D5"/>
    <w:rsid w:val="007F2CC9"/>
    <w:rsid w:val="007F36FC"/>
    <w:rsid w:val="007F3C55"/>
    <w:rsid w:val="007F4282"/>
    <w:rsid w:val="007F44C6"/>
    <w:rsid w:val="007F4866"/>
    <w:rsid w:val="007F5377"/>
    <w:rsid w:val="007F58E8"/>
    <w:rsid w:val="007F5D0D"/>
    <w:rsid w:val="007F7081"/>
    <w:rsid w:val="00800282"/>
    <w:rsid w:val="00800786"/>
    <w:rsid w:val="008018AB"/>
    <w:rsid w:val="008023CE"/>
    <w:rsid w:val="00803136"/>
    <w:rsid w:val="008035CC"/>
    <w:rsid w:val="00803855"/>
    <w:rsid w:val="00803C4A"/>
    <w:rsid w:val="00803D3B"/>
    <w:rsid w:val="00803F1B"/>
    <w:rsid w:val="00803FC8"/>
    <w:rsid w:val="00805AB3"/>
    <w:rsid w:val="008061BF"/>
    <w:rsid w:val="00806466"/>
    <w:rsid w:val="00806511"/>
    <w:rsid w:val="0080665F"/>
    <w:rsid w:val="00806DEF"/>
    <w:rsid w:val="00806E1B"/>
    <w:rsid w:val="00806FC9"/>
    <w:rsid w:val="008071A5"/>
    <w:rsid w:val="00807D0F"/>
    <w:rsid w:val="00810474"/>
    <w:rsid w:val="008107EE"/>
    <w:rsid w:val="008119F7"/>
    <w:rsid w:val="00811A74"/>
    <w:rsid w:val="0081281B"/>
    <w:rsid w:val="00812B7A"/>
    <w:rsid w:val="0081301E"/>
    <w:rsid w:val="008131C7"/>
    <w:rsid w:val="00813502"/>
    <w:rsid w:val="008137D5"/>
    <w:rsid w:val="00813F7F"/>
    <w:rsid w:val="0081437C"/>
    <w:rsid w:val="008148DF"/>
    <w:rsid w:val="00814C05"/>
    <w:rsid w:val="00814EC2"/>
    <w:rsid w:val="008150DC"/>
    <w:rsid w:val="00815B64"/>
    <w:rsid w:val="00815FB7"/>
    <w:rsid w:val="00816807"/>
    <w:rsid w:val="00816998"/>
    <w:rsid w:val="008169C6"/>
    <w:rsid w:val="00816A7D"/>
    <w:rsid w:val="00816F53"/>
    <w:rsid w:val="00817468"/>
    <w:rsid w:val="00820531"/>
    <w:rsid w:val="00820A90"/>
    <w:rsid w:val="00820F24"/>
    <w:rsid w:val="0082165C"/>
    <w:rsid w:val="00821871"/>
    <w:rsid w:val="00821D7C"/>
    <w:rsid w:val="00821F8E"/>
    <w:rsid w:val="008223B7"/>
    <w:rsid w:val="00822BE4"/>
    <w:rsid w:val="00822C08"/>
    <w:rsid w:val="00822FE4"/>
    <w:rsid w:val="00823008"/>
    <w:rsid w:val="008241FB"/>
    <w:rsid w:val="00824734"/>
    <w:rsid w:val="00824D9C"/>
    <w:rsid w:val="00825D74"/>
    <w:rsid w:val="00825E85"/>
    <w:rsid w:val="008260D7"/>
    <w:rsid w:val="00826135"/>
    <w:rsid w:val="0082664A"/>
    <w:rsid w:val="008277A0"/>
    <w:rsid w:val="008300CB"/>
    <w:rsid w:val="00830612"/>
    <w:rsid w:val="0083079A"/>
    <w:rsid w:val="00830952"/>
    <w:rsid w:val="008315E9"/>
    <w:rsid w:val="008316B0"/>
    <w:rsid w:val="0083198B"/>
    <w:rsid w:val="00831DE4"/>
    <w:rsid w:val="00832295"/>
    <w:rsid w:val="008323E4"/>
    <w:rsid w:val="008327A1"/>
    <w:rsid w:val="0083297A"/>
    <w:rsid w:val="00832D1B"/>
    <w:rsid w:val="00833412"/>
    <w:rsid w:val="00833577"/>
    <w:rsid w:val="00833866"/>
    <w:rsid w:val="00833900"/>
    <w:rsid w:val="00833A4C"/>
    <w:rsid w:val="00833AC3"/>
    <w:rsid w:val="00833FE0"/>
    <w:rsid w:val="0083463D"/>
    <w:rsid w:val="00834694"/>
    <w:rsid w:val="008347D0"/>
    <w:rsid w:val="00834A8C"/>
    <w:rsid w:val="00834F75"/>
    <w:rsid w:val="00835F6E"/>
    <w:rsid w:val="00836571"/>
    <w:rsid w:val="00836CD8"/>
    <w:rsid w:val="008373D1"/>
    <w:rsid w:val="00837845"/>
    <w:rsid w:val="00837993"/>
    <w:rsid w:val="00837D63"/>
    <w:rsid w:val="00837F59"/>
    <w:rsid w:val="0084102C"/>
    <w:rsid w:val="00841363"/>
    <w:rsid w:val="00841CFD"/>
    <w:rsid w:val="00842FCA"/>
    <w:rsid w:val="008432CF"/>
    <w:rsid w:val="00843F31"/>
    <w:rsid w:val="0084468D"/>
    <w:rsid w:val="00844A3F"/>
    <w:rsid w:val="00844E8F"/>
    <w:rsid w:val="0084505E"/>
    <w:rsid w:val="008452B4"/>
    <w:rsid w:val="00845490"/>
    <w:rsid w:val="00845529"/>
    <w:rsid w:val="0084553F"/>
    <w:rsid w:val="008455DF"/>
    <w:rsid w:val="00845D43"/>
    <w:rsid w:val="00846203"/>
    <w:rsid w:val="0084672A"/>
    <w:rsid w:val="008468B8"/>
    <w:rsid w:val="0084706F"/>
    <w:rsid w:val="0084710C"/>
    <w:rsid w:val="00847CDA"/>
    <w:rsid w:val="00847ECE"/>
    <w:rsid w:val="00847FCC"/>
    <w:rsid w:val="00850E18"/>
    <w:rsid w:val="00850F78"/>
    <w:rsid w:val="00851195"/>
    <w:rsid w:val="0085136E"/>
    <w:rsid w:val="008515D4"/>
    <w:rsid w:val="00851720"/>
    <w:rsid w:val="008517B3"/>
    <w:rsid w:val="00851844"/>
    <w:rsid w:val="008518BA"/>
    <w:rsid w:val="00851A2E"/>
    <w:rsid w:val="008520FB"/>
    <w:rsid w:val="00852435"/>
    <w:rsid w:val="00852811"/>
    <w:rsid w:val="008528F4"/>
    <w:rsid w:val="00852A2A"/>
    <w:rsid w:val="00852AA5"/>
    <w:rsid w:val="00852D0F"/>
    <w:rsid w:val="00852EB4"/>
    <w:rsid w:val="0085337E"/>
    <w:rsid w:val="00853656"/>
    <w:rsid w:val="00853B09"/>
    <w:rsid w:val="00853CAF"/>
    <w:rsid w:val="00854DE2"/>
    <w:rsid w:val="00855695"/>
    <w:rsid w:val="00855A18"/>
    <w:rsid w:val="00855AE7"/>
    <w:rsid w:val="0085611C"/>
    <w:rsid w:val="008574F6"/>
    <w:rsid w:val="0085750B"/>
    <w:rsid w:val="008578F0"/>
    <w:rsid w:val="008579D3"/>
    <w:rsid w:val="00860575"/>
    <w:rsid w:val="0086068E"/>
    <w:rsid w:val="008607A9"/>
    <w:rsid w:val="00860803"/>
    <w:rsid w:val="00860E0A"/>
    <w:rsid w:val="00861159"/>
    <w:rsid w:val="00861F27"/>
    <w:rsid w:val="00861F3C"/>
    <w:rsid w:val="008620BE"/>
    <w:rsid w:val="0086246A"/>
    <w:rsid w:val="00862885"/>
    <w:rsid w:val="0086288D"/>
    <w:rsid w:val="0086294F"/>
    <w:rsid w:val="00862BC8"/>
    <w:rsid w:val="00863C1D"/>
    <w:rsid w:val="00863D09"/>
    <w:rsid w:val="00863DD3"/>
    <w:rsid w:val="0086436E"/>
    <w:rsid w:val="008644B7"/>
    <w:rsid w:val="00864CE1"/>
    <w:rsid w:val="00864D28"/>
    <w:rsid w:val="00864D47"/>
    <w:rsid w:val="008655FA"/>
    <w:rsid w:val="008658F8"/>
    <w:rsid w:val="00865FDC"/>
    <w:rsid w:val="00866757"/>
    <w:rsid w:val="008667A2"/>
    <w:rsid w:val="008668E9"/>
    <w:rsid w:val="00866AC5"/>
    <w:rsid w:val="00866FFF"/>
    <w:rsid w:val="008675CB"/>
    <w:rsid w:val="008679AD"/>
    <w:rsid w:val="008702DA"/>
    <w:rsid w:val="00871438"/>
    <w:rsid w:val="0087187E"/>
    <w:rsid w:val="00871D47"/>
    <w:rsid w:val="00871FEB"/>
    <w:rsid w:val="008727AE"/>
    <w:rsid w:val="00873C6B"/>
    <w:rsid w:val="00873F4E"/>
    <w:rsid w:val="008741EA"/>
    <w:rsid w:val="00874619"/>
    <w:rsid w:val="00874862"/>
    <w:rsid w:val="0087486C"/>
    <w:rsid w:val="00874F7E"/>
    <w:rsid w:val="00875061"/>
    <w:rsid w:val="00875297"/>
    <w:rsid w:val="00875439"/>
    <w:rsid w:val="008755D2"/>
    <w:rsid w:val="00875E7B"/>
    <w:rsid w:val="00876030"/>
    <w:rsid w:val="008761F4"/>
    <w:rsid w:val="00876E1A"/>
    <w:rsid w:val="00876E4F"/>
    <w:rsid w:val="008770EE"/>
    <w:rsid w:val="0087736B"/>
    <w:rsid w:val="008777C1"/>
    <w:rsid w:val="00877A9A"/>
    <w:rsid w:val="00877AB7"/>
    <w:rsid w:val="0088050B"/>
    <w:rsid w:val="00880670"/>
    <w:rsid w:val="008814AE"/>
    <w:rsid w:val="008814E1"/>
    <w:rsid w:val="0088236A"/>
    <w:rsid w:val="008824BC"/>
    <w:rsid w:val="00882818"/>
    <w:rsid w:val="0088282F"/>
    <w:rsid w:val="00882AC0"/>
    <w:rsid w:val="0088352A"/>
    <w:rsid w:val="008839A3"/>
    <w:rsid w:val="00883C41"/>
    <w:rsid w:val="008841AF"/>
    <w:rsid w:val="00884714"/>
    <w:rsid w:val="0088479D"/>
    <w:rsid w:val="00884A70"/>
    <w:rsid w:val="00884F71"/>
    <w:rsid w:val="00885B36"/>
    <w:rsid w:val="00886364"/>
    <w:rsid w:val="008868E6"/>
    <w:rsid w:val="008869F0"/>
    <w:rsid w:val="00886C70"/>
    <w:rsid w:val="0088714C"/>
    <w:rsid w:val="008875F5"/>
    <w:rsid w:val="00890584"/>
    <w:rsid w:val="008908DE"/>
    <w:rsid w:val="00890A72"/>
    <w:rsid w:val="00891247"/>
    <w:rsid w:val="00891348"/>
    <w:rsid w:val="00891916"/>
    <w:rsid w:val="00891ECE"/>
    <w:rsid w:val="0089228B"/>
    <w:rsid w:val="00893304"/>
    <w:rsid w:val="00893C17"/>
    <w:rsid w:val="00894184"/>
    <w:rsid w:val="00894506"/>
    <w:rsid w:val="008948C8"/>
    <w:rsid w:val="008952D1"/>
    <w:rsid w:val="0089632B"/>
    <w:rsid w:val="00896AA4"/>
    <w:rsid w:val="00896B7C"/>
    <w:rsid w:val="008970D5"/>
    <w:rsid w:val="008976E9"/>
    <w:rsid w:val="008977EA"/>
    <w:rsid w:val="00897E0B"/>
    <w:rsid w:val="00897E54"/>
    <w:rsid w:val="008A0924"/>
    <w:rsid w:val="008A0BA7"/>
    <w:rsid w:val="008A0F18"/>
    <w:rsid w:val="008A1138"/>
    <w:rsid w:val="008A11E2"/>
    <w:rsid w:val="008A133E"/>
    <w:rsid w:val="008A1523"/>
    <w:rsid w:val="008A1BD0"/>
    <w:rsid w:val="008A1CB2"/>
    <w:rsid w:val="008A1CB5"/>
    <w:rsid w:val="008A1DF6"/>
    <w:rsid w:val="008A2344"/>
    <w:rsid w:val="008A23FE"/>
    <w:rsid w:val="008A247E"/>
    <w:rsid w:val="008A27D3"/>
    <w:rsid w:val="008A2842"/>
    <w:rsid w:val="008A290A"/>
    <w:rsid w:val="008A29CE"/>
    <w:rsid w:val="008A2CD1"/>
    <w:rsid w:val="008A2F5E"/>
    <w:rsid w:val="008A4864"/>
    <w:rsid w:val="008A4D1A"/>
    <w:rsid w:val="008A51F4"/>
    <w:rsid w:val="008A520B"/>
    <w:rsid w:val="008A5546"/>
    <w:rsid w:val="008A6005"/>
    <w:rsid w:val="008A60C3"/>
    <w:rsid w:val="008A6303"/>
    <w:rsid w:val="008A6767"/>
    <w:rsid w:val="008A67AD"/>
    <w:rsid w:val="008A6B56"/>
    <w:rsid w:val="008A7416"/>
    <w:rsid w:val="008A7619"/>
    <w:rsid w:val="008A7AE5"/>
    <w:rsid w:val="008A7F2C"/>
    <w:rsid w:val="008B0881"/>
    <w:rsid w:val="008B08B0"/>
    <w:rsid w:val="008B0997"/>
    <w:rsid w:val="008B0AE3"/>
    <w:rsid w:val="008B0C52"/>
    <w:rsid w:val="008B0E11"/>
    <w:rsid w:val="008B115F"/>
    <w:rsid w:val="008B13BF"/>
    <w:rsid w:val="008B1D62"/>
    <w:rsid w:val="008B1EBB"/>
    <w:rsid w:val="008B1ECB"/>
    <w:rsid w:val="008B2028"/>
    <w:rsid w:val="008B203F"/>
    <w:rsid w:val="008B2089"/>
    <w:rsid w:val="008B2CED"/>
    <w:rsid w:val="008B2DE9"/>
    <w:rsid w:val="008B3055"/>
    <w:rsid w:val="008B3CDD"/>
    <w:rsid w:val="008B3F59"/>
    <w:rsid w:val="008B425D"/>
    <w:rsid w:val="008B4294"/>
    <w:rsid w:val="008B47E4"/>
    <w:rsid w:val="008B490A"/>
    <w:rsid w:val="008B49AF"/>
    <w:rsid w:val="008B57C5"/>
    <w:rsid w:val="008B63B1"/>
    <w:rsid w:val="008B64AF"/>
    <w:rsid w:val="008B6EFD"/>
    <w:rsid w:val="008B74A2"/>
    <w:rsid w:val="008B7DE6"/>
    <w:rsid w:val="008B7E5B"/>
    <w:rsid w:val="008C0141"/>
    <w:rsid w:val="008C0387"/>
    <w:rsid w:val="008C0F55"/>
    <w:rsid w:val="008C14F0"/>
    <w:rsid w:val="008C1A5D"/>
    <w:rsid w:val="008C209D"/>
    <w:rsid w:val="008C2C88"/>
    <w:rsid w:val="008C2DBF"/>
    <w:rsid w:val="008C2E2B"/>
    <w:rsid w:val="008C2EF6"/>
    <w:rsid w:val="008C309A"/>
    <w:rsid w:val="008C3244"/>
    <w:rsid w:val="008C346A"/>
    <w:rsid w:val="008C43D2"/>
    <w:rsid w:val="008C494B"/>
    <w:rsid w:val="008C5B07"/>
    <w:rsid w:val="008C607F"/>
    <w:rsid w:val="008C6E11"/>
    <w:rsid w:val="008C731F"/>
    <w:rsid w:val="008C7DDC"/>
    <w:rsid w:val="008C7F0A"/>
    <w:rsid w:val="008C7F76"/>
    <w:rsid w:val="008D0559"/>
    <w:rsid w:val="008D140D"/>
    <w:rsid w:val="008D14BA"/>
    <w:rsid w:val="008D17E3"/>
    <w:rsid w:val="008D212A"/>
    <w:rsid w:val="008D25A5"/>
    <w:rsid w:val="008D2AA5"/>
    <w:rsid w:val="008D2AB0"/>
    <w:rsid w:val="008D2C54"/>
    <w:rsid w:val="008D38DE"/>
    <w:rsid w:val="008D39A1"/>
    <w:rsid w:val="008D3F25"/>
    <w:rsid w:val="008D424E"/>
    <w:rsid w:val="008D4D51"/>
    <w:rsid w:val="008D4EC7"/>
    <w:rsid w:val="008D4EFE"/>
    <w:rsid w:val="008D51B9"/>
    <w:rsid w:val="008D578E"/>
    <w:rsid w:val="008D604C"/>
    <w:rsid w:val="008D6358"/>
    <w:rsid w:val="008D6397"/>
    <w:rsid w:val="008D6603"/>
    <w:rsid w:val="008D676A"/>
    <w:rsid w:val="008D682B"/>
    <w:rsid w:val="008D74B3"/>
    <w:rsid w:val="008D778C"/>
    <w:rsid w:val="008D792E"/>
    <w:rsid w:val="008D7E2C"/>
    <w:rsid w:val="008E0210"/>
    <w:rsid w:val="008E0426"/>
    <w:rsid w:val="008E0EE4"/>
    <w:rsid w:val="008E17AE"/>
    <w:rsid w:val="008E25A7"/>
    <w:rsid w:val="008E2665"/>
    <w:rsid w:val="008E271A"/>
    <w:rsid w:val="008E2FDA"/>
    <w:rsid w:val="008E35EA"/>
    <w:rsid w:val="008E372F"/>
    <w:rsid w:val="008E3875"/>
    <w:rsid w:val="008E3ECD"/>
    <w:rsid w:val="008E4576"/>
    <w:rsid w:val="008E45A8"/>
    <w:rsid w:val="008E467B"/>
    <w:rsid w:val="008E4F65"/>
    <w:rsid w:val="008E505B"/>
    <w:rsid w:val="008E5AC5"/>
    <w:rsid w:val="008E5EF2"/>
    <w:rsid w:val="008E5F64"/>
    <w:rsid w:val="008E629F"/>
    <w:rsid w:val="008E68EF"/>
    <w:rsid w:val="008E7475"/>
    <w:rsid w:val="008E7559"/>
    <w:rsid w:val="008E7B80"/>
    <w:rsid w:val="008F01EB"/>
    <w:rsid w:val="008F0410"/>
    <w:rsid w:val="008F08CA"/>
    <w:rsid w:val="008F0BCA"/>
    <w:rsid w:val="008F0C20"/>
    <w:rsid w:val="008F169E"/>
    <w:rsid w:val="008F1FE1"/>
    <w:rsid w:val="008F209C"/>
    <w:rsid w:val="008F2269"/>
    <w:rsid w:val="008F2540"/>
    <w:rsid w:val="008F276E"/>
    <w:rsid w:val="008F3BA6"/>
    <w:rsid w:val="008F3CBF"/>
    <w:rsid w:val="008F3DEC"/>
    <w:rsid w:val="008F429C"/>
    <w:rsid w:val="008F4345"/>
    <w:rsid w:val="008F4A44"/>
    <w:rsid w:val="008F565F"/>
    <w:rsid w:val="008F59DD"/>
    <w:rsid w:val="008F5A37"/>
    <w:rsid w:val="008F5C37"/>
    <w:rsid w:val="008F6661"/>
    <w:rsid w:val="008F68FD"/>
    <w:rsid w:val="008F69F3"/>
    <w:rsid w:val="008F7204"/>
    <w:rsid w:val="008F7548"/>
    <w:rsid w:val="008F76F7"/>
    <w:rsid w:val="00900447"/>
    <w:rsid w:val="0090068D"/>
    <w:rsid w:val="0090095A"/>
    <w:rsid w:val="00900EC4"/>
    <w:rsid w:val="00900FB6"/>
    <w:rsid w:val="009010DF"/>
    <w:rsid w:val="00902483"/>
    <w:rsid w:val="0090260B"/>
    <w:rsid w:val="009026BF"/>
    <w:rsid w:val="00902793"/>
    <w:rsid w:val="009028CA"/>
    <w:rsid w:val="009029D6"/>
    <w:rsid w:val="009037A1"/>
    <w:rsid w:val="00903A28"/>
    <w:rsid w:val="00903C85"/>
    <w:rsid w:val="00904F0F"/>
    <w:rsid w:val="009051DE"/>
    <w:rsid w:val="00906066"/>
    <w:rsid w:val="00907BFA"/>
    <w:rsid w:val="00910421"/>
    <w:rsid w:val="009104FB"/>
    <w:rsid w:val="00910876"/>
    <w:rsid w:val="00910D3B"/>
    <w:rsid w:val="00910D4C"/>
    <w:rsid w:val="0091137A"/>
    <w:rsid w:val="009117C2"/>
    <w:rsid w:val="00911C7A"/>
    <w:rsid w:val="0091222E"/>
    <w:rsid w:val="009122D2"/>
    <w:rsid w:val="009125FF"/>
    <w:rsid w:val="0091281A"/>
    <w:rsid w:val="009134B1"/>
    <w:rsid w:val="0091369D"/>
    <w:rsid w:val="009136B5"/>
    <w:rsid w:val="00913879"/>
    <w:rsid w:val="00913E13"/>
    <w:rsid w:val="00914581"/>
    <w:rsid w:val="009145CA"/>
    <w:rsid w:val="009145D0"/>
    <w:rsid w:val="00914634"/>
    <w:rsid w:val="00914901"/>
    <w:rsid w:val="00914C37"/>
    <w:rsid w:val="00915447"/>
    <w:rsid w:val="00915598"/>
    <w:rsid w:val="0091571C"/>
    <w:rsid w:val="009159F6"/>
    <w:rsid w:val="00915E2C"/>
    <w:rsid w:val="00915EB2"/>
    <w:rsid w:val="00915EE3"/>
    <w:rsid w:val="00916A84"/>
    <w:rsid w:val="00916C08"/>
    <w:rsid w:val="00916C4C"/>
    <w:rsid w:val="00916D9D"/>
    <w:rsid w:val="00917405"/>
    <w:rsid w:val="0091751F"/>
    <w:rsid w:val="00917750"/>
    <w:rsid w:val="009178A3"/>
    <w:rsid w:val="00917B16"/>
    <w:rsid w:val="00917C84"/>
    <w:rsid w:val="00917FA7"/>
    <w:rsid w:val="00920ECA"/>
    <w:rsid w:val="00920FAB"/>
    <w:rsid w:val="00921AE9"/>
    <w:rsid w:val="00922572"/>
    <w:rsid w:val="009227B7"/>
    <w:rsid w:val="00922B07"/>
    <w:rsid w:val="00922C2B"/>
    <w:rsid w:val="00922CB4"/>
    <w:rsid w:val="00923175"/>
    <w:rsid w:val="009231D1"/>
    <w:rsid w:val="00923841"/>
    <w:rsid w:val="00923ED9"/>
    <w:rsid w:val="00924364"/>
    <w:rsid w:val="00924628"/>
    <w:rsid w:val="00924D26"/>
    <w:rsid w:val="009252C7"/>
    <w:rsid w:val="0092573F"/>
    <w:rsid w:val="00925761"/>
    <w:rsid w:val="00925D19"/>
    <w:rsid w:val="00926168"/>
    <w:rsid w:val="00926385"/>
    <w:rsid w:val="00926568"/>
    <w:rsid w:val="009268CE"/>
    <w:rsid w:val="00927E99"/>
    <w:rsid w:val="00930383"/>
    <w:rsid w:val="00930530"/>
    <w:rsid w:val="00930B0F"/>
    <w:rsid w:val="009319A7"/>
    <w:rsid w:val="00931D51"/>
    <w:rsid w:val="009323D7"/>
    <w:rsid w:val="00932C0D"/>
    <w:rsid w:val="00933341"/>
    <w:rsid w:val="00933415"/>
    <w:rsid w:val="00934299"/>
    <w:rsid w:val="0093438F"/>
    <w:rsid w:val="00934749"/>
    <w:rsid w:val="00934C1C"/>
    <w:rsid w:val="00934E4D"/>
    <w:rsid w:val="0093530C"/>
    <w:rsid w:val="00935954"/>
    <w:rsid w:val="00936023"/>
    <w:rsid w:val="00936A00"/>
    <w:rsid w:val="00936B3C"/>
    <w:rsid w:val="00936B90"/>
    <w:rsid w:val="00936C61"/>
    <w:rsid w:val="0093743B"/>
    <w:rsid w:val="009374E7"/>
    <w:rsid w:val="0094031A"/>
    <w:rsid w:val="009406CD"/>
    <w:rsid w:val="009406F8"/>
    <w:rsid w:val="00940F37"/>
    <w:rsid w:val="0094124E"/>
    <w:rsid w:val="009415FC"/>
    <w:rsid w:val="00941BB0"/>
    <w:rsid w:val="00941C91"/>
    <w:rsid w:val="00942061"/>
    <w:rsid w:val="00942EF4"/>
    <w:rsid w:val="00943641"/>
    <w:rsid w:val="009436ED"/>
    <w:rsid w:val="00943883"/>
    <w:rsid w:val="00943B65"/>
    <w:rsid w:val="00944136"/>
    <w:rsid w:val="00944301"/>
    <w:rsid w:val="009447C0"/>
    <w:rsid w:val="00944D28"/>
    <w:rsid w:val="00945231"/>
    <w:rsid w:val="009457E9"/>
    <w:rsid w:val="009458A8"/>
    <w:rsid w:val="00945FBE"/>
    <w:rsid w:val="009461BC"/>
    <w:rsid w:val="0094630D"/>
    <w:rsid w:val="0094686C"/>
    <w:rsid w:val="0094777A"/>
    <w:rsid w:val="009477AD"/>
    <w:rsid w:val="0094782F"/>
    <w:rsid w:val="00950220"/>
    <w:rsid w:val="00950A73"/>
    <w:rsid w:val="009515D8"/>
    <w:rsid w:val="00951912"/>
    <w:rsid w:val="00951D06"/>
    <w:rsid w:val="009523C7"/>
    <w:rsid w:val="00952E1A"/>
    <w:rsid w:val="00953983"/>
    <w:rsid w:val="00953D34"/>
    <w:rsid w:val="009541F3"/>
    <w:rsid w:val="009542A2"/>
    <w:rsid w:val="009545BA"/>
    <w:rsid w:val="0095548C"/>
    <w:rsid w:val="0095571C"/>
    <w:rsid w:val="00955B57"/>
    <w:rsid w:val="0095603C"/>
    <w:rsid w:val="009564C5"/>
    <w:rsid w:val="00956ABB"/>
    <w:rsid w:val="00956CCA"/>
    <w:rsid w:val="009575FE"/>
    <w:rsid w:val="00960080"/>
    <w:rsid w:val="00960368"/>
    <w:rsid w:val="009609FB"/>
    <w:rsid w:val="00960CB1"/>
    <w:rsid w:val="009611E4"/>
    <w:rsid w:val="00961801"/>
    <w:rsid w:val="0096184E"/>
    <w:rsid w:val="00961927"/>
    <w:rsid w:val="00962315"/>
    <w:rsid w:val="00962337"/>
    <w:rsid w:val="00962761"/>
    <w:rsid w:val="0096289C"/>
    <w:rsid w:val="00962EC9"/>
    <w:rsid w:val="009636EC"/>
    <w:rsid w:val="00963812"/>
    <w:rsid w:val="009643BE"/>
    <w:rsid w:val="00964BEB"/>
    <w:rsid w:val="00964F6C"/>
    <w:rsid w:val="00966483"/>
    <w:rsid w:val="009668CE"/>
    <w:rsid w:val="00966BA4"/>
    <w:rsid w:val="00966BF3"/>
    <w:rsid w:val="00967904"/>
    <w:rsid w:val="00967F96"/>
    <w:rsid w:val="0097022A"/>
    <w:rsid w:val="009705D3"/>
    <w:rsid w:val="0097091F"/>
    <w:rsid w:val="009719D2"/>
    <w:rsid w:val="00971C03"/>
    <w:rsid w:val="0097249A"/>
    <w:rsid w:val="00972762"/>
    <w:rsid w:val="00973D2D"/>
    <w:rsid w:val="00973F34"/>
    <w:rsid w:val="00974133"/>
    <w:rsid w:val="0097434F"/>
    <w:rsid w:val="00974501"/>
    <w:rsid w:val="00974996"/>
    <w:rsid w:val="00974A0C"/>
    <w:rsid w:val="00975660"/>
    <w:rsid w:val="009762AA"/>
    <w:rsid w:val="0097662A"/>
    <w:rsid w:val="00976B61"/>
    <w:rsid w:val="00977270"/>
    <w:rsid w:val="0097760D"/>
    <w:rsid w:val="0097771C"/>
    <w:rsid w:val="00977AB0"/>
    <w:rsid w:val="00977D93"/>
    <w:rsid w:val="00977FD2"/>
    <w:rsid w:val="00980D42"/>
    <w:rsid w:val="00980D5D"/>
    <w:rsid w:val="00980E33"/>
    <w:rsid w:val="00980F08"/>
    <w:rsid w:val="00980F32"/>
    <w:rsid w:val="00982786"/>
    <w:rsid w:val="0098295B"/>
    <w:rsid w:val="00982AF3"/>
    <w:rsid w:val="009832FC"/>
    <w:rsid w:val="009833A6"/>
    <w:rsid w:val="00983CE5"/>
    <w:rsid w:val="009840B1"/>
    <w:rsid w:val="0098478A"/>
    <w:rsid w:val="0098571F"/>
    <w:rsid w:val="009859A0"/>
    <w:rsid w:val="009860FA"/>
    <w:rsid w:val="00986289"/>
    <w:rsid w:val="00986857"/>
    <w:rsid w:val="009868D0"/>
    <w:rsid w:val="00986B04"/>
    <w:rsid w:val="0098743E"/>
    <w:rsid w:val="0098751D"/>
    <w:rsid w:val="00987D29"/>
    <w:rsid w:val="00987EE0"/>
    <w:rsid w:val="009903F7"/>
    <w:rsid w:val="009905D9"/>
    <w:rsid w:val="009907C7"/>
    <w:rsid w:val="0099087F"/>
    <w:rsid w:val="00990B7B"/>
    <w:rsid w:val="00991124"/>
    <w:rsid w:val="00991756"/>
    <w:rsid w:val="00991778"/>
    <w:rsid w:val="00991CBE"/>
    <w:rsid w:val="00991DD1"/>
    <w:rsid w:val="00992190"/>
    <w:rsid w:val="0099254D"/>
    <w:rsid w:val="00992C11"/>
    <w:rsid w:val="00992C23"/>
    <w:rsid w:val="00993127"/>
    <w:rsid w:val="009932DA"/>
    <w:rsid w:val="00993335"/>
    <w:rsid w:val="00993C17"/>
    <w:rsid w:val="0099408E"/>
    <w:rsid w:val="009942BE"/>
    <w:rsid w:val="009944C5"/>
    <w:rsid w:val="00995018"/>
    <w:rsid w:val="00995A51"/>
    <w:rsid w:val="00995F8A"/>
    <w:rsid w:val="00996001"/>
    <w:rsid w:val="00996571"/>
    <w:rsid w:val="00997068"/>
    <w:rsid w:val="0099765A"/>
    <w:rsid w:val="0099767B"/>
    <w:rsid w:val="009978CC"/>
    <w:rsid w:val="00997C84"/>
    <w:rsid w:val="00997CC0"/>
    <w:rsid w:val="00997F24"/>
    <w:rsid w:val="009A0303"/>
    <w:rsid w:val="009A05D4"/>
    <w:rsid w:val="009A0FB6"/>
    <w:rsid w:val="009A145D"/>
    <w:rsid w:val="009A1489"/>
    <w:rsid w:val="009A1B8E"/>
    <w:rsid w:val="009A22FC"/>
    <w:rsid w:val="009A24B0"/>
    <w:rsid w:val="009A2A6C"/>
    <w:rsid w:val="009A2B17"/>
    <w:rsid w:val="009A3995"/>
    <w:rsid w:val="009A3D8A"/>
    <w:rsid w:val="009A41EB"/>
    <w:rsid w:val="009A4229"/>
    <w:rsid w:val="009A4C9D"/>
    <w:rsid w:val="009A4D34"/>
    <w:rsid w:val="009A6028"/>
    <w:rsid w:val="009A6522"/>
    <w:rsid w:val="009A6644"/>
    <w:rsid w:val="009A68E3"/>
    <w:rsid w:val="009A692A"/>
    <w:rsid w:val="009A6C6B"/>
    <w:rsid w:val="009A6DB7"/>
    <w:rsid w:val="009A7323"/>
    <w:rsid w:val="009A742F"/>
    <w:rsid w:val="009B0262"/>
    <w:rsid w:val="009B029D"/>
    <w:rsid w:val="009B02DD"/>
    <w:rsid w:val="009B0D11"/>
    <w:rsid w:val="009B1099"/>
    <w:rsid w:val="009B1142"/>
    <w:rsid w:val="009B11FF"/>
    <w:rsid w:val="009B1277"/>
    <w:rsid w:val="009B1885"/>
    <w:rsid w:val="009B1C51"/>
    <w:rsid w:val="009B227B"/>
    <w:rsid w:val="009B2864"/>
    <w:rsid w:val="009B33A2"/>
    <w:rsid w:val="009B3943"/>
    <w:rsid w:val="009B39DE"/>
    <w:rsid w:val="009B3B9E"/>
    <w:rsid w:val="009B3C17"/>
    <w:rsid w:val="009B4430"/>
    <w:rsid w:val="009B46F6"/>
    <w:rsid w:val="009B49F4"/>
    <w:rsid w:val="009B4EB3"/>
    <w:rsid w:val="009B5209"/>
    <w:rsid w:val="009B5217"/>
    <w:rsid w:val="009B5599"/>
    <w:rsid w:val="009B55C8"/>
    <w:rsid w:val="009B58F3"/>
    <w:rsid w:val="009B688A"/>
    <w:rsid w:val="009B6941"/>
    <w:rsid w:val="009B6D14"/>
    <w:rsid w:val="009B70C5"/>
    <w:rsid w:val="009B783E"/>
    <w:rsid w:val="009C03E7"/>
    <w:rsid w:val="009C03F0"/>
    <w:rsid w:val="009C093E"/>
    <w:rsid w:val="009C11DB"/>
    <w:rsid w:val="009C144A"/>
    <w:rsid w:val="009C162C"/>
    <w:rsid w:val="009C17DD"/>
    <w:rsid w:val="009C1955"/>
    <w:rsid w:val="009C24EE"/>
    <w:rsid w:val="009C2746"/>
    <w:rsid w:val="009C2749"/>
    <w:rsid w:val="009C29C5"/>
    <w:rsid w:val="009C2E1C"/>
    <w:rsid w:val="009C2FB5"/>
    <w:rsid w:val="009C41CD"/>
    <w:rsid w:val="009C45E3"/>
    <w:rsid w:val="009C4704"/>
    <w:rsid w:val="009C4740"/>
    <w:rsid w:val="009C6167"/>
    <w:rsid w:val="009C61E5"/>
    <w:rsid w:val="009C6268"/>
    <w:rsid w:val="009C6465"/>
    <w:rsid w:val="009C67FE"/>
    <w:rsid w:val="009C6A1B"/>
    <w:rsid w:val="009C6A46"/>
    <w:rsid w:val="009C6B96"/>
    <w:rsid w:val="009C6F12"/>
    <w:rsid w:val="009C7054"/>
    <w:rsid w:val="009C7423"/>
    <w:rsid w:val="009C7EA2"/>
    <w:rsid w:val="009D02AD"/>
    <w:rsid w:val="009D0B90"/>
    <w:rsid w:val="009D0E27"/>
    <w:rsid w:val="009D0FD0"/>
    <w:rsid w:val="009D1C26"/>
    <w:rsid w:val="009D1E2F"/>
    <w:rsid w:val="009D25B9"/>
    <w:rsid w:val="009D2789"/>
    <w:rsid w:val="009D2D82"/>
    <w:rsid w:val="009D3443"/>
    <w:rsid w:val="009D3507"/>
    <w:rsid w:val="009D3E62"/>
    <w:rsid w:val="009D3F41"/>
    <w:rsid w:val="009D4206"/>
    <w:rsid w:val="009D42D4"/>
    <w:rsid w:val="009D44FA"/>
    <w:rsid w:val="009D462E"/>
    <w:rsid w:val="009D4877"/>
    <w:rsid w:val="009D52A6"/>
    <w:rsid w:val="009D569A"/>
    <w:rsid w:val="009D6997"/>
    <w:rsid w:val="009D69D3"/>
    <w:rsid w:val="009D6A81"/>
    <w:rsid w:val="009D6AAE"/>
    <w:rsid w:val="009D6DD4"/>
    <w:rsid w:val="009D6E2E"/>
    <w:rsid w:val="009D73E0"/>
    <w:rsid w:val="009D76BB"/>
    <w:rsid w:val="009D7F06"/>
    <w:rsid w:val="009E0149"/>
    <w:rsid w:val="009E032F"/>
    <w:rsid w:val="009E0582"/>
    <w:rsid w:val="009E09A5"/>
    <w:rsid w:val="009E09D0"/>
    <w:rsid w:val="009E0D3D"/>
    <w:rsid w:val="009E12DB"/>
    <w:rsid w:val="009E1F08"/>
    <w:rsid w:val="009E20CD"/>
    <w:rsid w:val="009E22B7"/>
    <w:rsid w:val="009E2417"/>
    <w:rsid w:val="009E247B"/>
    <w:rsid w:val="009E27D5"/>
    <w:rsid w:val="009E29D7"/>
    <w:rsid w:val="009E32F2"/>
    <w:rsid w:val="009E33C2"/>
    <w:rsid w:val="009E3599"/>
    <w:rsid w:val="009E4497"/>
    <w:rsid w:val="009E4727"/>
    <w:rsid w:val="009E4A84"/>
    <w:rsid w:val="009E4DA3"/>
    <w:rsid w:val="009E4FA5"/>
    <w:rsid w:val="009E53E2"/>
    <w:rsid w:val="009E54B4"/>
    <w:rsid w:val="009E59A9"/>
    <w:rsid w:val="009E609C"/>
    <w:rsid w:val="009E63E4"/>
    <w:rsid w:val="009E660F"/>
    <w:rsid w:val="009E6691"/>
    <w:rsid w:val="009E6BC0"/>
    <w:rsid w:val="009E716C"/>
    <w:rsid w:val="009E7A2E"/>
    <w:rsid w:val="009F0E7C"/>
    <w:rsid w:val="009F194D"/>
    <w:rsid w:val="009F1ADF"/>
    <w:rsid w:val="009F1F43"/>
    <w:rsid w:val="009F2076"/>
    <w:rsid w:val="009F258F"/>
    <w:rsid w:val="009F2887"/>
    <w:rsid w:val="009F2FEA"/>
    <w:rsid w:val="009F30E9"/>
    <w:rsid w:val="009F3C28"/>
    <w:rsid w:val="009F3F35"/>
    <w:rsid w:val="009F418D"/>
    <w:rsid w:val="009F47C2"/>
    <w:rsid w:val="009F4A10"/>
    <w:rsid w:val="009F4C60"/>
    <w:rsid w:val="009F4C7B"/>
    <w:rsid w:val="009F4C80"/>
    <w:rsid w:val="009F4E5C"/>
    <w:rsid w:val="009F4F8B"/>
    <w:rsid w:val="009F4FF7"/>
    <w:rsid w:val="009F50A1"/>
    <w:rsid w:val="009F5105"/>
    <w:rsid w:val="009F51A2"/>
    <w:rsid w:val="009F537C"/>
    <w:rsid w:val="009F5D5F"/>
    <w:rsid w:val="009F619C"/>
    <w:rsid w:val="009F63ED"/>
    <w:rsid w:val="009F6483"/>
    <w:rsid w:val="009F65E4"/>
    <w:rsid w:val="009F6A23"/>
    <w:rsid w:val="009F6BB3"/>
    <w:rsid w:val="009F6F04"/>
    <w:rsid w:val="009F727E"/>
    <w:rsid w:val="009F76A9"/>
    <w:rsid w:val="00A0006A"/>
    <w:rsid w:val="00A006D7"/>
    <w:rsid w:val="00A00CC5"/>
    <w:rsid w:val="00A010E2"/>
    <w:rsid w:val="00A019A8"/>
    <w:rsid w:val="00A01B28"/>
    <w:rsid w:val="00A01C10"/>
    <w:rsid w:val="00A01DBB"/>
    <w:rsid w:val="00A0224F"/>
    <w:rsid w:val="00A02D58"/>
    <w:rsid w:val="00A02EEB"/>
    <w:rsid w:val="00A03ACC"/>
    <w:rsid w:val="00A043BB"/>
    <w:rsid w:val="00A047BD"/>
    <w:rsid w:val="00A0492C"/>
    <w:rsid w:val="00A04DFD"/>
    <w:rsid w:val="00A0539A"/>
    <w:rsid w:val="00A05C8E"/>
    <w:rsid w:val="00A05DAC"/>
    <w:rsid w:val="00A05E6E"/>
    <w:rsid w:val="00A064DB"/>
    <w:rsid w:val="00A07BEF"/>
    <w:rsid w:val="00A07F74"/>
    <w:rsid w:val="00A1009E"/>
    <w:rsid w:val="00A105F4"/>
    <w:rsid w:val="00A1154B"/>
    <w:rsid w:val="00A1186A"/>
    <w:rsid w:val="00A1233E"/>
    <w:rsid w:val="00A12460"/>
    <w:rsid w:val="00A12796"/>
    <w:rsid w:val="00A12A00"/>
    <w:rsid w:val="00A13D8D"/>
    <w:rsid w:val="00A142B4"/>
    <w:rsid w:val="00A1512E"/>
    <w:rsid w:val="00A1561E"/>
    <w:rsid w:val="00A15CFE"/>
    <w:rsid w:val="00A165CE"/>
    <w:rsid w:val="00A16F40"/>
    <w:rsid w:val="00A170B8"/>
    <w:rsid w:val="00A17563"/>
    <w:rsid w:val="00A177C9"/>
    <w:rsid w:val="00A177F8"/>
    <w:rsid w:val="00A17FD4"/>
    <w:rsid w:val="00A205AB"/>
    <w:rsid w:val="00A20E72"/>
    <w:rsid w:val="00A20F9D"/>
    <w:rsid w:val="00A2106E"/>
    <w:rsid w:val="00A211AA"/>
    <w:rsid w:val="00A22701"/>
    <w:rsid w:val="00A2272B"/>
    <w:rsid w:val="00A22C12"/>
    <w:rsid w:val="00A22F73"/>
    <w:rsid w:val="00A2397F"/>
    <w:rsid w:val="00A23CA3"/>
    <w:rsid w:val="00A23D90"/>
    <w:rsid w:val="00A240D2"/>
    <w:rsid w:val="00A24A39"/>
    <w:rsid w:val="00A24C2D"/>
    <w:rsid w:val="00A24CF1"/>
    <w:rsid w:val="00A2522D"/>
    <w:rsid w:val="00A25676"/>
    <w:rsid w:val="00A25FE9"/>
    <w:rsid w:val="00A26AC3"/>
    <w:rsid w:val="00A27CD7"/>
    <w:rsid w:val="00A302A4"/>
    <w:rsid w:val="00A302B3"/>
    <w:rsid w:val="00A306FF"/>
    <w:rsid w:val="00A310B0"/>
    <w:rsid w:val="00A31410"/>
    <w:rsid w:val="00A31542"/>
    <w:rsid w:val="00A31639"/>
    <w:rsid w:val="00A31EFE"/>
    <w:rsid w:val="00A3278F"/>
    <w:rsid w:val="00A32B99"/>
    <w:rsid w:val="00A3371F"/>
    <w:rsid w:val="00A33902"/>
    <w:rsid w:val="00A33AB3"/>
    <w:rsid w:val="00A341B5"/>
    <w:rsid w:val="00A3453F"/>
    <w:rsid w:val="00A35074"/>
    <w:rsid w:val="00A35B0E"/>
    <w:rsid w:val="00A35D02"/>
    <w:rsid w:val="00A35D5B"/>
    <w:rsid w:val="00A35EF8"/>
    <w:rsid w:val="00A35F62"/>
    <w:rsid w:val="00A36428"/>
    <w:rsid w:val="00A36E1C"/>
    <w:rsid w:val="00A36F1C"/>
    <w:rsid w:val="00A3771A"/>
    <w:rsid w:val="00A378B8"/>
    <w:rsid w:val="00A40CF3"/>
    <w:rsid w:val="00A40DB9"/>
    <w:rsid w:val="00A41052"/>
    <w:rsid w:val="00A4118C"/>
    <w:rsid w:val="00A41C70"/>
    <w:rsid w:val="00A41E51"/>
    <w:rsid w:val="00A4205B"/>
    <w:rsid w:val="00A42368"/>
    <w:rsid w:val="00A427EC"/>
    <w:rsid w:val="00A42D62"/>
    <w:rsid w:val="00A42E9F"/>
    <w:rsid w:val="00A43145"/>
    <w:rsid w:val="00A432E6"/>
    <w:rsid w:val="00A433D2"/>
    <w:rsid w:val="00A434B3"/>
    <w:rsid w:val="00A4366E"/>
    <w:rsid w:val="00A45C5D"/>
    <w:rsid w:val="00A45C71"/>
    <w:rsid w:val="00A45DBF"/>
    <w:rsid w:val="00A45FBA"/>
    <w:rsid w:val="00A465D0"/>
    <w:rsid w:val="00A46FCA"/>
    <w:rsid w:val="00A47540"/>
    <w:rsid w:val="00A47ADA"/>
    <w:rsid w:val="00A50110"/>
    <w:rsid w:val="00A505AF"/>
    <w:rsid w:val="00A51070"/>
    <w:rsid w:val="00A5175F"/>
    <w:rsid w:val="00A5176D"/>
    <w:rsid w:val="00A517A1"/>
    <w:rsid w:val="00A517DC"/>
    <w:rsid w:val="00A51E1F"/>
    <w:rsid w:val="00A5414A"/>
    <w:rsid w:val="00A5420A"/>
    <w:rsid w:val="00A5431A"/>
    <w:rsid w:val="00A54438"/>
    <w:rsid w:val="00A54542"/>
    <w:rsid w:val="00A54CC4"/>
    <w:rsid w:val="00A54D08"/>
    <w:rsid w:val="00A54EFC"/>
    <w:rsid w:val="00A54F29"/>
    <w:rsid w:val="00A5548A"/>
    <w:rsid w:val="00A55C18"/>
    <w:rsid w:val="00A55EB8"/>
    <w:rsid w:val="00A5609D"/>
    <w:rsid w:val="00A5679E"/>
    <w:rsid w:val="00A567E2"/>
    <w:rsid w:val="00A569C0"/>
    <w:rsid w:val="00A56D1B"/>
    <w:rsid w:val="00A56F85"/>
    <w:rsid w:val="00A57025"/>
    <w:rsid w:val="00A57DA1"/>
    <w:rsid w:val="00A60002"/>
    <w:rsid w:val="00A602A9"/>
    <w:rsid w:val="00A616A8"/>
    <w:rsid w:val="00A61EC8"/>
    <w:rsid w:val="00A61FD2"/>
    <w:rsid w:val="00A621AB"/>
    <w:rsid w:val="00A622F1"/>
    <w:rsid w:val="00A62D0A"/>
    <w:rsid w:val="00A6328F"/>
    <w:rsid w:val="00A63548"/>
    <w:rsid w:val="00A636C6"/>
    <w:rsid w:val="00A639EB"/>
    <w:rsid w:val="00A63E09"/>
    <w:rsid w:val="00A64076"/>
    <w:rsid w:val="00A6415A"/>
    <w:rsid w:val="00A64752"/>
    <w:rsid w:val="00A64A87"/>
    <w:rsid w:val="00A64C46"/>
    <w:rsid w:val="00A65895"/>
    <w:rsid w:val="00A65B33"/>
    <w:rsid w:val="00A65DD0"/>
    <w:rsid w:val="00A65E4D"/>
    <w:rsid w:val="00A65F31"/>
    <w:rsid w:val="00A660B3"/>
    <w:rsid w:val="00A660F9"/>
    <w:rsid w:val="00A66C76"/>
    <w:rsid w:val="00A66F02"/>
    <w:rsid w:val="00A675B9"/>
    <w:rsid w:val="00A676E2"/>
    <w:rsid w:val="00A67BAB"/>
    <w:rsid w:val="00A67C3B"/>
    <w:rsid w:val="00A70561"/>
    <w:rsid w:val="00A7092D"/>
    <w:rsid w:val="00A70F6D"/>
    <w:rsid w:val="00A72929"/>
    <w:rsid w:val="00A72E1F"/>
    <w:rsid w:val="00A734AE"/>
    <w:rsid w:val="00A73B43"/>
    <w:rsid w:val="00A7524F"/>
    <w:rsid w:val="00A756EE"/>
    <w:rsid w:val="00A75B9D"/>
    <w:rsid w:val="00A760E5"/>
    <w:rsid w:val="00A76280"/>
    <w:rsid w:val="00A76C79"/>
    <w:rsid w:val="00A76E3F"/>
    <w:rsid w:val="00A76E46"/>
    <w:rsid w:val="00A77042"/>
    <w:rsid w:val="00A779AF"/>
    <w:rsid w:val="00A77A16"/>
    <w:rsid w:val="00A8009F"/>
    <w:rsid w:val="00A8070F"/>
    <w:rsid w:val="00A80AA8"/>
    <w:rsid w:val="00A82384"/>
    <w:rsid w:val="00A82B6F"/>
    <w:rsid w:val="00A83666"/>
    <w:rsid w:val="00A83BA4"/>
    <w:rsid w:val="00A83C6A"/>
    <w:rsid w:val="00A845FF"/>
    <w:rsid w:val="00A846DA"/>
    <w:rsid w:val="00A84AF9"/>
    <w:rsid w:val="00A84C44"/>
    <w:rsid w:val="00A84DDE"/>
    <w:rsid w:val="00A85482"/>
    <w:rsid w:val="00A85CD9"/>
    <w:rsid w:val="00A8618E"/>
    <w:rsid w:val="00A86C10"/>
    <w:rsid w:val="00A86C97"/>
    <w:rsid w:val="00A86F12"/>
    <w:rsid w:val="00A874FE"/>
    <w:rsid w:val="00A875EC"/>
    <w:rsid w:val="00A87AEE"/>
    <w:rsid w:val="00A87BF1"/>
    <w:rsid w:val="00A9014A"/>
    <w:rsid w:val="00A909CA"/>
    <w:rsid w:val="00A91693"/>
    <w:rsid w:val="00A929FA"/>
    <w:rsid w:val="00A92F91"/>
    <w:rsid w:val="00A93038"/>
    <w:rsid w:val="00A9363B"/>
    <w:rsid w:val="00A937A2"/>
    <w:rsid w:val="00A93BDB"/>
    <w:rsid w:val="00A93C34"/>
    <w:rsid w:val="00A94385"/>
    <w:rsid w:val="00A94745"/>
    <w:rsid w:val="00A9518B"/>
    <w:rsid w:val="00A9530A"/>
    <w:rsid w:val="00A954E4"/>
    <w:rsid w:val="00A95FFC"/>
    <w:rsid w:val="00A9633C"/>
    <w:rsid w:val="00A96645"/>
    <w:rsid w:val="00A968FA"/>
    <w:rsid w:val="00A96CF1"/>
    <w:rsid w:val="00A97624"/>
    <w:rsid w:val="00A9767D"/>
    <w:rsid w:val="00A97785"/>
    <w:rsid w:val="00A979BE"/>
    <w:rsid w:val="00A97CC8"/>
    <w:rsid w:val="00A97F82"/>
    <w:rsid w:val="00AA0A8D"/>
    <w:rsid w:val="00AA0E22"/>
    <w:rsid w:val="00AA1933"/>
    <w:rsid w:val="00AA1ED8"/>
    <w:rsid w:val="00AA1F63"/>
    <w:rsid w:val="00AA2496"/>
    <w:rsid w:val="00AA24F0"/>
    <w:rsid w:val="00AA2AA8"/>
    <w:rsid w:val="00AA2BB7"/>
    <w:rsid w:val="00AA3493"/>
    <w:rsid w:val="00AA41F3"/>
    <w:rsid w:val="00AA442A"/>
    <w:rsid w:val="00AA48C0"/>
    <w:rsid w:val="00AA4F55"/>
    <w:rsid w:val="00AA5495"/>
    <w:rsid w:val="00AA64BD"/>
    <w:rsid w:val="00AA72A6"/>
    <w:rsid w:val="00AA7D10"/>
    <w:rsid w:val="00AB0826"/>
    <w:rsid w:val="00AB08DA"/>
    <w:rsid w:val="00AB0C46"/>
    <w:rsid w:val="00AB0C6E"/>
    <w:rsid w:val="00AB15C5"/>
    <w:rsid w:val="00AB1662"/>
    <w:rsid w:val="00AB1B2B"/>
    <w:rsid w:val="00AB1C84"/>
    <w:rsid w:val="00AB1D46"/>
    <w:rsid w:val="00AB1F25"/>
    <w:rsid w:val="00AB211D"/>
    <w:rsid w:val="00AB3504"/>
    <w:rsid w:val="00AB3ACF"/>
    <w:rsid w:val="00AB3C04"/>
    <w:rsid w:val="00AB3EBD"/>
    <w:rsid w:val="00AB40D7"/>
    <w:rsid w:val="00AB472A"/>
    <w:rsid w:val="00AB4DED"/>
    <w:rsid w:val="00AB529D"/>
    <w:rsid w:val="00AB55F1"/>
    <w:rsid w:val="00AB579C"/>
    <w:rsid w:val="00AB5BBF"/>
    <w:rsid w:val="00AB5C37"/>
    <w:rsid w:val="00AB72FF"/>
    <w:rsid w:val="00AB77BE"/>
    <w:rsid w:val="00AB795D"/>
    <w:rsid w:val="00AB7E75"/>
    <w:rsid w:val="00AC078C"/>
    <w:rsid w:val="00AC0FF1"/>
    <w:rsid w:val="00AC1087"/>
    <w:rsid w:val="00AC120D"/>
    <w:rsid w:val="00AC1546"/>
    <w:rsid w:val="00AC16C1"/>
    <w:rsid w:val="00AC1AB0"/>
    <w:rsid w:val="00AC2B86"/>
    <w:rsid w:val="00AC2ED4"/>
    <w:rsid w:val="00AC3112"/>
    <w:rsid w:val="00AC33F9"/>
    <w:rsid w:val="00AC34C8"/>
    <w:rsid w:val="00AC3554"/>
    <w:rsid w:val="00AC3A74"/>
    <w:rsid w:val="00AC3B7F"/>
    <w:rsid w:val="00AC3FF4"/>
    <w:rsid w:val="00AC4ADD"/>
    <w:rsid w:val="00AC4BA5"/>
    <w:rsid w:val="00AC4D35"/>
    <w:rsid w:val="00AC4FE0"/>
    <w:rsid w:val="00AC5EB9"/>
    <w:rsid w:val="00AC5EFE"/>
    <w:rsid w:val="00AC62DB"/>
    <w:rsid w:val="00AC6BA9"/>
    <w:rsid w:val="00AC6DF7"/>
    <w:rsid w:val="00AC6F04"/>
    <w:rsid w:val="00AC6F65"/>
    <w:rsid w:val="00AC6F77"/>
    <w:rsid w:val="00AC713A"/>
    <w:rsid w:val="00AC770D"/>
    <w:rsid w:val="00AC77F5"/>
    <w:rsid w:val="00AD02AF"/>
    <w:rsid w:val="00AD0570"/>
    <w:rsid w:val="00AD0686"/>
    <w:rsid w:val="00AD113D"/>
    <w:rsid w:val="00AD1490"/>
    <w:rsid w:val="00AD171F"/>
    <w:rsid w:val="00AD2703"/>
    <w:rsid w:val="00AD2973"/>
    <w:rsid w:val="00AD2EFB"/>
    <w:rsid w:val="00AD3816"/>
    <w:rsid w:val="00AD39CB"/>
    <w:rsid w:val="00AD4277"/>
    <w:rsid w:val="00AD5385"/>
    <w:rsid w:val="00AD5402"/>
    <w:rsid w:val="00AD5477"/>
    <w:rsid w:val="00AD5793"/>
    <w:rsid w:val="00AD57EA"/>
    <w:rsid w:val="00AD58FE"/>
    <w:rsid w:val="00AD5BAC"/>
    <w:rsid w:val="00AD6037"/>
    <w:rsid w:val="00AD61B5"/>
    <w:rsid w:val="00AD6D02"/>
    <w:rsid w:val="00AD6F92"/>
    <w:rsid w:val="00AD70FD"/>
    <w:rsid w:val="00AD7200"/>
    <w:rsid w:val="00AD7247"/>
    <w:rsid w:val="00AD7253"/>
    <w:rsid w:val="00AD7621"/>
    <w:rsid w:val="00AD7C3C"/>
    <w:rsid w:val="00AD7CE1"/>
    <w:rsid w:val="00AD7DE7"/>
    <w:rsid w:val="00AE0009"/>
    <w:rsid w:val="00AE06D1"/>
    <w:rsid w:val="00AE0DAA"/>
    <w:rsid w:val="00AE1626"/>
    <w:rsid w:val="00AE1689"/>
    <w:rsid w:val="00AE20DD"/>
    <w:rsid w:val="00AE214C"/>
    <w:rsid w:val="00AE23E3"/>
    <w:rsid w:val="00AE2FEF"/>
    <w:rsid w:val="00AE3D9E"/>
    <w:rsid w:val="00AE3EBB"/>
    <w:rsid w:val="00AE432D"/>
    <w:rsid w:val="00AE46B1"/>
    <w:rsid w:val="00AE46C7"/>
    <w:rsid w:val="00AE4FF4"/>
    <w:rsid w:val="00AE51D2"/>
    <w:rsid w:val="00AE52ED"/>
    <w:rsid w:val="00AE5973"/>
    <w:rsid w:val="00AE5B28"/>
    <w:rsid w:val="00AE5F9D"/>
    <w:rsid w:val="00AE6C5C"/>
    <w:rsid w:val="00AE72C0"/>
    <w:rsid w:val="00AE75A3"/>
    <w:rsid w:val="00AE7CE5"/>
    <w:rsid w:val="00AE7EA9"/>
    <w:rsid w:val="00AE7EF7"/>
    <w:rsid w:val="00AF027C"/>
    <w:rsid w:val="00AF13EC"/>
    <w:rsid w:val="00AF161B"/>
    <w:rsid w:val="00AF27CD"/>
    <w:rsid w:val="00AF289E"/>
    <w:rsid w:val="00AF2A02"/>
    <w:rsid w:val="00AF2B0B"/>
    <w:rsid w:val="00AF2B6E"/>
    <w:rsid w:val="00AF337B"/>
    <w:rsid w:val="00AF34F5"/>
    <w:rsid w:val="00AF3A4F"/>
    <w:rsid w:val="00AF43B4"/>
    <w:rsid w:val="00AF444D"/>
    <w:rsid w:val="00AF445F"/>
    <w:rsid w:val="00AF46E7"/>
    <w:rsid w:val="00AF482D"/>
    <w:rsid w:val="00AF48DB"/>
    <w:rsid w:val="00AF51B5"/>
    <w:rsid w:val="00AF55F7"/>
    <w:rsid w:val="00AF59EB"/>
    <w:rsid w:val="00AF5AB6"/>
    <w:rsid w:val="00AF62D5"/>
    <w:rsid w:val="00AF646B"/>
    <w:rsid w:val="00AF71DE"/>
    <w:rsid w:val="00AF7F55"/>
    <w:rsid w:val="00B000B1"/>
    <w:rsid w:val="00B00B45"/>
    <w:rsid w:val="00B00C95"/>
    <w:rsid w:val="00B013BD"/>
    <w:rsid w:val="00B016BC"/>
    <w:rsid w:val="00B01C2A"/>
    <w:rsid w:val="00B01F25"/>
    <w:rsid w:val="00B020C7"/>
    <w:rsid w:val="00B020E3"/>
    <w:rsid w:val="00B021EF"/>
    <w:rsid w:val="00B0243D"/>
    <w:rsid w:val="00B02F32"/>
    <w:rsid w:val="00B04235"/>
    <w:rsid w:val="00B04570"/>
    <w:rsid w:val="00B04942"/>
    <w:rsid w:val="00B04AAF"/>
    <w:rsid w:val="00B04BE2"/>
    <w:rsid w:val="00B05A23"/>
    <w:rsid w:val="00B0609E"/>
    <w:rsid w:val="00B06AFB"/>
    <w:rsid w:val="00B07422"/>
    <w:rsid w:val="00B07546"/>
    <w:rsid w:val="00B1001F"/>
    <w:rsid w:val="00B103F2"/>
    <w:rsid w:val="00B10A02"/>
    <w:rsid w:val="00B10AB1"/>
    <w:rsid w:val="00B10ED4"/>
    <w:rsid w:val="00B10FFE"/>
    <w:rsid w:val="00B11086"/>
    <w:rsid w:val="00B110EB"/>
    <w:rsid w:val="00B11DB1"/>
    <w:rsid w:val="00B12C68"/>
    <w:rsid w:val="00B13270"/>
    <w:rsid w:val="00B1341B"/>
    <w:rsid w:val="00B13820"/>
    <w:rsid w:val="00B13A0F"/>
    <w:rsid w:val="00B142E6"/>
    <w:rsid w:val="00B14428"/>
    <w:rsid w:val="00B14EE4"/>
    <w:rsid w:val="00B1534C"/>
    <w:rsid w:val="00B15468"/>
    <w:rsid w:val="00B15646"/>
    <w:rsid w:val="00B159F1"/>
    <w:rsid w:val="00B15F5A"/>
    <w:rsid w:val="00B16596"/>
    <w:rsid w:val="00B16AA2"/>
    <w:rsid w:val="00B176C2"/>
    <w:rsid w:val="00B17932"/>
    <w:rsid w:val="00B179C7"/>
    <w:rsid w:val="00B17A0E"/>
    <w:rsid w:val="00B202ED"/>
    <w:rsid w:val="00B20B7F"/>
    <w:rsid w:val="00B21940"/>
    <w:rsid w:val="00B21997"/>
    <w:rsid w:val="00B21B8D"/>
    <w:rsid w:val="00B21C23"/>
    <w:rsid w:val="00B21CD4"/>
    <w:rsid w:val="00B21E28"/>
    <w:rsid w:val="00B224DB"/>
    <w:rsid w:val="00B22BD7"/>
    <w:rsid w:val="00B238A2"/>
    <w:rsid w:val="00B23A46"/>
    <w:rsid w:val="00B23FA0"/>
    <w:rsid w:val="00B24CC6"/>
    <w:rsid w:val="00B24E55"/>
    <w:rsid w:val="00B25077"/>
    <w:rsid w:val="00B2515F"/>
    <w:rsid w:val="00B252BB"/>
    <w:rsid w:val="00B25AE6"/>
    <w:rsid w:val="00B25E2D"/>
    <w:rsid w:val="00B26085"/>
    <w:rsid w:val="00B26224"/>
    <w:rsid w:val="00B2679A"/>
    <w:rsid w:val="00B27E54"/>
    <w:rsid w:val="00B30133"/>
    <w:rsid w:val="00B302E5"/>
    <w:rsid w:val="00B30871"/>
    <w:rsid w:val="00B309AD"/>
    <w:rsid w:val="00B3109C"/>
    <w:rsid w:val="00B31503"/>
    <w:rsid w:val="00B321F0"/>
    <w:rsid w:val="00B3332A"/>
    <w:rsid w:val="00B33A3C"/>
    <w:rsid w:val="00B33CE0"/>
    <w:rsid w:val="00B3411B"/>
    <w:rsid w:val="00B34899"/>
    <w:rsid w:val="00B34922"/>
    <w:rsid w:val="00B349E0"/>
    <w:rsid w:val="00B35133"/>
    <w:rsid w:val="00B354FA"/>
    <w:rsid w:val="00B35845"/>
    <w:rsid w:val="00B35C0C"/>
    <w:rsid w:val="00B35C89"/>
    <w:rsid w:val="00B360D0"/>
    <w:rsid w:val="00B36260"/>
    <w:rsid w:val="00B36261"/>
    <w:rsid w:val="00B36576"/>
    <w:rsid w:val="00B3687F"/>
    <w:rsid w:val="00B369C9"/>
    <w:rsid w:val="00B36BB1"/>
    <w:rsid w:val="00B375B9"/>
    <w:rsid w:val="00B3782A"/>
    <w:rsid w:val="00B3787A"/>
    <w:rsid w:val="00B37D44"/>
    <w:rsid w:val="00B37D47"/>
    <w:rsid w:val="00B4022E"/>
    <w:rsid w:val="00B40EF4"/>
    <w:rsid w:val="00B40FF1"/>
    <w:rsid w:val="00B421F3"/>
    <w:rsid w:val="00B42421"/>
    <w:rsid w:val="00B424AC"/>
    <w:rsid w:val="00B427BE"/>
    <w:rsid w:val="00B42A05"/>
    <w:rsid w:val="00B432ED"/>
    <w:rsid w:val="00B43413"/>
    <w:rsid w:val="00B43741"/>
    <w:rsid w:val="00B43F2A"/>
    <w:rsid w:val="00B445D4"/>
    <w:rsid w:val="00B4474E"/>
    <w:rsid w:val="00B45304"/>
    <w:rsid w:val="00B45385"/>
    <w:rsid w:val="00B453EB"/>
    <w:rsid w:val="00B45AE2"/>
    <w:rsid w:val="00B45B1B"/>
    <w:rsid w:val="00B4609D"/>
    <w:rsid w:val="00B4645D"/>
    <w:rsid w:val="00B46890"/>
    <w:rsid w:val="00B46B8E"/>
    <w:rsid w:val="00B47C12"/>
    <w:rsid w:val="00B507DB"/>
    <w:rsid w:val="00B50B69"/>
    <w:rsid w:val="00B516FD"/>
    <w:rsid w:val="00B51720"/>
    <w:rsid w:val="00B519AC"/>
    <w:rsid w:val="00B51BD7"/>
    <w:rsid w:val="00B5218D"/>
    <w:rsid w:val="00B52438"/>
    <w:rsid w:val="00B52525"/>
    <w:rsid w:val="00B530A5"/>
    <w:rsid w:val="00B53411"/>
    <w:rsid w:val="00B53427"/>
    <w:rsid w:val="00B53B53"/>
    <w:rsid w:val="00B5413F"/>
    <w:rsid w:val="00B54189"/>
    <w:rsid w:val="00B5452C"/>
    <w:rsid w:val="00B549D7"/>
    <w:rsid w:val="00B54D7C"/>
    <w:rsid w:val="00B55031"/>
    <w:rsid w:val="00B557B7"/>
    <w:rsid w:val="00B55827"/>
    <w:rsid w:val="00B56805"/>
    <w:rsid w:val="00B5695D"/>
    <w:rsid w:val="00B56C6E"/>
    <w:rsid w:val="00B57E1D"/>
    <w:rsid w:val="00B6030F"/>
    <w:rsid w:val="00B60709"/>
    <w:rsid w:val="00B609F0"/>
    <w:rsid w:val="00B60D65"/>
    <w:rsid w:val="00B612BE"/>
    <w:rsid w:val="00B61492"/>
    <w:rsid w:val="00B62374"/>
    <w:rsid w:val="00B62C1E"/>
    <w:rsid w:val="00B633F5"/>
    <w:rsid w:val="00B634A3"/>
    <w:rsid w:val="00B635ED"/>
    <w:rsid w:val="00B635FB"/>
    <w:rsid w:val="00B63B59"/>
    <w:rsid w:val="00B63C24"/>
    <w:rsid w:val="00B63E14"/>
    <w:rsid w:val="00B6457F"/>
    <w:rsid w:val="00B64909"/>
    <w:rsid w:val="00B65092"/>
    <w:rsid w:val="00B65767"/>
    <w:rsid w:val="00B65A3A"/>
    <w:rsid w:val="00B6606A"/>
    <w:rsid w:val="00B660DE"/>
    <w:rsid w:val="00B66137"/>
    <w:rsid w:val="00B6633D"/>
    <w:rsid w:val="00B667E0"/>
    <w:rsid w:val="00B6695E"/>
    <w:rsid w:val="00B66BB1"/>
    <w:rsid w:val="00B671F9"/>
    <w:rsid w:val="00B673E2"/>
    <w:rsid w:val="00B67D68"/>
    <w:rsid w:val="00B700E2"/>
    <w:rsid w:val="00B701CF"/>
    <w:rsid w:val="00B703B1"/>
    <w:rsid w:val="00B7147E"/>
    <w:rsid w:val="00B71A22"/>
    <w:rsid w:val="00B71E93"/>
    <w:rsid w:val="00B722B3"/>
    <w:rsid w:val="00B72366"/>
    <w:rsid w:val="00B72406"/>
    <w:rsid w:val="00B72578"/>
    <w:rsid w:val="00B72A83"/>
    <w:rsid w:val="00B73189"/>
    <w:rsid w:val="00B73539"/>
    <w:rsid w:val="00B74FCE"/>
    <w:rsid w:val="00B75742"/>
    <w:rsid w:val="00B76AFC"/>
    <w:rsid w:val="00B774B0"/>
    <w:rsid w:val="00B777CD"/>
    <w:rsid w:val="00B77D56"/>
    <w:rsid w:val="00B800D7"/>
    <w:rsid w:val="00B800EC"/>
    <w:rsid w:val="00B802D4"/>
    <w:rsid w:val="00B8030A"/>
    <w:rsid w:val="00B81B76"/>
    <w:rsid w:val="00B82846"/>
    <w:rsid w:val="00B833F9"/>
    <w:rsid w:val="00B834E6"/>
    <w:rsid w:val="00B83663"/>
    <w:rsid w:val="00B83809"/>
    <w:rsid w:val="00B83CEA"/>
    <w:rsid w:val="00B84F31"/>
    <w:rsid w:val="00B86424"/>
    <w:rsid w:val="00B86DBB"/>
    <w:rsid w:val="00B872F8"/>
    <w:rsid w:val="00B873DA"/>
    <w:rsid w:val="00B878F6"/>
    <w:rsid w:val="00B90E53"/>
    <w:rsid w:val="00B915D8"/>
    <w:rsid w:val="00B91874"/>
    <w:rsid w:val="00B920AA"/>
    <w:rsid w:val="00B92404"/>
    <w:rsid w:val="00B92D40"/>
    <w:rsid w:val="00B92F8D"/>
    <w:rsid w:val="00B92FEE"/>
    <w:rsid w:val="00B9303F"/>
    <w:rsid w:val="00B9311D"/>
    <w:rsid w:val="00B93428"/>
    <w:rsid w:val="00B93984"/>
    <w:rsid w:val="00B93BA7"/>
    <w:rsid w:val="00B93FF7"/>
    <w:rsid w:val="00B94BF5"/>
    <w:rsid w:val="00B94C49"/>
    <w:rsid w:val="00B94C6A"/>
    <w:rsid w:val="00B951CC"/>
    <w:rsid w:val="00B95D88"/>
    <w:rsid w:val="00B960B1"/>
    <w:rsid w:val="00B96905"/>
    <w:rsid w:val="00B969BE"/>
    <w:rsid w:val="00B969F5"/>
    <w:rsid w:val="00B96D64"/>
    <w:rsid w:val="00B97562"/>
    <w:rsid w:val="00B97687"/>
    <w:rsid w:val="00B97985"/>
    <w:rsid w:val="00BA041C"/>
    <w:rsid w:val="00BA11A8"/>
    <w:rsid w:val="00BA12C9"/>
    <w:rsid w:val="00BA1309"/>
    <w:rsid w:val="00BA1487"/>
    <w:rsid w:val="00BA1993"/>
    <w:rsid w:val="00BA2586"/>
    <w:rsid w:val="00BA2D15"/>
    <w:rsid w:val="00BA2DDE"/>
    <w:rsid w:val="00BA3077"/>
    <w:rsid w:val="00BA341C"/>
    <w:rsid w:val="00BA3726"/>
    <w:rsid w:val="00BA3793"/>
    <w:rsid w:val="00BA395F"/>
    <w:rsid w:val="00BA3ABF"/>
    <w:rsid w:val="00BA3E7E"/>
    <w:rsid w:val="00BA52ED"/>
    <w:rsid w:val="00BA59BD"/>
    <w:rsid w:val="00BA6472"/>
    <w:rsid w:val="00BA688A"/>
    <w:rsid w:val="00BA71DB"/>
    <w:rsid w:val="00BA7B9D"/>
    <w:rsid w:val="00BB03BB"/>
    <w:rsid w:val="00BB18BC"/>
    <w:rsid w:val="00BB18EE"/>
    <w:rsid w:val="00BB1947"/>
    <w:rsid w:val="00BB208E"/>
    <w:rsid w:val="00BB2603"/>
    <w:rsid w:val="00BB301F"/>
    <w:rsid w:val="00BB3685"/>
    <w:rsid w:val="00BB37E4"/>
    <w:rsid w:val="00BB37FC"/>
    <w:rsid w:val="00BB3A26"/>
    <w:rsid w:val="00BB3B81"/>
    <w:rsid w:val="00BB3F47"/>
    <w:rsid w:val="00BB45CF"/>
    <w:rsid w:val="00BB4E31"/>
    <w:rsid w:val="00BB4EEB"/>
    <w:rsid w:val="00BB5404"/>
    <w:rsid w:val="00BB5C1B"/>
    <w:rsid w:val="00BB60D0"/>
    <w:rsid w:val="00BB6C17"/>
    <w:rsid w:val="00BB6CF9"/>
    <w:rsid w:val="00BB6F55"/>
    <w:rsid w:val="00BB7CDF"/>
    <w:rsid w:val="00BB7D63"/>
    <w:rsid w:val="00BC107B"/>
    <w:rsid w:val="00BC11D0"/>
    <w:rsid w:val="00BC1D4B"/>
    <w:rsid w:val="00BC216B"/>
    <w:rsid w:val="00BC22D8"/>
    <w:rsid w:val="00BC2D34"/>
    <w:rsid w:val="00BC3E34"/>
    <w:rsid w:val="00BC3E4B"/>
    <w:rsid w:val="00BC3EB0"/>
    <w:rsid w:val="00BC4261"/>
    <w:rsid w:val="00BC42A6"/>
    <w:rsid w:val="00BC46BF"/>
    <w:rsid w:val="00BC4759"/>
    <w:rsid w:val="00BC4904"/>
    <w:rsid w:val="00BC4A8D"/>
    <w:rsid w:val="00BC4B1F"/>
    <w:rsid w:val="00BC4DA0"/>
    <w:rsid w:val="00BC5F36"/>
    <w:rsid w:val="00BC6CCC"/>
    <w:rsid w:val="00BC6DCA"/>
    <w:rsid w:val="00BC6E4D"/>
    <w:rsid w:val="00BD0138"/>
    <w:rsid w:val="00BD0565"/>
    <w:rsid w:val="00BD0B64"/>
    <w:rsid w:val="00BD116A"/>
    <w:rsid w:val="00BD122B"/>
    <w:rsid w:val="00BD1421"/>
    <w:rsid w:val="00BD3479"/>
    <w:rsid w:val="00BD36BF"/>
    <w:rsid w:val="00BD40A7"/>
    <w:rsid w:val="00BD4625"/>
    <w:rsid w:val="00BD4B1C"/>
    <w:rsid w:val="00BD4E54"/>
    <w:rsid w:val="00BD53B8"/>
    <w:rsid w:val="00BD53CD"/>
    <w:rsid w:val="00BD5563"/>
    <w:rsid w:val="00BD5659"/>
    <w:rsid w:val="00BD5667"/>
    <w:rsid w:val="00BD5D65"/>
    <w:rsid w:val="00BD62A6"/>
    <w:rsid w:val="00BD67D9"/>
    <w:rsid w:val="00BD6F11"/>
    <w:rsid w:val="00BD7A68"/>
    <w:rsid w:val="00BE0708"/>
    <w:rsid w:val="00BE0724"/>
    <w:rsid w:val="00BE080E"/>
    <w:rsid w:val="00BE0E96"/>
    <w:rsid w:val="00BE1017"/>
    <w:rsid w:val="00BE1791"/>
    <w:rsid w:val="00BE1B94"/>
    <w:rsid w:val="00BE1D42"/>
    <w:rsid w:val="00BE243A"/>
    <w:rsid w:val="00BE290F"/>
    <w:rsid w:val="00BE2DDF"/>
    <w:rsid w:val="00BE2F78"/>
    <w:rsid w:val="00BE30CD"/>
    <w:rsid w:val="00BE3D3F"/>
    <w:rsid w:val="00BE4101"/>
    <w:rsid w:val="00BE4300"/>
    <w:rsid w:val="00BE4444"/>
    <w:rsid w:val="00BE4A36"/>
    <w:rsid w:val="00BE4AC9"/>
    <w:rsid w:val="00BE501F"/>
    <w:rsid w:val="00BE51BA"/>
    <w:rsid w:val="00BE5477"/>
    <w:rsid w:val="00BE5BAC"/>
    <w:rsid w:val="00BE5E65"/>
    <w:rsid w:val="00BE6529"/>
    <w:rsid w:val="00BE69ED"/>
    <w:rsid w:val="00BE75AF"/>
    <w:rsid w:val="00BF032E"/>
    <w:rsid w:val="00BF0537"/>
    <w:rsid w:val="00BF07C7"/>
    <w:rsid w:val="00BF0B87"/>
    <w:rsid w:val="00BF1243"/>
    <w:rsid w:val="00BF12EB"/>
    <w:rsid w:val="00BF1642"/>
    <w:rsid w:val="00BF19B5"/>
    <w:rsid w:val="00BF1BD9"/>
    <w:rsid w:val="00BF22B7"/>
    <w:rsid w:val="00BF29B5"/>
    <w:rsid w:val="00BF2FAB"/>
    <w:rsid w:val="00BF2FAF"/>
    <w:rsid w:val="00BF3070"/>
    <w:rsid w:val="00BF3090"/>
    <w:rsid w:val="00BF31C7"/>
    <w:rsid w:val="00BF3A92"/>
    <w:rsid w:val="00BF3BFF"/>
    <w:rsid w:val="00BF3EF7"/>
    <w:rsid w:val="00BF4272"/>
    <w:rsid w:val="00BF4C83"/>
    <w:rsid w:val="00BF5621"/>
    <w:rsid w:val="00BF5B3C"/>
    <w:rsid w:val="00BF6A9F"/>
    <w:rsid w:val="00BF6B03"/>
    <w:rsid w:val="00BF6F63"/>
    <w:rsid w:val="00BF7464"/>
    <w:rsid w:val="00BF74ED"/>
    <w:rsid w:val="00BF7B75"/>
    <w:rsid w:val="00BF7B82"/>
    <w:rsid w:val="00BF7CBB"/>
    <w:rsid w:val="00BF7DB0"/>
    <w:rsid w:val="00C007C2"/>
    <w:rsid w:val="00C00813"/>
    <w:rsid w:val="00C00A6E"/>
    <w:rsid w:val="00C00B27"/>
    <w:rsid w:val="00C011F3"/>
    <w:rsid w:val="00C0120C"/>
    <w:rsid w:val="00C0132A"/>
    <w:rsid w:val="00C0134B"/>
    <w:rsid w:val="00C01C11"/>
    <w:rsid w:val="00C02474"/>
    <w:rsid w:val="00C02495"/>
    <w:rsid w:val="00C02574"/>
    <w:rsid w:val="00C02842"/>
    <w:rsid w:val="00C029C9"/>
    <w:rsid w:val="00C02A2E"/>
    <w:rsid w:val="00C02BD5"/>
    <w:rsid w:val="00C02D73"/>
    <w:rsid w:val="00C02E83"/>
    <w:rsid w:val="00C033B1"/>
    <w:rsid w:val="00C03BD8"/>
    <w:rsid w:val="00C03D5C"/>
    <w:rsid w:val="00C045E8"/>
    <w:rsid w:val="00C05409"/>
    <w:rsid w:val="00C05975"/>
    <w:rsid w:val="00C05B52"/>
    <w:rsid w:val="00C05B81"/>
    <w:rsid w:val="00C0619C"/>
    <w:rsid w:val="00C06771"/>
    <w:rsid w:val="00C06A3A"/>
    <w:rsid w:val="00C06FEB"/>
    <w:rsid w:val="00C073F1"/>
    <w:rsid w:val="00C079F0"/>
    <w:rsid w:val="00C11BED"/>
    <w:rsid w:val="00C120C6"/>
    <w:rsid w:val="00C12121"/>
    <w:rsid w:val="00C12DED"/>
    <w:rsid w:val="00C12F1D"/>
    <w:rsid w:val="00C13025"/>
    <w:rsid w:val="00C13116"/>
    <w:rsid w:val="00C13124"/>
    <w:rsid w:val="00C13137"/>
    <w:rsid w:val="00C131B2"/>
    <w:rsid w:val="00C13BAC"/>
    <w:rsid w:val="00C145CD"/>
    <w:rsid w:val="00C14805"/>
    <w:rsid w:val="00C148D8"/>
    <w:rsid w:val="00C14A19"/>
    <w:rsid w:val="00C14AAE"/>
    <w:rsid w:val="00C14F4D"/>
    <w:rsid w:val="00C15563"/>
    <w:rsid w:val="00C1567D"/>
    <w:rsid w:val="00C156AB"/>
    <w:rsid w:val="00C15E41"/>
    <w:rsid w:val="00C1664E"/>
    <w:rsid w:val="00C16CC0"/>
    <w:rsid w:val="00C16D08"/>
    <w:rsid w:val="00C17116"/>
    <w:rsid w:val="00C1730C"/>
    <w:rsid w:val="00C17CDE"/>
    <w:rsid w:val="00C17F2E"/>
    <w:rsid w:val="00C20FA2"/>
    <w:rsid w:val="00C217C5"/>
    <w:rsid w:val="00C22B03"/>
    <w:rsid w:val="00C22CDD"/>
    <w:rsid w:val="00C23B09"/>
    <w:rsid w:val="00C24067"/>
    <w:rsid w:val="00C2416A"/>
    <w:rsid w:val="00C242A2"/>
    <w:rsid w:val="00C24348"/>
    <w:rsid w:val="00C248B6"/>
    <w:rsid w:val="00C24CDE"/>
    <w:rsid w:val="00C2549F"/>
    <w:rsid w:val="00C25CC0"/>
    <w:rsid w:val="00C25FE0"/>
    <w:rsid w:val="00C26024"/>
    <w:rsid w:val="00C26978"/>
    <w:rsid w:val="00C271A1"/>
    <w:rsid w:val="00C27446"/>
    <w:rsid w:val="00C27539"/>
    <w:rsid w:val="00C27833"/>
    <w:rsid w:val="00C27AD8"/>
    <w:rsid w:val="00C27D02"/>
    <w:rsid w:val="00C3027C"/>
    <w:rsid w:val="00C30727"/>
    <w:rsid w:val="00C3117C"/>
    <w:rsid w:val="00C313C1"/>
    <w:rsid w:val="00C31495"/>
    <w:rsid w:val="00C315AE"/>
    <w:rsid w:val="00C31DE9"/>
    <w:rsid w:val="00C327D4"/>
    <w:rsid w:val="00C32ABC"/>
    <w:rsid w:val="00C32B35"/>
    <w:rsid w:val="00C32D80"/>
    <w:rsid w:val="00C32F11"/>
    <w:rsid w:val="00C33449"/>
    <w:rsid w:val="00C33796"/>
    <w:rsid w:val="00C33876"/>
    <w:rsid w:val="00C33A2F"/>
    <w:rsid w:val="00C33CD0"/>
    <w:rsid w:val="00C33CEF"/>
    <w:rsid w:val="00C351FC"/>
    <w:rsid w:val="00C35AC0"/>
    <w:rsid w:val="00C35DB6"/>
    <w:rsid w:val="00C36161"/>
    <w:rsid w:val="00C37373"/>
    <w:rsid w:val="00C37415"/>
    <w:rsid w:val="00C37580"/>
    <w:rsid w:val="00C4060E"/>
    <w:rsid w:val="00C40729"/>
    <w:rsid w:val="00C40CF2"/>
    <w:rsid w:val="00C40D1E"/>
    <w:rsid w:val="00C41C94"/>
    <w:rsid w:val="00C4260E"/>
    <w:rsid w:val="00C42E4A"/>
    <w:rsid w:val="00C4375C"/>
    <w:rsid w:val="00C446C8"/>
    <w:rsid w:val="00C4488F"/>
    <w:rsid w:val="00C4500E"/>
    <w:rsid w:val="00C458A8"/>
    <w:rsid w:val="00C4596B"/>
    <w:rsid w:val="00C45C55"/>
    <w:rsid w:val="00C45D22"/>
    <w:rsid w:val="00C46755"/>
    <w:rsid w:val="00C46C97"/>
    <w:rsid w:val="00C47061"/>
    <w:rsid w:val="00C47F91"/>
    <w:rsid w:val="00C47FEC"/>
    <w:rsid w:val="00C501C2"/>
    <w:rsid w:val="00C50ACF"/>
    <w:rsid w:val="00C50F5B"/>
    <w:rsid w:val="00C511BE"/>
    <w:rsid w:val="00C5132D"/>
    <w:rsid w:val="00C51478"/>
    <w:rsid w:val="00C51513"/>
    <w:rsid w:val="00C5157D"/>
    <w:rsid w:val="00C5167F"/>
    <w:rsid w:val="00C5196D"/>
    <w:rsid w:val="00C51A6A"/>
    <w:rsid w:val="00C51C52"/>
    <w:rsid w:val="00C52124"/>
    <w:rsid w:val="00C522C1"/>
    <w:rsid w:val="00C52330"/>
    <w:rsid w:val="00C52958"/>
    <w:rsid w:val="00C52F22"/>
    <w:rsid w:val="00C53A79"/>
    <w:rsid w:val="00C53BAD"/>
    <w:rsid w:val="00C53C61"/>
    <w:rsid w:val="00C53C97"/>
    <w:rsid w:val="00C53E75"/>
    <w:rsid w:val="00C541FF"/>
    <w:rsid w:val="00C548D6"/>
    <w:rsid w:val="00C55273"/>
    <w:rsid w:val="00C554D5"/>
    <w:rsid w:val="00C5593B"/>
    <w:rsid w:val="00C56265"/>
    <w:rsid w:val="00C56502"/>
    <w:rsid w:val="00C572D2"/>
    <w:rsid w:val="00C605CF"/>
    <w:rsid w:val="00C60BAF"/>
    <w:rsid w:val="00C61716"/>
    <w:rsid w:val="00C61C40"/>
    <w:rsid w:val="00C61DB9"/>
    <w:rsid w:val="00C61FEA"/>
    <w:rsid w:val="00C622FA"/>
    <w:rsid w:val="00C628C7"/>
    <w:rsid w:val="00C629F5"/>
    <w:rsid w:val="00C62C15"/>
    <w:rsid w:val="00C62CD2"/>
    <w:rsid w:val="00C649C6"/>
    <w:rsid w:val="00C64C77"/>
    <w:rsid w:val="00C65160"/>
    <w:rsid w:val="00C653AA"/>
    <w:rsid w:val="00C6554A"/>
    <w:rsid w:val="00C65661"/>
    <w:rsid w:val="00C65B22"/>
    <w:rsid w:val="00C66029"/>
    <w:rsid w:val="00C6633B"/>
    <w:rsid w:val="00C66BCE"/>
    <w:rsid w:val="00C672F6"/>
    <w:rsid w:val="00C678F2"/>
    <w:rsid w:val="00C67B6C"/>
    <w:rsid w:val="00C700B3"/>
    <w:rsid w:val="00C703B9"/>
    <w:rsid w:val="00C7041C"/>
    <w:rsid w:val="00C7070D"/>
    <w:rsid w:val="00C70715"/>
    <w:rsid w:val="00C707C5"/>
    <w:rsid w:val="00C70990"/>
    <w:rsid w:val="00C709D0"/>
    <w:rsid w:val="00C70F0C"/>
    <w:rsid w:val="00C71CD1"/>
    <w:rsid w:val="00C72001"/>
    <w:rsid w:val="00C72344"/>
    <w:rsid w:val="00C7251A"/>
    <w:rsid w:val="00C737C6"/>
    <w:rsid w:val="00C73C62"/>
    <w:rsid w:val="00C746C0"/>
    <w:rsid w:val="00C750DA"/>
    <w:rsid w:val="00C751D8"/>
    <w:rsid w:val="00C75345"/>
    <w:rsid w:val="00C756C0"/>
    <w:rsid w:val="00C75FDD"/>
    <w:rsid w:val="00C76305"/>
    <w:rsid w:val="00C7642C"/>
    <w:rsid w:val="00C764C0"/>
    <w:rsid w:val="00C767FB"/>
    <w:rsid w:val="00C76CEB"/>
    <w:rsid w:val="00C76EA5"/>
    <w:rsid w:val="00C77373"/>
    <w:rsid w:val="00C77640"/>
    <w:rsid w:val="00C77739"/>
    <w:rsid w:val="00C81012"/>
    <w:rsid w:val="00C8102A"/>
    <w:rsid w:val="00C813DE"/>
    <w:rsid w:val="00C817E4"/>
    <w:rsid w:val="00C81AB9"/>
    <w:rsid w:val="00C81B6A"/>
    <w:rsid w:val="00C81D4C"/>
    <w:rsid w:val="00C81DF8"/>
    <w:rsid w:val="00C81ED0"/>
    <w:rsid w:val="00C82CB8"/>
    <w:rsid w:val="00C82E91"/>
    <w:rsid w:val="00C830AC"/>
    <w:rsid w:val="00C8354E"/>
    <w:rsid w:val="00C8357A"/>
    <w:rsid w:val="00C835C0"/>
    <w:rsid w:val="00C838A1"/>
    <w:rsid w:val="00C83DB6"/>
    <w:rsid w:val="00C845FB"/>
    <w:rsid w:val="00C84AF7"/>
    <w:rsid w:val="00C84E8B"/>
    <w:rsid w:val="00C850C6"/>
    <w:rsid w:val="00C8527F"/>
    <w:rsid w:val="00C858D7"/>
    <w:rsid w:val="00C85B38"/>
    <w:rsid w:val="00C85C4E"/>
    <w:rsid w:val="00C85CD0"/>
    <w:rsid w:val="00C85DC2"/>
    <w:rsid w:val="00C85F2D"/>
    <w:rsid w:val="00C85FAE"/>
    <w:rsid w:val="00C860AD"/>
    <w:rsid w:val="00C862B7"/>
    <w:rsid w:val="00C86D48"/>
    <w:rsid w:val="00C871E2"/>
    <w:rsid w:val="00C873F4"/>
    <w:rsid w:val="00C87868"/>
    <w:rsid w:val="00C87AD5"/>
    <w:rsid w:val="00C87E2F"/>
    <w:rsid w:val="00C905CA"/>
    <w:rsid w:val="00C9084E"/>
    <w:rsid w:val="00C90B87"/>
    <w:rsid w:val="00C90DD3"/>
    <w:rsid w:val="00C91506"/>
    <w:rsid w:val="00C9173A"/>
    <w:rsid w:val="00C91A5B"/>
    <w:rsid w:val="00C91D5C"/>
    <w:rsid w:val="00C9212D"/>
    <w:rsid w:val="00C92C5C"/>
    <w:rsid w:val="00C92F81"/>
    <w:rsid w:val="00C94096"/>
    <w:rsid w:val="00C941A5"/>
    <w:rsid w:val="00C94252"/>
    <w:rsid w:val="00C94768"/>
    <w:rsid w:val="00C94C34"/>
    <w:rsid w:val="00C94D8A"/>
    <w:rsid w:val="00C95036"/>
    <w:rsid w:val="00C9584F"/>
    <w:rsid w:val="00C95CA5"/>
    <w:rsid w:val="00C9600E"/>
    <w:rsid w:val="00C96328"/>
    <w:rsid w:val="00C9675B"/>
    <w:rsid w:val="00C96DB5"/>
    <w:rsid w:val="00C96DE3"/>
    <w:rsid w:val="00C97A11"/>
    <w:rsid w:val="00C97E3B"/>
    <w:rsid w:val="00CA0C41"/>
    <w:rsid w:val="00CA0CB6"/>
    <w:rsid w:val="00CA1A3C"/>
    <w:rsid w:val="00CA1B0C"/>
    <w:rsid w:val="00CA1C10"/>
    <w:rsid w:val="00CA27F3"/>
    <w:rsid w:val="00CA2C88"/>
    <w:rsid w:val="00CA2CBC"/>
    <w:rsid w:val="00CA3848"/>
    <w:rsid w:val="00CA404E"/>
    <w:rsid w:val="00CA450A"/>
    <w:rsid w:val="00CA4519"/>
    <w:rsid w:val="00CA5803"/>
    <w:rsid w:val="00CA5BA7"/>
    <w:rsid w:val="00CA5C63"/>
    <w:rsid w:val="00CA5F1B"/>
    <w:rsid w:val="00CA75A8"/>
    <w:rsid w:val="00CA789B"/>
    <w:rsid w:val="00CA7AD9"/>
    <w:rsid w:val="00CB1145"/>
    <w:rsid w:val="00CB119A"/>
    <w:rsid w:val="00CB12F3"/>
    <w:rsid w:val="00CB161C"/>
    <w:rsid w:val="00CB1A8B"/>
    <w:rsid w:val="00CB1C2F"/>
    <w:rsid w:val="00CB2303"/>
    <w:rsid w:val="00CB2529"/>
    <w:rsid w:val="00CB2CC7"/>
    <w:rsid w:val="00CB2D4C"/>
    <w:rsid w:val="00CB2DE6"/>
    <w:rsid w:val="00CB2F7E"/>
    <w:rsid w:val="00CB3F56"/>
    <w:rsid w:val="00CB42F5"/>
    <w:rsid w:val="00CB4C0C"/>
    <w:rsid w:val="00CB4EC5"/>
    <w:rsid w:val="00CB59B1"/>
    <w:rsid w:val="00CB5D57"/>
    <w:rsid w:val="00CB6360"/>
    <w:rsid w:val="00CB6480"/>
    <w:rsid w:val="00CB6952"/>
    <w:rsid w:val="00CB6DD2"/>
    <w:rsid w:val="00CB6F1B"/>
    <w:rsid w:val="00CB6F3B"/>
    <w:rsid w:val="00CB78B2"/>
    <w:rsid w:val="00CB7C2C"/>
    <w:rsid w:val="00CC0103"/>
    <w:rsid w:val="00CC013C"/>
    <w:rsid w:val="00CC0214"/>
    <w:rsid w:val="00CC040D"/>
    <w:rsid w:val="00CC0A6C"/>
    <w:rsid w:val="00CC0C08"/>
    <w:rsid w:val="00CC0F37"/>
    <w:rsid w:val="00CC12D9"/>
    <w:rsid w:val="00CC1505"/>
    <w:rsid w:val="00CC1C79"/>
    <w:rsid w:val="00CC23B8"/>
    <w:rsid w:val="00CC2504"/>
    <w:rsid w:val="00CC277B"/>
    <w:rsid w:val="00CC2BF0"/>
    <w:rsid w:val="00CC2D57"/>
    <w:rsid w:val="00CC2EBF"/>
    <w:rsid w:val="00CC2EC7"/>
    <w:rsid w:val="00CC309D"/>
    <w:rsid w:val="00CC339E"/>
    <w:rsid w:val="00CC351A"/>
    <w:rsid w:val="00CC51E2"/>
    <w:rsid w:val="00CC53D8"/>
    <w:rsid w:val="00CC56DD"/>
    <w:rsid w:val="00CC57EC"/>
    <w:rsid w:val="00CC5C46"/>
    <w:rsid w:val="00CC6348"/>
    <w:rsid w:val="00CC6F32"/>
    <w:rsid w:val="00CC74F1"/>
    <w:rsid w:val="00CC7B84"/>
    <w:rsid w:val="00CC7D3D"/>
    <w:rsid w:val="00CC7F97"/>
    <w:rsid w:val="00CD00B7"/>
    <w:rsid w:val="00CD0357"/>
    <w:rsid w:val="00CD05D3"/>
    <w:rsid w:val="00CD0902"/>
    <w:rsid w:val="00CD09B1"/>
    <w:rsid w:val="00CD0BCF"/>
    <w:rsid w:val="00CD119F"/>
    <w:rsid w:val="00CD2A20"/>
    <w:rsid w:val="00CD3263"/>
    <w:rsid w:val="00CD4268"/>
    <w:rsid w:val="00CD463C"/>
    <w:rsid w:val="00CD465A"/>
    <w:rsid w:val="00CD4ACE"/>
    <w:rsid w:val="00CD5192"/>
    <w:rsid w:val="00CD5301"/>
    <w:rsid w:val="00CD570C"/>
    <w:rsid w:val="00CD601B"/>
    <w:rsid w:val="00CD6073"/>
    <w:rsid w:val="00CD6981"/>
    <w:rsid w:val="00CD69A1"/>
    <w:rsid w:val="00CD6A69"/>
    <w:rsid w:val="00CD6B28"/>
    <w:rsid w:val="00CD6E42"/>
    <w:rsid w:val="00CD751E"/>
    <w:rsid w:val="00CD7CCD"/>
    <w:rsid w:val="00CE0DC7"/>
    <w:rsid w:val="00CE13E7"/>
    <w:rsid w:val="00CE1574"/>
    <w:rsid w:val="00CE2DD6"/>
    <w:rsid w:val="00CE2FF5"/>
    <w:rsid w:val="00CE367A"/>
    <w:rsid w:val="00CE4506"/>
    <w:rsid w:val="00CE4AE8"/>
    <w:rsid w:val="00CE4E11"/>
    <w:rsid w:val="00CE55F8"/>
    <w:rsid w:val="00CE5A91"/>
    <w:rsid w:val="00CE6599"/>
    <w:rsid w:val="00CE67A4"/>
    <w:rsid w:val="00CE6999"/>
    <w:rsid w:val="00CE71E7"/>
    <w:rsid w:val="00CE7608"/>
    <w:rsid w:val="00CE762A"/>
    <w:rsid w:val="00CF027D"/>
    <w:rsid w:val="00CF057C"/>
    <w:rsid w:val="00CF06D8"/>
    <w:rsid w:val="00CF1172"/>
    <w:rsid w:val="00CF138C"/>
    <w:rsid w:val="00CF14EA"/>
    <w:rsid w:val="00CF1BA1"/>
    <w:rsid w:val="00CF1F37"/>
    <w:rsid w:val="00CF2FA4"/>
    <w:rsid w:val="00CF3515"/>
    <w:rsid w:val="00CF46B2"/>
    <w:rsid w:val="00CF4B54"/>
    <w:rsid w:val="00CF524A"/>
    <w:rsid w:val="00CF5319"/>
    <w:rsid w:val="00CF5915"/>
    <w:rsid w:val="00CF5FEA"/>
    <w:rsid w:val="00CF6263"/>
    <w:rsid w:val="00CF6323"/>
    <w:rsid w:val="00CF635A"/>
    <w:rsid w:val="00CF6AFA"/>
    <w:rsid w:val="00CF6F66"/>
    <w:rsid w:val="00CF6FC7"/>
    <w:rsid w:val="00CF7314"/>
    <w:rsid w:val="00CF7B2A"/>
    <w:rsid w:val="00CF7E64"/>
    <w:rsid w:val="00D0002F"/>
    <w:rsid w:val="00D0030E"/>
    <w:rsid w:val="00D0035B"/>
    <w:rsid w:val="00D00739"/>
    <w:rsid w:val="00D00759"/>
    <w:rsid w:val="00D00A49"/>
    <w:rsid w:val="00D01671"/>
    <w:rsid w:val="00D01906"/>
    <w:rsid w:val="00D01ECE"/>
    <w:rsid w:val="00D02FC8"/>
    <w:rsid w:val="00D02FDB"/>
    <w:rsid w:val="00D04212"/>
    <w:rsid w:val="00D0443E"/>
    <w:rsid w:val="00D04512"/>
    <w:rsid w:val="00D04630"/>
    <w:rsid w:val="00D048CE"/>
    <w:rsid w:val="00D04941"/>
    <w:rsid w:val="00D05AA7"/>
    <w:rsid w:val="00D06102"/>
    <w:rsid w:val="00D07144"/>
    <w:rsid w:val="00D074D3"/>
    <w:rsid w:val="00D07562"/>
    <w:rsid w:val="00D07852"/>
    <w:rsid w:val="00D078D0"/>
    <w:rsid w:val="00D079CF"/>
    <w:rsid w:val="00D101EE"/>
    <w:rsid w:val="00D102A7"/>
    <w:rsid w:val="00D10792"/>
    <w:rsid w:val="00D109D7"/>
    <w:rsid w:val="00D10D65"/>
    <w:rsid w:val="00D1121E"/>
    <w:rsid w:val="00D112A2"/>
    <w:rsid w:val="00D11408"/>
    <w:rsid w:val="00D1142F"/>
    <w:rsid w:val="00D11523"/>
    <w:rsid w:val="00D117F6"/>
    <w:rsid w:val="00D11E76"/>
    <w:rsid w:val="00D12248"/>
    <w:rsid w:val="00D1247D"/>
    <w:rsid w:val="00D1269A"/>
    <w:rsid w:val="00D12965"/>
    <w:rsid w:val="00D129EE"/>
    <w:rsid w:val="00D12D48"/>
    <w:rsid w:val="00D1390E"/>
    <w:rsid w:val="00D13D87"/>
    <w:rsid w:val="00D13E01"/>
    <w:rsid w:val="00D14091"/>
    <w:rsid w:val="00D140E9"/>
    <w:rsid w:val="00D14CA1"/>
    <w:rsid w:val="00D14F4D"/>
    <w:rsid w:val="00D158C6"/>
    <w:rsid w:val="00D159A2"/>
    <w:rsid w:val="00D15AF3"/>
    <w:rsid w:val="00D15C17"/>
    <w:rsid w:val="00D16083"/>
    <w:rsid w:val="00D16387"/>
    <w:rsid w:val="00D164E2"/>
    <w:rsid w:val="00D16E70"/>
    <w:rsid w:val="00D16FCC"/>
    <w:rsid w:val="00D16FE6"/>
    <w:rsid w:val="00D17A98"/>
    <w:rsid w:val="00D20114"/>
    <w:rsid w:val="00D20B2C"/>
    <w:rsid w:val="00D21949"/>
    <w:rsid w:val="00D22469"/>
    <w:rsid w:val="00D226F3"/>
    <w:rsid w:val="00D22E6F"/>
    <w:rsid w:val="00D23004"/>
    <w:rsid w:val="00D23657"/>
    <w:rsid w:val="00D23A14"/>
    <w:rsid w:val="00D23A3A"/>
    <w:rsid w:val="00D23E69"/>
    <w:rsid w:val="00D23FBD"/>
    <w:rsid w:val="00D24501"/>
    <w:rsid w:val="00D24648"/>
    <w:rsid w:val="00D246D7"/>
    <w:rsid w:val="00D24A0C"/>
    <w:rsid w:val="00D252BF"/>
    <w:rsid w:val="00D25649"/>
    <w:rsid w:val="00D258C5"/>
    <w:rsid w:val="00D2641A"/>
    <w:rsid w:val="00D264C3"/>
    <w:rsid w:val="00D26F3F"/>
    <w:rsid w:val="00D26F50"/>
    <w:rsid w:val="00D26FC2"/>
    <w:rsid w:val="00D27071"/>
    <w:rsid w:val="00D274B2"/>
    <w:rsid w:val="00D275EC"/>
    <w:rsid w:val="00D2768C"/>
    <w:rsid w:val="00D2770C"/>
    <w:rsid w:val="00D3030E"/>
    <w:rsid w:val="00D30C88"/>
    <w:rsid w:val="00D31056"/>
    <w:rsid w:val="00D312F8"/>
    <w:rsid w:val="00D313B2"/>
    <w:rsid w:val="00D31495"/>
    <w:rsid w:val="00D31ECD"/>
    <w:rsid w:val="00D323CF"/>
    <w:rsid w:val="00D32967"/>
    <w:rsid w:val="00D32978"/>
    <w:rsid w:val="00D329A5"/>
    <w:rsid w:val="00D337E4"/>
    <w:rsid w:val="00D33AD8"/>
    <w:rsid w:val="00D3434C"/>
    <w:rsid w:val="00D34805"/>
    <w:rsid w:val="00D34A64"/>
    <w:rsid w:val="00D34E19"/>
    <w:rsid w:val="00D35122"/>
    <w:rsid w:val="00D354A1"/>
    <w:rsid w:val="00D35B34"/>
    <w:rsid w:val="00D35C75"/>
    <w:rsid w:val="00D360B5"/>
    <w:rsid w:val="00D36409"/>
    <w:rsid w:val="00D36486"/>
    <w:rsid w:val="00D36652"/>
    <w:rsid w:val="00D372E8"/>
    <w:rsid w:val="00D4003E"/>
    <w:rsid w:val="00D4181C"/>
    <w:rsid w:val="00D42266"/>
    <w:rsid w:val="00D422CF"/>
    <w:rsid w:val="00D42A04"/>
    <w:rsid w:val="00D42E04"/>
    <w:rsid w:val="00D4326C"/>
    <w:rsid w:val="00D43289"/>
    <w:rsid w:val="00D434CD"/>
    <w:rsid w:val="00D438B9"/>
    <w:rsid w:val="00D43C4B"/>
    <w:rsid w:val="00D43E8F"/>
    <w:rsid w:val="00D44076"/>
    <w:rsid w:val="00D44165"/>
    <w:rsid w:val="00D442E7"/>
    <w:rsid w:val="00D44878"/>
    <w:rsid w:val="00D454FC"/>
    <w:rsid w:val="00D455D1"/>
    <w:rsid w:val="00D45AE9"/>
    <w:rsid w:val="00D45CD8"/>
    <w:rsid w:val="00D45E1A"/>
    <w:rsid w:val="00D4630C"/>
    <w:rsid w:val="00D464D7"/>
    <w:rsid w:val="00D4712C"/>
    <w:rsid w:val="00D4797C"/>
    <w:rsid w:val="00D47B68"/>
    <w:rsid w:val="00D47D01"/>
    <w:rsid w:val="00D5013E"/>
    <w:rsid w:val="00D508C7"/>
    <w:rsid w:val="00D51093"/>
    <w:rsid w:val="00D51863"/>
    <w:rsid w:val="00D518A9"/>
    <w:rsid w:val="00D51B1B"/>
    <w:rsid w:val="00D51B64"/>
    <w:rsid w:val="00D51C1F"/>
    <w:rsid w:val="00D51FD6"/>
    <w:rsid w:val="00D52A0F"/>
    <w:rsid w:val="00D52AB4"/>
    <w:rsid w:val="00D52C87"/>
    <w:rsid w:val="00D52E5D"/>
    <w:rsid w:val="00D52F93"/>
    <w:rsid w:val="00D535F2"/>
    <w:rsid w:val="00D538A5"/>
    <w:rsid w:val="00D53F38"/>
    <w:rsid w:val="00D53F41"/>
    <w:rsid w:val="00D5415A"/>
    <w:rsid w:val="00D54320"/>
    <w:rsid w:val="00D54619"/>
    <w:rsid w:val="00D54843"/>
    <w:rsid w:val="00D563FE"/>
    <w:rsid w:val="00D56574"/>
    <w:rsid w:val="00D56F63"/>
    <w:rsid w:val="00D56FDD"/>
    <w:rsid w:val="00D5724D"/>
    <w:rsid w:val="00D57C22"/>
    <w:rsid w:val="00D61503"/>
    <w:rsid w:val="00D61543"/>
    <w:rsid w:val="00D61721"/>
    <w:rsid w:val="00D61FAB"/>
    <w:rsid w:val="00D621A6"/>
    <w:rsid w:val="00D631F9"/>
    <w:rsid w:val="00D6441A"/>
    <w:rsid w:val="00D64458"/>
    <w:rsid w:val="00D64559"/>
    <w:rsid w:val="00D64AF2"/>
    <w:rsid w:val="00D64BEA"/>
    <w:rsid w:val="00D653E3"/>
    <w:rsid w:val="00D65D28"/>
    <w:rsid w:val="00D6630C"/>
    <w:rsid w:val="00D6671F"/>
    <w:rsid w:val="00D66884"/>
    <w:rsid w:val="00D668C7"/>
    <w:rsid w:val="00D66AB6"/>
    <w:rsid w:val="00D66B02"/>
    <w:rsid w:val="00D670AF"/>
    <w:rsid w:val="00D67272"/>
    <w:rsid w:val="00D67482"/>
    <w:rsid w:val="00D6775C"/>
    <w:rsid w:val="00D7055C"/>
    <w:rsid w:val="00D705AE"/>
    <w:rsid w:val="00D71208"/>
    <w:rsid w:val="00D71B9B"/>
    <w:rsid w:val="00D7237E"/>
    <w:rsid w:val="00D723A2"/>
    <w:rsid w:val="00D72787"/>
    <w:rsid w:val="00D7293D"/>
    <w:rsid w:val="00D74DD9"/>
    <w:rsid w:val="00D750B4"/>
    <w:rsid w:val="00D75446"/>
    <w:rsid w:val="00D75614"/>
    <w:rsid w:val="00D75FD9"/>
    <w:rsid w:val="00D762A6"/>
    <w:rsid w:val="00D76E59"/>
    <w:rsid w:val="00D77310"/>
    <w:rsid w:val="00D7769D"/>
    <w:rsid w:val="00D777B2"/>
    <w:rsid w:val="00D777EE"/>
    <w:rsid w:val="00D77CDD"/>
    <w:rsid w:val="00D80EA0"/>
    <w:rsid w:val="00D80FB7"/>
    <w:rsid w:val="00D8165F"/>
    <w:rsid w:val="00D81CE1"/>
    <w:rsid w:val="00D81D87"/>
    <w:rsid w:val="00D81FA8"/>
    <w:rsid w:val="00D8282D"/>
    <w:rsid w:val="00D83158"/>
    <w:rsid w:val="00D83449"/>
    <w:rsid w:val="00D834A7"/>
    <w:rsid w:val="00D837C7"/>
    <w:rsid w:val="00D83920"/>
    <w:rsid w:val="00D83CC5"/>
    <w:rsid w:val="00D83CF5"/>
    <w:rsid w:val="00D84C1A"/>
    <w:rsid w:val="00D84C28"/>
    <w:rsid w:val="00D84E6A"/>
    <w:rsid w:val="00D85BEE"/>
    <w:rsid w:val="00D85F5F"/>
    <w:rsid w:val="00D860AC"/>
    <w:rsid w:val="00D86172"/>
    <w:rsid w:val="00D86276"/>
    <w:rsid w:val="00D86340"/>
    <w:rsid w:val="00D86436"/>
    <w:rsid w:val="00D86584"/>
    <w:rsid w:val="00D865C8"/>
    <w:rsid w:val="00D8686E"/>
    <w:rsid w:val="00D86A51"/>
    <w:rsid w:val="00D87716"/>
    <w:rsid w:val="00D90420"/>
    <w:rsid w:val="00D9058F"/>
    <w:rsid w:val="00D90D5A"/>
    <w:rsid w:val="00D90DAA"/>
    <w:rsid w:val="00D914A9"/>
    <w:rsid w:val="00D91B53"/>
    <w:rsid w:val="00D91C29"/>
    <w:rsid w:val="00D9224B"/>
    <w:rsid w:val="00D92300"/>
    <w:rsid w:val="00D927E6"/>
    <w:rsid w:val="00D92FCF"/>
    <w:rsid w:val="00D93177"/>
    <w:rsid w:val="00D9321D"/>
    <w:rsid w:val="00D9321E"/>
    <w:rsid w:val="00D934CE"/>
    <w:rsid w:val="00D93A8E"/>
    <w:rsid w:val="00D93B0B"/>
    <w:rsid w:val="00D942C0"/>
    <w:rsid w:val="00D94336"/>
    <w:rsid w:val="00D94803"/>
    <w:rsid w:val="00D94859"/>
    <w:rsid w:val="00D94E35"/>
    <w:rsid w:val="00D95176"/>
    <w:rsid w:val="00D959CF"/>
    <w:rsid w:val="00D95DA6"/>
    <w:rsid w:val="00D95FE3"/>
    <w:rsid w:val="00D96412"/>
    <w:rsid w:val="00D96656"/>
    <w:rsid w:val="00D9683D"/>
    <w:rsid w:val="00D969AC"/>
    <w:rsid w:val="00D96AB2"/>
    <w:rsid w:val="00D96F69"/>
    <w:rsid w:val="00D974D0"/>
    <w:rsid w:val="00D9768E"/>
    <w:rsid w:val="00D97ACA"/>
    <w:rsid w:val="00D97BE2"/>
    <w:rsid w:val="00D97E2D"/>
    <w:rsid w:val="00DA014E"/>
    <w:rsid w:val="00DA0299"/>
    <w:rsid w:val="00DA0740"/>
    <w:rsid w:val="00DA0C8F"/>
    <w:rsid w:val="00DA10C1"/>
    <w:rsid w:val="00DA10ED"/>
    <w:rsid w:val="00DA13C0"/>
    <w:rsid w:val="00DA1A71"/>
    <w:rsid w:val="00DA1BC1"/>
    <w:rsid w:val="00DA1E34"/>
    <w:rsid w:val="00DA1F03"/>
    <w:rsid w:val="00DA2071"/>
    <w:rsid w:val="00DA2137"/>
    <w:rsid w:val="00DA2B3C"/>
    <w:rsid w:val="00DA2E62"/>
    <w:rsid w:val="00DA313B"/>
    <w:rsid w:val="00DA38F2"/>
    <w:rsid w:val="00DA3FD3"/>
    <w:rsid w:val="00DA4098"/>
    <w:rsid w:val="00DA45E7"/>
    <w:rsid w:val="00DA47AA"/>
    <w:rsid w:val="00DA5197"/>
    <w:rsid w:val="00DA57DB"/>
    <w:rsid w:val="00DA5922"/>
    <w:rsid w:val="00DA59DA"/>
    <w:rsid w:val="00DA60B3"/>
    <w:rsid w:val="00DA6383"/>
    <w:rsid w:val="00DA6AEF"/>
    <w:rsid w:val="00DA7673"/>
    <w:rsid w:val="00DA784D"/>
    <w:rsid w:val="00DB000B"/>
    <w:rsid w:val="00DB032B"/>
    <w:rsid w:val="00DB0484"/>
    <w:rsid w:val="00DB09D7"/>
    <w:rsid w:val="00DB0DCE"/>
    <w:rsid w:val="00DB1012"/>
    <w:rsid w:val="00DB10AA"/>
    <w:rsid w:val="00DB116A"/>
    <w:rsid w:val="00DB1267"/>
    <w:rsid w:val="00DB14B8"/>
    <w:rsid w:val="00DB16B7"/>
    <w:rsid w:val="00DB1AC1"/>
    <w:rsid w:val="00DB1C58"/>
    <w:rsid w:val="00DB1FE5"/>
    <w:rsid w:val="00DB1FFB"/>
    <w:rsid w:val="00DB2469"/>
    <w:rsid w:val="00DB2E82"/>
    <w:rsid w:val="00DB3168"/>
    <w:rsid w:val="00DB3579"/>
    <w:rsid w:val="00DB3D03"/>
    <w:rsid w:val="00DB3F2D"/>
    <w:rsid w:val="00DB43EA"/>
    <w:rsid w:val="00DB4658"/>
    <w:rsid w:val="00DB50A0"/>
    <w:rsid w:val="00DB5388"/>
    <w:rsid w:val="00DB5647"/>
    <w:rsid w:val="00DB5733"/>
    <w:rsid w:val="00DB58DE"/>
    <w:rsid w:val="00DB678C"/>
    <w:rsid w:val="00DB7131"/>
    <w:rsid w:val="00DB72C7"/>
    <w:rsid w:val="00DB7506"/>
    <w:rsid w:val="00DB7F5A"/>
    <w:rsid w:val="00DC0302"/>
    <w:rsid w:val="00DC05F8"/>
    <w:rsid w:val="00DC0E3D"/>
    <w:rsid w:val="00DC222D"/>
    <w:rsid w:val="00DC249B"/>
    <w:rsid w:val="00DC254C"/>
    <w:rsid w:val="00DC2672"/>
    <w:rsid w:val="00DC361E"/>
    <w:rsid w:val="00DC3969"/>
    <w:rsid w:val="00DC39B1"/>
    <w:rsid w:val="00DC4304"/>
    <w:rsid w:val="00DC4366"/>
    <w:rsid w:val="00DC43FE"/>
    <w:rsid w:val="00DC4405"/>
    <w:rsid w:val="00DC4603"/>
    <w:rsid w:val="00DC4872"/>
    <w:rsid w:val="00DC49AF"/>
    <w:rsid w:val="00DC4DFC"/>
    <w:rsid w:val="00DC5C92"/>
    <w:rsid w:val="00DC6471"/>
    <w:rsid w:val="00DC65BA"/>
    <w:rsid w:val="00DC69C2"/>
    <w:rsid w:val="00DC6B8B"/>
    <w:rsid w:val="00DC6DD8"/>
    <w:rsid w:val="00DC7371"/>
    <w:rsid w:val="00DC75E2"/>
    <w:rsid w:val="00DC763A"/>
    <w:rsid w:val="00DC7F35"/>
    <w:rsid w:val="00DC7F60"/>
    <w:rsid w:val="00DD0622"/>
    <w:rsid w:val="00DD06C5"/>
    <w:rsid w:val="00DD06DA"/>
    <w:rsid w:val="00DD1E2F"/>
    <w:rsid w:val="00DD1FBB"/>
    <w:rsid w:val="00DD24B1"/>
    <w:rsid w:val="00DD28C4"/>
    <w:rsid w:val="00DD3447"/>
    <w:rsid w:val="00DD37D8"/>
    <w:rsid w:val="00DD3ADB"/>
    <w:rsid w:val="00DD3CCE"/>
    <w:rsid w:val="00DD3DDC"/>
    <w:rsid w:val="00DD40FF"/>
    <w:rsid w:val="00DD480E"/>
    <w:rsid w:val="00DD482C"/>
    <w:rsid w:val="00DD4880"/>
    <w:rsid w:val="00DD53D7"/>
    <w:rsid w:val="00DD59A9"/>
    <w:rsid w:val="00DD5D7D"/>
    <w:rsid w:val="00DD5E21"/>
    <w:rsid w:val="00DD6283"/>
    <w:rsid w:val="00DD64A6"/>
    <w:rsid w:val="00DD66D7"/>
    <w:rsid w:val="00DD6D4D"/>
    <w:rsid w:val="00DD7286"/>
    <w:rsid w:val="00DD7699"/>
    <w:rsid w:val="00DD7855"/>
    <w:rsid w:val="00DD78D2"/>
    <w:rsid w:val="00DD7AF2"/>
    <w:rsid w:val="00DD7FDC"/>
    <w:rsid w:val="00DE0429"/>
    <w:rsid w:val="00DE0474"/>
    <w:rsid w:val="00DE06B8"/>
    <w:rsid w:val="00DE06F5"/>
    <w:rsid w:val="00DE0C47"/>
    <w:rsid w:val="00DE170A"/>
    <w:rsid w:val="00DE1D79"/>
    <w:rsid w:val="00DE1DA7"/>
    <w:rsid w:val="00DE2663"/>
    <w:rsid w:val="00DE2675"/>
    <w:rsid w:val="00DE268D"/>
    <w:rsid w:val="00DE28D6"/>
    <w:rsid w:val="00DE3510"/>
    <w:rsid w:val="00DE367E"/>
    <w:rsid w:val="00DE391D"/>
    <w:rsid w:val="00DE40FF"/>
    <w:rsid w:val="00DE531B"/>
    <w:rsid w:val="00DE5403"/>
    <w:rsid w:val="00DE561B"/>
    <w:rsid w:val="00DE5F81"/>
    <w:rsid w:val="00DE6134"/>
    <w:rsid w:val="00DE630E"/>
    <w:rsid w:val="00DE66ED"/>
    <w:rsid w:val="00DE6ACF"/>
    <w:rsid w:val="00DE71FB"/>
    <w:rsid w:val="00DE76FD"/>
    <w:rsid w:val="00DE7807"/>
    <w:rsid w:val="00DE7D61"/>
    <w:rsid w:val="00DE7E6D"/>
    <w:rsid w:val="00DE7E94"/>
    <w:rsid w:val="00DF0640"/>
    <w:rsid w:val="00DF06CD"/>
    <w:rsid w:val="00DF0BCC"/>
    <w:rsid w:val="00DF1E58"/>
    <w:rsid w:val="00DF2029"/>
    <w:rsid w:val="00DF21AA"/>
    <w:rsid w:val="00DF2CC3"/>
    <w:rsid w:val="00DF303C"/>
    <w:rsid w:val="00DF317D"/>
    <w:rsid w:val="00DF329B"/>
    <w:rsid w:val="00DF3402"/>
    <w:rsid w:val="00DF34E3"/>
    <w:rsid w:val="00DF35D3"/>
    <w:rsid w:val="00DF375C"/>
    <w:rsid w:val="00DF3914"/>
    <w:rsid w:val="00DF4096"/>
    <w:rsid w:val="00DF4643"/>
    <w:rsid w:val="00DF46F8"/>
    <w:rsid w:val="00DF47BC"/>
    <w:rsid w:val="00DF57DA"/>
    <w:rsid w:val="00DF5A82"/>
    <w:rsid w:val="00DF5D3E"/>
    <w:rsid w:val="00DF5E84"/>
    <w:rsid w:val="00DF626A"/>
    <w:rsid w:val="00DF64AB"/>
    <w:rsid w:val="00DF65EE"/>
    <w:rsid w:val="00DF6730"/>
    <w:rsid w:val="00DF6E3A"/>
    <w:rsid w:val="00DF763F"/>
    <w:rsid w:val="00DF7B27"/>
    <w:rsid w:val="00DF7C50"/>
    <w:rsid w:val="00E00014"/>
    <w:rsid w:val="00E004DF"/>
    <w:rsid w:val="00E005BE"/>
    <w:rsid w:val="00E007E1"/>
    <w:rsid w:val="00E0132C"/>
    <w:rsid w:val="00E01B6D"/>
    <w:rsid w:val="00E01C8D"/>
    <w:rsid w:val="00E0215C"/>
    <w:rsid w:val="00E0218B"/>
    <w:rsid w:val="00E029C6"/>
    <w:rsid w:val="00E02CE7"/>
    <w:rsid w:val="00E03259"/>
    <w:rsid w:val="00E0336F"/>
    <w:rsid w:val="00E03D7C"/>
    <w:rsid w:val="00E03E12"/>
    <w:rsid w:val="00E03EC8"/>
    <w:rsid w:val="00E04012"/>
    <w:rsid w:val="00E04A68"/>
    <w:rsid w:val="00E052F9"/>
    <w:rsid w:val="00E057BA"/>
    <w:rsid w:val="00E05CDD"/>
    <w:rsid w:val="00E05CDF"/>
    <w:rsid w:val="00E06075"/>
    <w:rsid w:val="00E06B30"/>
    <w:rsid w:val="00E06FC1"/>
    <w:rsid w:val="00E072D9"/>
    <w:rsid w:val="00E076A5"/>
    <w:rsid w:val="00E078D4"/>
    <w:rsid w:val="00E07A89"/>
    <w:rsid w:val="00E108CE"/>
    <w:rsid w:val="00E109C5"/>
    <w:rsid w:val="00E10A37"/>
    <w:rsid w:val="00E10EDD"/>
    <w:rsid w:val="00E11663"/>
    <w:rsid w:val="00E117F9"/>
    <w:rsid w:val="00E11D8A"/>
    <w:rsid w:val="00E1226A"/>
    <w:rsid w:val="00E12362"/>
    <w:rsid w:val="00E124CB"/>
    <w:rsid w:val="00E12569"/>
    <w:rsid w:val="00E126DD"/>
    <w:rsid w:val="00E12711"/>
    <w:rsid w:val="00E12821"/>
    <w:rsid w:val="00E12CD5"/>
    <w:rsid w:val="00E135FD"/>
    <w:rsid w:val="00E1374B"/>
    <w:rsid w:val="00E137D3"/>
    <w:rsid w:val="00E13DA4"/>
    <w:rsid w:val="00E13E0F"/>
    <w:rsid w:val="00E1449C"/>
    <w:rsid w:val="00E1466B"/>
    <w:rsid w:val="00E1504D"/>
    <w:rsid w:val="00E15158"/>
    <w:rsid w:val="00E15CC7"/>
    <w:rsid w:val="00E15DA2"/>
    <w:rsid w:val="00E15E12"/>
    <w:rsid w:val="00E16009"/>
    <w:rsid w:val="00E1616A"/>
    <w:rsid w:val="00E161BD"/>
    <w:rsid w:val="00E16CF9"/>
    <w:rsid w:val="00E17536"/>
    <w:rsid w:val="00E200BA"/>
    <w:rsid w:val="00E205DB"/>
    <w:rsid w:val="00E2061E"/>
    <w:rsid w:val="00E20908"/>
    <w:rsid w:val="00E210CA"/>
    <w:rsid w:val="00E211DB"/>
    <w:rsid w:val="00E21EAF"/>
    <w:rsid w:val="00E22204"/>
    <w:rsid w:val="00E223BA"/>
    <w:rsid w:val="00E223D2"/>
    <w:rsid w:val="00E2252C"/>
    <w:rsid w:val="00E22D6D"/>
    <w:rsid w:val="00E22DBA"/>
    <w:rsid w:val="00E23414"/>
    <w:rsid w:val="00E23E89"/>
    <w:rsid w:val="00E23F6C"/>
    <w:rsid w:val="00E2431E"/>
    <w:rsid w:val="00E243FD"/>
    <w:rsid w:val="00E24BE0"/>
    <w:rsid w:val="00E24C3D"/>
    <w:rsid w:val="00E24FB0"/>
    <w:rsid w:val="00E25516"/>
    <w:rsid w:val="00E25D3D"/>
    <w:rsid w:val="00E25EB4"/>
    <w:rsid w:val="00E260E9"/>
    <w:rsid w:val="00E26320"/>
    <w:rsid w:val="00E2667A"/>
    <w:rsid w:val="00E26A09"/>
    <w:rsid w:val="00E26A5E"/>
    <w:rsid w:val="00E27186"/>
    <w:rsid w:val="00E27983"/>
    <w:rsid w:val="00E27D58"/>
    <w:rsid w:val="00E3013B"/>
    <w:rsid w:val="00E30469"/>
    <w:rsid w:val="00E30579"/>
    <w:rsid w:val="00E30E2F"/>
    <w:rsid w:val="00E310CF"/>
    <w:rsid w:val="00E31AB9"/>
    <w:rsid w:val="00E3264E"/>
    <w:rsid w:val="00E32BB7"/>
    <w:rsid w:val="00E336EC"/>
    <w:rsid w:val="00E33A7A"/>
    <w:rsid w:val="00E344FE"/>
    <w:rsid w:val="00E34DC2"/>
    <w:rsid w:val="00E35415"/>
    <w:rsid w:val="00E35581"/>
    <w:rsid w:val="00E36117"/>
    <w:rsid w:val="00E36169"/>
    <w:rsid w:val="00E36BEC"/>
    <w:rsid w:val="00E36C52"/>
    <w:rsid w:val="00E379C4"/>
    <w:rsid w:val="00E403FC"/>
    <w:rsid w:val="00E4165C"/>
    <w:rsid w:val="00E41F8E"/>
    <w:rsid w:val="00E4216B"/>
    <w:rsid w:val="00E42307"/>
    <w:rsid w:val="00E4232C"/>
    <w:rsid w:val="00E4272A"/>
    <w:rsid w:val="00E428A3"/>
    <w:rsid w:val="00E429EF"/>
    <w:rsid w:val="00E42C33"/>
    <w:rsid w:val="00E43253"/>
    <w:rsid w:val="00E4333A"/>
    <w:rsid w:val="00E43FEE"/>
    <w:rsid w:val="00E441BF"/>
    <w:rsid w:val="00E4495F"/>
    <w:rsid w:val="00E44969"/>
    <w:rsid w:val="00E44E2A"/>
    <w:rsid w:val="00E4579D"/>
    <w:rsid w:val="00E458AD"/>
    <w:rsid w:val="00E45C0A"/>
    <w:rsid w:val="00E46680"/>
    <w:rsid w:val="00E46FC9"/>
    <w:rsid w:val="00E470E5"/>
    <w:rsid w:val="00E471EC"/>
    <w:rsid w:val="00E47226"/>
    <w:rsid w:val="00E47325"/>
    <w:rsid w:val="00E47471"/>
    <w:rsid w:val="00E47DB2"/>
    <w:rsid w:val="00E5013F"/>
    <w:rsid w:val="00E50886"/>
    <w:rsid w:val="00E5106E"/>
    <w:rsid w:val="00E511F8"/>
    <w:rsid w:val="00E51BED"/>
    <w:rsid w:val="00E52448"/>
    <w:rsid w:val="00E52C6E"/>
    <w:rsid w:val="00E52CB3"/>
    <w:rsid w:val="00E5345A"/>
    <w:rsid w:val="00E53E73"/>
    <w:rsid w:val="00E54230"/>
    <w:rsid w:val="00E544C6"/>
    <w:rsid w:val="00E54572"/>
    <w:rsid w:val="00E54B8C"/>
    <w:rsid w:val="00E555D9"/>
    <w:rsid w:val="00E55D29"/>
    <w:rsid w:val="00E56050"/>
    <w:rsid w:val="00E56893"/>
    <w:rsid w:val="00E56EB3"/>
    <w:rsid w:val="00E57FEC"/>
    <w:rsid w:val="00E60065"/>
    <w:rsid w:val="00E60558"/>
    <w:rsid w:val="00E6096B"/>
    <w:rsid w:val="00E60A45"/>
    <w:rsid w:val="00E60DDA"/>
    <w:rsid w:val="00E61702"/>
    <w:rsid w:val="00E61728"/>
    <w:rsid w:val="00E61F73"/>
    <w:rsid w:val="00E6257F"/>
    <w:rsid w:val="00E62AC5"/>
    <w:rsid w:val="00E62B2C"/>
    <w:rsid w:val="00E63ACA"/>
    <w:rsid w:val="00E63E75"/>
    <w:rsid w:val="00E640E9"/>
    <w:rsid w:val="00E64B8C"/>
    <w:rsid w:val="00E64E61"/>
    <w:rsid w:val="00E64FAE"/>
    <w:rsid w:val="00E65378"/>
    <w:rsid w:val="00E653D7"/>
    <w:rsid w:val="00E65A1A"/>
    <w:rsid w:val="00E65F6D"/>
    <w:rsid w:val="00E66A68"/>
    <w:rsid w:val="00E66D14"/>
    <w:rsid w:val="00E67146"/>
    <w:rsid w:val="00E675A2"/>
    <w:rsid w:val="00E676F2"/>
    <w:rsid w:val="00E67773"/>
    <w:rsid w:val="00E677E4"/>
    <w:rsid w:val="00E67932"/>
    <w:rsid w:val="00E67CB2"/>
    <w:rsid w:val="00E70474"/>
    <w:rsid w:val="00E7054D"/>
    <w:rsid w:val="00E70778"/>
    <w:rsid w:val="00E70FCB"/>
    <w:rsid w:val="00E71424"/>
    <w:rsid w:val="00E71C74"/>
    <w:rsid w:val="00E71D29"/>
    <w:rsid w:val="00E728C2"/>
    <w:rsid w:val="00E7338C"/>
    <w:rsid w:val="00E73F29"/>
    <w:rsid w:val="00E7402B"/>
    <w:rsid w:val="00E74186"/>
    <w:rsid w:val="00E74379"/>
    <w:rsid w:val="00E7477B"/>
    <w:rsid w:val="00E752E8"/>
    <w:rsid w:val="00E7535C"/>
    <w:rsid w:val="00E753ED"/>
    <w:rsid w:val="00E757E6"/>
    <w:rsid w:val="00E75F4A"/>
    <w:rsid w:val="00E76208"/>
    <w:rsid w:val="00E7632A"/>
    <w:rsid w:val="00E7653F"/>
    <w:rsid w:val="00E76796"/>
    <w:rsid w:val="00E76BF7"/>
    <w:rsid w:val="00E76D41"/>
    <w:rsid w:val="00E77078"/>
    <w:rsid w:val="00E77661"/>
    <w:rsid w:val="00E77B1D"/>
    <w:rsid w:val="00E77BF5"/>
    <w:rsid w:val="00E8005E"/>
    <w:rsid w:val="00E805C3"/>
    <w:rsid w:val="00E80C8A"/>
    <w:rsid w:val="00E817CF"/>
    <w:rsid w:val="00E81C94"/>
    <w:rsid w:val="00E820E3"/>
    <w:rsid w:val="00E828D7"/>
    <w:rsid w:val="00E830E3"/>
    <w:rsid w:val="00E83880"/>
    <w:rsid w:val="00E83DF7"/>
    <w:rsid w:val="00E84171"/>
    <w:rsid w:val="00E843FE"/>
    <w:rsid w:val="00E84415"/>
    <w:rsid w:val="00E844FE"/>
    <w:rsid w:val="00E84B95"/>
    <w:rsid w:val="00E85273"/>
    <w:rsid w:val="00E856AE"/>
    <w:rsid w:val="00E8584B"/>
    <w:rsid w:val="00E85A99"/>
    <w:rsid w:val="00E85E40"/>
    <w:rsid w:val="00E85EDC"/>
    <w:rsid w:val="00E85F39"/>
    <w:rsid w:val="00E86C75"/>
    <w:rsid w:val="00E87046"/>
    <w:rsid w:val="00E87271"/>
    <w:rsid w:val="00E876B9"/>
    <w:rsid w:val="00E9028A"/>
    <w:rsid w:val="00E905D0"/>
    <w:rsid w:val="00E9085F"/>
    <w:rsid w:val="00E90BCF"/>
    <w:rsid w:val="00E90CD5"/>
    <w:rsid w:val="00E91752"/>
    <w:rsid w:val="00E919B4"/>
    <w:rsid w:val="00E924B2"/>
    <w:rsid w:val="00E9287A"/>
    <w:rsid w:val="00E929D9"/>
    <w:rsid w:val="00E93A4E"/>
    <w:rsid w:val="00E93E15"/>
    <w:rsid w:val="00E93E9C"/>
    <w:rsid w:val="00E93F0D"/>
    <w:rsid w:val="00E9406E"/>
    <w:rsid w:val="00E944D3"/>
    <w:rsid w:val="00E94671"/>
    <w:rsid w:val="00E94714"/>
    <w:rsid w:val="00E94AE2"/>
    <w:rsid w:val="00E94CF4"/>
    <w:rsid w:val="00E94E51"/>
    <w:rsid w:val="00E94F02"/>
    <w:rsid w:val="00E94F29"/>
    <w:rsid w:val="00E95501"/>
    <w:rsid w:val="00E95A0F"/>
    <w:rsid w:val="00E95B13"/>
    <w:rsid w:val="00E95E6A"/>
    <w:rsid w:val="00E961EB"/>
    <w:rsid w:val="00E962FE"/>
    <w:rsid w:val="00E969BA"/>
    <w:rsid w:val="00E96BEB"/>
    <w:rsid w:val="00E9701C"/>
    <w:rsid w:val="00E975C0"/>
    <w:rsid w:val="00EA04C9"/>
    <w:rsid w:val="00EA075F"/>
    <w:rsid w:val="00EA0B43"/>
    <w:rsid w:val="00EA0FA7"/>
    <w:rsid w:val="00EA12A3"/>
    <w:rsid w:val="00EA1387"/>
    <w:rsid w:val="00EA13B3"/>
    <w:rsid w:val="00EA19F3"/>
    <w:rsid w:val="00EA1E2F"/>
    <w:rsid w:val="00EA1F3C"/>
    <w:rsid w:val="00EA1F4C"/>
    <w:rsid w:val="00EA2515"/>
    <w:rsid w:val="00EA29F8"/>
    <w:rsid w:val="00EA30B4"/>
    <w:rsid w:val="00EA30EC"/>
    <w:rsid w:val="00EA320D"/>
    <w:rsid w:val="00EA34C8"/>
    <w:rsid w:val="00EA34CD"/>
    <w:rsid w:val="00EA3B02"/>
    <w:rsid w:val="00EA4AB8"/>
    <w:rsid w:val="00EA4ABA"/>
    <w:rsid w:val="00EA4AE4"/>
    <w:rsid w:val="00EA4DC9"/>
    <w:rsid w:val="00EA51CB"/>
    <w:rsid w:val="00EA533E"/>
    <w:rsid w:val="00EA55DE"/>
    <w:rsid w:val="00EA580B"/>
    <w:rsid w:val="00EA5BE2"/>
    <w:rsid w:val="00EA6399"/>
    <w:rsid w:val="00EA6D00"/>
    <w:rsid w:val="00EA71F7"/>
    <w:rsid w:val="00EA7C44"/>
    <w:rsid w:val="00EB04C2"/>
    <w:rsid w:val="00EB060C"/>
    <w:rsid w:val="00EB0CE5"/>
    <w:rsid w:val="00EB1E12"/>
    <w:rsid w:val="00EB251E"/>
    <w:rsid w:val="00EB2C8F"/>
    <w:rsid w:val="00EB2C90"/>
    <w:rsid w:val="00EB330E"/>
    <w:rsid w:val="00EB337F"/>
    <w:rsid w:val="00EB4A22"/>
    <w:rsid w:val="00EB4C1E"/>
    <w:rsid w:val="00EB5519"/>
    <w:rsid w:val="00EB5A7E"/>
    <w:rsid w:val="00EB5D12"/>
    <w:rsid w:val="00EB5E12"/>
    <w:rsid w:val="00EB5E95"/>
    <w:rsid w:val="00EB6E69"/>
    <w:rsid w:val="00EB722E"/>
    <w:rsid w:val="00EB738F"/>
    <w:rsid w:val="00EB74E6"/>
    <w:rsid w:val="00EB76B5"/>
    <w:rsid w:val="00EB7B2A"/>
    <w:rsid w:val="00EC001F"/>
    <w:rsid w:val="00EC062F"/>
    <w:rsid w:val="00EC08F6"/>
    <w:rsid w:val="00EC0C09"/>
    <w:rsid w:val="00EC0C90"/>
    <w:rsid w:val="00EC11EB"/>
    <w:rsid w:val="00EC16CE"/>
    <w:rsid w:val="00EC1EC5"/>
    <w:rsid w:val="00EC258D"/>
    <w:rsid w:val="00EC26F4"/>
    <w:rsid w:val="00EC280D"/>
    <w:rsid w:val="00EC281D"/>
    <w:rsid w:val="00EC2B01"/>
    <w:rsid w:val="00EC2BC2"/>
    <w:rsid w:val="00EC2FF1"/>
    <w:rsid w:val="00EC31D8"/>
    <w:rsid w:val="00EC4669"/>
    <w:rsid w:val="00EC4B05"/>
    <w:rsid w:val="00EC4B7E"/>
    <w:rsid w:val="00EC4C6D"/>
    <w:rsid w:val="00EC5662"/>
    <w:rsid w:val="00EC58DC"/>
    <w:rsid w:val="00EC6F9D"/>
    <w:rsid w:val="00EC7681"/>
    <w:rsid w:val="00EC7894"/>
    <w:rsid w:val="00ED01C1"/>
    <w:rsid w:val="00ED0872"/>
    <w:rsid w:val="00ED0DF8"/>
    <w:rsid w:val="00ED14A9"/>
    <w:rsid w:val="00ED176F"/>
    <w:rsid w:val="00ED18F6"/>
    <w:rsid w:val="00ED1949"/>
    <w:rsid w:val="00ED1B1D"/>
    <w:rsid w:val="00ED1BA6"/>
    <w:rsid w:val="00ED1CBB"/>
    <w:rsid w:val="00ED1D5D"/>
    <w:rsid w:val="00ED27C4"/>
    <w:rsid w:val="00ED3577"/>
    <w:rsid w:val="00ED35DD"/>
    <w:rsid w:val="00ED39AD"/>
    <w:rsid w:val="00ED418F"/>
    <w:rsid w:val="00ED476B"/>
    <w:rsid w:val="00ED4BD3"/>
    <w:rsid w:val="00ED4D14"/>
    <w:rsid w:val="00ED5503"/>
    <w:rsid w:val="00ED56D8"/>
    <w:rsid w:val="00ED5CAD"/>
    <w:rsid w:val="00ED6187"/>
    <w:rsid w:val="00ED661F"/>
    <w:rsid w:val="00ED685A"/>
    <w:rsid w:val="00ED68CE"/>
    <w:rsid w:val="00ED7B61"/>
    <w:rsid w:val="00EE00DC"/>
    <w:rsid w:val="00EE0693"/>
    <w:rsid w:val="00EE28D4"/>
    <w:rsid w:val="00EE2A17"/>
    <w:rsid w:val="00EE2F65"/>
    <w:rsid w:val="00EE32D7"/>
    <w:rsid w:val="00EE3987"/>
    <w:rsid w:val="00EE3B75"/>
    <w:rsid w:val="00EE3E1A"/>
    <w:rsid w:val="00EE3EEE"/>
    <w:rsid w:val="00EE3F99"/>
    <w:rsid w:val="00EE438E"/>
    <w:rsid w:val="00EE45AC"/>
    <w:rsid w:val="00EE45F4"/>
    <w:rsid w:val="00EE4D8A"/>
    <w:rsid w:val="00EE562C"/>
    <w:rsid w:val="00EE56A6"/>
    <w:rsid w:val="00EE5AAC"/>
    <w:rsid w:val="00EE5C4A"/>
    <w:rsid w:val="00EE5CCE"/>
    <w:rsid w:val="00EE5D48"/>
    <w:rsid w:val="00EE6330"/>
    <w:rsid w:val="00EE639D"/>
    <w:rsid w:val="00EE6E6A"/>
    <w:rsid w:val="00EE7691"/>
    <w:rsid w:val="00EE7713"/>
    <w:rsid w:val="00EE7920"/>
    <w:rsid w:val="00EE7CE3"/>
    <w:rsid w:val="00EF08D6"/>
    <w:rsid w:val="00EF0E56"/>
    <w:rsid w:val="00EF10E4"/>
    <w:rsid w:val="00EF1100"/>
    <w:rsid w:val="00EF15FA"/>
    <w:rsid w:val="00EF16F2"/>
    <w:rsid w:val="00EF17B1"/>
    <w:rsid w:val="00EF1B81"/>
    <w:rsid w:val="00EF1FE5"/>
    <w:rsid w:val="00EF2067"/>
    <w:rsid w:val="00EF2099"/>
    <w:rsid w:val="00EF2119"/>
    <w:rsid w:val="00EF2771"/>
    <w:rsid w:val="00EF2899"/>
    <w:rsid w:val="00EF2902"/>
    <w:rsid w:val="00EF2A81"/>
    <w:rsid w:val="00EF2C75"/>
    <w:rsid w:val="00EF2F5C"/>
    <w:rsid w:val="00EF3077"/>
    <w:rsid w:val="00EF3484"/>
    <w:rsid w:val="00EF3A01"/>
    <w:rsid w:val="00EF4025"/>
    <w:rsid w:val="00EF4BC4"/>
    <w:rsid w:val="00EF4D52"/>
    <w:rsid w:val="00EF51D2"/>
    <w:rsid w:val="00EF5582"/>
    <w:rsid w:val="00EF55F5"/>
    <w:rsid w:val="00EF56A8"/>
    <w:rsid w:val="00EF57DC"/>
    <w:rsid w:val="00EF5B19"/>
    <w:rsid w:val="00EF5E99"/>
    <w:rsid w:val="00EF5F1F"/>
    <w:rsid w:val="00EF5FB2"/>
    <w:rsid w:val="00EF60E6"/>
    <w:rsid w:val="00EF74D6"/>
    <w:rsid w:val="00EF7792"/>
    <w:rsid w:val="00EF79BD"/>
    <w:rsid w:val="00EF7ADC"/>
    <w:rsid w:val="00F00646"/>
    <w:rsid w:val="00F00CC7"/>
    <w:rsid w:val="00F019A3"/>
    <w:rsid w:val="00F02356"/>
    <w:rsid w:val="00F02409"/>
    <w:rsid w:val="00F024CD"/>
    <w:rsid w:val="00F02986"/>
    <w:rsid w:val="00F02BA6"/>
    <w:rsid w:val="00F03075"/>
    <w:rsid w:val="00F03546"/>
    <w:rsid w:val="00F038A0"/>
    <w:rsid w:val="00F03A11"/>
    <w:rsid w:val="00F03FEB"/>
    <w:rsid w:val="00F040ED"/>
    <w:rsid w:val="00F044B5"/>
    <w:rsid w:val="00F04771"/>
    <w:rsid w:val="00F0503B"/>
    <w:rsid w:val="00F05C45"/>
    <w:rsid w:val="00F05FBD"/>
    <w:rsid w:val="00F06178"/>
    <w:rsid w:val="00F0640D"/>
    <w:rsid w:val="00F0645B"/>
    <w:rsid w:val="00F0686E"/>
    <w:rsid w:val="00F06E81"/>
    <w:rsid w:val="00F06E9D"/>
    <w:rsid w:val="00F07B7D"/>
    <w:rsid w:val="00F10131"/>
    <w:rsid w:val="00F101AE"/>
    <w:rsid w:val="00F1034D"/>
    <w:rsid w:val="00F10B94"/>
    <w:rsid w:val="00F10C18"/>
    <w:rsid w:val="00F10C7B"/>
    <w:rsid w:val="00F10E88"/>
    <w:rsid w:val="00F1124E"/>
    <w:rsid w:val="00F114A2"/>
    <w:rsid w:val="00F11D8C"/>
    <w:rsid w:val="00F1220D"/>
    <w:rsid w:val="00F12381"/>
    <w:rsid w:val="00F12422"/>
    <w:rsid w:val="00F12686"/>
    <w:rsid w:val="00F1271E"/>
    <w:rsid w:val="00F12AA8"/>
    <w:rsid w:val="00F12BBE"/>
    <w:rsid w:val="00F1352C"/>
    <w:rsid w:val="00F13774"/>
    <w:rsid w:val="00F14906"/>
    <w:rsid w:val="00F15504"/>
    <w:rsid w:val="00F15A94"/>
    <w:rsid w:val="00F15EF1"/>
    <w:rsid w:val="00F1615A"/>
    <w:rsid w:val="00F17215"/>
    <w:rsid w:val="00F175AC"/>
    <w:rsid w:val="00F17F9F"/>
    <w:rsid w:val="00F201A1"/>
    <w:rsid w:val="00F20205"/>
    <w:rsid w:val="00F20A03"/>
    <w:rsid w:val="00F20DA3"/>
    <w:rsid w:val="00F213FF"/>
    <w:rsid w:val="00F216A9"/>
    <w:rsid w:val="00F21D0C"/>
    <w:rsid w:val="00F22364"/>
    <w:rsid w:val="00F22700"/>
    <w:rsid w:val="00F22712"/>
    <w:rsid w:val="00F227CF"/>
    <w:rsid w:val="00F228FA"/>
    <w:rsid w:val="00F240A6"/>
    <w:rsid w:val="00F24252"/>
    <w:rsid w:val="00F24672"/>
    <w:rsid w:val="00F24A9A"/>
    <w:rsid w:val="00F24C95"/>
    <w:rsid w:val="00F25B69"/>
    <w:rsid w:val="00F25F62"/>
    <w:rsid w:val="00F2608F"/>
    <w:rsid w:val="00F2680D"/>
    <w:rsid w:val="00F268E7"/>
    <w:rsid w:val="00F26DBA"/>
    <w:rsid w:val="00F27037"/>
    <w:rsid w:val="00F27398"/>
    <w:rsid w:val="00F27451"/>
    <w:rsid w:val="00F278AD"/>
    <w:rsid w:val="00F279FE"/>
    <w:rsid w:val="00F27CAD"/>
    <w:rsid w:val="00F304C3"/>
    <w:rsid w:val="00F30B62"/>
    <w:rsid w:val="00F314A9"/>
    <w:rsid w:val="00F31534"/>
    <w:rsid w:val="00F31856"/>
    <w:rsid w:val="00F31B06"/>
    <w:rsid w:val="00F31D8F"/>
    <w:rsid w:val="00F32415"/>
    <w:rsid w:val="00F3275B"/>
    <w:rsid w:val="00F32C67"/>
    <w:rsid w:val="00F32CC6"/>
    <w:rsid w:val="00F32CD9"/>
    <w:rsid w:val="00F333CE"/>
    <w:rsid w:val="00F3354A"/>
    <w:rsid w:val="00F34AB8"/>
    <w:rsid w:val="00F34C4E"/>
    <w:rsid w:val="00F35194"/>
    <w:rsid w:val="00F356AD"/>
    <w:rsid w:val="00F35949"/>
    <w:rsid w:val="00F35A19"/>
    <w:rsid w:val="00F35FA9"/>
    <w:rsid w:val="00F37567"/>
    <w:rsid w:val="00F3777C"/>
    <w:rsid w:val="00F37BD3"/>
    <w:rsid w:val="00F407AB"/>
    <w:rsid w:val="00F40E1A"/>
    <w:rsid w:val="00F40E2F"/>
    <w:rsid w:val="00F41FBE"/>
    <w:rsid w:val="00F42134"/>
    <w:rsid w:val="00F42A71"/>
    <w:rsid w:val="00F42A79"/>
    <w:rsid w:val="00F42E74"/>
    <w:rsid w:val="00F43664"/>
    <w:rsid w:val="00F437DF"/>
    <w:rsid w:val="00F43A03"/>
    <w:rsid w:val="00F43E39"/>
    <w:rsid w:val="00F43EC0"/>
    <w:rsid w:val="00F44059"/>
    <w:rsid w:val="00F4444C"/>
    <w:rsid w:val="00F44748"/>
    <w:rsid w:val="00F44812"/>
    <w:rsid w:val="00F44903"/>
    <w:rsid w:val="00F44D80"/>
    <w:rsid w:val="00F4530A"/>
    <w:rsid w:val="00F45344"/>
    <w:rsid w:val="00F463DB"/>
    <w:rsid w:val="00F46946"/>
    <w:rsid w:val="00F46B11"/>
    <w:rsid w:val="00F4715B"/>
    <w:rsid w:val="00F47EAC"/>
    <w:rsid w:val="00F50247"/>
    <w:rsid w:val="00F502F3"/>
    <w:rsid w:val="00F503BF"/>
    <w:rsid w:val="00F50EF6"/>
    <w:rsid w:val="00F5112D"/>
    <w:rsid w:val="00F51293"/>
    <w:rsid w:val="00F51452"/>
    <w:rsid w:val="00F52A79"/>
    <w:rsid w:val="00F52C99"/>
    <w:rsid w:val="00F52CBF"/>
    <w:rsid w:val="00F52CFD"/>
    <w:rsid w:val="00F5318A"/>
    <w:rsid w:val="00F53660"/>
    <w:rsid w:val="00F53730"/>
    <w:rsid w:val="00F53B77"/>
    <w:rsid w:val="00F53D2C"/>
    <w:rsid w:val="00F541F3"/>
    <w:rsid w:val="00F542B8"/>
    <w:rsid w:val="00F54EC3"/>
    <w:rsid w:val="00F56496"/>
    <w:rsid w:val="00F56AA7"/>
    <w:rsid w:val="00F56AD4"/>
    <w:rsid w:val="00F5748F"/>
    <w:rsid w:val="00F60022"/>
    <w:rsid w:val="00F60043"/>
    <w:rsid w:val="00F6057B"/>
    <w:rsid w:val="00F60A3A"/>
    <w:rsid w:val="00F60BE9"/>
    <w:rsid w:val="00F60C22"/>
    <w:rsid w:val="00F611A4"/>
    <w:rsid w:val="00F611DF"/>
    <w:rsid w:val="00F6128F"/>
    <w:rsid w:val="00F61BA2"/>
    <w:rsid w:val="00F61E60"/>
    <w:rsid w:val="00F61FE5"/>
    <w:rsid w:val="00F624E4"/>
    <w:rsid w:val="00F62BED"/>
    <w:rsid w:val="00F63000"/>
    <w:rsid w:val="00F6335E"/>
    <w:rsid w:val="00F639F8"/>
    <w:rsid w:val="00F64358"/>
    <w:rsid w:val="00F64ADE"/>
    <w:rsid w:val="00F65564"/>
    <w:rsid w:val="00F65B0F"/>
    <w:rsid w:val="00F6641C"/>
    <w:rsid w:val="00F6693C"/>
    <w:rsid w:val="00F66AAC"/>
    <w:rsid w:val="00F67118"/>
    <w:rsid w:val="00F7016D"/>
    <w:rsid w:val="00F706A7"/>
    <w:rsid w:val="00F70D37"/>
    <w:rsid w:val="00F70F96"/>
    <w:rsid w:val="00F71C4E"/>
    <w:rsid w:val="00F71D9B"/>
    <w:rsid w:val="00F71F0D"/>
    <w:rsid w:val="00F72718"/>
    <w:rsid w:val="00F72757"/>
    <w:rsid w:val="00F727C3"/>
    <w:rsid w:val="00F72A53"/>
    <w:rsid w:val="00F730E4"/>
    <w:rsid w:val="00F73400"/>
    <w:rsid w:val="00F73C3F"/>
    <w:rsid w:val="00F73D0A"/>
    <w:rsid w:val="00F7406E"/>
    <w:rsid w:val="00F742B4"/>
    <w:rsid w:val="00F750D4"/>
    <w:rsid w:val="00F75519"/>
    <w:rsid w:val="00F75FB3"/>
    <w:rsid w:val="00F766AA"/>
    <w:rsid w:val="00F76888"/>
    <w:rsid w:val="00F76C71"/>
    <w:rsid w:val="00F76D36"/>
    <w:rsid w:val="00F77398"/>
    <w:rsid w:val="00F777E2"/>
    <w:rsid w:val="00F77CD2"/>
    <w:rsid w:val="00F801A2"/>
    <w:rsid w:val="00F802BC"/>
    <w:rsid w:val="00F806FA"/>
    <w:rsid w:val="00F80979"/>
    <w:rsid w:val="00F809E6"/>
    <w:rsid w:val="00F80BFA"/>
    <w:rsid w:val="00F80ED3"/>
    <w:rsid w:val="00F81137"/>
    <w:rsid w:val="00F815D0"/>
    <w:rsid w:val="00F829C4"/>
    <w:rsid w:val="00F82B31"/>
    <w:rsid w:val="00F830C0"/>
    <w:rsid w:val="00F83FC9"/>
    <w:rsid w:val="00F841EE"/>
    <w:rsid w:val="00F844C1"/>
    <w:rsid w:val="00F845C1"/>
    <w:rsid w:val="00F8463F"/>
    <w:rsid w:val="00F8467E"/>
    <w:rsid w:val="00F85188"/>
    <w:rsid w:val="00F8543D"/>
    <w:rsid w:val="00F858C4"/>
    <w:rsid w:val="00F85946"/>
    <w:rsid w:val="00F85BEB"/>
    <w:rsid w:val="00F8676E"/>
    <w:rsid w:val="00F87619"/>
    <w:rsid w:val="00F87CB1"/>
    <w:rsid w:val="00F9011E"/>
    <w:rsid w:val="00F901EB"/>
    <w:rsid w:val="00F90551"/>
    <w:rsid w:val="00F919A4"/>
    <w:rsid w:val="00F926EB"/>
    <w:rsid w:val="00F92941"/>
    <w:rsid w:val="00F92F1F"/>
    <w:rsid w:val="00F9334F"/>
    <w:rsid w:val="00F93367"/>
    <w:rsid w:val="00F935DC"/>
    <w:rsid w:val="00F93C11"/>
    <w:rsid w:val="00F942E7"/>
    <w:rsid w:val="00F94518"/>
    <w:rsid w:val="00F94B0B"/>
    <w:rsid w:val="00F94CF5"/>
    <w:rsid w:val="00F95856"/>
    <w:rsid w:val="00F95916"/>
    <w:rsid w:val="00F9605D"/>
    <w:rsid w:val="00F961FD"/>
    <w:rsid w:val="00F96416"/>
    <w:rsid w:val="00F97012"/>
    <w:rsid w:val="00F9743C"/>
    <w:rsid w:val="00F97C3E"/>
    <w:rsid w:val="00F97FE7"/>
    <w:rsid w:val="00FA0353"/>
    <w:rsid w:val="00FA0650"/>
    <w:rsid w:val="00FA06DF"/>
    <w:rsid w:val="00FA096C"/>
    <w:rsid w:val="00FA0BC3"/>
    <w:rsid w:val="00FA0E4A"/>
    <w:rsid w:val="00FA0F3E"/>
    <w:rsid w:val="00FA10E6"/>
    <w:rsid w:val="00FA20DB"/>
    <w:rsid w:val="00FA23A9"/>
    <w:rsid w:val="00FA261A"/>
    <w:rsid w:val="00FA2965"/>
    <w:rsid w:val="00FA2F55"/>
    <w:rsid w:val="00FA3338"/>
    <w:rsid w:val="00FA3B5C"/>
    <w:rsid w:val="00FA3F2D"/>
    <w:rsid w:val="00FA44C5"/>
    <w:rsid w:val="00FA4547"/>
    <w:rsid w:val="00FA4549"/>
    <w:rsid w:val="00FA5E3E"/>
    <w:rsid w:val="00FA6183"/>
    <w:rsid w:val="00FA62B7"/>
    <w:rsid w:val="00FA6810"/>
    <w:rsid w:val="00FA7126"/>
    <w:rsid w:val="00FA7692"/>
    <w:rsid w:val="00FA776C"/>
    <w:rsid w:val="00FA77AA"/>
    <w:rsid w:val="00FA7AA4"/>
    <w:rsid w:val="00FA7B91"/>
    <w:rsid w:val="00FA7CAC"/>
    <w:rsid w:val="00FA7FDB"/>
    <w:rsid w:val="00FB009C"/>
    <w:rsid w:val="00FB06F5"/>
    <w:rsid w:val="00FB072A"/>
    <w:rsid w:val="00FB082C"/>
    <w:rsid w:val="00FB087E"/>
    <w:rsid w:val="00FB10C6"/>
    <w:rsid w:val="00FB12BC"/>
    <w:rsid w:val="00FB1738"/>
    <w:rsid w:val="00FB1E76"/>
    <w:rsid w:val="00FB2040"/>
    <w:rsid w:val="00FB24E0"/>
    <w:rsid w:val="00FB29CA"/>
    <w:rsid w:val="00FB2E4A"/>
    <w:rsid w:val="00FB2FB6"/>
    <w:rsid w:val="00FB3173"/>
    <w:rsid w:val="00FB31E7"/>
    <w:rsid w:val="00FB32E7"/>
    <w:rsid w:val="00FB3B72"/>
    <w:rsid w:val="00FB3C7E"/>
    <w:rsid w:val="00FB3CA1"/>
    <w:rsid w:val="00FB431A"/>
    <w:rsid w:val="00FB4709"/>
    <w:rsid w:val="00FB4BE2"/>
    <w:rsid w:val="00FB4C82"/>
    <w:rsid w:val="00FB587B"/>
    <w:rsid w:val="00FB5F0B"/>
    <w:rsid w:val="00FB60B0"/>
    <w:rsid w:val="00FB68E3"/>
    <w:rsid w:val="00FB745D"/>
    <w:rsid w:val="00FB77AF"/>
    <w:rsid w:val="00FB77CB"/>
    <w:rsid w:val="00FB78DC"/>
    <w:rsid w:val="00FB7B9D"/>
    <w:rsid w:val="00FB7F4C"/>
    <w:rsid w:val="00FC00F3"/>
    <w:rsid w:val="00FC05F8"/>
    <w:rsid w:val="00FC07AF"/>
    <w:rsid w:val="00FC0F6B"/>
    <w:rsid w:val="00FC1782"/>
    <w:rsid w:val="00FC1958"/>
    <w:rsid w:val="00FC23C8"/>
    <w:rsid w:val="00FC2A79"/>
    <w:rsid w:val="00FC2CC3"/>
    <w:rsid w:val="00FC2E1B"/>
    <w:rsid w:val="00FC2F83"/>
    <w:rsid w:val="00FC35E2"/>
    <w:rsid w:val="00FC3B43"/>
    <w:rsid w:val="00FC424F"/>
    <w:rsid w:val="00FC4300"/>
    <w:rsid w:val="00FC5322"/>
    <w:rsid w:val="00FC6132"/>
    <w:rsid w:val="00FC69B4"/>
    <w:rsid w:val="00FC69BC"/>
    <w:rsid w:val="00FC6B4C"/>
    <w:rsid w:val="00FC7078"/>
    <w:rsid w:val="00FC7828"/>
    <w:rsid w:val="00FC7997"/>
    <w:rsid w:val="00FC7CA7"/>
    <w:rsid w:val="00FD0000"/>
    <w:rsid w:val="00FD0251"/>
    <w:rsid w:val="00FD04E4"/>
    <w:rsid w:val="00FD0D48"/>
    <w:rsid w:val="00FD0EA2"/>
    <w:rsid w:val="00FD0F60"/>
    <w:rsid w:val="00FD1168"/>
    <w:rsid w:val="00FD1364"/>
    <w:rsid w:val="00FD17D3"/>
    <w:rsid w:val="00FD1FA5"/>
    <w:rsid w:val="00FD203D"/>
    <w:rsid w:val="00FD228B"/>
    <w:rsid w:val="00FD2A75"/>
    <w:rsid w:val="00FD2C55"/>
    <w:rsid w:val="00FD2CEF"/>
    <w:rsid w:val="00FD2F5E"/>
    <w:rsid w:val="00FD39B8"/>
    <w:rsid w:val="00FD4021"/>
    <w:rsid w:val="00FD44F4"/>
    <w:rsid w:val="00FD4799"/>
    <w:rsid w:val="00FD5639"/>
    <w:rsid w:val="00FD5980"/>
    <w:rsid w:val="00FD5B49"/>
    <w:rsid w:val="00FD68DF"/>
    <w:rsid w:val="00FD695A"/>
    <w:rsid w:val="00FD6A71"/>
    <w:rsid w:val="00FD6AB5"/>
    <w:rsid w:val="00FD6F0A"/>
    <w:rsid w:val="00FD7459"/>
    <w:rsid w:val="00FD7AFF"/>
    <w:rsid w:val="00FD7C46"/>
    <w:rsid w:val="00FD7DFC"/>
    <w:rsid w:val="00FE013F"/>
    <w:rsid w:val="00FE0836"/>
    <w:rsid w:val="00FE09CF"/>
    <w:rsid w:val="00FE0F55"/>
    <w:rsid w:val="00FE10B2"/>
    <w:rsid w:val="00FE15C1"/>
    <w:rsid w:val="00FE16E5"/>
    <w:rsid w:val="00FE1CAC"/>
    <w:rsid w:val="00FE1E89"/>
    <w:rsid w:val="00FE2152"/>
    <w:rsid w:val="00FE23BE"/>
    <w:rsid w:val="00FE24E0"/>
    <w:rsid w:val="00FE2B12"/>
    <w:rsid w:val="00FE308B"/>
    <w:rsid w:val="00FE319C"/>
    <w:rsid w:val="00FE3294"/>
    <w:rsid w:val="00FE38CE"/>
    <w:rsid w:val="00FE3BAC"/>
    <w:rsid w:val="00FE3C3C"/>
    <w:rsid w:val="00FE3C42"/>
    <w:rsid w:val="00FE46B8"/>
    <w:rsid w:val="00FE4D0D"/>
    <w:rsid w:val="00FE51AD"/>
    <w:rsid w:val="00FE5986"/>
    <w:rsid w:val="00FE5F17"/>
    <w:rsid w:val="00FE6756"/>
    <w:rsid w:val="00FE6A93"/>
    <w:rsid w:val="00FE6C77"/>
    <w:rsid w:val="00FE7362"/>
    <w:rsid w:val="00FE7575"/>
    <w:rsid w:val="00FE7A7A"/>
    <w:rsid w:val="00FE7FF2"/>
    <w:rsid w:val="00FF06BD"/>
    <w:rsid w:val="00FF0D4C"/>
    <w:rsid w:val="00FF0D52"/>
    <w:rsid w:val="00FF0DCA"/>
    <w:rsid w:val="00FF17EF"/>
    <w:rsid w:val="00FF2051"/>
    <w:rsid w:val="00FF228D"/>
    <w:rsid w:val="00FF2345"/>
    <w:rsid w:val="00FF2CB0"/>
    <w:rsid w:val="00FF3953"/>
    <w:rsid w:val="00FF3C53"/>
    <w:rsid w:val="00FF3F3D"/>
    <w:rsid w:val="00FF404A"/>
    <w:rsid w:val="00FF43B5"/>
    <w:rsid w:val="00FF472E"/>
    <w:rsid w:val="00FF483F"/>
    <w:rsid w:val="00FF52D3"/>
    <w:rsid w:val="00FF5312"/>
    <w:rsid w:val="00FF57EE"/>
    <w:rsid w:val="00FF589C"/>
    <w:rsid w:val="00FF5C25"/>
    <w:rsid w:val="00FF6000"/>
    <w:rsid w:val="00FF6026"/>
    <w:rsid w:val="00FF620A"/>
    <w:rsid w:val="00FF6AE0"/>
    <w:rsid w:val="00FF6F98"/>
    <w:rsid w:val="00FF728C"/>
    <w:rsid w:val="00FF7665"/>
    <w:rsid w:val="00FF77FC"/>
    <w:rsid w:val="00FF7A04"/>
    <w:rsid w:val="00FF7BF0"/>
    <w:rsid w:val="0112707E"/>
    <w:rsid w:val="01172159"/>
    <w:rsid w:val="01207003"/>
    <w:rsid w:val="01261978"/>
    <w:rsid w:val="01286562"/>
    <w:rsid w:val="012B7225"/>
    <w:rsid w:val="013B41B9"/>
    <w:rsid w:val="01400641"/>
    <w:rsid w:val="014A4EDB"/>
    <w:rsid w:val="014D5FC2"/>
    <w:rsid w:val="014F2036"/>
    <w:rsid w:val="015D1EC2"/>
    <w:rsid w:val="016351DB"/>
    <w:rsid w:val="01900FD4"/>
    <w:rsid w:val="0198159D"/>
    <w:rsid w:val="01A248CD"/>
    <w:rsid w:val="01A5649E"/>
    <w:rsid w:val="01B35DD2"/>
    <w:rsid w:val="01BA0478"/>
    <w:rsid w:val="01D11587"/>
    <w:rsid w:val="01DF77FD"/>
    <w:rsid w:val="01E2022A"/>
    <w:rsid w:val="01EE144D"/>
    <w:rsid w:val="01EF40FF"/>
    <w:rsid w:val="01F20E77"/>
    <w:rsid w:val="01FA5061"/>
    <w:rsid w:val="01FB5C4F"/>
    <w:rsid w:val="0203777D"/>
    <w:rsid w:val="02062BE0"/>
    <w:rsid w:val="02096723"/>
    <w:rsid w:val="02297A0C"/>
    <w:rsid w:val="02351B6E"/>
    <w:rsid w:val="023A5E5F"/>
    <w:rsid w:val="024807CB"/>
    <w:rsid w:val="02517830"/>
    <w:rsid w:val="02610081"/>
    <w:rsid w:val="027D00CE"/>
    <w:rsid w:val="027F47E3"/>
    <w:rsid w:val="02841A4C"/>
    <w:rsid w:val="0290115C"/>
    <w:rsid w:val="0295419B"/>
    <w:rsid w:val="029A3E2F"/>
    <w:rsid w:val="02A01B03"/>
    <w:rsid w:val="02A8184F"/>
    <w:rsid w:val="02A97AAE"/>
    <w:rsid w:val="02AF4191"/>
    <w:rsid w:val="02B3392D"/>
    <w:rsid w:val="02C76EE1"/>
    <w:rsid w:val="02CC1959"/>
    <w:rsid w:val="02CE4283"/>
    <w:rsid w:val="02D00AAA"/>
    <w:rsid w:val="02D31035"/>
    <w:rsid w:val="02D554F7"/>
    <w:rsid w:val="02D8185E"/>
    <w:rsid w:val="02D917F0"/>
    <w:rsid w:val="02E3648B"/>
    <w:rsid w:val="02ED59FA"/>
    <w:rsid w:val="02FE5BD6"/>
    <w:rsid w:val="02FF7A7B"/>
    <w:rsid w:val="030109FC"/>
    <w:rsid w:val="03044EC8"/>
    <w:rsid w:val="030675F7"/>
    <w:rsid w:val="031F3D75"/>
    <w:rsid w:val="031F5C74"/>
    <w:rsid w:val="03251D48"/>
    <w:rsid w:val="03264B4B"/>
    <w:rsid w:val="03266133"/>
    <w:rsid w:val="03393F73"/>
    <w:rsid w:val="033A6975"/>
    <w:rsid w:val="03437B1A"/>
    <w:rsid w:val="034B287A"/>
    <w:rsid w:val="034D7AC1"/>
    <w:rsid w:val="03502E68"/>
    <w:rsid w:val="03526596"/>
    <w:rsid w:val="03633FBD"/>
    <w:rsid w:val="03670F08"/>
    <w:rsid w:val="03690C83"/>
    <w:rsid w:val="036E0132"/>
    <w:rsid w:val="03762FFA"/>
    <w:rsid w:val="038053DD"/>
    <w:rsid w:val="0396227D"/>
    <w:rsid w:val="03BC1E58"/>
    <w:rsid w:val="03CA7B56"/>
    <w:rsid w:val="03D163F2"/>
    <w:rsid w:val="03D224B7"/>
    <w:rsid w:val="03D553FE"/>
    <w:rsid w:val="03D7484D"/>
    <w:rsid w:val="03DC3A75"/>
    <w:rsid w:val="03E53B03"/>
    <w:rsid w:val="03F16C94"/>
    <w:rsid w:val="04075CDD"/>
    <w:rsid w:val="040A7184"/>
    <w:rsid w:val="04124774"/>
    <w:rsid w:val="041317B3"/>
    <w:rsid w:val="041C035F"/>
    <w:rsid w:val="041C29F0"/>
    <w:rsid w:val="04314287"/>
    <w:rsid w:val="04340EC5"/>
    <w:rsid w:val="04341B39"/>
    <w:rsid w:val="04402C61"/>
    <w:rsid w:val="04406864"/>
    <w:rsid w:val="04406C62"/>
    <w:rsid w:val="04416F4C"/>
    <w:rsid w:val="04573751"/>
    <w:rsid w:val="045B7691"/>
    <w:rsid w:val="04690EFD"/>
    <w:rsid w:val="0470375D"/>
    <w:rsid w:val="047370D4"/>
    <w:rsid w:val="047B5499"/>
    <w:rsid w:val="0484299E"/>
    <w:rsid w:val="049969A1"/>
    <w:rsid w:val="04A03211"/>
    <w:rsid w:val="04A238DE"/>
    <w:rsid w:val="04A6138D"/>
    <w:rsid w:val="04BE3DC2"/>
    <w:rsid w:val="04C31B77"/>
    <w:rsid w:val="04C60A0E"/>
    <w:rsid w:val="04C639F2"/>
    <w:rsid w:val="04D6686D"/>
    <w:rsid w:val="04D93A42"/>
    <w:rsid w:val="04E12986"/>
    <w:rsid w:val="04ED41A7"/>
    <w:rsid w:val="05091AEF"/>
    <w:rsid w:val="05166AAF"/>
    <w:rsid w:val="051D4917"/>
    <w:rsid w:val="053A1055"/>
    <w:rsid w:val="05400F8D"/>
    <w:rsid w:val="0578352B"/>
    <w:rsid w:val="057A1A4B"/>
    <w:rsid w:val="05B056AA"/>
    <w:rsid w:val="05C41450"/>
    <w:rsid w:val="05DF3E37"/>
    <w:rsid w:val="05F13DAA"/>
    <w:rsid w:val="05F76432"/>
    <w:rsid w:val="06002300"/>
    <w:rsid w:val="06193111"/>
    <w:rsid w:val="062821C0"/>
    <w:rsid w:val="062B377E"/>
    <w:rsid w:val="062F23AB"/>
    <w:rsid w:val="066615F8"/>
    <w:rsid w:val="066E3369"/>
    <w:rsid w:val="067650CC"/>
    <w:rsid w:val="067B5A00"/>
    <w:rsid w:val="067B5E8D"/>
    <w:rsid w:val="068023AF"/>
    <w:rsid w:val="06840641"/>
    <w:rsid w:val="06903E60"/>
    <w:rsid w:val="069A0750"/>
    <w:rsid w:val="069D2C6F"/>
    <w:rsid w:val="069E6C0C"/>
    <w:rsid w:val="06A1615F"/>
    <w:rsid w:val="06A85A98"/>
    <w:rsid w:val="06B50D52"/>
    <w:rsid w:val="06BA39AB"/>
    <w:rsid w:val="06C07150"/>
    <w:rsid w:val="06C33109"/>
    <w:rsid w:val="06D960D3"/>
    <w:rsid w:val="06E14511"/>
    <w:rsid w:val="06F90D88"/>
    <w:rsid w:val="072B0FA8"/>
    <w:rsid w:val="07363783"/>
    <w:rsid w:val="074A03B4"/>
    <w:rsid w:val="074D6317"/>
    <w:rsid w:val="07515C84"/>
    <w:rsid w:val="07533C7E"/>
    <w:rsid w:val="075E4CBD"/>
    <w:rsid w:val="075E7FC2"/>
    <w:rsid w:val="07743731"/>
    <w:rsid w:val="077F379E"/>
    <w:rsid w:val="0783033C"/>
    <w:rsid w:val="07867D89"/>
    <w:rsid w:val="078A686A"/>
    <w:rsid w:val="078D51C2"/>
    <w:rsid w:val="078F48DE"/>
    <w:rsid w:val="079C52D8"/>
    <w:rsid w:val="079E4B99"/>
    <w:rsid w:val="07A2471D"/>
    <w:rsid w:val="07A914FC"/>
    <w:rsid w:val="07AF5CAC"/>
    <w:rsid w:val="07B122C9"/>
    <w:rsid w:val="07BC6E30"/>
    <w:rsid w:val="07BF4B46"/>
    <w:rsid w:val="07C90B85"/>
    <w:rsid w:val="07D14340"/>
    <w:rsid w:val="07D37C6E"/>
    <w:rsid w:val="07F04BF7"/>
    <w:rsid w:val="08001659"/>
    <w:rsid w:val="080111A4"/>
    <w:rsid w:val="08114B20"/>
    <w:rsid w:val="08135989"/>
    <w:rsid w:val="081605B8"/>
    <w:rsid w:val="082A5A92"/>
    <w:rsid w:val="083B1DBD"/>
    <w:rsid w:val="08434B33"/>
    <w:rsid w:val="085F6078"/>
    <w:rsid w:val="089C1E1F"/>
    <w:rsid w:val="08AD391E"/>
    <w:rsid w:val="08AF1B20"/>
    <w:rsid w:val="08B7699E"/>
    <w:rsid w:val="08C52D6F"/>
    <w:rsid w:val="08CA29DC"/>
    <w:rsid w:val="08CF3333"/>
    <w:rsid w:val="08D01AAA"/>
    <w:rsid w:val="08D23927"/>
    <w:rsid w:val="08DF62F5"/>
    <w:rsid w:val="08E558EC"/>
    <w:rsid w:val="08F07989"/>
    <w:rsid w:val="08F10F90"/>
    <w:rsid w:val="08F91A7F"/>
    <w:rsid w:val="08FB490C"/>
    <w:rsid w:val="08FD5228"/>
    <w:rsid w:val="08FE335D"/>
    <w:rsid w:val="091E4474"/>
    <w:rsid w:val="09211301"/>
    <w:rsid w:val="0935754B"/>
    <w:rsid w:val="093F11AF"/>
    <w:rsid w:val="09520574"/>
    <w:rsid w:val="095822CE"/>
    <w:rsid w:val="095A3693"/>
    <w:rsid w:val="095E639D"/>
    <w:rsid w:val="096E159F"/>
    <w:rsid w:val="097B1018"/>
    <w:rsid w:val="097E6331"/>
    <w:rsid w:val="0984262D"/>
    <w:rsid w:val="098713BF"/>
    <w:rsid w:val="09885D58"/>
    <w:rsid w:val="09AC5346"/>
    <w:rsid w:val="09BB312F"/>
    <w:rsid w:val="09C54227"/>
    <w:rsid w:val="09CC3131"/>
    <w:rsid w:val="09CE5CD5"/>
    <w:rsid w:val="09D16AE0"/>
    <w:rsid w:val="09D32F2C"/>
    <w:rsid w:val="09D80C98"/>
    <w:rsid w:val="09DA6343"/>
    <w:rsid w:val="09DB4A76"/>
    <w:rsid w:val="09DF46D4"/>
    <w:rsid w:val="09E1396B"/>
    <w:rsid w:val="09F019FC"/>
    <w:rsid w:val="09F14E2F"/>
    <w:rsid w:val="09F7692B"/>
    <w:rsid w:val="09F97D8B"/>
    <w:rsid w:val="0A032D51"/>
    <w:rsid w:val="0A101FA9"/>
    <w:rsid w:val="0A1873CD"/>
    <w:rsid w:val="0A1B2DE5"/>
    <w:rsid w:val="0A1E20C3"/>
    <w:rsid w:val="0A224AF3"/>
    <w:rsid w:val="0A231440"/>
    <w:rsid w:val="0A2A08B3"/>
    <w:rsid w:val="0A2A1D30"/>
    <w:rsid w:val="0A322939"/>
    <w:rsid w:val="0A352B06"/>
    <w:rsid w:val="0A397F96"/>
    <w:rsid w:val="0A3D4800"/>
    <w:rsid w:val="0A486D5A"/>
    <w:rsid w:val="0A4C28BD"/>
    <w:rsid w:val="0A6574E9"/>
    <w:rsid w:val="0A6F3DC4"/>
    <w:rsid w:val="0A7767B8"/>
    <w:rsid w:val="0A7F2CF9"/>
    <w:rsid w:val="0A8316F7"/>
    <w:rsid w:val="0A882528"/>
    <w:rsid w:val="0A910262"/>
    <w:rsid w:val="0A9B6DE8"/>
    <w:rsid w:val="0AA075BF"/>
    <w:rsid w:val="0AAD0691"/>
    <w:rsid w:val="0AB32F37"/>
    <w:rsid w:val="0AB40785"/>
    <w:rsid w:val="0AC515FF"/>
    <w:rsid w:val="0ACB18EB"/>
    <w:rsid w:val="0AD41863"/>
    <w:rsid w:val="0AEA55A2"/>
    <w:rsid w:val="0AFD4CEA"/>
    <w:rsid w:val="0B033E96"/>
    <w:rsid w:val="0B094D6C"/>
    <w:rsid w:val="0B1C486A"/>
    <w:rsid w:val="0B1E7EB6"/>
    <w:rsid w:val="0B284221"/>
    <w:rsid w:val="0B2C48E1"/>
    <w:rsid w:val="0B2F27D4"/>
    <w:rsid w:val="0B6613EB"/>
    <w:rsid w:val="0B6B0329"/>
    <w:rsid w:val="0B6C0B4A"/>
    <w:rsid w:val="0B7A4F29"/>
    <w:rsid w:val="0B7C2215"/>
    <w:rsid w:val="0B7D3FC4"/>
    <w:rsid w:val="0B9C0CA5"/>
    <w:rsid w:val="0BA934C6"/>
    <w:rsid w:val="0BAF7EA4"/>
    <w:rsid w:val="0BB075B2"/>
    <w:rsid w:val="0BB44933"/>
    <w:rsid w:val="0BB7474C"/>
    <w:rsid w:val="0BBC289F"/>
    <w:rsid w:val="0BC22F28"/>
    <w:rsid w:val="0BD738E1"/>
    <w:rsid w:val="0BDA11CC"/>
    <w:rsid w:val="0BEB2DE9"/>
    <w:rsid w:val="0BFC0CFC"/>
    <w:rsid w:val="0C146D3D"/>
    <w:rsid w:val="0C153CB5"/>
    <w:rsid w:val="0C226AC7"/>
    <w:rsid w:val="0C264DDD"/>
    <w:rsid w:val="0C29683B"/>
    <w:rsid w:val="0C34747F"/>
    <w:rsid w:val="0C3E23ED"/>
    <w:rsid w:val="0C464CBA"/>
    <w:rsid w:val="0C4A6A6D"/>
    <w:rsid w:val="0C600E1A"/>
    <w:rsid w:val="0C653740"/>
    <w:rsid w:val="0C6B7826"/>
    <w:rsid w:val="0C776B7C"/>
    <w:rsid w:val="0C870A2F"/>
    <w:rsid w:val="0C8A7658"/>
    <w:rsid w:val="0C8F251E"/>
    <w:rsid w:val="0CA72C5C"/>
    <w:rsid w:val="0CA922F0"/>
    <w:rsid w:val="0CB539AC"/>
    <w:rsid w:val="0CB63406"/>
    <w:rsid w:val="0CBD30FB"/>
    <w:rsid w:val="0CC43FA9"/>
    <w:rsid w:val="0CC46957"/>
    <w:rsid w:val="0CC669DE"/>
    <w:rsid w:val="0CCE25B6"/>
    <w:rsid w:val="0CD1051C"/>
    <w:rsid w:val="0CDA2082"/>
    <w:rsid w:val="0CE436F1"/>
    <w:rsid w:val="0CEF4B05"/>
    <w:rsid w:val="0D0259EF"/>
    <w:rsid w:val="0D0A4C08"/>
    <w:rsid w:val="0D21655E"/>
    <w:rsid w:val="0D3109F4"/>
    <w:rsid w:val="0D4C71E4"/>
    <w:rsid w:val="0D536AE7"/>
    <w:rsid w:val="0D5755A0"/>
    <w:rsid w:val="0D5D296D"/>
    <w:rsid w:val="0D621384"/>
    <w:rsid w:val="0D6514AC"/>
    <w:rsid w:val="0D6E265C"/>
    <w:rsid w:val="0D8D3A42"/>
    <w:rsid w:val="0D972DAA"/>
    <w:rsid w:val="0DA223F2"/>
    <w:rsid w:val="0DB928EB"/>
    <w:rsid w:val="0DBB33F2"/>
    <w:rsid w:val="0DC032D2"/>
    <w:rsid w:val="0DC53766"/>
    <w:rsid w:val="0DDD6E6E"/>
    <w:rsid w:val="0DE53847"/>
    <w:rsid w:val="0DE632D9"/>
    <w:rsid w:val="0DE8428C"/>
    <w:rsid w:val="0DEA2BE0"/>
    <w:rsid w:val="0DEB2E7C"/>
    <w:rsid w:val="0DF51AF5"/>
    <w:rsid w:val="0DF67B43"/>
    <w:rsid w:val="0DF7696B"/>
    <w:rsid w:val="0DFE7389"/>
    <w:rsid w:val="0E026B6F"/>
    <w:rsid w:val="0E114A8C"/>
    <w:rsid w:val="0E3900A5"/>
    <w:rsid w:val="0E5D709C"/>
    <w:rsid w:val="0E6B76B9"/>
    <w:rsid w:val="0E7547D4"/>
    <w:rsid w:val="0E811055"/>
    <w:rsid w:val="0E87566C"/>
    <w:rsid w:val="0E8E23C8"/>
    <w:rsid w:val="0E955EE4"/>
    <w:rsid w:val="0E9B5E4B"/>
    <w:rsid w:val="0EAE2EE3"/>
    <w:rsid w:val="0EB66FDA"/>
    <w:rsid w:val="0EE4276F"/>
    <w:rsid w:val="0EE45125"/>
    <w:rsid w:val="0EE47647"/>
    <w:rsid w:val="0EE80D86"/>
    <w:rsid w:val="0EE906AB"/>
    <w:rsid w:val="0EEC0960"/>
    <w:rsid w:val="0EF628CA"/>
    <w:rsid w:val="0F045979"/>
    <w:rsid w:val="0F0A6F72"/>
    <w:rsid w:val="0F2017B1"/>
    <w:rsid w:val="0F22780F"/>
    <w:rsid w:val="0F265B63"/>
    <w:rsid w:val="0F274195"/>
    <w:rsid w:val="0F2958A2"/>
    <w:rsid w:val="0F2B22B8"/>
    <w:rsid w:val="0F2E5071"/>
    <w:rsid w:val="0F3A68A9"/>
    <w:rsid w:val="0F410600"/>
    <w:rsid w:val="0F433468"/>
    <w:rsid w:val="0F4511C3"/>
    <w:rsid w:val="0F4B55FF"/>
    <w:rsid w:val="0F4F31EA"/>
    <w:rsid w:val="0F680DFE"/>
    <w:rsid w:val="0F6E0C01"/>
    <w:rsid w:val="0F6E5B36"/>
    <w:rsid w:val="0F6F31F6"/>
    <w:rsid w:val="0F74102A"/>
    <w:rsid w:val="0F7C6875"/>
    <w:rsid w:val="0F812AA7"/>
    <w:rsid w:val="0F913662"/>
    <w:rsid w:val="0F992FD1"/>
    <w:rsid w:val="0FA60E67"/>
    <w:rsid w:val="0FAA6B94"/>
    <w:rsid w:val="0FB503FF"/>
    <w:rsid w:val="0FCD3C87"/>
    <w:rsid w:val="0FD329CC"/>
    <w:rsid w:val="0FDC748B"/>
    <w:rsid w:val="0FDD3646"/>
    <w:rsid w:val="0FDF0715"/>
    <w:rsid w:val="0FE84A5B"/>
    <w:rsid w:val="0FF11763"/>
    <w:rsid w:val="0FF916C1"/>
    <w:rsid w:val="10034806"/>
    <w:rsid w:val="10101086"/>
    <w:rsid w:val="1018133E"/>
    <w:rsid w:val="10203C0A"/>
    <w:rsid w:val="10213EB4"/>
    <w:rsid w:val="10240C99"/>
    <w:rsid w:val="10307778"/>
    <w:rsid w:val="103170DB"/>
    <w:rsid w:val="105E23FD"/>
    <w:rsid w:val="105F77D4"/>
    <w:rsid w:val="10651E1A"/>
    <w:rsid w:val="106903A5"/>
    <w:rsid w:val="10795CD3"/>
    <w:rsid w:val="1080576B"/>
    <w:rsid w:val="108100C4"/>
    <w:rsid w:val="108B7A17"/>
    <w:rsid w:val="108C2834"/>
    <w:rsid w:val="109123EA"/>
    <w:rsid w:val="10A0701E"/>
    <w:rsid w:val="10A075A1"/>
    <w:rsid w:val="10B961C5"/>
    <w:rsid w:val="10BF7EA3"/>
    <w:rsid w:val="10C73383"/>
    <w:rsid w:val="10CD686C"/>
    <w:rsid w:val="10D407A7"/>
    <w:rsid w:val="10D50A63"/>
    <w:rsid w:val="10D84432"/>
    <w:rsid w:val="10DC2CF7"/>
    <w:rsid w:val="10E54DF6"/>
    <w:rsid w:val="10E56B2C"/>
    <w:rsid w:val="10EF20FB"/>
    <w:rsid w:val="10F417CA"/>
    <w:rsid w:val="10F6749D"/>
    <w:rsid w:val="10F838E5"/>
    <w:rsid w:val="110501D8"/>
    <w:rsid w:val="11232A2D"/>
    <w:rsid w:val="11320B8F"/>
    <w:rsid w:val="113A5B67"/>
    <w:rsid w:val="11513D10"/>
    <w:rsid w:val="115661C9"/>
    <w:rsid w:val="115909F7"/>
    <w:rsid w:val="11651E51"/>
    <w:rsid w:val="117067C7"/>
    <w:rsid w:val="11775B04"/>
    <w:rsid w:val="11806563"/>
    <w:rsid w:val="118144FF"/>
    <w:rsid w:val="11820E5D"/>
    <w:rsid w:val="11933138"/>
    <w:rsid w:val="11993F47"/>
    <w:rsid w:val="11995B66"/>
    <w:rsid w:val="11AA6F1B"/>
    <w:rsid w:val="11B45B5A"/>
    <w:rsid w:val="11BB41B7"/>
    <w:rsid w:val="11C12036"/>
    <w:rsid w:val="11CF7A21"/>
    <w:rsid w:val="11E34BA6"/>
    <w:rsid w:val="11E5037C"/>
    <w:rsid w:val="11E64991"/>
    <w:rsid w:val="11EE52FA"/>
    <w:rsid w:val="11FA5EB5"/>
    <w:rsid w:val="121B5D8E"/>
    <w:rsid w:val="121D1052"/>
    <w:rsid w:val="12301B77"/>
    <w:rsid w:val="12314027"/>
    <w:rsid w:val="123D614B"/>
    <w:rsid w:val="124067B2"/>
    <w:rsid w:val="12472FAA"/>
    <w:rsid w:val="125C5E15"/>
    <w:rsid w:val="126D37AF"/>
    <w:rsid w:val="126E1130"/>
    <w:rsid w:val="12775859"/>
    <w:rsid w:val="129D2705"/>
    <w:rsid w:val="12B962C3"/>
    <w:rsid w:val="12BC533E"/>
    <w:rsid w:val="12BE2126"/>
    <w:rsid w:val="12BE4345"/>
    <w:rsid w:val="12C023F4"/>
    <w:rsid w:val="12C22650"/>
    <w:rsid w:val="12CE6141"/>
    <w:rsid w:val="12D6519E"/>
    <w:rsid w:val="12DD0786"/>
    <w:rsid w:val="12E106A8"/>
    <w:rsid w:val="12E3591F"/>
    <w:rsid w:val="12E75FEE"/>
    <w:rsid w:val="12EC4210"/>
    <w:rsid w:val="12F1478E"/>
    <w:rsid w:val="13094C94"/>
    <w:rsid w:val="1311396E"/>
    <w:rsid w:val="13140378"/>
    <w:rsid w:val="13250A39"/>
    <w:rsid w:val="13285673"/>
    <w:rsid w:val="13291A2A"/>
    <w:rsid w:val="134013E5"/>
    <w:rsid w:val="13424CF0"/>
    <w:rsid w:val="13426EC3"/>
    <w:rsid w:val="1347653E"/>
    <w:rsid w:val="134B17E5"/>
    <w:rsid w:val="134D1F64"/>
    <w:rsid w:val="135B6BC1"/>
    <w:rsid w:val="135E3453"/>
    <w:rsid w:val="13617AFA"/>
    <w:rsid w:val="136540A1"/>
    <w:rsid w:val="136C2673"/>
    <w:rsid w:val="137456B5"/>
    <w:rsid w:val="1376713A"/>
    <w:rsid w:val="1379500D"/>
    <w:rsid w:val="13797260"/>
    <w:rsid w:val="137E7429"/>
    <w:rsid w:val="13C1439E"/>
    <w:rsid w:val="13D65BD4"/>
    <w:rsid w:val="13D66598"/>
    <w:rsid w:val="13D761AA"/>
    <w:rsid w:val="13DE788B"/>
    <w:rsid w:val="13DF03F9"/>
    <w:rsid w:val="13E43290"/>
    <w:rsid w:val="13EC4B6C"/>
    <w:rsid w:val="13F3217A"/>
    <w:rsid w:val="13F65774"/>
    <w:rsid w:val="13FE1F78"/>
    <w:rsid w:val="14143CC7"/>
    <w:rsid w:val="141F6A74"/>
    <w:rsid w:val="1421778F"/>
    <w:rsid w:val="143F0D3E"/>
    <w:rsid w:val="144911D6"/>
    <w:rsid w:val="144A02EC"/>
    <w:rsid w:val="145D4071"/>
    <w:rsid w:val="14716399"/>
    <w:rsid w:val="1480006C"/>
    <w:rsid w:val="14833002"/>
    <w:rsid w:val="148752BA"/>
    <w:rsid w:val="148C48F5"/>
    <w:rsid w:val="14937D30"/>
    <w:rsid w:val="14A50E0D"/>
    <w:rsid w:val="14B14769"/>
    <w:rsid w:val="14B422D3"/>
    <w:rsid w:val="14B56FF2"/>
    <w:rsid w:val="14B63CE7"/>
    <w:rsid w:val="14B84CBF"/>
    <w:rsid w:val="14BD4E57"/>
    <w:rsid w:val="14C26EFF"/>
    <w:rsid w:val="14C82ADE"/>
    <w:rsid w:val="14D672C8"/>
    <w:rsid w:val="14E21D4C"/>
    <w:rsid w:val="15021E2E"/>
    <w:rsid w:val="1504138A"/>
    <w:rsid w:val="150D4287"/>
    <w:rsid w:val="15147112"/>
    <w:rsid w:val="152D16CB"/>
    <w:rsid w:val="153C0EA3"/>
    <w:rsid w:val="153E27FD"/>
    <w:rsid w:val="154F3069"/>
    <w:rsid w:val="15582008"/>
    <w:rsid w:val="155B2369"/>
    <w:rsid w:val="155F5458"/>
    <w:rsid w:val="156507D9"/>
    <w:rsid w:val="15661392"/>
    <w:rsid w:val="157B135B"/>
    <w:rsid w:val="157C016F"/>
    <w:rsid w:val="157E4FBE"/>
    <w:rsid w:val="158A6300"/>
    <w:rsid w:val="158F69B9"/>
    <w:rsid w:val="15A15172"/>
    <w:rsid w:val="15AF531E"/>
    <w:rsid w:val="15C32798"/>
    <w:rsid w:val="15C35267"/>
    <w:rsid w:val="15C36C52"/>
    <w:rsid w:val="15C74F74"/>
    <w:rsid w:val="15C97C4D"/>
    <w:rsid w:val="15D066BC"/>
    <w:rsid w:val="15EB2D3D"/>
    <w:rsid w:val="15ED1EDC"/>
    <w:rsid w:val="15F24097"/>
    <w:rsid w:val="15F3690F"/>
    <w:rsid w:val="160201E3"/>
    <w:rsid w:val="160327DE"/>
    <w:rsid w:val="16112CC7"/>
    <w:rsid w:val="16193920"/>
    <w:rsid w:val="16311EA2"/>
    <w:rsid w:val="163634D4"/>
    <w:rsid w:val="164C1BE7"/>
    <w:rsid w:val="164E4242"/>
    <w:rsid w:val="165A2821"/>
    <w:rsid w:val="1662143E"/>
    <w:rsid w:val="16740AEE"/>
    <w:rsid w:val="16775FF8"/>
    <w:rsid w:val="167F14F5"/>
    <w:rsid w:val="16815279"/>
    <w:rsid w:val="168363F9"/>
    <w:rsid w:val="168C5442"/>
    <w:rsid w:val="16991602"/>
    <w:rsid w:val="169A2754"/>
    <w:rsid w:val="16AA31CB"/>
    <w:rsid w:val="16B0772A"/>
    <w:rsid w:val="16BB7A25"/>
    <w:rsid w:val="16BE6F03"/>
    <w:rsid w:val="16BF3AA6"/>
    <w:rsid w:val="16C6692E"/>
    <w:rsid w:val="16CC48A3"/>
    <w:rsid w:val="16CE36D4"/>
    <w:rsid w:val="16CF032F"/>
    <w:rsid w:val="16D853F0"/>
    <w:rsid w:val="16E24B81"/>
    <w:rsid w:val="16E701E9"/>
    <w:rsid w:val="16E70C0A"/>
    <w:rsid w:val="16EA3334"/>
    <w:rsid w:val="16ED3528"/>
    <w:rsid w:val="16F954F0"/>
    <w:rsid w:val="16FA0219"/>
    <w:rsid w:val="16FB7577"/>
    <w:rsid w:val="1704040D"/>
    <w:rsid w:val="17097026"/>
    <w:rsid w:val="170C2B6C"/>
    <w:rsid w:val="17182432"/>
    <w:rsid w:val="172120C7"/>
    <w:rsid w:val="17277E3A"/>
    <w:rsid w:val="172E378A"/>
    <w:rsid w:val="17330E3F"/>
    <w:rsid w:val="17571CE1"/>
    <w:rsid w:val="175D2372"/>
    <w:rsid w:val="175D68A2"/>
    <w:rsid w:val="17863C43"/>
    <w:rsid w:val="178908DE"/>
    <w:rsid w:val="178913A4"/>
    <w:rsid w:val="178B619E"/>
    <w:rsid w:val="17912057"/>
    <w:rsid w:val="17942FED"/>
    <w:rsid w:val="179D1CCD"/>
    <w:rsid w:val="17AE66E3"/>
    <w:rsid w:val="17D2776B"/>
    <w:rsid w:val="17D45595"/>
    <w:rsid w:val="17DA1FD9"/>
    <w:rsid w:val="17E10578"/>
    <w:rsid w:val="17E42E50"/>
    <w:rsid w:val="17EC4E0D"/>
    <w:rsid w:val="1800023D"/>
    <w:rsid w:val="18132703"/>
    <w:rsid w:val="18254EE6"/>
    <w:rsid w:val="18285940"/>
    <w:rsid w:val="182B38BC"/>
    <w:rsid w:val="18366F4D"/>
    <w:rsid w:val="183A6F0F"/>
    <w:rsid w:val="183B7610"/>
    <w:rsid w:val="184A5489"/>
    <w:rsid w:val="184E42C8"/>
    <w:rsid w:val="185A233B"/>
    <w:rsid w:val="18621E5B"/>
    <w:rsid w:val="18645FFE"/>
    <w:rsid w:val="1872318D"/>
    <w:rsid w:val="187466EE"/>
    <w:rsid w:val="18793485"/>
    <w:rsid w:val="187939C3"/>
    <w:rsid w:val="187A7F08"/>
    <w:rsid w:val="188622F9"/>
    <w:rsid w:val="18877A72"/>
    <w:rsid w:val="18AD1042"/>
    <w:rsid w:val="18C333C1"/>
    <w:rsid w:val="18C44BE4"/>
    <w:rsid w:val="18CA2B93"/>
    <w:rsid w:val="18D17006"/>
    <w:rsid w:val="18E869A6"/>
    <w:rsid w:val="18FC22ED"/>
    <w:rsid w:val="18FE080B"/>
    <w:rsid w:val="19002F36"/>
    <w:rsid w:val="19097D5E"/>
    <w:rsid w:val="1927591A"/>
    <w:rsid w:val="192C3D07"/>
    <w:rsid w:val="192F5867"/>
    <w:rsid w:val="194C691C"/>
    <w:rsid w:val="194E03C7"/>
    <w:rsid w:val="195243B3"/>
    <w:rsid w:val="195A1CF4"/>
    <w:rsid w:val="19647D99"/>
    <w:rsid w:val="196F1B80"/>
    <w:rsid w:val="197D7E9C"/>
    <w:rsid w:val="197F1418"/>
    <w:rsid w:val="197F3C6B"/>
    <w:rsid w:val="19862129"/>
    <w:rsid w:val="198E37DE"/>
    <w:rsid w:val="199327CB"/>
    <w:rsid w:val="19A24703"/>
    <w:rsid w:val="19AB7DBD"/>
    <w:rsid w:val="19B01627"/>
    <w:rsid w:val="19C91716"/>
    <w:rsid w:val="19DC17D6"/>
    <w:rsid w:val="19E4262D"/>
    <w:rsid w:val="1A0815CC"/>
    <w:rsid w:val="1A1D553A"/>
    <w:rsid w:val="1A264AB4"/>
    <w:rsid w:val="1A271AB1"/>
    <w:rsid w:val="1A39005B"/>
    <w:rsid w:val="1A497C8E"/>
    <w:rsid w:val="1A5130EF"/>
    <w:rsid w:val="1A5F7553"/>
    <w:rsid w:val="1A67677A"/>
    <w:rsid w:val="1A81074E"/>
    <w:rsid w:val="1A9718E7"/>
    <w:rsid w:val="1A9C424D"/>
    <w:rsid w:val="1AA82520"/>
    <w:rsid w:val="1AAE35A3"/>
    <w:rsid w:val="1ABA6128"/>
    <w:rsid w:val="1AC00164"/>
    <w:rsid w:val="1AC20D9D"/>
    <w:rsid w:val="1AC21E0D"/>
    <w:rsid w:val="1AC410D8"/>
    <w:rsid w:val="1AC77AA1"/>
    <w:rsid w:val="1ACA3744"/>
    <w:rsid w:val="1ACC02B9"/>
    <w:rsid w:val="1AD274DE"/>
    <w:rsid w:val="1AD43A74"/>
    <w:rsid w:val="1ADB10DA"/>
    <w:rsid w:val="1AE40C40"/>
    <w:rsid w:val="1AEC260B"/>
    <w:rsid w:val="1AFC3780"/>
    <w:rsid w:val="1AFD1E95"/>
    <w:rsid w:val="1AFD2812"/>
    <w:rsid w:val="1B067089"/>
    <w:rsid w:val="1B0750E8"/>
    <w:rsid w:val="1B186BA9"/>
    <w:rsid w:val="1B19580D"/>
    <w:rsid w:val="1B1A6BBD"/>
    <w:rsid w:val="1B212DAF"/>
    <w:rsid w:val="1B231BF7"/>
    <w:rsid w:val="1B2A1C8E"/>
    <w:rsid w:val="1B3925CC"/>
    <w:rsid w:val="1B3C3CA6"/>
    <w:rsid w:val="1B475E8C"/>
    <w:rsid w:val="1B550ECB"/>
    <w:rsid w:val="1B561656"/>
    <w:rsid w:val="1B6F2805"/>
    <w:rsid w:val="1B7A44D6"/>
    <w:rsid w:val="1B7B455F"/>
    <w:rsid w:val="1BA1112E"/>
    <w:rsid w:val="1BA66CB8"/>
    <w:rsid w:val="1BC53B76"/>
    <w:rsid w:val="1BCA4762"/>
    <w:rsid w:val="1BD253D4"/>
    <w:rsid w:val="1BDB71EE"/>
    <w:rsid w:val="1BE027C6"/>
    <w:rsid w:val="1BEC4079"/>
    <w:rsid w:val="1BF62164"/>
    <w:rsid w:val="1C0403D8"/>
    <w:rsid w:val="1C0A1863"/>
    <w:rsid w:val="1C0E427E"/>
    <w:rsid w:val="1C134F6F"/>
    <w:rsid w:val="1C140191"/>
    <w:rsid w:val="1C154007"/>
    <w:rsid w:val="1C1B4F0D"/>
    <w:rsid w:val="1C1C6E66"/>
    <w:rsid w:val="1C237228"/>
    <w:rsid w:val="1C353107"/>
    <w:rsid w:val="1C3A44E1"/>
    <w:rsid w:val="1C4F4CEA"/>
    <w:rsid w:val="1C5E164D"/>
    <w:rsid w:val="1C5F51F4"/>
    <w:rsid w:val="1C7A3727"/>
    <w:rsid w:val="1C8F1F7A"/>
    <w:rsid w:val="1C953194"/>
    <w:rsid w:val="1CA1119C"/>
    <w:rsid w:val="1CA17B74"/>
    <w:rsid w:val="1CA46B8E"/>
    <w:rsid w:val="1CA50026"/>
    <w:rsid w:val="1CAF54B9"/>
    <w:rsid w:val="1CC27DD5"/>
    <w:rsid w:val="1CC41839"/>
    <w:rsid w:val="1CEF5311"/>
    <w:rsid w:val="1CF77E61"/>
    <w:rsid w:val="1CFC594D"/>
    <w:rsid w:val="1D0F3BF5"/>
    <w:rsid w:val="1D1D018C"/>
    <w:rsid w:val="1D1F4407"/>
    <w:rsid w:val="1D2C3156"/>
    <w:rsid w:val="1D315E33"/>
    <w:rsid w:val="1D372C0C"/>
    <w:rsid w:val="1D4F6582"/>
    <w:rsid w:val="1D4F772B"/>
    <w:rsid w:val="1D566550"/>
    <w:rsid w:val="1D581E3E"/>
    <w:rsid w:val="1D605612"/>
    <w:rsid w:val="1D6A0353"/>
    <w:rsid w:val="1D6D3494"/>
    <w:rsid w:val="1D6E7AA4"/>
    <w:rsid w:val="1D773B9C"/>
    <w:rsid w:val="1D7D24DA"/>
    <w:rsid w:val="1D875337"/>
    <w:rsid w:val="1D880AB9"/>
    <w:rsid w:val="1D96665D"/>
    <w:rsid w:val="1D9A13A8"/>
    <w:rsid w:val="1DA364AC"/>
    <w:rsid w:val="1DA51848"/>
    <w:rsid w:val="1DCD383E"/>
    <w:rsid w:val="1DD1091B"/>
    <w:rsid w:val="1DD12491"/>
    <w:rsid w:val="1DD43223"/>
    <w:rsid w:val="1DD5052D"/>
    <w:rsid w:val="1DE97141"/>
    <w:rsid w:val="1DEA67DC"/>
    <w:rsid w:val="1DF3367A"/>
    <w:rsid w:val="1DF74388"/>
    <w:rsid w:val="1DFD4FE7"/>
    <w:rsid w:val="1E0804F4"/>
    <w:rsid w:val="1E0E5493"/>
    <w:rsid w:val="1E102A9C"/>
    <w:rsid w:val="1E1A2D11"/>
    <w:rsid w:val="1E255C72"/>
    <w:rsid w:val="1E34583D"/>
    <w:rsid w:val="1E36223E"/>
    <w:rsid w:val="1E387E23"/>
    <w:rsid w:val="1E455131"/>
    <w:rsid w:val="1E491218"/>
    <w:rsid w:val="1E4A1A85"/>
    <w:rsid w:val="1E4B70C9"/>
    <w:rsid w:val="1E501191"/>
    <w:rsid w:val="1E525323"/>
    <w:rsid w:val="1E567C63"/>
    <w:rsid w:val="1E664957"/>
    <w:rsid w:val="1E665441"/>
    <w:rsid w:val="1E685AAC"/>
    <w:rsid w:val="1E6F0206"/>
    <w:rsid w:val="1E766814"/>
    <w:rsid w:val="1E794CBF"/>
    <w:rsid w:val="1E7F58C5"/>
    <w:rsid w:val="1E803E86"/>
    <w:rsid w:val="1E8E0351"/>
    <w:rsid w:val="1E8F1567"/>
    <w:rsid w:val="1E955901"/>
    <w:rsid w:val="1EA92435"/>
    <w:rsid w:val="1EB32568"/>
    <w:rsid w:val="1EC43641"/>
    <w:rsid w:val="1EDB2EB0"/>
    <w:rsid w:val="1EE20747"/>
    <w:rsid w:val="1EE8735D"/>
    <w:rsid w:val="1EEE0DD5"/>
    <w:rsid w:val="1EF26D41"/>
    <w:rsid w:val="1EF337E1"/>
    <w:rsid w:val="1EF91272"/>
    <w:rsid w:val="1EFB5963"/>
    <w:rsid w:val="1EFE62BB"/>
    <w:rsid w:val="1F134C27"/>
    <w:rsid w:val="1F1B67C5"/>
    <w:rsid w:val="1F267699"/>
    <w:rsid w:val="1F3209C0"/>
    <w:rsid w:val="1F5237B9"/>
    <w:rsid w:val="1F551F9C"/>
    <w:rsid w:val="1F6B68E4"/>
    <w:rsid w:val="1F730E95"/>
    <w:rsid w:val="1F813468"/>
    <w:rsid w:val="1F857A9E"/>
    <w:rsid w:val="1F8A3E74"/>
    <w:rsid w:val="1F967EA8"/>
    <w:rsid w:val="1F994FC1"/>
    <w:rsid w:val="1FA16100"/>
    <w:rsid w:val="1FA46DB0"/>
    <w:rsid w:val="1FA575AC"/>
    <w:rsid w:val="1FB25C52"/>
    <w:rsid w:val="1FB70FEE"/>
    <w:rsid w:val="1FBB7E5B"/>
    <w:rsid w:val="1FBF15E5"/>
    <w:rsid w:val="1FDB2215"/>
    <w:rsid w:val="1FE72D06"/>
    <w:rsid w:val="1FED15A5"/>
    <w:rsid w:val="1FEE11C8"/>
    <w:rsid w:val="1FEF778D"/>
    <w:rsid w:val="1FF2253F"/>
    <w:rsid w:val="1FF97D5D"/>
    <w:rsid w:val="2007076B"/>
    <w:rsid w:val="200D6CDC"/>
    <w:rsid w:val="201104DC"/>
    <w:rsid w:val="20255F47"/>
    <w:rsid w:val="20362618"/>
    <w:rsid w:val="20370AC0"/>
    <w:rsid w:val="203E44CA"/>
    <w:rsid w:val="204A6E7E"/>
    <w:rsid w:val="205814EE"/>
    <w:rsid w:val="205C1B27"/>
    <w:rsid w:val="206105D8"/>
    <w:rsid w:val="20770607"/>
    <w:rsid w:val="207E23D3"/>
    <w:rsid w:val="20991337"/>
    <w:rsid w:val="209B0E9B"/>
    <w:rsid w:val="20A32465"/>
    <w:rsid w:val="20A62618"/>
    <w:rsid w:val="20B76671"/>
    <w:rsid w:val="20B82D8A"/>
    <w:rsid w:val="20BA532F"/>
    <w:rsid w:val="20E37E06"/>
    <w:rsid w:val="20EF33B9"/>
    <w:rsid w:val="20F54A3C"/>
    <w:rsid w:val="20F55347"/>
    <w:rsid w:val="210B52EF"/>
    <w:rsid w:val="210D0463"/>
    <w:rsid w:val="210D3C8F"/>
    <w:rsid w:val="211366F0"/>
    <w:rsid w:val="211A14EA"/>
    <w:rsid w:val="21242BB3"/>
    <w:rsid w:val="212D46F9"/>
    <w:rsid w:val="213B0266"/>
    <w:rsid w:val="214E61DD"/>
    <w:rsid w:val="214F7D87"/>
    <w:rsid w:val="2163228C"/>
    <w:rsid w:val="216F693B"/>
    <w:rsid w:val="217C5FFE"/>
    <w:rsid w:val="218D6F67"/>
    <w:rsid w:val="2194599D"/>
    <w:rsid w:val="21975CD7"/>
    <w:rsid w:val="21A467C4"/>
    <w:rsid w:val="21A74396"/>
    <w:rsid w:val="21B26104"/>
    <w:rsid w:val="21BE6993"/>
    <w:rsid w:val="21C56E35"/>
    <w:rsid w:val="21C92085"/>
    <w:rsid w:val="21CF078F"/>
    <w:rsid w:val="21D374A0"/>
    <w:rsid w:val="21DA4117"/>
    <w:rsid w:val="21DB6968"/>
    <w:rsid w:val="21DF6E89"/>
    <w:rsid w:val="21F95E19"/>
    <w:rsid w:val="220C1167"/>
    <w:rsid w:val="220D22C6"/>
    <w:rsid w:val="22124F59"/>
    <w:rsid w:val="221E685B"/>
    <w:rsid w:val="222E3E13"/>
    <w:rsid w:val="223A119F"/>
    <w:rsid w:val="223A18C0"/>
    <w:rsid w:val="224C2DA8"/>
    <w:rsid w:val="22532B79"/>
    <w:rsid w:val="225358D4"/>
    <w:rsid w:val="2258515E"/>
    <w:rsid w:val="226D351E"/>
    <w:rsid w:val="226D4F80"/>
    <w:rsid w:val="22785A5A"/>
    <w:rsid w:val="227F2DA6"/>
    <w:rsid w:val="228055B4"/>
    <w:rsid w:val="22833F45"/>
    <w:rsid w:val="22950455"/>
    <w:rsid w:val="22A01E14"/>
    <w:rsid w:val="22A878E2"/>
    <w:rsid w:val="22BD1A29"/>
    <w:rsid w:val="22C423B2"/>
    <w:rsid w:val="22E019B2"/>
    <w:rsid w:val="22E3002F"/>
    <w:rsid w:val="22F15BC4"/>
    <w:rsid w:val="230577FE"/>
    <w:rsid w:val="23105B96"/>
    <w:rsid w:val="23197621"/>
    <w:rsid w:val="23234563"/>
    <w:rsid w:val="2327220F"/>
    <w:rsid w:val="232C3AC1"/>
    <w:rsid w:val="232E6B35"/>
    <w:rsid w:val="23366A48"/>
    <w:rsid w:val="233A23D0"/>
    <w:rsid w:val="233A25DA"/>
    <w:rsid w:val="234418A2"/>
    <w:rsid w:val="23471894"/>
    <w:rsid w:val="238B5C38"/>
    <w:rsid w:val="238C4DFC"/>
    <w:rsid w:val="23972E82"/>
    <w:rsid w:val="23A815B3"/>
    <w:rsid w:val="23AB735C"/>
    <w:rsid w:val="23BB7D2E"/>
    <w:rsid w:val="23BC76E1"/>
    <w:rsid w:val="23BE78F5"/>
    <w:rsid w:val="23BE7F9B"/>
    <w:rsid w:val="23BF5A79"/>
    <w:rsid w:val="23BF7049"/>
    <w:rsid w:val="23C1573C"/>
    <w:rsid w:val="23C35A1F"/>
    <w:rsid w:val="23C5660A"/>
    <w:rsid w:val="23C70A3F"/>
    <w:rsid w:val="23C95EAA"/>
    <w:rsid w:val="23E42977"/>
    <w:rsid w:val="23EF1525"/>
    <w:rsid w:val="23F030F4"/>
    <w:rsid w:val="23FC3497"/>
    <w:rsid w:val="2411671C"/>
    <w:rsid w:val="24172151"/>
    <w:rsid w:val="241C3A56"/>
    <w:rsid w:val="244067E4"/>
    <w:rsid w:val="24495291"/>
    <w:rsid w:val="244F5D41"/>
    <w:rsid w:val="24542D39"/>
    <w:rsid w:val="246127E2"/>
    <w:rsid w:val="24686C3B"/>
    <w:rsid w:val="246B216F"/>
    <w:rsid w:val="24701026"/>
    <w:rsid w:val="24767373"/>
    <w:rsid w:val="248B0F56"/>
    <w:rsid w:val="24916CDC"/>
    <w:rsid w:val="249D0813"/>
    <w:rsid w:val="24A30A7F"/>
    <w:rsid w:val="24AA17E5"/>
    <w:rsid w:val="24AA3232"/>
    <w:rsid w:val="24B0570B"/>
    <w:rsid w:val="24B31B6F"/>
    <w:rsid w:val="24B43C2C"/>
    <w:rsid w:val="24B91956"/>
    <w:rsid w:val="24BC3B09"/>
    <w:rsid w:val="24C257A9"/>
    <w:rsid w:val="24C77765"/>
    <w:rsid w:val="24D66F25"/>
    <w:rsid w:val="24E057C4"/>
    <w:rsid w:val="25007FFD"/>
    <w:rsid w:val="25033C46"/>
    <w:rsid w:val="25134D8E"/>
    <w:rsid w:val="2513763B"/>
    <w:rsid w:val="251C1B55"/>
    <w:rsid w:val="251D3F0C"/>
    <w:rsid w:val="252B6419"/>
    <w:rsid w:val="252D423B"/>
    <w:rsid w:val="25305B7C"/>
    <w:rsid w:val="2540671B"/>
    <w:rsid w:val="2547125A"/>
    <w:rsid w:val="254B4205"/>
    <w:rsid w:val="25547069"/>
    <w:rsid w:val="25627229"/>
    <w:rsid w:val="256306AD"/>
    <w:rsid w:val="25674603"/>
    <w:rsid w:val="25680C79"/>
    <w:rsid w:val="25703A77"/>
    <w:rsid w:val="25731D82"/>
    <w:rsid w:val="25774100"/>
    <w:rsid w:val="258E5C19"/>
    <w:rsid w:val="25987C1C"/>
    <w:rsid w:val="259979B9"/>
    <w:rsid w:val="259D0E7A"/>
    <w:rsid w:val="259E719E"/>
    <w:rsid w:val="25A466AC"/>
    <w:rsid w:val="25A867E9"/>
    <w:rsid w:val="25B033DA"/>
    <w:rsid w:val="25BE050F"/>
    <w:rsid w:val="25D93534"/>
    <w:rsid w:val="25EA1054"/>
    <w:rsid w:val="25FF4BCB"/>
    <w:rsid w:val="26055C3B"/>
    <w:rsid w:val="260F1B90"/>
    <w:rsid w:val="261B3491"/>
    <w:rsid w:val="26433B3A"/>
    <w:rsid w:val="264671A2"/>
    <w:rsid w:val="265D455B"/>
    <w:rsid w:val="2660714A"/>
    <w:rsid w:val="26713527"/>
    <w:rsid w:val="267941FC"/>
    <w:rsid w:val="26797A4A"/>
    <w:rsid w:val="268838D8"/>
    <w:rsid w:val="268F0049"/>
    <w:rsid w:val="26924F6B"/>
    <w:rsid w:val="26A15A40"/>
    <w:rsid w:val="26A26B86"/>
    <w:rsid w:val="26A86318"/>
    <w:rsid w:val="26AF28B9"/>
    <w:rsid w:val="26BB1534"/>
    <w:rsid w:val="26BD48F6"/>
    <w:rsid w:val="26DD5890"/>
    <w:rsid w:val="26E027ED"/>
    <w:rsid w:val="26E60DFC"/>
    <w:rsid w:val="26E76744"/>
    <w:rsid w:val="26F960A4"/>
    <w:rsid w:val="271449C5"/>
    <w:rsid w:val="27287036"/>
    <w:rsid w:val="27470692"/>
    <w:rsid w:val="27474AF6"/>
    <w:rsid w:val="274A7BCF"/>
    <w:rsid w:val="275059A3"/>
    <w:rsid w:val="27544842"/>
    <w:rsid w:val="2761174C"/>
    <w:rsid w:val="276537BE"/>
    <w:rsid w:val="276761C3"/>
    <w:rsid w:val="276F1F46"/>
    <w:rsid w:val="27706487"/>
    <w:rsid w:val="27765CCC"/>
    <w:rsid w:val="2776650B"/>
    <w:rsid w:val="27807455"/>
    <w:rsid w:val="2793322C"/>
    <w:rsid w:val="27937CBF"/>
    <w:rsid w:val="2796679F"/>
    <w:rsid w:val="279715F2"/>
    <w:rsid w:val="279C1A76"/>
    <w:rsid w:val="27A4521D"/>
    <w:rsid w:val="27B92076"/>
    <w:rsid w:val="27C019A1"/>
    <w:rsid w:val="27C0475B"/>
    <w:rsid w:val="27C049E5"/>
    <w:rsid w:val="27C13428"/>
    <w:rsid w:val="27CC217F"/>
    <w:rsid w:val="27D57FC4"/>
    <w:rsid w:val="27D95EEE"/>
    <w:rsid w:val="27FC1044"/>
    <w:rsid w:val="280B3782"/>
    <w:rsid w:val="2814579F"/>
    <w:rsid w:val="28232BA0"/>
    <w:rsid w:val="282518B2"/>
    <w:rsid w:val="283A19A2"/>
    <w:rsid w:val="284435A6"/>
    <w:rsid w:val="28464D84"/>
    <w:rsid w:val="2847604F"/>
    <w:rsid w:val="28496EAB"/>
    <w:rsid w:val="284C411B"/>
    <w:rsid w:val="284C7F48"/>
    <w:rsid w:val="28600F20"/>
    <w:rsid w:val="2868005E"/>
    <w:rsid w:val="287472DA"/>
    <w:rsid w:val="28B3373C"/>
    <w:rsid w:val="28B40EE0"/>
    <w:rsid w:val="28BE5DED"/>
    <w:rsid w:val="28BF7CD7"/>
    <w:rsid w:val="28C85798"/>
    <w:rsid w:val="28D95B2E"/>
    <w:rsid w:val="28EB07DD"/>
    <w:rsid w:val="28EE0409"/>
    <w:rsid w:val="2900444B"/>
    <w:rsid w:val="2907676B"/>
    <w:rsid w:val="290A0D78"/>
    <w:rsid w:val="290C05A3"/>
    <w:rsid w:val="29163F70"/>
    <w:rsid w:val="291B2568"/>
    <w:rsid w:val="29362AF4"/>
    <w:rsid w:val="29385DE6"/>
    <w:rsid w:val="294A6CC8"/>
    <w:rsid w:val="294E7FFD"/>
    <w:rsid w:val="296110C4"/>
    <w:rsid w:val="296B7B52"/>
    <w:rsid w:val="298136A3"/>
    <w:rsid w:val="298231F9"/>
    <w:rsid w:val="29854E0D"/>
    <w:rsid w:val="298B7936"/>
    <w:rsid w:val="299202B3"/>
    <w:rsid w:val="29A027DD"/>
    <w:rsid w:val="29A21239"/>
    <w:rsid w:val="29A41CD6"/>
    <w:rsid w:val="29AA1062"/>
    <w:rsid w:val="29B5411F"/>
    <w:rsid w:val="29CB3819"/>
    <w:rsid w:val="29CB45C6"/>
    <w:rsid w:val="29D31BFE"/>
    <w:rsid w:val="29D34493"/>
    <w:rsid w:val="29D74C76"/>
    <w:rsid w:val="29DA46B6"/>
    <w:rsid w:val="29DD6419"/>
    <w:rsid w:val="29EA2E68"/>
    <w:rsid w:val="29F304CF"/>
    <w:rsid w:val="29F824CB"/>
    <w:rsid w:val="29FA6A81"/>
    <w:rsid w:val="29FB47D8"/>
    <w:rsid w:val="2A036AA7"/>
    <w:rsid w:val="2A0B6CFA"/>
    <w:rsid w:val="2A0B7DB3"/>
    <w:rsid w:val="2A0C38CA"/>
    <w:rsid w:val="2A154F89"/>
    <w:rsid w:val="2A174D38"/>
    <w:rsid w:val="2A23423E"/>
    <w:rsid w:val="2A403F1C"/>
    <w:rsid w:val="2A407AAE"/>
    <w:rsid w:val="2A514164"/>
    <w:rsid w:val="2A666F32"/>
    <w:rsid w:val="2A9405C0"/>
    <w:rsid w:val="2A9A6E0D"/>
    <w:rsid w:val="2A9C7941"/>
    <w:rsid w:val="2AA51197"/>
    <w:rsid w:val="2AA80911"/>
    <w:rsid w:val="2AB9286D"/>
    <w:rsid w:val="2AB938BD"/>
    <w:rsid w:val="2ABC7A98"/>
    <w:rsid w:val="2ABF780A"/>
    <w:rsid w:val="2AC010CE"/>
    <w:rsid w:val="2AC3007C"/>
    <w:rsid w:val="2AC61D93"/>
    <w:rsid w:val="2ACA242D"/>
    <w:rsid w:val="2ACC1E94"/>
    <w:rsid w:val="2AD00BC1"/>
    <w:rsid w:val="2AE337D3"/>
    <w:rsid w:val="2AEA5D11"/>
    <w:rsid w:val="2AF77543"/>
    <w:rsid w:val="2B010A5D"/>
    <w:rsid w:val="2B160485"/>
    <w:rsid w:val="2B237B69"/>
    <w:rsid w:val="2B263B37"/>
    <w:rsid w:val="2B2E3FF9"/>
    <w:rsid w:val="2B330C7B"/>
    <w:rsid w:val="2B3E06C0"/>
    <w:rsid w:val="2B447724"/>
    <w:rsid w:val="2B475633"/>
    <w:rsid w:val="2B4772A2"/>
    <w:rsid w:val="2B4859F8"/>
    <w:rsid w:val="2B50139C"/>
    <w:rsid w:val="2B5677BD"/>
    <w:rsid w:val="2B577109"/>
    <w:rsid w:val="2B5D2D32"/>
    <w:rsid w:val="2B5F0508"/>
    <w:rsid w:val="2B6457D3"/>
    <w:rsid w:val="2B6D1CB7"/>
    <w:rsid w:val="2B934714"/>
    <w:rsid w:val="2B960774"/>
    <w:rsid w:val="2B9E50AE"/>
    <w:rsid w:val="2BCD59C1"/>
    <w:rsid w:val="2BCD6CF8"/>
    <w:rsid w:val="2BD139B4"/>
    <w:rsid w:val="2BE172DA"/>
    <w:rsid w:val="2BE85627"/>
    <w:rsid w:val="2BEB1394"/>
    <w:rsid w:val="2BF105A4"/>
    <w:rsid w:val="2C04518B"/>
    <w:rsid w:val="2C0A6A50"/>
    <w:rsid w:val="2C0B7CC0"/>
    <w:rsid w:val="2C1705CE"/>
    <w:rsid w:val="2C212E3B"/>
    <w:rsid w:val="2C32572C"/>
    <w:rsid w:val="2C3A0FD5"/>
    <w:rsid w:val="2C3E6DEA"/>
    <w:rsid w:val="2C4723A5"/>
    <w:rsid w:val="2C510C14"/>
    <w:rsid w:val="2C596D31"/>
    <w:rsid w:val="2C6C7076"/>
    <w:rsid w:val="2C6F12DF"/>
    <w:rsid w:val="2C6F4262"/>
    <w:rsid w:val="2C7148F1"/>
    <w:rsid w:val="2C800B19"/>
    <w:rsid w:val="2C8450F2"/>
    <w:rsid w:val="2C886ED7"/>
    <w:rsid w:val="2C8A2986"/>
    <w:rsid w:val="2C903DB4"/>
    <w:rsid w:val="2C9721E0"/>
    <w:rsid w:val="2C9C74E7"/>
    <w:rsid w:val="2CA64292"/>
    <w:rsid w:val="2CAE1798"/>
    <w:rsid w:val="2CBE0DDB"/>
    <w:rsid w:val="2CE40CF0"/>
    <w:rsid w:val="2CFB1FC5"/>
    <w:rsid w:val="2D034D51"/>
    <w:rsid w:val="2D047D49"/>
    <w:rsid w:val="2D0F4023"/>
    <w:rsid w:val="2D1E31DD"/>
    <w:rsid w:val="2D2D74DE"/>
    <w:rsid w:val="2D2E078D"/>
    <w:rsid w:val="2D3447B9"/>
    <w:rsid w:val="2D3643ED"/>
    <w:rsid w:val="2D5166DA"/>
    <w:rsid w:val="2D5353CD"/>
    <w:rsid w:val="2D8A3F1E"/>
    <w:rsid w:val="2D8C0255"/>
    <w:rsid w:val="2D8E1E49"/>
    <w:rsid w:val="2D9152CB"/>
    <w:rsid w:val="2D9323B0"/>
    <w:rsid w:val="2DAA6057"/>
    <w:rsid w:val="2DB04874"/>
    <w:rsid w:val="2DB55ADF"/>
    <w:rsid w:val="2DBB6A7C"/>
    <w:rsid w:val="2DC075F8"/>
    <w:rsid w:val="2DC3643E"/>
    <w:rsid w:val="2DCF53B5"/>
    <w:rsid w:val="2DD64141"/>
    <w:rsid w:val="2DE15AFD"/>
    <w:rsid w:val="2DE52BCD"/>
    <w:rsid w:val="2DE90B8D"/>
    <w:rsid w:val="2DEB00DF"/>
    <w:rsid w:val="2DFA708D"/>
    <w:rsid w:val="2E02281C"/>
    <w:rsid w:val="2E0C4699"/>
    <w:rsid w:val="2E21255F"/>
    <w:rsid w:val="2E222ACB"/>
    <w:rsid w:val="2E26329E"/>
    <w:rsid w:val="2E276120"/>
    <w:rsid w:val="2E2A449D"/>
    <w:rsid w:val="2E32135F"/>
    <w:rsid w:val="2E382F2B"/>
    <w:rsid w:val="2E496FA5"/>
    <w:rsid w:val="2E4E44F4"/>
    <w:rsid w:val="2E670406"/>
    <w:rsid w:val="2E75511A"/>
    <w:rsid w:val="2E782769"/>
    <w:rsid w:val="2E7F1656"/>
    <w:rsid w:val="2E833305"/>
    <w:rsid w:val="2E8356F7"/>
    <w:rsid w:val="2E9674D7"/>
    <w:rsid w:val="2E9E4DC9"/>
    <w:rsid w:val="2EA072B4"/>
    <w:rsid w:val="2EB47DBD"/>
    <w:rsid w:val="2EBA4BB6"/>
    <w:rsid w:val="2EBA5F40"/>
    <w:rsid w:val="2EBD6A83"/>
    <w:rsid w:val="2EC823AC"/>
    <w:rsid w:val="2EC86BB0"/>
    <w:rsid w:val="2ED01FCB"/>
    <w:rsid w:val="2ED74F73"/>
    <w:rsid w:val="2EDB6143"/>
    <w:rsid w:val="2EDB7BB4"/>
    <w:rsid w:val="2EE6221C"/>
    <w:rsid w:val="2F060C16"/>
    <w:rsid w:val="2F123B70"/>
    <w:rsid w:val="2F134A67"/>
    <w:rsid w:val="2F170F6D"/>
    <w:rsid w:val="2F187432"/>
    <w:rsid w:val="2F3A64C5"/>
    <w:rsid w:val="2F3D5532"/>
    <w:rsid w:val="2F482FD4"/>
    <w:rsid w:val="2F6136B8"/>
    <w:rsid w:val="2F615E99"/>
    <w:rsid w:val="2F651FAE"/>
    <w:rsid w:val="2F657F17"/>
    <w:rsid w:val="2F6600FF"/>
    <w:rsid w:val="2F7007AC"/>
    <w:rsid w:val="2F7F51BA"/>
    <w:rsid w:val="2F923CE8"/>
    <w:rsid w:val="2F935E50"/>
    <w:rsid w:val="2F946B7B"/>
    <w:rsid w:val="2F97745F"/>
    <w:rsid w:val="2FA108F2"/>
    <w:rsid w:val="2FA77F16"/>
    <w:rsid w:val="2FB149EE"/>
    <w:rsid w:val="2FB4694C"/>
    <w:rsid w:val="2FCF4E40"/>
    <w:rsid w:val="2FD46015"/>
    <w:rsid w:val="2FDB5816"/>
    <w:rsid w:val="2FDD0ABA"/>
    <w:rsid w:val="2FE27875"/>
    <w:rsid w:val="2FF71A40"/>
    <w:rsid w:val="30002F78"/>
    <w:rsid w:val="300175F6"/>
    <w:rsid w:val="300C3598"/>
    <w:rsid w:val="301B2992"/>
    <w:rsid w:val="301C13D8"/>
    <w:rsid w:val="303D1BE0"/>
    <w:rsid w:val="30401B18"/>
    <w:rsid w:val="30493E7C"/>
    <w:rsid w:val="30514C3E"/>
    <w:rsid w:val="30624974"/>
    <w:rsid w:val="306B5EE9"/>
    <w:rsid w:val="307B58DB"/>
    <w:rsid w:val="30810D0E"/>
    <w:rsid w:val="30816CAB"/>
    <w:rsid w:val="309354FB"/>
    <w:rsid w:val="30A30793"/>
    <w:rsid w:val="30AB48DB"/>
    <w:rsid w:val="30B261F0"/>
    <w:rsid w:val="30BF12A5"/>
    <w:rsid w:val="30C74EA2"/>
    <w:rsid w:val="30DA77E5"/>
    <w:rsid w:val="30DB512D"/>
    <w:rsid w:val="30E11F22"/>
    <w:rsid w:val="30E7089E"/>
    <w:rsid w:val="30E83B62"/>
    <w:rsid w:val="30F65A5C"/>
    <w:rsid w:val="30FB1DB8"/>
    <w:rsid w:val="30FC7C95"/>
    <w:rsid w:val="31022212"/>
    <w:rsid w:val="31074A99"/>
    <w:rsid w:val="310A5868"/>
    <w:rsid w:val="311967E3"/>
    <w:rsid w:val="311A14FA"/>
    <w:rsid w:val="311B268E"/>
    <w:rsid w:val="312B5EBC"/>
    <w:rsid w:val="31315AAE"/>
    <w:rsid w:val="31424F8B"/>
    <w:rsid w:val="315852E4"/>
    <w:rsid w:val="315C12F9"/>
    <w:rsid w:val="315D3538"/>
    <w:rsid w:val="315E6E48"/>
    <w:rsid w:val="316F45A7"/>
    <w:rsid w:val="31753C85"/>
    <w:rsid w:val="317575EB"/>
    <w:rsid w:val="317F31DE"/>
    <w:rsid w:val="31825DDA"/>
    <w:rsid w:val="31880866"/>
    <w:rsid w:val="318D494C"/>
    <w:rsid w:val="31966BEB"/>
    <w:rsid w:val="319D1C1C"/>
    <w:rsid w:val="31A02236"/>
    <w:rsid w:val="31A67C96"/>
    <w:rsid w:val="31A97D06"/>
    <w:rsid w:val="31AA2BC9"/>
    <w:rsid w:val="31AF5AFB"/>
    <w:rsid w:val="31B71129"/>
    <w:rsid w:val="31BB48D1"/>
    <w:rsid w:val="31E85044"/>
    <w:rsid w:val="31EC24FD"/>
    <w:rsid w:val="31F80B55"/>
    <w:rsid w:val="31FD388F"/>
    <w:rsid w:val="32044098"/>
    <w:rsid w:val="3213181F"/>
    <w:rsid w:val="321518BD"/>
    <w:rsid w:val="321651D9"/>
    <w:rsid w:val="321D2825"/>
    <w:rsid w:val="321E22BE"/>
    <w:rsid w:val="32284A16"/>
    <w:rsid w:val="322B1127"/>
    <w:rsid w:val="32364DBE"/>
    <w:rsid w:val="32383E9E"/>
    <w:rsid w:val="32414A7B"/>
    <w:rsid w:val="32417D3C"/>
    <w:rsid w:val="32452E65"/>
    <w:rsid w:val="324B58E0"/>
    <w:rsid w:val="32555110"/>
    <w:rsid w:val="325F0989"/>
    <w:rsid w:val="325F4BC5"/>
    <w:rsid w:val="325F6DC0"/>
    <w:rsid w:val="32601D79"/>
    <w:rsid w:val="3261611D"/>
    <w:rsid w:val="32623D39"/>
    <w:rsid w:val="326362D1"/>
    <w:rsid w:val="327E4826"/>
    <w:rsid w:val="3283431F"/>
    <w:rsid w:val="329D10E1"/>
    <w:rsid w:val="32A13210"/>
    <w:rsid w:val="32AE0BDC"/>
    <w:rsid w:val="32AE6A2F"/>
    <w:rsid w:val="32CA461D"/>
    <w:rsid w:val="32D85BE7"/>
    <w:rsid w:val="32DE2CE2"/>
    <w:rsid w:val="32E544A6"/>
    <w:rsid w:val="32E72D25"/>
    <w:rsid w:val="32EC0181"/>
    <w:rsid w:val="33087EC7"/>
    <w:rsid w:val="33253B0C"/>
    <w:rsid w:val="332678EC"/>
    <w:rsid w:val="33284B58"/>
    <w:rsid w:val="33305640"/>
    <w:rsid w:val="33310686"/>
    <w:rsid w:val="33415D65"/>
    <w:rsid w:val="33422B55"/>
    <w:rsid w:val="334A5B6F"/>
    <w:rsid w:val="33576B0C"/>
    <w:rsid w:val="33605351"/>
    <w:rsid w:val="33637024"/>
    <w:rsid w:val="336708B0"/>
    <w:rsid w:val="336C13DF"/>
    <w:rsid w:val="336F4CBA"/>
    <w:rsid w:val="337E0AA1"/>
    <w:rsid w:val="3380095F"/>
    <w:rsid w:val="3386377E"/>
    <w:rsid w:val="33996674"/>
    <w:rsid w:val="339B030E"/>
    <w:rsid w:val="33A03410"/>
    <w:rsid w:val="33B62777"/>
    <w:rsid w:val="33BD2AB8"/>
    <w:rsid w:val="33C2168A"/>
    <w:rsid w:val="33C95FB4"/>
    <w:rsid w:val="33DC1129"/>
    <w:rsid w:val="33E25BB0"/>
    <w:rsid w:val="33E52F71"/>
    <w:rsid w:val="33F237F2"/>
    <w:rsid w:val="33F37BE4"/>
    <w:rsid w:val="33F53E18"/>
    <w:rsid w:val="34020B56"/>
    <w:rsid w:val="340225C1"/>
    <w:rsid w:val="341E78E4"/>
    <w:rsid w:val="342069BA"/>
    <w:rsid w:val="342E51EF"/>
    <w:rsid w:val="34331D80"/>
    <w:rsid w:val="34382CAF"/>
    <w:rsid w:val="343F4219"/>
    <w:rsid w:val="3441411C"/>
    <w:rsid w:val="34434243"/>
    <w:rsid w:val="344B05C8"/>
    <w:rsid w:val="34510D2B"/>
    <w:rsid w:val="34566242"/>
    <w:rsid w:val="34573E26"/>
    <w:rsid w:val="345C52C2"/>
    <w:rsid w:val="3480525B"/>
    <w:rsid w:val="348442A4"/>
    <w:rsid w:val="34874DBB"/>
    <w:rsid w:val="349A0324"/>
    <w:rsid w:val="34A70CDB"/>
    <w:rsid w:val="34B70C5D"/>
    <w:rsid w:val="34BB756E"/>
    <w:rsid w:val="34BF180D"/>
    <w:rsid w:val="34CB0605"/>
    <w:rsid w:val="34D2441F"/>
    <w:rsid w:val="34D814E0"/>
    <w:rsid w:val="34E2226E"/>
    <w:rsid w:val="34E32AFA"/>
    <w:rsid w:val="34E3532F"/>
    <w:rsid w:val="34E93C34"/>
    <w:rsid w:val="34EB3890"/>
    <w:rsid w:val="34F759BD"/>
    <w:rsid w:val="34FF604D"/>
    <w:rsid w:val="35087859"/>
    <w:rsid w:val="35195BAE"/>
    <w:rsid w:val="352765C3"/>
    <w:rsid w:val="3528409C"/>
    <w:rsid w:val="35323B2F"/>
    <w:rsid w:val="353E0BF2"/>
    <w:rsid w:val="35482481"/>
    <w:rsid w:val="355610D5"/>
    <w:rsid w:val="356E3BA6"/>
    <w:rsid w:val="3570539B"/>
    <w:rsid w:val="35730013"/>
    <w:rsid w:val="357E0CC8"/>
    <w:rsid w:val="359E5308"/>
    <w:rsid w:val="35A52C45"/>
    <w:rsid w:val="35AF4AF5"/>
    <w:rsid w:val="35B24B64"/>
    <w:rsid w:val="35B51984"/>
    <w:rsid w:val="35B96ECA"/>
    <w:rsid w:val="35C5659E"/>
    <w:rsid w:val="35E76F7F"/>
    <w:rsid w:val="35E924C2"/>
    <w:rsid w:val="35EB3439"/>
    <w:rsid w:val="35F86D11"/>
    <w:rsid w:val="35FF5F66"/>
    <w:rsid w:val="36091558"/>
    <w:rsid w:val="36183F68"/>
    <w:rsid w:val="36213274"/>
    <w:rsid w:val="362C4349"/>
    <w:rsid w:val="362D6FE5"/>
    <w:rsid w:val="362F756D"/>
    <w:rsid w:val="363208F4"/>
    <w:rsid w:val="363F2848"/>
    <w:rsid w:val="36437481"/>
    <w:rsid w:val="36551D58"/>
    <w:rsid w:val="3656174A"/>
    <w:rsid w:val="365773E9"/>
    <w:rsid w:val="36732717"/>
    <w:rsid w:val="367F35F9"/>
    <w:rsid w:val="3687461A"/>
    <w:rsid w:val="36897B94"/>
    <w:rsid w:val="369C035B"/>
    <w:rsid w:val="36B653DA"/>
    <w:rsid w:val="36BD7729"/>
    <w:rsid w:val="36C60672"/>
    <w:rsid w:val="36C90D7A"/>
    <w:rsid w:val="36CC2482"/>
    <w:rsid w:val="36E0090E"/>
    <w:rsid w:val="36F179B6"/>
    <w:rsid w:val="37031CDE"/>
    <w:rsid w:val="370C285B"/>
    <w:rsid w:val="37191BA5"/>
    <w:rsid w:val="371C2DC3"/>
    <w:rsid w:val="37272408"/>
    <w:rsid w:val="372D1DFB"/>
    <w:rsid w:val="373F73CE"/>
    <w:rsid w:val="37400D06"/>
    <w:rsid w:val="374C0FFB"/>
    <w:rsid w:val="375872A4"/>
    <w:rsid w:val="375B6F52"/>
    <w:rsid w:val="375E3223"/>
    <w:rsid w:val="375E3B25"/>
    <w:rsid w:val="375F01C2"/>
    <w:rsid w:val="377275AD"/>
    <w:rsid w:val="37781551"/>
    <w:rsid w:val="37791411"/>
    <w:rsid w:val="37812FFC"/>
    <w:rsid w:val="37A67206"/>
    <w:rsid w:val="37BE5353"/>
    <w:rsid w:val="37CE55D8"/>
    <w:rsid w:val="37DF4436"/>
    <w:rsid w:val="37E507B1"/>
    <w:rsid w:val="37E57E20"/>
    <w:rsid w:val="37E67590"/>
    <w:rsid w:val="37E87F55"/>
    <w:rsid w:val="37ED20C7"/>
    <w:rsid w:val="37F22A02"/>
    <w:rsid w:val="37FA6EB6"/>
    <w:rsid w:val="380F39EF"/>
    <w:rsid w:val="38231920"/>
    <w:rsid w:val="38347646"/>
    <w:rsid w:val="38384D55"/>
    <w:rsid w:val="38445999"/>
    <w:rsid w:val="384B1A20"/>
    <w:rsid w:val="384C6A07"/>
    <w:rsid w:val="3850132C"/>
    <w:rsid w:val="38511821"/>
    <w:rsid w:val="386E4CA0"/>
    <w:rsid w:val="38894427"/>
    <w:rsid w:val="38992431"/>
    <w:rsid w:val="38A1616A"/>
    <w:rsid w:val="38A327F3"/>
    <w:rsid w:val="38A33D21"/>
    <w:rsid w:val="38A93BD9"/>
    <w:rsid w:val="38B212D8"/>
    <w:rsid w:val="38B309CB"/>
    <w:rsid w:val="38C144FA"/>
    <w:rsid w:val="38CA3A67"/>
    <w:rsid w:val="38CD44D3"/>
    <w:rsid w:val="38E0052A"/>
    <w:rsid w:val="38E622FF"/>
    <w:rsid w:val="38F778A2"/>
    <w:rsid w:val="39037B98"/>
    <w:rsid w:val="39056CE1"/>
    <w:rsid w:val="39082F9F"/>
    <w:rsid w:val="39181F24"/>
    <w:rsid w:val="39231B3B"/>
    <w:rsid w:val="39292B76"/>
    <w:rsid w:val="392C0708"/>
    <w:rsid w:val="392F164E"/>
    <w:rsid w:val="39314287"/>
    <w:rsid w:val="3935505C"/>
    <w:rsid w:val="39373F56"/>
    <w:rsid w:val="393C530F"/>
    <w:rsid w:val="394A2C34"/>
    <w:rsid w:val="3954676D"/>
    <w:rsid w:val="39584721"/>
    <w:rsid w:val="3963207D"/>
    <w:rsid w:val="39747F2F"/>
    <w:rsid w:val="397A332D"/>
    <w:rsid w:val="39874BF4"/>
    <w:rsid w:val="398C5734"/>
    <w:rsid w:val="399272D6"/>
    <w:rsid w:val="39A3294A"/>
    <w:rsid w:val="39A626C2"/>
    <w:rsid w:val="39A666FB"/>
    <w:rsid w:val="39AC6DFA"/>
    <w:rsid w:val="39B04268"/>
    <w:rsid w:val="39B56FAC"/>
    <w:rsid w:val="39C67233"/>
    <w:rsid w:val="39C75357"/>
    <w:rsid w:val="39D45BFF"/>
    <w:rsid w:val="39E5556C"/>
    <w:rsid w:val="39F46694"/>
    <w:rsid w:val="3A011B40"/>
    <w:rsid w:val="3A021593"/>
    <w:rsid w:val="3A02631D"/>
    <w:rsid w:val="3A0A48B6"/>
    <w:rsid w:val="3A0C6858"/>
    <w:rsid w:val="3A0D4308"/>
    <w:rsid w:val="3A0F1140"/>
    <w:rsid w:val="3A112DEB"/>
    <w:rsid w:val="3A1A349A"/>
    <w:rsid w:val="3A2A0D37"/>
    <w:rsid w:val="3A372A40"/>
    <w:rsid w:val="3A6F0AE6"/>
    <w:rsid w:val="3A7402D3"/>
    <w:rsid w:val="3A7F4B06"/>
    <w:rsid w:val="3A860002"/>
    <w:rsid w:val="3A8810C1"/>
    <w:rsid w:val="3A943787"/>
    <w:rsid w:val="3A984259"/>
    <w:rsid w:val="3A984E57"/>
    <w:rsid w:val="3A991437"/>
    <w:rsid w:val="3A9C3F57"/>
    <w:rsid w:val="3AAB598F"/>
    <w:rsid w:val="3AB055C3"/>
    <w:rsid w:val="3ABB7A66"/>
    <w:rsid w:val="3AC619B4"/>
    <w:rsid w:val="3AD26C35"/>
    <w:rsid w:val="3ADE2B3F"/>
    <w:rsid w:val="3AE45E71"/>
    <w:rsid w:val="3AEB54BA"/>
    <w:rsid w:val="3AF11AF3"/>
    <w:rsid w:val="3AF1335E"/>
    <w:rsid w:val="3AFA0E51"/>
    <w:rsid w:val="3B01214D"/>
    <w:rsid w:val="3B045BDA"/>
    <w:rsid w:val="3B171CCB"/>
    <w:rsid w:val="3B180D81"/>
    <w:rsid w:val="3B1E471A"/>
    <w:rsid w:val="3B3B781D"/>
    <w:rsid w:val="3B486269"/>
    <w:rsid w:val="3B4F7F43"/>
    <w:rsid w:val="3B590D2D"/>
    <w:rsid w:val="3B717DF3"/>
    <w:rsid w:val="3B85658D"/>
    <w:rsid w:val="3B8E5532"/>
    <w:rsid w:val="3B9D583A"/>
    <w:rsid w:val="3BA57A2E"/>
    <w:rsid w:val="3BB01ACC"/>
    <w:rsid w:val="3BB5470E"/>
    <w:rsid w:val="3BB775B7"/>
    <w:rsid w:val="3BBB0A3A"/>
    <w:rsid w:val="3BC6436A"/>
    <w:rsid w:val="3BCA0133"/>
    <w:rsid w:val="3BCE4CB4"/>
    <w:rsid w:val="3BD144D1"/>
    <w:rsid w:val="3BD972E6"/>
    <w:rsid w:val="3BF933D2"/>
    <w:rsid w:val="3C0C7972"/>
    <w:rsid w:val="3C173921"/>
    <w:rsid w:val="3C1A660A"/>
    <w:rsid w:val="3C2077B1"/>
    <w:rsid w:val="3C3D1534"/>
    <w:rsid w:val="3C3F0A69"/>
    <w:rsid w:val="3C463486"/>
    <w:rsid w:val="3C52157C"/>
    <w:rsid w:val="3C5B31E1"/>
    <w:rsid w:val="3C672DD0"/>
    <w:rsid w:val="3C874F87"/>
    <w:rsid w:val="3C8A0F4A"/>
    <w:rsid w:val="3C94676F"/>
    <w:rsid w:val="3C9A63BF"/>
    <w:rsid w:val="3C9A63F7"/>
    <w:rsid w:val="3C9C43A5"/>
    <w:rsid w:val="3CA13D3F"/>
    <w:rsid w:val="3CA159B2"/>
    <w:rsid w:val="3CA40D02"/>
    <w:rsid w:val="3CA64A6D"/>
    <w:rsid w:val="3CA97154"/>
    <w:rsid w:val="3CB3228E"/>
    <w:rsid w:val="3CB734A5"/>
    <w:rsid w:val="3CC0504D"/>
    <w:rsid w:val="3CC23245"/>
    <w:rsid w:val="3CC92DC1"/>
    <w:rsid w:val="3CD11880"/>
    <w:rsid w:val="3CD731A7"/>
    <w:rsid w:val="3CE45811"/>
    <w:rsid w:val="3CEB0EF6"/>
    <w:rsid w:val="3CFC38EF"/>
    <w:rsid w:val="3D027F69"/>
    <w:rsid w:val="3D0E064D"/>
    <w:rsid w:val="3D252DE3"/>
    <w:rsid w:val="3D3F229D"/>
    <w:rsid w:val="3D407602"/>
    <w:rsid w:val="3D4E10F9"/>
    <w:rsid w:val="3D606F05"/>
    <w:rsid w:val="3D7A6648"/>
    <w:rsid w:val="3D7E3E57"/>
    <w:rsid w:val="3D8E0819"/>
    <w:rsid w:val="3D9D2D73"/>
    <w:rsid w:val="3DA468E5"/>
    <w:rsid w:val="3DAA2022"/>
    <w:rsid w:val="3DAA34EA"/>
    <w:rsid w:val="3DBA4850"/>
    <w:rsid w:val="3DBC358B"/>
    <w:rsid w:val="3DC37703"/>
    <w:rsid w:val="3DCC2731"/>
    <w:rsid w:val="3DE06B37"/>
    <w:rsid w:val="3DE3611F"/>
    <w:rsid w:val="3DE42C19"/>
    <w:rsid w:val="3DE6740A"/>
    <w:rsid w:val="3DF220F7"/>
    <w:rsid w:val="3DFA0484"/>
    <w:rsid w:val="3E0A0D25"/>
    <w:rsid w:val="3E0E603D"/>
    <w:rsid w:val="3E224F33"/>
    <w:rsid w:val="3E27673B"/>
    <w:rsid w:val="3E2F28A0"/>
    <w:rsid w:val="3E32017C"/>
    <w:rsid w:val="3E366A1F"/>
    <w:rsid w:val="3E383501"/>
    <w:rsid w:val="3E4239C2"/>
    <w:rsid w:val="3E4C6C3D"/>
    <w:rsid w:val="3E4E4BB2"/>
    <w:rsid w:val="3E4F389C"/>
    <w:rsid w:val="3E594368"/>
    <w:rsid w:val="3E6B7605"/>
    <w:rsid w:val="3E6C68E2"/>
    <w:rsid w:val="3E7428DB"/>
    <w:rsid w:val="3E835A5E"/>
    <w:rsid w:val="3E930162"/>
    <w:rsid w:val="3E984155"/>
    <w:rsid w:val="3E9D7B23"/>
    <w:rsid w:val="3EA41884"/>
    <w:rsid w:val="3EB238AB"/>
    <w:rsid w:val="3ED25BE0"/>
    <w:rsid w:val="3EE01B61"/>
    <w:rsid w:val="3EE34B0A"/>
    <w:rsid w:val="3EF82E9E"/>
    <w:rsid w:val="3F095114"/>
    <w:rsid w:val="3F147806"/>
    <w:rsid w:val="3F1A6DCD"/>
    <w:rsid w:val="3F210920"/>
    <w:rsid w:val="3F2823C6"/>
    <w:rsid w:val="3F311D24"/>
    <w:rsid w:val="3F4632B5"/>
    <w:rsid w:val="3F52610C"/>
    <w:rsid w:val="3F553322"/>
    <w:rsid w:val="3F6137A7"/>
    <w:rsid w:val="3F8468F7"/>
    <w:rsid w:val="3F887DB0"/>
    <w:rsid w:val="3F893928"/>
    <w:rsid w:val="3F8A4200"/>
    <w:rsid w:val="3F8D112E"/>
    <w:rsid w:val="3F8F16FD"/>
    <w:rsid w:val="3FB248B9"/>
    <w:rsid w:val="3FC90114"/>
    <w:rsid w:val="3FCC0707"/>
    <w:rsid w:val="3FD55C3E"/>
    <w:rsid w:val="3FFD66B0"/>
    <w:rsid w:val="40071E95"/>
    <w:rsid w:val="400B0320"/>
    <w:rsid w:val="401D755D"/>
    <w:rsid w:val="40232EFD"/>
    <w:rsid w:val="402869B0"/>
    <w:rsid w:val="402B26A5"/>
    <w:rsid w:val="402F52E0"/>
    <w:rsid w:val="403B6DB8"/>
    <w:rsid w:val="405D597D"/>
    <w:rsid w:val="406B4BCA"/>
    <w:rsid w:val="406D5BC1"/>
    <w:rsid w:val="407061A3"/>
    <w:rsid w:val="40712CD3"/>
    <w:rsid w:val="407843FD"/>
    <w:rsid w:val="408074CF"/>
    <w:rsid w:val="40864A18"/>
    <w:rsid w:val="4094757D"/>
    <w:rsid w:val="409616BE"/>
    <w:rsid w:val="409958F2"/>
    <w:rsid w:val="409E7D72"/>
    <w:rsid w:val="40A42EDE"/>
    <w:rsid w:val="40A878E0"/>
    <w:rsid w:val="40B801A2"/>
    <w:rsid w:val="40B90E06"/>
    <w:rsid w:val="40C06F0F"/>
    <w:rsid w:val="40D10E43"/>
    <w:rsid w:val="40D13EBC"/>
    <w:rsid w:val="40D31AEE"/>
    <w:rsid w:val="40F251DF"/>
    <w:rsid w:val="40F5646E"/>
    <w:rsid w:val="40F74BD4"/>
    <w:rsid w:val="41147E74"/>
    <w:rsid w:val="41161745"/>
    <w:rsid w:val="412725C3"/>
    <w:rsid w:val="413F3DAD"/>
    <w:rsid w:val="415A7F42"/>
    <w:rsid w:val="41606B0F"/>
    <w:rsid w:val="4176595D"/>
    <w:rsid w:val="417742D6"/>
    <w:rsid w:val="41840D00"/>
    <w:rsid w:val="418911B1"/>
    <w:rsid w:val="41930637"/>
    <w:rsid w:val="419A5A73"/>
    <w:rsid w:val="419B6825"/>
    <w:rsid w:val="41A702E4"/>
    <w:rsid w:val="41AD0038"/>
    <w:rsid w:val="41AD6A17"/>
    <w:rsid w:val="41AE60D9"/>
    <w:rsid w:val="41AF3FB7"/>
    <w:rsid w:val="41B86741"/>
    <w:rsid w:val="41BC394E"/>
    <w:rsid w:val="41C039E0"/>
    <w:rsid w:val="41C07315"/>
    <w:rsid w:val="41C80877"/>
    <w:rsid w:val="41DC4BD7"/>
    <w:rsid w:val="41DE7CA4"/>
    <w:rsid w:val="41EA437F"/>
    <w:rsid w:val="420763C9"/>
    <w:rsid w:val="42140AC2"/>
    <w:rsid w:val="423515C0"/>
    <w:rsid w:val="423F7DA1"/>
    <w:rsid w:val="424D2F4F"/>
    <w:rsid w:val="425B6C32"/>
    <w:rsid w:val="425F33EC"/>
    <w:rsid w:val="42601818"/>
    <w:rsid w:val="42626383"/>
    <w:rsid w:val="42670517"/>
    <w:rsid w:val="426822E7"/>
    <w:rsid w:val="426D56AA"/>
    <w:rsid w:val="42763F18"/>
    <w:rsid w:val="4278084D"/>
    <w:rsid w:val="428C64B0"/>
    <w:rsid w:val="428D5136"/>
    <w:rsid w:val="42946C29"/>
    <w:rsid w:val="429F6FEB"/>
    <w:rsid w:val="42AB320E"/>
    <w:rsid w:val="42B8590F"/>
    <w:rsid w:val="42C34694"/>
    <w:rsid w:val="42C73875"/>
    <w:rsid w:val="42D3598F"/>
    <w:rsid w:val="42D90712"/>
    <w:rsid w:val="42D92E53"/>
    <w:rsid w:val="42F17064"/>
    <w:rsid w:val="42FA44F3"/>
    <w:rsid w:val="42FC4A57"/>
    <w:rsid w:val="43005E08"/>
    <w:rsid w:val="43353223"/>
    <w:rsid w:val="433A7F7D"/>
    <w:rsid w:val="433B22A9"/>
    <w:rsid w:val="433E5A77"/>
    <w:rsid w:val="433E6CF6"/>
    <w:rsid w:val="43461E74"/>
    <w:rsid w:val="434A4627"/>
    <w:rsid w:val="434C2684"/>
    <w:rsid w:val="4351211A"/>
    <w:rsid w:val="435463C2"/>
    <w:rsid w:val="436714B5"/>
    <w:rsid w:val="436A182A"/>
    <w:rsid w:val="436A6C75"/>
    <w:rsid w:val="43741701"/>
    <w:rsid w:val="43795251"/>
    <w:rsid w:val="43814FE1"/>
    <w:rsid w:val="439739B9"/>
    <w:rsid w:val="43982946"/>
    <w:rsid w:val="43A542C5"/>
    <w:rsid w:val="43A66B30"/>
    <w:rsid w:val="43B15BAE"/>
    <w:rsid w:val="43F0593A"/>
    <w:rsid w:val="43F34D06"/>
    <w:rsid w:val="43F96AB9"/>
    <w:rsid w:val="44003AFA"/>
    <w:rsid w:val="440B5DDE"/>
    <w:rsid w:val="440F0B68"/>
    <w:rsid w:val="44106AC7"/>
    <w:rsid w:val="44131296"/>
    <w:rsid w:val="441F54F7"/>
    <w:rsid w:val="44406C8E"/>
    <w:rsid w:val="44430D1A"/>
    <w:rsid w:val="44435B47"/>
    <w:rsid w:val="445871F4"/>
    <w:rsid w:val="44652BC8"/>
    <w:rsid w:val="4474721C"/>
    <w:rsid w:val="447A2694"/>
    <w:rsid w:val="447B6A47"/>
    <w:rsid w:val="448142B2"/>
    <w:rsid w:val="44855649"/>
    <w:rsid w:val="44862E8C"/>
    <w:rsid w:val="448A5074"/>
    <w:rsid w:val="44972924"/>
    <w:rsid w:val="44B45533"/>
    <w:rsid w:val="44C9369E"/>
    <w:rsid w:val="44DC58DA"/>
    <w:rsid w:val="44E12E1C"/>
    <w:rsid w:val="44E16245"/>
    <w:rsid w:val="44EB13B4"/>
    <w:rsid w:val="44EF6E81"/>
    <w:rsid w:val="44F922EE"/>
    <w:rsid w:val="45040FEB"/>
    <w:rsid w:val="45136928"/>
    <w:rsid w:val="45280D69"/>
    <w:rsid w:val="452E14B3"/>
    <w:rsid w:val="45335F17"/>
    <w:rsid w:val="453C3197"/>
    <w:rsid w:val="453C53CD"/>
    <w:rsid w:val="453E3908"/>
    <w:rsid w:val="4541080F"/>
    <w:rsid w:val="45611C20"/>
    <w:rsid w:val="456A5403"/>
    <w:rsid w:val="45733872"/>
    <w:rsid w:val="45774C12"/>
    <w:rsid w:val="45883080"/>
    <w:rsid w:val="458C51F1"/>
    <w:rsid w:val="458D0756"/>
    <w:rsid w:val="459952FB"/>
    <w:rsid w:val="459A02D5"/>
    <w:rsid w:val="459B7F5F"/>
    <w:rsid w:val="459C22CD"/>
    <w:rsid w:val="459F7969"/>
    <w:rsid w:val="45A07E38"/>
    <w:rsid w:val="45AA540E"/>
    <w:rsid w:val="45AD7FF4"/>
    <w:rsid w:val="45B478A2"/>
    <w:rsid w:val="45C55DEB"/>
    <w:rsid w:val="45DE4D06"/>
    <w:rsid w:val="45EB69F7"/>
    <w:rsid w:val="45F45CFD"/>
    <w:rsid w:val="45F821EA"/>
    <w:rsid w:val="46086916"/>
    <w:rsid w:val="460B013D"/>
    <w:rsid w:val="461C48C3"/>
    <w:rsid w:val="461E71F2"/>
    <w:rsid w:val="46202424"/>
    <w:rsid w:val="4621284C"/>
    <w:rsid w:val="462250B9"/>
    <w:rsid w:val="46257199"/>
    <w:rsid w:val="46293AE3"/>
    <w:rsid w:val="462976A4"/>
    <w:rsid w:val="462A1C85"/>
    <w:rsid w:val="464B184C"/>
    <w:rsid w:val="46575038"/>
    <w:rsid w:val="465970CF"/>
    <w:rsid w:val="466E1FB0"/>
    <w:rsid w:val="4679567B"/>
    <w:rsid w:val="469766FF"/>
    <w:rsid w:val="46987264"/>
    <w:rsid w:val="469F09A5"/>
    <w:rsid w:val="46B165BE"/>
    <w:rsid w:val="46B7519F"/>
    <w:rsid w:val="46BC37C5"/>
    <w:rsid w:val="46BF5B64"/>
    <w:rsid w:val="46CA608B"/>
    <w:rsid w:val="46CB482E"/>
    <w:rsid w:val="46CC00B3"/>
    <w:rsid w:val="46F2432F"/>
    <w:rsid w:val="47017372"/>
    <w:rsid w:val="47133364"/>
    <w:rsid w:val="47216739"/>
    <w:rsid w:val="4726094E"/>
    <w:rsid w:val="473A0792"/>
    <w:rsid w:val="473B4C43"/>
    <w:rsid w:val="47571F86"/>
    <w:rsid w:val="475C2C0A"/>
    <w:rsid w:val="47687AD5"/>
    <w:rsid w:val="476F21C8"/>
    <w:rsid w:val="478C2ACE"/>
    <w:rsid w:val="478E1A60"/>
    <w:rsid w:val="478F4ECF"/>
    <w:rsid w:val="47951B90"/>
    <w:rsid w:val="479750A8"/>
    <w:rsid w:val="47A04CE1"/>
    <w:rsid w:val="47B50C31"/>
    <w:rsid w:val="47BF2FED"/>
    <w:rsid w:val="47CA620B"/>
    <w:rsid w:val="47DD4D76"/>
    <w:rsid w:val="47F27298"/>
    <w:rsid w:val="48005559"/>
    <w:rsid w:val="48040009"/>
    <w:rsid w:val="480A450B"/>
    <w:rsid w:val="4810581B"/>
    <w:rsid w:val="481A751A"/>
    <w:rsid w:val="482D5374"/>
    <w:rsid w:val="4834314E"/>
    <w:rsid w:val="483C77F0"/>
    <w:rsid w:val="48415828"/>
    <w:rsid w:val="484D390E"/>
    <w:rsid w:val="48521AE8"/>
    <w:rsid w:val="48536032"/>
    <w:rsid w:val="485662AD"/>
    <w:rsid w:val="48594F0B"/>
    <w:rsid w:val="485B710E"/>
    <w:rsid w:val="48636BF3"/>
    <w:rsid w:val="48646C25"/>
    <w:rsid w:val="48683357"/>
    <w:rsid w:val="48696A09"/>
    <w:rsid w:val="48711CAD"/>
    <w:rsid w:val="48764504"/>
    <w:rsid w:val="487A353C"/>
    <w:rsid w:val="487E00E3"/>
    <w:rsid w:val="48857F3B"/>
    <w:rsid w:val="48923D6F"/>
    <w:rsid w:val="48956807"/>
    <w:rsid w:val="48A576E1"/>
    <w:rsid w:val="48AB4DAA"/>
    <w:rsid w:val="48C67C58"/>
    <w:rsid w:val="48C806DF"/>
    <w:rsid w:val="48CD36E4"/>
    <w:rsid w:val="48D2167A"/>
    <w:rsid w:val="48E05E65"/>
    <w:rsid w:val="48E37DAD"/>
    <w:rsid w:val="48E60E10"/>
    <w:rsid w:val="48F30B9E"/>
    <w:rsid w:val="48F77227"/>
    <w:rsid w:val="48F911B3"/>
    <w:rsid w:val="48FA0150"/>
    <w:rsid w:val="490036EF"/>
    <w:rsid w:val="490F1341"/>
    <w:rsid w:val="491B7F49"/>
    <w:rsid w:val="491E10F3"/>
    <w:rsid w:val="491F29B7"/>
    <w:rsid w:val="49252C44"/>
    <w:rsid w:val="492E2812"/>
    <w:rsid w:val="49345F73"/>
    <w:rsid w:val="493E5265"/>
    <w:rsid w:val="49407965"/>
    <w:rsid w:val="494C0E9E"/>
    <w:rsid w:val="495B11DC"/>
    <w:rsid w:val="49615E71"/>
    <w:rsid w:val="496F2B2C"/>
    <w:rsid w:val="49712C51"/>
    <w:rsid w:val="49782C38"/>
    <w:rsid w:val="497C25A8"/>
    <w:rsid w:val="49833AFF"/>
    <w:rsid w:val="498A3C89"/>
    <w:rsid w:val="49933F44"/>
    <w:rsid w:val="49A16309"/>
    <w:rsid w:val="49A520DE"/>
    <w:rsid w:val="49A8588D"/>
    <w:rsid w:val="49AD38EB"/>
    <w:rsid w:val="49BC736F"/>
    <w:rsid w:val="49C25EA4"/>
    <w:rsid w:val="49D13167"/>
    <w:rsid w:val="49D43027"/>
    <w:rsid w:val="49DA7B9D"/>
    <w:rsid w:val="49E859A3"/>
    <w:rsid w:val="49FA5C94"/>
    <w:rsid w:val="49FC2C57"/>
    <w:rsid w:val="4A0718F8"/>
    <w:rsid w:val="4A0C05F4"/>
    <w:rsid w:val="4A153941"/>
    <w:rsid w:val="4A1A65A1"/>
    <w:rsid w:val="4A21169C"/>
    <w:rsid w:val="4A2418A1"/>
    <w:rsid w:val="4A337250"/>
    <w:rsid w:val="4A380B29"/>
    <w:rsid w:val="4A41223F"/>
    <w:rsid w:val="4A5257B0"/>
    <w:rsid w:val="4A643FCE"/>
    <w:rsid w:val="4A730277"/>
    <w:rsid w:val="4A74506F"/>
    <w:rsid w:val="4A792450"/>
    <w:rsid w:val="4A880CD8"/>
    <w:rsid w:val="4A952CE6"/>
    <w:rsid w:val="4A960253"/>
    <w:rsid w:val="4A961EDF"/>
    <w:rsid w:val="4AAA33C7"/>
    <w:rsid w:val="4AB16BDA"/>
    <w:rsid w:val="4AC5157E"/>
    <w:rsid w:val="4ADA771D"/>
    <w:rsid w:val="4ADE01EF"/>
    <w:rsid w:val="4AEF264D"/>
    <w:rsid w:val="4AF116E7"/>
    <w:rsid w:val="4AF82BA1"/>
    <w:rsid w:val="4AFA24E5"/>
    <w:rsid w:val="4B013E59"/>
    <w:rsid w:val="4B017083"/>
    <w:rsid w:val="4B1A34D6"/>
    <w:rsid w:val="4B1B49B1"/>
    <w:rsid w:val="4B285879"/>
    <w:rsid w:val="4B290F84"/>
    <w:rsid w:val="4B302AAC"/>
    <w:rsid w:val="4B42438B"/>
    <w:rsid w:val="4B431A1C"/>
    <w:rsid w:val="4B480C39"/>
    <w:rsid w:val="4B506D50"/>
    <w:rsid w:val="4B537413"/>
    <w:rsid w:val="4B553AEE"/>
    <w:rsid w:val="4B5E63E9"/>
    <w:rsid w:val="4B631E67"/>
    <w:rsid w:val="4B78658C"/>
    <w:rsid w:val="4B78739A"/>
    <w:rsid w:val="4B842F26"/>
    <w:rsid w:val="4B846D9B"/>
    <w:rsid w:val="4B980DB0"/>
    <w:rsid w:val="4B9B144E"/>
    <w:rsid w:val="4B9D3658"/>
    <w:rsid w:val="4B9F32EE"/>
    <w:rsid w:val="4BA661A5"/>
    <w:rsid w:val="4BAC6E2D"/>
    <w:rsid w:val="4BC93CE2"/>
    <w:rsid w:val="4BC973E4"/>
    <w:rsid w:val="4BD32636"/>
    <w:rsid w:val="4BD5567C"/>
    <w:rsid w:val="4BD56113"/>
    <w:rsid w:val="4BE34841"/>
    <w:rsid w:val="4BE55748"/>
    <w:rsid w:val="4C0163EA"/>
    <w:rsid w:val="4C10153A"/>
    <w:rsid w:val="4C276B3A"/>
    <w:rsid w:val="4C294E49"/>
    <w:rsid w:val="4C2E50B6"/>
    <w:rsid w:val="4C312056"/>
    <w:rsid w:val="4C323708"/>
    <w:rsid w:val="4C3E583B"/>
    <w:rsid w:val="4C5B6FAC"/>
    <w:rsid w:val="4C7B0C8D"/>
    <w:rsid w:val="4C8655D5"/>
    <w:rsid w:val="4C974158"/>
    <w:rsid w:val="4CD747F7"/>
    <w:rsid w:val="4CD96241"/>
    <w:rsid w:val="4CE0430A"/>
    <w:rsid w:val="4CE1589C"/>
    <w:rsid w:val="4CF37581"/>
    <w:rsid w:val="4CFA1044"/>
    <w:rsid w:val="4CFA37B0"/>
    <w:rsid w:val="4D04629C"/>
    <w:rsid w:val="4D0646E5"/>
    <w:rsid w:val="4D076874"/>
    <w:rsid w:val="4D0F0D61"/>
    <w:rsid w:val="4D102246"/>
    <w:rsid w:val="4D106124"/>
    <w:rsid w:val="4D205177"/>
    <w:rsid w:val="4D2B0314"/>
    <w:rsid w:val="4D323F5E"/>
    <w:rsid w:val="4D367B16"/>
    <w:rsid w:val="4D444D20"/>
    <w:rsid w:val="4D4A4A7E"/>
    <w:rsid w:val="4D5A12B5"/>
    <w:rsid w:val="4D6707D2"/>
    <w:rsid w:val="4D6E2CDB"/>
    <w:rsid w:val="4D6E3056"/>
    <w:rsid w:val="4D747113"/>
    <w:rsid w:val="4D786452"/>
    <w:rsid w:val="4D7C78CD"/>
    <w:rsid w:val="4D80363C"/>
    <w:rsid w:val="4D820A70"/>
    <w:rsid w:val="4D841A04"/>
    <w:rsid w:val="4D8E73C8"/>
    <w:rsid w:val="4D8F7F46"/>
    <w:rsid w:val="4D980D0E"/>
    <w:rsid w:val="4D9E00A0"/>
    <w:rsid w:val="4DB61F6D"/>
    <w:rsid w:val="4DC90791"/>
    <w:rsid w:val="4DDF2342"/>
    <w:rsid w:val="4DE007CB"/>
    <w:rsid w:val="4DE43254"/>
    <w:rsid w:val="4DEA5B1D"/>
    <w:rsid w:val="4DF910FB"/>
    <w:rsid w:val="4E0B7E73"/>
    <w:rsid w:val="4E0E6280"/>
    <w:rsid w:val="4E0F7543"/>
    <w:rsid w:val="4E142C71"/>
    <w:rsid w:val="4E2C37BD"/>
    <w:rsid w:val="4E3549FF"/>
    <w:rsid w:val="4E3F4AD2"/>
    <w:rsid w:val="4E426A75"/>
    <w:rsid w:val="4E6F2244"/>
    <w:rsid w:val="4E764371"/>
    <w:rsid w:val="4E866675"/>
    <w:rsid w:val="4E872914"/>
    <w:rsid w:val="4E8F1CF0"/>
    <w:rsid w:val="4E8F329D"/>
    <w:rsid w:val="4E9D4F53"/>
    <w:rsid w:val="4EA039AA"/>
    <w:rsid w:val="4EA95BD6"/>
    <w:rsid w:val="4EB473A3"/>
    <w:rsid w:val="4ECA50C8"/>
    <w:rsid w:val="4ED91C29"/>
    <w:rsid w:val="4EDE087A"/>
    <w:rsid w:val="4EE77C3E"/>
    <w:rsid w:val="4EE851C0"/>
    <w:rsid w:val="4EE93840"/>
    <w:rsid w:val="4EEB4CF1"/>
    <w:rsid w:val="4EF84DDA"/>
    <w:rsid w:val="4EFD1053"/>
    <w:rsid w:val="4F0B08C2"/>
    <w:rsid w:val="4F0E29A1"/>
    <w:rsid w:val="4F1454AB"/>
    <w:rsid w:val="4F2F6751"/>
    <w:rsid w:val="4F3B332E"/>
    <w:rsid w:val="4F3C4F6A"/>
    <w:rsid w:val="4F655B16"/>
    <w:rsid w:val="4F766623"/>
    <w:rsid w:val="4F7956FF"/>
    <w:rsid w:val="4F7E577F"/>
    <w:rsid w:val="4F80384C"/>
    <w:rsid w:val="4F870FC3"/>
    <w:rsid w:val="4FB069B0"/>
    <w:rsid w:val="4FB1128D"/>
    <w:rsid w:val="4FB71F08"/>
    <w:rsid w:val="4FB84806"/>
    <w:rsid w:val="4FBF490E"/>
    <w:rsid w:val="4FC10194"/>
    <w:rsid w:val="4FCE27E7"/>
    <w:rsid w:val="4FCF31EB"/>
    <w:rsid w:val="4FD65F9F"/>
    <w:rsid w:val="4FD71F53"/>
    <w:rsid w:val="4FE4508C"/>
    <w:rsid w:val="4FE7415B"/>
    <w:rsid w:val="4FEE30B4"/>
    <w:rsid w:val="4FEE3BC4"/>
    <w:rsid w:val="4FF70926"/>
    <w:rsid w:val="4FFF455B"/>
    <w:rsid w:val="4FFF58D2"/>
    <w:rsid w:val="5001414B"/>
    <w:rsid w:val="50102D64"/>
    <w:rsid w:val="501A4051"/>
    <w:rsid w:val="501C63B3"/>
    <w:rsid w:val="502B127C"/>
    <w:rsid w:val="502E2786"/>
    <w:rsid w:val="50321F5C"/>
    <w:rsid w:val="50354F0D"/>
    <w:rsid w:val="504C6412"/>
    <w:rsid w:val="50531462"/>
    <w:rsid w:val="505B5120"/>
    <w:rsid w:val="50631AE5"/>
    <w:rsid w:val="50683060"/>
    <w:rsid w:val="506B786E"/>
    <w:rsid w:val="5072450A"/>
    <w:rsid w:val="50726AE1"/>
    <w:rsid w:val="50766C8C"/>
    <w:rsid w:val="509C1CBC"/>
    <w:rsid w:val="50B42689"/>
    <w:rsid w:val="50C25677"/>
    <w:rsid w:val="50C358E5"/>
    <w:rsid w:val="50CA1241"/>
    <w:rsid w:val="50CE2615"/>
    <w:rsid w:val="50FE6E67"/>
    <w:rsid w:val="510C3573"/>
    <w:rsid w:val="512B1415"/>
    <w:rsid w:val="515A3ED9"/>
    <w:rsid w:val="51671E4C"/>
    <w:rsid w:val="51687D0B"/>
    <w:rsid w:val="51732176"/>
    <w:rsid w:val="51765829"/>
    <w:rsid w:val="51765E3A"/>
    <w:rsid w:val="517F737A"/>
    <w:rsid w:val="518C7E43"/>
    <w:rsid w:val="51A00297"/>
    <w:rsid w:val="51AF0DEA"/>
    <w:rsid w:val="51B7314F"/>
    <w:rsid w:val="51C95AC5"/>
    <w:rsid w:val="51CF1DAC"/>
    <w:rsid w:val="51D7485F"/>
    <w:rsid w:val="51DF257E"/>
    <w:rsid w:val="51E7154B"/>
    <w:rsid w:val="51FB17C4"/>
    <w:rsid w:val="51FE5437"/>
    <w:rsid w:val="520A2CEA"/>
    <w:rsid w:val="520F08D6"/>
    <w:rsid w:val="52157D00"/>
    <w:rsid w:val="5223214F"/>
    <w:rsid w:val="52311B45"/>
    <w:rsid w:val="52365E16"/>
    <w:rsid w:val="52371E64"/>
    <w:rsid w:val="52481FEA"/>
    <w:rsid w:val="524B585C"/>
    <w:rsid w:val="5267265B"/>
    <w:rsid w:val="526A21F4"/>
    <w:rsid w:val="526D2366"/>
    <w:rsid w:val="527007B7"/>
    <w:rsid w:val="52834E15"/>
    <w:rsid w:val="52882711"/>
    <w:rsid w:val="528B6C97"/>
    <w:rsid w:val="529F4C9C"/>
    <w:rsid w:val="52A86CF1"/>
    <w:rsid w:val="52AF4AE9"/>
    <w:rsid w:val="52B036B2"/>
    <w:rsid w:val="52C310A2"/>
    <w:rsid w:val="52C7188A"/>
    <w:rsid w:val="52CE2423"/>
    <w:rsid w:val="52D20812"/>
    <w:rsid w:val="52D8052E"/>
    <w:rsid w:val="53045761"/>
    <w:rsid w:val="53263F19"/>
    <w:rsid w:val="53310CD0"/>
    <w:rsid w:val="53364CB0"/>
    <w:rsid w:val="5344012C"/>
    <w:rsid w:val="535D2BDD"/>
    <w:rsid w:val="535F669C"/>
    <w:rsid w:val="53627F23"/>
    <w:rsid w:val="53633544"/>
    <w:rsid w:val="53636117"/>
    <w:rsid w:val="53673A73"/>
    <w:rsid w:val="536852FD"/>
    <w:rsid w:val="53734F64"/>
    <w:rsid w:val="5377481D"/>
    <w:rsid w:val="537C70A7"/>
    <w:rsid w:val="53821653"/>
    <w:rsid w:val="53920401"/>
    <w:rsid w:val="5397290A"/>
    <w:rsid w:val="539B6F3E"/>
    <w:rsid w:val="53A21BCD"/>
    <w:rsid w:val="53A76CDC"/>
    <w:rsid w:val="53A97653"/>
    <w:rsid w:val="53C34CE6"/>
    <w:rsid w:val="53C76CAE"/>
    <w:rsid w:val="53DE3AA3"/>
    <w:rsid w:val="53DF4932"/>
    <w:rsid w:val="53EC5C06"/>
    <w:rsid w:val="53FA74D7"/>
    <w:rsid w:val="53FD13B9"/>
    <w:rsid w:val="53FD6956"/>
    <w:rsid w:val="54173E28"/>
    <w:rsid w:val="541F321E"/>
    <w:rsid w:val="542038DC"/>
    <w:rsid w:val="542601B7"/>
    <w:rsid w:val="54486A02"/>
    <w:rsid w:val="5452077E"/>
    <w:rsid w:val="54623A83"/>
    <w:rsid w:val="546507A9"/>
    <w:rsid w:val="54797841"/>
    <w:rsid w:val="547E5FE5"/>
    <w:rsid w:val="548A6E39"/>
    <w:rsid w:val="549613E3"/>
    <w:rsid w:val="54A426DF"/>
    <w:rsid w:val="54B10531"/>
    <w:rsid w:val="54B44382"/>
    <w:rsid w:val="54BD15E8"/>
    <w:rsid w:val="54C34520"/>
    <w:rsid w:val="54C43D3A"/>
    <w:rsid w:val="54CE3D6E"/>
    <w:rsid w:val="54D76C9F"/>
    <w:rsid w:val="54F216A9"/>
    <w:rsid w:val="54F75819"/>
    <w:rsid w:val="54F860CA"/>
    <w:rsid w:val="55014C10"/>
    <w:rsid w:val="5504579C"/>
    <w:rsid w:val="550562A3"/>
    <w:rsid w:val="55062C0B"/>
    <w:rsid w:val="550D26E3"/>
    <w:rsid w:val="550F2969"/>
    <w:rsid w:val="55136336"/>
    <w:rsid w:val="55224377"/>
    <w:rsid w:val="55243ACE"/>
    <w:rsid w:val="553F7309"/>
    <w:rsid w:val="554A468A"/>
    <w:rsid w:val="5557610E"/>
    <w:rsid w:val="55580C49"/>
    <w:rsid w:val="55690263"/>
    <w:rsid w:val="55693FF5"/>
    <w:rsid w:val="557B2633"/>
    <w:rsid w:val="55802971"/>
    <w:rsid w:val="558C51E8"/>
    <w:rsid w:val="558D3358"/>
    <w:rsid w:val="558D738D"/>
    <w:rsid w:val="55A332C1"/>
    <w:rsid w:val="55B92CCC"/>
    <w:rsid w:val="55B94877"/>
    <w:rsid w:val="55BC0A0C"/>
    <w:rsid w:val="55C81451"/>
    <w:rsid w:val="55E82754"/>
    <w:rsid w:val="55EB1BE5"/>
    <w:rsid w:val="5602183C"/>
    <w:rsid w:val="560814F3"/>
    <w:rsid w:val="560F4F3D"/>
    <w:rsid w:val="560F6C49"/>
    <w:rsid w:val="56123770"/>
    <w:rsid w:val="56131739"/>
    <w:rsid w:val="561D1283"/>
    <w:rsid w:val="562F515E"/>
    <w:rsid w:val="563379EC"/>
    <w:rsid w:val="564536E7"/>
    <w:rsid w:val="56474C62"/>
    <w:rsid w:val="565D7167"/>
    <w:rsid w:val="565E3ED0"/>
    <w:rsid w:val="56611801"/>
    <w:rsid w:val="566214CE"/>
    <w:rsid w:val="56632F2B"/>
    <w:rsid w:val="566F73DC"/>
    <w:rsid w:val="567F58AA"/>
    <w:rsid w:val="568B57F2"/>
    <w:rsid w:val="56964A9B"/>
    <w:rsid w:val="56A14DA2"/>
    <w:rsid w:val="56A2715E"/>
    <w:rsid w:val="56B52285"/>
    <w:rsid w:val="56BF4985"/>
    <w:rsid w:val="56BF7433"/>
    <w:rsid w:val="56C34D9E"/>
    <w:rsid w:val="56C71023"/>
    <w:rsid w:val="56CA485A"/>
    <w:rsid w:val="56D7701F"/>
    <w:rsid w:val="56E744CA"/>
    <w:rsid w:val="56EB7FAA"/>
    <w:rsid w:val="56F612ED"/>
    <w:rsid w:val="57014B16"/>
    <w:rsid w:val="57017D90"/>
    <w:rsid w:val="570312A5"/>
    <w:rsid w:val="5719176E"/>
    <w:rsid w:val="57196E8F"/>
    <w:rsid w:val="571B2E44"/>
    <w:rsid w:val="57230436"/>
    <w:rsid w:val="5725277A"/>
    <w:rsid w:val="573F3A30"/>
    <w:rsid w:val="574261E6"/>
    <w:rsid w:val="574B38B0"/>
    <w:rsid w:val="57520464"/>
    <w:rsid w:val="57540152"/>
    <w:rsid w:val="57674F5F"/>
    <w:rsid w:val="5768068F"/>
    <w:rsid w:val="576F167D"/>
    <w:rsid w:val="57703D32"/>
    <w:rsid w:val="5782494B"/>
    <w:rsid w:val="5783169A"/>
    <w:rsid w:val="578725EC"/>
    <w:rsid w:val="5794767C"/>
    <w:rsid w:val="579915C4"/>
    <w:rsid w:val="579A0B0E"/>
    <w:rsid w:val="57A54826"/>
    <w:rsid w:val="57AB43E4"/>
    <w:rsid w:val="57AC7BCD"/>
    <w:rsid w:val="57B820DF"/>
    <w:rsid w:val="57BE4D81"/>
    <w:rsid w:val="57BF4F3E"/>
    <w:rsid w:val="57C151CF"/>
    <w:rsid w:val="57C4744B"/>
    <w:rsid w:val="57CB6E97"/>
    <w:rsid w:val="57CD4C44"/>
    <w:rsid w:val="580077C9"/>
    <w:rsid w:val="580433F2"/>
    <w:rsid w:val="58206A6F"/>
    <w:rsid w:val="583F6AAA"/>
    <w:rsid w:val="58437B54"/>
    <w:rsid w:val="5844500A"/>
    <w:rsid w:val="584E6262"/>
    <w:rsid w:val="585C4C60"/>
    <w:rsid w:val="587156CD"/>
    <w:rsid w:val="58742DFF"/>
    <w:rsid w:val="588406B7"/>
    <w:rsid w:val="5888663B"/>
    <w:rsid w:val="588D3910"/>
    <w:rsid w:val="589715D5"/>
    <w:rsid w:val="58A638E7"/>
    <w:rsid w:val="58D056E1"/>
    <w:rsid w:val="58D1119F"/>
    <w:rsid w:val="58DA4F78"/>
    <w:rsid w:val="58DE41AB"/>
    <w:rsid w:val="58EF5C60"/>
    <w:rsid w:val="58FE6FCA"/>
    <w:rsid w:val="58FF762A"/>
    <w:rsid w:val="59096BBE"/>
    <w:rsid w:val="5914013C"/>
    <w:rsid w:val="5918733D"/>
    <w:rsid w:val="591C689F"/>
    <w:rsid w:val="592055BD"/>
    <w:rsid w:val="59264110"/>
    <w:rsid w:val="592A7446"/>
    <w:rsid w:val="59305DD1"/>
    <w:rsid w:val="59334DD8"/>
    <w:rsid w:val="59361BB2"/>
    <w:rsid w:val="59460EA3"/>
    <w:rsid w:val="594D0493"/>
    <w:rsid w:val="595B1BF3"/>
    <w:rsid w:val="595B6708"/>
    <w:rsid w:val="595F101E"/>
    <w:rsid w:val="596E27B1"/>
    <w:rsid w:val="596F021A"/>
    <w:rsid w:val="5971636B"/>
    <w:rsid w:val="59720C66"/>
    <w:rsid w:val="59720FFC"/>
    <w:rsid w:val="59721187"/>
    <w:rsid w:val="59727F4D"/>
    <w:rsid w:val="5973173C"/>
    <w:rsid w:val="59787000"/>
    <w:rsid w:val="59820CAB"/>
    <w:rsid w:val="59843A43"/>
    <w:rsid w:val="598578C1"/>
    <w:rsid w:val="598C7FBA"/>
    <w:rsid w:val="59AE6A4E"/>
    <w:rsid w:val="59D85ABB"/>
    <w:rsid w:val="59DA134F"/>
    <w:rsid w:val="59E91176"/>
    <w:rsid w:val="59F50BAE"/>
    <w:rsid w:val="5A006802"/>
    <w:rsid w:val="5A014195"/>
    <w:rsid w:val="5A0369F5"/>
    <w:rsid w:val="5A0D46B0"/>
    <w:rsid w:val="5A1F694A"/>
    <w:rsid w:val="5A344070"/>
    <w:rsid w:val="5A3A13E8"/>
    <w:rsid w:val="5A403EEE"/>
    <w:rsid w:val="5A627AD1"/>
    <w:rsid w:val="5A68799F"/>
    <w:rsid w:val="5A6912D9"/>
    <w:rsid w:val="5A6E0A5B"/>
    <w:rsid w:val="5A792075"/>
    <w:rsid w:val="5A7C7E28"/>
    <w:rsid w:val="5A8061C1"/>
    <w:rsid w:val="5A8C6BE3"/>
    <w:rsid w:val="5A9C7775"/>
    <w:rsid w:val="5A9E4C38"/>
    <w:rsid w:val="5AB023D6"/>
    <w:rsid w:val="5AB15E28"/>
    <w:rsid w:val="5AB54070"/>
    <w:rsid w:val="5AB96265"/>
    <w:rsid w:val="5ACB654B"/>
    <w:rsid w:val="5AD0428D"/>
    <w:rsid w:val="5AF02C7C"/>
    <w:rsid w:val="5AFA671D"/>
    <w:rsid w:val="5B0307DD"/>
    <w:rsid w:val="5B071E41"/>
    <w:rsid w:val="5B132AD2"/>
    <w:rsid w:val="5B173EE3"/>
    <w:rsid w:val="5B1824BB"/>
    <w:rsid w:val="5B2665ED"/>
    <w:rsid w:val="5B393E83"/>
    <w:rsid w:val="5B44668D"/>
    <w:rsid w:val="5B4E5B19"/>
    <w:rsid w:val="5B527ED6"/>
    <w:rsid w:val="5B567C2B"/>
    <w:rsid w:val="5B570562"/>
    <w:rsid w:val="5B610DF1"/>
    <w:rsid w:val="5B6D1D18"/>
    <w:rsid w:val="5B7B46A0"/>
    <w:rsid w:val="5B7E3716"/>
    <w:rsid w:val="5B831263"/>
    <w:rsid w:val="5B8D1E5F"/>
    <w:rsid w:val="5B8F3E56"/>
    <w:rsid w:val="5B912E9B"/>
    <w:rsid w:val="5B930FDD"/>
    <w:rsid w:val="5B94067D"/>
    <w:rsid w:val="5BA03388"/>
    <w:rsid w:val="5BA37379"/>
    <w:rsid w:val="5BAC081C"/>
    <w:rsid w:val="5BB803FA"/>
    <w:rsid w:val="5BBA4047"/>
    <w:rsid w:val="5BC24B46"/>
    <w:rsid w:val="5BCE2C3B"/>
    <w:rsid w:val="5BD11715"/>
    <w:rsid w:val="5BD2342A"/>
    <w:rsid w:val="5BE84C5D"/>
    <w:rsid w:val="5BEA2706"/>
    <w:rsid w:val="5BF0355E"/>
    <w:rsid w:val="5C094010"/>
    <w:rsid w:val="5C134705"/>
    <w:rsid w:val="5C14705B"/>
    <w:rsid w:val="5C1678CC"/>
    <w:rsid w:val="5C1C69BE"/>
    <w:rsid w:val="5C350A23"/>
    <w:rsid w:val="5C3E2DC0"/>
    <w:rsid w:val="5C3F18E4"/>
    <w:rsid w:val="5C49312A"/>
    <w:rsid w:val="5C500542"/>
    <w:rsid w:val="5C583089"/>
    <w:rsid w:val="5C6216BC"/>
    <w:rsid w:val="5C6A16D4"/>
    <w:rsid w:val="5C705D7C"/>
    <w:rsid w:val="5C7A1846"/>
    <w:rsid w:val="5C817227"/>
    <w:rsid w:val="5C8D7DE5"/>
    <w:rsid w:val="5CA857C1"/>
    <w:rsid w:val="5CAA51D8"/>
    <w:rsid w:val="5CB02E54"/>
    <w:rsid w:val="5CB14F43"/>
    <w:rsid w:val="5CB3299A"/>
    <w:rsid w:val="5CB6231B"/>
    <w:rsid w:val="5CCA2A1B"/>
    <w:rsid w:val="5CCF549F"/>
    <w:rsid w:val="5CDE755C"/>
    <w:rsid w:val="5CE26489"/>
    <w:rsid w:val="5CEF0ECB"/>
    <w:rsid w:val="5CFF603E"/>
    <w:rsid w:val="5CFF7B75"/>
    <w:rsid w:val="5D0C7EB0"/>
    <w:rsid w:val="5D2349AC"/>
    <w:rsid w:val="5D306630"/>
    <w:rsid w:val="5D44498C"/>
    <w:rsid w:val="5D485B89"/>
    <w:rsid w:val="5D4E3213"/>
    <w:rsid w:val="5D5201C0"/>
    <w:rsid w:val="5D59114A"/>
    <w:rsid w:val="5D625667"/>
    <w:rsid w:val="5D7B2C7B"/>
    <w:rsid w:val="5D7D7554"/>
    <w:rsid w:val="5D8757C4"/>
    <w:rsid w:val="5D947C6F"/>
    <w:rsid w:val="5D9F7077"/>
    <w:rsid w:val="5DA13291"/>
    <w:rsid w:val="5DA4187E"/>
    <w:rsid w:val="5DB37466"/>
    <w:rsid w:val="5DC8076C"/>
    <w:rsid w:val="5DC91ECD"/>
    <w:rsid w:val="5DCD5A1D"/>
    <w:rsid w:val="5DDB0C4B"/>
    <w:rsid w:val="5DEE435D"/>
    <w:rsid w:val="5E2516DE"/>
    <w:rsid w:val="5E2B56AC"/>
    <w:rsid w:val="5E2C2A0D"/>
    <w:rsid w:val="5E351274"/>
    <w:rsid w:val="5E3C46DC"/>
    <w:rsid w:val="5E3E6591"/>
    <w:rsid w:val="5E40270F"/>
    <w:rsid w:val="5E47730F"/>
    <w:rsid w:val="5E4B1C6E"/>
    <w:rsid w:val="5E527C8B"/>
    <w:rsid w:val="5E545997"/>
    <w:rsid w:val="5E602C59"/>
    <w:rsid w:val="5E621EEA"/>
    <w:rsid w:val="5E681937"/>
    <w:rsid w:val="5E697270"/>
    <w:rsid w:val="5E6A420F"/>
    <w:rsid w:val="5E8A7ED0"/>
    <w:rsid w:val="5E8C2D39"/>
    <w:rsid w:val="5E956CD6"/>
    <w:rsid w:val="5E9C06F7"/>
    <w:rsid w:val="5EA42E5C"/>
    <w:rsid w:val="5EAC4904"/>
    <w:rsid w:val="5EB36436"/>
    <w:rsid w:val="5EBE6BE5"/>
    <w:rsid w:val="5EDA01D4"/>
    <w:rsid w:val="5EDA4FFB"/>
    <w:rsid w:val="5EDB4C01"/>
    <w:rsid w:val="5EE66355"/>
    <w:rsid w:val="5EEE60B3"/>
    <w:rsid w:val="5EF97A51"/>
    <w:rsid w:val="5EFC5EC7"/>
    <w:rsid w:val="5F067395"/>
    <w:rsid w:val="5F096EF4"/>
    <w:rsid w:val="5F13737E"/>
    <w:rsid w:val="5F1950F4"/>
    <w:rsid w:val="5F3B05F2"/>
    <w:rsid w:val="5F3F6DE3"/>
    <w:rsid w:val="5F402752"/>
    <w:rsid w:val="5F4F2D77"/>
    <w:rsid w:val="5F563F66"/>
    <w:rsid w:val="5F61543C"/>
    <w:rsid w:val="5F674DFF"/>
    <w:rsid w:val="5F696A11"/>
    <w:rsid w:val="5F6F022A"/>
    <w:rsid w:val="5F6F13DD"/>
    <w:rsid w:val="5F7A3D74"/>
    <w:rsid w:val="5F7F569E"/>
    <w:rsid w:val="5F85568A"/>
    <w:rsid w:val="5F8A0F74"/>
    <w:rsid w:val="5F8D6FCB"/>
    <w:rsid w:val="5F944A5B"/>
    <w:rsid w:val="5F96231F"/>
    <w:rsid w:val="5F9D3ADF"/>
    <w:rsid w:val="5FA01678"/>
    <w:rsid w:val="5FAE158E"/>
    <w:rsid w:val="5FB0289B"/>
    <w:rsid w:val="5FB9662E"/>
    <w:rsid w:val="5FC270C4"/>
    <w:rsid w:val="5FC7232C"/>
    <w:rsid w:val="5FC94C57"/>
    <w:rsid w:val="5FD04564"/>
    <w:rsid w:val="5FED1382"/>
    <w:rsid w:val="5FFD5BA9"/>
    <w:rsid w:val="600C3C1D"/>
    <w:rsid w:val="600D793F"/>
    <w:rsid w:val="60134450"/>
    <w:rsid w:val="60181BE4"/>
    <w:rsid w:val="604F1023"/>
    <w:rsid w:val="60540BC5"/>
    <w:rsid w:val="60543F90"/>
    <w:rsid w:val="605740C0"/>
    <w:rsid w:val="60620509"/>
    <w:rsid w:val="606E3563"/>
    <w:rsid w:val="60875D1D"/>
    <w:rsid w:val="6089214B"/>
    <w:rsid w:val="60892F47"/>
    <w:rsid w:val="608A62DB"/>
    <w:rsid w:val="60921A42"/>
    <w:rsid w:val="60A2071F"/>
    <w:rsid w:val="60B928FE"/>
    <w:rsid w:val="60C446C3"/>
    <w:rsid w:val="60D4230D"/>
    <w:rsid w:val="60D67F08"/>
    <w:rsid w:val="60DC2530"/>
    <w:rsid w:val="60FB4275"/>
    <w:rsid w:val="610E4FC6"/>
    <w:rsid w:val="611458EE"/>
    <w:rsid w:val="611A19E1"/>
    <w:rsid w:val="611E2465"/>
    <w:rsid w:val="61251138"/>
    <w:rsid w:val="612C3250"/>
    <w:rsid w:val="612E4AA0"/>
    <w:rsid w:val="613207AE"/>
    <w:rsid w:val="61364707"/>
    <w:rsid w:val="614019CD"/>
    <w:rsid w:val="61492728"/>
    <w:rsid w:val="614E03E8"/>
    <w:rsid w:val="615A4C05"/>
    <w:rsid w:val="616A3913"/>
    <w:rsid w:val="61704EFB"/>
    <w:rsid w:val="61787F1B"/>
    <w:rsid w:val="61795932"/>
    <w:rsid w:val="61A57166"/>
    <w:rsid w:val="61B02428"/>
    <w:rsid w:val="61B4174B"/>
    <w:rsid w:val="61B526AD"/>
    <w:rsid w:val="61C5211C"/>
    <w:rsid w:val="61C92FA9"/>
    <w:rsid w:val="61C96C3E"/>
    <w:rsid w:val="61F8244A"/>
    <w:rsid w:val="61F83301"/>
    <w:rsid w:val="61FB139A"/>
    <w:rsid w:val="62204BF0"/>
    <w:rsid w:val="6225303C"/>
    <w:rsid w:val="6225359B"/>
    <w:rsid w:val="62501DA9"/>
    <w:rsid w:val="62516D45"/>
    <w:rsid w:val="625E72C8"/>
    <w:rsid w:val="626B1F68"/>
    <w:rsid w:val="6271704C"/>
    <w:rsid w:val="62785D6F"/>
    <w:rsid w:val="62871448"/>
    <w:rsid w:val="629A41E2"/>
    <w:rsid w:val="629A42E4"/>
    <w:rsid w:val="62A81B55"/>
    <w:rsid w:val="62B0479D"/>
    <w:rsid w:val="62C224C9"/>
    <w:rsid w:val="62D24903"/>
    <w:rsid w:val="62E62028"/>
    <w:rsid w:val="62EA07F1"/>
    <w:rsid w:val="62FD12C9"/>
    <w:rsid w:val="62FE0D25"/>
    <w:rsid w:val="63196439"/>
    <w:rsid w:val="631E222D"/>
    <w:rsid w:val="6323287C"/>
    <w:rsid w:val="63247017"/>
    <w:rsid w:val="63280949"/>
    <w:rsid w:val="632862F3"/>
    <w:rsid w:val="633A6B93"/>
    <w:rsid w:val="63455691"/>
    <w:rsid w:val="63560D42"/>
    <w:rsid w:val="635A14A3"/>
    <w:rsid w:val="636813A7"/>
    <w:rsid w:val="636A0ADA"/>
    <w:rsid w:val="636A7290"/>
    <w:rsid w:val="6395042D"/>
    <w:rsid w:val="63A72157"/>
    <w:rsid w:val="63AD53E7"/>
    <w:rsid w:val="63B57D74"/>
    <w:rsid w:val="63B63C35"/>
    <w:rsid w:val="63C20C0F"/>
    <w:rsid w:val="63C40E60"/>
    <w:rsid w:val="63CF063F"/>
    <w:rsid w:val="63ED54F9"/>
    <w:rsid w:val="63F1047F"/>
    <w:rsid w:val="63F722A0"/>
    <w:rsid w:val="63FC41CE"/>
    <w:rsid w:val="6404001E"/>
    <w:rsid w:val="640D2722"/>
    <w:rsid w:val="64150026"/>
    <w:rsid w:val="642F5F68"/>
    <w:rsid w:val="64305EB0"/>
    <w:rsid w:val="643F5046"/>
    <w:rsid w:val="644706BC"/>
    <w:rsid w:val="644836D8"/>
    <w:rsid w:val="644E4B1D"/>
    <w:rsid w:val="6459793D"/>
    <w:rsid w:val="645B0598"/>
    <w:rsid w:val="64645DD2"/>
    <w:rsid w:val="64711EFB"/>
    <w:rsid w:val="647554E9"/>
    <w:rsid w:val="648875FD"/>
    <w:rsid w:val="649854ED"/>
    <w:rsid w:val="64AD4B84"/>
    <w:rsid w:val="64B06E86"/>
    <w:rsid w:val="64B46C2C"/>
    <w:rsid w:val="64C12E75"/>
    <w:rsid w:val="64C6177A"/>
    <w:rsid w:val="64C62F7D"/>
    <w:rsid w:val="64D8185E"/>
    <w:rsid w:val="64E4449E"/>
    <w:rsid w:val="64F40C52"/>
    <w:rsid w:val="64F56D83"/>
    <w:rsid w:val="64F705AD"/>
    <w:rsid w:val="65104E24"/>
    <w:rsid w:val="651A7A5B"/>
    <w:rsid w:val="652258C8"/>
    <w:rsid w:val="65296D95"/>
    <w:rsid w:val="65320A5A"/>
    <w:rsid w:val="653A1045"/>
    <w:rsid w:val="653C4A97"/>
    <w:rsid w:val="65417C8F"/>
    <w:rsid w:val="65435565"/>
    <w:rsid w:val="65556F35"/>
    <w:rsid w:val="656A40FC"/>
    <w:rsid w:val="656D006D"/>
    <w:rsid w:val="657B60EE"/>
    <w:rsid w:val="657D085B"/>
    <w:rsid w:val="658110C4"/>
    <w:rsid w:val="658F4FAB"/>
    <w:rsid w:val="65A403C1"/>
    <w:rsid w:val="65AC28C3"/>
    <w:rsid w:val="65B27A2B"/>
    <w:rsid w:val="65B3762E"/>
    <w:rsid w:val="65B47BA7"/>
    <w:rsid w:val="65B63DF7"/>
    <w:rsid w:val="65BA2C35"/>
    <w:rsid w:val="65C60D60"/>
    <w:rsid w:val="65C74D01"/>
    <w:rsid w:val="65DB0156"/>
    <w:rsid w:val="65E9688F"/>
    <w:rsid w:val="6606412E"/>
    <w:rsid w:val="663F6AD9"/>
    <w:rsid w:val="664B4349"/>
    <w:rsid w:val="66527321"/>
    <w:rsid w:val="665A0F4F"/>
    <w:rsid w:val="665E43DB"/>
    <w:rsid w:val="6668349E"/>
    <w:rsid w:val="667250BC"/>
    <w:rsid w:val="66753AD6"/>
    <w:rsid w:val="66763229"/>
    <w:rsid w:val="66797CD5"/>
    <w:rsid w:val="667B7A57"/>
    <w:rsid w:val="66941102"/>
    <w:rsid w:val="6694184A"/>
    <w:rsid w:val="66970403"/>
    <w:rsid w:val="669D009B"/>
    <w:rsid w:val="66CE33C1"/>
    <w:rsid w:val="66E74B82"/>
    <w:rsid w:val="66E84570"/>
    <w:rsid w:val="66F551E1"/>
    <w:rsid w:val="66F6256E"/>
    <w:rsid w:val="66FB73CA"/>
    <w:rsid w:val="67017956"/>
    <w:rsid w:val="670447EF"/>
    <w:rsid w:val="670C56AB"/>
    <w:rsid w:val="67197EDC"/>
    <w:rsid w:val="67300564"/>
    <w:rsid w:val="67316E58"/>
    <w:rsid w:val="67353C8E"/>
    <w:rsid w:val="673B393E"/>
    <w:rsid w:val="67600C1D"/>
    <w:rsid w:val="676B41AD"/>
    <w:rsid w:val="677F76E8"/>
    <w:rsid w:val="678057BB"/>
    <w:rsid w:val="67886C77"/>
    <w:rsid w:val="678E3544"/>
    <w:rsid w:val="67924DAF"/>
    <w:rsid w:val="67A12CAB"/>
    <w:rsid w:val="67A21758"/>
    <w:rsid w:val="67C5041F"/>
    <w:rsid w:val="67CE583C"/>
    <w:rsid w:val="67DC1048"/>
    <w:rsid w:val="67DE7337"/>
    <w:rsid w:val="67E44980"/>
    <w:rsid w:val="67E7096E"/>
    <w:rsid w:val="67F7574E"/>
    <w:rsid w:val="68072739"/>
    <w:rsid w:val="680A135E"/>
    <w:rsid w:val="680F11AF"/>
    <w:rsid w:val="681108DF"/>
    <w:rsid w:val="681875D6"/>
    <w:rsid w:val="68226AAE"/>
    <w:rsid w:val="682E7204"/>
    <w:rsid w:val="684751A2"/>
    <w:rsid w:val="685D623A"/>
    <w:rsid w:val="686B6B5C"/>
    <w:rsid w:val="686C2184"/>
    <w:rsid w:val="68710858"/>
    <w:rsid w:val="688751E9"/>
    <w:rsid w:val="688B275B"/>
    <w:rsid w:val="688D058E"/>
    <w:rsid w:val="689609C7"/>
    <w:rsid w:val="68965E80"/>
    <w:rsid w:val="689A2371"/>
    <w:rsid w:val="689F18BC"/>
    <w:rsid w:val="68A17497"/>
    <w:rsid w:val="68A35D39"/>
    <w:rsid w:val="68AB4061"/>
    <w:rsid w:val="68AC6AA0"/>
    <w:rsid w:val="68B452EA"/>
    <w:rsid w:val="68B8518F"/>
    <w:rsid w:val="68BA79E1"/>
    <w:rsid w:val="68BC4E81"/>
    <w:rsid w:val="68CD65B9"/>
    <w:rsid w:val="68CF35BE"/>
    <w:rsid w:val="68E04568"/>
    <w:rsid w:val="68E24ACB"/>
    <w:rsid w:val="68E50960"/>
    <w:rsid w:val="68F16ADF"/>
    <w:rsid w:val="68FA7DD2"/>
    <w:rsid w:val="68FD1D0F"/>
    <w:rsid w:val="68FE332A"/>
    <w:rsid w:val="69111C90"/>
    <w:rsid w:val="691B5162"/>
    <w:rsid w:val="691E57C7"/>
    <w:rsid w:val="692C36A1"/>
    <w:rsid w:val="693656FD"/>
    <w:rsid w:val="695037DB"/>
    <w:rsid w:val="69761C8E"/>
    <w:rsid w:val="69791B6A"/>
    <w:rsid w:val="698A1174"/>
    <w:rsid w:val="698D5457"/>
    <w:rsid w:val="699D17B7"/>
    <w:rsid w:val="69A414F3"/>
    <w:rsid w:val="69AA4ED9"/>
    <w:rsid w:val="69B50295"/>
    <w:rsid w:val="69BA2E8E"/>
    <w:rsid w:val="69C44A80"/>
    <w:rsid w:val="69C757BD"/>
    <w:rsid w:val="69C91E58"/>
    <w:rsid w:val="69D4330D"/>
    <w:rsid w:val="69DE290B"/>
    <w:rsid w:val="69E074E6"/>
    <w:rsid w:val="69E464F8"/>
    <w:rsid w:val="69F160C3"/>
    <w:rsid w:val="69FD3A6F"/>
    <w:rsid w:val="69FD7706"/>
    <w:rsid w:val="6A0E14FF"/>
    <w:rsid w:val="6A2B5BAB"/>
    <w:rsid w:val="6A314956"/>
    <w:rsid w:val="6A3313F5"/>
    <w:rsid w:val="6A393C27"/>
    <w:rsid w:val="6A4D575B"/>
    <w:rsid w:val="6A525A41"/>
    <w:rsid w:val="6A5B3A18"/>
    <w:rsid w:val="6A5C510D"/>
    <w:rsid w:val="6A6322AE"/>
    <w:rsid w:val="6A691308"/>
    <w:rsid w:val="6A6A39BD"/>
    <w:rsid w:val="6A7065C8"/>
    <w:rsid w:val="6A7A7F8B"/>
    <w:rsid w:val="6A8A04AC"/>
    <w:rsid w:val="6A8E1409"/>
    <w:rsid w:val="6A950247"/>
    <w:rsid w:val="6A9958EF"/>
    <w:rsid w:val="6AB426C3"/>
    <w:rsid w:val="6AB828CA"/>
    <w:rsid w:val="6ABD6F42"/>
    <w:rsid w:val="6AC76FC2"/>
    <w:rsid w:val="6AD5566E"/>
    <w:rsid w:val="6AEF55CF"/>
    <w:rsid w:val="6AFB69F7"/>
    <w:rsid w:val="6B062A29"/>
    <w:rsid w:val="6B0A5AD8"/>
    <w:rsid w:val="6B0F75DE"/>
    <w:rsid w:val="6B3225D0"/>
    <w:rsid w:val="6B351370"/>
    <w:rsid w:val="6B5132ED"/>
    <w:rsid w:val="6B5427B2"/>
    <w:rsid w:val="6B5C5A5F"/>
    <w:rsid w:val="6B715F39"/>
    <w:rsid w:val="6B720065"/>
    <w:rsid w:val="6B7C1EF1"/>
    <w:rsid w:val="6B7F4EA7"/>
    <w:rsid w:val="6B802111"/>
    <w:rsid w:val="6B8027AB"/>
    <w:rsid w:val="6B8108DA"/>
    <w:rsid w:val="6B890516"/>
    <w:rsid w:val="6B895E2C"/>
    <w:rsid w:val="6B8A1E71"/>
    <w:rsid w:val="6B931A0C"/>
    <w:rsid w:val="6B9A6DC5"/>
    <w:rsid w:val="6B9B3D49"/>
    <w:rsid w:val="6B9E1E19"/>
    <w:rsid w:val="6BA23320"/>
    <w:rsid w:val="6BA32347"/>
    <w:rsid w:val="6BA66937"/>
    <w:rsid w:val="6BB62192"/>
    <w:rsid w:val="6BC6679C"/>
    <w:rsid w:val="6BD73B75"/>
    <w:rsid w:val="6BD914D9"/>
    <w:rsid w:val="6BDB03BF"/>
    <w:rsid w:val="6BE2510A"/>
    <w:rsid w:val="6BE34C42"/>
    <w:rsid w:val="6BF9228A"/>
    <w:rsid w:val="6C0012C8"/>
    <w:rsid w:val="6C131D59"/>
    <w:rsid w:val="6C151D0D"/>
    <w:rsid w:val="6C1A5624"/>
    <w:rsid w:val="6C233391"/>
    <w:rsid w:val="6C262F78"/>
    <w:rsid w:val="6C2D0E85"/>
    <w:rsid w:val="6C3A7D82"/>
    <w:rsid w:val="6C3C1DA0"/>
    <w:rsid w:val="6C3D4C2C"/>
    <w:rsid w:val="6C473F89"/>
    <w:rsid w:val="6C492E28"/>
    <w:rsid w:val="6C5949D9"/>
    <w:rsid w:val="6C93370C"/>
    <w:rsid w:val="6CAD6D3C"/>
    <w:rsid w:val="6CBA07D1"/>
    <w:rsid w:val="6CC85207"/>
    <w:rsid w:val="6CCB21FE"/>
    <w:rsid w:val="6CDE15A9"/>
    <w:rsid w:val="6CE0567C"/>
    <w:rsid w:val="6CE1306A"/>
    <w:rsid w:val="6CEB13F2"/>
    <w:rsid w:val="6CEB260C"/>
    <w:rsid w:val="6CF176C8"/>
    <w:rsid w:val="6CF47BFF"/>
    <w:rsid w:val="6D03314D"/>
    <w:rsid w:val="6D033285"/>
    <w:rsid w:val="6D131308"/>
    <w:rsid w:val="6D183C62"/>
    <w:rsid w:val="6D2E081B"/>
    <w:rsid w:val="6D3E3296"/>
    <w:rsid w:val="6D3F2CF3"/>
    <w:rsid w:val="6D5A5989"/>
    <w:rsid w:val="6D6B78DA"/>
    <w:rsid w:val="6D6F2EE4"/>
    <w:rsid w:val="6D8223FC"/>
    <w:rsid w:val="6D854079"/>
    <w:rsid w:val="6D886A4C"/>
    <w:rsid w:val="6D8A4551"/>
    <w:rsid w:val="6D8F25DD"/>
    <w:rsid w:val="6D9168FB"/>
    <w:rsid w:val="6D984FE4"/>
    <w:rsid w:val="6DA1296C"/>
    <w:rsid w:val="6DB14BB1"/>
    <w:rsid w:val="6DC36251"/>
    <w:rsid w:val="6DC800B1"/>
    <w:rsid w:val="6DD03D56"/>
    <w:rsid w:val="6DD454A4"/>
    <w:rsid w:val="6DEB05BF"/>
    <w:rsid w:val="6DFF4850"/>
    <w:rsid w:val="6E0335B4"/>
    <w:rsid w:val="6E071E3B"/>
    <w:rsid w:val="6E104895"/>
    <w:rsid w:val="6E1F4EDC"/>
    <w:rsid w:val="6E285C2B"/>
    <w:rsid w:val="6E2B5964"/>
    <w:rsid w:val="6E2E3558"/>
    <w:rsid w:val="6E2F660D"/>
    <w:rsid w:val="6E3D338F"/>
    <w:rsid w:val="6E407FA9"/>
    <w:rsid w:val="6E4F6A02"/>
    <w:rsid w:val="6E5B303E"/>
    <w:rsid w:val="6E692BF6"/>
    <w:rsid w:val="6E7D6247"/>
    <w:rsid w:val="6E84157B"/>
    <w:rsid w:val="6E8B1DAD"/>
    <w:rsid w:val="6E8E50D9"/>
    <w:rsid w:val="6E927952"/>
    <w:rsid w:val="6E930935"/>
    <w:rsid w:val="6E95612B"/>
    <w:rsid w:val="6E976AF8"/>
    <w:rsid w:val="6E9B4634"/>
    <w:rsid w:val="6EAE2844"/>
    <w:rsid w:val="6EC056D7"/>
    <w:rsid w:val="6EC25326"/>
    <w:rsid w:val="6ECC4BE0"/>
    <w:rsid w:val="6EE00C14"/>
    <w:rsid w:val="6F032A69"/>
    <w:rsid w:val="6F0556BD"/>
    <w:rsid w:val="6F1218C9"/>
    <w:rsid w:val="6F1D0C97"/>
    <w:rsid w:val="6F2C43FF"/>
    <w:rsid w:val="6F3A1580"/>
    <w:rsid w:val="6F3E2F32"/>
    <w:rsid w:val="6F4747A6"/>
    <w:rsid w:val="6F50144D"/>
    <w:rsid w:val="6F5741CB"/>
    <w:rsid w:val="6F590925"/>
    <w:rsid w:val="6F5944FD"/>
    <w:rsid w:val="6F5D4EAC"/>
    <w:rsid w:val="6F5F1BEA"/>
    <w:rsid w:val="6F663023"/>
    <w:rsid w:val="6F7437E2"/>
    <w:rsid w:val="6F7D5B7B"/>
    <w:rsid w:val="6F847C54"/>
    <w:rsid w:val="6F866A7B"/>
    <w:rsid w:val="6F9745C3"/>
    <w:rsid w:val="6F9A408B"/>
    <w:rsid w:val="6F9B0088"/>
    <w:rsid w:val="6F9F7746"/>
    <w:rsid w:val="6FA113E1"/>
    <w:rsid w:val="6FA242F2"/>
    <w:rsid w:val="6FB01D28"/>
    <w:rsid w:val="6FBA4A5A"/>
    <w:rsid w:val="6FC13DBD"/>
    <w:rsid w:val="6FCE3054"/>
    <w:rsid w:val="6FDA5D7C"/>
    <w:rsid w:val="6FDD798D"/>
    <w:rsid w:val="6FE74E9D"/>
    <w:rsid w:val="6FEE69B5"/>
    <w:rsid w:val="6FF906C9"/>
    <w:rsid w:val="70013862"/>
    <w:rsid w:val="7002436D"/>
    <w:rsid w:val="700C2D87"/>
    <w:rsid w:val="701E717E"/>
    <w:rsid w:val="70223E7D"/>
    <w:rsid w:val="702A6264"/>
    <w:rsid w:val="703E762D"/>
    <w:rsid w:val="705A4E2A"/>
    <w:rsid w:val="705D69A7"/>
    <w:rsid w:val="706A07EB"/>
    <w:rsid w:val="70700D5F"/>
    <w:rsid w:val="70701F31"/>
    <w:rsid w:val="70717445"/>
    <w:rsid w:val="707477F9"/>
    <w:rsid w:val="707B38FE"/>
    <w:rsid w:val="70836151"/>
    <w:rsid w:val="70891A9D"/>
    <w:rsid w:val="708D144A"/>
    <w:rsid w:val="70954B6D"/>
    <w:rsid w:val="709B7175"/>
    <w:rsid w:val="70A40856"/>
    <w:rsid w:val="70AB391D"/>
    <w:rsid w:val="70AC303F"/>
    <w:rsid w:val="70AE5A79"/>
    <w:rsid w:val="70B92778"/>
    <w:rsid w:val="70C027E5"/>
    <w:rsid w:val="70C71D84"/>
    <w:rsid w:val="70CB7551"/>
    <w:rsid w:val="70CD1A0F"/>
    <w:rsid w:val="70E14B23"/>
    <w:rsid w:val="70EF0D31"/>
    <w:rsid w:val="70F61C60"/>
    <w:rsid w:val="70F76A7C"/>
    <w:rsid w:val="71034E62"/>
    <w:rsid w:val="71101F46"/>
    <w:rsid w:val="711632F4"/>
    <w:rsid w:val="711C1FE4"/>
    <w:rsid w:val="71351EF6"/>
    <w:rsid w:val="71357785"/>
    <w:rsid w:val="713627D2"/>
    <w:rsid w:val="7137551D"/>
    <w:rsid w:val="713A489E"/>
    <w:rsid w:val="713B3215"/>
    <w:rsid w:val="7149768E"/>
    <w:rsid w:val="714A3F5D"/>
    <w:rsid w:val="714F390F"/>
    <w:rsid w:val="71582EAB"/>
    <w:rsid w:val="71704F3B"/>
    <w:rsid w:val="717D0DEB"/>
    <w:rsid w:val="71817977"/>
    <w:rsid w:val="718957DF"/>
    <w:rsid w:val="7192068A"/>
    <w:rsid w:val="71933130"/>
    <w:rsid w:val="719B091D"/>
    <w:rsid w:val="71A94A05"/>
    <w:rsid w:val="71AB628E"/>
    <w:rsid w:val="71AF02E8"/>
    <w:rsid w:val="71BE0DB7"/>
    <w:rsid w:val="71BE4574"/>
    <w:rsid w:val="71BE49AA"/>
    <w:rsid w:val="71C365E2"/>
    <w:rsid w:val="71C62BE7"/>
    <w:rsid w:val="71CC366F"/>
    <w:rsid w:val="71D6119C"/>
    <w:rsid w:val="71E75102"/>
    <w:rsid w:val="71EE34D6"/>
    <w:rsid w:val="71EF5571"/>
    <w:rsid w:val="71F22F41"/>
    <w:rsid w:val="71F8738E"/>
    <w:rsid w:val="71FE204B"/>
    <w:rsid w:val="720A3B8A"/>
    <w:rsid w:val="72317D4A"/>
    <w:rsid w:val="723E48D2"/>
    <w:rsid w:val="724B6746"/>
    <w:rsid w:val="724F09E7"/>
    <w:rsid w:val="725D77F6"/>
    <w:rsid w:val="725F774A"/>
    <w:rsid w:val="72662D4B"/>
    <w:rsid w:val="72761D15"/>
    <w:rsid w:val="728517AA"/>
    <w:rsid w:val="729448CB"/>
    <w:rsid w:val="729B1F58"/>
    <w:rsid w:val="72AB1A44"/>
    <w:rsid w:val="72C654EE"/>
    <w:rsid w:val="72C7522B"/>
    <w:rsid w:val="72C85A8C"/>
    <w:rsid w:val="72D228DD"/>
    <w:rsid w:val="72D970D1"/>
    <w:rsid w:val="72FF398E"/>
    <w:rsid w:val="730F795C"/>
    <w:rsid w:val="7318735E"/>
    <w:rsid w:val="7328713A"/>
    <w:rsid w:val="732A7427"/>
    <w:rsid w:val="73416322"/>
    <w:rsid w:val="73433386"/>
    <w:rsid w:val="734967E6"/>
    <w:rsid w:val="734B7677"/>
    <w:rsid w:val="7364510A"/>
    <w:rsid w:val="736F6C76"/>
    <w:rsid w:val="73832786"/>
    <w:rsid w:val="738D7A95"/>
    <w:rsid w:val="73A121B6"/>
    <w:rsid w:val="73A31D24"/>
    <w:rsid w:val="73AF7DA2"/>
    <w:rsid w:val="73B267AF"/>
    <w:rsid w:val="73BA60FC"/>
    <w:rsid w:val="73D6792E"/>
    <w:rsid w:val="73E219D8"/>
    <w:rsid w:val="7400750C"/>
    <w:rsid w:val="742242A5"/>
    <w:rsid w:val="743E5C37"/>
    <w:rsid w:val="743F452F"/>
    <w:rsid w:val="74424C11"/>
    <w:rsid w:val="74457DA9"/>
    <w:rsid w:val="7449059E"/>
    <w:rsid w:val="745307F7"/>
    <w:rsid w:val="7460445B"/>
    <w:rsid w:val="7463403E"/>
    <w:rsid w:val="74672FCD"/>
    <w:rsid w:val="74713DAF"/>
    <w:rsid w:val="74770051"/>
    <w:rsid w:val="747B28BD"/>
    <w:rsid w:val="7483668B"/>
    <w:rsid w:val="748928B7"/>
    <w:rsid w:val="749160FD"/>
    <w:rsid w:val="7497633C"/>
    <w:rsid w:val="749D040F"/>
    <w:rsid w:val="749E0BEB"/>
    <w:rsid w:val="749E48E4"/>
    <w:rsid w:val="74AA539A"/>
    <w:rsid w:val="74AE7865"/>
    <w:rsid w:val="74B42926"/>
    <w:rsid w:val="74C14AC2"/>
    <w:rsid w:val="74C23FD0"/>
    <w:rsid w:val="74C257D4"/>
    <w:rsid w:val="74CB1D1E"/>
    <w:rsid w:val="74CC0C54"/>
    <w:rsid w:val="74CC588B"/>
    <w:rsid w:val="74D253B1"/>
    <w:rsid w:val="74D2699C"/>
    <w:rsid w:val="74E83ABD"/>
    <w:rsid w:val="74E96F1F"/>
    <w:rsid w:val="74FB78B7"/>
    <w:rsid w:val="74FD2425"/>
    <w:rsid w:val="750206DE"/>
    <w:rsid w:val="7515531B"/>
    <w:rsid w:val="751919B6"/>
    <w:rsid w:val="752C5D7D"/>
    <w:rsid w:val="753D1FCB"/>
    <w:rsid w:val="75493E41"/>
    <w:rsid w:val="75501DE8"/>
    <w:rsid w:val="75677AAD"/>
    <w:rsid w:val="756C47BC"/>
    <w:rsid w:val="756F5F12"/>
    <w:rsid w:val="75761A72"/>
    <w:rsid w:val="75761BD2"/>
    <w:rsid w:val="75794B79"/>
    <w:rsid w:val="758256EC"/>
    <w:rsid w:val="75833D2C"/>
    <w:rsid w:val="758C41B1"/>
    <w:rsid w:val="758F6749"/>
    <w:rsid w:val="75914A14"/>
    <w:rsid w:val="759236B1"/>
    <w:rsid w:val="7592697C"/>
    <w:rsid w:val="75A12046"/>
    <w:rsid w:val="75AD3F61"/>
    <w:rsid w:val="75B35602"/>
    <w:rsid w:val="75B35C35"/>
    <w:rsid w:val="75B6023C"/>
    <w:rsid w:val="75C321CA"/>
    <w:rsid w:val="75DB4182"/>
    <w:rsid w:val="75E43CDC"/>
    <w:rsid w:val="75F2595A"/>
    <w:rsid w:val="75F32660"/>
    <w:rsid w:val="75FA45FD"/>
    <w:rsid w:val="75FB71EF"/>
    <w:rsid w:val="76032221"/>
    <w:rsid w:val="760D50A5"/>
    <w:rsid w:val="76127EB5"/>
    <w:rsid w:val="76141ECF"/>
    <w:rsid w:val="7621026D"/>
    <w:rsid w:val="76315FC7"/>
    <w:rsid w:val="763B78B6"/>
    <w:rsid w:val="7648468B"/>
    <w:rsid w:val="76603872"/>
    <w:rsid w:val="76771C9F"/>
    <w:rsid w:val="767B0FC6"/>
    <w:rsid w:val="769466F0"/>
    <w:rsid w:val="76946B20"/>
    <w:rsid w:val="769A7289"/>
    <w:rsid w:val="769E585C"/>
    <w:rsid w:val="76A0264E"/>
    <w:rsid w:val="76B815DE"/>
    <w:rsid w:val="76C1136A"/>
    <w:rsid w:val="76C15953"/>
    <w:rsid w:val="76C27CC8"/>
    <w:rsid w:val="76C74EF8"/>
    <w:rsid w:val="76D75C48"/>
    <w:rsid w:val="76FD316C"/>
    <w:rsid w:val="77012C69"/>
    <w:rsid w:val="770A4EDC"/>
    <w:rsid w:val="770C207C"/>
    <w:rsid w:val="770D2F0F"/>
    <w:rsid w:val="771A260C"/>
    <w:rsid w:val="771C051E"/>
    <w:rsid w:val="77202E56"/>
    <w:rsid w:val="77225082"/>
    <w:rsid w:val="773E3B95"/>
    <w:rsid w:val="77407B1B"/>
    <w:rsid w:val="775807F9"/>
    <w:rsid w:val="775B5599"/>
    <w:rsid w:val="776B070C"/>
    <w:rsid w:val="776C6F9C"/>
    <w:rsid w:val="776D129D"/>
    <w:rsid w:val="777051FE"/>
    <w:rsid w:val="77722375"/>
    <w:rsid w:val="77763C02"/>
    <w:rsid w:val="77817FDB"/>
    <w:rsid w:val="77856B7D"/>
    <w:rsid w:val="779759F7"/>
    <w:rsid w:val="77A21B9D"/>
    <w:rsid w:val="77C64E58"/>
    <w:rsid w:val="77F826D3"/>
    <w:rsid w:val="78026F37"/>
    <w:rsid w:val="780821FF"/>
    <w:rsid w:val="780A5E19"/>
    <w:rsid w:val="7814382A"/>
    <w:rsid w:val="782B18E2"/>
    <w:rsid w:val="78395F52"/>
    <w:rsid w:val="783A1E0E"/>
    <w:rsid w:val="783B0761"/>
    <w:rsid w:val="784C3166"/>
    <w:rsid w:val="7855423C"/>
    <w:rsid w:val="7855623D"/>
    <w:rsid w:val="785C4FD8"/>
    <w:rsid w:val="785F3693"/>
    <w:rsid w:val="78605367"/>
    <w:rsid w:val="786332B5"/>
    <w:rsid w:val="78716A0D"/>
    <w:rsid w:val="787442AB"/>
    <w:rsid w:val="787C179D"/>
    <w:rsid w:val="787C6E7B"/>
    <w:rsid w:val="788A72A2"/>
    <w:rsid w:val="788F2354"/>
    <w:rsid w:val="78945EC8"/>
    <w:rsid w:val="78B07107"/>
    <w:rsid w:val="78B262DD"/>
    <w:rsid w:val="78B61A8F"/>
    <w:rsid w:val="78BC039C"/>
    <w:rsid w:val="78BF6047"/>
    <w:rsid w:val="78C5202E"/>
    <w:rsid w:val="78C61B43"/>
    <w:rsid w:val="78D109E1"/>
    <w:rsid w:val="78DB6118"/>
    <w:rsid w:val="78EB748C"/>
    <w:rsid w:val="78F67EE2"/>
    <w:rsid w:val="79070E69"/>
    <w:rsid w:val="790A71CB"/>
    <w:rsid w:val="790C0C17"/>
    <w:rsid w:val="7918108E"/>
    <w:rsid w:val="791D534B"/>
    <w:rsid w:val="792426D7"/>
    <w:rsid w:val="792469AA"/>
    <w:rsid w:val="79567086"/>
    <w:rsid w:val="7957534C"/>
    <w:rsid w:val="795A69EE"/>
    <w:rsid w:val="795D3B8E"/>
    <w:rsid w:val="79771284"/>
    <w:rsid w:val="79815565"/>
    <w:rsid w:val="798B728C"/>
    <w:rsid w:val="799A18FB"/>
    <w:rsid w:val="79A02B81"/>
    <w:rsid w:val="79B261FF"/>
    <w:rsid w:val="79BE490C"/>
    <w:rsid w:val="79BF4266"/>
    <w:rsid w:val="79E065B1"/>
    <w:rsid w:val="79F140C0"/>
    <w:rsid w:val="79F1503C"/>
    <w:rsid w:val="79F42C21"/>
    <w:rsid w:val="79F46422"/>
    <w:rsid w:val="79F47A64"/>
    <w:rsid w:val="7A0207AA"/>
    <w:rsid w:val="7A083C3C"/>
    <w:rsid w:val="7A0E637A"/>
    <w:rsid w:val="7A215D7C"/>
    <w:rsid w:val="7A3902B7"/>
    <w:rsid w:val="7A3D660A"/>
    <w:rsid w:val="7A4D467B"/>
    <w:rsid w:val="7A5B4DBE"/>
    <w:rsid w:val="7A5D055E"/>
    <w:rsid w:val="7A683F5F"/>
    <w:rsid w:val="7A697327"/>
    <w:rsid w:val="7A785A8F"/>
    <w:rsid w:val="7A7954D3"/>
    <w:rsid w:val="7A7F7C08"/>
    <w:rsid w:val="7A8F401B"/>
    <w:rsid w:val="7A9D3144"/>
    <w:rsid w:val="7AA56D97"/>
    <w:rsid w:val="7AA86259"/>
    <w:rsid w:val="7AB1468E"/>
    <w:rsid w:val="7AB957AC"/>
    <w:rsid w:val="7ABF191E"/>
    <w:rsid w:val="7AC37791"/>
    <w:rsid w:val="7AC37A91"/>
    <w:rsid w:val="7ACB0466"/>
    <w:rsid w:val="7ACB1C5C"/>
    <w:rsid w:val="7ADD2734"/>
    <w:rsid w:val="7AE21D66"/>
    <w:rsid w:val="7AE24E25"/>
    <w:rsid w:val="7AE27F05"/>
    <w:rsid w:val="7AE4490D"/>
    <w:rsid w:val="7AEA4BDB"/>
    <w:rsid w:val="7B0874B1"/>
    <w:rsid w:val="7B0C2BC1"/>
    <w:rsid w:val="7B124F4B"/>
    <w:rsid w:val="7B177413"/>
    <w:rsid w:val="7B213C99"/>
    <w:rsid w:val="7B3A24BD"/>
    <w:rsid w:val="7B445833"/>
    <w:rsid w:val="7B4705CA"/>
    <w:rsid w:val="7B4E6264"/>
    <w:rsid w:val="7B4F7599"/>
    <w:rsid w:val="7B6256AD"/>
    <w:rsid w:val="7B632E24"/>
    <w:rsid w:val="7B643771"/>
    <w:rsid w:val="7B701B97"/>
    <w:rsid w:val="7B722E85"/>
    <w:rsid w:val="7B7F3C83"/>
    <w:rsid w:val="7B875077"/>
    <w:rsid w:val="7B88305F"/>
    <w:rsid w:val="7B9E78D4"/>
    <w:rsid w:val="7BB21D94"/>
    <w:rsid w:val="7BC33119"/>
    <w:rsid w:val="7BC51EC8"/>
    <w:rsid w:val="7BDA12F3"/>
    <w:rsid w:val="7BEB4BD9"/>
    <w:rsid w:val="7BF503A3"/>
    <w:rsid w:val="7C063B96"/>
    <w:rsid w:val="7C105CF1"/>
    <w:rsid w:val="7C17500E"/>
    <w:rsid w:val="7C1844A7"/>
    <w:rsid w:val="7C1940E1"/>
    <w:rsid w:val="7C1B3EA3"/>
    <w:rsid w:val="7C231D9F"/>
    <w:rsid w:val="7C395820"/>
    <w:rsid w:val="7C3C62EC"/>
    <w:rsid w:val="7C454A18"/>
    <w:rsid w:val="7C4C5F3E"/>
    <w:rsid w:val="7C4D6CFD"/>
    <w:rsid w:val="7C515B92"/>
    <w:rsid w:val="7C522C3E"/>
    <w:rsid w:val="7C594E36"/>
    <w:rsid w:val="7C5A0F51"/>
    <w:rsid w:val="7C770932"/>
    <w:rsid w:val="7C792479"/>
    <w:rsid w:val="7C8B53E4"/>
    <w:rsid w:val="7C8D664C"/>
    <w:rsid w:val="7C9313E6"/>
    <w:rsid w:val="7CA05070"/>
    <w:rsid w:val="7CAF571D"/>
    <w:rsid w:val="7CB77474"/>
    <w:rsid w:val="7CC2668F"/>
    <w:rsid w:val="7CC743BC"/>
    <w:rsid w:val="7CCB2212"/>
    <w:rsid w:val="7CCE7E66"/>
    <w:rsid w:val="7CCF1374"/>
    <w:rsid w:val="7CD10598"/>
    <w:rsid w:val="7CD27ED6"/>
    <w:rsid w:val="7CD62C08"/>
    <w:rsid w:val="7CD721EF"/>
    <w:rsid w:val="7CDC6A9D"/>
    <w:rsid w:val="7CE90CB8"/>
    <w:rsid w:val="7CF44CA7"/>
    <w:rsid w:val="7D154B87"/>
    <w:rsid w:val="7D1A43D3"/>
    <w:rsid w:val="7D351AB0"/>
    <w:rsid w:val="7D454997"/>
    <w:rsid w:val="7D4D3C20"/>
    <w:rsid w:val="7D507663"/>
    <w:rsid w:val="7D5A0BF4"/>
    <w:rsid w:val="7D5D1CFF"/>
    <w:rsid w:val="7D5D7F31"/>
    <w:rsid w:val="7D7F7D6D"/>
    <w:rsid w:val="7D915D36"/>
    <w:rsid w:val="7D9B2185"/>
    <w:rsid w:val="7D9B2685"/>
    <w:rsid w:val="7D9C1D5E"/>
    <w:rsid w:val="7DA05E6E"/>
    <w:rsid w:val="7DE052E2"/>
    <w:rsid w:val="7DE45C7D"/>
    <w:rsid w:val="7DF932E0"/>
    <w:rsid w:val="7E091180"/>
    <w:rsid w:val="7E123E1C"/>
    <w:rsid w:val="7E1E23F2"/>
    <w:rsid w:val="7E202ADB"/>
    <w:rsid w:val="7E2A3D40"/>
    <w:rsid w:val="7E2E5E83"/>
    <w:rsid w:val="7E2E7C15"/>
    <w:rsid w:val="7E321AC8"/>
    <w:rsid w:val="7E331354"/>
    <w:rsid w:val="7E371242"/>
    <w:rsid w:val="7E3C64D1"/>
    <w:rsid w:val="7E401201"/>
    <w:rsid w:val="7E41172B"/>
    <w:rsid w:val="7E464F31"/>
    <w:rsid w:val="7E4B36D5"/>
    <w:rsid w:val="7E4D6230"/>
    <w:rsid w:val="7E4F00FC"/>
    <w:rsid w:val="7E501A00"/>
    <w:rsid w:val="7E5C63B6"/>
    <w:rsid w:val="7E603579"/>
    <w:rsid w:val="7E6F1990"/>
    <w:rsid w:val="7E8455CF"/>
    <w:rsid w:val="7E884774"/>
    <w:rsid w:val="7E8F1A91"/>
    <w:rsid w:val="7EA5264E"/>
    <w:rsid w:val="7EAA4A71"/>
    <w:rsid w:val="7EB61DAC"/>
    <w:rsid w:val="7EBA3B00"/>
    <w:rsid w:val="7ECB1DC1"/>
    <w:rsid w:val="7ECD724F"/>
    <w:rsid w:val="7ED255F6"/>
    <w:rsid w:val="7EE62F4E"/>
    <w:rsid w:val="7F035654"/>
    <w:rsid w:val="7F0716EE"/>
    <w:rsid w:val="7F1259A4"/>
    <w:rsid w:val="7F2B3BA4"/>
    <w:rsid w:val="7F305F38"/>
    <w:rsid w:val="7F335D58"/>
    <w:rsid w:val="7F3C55DE"/>
    <w:rsid w:val="7F5564D4"/>
    <w:rsid w:val="7F5713C1"/>
    <w:rsid w:val="7F596D35"/>
    <w:rsid w:val="7F622B7E"/>
    <w:rsid w:val="7F657C0E"/>
    <w:rsid w:val="7F68680F"/>
    <w:rsid w:val="7F6A4644"/>
    <w:rsid w:val="7F6A4928"/>
    <w:rsid w:val="7F7E712C"/>
    <w:rsid w:val="7F8E77F8"/>
    <w:rsid w:val="7F9125A6"/>
    <w:rsid w:val="7F9427B3"/>
    <w:rsid w:val="7F96598C"/>
    <w:rsid w:val="7F97272A"/>
    <w:rsid w:val="7F9F485C"/>
    <w:rsid w:val="7FA202F7"/>
    <w:rsid w:val="7FA32409"/>
    <w:rsid w:val="7FA3705B"/>
    <w:rsid w:val="7FA43F7E"/>
    <w:rsid w:val="7FB22146"/>
    <w:rsid w:val="7FBE55B6"/>
    <w:rsid w:val="7FC27C87"/>
    <w:rsid w:val="7FC61545"/>
    <w:rsid w:val="7FCA1C16"/>
    <w:rsid w:val="7FD14040"/>
    <w:rsid w:val="7FD72443"/>
    <w:rsid w:val="7FE93660"/>
    <w:rsid w:val="7FF17E04"/>
    <w:rsid w:val="7FF5040D"/>
    <w:rsid w:val="7FF55FB4"/>
    <w:rsid w:val="7FF84170"/>
    <w:rsid w:val="7FFD4B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FFFF"/>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qFormat="1" w:unhideWhenUsed="0" w:uiPriority="0" w:name="index 2"/>
    <w:lsdException w:qFormat="1" w:unhideWhenUsed="0" w:uiPriority="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qFormat="1" w:unhideWhenUsed="0"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99" w:semiHidden="0" w:name="Normal Indent"/>
    <w:lsdException w:uiPriority="0" w:name="footnote text"/>
    <w:lsdException w:qFormat="1" w:unhideWhenUsed="0" w:uiPriority="0" w:name="annotation text"/>
    <w:lsdException w:qFormat="1" w:unhideWhenUsed="0" w:uiPriority="99" w:semiHidden="0" w:name="header"/>
    <w:lsdException w:qFormat="1" w:unhideWhenUsed="0" w:uiPriority="99" w:semiHidden="0" w:name="footer"/>
    <w:lsdException w:qFormat="1" w:unhideWhenUsed="0" w:uiPriority="0" w:name="index heading"/>
    <w:lsdException w:qFormat="1" w:unhideWhenUsed="0" w:uiPriority="35" w:semiHidden="0" w:name="caption"/>
    <w:lsdException w:qFormat="1" w:unhideWhenUsed="0" w:uiPriority="0" w:name="table of figures"/>
    <w:lsdException w:qFormat="1" w:unhideWhenUsed="0" w:uiPriority="0" w:name="envelope address"/>
    <w:lsdException w:qFormat="1" w:unhideWhenUsed="0" w:uiPriority="0" w:name="envelope return"/>
    <w:lsdException w:uiPriority="0" w:name="footnote reference"/>
    <w:lsdException w:qFormat="1" w:unhideWhenUsed="0" w:uiPriority="0" w:name="annotation reference"/>
    <w:lsdException w:qFormat="1" w:unhideWhenUsed="0"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qFormat="1" w:unhideWhenUsed="0" w:uiPriority="0" w:name="List Bullet"/>
    <w:lsdException w:qFormat="1" w:unhideWhenUsed="0" w:uiPriority="0" w:name="List Number"/>
    <w:lsdException w:qFormat="1" w:unhideWhenUsed="0" w:uiPriority="0" w:semiHidden="0" w:name="List 2"/>
    <w:lsdException w:qFormat="1" w:unhideWhenUsed="0" w:uiPriority="0" w:name="List 3"/>
    <w:lsdException w:qFormat="1" w:unhideWhenUsed="0" w:uiPriority="0" w:name="List 4"/>
    <w:lsdException w:qFormat="1" w:unhideWhenUsed="0"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name="Signature"/>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name="List Continue"/>
    <w:lsdException w:qFormat="1" w:unhideWhenUsed="0" w:uiPriority="0" w:name="List Continue 2"/>
    <w:lsdException w:qFormat="1" w:unhideWhenUsed="0" w:uiPriority="0" w:name="List Continue 3"/>
    <w:lsdException w:qFormat="1" w:unhideWhenUsed="0" w:uiPriority="0" w:name="List Continue 4"/>
    <w:lsdException w:qFormat="1" w:unhideWhenUsed="0" w:uiPriority="0" w:name="List Continue 5"/>
    <w:lsdException w:qFormat="1" w:unhideWhenUsed="0" w:uiPriority="0" w:name="Message Header"/>
    <w:lsdException w:qFormat="1" w:unhideWhenUsed="0" w:uiPriority="0" w:semiHidden="0" w:name="Subtitle"/>
    <w:lsdException w:qFormat="1" w:unhideWhenUsed="0" w:uiPriority="0" w:name="Salutation"/>
    <w:lsdException w:qFormat="1" w:unhideWhenUsed="0" w:uiPriority="99" w:semiHidden="0" w:name="Date"/>
    <w:lsdException w:qFormat="1" w:unhideWhenUsed="0" w:uiPriority="0" w:semiHidden="0" w:name="Body Text First Indent"/>
    <w:lsdException w:qFormat="1" w:unhideWhenUsed="0" w:uiPriority="99" w:semiHidden="0" w:name="Body Text First Indent 2"/>
    <w:lsdException w:qFormat="1" w:unhideWhenUsed="0" w:uiPriority="0" w:name="Note Heading"/>
    <w:lsdException w:qFormat="1" w:unhideWhenUsed="0" w:uiPriority="0" w:semiHidden="0" w:name="Body Text 2"/>
    <w:lsdException w:qFormat="1" w:unhideWhenUsed="0" w:uiPriority="0" w:name="Body Text 3"/>
    <w:lsdException w:qFormat="1" w:unhideWhenUsed="0" w:uiPriority="0" w:semiHidden="0" w:name="Body Text Indent 2"/>
    <w:lsdException w:qFormat="1" w:unhideWhenUsed="0" w:uiPriority="0" w:semiHidden="0" w:name="Body Text Indent 3"/>
    <w:lsdException w:qFormat="1" w:unhideWhenUsed="0" w:uiPriority="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0" w:semiHidden="0" w:name="Emphasis"/>
    <w:lsdException w:qFormat="1" w:unhideWhenUsed="0" w:uiPriority="99" w:semiHidden="0" w:name="Document Map"/>
    <w:lsdException w:qFormat="1" w:unhideWhenUsed="0" w:uiPriority="99" w:semiHidden="0" w:name="Plain Text"/>
    <w:lsdException w:qFormat="1" w:unhideWhenUsed="0" w:uiPriority="0" w:name="E-mail Signature"/>
    <w:lsdException w:qFormat="1" w:unhideWhenUsed="0" w:uiPriority="99" w:semiHidden="0" w:name="Normal (Web)"/>
    <w:lsdException w:qFormat="1" w:unhideWhenUsed="0" w:uiPriority="0" w:name="HTML Acronym"/>
    <w:lsdException w:qFormat="1" w:unhideWhenUsed="0" w:uiPriority="0" w:name="HTML Address"/>
    <w:lsdException w:qFormat="1" w:unhideWhenUsed="0" w:uiPriority="0" w:name="HTML Cite"/>
    <w:lsdException w:qFormat="1" w:unhideWhenUsed="0" w:uiPriority="0" w:name="HTML Code"/>
    <w:lsdException w:qFormat="1" w:unhideWhenUsed="0" w:uiPriority="0" w:name="HTML Definition"/>
    <w:lsdException w:qFormat="1" w:unhideWhenUsed="0" w:uiPriority="0" w:name="HTML Keyboard"/>
    <w:lsdException w:qFormat="1" w:unhideWhenUsed="0" w:uiPriority="0" w:name="HTML Preformatted"/>
    <w:lsdException w:qFormat="1" w:unhideWhenUsed="0" w:uiPriority="0" w:name="HTML Sample"/>
    <w:lsdException w:qFormat="1" w:unhideWhenUsed="0" w:uiPriority="0" w:name="HTML Typewriter"/>
    <w:lsdException w:qFormat="1" w:unhideWhenUsed="0" w:uiPriority="0" w:name="HTML Variable"/>
    <w:lsdException w:qFormat="1" w:uiPriority="99" w:name="Normal Table"/>
    <w:lsdException w:qFormat="1" w:unhideWhenUsed="0" w:uiPriority="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semiHidden="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99" w:semiHidden="0" w:name="Balloon Text"/>
    <w:lsdException w:qFormat="1" w:unhideWhenUsed="0" w:uiPriority="59" w:semiHidden="0" w:name="Table Grid"/>
    <w:lsdException w:qFormat="1" w:unhideWhenUsed="0" w:uiPriority="0"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rPr>
      <w:rFonts w:ascii="Times New Roman" w:hAnsi="Times New Roman" w:eastAsia="宋体" w:cs="Times New Roman"/>
      <w:kern w:val="2"/>
      <w:sz w:val="21"/>
      <w:szCs w:val="21"/>
      <w:lang w:val="en-US" w:eastAsia="zh-CN" w:bidi="ar-SA"/>
    </w:rPr>
  </w:style>
  <w:style w:type="paragraph" w:styleId="3">
    <w:name w:val="heading 1"/>
    <w:basedOn w:val="1"/>
    <w:next w:val="1"/>
    <w:link w:val="187"/>
    <w:autoRedefine/>
    <w:qFormat/>
    <w:uiPriority w:val="0"/>
    <w:pPr>
      <w:keepNext/>
      <w:keepLines/>
      <w:adjustRightInd w:val="0"/>
      <w:spacing w:before="300" w:after="300" w:line="520" w:lineRule="exact"/>
      <w:jc w:val="center"/>
      <w:outlineLvl w:val="0"/>
    </w:pPr>
    <w:rPr>
      <w:rFonts w:eastAsia="黑体"/>
      <w:bCs/>
      <w:kern w:val="44"/>
      <w:sz w:val="36"/>
      <w:szCs w:val="44"/>
    </w:rPr>
  </w:style>
  <w:style w:type="paragraph" w:styleId="4">
    <w:name w:val="heading 2"/>
    <w:basedOn w:val="1"/>
    <w:next w:val="1"/>
    <w:link w:val="183"/>
    <w:autoRedefine/>
    <w:qFormat/>
    <w:uiPriority w:val="0"/>
    <w:pPr>
      <w:keepNext/>
      <w:keepLines/>
      <w:adjustRightInd w:val="0"/>
      <w:spacing w:before="50" w:beforeLines="50" w:after="50" w:afterLines="50" w:line="360" w:lineRule="auto"/>
      <w:outlineLvl w:val="1"/>
    </w:pPr>
    <w:rPr>
      <w:rFonts w:eastAsia="黑体"/>
      <w:bCs/>
      <w:sz w:val="30"/>
      <w:szCs w:val="32"/>
      <w:lang w:val="zh-CN"/>
    </w:rPr>
  </w:style>
  <w:style w:type="paragraph" w:styleId="5">
    <w:name w:val="heading 3"/>
    <w:basedOn w:val="1"/>
    <w:next w:val="1"/>
    <w:link w:val="168"/>
    <w:autoRedefine/>
    <w:qFormat/>
    <w:uiPriority w:val="0"/>
    <w:pPr>
      <w:keepNext/>
      <w:keepLines/>
      <w:adjustRightInd w:val="0"/>
      <w:spacing w:before="50" w:beforeLines="50" w:after="50" w:afterLines="50" w:line="360" w:lineRule="auto"/>
      <w:outlineLvl w:val="2"/>
    </w:pPr>
    <w:rPr>
      <w:rFonts w:eastAsia="黑体"/>
      <w:bCs/>
      <w:sz w:val="24"/>
      <w:szCs w:val="32"/>
    </w:rPr>
  </w:style>
  <w:style w:type="paragraph" w:styleId="6">
    <w:name w:val="heading 4"/>
    <w:basedOn w:val="1"/>
    <w:next w:val="1"/>
    <w:link w:val="431"/>
    <w:autoRedefine/>
    <w:qFormat/>
    <w:uiPriority w:val="0"/>
    <w:pPr>
      <w:keepNext/>
      <w:keepLines/>
      <w:spacing w:before="280" w:after="290" w:line="376" w:lineRule="auto"/>
      <w:outlineLvl w:val="3"/>
    </w:pPr>
    <w:rPr>
      <w:rFonts w:ascii="Arial" w:hAnsi="Arial" w:eastAsia="黑体"/>
      <w:b/>
      <w:bCs/>
      <w:sz w:val="28"/>
      <w:szCs w:val="28"/>
    </w:rPr>
  </w:style>
  <w:style w:type="paragraph" w:styleId="7">
    <w:name w:val="heading 5"/>
    <w:basedOn w:val="1"/>
    <w:next w:val="1"/>
    <w:link w:val="432"/>
    <w:autoRedefine/>
    <w:qFormat/>
    <w:uiPriority w:val="0"/>
    <w:pPr>
      <w:keepNext/>
      <w:keepLines/>
      <w:spacing w:before="280" w:after="290" w:line="376" w:lineRule="auto"/>
      <w:outlineLvl w:val="4"/>
    </w:pPr>
    <w:rPr>
      <w:b/>
      <w:bCs/>
      <w:sz w:val="28"/>
      <w:szCs w:val="28"/>
    </w:rPr>
  </w:style>
  <w:style w:type="paragraph" w:styleId="8">
    <w:name w:val="heading 6"/>
    <w:basedOn w:val="1"/>
    <w:next w:val="1"/>
    <w:link w:val="433"/>
    <w:autoRedefine/>
    <w:qFormat/>
    <w:uiPriority w:val="0"/>
    <w:pPr>
      <w:keepNext/>
      <w:keepLines/>
      <w:spacing w:before="240" w:after="64" w:line="320" w:lineRule="auto"/>
      <w:outlineLvl w:val="5"/>
    </w:pPr>
    <w:rPr>
      <w:rFonts w:ascii="Arial" w:hAnsi="Arial" w:eastAsia="黑体"/>
      <w:b/>
      <w:bCs/>
      <w:sz w:val="24"/>
    </w:rPr>
  </w:style>
  <w:style w:type="paragraph" w:styleId="9">
    <w:name w:val="heading 7"/>
    <w:basedOn w:val="1"/>
    <w:next w:val="1"/>
    <w:link w:val="434"/>
    <w:autoRedefine/>
    <w:qFormat/>
    <w:uiPriority w:val="0"/>
    <w:pPr>
      <w:keepNext/>
      <w:keepLines/>
      <w:spacing w:before="240" w:after="64" w:line="320" w:lineRule="auto"/>
      <w:outlineLvl w:val="6"/>
    </w:pPr>
    <w:rPr>
      <w:b/>
      <w:bCs/>
      <w:sz w:val="24"/>
    </w:rPr>
  </w:style>
  <w:style w:type="paragraph" w:styleId="10">
    <w:name w:val="heading 8"/>
    <w:basedOn w:val="1"/>
    <w:next w:val="1"/>
    <w:link w:val="435"/>
    <w:autoRedefine/>
    <w:qFormat/>
    <w:uiPriority w:val="0"/>
    <w:pPr>
      <w:keepNext/>
      <w:keepLines/>
      <w:spacing w:before="240" w:after="64" w:line="320" w:lineRule="auto"/>
      <w:outlineLvl w:val="7"/>
    </w:pPr>
    <w:rPr>
      <w:rFonts w:ascii="Arial" w:hAnsi="Arial" w:eastAsia="黑体"/>
      <w:sz w:val="24"/>
    </w:rPr>
  </w:style>
  <w:style w:type="paragraph" w:styleId="11">
    <w:name w:val="heading 9"/>
    <w:basedOn w:val="1"/>
    <w:next w:val="1"/>
    <w:link w:val="436"/>
    <w:autoRedefine/>
    <w:qFormat/>
    <w:uiPriority w:val="0"/>
    <w:pPr>
      <w:keepNext/>
      <w:keepLines/>
      <w:spacing w:before="240" w:after="64" w:line="320" w:lineRule="auto"/>
      <w:outlineLvl w:val="8"/>
    </w:pPr>
    <w:rPr>
      <w:rFonts w:ascii="Arial" w:hAnsi="Arial" w:eastAsia="黑体"/>
    </w:rPr>
  </w:style>
  <w:style w:type="character" w:default="1" w:styleId="128">
    <w:name w:val="Default Paragraph Font"/>
    <w:autoRedefine/>
    <w:semiHidden/>
    <w:unhideWhenUsed/>
    <w:qFormat/>
    <w:uiPriority w:val="1"/>
  </w:style>
  <w:style w:type="table" w:default="1" w:styleId="83">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link w:val="219"/>
    <w:autoRedefine/>
    <w:qFormat/>
    <w:uiPriority w:val="99"/>
    <w:pPr>
      <w:adjustRightInd w:val="0"/>
      <w:snapToGrid w:val="0"/>
      <w:ind w:firstLine="420" w:firstLineChars="200"/>
    </w:pPr>
  </w:style>
  <w:style w:type="paragraph" w:styleId="12">
    <w:name w:val="List 3"/>
    <w:basedOn w:val="1"/>
    <w:autoRedefine/>
    <w:semiHidden/>
    <w:qFormat/>
    <w:uiPriority w:val="0"/>
    <w:pPr>
      <w:adjustRightInd w:val="0"/>
      <w:snapToGrid w:val="0"/>
      <w:ind w:left="100" w:leftChars="400" w:hanging="200" w:hangingChars="200"/>
    </w:pPr>
  </w:style>
  <w:style w:type="paragraph" w:styleId="13">
    <w:name w:val="toc 7"/>
    <w:basedOn w:val="1"/>
    <w:next w:val="1"/>
    <w:autoRedefine/>
    <w:qFormat/>
    <w:uiPriority w:val="39"/>
    <w:pPr>
      <w:ind w:left="1260"/>
    </w:pPr>
    <w:rPr>
      <w:rFonts w:ascii="Calibri" w:hAnsi="Calibri"/>
      <w:sz w:val="18"/>
      <w:szCs w:val="18"/>
    </w:rPr>
  </w:style>
  <w:style w:type="paragraph" w:styleId="14">
    <w:name w:val="List Number 2"/>
    <w:basedOn w:val="1"/>
    <w:autoRedefine/>
    <w:semiHidden/>
    <w:qFormat/>
    <w:uiPriority w:val="0"/>
    <w:pPr>
      <w:tabs>
        <w:tab w:val="left" w:pos="780"/>
      </w:tabs>
      <w:adjustRightInd w:val="0"/>
      <w:snapToGrid w:val="0"/>
      <w:ind w:left="780" w:leftChars="200" w:hanging="360" w:hangingChars="200"/>
    </w:pPr>
  </w:style>
  <w:style w:type="paragraph" w:styleId="15">
    <w:name w:val="Note Heading"/>
    <w:basedOn w:val="1"/>
    <w:next w:val="1"/>
    <w:link w:val="448"/>
    <w:autoRedefine/>
    <w:semiHidden/>
    <w:qFormat/>
    <w:uiPriority w:val="0"/>
    <w:pPr>
      <w:adjustRightInd w:val="0"/>
      <w:snapToGrid w:val="0"/>
      <w:jc w:val="center"/>
    </w:pPr>
  </w:style>
  <w:style w:type="paragraph" w:styleId="16">
    <w:name w:val="List Bullet 4"/>
    <w:basedOn w:val="1"/>
    <w:autoRedefine/>
    <w:semiHidden/>
    <w:qFormat/>
    <w:uiPriority w:val="0"/>
    <w:pPr>
      <w:tabs>
        <w:tab w:val="left" w:pos="1620"/>
      </w:tabs>
      <w:adjustRightInd w:val="0"/>
      <w:snapToGrid w:val="0"/>
      <w:ind w:left="1620" w:leftChars="600" w:hanging="360" w:hangingChars="200"/>
    </w:pPr>
  </w:style>
  <w:style w:type="paragraph" w:styleId="17">
    <w:name w:val="index 8"/>
    <w:basedOn w:val="1"/>
    <w:next w:val="1"/>
    <w:autoRedefine/>
    <w:semiHidden/>
    <w:qFormat/>
    <w:uiPriority w:val="0"/>
    <w:pPr>
      <w:ind w:left="1680" w:hanging="210"/>
    </w:pPr>
    <w:rPr>
      <w:sz w:val="20"/>
      <w:szCs w:val="20"/>
    </w:rPr>
  </w:style>
  <w:style w:type="paragraph" w:styleId="18">
    <w:name w:val="E-mail Signature"/>
    <w:basedOn w:val="1"/>
    <w:link w:val="449"/>
    <w:autoRedefine/>
    <w:semiHidden/>
    <w:qFormat/>
    <w:uiPriority w:val="0"/>
    <w:pPr>
      <w:adjustRightInd w:val="0"/>
      <w:snapToGrid w:val="0"/>
    </w:pPr>
  </w:style>
  <w:style w:type="paragraph" w:styleId="19">
    <w:name w:val="List Number"/>
    <w:basedOn w:val="1"/>
    <w:autoRedefine/>
    <w:semiHidden/>
    <w:qFormat/>
    <w:uiPriority w:val="0"/>
    <w:pPr>
      <w:tabs>
        <w:tab w:val="left" w:pos="360"/>
      </w:tabs>
      <w:adjustRightInd w:val="0"/>
      <w:snapToGrid w:val="0"/>
      <w:ind w:left="360" w:hanging="360" w:hangingChars="200"/>
    </w:pPr>
  </w:style>
  <w:style w:type="paragraph" w:styleId="20">
    <w:name w:val="Normal Indent"/>
    <w:basedOn w:val="1"/>
    <w:link w:val="191"/>
    <w:autoRedefine/>
    <w:qFormat/>
    <w:uiPriority w:val="99"/>
    <w:pPr>
      <w:adjustRightInd w:val="0"/>
      <w:snapToGrid w:val="0"/>
      <w:spacing w:line="300" w:lineRule="auto"/>
      <w:ind w:firstLine="200" w:firstLineChars="200"/>
    </w:pPr>
    <w:rPr>
      <w:rFonts w:ascii="仿宋_GB2312" w:eastAsia="仿宋_GB2312"/>
      <w:color w:val="000000"/>
      <w:sz w:val="28"/>
      <w:szCs w:val="20"/>
    </w:rPr>
  </w:style>
  <w:style w:type="paragraph" w:styleId="21">
    <w:name w:val="caption"/>
    <w:basedOn w:val="1"/>
    <w:next w:val="1"/>
    <w:autoRedefine/>
    <w:qFormat/>
    <w:uiPriority w:val="35"/>
    <w:pPr>
      <w:keepNext/>
      <w:spacing w:before="24" w:beforeLines="10" w:after="24" w:afterLines="10"/>
      <w:jc w:val="center"/>
    </w:pPr>
    <w:rPr>
      <w:rFonts w:hAnsi="宋体"/>
      <w:b/>
      <w:color w:val="FF0000"/>
    </w:rPr>
  </w:style>
  <w:style w:type="paragraph" w:styleId="22">
    <w:name w:val="index 5"/>
    <w:basedOn w:val="1"/>
    <w:next w:val="1"/>
    <w:autoRedefine/>
    <w:semiHidden/>
    <w:qFormat/>
    <w:uiPriority w:val="0"/>
    <w:pPr>
      <w:ind w:left="1050" w:hanging="210"/>
    </w:pPr>
    <w:rPr>
      <w:sz w:val="20"/>
      <w:szCs w:val="20"/>
    </w:rPr>
  </w:style>
  <w:style w:type="paragraph" w:styleId="23">
    <w:name w:val="List Bullet"/>
    <w:basedOn w:val="1"/>
    <w:autoRedefine/>
    <w:semiHidden/>
    <w:qFormat/>
    <w:uiPriority w:val="0"/>
    <w:pPr>
      <w:tabs>
        <w:tab w:val="left" w:pos="360"/>
      </w:tabs>
      <w:adjustRightInd w:val="0"/>
      <w:snapToGrid w:val="0"/>
      <w:ind w:left="360" w:hanging="360" w:hangingChars="200"/>
    </w:pPr>
  </w:style>
  <w:style w:type="paragraph" w:styleId="24">
    <w:name w:val="envelope address"/>
    <w:basedOn w:val="1"/>
    <w:autoRedefine/>
    <w:semiHidden/>
    <w:qFormat/>
    <w:uiPriority w:val="0"/>
    <w:pPr>
      <w:framePr w:w="7920" w:h="1980" w:hRule="exact" w:hSpace="180" w:wrap="around" w:vAnchor="margin" w:hAnchor="page" w:xAlign="center" w:yAlign="bottom"/>
      <w:adjustRightInd w:val="0"/>
      <w:snapToGrid w:val="0"/>
      <w:ind w:left="100" w:leftChars="1400"/>
    </w:pPr>
    <w:rPr>
      <w:rFonts w:ascii="Arial" w:hAnsi="Arial" w:cs="Arial"/>
      <w:sz w:val="24"/>
    </w:rPr>
  </w:style>
  <w:style w:type="paragraph" w:styleId="25">
    <w:name w:val="Document Map"/>
    <w:basedOn w:val="1"/>
    <w:link w:val="190"/>
    <w:autoRedefine/>
    <w:qFormat/>
    <w:uiPriority w:val="99"/>
    <w:pPr>
      <w:shd w:val="clear" w:color="auto" w:fill="000080"/>
    </w:pPr>
    <w:rPr>
      <w:szCs w:val="24"/>
      <w:lang w:val="zh-CN"/>
    </w:rPr>
  </w:style>
  <w:style w:type="paragraph" w:styleId="26">
    <w:name w:val="annotation text"/>
    <w:basedOn w:val="1"/>
    <w:link w:val="177"/>
    <w:autoRedefine/>
    <w:semiHidden/>
    <w:qFormat/>
    <w:uiPriority w:val="0"/>
    <w:rPr>
      <w:szCs w:val="24"/>
      <w:lang w:val="zh-CN"/>
    </w:rPr>
  </w:style>
  <w:style w:type="paragraph" w:styleId="27">
    <w:name w:val="index 6"/>
    <w:basedOn w:val="1"/>
    <w:next w:val="1"/>
    <w:autoRedefine/>
    <w:semiHidden/>
    <w:qFormat/>
    <w:uiPriority w:val="0"/>
    <w:pPr>
      <w:ind w:left="1260" w:hanging="210"/>
    </w:pPr>
    <w:rPr>
      <w:sz w:val="20"/>
      <w:szCs w:val="20"/>
    </w:rPr>
  </w:style>
  <w:style w:type="paragraph" w:styleId="28">
    <w:name w:val="Salutation"/>
    <w:basedOn w:val="1"/>
    <w:next w:val="1"/>
    <w:link w:val="444"/>
    <w:autoRedefine/>
    <w:semiHidden/>
    <w:qFormat/>
    <w:uiPriority w:val="0"/>
    <w:pPr>
      <w:adjustRightInd w:val="0"/>
      <w:snapToGrid w:val="0"/>
    </w:pPr>
  </w:style>
  <w:style w:type="paragraph" w:styleId="29">
    <w:name w:val="Body Text 3"/>
    <w:basedOn w:val="1"/>
    <w:link w:val="460"/>
    <w:autoRedefine/>
    <w:semiHidden/>
    <w:qFormat/>
    <w:uiPriority w:val="0"/>
    <w:pPr>
      <w:adjustRightInd w:val="0"/>
      <w:snapToGrid w:val="0"/>
      <w:jc w:val="center"/>
    </w:pPr>
    <w:rPr>
      <w:color w:val="0000FF"/>
    </w:rPr>
  </w:style>
  <w:style w:type="paragraph" w:styleId="30">
    <w:name w:val="Closing"/>
    <w:basedOn w:val="1"/>
    <w:link w:val="457"/>
    <w:autoRedefine/>
    <w:semiHidden/>
    <w:qFormat/>
    <w:uiPriority w:val="0"/>
    <w:pPr>
      <w:adjustRightInd w:val="0"/>
      <w:snapToGrid w:val="0"/>
      <w:ind w:left="100" w:leftChars="2100"/>
    </w:pPr>
  </w:style>
  <w:style w:type="paragraph" w:styleId="31">
    <w:name w:val="List Bullet 3"/>
    <w:basedOn w:val="1"/>
    <w:autoRedefine/>
    <w:semiHidden/>
    <w:qFormat/>
    <w:uiPriority w:val="0"/>
    <w:pPr>
      <w:tabs>
        <w:tab w:val="left" w:pos="1200"/>
      </w:tabs>
      <w:adjustRightInd w:val="0"/>
      <w:snapToGrid w:val="0"/>
      <w:ind w:left="1200" w:leftChars="400" w:hanging="360" w:hangingChars="200"/>
    </w:pPr>
  </w:style>
  <w:style w:type="paragraph" w:styleId="32">
    <w:name w:val="Body Text"/>
    <w:basedOn w:val="1"/>
    <w:link w:val="182"/>
    <w:autoRedefine/>
    <w:qFormat/>
    <w:uiPriority w:val="0"/>
    <w:pPr>
      <w:spacing w:after="120"/>
    </w:pPr>
    <w:rPr>
      <w:szCs w:val="24"/>
      <w:lang w:val="zh-CN"/>
    </w:rPr>
  </w:style>
  <w:style w:type="paragraph" w:styleId="33">
    <w:name w:val="Body Text Indent"/>
    <w:basedOn w:val="1"/>
    <w:next w:val="32"/>
    <w:link w:val="260"/>
    <w:autoRedefine/>
    <w:qFormat/>
    <w:uiPriority w:val="99"/>
    <w:pPr>
      <w:spacing w:after="120"/>
      <w:ind w:left="420" w:leftChars="200"/>
    </w:pPr>
    <w:rPr>
      <w:szCs w:val="24"/>
    </w:rPr>
  </w:style>
  <w:style w:type="paragraph" w:styleId="34">
    <w:name w:val="List Number 3"/>
    <w:basedOn w:val="1"/>
    <w:autoRedefine/>
    <w:semiHidden/>
    <w:qFormat/>
    <w:uiPriority w:val="0"/>
    <w:pPr>
      <w:tabs>
        <w:tab w:val="left" w:pos="1200"/>
      </w:tabs>
      <w:adjustRightInd w:val="0"/>
      <w:snapToGrid w:val="0"/>
      <w:ind w:left="1200" w:leftChars="400" w:hanging="360" w:hangingChars="200"/>
    </w:pPr>
  </w:style>
  <w:style w:type="paragraph" w:styleId="35">
    <w:name w:val="List 2"/>
    <w:basedOn w:val="1"/>
    <w:autoRedefine/>
    <w:qFormat/>
    <w:uiPriority w:val="0"/>
    <w:pPr>
      <w:adjustRightInd w:val="0"/>
      <w:snapToGrid w:val="0"/>
      <w:ind w:left="100" w:leftChars="200" w:hanging="200" w:hangingChars="200"/>
    </w:pPr>
  </w:style>
  <w:style w:type="paragraph" w:styleId="36">
    <w:name w:val="List Continue"/>
    <w:basedOn w:val="1"/>
    <w:autoRedefine/>
    <w:semiHidden/>
    <w:qFormat/>
    <w:uiPriority w:val="0"/>
    <w:pPr>
      <w:adjustRightInd w:val="0"/>
      <w:snapToGrid w:val="0"/>
      <w:spacing w:after="120"/>
      <w:ind w:left="420" w:leftChars="200"/>
    </w:pPr>
  </w:style>
  <w:style w:type="paragraph" w:styleId="37">
    <w:name w:val="Block Text"/>
    <w:basedOn w:val="1"/>
    <w:autoRedefine/>
    <w:semiHidden/>
    <w:qFormat/>
    <w:uiPriority w:val="0"/>
    <w:pPr>
      <w:adjustRightInd w:val="0"/>
      <w:snapToGrid w:val="0"/>
      <w:spacing w:after="120"/>
      <w:ind w:left="1440" w:leftChars="700" w:right="1440" w:rightChars="700"/>
    </w:pPr>
  </w:style>
  <w:style w:type="paragraph" w:styleId="38">
    <w:name w:val="List Bullet 2"/>
    <w:basedOn w:val="1"/>
    <w:autoRedefine/>
    <w:semiHidden/>
    <w:qFormat/>
    <w:uiPriority w:val="0"/>
    <w:pPr>
      <w:tabs>
        <w:tab w:val="left" w:pos="780"/>
      </w:tabs>
      <w:adjustRightInd w:val="0"/>
      <w:snapToGrid w:val="0"/>
      <w:ind w:left="780" w:leftChars="200" w:hanging="360" w:hangingChars="200"/>
    </w:pPr>
  </w:style>
  <w:style w:type="paragraph" w:styleId="39">
    <w:name w:val="HTML Address"/>
    <w:basedOn w:val="1"/>
    <w:link w:val="443"/>
    <w:autoRedefine/>
    <w:semiHidden/>
    <w:qFormat/>
    <w:uiPriority w:val="0"/>
    <w:pPr>
      <w:adjustRightInd w:val="0"/>
      <w:snapToGrid w:val="0"/>
    </w:pPr>
    <w:rPr>
      <w:i/>
      <w:iCs/>
    </w:rPr>
  </w:style>
  <w:style w:type="paragraph" w:styleId="40">
    <w:name w:val="index 4"/>
    <w:basedOn w:val="1"/>
    <w:next w:val="1"/>
    <w:autoRedefine/>
    <w:semiHidden/>
    <w:qFormat/>
    <w:uiPriority w:val="0"/>
    <w:pPr>
      <w:ind w:left="840" w:hanging="210"/>
    </w:pPr>
    <w:rPr>
      <w:sz w:val="20"/>
      <w:szCs w:val="20"/>
    </w:rPr>
  </w:style>
  <w:style w:type="paragraph" w:styleId="41">
    <w:name w:val="toc 5"/>
    <w:basedOn w:val="1"/>
    <w:next w:val="1"/>
    <w:autoRedefine/>
    <w:qFormat/>
    <w:uiPriority w:val="39"/>
    <w:pPr>
      <w:ind w:left="840"/>
    </w:pPr>
    <w:rPr>
      <w:rFonts w:ascii="Calibri" w:hAnsi="Calibri"/>
      <w:sz w:val="18"/>
      <w:szCs w:val="18"/>
    </w:rPr>
  </w:style>
  <w:style w:type="paragraph" w:styleId="42">
    <w:name w:val="toc 3"/>
    <w:basedOn w:val="1"/>
    <w:next w:val="1"/>
    <w:autoRedefine/>
    <w:qFormat/>
    <w:uiPriority w:val="39"/>
    <w:pPr>
      <w:ind w:left="420"/>
    </w:pPr>
    <w:rPr>
      <w:rFonts w:ascii="Calibri" w:hAnsi="Calibri"/>
      <w:i/>
      <w:iCs/>
      <w:sz w:val="20"/>
      <w:szCs w:val="20"/>
    </w:rPr>
  </w:style>
  <w:style w:type="paragraph" w:styleId="43">
    <w:name w:val="Plain Text"/>
    <w:basedOn w:val="1"/>
    <w:link w:val="170"/>
    <w:autoRedefine/>
    <w:qFormat/>
    <w:uiPriority w:val="99"/>
    <w:rPr>
      <w:rFonts w:ascii="宋体" w:hAnsi="Courier New"/>
      <w:szCs w:val="20"/>
    </w:rPr>
  </w:style>
  <w:style w:type="paragraph" w:styleId="44">
    <w:name w:val="List Bullet 5"/>
    <w:basedOn w:val="1"/>
    <w:autoRedefine/>
    <w:semiHidden/>
    <w:qFormat/>
    <w:uiPriority w:val="0"/>
    <w:pPr>
      <w:tabs>
        <w:tab w:val="left" w:pos="2040"/>
      </w:tabs>
      <w:adjustRightInd w:val="0"/>
      <w:snapToGrid w:val="0"/>
      <w:ind w:left="2040" w:leftChars="800" w:hanging="360" w:hangingChars="200"/>
    </w:pPr>
  </w:style>
  <w:style w:type="paragraph" w:styleId="45">
    <w:name w:val="List Number 4"/>
    <w:basedOn w:val="1"/>
    <w:autoRedefine/>
    <w:semiHidden/>
    <w:qFormat/>
    <w:uiPriority w:val="0"/>
    <w:pPr>
      <w:tabs>
        <w:tab w:val="left" w:pos="1620"/>
      </w:tabs>
      <w:adjustRightInd w:val="0"/>
      <w:snapToGrid w:val="0"/>
      <w:ind w:left="1620" w:leftChars="600" w:hanging="360" w:hangingChars="200"/>
    </w:pPr>
  </w:style>
  <w:style w:type="paragraph" w:styleId="46">
    <w:name w:val="toc 8"/>
    <w:basedOn w:val="1"/>
    <w:next w:val="1"/>
    <w:autoRedefine/>
    <w:qFormat/>
    <w:uiPriority w:val="39"/>
    <w:pPr>
      <w:ind w:left="1470"/>
    </w:pPr>
    <w:rPr>
      <w:rFonts w:ascii="Calibri" w:hAnsi="Calibri"/>
      <w:sz w:val="18"/>
      <w:szCs w:val="18"/>
    </w:rPr>
  </w:style>
  <w:style w:type="paragraph" w:styleId="47">
    <w:name w:val="index 3"/>
    <w:basedOn w:val="1"/>
    <w:next w:val="1"/>
    <w:autoRedefine/>
    <w:semiHidden/>
    <w:qFormat/>
    <w:uiPriority w:val="0"/>
    <w:pPr>
      <w:ind w:left="630" w:hanging="210"/>
    </w:pPr>
    <w:rPr>
      <w:sz w:val="20"/>
      <w:szCs w:val="20"/>
    </w:rPr>
  </w:style>
  <w:style w:type="paragraph" w:styleId="48">
    <w:name w:val="Date"/>
    <w:basedOn w:val="1"/>
    <w:next w:val="1"/>
    <w:link w:val="165"/>
    <w:autoRedefine/>
    <w:qFormat/>
    <w:uiPriority w:val="99"/>
    <w:pPr>
      <w:ind w:left="100" w:leftChars="2500"/>
    </w:pPr>
    <w:rPr>
      <w:szCs w:val="24"/>
      <w:lang w:val="zh-CN"/>
    </w:rPr>
  </w:style>
  <w:style w:type="paragraph" w:styleId="49">
    <w:name w:val="Body Text Indent 2"/>
    <w:basedOn w:val="1"/>
    <w:next w:val="1"/>
    <w:link w:val="254"/>
    <w:autoRedefine/>
    <w:qFormat/>
    <w:uiPriority w:val="0"/>
    <w:pPr>
      <w:ind w:firstLine="570"/>
    </w:pPr>
    <w:rPr>
      <w:sz w:val="28"/>
      <w:szCs w:val="24"/>
      <w:lang w:val="zh-CN"/>
    </w:rPr>
  </w:style>
  <w:style w:type="paragraph" w:styleId="50">
    <w:name w:val="List Continue 5"/>
    <w:basedOn w:val="1"/>
    <w:autoRedefine/>
    <w:semiHidden/>
    <w:qFormat/>
    <w:uiPriority w:val="0"/>
    <w:pPr>
      <w:adjustRightInd w:val="0"/>
      <w:snapToGrid w:val="0"/>
      <w:spacing w:after="120"/>
      <w:ind w:left="2100" w:leftChars="1000"/>
    </w:pPr>
  </w:style>
  <w:style w:type="paragraph" w:styleId="51">
    <w:name w:val="Balloon Text"/>
    <w:basedOn w:val="1"/>
    <w:link w:val="214"/>
    <w:autoRedefine/>
    <w:qFormat/>
    <w:uiPriority w:val="99"/>
    <w:rPr>
      <w:sz w:val="18"/>
      <w:szCs w:val="18"/>
      <w:lang w:val="zh-CN"/>
    </w:rPr>
  </w:style>
  <w:style w:type="paragraph" w:styleId="52">
    <w:name w:val="footer"/>
    <w:basedOn w:val="1"/>
    <w:link w:val="160"/>
    <w:autoRedefine/>
    <w:qFormat/>
    <w:uiPriority w:val="99"/>
    <w:pPr>
      <w:tabs>
        <w:tab w:val="center" w:pos="4153"/>
        <w:tab w:val="right" w:pos="8306"/>
      </w:tabs>
      <w:snapToGrid w:val="0"/>
    </w:pPr>
    <w:rPr>
      <w:sz w:val="18"/>
      <w:szCs w:val="18"/>
      <w:lang w:val="zh-CN"/>
    </w:rPr>
  </w:style>
  <w:style w:type="paragraph" w:styleId="53">
    <w:name w:val="envelope return"/>
    <w:basedOn w:val="1"/>
    <w:autoRedefine/>
    <w:semiHidden/>
    <w:qFormat/>
    <w:uiPriority w:val="0"/>
    <w:pPr>
      <w:adjustRightInd w:val="0"/>
      <w:snapToGrid w:val="0"/>
    </w:pPr>
    <w:rPr>
      <w:rFonts w:ascii="Arial" w:hAnsi="Arial" w:cs="Arial"/>
    </w:rPr>
  </w:style>
  <w:style w:type="paragraph" w:styleId="54">
    <w:name w:val="header"/>
    <w:basedOn w:val="1"/>
    <w:link w:val="158"/>
    <w:autoRedefine/>
    <w:qFormat/>
    <w:uiPriority w:val="99"/>
    <w:pPr>
      <w:pBdr>
        <w:bottom w:val="single" w:color="auto" w:sz="6" w:space="1"/>
      </w:pBdr>
      <w:tabs>
        <w:tab w:val="center" w:pos="4153"/>
        <w:tab w:val="right" w:pos="8306"/>
      </w:tabs>
      <w:snapToGrid w:val="0"/>
      <w:jc w:val="center"/>
    </w:pPr>
    <w:rPr>
      <w:sz w:val="18"/>
      <w:szCs w:val="18"/>
      <w:lang w:val="zh-CN"/>
    </w:rPr>
  </w:style>
  <w:style w:type="paragraph" w:styleId="55">
    <w:name w:val="Signature"/>
    <w:basedOn w:val="1"/>
    <w:link w:val="458"/>
    <w:autoRedefine/>
    <w:semiHidden/>
    <w:qFormat/>
    <w:uiPriority w:val="0"/>
    <w:pPr>
      <w:adjustRightInd w:val="0"/>
      <w:snapToGrid w:val="0"/>
      <w:ind w:left="100" w:leftChars="2100"/>
    </w:pPr>
  </w:style>
  <w:style w:type="paragraph" w:styleId="56">
    <w:name w:val="toc 1"/>
    <w:basedOn w:val="1"/>
    <w:next w:val="1"/>
    <w:autoRedefine/>
    <w:qFormat/>
    <w:uiPriority w:val="39"/>
    <w:pPr>
      <w:spacing w:before="120" w:after="120"/>
    </w:pPr>
    <w:rPr>
      <w:rFonts w:ascii="Calibri" w:hAnsi="Calibri"/>
      <w:b/>
      <w:bCs/>
      <w:caps/>
      <w:sz w:val="20"/>
      <w:szCs w:val="20"/>
    </w:rPr>
  </w:style>
  <w:style w:type="paragraph" w:styleId="57">
    <w:name w:val="List Continue 4"/>
    <w:basedOn w:val="1"/>
    <w:autoRedefine/>
    <w:semiHidden/>
    <w:qFormat/>
    <w:uiPriority w:val="0"/>
    <w:pPr>
      <w:adjustRightInd w:val="0"/>
      <w:snapToGrid w:val="0"/>
      <w:spacing w:after="120"/>
      <w:ind w:left="1680" w:leftChars="800"/>
    </w:pPr>
  </w:style>
  <w:style w:type="paragraph" w:styleId="58">
    <w:name w:val="toc 4"/>
    <w:basedOn w:val="1"/>
    <w:next w:val="1"/>
    <w:autoRedefine/>
    <w:qFormat/>
    <w:uiPriority w:val="39"/>
    <w:pPr>
      <w:ind w:left="630"/>
    </w:pPr>
    <w:rPr>
      <w:rFonts w:ascii="Calibri" w:hAnsi="Calibri"/>
      <w:sz w:val="18"/>
      <w:szCs w:val="18"/>
    </w:rPr>
  </w:style>
  <w:style w:type="paragraph" w:styleId="59">
    <w:name w:val="index heading"/>
    <w:basedOn w:val="1"/>
    <w:next w:val="60"/>
    <w:autoRedefine/>
    <w:semiHidden/>
    <w:qFormat/>
    <w:uiPriority w:val="0"/>
    <w:pPr>
      <w:spacing w:before="120" w:after="120"/>
    </w:pPr>
    <w:rPr>
      <w:b/>
      <w:bCs/>
      <w:i/>
      <w:iCs/>
      <w:sz w:val="20"/>
      <w:szCs w:val="20"/>
    </w:rPr>
  </w:style>
  <w:style w:type="paragraph" w:styleId="60">
    <w:name w:val="index 1"/>
    <w:basedOn w:val="1"/>
    <w:next w:val="1"/>
    <w:autoRedefine/>
    <w:semiHidden/>
    <w:qFormat/>
    <w:uiPriority w:val="0"/>
    <w:pPr>
      <w:ind w:left="210" w:hanging="210"/>
    </w:pPr>
    <w:rPr>
      <w:sz w:val="20"/>
      <w:szCs w:val="20"/>
    </w:rPr>
  </w:style>
  <w:style w:type="paragraph" w:styleId="61">
    <w:name w:val="Subtitle"/>
    <w:basedOn w:val="1"/>
    <w:link w:val="450"/>
    <w:autoRedefine/>
    <w:qFormat/>
    <w:uiPriority w:val="0"/>
    <w:pPr>
      <w:adjustRightInd w:val="0"/>
      <w:snapToGrid w:val="0"/>
      <w:spacing w:before="240" w:after="60" w:line="312" w:lineRule="auto"/>
      <w:jc w:val="center"/>
      <w:outlineLvl w:val="1"/>
    </w:pPr>
    <w:rPr>
      <w:rFonts w:ascii="Arial" w:hAnsi="Arial" w:cs="Arial"/>
      <w:b/>
      <w:bCs/>
      <w:kern w:val="28"/>
      <w:sz w:val="32"/>
      <w:szCs w:val="32"/>
    </w:rPr>
  </w:style>
  <w:style w:type="paragraph" w:styleId="62">
    <w:name w:val="List Number 5"/>
    <w:basedOn w:val="1"/>
    <w:autoRedefine/>
    <w:semiHidden/>
    <w:qFormat/>
    <w:uiPriority w:val="0"/>
    <w:pPr>
      <w:tabs>
        <w:tab w:val="left" w:pos="2040"/>
      </w:tabs>
      <w:adjustRightInd w:val="0"/>
      <w:snapToGrid w:val="0"/>
      <w:ind w:left="2040" w:leftChars="800" w:hanging="360" w:hangingChars="200"/>
    </w:pPr>
  </w:style>
  <w:style w:type="paragraph" w:styleId="63">
    <w:name w:val="List"/>
    <w:basedOn w:val="1"/>
    <w:autoRedefine/>
    <w:qFormat/>
    <w:uiPriority w:val="0"/>
    <w:pPr>
      <w:ind w:left="200" w:hanging="200" w:hangingChars="200"/>
    </w:pPr>
  </w:style>
  <w:style w:type="paragraph" w:styleId="64">
    <w:name w:val="toc 6"/>
    <w:basedOn w:val="1"/>
    <w:next w:val="1"/>
    <w:autoRedefine/>
    <w:qFormat/>
    <w:uiPriority w:val="39"/>
    <w:pPr>
      <w:ind w:left="1050"/>
    </w:pPr>
    <w:rPr>
      <w:rFonts w:ascii="Calibri" w:hAnsi="Calibri"/>
      <w:sz w:val="18"/>
      <w:szCs w:val="18"/>
    </w:rPr>
  </w:style>
  <w:style w:type="paragraph" w:styleId="65">
    <w:name w:val="List 5"/>
    <w:basedOn w:val="1"/>
    <w:autoRedefine/>
    <w:semiHidden/>
    <w:qFormat/>
    <w:uiPriority w:val="0"/>
    <w:pPr>
      <w:adjustRightInd w:val="0"/>
      <w:snapToGrid w:val="0"/>
      <w:ind w:left="100" w:leftChars="800" w:hanging="200" w:hangingChars="200"/>
    </w:pPr>
  </w:style>
  <w:style w:type="paragraph" w:styleId="66">
    <w:name w:val="Body Text Indent 3"/>
    <w:basedOn w:val="1"/>
    <w:link w:val="178"/>
    <w:autoRedefine/>
    <w:qFormat/>
    <w:uiPriority w:val="0"/>
    <w:pPr>
      <w:spacing w:after="120"/>
      <w:ind w:left="420" w:leftChars="200"/>
    </w:pPr>
    <w:rPr>
      <w:sz w:val="16"/>
      <w:szCs w:val="16"/>
      <w:lang w:val="zh-CN"/>
    </w:rPr>
  </w:style>
  <w:style w:type="paragraph" w:styleId="67">
    <w:name w:val="index 7"/>
    <w:basedOn w:val="1"/>
    <w:next w:val="1"/>
    <w:autoRedefine/>
    <w:semiHidden/>
    <w:qFormat/>
    <w:uiPriority w:val="0"/>
    <w:pPr>
      <w:ind w:left="1470" w:hanging="210"/>
    </w:pPr>
    <w:rPr>
      <w:sz w:val="20"/>
      <w:szCs w:val="20"/>
    </w:rPr>
  </w:style>
  <w:style w:type="paragraph" w:styleId="68">
    <w:name w:val="index 9"/>
    <w:basedOn w:val="1"/>
    <w:next w:val="1"/>
    <w:autoRedefine/>
    <w:semiHidden/>
    <w:qFormat/>
    <w:uiPriority w:val="0"/>
    <w:pPr>
      <w:ind w:left="1890" w:hanging="210"/>
    </w:pPr>
    <w:rPr>
      <w:sz w:val="20"/>
      <w:szCs w:val="20"/>
    </w:rPr>
  </w:style>
  <w:style w:type="paragraph" w:styleId="69">
    <w:name w:val="table of figures"/>
    <w:basedOn w:val="1"/>
    <w:next w:val="1"/>
    <w:autoRedefine/>
    <w:semiHidden/>
    <w:qFormat/>
    <w:uiPriority w:val="0"/>
    <w:pPr>
      <w:adjustRightInd w:val="0"/>
      <w:snapToGrid w:val="0"/>
      <w:ind w:left="200" w:leftChars="200" w:hanging="200" w:hangingChars="200"/>
    </w:pPr>
  </w:style>
  <w:style w:type="paragraph" w:styleId="70">
    <w:name w:val="toc 2"/>
    <w:basedOn w:val="1"/>
    <w:next w:val="1"/>
    <w:autoRedefine/>
    <w:qFormat/>
    <w:uiPriority w:val="39"/>
    <w:pPr>
      <w:ind w:left="210"/>
    </w:pPr>
    <w:rPr>
      <w:rFonts w:ascii="Calibri" w:hAnsi="Calibri"/>
      <w:smallCaps/>
      <w:sz w:val="20"/>
      <w:szCs w:val="20"/>
    </w:rPr>
  </w:style>
  <w:style w:type="paragraph" w:styleId="71">
    <w:name w:val="toc 9"/>
    <w:basedOn w:val="1"/>
    <w:next w:val="1"/>
    <w:autoRedefine/>
    <w:qFormat/>
    <w:uiPriority w:val="39"/>
    <w:pPr>
      <w:ind w:left="1680"/>
    </w:pPr>
    <w:rPr>
      <w:rFonts w:ascii="Calibri" w:hAnsi="Calibri"/>
      <w:sz w:val="18"/>
      <w:szCs w:val="18"/>
    </w:rPr>
  </w:style>
  <w:style w:type="paragraph" w:styleId="72">
    <w:name w:val="Body Text 2"/>
    <w:basedOn w:val="1"/>
    <w:link w:val="447"/>
    <w:autoRedefine/>
    <w:qFormat/>
    <w:uiPriority w:val="0"/>
    <w:pPr>
      <w:adjustRightInd w:val="0"/>
      <w:snapToGrid w:val="0"/>
      <w:spacing w:after="120" w:line="480" w:lineRule="auto"/>
    </w:pPr>
  </w:style>
  <w:style w:type="paragraph" w:styleId="73">
    <w:name w:val="List 4"/>
    <w:basedOn w:val="1"/>
    <w:autoRedefine/>
    <w:semiHidden/>
    <w:qFormat/>
    <w:uiPriority w:val="0"/>
    <w:pPr>
      <w:adjustRightInd w:val="0"/>
      <w:snapToGrid w:val="0"/>
      <w:ind w:left="100" w:leftChars="600" w:hanging="200" w:hangingChars="200"/>
    </w:pPr>
  </w:style>
  <w:style w:type="paragraph" w:styleId="74">
    <w:name w:val="List Continue 2"/>
    <w:basedOn w:val="1"/>
    <w:autoRedefine/>
    <w:semiHidden/>
    <w:qFormat/>
    <w:uiPriority w:val="0"/>
    <w:pPr>
      <w:spacing w:after="120"/>
      <w:ind w:left="840" w:leftChars="400"/>
    </w:pPr>
    <w:rPr>
      <w:szCs w:val="20"/>
    </w:rPr>
  </w:style>
  <w:style w:type="paragraph" w:styleId="75">
    <w:name w:val="Message Header"/>
    <w:basedOn w:val="1"/>
    <w:link w:val="461"/>
    <w:autoRedefine/>
    <w:semiHidden/>
    <w:qFormat/>
    <w:uiPriority w:val="0"/>
    <w:pPr>
      <w:pBdr>
        <w:top w:val="single" w:color="auto" w:sz="6" w:space="1"/>
        <w:left w:val="single" w:color="auto" w:sz="6" w:space="1"/>
        <w:bottom w:val="single" w:color="auto" w:sz="6" w:space="1"/>
        <w:right w:val="single" w:color="auto" w:sz="6" w:space="1"/>
      </w:pBdr>
      <w:shd w:val="pct20" w:color="auto" w:fill="auto"/>
      <w:adjustRightInd w:val="0"/>
      <w:snapToGrid w:val="0"/>
      <w:ind w:left="1080" w:leftChars="500" w:hanging="1080" w:hangingChars="500"/>
    </w:pPr>
    <w:rPr>
      <w:rFonts w:ascii="Arial" w:hAnsi="Arial" w:cs="Arial"/>
      <w:sz w:val="24"/>
    </w:rPr>
  </w:style>
  <w:style w:type="paragraph" w:styleId="76">
    <w:name w:val="HTML Preformatted"/>
    <w:basedOn w:val="1"/>
    <w:link w:val="451"/>
    <w:autoRedefine/>
    <w:semiHidden/>
    <w:qFormat/>
    <w:uiPriority w:val="0"/>
    <w:pPr>
      <w:adjustRightInd w:val="0"/>
      <w:snapToGrid w:val="0"/>
    </w:pPr>
    <w:rPr>
      <w:rFonts w:ascii="Courier New" w:hAnsi="Courier New" w:cs="Courier New"/>
      <w:sz w:val="20"/>
      <w:szCs w:val="20"/>
    </w:rPr>
  </w:style>
  <w:style w:type="paragraph" w:styleId="77">
    <w:name w:val="Normal (Web)"/>
    <w:basedOn w:val="1"/>
    <w:autoRedefine/>
    <w:qFormat/>
    <w:uiPriority w:val="99"/>
    <w:pPr>
      <w:spacing w:before="100" w:beforeAutospacing="1" w:after="100" w:afterAutospacing="1"/>
    </w:pPr>
    <w:rPr>
      <w:rFonts w:ascii="宋体" w:hAnsi="宋体"/>
      <w:kern w:val="0"/>
      <w:sz w:val="24"/>
    </w:rPr>
  </w:style>
  <w:style w:type="paragraph" w:styleId="78">
    <w:name w:val="List Continue 3"/>
    <w:basedOn w:val="1"/>
    <w:autoRedefine/>
    <w:semiHidden/>
    <w:qFormat/>
    <w:uiPriority w:val="0"/>
    <w:pPr>
      <w:adjustRightInd w:val="0"/>
      <w:snapToGrid w:val="0"/>
      <w:spacing w:after="120"/>
      <w:ind w:left="1260" w:leftChars="600"/>
    </w:pPr>
  </w:style>
  <w:style w:type="paragraph" w:styleId="79">
    <w:name w:val="index 2"/>
    <w:basedOn w:val="1"/>
    <w:next w:val="1"/>
    <w:autoRedefine/>
    <w:semiHidden/>
    <w:qFormat/>
    <w:uiPriority w:val="0"/>
    <w:pPr>
      <w:ind w:left="420" w:hanging="210"/>
    </w:pPr>
    <w:rPr>
      <w:sz w:val="20"/>
      <w:szCs w:val="20"/>
    </w:rPr>
  </w:style>
  <w:style w:type="paragraph" w:styleId="80">
    <w:name w:val="Title"/>
    <w:basedOn w:val="1"/>
    <w:link w:val="220"/>
    <w:autoRedefine/>
    <w:qFormat/>
    <w:uiPriority w:val="0"/>
    <w:pPr>
      <w:spacing w:before="240" w:after="60"/>
      <w:jc w:val="center"/>
      <w:outlineLvl w:val="0"/>
    </w:pPr>
    <w:rPr>
      <w:rFonts w:ascii="Arial" w:hAnsi="Arial"/>
      <w:b/>
      <w:bCs/>
      <w:sz w:val="32"/>
      <w:szCs w:val="32"/>
      <w:lang w:val="zh-CN"/>
    </w:rPr>
  </w:style>
  <w:style w:type="paragraph" w:styleId="81">
    <w:name w:val="annotation subject"/>
    <w:basedOn w:val="26"/>
    <w:next w:val="26"/>
    <w:link w:val="202"/>
    <w:autoRedefine/>
    <w:semiHidden/>
    <w:qFormat/>
    <w:uiPriority w:val="0"/>
    <w:rPr>
      <w:b/>
      <w:bCs/>
    </w:rPr>
  </w:style>
  <w:style w:type="paragraph" w:styleId="82">
    <w:name w:val="Body Text First Indent"/>
    <w:basedOn w:val="32"/>
    <w:link w:val="441"/>
    <w:autoRedefine/>
    <w:qFormat/>
    <w:uiPriority w:val="0"/>
    <w:pPr>
      <w:ind w:firstLine="420" w:firstLineChars="100"/>
    </w:pPr>
  </w:style>
  <w:style w:type="table" w:styleId="84">
    <w:name w:val="Table Grid"/>
    <w:basedOn w:val="83"/>
    <w:autoRedefine/>
    <w:qFormat/>
    <w:uiPriority w:val="59"/>
    <w:pPr>
      <w:widowControl w:val="0"/>
      <w:spacing w:line="480" w:lineRule="exac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5">
    <w:name w:val="Table Theme"/>
    <w:basedOn w:val="83"/>
    <w:autoRedefine/>
    <w:semiHidden/>
    <w:qFormat/>
    <w:uiPriority w:val="0"/>
    <w:pPr>
      <w:widowControl w:val="0"/>
      <w:adjustRightInd w:val="0"/>
      <w:snapToGrid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6">
    <w:name w:val="Table Colorful 1"/>
    <w:basedOn w:val="83"/>
    <w:autoRedefine/>
    <w:semiHidden/>
    <w:qFormat/>
    <w:uiPriority w:val="0"/>
    <w:pPr>
      <w:widowControl w:val="0"/>
      <w:adjustRightInd w:val="0"/>
      <w:snapToGrid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87">
    <w:name w:val="Table Colorful 2"/>
    <w:basedOn w:val="83"/>
    <w:autoRedefine/>
    <w:semiHidden/>
    <w:qFormat/>
    <w:uiPriority w:val="0"/>
    <w:pPr>
      <w:widowControl w:val="0"/>
      <w:adjustRightInd w:val="0"/>
      <w:snapToGrid w:val="0"/>
      <w:jc w:val="both"/>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88">
    <w:name w:val="Table Colorful 3"/>
    <w:basedOn w:val="83"/>
    <w:autoRedefine/>
    <w:semiHidden/>
    <w:qFormat/>
    <w:uiPriority w:val="0"/>
    <w:pPr>
      <w:widowControl w:val="0"/>
      <w:adjustRightInd w:val="0"/>
      <w:snapToGrid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top w:val="nil"/>
          <w:left w:val="nil"/>
          <w:bottom w:val="single" w:color="000000" w:sz="6" w:space="0"/>
          <w:right w:val="nil"/>
          <w:insideH w:val="nil"/>
          <w:insideV w:val="nil"/>
          <w:tl2br w:val="nil"/>
          <w:tr2bl w:val="nil"/>
        </w:tcBorders>
        <w:shd w:val="solid" w:color="008080" w:fill="FFFFFF"/>
      </w:tcPr>
    </w:tblStylePr>
    <w:tblStylePr w:type="firstCol">
      <w:tblPr/>
      <w:tcPr>
        <w:tcBorders>
          <w:top w:val="nil"/>
          <w:left w:val="single" w:color="000000" w:sz="36" w:space="0"/>
          <w:bottom w:val="nil"/>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89">
    <w:name w:val="Table Elegant"/>
    <w:basedOn w:val="83"/>
    <w:autoRedefine/>
    <w:semiHidden/>
    <w:qFormat/>
    <w:uiPriority w:val="0"/>
    <w:pPr>
      <w:widowControl w:val="0"/>
      <w:adjustRightInd w:val="0"/>
      <w:snapToGrid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0">
    <w:name w:val="Table Classic 1"/>
    <w:basedOn w:val="83"/>
    <w:autoRedefine/>
    <w:semiHidden/>
    <w:qFormat/>
    <w:uiPriority w:val="0"/>
    <w:pPr>
      <w:widowControl w:val="0"/>
      <w:adjustRightInd w:val="0"/>
      <w:snapToGrid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1">
    <w:name w:val="Table Classic 2"/>
    <w:basedOn w:val="83"/>
    <w:autoRedefine/>
    <w:semiHidden/>
    <w:qFormat/>
    <w:uiPriority w:val="0"/>
    <w:pPr>
      <w:widowControl w:val="0"/>
      <w:adjustRightInd w:val="0"/>
      <w:snapToGrid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top w:val="nil"/>
          <w:left w:val="nil"/>
          <w:bottom w:val="single" w:color="000000" w:sz="6" w:space="0"/>
          <w:right w:val="nil"/>
          <w:insideH w:val="nil"/>
          <w:insideV w:val="nil"/>
          <w:tl2br w:val="nil"/>
          <w:tr2bl w:val="nil"/>
        </w:tcBorders>
        <w:shd w:val="solid" w:color="800080" w:fill="FFFFFF"/>
      </w:tcPr>
    </w:tblStylePr>
    <w:tblStylePr w:type="lastRow">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2">
    <w:name w:val="Table Classic 3"/>
    <w:basedOn w:val="83"/>
    <w:autoRedefine/>
    <w:semiHidden/>
    <w:qFormat/>
    <w:uiPriority w:val="0"/>
    <w:pPr>
      <w:widowControl w:val="0"/>
      <w:adjustRightInd w:val="0"/>
      <w:snapToGrid w:val="0"/>
      <w:jc w:val="both"/>
    </w:pPr>
    <w:rPr>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top w:val="nil"/>
          <w:left w:val="nil"/>
          <w:bottom w:val="single" w:color="000000" w:sz="6" w:space="0"/>
          <w:right w:val="nil"/>
          <w:insideH w:val="nil"/>
          <w:insideV w:val="nil"/>
          <w:tl2br w:val="nil"/>
          <w:tr2bl w:val="nil"/>
        </w:tcBorders>
        <w:shd w:val="solid" w:color="000080" w:fill="FFFFFF"/>
      </w:tcPr>
    </w:tblStylePr>
    <w:tblStylePr w:type="lastRow">
      <w:rPr>
        <w:color w:val="000080"/>
      </w:rPr>
      <w:tblPr/>
      <w:tcPr>
        <w:tcBorders>
          <w:top w:val="single" w:color="000000"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93">
    <w:name w:val="Table Classic 4"/>
    <w:basedOn w:val="83"/>
    <w:autoRedefine/>
    <w:semiHidden/>
    <w:qFormat/>
    <w:uiPriority w:val="0"/>
    <w:pPr>
      <w:widowControl w:val="0"/>
      <w:adjustRightInd w:val="0"/>
      <w:snapToGrid w:val="0"/>
      <w:jc w:val="both"/>
    </w:pPr>
    <w:tblPr>
      <w:tblBorders>
        <w:top w:val="single" w:color="000000" w:sz="12" w:space="0"/>
        <w:left w:val="single" w:color="000000" w:sz="6" w:space="0"/>
        <w:bottom w:val="single" w:color="000000" w:sz="12" w:space="0"/>
        <w:right w:val="single" w:color="000000" w:sz="6" w:space="0"/>
      </w:tblBorders>
      <w:tblCellMar>
        <w:top w:w="0" w:type="dxa"/>
        <w:left w:w="108" w:type="dxa"/>
        <w:bottom w:w="0" w:type="dxa"/>
        <w:right w:w="108" w:type="dxa"/>
      </w:tblCellMar>
    </w:tblPr>
    <w:tcPr>
      <w:shd w:val="clear" w:color="auto" w:fill="auto"/>
    </w:tcPr>
    <w:tblStylePr w:type="firstRow">
      <w:rPr>
        <w:b/>
        <w:bCs/>
        <w:i/>
        <w:iCs/>
        <w:color w:val="FFFFFF"/>
      </w:rPr>
      <w:tblPr/>
      <w:tcPr>
        <w:tcBorders>
          <w:top w:val="nil"/>
          <w:left w:val="nil"/>
          <w:bottom w:val="single" w:color="000000" w:sz="6" w:space="0"/>
          <w:right w:val="nil"/>
          <w:insideH w:val="nil"/>
          <w:insideV w:val="nil"/>
          <w:tl2br w:val="nil"/>
          <w:tr2bl w:val="nil"/>
        </w:tcBorders>
        <w:shd w:val="pct50" w:color="000080" w:fill="FFFFFF"/>
      </w:tcPr>
    </w:tblStylePr>
    <w:tblStylePr w:type="lastRow">
      <w:rPr>
        <w:color w:val="000080"/>
      </w:rPr>
      <w:tblPr/>
      <w:tcPr>
        <w:tcBorders>
          <w:top w:val="nil"/>
          <w:left w:val="nil"/>
          <w:bottom w:val="single" w:color="000000" w:sz="6" w:space="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4">
    <w:name w:val="Table Simple 1"/>
    <w:basedOn w:val="83"/>
    <w:autoRedefine/>
    <w:semiHidden/>
    <w:qFormat/>
    <w:uiPriority w:val="0"/>
    <w:pPr>
      <w:widowControl w:val="0"/>
      <w:adjustRightInd w:val="0"/>
      <w:snapToGrid w:val="0"/>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95">
    <w:name w:val="Table Simple 2"/>
    <w:basedOn w:val="83"/>
    <w:autoRedefine/>
    <w:semiHidden/>
    <w:qFormat/>
    <w:uiPriority w:val="0"/>
    <w:pPr>
      <w:widowControl w:val="0"/>
      <w:adjustRightInd w:val="0"/>
      <w:snapToGrid w:val="0"/>
      <w:jc w:val="both"/>
    </w:pPr>
    <w:tblPr>
      <w:tblCellMar>
        <w:top w:w="0" w:type="dxa"/>
        <w:left w:w="108" w:type="dxa"/>
        <w:bottom w:w="0" w:type="dxa"/>
        <w:right w:w="108" w:type="dxa"/>
      </w:tblCellMar>
    </w:tblPr>
    <w:tblStylePr w:type="firstRow">
      <w:rPr>
        <w:b/>
        <w:bCs/>
      </w:rPr>
      <w:tblPr/>
      <w:tcPr>
        <w:tcBorders>
          <w:top w:val="nil"/>
          <w:left w:val="nil"/>
          <w:bottom w:val="single" w:color="000000" w:sz="12" w:space="0"/>
          <w:right w:val="nil"/>
          <w:insideH w:val="nil"/>
          <w:insideV w:val="nil"/>
          <w:tl2br w:val="nil"/>
          <w:tr2bl w:val="nil"/>
        </w:tcBorders>
      </w:tcPr>
    </w:tblStylePr>
    <w:tblStylePr w:type="lastRow">
      <w:rPr>
        <w:b/>
        <w:bCs/>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lastCol">
      <w:rPr>
        <w:b/>
        <w:bCs/>
      </w:rPr>
      <w:tblPr/>
      <w:tcPr>
        <w:tcBorders>
          <w:top w:val="nil"/>
          <w:left w:val="single" w:color="000000" w:sz="6" w:space="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6">
    <w:name w:val="Table Simple 3"/>
    <w:basedOn w:val="83"/>
    <w:autoRedefine/>
    <w:semiHidden/>
    <w:qFormat/>
    <w:uiPriority w:val="0"/>
    <w:pPr>
      <w:widowControl w:val="0"/>
      <w:adjustRightInd w:val="0"/>
      <w:snapToGrid w:val="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7">
    <w:name w:val="Table Subtle 1"/>
    <w:basedOn w:val="83"/>
    <w:autoRedefine/>
    <w:semiHidden/>
    <w:qFormat/>
    <w:uiPriority w:val="0"/>
    <w:pPr>
      <w:widowControl w:val="0"/>
      <w:adjustRightInd w:val="0"/>
      <w:snapToGrid w:val="0"/>
      <w:jc w:val="both"/>
    </w:pPr>
    <w:tblPr>
      <w:tblCellMar>
        <w:top w:w="0" w:type="dxa"/>
        <w:left w:w="108" w:type="dxa"/>
        <w:bottom w:w="0" w:type="dxa"/>
        <w:right w:w="108" w:type="dxa"/>
      </w:tblCellMar>
    </w:tblPr>
    <w:tblStylePr w:type="firstRow">
      <w:tblPr/>
      <w:tcPr>
        <w:tcBorders>
          <w:top w:val="single" w:color="000000" w:sz="6" w:space="0"/>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000000" w:sz="12" w:space="0"/>
          <w:insideH w:val="nil"/>
          <w:insideV w:val="nil"/>
          <w:tl2br w:val="nil"/>
          <w:tr2bl w:val="nil"/>
        </w:tcBorders>
      </w:tcPr>
    </w:tblStylePr>
    <w:tblStylePr w:type="lastCol">
      <w:tblPr/>
      <w:tcPr>
        <w:tcBorders>
          <w:top w:val="nil"/>
          <w:left w:val="single" w:color="000000" w:sz="12" w:space="0"/>
          <w:bottom w:val="nil"/>
          <w:right w:val="nil"/>
          <w:insideH w:val="nil"/>
          <w:insideV w:val="nil"/>
          <w:tl2br w:val="nil"/>
          <w:tr2bl w:val="nil"/>
        </w:tcBorders>
      </w:tcPr>
    </w:tblStylePr>
    <w:tblStylePr w:type="band1Horz">
      <w:tblPr/>
      <w:tcPr>
        <w:tcBorders>
          <w:top w:val="nil"/>
          <w:left w:val="nil"/>
          <w:bottom w:val="single" w:color="000000" w:sz="6"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8">
    <w:name w:val="Table Subtle 2"/>
    <w:basedOn w:val="83"/>
    <w:autoRedefine/>
    <w:semiHidden/>
    <w:qFormat/>
    <w:uiPriority w:val="0"/>
    <w:pPr>
      <w:widowControl w:val="0"/>
      <w:adjustRightInd w:val="0"/>
      <w:snapToGrid w:val="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firstCol">
      <w:tblPr/>
      <w:tcPr>
        <w:tcBorders>
          <w:top w:val="nil"/>
          <w:left w:val="nil"/>
          <w:bottom w:val="nil"/>
          <w:right w:val="single" w:color="000000" w:sz="12" w:space="0"/>
          <w:insideH w:val="nil"/>
          <w:insideV w:val="nil"/>
          <w:tl2br w:val="nil"/>
          <w:tr2bl w:val="nil"/>
        </w:tcBorders>
        <w:shd w:val="pct25" w:color="008000" w:fill="FFFFFF"/>
      </w:tcPr>
    </w:tblStylePr>
    <w:tblStylePr w:type="lastCol">
      <w:tblPr/>
      <w:tcPr>
        <w:tcBorders>
          <w:top w:val="nil"/>
          <w:left w:val="single" w:color="000000" w:sz="12"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9">
    <w:name w:val="Table 3D effects 1"/>
    <w:basedOn w:val="83"/>
    <w:autoRedefine/>
    <w:semiHidden/>
    <w:qFormat/>
    <w:uiPriority w:val="0"/>
    <w:pPr>
      <w:widowControl w:val="0"/>
      <w:adjustRightInd w:val="0"/>
      <w:snapToGrid w:val="0"/>
      <w:jc w:val="both"/>
    </w:pPr>
    <w:tblPr>
      <w:tblCellMar>
        <w:top w:w="0" w:type="dxa"/>
        <w:left w:w="108" w:type="dxa"/>
        <w:bottom w:w="0" w:type="dxa"/>
        <w:right w:w="108" w:type="dxa"/>
      </w:tblCellMar>
    </w:tblPr>
    <w:tcPr>
      <w:shd w:val="solid" w:color="C0C0C0" w:fill="FFFFFF"/>
    </w:tcPr>
    <w:tblStylePr w:type="firstRow">
      <w:rPr>
        <w:b/>
        <w:bCs/>
        <w:color w:val="800080"/>
      </w:rPr>
      <w:tblPr/>
      <w:tcPr>
        <w:tcBorders>
          <w:top w:val="nil"/>
          <w:left w:val="nil"/>
          <w:bottom w:val="single" w:color="808080" w:sz="6" w:space="0"/>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single" w:color="FFFFFF" w:sz="6" w:space="0"/>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0">
    <w:name w:val="Table 3D effects 2"/>
    <w:basedOn w:val="83"/>
    <w:autoRedefine/>
    <w:semiHidden/>
    <w:qFormat/>
    <w:uiPriority w:val="0"/>
    <w:pPr>
      <w:widowControl w:val="0"/>
      <w:adjustRightInd w:val="0"/>
      <w:snapToGrid w:val="0"/>
      <w:jc w:val="both"/>
    </w:pPr>
    <w:tblPr>
      <w:tblCellMar>
        <w:top w:w="0" w:type="dxa"/>
        <w:left w:w="108" w:type="dxa"/>
        <w:bottom w:w="0" w:type="dxa"/>
        <w:right w:w="108" w:type="dxa"/>
      </w:tblCellMa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1">
    <w:name w:val="Table 3D effects 3"/>
    <w:basedOn w:val="83"/>
    <w:autoRedefine/>
    <w:semiHidden/>
    <w:qFormat/>
    <w:uiPriority w:val="0"/>
    <w:pPr>
      <w:widowControl w:val="0"/>
      <w:adjustRightInd w:val="0"/>
      <w:snapToGrid w:val="0"/>
      <w:jc w:val="both"/>
    </w:pPr>
    <w:tblPr>
      <w:tblCellMar>
        <w:top w:w="0" w:type="dxa"/>
        <w:left w:w="108" w:type="dxa"/>
        <w:bottom w:w="0" w:type="dxa"/>
        <w:right w:w="108" w:type="dxa"/>
      </w:tblCellMa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nil"/>
          <w:bottom w:val="single" w:color="FFFFFF" w:sz="6" w:space="0"/>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2">
    <w:name w:val="Table List 1"/>
    <w:basedOn w:val="83"/>
    <w:autoRedefine/>
    <w:semiHidden/>
    <w:qFormat/>
    <w:uiPriority w:val="0"/>
    <w:pPr>
      <w:widowControl w:val="0"/>
      <w:adjustRightInd w:val="0"/>
      <w:snapToGrid w:val="0"/>
      <w:jc w:val="both"/>
    </w:p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top w:val="nil"/>
          <w:left w:val="nil"/>
          <w:bottom w:val="single" w:color="000000" w:sz="6" w:space="0"/>
          <w:right w:val="nil"/>
          <w:insideH w:val="nil"/>
          <w:insideV w:val="nil"/>
          <w:tl2br w:val="nil"/>
          <w:tr2bl w:val="nil"/>
        </w:tcBorders>
        <w:shd w:val="solid" w:color="C0C0C0" w:fill="FFFFFF"/>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List 2"/>
    <w:basedOn w:val="83"/>
    <w:autoRedefine/>
    <w:semiHidden/>
    <w:qFormat/>
    <w:uiPriority w:val="0"/>
    <w:pPr>
      <w:widowControl w:val="0"/>
      <w:adjustRightInd w:val="0"/>
      <w:snapToGrid w:val="0"/>
      <w:jc w:val="both"/>
    </w:p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top w:val="nil"/>
          <w:left w:val="nil"/>
          <w:bottom w:val="single" w:color="000000" w:sz="6" w:space="0"/>
          <w:right w:val="nil"/>
          <w:insideH w:val="nil"/>
          <w:insideV w:val="nil"/>
          <w:tl2br w:val="nil"/>
          <w:tr2bl w:val="nil"/>
        </w:tcBorders>
        <w:shd w:val="pct75" w:color="008080" w:fill="008000"/>
      </w:tcPr>
    </w:tblStylePr>
    <w:tblStylePr w:type="lastRow">
      <w:tblPr/>
      <w:tcPr>
        <w:tcBorders>
          <w:top w:val="single" w:color="000000"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4">
    <w:name w:val="Table List 3"/>
    <w:basedOn w:val="83"/>
    <w:autoRedefine/>
    <w:semiHidden/>
    <w:qFormat/>
    <w:uiPriority w:val="0"/>
    <w:pPr>
      <w:widowControl w:val="0"/>
      <w:adjustRightInd w:val="0"/>
      <w:snapToGrid w:val="0"/>
      <w:jc w:val="both"/>
    </w:p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000080"/>
      </w:rPr>
      <w:tblPr/>
      <w:tcPr>
        <w:tcBorders>
          <w:top w:val="nil"/>
          <w:left w:val="nil"/>
          <w:bottom w:val="single" w:color="000000" w:sz="12" w:space="0"/>
          <w:right w:val="nil"/>
          <w:insideH w:val="nil"/>
          <w:insideV w:val="nil"/>
          <w:tl2br w:val="nil"/>
          <w:tr2bl w:val="nil"/>
        </w:tcBorders>
      </w:tcPr>
    </w:tblStylePr>
    <w:tblStylePr w:type="lastRow">
      <w:tblPr/>
      <w:tcPr>
        <w:tcBorders>
          <w:top w:val="single" w:color="000000"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05">
    <w:name w:val="Table List 4"/>
    <w:basedOn w:val="83"/>
    <w:autoRedefine/>
    <w:semiHidden/>
    <w:qFormat/>
    <w:uiPriority w:val="0"/>
    <w:pPr>
      <w:widowControl w:val="0"/>
      <w:adjustRightInd w:val="0"/>
      <w:snapToGrid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single" w:color="000000" w:sz="12" w:space="0"/>
          <w:right w:val="nil"/>
          <w:insideH w:val="nil"/>
          <w:insideV w:val="nil"/>
          <w:tl2br w:val="nil"/>
          <w:tr2bl w:val="nil"/>
        </w:tcBorders>
        <w:shd w:val="solid" w:color="808080" w:fill="FFFFFF"/>
      </w:tcPr>
    </w:tblStylePr>
  </w:style>
  <w:style w:type="table" w:styleId="106">
    <w:name w:val="Table List 5"/>
    <w:basedOn w:val="83"/>
    <w:autoRedefine/>
    <w:semiHidden/>
    <w:qFormat/>
    <w:uiPriority w:val="0"/>
    <w:pPr>
      <w:widowControl w:val="0"/>
      <w:adjustRightInd w:val="0"/>
      <w:snapToGrid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single" w:color="000000" w:sz="12" w:space="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07">
    <w:name w:val="Table List 6"/>
    <w:basedOn w:val="83"/>
    <w:autoRedefine/>
    <w:semiHidden/>
    <w:qFormat/>
    <w:uiPriority w:val="0"/>
    <w:pPr>
      <w:widowControl w:val="0"/>
      <w:adjustRightInd w:val="0"/>
      <w:snapToGrid w:val="0"/>
      <w:jc w:val="both"/>
    </w:pPr>
    <w:tblPr>
      <w:tblBorders>
        <w:top w:val="single" w:color="000000" w:sz="6" w:space="0"/>
        <w:left w:val="single" w:color="000000" w:sz="6" w:space="0"/>
        <w:bottom w:val="single" w:color="000000" w:sz="6" w:space="0"/>
        <w:right w:val="single" w:color="000000" w:sz="6" w:space="0"/>
      </w:tblBorders>
      <w:tblCellMar>
        <w:top w:w="0" w:type="dxa"/>
        <w:left w:w="108" w:type="dxa"/>
        <w:bottom w:w="0" w:type="dxa"/>
        <w:right w:w="108" w:type="dxa"/>
      </w:tblCellMar>
    </w:tblPr>
    <w:tcPr>
      <w:shd w:val="pct50" w:color="000000" w:fill="FFFFFF"/>
    </w:tcPr>
    <w:tblStylePr w:type="firstRow">
      <w:rPr>
        <w:b/>
        <w:bCs/>
      </w:rPr>
      <w:tblPr/>
      <w:tcPr>
        <w:tcBorders>
          <w:top w:val="nil"/>
          <w:left w:val="nil"/>
          <w:bottom w:val="single" w:color="000000" w:sz="12" w:space="0"/>
          <w:right w:val="nil"/>
          <w:insideH w:val="nil"/>
          <w:insideV w:val="nil"/>
          <w:tl2br w:val="nil"/>
          <w:tr2bl w:val="nil"/>
        </w:tcBorders>
      </w:tcPr>
    </w:tblStylePr>
    <w:tblStylePr w:type="firstCol">
      <w:rPr>
        <w:b/>
        <w:bCs/>
      </w:rPr>
      <w:tblPr/>
      <w:tcPr>
        <w:tcBorders>
          <w:top w:val="nil"/>
          <w:left w:val="nil"/>
          <w:bottom w:val="nil"/>
          <w:right w:val="single" w:color="000000"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08">
    <w:name w:val="Table List 7"/>
    <w:basedOn w:val="83"/>
    <w:autoRedefine/>
    <w:semiHidden/>
    <w:qFormat/>
    <w:uiPriority w:val="0"/>
    <w:pPr>
      <w:widowControl w:val="0"/>
      <w:adjustRightInd w:val="0"/>
      <w:snapToGrid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09">
    <w:name w:val="Table List 8"/>
    <w:basedOn w:val="83"/>
    <w:autoRedefine/>
    <w:semiHidden/>
    <w:qFormat/>
    <w:uiPriority w:val="0"/>
    <w:pPr>
      <w:widowControl w:val="0"/>
      <w:adjustRightInd w:val="0"/>
      <w:snapToGrid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top w:val="nil"/>
          <w:left w:val="nil"/>
          <w:bottom w:val="single" w:color="000000" w:sz="6" w:space="0"/>
          <w:right w:val="nil"/>
          <w:insideH w:val="nil"/>
          <w:insideV w:val="nil"/>
          <w:tl2br w:val="nil"/>
          <w:tr2bl w:val="nil"/>
        </w:tcBorders>
        <w:shd w:val="solid" w:color="FFFF00" w:fill="FFFFFF"/>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0">
    <w:name w:val="Table Contemporary"/>
    <w:basedOn w:val="83"/>
    <w:autoRedefine/>
    <w:semiHidden/>
    <w:qFormat/>
    <w:uiPriority w:val="0"/>
    <w:pPr>
      <w:widowControl w:val="0"/>
      <w:adjustRightInd w:val="0"/>
      <w:snapToGrid w:val="0"/>
      <w:jc w:val="both"/>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1">
    <w:name w:val="Table Columns 1"/>
    <w:basedOn w:val="83"/>
    <w:autoRedefine/>
    <w:semiHidden/>
    <w:qFormat/>
    <w:uiPriority w:val="0"/>
    <w:pPr>
      <w:widowControl w:val="0"/>
      <w:adjustRightInd w:val="0"/>
      <w:snapToGrid w:val="0"/>
      <w:jc w:val="both"/>
    </w:pPr>
    <w:rPr>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top w:val="nil"/>
          <w:left w:val="nil"/>
          <w:bottom w:val="double" w:color="000000" w:sz="6" w:space="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2">
    <w:name w:val="Table Columns 2"/>
    <w:basedOn w:val="83"/>
    <w:autoRedefine/>
    <w:semiHidden/>
    <w:qFormat/>
    <w:uiPriority w:val="0"/>
    <w:pPr>
      <w:widowControl w:val="0"/>
      <w:adjustRightInd w:val="0"/>
      <w:snapToGrid w:val="0"/>
      <w:jc w:val="both"/>
    </w:pPr>
    <w:rPr>
      <w:b/>
      <w:bCs/>
    </w:r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3">
    <w:name w:val="Table Columns 3"/>
    <w:basedOn w:val="83"/>
    <w:autoRedefine/>
    <w:semiHidden/>
    <w:qFormat/>
    <w:uiPriority w:val="0"/>
    <w:pPr>
      <w:widowControl w:val="0"/>
      <w:adjustRightInd w:val="0"/>
      <w:snapToGrid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14">
    <w:name w:val="Table Columns 4"/>
    <w:basedOn w:val="83"/>
    <w:autoRedefine/>
    <w:semiHidden/>
    <w:qFormat/>
    <w:uiPriority w:val="0"/>
    <w:pPr>
      <w:widowControl w:val="0"/>
      <w:adjustRightInd w:val="0"/>
      <w:snapToGrid w:val="0"/>
      <w:jc w:val="both"/>
    </w:p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5">
    <w:name w:val="Table Columns 5"/>
    <w:basedOn w:val="83"/>
    <w:autoRedefine/>
    <w:semiHidden/>
    <w:qFormat/>
    <w:uiPriority w:val="0"/>
    <w:pPr>
      <w:widowControl w:val="0"/>
      <w:adjustRightInd w:val="0"/>
      <w:snapToGrid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top w:val="nil"/>
          <w:left w:val="nil"/>
          <w:bottom w:val="single" w:color="808080" w:sz="6" w:space="0"/>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16">
    <w:name w:val="Table Grid 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7">
    <w:name w:val="Table Grid 2"/>
    <w:basedOn w:val="83"/>
    <w:autoRedefine/>
    <w:semiHidden/>
    <w:qFormat/>
    <w:uiPriority w:val="0"/>
    <w:pPr>
      <w:widowControl w:val="0"/>
      <w:adjustRightInd w:val="0"/>
      <w:snapToGrid w:val="0"/>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18">
    <w:name w:val="Table Grid 3"/>
    <w:basedOn w:val="83"/>
    <w:autoRedefine/>
    <w:semiHidden/>
    <w:qFormat/>
    <w:uiPriority w:val="0"/>
    <w:pPr>
      <w:widowControl w:val="0"/>
      <w:adjustRightInd w:val="0"/>
      <w:snapToGrid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19">
    <w:name w:val="Table Grid 4"/>
    <w:basedOn w:val="83"/>
    <w:autoRedefine/>
    <w:semiHidden/>
    <w:qFormat/>
    <w:uiPriority w:val="0"/>
    <w:pPr>
      <w:widowControl w:val="0"/>
      <w:adjustRightInd w:val="0"/>
      <w:snapToGrid w:val="0"/>
      <w:jc w:val="both"/>
    </w:p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olor w:val="auto"/>
      </w:rPr>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0">
    <w:name w:val="Table Grid 5"/>
    <w:basedOn w:val="83"/>
    <w:autoRedefine/>
    <w:semiHidden/>
    <w:qFormat/>
    <w:uiPriority w:val="0"/>
    <w:pPr>
      <w:widowControl w:val="0"/>
      <w:adjustRightInd w:val="0"/>
      <w:snapToGrid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1">
    <w:name w:val="Table Grid 6"/>
    <w:basedOn w:val="83"/>
    <w:autoRedefine/>
    <w:semiHidden/>
    <w:qFormat/>
    <w:uiPriority w:val="0"/>
    <w:pPr>
      <w:widowControl w:val="0"/>
      <w:adjustRightInd w:val="0"/>
      <w:snapToGrid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2">
    <w:name w:val="Table Grid 7"/>
    <w:basedOn w:val="83"/>
    <w:autoRedefine/>
    <w:semiHidden/>
    <w:qFormat/>
    <w:uiPriority w:val="0"/>
    <w:pPr>
      <w:widowControl w:val="0"/>
      <w:adjustRightInd w:val="0"/>
      <w:snapToGrid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val="0"/>
        <w:bCs w:val="0"/>
      </w:rPr>
      <w:tblPr/>
      <w:tcPr>
        <w:tcBorders>
          <w:top w:val="nil"/>
          <w:left w:val="nil"/>
          <w:bottom w:val="single" w:color="000000" w:sz="12" w:space="0"/>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123">
    <w:name w:val="Table Grid 8"/>
    <w:basedOn w:val="83"/>
    <w:autoRedefine/>
    <w:semiHidden/>
    <w:qFormat/>
    <w:uiPriority w:val="0"/>
    <w:pPr>
      <w:widowControl w:val="0"/>
      <w:adjustRightInd w:val="0"/>
      <w:snapToGrid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4">
    <w:name w:val="Table Web 1"/>
    <w:basedOn w:val="83"/>
    <w:autoRedefine/>
    <w:semiHidden/>
    <w:qFormat/>
    <w:uiPriority w:val="0"/>
    <w:pPr>
      <w:widowControl w:val="0"/>
      <w:adjustRightInd w:val="0"/>
      <w:snapToGrid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25">
    <w:name w:val="Table Web 2"/>
    <w:basedOn w:val="83"/>
    <w:autoRedefine/>
    <w:semiHidden/>
    <w:qFormat/>
    <w:uiPriority w:val="0"/>
    <w:pPr>
      <w:widowControl w:val="0"/>
      <w:adjustRightInd w:val="0"/>
      <w:snapToGrid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26">
    <w:name w:val="Table Web 3"/>
    <w:basedOn w:val="83"/>
    <w:autoRedefine/>
    <w:semiHidden/>
    <w:qFormat/>
    <w:uiPriority w:val="0"/>
    <w:pPr>
      <w:widowControl w:val="0"/>
      <w:adjustRightInd w:val="0"/>
      <w:snapToGrid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27">
    <w:name w:val="Table Professional"/>
    <w:basedOn w:val="83"/>
    <w:autoRedefine/>
    <w:semiHidden/>
    <w:qFormat/>
    <w:uiPriority w:val="0"/>
    <w:pPr>
      <w:widowControl w:val="0"/>
      <w:adjustRightInd w:val="0"/>
      <w:snapToGrid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29">
    <w:name w:val="Strong"/>
    <w:autoRedefine/>
    <w:qFormat/>
    <w:uiPriority w:val="22"/>
    <w:rPr>
      <w:b/>
      <w:bCs/>
    </w:rPr>
  </w:style>
  <w:style w:type="character" w:styleId="130">
    <w:name w:val="page number"/>
    <w:basedOn w:val="128"/>
    <w:autoRedefine/>
    <w:qFormat/>
    <w:uiPriority w:val="0"/>
  </w:style>
  <w:style w:type="character" w:styleId="131">
    <w:name w:val="FollowedHyperlink"/>
    <w:autoRedefine/>
    <w:qFormat/>
    <w:uiPriority w:val="99"/>
    <w:rPr>
      <w:rFonts w:hint="eastAsia" w:ascii="宋体" w:hAnsi="宋体" w:eastAsia="宋体" w:cs="宋体"/>
      <w:color w:val="000000"/>
      <w:sz w:val="18"/>
      <w:szCs w:val="18"/>
      <w:u w:val="none"/>
    </w:rPr>
  </w:style>
  <w:style w:type="character" w:styleId="132">
    <w:name w:val="Emphasis"/>
    <w:autoRedefine/>
    <w:qFormat/>
    <w:uiPriority w:val="0"/>
    <w:rPr>
      <w:i/>
      <w:iCs/>
    </w:rPr>
  </w:style>
  <w:style w:type="character" w:styleId="133">
    <w:name w:val="line number"/>
    <w:basedOn w:val="128"/>
    <w:autoRedefine/>
    <w:semiHidden/>
    <w:qFormat/>
    <w:uiPriority w:val="0"/>
  </w:style>
  <w:style w:type="character" w:styleId="134">
    <w:name w:val="HTML Definition"/>
    <w:autoRedefine/>
    <w:semiHidden/>
    <w:qFormat/>
    <w:uiPriority w:val="0"/>
    <w:rPr>
      <w:i/>
      <w:iCs/>
    </w:rPr>
  </w:style>
  <w:style w:type="character" w:styleId="135">
    <w:name w:val="HTML Typewriter"/>
    <w:autoRedefine/>
    <w:semiHidden/>
    <w:qFormat/>
    <w:uiPriority w:val="0"/>
    <w:rPr>
      <w:rFonts w:ascii="Courier New" w:hAnsi="Courier New" w:cs="Courier New"/>
      <w:sz w:val="20"/>
      <w:szCs w:val="20"/>
    </w:rPr>
  </w:style>
  <w:style w:type="character" w:styleId="136">
    <w:name w:val="HTML Acronym"/>
    <w:basedOn w:val="128"/>
    <w:autoRedefine/>
    <w:semiHidden/>
    <w:qFormat/>
    <w:uiPriority w:val="0"/>
  </w:style>
  <w:style w:type="character" w:styleId="137">
    <w:name w:val="HTML Variable"/>
    <w:autoRedefine/>
    <w:semiHidden/>
    <w:qFormat/>
    <w:uiPriority w:val="0"/>
    <w:rPr>
      <w:i/>
      <w:iCs/>
    </w:rPr>
  </w:style>
  <w:style w:type="character" w:styleId="138">
    <w:name w:val="Hyperlink"/>
    <w:autoRedefine/>
    <w:qFormat/>
    <w:uiPriority w:val="99"/>
    <w:rPr>
      <w:rFonts w:hint="eastAsia" w:ascii="宋体" w:hAnsi="宋体" w:eastAsia="宋体" w:cs="宋体"/>
      <w:color w:val="000000"/>
      <w:sz w:val="18"/>
      <w:szCs w:val="18"/>
      <w:u w:val="none"/>
    </w:rPr>
  </w:style>
  <w:style w:type="character" w:styleId="139">
    <w:name w:val="HTML Code"/>
    <w:autoRedefine/>
    <w:semiHidden/>
    <w:qFormat/>
    <w:uiPriority w:val="0"/>
    <w:rPr>
      <w:rFonts w:ascii="Courier New" w:hAnsi="Courier New" w:cs="Courier New"/>
      <w:sz w:val="20"/>
      <w:szCs w:val="20"/>
    </w:rPr>
  </w:style>
  <w:style w:type="character" w:styleId="140">
    <w:name w:val="annotation reference"/>
    <w:autoRedefine/>
    <w:semiHidden/>
    <w:qFormat/>
    <w:uiPriority w:val="0"/>
    <w:rPr>
      <w:sz w:val="21"/>
      <w:szCs w:val="21"/>
    </w:rPr>
  </w:style>
  <w:style w:type="character" w:styleId="141">
    <w:name w:val="HTML Cite"/>
    <w:autoRedefine/>
    <w:semiHidden/>
    <w:qFormat/>
    <w:uiPriority w:val="0"/>
    <w:rPr>
      <w:i/>
      <w:iCs/>
    </w:rPr>
  </w:style>
  <w:style w:type="character" w:styleId="142">
    <w:name w:val="HTML Keyboard"/>
    <w:autoRedefine/>
    <w:semiHidden/>
    <w:qFormat/>
    <w:uiPriority w:val="0"/>
    <w:rPr>
      <w:rFonts w:ascii="Courier New" w:hAnsi="Courier New" w:cs="Courier New"/>
      <w:sz w:val="20"/>
      <w:szCs w:val="20"/>
    </w:rPr>
  </w:style>
  <w:style w:type="character" w:styleId="143">
    <w:name w:val="HTML Sample"/>
    <w:autoRedefine/>
    <w:semiHidden/>
    <w:qFormat/>
    <w:uiPriority w:val="0"/>
    <w:rPr>
      <w:rFonts w:ascii="Courier New" w:hAnsi="Courier New" w:cs="Courier New"/>
    </w:rPr>
  </w:style>
  <w:style w:type="character" w:customStyle="1" w:styleId="144">
    <w:name w:val="p141"/>
    <w:autoRedefine/>
    <w:qFormat/>
    <w:uiPriority w:val="0"/>
    <w:rPr>
      <w:color w:val="333333"/>
      <w:spacing w:val="330"/>
      <w:sz w:val="21"/>
      <w:szCs w:val="21"/>
    </w:rPr>
  </w:style>
  <w:style w:type="character" w:customStyle="1" w:styleId="145">
    <w:name w:val="表题 Char"/>
    <w:link w:val="146"/>
    <w:autoRedefine/>
    <w:qFormat/>
    <w:uiPriority w:val="0"/>
    <w:rPr>
      <w:rFonts w:eastAsia="黑体"/>
      <w:kern w:val="2"/>
      <w:sz w:val="24"/>
    </w:rPr>
  </w:style>
  <w:style w:type="paragraph" w:customStyle="1" w:styleId="146">
    <w:name w:val="表题"/>
    <w:basedOn w:val="1"/>
    <w:link w:val="145"/>
    <w:autoRedefine/>
    <w:qFormat/>
    <w:uiPriority w:val="0"/>
    <w:pPr>
      <w:snapToGrid w:val="0"/>
      <w:jc w:val="center"/>
    </w:pPr>
    <w:rPr>
      <w:rFonts w:eastAsia="黑体"/>
      <w:sz w:val="24"/>
      <w:szCs w:val="20"/>
      <w:lang w:val="zh-CN"/>
    </w:rPr>
  </w:style>
  <w:style w:type="character" w:customStyle="1" w:styleId="147">
    <w:name w:val="样式 标题 2 + Times New Roman 左侧:  0 厘米 首行缩进:  0 厘米 行距: 固定值 24 磅 Char"/>
    <w:link w:val="148"/>
    <w:autoRedefine/>
    <w:qFormat/>
    <w:uiPriority w:val="0"/>
    <w:rPr>
      <w:rFonts w:eastAsia="宋体"/>
      <w:bCs/>
      <w:spacing w:val="6"/>
      <w:kern w:val="2"/>
      <w:sz w:val="28"/>
      <w:szCs w:val="28"/>
      <w:lang w:val="en-US" w:eastAsia="zh-CN" w:bidi="ar-SA"/>
    </w:rPr>
  </w:style>
  <w:style w:type="paragraph" w:customStyle="1" w:styleId="148">
    <w:name w:val="样式 标题 2 + Times New Roman 左侧:  0 厘米 首行缩进:  0 厘米 行距: 固定值 24 磅"/>
    <w:basedOn w:val="4"/>
    <w:link w:val="147"/>
    <w:autoRedefine/>
    <w:qFormat/>
    <w:uiPriority w:val="0"/>
    <w:pPr>
      <w:tabs>
        <w:tab w:val="left" w:pos="567"/>
      </w:tabs>
      <w:adjustRightInd/>
      <w:spacing w:before="156" w:after="156" w:line="500" w:lineRule="exact"/>
      <w:jc w:val="both"/>
      <w:outlineLvl w:val="0"/>
    </w:pPr>
    <w:rPr>
      <w:rFonts w:eastAsia="宋体"/>
      <w:spacing w:val="6"/>
      <w:sz w:val="28"/>
      <w:szCs w:val="28"/>
      <w:lang w:val="en-US"/>
    </w:rPr>
  </w:style>
  <w:style w:type="character" w:customStyle="1" w:styleId="149">
    <w:name w:val="html_tag1"/>
    <w:autoRedefine/>
    <w:qFormat/>
    <w:uiPriority w:val="0"/>
    <w:rPr>
      <w:color w:val="0000FF"/>
    </w:rPr>
  </w:style>
  <w:style w:type="character" w:customStyle="1" w:styleId="150">
    <w:name w:val="陆晶  图标 Char"/>
    <w:link w:val="151"/>
    <w:autoRedefine/>
    <w:qFormat/>
    <w:uiPriority w:val="0"/>
    <w:rPr>
      <w:rFonts w:ascii="黑体" w:eastAsia="黑体"/>
      <w:kern w:val="2"/>
      <w:sz w:val="28"/>
      <w:lang w:val="en-US" w:eastAsia="zh-CN" w:bidi="ar-SA"/>
    </w:rPr>
  </w:style>
  <w:style w:type="paragraph" w:customStyle="1" w:styleId="151">
    <w:name w:val="陆晶  图标"/>
    <w:basedOn w:val="1"/>
    <w:link w:val="150"/>
    <w:autoRedefine/>
    <w:semiHidden/>
    <w:qFormat/>
    <w:uiPriority w:val="0"/>
    <w:pPr>
      <w:spacing w:line="440" w:lineRule="exact"/>
      <w:jc w:val="center"/>
    </w:pPr>
    <w:rPr>
      <w:rFonts w:ascii="黑体" w:eastAsia="黑体"/>
      <w:sz w:val="28"/>
      <w:szCs w:val="20"/>
    </w:rPr>
  </w:style>
  <w:style w:type="character" w:customStyle="1" w:styleId="152">
    <w:name w:val="页码1"/>
    <w:autoRedefine/>
    <w:qFormat/>
    <w:uiPriority w:val="0"/>
  </w:style>
  <w:style w:type="character" w:customStyle="1" w:styleId="153">
    <w:name w:val="hover26"/>
    <w:basedOn w:val="128"/>
    <w:autoRedefine/>
    <w:qFormat/>
    <w:uiPriority w:val="0"/>
  </w:style>
  <w:style w:type="character" w:customStyle="1" w:styleId="154">
    <w:name w:val="eee"/>
    <w:basedOn w:val="128"/>
    <w:autoRedefine/>
    <w:semiHidden/>
    <w:qFormat/>
    <w:uiPriority w:val="0"/>
  </w:style>
  <w:style w:type="character" w:customStyle="1" w:styleId="155">
    <w:name w:val="keyword1"/>
    <w:autoRedefine/>
    <w:qFormat/>
    <w:uiPriority w:val="0"/>
    <w:rPr>
      <w:color w:val="FF0000"/>
    </w:rPr>
  </w:style>
  <w:style w:type="character" w:customStyle="1" w:styleId="156">
    <w:name w:val="r91"/>
    <w:autoRedefine/>
    <w:semiHidden/>
    <w:qFormat/>
    <w:uiPriority w:val="0"/>
    <w:rPr>
      <w:color w:val="666666"/>
      <w:sz w:val="18"/>
      <w:szCs w:val="18"/>
      <w:u w:val="none"/>
    </w:rPr>
  </w:style>
  <w:style w:type="character" w:customStyle="1" w:styleId="157">
    <w:name w:val="样式2表文字 Char Char"/>
    <w:autoRedefine/>
    <w:semiHidden/>
    <w:qFormat/>
    <w:uiPriority w:val="0"/>
    <w:rPr>
      <w:rFonts w:eastAsia="仿宋_GB2312"/>
      <w:sz w:val="21"/>
      <w:szCs w:val="21"/>
      <w:lang w:val="en-US" w:eastAsia="zh-CN" w:bidi="ar-SA"/>
    </w:rPr>
  </w:style>
  <w:style w:type="character" w:customStyle="1" w:styleId="158">
    <w:name w:val="页眉 Char"/>
    <w:link w:val="54"/>
    <w:autoRedefine/>
    <w:qFormat/>
    <w:uiPriority w:val="99"/>
    <w:rPr>
      <w:kern w:val="2"/>
      <w:sz w:val="18"/>
      <w:szCs w:val="18"/>
    </w:rPr>
  </w:style>
  <w:style w:type="character" w:customStyle="1" w:styleId="159">
    <w:name w:val="小标题 Char"/>
    <w:autoRedefine/>
    <w:qFormat/>
    <w:uiPriority w:val="0"/>
    <w:rPr>
      <w:rFonts w:ascii="Times New Roman" w:hAnsi="Times New Roman" w:eastAsia="宋体" w:cs="Times New Roman"/>
      <w:b/>
      <w:sz w:val="24"/>
      <w:szCs w:val="24"/>
    </w:rPr>
  </w:style>
  <w:style w:type="character" w:customStyle="1" w:styleId="160">
    <w:name w:val="页脚 Char"/>
    <w:link w:val="52"/>
    <w:autoRedefine/>
    <w:qFormat/>
    <w:uiPriority w:val="99"/>
    <w:rPr>
      <w:kern w:val="2"/>
      <w:sz w:val="18"/>
      <w:szCs w:val="18"/>
    </w:rPr>
  </w:style>
  <w:style w:type="character" w:customStyle="1" w:styleId="161">
    <w:name w:val="样式 红色 首行缩进:  2 字符 Char"/>
    <w:link w:val="162"/>
    <w:autoRedefine/>
    <w:qFormat/>
    <w:uiPriority w:val="0"/>
    <w:rPr>
      <w:rFonts w:cs="宋体"/>
      <w:color w:val="FF0000"/>
      <w:kern w:val="2"/>
      <w:sz w:val="24"/>
    </w:rPr>
  </w:style>
  <w:style w:type="paragraph" w:customStyle="1" w:styleId="162">
    <w:name w:val="样式 红色 首行缩进:  2 字符"/>
    <w:basedOn w:val="1"/>
    <w:link w:val="161"/>
    <w:autoRedefine/>
    <w:qFormat/>
    <w:uiPriority w:val="0"/>
    <w:pPr>
      <w:adjustRightInd w:val="0"/>
      <w:snapToGrid w:val="0"/>
      <w:spacing w:line="360" w:lineRule="auto"/>
      <w:ind w:firstLine="480" w:firstLineChars="200"/>
    </w:pPr>
    <w:rPr>
      <w:color w:val="FF0000"/>
      <w:sz w:val="24"/>
      <w:szCs w:val="20"/>
      <w:lang w:val="zh-CN"/>
    </w:rPr>
  </w:style>
  <w:style w:type="character" w:customStyle="1" w:styleId="163">
    <w:name w:val="表头 Char"/>
    <w:autoRedefine/>
    <w:qFormat/>
    <w:uiPriority w:val="0"/>
    <w:rPr>
      <w:rFonts w:ascii="黑体" w:hAnsi="宋体" w:eastAsia="黑体"/>
      <w:kern w:val="2"/>
      <w:sz w:val="21"/>
      <w:szCs w:val="24"/>
      <w:lang w:val="en-US" w:eastAsia="zh-CN" w:bidi="ar-SA"/>
    </w:rPr>
  </w:style>
  <w:style w:type="character" w:customStyle="1" w:styleId="164">
    <w:name w:val="html_txt1"/>
    <w:autoRedefine/>
    <w:qFormat/>
    <w:uiPriority w:val="0"/>
    <w:rPr>
      <w:color w:val="000000"/>
    </w:rPr>
  </w:style>
  <w:style w:type="character" w:customStyle="1" w:styleId="165">
    <w:name w:val="日期 Char"/>
    <w:link w:val="48"/>
    <w:autoRedefine/>
    <w:qFormat/>
    <w:uiPriority w:val="99"/>
    <w:rPr>
      <w:kern w:val="2"/>
      <w:sz w:val="21"/>
      <w:szCs w:val="24"/>
    </w:rPr>
  </w:style>
  <w:style w:type="character" w:customStyle="1" w:styleId="166">
    <w:name w:val="启明正文 Char"/>
    <w:link w:val="167"/>
    <w:autoRedefine/>
    <w:qFormat/>
    <w:uiPriority w:val="0"/>
    <w:rPr>
      <w:kern w:val="2"/>
      <w:sz w:val="24"/>
    </w:rPr>
  </w:style>
  <w:style w:type="paragraph" w:customStyle="1" w:styleId="167">
    <w:name w:val="启明正文"/>
    <w:basedOn w:val="1"/>
    <w:link w:val="166"/>
    <w:autoRedefine/>
    <w:qFormat/>
    <w:uiPriority w:val="0"/>
    <w:pPr>
      <w:spacing w:line="360" w:lineRule="auto"/>
      <w:ind w:firstLine="200" w:firstLineChars="200"/>
    </w:pPr>
    <w:rPr>
      <w:sz w:val="24"/>
      <w:szCs w:val="20"/>
      <w:lang w:val="zh-CN"/>
    </w:rPr>
  </w:style>
  <w:style w:type="character" w:customStyle="1" w:styleId="168">
    <w:name w:val="标题 3 Char"/>
    <w:link w:val="5"/>
    <w:autoRedefine/>
    <w:qFormat/>
    <w:uiPriority w:val="0"/>
    <w:rPr>
      <w:rFonts w:eastAsia="黑体"/>
      <w:bCs/>
      <w:kern w:val="2"/>
      <w:sz w:val="24"/>
      <w:szCs w:val="32"/>
      <w:lang w:val="en-US" w:eastAsia="zh-CN" w:bidi="ar-SA"/>
    </w:rPr>
  </w:style>
  <w:style w:type="character" w:customStyle="1" w:styleId="169">
    <w:name w:val="fs"/>
    <w:autoRedefine/>
    <w:qFormat/>
    <w:uiPriority w:val="0"/>
  </w:style>
  <w:style w:type="character" w:customStyle="1" w:styleId="170">
    <w:name w:val="纯文本 Char"/>
    <w:link w:val="43"/>
    <w:autoRedefine/>
    <w:qFormat/>
    <w:uiPriority w:val="99"/>
    <w:rPr>
      <w:rFonts w:ascii="宋体" w:hAnsi="Courier New" w:eastAsia="宋体"/>
      <w:kern w:val="2"/>
      <w:sz w:val="21"/>
      <w:lang w:val="en-US" w:eastAsia="zh-CN" w:bidi="ar-SA"/>
    </w:rPr>
  </w:style>
  <w:style w:type="character" w:customStyle="1" w:styleId="171">
    <w:name w:val="正文(首行缩进) Char"/>
    <w:link w:val="172"/>
    <w:autoRedefine/>
    <w:qFormat/>
    <w:uiPriority w:val="0"/>
    <w:rPr>
      <w:snapToGrid/>
      <w:sz w:val="24"/>
      <w:szCs w:val="24"/>
    </w:rPr>
  </w:style>
  <w:style w:type="paragraph" w:customStyle="1" w:styleId="172">
    <w:name w:val="正文(首行缩进)"/>
    <w:basedOn w:val="1"/>
    <w:link w:val="171"/>
    <w:autoRedefine/>
    <w:qFormat/>
    <w:uiPriority w:val="0"/>
    <w:pPr>
      <w:adjustRightInd w:val="0"/>
      <w:snapToGrid w:val="0"/>
      <w:spacing w:line="360" w:lineRule="auto"/>
      <w:ind w:firstLine="200" w:firstLineChars="200"/>
    </w:pPr>
    <w:rPr>
      <w:kern w:val="0"/>
      <w:sz w:val="24"/>
      <w:szCs w:val="24"/>
      <w:lang w:val="zh-CN"/>
    </w:rPr>
  </w:style>
  <w:style w:type="character" w:customStyle="1" w:styleId="173">
    <w:name w:val="style81"/>
    <w:autoRedefine/>
    <w:qFormat/>
    <w:uiPriority w:val="0"/>
    <w:rPr>
      <w:color w:val="FFFFFF"/>
    </w:rPr>
  </w:style>
  <w:style w:type="character" w:customStyle="1" w:styleId="174">
    <w:name w:val="表格 Char"/>
    <w:link w:val="175"/>
    <w:autoRedefine/>
    <w:qFormat/>
    <w:uiPriority w:val="0"/>
    <w:rPr>
      <w:rFonts w:eastAsia="宋体"/>
      <w:kern w:val="2"/>
      <w:sz w:val="24"/>
      <w:szCs w:val="24"/>
      <w:lang w:val="en-US" w:eastAsia="zh-CN" w:bidi="ar-SA"/>
    </w:rPr>
  </w:style>
  <w:style w:type="paragraph" w:customStyle="1" w:styleId="175">
    <w:name w:val="表格"/>
    <w:basedOn w:val="1"/>
    <w:link w:val="174"/>
    <w:autoRedefine/>
    <w:qFormat/>
    <w:uiPriority w:val="0"/>
    <w:pPr>
      <w:snapToGrid w:val="0"/>
      <w:jc w:val="center"/>
    </w:pPr>
    <w:rPr>
      <w:sz w:val="24"/>
      <w:szCs w:val="24"/>
    </w:rPr>
  </w:style>
  <w:style w:type="character" w:customStyle="1" w:styleId="176">
    <w:name w:val="hover28"/>
    <w:basedOn w:val="128"/>
    <w:autoRedefine/>
    <w:qFormat/>
    <w:uiPriority w:val="0"/>
  </w:style>
  <w:style w:type="character" w:customStyle="1" w:styleId="177">
    <w:name w:val="批注文字 Char"/>
    <w:link w:val="26"/>
    <w:autoRedefine/>
    <w:semiHidden/>
    <w:qFormat/>
    <w:uiPriority w:val="0"/>
    <w:rPr>
      <w:kern w:val="2"/>
      <w:sz w:val="21"/>
      <w:szCs w:val="24"/>
    </w:rPr>
  </w:style>
  <w:style w:type="character" w:customStyle="1" w:styleId="178">
    <w:name w:val="正文文本缩进 3 Char"/>
    <w:link w:val="66"/>
    <w:autoRedefine/>
    <w:qFormat/>
    <w:uiPriority w:val="0"/>
    <w:rPr>
      <w:kern w:val="2"/>
      <w:sz w:val="16"/>
      <w:szCs w:val="16"/>
    </w:rPr>
  </w:style>
  <w:style w:type="character" w:customStyle="1" w:styleId="179">
    <w:name w:val="书籍标题1"/>
    <w:autoRedefine/>
    <w:qFormat/>
    <w:uiPriority w:val="0"/>
    <w:rPr>
      <w:rFonts w:ascii="Cambria" w:hAnsi="Cambria" w:eastAsia="宋体"/>
      <w:b/>
      <w:i/>
      <w:sz w:val="24"/>
      <w:szCs w:val="24"/>
    </w:rPr>
  </w:style>
  <w:style w:type="character" w:customStyle="1" w:styleId="180">
    <w:name w:val="表格式 Char1"/>
    <w:link w:val="181"/>
    <w:autoRedefine/>
    <w:qFormat/>
    <w:uiPriority w:val="0"/>
    <w:rPr>
      <w:rFonts w:eastAsia="宋体"/>
      <w:kern w:val="2"/>
      <w:sz w:val="21"/>
      <w:lang w:val="en-US" w:eastAsia="zh-CN" w:bidi="ar-SA"/>
    </w:rPr>
  </w:style>
  <w:style w:type="paragraph" w:customStyle="1" w:styleId="181">
    <w:name w:val="表格式"/>
    <w:basedOn w:val="63"/>
    <w:link w:val="180"/>
    <w:autoRedefine/>
    <w:qFormat/>
    <w:uiPriority w:val="0"/>
    <w:pPr>
      <w:spacing w:before="156" w:beforeLines="50" w:after="156" w:afterLines="50" w:line="240" w:lineRule="exact"/>
      <w:ind w:left="0" w:firstLine="0" w:firstLineChars="0"/>
      <w:jc w:val="center"/>
    </w:pPr>
    <w:rPr>
      <w:szCs w:val="20"/>
    </w:rPr>
  </w:style>
  <w:style w:type="character" w:customStyle="1" w:styleId="182">
    <w:name w:val="正文文本 Char"/>
    <w:link w:val="32"/>
    <w:autoRedefine/>
    <w:qFormat/>
    <w:uiPriority w:val="0"/>
    <w:rPr>
      <w:kern w:val="2"/>
      <w:sz w:val="21"/>
      <w:szCs w:val="24"/>
    </w:rPr>
  </w:style>
  <w:style w:type="character" w:customStyle="1" w:styleId="183">
    <w:name w:val="标题 2 Char"/>
    <w:link w:val="4"/>
    <w:autoRedefine/>
    <w:qFormat/>
    <w:uiPriority w:val="0"/>
    <w:rPr>
      <w:rFonts w:eastAsia="黑体"/>
      <w:bCs/>
      <w:kern w:val="2"/>
      <w:sz w:val="30"/>
      <w:szCs w:val="32"/>
    </w:rPr>
  </w:style>
  <w:style w:type="character" w:customStyle="1" w:styleId="184">
    <w:name w:val="content1"/>
    <w:autoRedefine/>
    <w:qFormat/>
    <w:uiPriority w:val="0"/>
    <w:rPr>
      <w:spacing w:val="270"/>
      <w:sz w:val="21"/>
      <w:szCs w:val="21"/>
    </w:rPr>
  </w:style>
  <w:style w:type="character" w:customStyle="1" w:styleId="185">
    <w:name w:val="正文首行缩进 Char"/>
    <w:link w:val="186"/>
    <w:autoRedefine/>
    <w:qFormat/>
    <w:uiPriority w:val="0"/>
  </w:style>
  <w:style w:type="paragraph" w:customStyle="1" w:styleId="186">
    <w:name w:val="正文首行缩进1"/>
    <w:basedOn w:val="32"/>
    <w:link w:val="185"/>
    <w:autoRedefine/>
    <w:qFormat/>
    <w:uiPriority w:val="0"/>
    <w:pPr>
      <w:ind w:firstLine="420" w:firstLineChars="100"/>
    </w:pPr>
  </w:style>
  <w:style w:type="character" w:customStyle="1" w:styleId="187">
    <w:name w:val="标题 1 Char"/>
    <w:link w:val="3"/>
    <w:autoRedefine/>
    <w:qFormat/>
    <w:uiPriority w:val="0"/>
    <w:rPr>
      <w:rFonts w:eastAsia="黑体"/>
      <w:bCs/>
      <w:kern w:val="44"/>
      <w:sz w:val="36"/>
      <w:szCs w:val="44"/>
    </w:rPr>
  </w:style>
  <w:style w:type="character" w:customStyle="1" w:styleId="188">
    <w:name w:val="1正文段落 Char"/>
    <w:link w:val="189"/>
    <w:autoRedefine/>
    <w:qFormat/>
    <w:uiPriority w:val="0"/>
    <w:rPr>
      <w:snapToGrid/>
      <w:sz w:val="24"/>
      <w:szCs w:val="24"/>
    </w:rPr>
  </w:style>
  <w:style w:type="paragraph" w:customStyle="1" w:styleId="189">
    <w:name w:val="1正文段落"/>
    <w:basedOn w:val="1"/>
    <w:link w:val="188"/>
    <w:autoRedefine/>
    <w:qFormat/>
    <w:uiPriority w:val="0"/>
    <w:pPr>
      <w:spacing w:line="360" w:lineRule="auto"/>
      <w:ind w:firstLine="480" w:firstLineChars="200"/>
    </w:pPr>
    <w:rPr>
      <w:kern w:val="0"/>
      <w:sz w:val="24"/>
      <w:szCs w:val="24"/>
      <w:lang w:val="zh-CN"/>
    </w:rPr>
  </w:style>
  <w:style w:type="character" w:customStyle="1" w:styleId="190">
    <w:name w:val="文档结构图 Char"/>
    <w:link w:val="25"/>
    <w:autoRedefine/>
    <w:qFormat/>
    <w:uiPriority w:val="99"/>
    <w:rPr>
      <w:kern w:val="2"/>
      <w:sz w:val="21"/>
      <w:szCs w:val="24"/>
      <w:shd w:val="clear" w:color="auto" w:fill="000080"/>
    </w:rPr>
  </w:style>
  <w:style w:type="character" w:customStyle="1" w:styleId="191">
    <w:name w:val="正文缩进 Char1"/>
    <w:link w:val="20"/>
    <w:autoRedefine/>
    <w:qFormat/>
    <w:uiPriority w:val="99"/>
    <w:rPr>
      <w:rFonts w:ascii="仿宋_GB2312" w:eastAsia="仿宋_GB2312"/>
      <w:color w:val="000000"/>
      <w:kern w:val="2"/>
      <w:sz w:val="28"/>
      <w:lang w:val="en-US" w:eastAsia="zh-CN" w:bidi="ar-SA"/>
    </w:rPr>
  </w:style>
  <w:style w:type="character" w:customStyle="1" w:styleId="192">
    <w:name w:val="style51"/>
    <w:autoRedefine/>
    <w:semiHidden/>
    <w:qFormat/>
    <w:uiPriority w:val="0"/>
    <w:rPr>
      <w:sz w:val="18"/>
      <w:szCs w:val="18"/>
    </w:rPr>
  </w:style>
  <w:style w:type="character" w:customStyle="1" w:styleId="193">
    <w:name w:val="正文缩进 Char"/>
    <w:autoRedefine/>
    <w:qFormat/>
    <w:uiPriority w:val="99"/>
    <w:rPr>
      <w:rFonts w:eastAsia="宋体"/>
      <w:kern w:val="2"/>
      <w:sz w:val="21"/>
      <w:lang w:val="en-US" w:eastAsia="zh-CN" w:bidi="ar-SA"/>
    </w:rPr>
  </w:style>
  <w:style w:type="character" w:customStyle="1" w:styleId="194">
    <w:name w:val="large1"/>
    <w:autoRedefine/>
    <w:semiHidden/>
    <w:qFormat/>
    <w:uiPriority w:val="0"/>
    <w:rPr>
      <w:sz w:val="21"/>
      <w:szCs w:val="21"/>
    </w:rPr>
  </w:style>
  <w:style w:type="character" w:customStyle="1" w:styleId="195">
    <w:name w:val="表头1 Char"/>
    <w:link w:val="196"/>
    <w:autoRedefine/>
    <w:qFormat/>
    <w:uiPriority w:val="0"/>
    <w:rPr>
      <w:rFonts w:eastAsia="黑体"/>
      <w:sz w:val="21"/>
      <w:szCs w:val="28"/>
    </w:rPr>
  </w:style>
  <w:style w:type="paragraph" w:customStyle="1" w:styleId="196">
    <w:name w:val="表头1"/>
    <w:basedOn w:val="1"/>
    <w:next w:val="1"/>
    <w:link w:val="195"/>
    <w:autoRedefine/>
    <w:qFormat/>
    <w:uiPriority w:val="0"/>
    <w:pPr>
      <w:tabs>
        <w:tab w:val="left" w:pos="605"/>
      </w:tabs>
      <w:adjustRightInd w:val="0"/>
      <w:snapToGrid w:val="0"/>
      <w:jc w:val="center"/>
    </w:pPr>
    <w:rPr>
      <w:rFonts w:eastAsia="黑体"/>
      <w:kern w:val="0"/>
      <w:szCs w:val="28"/>
      <w:lang w:val="zh-CN"/>
    </w:rPr>
  </w:style>
  <w:style w:type="character" w:customStyle="1" w:styleId="197">
    <w:name w:val="格式正文 Char"/>
    <w:link w:val="198"/>
    <w:autoRedefine/>
    <w:qFormat/>
    <w:uiPriority w:val="0"/>
    <w:rPr>
      <w:kern w:val="2"/>
      <w:sz w:val="24"/>
      <w:szCs w:val="22"/>
    </w:rPr>
  </w:style>
  <w:style w:type="paragraph" w:customStyle="1" w:styleId="198">
    <w:name w:val="格式正文"/>
    <w:basedOn w:val="1"/>
    <w:link w:val="197"/>
    <w:autoRedefine/>
    <w:qFormat/>
    <w:uiPriority w:val="0"/>
    <w:pPr>
      <w:spacing w:line="360" w:lineRule="auto"/>
      <w:ind w:firstLine="480" w:firstLineChars="200"/>
    </w:pPr>
    <w:rPr>
      <w:sz w:val="24"/>
      <w:szCs w:val="22"/>
      <w:lang w:val="zh-CN"/>
    </w:rPr>
  </w:style>
  <w:style w:type="character" w:customStyle="1" w:styleId="199">
    <w:name w:val="style251"/>
    <w:autoRedefine/>
    <w:qFormat/>
    <w:uiPriority w:val="0"/>
    <w:rPr>
      <w:color w:val="0033FF"/>
    </w:rPr>
  </w:style>
  <w:style w:type="character" w:customStyle="1" w:styleId="200">
    <w:name w:val="报告正文 Char2"/>
    <w:link w:val="201"/>
    <w:autoRedefine/>
    <w:qFormat/>
    <w:uiPriority w:val="0"/>
    <w:rPr>
      <w:rFonts w:eastAsia="宋体"/>
      <w:kern w:val="2"/>
      <w:sz w:val="28"/>
      <w:szCs w:val="24"/>
      <w:lang w:val="en-US" w:eastAsia="zh-CN" w:bidi="ar-SA"/>
    </w:rPr>
  </w:style>
  <w:style w:type="paragraph" w:customStyle="1" w:styleId="201">
    <w:name w:val="报告正文"/>
    <w:basedOn w:val="1"/>
    <w:link w:val="200"/>
    <w:autoRedefine/>
    <w:qFormat/>
    <w:uiPriority w:val="0"/>
    <w:pPr>
      <w:adjustRightInd w:val="0"/>
      <w:snapToGrid w:val="0"/>
      <w:spacing w:line="480" w:lineRule="exact"/>
      <w:ind w:firstLine="560" w:firstLineChars="200"/>
    </w:pPr>
    <w:rPr>
      <w:sz w:val="28"/>
      <w:szCs w:val="24"/>
    </w:rPr>
  </w:style>
  <w:style w:type="character" w:customStyle="1" w:styleId="202">
    <w:name w:val="批注主题 Char"/>
    <w:link w:val="81"/>
    <w:autoRedefine/>
    <w:semiHidden/>
    <w:qFormat/>
    <w:uiPriority w:val="0"/>
    <w:rPr>
      <w:b/>
      <w:bCs/>
      <w:kern w:val="2"/>
      <w:sz w:val="21"/>
      <w:szCs w:val="24"/>
    </w:rPr>
  </w:style>
  <w:style w:type="character" w:customStyle="1" w:styleId="203">
    <w:name w:val="unnamed21"/>
    <w:autoRedefine/>
    <w:semiHidden/>
    <w:qFormat/>
    <w:uiPriority w:val="0"/>
    <w:rPr>
      <w:rFonts w:hint="eastAsia" w:ascii="宋体" w:hAnsi="宋体" w:eastAsia="宋体"/>
      <w:color w:val="336699"/>
      <w:sz w:val="21"/>
      <w:szCs w:val="21"/>
      <w:u w:val="none"/>
    </w:rPr>
  </w:style>
  <w:style w:type="character" w:customStyle="1" w:styleId="204">
    <w:name w:val="无间隔 Char"/>
    <w:link w:val="205"/>
    <w:autoRedefine/>
    <w:qFormat/>
    <w:uiPriority w:val="0"/>
    <w:rPr>
      <w:rFonts w:eastAsia="宋体"/>
      <w:b/>
      <w:sz w:val="21"/>
      <w:szCs w:val="32"/>
      <w:lang w:val="en-US" w:eastAsia="en-US" w:bidi="en-US"/>
    </w:rPr>
  </w:style>
  <w:style w:type="paragraph" w:styleId="205">
    <w:name w:val="No Spacing"/>
    <w:basedOn w:val="1"/>
    <w:link w:val="204"/>
    <w:autoRedefine/>
    <w:qFormat/>
    <w:uiPriority w:val="0"/>
    <w:pPr>
      <w:jc w:val="center"/>
    </w:pPr>
    <w:rPr>
      <w:b/>
      <w:kern w:val="0"/>
      <w:szCs w:val="32"/>
      <w:lang w:eastAsia="en-US" w:bidi="en-US"/>
    </w:rPr>
  </w:style>
  <w:style w:type="character" w:customStyle="1" w:styleId="206">
    <w:name w:val="环评正文 Char"/>
    <w:link w:val="207"/>
    <w:autoRedefine/>
    <w:qFormat/>
    <w:uiPriority w:val="0"/>
    <w:rPr>
      <w:rFonts w:eastAsia="仿宋_GB2312"/>
      <w:kern w:val="2"/>
      <w:sz w:val="24"/>
      <w:szCs w:val="24"/>
    </w:rPr>
  </w:style>
  <w:style w:type="paragraph" w:customStyle="1" w:styleId="207">
    <w:name w:val="环评正文"/>
    <w:basedOn w:val="1"/>
    <w:link w:val="206"/>
    <w:autoRedefine/>
    <w:qFormat/>
    <w:uiPriority w:val="0"/>
    <w:pPr>
      <w:spacing w:line="440" w:lineRule="exact"/>
      <w:ind w:firstLine="200" w:firstLineChars="200"/>
    </w:pPr>
    <w:rPr>
      <w:rFonts w:eastAsia="仿宋_GB2312"/>
      <w:sz w:val="24"/>
      <w:szCs w:val="24"/>
      <w:lang w:val="zh-CN"/>
    </w:rPr>
  </w:style>
  <w:style w:type="character" w:customStyle="1" w:styleId="208">
    <w:name w:val="line1201"/>
    <w:autoRedefine/>
    <w:qFormat/>
    <w:uiPriority w:val="0"/>
  </w:style>
  <w:style w:type="character" w:customStyle="1" w:styleId="209">
    <w:name w:val="首行缩进两字 Char1"/>
    <w:autoRedefine/>
    <w:qFormat/>
    <w:uiPriority w:val="0"/>
    <w:rPr>
      <w:rFonts w:ascii="宋体" w:hAnsi="宋体" w:eastAsia="宋体"/>
      <w:color w:val="000000"/>
      <w:sz w:val="28"/>
      <w:lang w:val="en-US" w:eastAsia="zh-CN"/>
    </w:rPr>
  </w:style>
  <w:style w:type="character" w:customStyle="1" w:styleId="210">
    <w:name w:val="正文文本 Char1"/>
    <w:autoRedefine/>
    <w:semiHidden/>
    <w:qFormat/>
    <w:uiPriority w:val="99"/>
    <w:rPr>
      <w:rFonts w:ascii="Times New Roman" w:hAnsi="Times New Roman"/>
      <w:kern w:val="2"/>
      <w:sz w:val="24"/>
      <w:szCs w:val="22"/>
    </w:rPr>
  </w:style>
  <w:style w:type="character" w:customStyle="1" w:styleId="211">
    <w:name w:val="pp1"/>
    <w:autoRedefine/>
    <w:semiHidden/>
    <w:qFormat/>
    <w:uiPriority w:val="0"/>
    <w:rPr>
      <w:rFonts w:hint="default"/>
      <w:sz w:val="23"/>
      <w:szCs w:val="23"/>
    </w:rPr>
  </w:style>
  <w:style w:type="character" w:customStyle="1" w:styleId="212">
    <w:name w:val="报告正文 Char Char Char"/>
    <w:link w:val="213"/>
    <w:autoRedefine/>
    <w:qFormat/>
    <w:uiPriority w:val="0"/>
    <w:rPr>
      <w:rFonts w:eastAsia="宋体"/>
      <w:color w:val="000000"/>
      <w:spacing w:val="6"/>
      <w:kern w:val="2"/>
      <w:sz w:val="28"/>
      <w:szCs w:val="24"/>
      <w:lang w:val="en-US" w:eastAsia="zh-CN" w:bidi="ar-SA"/>
    </w:rPr>
  </w:style>
  <w:style w:type="paragraph" w:customStyle="1" w:styleId="213">
    <w:name w:val="报告正文 Char Char"/>
    <w:basedOn w:val="33"/>
    <w:link w:val="212"/>
    <w:autoRedefine/>
    <w:semiHidden/>
    <w:qFormat/>
    <w:uiPriority w:val="0"/>
    <w:pPr>
      <w:autoSpaceDE w:val="0"/>
      <w:autoSpaceDN w:val="0"/>
      <w:adjustRightInd w:val="0"/>
      <w:spacing w:after="0" w:line="480" w:lineRule="exact"/>
      <w:ind w:left="0" w:leftChars="0" w:firstLine="584" w:firstLineChars="200"/>
      <w:textAlignment w:val="baseline"/>
    </w:pPr>
    <w:rPr>
      <w:color w:val="000000"/>
      <w:spacing w:val="6"/>
      <w:sz w:val="28"/>
    </w:rPr>
  </w:style>
  <w:style w:type="character" w:customStyle="1" w:styleId="214">
    <w:name w:val="批注框文本 Char"/>
    <w:link w:val="51"/>
    <w:autoRedefine/>
    <w:qFormat/>
    <w:uiPriority w:val="99"/>
    <w:rPr>
      <w:kern w:val="2"/>
      <w:sz w:val="18"/>
      <w:szCs w:val="18"/>
    </w:rPr>
  </w:style>
  <w:style w:type="character" w:customStyle="1" w:styleId="215">
    <w:name w:val="孙普文字 Char1"/>
    <w:autoRedefine/>
    <w:qFormat/>
    <w:uiPriority w:val="0"/>
    <w:rPr>
      <w:rFonts w:ascii="宋体" w:hAnsi="Courier New"/>
      <w:kern w:val="2"/>
      <w:sz w:val="21"/>
    </w:rPr>
  </w:style>
  <w:style w:type="character" w:customStyle="1" w:styleId="216">
    <w:name w:val="样式 标题 3 Char"/>
    <w:link w:val="217"/>
    <w:autoRedefine/>
    <w:qFormat/>
    <w:uiPriority w:val="0"/>
    <w:rPr>
      <w:rFonts w:eastAsia="宋体" w:cs="宋体"/>
      <w:b/>
      <w:bCs/>
      <w:kern w:val="2"/>
      <w:sz w:val="28"/>
      <w:lang w:val="en-US" w:eastAsia="zh-CN" w:bidi="ar-SA"/>
    </w:rPr>
  </w:style>
  <w:style w:type="paragraph" w:customStyle="1" w:styleId="217">
    <w:name w:val="样式 标题 3"/>
    <w:basedOn w:val="5"/>
    <w:link w:val="216"/>
    <w:autoRedefine/>
    <w:qFormat/>
    <w:uiPriority w:val="0"/>
    <w:pPr>
      <w:tabs>
        <w:tab w:val="left" w:pos="709"/>
      </w:tabs>
      <w:adjustRightInd/>
      <w:spacing w:before="260" w:beforeLines="0" w:after="260" w:afterLines="0" w:line="480" w:lineRule="exact"/>
      <w:ind w:left="709" w:hanging="709"/>
      <w:jc w:val="both"/>
    </w:pPr>
    <w:rPr>
      <w:rFonts w:eastAsia="宋体" w:cs="宋体"/>
      <w:b/>
      <w:sz w:val="28"/>
      <w:szCs w:val="20"/>
    </w:rPr>
  </w:style>
  <w:style w:type="character" w:customStyle="1" w:styleId="218">
    <w:name w:val="标题 Char1"/>
    <w:autoRedefine/>
    <w:qFormat/>
    <w:uiPriority w:val="10"/>
    <w:rPr>
      <w:rFonts w:ascii="Cambria" w:hAnsi="Cambria" w:cs="Times New Roman"/>
      <w:b/>
      <w:bCs/>
      <w:kern w:val="2"/>
      <w:sz w:val="32"/>
      <w:szCs w:val="32"/>
    </w:rPr>
  </w:style>
  <w:style w:type="character" w:customStyle="1" w:styleId="219">
    <w:name w:val="正文首行缩进 2 Char"/>
    <w:link w:val="2"/>
    <w:autoRedefine/>
    <w:qFormat/>
    <w:uiPriority w:val="99"/>
  </w:style>
  <w:style w:type="character" w:customStyle="1" w:styleId="220">
    <w:name w:val="标题 Char"/>
    <w:link w:val="80"/>
    <w:autoRedefine/>
    <w:qFormat/>
    <w:uiPriority w:val="0"/>
    <w:rPr>
      <w:rFonts w:ascii="Arial" w:hAnsi="Arial" w:cs="Arial"/>
      <w:b/>
      <w:bCs/>
      <w:kern w:val="2"/>
      <w:sz w:val="32"/>
      <w:szCs w:val="32"/>
    </w:rPr>
  </w:style>
  <w:style w:type="character" w:customStyle="1" w:styleId="221">
    <w:name w:val="样式 样式 首行缩进:  0.77 厘米 行距: 固定值 20 磅 + 四号 Char"/>
    <w:autoRedefine/>
    <w:semiHidden/>
    <w:qFormat/>
    <w:uiPriority w:val="0"/>
    <w:rPr>
      <w:rFonts w:eastAsia="宋体"/>
      <w:kern w:val="2"/>
      <w:sz w:val="30"/>
      <w:szCs w:val="24"/>
      <w:lang w:val="en-US" w:eastAsia="zh-CN" w:bidi="ar-SA"/>
    </w:rPr>
  </w:style>
  <w:style w:type="character" w:customStyle="1" w:styleId="222">
    <w:name w:val="4444 Char"/>
    <w:link w:val="223"/>
    <w:autoRedefine/>
    <w:qFormat/>
    <w:uiPriority w:val="0"/>
    <w:rPr>
      <w:rFonts w:eastAsia="宋体" w:cs="宋体"/>
      <w:b/>
      <w:bCs/>
      <w:kern w:val="2"/>
      <w:sz w:val="24"/>
      <w:szCs w:val="24"/>
      <w:lang w:val="en-US" w:eastAsia="zh-CN" w:bidi="ar-SA"/>
    </w:rPr>
  </w:style>
  <w:style w:type="paragraph" w:customStyle="1" w:styleId="223">
    <w:name w:val="4444"/>
    <w:basedOn w:val="1"/>
    <w:link w:val="222"/>
    <w:autoRedefine/>
    <w:qFormat/>
    <w:uiPriority w:val="0"/>
    <w:pPr>
      <w:spacing w:line="360" w:lineRule="auto"/>
    </w:pPr>
    <w:rPr>
      <w:rFonts w:cs="宋体"/>
      <w:b/>
      <w:bCs/>
      <w:sz w:val="24"/>
      <w:szCs w:val="24"/>
    </w:rPr>
  </w:style>
  <w:style w:type="character" w:customStyle="1" w:styleId="224">
    <w:name w:val="首行缩进两字 Char Char Char"/>
    <w:link w:val="225"/>
    <w:autoRedefine/>
    <w:qFormat/>
    <w:uiPriority w:val="0"/>
    <w:rPr>
      <w:rFonts w:ascii="宋体" w:hAnsi="宋体"/>
      <w:kern w:val="2"/>
      <w:sz w:val="28"/>
      <w:szCs w:val="24"/>
    </w:rPr>
  </w:style>
  <w:style w:type="paragraph" w:customStyle="1" w:styleId="225">
    <w:name w:val="首行缩进两字 Char Char"/>
    <w:basedOn w:val="1"/>
    <w:link w:val="224"/>
    <w:autoRedefine/>
    <w:qFormat/>
    <w:uiPriority w:val="0"/>
    <w:pPr>
      <w:ind w:firstLine="560" w:firstLineChars="200"/>
    </w:pPr>
    <w:rPr>
      <w:rFonts w:ascii="宋体" w:hAnsi="宋体"/>
      <w:sz w:val="28"/>
      <w:szCs w:val="24"/>
      <w:lang w:val="zh-CN"/>
    </w:rPr>
  </w:style>
  <w:style w:type="character" w:customStyle="1" w:styleId="226">
    <w:name w:val="报告正文 Char"/>
    <w:autoRedefine/>
    <w:qFormat/>
    <w:uiPriority w:val="0"/>
    <w:rPr>
      <w:rFonts w:eastAsia="宋体"/>
      <w:kern w:val="2"/>
      <w:sz w:val="28"/>
      <w:szCs w:val="24"/>
      <w:lang w:val="en-US" w:eastAsia="zh-CN" w:bidi="ar-SA"/>
    </w:rPr>
  </w:style>
  <w:style w:type="character" w:customStyle="1" w:styleId="227">
    <w:name w:val="公式样式 Char"/>
    <w:basedOn w:val="161"/>
    <w:link w:val="228"/>
    <w:autoRedefine/>
    <w:qFormat/>
    <w:uiPriority w:val="0"/>
    <w:rPr>
      <w:rFonts w:cs="宋体"/>
      <w:color w:val="FF0000"/>
      <w:kern w:val="2"/>
      <w:sz w:val="24"/>
    </w:rPr>
  </w:style>
  <w:style w:type="paragraph" w:customStyle="1" w:styleId="228">
    <w:name w:val="公式样式"/>
    <w:basedOn w:val="162"/>
    <w:link w:val="227"/>
    <w:autoRedefine/>
    <w:qFormat/>
    <w:uiPriority w:val="0"/>
    <w:pPr>
      <w:ind w:firstLine="0" w:firstLineChars="0"/>
      <w:jc w:val="right"/>
    </w:pPr>
    <w:rPr>
      <w:color w:val="auto"/>
    </w:rPr>
  </w:style>
  <w:style w:type="character" w:customStyle="1" w:styleId="229">
    <w:name w:val="报告正文 Char1"/>
    <w:autoRedefine/>
    <w:qFormat/>
    <w:uiPriority w:val="0"/>
    <w:rPr>
      <w:rFonts w:eastAsia="宋体"/>
      <w:kern w:val="2"/>
      <w:sz w:val="28"/>
      <w:szCs w:val="24"/>
      <w:lang w:val="en-US" w:eastAsia="zh-CN" w:bidi="ar-SA"/>
    </w:rPr>
  </w:style>
  <w:style w:type="character" w:customStyle="1" w:styleId="230">
    <w:name w:val="批注框文本 Char1"/>
    <w:autoRedefine/>
    <w:semiHidden/>
    <w:qFormat/>
    <w:uiPriority w:val="99"/>
    <w:rPr>
      <w:rFonts w:ascii="Times New Roman" w:hAnsi="Times New Roman"/>
      <w:kern w:val="2"/>
      <w:sz w:val="18"/>
      <w:szCs w:val="18"/>
    </w:rPr>
  </w:style>
  <w:style w:type="character" w:customStyle="1" w:styleId="231">
    <w:name w:val="aa1"/>
    <w:autoRedefine/>
    <w:qFormat/>
    <w:uiPriority w:val="0"/>
    <w:rPr>
      <w:rFonts w:ascii="黑体" w:hAnsi="黑体" w:eastAsia="黑体"/>
      <w:sz w:val="24"/>
    </w:rPr>
  </w:style>
  <w:style w:type="character" w:customStyle="1" w:styleId="232">
    <w:name w:val="陆晶 正文 Char"/>
    <w:link w:val="233"/>
    <w:autoRedefine/>
    <w:qFormat/>
    <w:uiPriority w:val="0"/>
    <w:rPr>
      <w:rFonts w:ascii="宋体" w:hAnsi="宋体" w:eastAsia="宋体" w:cs="宋体"/>
      <w:color w:val="000000"/>
      <w:kern w:val="2"/>
      <w:sz w:val="28"/>
      <w:szCs w:val="28"/>
      <w:lang w:val="en-US" w:eastAsia="zh-CN" w:bidi="ar-SA"/>
    </w:rPr>
  </w:style>
  <w:style w:type="paragraph" w:customStyle="1" w:styleId="233">
    <w:name w:val="陆晶 正文"/>
    <w:basedOn w:val="1"/>
    <w:link w:val="232"/>
    <w:autoRedefine/>
    <w:semiHidden/>
    <w:qFormat/>
    <w:uiPriority w:val="0"/>
    <w:pPr>
      <w:spacing w:line="480" w:lineRule="exact"/>
      <w:ind w:firstLine="560" w:firstLineChars="200"/>
    </w:pPr>
    <w:rPr>
      <w:rFonts w:ascii="宋体" w:hAnsi="宋体" w:cs="宋体"/>
      <w:color w:val="000000"/>
      <w:sz w:val="28"/>
      <w:szCs w:val="28"/>
    </w:rPr>
  </w:style>
  <w:style w:type="character" w:customStyle="1" w:styleId="234">
    <w:name w:val="正文（首行缩进两字） Char5"/>
    <w:autoRedefine/>
    <w:qFormat/>
    <w:uiPriority w:val="0"/>
    <w:rPr>
      <w:rFonts w:eastAsia="宋体"/>
      <w:sz w:val="24"/>
      <w:lang w:val="en-US" w:eastAsia="zh-CN" w:bidi="ar-SA"/>
    </w:rPr>
  </w:style>
  <w:style w:type="character" w:customStyle="1" w:styleId="235">
    <w:name w:val="hei141"/>
    <w:autoRedefine/>
    <w:qFormat/>
    <w:uiPriority w:val="0"/>
    <w:rPr>
      <w:color w:val="000000"/>
      <w:sz w:val="21"/>
      <w:szCs w:val="21"/>
    </w:rPr>
  </w:style>
  <w:style w:type="character" w:customStyle="1" w:styleId="236">
    <w:name w:val="标题 3 Char1"/>
    <w:autoRedefine/>
    <w:qFormat/>
    <w:uiPriority w:val="0"/>
    <w:rPr>
      <w:rFonts w:eastAsia="宋体"/>
      <w:b/>
      <w:bCs/>
      <w:kern w:val="2"/>
      <w:sz w:val="28"/>
      <w:szCs w:val="32"/>
      <w:lang w:val="en-US" w:eastAsia="zh-CN" w:bidi="ar-SA"/>
    </w:rPr>
  </w:style>
  <w:style w:type="character" w:customStyle="1" w:styleId="237">
    <w:name w:val="表1 Char"/>
    <w:link w:val="238"/>
    <w:autoRedefine/>
    <w:qFormat/>
    <w:uiPriority w:val="0"/>
    <w:rPr>
      <w:sz w:val="21"/>
      <w:lang w:val="en-US" w:eastAsia="zh-CN" w:bidi="ar-SA"/>
    </w:rPr>
  </w:style>
  <w:style w:type="paragraph" w:customStyle="1" w:styleId="238">
    <w:name w:val="表1"/>
    <w:next w:val="1"/>
    <w:link w:val="237"/>
    <w:autoRedefine/>
    <w:qFormat/>
    <w:uiPriority w:val="0"/>
    <w:pPr>
      <w:adjustRightInd w:val="0"/>
      <w:snapToGrid w:val="0"/>
      <w:jc w:val="center"/>
    </w:pPr>
    <w:rPr>
      <w:rFonts w:ascii="Times New Roman" w:hAnsi="Times New Roman" w:eastAsia="宋体" w:cs="Times New Roman"/>
      <w:sz w:val="21"/>
      <w:lang w:val="en-US" w:eastAsia="zh-CN" w:bidi="ar-SA"/>
    </w:rPr>
  </w:style>
  <w:style w:type="character" w:customStyle="1" w:styleId="239">
    <w:name w:val="样式 小四"/>
    <w:autoRedefine/>
    <w:qFormat/>
    <w:uiPriority w:val="0"/>
    <w:rPr>
      <w:rFonts w:ascii="Times New Roman" w:hAnsi="Times New Roman" w:eastAsia="宋体"/>
      <w:sz w:val="24"/>
    </w:rPr>
  </w:style>
  <w:style w:type="character" w:customStyle="1" w:styleId="240">
    <w:name w:val="正文文本缩进1"/>
    <w:autoRedefine/>
    <w:semiHidden/>
    <w:qFormat/>
    <w:uiPriority w:val="0"/>
    <w:rPr>
      <w:rFonts w:ascii="宋体" w:hAnsi="宋体" w:eastAsia="宋体"/>
      <w:spacing w:val="6"/>
      <w:kern w:val="2"/>
      <w:sz w:val="28"/>
      <w:lang w:val="en-US" w:eastAsia="zh-CN" w:bidi="ar-SA"/>
    </w:rPr>
  </w:style>
  <w:style w:type="character" w:customStyle="1" w:styleId="241">
    <w:name w:val="bsharetext"/>
    <w:basedOn w:val="128"/>
    <w:autoRedefine/>
    <w:qFormat/>
    <w:uiPriority w:val="0"/>
  </w:style>
  <w:style w:type="character" w:customStyle="1" w:styleId="242">
    <w:name w:val="样式 小四 行距: 1.5 倍行距 Char"/>
    <w:link w:val="243"/>
    <w:autoRedefine/>
    <w:qFormat/>
    <w:uiPriority w:val="0"/>
    <w:rPr>
      <w:rFonts w:hAnsi="宋体"/>
      <w:spacing w:val="8"/>
      <w:kern w:val="2"/>
      <w:sz w:val="24"/>
      <w:szCs w:val="24"/>
    </w:rPr>
  </w:style>
  <w:style w:type="paragraph" w:customStyle="1" w:styleId="243">
    <w:name w:val="样式 小四 行距: 1.5 倍行距"/>
    <w:basedOn w:val="1"/>
    <w:link w:val="242"/>
    <w:autoRedefine/>
    <w:qFormat/>
    <w:uiPriority w:val="0"/>
    <w:pPr>
      <w:adjustRightInd w:val="0"/>
      <w:snapToGrid w:val="0"/>
      <w:spacing w:line="500" w:lineRule="exact"/>
      <w:ind w:firstLine="512" w:firstLineChars="200"/>
    </w:pPr>
    <w:rPr>
      <w:rFonts w:hAnsi="宋体"/>
      <w:spacing w:val="8"/>
      <w:sz w:val="24"/>
      <w:szCs w:val="24"/>
      <w:lang w:val="zh-CN"/>
    </w:rPr>
  </w:style>
  <w:style w:type="character" w:customStyle="1" w:styleId="244">
    <w:name w:val="html_elm1"/>
    <w:autoRedefine/>
    <w:qFormat/>
    <w:uiPriority w:val="0"/>
    <w:rPr>
      <w:color w:val="800000"/>
    </w:rPr>
  </w:style>
  <w:style w:type="character" w:customStyle="1" w:styleId="245">
    <w:name w:val="titletext1"/>
    <w:autoRedefine/>
    <w:qFormat/>
    <w:uiPriority w:val="0"/>
    <w:rPr>
      <w:color w:val="000000"/>
      <w:sz w:val="21"/>
      <w:szCs w:val="21"/>
    </w:rPr>
  </w:style>
  <w:style w:type="character" w:customStyle="1" w:styleId="246">
    <w:name w:val="s"/>
    <w:basedOn w:val="128"/>
    <w:autoRedefine/>
    <w:semiHidden/>
    <w:qFormat/>
    <w:uiPriority w:val="0"/>
  </w:style>
  <w:style w:type="character" w:customStyle="1" w:styleId="247">
    <w:name w:val="正文格式 Char"/>
    <w:link w:val="248"/>
    <w:autoRedefine/>
    <w:qFormat/>
    <w:uiPriority w:val="0"/>
    <w:rPr>
      <w:rFonts w:cs="宋体"/>
      <w:kern w:val="2"/>
      <w:sz w:val="24"/>
      <w:szCs w:val="24"/>
    </w:rPr>
  </w:style>
  <w:style w:type="paragraph" w:customStyle="1" w:styleId="248">
    <w:name w:val="正文格式"/>
    <w:basedOn w:val="1"/>
    <w:link w:val="247"/>
    <w:autoRedefine/>
    <w:qFormat/>
    <w:uiPriority w:val="0"/>
    <w:pPr>
      <w:spacing w:line="360" w:lineRule="auto"/>
      <w:ind w:firstLine="544" w:firstLineChars="200"/>
    </w:pPr>
    <w:rPr>
      <w:sz w:val="24"/>
      <w:szCs w:val="24"/>
      <w:lang w:val="zh-CN"/>
    </w:rPr>
  </w:style>
  <w:style w:type="character" w:customStyle="1" w:styleId="249">
    <w:name w:val="正文文本 Char Char Char"/>
    <w:autoRedefine/>
    <w:semiHidden/>
    <w:qFormat/>
    <w:uiPriority w:val="0"/>
    <w:rPr>
      <w:rFonts w:eastAsia="宋体"/>
      <w:kern w:val="2"/>
      <w:sz w:val="21"/>
      <w:szCs w:val="24"/>
      <w:lang w:val="en-US" w:eastAsia="zh-CN" w:bidi="ar-SA"/>
    </w:rPr>
  </w:style>
  <w:style w:type="character" w:customStyle="1" w:styleId="250">
    <w:name w:val="表格文字 Char"/>
    <w:link w:val="251"/>
    <w:autoRedefine/>
    <w:qFormat/>
    <w:uiPriority w:val="0"/>
    <w:rPr>
      <w:color w:val="000000"/>
      <w:kern w:val="2"/>
      <w:sz w:val="21"/>
      <w:szCs w:val="24"/>
    </w:rPr>
  </w:style>
  <w:style w:type="paragraph" w:customStyle="1" w:styleId="251">
    <w:name w:val="表格文字"/>
    <w:basedOn w:val="1"/>
    <w:link w:val="250"/>
    <w:autoRedefine/>
    <w:qFormat/>
    <w:uiPriority w:val="0"/>
    <w:pPr>
      <w:adjustRightInd w:val="0"/>
      <w:snapToGrid w:val="0"/>
      <w:jc w:val="center"/>
      <w:textAlignment w:val="baseline"/>
    </w:pPr>
    <w:rPr>
      <w:color w:val="000000"/>
      <w:szCs w:val="24"/>
      <w:lang w:val="zh-CN"/>
    </w:rPr>
  </w:style>
  <w:style w:type="character" w:customStyle="1" w:styleId="252">
    <w:name w:val="正文01 Char"/>
    <w:link w:val="253"/>
    <w:autoRedefine/>
    <w:qFormat/>
    <w:locked/>
    <w:uiPriority w:val="0"/>
    <w:rPr>
      <w:kern w:val="2"/>
      <w:sz w:val="24"/>
    </w:rPr>
  </w:style>
  <w:style w:type="paragraph" w:customStyle="1" w:styleId="253">
    <w:name w:val="正文01"/>
    <w:basedOn w:val="1"/>
    <w:link w:val="252"/>
    <w:autoRedefine/>
    <w:qFormat/>
    <w:uiPriority w:val="0"/>
    <w:pPr>
      <w:spacing w:line="360" w:lineRule="auto"/>
      <w:ind w:firstLine="482"/>
    </w:pPr>
    <w:rPr>
      <w:sz w:val="24"/>
      <w:szCs w:val="20"/>
      <w:lang w:val="zh-CN"/>
    </w:rPr>
  </w:style>
  <w:style w:type="character" w:customStyle="1" w:styleId="254">
    <w:name w:val="正文文本缩进 2 Char"/>
    <w:link w:val="49"/>
    <w:autoRedefine/>
    <w:qFormat/>
    <w:uiPriority w:val="0"/>
    <w:rPr>
      <w:kern w:val="2"/>
      <w:sz w:val="28"/>
      <w:szCs w:val="24"/>
    </w:rPr>
  </w:style>
  <w:style w:type="character" w:customStyle="1" w:styleId="255">
    <w:name w:val="陆晶 标题2 Char Char"/>
    <w:link w:val="256"/>
    <w:autoRedefine/>
    <w:semiHidden/>
    <w:qFormat/>
    <w:uiPriority w:val="0"/>
    <w:rPr>
      <w:rFonts w:ascii="宋体" w:hAnsi="宋体"/>
      <w:b/>
      <w:bCs/>
      <w:kern w:val="2"/>
      <w:sz w:val="30"/>
      <w:szCs w:val="30"/>
      <w:lang w:val="zh-CN" w:eastAsia="zh-CN"/>
    </w:rPr>
  </w:style>
  <w:style w:type="paragraph" w:customStyle="1" w:styleId="256">
    <w:name w:val="陆晶 标题2 Char"/>
    <w:basedOn w:val="1"/>
    <w:link w:val="255"/>
    <w:autoRedefine/>
    <w:semiHidden/>
    <w:qFormat/>
    <w:uiPriority w:val="0"/>
    <w:pPr>
      <w:keepNext/>
      <w:keepLines/>
      <w:tabs>
        <w:tab w:val="left" w:pos="280"/>
      </w:tabs>
      <w:autoSpaceDN w:val="0"/>
      <w:snapToGrid w:val="0"/>
      <w:spacing w:before="240" w:after="240" w:line="480" w:lineRule="exact"/>
      <w:ind w:left="1701" w:hanging="1701"/>
      <w:outlineLvl w:val="1"/>
    </w:pPr>
    <w:rPr>
      <w:rFonts w:ascii="宋体" w:hAnsi="宋体"/>
      <w:b/>
      <w:bCs/>
      <w:sz w:val="30"/>
      <w:szCs w:val="30"/>
      <w:lang w:val="zh-CN"/>
    </w:rPr>
  </w:style>
  <w:style w:type="character" w:customStyle="1" w:styleId="257">
    <w:name w:val="gjz121"/>
    <w:autoRedefine/>
    <w:qFormat/>
    <w:uiPriority w:val="0"/>
    <w:rPr>
      <w:rFonts w:hint="default" w:ascii="ˎ̥" w:hAnsi="ˎ̥"/>
      <w:color w:val="5B6A8B"/>
      <w:sz w:val="18"/>
      <w:szCs w:val="18"/>
      <w:u w:val="none"/>
    </w:rPr>
  </w:style>
  <w:style w:type="character" w:customStyle="1" w:styleId="258">
    <w:name w:val="a) Sub-paragraph Char"/>
    <w:autoRedefine/>
    <w:semiHidden/>
    <w:qFormat/>
    <w:uiPriority w:val="0"/>
    <w:rPr>
      <w:rFonts w:ascii="Arial" w:hAnsi="Arial" w:eastAsia="宋体"/>
      <w:bCs/>
      <w:kern w:val="2"/>
      <w:sz w:val="28"/>
      <w:szCs w:val="28"/>
      <w:lang w:val="en-US" w:eastAsia="zh-CN" w:bidi="ar-SA"/>
    </w:rPr>
  </w:style>
  <w:style w:type="character" w:customStyle="1" w:styleId="259">
    <w:name w:val="p31"/>
    <w:autoRedefine/>
    <w:semiHidden/>
    <w:qFormat/>
    <w:uiPriority w:val="0"/>
    <w:rPr>
      <w:rFonts w:hint="default"/>
      <w:sz w:val="18"/>
      <w:szCs w:val="18"/>
    </w:rPr>
  </w:style>
  <w:style w:type="character" w:customStyle="1" w:styleId="260">
    <w:name w:val="正文文本缩进 Char"/>
    <w:link w:val="33"/>
    <w:autoRedefine/>
    <w:qFormat/>
    <w:uiPriority w:val="99"/>
    <w:rPr>
      <w:rFonts w:eastAsia="宋体"/>
      <w:kern w:val="2"/>
      <w:sz w:val="21"/>
      <w:szCs w:val="24"/>
      <w:lang w:val="en-US" w:eastAsia="zh-CN" w:bidi="ar-SA"/>
    </w:rPr>
  </w:style>
  <w:style w:type="character" w:customStyle="1" w:styleId="261">
    <w:name w:val="p11"/>
    <w:autoRedefine/>
    <w:semiHidden/>
    <w:qFormat/>
    <w:uiPriority w:val="0"/>
    <w:rPr>
      <w:rFonts w:hint="default"/>
      <w:sz w:val="18"/>
      <w:szCs w:val="18"/>
    </w:rPr>
  </w:style>
  <w:style w:type="paragraph" w:customStyle="1" w:styleId="262">
    <w:name w:val="报告书表格表头"/>
    <w:basedOn w:val="1"/>
    <w:autoRedefine/>
    <w:qFormat/>
    <w:uiPriority w:val="0"/>
    <w:pPr>
      <w:adjustRightInd w:val="0"/>
      <w:snapToGrid w:val="0"/>
    </w:pPr>
    <w:rPr>
      <w:rFonts w:eastAsia="黑体"/>
      <w:color w:val="000000"/>
    </w:rPr>
  </w:style>
  <w:style w:type="paragraph" w:customStyle="1" w:styleId="263">
    <w:name w:val="样式 小四 行距: 固定值 24 磅"/>
    <w:basedOn w:val="1"/>
    <w:autoRedefine/>
    <w:qFormat/>
    <w:uiPriority w:val="0"/>
    <w:pPr>
      <w:adjustRightInd w:val="0"/>
      <w:snapToGrid w:val="0"/>
      <w:spacing w:line="360" w:lineRule="auto"/>
      <w:ind w:firstLine="200" w:firstLineChars="200"/>
    </w:pPr>
    <w:rPr>
      <w:rFonts w:cs="宋体"/>
      <w:sz w:val="24"/>
      <w:szCs w:val="20"/>
    </w:rPr>
  </w:style>
  <w:style w:type="paragraph" w:customStyle="1" w:styleId="264">
    <w:name w:val="样式 标题 3标题 3 Char标题 3 Char Char标题 3 Char Char Char标题 3 Char C..."/>
    <w:basedOn w:val="5"/>
    <w:autoRedefine/>
    <w:qFormat/>
    <w:uiPriority w:val="0"/>
    <w:pPr>
      <w:tabs>
        <w:tab w:val="left" w:pos="900"/>
      </w:tabs>
      <w:spacing w:before="156" w:after="156"/>
    </w:pPr>
    <w:rPr>
      <w:bCs w:val="0"/>
      <w:color w:val="000000"/>
      <w:kern w:val="0"/>
      <w:sz w:val="30"/>
      <w:szCs w:val="28"/>
    </w:rPr>
  </w:style>
  <w:style w:type="paragraph" w:customStyle="1" w:styleId="265">
    <w:name w:val="Char4"/>
    <w:basedOn w:val="1"/>
    <w:autoRedefine/>
    <w:qFormat/>
    <w:uiPriority w:val="0"/>
    <w:pPr>
      <w:spacing w:line="360" w:lineRule="auto"/>
      <w:ind w:firstLine="200" w:firstLineChars="200"/>
    </w:pPr>
    <w:rPr>
      <w:rFonts w:ascii="宋体" w:hAnsi="宋体" w:cs="宋体"/>
      <w:sz w:val="24"/>
    </w:rPr>
  </w:style>
  <w:style w:type="paragraph" w:customStyle="1" w:styleId="266">
    <w:name w:val="报告正文文字"/>
    <w:basedOn w:val="5"/>
    <w:autoRedefine/>
    <w:qFormat/>
    <w:uiPriority w:val="0"/>
    <w:pPr>
      <w:keepNext w:val="0"/>
      <w:keepLines w:val="0"/>
      <w:autoSpaceDE w:val="0"/>
      <w:autoSpaceDN w:val="0"/>
      <w:adjustRightInd/>
      <w:spacing w:before="0" w:beforeLines="0" w:after="0" w:afterLines="0"/>
      <w:ind w:firstLine="496" w:firstLineChars="200"/>
      <w:jc w:val="both"/>
      <w:outlineLvl w:val="9"/>
    </w:pPr>
    <w:rPr>
      <w:rFonts w:ascii="黑体" w:hAnsi="宋体" w:eastAsia="宋体" w:cs="Arial"/>
      <w:bCs w:val="0"/>
      <w:color w:val="000000"/>
      <w:spacing w:val="4"/>
      <w:kern w:val="0"/>
      <w:szCs w:val="24"/>
    </w:rPr>
  </w:style>
  <w:style w:type="paragraph" w:customStyle="1" w:styleId="267">
    <w:name w:val="1"/>
    <w:basedOn w:val="1"/>
    <w:autoRedefine/>
    <w:semiHidden/>
    <w:qFormat/>
    <w:uiPriority w:val="0"/>
    <w:pPr>
      <w:spacing w:line="240" w:lineRule="exact"/>
      <w:jc w:val="center"/>
    </w:pPr>
    <w:rPr>
      <w:b/>
      <w:bCs/>
    </w:rPr>
  </w:style>
  <w:style w:type="paragraph" w:customStyle="1" w:styleId="268">
    <w:name w:val="报告表"/>
    <w:basedOn w:val="1"/>
    <w:autoRedefine/>
    <w:qFormat/>
    <w:uiPriority w:val="0"/>
    <w:pPr>
      <w:adjustRightInd w:val="0"/>
      <w:snapToGrid w:val="0"/>
      <w:spacing w:line="520" w:lineRule="atLeast"/>
      <w:ind w:firstLine="560" w:firstLineChars="200"/>
    </w:pPr>
    <w:rPr>
      <w:rFonts w:eastAsia="仿宋_GB2312"/>
      <w:sz w:val="28"/>
    </w:rPr>
  </w:style>
  <w:style w:type="paragraph" w:customStyle="1" w:styleId="269">
    <w:name w:val="样式 样式 标题 2 + Times New Roman 左侧:  0 厘米 首行缩进:  0 厘米 行距: 固定值 24 磅 ..."/>
    <w:basedOn w:val="148"/>
    <w:autoRedefine/>
    <w:semiHidden/>
    <w:qFormat/>
    <w:uiPriority w:val="0"/>
    <w:rPr>
      <w:color w:val="FF0000"/>
    </w:rPr>
  </w:style>
  <w:style w:type="paragraph" w:customStyle="1" w:styleId="270">
    <w:name w:val="样式 标题 1"/>
    <w:basedOn w:val="3"/>
    <w:autoRedefine/>
    <w:qFormat/>
    <w:uiPriority w:val="0"/>
    <w:pPr>
      <w:adjustRightInd/>
      <w:spacing w:before="0" w:after="0" w:line="440" w:lineRule="exact"/>
      <w:jc w:val="both"/>
    </w:pPr>
    <w:rPr>
      <w:b/>
      <w:bCs w:val="0"/>
      <w:szCs w:val="20"/>
    </w:rPr>
  </w:style>
  <w:style w:type="paragraph" w:customStyle="1" w:styleId="271">
    <w:name w:val="样式 样式 样式 小四 黑色 首行缩进:  0.85 厘米 行距: 固定值 28 磅1 + 段前: 0.5 行 段后: 0.5 ..."/>
    <w:basedOn w:val="1"/>
    <w:autoRedefine/>
    <w:qFormat/>
    <w:uiPriority w:val="0"/>
    <w:pPr>
      <w:keepNext/>
      <w:keepLines/>
      <w:adjustRightInd w:val="0"/>
      <w:spacing w:before="120" w:beforeLines="50" w:after="120" w:afterLines="50" w:line="360" w:lineRule="auto"/>
      <w:outlineLvl w:val="2"/>
    </w:pPr>
    <w:rPr>
      <w:rFonts w:eastAsia="黑体" w:cs="宋体"/>
      <w:color w:val="000000"/>
      <w:sz w:val="24"/>
      <w:szCs w:val="20"/>
    </w:rPr>
  </w:style>
  <w:style w:type="paragraph" w:customStyle="1" w:styleId="272">
    <w:name w:val="啊啊表头"/>
    <w:basedOn w:val="1"/>
    <w:autoRedefine/>
    <w:qFormat/>
    <w:uiPriority w:val="0"/>
    <w:pPr>
      <w:tabs>
        <w:tab w:val="left" w:pos="1590"/>
      </w:tabs>
      <w:spacing w:line="460" w:lineRule="exact"/>
      <w:ind w:firstLine="1016" w:firstLineChars="482"/>
      <w:jc w:val="center"/>
    </w:pPr>
    <w:rPr>
      <w:b/>
    </w:rPr>
  </w:style>
  <w:style w:type="paragraph" w:customStyle="1" w:styleId="273">
    <w:name w:val="Char Char Char Char Char Char Char Char Char Char Char Char"/>
    <w:basedOn w:val="1"/>
    <w:autoRedefine/>
    <w:qFormat/>
    <w:uiPriority w:val="0"/>
    <w:rPr>
      <w:rFonts w:ascii="宋体" w:hAnsi="宋体" w:cs="Courier New"/>
      <w:sz w:val="32"/>
      <w:szCs w:val="32"/>
    </w:rPr>
  </w:style>
  <w:style w:type="paragraph" w:customStyle="1" w:styleId="274">
    <w:name w:val="正文首行缩进 21"/>
    <w:basedOn w:val="1"/>
    <w:autoRedefine/>
    <w:qFormat/>
    <w:uiPriority w:val="0"/>
    <w:pPr>
      <w:spacing w:after="120"/>
      <w:ind w:left="420" w:leftChars="200" w:firstLine="420" w:firstLineChars="200"/>
    </w:pPr>
  </w:style>
  <w:style w:type="paragraph" w:customStyle="1" w:styleId="275">
    <w:name w:val="正文001"/>
    <w:basedOn w:val="1"/>
    <w:autoRedefine/>
    <w:qFormat/>
    <w:uiPriority w:val="0"/>
    <w:pPr>
      <w:tabs>
        <w:tab w:val="left" w:pos="5040"/>
      </w:tabs>
      <w:spacing w:before="60" w:line="480" w:lineRule="atLeast"/>
      <w:ind w:firstLine="200" w:firstLineChars="200"/>
    </w:pPr>
    <w:rPr>
      <w:rFonts w:ascii="Arial" w:hAnsi="Arial" w:cs="Arial"/>
    </w:rPr>
  </w:style>
  <w:style w:type="paragraph" w:customStyle="1" w:styleId="276">
    <w:name w:val="正文缩进2"/>
    <w:basedOn w:val="1"/>
    <w:autoRedefine/>
    <w:qFormat/>
    <w:uiPriority w:val="0"/>
    <w:pPr>
      <w:ind w:firstLine="420"/>
    </w:pPr>
    <w:rPr>
      <w:sz w:val="24"/>
    </w:rPr>
  </w:style>
  <w:style w:type="paragraph" w:customStyle="1" w:styleId="277">
    <w:name w:val="样式 标题 2 + 段前: 0.5 行 段后: 0.5 行1"/>
    <w:basedOn w:val="4"/>
    <w:autoRedefine/>
    <w:qFormat/>
    <w:uiPriority w:val="0"/>
    <w:rPr>
      <w:rFonts w:cs="宋体"/>
      <w:bCs w:val="0"/>
      <w:szCs w:val="20"/>
    </w:rPr>
  </w:style>
  <w:style w:type="paragraph" w:customStyle="1" w:styleId="278">
    <w:name w:val="Char Char2 Char Char"/>
    <w:basedOn w:val="1"/>
    <w:autoRedefine/>
    <w:qFormat/>
    <w:uiPriority w:val="0"/>
    <w:rPr>
      <w:rFonts w:ascii="仿宋_GB2312" w:eastAsia="仿宋_GB2312"/>
      <w:b/>
      <w:sz w:val="32"/>
      <w:szCs w:val="32"/>
    </w:rPr>
  </w:style>
  <w:style w:type="paragraph" w:customStyle="1" w:styleId="279">
    <w:name w:val="报告"/>
    <w:basedOn w:val="1"/>
    <w:autoRedefine/>
    <w:qFormat/>
    <w:uiPriority w:val="0"/>
    <w:pPr>
      <w:spacing w:line="360" w:lineRule="auto"/>
      <w:ind w:firstLine="560" w:firstLineChars="200"/>
    </w:pPr>
    <w:rPr>
      <w:sz w:val="28"/>
    </w:rPr>
  </w:style>
  <w:style w:type="paragraph" w:customStyle="1" w:styleId="280">
    <w:name w:val="Char Char Char Char Char Char Char Char Char Char Char Char Char Char Char Char Char Char Char Char Char Char Char Char Char Char Char Char Char Char Char Char Char Char"/>
    <w:basedOn w:val="1"/>
    <w:autoRedefine/>
    <w:qFormat/>
    <w:uiPriority w:val="0"/>
    <w:rPr>
      <w:rFonts w:ascii="宋体" w:hAnsi="宋体" w:cs="Courier New"/>
      <w:sz w:val="32"/>
      <w:szCs w:val="32"/>
    </w:rPr>
  </w:style>
  <w:style w:type="paragraph" w:customStyle="1" w:styleId="281">
    <w:name w:val="默认段落字体 Para Char"/>
    <w:basedOn w:val="1"/>
    <w:autoRedefine/>
    <w:qFormat/>
    <w:uiPriority w:val="0"/>
    <w:rPr>
      <w:sz w:val="24"/>
    </w:rPr>
  </w:style>
  <w:style w:type="paragraph" w:customStyle="1" w:styleId="282">
    <w:name w:val="Char Char Char Char Char Char Char"/>
    <w:basedOn w:val="1"/>
    <w:autoRedefine/>
    <w:qFormat/>
    <w:uiPriority w:val="0"/>
    <w:rPr>
      <w:szCs w:val="20"/>
    </w:rPr>
  </w:style>
  <w:style w:type="paragraph" w:customStyle="1" w:styleId="283">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84">
    <w:name w:val="标题1"/>
    <w:basedOn w:val="60"/>
    <w:next w:val="4"/>
    <w:autoRedefine/>
    <w:qFormat/>
    <w:uiPriority w:val="0"/>
    <w:pPr>
      <w:tabs>
        <w:tab w:val="left" w:pos="1075"/>
      </w:tabs>
      <w:adjustRightInd w:val="0"/>
      <w:spacing w:line="480" w:lineRule="auto"/>
      <w:ind w:left="1075" w:hanging="570"/>
      <w:jc w:val="center"/>
    </w:pPr>
    <w:rPr>
      <w:rFonts w:eastAsia="仿宋_GB2312"/>
      <w:b/>
      <w:sz w:val="28"/>
    </w:rPr>
  </w:style>
  <w:style w:type="paragraph" w:customStyle="1" w:styleId="285">
    <w:name w:val="Char Char Char Char"/>
    <w:basedOn w:val="1"/>
    <w:autoRedefine/>
    <w:qFormat/>
    <w:uiPriority w:val="0"/>
    <w:pPr>
      <w:spacing w:after="160" w:line="240" w:lineRule="exact"/>
    </w:pPr>
    <w:rPr>
      <w:rFonts w:ascii="Verdana" w:hAnsi="Verdana" w:eastAsia="仿宋_GB2312"/>
      <w:kern w:val="0"/>
      <w:sz w:val="24"/>
      <w:szCs w:val="20"/>
      <w:lang w:eastAsia="en-US"/>
    </w:rPr>
  </w:style>
  <w:style w:type="paragraph" w:customStyle="1" w:styleId="286">
    <w:name w:val="注1"/>
    <w:basedOn w:val="287"/>
    <w:autoRedefine/>
    <w:semiHidden/>
    <w:qFormat/>
    <w:uiPriority w:val="0"/>
    <w:pPr>
      <w:spacing w:line="240" w:lineRule="exact"/>
    </w:pPr>
  </w:style>
  <w:style w:type="paragraph" w:customStyle="1" w:styleId="287">
    <w:name w:val="注"/>
    <w:basedOn w:val="63"/>
    <w:autoRedefine/>
    <w:semiHidden/>
    <w:qFormat/>
    <w:uiPriority w:val="0"/>
    <w:pPr>
      <w:adjustRightInd w:val="0"/>
      <w:snapToGrid w:val="0"/>
      <w:ind w:left="0" w:firstLine="0" w:firstLineChars="0"/>
    </w:pPr>
    <w:rPr>
      <w:b/>
      <w:color w:val="000000"/>
    </w:rPr>
  </w:style>
  <w:style w:type="paragraph" w:customStyle="1" w:styleId="288">
    <w:name w:val="段落"/>
    <w:basedOn w:val="43"/>
    <w:autoRedefine/>
    <w:qFormat/>
    <w:uiPriority w:val="0"/>
    <w:pPr>
      <w:spacing w:line="500" w:lineRule="exact"/>
      <w:ind w:firstLine="578"/>
    </w:pPr>
    <w:rPr>
      <w:rFonts w:hAnsi="宋体"/>
      <w:sz w:val="28"/>
      <w:szCs w:val="28"/>
    </w:rPr>
  </w:style>
  <w:style w:type="paragraph" w:customStyle="1" w:styleId="289">
    <w:name w:val="标题3"/>
    <w:basedOn w:val="1"/>
    <w:autoRedefine/>
    <w:semiHidden/>
    <w:qFormat/>
    <w:uiPriority w:val="0"/>
    <w:pPr>
      <w:tabs>
        <w:tab w:val="left" w:pos="1534"/>
      </w:tabs>
      <w:adjustRightInd w:val="0"/>
      <w:spacing w:after="120" w:line="500" w:lineRule="atLeast"/>
      <w:ind w:firstLine="454"/>
      <w:textAlignment w:val="baseline"/>
    </w:pPr>
    <w:rPr>
      <w:rFonts w:ascii="楷体_GB2312" w:eastAsia="楷体_GB2312"/>
      <w:b/>
      <w:spacing w:val="6"/>
      <w:kern w:val="0"/>
      <w:sz w:val="28"/>
      <w:szCs w:val="20"/>
    </w:rPr>
  </w:style>
  <w:style w:type="paragraph" w:customStyle="1" w:styleId="290">
    <w:name w:val="样式5"/>
    <w:basedOn w:val="1"/>
    <w:autoRedefine/>
    <w:qFormat/>
    <w:uiPriority w:val="0"/>
    <w:pPr>
      <w:tabs>
        <w:tab w:val="center" w:pos="4153"/>
        <w:tab w:val="right" w:pos="8306"/>
      </w:tabs>
      <w:adjustRightInd w:val="0"/>
      <w:snapToGrid w:val="0"/>
      <w:spacing w:line="480" w:lineRule="exact"/>
      <w:ind w:firstLine="520" w:firstLineChars="200"/>
    </w:pPr>
    <w:rPr>
      <w:rFonts w:hAnsi="宋体"/>
      <w:kern w:val="0"/>
      <w:sz w:val="26"/>
      <w:szCs w:val="20"/>
      <w:lang w:val="fr-FR"/>
    </w:rPr>
  </w:style>
  <w:style w:type="paragraph" w:customStyle="1" w:styleId="291">
    <w:name w:val="样式 样式 标题 2 + 段前: 0.5 行 段后: 0.5 行1 + 段前: 0.5 行 段后: 0.5 行1"/>
    <w:basedOn w:val="277"/>
    <w:autoRedefine/>
    <w:qFormat/>
    <w:uiPriority w:val="0"/>
    <w:pPr>
      <w:spacing w:before="156" w:after="156"/>
    </w:pPr>
  </w:style>
  <w:style w:type="paragraph" w:customStyle="1" w:styleId="292">
    <w:name w:val="Char Char Char Char Char Char Char Char Char Char Char Char Char Char Char Char Char Char Char"/>
    <w:basedOn w:val="1"/>
    <w:autoRedefine/>
    <w:qFormat/>
    <w:uiPriority w:val="0"/>
    <w:rPr>
      <w:sz w:val="24"/>
    </w:rPr>
  </w:style>
  <w:style w:type="paragraph" w:customStyle="1" w:styleId="293">
    <w:name w:val="表中文字"/>
    <w:basedOn w:val="1"/>
    <w:autoRedefine/>
    <w:qFormat/>
    <w:uiPriority w:val="0"/>
    <w:pPr>
      <w:adjustRightInd w:val="0"/>
      <w:snapToGrid w:val="0"/>
      <w:spacing w:line="240" w:lineRule="atLeast"/>
      <w:jc w:val="center"/>
    </w:pPr>
    <w:rPr>
      <w:snapToGrid w:val="0"/>
      <w:kern w:val="0"/>
      <w:sz w:val="24"/>
      <w:szCs w:val="20"/>
    </w:rPr>
  </w:style>
  <w:style w:type="paragraph" w:customStyle="1" w:styleId="294">
    <w:name w:val="填表内容"/>
    <w:basedOn w:val="1"/>
    <w:autoRedefine/>
    <w:semiHidden/>
    <w:qFormat/>
    <w:uiPriority w:val="0"/>
    <w:pPr>
      <w:adjustRightInd w:val="0"/>
      <w:spacing w:line="480" w:lineRule="exact"/>
      <w:ind w:firstLine="560" w:firstLineChars="200"/>
      <w:textAlignment w:val="baseline"/>
    </w:pPr>
    <w:rPr>
      <w:rFonts w:ascii="楷体_GB2312" w:eastAsia="楷体_GB2312"/>
      <w:sz w:val="28"/>
      <w:szCs w:val="20"/>
    </w:rPr>
  </w:style>
  <w:style w:type="paragraph" w:customStyle="1" w:styleId="295">
    <w:name w:val="样式 样式 标题 3 + 段前: 0.5 行 段后: 0.5 行1 + 段前: 0.5 行 段后: 0.5 行"/>
    <w:basedOn w:val="296"/>
    <w:autoRedefine/>
    <w:qFormat/>
    <w:uiPriority w:val="0"/>
  </w:style>
  <w:style w:type="paragraph" w:customStyle="1" w:styleId="296">
    <w:name w:val="样式 标题 3 + 段前: 0.5 行 段后: 0.5 行1"/>
    <w:basedOn w:val="5"/>
    <w:autoRedefine/>
    <w:qFormat/>
    <w:uiPriority w:val="0"/>
    <w:rPr>
      <w:rFonts w:cs="宋体"/>
      <w:bCs w:val="0"/>
      <w:szCs w:val="20"/>
    </w:rPr>
  </w:style>
  <w:style w:type="paragraph" w:customStyle="1" w:styleId="297">
    <w:name w:val="报告表格"/>
    <w:basedOn w:val="1"/>
    <w:autoRedefine/>
    <w:qFormat/>
    <w:uiPriority w:val="0"/>
    <w:pPr>
      <w:autoSpaceDE w:val="0"/>
      <w:autoSpaceDN w:val="0"/>
      <w:adjustRightInd w:val="0"/>
      <w:spacing w:before="40" w:after="40"/>
      <w:jc w:val="center"/>
      <w:textAlignment w:val="bottom"/>
    </w:pPr>
    <w:rPr>
      <w:kern w:val="0"/>
      <w:szCs w:val="20"/>
    </w:rPr>
  </w:style>
  <w:style w:type="paragraph" w:customStyle="1" w:styleId="298">
    <w:name w:val="正文1"/>
    <w:basedOn w:val="1"/>
    <w:autoRedefine/>
    <w:semiHidden/>
    <w:qFormat/>
    <w:uiPriority w:val="0"/>
    <w:pPr>
      <w:spacing w:line="480" w:lineRule="exact"/>
      <w:jc w:val="center"/>
    </w:pPr>
    <w:rPr>
      <w:rFonts w:ascii="宋体" w:hAnsi="宋体"/>
      <w:sz w:val="28"/>
    </w:rPr>
  </w:style>
  <w:style w:type="paragraph" w:customStyle="1" w:styleId="299">
    <w:name w:val="报告书正文"/>
    <w:basedOn w:val="1"/>
    <w:next w:val="1"/>
    <w:autoRedefine/>
    <w:qFormat/>
    <w:uiPriority w:val="0"/>
    <w:pPr>
      <w:spacing w:line="520" w:lineRule="exact"/>
      <w:ind w:firstLine="200" w:firstLineChars="200"/>
    </w:pPr>
    <w:rPr>
      <w:sz w:val="24"/>
    </w:rPr>
  </w:style>
  <w:style w:type="paragraph" w:customStyle="1" w:styleId="300">
    <w:name w:val="样式1"/>
    <w:basedOn w:val="1"/>
    <w:autoRedefine/>
    <w:semiHidden/>
    <w:qFormat/>
    <w:uiPriority w:val="0"/>
    <w:pPr>
      <w:spacing w:after="120" w:line="240" w:lineRule="atLeast"/>
      <w:jc w:val="center"/>
    </w:pPr>
    <w:rPr>
      <w:rFonts w:ascii="黑体" w:eastAsia="黑体"/>
    </w:rPr>
  </w:style>
  <w:style w:type="paragraph" w:customStyle="1" w:styleId="301">
    <w:name w:val="表注田"/>
    <w:basedOn w:val="201"/>
    <w:autoRedefine/>
    <w:qFormat/>
    <w:uiPriority w:val="0"/>
    <w:pPr>
      <w:ind w:firstLine="0" w:firstLineChars="0"/>
    </w:pPr>
    <w:rPr>
      <w:rFonts w:ascii="宋体" w:hAnsi="宋体"/>
      <w:color w:val="0000FF"/>
      <w:sz w:val="21"/>
      <w:szCs w:val="21"/>
    </w:rPr>
  </w:style>
  <w:style w:type="paragraph" w:customStyle="1" w:styleId="302">
    <w:name w:val="普通(网站)1"/>
    <w:basedOn w:val="1"/>
    <w:autoRedefine/>
    <w:qFormat/>
    <w:uiPriority w:val="0"/>
    <w:pPr>
      <w:spacing w:before="100" w:beforeAutospacing="1" w:after="100" w:afterAutospacing="1"/>
    </w:pPr>
    <w:rPr>
      <w:rFonts w:ascii="宋体" w:hAnsi="宋体"/>
      <w:kern w:val="0"/>
      <w:sz w:val="24"/>
    </w:rPr>
  </w:style>
  <w:style w:type="paragraph" w:customStyle="1" w:styleId="303">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304">
    <w:name w:val="表头"/>
    <w:basedOn w:val="1"/>
    <w:autoRedefine/>
    <w:qFormat/>
    <w:uiPriority w:val="0"/>
    <w:pPr>
      <w:adjustRightInd w:val="0"/>
      <w:snapToGrid w:val="0"/>
      <w:spacing w:before="156" w:beforeLines="50"/>
      <w:jc w:val="center"/>
      <w:outlineLvl w:val="6"/>
    </w:pPr>
    <w:rPr>
      <w:rFonts w:hAnsi="宋体"/>
      <w:bCs/>
      <w:color w:val="000000"/>
    </w:rPr>
  </w:style>
  <w:style w:type="paragraph" w:customStyle="1" w:styleId="305">
    <w:name w:val="样式 样式 标题 3标题 3 Char标题 3 Char Char标题 3 Char Char Char标题 3 Char C...."/>
    <w:basedOn w:val="264"/>
    <w:autoRedefine/>
    <w:qFormat/>
    <w:uiPriority w:val="0"/>
    <w:pPr>
      <w:spacing w:before="120" w:after="120"/>
      <w:ind w:firstLine="602"/>
    </w:pPr>
    <w:rPr>
      <w:rFonts w:eastAsia="宋体" w:cs="宋体"/>
      <w:sz w:val="28"/>
      <w:szCs w:val="20"/>
    </w:rPr>
  </w:style>
  <w:style w:type="paragraph" w:customStyle="1" w:styleId="306">
    <w:name w:val="Char Char Char Char Char Char Char Char Char Char Char Char Char Char Char Char Char Char Char Char1 Char"/>
    <w:basedOn w:val="1"/>
    <w:autoRedefine/>
    <w:qFormat/>
    <w:uiPriority w:val="0"/>
    <w:pPr>
      <w:spacing w:line="500" w:lineRule="atLeast"/>
      <w:ind w:firstLine="561"/>
    </w:pPr>
    <w:rPr>
      <w:rFonts w:ascii="Tahoma" w:hAnsi="Tahoma"/>
      <w:sz w:val="28"/>
      <w:szCs w:val="20"/>
    </w:rPr>
  </w:style>
  <w:style w:type="paragraph" w:customStyle="1" w:styleId="307">
    <w:name w:val="图号"/>
    <w:basedOn w:val="1"/>
    <w:autoRedefine/>
    <w:semiHidden/>
    <w:qFormat/>
    <w:uiPriority w:val="0"/>
    <w:pPr>
      <w:tabs>
        <w:tab w:val="left" w:pos="8160"/>
      </w:tabs>
      <w:adjustRightInd w:val="0"/>
      <w:spacing w:line="480" w:lineRule="exact"/>
      <w:jc w:val="center"/>
      <w:textAlignment w:val="baseline"/>
    </w:pPr>
    <w:rPr>
      <w:rFonts w:ascii="黑体" w:eastAsia="黑体"/>
      <w:b/>
      <w:spacing w:val="6"/>
      <w:sz w:val="28"/>
      <w:szCs w:val="20"/>
    </w:rPr>
  </w:style>
  <w:style w:type="paragraph" w:customStyle="1" w:styleId="308">
    <w:name w:val="样式 标题 4 + (西文) Times New Roman (中文) 宋体 四号 行距: 固定值 24 磅"/>
    <w:basedOn w:val="6"/>
    <w:autoRedefine/>
    <w:qFormat/>
    <w:uiPriority w:val="0"/>
    <w:pPr>
      <w:tabs>
        <w:tab w:val="left" w:pos="851"/>
      </w:tabs>
      <w:spacing w:line="500" w:lineRule="exact"/>
      <w:ind w:left="851" w:hanging="851"/>
    </w:pPr>
    <w:rPr>
      <w:rFonts w:ascii="Times New Roman" w:hAnsi="Times New Roman" w:eastAsia="宋体" w:cs="宋体"/>
      <w:b w:val="0"/>
      <w:szCs w:val="20"/>
    </w:rPr>
  </w:style>
  <w:style w:type="paragraph" w:customStyle="1" w:styleId="309">
    <w:name w:val="样式 首行缩进:  0.77 厘米 行距: 固定值 20 磅"/>
    <w:basedOn w:val="1"/>
    <w:autoRedefine/>
    <w:qFormat/>
    <w:uiPriority w:val="0"/>
    <w:pPr>
      <w:spacing w:line="360" w:lineRule="auto"/>
      <w:ind w:firstLine="435"/>
    </w:pPr>
    <w:rPr>
      <w:sz w:val="24"/>
      <w:szCs w:val="20"/>
    </w:rPr>
  </w:style>
  <w:style w:type="paragraph" w:customStyle="1" w:styleId="310">
    <w:name w:val="PP 行"/>
    <w:basedOn w:val="55"/>
    <w:autoRedefine/>
    <w:semiHidden/>
    <w:qFormat/>
    <w:uiPriority w:val="0"/>
    <w:pPr>
      <w:adjustRightInd/>
      <w:snapToGrid/>
    </w:pPr>
    <w:rPr>
      <w:szCs w:val="20"/>
    </w:rPr>
  </w:style>
  <w:style w:type="paragraph" w:customStyle="1" w:styleId="311">
    <w:name w:val="页首正文"/>
    <w:basedOn w:val="49"/>
    <w:autoRedefine/>
    <w:semiHidden/>
    <w:qFormat/>
    <w:uiPriority w:val="0"/>
    <w:pPr>
      <w:adjustRightInd w:val="0"/>
      <w:spacing w:before="240" w:line="480" w:lineRule="exact"/>
      <w:ind w:firstLine="560" w:firstLineChars="200"/>
      <w:textAlignment w:val="baseline"/>
    </w:pPr>
    <w:rPr>
      <w:rFonts w:ascii="楷体_GB2312" w:eastAsia="楷体_GB2312"/>
      <w:color w:val="000000"/>
      <w:szCs w:val="20"/>
    </w:rPr>
  </w:style>
  <w:style w:type="paragraph" w:customStyle="1" w:styleId="312">
    <w:name w:val="Char Char Char Char Char Char Char Char Char Char Char Char1 Char"/>
    <w:basedOn w:val="1"/>
    <w:autoRedefine/>
    <w:semiHidden/>
    <w:qFormat/>
    <w:uiPriority w:val="0"/>
    <w:rPr>
      <w:sz w:val="24"/>
    </w:rPr>
  </w:style>
  <w:style w:type="paragraph" w:customStyle="1" w:styleId="313">
    <w:name w:val="样式 宋体 红色 行距: 1.5 倍行距"/>
    <w:basedOn w:val="1"/>
    <w:autoRedefine/>
    <w:qFormat/>
    <w:uiPriority w:val="0"/>
    <w:pPr>
      <w:spacing w:line="360" w:lineRule="auto"/>
      <w:ind w:firstLine="560" w:firstLineChars="200"/>
    </w:pPr>
    <w:rPr>
      <w:rFonts w:ascii="宋体" w:hAnsi="宋体" w:cs="宋体"/>
      <w:color w:val="FF0000"/>
      <w:sz w:val="24"/>
      <w:szCs w:val="20"/>
    </w:rPr>
  </w:style>
  <w:style w:type="paragraph" w:customStyle="1" w:styleId="314">
    <w:name w:val="附表"/>
    <w:basedOn w:val="69"/>
    <w:autoRedefine/>
    <w:qFormat/>
    <w:uiPriority w:val="0"/>
    <w:pPr>
      <w:adjustRightInd/>
      <w:snapToGrid/>
      <w:ind w:left="0" w:leftChars="0" w:firstLine="0" w:firstLineChars="0"/>
      <w:jc w:val="center"/>
    </w:pPr>
    <w:rPr>
      <w:rFonts w:ascii="宋体" w:hAnsi="宋体"/>
    </w:rPr>
  </w:style>
  <w:style w:type="paragraph" w:customStyle="1" w:styleId="315">
    <w:name w:val="Char Char Char Char Char Char Char Char Char Char Char Char1"/>
    <w:basedOn w:val="1"/>
    <w:autoRedefine/>
    <w:qFormat/>
    <w:uiPriority w:val="0"/>
    <w:rPr>
      <w:sz w:val="24"/>
    </w:rPr>
  </w:style>
  <w:style w:type="paragraph" w:customStyle="1" w:styleId="316">
    <w:name w:val="表格 32"/>
    <w:basedOn w:val="1"/>
    <w:autoRedefine/>
    <w:qFormat/>
    <w:uiPriority w:val="0"/>
    <w:pPr>
      <w:autoSpaceDE w:val="0"/>
      <w:autoSpaceDN w:val="0"/>
      <w:adjustRightInd w:val="0"/>
      <w:jc w:val="center"/>
      <w:textAlignment w:val="baseline"/>
    </w:pPr>
    <w:rPr>
      <w:rFonts w:eastAsia="楷体_GB2312"/>
      <w:kern w:val="0"/>
      <w:sz w:val="24"/>
      <w:szCs w:val="20"/>
    </w:rPr>
  </w:style>
  <w:style w:type="paragraph" w:customStyle="1" w:styleId="317">
    <w:name w:val="Char Char Char Char Char Char Char Char Char Char"/>
    <w:basedOn w:val="1"/>
    <w:autoRedefine/>
    <w:semiHidden/>
    <w:qFormat/>
    <w:uiPriority w:val="0"/>
    <w:rPr>
      <w:sz w:val="24"/>
    </w:rPr>
  </w:style>
  <w:style w:type="paragraph" w:customStyle="1" w:styleId="318">
    <w:name w:val="_Style 4"/>
    <w:autoRedefine/>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319">
    <w:name w:val="插图"/>
    <w:basedOn w:val="207"/>
    <w:autoRedefine/>
    <w:qFormat/>
    <w:uiPriority w:val="0"/>
    <w:pPr>
      <w:spacing w:line="240" w:lineRule="auto"/>
      <w:ind w:firstLine="0" w:firstLineChars="0"/>
      <w:jc w:val="center"/>
    </w:pPr>
  </w:style>
  <w:style w:type="paragraph" w:customStyle="1" w:styleId="320">
    <w:name w:val="图注"/>
    <w:basedOn w:val="1"/>
    <w:autoRedefine/>
    <w:semiHidden/>
    <w:qFormat/>
    <w:uiPriority w:val="0"/>
    <w:pPr>
      <w:adjustRightInd w:val="0"/>
      <w:snapToGrid w:val="0"/>
      <w:jc w:val="center"/>
    </w:pPr>
  </w:style>
  <w:style w:type="paragraph" w:customStyle="1" w:styleId="321">
    <w:name w:val="标题3.3"/>
    <w:basedOn w:val="1"/>
    <w:next w:val="1"/>
    <w:autoRedefine/>
    <w:semiHidden/>
    <w:qFormat/>
    <w:uiPriority w:val="0"/>
    <w:pPr>
      <w:keepNext/>
      <w:keepLines/>
      <w:tabs>
        <w:tab w:val="left" w:pos="1534"/>
      </w:tabs>
      <w:adjustRightInd w:val="0"/>
      <w:spacing w:before="156" w:beforeLines="50" w:after="120" w:afterLines="50" w:line="500" w:lineRule="atLeast"/>
      <w:ind w:firstLine="454"/>
      <w:textAlignment w:val="baseline"/>
      <w:outlineLvl w:val="0"/>
    </w:pPr>
    <w:rPr>
      <w:rFonts w:ascii="楷体_GB2312" w:hAnsi="宋体" w:cs="宋体"/>
      <w:b/>
      <w:color w:val="000000"/>
      <w:spacing w:val="6"/>
      <w:kern w:val="0"/>
      <w:sz w:val="28"/>
      <w:szCs w:val="20"/>
    </w:rPr>
  </w:style>
  <w:style w:type="paragraph" w:customStyle="1" w:styleId="322">
    <w:name w:val="环评小于节的标题"/>
    <w:basedOn w:val="1"/>
    <w:autoRedefine/>
    <w:qFormat/>
    <w:uiPriority w:val="0"/>
    <w:pPr>
      <w:tabs>
        <w:tab w:val="left" w:pos="567"/>
      </w:tabs>
      <w:spacing w:before="200" w:after="200" w:line="360" w:lineRule="auto"/>
    </w:pPr>
    <w:rPr>
      <w:rFonts w:eastAsia="黑体"/>
      <w:b/>
      <w:spacing w:val="20"/>
      <w:sz w:val="28"/>
      <w:szCs w:val="20"/>
    </w:rPr>
  </w:style>
  <w:style w:type="paragraph" w:customStyle="1" w:styleId="323">
    <w:name w:val="报告表表格文字"/>
    <w:basedOn w:val="1"/>
    <w:autoRedefine/>
    <w:qFormat/>
    <w:uiPriority w:val="0"/>
    <w:pPr>
      <w:autoSpaceDE w:val="0"/>
      <w:autoSpaceDN w:val="0"/>
      <w:adjustRightInd w:val="0"/>
      <w:snapToGrid w:val="0"/>
      <w:jc w:val="center"/>
      <w:textAlignment w:val="baseline"/>
    </w:pPr>
    <w:rPr>
      <w:color w:val="000000"/>
      <w:kern w:val="0"/>
    </w:rPr>
  </w:style>
  <w:style w:type="paragraph" w:customStyle="1" w:styleId="324">
    <w:name w:val="xl26"/>
    <w:basedOn w:val="1"/>
    <w:autoRedefine/>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kern w:val="0"/>
      <w:sz w:val="24"/>
      <w:szCs w:val="20"/>
    </w:rPr>
  </w:style>
  <w:style w:type="paragraph" w:customStyle="1" w:styleId="325">
    <w:name w:val="文档结构图1"/>
    <w:basedOn w:val="1"/>
    <w:autoRedefine/>
    <w:qFormat/>
    <w:uiPriority w:val="0"/>
    <w:pPr>
      <w:shd w:val="clear" w:color="auto" w:fill="000080"/>
    </w:pPr>
  </w:style>
  <w:style w:type="paragraph" w:customStyle="1" w:styleId="326">
    <w:name w:val="表中正文五号"/>
    <w:basedOn w:val="1"/>
    <w:autoRedefine/>
    <w:semiHidden/>
    <w:qFormat/>
    <w:uiPriority w:val="0"/>
    <w:pPr>
      <w:spacing w:line="480" w:lineRule="exact"/>
      <w:jc w:val="center"/>
    </w:pPr>
    <w:rPr>
      <w:rFonts w:ascii="宋体" w:hAnsi="宋体"/>
      <w:color w:val="000000"/>
      <w:szCs w:val="20"/>
    </w:rPr>
  </w:style>
  <w:style w:type="paragraph" w:customStyle="1" w:styleId="327">
    <w:name w:val="列表 21"/>
    <w:basedOn w:val="1"/>
    <w:autoRedefine/>
    <w:qFormat/>
    <w:uiPriority w:val="0"/>
    <w:pPr>
      <w:spacing w:line="360" w:lineRule="auto"/>
      <w:ind w:left="840" w:hanging="420" w:firstLineChars="200"/>
    </w:pPr>
    <w:rPr>
      <w:sz w:val="24"/>
      <w:szCs w:val="20"/>
    </w:rPr>
  </w:style>
  <w:style w:type="paragraph" w:customStyle="1" w:styleId="328">
    <w:name w:val="表文字"/>
    <w:basedOn w:val="1"/>
    <w:autoRedefine/>
    <w:qFormat/>
    <w:uiPriority w:val="0"/>
    <w:pPr>
      <w:spacing w:line="320" w:lineRule="exact"/>
    </w:pPr>
    <w:rPr>
      <w:szCs w:val="20"/>
    </w:rPr>
  </w:style>
  <w:style w:type="paragraph" w:customStyle="1" w:styleId="329">
    <w:name w:val="样式 正文文字缩进正文文字( 首段缩进两字）正文文字缩进2字符正文文本缩进 Char2正文文本缩进 Char1 Char..."/>
    <w:basedOn w:val="33"/>
    <w:autoRedefine/>
    <w:semiHidden/>
    <w:qFormat/>
    <w:uiPriority w:val="0"/>
    <w:pPr>
      <w:spacing w:after="0" w:line="480" w:lineRule="exact"/>
      <w:ind w:left="0" w:leftChars="0" w:firstLine="567"/>
    </w:pPr>
    <w:rPr>
      <w:rFonts w:ascii="宋体"/>
      <w:spacing w:val="6"/>
      <w:sz w:val="28"/>
      <w:szCs w:val="28"/>
    </w:rPr>
  </w:style>
  <w:style w:type="paragraph" w:customStyle="1" w:styleId="330">
    <w:name w:val="图标"/>
    <w:basedOn w:val="1"/>
    <w:autoRedefine/>
    <w:semiHidden/>
    <w:qFormat/>
    <w:uiPriority w:val="0"/>
    <w:pPr>
      <w:spacing w:line="440" w:lineRule="exact"/>
      <w:jc w:val="center"/>
    </w:pPr>
    <w:rPr>
      <w:rFonts w:ascii="黑体" w:eastAsia="黑体"/>
      <w:sz w:val="28"/>
      <w:szCs w:val="20"/>
    </w:rPr>
  </w:style>
  <w:style w:type="paragraph" w:customStyle="1" w:styleId="331">
    <w:name w:val="图"/>
    <w:basedOn w:val="1"/>
    <w:autoRedefine/>
    <w:semiHidden/>
    <w:qFormat/>
    <w:uiPriority w:val="0"/>
    <w:pPr>
      <w:adjustRightInd w:val="0"/>
      <w:spacing w:line="360" w:lineRule="auto"/>
      <w:jc w:val="center"/>
      <w:textAlignment w:val="baseline"/>
    </w:pPr>
    <w:rPr>
      <w:rFonts w:hAnsi="宋体"/>
      <w:b/>
    </w:rPr>
  </w:style>
  <w:style w:type="paragraph" w:customStyle="1" w:styleId="332">
    <w:name w:val="Char2"/>
    <w:basedOn w:val="1"/>
    <w:autoRedefine/>
    <w:qFormat/>
    <w:uiPriority w:val="0"/>
    <w:pPr>
      <w:snapToGrid w:val="0"/>
      <w:spacing w:line="360" w:lineRule="auto"/>
      <w:ind w:firstLine="529" w:firstLineChars="200"/>
    </w:pPr>
    <w:rPr>
      <w:rFonts w:ascii="宋体" w:hAnsi="宋体"/>
      <w:b/>
    </w:rPr>
  </w:style>
  <w:style w:type="paragraph" w:customStyle="1" w:styleId="333">
    <w:name w:val="小表"/>
    <w:basedOn w:val="1"/>
    <w:autoRedefine/>
    <w:qFormat/>
    <w:uiPriority w:val="0"/>
    <w:pPr>
      <w:overflowPunct w:val="0"/>
      <w:autoSpaceDE w:val="0"/>
      <w:autoSpaceDN w:val="0"/>
      <w:adjustRightInd w:val="0"/>
      <w:jc w:val="center"/>
      <w:textAlignment w:val="bottom"/>
    </w:pPr>
    <w:rPr>
      <w:kern w:val="0"/>
      <w:szCs w:val="20"/>
    </w:rPr>
  </w:style>
  <w:style w:type="paragraph" w:customStyle="1" w:styleId="334">
    <w:name w:val="陆晶 表中正文五号"/>
    <w:basedOn w:val="1"/>
    <w:autoRedefine/>
    <w:semiHidden/>
    <w:qFormat/>
    <w:uiPriority w:val="0"/>
    <w:pPr>
      <w:spacing w:line="480" w:lineRule="exact"/>
      <w:jc w:val="center"/>
    </w:pPr>
    <w:rPr>
      <w:rFonts w:ascii="宋体" w:hAnsi="宋体"/>
      <w:bCs/>
    </w:rPr>
  </w:style>
  <w:style w:type="paragraph" w:customStyle="1" w:styleId="335">
    <w:name w:val="标题02"/>
    <w:basedOn w:val="1"/>
    <w:next w:val="1"/>
    <w:autoRedefine/>
    <w:qFormat/>
    <w:uiPriority w:val="0"/>
    <w:pPr>
      <w:snapToGrid w:val="0"/>
      <w:spacing w:line="440" w:lineRule="atLeast"/>
      <w:outlineLvl w:val="1"/>
    </w:pPr>
    <w:rPr>
      <w:b/>
      <w:sz w:val="24"/>
      <w:szCs w:val="20"/>
    </w:rPr>
  </w:style>
  <w:style w:type="paragraph" w:customStyle="1" w:styleId="336">
    <w:name w:val="样式 标题 4标题 3 Char标题 3 Char Char标题 3 Char Char Char标题 3 Char C...5"/>
    <w:basedOn w:val="5"/>
    <w:autoRedefine/>
    <w:qFormat/>
    <w:uiPriority w:val="0"/>
    <w:pPr>
      <w:tabs>
        <w:tab w:val="left" w:pos="7200"/>
      </w:tabs>
    </w:pPr>
    <w:rPr>
      <w:szCs w:val="24"/>
    </w:rPr>
  </w:style>
  <w:style w:type="paragraph" w:customStyle="1" w:styleId="337">
    <w:name w:val="Char Char Char Char Char Char Char1"/>
    <w:basedOn w:val="1"/>
    <w:autoRedefine/>
    <w:qFormat/>
    <w:uiPriority w:val="0"/>
  </w:style>
  <w:style w:type="paragraph" w:customStyle="1" w:styleId="338">
    <w:name w:val="图标田"/>
    <w:basedOn w:val="49"/>
    <w:autoRedefine/>
    <w:qFormat/>
    <w:uiPriority w:val="0"/>
    <w:pPr>
      <w:spacing w:line="480" w:lineRule="exact"/>
      <w:ind w:firstLine="561" w:firstLineChars="200"/>
      <w:jc w:val="center"/>
    </w:pPr>
    <w:rPr>
      <w:rFonts w:ascii="黑体" w:eastAsia="黑体"/>
      <w:b/>
      <w:color w:val="0000FF"/>
    </w:rPr>
  </w:style>
  <w:style w:type="paragraph" w:customStyle="1" w:styleId="339">
    <w:name w:val="图号1"/>
    <w:basedOn w:val="307"/>
    <w:autoRedefine/>
    <w:semiHidden/>
    <w:qFormat/>
    <w:uiPriority w:val="0"/>
    <w:pPr>
      <w:spacing w:before="120" w:after="120"/>
    </w:pPr>
    <w:rPr>
      <w:b w:val="0"/>
    </w:rPr>
  </w:style>
  <w:style w:type="paragraph" w:customStyle="1" w:styleId="340">
    <w:name w:val="标准段落"/>
    <w:basedOn w:val="1"/>
    <w:next w:val="1"/>
    <w:autoRedefine/>
    <w:semiHidden/>
    <w:qFormat/>
    <w:uiPriority w:val="0"/>
    <w:pPr>
      <w:spacing w:line="480" w:lineRule="exact"/>
      <w:ind w:firstLine="560" w:firstLineChars="200"/>
    </w:pPr>
    <w:rPr>
      <w:sz w:val="28"/>
      <w:szCs w:val="28"/>
    </w:rPr>
  </w:style>
  <w:style w:type="paragraph" w:customStyle="1" w:styleId="341">
    <w:name w:val="0正文"/>
    <w:autoRedefine/>
    <w:unhideWhenUsed/>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342">
    <w:name w:val="p0"/>
    <w:basedOn w:val="1"/>
    <w:autoRedefine/>
    <w:qFormat/>
    <w:uiPriority w:val="0"/>
    <w:rPr>
      <w:kern w:val="0"/>
      <w:sz w:val="20"/>
      <w:szCs w:val="20"/>
    </w:rPr>
  </w:style>
  <w:style w:type="paragraph" w:customStyle="1" w:styleId="343">
    <w:name w:val="样式 标题 2 + 段前: 0.5 行 段后: 0.5 行"/>
    <w:basedOn w:val="4"/>
    <w:autoRedefine/>
    <w:qFormat/>
    <w:uiPriority w:val="0"/>
    <w:pPr>
      <w:spacing w:before="156" w:after="156"/>
    </w:pPr>
    <w:rPr>
      <w:rFonts w:cs="宋体"/>
      <w:bCs w:val="0"/>
      <w:szCs w:val="20"/>
    </w:rPr>
  </w:style>
  <w:style w:type="paragraph" w:customStyle="1" w:styleId="344">
    <w:name w:val="陆晶 表头"/>
    <w:basedOn w:val="1"/>
    <w:autoRedefine/>
    <w:semiHidden/>
    <w:qFormat/>
    <w:uiPriority w:val="0"/>
    <w:pPr>
      <w:tabs>
        <w:tab w:val="left" w:pos="2520"/>
      </w:tabs>
      <w:spacing w:line="400" w:lineRule="exact"/>
      <w:jc w:val="center"/>
    </w:pPr>
    <w:rPr>
      <w:rFonts w:ascii="黑体" w:eastAsia="黑体"/>
      <w:bCs/>
      <w:spacing w:val="4"/>
      <w:position w:val="10"/>
    </w:rPr>
  </w:style>
  <w:style w:type="paragraph" w:customStyle="1" w:styleId="345">
    <w:name w:val="样式 样式 样式 标题 3 + 段前: 0.5 行 段后: 0.5 行1 + 段前: 0.5 行 段后: 0.5 行 + 段前:..."/>
    <w:basedOn w:val="295"/>
    <w:autoRedefine/>
    <w:qFormat/>
    <w:uiPriority w:val="0"/>
    <w:pPr>
      <w:spacing w:before="156" w:after="156"/>
    </w:pPr>
  </w:style>
  <w:style w:type="paragraph" w:customStyle="1" w:styleId="346">
    <w:name w:val="正文文本缩进 31"/>
    <w:basedOn w:val="1"/>
    <w:autoRedefine/>
    <w:qFormat/>
    <w:uiPriority w:val="0"/>
    <w:pPr>
      <w:spacing w:after="120"/>
      <w:ind w:left="420" w:leftChars="200"/>
    </w:pPr>
    <w:rPr>
      <w:sz w:val="16"/>
      <w:szCs w:val="16"/>
    </w:rPr>
  </w:style>
  <w:style w:type="paragraph" w:customStyle="1" w:styleId="347">
    <w:name w:val="Char Char Char Char1"/>
    <w:basedOn w:val="1"/>
    <w:autoRedefine/>
    <w:qFormat/>
    <w:uiPriority w:val="0"/>
    <w:pPr>
      <w:spacing w:line="360" w:lineRule="auto"/>
      <w:ind w:firstLine="200" w:firstLineChars="200"/>
    </w:pPr>
    <w:rPr>
      <w:rFonts w:ascii="宋体" w:hAnsi="宋体" w:cs="宋体"/>
      <w:sz w:val="24"/>
    </w:rPr>
  </w:style>
  <w:style w:type="paragraph" w:customStyle="1" w:styleId="348">
    <w:name w:val="样式2"/>
    <w:basedOn w:val="1"/>
    <w:autoRedefine/>
    <w:semiHidden/>
    <w:qFormat/>
    <w:uiPriority w:val="0"/>
    <w:pPr>
      <w:spacing w:after="120" w:line="480" w:lineRule="exact"/>
      <w:ind w:firstLine="567"/>
    </w:pPr>
    <w:rPr>
      <w:rFonts w:eastAsia="楷体"/>
      <w:sz w:val="28"/>
    </w:rPr>
  </w:style>
  <w:style w:type="paragraph" w:customStyle="1" w:styleId="349">
    <w:name w:val="样式 首行缩进:  2 字符"/>
    <w:basedOn w:val="1"/>
    <w:autoRedefine/>
    <w:qFormat/>
    <w:uiPriority w:val="0"/>
    <w:pPr>
      <w:spacing w:line="560" w:lineRule="exact"/>
      <w:ind w:firstLine="478" w:firstLineChars="199"/>
    </w:pPr>
    <w:rPr>
      <w:rFonts w:ascii="宋体" w:hAnsi="宋体"/>
      <w:kern w:val="0"/>
      <w:sz w:val="24"/>
    </w:rPr>
  </w:style>
  <w:style w:type="paragraph" w:customStyle="1" w:styleId="350">
    <w:name w:val="正文2"/>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351">
    <w:name w:val="表格式1"/>
    <w:basedOn w:val="181"/>
    <w:autoRedefine/>
    <w:semiHidden/>
    <w:qFormat/>
    <w:uiPriority w:val="0"/>
    <w:pPr>
      <w:spacing w:before="124" w:beforeLines="40" w:after="124" w:afterLines="40"/>
    </w:pPr>
  </w:style>
  <w:style w:type="paragraph" w:customStyle="1" w:styleId="352">
    <w:name w:val="Char Char Char Char2"/>
    <w:basedOn w:val="1"/>
    <w:autoRedefine/>
    <w:qFormat/>
    <w:uiPriority w:val="0"/>
    <w:pPr>
      <w:spacing w:line="240" w:lineRule="atLeast"/>
      <w:ind w:left="420" w:firstLine="420"/>
    </w:pPr>
    <w:rPr>
      <w:kern w:val="0"/>
    </w:rPr>
  </w:style>
  <w:style w:type="paragraph" w:customStyle="1" w:styleId="353">
    <w:name w:val="表格式小"/>
    <w:basedOn w:val="181"/>
    <w:autoRedefine/>
    <w:semiHidden/>
    <w:qFormat/>
    <w:uiPriority w:val="0"/>
    <w:rPr>
      <w:sz w:val="18"/>
    </w:rPr>
  </w:style>
  <w:style w:type="paragraph" w:customStyle="1" w:styleId="354">
    <w:name w:val="5正文"/>
    <w:autoRedefine/>
    <w:qFormat/>
    <w:uiPriority w:val="0"/>
    <w:pPr>
      <w:widowControl w:val="0"/>
      <w:spacing w:line="520" w:lineRule="exact"/>
      <w:ind w:firstLine="200" w:firstLineChars="200"/>
      <w:jc w:val="both"/>
    </w:pPr>
    <w:rPr>
      <w:rFonts w:ascii="Calibri" w:hAnsi="Calibri" w:eastAsia="宋体" w:cs="Times New Roman"/>
      <w:kern w:val="2"/>
      <w:sz w:val="24"/>
      <w:szCs w:val="22"/>
      <w:lang w:val="en-US" w:eastAsia="zh-CN" w:bidi="ar-SA"/>
    </w:rPr>
  </w:style>
  <w:style w:type="paragraph" w:customStyle="1" w:styleId="355">
    <w:name w:val="表格 23"/>
    <w:basedOn w:val="1"/>
    <w:autoRedefine/>
    <w:qFormat/>
    <w:uiPriority w:val="0"/>
    <w:pPr>
      <w:spacing w:beforeLines="50" w:line="300" w:lineRule="auto"/>
      <w:jc w:val="center"/>
    </w:pPr>
  </w:style>
  <w:style w:type="paragraph" w:customStyle="1" w:styleId="356">
    <w:name w:val="首行缩进两字 Char Char Char Char"/>
    <w:basedOn w:val="1"/>
    <w:autoRedefine/>
    <w:qFormat/>
    <w:uiPriority w:val="0"/>
    <w:pPr>
      <w:ind w:firstLine="549" w:firstLineChars="200"/>
    </w:pPr>
    <w:rPr>
      <w:rFonts w:ascii="宋体" w:hAnsi="宋体"/>
      <w:color w:val="000000"/>
      <w:kern w:val="0"/>
      <w:sz w:val="28"/>
      <w:szCs w:val="20"/>
    </w:rPr>
  </w:style>
  <w:style w:type="paragraph" w:customStyle="1" w:styleId="357">
    <w:name w:val="正文首行缩进1 Char Char Char1 Char Char Char Char Char Char Char Char Char Char"/>
    <w:basedOn w:val="1"/>
    <w:next w:val="82"/>
    <w:autoRedefine/>
    <w:semiHidden/>
    <w:qFormat/>
    <w:uiPriority w:val="0"/>
    <w:rPr>
      <w:sz w:val="30"/>
    </w:rPr>
  </w:style>
  <w:style w:type="paragraph" w:customStyle="1" w:styleId="358">
    <w:name w:val="表头名称"/>
    <w:basedOn w:val="20"/>
    <w:autoRedefine/>
    <w:qFormat/>
    <w:uiPriority w:val="0"/>
    <w:pPr>
      <w:autoSpaceDE w:val="0"/>
      <w:autoSpaceDN w:val="0"/>
      <w:spacing w:before="156" w:beforeLines="50" w:line="360" w:lineRule="auto"/>
      <w:ind w:firstLine="0" w:firstLineChars="0"/>
      <w:jc w:val="center"/>
    </w:pPr>
    <w:rPr>
      <w:rFonts w:ascii="Times New Roman" w:hAnsi="宋体" w:eastAsia="宋体"/>
      <w:b/>
      <w:kern w:val="0"/>
      <w:sz w:val="21"/>
      <w:szCs w:val="21"/>
    </w:rPr>
  </w:style>
  <w:style w:type="paragraph" w:customStyle="1" w:styleId="359">
    <w:name w:val="Char1"/>
    <w:basedOn w:val="5"/>
    <w:autoRedefine/>
    <w:qFormat/>
    <w:uiPriority w:val="0"/>
    <w:pPr>
      <w:tabs>
        <w:tab w:val="left" w:pos="360"/>
        <w:tab w:val="left" w:pos="900"/>
      </w:tabs>
      <w:adjustRightInd/>
      <w:snapToGrid w:val="0"/>
      <w:spacing w:before="120" w:beforeLines="0" w:after="120" w:afterLines="0"/>
      <w:ind w:left="542" w:leftChars="-12" w:firstLine="200" w:firstLineChars="200"/>
    </w:pPr>
    <w:rPr>
      <w:b/>
      <w:bCs w:val="0"/>
      <w:snapToGrid w:val="0"/>
      <w:szCs w:val="24"/>
    </w:rPr>
  </w:style>
  <w:style w:type="paragraph" w:customStyle="1" w:styleId="360">
    <w:name w:val="标题03 Char"/>
    <w:basedOn w:val="1"/>
    <w:next w:val="1"/>
    <w:autoRedefine/>
    <w:qFormat/>
    <w:uiPriority w:val="0"/>
    <w:pPr>
      <w:spacing w:line="480" w:lineRule="atLeast"/>
      <w:ind w:firstLine="480"/>
    </w:pPr>
    <w:rPr>
      <w:b/>
      <w:sz w:val="24"/>
    </w:rPr>
  </w:style>
  <w:style w:type="paragraph" w:customStyle="1" w:styleId="361">
    <w:name w:val="样式 样式 样式 标题 1 + 居中 左侧:  0 厘米 首行缩进:  0 厘米 段前: 0.5 行 段后: 0.5 行 行距:..."/>
    <w:basedOn w:val="1"/>
    <w:autoRedefine/>
    <w:qFormat/>
    <w:uiPriority w:val="0"/>
    <w:pPr>
      <w:keepNext/>
      <w:keepLines/>
      <w:adjustRightInd w:val="0"/>
      <w:spacing w:before="156" w:beforeLines="50" w:after="156" w:afterLines="50" w:line="480" w:lineRule="exact"/>
      <w:jc w:val="center"/>
      <w:textAlignment w:val="baseline"/>
    </w:pPr>
    <w:rPr>
      <w:rFonts w:ascii="黑体" w:eastAsia="黑体" w:cs="宋体"/>
      <w:b/>
      <w:kern w:val="44"/>
      <w:sz w:val="32"/>
      <w:szCs w:val="20"/>
    </w:rPr>
  </w:style>
  <w:style w:type="paragraph" w:customStyle="1" w:styleId="362">
    <w:name w:val="电镀正文"/>
    <w:basedOn w:val="20"/>
    <w:autoRedefine/>
    <w:qFormat/>
    <w:uiPriority w:val="0"/>
    <w:pPr>
      <w:spacing w:line="312" w:lineRule="auto"/>
    </w:pPr>
    <w:rPr>
      <w:rFonts w:ascii="宋体" w:hAnsi="宋体"/>
      <w:sz w:val="24"/>
    </w:rPr>
  </w:style>
  <w:style w:type="paragraph" w:customStyle="1" w:styleId="363">
    <w:name w:val="表中正文"/>
    <w:basedOn w:val="1"/>
    <w:autoRedefine/>
    <w:qFormat/>
    <w:uiPriority w:val="0"/>
    <w:pPr>
      <w:tabs>
        <w:tab w:val="left" w:pos="7320"/>
        <w:tab w:val="left" w:pos="8160"/>
      </w:tabs>
      <w:adjustRightInd w:val="0"/>
      <w:spacing w:line="440" w:lineRule="exact"/>
      <w:ind w:left="-107" w:leftChars="-51" w:right="-107" w:rightChars="-51"/>
      <w:jc w:val="center"/>
      <w:textAlignment w:val="baseline"/>
    </w:pPr>
    <w:rPr>
      <w:rFonts w:ascii="宋体"/>
      <w:spacing w:val="6"/>
      <w:kern w:val="0"/>
      <w:szCs w:val="20"/>
    </w:rPr>
  </w:style>
  <w:style w:type="paragraph" w:customStyle="1" w:styleId="364">
    <w:name w:val="段落 Char1"/>
    <w:basedOn w:val="1"/>
    <w:autoRedefine/>
    <w:qFormat/>
    <w:uiPriority w:val="0"/>
    <w:pPr>
      <w:tabs>
        <w:tab w:val="left" w:pos="7200"/>
      </w:tabs>
      <w:spacing w:line="500" w:lineRule="exact"/>
      <w:ind w:firstLine="578"/>
    </w:pPr>
    <w:rPr>
      <w:sz w:val="28"/>
      <w:szCs w:val="28"/>
    </w:rPr>
  </w:style>
  <w:style w:type="paragraph" w:customStyle="1" w:styleId="365">
    <w:name w:val="xl27"/>
    <w:basedOn w:val="1"/>
    <w:autoRedefine/>
    <w:semiHidden/>
    <w:qFormat/>
    <w:uiPriority w:val="0"/>
    <w:pPr>
      <w:pBdr>
        <w:bottom w:val="single" w:color="auto" w:sz="12" w:space="0"/>
        <w:right w:val="single" w:color="auto" w:sz="12" w:space="0"/>
      </w:pBdr>
      <w:spacing w:before="100" w:beforeAutospacing="1" w:after="100" w:afterAutospacing="1"/>
      <w:jc w:val="center"/>
      <w:textAlignment w:val="center"/>
    </w:pPr>
    <w:rPr>
      <w:rFonts w:ascii="Arial Unicode MS" w:hAnsi="Arial Unicode MS" w:eastAsia="Arial Unicode MS" w:cs="Arial Unicode MS"/>
      <w:kern w:val="0"/>
    </w:rPr>
  </w:style>
  <w:style w:type="paragraph" w:customStyle="1" w:styleId="366">
    <w:name w:val="注2"/>
    <w:basedOn w:val="287"/>
    <w:autoRedefine/>
    <w:semiHidden/>
    <w:qFormat/>
    <w:uiPriority w:val="0"/>
    <w:pPr>
      <w:spacing w:before="156" w:beforeLines="50" w:line="240" w:lineRule="exact"/>
    </w:pPr>
  </w:style>
  <w:style w:type="paragraph" w:customStyle="1" w:styleId="367">
    <w:name w:val="段落 Char Char"/>
    <w:basedOn w:val="1"/>
    <w:autoRedefine/>
    <w:qFormat/>
    <w:uiPriority w:val="0"/>
    <w:pPr>
      <w:tabs>
        <w:tab w:val="left" w:pos="7200"/>
      </w:tabs>
      <w:spacing w:line="500" w:lineRule="exact"/>
      <w:ind w:firstLine="600"/>
    </w:pPr>
    <w:rPr>
      <w:rFonts w:ascii="宋体" w:hAnsi="宋体"/>
      <w:sz w:val="28"/>
      <w:szCs w:val="28"/>
    </w:rPr>
  </w:style>
  <w:style w:type="paragraph" w:customStyle="1" w:styleId="368">
    <w:name w:val="表格式2"/>
    <w:basedOn w:val="1"/>
    <w:autoRedefine/>
    <w:semiHidden/>
    <w:qFormat/>
    <w:uiPriority w:val="0"/>
    <w:pPr>
      <w:spacing w:before="156" w:beforeLines="50" w:after="156" w:afterLines="50" w:line="240" w:lineRule="exact"/>
    </w:pPr>
    <w:rPr>
      <w:color w:val="000000"/>
    </w:rPr>
  </w:style>
  <w:style w:type="paragraph" w:customStyle="1" w:styleId="369">
    <w:name w:val="文本"/>
    <w:basedOn w:val="1"/>
    <w:autoRedefine/>
    <w:qFormat/>
    <w:uiPriority w:val="0"/>
    <w:pPr>
      <w:spacing w:line="500" w:lineRule="exact"/>
      <w:ind w:firstLine="480" w:firstLineChars="200"/>
    </w:pPr>
    <w:rPr>
      <w:sz w:val="24"/>
      <w:szCs w:val="20"/>
    </w:rPr>
  </w:style>
  <w:style w:type="paragraph" w:customStyle="1" w:styleId="370">
    <w:name w:val="Char Char Char Char Char Char Char Char Char1 Char Char Char Char Char Char Char Char Char Char"/>
    <w:basedOn w:val="1"/>
    <w:autoRedefine/>
    <w:semiHidden/>
    <w:qFormat/>
    <w:uiPriority w:val="0"/>
    <w:rPr>
      <w:rFonts w:ascii="宋体" w:hAnsi="宋体" w:cs="Courier New"/>
      <w:sz w:val="32"/>
      <w:szCs w:val="32"/>
    </w:rPr>
  </w:style>
  <w:style w:type="paragraph" w:customStyle="1" w:styleId="371">
    <w:name w:val="陆晶 表中正文居中"/>
    <w:autoRedefine/>
    <w:semiHidden/>
    <w:qFormat/>
    <w:uiPriority w:val="0"/>
    <w:pPr>
      <w:widowControl w:val="0"/>
      <w:tabs>
        <w:tab w:val="left" w:pos="1279"/>
      </w:tabs>
      <w:adjustRightInd w:val="0"/>
      <w:snapToGrid w:val="0"/>
      <w:jc w:val="center"/>
    </w:pPr>
    <w:rPr>
      <w:rFonts w:ascii="宋体" w:hAnsi="Times New Roman" w:eastAsia="宋体" w:cs="Times New Roman"/>
      <w:kern w:val="2"/>
      <w:sz w:val="21"/>
      <w:lang w:val="en-US" w:eastAsia="zh-CN" w:bidi="ar-SA"/>
    </w:rPr>
  </w:style>
  <w:style w:type="paragraph" w:customStyle="1" w:styleId="372">
    <w:name w:val="表注"/>
    <w:basedOn w:val="43"/>
    <w:autoRedefine/>
    <w:semiHidden/>
    <w:qFormat/>
    <w:uiPriority w:val="0"/>
    <w:pPr>
      <w:spacing w:before="156" w:beforeLines="50" w:line="240" w:lineRule="exact"/>
      <w:ind w:left="420" w:hanging="420" w:hangingChars="200"/>
    </w:pPr>
    <w:rPr>
      <w:rFonts w:hAnsi="宋体" w:cs="Courier New"/>
      <w:szCs w:val="21"/>
    </w:rPr>
  </w:style>
  <w:style w:type="paragraph" w:customStyle="1" w:styleId="373">
    <w:name w:val="正文表"/>
    <w:basedOn w:val="1"/>
    <w:autoRedefine/>
    <w:qFormat/>
    <w:uiPriority w:val="0"/>
    <w:pPr>
      <w:tabs>
        <w:tab w:val="left" w:pos="0"/>
      </w:tabs>
      <w:spacing w:line="440" w:lineRule="exact"/>
      <w:jc w:val="center"/>
    </w:pPr>
    <w:rPr>
      <w:rFonts w:ascii="宋体" w:hAnsi="宋体" w:cs="宋体"/>
      <w:kern w:val="0"/>
      <w:szCs w:val="24"/>
    </w:rPr>
  </w:style>
  <w:style w:type="paragraph" w:customStyle="1" w:styleId="374">
    <w:name w:val="图题注"/>
    <w:basedOn w:val="21"/>
    <w:autoRedefine/>
    <w:qFormat/>
    <w:uiPriority w:val="0"/>
    <w:pPr>
      <w:spacing w:line="520" w:lineRule="exact"/>
    </w:pPr>
    <w:rPr>
      <w:kern w:val="0"/>
      <w:sz w:val="24"/>
    </w:rPr>
  </w:style>
  <w:style w:type="paragraph" w:customStyle="1" w:styleId="375">
    <w:name w:val="三级标题"/>
    <w:basedOn w:val="1"/>
    <w:next w:val="274"/>
    <w:autoRedefine/>
    <w:qFormat/>
    <w:uiPriority w:val="0"/>
    <w:pPr>
      <w:adjustRightInd w:val="0"/>
      <w:snapToGrid w:val="0"/>
      <w:jc w:val="center"/>
    </w:pPr>
    <w:rPr>
      <w:bCs/>
      <w:sz w:val="24"/>
      <w:szCs w:val="20"/>
    </w:rPr>
  </w:style>
  <w:style w:type="paragraph" w:customStyle="1" w:styleId="376">
    <w:name w:val="样式 样式 标题 2 + 段前: 0.5 行 段后: 0.5 行1 + 段前: 0.5 行 段后: 0.5 行"/>
    <w:basedOn w:val="4"/>
    <w:next w:val="4"/>
    <w:autoRedefine/>
    <w:qFormat/>
    <w:uiPriority w:val="0"/>
    <w:pPr>
      <w:spacing w:before="156" w:after="156"/>
    </w:pPr>
  </w:style>
  <w:style w:type="paragraph" w:customStyle="1" w:styleId="377">
    <w:name w:val="Table Paragraph"/>
    <w:basedOn w:val="1"/>
    <w:autoRedefine/>
    <w:qFormat/>
    <w:uiPriority w:val="1"/>
  </w:style>
  <w:style w:type="paragraph" w:customStyle="1" w:styleId="378">
    <w:name w:val="段落 Char"/>
    <w:basedOn w:val="1"/>
    <w:autoRedefine/>
    <w:qFormat/>
    <w:uiPriority w:val="0"/>
    <w:pPr>
      <w:spacing w:line="500" w:lineRule="exact"/>
      <w:ind w:firstLine="600"/>
    </w:pPr>
    <w:rPr>
      <w:rFonts w:ascii="宋体"/>
      <w:szCs w:val="28"/>
    </w:rPr>
  </w:style>
  <w:style w:type="paragraph" w:customStyle="1" w:styleId="379">
    <w:name w:val="已有表格"/>
    <w:basedOn w:val="1"/>
    <w:autoRedefine/>
    <w:qFormat/>
    <w:uiPriority w:val="0"/>
    <w:pPr>
      <w:adjustRightInd w:val="0"/>
      <w:spacing w:before="40" w:after="40"/>
      <w:jc w:val="center"/>
    </w:pPr>
    <w:rPr>
      <w:b/>
      <w:kern w:val="0"/>
      <w:sz w:val="24"/>
      <w:szCs w:val="20"/>
    </w:rPr>
  </w:style>
  <w:style w:type="paragraph" w:customStyle="1" w:styleId="380">
    <w:name w:val="正文文本缩进 21"/>
    <w:basedOn w:val="1"/>
    <w:autoRedefine/>
    <w:qFormat/>
    <w:uiPriority w:val="0"/>
    <w:pPr>
      <w:spacing w:after="120" w:line="480" w:lineRule="auto"/>
      <w:ind w:left="420" w:leftChars="200"/>
    </w:pPr>
  </w:style>
  <w:style w:type="paragraph" w:customStyle="1" w:styleId="381">
    <w:name w:val="页末正文"/>
    <w:basedOn w:val="1"/>
    <w:autoRedefine/>
    <w:semiHidden/>
    <w:qFormat/>
    <w:uiPriority w:val="0"/>
    <w:pPr>
      <w:spacing w:after="240" w:line="480" w:lineRule="exact"/>
      <w:ind w:firstLine="560" w:firstLineChars="200"/>
    </w:pPr>
    <w:rPr>
      <w:rFonts w:eastAsia="楷体_GB2312"/>
      <w:color w:val="000000"/>
      <w:sz w:val="28"/>
      <w:szCs w:val="20"/>
    </w:rPr>
  </w:style>
  <w:style w:type="paragraph" w:customStyle="1" w:styleId="382">
    <w:name w:val="表格01"/>
    <w:basedOn w:val="1"/>
    <w:autoRedefine/>
    <w:qFormat/>
    <w:uiPriority w:val="0"/>
    <w:pPr>
      <w:adjustRightInd w:val="0"/>
      <w:snapToGrid w:val="0"/>
      <w:ind w:firstLine="200" w:firstLineChars="200"/>
      <w:jc w:val="center"/>
    </w:pPr>
    <w:rPr>
      <w:sz w:val="24"/>
      <w:szCs w:val="20"/>
    </w:rPr>
  </w:style>
  <w:style w:type="paragraph" w:customStyle="1" w:styleId="383">
    <w:name w:val="表头2"/>
    <w:basedOn w:val="304"/>
    <w:autoRedefine/>
    <w:semiHidden/>
    <w:qFormat/>
    <w:uiPriority w:val="0"/>
    <w:pPr>
      <w:tabs>
        <w:tab w:val="left" w:pos="2520"/>
      </w:tabs>
      <w:adjustRightInd/>
      <w:snapToGrid/>
      <w:spacing w:before="120"/>
      <w:outlineLvl w:val="0"/>
    </w:pPr>
    <w:rPr>
      <w:b/>
      <w:spacing w:val="4"/>
      <w:position w:val="10"/>
    </w:rPr>
  </w:style>
  <w:style w:type="paragraph" w:customStyle="1" w:styleId="384">
    <w:name w:val="表格标题"/>
    <w:basedOn w:val="1"/>
    <w:next w:val="1"/>
    <w:autoRedefine/>
    <w:qFormat/>
    <w:uiPriority w:val="0"/>
    <w:pPr>
      <w:adjustRightInd w:val="0"/>
      <w:jc w:val="center"/>
    </w:pPr>
    <w:rPr>
      <w:rFonts w:hAnsi="宋体"/>
      <w:b/>
      <w:color w:val="000000"/>
    </w:rPr>
  </w:style>
  <w:style w:type="paragraph" w:customStyle="1" w:styleId="385">
    <w:name w:val="样式 样式 标题 2 + (西文) Times New Roman (中文) 宋体 小四 黑色 首行缩进:  0.85 厘米....."/>
    <w:basedOn w:val="1"/>
    <w:autoRedefine/>
    <w:qFormat/>
    <w:uiPriority w:val="0"/>
    <w:pPr>
      <w:keepNext/>
      <w:keepLines/>
      <w:adjustRightInd w:val="0"/>
      <w:spacing w:before="50" w:beforeLines="50" w:after="50" w:afterLines="50" w:line="360" w:lineRule="auto"/>
      <w:outlineLvl w:val="1"/>
    </w:pPr>
    <w:rPr>
      <w:rFonts w:eastAsia="黑体" w:cs="宋体"/>
      <w:color w:val="000000"/>
      <w:sz w:val="32"/>
      <w:szCs w:val="20"/>
    </w:rPr>
  </w:style>
  <w:style w:type="paragraph" w:customStyle="1" w:styleId="386">
    <w:name w:val="WPSOffice手动目录 2"/>
    <w:autoRedefine/>
    <w:qFormat/>
    <w:uiPriority w:val="0"/>
    <w:pPr>
      <w:ind w:left="200" w:leftChars="200"/>
    </w:pPr>
    <w:rPr>
      <w:rFonts w:ascii="Times New Roman" w:hAnsi="Times New Roman" w:eastAsia="宋体" w:cs="Times New Roman"/>
      <w:lang w:val="en-US" w:eastAsia="zh-CN" w:bidi="ar-SA"/>
    </w:rPr>
  </w:style>
  <w:style w:type="paragraph" w:customStyle="1" w:styleId="387">
    <w:name w:val="Char Char1 Char Char Char Char Char Char Char Char Char Char Char Char Char Char Char Char Char Char Char Char1 Char"/>
    <w:basedOn w:val="1"/>
    <w:autoRedefine/>
    <w:qFormat/>
    <w:uiPriority w:val="0"/>
    <w:pPr>
      <w:spacing w:line="360" w:lineRule="auto"/>
      <w:ind w:firstLine="200" w:firstLineChars="200"/>
    </w:pPr>
    <w:rPr>
      <w:rFonts w:ascii="宋体" w:hAnsi="宋体" w:cs="宋体"/>
      <w:sz w:val="24"/>
    </w:rPr>
  </w:style>
  <w:style w:type="paragraph" w:customStyle="1" w:styleId="388">
    <w:name w:val="表中正文内容"/>
    <w:basedOn w:val="1"/>
    <w:autoRedefine/>
    <w:semiHidden/>
    <w:qFormat/>
    <w:uiPriority w:val="0"/>
    <w:pPr>
      <w:adjustRightInd w:val="0"/>
      <w:spacing w:line="480" w:lineRule="exact"/>
      <w:ind w:firstLine="560" w:firstLineChars="200"/>
      <w:textAlignment w:val="baseline"/>
    </w:pPr>
    <w:rPr>
      <w:sz w:val="28"/>
      <w:szCs w:val="20"/>
    </w:rPr>
  </w:style>
  <w:style w:type="paragraph" w:customStyle="1" w:styleId="389">
    <w:name w:val="章标题"/>
    <w:next w:val="5"/>
    <w:autoRedefine/>
    <w:semiHidden/>
    <w:qFormat/>
    <w:uiPriority w:val="0"/>
    <w:pPr>
      <w:tabs>
        <w:tab w:val="left" w:pos="840"/>
      </w:tabs>
      <w:spacing w:before="50" w:after="50"/>
      <w:ind w:left="840" w:hanging="420"/>
      <w:jc w:val="both"/>
      <w:outlineLvl w:val="1"/>
    </w:pPr>
    <w:rPr>
      <w:rFonts w:ascii="黑体" w:hAnsi="Times New Roman" w:eastAsia="黑体" w:cs="Times New Roman"/>
      <w:sz w:val="21"/>
      <w:lang w:val="en-US" w:eastAsia="zh-CN" w:bidi="ar-SA"/>
    </w:rPr>
  </w:style>
  <w:style w:type="paragraph" w:customStyle="1" w:styleId="390">
    <w:name w:val="~大编号"/>
    <w:basedOn w:val="1"/>
    <w:autoRedefine/>
    <w:qFormat/>
    <w:uiPriority w:val="0"/>
    <w:pPr>
      <w:tabs>
        <w:tab w:val="left" w:pos="1800"/>
      </w:tabs>
      <w:ind w:left="1800" w:hanging="720"/>
    </w:pPr>
  </w:style>
  <w:style w:type="paragraph" w:customStyle="1" w:styleId="391">
    <w:name w:val="注3"/>
    <w:basedOn w:val="287"/>
    <w:autoRedefine/>
    <w:semiHidden/>
    <w:qFormat/>
    <w:uiPriority w:val="0"/>
    <w:pPr>
      <w:spacing w:before="156" w:beforeLines="50" w:line="240" w:lineRule="exact"/>
    </w:pPr>
    <w:rPr>
      <w:rFonts w:ascii="宋体" w:hAnsi="宋体"/>
    </w:rPr>
  </w:style>
  <w:style w:type="paragraph" w:customStyle="1" w:styleId="392">
    <w:name w:val="表格式 Char"/>
    <w:basedOn w:val="1"/>
    <w:autoRedefine/>
    <w:semiHidden/>
    <w:qFormat/>
    <w:uiPriority w:val="0"/>
    <w:pPr>
      <w:spacing w:before="156" w:beforeLines="50" w:after="156" w:afterLines="50" w:line="240" w:lineRule="exact"/>
      <w:jc w:val="center"/>
    </w:pPr>
  </w:style>
  <w:style w:type="paragraph" w:customStyle="1" w:styleId="393">
    <w:name w:val="陆晶 标题3"/>
    <w:basedOn w:val="1"/>
    <w:autoRedefine/>
    <w:semiHidden/>
    <w:qFormat/>
    <w:uiPriority w:val="0"/>
    <w:pPr>
      <w:keepNext/>
      <w:keepLines/>
      <w:tabs>
        <w:tab w:val="left" w:pos="747"/>
      </w:tabs>
      <w:spacing w:before="240" w:after="120" w:line="480" w:lineRule="exact"/>
      <w:ind w:left="747" w:hanging="567"/>
      <w:outlineLvl w:val="2"/>
    </w:pPr>
    <w:rPr>
      <w:rFonts w:ascii="ˎ̥" w:hAnsi="ˎ̥"/>
      <w:b/>
      <w:bCs/>
      <w:sz w:val="28"/>
      <w:szCs w:val="28"/>
    </w:rPr>
  </w:style>
  <w:style w:type="paragraph" w:customStyle="1" w:styleId="394">
    <w:name w:val="样式 宋体 五号 居中 行距: 单倍行距"/>
    <w:basedOn w:val="1"/>
    <w:autoRedefine/>
    <w:qFormat/>
    <w:uiPriority w:val="0"/>
    <w:pPr>
      <w:jc w:val="center"/>
    </w:pPr>
    <w:rPr>
      <w:kern w:val="0"/>
    </w:rPr>
  </w:style>
  <w:style w:type="paragraph" w:customStyle="1" w:styleId="395">
    <w:name w:val="列出段落1"/>
    <w:basedOn w:val="1"/>
    <w:autoRedefine/>
    <w:qFormat/>
    <w:uiPriority w:val="0"/>
    <w:pPr>
      <w:ind w:firstLine="420" w:firstLineChars="200"/>
    </w:pPr>
    <w:rPr>
      <w:rFonts w:ascii="Calibri" w:hAnsi="Calibri"/>
      <w:szCs w:val="22"/>
    </w:rPr>
  </w:style>
  <w:style w:type="paragraph" w:customStyle="1" w:styleId="396">
    <w:name w:val="样式 标题 3 + 段前: 0.5 行 段后: 0.5 行2"/>
    <w:basedOn w:val="5"/>
    <w:autoRedefine/>
    <w:qFormat/>
    <w:uiPriority w:val="0"/>
    <w:pPr>
      <w:tabs>
        <w:tab w:val="left" w:pos="0"/>
      </w:tabs>
    </w:pPr>
    <w:rPr>
      <w:rFonts w:cs="宋体"/>
      <w:bCs w:val="0"/>
      <w:szCs w:val="20"/>
    </w:rPr>
  </w:style>
  <w:style w:type="paragraph" w:customStyle="1" w:styleId="397">
    <w:name w:val="样式 标题 3 + 段前: 0.5 行 段后: 0.5 行"/>
    <w:basedOn w:val="5"/>
    <w:autoRedefine/>
    <w:qFormat/>
    <w:uiPriority w:val="0"/>
    <w:pPr>
      <w:tabs>
        <w:tab w:val="left" w:pos="0"/>
      </w:tabs>
    </w:pPr>
    <w:rPr>
      <w:rFonts w:cs="宋体"/>
      <w:bCs w:val="0"/>
      <w:szCs w:val="20"/>
    </w:rPr>
  </w:style>
  <w:style w:type="paragraph" w:customStyle="1" w:styleId="398">
    <w:name w:val="纯文本1"/>
    <w:basedOn w:val="1"/>
    <w:autoRedefine/>
    <w:qFormat/>
    <w:uiPriority w:val="0"/>
    <w:rPr>
      <w:rFonts w:ascii="宋体" w:hAnsi="Courier New"/>
      <w:szCs w:val="20"/>
    </w:rPr>
  </w:style>
  <w:style w:type="paragraph" w:customStyle="1" w:styleId="399">
    <w:name w:val="日期1"/>
    <w:basedOn w:val="1"/>
    <w:next w:val="1"/>
    <w:autoRedefine/>
    <w:qFormat/>
    <w:uiPriority w:val="0"/>
    <w:rPr>
      <w:rFonts w:ascii="Plotter" w:hAnsi="Plotter"/>
      <w:szCs w:val="20"/>
    </w:rPr>
  </w:style>
  <w:style w:type="paragraph" w:customStyle="1" w:styleId="400">
    <w:name w:val="注居中"/>
    <w:basedOn w:val="287"/>
    <w:autoRedefine/>
    <w:semiHidden/>
    <w:qFormat/>
    <w:uiPriority w:val="0"/>
    <w:pPr>
      <w:spacing w:before="120" w:after="120" w:line="240" w:lineRule="exact"/>
      <w:jc w:val="center"/>
    </w:pPr>
    <w:rPr>
      <w:rFonts w:ascii="黑体" w:eastAsia="黑体"/>
      <w:kern w:val="0"/>
    </w:rPr>
  </w:style>
  <w:style w:type="paragraph" w:customStyle="1" w:styleId="401">
    <w:name w:val="Char11"/>
    <w:basedOn w:val="1"/>
    <w:autoRedefine/>
    <w:qFormat/>
    <w:uiPriority w:val="0"/>
    <w:pPr>
      <w:snapToGrid w:val="0"/>
      <w:spacing w:line="360" w:lineRule="auto"/>
      <w:ind w:firstLine="529" w:firstLineChars="200"/>
    </w:pPr>
    <w:rPr>
      <w:rFonts w:ascii="宋体" w:hAnsi="宋体"/>
      <w:b/>
    </w:rPr>
  </w:style>
  <w:style w:type="paragraph" w:customStyle="1" w:styleId="402">
    <w:name w:val="Document"/>
    <w:basedOn w:val="1"/>
    <w:autoRedefine/>
    <w:qFormat/>
    <w:uiPriority w:val="0"/>
    <w:pPr>
      <w:jc w:val="center"/>
    </w:pPr>
    <w:rPr>
      <w:rFonts w:ascii="Financial  (MF)" w:hAnsi="Financial  (MF)"/>
      <w:kern w:val="0"/>
      <w:sz w:val="24"/>
      <w:szCs w:val="20"/>
      <w:lang w:eastAsia="en-US"/>
    </w:rPr>
  </w:style>
  <w:style w:type="paragraph" w:customStyle="1" w:styleId="403">
    <w:name w:val="Char Char Char Char Char Char Char Char Char Char Char Char2 Char Char Char Char Char Char Char"/>
    <w:basedOn w:val="1"/>
    <w:autoRedefine/>
    <w:semiHidden/>
    <w:qFormat/>
    <w:uiPriority w:val="0"/>
    <w:rPr>
      <w:sz w:val="24"/>
    </w:rPr>
  </w:style>
  <w:style w:type="paragraph" w:customStyle="1" w:styleId="404">
    <w:name w:val="xl54"/>
    <w:basedOn w:val="1"/>
    <w:autoRedefine/>
    <w:qFormat/>
    <w:uiPriority w:val="0"/>
    <w:pPr>
      <w:pBdr>
        <w:left w:val="single" w:color="auto" w:sz="4" w:space="0"/>
        <w:bottom w:val="single" w:color="auto" w:sz="4" w:space="0"/>
        <w:right w:val="single" w:color="auto" w:sz="4" w:space="0"/>
      </w:pBdr>
      <w:spacing w:before="100" w:beforeAutospacing="1" w:after="100" w:afterAutospacing="1"/>
      <w:jc w:val="center"/>
      <w:textAlignment w:val="top"/>
    </w:pPr>
    <w:rPr>
      <w:rFonts w:hint="eastAsia" w:ascii="楷体_GB2312" w:hAnsi="宋体" w:eastAsia="楷体_GB2312"/>
      <w:kern w:val="0"/>
      <w:sz w:val="24"/>
    </w:rPr>
  </w:style>
  <w:style w:type="paragraph" w:customStyle="1" w:styleId="405">
    <w:name w:val="表格2"/>
    <w:basedOn w:val="1"/>
    <w:autoRedefine/>
    <w:qFormat/>
    <w:uiPriority w:val="0"/>
    <w:pPr>
      <w:spacing w:line="320" w:lineRule="exact"/>
      <w:jc w:val="center"/>
    </w:pPr>
    <w:rPr>
      <w:sz w:val="24"/>
      <w:szCs w:val="28"/>
    </w:rPr>
  </w:style>
  <w:style w:type="paragraph" w:customStyle="1" w:styleId="406">
    <w:name w:val="正文文本 21"/>
    <w:basedOn w:val="1"/>
    <w:autoRedefine/>
    <w:qFormat/>
    <w:uiPriority w:val="0"/>
    <w:pPr>
      <w:overflowPunct w:val="0"/>
      <w:autoSpaceDE w:val="0"/>
      <w:autoSpaceDN w:val="0"/>
      <w:adjustRightInd w:val="0"/>
      <w:spacing w:line="360" w:lineRule="auto"/>
      <w:ind w:firstLine="425"/>
      <w:textAlignment w:val="baseline"/>
    </w:pPr>
    <w:rPr>
      <w:sz w:val="24"/>
      <w:szCs w:val="20"/>
    </w:rPr>
  </w:style>
  <w:style w:type="paragraph" w:customStyle="1" w:styleId="407">
    <w:name w:val="陆晶 标题1"/>
    <w:basedOn w:val="1"/>
    <w:autoRedefine/>
    <w:semiHidden/>
    <w:qFormat/>
    <w:uiPriority w:val="0"/>
    <w:pPr>
      <w:tabs>
        <w:tab w:val="left" w:pos="-426"/>
      </w:tabs>
      <w:spacing w:before="480" w:after="240" w:line="480" w:lineRule="exact"/>
      <w:ind w:left="2835" w:hanging="2835"/>
      <w:jc w:val="center"/>
      <w:outlineLvl w:val="0"/>
    </w:pPr>
    <w:rPr>
      <w:rFonts w:ascii="Arial" w:hAnsi="Arial" w:cs="Arial"/>
      <w:b/>
      <w:bCs/>
      <w:kern w:val="0"/>
      <w:sz w:val="32"/>
      <w:szCs w:val="32"/>
    </w:rPr>
  </w:style>
  <w:style w:type="paragraph" w:customStyle="1" w:styleId="408">
    <w:name w:val="表中正文居中"/>
    <w:autoRedefine/>
    <w:qFormat/>
    <w:uiPriority w:val="0"/>
    <w:pPr>
      <w:spacing w:before="120" w:after="120" w:line="240" w:lineRule="atLeast"/>
      <w:jc w:val="center"/>
    </w:pPr>
    <w:rPr>
      <w:rFonts w:ascii="宋体" w:hAnsi="Times New Roman" w:eastAsia="宋体" w:cs="Times New Roman"/>
      <w:kern w:val="2"/>
      <w:sz w:val="21"/>
      <w:lang w:val="en-US" w:eastAsia="zh-CN" w:bidi="ar-SA"/>
    </w:rPr>
  </w:style>
  <w:style w:type="paragraph" w:customStyle="1" w:styleId="409">
    <w:name w:val="xl22"/>
    <w:basedOn w:val="1"/>
    <w:autoRedefine/>
    <w:qFormat/>
    <w:uiPriority w:val="0"/>
    <w:pPr>
      <w:spacing w:before="100" w:after="100"/>
      <w:jc w:val="center"/>
    </w:pPr>
    <w:rPr>
      <w:kern w:val="0"/>
      <w:sz w:val="24"/>
    </w:rPr>
  </w:style>
  <w:style w:type="paragraph" w:customStyle="1" w:styleId="410">
    <w:name w:val="样式 报告书正文 小四 行距: 固定值 24 磅 + 首行缩进:  2 字符"/>
    <w:basedOn w:val="1"/>
    <w:autoRedefine/>
    <w:qFormat/>
    <w:uiPriority w:val="0"/>
    <w:pPr>
      <w:spacing w:line="500" w:lineRule="exact"/>
      <w:ind w:firstLine="480" w:firstLineChars="200"/>
    </w:pPr>
    <w:rPr>
      <w:rFonts w:hAnsi="宋体" w:cs="宋体"/>
      <w:sz w:val="24"/>
    </w:rPr>
  </w:style>
  <w:style w:type="paragraph" w:customStyle="1" w:styleId="411">
    <w:name w:val="报告表正文"/>
    <w:basedOn w:val="1"/>
    <w:autoRedefine/>
    <w:qFormat/>
    <w:uiPriority w:val="0"/>
    <w:pPr>
      <w:adjustRightInd w:val="0"/>
      <w:spacing w:line="312" w:lineRule="auto"/>
      <w:ind w:left="113" w:right="113" w:firstLine="482"/>
      <w:textAlignment w:val="baseline"/>
    </w:pPr>
    <w:rPr>
      <w:kern w:val="0"/>
      <w:sz w:val="24"/>
      <w:szCs w:val="20"/>
    </w:rPr>
  </w:style>
  <w:style w:type="paragraph" w:customStyle="1" w:styleId="412">
    <w:name w:val="样式 正文缩进表正文正文非缩进段1Body Text(ch)缩进ALT+Z特点四号正文不缩进标题4正文2..."/>
    <w:basedOn w:val="20"/>
    <w:autoRedefine/>
    <w:qFormat/>
    <w:uiPriority w:val="0"/>
    <w:pPr>
      <w:spacing w:line="480" w:lineRule="exact"/>
      <w:ind w:firstLine="480"/>
    </w:pPr>
    <w:rPr>
      <w:b/>
      <w:bCs/>
      <w:snapToGrid w:val="0"/>
      <w:kern w:val="28"/>
      <w:sz w:val="24"/>
      <w:szCs w:val="24"/>
    </w:rPr>
  </w:style>
  <w:style w:type="paragraph" w:customStyle="1" w:styleId="413">
    <w:name w:val="Char Char Char Char11"/>
    <w:basedOn w:val="1"/>
    <w:autoRedefine/>
    <w:semiHidden/>
    <w:qFormat/>
    <w:uiPriority w:val="0"/>
    <w:rPr>
      <w:sz w:val="30"/>
      <w:szCs w:val="32"/>
    </w:rPr>
  </w:style>
  <w:style w:type="paragraph" w:customStyle="1" w:styleId="414">
    <w:name w:val="正文首行缩进1 Char Char Char1 Char Char Char Char"/>
    <w:basedOn w:val="1"/>
    <w:next w:val="82"/>
    <w:autoRedefine/>
    <w:semiHidden/>
    <w:qFormat/>
    <w:uiPriority w:val="0"/>
    <w:rPr>
      <w:sz w:val="28"/>
    </w:rPr>
  </w:style>
  <w:style w:type="paragraph" w:customStyle="1" w:styleId="415">
    <w:name w:val="xl34"/>
    <w:basedOn w:val="1"/>
    <w:autoRedefine/>
    <w:qFormat/>
    <w:uiPriority w:val="0"/>
    <w:pPr>
      <w:pBdr>
        <w:left w:val="single" w:color="auto" w:sz="4" w:space="0"/>
      </w:pBdr>
      <w:spacing w:before="100" w:beforeAutospacing="1" w:after="100" w:afterAutospacing="1"/>
      <w:jc w:val="center"/>
    </w:pPr>
    <w:rPr>
      <w:rFonts w:ascii="宋体" w:hAnsi="宋体" w:cs="宋体"/>
      <w:kern w:val="0"/>
      <w:sz w:val="24"/>
    </w:rPr>
  </w:style>
  <w:style w:type="paragraph" w:customStyle="1" w:styleId="416">
    <w:name w:val="WPSOffice手动目录 1"/>
    <w:autoRedefine/>
    <w:qFormat/>
    <w:uiPriority w:val="0"/>
    <w:rPr>
      <w:rFonts w:ascii="Times New Roman" w:hAnsi="Times New Roman" w:eastAsia="宋体" w:cs="Times New Roman"/>
      <w:lang w:val="en-US" w:eastAsia="zh-CN" w:bidi="ar-SA"/>
    </w:rPr>
  </w:style>
  <w:style w:type="paragraph" w:customStyle="1" w:styleId="417">
    <w:name w:val="样式 标题 2 + 段前: 6 磅 段后: 6 磅 行距: 多倍行距 1.4 字行"/>
    <w:basedOn w:val="4"/>
    <w:autoRedefine/>
    <w:qFormat/>
    <w:uiPriority w:val="0"/>
    <w:pPr>
      <w:spacing w:after="120"/>
    </w:pPr>
    <w:rPr>
      <w:rFonts w:eastAsia="宋体"/>
      <w:b/>
      <w:sz w:val="32"/>
    </w:rPr>
  </w:style>
  <w:style w:type="paragraph" w:customStyle="1" w:styleId="418">
    <w:name w:val="河石管道 表格文字小五6"/>
    <w:autoRedefine/>
    <w:qFormat/>
    <w:uiPriority w:val="0"/>
    <w:pPr>
      <w:widowControl w:val="0"/>
      <w:tabs>
        <w:tab w:val="left" w:pos="0"/>
        <w:tab w:val="left" w:pos="1659"/>
        <w:tab w:val="left" w:pos="2517"/>
      </w:tabs>
      <w:adjustRightInd w:val="0"/>
      <w:spacing w:line="0" w:lineRule="atLeast"/>
      <w:ind w:firstLine="31" w:firstLineChars="17"/>
      <w:jc w:val="both"/>
      <w:textAlignment w:val="baseline"/>
    </w:pPr>
    <w:rPr>
      <w:rFonts w:ascii="Times New Roman" w:hAnsi="Times New Roman" w:eastAsia="宋体" w:cs="Times New Roman"/>
      <w:color w:val="FF0000"/>
      <w:sz w:val="18"/>
      <w:szCs w:val="18"/>
      <w:lang w:val="en-US" w:eastAsia="zh-CN" w:bidi="ar-SA"/>
    </w:rPr>
  </w:style>
  <w:style w:type="paragraph" w:customStyle="1" w:styleId="419">
    <w:name w:val="表头标准格式"/>
    <w:basedOn w:val="181"/>
    <w:autoRedefine/>
    <w:semiHidden/>
    <w:qFormat/>
    <w:uiPriority w:val="0"/>
    <w:rPr>
      <w:b/>
      <w:bCs/>
    </w:rPr>
  </w:style>
  <w:style w:type="table" w:customStyle="1" w:styleId="420">
    <w:name w:val="网格型1"/>
    <w:basedOn w:val="83"/>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21">
    <w:name w:val="鸿达表格文字"/>
    <w:basedOn w:val="1"/>
    <w:autoRedefine/>
    <w:qFormat/>
    <w:uiPriority w:val="0"/>
    <w:pPr>
      <w:contextualSpacing/>
      <w:jc w:val="center"/>
      <w:textAlignment w:val="baseline"/>
    </w:pPr>
    <w:rPr>
      <w:kern w:val="0"/>
    </w:rPr>
  </w:style>
  <w:style w:type="paragraph" w:customStyle="1" w:styleId="422">
    <w:name w:val="鸿达表头"/>
    <w:basedOn w:val="1"/>
    <w:link w:val="423"/>
    <w:autoRedefine/>
    <w:qFormat/>
    <w:uiPriority w:val="0"/>
    <w:pPr>
      <w:spacing w:beforeLines="100" w:afterLines="50"/>
      <w:ind w:firstLine="200" w:firstLineChars="200"/>
    </w:pPr>
    <w:rPr>
      <w:b/>
      <w:sz w:val="24"/>
      <w:szCs w:val="24"/>
    </w:rPr>
  </w:style>
  <w:style w:type="character" w:customStyle="1" w:styleId="423">
    <w:name w:val="鸿达表头 Char"/>
    <w:link w:val="422"/>
    <w:autoRedefine/>
    <w:qFormat/>
    <w:uiPriority w:val="0"/>
    <w:rPr>
      <w:b/>
      <w:kern w:val="2"/>
      <w:sz w:val="24"/>
      <w:szCs w:val="24"/>
    </w:rPr>
  </w:style>
  <w:style w:type="paragraph" w:customStyle="1" w:styleId="424">
    <w:name w:val="鸿达表加粗"/>
    <w:basedOn w:val="1"/>
    <w:autoRedefine/>
    <w:qFormat/>
    <w:uiPriority w:val="0"/>
    <w:pPr>
      <w:jc w:val="center"/>
    </w:pPr>
    <w:rPr>
      <w:rFonts w:cs="宋体"/>
      <w:b/>
      <w:color w:val="000000"/>
      <w:szCs w:val="20"/>
    </w:rPr>
  </w:style>
  <w:style w:type="paragraph" w:customStyle="1" w:styleId="425">
    <w:name w:val="表内 定"/>
    <w:basedOn w:val="1"/>
    <w:link w:val="426"/>
    <w:autoRedefine/>
    <w:qFormat/>
    <w:uiPriority w:val="0"/>
    <w:rPr>
      <w:rFonts w:eastAsia="仿宋"/>
      <w:snapToGrid w:val="0"/>
      <w:color w:val="000000"/>
      <w:kern w:val="0"/>
      <w:sz w:val="20"/>
      <w:szCs w:val="22"/>
    </w:rPr>
  </w:style>
  <w:style w:type="character" w:customStyle="1" w:styleId="426">
    <w:name w:val="表内 定 Char"/>
    <w:link w:val="425"/>
    <w:autoRedefine/>
    <w:qFormat/>
    <w:uiPriority w:val="0"/>
    <w:rPr>
      <w:rFonts w:eastAsia="仿宋"/>
      <w:snapToGrid w:val="0"/>
      <w:color w:val="000000"/>
      <w:szCs w:val="22"/>
    </w:rPr>
  </w:style>
  <w:style w:type="paragraph" w:customStyle="1" w:styleId="427">
    <w:name w:val="表内"/>
    <w:basedOn w:val="1"/>
    <w:autoRedefine/>
    <w:qFormat/>
    <w:uiPriority w:val="99"/>
    <w:pPr>
      <w:framePr w:hSpace="180" w:wrap="around" w:vAnchor="page" w:hAnchor="margin" w:y="1411"/>
    </w:pPr>
    <w:rPr>
      <w:rFonts w:ascii="宋体" w:hAnsi="宋体" w:eastAsia="仿宋"/>
      <w:kern w:val="0"/>
      <w:sz w:val="20"/>
      <w:szCs w:val="20"/>
    </w:rPr>
  </w:style>
  <w:style w:type="character" w:customStyle="1" w:styleId="428">
    <w:name w:val="5文章(治) Char1"/>
    <w:link w:val="429"/>
    <w:autoRedefine/>
    <w:qFormat/>
    <w:uiPriority w:val="0"/>
    <w:rPr>
      <w:color w:val="000000"/>
      <w:sz w:val="24"/>
    </w:rPr>
  </w:style>
  <w:style w:type="paragraph" w:customStyle="1" w:styleId="429">
    <w:name w:val="5文章(治)"/>
    <w:basedOn w:val="1"/>
    <w:link w:val="428"/>
    <w:autoRedefine/>
    <w:qFormat/>
    <w:uiPriority w:val="0"/>
    <w:pPr>
      <w:spacing w:line="360" w:lineRule="auto"/>
      <w:ind w:firstLine="560" w:firstLineChars="200"/>
    </w:pPr>
    <w:rPr>
      <w:color w:val="000000"/>
      <w:kern w:val="0"/>
      <w:sz w:val="24"/>
      <w:szCs w:val="20"/>
    </w:rPr>
  </w:style>
  <w:style w:type="paragraph" w:customStyle="1" w:styleId="430">
    <w:name w:val="表头样式1"/>
    <w:basedOn w:val="1"/>
    <w:autoRedefine/>
    <w:qFormat/>
    <w:uiPriority w:val="0"/>
    <w:pPr>
      <w:widowControl w:val="0"/>
      <w:adjustRightInd w:val="0"/>
      <w:snapToGrid w:val="0"/>
      <w:jc w:val="center"/>
    </w:pPr>
    <w:rPr>
      <w:rFonts w:ascii="Calibri" w:hAnsi="Calibri" w:eastAsia="楷体_GB2312"/>
      <w:bCs/>
      <w:sz w:val="18"/>
      <w:szCs w:val="18"/>
    </w:rPr>
  </w:style>
  <w:style w:type="character" w:customStyle="1" w:styleId="431">
    <w:name w:val="标题 4 Char"/>
    <w:link w:val="6"/>
    <w:autoRedefine/>
    <w:qFormat/>
    <w:uiPriority w:val="0"/>
    <w:rPr>
      <w:rFonts w:ascii="Arial" w:hAnsi="Arial" w:eastAsia="黑体"/>
      <w:b/>
      <w:bCs/>
      <w:kern w:val="2"/>
      <w:sz w:val="28"/>
      <w:szCs w:val="28"/>
    </w:rPr>
  </w:style>
  <w:style w:type="character" w:customStyle="1" w:styleId="432">
    <w:name w:val="标题 5 Char"/>
    <w:link w:val="7"/>
    <w:autoRedefine/>
    <w:qFormat/>
    <w:uiPriority w:val="0"/>
    <w:rPr>
      <w:b/>
      <w:bCs/>
      <w:kern w:val="2"/>
      <w:sz w:val="28"/>
      <w:szCs w:val="28"/>
    </w:rPr>
  </w:style>
  <w:style w:type="character" w:customStyle="1" w:styleId="433">
    <w:name w:val="标题 6 Char"/>
    <w:link w:val="8"/>
    <w:autoRedefine/>
    <w:qFormat/>
    <w:uiPriority w:val="0"/>
    <w:rPr>
      <w:rFonts w:ascii="Arial" w:hAnsi="Arial" w:eastAsia="黑体"/>
      <w:b/>
      <w:bCs/>
      <w:kern w:val="2"/>
      <w:sz w:val="24"/>
      <w:szCs w:val="21"/>
    </w:rPr>
  </w:style>
  <w:style w:type="character" w:customStyle="1" w:styleId="434">
    <w:name w:val="标题 7 Char"/>
    <w:link w:val="9"/>
    <w:autoRedefine/>
    <w:qFormat/>
    <w:uiPriority w:val="0"/>
    <w:rPr>
      <w:b/>
      <w:bCs/>
      <w:kern w:val="2"/>
      <w:sz w:val="24"/>
      <w:szCs w:val="21"/>
    </w:rPr>
  </w:style>
  <w:style w:type="character" w:customStyle="1" w:styleId="435">
    <w:name w:val="标题 8 Char"/>
    <w:link w:val="10"/>
    <w:autoRedefine/>
    <w:qFormat/>
    <w:uiPriority w:val="0"/>
    <w:rPr>
      <w:rFonts w:ascii="Arial" w:hAnsi="Arial" w:eastAsia="黑体"/>
      <w:kern w:val="2"/>
      <w:sz w:val="24"/>
      <w:szCs w:val="21"/>
    </w:rPr>
  </w:style>
  <w:style w:type="character" w:customStyle="1" w:styleId="436">
    <w:name w:val="标题 9 Char"/>
    <w:link w:val="11"/>
    <w:autoRedefine/>
    <w:qFormat/>
    <w:uiPriority w:val="0"/>
    <w:rPr>
      <w:rFonts w:ascii="Arial" w:hAnsi="Arial" w:eastAsia="黑体"/>
      <w:kern w:val="2"/>
      <w:sz w:val="21"/>
      <w:szCs w:val="21"/>
    </w:rPr>
  </w:style>
  <w:style w:type="character" w:customStyle="1" w:styleId="437">
    <w:name w:val="页眉 Char1"/>
    <w:autoRedefine/>
    <w:semiHidden/>
    <w:qFormat/>
    <w:uiPriority w:val="99"/>
    <w:rPr>
      <w:kern w:val="2"/>
      <w:sz w:val="18"/>
      <w:szCs w:val="18"/>
    </w:rPr>
  </w:style>
  <w:style w:type="character" w:customStyle="1" w:styleId="438">
    <w:name w:val="正文文本缩进 Char1"/>
    <w:autoRedefine/>
    <w:semiHidden/>
    <w:qFormat/>
    <w:uiPriority w:val="99"/>
    <w:rPr>
      <w:kern w:val="2"/>
      <w:sz w:val="21"/>
      <w:szCs w:val="21"/>
    </w:rPr>
  </w:style>
  <w:style w:type="character" w:customStyle="1" w:styleId="439">
    <w:name w:val="页脚 Char1"/>
    <w:autoRedefine/>
    <w:semiHidden/>
    <w:qFormat/>
    <w:uiPriority w:val="99"/>
    <w:rPr>
      <w:kern w:val="2"/>
      <w:sz w:val="18"/>
      <w:szCs w:val="18"/>
    </w:rPr>
  </w:style>
  <w:style w:type="character" w:customStyle="1" w:styleId="440">
    <w:name w:val="正文文本 Char2"/>
    <w:autoRedefine/>
    <w:semiHidden/>
    <w:qFormat/>
    <w:uiPriority w:val="0"/>
    <w:rPr>
      <w:kern w:val="2"/>
      <w:sz w:val="21"/>
      <w:szCs w:val="21"/>
    </w:rPr>
  </w:style>
  <w:style w:type="character" w:customStyle="1" w:styleId="441">
    <w:name w:val="正文首行缩进 Char1"/>
    <w:link w:val="82"/>
    <w:autoRedefine/>
    <w:qFormat/>
    <w:uiPriority w:val="0"/>
    <w:rPr>
      <w:kern w:val="2"/>
      <w:sz w:val="21"/>
      <w:szCs w:val="24"/>
      <w:lang w:val="zh-CN" w:eastAsia="zh-CN"/>
    </w:rPr>
  </w:style>
  <w:style w:type="character" w:customStyle="1" w:styleId="442">
    <w:name w:val="正文首行缩进 2 Char1"/>
    <w:autoRedefine/>
    <w:semiHidden/>
    <w:qFormat/>
    <w:uiPriority w:val="99"/>
  </w:style>
  <w:style w:type="character" w:customStyle="1" w:styleId="443">
    <w:name w:val="HTML 地址 Char"/>
    <w:link w:val="39"/>
    <w:autoRedefine/>
    <w:semiHidden/>
    <w:qFormat/>
    <w:uiPriority w:val="0"/>
    <w:rPr>
      <w:i/>
      <w:iCs/>
      <w:kern w:val="2"/>
      <w:sz w:val="21"/>
      <w:szCs w:val="21"/>
    </w:rPr>
  </w:style>
  <w:style w:type="character" w:customStyle="1" w:styleId="444">
    <w:name w:val="称呼 Char"/>
    <w:link w:val="28"/>
    <w:autoRedefine/>
    <w:semiHidden/>
    <w:qFormat/>
    <w:uiPriority w:val="0"/>
    <w:rPr>
      <w:kern w:val="2"/>
      <w:sz w:val="21"/>
      <w:szCs w:val="21"/>
    </w:rPr>
  </w:style>
  <w:style w:type="character" w:customStyle="1" w:styleId="445">
    <w:name w:val="正文文本缩进 2 Char1"/>
    <w:autoRedefine/>
    <w:semiHidden/>
    <w:qFormat/>
    <w:uiPriority w:val="99"/>
    <w:rPr>
      <w:kern w:val="2"/>
      <w:sz w:val="21"/>
      <w:szCs w:val="21"/>
    </w:rPr>
  </w:style>
  <w:style w:type="character" w:customStyle="1" w:styleId="446">
    <w:name w:val="纯文本 Char1"/>
    <w:autoRedefine/>
    <w:semiHidden/>
    <w:qFormat/>
    <w:uiPriority w:val="0"/>
    <w:rPr>
      <w:rFonts w:ascii="宋体" w:hAnsi="Courier New" w:cs="Courier New"/>
      <w:kern w:val="2"/>
      <w:sz w:val="21"/>
      <w:szCs w:val="21"/>
    </w:rPr>
  </w:style>
  <w:style w:type="character" w:customStyle="1" w:styleId="447">
    <w:name w:val="正文文本 2 Char"/>
    <w:link w:val="72"/>
    <w:autoRedefine/>
    <w:qFormat/>
    <w:uiPriority w:val="0"/>
    <w:rPr>
      <w:kern w:val="2"/>
      <w:sz w:val="21"/>
      <w:szCs w:val="21"/>
    </w:rPr>
  </w:style>
  <w:style w:type="character" w:customStyle="1" w:styleId="448">
    <w:name w:val="注释标题 Char"/>
    <w:link w:val="15"/>
    <w:autoRedefine/>
    <w:semiHidden/>
    <w:qFormat/>
    <w:uiPriority w:val="0"/>
    <w:rPr>
      <w:kern w:val="2"/>
      <w:sz w:val="21"/>
      <w:szCs w:val="21"/>
    </w:rPr>
  </w:style>
  <w:style w:type="character" w:customStyle="1" w:styleId="449">
    <w:name w:val="电子邮件签名 Char"/>
    <w:link w:val="18"/>
    <w:autoRedefine/>
    <w:semiHidden/>
    <w:qFormat/>
    <w:uiPriority w:val="0"/>
    <w:rPr>
      <w:kern w:val="2"/>
      <w:sz w:val="21"/>
      <w:szCs w:val="21"/>
    </w:rPr>
  </w:style>
  <w:style w:type="character" w:customStyle="1" w:styleId="450">
    <w:name w:val="副标题 Char"/>
    <w:link w:val="61"/>
    <w:autoRedefine/>
    <w:qFormat/>
    <w:uiPriority w:val="0"/>
    <w:rPr>
      <w:rFonts w:ascii="Arial" w:hAnsi="Arial" w:cs="Arial"/>
      <w:b/>
      <w:bCs/>
      <w:kern w:val="28"/>
      <w:sz w:val="32"/>
      <w:szCs w:val="32"/>
    </w:rPr>
  </w:style>
  <w:style w:type="character" w:customStyle="1" w:styleId="451">
    <w:name w:val="HTML 预设格式 Char"/>
    <w:link w:val="76"/>
    <w:autoRedefine/>
    <w:semiHidden/>
    <w:qFormat/>
    <w:uiPriority w:val="0"/>
    <w:rPr>
      <w:rFonts w:ascii="Courier New" w:hAnsi="Courier New" w:cs="Courier New"/>
      <w:kern w:val="2"/>
    </w:rPr>
  </w:style>
  <w:style w:type="character" w:customStyle="1" w:styleId="452">
    <w:name w:val="批注文字 Char1"/>
    <w:autoRedefine/>
    <w:semiHidden/>
    <w:qFormat/>
    <w:uiPriority w:val="99"/>
    <w:rPr>
      <w:kern w:val="2"/>
      <w:sz w:val="21"/>
      <w:szCs w:val="21"/>
    </w:rPr>
  </w:style>
  <w:style w:type="character" w:customStyle="1" w:styleId="453">
    <w:name w:val="正文文本缩进 3 Char1"/>
    <w:autoRedefine/>
    <w:semiHidden/>
    <w:qFormat/>
    <w:uiPriority w:val="99"/>
    <w:rPr>
      <w:kern w:val="2"/>
      <w:sz w:val="16"/>
      <w:szCs w:val="16"/>
    </w:rPr>
  </w:style>
  <w:style w:type="character" w:customStyle="1" w:styleId="454">
    <w:name w:val="批注主题 Char1"/>
    <w:autoRedefine/>
    <w:semiHidden/>
    <w:qFormat/>
    <w:uiPriority w:val="99"/>
    <w:rPr>
      <w:b/>
      <w:bCs/>
      <w:kern w:val="2"/>
      <w:sz w:val="21"/>
      <w:szCs w:val="21"/>
    </w:rPr>
  </w:style>
  <w:style w:type="character" w:customStyle="1" w:styleId="455">
    <w:name w:val="批注框文本 Char2"/>
    <w:autoRedefine/>
    <w:semiHidden/>
    <w:qFormat/>
    <w:uiPriority w:val="99"/>
    <w:rPr>
      <w:kern w:val="2"/>
      <w:sz w:val="18"/>
      <w:szCs w:val="18"/>
    </w:rPr>
  </w:style>
  <w:style w:type="character" w:customStyle="1" w:styleId="456">
    <w:name w:val="标题 Char2"/>
    <w:autoRedefine/>
    <w:qFormat/>
    <w:uiPriority w:val="10"/>
    <w:rPr>
      <w:rFonts w:ascii="Cambria" w:hAnsi="Cambria" w:cs="Times New Roman"/>
      <w:b/>
      <w:bCs/>
      <w:kern w:val="2"/>
      <w:sz w:val="32"/>
      <w:szCs w:val="32"/>
    </w:rPr>
  </w:style>
  <w:style w:type="character" w:customStyle="1" w:styleId="457">
    <w:name w:val="结束语 Char"/>
    <w:link w:val="30"/>
    <w:autoRedefine/>
    <w:semiHidden/>
    <w:qFormat/>
    <w:uiPriority w:val="0"/>
    <w:rPr>
      <w:kern w:val="2"/>
      <w:sz w:val="21"/>
      <w:szCs w:val="21"/>
    </w:rPr>
  </w:style>
  <w:style w:type="character" w:customStyle="1" w:styleId="458">
    <w:name w:val="签名 Char"/>
    <w:link w:val="55"/>
    <w:autoRedefine/>
    <w:semiHidden/>
    <w:qFormat/>
    <w:uiPriority w:val="0"/>
    <w:rPr>
      <w:kern w:val="2"/>
      <w:sz w:val="21"/>
      <w:szCs w:val="21"/>
    </w:rPr>
  </w:style>
  <w:style w:type="character" w:customStyle="1" w:styleId="459">
    <w:name w:val="日期 Char1"/>
    <w:autoRedefine/>
    <w:semiHidden/>
    <w:qFormat/>
    <w:uiPriority w:val="99"/>
    <w:rPr>
      <w:kern w:val="2"/>
      <w:sz w:val="21"/>
      <w:szCs w:val="21"/>
    </w:rPr>
  </w:style>
  <w:style w:type="character" w:customStyle="1" w:styleId="460">
    <w:name w:val="正文文本 3 Char"/>
    <w:link w:val="29"/>
    <w:autoRedefine/>
    <w:semiHidden/>
    <w:qFormat/>
    <w:uiPriority w:val="0"/>
    <w:rPr>
      <w:color w:val="0000FF"/>
      <w:kern w:val="2"/>
      <w:sz w:val="21"/>
      <w:szCs w:val="21"/>
    </w:rPr>
  </w:style>
  <w:style w:type="character" w:customStyle="1" w:styleId="461">
    <w:name w:val="信息标题 Char"/>
    <w:link w:val="75"/>
    <w:autoRedefine/>
    <w:semiHidden/>
    <w:qFormat/>
    <w:uiPriority w:val="0"/>
    <w:rPr>
      <w:rFonts w:ascii="Arial" w:hAnsi="Arial" w:cs="Arial"/>
      <w:kern w:val="2"/>
      <w:sz w:val="24"/>
      <w:szCs w:val="21"/>
      <w:shd w:val="pct20" w:color="auto" w:fill="auto"/>
    </w:rPr>
  </w:style>
  <w:style w:type="character" w:customStyle="1" w:styleId="462">
    <w:name w:val="文档结构图 Char1"/>
    <w:autoRedefine/>
    <w:semiHidden/>
    <w:qFormat/>
    <w:uiPriority w:val="99"/>
    <w:rPr>
      <w:rFonts w:ascii="宋体"/>
      <w:kern w:val="2"/>
      <w:sz w:val="18"/>
      <w:szCs w:val="18"/>
    </w:rPr>
  </w:style>
  <w:style w:type="paragraph" w:customStyle="1" w:styleId="463">
    <w:name w:val="纯文本3"/>
    <w:basedOn w:val="1"/>
    <w:autoRedefine/>
    <w:qFormat/>
    <w:uiPriority w:val="0"/>
    <w:pPr>
      <w:widowControl w:val="0"/>
      <w:adjustRightInd w:val="0"/>
      <w:spacing w:line="360" w:lineRule="auto"/>
      <w:ind w:firstLine="643" w:firstLineChars="200"/>
      <w:jc w:val="both"/>
      <w:textAlignment w:val="baseline"/>
    </w:pPr>
    <w:rPr>
      <w:kern w:val="0"/>
      <w:sz w:val="24"/>
      <w:szCs w:val="20"/>
    </w:rPr>
  </w:style>
  <w:style w:type="paragraph" w:customStyle="1" w:styleId="464">
    <w:name w:val="副标题1"/>
    <w:basedOn w:val="1"/>
    <w:next w:val="1"/>
    <w:autoRedefine/>
    <w:qFormat/>
    <w:uiPriority w:val="0"/>
    <w:pPr>
      <w:widowControl w:val="0"/>
      <w:adjustRightInd w:val="0"/>
      <w:snapToGrid w:val="0"/>
      <w:spacing w:before="240" w:after="480"/>
      <w:jc w:val="center"/>
      <w:textAlignment w:val="baseline"/>
    </w:pPr>
    <w:rPr>
      <w:rFonts w:ascii="Cambria" w:hAnsi="Cambria"/>
      <w:b/>
      <w:bCs/>
      <w:kern w:val="28"/>
      <w:sz w:val="48"/>
      <w:szCs w:val="32"/>
    </w:rPr>
  </w:style>
  <w:style w:type="character" w:customStyle="1" w:styleId="465">
    <w:name w:val="标题 2 Char1"/>
    <w:autoRedefine/>
    <w:qFormat/>
    <w:uiPriority w:val="0"/>
    <w:rPr>
      <w:rFonts w:ascii="Times New Roman" w:hAnsi="Times New Roman"/>
      <w:b/>
      <w:sz w:val="30"/>
    </w:rPr>
  </w:style>
  <w:style w:type="character" w:customStyle="1" w:styleId="466">
    <w:name w:val="标题 4 Char1"/>
    <w:autoRedefine/>
    <w:qFormat/>
    <w:uiPriority w:val="0"/>
    <w:rPr>
      <w:rFonts w:ascii="Times New Roman" w:hAnsi="Times New Roman"/>
      <w:b/>
      <w:snapToGrid w:val="0"/>
      <w:sz w:val="24"/>
    </w:rPr>
  </w:style>
  <w:style w:type="paragraph" w:customStyle="1" w:styleId="467">
    <w:name w:val="鸿达表格段落"/>
    <w:basedOn w:val="1"/>
    <w:autoRedefine/>
    <w:qFormat/>
    <w:uiPriority w:val="0"/>
    <w:pPr>
      <w:widowControl w:val="0"/>
      <w:adjustRightInd w:val="0"/>
      <w:snapToGrid w:val="0"/>
      <w:ind w:firstLine="100" w:firstLineChars="100"/>
    </w:pPr>
    <w:rPr>
      <w:snapToGrid w:val="0"/>
      <w:kern w:val="0"/>
      <w:szCs w:val="24"/>
    </w:rPr>
  </w:style>
  <w:style w:type="paragraph" w:customStyle="1" w:styleId="468">
    <w:name w:val="鸿达公式"/>
    <w:basedOn w:val="1"/>
    <w:autoRedefine/>
    <w:qFormat/>
    <w:uiPriority w:val="0"/>
    <w:pPr>
      <w:widowControl w:val="0"/>
      <w:spacing w:beforeLines="50"/>
      <w:jc w:val="center"/>
    </w:pPr>
    <w:rPr>
      <w:position w:val="-24"/>
      <w:sz w:val="24"/>
      <w:szCs w:val="28"/>
    </w:rPr>
  </w:style>
  <w:style w:type="paragraph" w:customStyle="1" w:styleId="469">
    <w:name w:val="鸿达图标"/>
    <w:basedOn w:val="1"/>
    <w:autoRedefine/>
    <w:qFormat/>
    <w:uiPriority w:val="0"/>
    <w:pPr>
      <w:widowControl w:val="0"/>
      <w:spacing w:line="520" w:lineRule="exact"/>
      <w:jc w:val="center"/>
    </w:pPr>
    <w:rPr>
      <w:rFonts w:eastAsia="黑体"/>
      <w:sz w:val="24"/>
      <w:szCs w:val="20"/>
    </w:rPr>
  </w:style>
  <w:style w:type="paragraph" w:customStyle="1" w:styleId="470">
    <w:name w:val="修订1"/>
    <w:autoRedefine/>
    <w:hidden/>
    <w:semiHidden/>
    <w:qFormat/>
    <w:uiPriority w:val="0"/>
    <w:rPr>
      <w:rFonts w:ascii="Times New Roman" w:hAnsi="Times New Roman" w:eastAsia="宋体" w:cs="Times New Roman"/>
      <w:kern w:val="2"/>
      <w:sz w:val="21"/>
      <w:lang w:val="en-US" w:eastAsia="zh-CN" w:bidi="ar-SA"/>
    </w:rPr>
  </w:style>
  <w:style w:type="paragraph" w:customStyle="1" w:styleId="471">
    <w:name w:val="偶数页页眉"/>
    <w:basedOn w:val="472"/>
    <w:autoRedefine/>
    <w:qFormat/>
    <w:uiPriority w:val="0"/>
    <w:pPr>
      <w:tabs>
        <w:tab w:val="center" w:pos="4153"/>
        <w:tab w:val="right" w:pos="8306"/>
      </w:tabs>
      <w:jc w:val="left"/>
    </w:pPr>
  </w:style>
  <w:style w:type="paragraph" w:customStyle="1" w:styleId="472">
    <w:name w:val="奇数页页眉"/>
    <w:basedOn w:val="1"/>
    <w:autoRedefine/>
    <w:qFormat/>
    <w:uiPriority w:val="0"/>
    <w:pPr>
      <w:widowControl w:val="0"/>
      <w:pBdr>
        <w:bottom w:val="single" w:color="auto" w:sz="6" w:space="1"/>
      </w:pBdr>
      <w:tabs>
        <w:tab w:val="center" w:pos="4153"/>
        <w:tab w:val="right" w:pos="8306"/>
      </w:tabs>
      <w:snapToGrid w:val="0"/>
      <w:spacing w:line="240" w:lineRule="atLeast"/>
      <w:jc w:val="right"/>
    </w:pPr>
    <w:rPr>
      <w:rFonts w:eastAsia="华文行楷"/>
      <w:sz w:val="18"/>
      <w:szCs w:val="18"/>
    </w:rPr>
  </w:style>
  <w:style w:type="paragraph" w:customStyle="1" w:styleId="473">
    <w:name w:val="Char"/>
    <w:basedOn w:val="1"/>
    <w:autoRedefine/>
    <w:semiHidden/>
    <w:qFormat/>
    <w:uiPriority w:val="0"/>
    <w:pPr>
      <w:spacing w:after="160" w:line="240" w:lineRule="exact"/>
    </w:pPr>
    <w:rPr>
      <w:rFonts w:ascii="Verdana" w:hAnsi="Verdana"/>
      <w:kern w:val="0"/>
      <w:sz w:val="20"/>
      <w:szCs w:val="20"/>
      <w:lang w:eastAsia="en-US"/>
    </w:rPr>
  </w:style>
  <w:style w:type="character" w:customStyle="1" w:styleId="474">
    <w:name w:val="纯文本 Char3"/>
    <w:autoRedefine/>
    <w:semiHidden/>
    <w:qFormat/>
    <w:uiPriority w:val="0"/>
    <w:rPr>
      <w:rFonts w:ascii="宋体" w:hAnsi="Courier New" w:cs="Courier New"/>
      <w:sz w:val="21"/>
      <w:szCs w:val="21"/>
    </w:rPr>
  </w:style>
  <w:style w:type="character" w:customStyle="1" w:styleId="475">
    <w:name w:val="日期 Char2"/>
    <w:autoRedefine/>
    <w:semiHidden/>
    <w:qFormat/>
    <w:uiPriority w:val="0"/>
    <w:rPr>
      <w:rFonts w:ascii="Times New Roman" w:hAnsi="Times New Roman"/>
      <w:sz w:val="24"/>
    </w:rPr>
  </w:style>
  <w:style w:type="paragraph" w:customStyle="1" w:styleId="476">
    <w:name w:val="简单回函地址"/>
    <w:basedOn w:val="1"/>
    <w:autoRedefine/>
    <w:qFormat/>
    <w:uiPriority w:val="0"/>
    <w:pPr>
      <w:widowControl w:val="0"/>
      <w:spacing w:line="520" w:lineRule="exact"/>
      <w:jc w:val="both"/>
    </w:pPr>
    <w:rPr>
      <w:rFonts w:ascii="宋体"/>
      <w:szCs w:val="24"/>
    </w:rPr>
  </w:style>
  <w:style w:type="character" w:customStyle="1" w:styleId="477">
    <w:name w:val="纯文本 Char2"/>
    <w:autoRedefine/>
    <w:semiHidden/>
    <w:qFormat/>
    <w:uiPriority w:val="0"/>
    <w:rPr>
      <w:rFonts w:ascii="宋体" w:hAnsi="Courier New" w:cs="Courier New"/>
      <w:sz w:val="21"/>
      <w:szCs w:val="21"/>
    </w:rPr>
  </w:style>
  <w:style w:type="table" w:customStyle="1" w:styleId="478">
    <w:name w:val="Table Normal"/>
    <w:autoRedefine/>
    <w:qFormat/>
    <w:uiPriority w:val="0"/>
    <w:pPr>
      <w:widowControl w:val="0"/>
    </w:pPr>
    <w:rPr>
      <w:rFonts w:ascii="Calibri" w:hAnsi="Calibri" w:eastAsia="Times New Roman"/>
      <w:sz w:val="22"/>
      <w:szCs w:val="22"/>
      <w:lang w:eastAsia="en-US"/>
    </w:rPr>
    <w:tblPr>
      <w:tblCellMar>
        <w:top w:w="0" w:type="dxa"/>
        <w:left w:w="0" w:type="dxa"/>
        <w:bottom w:w="0" w:type="dxa"/>
        <w:right w:w="0" w:type="dxa"/>
      </w:tblCellMar>
    </w:tblPr>
  </w:style>
  <w:style w:type="character" w:customStyle="1" w:styleId="479">
    <w:name w:val="副标题 Char1"/>
    <w:autoRedefine/>
    <w:qFormat/>
    <w:uiPriority w:val="11"/>
    <w:rPr>
      <w:rFonts w:ascii="Cambria" w:hAnsi="Cambria" w:eastAsia="宋体" w:cs="Times New Roman"/>
      <w:b/>
      <w:bCs/>
      <w:kern w:val="28"/>
      <w:sz w:val="32"/>
      <w:szCs w:val="32"/>
    </w:rPr>
  </w:style>
  <w:style w:type="paragraph" w:styleId="480">
    <w:name w:val="List Paragraph"/>
    <w:basedOn w:val="1"/>
    <w:link w:val="490"/>
    <w:autoRedefine/>
    <w:qFormat/>
    <w:uiPriority w:val="34"/>
    <w:pPr>
      <w:widowControl w:val="0"/>
      <w:ind w:firstLine="420" w:firstLineChars="200"/>
      <w:jc w:val="both"/>
    </w:pPr>
    <w:rPr>
      <w:rFonts w:ascii="Calibri" w:hAnsi="Calibri"/>
      <w:szCs w:val="22"/>
    </w:rPr>
  </w:style>
  <w:style w:type="table" w:customStyle="1" w:styleId="481">
    <w:name w:val="Table Normal1"/>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482">
    <w:name w:val="Table Normal2"/>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483">
    <w:name w:val="Table Normal3"/>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styleId="484">
    <w:name w:val="Placeholder Text"/>
    <w:autoRedefine/>
    <w:semiHidden/>
    <w:qFormat/>
    <w:uiPriority w:val="99"/>
    <w:rPr>
      <w:color w:val="808080"/>
    </w:rPr>
  </w:style>
  <w:style w:type="table" w:customStyle="1" w:styleId="485">
    <w:name w:val="网格型2"/>
    <w:basedOn w:val="8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86">
    <w:name w:val="TOC 标题1"/>
    <w:basedOn w:val="3"/>
    <w:next w:val="1"/>
    <w:autoRedefine/>
    <w:semiHidden/>
    <w:unhideWhenUsed/>
    <w:qFormat/>
    <w:uiPriority w:val="39"/>
    <w:pPr>
      <w:adjustRightInd/>
      <w:spacing w:before="480" w:after="0" w:line="276" w:lineRule="auto"/>
      <w:jc w:val="left"/>
      <w:outlineLvl w:val="9"/>
    </w:pPr>
    <w:rPr>
      <w:rFonts w:ascii="Cambria" w:hAnsi="Cambria" w:eastAsia="宋体"/>
      <w:b/>
      <w:color w:val="365F91"/>
      <w:kern w:val="0"/>
      <w:sz w:val="28"/>
      <w:szCs w:val="28"/>
    </w:rPr>
  </w:style>
  <w:style w:type="table" w:customStyle="1" w:styleId="487">
    <w:name w:val="网格型3"/>
    <w:basedOn w:val="83"/>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88">
    <w:name w:val="网格型11"/>
    <w:basedOn w:val="83"/>
    <w:autoRedefine/>
    <w:qFormat/>
    <w:uiPriority w:val="0"/>
    <w:pPr>
      <w:widowControl w:val="0"/>
      <w:jc w:val="both"/>
    </w:pPr>
    <w:rPr>
      <w:rFonts w:ascii="Calibri" w:hAnsi="Calibri" w:eastAsia="微软雅黑"/>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89">
    <w:name w:val="Table Normal4"/>
    <w:autoRedefine/>
    <w:semiHidden/>
    <w:qFormat/>
    <w:uiPriority w:val="2"/>
    <w:pPr>
      <w:widowControl w:val="0"/>
    </w:pPr>
    <w:rPr>
      <w:rFonts w:ascii="Calibri" w:hAnsi="Calibri" w:eastAsia="Times New Roman"/>
      <w:sz w:val="22"/>
      <w:szCs w:val="22"/>
      <w:lang w:eastAsia="en-US"/>
    </w:rPr>
    <w:tblPr>
      <w:tblCellMar>
        <w:top w:w="0" w:type="dxa"/>
        <w:left w:w="0" w:type="dxa"/>
        <w:bottom w:w="0" w:type="dxa"/>
        <w:right w:w="0" w:type="dxa"/>
      </w:tblCellMar>
    </w:tblPr>
  </w:style>
  <w:style w:type="character" w:customStyle="1" w:styleId="490">
    <w:name w:val="列出段落 Char"/>
    <w:link w:val="480"/>
    <w:autoRedefine/>
    <w:qFormat/>
    <w:uiPriority w:val="34"/>
    <w:rPr>
      <w:rFonts w:ascii="Calibri" w:hAnsi="Calibri"/>
      <w:kern w:val="2"/>
      <w:sz w:val="21"/>
      <w:szCs w:val="22"/>
    </w:rPr>
  </w:style>
  <w:style w:type="table" w:customStyle="1" w:styleId="491">
    <w:name w:val="网格型4"/>
    <w:basedOn w:val="8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92">
    <w:name w:val="表格正文"/>
    <w:basedOn w:val="1"/>
    <w:link w:val="493"/>
    <w:autoRedefine/>
    <w:qFormat/>
    <w:uiPriority w:val="0"/>
    <w:pPr>
      <w:widowControl w:val="0"/>
      <w:adjustRightInd w:val="0"/>
      <w:snapToGrid w:val="0"/>
      <w:spacing w:line="360" w:lineRule="auto"/>
      <w:jc w:val="center"/>
    </w:pPr>
    <w:rPr>
      <w:szCs w:val="24"/>
    </w:rPr>
  </w:style>
  <w:style w:type="character" w:customStyle="1" w:styleId="493">
    <w:name w:val="表格正文 Char"/>
    <w:link w:val="492"/>
    <w:autoRedefine/>
    <w:qFormat/>
    <w:uiPriority w:val="0"/>
    <w:rPr>
      <w:kern w:val="2"/>
      <w:sz w:val="21"/>
      <w:szCs w:val="24"/>
    </w:rPr>
  </w:style>
  <w:style w:type="paragraph" w:customStyle="1" w:styleId="494">
    <w:name w:val="表格头"/>
    <w:link w:val="495"/>
    <w:autoRedefine/>
    <w:qFormat/>
    <w:uiPriority w:val="0"/>
    <w:pPr>
      <w:spacing w:line="360" w:lineRule="auto"/>
      <w:ind w:firstLine="200" w:firstLineChars="200"/>
    </w:pPr>
    <w:rPr>
      <w:rFonts w:ascii="Times New Roman" w:hAnsi="Times New Roman" w:cs="Times New Roman" w:eastAsiaTheme="minorEastAsia"/>
      <w:b/>
      <w:snapToGrid w:val="0"/>
      <w:color w:val="000000"/>
      <w:spacing w:val="-4"/>
      <w:kern w:val="2"/>
      <w:sz w:val="24"/>
      <w:lang w:val="en-US" w:eastAsia="zh-CN" w:bidi="ar-SA"/>
    </w:rPr>
  </w:style>
  <w:style w:type="character" w:customStyle="1" w:styleId="495">
    <w:name w:val="表格头 Char"/>
    <w:link w:val="494"/>
    <w:autoRedefine/>
    <w:qFormat/>
    <w:uiPriority w:val="0"/>
    <w:rPr>
      <w:rFonts w:eastAsiaTheme="minorEastAsia"/>
      <w:b/>
      <w:snapToGrid w:val="0"/>
      <w:color w:val="000000"/>
      <w:spacing w:val="-4"/>
      <w:kern w:val="2"/>
      <w:sz w:val="24"/>
    </w:rPr>
  </w:style>
  <w:style w:type="paragraph" w:customStyle="1" w:styleId="496">
    <w:name w:val="Body text|1"/>
    <w:basedOn w:val="1"/>
    <w:autoRedefine/>
    <w:qFormat/>
    <w:uiPriority w:val="0"/>
    <w:pPr>
      <w:widowControl w:val="0"/>
      <w:shd w:val="clear" w:color="auto" w:fill="auto"/>
      <w:spacing w:line="451" w:lineRule="auto"/>
      <w:ind w:firstLine="400"/>
    </w:pPr>
    <w:rPr>
      <w:rFonts w:ascii="宋体" w:hAnsi="宋体" w:eastAsia="宋体" w:cs="宋体"/>
      <w:u w:val="none"/>
      <w:shd w:val="clear" w:color="auto" w:fill="auto"/>
      <w:lang w:val="zh-TW" w:eastAsia="zh-TW" w:bidi="zh-TW"/>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15.bin"/><Relationship Id="rId98" Type="http://schemas.openxmlformats.org/officeDocument/2006/relationships/oleObject" Target="embeddings/oleObject14.bin"/><Relationship Id="rId97" Type="http://schemas.openxmlformats.org/officeDocument/2006/relationships/oleObject" Target="embeddings/oleObject13.bin"/><Relationship Id="rId96" Type="http://schemas.openxmlformats.org/officeDocument/2006/relationships/image" Target="media/image49.png"/><Relationship Id="rId95" Type="http://schemas.openxmlformats.org/officeDocument/2006/relationships/oleObject" Target="embeddings/oleObject12.bin"/><Relationship Id="rId94" Type="http://schemas.openxmlformats.org/officeDocument/2006/relationships/image" Target="media/image48.png"/><Relationship Id="rId93" Type="http://schemas.openxmlformats.org/officeDocument/2006/relationships/image" Target="media/image47.jpeg"/><Relationship Id="rId92" Type="http://schemas.openxmlformats.org/officeDocument/2006/relationships/image" Target="media/image46.jpeg"/><Relationship Id="rId91" Type="http://schemas.openxmlformats.org/officeDocument/2006/relationships/image" Target="media/image45.jpeg"/><Relationship Id="rId90" Type="http://schemas.openxmlformats.org/officeDocument/2006/relationships/image" Target="media/image44.jpeg"/><Relationship Id="rId9" Type="http://schemas.openxmlformats.org/officeDocument/2006/relationships/footer" Target="footer5.xml"/><Relationship Id="rId89" Type="http://schemas.openxmlformats.org/officeDocument/2006/relationships/image" Target="media/image43.jpeg"/><Relationship Id="rId88" Type="http://schemas.openxmlformats.org/officeDocument/2006/relationships/image" Target="media/image42.jpeg"/><Relationship Id="rId87" Type="http://schemas.openxmlformats.org/officeDocument/2006/relationships/image" Target="media/image41.jpeg"/><Relationship Id="rId86" Type="http://schemas.openxmlformats.org/officeDocument/2006/relationships/image" Target="media/image40.png"/><Relationship Id="rId85" Type="http://schemas.openxmlformats.org/officeDocument/2006/relationships/image" Target="media/image39.png"/><Relationship Id="rId84" Type="http://schemas.openxmlformats.org/officeDocument/2006/relationships/image" Target="media/image38.png"/><Relationship Id="rId83" Type="http://schemas.openxmlformats.org/officeDocument/2006/relationships/image" Target="media/image37.png"/><Relationship Id="rId82" Type="http://schemas.openxmlformats.org/officeDocument/2006/relationships/image" Target="media/image36.png"/><Relationship Id="rId81" Type="http://schemas.openxmlformats.org/officeDocument/2006/relationships/image" Target="media/image35.png"/><Relationship Id="rId80" Type="http://schemas.openxmlformats.org/officeDocument/2006/relationships/image" Target="media/image34.jpeg"/><Relationship Id="rId8" Type="http://schemas.openxmlformats.org/officeDocument/2006/relationships/header" Target="header2.xml"/><Relationship Id="rId79" Type="http://schemas.openxmlformats.org/officeDocument/2006/relationships/image" Target="media/image33.jpeg"/><Relationship Id="rId78" Type="http://schemas.openxmlformats.org/officeDocument/2006/relationships/image" Target="media/image32.jpeg"/><Relationship Id="rId77" Type="http://schemas.openxmlformats.org/officeDocument/2006/relationships/image" Target="media/image31.png"/><Relationship Id="rId76" Type="http://schemas.openxmlformats.org/officeDocument/2006/relationships/oleObject" Target="embeddings/oleObject11.bin"/><Relationship Id="rId75" Type="http://schemas.openxmlformats.org/officeDocument/2006/relationships/image" Target="media/image30.png"/><Relationship Id="rId74" Type="http://schemas.openxmlformats.org/officeDocument/2006/relationships/oleObject" Target="embeddings/oleObject10.bin"/><Relationship Id="rId73" Type="http://schemas.openxmlformats.org/officeDocument/2006/relationships/image" Target="media/image29.png"/><Relationship Id="rId72" Type="http://schemas.openxmlformats.org/officeDocument/2006/relationships/oleObject" Target="embeddings/oleObject9.bin"/><Relationship Id="rId71" Type="http://schemas.openxmlformats.org/officeDocument/2006/relationships/image" Target="media/image28.png"/><Relationship Id="rId70" Type="http://schemas.openxmlformats.org/officeDocument/2006/relationships/oleObject" Target="embeddings/oleObject8.bin"/><Relationship Id="rId7" Type="http://schemas.openxmlformats.org/officeDocument/2006/relationships/footer" Target="footer4.xml"/><Relationship Id="rId69" Type="http://schemas.openxmlformats.org/officeDocument/2006/relationships/image" Target="media/image27.png"/><Relationship Id="rId68" Type="http://schemas.openxmlformats.org/officeDocument/2006/relationships/oleObject" Target="embeddings/oleObject7.bin"/><Relationship Id="rId67" Type="http://schemas.openxmlformats.org/officeDocument/2006/relationships/image" Target="media/image26.png"/><Relationship Id="rId66" Type="http://schemas.openxmlformats.org/officeDocument/2006/relationships/image" Target="media/image25.jpeg"/><Relationship Id="rId65" Type="http://schemas.openxmlformats.org/officeDocument/2006/relationships/image" Target="media/image24.jpeg"/><Relationship Id="rId64" Type="http://schemas.openxmlformats.org/officeDocument/2006/relationships/image" Target="media/image23.jpeg"/><Relationship Id="rId63" Type="http://schemas.openxmlformats.org/officeDocument/2006/relationships/image" Target="media/image22.jpeg"/><Relationship Id="rId62" Type="http://schemas.openxmlformats.org/officeDocument/2006/relationships/image" Target="media/image21.jpeg"/><Relationship Id="rId61" Type="http://schemas.openxmlformats.org/officeDocument/2006/relationships/image" Target="media/image20.png"/><Relationship Id="rId60" Type="http://schemas.openxmlformats.org/officeDocument/2006/relationships/oleObject" Target="embeddings/oleObject6.bin"/><Relationship Id="rId6" Type="http://schemas.openxmlformats.org/officeDocument/2006/relationships/footer" Target="footer3.xml"/><Relationship Id="rId59" Type="http://schemas.openxmlformats.org/officeDocument/2006/relationships/image" Target="media/image19.png"/><Relationship Id="rId58" Type="http://schemas.openxmlformats.org/officeDocument/2006/relationships/oleObject" Target="embeddings/oleObject5.bin"/><Relationship Id="rId57" Type="http://schemas.openxmlformats.org/officeDocument/2006/relationships/image" Target="media/image18.jpeg"/><Relationship Id="rId56" Type="http://schemas.openxmlformats.org/officeDocument/2006/relationships/oleObject" Target="embeddings/oleObject4.bin"/><Relationship Id="rId55" Type="http://schemas.openxmlformats.org/officeDocument/2006/relationships/image" Target="media/image17.jpeg"/><Relationship Id="rId54" Type="http://schemas.openxmlformats.org/officeDocument/2006/relationships/image" Target="media/image16.png"/><Relationship Id="rId53" Type="http://schemas.openxmlformats.org/officeDocument/2006/relationships/oleObject" Target="embeddings/oleObject3.bin"/><Relationship Id="rId52" Type="http://schemas.openxmlformats.org/officeDocument/2006/relationships/image" Target="media/image15.jpeg"/><Relationship Id="rId51" Type="http://schemas.openxmlformats.org/officeDocument/2006/relationships/image" Target="media/image14.png"/><Relationship Id="rId50" Type="http://schemas.openxmlformats.org/officeDocument/2006/relationships/oleObject" Target="embeddings/oleObject2.bin"/><Relationship Id="rId5" Type="http://schemas.openxmlformats.org/officeDocument/2006/relationships/footer" Target="footer2.xml"/><Relationship Id="rId49" Type="http://schemas.openxmlformats.org/officeDocument/2006/relationships/image" Target="media/image13.jpeg"/><Relationship Id="rId48" Type="http://schemas.openxmlformats.org/officeDocument/2006/relationships/image" Target="media/image12.png"/><Relationship Id="rId47" Type="http://schemas.openxmlformats.org/officeDocument/2006/relationships/oleObject" Target="embeddings/oleObject1.bin"/><Relationship Id="rId46" Type="http://schemas.openxmlformats.org/officeDocument/2006/relationships/image" Target="media/image11.png"/><Relationship Id="rId45" Type="http://schemas.openxmlformats.org/officeDocument/2006/relationships/image" Target="media/image10.png"/><Relationship Id="rId44" Type="http://schemas.openxmlformats.org/officeDocument/2006/relationships/image" Target="media/image9.png"/><Relationship Id="rId43" Type="http://schemas.openxmlformats.org/officeDocument/2006/relationships/image" Target="media/image8.png"/><Relationship Id="rId42" Type="http://schemas.openxmlformats.org/officeDocument/2006/relationships/image" Target="media/image7.png"/><Relationship Id="rId41" Type="http://schemas.openxmlformats.org/officeDocument/2006/relationships/image" Target="media/image6.png"/><Relationship Id="rId40" Type="http://schemas.openxmlformats.org/officeDocument/2006/relationships/image" Target="media/image5.png"/><Relationship Id="rId4" Type="http://schemas.openxmlformats.org/officeDocument/2006/relationships/footer" Target="footer1.xml"/><Relationship Id="rId39" Type="http://schemas.openxmlformats.org/officeDocument/2006/relationships/image" Target="media/image4.jpeg"/><Relationship Id="rId38" Type="http://schemas.openxmlformats.org/officeDocument/2006/relationships/image" Target="media/image3.jpeg"/><Relationship Id="rId37" Type="http://schemas.openxmlformats.org/officeDocument/2006/relationships/image" Target="media/image2.jpeg"/><Relationship Id="rId36" Type="http://schemas.openxmlformats.org/officeDocument/2006/relationships/image" Target="media/image1.jpeg"/><Relationship Id="rId35" Type="http://schemas.openxmlformats.org/officeDocument/2006/relationships/theme" Target="theme/theme1.xml"/><Relationship Id="rId34" Type="http://schemas.openxmlformats.org/officeDocument/2006/relationships/footer" Target="footer20.xml"/><Relationship Id="rId33" Type="http://schemas.openxmlformats.org/officeDocument/2006/relationships/header" Target="header12.xml"/><Relationship Id="rId32" Type="http://schemas.openxmlformats.org/officeDocument/2006/relationships/footer" Target="footer19.xml"/><Relationship Id="rId31" Type="http://schemas.openxmlformats.org/officeDocument/2006/relationships/footer" Target="footer18.xml"/><Relationship Id="rId30" Type="http://schemas.openxmlformats.org/officeDocument/2006/relationships/footer" Target="footer17.xml"/><Relationship Id="rId3" Type="http://schemas.openxmlformats.org/officeDocument/2006/relationships/header" Target="header1.xml"/><Relationship Id="rId29" Type="http://schemas.openxmlformats.org/officeDocument/2006/relationships/footer" Target="footer16.xml"/><Relationship Id="rId28" Type="http://schemas.openxmlformats.org/officeDocument/2006/relationships/header" Target="header11.xml"/><Relationship Id="rId27" Type="http://schemas.openxmlformats.org/officeDocument/2006/relationships/header" Target="header10.xml"/><Relationship Id="rId26" Type="http://schemas.openxmlformats.org/officeDocument/2006/relationships/footer" Target="footer15.xml"/><Relationship Id="rId256" Type="http://schemas.openxmlformats.org/officeDocument/2006/relationships/fontTable" Target="fontTable.xml"/><Relationship Id="rId255" Type="http://schemas.openxmlformats.org/officeDocument/2006/relationships/customXml" Target="../customXml/item2.xml"/><Relationship Id="rId254" Type="http://schemas.openxmlformats.org/officeDocument/2006/relationships/numbering" Target="numbering.xml"/><Relationship Id="rId253" Type="http://schemas.openxmlformats.org/officeDocument/2006/relationships/customXml" Target="../customXml/item1.xml"/><Relationship Id="rId252" Type="http://schemas.openxmlformats.org/officeDocument/2006/relationships/image" Target="media/image189.png"/><Relationship Id="rId251" Type="http://schemas.openxmlformats.org/officeDocument/2006/relationships/image" Target="media/image188.jpeg"/><Relationship Id="rId250" Type="http://schemas.openxmlformats.org/officeDocument/2006/relationships/image" Target="media/image187.png"/><Relationship Id="rId25" Type="http://schemas.openxmlformats.org/officeDocument/2006/relationships/footer" Target="footer14.xml"/><Relationship Id="rId249" Type="http://schemas.openxmlformats.org/officeDocument/2006/relationships/image" Target="media/image186.png"/><Relationship Id="rId248" Type="http://schemas.openxmlformats.org/officeDocument/2006/relationships/image" Target="media/image185.jpeg"/><Relationship Id="rId247" Type="http://schemas.openxmlformats.org/officeDocument/2006/relationships/image" Target="media/image184.jpeg"/><Relationship Id="rId246" Type="http://schemas.openxmlformats.org/officeDocument/2006/relationships/image" Target="media/image183.png"/><Relationship Id="rId245" Type="http://schemas.openxmlformats.org/officeDocument/2006/relationships/image" Target="media/image182.jpeg"/><Relationship Id="rId244" Type="http://schemas.openxmlformats.org/officeDocument/2006/relationships/image" Target="media/image181.jpeg"/><Relationship Id="rId243" Type="http://schemas.openxmlformats.org/officeDocument/2006/relationships/image" Target="media/image180.jpeg"/><Relationship Id="rId242" Type="http://schemas.openxmlformats.org/officeDocument/2006/relationships/image" Target="media/image179.jpeg"/><Relationship Id="rId241" Type="http://schemas.openxmlformats.org/officeDocument/2006/relationships/image" Target="media/image178.png"/><Relationship Id="rId240" Type="http://schemas.openxmlformats.org/officeDocument/2006/relationships/image" Target="media/image177.jpeg"/><Relationship Id="rId24" Type="http://schemas.openxmlformats.org/officeDocument/2006/relationships/footer" Target="footer13.xml"/><Relationship Id="rId239" Type="http://schemas.openxmlformats.org/officeDocument/2006/relationships/image" Target="media/image176.jpeg"/><Relationship Id="rId238" Type="http://schemas.openxmlformats.org/officeDocument/2006/relationships/image" Target="media/image175.png"/><Relationship Id="rId237" Type="http://schemas.openxmlformats.org/officeDocument/2006/relationships/image" Target="media/image174.png"/><Relationship Id="rId236" Type="http://schemas.openxmlformats.org/officeDocument/2006/relationships/image" Target="media/image173.png"/><Relationship Id="rId235" Type="http://schemas.openxmlformats.org/officeDocument/2006/relationships/image" Target="media/image172.jpeg"/><Relationship Id="rId234" Type="http://schemas.openxmlformats.org/officeDocument/2006/relationships/image" Target="media/image171.jpeg"/><Relationship Id="rId233" Type="http://schemas.openxmlformats.org/officeDocument/2006/relationships/image" Target="media/image170.jpeg"/><Relationship Id="rId232" Type="http://schemas.openxmlformats.org/officeDocument/2006/relationships/image" Target="media/image169.jpeg"/><Relationship Id="rId231" Type="http://schemas.openxmlformats.org/officeDocument/2006/relationships/image" Target="media/image168.jpeg"/><Relationship Id="rId230" Type="http://schemas.openxmlformats.org/officeDocument/2006/relationships/image" Target="media/image167.jpeg"/><Relationship Id="rId23" Type="http://schemas.openxmlformats.org/officeDocument/2006/relationships/footer" Target="footer12.xml"/><Relationship Id="rId229" Type="http://schemas.openxmlformats.org/officeDocument/2006/relationships/image" Target="media/image166.jpeg"/><Relationship Id="rId228" Type="http://schemas.openxmlformats.org/officeDocument/2006/relationships/image" Target="media/image165.jpeg"/><Relationship Id="rId227" Type="http://schemas.openxmlformats.org/officeDocument/2006/relationships/image" Target="media/image164.jpeg"/><Relationship Id="rId226" Type="http://schemas.openxmlformats.org/officeDocument/2006/relationships/image" Target="media/image163.jpeg"/><Relationship Id="rId225" Type="http://schemas.openxmlformats.org/officeDocument/2006/relationships/image" Target="media/image162.jpeg"/><Relationship Id="rId224" Type="http://schemas.openxmlformats.org/officeDocument/2006/relationships/image" Target="media/image161.jpeg"/><Relationship Id="rId223" Type="http://schemas.openxmlformats.org/officeDocument/2006/relationships/image" Target="media/image160.jpeg"/><Relationship Id="rId222" Type="http://schemas.openxmlformats.org/officeDocument/2006/relationships/image" Target="media/image159.jpeg"/><Relationship Id="rId221" Type="http://schemas.openxmlformats.org/officeDocument/2006/relationships/image" Target="media/image158.jpeg"/><Relationship Id="rId220" Type="http://schemas.openxmlformats.org/officeDocument/2006/relationships/image" Target="media/image157.jpeg"/><Relationship Id="rId22" Type="http://schemas.openxmlformats.org/officeDocument/2006/relationships/header" Target="header9.xml"/><Relationship Id="rId219" Type="http://schemas.openxmlformats.org/officeDocument/2006/relationships/image" Target="media/image156.jpeg"/><Relationship Id="rId218" Type="http://schemas.openxmlformats.org/officeDocument/2006/relationships/image" Target="media/image155.jpeg"/><Relationship Id="rId217" Type="http://schemas.openxmlformats.org/officeDocument/2006/relationships/image" Target="media/image154.jpeg"/><Relationship Id="rId216" Type="http://schemas.openxmlformats.org/officeDocument/2006/relationships/image" Target="media/image153.jpeg"/><Relationship Id="rId215" Type="http://schemas.openxmlformats.org/officeDocument/2006/relationships/image" Target="media/image152.jpeg"/><Relationship Id="rId214" Type="http://schemas.openxmlformats.org/officeDocument/2006/relationships/image" Target="media/image151.jpeg"/><Relationship Id="rId213" Type="http://schemas.openxmlformats.org/officeDocument/2006/relationships/image" Target="media/image150.jpeg"/><Relationship Id="rId212" Type="http://schemas.openxmlformats.org/officeDocument/2006/relationships/image" Target="media/image149.jpeg"/><Relationship Id="rId211" Type="http://schemas.openxmlformats.org/officeDocument/2006/relationships/image" Target="media/image148.jpeg"/><Relationship Id="rId210" Type="http://schemas.openxmlformats.org/officeDocument/2006/relationships/image" Target="media/image147.jpeg"/><Relationship Id="rId21" Type="http://schemas.openxmlformats.org/officeDocument/2006/relationships/footer" Target="footer11.xml"/><Relationship Id="rId209" Type="http://schemas.openxmlformats.org/officeDocument/2006/relationships/image" Target="media/image146.jpeg"/><Relationship Id="rId208" Type="http://schemas.openxmlformats.org/officeDocument/2006/relationships/image" Target="media/image145.jpeg"/><Relationship Id="rId207" Type="http://schemas.openxmlformats.org/officeDocument/2006/relationships/image" Target="media/image144.jpeg"/><Relationship Id="rId206" Type="http://schemas.openxmlformats.org/officeDocument/2006/relationships/image" Target="media/image143.jpeg"/><Relationship Id="rId205" Type="http://schemas.openxmlformats.org/officeDocument/2006/relationships/image" Target="media/image142.jpeg"/><Relationship Id="rId204" Type="http://schemas.openxmlformats.org/officeDocument/2006/relationships/image" Target="media/image141.jpeg"/><Relationship Id="rId203" Type="http://schemas.openxmlformats.org/officeDocument/2006/relationships/image" Target="media/image140.jpeg"/><Relationship Id="rId202" Type="http://schemas.openxmlformats.org/officeDocument/2006/relationships/image" Target="media/image139.jpeg"/><Relationship Id="rId201" Type="http://schemas.openxmlformats.org/officeDocument/2006/relationships/image" Target="media/image138.jpeg"/><Relationship Id="rId200" Type="http://schemas.openxmlformats.org/officeDocument/2006/relationships/image" Target="media/image137.jpeg"/><Relationship Id="rId20" Type="http://schemas.openxmlformats.org/officeDocument/2006/relationships/header" Target="header8.xml"/><Relationship Id="rId2" Type="http://schemas.openxmlformats.org/officeDocument/2006/relationships/settings" Target="settings.xml"/><Relationship Id="rId199" Type="http://schemas.openxmlformats.org/officeDocument/2006/relationships/image" Target="media/image136.jpeg"/><Relationship Id="rId198" Type="http://schemas.openxmlformats.org/officeDocument/2006/relationships/image" Target="media/image135.png"/><Relationship Id="rId197" Type="http://schemas.openxmlformats.org/officeDocument/2006/relationships/image" Target="media/image134.jpeg"/><Relationship Id="rId196" Type="http://schemas.openxmlformats.org/officeDocument/2006/relationships/image" Target="media/image133.jpeg"/><Relationship Id="rId195" Type="http://schemas.openxmlformats.org/officeDocument/2006/relationships/image" Target="media/image132.jpeg"/><Relationship Id="rId194" Type="http://schemas.openxmlformats.org/officeDocument/2006/relationships/image" Target="media/image131.jpeg"/><Relationship Id="rId193" Type="http://schemas.openxmlformats.org/officeDocument/2006/relationships/image" Target="media/image130.jpeg"/><Relationship Id="rId192" Type="http://schemas.openxmlformats.org/officeDocument/2006/relationships/image" Target="media/image129.jpeg"/><Relationship Id="rId191" Type="http://schemas.openxmlformats.org/officeDocument/2006/relationships/image" Target="media/image128.jpeg"/><Relationship Id="rId190" Type="http://schemas.openxmlformats.org/officeDocument/2006/relationships/image" Target="media/image127.jpeg"/><Relationship Id="rId19" Type="http://schemas.openxmlformats.org/officeDocument/2006/relationships/header" Target="header7.xml"/><Relationship Id="rId189" Type="http://schemas.openxmlformats.org/officeDocument/2006/relationships/image" Target="media/image126.jpeg"/><Relationship Id="rId188" Type="http://schemas.openxmlformats.org/officeDocument/2006/relationships/image" Target="media/image125.jpeg"/><Relationship Id="rId187" Type="http://schemas.openxmlformats.org/officeDocument/2006/relationships/image" Target="media/image124.jpeg"/><Relationship Id="rId186" Type="http://schemas.openxmlformats.org/officeDocument/2006/relationships/image" Target="media/image123.jpeg"/><Relationship Id="rId185" Type="http://schemas.openxmlformats.org/officeDocument/2006/relationships/image" Target="media/image122.jpeg"/><Relationship Id="rId184" Type="http://schemas.openxmlformats.org/officeDocument/2006/relationships/image" Target="media/image121.jpeg"/><Relationship Id="rId183" Type="http://schemas.openxmlformats.org/officeDocument/2006/relationships/image" Target="media/image120.jpeg"/><Relationship Id="rId182" Type="http://schemas.openxmlformats.org/officeDocument/2006/relationships/image" Target="media/image119.jpeg"/><Relationship Id="rId181" Type="http://schemas.openxmlformats.org/officeDocument/2006/relationships/image" Target="media/image118.jpeg"/><Relationship Id="rId180" Type="http://schemas.openxmlformats.org/officeDocument/2006/relationships/image" Target="media/image117.jpeg"/><Relationship Id="rId18" Type="http://schemas.openxmlformats.org/officeDocument/2006/relationships/header" Target="header6.xml"/><Relationship Id="rId179" Type="http://schemas.openxmlformats.org/officeDocument/2006/relationships/image" Target="media/image116.jpeg"/><Relationship Id="rId178" Type="http://schemas.openxmlformats.org/officeDocument/2006/relationships/image" Target="media/image115.jpeg"/><Relationship Id="rId177" Type="http://schemas.openxmlformats.org/officeDocument/2006/relationships/image" Target="media/image114.jpeg"/><Relationship Id="rId176" Type="http://schemas.openxmlformats.org/officeDocument/2006/relationships/image" Target="media/image113.jpeg"/><Relationship Id="rId175" Type="http://schemas.openxmlformats.org/officeDocument/2006/relationships/image" Target="media/image112.jpeg"/><Relationship Id="rId174" Type="http://schemas.openxmlformats.org/officeDocument/2006/relationships/image" Target="media/image111.jpeg"/><Relationship Id="rId173" Type="http://schemas.openxmlformats.org/officeDocument/2006/relationships/image" Target="media/image110.png"/><Relationship Id="rId172" Type="http://schemas.openxmlformats.org/officeDocument/2006/relationships/image" Target="media/image109.jpeg"/><Relationship Id="rId171" Type="http://schemas.openxmlformats.org/officeDocument/2006/relationships/image" Target="media/image108.jpeg"/><Relationship Id="rId170" Type="http://schemas.openxmlformats.org/officeDocument/2006/relationships/image" Target="media/image107.jpeg"/><Relationship Id="rId17" Type="http://schemas.openxmlformats.org/officeDocument/2006/relationships/footer" Target="footer10.xml"/><Relationship Id="rId169" Type="http://schemas.openxmlformats.org/officeDocument/2006/relationships/image" Target="media/image106.jpeg"/><Relationship Id="rId168" Type="http://schemas.openxmlformats.org/officeDocument/2006/relationships/image" Target="media/image105.jpeg"/><Relationship Id="rId167" Type="http://schemas.openxmlformats.org/officeDocument/2006/relationships/image" Target="media/image104.jpeg"/><Relationship Id="rId166" Type="http://schemas.openxmlformats.org/officeDocument/2006/relationships/image" Target="media/image103.png"/><Relationship Id="rId165" Type="http://schemas.openxmlformats.org/officeDocument/2006/relationships/oleObject" Target="embeddings/oleObject28.bin"/><Relationship Id="rId164" Type="http://schemas.openxmlformats.org/officeDocument/2006/relationships/image" Target="media/image102.emf"/><Relationship Id="rId163" Type="http://schemas.openxmlformats.org/officeDocument/2006/relationships/oleObject" Target="embeddings/oleObject27.bin"/><Relationship Id="rId162" Type="http://schemas.openxmlformats.org/officeDocument/2006/relationships/image" Target="media/image101.png"/><Relationship Id="rId161" Type="http://schemas.openxmlformats.org/officeDocument/2006/relationships/oleObject" Target="embeddings/oleObject26.bin"/><Relationship Id="rId160" Type="http://schemas.openxmlformats.org/officeDocument/2006/relationships/image" Target="media/image100.png"/><Relationship Id="rId16" Type="http://schemas.openxmlformats.org/officeDocument/2006/relationships/header" Target="header5.xml"/><Relationship Id="rId159" Type="http://schemas.openxmlformats.org/officeDocument/2006/relationships/image" Target="media/image99.jpeg"/><Relationship Id="rId158" Type="http://schemas.openxmlformats.org/officeDocument/2006/relationships/image" Target="media/image98.png"/><Relationship Id="rId157" Type="http://schemas.openxmlformats.org/officeDocument/2006/relationships/image" Target="media/image97.png"/><Relationship Id="rId156" Type="http://schemas.openxmlformats.org/officeDocument/2006/relationships/image" Target="media/image96.png"/><Relationship Id="rId155" Type="http://schemas.openxmlformats.org/officeDocument/2006/relationships/image" Target="media/image95.png"/><Relationship Id="rId154" Type="http://schemas.openxmlformats.org/officeDocument/2006/relationships/oleObject" Target="embeddings/oleObject25.bin"/><Relationship Id="rId153" Type="http://schemas.openxmlformats.org/officeDocument/2006/relationships/image" Target="media/image94.jpeg"/><Relationship Id="rId152" Type="http://schemas.openxmlformats.org/officeDocument/2006/relationships/image" Target="media/image93.png"/><Relationship Id="rId151" Type="http://schemas.openxmlformats.org/officeDocument/2006/relationships/oleObject" Target="embeddings/oleObject24.bin"/><Relationship Id="rId150" Type="http://schemas.openxmlformats.org/officeDocument/2006/relationships/image" Target="media/image92.jpeg"/><Relationship Id="rId15" Type="http://schemas.openxmlformats.org/officeDocument/2006/relationships/footer" Target="footer9.xml"/><Relationship Id="rId149" Type="http://schemas.openxmlformats.org/officeDocument/2006/relationships/image" Target="media/image91.jpeg"/><Relationship Id="rId148" Type="http://schemas.openxmlformats.org/officeDocument/2006/relationships/image" Target="media/image90.jpeg"/><Relationship Id="rId147" Type="http://schemas.openxmlformats.org/officeDocument/2006/relationships/image" Target="media/image89.jpeg"/><Relationship Id="rId146" Type="http://schemas.openxmlformats.org/officeDocument/2006/relationships/image" Target="media/image88.jpeg"/><Relationship Id="rId145" Type="http://schemas.openxmlformats.org/officeDocument/2006/relationships/oleObject" Target="embeddings/oleObject23.bin"/><Relationship Id="rId144" Type="http://schemas.openxmlformats.org/officeDocument/2006/relationships/image" Target="media/image87.png"/><Relationship Id="rId143" Type="http://schemas.openxmlformats.org/officeDocument/2006/relationships/image" Target="media/image86.png"/><Relationship Id="rId142" Type="http://schemas.openxmlformats.org/officeDocument/2006/relationships/image" Target="media/image85.png"/><Relationship Id="rId141" Type="http://schemas.openxmlformats.org/officeDocument/2006/relationships/image" Target="media/image84.png"/><Relationship Id="rId140" Type="http://schemas.openxmlformats.org/officeDocument/2006/relationships/image" Target="media/image83.png"/><Relationship Id="rId14" Type="http://schemas.openxmlformats.org/officeDocument/2006/relationships/header" Target="header4.xml"/><Relationship Id="rId139" Type="http://schemas.openxmlformats.org/officeDocument/2006/relationships/image" Target="media/image82.png"/><Relationship Id="rId138" Type="http://schemas.openxmlformats.org/officeDocument/2006/relationships/image" Target="media/image81.png"/><Relationship Id="rId137" Type="http://schemas.openxmlformats.org/officeDocument/2006/relationships/image" Target="media/image80.png"/><Relationship Id="rId136" Type="http://schemas.openxmlformats.org/officeDocument/2006/relationships/image" Target="media/image79.png"/><Relationship Id="rId135" Type="http://schemas.openxmlformats.org/officeDocument/2006/relationships/image" Target="media/image78.png"/><Relationship Id="rId134" Type="http://schemas.openxmlformats.org/officeDocument/2006/relationships/image" Target="media/image77.png"/><Relationship Id="rId133" Type="http://schemas.openxmlformats.org/officeDocument/2006/relationships/image" Target="media/image76.png"/><Relationship Id="rId132" Type="http://schemas.openxmlformats.org/officeDocument/2006/relationships/image" Target="media/image75.jpeg"/><Relationship Id="rId131" Type="http://schemas.openxmlformats.org/officeDocument/2006/relationships/image" Target="media/image74.jpeg"/><Relationship Id="rId130" Type="http://schemas.openxmlformats.org/officeDocument/2006/relationships/image" Target="media/image73.jpeg"/><Relationship Id="rId13" Type="http://schemas.openxmlformats.org/officeDocument/2006/relationships/footer" Target="footer8.xml"/><Relationship Id="rId129" Type="http://schemas.openxmlformats.org/officeDocument/2006/relationships/image" Target="media/image72.jpeg"/><Relationship Id="rId128" Type="http://schemas.openxmlformats.org/officeDocument/2006/relationships/image" Target="media/image71.jpeg"/><Relationship Id="rId127" Type="http://schemas.openxmlformats.org/officeDocument/2006/relationships/image" Target="media/image70.png"/><Relationship Id="rId126" Type="http://schemas.openxmlformats.org/officeDocument/2006/relationships/oleObject" Target="embeddings/oleObject22.bin"/><Relationship Id="rId125" Type="http://schemas.openxmlformats.org/officeDocument/2006/relationships/image" Target="media/image69.jpeg"/><Relationship Id="rId124" Type="http://schemas.openxmlformats.org/officeDocument/2006/relationships/image" Target="media/image68.jpeg"/><Relationship Id="rId123" Type="http://schemas.openxmlformats.org/officeDocument/2006/relationships/image" Target="media/image67.png"/><Relationship Id="rId122" Type="http://schemas.openxmlformats.org/officeDocument/2006/relationships/oleObject" Target="embeddings/oleObject21.bin"/><Relationship Id="rId121" Type="http://schemas.openxmlformats.org/officeDocument/2006/relationships/image" Target="media/image66.png"/><Relationship Id="rId120" Type="http://schemas.openxmlformats.org/officeDocument/2006/relationships/image" Target="media/image65.png"/><Relationship Id="rId12" Type="http://schemas.openxmlformats.org/officeDocument/2006/relationships/header" Target="header3.xml"/><Relationship Id="rId119" Type="http://schemas.openxmlformats.org/officeDocument/2006/relationships/image" Target="media/image64.png"/><Relationship Id="rId118" Type="http://schemas.openxmlformats.org/officeDocument/2006/relationships/image" Target="media/image63.png"/><Relationship Id="rId117" Type="http://schemas.openxmlformats.org/officeDocument/2006/relationships/image" Target="media/image62.png"/><Relationship Id="rId116" Type="http://schemas.openxmlformats.org/officeDocument/2006/relationships/image" Target="media/image61.png"/><Relationship Id="rId115" Type="http://schemas.openxmlformats.org/officeDocument/2006/relationships/image" Target="media/image60.png"/><Relationship Id="rId114" Type="http://schemas.openxmlformats.org/officeDocument/2006/relationships/image" Target="media/image59.png"/><Relationship Id="rId113" Type="http://schemas.openxmlformats.org/officeDocument/2006/relationships/image" Target="media/image58.png"/><Relationship Id="rId112" Type="http://schemas.openxmlformats.org/officeDocument/2006/relationships/image" Target="media/image57.png"/><Relationship Id="rId111" Type="http://schemas.openxmlformats.org/officeDocument/2006/relationships/image" Target="media/image56.png"/><Relationship Id="rId110" Type="http://schemas.openxmlformats.org/officeDocument/2006/relationships/image" Target="media/image55.png"/><Relationship Id="rId11" Type="http://schemas.openxmlformats.org/officeDocument/2006/relationships/footer" Target="footer7.xml"/><Relationship Id="rId109" Type="http://schemas.openxmlformats.org/officeDocument/2006/relationships/image" Target="media/image54.png"/><Relationship Id="rId108" Type="http://schemas.openxmlformats.org/officeDocument/2006/relationships/image" Target="media/image53.png"/><Relationship Id="rId107" Type="http://schemas.openxmlformats.org/officeDocument/2006/relationships/image" Target="media/image52.png"/><Relationship Id="rId106" Type="http://schemas.openxmlformats.org/officeDocument/2006/relationships/oleObject" Target="embeddings/oleObject20.bin"/><Relationship Id="rId105" Type="http://schemas.openxmlformats.org/officeDocument/2006/relationships/image" Target="media/image51.png"/><Relationship Id="rId104" Type="http://schemas.openxmlformats.org/officeDocument/2006/relationships/oleObject" Target="embeddings/oleObject19.bin"/><Relationship Id="rId103" Type="http://schemas.openxmlformats.org/officeDocument/2006/relationships/oleObject" Target="embeddings/oleObject18.bin"/><Relationship Id="rId102" Type="http://schemas.openxmlformats.org/officeDocument/2006/relationships/image" Target="media/image50.png"/><Relationship Id="rId101" Type="http://schemas.openxmlformats.org/officeDocument/2006/relationships/oleObject" Target="embeddings/oleObject17.bin"/><Relationship Id="rId100" Type="http://schemas.openxmlformats.org/officeDocument/2006/relationships/oleObject" Target="embeddings/oleObject16.bin"/><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466"/>
    <customShpInfo spid="_x0000_s2467"/>
    <customShpInfo spid="_x0000_s2468"/>
    <customShpInfo spid="_x0000_s246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6C7146-872D-447F-9F7E-08789B9B6855}">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467</Pages>
  <Words>205674</Words>
  <Characters>252721</Characters>
  <Lines>2044</Lines>
  <Paragraphs>575</Paragraphs>
  <TotalTime>13</TotalTime>
  <ScaleCrop>false</ScaleCrop>
  <LinksUpToDate>false</LinksUpToDate>
  <CharactersWithSpaces>255959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2022-07-25T01:54:00Z</dcterms:created>
  <dc:creator>david liu</dc:creator>
  <cp:lastModifiedBy>芊寻天天18965830047</cp:lastModifiedBy>
  <cp:lastPrinted>2023-03-30T06:31:00Z</cp:lastPrinted>
  <dcterms:modified xsi:type="dcterms:W3CDTF">2024-01-12T08:45:21Z</dcterms:modified>
  <dc:title>前言</dc:title>
  <cp:revision>212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FC60EEBECA544581AAD5BB3474444C6C</vt:lpwstr>
  </property>
</Properties>
</file>